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4.xml" ContentType="application/vnd.openxmlformats-officedocument.wordprocessingml.footer+xml"/>
  <Override PartName="/word/header2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AA794" w14:textId="4D670EA8" w:rsidR="002239EC" w:rsidRDefault="00F41C25" w:rsidP="002239EC">
      <w:pPr>
        <w:rPr>
          <w:rFonts w:cs="Arial"/>
          <w:spacing w:val="4"/>
          <w:sz w:val="20"/>
          <w:szCs w:val="20"/>
          <w:lang w:eastAsia="en-AU"/>
        </w:rPr>
      </w:pPr>
      <w:r w:rsidRPr="00F41C25">
        <w:rPr>
          <w:rFonts w:cs="Arial"/>
          <w:noProof/>
          <w:spacing w:val="4"/>
          <w:sz w:val="20"/>
          <w:szCs w:val="20"/>
          <w:lang w:eastAsia="en-AU"/>
        </w:rPr>
        <w:drawing>
          <wp:anchor distT="0" distB="0" distL="114300" distR="114300" simplePos="0" relativeHeight="251676672" behindDoc="0" locked="0" layoutInCell="1" allowOverlap="1" wp14:anchorId="210FE3B9" wp14:editId="2CBD4F8A">
            <wp:simplePos x="0" y="0"/>
            <wp:positionH relativeFrom="margin">
              <wp:posOffset>-947420</wp:posOffset>
            </wp:positionH>
            <wp:positionV relativeFrom="margin">
              <wp:posOffset>-908050</wp:posOffset>
            </wp:positionV>
            <wp:extent cx="7623810" cy="10690225"/>
            <wp:effectExtent l="0" t="0" r="0" b="0"/>
            <wp:wrapSquare wrapText="bothSides"/>
            <wp:docPr id="24" name="Picture 24" descr="Cover image: Matthew Latter, Emily Latter, Ascension Fernandez-Latter, Olivia Latter " title="Cover page of Annual Report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0091\AppData\Local\Microsoft\Windows\INetCache\Content.Outlook\1G6KHF1X\AR 2019-20 cover (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3810" cy="1069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B81AD" w14:textId="77777777" w:rsidR="002239EC" w:rsidRPr="00750661" w:rsidRDefault="002239EC" w:rsidP="002239EC">
      <w:pPr>
        <w:rPr>
          <w:sz w:val="20"/>
          <w:szCs w:val="20"/>
        </w:rPr>
      </w:pPr>
      <w:r w:rsidRPr="00750661">
        <w:rPr>
          <w:rFonts w:cs="Arial"/>
          <w:spacing w:val="4"/>
          <w:sz w:val="20"/>
          <w:szCs w:val="20"/>
          <w:lang w:eastAsia="en-AU"/>
        </w:rPr>
        <w:lastRenderedPageBreak/>
        <w:t xml:space="preserve">© </w:t>
      </w:r>
      <w:r>
        <w:rPr>
          <w:sz w:val="20"/>
          <w:szCs w:val="20"/>
        </w:rPr>
        <w:t>Commonwealth of Australia 2020</w:t>
      </w:r>
    </w:p>
    <w:p w14:paraId="5E2AAA6E" w14:textId="77777777" w:rsidR="002239EC" w:rsidRPr="00750661" w:rsidRDefault="002239EC" w:rsidP="002239EC">
      <w:pPr>
        <w:rPr>
          <w:rFonts w:ascii="Helvetica Neue" w:hAnsi="Helvetica Neue" w:cs="Helvetica Neue"/>
          <w:sz w:val="20"/>
          <w:szCs w:val="20"/>
        </w:rPr>
      </w:pPr>
      <w:r w:rsidRPr="00750661">
        <w:rPr>
          <w:rFonts w:ascii="Helvetica Neue" w:hAnsi="Helvetica Neue" w:cs="Helvetica Neue"/>
          <w:sz w:val="20"/>
          <w:szCs w:val="20"/>
        </w:rPr>
        <w:t>ISSN: 2203 9880 (print)</w:t>
      </w:r>
    </w:p>
    <w:p w14:paraId="25D91CF9" w14:textId="77777777" w:rsidR="002239EC" w:rsidRPr="00750661" w:rsidRDefault="002239EC" w:rsidP="002239EC">
      <w:pPr>
        <w:rPr>
          <w:rFonts w:ascii="Helvetica Neue" w:hAnsi="Helvetica Neue" w:cs="Helvetica Neue"/>
          <w:sz w:val="20"/>
          <w:szCs w:val="20"/>
        </w:rPr>
      </w:pPr>
      <w:r w:rsidRPr="00750661">
        <w:rPr>
          <w:rFonts w:ascii="Helvetica Neue" w:hAnsi="Helvetica Neue" w:cs="Helvetica Neue"/>
          <w:sz w:val="20"/>
          <w:szCs w:val="20"/>
        </w:rPr>
        <w:t>ISSN: 2203 9899 (online)</w:t>
      </w:r>
    </w:p>
    <w:p w14:paraId="15393C39" w14:textId="77777777" w:rsidR="002239EC" w:rsidRPr="00750661" w:rsidRDefault="002239EC" w:rsidP="002239EC">
      <w:pPr>
        <w:rPr>
          <w:rFonts w:ascii="Helvetica Neue" w:hAnsi="Helvetica Neue" w:cs="Helvetica Neue"/>
          <w:sz w:val="20"/>
          <w:szCs w:val="20"/>
        </w:rPr>
      </w:pPr>
      <w:r w:rsidRPr="00750661">
        <w:rPr>
          <w:rFonts w:ascii="Helvetica Neue" w:hAnsi="Helvetica Neue" w:cs="Helvetica Neue"/>
          <w:noProof/>
          <w:sz w:val="20"/>
          <w:szCs w:val="20"/>
          <w:lang w:eastAsia="en-AU"/>
        </w:rPr>
        <w:drawing>
          <wp:inline distT="0" distB="0" distL="0" distR="0" wp14:anchorId="4A2BE655" wp14:editId="113020AD">
            <wp:extent cx="1228725" cy="428625"/>
            <wp:effectExtent l="0" t="0" r="0" b="9525"/>
            <wp:docPr id="34" name="Picture 34" title="Logo - Creative Commons"/>
            <wp:cNvGraphicFramePr/>
            <a:graphic xmlns:a="http://schemas.openxmlformats.org/drawingml/2006/main">
              <a:graphicData uri="http://schemas.openxmlformats.org/drawingml/2006/picture">
                <pic:pic xmlns:pic="http://schemas.openxmlformats.org/drawingml/2006/picture">
                  <pic:nvPicPr>
                    <pic:cNvPr id="34" name="Picture 34" title="Logo - Creative Common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5550" cy="427990"/>
                    </a:xfrm>
                    <a:prstGeom prst="rect">
                      <a:avLst/>
                    </a:prstGeom>
                    <a:noFill/>
                    <a:ln>
                      <a:noFill/>
                    </a:ln>
                  </pic:spPr>
                </pic:pic>
              </a:graphicData>
            </a:graphic>
          </wp:inline>
        </w:drawing>
      </w:r>
    </w:p>
    <w:p w14:paraId="4FC82049" w14:textId="77777777" w:rsidR="002239EC" w:rsidRPr="00750661" w:rsidRDefault="002239EC" w:rsidP="002239EC">
      <w:pPr>
        <w:spacing w:line="240" w:lineRule="auto"/>
        <w:rPr>
          <w:rFonts w:ascii="Helvetica Neue" w:hAnsi="Helvetica Neue" w:cs="Helvetica Neue"/>
          <w:sz w:val="20"/>
          <w:szCs w:val="20"/>
        </w:rPr>
      </w:pPr>
      <w:r>
        <w:rPr>
          <w:rFonts w:ascii="Helvetica Neue" w:hAnsi="Helvetica Neue" w:cs="Helvetica Neue"/>
          <w:sz w:val="20"/>
          <w:szCs w:val="20"/>
        </w:rPr>
        <w:t>Copyright notice — 2020</w:t>
      </w:r>
    </w:p>
    <w:p w14:paraId="4B8B7898" w14:textId="77777777" w:rsidR="002239EC" w:rsidRPr="00750661" w:rsidRDefault="002239EC" w:rsidP="002239EC">
      <w:pPr>
        <w:spacing w:line="240" w:lineRule="auto"/>
        <w:rPr>
          <w:sz w:val="20"/>
          <w:szCs w:val="20"/>
        </w:rPr>
      </w:pPr>
      <w:r w:rsidRPr="00750661">
        <w:rPr>
          <w:sz w:val="20"/>
          <w:szCs w:val="20"/>
        </w:rPr>
        <w:t>This document, Department of Social Services Annual Report, is licensed under the Creative Commons Attribution 4.0 International Licence</w:t>
      </w:r>
    </w:p>
    <w:p w14:paraId="409E4486" w14:textId="77777777" w:rsidR="002239EC" w:rsidRPr="00750661" w:rsidRDefault="002239EC" w:rsidP="002239EC">
      <w:pPr>
        <w:spacing w:line="240" w:lineRule="auto"/>
        <w:rPr>
          <w:sz w:val="20"/>
          <w:szCs w:val="20"/>
        </w:rPr>
      </w:pPr>
      <w:r w:rsidRPr="00750661">
        <w:rPr>
          <w:rFonts w:ascii="HelveticaNeueLT Std Med" w:hAnsi="HelveticaNeueLT Std Med" w:cs="HelveticaNeueLT Std Med"/>
          <w:color w:val="000000"/>
          <w:sz w:val="20"/>
          <w:szCs w:val="20"/>
        </w:rPr>
        <w:t xml:space="preserve">Licence URL: </w:t>
      </w:r>
      <w:hyperlink r:id="rId12" w:history="1">
        <w:r w:rsidRPr="00750661">
          <w:rPr>
            <w:rFonts w:cs="Arial"/>
            <w:color w:val="0000FF"/>
            <w:sz w:val="20"/>
            <w:szCs w:val="20"/>
            <w:u w:val="single"/>
          </w:rPr>
          <w:t>https://creativecommons.org/licenses/by/4.0/legalcode</w:t>
        </w:r>
      </w:hyperlink>
    </w:p>
    <w:p w14:paraId="12B79256" w14:textId="77777777" w:rsidR="002239EC" w:rsidRPr="00750661" w:rsidRDefault="002239EC" w:rsidP="002239EC">
      <w:pPr>
        <w:spacing w:line="240" w:lineRule="auto"/>
        <w:rPr>
          <w:sz w:val="20"/>
          <w:szCs w:val="20"/>
        </w:rPr>
      </w:pPr>
      <w:r w:rsidRPr="00750661">
        <w:rPr>
          <w:rFonts w:ascii="HelveticaNeueLT Std Med" w:hAnsi="HelveticaNeueLT Std Med" w:cs="HelveticaNeueLT Std Med"/>
          <w:color w:val="000000"/>
          <w:sz w:val="20"/>
          <w:szCs w:val="20"/>
        </w:rPr>
        <w:t>Please attribute:</w:t>
      </w:r>
      <w:r w:rsidRPr="00750661">
        <w:rPr>
          <w:sz w:val="20"/>
          <w:szCs w:val="20"/>
        </w:rPr>
        <w:t xml:space="preserve"> © Commonwealth of Australia (Dep</w:t>
      </w:r>
      <w:r>
        <w:rPr>
          <w:sz w:val="20"/>
          <w:szCs w:val="20"/>
        </w:rPr>
        <w:t>artment of Social Services) 2020</w:t>
      </w:r>
    </w:p>
    <w:p w14:paraId="2775B5ED" w14:textId="66A422BD" w:rsidR="002239EC" w:rsidRPr="00750661" w:rsidRDefault="002239EC" w:rsidP="002239EC">
      <w:pPr>
        <w:spacing w:line="240" w:lineRule="auto"/>
        <w:rPr>
          <w:rFonts w:ascii="HelveticaNeueLT Std Med" w:hAnsi="HelveticaNeueLT Std Med" w:cs="HelveticaNeueLT Std Med"/>
          <w:b/>
          <w:color w:val="000000"/>
        </w:rPr>
      </w:pPr>
      <w:r w:rsidRPr="00750661">
        <w:rPr>
          <w:rFonts w:ascii="HelveticaNeueLT Std Med" w:hAnsi="HelveticaNeueLT Std Med" w:cs="HelveticaNeueLT Std Med"/>
          <w:b/>
          <w:color w:val="000000"/>
          <w:sz w:val="20"/>
          <w:szCs w:val="20"/>
        </w:rPr>
        <w:t>Notice:</w:t>
      </w:r>
    </w:p>
    <w:p w14:paraId="69D0FFEA" w14:textId="77777777" w:rsidR="002239EC" w:rsidRPr="00750661" w:rsidRDefault="002239EC" w:rsidP="005655D8">
      <w:pPr>
        <w:numPr>
          <w:ilvl w:val="0"/>
          <w:numId w:val="4"/>
        </w:numPr>
        <w:spacing w:before="120" w:after="240" w:line="240" w:lineRule="auto"/>
        <w:ind w:left="357" w:hanging="357"/>
        <w:contextualSpacing/>
      </w:pPr>
      <w:bookmarkStart w:id="0" w:name="_Ref526778299"/>
      <w:r w:rsidRPr="00750661">
        <w:rPr>
          <w:sz w:val="20"/>
          <w:szCs w:val="20"/>
        </w:rPr>
        <w:t>If you create a derivative of this document, the Department of Social Services requests the following notice be placed on your derivative: Based on Commonwealth of Australia (Department of Social Services) data</w:t>
      </w:r>
      <w:bookmarkEnd w:id="0"/>
      <w:r>
        <w:rPr>
          <w:sz w:val="20"/>
          <w:szCs w:val="20"/>
        </w:rPr>
        <w:t>.</w:t>
      </w:r>
    </w:p>
    <w:p w14:paraId="11F6A467" w14:textId="41D591AA" w:rsidR="002239EC" w:rsidRPr="00EA5FBF" w:rsidRDefault="002239EC" w:rsidP="005655D8">
      <w:pPr>
        <w:numPr>
          <w:ilvl w:val="0"/>
          <w:numId w:val="4"/>
        </w:numPr>
        <w:spacing w:before="120" w:after="120" w:line="240" w:lineRule="auto"/>
        <w:ind w:left="357" w:hanging="357"/>
        <w:contextualSpacing/>
        <w:rPr>
          <w:rFonts w:cs="Arial"/>
          <w:sz w:val="20"/>
          <w:szCs w:val="20"/>
        </w:rPr>
      </w:pPr>
      <w:r w:rsidRPr="00750661">
        <w:rPr>
          <w:sz w:val="20"/>
          <w:szCs w:val="20"/>
        </w:rPr>
        <w:t>Inquiries regarding this licence or any other use of this document are welcome.</w:t>
      </w:r>
    </w:p>
    <w:p w14:paraId="3E0DC894" w14:textId="77777777" w:rsidR="002239EC" w:rsidRPr="00750661" w:rsidRDefault="002239EC" w:rsidP="002239EC">
      <w:pPr>
        <w:spacing w:before="120" w:after="120" w:line="240" w:lineRule="auto"/>
        <w:ind w:left="357"/>
        <w:contextualSpacing/>
        <w:rPr>
          <w:rFonts w:cs="Arial"/>
          <w:sz w:val="20"/>
          <w:szCs w:val="20"/>
        </w:rPr>
      </w:pPr>
      <w:r w:rsidRPr="00750661">
        <w:rPr>
          <w:sz w:val="20"/>
          <w:szCs w:val="20"/>
        </w:rPr>
        <w:t xml:space="preserve">Please contact: Branch Manager, Communication Services Branch, Department </w:t>
      </w:r>
      <w:r>
        <w:rPr>
          <w:sz w:val="20"/>
          <w:szCs w:val="20"/>
        </w:rPr>
        <w:t xml:space="preserve">of Social Services. </w:t>
      </w:r>
      <w:r w:rsidRPr="00750661">
        <w:rPr>
          <w:sz w:val="20"/>
          <w:szCs w:val="20"/>
        </w:rPr>
        <w:t>Phone: 1300 653 227</w:t>
      </w:r>
      <w:r>
        <w:rPr>
          <w:sz w:val="20"/>
          <w:szCs w:val="20"/>
        </w:rPr>
        <w:t xml:space="preserve">. </w:t>
      </w:r>
      <w:r w:rsidRPr="00750661">
        <w:rPr>
          <w:sz w:val="20"/>
          <w:szCs w:val="20"/>
        </w:rPr>
        <w:t xml:space="preserve">Email: </w:t>
      </w:r>
      <w:hyperlink r:id="rId13" w:history="1">
        <w:r w:rsidRPr="00750661">
          <w:rPr>
            <w:rFonts w:cs="Arial"/>
            <w:color w:val="0000FF"/>
            <w:sz w:val="20"/>
            <w:szCs w:val="20"/>
            <w:u w:val="single"/>
          </w:rPr>
          <w:t>communications@dss.gov.au</w:t>
        </w:r>
      </w:hyperlink>
    </w:p>
    <w:p w14:paraId="31D4A258" w14:textId="77777777" w:rsidR="002239EC" w:rsidRPr="005F2276" w:rsidRDefault="002239EC" w:rsidP="002239EC">
      <w:pPr>
        <w:spacing w:before="280" w:line="240" w:lineRule="auto"/>
        <w:rPr>
          <w:rFonts w:ascii="HelveticaNeueLT Std Med" w:hAnsi="HelveticaNeueLT Std Med" w:cs="HelveticaNeueLT Std Med"/>
          <w:color w:val="000000"/>
        </w:rPr>
      </w:pPr>
      <w:r w:rsidRPr="00750661">
        <w:rPr>
          <w:rFonts w:ascii="HelveticaNeueLT Std Med" w:hAnsi="HelveticaNeueLT Std Med" w:cs="HelveticaNeueLT Std Med"/>
          <w:b/>
          <w:color w:val="000000"/>
          <w:sz w:val="20"/>
          <w:szCs w:val="20"/>
        </w:rPr>
        <w:t>Notice identifying other material or rights in this publication:</w:t>
      </w:r>
    </w:p>
    <w:p w14:paraId="4564D5DF" w14:textId="4D37D461" w:rsidR="002239EC" w:rsidRPr="00750661" w:rsidRDefault="002239EC" w:rsidP="005655D8">
      <w:pPr>
        <w:numPr>
          <w:ilvl w:val="0"/>
          <w:numId w:val="5"/>
        </w:numPr>
        <w:spacing w:before="160" w:after="120" w:line="240" w:lineRule="auto"/>
        <w:contextualSpacing/>
      </w:pPr>
      <w:r w:rsidRPr="005F2276">
        <w:rPr>
          <w:sz w:val="20"/>
          <w:szCs w:val="20"/>
        </w:rPr>
        <w:t>Australian Commonwealth Coat of Arms — not Licensed unde</w:t>
      </w:r>
      <w:r w:rsidRPr="00750661">
        <w:rPr>
          <w:sz w:val="20"/>
          <w:szCs w:val="20"/>
        </w:rPr>
        <w:t xml:space="preserve">r Creative Commons, see </w:t>
      </w:r>
      <w:hyperlink r:id="rId14" w:history="1">
        <w:r w:rsidRPr="00750661">
          <w:rPr>
            <w:rFonts w:cs="Arial"/>
            <w:color w:val="0000FF"/>
            <w:sz w:val="20"/>
            <w:szCs w:val="20"/>
            <w:u w:val="single"/>
          </w:rPr>
          <w:t>https://www.itsanhonour.gov.au/coat-arms/index.cfm</w:t>
        </w:r>
      </w:hyperlink>
    </w:p>
    <w:p w14:paraId="486DA5ED" w14:textId="71DB7443" w:rsidR="002239EC" w:rsidRPr="00750661" w:rsidRDefault="002239EC" w:rsidP="005655D8">
      <w:pPr>
        <w:numPr>
          <w:ilvl w:val="0"/>
          <w:numId w:val="5"/>
        </w:numPr>
        <w:spacing w:before="160" w:after="120" w:line="240" w:lineRule="auto"/>
        <w:contextualSpacing/>
        <w:rPr>
          <w:rFonts w:cs="Arial"/>
          <w:sz w:val="20"/>
          <w:szCs w:val="20"/>
        </w:rPr>
      </w:pPr>
      <w:r w:rsidRPr="00750661">
        <w:rPr>
          <w:sz w:val="20"/>
          <w:szCs w:val="20"/>
        </w:rPr>
        <w:t>Certain images and photographs (as marked) — not licensed under Creative Commons</w:t>
      </w:r>
    </w:p>
    <w:p w14:paraId="31834DBD" w14:textId="77777777" w:rsidR="002239EC" w:rsidRPr="00750661" w:rsidRDefault="002239EC" w:rsidP="002239EC">
      <w:pPr>
        <w:spacing w:before="280" w:line="240" w:lineRule="auto"/>
        <w:rPr>
          <w:sz w:val="20"/>
          <w:szCs w:val="20"/>
        </w:rPr>
      </w:pPr>
      <w:r w:rsidRPr="00750661">
        <w:rPr>
          <w:sz w:val="20"/>
          <w:szCs w:val="20"/>
        </w:rPr>
        <w:t>If you are deaf or have a hearing or speech impairment, you can use the National Relay Service to contact any of the Department of Socia</w:t>
      </w:r>
      <w:r>
        <w:rPr>
          <w:sz w:val="20"/>
          <w:szCs w:val="20"/>
        </w:rPr>
        <w:t>l Services listed phone numbers.</w:t>
      </w:r>
    </w:p>
    <w:p w14:paraId="154A20EE" w14:textId="77777777" w:rsidR="002239EC" w:rsidRPr="00750661" w:rsidRDefault="002239EC" w:rsidP="002239EC">
      <w:pPr>
        <w:spacing w:line="240" w:lineRule="auto"/>
        <w:rPr>
          <w:sz w:val="20"/>
          <w:szCs w:val="20"/>
        </w:rPr>
      </w:pPr>
      <w:r w:rsidRPr="00750661">
        <w:rPr>
          <w:sz w:val="20"/>
          <w:szCs w:val="20"/>
        </w:rPr>
        <w:t>TTY users — phone 133 677 and ask for the phone number you wish to contact</w:t>
      </w:r>
    </w:p>
    <w:p w14:paraId="57DE190F" w14:textId="77777777" w:rsidR="002239EC" w:rsidRPr="00750661" w:rsidRDefault="002239EC" w:rsidP="002239EC">
      <w:pPr>
        <w:spacing w:line="240" w:lineRule="auto"/>
        <w:rPr>
          <w:sz w:val="20"/>
          <w:szCs w:val="20"/>
        </w:rPr>
      </w:pPr>
      <w:r w:rsidRPr="00750661">
        <w:rPr>
          <w:sz w:val="20"/>
          <w:szCs w:val="20"/>
        </w:rPr>
        <w:t>Speak and Listen users — phone 1300 555 727 and ask for the phone number you wish to contact</w:t>
      </w:r>
    </w:p>
    <w:p w14:paraId="7E74430A" w14:textId="77777777" w:rsidR="002239EC" w:rsidRPr="00750661" w:rsidRDefault="002239EC" w:rsidP="002239EC">
      <w:pPr>
        <w:spacing w:line="240" w:lineRule="auto"/>
        <w:rPr>
          <w:rFonts w:cs="Arial"/>
          <w:color w:val="0000FF"/>
          <w:sz w:val="20"/>
          <w:u w:val="single"/>
        </w:rPr>
      </w:pPr>
      <w:r w:rsidRPr="00750661">
        <w:rPr>
          <w:sz w:val="20"/>
          <w:szCs w:val="20"/>
        </w:rPr>
        <w:t xml:space="preserve">Internet relay users — visit the National Relay Service at </w:t>
      </w:r>
      <w:hyperlink r:id="rId15" w:history="1">
        <w:r w:rsidRPr="00750661">
          <w:rPr>
            <w:rFonts w:cs="Arial"/>
            <w:color w:val="0000FF"/>
            <w:sz w:val="20"/>
            <w:szCs w:val="20"/>
            <w:u w:val="single"/>
          </w:rPr>
          <w:t>http://relayservice.gov.au</w:t>
        </w:r>
      </w:hyperlink>
    </w:p>
    <w:p w14:paraId="4D3CDABB" w14:textId="77777777" w:rsidR="002239EC" w:rsidRPr="00750661" w:rsidRDefault="002239EC" w:rsidP="002239EC">
      <w:pPr>
        <w:spacing w:line="240" w:lineRule="auto"/>
      </w:pPr>
      <w:r w:rsidRPr="00750661">
        <w:rPr>
          <w:sz w:val="20"/>
          <w:szCs w:val="20"/>
        </w:rPr>
        <w:t>Aboriginal and Torres Strait Islander people are advised that this publication may contain images or names of deceased people.</w:t>
      </w:r>
    </w:p>
    <w:p w14:paraId="32A01AC4" w14:textId="77777777" w:rsidR="002239EC" w:rsidRPr="00750661" w:rsidRDefault="002239EC" w:rsidP="002239EC">
      <w:pPr>
        <w:spacing w:line="240" w:lineRule="auto"/>
        <w:rPr>
          <w:b/>
          <w:sz w:val="20"/>
          <w:szCs w:val="20"/>
        </w:rPr>
      </w:pPr>
      <w:r w:rsidRPr="00750661">
        <w:rPr>
          <w:rFonts w:ascii="HelveticaNeueLT Std Med" w:hAnsi="HelveticaNeueLT Std Med" w:cs="HelveticaNeueLT Std Med"/>
          <w:b/>
          <w:color w:val="000000"/>
          <w:sz w:val="20"/>
          <w:szCs w:val="20"/>
        </w:rPr>
        <w:t>Contact us:</w:t>
      </w:r>
    </w:p>
    <w:p w14:paraId="432F9B15" w14:textId="59903015" w:rsidR="002239EC" w:rsidRPr="00750661" w:rsidRDefault="002239EC" w:rsidP="002239EC">
      <w:pPr>
        <w:spacing w:line="240" w:lineRule="auto"/>
        <w:rPr>
          <w:sz w:val="20"/>
          <w:szCs w:val="20"/>
        </w:rPr>
      </w:pPr>
      <w:r w:rsidRPr="00750661">
        <w:rPr>
          <w:sz w:val="20"/>
          <w:szCs w:val="20"/>
        </w:rPr>
        <w:t>For enquiries regard</w:t>
      </w:r>
      <w:r>
        <w:rPr>
          <w:sz w:val="20"/>
          <w:szCs w:val="20"/>
        </w:rPr>
        <w:t>ing this report, please contact:</w:t>
      </w:r>
      <w:r w:rsidRPr="00750661">
        <w:rPr>
          <w:sz w:val="20"/>
          <w:szCs w:val="20"/>
        </w:rPr>
        <w:br/>
        <w:t>Branch Manager, Govern</w:t>
      </w:r>
      <w:r>
        <w:rPr>
          <w:sz w:val="20"/>
          <w:szCs w:val="20"/>
        </w:rPr>
        <w:t>ment and Executive Services</w:t>
      </w:r>
      <w:r w:rsidRPr="00750661">
        <w:rPr>
          <w:sz w:val="20"/>
          <w:szCs w:val="20"/>
        </w:rPr>
        <w:t>, Department of Social Services</w:t>
      </w:r>
      <w:r w:rsidRPr="00750661">
        <w:rPr>
          <w:sz w:val="20"/>
          <w:szCs w:val="20"/>
        </w:rPr>
        <w:br/>
        <w:t>Mail: GPO Box 9820, Canberra ACT 2601</w:t>
      </w:r>
      <w:r w:rsidRPr="00750661">
        <w:rPr>
          <w:sz w:val="20"/>
          <w:szCs w:val="20"/>
        </w:rPr>
        <w:br/>
        <w:t xml:space="preserve">Email: </w:t>
      </w:r>
      <w:hyperlink r:id="rId16" w:history="1">
        <w:r w:rsidRPr="00750661">
          <w:rPr>
            <w:rFonts w:cs="Arial"/>
            <w:color w:val="0000FF"/>
            <w:sz w:val="20"/>
            <w:szCs w:val="20"/>
            <w:u w:val="single"/>
          </w:rPr>
          <w:t>annual.report@dss.gov.au</w:t>
        </w:r>
      </w:hyperlink>
    </w:p>
    <w:p w14:paraId="145D5238" w14:textId="77777777" w:rsidR="002239EC" w:rsidRPr="00750661" w:rsidRDefault="002239EC" w:rsidP="002239EC">
      <w:pPr>
        <w:spacing w:line="240" w:lineRule="auto"/>
        <w:rPr>
          <w:sz w:val="20"/>
          <w:szCs w:val="20"/>
        </w:rPr>
      </w:pPr>
      <w:r w:rsidRPr="00750661">
        <w:rPr>
          <w:sz w:val="20"/>
          <w:szCs w:val="20"/>
        </w:rPr>
        <w:t>Phone: 1300 653 227 or international +61 2 6146 0001</w:t>
      </w:r>
    </w:p>
    <w:p w14:paraId="5B27DCCC" w14:textId="39195D37" w:rsidR="002239EC" w:rsidRPr="00750661" w:rsidRDefault="002239EC" w:rsidP="002239EC">
      <w:pPr>
        <w:spacing w:line="240" w:lineRule="auto"/>
        <w:rPr>
          <w:sz w:val="20"/>
          <w:szCs w:val="20"/>
        </w:rPr>
      </w:pPr>
      <w:r w:rsidRPr="00750661">
        <w:rPr>
          <w:sz w:val="20"/>
          <w:szCs w:val="20"/>
        </w:rPr>
        <w:t>This annual report is available online</w:t>
      </w:r>
      <w:r w:rsidR="009650DB">
        <w:rPr>
          <w:sz w:val="20"/>
          <w:szCs w:val="20"/>
        </w:rPr>
        <w:t>. For further information</w:t>
      </w:r>
      <w:r w:rsidRPr="00750661">
        <w:rPr>
          <w:sz w:val="20"/>
          <w:szCs w:val="20"/>
        </w:rPr>
        <w:t xml:space="preserve">, go to </w:t>
      </w:r>
      <w:r w:rsidRPr="00750661">
        <w:rPr>
          <w:color w:val="0000FF"/>
          <w:sz w:val="20"/>
          <w:szCs w:val="20"/>
          <w:u w:val="single"/>
        </w:rPr>
        <w:t xml:space="preserve">dss.gov.au/annual report </w:t>
      </w:r>
      <w:r>
        <w:rPr>
          <w:sz w:val="20"/>
          <w:szCs w:val="20"/>
        </w:rPr>
        <w:t xml:space="preserve">or </w:t>
      </w:r>
      <w:hyperlink r:id="rId17" w:history="1">
        <w:r w:rsidRPr="00750661">
          <w:rPr>
            <w:color w:val="0000FF"/>
            <w:sz w:val="20"/>
            <w:szCs w:val="20"/>
            <w:u w:val="single"/>
          </w:rPr>
          <w:t>transparency.gov.au</w:t>
        </w:r>
      </w:hyperlink>
    </w:p>
    <w:p w14:paraId="234E6FA1" w14:textId="4FA0E1B1" w:rsidR="002239EC" w:rsidRDefault="002239EC" w:rsidP="002239EC">
      <w:pPr>
        <w:spacing w:line="240" w:lineRule="auto"/>
        <w:rPr>
          <w:rFonts w:ascii="Times New Roman" w:hAnsi="Times New Roman" w:cs="Times New Roman"/>
          <w:sz w:val="28"/>
          <w:szCs w:val="28"/>
          <w:lang w:eastAsia="en-AU"/>
        </w:rPr>
      </w:pPr>
      <w:r w:rsidRPr="00750661">
        <w:rPr>
          <w:sz w:val="20"/>
          <w:szCs w:val="20"/>
        </w:rPr>
        <w:t xml:space="preserve">Cover image: </w:t>
      </w:r>
      <w:r w:rsidR="00E117FD" w:rsidRPr="0064767C">
        <w:rPr>
          <w:sz w:val="20"/>
          <w:szCs w:val="20"/>
        </w:rPr>
        <w:t>Matthew Latter, Emily Latter, Ascension Fernandez-Latter, Olivia Latter</w:t>
      </w:r>
      <w:r w:rsidR="00E117FD" w:rsidRPr="00252257" w:rsidDel="00E117FD">
        <w:rPr>
          <w:color w:val="FF0000"/>
          <w:sz w:val="20"/>
          <w:szCs w:val="20"/>
        </w:rPr>
        <w:t xml:space="preserve"> </w:t>
      </w:r>
    </w:p>
    <w:p w14:paraId="131D2E16" w14:textId="77777777" w:rsidR="002239EC" w:rsidRDefault="002239EC" w:rsidP="002239EC">
      <w:pPr>
        <w:tabs>
          <w:tab w:val="left" w:pos="2550"/>
        </w:tabs>
        <w:rPr>
          <w:rFonts w:ascii="Times New Roman" w:hAnsi="Times New Roman" w:cs="Times New Roman"/>
          <w:sz w:val="28"/>
          <w:szCs w:val="28"/>
          <w:lang w:eastAsia="en-AU"/>
        </w:rPr>
        <w:sectPr w:rsidR="002239EC" w:rsidSect="00332CCC">
          <w:pgSz w:w="11906" w:h="16838"/>
          <w:pgMar w:top="1440" w:right="1440" w:bottom="1440" w:left="1440" w:header="709" w:footer="709" w:gutter="0"/>
          <w:pgNumType w:fmt="lowerRoman" w:start="1"/>
          <w:cols w:space="708"/>
          <w:docGrid w:linePitch="360"/>
        </w:sectPr>
      </w:pPr>
    </w:p>
    <w:p w14:paraId="617DB71D" w14:textId="77777777" w:rsidR="002239EC" w:rsidRDefault="002239EC" w:rsidP="002239EC">
      <w:pPr>
        <w:tabs>
          <w:tab w:val="left" w:pos="2550"/>
        </w:tabs>
        <w:rPr>
          <w:rFonts w:ascii="Times New Roman" w:hAnsi="Times New Roman" w:cs="Times New Roman"/>
          <w:sz w:val="28"/>
          <w:szCs w:val="28"/>
          <w:lang w:eastAsia="en-AU"/>
        </w:rPr>
      </w:pPr>
    </w:p>
    <w:p w14:paraId="2EE6CB6C" w14:textId="77777777" w:rsidR="002239EC" w:rsidRDefault="002239EC" w:rsidP="002239EC">
      <w:pPr>
        <w:tabs>
          <w:tab w:val="left" w:pos="2550"/>
        </w:tabs>
      </w:pPr>
      <w:r>
        <w:rPr>
          <w:noProof/>
          <w:lang w:eastAsia="en-AU"/>
        </w:rPr>
        <w:drawing>
          <wp:inline distT="0" distB="0" distL="0" distR="0" wp14:anchorId="7E623F7F" wp14:editId="347D2F74">
            <wp:extent cx="2653030" cy="1422400"/>
            <wp:effectExtent l="0" t="0" r="0" b="6350"/>
            <wp:docPr id="15" name="Picture 15" descr="Department of Social Services logo" title="Logo - Australian Government, 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 Australian Government, Deparment of Social Servi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3030" cy="1422400"/>
                    </a:xfrm>
                    <a:prstGeom prst="rect">
                      <a:avLst/>
                    </a:prstGeom>
                    <a:noFill/>
                    <a:ln>
                      <a:noFill/>
                    </a:ln>
                  </pic:spPr>
                </pic:pic>
              </a:graphicData>
            </a:graphic>
          </wp:inline>
        </w:drawing>
      </w:r>
      <w:r>
        <w:rPr>
          <w:rFonts w:ascii="Times New Roman" w:hAnsi="Times New Roman" w:cs="Times New Roman"/>
          <w:sz w:val="28"/>
          <w:szCs w:val="28"/>
          <w:lang w:eastAsia="en-AU"/>
        </w:rPr>
        <w:tab/>
      </w:r>
      <w:r>
        <w:br w:type="textWrapping" w:clear="all"/>
      </w:r>
    </w:p>
    <w:p w14:paraId="6716B9AF" w14:textId="77777777" w:rsidR="002239EC" w:rsidRPr="007E5275" w:rsidRDefault="002239EC" w:rsidP="002239EC">
      <w:pPr>
        <w:pStyle w:val="Heading3"/>
        <w:jc w:val="right"/>
        <w:rPr>
          <w:rFonts w:ascii="Georgia" w:hAnsi="Georgia"/>
          <w:b w:val="0"/>
          <w:sz w:val="72"/>
          <w:szCs w:val="72"/>
        </w:rPr>
      </w:pPr>
      <w:r w:rsidRPr="007E5275">
        <w:rPr>
          <w:rFonts w:ascii="Georgia" w:hAnsi="Georgia"/>
          <w:b w:val="0"/>
          <w:sz w:val="72"/>
          <w:szCs w:val="72"/>
        </w:rPr>
        <w:t>Annual Report</w:t>
      </w:r>
    </w:p>
    <w:p w14:paraId="6DDE6B67" w14:textId="77777777" w:rsidR="002239EC" w:rsidRPr="00387BDE" w:rsidRDefault="002239EC" w:rsidP="002239EC">
      <w:pPr>
        <w:pStyle w:val="Heading3"/>
        <w:jc w:val="right"/>
        <w:rPr>
          <w:rFonts w:ascii="Georgia" w:hAnsi="Georgia"/>
          <w:b w:val="0"/>
          <w:color w:val="215868" w:themeColor="accent5" w:themeShade="80"/>
          <w:sz w:val="72"/>
          <w:szCs w:val="72"/>
        </w:rPr>
      </w:pPr>
      <w:r w:rsidRPr="00387BDE">
        <w:rPr>
          <w:rFonts w:ascii="Georgia" w:hAnsi="Georgia"/>
          <w:b w:val="0"/>
          <w:color w:val="215868" w:themeColor="accent5" w:themeShade="80"/>
          <w:sz w:val="72"/>
          <w:szCs w:val="72"/>
        </w:rPr>
        <w:t>2019–20</w:t>
      </w:r>
    </w:p>
    <w:p w14:paraId="08CB3FCA" w14:textId="77777777" w:rsidR="002239EC" w:rsidRDefault="002239EC" w:rsidP="002239EC"/>
    <w:p w14:paraId="785AD51D" w14:textId="77777777" w:rsidR="002239EC" w:rsidRPr="007E5275" w:rsidRDefault="002239EC" w:rsidP="008231E6">
      <w:pPr>
        <w:pStyle w:val="Heading4"/>
        <w:ind w:right="2552" w:firstLine="720"/>
        <w:rPr>
          <w:rFonts w:ascii="Georgia" w:hAnsi="Georgia"/>
          <w:b w:val="0"/>
          <w:i w:val="0"/>
          <w:sz w:val="36"/>
          <w:szCs w:val="36"/>
        </w:rPr>
      </w:pPr>
      <w:r w:rsidRPr="007E5275">
        <w:rPr>
          <w:rFonts w:ascii="Georgia" w:hAnsi="Georgia"/>
          <w:b w:val="0"/>
          <w:i w:val="0"/>
          <w:sz w:val="36"/>
          <w:szCs w:val="36"/>
        </w:rPr>
        <w:t>About this report</w:t>
      </w:r>
    </w:p>
    <w:p w14:paraId="4FAEA43B" w14:textId="24CE4A7A" w:rsidR="002239EC" w:rsidRDefault="002239EC" w:rsidP="008231E6">
      <w:pPr>
        <w:spacing w:before="360"/>
        <w:ind w:left="720"/>
        <w:rPr>
          <w:rFonts w:cs="Arial"/>
          <w:sz w:val="20"/>
          <w:szCs w:val="20"/>
        </w:rPr>
      </w:pPr>
      <w:r w:rsidRPr="00B76FB0">
        <w:rPr>
          <w:sz w:val="20"/>
          <w:szCs w:val="20"/>
        </w:rPr>
        <w:t>This report describes the operations and performance of the Department of Social Services during</w:t>
      </w:r>
      <w:r w:rsidR="008231E6">
        <w:rPr>
          <w:sz w:val="20"/>
          <w:szCs w:val="20"/>
        </w:rPr>
        <w:br/>
      </w:r>
      <w:r>
        <w:rPr>
          <w:sz w:val="20"/>
          <w:szCs w:val="20"/>
        </w:rPr>
        <w:t>2019–20</w:t>
      </w:r>
      <w:r w:rsidRPr="00B76FB0">
        <w:rPr>
          <w:sz w:val="20"/>
          <w:szCs w:val="20"/>
        </w:rPr>
        <w:t xml:space="preserve">. </w:t>
      </w:r>
      <w:r>
        <w:rPr>
          <w:sz w:val="20"/>
          <w:szCs w:val="20"/>
        </w:rPr>
        <w:t>It</w:t>
      </w:r>
      <w:r w:rsidRPr="00B76FB0">
        <w:rPr>
          <w:sz w:val="20"/>
          <w:szCs w:val="20"/>
        </w:rPr>
        <w:t xml:space="preserve"> was prepared to meet </w:t>
      </w:r>
      <w:r w:rsidRPr="00B76FB0">
        <w:rPr>
          <w:rFonts w:cs="Arial"/>
          <w:sz w:val="20"/>
          <w:szCs w:val="20"/>
        </w:rPr>
        <w:t>legislated reporting requirements.</w:t>
      </w:r>
    </w:p>
    <w:p w14:paraId="79DF5E72" w14:textId="2B39FDCF" w:rsidR="002239EC" w:rsidRPr="007E5275" w:rsidRDefault="008231E6" w:rsidP="007E5275">
      <w:pPr>
        <w:pStyle w:val="Heading4"/>
        <w:ind w:right="2552" w:firstLine="720"/>
        <w:rPr>
          <w:rFonts w:ascii="Georgia" w:hAnsi="Georgia"/>
          <w:b w:val="0"/>
          <w:i w:val="0"/>
          <w:sz w:val="36"/>
          <w:szCs w:val="36"/>
        </w:rPr>
      </w:pPr>
      <w:r w:rsidRPr="007E5275">
        <w:rPr>
          <w:rFonts w:ascii="Georgia" w:hAnsi="Georgia"/>
          <w:b w:val="0"/>
          <w:i w:val="0"/>
          <w:sz w:val="36"/>
          <w:szCs w:val="36"/>
        </w:rPr>
        <w:t>How to use this report</w:t>
      </w:r>
    </w:p>
    <w:tbl>
      <w:tblPr>
        <w:tblStyle w:val="Texttable11"/>
        <w:tblW w:w="0" w:type="auto"/>
        <w:tblInd w:w="709" w:type="dxa"/>
        <w:tblLook w:val="04A0" w:firstRow="1" w:lastRow="0" w:firstColumn="1" w:lastColumn="0" w:noHBand="0" w:noVBand="1"/>
        <w:tblCaption w:val="How to use this report"/>
        <w:tblDescription w:val="This table lists the parts of the report. Part 1 Introduces the Department of Social Services with a description of the department and the portfolio. Part 2 presents the Annual Performance Statement. Part 3 provides the annual report on the operation of the National Redress Scheme. Part 4 details management and accountability process, including corporate governance, external scruitiny, human resources, and a review of financial management for the past year. Part 5 presents the Financial Statements. Part 6 provides additional information including an index of requriements and where to find information in this report"/>
      </w:tblPr>
      <w:tblGrid>
        <w:gridCol w:w="1276"/>
        <w:gridCol w:w="7654"/>
      </w:tblGrid>
      <w:tr w:rsidR="00666703" w:rsidRPr="00666703" w14:paraId="58F1CB42" w14:textId="77777777" w:rsidTr="007E5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0" w:type="dxa"/>
            <w:gridSpan w:val="2"/>
            <w:vAlign w:val="center"/>
          </w:tcPr>
          <w:p w14:paraId="1A80C427" w14:textId="7699678E" w:rsidR="00666703" w:rsidRPr="008231E6" w:rsidRDefault="00666703" w:rsidP="007E5275">
            <w:pPr>
              <w:pStyle w:val="Heading4"/>
              <w:spacing w:before="120" w:beforeAutospacing="0" w:after="120" w:afterAutospacing="0"/>
              <w:ind w:left="720" w:right="2552" w:firstLine="720"/>
              <w:outlineLvl w:val="3"/>
              <w:rPr>
                <w:b/>
                <w:color w:val="auto"/>
              </w:rPr>
            </w:pPr>
          </w:p>
        </w:tc>
      </w:tr>
      <w:tr w:rsidR="00666703" w:rsidRPr="00666703" w14:paraId="4E8BC94F" w14:textId="77777777" w:rsidTr="007E5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DC2717B" w14:textId="6293F747" w:rsidR="00666703" w:rsidRPr="007E5275" w:rsidRDefault="00666703" w:rsidP="007E5275">
            <w:pPr>
              <w:pStyle w:val="Heading3"/>
              <w:spacing w:before="120" w:after="120" w:line="240" w:lineRule="auto"/>
              <w:outlineLvl w:val="2"/>
              <w:rPr>
                <w:rFonts w:ascii="Georgia" w:hAnsi="Georgia" w:cs="Arial"/>
                <w:sz w:val="36"/>
                <w:szCs w:val="36"/>
              </w:rPr>
            </w:pPr>
            <w:r w:rsidRPr="007E5275">
              <w:rPr>
                <w:rFonts w:ascii="Georgia" w:hAnsi="Georgia" w:cs="Arial"/>
                <w:sz w:val="36"/>
                <w:szCs w:val="36"/>
              </w:rPr>
              <w:t>Part 1</w:t>
            </w:r>
          </w:p>
        </w:tc>
        <w:tc>
          <w:tcPr>
            <w:tcW w:w="7654" w:type="dxa"/>
            <w:vAlign w:val="center"/>
          </w:tcPr>
          <w:p w14:paraId="47882F4F" w14:textId="3747CB69" w:rsidR="00666703" w:rsidRPr="00666703" w:rsidRDefault="00666703" w:rsidP="007E5275">
            <w:pPr>
              <w:tabs>
                <w:tab w:val="left" w:pos="0"/>
              </w:tabs>
              <w:spacing w:before="120" w:after="120"/>
              <w:ind w:right="706"/>
              <w:cnfStyle w:val="000000100000" w:firstRow="0" w:lastRow="0" w:firstColumn="0" w:lastColumn="0" w:oddVBand="0" w:evenVBand="0" w:oddHBand="1" w:evenHBand="0" w:firstRowFirstColumn="0" w:firstRowLastColumn="0" w:lastRowFirstColumn="0" w:lastRowLastColumn="0"/>
              <w:rPr>
                <w:sz w:val="20"/>
                <w:szCs w:val="20"/>
              </w:rPr>
            </w:pPr>
            <w:r w:rsidRPr="00666703">
              <w:rPr>
                <w:sz w:val="20"/>
                <w:szCs w:val="20"/>
              </w:rPr>
              <w:t>Introduces the Department of Social Ser</w:t>
            </w:r>
            <w:r w:rsidR="007E5275">
              <w:rPr>
                <w:sz w:val="20"/>
                <w:szCs w:val="20"/>
              </w:rPr>
              <w:t xml:space="preserve">vices with a description of our </w:t>
            </w:r>
            <w:r w:rsidRPr="00666703">
              <w:rPr>
                <w:sz w:val="20"/>
                <w:szCs w:val="20"/>
              </w:rPr>
              <w:t>department and the portfolio.</w:t>
            </w:r>
          </w:p>
        </w:tc>
      </w:tr>
      <w:tr w:rsidR="00666703" w:rsidRPr="00666703" w14:paraId="20D27141" w14:textId="77777777" w:rsidTr="007E5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F0F7A91" w14:textId="038EFB79" w:rsidR="00666703" w:rsidRPr="007E5275" w:rsidRDefault="00666703" w:rsidP="007E5275">
            <w:pPr>
              <w:pStyle w:val="Heading3"/>
              <w:spacing w:before="120" w:after="120" w:line="240" w:lineRule="auto"/>
              <w:outlineLvl w:val="2"/>
              <w:rPr>
                <w:rFonts w:ascii="Georgia" w:hAnsi="Georgia" w:cs="Arial"/>
                <w:sz w:val="36"/>
                <w:szCs w:val="36"/>
              </w:rPr>
            </w:pPr>
            <w:r w:rsidRPr="007E5275">
              <w:rPr>
                <w:rFonts w:ascii="Georgia" w:hAnsi="Georgia" w:cs="Arial"/>
                <w:sz w:val="36"/>
                <w:szCs w:val="36"/>
              </w:rPr>
              <w:t>Part 2</w:t>
            </w:r>
          </w:p>
        </w:tc>
        <w:tc>
          <w:tcPr>
            <w:tcW w:w="7654" w:type="dxa"/>
            <w:vAlign w:val="center"/>
          </w:tcPr>
          <w:p w14:paraId="1FDDF37B" w14:textId="7E334BF2" w:rsidR="00666703" w:rsidRPr="00666703" w:rsidRDefault="00666703" w:rsidP="007E5275">
            <w:pPr>
              <w:tabs>
                <w:tab w:val="left" w:pos="0"/>
              </w:tabs>
              <w:spacing w:before="120" w:after="120"/>
              <w:ind w:right="706"/>
              <w:cnfStyle w:val="000000010000" w:firstRow="0" w:lastRow="0" w:firstColumn="0" w:lastColumn="0" w:oddVBand="0" w:evenVBand="0" w:oddHBand="0" w:evenHBand="1" w:firstRowFirstColumn="0" w:firstRowLastColumn="0" w:lastRowFirstColumn="0" w:lastRowLastColumn="0"/>
              <w:rPr>
                <w:sz w:val="20"/>
                <w:szCs w:val="20"/>
              </w:rPr>
            </w:pPr>
            <w:r w:rsidRPr="00666703">
              <w:rPr>
                <w:sz w:val="20"/>
                <w:szCs w:val="20"/>
              </w:rPr>
              <w:t>Presents our annual performance statement for 2019–20.</w:t>
            </w:r>
          </w:p>
        </w:tc>
      </w:tr>
      <w:tr w:rsidR="00666703" w:rsidRPr="00666703" w14:paraId="596E274C" w14:textId="77777777" w:rsidTr="007E5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44F8D99" w14:textId="2523E8F3" w:rsidR="00666703" w:rsidRPr="007E5275" w:rsidRDefault="00666703" w:rsidP="007E5275">
            <w:pPr>
              <w:pStyle w:val="Heading3"/>
              <w:spacing w:before="120" w:after="120" w:line="240" w:lineRule="auto"/>
              <w:outlineLvl w:val="2"/>
              <w:rPr>
                <w:rFonts w:ascii="Georgia" w:hAnsi="Georgia" w:cs="Arial"/>
                <w:sz w:val="36"/>
                <w:szCs w:val="36"/>
              </w:rPr>
            </w:pPr>
            <w:r w:rsidRPr="007E5275">
              <w:rPr>
                <w:rFonts w:ascii="Georgia" w:hAnsi="Georgia" w:cs="Arial"/>
                <w:sz w:val="36"/>
                <w:szCs w:val="36"/>
              </w:rPr>
              <w:t>Part 3</w:t>
            </w:r>
          </w:p>
        </w:tc>
        <w:tc>
          <w:tcPr>
            <w:tcW w:w="7654" w:type="dxa"/>
            <w:vAlign w:val="center"/>
          </w:tcPr>
          <w:p w14:paraId="3AF80F42" w14:textId="24F1C407" w:rsidR="00666703" w:rsidRPr="00666703" w:rsidRDefault="00666703" w:rsidP="007E5275">
            <w:pPr>
              <w:tabs>
                <w:tab w:val="left" w:pos="0"/>
              </w:tabs>
              <w:spacing w:before="120" w:after="120"/>
              <w:ind w:right="706"/>
              <w:cnfStyle w:val="000000100000" w:firstRow="0" w:lastRow="0" w:firstColumn="0" w:lastColumn="0" w:oddVBand="0" w:evenVBand="0" w:oddHBand="1" w:evenHBand="0" w:firstRowFirstColumn="0" w:firstRowLastColumn="0" w:lastRowFirstColumn="0" w:lastRowLastColumn="0"/>
              <w:rPr>
                <w:b/>
                <w:bCs/>
                <w:sz w:val="20"/>
                <w:szCs w:val="20"/>
              </w:rPr>
            </w:pPr>
            <w:r w:rsidRPr="00666703">
              <w:rPr>
                <w:sz w:val="20"/>
                <w:szCs w:val="20"/>
              </w:rPr>
              <w:t xml:space="preserve">Provides the annual report on the operation of the National Redress Scheme consistent with the requirements of section 187f of the </w:t>
            </w:r>
            <w:r w:rsidRPr="00672EAB">
              <w:rPr>
                <w:i/>
                <w:sz w:val="20"/>
                <w:szCs w:val="20"/>
              </w:rPr>
              <w:t>National Redress Scheme for Institutional Child Sexual Abuse Act 2018</w:t>
            </w:r>
            <w:r w:rsidRPr="00666703">
              <w:rPr>
                <w:sz w:val="20"/>
                <w:szCs w:val="20"/>
              </w:rPr>
              <w:t>.</w:t>
            </w:r>
          </w:p>
        </w:tc>
      </w:tr>
      <w:tr w:rsidR="00666703" w:rsidRPr="00666703" w14:paraId="10DEAE15" w14:textId="77777777" w:rsidTr="007E5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1E68405" w14:textId="0CF094C7" w:rsidR="00666703" w:rsidRPr="007E5275" w:rsidRDefault="00666703" w:rsidP="007E5275">
            <w:pPr>
              <w:pStyle w:val="Heading3"/>
              <w:spacing w:before="120" w:after="120" w:line="240" w:lineRule="auto"/>
              <w:outlineLvl w:val="2"/>
              <w:rPr>
                <w:rFonts w:ascii="Georgia" w:hAnsi="Georgia" w:cs="Arial"/>
                <w:sz w:val="36"/>
                <w:szCs w:val="36"/>
              </w:rPr>
            </w:pPr>
            <w:r w:rsidRPr="007E5275">
              <w:rPr>
                <w:rFonts w:ascii="Georgia" w:hAnsi="Georgia" w:cs="Arial"/>
                <w:sz w:val="36"/>
                <w:szCs w:val="36"/>
              </w:rPr>
              <w:t>Part 4</w:t>
            </w:r>
          </w:p>
        </w:tc>
        <w:tc>
          <w:tcPr>
            <w:tcW w:w="7654" w:type="dxa"/>
            <w:vAlign w:val="center"/>
          </w:tcPr>
          <w:p w14:paraId="3363A5DC" w14:textId="1B148524" w:rsidR="00666703" w:rsidRPr="00666703" w:rsidRDefault="00666703" w:rsidP="007E5275">
            <w:pPr>
              <w:tabs>
                <w:tab w:val="left" w:pos="0"/>
              </w:tabs>
              <w:spacing w:before="120" w:after="120"/>
              <w:ind w:right="706"/>
              <w:cnfStyle w:val="000000010000" w:firstRow="0" w:lastRow="0" w:firstColumn="0" w:lastColumn="0" w:oddVBand="0" w:evenVBand="0" w:oddHBand="0" w:evenHBand="1" w:firstRowFirstColumn="0" w:firstRowLastColumn="0" w:lastRowFirstColumn="0" w:lastRowLastColumn="0"/>
              <w:rPr>
                <w:b/>
                <w:bCs/>
                <w:sz w:val="20"/>
                <w:szCs w:val="20"/>
              </w:rPr>
            </w:pPr>
            <w:r w:rsidRPr="00666703">
              <w:rPr>
                <w:sz w:val="20"/>
                <w:szCs w:val="20"/>
              </w:rPr>
              <w:t>Details our management and accountability processes, including corporate governance, external scrutiny, human resources, and a review of financial management for the past year.</w:t>
            </w:r>
          </w:p>
        </w:tc>
      </w:tr>
      <w:tr w:rsidR="00666703" w:rsidRPr="00666703" w14:paraId="4F21E972" w14:textId="77777777" w:rsidTr="007E5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9C92835" w14:textId="24F430EF" w:rsidR="00666703" w:rsidRPr="007E5275" w:rsidRDefault="00666703" w:rsidP="007E5275">
            <w:pPr>
              <w:pStyle w:val="Heading3"/>
              <w:spacing w:before="120" w:after="120" w:line="240" w:lineRule="auto"/>
              <w:outlineLvl w:val="2"/>
              <w:rPr>
                <w:rFonts w:ascii="Georgia" w:hAnsi="Georgia" w:cs="Arial"/>
                <w:sz w:val="36"/>
                <w:szCs w:val="36"/>
              </w:rPr>
            </w:pPr>
            <w:r w:rsidRPr="007E5275">
              <w:rPr>
                <w:rFonts w:ascii="Georgia" w:hAnsi="Georgia" w:cs="Arial"/>
                <w:sz w:val="36"/>
                <w:szCs w:val="36"/>
              </w:rPr>
              <w:t>Part 5</w:t>
            </w:r>
          </w:p>
        </w:tc>
        <w:tc>
          <w:tcPr>
            <w:tcW w:w="7654" w:type="dxa"/>
            <w:vAlign w:val="center"/>
          </w:tcPr>
          <w:p w14:paraId="45184528" w14:textId="7367A253" w:rsidR="00666703" w:rsidRPr="00666703" w:rsidRDefault="00666703" w:rsidP="007E5275">
            <w:pPr>
              <w:tabs>
                <w:tab w:val="left" w:pos="0"/>
              </w:tabs>
              <w:spacing w:before="120" w:after="120"/>
              <w:ind w:right="706"/>
              <w:cnfStyle w:val="000000100000" w:firstRow="0" w:lastRow="0" w:firstColumn="0" w:lastColumn="0" w:oddVBand="0" w:evenVBand="0" w:oddHBand="1" w:evenHBand="0" w:firstRowFirstColumn="0" w:firstRowLastColumn="0" w:lastRowFirstColumn="0" w:lastRowLastColumn="0"/>
              <w:rPr>
                <w:b/>
                <w:bCs/>
                <w:sz w:val="20"/>
                <w:szCs w:val="20"/>
              </w:rPr>
            </w:pPr>
            <w:r w:rsidRPr="00666703">
              <w:rPr>
                <w:sz w:val="20"/>
                <w:szCs w:val="20"/>
              </w:rPr>
              <w:t>Presents our audited financial statements for 2019–20.</w:t>
            </w:r>
          </w:p>
        </w:tc>
      </w:tr>
      <w:tr w:rsidR="00666703" w:rsidRPr="00666703" w14:paraId="30C252A9" w14:textId="77777777" w:rsidTr="007E52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305930D" w14:textId="760F874A" w:rsidR="00666703" w:rsidRPr="007E5275" w:rsidRDefault="00666703" w:rsidP="007E5275">
            <w:pPr>
              <w:pStyle w:val="Heading3"/>
              <w:spacing w:before="120" w:after="120" w:line="240" w:lineRule="auto"/>
              <w:outlineLvl w:val="2"/>
              <w:rPr>
                <w:rFonts w:ascii="Georgia" w:hAnsi="Georgia" w:cs="Arial"/>
                <w:sz w:val="36"/>
                <w:szCs w:val="36"/>
              </w:rPr>
            </w:pPr>
            <w:r w:rsidRPr="007E5275">
              <w:rPr>
                <w:rFonts w:ascii="Georgia" w:hAnsi="Georgia" w:cs="Arial"/>
                <w:sz w:val="36"/>
                <w:szCs w:val="36"/>
              </w:rPr>
              <w:t>Part 6</w:t>
            </w:r>
          </w:p>
        </w:tc>
        <w:tc>
          <w:tcPr>
            <w:tcW w:w="7654" w:type="dxa"/>
            <w:vAlign w:val="center"/>
          </w:tcPr>
          <w:p w14:paraId="67E7555A" w14:textId="437B3D30" w:rsidR="00666703" w:rsidRPr="00666703" w:rsidRDefault="00666703" w:rsidP="007E5275">
            <w:pPr>
              <w:tabs>
                <w:tab w:val="left" w:pos="0"/>
              </w:tabs>
              <w:spacing w:before="120" w:after="120"/>
              <w:ind w:right="706"/>
              <w:cnfStyle w:val="000000010000" w:firstRow="0" w:lastRow="0" w:firstColumn="0" w:lastColumn="0" w:oddVBand="0" w:evenVBand="0" w:oddHBand="0" w:evenHBand="1" w:firstRowFirstColumn="0" w:firstRowLastColumn="0" w:lastRowFirstColumn="0" w:lastRowLastColumn="0"/>
              <w:rPr>
                <w:b/>
                <w:bCs/>
                <w:sz w:val="20"/>
                <w:szCs w:val="20"/>
              </w:rPr>
            </w:pPr>
            <w:r w:rsidRPr="00666703">
              <w:rPr>
                <w:sz w:val="20"/>
                <w:szCs w:val="20"/>
              </w:rPr>
              <w:t>Provides additional information including an index of requirements and where to find this information in the report.</w:t>
            </w:r>
          </w:p>
        </w:tc>
      </w:tr>
    </w:tbl>
    <w:p w14:paraId="0B8B8FE5" w14:textId="77777777" w:rsidR="002239EC" w:rsidRDefault="002239EC" w:rsidP="002239EC">
      <w:pPr>
        <w:pStyle w:val="Heading3"/>
        <w:rPr>
          <w:rFonts w:cs="Arial"/>
          <w:b w:val="0"/>
          <w:sz w:val="52"/>
          <w:szCs w:val="52"/>
        </w:rPr>
        <w:sectPr w:rsidR="002239EC" w:rsidSect="002239EC">
          <w:pgSz w:w="11906" w:h="16838"/>
          <w:pgMar w:top="709" w:right="992" w:bottom="992" w:left="709" w:header="709" w:footer="709" w:gutter="0"/>
          <w:pgNumType w:fmt="lowerRoman" w:start="1"/>
          <w:cols w:space="708"/>
          <w:docGrid w:linePitch="360"/>
        </w:sectPr>
      </w:pPr>
    </w:p>
    <w:p w14:paraId="041BEA8F" w14:textId="77777777" w:rsidR="002239EC" w:rsidRDefault="002239EC" w:rsidP="002239EC">
      <w:pPr>
        <w:pBdr>
          <w:bottom w:val="single" w:sz="48" w:space="0" w:color="404040" w:themeColor="text1" w:themeTint="BF"/>
        </w:pBdr>
        <w:tabs>
          <w:tab w:val="right" w:pos="8364"/>
        </w:tabs>
        <w:spacing w:before="60" w:after="60"/>
        <w:ind w:right="567"/>
        <w:rPr>
          <w:rFonts w:cs="Arial"/>
          <w:sz w:val="44"/>
          <w:szCs w:val="44"/>
        </w:rPr>
      </w:pPr>
      <w:r w:rsidRPr="00387BDE">
        <w:rPr>
          <w:rFonts w:ascii="Georgia" w:hAnsi="Georgia" w:cs="Georgia"/>
          <w:color w:val="215868" w:themeColor="accent5" w:themeShade="80"/>
          <w:sz w:val="80"/>
          <w:szCs w:val="80"/>
        </w:rPr>
        <w:lastRenderedPageBreak/>
        <w:t>Contents</w:t>
      </w:r>
      <w:r w:rsidRPr="00B87905" w:rsidDel="00DD68FB">
        <w:rPr>
          <w:rFonts w:cs="Arial"/>
          <w:sz w:val="44"/>
          <w:szCs w:val="44"/>
        </w:rPr>
        <w:t xml:space="preserve"> </w:t>
      </w:r>
    </w:p>
    <w:p w14:paraId="3E02236D" w14:textId="77777777" w:rsidR="002239EC" w:rsidRDefault="002239EC" w:rsidP="002239EC">
      <w:pPr>
        <w:autoSpaceDE w:val="0"/>
        <w:autoSpaceDN w:val="0"/>
        <w:adjustRightInd w:val="0"/>
        <w:spacing w:after="0" w:line="240" w:lineRule="auto"/>
        <w:rPr>
          <w:rFonts w:cs="Arial"/>
          <w:sz w:val="44"/>
          <w:szCs w:val="44"/>
        </w:rPr>
      </w:pPr>
    </w:p>
    <w:p w14:paraId="7315DE44" w14:textId="3C076B80" w:rsidR="002239EC" w:rsidRPr="001211FE" w:rsidRDefault="002239EC" w:rsidP="002239EC">
      <w:pPr>
        <w:tabs>
          <w:tab w:val="left" w:pos="7938"/>
        </w:tabs>
        <w:autoSpaceDE w:val="0"/>
        <w:autoSpaceDN w:val="0"/>
        <w:adjustRightInd w:val="0"/>
        <w:spacing w:after="0" w:line="240" w:lineRule="auto"/>
        <w:rPr>
          <w:rFonts w:ascii="HelveticaNeueLTStd-Lt" w:hAnsi="HelveticaNeueLTStd-Lt" w:cs="HelveticaNeueLTStd-Lt"/>
          <w:b/>
          <w:color w:val="000000"/>
          <w:sz w:val="19"/>
          <w:szCs w:val="19"/>
        </w:rPr>
      </w:pPr>
      <w:r w:rsidRPr="001211FE">
        <w:rPr>
          <w:rFonts w:ascii="HelveticaNeueLTStd-Lt" w:hAnsi="HelveticaNeueLTStd-Lt" w:cs="HelveticaNeueLTStd-Lt"/>
          <w:b/>
          <w:color w:val="000000"/>
          <w:sz w:val="19"/>
          <w:szCs w:val="19"/>
        </w:rPr>
        <w:t>Letter of transmittal</w:t>
      </w:r>
      <w:r w:rsidR="00532B37">
        <w:rPr>
          <w:rFonts w:ascii="HelveticaNeueLTStd-Lt" w:hAnsi="HelveticaNeueLTStd-Lt" w:cs="HelveticaNeueLTStd-Lt"/>
          <w:b/>
          <w:color w:val="000000"/>
          <w:sz w:val="19"/>
          <w:szCs w:val="19"/>
        </w:rPr>
        <w:tab/>
        <w:t>vi</w:t>
      </w:r>
      <w:r w:rsidRPr="001211FE">
        <w:rPr>
          <w:rFonts w:ascii="HelveticaNeueLTStd-Lt" w:hAnsi="HelveticaNeueLTStd-Lt" w:cs="HelveticaNeueLTStd-Lt"/>
          <w:b/>
          <w:color w:val="000000"/>
          <w:sz w:val="19"/>
          <w:szCs w:val="19"/>
        </w:rPr>
        <w:tab/>
      </w:r>
    </w:p>
    <w:p w14:paraId="28FCD675" w14:textId="77777777" w:rsidR="002239EC" w:rsidRPr="001211FE" w:rsidRDefault="002239EC" w:rsidP="002239EC">
      <w:pPr>
        <w:autoSpaceDE w:val="0"/>
        <w:autoSpaceDN w:val="0"/>
        <w:adjustRightInd w:val="0"/>
        <w:spacing w:after="0" w:line="240" w:lineRule="auto"/>
        <w:rPr>
          <w:rFonts w:ascii="HelveticaNeueLTStd-Lt" w:hAnsi="HelveticaNeueLTStd-Lt" w:cs="HelveticaNeueLTStd-Lt"/>
          <w:b/>
          <w:color w:val="000000"/>
          <w:sz w:val="19"/>
          <w:szCs w:val="19"/>
        </w:rPr>
      </w:pPr>
    </w:p>
    <w:p w14:paraId="06BC14CF" w14:textId="7E4E14BE" w:rsidR="002239EC" w:rsidRDefault="002239EC" w:rsidP="002239EC">
      <w:pPr>
        <w:tabs>
          <w:tab w:val="left" w:pos="7938"/>
        </w:tabs>
        <w:autoSpaceDE w:val="0"/>
        <w:autoSpaceDN w:val="0"/>
        <w:adjustRightInd w:val="0"/>
        <w:spacing w:after="0" w:line="240" w:lineRule="auto"/>
        <w:rPr>
          <w:rFonts w:ascii="HelveticaNeueLTStd-Lt" w:hAnsi="HelveticaNeueLTStd-Lt" w:cs="HelveticaNeueLTStd-Lt"/>
          <w:color w:val="000000"/>
          <w:sz w:val="19"/>
          <w:szCs w:val="19"/>
        </w:rPr>
      </w:pPr>
      <w:r w:rsidRPr="001211FE">
        <w:rPr>
          <w:rFonts w:ascii="HelveticaNeueLTStd-Lt" w:hAnsi="HelveticaNeueLTStd-Lt" w:cs="HelveticaNeueLTStd-Lt"/>
          <w:b/>
          <w:color w:val="000000"/>
          <w:sz w:val="19"/>
          <w:szCs w:val="19"/>
        </w:rPr>
        <w:t>Secretary’s review</w:t>
      </w:r>
      <w:r>
        <w:rPr>
          <w:rFonts w:ascii="HelveticaNeueLTStd-Lt" w:hAnsi="HelveticaNeueLTStd-Lt" w:cs="HelveticaNeueLTStd-Lt"/>
          <w:color w:val="000000"/>
          <w:sz w:val="19"/>
          <w:szCs w:val="19"/>
        </w:rPr>
        <w:tab/>
      </w:r>
      <w:r w:rsidR="00532B37">
        <w:rPr>
          <w:rFonts w:ascii="HelveticaNeueLTStd-Lt" w:hAnsi="HelveticaNeueLTStd-Lt" w:cs="HelveticaNeueLTStd-Lt"/>
          <w:color w:val="000000"/>
          <w:sz w:val="19"/>
          <w:szCs w:val="19"/>
        </w:rPr>
        <w:t xml:space="preserve"> </w:t>
      </w:r>
      <w:r w:rsidR="00532B37" w:rsidRPr="00532B37">
        <w:rPr>
          <w:rFonts w:ascii="HelveticaNeueLTStd-Lt" w:hAnsi="HelveticaNeueLTStd-Lt" w:cs="HelveticaNeueLTStd-Lt"/>
          <w:b/>
          <w:color w:val="000000"/>
          <w:sz w:val="19"/>
          <w:szCs w:val="19"/>
        </w:rPr>
        <w:t>1</w:t>
      </w:r>
    </w:p>
    <w:p w14:paraId="7876F58E" w14:textId="77777777" w:rsidR="002239EC" w:rsidRDefault="002239EC" w:rsidP="002239EC">
      <w:pPr>
        <w:tabs>
          <w:tab w:val="left" w:pos="8222"/>
        </w:tabs>
        <w:spacing w:before="60" w:after="60"/>
        <w:ind w:right="567"/>
      </w:pPr>
    </w:p>
    <w:p w14:paraId="4B2F6F96" w14:textId="0FEDF545" w:rsidR="002239EC" w:rsidRPr="00387BDE" w:rsidRDefault="001211FE" w:rsidP="001211FE">
      <w:pPr>
        <w:autoSpaceDE w:val="0"/>
        <w:autoSpaceDN w:val="0"/>
        <w:adjustRightInd w:val="0"/>
        <w:spacing w:before="120" w:after="120" w:line="240" w:lineRule="auto"/>
        <w:rPr>
          <w:rFonts w:ascii="HelveticaNeueLTStd-Bd" w:hAnsi="HelveticaNeueLTStd-Bd" w:cs="HelveticaNeueLTStd-Bd"/>
          <w:color w:val="215868" w:themeColor="accent5" w:themeShade="80"/>
          <w:sz w:val="19"/>
          <w:szCs w:val="19"/>
        </w:rPr>
      </w:pPr>
      <w:r w:rsidRPr="00387BDE">
        <w:rPr>
          <w:rFonts w:ascii="Georgia" w:hAnsi="Georgia" w:cs="Arial"/>
          <w:color w:val="215868" w:themeColor="accent5" w:themeShade="80"/>
          <w:sz w:val="36"/>
          <w:szCs w:val="36"/>
        </w:rPr>
        <w:t>Part 1</w:t>
      </w:r>
    </w:p>
    <w:p w14:paraId="15026942" w14:textId="6D8E79B3" w:rsidR="002239EC" w:rsidRPr="00665647" w:rsidRDefault="002239EC" w:rsidP="001211FE">
      <w:pPr>
        <w:tabs>
          <w:tab w:val="left" w:pos="7938"/>
        </w:tabs>
        <w:autoSpaceDE w:val="0"/>
        <w:autoSpaceDN w:val="0"/>
        <w:adjustRightInd w:val="0"/>
        <w:spacing w:before="120" w:after="120" w:line="240" w:lineRule="auto"/>
        <w:rPr>
          <w:rFonts w:ascii="HelveticaNeueLTStd-Bd" w:hAnsi="HelveticaNeueLTStd-Bd" w:cs="HelveticaNeueLTStd-Bd"/>
          <w:b/>
          <w:sz w:val="19"/>
          <w:szCs w:val="19"/>
        </w:rPr>
      </w:pPr>
      <w:r w:rsidRPr="00665647">
        <w:rPr>
          <w:rFonts w:ascii="HelveticaNeueLTStd-Bd" w:hAnsi="HelveticaNeueLTStd-Bd" w:cs="HelveticaNeueLTStd-Bd"/>
          <w:b/>
          <w:sz w:val="19"/>
          <w:szCs w:val="19"/>
        </w:rPr>
        <w:t>Part 1</w:t>
      </w:r>
      <w:r w:rsidR="007D225C" w:rsidRPr="00665647">
        <w:rPr>
          <w:rFonts w:ascii="HelveticaNeueLTStd-Bd" w:hAnsi="HelveticaNeueLTStd-Bd" w:cs="HelveticaNeueLTStd-Bd"/>
          <w:b/>
          <w:sz w:val="19"/>
          <w:szCs w:val="19"/>
        </w:rPr>
        <w:t xml:space="preserve"> </w:t>
      </w:r>
      <w:r w:rsidRPr="00665647">
        <w:rPr>
          <w:rFonts w:ascii="HelveticaNeueLTStd-Bd" w:hAnsi="HelveticaNeueLTStd-Bd" w:cs="HelveticaNeueLTStd-Bd"/>
          <w:b/>
          <w:sz w:val="19"/>
          <w:szCs w:val="19"/>
        </w:rPr>
        <w:t>—</w:t>
      </w:r>
      <w:r w:rsidR="007D225C" w:rsidRPr="00665647">
        <w:rPr>
          <w:rFonts w:ascii="HelveticaNeueLTStd-Bd" w:hAnsi="HelveticaNeueLTStd-Bd" w:cs="HelveticaNeueLTStd-Bd"/>
          <w:b/>
          <w:sz w:val="19"/>
          <w:szCs w:val="19"/>
        </w:rPr>
        <w:t xml:space="preserve"> </w:t>
      </w:r>
      <w:r w:rsidR="001211FE" w:rsidRPr="00665647">
        <w:rPr>
          <w:rFonts w:ascii="HelveticaNeueLTStd-Bd" w:hAnsi="HelveticaNeueLTStd-Bd" w:cs="HelveticaNeueLTStd-Bd"/>
          <w:b/>
          <w:sz w:val="19"/>
          <w:szCs w:val="19"/>
        </w:rPr>
        <w:t>Overview</w:t>
      </w:r>
      <w:r w:rsidR="00532B37" w:rsidRPr="00665647">
        <w:rPr>
          <w:rFonts w:ascii="HelveticaNeueLTStd-Bd" w:hAnsi="HelveticaNeueLTStd-Bd" w:cs="HelveticaNeueLTStd-Bd"/>
          <w:b/>
          <w:sz w:val="19"/>
          <w:szCs w:val="19"/>
        </w:rPr>
        <w:tab/>
        <w:t xml:space="preserve"> 4</w:t>
      </w:r>
      <w:r w:rsidR="001211FE" w:rsidRPr="00665647">
        <w:rPr>
          <w:rFonts w:ascii="HelveticaNeueLTStd-Bd" w:hAnsi="HelveticaNeueLTStd-Bd" w:cs="HelveticaNeueLTStd-Bd"/>
          <w:b/>
          <w:sz w:val="19"/>
          <w:szCs w:val="19"/>
        </w:rPr>
        <w:tab/>
      </w:r>
    </w:p>
    <w:p w14:paraId="6CC161CE" w14:textId="2580D178" w:rsidR="002239EC" w:rsidRPr="001211FE" w:rsidRDefault="001211FE"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Pr>
          <w:rFonts w:ascii="HelveticaNeueLTStd-Lt" w:hAnsi="HelveticaNeueLTStd-Lt" w:cs="HelveticaNeueLTStd-Lt"/>
          <w:sz w:val="19"/>
          <w:szCs w:val="19"/>
        </w:rPr>
        <w:t>Chapter 1.1 Our department</w:t>
      </w:r>
      <w:r w:rsidR="00532B37">
        <w:rPr>
          <w:rFonts w:ascii="HelveticaNeueLTStd-Lt" w:hAnsi="HelveticaNeueLTStd-Lt" w:cs="HelveticaNeueLTStd-Lt"/>
          <w:sz w:val="19"/>
          <w:szCs w:val="19"/>
        </w:rPr>
        <w:tab/>
        <w:t xml:space="preserve"> 5</w:t>
      </w:r>
      <w:r>
        <w:rPr>
          <w:rFonts w:ascii="HelveticaNeueLTStd-Lt" w:hAnsi="HelveticaNeueLTStd-Lt" w:cs="HelveticaNeueLTStd-Lt"/>
          <w:sz w:val="19"/>
          <w:szCs w:val="19"/>
        </w:rPr>
        <w:tab/>
      </w:r>
    </w:p>
    <w:p w14:paraId="04EC38FD" w14:textId="764952AA" w:rsidR="002239EC" w:rsidRPr="001211FE" w:rsidRDefault="001211FE"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Pr>
          <w:rFonts w:ascii="HelveticaNeueLTStd-Lt" w:hAnsi="HelveticaNeueLTStd-Lt" w:cs="HelveticaNeueLTStd-Lt"/>
          <w:sz w:val="19"/>
          <w:szCs w:val="19"/>
        </w:rPr>
        <w:t>Chapter 1.2 The portfolio</w:t>
      </w:r>
      <w:r w:rsidR="00532B37">
        <w:rPr>
          <w:rFonts w:ascii="HelveticaNeueLTStd-Lt" w:hAnsi="HelveticaNeueLTStd-Lt" w:cs="HelveticaNeueLTStd-Lt"/>
          <w:sz w:val="19"/>
          <w:szCs w:val="19"/>
        </w:rPr>
        <w:tab/>
        <w:t>10</w:t>
      </w:r>
      <w:r>
        <w:rPr>
          <w:rFonts w:ascii="HelveticaNeueLTStd-Lt" w:hAnsi="HelveticaNeueLTStd-Lt" w:cs="HelveticaNeueLTStd-Lt"/>
          <w:sz w:val="19"/>
          <w:szCs w:val="19"/>
        </w:rPr>
        <w:tab/>
      </w:r>
    </w:p>
    <w:p w14:paraId="38475BBE" w14:textId="77777777" w:rsidR="001211FE" w:rsidRDefault="001211FE" w:rsidP="001211FE">
      <w:pPr>
        <w:autoSpaceDE w:val="0"/>
        <w:autoSpaceDN w:val="0"/>
        <w:adjustRightInd w:val="0"/>
        <w:spacing w:before="120" w:after="120" w:line="240" w:lineRule="auto"/>
        <w:rPr>
          <w:rFonts w:ascii="Georgia" w:hAnsi="Georgia" w:cs="Arial"/>
          <w:sz w:val="36"/>
          <w:szCs w:val="36"/>
        </w:rPr>
      </w:pPr>
    </w:p>
    <w:p w14:paraId="07D6A895" w14:textId="48D1EB94" w:rsidR="002239EC" w:rsidRPr="00387BDE" w:rsidRDefault="001211FE" w:rsidP="001211FE">
      <w:pPr>
        <w:autoSpaceDE w:val="0"/>
        <w:autoSpaceDN w:val="0"/>
        <w:adjustRightInd w:val="0"/>
        <w:spacing w:before="120" w:after="120" w:line="240" w:lineRule="auto"/>
        <w:rPr>
          <w:rFonts w:ascii="HelveticaNeueLTStd-Bd" w:hAnsi="HelveticaNeueLTStd-Bd" w:cs="HelveticaNeueLTStd-Bd"/>
          <w:color w:val="215868" w:themeColor="accent5" w:themeShade="80"/>
          <w:sz w:val="19"/>
          <w:szCs w:val="19"/>
        </w:rPr>
      </w:pPr>
      <w:r w:rsidRPr="00387BDE">
        <w:rPr>
          <w:rFonts w:ascii="Georgia" w:hAnsi="Georgia" w:cs="Arial"/>
          <w:color w:val="215868" w:themeColor="accent5" w:themeShade="80"/>
          <w:sz w:val="36"/>
          <w:szCs w:val="36"/>
        </w:rPr>
        <w:t>Part 2</w:t>
      </w:r>
    </w:p>
    <w:p w14:paraId="267BDC53" w14:textId="6A6EF0CE" w:rsidR="002239EC" w:rsidRPr="00665647" w:rsidRDefault="002239EC" w:rsidP="001211FE">
      <w:pPr>
        <w:tabs>
          <w:tab w:val="left" w:pos="7938"/>
        </w:tabs>
        <w:autoSpaceDE w:val="0"/>
        <w:autoSpaceDN w:val="0"/>
        <w:adjustRightInd w:val="0"/>
        <w:spacing w:before="120" w:after="120" w:line="240" w:lineRule="auto"/>
        <w:rPr>
          <w:rFonts w:ascii="HelveticaNeueLTStd-Bd" w:hAnsi="HelveticaNeueLTStd-Bd" w:cs="HelveticaNeueLTStd-Bd"/>
          <w:b/>
          <w:sz w:val="19"/>
          <w:szCs w:val="19"/>
        </w:rPr>
      </w:pPr>
      <w:r w:rsidRPr="00665647">
        <w:rPr>
          <w:rFonts w:ascii="HelveticaNeueLTStd-Bd" w:hAnsi="HelveticaNeueLTStd-Bd" w:cs="HelveticaNeueLTStd-Bd"/>
          <w:b/>
          <w:sz w:val="19"/>
          <w:szCs w:val="19"/>
        </w:rPr>
        <w:t>Part 2</w:t>
      </w:r>
      <w:r w:rsidR="007D225C" w:rsidRPr="00665647">
        <w:rPr>
          <w:rFonts w:ascii="HelveticaNeueLTStd-Bd" w:hAnsi="HelveticaNeueLTStd-Bd" w:cs="HelveticaNeueLTStd-Bd"/>
          <w:b/>
          <w:sz w:val="19"/>
          <w:szCs w:val="19"/>
        </w:rPr>
        <w:t xml:space="preserve"> </w:t>
      </w:r>
      <w:r w:rsidRPr="00665647">
        <w:rPr>
          <w:rFonts w:ascii="HelveticaNeueLTStd-Bd" w:hAnsi="HelveticaNeueLTStd-Bd" w:cs="HelveticaNeueLTStd-Bd"/>
          <w:b/>
          <w:sz w:val="19"/>
          <w:szCs w:val="19"/>
        </w:rPr>
        <w:t>—</w:t>
      </w:r>
      <w:r w:rsidR="007D225C" w:rsidRPr="00665647">
        <w:rPr>
          <w:rFonts w:ascii="HelveticaNeueLTStd-Bd" w:hAnsi="HelveticaNeueLTStd-Bd" w:cs="HelveticaNeueLTStd-Bd"/>
          <w:b/>
          <w:sz w:val="19"/>
          <w:szCs w:val="19"/>
        </w:rPr>
        <w:t xml:space="preserve"> </w:t>
      </w:r>
      <w:r w:rsidR="001211FE" w:rsidRPr="00665647">
        <w:rPr>
          <w:rFonts w:ascii="HelveticaNeueLTStd-Bd" w:hAnsi="HelveticaNeueLTStd-Bd" w:cs="HelveticaNeueLTStd-Bd"/>
          <w:b/>
          <w:sz w:val="19"/>
          <w:szCs w:val="19"/>
        </w:rPr>
        <w:t>Annual performance statement</w:t>
      </w:r>
      <w:r w:rsidR="00532B37" w:rsidRPr="00665647">
        <w:rPr>
          <w:rFonts w:ascii="HelveticaNeueLTStd-Bd" w:hAnsi="HelveticaNeueLTStd-Bd" w:cs="HelveticaNeueLTStd-Bd"/>
          <w:b/>
          <w:sz w:val="19"/>
          <w:szCs w:val="19"/>
        </w:rPr>
        <w:tab/>
        <w:t>14</w:t>
      </w:r>
      <w:r w:rsidR="001211FE" w:rsidRPr="00665647">
        <w:rPr>
          <w:rFonts w:ascii="HelveticaNeueLTStd-Bd" w:hAnsi="HelveticaNeueLTStd-Bd" w:cs="HelveticaNeueLTStd-Bd"/>
          <w:b/>
          <w:sz w:val="19"/>
          <w:szCs w:val="19"/>
        </w:rPr>
        <w:tab/>
      </w:r>
    </w:p>
    <w:p w14:paraId="7C4997F7" w14:textId="1B180668" w:rsidR="002239EC" w:rsidRPr="001211FE" w:rsidRDefault="002239EC"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sidRPr="001211FE">
        <w:rPr>
          <w:rFonts w:ascii="HelveticaNeueLTStd-Lt" w:hAnsi="HelveticaNeueLTStd-Lt" w:cs="HelveticaNeueLTStd-Lt"/>
          <w:sz w:val="19"/>
          <w:szCs w:val="19"/>
        </w:rPr>
        <w:t>Chapter</w:t>
      </w:r>
      <w:r w:rsidR="001211FE">
        <w:rPr>
          <w:rFonts w:ascii="HelveticaNeueLTStd-Lt" w:hAnsi="HelveticaNeueLTStd-Lt" w:cs="HelveticaNeueLTStd-Lt"/>
          <w:sz w:val="19"/>
          <w:szCs w:val="19"/>
        </w:rPr>
        <w:t xml:space="preserve"> 2.1 Purpose 1 Social Security</w:t>
      </w:r>
      <w:r w:rsidR="00532B37">
        <w:rPr>
          <w:rFonts w:ascii="HelveticaNeueLTStd-Lt" w:hAnsi="HelveticaNeueLTStd-Lt" w:cs="HelveticaNeueLTStd-Lt"/>
          <w:sz w:val="19"/>
          <w:szCs w:val="19"/>
        </w:rPr>
        <w:tab/>
        <w:t>18</w:t>
      </w:r>
      <w:r w:rsidR="001211FE">
        <w:rPr>
          <w:rFonts w:ascii="HelveticaNeueLTStd-Lt" w:hAnsi="HelveticaNeueLTStd-Lt" w:cs="HelveticaNeueLTStd-Lt"/>
          <w:sz w:val="19"/>
          <w:szCs w:val="19"/>
        </w:rPr>
        <w:tab/>
      </w:r>
    </w:p>
    <w:p w14:paraId="7C3E4680" w14:textId="114934F1" w:rsidR="002239EC" w:rsidRPr="001211FE" w:rsidRDefault="002239EC"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sidRPr="001211FE">
        <w:rPr>
          <w:rFonts w:ascii="HelveticaNeueLTStd-Lt" w:hAnsi="HelveticaNeueLTStd-Lt" w:cs="HelveticaNeueLTStd-Lt"/>
          <w:sz w:val="19"/>
          <w:szCs w:val="19"/>
        </w:rPr>
        <w:t>Chapter 2.2 Purp</w:t>
      </w:r>
      <w:r w:rsidR="001211FE">
        <w:rPr>
          <w:rFonts w:ascii="HelveticaNeueLTStd-Lt" w:hAnsi="HelveticaNeueLTStd-Lt" w:cs="HelveticaNeueLTStd-Lt"/>
          <w:sz w:val="19"/>
          <w:szCs w:val="19"/>
        </w:rPr>
        <w:t>ose 2 Families and Communities</w:t>
      </w:r>
      <w:r w:rsidR="00665647">
        <w:rPr>
          <w:rFonts w:ascii="HelveticaNeueLTStd-Lt" w:hAnsi="HelveticaNeueLTStd-Lt" w:cs="HelveticaNeueLTStd-Lt"/>
          <w:sz w:val="19"/>
          <w:szCs w:val="19"/>
        </w:rPr>
        <w:tab/>
        <w:t>47</w:t>
      </w:r>
      <w:r w:rsidR="00532B37">
        <w:rPr>
          <w:rFonts w:ascii="HelveticaNeueLTStd-Lt" w:hAnsi="HelveticaNeueLTStd-Lt" w:cs="HelveticaNeueLTStd-Lt"/>
          <w:sz w:val="19"/>
          <w:szCs w:val="19"/>
        </w:rPr>
        <w:tab/>
      </w:r>
      <w:r w:rsidR="001211FE">
        <w:rPr>
          <w:rFonts w:ascii="HelveticaNeueLTStd-Lt" w:hAnsi="HelveticaNeueLTStd-Lt" w:cs="HelveticaNeueLTStd-Lt"/>
          <w:sz w:val="19"/>
          <w:szCs w:val="19"/>
        </w:rPr>
        <w:tab/>
      </w:r>
    </w:p>
    <w:p w14:paraId="7A17BB8D" w14:textId="2A881297" w:rsidR="002239EC" w:rsidRPr="001211FE" w:rsidRDefault="002239EC"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sidRPr="001211FE">
        <w:rPr>
          <w:rFonts w:ascii="HelveticaNeueLTStd-Lt" w:hAnsi="HelveticaNeueLTStd-Lt" w:cs="HelveticaNeueLTStd-Lt"/>
          <w:sz w:val="19"/>
          <w:szCs w:val="19"/>
        </w:rPr>
        <w:t>Chapter 2.3 P</w:t>
      </w:r>
      <w:r w:rsidR="001211FE">
        <w:rPr>
          <w:rFonts w:ascii="HelveticaNeueLTStd-Lt" w:hAnsi="HelveticaNeueLTStd-Lt" w:cs="HelveticaNeueLTStd-Lt"/>
          <w:sz w:val="19"/>
          <w:szCs w:val="19"/>
        </w:rPr>
        <w:t>urpose 3 Disability and Carers</w:t>
      </w:r>
      <w:r w:rsidR="00665647">
        <w:rPr>
          <w:rFonts w:ascii="HelveticaNeueLTStd-Lt" w:hAnsi="HelveticaNeueLTStd-Lt" w:cs="HelveticaNeueLTStd-Lt"/>
          <w:sz w:val="19"/>
          <w:szCs w:val="19"/>
        </w:rPr>
        <w:tab/>
        <w:t>71</w:t>
      </w:r>
      <w:r w:rsidR="001211FE">
        <w:rPr>
          <w:rFonts w:ascii="HelveticaNeueLTStd-Lt" w:hAnsi="HelveticaNeueLTStd-Lt" w:cs="HelveticaNeueLTStd-Lt"/>
          <w:sz w:val="19"/>
          <w:szCs w:val="19"/>
        </w:rPr>
        <w:tab/>
      </w:r>
    </w:p>
    <w:p w14:paraId="6B7395DD" w14:textId="47741553" w:rsidR="002239EC" w:rsidRPr="001211FE" w:rsidRDefault="001211FE"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Pr>
          <w:rFonts w:ascii="HelveticaNeueLTStd-Lt" w:hAnsi="HelveticaNeueLTStd-Lt" w:cs="HelveticaNeueLTStd-Lt"/>
          <w:sz w:val="19"/>
          <w:szCs w:val="19"/>
        </w:rPr>
        <w:t>Chapter 2.4 Purpose 4 Housing</w:t>
      </w:r>
      <w:r w:rsidR="00665647">
        <w:rPr>
          <w:rFonts w:ascii="HelveticaNeueLTStd-Lt" w:hAnsi="HelveticaNeueLTStd-Lt" w:cs="HelveticaNeueLTStd-Lt"/>
          <w:sz w:val="19"/>
          <w:szCs w:val="19"/>
        </w:rPr>
        <w:tab/>
        <w:t>84</w:t>
      </w:r>
      <w:r>
        <w:rPr>
          <w:rFonts w:ascii="HelveticaNeueLTStd-Lt" w:hAnsi="HelveticaNeueLTStd-Lt" w:cs="HelveticaNeueLTStd-Lt"/>
          <w:sz w:val="19"/>
          <w:szCs w:val="19"/>
        </w:rPr>
        <w:tab/>
      </w:r>
    </w:p>
    <w:p w14:paraId="10A7828F" w14:textId="77777777" w:rsidR="001211FE" w:rsidRDefault="001211FE" w:rsidP="001211FE">
      <w:pPr>
        <w:autoSpaceDE w:val="0"/>
        <w:autoSpaceDN w:val="0"/>
        <w:adjustRightInd w:val="0"/>
        <w:spacing w:before="120" w:after="120" w:line="240" w:lineRule="auto"/>
        <w:rPr>
          <w:rFonts w:ascii="Georgia" w:hAnsi="Georgia" w:cs="Arial"/>
          <w:sz w:val="36"/>
          <w:szCs w:val="36"/>
        </w:rPr>
      </w:pPr>
    </w:p>
    <w:p w14:paraId="2E580FB7" w14:textId="62346F87" w:rsidR="002239EC" w:rsidRPr="00387BDE" w:rsidRDefault="001211FE" w:rsidP="001211FE">
      <w:pPr>
        <w:autoSpaceDE w:val="0"/>
        <w:autoSpaceDN w:val="0"/>
        <w:adjustRightInd w:val="0"/>
        <w:spacing w:before="120" w:after="120" w:line="240" w:lineRule="auto"/>
        <w:rPr>
          <w:rFonts w:ascii="HelveticaNeueLTStd-Bd" w:hAnsi="HelveticaNeueLTStd-Bd" w:cs="HelveticaNeueLTStd-Bd"/>
          <w:color w:val="215868" w:themeColor="accent5" w:themeShade="80"/>
          <w:sz w:val="19"/>
          <w:szCs w:val="19"/>
        </w:rPr>
      </w:pPr>
      <w:r w:rsidRPr="00387BDE">
        <w:rPr>
          <w:rFonts w:ascii="Georgia" w:hAnsi="Georgia" w:cs="Arial"/>
          <w:color w:val="215868" w:themeColor="accent5" w:themeShade="80"/>
          <w:sz w:val="36"/>
          <w:szCs w:val="36"/>
        </w:rPr>
        <w:t>Part 3</w:t>
      </w:r>
    </w:p>
    <w:p w14:paraId="06C61976" w14:textId="67CD5C56" w:rsidR="002239EC" w:rsidRPr="00665647" w:rsidRDefault="002239EC" w:rsidP="001211FE">
      <w:pPr>
        <w:tabs>
          <w:tab w:val="left" w:pos="7938"/>
        </w:tabs>
        <w:autoSpaceDE w:val="0"/>
        <w:autoSpaceDN w:val="0"/>
        <w:adjustRightInd w:val="0"/>
        <w:spacing w:before="120" w:after="120" w:line="240" w:lineRule="auto"/>
        <w:rPr>
          <w:rFonts w:ascii="HelveticaNeueLTStd-Bd" w:hAnsi="HelveticaNeueLTStd-Bd" w:cs="HelveticaNeueLTStd-Bd"/>
          <w:b/>
          <w:sz w:val="19"/>
          <w:szCs w:val="19"/>
        </w:rPr>
      </w:pPr>
      <w:r w:rsidRPr="00665647">
        <w:rPr>
          <w:rFonts w:ascii="HelveticaNeueLTStd-Bd" w:hAnsi="HelveticaNeueLTStd-Bd" w:cs="HelveticaNeueLTStd-Bd"/>
          <w:b/>
          <w:sz w:val="19"/>
          <w:szCs w:val="19"/>
        </w:rPr>
        <w:t>Part 3</w:t>
      </w:r>
      <w:r w:rsidR="007D225C" w:rsidRPr="00665647">
        <w:rPr>
          <w:rFonts w:ascii="HelveticaNeueLTStd-Bd" w:hAnsi="HelveticaNeueLTStd-Bd" w:cs="HelveticaNeueLTStd-Bd"/>
          <w:b/>
          <w:sz w:val="19"/>
          <w:szCs w:val="19"/>
        </w:rPr>
        <w:t xml:space="preserve"> </w:t>
      </w:r>
      <w:r w:rsidRPr="00665647">
        <w:rPr>
          <w:rFonts w:ascii="HelveticaNeueLTStd-Bd" w:hAnsi="HelveticaNeueLTStd-Bd" w:cs="HelveticaNeueLTStd-Bd"/>
          <w:b/>
          <w:sz w:val="19"/>
          <w:szCs w:val="19"/>
        </w:rPr>
        <w:t>—</w:t>
      </w:r>
      <w:r w:rsidR="007D225C" w:rsidRPr="00665647">
        <w:rPr>
          <w:rFonts w:ascii="HelveticaNeueLTStd-Bd" w:hAnsi="HelveticaNeueLTStd-Bd" w:cs="HelveticaNeueLTStd-Bd"/>
          <w:b/>
          <w:sz w:val="19"/>
          <w:szCs w:val="19"/>
        </w:rPr>
        <w:t xml:space="preserve"> </w:t>
      </w:r>
      <w:r w:rsidRPr="00665647">
        <w:rPr>
          <w:rFonts w:ascii="HelveticaNeueLTStd-Bd" w:hAnsi="HelveticaNeueLTStd-Bd" w:cs="HelveticaNeueLTStd-Bd"/>
          <w:b/>
          <w:sz w:val="19"/>
          <w:szCs w:val="19"/>
        </w:rPr>
        <w:t>National Redress Scheme</w:t>
      </w:r>
      <w:r w:rsidR="00665647" w:rsidRPr="00665647">
        <w:rPr>
          <w:rFonts w:ascii="HelveticaNeueLTStd-Bd" w:hAnsi="HelveticaNeueLTStd-Bd" w:cs="HelveticaNeueLTStd-Bd"/>
          <w:b/>
          <w:sz w:val="19"/>
          <w:szCs w:val="19"/>
        </w:rPr>
        <w:tab/>
        <w:t>93</w:t>
      </w:r>
      <w:r w:rsidRPr="00665647">
        <w:rPr>
          <w:rFonts w:ascii="HelveticaNeueLTStd-Bd" w:hAnsi="HelveticaNeueLTStd-Bd" w:cs="HelveticaNeueLTStd-Bd"/>
          <w:b/>
          <w:sz w:val="19"/>
          <w:szCs w:val="19"/>
        </w:rPr>
        <w:tab/>
      </w:r>
    </w:p>
    <w:p w14:paraId="30EA99ED" w14:textId="6587A5C8" w:rsidR="002239EC" w:rsidRPr="001211FE" w:rsidRDefault="002239EC" w:rsidP="001211FE">
      <w:pPr>
        <w:tabs>
          <w:tab w:val="left" w:pos="7938"/>
        </w:tabs>
        <w:spacing w:before="120" w:after="120" w:line="240" w:lineRule="auto"/>
        <w:rPr>
          <w:rFonts w:ascii="HelveticaNeueLTStd-Lt" w:hAnsi="HelveticaNeueLTStd-Lt" w:cs="HelveticaNeueLTStd-Lt"/>
          <w:sz w:val="19"/>
          <w:szCs w:val="19"/>
        </w:rPr>
      </w:pPr>
      <w:r w:rsidRPr="001211FE">
        <w:rPr>
          <w:rFonts w:ascii="HelveticaNeueLTStd-Lt" w:hAnsi="HelveticaNeueLTStd-Lt" w:cs="HelveticaNeueLTStd-Lt"/>
          <w:sz w:val="19"/>
          <w:szCs w:val="19"/>
        </w:rPr>
        <w:t xml:space="preserve">Annual report on </w:t>
      </w:r>
      <w:r w:rsidR="001211FE">
        <w:rPr>
          <w:rFonts w:ascii="HelveticaNeueLTStd-Lt" w:hAnsi="HelveticaNeueLTStd-Lt" w:cs="HelveticaNeueLTStd-Lt"/>
          <w:sz w:val="19"/>
          <w:szCs w:val="19"/>
        </w:rPr>
        <w:t>operation</w:t>
      </w:r>
      <w:r w:rsidR="00EA07B9">
        <w:rPr>
          <w:rFonts w:ascii="HelveticaNeueLTStd-Lt" w:hAnsi="HelveticaNeueLTStd-Lt" w:cs="HelveticaNeueLTStd-Lt"/>
          <w:sz w:val="19"/>
          <w:szCs w:val="19"/>
        </w:rPr>
        <w:t xml:space="preserve"> of the Scheme</w:t>
      </w:r>
      <w:r w:rsidR="001211FE">
        <w:rPr>
          <w:rFonts w:ascii="HelveticaNeueLTStd-Lt" w:hAnsi="HelveticaNeueLTStd-Lt" w:cs="HelveticaNeueLTStd-Lt"/>
          <w:sz w:val="19"/>
          <w:szCs w:val="19"/>
        </w:rPr>
        <w:tab/>
      </w:r>
      <w:r w:rsidR="00665647">
        <w:rPr>
          <w:rFonts w:ascii="HelveticaNeueLTStd-Lt" w:hAnsi="HelveticaNeueLTStd-Lt" w:cs="HelveticaNeueLTStd-Lt"/>
          <w:sz w:val="19"/>
          <w:szCs w:val="19"/>
        </w:rPr>
        <w:t>94</w:t>
      </w:r>
    </w:p>
    <w:p w14:paraId="2995F474" w14:textId="77777777" w:rsidR="001211FE" w:rsidRDefault="001211FE" w:rsidP="001211FE">
      <w:pPr>
        <w:autoSpaceDE w:val="0"/>
        <w:autoSpaceDN w:val="0"/>
        <w:adjustRightInd w:val="0"/>
        <w:spacing w:before="120" w:after="120" w:line="240" w:lineRule="auto"/>
        <w:rPr>
          <w:rFonts w:ascii="Georgia" w:hAnsi="Georgia" w:cs="Arial"/>
          <w:sz w:val="36"/>
          <w:szCs w:val="36"/>
        </w:rPr>
      </w:pPr>
    </w:p>
    <w:p w14:paraId="6A30C472" w14:textId="18DB2137" w:rsidR="002239EC" w:rsidRPr="00387BDE" w:rsidRDefault="001211FE" w:rsidP="001211FE">
      <w:pPr>
        <w:autoSpaceDE w:val="0"/>
        <w:autoSpaceDN w:val="0"/>
        <w:adjustRightInd w:val="0"/>
        <w:spacing w:before="120" w:after="120" w:line="240" w:lineRule="auto"/>
        <w:rPr>
          <w:rFonts w:ascii="HelveticaNeueLTStd-Bd" w:hAnsi="HelveticaNeueLTStd-Bd" w:cs="HelveticaNeueLTStd-Bd"/>
          <w:color w:val="215868" w:themeColor="accent5" w:themeShade="80"/>
          <w:sz w:val="19"/>
          <w:szCs w:val="19"/>
        </w:rPr>
      </w:pPr>
      <w:r w:rsidRPr="00387BDE">
        <w:rPr>
          <w:rFonts w:ascii="Georgia" w:hAnsi="Georgia" w:cs="Arial"/>
          <w:color w:val="215868" w:themeColor="accent5" w:themeShade="80"/>
          <w:sz w:val="36"/>
          <w:szCs w:val="36"/>
        </w:rPr>
        <w:t>Part 4</w:t>
      </w:r>
    </w:p>
    <w:p w14:paraId="06DDDEB7" w14:textId="3DFC6384" w:rsidR="002239EC" w:rsidRPr="00665647" w:rsidRDefault="002239EC"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sidRPr="00665647">
        <w:rPr>
          <w:rFonts w:ascii="HelveticaNeueLTStd-Bd" w:hAnsi="HelveticaNeueLTStd-Bd" w:cs="HelveticaNeueLTStd-Bd"/>
          <w:b/>
          <w:sz w:val="19"/>
          <w:szCs w:val="19"/>
        </w:rPr>
        <w:t>Part 4</w:t>
      </w:r>
      <w:r w:rsidR="007D225C" w:rsidRPr="00665647">
        <w:rPr>
          <w:rFonts w:ascii="HelveticaNeueLTStd-Bd" w:hAnsi="HelveticaNeueLTStd-Bd" w:cs="HelveticaNeueLTStd-Bd"/>
          <w:b/>
          <w:sz w:val="19"/>
          <w:szCs w:val="19"/>
        </w:rPr>
        <w:t xml:space="preserve"> </w:t>
      </w:r>
      <w:r w:rsidRPr="00665647">
        <w:rPr>
          <w:rFonts w:ascii="HelveticaNeueLTStd-Bd" w:hAnsi="HelveticaNeueLTStd-Bd" w:cs="HelveticaNeueLTStd-Bd"/>
          <w:b/>
          <w:sz w:val="19"/>
          <w:szCs w:val="19"/>
        </w:rPr>
        <w:t>—</w:t>
      </w:r>
      <w:r w:rsidR="007D225C" w:rsidRPr="00665647">
        <w:rPr>
          <w:rFonts w:ascii="HelveticaNeueLTStd-Bd" w:hAnsi="HelveticaNeueLTStd-Bd" w:cs="HelveticaNeueLTStd-Bd"/>
          <w:b/>
          <w:sz w:val="19"/>
          <w:szCs w:val="19"/>
        </w:rPr>
        <w:t xml:space="preserve"> </w:t>
      </w:r>
      <w:r w:rsidR="001211FE" w:rsidRPr="00665647">
        <w:rPr>
          <w:rFonts w:ascii="HelveticaNeueLTStd-Bd" w:hAnsi="HelveticaNeueLTStd-Bd" w:cs="HelveticaNeueLTStd-Bd"/>
          <w:b/>
          <w:sz w:val="19"/>
          <w:szCs w:val="19"/>
        </w:rPr>
        <w:t>Management and accountability</w:t>
      </w:r>
      <w:r w:rsidR="00665647">
        <w:rPr>
          <w:rFonts w:ascii="HelveticaNeueLTStd-Lt" w:hAnsi="HelveticaNeueLTStd-Lt" w:cs="HelveticaNeueLTStd-Lt"/>
          <w:sz w:val="19"/>
          <w:szCs w:val="19"/>
        </w:rPr>
        <w:tab/>
      </w:r>
      <w:r w:rsidR="00665647" w:rsidRPr="00665647">
        <w:rPr>
          <w:rFonts w:ascii="HelveticaNeueLTStd-Lt" w:hAnsi="HelveticaNeueLTStd-Lt" w:cs="HelveticaNeueLTStd-Lt"/>
          <w:b/>
          <w:sz w:val="19"/>
          <w:szCs w:val="19"/>
        </w:rPr>
        <w:t>9</w:t>
      </w:r>
      <w:r w:rsidR="00FF6A14">
        <w:rPr>
          <w:rFonts w:ascii="HelveticaNeueLTStd-Lt" w:hAnsi="HelveticaNeueLTStd-Lt" w:cs="HelveticaNeueLTStd-Lt"/>
          <w:b/>
          <w:sz w:val="19"/>
          <w:szCs w:val="19"/>
        </w:rPr>
        <w:t>8</w:t>
      </w:r>
      <w:r w:rsidR="001211FE" w:rsidRPr="00665647">
        <w:rPr>
          <w:rFonts w:ascii="HelveticaNeueLTStd-Lt" w:hAnsi="HelveticaNeueLTStd-Lt" w:cs="HelveticaNeueLTStd-Lt"/>
          <w:sz w:val="19"/>
          <w:szCs w:val="19"/>
        </w:rPr>
        <w:tab/>
      </w:r>
    </w:p>
    <w:p w14:paraId="412491EB" w14:textId="44DFA949" w:rsidR="002239EC" w:rsidRPr="001211FE" w:rsidRDefault="002239EC"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sidRPr="001211FE">
        <w:rPr>
          <w:rFonts w:ascii="HelveticaNeueLTStd-Lt" w:hAnsi="HelveticaNeueLTStd-Lt" w:cs="HelveticaNeueLTStd-Lt"/>
          <w:sz w:val="19"/>
          <w:szCs w:val="19"/>
        </w:rPr>
        <w:t>Ch</w:t>
      </w:r>
      <w:r w:rsidR="001211FE">
        <w:rPr>
          <w:rFonts w:ascii="HelveticaNeueLTStd-Lt" w:hAnsi="HelveticaNeueLTStd-Lt" w:cs="HelveticaNeueLTStd-Lt"/>
          <w:sz w:val="19"/>
          <w:szCs w:val="19"/>
        </w:rPr>
        <w:t>apter 4.1 Governance structure</w:t>
      </w:r>
      <w:r w:rsidR="00665647">
        <w:rPr>
          <w:rFonts w:ascii="HelveticaNeueLTStd-Lt" w:hAnsi="HelveticaNeueLTStd-Lt" w:cs="HelveticaNeueLTStd-Lt"/>
          <w:sz w:val="19"/>
          <w:szCs w:val="19"/>
        </w:rPr>
        <w:tab/>
        <w:t>99</w:t>
      </w:r>
      <w:r w:rsidR="001211FE">
        <w:rPr>
          <w:rFonts w:ascii="HelveticaNeueLTStd-Lt" w:hAnsi="HelveticaNeueLTStd-Lt" w:cs="HelveticaNeueLTStd-Lt"/>
          <w:sz w:val="19"/>
          <w:szCs w:val="19"/>
        </w:rPr>
        <w:tab/>
      </w:r>
    </w:p>
    <w:p w14:paraId="6F334D8C" w14:textId="2AB8D2DD" w:rsidR="002239EC" w:rsidRPr="001211FE" w:rsidRDefault="001211FE"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Pr>
          <w:rFonts w:ascii="HelveticaNeueLTStd-Lt" w:hAnsi="HelveticaNeueLTStd-Lt" w:cs="HelveticaNeueLTStd-Lt"/>
          <w:sz w:val="19"/>
          <w:szCs w:val="19"/>
        </w:rPr>
        <w:t>Chapter 4.2 External scrutiny</w:t>
      </w:r>
      <w:r w:rsidR="00665647">
        <w:rPr>
          <w:rFonts w:ascii="HelveticaNeueLTStd-Lt" w:hAnsi="HelveticaNeueLTStd-Lt" w:cs="HelveticaNeueLTStd-Lt"/>
          <w:sz w:val="19"/>
          <w:szCs w:val="19"/>
        </w:rPr>
        <w:tab/>
        <w:t>106</w:t>
      </w:r>
      <w:r>
        <w:rPr>
          <w:rFonts w:ascii="HelveticaNeueLTStd-Lt" w:hAnsi="HelveticaNeueLTStd-Lt" w:cs="HelveticaNeueLTStd-Lt"/>
          <w:sz w:val="19"/>
          <w:szCs w:val="19"/>
        </w:rPr>
        <w:tab/>
      </w:r>
    </w:p>
    <w:p w14:paraId="2481D349" w14:textId="41EA06D5" w:rsidR="002239EC" w:rsidRPr="001211FE" w:rsidRDefault="002239EC"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sidRPr="001211FE">
        <w:rPr>
          <w:rFonts w:ascii="HelveticaNeueLTStd-Lt" w:hAnsi="HelveticaNeueLTStd-Lt" w:cs="HelveticaNeueLTStd-Lt"/>
          <w:sz w:val="19"/>
          <w:szCs w:val="19"/>
        </w:rPr>
        <w:t>C</w:t>
      </w:r>
      <w:r w:rsidR="001211FE">
        <w:rPr>
          <w:rFonts w:ascii="HelveticaNeueLTStd-Lt" w:hAnsi="HelveticaNeueLTStd-Lt" w:cs="HelveticaNeueLTStd-Lt"/>
          <w:sz w:val="19"/>
          <w:szCs w:val="19"/>
        </w:rPr>
        <w:t>hapter 4.3 Managing our people</w:t>
      </w:r>
      <w:r w:rsidR="00FD6B57">
        <w:rPr>
          <w:rFonts w:ascii="HelveticaNeueLTStd-Lt" w:hAnsi="HelveticaNeueLTStd-Lt" w:cs="HelveticaNeueLTStd-Lt"/>
          <w:sz w:val="19"/>
          <w:szCs w:val="19"/>
        </w:rPr>
        <w:tab/>
        <w:t>110</w:t>
      </w:r>
      <w:r w:rsidR="001211FE">
        <w:rPr>
          <w:rFonts w:ascii="HelveticaNeueLTStd-Lt" w:hAnsi="HelveticaNeueLTStd-Lt" w:cs="HelveticaNeueLTStd-Lt"/>
          <w:sz w:val="19"/>
          <w:szCs w:val="19"/>
        </w:rPr>
        <w:tab/>
      </w:r>
    </w:p>
    <w:p w14:paraId="197E93D4" w14:textId="01835289" w:rsidR="001211FE" w:rsidRPr="008459D9" w:rsidRDefault="002239EC" w:rsidP="008459D9">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sidRPr="001211FE">
        <w:rPr>
          <w:rFonts w:ascii="HelveticaNeueLTStd-Lt" w:hAnsi="HelveticaNeueLTStd-Lt" w:cs="HelveticaNeueLTStd-Lt"/>
          <w:sz w:val="19"/>
          <w:szCs w:val="19"/>
        </w:rPr>
        <w:t>Cha</w:t>
      </w:r>
      <w:r w:rsidR="001211FE">
        <w:rPr>
          <w:rFonts w:ascii="HelveticaNeueLTStd-Lt" w:hAnsi="HelveticaNeueLTStd-Lt" w:cs="HelveticaNeueLTStd-Lt"/>
          <w:sz w:val="19"/>
          <w:szCs w:val="19"/>
        </w:rPr>
        <w:t>pter 4.4 Managing our finances</w:t>
      </w:r>
      <w:r w:rsidR="00FD6B57">
        <w:rPr>
          <w:rFonts w:ascii="HelveticaNeueLTStd-Lt" w:hAnsi="HelveticaNeueLTStd-Lt" w:cs="HelveticaNeueLTStd-Lt"/>
          <w:sz w:val="19"/>
          <w:szCs w:val="19"/>
        </w:rPr>
        <w:tab/>
        <w:t>117</w:t>
      </w:r>
      <w:r w:rsidR="001211FE">
        <w:rPr>
          <w:rFonts w:ascii="HelveticaNeueLTStd-Lt" w:hAnsi="HelveticaNeueLTStd-Lt" w:cs="HelveticaNeueLTStd-Lt"/>
          <w:sz w:val="19"/>
          <w:szCs w:val="19"/>
        </w:rPr>
        <w:tab/>
      </w:r>
    </w:p>
    <w:p w14:paraId="6F036D52" w14:textId="77777777" w:rsidR="008459D9" w:rsidRDefault="008459D9" w:rsidP="001211FE">
      <w:pPr>
        <w:autoSpaceDE w:val="0"/>
        <w:autoSpaceDN w:val="0"/>
        <w:adjustRightInd w:val="0"/>
        <w:spacing w:before="120" w:after="120" w:line="240" w:lineRule="auto"/>
        <w:rPr>
          <w:rFonts w:ascii="Georgia" w:hAnsi="Georgia" w:cs="Arial"/>
          <w:color w:val="92CDDC" w:themeColor="accent5" w:themeTint="99"/>
          <w:sz w:val="36"/>
          <w:szCs w:val="36"/>
        </w:rPr>
      </w:pPr>
    </w:p>
    <w:p w14:paraId="50D53933" w14:textId="084F8DE6" w:rsidR="002239EC" w:rsidRPr="00387BDE" w:rsidRDefault="001211FE" w:rsidP="001211FE">
      <w:pPr>
        <w:autoSpaceDE w:val="0"/>
        <w:autoSpaceDN w:val="0"/>
        <w:adjustRightInd w:val="0"/>
        <w:spacing w:before="120" w:after="120" w:line="240" w:lineRule="auto"/>
        <w:rPr>
          <w:rFonts w:ascii="HelveticaNeueLTStd-Bd" w:hAnsi="HelveticaNeueLTStd-Bd" w:cs="HelveticaNeueLTStd-Bd"/>
          <w:color w:val="215868" w:themeColor="accent5" w:themeShade="80"/>
          <w:sz w:val="19"/>
          <w:szCs w:val="19"/>
        </w:rPr>
      </w:pPr>
      <w:r w:rsidRPr="00387BDE">
        <w:rPr>
          <w:rFonts w:ascii="Georgia" w:hAnsi="Georgia" w:cs="Arial"/>
          <w:color w:val="215868" w:themeColor="accent5" w:themeShade="80"/>
          <w:sz w:val="36"/>
          <w:szCs w:val="36"/>
        </w:rPr>
        <w:t>Part 5</w:t>
      </w:r>
    </w:p>
    <w:p w14:paraId="6471FDD2" w14:textId="1CE62AA4" w:rsidR="002239EC" w:rsidRPr="001211FE" w:rsidRDefault="002239EC" w:rsidP="001211FE">
      <w:pPr>
        <w:tabs>
          <w:tab w:val="left" w:pos="7938"/>
        </w:tabs>
        <w:autoSpaceDE w:val="0"/>
        <w:autoSpaceDN w:val="0"/>
        <w:adjustRightInd w:val="0"/>
        <w:spacing w:before="120" w:after="120" w:line="240" w:lineRule="auto"/>
        <w:rPr>
          <w:rFonts w:ascii="HelveticaNeueLTStd-Bd" w:hAnsi="HelveticaNeueLTStd-Bd" w:cs="HelveticaNeueLTStd-Bd"/>
          <w:sz w:val="19"/>
          <w:szCs w:val="19"/>
        </w:rPr>
      </w:pPr>
      <w:r w:rsidRPr="001211FE">
        <w:rPr>
          <w:rFonts w:ascii="HelveticaNeueLTStd-Bd" w:hAnsi="HelveticaNeueLTStd-Bd" w:cs="HelveticaNeueLTStd-Bd"/>
          <w:sz w:val="19"/>
          <w:szCs w:val="19"/>
        </w:rPr>
        <w:t>Part 5</w:t>
      </w:r>
      <w:r w:rsidR="007D225C" w:rsidRPr="001211FE">
        <w:rPr>
          <w:rFonts w:ascii="HelveticaNeueLTStd-Bd" w:hAnsi="HelveticaNeueLTStd-Bd" w:cs="HelveticaNeueLTStd-Bd"/>
          <w:sz w:val="19"/>
          <w:szCs w:val="19"/>
        </w:rPr>
        <w:t xml:space="preserve"> </w:t>
      </w:r>
      <w:r w:rsidRPr="001211FE">
        <w:rPr>
          <w:rFonts w:ascii="HelveticaNeueLTStd-Bd" w:hAnsi="HelveticaNeueLTStd-Bd" w:cs="HelveticaNeueLTStd-Bd"/>
          <w:sz w:val="19"/>
          <w:szCs w:val="19"/>
        </w:rPr>
        <w:t>—</w:t>
      </w:r>
      <w:r w:rsidR="007D225C" w:rsidRPr="001211FE">
        <w:rPr>
          <w:rFonts w:ascii="HelveticaNeueLTStd-Bd" w:hAnsi="HelveticaNeueLTStd-Bd" w:cs="HelveticaNeueLTStd-Bd"/>
          <w:sz w:val="19"/>
          <w:szCs w:val="19"/>
        </w:rPr>
        <w:t xml:space="preserve"> </w:t>
      </w:r>
      <w:r w:rsidRPr="001211FE">
        <w:rPr>
          <w:rFonts w:ascii="HelveticaNeueLTStd-Bd" w:hAnsi="HelveticaNeueLTStd-Bd" w:cs="HelveticaNeueLTStd-Bd"/>
          <w:sz w:val="19"/>
          <w:szCs w:val="19"/>
        </w:rPr>
        <w:t>Financial statements</w:t>
      </w:r>
      <w:r w:rsidR="00FD6B57">
        <w:rPr>
          <w:rFonts w:ascii="HelveticaNeueLTStd-Bd" w:hAnsi="HelveticaNeueLTStd-Bd" w:cs="HelveticaNeueLTStd-Bd"/>
          <w:sz w:val="19"/>
          <w:szCs w:val="19"/>
        </w:rPr>
        <w:tab/>
      </w:r>
      <w:r w:rsidR="00FD6B57" w:rsidRPr="00FD6B57">
        <w:rPr>
          <w:rFonts w:ascii="HelveticaNeueLTStd-Bd" w:hAnsi="HelveticaNeueLTStd-Bd" w:cs="HelveticaNeueLTStd-Bd"/>
          <w:b/>
          <w:sz w:val="19"/>
          <w:szCs w:val="19"/>
        </w:rPr>
        <w:t>121</w:t>
      </w:r>
      <w:r w:rsidRPr="001211FE">
        <w:rPr>
          <w:rFonts w:ascii="HelveticaNeueLTStd-Bd" w:hAnsi="HelveticaNeueLTStd-Bd" w:cs="HelveticaNeueLTStd-Bd"/>
          <w:sz w:val="19"/>
          <w:szCs w:val="19"/>
        </w:rPr>
        <w:tab/>
      </w:r>
    </w:p>
    <w:p w14:paraId="593554EA" w14:textId="4EA9B0BB" w:rsidR="002239EC" w:rsidRPr="001211FE" w:rsidRDefault="001211FE"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Pr>
          <w:rFonts w:ascii="HelveticaNeueLTStd-Lt" w:hAnsi="HelveticaNeueLTStd-Lt" w:cs="HelveticaNeueLTStd-Lt"/>
          <w:sz w:val="19"/>
          <w:szCs w:val="19"/>
        </w:rPr>
        <w:t>Financial statements</w:t>
      </w:r>
      <w:r>
        <w:rPr>
          <w:rFonts w:ascii="HelveticaNeueLTStd-Lt" w:hAnsi="HelveticaNeueLTStd-Lt" w:cs="HelveticaNeueLTStd-Lt"/>
          <w:sz w:val="19"/>
          <w:szCs w:val="19"/>
        </w:rPr>
        <w:tab/>
      </w:r>
      <w:r w:rsidR="00FD6B57">
        <w:rPr>
          <w:rFonts w:ascii="HelveticaNeueLTStd-Lt" w:hAnsi="HelveticaNeueLTStd-Lt" w:cs="HelveticaNeueLTStd-Lt"/>
          <w:sz w:val="19"/>
          <w:szCs w:val="19"/>
        </w:rPr>
        <w:t>122</w:t>
      </w:r>
    </w:p>
    <w:p w14:paraId="3BD05728" w14:textId="77777777" w:rsidR="005F2276" w:rsidRDefault="005F2276" w:rsidP="001211FE">
      <w:pPr>
        <w:autoSpaceDE w:val="0"/>
        <w:autoSpaceDN w:val="0"/>
        <w:adjustRightInd w:val="0"/>
        <w:spacing w:before="120" w:after="120" w:line="240" w:lineRule="auto"/>
        <w:rPr>
          <w:rFonts w:ascii="Georgia" w:hAnsi="Georgia" w:cs="Arial"/>
          <w:color w:val="215868" w:themeColor="accent5" w:themeShade="80"/>
          <w:sz w:val="36"/>
          <w:szCs w:val="36"/>
        </w:rPr>
        <w:sectPr w:rsidR="005F2276" w:rsidSect="002239EC">
          <w:footerReference w:type="default" r:id="rId19"/>
          <w:pgSz w:w="11906" w:h="16838"/>
          <w:pgMar w:top="709" w:right="992" w:bottom="992" w:left="1134" w:header="709" w:footer="709" w:gutter="0"/>
          <w:pgNumType w:fmt="lowerRoman" w:start="2"/>
          <w:cols w:space="708"/>
          <w:docGrid w:linePitch="360"/>
        </w:sectPr>
      </w:pPr>
    </w:p>
    <w:p w14:paraId="2FD239E2" w14:textId="28B82781" w:rsidR="002239EC" w:rsidRPr="00054A67" w:rsidRDefault="001211FE" w:rsidP="001211FE">
      <w:pPr>
        <w:autoSpaceDE w:val="0"/>
        <w:autoSpaceDN w:val="0"/>
        <w:adjustRightInd w:val="0"/>
        <w:spacing w:before="120" w:after="120" w:line="240" w:lineRule="auto"/>
        <w:rPr>
          <w:rFonts w:ascii="HelveticaNeueLTStd-Bd" w:hAnsi="HelveticaNeueLTStd-Bd" w:cs="HelveticaNeueLTStd-Bd"/>
          <w:color w:val="215868" w:themeColor="accent5" w:themeShade="80"/>
          <w:sz w:val="19"/>
          <w:szCs w:val="19"/>
        </w:rPr>
      </w:pPr>
      <w:r w:rsidRPr="00054A67">
        <w:rPr>
          <w:rFonts w:ascii="Georgia" w:hAnsi="Georgia" w:cs="Arial"/>
          <w:color w:val="215868" w:themeColor="accent5" w:themeShade="80"/>
          <w:sz w:val="36"/>
          <w:szCs w:val="36"/>
        </w:rPr>
        <w:lastRenderedPageBreak/>
        <w:t>Part 6</w:t>
      </w:r>
    </w:p>
    <w:p w14:paraId="2EB9CAC8" w14:textId="3D026A05" w:rsidR="002239EC" w:rsidRPr="00FD6B57" w:rsidRDefault="002239EC" w:rsidP="001211FE">
      <w:pPr>
        <w:tabs>
          <w:tab w:val="left" w:pos="7938"/>
        </w:tabs>
        <w:autoSpaceDE w:val="0"/>
        <w:autoSpaceDN w:val="0"/>
        <w:adjustRightInd w:val="0"/>
        <w:spacing w:before="120" w:after="120" w:line="240" w:lineRule="auto"/>
        <w:rPr>
          <w:rFonts w:ascii="HelveticaNeueLTStd-Lt" w:hAnsi="HelveticaNeueLTStd-Lt" w:cs="HelveticaNeueLTStd-Lt"/>
          <w:b/>
          <w:sz w:val="19"/>
          <w:szCs w:val="19"/>
        </w:rPr>
      </w:pPr>
      <w:r w:rsidRPr="00FD6B57">
        <w:rPr>
          <w:rFonts w:ascii="HelveticaNeueLTStd-Bd" w:hAnsi="HelveticaNeueLTStd-Bd" w:cs="HelveticaNeueLTStd-Bd"/>
          <w:b/>
          <w:sz w:val="19"/>
          <w:szCs w:val="19"/>
        </w:rPr>
        <w:t>Part 6</w:t>
      </w:r>
      <w:r w:rsidR="007D225C" w:rsidRPr="00FD6B57">
        <w:rPr>
          <w:rFonts w:ascii="HelveticaNeueLTStd-Bd" w:hAnsi="HelveticaNeueLTStd-Bd" w:cs="HelveticaNeueLTStd-Bd"/>
          <w:b/>
          <w:sz w:val="19"/>
          <w:szCs w:val="19"/>
        </w:rPr>
        <w:t xml:space="preserve"> </w:t>
      </w:r>
      <w:r w:rsidRPr="00FD6B57">
        <w:rPr>
          <w:rFonts w:ascii="HelveticaNeueLTStd-Bd" w:hAnsi="HelveticaNeueLTStd-Bd" w:cs="HelveticaNeueLTStd-Bd"/>
          <w:b/>
          <w:sz w:val="19"/>
          <w:szCs w:val="19"/>
        </w:rPr>
        <w:t>—</w:t>
      </w:r>
      <w:r w:rsidR="007D225C" w:rsidRPr="00FD6B57">
        <w:rPr>
          <w:rFonts w:ascii="HelveticaNeueLTStd-Bd" w:hAnsi="HelveticaNeueLTStd-Bd" w:cs="HelveticaNeueLTStd-Bd"/>
          <w:b/>
          <w:sz w:val="19"/>
          <w:szCs w:val="19"/>
        </w:rPr>
        <w:t xml:space="preserve"> </w:t>
      </w:r>
      <w:r w:rsidRPr="00FD6B57">
        <w:rPr>
          <w:rFonts w:ascii="HelveticaNeueLTStd-Bd" w:hAnsi="HelveticaNeueLTStd-Bd" w:cs="HelveticaNeueLTStd-Bd"/>
          <w:b/>
          <w:sz w:val="19"/>
          <w:szCs w:val="19"/>
        </w:rPr>
        <w:t>Appendices</w:t>
      </w:r>
      <w:r w:rsidR="00ED09BA">
        <w:rPr>
          <w:rFonts w:ascii="HelveticaNeueLTStd-Bd" w:hAnsi="HelveticaNeueLTStd-Bd" w:cs="HelveticaNeueLTStd-Bd"/>
          <w:b/>
          <w:sz w:val="19"/>
          <w:szCs w:val="19"/>
        </w:rPr>
        <w:tab/>
        <w:t>179</w:t>
      </w:r>
      <w:r w:rsidRPr="00FD6B57">
        <w:rPr>
          <w:rFonts w:ascii="HelveticaNeueLTStd-Bd" w:hAnsi="HelveticaNeueLTStd-Bd" w:cs="HelveticaNeueLTStd-Bd"/>
          <w:b/>
          <w:sz w:val="19"/>
          <w:szCs w:val="19"/>
        </w:rPr>
        <w:tab/>
      </w:r>
    </w:p>
    <w:p w14:paraId="604132D5" w14:textId="7A48C21A" w:rsidR="002239EC" w:rsidRPr="001211FE" w:rsidRDefault="001211FE"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Pr>
          <w:rFonts w:ascii="HelveticaNeueLTStd-Lt" w:hAnsi="HelveticaNeueLTStd-Lt" w:cs="HelveticaNeueLTStd-Lt"/>
          <w:sz w:val="19"/>
          <w:szCs w:val="19"/>
        </w:rPr>
        <w:t>Appendix A Resource statements</w:t>
      </w:r>
      <w:r>
        <w:rPr>
          <w:rFonts w:ascii="HelveticaNeueLTStd-Lt" w:hAnsi="HelveticaNeueLTStd-Lt" w:cs="HelveticaNeueLTStd-Lt"/>
          <w:sz w:val="19"/>
          <w:szCs w:val="19"/>
        </w:rPr>
        <w:tab/>
      </w:r>
      <w:r w:rsidR="00FD6B57">
        <w:rPr>
          <w:rFonts w:ascii="HelveticaNeueLTStd-Lt" w:hAnsi="HelveticaNeueLTStd-Lt" w:cs="HelveticaNeueLTStd-Lt"/>
          <w:sz w:val="19"/>
          <w:szCs w:val="19"/>
        </w:rPr>
        <w:t>18</w:t>
      </w:r>
      <w:r w:rsidR="00ED09BA">
        <w:rPr>
          <w:rFonts w:ascii="HelveticaNeueLTStd-Lt" w:hAnsi="HelveticaNeueLTStd-Lt" w:cs="HelveticaNeueLTStd-Lt"/>
          <w:sz w:val="19"/>
          <w:szCs w:val="19"/>
        </w:rPr>
        <w:t>0</w:t>
      </w:r>
    </w:p>
    <w:p w14:paraId="22DF06F3" w14:textId="76A6EE55" w:rsidR="002239EC" w:rsidRPr="001211FE" w:rsidRDefault="002239EC"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sidRPr="001211FE">
        <w:rPr>
          <w:rFonts w:ascii="HelveticaNeueLTStd-Lt" w:hAnsi="HelveticaNeueLTStd-Lt" w:cs="HelveticaNeueLTStd-Lt"/>
          <w:sz w:val="19"/>
          <w:szCs w:val="19"/>
        </w:rPr>
        <w:t>Appendix B A</w:t>
      </w:r>
      <w:r w:rsidR="001211FE">
        <w:rPr>
          <w:rFonts w:ascii="HelveticaNeueLTStd-Lt" w:hAnsi="HelveticaNeueLTStd-Lt" w:cs="HelveticaNeueLTStd-Lt"/>
          <w:sz w:val="19"/>
          <w:szCs w:val="19"/>
        </w:rPr>
        <w:t>dvertising and market research</w:t>
      </w:r>
      <w:r w:rsidR="00ED09BA">
        <w:rPr>
          <w:rFonts w:ascii="HelveticaNeueLTStd-Lt" w:hAnsi="HelveticaNeueLTStd-Lt" w:cs="HelveticaNeueLTStd-Lt"/>
          <w:sz w:val="19"/>
          <w:szCs w:val="19"/>
        </w:rPr>
        <w:tab/>
        <w:t>192</w:t>
      </w:r>
      <w:r w:rsidR="001211FE">
        <w:rPr>
          <w:rFonts w:ascii="HelveticaNeueLTStd-Lt" w:hAnsi="HelveticaNeueLTStd-Lt" w:cs="HelveticaNeueLTStd-Lt"/>
          <w:sz w:val="19"/>
          <w:szCs w:val="19"/>
        </w:rPr>
        <w:tab/>
      </w:r>
    </w:p>
    <w:p w14:paraId="611A5617" w14:textId="654E8F1E" w:rsidR="002239EC" w:rsidRPr="001211FE" w:rsidRDefault="002239EC" w:rsidP="001211FE">
      <w:pPr>
        <w:tabs>
          <w:tab w:val="left" w:pos="1134"/>
        </w:tabs>
        <w:autoSpaceDE w:val="0"/>
        <w:autoSpaceDN w:val="0"/>
        <w:adjustRightInd w:val="0"/>
        <w:spacing w:before="120" w:after="120" w:line="240" w:lineRule="auto"/>
        <w:rPr>
          <w:rFonts w:ascii="HelveticaNeueLTStd-Lt" w:hAnsi="HelveticaNeueLTStd-Lt" w:cs="HelveticaNeueLTStd-Lt"/>
          <w:sz w:val="19"/>
          <w:szCs w:val="19"/>
        </w:rPr>
      </w:pPr>
      <w:r w:rsidRPr="001211FE">
        <w:rPr>
          <w:rFonts w:ascii="HelveticaNeueLTStd-Lt" w:hAnsi="HelveticaNeueLTStd-Lt" w:cs="HelveticaNeueLTStd-Lt"/>
          <w:sz w:val="19"/>
          <w:szCs w:val="19"/>
        </w:rPr>
        <w:t>Appendix C Ecologically sustainable development and</w:t>
      </w:r>
    </w:p>
    <w:p w14:paraId="395B9952" w14:textId="2A91AD9D" w:rsidR="002239EC" w:rsidRPr="001211FE" w:rsidRDefault="001211FE" w:rsidP="001211FE">
      <w:pPr>
        <w:tabs>
          <w:tab w:val="left" w:pos="1134"/>
          <w:tab w:val="left" w:pos="7938"/>
        </w:tabs>
        <w:autoSpaceDE w:val="0"/>
        <w:autoSpaceDN w:val="0"/>
        <w:adjustRightInd w:val="0"/>
        <w:spacing w:before="120" w:after="120" w:line="240" w:lineRule="auto"/>
        <w:ind w:left="720" w:firstLine="273"/>
        <w:rPr>
          <w:rFonts w:ascii="HelveticaNeueLTStd-Lt" w:hAnsi="HelveticaNeueLTStd-Lt" w:cs="HelveticaNeueLTStd-Lt"/>
          <w:sz w:val="19"/>
          <w:szCs w:val="19"/>
        </w:rPr>
      </w:pPr>
      <w:r>
        <w:rPr>
          <w:rFonts w:ascii="HelveticaNeueLTStd-Lt" w:hAnsi="HelveticaNeueLTStd-Lt" w:cs="HelveticaNeueLTStd-Lt"/>
          <w:sz w:val="19"/>
          <w:szCs w:val="19"/>
        </w:rPr>
        <w:t>environmental performance</w:t>
      </w:r>
      <w:r w:rsidR="00FD6B57">
        <w:rPr>
          <w:rFonts w:ascii="HelveticaNeueLTStd-Lt" w:hAnsi="HelveticaNeueLTStd-Lt" w:cs="HelveticaNeueLTStd-Lt"/>
          <w:sz w:val="19"/>
          <w:szCs w:val="19"/>
        </w:rPr>
        <w:tab/>
        <w:t>19</w:t>
      </w:r>
      <w:r w:rsidR="00ED09BA">
        <w:rPr>
          <w:rFonts w:ascii="HelveticaNeueLTStd-Lt" w:hAnsi="HelveticaNeueLTStd-Lt" w:cs="HelveticaNeueLTStd-Lt"/>
          <w:sz w:val="19"/>
          <w:szCs w:val="19"/>
        </w:rPr>
        <w:t>6</w:t>
      </w:r>
      <w:r>
        <w:rPr>
          <w:rFonts w:ascii="HelveticaNeueLTStd-Lt" w:hAnsi="HelveticaNeueLTStd-Lt" w:cs="HelveticaNeueLTStd-Lt"/>
          <w:sz w:val="19"/>
          <w:szCs w:val="19"/>
        </w:rPr>
        <w:tab/>
      </w:r>
    </w:p>
    <w:p w14:paraId="7E9AE72F" w14:textId="1D892A47" w:rsidR="002239EC" w:rsidRPr="001211FE" w:rsidRDefault="002239EC"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sidRPr="001211FE">
        <w:rPr>
          <w:rFonts w:ascii="HelveticaNeueLTStd-Lt" w:hAnsi="HelveticaNeueLTStd-Lt" w:cs="HelveticaNeueLTStd-Lt"/>
          <w:sz w:val="19"/>
          <w:szCs w:val="19"/>
        </w:rPr>
        <w:t xml:space="preserve">Appendix D Compliance with the </w:t>
      </w:r>
      <w:r w:rsidRPr="001211FE">
        <w:rPr>
          <w:rFonts w:ascii="HelveticaNeueLTStd-Lt" w:hAnsi="HelveticaNeueLTStd-Lt" w:cs="HelveticaNeueLTStd-Lt"/>
          <w:i/>
          <w:sz w:val="19"/>
          <w:szCs w:val="19"/>
        </w:rPr>
        <w:t>Carer Recognition Act</w:t>
      </w:r>
      <w:r w:rsidR="00B308AD" w:rsidRPr="001211FE">
        <w:rPr>
          <w:rFonts w:ascii="HelveticaNeueLTStd-Lt" w:hAnsi="HelveticaNeueLTStd-Lt" w:cs="HelveticaNeueLTStd-Lt"/>
          <w:i/>
          <w:sz w:val="19"/>
          <w:szCs w:val="19"/>
        </w:rPr>
        <w:t xml:space="preserve"> 2010</w:t>
      </w:r>
      <w:r w:rsidR="001211FE">
        <w:rPr>
          <w:rFonts w:ascii="HelveticaNeueLTStd-Lt" w:hAnsi="HelveticaNeueLTStd-Lt" w:cs="HelveticaNeueLTStd-Lt"/>
          <w:sz w:val="19"/>
          <w:szCs w:val="19"/>
        </w:rPr>
        <w:tab/>
      </w:r>
      <w:r w:rsidR="00ED09BA">
        <w:rPr>
          <w:rFonts w:ascii="HelveticaNeueLTStd-Lt" w:hAnsi="HelveticaNeueLTStd-Lt" w:cs="HelveticaNeueLTStd-Lt"/>
          <w:sz w:val="19"/>
          <w:szCs w:val="19"/>
        </w:rPr>
        <w:t>199</w:t>
      </w:r>
    </w:p>
    <w:p w14:paraId="0565D36A" w14:textId="55274134" w:rsidR="002239EC" w:rsidRPr="001211FE" w:rsidRDefault="002239EC"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sidRPr="001211FE">
        <w:rPr>
          <w:rFonts w:ascii="HelveticaNeueLTStd-Lt" w:hAnsi="HelveticaNeueLTStd-Lt" w:cs="HelveticaNeueLTStd-Lt"/>
          <w:sz w:val="19"/>
          <w:szCs w:val="19"/>
        </w:rPr>
        <w:t>A</w:t>
      </w:r>
      <w:r w:rsidR="001211FE">
        <w:rPr>
          <w:rFonts w:ascii="HelveticaNeueLTStd-Lt" w:hAnsi="HelveticaNeueLTStd-Lt" w:cs="HelveticaNeueLTStd-Lt"/>
          <w:sz w:val="19"/>
          <w:szCs w:val="19"/>
        </w:rPr>
        <w:t>ppendix E Disability reporting</w:t>
      </w:r>
      <w:r w:rsidR="00ED09BA">
        <w:rPr>
          <w:rFonts w:ascii="HelveticaNeueLTStd-Lt" w:hAnsi="HelveticaNeueLTStd-Lt" w:cs="HelveticaNeueLTStd-Lt"/>
          <w:sz w:val="19"/>
          <w:szCs w:val="19"/>
        </w:rPr>
        <w:tab/>
        <w:t>201</w:t>
      </w:r>
      <w:r w:rsidR="001211FE">
        <w:rPr>
          <w:rFonts w:ascii="HelveticaNeueLTStd-Lt" w:hAnsi="HelveticaNeueLTStd-Lt" w:cs="HelveticaNeueLTStd-Lt"/>
          <w:sz w:val="19"/>
          <w:szCs w:val="19"/>
        </w:rPr>
        <w:tab/>
      </w:r>
    </w:p>
    <w:p w14:paraId="06AC20E8" w14:textId="00D47126" w:rsidR="002239EC" w:rsidRPr="001211FE" w:rsidRDefault="002239EC"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sidRPr="001211FE">
        <w:rPr>
          <w:rFonts w:ascii="HelveticaNeueLTStd-Lt" w:hAnsi="HelveticaNeueLTStd-Lt" w:cs="HelveticaNeueLTStd-Lt"/>
          <w:sz w:val="19"/>
          <w:szCs w:val="19"/>
        </w:rPr>
        <w:t>App</w:t>
      </w:r>
      <w:r w:rsidR="001211FE">
        <w:rPr>
          <w:rFonts w:ascii="HelveticaNeueLTStd-Lt" w:hAnsi="HelveticaNeueLTStd-Lt" w:cs="HelveticaNeueLTStd-Lt"/>
          <w:sz w:val="19"/>
          <w:szCs w:val="19"/>
        </w:rPr>
        <w:t>endix F Digital reporting data</w:t>
      </w:r>
      <w:r w:rsidR="00ED09BA">
        <w:rPr>
          <w:rFonts w:ascii="HelveticaNeueLTStd-Lt" w:hAnsi="HelveticaNeueLTStd-Lt" w:cs="HelveticaNeueLTStd-Lt"/>
          <w:sz w:val="19"/>
          <w:szCs w:val="19"/>
        </w:rPr>
        <w:tab/>
        <w:t>202</w:t>
      </w:r>
      <w:r w:rsidR="001211FE">
        <w:rPr>
          <w:rFonts w:ascii="HelveticaNeueLTStd-Lt" w:hAnsi="HelveticaNeueLTStd-Lt" w:cs="HelveticaNeueLTStd-Lt"/>
          <w:sz w:val="19"/>
          <w:szCs w:val="19"/>
        </w:rPr>
        <w:tab/>
      </w:r>
    </w:p>
    <w:p w14:paraId="399A8AD8" w14:textId="5C0C9C78" w:rsidR="002239EC" w:rsidRPr="001211FE" w:rsidRDefault="002239EC"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sidRPr="001211FE">
        <w:rPr>
          <w:rFonts w:ascii="HelveticaNeueLTStd-Lt" w:hAnsi="HelveticaNeueLTStd-Lt" w:cs="HelveticaNeueLTStd-Lt"/>
          <w:sz w:val="19"/>
          <w:szCs w:val="19"/>
        </w:rPr>
        <w:t>Appendix G Glossary</w:t>
      </w:r>
      <w:r w:rsidR="001211FE">
        <w:rPr>
          <w:rFonts w:ascii="HelveticaNeueLTStd-Lt" w:hAnsi="HelveticaNeueLTStd-Lt" w:cs="HelveticaNeueLTStd-Lt"/>
          <w:sz w:val="19"/>
          <w:szCs w:val="19"/>
        </w:rPr>
        <w:t xml:space="preserve"> of abbreviations and acronyms</w:t>
      </w:r>
      <w:r w:rsidR="00ED09BA">
        <w:rPr>
          <w:rFonts w:ascii="HelveticaNeueLTStd-Lt" w:hAnsi="HelveticaNeueLTStd-Lt" w:cs="HelveticaNeueLTStd-Lt"/>
          <w:sz w:val="19"/>
          <w:szCs w:val="19"/>
        </w:rPr>
        <w:tab/>
        <w:t>223</w:t>
      </w:r>
      <w:r w:rsidR="001211FE">
        <w:rPr>
          <w:rFonts w:ascii="HelveticaNeueLTStd-Lt" w:hAnsi="HelveticaNeueLTStd-Lt" w:cs="HelveticaNeueLTStd-Lt"/>
          <w:sz w:val="19"/>
          <w:szCs w:val="19"/>
        </w:rPr>
        <w:tab/>
      </w:r>
    </w:p>
    <w:p w14:paraId="78CD5F06" w14:textId="77777777" w:rsidR="002239EC" w:rsidRPr="001211FE" w:rsidRDefault="002239EC" w:rsidP="001211FE">
      <w:pPr>
        <w:autoSpaceDE w:val="0"/>
        <w:autoSpaceDN w:val="0"/>
        <w:adjustRightInd w:val="0"/>
        <w:spacing w:before="120" w:after="120" w:line="240" w:lineRule="auto"/>
        <w:rPr>
          <w:rFonts w:ascii="HelveticaNeueLTStd-Bd" w:hAnsi="HelveticaNeueLTStd-Bd" w:cs="HelveticaNeueLTStd-Bd"/>
          <w:sz w:val="19"/>
          <w:szCs w:val="19"/>
        </w:rPr>
      </w:pPr>
    </w:p>
    <w:p w14:paraId="5A01D716" w14:textId="3E281A9F" w:rsidR="002239EC" w:rsidRPr="001211FE" w:rsidRDefault="002239EC" w:rsidP="001211FE">
      <w:pPr>
        <w:tabs>
          <w:tab w:val="left" w:pos="7938"/>
        </w:tabs>
        <w:autoSpaceDE w:val="0"/>
        <w:autoSpaceDN w:val="0"/>
        <w:adjustRightInd w:val="0"/>
        <w:spacing w:before="120" w:after="120" w:line="240" w:lineRule="auto"/>
        <w:rPr>
          <w:rFonts w:ascii="HelveticaNeueLTStd-Bd" w:hAnsi="HelveticaNeueLTStd-Bd" w:cs="HelveticaNeueLTStd-Bd"/>
          <w:sz w:val="19"/>
          <w:szCs w:val="19"/>
        </w:rPr>
      </w:pPr>
      <w:r w:rsidRPr="00054A67">
        <w:rPr>
          <w:rFonts w:ascii="HelveticaNeueLTStd-Bd" w:hAnsi="HelveticaNeueLTStd-Bd" w:cs="HelveticaNeueLTStd-Bd"/>
          <w:b/>
          <w:color w:val="215868" w:themeColor="accent5" w:themeShade="80"/>
          <w:sz w:val="20"/>
          <w:szCs w:val="20"/>
        </w:rPr>
        <w:t>Indexes</w:t>
      </w:r>
      <w:r w:rsidR="001211FE">
        <w:rPr>
          <w:rFonts w:ascii="HelveticaNeueLTStd-Bd" w:hAnsi="HelveticaNeueLTStd-Bd" w:cs="HelveticaNeueLTStd-Bd"/>
          <w:sz w:val="19"/>
          <w:szCs w:val="19"/>
        </w:rPr>
        <w:tab/>
      </w:r>
    </w:p>
    <w:p w14:paraId="488F1C34" w14:textId="2E78C6CE" w:rsidR="002239EC" w:rsidRPr="001211FE" w:rsidRDefault="001211FE" w:rsidP="001211FE">
      <w:pPr>
        <w:tabs>
          <w:tab w:val="left" w:pos="7938"/>
        </w:tabs>
        <w:autoSpaceDE w:val="0"/>
        <w:autoSpaceDN w:val="0"/>
        <w:adjustRightInd w:val="0"/>
        <w:spacing w:before="120" w:after="120" w:line="240" w:lineRule="auto"/>
        <w:rPr>
          <w:rFonts w:ascii="HelveticaNeueLTStd-Lt" w:hAnsi="HelveticaNeueLTStd-Lt" w:cs="HelveticaNeueLTStd-Lt"/>
          <w:sz w:val="19"/>
          <w:szCs w:val="19"/>
        </w:rPr>
      </w:pPr>
      <w:r>
        <w:rPr>
          <w:rFonts w:ascii="HelveticaNeueLTStd-Lt" w:hAnsi="HelveticaNeueLTStd-Lt" w:cs="HelveticaNeueLTStd-Lt"/>
          <w:sz w:val="19"/>
          <w:szCs w:val="19"/>
        </w:rPr>
        <w:t>Compliance index</w:t>
      </w:r>
      <w:r w:rsidR="00ED09BA">
        <w:rPr>
          <w:rFonts w:ascii="HelveticaNeueLTStd-Lt" w:hAnsi="HelveticaNeueLTStd-Lt" w:cs="HelveticaNeueLTStd-Lt"/>
          <w:sz w:val="19"/>
          <w:szCs w:val="19"/>
        </w:rPr>
        <w:tab/>
        <w:t>22</w:t>
      </w:r>
      <w:r w:rsidR="00AB591A">
        <w:rPr>
          <w:rFonts w:ascii="HelveticaNeueLTStd-Lt" w:hAnsi="HelveticaNeueLTStd-Lt" w:cs="HelveticaNeueLTStd-Lt"/>
          <w:sz w:val="19"/>
          <w:szCs w:val="19"/>
        </w:rPr>
        <w:t>7</w:t>
      </w:r>
      <w:r>
        <w:rPr>
          <w:rFonts w:ascii="HelveticaNeueLTStd-Lt" w:hAnsi="HelveticaNeueLTStd-Lt" w:cs="HelveticaNeueLTStd-Lt"/>
          <w:sz w:val="19"/>
          <w:szCs w:val="19"/>
        </w:rPr>
        <w:tab/>
      </w:r>
    </w:p>
    <w:p w14:paraId="38099F51" w14:textId="4DF38D14" w:rsidR="002239EC" w:rsidRPr="001211FE" w:rsidRDefault="002239EC" w:rsidP="003A047F">
      <w:pPr>
        <w:tabs>
          <w:tab w:val="left" w:pos="7938"/>
        </w:tabs>
        <w:autoSpaceDE w:val="0"/>
        <w:autoSpaceDN w:val="0"/>
        <w:adjustRightInd w:val="0"/>
        <w:spacing w:before="120" w:after="120" w:line="240" w:lineRule="auto"/>
      </w:pPr>
      <w:r w:rsidRPr="001211FE">
        <w:rPr>
          <w:rFonts w:ascii="HelveticaNeueLTStd-Lt" w:hAnsi="HelveticaNeueLTStd-Lt" w:cs="HelveticaNeueLTStd-Lt"/>
          <w:sz w:val="19"/>
          <w:szCs w:val="19"/>
        </w:rPr>
        <w:t>Alphabetical index</w:t>
      </w:r>
      <w:r w:rsidR="00AB591A">
        <w:rPr>
          <w:rFonts w:ascii="HelveticaNeueLTStd-Lt" w:hAnsi="HelveticaNeueLTStd-Lt" w:cs="HelveticaNeueLTStd-Lt"/>
          <w:sz w:val="19"/>
          <w:szCs w:val="19"/>
        </w:rPr>
        <w:tab/>
        <w:t>234</w:t>
      </w:r>
      <w:r w:rsidRPr="001211FE">
        <w:rPr>
          <w:rFonts w:ascii="HelveticaNeueLTStd-Lt" w:hAnsi="HelveticaNeueLTStd-Lt" w:cs="HelveticaNeueLTStd-Lt"/>
          <w:sz w:val="19"/>
          <w:szCs w:val="19"/>
        </w:rPr>
        <w:tab/>
      </w:r>
    </w:p>
    <w:p w14:paraId="6431C86E" w14:textId="77777777" w:rsidR="002239EC" w:rsidRDefault="002239EC" w:rsidP="002239EC"/>
    <w:p w14:paraId="64E31447" w14:textId="77777777" w:rsidR="002239EC" w:rsidRDefault="002239EC" w:rsidP="002239EC">
      <w:pPr>
        <w:sectPr w:rsidR="002239EC" w:rsidSect="002239EC">
          <w:pgSz w:w="11906" w:h="16838"/>
          <w:pgMar w:top="709" w:right="992" w:bottom="992" w:left="1134" w:header="709" w:footer="709" w:gutter="0"/>
          <w:pgNumType w:fmt="lowerRoman" w:start="2"/>
          <w:cols w:space="708"/>
          <w:docGrid w:linePitch="360"/>
        </w:sectPr>
      </w:pPr>
    </w:p>
    <w:p w14:paraId="768DCC58" w14:textId="77777777" w:rsidR="002239EC" w:rsidRPr="00933E41" w:rsidRDefault="002239EC" w:rsidP="002239EC"/>
    <w:p w14:paraId="38E54308" w14:textId="77777777" w:rsidR="002239EC" w:rsidRPr="00812243" w:rsidRDefault="002239EC" w:rsidP="002239EC">
      <w:r w:rsidRPr="00812243">
        <w:rPr>
          <w:rFonts w:ascii="Arial Narrow" w:hAnsi="Arial Narrow"/>
          <w:b/>
          <w:noProof/>
          <w:sz w:val="20"/>
          <w:szCs w:val="20"/>
          <w:lang w:eastAsia="en-AU"/>
        </w:rPr>
        <w:t>Figure 0.1: Outcome and prog</w:t>
      </w:r>
      <w:r>
        <w:rPr>
          <w:rFonts w:ascii="Arial Narrow" w:hAnsi="Arial Narrow"/>
          <w:b/>
          <w:noProof/>
          <w:sz w:val="20"/>
          <w:szCs w:val="20"/>
          <w:lang w:eastAsia="en-AU"/>
        </w:rPr>
        <w:t>ram structure as at 30 June 2020</w:t>
      </w:r>
    </w:p>
    <w:p w14:paraId="39C052A5" w14:textId="5C017288" w:rsidR="002239EC" w:rsidRDefault="001655B8" w:rsidP="002239EC">
      <w:r>
        <w:rPr>
          <w:noProof/>
          <w:lang w:eastAsia="en-AU"/>
        </w:rPr>
        <w:drawing>
          <wp:inline distT="0" distB="0" distL="0" distR="0" wp14:anchorId="71684108" wp14:editId="3697430D">
            <wp:extent cx="5300870" cy="7920308"/>
            <wp:effectExtent l="0" t="0" r="0" b="5080"/>
            <wp:docPr id="5" name="Picture 5" descr="This figure describes the Department of Social Services' outcome and program structure. Outcome 1 - Social Security; Outcome 2 - Families and Communities. Further information about these Outcomes and their Programs is available in Chapter 2 Annual Performance Statements.&#10;" title="Figure 0.1: Outcome and program structure as at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7BB8.A3AA3C5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350813" cy="7994930"/>
                    </a:xfrm>
                    <a:prstGeom prst="rect">
                      <a:avLst/>
                    </a:prstGeom>
                    <a:noFill/>
                    <a:ln>
                      <a:noFill/>
                    </a:ln>
                  </pic:spPr>
                </pic:pic>
              </a:graphicData>
            </a:graphic>
          </wp:inline>
        </w:drawing>
      </w:r>
    </w:p>
    <w:p w14:paraId="222F687F" w14:textId="609FB094" w:rsidR="001655B8" w:rsidRDefault="001655B8"/>
    <w:p w14:paraId="1157DD6C" w14:textId="2450F441" w:rsidR="002239EC" w:rsidRDefault="001655B8" w:rsidP="002239EC">
      <w:r>
        <w:rPr>
          <w:noProof/>
          <w:lang w:eastAsia="en-AU"/>
        </w:rPr>
        <w:lastRenderedPageBreak/>
        <w:drawing>
          <wp:inline distT="0" distB="0" distL="0" distR="0" wp14:anchorId="06833938" wp14:editId="7336D59E">
            <wp:extent cx="5297231" cy="7827264"/>
            <wp:effectExtent l="0" t="0" r="0" b="2540"/>
            <wp:docPr id="9" name="Picture 9" descr="Figure 0.1 continued. This figure describes the Department of Social Services' outcome and program structure. Outcome 3 - Disability and Carers; Outcome 4 - Housing. Further information about these Outcomes and their Programs is available in Chapter 2 Annual Performance Statements." title="Figure 0.1: Outcome and program structure as at 30 June 2020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7BB8.A3AA3C5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297231" cy="7827264"/>
                    </a:xfrm>
                    <a:prstGeom prst="rect">
                      <a:avLst/>
                    </a:prstGeom>
                    <a:noFill/>
                    <a:ln>
                      <a:noFill/>
                    </a:ln>
                  </pic:spPr>
                </pic:pic>
              </a:graphicData>
            </a:graphic>
          </wp:inline>
        </w:drawing>
      </w:r>
    </w:p>
    <w:p w14:paraId="2A3274DF" w14:textId="77777777" w:rsidR="001655B8" w:rsidRDefault="001655B8" w:rsidP="002239EC">
      <w:pPr>
        <w:sectPr w:rsidR="001655B8" w:rsidSect="00332CCC">
          <w:pgSz w:w="11906" w:h="16838"/>
          <w:pgMar w:top="1440" w:right="1440" w:bottom="1440" w:left="1440" w:header="709" w:footer="709" w:gutter="0"/>
          <w:pgNumType w:fmt="lowerRoman" w:start="4"/>
          <w:cols w:space="708"/>
          <w:docGrid w:linePitch="360"/>
        </w:sectPr>
      </w:pPr>
    </w:p>
    <w:p w14:paraId="0FC8A0D6" w14:textId="0FFC8291" w:rsidR="002239EC" w:rsidRDefault="00192B46" w:rsidP="005B5266">
      <w:pPr>
        <w:spacing w:after="0" w:line="240" w:lineRule="auto"/>
        <w:jc w:val="center"/>
        <w:rPr>
          <w:rFonts w:ascii="Times New Roman" w:eastAsia="Times New Roman" w:hAnsi="Times New Roman" w:cs="Times New Roman"/>
          <w:sz w:val="24"/>
          <w:szCs w:val="20"/>
        </w:rPr>
      </w:pPr>
      <w:r>
        <w:rPr>
          <w:noProof/>
          <w:lang w:eastAsia="en-AU"/>
        </w:rPr>
        <w:lastRenderedPageBreak/>
        <w:drawing>
          <wp:inline distT="0" distB="0" distL="0" distR="0" wp14:anchorId="65299E1C" wp14:editId="08A3832C">
            <wp:extent cx="3362325" cy="675802"/>
            <wp:effectExtent l="0" t="0" r="0" b="0"/>
            <wp:docPr id="25" name="Picture 25" descr="Department of Social Services logo" title="Logo - Australian Government, Department of Soci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61251" name="Picture 6" descr="DSS logo_strip black"/>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375518" cy="678454"/>
                    </a:xfrm>
                    <a:prstGeom prst="rect">
                      <a:avLst/>
                    </a:prstGeom>
                    <a:noFill/>
                    <a:ln>
                      <a:noFill/>
                    </a:ln>
                  </pic:spPr>
                </pic:pic>
              </a:graphicData>
            </a:graphic>
          </wp:inline>
        </w:drawing>
      </w:r>
    </w:p>
    <w:p w14:paraId="6121402D" w14:textId="77777777" w:rsidR="00192B46" w:rsidRDefault="00192B46" w:rsidP="002239EC">
      <w:pPr>
        <w:spacing w:after="0" w:line="240" w:lineRule="auto"/>
        <w:rPr>
          <w:rFonts w:ascii="Times New Roman" w:eastAsia="Times New Roman" w:hAnsi="Times New Roman" w:cs="Times New Roman"/>
          <w:sz w:val="24"/>
          <w:szCs w:val="20"/>
        </w:rPr>
      </w:pPr>
    </w:p>
    <w:p w14:paraId="198F1C99" w14:textId="417B03A6" w:rsidR="00C45B94" w:rsidRDefault="00C45B94" w:rsidP="003A047F">
      <w:pPr>
        <w:spacing w:after="0" w:line="240" w:lineRule="auto"/>
        <w:jc w:val="right"/>
        <w:rPr>
          <w:rFonts w:ascii="Times New Roman" w:eastAsia="Times New Roman" w:hAnsi="Times New Roman" w:cs="Times New Roman"/>
          <w:sz w:val="24"/>
          <w:szCs w:val="20"/>
        </w:rPr>
      </w:pPr>
      <w:r>
        <w:rPr>
          <w:rFonts w:ascii="Times New Roman" w:eastAsia="Times New Roman" w:hAnsi="Times New Roman" w:cs="Times New Roman"/>
          <w:sz w:val="24"/>
          <w:szCs w:val="20"/>
        </w:rPr>
        <w:t>Kathryn Campbell AO CSC</w:t>
      </w:r>
    </w:p>
    <w:p w14:paraId="2747CC80" w14:textId="509E9821" w:rsidR="00C45B94" w:rsidRDefault="00C45B94" w:rsidP="003A047F">
      <w:pPr>
        <w:spacing w:after="0" w:line="240" w:lineRule="auto"/>
        <w:jc w:val="right"/>
        <w:rPr>
          <w:rFonts w:ascii="Times New Roman" w:eastAsia="Times New Roman" w:hAnsi="Times New Roman" w:cs="Times New Roman"/>
          <w:sz w:val="24"/>
          <w:szCs w:val="20"/>
        </w:rPr>
      </w:pPr>
      <w:r>
        <w:rPr>
          <w:rFonts w:ascii="Times New Roman" w:eastAsia="Times New Roman" w:hAnsi="Times New Roman" w:cs="Times New Roman"/>
          <w:sz w:val="24"/>
          <w:szCs w:val="20"/>
        </w:rPr>
        <w:t>Secretary</w:t>
      </w:r>
    </w:p>
    <w:p w14:paraId="1ECEFD46" w14:textId="13901555" w:rsidR="002239EC" w:rsidRDefault="002239EC" w:rsidP="002239EC">
      <w:pPr>
        <w:spacing w:after="0" w:line="240" w:lineRule="auto"/>
      </w:pPr>
      <w:r>
        <w:rPr>
          <w:rFonts w:ascii="Times New Roman" w:eastAsia="Times New Roman" w:hAnsi="Times New Roman" w:cs="Times New Roman"/>
          <w:sz w:val="24"/>
          <w:szCs w:val="20"/>
        </w:rPr>
        <w:t>Senator the Hon Anne Ruston</w:t>
      </w:r>
    </w:p>
    <w:p w14:paraId="05D71D82" w14:textId="77777777" w:rsidR="002239EC" w:rsidRPr="00CC1393" w:rsidRDefault="002239EC" w:rsidP="002239EC">
      <w:pPr>
        <w:spacing w:after="0" w:line="240" w:lineRule="auto"/>
      </w:pPr>
      <w:r w:rsidRPr="00B1247E">
        <w:rPr>
          <w:rFonts w:ascii="Times New Roman" w:eastAsia="Times New Roman" w:hAnsi="Times New Roman" w:cs="Times New Roman"/>
          <w:sz w:val="24"/>
          <w:szCs w:val="20"/>
        </w:rPr>
        <w:t>Minister for Families and Social Services</w:t>
      </w:r>
    </w:p>
    <w:p w14:paraId="2893A4BF" w14:textId="77777777" w:rsidR="002239EC" w:rsidRPr="00B1247E" w:rsidRDefault="002239EC" w:rsidP="002239EC">
      <w:pPr>
        <w:spacing w:after="0" w:line="240" w:lineRule="auto"/>
        <w:rPr>
          <w:rFonts w:ascii="Times New Roman" w:eastAsia="Times New Roman" w:hAnsi="Times New Roman" w:cs="Times New Roman"/>
          <w:sz w:val="24"/>
          <w:szCs w:val="20"/>
        </w:rPr>
      </w:pPr>
      <w:r w:rsidRPr="00B1247E">
        <w:rPr>
          <w:rFonts w:ascii="Times New Roman" w:eastAsia="Times New Roman" w:hAnsi="Times New Roman" w:cs="Times New Roman"/>
          <w:sz w:val="24"/>
          <w:szCs w:val="20"/>
        </w:rPr>
        <w:t>Parliament House</w:t>
      </w:r>
    </w:p>
    <w:p w14:paraId="432406C8" w14:textId="5AE64459" w:rsidR="002239EC" w:rsidRDefault="002239EC" w:rsidP="002239EC">
      <w:pPr>
        <w:spacing w:after="0" w:line="240" w:lineRule="auto"/>
        <w:rPr>
          <w:rFonts w:ascii="Times New Roman" w:eastAsia="Times New Roman" w:hAnsi="Times New Roman" w:cs="Times New Roman"/>
          <w:sz w:val="24"/>
          <w:szCs w:val="20"/>
        </w:rPr>
      </w:pPr>
      <w:r w:rsidRPr="00B1247E">
        <w:rPr>
          <w:rFonts w:ascii="Times New Roman" w:eastAsia="Times New Roman" w:hAnsi="Times New Roman" w:cs="Times New Roman"/>
          <w:sz w:val="24"/>
          <w:szCs w:val="20"/>
        </w:rPr>
        <w:t xml:space="preserve">CANBERRA </w:t>
      </w:r>
      <w:r w:rsidR="005B5266">
        <w:rPr>
          <w:rFonts w:ascii="Times New Roman" w:eastAsia="Times New Roman" w:hAnsi="Times New Roman" w:cs="Times New Roman"/>
          <w:sz w:val="24"/>
          <w:szCs w:val="20"/>
        </w:rPr>
        <w:t xml:space="preserve"> </w:t>
      </w:r>
      <w:r w:rsidRPr="00B1247E">
        <w:rPr>
          <w:rFonts w:ascii="Times New Roman" w:eastAsia="Times New Roman" w:hAnsi="Times New Roman" w:cs="Times New Roman"/>
          <w:sz w:val="24"/>
          <w:szCs w:val="20"/>
        </w:rPr>
        <w:t xml:space="preserve">ACT </w:t>
      </w:r>
      <w:r w:rsidR="005B5266">
        <w:rPr>
          <w:rFonts w:ascii="Times New Roman" w:eastAsia="Times New Roman" w:hAnsi="Times New Roman" w:cs="Times New Roman"/>
          <w:sz w:val="24"/>
          <w:szCs w:val="20"/>
        </w:rPr>
        <w:t xml:space="preserve"> </w:t>
      </w:r>
      <w:r w:rsidRPr="00B1247E">
        <w:rPr>
          <w:rFonts w:ascii="Times New Roman" w:eastAsia="Times New Roman" w:hAnsi="Times New Roman" w:cs="Times New Roman"/>
          <w:sz w:val="24"/>
          <w:szCs w:val="20"/>
        </w:rPr>
        <w:t>2600</w:t>
      </w:r>
    </w:p>
    <w:p w14:paraId="582506DD" w14:textId="77777777" w:rsidR="002239EC" w:rsidRDefault="002239EC" w:rsidP="002239EC">
      <w:pPr>
        <w:tabs>
          <w:tab w:val="left" w:pos="6739"/>
        </w:tabs>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b/>
      </w:r>
    </w:p>
    <w:p w14:paraId="1F852ED1" w14:textId="77777777" w:rsidR="002239EC" w:rsidRDefault="002239EC" w:rsidP="002239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The Hon Stuart Robert MP</w:t>
      </w:r>
    </w:p>
    <w:p w14:paraId="5361DC4B" w14:textId="77777777" w:rsidR="002239EC" w:rsidRDefault="002239EC" w:rsidP="002239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Minister for the National Disability Insurance Scheme</w:t>
      </w:r>
    </w:p>
    <w:p w14:paraId="6C4D1750" w14:textId="77777777" w:rsidR="002239EC" w:rsidRDefault="002239EC" w:rsidP="002239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Minister for Government Services</w:t>
      </w:r>
    </w:p>
    <w:p w14:paraId="648451BE" w14:textId="77777777" w:rsidR="002239EC" w:rsidRDefault="002239EC" w:rsidP="002239E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Parliament House</w:t>
      </w:r>
    </w:p>
    <w:p w14:paraId="4340E5A0" w14:textId="4D3F0E8D" w:rsidR="002239EC" w:rsidRPr="00B1247E" w:rsidRDefault="002239EC" w:rsidP="002239EC">
      <w:pPr>
        <w:spacing w:after="0" w:line="240" w:lineRule="auto"/>
        <w:rPr>
          <w:rFonts w:ascii="Times New Roman" w:eastAsia="Times New Roman" w:hAnsi="Times New Roman" w:cs="Times New Roman"/>
          <w:caps/>
          <w:sz w:val="24"/>
          <w:szCs w:val="20"/>
        </w:rPr>
      </w:pPr>
      <w:r>
        <w:rPr>
          <w:rFonts w:ascii="Times New Roman" w:eastAsia="Times New Roman" w:hAnsi="Times New Roman" w:cs="Times New Roman"/>
          <w:sz w:val="24"/>
          <w:szCs w:val="20"/>
        </w:rPr>
        <w:t xml:space="preserve">CANBERRA </w:t>
      </w:r>
      <w:r w:rsidR="005B5266">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ACT</w:t>
      </w:r>
      <w:r w:rsidR="005B5266">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 xml:space="preserve"> 2600</w:t>
      </w:r>
    </w:p>
    <w:p w14:paraId="2BB611C7" w14:textId="77777777" w:rsidR="002239EC" w:rsidRPr="00B1247E" w:rsidRDefault="002239EC" w:rsidP="002239EC">
      <w:pPr>
        <w:spacing w:after="0" w:line="240" w:lineRule="auto"/>
        <w:rPr>
          <w:rFonts w:ascii="Times New Roman" w:eastAsia="Times New Roman" w:hAnsi="Times New Roman" w:cs="Times New Roman"/>
          <w:caps/>
          <w:sz w:val="24"/>
          <w:szCs w:val="20"/>
        </w:rPr>
      </w:pPr>
    </w:p>
    <w:p w14:paraId="02D4D34B" w14:textId="77777777" w:rsidR="002239EC" w:rsidRPr="003A407E" w:rsidRDefault="002239EC" w:rsidP="002239EC">
      <w:pPr>
        <w:spacing w:after="0" w:line="240" w:lineRule="auto"/>
        <w:rPr>
          <w:rFonts w:ascii="Times New Roman" w:eastAsia="Times New Roman" w:hAnsi="Times New Roman" w:cs="Times New Roman"/>
          <w:sz w:val="24"/>
          <w:szCs w:val="20"/>
        </w:rPr>
      </w:pPr>
    </w:p>
    <w:p w14:paraId="39BA891D" w14:textId="77777777" w:rsidR="002239EC" w:rsidRPr="003A407E" w:rsidRDefault="002239EC" w:rsidP="002239EC">
      <w:pPr>
        <w:spacing w:after="0" w:line="240" w:lineRule="auto"/>
        <w:rPr>
          <w:rFonts w:ascii="Times New Roman" w:eastAsia="Times New Roman" w:hAnsi="Times New Roman" w:cs="Times New Roman"/>
          <w:sz w:val="24"/>
          <w:szCs w:val="20"/>
        </w:rPr>
      </w:pPr>
      <w:r w:rsidRPr="003A407E">
        <w:rPr>
          <w:rFonts w:ascii="Times New Roman" w:eastAsia="Times New Roman" w:hAnsi="Times New Roman" w:cs="Times New Roman"/>
          <w:sz w:val="24"/>
          <w:szCs w:val="20"/>
        </w:rPr>
        <w:t>Dear Minister</w:t>
      </w:r>
      <w:r>
        <w:rPr>
          <w:rFonts w:ascii="Times New Roman" w:eastAsia="Times New Roman" w:hAnsi="Times New Roman" w:cs="Times New Roman"/>
          <w:sz w:val="24"/>
          <w:szCs w:val="20"/>
        </w:rPr>
        <w:t>s</w:t>
      </w:r>
    </w:p>
    <w:p w14:paraId="442ADF1A" w14:textId="77777777" w:rsidR="002239EC" w:rsidRPr="003A407E" w:rsidRDefault="002239EC" w:rsidP="002239EC">
      <w:pPr>
        <w:spacing w:after="0" w:line="240" w:lineRule="auto"/>
        <w:rPr>
          <w:rFonts w:ascii="Times New Roman" w:eastAsia="Times New Roman" w:hAnsi="Times New Roman" w:cs="Times New Roman"/>
          <w:sz w:val="24"/>
          <w:szCs w:val="20"/>
        </w:rPr>
      </w:pPr>
    </w:p>
    <w:p w14:paraId="3BBDB074" w14:textId="033F9493" w:rsidR="002239EC" w:rsidRPr="003A407E" w:rsidRDefault="002239EC" w:rsidP="002239EC">
      <w:pPr>
        <w:spacing w:after="0" w:line="240" w:lineRule="auto"/>
        <w:rPr>
          <w:rFonts w:ascii="Times New Roman" w:eastAsia="Times New Roman" w:hAnsi="Times New Roman" w:cs="Times New Roman"/>
          <w:sz w:val="24"/>
          <w:szCs w:val="20"/>
        </w:rPr>
      </w:pPr>
      <w:r w:rsidRPr="003A407E">
        <w:rPr>
          <w:rFonts w:ascii="Times New Roman" w:eastAsia="Times New Roman" w:hAnsi="Times New Roman" w:cs="Times New Roman"/>
          <w:sz w:val="24"/>
          <w:szCs w:val="20"/>
        </w:rPr>
        <w:t>I am pleased to submit the Department of Social Services</w:t>
      </w:r>
      <w:r>
        <w:rPr>
          <w:rFonts w:ascii="Times New Roman" w:eastAsia="Times New Roman" w:hAnsi="Times New Roman" w:cs="Times New Roman"/>
          <w:sz w:val="24"/>
          <w:szCs w:val="20"/>
        </w:rPr>
        <w:t xml:space="preserve"> (‘the department’) </w:t>
      </w:r>
      <w:r w:rsidRPr="003A407E">
        <w:rPr>
          <w:rFonts w:ascii="Times New Roman" w:eastAsia="Times New Roman" w:hAnsi="Times New Roman" w:cs="Times New Roman"/>
          <w:sz w:val="24"/>
          <w:szCs w:val="20"/>
        </w:rPr>
        <w:t>Annual Report for th</w:t>
      </w:r>
      <w:r>
        <w:rPr>
          <w:rFonts w:ascii="Times New Roman" w:eastAsia="Times New Roman" w:hAnsi="Times New Roman" w:cs="Times New Roman"/>
          <w:sz w:val="24"/>
          <w:szCs w:val="20"/>
        </w:rPr>
        <w:t>e year ending 30 June 2020 under</w:t>
      </w:r>
      <w:r w:rsidRPr="003A407E">
        <w:rPr>
          <w:rFonts w:ascii="Times New Roman" w:eastAsia="Times New Roman" w:hAnsi="Times New Roman" w:cs="Times New Roman"/>
          <w:sz w:val="24"/>
          <w:szCs w:val="20"/>
        </w:rPr>
        <w:t xml:space="preserve"> section 46 of the</w:t>
      </w:r>
      <w:r w:rsidR="00332CCC">
        <w:rPr>
          <w:rFonts w:ascii="Times New Roman" w:eastAsia="Times New Roman" w:hAnsi="Times New Roman" w:cs="Times New Roman"/>
          <w:sz w:val="24"/>
          <w:szCs w:val="20"/>
        </w:rPr>
        <w:t xml:space="preserve"> </w:t>
      </w:r>
      <w:r w:rsidRPr="003A407E">
        <w:rPr>
          <w:rFonts w:ascii="Times New Roman" w:eastAsia="Times New Roman" w:hAnsi="Times New Roman" w:cs="Times New Roman"/>
          <w:i/>
          <w:sz w:val="24"/>
          <w:szCs w:val="20"/>
        </w:rPr>
        <w:t>Public Governance, Performance and Accountability Act 2013</w:t>
      </w:r>
      <w:r w:rsidRPr="003A407E">
        <w:rPr>
          <w:rFonts w:ascii="Times New Roman" w:eastAsia="Times New Roman" w:hAnsi="Times New Roman" w:cs="Times New Roman"/>
          <w:sz w:val="24"/>
          <w:szCs w:val="20"/>
        </w:rPr>
        <w:t xml:space="preserve"> (PGPA Act). </w:t>
      </w:r>
      <w:r>
        <w:rPr>
          <w:rFonts w:ascii="Times New Roman" w:eastAsia="Times New Roman" w:hAnsi="Times New Roman" w:cs="Times New Roman"/>
          <w:sz w:val="24"/>
          <w:szCs w:val="20"/>
        </w:rPr>
        <w:t xml:space="preserve"> </w:t>
      </w:r>
      <w:r w:rsidRPr="003A407E">
        <w:rPr>
          <w:rFonts w:ascii="Times New Roman" w:eastAsia="Times New Roman" w:hAnsi="Times New Roman" w:cs="Times New Roman"/>
          <w:sz w:val="24"/>
          <w:szCs w:val="20"/>
        </w:rPr>
        <w:t>The report has been prepared in accordance</w:t>
      </w:r>
      <w:r>
        <w:rPr>
          <w:rFonts w:ascii="Times New Roman" w:eastAsia="Times New Roman" w:hAnsi="Times New Roman" w:cs="Times New Roman"/>
          <w:sz w:val="24"/>
          <w:szCs w:val="20"/>
        </w:rPr>
        <w:t xml:space="preserve"> with</w:t>
      </w:r>
      <w:r w:rsidR="00332CCC">
        <w:rPr>
          <w:rFonts w:ascii="Times New Roman" w:eastAsia="Times New Roman" w:hAnsi="Times New Roman" w:cs="Times New Roman"/>
          <w:sz w:val="24"/>
          <w:szCs w:val="20"/>
        </w:rPr>
        <w:t xml:space="preserve"> </w:t>
      </w:r>
      <w:r w:rsidRPr="003A407E">
        <w:rPr>
          <w:rFonts w:ascii="Times New Roman" w:eastAsia="Times New Roman" w:hAnsi="Times New Roman" w:cs="Times New Roman"/>
          <w:i/>
          <w:sz w:val="24"/>
          <w:szCs w:val="20"/>
        </w:rPr>
        <w:t>Resource Management Guide</w:t>
      </w:r>
      <w:r w:rsidR="00332CCC">
        <w:rPr>
          <w:rFonts w:ascii="Times New Roman" w:eastAsia="Times New Roman" w:hAnsi="Times New Roman" w:cs="Times New Roman"/>
          <w:i/>
          <w:sz w:val="24"/>
          <w:szCs w:val="20"/>
        </w:rPr>
        <w:t xml:space="preserve"> </w:t>
      </w:r>
      <w:r w:rsidRPr="003A407E">
        <w:rPr>
          <w:rFonts w:ascii="Times New Roman" w:eastAsia="Times New Roman" w:hAnsi="Times New Roman" w:cs="Times New Roman"/>
          <w:i/>
          <w:sz w:val="24"/>
          <w:szCs w:val="20"/>
        </w:rPr>
        <w:t>No. 135 – Annual reports for non-corporate Commonwealth entities</w:t>
      </w:r>
      <w:r>
        <w:rPr>
          <w:rFonts w:ascii="Times New Roman" w:eastAsia="Times New Roman" w:hAnsi="Times New Roman" w:cs="Times New Roman"/>
          <w:sz w:val="24"/>
          <w:szCs w:val="20"/>
        </w:rPr>
        <w:t>,</w:t>
      </w:r>
      <w:r w:rsidR="00332CCC">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issued by the</w:t>
      </w:r>
      <w:r w:rsidR="00332CCC">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Department of Finance</w:t>
      </w:r>
      <w:r w:rsidRPr="003A407E">
        <w:rPr>
          <w:rFonts w:ascii="Times New Roman" w:eastAsia="Times New Roman" w:hAnsi="Times New Roman" w:cs="Times New Roman"/>
          <w:i/>
          <w:sz w:val="24"/>
          <w:szCs w:val="20"/>
        </w:rPr>
        <w:t>.</w:t>
      </w:r>
    </w:p>
    <w:p w14:paraId="77271AF8" w14:textId="060C2B0D" w:rsidR="002239EC" w:rsidRPr="006B01A0" w:rsidRDefault="002239EC" w:rsidP="00332CCC">
      <w:pPr>
        <w:pStyle w:val="acthead5"/>
        <w:shd w:val="clear" w:color="auto" w:fill="FFFFFF"/>
        <w:rPr>
          <w:rFonts w:asciiTheme="minorHAnsi" w:hAnsiTheme="minorHAnsi" w:cstheme="minorHAnsi"/>
          <w:sz w:val="22"/>
          <w:szCs w:val="22"/>
          <w:lang w:val="en-US"/>
        </w:rPr>
      </w:pPr>
      <w:r>
        <w:rPr>
          <w:szCs w:val="20"/>
        </w:rPr>
        <w:t>This annual report</w:t>
      </w:r>
      <w:r w:rsidRPr="003A407E">
        <w:rPr>
          <w:szCs w:val="20"/>
        </w:rPr>
        <w:t xml:space="preserve"> includes the department’s audited financial statements</w:t>
      </w:r>
      <w:r>
        <w:rPr>
          <w:szCs w:val="20"/>
        </w:rPr>
        <w:t>,</w:t>
      </w:r>
      <w:r w:rsidRPr="003A407E">
        <w:rPr>
          <w:szCs w:val="20"/>
        </w:rPr>
        <w:t xml:space="preserve"> as required</w:t>
      </w:r>
      <w:r w:rsidR="00332CCC">
        <w:rPr>
          <w:szCs w:val="20"/>
        </w:rPr>
        <w:br/>
      </w:r>
      <w:r w:rsidRPr="003A407E">
        <w:rPr>
          <w:szCs w:val="20"/>
        </w:rPr>
        <w:t>by section</w:t>
      </w:r>
      <w:r w:rsidR="00332CCC">
        <w:rPr>
          <w:szCs w:val="20"/>
        </w:rPr>
        <w:t xml:space="preserve"> </w:t>
      </w:r>
      <w:r w:rsidRPr="003A407E">
        <w:rPr>
          <w:szCs w:val="20"/>
        </w:rPr>
        <w:t>43(4) of the PGPA Act.</w:t>
      </w:r>
      <w:r>
        <w:rPr>
          <w:szCs w:val="20"/>
        </w:rPr>
        <w:t xml:space="preserve"> </w:t>
      </w:r>
      <w:r w:rsidRPr="003A407E">
        <w:rPr>
          <w:szCs w:val="20"/>
        </w:rPr>
        <w:t xml:space="preserve"> The report meets </w:t>
      </w:r>
      <w:r>
        <w:rPr>
          <w:szCs w:val="20"/>
        </w:rPr>
        <w:t>the</w:t>
      </w:r>
      <w:r w:rsidRPr="003A407E">
        <w:rPr>
          <w:szCs w:val="20"/>
        </w:rPr>
        <w:t xml:space="preserve"> </w:t>
      </w:r>
      <w:r>
        <w:rPr>
          <w:szCs w:val="20"/>
        </w:rPr>
        <w:t xml:space="preserve">department’s </w:t>
      </w:r>
      <w:r w:rsidRPr="003A407E">
        <w:rPr>
          <w:szCs w:val="20"/>
        </w:rPr>
        <w:t>reporting requirements under the</w:t>
      </w:r>
      <w:r w:rsidR="00332CCC">
        <w:rPr>
          <w:szCs w:val="20"/>
        </w:rPr>
        <w:t xml:space="preserve"> </w:t>
      </w:r>
      <w:r w:rsidRPr="003A407E">
        <w:rPr>
          <w:i/>
          <w:szCs w:val="20"/>
        </w:rPr>
        <w:t>Social Security (Administration) Act 1999</w:t>
      </w:r>
      <w:r w:rsidRPr="003A407E">
        <w:rPr>
          <w:szCs w:val="20"/>
        </w:rPr>
        <w:t xml:space="preserve">, the </w:t>
      </w:r>
      <w:r w:rsidRPr="003A407E">
        <w:rPr>
          <w:i/>
          <w:szCs w:val="20"/>
        </w:rPr>
        <w:t>A New Tax System (Family Assistance) (Administration) Act</w:t>
      </w:r>
      <w:r w:rsidRPr="003A407E">
        <w:rPr>
          <w:szCs w:val="20"/>
        </w:rPr>
        <w:t xml:space="preserve"> </w:t>
      </w:r>
      <w:r w:rsidRPr="003A407E">
        <w:rPr>
          <w:i/>
          <w:szCs w:val="20"/>
        </w:rPr>
        <w:t>1999</w:t>
      </w:r>
      <w:r w:rsidRPr="003A407E">
        <w:rPr>
          <w:szCs w:val="20"/>
        </w:rPr>
        <w:t xml:space="preserve">, the </w:t>
      </w:r>
      <w:r w:rsidRPr="003A407E">
        <w:rPr>
          <w:i/>
          <w:szCs w:val="20"/>
        </w:rPr>
        <w:t>Child Support (Assessment) Act 1989</w:t>
      </w:r>
      <w:r>
        <w:rPr>
          <w:szCs w:val="20"/>
        </w:rPr>
        <w:t xml:space="preserve"> and</w:t>
      </w:r>
      <w:r w:rsidRPr="003A407E">
        <w:rPr>
          <w:szCs w:val="20"/>
        </w:rPr>
        <w:t xml:space="preserve"> the </w:t>
      </w:r>
      <w:r w:rsidRPr="003A407E">
        <w:rPr>
          <w:i/>
          <w:szCs w:val="20"/>
        </w:rPr>
        <w:t>Child Support (Registration and Collection) Act 1988</w:t>
      </w:r>
      <w:r w:rsidRPr="006B01A0">
        <w:rPr>
          <w:szCs w:val="20"/>
        </w:rPr>
        <w:t xml:space="preserve">. </w:t>
      </w:r>
      <w:r>
        <w:rPr>
          <w:szCs w:val="20"/>
        </w:rPr>
        <w:t xml:space="preserve"> </w:t>
      </w:r>
      <w:r w:rsidRPr="006B01A0">
        <w:rPr>
          <w:szCs w:val="20"/>
        </w:rPr>
        <w:t xml:space="preserve">The report also includes the </w:t>
      </w:r>
      <w:r>
        <w:rPr>
          <w:szCs w:val="20"/>
        </w:rPr>
        <w:t>second</w:t>
      </w:r>
      <w:r w:rsidRPr="006B01A0">
        <w:rPr>
          <w:szCs w:val="20"/>
        </w:rPr>
        <w:t xml:space="preserve"> annual report of the National Redress Scheme Operator</w:t>
      </w:r>
      <w:r w:rsidR="00332CCC">
        <w:rPr>
          <w:szCs w:val="20"/>
        </w:rPr>
        <w:t xml:space="preserve"> </w:t>
      </w:r>
      <w:r w:rsidRPr="006B01A0">
        <w:rPr>
          <w:szCs w:val="20"/>
        </w:rPr>
        <w:t>on the operation of the</w:t>
      </w:r>
      <w:r w:rsidR="00332CCC">
        <w:rPr>
          <w:szCs w:val="20"/>
        </w:rPr>
        <w:br/>
      </w:r>
      <w:r w:rsidRPr="006B01A0">
        <w:rPr>
          <w:szCs w:val="20"/>
        </w:rPr>
        <w:t>National Redress Scheme for Institutional Child Sexual A</w:t>
      </w:r>
      <w:r>
        <w:rPr>
          <w:szCs w:val="20"/>
        </w:rPr>
        <w:t>buse, under section 187 of the</w:t>
      </w:r>
      <w:r w:rsidR="00332CCC">
        <w:rPr>
          <w:szCs w:val="20"/>
        </w:rPr>
        <w:br/>
      </w:r>
      <w:r w:rsidRPr="006B01A0">
        <w:rPr>
          <w:i/>
        </w:rPr>
        <w:t>National Redress Scheme for Institutional Child Sexual Abuse Act 2018.</w:t>
      </w:r>
      <w:bookmarkStart w:id="1" w:name="_Toc517430887"/>
      <w:r w:rsidRPr="006B01A0">
        <w:t xml:space="preserve"> </w:t>
      </w:r>
      <w:bookmarkEnd w:id="1"/>
    </w:p>
    <w:p w14:paraId="32428B37" w14:textId="72BC6F4C" w:rsidR="002239EC" w:rsidRPr="003A407E" w:rsidRDefault="002239EC" w:rsidP="002239EC">
      <w:pPr>
        <w:spacing w:after="0" w:line="240" w:lineRule="auto"/>
        <w:rPr>
          <w:rFonts w:ascii="Times New Roman" w:eastAsia="Times New Roman" w:hAnsi="Times New Roman" w:cs="Times New Roman"/>
          <w:sz w:val="24"/>
          <w:szCs w:val="20"/>
        </w:rPr>
      </w:pPr>
      <w:r w:rsidRPr="003A407E">
        <w:rPr>
          <w:rFonts w:ascii="Times New Roman" w:eastAsia="Times New Roman" w:hAnsi="Times New Roman" w:cs="Times New Roman"/>
          <w:sz w:val="24"/>
          <w:szCs w:val="20"/>
        </w:rPr>
        <w:t xml:space="preserve">In accordance with section 10 of the </w:t>
      </w:r>
      <w:r w:rsidRPr="003A407E">
        <w:rPr>
          <w:rFonts w:ascii="Times New Roman" w:eastAsia="Times New Roman" w:hAnsi="Times New Roman" w:cs="Times New Roman"/>
          <w:i/>
          <w:sz w:val="24"/>
          <w:szCs w:val="20"/>
        </w:rPr>
        <w:t>Public Governance, Performance and Accountability Rule 2014</w:t>
      </w:r>
      <w:r w:rsidRPr="003A407E">
        <w:rPr>
          <w:rFonts w:ascii="Times New Roman" w:eastAsia="Times New Roman" w:hAnsi="Times New Roman" w:cs="Times New Roman"/>
          <w:sz w:val="24"/>
          <w:szCs w:val="20"/>
        </w:rPr>
        <w:t>,</w:t>
      </w:r>
      <w:r w:rsidR="00332CCC">
        <w:rPr>
          <w:rFonts w:ascii="Times New Roman" w:eastAsia="Times New Roman" w:hAnsi="Times New Roman" w:cs="Times New Roman"/>
          <w:sz w:val="24"/>
          <w:szCs w:val="20"/>
        </w:rPr>
        <w:t xml:space="preserve"> </w:t>
      </w:r>
      <w:r w:rsidRPr="003A407E">
        <w:rPr>
          <w:rFonts w:ascii="Times New Roman" w:eastAsia="Times New Roman" w:hAnsi="Times New Roman" w:cs="Times New Roman"/>
          <w:sz w:val="24"/>
          <w:szCs w:val="20"/>
        </w:rPr>
        <w:t>I certify that the department has prepared fraud risk assessments and fraud control plans, and has in place appropriate fraud prevention, detection, investigation</w:t>
      </w:r>
      <w:r w:rsidR="0036611E">
        <w:rPr>
          <w:rFonts w:ascii="Times New Roman" w:eastAsia="Times New Roman" w:hAnsi="Times New Roman" w:cs="Times New Roman"/>
          <w:sz w:val="24"/>
          <w:szCs w:val="20"/>
        </w:rPr>
        <w:t>,</w:t>
      </w:r>
      <w:r w:rsidRPr="003A407E">
        <w:rPr>
          <w:rFonts w:ascii="Times New Roman" w:eastAsia="Times New Roman" w:hAnsi="Times New Roman" w:cs="Times New Roman"/>
          <w:sz w:val="24"/>
          <w:szCs w:val="20"/>
        </w:rPr>
        <w:t xml:space="preserve"> and reporting mechanisms that meet its specific needs.</w:t>
      </w:r>
      <w:r>
        <w:rPr>
          <w:rFonts w:ascii="Times New Roman" w:eastAsia="Times New Roman" w:hAnsi="Times New Roman" w:cs="Times New Roman"/>
          <w:sz w:val="24"/>
          <w:szCs w:val="20"/>
        </w:rPr>
        <w:t xml:space="preserve"> </w:t>
      </w:r>
      <w:r w:rsidRPr="003A407E">
        <w:rPr>
          <w:rFonts w:ascii="Times New Roman" w:eastAsia="Times New Roman" w:hAnsi="Times New Roman" w:cs="Times New Roman"/>
          <w:sz w:val="24"/>
          <w:szCs w:val="20"/>
        </w:rPr>
        <w:t xml:space="preserve"> </w:t>
      </w:r>
      <w:r w:rsidR="00232A9B">
        <w:rPr>
          <w:rFonts w:ascii="Times New Roman" w:eastAsia="Times New Roman" w:hAnsi="Times New Roman" w:cs="Times New Roman"/>
          <w:sz w:val="24"/>
          <w:szCs w:val="20"/>
        </w:rPr>
        <w:t>R</w:t>
      </w:r>
      <w:r w:rsidRPr="003A407E">
        <w:rPr>
          <w:rFonts w:ascii="Times New Roman" w:eastAsia="Times New Roman" w:hAnsi="Times New Roman" w:cs="Times New Roman"/>
          <w:sz w:val="24"/>
          <w:szCs w:val="20"/>
        </w:rPr>
        <w:t>easonable measures have also been taken</w:t>
      </w:r>
      <w:r w:rsidR="00332CCC">
        <w:rPr>
          <w:rFonts w:ascii="Times New Roman" w:eastAsia="Times New Roman" w:hAnsi="Times New Roman" w:cs="Times New Roman"/>
          <w:sz w:val="24"/>
          <w:szCs w:val="20"/>
        </w:rPr>
        <w:br/>
      </w:r>
      <w:r w:rsidRPr="003A407E">
        <w:rPr>
          <w:rFonts w:ascii="Times New Roman" w:eastAsia="Times New Roman" w:hAnsi="Times New Roman" w:cs="Times New Roman"/>
          <w:sz w:val="24"/>
          <w:szCs w:val="20"/>
        </w:rPr>
        <w:t>to appropriately deal with fraud relating to the department.</w:t>
      </w:r>
    </w:p>
    <w:p w14:paraId="3DE37ED8" w14:textId="5FDC8E9C" w:rsidR="002239EC" w:rsidRPr="003A407E" w:rsidRDefault="002239EC" w:rsidP="002239EC">
      <w:pPr>
        <w:spacing w:after="0" w:line="240" w:lineRule="auto"/>
        <w:rPr>
          <w:rFonts w:ascii="Times New Roman" w:eastAsia="Times New Roman" w:hAnsi="Times New Roman" w:cs="Times New Roman"/>
          <w:sz w:val="24"/>
          <w:szCs w:val="20"/>
        </w:rPr>
      </w:pPr>
    </w:p>
    <w:p w14:paraId="3C88A4BF" w14:textId="42AD1A6E" w:rsidR="002239EC" w:rsidRPr="003A407E" w:rsidRDefault="002239EC">
      <w:pPr>
        <w:spacing w:after="0" w:line="240" w:lineRule="auto"/>
        <w:rPr>
          <w:rFonts w:ascii="Times New Roman" w:eastAsia="Times New Roman" w:hAnsi="Times New Roman" w:cs="Times New Roman"/>
          <w:sz w:val="24"/>
          <w:szCs w:val="20"/>
        </w:rPr>
      </w:pPr>
      <w:r w:rsidRPr="003A407E">
        <w:rPr>
          <w:rFonts w:ascii="Times New Roman" w:eastAsia="Times New Roman" w:hAnsi="Times New Roman" w:cs="Times New Roman"/>
          <w:sz w:val="24"/>
          <w:szCs w:val="20"/>
        </w:rPr>
        <w:t>Yours sincerely</w:t>
      </w:r>
    </w:p>
    <w:p w14:paraId="7419D01E" w14:textId="2B57DD07" w:rsidR="00192B46" w:rsidRDefault="004A1477">
      <w:pPr>
        <w:spacing w:after="0" w:line="240" w:lineRule="auto"/>
        <w:rPr>
          <w:rFonts w:ascii="Times New Roman" w:eastAsia="Times New Roman" w:hAnsi="Times New Roman" w:cs="Times New Roman"/>
          <w:sz w:val="24"/>
          <w:szCs w:val="20"/>
        </w:rPr>
      </w:pPr>
      <w:r>
        <w:rPr>
          <w:noProof/>
          <w:lang w:eastAsia="en-AU"/>
        </w:rPr>
        <w:drawing>
          <wp:anchor distT="0" distB="0" distL="114300" distR="114300" simplePos="0" relativeHeight="251688960" behindDoc="0" locked="0" layoutInCell="1" allowOverlap="1" wp14:anchorId="5C70C926" wp14:editId="7040DFB3">
            <wp:simplePos x="0" y="0"/>
            <wp:positionH relativeFrom="column">
              <wp:posOffset>1270</wp:posOffset>
            </wp:positionH>
            <wp:positionV relativeFrom="paragraph">
              <wp:posOffset>80990</wp:posOffset>
            </wp:positionV>
            <wp:extent cx="3168000" cy="828000"/>
            <wp:effectExtent l="0" t="0" r="0" b="0"/>
            <wp:wrapNone/>
            <wp:docPr id="3468" name="Picture 3468" descr="Copy of signature Katherine Campbell"/>
            <wp:cNvGraphicFramePr/>
            <a:graphic xmlns:a="http://schemas.openxmlformats.org/drawingml/2006/main">
              <a:graphicData uri="http://schemas.openxmlformats.org/drawingml/2006/picture">
                <pic:pic xmlns:pic="http://schemas.openxmlformats.org/drawingml/2006/picture">
                  <pic:nvPicPr>
                    <pic:cNvPr id="3468" name="Picture 346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8000" cy="828000"/>
                    </a:xfrm>
                    <a:prstGeom prst="rect">
                      <a:avLst/>
                    </a:prstGeom>
                  </pic:spPr>
                </pic:pic>
              </a:graphicData>
            </a:graphic>
          </wp:anchor>
        </w:drawing>
      </w:r>
    </w:p>
    <w:p w14:paraId="32C77A1D" w14:textId="2C2FF399" w:rsidR="00192B46" w:rsidRDefault="00192B46">
      <w:pPr>
        <w:spacing w:after="0" w:line="240" w:lineRule="auto"/>
        <w:rPr>
          <w:rFonts w:ascii="Times New Roman" w:eastAsia="Times New Roman" w:hAnsi="Times New Roman" w:cs="Times New Roman"/>
          <w:sz w:val="24"/>
          <w:szCs w:val="20"/>
        </w:rPr>
      </w:pPr>
    </w:p>
    <w:p w14:paraId="608E333D" w14:textId="49798449" w:rsidR="002239EC" w:rsidRPr="003A047F" w:rsidRDefault="002239EC" w:rsidP="003A047F">
      <w:pPr>
        <w:spacing w:after="0"/>
        <w:rPr>
          <w:rFonts w:ascii="Times New Roman" w:hAnsi="Times New Roman" w:cs="Times New Roman"/>
          <w:sz w:val="24"/>
          <w:szCs w:val="24"/>
        </w:rPr>
      </w:pPr>
    </w:p>
    <w:p w14:paraId="15970AF3" w14:textId="77777777" w:rsidR="005B5266" w:rsidRDefault="005B5266" w:rsidP="003A047F">
      <w:pPr>
        <w:spacing w:after="0" w:line="240" w:lineRule="auto"/>
        <w:jc w:val="center"/>
        <w:rPr>
          <w:sz w:val="16"/>
          <w:szCs w:val="16"/>
        </w:rPr>
      </w:pPr>
    </w:p>
    <w:p w14:paraId="7CF3FE9F" w14:textId="77777777" w:rsidR="004A1477" w:rsidRDefault="004A1477" w:rsidP="003A047F">
      <w:pPr>
        <w:spacing w:after="0" w:line="240" w:lineRule="auto"/>
        <w:jc w:val="center"/>
        <w:rPr>
          <w:sz w:val="16"/>
          <w:szCs w:val="16"/>
        </w:rPr>
      </w:pPr>
    </w:p>
    <w:p w14:paraId="73635B06" w14:textId="77777777" w:rsidR="004A1477" w:rsidRDefault="004A1477" w:rsidP="003A047F">
      <w:pPr>
        <w:spacing w:after="0" w:line="240" w:lineRule="auto"/>
        <w:jc w:val="center"/>
        <w:rPr>
          <w:sz w:val="16"/>
          <w:szCs w:val="16"/>
        </w:rPr>
      </w:pPr>
    </w:p>
    <w:p w14:paraId="18C4B802" w14:textId="77777777" w:rsidR="004A1477" w:rsidRDefault="004A1477" w:rsidP="003A047F">
      <w:pPr>
        <w:spacing w:after="0" w:line="240" w:lineRule="auto"/>
        <w:jc w:val="center"/>
        <w:rPr>
          <w:sz w:val="16"/>
          <w:szCs w:val="16"/>
        </w:rPr>
      </w:pPr>
    </w:p>
    <w:p w14:paraId="1C30EA37" w14:textId="7621E655" w:rsidR="00C6098F" w:rsidRPr="005B5266" w:rsidRDefault="00EA07B9" w:rsidP="003A047F">
      <w:pPr>
        <w:spacing w:after="0" w:line="240" w:lineRule="auto"/>
        <w:jc w:val="center"/>
        <w:rPr>
          <w:sz w:val="16"/>
          <w:szCs w:val="16"/>
        </w:rPr>
      </w:pPr>
      <w:r w:rsidRPr="005B5266">
        <w:rPr>
          <w:sz w:val="16"/>
          <w:szCs w:val="16"/>
        </w:rPr>
        <w:t xml:space="preserve">GPO Box 9820, Canberra ACT 2601 </w:t>
      </w:r>
      <w:r w:rsidRPr="005B5266">
        <w:rPr>
          <w:sz w:val="16"/>
          <w:szCs w:val="16"/>
        </w:rPr>
        <w:sym w:font="Wingdings" w:char="F09F"/>
      </w:r>
      <w:r w:rsidRPr="005B5266">
        <w:rPr>
          <w:sz w:val="16"/>
          <w:szCs w:val="16"/>
        </w:rPr>
        <w:t xml:space="preserve"> Tel (02) 6146 001</w:t>
      </w:r>
      <w:r w:rsidR="005B5266" w:rsidRPr="005B5266">
        <w:rPr>
          <w:sz w:val="16"/>
          <w:szCs w:val="16"/>
        </w:rPr>
        <w:t>0</w:t>
      </w:r>
      <w:r w:rsidRPr="005B5266">
        <w:rPr>
          <w:sz w:val="16"/>
          <w:szCs w:val="16"/>
        </w:rPr>
        <w:t xml:space="preserve"> </w:t>
      </w:r>
      <w:r w:rsidRPr="005B5266">
        <w:rPr>
          <w:sz w:val="16"/>
          <w:szCs w:val="16"/>
        </w:rPr>
        <w:sym w:font="Wingdings" w:char="F09F"/>
      </w:r>
      <w:r w:rsidRPr="005B5266">
        <w:rPr>
          <w:sz w:val="16"/>
          <w:szCs w:val="16"/>
        </w:rPr>
        <w:t xml:space="preserve"> Facsimile (02) 6204 4505</w:t>
      </w:r>
    </w:p>
    <w:p w14:paraId="4309400C" w14:textId="6235586B" w:rsidR="007278E5" w:rsidRPr="005B5266" w:rsidRDefault="00EA07B9" w:rsidP="003A047F">
      <w:pPr>
        <w:spacing w:after="0" w:line="240" w:lineRule="auto"/>
        <w:jc w:val="center"/>
        <w:rPr>
          <w:sz w:val="16"/>
          <w:szCs w:val="16"/>
        </w:rPr>
        <w:sectPr w:rsidR="007278E5" w:rsidRPr="005B5266" w:rsidSect="00C6098F">
          <w:headerReference w:type="default" r:id="rId26"/>
          <w:pgSz w:w="11906" w:h="16838"/>
          <w:pgMar w:top="1440" w:right="1440" w:bottom="1440" w:left="1440" w:header="709" w:footer="709" w:gutter="0"/>
          <w:pgNumType w:fmt="lowerRoman"/>
          <w:cols w:space="708"/>
          <w:docGrid w:linePitch="360"/>
        </w:sectPr>
      </w:pPr>
      <w:r w:rsidRPr="005B5266">
        <w:rPr>
          <w:sz w:val="16"/>
          <w:szCs w:val="16"/>
        </w:rPr>
        <w:t>Internet www.dss.gov.au</w:t>
      </w:r>
    </w:p>
    <w:p w14:paraId="0F921116" w14:textId="77777777" w:rsidR="002239EC" w:rsidRDefault="002239EC" w:rsidP="0003041A">
      <w:pPr>
        <w:pStyle w:val="Header"/>
        <w:spacing w:before="200"/>
        <w:rPr>
          <w:b/>
          <w:sz w:val="28"/>
        </w:rPr>
      </w:pPr>
      <w:r>
        <w:rPr>
          <w:noProof/>
          <w:lang w:eastAsia="en-AU"/>
        </w:rPr>
        <w:lastRenderedPageBreak/>
        <w:drawing>
          <wp:inline distT="0" distB="0" distL="0" distR="0" wp14:anchorId="001729F5" wp14:editId="13B1461E">
            <wp:extent cx="3362325" cy="675802"/>
            <wp:effectExtent l="0" t="0" r="0" b="0"/>
            <wp:docPr id="1" name="Picture 1" descr="Department of Social Services logo" title="Logo - Australian Government, Department of Soci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61251" name="Picture 6" descr="DSS logo_strip black"/>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375518" cy="678454"/>
                    </a:xfrm>
                    <a:prstGeom prst="rect">
                      <a:avLst/>
                    </a:prstGeom>
                    <a:noFill/>
                    <a:ln>
                      <a:noFill/>
                    </a:ln>
                  </pic:spPr>
                </pic:pic>
              </a:graphicData>
            </a:graphic>
          </wp:inline>
        </w:drawing>
      </w:r>
    </w:p>
    <w:p w14:paraId="71A63B00" w14:textId="77777777" w:rsidR="002239EC" w:rsidRDefault="002239EC" w:rsidP="002239EC">
      <w:pPr>
        <w:pStyle w:val="Header"/>
        <w:tabs>
          <w:tab w:val="clear" w:pos="4513"/>
          <w:tab w:val="center" w:pos="4535"/>
          <w:tab w:val="left" w:pos="7437"/>
        </w:tabs>
        <w:jc w:val="center"/>
      </w:pPr>
    </w:p>
    <w:p w14:paraId="1132702E" w14:textId="77777777" w:rsidR="002239EC" w:rsidRPr="00CA7637" w:rsidRDefault="002239EC" w:rsidP="002239EC">
      <w:pPr>
        <w:pStyle w:val="Header"/>
        <w:tabs>
          <w:tab w:val="clear" w:pos="4513"/>
          <w:tab w:val="center" w:pos="4535"/>
          <w:tab w:val="left" w:pos="7437"/>
        </w:tabs>
        <w:jc w:val="center"/>
      </w:pPr>
    </w:p>
    <w:p w14:paraId="55C61A40" w14:textId="77777777" w:rsidR="002239EC" w:rsidRDefault="002239EC" w:rsidP="002239EC">
      <w:pPr>
        <w:pStyle w:val="Heading2"/>
      </w:pPr>
      <w:r w:rsidRPr="00381C7D">
        <w:t>Secretary</w:t>
      </w:r>
      <w:r>
        <w:t>’s r</w:t>
      </w:r>
      <w:r w:rsidRPr="00381C7D">
        <w:t>eview</w:t>
      </w:r>
    </w:p>
    <w:p w14:paraId="2BE9F3F3" w14:textId="77777777" w:rsidR="002239EC" w:rsidRDefault="002239EC" w:rsidP="002239EC">
      <w:pPr>
        <w:autoSpaceDE w:val="0"/>
        <w:autoSpaceDN w:val="0"/>
        <w:adjustRightInd w:val="0"/>
        <w:spacing w:after="0" w:line="240" w:lineRule="auto"/>
        <w:rPr>
          <w:rFonts w:ascii="HelveticaNeueLTStd-Bd" w:hAnsi="HelveticaNeueLTStd-Bd" w:cs="HelveticaNeueLTStd-Bd"/>
          <w:sz w:val="19"/>
          <w:szCs w:val="19"/>
        </w:rPr>
      </w:pPr>
    </w:p>
    <w:p w14:paraId="3FFF5069" w14:textId="25C9D685" w:rsidR="00B459E4" w:rsidRPr="00A526BE" w:rsidRDefault="002239EC" w:rsidP="00B459E4">
      <w:pPr>
        <w:rPr>
          <w:iCs/>
          <w:sz w:val="20"/>
          <w:szCs w:val="20"/>
        </w:rPr>
      </w:pPr>
      <w:r w:rsidRPr="003B13C6">
        <w:rPr>
          <w:rFonts w:cs="Arial"/>
          <w:b/>
          <w:noProof/>
          <w:sz w:val="20"/>
          <w:szCs w:val="20"/>
          <w:lang w:eastAsia="en-AU"/>
        </w:rPr>
        <w:drawing>
          <wp:anchor distT="0" distB="0" distL="114300" distR="114300" simplePos="0" relativeHeight="251659264" behindDoc="0" locked="0" layoutInCell="1" allowOverlap="1" wp14:anchorId="12DBA387" wp14:editId="0F1D1CC6">
            <wp:simplePos x="0" y="0"/>
            <wp:positionH relativeFrom="column">
              <wp:posOffset>-2540</wp:posOffset>
            </wp:positionH>
            <wp:positionV relativeFrom="paragraph">
              <wp:posOffset>0</wp:posOffset>
            </wp:positionV>
            <wp:extent cx="1555115" cy="2058670"/>
            <wp:effectExtent l="0" t="0" r="6985" b="0"/>
            <wp:wrapSquare wrapText="bothSides"/>
            <wp:docPr id="11" name="Picture 11" descr="Photo of the Department of Social Services' Secretary, Kathryn Campbell, below heading Secretary's Review." title="Photo of the Department of Social Services' Secre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5115" cy="2058670"/>
                    </a:xfrm>
                    <a:prstGeom prst="rect">
                      <a:avLst/>
                    </a:prstGeom>
                    <a:noFill/>
                  </pic:spPr>
                </pic:pic>
              </a:graphicData>
            </a:graphic>
          </wp:anchor>
        </w:drawing>
      </w:r>
      <w:r w:rsidR="00B459E4" w:rsidRPr="00A526BE">
        <w:rPr>
          <w:iCs/>
          <w:sz w:val="20"/>
          <w:szCs w:val="20"/>
        </w:rPr>
        <w:t>It has been a challenging 12 months</w:t>
      </w:r>
      <w:r w:rsidR="00C45B94">
        <w:rPr>
          <w:iCs/>
          <w:sz w:val="20"/>
          <w:szCs w:val="20"/>
        </w:rPr>
        <w:t xml:space="preserve"> for all Australians as</w:t>
      </w:r>
      <w:r w:rsidR="00B459E4" w:rsidRPr="00A526BE">
        <w:rPr>
          <w:iCs/>
          <w:sz w:val="20"/>
          <w:szCs w:val="20"/>
        </w:rPr>
        <w:t xml:space="preserve"> we have experienced extreme bushfires</w:t>
      </w:r>
      <w:r w:rsidR="00C45B94">
        <w:rPr>
          <w:iCs/>
          <w:sz w:val="20"/>
          <w:szCs w:val="20"/>
        </w:rPr>
        <w:t xml:space="preserve"> and</w:t>
      </w:r>
      <w:r w:rsidR="00B459E4" w:rsidRPr="00A526BE">
        <w:rPr>
          <w:iCs/>
          <w:sz w:val="20"/>
          <w:szCs w:val="20"/>
        </w:rPr>
        <w:t xml:space="preserve"> floods</w:t>
      </w:r>
      <w:r w:rsidR="00C45B94">
        <w:rPr>
          <w:iCs/>
          <w:sz w:val="20"/>
          <w:szCs w:val="20"/>
        </w:rPr>
        <w:t>,</w:t>
      </w:r>
      <w:r w:rsidR="00B459E4" w:rsidRPr="00A526BE">
        <w:rPr>
          <w:iCs/>
          <w:sz w:val="20"/>
          <w:szCs w:val="20"/>
        </w:rPr>
        <w:t xml:space="preserve"> and we are still in the midst of the </w:t>
      </w:r>
      <w:r w:rsidR="00782B7D" w:rsidRPr="00A526BE">
        <w:rPr>
          <w:iCs/>
          <w:sz w:val="20"/>
          <w:szCs w:val="20"/>
        </w:rPr>
        <w:t>COVID-19</w:t>
      </w:r>
      <w:r w:rsidR="00B459E4" w:rsidRPr="00A526BE">
        <w:rPr>
          <w:iCs/>
          <w:sz w:val="20"/>
          <w:szCs w:val="20"/>
        </w:rPr>
        <w:t xml:space="preserve"> pandemic.</w:t>
      </w:r>
    </w:p>
    <w:p w14:paraId="40BC9BDE" w14:textId="5F9AD372" w:rsidR="00B459E4" w:rsidRPr="00A526BE" w:rsidRDefault="00C45B94" w:rsidP="00B459E4">
      <w:pPr>
        <w:rPr>
          <w:iCs/>
          <w:sz w:val="20"/>
          <w:szCs w:val="20"/>
        </w:rPr>
      </w:pPr>
      <w:r>
        <w:rPr>
          <w:iCs/>
          <w:sz w:val="20"/>
          <w:szCs w:val="20"/>
        </w:rPr>
        <w:t>In this context, t</w:t>
      </w:r>
      <w:r w:rsidR="00B459E4" w:rsidRPr="00A526BE">
        <w:rPr>
          <w:iCs/>
          <w:sz w:val="20"/>
          <w:szCs w:val="20"/>
        </w:rPr>
        <w:t>he department’s commitment to improving the social and economic wellbeing of individuals and families in Australian communities has never been more important. In 2019–20 the department, working closely with our portfolio agencies, mobilised our workforce to focus on critical priorities</w:t>
      </w:r>
      <w:r>
        <w:rPr>
          <w:iCs/>
          <w:sz w:val="20"/>
          <w:szCs w:val="20"/>
        </w:rPr>
        <w:t xml:space="preserve"> by</w:t>
      </w:r>
      <w:r w:rsidR="00B459E4" w:rsidRPr="00A526BE">
        <w:rPr>
          <w:iCs/>
          <w:sz w:val="20"/>
          <w:szCs w:val="20"/>
        </w:rPr>
        <w:t xml:space="preserve"> developing policies</w:t>
      </w:r>
      <w:r>
        <w:rPr>
          <w:iCs/>
          <w:sz w:val="20"/>
          <w:szCs w:val="20"/>
        </w:rPr>
        <w:t xml:space="preserve"> and delivering</w:t>
      </w:r>
      <w:r w:rsidR="00B459E4" w:rsidRPr="00A526BE">
        <w:rPr>
          <w:iCs/>
          <w:sz w:val="20"/>
          <w:szCs w:val="20"/>
        </w:rPr>
        <w:t xml:space="preserve"> essential services to </w:t>
      </w:r>
      <w:r w:rsidR="00325C6A">
        <w:rPr>
          <w:iCs/>
          <w:sz w:val="20"/>
          <w:szCs w:val="20"/>
        </w:rPr>
        <w:t xml:space="preserve">support people and </w:t>
      </w:r>
      <w:r w:rsidR="00B459E4" w:rsidRPr="00A526BE">
        <w:rPr>
          <w:iCs/>
          <w:sz w:val="20"/>
          <w:szCs w:val="20"/>
        </w:rPr>
        <w:t>communit</w:t>
      </w:r>
      <w:r w:rsidR="00232A9B">
        <w:rPr>
          <w:iCs/>
          <w:sz w:val="20"/>
          <w:szCs w:val="20"/>
        </w:rPr>
        <w:t>ies</w:t>
      </w:r>
      <w:r w:rsidR="00B459E4" w:rsidRPr="00A526BE">
        <w:rPr>
          <w:iCs/>
          <w:sz w:val="20"/>
          <w:szCs w:val="20"/>
        </w:rPr>
        <w:t>.</w:t>
      </w:r>
    </w:p>
    <w:p w14:paraId="1EB477AE" w14:textId="08C114CD" w:rsidR="00B459E4" w:rsidRPr="00A526BE" w:rsidRDefault="00B459E4" w:rsidP="00B459E4">
      <w:pPr>
        <w:rPr>
          <w:iCs/>
          <w:sz w:val="20"/>
          <w:szCs w:val="20"/>
        </w:rPr>
      </w:pPr>
      <w:r w:rsidRPr="00A526BE">
        <w:rPr>
          <w:iCs/>
          <w:sz w:val="20"/>
          <w:szCs w:val="20"/>
        </w:rPr>
        <w:t>We oversaw the Government’s $50 million package to support</w:t>
      </w:r>
      <w:r w:rsidR="00232A9B">
        <w:rPr>
          <w:iCs/>
          <w:sz w:val="20"/>
          <w:szCs w:val="20"/>
        </w:rPr>
        <w:br/>
      </w:r>
      <w:r w:rsidRPr="00A526BE">
        <w:rPr>
          <w:iCs/>
          <w:sz w:val="20"/>
          <w:szCs w:val="20"/>
        </w:rPr>
        <w:t>bushfire-affected communities. This included $40 million for emergency relief and food relief services</w:t>
      </w:r>
      <w:r w:rsidR="00325C6A">
        <w:rPr>
          <w:iCs/>
          <w:sz w:val="20"/>
          <w:szCs w:val="20"/>
        </w:rPr>
        <w:t>,</w:t>
      </w:r>
      <w:r w:rsidRPr="00A526BE">
        <w:rPr>
          <w:iCs/>
          <w:sz w:val="20"/>
          <w:szCs w:val="20"/>
        </w:rPr>
        <w:t xml:space="preserve"> and $10 million for Commonwealth Financial Counselling and the National Debt Helpline. This assist</w:t>
      </w:r>
      <w:r w:rsidR="00232A9B">
        <w:rPr>
          <w:iCs/>
          <w:sz w:val="20"/>
          <w:szCs w:val="20"/>
        </w:rPr>
        <w:t>ed</w:t>
      </w:r>
      <w:r w:rsidRPr="00A526BE">
        <w:rPr>
          <w:iCs/>
          <w:sz w:val="20"/>
          <w:szCs w:val="20"/>
        </w:rPr>
        <w:t xml:space="preserve"> tens of thousands of people affected by</w:t>
      </w:r>
      <w:r w:rsidR="00232A9B">
        <w:rPr>
          <w:iCs/>
          <w:sz w:val="20"/>
          <w:szCs w:val="20"/>
        </w:rPr>
        <w:t xml:space="preserve"> the</w:t>
      </w:r>
      <w:r w:rsidRPr="00A526BE">
        <w:rPr>
          <w:iCs/>
          <w:sz w:val="20"/>
          <w:szCs w:val="20"/>
        </w:rPr>
        <w:t xml:space="preserve"> bushfires to rebuild and recover, </w:t>
      </w:r>
      <w:r w:rsidR="00232A9B">
        <w:rPr>
          <w:iCs/>
          <w:sz w:val="20"/>
          <w:szCs w:val="20"/>
        </w:rPr>
        <w:t>while also</w:t>
      </w:r>
      <w:r w:rsidR="00325C6A">
        <w:rPr>
          <w:iCs/>
          <w:sz w:val="20"/>
          <w:szCs w:val="20"/>
        </w:rPr>
        <w:t xml:space="preserve"> helping</w:t>
      </w:r>
      <w:r w:rsidR="00232A9B">
        <w:rPr>
          <w:iCs/>
          <w:sz w:val="20"/>
          <w:szCs w:val="20"/>
        </w:rPr>
        <w:t xml:space="preserve"> </w:t>
      </w:r>
      <w:r w:rsidRPr="00A526BE">
        <w:rPr>
          <w:iCs/>
          <w:sz w:val="20"/>
          <w:szCs w:val="20"/>
        </w:rPr>
        <w:t xml:space="preserve">boost local economies. </w:t>
      </w:r>
    </w:p>
    <w:p w14:paraId="4DB0C469" w14:textId="422C1F04" w:rsidR="00782B7D" w:rsidRPr="00A526BE" w:rsidRDefault="00782B7D" w:rsidP="00782B7D">
      <w:pPr>
        <w:rPr>
          <w:iCs/>
          <w:sz w:val="20"/>
          <w:szCs w:val="20"/>
        </w:rPr>
      </w:pPr>
      <w:r w:rsidRPr="00A526BE">
        <w:rPr>
          <w:iCs/>
          <w:sz w:val="20"/>
          <w:szCs w:val="20"/>
        </w:rPr>
        <w:t xml:space="preserve">In March 2020, the </w:t>
      </w:r>
      <w:proofErr w:type="spellStart"/>
      <w:r w:rsidRPr="00A526BE">
        <w:rPr>
          <w:iCs/>
          <w:sz w:val="20"/>
          <w:szCs w:val="20"/>
        </w:rPr>
        <w:t>JobSeeker</w:t>
      </w:r>
      <w:proofErr w:type="spellEnd"/>
      <w:r w:rsidRPr="00A526BE">
        <w:rPr>
          <w:iCs/>
          <w:sz w:val="20"/>
          <w:szCs w:val="20"/>
        </w:rPr>
        <w:t xml:space="preserve"> Payment was introduced as the main payment for working age Australians, </w:t>
      </w:r>
      <w:r w:rsidR="004C2D88">
        <w:rPr>
          <w:iCs/>
          <w:sz w:val="20"/>
          <w:szCs w:val="20"/>
        </w:rPr>
        <w:t xml:space="preserve">and </w:t>
      </w:r>
      <w:r w:rsidRPr="00A526BE">
        <w:rPr>
          <w:iCs/>
          <w:sz w:val="20"/>
          <w:szCs w:val="20"/>
        </w:rPr>
        <w:t xml:space="preserve">is progressively consolidating seven existing income support payments. Together with the previous </w:t>
      </w:r>
      <w:proofErr w:type="spellStart"/>
      <w:r w:rsidRPr="00A526BE">
        <w:rPr>
          <w:iCs/>
          <w:sz w:val="20"/>
          <w:szCs w:val="20"/>
        </w:rPr>
        <w:t>Newstart</w:t>
      </w:r>
      <w:proofErr w:type="spellEnd"/>
      <w:r w:rsidRPr="00A526BE">
        <w:rPr>
          <w:iCs/>
          <w:sz w:val="20"/>
          <w:szCs w:val="20"/>
        </w:rPr>
        <w:t xml:space="preserve"> Allowance, $18.5 billion was </w:t>
      </w:r>
      <w:r w:rsidR="004C2D88">
        <w:rPr>
          <w:iCs/>
          <w:sz w:val="20"/>
          <w:szCs w:val="20"/>
        </w:rPr>
        <w:t>provided</w:t>
      </w:r>
      <w:r w:rsidRPr="00A526BE">
        <w:rPr>
          <w:iCs/>
          <w:sz w:val="20"/>
          <w:szCs w:val="20"/>
        </w:rPr>
        <w:t xml:space="preserve"> to support Australians out of work in 2019-20. With the onset of COVID-19, we were also able to make a range of temporary changes to </w:t>
      </w:r>
      <w:proofErr w:type="spellStart"/>
      <w:r w:rsidRPr="00A526BE">
        <w:rPr>
          <w:iCs/>
          <w:sz w:val="20"/>
          <w:szCs w:val="20"/>
        </w:rPr>
        <w:t>JobSeeker</w:t>
      </w:r>
      <w:proofErr w:type="spellEnd"/>
      <w:r w:rsidRPr="00A526BE">
        <w:rPr>
          <w:iCs/>
          <w:sz w:val="20"/>
          <w:szCs w:val="20"/>
        </w:rPr>
        <w:t xml:space="preserve"> </w:t>
      </w:r>
      <w:r w:rsidR="004C2D88">
        <w:rPr>
          <w:iCs/>
          <w:sz w:val="20"/>
          <w:szCs w:val="20"/>
        </w:rPr>
        <w:t>and related p</w:t>
      </w:r>
      <w:r w:rsidRPr="00A526BE">
        <w:rPr>
          <w:iCs/>
          <w:sz w:val="20"/>
          <w:szCs w:val="20"/>
        </w:rPr>
        <w:t>ayment</w:t>
      </w:r>
      <w:r w:rsidR="004C2D88">
        <w:rPr>
          <w:iCs/>
          <w:sz w:val="20"/>
          <w:szCs w:val="20"/>
        </w:rPr>
        <w:t>s</w:t>
      </w:r>
      <w:r w:rsidRPr="00A526BE">
        <w:rPr>
          <w:iCs/>
          <w:sz w:val="20"/>
          <w:szCs w:val="20"/>
        </w:rPr>
        <w:t xml:space="preserve">, including </w:t>
      </w:r>
      <w:r w:rsidR="00496380" w:rsidRPr="00A526BE">
        <w:rPr>
          <w:iCs/>
          <w:sz w:val="20"/>
          <w:szCs w:val="20"/>
        </w:rPr>
        <w:t>introducing</w:t>
      </w:r>
      <w:r w:rsidRPr="00A526BE">
        <w:rPr>
          <w:iCs/>
          <w:sz w:val="20"/>
          <w:szCs w:val="20"/>
        </w:rPr>
        <w:t xml:space="preserve"> the Coronavirus Supplement</w:t>
      </w:r>
      <w:r w:rsidR="00325C6A">
        <w:rPr>
          <w:iCs/>
          <w:sz w:val="20"/>
          <w:szCs w:val="20"/>
        </w:rPr>
        <w:t>,</w:t>
      </w:r>
      <w:r w:rsidRPr="00A526BE">
        <w:rPr>
          <w:iCs/>
          <w:sz w:val="20"/>
          <w:szCs w:val="20"/>
        </w:rPr>
        <w:t xml:space="preserve"> to support over a million Australians who needed support quickly.</w:t>
      </w:r>
    </w:p>
    <w:p w14:paraId="5CFF0E26" w14:textId="15A2B7C9" w:rsidR="00B459E4" w:rsidRPr="00A526BE" w:rsidRDefault="00B459E4" w:rsidP="00B459E4">
      <w:pPr>
        <w:rPr>
          <w:iCs/>
          <w:sz w:val="20"/>
          <w:szCs w:val="20"/>
        </w:rPr>
      </w:pPr>
      <w:r w:rsidRPr="00A526BE">
        <w:rPr>
          <w:iCs/>
          <w:sz w:val="20"/>
          <w:szCs w:val="20"/>
        </w:rPr>
        <w:t xml:space="preserve">We supported people with disability during </w:t>
      </w:r>
      <w:r w:rsidR="00782B7D" w:rsidRPr="00A526BE">
        <w:rPr>
          <w:iCs/>
          <w:sz w:val="20"/>
          <w:szCs w:val="20"/>
        </w:rPr>
        <w:t>COVID-19</w:t>
      </w:r>
      <w:r w:rsidRPr="00A526BE">
        <w:rPr>
          <w:iCs/>
          <w:sz w:val="20"/>
          <w:szCs w:val="20"/>
        </w:rPr>
        <w:t xml:space="preserve"> through funding the Disability Information Helpline, a free and confidential phone line for people with disability, families, carers and support workers delivering a range of services such as counselling or advocacy.</w:t>
      </w:r>
    </w:p>
    <w:p w14:paraId="3FCEA29E" w14:textId="1E714DF2" w:rsidR="00B459E4" w:rsidRPr="00A526BE" w:rsidRDefault="00B459E4" w:rsidP="00B459E4">
      <w:pPr>
        <w:rPr>
          <w:iCs/>
          <w:sz w:val="20"/>
          <w:szCs w:val="20"/>
        </w:rPr>
      </w:pPr>
      <w:r w:rsidRPr="00A526BE">
        <w:rPr>
          <w:iCs/>
          <w:sz w:val="20"/>
          <w:szCs w:val="20"/>
        </w:rPr>
        <w:t xml:space="preserve">The new Carer Gateway introduced by the department in April 2020 provided a range of </w:t>
      </w:r>
      <w:r w:rsidRPr="00A526BE">
        <w:rPr>
          <w:iCs/>
          <w:sz w:val="20"/>
          <w:szCs w:val="20"/>
        </w:rPr>
        <w:br/>
        <w:t>in-person (where possible), online and phone-based support</w:t>
      </w:r>
      <w:r w:rsidR="004C2D88">
        <w:rPr>
          <w:iCs/>
          <w:sz w:val="20"/>
          <w:szCs w:val="20"/>
        </w:rPr>
        <w:t xml:space="preserve"> services</w:t>
      </w:r>
      <w:r w:rsidRPr="00A526BE">
        <w:rPr>
          <w:iCs/>
          <w:sz w:val="20"/>
          <w:szCs w:val="20"/>
        </w:rPr>
        <w:t xml:space="preserve"> throughout the </w:t>
      </w:r>
      <w:r w:rsidR="00782B7D" w:rsidRPr="00A526BE">
        <w:rPr>
          <w:iCs/>
          <w:sz w:val="20"/>
          <w:szCs w:val="20"/>
        </w:rPr>
        <w:t>COVID-19</w:t>
      </w:r>
      <w:r w:rsidRPr="00A526BE">
        <w:rPr>
          <w:iCs/>
          <w:sz w:val="20"/>
          <w:szCs w:val="20"/>
        </w:rPr>
        <w:t xml:space="preserve"> pandemic. Through the new digital services we aim to improve carers</w:t>
      </w:r>
      <w:r w:rsidR="00C41254">
        <w:rPr>
          <w:iCs/>
          <w:sz w:val="20"/>
          <w:szCs w:val="20"/>
        </w:rPr>
        <w:t>’</w:t>
      </w:r>
      <w:r w:rsidRPr="00A526BE">
        <w:rPr>
          <w:iCs/>
          <w:sz w:val="20"/>
          <w:szCs w:val="20"/>
        </w:rPr>
        <w:t xml:space="preserve"> health and wellbeing, increase their skills and reduce the strain of caring. </w:t>
      </w:r>
    </w:p>
    <w:p w14:paraId="6916A900" w14:textId="04B241F6" w:rsidR="00B459E4" w:rsidRPr="00A526BE" w:rsidRDefault="00B459E4" w:rsidP="00B459E4">
      <w:pPr>
        <w:rPr>
          <w:iCs/>
          <w:sz w:val="20"/>
          <w:szCs w:val="20"/>
        </w:rPr>
      </w:pPr>
      <w:r w:rsidRPr="00A526BE">
        <w:rPr>
          <w:iCs/>
          <w:sz w:val="20"/>
          <w:szCs w:val="20"/>
        </w:rPr>
        <w:t xml:space="preserve">In 2019–20, we continued to look for ways to improve the experience of people interacting with the National Disability Insurance Scheme (NDIS). We commissioned a review of the </w:t>
      </w:r>
      <w:r w:rsidRPr="00A526BE">
        <w:rPr>
          <w:i/>
          <w:sz w:val="20"/>
          <w:szCs w:val="20"/>
        </w:rPr>
        <w:t xml:space="preserve">National Disability </w:t>
      </w:r>
      <w:r w:rsidR="00152CC3" w:rsidRPr="00A526BE">
        <w:rPr>
          <w:i/>
          <w:sz w:val="20"/>
          <w:szCs w:val="20"/>
        </w:rPr>
        <w:t>I</w:t>
      </w:r>
      <w:r w:rsidRPr="00A526BE">
        <w:rPr>
          <w:i/>
          <w:sz w:val="20"/>
          <w:szCs w:val="20"/>
        </w:rPr>
        <w:t>nsurance Scheme Act 2013</w:t>
      </w:r>
      <w:r w:rsidR="00152CC3" w:rsidRPr="00A526BE">
        <w:rPr>
          <w:i/>
          <w:sz w:val="20"/>
          <w:szCs w:val="20"/>
        </w:rPr>
        <w:t xml:space="preserve"> </w:t>
      </w:r>
      <w:r w:rsidRPr="00A526BE">
        <w:rPr>
          <w:iCs/>
          <w:sz w:val="20"/>
          <w:szCs w:val="20"/>
        </w:rPr>
        <w:t xml:space="preserve">to determine </w:t>
      </w:r>
      <w:r w:rsidR="00152CC3" w:rsidRPr="00A526BE">
        <w:rPr>
          <w:iCs/>
          <w:sz w:val="20"/>
          <w:szCs w:val="20"/>
        </w:rPr>
        <w:t>how</w:t>
      </w:r>
      <w:r w:rsidRPr="00A526BE">
        <w:rPr>
          <w:iCs/>
          <w:sz w:val="20"/>
          <w:szCs w:val="20"/>
        </w:rPr>
        <w:t xml:space="preserve"> processes could be simplified and </w:t>
      </w:r>
      <w:r w:rsidR="004C2D88">
        <w:rPr>
          <w:iCs/>
          <w:sz w:val="20"/>
          <w:szCs w:val="20"/>
        </w:rPr>
        <w:t xml:space="preserve">how </w:t>
      </w:r>
      <w:r w:rsidRPr="00A526BE">
        <w:rPr>
          <w:iCs/>
          <w:sz w:val="20"/>
          <w:szCs w:val="20"/>
        </w:rPr>
        <w:t>legislative barriers that hinder positive participant and provider experiences could be removed</w:t>
      </w:r>
      <w:r w:rsidR="00152CC3" w:rsidRPr="00A526BE">
        <w:rPr>
          <w:iCs/>
          <w:sz w:val="20"/>
          <w:szCs w:val="20"/>
        </w:rPr>
        <w:t xml:space="preserve">, including through </w:t>
      </w:r>
      <w:r w:rsidR="00C41254">
        <w:rPr>
          <w:iCs/>
          <w:sz w:val="20"/>
          <w:szCs w:val="20"/>
        </w:rPr>
        <w:t xml:space="preserve">the </w:t>
      </w:r>
      <w:r w:rsidR="00152CC3" w:rsidRPr="00A526BE">
        <w:rPr>
          <w:iCs/>
          <w:sz w:val="20"/>
          <w:szCs w:val="20"/>
        </w:rPr>
        <w:t>introduction of a Participant Service Guarantee</w:t>
      </w:r>
      <w:r w:rsidRPr="00A526BE">
        <w:rPr>
          <w:iCs/>
          <w:sz w:val="20"/>
          <w:szCs w:val="20"/>
        </w:rPr>
        <w:t xml:space="preserve">. </w:t>
      </w:r>
    </w:p>
    <w:p w14:paraId="255E5E9C" w14:textId="102A9878" w:rsidR="00B459E4" w:rsidRPr="00A526BE" w:rsidRDefault="00B459E4" w:rsidP="00B459E4">
      <w:pPr>
        <w:rPr>
          <w:sz w:val="20"/>
          <w:szCs w:val="20"/>
        </w:rPr>
      </w:pPr>
      <w:r w:rsidRPr="00A526BE">
        <w:rPr>
          <w:rFonts w:cs="Arial"/>
          <w:sz w:val="20"/>
          <w:szCs w:val="20"/>
        </w:rPr>
        <w:t xml:space="preserve">We </w:t>
      </w:r>
      <w:r w:rsidR="00152CC3" w:rsidRPr="00A526BE">
        <w:rPr>
          <w:rFonts w:cs="Arial"/>
          <w:sz w:val="20"/>
          <w:szCs w:val="20"/>
        </w:rPr>
        <w:t xml:space="preserve">initialised </w:t>
      </w:r>
      <w:r w:rsidRPr="00A526BE">
        <w:rPr>
          <w:rFonts w:cs="Arial"/>
          <w:sz w:val="20"/>
          <w:szCs w:val="20"/>
        </w:rPr>
        <w:t xml:space="preserve">NDIS full scheme agreements with Victoria and Queensland, providing certainty that the future of the NDIS is secure in these states. NDIS full scheme agreements </w:t>
      </w:r>
      <w:r w:rsidR="00152CC3" w:rsidRPr="00A526BE">
        <w:rPr>
          <w:rFonts w:cs="Arial"/>
          <w:sz w:val="20"/>
          <w:szCs w:val="20"/>
        </w:rPr>
        <w:t>have now been</w:t>
      </w:r>
      <w:r w:rsidR="004C2D88">
        <w:rPr>
          <w:rFonts w:cs="Arial"/>
          <w:sz w:val="20"/>
          <w:szCs w:val="20"/>
        </w:rPr>
        <w:t xml:space="preserve"> finalised</w:t>
      </w:r>
      <w:r w:rsidR="00496380">
        <w:rPr>
          <w:rFonts w:cs="Arial"/>
          <w:sz w:val="20"/>
          <w:szCs w:val="20"/>
        </w:rPr>
        <w:t xml:space="preserve"> </w:t>
      </w:r>
      <w:r w:rsidR="00152CC3" w:rsidRPr="00A526BE">
        <w:rPr>
          <w:rFonts w:cs="Arial"/>
          <w:sz w:val="20"/>
          <w:szCs w:val="20"/>
        </w:rPr>
        <w:t xml:space="preserve">with </w:t>
      </w:r>
      <w:r w:rsidRPr="00A526BE">
        <w:rPr>
          <w:rFonts w:cs="Arial"/>
          <w:sz w:val="20"/>
          <w:szCs w:val="20"/>
        </w:rPr>
        <w:t>all states and territories except Western Australia</w:t>
      </w:r>
      <w:r w:rsidR="00152CC3" w:rsidRPr="00A526BE">
        <w:rPr>
          <w:rFonts w:cs="Arial"/>
          <w:sz w:val="20"/>
          <w:szCs w:val="20"/>
        </w:rPr>
        <w:t>, which is not due to enter into a full scheme agreement until 2023</w:t>
      </w:r>
      <w:r w:rsidRPr="00A526BE">
        <w:rPr>
          <w:rFonts w:cs="Arial"/>
          <w:sz w:val="20"/>
          <w:szCs w:val="20"/>
        </w:rPr>
        <w:t xml:space="preserve">. </w:t>
      </w:r>
    </w:p>
    <w:p w14:paraId="306058F2" w14:textId="77777777" w:rsidR="00B459E4" w:rsidRPr="00A526BE" w:rsidRDefault="00B459E4" w:rsidP="00B459E4">
      <w:pPr>
        <w:rPr>
          <w:sz w:val="20"/>
          <w:szCs w:val="20"/>
        </w:rPr>
      </w:pPr>
      <w:r w:rsidRPr="00A526BE">
        <w:rPr>
          <w:sz w:val="20"/>
          <w:szCs w:val="20"/>
        </w:rPr>
        <w:lastRenderedPageBreak/>
        <w:t xml:space="preserve">We provided funding for advocacy support services to help people engage with the </w:t>
      </w:r>
      <w:r w:rsidRPr="00A526BE">
        <w:rPr>
          <w:i/>
          <w:iCs/>
          <w:sz w:val="20"/>
          <w:szCs w:val="20"/>
        </w:rPr>
        <w:t>Royal Commission into Violence, Abuse, Neglect and Exploitation of People with Disability</w:t>
      </w:r>
      <w:r w:rsidRPr="00A526BE">
        <w:rPr>
          <w:sz w:val="20"/>
          <w:szCs w:val="20"/>
        </w:rPr>
        <w:t xml:space="preserve">, and for counselling support services for people who may experience distress in relation to the </w:t>
      </w:r>
      <w:r w:rsidRPr="00A526BE">
        <w:rPr>
          <w:sz w:val="20"/>
          <w:szCs w:val="20"/>
        </w:rPr>
        <w:br/>
        <w:t xml:space="preserve">Royal Commission. </w:t>
      </w:r>
    </w:p>
    <w:p w14:paraId="7B410052" w14:textId="109E9AC8" w:rsidR="00B459E4" w:rsidRDefault="00B459E4" w:rsidP="00B459E4">
      <w:pPr>
        <w:rPr>
          <w:sz w:val="20"/>
          <w:szCs w:val="20"/>
        </w:rPr>
      </w:pPr>
      <w:r w:rsidRPr="00A526BE">
        <w:rPr>
          <w:sz w:val="20"/>
          <w:szCs w:val="20"/>
        </w:rPr>
        <w:t xml:space="preserve">We worked to improve the National Redress Scheme for people who have experienced institutional child sexual abuse by supporting applicants </w:t>
      </w:r>
      <w:r w:rsidR="00E14160" w:rsidRPr="00A526BE">
        <w:rPr>
          <w:sz w:val="20"/>
          <w:szCs w:val="20"/>
        </w:rPr>
        <w:t xml:space="preserve">with extra funding for support services and </w:t>
      </w:r>
      <w:r w:rsidRPr="00A526BE">
        <w:rPr>
          <w:sz w:val="20"/>
          <w:szCs w:val="20"/>
        </w:rPr>
        <w:t xml:space="preserve">through the engagement of more independent decision-makers. We also </w:t>
      </w:r>
      <w:r w:rsidR="00496380">
        <w:rPr>
          <w:sz w:val="20"/>
          <w:szCs w:val="20"/>
        </w:rPr>
        <w:t>worked with</w:t>
      </w:r>
      <w:r w:rsidRPr="00A526BE">
        <w:rPr>
          <w:sz w:val="20"/>
          <w:szCs w:val="20"/>
        </w:rPr>
        <w:t xml:space="preserve"> institutions, named by applicants, to commit to join the </w:t>
      </w:r>
      <w:r w:rsidR="000D7A77">
        <w:rPr>
          <w:sz w:val="20"/>
          <w:szCs w:val="20"/>
        </w:rPr>
        <w:t>S</w:t>
      </w:r>
      <w:r w:rsidRPr="00A526BE">
        <w:rPr>
          <w:sz w:val="20"/>
          <w:szCs w:val="20"/>
        </w:rPr>
        <w:t>cheme</w:t>
      </w:r>
      <w:r w:rsidR="00496380">
        <w:rPr>
          <w:sz w:val="20"/>
          <w:szCs w:val="20"/>
        </w:rPr>
        <w:t xml:space="preserve"> and then on-board them</w:t>
      </w:r>
      <w:r w:rsidRPr="00A526BE">
        <w:rPr>
          <w:sz w:val="20"/>
          <w:szCs w:val="20"/>
        </w:rPr>
        <w:t xml:space="preserve">. </w:t>
      </w:r>
    </w:p>
    <w:p w14:paraId="2016DDA4" w14:textId="77777777" w:rsidR="00573214" w:rsidRPr="00A526BE" w:rsidRDefault="004C2D88" w:rsidP="00573214">
      <w:pPr>
        <w:rPr>
          <w:iCs/>
          <w:sz w:val="20"/>
          <w:szCs w:val="20"/>
        </w:rPr>
      </w:pPr>
      <w:r w:rsidRPr="00A526BE">
        <w:rPr>
          <w:iCs/>
          <w:sz w:val="20"/>
          <w:szCs w:val="20"/>
        </w:rPr>
        <w:t xml:space="preserve">Our work to combat family violence remained an important priority </w:t>
      </w:r>
      <w:r w:rsidR="00941121">
        <w:rPr>
          <w:iCs/>
          <w:sz w:val="20"/>
          <w:szCs w:val="20"/>
        </w:rPr>
        <w:t>as</w:t>
      </w:r>
      <w:r w:rsidRPr="00A526BE">
        <w:rPr>
          <w:iCs/>
          <w:sz w:val="20"/>
          <w:szCs w:val="20"/>
        </w:rPr>
        <w:t xml:space="preserve"> we continued to implement the </w:t>
      </w:r>
      <w:r w:rsidRPr="00A526BE">
        <w:rPr>
          <w:i/>
          <w:iCs/>
          <w:sz w:val="20"/>
          <w:szCs w:val="20"/>
        </w:rPr>
        <w:t>Fourth Action Plan of the National Plan to Reduce Violence Against Women and their Childre</w:t>
      </w:r>
      <w:r w:rsidR="00496380">
        <w:rPr>
          <w:i/>
          <w:iCs/>
          <w:sz w:val="20"/>
          <w:szCs w:val="20"/>
        </w:rPr>
        <w:t>n</w:t>
      </w:r>
      <w:r w:rsidRPr="00A526BE">
        <w:rPr>
          <w:i/>
          <w:iCs/>
          <w:sz w:val="20"/>
          <w:szCs w:val="20"/>
        </w:rPr>
        <w:t xml:space="preserve"> </w:t>
      </w:r>
      <w:r w:rsidR="00496380">
        <w:rPr>
          <w:i/>
          <w:iCs/>
          <w:sz w:val="20"/>
          <w:szCs w:val="20"/>
        </w:rPr>
        <w:br/>
      </w:r>
      <w:r w:rsidRPr="00A526BE">
        <w:rPr>
          <w:i/>
          <w:iCs/>
          <w:sz w:val="20"/>
          <w:szCs w:val="20"/>
        </w:rPr>
        <w:t>2010–2022</w:t>
      </w:r>
      <w:r w:rsidRPr="00A526BE">
        <w:rPr>
          <w:iCs/>
          <w:sz w:val="20"/>
          <w:szCs w:val="20"/>
        </w:rPr>
        <w:t xml:space="preserve">. We also managed the </w:t>
      </w:r>
      <w:r w:rsidRPr="00A526BE">
        <w:rPr>
          <w:i/>
          <w:iCs/>
          <w:sz w:val="20"/>
          <w:szCs w:val="20"/>
        </w:rPr>
        <w:t>Help is Here</w:t>
      </w:r>
      <w:r w:rsidRPr="00A526BE">
        <w:rPr>
          <w:iCs/>
          <w:sz w:val="20"/>
          <w:szCs w:val="20"/>
        </w:rPr>
        <w:t xml:space="preserve"> campaign to help Australians</w:t>
      </w:r>
      <w:r w:rsidR="00941121">
        <w:rPr>
          <w:iCs/>
          <w:sz w:val="20"/>
          <w:szCs w:val="20"/>
        </w:rPr>
        <w:t>,</w:t>
      </w:r>
      <w:r w:rsidRPr="00A526BE">
        <w:rPr>
          <w:iCs/>
          <w:sz w:val="20"/>
          <w:szCs w:val="20"/>
        </w:rPr>
        <w:t xml:space="preserve"> experiencing domestic violence or abuse</w:t>
      </w:r>
      <w:r w:rsidR="00941121">
        <w:rPr>
          <w:iCs/>
          <w:sz w:val="20"/>
          <w:szCs w:val="20"/>
        </w:rPr>
        <w:t>,</w:t>
      </w:r>
      <w:r w:rsidRPr="00A526BE">
        <w:rPr>
          <w:iCs/>
          <w:sz w:val="20"/>
          <w:szCs w:val="20"/>
        </w:rPr>
        <w:t xml:space="preserve"> find the support services available to them.</w:t>
      </w:r>
      <w:r w:rsidR="00573214">
        <w:rPr>
          <w:iCs/>
          <w:sz w:val="20"/>
          <w:szCs w:val="20"/>
        </w:rPr>
        <w:t xml:space="preserve"> </w:t>
      </w:r>
      <w:r w:rsidR="00573214" w:rsidRPr="002A2AD9">
        <w:rPr>
          <w:iCs/>
          <w:sz w:val="20"/>
          <w:szCs w:val="20"/>
        </w:rPr>
        <w:t>This work was complemented by the additional funding of $150 million to support the COVID-19 response to domestic and family violence, including $130 million distributed to states and territories.</w:t>
      </w:r>
    </w:p>
    <w:p w14:paraId="07B643C7" w14:textId="5345A24E" w:rsidR="00B459E4" w:rsidRPr="00A526BE" w:rsidRDefault="00B459E4" w:rsidP="00B459E4">
      <w:pPr>
        <w:rPr>
          <w:sz w:val="20"/>
          <w:szCs w:val="20"/>
        </w:rPr>
      </w:pPr>
      <w:r w:rsidRPr="00A526BE">
        <w:rPr>
          <w:sz w:val="20"/>
          <w:szCs w:val="20"/>
        </w:rPr>
        <w:t xml:space="preserve">We continued to manage the National Housing and Homelessness Agreement, providing </w:t>
      </w:r>
      <w:r w:rsidR="00270F72">
        <w:rPr>
          <w:sz w:val="20"/>
          <w:szCs w:val="20"/>
        </w:rPr>
        <w:t>almost</w:t>
      </w:r>
      <w:r w:rsidR="00496380">
        <w:rPr>
          <w:sz w:val="20"/>
          <w:szCs w:val="20"/>
        </w:rPr>
        <w:br/>
      </w:r>
      <w:r w:rsidRPr="00A526BE">
        <w:rPr>
          <w:sz w:val="20"/>
          <w:szCs w:val="20"/>
        </w:rPr>
        <w:t>$1.</w:t>
      </w:r>
      <w:r w:rsidR="00C76EF2" w:rsidRPr="00A526BE">
        <w:rPr>
          <w:sz w:val="20"/>
          <w:szCs w:val="20"/>
        </w:rPr>
        <w:t>6</w:t>
      </w:r>
      <w:r w:rsidRPr="00A526BE">
        <w:rPr>
          <w:sz w:val="20"/>
          <w:szCs w:val="20"/>
        </w:rPr>
        <w:t xml:space="preserve"> billion to state and territory governments to support housing and homelessness services. </w:t>
      </w:r>
      <w:r w:rsidR="00C76EF2" w:rsidRPr="00A526BE">
        <w:rPr>
          <w:sz w:val="20"/>
          <w:szCs w:val="20"/>
        </w:rPr>
        <w:t xml:space="preserve">Our work with states and territories included developing a data improvement </w:t>
      </w:r>
      <w:r w:rsidRPr="00A526BE">
        <w:rPr>
          <w:sz w:val="20"/>
          <w:szCs w:val="20"/>
        </w:rPr>
        <w:t>plan to</w:t>
      </w:r>
      <w:r w:rsidR="00C76EF2" w:rsidRPr="00A526BE">
        <w:rPr>
          <w:sz w:val="20"/>
          <w:szCs w:val="20"/>
        </w:rPr>
        <w:t xml:space="preserve"> better</w:t>
      </w:r>
      <w:r w:rsidRPr="00A526BE">
        <w:rPr>
          <w:sz w:val="20"/>
          <w:szCs w:val="20"/>
        </w:rPr>
        <w:t xml:space="preserve"> measure housing and homelessness outcomes. </w:t>
      </w:r>
    </w:p>
    <w:p w14:paraId="6242D660" w14:textId="6AC0CB52" w:rsidR="00B459E4" w:rsidRPr="00A526BE" w:rsidRDefault="00496380" w:rsidP="00B459E4">
      <w:pPr>
        <w:rPr>
          <w:sz w:val="20"/>
          <w:szCs w:val="20"/>
        </w:rPr>
      </w:pPr>
      <w:r>
        <w:rPr>
          <w:sz w:val="20"/>
          <w:szCs w:val="20"/>
        </w:rPr>
        <w:t>During 2019-20, t</w:t>
      </w:r>
      <w:r w:rsidR="00B459E4" w:rsidRPr="00A526BE">
        <w:rPr>
          <w:sz w:val="20"/>
          <w:szCs w:val="20"/>
        </w:rPr>
        <w:t>he department introduced changes to help Indigenous students stay longer in boarding school. Under the changes, more than 2</w:t>
      </w:r>
      <w:r w:rsidR="00325C6A">
        <w:rPr>
          <w:sz w:val="20"/>
          <w:szCs w:val="20"/>
        </w:rPr>
        <w:t>,</w:t>
      </w:r>
      <w:r w:rsidR="00B459E4" w:rsidRPr="00A526BE">
        <w:rPr>
          <w:sz w:val="20"/>
          <w:szCs w:val="20"/>
        </w:rPr>
        <w:t xml:space="preserve">000 Aboriginal and Torres Strait Islander </w:t>
      </w:r>
      <w:r w:rsidR="00C76EF2" w:rsidRPr="00A526BE">
        <w:rPr>
          <w:sz w:val="20"/>
          <w:szCs w:val="20"/>
        </w:rPr>
        <w:t xml:space="preserve">families with </w:t>
      </w:r>
      <w:r w:rsidR="00B459E4" w:rsidRPr="00A526BE">
        <w:rPr>
          <w:sz w:val="20"/>
          <w:szCs w:val="20"/>
        </w:rPr>
        <w:t>students who need to live away from home to study will receive Family Tax Benefit until the</w:t>
      </w:r>
      <w:r w:rsidR="00C76EF2" w:rsidRPr="00A526BE">
        <w:rPr>
          <w:sz w:val="20"/>
          <w:szCs w:val="20"/>
        </w:rPr>
        <w:t xml:space="preserve"> student</w:t>
      </w:r>
      <w:r w:rsidR="00B459E4" w:rsidRPr="00A526BE">
        <w:rPr>
          <w:sz w:val="20"/>
          <w:szCs w:val="20"/>
        </w:rPr>
        <w:t xml:space="preserve"> finish</w:t>
      </w:r>
      <w:r w:rsidR="00C76EF2" w:rsidRPr="00A526BE">
        <w:rPr>
          <w:sz w:val="20"/>
          <w:szCs w:val="20"/>
        </w:rPr>
        <w:t>es</w:t>
      </w:r>
      <w:r w:rsidR="00B459E4" w:rsidRPr="00A526BE">
        <w:rPr>
          <w:sz w:val="20"/>
          <w:szCs w:val="20"/>
        </w:rPr>
        <w:t xml:space="preserve"> year 12.</w:t>
      </w:r>
    </w:p>
    <w:p w14:paraId="39271CE2" w14:textId="0144E9FA" w:rsidR="00B459E4" w:rsidRPr="00A526BE" w:rsidRDefault="00B459E4" w:rsidP="00B459E4">
      <w:pPr>
        <w:rPr>
          <w:sz w:val="20"/>
          <w:szCs w:val="20"/>
        </w:rPr>
      </w:pPr>
      <w:r w:rsidRPr="00A526BE">
        <w:rPr>
          <w:sz w:val="20"/>
          <w:szCs w:val="20"/>
        </w:rPr>
        <w:t xml:space="preserve">The department </w:t>
      </w:r>
      <w:r w:rsidR="00496380">
        <w:rPr>
          <w:sz w:val="20"/>
          <w:szCs w:val="20"/>
        </w:rPr>
        <w:t xml:space="preserve">also </w:t>
      </w:r>
      <w:r w:rsidRPr="00A526BE">
        <w:rPr>
          <w:sz w:val="20"/>
          <w:szCs w:val="20"/>
        </w:rPr>
        <w:t>managed the passage of the Simplifying Income Reporting legislation to make income reporting easier</w:t>
      </w:r>
      <w:r w:rsidR="00496380">
        <w:rPr>
          <w:sz w:val="20"/>
          <w:szCs w:val="20"/>
        </w:rPr>
        <w:t xml:space="preserve"> for recipients</w:t>
      </w:r>
      <w:r w:rsidRPr="00A526BE">
        <w:rPr>
          <w:sz w:val="20"/>
          <w:szCs w:val="20"/>
        </w:rPr>
        <w:t xml:space="preserve">. From December 2020, </w:t>
      </w:r>
      <w:r w:rsidR="00C76EF2" w:rsidRPr="00A526BE">
        <w:rPr>
          <w:sz w:val="20"/>
          <w:szCs w:val="20"/>
        </w:rPr>
        <w:t>all</w:t>
      </w:r>
      <w:r w:rsidRPr="00A526BE">
        <w:rPr>
          <w:sz w:val="20"/>
          <w:szCs w:val="20"/>
        </w:rPr>
        <w:t xml:space="preserve"> income support recipients will report</w:t>
      </w:r>
      <w:r w:rsidR="00C76EF2" w:rsidRPr="00A526BE">
        <w:rPr>
          <w:sz w:val="20"/>
          <w:szCs w:val="20"/>
        </w:rPr>
        <w:t xml:space="preserve"> employment</w:t>
      </w:r>
      <w:r w:rsidRPr="00A526BE">
        <w:rPr>
          <w:sz w:val="20"/>
          <w:szCs w:val="20"/>
        </w:rPr>
        <w:t xml:space="preserve"> income when it is </w:t>
      </w:r>
      <w:r w:rsidR="00C76EF2" w:rsidRPr="00A526BE">
        <w:rPr>
          <w:sz w:val="20"/>
          <w:szCs w:val="20"/>
        </w:rPr>
        <w:t>paid</w:t>
      </w:r>
      <w:r w:rsidRPr="00A526BE">
        <w:rPr>
          <w:sz w:val="20"/>
          <w:szCs w:val="20"/>
        </w:rPr>
        <w:t>, rather than when it is earned. This change works together with the Australian Taxation Office’s Single Touch Payroll to reduce income reporting errors and associated debts.</w:t>
      </w:r>
    </w:p>
    <w:p w14:paraId="7BF1D706" w14:textId="77777777" w:rsidR="00782B7D" w:rsidRPr="00A526BE" w:rsidRDefault="00782B7D">
      <w:pPr>
        <w:rPr>
          <w:b/>
          <w:sz w:val="20"/>
          <w:szCs w:val="20"/>
        </w:rPr>
      </w:pPr>
      <w:r w:rsidRPr="00A526BE">
        <w:rPr>
          <w:b/>
          <w:sz w:val="20"/>
          <w:szCs w:val="20"/>
        </w:rPr>
        <w:br w:type="page"/>
      </w:r>
    </w:p>
    <w:p w14:paraId="2C8BD52E" w14:textId="30BA739B" w:rsidR="00B459E4" w:rsidRPr="00A526BE" w:rsidRDefault="00B459E4" w:rsidP="00B459E4">
      <w:pPr>
        <w:rPr>
          <w:color w:val="FF0000"/>
          <w:sz w:val="20"/>
          <w:szCs w:val="20"/>
        </w:rPr>
      </w:pPr>
      <w:r w:rsidRPr="00A526BE">
        <w:rPr>
          <w:b/>
          <w:sz w:val="20"/>
          <w:szCs w:val="20"/>
        </w:rPr>
        <w:lastRenderedPageBreak/>
        <w:t>Looking forward</w:t>
      </w:r>
    </w:p>
    <w:p w14:paraId="0B7E1FB4" w14:textId="3BF4BE5D" w:rsidR="00B459E4" w:rsidRPr="00A526BE" w:rsidRDefault="00B459E4" w:rsidP="00B459E4">
      <w:pPr>
        <w:rPr>
          <w:sz w:val="20"/>
          <w:szCs w:val="20"/>
        </w:rPr>
      </w:pPr>
      <w:r w:rsidRPr="00A526BE">
        <w:rPr>
          <w:sz w:val="20"/>
          <w:szCs w:val="20"/>
        </w:rPr>
        <w:t xml:space="preserve">In 2020–21, the department will continue to play a key role in policy development and delivering services to support the recovery from </w:t>
      </w:r>
      <w:r w:rsidR="00782B7D" w:rsidRPr="00A526BE">
        <w:rPr>
          <w:sz w:val="20"/>
          <w:szCs w:val="20"/>
        </w:rPr>
        <w:t>COVID-19.</w:t>
      </w:r>
      <w:r w:rsidRPr="00A526BE">
        <w:rPr>
          <w:sz w:val="20"/>
          <w:szCs w:val="20"/>
        </w:rPr>
        <w:t xml:space="preserve"> </w:t>
      </w:r>
    </w:p>
    <w:p w14:paraId="0092F5A4" w14:textId="77777777" w:rsidR="00B459E4" w:rsidRPr="00A526BE" w:rsidRDefault="00B459E4" w:rsidP="00B459E4">
      <w:pPr>
        <w:rPr>
          <w:rFonts w:cs="Arial"/>
          <w:sz w:val="20"/>
          <w:szCs w:val="20"/>
        </w:rPr>
      </w:pPr>
      <w:r w:rsidRPr="00A526BE">
        <w:rPr>
          <w:sz w:val="20"/>
          <w:szCs w:val="20"/>
        </w:rPr>
        <w:t>Working across the portfolio, we will design policy solutions that support the delivery of social security payments to those Australians who need financial assistance.</w:t>
      </w:r>
    </w:p>
    <w:p w14:paraId="20E63F5D" w14:textId="28AA5984" w:rsidR="00B459E4" w:rsidRPr="00A526BE" w:rsidRDefault="00B459E4" w:rsidP="00B459E4">
      <w:pPr>
        <w:spacing w:before="120" w:after="240"/>
        <w:ind w:right="176"/>
        <w:rPr>
          <w:rFonts w:ascii="Calibri" w:hAnsi="Calibri" w:cs="Calibri"/>
          <w:sz w:val="20"/>
          <w:szCs w:val="20"/>
        </w:rPr>
      </w:pPr>
      <w:r w:rsidRPr="00A526BE">
        <w:rPr>
          <w:sz w:val="20"/>
          <w:szCs w:val="20"/>
        </w:rPr>
        <w:t xml:space="preserve">We will continue to deliver on key recommendations of the </w:t>
      </w:r>
      <w:r w:rsidRPr="00A526BE">
        <w:rPr>
          <w:i/>
          <w:sz w:val="20"/>
          <w:szCs w:val="20"/>
        </w:rPr>
        <w:t>Royal Commission into Institutional Responses to Child Sexual Abuse</w:t>
      </w:r>
      <w:r w:rsidRPr="00A526BE">
        <w:rPr>
          <w:sz w:val="20"/>
          <w:szCs w:val="20"/>
        </w:rPr>
        <w:t>, including the National Redress Scheme, by helping survivors through the application and offer</w:t>
      </w:r>
      <w:r w:rsidR="00496380">
        <w:rPr>
          <w:sz w:val="20"/>
          <w:szCs w:val="20"/>
        </w:rPr>
        <w:t xml:space="preserve"> process</w:t>
      </w:r>
      <w:r w:rsidRPr="00A526BE">
        <w:rPr>
          <w:sz w:val="20"/>
          <w:szCs w:val="20"/>
        </w:rPr>
        <w:t xml:space="preserve">, and supporting institutions engage with the </w:t>
      </w:r>
      <w:r w:rsidR="000D7A77">
        <w:rPr>
          <w:sz w:val="20"/>
          <w:szCs w:val="20"/>
        </w:rPr>
        <w:t>S</w:t>
      </w:r>
      <w:r w:rsidRPr="00A526BE">
        <w:rPr>
          <w:sz w:val="20"/>
          <w:szCs w:val="20"/>
        </w:rPr>
        <w:t>cheme.</w:t>
      </w:r>
    </w:p>
    <w:p w14:paraId="3C19A1C3" w14:textId="77777777" w:rsidR="00B459E4" w:rsidRPr="00A526BE" w:rsidRDefault="00B459E4" w:rsidP="00B459E4">
      <w:pPr>
        <w:spacing w:before="120" w:after="240"/>
        <w:ind w:right="176"/>
        <w:rPr>
          <w:sz w:val="20"/>
          <w:szCs w:val="20"/>
        </w:rPr>
      </w:pPr>
      <w:r w:rsidRPr="00A526BE">
        <w:rPr>
          <w:sz w:val="20"/>
          <w:szCs w:val="20"/>
        </w:rPr>
        <w:t xml:space="preserve">We will enhance family safety and child protection through the continued implementation of the </w:t>
      </w:r>
      <w:r w:rsidRPr="00A526BE">
        <w:rPr>
          <w:i/>
          <w:sz w:val="20"/>
          <w:szCs w:val="20"/>
        </w:rPr>
        <w:t>National Plan to Reduce Violence Against Women and their Children 2010–22</w:t>
      </w:r>
      <w:r w:rsidRPr="00A526BE">
        <w:rPr>
          <w:sz w:val="20"/>
          <w:szCs w:val="20"/>
        </w:rPr>
        <w:t xml:space="preserve"> and the design of a new strategy to succeed the </w:t>
      </w:r>
      <w:r w:rsidRPr="00A526BE">
        <w:rPr>
          <w:i/>
          <w:sz w:val="20"/>
          <w:szCs w:val="20"/>
        </w:rPr>
        <w:t>National Framework for Protecting Australia’s Children 2009-20</w:t>
      </w:r>
      <w:r w:rsidRPr="00A526BE">
        <w:rPr>
          <w:sz w:val="20"/>
          <w:szCs w:val="20"/>
        </w:rPr>
        <w:t>.</w:t>
      </w:r>
    </w:p>
    <w:p w14:paraId="11D7FD25" w14:textId="3627CB92" w:rsidR="00C76EF2" w:rsidRPr="00A526BE" w:rsidRDefault="00C76EF2" w:rsidP="00B459E4">
      <w:pPr>
        <w:spacing w:before="120" w:after="240"/>
        <w:ind w:right="176"/>
        <w:rPr>
          <w:sz w:val="20"/>
          <w:szCs w:val="20"/>
        </w:rPr>
      </w:pPr>
      <w:r w:rsidRPr="00A526BE">
        <w:rPr>
          <w:sz w:val="20"/>
          <w:szCs w:val="20"/>
        </w:rPr>
        <w:t>We will also work to provide emergency accommodation for women and children escaping family and domestic violence through the Safe Places program by funding eligible providers to provide new and expanded emergency accommodation.</w:t>
      </w:r>
    </w:p>
    <w:p w14:paraId="3E5F860D" w14:textId="5C31ACEC" w:rsidR="00B459E4" w:rsidRPr="00A526BE" w:rsidRDefault="00B459E4" w:rsidP="00B459E4">
      <w:pPr>
        <w:spacing w:before="120" w:after="240"/>
        <w:ind w:right="176"/>
        <w:rPr>
          <w:sz w:val="20"/>
          <w:szCs w:val="20"/>
        </w:rPr>
      </w:pPr>
      <w:r w:rsidRPr="00A526BE">
        <w:rPr>
          <w:sz w:val="20"/>
          <w:szCs w:val="20"/>
        </w:rPr>
        <w:t>We will continue to improve people’s financial skills and resilience through</w:t>
      </w:r>
      <w:r w:rsidR="00E14160" w:rsidRPr="00A526BE">
        <w:rPr>
          <w:sz w:val="20"/>
          <w:szCs w:val="20"/>
        </w:rPr>
        <w:t xml:space="preserve"> support fo</w:t>
      </w:r>
      <w:r w:rsidR="00C76EF2" w:rsidRPr="00A526BE">
        <w:rPr>
          <w:sz w:val="20"/>
          <w:szCs w:val="20"/>
        </w:rPr>
        <w:t>r</w:t>
      </w:r>
      <w:r w:rsidR="00E14160" w:rsidRPr="00A526BE">
        <w:rPr>
          <w:sz w:val="20"/>
          <w:szCs w:val="20"/>
        </w:rPr>
        <w:t xml:space="preserve"> financial counselling, no interest loans and matched savings funding schemes,</w:t>
      </w:r>
      <w:r w:rsidRPr="00A526BE">
        <w:rPr>
          <w:sz w:val="20"/>
          <w:szCs w:val="20"/>
        </w:rPr>
        <w:t xml:space="preserve"> and implementation of the Cashless Debit Card, including in the Northern Territory.</w:t>
      </w:r>
    </w:p>
    <w:p w14:paraId="71A67889" w14:textId="77777777" w:rsidR="00B459E4" w:rsidRPr="00A526BE" w:rsidRDefault="00B459E4" w:rsidP="00B459E4">
      <w:pPr>
        <w:spacing w:before="120" w:after="240"/>
        <w:ind w:right="176"/>
        <w:rPr>
          <w:sz w:val="20"/>
          <w:szCs w:val="20"/>
        </w:rPr>
      </w:pPr>
      <w:r w:rsidRPr="00A526BE">
        <w:rPr>
          <w:sz w:val="20"/>
          <w:szCs w:val="20"/>
        </w:rPr>
        <w:t>Supporting Australians with disability will continue to be a key focus, through working collaboratively with states and territories to reinvigorate the National Disability Strategy and</w:t>
      </w:r>
      <w:r w:rsidRPr="00A526BE">
        <w:rPr>
          <w:sz w:val="20"/>
          <w:szCs w:val="20"/>
          <w:lang w:val="en"/>
        </w:rPr>
        <w:t xml:space="preserve"> supporting people with disability to find and retain employment.</w:t>
      </w:r>
    </w:p>
    <w:p w14:paraId="1A6B1B7B" w14:textId="51AA98A9" w:rsidR="00B459E4" w:rsidRPr="00A526BE" w:rsidRDefault="00B459E4" w:rsidP="00B459E4">
      <w:pPr>
        <w:spacing w:before="120" w:after="240"/>
        <w:ind w:right="176"/>
        <w:rPr>
          <w:sz w:val="20"/>
          <w:szCs w:val="20"/>
        </w:rPr>
      </w:pPr>
      <w:r w:rsidRPr="00A526BE">
        <w:rPr>
          <w:sz w:val="20"/>
          <w:szCs w:val="20"/>
        </w:rPr>
        <w:t>We will also coordinate improvements to participant-centred services delivered by the NDI</w:t>
      </w:r>
      <w:r w:rsidR="00B10A06">
        <w:rPr>
          <w:sz w:val="20"/>
          <w:szCs w:val="20"/>
        </w:rPr>
        <w:t>S</w:t>
      </w:r>
      <w:r w:rsidRPr="00A526BE">
        <w:rPr>
          <w:sz w:val="20"/>
          <w:szCs w:val="20"/>
        </w:rPr>
        <w:t>, strengthen the design and implementation of the Participant Service Guarantee,</w:t>
      </w:r>
      <w:r w:rsidR="00152CC3" w:rsidRPr="00A526BE">
        <w:rPr>
          <w:sz w:val="20"/>
          <w:szCs w:val="20"/>
        </w:rPr>
        <w:t xml:space="preserve"> and</w:t>
      </w:r>
      <w:r w:rsidRPr="00A526BE">
        <w:rPr>
          <w:sz w:val="20"/>
          <w:szCs w:val="20"/>
        </w:rPr>
        <w:t xml:space="preserve"> develop the NDIS Market to provide choice to NDIS participants in accessing services</w:t>
      </w:r>
      <w:r w:rsidRPr="00A526BE">
        <w:rPr>
          <w:sz w:val="20"/>
          <w:szCs w:val="20"/>
          <w:lang w:val="en"/>
        </w:rPr>
        <w:t xml:space="preserve">. </w:t>
      </w:r>
    </w:p>
    <w:p w14:paraId="1A09ECF7" w14:textId="3B3C188D" w:rsidR="00B459E4" w:rsidRPr="00A526BE" w:rsidRDefault="00B459E4" w:rsidP="00B459E4">
      <w:pPr>
        <w:spacing w:before="120" w:after="240"/>
        <w:ind w:right="176"/>
        <w:rPr>
          <w:sz w:val="20"/>
          <w:szCs w:val="20"/>
          <w:lang w:val="en"/>
        </w:rPr>
      </w:pPr>
      <w:r w:rsidRPr="00A526BE">
        <w:rPr>
          <w:sz w:val="20"/>
          <w:szCs w:val="20"/>
          <w:lang w:val="en"/>
        </w:rPr>
        <w:t xml:space="preserve">The department will continue to improve housing and homelessness </w:t>
      </w:r>
      <w:r w:rsidR="00C76EF2" w:rsidRPr="00A526BE">
        <w:rPr>
          <w:sz w:val="20"/>
          <w:szCs w:val="20"/>
          <w:lang w:val="en"/>
        </w:rPr>
        <w:t xml:space="preserve">outcomes </w:t>
      </w:r>
      <w:r w:rsidRPr="00A526BE">
        <w:rPr>
          <w:sz w:val="20"/>
          <w:szCs w:val="20"/>
          <w:lang w:val="en"/>
        </w:rPr>
        <w:t>through the ongoing funding of the National Housing and Homelessness Agreement to states and territories</w:t>
      </w:r>
      <w:r w:rsidR="00496380">
        <w:rPr>
          <w:sz w:val="20"/>
          <w:szCs w:val="20"/>
          <w:lang w:val="en"/>
        </w:rPr>
        <w:t>.</w:t>
      </w:r>
    </w:p>
    <w:p w14:paraId="2FCD06FD" w14:textId="0B86B384" w:rsidR="00E7305D" w:rsidRDefault="00B459E4" w:rsidP="00B459E4">
      <w:pPr>
        <w:spacing w:before="120" w:after="240"/>
        <w:ind w:right="176"/>
        <w:rPr>
          <w:sz w:val="20"/>
          <w:szCs w:val="20"/>
        </w:rPr>
      </w:pPr>
      <w:r w:rsidRPr="00A526BE">
        <w:rPr>
          <w:sz w:val="20"/>
          <w:szCs w:val="20"/>
        </w:rPr>
        <w:t xml:space="preserve">The department </w:t>
      </w:r>
      <w:r w:rsidR="00496380">
        <w:rPr>
          <w:sz w:val="20"/>
          <w:szCs w:val="20"/>
        </w:rPr>
        <w:t xml:space="preserve">is committed to the tasks at hand and we </w:t>
      </w:r>
      <w:r w:rsidRPr="00A526BE">
        <w:rPr>
          <w:sz w:val="20"/>
          <w:szCs w:val="20"/>
        </w:rPr>
        <w:t xml:space="preserve">will deliver these </w:t>
      </w:r>
      <w:r w:rsidR="00496380">
        <w:rPr>
          <w:sz w:val="20"/>
          <w:szCs w:val="20"/>
        </w:rPr>
        <w:t xml:space="preserve">outcomes, and other Government </w:t>
      </w:r>
      <w:r w:rsidRPr="00A526BE">
        <w:rPr>
          <w:sz w:val="20"/>
          <w:szCs w:val="20"/>
        </w:rPr>
        <w:t>priorities during</w:t>
      </w:r>
      <w:r w:rsidR="00941121">
        <w:rPr>
          <w:sz w:val="20"/>
          <w:szCs w:val="20"/>
        </w:rPr>
        <w:t xml:space="preserve"> </w:t>
      </w:r>
      <w:r w:rsidRPr="00A526BE">
        <w:rPr>
          <w:sz w:val="20"/>
          <w:szCs w:val="20"/>
        </w:rPr>
        <w:t>2020–21 to continue to improve the wellbeing of individuals and families in Australian communities.</w:t>
      </w:r>
    </w:p>
    <w:p w14:paraId="48124BAB" w14:textId="55560DEA" w:rsidR="00E7305D" w:rsidRDefault="00E7305D" w:rsidP="00B459E4">
      <w:pPr>
        <w:spacing w:before="120" w:after="240"/>
        <w:ind w:right="176"/>
        <w:rPr>
          <w:sz w:val="20"/>
          <w:szCs w:val="20"/>
        </w:rPr>
      </w:pPr>
    </w:p>
    <w:p w14:paraId="3A8CBCAB" w14:textId="37AB7711" w:rsidR="006832DC" w:rsidRDefault="005B23D5" w:rsidP="00B459E4">
      <w:pPr>
        <w:spacing w:before="120" w:after="240"/>
        <w:ind w:right="176"/>
        <w:rPr>
          <w:sz w:val="20"/>
          <w:szCs w:val="20"/>
        </w:rPr>
      </w:pPr>
      <w:r>
        <w:rPr>
          <w:noProof/>
          <w:lang w:eastAsia="en-AU"/>
        </w:rPr>
        <w:drawing>
          <wp:inline distT="0" distB="0" distL="0" distR="0" wp14:anchorId="476F3D0F" wp14:editId="6BE7EE24">
            <wp:extent cx="2816352" cy="524405"/>
            <wp:effectExtent l="0" t="0" r="3175" b="9525"/>
            <wp:docPr id="7819" name="Picture 7819" descr="copy of signature, Kathryn Campbell"/>
            <wp:cNvGraphicFramePr/>
            <a:graphic xmlns:a="http://schemas.openxmlformats.org/drawingml/2006/main">
              <a:graphicData uri="http://schemas.openxmlformats.org/drawingml/2006/picture">
                <pic:pic xmlns:pic="http://schemas.openxmlformats.org/drawingml/2006/picture">
                  <pic:nvPicPr>
                    <pic:cNvPr id="7819" name="Picture 7819"/>
                    <pic:cNvPicPr/>
                  </pic:nvPicPr>
                  <pic:blipFill>
                    <a:blip r:embed="rId28"/>
                    <a:stretch>
                      <a:fillRect/>
                    </a:stretch>
                  </pic:blipFill>
                  <pic:spPr>
                    <a:xfrm>
                      <a:off x="0" y="0"/>
                      <a:ext cx="2816352" cy="524405"/>
                    </a:xfrm>
                    <a:prstGeom prst="rect">
                      <a:avLst/>
                    </a:prstGeom>
                  </pic:spPr>
                </pic:pic>
              </a:graphicData>
            </a:graphic>
          </wp:inline>
        </w:drawing>
      </w:r>
    </w:p>
    <w:p w14:paraId="1DC47B48" w14:textId="77777777" w:rsidR="00BB1193" w:rsidRDefault="00E7305D" w:rsidP="003A047F">
      <w:pPr>
        <w:pStyle w:val="Header"/>
        <w:tabs>
          <w:tab w:val="left" w:pos="7938"/>
        </w:tabs>
        <w:ind w:right="328"/>
        <w:rPr>
          <w:rFonts w:ascii="Georgia" w:hAnsi="Georgia"/>
          <w:color w:val="005A70"/>
          <w:sz w:val="144"/>
          <w:szCs w:val="144"/>
        </w:rPr>
        <w:sectPr w:rsidR="00BB1193" w:rsidSect="00BB1193">
          <w:headerReference w:type="default" r:id="rId29"/>
          <w:footnotePr>
            <w:numRestart w:val="eachPage"/>
          </w:footnotePr>
          <w:type w:val="continuous"/>
          <w:pgSz w:w="11906" w:h="16838"/>
          <w:pgMar w:top="1440" w:right="1440" w:bottom="1440" w:left="1440" w:header="709" w:footer="709" w:gutter="0"/>
          <w:pgNumType w:start="1"/>
          <w:cols w:space="708"/>
          <w:docGrid w:linePitch="360"/>
        </w:sectPr>
      </w:pPr>
      <w:r w:rsidRPr="00634E7E">
        <w:rPr>
          <w:rFonts w:ascii="Times New Roman" w:hAnsi="Times New Roman" w:cs="Times New Roman"/>
          <w:b/>
          <w:bCs/>
          <w:noProof/>
        </w:rPr>
        <w:t xml:space="preserve">Kathryn Campbell </w:t>
      </w:r>
      <w:r>
        <w:rPr>
          <w:rFonts w:ascii="Times New Roman" w:hAnsi="Times New Roman" w:cs="Times New Roman"/>
          <w:b/>
          <w:bCs/>
          <w:noProof/>
        </w:rPr>
        <w:t xml:space="preserve">AO </w:t>
      </w:r>
      <w:r w:rsidRPr="00634E7E">
        <w:rPr>
          <w:rFonts w:ascii="Times New Roman" w:hAnsi="Times New Roman" w:cs="Times New Roman"/>
          <w:b/>
          <w:bCs/>
          <w:noProof/>
        </w:rPr>
        <w:t>CSC</w:t>
      </w:r>
      <w:r>
        <w:rPr>
          <w:rFonts w:ascii="Georgia" w:hAnsi="Georgia"/>
          <w:color w:val="005A70"/>
          <w:sz w:val="144"/>
          <w:szCs w:val="144"/>
        </w:rPr>
        <w:t xml:space="preserve"> </w:t>
      </w:r>
    </w:p>
    <w:p w14:paraId="4337D39E" w14:textId="6D97D96A" w:rsidR="00D031CF" w:rsidRPr="00054A67" w:rsidRDefault="00AD2997" w:rsidP="00AD2997">
      <w:pPr>
        <w:pBdr>
          <w:bottom w:val="single" w:sz="48" w:space="0" w:color="404040" w:themeColor="text1" w:themeTint="BF"/>
        </w:pBdr>
        <w:tabs>
          <w:tab w:val="right" w:pos="8364"/>
        </w:tabs>
        <w:spacing w:before="60" w:after="60"/>
        <w:ind w:right="567"/>
        <w:rPr>
          <w:rFonts w:ascii="Georgia" w:hAnsi="Georgia" w:cs="Georgia"/>
          <w:color w:val="215868" w:themeColor="accent5" w:themeShade="80"/>
          <w:sz w:val="80"/>
          <w:szCs w:val="80"/>
        </w:rPr>
      </w:pPr>
      <w:r w:rsidRPr="00054A67">
        <w:rPr>
          <w:rFonts w:ascii="Georgia" w:hAnsi="Georgia" w:cs="Georgia"/>
          <w:color w:val="215868" w:themeColor="accent5" w:themeShade="80"/>
          <w:sz w:val="80"/>
          <w:szCs w:val="80"/>
        </w:rPr>
        <w:lastRenderedPageBreak/>
        <w:t>Part 1</w:t>
      </w:r>
    </w:p>
    <w:p w14:paraId="709CB178" w14:textId="77777777" w:rsidR="00C25FBF" w:rsidRDefault="00C25FBF" w:rsidP="00AD2997">
      <w:pPr>
        <w:autoSpaceDE w:val="0"/>
        <w:autoSpaceDN w:val="0"/>
        <w:adjustRightInd w:val="0"/>
        <w:spacing w:before="120" w:after="120" w:line="240" w:lineRule="auto"/>
        <w:rPr>
          <w:rFonts w:ascii="Georgia" w:hAnsi="Georgia" w:cs="Arial"/>
          <w:color w:val="92CDDC" w:themeColor="accent5" w:themeTint="99"/>
          <w:sz w:val="36"/>
          <w:szCs w:val="36"/>
        </w:rPr>
      </w:pPr>
    </w:p>
    <w:p w14:paraId="757CA054" w14:textId="3E738406" w:rsidR="00AD2997" w:rsidRPr="00054A67" w:rsidRDefault="00AD2997" w:rsidP="00AD2997">
      <w:pPr>
        <w:autoSpaceDE w:val="0"/>
        <w:autoSpaceDN w:val="0"/>
        <w:adjustRightInd w:val="0"/>
        <w:spacing w:before="120" w:after="120" w:line="240" w:lineRule="auto"/>
        <w:rPr>
          <w:rFonts w:ascii="Georgia" w:hAnsi="Georgia" w:cs="Arial"/>
          <w:color w:val="215868" w:themeColor="accent5" w:themeShade="80"/>
          <w:sz w:val="72"/>
          <w:szCs w:val="72"/>
        </w:rPr>
      </w:pPr>
      <w:r w:rsidRPr="00054A67">
        <w:rPr>
          <w:rFonts w:ascii="Georgia" w:hAnsi="Georgia" w:cs="Arial"/>
          <w:color w:val="215868" w:themeColor="accent5" w:themeShade="80"/>
          <w:sz w:val="72"/>
          <w:szCs w:val="72"/>
        </w:rPr>
        <w:t>Overview</w:t>
      </w:r>
    </w:p>
    <w:p w14:paraId="4337D39F" w14:textId="4AE82D29" w:rsidR="00D031CF" w:rsidRPr="00481422" w:rsidRDefault="00A53792" w:rsidP="00AB7A4D">
      <w:pPr>
        <w:tabs>
          <w:tab w:val="left" w:pos="2268"/>
          <w:tab w:val="right" w:pos="7938"/>
          <w:tab w:val="left" w:pos="8505"/>
        </w:tabs>
        <w:ind w:right="-397"/>
        <w:rPr>
          <w:sz w:val="28"/>
          <w:szCs w:val="28"/>
        </w:rPr>
      </w:pPr>
      <w:r w:rsidRPr="00481422">
        <w:rPr>
          <w:sz w:val="28"/>
          <w:szCs w:val="28"/>
        </w:rPr>
        <w:t>Chapter 1.1</w:t>
      </w:r>
      <w:r w:rsidR="00AB7A4D" w:rsidRPr="00481422">
        <w:rPr>
          <w:sz w:val="28"/>
          <w:szCs w:val="28"/>
        </w:rPr>
        <w:t xml:space="preserve"> </w:t>
      </w:r>
      <w:r w:rsidRPr="00481422">
        <w:rPr>
          <w:sz w:val="28"/>
          <w:szCs w:val="28"/>
        </w:rPr>
        <w:t>Our department</w:t>
      </w:r>
      <w:r w:rsidRPr="00481422">
        <w:rPr>
          <w:sz w:val="28"/>
          <w:szCs w:val="28"/>
        </w:rPr>
        <w:tab/>
      </w:r>
      <w:r w:rsidRPr="00481422">
        <w:rPr>
          <w:sz w:val="28"/>
          <w:szCs w:val="28"/>
        </w:rPr>
        <w:tab/>
      </w:r>
      <w:r w:rsidR="00481422" w:rsidRPr="00481422">
        <w:rPr>
          <w:sz w:val="28"/>
          <w:szCs w:val="28"/>
        </w:rPr>
        <w:t>5</w:t>
      </w:r>
    </w:p>
    <w:p w14:paraId="0ECA48C6" w14:textId="38D75D32" w:rsidR="002239EC" w:rsidRPr="00AD2997" w:rsidRDefault="002239EC" w:rsidP="00AB7A4D">
      <w:pPr>
        <w:tabs>
          <w:tab w:val="left" w:pos="2268"/>
          <w:tab w:val="right" w:pos="7938"/>
          <w:tab w:val="left" w:pos="8505"/>
        </w:tabs>
        <w:ind w:right="-397"/>
        <w:rPr>
          <w:sz w:val="28"/>
          <w:szCs w:val="28"/>
        </w:rPr>
      </w:pPr>
      <w:r w:rsidRPr="00481422">
        <w:rPr>
          <w:sz w:val="28"/>
          <w:szCs w:val="28"/>
        </w:rPr>
        <w:t>Chapter 1.2</w:t>
      </w:r>
      <w:r w:rsidR="00AB7A4D" w:rsidRPr="00481422">
        <w:rPr>
          <w:sz w:val="28"/>
          <w:szCs w:val="28"/>
        </w:rPr>
        <w:t xml:space="preserve"> </w:t>
      </w:r>
      <w:r w:rsidRPr="00481422">
        <w:rPr>
          <w:sz w:val="28"/>
          <w:szCs w:val="28"/>
        </w:rPr>
        <w:t>The</w:t>
      </w:r>
      <w:r w:rsidRPr="00AD2997">
        <w:rPr>
          <w:sz w:val="28"/>
          <w:szCs w:val="28"/>
        </w:rPr>
        <w:t xml:space="preserve"> portfolio</w:t>
      </w:r>
      <w:r w:rsidRPr="00AD2997">
        <w:rPr>
          <w:sz w:val="28"/>
          <w:szCs w:val="28"/>
        </w:rPr>
        <w:tab/>
      </w:r>
      <w:r w:rsidRPr="00AD2997">
        <w:rPr>
          <w:sz w:val="28"/>
          <w:szCs w:val="28"/>
        </w:rPr>
        <w:tab/>
      </w:r>
      <w:r w:rsidR="00481422">
        <w:rPr>
          <w:sz w:val="28"/>
          <w:szCs w:val="28"/>
        </w:rPr>
        <w:t>10</w:t>
      </w:r>
    </w:p>
    <w:p w14:paraId="4337D3A0" w14:textId="77777777" w:rsidR="00D031CF" w:rsidRDefault="00A53792">
      <w:pPr>
        <w:rPr>
          <w:rFonts w:ascii="Georgia" w:eastAsiaTheme="majorEastAsia" w:hAnsi="Georgia" w:cstheme="majorBidi"/>
          <w:bCs/>
          <w:color w:val="2C2A29"/>
          <w:sz w:val="28"/>
          <w:szCs w:val="28"/>
        </w:rPr>
      </w:pPr>
      <w:r>
        <w:rPr>
          <w:rFonts w:ascii="Georgia" w:hAnsi="Georgia"/>
          <w:b/>
          <w:color w:val="2C2A29"/>
          <w:sz w:val="28"/>
          <w:szCs w:val="28"/>
        </w:rPr>
        <w:br w:type="page"/>
      </w:r>
    </w:p>
    <w:p w14:paraId="50B28CC7" w14:textId="77777777" w:rsidR="00C14620" w:rsidRPr="007E68AA" w:rsidRDefault="00C14620" w:rsidP="00C14620">
      <w:pPr>
        <w:pStyle w:val="Heading5"/>
        <w:spacing w:after="200"/>
        <w:rPr>
          <w:b w:val="0"/>
          <w:color w:val="auto"/>
          <w:sz w:val="28"/>
        </w:rPr>
      </w:pPr>
      <w:r w:rsidRPr="007E68AA">
        <w:rPr>
          <w:b w:val="0"/>
          <w:color w:val="auto"/>
          <w:sz w:val="28"/>
        </w:rPr>
        <w:lastRenderedPageBreak/>
        <w:t>Chapter 1.1</w:t>
      </w:r>
    </w:p>
    <w:p w14:paraId="6CCF80A3" w14:textId="77777777" w:rsidR="00C14620" w:rsidRPr="00054A67" w:rsidRDefault="00C14620" w:rsidP="00C14620">
      <w:pPr>
        <w:pStyle w:val="Heading1"/>
        <w:spacing w:before="240" w:after="240"/>
        <w:rPr>
          <w:rFonts w:ascii="Georgia" w:hAnsi="Georgia"/>
          <w:b w:val="0"/>
          <w:color w:val="215868" w:themeColor="accent5" w:themeShade="80"/>
          <w:sz w:val="72"/>
        </w:rPr>
      </w:pPr>
      <w:r w:rsidRPr="00054A67">
        <w:rPr>
          <w:rFonts w:ascii="Georgia" w:hAnsi="Georgia"/>
          <w:b w:val="0"/>
          <w:color w:val="215868" w:themeColor="accent5" w:themeShade="80"/>
          <w:sz w:val="72"/>
        </w:rPr>
        <w:t>Our department</w:t>
      </w:r>
    </w:p>
    <w:p w14:paraId="6F86DEF4" w14:textId="40F63FBE" w:rsidR="00C14620" w:rsidRPr="00AC7482" w:rsidRDefault="00C14620" w:rsidP="000D4A21">
      <w:pPr>
        <w:autoSpaceDE w:val="0"/>
        <w:autoSpaceDN w:val="0"/>
        <w:adjustRightInd w:val="0"/>
        <w:spacing w:before="120" w:after="180" w:line="280" w:lineRule="atLeast"/>
        <w:ind w:right="-164"/>
        <w:rPr>
          <w:rFonts w:cs="Arial"/>
          <w:sz w:val="20"/>
        </w:rPr>
      </w:pPr>
      <w:r w:rsidRPr="00AC7482">
        <w:rPr>
          <w:rFonts w:cs="Arial"/>
          <w:sz w:val="20"/>
        </w:rPr>
        <w:t>The Department of Social Services is responsible for a diverse range of policies, payments, programs</w:t>
      </w:r>
      <w:r w:rsidR="007D225C">
        <w:rPr>
          <w:rFonts w:cs="Arial"/>
          <w:sz w:val="20"/>
        </w:rPr>
        <w:t>,</w:t>
      </w:r>
      <w:r w:rsidRPr="00AC7482">
        <w:rPr>
          <w:rFonts w:cs="Arial"/>
          <w:sz w:val="20"/>
        </w:rPr>
        <w:t xml:space="preserve"> and services that improve the wellbeing of people and families in Australia.</w:t>
      </w:r>
    </w:p>
    <w:p w14:paraId="24242CA8" w14:textId="703C01AA" w:rsidR="00C14620" w:rsidRPr="00AC7482" w:rsidRDefault="00C14620" w:rsidP="000D4A21">
      <w:pPr>
        <w:autoSpaceDE w:val="0"/>
        <w:autoSpaceDN w:val="0"/>
        <w:adjustRightInd w:val="0"/>
        <w:spacing w:before="120" w:after="180" w:line="280" w:lineRule="atLeast"/>
        <w:ind w:right="-164"/>
        <w:rPr>
          <w:rFonts w:cs="Arial"/>
          <w:sz w:val="20"/>
        </w:rPr>
      </w:pPr>
      <w:r w:rsidRPr="00AC7482">
        <w:rPr>
          <w:rFonts w:cs="Arial"/>
          <w:sz w:val="20"/>
        </w:rPr>
        <w:t>We fund services and payments that assist families, children and older people, provide a safety net for those who cannot fully support themselves, enhance the wellbeing of people with high needs, assist those who need help with care</w:t>
      </w:r>
      <w:r w:rsidR="00E7029A">
        <w:rPr>
          <w:rFonts w:cs="Arial"/>
          <w:sz w:val="20"/>
        </w:rPr>
        <w:t>,</w:t>
      </w:r>
      <w:r w:rsidRPr="00AC7482">
        <w:rPr>
          <w:rFonts w:cs="Arial"/>
          <w:sz w:val="20"/>
        </w:rPr>
        <w:t xml:space="preserve"> and support a diverse and harmonious society.</w:t>
      </w:r>
    </w:p>
    <w:p w14:paraId="0083B336" w14:textId="77777777" w:rsidR="00C14620" w:rsidRPr="00AC7482" w:rsidRDefault="00C14620" w:rsidP="00C14620">
      <w:pPr>
        <w:pStyle w:val="Heading4"/>
        <w:spacing w:after="200"/>
        <w:rPr>
          <w:rFonts w:ascii="Georgia" w:hAnsi="Georgia"/>
          <w:b w:val="0"/>
          <w:i w:val="0"/>
          <w:sz w:val="36"/>
        </w:rPr>
      </w:pPr>
      <w:r w:rsidRPr="00AC7482">
        <w:rPr>
          <w:rFonts w:ascii="Georgia" w:hAnsi="Georgia"/>
          <w:b w:val="0"/>
          <w:i w:val="0"/>
          <w:sz w:val="36"/>
        </w:rPr>
        <w:t>Our mission</w:t>
      </w:r>
    </w:p>
    <w:p w14:paraId="577EDC22" w14:textId="77777777" w:rsidR="00C14620" w:rsidRPr="00AC7482" w:rsidRDefault="00C14620" w:rsidP="00C14620">
      <w:pPr>
        <w:autoSpaceDE w:val="0"/>
        <w:autoSpaceDN w:val="0"/>
        <w:adjustRightInd w:val="0"/>
        <w:spacing w:before="200" w:line="221" w:lineRule="atLeast"/>
        <w:ind w:right="-164"/>
        <w:rPr>
          <w:rFonts w:cs="Arial"/>
          <w:sz w:val="20"/>
        </w:rPr>
      </w:pPr>
      <w:r w:rsidRPr="00AC7482">
        <w:rPr>
          <w:rFonts w:cs="Arial"/>
          <w:sz w:val="20"/>
        </w:rPr>
        <w:t>Our mission is to improve the wellbeing of individuals and families in Australian communities.</w:t>
      </w:r>
    </w:p>
    <w:p w14:paraId="38CFE310" w14:textId="77777777" w:rsidR="00C14620" w:rsidRPr="00AC7482" w:rsidRDefault="00C14620" w:rsidP="00C14620">
      <w:pPr>
        <w:pStyle w:val="Heading4"/>
        <w:spacing w:after="200"/>
        <w:rPr>
          <w:rFonts w:ascii="Georgia" w:hAnsi="Georgia"/>
          <w:b w:val="0"/>
          <w:i w:val="0"/>
          <w:sz w:val="36"/>
        </w:rPr>
      </w:pPr>
      <w:r w:rsidRPr="00AC7482">
        <w:rPr>
          <w:rFonts w:ascii="Georgia" w:hAnsi="Georgia"/>
          <w:b w:val="0"/>
          <w:i w:val="0"/>
          <w:sz w:val="36"/>
        </w:rPr>
        <w:t>Purpose</w:t>
      </w:r>
    </w:p>
    <w:p w14:paraId="1A46B288" w14:textId="41F83A82" w:rsidR="00C14620" w:rsidRPr="00AC7482" w:rsidRDefault="00C14620" w:rsidP="000D4A21">
      <w:pPr>
        <w:spacing w:before="120" w:after="180" w:line="280" w:lineRule="atLeast"/>
        <w:ind w:right="-164"/>
        <w:rPr>
          <w:rFonts w:cs="Arial"/>
          <w:sz w:val="20"/>
          <w:szCs w:val="20"/>
        </w:rPr>
      </w:pPr>
      <w:r w:rsidRPr="00AC7482">
        <w:rPr>
          <w:rFonts w:cs="Arial"/>
          <w:sz w:val="20"/>
          <w:szCs w:val="20"/>
        </w:rPr>
        <w:t>We work in partnership with government and non-government organisations to achieve our mission through the effective development, management and delivery of payments, policies, programs</w:t>
      </w:r>
      <w:r w:rsidR="007D225C">
        <w:rPr>
          <w:rFonts w:cs="Arial"/>
          <w:sz w:val="20"/>
          <w:szCs w:val="20"/>
        </w:rPr>
        <w:t>,</w:t>
      </w:r>
      <w:r w:rsidRPr="00AC7482">
        <w:rPr>
          <w:rFonts w:cs="Arial"/>
          <w:sz w:val="20"/>
          <w:szCs w:val="20"/>
        </w:rPr>
        <w:t xml:space="preserve"> and services.</w:t>
      </w:r>
    </w:p>
    <w:p w14:paraId="253BDD74" w14:textId="0AF963FF" w:rsidR="00C14620" w:rsidRPr="00AC7482" w:rsidRDefault="00C14620" w:rsidP="00C14620">
      <w:pPr>
        <w:spacing w:after="240"/>
        <w:ind w:right="-164"/>
        <w:rPr>
          <w:rFonts w:cs="Arial"/>
          <w:sz w:val="20"/>
          <w:szCs w:val="20"/>
        </w:rPr>
      </w:pPr>
      <w:r w:rsidRPr="00AC7482">
        <w:rPr>
          <w:rFonts w:cs="Arial"/>
          <w:sz w:val="20"/>
          <w:szCs w:val="20"/>
        </w:rPr>
        <w:t>Our purpose reflect</w:t>
      </w:r>
      <w:r w:rsidR="002E7EAA">
        <w:rPr>
          <w:rFonts w:cs="Arial"/>
          <w:sz w:val="20"/>
          <w:szCs w:val="20"/>
        </w:rPr>
        <w:t>s</w:t>
      </w:r>
      <w:r w:rsidRPr="00AC7482">
        <w:rPr>
          <w:rFonts w:cs="Arial"/>
          <w:sz w:val="20"/>
          <w:szCs w:val="20"/>
        </w:rPr>
        <w:t xml:space="preserve"> four core areas in which we seek to assist people:</w:t>
      </w:r>
    </w:p>
    <w:p w14:paraId="04AB8103" w14:textId="77777777" w:rsidR="00C14620" w:rsidRPr="00AC7482" w:rsidRDefault="00C14620" w:rsidP="00C14620">
      <w:pPr>
        <w:pStyle w:val="Heading6"/>
        <w:spacing w:before="200" w:after="200"/>
        <w:rPr>
          <w:i w:val="0"/>
          <w:color w:val="auto"/>
          <w:sz w:val="26"/>
        </w:rPr>
      </w:pPr>
      <w:r w:rsidRPr="00AC7482">
        <w:rPr>
          <w:i w:val="0"/>
          <w:color w:val="auto"/>
          <w:sz w:val="26"/>
        </w:rPr>
        <w:t>Purpose 1: Social Security</w:t>
      </w:r>
    </w:p>
    <w:p w14:paraId="428109B6" w14:textId="77777777" w:rsidR="00C14620" w:rsidRPr="00AC7482" w:rsidRDefault="00C14620" w:rsidP="000D4A21">
      <w:pPr>
        <w:spacing w:before="120" w:after="180" w:line="280" w:lineRule="atLeast"/>
        <w:ind w:right="-164"/>
        <w:rPr>
          <w:rFonts w:cs="Arial"/>
          <w:sz w:val="20"/>
          <w:szCs w:val="20"/>
        </w:rPr>
      </w:pPr>
      <w:r w:rsidRPr="00AC7482">
        <w:rPr>
          <w:rFonts w:cs="Arial"/>
          <w:sz w:val="20"/>
          <w:szCs w:val="20"/>
        </w:rPr>
        <w:t>Encourage self-reliance and support people who cannot fully support themselves by providing sustainable social security payments and assistance.</w:t>
      </w:r>
    </w:p>
    <w:p w14:paraId="6B5E58BE" w14:textId="77777777" w:rsidR="00C14620" w:rsidRPr="00AC7482" w:rsidRDefault="00C14620" w:rsidP="00C14620">
      <w:pPr>
        <w:pStyle w:val="Heading6"/>
        <w:spacing w:before="200" w:after="200"/>
        <w:rPr>
          <w:i w:val="0"/>
          <w:color w:val="auto"/>
          <w:sz w:val="26"/>
        </w:rPr>
      </w:pPr>
      <w:r w:rsidRPr="00AC7482">
        <w:rPr>
          <w:i w:val="0"/>
          <w:color w:val="auto"/>
          <w:sz w:val="26"/>
        </w:rPr>
        <w:t xml:space="preserve">Purpose 2: Families and Communities </w:t>
      </w:r>
    </w:p>
    <w:p w14:paraId="1D7F51C2" w14:textId="7ECB1B5C" w:rsidR="00C14620" w:rsidRPr="00AC7482" w:rsidRDefault="00C14620" w:rsidP="000D4A21">
      <w:pPr>
        <w:spacing w:before="120" w:after="180" w:line="280" w:lineRule="atLeast"/>
        <w:ind w:right="-164"/>
        <w:rPr>
          <w:rFonts w:cs="Arial"/>
          <w:sz w:val="20"/>
          <w:szCs w:val="20"/>
        </w:rPr>
      </w:pPr>
      <w:r w:rsidRPr="00AC7482">
        <w:rPr>
          <w:rFonts w:cs="Arial"/>
          <w:sz w:val="20"/>
          <w:szCs w:val="20"/>
        </w:rPr>
        <w:t>Contribute to stronger and more resilient individuals, families and communities by providing targeted services and initiatives.</w:t>
      </w:r>
    </w:p>
    <w:p w14:paraId="38704622" w14:textId="77777777" w:rsidR="00C14620" w:rsidRPr="00AC7482" w:rsidRDefault="00C14620" w:rsidP="00C14620">
      <w:pPr>
        <w:pStyle w:val="Heading6"/>
        <w:spacing w:before="200" w:after="200"/>
        <w:rPr>
          <w:i w:val="0"/>
          <w:color w:val="auto"/>
          <w:sz w:val="26"/>
        </w:rPr>
      </w:pPr>
      <w:r w:rsidRPr="00AC7482">
        <w:rPr>
          <w:i w:val="0"/>
          <w:color w:val="auto"/>
          <w:sz w:val="26"/>
        </w:rPr>
        <w:t>Purpose 3: Disability and Carers</w:t>
      </w:r>
    </w:p>
    <w:p w14:paraId="463F6B34" w14:textId="77777777" w:rsidR="00C14620" w:rsidRPr="00AC7482" w:rsidRDefault="00C14620" w:rsidP="000D4A21">
      <w:pPr>
        <w:spacing w:before="120" w:after="180" w:line="280" w:lineRule="atLeast"/>
        <w:ind w:right="-164"/>
        <w:rPr>
          <w:rFonts w:cs="Arial"/>
          <w:sz w:val="20"/>
          <w:szCs w:val="20"/>
        </w:rPr>
      </w:pPr>
      <w:r w:rsidRPr="00AC7482">
        <w:rPr>
          <w:rFonts w:cs="Arial"/>
          <w:sz w:val="20"/>
          <w:szCs w:val="20"/>
        </w:rPr>
        <w:t>Improved independence of, and participation by, people with disability, including improved support for carers, by providing targeted support and services.</w:t>
      </w:r>
    </w:p>
    <w:p w14:paraId="0A009677" w14:textId="77777777" w:rsidR="00C14620" w:rsidRPr="00AC7482" w:rsidRDefault="00C14620" w:rsidP="00C14620">
      <w:pPr>
        <w:pStyle w:val="Heading6"/>
        <w:spacing w:before="200" w:after="200"/>
        <w:rPr>
          <w:i w:val="0"/>
          <w:color w:val="auto"/>
          <w:sz w:val="26"/>
        </w:rPr>
      </w:pPr>
      <w:r w:rsidRPr="00AC7482">
        <w:rPr>
          <w:i w:val="0"/>
          <w:color w:val="auto"/>
          <w:sz w:val="26"/>
        </w:rPr>
        <w:t>Purpose 4: Housing</w:t>
      </w:r>
    </w:p>
    <w:p w14:paraId="53990E46" w14:textId="77777777" w:rsidR="00C14620" w:rsidRPr="00AC7482" w:rsidRDefault="00C14620" w:rsidP="000D4A21">
      <w:pPr>
        <w:spacing w:before="120" w:after="180" w:line="280" w:lineRule="atLeast"/>
        <w:ind w:right="-164"/>
        <w:rPr>
          <w:rFonts w:cs="Arial"/>
          <w:sz w:val="20"/>
          <w:szCs w:val="20"/>
        </w:rPr>
      </w:pPr>
      <w:r w:rsidRPr="00AC7482">
        <w:rPr>
          <w:rFonts w:cs="Arial"/>
          <w:sz w:val="20"/>
          <w:szCs w:val="20"/>
        </w:rPr>
        <w:t>Increased housing supply, improved community housing and assisting individuals experiencing homelessness through targeted support and services.</w:t>
      </w:r>
    </w:p>
    <w:p w14:paraId="3671695D" w14:textId="77777777" w:rsidR="00BB1193" w:rsidRDefault="00BB1193" w:rsidP="00C14620">
      <w:pPr>
        <w:sectPr w:rsidR="00BB1193" w:rsidSect="00BB1193">
          <w:footnotePr>
            <w:numRestart w:val="eachPage"/>
          </w:footnotePr>
          <w:pgSz w:w="11906" w:h="16838"/>
          <w:pgMar w:top="1440" w:right="1440" w:bottom="1440" w:left="1440" w:header="709" w:footer="709" w:gutter="0"/>
          <w:cols w:space="708"/>
          <w:docGrid w:linePitch="360"/>
        </w:sectPr>
      </w:pPr>
    </w:p>
    <w:p w14:paraId="55B2699D" w14:textId="77777777" w:rsidR="00C14620" w:rsidRPr="00AC7482" w:rsidRDefault="00C14620" w:rsidP="00C14620">
      <w:pPr>
        <w:pStyle w:val="Heading4"/>
        <w:spacing w:after="200"/>
        <w:rPr>
          <w:rFonts w:ascii="Georgia" w:hAnsi="Georgia"/>
          <w:b w:val="0"/>
          <w:i w:val="0"/>
          <w:sz w:val="36"/>
        </w:rPr>
      </w:pPr>
      <w:r w:rsidRPr="00AC7482">
        <w:rPr>
          <w:rFonts w:ascii="Georgia" w:hAnsi="Georgia"/>
          <w:b w:val="0"/>
          <w:i w:val="0"/>
          <w:sz w:val="36"/>
        </w:rPr>
        <w:lastRenderedPageBreak/>
        <w:t>Our priorities</w:t>
      </w:r>
    </w:p>
    <w:p w14:paraId="388A93D0" w14:textId="67EDB28D" w:rsidR="00C14620" w:rsidRPr="00AC7482" w:rsidRDefault="00C14620" w:rsidP="00221F67">
      <w:pPr>
        <w:spacing w:before="120" w:after="180" w:line="280" w:lineRule="atLeast"/>
        <w:ind w:right="-164"/>
        <w:rPr>
          <w:rFonts w:cs="Arial"/>
          <w:sz w:val="20"/>
          <w:szCs w:val="20"/>
        </w:rPr>
      </w:pPr>
      <w:r w:rsidRPr="00AC7482">
        <w:rPr>
          <w:rFonts w:cs="Arial"/>
          <w:sz w:val="20"/>
          <w:szCs w:val="20"/>
        </w:rPr>
        <w:t>We deliver our mission and purpose through:</w:t>
      </w:r>
    </w:p>
    <w:p w14:paraId="37555BFE" w14:textId="24B28BFA" w:rsidR="00C14620" w:rsidRPr="00AC7482" w:rsidRDefault="00C14620" w:rsidP="00221F67">
      <w:pPr>
        <w:pStyle w:val="ListBullet"/>
        <w:numPr>
          <w:ilvl w:val="0"/>
          <w:numId w:val="0"/>
        </w:numPr>
        <w:spacing w:line="280" w:lineRule="atLeast"/>
      </w:pPr>
      <w:r w:rsidRPr="00AC7482">
        <w:rPr>
          <w:rStyle w:val="Heading7Char"/>
          <w:b/>
          <w:szCs w:val="22"/>
        </w:rPr>
        <w:t>Quality policy advice</w:t>
      </w:r>
      <w:r w:rsidRPr="00AC7482">
        <w:rPr>
          <w:szCs w:val="22"/>
        </w:rPr>
        <w:t xml:space="preserve"> </w:t>
      </w:r>
      <w:r w:rsidRPr="00AC7482">
        <w:t>– providing timely, evidence-based, social policy advice to our Ministers and the broader government with a focus on ensuring the long-term sustainability of the welfare system.</w:t>
      </w:r>
    </w:p>
    <w:p w14:paraId="60B6F969" w14:textId="6061E144" w:rsidR="00C14620" w:rsidRPr="00AC7482" w:rsidRDefault="00C14620" w:rsidP="00221F67">
      <w:pPr>
        <w:pStyle w:val="ListBullet"/>
        <w:numPr>
          <w:ilvl w:val="0"/>
          <w:numId w:val="0"/>
        </w:numPr>
        <w:spacing w:line="280" w:lineRule="atLeast"/>
      </w:pPr>
      <w:r w:rsidRPr="00AC7482">
        <w:rPr>
          <w:rStyle w:val="Heading7Char"/>
          <w:b/>
          <w:szCs w:val="22"/>
        </w:rPr>
        <w:t>Effective program design and management</w:t>
      </w:r>
      <w:r w:rsidRPr="00AC7482">
        <w:rPr>
          <w:szCs w:val="22"/>
        </w:rPr>
        <w:t xml:space="preserve"> </w:t>
      </w:r>
      <w:r w:rsidRPr="00AC7482">
        <w:t>– ensuring government policies and programs achieve intended outcomes through effective program planning, design, implementation, ongoing monitoring</w:t>
      </w:r>
      <w:r w:rsidR="008746D0">
        <w:t>,</w:t>
      </w:r>
      <w:r w:rsidRPr="00AC7482">
        <w:t xml:space="preserve"> and evaluation.</w:t>
      </w:r>
    </w:p>
    <w:p w14:paraId="668B1EB0" w14:textId="77777777" w:rsidR="00C14620" w:rsidRPr="00AC7482" w:rsidRDefault="00C14620" w:rsidP="00221F67">
      <w:pPr>
        <w:pStyle w:val="ListBullet"/>
        <w:numPr>
          <w:ilvl w:val="0"/>
          <w:numId w:val="0"/>
        </w:numPr>
        <w:spacing w:line="280" w:lineRule="atLeast"/>
      </w:pPr>
      <w:r w:rsidRPr="00AC7482">
        <w:rPr>
          <w:rStyle w:val="Heading7Char"/>
          <w:b/>
          <w:szCs w:val="22"/>
        </w:rPr>
        <w:t>People, culture and performance</w:t>
      </w:r>
      <w:r w:rsidRPr="00AC7482">
        <w:rPr>
          <w:szCs w:val="22"/>
        </w:rPr>
        <w:t xml:space="preserve"> </w:t>
      </w:r>
      <w:r w:rsidRPr="00AC7482">
        <w:t>– building a productive, safe, diverse and respectful workplace, effectively managing risks and resources, and ensuring we have the capability to deliver government priorities now and into the future.</w:t>
      </w:r>
    </w:p>
    <w:p w14:paraId="02253536" w14:textId="77777777" w:rsidR="00C14620" w:rsidRPr="00AC7482" w:rsidRDefault="00C14620" w:rsidP="00C14620">
      <w:pPr>
        <w:pStyle w:val="Heading4"/>
        <w:spacing w:after="200"/>
        <w:rPr>
          <w:rFonts w:ascii="Georgia" w:hAnsi="Georgia"/>
          <w:b w:val="0"/>
          <w:i w:val="0"/>
          <w:sz w:val="36"/>
        </w:rPr>
      </w:pPr>
      <w:r w:rsidRPr="00AC7482">
        <w:rPr>
          <w:rFonts w:ascii="Georgia" w:hAnsi="Georgia"/>
          <w:b w:val="0"/>
          <w:i w:val="0"/>
          <w:sz w:val="36"/>
        </w:rPr>
        <w:t>Our values</w:t>
      </w:r>
    </w:p>
    <w:p w14:paraId="687701FA" w14:textId="2D744B5A" w:rsidR="00C14620" w:rsidRPr="00AC7482" w:rsidRDefault="00C14620" w:rsidP="00221F67">
      <w:pPr>
        <w:spacing w:before="120" w:after="180" w:line="280" w:lineRule="atLeast"/>
        <w:rPr>
          <w:rFonts w:cs="Arial"/>
          <w:sz w:val="20"/>
          <w:szCs w:val="20"/>
        </w:rPr>
      </w:pPr>
      <w:r w:rsidRPr="00AC7482">
        <w:rPr>
          <w:rFonts w:cs="Arial"/>
          <w:sz w:val="20"/>
          <w:szCs w:val="20"/>
        </w:rPr>
        <w:t>Our values are those of the Australian Public Service (APS). The APS values require us to be impartial, committed to service, accountable, respectful</w:t>
      </w:r>
      <w:r w:rsidR="008746D0">
        <w:rPr>
          <w:rFonts w:cs="Arial"/>
          <w:sz w:val="20"/>
          <w:szCs w:val="20"/>
        </w:rPr>
        <w:t>,</w:t>
      </w:r>
      <w:r w:rsidRPr="00AC7482">
        <w:rPr>
          <w:rFonts w:cs="Arial"/>
          <w:sz w:val="20"/>
          <w:szCs w:val="20"/>
        </w:rPr>
        <w:t xml:space="preserve"> and ethical. These are central to the way we work with our Ministers, colleagues</w:t>
      </w:r>
      <w:r w:rsidR="008746D0">
        <w:rPr>
          <w:rFonts w:cs="Arial"/>
          <w:sz w:val="20"/>
          <w:szCs w:val="20"/>
        </w:rPr>
        <w:t>,</w:t>
      </w:r>
      <w:r w:rsidRPr="00AC7482">
        <w:rPr>
          <w:rFonts w:cs="Arial"/>
          <w:sz w:val="20"/>
          <w:szCs w:val="20"/>
        </w:rPr>
        <w:t xml:space="preserve"> and stakeholders.</w:t>
      </w:r>
    </w:p>
    <w:p w14:paraId="4337D3A1" w14:textId="1D754614" w:rsidR="00B434BB" w:rsidRPr="00D031CF" w:rsidRDefault="00A53792" w:rsidP="00D031CF">
      <w:pPr>
        <w:pStyle w:val="Heading4"/>
        <w:spacing w:after="200"/>
        <w:rPr>
          <w:rFonts w:ascii="Georgia" w:hAnsi="Georgia"/>
          <w:b w:val="0"/>
          <w:i w:val="0"/>
          <w:sz w:val="36"/>
        </w:rPr>
      </w:pPr>
      <w:r w:rsidRPr="00D031CF">
        <w:rPr>
          <w:rFonts w:ascii="Georgia" w:hAnsi="Georgia"/>
          <w:b w:val="0"/>
          <w:i w:val="0"/>
          <w:sz w:val="36"/>
        </w:rPr>
        <w:t xml:space="preserve">Organisational structure </w:t>
      </w:r>
    </w:p>
    <w:p w14:paraId="309FFE83" w14:textId="5B79F01E" w:rsidR="002C02CE" w:rsidRDefault="002239EC" w:rsidP="00221F67">
      <w:pPr>
        <w:spacing w:before="120" w:after="180" w:line="280" w:lineRule="atLeast"/>
        <w:rPr>
          <w:rFonts w:cs="Arial"/>
          <w:sz w:val="20"/>
          <w:szCs w:val="20"/>
        </w:rPr>
      </w:pPr>
      <w:r w:rsidRPr="003A570D">
        <w:rPr>
          <w:rFonts w:cs="Arial"/>
          <w:sz w:val="20"/>
          <w:szCs w:val="20"/>
        </w:rPr>
        <w:t xml:space="preserve">Our department is led by the Secretary and supported by </w:t>
      </w:r>
      <w:r w:rsidR="008746D0">
        <w:rPr>
          <w:rFonts w:cs="Arial"/>
          <w:sz w:val="20"/>
          <w:szCs w:val="20"/>
        </w:rPr>
        <w:t>d</w:t>
      </w:r>
      <w:r w:rsidRPr="003A570D">
        <w:rPr>
          <w:rFonts w:cs="Arial"/>
          <w:sz w:val="20"/>
          <w:szCs w:val="20"/>
        </w:rPr>
        <w:t xml:space="preserve">eputy </w:t>
      </w:r>
      <w:r w:rsidR="008746D0">
        <w:rPr>
          <w:rFonts w:cs="Arial"/>
          <w:sz w:val="20"/>
          <w:szCs w:val="20"/>
        </w:rPr>
        <w:t>s</w:t>
      </w:r>
      <w:r w:rsidRPr="003A570D">
        <w:rPr>
          <w:rFonts w:cs="Arial"/>
          <w:sz w:val="20"/>
          <w:szCs w:val="20"/>
        </w:rPr>
        <w:t>ecretaries operating across four streams.</w:t>
      </w:r>
      <w:r>
        <w:rPr>
          <w:rFonts w:cs="Arial"/>
          <w:sz w:val="20"/>
          <w:szCs w:val="20"/>
        </w:rPr>
        <w:t xml:space="preserve"> </w:t>
      </w:r>
      <w:r w:rsidR="00F12CF6">
        <w:rPr>
          <w:rFonts w:cs="Arial"/>
          <w:sz w:val="20"/>
          <w:szCs w:val="20"/>
        </w:rPr>
        <w:t>Our</w:t>
      </w:r>
      <w:r>
        <w:rPr>
          <w:rFonts w:cs="Arial"/>
          <w:sz w:val="20"/>
          <w:szCs w:val="20"/>
        </w:rPr>
        <w:t xml:space="preserve"> organisational structure as at 30 June 2020 is shown at Figure 1.1.1</w:t>
      </w:r>
      <w:r w:rsidR="000D7A77">
        <w:rPr>
          <w:rFonts w:cs="Arial"/>
          <w:sz w:val="20"/>
          <w:szCs w:val="20"/>
        </w:rPr>
        <w:t>.</w:t>
      </w:r>
    </w:p>
    <w:p w14:paraId="739A2ED2" w14:textId="77777777" w:rsidR="00BB1193" w:rsidRDefault="00BB1193">
      <w:pPr>
        <w:rPr>
          <w:rFonts w:cs="Arial"/>
          <w:sz w:val="20"/>
          <w:szCs w:val="20"/>
        </w:rPr>
        <w:sectPr w:rsidR="00BB1193" w:rsidSect="00BB1193">
          <w:footnotePr>
            <w:numRestart w:val="eachPage"/>
          </w:footnotePr>
          <w:pgSz w:w="11906" w:h="16838"/>
          <w:pgMar w:top="1440" w:right="1440" w:bottom="1440" w:left="1440" w:header="709" w:footer="709" w:gutter="0"/>
          <w:cols w:space="708"/>
          <w:docGrid w:linePitch="360"/>
        </w:sectPr>
      </w:pPr>
    </w:p>
    <w:p w14:paraId="66989B55" w14:textId="5A1E25B7" w:rsidR="002E0FEA" w:rsidRDefault="00A53792" w:rsidP="00A526BE">
      <w:pPr>
        <w:spacing w:after="480"/>
        <w:rPr>
          <w:rFonts w:ascii="Arial Narrow" w:hAnsi="Arial Narrow"/>
          <w:b/>
          <w:sz w:val="20"/>
          <w:szCs w:val="20"/>
        </w:rPr>
      </w:pPr>
      <w:r w:rsidRPr="00A526BE">
        <w:rPr>
          <w:rFonts w:ascii="Arial Narrow" w:hAnsi="Arial Narrow"/>
          <w:b/>
          <w:sz w:val="20"/>
          <w:szCs w:val="20"/>
        </w:rPr>
        <w:lastRenderedPageBreak/>
        <w:t>Figure 1.1.1 Organisational structure as at 30 June 2020</w:t>
      </w:r>
    </w:p>
    <w:p w14:paraId="1D6254F6" w14:textId="123A0988" w:rsidR="000624D3" w:rsidRDefault="002C02CE">
      <w:pPr>
        <w:rPr>
          <w:rFonts w:ascii="Georgia" w:eastAsiaTheme="majorEastAsia" w:hAnsi="Georgia" w:cstheme="majorBidi"/>
          <w:bCs/>
          <w:iCs/>
          <w:sz w:val="36"/>
        </w:rPr>
      </w:pPr>
      <w:r>
        <w:rPr>
          <w:rFonts w:ascii="Georgia" w:hAnsi="Georgia"/>
          <w:b/>
          <w:i/>
          <w:noProof/>
          <w:sz w:val="36"/>
          <w:lang w:eastAsia="en-AU"/>
        </w:rPr>
        <w:drawing>
          <wp:inline distT="0" distB="0" distL="0" distR="0" wp14:anchorId="36F85987" wp14:editId="05E95F46">
            <wp:extent cx="5725160" cy="6421755"/>
            <wp:effectExtent l="0" t="0" r="8890" b="0"/>
            <wp:docPr id="4" name="Picture 4" descr="This figure shows the department's organisational structure across the four streams and lists the Senior Executive Services personnel. The department is led by Kathryn Campbell, Secretary; Nathan Williamson, Deputy Secretary COVID-19 Taskforce; Shane Bennett, Acting Deputy Secretary, Social Security; Liz Hefren-Webb, Deputy Secretary, Families and Communities. Organisational structure is available on dss.gov.au" title="Figure 1.1.1 Organisational structure as at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5160" cy="6421755"/>
                    </a:xfrm>
                    <a:prstGeom prst="rect">
                      <a:avLst/>
                    </a:prstGeom>
                    <a:noFill/>
                    <a:ln>
                      <a:noFill/>
                    </a:ln>
                  </pic:spPr>
                </pic:pic>
              </a:graphicData>
            </a:graphic>
          </wp:inline>
        </w:drawing>
      </w:r>
    </w:p>
    <w:p w14:paraId="362FBD86" w14:textId="77777777" w:rsidR="00BB1193" w:rsidRDefault="00BB1193">
      <w:pPr>
        <w:rPr>
          <w:rFonts w:ascii="Georgia" w:hAnsi="Georgia"/>
          <w:b/>
          <w:i/>
          <w:sz w:val="36"/>
        </w:rPr>
        <w:sectPr w:rsidR="00BB1193" w:rsidSect="00BB1193">
          <w:footnotePr>
            <w:numRestart w:val="eachPage"/>
          </w:footnotePr>
          <w:pgSz w:w="11906" w:h="16838"/>
          <w:pgMar w:top="1440" w:right="1440" w:bottom="1440" w:left="1440" w:header="709" w:footer="709" w:gutter="0"/>
          <w:cols w:space="708"/>
          <w:docGrid w:linePitch="360"/>
        </w:sectPr>
      </w:pPr>
    </w:p>
    <w:p w14:paraId="20A42F35" w14:textId="77777777" w:rsidR="002E0FEA" w:rsidRDefault="002E0FEA">
      <w:pPr>
        <w:rPr>
          <w:rFonts w:ascii="Georgia" w:hAnsi="Georgia"/>
          <w:b/>
          <w:i/>
          <w:sz w:val="36"/>
        </w:rPr>
      </w:pPr>
    </w:p>
    <w:p w14:paraId="6729535F" w14:textId="79996769" w:rsidR="002C02CE" w:rsidRDefault="002C02CE">
      <w:pPr>
        <w:rPr>
          <w:rFonts w:ascii="Georgia" w:hAnsi="Georgia"/>
          <w:b/>
          <w:i/>
          <w:sz w:val="36"/>
        </w:rPr>
      </w:pPr>
      <w:r>
        <w:rPr>
          <w:rFonts w:ascii="Georgia" w:hAnsi="Georgia"/>
          <w:b/>
          <w:i/>
          <w:noProof/>
          <w:sz w:val="36"/>
          <w:lang w:eastAsia="en-AU"/>
        </w:rPr>
        <w:drawing>
          <wp:inline distT="0" distB="0" distL="0" distR="0" wp14:anchorId="145D9F7D" wp14:editId="28C0609E">
            <wp:extent cx="5070764" cy="6318529"/>
            <wp:effectExtent l="0" t="0" r="0" b="6350"/>
            <wp:docPr id="6" name="Picture 6" descr="This figure shows the department's organisational structure across the four streams and lists the Senior Executive Services personnel. The department is led by Kathryn Campbell, Secretary; Nathan Williamson, Deputy Secretary COVID-19 Taskforce; Shane Bennett, Acting Deputy Secretary, Social Security; Liz Hefren-Webb, Deputy Secretary, Families and Communities. Organisational structure is available on dss.gov.au" title="Figure 1.1.1 Organisational structure as at 30 June 2020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8840" cy="6328593"/>
                    </a:xfrm>
                    <a:prstGeom prst="rect">
                      <a:avLst/>
                    </a:prstGeom>
                    <a:noFill/>
                    <a:ln>
                      <a:noFill/>
                    </a:ln>
                  </pic:spPr>
                </pic:pic>
              </a:graphicData>
            </a:graphic>
          </wp:inline>
        </w:drawing>
      </w:r>
    </w:p>
    <w:p w14:paraId="7592D25D" w14:textId="77777777" w:rsidR="00BB1193" w:rsidRDefault="00BB1193">
      <w:pPr>
        <w:rPr>
          <w:rFonts w:ascii="Georgia" w:hAnsi="Georgia"/>
          <w:b/>
          <w:i/>
          <w:sz w:val="36"/>
        </w:rPr>
        <w:sectPr w:rsidR="00BB1193" w:rsidSect="00BB1193">
          <w:footnotePr>
            <w:numRestart w:val="eachPage"/>
          </w:footnotePr>
          <w:pgSz w:w="11906" w:h="16838"/>
          <w:pgMar w:top="1440" w:right="1440" w:bottom="1440" w:left="1440" w:header="709" w:footer="709" w:gutter="0"/>
          <w:cols w:space="708"/>
          <w:docGrid w:linePitch="360"/>
        </w:sectPr>
      </w:pPr>
    </w:p>
    <w:p w14:paraId="4337D3A4" w14:textId="6346CCEE" w:rsidR="00B434BB" w:rsidRPr="001B65AF" w:rsidRDefault="00A53792" w:rsidP="001B65AF">
      <w:pPr>
        <w:pStyle w:val="Heading4"/>
        <w:spacing w:after="200"/>
        <w:rPr>
          <w:rFonts w:ascii="Georgia" w:hAnsi="Georgia"/>
          <w:b w:val="0"/>
          <w:i w:val="0"/>
          <w:sz w:val="36"/>
        </w:rPr>
      </w:pPr>
      <w:r w:rsidRPr="001B65AF">
        <w:rPr>
          <w:rFonts w:ascii="Georgia" w:hAnsi="Georgia"/>
          <w:b w:val="0"/>
          <w:i w:val="0"/>
          <w:sz w:val="36"/>
        </w:rPr>
        <w:lastRenderedPageBreak/>
        <w:t>Our people</w:t>
      </w:r>
    </w:p>
    <w:p w14:paraId="0F3E0634" w14:textId="616FB91F" w:rsidR="002239EC" w:rsidRPr="003A570D" w:rsidRDefault="002239EC" w:rsidP="005A0C58">
      <w:pPr>
        <w:spacing w:before="120" w:after="180" w:line="280" w:lineRule="atLeast"/>
        <w:rPr>
          <w:rFonts w:cs="Arial"/>
          <w:sz w:val="20"/>
          <w:szCs w:val="20"/>
        </w:rPr>
      </w:pPr>
      <w:r w:rsidRPr="003A570D">
        <w:rPr>
          <w:rFonts w:cs="Arial"/>
          <w:sz w:val="20"/>
          <w:szCs w:val="20"/>
        </w:rPr>
        <w:t>We operate across Australia with 71.6 per cent of our staff based in our national office located in Canberra and 28.4 per cent in the service delivery network located in state, territory</w:t>
      </w:r>
      <w:r w:rsidR="008746D0">
        <w:rPr>
          <w:rFonts w:cs="Arial"/>
          <w:sz w:val="20"/>
          <w:szCs w:val="20"/>
        </w:rPr>
        <w:t>,</w:t>
      </w:r>
      <w:r w:rsidRPr="003A570D">
        <w:rPr>
          <w:rFonts w:cs="Arial"/>
          <w:sz w:val="20"/>
          <w:szCs w:val="20"/>
        </w:rPr>
        <w:t xml:space="preserve"> and regional offices.</w:t>
      </w:r>
    </w:p>
    <w:p w14:paraId="2414D2ED" w14:textId="741E188F" w:rsidR="00C14620" w:rsidRDefault="00A53792">
      <w:pPr>
        <w:rPr>
          <w:rFonts w:ascii="Arial Narrow" w:eastAsia="Times New Roman" w:hAnsi="Arial Narrow" w:cs="Arial"/>
          <w:b/>
          <w:sz w:val="20"/>
          <w:szCs w:val="20"/>
        </w:rPr>
      </w:pPr>
      <w:r w:rsidRPr="001655B8">
        <w:rPr>
          <w:rFonts w:ascii="Arial Narrow" w:eastAsia="Times New Roman" w:hAnsi="Arial Narrow" w:cs="Arial"/>
          <w:b/>
          <w:sz w:val="20"/>
          <w:szCs w:val="20"/>
        </w:rPr>
        <w:t>Figure 1.1.2 Our national presence as at 30 June 2020</w:t>
      </w:r>
    </w:p>
    <w:p w14:paraId="1999DAF0" w14:textId="6573A246" w:rsidR="001A12FF" w:rsidRDefault="001A12FF">
      <w:pPr>
        <w:rPr>
          <w:rFonts w:eastAsiaTheme="majorEastAsia" w:cstheme="majorBidi"/>
          <w:bCs/>
          <w:sz w:val="28"/>
        </w:rPr>
      </w:pPr>
    </w:p>
    <w:p w14:paraId="06E9082E" w14:textId="77777777" w:rsidR="00BB1193" w:rsidRDefault="00285385">
      <w:pPr>
        <w:rPr>
          <w:b/>
          <w:sz w:val="28"/>
        </w:rPr>
        <w:sectPr w:rsidR="00BB1193" w:rsidSect="00BB1193">
          <w:footnotePr>
            <w:numRestart w:val="eachPage"/>
          </w:footnotePr>
          <w:pgSz w:w="11906" w:h="16838"/>
          <w:pgMar w:top="1440" w:right="1440" w:bottom="1440" w:left="1440" w:header="709" w:footer="709" w:gutter="0"/>
          <w:cols w:space="708"/>
          <w:docGrid w:linePitch="360"/>
        </w:sectPr>
      </w:pPr>
      <w:r>
        <w:rPr>
          <w:b/>
          <w:noProof/>
          <w:sz w:val="28"/>
          <w:lang w:eastAsia="en-AU"/>
        </w:rPr>
        <w:drawing>
          <wp:inline distT="0" distB="0" distL="0" distR="0" wp14:anchorId="1C08B90B" wp14:editId="104B1AF9">
            <wp:extent cx="5719445" cy="2818130"/>
            <wp:effectExtent l="0" t="0" r="0" b="1270"/>
            <wp:docPr id="7621" name="Picture 7621" descr="Staff numbers by state.&#10;ACT 1,694; NSW 161; NT 37; QLD 114; SA 84; TAS 54; VIC 148; WA 74; Grand total 2,366&#10;&#10;Illustration showing 71.6 per cent of staff (1,694) work in National Office and 28.4 per cent (672) work in the Delivery Network&#10;&#10;" title="Figure 1.1.2 Our national presence as at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9445" cy="2818130"/>
                    </a:xfrm>
                    <a:prstGeom prst="rect">
                      <a:avLst/>
                    </a:prstGeom>
                    <a:noFill/>
                    <a:ln>
                      <a:noFill/>
                    </a:ln>
                  </pic:spPr>
                </pic:pic>
              </a:graphicData>
            </a:graphic>
          </wp:inline>
        </w:drawing>
      </w:r>
    </w:p>
    <w:p w14:paraId="1342F1F4" w14:textId="1FE20C2A" w:rsidR="00C14620" w:rsidRPr="007E68AA" w:rsidRDefault="00C14620" w:rsidP="00C14620">
      <w:pPr>
        <w:pStyle w:val="Heading5"/>
        <w:spacing w:after="200"/>
        <w:rPr>
          <w:b w:val="0"/>
          <w:color w:val="auto"/>
          <w:sz w:val="28"/>
        </w:rPr>
      </w:pPr>
      <w:r w:rsidRPr="007E68AA">
        <w:rPr>
          <w:b w:val="0"/>
          <w:color w:val="auto"/>
          <w:sz w:val="28"/>
        </w:rPr>
        <w:lastRenderedPageBreak/>
        <w:t>Chapter 1.2</w:t>
      </w:r>
    </w:p>
    <w:p w14:paraId="0A48C774" w14:textId="77777777" w:rsidR="00C14620" w:rsidRPr="00054A67" w:rsidRDefault="00C14620" w:rsidP="00AD2997">
      <w:pPr>
        <w:pStyle w:val="Heading1"/>
        <w:spacing w:before="240" w:after="240"/>
        <w:rPr>
          <w:rFonts w:ascii="Georgia" w:hAnsi="Georgia"/>
          <w:b w:val="0"/>
          <w:color w:val="215868" w:themeColor="accent5" w:themeShade="80"/>
          <w:sz w:val="72"/>
        </w:rPr>
      </w:pPr>
      <w:r w:rsidRPr="00054A67">
        <w:rPr>
          <w:rFonts w:ascii="Georgia" w:hAnsi="Georgia"/>
          <w:b w:val="0"/>
          <w:color w:val="215868" w:themeColor="accent5" w:themeShade="80"/>
          <w:sz w:val="72"/>
        </w:rPr>
        <w:t>The portfolio</w:t>
      </w:r>
    </w:p>
    <w:p w14:paraId="25186E41" w14:textId="65362C85" w:rsidR="00C14620" w:rsidRPr="000F547D" w:rsidRDefault="00C14620" w:rsidP="005A0C58">
      <w:pPr>
        <w:spacing w:before="120" w:after="180" w:line="280" w:lineRule="atLeast"/>
        <w:rPr>
          <w:rFonts w:cs="Arial"/>
          <w:sz w:val="20"/>
          <w:szCs w:val="20"/>
          <w:lang w:val="en" w:eastAsia="en-AU"/>
        </w:rPr>
      </w:pPr>
      <w:r w:rsidRPr="000F547D">
        <w:rPr>
          <w:rFonts w:cs="Arial"/>
          <w:sz w:val="20"/>
          <w:szCs w:val="20"/>
          <w:lang w:val="en" w:eastAsia="en-AU"/>
        </w:rPr>
        <w:t>As at 30 June 20</w:t>
      </w:r>
      <w:r>
        <w:rPr>
          <w:rFonts w:cs="Arial"/>
          <w:sz w:val="20"/>
          <w:szCs w:val="20"/>
          <w:lang w:val="en" w:eastAsia="en-AU"/>
        </w:rPr>
        <w:t>20</w:t>
      </w:r>
      <w:r w:rsidRPr="000F547D">
        <w:rPr>
          <w:rFonts w:cs="Arial"/>
          <w:sz w:val="20"/>
          <w:szCs w:val="20"/>
          <w:lang w:val="en" w:eastAsia="en-AU"/>
        </w:rPr>
        <w:t>, two Ministers and two Assistant Ministers had</w:t>
      </w:r>
      <w:r w:rsidR="00E76BAA">
        <w:rPr>
          <w:rFonts w:cs="Arial"/>
          <w:sz w:val="20"/>
          <w:szCs w:val="20"/>
          <w:lang w:val="en" w:eastAsia="en-AU"/>
        </w:rPr>
        <w:t xml:space="preserve"> responsibilities in the</w:t>
      </w:r>
      <w:r w:rsidRPr="000F547D">
        <w:rPr>
          <w:rFonts w:cs="Arial"/>
          <w:sz w:val="20"/>
          <w:szCs w:val="20"/>
          <w:lang w:val="en" w:eastAsia="en-AU"/>
        </w:rPr>
        <w:t xml:space="preserve"> Social Services </w:t>
      </w:r>
      <w:r w:rsidR="00E76BAA">
        <w:rPr>
          <w:rFonts w:cs="Arial"/>
          <w:sz w:val="20"/>
          <w:szCs w:val="20"/>
          <w:lang w:val="en" w:eastAsia="en-AU"/>
        </w:rPr>
        <w:t>P</w:t>
      </w:r>
      <w:r w:rsidRPr="000F547D">
        <w:rPr>
          <w:rFonts w:cs="Arial"/>
          <w:sz w:val="20"/>
          <w:szCs w:val="20"/>
          <w:lang w:val="en" w:eastAsia="en-AU"/>
        </w:rPr>
        <w:t>ortfolio:</w:t>
      </w:r>
    </w:p>
    <w:p w14:paraId="354A8789" w14:textId="77777777" w:rsidR="00C14620" w:rsidRPr="00214B7D" w:rsidRDefault="00C14620" w:rsidP="005655D8">
      <w:pPr>
        <w:pStyle w:val="ListParagraph"/>
        <w:numPr>
          <w:ilvl w:val="0"/>
          <w:numId w:val="34"/>
        </w:numPr>
        <w:autoSpaceDE w:val="0"/>
        <w:autoSpaceDN w:val="0"/>
        <w:adjustRightInd w:val="0"/>
        <w:spacing w:before="120" w:after="180" w:line="280" w:lineRule="atLeast"/>
        <w:ind w:right="-164"/>
        <w:rPr>
          <w:rFonts w:cs="Arial"/>
          <w:sz w:val="20"/>
        </w:rPr>
      </w:pPr>
      <w:r w:rsidRPr="00214B7D">
        <w:rPr>
          <w:rFonts w:cs="Arial"/>
          <w:sz w:val="20"/>
        </w:rPr>
        <w:t>Senator the Hon Anne Ruston, Minister for Families and Social Services</w:t>
      </w:r>
    </w:p>
    <w:p w14:paraId="073E5708" w14:textId="77777777" w:rsidR="00C14620" w:rsidRPr="00214B7D" w:rsidRDefault="00C14620" w:rsidP="005655D8">
      <w:pPr>
        <w:pStyle w:val="ListParagraph"/>
        <w:numPr>
          <w:ilvl w:val="0"/>
          <w:numId w:val="34"/>
        </w:numPr>
        <w:autoSpaceDE w:val="0"/>
        <w:autoSpaceDN w:val="0"/>
        <w:adjustRightInd w:val="0"/>
        <w:spacing w:before="120" w:after="180" w:line="280" w:lineRule="atLeast"/>
        <w:ind w:right="-164"/>
        <w:rPr>
          <w:rFonts w:cs="Arial"/>
          <w:sz w:val="20"/>
        </w:rPr>
      </w:pPr>
      <w:r w:rsidRPr="00214B7D">
        <w:rPr>
          <w:rFonts w:cs="Arial"/>
          <w:sz w:val="20"/>
        </w:rPr>
        <w:t>The Hon Stuart Robert MP, Minister for the National Disability Insurance Scheme,</w:t>
      </w:r>
      <w:r w:rsidRPr="00214B7D">
        <w:rPr>
          <w:rFonts w:cs="Arial"/>
          <w:sz w:val="20"/>
        </w:rPr>
        <w:br/>
        <w:t>Minister for Government Services</w:t>
      </w:r>
    </w:p>
    <w:p w14:paraId="7D9D9396" w14:textId="77777777" w:rsidR="00C14620" w:rsidRPr="00214B7D" w:rsidRDefault="00C14620" w:rsidP="005655D8">
      <w:pPr>
        <w:pStyle w:val="ListParagraph"/>
        <w:numPr>
          <w:ilvl w:val="0"/>
          <w:numId w:val="34"/>
        </w:numPr>
        <w:autoSpaceDE w:val="0"/>
        <w:autoSpaceDN w:val="0"/>
        <w:adjustRightInd w:val="0"/>
        <w:spacing w:before="120" w:after="180" w:line="280" w:lineRule="atLeast"/>
        <w:ind w:right="-164"/>
        <w:rPr>
          <w:rFonts w:cs="Arial"/>
          <w:sz w:val="20"/>
        </w:rPr>
      </w:pPr>
      <w:r w:rsidRPr="00214B7D">
        <w:rPr>
          <w:rFonts w:cs="Arial"/>
          <w:sz w:val="20"/>
        </w:rPr>
        <w:t>The Hon Michelle Landry MP, Assistant Minister for Children and Families</w:t>
      </w:r>
    </w:p>
    <w:p w14:paraId="2133DED9" w14:textId="77777777" w:rsidR="00C14620" w:rsidRPr="00214B7D" w:rsidRDefault="00C14620" w:rsidP="005655D8">
      <w:pPr>
        <w:pStyle w:val="ListParagraph"/>
        <w:numPr>
          <w:ilvl w:val="0"/>
          <w:numId w:val="34"/>
        </w:numPr>
        <w:autoSpaceDE w:val="0"/>
        <w:autoSpaceDN w:val="0"/>
        <w:adjustRightInd w:val="0"/>
        <w:spacing w:before="120" w:after="180" w:line="280" w:lineRule="atLeast"/>
        <w:ind w:right="-164"/>
        <w:rPr>
          <w:rFonts w:cs="Arial"/>
          <w:sz w:val="20"/>
        </w:rPr>
      </w:pPr>
      <w:r w:rsidRPr="00214B7D">
        <w:rPr>
          <w:rFonts w:cs="Arial"/>
          <w:sz w:val="20"/>
        </w:rPr>
        <w:t xml:space="preserve">The Hon Luke </w:t>
      </w:r>
      <w:proofErr w:type="spellStart"/>
      <w:r w:rsidRPr="00214B7D">
        <w:rPr>
          <w:rFonts w:cs="Arial"/>
          <w:sz w:val="20"/>
        </w:rPr>
        <w:t>Howarth</w:t>
      </w:r>
      <w:proofErr w:type="spellEnd"/>
      <w:r w:rsidRPr="00214B7D">
        <w:rPr>
          <w:rFonts w:cs="Arial"/>
          <w:sz w:val="20"/>
        </w:rPr>
        <w:t xml:space="preserve"> MP, Assistant Minister for Community Housing, Homelessness and Community Services.</w:t>
      </w:r>
    </w:p>
    <w:p w14:paraId="5DF90053" w14:textId="18D948FC" w:rsidR="00C14620" w:rsidRPr="000F547D" w:rsidRDefault="00C14620" w:rsidP="005A0C58">
      <w:pPr>
        <w:spacing w:before="120" w:after="180" w:line="280" w:lineRule="atLeast"/>
        <w:rPr>
          <w:rFonts w:cs="Arial"/>
          <w:sz w:val="20"/>
          <w:szCs w:val="20"/>
          <w:lang w:val="en" w:eastAsia="en-AU"/>
        </w:rPr>
      </w:pPr>
      <w:r w:rsidRPr="000F547D">
        <w:rPr>
          <w:rFonts w:cs="Arial"/>
          <w:sz w:val="20"/>
          <w:szCs w:val="20"/>
          <w:lang w:val="en" w:eastAsia="en-AU"/>
        </w:rPr>
        <w:t xml:space="preserve">The </w:t>
      </w:r>
      <w:r>
        <w:rPr>
          <w:rFonts w:cs="Arial"/>
          <w:sz w:val="20"/>
          <w:szCs w:val="20"/>
          <w:lang w:val="en" w:eastAsia="en-AU"/>
        </w:rPr>
        <w:t>d</w:t>
      </w:r>
      <w:r w:rsidRPr="000F547D">
        <w:rPr>
          <w:rFonts w:cs="Arial"/>
          <w:sz w:val="20"/>
          <w:szCs w:val="20"/>
          <w:lang w:val="en" w:eastAsia="en-AU"/>
        </w:rPr>
        <w:t>epartment is established as a Department of State under the</w:t>
      </w:r>
      <w:r w:rsidR="00B459E4">
        <w:rPr>
          <w:rFonts w:cs="Arial"/>
          <w:sz w:val="20"/>
          <w:szCs w:val="20"/>
          <w:lang w:val="en" w:eastAsia="en-AU"/>
        </w:rPr>
        <w:t xml:space="preserve"> </w:t>
      </w:r>
      <w:r w:rsidRPr="000F547D">
        <w:rPr>
          <w:rFonts w:cs="Arial"/>
          <w:sz w:val="20"/>
          <w:szCs w:val="20"/>
          <w:lang w:val="en" w:eastAsia="en-AU"/>
        </w:rPr>
        <w:t>Administrative Arrangements Order.</w:t>
      </w:r>
    </w:p>
    <w:p w14:paraId="348E53A8" w14:textId="79AF1238" w:rsidR="00C14620" w:rsidRPr="000F547D" w:rsidRDefault="00C14620" w:rsidP="005A0C58">
      <w:pPr>
        <w:spacing w:before="120" w:after="180" w:line="280" w:lineRule="atLeast"/>
        <w:rPr>
          <w:rFonts w:cs="Arial"/>
          <w:sz w:val="20"/>
          <w:szCs w:val="20"/>
          <w:lang w:val="en" w:eastAsia="en-AU"/>
        </w:rPr>
      </w:pPr>
      <w:r w:rsidRPr="000F547D">
        <w:rPr>
          <w:rFonts w:cs="Arial"/>
          <w:sz w:val="20"/>
          <w:szCs w:val="20"/>
          <w:lang w:val="en" w:eastAsia="en-AU"/>
        </w:rPr>
        <w:t xml:space="preserve">In addition to the Department of Social Services, the </w:t>
      </w:r>
      <w:r w:rsidR="001972B1">
        <w:rPr>
          <w:rFonts w:cs="Arial"/>
          <w:sz w:val="20"/>
          <w:szCs w:val="20"/>
          <w:lang w:val="en" w:eastAsia="en-AU"/>
        </w:rPr>
        <w:t>p</w:t>
      </w:r>
      <w:r w:rsidRPr="000F547D">
        <w:rPr>
          <w:rFonts w:cs="Arial"/>
          <w:sz w:val="20"/>
          <w:szCs w:val="20"/>
          <w:lang w:val="en" w:eastAsia="en-AU"/>
        </w:rPr>
        <w:t xml:space="preserve">ortfolio comprises the following </w:t>
      </w:r>
      <w:r w:rsidR="001972B1">
        <w:rPr>
          <w:rFonts w:cs="Arial"/>
          <w:sz w:val="20"/>
          <w:szCs w:val="20"/>
          <w:lang w:val="en" w:eastAsia="en-AU"/>
        </w:rPr>
        <w:t>p</w:t>
      </w:r>
      <w:r w:rsidRPr="000F547D">
        <w:rPr>
          <w:rFonts w:cs="Arial"/>
          <w:sz w:val="20"/>
          <w:szCs w:val="20"/>
          <w:lang w:val="en" w:eastAsia="en-AU"/>
        </w:rPr>
        <w:t>ortfolio bodies:</w:t>
      </w:r>
    </w:p>
    <w:p w14:paraId="532C3643" w14:textId="3939789E" w:rsidR="00C14620" w:rsidRPr="00214B7D" w:rsidRDefault="00C14620" w:rsidP="005655D8">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 xml:space="preserve">Australian Institute of Family Studies, established under the </w:t>
      </w:r>
      <w:r w:rsidRPr="00B308AD">
        <w:rPr>
          <w:rFonts w:cs="Arial"/>
          <w:i/>
          <w:sz w:val="20"/>
        </w:rPr>
        <w:t>Family Law Act 1975</w:t>
      </w:r>
    </w:p>
    <w:p w14:paraId="622A8733" w14:textId="20836732" w:rsidR="00C14620" w:rsidRPr="00214B7D" w:rsidRDefault="00C14620" w:rsidP="005655D8">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National Disability Insurance Agency, established under the</w:t>
      </w:r>
      <w:r w:rsidR="00B459E4">
        <w:rPr>
          <w:rFonts w:cs="Arial"/>
          <w:sz w:val="20"/>
        </w:rPr>
        <w:t xml:space="preserve"> </w:t>
      </w:r>
      <w:r w:rsidRPr="00B308AD">
        <w:rPr>
          <w:rFonts w:cs="Arial"/>
          <w:i/>
          <w:sz w:val="20"/>
        </w:rPr>
        <w:t>National Disability Insurance Scheme Act 2013</w:t>
      </w:r>
    </w:p>
    <w:p w14:paraId="149187B9" w14:textId="4142B6D2" w:rsidR="00C14620" w:rsidRPr="00B308AD" w:rsidRDefault="00E76BAA" w:rsidP="005655D8">
      <w:pPr>
        <w:pStyle w:val="ListParagraph"/>
        <w:numPr>
          <w:ilvl w:val="0"/>
          <w:numId w:val="6"/>
        </w:numPr>
        <w:autoSpaceDE w:val="0"/>
        <w:autoSpaceDN w:val="0"/>
        <w:adjustRightInd w:val="0"/>
        <w:spacing w:before="120" w:after="180" w:line="280" w:lineRule="atLeast"/>
        <w:ind w:right="-164" w:hanging="357"/>
        <w:rPr>
          <w:rFonts w:cs="Arial"/>
          <w:i/>
          <w:sz w:val="20"/>
        </w:rPr>
      </w:pPr>
      <w:r w:rsidRPr="00214B7D">
        <w:rPr>
          <w:rFonts w:cs="Arial"/>
          <w:sz w:val="20"/>
        </w:rPr>
        <w:t>NDIS</w:t>
      </w:r>
      <w:r w:rsidR="00C14620" w:rsidRPr="00214B7D">
        <w:rPr>
          <w:rFonts w:cs="Arial"/>
          <w:sz w:val="20"/>
        </w:rPr>
        <w:t xml:space="preserve"> Quality and Safeguards Commission, established under the </w:t>
      </w:r>
      <w:r w:rsidR="00C14620" w:rsidRPr="00B308AD">
        <w:rPr>
          <w:rFonts w:cs="Arial"/>
          <w:i/>
          <w:sz w:val="20"/>
        </w:rPr>
        <w:t>National Disability Insurance Scheme Act 2013</w:t>
      </w:r>
    </w:p>
    <w:p w14:paraId="2E106FAB" w14:textId="5AC70074" w:rsidR="00C14620" w:rsidRPr="00214B7D" w:rsidRDefault="00C14620" w:rsidP="005655D8">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 xml:space="preserve">Services Australia, </w:t>
      </w:r>
      <w:r w:rsidR="00E76BAA" w:rsidRPr="00214B7D">
        <w:rPr>
          <w:rFonts w:cs="Arial"/>
          <w:sz w:val="20"/>
        </w:rPr>
        <w:t xml:space="preserve">established as </w:t>
      </w:r>
      <w:r w:rsidR="007B2286" w:rsidRPr="00214B7D">
        <w:rPr>
          <w:rFonts w:cs="Arial"/>
          <w:sz w:val="20"/>
        </w:rPr>
        <w:t xml:space="preserve">an Executive Agency under the </w:t>
      </w:r>
      <w:r w:rsidR="007B2286" w:rsidRPr="00B308AD">
        <w:rPr>
          <w:rFonts w:cs="Arial"/>
          <w:i/>
          <w:sz w:val="20"/>
        </w:rPr>
        <w:t>Public Service Act 1999</w:t>
      </w:r>
    </w:p>
    <w:p w14:paraId="4798B415" w14:textId="17F3CC01" w:rsidR="00C14620" w:rsidRPr="00214B7D" w:rsidRDefault="00C14620" w:rsidP="005655D8">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 xml:space="preserve">Digital Transformation Agency, </w:t>
      </w:r>
      <w:r w:rsidR="00E76BAA" w:rsidRPr="00214B7D">
        <w:rPr>
          <w:rFonts w:cs="Arial"/>
          <w:sz w:val="20"/>
        </w:rPr>
        <w:t xml:space="preserve">established as </w:t>
      </w:r>
      <w:r w:rsidR="007B2286" w:rsidRPr="00214B7D">
        <w:rPr>
          <w:rFonts w:cs="Arial"/>
          <w:sz w:val="20"/>
        </w:rPr>
        <w:t>an Executive Agency</w:t>
      </w:r>
      <w:r w:rsidRPr="00214B7D">
        <w:rPr>
          <w:rFonts w:cs="Arial"/>
          <w:sz w:val="20"/>
        </w:rPr>
        <w:t xml:space="preserve"> under the</w:t>
      </w:r>
      <w:r w:rsidR="00E76BAA" w:rsidRPr="00214B7D">
        <w:rPr>
          <w:rFonts w:cs="Arial"/>
          <w:sz w:val="20"/>
        </w:rPr>
        <w:br/>
      </w:r>
      <w:r w:rsidR="007B2286" w:rsidRPr="00B308AD">
        <w:rPr>
          <w:rFonts w:cs="Arial"/>
          <w:i/>
          <w:sz w:val="20"/>
        </w:rPr>
        <w:t xml:space="preserve">Public Service </w:t>
      </w:r>
      <w:r w:rsidRPr="00B308AD">
        <w:rPr>
          <w:rFonts w:cs="Arial"/>
          <w:i/>
          <w:sz w:val="20"/>
        </w:rPr>
        <w:t>Act</w:t>
      </w:r>
      <w:r w:rsidR="007B2286" w:rsidRPr="00B308AD">
        <w:rPr>
          <w:rFonts w:cs="Arial"/>
          <w:i/>
          <w:sz w:val="20"/>
        </w:rPr>
        <w:t xml:space="preserve"> 1999</w:t>
      </w:r>
    </w:p>
    <w:p w14:paraId="484175FA" w14:textId="6D4F5A66" w:rsidR="00C14620" w:rsidRPr="00214B7D" w:rsidRDefault="00C14620" w:rsidP="005655D8">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 xml:space="preserve">Hearing Australia, established under the </w:t>
      </w:r>
      <w:r w:rsidRPr="00B308AD">
        <w:rPr>
          <w:rFonts w:cs="Arial"/>
          <w:i/>
          <w:sz w:val="20"/>
        </w:rPr>
        <w:t>Australian Hearing Services Act 1991</w:t>
      </w:r>
      <w:r w:rsidR="00524A01" w:rsidRPr="00214B7D">
        <w:rPr>
          <w:rFonts w:cs="Arial"/>
          <w:sz w:val="20"/>
        </w:rPr>
        <w:t>.</w:t>
      </w:r>
    </w:p>
    <w:p w14:paraId="0A8B461F" w14:textId="77777777" w:rsidR="00BB1193" w:rsidRDefault="00BB1193" w:rsidP="00C14620">
      <w:pPr>
        <w:rPr>
          <w:rFonts w:ascii="Georgia" w:hAnsi="Georgia"/>
          <w:b/>
          <w:i/>
          <w:sz w:val="36"/>
        </w:rPr>
        <w:sectPr w:rsidR="00BB1193" w:rsidSect="00BB1193">
          <w:footnotePr>
            <w:numRestart w:val="eachPage"/>
          </w:footnotePr>
          <w:pgSz w:w="11906" w:h="16838"/>
          <w:pgMar w:top="1440" w:right="1440" w:bottom="1440" w:left="1440" w:header="709" w:footer="709" w:gutter="0"/>
          <w:cols w:space="708"/>
          <w:docGrid w:linePitch="360"/>
        </w:sectPr>
      </w:pPr>
    </w:p>
    <w:p w14:paraId="4C136916" w14:textId="77777777" w:rsidR="00C14620" w:rsidRPr="007E68AA" w:rsidRDefault="00C14620" w:rsidP="00C14620">
      <w:pPr>
        <w:pStyle w:val="Heading4"/>
        <w:spacing w:after="200"/>
        <w:rPr>
          <w:rFonts w:ascii="Georgia" w:hAnsi="Georgia"/>
          <w:b w:val="0"/>
          <w:i w:val="0"/>
          <w:sz w:val="36"/>
        </w:rPr>
      </w:pPr>
      <w:r w:rsidRPr="007E68AA">
        <w:rPr>
          <w:rFonts w:ascii="Georgia" w:hAnsi="Georgia"/>
          <w:b w:val="0"/>
          <w:i w:val="0"/>
          <w:sz w:val="36"/>
        </w:rPr>
        <w:lastRenderedPageBreak/>
        <w:t>Portfolio bodies</w:t>
      </w:r>
    </w:p>
    <w:p w14:paraId="1FB34F08" w14:textId="156A05FC" w:rsidR="00C14620" w:rsidRPr="007E68AA" w:rsidRDefault="00C14620" w:rsidP="00C14620">
      <w:pPr>
        <w:pStyle w:val="Heading6"/>
        <w:spacing w:before="200" w:after="200"/>
        <w:rPr>
          <w:i w:val="0"/>
          <w:color w:val="auto"/>
          <w:sz w:val="26"/>
        </w:rPr>
      </w:pPr>
      <w:r w:rsidRPr="007E68AA">
        <w:rPr>
          <w:i w:val="0"/>
          <w:color w:val="auto"/>
          <w:sz w:val="26"/>
        </w:rPr>
        <w:t>Australian Institute of Family Studies</w:t>
      </w:r>
    </w:p>
    <w:p w14:paraId="3CEB97CF" w14:textId="169CCDCA" w:rsidR="00C14620" w:rsidRPr="00582E09" w:rsidRDefault="00C14620" w:rsidP="00727B85">
      <w:pPr>
        <w:spacing w:before="120" w:after="180" w:line="280" w:lineRule="atLeast"/>
        <w:rPr>
          <w:rFonts w:cs="Arial"/>
          <w:sz w:val="20"/>
          <w:szCs w:val="20"/>
          <w:lang w:val="en" w:eastAsia="en-AU"/>
        </w:rPr>
      </w:pPr>
      <w:r w:rsidRPr="003D671C">
        <w:rPr>
          <w:b/>
        </w:rPr>
        <w:t>Outcome:</w:t>
      </w:r>
      <w:r w:rsidRPr="003D671C">
        <w:t xml:space="preserve"> </w:t>
      </w:r>
      <w:r w:rsidRPr="00582E09">
        <w:rPr>
          <w:rFonts w:cs="Arial"/>
          <w:sz w:val="20"/>
          <w:szCs w:val="20"/>
          <w:lang w:val="en" w:eastAsia="en-AU"/>
        </w:rPr>
        <w:t>increase understanding of factors affecting how families function by conducting research and communicating findings to policy-makers, service providers</w:t>
      </w:r>
      <w:r w:rsidR="008746D0">
        <w:rPr>
          <w:rFonts w:cs="Arial"/>
          <w:sz w:val="20"/>
          <w:szCs w:val="20"/>
          <w:lang w:val="en" w:eastAsia="en-AU"/>
        </w:rPr>
        <w:t>,</w:t>
      </w:r>
      <w:r w:rsidRPr="00582E09">
        <w:rPr>
          <w:rFonts w:cs="Arial"/>
          <w:sz w:val="20"/>
          <w:szCs w:val="20"/>
          <w:lang w:val="en" w:eastAsia="en-AU"/>
        </w:rPr>
        <w:t xml:space="preserve"> and the broader community.</w:t>
      </w:r>
    </w:p>
    <w:p w14:paraId="352BB8FD" w14:textId="188F7A67" w:rsidR="00C14620" w:rsidRPr="00582E09" w:rsidRDefault="00C14620" w:rsidP="00B34C70">
      <w:pPr>
        <w:spacing w:before="120" w:after="180" w:line="280" w:lineRule="atLeast"/>
        <w:rPr>
          <w:rFonts w:cs="Arial"/>
          <w:sz w:val="20"/>
          <w:szCs w:val="20"/>
          <w:lang w:val="en" w:eastAsia="en-AU"/>
        </w:rPr>
      </w:pPr>
      <w:r w:rsidRPr="00582E09">
        <w:rPr>
          <w:rFonts w:cs="Arial"/>
          <w:sz w:val="20"/>
          <w:szCs w:val="20"/>
          <w:lang w:val="en" w:eastAsia="en-AU"/>
        </w:rPr>
        <w:t>The Australian Institute of Family Studies provides advice, shares knowledge</w:t>
      </w:r>
      <w:r w:rsidR="008746D0">
        <w:rPr>
          <w:rFonts w:cs="Arial"/>
          <w:sz w:val="20"/>
          <w:szCs w:val="20"/>
          <w:lang w:val="en" w:eastAsia="en-AU"/>
        </w:rPr>
        <w:t>,</w:t>
      </w:r>
      <w:r w:rsidRPr="00582E09">
        <w:rPr>
          <w:rFonts w:cs="Arial"/>
          <w:sz w:val="20"/>
          <w:szCs w:val="20"/>
          <w:lang w:val="en" w:eastAsia="en-AU"/>
        </w:rPr>
        <w:t xml:space="preserve"> and builds evidence about what works for families to accelerate positive outcomes.</w:t>
      </w:r>
    </w:p>
    <w:p w14:paraId="6964A51D" w14:textId="414DE2C2" w:rsidR="00C14620" w:rsidRDefault="00EB552B" w:rsidP="00C14620">
      <w:pPr>
        <w:spacing w:line="240" w:lineRule="auto"/>
        <w:rPr>
          <w:b/>
        </w:rPr>
      </w:pPr>
      <w:hyperlink r:id="rId33" w:history="1">
        <w:r w:rsidR="00C14620" w:rsidRPr="00270A5C">
          <w:rPr>
            <w:b/>
          </w:rPr>
          <w:t>aifs.gov.au</w:t>
        </w:r>
      </w:hyperlink>
    </w:p>
    <w:p w14:paraId="551F3641" w14:textId="77777777" w:rsidR="00C14620" w:rsidRPr="007E68AA" w:rsidRDefault="00C14620" w:rsidP="00C14620">
      <w:pPr>
        <w:pStyle w:val="Heading6"/>
        <w:spacing w:before="200" w:after="200"/>
        <w:rPr>
          <w:i w:val="0"/>
          <w:color w:val="auto"/>
          <w:sz w:val="26"/>
        </w:rPr>
      </w:pPr>
      <w:r w:rsidRPr="007E68AA">
        <w:rPr>
          <w:i w:val="0"/>
          <w:color w:val="auto"/>
          <w:sz w:val="26"/>
        </w:rPr>
        <w:t>National Disability Insurance Agency</w:t>
      </w:r>
    </w:p>
    <w:p w14:paraId="29714AF5" w14:textId="182B8F9B" w:rsidR="00C14620" w:rsidRPr="00582E09" w:rsidRDefault="00C14620" w:rsidP="00B34C70">
      <w:pPr>
        <w:spacing w:before="120" w:after="180" w:line="280" w:lineRule="atLeast"/>
        <w:rPr>
          <w:rFonts w:cs="Arial"/>
          <w:sz w:val="20"/>
          <w:szCs w:val="20"/>
          <w:lang w:val="en" w:eastAsia="en-AU"/>
        </w:rPr>
      </w:pPr>
      <w:r w:rsidRPr="00270A5C">
        <w:rPr>
          <w:b/>
        </w:rPr>
        <w:t>Outcome:</w:t>
      </w:r>
      <w:r w:rsidRPr="00370B89">
        <w:t xml:space="preserve"> </w:t>
      </w:r>
      <w:r w:rsidRPr="00582E09">
        <w:rPr>
          <w:rFonts w:cs="Arial"/>
          <w:sz w:val="20"/>
          <w:szCs w:val="20"/>
          <w:lang w:val="en" w:eastAsia="en-AU"/>
        </w:rPr>
        <w:t>implement a National Disability Insurance Scheme (NDIS) that provide</w:t>
      </w:r>
      <w:r>
        <w:rPr>
          <w:rFonts w:cs="Arial"/>
          <w:sz w:val="20"/>
          <w:szCs w:val="20"/>
          <w:lang w:val="en" w:eastAsia="en-AU"/>
        </w:rPr>
        <w:t>s individual control and choice</w:t>
      </w:r>
      <w:r w:rsidR="002E5E06">
        <w:rPr>
          <w:rFonts w:cs="Arial"/>
          <w:sz w:val="20"/>
          <w:szCs w:val="20"/>
          <w:lang w:val="en" w:eastAsia="en-AU"/>
        </w:rPr>
        <w:t xml:space="preserve"> </w:t>
      </w:r>
      <w:r>
        <w:rPr>
          <w:rFonts w:cs="Arial"/>
          <w:sz w:val="20"/>
          <w:szCs w:val="20"/>
          <w:lang w:val="en" w:eastAsia="en-AU"/>
        </w:rPr>
        <w:t>i</w:t>
      </w:r>
      <w:r w:rsidRPr="00582E09">
        <w:rPr>
          <w:rFonts w:cs="Arial"/>
          <w:sz w:val="20"/>
          <w:szCs w:val="20"/>
          <w:lang w:val="en" w:eastAsia="en-AU"/>
        </w:rPr>
        <w:t xml:space="preserve">n the delivery of reasonable and necessary supports to improve the independence, social and economic participation of eligible people with disability, their families and </w:t>
      </w:r>
      <w:proofErr w:type="spellStart"/>
      <w:r w:rsidRPr="00582E09">
        <w:rPr>
          <w:rFonts w:cs="Arial"/>
          <w:sz w:val="20"/>
          <w:szCs w:val="20"/>
          <w:lang w:val="en" w:eastAsia="en-AU"/>
        </w:rPr>
        <w:t>carers</w:t>
      </w:r>
      <w:proofErr w:type="spellEnd"/>
      <w:r w:rsidRPr="00582E09">
        <w:rPr>
          <w:rFonts w:cs="Arial"/>
          <w:sz w:val="20"/>
          <w:szCs w:val="20"/>
          <w:lang w:val="en" w:eastAsia="en-AU"/>
        </w:rPr>
        <w:t>, and associated referral services and activities.</w:t>
      </w:r>
    </w:p>
    <w:p w14:paraId="658C727F" w14:textId="364CAB5F" w:rsidR="00B34C70" w:rsidRDefault="00C14620" w:rsidP="00B34C70">
      <w:pPr>
        <w:spacing w:before="120" w:after="180" w:line="280" w:lineRule="atLeast"/>
        <w:rPr>
          <w:rFonts w:cs="Arial"/>
          <w:sz w:val="20"/>
          <w:szCs w:val="20"/>
          <w:lang w:val="en" w:eastAsia="en-AU"/>
        </w:rPr>
      </w:pPr>
      <w:r w:rsidRPr="00582E09">
        <w:rPr>
          <w:rFonts w:cs="Arial"/>
          <w:sz w:val="20"/>
          <w:szCs w:val="20"/>
          <w:lang w:val="en" w:eastAsia="en-AU"/>
        </w:rPr>
        <w:t>The National Disability Insurance Agency, established under the</w:t>
      </w:r>
      <w:r>
        <w:rPr>
          <w:rFonts w:cs="Arial"/>
          <w:sz w:val="20"/>
          <w:szCs w:val="20"/>
          <w:lang w:val="en" w:eastAsia="en-AU"/>
        </w:rPr>
        <w:t xml:space="preserve"> </w:t>
      </w:r>
      <w:r w:rsidRPr="00B34C70">
        <w:rPr>
          <w:rFonts w:cs="Arial"/>
          <w:i/>
          <w:sz w:val="20"/>
          <w:szCs w:val="20"/>
          <w:lang w:val="en" w:eastAsia="en-AU"/>
        </w:rPr>
        <w:t>National Disability Insurance Scheme Act 2013</w:t>
      </w:r>
      <w:r w:rsidRPr="00582E09">
        <w:rPr>
          <w:rFonts w:cs="Arial"/>
          <w:sz w:val="20"/>
          <w:szCs w:val="20"/>
          <w:lang w:val="en" w:eastAsia="en-AU"/>
        </w:rPr>
        <w:t>, has responsibility for administering the NDIS.</w:t>
      </w:r>
      <w:r w:rsidR="008746D0">
        <w:rPr>
          <w:rFonts w:cs="Arial"/>
          <w:sz w:val="20"/>
          <w:szCs w:val="20"/>
          <w:lang w:val="en" w:eastAsia="en-AU"/>
        </w:rPr>
        <w:t xml:space="preserve"> </w:t>
      </w:r>
      <w:r w:rsidRPr="00582E09">
        <w:rPr>
          <w:rFonts w:cs="Arial"/>
          <w:sz w:val="20"/>
          <w:szCs w:val="20"/>
          <w:lang w:val="en" w:eastAsia="en-AU"/>
        </w:rPr>
        <w:t xml:space="preserve">The </w:t>
      </w:r>
      <w:r w:rsidRPr="00B34C70">
        <w:rPr>
          <w:rFonts w:cs="Arial"/>
          <w:i/>
          <w:sz w:val="20"/>
          <w:szCs w:val="20"/>
          <w:lang w:val="en" w:eastAsia="en-AU"/>
        </w:rPr>
        <w:t>National Disability Insurance Scheme Act 2013</w:t>
      </w:r>
      <w:r w:rsidRPr="00582E09">
        <w:rPr>
          <w:rFonts w:cs="Arial"/>
          <w:sz w:val="20"/>
          <w:szCs w:val="20"/>
          <w:lang w:val="en" w:eastAsia="en-AU"/>
        </w:rPr>
        <w:t xml:space="preserve"> (in conjunction with other laws) gives effect to Australia’s obligations under the United Nations Convention on</w:t>
      </w:r>
      <w:r w:rsidR="002E5E06">
        <w:rPr>
          <w:rFonts w:cs="Arial"/>
          <w:sz w:val="20"/>
          <w:szCs w:val="20"/>
          <w:lang w:val="en" w:eastAsia="en-AU"/>
        </w:rPr>
        <w:t xml:space="preserve"> </w:t>
      </w:r>
      <w:r w:rsidRPr="00582E09">
        <w:rPr>
          <w:rFonts w:cs="Arial"/>
          <w:sz w:val="20"/>
          <w:szCs w:val="20"/>
          <w:lang w:val="en" w:eastAsia="en-AU"/>
        </w:rPr>
        <w:t>the Rights of Persons with Disabilities.</w:t>
      </w:r>
    </w:p>
    <w:p w14:paraId="023E0C04" w14:textId="130D2985" w:rsidR="008746D0" w:rsidRPr="001E6F0F" w:rsidRDefault="008746D0" w:rsidP="00B34C70">
      <w:pPr>
        <w:spacing w:line="240" w:lineRule="auto"/>
        <w:rPr>
          <w:b/>
          <w:bCs/>
        </w:rPr>
      </w:pPr>
      <w:r w:rsidRPr="0036611E">
        <w:rPr>
          <w:b/>
          <w:bCs/>
        </w:rPr>
        <w:t>ndis.gov.au</w:t>
      </w:r>
    </w:p>
    <w:p w14:paraId="3AAADF93" w14:textId="089A2FBB" w:rsidR="00C14620" w:rsidRPr="007E68AA" w:rsidRDefault="00E76BAA" w:rsidP="00C14620">
      <w:pPr>
        <w:pStyle w:val="Heading6"/>
        <w:spacing w:before="200" w:after="200"/>
        <w:rPr>
          <w:i w:val="0"/>
          <w:color w:val="auto"/>
          <w:sz w:val="26"/>
        </w:rPr>
      </w:pPr>
      <w:r>
        <w:rPr>
          <w:i w:val="0"/>
          <w:color w:val="auto"/>
          <w:sz w:val="26"/>
        </w:rPr>
        <w:t>NDIS</w:t>
      </w:r>
      <w:r w:rsidR="00C14620" w:rsidRPr="007E68AA">
        <w:rPr>
          <w:i w:val="0"/>
          <w:color w:val="auto"/>
          <w:sz w:val="26"/>
        </w:rPr>
        <w:t xml:space="preserve"> Quality and Safeguards Commission</w:t>
      </w:r>
    </w:p>
    <w:p w14:paraId="484FD10F" w14:textId="314B40D1" w:rsidR="00C14620" w:rsidRPr="00582E09" w:rsidRDefault="00C14620" w:rsidP="00B34C70">
      <w:pPr>
        <w:spacing w:before="120" w:after="180" w:line="280" w:lineRule="atLeast"/>
        <w:rPr>
          <w:rFonts w:cs="Arial"/>
          <w:sz w:val="20"/>
          <w:szCs w:val="20"/>
          <w:lang w:val="en" w:eastAsia="en-AU"/>
        </w:rPr>
      </w:pPr>
      <w:r>
        <w:rPr>
          <w:b/>
          <w:bCs/>
        </w:rPr>
        <w:t>Outcome</w:t>
      </w:r>
      <w:r w:rsidRPr="003D671C">
        <w:rPr>
          <w:b/>
          <w:bCs/>
        </w:rPr>
        <w:t xml:space="preserve">: </w:t>
      </w:r>
      <w:r w:rsidRPr="00582E09">
        <w:rPr>
          <w:rFonts w:cs="Arial"/>
          <w:sz w:val="20"/>
          <w:szCs w:val="20"/>
          <w:lang w:val="en" w:eastAsia="en-AU"/>
        </w:rPr>
        <w:t>promote the delivery of quality supports and services to people with disability under the</w:t>
      </w:r>
      <w:r w:rsidR="00E7029A">
        <w:rPr>
          <w:rFonts w:cs="Arial"/>
          <w:sz w:val="20"/>
          <w:szCs w:val="20"/>
          <w:lang w:val="en" w:eastAsia="en-AU"/>
        </w:rPr>
        <w:t xml:space="preserve"> </w:t>
      </w:r>
      <w:r>
        <w:rPr>
          <w:rFonts w:cs="Arial"/>
          <w:sz w:val="20"/>
          <w:szCs w:val="20"/>
          <w:lang w:val="en" w:eastAsia="en-AU"/>
        </w:rPr>
        <w:t>NDIS</w:t>
      </w:r>
      <w:r w:rsidRPr="00582E09">
        <w:rPr>
          <w:rFonts w:cs="Arial"/>
          <w:sz w:val="20"/>
          <w:szCs w:val="20"/>
          <w:lang w:val="en" w:eastAsia="en-AU"/>
        </w:rPr>
        <w:t xml:space="preserve"> and other prescribed supports and services, including through nationally consistent and responsive regulation, policy development, advice</w:t>
      </w:r>
      <w:r w:rsidR="008746D0">
        <w:rPr>
          <w:rFonts w:cs="Arial"/>
          <w:sz w:val="20"/>
          <w:szCs w:val="20"/>
          <w:lang w:val="en" w:eastAsia="en-AU"/>
        </w:rPr>
        <w:t>,</w:t>
      </w:r>
      <w:r w:rsidRPr="00582E09">
        <w:rPr>
          <w:rFonts w:cs="Arial"/>
          <w:sz w:val="20"/>
          <w:szCs w:val="20"/>
          <w:lang w:val="en" w:eastAsia="en-AU"/>
        </w:rPr>
        <w:t xml:space="preserve"> and education.</w:t>
      </w:r>
    </w:p>
    <w:p w14:paraId="3914114E" w14:textId="2B8DB728" w:rsidR="00C14620" w:rsidRPr="00582E09" w:rsidRDefault="00C14620" w:rsidP="00B34C70">
      <w:pPr>
        <w:spacing w:before="120" w:after="180" w:line="280" w:lineRule="atLeast"/>
        <w:rPr>
          <w:rFonts w:cs="Arial"/>
          <w:sz w:val="20"/>
          <w:szCs w:val="20"/>
          <w:lang w:val="en" w:eastAsia="en-AU"/>
        </w:rPr>
      </w:pPr>
      <w:r w:rsidRPr="00582E09">
        <w:rPr>
          <w:rFonts w:cs="Arial"/>
          <w:sz w:val="20"/>
          <w:szCs w:val="20"/>
          <w:lang w:val="en" w:eastAsia="en-AU"/>
        </w:rPr>
        <w:t>The NDIS Quality and Safeguards Commission (the NDIS Commission) is a statutory body established to improve the quality and safety of NDIS supports and services. The NDIS Commission is responsible for ensuring NDIS providers comply with new regulatory standards and the</w:t>
      </w:r>
      <w:r>
        <w:rPr>
          <w:rFonts w:cs="Arial"/>
          <w:sz w:val="20"/>
          <w:szCs w:val="20"/>
          <w:lang w:val="en" w:eastAsia="en-AU"/>
        </w:rPr>
        <w:t xml:space="preserve"> </w:t>
      </w:r>
      <w:r w:rsidRPr="00582E09">
        <w:rPr>
          <w:rFonts w:cs="Arial"/>
          <w:sz w:val="20"/>
          <w:szCs w:val="20"/>
          <w:lang w:val="en" w:eastAsia="en-AU"/>
        </w:rPr>
        <w:t>NDIS Code of Conduct in the course of delivering supports and services to NDIS participants. The NDIS Commission also promotes safety and quality services, resolves problems</w:t>
      </w:r>
      <w:r w:rsidR="008746D0">
        <w:rPr>
          <w:rFonts w:cs="Arial"/>
          <w:sz w:val="20"/>
          <w:szCs w:val="20"/>
          <w:lang w:val="en" w:eastAsia="en-AU"/>
        </w:rPr>
        <w:t>,</w:t>
      </w:r>
      <w:r w:rsidRPr="00582E09">
        <w:rPr>
          <w:rFonts w:cs="Arial"/>
          <w:sz w:val="20"/>
          <w:szCs w:val="20"/>
          <w:lang w:val="en" w:eastAsia="en-AU"/>
        </w:rPr>
        <w:t xml:space="preserve"> and identifies areas for improvement.</w:t>
      </w:r>
    </w:p>
    <w:p w14:paraId="51E8A38B" w14:textId="57C3A589" w:rsidR="00C14620" w:rsidRPr="00B34C70" w:rsidRDefault="00C14620" w:rsidP="00B34C70">
      <w:pPr>
        <w:spacing w:before="120" w:after="180" w:line="280" w:lineRule="atLeast"/>
        <w:rPr>
          <w:rFonts w:cs="Arial"/>
          <w:sz w:val="20"/>
          <w:szCs w:val="20"/>
          <w:lang w:val="en" w:eastAsia="en-AU"/>
        </w:rPr>
      </w:pPr>
      <w:r w:rsidRPr="00582E09">
        <w:rPr>
          <w:rFonts w:cs="Arial"/>
          <w:sz w:val="20"/>
          <w:szCs w:val="20"/>
          <w:lang w:val="en" w:eastAsia="en-AU"/>
        </w:rPr>
        <w:t>The NDIS Commission commenced operations in New South Wales and South Australia on</w:t>
      </w:r>
      <w:r w:rsidR="00E7029A">
        <w:rPr>
          <w:rFonts w:cs="Arial"/>
          <w:sz w:val="20"/>
          <w:szCs w:val="20"/>
          <w:lang w:val="en" w:eastAsia="en-AU"/>
        </w:rPr>
        <w:t xml:space="preserve"> </w:t>
      </w:r>
      <w:r w:rsidR="002E5E06">
        <w:rPr>
          <w:rFonts w:cs="Arial"/>
          <w:sz w:val="20"/>
          <w:szCs w:val="20"/>
          <w:lang w:val="en" w:eastAsia="en-AU"/>
        </w:rPr>
        <w:br/>
      </w:r>
      <w:r w:rsidRPr="00582E09">
        <w:rPr>
          <w:rFonts w:cs="Arial"/>
          <w:sz w:val="20"/>
          <w:szCs w:val="20"/>
          <w:lang w:val="en" w:eastAsia="en-AU"/>
        </w:rPr>
        <w:t>1 July 2018. All other states and territories transition</w:t>
      </w:r>
      <w:r w:rsidR="00E76BAA">
        <w:rPr>
          <w:rFonts w:cs="Arial"/>
          <w:sz w:val="20"/>
          <w:szCs w:val="20"/>
          <w:lang w:val="en" w:eastAsia="en-AU"/>
        </w:rPr>
        <w:t>ed</w:t>
      </w:r>
      <w:r w:rsidRPr="00582E09">
        <w:rPr>
          <w:rFonts w:cs="Arial"/>
          <w:sz w:val="20"/>
          <w:szCs w:val="20"/>
          <w:lang w:val="en" w:eastAsia="en-AU"/>
        </w:rPr>
        <w:t xml:space="preserve"> on 1 July 2019 except Western Australia, which will transition to the NDIS Commission on 1 </w:t>
      </w:r>
      <w:r w:rsidR="00A858A9">
        <w:rPr>
          <w:rFonts w:cs="Arial"/>
          <w:sz w:val="20"/>
          <w:szCs w:val="20"/>
          <w:lang w:val="en" w:eastAsia="en-AU"/>
        </w:rPr>
        <w:t>December</w:t>
      </w:r>
      <w:r w:rsidRPr="00582E09">
        <w:rPr>
          <w:rFonts w:cs="Arial"/>
          <w:sz w:val="20"/>
          <w:szCs w:val="20"/>
          <w:lang w:val="en" w:eastAsia="en-AU"/>
        </w:rPr>
        <w:t xml:space="preserve"> 2020</w:t>
      </w:r>
      <w:r w:rsidRPr="00B34C70">
        <w:rPr>
          <w:rFonts w:cs="Arial"/>
          <w:sz w:val="20"/>
          <w:szCs w:val="20"/>
          <w:lang w:val="en" w:eastAsia="en-AU"/>
        </w:rPr>
        <w:t>.</w:t>
      </w:r>
    </w:p>
    <w:p w14:paraId="64D6ECE7" w14:textId="77777777" w:rsidR="00C14620" w:rsidRPr="00B34C70" w:rsidRDefault="00C14620" w:rsidP="00B34C70">
      <w:pPr>
        <w:spacing w:line="240" w:lineRule="auto"/>
        <w:rPr>
          <w:b/>
        </w:rPr>
      </w:pPr>
      <w:r w:rsidRPr="00B34C70">
        <w:rPr>
          <w:b/>
        </w:rPr>
        <w:t>ndiscommission.gov.au</w:t>
      </w:r>
    </w:p>
    <w:p w14:paraId="07D8D77C" w14:textId="77777777" w:rsidR="00BB1193" w:rsidRDefault="00BB1193">
      <w:pPr>
        <w:rPr>
          <w:i/>
          <w:sz w:val="26"/>
        </w:rPr>
        <w:sectPr w:rsidR="00BB1193" w:rsidSect="00BB1193">
          <w:footnotePr>
            <w:numRestart w:val="eachPage"/>
          </w:footnotePr>
          <w:pgSz w:w="11906" w:h="16838"/>
          <w:pgMar w:top="1440" w:right="1440" w:bottom="1440" w:left="1440" w:header="709" w:footer="709" w:gutter="0"/>
          <w:cols w:space="708"/>
          <w:docGrid w:linePitch="360"/>
        </w:sectPr>
      </w:pPr>
    </w:p>
    <w:p w14:paraId="244B38DB" w14:textId="3670EA8D" w:rsidR="00C14620" w:rsidRPr="007E68AA" w:rsidRDefault="00C14620" w:rsidP="00C14620">
      <w:pPr>
        <w:pStyle w:val="Heading6"/>
        <w:spacing w:before="200" w:after="200"/>
        <w:rPr>
          <w:i w:val="0"/>
          <w:color w:val="auto"/>
          <w:sz w:val="26"/>
        </w:rPr>
      </w:pPr>
      <w:r>
        <w:rPr>
          <w:i w:val="0"/>
          <w:color w:val="auto"/>
          <w:sz w:val="26"/>
        </w:rPr>
        <w:lastRenderedPageBreak/>
        <w:t>Services Australia</w:t>
      </w:r>
    </w:p>
    <w:p w14:paraId="4E968872" w14:textId="045ECD59" w:rsidR="00496380" w:rsidRPr="003A047F" w:rsidRDefault="00C14620" w:rsidP="003A047F">
      <w:pPr>
        <w:spacing w:before="120" w:after="180" w:line="280" w:lineRule="atLeast"/>
        <w:rPr>
          <w:rFonts w:cs="Arial"/>
          <w:sz w:val="20"/>
          <w:szCs w:val="20"/>
          <w:lang w:val="en" w:eastAsia="en-AU"/>
        </w:rPr>
      </w:pPr>
      <w:r w:rsidRPr="003A047F">
        <w:rPr>
          <w:rFonts w:cs="Arial"/>
          <w:b/>
          <w:lang w:val="en" w:eastAsia="en-AU"/>
        </w:rPr>
        <w:t>Outcome:</w:t>
      </w:r>
      <w:r w:rsidRPr="003A047F">
        <w:rPr>
          <w:rFonts w:cs="Arial"/>
          <w:sz w:val="20"/>
          <w:szCs w:val="20"/>
          <w:lang w:val="en" w:eastAsia="en-AU"/>
        </w:rPr>
        <w:t xml:space="preserve"> </w:t>
      </w:r>
      <w:r w:rsidR="00A24795">
        <w:rPr>
          <w:rFonts w:cs="Arial"/>
          <w:sz w:val="20"/>
          <w:szCs w:val="20"/>
          <w:lang w:val="en" w:eastAsia="en-AU"/>
        </w:rPr>
        <w:t>s</w:t>
      </w:r>
      <w:r w:rsidR="00496380" w:rsidRPr="003A047F">
        <w:rPr>
          <w:rFonts w:cs="Arial"/>
          <w:sz w:val="20"/>
          <w:szCs w:val="20"/>
          <w:lang w:val="en" w:eastAsia="en-AU"/>
        </w:rPr>
        <w:t>upport individuals, families and communities to achieve greater self-sufficiency; through the delivery of advice and high quality accessible social, health and child support services and other payments; and support providers and businesses through convenient and efficient service delivery.</w:t>
      </w:r>
    </w:p>
    <w:p w14:paraId="0C888AC3" w14:textId="77777777" w:rsidR="00C14620" w:rsidRPr="008A4185" w:rsidRDefault="00C14620" w:rsidP="003A047F">
      <w:pPr>
        <w:spacing w:before="120" w:after="180" w:line="280" w:lineRule="atLeast"/>
        <w:rPr>
          <w:b/>
        </w:rPr>
      </w:pPr>
      <w:r w:rsidRPr="008A4185">
        <w:rPr>
          <w:b/>
        </w:rPr>
        <w:t>servicesaustralia.gov.au</w:t>
      </w:r>
    </w:p>
    <w:p w14:paraId="4A498722" w14:textId="765899B8" w:rsidR="00C14620" w:rsidRPr="007E68AA" w:rsidRDefault="00C14620" w:rsidP="00C14620">
      <w:pPr>
        <w:pStyle w:val="Heading6"/>
        <w:spacing w:before="200" w:after="200"/>
        <w:rPr>
          <w:i w:val="0"/>
          <w:color w:val="auto"/>
          <w:sz w:val="26"/>
        </w:rPr>
      </w:pPr>
      <w:r>
        <w:rPr>
          <w:i w:val="0"/>
          <w:color w:val="auto"/>
          <w:sz w:val="26"/>
        </w:rPr>
        <w:t>Digital Transformation Agency</w:t>
      </w:r>
    </w:p>
    <w:p w14:paraId="01D210E7" w14:textId="52AB6927" w:rsidR="00C14620" w:rsidRPr="00582E09" w:rsidRDefault="00C14620" w:rsidP="00B34C70">
      <w:pPr>
        <w:spacing w:before="120" w:after="180" w:line="280" w:lineRule="atLeast"/>
        <w:rPr>
          <w:rFonts w:cs="Arial"/>
          <w:sz w:val="20"/>
          <w:szCs w:val="20"/>
          <w:lang w:val="en" w:eastAsia="en-AU"/>
        </w:rPr>
      </w:pPr>
      <w:r>
        <w:rPr>
          <w:b/>
          <w:bCs/>
        </w:rPr>
        <w:t>Outcome:</w:t>
      </w:r>
      <w:r>
        <w:rPr>
          <w:bCs/>
          <w:sz w:val="20"/>
        </w:rPr>
        <w:t xml:space="preserve"> </w:t>
      </w:r>
      <w:r w:rsidRPr="00582E09">
        <w:rPr>
          <w:rFonts w:cs="Arial"/>
          <w:sz w:val="20"/>
          <w:szCs w:val="20"/>
          <w:lang w:val="en" w:eastAsia="en-AU"/>
        </w:rPr>
        <w:t xml:space="preserve">accelerate the </w:t>
      </w:r>
      <w:r w:rsidR="002A65A8">
        <w:rPr>
          <w:rFonts w:cs="Arial"/>
          <w:sz w:val="20"/>
          <w:szCs w:val="20"/>
          <w:lang w:val="en" w:eastAsia="en-AU"/>
        </w:rPr>
        <w:t>G</w:t>
      </w:r>
      <w:r w:rsidRPr="00582E09">
        <w:rPr>
          <w:rFonts w:cs="Arial"/>
          <w:sz w:val="20"/>
          <w:szCs w:val="20"/>
          <w:lang w:val="en" w:eastAsia="en-AU"/>
        </w:rPr>
        <w:t>overnment’s digital transformation agenda by helping agencies move more services online, deliver a better user experience to users</w:t>
      </w:r>
      <w:r w:rsidR="0093321E">
        <w:rPr>
          <w:rFonts w:cs="Arial"/>
          <w:sz w:val="20"/>
          <w:szCs w:val="20"/>
          <w:lang w:val="en" w:eastAsia="en-AU"/>
        </w:rPr>
        <w:t>,</w:t>
      </w:r>
      <w:r w:rsidRPr="00582E09">
        <w:rPr>
          <w:rFonts w:cs="Arial"/>
          <w:sz w:val="20"/>
          <w:szCs w:val="20"/>
          <w:lang w:val="en" w:eastAsia="en-AU"/>
        </w:rPr>
        <w:t xml:space="preserve"> and ensure the best use of </w:t>
      </w:r>
      <w:r w:rsidR="0093321E">
        <w:rPr>
          <w:rFonts w:cs="Arial"/>
          <w:sz w:val="20"/>
          <w:szCs w:val="20"/>
          <w:lang w:val="en" w:eastAsia="en-AU"/>
        </w:rPr>
        <w:t>G</w:t>
      </w:r>
      <w:r w:rsidRPr="00582E09">
        <w:rPr>
          <w:rFonts w:cs="Arial"/>
          <w:sz w:val="20"/>
          <w:szCs w:val="20"/>
          <w:lang w:val="en" w:eastAsia="en-AU"/>
        </w:rPr>
        <w:t>overnment’s Information and Communication Technology (ICT) spend.</w:t>
      </w:r>
      <w:r>
        <w:rPr>
          <w:rFonts w:cs="Arial"/>
          <w:sz w:val="20"/>
          <w:szCs w:val="20"/>
          <w:lang w:val="en" w:eastAsia="en-AU"/>
        </w:rPr>
        <w:t xml:space="preserve"> </w:t>
      </w:r>
      <w:r w:rsidRPr="00582E09">
        <w:rPr>
          <w:rFonts w:cs="Arial"/>
          <w:sz w:val="20"/>
          <w:szCs w:val="20"/>
          <w:lang w:val="en" w:eastAsia="en-AU"/>
        </w:rPr>
        <w:t>The</w:t>
      </w:r>
      <w:r w:rsidR="0093321E">
        <w:rPr>
          <w:rFonts w:cs="Arial"/>
          <w:sz w:val="20"/>
          <w:szCs w:val="20"/>
          <w:lang w:val="en" w:eastAsia="en-AU"/>
        </w:rPr>
        <w:t xml:space="preserve"> </w:t>
      </w:r>
      <w:r w:rsidRPr="00582E09">
        <w:rPr>
          <w:rFonts w:cs="Arial"/>
          <w:sz w:val="20"/>
          <w:szCs w:val="20"/>
          <w:lang w:val="en" w:eastAsia="en-AU"/>
        </w:rPr>
        <w:t>Digital Transformation Agency is a non</w:t>
      </w:r>
      <w:r w:rsidRPr="00582E09">
        <w:rPr>
          <w:rFonts w:cs="Arial"/>
          <w:sz w:val="20"/>
          <w:szCs w:val="20"/>
          <w:lang w:val="en" w:eastAsia="en-AU"/>
        </w:rPr>
        <w:noBreakHyphen/>
        <w:t>corporate Commonwealth entity.</w:t>
      </w:r>
    </w:p>
    <w:p w14:paraId="72DF1075" w14:textId="77777777" w:rsidR="00C14620" w:rsidRPr="008A4185" w:rsidRDefault="00C14620" w:rsidP="00B34C70">
      <w:pPr>
        <w:spacing w:before="120" w:after="180" w:line="280" w:lineRule="atLeast"/>
        <w:rPr>
          <w:b/>
        </w:rPr>
      </w:pPr>
      <w:r w:rsidRPr="008A4185">
        <w:rPr>
          <w:b/>
        </w:rPr>
        <w:t>dta.gov.au</w:t>
      </w:r>
    </w:p>
    <w:p w14:paraId="72874E97" w14:textId="5BC4412A" w:rsidR="00C14620" w:rsidRPr="007E68AA" w:rsidRDefault="00C14620" w:rsidP="00C14620">
      <w:pPr>
        <w:pStyle w:val="Heading6"/>
        <w:spacing w:before="200" w:after="200"/>
        <w:rPr>
          <w:i w:val="0"/>
          <w:color w:val="auto"/>
          <w:sz w:val="26"/>
        </w:rPr>
      </w:pPr>
      <w:r>
        <w:rPr>
          <w:i w:val="0"/>
          <w:color w:val="auto"/>
          <w:sz w:val="26"/>
        </w:rPr>
        <w:t>Hearing Australia</w:t>
      </w:r>
    </w:p>
    <w:p w14:paraId="4BDEF1F6" w14:textId="30109F91" w:rsidR="00C14620" w:rsidRPr="00582E09" w:rsidRDefault="002E5E06" w:rsidP="00B34C70">
      <w:pPr>
        <w:spacing w:before="120" w:after="180" w:line="280" w:lineRule="atLeast"/>
        <w:rPr>
          <w:rFonts w:cs="Arial"/>
          <w:sz w:val="20"/>
          <w:szCs w:val="20"/>
          <w:lang w:val="en" w:eastAsia="en-AU"/>
        </w:rPr>
      </w:pPr>
      <w:r w:rsidRPr="00A526BE">
        <w:rPr>
          <w:b/>
          <w:bCs/>
        </w:rPr>
        <w:t>Mission</w:t>
      </w:r>
      <w:r>
        <w:rPr>
          <w:b/>
          <w:bCs/>
        </w:rPr>
        <w:t>:</w:t>
      </w:r>
      <w:r w:rsidR="00C14620" w:rsidRPr="003D671C">
        <w:rPr>
          <w:b/>
          <w:bCs/>
        </w:rPr>
        <w:t xml:space="preserve"> </w:t>
      </w:r>
      <w:r w:rsidR="00C14620" w:rsidRPr="00582E09">
        <w:rPr>
          <w:rFonts w:cs="Arial"/>
          <w:sz w:val="20"/>
          <w:szCs w:val="20"/>
          <w:lang w:val="en" w:eastAsia="en-AU"/>
        </w:rPr>
        <w:t xml:space="preserve">provide world leading research and hearing services for the wellbeing of all Australians. Hearing Australia is a Public Non-financial Corporation (Trading) entity established under the </w:t>
      </w:r>
      <w:r w:rsidR="00C14620" w:rsidRPr="00082BDB">
        <w:rPr>
          <w:rFonts w:cs="Arial"/>
          <w:i/>
          <w:sz w:val="20"/>
          <w:szCs w:val="20"/>
          <w:lang w:val="en" w:eastAsia="en-AU"/>
        </w:rPr>
        <w:t>Australian Hearing Services Act 1991</w:t>
      </w:r>
      <w:r w:rsidR="00C14620" w:rsidRPr="00582E09">
        <w:rPr>
          <w:rFonts w:cs="Arial"/>
          <w:sz w:val="20"/>
          <w:szCs w:val="20"/>
          <w:lang w:val="en" w:eastAsia="en-AU"/>
        </w:rPr>
        <w:t>. Accordingly, Hearing Australia is not reported in the</w:t>
      </w:r>
      <w:r w:rsidR="007D2A46">
        <w:rPr>
          <w:rFonts w:cs="Arial"/>
          <w:sz w:val="20"/>
          <w:szCs w:val="20"/>
          <w:lang w:val="en" w:eastAsia="en-AU"/>
        </w:rPr>
        <w:t xml:space="preserve"> </w:t>
      </w:r>
      <w:r w:rsidR="00C14620" w:rsidRPr="00582E09">
        <w:rPr>
          <w:rFonts w:cs="Arial"/>
          <w:sz w:val="20"/>
          <w:szCs w:val="20"/>
          <w:lang w:val="en" w:eastAsia="en-AU"/>
        </w:rPr>
        <w:t xml:space="preserve">Portfolio Budget Statements or Portfolio Additional Estimates Statements. Hearing Australia is a corporate Commonwealth entity under the </w:t>
      </w:r>
      <w:r w:rsidR="00C14620" w:rsidRPr="00DB6F82">
        <w:rPr>
          <w:rFonts w:cs="Arial"/>
          <w:i/>
          <w:sz w:val="20"/>
          <w:szCs w:val="20"/>
          <w:lang w:val="en" w:eastAsia="en-AU"/>
        </w:rPr>
        <w:t>Public Governance</w:t>
      </w:r>
      <w:r w:rsidR="001972B1">
        <w:rPr>
          <w:rFonts w:cs="Arial"/>
          <w:i/>
          <w:sz w:val="20"/>
          <w:szCs w:val="20"/>
          <w:lang w:val="en" w:eastAsia="en-AU"/>
        </w:rPr>
        <w:t>, Performance</w:t>
      </w:r>
      <w:r w:rsidR="00C14620" w:rsidRPr="00DB6F82">
        <w:rPr>
          <w:rFonts w:cs="Arial"/>
          <w:i/>
          <w:sz w:val="20"/>
          <w:szCs w:val="20"/>
          <w:lang w:val="en" w:eastAsia="en-AU"/>
        </w:rPr>
        <w:t xml:space="preserve"> and Accountability Act 2013</w:t>
      </w:r>
      <w:r w:rsidR="00C14620">
        <w:rPr>
          <w:rFonts w:cs="Arial"/>
          <w:sz w:val="20"/>
          <w:szCs w:val="20"/>
          <w:lang w:val="en" w:eastAsia="en-AU"/>
        </w:rPr>
        <w:t xml:space="preserve"> </w:t>
      </w:r>
      <w:r w:rsidR="00C14620" w:rsidRPr="00582E09">
        <w:rPr>
          <w:rFonts w:cs="Arial"/>
          <w:sz w:val="20"/>
          <w:szCs w:val="20"/>
          <w:lang w:val="en" w:eastAsia="en-AU"/>
        </w:rPr>
        <w:t>and</w:t>
      </w:r>
      <w:r w:rsidR="00532B37">
        <w:rPr>
          <w:rFonts w:cs="Arial"/>
          <w:sz w:val="20"/>
          <w:szCs w:val="20"/>
          <w:lang w:val="en" w:eastAsia="en-AU"/>
        </w:rPr>
        <w:br/>
      </w:r>
      <w:r w:rsidR="00C14620" w:rsidRPr="00582E09">
        <w:rPr>
          <w:rFonts w:cs="Arial"/>
          <w:sz w:val="20"/>
          <w:szCs w:val="20"/>
          <w:lang w:val="en" w:eastAsia="en-AU"/>
        </w:rPr>
        <w:t>is governed by a board that</w:t>
      </w:r>
      <w:r w:rsidR="007D2A46">
        <w:rPr>
          <w:rFonts w:cs="Arial"/>
          <w:sz w:val="20"/>
          <w:szCs w:val="20"/>
          <w:lang w:val="en" w:eastAsia="en-AU"/>
        </w:rPr>
        <w:t xml:space="preserve"> </w:t>
      </w:r>
      <w:r w:rsidR="00C14620" w:rsidRPr="00582E09">
        <w:rPr>
          <w:rFonts w:cs="Arial"/>
          <w:sz w:val="20"/>
          <w:szCs w:val="20"/>
          <w:lang w:val="en" w:eastAsia="en-AU"/>
        </w:rPr>
        <w:t>is appointed by the Minister for Government Services.</w:t>
      </w:r>
    </w:p>
    <w:p w14:paraId="1FD7E490" w14:textId="77777777" w:rsidR="00BB1193" w:rsidRDefault="00C14620" w:rsidP="00A526BE">
      <w:pPr>
        <w:spacing w:before="120" w:after="180" w:line="280" w:lineRule="atLeast"/>
        <w:rPr>
          <w:b/>
        </w:rPr>
        <w:sectPr w:rsidR="00BB1193" w:rsidSect="00BB1193">
          <w:footnotePr>
            <w:numRestart w:val="eachPage"/>
          </w:footnotePr>
          <w:pgSz w:w="11906" w:h="16838"/>
          <w:pgMar w:top="1440" w:right="1440" w:bottom="1440" w:left="1440" w:header="709" w:footer="709" w:gutter="0"/>
          <w:cols w:space="708"/>
          <w:docGrid w:linePitch="360"/>
        </w:sectPr>
      </w:pPr>
      <w:r w:rsidRPr="008A4185">
        <w:rPr>
          <w:b/>
        </w:rPr>
        <w:t>hearing.com.au</w:t>
      </w:r>
    </w:p>
    <w:p w14:paraId="65E9E2FE" w14:textId="77777777" w:rsidR="00C14620" w:rsidRPr="007E68AA" w:rsidRDefault="00C14620" w:rsidP="00C14620">
      <w:pPr>
        <w:pStyle w:val="Heading4"/>
        <w:spacing w:after="200"/>
        <w:rPr>
          <w:rFonts w:ascii="Georgia" w:hAnsi="Georgia"/>
          <w:b w:val="0"/>
          <w:i w:val="0"/>
          <w:sz w:val="36"/>
        </w:rPr>
      </w:pPr>
      <w:r w:rsidRPr="007E68AA">
        <w:rPr>
          <w:rFonts w:ascii="Georgia" w:hAnsi="Georgia"/>
          <w:b w:val="0"/>
          <w:i w:val="0"/>
          <w:sz w:val="36"/>
        </w:rPr>
        <w:lastRenderedPageBreak/>
        <w:t>Ministers and portfolio responsibilities</w:t>
      </w:r>
    </w:p>
    <w:p w14:paraId="58B6260E" w14:textId="67EB111C" w:rsidR="00C14620" w:rsidRDefault="00C14620" w:rsidP="00C14620">
      <w:pPr>
        <w:spacing w:after="0" w:line="240" w:lineRule="auto"/>
        <w:rPr>
          <w:rFonts w:ascii="Arial Narrow" w:eastAsia="Times New Roman" w:hAnsi="Arial Narrow" w:cs="Times New Roman"/>
          <w:b/>
          <w:bCs/>
          <w:sz w:val="20"/>
          <w:szCs w:val="18"/>
        </w:rPr>
      </w:pPr>
      <w:r w:rsidRPr="001655B8">
        <w:rPr>
          <w:rFonts w:ascii="Arial Narrow" w:eastAsia="Times New Roman" w:hAnsi="Arial Narrow" w:cs="Times New Roman"/>
          <w:b/>
          <w:bCs/>
          <w:sz w:val="20"/>
          <w:szCs w:val="18"/>
        </w:rPr>
        <w:t>Figure 1.2.1: Social Services portfolio as at 30 June 2020</w:t>
      </w:r>
    </w:p>
    <w:p w14:paraId="1A3BCB94" w14:textId="02A4A57F" w:rsidR="001655B8" w:rsidRDefault="001655B8" w:rsidP="004D499A">
      <w:pPr>
        <w:rPr>
          <w:rFonts w:ascii="Arial Narrow" w:hAnsi="Arial Narrow"/>
          <w:b/>
          <w:sz w:val="20"/>
          <w:szCs w:val="20"/>
          <w:highlight w:val="yellow"/>
        </w:rPr>
      </w:pPr>
      <w:r>
        <w:rPr>
          <w:noProof/>
          <w:lang w:eastAsia="en-AU"/>
        </w:rPr>
        <w:drawing>
          <wp:inline distT="0" distB="0" distL="0" distR="0" wp14:anchorId="726035EA" wp14:editId="55581B91">
            <wp:extent cx="4401820" cy="4888230"/>
            <wp:effectExtent l="0" t="0" r="0" b="7620"/>
            <wp:docPr id="12" name="Picture 12" descr="Figure 1.2.1 Social Services Portfolio: Minister for Families and Social Services, Senator the Hon Anne Ruston. Minister for the National Disability Insurance Scheme; Minister for Government Services, The Hon Stuart Robert MP. Assistant Minister for Children and Families, The Hon Michelle Landry MP. Assistant Minister for Community Housing, Homelessness and Community Services, The Hon Luke Howarth MP.&#10;Department of Social Services: Secretary, Ms Kathryn Campbell AO CSC. &#10;Portfolio bodies: Australian Institute of Family Studies, Director, Ms Anne Hollonds; NDIS Quality and Safeguards Commission, Commissioner, Mr Graeme Head AO; National Disability Insurance Agency, Chief Executive Officer, Mr Martin Hoffman; Services Australia, Chief Executive Officer, Ms Rebecca Skinner; Digital Transformation Agency, Chief Executive Officer, Mr Randall Brugeaud; Hearing Australia, Managing Director, Mr Kim Terrell." title="Figure 1.2.1 Social Services portfolio as at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67BB9.4E82A7C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401820" cy="4888230"/>
                    </a:xfrm>
                    <a:prstGeom prst="rect">
                      <a:avLst/>
                    </a:prstGeom>
                    <a:noFill/>
                    <a:ln>
                      <a:noFill/>
                    </a:ln>
                  </pic:spPr>
                </pic:pic>
              </a:graphicData>
            </a:graphic>
          </wp:inline>
        </w:drawing>
      </w:r>
    </w:p>
    <w:p w14:paraId="13A6078B" w14:textId="77777777" w:rsidR="00C14620" w:rsidRPr="007E68AA" w:rsidRDefault="00C14620" w:rsidP="00C14620">
      <w:pPr>
        <w:pStyle w:val="Heading4"/>
        <w:spacing w:after="200"/>
        <w:rPr>
          <w:rFonts w:ascii="Georgia" w:hAnsi="Georgia"/>
          <w:b w:val="0"/>
          <w:i w:val="0"/>
          <w:sz w:val="36"/>
        </w:rPr>
      </w:pPr>
      <w:r w:rsidRPr="007E68AA">
        <w:rPr>
          <w:rFonts w:ascii="Georgia" w:hAnsi="Georgia"/>
          <w:b w:val="0"/>
          <w:i w:val="0"/>
          <w:sz w:val="36"/>
        </w:rPr>
        <w:t>Changes to the Portfolio 201</w:t>
      </w:r>
      <w:r>
        <w:rPr>
          <w:rFonts w:ascii="Georgia" w:hAnsi="Georgia"/>
          <w:b w:val="0"/>
          <w:i w:val="0"/>
          <w:sz w:val="36"/>
        </w:rPr>
        <w:t>9</w:t>
      </w:r>
      <w:r w:rsidRPr="007E68AA">
        <w:rPr>
          <w:rFonts w:ascii="Georgia" w:hAnsi="Georgia"/>
          <w:b w:val="0"/>
          <w:i w:val="0"/>
          <w:sz w:val="36"/>
        </w:rPr>
        <w:t>–</w:t>
      </w:r>
      <w:r>
        <w:rPr>
          <w:rFonts w:ascii="Georgia" w:hAnsi="Georgia"/>
          <w:b w:val="0"/>
          <w:i w:val="0"/>
          <w:sz w:val="36"/>
        </w:rPr>
        <w:t>20</w:t>
      </w:r>
    </w:p>
    <w:p w14:paraId="637C0A34" w14:textId="7952CCF9" w:rsidR="00C14620" w:rsidRDefault="00C14620" w:rsidP="001C4F93">
      <w:pPr>
        <w:spacing w:before="120" w:after="180" w:line="280" w:lineRule="atLeast"/>
        <w:rPr>
          <w:rFonts w:cs="Arial"/>
          <w:sz w:val="20"/>
          <w:szCs w:val="20"/>
          <w:lang w:val="en" w:eastAsia="en-AU"/>
        </w:rPr>
      </w:pPr>
      <w:r w:rsidRPr="00582E09">
        <w:rPr>
          <w:rFonts w:cs="Arial"/>
          <w:sz w:val="20"/>
          <w:szCs w:val="20"/>
          <w:lang w:val="en" w:eastAsia="en-AU"/>
        </w:rPr>
        <w:t>Services Australia (formerly the Department of Human Services) was establishe</w:t>
      </w:r>
      <w:r w:rsidR="00CD78B4">
        <w:rPr>
          <w:rFonts w:cs="Arial"/>
          <w:sz w:val="20"/>
          <w:szCs w:val="20"/>
          <w:lang w:val="en" w:eastAsia="en-AU"/>
        </w:rPr>
        <w:t>d</w:t>
      </w:r>
      <w:r w:rsidR="002E5E06">
        <w:rPr>
          <w:rFonts w:cs="Arial"/>
          <w:sz w:val="20"/>
          <w:szCs w:val="20"/>
          <w:lang w:val="en" w:eastAsia="en-AU"/>
        </w:rPr>
        <w:t xml:space="preserve"> as a new</w:t>
      </w:r>
      <w:r w:rsidR="00532B37">
        <w:rPr>
          <w:rFonts w:cs="Arial"/>
          <w:sz w:val="20"/>
          <w:szCs w:val="20"/>
          <w:lang w:val="en" w:eastAsia="en-AU"/>
        </w:rPr>
        <w:br/>
      </w:r>
      <w:r w:rsidR="002E5E06">
        <w:rPr>
          <w:rFonts w:cs="Arial"/>
          <w:sz w:val="20"/>
          <w:szCs w:val="20"/>
          <w:lang w:val="en" w:eastAsia="en-AU"/>
        </w:rPr>
        <w:t>Executive Agency</w:t>
      </w:r>
      <w:r w:rsidRPr="00582E09">
        <w:rPr>
          <w:rFonts w:cs="Arial"/>
          <w:sz w:val="20"/>
          <w:szCs w:val="20"/>
          <w:lang w:val="en" w:eastAsia="en-AU"/>
        </w:rPr>
        <w:t xml:space="preserve"> within the Social Services Portfolio under the Administrative Arrangements Order issued</w:t>
      </w:r>
      <w:r w:rsidR="00532B37">
        <w:rPr>
          <w:rFonts w:cs="Arial"/>
          <w:sz w:val="20"/>
          <w:szCs w:val="20"/>
          <w:lang w:val="en" w:eastAsia="en-AU"/>
        </w:rPr>
        <w:t xml:space="preserve"> o</w:t>
      </w:r>
      <w:r w:rsidRPr="00582E09">
        <w:rPr>
          <w:rFonts w:cs="Arial"/>
          <w:sz w:val="20"/>
          <w:szCs w:val="20"/>
          <w:lang w:val="en" w:eastAsia="en-AU"/>
        </w:rPr>
        <w:t>n 5 December 2019, with effect from 1 February 2020.</w:t>
      </w:r>
      <w:r w:rsidR="000835C4">
        <w:rPr>
          <w:rFonts w:cs="Arial"/>
          <w:sz w:val="20"/>
          <w:szCs w:val="20"/>
          <w:lang w:val="en" w:eastAsia="en-AU"/>
        </w:rPr>
        <w:t xml:space="preserve"> </w:t>
      </w:r>
    </w:p>
    <w:p w14:paraId="4337D3C9" w14:textId="19D4B9DE" w:rsidR="00B434BB" w:rsidRDefault="00B434BB" w:rsidP="007603B0"/>
    <w:p w14:paraId="45E01F22" w14:textId="77777777" w:rsidR="00BB1193" w:rsidRDefault="00BB1193" w:rsidP="00C25FBF">
      <w:pPr>
        <w:pBdr>
          <w:bottom w:val="single" w:sz="48" w:space="0" w:color="404040" w:themeColor="text1" w:themeTint="BF"/>
        </w:pBdr>
        <w:tabs>
          <w:tab w:val="right" w:pos="8364"/>
        </w:tabs>
        <w:spacing w:before="60" w:after="60"/>
        <w:ind w:right="567"/>
        <w:rPr>
          <w:rFonts w:ascii="Georgia" w:hAnsi="Georgia" w:cs="Georgia"/>
          <w:color w:val="4BACC6" w:themeColor="accent5"/>
          <w:sz w:val="72"/>
          <w:szCs w:val="72"/>
        </w:rPr>
        <w:sectPr w:rsidR="00BB1193" w:rsidSect="00BB1193">
          <w:footnotePr>
            <w:numRestart w:val="eachPage"/>
          </w:footnotePr>
          <w:pgSz w:w="11906" w:h="16838"/>
          <w:pgMar w:top="1440" w:right="1440" w:bottom="1440" w:left="1440" w:header="709" w:footer="709" w:gutter="0"/>
          <w:cols w:space="708"/>
          <w:docGrid w:linePitch="360"/>
        </w:sectPr>
      </w:pPr>
      <w:bookmarkStart w:id="2" w:name="_Ref490207505"/>
      <w:bookmarkStart w:id="3" w:name="_Ref490207548"/>
    </w:p>
    <w:p w14:paraId="3ED80A27" w14:textId="2C153D5F" w:rsidR="00AD2997" w:rsidRPr="00054A67" w:rsidRDefault="00AD2997" w:rsidP="00C25FBF">
      <w:pPr>
        <w:pBdr>
          <w:bottom w:val="single" w:sz="48" w:space="0" w:color="404040" w:themeColor="text1" w:themeTint="BF"/>
        </w:pBdr>
        <w:tabs>
          <w:tab w:val="right" w:pos="8364"/>
        </w:tabs>
        <w:spacing w:before="60" w:after="60"/>
        <w:ind w:right="567"/>
        <w:rPr>
          <w:rFonts w:ascii="Georgia" w:hAnsi="Georgia" w:cs="Georgia"/>
          <w:color w:val="215868" w:themeColor="accent5" w:themeShade="80"/>
          <w:sz w:val="72"/>
          <w:szCs w:val="72"/>
        </w:rPr>
      </w:pPr>
      <w:r w:rsidRPr="00054A67">
        <w:rPr>
          <w:rFonts w:ascii="Georgia" w:hAnsi="Georgia" w:cs="Georgia"/>
          <w:color w:val="215868" w:themeColor="accent5" w:themeShade="80"/>
          <w:sz w:val="72"/>
          <w:szCs w:val="72"/>
        </w:rPr>
        <w:lastRenderedPageBreak/>
        <w:t>Part 2</w:t>
      </w:r>
    </w:p>
    <w:p w14:paraId="7D76EAD9" w14:textId="77777777" w:rsidR="00C25FBF" w:rsidRDefault="00C25FBF" w:rsidP="00AB7A4D">
      <w:pPr>
        <w:autoSpaceDE w:val="0"/>
        <w:autoSpaceDN w:val="0"/>
        <w:adjustRightInd w:val="0"/>
        <w:spacing w:before="120" w:after="120" w:line="240" w:lineRule="auto"/>
        <w:rPr>
          <w:rFonts w:ascii="Georgia" w:hAnsi="Georgia" w:cs="Arial"/>
          <w:color w:val="92CDDC" w:themeColor="accent5" w:themeTint="99"/>
          <w:sz w:val="72"/>
          <w:szCs w:val="72"/>
        </w:rPr>
      </w:pPr>
    </w:p>
    <w:p w14:paraId="5472B3F3" w14:textId="1BBEB01C" w:rsidR="00AB7A4D" w:rsidRPr="00054A67" w:rsidRDefault="00AB7A4D" w:rsidP="00AB7A4D">
      <w:pPr>
        <w:autoSpaceDE w:val="0"/>
        <w:autoSpaceDN w:val="0"/>
        <w:adjustRightInd w:val="0"/>
        <w:spacing w:before="120" w:after="120" w:line="240" w:lineRule="auto"/>
        <w:rPr>
          <w:rFonts w:ascii="Georgia" w:hAnsi="Georgia" w:cs="Arial"/>
          <w:color w:val="215868" w:themeColor="accent5" w:themeShade="80"/>
          <w:sz w:val="72"/>
          <w:szCs w:val="72"/>
        </w:rPr>
      </w:pPr>
      <w:r w:rsidRPr="00054A67">
        <w:rPr>
          <w:rFonts w:ascii="Georgia" w:hAnsi="Georgia" w:cs="Arial"/>
          <w:color w:val="215868" w:themeColor="accent5" w:themeShade="80"/>
          <w:sz w:val="72"/>
          <w:szCs w:val="72"/>
        </w:rPr>
        <w:t>Annual Performance Statement</w:t>
      </w:r>
    </w:p>
    <w:p w14:paraId="5E06448F" w14:textId="4AEBBC48" w:rsidR="00585891" w:rsidRDefault="00585891" w:rsidP="00585891">
      <w:pPr>
        <w:tabs>
          <w:tab w:val="left" w:pos="2268"/>
          <w:tab w:val="right" w:pos="7938"/>
          <w:tab w:val="left" w:pos="8505"/>
        </w:tabs>
        <w:ind w:right="-397"/>
        <w:rPr>
          <w:sz w:val="24"/>
        </w:rPr>
      </w:pPr>
      <w:bookmarkStart w:id="4" w:name="_Ref490724624"/>
    </w:p>
    <w:p w14:paraId="6B171CB2" w14:textId="3B8FE2D9" w:rsidR="00585891" w:rsidRPr="00481422" w:rsidRDefault="00585891" w:rsidP="00585891">
      <w:pPr>
        <w:tabs>
          <w:tab w:val="left" w:pos="2268"/>
          <w:tab w:val="right" w:pos="7938"/>
          <w:tab w:val="left" w:pos="8505"/>
        </w:tabs>
        <w:ind w:right="-397"/>
        <w:rPr>
          <w:sz w:val="24"/>
        </w:rPr>
      </w:pPr>
      <w:r w:rsidRPr="00481422">
        <w:rPr>
          <w:sz w:val="28"/>
          <w:szCs w:val="28"/>
        </w:rPr>
        <w:t>Introduction</w:t>
      </w:r>
      <w:r w:rsidRPr="00481422">
        <w:rPr>
          <w:sz w:val="28"/>
          <w:szCs w:val="28"/>
        </w:rPr>
        <w:tab/>
      </w:r>
      <w:r w:rsidRPr="00481422">
        <w:rPr>
          <w:sz w:val="28"/>
          <w:szCs w:val="28"/>
        </w:rPr>
        <w:tab/>
      </w:r>
      <w:r w:rsidRPr="00481422">
        <w:rPr>
          <w:sz w:val="28"/>
          <w:szCs w:val="28"/>
        </w:rPr>
        <w:tab/>
      </w:r>
      <w:r w:rsidR="00665647" w:rsidRPr="00481422">
        <w:rPr>
          <w:sz w:val="28"/>
          <w:szCs w:val="28"/>
        </w:rPr>
        <w:t>14</w:t>
      </w:r>
    </w:p>
    <w:p w14:paraId="1D6FDF7D" w14:textId="0E2BA423" w:rsidR="00585891" w:rsidRPr="00481422" w:rsidRDefault="00585891" w:rsidP="00585891">
      <w:pPr>
        <w:tabs>
          <w:tab w:val="left" w:pos="2268"/>
          <w:tab w:val="right" w:pos="7938"/>
          <w:tab w:val="left" w:pos="8505"/>
        </w:tabs>
        <w:ind w:right="-397"/>
        <w:rPr>
          <w:sz w:val="28"/>
          <w:szCs w:val="28"/>
        </w:rPr>
      </w:pPr>
      <w:r w:rsidRPr="00481422">
        <w:rPr>
          <w:sz w:val="28"/>
          <w:szCs w:val="28"/>
        </w:rPr>
        <w:t>Chapter 2.1 Purpose 1 – Social Security</w:t>
      </w:r>
      <w:r w:rsidRPr="00481422">
        <w:rPr>
          <w:sz w:val="28"/>
          <w:szCs w:val="28"/>
        </w:rPr>
        <w:tab/>
      </w:r>
      <w:r w:rsidR="00641454" w:rsidRPr="00481422">
        <w:rPr>
          <w:sz w:val="28"/>
          <w:szCs w:val="28"/>
        </w:rPr>
        <w:tab/>
      </w:r>
      <w:r w:rsidR="00665647" w:rsidRPr="00481422">
        <w:rPr>
          <w:sz w:val="28"/>
          <w:szCs w:val="28"/>
        </w:rPr>
        <w:t>18</w:t>
      </w:r>
    </w:p>
    <w:p w14:paraId="67DD82F8" w14:textId="6F7AC23E" w:rsidR="00585891" w:rsidRPr="00481422" w:rsidRDefault="00585891" w:rsidP="00585891">
      <w:pPr>
        <w:tabs>
          <w:tab w:val="left" w:pos="2268"/>
          <w:tab w:val="right" w:pos="7938"/>
          <w:tab w:val="left" w:pos="8505"/>
        </w:tabs>
        <w:ind w:right="-397"/>
        <w:rPr>
          <w:sz w:val="28"/>
          <w:szCs w:val="28"/>
        </w:rPr>
      </w:pPr>
      <w:r w:rsidRPr="00481422">
        <w:rPr>
          <w:sz w:val="28"/>
          <w:szCs w:val="28"/>
        </w:rPr>
        <w:t xml:space="preserve">Chapter </w:t>
      </w:r>
      <w:r w:rsidR="00641454" w:rsidRPr="00481422">
        <w:rPr>
          <w:sz w:val="28"/>
          <w:szCs w:val="28"/>
        </w:rPr>
        <w:t>2</w:t>
      </w:r>
      <w:r w:rsidRPr="00481422">
        <w:rPr>
          <w:sz w:val="28"/>
          <w:szCs w:val="28"/>
        </w:rPr>
        <w:t xml:space="preserve">.2 </w:t>
      </w:r>
      <w:r w:rsidR="00641454" w:rsidRPr="00481422">
        <w:rPr>
          <w:sz w:val="28"/>
          <w:szCs w:val="28"/>
        </w:rPr>
        <w:t>Purpose 2 – Families and Communities</w:t>
      </w:r>
      <w:r w:rsidRPr="00481422">
        <w:rPr>
          <w:sz w:val="28"/>
          <w:szCs w:val="28"/>
        </w:rPr>
        <w:tab/>
      </w:r>
      <w:r w:rsidRPr="00481422">
        <w:rPr>
          <w:sz w:val="28"/>
          <w:szCs w:val="28"/>
        </w:rPr>
        <w:tab/>
      </w:r>
      <w:r w:rsidR="00665647" w:rsidRPr="00481422">
        <w:rPr>
          <w:sz w:val="28"/>
          <w:szCs w:val="28"/>
        </w:rPr>
        <w:t>47</w:t>
      </w:r>
    </w:p>
    <w:p w14:paraId="3EDA4A24" w14:textId="6B453F01" w:rsidR="00641454" w:rsidRPr="00481422" w:rsidRDefault="00641454" w:rsidP="00585891">
      <w:pPr>
        <w:tabs>
          <w:tab w:val="left" w:pos="2268"/>
          <w:tab w:val="right" w:pos="7938"/>
          <w:tab w:val="left" w:pos="8505"/>
        </w:tabs>
        <w:ind w:right="-397"/>
        <w:rPr>
          <w:sz w:val="28"/>
          <w:szCs w:val="28"/>
        </w:rPr>
      </w:pPr>
      <w:r w:rsidRPr="00481422">
        <w:rPr>
          <w:sz w:val="28"/>
          <w:szCs w:val="28"/>
        </w:rPr>
        <w:t>Chapter 2.3 Purpose 3 – Disability and Carers</w:t>
      </w:r>
      <w:r w:rsidRPr="00481422">
        <w:rPr>
          <w:sz w:val="28"/>
          <w:szCs w:val="28"/>
        </w:rPr>
        <w:tab/>
      </w:r>
      <w:r w:rsidRPr="00481422">
        <w:rPr>
          <w:sz w:val="28"/>
          <w:szCs w:val="28"/>
        </w:rPr>
        <w:tab/>
      </w:r>
      <w:r w:rsidR="00665647" w:rsidRPr="00481422">
        <w:rPr>
          <w:sz w:val="28"/>
          <w:szCs w:val="28"/>
        </w:rPr>
        <w:t>71</w:t>
      </w:r>
    </w:p>
    <w:p w14:paraId="20EDA406" w14:textId="1767F6CB" w:rsidR="00641454" w:rsidRPr="00641454" w:rsidRDefault="00641454" w:rsidP="00585891">
      <w:pPr>
        <w:tabs>
          <w:tab w:val="left" w:pos="2268"/>
          <w:tab w:val="right" w:pos="7938"/>
          <w:tab w:val="left" w:pos="8505"/>
        </w:tabs>
        <w:ind w:right="-397"/>
        <w:rPr>
          <w:sz w:val="28"/>
          <w:szCs w:val="28"/>
        </w:rPr>
      </w:pPr>
      <w:r w:rsidRPr="00481422">
        <w:rPr>
          <w:sz w:val="28"/>
          <w:szCs w:val="28"/>
        </w:rPr>
        <w:t>Chapter 2.4</w:t>
      </w:r>
      <w:r>
        <w:rPr>
          <w:sz w:val="28"/>
          <w:szCs w:val="28"/>
        </w:rPr>
        <w:t xml:space="preserve"> Purpose 4 – Housing</w:t>
      </w:r>
      <w:r>
        <w:rPr>
          <w:sz w:val="28"/>
          <w:szCs w:val="28"/>
        </w:rPr>
        <w:tab/>
      </w:r>
      <w:r>
        <w:rPr>
          <w:sz w:val="28"/>
          <w:szCs w:val="28"/>
        </w:rPr>
        <w:tab/>
      </w:r>
      <w:r w:rsidR="00665647">
        <w:rPr>
          <w:sz w:val="28"/>
          <w:szCs w:val="28"/>
        </w:rPr>
        <w:t>84</w:t>
      </w:r>
    </w:p>
    <w:p w14:paraId="4C7F85FA" w14:textId="77777777" w:rsidR="008B279E" w:rsidRDefault="008B279E">
      <w:pPr>
        <w:rPr>
          <w:sz w:val="24"/>
        </w:rPr>
      </w:pPr>
    </w:p>
    <w:p w14:paraId="7D9D2775" w14:textId="77777777" w:rsidR="00585891" w:rsidRDefault="00585891" w:rsidP="001404F7">
      <w:pPr>
        <w:keepNext/>
        <w:spacing w:before="200"/>
        <w:outlineLvl w:val="4"/>
        <w:rPr>
          <w:rFonts w:eastAsia="Times New Roman" w:cstheme="majorBidi"/>
          <w:bCs/>
          <w:sz w:val="28"/>
          <w:lang w:eastAsia="en-AU"/>
        </w:rPr>
      </w:pPr>
    </w:p>
    <w:p w14:paraId="5D4EF112" w14:textId="77777777" w:rsidR="00585891" w:rsidRDefault="00585891" w:rsidP="00585891">
      <w:pPr>
        <w:spacing w:before="200" w:after="240"/>
        <w:outlineLvl w:val="3"/>
        <w:rPr>
          <w:rFonts w:ascii="Georgia" w:eastAsiaTheme="majorEastAsia" w:hAnsi="Georgia" w:cstheme="majorBidi"/>
          <w:bCs/>
          <w:iCs/>
          <w:sz w:val="36"/>
        </w:rPr>
        <w:sectPr w:rsidR="00585891" w:rsidSect="00BB1193">
          <w:footnotePr>
            <w:numRestart w:val="eachPage"/>
          </w:footnotePr>
          <w:pgSz w:w="11906" w:h="16838"/>
          <w:pgMar w:top="1440" w:right="1440" w:bottom="1440" w:left="1440" w:header="709" w:footer="709" w:gutter="0"/>
          <w:cols w:space="708"/>
          <w:docGrid w:linePitch="360"/>
        </w:sectPr>
      </w:pPr>
    </w:p>
    <w:p w14:paraId="2B648882" w14:textId="77777777" w:rsidR="00641454" w:rsidRDefault="00641454">
      <w:pPr>
        <w:rPr>
          <w:rFonts w:ascii="Georgia" w:eastAsiaTheme="majorEastAsia" w:hAnsi="Georgia" w:cstheme="majorBidi"/>
          <w:bCs/>
          <w:iCs/>
          <w:sz w:val="36"/>
        </w:rPr>
      </w:pPr>
      <w:r>
        <w:rPr>
          <w:rFonts w:ascii="Georgia" w:eastAsiaTheme="majorEastAsia" w:hAnsi="Georgia" w:cstheme="majorBidi"/>
          <w:bCs/>
          <w:iCs/>
          <w:sz w:val="36"/>
        </w:rPr>
        <w:lastRenderedPageBreak/>
        <w:t>Department of Social Services</w:t>
      </w:r>
    </w:p>
    <w:p w14:paraId="49080D87" w14:textId="77777777" w:rsidR="00641454" w:rsidRDefault="00641454">
      <w:pPr>
        <w:rPr>
          <w:rFonts w:ascii="Georgia" w:eastAsiaTheme="majorEastAsia" w:hAnsi="Georgia" w:cstheme="majorBidi"/>
          <w:bCs/>
          <w:iCs/>
          <w:sz w:val="36"/>
        </w:rPr>
      </w:pPr>
    </w:p>
    <w:p w14:paraId="343B4374" w14:textId="77777777" w:rsidR="00641454" w:rsidRPr="00936562" w:rsidRDefault="00641454" w:rsidP="00641454">
      <w:pPr>
        <w:rPr>
          <w:sz w:val="20"/>
          <w:szCs w:val="20"/>
        </w:rPr>
      </w:pPr>
      <w:r w:rsidRPr="00936562">
        <w:rPr>
          <w:sz w:val="20"/>
          <w:szCs w:val="20"/>
        </w:rPr>
        <w:t>Introductory statement</w:t>
      </w:r>
    </w:p>
    <w:p w14:paraId="609795D3" w14:textId="172DECAE" w:rsidR="00641454" w:rsidRPr="00036CA1" w:rsidRDefault="00641454" w:rsidP="00641454">
      <w:pPr>
        <w:tabs>
          <w:tab w:val="left" w:pos="2835"/>
        </w:tabs>
        <w:rPr>
          <w:rFonts w:eastAsiaTheme="majorEastAsia"/>
          <w:sz w:val="20"/>
          <w:szCs w:val="20"/>
        </w:rPr>
      </w:pPr>
      <w:r w:rsidRPr="00036CA1">
        <w:rPr>
          <w:sz w:val="20"/>
          <w:szCs w:val="20"/>
        </w:rPr>
        <w:t xml:space="preserve">I, Kathryn Campbell, as the accountable authority of the Department of Social Services, present the </w:t>
      </w:r>
      <w:r w:rsidRPr="00036CA1">
        <w:rPr>
          <w:sz w:val="20"/>
          <w:szCs w:val="20"/>
        </w:rPr>
        <w:br/>
        <w:t>201</w:t>
      </w:r>
      <w:r>
        <w:rPr>
          <w:sz w:val="20"/>
          <w:szCs w:val="20"/>
        </w:rPr>
        <w:t>9</w:t>
      </w:r>
      <w:r w:rsidRPr="00036CA1">
        <w:rPr>
          <w:sz w:val="20"/>
          <w:szCs w:val="20"/>
        </w:rPr>
        <w:t>–</w:t>
      </w:r>
      <w:r>
        <w:rPr>
          <w:sz w:val="20"/>
          <w:szCs w:val="20"/>
        </w:rPr>
        <w:t>20</w:t>
      </w:r>
      <w:r w:rsidRPr="00036CA1">
        <w:rPr>
          <w:sz w:val="20"/>
          <w:szCs w:val="20"/>
        </w:rPr>
        <w:t xml:space="preserve"> Annual Performance Statement of the Department of Social Services, as required under paragraph 39(1)(a) of the </w:t>
      </w:r>
      <w:r w:rsidRPr="00036CA1">
        <w:rPr>
          <w:i/>
          <w:sz w:val="20"/>
          <w:szCs w:val="20"/>
        </w:rPr>
        <w:t>Public Governance, Performance and Accountability Act 2013.</w:t>
      </w:r>
      <w:r w:rsidRPr="00036CA1">
        <w:rPr>
          <w:sz w:val="20"/>
          <w:szCs w:val="20"/>
        </w:rPr>
        <w:t xml:space="preserve"> In my opinion, this annual performance statement is based on properly maintained records, accurately reflects the performance of the entity, and complies with subsection 39(2) of the </w:t>
      </w:r>
      <w:r w:rsidRPr="00036CA1">
        <w:rPr>
          <w:i/>
          <w:sz w:val="20"/>
          <w:szCs w:val="20"/>
        </w:rPr>
        <w:t>Public Governance, Performance and Accountability Act 2013</w:t>
      </w:r>
      <w:r w:rsidRPr="00036CA1">
        <w:rPr>
          <w:sz w:val="20"/>
          <w:szCs w:val="20"/>
        </w:rPr>
        <w:t>.</w:t>
      </w:r>
    </w:p>
    <w:p w14:paraId="0A2C1A36" w14:textId="26CF585B" w:rsidR="00641454" w:rsidRDefault="008A4064" w:rsidP="00641454">
      <w:pPr>
        <w:tabs>
          <w:tab w:val="left" w:pos="2835"/>
        </w:tabs>
        <w:rPr>
          <w:sz w:val="20"/>
        </w:rPr>
      </w:pPr>
      <w:r>
        <w:rPr>
          <w:noProof/>
          <w:sz w:val="20"/>
          <w:lang w:eastAsia="en-AU"/>
        </w:rPr>
        <w:drawing>
          <wp:inline distT="0" distB="0" distL="0" distR="0" wp14:anchorId="78C67A0C" wp14:editId="781F1618">
            <wp:extent cx="2974975" cy="554990"/>
            <wp:effectExtent l="0" t="0" r="0" b="0"/>
            <wp:docPr id="30" name="Picture 30" descr="copy of signature, Kathryn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4975" cy="554990"/>
                    </a:xfrm>
                    <a:prstGeom prst="rect">
                      <a:avLst/>
                    </a:prstGeom>
                    <a:noFill/>
                  </pic:spPr>
                </pic:pic>
              </a:graphicData>
            </a:graphic>
          </wp:inline>
        </w:drawing>
      </w:r>
    </w:p>
    <w:p w14:paraId="7A6760D0" w14:textId="77777777" w:rsidR="00641454" w:rsidRPr="00036CA1" w:rsidRDefault="00641454" w:rsidP="00641454">
      <w:pPr>
        <w:tabs>
          <w:tab w:val="left" w:pos="2835"/>
        </w:tabs>
        <w:spacing w:after="0"/>
        <w:rPr>
          <w:sz w:val="20"/>
          <w:szCs w:val="20"/>
        </w:rPr>
      </w:pPr>
      <w:r w:rsidRPr="00036CA1">
        <w:rPr>
          <w:sz w:val="20"/>
          <w:szCs w:val="20"/>
        </w:rPr>
        <w:t>Kathryn Campbell</w:t>
      </w:r>
      <w:r>
        <w:rPr>
          <w:sz w:val="20"/>
          <w:szCs w:val="20"/>
        </w:rPr>
        <w:t xml:space="preserve"> AO CSC</w:t>
      </w:r>
    </w:p>
    <w:p w14:paraId="6AF9F4E9" w14:textId="77777777" w:rsidR="00641454" w:rsidRPr="00036CA1" w:rsidRDefault="00641454" w:rsidP="00641454">
      <w:pPr>
        <w:tabs>
          <w:tab w:val="left" w:pos="2835"/>
        </w:tabs>
        <w:spacing w:line="240" w:lineRule="auto"/>
        <w:rPr>
          <w:sz w:val="20"/>
          <w:szCs w:val="20"/>
        </w:rPr>
      </w:pPr>
      <w:r w:rsidRPr="00036CA1">
        <w:rPr>
          <w:sz w:val="20"/>
          <w:szCs w:val="20"/>
        </w:rPr>
        <w:t>Secretary</w:t>
      </w:r>
    </w:p>
    <w:p w14:paraId="39511DDC" w14:textId="0E99DEDF" w:rsidR="00641454" w:rsidRDefault="008A4064" w:rsidP="00641454">
      <w:pPr>
        <w:rPr>
          <w:rFonts w:ascii="Georgia" w:eastAsiaTheme="majorEastAsia" w:hAnsi="Georgia" w:cstheme="majorBidi"/>
          <w:bCs/>
          <w:iCs/>
          <w:sz w:val="36"/>
        </w:rPr>
      </w:pPr>
      <w:r>
        <w:rPr>
          <w:noProof/>
          <w:sz w:val="20"/>
          <w:szCs w:val="20"/>
          <w:lang w:eastAsia="en-AU"/>
        </w:rPr>
        <w:t>15</w:t>
      </w:r>
      <w:r w:rsidR="00641454">
        <w:rPr>
          <w:sz w:val="20"/>
          <w:szCs w:val="20"/>
        </w:rPr>
        <w:t xml:space="preserve"> October 2020</w:t>
      </w:r>
    </w:p>
    <w:p w14:paraId="32328E0B" w14:textId="77777777" w:rsidR="00F5419E" w:rsidRDefault="00F5419E" w:rsidP="00F16F8B">
      <w:pPr>
        <w:rPr>
          <w:sz w:val="20"/>
        </w:rPr>
        <w:sectPr w:rsidR="00F5419E" w:rsidSect="00585891">
          <w:footnotePr>
            <w:numRestart w:val="eachPage"/>
          </w:footnotePr>
          <w:pgSz w:w="11906" w:h="16838"/>
          <w:pgMar w:top="1440" w:right="1440" w:bottom="1440" w:left="1440" w:header="709" w:footer="709" w:gutter="0"/>
          <w:cols w:space="708"/>
          <w:docGrid w:linePitch="360"/>
        </w:sectPr>
      </w:pPr>
    </w:p>
    <w:p w14:paraId="7BF5950D" w14:textId="77777777" w:rsidR="00F5419E" w:rsidRPr="009E7B26" w:rsidRDefault="00F5419E" w:rsidP="00F5419E">
      <w:pPr>
        <w:spacing w:after="0" w:line="280" w:lineRule="atLeast"/>
        <w:outlineLvl w:val="1"/>
        <w:rPr>
          <w:rFonts w:ascii="Georgia" w:eastAsiaTheme="majorEastAsia" w:hAnsi="Georgia" w:cstheme="majorBidi"/>
          <w:bCs/>
          <w:color w:val="005A70"/>
          <w:sz w:val="52"/>
          <w:szCs w:val="26"/>
        </w:rPr>
      </w:pPr>
      <w:r w:rsidRPr="009E7B26">
        <w:rPr>
          <w:rFonts w:ascii="Georgia" w:eastAsiaTheme="majorEastAsia" w:hAnsi="Georgia" w:cstheme="majorBidi"/>
          <w:bCs/>
          <w:color w:val="005A70"/>
          <w:sz w:val="52"/>
          <w:szCs w:val="26"/>
        </w:rPr>
        <w:lastRenderedPageBreak/>
        <w:t>Our performance</w:t>
      </w:r>
    </w:p>
    <w:p w14:paraId="1354EAD2" w14:textId="77777777" w:rsidR="00F5419E" w:rsidRDefault="00F5419E" w:rsidP="00F5419E">
      <w:pPr>
        <w:rPr>
          <w:sz w:val="20"/>
        </w:rPr>
      </w:pPr>
    </w:p>
    <w:p w14:paraId="213BA620" w14:textId="77777777" w:rsidR="0025082B" w:rsidRPr="00491417" w:rsidRDefault="0025082B" w:rsidP="0025082B">
      <w:pPr>
        <w:rPr>
          <w:sz w:val="20"/>
        </w:rPr>
      </w:pPr>
      <w:r w:rsidRPr="00491417">
        <w:rPr>
          <w:sz w:val="20"/>
        </w:rPr>
        <w:t xml:space="preserve">The 2019-20 Annual Performance Statement </w:t>
      </w:r>
      <w:r>
        <w:rPr>
          <w:sz w:val="20"/>
        </w:rPr>
        <w:t xml:space="preserve">outlines the </w:t>
      </w:r>
      <w:r w:rsidRPr="00491417">
        <w:rPr>
          <w:sz w:val="20"/>
        </w:rPr>
        <w:t>department’s</w:t>
      </w:r>
      <w:r>
        <w:rPr>
          <w:sz w:val="20"/>
        </w:rPr>
        <w:t xml:space="preserve"> performance against its</w:t>
      </w:r>
      <w:r w:rsidRPr="00491417">
        <w:rPr>
          <w:sz w:val="20"/>
        </w:rPr>
        <w:t xml:space="preserve"> outcomes, programs and key activities. The performance criteria are set out in the</w:t>
      </w:r>
      <w:r>
        <w:rPr>
          <w:sz w:val="20"/>
        </w:rPr>
        <w:t xml:space="preserve"> </w:t>
      </w:r>
      <w:r w:rsidRPr="00491417">
        <w:rPr>
          <w:sz w:val="20"/>
        </w:rPr>
        <w:t>2019-20 Portfolio Budget Statements and the Corporate Plan</w:t>
      </w:r>
      <w:r>
        <w:rPr>
          <w:sz w:val="20"/>
        </w:rPr>
        <w:t xml:space="preserve"> </w:t>
      </w:r>
      <w:r w:rsidRPr="00491417">
        <w:rPr>
          <w:sz w:val="20"/>
        </w:rPr>
        <w:t xml:space="preserve">2019-20. </w:t>
      </w:r>
    </w:p>
    <w:p w14:paraId="0860EF0C" w14:textId="77777777" w:rsidR="0025082B" w:rsidRDefault="0025082B" w:rsidP="0025082B">
      <w:pPr>
        <w:rPr>
          <w:sz w:val="20"/>
        </w:rPr>
      </w:pPr>
      <w:r>
        <w:rPr>
          <w:sz w:val="20"/>
        </w:rPr>
        <w:t xml:space="preserve">This year </w:t>
      </w:r>
      <w:r w:rsidRPr="00491417">
        <w:rPr>
          <w:sz w:val="20"/>
        </w:rPr>
        <w:t>has been a time of significant challenge</w:t>
      </w:r>
      <w:r>
        <w:rPr>
          <w:sz w:val="20"/>
        </w:rPr>
        <w:t xml:space="preserve"> and adversity</w:t>
      </w:r>
      <w:r w:rsidRPr="00491417">
        <w:rPr>
          <w:sz w:val="20"/>
        </w:rPr>
        <w:t xml:space="preserve"> in Australia. The bushfires and the</w:t>
      </w:r>
      <w:r>
        <w:rPr>
          <w:sz w:val="20"/>
        </w:rPr>
        <w:br/>
      </w:r>
      <w:r w:rsidRPr="00491417">
        <w:rPr>
          <w:sz w:val="20"/>
        </w:rPr>
        <w:t xml:space="preserve">COVID-19 pandemic </w:t>
      </w:r>
      <w:r>
        <w:rPr>
          <w:sz w:val="20"/>
        </w:rPr>
        <w:t xml:space="preserve">have had ongoing devastating impacts on individuals, families and communities. They </w:t>
      </w:r>
      <w:r w:rsidRPr="00491417">
        <w:rPr>
          <w:sz w:val="20"/>
        </w:rPr>
        <w:t>required urgent responses from the Government and</w:t>
      </w:r>
      <w:r>
        <w:rPr>
          <w:sz w:val="20"/>
        </w:rPr>
        <w:t xml:space="preserve">, by extension, </w:t>
      </w:r>
      <w:r w:rsidRPr="00491417">
        <w:rPr>
          <w:sz w:val="20"/>
        </w:rPr>
        <w:t>the department</w:t>
      </w:r>
      <w:r>
        <w:rPr>
          <w:sz w:val="20"/>
        </w:rPr>
        <w:t>. These events had a</w:t>
      </w:r>
      <w:r w:rsidRPr="00491417">
        <w:rPr>
          <w:sz w:val="20"/>
        </w:rPr>
        <w:t xml:space="preserve"> significant impact on </w:t>
      </w:r>
      <w:r>
        <w:rPr>
          <w:sz w:val="20"/>
        </w:rPr>
        <w:t xml:space="preserve">the department’s </w:t>
      </w:r>
      <w:r w:rsidRPr="00491417">
        <w:rPr>
          <w:sz w:val="20"/>
        </w:rPr>
        <w:t>operations</w:t>
      </w:r>
      <w:r>
        <w:rPr>
          <w:sz w:val="20"/>
        </w:rPr>
        <w:t xml:space="preserve"> and required resources to be reprioritised and quickly moved to work on emerging critical activities</w:t>
      </w:r>
      <w:r w:rsidRPr="00491417">
        <w:rPr>
          <w:sz w:val="20"/>
        </w:rPr>
        <w:t>.</w:t>
      </w:r>
      <w:r>
        <w:rPr>
          <w:sz w:val="20"/>
        </w:rPr>
        <w:t xml:space="preserve"> Through these events the importance of the department’s mission to improve the social and economic wellbeing of people has been paramount.</w:t>
      </w:r>
    </w:p>
    <w:p w14:paraId="09BF5589" w14:textId="77777777" w:rsidR="0025082B" w:rsidRDefault="0025082B" w:rsidP="0025082B">
      <w:pPr>
        <w:rPr>
          <w:sz w:val="20"/>
        </w:rPr>
      </w:pPr>
      <w:r>
        <w:rPr>
          <w:sz w:val="20"/>
        </w:rPr>
        <w:t>In the context of the national emergencies, t</w:t>
      </w:r>
      <w:r w:rsidRPr="00491417">
        <w:rPr>
          <w:sz w:val="20"/>
        </w:rPr>
        <w:t>he department developed new policies to enable existing payments</w:t>
      </w:r>
      <w:r>
        <w:rPr>
          <w:sz w:val="20"/>
        </w:rPr>
        <w:t xml:space="preserve"> and services</w:t>
      </w:r>
      <w:r w:rsidRPr="00491417">
        <w:rPr>
          <w:sz w:val="20"/>
        </w:rPr>
        <w:t xml:space="preserve"> to be adapted, and was responsive in facilitating temporary payments</w:t>
      </w:r>
      <w:r>
        <w:rPr>
          <w:sz w:val="20"/>
        </w:rPr>
        <w:t xml:space="preserve"> and services </w:t>
      </w:r>
      <w:r w:rsidRPr="00491417">
        <w:rPr>
          <w:sz w:val="20"/>
        </w:rPr>
        <w:t>to support Australians in these unprecedented times.</w:t>
      </w:r>
      <w:r w:rsidRPr="003A1C45">
        <w:rPr>
          <w:sz w:val="20"/>
        </w:rPr>
        <w:t xml:space="preserve"> </w:t>
      </w:r>
      <w:r>
        <w:rPr>
          <w:sz w:val="20"/>
        </w:rPr>
        <w:t xml:space="preserve">This work included: </w:t>
      </w:r>
    </w:p>
    <w:p w14:paraId="0C4128C3" w14:textId="77777777" w:rsidR="0025082B" w:rsidRPr="00837DC9" w:rsidRDefault="0025082B" w:rsidP="0025082B">
      <w:pPr>
        <w:pStyle w:val="ListParagraph"/>
        <w:numPr>
          <w:ilvl w:val="0"/>
          <w:numId w:val="119"/>
        </w:numPr>
        <w:rPr>
          <w:sz w:val="20"/>
        </w:rPr>
      </w:pPr>
      <w:r w:rsidRPr="00837DC9">
        <w:rPr>
          <w:sz w:val="20"/>
        </w:rPr>
        <w:t>developing the Coronavirus Supplement and introduc</w:t>
      </w:r>
      <w:r>
        <w:rPr>
          <w:sz w:val="20"/>
        </w:rPr>
        <w:t>ing</w:t>
      </w:r>
      <w:r w:rsidRPr="00837DC9">
        <w:rPr>
          <w:sz w:val="20"/>
        </w:rPr>
        <w:t xml:space="preserve"> the </w:t>
      </w:r>
      <w:proofErr w:type="spellStart"/>
      <w:r w:rsidRPr="00837DC9">
        <w:rPr>
          <w:sz w:val="20"/>
        </w:rPr>
        <w:t>JobSeeker</w:t>
      </w:r>
      <w:proofErr w:type="spellEnd"/>
      <w:r w:rsidRPr="00837DC9">
        <w:rPr>
          <w:sz w:val="20"/>
        </w:rPr>
        <w:t xml:space="preserve"> Payment </w:t>
      </w:r>
    </w:p>
    <w:p w14:paraId="3AC578F6" w14:textId="77777777" w:rsidR="0025082B" w:rsidRDefault="0025082B" w:rsidP="0025082B">
      <w:pPr>
        <w:pStyle w:val="ListParagraph"/>
        <w:numPr>
          <w:ilvl w:val="0"/>
          <w:numId w:val="119"/>
        </w:numPr>
        <w:rPr>
          <w:sz w:val="20"/>
        </w:rPr>
      </w:pPr>
      <w:r>
        <w:rPr>
          <w:sz w:val="20"/>
        </w:rPr>
        <w:t xml:space="preserve">working with </w:t>
      </w:r>
      <w:r w:rsidRPr="00491417">
        <w:rPr>
          <w:sz w:val="20"/>
        </w:rPr>
        <w:t>third party community organisations</w:t>
      </w:r>
      <w:r>
        <w:rPr>
          <w:sz w:val="20"/>
        </w:rPr>
        <w:t xml:space="preserve"> to ensure enhanced levels of funding and services were provided </w:t>
      </w:r>
      <w:r w:rsidRPr="00491417">
        <w:rPr>
          <w:sz w:val="20"/>
        </w:rPr>
        <w:t>to support Australians in need</w:t>
      </w:r>
      <w:r>
        <w:rPr>
          <w:sz w:val="20"/>
        </w:rPr>
        <w:t>, and</w:t>
      </w:r>
    </w:p>
    <w:p w14:paraId="44BE5114" w14:textId="77777777" w:rsidR="0025082B" w:rsidRPr="00837DC9" w:rsidRDefault="0025082B" w:rsidP="0025082B">
      <w:pPr>
        <w:pStyle w:val="ListParagraph"/>
        <w:numPr>
          <w:ilvl w:val="0"/>
          <w:numId w:val="119"/>
        </w:numPr>
        <w:rPr>
          <w:sz w:val="20"/>
        </w:rPr>
      </w:pPr>
      <w:r w:rsidRPr="00837DC9">
        <w:rPr>
          <w:sz w:val="20"/>
        </w:rPr>
        <w:t xml:space="preserve">supporting people with disability through initiatives such as the Disability Information Helpline and the new Carer Gateway. </w:t>
      </w:r>
    </w:p>
    <w:p w14:paraId="543952B1" w14:textId="6715E06C" w:rsidR="0025082B" w:rsidRPr="00491417" w:rsidRDefault="0025082B" w:rsidP="0025082B">
      <w:pPr>
        <w:rPr>
          <w:sz w:val="20"/>
        </w:rPr>
      </w:pPr>
      <w:r>
        <w:rPr>
          <w:sz w:val="20"/>
        </w:rPr>
        <w:t>Over and above the response to the bushfires and COVID-19 pandemic, the department continued to develop policies and implement Government priorities across the spectrum of our social services responsibilities.</w:t>
      </w:r>
    </w:p>
    <w:p w14:paraId="362635C1" w14:textId="77777777" w:rsidR="0025082B" w:rsidRPr="00FE39C8" w:rsidRDefault="0025082B" w:rsidP="0025082B">
      <w:pPr>
        <w:spacing w:before="240" w:after="240"/>
        <w:outlineLvl w:val="6"/>
        <w:rPr>
          <w:rFonts w:eastAsiaTheme="majorEastAsia" w:cstheme="majorBidi"/>
          <w:b/>
          <w:iCs/>
          <w:sz w:val="26"/>
        </w:rPr>
      </w:pPr>
      <w:r w:rsidRPr="00FE39C8">
        <w:rPr>
          <w:rFonts w:eastAsiaTheme="majorEastAsia" w:cstheme="majorBidi"/>
          <w:b/>
          <w:iCs/>
          <w:sz w:val="26"/>
        </w:rPr>
        <w:t>How we measure</w:t>
      </w:r>
      <w:r>
        <w:rPr>
          <w:rFonts w:eastAsiaTheme="majorEastAsia" w:cstheme="majorBidi"/>
          <w:b/>
          <w:iCs/>
          <w:sz w:val="26"/>
        </w:rPr>
        <w:t>d</w:t>
      </w:r>
      <w:r w:rsidRPr="00FE39C8">
        <w:rPr>
          <w:rFonts w:eastAsiaTheme="majorEastAsia" w:cstheme="majorBidi"/>
          <w:b/>
          <w:iCs/>
          <w:sz w:val="26"/>
        </w:rPr>
        <w:t xml:space="preserve"> </w:t>
      </w:r>
      <w:r>
        <w:rPr>
          <w:rFonts w:eastAsiaTheme="majorEastAsia" w:cstheme="majorBidi"/>
          <w:b/>
          <w:iCs/>
          <w:sz w:val="26"/>
        </w:rPr>
        <w:t xml:space="preserve">our </w:t>
      </w:r>
      <w:r w:rsidRPr="00FE39C8">
        <w:rPr>
          <w:rFonts w:eastAsiaTheme="majorEastAsia" w:cstheme="majorBidi"/>
          <w:b/>
          <w:iCs/>
          <w:sz w:val="26"/>
        </w:rPr>
        <w:t>performance</w:t>
      </w:r>
      <w:r>
        <w:rPr>
          <w:rFonts w:eastAsiaTheme="majorEastAsia" w:cstheme="majorBidi"/>
          <w:b/>
          <w:iCs/>
          <w:sz w:val="26"/>
        </w:rPr>
        <w:t xml:space="preserve"> in 2019-20</w:t>
      </w:r>
    </w:p>
    <w:p w14:paraId="72E904B4" w14:textId="77777777" w:rsidR="0025082B" w:rsidRDefault="0025082B" w:rsidP="0025082B">
      <w:pPr>
        <w:rPr>
          <w:sz w:val="20"/>
        </w:rPr>
      </w:pPr>
      <w:r w:rsidRPr="00491417">
        <w:rPr>
          <w:sz w:val="20"/>
        </w:rPr>
        <w:t xml:space="preserve">The department has a wide range of responsibilities within the social services portfolio </w:t>
      </w:r>
      <w:r>
        <w:rPr>
          <w:sz w:val="20"/>
        </w:rPr>
        <w:t xml:space="preserve">and works </w:t>
      </w:r>
      <w:r w:rsidRPr="00491417">
        <w:rPr>
          <w:sz w:val="20"/>
        </w:rPr>
        <w:t xml:space="preserve">with a diverse </w:t>
      </w:r>
      <w:r>
        <w:rPr>
          <w:sz w:val="20"/>
        </w:rPr>
        <w:t xml:space="preserve">range of </w:t>
      </w:r>
      <w:r w:rsidRPr="00491417">
        <w:rPr>
          <w:sz w:val="20"/>
        </w:rPr>
        <w:t>stakeholder</w:t>
      </w:r>
      <w:r>
        <w:rPr>
          <w:sz w:val="20"/>
        </w:rPr>
        <w:t>s</w:t>
      </w:r>
      <w:r w:rsidRPr="00491417">
        <w:rPr>
          <w:sz w:val="20"/>
        </w:rPr>
        <w:t>.</w:t>
      </w:r>
      <w:r w:rsidRPr="00204D24">
        <w:rPr>
          <w:sz w:val="20"/>
        </w:rPr>
        <w:t xml:space="preserve"> </w:t>
      </w:r>
      <w:r w:rsidRPr="00491417">
        <w:rPr>
          <w:sz w:val="20"/>
        </w:rPr>
        <w:t xml:space="preserve">As a </w:t>
      </w:r>
      <w:r>
        <w:rPr>
          <w:sz w:val="20"/>
        </w:rPr>
        <w:t xml:space="preserve">predominately </w:t>
      </w:r>
      <w:r w:rsidRPr="00491417">
        <w:rPr>
          <w:sz w:val="20"/>
        </w:rPr>
        <w:t>policy agency</w:t>
      </w:r>
      <w:r>
        <w:rPr>
          <w:sz w:val="20"/>
        </w:rPr>
        <w:t>,</w:t>
      </w:r>
      <w:r w:rsidRPr="00491417">
        <w:rPr>
          <w:sz w:val="20"/>
        </w:rPr>
        <w:t xml:space="preserve"> the vast majority of our</w:t>
      </w:r>
      <w:r>
        <w:rPr>
          <w:sz w:val="20"/>
        </w:rPr>
        <w:t xml:space="preserve"> </w:t>
      </w:r>
      <w:r w:rsidRPr="00491417">
        <w:rPr>
          <w:sz w:val="20"/>
        </w:rPr>
        <w:t>performance is measured through our impact on effectiveness.</w:t>
      </w:r>
    </w:p>
    <w:p w14:paraId="70665431" w14:textId="77777777" w:rsidR="0025082B" w:rsidRDefault="0025082B" w:rsidP="0025082B">
      <w:pPr>
        <w:rPr>
          <w:sz w:val="20"/>
        </w:rPr>
      </w:pPr>
      <w:r>
        <w:rPr>
          <w:sz w:val="20"/>
        </w:rPr>
        <w:t>The department’s 2019–20 Performance Framework is outlined in Table 2.0.1. It is based around the department’s four outcomes across: Social Security, Families and Communities, Disability and Carers and Housing and Homelessness.</w:t>
      </w:r>
    </w:p>
    <w:p w14:paraId="20B8BDBC" w14:textId="77777777" w:rsidR="0025082B" w:rsidRDefault="0025082B" w:rsidP="0025082B">
      <w:pPr>
        <w:rPr>
          <w:sz w:val="20"/>
        </w:rPr>
      </w:pPr>
      <w:r>
        <w:rPr>
          <w:sz w:val="20"/>
        </w:rPr>
        <w:t xml:space="preserve">At the program level our performance criteria (as outlined in the 2019-20 Portfolio Budget Statements) relies on having strong and clear agreements in place with our service delivery partners. </w:t>
      </w:r>
    </w:p>
    <w:p w14:paraId="6A53985B" w14:textId="77777777" w:rsidR="0025082B" w:rsidRPr="003A1C45" w:rsidRDefault="0025082B" w:rsidP="0025082B">
      <w:pPr>
        <w:rPr>
          <w:sz w:val="20"/>
        </w:rPr>
      </w:pPr>
      <w:r>
        <w:rPr>
          <w:sz w:val="20"/>
        </w:rPr>
        <w:t xml:space="preserve">At the key activity level the department uses a three step </w:t>
      </w:r>
      <w:r w:rsidRPr="003A1C45">
        <w:rPr>
          <w:sz w:val="20"/>
        </w:rPr>
        <w:t>categor</w:t>
      </w:r>
      <w:r>
        <w:rPr>
          <w:sz w:val="20"/>
        </w:rPr>
        <w:t xml:space="preserve">isation system with </w:t>
      </w:r>
      <w:r w:rsidRPr="003A1C45">
        <w:rPr>
          <w:sz w:val="20"/>
        </w:rPr>
        <w:t>outcome</w:t>
      </w:r>
      <w:r>
        <w:rPr>
          <w:sz w:val="20"/>
        </w:rPr>
        <w:t>s</w:t>
      </w:r>
      <w:r w:rsidRPr="003A1C45">
        <w:rPr>
          <w:sz w:val="20"/>
        </w:rPr>
        <w:t>, intermediate outcome</w:t>
      </w:r>
      <w:r>
        <w:rPr>
          <w:sz w:val="20"/>
        </w:rPr>
        <w:t>s</w:t>
      </w:r>
      <w:r w:rsidRPr="003A1C45">
        <w:rPr>
          <w:sz w:val="20"/>
        </w:rPr>
        <w:t xml:space="preserve"> </w:t>
      </w:r>
      <w:r>
        <w:rPr>
          <w:sz w:val="20"/>
        </w:rPr>
        <w:t>and/</w:t>
      </w:r>
      <w:r w:rsidRPr="003A1C45">
        <w:rPr>
          <w:sz w:val="20"/>
        </w:rPr>
        <w:t>or output</w:t>
      </w:r>
      <w:r>
        <w:rPr>
          <w:sz w:val="20"/>
        </w:rPr>
        <w:t>s, which are all</w:t>
      </w:r>
      <w:r w:rsidRPr="003A1C45">
        <w:rPr>
          <w:sz w:val="20"/>
        </w:rPr>
        <w:t xml:space="preserve"> supported by performance indicators.</w:t>
      </w:r>
      <w:r w:rsidRPr="00FD77B2">
        <w:rPr>
          <w:sz w:val="20"/>
        </w:rPr>
        <w:t xml:space="preserve"> </w:t>
      </w:r>
      <w:r w:rsidRPr="003A1C45">
        <w:rPr>
          <w:sz w:val="20"/>
        </w:rPr>
        <w:t xml:space="preserve">The performance criteria </w:t>
      </w:r>
      <w:r>
        <w:rPr>
          <w:sz w:val="20"/>
        </w:rPr>
        <w:t xml:space="preserve">is </w:t>
      </w:r>
      <w:r w:rsidRPr="003A1C45">
        <w:rPr>
          <w:sz w:val="20"/>
        </w:rPr>
        <w:t>group</w:t>
      </w:r>
      <w:r>
        <w:rPr>
          <w:sz w:val="20"/>
        </w:rPr>
        <w:t xml:space="preserve">ed </w:t>
      </w:r>
      <w:r w:rsidRPr="003A1C45">
        <w:rPr>
          <w:sz w:val="20"/>
        </w:rPr>
        <w:t xml:space="preserve">around similar </w:t>
      </w:r>
      <w:r>
        <w:rPr>
          <w:sz w:val="20"/>
        </w:rPr>
        <w:t xml:space="preserve">policy and outcome </w:t>
      </w:r>
      <w:r w:rsidRPr="003A1C45">
        <w:rPr>
          <w:sz w:val="20"/>
        </w:rPr>
        <w:t>themes (e.g. financial self-reliance, individual and family functioning</w:t>
      </w:r>
      <w:r>
        <w:rPr>
          <w:sz w:val="20"/>
        </w:rPr>
        <w:t xml:space="preserve">). </w:t>
      </w:r>
    </w:p>
    <w:p w14:paraId="2408CAB4" w14:textId="77777777" w:rsidR="0025082B" w:rsidRDefault="0025082B" w:rsidP="0025082B">
      <w:pPr>
        <w:rPr>
          <w:rFonts w:ascii="Arial Narrow" w:eastAsia="Times New Roman" w:hAnsi="Arial Narrow" w:cs="Times New Roman"/>
          <w:b/>
          <w:bCs/>
          <w:spacing w:val="4"/>
          <w:sz w:val="20"/>
          <w:szCs w:val="18"/>
          <w:lang w:eastAsia="en-AU"/>
        </w:rPr>
      </w:pPr>
      <w:r>
        <w:rPr>
          <w:rFonts w:ascii="Arial Narrow" w:eastAsia="Times New Roman" w:hAnsi="Arial Narrow" w:cs="Times New Roman"/>
          <w:b/>
          <w:bCs/>
          <w:spacing w:val="4"/>
          <w:sz w:val="20"/>
          <w:szCs w:val="18"/>
          <w:lang w:eastAsia="en-AU"/>
        </w:rPr>
        <w:br w:type="page"/>
      </w:r>
    </w:p>
    <w:p w14:paraId="00552799" w14:textId="77777777" w:rsidR="0025082B" w:rsidRPr="003C13E1" w:rsidRDefault="0025082B" w:rsidP="0025082B">
      <w:pPr>
        <w:keepNext/>
        <w:spacing w:before="240" w:after="0" w:line="260" w:lineRule="atLeast"/>
        <w:ind w:right="425"/>
        <w:rPr>
          <w:rFonts w:ascii="Arial Narrow" w:eastAsia="Times New Roman" w:hAnsi="Arial Narrow" w:cs="Times New Roman"/>
          <w:b/>
          <w:bCs/>
          <w:spacing w:val="4"/>
          <w:sz w:val="20"/>
          <w:szCs w:val="18"/>
          <w:lang w:eastAsia="en-AU"/>
        </w:rPr>
      </w:pPr>
      <w:r w:rsidRPr="003C13E1">
        <w:rPr>
          <w:rFonts w:ascii="Arial Narrow" w:eastAsia="Times New Roman" w:hAnsi="Arial Narrow" w:cs="Times New Roman"/>
          <w:b/>
          <w:bCs/>
          <w:spacing w:val="4"/>
          <w:sz w:val="20"/>
          <w:szCs w:val="18"/>
          <w:lang w:eastAsia="en-AU"/>
        </w:rPr>
        <w:lastRenderedPageBreak/>
        <w:t>Table 2.0.1</w:t>
      </w:r>
      <w:r>
        <w:rPr>
          <w:rFonts w:ascii="Arial Narrow" w:eastAsia="Times New Roman" w:hAnsi="Arial Narrow" w:cs="Times New Roman"/>
          <w:b/>
          <w:bCs/>
          <w:spacing w:val="4"/>
          <w:sz w:val="20"/>
          <w:szCs w:val="18"/>
          <w:lang w:eastAsia="en-AU"/>
        </w:rPr>
        <w:t>: The department’s Performance Framework 2019-20</w:t>
      </w:r>
    </w:p>
    <w:tbl>
      <w:tblPr>
        <w:tblStyle w:val="DSSDatatablestyle311"/>
        <w:tblW w:w="5000" w:type="pct"/>
        <w:tblInd w:w="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pct10" w:color="auto" w:fill="auto"/>
        <w:tblLook w:val="04A0" w:firstRow="1" w:lastRow="0" w:firstColumn="1" w:lastColumn="0" w:noHBand="0" w:noVBand="1"/>
        <w:tblCaption w:val="Table 2.0.1: The department's Performance Framework 2019-20"/>
        <w:tblDescription w:val="This table outlines the department's performance framework."/>
      </w:tblPr>
      <w:tblGrid>
        <w:gridCol w:w="1718"/>
        <w:gridCol w:w="2788"/>
        <w:gridCol w:w="1980"/>
        <w:gridCol w:w="2480"/>
      </w:tblGrid>
      <w:tr w:rsidR="0025082B" w:rsidRPr="00E25BCC" w14:paraId="24912A67" w14:textId="77777777" w:rsidTr="006938C4">
        <w:trPr>
          <w:cnfStyle w:val="100000000000" w:firstRow="1" w:lastRow="0" w:firstColumn="0" w:lastColumn="0" w:oddVBand="0" w:evenVBand="0" w:oddHBand="0" w:evenHBand="0" w:firstRowFirstColumn="0" w:firstRowLastColumn="0" w:lastRowFirstColumn="0" w:lastRowLastColumn="0"/>
          <w:trHeight w:val="340"/>
          <w:tblHeader/>
        </w:trPr>
        <w:tc>
          <w:tcPr>
            <w:tcW w:w="958" w:type="pct"/>
            <w:shd w:val="clear" w:color="auto" w:fill="000000" w:themeFill="text1"/>
          </w:tcPr>
          <w:p w14:paraId="5DDCC1A4" w14:textId="77777777" w:rsidR="0025082B" w:rsidRPr="00D13460" w:rsidRDefault="0025082B" w:rsidP="006938C4">
            <w:pPr>
              <w:keepNext/>
              <w:keepLines/>
              <w:spacing w:before="60" w:after="60"/>
              <w:jc w:val="center"/>
              <w:rPr>
                <w:sz w:val="16"/>
                <w:szCs w:val="16"/>
              </w:rPr>
            </w:pPr>
            <w:r w:rsidRPr="00D13460">
              <w:rPr>
                <w:sz w:val="16"/>
                <w:szCs w:val="16"/>
              </w:rPr>
              <w:t>Outcome</w:t>
            </w:r>
          </w:p>
        </w:tc>
        <w:tc>
          <w:tcPr>
            <w:tcW w:w="1555" w:type="pct"/>
            <w:shd w:val="clear" w:color="auto" w:fill="000000" w:themeFill="text1"/>
          </w:tcPr>
          <w:p w14:paraId="78FD9F18" w14:textId="77777777" w:rsidR="0025082B" w:rsidRPr="00D13460" w:rsidRDefault="0025082B" w:rsidP="006938C4">
            <w:pPr>
              <w:keepNext/>
              <w:keepLines/>
              <w:spacing w:before="60" w:after="60"/>
              <w:jc w:val="center"/>
              <w:rPr>
                <w:sz w:val="16"/>
                <w:szCs w:val="16"/>
              </w:rPr>
            </w:pPr>
            <w:r w:rsidRPr="00D13460">
              <w:rPr>
                <w:sz w:val="16"/>
                <w:szCs w:val="16"/>
              </w:rPr>
              <w:t>Measure Hierarchy</w:t>
            </w:r>
          </w:p>
        </w:tc>
        <w:tc>
          <w:tcPr>
            <w:tcW w:w="1104" w:type="pct"/>
            <w:shd w:val="clear" w:color="auto" w:fill="000000" w:themeFill="text1"/>
            <w:hideMark/>
          </w:tcPr>
          <w:p w14:paraId="34CD673C" w14:textId="77777777" w:rsidR="0025082B" w:rsidRPr="00D13460" w:rsidRDefault="0025082B" w:rsidP="006938C4">
            <w:pPr>
              <w:keepNext/>
              <w:keepLines/>
              <w:spacing w:before="60" w:after="60"/>
              <w:jc w:val="center"/>
              <w:rPr>
                <w:sz w:val="16"/>
                <w:szCs w:val="16"/>
              </w:rPr>
            </w:pPr>
            <w:r w:rsidRPr="00D13460">
              <w:rPr>
                <w:sz w:val="16"/>
                <w:szCs w:val="16"/>
              </w:rPr>
              <w:t>Performance criteria</w:t>
            </w:r>
          </w:p>
        </w:tc>
        <w:tc>
          <w:tcPr>
            <w:tcW w:w="1383" w:type="pct"/>
            <w:shd w:val="clear" w:color="auto" w:fill="000000" w:themeFill="text1"/>
            <w:hideMark/>
          </w:tcPr>
          <w:p w14:paraId="46FE4B07" w14:textId="77777777" w:rsidR="0025082B" w:rsidRPr="00D13460" w:rsidRDefault="0025082B" w:rsidP="006938C4">
            <w:pPr>
              <w:keepNext/>
              <w:keepLines/>
              <w:spacing w:before="60" w:after="60"/>
              <w:jc w:val="center"/>
              <w:rPr>
                <w:sz w:val="16"/>
                <w:szCs w:val="16"/>
              </w:rPr>
            </w:pPr>
            <w:r w:rsidRPr="00D13460">
              <w:rPr>
                <w:sz w:val="16"/>
                <w:szCs w:val="16"/>
              </w:rPr>
              <w:t>Indicator/Output</w:t>
            </w:r>
          </w:p>
        </w:tc>
      </w:tr>
      <w:tr w:rsidR="0025082B" w:rsidRPr="00E25BCC" w14:paraId="66B7992A" w14:textId="77777777" w:rsidTr="006938C4">
        <w:trPr>
          <w:trHeight w:val="119"/>
        </w:trPr>
        <w:tc>
          <w:tcPr>
            <w:tcW w:w="958" w:type="pct"/>
            <w:vMerge w:val="restart"/>
            <w:shd w:val="clear" w:color="auto" w:fill="000000" w:themeFill="text1"/>
            <w:vAlign w:val="center"/>
          </w:tcPr>
          <w:p w14:paraId="7014899B" w14:textId="41B41548" w:rsidR="0025082B" w:rsidRPr="00E25BCC" w:rsidRDefault="0025082B" w:rsidP="006938C4">
            <w:pPr>
              <w:spacing w:before="60" w:after="60"/>
              <w:rPr>
                <w:rFonts w:cs="Arial"/>
                <w:b/>
                <w:color w:val="FFFFFF" w:themeColor="background1"/>
                <w:sz w:val="16"/>
                <w:szCs w:val="16"/>
              </w:rPr>
            </w:pPr>
            <w:r w:rsidRPr="00D80BCD">
              <w:rPr>
                <w:rFonts w:cstheme="minorBidi"/>
                <w:b/>
                <w:color w:val="FFFFFF" w:themeColor="background1"/>
                <w:sz w:val="16"/>
                <w:szCs w:val="16"/>
              </w:rPr>
              <w:t xml:space="preserve">Outcome </w:t>
            </w:r>
            <w:r>
              <w:rPr>
                <w:rFonts w:cstheme="minorBidi"/>
                <w:b/>
                <w:color w:val="FFFFFF" w:themeColor="background1"/>
                <w:sz w:val="16"/>
                <w:szCs w:val="16"/>
              </w:rPr>
              <w:t>/ Purpose (Social Security, Families and Communit</w:t>
            </w:r>
            <w:r w:rsidR="00CE6778">
              <w:rPr>
                <w:rFonts w:cstheme="minorBidi"/>
                <w:b/>
                <w:color w:val="FFFFFF" w:themeColor="background1"/>
                <w:sz w:val="16"/>
                <w:szCs w:val="16"/>
              </w:rPr>
              <w:t>ies</w:t>
            </w:r>
            <w:r>
              <w:rPr>
                <w:rFonts w:cstheme="minorBidi"/>
                <w:b/>
                <w:color w:val="FFFFFF" w:themeColor="background1"/>
                <w:sz w:val="16"/>
                <w:szCs w:val="16"/>
              </w:rPr>
              <w:t>, Disability and Carers, Housing and Homelessness)</w:t>
            </w:r>
          </w:p>
          <w:p w14:paraId="5EEFF77E" w14:textId="77777777" w:rsidR="0025082B" w:rsidRPr="00E25BCC" w:rsidRDefault="0025082B" w:rsidP="006938C4">
            <w:pPr>
              <w:spacing w:before="60" w:after="60"/>
              <w:rPr>
                <w:rFonts w:cs="Arial"/>
                <w:b/>
                <w:color w:val="FFFFFF" w:themeColor="background1"/>
                <w:sz w:val="16"/>
                <w:szCs w:val="16"/>
              </w:rPr>
            </w:pPr>
          </w:p>
        </w:tc>
        <w:tc>
          <w:tcPr>
            <w:tcW w:w="1555" w:type="pct"/>
            <w:vMerge w:val="restart"/>
            <w:shd w:val="clear" w:color="auto" w:fill="005A70"/>
            <w:hideMark/>
          </w:tcPr>
          <w:p w14:paraId="36F6841A" w14:textId="77777777" w:rsidR="0025082B" w:rsidRPr="00E25BCC" w:rsidRDefault="0025082B" w:rsidP="006938C4">
            <w:pPr>
              <w:keepNext/>
              <w:keepLines/>
              <w:spacing w:before="60" w:after="60"/>
              <w:rPr>
                <w:rFonts w:cs="Arial"/>
                <w:b/>
                <w:color w:val="FFFFFF" w:themeColor="background1"/>
                <w:sz w:val="16"/>
                <w:szCs w:val="16"/>
              </w:rPr>
            </w:pPr>
            <w:r w:rsidRPr="00E25BCC">
              <w:rPr>
                <w:rFonts w:cs="Arial"/>
                <w:b/>
                <w:color w:val="FFFFFF" w:themeColor="background1"/>
                <w:sz w:val="16"/>
                <w:szCs w:val="16"/>
              </w:rPr>
              <w:t>Outcome — What did we achieve?</w:t>
            </w:r>
          </w:p>
        </w:tc>
        <w:tc>
          <w:tcPr>
            <w:tcW w:w="1104" w:type="pct"/>
            <w:vMerge w:val="restart"/>
            <w:shd w:val="clear" w:color="auto" w:fill="00B0B9"/>
            <w:hideMark/>
          </w:tcPr>
          <w:p w14:paraId="2A369F6E" w14:textId="77777777" w:rsidR="0025082B" w:rsidRPr="00D13460" w:rsidRDefault="0025082B" w:rsidP="006938C4">
            <w:pPr>
              <w:keepNext/>
              <w:keepLines/>
              <w:spacing w:before="60" w:after="60"/>
              <w:rPr>
                <w:rFonts w:cs="Arial"/>
                <w:b/>
                <w:sz w:val="16"/>
                <w:szCs w:val="16"/>
              </w:rPr>
            </w:pPr>
            <w:r w:rsidRPr="00D13460">
              <w:rPr>
                <w:rFonts w:cs="Arial"/>
                <w:b/>
                <w:sz w:val="16"/>
                <w:szCs w:val="16"/>
              </w:rPr>
              <w:t xml:space="preserve">Criteria </w:t>
            </w:r>
          </w:p>
        </w:tc>
        <w:tc>
          <w:tcPr>
            <w:tcW w:w="1383" w:type="pct"/>
            <w:shd w:val="clear" w:color="auto" w:fill="B1E4E3"/>
          </w:tcPr>
          <w:p w14:paraId="0C8F0B77" w14:textId="77777777" w:rsidR="0025082B" w:rsidRPr="00E25BCC" w:rsidRDefault="0025082B" w:rsidP="006938C4">
            <w:pPr>
              <w:keepNext/>
              <w:keepLines/>
              <w:spacing w:before="60" w:after="60"/>
              <w:rPr>
                <w:rFonts w:cs="Arial"/>
                <w:color w:val="000000" w:themeColor="text1"/>
                <w:sz w:val="16"/>
                <w:szCs w:val="16"/>
              </w:rPr>
            </w:pPr>
            <w:r w:rsidRPr="00E25BCC">
              <w:rPr>
                <w:rFonts w:cs="Arial"/>
                <w:color w:val="000000" w:themeColor="text1"/>
                <w:sz w:val="16"/>
                <w:szCs w:val="16"/>
              </w:rPr>
              <w:t xml:space="preserve">Indicator </w:t>
            </w:r>
            <w:r>
              <w:rPr>
                <w:rFonts w:cs="Arial"/>
                <w:color w:val="000000" w:themeColor="text1"/>
                <w:sz w:val="16"/>
                <w:szCs w:val="16"/>
              </w:rPr>
              <w:t xml:space="preserve">theme </w:t>
            </w:r>
          </w:p>
        </w:tc>
      </w:tr>
      <w:tr w:rsidR="0025082B" w:rsidRPr="00E25BCC" w14:paraId="540668C5" w14:textId="77777777" w:rsidTr="006938C4">
        <w:trPr>
          <w:cnfStyle w:val="000000010000" w:firstRow="0" w:lastRow="0" w:firstColumn="0" w:lastColumn="0" w:oddVBand="0" w:evenVBand="0" w:oddHBand="0" w:evenHBand="1" w:firstRowFirstColumn="0" w:firstRowLastColumn="0" w:lastRowFirstColumn="0" w:lastRowLastColumn="0"/>
          <w:trHeight w:val="70"/>
        </w:trPr>
        <w:tc>
          <w:tcPr>
            <w:tcW w:w="958" w:type="pct"/>
            <w:vMerge/>
            <w:shd w:val="clear" w:color="auto" w:fill="000000" w:themeFill="text1"/>
          </w:tcPr>
          <w:p w14:paraId="2C7BBE4B" w14:textId="77777777" w:rsidR="0025082B" w:rsidRPr="00E25BCC" w:rsidRDefault="0025082B" w:rsidP="006938C4">
            <w:pPr>
              <w:keepNext/>
              <w:keepLines/>
              <w:spacing w:before="60" w:after="60"/>
              <w:rPr>
                <w:b/>
                <w:color w:val="FFFFFF" w:themeColor="background1"/>
                <w:sz w:val="16"/>
                <w:szCs w:val="16"/>
              </w:rPr>
            </w:pPr>
          </w:p>
        </w:tc>
        <w:tc>
          <w:tcPr>
            <w:tcW w:w="1555" w:type="pct"/>
            <w:vMerge/>
            <w:shd w:val="clear" w:color="auto" w:fill="005A70"/>
          </w:tcPr>
          <w:p w14:paraId="22401B84" w14:textId="77777777" w:rsidR="0025082B" w:rsidRPr="00E25BCC" w:rsidRDefault="0025082B" w:rsidP="006938C4">
            <w:pPr>
              <w:keepNext/>
              <w:keepLines/>
              <w:spacing w:before="60" w:after="60"/>
              <w:rPr>
                <w:b/>
                <w:color w:val="FFFFFF" w:themeColor="background1"/>
                <w:sz w:val="16"/>
                <w:szCs w:val="16"/>
              </w:rPr>
            </w:pPr>
          </w:p>
        </w:tc>
        <w:tc>
          <w:tcPr>
            <w:tcW w:w="1104" w:type="pct"/>
            <w:vMerge/>
            <w:shd w:val="clear" w:color="auto" w:fill="00B0B9"/>
          </w:tcPr>
          <w:p w14:paraId="106C4962" w14:textId="77777777" w:rsidR="0025082B" w:rsidRPr="00D13460" w:rsidRDefault="0025082B" w:rsidP="006938C4">
            <w:pPr>
              <w:keepNext/>
              <w:keepLines/>
              <w:spacing w:before="60" w:after="60"/>
              <w:rPr>
                <w:b/>
                <w:sz w:val="16"/>
                <w:szCs w:val="16"/>
              </w:rPr>
            </w:pPr>
          </w:p>
        </w:tc>
        <w:tc>
          <w:tcPr>
            <w:tcW w:w="1383" w:type="pct"/>
            <w:shd w:val="clear" w:color="auto" w:fill="B1E4E3"/>
          </w:tcPr>
          <w:p w14:paraId="2547F172" w14:textId="77777777" w:rsidR="0025082B" w:rsidRPr="00E25BCC" w:rsidRDefault="0025082B" w:rsidP="006938C4">
            <w:pPr>
              <w:keepNext/>
              <w:keepLines/>
              <w:spacing w:before="60" w:after="60"/>
              <w:rPr>
                <w:color w:val="000000" w:themeColor="text1"/>
                <w:sz w:val="16"/>
                <w:szCs w:val="16"/>
              </w:rPr>
            </w:pPr>
            <w:r w:rsidRPr="00E25BCC">
              <w:rPr>
                <w:color w:val="000000" w:themeColor="text1"/>
                <w:sz w:val="16"/>
                <w:szCs w:val="16"/>
              </w:rPr>
              <w:t xml:space="preserve">Indicator </w:t>
            </w:r>
            <w:r>
              <w:rPr>
                <w:color w:val="000000" w:themeColor="text1"/>
                <w:sz w:val="16"/>
                <w:szCs w:val="16"/>
              </w:rPr>
              <w:t>theme</w:t>
            </w:r>
          </w:p>
        </w:tc>
      </w:tr>
      <w:tr w:rsidR="0025082B" w:rsidRPr="00E25BCC" w14:paraId="57EEC581" w14:textId="77777777" w:rsidTr="006938C4">
        <w:trPr>
          <w:trHeight w:val="70"/>
        </w:trPr>
        <w:tc>
          <w:tcPr>
            <w:tcW w:w="958" w:type="pct"/>
            <w:vMerge/>
            <w:shd w:val="clear" w:color="auto" w:fill="000000" w:themeFill="text1"/>
          </w:tcPr>
          <w:p w14:paraId="14EE3CEA" w14:textId="77777777" w:rsidR="0025082B" w:rsidRPr="00E25BCC" w:rsidRDefault="0025082B" w:rsidP="006938C4">
            <w:pPr>
              <w:keepNext/>
              <w:keepLines/>
              <w:spacing w:before="60" w:after="60"/>
              <w:rPr>
                <w:rFonts w:cs="Arial"/>
                <w:b/>
                <w:sz w:val="16"/>
                <w:szCs w:val="16"/>
              </w:rPr>
            </w:pPr>
          </w:p>
        </w:tc>
        <w:tc>
          <w:tcPr>
            <w:tcW w:w="1555" w:type="pct"/>
            <w:vMerge w:val="restart"/>
            <w:shd w:val="clear" w:color="auto" w:fill="005A70"/>
            <w:hideMark/>
          </w:tcPr>
          <w:p w14:paraId="12A38D57" w14:textId="77777777" w:rsidR="0025082B" w:rsidRPr="00E25BCC" w:rsidRDefault="0025082B" w:rsidP="006938C4">
            <w:pPr>
              <w:keepNext/>
              <w:keepLines/>
              <w:spacing w:before="60" w:after="60"/>
              <w:rPr>
                <w:rFonts w:cs="Arial"/>
                <w:color w:val="FFFFFF" w:themeColor="background1"/>
                <w:sz w:val="16"/>
                <w:szCs w:val="16"/>
              </w:rPr>
            </w:pPr>
            <w:r w:rsidRPr="00E25BCC">
              <w:rPr>
                <w:rFonts w:cs="Arial"/>
                <w:b/>
                <w:color w:val="FFFFFF" w:themeColor="background1"/>
                <w:sz w:val="16"/>
                <w:szCs w:val="16"/>
              </w:rPr>
              <w:t>Intermediate Outcome — How well did we do?</w:t>
            </w:r>
          </w:p>
        </w:tc>
        <w:tc>
          <w:tcPr>
            <w:tcW w:w="1104" w:type="pct"/>
            <w:vMerge w:val="restart"/>
            <w:shd w:val="clear" w:color="auto" w:fill="00B0B9"/>
            <w:hideMark/>
          </w:tcPr>
          <w:p w14:paraId="2771FC27" w14:textId="77777777" w:rsidR="0025082B" w:rsidRPr="00D13460" w:rsidRDefault="0025082B" w:rsidP="006938C4">
            <w:pPr>
              <w:keepNext/>
              <w:keepLines/>
              <w:spacing w:before="60" w:after="60"/>
              <w:rPr>
                <w:rFonts w:cs="Arial"/>
                <w:b/>
                <w:sz w:val="16"/>
                <w:szCs w:val="16"/>
              </w:rPr>
            </w:pPr>
            <w:r w:rsidRPr="00D13460">
              <w:rPr>
                <w:rFonts w:cs="Arial"/>
                <w:b/>
                <w:iCs/>
                <w:sz w:val="16"/>
                <w:szCs w:val="16"/>
              </w:rPr>
              <w:t xml:space="preserve">Criteria </w:t>
            </w:r>
          </w:p>
        </w:tc>
        <w:tc>
          <w:tcPr>
            <w:tcW w:w="1383" w:type="pct"/>
            <w:shd w:val="clear" w:color="auto" w:fill="B1E4E3"/>
          </w:tcPr>
          <w:p w14:paraId="5AE32AD3" w14:textId="77777777" w:rsidR="0025082B" w:rsidRPr="00E25BCC" w:rsidRDefault="0025082B" w:rsidP="006938C4">
            <w:pPr>
              <w:keepNext/>
              <w:keepLines/>
              <w:spacing w:before="60" w:after="60"/>
              <w:rPr>
                <w:rFonts w:cs="Arial"/>
                <w:color w:val="000000" w:themeColor="text1"/>
                <w:sz w:val="16"/>
                <w:szCs w:val="16"/>
              </w:rPr>
            </w:pPr>
            <w:r w:rsidRPr="003A1C45">
              <w:rPr>
                <w:rFonts w:cs="Arial"/>
                <w:color w:val="000000" w:themeColor="text1"/>
                <w:sz w:val="16"/>
                <w:szCs w:val="16"/>
              </w:rPr>
              <w:t xml:space="preserve">Indicator theme </w:t>
            </w:r>
          </w:p>
        </w:tc>
      </w:tr>
      <w:tr w:rsidR="0025082B" w:rsidRPr="00E25BCC" w14:paraId="68AF8EE6" w14:textId="77777777" w:rsidTr="006938C4">
        <w:trPr>
          <w:cnfStyle w:val="000000010000" w:firstRow="0" w:lastRow="0" w:firstColumn="0" w:lastColumn="0" w:oddVBand="0" w:evenVBand="0" w:oddHBand="0" w:evenHBand="1" w:firstRowFirstColumn="0" w:firstRowLastColumn="0" w:lastRowFirstColumn="0" w:lastRowLastColumn="0"/>
          <w:trHeight w:val="70"/>
        </w:trPr>
        <w:tc>
          <w:tcPr>
            <w:tcW w:w="958" w:type="pct"/>
            <w:vMerge/>
            <w:shd w:val="clear" w:color="auto" w:fill="000000" w:themeFill="text1"/>
          </w:tcPr>
          <w:p w14:paraId="7E1BD26E" w14:textId="77777777" w:rsidR="0025082B" w:rsidRPr="00E25BCC" w:rsidRDefault="0025082B" w:rsidP="006938C4">
            <w:pPr>
              <w:keepNext/>
              <w:keepLines/>
              <w:spacing w:before="60" w:after="60"/>
              <w:rPr>
                <w:b/>
                <w:sz w:val="16"/>
                <w:szCs w:val="16"/>
              </w:rPr>
            </w:pPr>
          </w:p>
        </w:tc>
        <w:tc>
          <w:tcPr>
            <w:tcW w:w="1555" w:type="pct"/>
            <w:vMerge/>
            <w:shd w:val="clear" w:color="auto" w:fill="005A70"/>
          </w:tcPr>
          <w:p w14:paraId="0C64CDBC" w14:textId="77777777" w:rsidR="0025082B" w:rsidRPr="00E25BCC" w:rsidRDefault="0025082B" w:rsidP="006938C4">
            <w:pPr>
              <w:keepNext/>
              <w:keepLines/>
              <w:spacing w:before="60" w:after="60"/>
              <w:rPr>
                <w:b/>
                <w:color w:val="FFFFFF" w:themeColor="background1"/>
                <w:sz w:val="16"/>
                <w:szCs w:val="16"/>
              </w:rPr>
            </w:pPr>
          </w:p>
        </w:tc>
        <w:tc>
          <w:tcPr>
            <w:tcW w:w="1104" w:type="pct"/>
            <w:vMerge/>
            <w:shd w:val="clear" w:color="auto" w:fill="00B0B9"/>
          </w:tcPr>
          <w:p w14:paraId="12355DDF" w14:textId="77777777" w:rsidR="0025082B" w:rsidRPr="00D13460" w:rsidRDefault="0025082B" w:rsidP="006938C4">
            <w:pPr>
              <w:keepNext/>
              <w:keepLines/>
              <w:spacing w:before="60" w:after="60"/>
              <w:rPr>
                <w:b/>
                <w:iCs/>
                <w:sz w:val="16"/>
                <w:szCs w:val="16"/>
              </w:rPr>
            </w:pPr>
          </w:p>
        </w:tc>
        <w:tc>
          <w:tcPr>
            <w:tcW w:w="1383" w:type="pct"/>
            <w:shd w:val="clear" w:color="auto" w:fill="B1E4E3"/>
          </w:tcPr>
          <w:p w14:paraId="245EECCF" w14:textId="77777777" w:rsidR="0025082B" w:rsidRPr="00E25BCC" w:rsidRDefault="0025082B" w:rsidP="006938C4">
            <w:pPr>
              <w:keepNext/>
              <w:keepLines/>
              <w:spacing w:before="60" w:after="60"/>
              <w:rPr>
                <w:color w:val="000000" w:themeColor="text1"/>
                <w:sz w:val="16"/>
                <w:szCs w:val="16"/>
              </w:rPr>
            </w:pPr>
            <w:r w:rsidRPr="003A1C45">
              <w:rPr>
                <w:color w:val="000000" w:themeColor="text1"/>
                <w:sz w:val="16"/>
                <w:szCs w:val="16"/>
              </w:rPr>
              <w:t xml:space="preserve">Indicator theme </w:t>
            </w:r>
          </w:p>
        </w:tc>
      </w:tr>
      <w:tr w:rsidR="0025082B" w:rsidRPr="00E25BCC" w14:paraId="57DF7E6B" w14:textId="77777777" w:rsidTr="006938C4">
        <w:trPr>
          <w:trHeight w:val="70"/>
        </w:trPr>
        <w:tc>
          <w:tcPr>
            <w:tcW w:w="958" w:type="pct"/>
            <w:vMerge/>
            <w:shd w:val="clear" w:color="auto" w:fill="000000" w:themeFill="text1"/>
          </w:tcPr>
          <w:p w14:paraId="3209F542" w14:textId="77777777" w:rsidR="0025082B" w:rsidRPr="00E25BCC" w:rsidRDefault="0025082B" w:rsidP="006938C4">
            <w:pPr>
              <w:keepNext/>
              <w:keepLines/>
              <w:spacing w:before="60" w:after="60"/>
              <w:rPr>
                <w:rFonts w:cs="Arial"/>
                <w:b/>
                <w:sz w:val="16"/>
                <w:szCs w:val="16"/>
              </w:rPr>
            </w:pPr>
          </w:p>
        </w:tc>
        <w:tc>
          <w:tcPr>
            <w:tcW w:w="1555" w:type="pct"/>
            <w:vMerge w:val="restart"/>
            <w:shd w:val="clear" w:color="auto" w:fill="005A70"/>
            <w:hideMark/>
          </w:tcPr>
          <w:p w14:paraId="4312A770" w14:textId="77777777" w:rsidR="0025082B" w:rsidRPr="00E25BCC" w:rsidRDefault="0025082B" w:rsidP="006938C4">
            <w:pPr>
              <w:keepNext/>
              <w:keepLines/>
              <w:spacing w:before="60" w:after="60"/>
              <w:rPr>
                <w:rFonts w:cs="Arial"/>
                <w:b/>
                <w:sz w:val="16"/>
                <w:szCs w:val="16"/>
              </w:rPr>
            </w:pPr>
            <w:r w:rsidRPr="00D80BCD">
              <w:rPr>
                <w:rFonts w:cs="Arial"/>
                <w:b/>
                <w:color w:val="FFFFFF" w:themeColor="background1"/>
                <w:sz w:val="16"/>
                <w:szCs w:val="16"/>
              </w:rPr>
              <w:t>Output —</w:t>
            </w:r>
            <w:r w:rsidRPr="00D80BCD">
              <w:rPr>
                <w:rFonts w:cs="Arial"/>
                <w:i/>
                <w:iCs/>
                <w:smallCaps/>
                <w:color w:val="FFFFFF" w:themeColor="background1"/>
                <w:spacing w:val="5"/>
                <w:sz w:val="16"/>
                <w:szCs w:val="16"/>
              </w:rPr>
              <w:t xml:space="preserve"> </w:t>
            </w:r>
            <w:r w:rsidRPr="00D80BCD">
              <w:rPr>
                <w:rFonts w:cs="Arial"/>
                <w:b/>
                <w:color w:val="FFFFFF" w:themeColor="background1"/>
                <w:sz w:val="16"/>
                <w:szCs w:val="16"/>
              </w:rPr>
              <w:t>How much did we do?</w:t>
            </w:r>
          </w:p>
        </w:tc>
        <w:tc>
          <w:tcPr>
            <w:tcW w:w="1104" w:type="pct"/>
            <w:vMerge w:val="restart"/>
            <w:shd w:val="clear" w:color="auto" w:fill="00B0B9"/>
            <w:hideMark/>
          </w:tcPr>
          <w:p w14:paraId="3DAE51F3" w14:textId="77777777" w:rsidR="0025082B" w:rsidRPr="00D13460" w:rsidRDefault="0025082B" w:rsidP="006938C4">
            <w:pPr>
              <w:keepNext/>
              <w:keepLines/>
              <w:spacing w:before="60" w:after="60"/>
              <w:rPr>
                <w:rFonts w:cs="Arial"/>
                <w:b/>
                <w:sz w:val="16"/>
                <w:szCs w:val="16"/>
              </w:rPr>
            </w:pPr>
            <w:r w:rsidRPr="00D13460">
              <w:rPr>
                <w:rFonts w:cs="Arial"/>
                <w:b/>
                <w:sz w:val="16"/>
                <w:szCs w:val="16"/>
              </w:rPr>
              <w:t>Delivery measures</w:t>
            </w:r>
          </w:p>
        </w:tc>
        <w:tc>
          <w:tcPr>
            <w:tcW w:w="1383" w:type="pct"/>
            <w:shd w:val="clear" w:color="auto" w:fill="B1E4E3"/>
            <w:hideMark/>
          </w:tcPr>
          <w:p w14:paraId="638A9E15" w14:textId="77777777" w:rsidR="0025082B" w:rsidRPr="00E25BCC" w:rsidRDefault="0025082B" w:rsidP="006938C4">
            <w:pPr>
              <w:keepNext/>
              <w:keepLines/>
              <w:spacing w:before="60" w:after="60"/>
              <w:rPr>
                <w:rFonts w:cs="Arial"/>
                <w:color w:val="000000" w:themeColor="text1"/>
                <w:sz w:val="16"/>
                <w:szCs w:val="16"/>
              </w:rPr>
            </w:pPr>
            <w:r w:rsidRPr="00E25BCC">
              <w:rPr>
                <w:rFonts w:cs="Arial"/>
                <w:color w:val="000000" w:themeColor="text1"/>
                <w:sz w:val="16"/>
                <w:szCs w:val="16"/>
              </w:rPr>
              <w:t>Number of outputs</w:t>
            </w:r>
          </w:p>
        </w:tc>
      </w:tr>
      <w:tr w:rsidR="0025082B" w:rsidRPr="00E25BCC" w14:paraId="62460CF1" w14:textId="77777777" w:rsidTr="006938C4">
        <w:trPr>
          <w:cnfStyle w:val="000000010000" w:firstRow="0" w:lastRow="0" w:firstColumn="0" w:lastColumn="0" w:oddVBand="0" w:evenVBand="0" w:oddHBand="0" w:evenHBand="1" w:firstRowFirstColumn="0" w:firstRowLastColumn="0" w:lastRowFirstColumn="0" w:lastRowLastColumn="0"/>
          <w:trHeight w:val="70"/>
        </w:trPr>
        <w:tc>
          <w:tcPr>
            <w:tcW w:w="958" w:type="pct"/>
            <w:vMerge/>
            <w:shd w:val="clear" w:color="auto" w:fill="000000" w:themeFill="text1"/>
          </w:tcPr>
          <w:p w14:paraId="3401B333" w14:textId="77777777" w:rsidR="0025082B" w:rsidRPr="00E25BCC" w:rsidRDefault="0025082B" w:rsidP="006938C4">
            <w:pPr>
              <w:spacing w:before="60" w:after="60"/>
              <w:rPr>
                <w:b/>
                <w:sz w:val="16"/>
                <w:szCs w:val="16"/>
              </w:rPr>
            </w:pPr>
          </w:p>
        </w:tc>
        <w:tc>
          <w:tcPr>
            <w:tcW w:w="1555" w:type="pct"/>
            <w:vMerge/>
            <w:shd w:val="clear" w:color="auto" w:fill="005A70"/>
            <w:hideMark/>
          </w:tcPr>
          <w:p w14:paraId="40448DAF" w14:textId="77777777" w:rsidR="0025082B" w:rsidRPr="00E25BCC" w:rsidRDefault="0025082B" w:rsidP="006938C4">
            <w:pPr>
              <w:spacing w:before="60" w:after="60"/>
              <w:rPr>
                <w:b/>
                <w:sz w:val="16"/>
                <w:szCs w:val="16"/>
              </w:rPr>
            </w:pPr>
          </w:p>
        </w:tc>
        <w:tc>
          <w:tcPr>
            <w:tcW w:w="1104" w:type="pct"/>
            <w:vMerge/>
            <w:shd w:val="clear" w:color="auto" w:fill="00B0B9"/>
            <w:hideMark/>
          </w:tcPr>
          <w:p w14:paraId="20FC4A78" w14:textId="77777777" w:rsidR="0025082B" w:rsidRPr="00E25BCC" w:rsidRDefault="0025082B" w:rsidP="006938C4">
            <w:pPr>
              <w:spacing w:before="60" w:after="60"/>
              <w:rPr>
                <w:b/>
                <w:color w:val="000000" w:themeColor="text1"/>
                <w:sz w:val="16"/>
                <w:szCs w:val="16"/>
              </w:rPr>
            </w:pPr>
          </w:p>
        </w:tc>
        <w:tc>
          <w:tcPr>
            <w:tcW w:w="1383" w:type="pct"/>
            <w:shd w:val="clear" w:color="auto" w:fill="B1E4E3"/>
            <w:hideMark/>
          </w:tcPr>
          <w:p w14:paraId="09C1938C" w14:textId="77777777" w:rsidR="0025082B" w:rsidRPr="00E25BCC" w:rsidRDefault="0025082B" w:rsidP="006938C4">
            <w:pPr>
              <w:keepNext/>
              <w:keepLines/>
              <w:spacing w:before="60" w:after="60"/>
              <w:rPr>
                <w:color w:val="000000" w:themeColor="text1"/>
                <w:sz w:val="16"/>
                <w:szCs w:val="16"/>
              </w:rPr>
            </w:pPr>
            <w:r w:rsidRPr="00E25BCC">
              <w:rPr>
                <w:color w:val="000000" w:themeColor="text1"/>
                <w:sz w:val="16"/>
                <w:szCs w:val="16"/>
              </w:rPr>
              <w:t>Administered outlays</w:t>
            </w:r>
          </w:p>
        </w:tc>
      </w:tr>
    </w:tbl>
    <w:p w14:paraId="346B6466" w14:textId="77777777" w:rsidR="0025082B" w:rsidRDefault="0025082B" w:rsidP="0025082B">
      <w:pPr>
        <w:rPr>
          <w:sz w:val="20"/>
        </w:rPr>
      </w:pPr>
    </w:p>
    <w:p w14:paraId="580A3768" w14:textId="77777777" w:rsidR="0025082B" w:rsidRDefault="0025082B" w:rsidP="003A047F">
      <w:pPr>
        <w:rPr>
          <w:rFonts w:eastAsia="Times New Roman" w:cstheme="majorBidi"/>
          <w:bCs/>
          <w:sz w:val="28"/>
          <w:lang w:eastAsia="en-AU"/>
        </w:rPr>
        <w:sectPr w:rsidR="0025082B" w:rsidSect="00585891">
          <w:footnotePr>
            <w:numRestart w:val="eachPage"/>
          </w:footnotePr>
          <w:pgSz w:w="11906" w:h="16838"/>
          <w:pgMar w:top="1440" w:right="1440" w:bottom="1440" w:left="1440" w:header="709" w:footer="709" w:gutter="0"/>
          <w:cols w:space="708"/>
          <w:docGrid w:linePitch="360"/>
        </w:sectPr>
      </w:pPr>
    </w:p>
    <w:p w14:paraId="2448E859" w14:textId="23719913" w:rsidR="001404F7" w:rsidRPr="006447FF" w:rsidRDefault="001404F7" w:rsidP="003A047F">
      <w:pPr>
        <w:rPr>
          <w:rFonts w:eastAsia="Times New Roman" w:cstheme="majorBidi"/>
          <w:bCs/>
          <w:sz w:val="28"/>
          <w:lang w:eastAsia="en-AU"/>
        </w:rPr>
      </w:pPr>
      <w:r w:rsidRPr="006447FF">
        <w:rPr>
          <w:rFonts w:eastAsia="Times New Roman" w:cstheme="majorBidi"/>
          <w:bCs/>
          <w:sz w:val="28"/>
          <w:lang w:eastAsia="en-AU"/>
        </w:rPr>
        <w:lastRenderedPageBreak/>
        <w:t>Chapter 2.1</w:t>
      </w:r>
    </w:p>
    <w:p w14:paraId="1C0664D8" w14:textId="77777777" w:rsidR="001404F7" w:rsidRPr="00B263E8" w:rsidRDefault="001404F7" w:rsidP="001404F7">
      <w:pPr>
        <w:spacing w:after="0" w:line="280" w:lineRule="atLeast"/>
        <w:outlineLvl w:val="1"/>
        <w:rPr>
          <w:rFonts w:ascii="Georgia" w:eastAsiaTheme="majorEastAsia" w:hAnsi="Georgia" w:cstheme="majorBidi"/>
          <w:bCs/>
          <w:color w:val="005A70"/>
          <w:sz w:val="52"/>
          <w:szCs w:val="26"/>
        </w:rPr>
      </w:pPr>
      <w:r w:rsidRPr="00B263E8">
        <w:rPr>
          <w:rFonts w:ascii="Georgia" w:eastAsiaTheme="majorEastAsia" w:hAnsi="Georgia" w:cstheme="majorBidi"/>
          <w:bCs/>
          <w:color w:val="005A70"/>
          <w:sz w:val="52"/>
          <w:szCs w:val="26"/>
        </w:rPr>
        <w:t>Purpose 1 — Social Security</w:t>
      </w:r>
    </w:p>
    <w:p w14:paraId="3C576306" w14:textId="77777777" w:rsidR="001404F7" w:rsidRPr="00022526" w:rsidRDefault="001404F7" w:rsidP="001404F7">
      <w:pPr>
        <w:rPr>
          <w:rFonts w:cs="Arial"/>
          <w:sz w:val="20"/>
          <w:szCs w:val="20"/>
        </w:rPr>
      </w:pPr>
      <w:r w:rsidRPr="00022526">
        <w:rPr>
          <w:rFonts w:cs="Arial"/>
          <w:sz w:val="20"/>
          <w:szCs w:val="20"/>
        </w:rPr>
        <w:t>Encourage self-reliance and support people who cannot fully support themselves by providing sustainable social security payments and assistance.</w:t>
      </w:r>
    </w:p>
    <w:p w14:paraId="7F7EABA0" w14:textId="77777777" w:rsidR="001404F7" w:rsidRPr="00054A67" w:rsidRDefault="001404F7" w:rsidP="001404F7">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t>Summary and analysis of Outcome 1 performance</w:t>
      </w:r>
    </w:p>
    <w:p w14:paraId="398B2026" w14:textId="77777777" w:rsidR="001404F7" w:rsidRPr="00022526" w:rsidRDefault="001404F7" w:rsidP="001404F7">
      <w:pPr>
        <w:rPr>
          <w:rFonts w:cs="Arial"/>
          <w:sz w:val="20"/>
          <w:szCs w:val="20"/>
        </w:rPr>
      </w:pPr>
      <w:r w:rsidRPr="00022526">
        <w:rPr>
          <w:rFonts w:cs="Arial"/>
          <w:sz w:val="20"/>
          <w:szCs w:val="20"/>
        </w:rPr>
        <w:t>The social security system promotes self-reliance and aims to break the cycle of long-term welfare dependence, while providing adequate support for those who need it.</w:t>
      </w:r>
    </w:p>
    <w:p w14:paraId="295D1192" w14:textId="77777777" w:rsidR="001404F7" w:rsidRDefault="001404F7" w:rsidP="001404F7">
      <w:pPr>
        <w:rPr>
          <w:rFonts w:cs="Arial"/>
          <w:sz w:val="20"/>
          <w:szCs w:val="20"/>
        </w:rPr>
      </w:pPr>
      <w:r w:rsidRPr="00022526">
        <w:rPr>
          <w:rFonts w:cs="Arial"/>
          <w:sz w:val="20"/>
          <w:szCs w:val="20"/>
        </w:rPr>
        <w:t xml:space="preserve">The sustainability of the social security system and the capacity of people to achieve and maintain financial self-reliance over their lifetime relies on many factors, some beyond the direct influence of </w:t>
      </w:r>
      <w:r>
        <w:rPr>
          <w:rFonts w:cs="Arial"/>
          <w:sz w:val="20"/>
          <w:szCs w:val="20"/>
        </w:rPr>
        <w:t>the</w:t>
      </w:r>
      <w:r w:rsidRPr="00022526">
        <w:rPr>
          <w:rFonts w:cs="Arial"/>
          <w:sz w:val="20"/>
          <w:szCs w:val="20"/>
        </w:rPr>
        <w:t xml:space="preserve"> department. These factors include labour market conditions, availability and alignment of education and job opportunities, and increasing life expectancy. We work in close partnership with other Australian Government agencies to develop and implement cross-portfolio strategies aimed at influencing these and other factors in order to deliver an efficient and effective social security system.</w:t>
      </w:r>
    </w:p>
    <w:p w14:paraId="7277D79E" w14:textId="3793CE78" w:rsidR="001404F7" w:rsidRPr="00577E4E" w:rsidRDefault="001404F7" w:rsidP="001404F7">
      <w:pPr>
        <w:rPr>
          <w:rFonts w:cs="Arial"/>
          <w:sz w:val="20"/>
          <w:szCs w:val="20"/>
        </w:rPr>
      </w:pPr>
      <w:r>
        <w:rPr>
          <w:rFonts w:cs="Arial"/>
          <w:sz w:val="20"/>
          <w:szCs w:val="20"/>
        </w:rPr>
        <w:t>In the past year, t</w:t>
      </w:r>
      <w:r w:rsidRPr="00577E4E">
        <w:rPr>
          <w:rFonts w:cs="Arial"/>
          <w:sz w:val="20"/>
          <w:szCs w:val="20"/>
        </w:rPr>
        <w:t>he social security system has demonstrated its flexibility and responsiveness to supporting Australians in need. In February 2020, the proportion of working</w:t>
      </w:r>
      <w:r>
        <w:rPr>
          <w:rFonts w:cs="Arial"/>
          <w:sz w:val="20"/>
          <w:szCs w:val="20"/>
        </w:rPr>
        <w:t xml:space="preserve"> </w:t>
      </w:r>
      <w:r w:rsidRPr="00577E4E">
        <w:rPr>
          <w:rFonts w:cs="Arial"/>
          <w:sz w:val="20"/>
          <w:szCs w:val="20"/>
        </w:rPr>
        <w:t>age Australians receiving welfare benefits had fallen to its lowest level in more than 30 years, with 13.5 per cent of the working</w:t>
      </w:r>
      <w:r>
        <w:rPr>
          <w:rFonts w:cs="Arial"/>
          <w:sz w:val="20"/>
          <w:szCs w:val="20"/>
        </w:rPr>
        <w:t xml:space="preserve"> </w:t>
      </w:r>
      <w:r w:rsidRPr="00577E4E">
        <w:rPr>
          <w:rFonts w:cs="Arial"/>
          <w:sz w:val="20"/>
          <w:szCs w:val="20"/>
        </w:rPr>
        <w:t>age population receiving working</w:t>
      </w:r>
      <w:r>
        <w:rPr>
          <w:rFonts w:cs="Arial"/>
          <w:sz w:val="20"/>
          <w:szCs w:val="20"/>
        </w:rPr>
        <w:t xml:space="preserve"> </w:t>
      </w:r>
      <w:r w:rsidRPr="00577E4E">
        <w:rPr>
          <w:rFonts w:cs="Arial"/>
          <w:sz w:val="20"/>
          <w:szCs w:val="20"/>
        </w:rPr>
        <w:t>age income support payments at June 2019. This was a drop from the previous year’s level of 14.3 per cent and a significant reduction over the previous decade when</w:t>
      </w:r>
      <w:r w:rsidR="00532B37">
        <w:rPr>
          <w:rFonts w:cs="Arial"/>
          <w:sz w:val="20"/>
          <w:szCs w:val="20"/>
        </w:rPr>
        <w:br/>
      </w:r>
      <w:r w:rsidRPr="00577E4E">
        <w:rPr>
          <w:rFonts w:cs="Arial"/>
          <w:sz w:val="20"/>
          <w:szCs w:val="20"/>
        </w:rPr>
        <w:t>in 2009 the proportion of working</w:t>
      </w:r>
      <w:r>
        <w:rPr>
          <w:rFonts w:cs="Arial"/>
          <w:sz w:val="20"/>
          <w:szCs w:val="20"/>
        </w:rPr>
        <w:t xml:space="preserve"> </w:t>
      </w:r>
      <w:r w:rsidRPr="00577E4E">
        <w:rPr>
          <w:rFonts w:cs="Arial"/>
          <w:sz w:val="20"/>
          <w:szCs w:val="20"/>
        </w:rPr>
        <w:t>age Australians relying on welfare was 17.2 per cent.</w:t>
      </w:r>
    </w:p>
    <w:p w14:paraId="7A97B078" w14:textId="77777777" w:rsidR="001404F7" w:rsidRPr="00577E4E" w:rsidRDefault="001404F7" w:rsidP="001404F7">
      <w:pPr>
        <w:rPr>
          <w:rFonts w:cs="Arial"/>
          <w:sz w:val="20"/>
          <w:szCs w:val="20"/>
        </w:rPr>
      </w:pPr>
      <w:r w:rsidRPr="00577E4E">
        <w:rPr>
          <w:rFonts w:cs="Arial"/>
          <w:sz w:val="20"/>
          <w:szCs w:val="20"/>
        </w:rPr>
        <w:t xml:space="preserve">The social security system was able to rapidly respond to the economic impacts resulting from health measures put in place to protect Australians from the </w:t>
      </w:r>
      <w:r>
        <w:rPr>
          <w:rFonts w:cs="Arial"/>
          <w:sz w:val="20"/>
          <w:szCs w:val="20"/>
        </w:rPr>
        <w:t>COVID-19</w:t>
      </w:r>
      <w:r w:rsidRPr="00577E4E">
        <w:rPr>
          <w:rFonts w:cs="Arial"/>
          <w:sz w:val="20"/>
          <w:szCs w:val="20"/>
        </w:rPr>
        <w:t xml:space="preserve"> pandemic. Between March and April 2020, the number of income support recipients increased by </w:t>
      </w:r>
      <w:r w:rsidRPr="003A047F">
        <w:rPr>
          <w:rFonts w:cs="Arial"/>
          <w:sz w:val="20"/>
          <w:szCs w:val="20"/>
        </w:rPr>
        <w:t>9.9 per cent from 5.0 million to 5.5 million</w:t>
      </w:r>
      <w:r w:rsidRPr="00370874">
        <w:rPr>
          <w:rFonts w:cs="Arial"/>
          <w:sz w:val="20"/>
          <w:szCs w:val="20"/>
        </w:rPr>
        <w:t xml:space="preserve"> </w:t>
      </w:r>
      <w:r w:rsidRPr="00577E4E">
        <w:rPr>
          <w:rFonts w:cs="Arial"/>
          <w:sz w:val="20"/>
          <w:szCs w:val="20"/>
        </w:rPr>
        <w:t>and a range of temporary measures were introduced to the system to support Australians who lost their jobs.</w:t>
      </w:r>
    </w:p>
    <w:tbl>
      <w:tblPr>
        <w:tblStyle w:val="HHorizontaltable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6"/>
        <w:tblCellMar>
          <w:top w:w="227" w:type="dxa"/>
          <w:left w:w="340" w:type="dxa"/>
          <w:bottom w:w="227" w:type="dxa"/>
          <w:right w:w="340" w:type="dxa"/>
        </w:tblCellMar>
        <w:tblLook w:val="04A0" w:firstRow="1" w:lastRow="0" w:firstColumn="1" w:lastColumn="0" w:noHBand="0" w:noVBand="1"/>
        <w:tblCaption w:val="Purpose 1: Social Security Key results"/>
        <w:tblDescription w:val="Key Results for Purpose 1: Social Security"/>
      </w:tblPr>
      <w:tblGrid>
        <w:gridCol w:w="9026"/>
      </w:tblGrid>
      <w:tr w:rsidR="001404F7" w:rsidRPr="00E52452" w14:paraId="57617E4C" w14:textId="77777777" w:rsidTr="001404F7">
        <w:trPr>
          <w:tblHeader/>
        </w:trPr>
        <w:tc>
          <w:tcPr>
            <w:tcW w:w="5000" w:type="pct"/>
            <w:shd w:val="clear" w:color="auto" w:fill="D9D9D6"/>
            <w:hideMark/>
          </w:tcPr>
          <w:p w14:paraId="2859F756" w14:textId="77777777" w:rsidR="001404F7" w:rsidRPr="00D13460" w:rsidRDefault="001404F7" w:rsidP="00D13460">
            <w:pPr>
              <w:shd w:val="clear" w:color="auto" w:fill="00B0B9"/>
              <w:spacing w:before="120" w:after="120"/>
              <w:ind w:right="-576"/>
              <w:outlineLvl w:val="6"/>
              <w:rPr>
                <w:rFonts w:eastAsiaTheme="majorEastAsia" w:cstheme="majorBidi"/>
                <w:b/>
                <w:iCs/>
                <w:sz w:val="26"/>
              </w:rPr>
            </w:pPr>
            <w:r w:rsidRPr="00D13460">
              <w:rPr>
                <w:rFonts w:eastAsiaTheme="majorEastAsia" w:cstheme="majorBidi"/>
                <w:b/>
                <w:iCs/>
                <w:sz w:val="24"/>
              </w:rPr>
              <w:lastRenderedPageBreak/>
              <w:t>Key results</w:t>
            </w:r>
          </w:p>
          <w:p w14:paraId="1E726EF1" w14:textId="77777777" w:rsidR="001404F7" w:rsidRDefault="001404F7" w:rsidP="001404F7">
            <w:pPr>
              <w:tabs>
                <w:tab w:val="num" w:pos="644"/>
              </w:tabs>
              <w:spacing w:before="60" w:after="120" w:line="260" w:lineRule="atLeast"/>
              <w:rPr>
                <w:sz w:val="20"/>
                <w:szCs w:val="20"/>
              </w:rPr>
            </w:pPr>
            <w:r w:rsidRPr="000A4785">
              <w:rPr>
                <w:sz w:val="20"/>
                <w:szCs w:val="20"/>
              </w:rPr>
              <w:t xml:space="preserve">In the past year, </w:t>
            </w:r>
            <w:r>
              <w:rPr>
                <w:sz w:val="20"/>
                <w:szCs w:val="20"/>
              </w:rPr>
              <w:t xml:space="preserve">some of </w:t>
            </w:r>
            <w:r w:rsidRPr="000A4785">
              <w:rPr>
                <w:sz w:val="20"/>
                <w:szCs w:val="20"/>
              </w:rPr>
              <w:t xml:space="preserve">our contributions to improving outcomes for </w:t>
            </w:r>
            <w:r>
              <w:rPr>
                <w:sz w:val="20"/>
                <w:szCs w:val="20"/>
              </w:rPr>
              <w:t>sustainability of the social security system</w:t>
            </w:r>
            <w:r w:rsidRPr="000A4785">
              <w:rPr>
                <w:sz w:val="20"/>
                <w:szCs w:val="20"/>
              </w:rPr>
              <w:t xml:space="preserve"> include</w:t>
            </w:r>
            <w:r>
              <w:rPr>
                <w:sz w:val="20"/>
                <w:szCs w:val="20"/>
              </w:rPr>
              <w:t>:</w:t>
            </w:r>
          </w:p>
          <w:p w14:paraId="2716DF15" w14:textId="181F75CF" w:rsidR="001404F7" w:rsidRPr="00E009D1" w:rsidRDefault="001404F7" w:rsidP="003A047F">
            <w:pPr>
              <w:numPr>
                <w:ilvl w:val="0"/>
                <w:numId w:val="102"/>
              </w:numPr>
              <w:tabs>
                <w:tab w:val="num" w:pos="644"/>
              </w:tabs>
              <w:spacing w:before="60" w:after="120" w:line="260" w:lineRule="atLeast"/>
              <w:rPr>
                <w:rFonts w:cs="Arial"/>
                <w:iCs/>
                <w:sz w:val="20"/>
                <w:szCs w:val="20"/>
              </w:rPr>
            </w:pPr>
            <w:r>
              <w:rPr>
                <w:spacing w:val="4"/>
                <w:sz w:val="20"/>
                <w:szCs w:val="20"/>
              </w:rPr>
              <w:t>F</w:t>
            </w:r>
            <w:r w:rsidRPr="00E009D1">
              <w:rPr>
                <w:spacing w:val="4"/>
                <w:sz w:val="20"/>
                <w:szCs w:val="20"/>
              </w:rPr>
              <w:t>rom</w:t>
            </w:r>
            <w:r w:rsidRPr="00E009D1">
              <w:rPr>
                <w:rFonts w:cs="Arial"/>
                <w:iCs/>
                <w:sz w:val="20"/>
                <w:szCs w:val="20"/>
              </w:rPr>
              <w:t xml:space="preserve"> 20 March 2020, seven existing payments started </w:t>
            </w:r>
            <w:r>
              <w:rPr>
                <w:rFonts w:cs="Arial"/>
                <w:iCs/>
                <w:sz w:val="20"/>
                <w:szCs w:val="20"/>
              </w:rPr>
              <w:t xml:space="preserve">to </w:t>
            </w:r>
            <w:r w:rsidRPr="00E009D1">
              <w:rPr>
                <w:rFonts w:cs="Arial"/>
                <w:iCs/>
                <w:sz w:val="20"/>
                <w:szCs w:val="20"/>
              </w:rPr>
              <w:t>progressively ceas</w:t>
            </w:r>
            <w:r>
              <w:rPr>
                <w:rFonts w:cs="Arial"/>
                <w:iCs/>
                <w:sz w:val="20"/>
                <w:szCs w:val="20"/>
              </w:rPr>
              <w:t>e</w:t>
            </w:r>
            <w:r w:rsidRPr="00E009D1">
              <w:rPr>
                <w:rFonts w:cs="Arial"/>
                <w:iCs/>
                <w:sz w:val="20"/>
                <w:szCs w:val="20"/>
              </w:rPr>
              <w:t xml:space="preserve"> and the </w:t>
            </w:r>
            <w:proofErr w:type="spellStart"/>
            <w:r w:rsidRPr="00E009D1">
              <w:rPr>
                <w:rFonts w:cs="Arial"/>
                <w:iCs/>
                <w:sz w:val="20"/>
                <w:szCs w:val="20"/>
              </w:rPr>
              <w:t>JobSeeker</w:t>
            </w:r>
            <w:proofErr w:type="spellEnd"/>
            <w:r w:rsidRPr="00E009D1">
              <w:rPr>
                <w:rFonts w:cs="Arial"/>
                <w:iCs/>
                <w:sz w:val="20"/>
                <w:szCs w:val="20"/>
              </w:rPr>
              <w:t xml:space="preserve"> Payment was created as the main payment for working</w:t>
            </w:r>
            <w:r>
              <w:rPr>
                <w:rFonts w:cs="Arial"/>
                <w:iCs/>
                <w:sz w:val="20"/>
                <w:szCs w:val="20"/>
              </w:rPr>
              <w:t xml:space="preserve"> </w:t>
            </w:r>
            <w:r w:rsidRPr="00E009D1">
              <w:rPr>
                <w:rFonts w:cs="Arial"/>
                <w:iCs/>
                <w:sz w:val="20"/>
                <w:szCs w:val="20"/>
              </w:rPr>
              <w:t>age Australians, making the social security system easier and simpler to navigate</w:t>
            </w:r>
          </w:p>
          <w:p w14:paraId="3378DFB4" w14:textId="77777777" w:rsidR="001404F7" w:rsidRPr="00E009D1" w:rsidRDefault="001404F7" w:rsidP="003A047F">
            <w:pPr>
              <w:numPr>
                <w:ilvl w:val="0"/>
                <w:numId w:val="102"/>
              </w:numPr>
              <w:tabs>
                <w:tab w:val="num" w:pos="644"/>
              </w:tabs>
              <w:spacing w:before="60" w:after="120" w:line="260" w:lineRule="atLeast"/>
              <w:rPr>
                <w:rFonts w:cs="Arial"/>
                <w:iCs/>
                <w:sz w:val="20"/>
                <w:szCs w:val="20"/>
              </w:rPr>
            </w:pPr>
            <w:r>
              <w:rPr>
                <w:rFonts w:cs="Arial"/>
                <w:iCs/>
                <w:sz w:val="20"/>
                <w:szCs w:val="20"/>
              </w:rPr>
              <w:t>A</w:t>
            </w:r>
            <w:r w:rsidRPr="00E009D1">
              <w:rPr>
                <w:rFonts w:cs="Arial"/>
                <w:iCs/>
                <w:sz w:val="20"/>
                <w:szCs w:val="20"/>
              </w:rPr>
              <w:t xml:space="preserve">t the commencement of the unprecedented health </w:t>
            </w:r>
            <w:r>
              <w:rPr>
                <w:rFonts w:cs="Arial"/>
                <w:iCs/>
                <w:sz w:val="20"/>
                <w:szCs w:val="20"/>
              </w:rPr>
              <w:t xml:space="preserve">and economic </w:t>
            </w:r>
            <w:r w:rsidRPr="00E009D1">
              <w:rPr>
                <w:rFonts w:cs="Arial"/>
                <w:iCs/>
                <w:sz w:val="20"/>
                <w:szCs w:val="20"/>
              </w:rPr>
              <w:t>crisis</w:t>
            </w:r>
            <w:r>
              <w:rPr>
                <w:rFonts w:cs="Arial"/>
                <w:iCs/>
                <w:sz w:val="20"/>
                <w:szCs w:val="20"/>
              </w:rPr>
              <w:t>,</w:t>
            </w:r>
            <w:r w:rsidRPr="00E009D1">
              <w:rPr>
                <w:rFonts w:cs="Arial"/>
                <w:iCs/>
                <w:sz w:val="20"/>
                <w:szCs w:val="20"/>
              </w:rPr>
              <w:t xml:space="preserve"> caused by the </w:t>
            </w:r>
            <w:r>
              <w:rPr>
                <w:rFonts w:cs="Arial"/>
                <w:iCs/>
                <w:sz w:val="20"/>
                <w:szCs w:val="20"/>
              </w:rPr>
              <w:t>COVID-19</w:t>
            </w:r>
            <w:r w:rsidRPr="00E009D1">
              <w:rPr>
                <w:rFonts w:cs="Arial"/>
                <w:iCs/>
                <w:sz w:val="20"/>
                <w:szCs w:val="20"/>
              </w:rPr>
              <w:t xml:space="preserve"> pandemic, additional financial support was provided through the social security system</w:t>
            </w:r>
            <w:r>
              <w:rPr>
                <w:rFonts w:cs="Arial"/>
                <w:iCs/>
                <w:sz w:val="20"/>
                <w:szCs w:val="20"/>
              </w:rPr>
              <w:t>, including:</w:t>
            </w:r>
          </w:p>
          <w:p w14:paraId="3F2AC346" w14:textId="77777777" w:rsidR="001404F7" w:rsidRPr="00E009D1" w:rsidRDefault="001404F7" w:rsidP="001404F7">
            <w:pPr>
              <w:numPr>
                <w:ilvl w:val="0"/>
                <w:numId w:val="82"/>
              </w:numPr>
              <w:spacing w:before="60" w:after="120" w:line="260" w:lineRule="atLeast"/>
              <w:ind w:left="1003" w:hanging="357"/>
              <w:rPr>
                <w:rFonts w:cs="Arial"/>
                <w:iCs/>
                <w:sz w:val="20"/>
                <w:szCs w:val="20"/>
              </w:rPr>
            </w:pPr>
            <w:r>
              <w:rPr>
                <w:rFonts w:cs="Arial"/>
                <w:iCs/>
                <w:sz w:val="20"/>
                <w:szCs w:val="20"/>
              </w:rPr>
              <w:t>a $750</w:t>
            </w:r>
            <w:r w:rsidRPr="00E009D1">
              <w:rPr>
                <w:rFonts w:cs="Arial"/>
                <w:iCs/>
                <w:sz w:val="20"/>
                <w:szCs w:val="20"/>
              </w:rPr>
              <w:t xml:space="preserve"> Economic Support Payment </w:t>
            </w:r>
            <w:r>
              <w:rPr>
                <w:rFonts w:cs="Arial"/>
                <w:iCs/>
                <w:sz w:val="20"/>
                <w:szCs w:val="20"/>
              </w:rPr>
              <w:t xml:space="preserve">for </w:t>
            </w:r>
            <w:r w:rsidRPr="00E009D1">
              <w:rPr>
                <w:rFonts w:cs="Arial"/>
                <w:iCs/>
                <w:sz w:val="20"/>
                <w:szCs w:val="20"/>
              </w:rPr>
              <w:t xml:space="preserve">eligible income support </w:t>
            </w:r>
            <w:r>
              <w:rPr>
                <w:rFonts w:cs="Arial"/>
                <w:iCs/>
                <w:sz w:val="20"/>
                <w:szCs w:val="20"/>
              </w:rPr>
              <w:t>and</w:t>
            </w:r>
            <w:r>
              <w:rPr>
                <w:rFonts w:cs="Arial"/>
                <w:iCs/>
                <w:sz w:val="20"/>
                <w:szCs w:val="20"/>
              </w:rPr>
              <w:br/>
              <w:t xml:space="preserve">Family Tax Benefit </w:t>
            </w:r>
            <w:r w:rsidRPr="00E009D1">
              <w:rPr>
                <w:rFonts w:cs="Arial"/>
                <w:iCs/>
                <w:sz w:val="20"/>
                <w:szCs w:val="20"/>
              </w:rPr>
              <w:t>recipients and concession c</w:t>
            </w:r>
            <w:r>
              <w:rPr>
                <w:rFonts w:cs="Arial"/>
                <w:iCs/>
                <w:sz w:val="20"/>
                <w:szCs w:val="20"/>
              </w:rPr>
              <w:t>ard holders from 31 March 2020</w:t>
            </w:r>
          </w:p>
          <w:p w14:paraId="669227D3" w14:textId="77777777" w:rsidR="001404F7" w:rsidRPr="00E009D1" w:rsidRDefault="001404F7" w:rsidP="001404F7">
            <w:pPr>
              <w:numPr>
                <w:ilvl w:val="0"/>
                <w:numId w:val="82"/>
              </w:numPr>
              <w:spacing w:before="60" w:after="120" w:line="260" w:lineRule="atLeast"/>
              <w:ind w:left="1003" w:hanging="357"/>
              <w:rPr>
                <w:rFonts w:cs="Arial"/>
                <w:iCs/>
                <w:sz w:val="20"/>
                <w:szCs w:val="20"/>
              </w:rPr>
            </w:pPr>
            <w:r w:rsidRPr="00E009D1">
              <w:rPr>
                <w:rFonts w:cs="Arial"/>
                <w:iCs/>
                <w:sz w:val="20"/>
                <w:szCs w:val="20"/>
              </w:rPr>
              <w:t xml:space="preserve">a temporary Coronavirus Supplement for eligible </w:t>
            </w:r>
            <w:r>
              <w:rPr>
                <w:rFonts w:cs="Arial"/>
                <w:iCs/>
                <w:sz w:val="20"/>
                <w:szCs w:val="20"/>
              </w:rPr>
              <w:t>payments from 27 April 2020</w:t>
            </w:r>
          </w:p>
          <w:p w14:paraId="100EA9DD" w14:textId="0F609A04" w:rsidR="001404F7" w:rsidRDefault="001404F7" w:rsidP="001404F7">
            <w:pPr>
              <w:numPr>
                <w:ilvl w:val="0"/>
                <w:numId w:val="82"/>
              </w:numPr>
              <w:spacing w:before="60" w:after="120" w:line="260" w:lineRule="atLeast"/>
              <w:ind w:left="1003" w:hanging="357"/>
              <w:rPr>
                <w:rFonts w:cs="Arial"/>
                <w:iCs/>
                <w:sz w:val="20"/>
                <w:szCs w:val="20"/>
              </w:rPr>
            </w:pPr>
            <w:r w:rsidRPr="00E009D1">
              <w:rPr>
                <w:rFonts w:cs="Arial"/>
                <w:iCs/>
                <w:sz w:val="20"/>
                <w:szCs w:val="20"/>
              </w:rPr>
              <w:t>temporary change</w:t>
            </w:r>
            <w:r>
              <w:rPr>
                <w:rFonts w:cs="Arial"/>
                <w:iCs/>
                <w:sz w:val="20"/>
                <w:szCs w:val="20"/>
              </w:rPr>
              <w:t>s</w:t>
            </w:r>
            <w:r w:rsidRPr="00E009D1">
              <w:rPr>
                <w:rFonts w:cs="Arial"/>
                <w:iCs/>
                <w:sz w:val="20"/>
                <w:szCs w:val="20"/>
              </w:rPr>
              <w:t xml:space="preserve"> to the partner income test for </w:t>
            </w:r>
            <w:proofErr w:type="spellStart"/>
            <w:r w:rsidRPr="00E009D1">
              <w:rPr>
                <w:rFonts w:cs="Arial"/>
                <w:iCs/>
                <w:sz w:val="20"/>
                <w:szCs w:val="20"/>
              </w:rPr>
              <w:t>JobSe</w:t>
            </w:r>
            <w:r>
              <w:rPr>
                <w:rFonts w:cs="Arial"/>
                <w:iCs/>
                <w:sz w:val="20"/>
                <w:szCs w:val="20"/>
              </w:rPr>
              <w:t>eker</w:t>
            </w:r>
            <w:proofErr w:type="spellEnd"/>
            <w:r>
              <w:rPr>
                <w:rFonts w:cs="Arial"/>
                <w:iCs/>
                <w:sz w:val="20"/>
                <w:szCs w:val="20"/>
              </w:rPr>
              <w:t xml:space="preserve"> Payment from</w:t>
            </w:r>
            <w:r w:rsidR="00532B37">
              <w:rPr>
                <w:rFonts w:cs="Arial"/>
                <w:iCs/>
                <w:sz w:val="20"/>
                <w:szCs w:val="20"/>
              </w:rPr>
              <w:br/>
            </w:r>
            <w:r>
              <w:rPr>
                <w:rFonts w:cs="Arial"/>
                <w:iCs/>
                <w:sz w:val="20"/>
                <w:szCs w:val="20"/>
              </w:rPr>
              <w:t>27 April 2020</w:t>
            </w:r>
          </w:p>
          <w:p w14:paraId="1D973F74" w14:textId="202937E2" w:rsidR="001404F7" w:rsidRPr="001855F1" w:rsidRDefault="001404F7" w:rsidP="001404F7">
            <w:pPr>
              <w:numPr>
                <w:ilvl w:val="0"/>
                <w:numId w:val="82"/>
              </w:numPr>
              <w:spacing w:before="60" w:after="120" w:line="260" w:lineRule="atLeast"/>
              <w:ind w:left="1003" w:hanging="357"/>
            </w:pPr>
            <w:r>
              <w:rPr>
                <w:rFonts w:cs="Arial"/>
                <w:iCs/>
                <w:sz w:val="20"/>
                <w:szCs w:val="20"/>
              </w:rPr>
              <w:t xml:space="preserve">a reduction in </w:t>
            </w:r>
            <w:r w:rsidR="00FD5421">
              <w:rPr>
                <w:rFonts w:cs="Arial"/>
                <w:iCs/>
                <w:sz w:val="20"/>
                <w:szCs w:val="20"/>
              </w:rPr>
              <w:t>s</w:t>
            </w:r>
            <w:r>
              <w:rPr>
                <w:rFonts w:cs="Arial"/>
                <w:iCs/>
                <w:sz w:val="20"/>
                <w:szCs w:val="20"/>
              </w:rPr>
              <w:t xml:space="preserve">ocial security </w:t>
            </w:r>
            <w:r w:rsidRPr="00D354C8">
              <w:rPr>
                <w:rFonts w:cs="Arial"/>
                <w:iCs/>
                <w:sz w:val="20"/>
                <w:szCs w:val="20"/>
              </w:rPr>
              <w:t>deeming rate</w:t>
            </w:r>
            <w:r>
              <w:rPr>
                <w:rFonts w:cs="Arial"/>
                <w:iCs/>
                <w:sz w:val="20"/>
                <w:szCs w:val="20"/>
              </w:rPr>
              <w:t xml:space="preserve">s </w:t>
            </w:r>
            <w:r w:rsidRPr="00D354C8">
              <w:rPr>
                <w:rFonts w:cs="Arial"/>
                <w:iCs/>
                <w:sz w:val="20"/>
                <w:szCs w:val="20"/>
              </w:rPr>
              <w:t>to reflect changed market conditions</w:t>
            </w:r>
          </w:p>
          <w:p w14:paraId="4E6A1982" w14:textId="023B1894" w:rsidR="001404F7" w:rsidRPr="00454075" w:rsidRDefault="001404F7" w:rsidP="003A047F">
            <w:pPr>
              <w:numPr>
                <w:ilvl w:val="0"/>
                <w:numId w:val="103"/>
              </w:numPr>
              <w:spacing w:before="60" w:after="120" w:line="260" w:lineRule="atLeast"/>
              <w:rPr>
                <w:spacing w:val="4"/>
                <w:sz w:val="20"/>
                <w:szCs w:val="20"/>
              </w:rPr>
            </w:pPr>
            <w:r>
              <w:rPr>
                <w:spacing w:val="4"/>
                <w:sz w:val="20"/>
                <w:szCs w:val="20"/>
              </w:rPr>
              <w:t>S</w:t>
            </w:r>
            <w:r w:rsidRPr="00EB3351">
              <w:rPr>
                <w:spacing w:val="4"/>
                <w:sz w:val="20"/>
                <w:szCs w:val="20"/>
              </w:rPr>
              <w:t>upport</w:t>
            </w:r>
            <w:r>
              <w:rPr>
                <w:spacing w:val="4"/>
                <w:sz w:val="20"/>
                <w:szCs w:val="20"/>
              </w:rPr>
              <w:t xml:space="preserve"> was given to</w:t>
            </w:r>
            <w:r w:rsidRPr="00EB3351">
              <w:rPr>
                <w:spacing w:val="4"/>
                <w:sz w:val="20"/>
                <w:szCs w:val="20"/>
              </w:rPr>
              <w:t xml:space="preserve"> over 4,000 participants to receive services in 2019</w:t>
            </w:r>
            <w:r>
              <w:rPr>
                <w:spacing w:val="4"/>
                <w:sz w:val="20"/>
                <w:szCs w:val="20"/>
              </w:rPr>
              <w:t>–</w:t>
            </w:r>
            <w:r w:rsidRPr="00EB3351">
              <w:rPr>
                <w:spacing w:val="4"/>
                <w:sz w:val="20"/>
                <w:szCs w:val="20"/>
              </w:rPr>
              <w:t>20 under the Try, Test and Learn Fund, which trial</w:t>
            </w:r>
            <w:r>
              <w:rPr>
                <w:spacing w:val="4"/>
                <w:sz w:val="20"/>
                <w:szCs w:val="20"/>
              </w:rPr>
              <w:t>s</w:t>
            </w:r>
            <w:r w:rsidRPr="00EB3351">
              <w:rPr>
                <w:spacing w:val="4"/>
                <w:sz w:val="20"/>
                <w:szCs w:val="20"/>
              </w:rPr>
              <w:t xml:space="preserve"> new and innovative ways of reducing long-term welfare dependence among at-risk cohorts</w:t>
            </w:r>
            <w:r w:rsidR="00D92519">
              <w:rPr>
                <w:spacing w:val="4"/>
                <w:sz w:val="20"/>
                <w:szCs w:val="20"/>
              </w:rPr>
              <w:t>.</w:t>
            </w:r>
          </w:p>
        </w:tc>
      </w:tr>
    </w:tbl>
    <w:p w14:paraId="5236FCEE" w14:textId="77777777" w:rsidR="001404F7" w:rsidRDefault="001404F7" w:rsidP="001404F7">
      <w:pPr>
        <w:rPr>
          <w:sz w:val="20"/>
        </w:rPr>
      </w:pPr>
    </w:p>
    <w:p w14:paraId="09FB0AB7" w14:textId="77777777" w:rsidR="00715F6F" w:rsidRDefault="00715F6F" w:rsidP="001404F7">
      <w:pPr>
        <w:rPr>
          <w:sz w:val="20"/>
        </w:rPr>
        <w:sectPr w:rsidR="00715F6F" w:rsidSect="00585891">
          <w:footnotePr>
            <w:numRestart w:val="eachPage"/>
          </w:footnotePr>
          <w:pgSz w:w="11906" w:h="16838"/>
          <w:pgMar w:top="1440" w:right="1440" w:bottom="1440" w:left="1440" w:header="709" w:footer="709" w:gutter="0"/>
          <w:cols w:space="708"/>
          <w:docGrid w:linePitch="360"/>
        </w:sectPr>
      </w:pPr>
    </w:p>
    <w:p w14:paraId="58712CAE" w14:textId="77777777" w:rsidR="001404F7" w:rsidRPr="00054A67" w:rsidRDefault="001404F7" w:rsidP="001404F7">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lastRenderedPageBreak/>
        <w:t xml:space="preserve">Outcome 1 Programs and Key Activities </w:t>
      </w:r>
    </w:p>
    <w:p w14:paraId="08CBE336" w14:textId="65643733" w:rsidR="001404F7" w:rsidRPr="00022526" w:rsidRDefault="001404F7" w:rsidP="001404F7">
      <w:pPr>
        <w:rPr>
          <w:rFonts w:cs="Arial"/>
          <w:sz w:val="20"/>
          <w:szCs w:val="20"/>
        </w:rPr>
      </w:pPr>
      <w:r w:rsidRPr="00022526">
        <w:rPr>
          <w:rFonts w:cs="Arial"/>
          <w:sz w:val="20"/>
          <w:szCs w:val="20"/>
        </w:rPr>
        <w:t xml:space="preserve">Outcome 1 comprises 12 programs and a number of activities </w:t>
      </w:r>
      <w:r>
        <w:rPr>
          <w:rFonts w:cs="Arial"/>
          <w:sz w:val="20"/>
          <w:szCs w:val="20"/>
        </w:rPr>
        <w:t>that contribute</w:t>
      </w:r>
      <w:r w:rsidRPr="00022526">
        <w:rPr>
          <w:rFonts w:cs="Arial"/>
          <w:sz w:val="20"/>
          <w:szCs w:val="20"/>
        </w:rPr>
        <w:t xml:space="preserve"> to the achievement of the social security outcome. We support those most in need and help people become and remain financially self-reliant. We provide a range of payments through the administration of a social security system. The tables below outline how the objectives of this purpose were achieved through delivery of measurable activities. Our program performance in 2019</w:t>
      </w:r>
      <w:r>
        <w:rPr>
          <w:rFonts w:cs="Arial"/>
          <w:sz w:val="20"/>
          <w:szCs w:val="20"/>
        </w:rPr>
        <w:t>–</w:t>
      </w:r>
      <w:r w:rsidRPr="00022526">
        <w:rPr>
          <w:rFonts w:cs="Arial"/>
          <w:sz w:val="20"/>
          <w:szCs w:val="20"/>
        </w:rPr>
        <w:t>20 is measured through agreements in place with relevant service providers and the performance of key activities is assessed using</w:t>
      </w:r>
      <w:r w:rsidR="00532B37">
        <w:rPr>
          <w:rFonts w:cs="Arial"/>
          <w:sz w:val="20"/>
          <w:szCs w:val="20"/>
        </w:rPr>
        <w:br/>
      </w:r>
      <w:r w:rsidRPr="00022526">
        <w:rPr>
          <w:rFonts w:cs="Arial"/>
          <w:sz w:val="20"/>
          <w:szCs w:val="20"/>
        </w:rPr>
        <w:t>cross</w:t>
      </w:r>
      <w:r>
        <w:rPr>
          <w:rFonts w:cs="Arial"/>
          <w:sz w:val="20"/>
          <w:szCs w:val="20"/>
        </w:rPr>
        <w:t>-</w:t>
      </w:r>
      <w:r w:rsidRPr="00022526">
        <w:rPr>
          <w:rFonts w:cs="Arial"/>
          <w:sz w:val="20"/>
          <w:szCs w:val="20"/>
        </w:rPr>
        <w:t>program performance indicators and measures.</w:t>
      </w:r>
    </w:p>
    <w:p w14:paraId="10D8337C" w14:textId="77777777" w:rsidR="001404F7" w:rsidRPr="00616DEF"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sidRPr="00616DEF">
        <w:rPr>
          <w:rFonts w:ascii="Arial Narrow" w:eastAsia="Times New Roman" w:hAnsi="Arial Narrow" w:cs="Times New Roman"/>
          <w:b/>
          <w:bCs/>
          <w:spacing w:val="4"/>
          <w:sz w:val="20"/>
          <w:szCs w:val="18"/>
          <w:lang w:eastAsia="en-AU"/>
        </w:rPr>
        <w:t xml:space="preserve">Table </w:t>
      </w:r>
      <w:r>
        <w:rPr>
          <w:rFonts w:ascii="Arial Narrow" w:eastAsia="Times New Roman" w:hAnsi="Arial Narrow" w:cs="Times New Roman"/>
          <w:b/>
          <w:bCs/>
          <w:spacing w:val="4"/>
          <w:sz w:val="20"/>
          <w:szCs w:val="18"/>
          <w:lang w:eastAsia="en-AU"/>
        </w:rPr>
        <w:t>2.1.1: Outcome 1 P</w:t>
      </w:r>
      <w:r w:rsidRPr="00616DEF">
        <w:rPr>
          <w:rFonts w:ascii="Arial Narrow" w:eastAsia="Times New Roman" w:hAnsi="Arial Narrow" w:cs="Times New Roman"/>
          <w:b/>
          <w:bCs/>
          <w:spacing w:val="4"/>
          <w:sz w:val="20"/>
          <w:szCs w:val="18"/>
          <w:lang w:eastAsia="en-AU"/>
        </w:rPr>
        <w:t xml:space="preserve">rograms and </w:t>
      </w:r>
      <w:r>
        <w:rPr>
          <w:rFonts w:ascii="Arial Narrow" w:eastAsia="Times New Roman" w:hAnsi="Arial Narrow" w:cs="Times New Roman"/>
          <w:b/>
          <w:bCs/>
          <w:spacing w:val="4"/>
          <w:sz w:val="20"/>
          <w:szCs w:val="18"/>
          <w:lang w:eastAsia="en-AU"/>
        </w:rPr>
        <w:t>Key A</w:t>
      </w:r>
      <w:r w:rsidRPr="00616DEF">
        <w:rPr>
          <w:rFonts w:ascii="Arial Narrow" w:eastAsia="Times New Roman" w:hAnsi="Arial Narrow" w:cs="Times New Roman"/>
          <w:b/>
          <w:bCs/>
          <w:spacing w:val="4"/>
          <w:sz w:val="20"/>
          <w:szCs w:val="18"/>
          <w:lang w:eastAsia="en-AU"/>
        </w:rPr>
        <w:t>ctivities</w:t>
      </w:r>
    </w:p>
    <w:tbl>
      <w:tblPr>
        <w:tblStyle w:val="TableGrid36"/>
        <w:tblW w:w="5000" w:type="pct"/>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Caption w:val="Table 2.1.1: Outcome 1 Programs and Key Activities"/>
        <w:tblDescription w:val="This table identifies the programs and key activities that form Outcome 1"/>
      </w:tblPr>
      <w:tblGrid>
        <w:gridCol w:w="1488"/>
        <w:gridCol w:w="1488"/>
        <w:gridCol w:w="1491"/>
        <w:gridCol w:w="1489"/>
        <w:gridCol w:w="1489"/>
        <w:gridCol w:w="1491"/>
      </w:tblGrid>
      <w:tr w:rsidR="001404F7" w:rsidRPr="00B8126E" w14:paraId="00B1810B" w14:textId="77777777" w:rsidTr="001404F7">
        <w:trPr>
          <w:trHeight w:val="255"/>
          <w:tblHeader/>
          <w:jc w:val="center"/>
        </w:trPr>
        <w:tc>
          <w:tcPr>
            <w:tcW w:w="5000" w:type="pct"/>
            <w:gridSpan w:val="6"/>
            <w:shd w:val="clear" w:color="auto" w:fill="005A70"/>
            <w:vAlign w:val="center"/>
          </w:tcPr>
          <w:p w14:paraId="513BDD9C" w14:textId="77777777" w:rsidR="001404F7" w:rsidRPr="00B8126E" w:rsidRDefault="001404F7" w:rsidP="001404F7">
            <w:pPr>
              <w:spacing w:before="120" w:after="120"/>
              <w:jc w:val="center"/>
              <w:rPr>
                <w:rFonts w:asciiTheme="minorHAnsi" w:hAnsiTheme="minorHAnsi" w:cstheme="minorHAnsi"/>
                <w:b/>
                <w:bCs/>
                <w:color w:val="FFFFFF" w:themeColor="background1"/>
                <w:sz w:val="16"/>
                <w:szCs w:val="16"/>
              </w:rPr>
            </w:pPr>
            <w:r>
              <w:rPr>
                <w:rFonts w:asciiTheme="minorHAnsi" w:hAnsiTheme="minorHAnsi" w:cstheme="minorHAnsi"/>
                <w:b/>
                <w:bCs/>
                <w:color w:val="FFFFFF" w:themeColor="background1"/>
                <w:sz w:val="16"/>
                <w:szCs w:val="16"/>
              </w:rPr>
              <w:t>OUTCOME 1 – SOCIAL SECURITY</w:t>
            </w:r>
          </w:p>
        </w:tc>
      </w:tr>
      <w:tr w:rsidR="001404F7" w:rsidRPr="00B8126E" w14:paraId="61B8337B" w14:textId="77777777" w:rsidTr="001404F7">
        <w:trPr>
          <w:jc w:val="center"/>
        </w:trPr>
        <w:tc>
          <w:tcPr>
            <w:tcW w:w="833" w:type="pct"/>
            <w:shd w:val="clear" w:color="auto" w:fill="00B0B9"/>
          </w:tcPr>
          <w:p w14:paraId="34B02E88" w14:textId="77777777" w:rsidR="001404F7" w:rsidRPr="00D13460" w:rsidRDefault="001404F7" w:rsidP="001404F7">
            <w:pPr>
              <w:spacing w:before="20" w:after="20"/>
              <w:jc w:val="center"/>
              <w:rPr>
                <w:rFonts w:asciiTheme="minorHAnsi" w:hAnsiTheme="minorHAnsi" w:cstheme="minorHAnsi"/>
                <w:sz w:val="16"/>
                <w:szCs w:val="16"/>
              </w:rPr>
            </w:pPr>
            <w:r w:rsidRPr="00D13460">
              <w:rPr>
                <w:rFonts w:asciiTheme="minorHAnsi" w:hAnsiTheme="minorHAnsi" w:cstheme="minorHAnsi"/>
                <w:b/>
                <w:bCs/>
                <w:sz w:val="16"/>
                <w:szCs w:val="16"/>
              </w:rPr>
              <w:t>Program 1.1</w:t>
            </w:r>
          </w:p>
          <w:p w14:paraId="65F5DF56" w14:textId="77777777" w:rsidR="001404F7" w:rsidRPr="00D13460" w:rsidRDefault="001404F7" w:rsidP="001404F7">
            <w:pPr>
              <w:spacing w:before="20" w:after="20"/>
              <w:jc w:val="center"/>
              <w:rPr>
                <w:rFonts w:asciiTheme="minorHAnsi" w:hAnsiTheme="minorHAnsi" w:cstheme="minorHAnsi"/>
                <w:sz w:val="16"/>
                <w:szCs w:val="16"/>
              </w:rPr>
            </w:pPr>
            <w:r w:rsidRPr="00D13460">
              <w:rPr>
                <w:rFonts w:asciiTheme="minorHAnsi" w:hAnsiTheme="minorHAnsi" w:cstheme="minorHAnsi"/>
                <w:b/>
                <w:bCs/>
                <w:sz w:val="16"/>
                <w:szCs w:val="16"/>
              </w:rPr>
              <w:t>Family Tax Benefit</w:t>
            </w:r>
          </w:p>
        </w:tc>
        <w:tc>
          <w:tcPr>
            <w:tcW w:w="833" w:type="pct"/>
            <w:shd w:val="clear" w:color="auto" w:fill="00B0B9"/>
          </w:tcPr>
          <w:p w14:paraId="2485D9F9" w14:textId="77777777" w:rsidR="001404F7" w:rsidRPr="00D13460" w:rsidRDefault="001404F7" w:rsidP="001404F7">
            <w:pPr>
              <w:spacing w:before="20" w:after="20"/>
              <w:jc w:val="center"/>
              <w:rPr>
                <w:rFonts w:asciiTheme="minorHAnsi" w:hAnsiTheme="minorHAnsi" w:cstheme="minorHAnsi"/>
                <w:sz w:val="16"/>
                <w:szCs w:val="16"/>
              </w:rPr>
            </w:pPr>
            <w:r w:rsidRPr="00D13460">
              <w:rPr>
                <w:rFonts w:asciiTheme="minorHAnsi" w:hAnsiTheme="minorHAnsi" w:cstheme="minorHAnsi"/>
                <w:b/>
                <w:bCs/>
                <w:sz w:val="16"/>
                <w:szCs w:val="16"/>
              </w:rPr>
              <w:t>Program 1.2</w:t>
            </w:r>
          </w:p>
          <w:p w14:paraId="3E07DAA8" w14:textId="77777777" w:rsidR="001404F7" w:rsidRPr="00D13460" w:rsidRDefault="001404F7" w:rsidP="001404F7">
            <w:pPr>
              <w:spacing w:before="20" w:after="20"/>
              <w:jc w:val="center"/>
              <w:rPr>
                <w:rFonts w:asciiTheme="minorHAnsi" w:hAnsiTheme="minorHAnsi" w:cstheme="minorHAnsi"/>
                <w:sz w:val="16"/>
                <w:szCs w:val="16"/>
              </w:rPr>
            </w:pPr>
            <w:r w:rsidRPr="00D13460">
              <w:rPr>
                <w:rFonts w:asciiTheme="minorHAnsi" w:hAnsiTheme="minorHAnsi" w:cstheme="minorHAnsi"/>
                <w:b/>
                <w:bCs/>
                <w:sz w:val="16"/>
                <w:szCs w:val="16"/>
              </w:rPr>
              <w:t>Child Payments</w:t>
            </w:r>
          </w:p>
        </w:tc>
        <w:tc>
          <w:tcPr>
            <w:tcW w:w="834" w:type="pct"/>
            <w:shd w:val="clear" w:color="auto" w:fill="00B0B9"/>
          </w:tcPr>
          <w:p w14:paraId="4E5C3785"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Program 1.3</w:t>
            </w:r>
          </w:p>
          <w:p w14:paraId="42CAD703"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Income Support for Vulnerable People</w:t>
            </w:r>
          </w:p>
        </w:tc>
        <w:tc>
          <w:tcPr>
            <w:tcW w:w="833" w:type="pct"/>
            <w:shd w:val="clear" w:color="auto" w:fill="00B0B9"/>
          </w:tcPr>
          <w:p w14:paraId="7AA764EE"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Program 1.4</w:t>
            </w:r>
          </w:p>
          <w:p w14:paraId="02D7EC4F"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Income Support for People in Special Circumstances</w:t>
            </w:r>
          </w:p>
        </w:tc>
        <w:tc>
          <w:tcPr>
            <w:tcW w:w="833" w:type="pct"/>
            <w:shd w:val="clear" w:color="auto" w:fill="00B0B9"/>
          </w:tcPr>
          <w:p w14:paraId="30915144"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Program 1.5</w:t>
            </w:r>
          </w:p>
          <w:p w14:paraId="51E76AE1"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Supplementary Payments and Support for Income Support Recipients</w:t>
            </w:r>
          </w:p>
        </w:tc>
        <w:tc>
          <w:tcPr>
            <w:tcW w:w="834" w:type="pct"/>
            <w:shd w:val="clear" w:color="auto" w:fill="00B0B9"/>
          </w:tcPr>
          <w:p w14:paraId="35FC2E07"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Program 1.6</w:t>
            </w:r>
          </w:p>
          <w:p w14:paraId="267E98CA"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Income Support for Seniors</w:t>
            </w:r>
          </w:p>
        </w:tc>
      </w:tr>
      <w:tr w:rsidR="001404F7" w:rsidRPr="00B8126E" w14:paraId="5F49CFC8" w14:textId="77777777" w:rsidTr="001404F7">
        <w:trPr>
          <w:trHeight w:val="94"/>
          <w:jc w:val="center"/>
        </w:trPr>
        <w:tc>
          <w:tcPr>
            <w:tcW w:w="5000" w:type="pct"/>
            <w:gridSpan w:val="6"/>
            <w:shd w:val="clear" w:color="auto" w:fill="D9D9D6"/>
          </w:tcPr>
          <w:p w14:paraId="729BD511" w14:textId="77777777" w:rsidR="001404F7" w:rsidRPr="00B26083" w:rsidRDefault="001404F7" w:rsidP="001404F7">
            <w:pPr>
              <w:spacing w:before="60" w:after="60"/>
              <w:jc w:val="center"/>
              <w:rPr>
                <w:rFonts w:asciiTheme="minorHAnsi" w:hAnsiTheme="minorHAnsi" w:cstheme="minorHAnsi"/>
                <w:bCs/>
                <w:sz w:val="16"/>
                <w:szCs w:val="16"/>
              </w:rPr>
            </w:pPr>
            <w:r w:rsidRPr="00B26083">
              <w:rPr>
                <w:rFonts w:asciiTheme="minorHAnsi" w:hAnsiTheme="minorHAnsi" w:cstheme="minorHAnsi"/>
                <w:bCs/>
                <w:sz w:val="16"/>
                <w:szCs w:val="16"/>
              </w:rPr>
              <w:t>Refer to Table 2.1.2 for program performance results</w:t>
            </w:r>
          </w:p>
        </w:tc>
      </w:tr>
      <w:tr w:rsidR="001404F7" w:rsidRPr="00B8126E" w14:paraId="4C6223E1" w14:textId="77777777" w:rsidTr="001404F7">
        <w:trPr>
          <w:jc w:val="center"/>
        </w:trPr>
        <w:tc>
          <w:tcPr>
            <w:tcW w:w="833" w:type="pct"/>
            <w:shd w:val="clear" w:color="auto" w:fill="B1E4E3"/>
          </w:tcPr>
          <w:p w14:paraId="2DB506FF" w14:textId="77777777" w:rsidR="001404F7" w:rsidRPr="00B8126E" w:rsidRDefault="001404F7" w:rsidP="001404F7">
            <w:pPr>
              <w:spacing w:before="20" w:after="20"/>
              <w:ind w:left="85"/>
              <w:jc w:val="center"/>
              <w:rPr>
                <w:rFonts w:asciiTheme="minorHAnsi" w:hAnsiTheme="minorHAnsi" w:cstheme="minorHAnsi"/>
                <w:sz w:val="16"/>
                <w:szCs w:val="16"/>
              </w:rPr>
            </w:pPr>
            <w:r w:rsidRPr="00B8126E">
              <w:rPr>
                <w:rFonts w:asciiTheme="minorHAnsi" w:hAnsiTheme="minorHAnsi" w:cstheme="minorHAnsi"/>
                <w:b/>
                <w:bCs/>
                <w:sz w:val="16"/>
                <w:szCs w:val="16"/>
              </w:rPr>
              <w:t>Key activities</w:t>
            </w:r>
          </w:p>
          <w:p w14:paraId="14DA283A" w14:textId="77777777" w:rsidR="001404F7" w:rsidRPr="00B8126E" w:rsidRDefault="001404F7" w:rsidP="001404F7">
            <w:pPr>
              <w:numPr>
                <w:ilvl w:val="0"/>
                <w:numId w:val="83"/>
              </w:numPr>
              <w:spacing w:before="20" w:after="20"/>
              <w:ind w:left="170" w:hanging="170"/>
              <w:rPr>
                <w:rFonts w:asciiTheme="minorHAnsi" w:hAnsiTheme="minorHAnsi" w:cstheme="minorHAnsi"/>
                <w:sz w:val="16"/>
                <w:szCs w:val="16"/>
              </w:rPr>
            </w:pPr>
            <w:r w:rsidRPr="00B8126E">
              <w:rPr>
                <w:rFonts w:asciiTheme="minorHAnsi" w:hAnsiTheme="minorHAnsi" w:cstheme="minorHAnsi"/>
                <w:sz w:val="16"/>
                <w:szCs w:val="16"/>
              </w:rPr>
              <w:t>Family Tax Benefit (FTB)</w:t>
            </w:r>
          </w:p>
          <w:p w14:paraId="1045E668" w14:textId="77777777" w:rsidR="001404F7" w:rsidRPr="00B8126E" w:rsidRDefault="001404F7" w:rsidP="001404F7">
            <w:pPr>
              <w:numPr>
                <w:ilvl w:val="0"/>
                <w:numId w:val="83"/>
              </w:numPr>
              <w:spacing w:before="20" w:after="20"/>
              <w:ind w:left="170" w:hanging="170"/>
              <w:rPr>
                <w:rFonts w:asciiTheme="minorHAnsi" w:hAnsiTheme="minorHAnsi" w:cstheme="minorHAnsi"/>
                <w:sz w:val="16"/>
                <w:szCs w:val="16"/>
              </w:rPr>
            </w:pPr>
            <w:r w:rsidRPr="00B8126E">
              <w:rPr>
                <w:rFonts w:asciiTheme="minorHAnsi" w:hAnsiTheme="minorHAnsi" w:cstheme="minorHAnsi"/>
                <w:sz w:val="16"/>
                <w:szCs w:val="16"/>
              </w:rPr>
              <w:t>Child Support Scheme (CSS)</w:t>
            </w:r>
          </w:p>
        </w:tc>
        <w:tc>
          <w:tcPr>
            <w:tcW w:w="833" w:type="pct"/>
            <w:shd w:val="clear" w:color="auto" w:fill="B1E4E3"/>
          </w:tcPr>
          <w:p w14:paraId="64A4D322" w14:textId="77777777" w:rsidR="001404F7" w:rsidRPr="00B8126E" w:rsidRDefault="001404F7" w:rsidP="001404F7">
            <w:pPr>
              <w:spacing w:before="20" w:after="20"/>
              <w:ind w:left="85"/>
              <w:jc w:val="center"/>
              <w:rPr>
                <w:rFonts w:asciiTheme="minorHAnsi" w:hAnsiTheme="minorHAnsi" w:cstheme="minorHAnsi"/>
                <w:sz w:val="16"/>
                <w:szCs w:val="16"/>
              </w:rPr>
            </w:pPr>
            <w:r w:rsidRPr="00B8126E">
              <w:rPr>
                <w:rFonts w:asciiTheme="minorHAnsi" w:hAnsiTheme="minorHAnsi" w:cstheme="minorHAnsi"/>
                <w:b/>
                <w:bCs/>
                <w:sz w:val="16"/>
                <w:szCs w:val="16"/>
              </w:rPr>
              <w:t>Key activities</w:t>
            </w:r>
          </w:p>
          <w:p w14:paraId="2244B7C3" w14:textId="77777777" w:rsidR="001404F7" w:rsidRPr="00B8126E" w:rsidRDefault="001404F7" w:rsidP="001404F7">
            <w:pPr>
              <w:numPr>
                <w:ilvl w:val="0"/>
                <w:numId w:val="83"/>
              </w:numPr>
              <w:spacing w:before="20" w:after="20"/>
              <w:ind w:left="170" w:hanging="170"/>
              <w:rPr>
                <w:rFonts w:asciiTheme="minorHAnsi" w:hAnsiTheme="minorHAnsi" w:cstheme="minorHAnsi"/>
                <w:sz w:val="16"/>
                <w:szCs w:val="16"/>
              </w:rPr>
            </w:pPr>
            <w:r w:rsidRPr="00B8126E">
              <w:rPr>
                <w:rFonts w:asciiTheme="minorHAnsi" w:hAnsiTheme="minorHAnsi" w:cstheme="minorHAnsi"/>
                <w:sz w:val="16"/>
                <w:szCs w:val="16"/>
              </w:rPr>
              <w:t>Stillborn Baby Payment (SBP)</w:t>
            </w:r>
          </w:p>
          <w:p w14:paraId="414A89B5" w14:textId="77777777" w:rsidR="001404F7" w:rsidRPr="00B8126E" w:rsidRDefault="001404F7" w:rsidP="001404F7">
            <w:pPr>
              <w:numPr>
                <w:ilvl w:val="0"/>
                <w:numId w:val="83"/>
              </w:numPr>
              <w:spacing w:before="20" w:after="20"/>
              <w:ind w:left="170" w:hanging="170"/>
              <w:rPr>
                <w:rFonts w:asciiTheme="minorHAnsi" w:hAnsiTheme="minorHAnsi" w:cstheme="minorHAnsi"/>
                <w:sz w:val="16"/>
                <w:szCs w:val="16"/>
              </w:rPr>
            </w:pPr>
            <w:r w:rsidRPr="00B8126E">
              <w:rPr>
                <w:rFonts w:asciiTheme="minorHAnsi" w:hAnsiTheme="minorHAnsi" w:cstheme="minorHAnsi"/>
                <w:sz w:val="16"/>
                <w:szCs w:val="16"/>
              </w:rPr>
              <w:t>Double Orphan Pension (DOP)</w:t>
            </w:r>
          </w:p>
          <w:p w14:paraId="6391C4BC" w14:textId="77777777" w:rsidR="001404F7" w:rsidRPr="00B8126E" w:rsidRDefault="001404F7" w:rsidP="001404F7">
            <w:pPr>
              <w:numPr>
                <w:ilvl w:val="0"/>
                <w:numId w:val="83"/>
              </w:numPr>
              <w:spacing w:before="20" w:after="20"/>
              <w:ind w:left="170" w:hanging="170"/>
              <w:rPr>
                <w:rFonts w:asciiTheme="minorHAnsi" w:hAnsiTheme="minorHAnsi" w:cstheme="minorHAnsi"/>
                <w:sz w:val="16"/>
                <w:szCs w:val="16"/>
              </w:rPr>
            </w:pPr>
            <w:r w:rsidRPr="00B8126E">
              <w:rPr>
                <w:rFonts w:asciiTheme="minorHAnsi" w:hAnsiTheme="minorHAnsi" w:cstheme="minorHAnsi"/>
                <w:sz w:val="16"/>
                <w:szCs w:val="16"/>
              </w:rPr>
              <w:t>Assistance for Isolated Children (A</w:t>
            </w:r>
            <w:r>
              <w:rPr>
                <w:rFonts w:asciiTheme="minorHAnsi" w:hAnsiTheme="minorHAnsi" w:cstheme="minorHAnsi"/>
                <w:sz w:val="16"/>
                <w:szCs w:val="16"/>
              </w:rPr>
              <w:t>IC</w:t>
            </w:r>
            <w:r w:rsidRPr="00B8126E">
              <w:rPr>
                <w:rFonts w:asciiTheme="minorHAnsi" w:hAnsiTheme="minorHAnsi" w:cstheme="minorHAnsi"/>
                <w:sz w:val="16"/>
                <w:szCs w:val="16"/>
              </w:rPr>
              <w:t>)</w:t>
            </w:r>
          </w:p>
        </w:tc>
        <w:tc>
          <w:tcPr>
            <w:tcW w:w="834" w:type="pct"/>
            <w:shd w:val="clear" w:color="auto" w:fill="B1E4E3"/>
          </w:tcPr>
          <w:p w14:paraId="6A355449" w14:textId="77777777" w:rsidR="001404F7" w:rsidRPr="00B8126E" w:rsidRDefault="001404F7" w:rsidP="001404F7">
            <w:pPr>
              <w:spacing w:before="20" w:after="20"/>
              <w:ind w:left="85"/>
              <w:jc w:val="center"/>
              <w:rPr>
                <w:rFonts w:asciiTheme="minorHAnsi" w:hAnsiTheme="minorHAnsi" w:cstheme="minorHAnsi"/>
                <w:b/>
                <w:bCs/>
                <w:sz w:val="16"/>
                <w:szCs w:val="16"/>
              </w:rPr>
            </w:pPr>
            <w:r w:rsidRPr="00B8126E">
              <w:rPr>
                <w:rFonts w:asciiTheme="minorHAnsi" w:hAnsiTheme="minorHAnsi" w:cstheme="minorHAnsi"/>
                <w:b/>
                <w:bCs/>
                <w:sz w:val="16"/>
                <w:szCs w:val="16"/>
              </w:rPr>
              <w:t>Key activities</w:t>
            </w:r>
          </w:p>
          <w:p w14:paraId="1AEF5541" w14:textId="77777777" w:rsidR="001404F7" w:rsidRPr="00B8126E" w:rsidRDefault="001404F7" w:rsidP="001404F7">
            <w:pPr>
              <w:numPr>
                <w:ilvl w:val="0"/>
                <w:numId w:val="83"/>
              </w:numPr>
              <w:spacing w:before="20" w:after="20"/>
              <w:ind w:left="170" w:hanging="170"/>
              <w:rPr>
                <w:rFonts w:asciiTheme="minorHAnsi" w:hAnsiTheme="minorHAnsi" w:cstheme="minorHAnsi"/>
                <w:sz w:val="16"/>
                <w:szCs w:val="16"/>
              </w:rPr>
            </w:pPr>
            <w:r w:rsidRPr="00B8126E">
              <w:rPr>
                <w:rFonts w:asciiTheme="minorHAnsi" w:hAnsiTheme="minorHAnsi" w:cstheme="minorHAnsi"/>
                <w:sz w:val="16"/>
                <w:szCs w:val="16"/>
              </w:rPr>
              <w:t>Special Benefit (SB)</w:t>
            </w:r>
          </w:p>
        </w:tc>
        <w:tc>
          <w:tcPr>
            <w:tcW w:w="833" w:type="pct"/>
            <w:shd w:val="clear" w:color="auto" w:fill="B1E4E3"/>
          </w:tcPr>
          <w:p w14:paraId="6AA66532" w14:textId="77777777" w:rsidR="001404F7" w:rsidRPr="00B8126E" w:rsidRDefault="001404F7" w:rsidP="001404F7">
            <w:pPr>
              <w:spacing w:before="20" w:after="20"/>
              <w:ind w:left="85"/>
              <w:jc w:val="center"/>
              <w:rPr>
                <w:rFonts w:asciiTheme="minorHAnsi" w:hAnsiTheme="minorHAnsi" w:cstheme="minorHAnsi"/>
                <w:b/>
                <w:bCs/>
                <w:sz w:val="16"/>
                <w:szCs w:val="16"/>
              </w:rPr>
            </w:pPr>
            <w:r w:rsidRPr="00B8126E">
              <w:rPr>
                <w:rFonts w:asciiTheme="minorHAnsi" w:hAnsiTheme="minorHAnsi" w:cstheme="minorHAnsi"/>
                <w:b/>
                <w:bCs/>
                <w:sz w:val="16"/>
                <w:szCs w:val="16"/>
              </w:rPr>
              <w:t>Key activities</w:t>
            </w:r>
          </w:p>
          <w:p w14:paraId="0C850D0D" w14:textId="77777777" w:rsidR="001404F7" w:rsidRPr="00B8126E" w:rsidRDefault="001404F7" w:rsidP="001404F7">
            <w:pPr>
              <w:numPr>
                <w:ilvl w:val="0"/>
                <w:numId w:val="83"/>
              </w:numPr>
              <w:spacing w:before="20" w:after="20"/>
              <w:ind w:left="170" w:hanging="170"/>
              <w:rPr>
                <w:rFonts w:asciiTheme="minorHAnsi" w:hAnsiTheme="minorHAnsi" w:cstheme="minorHAnsi"/>
                <w:sz w:val="16"/>
                <w:szCs w:val="16"/>
              </w:rPr>
            </w:pPr>
            <w:r w:rsidRPr="00B8126E">
              <w:rPr>
                <w:rFonts w:asciiTheme="minorHAnsi" w:hAnsiTheme="minorHAnsi" w:cstheme="minorHAnsi"/>
                <w:sz w:val="16"/>
                <w:szCs w:val="16"/>
              </w:rPr>
              <w:t>Payments under Special Circumstances (PUSC)</w:t>
            </w:r>
          </w:p>
        </w:tc>
        <w:tc>
          <w:tcPr>
            <w:tcW w:w="833" w:type="pct"/>
            <w:shd w:val="clear" w:color="auto" w:fill="B1E4E3"/>
          </w:tcPr>
          <w:p w14:paraId="6752760D" w14:textId="77777777" w:rsidR="001404F7" w:rsidRPr="00B8126E" w:rsidRDefault="001404F7" w:rsidP="001404F7">
            <w:pPr>
              <w:spacing w:before="20" w:after="20"/>
              <w:ind w:left="85"/>
              <w:jc w:val="center"/>
              <w:rPr>
                <w:rFonts w:asciiTheme="minorHAnsi" w:hAnsiTheme="minorHAnsi" w:cstheme="minorHAnsi"/>
                <w:b/>
                <w:bCs/>
                <w:sz w:val="16"/>
                <w:szCs w:val="16"/>
              </w:rPr>
            </w:pPr>
            <w:r w:rsidRPr="00B8126E">
              <w:rPr>
                <w:rFonts w:asciiTheme="minorHAnsi" w:hAnsiTheme="minorHAnsi" w:cstheme="minorHAnsi"/>
                <w:b/>
                <w:bCs/>
                <w:sz w:val="16"/>
                <w:szCs w:val="16"/>
              </w:rPr>
              <w:t>Key activities</w:t>
            </w:r>
          </w:p>
          <w:p w14:paraId="6187B1C1" w14:textId="77777777" w:rsidR="001404F7" w:rsidRPr="00B8126E" w:rsidRDefault="001404F7" w:rsidP="001404F7">
            <w:pPr>
              <w:numPr>
                <w:ilvl w:val="0"/>
                <w:numId w:val="83"/>
              </w:numPr>
              <w:spacing w:before="20" w:after="20"/>
              <w:ind w:left="170" w:hanging="170"/>
              <w:rPr>
                <w:rFonts w:asciiTheme="minorHAnsi" w:hAnsiTheme="minorHAnsi" w:cstheme="minorHAnsi"/>
                <w:sz w:val="16"/>
                <w:szCs w:val="16"/>
              </w:rPr>
            </w:pPr>
            <w:r w:rsidRPr="00B8126E">
              <w:rPr>
                <w:rFonts w:asciiTheme="minorHAnsi" w:hAnsiTheme="minorHAnsi" w:cstheme="minorHAnsi"/>
                <w:sz w:val="16"/>
                <w:szCs w:val="16"/>
              </w:rPr>
              <w:t>Utilities Allowance (UA)</w:t>
            </w:r>
          </w:p>
        </w:tc>
        <w:tc>
          <w:tcPr>
            <w:tcW w:w="834" w:type="pct"/>
            <w:shd w:val="clear" w:color="auto" w:fill="B1E4E3"/>
          </w:tcPr>
          <w:p w14:paraId="2DBB1B92" w14:textId="77777777" w:rsidR="001404F7" w:rsidRPr="00B8126E" w:rsidRDefault="001404F7" w:rsidP="001404F7">
            <w:pPr>
              <w:spacing w:before="20" w:after="20"/>
              <w:ind w:left="85"/>
              <w:jc w:val="center"/>
              <w:rPr>
                <w:rFonts w:asciiTheme="minorHAnsi" w:hAnsiTheme="minorHAnsi" w:cstheme="minorHAnsi"/>
                <w:b/>
                <w:bCs/>
                <w:sz w:val="16"/>
                <w:szCs w:val="16"/>
              </w:rPr>
            </w:pPr>
            <w:r w:rsidRPr="00B8126E">
              <w:rPr>
                <w:rFonts w:asciiTheme="minorHAnsi" w:hAnsiTheme="minorHAnsi" w:cstheme="minorHAnsi"/>
                <w:b/>
                <w:bCs/>
                <w:sz w:val="16"/>
                <w:szCs w:val="16"/>
              </w:rPr>
              <w:t>Key activities</w:t>
            </w:r>
          </w:p>
          <w:p w14:paraId="7E1D7D70" w14:textId="5C0C55AD" w:rsidR="001404F7" w:rsidRPr="00B8126E" w:rsidRDefault="001404F7" w:rsidP="001404F7">
            <w:pPr>
              <w:numPr>
                <w:ilvl w:val="0"/>
                <w:numId w:val="83"/>
              </w:numPr>
              <w:spacing w:before="20" w:after="20"/>
              <w:ind w:left="170" w:hanging="170"/>
              <w:rPr>
                <w:rFonts w:asciiTheme="minorHAnsi" w:hAnsiTheme="minorHAnsi" w:cstheme="minorHAnsi"/>
                <w:sz w:val="16"/>
                <w:szCs w:val="16"/>
              </w:rPr>
            </w:pPr>
            <w:r w:rsidRPr="00B8126E">
              <w:rPr>
                <w:rFonts w:asciiTheme="minorHAnsi" w:hAnsiTheme="minorHAnsi" w:cstheme="minorHAnsi"/>
                <w:sz w:val="16"/>
                <w:szCs w:val="16"/>
              </w:rPr>
              <w:t>Age Pension</w:t>
            </w:r>
            <w:r w:rsidR="00D92519">
              <w:rPr>
                <w:rFonts w:asciiTheme="minorHAnsi" w:hAnsiTheme="minorHAnsi" w:cstheme="minorHAnsi"/>
                <w:sz w:val="16"/>
                <w:szCs w:val="16"/>
              </w:rPr>
              <w:t xml:space="preserve"> (AP)</w:t>
            </w:r>
          </w:p>
        </w:tc>
      </w:tr>
      <w:tr w:rsidR="001404F7" w:rsidRPr="00B26083" w14:paraId="6D6FB355" w14:textId="77777777" w:rsidTr="001404F7">
        <w:trPr>
          <w:trHeight w:val="371"/>
          <w:jc w:val="center"/>
        </w:trPr>
        <w:tc>
          <w:tcPr>
            <w:tcW w:w="5000" w:type="pct"/>
            <w:gridSpan w:val="6"/>
            <w:shd w:val="clear" w:color="auto" w:fill="D9D9D6"/>
            <w:vAlign w:val="center"/>
          </w:tcPr>
          <w:p w14:paraId="6C0741AE" w14:textId="77777777" w:rsidR="001404F7" w:rsidRPr="00B26083" w:rsidRDefault="001404F7" w:rsidP="001404F7">
            <w:pPr>
              <w:spacing w:before="60" w:after="60"/>
              <w:jc w:val="center"/>
              <w:rPr>
                <w:rFonts w:asciiTheme="minorHAnsi" w:hAnsiTheme="minorHAnsi" w:cstheme="minorHAnsi"/>
                <w:bCs/>
                <w:sz w:val="16"/>
                <w:szCs w:val="16"/>
              </w:rPr>
            </w:pPr>
            <w:r w:rsidRPr="00B26083">
              <w:rPr>
                <w:rFonts w:asciiTheme="minorHAnsi" w:hAnsiTheme="minorHAnsi" w:cstheme="minorHAnsi"/>
                <w:bCs/>
                <w:sz w:val="16"/>
                <w:szCs w:val="16"/>
              </w:rPr>
              <w:t>Refer to Table 2.1.3 for index of key activities performance results</w:t>
            </w:r>
          </w:p>
        </w:tc>
      </w:tr>
    </w:tbl>
    <w:p w14:paraId="713FBF48" w14:textId="77777777" w:rsidR="001404F7" w:rsidRPr="00B26083" w:rsidRDefault="001404F7" w:rsidP="001404F7">
      <w:pPr>
        <w:spacing w:before="120" w:after="120" w:line="240" w:lineRule="auto"/>
        <w:rPr>
          <w:sz w:val="16"/>
        </w:rPr>
      </w:pPr>
    </w:p>
    <w:tbl>
      <w:tblPr>
        <w:tblStyle w:val="TableGrid37"/>
        <w:tblW w:w="5000" w:type="pct"/>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Caption w:val="Table 2.1.1: Outcome 1 Programs and Key Activities"/>
        <w:tblDescription w:val="This table identifies the programs and key activities that form Outcome 1"/>
      </w:tblPr>
      <w:tblGrid>
        <w:gridCol w:w="1488"/>
        <w:gridCol w:w="1488"/>
        <w:gridCol w:w="1491"/>
        <w:gridCol w:w="1489"/>
        <w:gridCol w:w="1489"/>
        <w:gridCol w:w="1491"/>
      </w:tblGrid>
      <w:tr w:rsidR="001404F7" w:rsidRPr="00B8126E" w14:paraId="3213F199" w14:textId="77777777" w:rsidTr="001404F7">
        <w:trPr>
          <w:tblHeader/>
          <w:jc w:val="center"/>
        </w:trPr>
        <w:tc>
          <w:tcPr>
            <w:tcW w:w="833" w:type="pct"/>
            <w:shd w:val="clear" w:color="auto" w:fill="00B0B9"/>
            <w:vAlign w:val="center"/>
          </w:tcPr>
          <w:p w14:paraId="359A33A7"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Program 1.7</w:t>
            </w:r>
          </w:p>
          <w:p w14:paraId="77BC694D"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Allowances and Concessions for Seniors</w:t>
            </w:r>
          </w:p>
        </w:tc>
        <w:tc>
          <w:tcPr>
            <w:tcW w:w="833" w:type="pct"/>
            <w:shd w:val="clear" w:color="auto" w:fill="00B0B9"/>
            <w:vAlign w:val="center"/>
          </w:tcPr>
          <w:p w14:paraId="1220B4CC"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Program 1.8</w:t>
            </w:r>
          </w:p>
          <w:p w14:paraId="0BC4B979"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Income Support for People with Disability</w:t>
            </w:r>
          </w:p>
        </w:tc>
        <w:tc>
          <w:tcPr>
            <w:tcW w:w="834" w:type="pct"/>
            <w:shd w:val="clear" w:color="auto" w:fill="00B0B9"/>
          </w:tcPr>
          <w:p w14:paraId="150C15C0"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Program 1.9</w:t>
            </w:r>
          </w:p>
          <w:p w14:paraId="0BAB2279"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Income Support for Carers</w:t>
            </w:r>
          </w:p>
        </w:tc>
        <w:tc>
          <w:tcPr>
            <w:tcW w:w="833" w:type="pct"/>
            <w:shd w:val="clear" w:color="auto" w:fill="00B0B9"/>
          </w:tcPr>
          <w:p w14:paraId="3F562684"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Program 1.10</w:t>
            </w:r>
          </w:p>
          <w:p w14:paraId="67107662"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Working Age Payments</w:t>
            </w:r>
          </w:p>
        </w:tc>
        <w:tc>
          <w:tcPr>
            <w:tcW w:w="833" w:type="pct"/>
            <w:shd w:val="clear" w:color="auto" w:fill="00B0B9"/>
          </w:tcPr>
          <w:p w14:paraId="7D9A8509"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Program 1.11</w:t>
            </w:r>
          </w:p>
          <w:p w14:paraId="2BEE98A4"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Student Payments</w:t>
            </w:r>
          </w:p>
        </w:tc>
        <w:tc>
          <w:tcPr>
            <w:tcW w:w="834" w:type="pct"/>
            <w:shd w:val="clear" w:color="auto" w:fill="00B0B9"/>
          </w:tcPr>
          <w:p w14:paraId="7B62947B"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Cross-Program</w:t>
            </w:r>
          </w:p>
          <w:p w14:paraId="0FE728C6" w14:textId="77777777" w:rsidR="001404F7" w:rsidRPr="00D13460" w:rsidRDefault="001404F7" w:rsidP="001404F7">
            <w:pPr>
              <w:spacing w:before="20" w:after="20"/>
              <w:jc w:val="center"/>
              <w:rPr>
                <w:rFonts w:asciiTheme="minorHAnsi" w:hAnsiTheme="minorHAnsi" w:cstheme="minorHAnsi"/>
                <w:b/>
                <w:bCs/>
                <w:sz w:val="16"/>
                <w:szCs w:val="16"/>
              </w:rPr>
            </w:pPr>
            <w:r w:rsidRPr="00D13460">
              <w:rPr>
                <w:rFonts w:asciiTheme="minorHAnsi" w:hAnsiTheme="minorHAnsi" w:cstheme="minorHAnsi"/>
                <w:b/>
                <w:bCs/>
                <w:sz w:val="16"/>
                <w:szCs w:val="16"/>
              </w:rPr>
              <w:t>Rent Assistance</w:t>
            </w:r>
          </w:p>
        </w:tc>
      </w:tr>
      <w:tr w:rsidR="001404F7" w:rsidRPr="00B8126E" w14:paraId="1D4D46AA" w14:textId="77777777" w:rsidTr="001404F7">
        <w:trPr>
          <w:tblHeader/>
          <w:jc w:val="center"/>
        </w:trPr>
        <w:tc>
          <w:tcPr>
            <w:tcW w:w="5000" w:type="pct"/>
            <w:gridSpan w:val="6"/>
            <w:shd w:val="clear" w:color="auto" w:fill="D9D9D6"/>
            <w:vAlign w:val="center"/>
          </w:tcPr>
          <w:p w14:paraId="422840DD" w14:textId="77777777" w:rsidR="001404F7" w:rsidRPr="00B26083" w:rsidRDefault="001404F7" w:rsidP="001404F7">
            <w:pPr>
              <w:spacing w:before="60" w:after="60"/>
              <w:jc w:val="center"/>
              <w:rPr>
                <w:rFonts w:asciiTheme="minorHAnsi" w:hAnsiTheme="minorHAnsi" w:cstheme="minorHAnsi"/>
                <w:bCs/>
                <w:sz w:val="16"/>
                <w:szCs w:val="16"/>
              </w:rPr>
            </w:pPr>
            <w:r w:rsidRPr="00B26083">
              <w:rPr>
                <w:rFonts w:asciiTheme="minorHAnsi" w:hAnsiTheme="minorHAnsi" w:cstheme="minorHAnsi"/>
                <w:bCs/>
                <w:sz w:val="16"/>
                <w:szCs w:val="16"/>
              </w:rPr>
              <w:t>Refer to Table 2.1.2 for program performance results</w:t>
            </w:r>
          </w:p>
        </w:tc>
      </w:tr>
      <w:tr w:rsidR="001404F7" w:rsidRPr="00B8126E" w14:paraId="687B560B" w14:textId="77777777" w:rsidTr="001404F7">
        <w:trPr>
          <w:jc w:val="center"/>
        </w:trPr>
        <w:tc>
          <w:tcPr>
            <w:tcW w:w="833" w:type="pct"/>
            <w:shd w:val="clear" w:color="auto" w:fill="B1E4E3"/>
          </w:tcPr>
          <w:p w14:paraId="389C9C35" w14:textId="77777777" w:rsidR="001404F7" w:rsidRPr="00B8126E" w:rsidRDefault="001404F7" w:rsidP="001404F7">
            <w:pPr>
              <w:spacing w:before="20" w:after="20"/>
              <w:ind w:left="85"/>
              <w:jc w:val="center"/>
              <w:rPr>
                <w:rFonts w:asciiTheme="minorHAnsi" w:hAnsiTheme="minorHAnsi" w:cstheme="minorHAnsi"/>
                <w:b/>
                <w:bCs/>
                <w:sz w:val="16"/>
                <w:szCs w:val="16"/>
              </w:rPr>
            </w:pPr>
            <w:r w:rsidRPr="00B8126E">
              <w:rPr>
                <w:rFonts w:asciiTheme="minorHAnsi" w:hAnsiTheme="minorHAnsi" w:cstheme="minorHAnsi"/>
                <w:b/>
                <w:bCs/>
                <w:sz w:val="16"/>
                <w:szCs w:val="16"/>
              </w:rPr>
              <w:t>Key activities</w:t>
            </w:r>
          </w:p>
          <w:p w14:paraId="6B217CC9" w14:textId="77777777" w:rsidR="001404F7" w:rsidRPr="00B8126E" w:rsidRDefault="001404F7" w:rsidP="001404F7">
            <w:pPr>
              <w:numPr>
                <w:ilvl w:val="0"/>
                <w:numId w:val="83"/>
              </w:numPr>
              <w:spacing w:before="20" w:after="20"/>
              <w:ind w:left="170" w:hanging="170"/>
              <w:rPr>
                <w:rFonts w:asciiTheme="minorHAnsi" w:hAnsiTheme="minorHAnsi" w:cstheme="minorHAnsi"/>
                <w:b/>
                <w:bCs/>
                <w:sz w:val="16"/>
                <w:szCs w:val="16"/>
              </w:rPr>
            </w:pPr>
            <w:r w:rsidRPr="00B8126E">
              <w:rPr>
                <w:rFonts w:asciiTheme="minorHAnsi" w:hAnsiTheme="minorHAnsi" w:cstheme="minorHAnsi"/>
                <w:bCs/>
                <w:sz w:val="16"/>
                <w:szCs w:val="16"/>
              </w:rPr>
              <w:t>Energy Supplement for Commonwealth Seniors Health Card Holders (ES</w:t>
            </w:r>
            <w:r w:rsidRPr="00B8126E">
              <w:rPr>
                <w:rFonts w:asciiTheme="minorHAnsi" w:hAnsiTheme="minorHAnsi" w:cstheme="minorHAnsi"/>
                <w:b/>
                <w:bCs/>
                <w:sz w:val="16"/>
                <w:szCs w:val="16"/>
              </w:rPr>
              <w:t>)</w:t>
            </w:r>
          </w:p>
        </w:tc>
        <w:tc>
          <w:tcPr>
            <w:tcW w:w="833" w:type="pct"/>
            <w:shd w:val="clear" w:color="auto" w:fill="B1E4E3"/>
          </w:tcPr>
          <w:p w14:paraId="7EBD1B8F" w14:textId="77777777" w:rsidR="001404F7" w:rsidRPr="00B8126E" w:rsidRDefault="001404F7" w:rsidP="001404F7">
            <w:pPr>
              <w:spacing w:before="20" w:after="20"/>
              <w:ind w:left="85"/>
              <w:jc w:val="center"/>
              <w:rPr>
                <w:rFonts w:asciiTheme="minorHAnsi" w:hAnsiTheme="minorHAnsi" w:cstheme="minorHAnsi"/>
                <w:b/>
                <w:bCs/>
                <w:sz w:val="16"/>
                <w:szCs w:val="16"/>
              </w:rPr>
            </w:pPr>
            <w:r w:rsidRPr="00B8126E">
              <w:rPr>
                <w:rFonts w:asciiTheme="minorHAnsi" w:hAnsiTheme="minorHAnsi" w:cstheme="minorHAnsi"/>
                <w:b/>
                <w:bCs/>
                <w:sz w:val="16"/>
                <w:szCs w:val="16"/>
              </w:rPr>
              <w:t>Key activities</w:t>
            </w:r>
          </w:p>
          <w:p w14:paraId="37D7368F" w14:textId="77777777" w:rsidR="001404F7" w:rsidRPr="00B8126E" w:rsidRDefault="001404F7" w:rsidP="001404F7">
            <w:pPr>
              <w:numPr>
                <w:ilvl w:val="0"/>
                <w:numId w:val="83"/>
              </w:numPr>
              <w:spacing w:before="20" w:after="20"/>
              <w:ind w:left="170" w:hanging="170"/>
              <w:rPr>
                <w:rFonts w:asciiTheme="minorHAnsi" w:hAnsiTheme="minorHAnsi" w:cstheme="minorHAnsi"/>
                <w:bCs/>
                <w:sz w:val="16"/>
                <w:szCs w:val="16"/>
              </w:rPr>
            </w:pPr>
            <w:r w:rsidRPr="00B8126E">
              <w:rPr>
                <w:rFonts w:asciiTheme="minorHAnsi" w:hAnsiTheme="minorHAnsi" w:cstheme="minorHAnsi"/>
                <w:bCs/>
                <w:sz w:val="16"/>
                <w:szCs w:val="16"/>
              </w:rPr>
              <w:t>Disability Support Pension (DSP)</w:t>
            </w:r>
          </w:p>
        </w:tc>
        <w:tc>
          <w:tcPr>
            <w:tcW w:w="834" w:type="pct"/>
            <w:shd w:val="clear" w:color="auto" w:fill="B1E4E3"/>
          </w:tcPr>
          <w:p w14:paraId="5654DE4B" w14:textId="77777777" w:rsidR="001404F7" w:rsidRPr="00B8126E" w:rsidRDefault="001404F7" w:rsidP="001404F7">
            <w:pPr>
              <w:spacing w:before="20" w:after="20"/>
              <w:ind w:left="85"/>
              <w:jc w:val="center"/>
              <w:rPr>
                <w:rFonts w:asciiTheme="minorHAnsi" w:hAnsiTheme="minorHAnsi" w:cstheme="minorHAnsi"/>
                <w:b/>
                <w:bCs/>
                <w:sz w:val="16"/>
                <w:szCs w:val="16"/>
              </w:rPr>
            </w:pPr>
            <w:r w:rsidRPr="00B8126E">
              <w:rPr>
                <w:rFonts w:asciiTheme="minorHAnsi" w:hAnsiTheme="minorHAnsi" w:cstheme="minorHAnsi"/>
                <w:b/>
                <w:bCs/>
                <w:sz w:val="16"/>
                <w:szCs w:val="16"/>
              </w:rPr>
              <w:t>Key activities</w:t>
            </w:r>
          </w:p>
          <w:p w14:paraId="10E0D4FE" w14:textId="77777777" w:rsidR="001404F7" w:rsidRPr="00B8126E" w:rsidRDefault="001404F7" w:rsidP="001404F7">
            <w:pPr>
              <w:numPr>
                <w:ilvl w:val="0"/>
                <w:numId w:val="83"/>
              </w:numPr>
              <w:spacing w:before="20" w:after="20"/>
              <w:ind w:left="170" w:hanging="170"/>
              <w:rPr>
                <w:rFonts w:asciiTheme="minorHAnsi" w:hAnsiTheme="minorHAnsi" w:cstheme="minorHAnsi"/>
                <w:bCs/>
                <w:sz w:val="16"/>
                <w:szCs w:val="16"/>
              </w:rPr>
            </w:pPr>
            <w:r w:rsidRPr="00B8126E">
              <w:rPr>
                <w:rFonts w:asciiTheme="minorHAnsi" w:hAnsiTheme="minorHAnsi" w:cstheme="minorHAnsi"/>
                <w:bCs/>
                <w:sz w:val="16"/>
                <w:szCs w:val="16"/>
              </w:rPr>
              <w:t>Carer Payment (CP)</w:t>
            </w:r>
          </w:p>
          <w:p w14:paraId="1C57BD69" w14:textId="77777777" w:rsidR="001404F7" w:rsidRPr="00B8126E" w:rsidRDefault="001404F7" w:rsidP="001404F7">
            <w:pPr>
              <w:numPr>
                <w:ilvl w:val="0"/>
                <w:numId w:val="83"/>
              </w:numPr>
              <w:spacing w:before="20" w:after="20"/>
              <w:ind w:left="170" w:hanging="170"/>
              <w:rPr>
                <w:rFonts w:asciiTheme="minorHAnsi" w:hAnsiTheme="minorHAnsi" w:cstheme="minorHAnsi"/>
                <w:b/>
                <w:bCs/>
                <w:sz w:val="16"/>
                <w:szCs w:val="16"/>
              </w:rPr>
            </w:pPr>
            <w:r w:rsidRPr="00B8126E">
              <w:rPr>
                <w:rFonts w:asciiTheme="minorHAnsi" w:hAnsiTheme="minorHAnsi" w:cstheme="minorHAnsi"/>
                <w:bCs/>
                <w:sz w:val="16"/>
                <w:szCs w:val="16"/>
              </w:rPr>
              <w:t>Carer Allowance (CA</w:t>
            </w:r>
            <w:r>
              <w:rPr>
                <w:rFonts w:asciiTheme="minorHAnsi" w:hAnsiTheme="minorHAnsi" w:cstheme="minorHAnsi"/>
                <w:bCs/>
                <w:sz w:val="16"/>
                <w:szCs w:val="16"/>
              </w:rPr>
              <w:t>)</w:t>
            </w:r>
          </w:p>
        </w:tc>
        <w:tc>
          <w:tcPr>
            <w:tcW w:w="833" w:type="pct"/>
            <w:shd w:val="clear" w:color="auto" w:fill="B1E4E3"/>
          </w:tcPr>
          <w:p w14:paraId="6D0A3444" w14:textId="77777777" w:rsidR="001404F7" w:rsidRPr="00B8126E" w:rsidRDefault="001404F7" w:rsidP="001404F7">
            <w:pPr>
              <w:spacing w:before="20" w:after="20"/>
              <w:ind w:left="85"/>
              <w:jc w:val="center"/>
              <w:rPr>
                <w:rFonts w:asciiTheme="minorHAnsi" w:hAnsiTheme="minorHAnsi" w:cstheme="minorHAnsi"/>
                <w:b/>
                <w:bCs/>
                <w:sz w:val="16"/>
                <w:szCs w:val="16"/>
              </w:rPr>
            </w:pPr>
            <w:r w:rsidRPr="00B8126E">
              <w:rPr>
                <w:rFonts w:asciiTheme="minorHAnsi" w:hAnsiTheme="minorHAnsi" w:cstheme="minorHAnsi"/>
                <w:b/>
                <w:bCs/>
                <w:sz w:val="16"/>
                <w:szCs w:val="16"/>
              </w:rPr>
              <w:t>Key activities</w:t>
            </w:r>
          </w:p>
          <w:p w14:paraId="3B840DB7" w14:textId="77777777" w:rsidR="001404F7" w:rsidRPr="00B8126E" w:rsidRDefault="001404F7" w:rsidP="001404F7">
            <w:pPr>
              <w:numPr>
                <w:ilvl w:val="0"/>
                <w:numId w:val="83"/>
              </w:numPr>
              <w:spacing w:before="20" w:after="20"/>
              <w:ind w:left="170" w:hanging="170"/>
              <w:rPr>
                <w:rFonts w:asciiTheme="minorHAnsi" w:hAnsiTheme="minorHAnsi" w:cstheme="minorHAnsi"/>
                <w:bCs/>
                <w:sz w:val="16"/>
                <w:szCs w:val="16"/>
              </w:rPr>
            </w:pPr>
            <w:r w:rsidRPr="00B8126E">
              <w:rPr>
                <w:rFonts w:asciiTheme="minorHAnsi" w:hAnsiTheme="minorHAnsi" w:cstheme="minorHAnsi"/>
                <w:bCs/>
                <w:sz w:val="16"/>
                <w:szCs w:val="16"/>
              </w:rPr>
              <w:t>Jobseeker Payment (JP)</w:t>
            </w:r>
          </w:p>
          <w:p w14:paraId="540EE671" w14:textId="77777777" w:rsidR="001404F7" w:rsidRPr="00B8126E" w:rsidRDefault="001404F7" w:rsidP="001404F7">
            <w:pPr>
              <w:numPr>
                <w:ilvl w:val="0"/>
                <w:numId w:val="83"/>
              </w:numPr>
              <w:spacing w:before="20" w:after="20"/>
              <w:ind w:left="170" w:hanging="170"/>
              <w:rPr>
                <w:rFonts w:asciiTheme="minorHAnsi" w:hAnsiTheme="minorHAnsi" w:cstheme="minorHAnsi"/>
                <w:bCs/>
                <w:sz w:val="16"/>
                <w:szCs w:val="16"/>
              </w:rPr>
            </w:pPr>
            <w:r w:rsidRPr="00B8126E">
              <w:rPr>
                <w:rFonts w:asciiTheme="minorHAnsi" w:hAnsiTheme="minorHAnsi" w:cstheme="minorHAnsi"/>
                <w:bCs/>
                <w:sz w:val="16"/>
                <w:szCs w:val="16"/>
              </w:rPr>
              <w:t>Parenting Payment (PP)</w:t>
            </w:r>
          </w:p>
          <w:p w14:paraId="5AAB6965" w14:textId="77777777" w:rsidR="001404F7" w:rsidRPr="00B8126E" w:rsidRDefault="001404F7" w:rsidP="001404F7">
            <w:pPr>
              <w:numPr>
                <w:ilvl w:val="0"/>
                <w:numId w:val="83"/>
              </w:numPr>
              <w:spacing w:before="20" w:after="20"/>
              <w:ind w:left="170" w:hanging="170"/>
              <w:rPr>
                <w:rFonts w:asciiTheme="minorHAnsi" w:hAnsiTheme="minorHAnsi" w:cstheme="minorHAnsi"/>
                <w:b/>
                <w:bCs/>
                <w:sz w:val="16"/>
                <w:szCs w:val="16"/>
              </w:rPr>
            </w:pPr>
            <w:r w:rsidRPr="00B8126E">
              <w:rPr>
                <w:rFonts w:asciiTheme="minorHAnsi" w:hAnsiTheme="minorHAnsi" w:cstheme="minorHAnsi"/>
                <w:bCs/>
                <w:sz w:val="16"/>
                <w:szCs w:val="16"/>
              </w:rPr>
              <w:t>Youth Allowance (Other) (YA)</w:t>
            </w:r>
          </w:p>
        </w:tc>
        <w:tc>
          <w:tcPr>
            <w:tcW w:w="833" w:type="pct"/>
            <w:shd w:val="clear" w:color="auto" w:fill="B1E4E3"/>
          </w:tcPr>
          <w:p w14:paraId="7CF73A8E" w14:textId="77777777" w:rsidR="001404F7" w:rsidRPr="00B8126E" w:rsidRDefault="001404F7" w:rsidP="001404F7">
            <w:pPr>
              <w:spacing w:before="20" w:after="20"/>
              <w:ind w:left="85"/>
              <w:jc w:val="center"/>
              <w:rPr>
                <w:rFonts w:asciiTheme="minorHAnsi" w:hAnsiTheme="minorHAnsi" w:cstheme="minorHAnsi"/>
                <w:b/>
                <w:bCs/>
                <w:sz w:val="16"/>
                <w:szCs w:val="16"/>
              </w:rPr>
            </w:pPr>
            <w:r w:rsidRPr="00B8126E">
              <w:rPr>
                <w:rFonts w:asciiTheme="minorHAnsi" w:hAnsiTheme="minorHAnsi" w:cstheme="minorHAnsi"/>
                <w:b/>
                <w:bCs/>
                <w:sz w:val="16"/>
                <w:szCs w:val="16"/>
              </w:rPr>
              <w:t>Key activities</w:t>
            </w:r>
          </w:p>
          <w:p w14:paraId="338E44E2" w14:textId="77777777" w:rsidR="001404F7" w:rsidRPr="00B8126E" w:rsidRDefault="001404F7" w:rsidP="001404F7">
            <w:pPr>
              <w:numPr>
                <w:ilvl w:val="0"/>
                <w:numId w:val="83"/>
              </w:numPr>
              <w:spacing w:before="20" w:after="20"/>
              <w:ind w:left="170" w:hanging="170"/>
              <w:rPr>
                <w:rFonts w:asciiTheme="minorHAnsi" w:hAnsiTheme="minorHAnsi" w:cstheme="minorHAnsi"/>
                <w:bCs/>
                <w:sz w:val="16"/>
                <w:szCs w:val="16"/>
              </w:rPr>
            </w:pPr>
            <w:r w:rsidRPr="00B8126E">
              <w:rPr>
                <w:rFonts w:asciiTheme="minorHAnsi" w:hAnsiTheme="minorHAnsi" w:cstheme="minorHAnsi"/>
                <w:bCs/>
                <w:sz w:val="16"/>
                <w:szCs w:val="16"/>
              </w:rPr>
              <w:t>ABSTUDY</w:t>
            </w:r>
          </w:p>
          <w:p w14:paraId="73F57022" w14:textId="77777777" w:rsidR="001404F7" w:rsidRPr="00B8126E" w:rsidRDefault="001404F7" w:rsidP="001404F7">
            <w:pPr>
              <w:numPr>
                <w:ilvl w:val="0"/>
                <w:numId w:val="83"/>
              </w:numPr>
              <w:spacing w:before="20" w:after="20"/>
              <w:ind w:left="170" w:hanging="170"/>
              <w:rPr>
                <w:rFonts w:asciiTheme="minorHAnsi" w:hAnsiTheme="minorHAnsi" w:cstheme="minorHAnsi"/>
                <w:bCs/>
                <w:sz w:val="16"/>
                <w:szCs w:val="16"/>
              </w:rPr>
            </w:pPr>
            <w:proofErr w:type="spellStart"/>
            <w:r w:rsidRPr="00B8126E">
              <w:rPr>
                <w:rFonts w:asciiTheme="minorHAnsi" w:hAnsiTheme="minorHAnsi" w:cstheme="minorHAnsi"/>
                <w:bCs/>
                <w:sz w:val="16"/>
                <w:szCs w:val="16"/>
              </w:rPr>
              <w:t>Austudy</w:t>
            </w:r>
            <w:proofErr w:type="spellEnd"/>
          </w:p>
          <w:p w14:paraId="29DBC6FB" w14:textId="77777777" w:rsidR="001404F7" w:rsidRPr="00B8126E" w:rsidRDefault="001404F7" w:rsidP="001404F7">
            <w:pPr>
              <w:numPr>
                <w:ilvl w:val="0"/>
                <w:numId w:val="83"/>
              </w:numPr>
              <w:spacing w:before="20" w:after="20"/>
              <w:ind w:left="170" w:hanging="170"/>
              <w:rPr>
                <w:rFonts w:asciiTheme="minorHAnsi" w:hAnsiTheme="minorHAnsi" w:cstheme="minorHAnsi"/>
                <w:b/>
                <w:bCs/>
                <w:sz w:val="16"/>
                <w:szCs w:val="16"/>
              </w:rPr>
            </w:pPr>
            <w:r w:rsidRPr="00B8126E">
              <w:rPr>
                <w:rFonts w:asciiTheme="minorHAnsi" w:hAnsiTheme="minorHAnsi" w:cstheme="minorHAnsi"/>
                <w:bCs/>
                <w:sz w:val="16"/>
                <w:szCs w:val="16"/>
              </w:rPr>
              <w:t>Youth Allowance (Student) (YA)</w:t>
            </w:r>
          </w:p>
        </w:tc>
        <w:tc>
          <w:tcPr>
            <w:tcW w:w="834" w:type="pct"/>
            <w:shd w:val="clear" w:color="auto" w:fill="B1E4E3"/>
          </w:tcPr>
          <w:p w14:paraId="6F6D641F" w14:textId="77777777" w:rsidR="001404F7" w:rsidRPr="00B8126E" w:rsidRDefault="001404F7" w:rsidP="001404F7">
            <w:pPr>
              <w:spacing w:before="20" w:after="20"/>
              <w:jc w:val="center"/>
              <w:rPr>
                <w:rFonts w:asciiTheme="minorHAnsi" w:hAnsiTheme="minorHAnsi" w:cstheme="minorHAnsi"/>
                <w:b/>
                <w:bCs/>
                <w:sz w:val="16"/>
                <w:szCs w:val="16"/>
              </w:rPr>
            </w:pPr>
            <w:r w:rsidRPr="00B8126E">
              <w:rPr>
                <w:rFonts w:asciiTheme="minorHAnsi" w:hAnsiTheme="minorHAnsi" w:cstheme="minorHAnsi"/>
                <w:b/>
                <w:bCs/>
                <w:sz w:val="16"/>
                <w:szCs w:val="16"/>
              </w:rPr>
              <w:t>Key activities</w:t>
            </w:r>
          </w:p>
          <w:p w14:paraId="52A6EA67" w14:textId="26B3CCF7" w:rsidR="001404F7" w:rsidRPr="00B8126E" w:rsidRDefault="001404F7" w:rsidP="001404F7">
            <w:pPr>
              <w:numPr>
                <w:ilvl w:val="0"/>
                <w:numId w:val="83"/>
              </w:numPr>
              <w:spacing w:before="20" w:after="20"/>
              <w:ind w:left="170" w:hanging="170"/>
              <w:rPr>
                <w:rFonts w:asciiTheme="minorHAnsi" w:hAnsiTheme="minorHAnsi" w:cstheme="minorHAnsi"/>
                <w:bCs/>
                <w:sz w:val="16"/>
                <w:szCs w:val="16"/>
              </w:rPr>
            </w:pPr>
            <w:r w:rsidRPr="00B8126E">
              <w:rPr>
                <w:rFonts w:asciiTheme="minorHAnsi" w:hAnsiTheme="minorHAnsi" w:cstheme="minorHAnsi"/>
                <w:bCs/>
                <w:sz w:val="16"/>
                <w:szCs w:val="16"/>
              </w:rPr>
              <w:t>Rent Assistance</w:t>
            </w:r>
            <w:r w:rsidR="00D92519">
              <w:rPr>
                <w:rFonts w:asciiTheme="minorHAnsi" w:hAnsiTheme="minorHAnsi" w:cstheme="minorHAnsi"/>
                <w:bCs/>
                <w:sz w:val="16"/>
                <w:szCs w:val="16"/>
              </w:rPr>
              <w:t xml:space="preserve"> (RA)</w:t>
            </w:r>
          </w:p>
        </w:tc>
      </w:tr>
      <w:tr w:rsidR="001404F7" w:rsidRPr="00B26083" w14:paraId="5D0BEDF3" w14:textId="77777777" w:rsidTr="001404F7">
        <w:trPr>
          <w:trHeight w:val="205"/>
          <w:jc w:val="center"/>
        </w:trPr>
        <w:tc>
          <w:tcPr>
            <w:tcW w:w="5000" w:type="pct"/>
            <w:gridSpan w:val="6"/>
            <w:shd w:val="clear" w:color="auto" w:fill="D9D9D6"/>
            <w:vAlign w:val="center"/>
          </w:tcPr>
          <w:p w14:paraId="5EA0E206" w14:textId="77777777" w:rsidR="001404F7" w:rsidRPr="00B26083" w:rsidRDefault="001404F7" w:rsidP="001404F7">
            <w:pPr>
              <w:spacing w:before="60" w:after="60"/>
              <w:jc w:val="center"/>
              <w:rPr>
                <w:rFonts w:asciiTheme="minorHAnsi" w:hAnsiTheme="minorHAnsi" w:cstheme="minorHAnsi"/>
                <w:bCs/>
                <w:sz w:val="16"/>
                <w:szCs w:val="16"/>
              </w:rPr>
            </w:pPr>
            <w:r w:rsidRPr="00B26083">
              <w:rPr>
                <w:rFonts w:asciiTheme="minorHAnsi" w:hAnsiTheme="minorHAnsi" w:cstheme="minorHAnsi"/>
                <w:bCs/>
                <w:sz w:val="16"/>
                <w:szCs w:val="16"/>
              </w:rPr>
              <w:t>Refer to Table 2.1.3 for index of key activities performance results</w:t>
            </w:r>
          </w:p>
        </w:tc>
      </w:tr>
    </w:tbl>
    <w:p w14:paraId="3BC9EE6B" w14:textId="77777777" w:rsidR="00715F6F" w:rsidRDefault="00715F6F" w:rsidP="001404F7">
      <w:pPr>
        <w:rPr>
          <w:rFonts w:eastAsiaTheme="majorEastAsia" w:cs="Arial"/>
          <w:bCs/>
          <w:iCs/>
          <w:sz w:val="20"/>
          <w:szCs w:val="20"/>
        </w:rPr>
        <w:sectPr w:rsidR="00715F6F" w:rsidSect="00585891">
          <w:footnotePr>
            <w:numRestart w:val="eachPage"/>
          </w:footnotePr>
          <w:pgSz w:w="11906" w:h="16838"/>
          <w:pgMar w:top="1440" w:right="1440" w:bottom="1440" w:left="1440" w:header="709" w:footer="709" w:gutter="0"/>
          <w:cols w:space="708"/>
          <w:docGrid w:linePitch="360"/>
        </w:sectPr>
      </w:pPr>
    </w:p>
    <w:p w14:paraId="7BFD72B6" w14:textId="77777777" w:rsidR="001404F7" w:rsidRPr="00054A67" w:rsidRDefault="001404F7" w:rsidP="001404F7">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lastRenderedPageBreak/>
        <w:t>Performance Results of Programs</w:t>
      </w:r>
    </w:p>
    <w:p w14:paraId="4526BBA2" w14:textId="77777777" w:rsidR="001404F7" w:rsidRPr="00022526" w:rsidRDefault="001404F7" w:rsidP="001404F7">
      <w:pPr>
        <w:rPr>
          <w:rFonts w:cs="Arial"/>
          <w:sz w:val="20"/>
          <w:szCs w:val="20"/>
        </w:rPr>
      </w:pPr>
      <w:r w:rsidRPr="00022526">
        <w:rPr>
          <w:rFonts w:cs="Arial"/>
          <w:sz w:val="20"/>
          <w:szCs w:val="20"/>
        </w:rPr>
        <w:t>This section describes the 2019</w:t>
      </w:r>
      <w:r>
        <w:rPr>
          <w:rFonts w:cs="Arial"/>
          <w:sz w:val="20"/>
          <w:szCs w:val="20"/>
        </w:rPr>
        <w:t>–</w:t>
      </w:r>
      <w:r w:rsidRPr="00022526">
        <w:rPr>
          <w:rFonts w:cs="Arial"/>
          <w:sz w:val="20"/>
          <w:szCs w:val="20"/>
        </w:rPr>
        <w:t>20 results of the program performance measured through agreements in place w</w:t>
      </w:r>
      <w:r>
        <w:rPr>
          <w:rFonts w:cs="Arial"/>
          <w:sz w:val="20"/>
          <w:szCs w:val="20"/>
        </w:rPr>
        <w:t>ith relevant service providers</w:t>
      </w:r>
      <w:r w:rsidRPr="00022526">
        <w:rPr>
          <w:rFonts w:cs="Arial"/>
          <w:sz w:val="20"/>
          <w:szCs w:val="20"/>
        </w:rPr>
        <w:t>.</w:t>
      </w:r>
    </w:p>
    <w:p w14:paraId="79F91814" w14:textId="77777777" w:rsidR="001404F7" w:rsidRDefault="001404F7" w:rsidP="001404F7">
      <w:pPr>
        <w:spacing w:before="240" w:after="240" w:line="260" w:lineRule="atLeast"/>
        <w:outlineLvl w:val="6"/>
        <w:rPr>
          <w:rFonts w:eastAsiaTheme="majorEastAsia" w:cstheme="majorBidi"/>
          <w:b/>
          <w:iCs/>
          <w:sz w:val="26"/>
        </w:rPr>
      </w:pPr>
      <w:r>
        <w:rPr>
          <w:rFonts w:eastAsiaTheme="majorEastAsia" w:cstheme="majorBidi"/>
          <w:b/>
          <w:iCs/>
          <w:sz w:val="26"/>
        </w:rPr>
        <w:t xml:space="preserve">C1.4 </w:t>
      </w:r>
      <w:r w:rsidRPr="003F5594">
        <w:rPr>
          <w:rFonts w:eastAsiaTheme="majorEastAsia" w:cstheme="majorBidi"/>
          <w:b/>
          <w:iCs/>
          <w:sz w:val="26"/>
        </w:rPr>
        <w:t>Extent to which delivery meets program objective</w:t>
      </w:r>
    </w:p>
    <w:p w14:paraId="641DBC7C" w14:textId="77777777" w:rsidR="001404F7" w:rsidRPr="00022526" w:rsidRDefault="001404F7" w:rsidP="001404F7">
      <w:pPr>
        <w:rPr>
          <w:rFonts w:cs="Arial"/>
          <w:sz w:val="20"/>
          <w:szCs w:val="20"/>
        </w:rPr>
      </w:pPr>
      <w:r w:rsidRPr="00022526">
        <w:rPr>
          <w:rFonts w:cs="Arial"/>
          <w:sz w:val="20"/>
          <w:szCs w:val="20"/>
        </w:rPr>
        <w:t>This criterion assesses whether funds have been spent consistent with the program objective with a focus on appropriate delivery of payments.</w:t>
      </w:r>
    </w:p>
    <w:p w14:paraId="63D4DFC0" w14:textId="77777777" w:rsidR="001404F7" w:rsidRDefault="001404F7" w:rsidP="001404F7">
      <w:pPr>
        <w:spacing w:before="240" w:after="240"/>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t xml:space="preserve">C1.4.1 </w:t>
      </w:r>
      <w:r w:rsidRPr="006447FF">
        <w:rPr>
          <w:rFonts w:eastAsiaTheme="majorEastAsia" w:cstheme="majorBidi"/>
          <w:b/>
          <w:color w:val="595959" w:themeColor="text1" w:themeTint="A6"/>
          <w:sz w:val="24"/>
          <w:szCs w:val="20"/>
        </w:rPr>
        <w:t>Program performance criteria and associated milestones/standards</w:t>
      </w:r>
    </w:p>
    <w:p w14:paraId="7A7826FA" w14:textId="59E014F6" w:rsidR="00D92519" w:rsidRPr="00AC1A23"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sidRPr="00DE7858">
        <w:rPr>
          <w:rFonts w:ascii="Arial Narrow" w:eastAsia="Times New Roman" w:hAnsi="Arial Narrow" w:cs="Times New Roman"/>
          <w:b/>
          <w:bCs/>
          <w:spacing w:val="4"/>
          <w:sz w:val="20"/>
          <w:szCs w:val="18"/>
          <w:lang w:eastAsia="en-AU"/>
        </w:rPr>
        <w:t>Table 2.1.2: Program</w:t>
      </w:r>
      <w:r w:rsidRPr="00AC1A23">
        <w:rPr>
          <w:rFonts w:ascii="Arial Narrow" w:eastAsia="Times New Roman" w:hAnsi="Arial Narrow" w:cs="Times New Roman"/>
          <w:b/>
          <w:bCs/>
          <w:spacing w:val="4"/>
          <w:sz w:val="20"/>
          <w:szCs w:val="18"/>
          <w:lang w:eastAsia="en-AU"/>
        </w:rPr>
        <w:t xml:space="preserve"> performance criteria and associated milestones/standards</w:t>
      </w:r>
    </w:p>
    <w:tbl>
      <w:tblPr>
        <w:tblStyle w:val="HHorizontaltable1"/>
        <w:tblW w:w="0" w:type="auto"/>
        <w:tblInd w:w="2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2.1.2: Program performance criteria and associated milestones/standards"/>
        <w:tblDescription w:val="Table 2.1.2: Program performance criteria and associated milestones/standards "/>
      </w:tblPr>
      <w:tblGrid>
        <w:gridCol w:w="4047"/>
        <w:gridCol w:w="1797"/>
        <w:gridCol w:w="1053"/>
        <w:gridCol w:w="1053"/>
        <w:gridCol w:w="1053"/>
      </w:tblGrid>
      <w:tr w:rsidR="001404F7" w:rsidRPr="005623C0" w14:paraId="455EBCA0" w14:textId="77777777" w:rsidTr="003A047F">
        <w:trPr>
          <w:cnfStyle w:val="100000000000" w:firstRow="1" w:lastRow="0" w:firstColumn="0" w:lastColumn="0" w:oddVBand="0" w:evenVBand="0" w:oddHBand="0" w:evenHBand="0" w:firstRowFirstColumn="0" w:firstRowLastColumn="0" w:lastRowFirstColumn="0" w:lastRowLastColumn="0"/>
          <w:trHeight w:val="317"/>
          <w:tblHeader/>
        </w:trPr>
        <w:tc>
          <w:tcPr>
            <w:tcW w:w="4047" w:type="dxa"/>
            <w:tcBorders>
              <w:bottom w:val="single" w:sz="18" w:space="0" w:color="FFFFFF" w:themeColor="background1"/>
            </w:tcBorders>
            <w:vAlign w:val="center"/>
            <w:hideMark/>
          </w:tcPr>
          <w:p w14:paraId="13856250" w14:textId="77777777" w:rsidR="001404F7" w:rsidRPr="00D13460" w:rsidRDefault="001404F7" w:rsidP="001404F7">
            <w:pPr>
              <w:spacing w:before="40" w:after="40"/>
              <w:jc w:val="center"/>
              <w:rPr>
                <w:rFonts w:eastAsia="Times New Roman"/>
                <w:sz w:val="16"/>
                <w:szCs w:val="16"/>
              </w:rPr>
            </w:pPr>
            <w:r w:rsidRPr="00D13460">
              <w:rPr>
                <w:rFonts w:eastAsia="Times New Roman"/>
                <w:sz w:val="16"/>
                <w:szCs w:val="16"/>
              </w:rPr>
              <w:t>Intermediate outcome performance measure</w:t>
            </w:r>
          </w:p>
          <w:p w14:paraId="7F195DDE" w14:textId="77777777" w:rsidR="001404F7" w:rsidRPr="00D13460" w:rsidRDefault="001404F7" w:rsidP="001404F7">
            <w:pPr>
              <w:spacing w:before="40" w:after="40"/>
              <w:jc w:val="center"/>
              <w:rPr>
                <w:rFonts w:eastAsia="Times New Roman"/>
                <w:sz w:val="16"/>
                <w:szCs w:val="16"/>
              </w:rPr>
            </w:pPr>
            <w:r w:rsidRPr="00D13460">
              <w:rPr>
                <w:rFonts w:eastAsia="Times New Roman"/>
                <w:sz w:val="16"/>
                <w:szCs w:val="16"/>
              </w:rPr>
              <w:t>PBS performance criteria</w:t>
            </w:r>
          </w:p>
        </w:tc>
        <w:tc>
          <w:tcPr>
            <w:tcW w:w="1797" w:type="dxa"/>
            <w:tcBorders>
              <w:bottom w:val="single" w:sz="18" w:space="0" w:color="FFFFFF" w:themeColor="background1"/>
            </w:tcBorders>
            <w:vAlign w:val="center"/>
          </w:tcPr>
          <w:p w14:paraId="0B330071" w14:textId="77777777" w:rsidR="001404F7" w:rsidRPr="00D13460" w:rsidRDefault="001404F7" w:rsidP="001404F7">
            <w:pPr>
              <w:spacing w:before="40" w:after="40"/>
              <w:jc w:val="center"/>
              <w:rPr>
                <w:rFonts w:eastAsia="Times New Roman"/>
                <w:sz w:val="16"/>
                <w:szCs w:val="16"/>
              </w:rPr>
            </w:pPr>
            <w:r w:rsidRPr="00D13460">
              <w:rPr>
                <w:rFonts w:eastAsia="Times New Roman"/>
                <w:sz w:val="16"/>
                <w:szCs w:val="16"/>
              </w:rPr>
              <w:t>Target</w:t>
            </w:r>
          </w:p>
        </w:tc>
        <w:tc>
          <w:tcPr>
            <w:tcW w:w="1053" w:type="dxa"/>
            <w:tcBorders>
              <w:bottom w:val="single" w:sz="18" w:space="0" w:color="FFFFFF" w:themeColor="background1"/>
            </w:tcBorders>
            <w:vAlign w:val="center"/>
            <w:hideMark/>
          </w:tcPr>
          <w:p w14:paraId="3EA4AD04" w14:textId="77777777" w:rsidR="001404F7" w:rsidRPr="00D13460" w:rsidRDefault="001404F7" w:rsidP="001404F7">
            <w:pPr>
              <w:spacing w:before="40" w:after="40"/>
              <w:jc w:val="center"/>
              <w:rPr>
                <w:rFonts w:eastAsia="Times New Roman"/>
                <w:sz w:val="16"/>
                <w:szCs w:val="16"/>
              </w:rPr>
            </w:pPr>
            <w:r w:rsidRPr="00D13460">
              <w:rPr>
                <w:rFonts w:eastAsia="Times New Roman"/>
                <w:sz w:val="16"/>
                <w:szCs w:val="16"/>
              </w:rPr>
              <w:t>2019–20</w:t>
            </w:r>
          </w:p>
        </w:tc>
        <w:tc>
          <w:tcPr>
            <w:tcW w:w="1053" w:type="dxa"/>
            <w:tcBorders>
              <w:bottom w:val="single" w:sz="18" w:space="0" w:color="FFFFFF" w:themeColor="background1"/>
            </w:tcBorders>
            <w:vAlign w:val="center"/>
            <w:hideMark/>
          </w:tcPr>
          <w:p w14:paraId="4E8E549C" w14:textId="77777777" w:rsidR="001404F7" w:rsidRPr="00D13460" w:rsidRDefault="001404F7" w:rsidP="001404F7">
            <w:pPr>
              <w:spacing w:before="40" w:after="40"/>
              <w:jc w:val="center"/>
              <w:rPr>
                <w:rFonts w:eastAsia="Times New Roman"/>
                <w:sz w:val="16"/>
                <w:szCs w:val="16"/>
              </w:rPr>
            </w:pPr>
            <w:r w:rsidRPr="00D13460">
              <w:rPr>
                <w:rFonts w:eastAsia="Times New Roman"/>
                <w:sz w:val="16"/>
                <w:szCs w:val="16"/>
              </w:rPr>
              <w:t>2018–19</w:t>
            </w:r>
          </w:p>
        </w:tc>
        <w:tc>
          <w:tcPr>
            <w:tcW w:w="1053" w:type="dxa"/>
            <w:tcBorders>
              <w:bottom w:val="single" w:sz="18" w:space="0" w:color="FFFFFF" w:themeColor="background1"/>
            </w:tcBorders>
            <w:vAlign w:val="center"/>
            <w:hideMark/>
          </w:tcPr>
          <w:p w14:paraId="4550BC90" w14:textId="77777777" w:rsidR="001404F7" w:rsidRPr="00D13460" w:rsidRDefault="001404F7" w:rsidP="001404F7">
            <w:pPr>
              <w:spacing w:before="40" w:after="40"/>
              <w:jc w:val="center"/>
              <w:rPr>
                <w:rFonts w:eastAsia="Times New Roman"/>
                <w:sz w:val="16"/>
                <w:szCs w:val="16"/>
              </w:rPr>
            </w:pPr>
            <w:r w:rsidRPr="00D13460">
              <w:rPr>
                <w:rFonts w:eastAsia="Times New Roman"/>
                <w:sz w:val="16"/>
                <w:szCs w:val="16"/>
              </w:rPr>
              <w:t>2017–18</w:t>
            </w:r>
          </w:p>
        </w:tc>
      </w:tr>
      <w:tr w:rsidR="001404F7" w:rsidRPr="005623C0" w14:paraId="19D026E4" w14:textId="77777777" w:rsidTr="003A047F">
        <w:trPr>
          <w:cnfStyle w:val="000000100000" w:firstRow="0" w:lastRow="0" w:firstColumn="0" w:lastColumn="0" w:oddVBand="0" w:evenVBand="0" w:oddHBand="1" w:evenHBand="0" w:firstRowFirstColumn="0" w:firstRowLastColumn="0" w:lastRowFirstColumn="0" w:lastRowLastColumn="0"/>
        </w:trPr>
        <w:tc>
          <w:tcPr>
            <w:tcW w:w="9003" w:type="dxa"/>
            <w:gridSpan w:val="5"/>
            <w:tcBorders>
              <w:left w:val="nil"/>
              <w:bottom w:val="single" w:sz="18" w:space="0" w:color="00B0B9"/>
              <w:right w:val="nil"/>
            </w:tcBorders>
          </w:tcPr>
          <w:p w14:paraId="5E771792" w14:textId="77777777" w:rsidR="001404F7" w:rsidRPr="005623C0" w:rsidRDefault="001404F7" w:rsidP="001404F7">
            <w:pPr>
              <w:spacing w:before="40" w:after="40"/>
              <w:rPr>
                <w:rFonts w:eastAsia="Times New Roman" w:cs="Arial"/>
                <w:b/>
                <w:color w:val="000000" w:themeColor="text1"/>
                <w:sz w:val="16"/>
                <w:szCs w:val="16"/>
              </w:rPr>
            </w:pPr>
            <w:r w:rsidRPr="005623C0">
              <w:rPr>
                <w:rFonts w:eastAsia="Times New Roman" w:cs="Arial"/>
                <w:b/>
                <w:color w:val="000000" w:themeColor="text1"/>
                <w:sz w:val="16"/>
                <w:szCs w:val="16"/>
              </w:rPr>
              <w:t>Program 1.1: Family Tax Benefit</w:t>
            </w:r>
          </w:p>
        </w:tc>
      </w:tr>
      <w:tr w:rsidR="001404F7" w:rsidRPr="005623C0" w14:paraId="0EE0C385" w14:textId="77777777" w:rsidTr="003A047F">
        <w:trPr>
          <w:cnfStyle w:val="000000010000" w:firstRow="0" w:lastRow="0" w:firstColumn="0" w:lastColumn="0" w:oddVBand="0" w:evenVBand="0" w:oddHBand="0" w:evenHBand="1" w:firstRowFirstColumn="0" w:firstRowLastColumn="0" w:lastRowFirstColumn="0" w:lastRowLastColumn="0"/>
        </w:trPr>
        <w:tc>
          <w:tcPr>
            <w:tcW w:w="4047" w:type="dxa"/>
            <w:tcBorders>
              <w:top w:val="single" w:sz="18" w:space="0" w:color="00B0B9"/>
              <w:left w:val="nil"/>
              <w:bottom w:val="single" w:sz="18" w:space="0" w:color="FFFFFF" w:themeColor="background1"/>
            </w:tcBorders>
            <w:hideMark/>
          </w:tcPr>
          <w:p w14:paraId="6170AD0D" w14:textId="77777777" w:rsidR="001404F7" w:rsidRPr="005623C0" w:rsidRDefault="001404F7" w:rsidP="001404F7">
            <w:pPr>
              <w:spacing w:before="40" w:after="40"/>
              <w:rPr>
                <w:rFonts w:eastAsia="Times New Roman" w:cs="Arial"/>
                <w:b/>
                <w:color w:val="000000" w:themeColor="text1"/>
                <w:spacing w:val="4"/>
                <w:sz w:val="16"/>
                <w:szCs w:val="16"/>
                <w:lang w:val="en-GB"/>
              </w:rPr>
            </w:pPr>
            <w:r w:rsidRPr="005623C0">
              <w:rPr>
                <w:rFonts w:eastAsia="Times New Roman"/>
                <w:color w:val="000000" w:themeColor="text1"/>
                <w:spacing w:val="4"/>
                <w:sz w:val="16"/>
                <w:szCs w:val="16"/>
                <w:lang w:val="en-GB"/>
              </w:rPr>
              <w:t>Agreement is in place with Services Australia to provide assurance that the delivery of the payments/programs below are made in accordance with relevant legislation, policy and guidelines:</w:t>
            </w:r>
          </w:p>
          <w:p w14:paraId="3AABBCB7" w14:textId="77777777" w:rsidR="001404F7" w:rsidRPr="005623C0" w:rsidRDefault="001404F7" w:rsidP="001404F7">
            <w:pPr>
              <w:numPr>
                <w:ilvl w:val="0"/>
                <w:numId w:val="69"/>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Family Tax Benefit Part A</w:t>
            </w:r>
          </w:p>
          <w:p w14:paraId="69738F05" w14:textId="77777777" w:rsidR="001404F7" w:rsidRPr="005623C0" w:rsidRDefault="001404F7" w:rsidP="001404F7">
            <w:pPr>
              <w:numPr>
                <w:ilvl w:val="0"/>
                <w:numId w:val="69"/>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Family Tax Benefit Part B</w:t>
            </w:r>
          </w:p>
          <w:p w14:paraId="1142AB28" w14:textId="77777777" w:rsidR="001404F7" w:rsidRPr="005623C0" w:rsidRDefault="001404F7" w:rsidP="001404F7">
            <w:pPr>
              <w:numPr>
                <w:ilvl w:val="0"/>
                <w:numId w:val="69"/>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Child Support Scheme</w:t>
            </w:r>
          </w:p>
        </w:tc>
        <w:tc>
          <w:tcPr>
            <w:tcW w:w="1797" w:type="dxa"/>
            <w:tcBorders>
              <w:top w:val="single" w:sz="18" w:space="0" w:color="00B0B9"/>
              <w:bottom w:val="single" w:sz="18" w:space="0" w:color="FFFFFF" w:themeColor="background1"/>
            </w:tcBorders>
          </w:tcPr>
          <w:p w14:paraId="45ACC611"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Milestone/ standard:</w:t>
            </w:r>
          </w:p>
          <w:p w14:paraId="10375E49"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Agreement is in place</w:t>
            </w:r>
          </w:p>
        </w:tc>
        <w:tc>
          <w:tcPr>
            <w:tcW w:w="1053" w:type="dxa"/>
            <w:tcBorders>
              <w:top w:val="single" w:sz="18" w:space="0" w:color="00B0B9"/>
              <w:bottom w:val="single" w:sz="18" w:space="0" w:color="FFFFFF" w:themeColor="background1"/>
            </w:tcBorders>
            <w:vAlign w:val="center"/>
            <w:hideMark/>
          </w:tcPr>
          <w:p w14:paraId="3728BD68" w14:textId="77777777" w:rsidR="001404F7" w:rsidRPr="009445DA" w:rsidRDefault="001404F7" w:rsidP="001404F7">
            <w:pPr>
              <w:spacing w:before="40" w:after="40"/>
              <w:jc w:val="center"/>
              <w:rPr>
                <w:rFonts w:eastAsia="Times New Roman"/>
                <w:spacing w:val="4"/>
                <w:sz w:val="20"/>
                <w:szCs w:val="16"/>
                <w:lang w:val="en-GB"/>
              </w:rPr>
            </w:pPr>
            <w:r w:rsidRPr="009445DA">
              <w:rPr>
                <w:rFonts w:eastAsia="Times New Roman"/>
                <w:spacing w:val="4"/>
                <w:sz w:val="20"/>
                <w:szCs w:val="16"/>
                <w:lang w:val="en-GB"/>
              </w:rPr>
              <w:sym w:font="Wingdings" w:char="F0FE"/>
            </w:r>
          </w:p>
        </w:tc>
        <w:tc>
          <w:tcPr>
            <w:tcW w:w="1053" w:type="dxa"/>
            <w:tcBorders>
              <w:top w:val="single" w:sz="18" w:space="0" w:color="00B0B9"/>
              <w:bottom w:val="single" w:sz="18" w:space="0" w:color="FFFFFF" w:themeColor="background1"/>
            </w:tcBorders>
            <w:vAlign w:val="center"/>
          </w:tcPr>
          <w:p w14:paraId="30F72309" w14:textId="77777777" w:rsidR="001404F7" w:rsidRPr="009445DA" w:rsidRDefault="001404F7" w:rsidP="001404F7">
            <w:pPr>
              <w:spacing w:before="40" w:after="40"/>
              <w:jc w:val="center"/>
              <w:rPr>
                <w:rFonts w:eastAsia="Times New Roman"/>
                <w:spacing w:val="4"/>
                <w:sz w:val="20"/>
                <w:szCs w:val="16"/>
                <w:lang w:val="en-GB"/>
              </w:rPr>
            </w:pPr>
            <w:r w:rsidRPr="009445DA">
              <w:rPr>
                <w:rFonts w:eastAsia="Times New Roman"/>
                <w:spacing w:val="4"/>
                <w:sz w:val="20"/>
                <w:szCs w:val="16"/>
                <w:lang w:val="en-GB"/>
              </w:rPr>
              <w:sym w:font="Wingdings" w:char="F0FE"/>
            </w:r>
          </w:p>
        </w:tc>
        <w:tc>
          <w:tcPr>
            <w:tcW w:w="1053" w:type="dxa"/>
            <w:tcBorders>
              <w:top w:val="single" w:sz="18" w:space="0" w:color="00B0B9"/>
              <w:bottom w:val="single" w:sz="18" w:space="0" w:color="FFFFFF" w:themeColor="background1"/>
              <w:right w:val="nil"/>
            </w:tcBorders>
            <w:vAlign w:val="center"/>
          </w:tcPr>
          <w:p w14:paraId="1407EB76" w14:textId="77777777" w:rsidR="001404F7" w:rsidRPr="009445DA" w:rsidRDefault="001404F7" w:rsidP="001404F7">
            <w:pPr>
              <w:spacing w:before="40" w:after="40"/>
              <w:jc w:val="center"/>
              <w:rPr>
                <w:rFonts w:eastAsia="Times New Roman"/>
                <w:color w:val="000000" w:themeColor="text1"/>
                <w:spacing w:val="4"/>
                <w:sz w:val="20"/>
                <w:szCs w:val="16"/>
                <w:lang w:val="en-GB"/>
              </w:rPr>
            </w:pPr>
            <w:r w:rsidRPr="009445DA">
              <w:rPr>
                <w:rFonts w:eastAsia="Times New Roman"/>
                <w:spacing w:val="4"/>
                <w:sz w:val="20"/>
                <w:szCs w:val="16"/>
                <w:lang w:val="en-GB"/>
              </w:rPr>
              <w:sym w:font="Wingdings" w:char="F0FE"/>
            </w:r>
          </w:p>
        </w:tc>
      </w:tr>
      <w:tr w:rsidR="001404F7" w:rsidRPr="005623C0" w14:paraId="69AC51CB" w14:textId="77777777" w:rsidTr="003A047F">
        <w:trPr>
          <w:cnfStyle w:val="000000100000" w:firstRow="0" w:lastRow="0" w:firstColumn="0" w:lastColumn="0" w:oddVBand="0" w:evenVBand="0" w:oddHBand="1" w:evenHBand="0" w:firstRowFirstColumn="0" w:firstRowLastColumn="0" w:lastRowFirstColumn="0" w:lastRowLastColumn="0"/>
          <w:trHeight w:val="317"/>
        </w:trPr>
        <w:tc>
          <w:tcPr>
            <w:tcW w:w="9003" w:type="dxa"/>
            <w:gridSpan w:val="5"/>
            <w:tcBorders>
              <w:left w:val="nil"/>
              <w:bottom w:val="single" w:sz="18" w:space="0" w:color="00B0B9"/>
              <w:right w:val="nil"/>
            </w:tcBorders>
          </w:tcPr>
          <w:p w14:paraId="5FB97AE3" w14:textId="77777777" w:rsidR="001404F7" w:rsidRPr="005623C0" w:rsidRDefault="001404F7" w:rsidP="001404F7">
            <w:pPr>
              <w:spacing w:before="40" w:after="40"/>
              <w:rPr>
                <w:rFonts w:eastAsia="Times New Roman" w:cs="Arial"/>
                <w:b/>
                <w:color w:val="000000" w:themeColor="text1"/>
                <w:sz w:val="16"/>
                <w:szCs w:val="16"/>
              </w:rPr>
            </w:pPr>
            <w:r w:rsidRPr="005623C0">
              <w:rPr>
                <w:rFonts w:eastAsia="Times New Roman" w:cs="Arial"/>
                <w:b/>
                <w:color w:val="000000" w:themeColor="text1"/>
                <w:sz w:val="16"/>
                <w:szCs w:val="16"/>
              </w:rPr>
              <w:t>Program 1.2: Child Payments</w:t>
            </w:r>
          </w:p>
        </w:tc>
      </w:tr>
      <w:tr w:rsidR="001404F7" w:rsidRPr="005623C0" w14:paraId="1B0E5551" w14:textId="77777777" w:rsidTr="003A047F">
        <w:trPr>
          <w:cnfStyle w:val="000000010000" w:firstRow="0" w:lastRow="0" w:firstColumn="0" w:lastColumn="0" w:oddVBand="0" w:evenVBand="0" w:oddHBand="0" w:evenHBand="1" w:firstRowFirstColumn="0" w:firstRowLastColumn="0" w:lastRowFirstColumn="0" w:lastRowLastColumn="0"/>
        </w:trPr>
        <w:tc>
          <w:tcPr>
            <w:tcW w:w="4047" w:type="dxa"/>
            <w:tcBorders>
              <w:top w:val="single" w:sz="18" w:space="0" w:color="00B0B9"/>
              <w:left w:val="nil"/>
            </w:tcBorders>
            <w:hideMark/>
          </w:tcPr>
          <w:p w14:paraId="12CAD834" w14:textId="77777777" w:rsidR="001404F7" w:rsidRPr="005623C0" w:rsidRDefault="001404F7" w:rsidP="001404F7">
            <w:pPr>
              <w:spacing w:before="40" w:after="40"/>
              <w:rPr>
                <w:rFonts w:eastAsia="Times New Roman" w:cs="Arial"/>
                <w:color w:val="000000" w:themeColor="text1"/>
                <w:spacing w:val="4"/>
                <w:sz w:val="16"/>
                <w:szCs w:val="16"/>
                <w:lang w:val="en-GB"/>
              </w:rPr>
            </w:pPr>
            <w:r w:rsidRPr="005623C0">
              <w:rPr>
                <w:rFonts w:eastAsia="Times New Roman"/>
                <w:color w:val="000000" w:themeColor="text1"/>
                <w:spacing w:val="4"/>
                <w:sz w:val="16"/>
                <w:szCs w:val="16"/>
                <w:lang w:val="en-GB"/>
              </w:rPr>
              <w:t>Agreement is in place with Services Australia to provide assurance that the delivery of the payments below are made in accordance with relevant legislation, policy and guidelines:</w:t>
            </w:r>
          </w:p>
          <w:p w14:paraId="0AD4F53F" w14:textId="77777777" w:rsidR="001404F7" w:rsidRPr="005623C0" w:rsidRDefault="001404F7" w:rsidP="001404F7">
            <w:pPr>
              <w:numPr>
                <w:ilvl w:val="0"/>
                <w:numId w:val="70"/>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Single Income Family Supplement</w:t>
            </w:r>
          </w:p>
          <w:p w14:paraId="26D127C3" w14:textId="77777777" w:rsidR="001404F7" w:rsidRPr="005623C0" w:rsidRDefault="001404F7" w:rsidP="001404F7">
            <w:pPr>
              <w:numPr>
                <w:ilvl w:val="0"/>
                <w:numId w:val="70"/>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Stillborn Baby Payment</w:t>
            </w:r>
          </w:p>
          <w:p w14:paraId="40EF2E52" w14:textId="77777777" w:rsidR="001404F7" w:rsidRPr="005623C0" w:rsidRDefault="001404F7" w:rsidP="001404F7">
            <w:pPr>
              <w:numPr>
                <w:ilvl w:val="0"/>
                <w:numId w:val="70"/>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Double Orphan Pension</w:t>
            </w:r>
          </w:p>
          <w:p w14:paraId="32D0C865" w14:textId="77777777" w:rsidR="001404F7" w:rsidRPr="005623C0" w:rsidRDefault="001404F7" w:rsidP="001404F7">
            <w:pPr>
              <w:numPr>
                <w:ilvl w:val="0"/>
                <w:numId w:val="70"/>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Assistance for Isolated Children</w:t>
            </w:r>
          </w:p>
        </w:tc>
        <w:tc>
          <w:tcPr>
            <w:tcW w:w="1797" w:type="dxa"/>
            <w:tcBorders>
              <w:top w:val="single" w:sz="18" w:space="0" w:color="00B0B9"/>
            </w:tcBorders>
          </w:tcPr>
          <w:p w14:paraId="0EA4A4E9"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Milestone/ standard:</w:t>
            </w:r>
          </w:p>
          <w:p w14:paraId="5D57266E"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Agreement is in place</w:t>
            </w:r>
          </w:p>
        </w:tc>
        <w:tc>
          <w:tcPr>
            <w:tcW w:w="1053" w:type="dxa"/>
            <w:tcBorders>
              <w:top w:val="single" w:sz="18" w:space="0" w:color="00B0B9"/>
            </w:tcBorders>
            <w:vAlign w:val="center"/>
          </w:tcPr>
          <w:p w14:paraId="736A351B"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tcBorders>
            <w:vAlign w:val="center"/>
          </w:tcPr>
          <w:p w14:paraId="4C844345"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right w:val="nil"/>
            </w:tcBorders>
            <w:vAlign w:val="center"/>
          </w:tcPr>
          <w:p w14:paraId="09158EA7" w14:textId="77777777" w:rsidR="001404F7" w:rsidRPr="009445DA" w:rsidRDefault="001404F7" w:rsidP="001404F7">
            <w:pPr>
              <w:spacing w:before="40" w:after="40"/>
              <w:jc w:val="center"/>
              <w:rPr>
                <w:rFonts w:eastAsia="Times New Roman"/>
                <w:color w:val="000000" w:themeColor="text1"/>
                <w:spacing w:val="4"/>
                <w:sz w:val="20"/>
                <w:szCs w:val="20"/>
                <w:lang w:val="en-GB"/>
              </w:rPr>
            </w:pPr>
            <w:r w:rsidRPr="009445DA">
              <w:rPr>
                <w:rFonts w:eastAsia="Times New Roman"/>
                <w:spacing w:val="4"/>
                <w:sz w:val="20"/>
                <w:szCs w:val="20"/>
                <w:lang w:val="en-GB"/>
              </w:rPr>
              <w:sym w:font="Wingdings" w:char="F0FE"/>
            </w:r>
          </w:p>
        </w:tc>
      </w:tr>
      <w:tr w:rsidR="001404F7" w:rsidRPr="005623C0" w14:paraId="62D25561" w14:textId="77777777" w:rsidTr="003A047F">
        <w:trPr>
          <w:cnfStyle w:val="000000100000" w:firstRow="0" w:lastRow="0" w:firstColumn="0" w:lastColumn="0" w:oddVBand="0" w:evenVBand="0" w:oddHBand="1" w:evenHBand="0" w:firstRowFirstColumn="0" w:firstRowLastColumn="0" w:lastRowFirstColumn="0" w:lastRowLastColumn="0"/>
          <w:trHeight w:val="317"/>
        </w:trPr>
        <w:tc>
          <w:tcPr>
            <w:tcW w:w="9003" w:type="dxa"/>
            <w:gridSpan w:val="5"/>
            <w:tcBorders>
              <w:left w:val="nil"/>
              <w:bottom w:val="single" w:sz="18" w:space="0" w:color="00B0B9"/>
              <w:right w:val="nil"/>
            </w:tcBorders>
          </w:tcPr>
          <w:p w14:paraId="0FEBC431" w14:textId="77777777" w:rsidR="001404F7" w:rsidRPr="005623C0" w:rsidRDefault="001404F7" w:rsidP="001404F7">
            <w:pPr>
              <w:spacing w:before="40" w:after="40"/>
              <w:rPr>
                <w:rFonts w:eastAsia="Times New Roman"/>
                <w:b/>
                <w:color w:val="000000" w:themeColor="text1"/>
                <w:spacing w:val="4"/>
                <w:sz w:val="16"/>
                <w:szCs w:val="16"/>
                <w:lang w:val="en-GB"/>
              </w:rPr>
            </w:pPr>
            <w:r w:rsidRPr="005623C0">
              <w:rPr>
                <w:rFonts w:eastAsia="Times New Roman"/>
                <w:b/>
                <w:color w:val="000000" w:themeColor="text1"/>
                <w:spacing w:val="4"/>
                <w:sz w:val="16"/>
                <w:szCs w:val="16"/>
                <w:lang w:val="en-GB"/>
              </w:rPr>
              <w:t>Program 1.3: Income Support for Vulnerable People</w:t>
            </w:r>
          </w:p>
        </w:tc>
      </w:tr>
      <w:tr w:rsidR="001404F7" w:rsidRPr="005623C0" w14:paraId="25644683" w14:textId="77777777" w:rsidTr="003A047F">
        <w:trPr>
          <w:cnfStyle w:val="000000010000" w:firstRow="0" w:lastRow="0" w:firstColumn="0" w:lastColumn="0" w:oddVBand="0" w:evenVBand="0" w:oddHBand="0" w:evenHBand="1" w:firstRowFirstColumn="0" w:firstRowLastColumn="0" w:lastRowFirstColumn="0" w:lastRowLastColumn="0"/>
        </w:trPr>
        <w:tc>
          <w:tcPr>
            <w:tcW w:w="4047" w:type="dxa"/>
            <w:tcBorders>
              <w:top w:val="single" w:sz="18" w:space="0" w:color="00B0B9"/>
              <w:left w:val="nil"/>
            </w:tcBorders>
            <w:hideMark/>
          </w:tcPr>
          <w:p w14:paraId="3A225250" w14:textId="77777777" w:rsidR="001404F7" w:rsidRPr="005623C0" w:rsidRDefault="001404F7" w:rsidP="001404F7">
            <w:pPr>
              <w:spacing w:before="40" w:after="40"/>
              <w:rPr>
                <w:rFonts w:eastAsia="Times New Roman" w:cs="Arial"/>
                <w:color w:val="000000" w:themeColor="text1"/>
                <w:spacing w:val="4"/>
                <w:sz w:val="16"/>
                <w:szCs w:val="16"/>
                <w:lang w:val="en-GB"/>
              </w:rPr>
            </w:pPr>
            <w:r w:rsidRPr="005623C0">
              <w:rPr>
                <w:rFonts w:eastAsia="Times New Roman"/>
                <w:color w:val="000000" w:themeColor="text1"/>
                <w:spacing w:val="4"/>
                <w:sz w:val="16"/>
                <w:szCs w:val="16"/>
                <w:lang w:val="en-GB"/>
              </w:rPr>
              <w:t>Agreement is in place with Services Australia to provide assurance that the delivery of the payments below are made in accordance with relevant legislation, policy and guidelines:</w:t>
            </w:r>
          </w:p>
          <w:p w14:paraId="51BCAC5D" w14:textId="77777777" w:rsidR="001404F7" w:rsidRPr="005623C0" w:rsidRDefault="001404F7" w:rsidP="001404F7">
            <w:pPr>
              <w:numPr>
                <w:ilvl w:val="0"/>
                <w:numId w:val="71"/>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Special Benefit</w:t>
            </w:r>
          </w:p>
        </w:tc>
        <w:tc>
          <w:tcPr>
            <w:tcW w:w="1797" w:type="dxa"/>
            <w:tcBorders>
              <w:top w:val="single" w:sz="18" w:space="0" w:color="00B0B9"/>
            </w:tcBorders>
          </w:tcPr>
          <w:p w14:paraId="4E2D5BCD"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Milestone/ standard:</w:t>
            </w:r>
          </w:p>
          <w:p w14:paraId="3D27B684"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Agreement is in place</w:t>
            </w:r>
          </w:p>
        </w:tc>
        <w:tc>
          <w:tcPr>
            <w:tcW w:w="1053" w:type="dxa"/>
            <w:tcBorders>
              <w:top w:val="single" w:sz="18" w:space="0" w:color="00B0B9"/>
            </w:tcBorders>
            <w:vAlign w:val="center"/>
          </w:tcPr>
          <w:p w14:paraId="3791C723"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tcBorders>
            <w:vAlign w:val="center"/>
          </w:tcPr>
          <w:p w14:paraId="6E9153BE"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right w:val="nil"/>
            </w:tcBorders>
            <w:vAlign w:val="center"/>
          </w:tcPr>
          <w:p w14:paraId="58468B8B" w14:textId="77777777" w:rsidR="001404F7" w:rsidRPr="009445DA" w:rsidRDefault="001404F7" w:rsidP="001404F7">
            <w:pPr>
              <w:spacing w:before="40" w:after="40"/>
              <w:jc w:val="center"/>
              <w:rPr>
                <w:rFonts w:eastAsia="Times New Roman"/>
                <w:color w:val="000000" w:themeColor="text1"/>
                <w:spacing w:val="4"/>
                <w:sz w:val="20"/>
                <w:szCs w:val="20"/>
                <w:lang w:val="en-GB"/>
              </w:rPr>
            </w:pPr>
            <w:r w:rsidRPr="009445DA">
              <w:rPr>
                <w:rFonts w:eastAsia="Times New Roman"/>
                <w:spacing w:val="4"/>
                <w:sz w:val="20"/>
                <w:szCs w:val="20"/>
                <w:lang w:val="en-GB"/>
              </w:rPr>
              <w:sym w:font="Wingdings" w:char="F0FE"/>
            </w:r>
          </w:p>
        </w:tc>
      </w:tr>
      <w:tr w:rsidR="001404F7" w:rsidRPr="005623C0" w14:paraId="64899EA8" w14:textId="77777777" w:rsidTr="003A047F">
        <w:trPr>
          <w:cnfStyle w:val="000000100000" w:firstRow="0" w:lastRow="0" w:firstColumn="0" w:lastColumn="0" w:oddVBand="0" w:evenVBand="0" w:oddHBand="1" w:evenHBand="0" w:firstRowFirstColumn="0" w:firstRowLastColumn="0" w:lastRowFirstColumn="0" w:lastRowLastColumn="0"/>
        </w:trPr>
        <w:tc>
          <w:tcPr>
            <w:tcW w:w="9003" w:type="dxa"/>
            <w:gridSpan w:val="5"/>
            <w:tcBorders>
              <w:left w:val="nil"/>
              <w:bottom w:val="single" w:sz="18" w:space="0" w:color="00B0B9"/>
              <w:right w:val="nil"/>
            </w:tcBorders>
          </w:tcPr>
          <w:p w14:paraId="12F1E277" w14:textId="77777777" w:rsidR="001404F7" w:rsidRPr="005623C0" w:rsidRDefault="001404F7" w:rsidP="001404F7">
            <w:pPr>
              <w:spacing w:before="40" w:after="40"/>
              <w:rPr>
                <w:rFonts w:eastAsia="Times New Roman"/>
                <w:b/>
                <w:color w:val="000000" w:themeColor="text1"/>
                <w:spacing w:val="4"/>
                <w:sz w:val="16"/>
                <w:szCs w:val="16"/>
                <w:lang w:val="en-GB"/>
              </w:rPr>
            </w:pPr>
            <w:r w:rsidRPr="005623C0">
              <w:rPr>
                <w:rFonts w:eastAsia="Times New Roman"/>
                <w:b/>
                <w:color w:val="000000" w:themeColor="text1"/>
                <w:spacing w:val="4"/>
                <w:sz w:val="16"/>
                <w:szCs w:val="16"/>
                <w:lang w:val="en-GB"/>
              </w:rPr>
              <w:t>Program 1.4: Income Support for People in Special Circumstances</w:t>
            </w:r>
          </w:p>
        </w:tc>
      </w:tr>
      <w:tr w:rsidR="001404F7" w:rsidRPr="005623C0" w14:paraId="40181D62" w14:textId="77777777" w:rsidTr="003A047F">
        <w:trPr>
          <w:cnfStyle w:val="000000010000" w:firstRow="0" w:lastRow="0" w:firstColumn="0" w:lastColumn="0" w:oddVBand="0" w:evenVBand="0" w:oddHBand="0" w:evenHBand="1" w:firstRowFirstColumn="0" w:firstRowLastColumn="0" w:lastRowFirstColumn="0" w:lastRowLastColumn="0"/>
        </w:trPr>
        <w:tc>
          <w:tcPr>
            <w:tcW w:w="4047" w:type="dxa"/>
            <w:tcBorders>
              <w:top w:val="single" w:sz="18" w:space="0" w:color="00B0B9"/>
              <w:left w:val="nil"/>
            </w:tcBorders>
          </w:tcPr>
          <w:p w14:paraId="0E98926A" w14:textId="77777777" w:rsidR="001404F7" w:rsidRPr="005623C0" w:rsidRDefault="001404F7" w:rsidP="001404F7">
            <w:pPr>
              <w:spacing w:before="40" w:after="40"/>
              <w:rPr>
                <w:rFonts w:eastAsia="Times New Roman" w:cs="Arial"/>
                <w:color w:val="000000" w:themeColor="text1"/>
                <w:spacing w:val="4"/>
                <w:sz w:val="16"/>
                <w:szCs w:val="16"/>
                <w:lang w:val="en-GB"/>
              </w:rPr>
            </w:pPr>
            <w:r w:rsidRPr="005623C0">
              <w:rPr>
                <w:rFonts w:eastAsia="Times New Roman"/>
                <w:color w:val="000000" w:themeColor="text1"/>
                <w:spacing w:val="4"/>
                <w:sz w:val="16"/>
                <w:szCs w:val="16"/>
                <w:lang w:val="en-GB"/>
              </w:rPr>
              <w:t>Agreement is in place with Services Australia to provide assurance that the delivery of the payments below are made in accordance with relevant legislation, policy and guidelines:</w:t>
            </w:r>
          </w:p>
          <w:p w14:paraId="0E3597E5" w14:textId="77777777" w:rsidR="001404F7" w:rsidRPr="005623C0" w:rsidRDefault="001404F7" w:rsidP="001404F7">
            <w:pPr>
              <w:keepNext/>
              <w:keepLines/>
              <w:numPr>
                <w:ilvl w:val="0"/>
                <w:numId w:val="71"/>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 xml:space="preserve">Payments under Special </w:t>
            </w:r>
            <w:proofErr w:type="spellStart"/>
            <w:r w:rsidRPr="005623C0">
              <w:rPr>
                <w:rFonts w:eastAsia="Times New Roman"/>
                <w:color w:val="000000" w:themeColor="text1"/>
                <w:spacing w:val="4"/>
                <w:sz w:val="16"/>
                <w:szCs w:val="16"/>
                <w:lang w:val="en-GB"/>
              </w:rPr>
              <w:t>Circumstances</w:t>
            </w:r>
            <w:r w:rsidRPr="005623C0">
              <w:rPr>
                <w:rFonts w:eastAsia="Times New Roman" w:cs="Arial"/>
                <w:color w:val="000000" w:themeColor="text1"/>
                <w:spacing w:val="4"/>
                <w:sz w:val="16"/>
                <w:szCs w:val="16"/>
                <w:vertAlign w:val="superscript"/>
                <w:lang w:val="en-GB"/>
              </w:rPr>
              <w:t>a</w:t>
            </w:r>
            <w:proofErr w:type="spellEnd"/>
          </w:p>
          <w:p w14:paraId="3910E630" w14:textId="77777777" w:rsidR="001404F7" w:rsidRPr="005623C0" w:rsidRDefault="001404F7" w:rsidP="001404F7">
            <w:pPr>
              <w:keepNext/>
              <w:keepLines/>
              <w:numPr>
                <w:ilvl w:val="0"/>
                <w:numId w:val="71"/>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Bereavement Allowance</w:t>
            </w:r>
          </w:p>
        </w:tc>
        <w:tc>
          <w:tcPr>
            <w:tcW w:w="1797" w:type="dxa"/>
            <w:tcBorders>
              <w:top w:val="single" w:sz="18" w:space="0" w:color="00B0B9"/>
            </w:tcBorders>
          </w:tcPr>
          <w:p w14:paraId="585B898A"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Milestone/ standard:</w:t>
            </w:r>
          </w:p>
          <w:p w14:paraId="4AB8659F"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Agreement is in place</w:t>
            </w:r>
          </w:p>
        </w:tc>
        <w:tc>
          <w:tcPr>
            <w:tcW w:w="1053" w:type="dxa"/>
            <w:tcBorders>
              <w:top w:val="single" w:sz="18" w:space="0" w:color="00B0B9"/>
            </w:tcBorders>
            <w:vAlign w:val="center"/>
          </w:tcPr>
          <w:p w14:paraId="1F1F7395"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tcBorders>
            <w:vAlign w:val="center"/>
          </w:tcPr>
          <w:p w14:paraId="14A1E769"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right w:val="nil"/>
            </w:tcBorders>
            <w:vAlign w:val="center"/>
          </w:tcPr>
          <w:p w14:paraId="2237572D" w14:textId="77777777" w:rsidR="001404F7" w:rsidRPr="009445DA" w:rsidRDefault="001404F7" w:rsidP="001404F7">
            <w:pPr>
              <w:spacing w:before="40" w:after="40"/>
              <w:jc w:val="center"/>
              <w:rPr>
                <w:rFonts w:eastAsia="Times New Roman"/>
                <w:color w:val="000000" w:themeColor="text1"/>
                <w:spacing w:val="4"/>
                <w:sz w:val="20"/>
                <w:szCs w:val="20"/>
                <w:lang w:val="en-GB"/>
              </w:rPr>
            </w:pPr>
            <w:r w:rsidRPr="009445DA">
              <w:rPr>
                <w:rFonts w:eastAsia="Times New Roman"/>
                <w:spacing w:val="4"/>
                <w:sz w:val="20"/>
                <w:szCs w:val="20"/>
                <w:lang w:val="en-GB"/>
              </w:rPr>
              <w:sym w:font="Wingdings" w:char="F0FE"/>
            </w:r>
          </w:p>
        </w:tc>
      </w:tr>
      <w:tr w:rsidR="001404F7" w:rsidRPr="005623C0" w14:paraId="4D64CF61" w14:textId="77777777" w:rsidTr="003A047F">
        <w:trPr>
          <w:cnfStyle w:val="000000100000" w:firstRow="0" w:lastRow="0" w:firstColumn="0" w:lastColumn="0" w:oddVBand="0" w:evenVBand="0" w:oddHBand="1" w:evenHBand="0" w:firstRowFirstColumn="0" w:firstRowLastColumn="0" w:lastRowFirstColumn="0" w:lastRowLastColumn="0"/>
        </w:trPr>
        <w:tc>
          <w:tcPr>
            <w:tcW w:w="9003" w:type="dxa"/>
            <w:gridSpan w:val="5"/>
            <w:tcBorders>
              <w:left w:val="nil"/>
              <w:bottom w:val="single" w:sz="18" w:space="0" w:color="00B0B9"/>
              <w:right w:val="nil"/>
            </w:tcBorders>
          </w:tcPr>
          <w:p w14:paraId="782C0FBD" w14:textId="77777777" w:rsidR="001404F7" w:rsidRPr="005623C0" w:rsidRDefault="001404F7" w:rsidP="001404F7">
            <w:pPr>
              <w:spacing w:before="40" w:after="40"/>
              <w:rPr>
                <w:rFonts w:eastAsia="Times New Roman"/>
                <w:color w:val="000000" w:themeColor="text1"/>
                <w:spacing w:val="4"/>
                <w:sz w:val="16"/>
                <w:szCs w:val="16"/>
                <w:lang w:val="en-GB"/>
              </w:rPr>
            </w:pPr>
            <w:r w:rsidRPr="005623C0">
              <w:rPr>
                <w:rFonts w:eastAsia="Times New Roman" w:cs="Arial"/>
                <w:b/>
                <w:color w:val="000000" w:themeColor="text1"/>
                <w:sz w:val="16"/>
                <w:szCs w:val="16"/>
              </w:rPr>
              <w:t>Program 1.5: Supplementary Payments and Support for Income Support Recipients</w:t>
            </w:r>
          </w:p>
        </w:tc>
      </w:tr>
      <w:tr w:rsidR="001404F7" w:rsidRPr="005623C0" w14:paraId="63D1658F" w14:textId="77777777" w:rsidTr="003A047F">
        <w:trPr>
          <w:cnfStyle w:val="000000010000" w:firstRow="0" w:lastRow="0" w:firstColumn="0" w:lastColumn="0" w:oddVBand="0" w:evenVBand="0" w:oddHBand="0" w:evenHBand="1" w:firstRowFirstColumn="0" w:firstRowLastColumn="0" w:lastRowFirstColumn="0" w:lastRowLastColumn="0"/>
        </w:trPr>
        <w:tc>
          <w:tcPr>
            <w:tcW w:w="4047" w:type="dxa"/>
            <w:tcBorders>
              <w:top w:val="single" w:sz="18" w:space="0" w:color="00B0B9"/>
              <w:left w:val="nil"/>
            </w:tcBorders>
          </w:tcPr>
          <w:p w14:paraId="2F7490AF" w14:textId="77777777" w:rsidR="001404F7" w:rsidRPr="005623C0" w:rsidRDefault="001404F7" w:rsidP="001404F7">
            <w:pPr>
              <w:spacing w:before="40" w:after="40"/>
              <w:rPr>
                <w:rFonts w:eastAsia="Times New Roman" w:cs="Arial"/>
                <w:color w:val="000000" w:themeColor="text1"/>
                <w:spacing w:val="4"/>
                <w:sz w:val="16"/>
                <w:szCs w:val="16"/>
                <w:lang w:val="en-GB"/>
              </w:rPr>
            </w:pPr>
            <w:r w:rsidRPr="005623C0">
              <w:rPr>
                <w:rFonts w:eastAsia="Times New Roman"/>
                <w:color w:val="000000" w:themeColor="text1"/>
                <w:spacing w:val="4"/>
                <w:sz w:val="16"/>
                <w:szCs w:val="16"/>
                <w:lang w:val="en-GB"/>
              </w:rPr>
              <w:t>Agreement is in place with Services Australia to provide assurance that the delivery of the payments below are made in accordance with relevant legislation, policy and guidelines:</w:t>
            </w:r>
          </w:p>
          <w:p w14:paraId="25DF5840" w14:textId="77777777" w:rsidR="001404F7" w:rsidRPr="005623C0" w:rsidRDefault="001404F7" w:rsidP="001404F7">
            <w:pPr>
              <w:numPr>
                <w:ilvl w:val="0"/>
                <w:numId w:val="72"/>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Essential Medical Equipment Payment</w:t>
            </w:r>
          </w:p>
          <w:p w14:paraId="04495E74" w14:textId="77777777" w:rsidR="001404F7" w:rsidRPr="005623C0" w:rsidRDefault="001404F7" w:rsidP="001404F7">
            <w:pPr>
              <w:numPr>
                <w:ilvl w:val="0"/>
                <w:numId w:val="72"/>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Utilities Allowance</w:t>
            </w:r>
          </w:p>
        </w:tc>
        <w:tc>
          <w:tcPr>
            <w:tcW w:w="1797" w:type="dxa"/>
            <w:tcBorders>
              <w:top w:val="single" w:sz="18" w:space="0" w:color="00B0B9"/>
            </w:tcBorders>
          </w:tcPr>
          <w:p w14:paraId="0DB93B65"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Milestone/ standard:</w:t>
            </w:r>
          </w:p>
          <w:p w14:paraId="16284E76"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Agreement is in place</w:t>
            </w:r>
          </w:p>
        </w:tc>
        <w:tc>
          <w:tcPr>
            <w:tcW w:w="1053" w:type="dxa"/>
            <w:tcBorders>
              <w:top w:val="single" w:sz="18" w:space="0" w:color="00B0B9"/>
            </w:tcBorders>
            <w:vAlign w:val="center"/>
          </w:tcPr>
          <w:p w14:paraId="2356C442"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tcBorders>
            <w:vAlign w:val="center"/>
          </w:tcPr>
          <w:p w14:paraId="52B3E514"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right w:val="nil"/>
            </w:tcBorders>
            <w:vAlign w:val="center"/>
          </w:tcPr>
          <w:p w14:paraId="5A680695" w14:textId="77777777" w:rsidR="001404F7" w:rsidRPr="009445DA" w:rsidRDefault="001404F7" w:rsidP="001404F7">
            <w:pPr>
              <w:spacing w:before="40" w:after="40"/>
              <w:jc w:val="center"/>
              <w:rPr>
                <w:rFonts w:eastAsia="Times New Roman"/>
                <w:color w:val="000000" w:themeColor="text1"/>
                <w:spacing w:val="4"/>
                <w:sz w:val="20"/>
                <w:szCs w:val="20"/>
                <w:lang w:val="en-GB"/>
              </w:rPr>
            </w:pPr>
            <w:r w:rsidRPr="009445DA">
              <w:rPr>
                <w:rFonts w:eastAsia="Times New Roman"/>
                <w:spacing w:val="4"/>
                <w:sz w:val="20"/>
                <w:szCs w:val="20"/>
                <w:lang w:val="en-GB"/>
              </w:rPr>
              <w:sym w:font="Wingdings" w:char="F0FE"/>
            </w:r>
          </w:p>
        </w:tc>
      </w:tr>
    </w:tbl>
    <w:p w14:paraId="10205FF5" w14:textId="77777777" w:rsidR="004965BB" w:rsidRDefault="004965BB" w:rsidP="001404F7">
      <w:pPr>
        <w:spacing w:before="40" w:after="40"/>
        <w:rPr>
          <w:rFonts w:eastAsia="Times New Roman"/>
          <w:b/>
          <w:color w:val="000000" w:themeColor="text1"/>
          <w:spacing w:val="4"/>
          <w:sz w:val="16"/>
          <w:szCs w:val="16"/>
        </w:rPr>
        <w:sectPr w:rsidR="004965BB" w:rsidSect="00585891">
          <w:footnotePr>
            <w:numRestart w:val="eachPage"/>
          </w:footnotePr>
          <w:pgSz w:w="11906" w:h="16838"/>
          <w:pgMar w:top="1440" w:right="1440" w:bottom="1440" w:left="1440" w:header="709" w:footer="709" w:gutter="0"/>
          <w:cols w:space="708"/>
          <w:docGrid w:linePitch="360"/>
        </w:sectPr>
      </w:pPr>
    </w:p>
    <w:tbl>
      <w:tblPr>
        <w:tblStyle w:val="HHorizontaltable1"/>
        <w:tblW w:w="0" w:type="auto"/>
        <w:tblInd w:w="2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2.1.2: Program performance criteria and associated milestones/standards"/>
        <w:tblDescription w:val="Table 2.1.2: Program performance criteria and associated milestones/standards "/>
      </w:tblPr>
      <w:tblGrid>
        <w:gridCol w:w="4047"/>
        <w:gridCol w:w="1797"/>
        <w:gridCol w:w="1053"/>
        <w:gridCol w:w="1053"/>
        <w:gridCol w:w="1053"/>
      </w:tblGrid>
      <w:tr w:rsidR="001404F7" w:rsidRPr="005623C0" w14:paraId="5F58CC99" w14:textId="77777777" w:rsidTr="00D57DA0">
        <w:trPr>
          <w:cnfStyle w:val="100000000000" w:firstRow="1" w:lastRow="0" w:firstColumn="0" w:lastColumn="0" w:oddVBand="0" w:evenVBand="0" w:oddHBand="0" w:evenHBand="0" w:firstRowFirstColumn="0" w:firstRowLastColumn="0" w:lastRowFirstColumn="0" w:lastRowLastColumn="0"/>
          <w:tblHeader/>
        </w:trPr>
        <w:tc>
          <w:tcPr>
            <w:tcW w:w="9003" w:type="dxa"/>
            <w:gridSpan w:val="5"/>
            <w:tcBorders>
              <w:bottom w:val="single" w:sz="18" w:space="0" w:color="00B0B9"/>
            </w:tcBorders>
          </w:tcPr>
          <w:p w14:paraId="7331FA36" w14:textId="06CD6174" w:rsidR="001404F7" w:rsidRPr="005623C0" w:rsidRDefault="001404F7" w:rsidP="001404F7">
            <w:pPr>
              <w:spacing w:before="40" w:after="40"/>
              <w:rPr>
                <w:rFonts w:eastAsia="Times New Roman"/>
                <w:color w:val="000000" w:themeColor="text1"/>
                <w:spacing w:val="4"/>
                <w:sz w:val="16"/>
                <w:szCs w:val="16"/>
                <w:lang w:val="en-GB"/>
              </w:rPr>
            </w:pPr>
            <w:r w:rsidRPr="005623C0">
              <w:rPr>
                <w:rFonts w:eastAsia="Times New Roman"/>
                <w:b w:val="0"/>
                <w:color w:val="000000" w:themeColor="text1"/>
                <w:spacing w:val="4"/>
                <w:sz w:val="16"/>
                <w:szCs w:val="16"/>
              </w:rPr>
              <w:lastRenderedPageBreak/>
              <w:t>Program 1.6: Income Support for Seniors</w:t>
            </w:r>
          </w:p>
        </w:tc>
      </w:tr>
      <w:tr w:rsidR="001404F7" w:rsidRPr="005623C0" w14:paraId="4300936B" w14:textId="77777777" w:rsidTr="003A047F">
        <w:trPr>
          <w:cnfStyle w:val="000000100000" w:firstRow="0" w:lastRow="0" w:firstColumn="0" w:lastColumn="0" w:oddVBand="0" w:evenVBand="0" w:oddHBand="1" w:evenHBand="0" w:firstRowFirstColumn="0" w:firstRowLastColumn="0" w:lastRowFirstColumn="0" w:lastRowLastColumn="0"/>
        </w:trPr>
        <w:tc>
          <w:tcPr>
            <w:tcW w:w="4047" w:type="dxa"/>
            <w:tcBorders>
              <w:top w:val="single" w:sz="18" w:space="0" w:color="00B0B9"/>
              <w:left w:val="nil"/>
            </w:tcBorders>
          </w:tcPr>
          <w:p w14:paraId="6CADE178" w14:textId="77777777" w:rsidR="001404F7" w:rsidRPr="005623C0" w:rsidRDefault="001404F7" w:rsidP="001404F7">
            <w:pPr>
              <w:spacing w:before="40" w:after="40"/>
              <w:rPr>
                <w:rFonts w:eastAsia="Times New Roman" w:cs="Arial"/>
                <w:color w:val="000000" w:themeColor="text1"/>
                <w:spacing w:val="4"/>
                <w:sz w:val="16"/>
                <w:szCs w:val="16"/>
                <w:lang w:val="en-GB"/>
              </w:rPr>
            </w:pPr>
            <w:r w:rsidRPr="005623C0">
              <w:rPr>
                <w:rFonts w:eastAsia="Times New Roman"/>
                <w:color w:val="000000" w:themeColor="text1"/>
                <w:spacing w:val="4"/>
                <w:sz w:val="16"/>
                <w:szCs w:val="16"/>
                <w:lang w:val="en-GB"/>
              </w:rPr>
              <w:t>Agreement is in place with Services Australia to provide assurance that the delivery of the payments below are made in accordance with relevant legislation, policy and guidelines:</w:t>
            </w:r>
          </w:p>
          <w:p w14:paraId="65AFBB44" w14:textId="77777777" w:rsidR="001404F7" w:rsidRPr="005623C0" w:rsidRDefault="001404F7" w:rsidP="001404F7">
            <w:pPr>
              <w:numPr>
                <w:ilvl w:val="0"/>
                <w:numId w:val="73"/>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Age Pension</w:t>
            </w:r>
          </w:p>
          <w:p w14:paraId="21B01784" w14:textId="77777777" w:rsidR="001404F7" w:rsidRPr="005623C0" w:rsidRDefault="001404F7" w:rsidP="001404F7">
            <w:pPr>
              <w:numPr>
                <w:ilvl w:val="0"/>
                <w:numId w:val="73"/>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Widow B Pension</w:t>
            </w:r>
          </w:p>
          <w:p w14:paraId="7B82E76F" w14:textId="77777777" w:rsidR="001404F7" w:rsidRPr="005623C0" w:rsidRDefault="001404F7" w:rsidP="001404F7">
            <w:pPr>
              <w:numPr>
                <w:ilvl w:val="0"/>
                <w:numId w:val="73"/>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Wife Pension (Age)</w:t>
            </w:r>
          </w:p>
        </w:tc>
        <w:tc>
          <w:tcPr>
            <w:tcW w:w="1797" w:type="dxa"/>
            <w:tcBorders>
              <w:top w:val="single" w:sz="18" w:space="0" w:color="00B0B9"/>
            </w:tcBorders>
          </w:tcPr>
          <w:p w14:paraId="67F58E46"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Milestone/ standard:</w:t>
            </w:r>
          </w:p>
          <w:p w14:paraId="5260047F"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Agreement is in place</w:t>
            </w:r>
          </w:p>
        </w:tc>
        <w:tc>
          <w:tcPr>
            <w:tcW w:w="1053" w:type="dxa"/>
            <w:tcBorders>
              <w:top w:val="single" w:sz="18" w:space="0" w:color="00B0B9"/>
            </w:tcBorders>
            <w:vAlign w:val="center"/>
          </w:tcPr>
          <w:p w14:paraId="489959A6"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tcBorders>
            <w:vAlign w:val="center"/>
          </w:tcPr>
          <w:p w14:paraId="3E110328"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right w:val="nil"/>
            </w:tcBorders>
            <w:vAlign w:val="center"/>
          </w:tcPr>
          <w:p w14:paraId="2DB2E4CF" w14:textId="77777777" w:rsidR="001404F7" w:rsidRPr="009445DA" w:rsidRDefault="001404F7" w:rsidP="001404F7">
            <w:pPr>
              <w:spacing w:before="40" w:after="40"/>
              <w:jc w:val="center"/>
              <w:rPr>
                <w:rFonts w:eastAsia="Times New Roman"/>
                <w:color w:val="000000" w:themeColor="text1"/>
                <w:spacing w:val="4"/>
                <w:sz w:val="20"/>
                <w:szCs w:val="20"/>
                <w:lang w:val="en-GB"/>
              </w:rPr>
            </w:pPr>
            <w:r w:rsidRPr="009445DA">
              <w:rPr>
                <w:rFonts w:eastAsia="Times New Roman"/>
                <w:spacing w:val="4"/>
                <w:sz w:val="20"/>
                <w:szCs w:val="20"/>
                <w:lang w:val="en-GB"/>
              </w:rPr>
              <w:sym w:font="Wingdings" w:char="F0FE"/>
            </w:r>
          </w:p>
        </w:tc>
      </w:tr>
      <w:tr w:rsidR="001404F7" w:rsidRPr="005623C0" w14:paraId="73F2F3DD" w14:textId="77777777" w:rsidTr="003A047F">
        <w:trPr>
          <w:cnfStyle w:val="000000010000" w:firstRow="0" w:lastRow="0" w:firstColumn="0" w:lastColumn="0" w:oddVBand="0" w:evenVBand="0" w:oddHBand="0" w:evenHBand="1" w:firstRowFirstColumn="0" w:firstRowLastColumn="0" w:lastRowFirstColumn="0" w:lastRowLastColumn="0"/>
        </w:trPr>
        <w:tc>
          <w:tcPr>
            <w:tcW w:w="9003" w:type="dxa"/>
            <w:gridSpan w:val="5"/>
            <w:tcBorders>
              <w:left w:val="nil"/>
              <w:bottom w:val="single" w:sz="18" w:space="0" w:color="00B0B9"/>
              <w:right w:val="nil"/>
            </w:tcBorders>
          </w:tcPr>
          <w:p w14:paraId="08244EE2" w14:textId="77777777" w:rsidR="001404F7" w:rsidRPr="005623C0" w:rsidRDefault="001404F7" w:rsidP="001404F7">
            <w:pPr>
              <w:spacing w:before="40" w:after="40"/>
              <w:rPr>
                <w:rFonts w:eastAsia="Times New Roman"/>
                <w:color w:val="000000" w:themeColor="text1"/>
                <w:spacing w:val="4"/>
                <w:sz w:val="16"/>
                <w:szCs w:val="16"/>
                <w:lang w:val="en-GB"/>
              </w:rPr>
            </w:pPr>
            <w:r w:rsidRPr="005623C0">
              <w:rPr>
                <w:rFonts w:eastAsia="Times New Roman" w:cs="Arial"/>
                <w:b/>
                <w:color w:val="000000" w:themeColor="text1"/>
                <w:sz w:val="16"/>
                <w:szCs w:val="16"/>
              </w:rPr>
              <w:t>Program 1.7: Allowances and Concessions for Seniors</w:t>
            </w:r>
          </w:p>
        </w:tc>
      </w:tr>
      <w:tr w:rsidR="001404F7" w:rsidRPr="005623C0" w14:paraId="4D56DF87" w14:textId="77777777" w:rsidTr="003A047F">
        <w:trPr>
          <w:cnfStyle w:val="000000100000" w:firstRow="0" w:lastRow="0" w:firstColumn="0" w:lastColumn="0" w:oddVBand="0" w:evenVBand="0" w:oddHBand="1" w:evenHBand="0" w:firstRowFirstColumn="0" w:firstRowLastColumn="0" w:lastRowFirstColumn="0" w:lastRowLastColumn="0"/>
        </w:trPr>
        <w:tc>
          <w:tcPr>
            <w:tcW w:w="4047" w:type="dxa"/>
            <w:tcBorders>
              <w:top w:val="single" w:sz="18" w:space="0" w:color="00B0B9"/>
              <w:left w:val="nil"/>
            </w:tcBorders>
          </w:tcPr>
          <w:p w14:paraId="4A82553A" w14:textId="77777777" w:rsidR="001404F7" w:rsidRPr="005623C0" w:rsidRDefault="001404F7" w:rsidP="001404F7">
            <w:pPr>
              <w:spacing w:before="40" w:after="40"/>
              <w:rPr>
                <w:rFonts w:eastAsia="Times New Roman" w:cs="Arial"/>
                <w:color w:val="000000" w:themeColor="text1"/>
                <w:spacing w:val="4"/>
                <w:sz w:val="16"/>
                <w:szCs w:val="16"/>
                <w:lang w:val="en-GB"/>
              </w:rPr>
            </w:pPr>
            <w:r w:rsidRPr="005623C0">
              <w:rPr>
                <w:rFonts w:eastAsia="Times New Roman"/>
                <w:color w:val="000000" w:themeColor="text1"/>
                <w:spacing w:val="4"/>
                <w:sz w:val="16"/>
                <w:szCs w:val="16"/>
                <w:lang w:val="en-GB"/>
              </w:rPr>
              <w:t>Agreement is in place with Services Australia to provide assurance that the delivery of the payments below are made in accordance with relevant legislation, policy and guidelines:</w:t>
            </w:r>
          </w:p>
          <w:p w14:paraId="050C7A4D" w14:textId="77777777" w:rsidR="001404F7" w:rsidRPr="005623C0" w:rsidRDefault="001404F7" w:rsidP="00107B1C">
            <w:pPr>
              <w:numPr>
                <w:ilvl w:val="0"/>
                <w:numId w:val="73"/>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Allowances and Concessions for Seniors</w:t>
            </w:r>
          </w:p>
        </w:tc>
        <w:tc>
          <w:tcPr>
            <w:tcW w:w="1797" w:type="dxa"/>
            <w:tcBorders>
              <w:top w:val="single" w:sz="18" w:space="0" w:color="00B0B9"/>
            </w:tcBorders>
          </w:tcPr>
          <w:p w14:paraId="4ABC827C"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Milestone/ standard:</w:t>
            </w:r>
          </w:p>
          <w:p w14:paraId="3CE6B6D3"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Agreement is in place</w:t>
            </w:r>
          </w:p>
        </w:tc>
        <w:tc>
          <w:tcPr>
            <w:tcW w:w="1053" w:type="dxa"/>
            <w:tcBorders>
              <w:top w:val="single" w:sz="18" w:space="0" w:color="00B0B9"/>
            </w:tcBorders>
            <w:vAlign w:val="center"/>
          </w:tcPr>
          <w:p w14:paraId="7A008614"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tcBorders>
            <w:vAlign w:val="center"/>
          </w:tcPr>
          <w:p w14:paraId="0124ADC6"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right w:val="nil"/>
            </w:tcBorders>
            <w:vAlign w:val="center"/>
          </w:tcPr>
          <w:p w14:paraId="772B25D2" w14:textId="77777777" w:rsidR="001404F7" w:rsidRPr="009445DA" w:rsidRDefault="001404F7" w:rsidP="001404F7">
            <w:pPr>
              <w:spacing w:before="40" w:after="40"/>
              <w:jc w:val="center"/>
              <w:rPr>
                <w:rFonts w:eastAsia="Times New Roman"/>
                <w:color w:val="000000" w:themeColor="text1"/>
                <w:spacing w:val="4"/>
                <w:sz w:val="20"/>
                <w:szCs w:val="20"/>
                <w:lang w:val="en-GB"/>
              </w:rPr>
            </w:pPr>
            <w:r w:rsidRPr="009445DA">
              <w:rPr>
                <w:rFonts w:eastAsia="Times New Roman"/>
                <w:spacing w:val="4"/>
                <w:sz w:val="20"/>
                <w:szCs w:val="20"/>
                <w:lang w:val="en-GB"/>
              </w:rPr>
              <w:sym w:font="Wingdings" w:char="F0FE"/>
            </w:r>
          </w:p>
        </w:tc>
      </w:tr>
      <w:tr w:rsidR="001404F7" w:rsidRPr="005623C0" w14:paraId="1B9B8F6F" w14:textId="77777777" w:rsidTr="003A047F">
        <w:trPr>
          <w:cnfStyle w:val="000000010000" w:firstRow="0" w:lastRow="0" w:firstColumn="0" w:lastColumn="0" w:oddVBand="0" w:evenVBand="0" w:oddHBand="0" w:evenHBand="1" w:firstRowFirstColumn="0" w:firstRowLastColumn="0" w:lastRowFirstColumn="0" w:lastRowLastColumn="0"/>
        </w:trPr>
        <w:tc>
          <w:tcPr>
            <w:tcW w:w="9003" w:type="dxa"/>
            <w:gridSpan w:val="5"/>
            <w:tcBorders>
              <w:left w:val="nil"/>
              <w:bottom w:val="single" w:sz="18" w:space="0" w:color="00B0B9"/>
              <w:right w:val="nil"/>
            </w:tcBorders>
          </w:tcPr>
          <w:p w14:paraId="18CA1530" w14:textId="77777777" w:rsidR="001404F7" w:rsidRPr="005623C0" w:rsidRDefault="001404F7" w:rsidP="001404F7">
            <w:pPr>
              <w:spacing w:before="40" w:after="40"/>
              <w:rPr>
                <w:rFonts w:eastAsia="Times New Roman"/>
                <w:b/>
                <w:color w:val="000000" w:themeColor="text1"/>
                <w:spacing w:val="4"/>
                <w:sz w:val="16"/>
                <w:szCs w:val="16"/>
                <w:lang w:val="en-GB"/>
              </w:rPr>
            </w:pPr>
            <w:r w:rsidRPr="005623C0">
              <w:rPr>
                <w:rFonts w:eastAsia="Times New Roman"/>
                <w:b/>
                <w:color w:val="000000" w:themeColor="text1"/>
                <w:spacing w:val="4"/>
                <w:sz w:val="16"/>
                <w:szCs w:val="16"/>
                <w:lang w:val="en-GB"/>
              </w:rPr>
              <w:t>Program 1.8: Income Support for People with Disability</w:t>
            </w:r>
          </w:p>
        </w:tc>
      </w:tr>
      <w:tr w:rsidR="001404F7" w:rsidRPr="005623C0" w14:paraId="152A1850" w14:textId="77777777" w:rsidTr="003A047F">
        <w:trPr>
          <w:cnfStyle w:val="000000100000" w:firstRow="0" w:lastRow="0" w:firstColumn="0" w:lastColumn="0" w:oddVBand="0" w:evenVBand="0" w:oddHBand="1" w:evenHBand="0" w:firstRowFirstColumn="0" w:firstRowLastColumn="0" w:lastRowFirstColumn="0" w:lastRowLastColumn="0"/>
        </w:trPr>
        <w:tc>
          <w:tcPr>
            <w:tcW w:w="4047" w:type="dxa"/>
            <w:tcBorders>
              <w:top w:val="single" w:sz="18" w:space="0" w:color="00B0B9"/>
              <w:left w:val="nil"/>
            </w:tcBorders>
          </w:tcPr>
          <w:p w14:paraId="39DA4342" w14:textId="77777777" w:rsidR="001404F7" w:rsidRPr="005623C0" w:rsidRDefault="001404F7" w:rsidP="001404F7">
            <w:pPr>
              <w:spacing w:before="40" w:after="40"/>
              <w:rPr>
                <w:rFonts w:eastAsia="Times New Roman" w:cs="Arial"/>
                <w:color w:val="000000" w:themeColor="text1"/>
                <w:spacing w:val="4"/>
                <w:sz w:val="16"/>
                <w:szCs w:val="16"/>
                <w:lang w:val="en-GB"/>
              </w:rPr>
            </w:pPr>
            <w:r w:rsidRPr="005623C0">
              <w:rPr>
                <w:rFonts w:eastAsia="Times New Roman"/>
                <w:color w:val="000000" w:themeColor="text1"/>
                <w:spacing w:val="4"/>
                <w:sz w:val="16"/>
                <w:szCs w:val="16"/>
                <w:lang w:val="en-GB"/>
              </w:rPr>
              <w:t>Agreement is in place with Services Australia to provide assurance that the delivery of the payments below are made in accordance with relevant legislation, policy and guidelines:</w:t>
            </w:r>
          </w:p>
          <w:p w14:paraId="0552FBB8" w14:textId="77777777" w:rsidR="001404F7" w:rsidRPr="005623C0" w:rsidRDefault="001404F7" w:rsidP="001404F7">
            <w:pPr>
              <w:numPr>
                <w:ilvl w:val="0"/>
                <w:numId w:val="74"/>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Disability Support Pension</w:t>
            </w:r>
          </w:p>
          <w:p w14:paraId="5B8F72EC" w14:textId="77777777" w:rsidR="001404F7" w:rsidRPr="005623C0" w:rsidRDefault="001404F7" w:rsidP="001404F7">
            <w:pPr>
              <w:numPr>
                <w:ilvl w:val="0"/>
                <w:numId w:val="74"/>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Mobility Allowance</w:t>
            </w:r>
          </w:p>
        </w:tc>
        <w:tc>
          <w:tcPr>
            <w:tcW w:w="1797" w:type="dxa"/>
            <w:tcBorders>
              <w:top w:val="single" w:sz="18" w:space="0" w:color="00B0B9"/>
            </w:tcBorders>
          </w:tcPr>
          <w:p w14:paraId="2938A09A"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Milestone/ standard:</w:t>
            </w:r>
          </w:p>
          <w:p w14:paraId="7C75F7C1"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Agreement is in place</w:t>
            </w:r>
          </w:p>
        </w:tc>
        <w:tc>
          <w:tcPr>
            <w:tcW w:w="1053" w:type="dxa"/>
            <w:tcBorders>
              <w:top w:val="single" w:sz="18" w:space="0" w:color="00B0B9"/>
            </w:tcBorders>
            <w:vAlign w:val="center"/>
          </w:tcPr>
          <w:p w14:paraId="54AE8FB6"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tcBorders>
            <w:vAlign w:val="center"/>
          </w:tcPr>
          <w:p w14:paraId="47CC28D6"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right w:val="nil"/>
            </w:tcBorders>
            <w:vAlign w:val="center"/>
          </w:tcPr>
          <w:p w14:paraId="7E476CE9" w14:textId="77777777" w:rsidR="001404F7" w:rsidRPr="009445DA" w:rsidRDefault="001404F7" w:rsidP="001404F7">
            <w:pPr>
              <w:spacing w:before="40" w:after="40"/>
              <w:jc w:val="center"/>
              <w:rPr>
                <w:rFonts w:eastAsia="Times New Roman"/>
                <w:color w:val="000000" w:themeColor="text1"/>
                <w:spacing w:val="4"/>
                <w:sz w:val="20"/>
                <w:szCs w:val="20"/>
                <w:lang w:val="en-GB"/>
              </w:rPr>
            </w:pPr>
            <w:r w:rsidRPr="009445DA">
              <w:rPr>
                <w:rFonts w:eastAsia="Times New Roman"/>
                <w:spacing w:val="4"/>
                <w:sz w:val="20"/>
                <w:szCs w:val="20"/>
                <w:lang w:val="en-GB"/>
              </w:rPr>
              <w:sym w:font="Wingdings" w:char="F0FE"/>
            </w:r>
          </w:p>
        </w:tc>
      </w:tr>
      <w:tr w:rsidR="001404F7" w:rsidRPr="005623C0" w14:paraId="3A28E356" w14:textId="77777777" w:rsidTr="003A047F">
        <w:trPr>
          <w:cnfStyle w:val="000000010000" w:firstRow="0" w:lastRow="0" w:firstColumn="0" w:lastColumn="0" w:oddVBand="0" w:evenVBand="0" w:oddHBand="0" w:evenHBand="1" w:firstRowFirstColumn="0" w:firstRowLastColumn="0" w:lastRowFirstColumn="0" w:lastRowLastColumn="0"/>
        </w:trPr>
        <w:tc>
          <w:tcPr>
            <w:tcW w:w="9003" w:type="dxa"/>
            <w:gridSpan w:val="5"/>
            <w:tcBorders>
              <w:left w:val="nil"/>
              <w:bottom w:val="single" w:sz="18" w:space="0" w:color="00B0B9"/>
              <w:right w:val="nil"/>
            </w:tcBorders>
          </w:tcPr>
          <w:p w14:paraId="0AF37DAC" w14:textId="77777777" w:rsidR="001404F7" w:rsidRPr="005623C0" w:rsidRDefault="001404F7" w:rsidP="001404F7">
            <w:pPr>
              <w:spacing w:before="40" w:after="40"/>
              <w:rPr>
                <w:rFonts w:eastAsia="Times New Roman"/>
                <w:b/>
                <w:color w:val="000000" w:themeColor="text1"/>
                <w:spacing w:val="4"/>
                <w:sz w:val="16"/>
                <w:szCs w:val="16"/>
                <w:lang w:val="en-GB"/>
              </w:rPr>
            </w:pPr>
            <w:r w:rsidRPr="005623C0">
              <w:rPr>
                <w:rFonts w:eastAsia="Times New Roman"/>
                <w:b/>
                <w:color w:val="000000" w:themeColor="text1"/>
                <w:spacing w:val="4"/>
                <w:sz w:val="16"/>
                <w:szCs w:val="16"/>
                <w:lang w:val="en-GB"/>
              </w:rPr>
              <w:t>Program 1.9: Income Support for Carers</w:t>
            </w:r>
          </w:p>
        </w:tc>
      </w:tr>
      <w:tr w:rsidR="001404F7" w:rsidRPr="005623C0" w14:paraId="410EF1B1" w14:textId="77777777" w:rsidTr="003A047F">
        <w:trPr>
          <w:cnfStyle w:val="000000100000" w:firstRow="0" w:lastRow="0" w:firstColumn="0" w:lastColumn="0" w:oddVBand="0" w:evenVBand="0" w:oddHBand="1" w:evenHBand="0" w:firstRowFirstColumn="0" w:firstRowLastColumn="0" w:lastRowFirstColumn="0" w:lastRowLastColumn="0"/>
        </w:trPr>
        <w:tc>
          <w:tcPr>
            <w:tcW w:w="4047" w:type="dxa"/>
            <w:tcBorders>
              <w:top w:val="single" w:sz="18" w:space="0" w:color="00B0B9"/>
              <w:left w:val="nil"/>
            </w:tcBorders>
          </w:tcPr>
          <w:p w14:paraId="4DA62864" w14:textId="77777777" w:rsidR="001404F7" w:rsidRPr="005623C0" w:rsidRDefault="001404F7" w:rsidP="001404F7">
            <w:pPr>
              <w:spacing w:before="40" w:after="40"/>
              <w:rPr>
                <w:rFonts w:eastAsia="Times New Roman" w:cs="Arial"/>
                <w:color w:val="000000" w:themeColor="text1"/>
                <w:spacing w:val="4"/>
                <w:sz w:val="16"/>
                <w:szCs w:val="16"/>
                <w:lang w:val="en-GB"/>
              </w:rPr>
            </w:pPr>
            <w:r w:rsidRPr="005623C0">
              <w:rPr>
                <w:rFonts w:eastAsia="Times New Roman"/>
                <w:color w:val="000000" w:themeColor="text1"/>
                <w:spacing w:val="4"/>
                <w:sz w:val="16"/>
                <w:szCs w:val="16"/>
                <w:lang w:val="en-GB"/>
              </w:rPr>
              <w:t>Agreement is in place with Services Australia to provide assurance that the delivery of the payments below are made in accordance with relevant legislation, policy and guidelines:</w:t>
            </w:r>
          </w:p>
          <w:p w14:paraId="7A686F79" w14:textId="77777777" w:rsidR="001404F7" w:rsidRPr="005623C0" w:rsidRDefault="001404F7" w:rsidP="001404F7">
            <w:pPr>
              <w:numPr>
                <w:ilvl w:val="0"/>
                <w:numId w:val="75"/>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Carer Allowance (Adult) and (Child)</w:t>
            </w:r>
          </w:p>
          <w:p w14:paraId="13896B6C" w14:textId="77777777" w:rsidR="001404F7" w:rsidRPr="005623C0" w:rsidRDefault="001404F7" w:rsidP="001404F7">
            <w:pPr>
              <w:numPr>
                <w:ilvl w:val="0"/>
                <w:numId w:val="75"/>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Carer Payment</w:t>
            </w:r>
          </w:p>
          <w:p w14:paraId="19EAC875" w14:textId="77777777" w:rsidR="001404F7" w:rsidRPr="005623C0" w:rsidRDefault="001404F7" w:rsidP="001404F7">
            <w:pPr>
              <w:numPr>
                <w:ilvl w:val="0"/>
                <w:numId w:val="75"/>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Carer Supplement</w:t>
            </w:r>
          </w:p>
          <w:p w14:paraId="5F18E926" w14:textId="77777777" w:rsidR="001404F7" w:rsidRPr="005623C0" w:rsidRDefault="001404F7" w:rsidP="001404F7">
            <w:pPr>
              <w:numPr>
                <w:ilvl w:val="0"/>
                <w:numId w:val="75"/>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Child Disability Assistance Payment</w:t>
            </w:r>
          </w:p>
          <w:p w14:paraId="59B53CEE" w14:textId="77777777" w:rsidR="001404F7" w:rsidRPr="005623C0" w:rsidRDefault="001404F7" w:rsidP="001404F7">
            <w:pPr>
              <w:numPr>
                <w:ilvl w:val="0"/>
                <w:numId w:val="75"/>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Wife Pension (Disability Support Pension)</w:t>
            </w:r>
          </w:p>
        </w:tc>
        <w:tc>
          <w:tcPr>
            <w:tcW w:w="1797" w:type="dxa"/>
            <w:tcBorders>
              <w:top w:val="single" w:sz="18" w:space="0" w:color="00B0B9"/>
            </w:tcBorders>
          </w:tcPr>
          <w:p w14:paraId="18EF6668"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Milestone/ standard:</w:t>
            </w:r>
          </w:p>
          <w:p w14:paraId="3338657F"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Agreement is in place</w:t>
            </w:r>
          </w:p>
        </w:tc>
        <w:tc>
          <w:tcPr>
            <w:tcW w:w="1053" w:type="dxa"/>
            <w:tcBorders>
              <w:top w:val="single" w:sz="18" w:space="0" w:color="00B0B9"/>
            </w:tcBorders>
            <w:vAlign w:val="center"/>
          </w:tcPr>
          <w:p w14:paraId="159A7814"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tcBorders>
            <w:vAlign w:val="center"/>
          </w:tcPr>
          <w:p w14:paraId="61FD60EB"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right w:val="nil"/>
            </w:tcBorders>
            <w:vAlign w:val="center"/>
          </w:tcPr>
          <w:p w14:paraId="507C066A" w14:textId="77777777" w:rsidR="001404F7" w:rsidRPr="009445DA" w:rsidRDefault="001404F7" w:rsidP="001404F7">
            <w:pPr>
              <w:spacing w:before="40" w:after="40"/>
              <w:jc w:val="center"/>
              <w:rPr>
                <w:rFonts w:eastAsia="Times New Roman"/>
                <w:color w:val="000000" w:themeColor="text1"/>
                <w:spacing w:val="4"/>
                <w:sz w:val="20"/>
                <w:szCs w:val="20"/>
                <w:lang w:val="en-GB"/>
              </w:rPr>
            </w:pPr>
            <w:r w:rsidRPr="009445DA">
              <w:rPr>
                <w:rFonts w:eastAsia="Times New Roman"/>
                <w:spacing w:val="4"/>
                <w:sz w:val="20"/>
                <w:szCs w:val="20"/>
                <w:lang w:val="en-GB"/>
              </w:rPr>
              <w:sym w:font="Wingdings" w:char="F0FE"/>
            </w:r>
          </w:p>
        </w:tc>
      </w:tr>
      <w:tr w:rsidR="001404F7" w:rsidRPr="005623C0" w14:paraId="39E9CB0A" w14:textId="77777777" w:rsidTr="003A047F">
        <w:trPr>
          <w:cnfStyle w:val="000000010000" w:firstRow="0" w:lastRow="0" w:firstColumn="0" w:lastColumn="0" w:oddVBand="0" w:evenVBand="0" w:oddHBand="0" w:evenHBand="1" w:firstRowFirstColumn="0" w:firstRowLastColumn="0" w:lastRowFirstColumn="0" w:lastRowLastColumn="0"/>
        </w:trPr>
        <w:tc>
          <w:tcPr>
            <w:tcW w:w="9003" w:type="dxa"/>
            <w:gridSpan w:val="5"/>
            <w:tcBorders>
              <w:left w:val="nil"/>
              <w:bottom w:val="single" w:sz="18" w:space="0" w:color="00B0B9"/>
              <w:right w:val="nil"/>
            </w:tcBorders>
          </w:tcPr>
          <w:p w14:paraId="755ADD54" w14:textId="77777777" w:rsidR="001404F7" w:rsidRPr="005623C0" w:rsidRDefault="001404F7" w:rsidP="001404F7">
            <w:pPr>
              <w:spacing w:before="40" w:after="40"/>
              <w:rPr>
                <w:rFonts w:eastAsia="Times New Roman"/>
                <w:b/>
                <w:color w:val="000000" w:themeColor="text1"/>
                <w:spacing w:val="4"/>
                <w:sz w:val="16"/>
                <w:szCs w:val="16"/>
                <w:lang w:val="en-GB"/>
              </w:rPr>
            </w:pPr>
            <w:r w:rsidRPr="005623C0">
              <w:rPr>
                <w:rFonts w:eastAsia="Times New Roman"/>
                <w:b/>
                <w:color w:val="000000" w:themeColor="text1"/>
                <w:spacing w:val="4"/>
                <w:sz w:val="16"/>
                <w:szCs w:val="16"/>
                <w:lang w:val="en-GB"/>
              </w:rPr>
              <w:t>Program 1.10: Working Age Payments</w:t>
            </w:r>
          </w:p>
        </w:tc>
      </w:tr>
      <w:tr w:rsidR="001404F7" w:rsidRPr="005623C0" w14:paraId="0892A439" w14:textId="77777777" w:rsidTr="003A047F">
        <w:trPr>
          <w:cnfStyle w:val="000000100000" w:firstRow="0" w:lastRow="0" w:firstColumn="0" w:lastColumn="0" w:oddVBand="0" w:evenVBand="0" w:oddHBand="1" w:evenHBand="0" w:firstRowFirstColumn="0" w:firstRowLastColumn="0" w:lastRowFirstColumn="0" w:lastRowLastColumn="0"/>
        </w:trPr>
        <w:tc>
          <w:tcPr>
            <w:tcW w:w="4047" w:type="dxa"/>
            <w:tcBorders>
              <w:top w:val="single" w:sz="18" w:space="0" w:color="00B0B9"/>
              <w:left w:val="nil"/>
            </w:tcBorders>
          </w:tcPr>
          <w:p w14:paraId="591F0B49" w14:textId="77777777" w:rsidR="001404F7" w:rsidRPr="005623C0" w:rsidRDefault="001404F7" w:rsidP="001404F7">
            <w:pPr>
              <w:spacing w:before="40" w:after="40"/>
              <w:rPr>
                <w:rFonts w:eastAsia="Times New Roman" w:cs="Arial"/>
                <w:color w:val="000000" w:themeColor="text1"/>
                <w:spacing w:val="4"/>
                <w:sz w:val="16"/>
                <w:szCs w:val="16"/>
                <w:lang w:val="en-GB"/>
              </w:rPr>
            </w:pPr>
            <w:r w:rsidRPr="005623C0">
              <w:rPr>
                <w:rFonts w:eastAsia="Times New Roman"/>
                <w:color w:val="000000" w:themeColor="text1"/>
                <w:spacing w:val="4"/>
                <w:sz w:val="16"/>
                <w:szCs w:val="16"/>
                <w:lang w:val="en-GB"/>
              </w:rPr>
              <w:t>Agreement is in place with Services Australia to provide assurance that the delivery of the payments below are made in accordance with relevant legislation, policy and guidelines:</w:t>
            </w:r>
          </w:p>
          <w:p w14:paraId="1700C265" w14:textId="77777777" w:rsidR="001404F7" w:rsidRPr="005623C0" w:rsidRDefault="001404F7" w:rsidP="001404F7">
            <w:pPr>
              <w:numPr>
                <w:ilvl w:val="0"/>
                <w:numId w:val="76"/>
              </w:numPr>
              <w:spacing w:before="40" w:after="40"/>
              <w:rPr>
                <w:rFonts w:eastAsia="Times New Roman"/>
                <w:color w:val="000000" w:themeColor="text1"/>
                <w:spacing w:val="4"/>
                <w:sz w:val="16"/>
                <w:szCs w:val="16"/>
                <w:lang w:val="en-GB"/>
              </w:rPr>
            </w:pPr>
            <w:proofErr w:type="spellStart"/>
            <w:r w:rsidRPr="005623C0">
              <w:rPr>
                <w:rFonts w:eastAsia="Times New Roman"/>
                <w:color w:val="000000" w:themeColor="text1"/>
                <w:spacing w:val="4"/>
                <w:sz w:val="16"/>
                <w:szCs w:val="16"/>
                <w:lang w:val="en-GB"/>
              </w:rPr>
              <w:t>Newstart</w:t>
            </w:r>
            <w:proofErr w:type="spellEnd"/>
            <w:r w:rsidRPr="005623C0">
              <w:rPr>
                <w:rFonts w:eastAsia="Times New Roman"/>
                <w:color w:val="000000" w:themeColor="text1"/>
                <w:spacing w:val="4"/>
                <w:sz w:val="16"/>
                <w:szCs w:val="16"/>
                <w:lang w:val="en-GB"/>
              </w:rPr>
              <w:t xml:space="preserve"> Allowance/</w:t>
            </w:r>
            <w:proofErr w:type="spellStart"/>
            <w:r w:rsidRPr="005623C0">
              <w:rPr>
                <w:rFonts w:eastAsia="Times New Roman"/>
                <w:color w:val="000000" w:themeColor="text1"/>
                <w:spacing w:val="4"/>
                <w:sz w:val="16"/>
                <w:szCs w:val="16"/>
                <w:lang w:val="en-GB"/>
              </w:rPr>
              <w:t>JobSeeker</w:t>
            </w:r>
            <w:proofErr w:type="spellEnd"/>
            <w:r w:rsidRPr="005623C0">
              <w:rPr>
                <w:rFonts w:eastAsia="Times New Roman"/>
                <w:color w:val="000000" w:themeColor="text1"/>
                <w:spacing w:val="4"/>
                <w:sz w:val="16"/>
                <w:szCs w:val="16"/>
                <w:lang w:val="en-GB"/>
              </w:rPr>
              <w:t xml:space="preserve"> Payment</w:t>
            </w:r>
          </w:p>
          <w:p w14:paraId="132E4C20" w14:textId="77777777" w:rsidR="001404F7" w:rsidRPr="005623C0" w:rsidRDefault="001404F7" w:rsidP="001404F7">
            <w:pPr>
              <w:numPr>
                <w:ilvl w:val="0"/>
                <w:numId w:val="76"/>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Parenting Payment</w:t>
            </w:r>
          </w:p>
          <w:p w14:paraId="722B1A46" w14:textId="77777777" w:rsidR="001404F7" w:rsidRPr="005623C0" w:rsidRDefault="001404F7" w:rsidP="001404F7">
            <w:pPr>
              <w:numPr>
                <w:ilvl w:val="0"/>
                <w:numId w:val="76"/>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Sickness Allowance</w:t>
            </w:r>
          </w:p>
          <w:p w14:paraId="7A9BE789" w14:textId="77777777" w:rsidR="001404F7" w:rsidRPr="005623C0" w:rsidRDefault="001404F7" w:rsidP="001404F7">
            <w:pPr>
              <w:numPr>
                <w:ilvl w:val="0"/>
                <w:numId w:val="76"/>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Widow Allowance</w:t>
            </w:r>
          </w:p>
          <w:p w14:paraId="4A0E7991" w14:textId="77777777" w:rsidR="001404F7" w:rsidRPr="005623C0" w:rsidRDefault="001404F7" w:rsidP="001404F7">
            <w:pPr>
              <w:numPr>
                <w:ilvl w:val="0"/>
                <w:numId w:val="76"/>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Youth Allowance (other)</w:t>
            </w:r>
          </w:p>
          <w:p w14:paraId="285A80D3" w14:textId="77777777" w:rsidR="001404F7" w:rsidRPr="005623C0" w:rsidRDefault="001404F7" w:rsidP="001404F7">
            <w:pPr>
              <w:numPr>
                <w:ilvl w:val="0"/>
                <w:numId w:val="76"/>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Partner Allowance</w:t>
            </w:r>
          </w:p>
        </w:tc>
        <w:tc>
          <w:tcPr>
            <w:tcW w:w="1797" w:type="dxa"/>
            <w:tcBorders>
              <w:top w:val="single" w:sz="18" w:space="0" w:color="00B0B9"/>
            </w:tcBorders>
          </w:tcPr>
          <w:p w14:paraId="330CEDA1"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Milestone/ standard:</w:t>
            </w:r>
          </w:p>
          <w:p w14:paraId="1204FE33"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Agreement is in place</w:t>
            </w:r>
          </w:p>
        </w:tc>
        <w:tc>
          <w:tcPr>
            <w:tcW w:w="1053" w:type="dxa"/>
            <w:tcBorders>
              <w:top w:val="single" w:sz="18" w:space="0" w:color="00B0B9"/>
            </w:tcBorders>
            <w:vAlign w:val="center"/>
          </w:tcPr>
          <w:p w14:paraId="6498B3A8"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tcBorders>
            <w:vAlign w:val="center"/>
          </w:tcPr>
          <w:p w14:paraId="513118A9"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right w:val="nil"/>
            </w:tcBorders>
            <w:vAlign w:val="center"/>
          </w:tcPr>
          <w:p w14:paraId="638BE30F" w14:textId="77777777" w:rsidR="001404F7" w:rsidRPr="009445DA" w:rsidRDefault="001404F7" w:rsidP="001404F7">
            <w:pPr>
              <w:spacing w:before="40" w:after="40"/>
              <w:jc w:val="center"/>
              <w:rPr>
                <w:rFonts w:eastAsia="Times New Roman"/>
                <w:color w:val="000000" w:themeColor="text1"/>
                <w:spacing w:val="4"/>
                <w:sz w:val="20"/>
                <w:szCs w:val="20"/>
                <w:lang w:val="en-GB"/>
              </w:rPr>
            </w:pPr>
            <w:r w:rsidRPr="009445DA">
              <w:rPr>
                <w:rFonts w:eastAsia="Times New Roman"/>
                <w:spacing w:val="4"/>
                <w:sz w:val="20"/>
                <w:szCs w:val="20"/>
                <w:lang w:val="en-GB"/>
              </w:rPr>
              <w:sym w:font="Wingdings" w:char="F0FE"/>
            </w:r>
          </w:p>
        </w:tc>
      </w:tr>
      <w:tr w:rsidR="001404F7" w:rsidRPr="005623C0" w14:paraId="73CE7FE4" w14:textId="77777777" w:rsidTr="003A047F">
        <w:trPr>
          <w:cnfStyle w:val="000000010000" w:firstRow="0" w:lastRow="0" w:firstColumn="0" w:lastColumn="0" w:oddVBand="0" w:evenVBand="0" w:oddHBand="0" w:evenHBand="1" w:firstRowFirstColumn="0" w:firstRowLastColumn="0" w:lastRowFirstColumn="0" w:lastRowLastColumn="0"/>
        </w:trPr>
        <w:tc>
          <w:tcPr>
            <w:tcW w:w="9003" w:type="dxa"/>
            <w:gridSpan w:val="5"/>
            <w:tcBorders>
              <w:left w:val="nil"/>
              <w:bottom w:val="single" w:sz="18" w:space="0" w:color="00B0B9"/>
              <w:right w:val="nil"/>
            </w:tcBorders>
          </w:tcPr>
          <w:p w14:paraId="7CB2D627" w14:textId="77777777" w:rsidR="001404F7" w:rsidRPr="005623C0" w:rsidRDefault="001404F7" w:rsidP="001404F7">
            <w:pPr>
              <w:spacing w:before="40" w:after="40"/>
              <w:rPr>
                <w:rFonts w:eastAsia="Times New Roman"/>
                <w:b/>
                <w:color w:val="000000" w:themeColor="text1"/>
                <w:spacing w:val="4"/>
                <w:sz w:val="16"/>
                <w:szCs w:val="16"/>
                <w:lang w:val="en-GB"/>
              </w:rPr>
            </w:pPr>
            <w:r w:rsidRPr="005623C0">
              <w:rPr>
                <w:rFonts w:eastAsia="Times New Roman"/>
                <w:b/>
                <w:color w:val="000000" w:themeColor="text1"/>
                <w:spacing w:val="4"/>
                <w:sz w:val="16"/>
                <w:szCs w:val="16"/>
                <w:lang w:val="en-GB"/>
              </w:rPr>
              <w:t>Program 1.11: Student Payments</w:t>
            </w:r>
          </w:p>
        </w:tc>
      </w:tr>
      <w:tr w:rsidR="001404F7" w:rsidRPr="005623C0" w14:paraId="02A5468A" w14:textId="77777777" w:rsidTr="003A047F">
        <w:trPr>
          <w:cnfStyle w:val="000000100000" w:firstRow="0" w:lastRow="0" w:firstColumn="0" w:lastColumn="0" w:oddVBand="0" w:evenVBand="0" w:oddHBand="1" w:evenHBand="0" w:firstRowFirstColumn="0" w:firstRowLastColumn="0" w:lastRowFirstColumn="0" w:lastRowLastColumn="0"/>
        </w:trPr>
        <w:tc>
          <w:tcPr>
            <w:tcW w:w="4047" w:type="dxa"/>
            <w:tcBorders>
              <w:top w:val="single" w:sz="18" w:space="0" w:color="00B0B9"/>
              <w:left w:val="nil"/>
            </w:tcBorders>
          </w:tcPr>
          <w:p w14:paraId="540D330E" w14:textId="77777777" w:rsidR="001404F7" w:rsidRPr="005623C0" w:rsidRDefault="001404F7" w:rsidP="001404F7">
            <w:pPr>
              <w:spacing w:before="40" w:after="40"/>
              <w:rPr>
                <w:rFonts w:eastAsia="Times New Roman" w:cs="Arial"/>
                <w:color w:val="000000" w:themeColor="text1"/>
                <w:spacing w:val="4"/>
                <w:sz w:val="16"/>
                <w:szCs w:val="16"/>
                <w:lang w:val="en-GB"/>
              </w:rPr>
            </w:pPr>
            <w:r w:rsidRPr="005623C0">
              <w:rPr>
                <w:rFonts w:eastAsia="Times New Roman"/>
                <w:color w:val="000000" w:themeColor="text1"/>
                <w:spacing w:val="4"/>
                <w:sz w:val="16"/>
                <w:szCs w:val="16"/>
                <w:lang w:val="en-GB"/>
              </w:rPr>
              <w:t>Agreement is in place with Services Australia to provide assurance that the delivery of the payments below are made in accordance with relevant legislation, policy and guidelines:</w:t>
            </w:r>
          </w:p>
          <w:p w14:paraId="196C8937" w14:textId="77777777" w:rsidR="001404F7" w:rsidRPr="005623C0" w:rsidRDefault="001404F7" w:rsidP="001404F7">
            <w:pPr>
              <w:numPr>
                <w:ilvl w:val="0"/>
                <w:numId w:val="77"/>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ABSTUDY</w:t>
            </w:r>
          </w:p>
          <w:p w14:paraId="73D8B062" w14:textId="77777777" w:rsidR="001404F7" w:rsidRPr="005623C0" w:rsidRDefault="001404F7" w:rsidP="001404F7">
            <w:pPr>
              <w:numPr>
                <w:ilvl w:val="0"/>
                <w:numId w:val="77"/>
              </w:numPr>
              <w:spacing w:before="40" w:after="40"/>
              <w:rPr>
                <w:rFonts w:eastAsia="Times New Roman"/>
                <w:color w:val="000000" w:themeColor="text1"/>
                <w:spacing w:val="4"/>
                <w:sz w:val="16"/>
                <w:szCs w:val="16"/>
                <w:lang w:val="en-GB"/>
              </w:rPr>
            </w:pPr>
            <w:proofErr w:type="spellStart"/>
            <w:r w:rsidRPr="005623C0">
              <w:rPr>
                <w:rFonts w:eastAsia="Times New Roman"/>
                <w:color w:val="000000" w:themeColor="text1"/>
                <w:spacing w:val="4"/>
                <w:sz w:val="16"/>
                <w:szCs w:val="16"/>
                <w:lang w:val="en-GB"/>
              </w:rPr>
              <w:t>Austudy</w:t>
            </w:r>
            <w:proofErr w:type="spellEnd"/>
          </w:p>
          <w:p w14:paraId="5AF3A2A6" w14:textId="77777777" w:rsidR="001404F7" w:rsidRPr="005623C0" w:rsidRDefault="001404F7" w:rsidP="001404F7">
            <w:pPr>
              <w:numPr>
                <w:ilvl w:val="0"/>
                <w:numId w:val="77"/>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Youth Allowance (student)</w:t>
            </w:r>
          </w:p>
          <w:p w14:paraId="4FB3AEAB" w14:textId="77777777" w:rsidR="001404F7" w:rsidRPr="005623C0" w:rsidRDefault="001404F7" w:rsidP="001404F7">
            <w:pPr>
              <w:numPr>
                <w:ilvl w:val="0"/>
                <w:numId w:val="77"/>
              </w:numPr>
              <w:spacing w:before="40" w:after="40"/>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Student Start-up Loan</w:t>
            </w:r>
          </w:p>
        </w:tc>
        <w:tc>
          <w:tcPr>
            <w:tcW w:w="1797" w:type="dxa"/>
            <w:tcBorders>
              <w:top w:val="single" w:sz="18" w:space="0" w:color="00B0B9"/>
            </w:tcBorders>
          </w:tcPr>
          <w:p w14:paraId="3B40B355"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Milestone/ standard:</w:t>
            </w:r>
          </w:p>
          <w:p w14:paraId="3C2C9C38" w14:textId="77777777" w:rsidR="001404F7" w:rsidRPr="005623C0" w:rsidRDefault="001404F7" w:rsidP="001404F7">
            <w:pPr>
              <w:spacing w:before="40" w:after="40"/>
              <w:rPr>
                <w:rFonts w:eastAsia="Times New Roman"/>
                <w:spacing w:val="4"/>
                <w:sz w:val="16"/>
                <w:szCs w:val="16"/>
                <w:lang w:val="en-GB"/>
              </w:rPr>
            </w:pPr>
            <w:r w:rsidRPr="005623C0">
              <w:rPr>
                <w:rFonts w:eastAsia="Times New Roman"/>
                <w:spacing w:val="4"/>
                <w:sz w:val="16"/>
                <w:szCs w:val="16"/>
                <w:lang w:val="en-GB"/>
              </w:rPr>
              <w:t>Agreement is in place</w:t>
            </w:r>
          </w:p>
        </w:tc>
        <w:tc>
          <w:tcPr>
            <w:tcW w:w="1053" w:type="dxa"/>
            <w:tcBorders>
              <w:top w:val="single" w:sz="18" w:space="0" w:color="00B0B9"/>
            </w:tcBorders>
            <w:vAlign w:val="center"/>
          </w:tcPr>
          <w:p w14:paraId="1671F01B"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tcBorders>
            <w:vAlign w:val="center"/>
          </w:tcPr>
          <w:p w14:paraId="2C14F488"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right w:val="nil"/>
            </w:tcBorders>
            <w:vAlign w:val="center"/>
          </w:tcPr>
          <w:p w14:paraId="3AF5CC24" w14:textId="77777777" w:rsidR="001404F7" w:rsidRPr="009445DA" w:rsidRDefault="001404F7" w:rsidP="001404F7">
            <w:pPr>
              <w:spacing w:before="40" w:after="40"/>
              <w:jc w:val="center"/>
              <w:rPr>
                <w:rFonts w:eastAsia="Times New Roman"/>
                <w:color w:val="000000" w:themeColor="text1"/>
                <w:spacing w:val="4"/>
                <w:sz w:val="20"/>
                <w:szCs w:val="20"/>
                <w:lang w:val="en-GB"/>
              </w:rPr>
            </w:pPr>
            <w:r w:rsidRPr="009445DA">
              <w:rPr>
                <w:rFonts w:eastAsia="Times New Roman"/>
                <w:spacing w:val="4"/>
                <w:sz w:val="20"/>
                <w:szCs w:val="20"/>
                <w:lang w:val="en-GB"/>
              </w:rPr>
              <w:sym w:font="Wingdings" w:char="F0FE"/>
            </w:r>
          </w:p>
        </w:tc>
      </w:tr>
      <w:tr w:rsidR="001404F7" w:rsidRPr="005623C0" w14:paraId="3F4CEC21" w14:textId="77777777" w:rsidTr="003A047F">
        <w:trPr>
          <w:cnfStyle w:val="000000010000" w:firstRow="0" w:lastRow="0" w:firstColumn="0" w:lastColumn="0" w:oddVBand="0" w:evenVBand="0" w:oddHBand="0" w:evenHBand="1" w:firstRowFirstColumn="0" w:firstRowLastColumn="0" w:lastRowFirstColumn="0" w:lastRowLastColumn="0"/>
        </w:trPr>
        <w:tc>
          <w:tcPr>
            <w:tcW w:w="9003" w:type="dxa"/>
            <w:gridSpan w:val="5"/>
            <w:tcBorders>
              <w:left w:val="nil"/>
              <w:bottom w:val="single" w:sz="18" w:space="0" w:color="00B0B9"/>
              <w:right w:val="nil"/>
            </w:tcBorders>
          </w:tcPr>
          <w:p w14:paraId="198FDE39" w14:textId="77777777" w:rsidR="001404F7" w:rsidRPr="005623C0" w:rsidRDefault="001404F7" w:rsidP="001404F7">
            <w:pPr>
              <w:spacing w:before="40" w:after="40"/>
              <w:rPr>
                <w:rFonts w:eastAsia="Times New Roman"/>
                <w:b/>
                <w:color w:val="000000" w:themeColor="text1"/>
                <w:spacing w:val="4"/>
                <w:sz w:val="16"/>
                <w:szCs w:val="16"/>
                <w:lang w:val="en-GB"/>
              </w:rPr>
            </w:pPr>
            <w:r w:rsidRPr="005623C0">
              <w:rPr>
                <w:rFonts w:eastAsia="Times New Roman"/>
                <w:b/>
                <w:color w:val="000000" w:themeColor="text1"/>
                <w:spacing w:val="4"/>
                <w:sz w:val="16"/>
                <w:szCs w:val="16"/>
                <w:lang w:val="en-GB"/>
              </w:rPr>
              <w:t>Cross Program: Rent Assistance</w:t>
            </w:r>
          </w:p>
        </w:tc>
      </w:tr>
      <w:tr w:rsidR="001404F7" w:rsidRPr="005623C0" w14:paraId="2BCEDDD6" w14:textId="77777777" w:rsidTr="003A047F">
        <w:trPr>
          <w:cnfStyle w:val="000000100000" w:firstRow="0" w:lastRow="0" w:firstColumn="0" w:lastColumn="0" w:oddVBand="0" w:evenVBand="0" w:oddHBand="1" w:evenHBand="0" w:firstRowFirstColumn="0" w:firstRowLastColumn="0" w:lastRowFirstColumn="0" w:lastRowLastColumn="0"/>
        </w:trPr>
        <w:tc>
          <w:tcPr>
            <w:tcW w:w="4047" w:type="dxa"/>
            <w:tcBorders>
              <w:top w:val="single" w:sz="18" w:space="0" w:color="00B0B9"/>
              <w:left w:val="nil"/>
            </w:tcBorders>
          </w:tcPr>
          <w:p w14:paraId="050B7A0B" w14:textId="77777777" w:rsidR="001404F7" w:rsidRPr="005623C0" w:rsidRDefault="001404F7" w:rsidP="001404F7">
            <w:pPr>
              <w:spacing w:before="40" w:after="40"/>
              <w:rPr>
                <w:rFonts w:eastAsia="Times New Roman" w:cs="Arial"/>
                <w:color w:val="000000" w:themeColor="text1"/>
                <w:spacing w:val="4"/>
                <w:sz w:val="16"/>
                <w:szCs w:val="16"/>
                <w:lang w:val="en-GB"/>
              </w:rPr>
            </w:pPr>
            <w:r w:rsidRPr="005623C0">
              <w:rPr>
                <w:rFonts w:eastAsia="Times New Roman"/>
                <w:color w:val="000000" w:themeColor="text1"/>
                <w:spacing w:val="4"/>
                <w:sz w:val="16"/>
                <w:szCs w:val="16"/>
                <w:lang w:val="en-GB"/>
              </w:rPr>
              <w:t>Agreement is in place with Services Australia to provide assurance that the delivery of the payments below are made in accordance with relevant legislation, policy and guidelines:</w:t>
            </w:r>
          </w:p>
          <w:p w14:paraId="2455B97C" w14:textId="77777777" w:rsidR="001404F7" w:rsidRPr="005623C0" w:rsidRDefault="001404F7" w:rsidP="002D1EA4">
            <w:pPr>
              <w:numPr>
                <w:ilvl w:val="0"/>
                <w:numId w:val="77"/>
              </w:numPr>
              <w:spacing w:before="40" w:after="40"/>
              <w:rPr>
                <w:rFonts w:eastAsia="Times New Roman"/>
                <w:color w:val="000000" w:themeColor="text1"/>
                <w:spacing w:val="4"/>
                <w:sz w:val="16"/>
                <w:szCs w:val="16"/>
                <w:lang w:val="en-GB"/>
              </w:rPr>
            </w:pPr>
            <w:r w:rsidRPr="002D1EA4">
              <w:rPr>
                <w:rFonts w:eastAsia="Times New Roman"/>
                <w:color w:val="000000" w:themeColor="text1"/>
                <w:spacing w:val="4"/>
                <w:sz w:val="16"/>
                <w:szCs w:val="16"/>
                <w:lang w:val="en-GB"/>
              </w:rPr>
              <w:t>Commonwealth Rent Assistance</w:t>
            </w:r>
          </w:p>
        </w:tc>
        <w:tc>
          <w:tcPr>
            <w:tcW w:w="1797" w:type="dxa"/>
            <w:tcBorders>
              <w:top w:val="single" w:sz="18" w:space="0" w:color="00B0B9"/>
            </w:tcBorders>
          </w:tcPr>
          <w:p w14:paraId="07B99A73" w14:textId="77777777" w:rsidR="001404F7" w:rsidRPr="005623C0" w:rsidRDefault="001404F7" w:rsidP="001404F7">
            <w:pPr>
              <w:spacing w:before="40" w:after="40"/>
              <w:ind w:left="27" w:hanging="27"/>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Milestone/ standard:</w:t>
            </w:r>
          </w:p>
          <w:p w14:paraId="7666DD6E" w14:textId="77777777" w:rsidR="001404F7" w:rsidRPr="005623C0" w:rsidRDefault="001404F7" w:rsidP="001404F7">
            <w:pPr>
              <w:spacing w:before="40" w:after="40"/>
              <w:ind w:left="27" w:hanging="27"/>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Agreement is in place</w:t>
            </w:r>
          </w:p>
        </w:tc>
        <w:tc>
          <w:tcPr>
            <w:tcW w:w="1053" w:type="dxa"/>
            <w:tcBorders>
              <w:top w:val="single" w:sz="18" w:space="0" w:color="00B0B9"/>
            </w:tcBorders>
            <w:vAlign w:val="center"/>
          </w:tcPr>
          <w:p w14:paraId="6349B2E1"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tcBorders>
            <w:vAlign w:val="center"/>
          </w:tcPr>
          <w:p w14:paraId="1D604D90" w14:textId="77777777" w:rsidR="001404F7" w:rsidRPr="009445DA" w:rsidRDefault="001404F7" w:rsidP="001404F7">
            <w:pPr>
              <w:spacing w:before="40" w:after="40"/>
              <w:jc w:val="center"/>
              <w:rPr>
                <w:rFonts w:eastAsia="Times New Roman"/>
                <w:spacing w:val="4"/>
                <w:sz w:val="20"/>
                <w:szCs w:val="20"/>
                <w:lang w:val="en-GB"/>
              </w:rPr>
            </w:pPr>
            <w:r w:rsidRPr="009445DA">
              <w:rPr>
                <w:rFonts w:eastAsia="Times New Roman"/>
                <w:spacing w:val="4"/>
                <w:sz w:val="20"/>
                <w:szCs w:val="20"/>
                <w:lang w:val="en-GB"/>
              </w:rPr>
              <w:sym w:font="Wingdings" w:char="F0FE"/>
            </w:r>
          </w:p>
        </w:tc>
        <w:tc>
          <w:tcPr>
            <w:tcW w:w="1053" w:type="dxa"/>
            <w:tcBorders>
              <w:top w:val="single" w:sz="18" w:space="0" w:color="00B0B9"/>
              <w:right w:val="nil"/>
            </w:tcBorders>
            <w:vAlign w:val="center"/>
          </w:tcPr>
          <w:p w14:paraId="128C4F67" w14:textId="77777777" w:rsidR="001404F7" w:rsidRPr="009445DA" w:rsidRDefault="001404F7" w:rsidP="001404F7">
            <w:pPr>
              <w:spacing w:before="40" w:after="40"/>
              <w:jc w:val="center"/>
              <w:rPr>
                <w:rFonts w:eastAsia="Times New Roman"/>
                <w:color w:val="000000" w:themeColor="text1"/>
                <w:spacing w:val="4"/>
                <w:sz w:val="20"/>
                <w:szCs w:val="20"/>
                <w:lang w:val="en-GB"/>
              </w:rPr>
            </w:pPr>
            <w:r w:rsidRPr="009445DA">
              <w:rPr>
                <w:rFonts w:eastAsia="Times New Roman"/>
                <w:spacing w:val="4"/>
                <w:sz w:val="20"/>
                <w:szCs w:val="20"/>
                <w:lang w:val="en-GB"/>
              </w:rPr>
              <w:sym w:font="Wingdings" w:char="F0FE"/>
            </w:r>
          </w:p>
        </w:tc>
      </w:tr>
    </w:tbl>
    <w:p w14:paraId="0EBBD555" w14:textId="77777777" w:rsidR="004965BB" w:rsidRDefault="004965BB" w:rsidP="001404F7">
      <w:pPr>
        <w:spacing w:before="40" w:after="40"/>
        <w:rPr>
          <w:rFonts w:eastAsia="Times New Roman"/>
          <w:b/>
          <w:color w:val="000000" w:themeColor="text1"/>
          <w:spacing w:val="4"/>
          <w:sz w:val="16"/>
          <w:szCs w:val="16"/>
          <w:lang w:val="en-GB"/>
        </w:rPr>
        <w:sectPr w:rsidR="004965BB" w:rsidSect="00585891">
          <w:footnotePr>
            <w:numRestart w:val="eachPage"/>
          </w:footnotePr>
          <w:pgSz w:w="11906" w:h="16838"/>
          <w:pgMar w:top="1440" w:right="1440" w:bottom="1440" w:left="1440" w:header="709" w:footer="709" w:gutter="0"/>
          <w:cols w:space="708"/>
          <w:docGrid w:linePitch="360"/>
        </w:sectPr>
      </w:pPr>
    </w:p>
    <w:tbl>
      <w:tblPr>
        <w:tblStyle w:val="HHorizontaltable1"/>
        <w:tblW w:w="0" w:type="auto"/>
        <w:tblInd w:w="2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2.1.2: Program performance criteria and associated milestones/standards"/>
        <w:tblDescription w:val="Table 2.1.2: Program performance criteria and associated milestones/standards "/>
      </w:tblPr>
      <w:tblGrid>
        <w:gridCol w:w="4047"/>
        <w:gridCol w:w="1797"/>
        <w:gridCol w:w="1053"/>
        <w:gridCol w:w="1053"/>
        <w:gridCol w:w="1053"/>
      </w:tblGrid>
      <w:tr w:rsidR="001404F7" w:rsidRPr="005623C0" w14:paraId="27276716" w14:textId="77777777" w:rsidTr="003A047F">
        <w:trPr>
          <w:cnfStyle w:val="100000000000" w:firstRow="1" w:lastRow="0" w:firstColumn="0" w:lastColumn="0" w:oddVBand="0" w:evenVBand="0" w:oddHBand="0" w:evenHBand="0" w:firstRowFirstColumn="0" w:firstRowLastColumn="0" w:lastRowFirstColumn="0" w:lastRowLastColumn="0"/>
        </w:trPr>
        <w:tc>
          <w:tcPr>
            <w:tcW w:w="9003" w:type="dxa"/>
            <w:gridSpan w:val="5"/>
            <w:tcBorders>
              <w:bottom w:val="single" w:sz="18" w:space="0" w:color="00B0B9"/>
            </w:tcBorders>
          </w:tcPr>
          <w:p w14:paraId="3A213628" w14:textId="41B9C4B3" w:rsidR="001404F7" w:rsidRPr="005623C0" w:rsidRDefault="001404F7" w:rsidP="001404F7">
            <w:pPr>
              <w:spacing w:before="40" w:after="40"/>
              <w:rPr>
                <w:rFonts w:eastAsia="Times New Roman"/>
                <w:b w:val="0"/>
                <w:color w:val="000000" w:themeColor="text1"/>
                <w:spacing w:val="4"/>
                <w:sz w:val="16"/>
                <w:szCs w:val="16"/>
                <w:lang w:val="en-GB"/>
              </w:rPr>
            </w:pPr>
            <w:r w:rsidRPr="005623C0">
              <w:rPr>
                <w:rFonts w:eastAsia="Times New Roman"/>
                <w:b w:val="0"/>
                <w:color w:val="000000" w:themeColor="text1"/>
                <w:spacing w:val="4"/>
                <w:sz w:val="16"/>
                <w:szCs w:val="16"/>
                <w:lang w:val="en-GB"/>
              </w:rPr>
              <w:lastRenderedPageBreak/>
              <w:t>Program Support for Outcome 1</w:t>
            </w:r>
          </w:p>
        </w:tc>
      </w:tr>
      <w:tr w:rsidR="001404F7" w:rsidRPr="005623C0" w14:paraId="12276453" w14:textId="77777777" w:rsidTr="003A047F">
        <w:trPr>
          <w:cnfStyle w:val="000000100000" w:firstRow="0" w:lastRow="0" w:firstColumn="0" w:lastColumn="0" w:oddVBand="0" w:evenVBand="0" w:oddHBand="1" w:evenHBand="0" w:firstRowFirstColumn="0" w:firstRowLastColumn="0" w:lastRowFirstColumn="0" w:lastRowLastColumn="0"/>
        </w:trPr>
        <w:tc>
          <w:tcPr>
            <w:tcW w:w="4047" w:type="dxa"/>
            <w:tcBorders>
              <w:top w:val="single" w:sz="18" w:space="0" w:color="00B0B9"/>
              <w:left w:val="nil"/>
              <w:bottom w:val="nil"/>
            </w:tcBorders>
          </w:tcPr>
          <w:p w14:paraId="2DAA8691" w14:textId="77777777" w:rsidR="001404F7" w:rsidRPr="005623C0" w:rsidRDefault="001404F7" w:rsidP="001404F7">
            <w:pPr>
              <w:spacing w:before="40" w:after="40"/>
              <w:rPr>
                <w:rFonts w:eastAsia="Times New Roman"/>
                <w:color w:val="000000" w:themeColor="text1"/>
                <w:spacing w:val="4"/>
                <w:sz w:val="16"/>
                <w:szCs w:val="16"/>
                <w:lang w:val="en-GB"/>
              </w:rPr>
            </w:pPr>
            <w:r w:rsidRPr="008E17DF">
              <w:rPr>
                <w:rFonts w:eastAsia="Times New Roman"/>
                <w:color w:val="000000" w:themeColor="text1"/>
                <w:spacing w:val="4"/>
                <w:sz w:val="16"/>
                <w:szCs w:val="16"/>
                <w:lang w:val="en-GB"/>
              </w:rPr>
              <w:t>Total departmental funding for Outcome 1</w:t>
            </w:r>
          </w:p>
        </w:tc>
        <w:tc>
          <w:tcPr>
            <w:tcW w:w="1797" w:type="dxa"/>
            <w:tcBorders>
              <w:top w:val="single" w:sz="18" w:space="0" w:color="00B0B9"/>
              <w:bottom w:val="nil"/>
            </w:tcBorders>
          </w:tcPr>
          <w:p w14:paraId="01F93EC6" w14:textId="77777777" w:rsidR="001404F7" w:rsidRPr="005623C0" w:rsidRDefault="001404F7" w:rsidP="001404F7">
            <w:pPr>
              <w:spacing w:before="40" w:after="40"/>
              <w:ind w:left="27" w:hanging="27"/>
              <w:rPr>
                <w:rFonts w:eastAsia="Times New Roman"/>
                <w:color w:val="000000" w:themeColor="text1"/>
                <w:spacing w:val="4"/>
                <w:sz w:val="16"/>
                <w:szCs w:val="16"/>
                <w:lang w:val="en-GB"/>
              </w:rPr>
            </w:pPr>
            <w:r w:rsidRPr="005623C0">
              <w:rPr>
                <w:rFonts w:eastAsia="Times New Roman"/>
                <w:color w:val="000000" w:themeColor="text1"/>
                <w:spacing w:val="4"/>
                <w:sz w:val="16"/>
                <w:szCs w:val="16"/>
                <w:lang w:val="en-GB"/>
              </w:rPr>
              <w:t>Milestone/ standard:</w:t>
            </w:r>
          </w:p>
          <w:p w14:paraId="51E9DA17" w14:textId="77777777" w:rsidR="001404F7" w:rsidRPr="005623C0" w:rsidRDefault="001404F7" w:rsidP="001404F7">
            <w:pPr>
              <w:spacing w:before="40" w:after="40"/>
              <w:ind w:left="27" w:hanging="27"/>
              <w:rPr>
                <w:rFonts w:eastAsia="Times New Roman"/>
                <w:color w:val="000000" w:themeColor="text1"/>
                <w:spacing w:val="4"/>
                <w:sz w:val="16"/>
                <w:szCs w:val="16"/>
                <w:highlight w:val="cyan"/>
                <w:lang w:val="en-GB"/>
              </w:rPr>
            </w:pPr>
            <w:r w:rsidRPr="005623C0">
              <w:rPr>
                <w:rFonts w:eastAsia="Times New Roman"/>
                <w:color w:val="000000" w:themeColor="text1"/>
                <w:spacing w:val="4"/>
                <w:sz w:val="16"/>
                <w:szCs w:val="16"/>
                <w:lang w:val="en-GB"/>
              </w:rPr>
              <w:t>Departmental funding is expended to achieve agency outcomes</w:t>
            </w:r>
          </w:p>
        </w:tc>
        <w:tc>
          <w:tcPr>
            <w:tcW w:w="1053" w:type="dxa"/>
            <w:tcBorders>
              <w:top w:val="single" w:sz="18" w:space="0" w:color="00B0B9"/>
              <w:bottom w:val="nil"/>
            </w:tcBorders>
            <w:vAlign w:val="center"/>
          </w:tcPr>
          <w:p w14:paraId="13608BFD" w14:textId="77777777" w:rsidR="001404F7" w:rsidRPr="008E17DF" w:rsidRDefault="001404F7" w:rsidP="001404F7">
            <w:pPr>
              <w:spacing w:before="40" w:after="40"/>
              <w:ind w:left="27" w:hanging="27"/>
              <w:rPr>
                <w:rFonts w:eastAsia="Times New Roman"/>
                <w:color w:val="000000" w:themeColor="text1"/>
                <w:spacing w:val="4"/>
                <w:sz w:val="16"/>
                <w:szCs w:val="16"/>
                <w:highlight w:val="cyan"/>
                <w:lang w:val="en-GB"/>
              </w:rPr>
            </w:pPr>
            <w:r w:rsidRPr="008E17DF">
              <w:rPr>
                <w:rFonts w:eastAsia="Times New Roman"/>
                <w:color w:val="000000" w:themeColor="text1"/>
                <w:spacing w:val="4"/>
                <w:sz w:val="16"/>
                <w:szCs w:val="16"/>
                <w:lang w:val="en-GB"/>
              </w:rPr>
              <w:t>$107.912m</w:t>
            </w:r>
          </w:p>
        </w:tc>
        <w:tc>
          <w:tcPr>
            <w:tcW w:w="1053" w:type="dxa"/>
            <w:tcBorders>
              <w:top w:val="single" w:sz="18" w:space="0" w:color="00B0B9"/>
              <w:bottom w:val="nil"/>
            </w:tcBorders>
            <w:vAlign w:val="center"/>
          </w:tcPr>
          <w:p w14:paraId="79E7150A" w14:textId="77777777" w:rsidR="001404F7" w:rsidRPr="008E17DF" w:rsidRDefault="001404F7" w:rsidP="001404F7">
            <w:pPr>
              <w:spacing w:before="40" w:after="40"/>
              <w:rPr>
                <w:rFonts w:eastAsia="Times New Roman"/>
                <w:spacing w:val="4"/>
                <w:sz w:val="16"/>
                <w:szCs w:val="16"/>
                <w:lang w:val="en-GB"/>
              </w:rPr>
            </w:pPr>
            <w:r w:rsidRPr="008E17DF">
              <w:rPr>
                <w:rFonts w:eastAsia="Times New Roman"/>
                <w:color w:val="000000" w:themeColor="text1"/>
                <w:spacing w:val="4"/>
                <w:sz w:val="16"/>
                <w:szCs w:val="16"/>
                <w:lang w:val="en-GB"/>
              </w:rPr>
              <w:t>$105.263m</w:t>
            </w:r>
          </w:p>
        </w:tc>
        <w:tc>
          <w:tcPr>
            <w:tcW w:w="1053" w:type="dxa"/>
            <w:tcBorders>
              <w:top w:val="single" w:sz="18" w:space="0" w:color="00B0B9"/>
              <w:bottom w:val="nil"/>
              <w:right w:val="nil"/>
            </w:tcBorders>
            <w:vAlign w:val="center"/>
          </w:tcPr>
          <w:p w14:paraId="311F2050" w14:textId="77777777" w:rsidR="001404F7" w:rsidRPr="008E17DF" w:rsidRDefault="001404F7" w:rsidP="001404F7">
            <w:pPr>
              <w:spacing w:before="40" w:after="40"/>
              <w:ind w:left="27" w:hanging="27"/>
              <w:rPr>
                <w:rFonts w:eastAsia="Times New Roman"/>
                <w:color w:val="000000" w:themeColor="text1"/>
                <w:spacing w:val="4"/>
                <w:sz w:val="16"/>
                <w:szCs w:val="16"/>
                <w:lang w:val="en-GB"/>
              </w:rPr>
            </w:pPr>
            <w:r w:rsidRPr="008E17DF">
              <w:rPr>
                <w:rFonts w:eastAsia="Times New Roman"/>
                <w:color w:val="000000" w:themeColor="text1"/>
                <w:spacing w:val="4"/>
                <w:sz w:val="16"/>
                <w:szCs w:val="16"/>
                <w:lang w:val="en-GB"/>
              </w:rPr>
              <w:t>$101.997m</w:t>
            </w:r>
          </w:p>
        </w:tc>
      </w:tr>
    </w:tbl>
    <w:p w14:paraId="0C406DAB" w14:textId="77777777" w:rsidR="001404F7" w:rsidRDefault="001404F7" w:rsidP="001404F7">
      <w:pPr>
        <w:spacing w:before="160" w:after="60" w:line="240" w:lineRule="auto"/>
        <w:ind w:left="284" w:hanging="284"/>
        <w:contextualSpacing/>
        <w:rPr>
          <w:rFonts w:cs="Arial"/>
          <w:sz w:val="16"/>
          <w:szCs w:val="16"/>
        </w:rPr>
      </w:pPr>
      <w:proofErr w:type="spellStart"/>
      <w:r>
        <w:rPr>
          <w:rFonts w:cs="Arial"/>
          <w:sz w:val="16"/>
          <w:szCs w:val="16"/>
        </w:rPr>
        <w:t>a</w:t>
      </w:r>
      <w:proofErr w:type="spellEnd"/>
      <w:r>
        <w:rPr>
          <w:rFonts w:cs="Arial"/>
          <w:sz w:val="16"/>
          <w:szCs w:val="16"/>
        </w:rPr>
        <w:tab/>
        <w:t>The Communities Program components of Payments Under Special Circumstances are not delivered by Services Australia.</w:t>
      </w:r>
    </w:p>
    <w:p w14:paraId="1EBBDE5D" w14:textId="77777777" w:rsidR="001404F7" w:rsidRPr="00577E4E" w:rsidRDefault="001404F7" w:rsidP="001404F7">
      <w:pPr>
        <w:rPr>
          <w:rFonts w:cs="Arial"/>
          <w:sz w:val="20"/>
          <w:szCs w:val="20"/>
        </w:rPr>
      </w:pPr>
    </w:p>
    <w:p w14:paraId="284E53D4" w14:textId="77777777" w:rsidR="001404F7" w:rsidRPr="00054A67" w:rsidRDefault="001404F7" w:rsidP="001404F7">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t>Performance Analysis of Outcome 1 Programs</w:t>
      </w:r>
    </w:p>
    <w:p w14:paraId="69ED8CAD" w14:textId="5ED183FA" w:rsidR="003C5132" w:rsidRPr="008F75CF" w:rsidRDefault="003C5132" w:rsidP="003C5132">
      <w:pPr>
        <w:rPr>
          <w:rFonts w:cs="Arial"/>
          <w:sz w:val="20"/>
          <w:szCs w:val="20"/>
        </w:rPr>
      </w:pPr>
      <w:r w:rsidRPr="008F75CF">
        <w:rPr>
          <w:rFonts w:cs="Arial"/>
          <w:sz w:val="20"/>
          <w:szCs w:val="20"/>
        </w:rPr>
        <w:t>Outcome 1 program</w:t>
      </w:r>
      <w:r w:rsidR="00D92519">
        <w:rPr>
          <w:rFonts w:cs="Arial"/>
          <w:sz w:val="20"/>
          <w:szCs w:val="20"/>
        </w:rPr>
        <w:t>’</w:t>
      </w:r>
      <w:r w:rsidRPr="008F75CF">
        <w:rPr>
          <w:rFonts w:cs="Arial"/>
          <w:sz w:val="20"/>
          <w:szCs w:val="20"/>
        </w:rPr>
        <w:t>s performance criteria (as outlined in the 2019–20 Portfolio Budget Statement</w:t>
      </w:r>
      <w:r w:rsidR="00AC3C8B">
        <w:rPr>
          <w:rFonts w:cs="Arial"/>
          <w:sz w:val="20"/>
          <w:szCs w:val="20"/>
        </w:rPr>
        <w:t>s</w:t>
      </w:r>
      <w:r w:rsidRPr="008F75CF">
        <w:rPr>
          <w:rFonts w:cs="Arial"/>
          <w:sz w:val="20"/>
          <w:szCs w:val="20"/>
        </w:rPr>
        <w:t>) is about having agreements in place with Services Australia. As much of the data and activity outputs are demand driven and intersect with changes in the economy the delivery of policy intent by Services Australia is critical. The Administrative Arrangement</w:t>
      </w:r>
      <w:r w:rsidR="00AC3C8B">
        <w:rPr>
          <w:rFonts w:cs="Arial"/>
          <w:sz w:val="20"/>
          <w:szCs w:val="20"/>
        </w:rPr>
        <w:t>s</w:t>
      </w:r>
      <w:r w:rsidRPr="008F75CF">
        <w:rPr>
          <w:rFonts w:cs="Arial"/>
          <w:sz w:val="20"/>
          <w:szCs w:val="20"/>
        </w:rPr>
        <w:t xml:space="preserve"> Orders (AAOs) of 5 December 2019 were updated to reflect Services Australia as an Executive Agency within</w:t>
      </w:r>
      <w:r w:rsidR="00AC3C8B">
        <w:rPr>
          <w:rFonts w:cs="Arial"/>
          <w:sz w:val="20"/>
          <w:szCs w:val="20"/>
        </w:rPr>
        <w:t xml:space="preserve"> the Social Services Portfolio.</w:t>
      </w:r>
    </w:p>
    <w:p w14:paraId="7C27DC0F" w14:textId="272AEF0A" w:rsidR="001404F7" w:rsidRPr="001E368F" w:rsidRDefault="003C5132" w:rsidP="001404F7">
      <w:pPr>
        <w:rPr>
          <w:sz w:val="20"/>
        </w:rPr>
      </w:pPr>
      <w:r w:rsidRPr="009330BC">
        <w:rPr>
          <w:rFonts w:cs="Arial"/>
          <w:sz w:val="20"/>
          <w:szCs w:val="20"/>
        </w:rPr>
        <w:t xml:space="preserve">During the COVID-19 pandemic response, the portfolio arrangements were critical in ensuring a whole of portfolio response to the </w:t>
      </w:r>
      <w:r w:rsidR="00FD5421">
        <w:rPr>
          <w:rFonts w:cs="Arial"/>
          <w:sz w:val="20"/>
          <w:szCs w:val="20"/>
        </w:rPr>
        <w:t>COVID-19</w:t>
      </w:r>
      <w:r w:rsidR="00FD5421" w:rsidRPr="009330BC">
        <w:rPr>
          <w:rFonts w:cs="Arial"/>
          <w:sz w:val="20"/>
          <w:szCs w:val="20"/>
        </w:rPr>
        <w:t xml:space="preserve"> </w:t>
      </w:r>
      <w:r w:rsidRPr="009330BC">
        <w:rPr>
          <w:rFonts w:cs="Arial"/>
          <w:sz w:val="20"/>
          <w:szCs w:val="20"/>
        </w:rPr>
        <w:t xml:space="preserve">pandemic and in delivering working age payments, particularly </w:t>
      </w:r>
      <w:proofErr w:type="spellStart"/>
      <w:r w:rsidRPr="009330BC">
        <w:rPr>
          <w:rFonts w:cs="Arial"/>
          <w:sz w:val="20"/>
          <w:szCs w:val="20"/>
        </w:rPr>
        <w:t>JobSeeker</w:t>
      </w:r>
      <w:proofErr w:type="spellEnd"/>
      <w:r w:rsidRPr="009330BC">
        <w:rPr>
          <w:rFonts w:cs="Arial"/>
          <w:sz w:val="20"/>
          <w:szCs w:val="20"/>
        </w:rPr>
        <w:t xml:space="preserve"> Payment to assist Australians who lost their jobs or had their hours of work reduced. This also included repurposing the </w:t>
      </w:r>
      <w:r>
        <w:rPr>
          <w:rFonts w:cs="Arial"/>
          <w:sz w:val="20"/>
          <w:szCs w:val="20"/>
        </w:rPr>
        <w:t>department’s Enid Lyons</w:t>
      </w:r>
      <w:r w:rsidRPr="009330BC">
        <w:rPr>
          <w:rFonts w:cs="Arial"/>
          <w:sz w:val="20"/>
          <w:szCs w:val="20"/>
        </w:rPr>
        <w:t xml:space="preserve"> Building </w:t>
      </w:r>
      <w:r>
        <w:rPr>
          <w:rFonts w:cs="Arial"/>
          <w:sz w:val="20"/>
          <w:szCs w:val="20"/>
        </w:rPr>
        <w:t>at Tuggeranong</w:t>
      </w:r>
      <w:r w:rsidR="00D92519">
        <w:rPr>
          <w:rFonts w:cs="Arial"/>
          <w:sz w:val="20"/>
          <w:szCs w:val="20"/>
        </w:rPr>
        <w:t>, Canberra</w:t>
      </w:r>
      <w:r>
        <w:rPr>
          <w:rFonts w:cs="Arial"/>
          <w:sz w:val="20"/>
          <w:szCs w:val="20"/>
        </w:rPr>
        <w:t xml:space="preserve"> </w:t>
      </w:r>
      <w:r w:rsidRPr="009330BC">
        <w:rPr>
          <w:rFonts w:cs="Arial"/>
          <w:sz w:val="20"/>
          <w:szCs w:val="20"/>
        </w:rPr>
        <w:t>and providing staff from the department to take calls and process claims during the peak of the pandemic.</w:t>
      </w:r>
    </w:p>
    <w:p w14:paraId="20322E80" w14:textId="77777777" w:rsidR="001404F7" w:rsidRPr="00022526" w:rsidRDefault="001404F7" w:rsidP="001404F7">
      <w:pPr>
        <w:rPr>
          <w:rFonts w:cs="Arial"/>
          <w:sz w:val="20"/>
          <w:szCs w:val="20"/>
        </w:rPr>
      </w:pPr>
      <w:r w:rsidRPr="001E368F">
        <w:rPr>
          <w:sz w:val="20"/>
        </w:rPr>
        <w:t xml:space="preserve">As a result of the changes to AAOs and the review of our performance measures from 2020–21 the program measures reflect key policy activities and targets. </w:t>
      </w:r>
    </w:p>
    <w:p w14:paraId="37826CC9" w14:textId="77777777" w:rsidR="00715F6F" w:rsidRDefault="00715F6F" w:rsidP="001404F7">
      <w:pPr>
        <w:rPr>
          <w:rFonts w:ascii="Georgia" w:eastAsiaTheme="majorEastAsia" w:hAnsi="Georgia" w:cstheme="majorBidi"/>
          <w:bCs/>
          <w:iCs/>
          <w:color w:val="00B0B9"/>
          <w:sz w:val="36"/>
        </w:rPr>
        <w:sectPr w:rsidR="00715F6F" w:rsidSect="00585891">
          <w:footnotePr>
            <w:numRestart w:val="eachPage"/>
          </w:footnotePr>
          <w:pgSz w:w="11906" w:h="16838"/>
          <w:pgMar w:top="1440" w:right="1440" w:bottom="1440" w:left="1440" w:header="709" w:footer="709" w:gutter="0"/>
          <w:cols w:space="708"/>
          <w:docGrid w:linePitch="360"/>
        </w:sectPr>
      </w:pPr>
    </w:p>
    <w:p w14:paraId="5A82B5B6" w14:textId="77777777" w:rsidR="001404F7" w:rsidRPr="00054A67" w:rsidRDefault="001404F7" w:rsidP="001404F7">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lastRenderedPageBreak/>
        <w:t>Performance Results of Key Activities</w:t>
      </w:r>
    </w:p>
    <w:p w14:paraId="6381DF75" w14:textId="77777777" w:rsidR="001404F7" w:rsidRPr="00022526" w:rsidRDefault="001404F7" w:rsidP="001404F7">
      <w:pPr>
        <w:rPr>
          <w:rFonts w:cs="Arial"/>
          <w:sz w:val="20"/>
          <w:szCs w:val="20"/>
        </w:rPr>
      </w:pPr>
      <w:r w:rsidRPr="00022526">
        <w:rPr>
          <w:rFonts w:cs="Arial"/>
          <w:sz w:val="20"/>
          <w:szCs w:val="20"/>
        </w:rPr>
        <w:t>This section describes the performance of the key activities in Outcome 1. The table below outlines our Corporate Plan performance criteria and indicators for Outcome 1, which show how we intend to measure what we achieved, how well we did, and how much we did. Not all activities report against every performance criterion.</w:t>
      </w:r>
      <w:r>
        <w:rPr>
          <w:rFonts w:cs="Arial"/>
          <w:sz w:val="20"/>
          <w:szCs w:val="20"/>
        </w:rPr>
        <w:t xml:space="preserve"> Where appropriate, analysis has also been provided. </w:t>
      </w:r>
    </w:p>
    <w:p w14:paraId="08666B44" w14:textId="77777777" w:rsidR="001404F7" w:rsidRDefault="001404F7" w:rsidP="001404F7">
      <w:pPr>
        <w:keepNext/>
        <w:spacing w:after="0" w:line="260" w:lineRule="atLeast"/>
        <w:ind w:right="425"/>
        <w:rPr>
          <w:rFonts w:ascii="Arial Narrow" w:eastAsia="Times New Roman" w:hAnsi="Arial Narrow" w:cs="Times New Roman"/>
          <w:b/>
          <w:bCs/>
          <w:spacing w:val="4"/>
          <w:sz w:val="20"/>
          <w:szCs w:val="18"/>
          <w:lang w:eastAsia="en-AU"/>
        </w:rPr>
      </w:pPr>
      <w:r w:rsidRPr="00DE7858">
        <w:rPr>
          <w:rFonts w:ascii="Arial Narrow" w:eastAsia="Times New Roman" w:hAnsi="Arial Narrow" w:cs="Times New Roman"/>
          <w:b/>
          <w:bCs/>
          <w:spacing w:val="4"/>
          <w:sz w:val="20"/>
          <w:szCs w:val="18"/>
          <w:lang w:eastAsia="en-AU"/>
        </w:rPr>
        <w:t>Table 2.1.</w:t>
      </w:r>
      <w:r>
        <w:rPr>
          <w:rFonts w:ascii="Arial Narrow" w:eastAsia="Times New Roman" w:hAnsi="Arial Narrow" w:cs="Times New Roman"/>
          <w:b/>
          <w:bCs/>
          <w:spacing w:val="4"/>
          <w:sz w:val="20"/>
          <w:szCs w:val="18"/>
          <w:lang w:eastAsia="en-AU"/>
        </w:rPr>
        <w:t>3</w:t>
      </w:r>
      <w:r w:rsidRPr="00DE7858">
        <w:rPr>
          <w:rFonts w:ascii="Arial Narrow" w:eastAsia="Times New Roman" w:hAnsi="Arial Narrow" w:cs="Times New Roman"/>
          <w:b/>
          <w:bCs/>
          <w:spacing w:val="4"/>
          <w:sz w:val="20"/>
          <w:szCs w:val="18"/>
          <w:lang w:eastAsia="en-AU"/>
        </w:rPr>
        <w:t xml:space="preserve">: Cross program performance criteria for Outcome 1 </w:t>
      </w:r>
      <w:r>
        <w:rPr>
          <w:rFonts w:ascii="Arial Narrow" w:eastAsia="Times New Roman" w:hAnsi="Arial Narrow" w:cs="Times New Roman"/>
          <w:b/>
          <w:bCs/>
          <w:spacing w:val="4"/>
          <w:sz w:val="20"/>
          <w:szCs w:val="18"/>
          <w:lang w:eastAsia="en-AU"/>
        </w:rPr>
        <w:t>–</w:t>
      </w:r>
      <w:r w:rsidRPr="00DE7858">
        <w:rPr>
          <w:rFonts w:ascii="Arial Narrow" w:eastAsia="Times New Roman" w:hAnsi="Arial Narrow" w:cs="Times New Roman"/>
          <w:b/>
          <w:bCs/>
          <w:spacing w:val="4"/>
          <w:sz w:val="20"/>
          <w:szCs w:val="18"/>
          <w:lang w:eastAsia="en-AU"/>
        </w:rPr>
        <w:t xml:space="preserve"> Social Security</w:t>
      </w:r>
    </w:p>
    <w:p w14:paraId="5C2DC86C" w14:textId="77777777" w:rsidR="001404F7" w:rsidRPr="001B1529" w:rsidRDefault="001404F7" w:rsidP="001404F7">
      <w:pPr>
        <w:tabs>
          <w:tab w:val="left" w:pos="1843"/>
        </w:tabs>
        <w:spacing w:before="40" w:after="40"/>
        <w:rPr>
          <w:rFonts w:cs="Arial"/>
          <w:i/>
          <w:sz w:val="16"/>
          <w:szCs w:val="16"/>
        </w:rPr>
      </w:pPr>
      <w:r w:rsidRPr="001B1529">
        <w:rPr>
          <w:rFonts w:cs="Arial"/>
          <w:i/>
          <w:sz w:val="16"/>
          <w:szCs w:val="16"/>
        </w:rPr>
        <w:t>Programs: 1.1 Family Tax Benefit; 1.2 Child Payments; 1.3 Income Support for Vulnerable People; 1.4 Income Support for People in Special Circumstances; 1.5 Supplementary Payments and Support for Income Support Recipients; 1.6 Income Support for Seniors; 1.7 Allowances and Concessions for Seniors; 1.8 Income Support for People with Disability; 1.9 Income Support for Carers; 1.10 Working Age Payments; 1.11 Student Payments; XP (Cross Program); XPRA (Cross Program) Rent Assistance.</w:t>
      </w:r>
    </w:p>
    <w:tbl>
      <w:tblPr>
        <w:tblStyle w:val="DSSDatatablestyle3112"/>
        <w:tblW w:w="5000" w:type="pct"/>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pct10" w:color="auto" w:fill="auto"/>
        <w:tblLook w:val="04A0" w:firstRow="1" w:lastRow="0" w:firstColumn="1" w:lastColumn="0" w:noHBand="0" w:noVBand="1"/>
        <w:tblCaption w:val="Table 2.1.3: Cross program performance criteria for Outcome 1 Social Security"/>
        <w:tblDescription w:val="Table 2.1.3: Cross program performance criteria for Outcome 1 Social Security"/>
      </w:tblPr>
      <w:tblGrid>
        <w:gridCol w:w="1384"/>
        <w:gridCol w:w="1637"/>
        <w:gridCol w:w="3342"/>
        <w:gridCol w:w="1464"/>
        <w:gridCol w:w="1153"/>
      </w:tblGrid>
      <w:tr w:rsidR="001404F7" w:rsidRPr="00B263E8" w14:paraId="1173028E" w14:textId="77777777" w:rsidTr="001404F7">
        <w:trPr>
          <w:cnfStyle w:val="100000000000" w:firstRow="1" w:lastRow="0" w:firstColumn="0" w:lastColumn="0" w:oddVBand="0" w:evenVBand="0" w:oddHBand="0" w:evenHBand="0" w:firstRowFirstColumn="0" w:firstRowLastColumn="0" w:lastRowFirstColumn="0" w:lastRowLastColumn="0"/>
          <w:trHeight w:val="340"/>
          <w:tblHeader/>
        </w:trPr>
        <w:tc>
          <w:tcPr>
            <w:tcW w:w="770" w:type="pct"/>
            <w:shd w:val="clear" w:color="auto" w:fill="000000" w:themeFill="text1"/>
            <w:vAlign w:val="center"/>
          </w:tcPr>
          <w:p w14:paraId="636EC454" w14:textId="77777777" w:rsidR="001404F7" w:rsidRPr="00B263E8" w:rsidRDefault="001404F7" w:rsidP="001404F7">
            <w:pPr>
              <w:keepNext/>
              <w:keepLines/>
              <w:spacing w:before="40" w:after="40"/>
              <w:jc w:val="center"/>
              <w:rPr>
                <w:rFonts w:cs="Times New Roman"/>
                <w:sz w:val="16"/>
                <w:szCs w:val="16"/>
              </w:rPr>
            </w:pPr>
            <w:r w:rsidRPr="00B263E8">
              <w:rPr>
                <w:rFonts w:cs="Times New Roman"/>
                <w:sz w:val="16"/>
                <w:szCs w:val="16"/>
              </w:rPr>
              <w:t>Measure Hierarchy</w:t>
            </w:r>
          </w:p>
        </w:tc>
        <w:tc>
          <w:tcPr>
            <w:tcW w:w="911" w:type="pct"/>
            <w:shd w:val="clear" w:color="auto" w:fill="000000" w:themeFill="text1"/>
            <w:vAlign w:val="center"/>
            <w:hideMark/>
          </w:tcPr>
          <w:p w14:paraId="2B6EB657" w14:textId="77777777" w:rsidR="001404F7" w:rsidRPr="00B263E8" w:rsidRDefault="001404F7" w:rsidP="001404F7">
            <w:pPr>
              <w:keepNext/>
              <w:keepLines/>
              <w:spacing w:before="40" w:after="40"/>
              <w:jc w:val="center"/>
              <w:rPr>
                <w:rFonts w:cs="Times New Roman"/>
                <w:sz w:val="16"/>
                <w:szCs w:val="16"/>
              </w:rPr>
            </w:pPr>
            <w:r w:rsidRPr="00B263E8">
              <w:rPr>
                <w:rFonts w:cs="Times New Roman"/>
                <w:sz w:val="16"/>
                <w:szCs w:val="16"/>
              </w:rPr>
              <w:t>Performance criteria</w:t>
            </w:r>
          </w:p>
        </w:tc>
        <w:tc>
          <w:tcPr>
            <w:tcW w:w="1861" w:type="pct"/>
            <w:shd w:val="clear" w:color="auto" w:fill="000000" w:themeFill="text1"/>
            <w:vAlign w:val="center"/>
            <w:hideMark/>
          </w:tcPr>
          <w:p w14:paraId="5155E9B1" w14:textId="77777777" w:rsidR="001404F7" w:rsidRPr="00B263E8" w:rsidRDefault="001404F7" w:rsidP="001404F7">
            <w:pPr>
              <w:keepNext/>
              <w:keepLines/>
              <w:spacing w:before="40" w:after="40"/>
              <w:jc w:val="center"/>
              <w:rPr>
                <w:rFonts w:cs="Times New Roman"/>
                <w:sz w:val="16"/>
                <w:szCs w:val="16"/>
              </w:rPr>
            </w:pPr>
            <w:r w:rsidRPr="00B263E8">
              <w:rPr>
                <w:rFonts w:cs="Times New Roman"/>
                <w:sz w:val="16"/>
                <w:szCs w:val="16"/>
              </w:rPr>
              <w:t>Indicator/Output</w:t>
            </w:r>
          </w:p>
        </w:tc>
        <w:tc>
          <w:tcPr>
            <w:tcW w:w="815" w:type="pct"/>
            <w:shd w:val="clear" w:color="auto" w:fill="000000" w:themeFill="text1"/>
            <w:vAlign w:val="center"/>
          </w:tcPr>
          <w:p w14:paraId="67F30D15" w14:textId="77777777" w:rsidR="001404F7" w:rsidRDefault="001404F7" w:rsidP="001404F7">
            <w:pPr>
              <w:keepNext/>
              <w:keepLines/>
              <w:spacing w:before="40" w:after="40"/>
              <w:jc w:val="center"/>
              <w:rPr>
                <w:rFonts w:cs="Times New Roman"/>
                <w:sz w:val="16"/>
                <w:szCs w:val="16"/>
              </w:rPr>
            </w:pPr>
            <w:r>
              <w:rPr>
                <w:rFonts w:cs="Times New Roman"/>
                <w:sz w:val="16"/>
                <w:szCs w:val="16"/>
              </w:rPr>
              <w:t>Program Reference</w:t>
            </w:r>
          </w:p>
        </w:tc>
        <w:tc>
          <w:tcPr>
            <w:tcW w:w="642" w:type="pct"/>
            <w:shd w:val="clear" w:color="auto" w:fill="000000" w:themeFill="text1"/>
            <w:vAlign w:val="center"/>
          </w:tcPr>
          <w:p w14:paraId="7249BA0A" w14:textId="77777777" w:rsidR="001404F7" w:rsidRPr="00B263E8" w:rsidRDefault="001404F7" w:rsidP="001404F7">
            <w:pPr>
              <w:keepNext/>
              <w:keepLines/>
              <w:spacing w:before="40" w:after="40"/>
              <w:jc w:val="center"/>
              <w:rPr>
                <w:rFonts w:cs="Times New Roman"/>
                <w:sz w:val="16"/>
                <w:szCs w:val="16"/>
              </w:rPr>
            </w:pPr>
            <w:r>
              <w:rPr>
                <w:rFonts w:cs="Times New Roman"/>
                <w:sz w:val="16"/>
                <w:szCs w:val="16"/>
              </w:rPr>
              <w:t>Results Table Index</w:t>
            </w:r>
          </w:p>
        </w:tc>
      </w:tr>
      <w:tr w:rsidR="001404F7" w:rsidRPr="00B263E8" w14:paraId="5E98C98A" w14:textId="77777777" w:rsidTr="001404F7">
        <w:trPr>
          <w:trHeight w:val="62"/>
        </w:trPr>
        <w:tc>
          <w:tcPr>
            <w:tcW w:w="770" w:type="pct"/>
            <w:vMerge w:val="restart"/>
            <w:shd w:val="clear" w:color="auto" w:fill="005A70"/>
            <w:hideMark/>
          </w:tcPr>
          <w:p w14:paraId="0435AAE0" w14:textId="77777777" w:rsidR="001404F7" w:rsidRPr="00B263E8" w:rsidRDefault="001404F7" w:rsidP="001404F7">
            <w:pPr>
              <w:keepNext/>
              <w:keepLines/>
              <w:spacing w:beforeLines="20" w:before="48" w:afterLines="20" w:after="48"/>
              <w:rPr>
                <w:rFonts w:cs="Arial"/>
                <w:b/>
                <w:color w:val="FFFFFF" w:themeColor="background1"/>
                <w:sz w:val="16"/>
                <w:szCs w:val="16"/>
              </w:rPr>
            </w:pPr>
            <w:r w:rsidRPr="00B263E8">
              <w:rPr>
                <w:rFonts w:cs="Arial"/>
                <w:b/>
                <w:color w:val="FFFFFF" w:themeColor="background1"/>
                <w:sz w:val="16"/>
                <w:szCs w:val="16"/>
              </w:rPr>
              <w:t>Outcome — What did we achieve?</w:t>
            </w:r>
          </w:p>
        </w:tc>
        <w:tc>
          <w:tcPr>
            <w:tcW w:w="911" w:type="pct"/>
            <w:shd w:val="clear" w:color="auto" w:fill="00B0B9"/>
            <w:hideMark/>
          </w:tcPr>
          <w:p w14:paraId="19E90A13" w14:textId="77777777" w:rsidR="001404F7" w:rsidRPr="00D13460" w:rsidRDefault="001404F7" w:rsidP="001404F7">
            <w:pPr>
              <w:keepNext/>
              <w:keepLines/>
              <w:spacing w:beforeLines="20" w:before="48" w:afterLines="20" w:after="48"/>
              <w:rPr>
                <w:rFonts w:cs="Arial"/>
                <w:b/>
                <w:sz w:val="16"/>
                <w:szCs w:val="16"/>
              </w:rPr>
            </w:pPr>
            <w:r w:rsidRPr="00D13460">
              <w:rPr>
                <w:rFonts w:cs="Arial"/>
                <w:b/>
                <w:sz w:val="16"/>
                <w:szCs w:val="16"/>
              </w:rPr>
              <w:t>C1.1 – Sustainability of the payments system</w:t>
            </w:r>
          </w:p>
        </w:tc>
        <w:tc>
          <w:tcPr>
            <w:tcW w:w="1861" w:type="pct"/>
            <w:shd w:val="clear" w:color="auto" w:fill="D9D9D6"/>
            <w:hideMark/>
          </w:tcPr>
          <w:p w14:paraId="1C34454F" w14:textId="77777777" w:rsidR="001404F7" w:rsidRPr="00B263E8" w:rsidRDefault="001404F7" w:rsidP="001404F7">
            <w:pPr>
              <w:keepNext/>
              <w:keepLines/>
              <w:spacing w:beforeLines="20" w:before="48" w:afterLines="20" w:after="48"/>
              <w:rPr>
                <w:rFonts w:cs="Arial"/>
                <w:b/>
                <w:sz w:val="16"/>
                <w:szCs w:val="16"/>
              </w:rPr>
            </w:pPr>
            <w:r>
              <w:rPr>
                <w:rFonts w:cs="Arial"/>
                <w:sz w:val="16"/>
                <w:szCs w:val="16"/>
              </w:rPr>
              <w:t>C</w:t>
            </w:r>
            <w:r w:rsidRPr="00B263E8">
              <w:rPr>
                <w:rFonts w:cs="Arial"/>
                <w:sz w:val="16"/>
                <w:szCs w:val="16"/>
              </w:rPr>
              <w:t xml:space="preserve">1.1.1 </w:t>
            </w:r>
            <w:r>
              <w:rPr>
                <w:rFonts w:cs="Arial"/>
                <w:sz w:val="16"/>
                <w:szCs w:val="16"/>
              </w:rPr>
              <w:t>–</w:t>
            </w:r>
            <w:r w:rsidRPr="00B263E8">
              <w:rPr>
                <w:rFonts w:cs="Arial"/>
                <w:sz w:val="16"/>
                <w:szCs w:val="16"/>
              </w:rPr>
              <w:t xml:space="preserve"> Average future lifetime cost (in current year dollars) of total welfare payments to individuals</w:t>
            </w:r>
          </w:p>
        </w:tc>
        <w:tc>
          <w:tcPr>
            <w:tcW w:w="815" w:type="pct"/>
            <w:shd w:val="clear" w:color="auto" w:fill="D9D9D6"/>
          </w:tcPr>
          <w:p w14:paraId="1C53A957" w14:textId="77777777" w:rsidR="001404F7" w:rsidRPr="004862A8" w:rsidRDefault="001404F7" w:rsidP="001404F7">
            <w:pPr>
              <w:keepNext/>
              <w:keepLines/>
              <w:spacing w:beforeLines="20" w:before="48" w:afterLines="20" w:after="48"/>
              <w:rPr>
                <w:rFonts w:cs="Arial"/>
                <w:sz w:val="16"/>
                <w:szCs w:val="16"/>
              </w:rPr>
            </w:pPr>
            <w:r>
              <w:rPr>
                <w:rFonts w:cs="Arial"/>
                <w:sz w:val="16"/>
                <w:szCs w:val="16"/>
              </w:rPr>
              <w:t>XP</w:t>
            </w:r>
          </w:p>
        </w:tc>
        <w:tc>
          <w:tcPr>
            <w:tcW w:w="642" w:type="pct"/>
            <w:shd w:val="clear" w:color="auto" w:fill="D9D9D6"/>
          </w:tcPr>
          <w:p w14:paraId="50942694" w14:textId="77777777" w:rsidR="001404F7" w:rsidRPr="004862A8" w:rsidRDefault="001404F7" w:rsidP="001404F7">
            <w:pPr>
              <w:keepNext/>
              <w:keepLines/>
              <w:spacing w:beforeLines="20" w:before="48" w:afterLines="20" w:after="48"/>
              <w:rPr>
                <w:rFonts w:cs="Arial"/>
                <w:sz w:val="16"/>
                <w:szCs w:val="16"/>
              </w:rPr>
            </w:pPr>
            <w:r w:rsidRPr="004862A8">
              <w:rPr>
                <w:rFonts w:cs="Arial"/>
                <w:sz w:val="16"/>
                <w:szCs w:val="16"/>
              </w:rPr>
              <w:t>2.1.4a</w:t>
            </w:r>
            <w:r>
              <w:rPr>
                <w:rFonts w:cs="Arial"/>
                <w:sz w:val="16"/>
                <w:szCs w:val="16"/>
              </w:rPr>
              <w:t xml:space="preserve">, </w:t>
            </w:r>
            <w:r w:rsidRPr="004862A8">
              <w:rPr>
                <w:rFonts w:cs="Arial"/>
                <w:sz w:val="16"/>
                <w:szCs w:val="16"/>
              </w:rPr>
              <w:t>2.1.4b</w:t>
            </w:r>
          </w:p>
        </w:tc>
      </w:tr>
      <w:tr w:rsidR="001404F7" w:rsidRPr="00B263E8" w14:paraId="1A0E6568" w14:textId="77777777" w:rsidTr="001404F7">
        <w:trPr>
          <w:cnfStyle w:val="000000010000" w:firstRow="0" w:lastRow="0" w:firstColumn="0" w:lastColumn="0" w:oddVBand="0" w:evenVBand="0" w:oddHBand="0" w:evenHBand="1" w:firstRowFirstColumn="0" w:firstRowLastColumn="0" w:lastRowFirstColumn="0" w:lastRowLastColumn="0"/>
          <w:trHeight w:val="62"/>
        </w:trPr>
        <w:tc>
          <w:tcPr>
            <w:tcW w:w="770" w:type="pct"/>
            <w:vMerge/>
            <w:shd w:val="clear" w:color="auto" w:fill="005A70"/>
            <w:vAlign w:val="center"/>
            <w:hideMark/>
          </w:tcPr>
          <w:p w14:paraId="2678A1CE" w14:textId="77777777" w:rsidR="001404F7" w:rsidRPr="00B263E8" w:rsidRDefault="001404F7" w:rsidP="001404F7">
            <w:pPr>
              <w:rPr>
                <w:b/>
                <w:color w:val="FFFFFF" w:themeColor="background1"/>
                <w:sz w:val="16"/>
                <w:szCs w:val="16"/>
              </w:rPr>
            </w:pPr>
          </w:p>
        </w:tc>
        <w:tc>
          <w:tcPr>
            <w:tcW w:w="911" w:type="pct"/>
            <w:vMerge w:val="restart"/>
            <w:shd w:val="clear" w:color="auto" w:fill="00B0B9"/>
            <w:hideMark/>
          </w:tcPr>
          <w:p w14:paraId="7CE41A2C" w14:textId="77777777" w:rsidR="001404F7" w:rsidRPr="00D13460" w:rsidRDefault="001404F7" w:rsidP="001404F7">
            <w:pPr>
              <w:keepNext/>
              <w:keepLines/>
              <w:spacing w:beforeLines="20" w:before="48" w:afterLines="20" w:after="48"/>
              <w:rPr>
                <w:b/>
                <w:sz w:val="16"/>
                <w:szCs w:val="16"/>
              </w:rPr>
            </w:pPr>
            <w:r w:rsidRPr="00D13460">
              <w:rPr>
                <w:rFonts w:cs="Times New Roman"/>
                <w:b/>
                <w:sz w:val="16"/>
                <w:szCs w:val="16"/>
              </w:rPr>
              <w:t>C1.2 – Extent to which payment recipients have improved financial self-reliance</w:t>
            </w:r>
          </w:p>
        </w:tc>
        <w:tc>
          <w:tcPr>
            <w:tcW w:w="1861" w:type="pct"/>
            <w:shd w:val="clear" w:color="auto" w:fill="D9D9D6"/>
            <w:hideMark/>
          </w:tcPr>
          <w:p w14:paraId="55CD0EFB" w14:textId="77777777" w:rsidR="001404F7" w:rsidRPr="00B263E8" w:rsidRDefault="001404F7" w:rsidP="001404F7">
            <w:pPr>
              <w:keepNext/>
              <w:keepLines/>
              <w:spacing w:beforeLines="20" w:before="48" w:afterLines="20" w:after="48"/>
              <w:rPr>
                <w:rFonts w:cs="Times New Roman"/>
                <w:sz w:val="16"/>
                <w:szCs w:val="16"/>
              </w:rPr>
            </w:pPr>
            <w:r>
              <w:rPr>
                <w:rFonts w:cs="Times New Roman"/>
                <w:sz w:val="16"/>
                <w:szCs w:val="16"/>
              </w:rPr>
              <w:t>C</w:t>
            </w:r>
            <w:r w:rsidRPr="00B263E8">
              <w:rPr>
                <w:rFonts w:cs="Times New Roman"/>
                <w:sz w:val="16"/>
                <w:szCs w:val="16"/>
              </w:rPr>
              <w:t xml:space="preserve">1.2.1 </w:t>
            </w:r>
            <w:r>
              <w:rPr>
                <w:rFonts w:cs="Times New Roman"/>
                <w:sz w:val="16"/>
                <w:szCs w:val="16"/>
              </w:rPr>
              <w:t>–</w:t>
            </w:r>
            <w:r w:rsidRPr="00B263E8">
              <w:rPr>
                <w:rFonts w:cs="Times New Roman"/>
                <w:sz w:val="16"/>
                <w:szCs w:val="16"/>
              </w:rPr>
              <w:t xml:space="preserve"> Expected average proportion of future years not receiving income support payments</w:t>
            </w:r>
          </w:p>
        </w:tc>
        <w:tc>
          <w:tcPr>
            <w:tcW w:w="815" w:type="pct"/>
            <w:shd w:val="clear" w:color="auto" w:fill="D9D9D6"/>
          </w:tcPr>
          <w:p w14:paraId="36C49CE9" w14:textId="77777777" w:rsidR="001404F7" w:rsidRPr="004862A8" w:rsidRDefault="001404F7" w:rsidP="001404F7">
            <w:pPr>
              <w:keepNext/>
              <w:keepLines/>
              <w:spacing w:beforeLines="20" w:before="48" w:afterLines="20" w:after="48"/>
              <w:rPr>
                <w:rFonts w:cs="Times New Roman"/>
                <w:sz w:val="16"/>
                <w:szCs w:val="16"/>
              </w:rPr>
            </w:pPr>
            <w:r>
              <w:rPr>
                <w:rFonts w:cs="Times New Roman"/>
                <w:sz w:val="16"/>
                <w:szCs w:val="16"/>
              </w:rPr>
              <w:t>XP</w:t>
            </w:r>
          </w:p>
        </w:tc>
        <w:tc>
          <w:tcPr>
            <w:tcW w:w="642" w:type="pct"/>
            <w:shd w:val="clear" w:color="auto" w:fill="D9D9D6"/>
          </w:tcPr>
          <w:p w14:paraId="2FC45570" w14:textId="77777777" w:rsidR="001404F7" w:rsidRPr="004862A8" w:rsidRDefault="001404F7" w:rsidP="001404F7">
            <w:pPr>
              <w:keepNext/>
              <w:keepLines/>
              <w:spacing w:beforeLines="20" w:before="48" w:afterLines="20" w:after="48"/>
              <w:rPr>
                <w:rFonts w:cs="Times New Roman"/>
                <w:sz w:val="16"/>
                <w:szCs w:val="16"/>
              </w:rPr>
            </w:pPr>
            <w:r w:rsidRPr="004862A8">
              <w:rPr>
                <w:rFonts w:cs="Times New Roman"/>
                <w:sz w:val="16"/>
                <w:szCs w:val="16"/>
              </w:rPr>
              <w:t>2.1.5</w:t>
            </w:r>
          </w:p>
        </w:tc>
      </w:tr>
      <w:tr w:rsidR="001404F7" w:rsidRPr="00B263E8" w14:paraId="24A8D257" w14:textId="77777777" w:rsidTr="001404F7">
        <w:trPr>
          <w:trHeight w:val="62"/>
        </w:trPr>
        <w:tc>
          <w:tcPr>
            <w:tcW w:w="770" w:type="pct"/>
            <w:vMerge/>
            <w:shd w:val="clear" w:color="auto" w:fill="005A70"/>
            <w:vAlign w:val="center"/>
            <w:hideMark/>
          </w:tcPr>
          <w:p w14:paraId="355517B4" w14:textId="77777777" w:rsidR="001404F7" w:rsidRPr="00B263E8" w:rsidRDefault="001404F7" w:rsidP="001404F7">
            <w:pPr>
              <w:rPr>
                <w:rFonts w:cs="Arial"/>
                <w:b/>
                <w:color w:val="FFFFFF" w:themeColor="background1"/>
                <w:sz w:val="16"/>
                <w:szCs w:val="16"/>
              </w:rPr>
            </w:pPr>
          </w:p>
        </w:tc>
        <w:tc>
          <w:tcPr>
            <w:tcW w:w="911" w:type="pct"/>
            <w:vMerge/>
            <w:shd w:val="clear" w:color="auto" w:fill="00B0B9"/>
            <w:vAlign w:val="center"/>
            <w:hideMark/>
          </w:tcPr>
          <w:p w14:paraId="1C7B34D3" w14:textId="77777777" w:rsidR="001404F7" w:rsidRPr="00D13460" w:rsidRDefault="001404F7" w:rsidP="001404F7">
            <w:pPr>
              <w:rPr>
                <w:rFonts w:cs="Arial"/>
                <w:b/>
                <w:sz w:val="16"/>
                <w:szCs w:val="16"/>
              </w:rPr>
            </w:pPr>
          </w:p>
        </w:tc>
        <w:tc>
          <w:tcPr>
            <w:tcW w:w="1861" w:type="pct"/>
            <w:shd w:val="clear" w:color="auto" w:fill="D9D9D6"/>
            <w:hideMark/>
          </w:tcPr>
          <w:p w14:paraId="3DA653BA" w14:textId="77777777" w:rsidR="001404F7" w:rsidRPr="00B263E8" w:rsidRDefault="001404F7" w:rsidP="001404F7">
            <w:pPr>
              <w:keepNext/>
              <w:keepLines/>
              <w:spacing w:beforeLines="20" w:before="48" w:afterLines="20" w:after="48"/>
              <w:rPr>
                <w:rFonts w:cs="Arial"/>
                <w:sz w:val="16"/>
                <w:szCs w:val="16"/>
              </w:rPr>
            </w:pPr>
            <w:r>
              <w:rPr>
                <w:rFonts w:cs="Arial"/>
                <w:sz w:val="16"/>
                <w:szCs w:val="16"/>
              </w:rPr>
              <w:t>C</w:t>
            </w:r>
            <w:r w:rsidRPr="00B263E8">
              <w:rPr>
                <w:rFonts w:cs="Arial"/>
                <w:sz w:val="16"/>
                <w:szCs w:val="16"/>
              </w:rPr>
              <w:t xml:space="preserve">1.2.2 </w:t>
            </w:r>
            <w:r>
              <w:rPr>
                <w:rFonts w:cs="Arial"/>
                <w:sz w:val="16"/>
                <w:szCs w:val="16"/>
              </w:rPr>
              <w:t>–</w:t>
            </w:r>
            <w:r w:rsidRPr="00B263E8">
              <w:rPr>
                <w:rFonts w:cs="Arial"/>
                <w:sz w:val="16"/>
                <w:szCs w:val="16"/>
              </w:rPr>
              <w:t xml:space="preserve"> Percentage of recipients who are not receiving income support 3/6/12 months after exiting student payments</w:t>
            </w:r>
          </w:p>
        </w:tc>
        <w:tc>
          <w:tcPr>
            <w:tcW w:w="815" w:type="pct"/>
            <w:shd w:val="clear" w:color="auto" w:fill="D9D9D6"/>
          </w:tcPr>
          <w:p w14:paraId="30E6CE94" w14:textId="77777777" w:rsidR="001404F7" w:rsidRPr="004862A8" w:rsidRDefault="001404F7" w:rsidP="001404F7">
            <w:pPr>
              <w:keepNext/>
              <w:keepLines/>
              <w:spacing w:beforeLines="20" w:before="48" w:afterLines="20" w:after="48"/>
              <w:rPr>
                <w:rFonts w:cs="Arial"/>
                <w:sz w:val="16"/>
                <w:szCs w:val="16"/>
              </w:rPr>
            </w:pPr>
            <w:r>
              <w:rPr>
                <w:rFonts w:cs="Arial"/>
                <w:sz w:val="16"/>
                <w:szCs w:val="16"/>
              </w:rPr>
              <w:t>1.11</w:t>
            </w:r>
          </w:p>
        </w:tc>
        <w:tc>
          <w:tcPr>
            <w:tcW w:w="642" w:type="pct"/>
            <w:shd w:val="clear" w:color="auto" w:fill="D9D9D6"/>
          </w:tcPr>
          <w:p w14:paraId="218FCC99" w14:textId="77777777" w:rsidR="001404F7" w:rsidRPr="004862A8" w:rsidRDefault="001404F7" w:rsidP="001404F7">
            <w:pPr>
              <w:keepNext/>
              <w:keepLines/>
              <w:spacing w:beforeLines="20" w:before="48" w:afterLines="20" w:after="48"/>
              <w:rPr>
                <w:rFonts w:cs="Arial"/>
                <w:sz w:val="16"/>
                <w:szCs w:val="16"/>
              </w:rPr>
            </w:pPr>
            <w:r w:rsidRPr="004862A8">
              <w:rPr>
                <w:rFonts w:cs="Arial"/>
                <w:sz w:val="16"/>
                <w:szCs w:val="16"/>
              </w:rPr>
              <w:t>2.1.6</w:t>
            </w:r>
          </w:p>
        </w:tc>
      </w:tr>
      <w:tr w:rsidR="001404F7" w:rsidRPr="00B263E8" w14:paraId="15062AC8" w14:textId="77777777" w:rsidTr="001404F7">
        <w:trPr>
          <w:cnfStyle w:val="000000010000" w:firstRow="0" w:lastRow="0" w:firstColumn="0" w:lastColumn="0" w:oddVBand="0" w:evenVBand="0" w:oddHBand="0" w:evenHBand="1" w:firstRowFirstColumn="0" w:firstRowLastColumn="0" w:lastRowFirstColumn="0" w:lastRowLastColumn="0"/>
          <w:trHeight w:val="62"/>
        </w:trPr>
        <w:tc>
          <w:tcPr>
            <w:tcW w:w="770" w:type="pct"/>
            <w:vMerge/>
            <w:shd w:val="clear" w:color="auto" w:fill="005A70"/>
            <w:vAlign w:val="center"/>
            <w:hideMark/>
          </w:tcPr>
          <w:p w14:paraId="7B9A1564" w14:textId="77777777" w:rsidR="001404F7" w:rsidRPr="00B263E8" w:rsidRDefault="001404F7" w:rsidP="001404F7">
            <w:pPr>
              <w:rPr>
                <w:b/>
                <w:color w:val="FFFFFF" w:themeColor="background1"/>
                <w:sz w:val="16"/>
                <w:szCs w:val="16"/>
              </w:rPr>
            </w:pPr>
          </w:p>
        </w:tc>
        <w:tc>
          <w:tcPr>
            <w:tcW w:w="911" w:type="pct"/>
            <w:vMerge/>
            <w:shd w:val="clear" w:color="auto" w:fill="00B0B9"/>
            <w:vAlign w:val="center"/>
            <w:hideMark/>
          </w:tcPr>
          <w:p w14:paraId="61338999" w14:textId="77777777" w:rsidR="001404F7" w:rsidRPr="00D13460" w:rsidRDefault="001404F7" w:rsidP="001404F7">
            <w:pPr>
              <w:rPr>
                <w:b/>
                <w:sz w:val="16"/>
                <w:szCs w:val="16"/>
              </w:rPr>
            </w:pPr>
          </w:p>
        </w:tc>
        <w:tc>
          <w:tcPr>
            <w:tcW w:w="1861" w:type="pct"/>
            <w:shd w:val="clear" w:color="auto" w:fill="D9D9D6"/>
            <w:hideMark/>
          </w:tcPr>
          <w:p w14:paraId="11329E8F" w14:textId="77777777" w:rsidR="001404F7" w:rsidRPr="00B263E8" w:rsidRDefault="001404F7" w:rsidP="001404F7">
            <w:pPr>
              <w:keepNext/>
              <w:keepLines/>
              <w:spacing w:beforeLines="20" w:before="48" w:afterLines="20" w:after="48"/>
              <w:rPr>
                <w:sz w:val="16"/>
                <w:szCs w:val="16"/>
              </w:rPr>
            </w:pPr>
            <w:r>
              <w:rPr>
                <w:rFonts w:cs="Times New Roman"/>
                <w:sz w:val="16"/>
                <w:szCs w:val="16"/>
              </w:rPr>
              <w:t>C</w:t>
            </w:r>
            <w:r w:rsidRPr="00B263E8">
              <w:rPr>
                <w:rFonts w:cs="Times New Roman"/>
                <w:sz w:val="16"/>
                <w:szCs w:val="16"/>
              </w:rPr>
              <w:t xml:space="preserve">1.2.3 </w:t>
            </w:r>
            <w:r>
              <w:rPr>
                <w:rFonts w:cs="Times New Roman"/>
                <w:sz w:val="16"/>
                <w:szCs w:val="16"/>
              </w:rPr>
              <w:t>–</w:t>
            </w:r>
            <w:r w:rsidRPr="00B263E8">
              <w:rPr>
                <w:rFonts w:cs="Times New Roman"/>
                <w:sz w:val="16"/>
                <w:szCs w:val="16"/>
              </w:rPr>
              <w:t xml:space="preserve"> Percentage of recipients who exit income support within 3/6/12 months</w:t>
            </w:r>
          </w:p>
        </w:tc>
        <w:tc>
          <w:tcPr>
            <w:tcW w:w="815" w:type="pct"/>
            <w:shd w:val="clear" w:color="auto" w:fill="D9D9D6"/>
          </w:tcPr>
          <w:p w14:paraId="5DF97D9C" w14:textId="77777777" w:rsidR="001404F7" w:rsidRPr="004862A8" w:rsidRDefault="001404F7" w:rsidP="001404F7">
            <w:pPr>
              <w:keepNext/>
              <w:keepLines/>
              <w:spacing w:beforeLines="20" w:before="48" w:afterLines="20" w:after="48"/>
              <w:rPr>
                <w:rFonts w:cs="Times New Roman"/>
                <w:sz w:val="16"/>
                <w:szCs w:val="16"/>
              </w:rPr>
            </w:pPr>
            <w:r>
              <w:rPr>
                <w:sz w:val="16"/>
                <w:szCs w:val="16"/>
              </w:rPr>
              <w:t>1.3, 1.10</w:t>
            </w:r>
          </w:p>
        </w:tc>
        <w:tc>
          <w:tcPr>
            <w:tcW w:w="642" w:type="pct"/>
            <w:shd w:val="clear" w:color="auto" w:fill="D9D9D6"/>
          </w:tcPr>
          <w:p w14:paraId="4754A336" w14:textId="77777777" w:rsidR="001404F7" w:rsidRPr="004862A8" w:rsidRDefault="001404F7" w:rsidP="001404F7">
            <w:pPr>
              <w:keepNext/>
              <w:keepLines/>
              <w:spacing w:beforeLines="20" w:before="48" w:afterLines="20" w:after="48"/>
              <w:rPr>
                <w:rFonts w:cs="Times New Roman"/>
                <w:sz w:val="16"/>
                <w:szCs w:val="16"/>
              </w:rPr>
            </w:pPr>
            <w:r w:rsidRPr="004862A8">
              <w:rPr>
                <w:rFonts w:cs="Times New Roman"/>
                <w:sz w:val="16"/>
                <w:szCs w:val="16"/>
              </w:rPr>
              <w:t>2.1.7</w:t>
            </w:r>
          </w:p>
        </w:tc>
      </w:tr>
      <w:tr w:rsidR="001404F7" w:rsidRPr="00B263E8" w14:paraId="62985075" w14:textId="77777777" w:rsidTr="001404F7">
        <w:trPr>
          <w:trHeight w:val="62"/>
        </w:trPr>
        <w:tc>
          <w:tcPr>
            <w:tcW w:w="770" w:type="pct"/>
            <w:vMerge/>
            <w:shd w:val="clear" w:color="auto" w:fill="005A70"/>
            <w:vAlign w:val="center"/>
            <w:hideMark/>
          </w:tcPr>
          <w:p w14:paraId="28A3FE2B" w14:textId="77777777" w:rsidR="001404F7" w:rsidRPr="00B263E8" w:rsidRDefault="001404F7" w:rsidP="001404F7">
            <w:pPr>
              <w:rPr>
                <w:rFonts w:cs="Arial"/>
                <w:b/>
                <w:color w:val="FFFFFF" w:themeColor="background1"/>
                <w:sz w:val="16"/>
                <w:szCs w:val="16"/>
              </w:rPr>
            </w:pPr>
          </w:p>
        </w:tc>
        <w:tc>
          <w:tcPr>
            <w:tcW w:w="911" w:type="pct"/>
            <w:vMerge/>
            <w:shd w:val="clear" w:color="auto" w:fill="00B0B9"/>
            <w:vAlign w:val="center"/>
            <w:hideMark/>
          </w:tcPr>
          <w:p w14:paraId="365A8459" w14:textId="77777777" w:rsidR="001404F7" w:rsidRPr="00D13460" w:rsidRDefault="001404F7" w:rsidP="001404F7">
            <w:pPr>
              <w:rPr>
                <w:rFonts w:cs="Arial"/>
                <w:b/>
                <w:sz w:val="16"/>
                <w:szCs w:val="16"/>
              </w:rPr>
            </w:pPr>
          </w:p>
        </w:tc>
        <w:tc>
          <w:tcPr>
            <w:tcW w:w="1861" w:type="pct"/>
            <w:shd w:val="clear" w:color="auto" w:fill="D9D9D6"/>
            <w:hideMark/>
          </w:tcPr>
          <w:p w14:paraId="4994242C" w14:textId="77777777" w:rsidR="001404F7" w:rsidRPr="00B263E8" w:rsidRDefault="001404F7" w:rsidP="001404F7">
            <w:pPr>
              <w:keepNext/>
              <w:keepLines/>
              <w:spacing w:beforeLines="20" w:before="48" w:afterLines="20" w:after="48"/>
              <w:rPr>
                <w:rFonts w:cs="Arial"/>
                <w:sz w:val="16"/>
                <w:szCs w:val="16"/>
              </w:rPr>
            </w:pPr>
            <w:r>
              <w:rPr>
                <w:rFonts w:cs="Arial"/>
                <w:sz w:val="16"/>
                <w:szCs w:val="16"/>
              </w:rPr>
              <w:t>C</w:t>
            </w:r>
            <w:r w:rsidRPr="00B263E8">
              <w:rPr>
                <w:rFonts w:cs="Arial"/>
                <w:sz w:val="16"/>
                <w:szCs w:val="16"/>
              </w:rPr>
              <w:t xml:space="preserve">1.2.4 </w:t>
            </w:r>
            <w:r>
              <w:rPr>
                <w:rFonts w:cs="Arial"/>
                <w:sz w:val="16"/>
                <w:szCs w:val="16"/>
              </w:rPr>
              <w:t>–</w:t>
            </w:r>
            <w:r w:rsidRPr="00B263E8">
              <w:rPr>
                <w:rFonts w:cs="Arial"/>
                <w:sz w:val="16"/>
                <w:szCs w:val="16"/>
              </w:rPr>
              <w:t xml:space="preserve"> Percentage of recipients reporting employment income</w:t>
            </w:r>
          </w:p>
        </w:tc>
        <w:tc>
          <w:tcPr>
            <w:tcW w:w="815" w:type="pct"/>
            <w:shd w:val="clear" w:color="auto" w:fill="D9D9D6"/>
          </w:tcPr>
          <w:p w14:paraId="533C7DA8" w14:textId="77777777" w:rsidR="001404F7" w:rsidRPr="004862A8" w:rsidRDefault="001404F7" w:rsidP="001404F7">
            <w:pPr>
              <w:keepNext/>
              <w:keepLines/>
              <w:spacing w:beforeLines="20" w:before="48" w:afterLines="20" w:after="48"/>
              <w:rPr>
                <w:rFonts w:cs="Arial"/>
                <w:sz w:val="16"/>
                <w:szCs w:val="16"/>
              </w:rPr>
            </w:pPr>
            <w:r>
              <w:rPr>
                <w:sz w:val="16"/>
                <w:szCs w:val="16"/>
              </w:rPr>
              <w:t>1.3, 1.6, 1.8, 1.9, 1.10, 1.11</w:t>
            </w:r>
          </w:p>
        </w:tc>
        <w:tc>
          <w:tcPr>
            <w:tcW w:w="642" w:type="pct"/>
            <w:shd w:val="clear" w:color="auto" w:fill="D9D9D6"/>
          </w:tcPr>
          <w:p w14:paraId="52AD6F6B" w14:textId="77777777" w:rsidR="001404F7" w:rsidRPr="004862A8" w:rsidRDefault="001404F7" w:rsidP="001404F7">
            <w:pPr>
              <w:keepNext/>
              <w:keepLines/>
              <w:spacing w:beforeLines="20" w:before="48" w:afterLines="20" w:after="48"/>
              <w:rPr>
                <w:rFonts w:cs="Arial"/>
                <w:sz w:val="16"/>
                <w:szCs w:val="16"/>
              </w:rPr>
            </w:pPr>
            <w:r w:rsidRPr="004862A8">
              <w:rPr>
                <w:rFonts w:cs="Arial"/>
                <w:sz w:val="16"/>
                <w:szCs w:val="16"/>
              </w:rPr>
              <w:t>2.1.8</w:t>
            </w:r>
          </w:p>
        </w:tc>
      </w:tr>
      <w:tr w:rsidR="001404F7" w:rsidRPr="00B263E8" w14:paraId="0BD21E2A" w14:textId="77777777" w:rsidTr="001404F7">
        <w:trPr>
          <w:cnfStyle w:val="000000010000" w:firstRow="0" w:lastRow="0" w:firstColumn="0" w:lastColumn="0" w:oddVBand="0" w:evenVBand="0" w:oddHBand="0" w:evenHBand="1" w:firstRowFirstColumn="0" w:firstRowLastColumn="0" w:lastRowFirstColumn="0" w:lastRowLastColumn="0"/>
          <w:trHeight w:val="62"/>
        </w:trPr>
        <w:tc>
          <w:tcPr>
            <w:tcW w:w="770" w:type="pct"/>
            <w:vMerge/>
            <w:shd w:val="clear" w:color="auto" w:fill="005A70"/>
            <w:vAlign w:val="center"/>
            <w:hideMark/>
          </w:tcPr>
          <w:p w14:paraId="08538AA0" w14:textId="77777777" w:rsidR="001404F7" w:rsidRPr="00B263E8" w:rsidRDefault="001404F7" w:rsidP="001404F7">
            <w:pPr>
              <w:rPr>
                <w:b/>
                <w:color w:val="FFFFFF" w:themeColor="background1"/>
                <w:sz w:val="16"/>
                <w:szCs w:val="16"/>
              </w:rPr>
            </w:pPr>
          </w:p>
        </w:tc>
        <w:tc>
          <w:tcPr>
            <w:tcW w:w="911" w:type="pct"/>
            <w:vMerge/>
            <w:shd w:val="clear" w:color="auto" w:fill="00B0B9"/>
            <w:vAlign w:val="center"/>
            <w:hideMark/>
          </w:tcPr>
          <w:p w14:paraId="07F9C1BE" w14:textId="77777777" w:rsidR="001404F7" w:rsidRPr="00D13460" w:rsidRDefault="001404F7" w:rsidP="001404F7">
            <w:pPr>
              <w:rPr>
                <w:b/>
                <w:sz w:val="16"/>
                <w:szCs w:val="16"/>
              </w:rPr>
            </w:pPr>
          </w:p>
        </w:tc>
        <w:tc>
          <w:tcPr>
            <w:tcW w:w="1861" w:type="pct"/>
            <w:shd w:val="clear" w:color="auto" w:fill="D9D9D6"/>
            <w:hideMark/>
          </w:tcPr>
          <w:p w14:paraId="138A508C" w14:textId="77777777" w:rsidR="001404F7" w:rsidRPr="00B263E8" w:rsidRDefault="001404F7" w:rsidP="001404F7">
            <w:pPr>
              <w:keepNext/>
              <w:keepLines/>
              <w:spacing w:beforeLines="20" w:before="48" w:afterLines="20" w:after="48"/>
              <w:rPr>
                <w:sz w:val="16"/>
                <w:szCs w:val="16"/>
              </w:rPr>
            </w:pPr>
            <w:r>
              <w:rPr>
                <w:rFonts w:cs="Times New Roman"/>
                <w:sz w:val="16"/>
                <w:szCs w:val="16"/>
              </w:rPr>
              <w:t>C</w:t>
            </w:r>
            <w:r w:rsidRPr="00B263E8">
              <w:rPr>
                <w:rFonts w:cs="Times New Roman"/>
                <w:sz w:val="16"/>
                <w:szCs w:val="16"/>
              </w:rPr>
              <w:t xml:space="preserve">1.2.5 </w:t>
            </w:r>
            <w:r>
              <w:rPr>
                <w:rFonts w:cs="Times New Roman"/>
                <w:sz w:val="16"/>
                <w:szCs w:val="16"/>
              </w:rPr>
              <w:t>–</w:t>
            </w:r>
            <w:r w:rsidRPr="00B263E8">
              <w:rPr>
                <w:rFonts w:cs="Times New Roman"/>
                <w:sz w:val="16"/>
                <w:szCs w:val="16"/>
              </w:rPr>
              <w:t xml:space="preserve"> Percentage of recipients receiving a part rate of payment due to income or assets test</w:t>
            </w:r>
          </w:p>
        </w:tc>
        <w:tc>
          <w:tcPr>
            <w:tcW w:w="815" w:type="pct"/>
            <w:shd w:val="clear" w:color="auto" w:fill="D9D9D6"/>
          </w:tcPr>
          <w:p w14:paraId="3C40B904" w14:textId="77777777" w:rsidR="001404F7" w:rsidRPr="004862A8" w:rsidRDefault="001404F7" w:rsidP="001404F7">
            <w:pPr>
              <w:keepNext/>
              <w:keepLines/>
              <w:spacing w:beforeLines="20" w:before="48" w:afterLines="20" w:after="48"/>
              <w:rPr>
                <w:rFonts w:cs="Times New Roman"/>
                <w:sz w:val="16"/>
                <w:szCs w:val="16"/>
              </w:rPr>
            </w:pPr>
            <w:r>
              <w:rPr>
                <w:rFonts w:cs="Times New Roman"/>
                <w:sz w:val="16"/>
                <w:szCs w:val="16"/>
              </w:rPr>
              <w:t xml:space="preserve">1.1, </w:t>
            </w:r>
            <w:r w:rsidRPr="00A774E8">
              <w:rPr>
                <w:rFonts w:cs="Times New Roman"/>
                <w:sz w:val="16"/>
                <w:szCs w:val="16"/>
              </w:rPr>
              <w:t>1.3, 1.6, 1.8, 1.9, 1.10, 1.11</w:t>
            </w:r>
          </w:p>
        </w:tc>
        <w:tc>
          <w:tcPr>
            <w:tcW w:w="642" w:type="pct"/>
            <w:shd w:val="clear" w:color="auto" w:fill="D9D9D6"/>
          </w:tcPr>
          <w:p w14:paraId="1A06A419" w14:textId="77777777" w:rsidR="001404F7" w:rsidRPr="004862A8" w:rsidRDefault="001404F7" w:rsidP="001404F7">
            <w:pPr>
              <w:keepNext/>
              <w:keepLines/>
              <w:spacing w:beforeLines="20" w:before="48" w:afterLines="20" w:after="48"/>
              <w:rPr>
                <w:rFonts w:cs="Times New Roman"/>
                <w:sz w:val="16"/>
                <w:szCs w:val="16"/>
              </w:rPr>
            </w:pPr>
            <w:r w:rsidRPr="004862A8">
              <w:rPr>
                <w:rFonts w:cs="Times New Roman"/>
                <w:sz w:val="16"/>
                <w:szCs w:val="16"/>
              </w:rPr>
              <w:t>2.1.9a</w:t>
            </w:r>
            <w:r>
              <w:rPr>
                <w:rFonts w:cs="Times New Roman"/>
                <w:sz w:val="16"/>
                <w:szCs w:val="16"/>
              </w:rPr>
              <w:t xml:space="preserve">, </w:t>
            </w:r>
            <w:r w:rsidRPr="004862A8">
              <w:rPr>
                <w:rFonts w:cs="Times New Roman"/>
                <w:sz w:val="16"/>
                <w:szCs w:val="16"/>
              </w:rPr>
              <w:t>2.1.9b</w:t>
            </w:r>
            <w:r>
              <w:rPr>
                <w:rFonts w:cs="Times New Roman"/>
                <w:sz w:val="16"/>
                <w:szCs w:val="16"/>
              </w:rPr>
              <w:t xml:space="preserve">, </w:t>
            </w:r>
            <w:r w:rsidRPr="004862A8">
              <w:rPr>
                <w:rFonts w:cs="Times New Roman"/>
                <w:sz w:val="16"/>
                <w:szCs w:val="16"/>
              </w:rPr>
              <w:t>2.1.9c</w:t>
            </w:r>
          </w:p>
        </w:tc>
      </w:tr>
      <w:tr w:rsidR="001404F7" w:rsidRPr="00B263E8" w14:paraId="477D4CF0" w14:textId="77777777" w:rsidTr="001404F7">
        <w:trPr>
          <w:trHeight w:val="204"/>
        </w:trPr>
        <w:tc>
          <w:tcPr>
            <w:tcW w:w="770" w:type="pct"/>
            <w:vMerge w:val="restart"/>
            <w:shd w:val="clear" w:color="auto" w:fill="005A70"/>
            <w:hideMark/>
          </w:tcPr>
          <w:p w14:paraId="16DBE4E3" w14:textId="77777777" w:rsidR="001404F7" w:rsidRPr="00B263E8" w:rsidRDefault="001404F7" w:rsidP="001404F7">
            <w:pPr>
              <w:keepNext/>
              <w:keepLines/>
              <w:spacing w:beforeLines="20" w:before="48" w:afterLines="20" w:after="48"/>
              <w:rPr>
                <w:rFonts w:cs="Arial"/>
                <w:color w:val="FFFFFF" w:themeColor="background1"/>
                <w:sz w:val="16"/>
                <w:szCs w:val="16"/>
              </w:rPr>
            </w:pPr>
            <w:r w:rsidRPr="00B263E8">
              <w:rPr>
                <w:rFonts w:cs="Arial"/>
                <w:b/>
                <w:color w:val="FFFFFF" w:themeColor="background1"/>
                <w:sz w:val="16"/>
                <w:szCs w:val="16"/>
              </w:rPr>
              <w:t>Intermediate Outcome — How well did we do?</w:t>
            </w:r>
          </w:p>
        </w:tc>
        <w:tc>
          <w:tcPr>
            <w:tcW w:w="911" w:type="pct"/>
            <w:vMerge w:val="restart"/>
            <w:shd w:val="clear" w:color="auto" w:fill="00B0B9"/>
            <w:hideMark/>
          </w:tcPr>
          <w:p w14:paraId="0CE891B7" w14:textId="77777777" w:rsidR="001404F7" w:rsidRPr="00D13460" w:rsidRDefault="001404F7" w:rsidP="001404F7">
            <w:pPr>
              <w:keepNext/>
              <w:keepLines/>
              <w:spacing w:beforeLines="20" w:before="48" w:afterLines="20" w:after="48"/>
              <w:rPr>
                <w:rFonts w:cs="Arial"/>
                <w:b/>
                <w:sz w:val="16"/>
                <w:szCs w:val="16"/>
              </w:rPr>
            </w:pPr>
            <w:r w:rsidRPr="00D13460">
              <w:rPr>
                <w:rFonts w:cs="Arial"/>
                <w:b/>
                <w:iCs/>
                <w:sz w:val="16"/>
                <w:szCs w:val="16"/>
              </w:rPr>
              <w:t>C1.3 – Extent to which payments are made to, or with respect to, people unable to fully support themselves</w:t>
            </w:r>
          </w:p>
        </w:tc>
        <w:tc>
          <w:tcPr>
            <w:tcW w:w="1861" w:type="pct"/>
            <w:shd w:val="clear" w:color="auto" w:fill="D9D9D6"/>
            <w:hideMark/>
          </w:tcPr>
          <w:p w14:paraId="512AC444" w14:textId="77777777" w:rsidR="001404F7" w:rsidRPr="00B263E8" w:rsidRDefault="001404F7" w:rsidP="001404F7">
            <w:pPr>
              <w:keepNext/>
              <w:keepLines/>
              <w:spacing w:beforeLines="20" w:before="48" w:afterLines="20" w:after="48"/>
              <w:rPr>
                <w:rFonts w:cs="Arial"/>
                <w:b/>
                <w:sz w:val="16"/>
                <w:szCs w:val="16"/>
              </w:rPr>
            </w:pPr>
            <w:r>
              <w:rPr>
                <w:rFonts w:cs="Arial"/>
                <w:sz w:val="16"/>
                <w:szCs w:val="16"/>
              </w:rPr>
              <w:t>C</w:t>
            </w:r>
            <w:r w:rsidRPr="00B263E8">
              <w:rPr>
                <w:rFonts w:cs="Arial"/>
                <w:sz w:val="16"/>
                <w:szCs w:val="16"/>
              </w:rPr>
              <w:t xml:space="preserve">1.3.1 </w:t>
            </w:r>
            <w:r>
              <w:rPr>
                <w:rFonts w:cs="Arial"/>
                <w:sz w:val="16"/>
                <w:szCs w:val="16"/>
              </w:rPr>
              <w:t>–</w:t>
            </w:r>
            <w:r w:rsidRPr="00B263E8">
              <w:rPr>
                <w:rFonts w:cs="Arial"/>
                <w:sz w:val="16"/>
                <w:szCs w:val="16"/>
              </w:rPr>
              <w:t xml:space="preserve"> Percentage of targeted population who receive payment</w:t>
            </w:r>
          </w:p>
        </w:tc>
        <w:tc>
          <w:tcPr>
            <w:tcW w:w="815" w:type="pct"/>
            <w:shd w:val="clear" w:color="auto" w:fill="D9D9D6"/>
          </w:tcPr>
          <w:p w14:paraId="70B833AD" w14:textId="3F6C3481" w:rsidR="001404F7" w:rsidRPr="004862A8" w:rsidRDefault="00A6361B" w:rsidP="001404F7">
            <w:pPr>
              <w:keepNext/>
              <w:keepLines/>
              <w:spacing w:beforeLines="20" w:before="48" w:afterLines="20" w:after="48"/>
              <w:rPr>
                <w:rFonts w:cs="Arial"/>
                <w:sz w:val="16"/>
                <w:szCs w:val="16"/>
              </w:rPr>
            </w:pPr>
            <w:r w:rsidRPr="006A0E9A">
              <w:rPr>
                <w:rFonts w:cs="Arial"/>
                <w:sz w:val="16"/>
                <w:szCs w:val="16"/>
              </w:rPr>
              <w:t>1.1,</w:t>
            </w:r>
            <w:r>
              <w:rPr>
                <w:rFonts w:cs="Arial"/>
                <w:sz w:val="16"/>
                <w:szCs w:val="16"/>
              </w:rPr>
              <w:t xml:space="preserve"> </w:t>
            </w:r>
            <w:r w:rsidR="001404F7">
              <w:rPr>
                <w:rFonts w:cs="Arial"/>
                <w:sz w:val="16"/>
                <w:szCs w:val="16"/>
              </w:rPr>
              <w:t>1.6, 1.8, 1.9</w:t>
            </w:r>
          </w:p>
        </w:tc>
        <w:tc>
          <w:tcPr>
            <w:tcW w:w="642" w:type="pct"/>
            <w:shd w:val="clear" w:color="auto" w:fill="D9D9D6"/>
          </w:tcPr>
          <w:p w14:paraId="65A35EEB" w14:textId="77777777" w:rsidR="001404F7" w:rsidRPr="004862A8" w:rsidRDefault="001404F7" w:rsidP="001404F7">
            <w:pPr>
              <w:keepNext/>
              <w:keepLines/>
              <w:spacing w:beforeLines="20" w:before="48" w:afterLines="20" w:after="48"/>
              <w:rPr>
                <w:rFonts w:cs="Arial"/>
                <w:sz w:val="16"/>
                <w:szCs w:val="16"/>
              </w:rPr>
            </w:pPr>
            <w:r w:rsidRPr="004862A8">
              <w:rPr>
                <w:rFonts w:cs="Arial"/>
                <w:sz w:val="16"/>
                <w:szCs w:val="16"/>
              </w:rPr>
              <w:t>2.1.10a</w:t>
            </w:r>
            <w:r>
              <w:rPr>
                <w:rFonts w:cs="Arial"/>
                <w:sz w:val="16"/>
                <w:szCs w:val="16"/>
              </w:rPr>
              <w:t xml:space="preserve">, </w:t>
            </w:r>
            <w:r w:rsidRPr="004862A8">
              <w:rPr>
                <w:rFonts w:cs="Arial"/>
                <w:sz w:val="16"/>
                <w:szCs w:val="16"/>
              </w:rPr>
              <w:t>2.1.10b</w:t>
            </w:r>
          </w:p>
        </w:tc>
      </w:tr>
      <w:tr w:rsidR="001404F7" w:rsidRPr="00B263E8" w14:paraId="0878F951" w14:textId="77777777" w:rsidTr="001404F7">
        <w:trPr>
          <w:cnfStyle w:val="000000010000" w:firstRow="0" w:lastRow="0" w:firstColumn="0" w:lastColumn="0" w:oddVBand="0" w:evenVBand="0" w:oddHBand="0" w:evenHBand="1" w:firstRowFirstColumn="0" w:firstRowLastColumn="0" w:lastRowFirstColumn="0" w:lastRowLastColumn="0"/>
          <w:trHeight w:val="126"/>
        </w:trPr>
        <w:tc>
          <w:tcPr>
            <w:tcW w:w="770" w:type="pct"/>
            <w:vMerge/>
            <w:shd w:val="clear" w:color="auto" w:fill="005A70"/>
          </w:tcPr>
          <w:p w14:paraId="2CFD7EC9" w14:textId="77777777" w:rsidR="001404F7" w:rsidRPr="00B263E8" w:rsidRDefault="001404F7" w:rsidP="001404F7">
            <w:pPr>
              <w:keepNext/>
              <w:keepLines/>
              <w:spacing w:beforeLines="20" w:before="48" w:afterLines="20" w:after="48"/>
              <w:rPr>
                <w:b/>
                <w:color w:val="FFFFFF" w:themeColor="background1"/>
                <w:sz w:val="16"/>
                <w:szCs w:val="16"/>
              </w:rPr>
            </w:pPr>
          </w:p>
        </w:tc>
        <w:tc>
          <w:tcPr>
            <w:tcW w:w="911" w:type="pct"/>
            <w:vMerge/>
            <w:shd w:val="clear" w:color="auto" w:fill="00B0B9"/>
          </w:tcPr>
          <w:p w14:paraId="13F5B891" w14:textId="77777777" w:rsidR="001404F7" w:rsidRPr="00D13460" w:rsidRDefault="001404F7" w:rsidP="001404F7">
            <w:pPr>
              <w:keepNext/>
              <w:keepLines/>
              <w:spacing w:beforeLines="20" w:before="48" w:afterLines="20" w:after="48"/>
              <w:rPr>
                <w:b/>
                <w:iCs/>
                <w:sz w:val="16"/>
                <w:szCs w:val="16"/>
              </w:rPr>
            </w:pPr>
          </w:p>
        </w:tc>
        <w:tc>
          <w:tcPr>
            <w:tcW w:w="1861" w:type="pct"/>
            <w:shd w:val="clear" w:color="auto" w:fill="D9D9D6"/>
          </w:tcPr>
          <w:p w14:paraId="54B65A75" w14:textId="77777777" w:rsidR="001404F7" w:rsidRPr="00B263E8" w:rsidRDefault="001404F7" w:rsidP="001404F7">
            <w:pPr>
              <w:keepNext/>
              <w:keepLines/>
              <w:spacing w:beforeLines="20" w:before="48" w:afterLines="20" w:after="48"/>
              <w:rPr>
                <w:sz w:val="16"/>
                <w:szCs w:val="16"/>
              </w:rPr>
            </w:pPr>
            <w:r>
              <w:rPr>
                <w:sz w:val="16"/>
                <w:szCs w:val="16"/>
              </w:rPr>
              <w:t>C</w:t>
            </w:r>
            <w:r w:rsidRPr="00B263E8">
              <w:rPr>
                <w:sz w:val="16"/>
                <w:szCs w:val="16"/>
              </w:rPr>
              <w:t xml:space="preserve">1.3.2 </w:t>
            </w:r>
            <w:r>
              <w:rPr>
                <w:sz w:val="16"/>
                <w:szCs w:val="16"/>
              </w:rPr>
              <w:t>–</w:t>
            </w:r>
            <w:r w:rsidRPr="00B263E8">
              <w:rPr>
                <w:sz w:val="16"/>
                <w:szCs w:val="16"/>
              </w:rPr>
              <w:t xml:space="preserve"> Percentage of recipients aligned to specific policy objectives or payment conditions</w:t>
            </w:r>
          </w:p>
        </w:tc>
        <w:tc>
          <w:tcPr>
            <w:tcW w:w="815" w:type="pct"/>
            <w:shd w:val="clear" w:color="auto" w:fill="D9D9D6"/>
          </w:tcPr>
          <w:p w14:paraId="72B914CA" w14:textId="77777777" w:rsidR="001404F7" w:rsidRPr="004862A8" w:rsidRDefault="001404F7" w:rsidP="001404F7">
            <w:pPr>
              <w:keepNext/>
              <w:keepLines/>
              <w:spacing w:beforeLines="20" w:before="48" w:afterLines="20" w:after="48"/>
              <w:rPr>
                <w:sz w:val="16"/>
                <w:szCs w:val="16"/>
              </w:rPr>
            </w:pPr>
            <w:r>
              <w:rPr>
                <w:sz w:val="16"/>
                <w:szCs w:val="16"/>
              </w:rPr>
              <w:t>1.1, 1.6</w:t>
            </w:r>
          </w:p>
        </w:tc>
        <w:tc>
          <w:tcPr>
            <w:tcW w:w="642" w:type="pct"/>
            <w:shd w:val="clear" w:color="auto" w:fill="D9D9D6"/>
          </w:tcPr>
          <w:p w14:paraId="415F84DD" w14:textId="77777777" w:rsidR="001404F7" w:rsidRPr="004862A8" w:rsidRDefault="001404F7" w:rsidP="001404F7">
            <w:pPr>
              <w:keepNext/>
              <w:keepLines/>
              <w:spacing w:beforeLines="20" w:before="48" w:afterLines="20" w:after="48"/>
              <w:rPr>
                <w:sz w:val="16"/>
                <w:szCs w:val="16"/>
              </w:rPr>
            </w:pPr>
            <w:r w:rsidRPr="004862A8">
              <w:rPr>
                <w:sz w:val="16"/>
                <w:szCs w:val="16"/>
              </w:rPr>
              <w:t>2.1.11a</w:t>
            </w:r>
            <w:r>
              <w:rPr>
                <w:sz w:val="16"/>
                <w:szCs w:val="16"/>
              </w:rPr>
              <w:t xml:space="preserve">, </w:t>
            </w:r>
            <w:r w:rsidRPr="004862A8">
              <w:rPr>
                <w:sz w:val="16"/>
                <w:szCs w:val="16"/>
              </w:rPr>
              <w:t>2.1.11b</w:t>
            </w:r>
            <w:r>
              <w:rPr>
                <w:sz w:val="16"/>
                <w:szCs w:val="16"/>
              </w:rPr>
              <w:t xml:space="preserve">, </w:t>
            </w:r>
            <w:r w:rsidRPr="004862A8">
              <w:rPr>
                <w:sz w:val="16"/>
                <w:szCs w:val="16"/>
              </w:rPr>
              <w:t>2.1.11c</w:t>
            </w:r>
          </w:p>
        </w:tc>
      </w:tr>
      <w:tr w:rsidR="001404F7" w:rsidRPr="00B263E8" w14:paraId="0A60328F" w14:textId="77777777" w:rsidTr="001404F7">
        <w:trPr>
          <w:trHeight w:val="473"/>
        </w:trPr>
        <w:tc>
          <w:tcPr>
            <w:tcW w:w="770" w:type="pct"/>
            <w:vMerge/>
            <w:shd w:val="clear" w:color="auto" w:fill="005A70"/>
          </w:tcPr>
          <w:p w14:paraId="2401428A" w14:textId="77777777" w:rsidR="001404F7" w:rsidRPr="00B263E8" w:rsidRDefault="001404F7" w:rsidP="001404F7">
            <w:pPr>
              <w:keepNext/>
              <w:keepLines/>
              <w:spacing w:beforeLines="20" w:before="48" w:afterLines="20" w:after="48"/>
              <w:rPr>
                <w:rFonts w:cs="Arial"/>
                <w:b/>
                <w:color w:val="FFFFFF" w:themeColor="background1"/>
                <w:sz w:val="16"/>
                <w:szCs w:val="16"/>
              </w:rPr>
            </w:pPr>
          </w:p>
        </w:tc>
        <w:tc>
          <w:tcPr>
            <w:tcW w:w="911" w:type="pct"/>
            <w:vMerge/>
            <w:shd w:val="clear" w:color="auto" w:fill="00B0B9"/>
          </w:tcPr>
          <w:p w14:paraId="5F625EC1" w14:textId="77777777" w:rsidR="001404F7" w:rsidRPr="00D13460" w:rsidRDefault="001404F7" w:rsidP="001404F7">
            <w:pPr>
              <w:keepNext/>
              <w:keepLines/>
              <w:spacing w:beforeLines="20" w:before="48" w:afterLines="20" w:after="48"/>
              <w:rPr>
                <w:rFonts w:cs="Arial"/>
                <w:b/>
                <w:iCs/>
                <w:sz w:val="16"/>
                <w:szCs w:val="16"/>
              </w:rPr>
            </w:pPr>
          </w:p>
        </w:tc>
        <w:tc>
          <w:tcPr>
            <w:tcW w:w="1861" w:type="pct"/>
            <w:shd w:val="clear" w:color="auto" w:fill="D9D9D6"/>
          </w:tcPr>
          <w:p w14:paraId="5BD9FBE9" w14:textId="77777777" w:rsidR="001404F7" w:rsidRPr="00B263E8" w:rsidRDefault="001404F7" w:rsidP="001404F7">
            <w:pPr>
              <w:keepNext/>
              <w:keepLines/>
              <w:spacing w:beforeLines="20" w:before="48" w:afterLines="20" w:after="48"/>
              <w:rPr>
                <w:rFonts w:cs="Arial"/>
                <w:sz w:val="16"/>
                <w:szCs w:val="16"/>
              </w:rPr>
            </w:pPr>
            <w:r>
              <w:rPr>
                <w:rFonts w:cs="Arial"/>
                <w:sz w:val="16"/>
                <w:szCs w:val="16"/>
              </w:rPr>
              <w:t>C</w:t>
            </w:r>
            <w:r w:rsidRPr="00B263E8">
              <w:rPr>
                <w:rFonts w:cs="Arial"/>
                <w:sz w:val="16"/>
                <w:szCs w:val="16"/>
              </w:rPr>
              <w:t xml:space="preserve">1.3.3 </w:t>
            </w:r>
            <w:r>
              <w:rPr>
                <w:rFonts w:cs="Arial"/>
                <w:sz w:val="16"/>
                <w:szCs w:val="16"/>
              </w:rPr>
              <w:t>–</w:t>
            </w:r>
            <w:r w:rsidRPr="00B263E8">
              <w:rPr>
                <w:rFonts w:cs="Arial"/>
                <w:sz w:val="16"/>
                <w:szCs w:val="16"/>
              </w:rPr>
              <w:t xml:space="preserve"> Percentage of Commonwealth Rent Assistance income units in rental stress before and after receiving Commonwealth Rent Assistance</w:t>
            </w:r>
          </w:p>
        </w:tc>
        <w:tc>
          <w:tcPr>
            <w:tcW w:w="815" w:type="pct"/>
            <w:shd w:val="clear" w:color="auto" w:fill="D9D9D6"/>
          </w:tcPr>
          <w:p w14:paraId="54A205C4" w14:textId="77777777" w:rsidR="001404F7" w:rsidRPr="004862A8" w:rsidRDefault="001404F7" w:rsidP="001404F7">
            <w:pPr>
              <w:keepNext/>
              <w:keepLines/>
              <w:spacing w:beforeLines="20" w:before="48" w:afterLines="20" w:after="48"/>
              <w:rPr>
                <w:rFonts w:cs="Arial"/>
                <w:sz w:val="16"/>
                <w:szCs w:val="16"/>
              </w:rPr>
            </w:pPr>
            <w:r>
              <w:rPr>
                <w:rFonts w:cs="Arial"/>
                <w:sz w:val="16"/>
                <w:szCs w:val="16"/>
              </w:rPr>
              <w:t>XPRA</w:t>
            </w:r>
          </w:p>
        </w:tc>
        <w:tc>
          <w:tcPr>
            <w:tcW w:w="642" w:type="pct"/>
            <w:shd w:val="clear" w:color="auto" w:fill="D9D9D6"/>
          </w:tcPr>
          <w:p w14:paraId="66C40E29" w14:textId="77777777" w:rsidR="001404F7" w:rsidRPr="004862A8" w:rsidRDefault="001404F7" w:rsidP="001404F7">
            <w:pPr>
              <w:keepNext/>
              <w:keepLines/>
              <w:spacing w:beforeLines="20" w:before="48" w:afterLines="20" w:after="48"/>
              <w:rPr>
                <w:rFonts w:cs="Arial"/>
                <w:sz w:val="16"/>
                <w:szCs w:val="16"/>
              </w:rPr>
            </w:pPr>
            <w:r w:rsidRPr="004862A8">
              <w:rPr>
                <w:rFonts w:cs="Arial"/>
                <w:sz w:val="16"/>
                <w:szCs w:val="16"/>
              </w:rPr>
              <w:t>2.1.12</w:t>
            </w:r>
          </w:p>
        </w:tc>
      </w:tr>
      <w:tr w:rsidR="001404F7" w:rsidRPr="00B263E8" w14:paraId="32247340" w14:textId="77777777" w:rsidTr="001404F7">
        <w:trPr>
          <w:cnfStyle w:val="000000010000" w:firstRow="0" w:lastRow="0" w:firstColumn="0" w:lastColumn="0" w:oddVBand="0" w:evenVBand="0" w:oddHBand="0" w:evenHBand="1" w:firstRowFirstColumn="0" w:firstRowLastColumn="0" w:lastRowFirstColumn="0" w:lastRowLastColumn="0"/>
          <w:trHeight w:val="435"/>
        </w:trPr>
        <w:tc>
          <w:tcPr>
            <w:tcW w:w="770" w:type="pct"/>
            <w:vMerge/>
            <w:shd w:val="clear" w:color="auto" w:fill="005A70"/>
            <w:vAlign w:val="center"/>
            <w:hideMark/>
          </w:tcPr>
          <w:p w14:paraId="27804E80" w14:textId="77777777" w:rsidR="001404F7" w:rsidRPr="00B263E8" w:rsidRDefault="001404F7" w:rsidP="001404F7">
            <w:pPr>
              <w:rPr>
                <w:color w:val="FFFFFF" w:themeColor="background1"/>
                <w:sz w:val="16"/>
                <w:szCs w:val="16"/>
              </w:rPr>
            </w:pPr>
          </w:p>
        </w:tc>
        <w:tc>
          <w:tcPr>
            <w:tcW w:w="911" w:type="pct"/>
            <w:vMerge w:val="restart"/>
            <w:shd w:val="clear" w:color="auto" w:fill="00B0B9"/>
            <w:hideMark/>
          </w:tcPr>
          <w:p w14:paraId="005040F9" w14:textId="77777777" w:rsidR="001404F7" w:rsidRPr="00D13460" w:rsidRDefault="001404F7" w:rsidP="001404F7">
            <w:pPr>
              <w:keepNext/>
              <w:keepLines/>
              <w:spacing w:beforeLines="10" w:before="24" w:afterLines="10" w:after="24"/>
              <w:rPr>
                <w:b/>
                <w:sz w:val="16"/>
                <w:szCs w:val="16"/>
              </w:rPr>
            </w:pPr>
            <w:r w:rsidRPr="00D13460">
              <w:rPr>
                <w:rFonts w:cs="Times New Roman"/>
                <w:b/>
                <w:sz w:val="16"/>
                <w:szCs w:val="16"/>
              </w:rPr>
              <w:t>C1.4 – Extent to which delivery meets program objective</w:t>
            </w:r>
          </w:p>
        </w:tc>
        <w:tc>
          <w:tcPr>
            <w:tcW w:w="1861" w:type="pct"/>
            <w:shd w:val="clear" w:color="auto" w:fill="D9D9D6"/>
            <w:hideMark/>
          </w:tcPr>
          <w:p w14:paraId="21D933FA" w14:textId="77777777" w:rsidR="001404F7" w:rsidRPr="00B263E8" w:rsidRDefault="001404F7" w:rsidP="001404F7">
            <w:pPr>
              <w:keepNext/>
              <w:keepLines/>
              <w:spacing w:beforeLines="10" w:before="24" w:afterLines="10" w:after="24"/>
              <w:rPr>
                <w:rFonts w:cs="Times New Roman"/>
                <w:sz w:val="16"/>
                <w:szCs w:val="16"/>
              </w:rPr>
            </w:pPr>
            <w:r>
              <w:rPr>
                <w:rFonts w:cs="Times New Roman"/>
                <w:bCs/>
                <w:sz w:val="16"/>
                <w:szCs w:val="16"/>
              </w:rPr>
              <w:t>C</w:t>
            </w:r>
            <w:r w:rsidRPr="00B263E8">
              <w:rPr>
                <w:rFonts w:cs="Times New Roman"/>
                <w:bCs/>
                <w:sz w:val="16"/>
                <w:szCs w:val="16"/>
              </w:rPr>
              <w:t xml:space="preserve">1.4.1 </w:t>
            </w:r>
            <w:r>
              <w:rPr>
                <w:rFonts w:cs="Times New Roman"/>
                <w:bCs/>
                <w:sz w:val="16"/>
                <w:szCs w:val="16"/>
              </w:rPr>
              <w:t>–</w:t>
            </w:r>
            <w:r w:rsidRPr="00B263E8">
              <w:rPr>
                <w:rFonts w:cs="Times New Roman"/>
                <w:bCs/>
                <w:sz w:val="16"/>
                <w:szCs w:val="16"/>
              </w:rPr>
              <w:t xml:space="preserve"> Program performance criteria and associated milestones/standards (PBS)</w:t>
            </w:r>
          </w:p>
        </w:tc>
        <w:tc>
          <w:tcPr>
            <w:tcW w:w="815" w:type="pct"/>
            <w:shd w:val="clear" w:color="auto" w:fill="D9D9D6"/>
          </w:tcPr>
          <w:p w14:paraId="24ABB50C" w14:textId="77777777" w:rsidR="001404F7" w:rsidRPr="001B33AA" w:rsidRDefault="001404F7" w:rsidP="001404F7">
            <w:pPr>
              <w:keepNext/>
              <w:keepLines/>
              <w:spacing w:beforeLines="10" w:before="24" w:afterLines="10" w:after="24"/>
              <w:rPr>
                <w:rFonts w:cs="Times New Roman"/>
                <w:bCs/>
                <w:sz w:val="16"/>
                <w:szCs w:val="16"/>
              </w:rPr>
            </w:pPr>
            <w:r>
              <w:rPr>
                <w:rFonts w:cs="Times New Roman"/>
                <w:bCs/>
                <w:sz w:val="16"/>
                <w:szCs w:val="16"/>
              </w:rPr>
              <w:t>1</w:t>
            </w:r>
            <w:r w:rsidRPr="00F6386B">
              <w:rPr>
                <w:rFonts w:cs="Times New Roman"/>
                <w:bCs/>
                <w:sz w:val="16"/>
                <w:szCs w:val="16"/>
              </w:rPr>
              <w:t xml:space="preserve">.1, </w:t>
            </w:r>
            <w:r>
              <w:rPr>
                <w:rFonts w:cs="Times New Roman"/>
                <w:bCs/>
                <w:sz w:val="16"/>
                <w:szCs w:val="16"/>
              </w:rPr>
              <w:t xml:space="preserve">1.2, </w:t>
            </w:r>
            <w:r w:rsidRPr="00F6386B">
              <w:rPr>
                <w:rFonts w:cs="Times New Roman"/>
                <w:bCs/>
                <w:sz w:val="16"/>
                <w:szCs w:val="16"/>
              </w:rPr>
              <w:t>1.3,</w:t>
            </w:r>
            <w:r>
              <w:rPr>
                <w:rFonts w:cs="Times New Roman"/>
                <w:bCs/>
                <w:sz w:val="16"/>
                <w:szCs w:val="16"/>
              </w:rPr>
              <w:t xml:space="preserve"> 1.4,</w:t>
            </w:r>
            <w:r w:rsidRPr="00F6386B">
              <w:rPr>
                <w:rFonts w:cs="Times New Roman"/>
                <w:bCs/>
                <w:sz w:val="16"/>
                <w:szCs w:val="16"/>
              </w:rPr>
              <w:t xml:space="preserve"> </w:t>
            </w:r>
            <w:r>
              <w:rPr>
                <w:rFonts w:cs="Times New Roman"/>
                <w:bCs/>
                <w:sz w:val="16"/>
                <w:szCs w:val="16"/>
              </w:rPr>
              <w:t xml:space="preserve">1.5, </w:t>
            </w:r>
            <w:r w:rsidRPr="00F6386B">
              <w:rPr>
                <w:rFonts w:cs="Times New Roman"/>
                <w:bCs/>
                <w:sz w:val="16"/>
                <w:szCs w:val="16"/>
              </w:rPr>
              <w:t xml:space="preserve">1.6, </w:t>
            </w:r>
            <w:r>
              <w:rPr>
                <w:rFonts w:cs="Times New Roman"/>
                <w:bCs/>
                <w:sz w:val="16"/>
                <w:szCs w:val="16"/>
              </w:rPr>
              <w:t xml:space="preserve">1.7, </w:t>
            </w:r>
            <w:r w:rsidRPr="00F6386B">
              <w:rPr>
                <w:rFonts w:cs="Times New Roman"/>
                <w:bCs/>
                <w:sz w:val="16"/>
                <w:szCs w:val="16"/>
              </w:rPr>
              <w:t>1.8, 1.9, 1.10, 1.11</w:t>
            </w:r>
            <w:r>
              <w:rPr>
                <w:rFonts w:cs="Times New Roman"/>
                <w:bCs/>
                <w:sz w:val="16"/>
                <w:szCs w:val="16"/>
              </w:rPr>
              <w:t>, XPRA</w:t>
            </w:r>
          </w:p>
        </w:tc>
        <w:tc>
          <w:tcPr>
            <w:tcW w:w="642" w:type="pct"/>
            <w:shd w:val="clear" w:color="auto" w:fill="D9D9D6"/>
          </w:tcPr>
          <w:p w14:paraId="6A4D4A33" w14:textId="77777777" w:rsidR="001404F7" w:rsidRPr="004862A8" w:rsidRDefault="001404F7" w:rsidP="001404F7">
            <w:pPr>
              <w:keepNext/>
              <w:keepLines/>
              <w:spacing w:beforeLines="10" w:before="24" w:afterLines="10" w:after="24"/>
              <w:rPr>
                <w:rFonts w:cs="Times New Roman"/>
                <w:bCs/>
                <w:sz w:val="16"/>
                <w:szCs w:val="16"/>
              </w:rPr>
            </w:pPr>
            <w:r w:rsidRPr="001B33AA">
              <w:rPr>
                <w:rFonts w:cs="Times New Roman"/>
                <w:bCs/>
                <w:sz w:val="16"/>
                <w:szCs w:val="16"/>
              </w:rPr>
              <w:t>2.1.2</w:t>
            </w:r>
          </w:p>
        </w:tc>
      </w:tr>
      <w:tr w:rsidR="001404F7" w:rsidRPr="00B263E8" w14:paraId="40EFF859" w14:textId="77777777" w:rsidTr="001404F7">
        <w:trPr>
          <w:trHeight w:val="25"/>
        </w:trPr>
        <w:tc>
          <w:tcPr>
            <w:tcW w:w="770" w:type="pct"/>
            <w:vMerge/>
            <w:shd w:val="clear" w:color="auto" w:fill="005A70"/>
            <w:vAlign w:val="center"/>
            <w:hideMark/>
          </w:tcPr>
          <w:p w14:paraId="3B66273B" w14:textId="77777777" w:rsidR="001404F7" w:rsidRPr="00B263E8" w:rsidRDefault="001404F7" w:rsidP="001404F7">
            <w:pPr>
              <w:rPr>
                <w:rFonts w:cs="Arial"/>
                <w:color w:val="FFFFFF" w:themeColor="background1"/>
                <w:sz w:val="16"/>
                <w:szCs w:val="16"/>
              </w:rPr>
            </w:pPr>
          </w:p>
        </w:tc>
        <w:tc>
          <w:tcPr>
            <w:tcW w:w="911" w:type="pct"/>
            <w:vMerge/>
            <w:shd w:val="clear" w:color="auto" w:fill="00B0B9"/>
            <w:vAlign w:val="center"/>
            <w:hideMark/>
          </w:tcPr>
          <w:p w14:paraId="58FBD920" w14:textId="77777777" w:rsidR="001404F7" w:rsidRPr="00D13460" w:rsidRDefault="001404F7" w:rsidP="001404F7">
            <w:pPr>
              <w:rPr>
                <w:rFonts w:cs="Arial"/>
                <w:b/>
                <w:sz w:val="16"/>
                <w:szCs w:val="16"/>
              </w:rPr>
            </w:pPr>
          </w:p>
        </w:tc>
        <w:tc>
          <w:tcPr>
            <w:tcW w:w="1861" w:type="pct"/>
            <w:shd w:val="clear" w:color="auto" w:fill="D9D9D6"/>
            <w:hideMark/>
          </w:tcPr>
          <w:p w14:paraId="50C58088" w14:textId="77777777" w:rsidR="001404F7" w:rsidRPr="00B263E8" w:rsidRDefault="001404F7" w:rsidP="001404F7">
            <w:pPr>
              <w:keepNext/>
              <w:keepLines/>
              <w:spacing w:beforeLines="10" w:before="24" w:afterLines="10" w:after="24"/>
              <w:rPr>
                <w:b/>
                <w:sz w:val="16"/>
                <w:szCs w:val="16"/>
              </w:rPr>
            </w:pPr>
            <w:r>
              <w:rPr>
                <w:bCs/>
                <w:sz w:val="16"/>
                <w:szCs w:val="16"/>
              </w:rPr>
              <w:t>C</w:t>
            </w:r>
            <w:r w:rsidRPr="00B263E8">
              <w:rPr>
                <w:bCs/>
                <w:sz w:val="16"/>
                <w:szCs w:val="16"/>
              </w:rPr>
              <w:t xml:space="preserve">1.4.2 </w:t>
            </w:r>
            <w:r>
              <w:rPr>
                <w:bCs/>
                <w:sz w:val="16"/>
                <w:szCs w:val="16"/>
              </w:rPr>
              <w:t>–</w:t>
            </w:r>
            <w:r w:rsidRPr="00B263E8">
              <w:rPr>
                <w:bCs/>
                <w:sz w:val="16"/>
                <w:szCs w:val="16"/>
              </w:rPr>
              <w:t xml:space="preserve"> Payment accuracy (PBS)</w:t>
            </w:r>
          </w:p>
        </w:tc>
        <w:tc>
          <w:tcPr>
            <w:tcW w:w="815" w:type="pct"/>
            <w:shd w:val="clear" w:color="auto" w:fill="D9D9D6"/>
          </w:tcPr>
          <w:p w14:paraId="43E0CE6D" w14:textId="77777777" w:rsidR="001404F7" w:rsidRPr="001B33AA" w:rsidRDefault="001404F7" w:rsidP="001404F7">
            <w:pPr>
              <w:keepNext/>
              <w:keepLines/>
              <w:spacing w:beforeLines="10" w:before="24" w:afterLines="10" w:after="24"/>
              <w:rPr>
                <w:bCs/>
                <w:sz w:val="16"/>
                <w:szCs w:val="16"/>
              </w:rPr>
            </w:pPr>
            <w:r>
              <w:rPr>
                <w:bCs/>
                <w:sz w:val="16"/>
                <w:szCs w:val="16"/>
              </w:rPr>
              <w:t>1.1, 1.6, 1.8, 1.9, 1.10, 1.11</w:t>
            </w:r>
          </w:p>
        </w:tc>
        <w:tc>
          <w:tcPr>
            <w:tcW w:w="642" w:type="pct"/>
            <w:shd w:val="clear" w:color="auto" w:fill="D9D9D6"/>
          </w:tcPr>
          <w:p w14:paraId="225C1074" w14:textId="77777777" w:rsidR="001404F7" w:rsidRPr="004862A8" w:rsidRDefault="001404F7" w:rsidP="001404F7">
            <w:pPr>
              <w:keepNext/>
              <w:keepLines/>
              <w:spacing w:beforeLines="10" w:before="24" w:afterLines="10" w:after="24"/>
              <w:rPr>
                <w:bCs/>
                <w:sz w:val="16"/>
                <w:szCs w:val="16"/>
              </w:rPr>
            </w:pPr>
            <w:r w:rsidRPr="001B33AA">
              <w:rPr>
                <w:bCs/>
                <w:sz w:val="16"/>
                <w:szCs w:val="16"/>
              </w:rPr>
              <w:t>2.1.13</w:t>
            </w:r>
          </w:p>
        </w:tc>
      </w:tr>
      <w:tr w:rsidR="001404F7" w:rsidRPr="00B263E8" w14:paraId="532A7B4A" w14:textId="77777777" w:rsidTr="001404F7">
        <w:trPr>
          <w:cnfStyle w:val="000000010000" w:firstRow="0" w:lastRow="0" w:firstColumn="0" w:lastColumn="0" w:oddVBand="0" w:evenVBand="0" w:oddHBand="0" w:evenHBand="1" w:firstRowFirstColumn="0" w:firstRowLastColumn="0" w:lastRowFirstColumn="0" w:lastRowLastColumn="0"/>
          <w:trHeight w:val="268"/>
        </w:trPr>
        <w:tc>
          <w:tcPr>
            <w:tcW w:w="770" w:type="pct"/>
            <w:vMerge/>
            <w:shd w:val="clear" w:color="auto" w:fill="005A70"/>
            <w:vAlign w:val="center"/>
            <w:hideMark/>
          </w:tcPr>
          <w:p w14:paraId="51174FBD" w14:textId="77777777" w:rsidR="001404F7" w:rsidRPr="00B263E8" w:rsidRDefault="001404F7" w:rsidP="001404F7">
            <w:pPr>
              <w:rPr>
                <w:color w:val="FFFFFF" w:themeColor="background1"/>
                <w:sz w:val="16"/>
                <w:szCs w:val="16"/>
              </w:rPr>
            </w:pPr>
          </w:p>
        </w:tc>
        <w:tc>
          <w:tcPr>
            <w:tcW w:w="911" w:type="pct"/>
            <w:vMerge/>
            <w:shd w:val="clear" w:color="auto" w:fill="00B0B9"/>
            <w:vAlign w:val="center"/>
            <w:hideMark/>
          </w:tcPr>
          <w:p w14:paraId="065AE499" w14:textId="77777777" w:rsidR="001404F7" w:rsidRPr="00D13460" w:rsidRDefault="001404F7" w:rsidP="001404F7">
            <w:pPr>
              <w:rPr>
                <w:b/>
                <w:sz w:val="16"/>
                <w:szCs w:val="16"/>
              </w:rPr>
            </w:pPr>
          </w:p>
        </w:tc>
        <w:tc>
          <w:tcPr>
            <w:tcW w:w="1861" w:type="pct"/>
            <w:shd w:val="clear" w:color="auto" w:fill="D9D9D6"/>
            <w:hideMark/>
          </w:tcPr>
          <w:p w14:paraId="68007A60" w14:textId="77777777" w:rsidR="001404F7" w:rsidRPr="00B263E8" w:rsidRDefault="001404F7" w:rsidP="001404F7">
            <w:pPr>
              <w:keepNext/>
              <w:keepLines/>
              <w:spacing w:beforeLines="10" w:before="24" w:afterLines="50" w:after="120"/>
              <w:rPr>
                <w:rFonts w:cs="Times New Roman"/>
                <w:bCs/>
                <w:sz w:val="16"/>
                <w:szCs w:val="16"/>
              </w:rPr>
            </w:pPr>
            <w:r>
              <w:rPr>
                <w:rFonts w:cs="Times New Roman"/>
                <w:bCs/>
                <w:sz w:val="16"/>
                <w:szCs w:val="16"/>
              </w:rPr>
              <w:t>C</w:t>
            </w:r>
            <w:r w:rsidRPr="00B263E8">
              <w:rPr>
                <w:rFonts w:cs="Times New Roman"/>
                <w:bCs/>
                <w:sz w:val="16"/>
                <w:szCs w:val="16"/>
              </w:rPr>
              <w:t xml:space="preserve">1.4.3 </w:t>
            </w:r>
            <w:r>
              <w:rPr>
                <w:rFonts w:cs="Times New Roman"/>
                <w:bCs/>
                <w:sz w:val="16"/>
                <w:szCs w:val="16"/>
              </w:rPr>
              <w:t>–</w:t>
            </w:r>
            <w:r w:rsidRPr="00B263E8">
              <w:rPr>
                <w:rFonts w:cs="Times New Roman"/>
                <w:bCs/>
                <w:sz w:val="16"/>
                <w:szCs w:val="16"/>
              </w:rPr>
              <w:t xml:space="preserve"> Percentage of recipients with debts by type and status</w:t>
            </w:r>
          </w:p>
        </w:tc>
        <w:tc>
          <w:tcPr>
            <w:tcW w:w="815" w:type="pct"/>
            <w:shd w:val="clear" w:color="auto" w:fill="D9D9D6"/>
          </w:tcPr>
          <w:p w14:paraId="7563A8F0" w14:textId="77777777" w:rsidR="001404F7" w:rsidRPr="001B33AA" w:rsidRDefault="001404F7" w:rsidP="001404F7">
            <w:pPr>
              <w:keepNext/>
              <w:keepLines/>
              <w:spacing w:beforeLines="10" w:before="24" w:afterLines="50" w:after="120"/>
              <w:rPr>
                <w:rFonts w:cs="Times New Roman"/>
                <w:bCs/>
                <w:sz w:val="16"/>
                <w:szCs w:val="16"/>
              </w:rPr>
            </w:pPr>
            <w:r>
              <w:rPr>
                <w:rFonts w:cs="Times New Roman"/>
                <w:bCs/>
                <w:sz w:val="16"/>
                <w:szCs w:val="16"/>
              </w:rPr>
              <w:t>1.1</w:t>
            </w:r>
          </w:p>
        </w:tc>
        <w:tc>
          <w:tcPr>
            <w:tcW w:w="642" w:type="pct"/>
            <w:shd w:val="clear" w:color="auto" w:fill="D9D9D6"/>
          </w:tcPr>
          <w:p w14:paraId="0B54E6E4" w14:textId="77777777" w:rsidR="001404F7" w:rsidRPr="004862A8" w:rsidRDefault="001404F7" w:rsidP="001404F7">
            <w:pPr>
              <w:keepNext/>
              <w:keepLines/>
              <w:spacing w:beforeLines="10" w:before="24" w:afterLines="50" w:after="120"/>
              <w:rPr>
                <w:rFonts w:cs="Times New Roman"/>
                <w:bCs/>
                <w:sz w:val="16"/>
                <w:szCs w:val="16"/>
              </w:rPr>
            </w:pPr>
            <w:r w:rsidRPr="001B33AA">
              <w:rPr>
                <w:rFonts w:cs="Times New Roman"/>
                <w:bCs/>
                <w:sz w:val="16"/>
                <w:szCs w:val="16"/>
              </w:rPr>
              <w:t>2.1.14</w:t>
            </w:r>
          </w:p>
        </w:tc>
      </w:tr>
      <w:tr w:rsidR="001404F7" w:rsidRPr="00B263E8" w14:paraId="57B31AC1" w14:textId="77777777" w:rsidTr="001404F7">
        <w:trPr>
          <w:trHeight w:val="294"/>
        </w:trPr>
        <w:tc>
          <w:tcPr>
            <w:tcW w:w="770" w:type="pct"/>
            <w:vMerge w:val="restart"/>
            <w:shd w:val="clear" w:color="auto" w:fill="005A70"/>
            <w:hideMark/>
          </w:tcPr>
          <w:p w14:paraId="1FC8A425" w14:textId="77777777" w:rsidR="001404F7" w:rsidRPr="00B263E8" w:rsidRDefault="001404F7" w:rsidP="001404F7">
            <w:pPr>
              <w:keepNext/>
              <w:keepLines/>
              <w:spacing w:beforeLines="10" w:before="24" w:afterLines="10" w:after="24"/>
              <w:rPr>
                <w:b/>
                <w:color w:val="FFFFFF" w:themeColor="background1"/>
                <w:sz w:val="16"/>
                <w:szCs w:val="16"/>
              </w:rPr>
            </w:pPr>
            <w:r w:rsidRPr="00B263E8">
              <w:rPr>
                <w:b/>
                <w:color w:val="FFFFFF" w:themeColor="background1"/>
                <w:sz w:val="16"/>
                <w:szCs w:val="16"/>
              </w:rPr>
              <w:t>Output —</w:t>
            </w:r>
            <w:r w:rsidRPr="00B263E8">
              <w:rPr>
                <w:i/>
                <w:iCs/>
                <w:smallCaps/>
                <w:color w:val="FFFFFF" w:themeColor="background1"/>
                <w:spacing w:val="5"/>
                <w:sz w:val="16"/>
                <w:szCs w:val="16"/>
              </w:rPr>
              <w:t xml:space="preserve"> </w:t>
            </w:r>
            <w:r w:rsidRPr="00B263E8">
              <w:rPr>
                <w:b/>
                <w:color w:val="FFFFFF" w:themeColor="background1"/>
                <w:sz w:val="16"/>
                <w:szCs w:val="16"/>
              </w:rPr>
              <w:t>How much did we do?</w:t>
            </w:r>
          </w:p>
        </w:tc>
        <w:tc>
          <w:tcPr>
            <w:tcW w:w="911" w:type="pct"/>
            <w:vMerge w:val="restart"/>
            <w:shd w:val="clear" w:color="auto" w:fill="00B0B9"/>
            <w:hideMark/>
          </w:tcPr>
          <w:p w14:paraId="6F4DE63F" w14:textId="77777777" w:rsidR="001404F7" w:rsidRPr="00D13460" w:rsidRDefault="001404F7" w:rsidP="001404F7">
            <w:pPr>
              <w:keepNext/>
              <w:keepLines/>
              <w:spacing w:beforeLines="20" w:before="48" w:afterLines="20" w:after="48"/>
              <w:rPr>
                <w:b/>
                <w:sz w:val="16"/>
                <w:szCs w:val="16"/>
              </w:rPr>
            </w:pPr>
            <w:r w:rsidRPr="00D13460">
              <w:rPr>
                <w:b/>
                <w:sz w:val="16"/>
                <w:szCs w:val="16"/>
              </w:rPr>
              <w:t>C1.5 – Delivery measures</w:t>
            </w:r>
          </w:p>
        </w:tc>
        <w:tc>
          <w:tcPr>
            <w:tcW w:w="1861" w:type="pct"/>
            <w:shd w:val="clear" w:color="auto" w:fill="D9D9D6"/>
            <w:hideMark/>
          </w:tcPr>
          <w:p w14:paraId="1A86F1AE" w14:textId="77777777" w:rsidR="001404F7" w:rsidRPr="00B263E8" w:rsidRDefault="001404F7" w:rsidP="001404F7">
            <w:pPr>
              <w:keepNext/>
              <w:keepLines/>
              <w:spacing w:beforeLines="20" w:before="48" w:afterLines="20" w:after="48"/>
              <w:rPr>
                <w:sz w:val="16"/>
                <w:szCs w:val="16"/>
              </w:rPr>
            </w:pPr>
            <w:r>
              <w:rPr>
                <w:sz w:val="16"/>
                <w:szCs w:val="16"/>
              </w:rPr>
              <w:t>C</w:t>
            </w:r>
            <w:r w:rsidRPr="00B263E8">
              <w:rPr>
                <w:sz w:val="16"/>
                <w:szCs w:val="16"/>
              </w:rPr>
              <w:t xml:space="preserve">1.5.1 </w:t>
            </w:r>
            <w:r>
              <w:rPr>
                <w:sz w:val="16"/>
                <w:szCs w:val="16"/>
              </w:rPr>
              <w:t>–</w:t>
            </w:r>
            <w:r w:rsidRPr="00B263E8">
              <w:rPr>
                <w:sz w:val="16"/>
                <w:szCs w:val="16"/>
              </w:rPr>
              <w:t xml:space="preserve"> Number of recipients (PBS)</w:t>
            </w:r>
          </w:p>
        </w:tc>
        <w:tc>
          <w:tcPr>
            <w:tcW w:w="815" w:type="pct"/>
            <w:shd w:val="clear" w:color="auto" w:fill="D9D9D6"/>
          </w:tcPr>
          <w:p w14:paraId="45F25E2D" w14:textId="77777777" w:rsidR="001404F7" w:rsidRPr="001B33AA" w:rsidRDefault="001404F7" w:rsidP="001404F7">
            <w:pPr>
              <w:keepNext/>
              <w:keepLines/>
              <w:spacing w:beforeLines="20" w:before="48" w:afterLines="20" w:after="48"/>
              <w:rPr>
                <w:sz w:val="16"/>
                <w:szCs w:val="16"/>
              </w:rPr>
            </w:pPr>
            <w:r w:rsidRPr="00F6386B">
              <w:rPr>
                <w:sz w:val="16"/>
                <w:szCs w:val="16"/>
              </w:rPr>
              <w:t>1.1, 1.2, 1.3, 1.4, 1.5, 1.6, 1.7, 1.8, 1.9, 1.10, 1.11, XPRA</w:t>
            </w:r>
          </w:p>
        </w:tc>
        <w:tc>
          <w:tcPr>
            <w:tcW w:w="642" w:type="pct"/>
            <w:shd w:val="clear" w:color="auto" w:fill="D9D9D6"/>
          </w:tcPr>
          <w:p w14:paraId="7E13C680" w14:textId="77777777" w:rsidR="001404F7" w:rsidRPr="004862A8" w:rsidRDefault="001404F7" w:rsidP="001404F7">
            <w:pPr>
              <w:keepNext/>
              <w:keepLines/>
              <w:spacing w:beforeLines="20" w:before="48" w:afterLines="20" w:after="48"/>
              <w:rPr>
                <w:sz w:val="16"/>
                <w:szCs w:val="16"/>
              </w:rPr>
            </w:pPr>
            <w:r w:rsidRPr="001B33AA">
              <w:rPr>
                <w:sz w:val="16"/>
                <w:szCs w:val="16"/>
              </w:rPr>
              <w:t>2.1.15a</w:t>
            </w:r>
            <w:r>
              <w:rPr>
                <w:sz w:val="16"/>
                <w:szCs w:val="16"/>
              </w:rPr>
              <w:t xml:space="preserve">, </w:t>
            </w:r>
            <w:r w:rsidRPr="001B33AA">
              <w:rPr>
                <w:sz w:val="16"/>
                <w:szCs w:val="16"/>
              </w:rPr>
              <w:t>2.1.15b</w:t>
            </w:r>
          </w:p>
        </w:tc>
      </w:tr>
      <w:tr w:rsidR="001404F7" w:rsidRPr="00B263E8" w14:paraId="6571D4CA" w14:textId="77777777" w:rsidTr="001404F7">
        <w:trPr>
          <w:cnfStyle w:val="000000010000" w:firstRow="0" w:lastRow="0" w:firstColumn="0" w:lastColumn="0" w:oddVBand="0" w:evenVBand="0" w:oddHBand="0" w:evenHBand="1" w:firstRowFirstColumn="0" w:firstRowLastColumn="0" w:lastRowFirstColumn="0" w:lastRowLastColumn="0"/>
          <w:trHeight w:val="294"/>
        </w:trPr>
        <w:tc>
          <w:tcPr>
            <w:tcW w:w="770" w:type="pct"/>
            <w:vMerge/>
            <w:shd w:val="clear" w:color="auto" w:fill="005A70"/>
            <w:vAlign w:val="center"/>
          </w:tcPr>
          <w:p w14:paraId="0D163A81" w14:textId="77777777" w:rsidR="001404F7" w:rsidRPr="00B263E8" w:rsidRDefault="001404F7" w:rsidP="001404F7">
            <w:pPr>
              <w:rPr>
                <w:rFonts w:cs="Times New Roman"/>
                <w:b/>
                <w:sz w:val="16"/>
                <w:szCs w:val="16"/>
              </w:rPr>
            </w:pPr>
          </w:p>
        </w:tc>
        <w:tc>
          <w:tcPr>
            <w:tcW w:w="911" w:type="pct"/>
            <w:vMerge/>
            <w:shd w:val="clear" w:color="auto" w:fill="00B0B9"/>
            <w:vAlign w:val="center"/>
          </w:tcPr>
          <w:p w14:paraId="28CF18EB" w14:textId="77777777" w:rsidR="001404F7" w:rsidRPr="00B263E8" w:rsidRDefault="001404F7" w:rsidP="001404F7">
            <w:pPr>
              <w:rPr>
                <w:rFonts w:cs="Times New Roman"/>
                <w:b/>
                <w:sz w:val="16"/>
                <w:szCs w:val="16"/>
              </w:rPr>
            </w:pPr>
          </w:p>
        </w:tc>
        <w:tc>
          <w:tcPr>
            <w:tcW w:w="1861" w:type="pct"/>
            <w:shd w:val="clear" w:color="auto" w:fill="D9D9D6"/>
          </w:tcPr>
          <w:p w14:paraId="2BFBAFBC" w14:textId="77777777" w:rsidR="001404F7" w:rsidRPr="00B263E8" w:rsidRDefault="001404F7" w:rsidP="001404F7">
            <w:pPr>
              <w:keepNext/>
              <w:keepLines/>
              <w:spacing w:beforeLines="20" w:before="48" w:afterLines="20" w:after="48"/>
              <w:rPr>
                <w:rFonts w:cs="Times New Roman"/>
                <w:sz w:val="16"/>
                <w:szCs w:val="16"/>
              </w:rPr>
            </w:pPr>
            <w:r>
              <w:rPr>
                <w:rFonts w:cs="Times New Roman"/>
                <w:sz w:val="16"/>
                <w:szCs w:val="16"/>
              </w:rPr>
              <w:t>C</w:t>
            </w:r>
            <w:r w:rsidRPr="00B263E8">
              <w:rPr>
                <w:rFonts w:cs="Times New Roman"/>
                <w:sz w:val="16"/>
                <w:szCs w:val="16"/>
              </w:rPr>
              <w:t xml:space="preserve">1.5.2 </w:t>
            </w:r>
            <w:r>
              <w:rPr>
                <w:rFonts w:cs="Times New Roman"/>
                <w:sz w:val="16"/>
                <w:szCs w:val="16"/>
              </w:rPr>
              <w:t>–</w:t>
            </w:r>
            <w:r w:rsidRPr="00B263E8">
              <w:rPr>
                <w:rFonts w:cs="Times New Roman"/>
                <w:sz w:val="16"/>
                <w:szCs w:val="16"/>
              </w:rPr>
              <w:t xml:space="preserve"> Number of children</w:t>
            </w:r>
          </w:p>
        </w:tc>
        <w:tc>
          <w:tcPr>
            <w:tcW w:w="815" w:type="pct"/>
            <w:shd w:val="clear" w:color="auto" w:fill="D9D9D6"/>
          </w:tcPr>
          <w:p w14:paraId="71919A42" w14:textId="77777777" w:rsidR="001404F7" w:rsidRPr="00F868BE" w:rsidRDefault="001404F7" w:rsidP="001404F7">
            <w:pPr>
              <w:keepNext/>
              <w:keepLines/>
              <w:spacing w:beforeLines="20" w:before="48" w:afterLines="20" w:after="48"/>
              <w:rPr>
                <w:rFonts w:cs="Times New Roman"/>
                <w:sz w:val="16"/>
                <w:szCs w:val="16"/>
              </w:rPr>
            </w:pPr>
            <w:r>
              <w:rPr>
                <w:rFonts w:cs="Times New Roman"/>
                <w:sz w:val="16"/>
                <w:szCs w:val="16"/>
              </w:rPr>
              <w:t>1.1, 1.2</w:t>
            </w:r>
          </w:p>
        </w:tc>
        <w:tc>
          <w:tcPr>
            <w:tcW w:w="642" w:type="pct"/>
            <w:shd w:val="clear" w:color="auto" w:fill="D9D9D6"/>
          </w:tcPr>
          <w:p w14:paraId="79D7C372" w14:textId="77777777" w:rsidR="001404F7" w:rsidRPr="004862A8" w:rsidRDefault="001404F7" w:rsidP="001404F7">
            <w:pPr>
              <w:keepNext/>
              <w:keepLines/>
              <w:spacing w:beforeLines="20" w:before="48" w:afterLines="20" w:after="48"/>
              <w:rPr>
                <w:rFonts w:cs="Times New Roman"/>
                <w:sz w:val="16"/>
                <w:szCs w:val="16"/>
              </w:rPr>
            </w:pPr>
            <w:r w:rsidRPr="00F868BE">
              <w:rPr>
                <w:rFonts w:cs="Times New Roman"/>
                <w:sz w:val="16"/>
                <w:szCs w:val="16"/>
              </w:rPr>
              <w:t>2.1.16a</w:t>
            </w:r>
            <w:r>
              <w:rPr>
                <w:rFonts w:cs="Times New Roman"/>
                <w:sz w:val="16"/>
                <w:szCs w:val="16"/>
              </w:rPr>
              <w:t xml:space="preserve">, </w:t>
            </w:r>
            <w:r w:rsidRPr="00F868BE">
              <w:rPr>
                <w:rFonts w:cs="Times New Roman"/>
                <w:sz w:val="16"/>
                <w:szCs w:val="16"/>
              </w:rPr>
              <w:t>2.1.16b</w:t>
            </w:r>
          </w:p>
        </w:tc>
      </w:tr>
      <w:tr w:rsidR="001404F7" w:rsidRPr="00B263E8" w14:paraId="5EE91576" w14:textId="77777777" w:rsidTr="001404F7">
        <w:trPr>
          <w:trHeight w:val="294"/>
        </w:trPr>
        <w:tc>
          <w:tcPr>
            <w:tcW w:w="770" w:type="pct"/>
            <w:vMerge/>
            <w:shd w:val="clear" w:color="auto" w:fill="005A70"/>
            <w:vAlign w:val="center"/>
            <w:hideMark/>
          </w:tcPr>
          <w:p w14:paraId="5AFD2445" w14:textId="77777777" w:rsidR="001404F7" w:rsidRPr="00B263E8" w:rsidRDefault="001404F7" w:rsidP="001404F7">
            <w:pPr>
              <w:rPr>
                <w:b/>
                <w:sz w:val="16"/>
                <w:szCs w:val="16"/>
              </w:rPr>
            </w:pPr>
          </w:p>
        </w:tc>
        <w:tc>
          <w:tcPr>
            <w:tcW w:w="911" w:type="pct"/>
            <w:vMerge/>
            <w:shd w:val="clear" w:color="auto" w:fill="00B0B9"/>
            <w:vAlign w:val="center"/>
            <w:hideMark/>
          </w:tcPr>
          <w:p w14:paraId="3C655192" w14:textId="77777777" w:rsidR="001404F7" w:rsidRPr="00B263E8" w:rsidRDefault="001404F7" w:rsidP="001404F7">
            <w:pPr>
              <w:rPr>
                <w:b/>
                <w:sz w:val="16"/>
                <w:szCs w:val="16"/>
              </w:rPr>
            </w:pPr>
          </w:p>
        </w:tc>
        <w:tc>
          <w:tcPr>
            <w:tcW w:w="1861" w:type="pct"/>
            <w:shd w:val="clear" w:color="auto" w:fill="D9D9D6"/>
            <w:hideMark/>
          </w:tcPr>
          <w:p w14:paraId="15F7141A" w14:textId="77777777" w:rsidR="001404F7" w:rsidRPr="00B263E8" w:rsidRDefault="001404F7" w:rsidP="001404F7">
            <w:pPr>
              <w:keepNext/>
              <w:keepLines/>
              <w:spacing w:beforeLines="20" w:before="48" w:afterLines="20" w:after="48"/>
              <w:rPr>
                <w:sz w:val="16"/>
                <w:szCs w:val="16"/>
              </w:rPr>
            </w:pPr>
            <w:r>
              <w:rPr>
                <w:sz w:val="16"/>
                <w:szCs w:val="16"/>
              </w:rPr>
              <w:t>C</w:t>
            </w:r>
            <w:r w:rsidRPr="00B263E8">
              <w:rPr>
                <w:sz w:val="16"/>
                <w:szCs w:val="16"/>
              </w:rPr>
              <w:t>1.5.3</w:t>
            </w:r>
            <w:r>
              <w:rPr>
                <w:sz w:val="16"/>
                <w:szCs w:val="16"/>
              </w:rPr>
              <w:t xml:space="preserve"> –</w:t>
            </w:r>
            <w:r w:rsidRPr="00B263E8">
              <w:rPr>
                <w:sz w:val="16"/>
                <w:szCs w:val="16"/>
              </w:rPr>
              <w:t xml:space="preserve"> Number of Commonwealth Rent Assistance income units</w:t>
            </w:r>
          </w:p>
        </w:tc>
        <w:tc>
          <w:tcPr>
            <w:tcW w:w="815" w:type="pct"/>
            <w:shd w:val="clear" w:color="auto" w:fill="D9D9D6"/>
          </w:tcPr>
          <w:p w14:paraId="42CAD68D" w14:textId="77777777" w:rsidR="001404F7" w:rsidRPr="00F868BE" w:rsidRDefault="001404F7" w:rsidP="001404F7">
            <w:pPr>
              <w:keepNext/>
              <w:keepLines/>
              <w:spacing w:beforeLines="20" w:before="48" w:afterLines="20" w:after="48"/>
              <w:rPr>
                <w:sz w:val="16"/>
                <w:szCs w:val="16"/>
              </w:rPr>
            </w:pPr>
            <w:r>
              <w:rPr>
                <w:sz w:val="16"/>
                <w:szCs w:val="16"/>
              </w:rPr>
              <w:t>XPRA</w:t>
            </w:r>
          </w:p>
        </w:tc>
        <w:tc>
          <w:tcPr>
            <w:tcW w:w="642" w:type="pct"/>
            <w:shd w:val="clear" w:color="auto" w:fill="D9D9D6"/>
          </w:tcPr>
          <w:p w14:paraId="7A95C665" w14:textId="77777777" w:rsidR="001404F7" w:rsidRPr="004862A8" w:rsidRDefault="001404F7" w:rsidP="001404F7">
            <w:pPr>
              <w:keepNext/>
              <w:keepLines/>
              <w:spacing w:beforeLines="20" w:before="48" w:afterLines="20" w:after="48"/>
              <w:rPr>
                <w:sz w:val="16"/>
                <w:szCs w:val="16"/>
              </w:rPr>
            </w:pPr>
            <w:r w:rsidRPr="00F868BE">
              <w:rPr>
                <w:sz w:val="16"/>
                <w:szCs w:val="16"/>
              </w:rPr>
              <w:t>2.1.17</w:t>
            </w:r>
          </w:p>
        </w:tc>
      </w:tr>
      <w:tr w:rsidR="001404F7" w:rsidRPr="00B263E8" w14:paraId="653A881B" w14:textId="77777777" w:rsidTr="001404F7">
        <w:trPr>
          <w:cnfStyle w:val="000000010000" w:firstRow="0" w:lastRow="0" w:firstColumn="0" w:lastColumn="0" w:oddVBand="0" w:evenVBand="0" w:oddHBand="0" w:evenHBand="1" w:firstRowFirstColumn="0" w:firstRowLastColumn="0" w:lastRowFirstColumn="0" w:lastRowLastColumn="0"/>
          <w:trHeight w:val="271"/>
        </w:trPr>
        <w:tc>
          <w:tcPr>
            <w:tcW w:w="770" w:type="pct"/>
            <w:vMerge/>
            <w:shd w:val="clear" w:color="auto" w:fill="005A70"/>
            <w:vAlign w:val="center"/>
            <w:hideMark/>
          </w:tcPr>
          <w:p w14:paraId="2EE94AFA" w14:textId="77777777" w:rsidR="001404F7" w:rsidRPr="00B263E8" w:rsidRDefault="001404F7" w:rsidP="001404F7">
            <w:pPr>
              <w:rPr>
                <w:b/>
                <w:sz w:val="16"/>
                <w:szCs w:val="16"/>
              </w:rPr>
            </w:pPr>
          </w:p>
        </w:tc>
        <w:tc>
          <w:tcPr>
            <w:tcW w:w="911" w:type="pct"/>
            <w:vMerge/>
            <w:shd w:val="clear" w:color="auto" w:fill="00B0B9"/>
            <w:vAlign w:val="center"/>
            <w:hideMark/>
          </w:tcPr>
          <w:p w14:paraId="46EE1D01" w14:textId="77777777" w:rsidR="001404F7" w:rsidRPr="00B263E8" w:rsidRDefault="001404F7" w:rsidP="001404F7">
            <w:pPr>
              <w:rPr>
                <w:b/>
                <w:sz w:val="16"/>
                <w:szCs w:val="16"/>
              </w:rPr>
            </w:pPr>
          </w:p>
        </w:tc>
        <w:tc>
          <w:tcPr>
            <w:tcW w:w="1861" w:type="pct"/>
            <w:shd w:val="clear" w:color="auto" w:fill="D9D9D6"/>
            <w:hideMark/>
          </w:tcPr>
          <w:p w14:paraId="37DB9471" w14:textId="77777777" w:rsidR="001404F7" w:rsidRPr="00B263E8" w:rsidRDefault="001404F7" w:rsidP="001404F7">
            <w:pPr>
              <w:keepNext/>
              <w:keepLines/>
              <w:spacing w:beforeLines="10" w:before="24" w:afterLines="10" w:after="24"/>
              <w:rPr>
                <w:sz w:val="16"/>
                <w:szCs w:val="16"/>
              </w:rPr>
            </w:pPr>
            <w:r>
              <w:rPr>
                <w:sz w:val="16"/>
                <w:szCs w:val="16"/>
              </w:rPr>
              <w:t>C</w:t>
            </w:r>
            <w:r w:rsidRPr="00B263E8">
              <w:rPr>
                <w:sz w:val="16"/>
                <w:szCs w:val="16"/>
              </w:rPr>
              <w:t xml:space="preserve">1.5.4 </w:t>
            </w:r>
            <w:r>
              <w:rPr>
                <w:sz w:val="16"/>
                <w:szCs w:val="16"/>
              </w:rPr>
              <w:t>–</w:t>
            </w:r>
            <w:r w:rsidRPr="00B263E8">
              <w:rPr>
                <w:sz w:val="16"/>
                <w:szCs w:val="16"/>
              </w:rPr>
              <w:t xml:space="preserve"> Administered outlays (PBS)</w:t>
            </w:r>
          </w:p>
        </w:tc>
        <w:tc>
          <w:tcPr>
            <w:tcW w:w="815" w:type="pct"/>
            <w:shd w:val="clear" w:color="auto" w:fill="D9D9D6"/>
          </w:tcPr>
          <w:p w14:paraId="7DDA8E29" w14:textId="77777777" w:rsidR="001404F7" w:rsidRPr="00F868BE" w:rsidRDefault="001404F7" w:rsidP="001404F7">
            <w:pPr>
              <w:keepNext/>
              <w:keepLines/>
              <w:spacing w:beforeLines="10" w:before="24" w:afterLines="10" w:after="24"/>
              <w:rPr>
                <w:sz w:val="16"/>
                <w:szCs w:val="16"/>
              </w:rPr>
            </w:pPr>
            <w:r w:rsidRPr="00F6386B">
              <w:rPr>
                <w:sz w:val="16"/>
                <w:szCs w:val="16"/>
              </w:rPr>
              <w:t xml:space="preserve">1.1, 1.2, 1.3, 1.4, 1.5, </w:t>
            </w:r>
            <w:r>
              <w:rPr>
                <w:sz w:val="16"/>
                <w:szCs w:val="16"/>
              </w:rPr>
              <w:t>1.6, 1.7, 1.8, 1.9, 1.10, 1.11</w:t>
            </w:r>
          </w:p>
        </w:tc>
        <w:tc>
          <w:tcPr>
            <w:tcW w:w="642" w:type="pct"/>
            <w:shd w:val="clear" w:color="auto" w:fill="D9D9D6"/>
          </w:tcPr>
          <w:p w14:paraId="448CB64D" w14:textId="77777777" w:rsidR="001404F7" w:rsidRPr="004862A8" w:rsidRDefault="001404F7" w:rsidP="001404F7">
            <w:pPr>
              <w:keepNext/>
              <w:keepLines/>
              <w:spacing w:beforeLines="10" w:before="24" w:afterLines="10" w:after="24"/>
              <w:rPr>
                <w:sz w:val="16"/>
                <w:szCs w:val="16"/>
              </w:rPr>
            </w:pPr>
            <w:r w:rsidRPr="00F868BE">
              <w:rPr>
                <w:sz w:val="16"/>
                <w:szCs w:val="16"/>
              </w:rPr>
              <w:t>2.1.18</w:t>
            </w:r>
          </w:p>
        </w:tc>
      </w:tr>
    </w:tbl>
    <w:p w14:paraId="6C2FB9BC" w14:textId="77777777" w:rsidR="00D96CDD" w:rsidRDefault="001404F7" w:rsidP="00D96CDD">
      <w:pPr>
        <w:spacing w:before="160" w:after="60" w:line="240" w:lineRule="auto"/>
        <w:ind w:left="170" w:hanging="170"/>
        <w:contextualSpacing/>
        <w:rPr>
          <w:rFonts w:cs="Arial"/>
          <w:sz w:val="16"/>
          <w:szCs w:val="16"/>
        </w:rPr>
      </w:pPr>
      <w:r w:rsidRPr="00F01716">
        <w:rPr>
          <w:rFonts w:cs="Arial"/>
          <w:sz w:val="16"/>
          <w:szCs w:val="16"/>
        </w:rPr>
        <w:t>Source: Corporate Plan 2019–20 and Portfolio Budget Statements 2019–20</w:t>
      </w:r>
      <w:r>
        <w:rPr>
          <w:rFonts w:cs="Arial"/>
          <w:sz w:val="16"/>
          <w:szCs w:val="16"/>
        </w:rPr>
        <w:t>.</w:t>
      </w:r>
    </w:p>
    <w:p w14:paraId="754AB8D6" w14:textId="77777777" w:rsidR="00D96CDD" w:rsidRDefault="00D96CDD" w:rsidP="00D96CDD">
      <w:pPr>
        <w:spacing w:before="160" w:after="60" w:line="240" w:lineRule="auto"/>
        <w:ind w:left="170" w:hanging="170"/>
        <w:contextualSpacing/>
        <w:rPr>
          <w:rFonts w:cs="Arial"/>
          <w:sz w:val="16"/>
          <w:szCs w:val="16"/>
        </w:rPr>
      </w:pPr>
    </w:p>
    <w:p w14:paraId="1BE5C801" w14:textId="2105C45C" w:rsidR="001404F7" w:rsidRPr="003F5594" w:rsidRDefault="001404F7" w:rsidP="00D96CDD">
      <w:pPr>
        <w:spacing w:before="240" w:after="240" w:line="260" w:lineRule="atLeast"/>
        <w:ind w:left="170" w:hanging="170"/>
        <w:rPr>
          <w:rFonts w:eastAsiaTheme="majorEastAsia" w:cstheme="majorBidi"/>
          <w:b/>
          <w:iCs/>
          <w:sz w:val="26"/>
        </w:rPr>
      </w:pPr>
      <w:r>
        <w:rPr>
          <w:rFonts w:eastAsiaTheme="majorEastAsia" w:cstheme="majorBidi"/>
          <w:b/>
          <w:iCs/>
          <w:sz w:val="26"/>
        </w:rPr>
        <w:t xml:space="preserve">C1.1 </w:t>
      </w:r>
      <w:r w:rsidRPr="003F5594">
        <w:rPr>
          <w:rFonts w:eastAsiaTheme="majorEastAsia" w:cstheme="majorBidi"/>
          <w:b/>
          <w:iCs/>
          <w:sz w:val="26"/>
        </w:rPr>
        <w:t>Sustainability of the payments system</w:t>
      </w:r>
    </w:p>
    <w:p w14:paraId="593695B2" w14:textId="77777777" w:rsidR="001404F7" w:rsidRPr="00896958" w:rsidRDefault="001404F7" w:rsidP="001404F7">
      <w:pPr>
        <w:rPr>
          <w:rFonts w:cs="Arial"/>
          <w:sz w:val="20"/>
          <w:szCs w:val="20"/>
        </w:rPr>
      </w:pPr>
      <w:r w:rsidRPr="00896958">
        <w:rPr>
          <w:rFonts w:cs="Arial"/>
          <w:sz w:val="20"/>
          <w:szCs w:val="20"/>
        </w:rPr>
        <w:t>This criterion measures the sustainability of the payments system by estimating the expected average future welfare payments to be made over the remaining future lifetimes of the Australian resident population. The analysis is taken from the Australian Priority Investment Approach to Welfare actuarial model. This model can be used to contribute to longer-term thinking about costs and sustainability of</w:t>
      </w:r>
      <w:r>
        <w:rPr>
          <w:rFonts w:cs="Arial"/>
          <w:sz w:val="20"/>
          <w:szCs w:val="20"/>
        </w:rPr>
        <w:t xml:space="preserve"> </w:t>
      </w:r>
      <w:r w:rsidRPr="00896958">
        <w:rPr>
          <w:rFonts w:cs="Arial"/>
          <w:sz w:val="20"/>
          <w:szCs w:val="20"/>
        </w:rPr>
        <w:t>the welfare system. The assessment of projected future lifetime costs will help identify where interventions may improve sustainability outcomes.</w:t>
      </w:r>
    </w:p>
    <w:p w14:paraId="1E19A482" w14:textId="77777777" w:rsidR="001404F7" w:rsidRPr="000F067D" w:rsidRDefault="001404F7" w:rsidP="001404F7">
      <w:pPr>
        <w:spacing w:before="240" w:after="240"/>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t xml:space="preserve">C1.1.1 </w:t>
      </w:r>
      <w:r w:rsidRPr="000F067D">
        <w:rPr>
          <w:rFonts w:eastAsiaTheme="majorEastAsia" w:cstheme="majorBidi"/>
          <w:b/>
          <w:color w:val="595959" w:themeColor="text1" w:themeTint="A6"/>
          <w:sz w:val="24"/>
          <w:szCs w:val="20"/>
        </w:rPr>
        <w:t>Average future lifetime cost (in current year dollars) of total welfare payments to individuals</w:t>
      </w:r>
    </w:p>
    <w:p w14:paraId="58C8D6B5" w14:textId="77777777" w:rsidR="001404F7" w:rsidRPr="00896958" w:rsidRDefault="001404F7" w:rsidP="001404F7">
      <w:pPr>
        <w:rPr>
          <w:rFonts w:cs="Arial"/>
          <w:sz w:val="20"/>
          <w:szCs w:val="20"/>
        </w:rPr>
      </w:pPr>
      <w:r w:rsidRPr="00896958">
        <w:rPr>
          <w:rFonts w:cs="Arial"/>
          <w:sz w:val="20"/>
          <w:szCs w:val="20"/>
        </w:rPr>
        <w:t>In the actuarial model, welfare recipients are assigned to a unique welfare class grouping that reflects their life situation and welfare usage. Classes are defined by the payment types currently being received. Further detail about this is provided in the 30 June 2018 Valuation Report.</w:t>
      </w:r>
    </w:p>
    <w:p w14:paraId="2BE1C289" w14:textId="77777777" w:rsidR="001404F7" w:rsidRDefault="001404F7" w:rsidP="001404F7">
      <w:pPr>
        <w:rPr>
          <w:rFonts w:cs="Arial"/>
          <w:sz w:val="20"/>
          <w:szCs w:val="20"/>
        </w:rPr>
      </w:pPr>
      <w:r>
        <w:rPr>
          <w:rFonts w:cs="Arial"/>
          <w:sz w:val="20"/>
          <w:szCs w:val="20"/>
        </w:rPr>
        <w:t>Each valuation estimates the net present value of the future lifetime cost of the welfare system by applying a discount rate to future costs to bring them back to today’s dollars.</w:t>
      </w:r>
      <w:r w:rsidRPr="00022526">
        <w:rPr>
          <w:rFonts w:cs="Arial"/>
          <w:sz w:val="20"/>
          <w:szCs w:val="20"/>
        </w:rPr>
        <w:t xml:space="preserve"> </w:t>
      </w:r>
      <w:r>
        <w:rPr>
          <w:rFonts w:cs="Arial"/>
          <w:sz w:val="20"/>
          <w:szCs w:val="20"/>
        </w:rPr>
        <w:t>While the first three valuations (2015, 2016 and 2017) used a discount rate of 6 per cent, the discount rate for the 2018 valuation was reduced to 5 per cent to reflect economic conditions and to align with other government publications. To enable the comparability of the 2017 and 2018 lifetime costs, the 2017 results have been ‘rebased’ using a 5 per cent discount rate.</w:t>
      </w:r>
    </w:p>
    <w:p w14:paraId="0EF0C103" w14:textId="77777777" w:rsidR="001404F7" w:rsidRPr="00DF285B" w:rsidRDefault="001404F7" w:rsidP="001404F7">
      <w:pPr>
        <w:pStyle w:val="Heading7"/>
      </w:pPr>
      <w:r w:rsidRPr="00DF285B">
        <w:t>Analysis</w:t>
      </w:r>
    </w:p>
    <w:p w14:paraId="45294F41" w14:textId="6DC11EFF" w:rsidR="001404F7" w:rsidRDefault="001404F7" w:rsidP="001404F7">
      <w:pPr>
        <w:rPr>
          <w:rFonts w:cs="Arial"/>
          <w:sz w:val="20"/>
          <w:szCs w:val="20"/>
        </w:rPr>
      </w:pPr>
      <w:r>
        <w:rPr>
          <w:rFonts w:cs="Arial"/>
          <w:sz w:val="20"/>
          <w:szCs w:val="20"/>
        </w:rPr>
        <w:t>The total future lifetime cost for the Australian resident population is estimated to be $5.7 trillion as at 30 June 2018.</w:t>
      </w:r>
      <w:r w:rsidRPr="00022526">
        <w:rPr>
          <w:rFonts w:cs="Arial"/>
          <w:sz w:val="20"/>
          <w:szCs w:val="20"/>
        </w:rPr>
        <w:t xml:space="preserve"> </w:t>
      </w:r>
      <w:r>
        <w:rPr>
          <w:rFonts w:cs="Arial"/>
          <w:sz w:val="20"/>
          <w:szCs w:val="20"/>
        </w:rPr>
        <w:t xml:space="preserve">This is approximately $636 billion (10.1 per cent) lower than the rebased 2017 lifetime cost of $6.3 trillion. </w:t>
      </w:r>
      <w:r w:rsidR="00C817E5">
        <w:rPr>
          <w:rFonts w:cs="Arial"/>
          <w:sz w:val="20"/>
          <w:szCs w:val="20"/>
        </w:rPr>
        <w:t>Tables 2.1.4a and 2.1.4b</w:t>
      </w:r>
      <w:r>
        <w:rPr>
          <w:rFonts w:cs="Arial"/>
          <w:sz w:val="20"/>
          <w:szCs w:val="20"/>
        </w:rPr>
        <w:t xml:space="preserve"> show the contribution of each welfare class and population group to the total future lifetime cost and the average future lifetime cost for each group.</w:t>
      </w:r>
    </w:p>
    <w:p w14:paraId="5CD24F2C" w14:textId="77777777" w:rsidR="001404F7" w:rsidRPr="00D47E5B"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Pr>
          <w:rFonts w:ascii="Arial Narrow" w:eastAsia="Times New Roman" w:hAnsi="Arial Narrow" w:cs="Times New Roman"/>
          <w:b/>
          <w:bCs/>
          <w:spacing w:val="4"/>
          <w:sz w:val="20"/>
          <w:szCs w:val="18"/>
          <w:lang w:eastAsia="en-AU"/>
        </w:rPr>
        <w:t>Table 2.1.4</w:t>
      </w:r>
      <w:r w:rsidRPr="00D47E5B">
        <w:rPr>
          <w:rFonts w:ascii="Arial Narrow" w:eastAsia="Times New Roman" w:hAnsi="Arial Narrow" w:cs="Times New Roman"/>
          <w:b/>
          <w:bCs/>
          <w:spacing w:val="4"/>
          <w:sz w:val="20"/>
          <w:szCs w:val="18"/>
          <w:lang w:eastAsia="en-AU"/>
        </w:rPr>
        <w:t>a: Total future lifetime cost (in current year dollars) by current welfare class</w:t>
      </w:r>
    </w:p>
    <w:tbl>
      <w:tblPr>
        <w:tblStyle w:val="HHorizontaltable1"/>
        <w:tblW w:w="5000" w:type="pct"/>
        <w:tblLook w:val="04A0" w:firstRow="1" w:lastRow="0" w:firstColumn="1" w:lastColumn="0" w:noHBand="0" w:noVBand="1"/>
        <w:tblCaption w:val="Table 2.1.4a: Total future lifetime cost (in current year dollars) by current  welfare class"/>
        <w:tblDescription w:val="Table 2.1.4a: Total future lifetime cost (in current year dollars) by current  welfare class"/>
      </w:tblPr>
      <w:tblGrid>
        <w:gridCol w:w="4020"/>
        <w:gridCol w:w="2504"/>
        <w:gridCol w:w="2502"/>
      </w:tblGrid>
      <w:tr w:rsidR="001404F7" w:rsidRPr="006447FF" w14:paraId="0DD70CA5" w14:textId="77777777" w:rsidTr="001404F7">
        <w:trPr>
          <w:cnfStyle w:val="100000000000" w:firstRow="1" w:lastRow="0" w:firstColumn="0" w:lastColumn="0" w:oddVBand="0" w:evenVBand="0" w:oddHBand="0" w:evenHBand="0" w:firstRowFirstColumn="0" w:firstRowLastColumn="0" w:lastRowFirstColumn="0" w:lastRowLastColumn="0"/>
          <w:trHeight w:val="317"/>
          <w:tblHeader/>
        </w:trPr>
        <w:tc>
          <w:tcPr>
            <w:tcW w:w="2227" w:type="pct"/>
            <w:vMerge w:val="restart"/>
            <w:hideMark/>
          </w:tcPr>
          <w:p w14:paraId="0B342DAB" w14:textId="77777777" w:rsidR="001404F7" w:rsidRPr="00D13460" w:rsidRDefault="001404F7" w:rsidP="001404F7">
            <w:pPr>
              <w:keepNext/>
              <w:keepLines/>
              <w:spacing w:before="40" w:after="40"/>
              <w:jc w:val="center"/>
              <w:rPr>
                <w:rFonts w:eastAsia="Times New Roman" w:cs="Times New Roman"/>
                <w:sz w:val="20"/>
                <w:szCs w:val="18"/>
              </w:rPr>
            </w:pPr>
            <w:r w:rsidRPr="00D13460">
              <w:rPr>
                <w:rFonts w:eastAsia="Times New Roman" w:cs="Times New Roman"/>
                <w:sz w:val="20"/>
                <w:szCs w:val="18"/>
              </w:rPr>
              <w:t>Outcome performance measure</w:t>
            </w:r>
          </w:p>
        </w:tc>
        <w:tc>
          <w:tcPr>
            <w:tcW w:w="2773" w:type="pct"/>
            <w:gridSpan w:val="2"/>
            <w:tcBorders>
              <w:bottom w:val="single" w:sz="12" w:space="0" w:color="FFFFFF" w:themeColor="background1"/>
            </w:tcBorders>
            <w:hideMark/>
          </w:tcPr>
          <w:p w14:paraId="6BC8B510" w14:textId="77777777" w:rsidR="001404F7" w:rsidRPr="00D13460" w:rsidRDefault="001404F7" w:rsidP="001404F7">
            <w:pPr>
              <w:keepNext/>
              <w:keepLines/>
              <w:spacing w:before="40" w:after="40"/>
              <w:jc w:val="center"/>
              <w:rPr>
                <w:rFonts w:eastAsia="Times New Roman" w:cs="Times New Roman"/>
                <w:sz w:val="20"/>
                <w:szCs w:val="18"/>
              </w:rPr>
            </w:pPr>
            <w:r w:rsidRPr="00D13460">
              <w:rPr>
                <w:rFonts w:eastAsia="Times New Roman" w:cs="Times New Roman"/>
                <w:sz w:val="20"/>
                <w:szCs w:val="18"/>
              </w:rPr>
              <w:t>Total future lifetime cost</w:t>
            </w:r>
            <w:r w:rsidRPr="00D13460">
              <w:rPr>
                <w:rFonts w:eastAsia="Times New Roman" w:cs="Times New Roman"/>
                <w:b w:val="0"/>
                <w:sz w:val="20"/>
                <w:szCs w:val="18"/>
                <w:vertAlign w:val="superscript"/>
              </w:rPr>
              <w:t>a</w:t>
            </w:r>
          </w:p>
        </w:tc>
      </w:tr>
      <w:tr w:rsidR="001404F7" w:rsidRPr="006447FF" w14:paraId="2651F348" w14:textId="77777777" w:rsidTr="001404F7">
        <w:trPr>
          <w:cnfStyle w:val="100000000000" w:firstRow="1" w:lastRow="0" w:firstColumn="0" w:lastColumn="0" w:oddVBand="0" w:evenVBand="0" w:oddHBand="0" w:evenHBand="0" w:firstRowFirstColumn="0" w:firstRowLastColumn="0" w:lastRowFirstColumn="0" w:lastRowLastColumn="0"/>
          <w:trHeight w:val="317"/>
          <w:tblHeader/>
        </w:trPr>
        <w:tc>
          <w:tcPr>
            <w:tcW w:w="2227" w:type="pct"/>
            <w:vMerge/>
            <w:hideMark/>
          </w:tcPr>
          <w:p w14:paraId="0E0CC3BA" w14:textId="77777777" w:rsidR="001404F7" w:rsidRPr="00D13460" w:rsidRDefault="001404F7" w:rsidP="001404F7">
            <w:pPr>
              <w:jc w:val="center"/>
              <w:rPr>
                <w:rFonts w:eastAsia="Times New Roman" w:cs="Times New Roman"/>
                <w:sz w:val="20"/>
                <w:szCs w:val="18"/>
              </w:rPr>
            </w:pPr>
          </w:p>
        </w:tc>
        <w:tc>
          <w:tcPr>
            <w:tcW w:w="1387" w:type="pct"/>
            <w:tcBorders>
              <w:top w:val="single" w:sz="12" w:space="0" w:color="FFFFFF" w:themeColor="background1"/>
              <w:bottom w:val="single" w:sz="4" w:space="0" w:color="FFFFFF" w:themeColor="background1"/>
            </w:tcBorders>
            <w:hideMark/>
          </w:tcPr>
          <w:p w14:paraId="1ABD6960" w14:textId="77777777" w:rsidR="001404F7" w:rsidRPr="00D13460" w:rsidRDefault="001404F7" w:rsidP="001404F7">
            <w:pPr>
              <w:keepNext/>
              <w:keepLines/>
              <w:spacing w:before="40" w:after="40"/>
              <w:jc w:val="center"/>
              <w:rPr>
                <w:rFonts w:eastAsia="Times New Roman" w:cs="Times New Roman"/>
                <w:b w:val="0"/>
                <w:sz w:val="20"/>
                <w:szCs w:val="20"/>
              </w:rPr>
            </w:pPr>
            <w:r w:rsidRPr="00D13460">
              <w:rPr>
                <w:rFonts w:eastAsia="Times New Roman" w:cs="Times New Roman"/>
                <w:b w:val="0"/>
                <w:sz w:val="20"/>
                <w:szCs w:val="20"/>
              </w:rPr>
              <w:t>June 2018</w:t>
            </w:r>
            <w:r w:rsidRPr="00D13460">
              <w:rPr>
                <w:rFonts w:eastAsia="Times New Roman" w:cs="Times New Roman"/>
                <w:b w:val="0"/>
                <w:sz w:val="20"/>
                <w:szCs w:val="20"/>
                <w:vertAlign w:val="superscript"/>
              </w:rPr>
              <w:t xml:space="preserve"> c</w:t>
            </w:r>
          </w:p>
        </w:tc>
        <w:tc>
          <w:tcPr>
            <w:tcW w:w="1386" w:type="pct"/>
            <w:tcBorders>
              <w:top w:val="single" w:sz="12" w:space="0" w:color="FFFFFF" w:themeColor="background1"/>
              <w:bottom w:val="single" w:sz="4" w:space="0" w:color="FFFFFF" w:themeColor="background1"/>
            </w:tcBorders>
            <w:hideMark/>
          </w:tcPr>
          <w:p w14:paraId="6F804131" w14:textId="77777777" w:rsidR="001404F7" w:rsidRPr="00D13460" w:rsidRDefault="001404F7" w:rsidP="001404F7">
            <w:pPr>
              <w:keepNext/>
              <w:keepLines/>
              <w:spacing w:before="40" w:after="40"/>
              <w:jc w:val="center"/>
              <w:rPr>
                <w:rFonts w:eastAsia="Times New Roman" w:cs="Times New Roman"/>
                <w:b w:val="0"/>
                <w:sz w:val="20"/>
                <w:szCs w:val="20"/>
              </w:rPr>
            </w:pPr>
            <w:r w:rsidRPr="00D13460">
              <w:rPr>
                <w:rFonts w:eastAsia="Times New Roman" w:cs="Times New Roman"/>
                <w:b w:val="0"/>
                <w:sz w:val="20"/>
                <w:szCs w:val="20"/>
              </w:rPr>
              <w:t>June 2017</w:t>
            </w:r>
            <w:r w:rsidRPr="00D13460">
              <w:rPr>
                <w:rFonts w:eastAsia="Times New Roman" w:cs="Times New Roman"/>
                <w:b w:val="0"/>
                <w:sz w:val="20"/>
                <w:szCs w:val="20"/>
                <w:vertAlign w:val="superscript"/>
              </w:rPr>
              <w:t>b</w:t>
            </w:r>
          </w:p>
        </w:tc>
      </w:tr>
      <w:tr w:rsidR="001404F7" w:rsidRPr="006447FF" w14:paraId="567B242C"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3"/>
            <w:tcBorders>
              <w:bottom w:val="single" w:sz="12" w:space="0" w:color="00B0B9"/>
            </w:tcBorders>
            <w:hideMark/>
          </w:tcPr>
          <w:p w14:paraId="30EEDC03" w14:textId="77777777" w:rsidR="001404F7" w:rsidRPr="00E57F5C" w:rsidRDefault="001404F7" w:rsidP="001404F7">
            <w:pPr>
              <w:keepNext/>
              <w:keepLines/>
              <w:spacing w:before="40" w:after="40"/>
              <w:rPr>
                <w:rFonts w:eastAsia="Times New Roman" w:cs="Times New Roman"/>
                <w:b/>
                <w:sz w:val="20"/>
                <w:szCs w:val="20"/>
                <w:highlight w:val="yellow"/>
              </w:rPr>
            </w:pPr>
            <w:r w:rsidRPr="00E57F5C">
              <w:rPr>
                <w:rFonts w:eastAsia="Times New Roman" w:cs="Times New Roman"/>
                <w:b/>
                <w:color w:val="000000" w:themeColor="text1"/>
                <w:sz w:val="20"/>
                <w:szCs w:val="20"/>
              </w:rPr>
              <w:t>Cross program</w:t>
            </w:r>
          </w:p>
        </w:tc>
      </w:tr>
      <w:tr w:rsidR="001404F7" w:rsidRPr="006447FF" w14:paraId="02FD6208"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3"/>
            <w:tcBorders>
              <w:top w:val="single" w:sz="12" w:space="0" w:color="00B0B9"/>
              <w:bottom w:val="single" w:sz="4" w:space="0" w:color="FFFFFF" w:themeColor="background1"/>
            </w:tcBorders>
            <w:hideMark/>
          </w:tcPr>
          <w:p w14:paraId="4D2797F5" w14:textId="77777777" w:rsidR="001404F7" w:rsidRPr="006447FF" w:rsidRDefault="001404F7" w:rsidP="001404F7">
            <w:pPr>
              <w:spacing w:before="40" w:after="40"/>
              <w:rPr>
                <w:rFonts w:eastAsia="Times New Roman" w:cs="Arial"/>
                <w:color w:val="000000" w:themeColor="text1"/>
                <w:spacing w:val="4"/>
                <w:sz w:val="20"/>
                <w:szCs w:val="17"/>
                <w:highlight w:val="yellow"/>
                <w:lang w:val="en-GB"/>
              </w:rPr>
            </w:pPr>
            <w:r w:rsidRPr="006447FF">
              <w:rPr>
                <w:rFonts w:eastAsia="Times New Roman" w:cs="Arial"/>
                <w:color w:val="000000" w:themeColor="text1"/>
                <w:spacing w:val="4"/>
                <w:sz w:val="20"/>
                <w:szCs w:val="17"/>
                <w:lang w:val="en-GB"/>
              </w:rPr>
              <w:t>Current welfare recipients</w:t>
            </w:r>
          </w:p>
        </w:tc>
      </w:tr>
      <w:tr w:rsidR="001404F7" w:rsidRPr="006447FF" w14:paraId="4DC18500" w14:textId="77777777" w:rsidTr="001404F7">
        <w:trPr>
          <w:cnfStyle w:val="000000100000" w:firstRow="0" w:lastRow="0" w:firstColumn="0" w:lastColumn="0" w:oddVBand="0" w:evenVBand="0" w:oddHBand="1" w:evenHBand="0" w:firstRowFirstColumn="0" w:firstRowLastColumn="0" w:lastRowFirstColumn="0" w:lastRowLastColumn="0"/>
        </w:trPr>
        <w:tc>
          <w:tcPr>
            <w:tcW w:w="2227" w:type="pct"/>
            <w:tcBorders>
              <w:top w:val="single" w:sz="4" w:space="0" w:color="FFFFFF" w:themeColor="background1"/>
            </w:tcBorders>
            <w:hideMark/>
          </w:tcPr>
          <w:p w14:paraId="4DA68015" w14:textId="77777777" w:rsidR="001404F7" w:rsidRPr="006447FF" w:rsidRDefault="001404F7" w:rsidP="001404F7">
            <w:pPr>
              <w:numPr>
                <w:ilvl w:val="0"/>
                <w:numId w:val="81"/>
              </w:num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Studying Payment recipients</w:t>
            </w:r>
          </w:p>
        </w:tc>
        <w:tc>
          <w:tcPr>
            <w:tcW w:w="1387" w:type="pct"/>
            <w:tcBorders>
              <w:top w:val="single" w:sz="4" w:space="0" w:color="FFFFFF" w:themeColor="background1"/>
            </w:tcBorders>
          </w:tcPr>
          <w:p w14:paraId="078C81CC" w14:textId="77777777" w:rsidR="001404F7" w:rsidRPr="00812EC9" w:rsidRDefault="001404F7" w:rsidP="001404F7">
            <w:pPr>
              <w:spacing w:before="40" w:after="40"/>
              <w:jc w:val="right"/>
              <w:rPr>
                <w:rFonts w:eastAsia="Times New Roman"/>
                <w:spacing w:val="4"/>
                <w:sz w:val="20"/>
                <w:szCs w:val="20"/>
                <w:lang w:val="en-GB"/>
              </w:rPr>
            </w:pPr>
            <w:r w:rsidRPr="00812EC9">
              <w:rPr>
                <w:rFonts w:eastAsia="Times New Roman"/>
                <w:spacing w:val="4"/>
                <w:sz w:val="20"/>
                <w:szCs w:val="17"/>
                <w:lang w:val="en-GB"/>
              </w:rPr>
              <w:t>$94b</w:t>
            </w:r>
          </w:p>
        </w:tc>
        <w:tc>
          <w:tcPr>
            <w:tcW w:w="1386" w:type="pct"/>
            <w:tcBorders>
              <w:top w:val="single" w:sz="4" w:space="0" w:color="FFFFFF" w:themeColor="background1"/>
            </w:tcBorders>
          </w:tcPr>
          <w:p w14:paraId="345C2343" w14:textId="77777777" w:rsidR="001404F7" w:rsidRPr="00812EC9" w:rsidRDefault="001404F7" w:rsidP="001404F7">
            <w:pPr>
              <w:spacing w:before="40" w:after="40"/>
              <w:jc w:val="right"/>
              <w:rPr>
                <w:rFonts w:eastAsia="Times New Roman"/>
                <w:spacing w:val="4"/>
                <w:sz w:val="20"/>
                <w:szCs w:val="20"/>
                <w:lang w:val="en-GB"/>
              </w:rPr>
            </w:pPr>
            <w:r w:rsidRPr="00812EC9">
              <w:rPr>
                <w:sz w:val="20"/>
                <w:szCs w:val="20"/>
              </w:rPr>
              <w:t>$112b</w:t>
            </w:r>
          </w:p>
        </w:tc>
      </w:tr>
      <w:tr w:rsidR="001404F7" w:rsidRPr="006447FF" w14:paraId="239A7C08" w14:textId="77777777" w:rsidTr="001404F7">
        <w:trPr>
          <w:cnfStyle w:val="000000010000" w:firstRow="0" w:lastRow="0" w:firstColumn="0" w:lastColumn="0" w:oddVBand="0" w:evenVBand="0" w:oddHBand="0" w:evenHBand="1" w:firstRowFirstColumn="0" w:firstRowLastColumn="0" w:lastRowFirstColumn="0" w:lastRowLastColumn="0"/>
        </w:trPr>
        <w:tc>
          <w:tcPr>
            <w:tcW w:w="2227" w:type="pct"/>
            <w:hideMark/>
          </w:tcPr>
          <w:p w14:paraId="14182BAB" w14:textId="77777777" w:rsidR="001404F7" w:rsidRPr="006447FF" w:rsidRDefault="001404F7" w:rsidP="001404F7">
            <w:pPr>
              <w:numPr>
                <w:ilvl w:val="0"/>
                <w:numId w:val="81"/>
              </w:num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Working Age Payment recipients</w:t>
            </w:r>
          </w:p>
        </w:tc>
        <w:tc>
          <w:tcPr>
            <w:tcW w:w="1387" w:type="pct"/>
          </w:tcPr>
          <w:p w14:paraId="7E4FEA5A" w14:textId="77777777" w:rsidR="001404F7" w:rsidRPr="00812EC9" w:rsidRDefault="001404F7" w:rsidP="001404F7">
            <w:pPr>
              <w:spacing w:before="40" w:after="40"/>
              <w:jc w:val="right"/>
              <w:rPr>
                <w:rFonts w:eastAsia="Times New Roman" w:cs="Arial"/>
                <w:spacing w:val="4"/>
                <w:sz w:val="20"/>
                <w:szCs w:val="20"/>
                <w:lang w:val="en-GB"/>
              </w:rPr>
            </w:pPr>
            <w:r w:rsidRPr="00812EC9">
              <w:rPr>
                <w:rFonts w:eastAsia="Times New Roman" w:cs="Arial"/>
                <w:spacing w:val="4"/>
                <w:sz w:val="20"/>
                <w:szCs w:val="17"/>
                <w:lang w:val="en-GB"/>
              </w:rPr>
              <w:t>$471b</w:t>
            </w:r>
          </w:p>
        </w:tc>
        <w:tc>
          <w:tcPr>
            <w:tcW w:w="1386" w:type="pct"/>
          </w:tcPr>
          <w:p w14:paraId="5ADE777A" w14:textId="77777777" w:rsidR="001404F7" w:rsidRPr="00812EC9" w:rsidRDefault="001404F7" w:rsidP="001404F7">
            <w:pPr>
              <w:spacing w:before="40" w:after="40"/>
              <w:jc w:val="right"/>
              <w:rPr>
                <w:rFonts w:eastAsia="Times New Roman" w:cs="Arial"/>
                <w:spacing w:val="4"/>
                <w:sz w:val="20"/>
                <w:szCs w:val="20"/>
                <w:lang w:val="en-GB"/>
              </w:rPr>
            </w:pPr>
            <w:r w:rsidRPr="00812EC9">
              <w:rPr>
                <w:sz w:val="20"/>
                <w:szCs w:val="20"/>
              </w:rPr>
              <w:t>$521b</w:t>
            </w:r>
          </w:p>
        </w:tc>
      </w:tr>
      <w:tr w:rsidR="001404F7" w:rsidRPr="006447FF" w14:paraId="09535812" w14:textId="77777777" w:rsidTr="001404F7">
        <w:trPr>
          <w:cnfStyle w:val="000000100000" w:firstRow="0" w:lastRow="0" w:firstColumn="0" w:lastColumn="0" w:oddVBand="0" w:evenVBand="0" w:oddHBand="1" w:evenHBand="0" w:firstRowFirstColumn="0" w:firstRowLastColumn="0" w:lastRowFirstColumn="0" w:lastRowLastColumn="0"/>
        </w:trPr>
        <w:tc>
          <w:tcPr>
            <w:tcW w:w="2227" w:type="pct"/>
            <w:hideMark/>
          </w:tcPr>
          <w:p w14:paraId="78950A48" w14:textId="77777777" w:rsidR="001404F7" w:rsidRPr="006447FF" w:rsidRDefault="001404F7" w:rsidP="001404F7">
            <w:pPr>
              <w:numPr>
                <w:ilvl w:val="0"/>
                <w:numId w:val="81"/>
              </w:num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Parenting Payment recipients</w:t>
            </w:r>
          </w:p>
        </w:tc>
        <w:tc>
          <w:tcPr>
            <w:tcW w:w="1387" w:type="pct"/>
          </w:tcPr>
          <w:p w14:paraId="08B86206" w14:textId="77777777" w:rsidR="001404F7" w:rsidRPr="00812EC9" w:rsidRDefault="001404F7" w:rsidP="001404F7">
            <w:pPr>
              <w:spacing w:before="40" w:after="40"/>
              <w:jc w:val="right"/>
              <w:rPr>
                <w:rFonts w:eastAsia="Times New Roman"/>
                <w:spacing w:val="4"/>
                <w:sz w:val="20"/>
                <w:szCs w:val="20"/>
                <w:lang w:val="en-GB"/>
              </w:rPr>
            </w:pPr>
            <w:r w:rsidRPr="00812EC9">
              <w:rPr>
                <w:rFonts w:eastAsia="Times New Roman"/>
                <w:spacing w:val="4"/>
                <w:sz w:val="20"/>
                <w:szCs w:val="17"/>
                <w:lang w:val="en-GB"/>
              </w:rPr>
              <w:t>$220b</w:t>
            </w:r>
          </w:p>
        </w:tc>
        <w:tc>
          <w:tcPr>
            <w:tcW w:w="1386" w:type="pct"/>
          </w:tcPr>
          <w:p w14:paraId="24952905" w14:textId="77777777" w:rsidR="001404F7" w:rsidRPr="00812EC9" w:rsidRDefault="001404F7" w:rsidP="001404F7">
            <w:pPr>
              <w:spacing w:before="40" w:after="40"/>
              <w:jc w:val="right"/>
              <w:rPr>
                <w:rFonts w:eastAsia="Times New Roman"/>
                <w:spacing w:val="4"/>
                <w:sz w:val="20"/>
                <w:szCs w:val="20"/>
                <w:lang w:val="en-GB"/>
              </w:rPr>
            </w:pPr>
            <w:r w:rsidRPr="00812EC9">
              <w:rPr>
                <w:sz w:val="20"/>
                <w:szCs w:val="20"/>
              </w:rPr>
              <w:t>$259b</w:t>
            </w:r>
          </w:p>
        </w:tc>
      </w:tr>
      <w:tr w:rsidR="001404F7" w:rsidRPr="006447FF" w14:paraId="68E30AD2" w14:textId="77777777" w:rsidTr="001404F7">
        <w:trPr>
          <w:cnfStyle w:val="000000010000" w:firstRow="0" w:lastRow="0" w:firstColumn="0" w:lastColumn="0" w:oddVBand="0" w:evenVBand="0" w:oddHBand="0" w:evenHBand="1" w:firstRowFirstColumn="0" w:firstRowLastColumn="0" w:lastRowFirstColumn="0" w:lastRowLastColumn="0"/>
        </w:trPr>
        <w:tc>
          <w:tcPr>
            <w:tcW w:w="2227" w:type="pct"/>
            <w:hideMark/>
          </w:tcPr>
          <w:p w14:paraId="5D66674E" w14:textId="77777777" w:rsidR="001404F7" w:rsidRPr="006447FF" w:rsidRDefault="001404F7" w:rsidP="001404F7">
            <w:pPr>
              <w:numPr>
                <w:ilvl w:val="0"/>
                <w:numId w:val="81"/>
              </w:num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Carer Payment recipients</w:t>
            </w:r>
          </w:p>
        </w:tc>
        <w:tc>
          <w:tcPr>
            <w:tcW w:w="1387" w:type="pct"/>
          </w:tcPr>
          <w:p w14:paraId="3C960117" w14:textId="77777777" w:rsidR="001404F7" w:rsidRPr="00812EC9" w:rsidRDefault="001404F7" w:rsidP="001404F7">
            <w:pPr>
              <w:spacing w:before="40" w:after="40"/>
              <w:jc w:val="right"/>
              <w:rPr>
                <w:rFonts w:eastAsia="Times New Roman" w:cs="Arial"/>
                <w:spacing w:val="4"/>
                <w:sz w:val="20"/>
                <w:szCs w:val="20"/>
                <w:lang w:val="en-GB"/>
              </w:rPr>
            </w:pPr>
            <w:r w:rsidRPr="00812EC9">
              <w:rPr>
                <w:rFonts w:eastAsia="Times New Roman" w:cs="Arial"/>
                <w:spacing w:val="4"/>
                <w:sz w:val="20"/>
                <w:szCs w:val="17"/>
                <w:lang w:val="en-GB"/>
              </w:rPr>
              <w:t>$155b</w:t>
            </w:r>
          </w:p>
        </w:tc>
        <w:tc>
          <w:tcPr>
            <w:tcW w:w="1386" w:type="pct"/>
          </w:tcPr>
          <w:p w14:paraId="61B49C74" w14:textId="77777777" w:rsidR="001404F7" w:rsidRPr="00812EC9" w:rsidRDefault="001404F7" w:rsidP="001404F7">
            <w:pPr>
              <w:spacing w:before="40" w:after="40"/>
              <w:jc w:val="right"/>
              <w:rPr>
                <w:rFonts w:eastAsia="Times New Roman" w:cs="Arial"/>
                <w:spacing w:val="4"/>
                <w:sz w:val="20"/>
                <w:szCs w:val="20"/>
                <w:lang w:val="en-GB"/>
              </w:rPr>
            </w:pPr>
            <w:r w:rsidRPr="00812EC9">
              <w:rPr>
                <w:sz w:val="20"/>
                <w:szCs w:val="20"/>
              </w:rPr>
              <w:t>$148b</w:t>
            </w:r>
          </w:p>
        </w:tc>
      </w:tr>
      <w:tr w:rsidR="001404F7" w:rsidRPr="006447FF" w14:paraId="1BF0E247" w14:textId="77777777" w:rsidTr="001404F7">
        <w:trPr>
          <w:cnfStyle w:val="000000100000" w:firstRow="0" w:lastRow="0" w:firstColumn="0" w:lastColumn="0" w:oddVBand="0" w:evenVBand="0" w:oddHBand="1" w:evenHBand="0" w:firstRowFirstColumn="0" w:firstRowLastColumn="0" w:lastRowFirstColumn="0" w:lastRowLastColumn="0"/>
        </w:trPr>
        <w:tc>
          <w:tcPr>
            <w:tcW w:w="2227" w:type="pct"/>
            <w:hideMark/>
          </w:tcPr>
          <w:p w14:paraId="6922FDB7" w14:textId="77777777" w:rsidR="001404F7" w:rsidRPr="006447FF" w:rsidRDefault="001404F7" w:rsidP="001404F7">
            <w:pPr>
              <w:numPr>
                <w:ilvl w:val="0"/>
                <w:numId w:val="81"/>
              </w:num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Disability Support Pension recipients</w:t>
            </w:r>
          </w:p>
        </w:tc>
        <w:tc>
          <w:tcPr>
            <w:tcW w:w="1387" w:type="pct"/>
          </w:tcPr>
          <w:p w14:paraId="7E6C571A" w14:textId="77777777" w:rsidR="001404F7" w:rsidRPr="00812EC9" w:rsidRDefault="001404F7" w:rsidP="001404F7">
            <w:pPr>
              <w:spacing w:before="40" w:after="40"/>
              <w:jc w:val="right"/>
              <w:rPr>
                <w:rFonts w:eastAsia="Times New Roman"/>
                <w:spacing w:val="4"/>
                <w:sz w:val="20"/>
                <w:szCs w:val="20"/>
                <w:lang w:val="en-GB"/>
              </w:rPr>
            </w:pPr>
            <w:r w:rsidRPr="00812EC9">
              <w:rPr>
                <w:rFonts w:eastAsia="Times New Roman"/>
                <w:spacing w:val="4"/>
                <w:sz w:val="20"/>
                <w:szCs w:val="17"/>
                <w:lang w:val="en-GB"/>
              </w:rPr>
              <w:t>$417b</w:t>
            </w:r>
          </w:p>
        </w:tc>
        <w:tc>
          <w:tcPr>
            <w:tcW w:w="1386" w:type="pct"/>
          </w:tcPr>
          <w:p w14:paraId="1D5689CB" w14:textId="77777777" w:rsidR="001404F7" w:rsidRPr="00812EC9" w:rsidRDefault="001404F7" w:rsidP="001404F7">
            <w:pPr>
              <w:spacing w:before="40" w:after="40"/>
              <w:jc w:val="right"/>
              <w:rPr>
                <w:rFonts w:eastAsia="Times New Roman"/>
                <w:spacing w:val="4"/>
                <w:sz w:val="20"/>
                <w:szCs w:val="20"/>
                <w:lang w:val="en-GB"/>
              </w:rPr>
            </w:pPr>
            <w:r w:rsidRPr="00812EC9">
              <w:rPr>
                <w:sz w:val="20"/>
                <w:szCs w:val="20"/>
              </w:rPr>
              <w:t>$417b</w:t>
            </w:r>
          </w:p>
        </w:tc>
      </w:tr>
      <w:tr w:rsidR="001404F7" w:rsidRPr="006447FF" w14:paraId="2B1BC7A5" w14:textId="77777777" w:rsidTr="001404F7">
        <w:trPr>
          <w:cnfStyle w:val="000000010000" w:firstRow="0" w:lastRow="0" w:firstColumn="0" w:lastColumn="0" w:oddVBand="0" w:evenVBand="0" w:oddHBand="0" w:evenHBand="1" w:firstRowFirstColumn="0" w:firstRowLastColumn="0" w:lastRowFirstColumn="0" w:lastRowLastColumn="0"/>
        </w:trPr>
        <w:tc>
          <w:tcPr>
            <w:tcW w:w="2227" w:type="pct"/>
            <w:hideMark/>
          </w:tcPr>
          <w:p w14:paraId="032573BF" w14:textId="77777777" w:rsidR="001404F7" w:rsidRPr="006447FF" w:rsidRDefault="001404F7" w:rsidP="001404F7">
            <w:pPr>
              <w:numPr>
                <w:ilvl w:val="0"/>
                <w:numId w:val="81"/>
              </w:num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Age Pension recipients</w:t>
            </w:r>
          </w:p>
        </w:tc>
        <w:tc>
          <w:tcPr>
            <w:tcW w:w="1387" w:type="pct"/>
          </w:tcPr>
          <w:p w14:paraId="4ED61178" w14:textId="77777777" w:rsidR="001404F7" w:rsidRPr="00812EC9" w:rsidRDefault="001404F7" w:rsidP="001404F7">
            <w:pPr>
              <w:spacing w:before="40" w:after="40"/>
              <w:jc w:val="right"/>
              <w:rPr>
                <w:rFonts w:eastAsia="Times New Roman" w:cs="Arial"/>
                <w:spacing w:val="4"/>
                <w:sz w:val="20"/>
                <w:szCs w:val="20"/>
                <w:lang w:val="en-GB"/>
              </w:rPr>
            </w:pPr>
            <w:r w:rsidRPr="00812EC9">
              <w:rPr>
                <w:rFonts w:eastAsia="Times New Roman" w:cs="Arial"/>
                <w:spacing w:val="4"/>
                <w:sz w:val="20"/>
                <w:szCs w:val="17"/>
                <w:lang w:val="en-GB"/>
              </w:rPr>
              <w:t>$577b</w:t>
            </w:r>
          </w:p>
        </w:tc>
        <w:tc>
          <w:tcPr>
            <w:tcW w:w="1386" w:type="pct"/>
          </w:tcPr>
          <w:p w14:paraId="05691373" w14:textId="77777777" w:rsidR="001404F7" w:rsidRPr="00812EC9" w:rsidRDefault="001404F7" w:rsidP="001404F7">
            <w:pPr>
              <w:spacing w:before="40" w:after="40"/>
              <w:jc w:val="right"/>
              <w:rPr>
                <w:rFonts w:eastAsia="Times New Roman" w:cs="Arial"/>
                <w:spacing w:val="4"/>
                <w:sz w:val="20"/>
                <w:szCs w:val="20"/>
                <w:lang w:val="en-GB"/>
              </w:rPr>
            </w:pPr>
            <w:r w:rsidRPr="00812EC9">
              <w:rPr>
                <w:sz w:val="20"/>
                <w:szCs w:val="20"/>
              </w:rPr>
              <w:t>$591b</w:t>
            </w:r>
          </w:p>
        </w:tc>
      </w:tr>
      <w:tr w:rsidR="001404F7" w:rsidRPr="006447FF" w14:paraId="795E53CF" w14:textId="77777777" w:rsidTr="001404F7">
        <w:trPr>
          <w:cnfStyle w:val="000000100000" w:firstRow="0" w:lastRow="0" w:firstColumn="0" w:lastColumn="0" w:oddVBand="0" w:evenVBand="0" w:oddHBand="1" w:evenHBand="0" w:firstRowFirstColumn="0" w:firstRowLastColumn="0" w:lastRowFirstColumn="0" w:lastRowLastColumn="0"/>
        </w:trPr>
        <w:tc>
          <w:tcPr>
            <w:tcW w:w="2227" w:type="pct"/>
            <w:hideMark/>
          </w:tcPr>
          <w:p w14:paraId="63C6C680" w14:textId="77777777" w:rsidR="001404F7" w:rsidRPr="006447FF" w:rsidRDefault="001404F7" w:rsidP="001404F7">
            <w:pPr>
              <w:numPr>
                <w:ilvl w:val="0"/>
                <w:numId w:val="81"/>
              </w:num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Recipients of non-Income Support Family Payments</w:t>
            </w:r>
          </w:p>
        </w:tc>
        <w:tc>
          <w:tcPr>
            <w:tcW w:w="1387" w:type="pct"/>
          </w:tcPr>
          <w:p w14:paraId="5BBA1A3A" w14:textId="77777777" w:rsidR="001404F7" w:rsidRPr="00812EC9" w:rsidRDefault="001404F7" w:rsidP="001404F7">
            <w:pPr>
              <w:spacing w:before="40" w:after="40"/>
              <w:jc w:val="right"/>
              <w:rPr>
                <w:rFonts w:eastAsia="Times New Roman"/>
                <w:spacing w:val="4"/>
                <w:sz w:val="20"/>
                <w:szCs w:val="20"/>
                <w:lang w:val="en-GB"/>
              </w:rPr>
            </w:pPr>
            <w:r w:rsidRPr="00812EC9">
              <w:rPr>
                <w:rFonts w:eastAsia="Times New Roman"/>
                <w:spacing w:val="4"/>
                <w:sz w:val="20"/>
                <w:szCs w:val="17"/>
                <w:lang w:val="en-GB"/>
              </w:rPr>
              <w:t>$354b</w:t>
            </w:r>
          </w:p>
        </w:tc>
        <w:tc>
          <w:tcPr>
            <w:tcW w:w="1386" w:type="pct"/>
          </w:tcPr>
          <w:p w14:paraId="0D8D1B55" w14:textId="77777777" w:rsidR="001404F7" w:rsidRPr="00812EC9" w:rsidRDefault="001404F7" w:rsidP="001404F7">
            <w:pPr>
              <w:spacing w:before="40" w:after="40"/>
              <w:jc w:val="right"/>
              <w:rPr>
                <w:rFonts w:eastAsia="Times New Roman"/>
                <w:spacing w:val="4"/>
                <w:sz w:val="20"/>
                <w:szCs w:val="20"/>
                <w:lang w:val="en-GB"/>
              </w:rPr>
            </w:pPr>
            <w:r w:rsidRPr="00812EC9">
              <w:rPr>
                <w:sz w:val="20"/>
                <w:szCs w:val="20"/>
              </w:rPr>
              <w:t>$403b</w:t>
            </w:r>
          </w:p>
        </w:tc>
      </w:tr>
      <w:tr w:rsidR="001404F7" w:rsidRPr="006447FF" w14:paraId="426FBA9E" w14:textId="77777777" w:rsidTr="001404F7">
        <w:trPr>
          <w:cnfStyle w:val="000000010000" w:firstRow="0" w:lastRow="0" w:firstColumn="0" w:lastColumn="0" w:oddVBand="0" w:evenVBand="0" w:oddHBand="0" w:evenHBand="1" w:firstRowFirstColumn="0" w:firstRowLastColumn="0" w:lastRowFirstColumn="0" w:lastRowLastColumn="0"/>
        </w:trPr>
        <w:tc>
          <w:tcPr>
            <w:tcW w:w="2227" w:type="pct"/>
            <w:hideMark/>
          </w:tcPr>
          <w:p w14:paraId="32C2146D" w14:textId="77777777" w:rsidR="001404F7" w:rsidRPr="006447FF" w:rsidRDefault="001404F7" w:rsidP="001404F7">
            <w:pPr>
              <w:numPr>
                <w:ilvl w:val="0"/>
                <w:numId w:val="81"/>
              </w:num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lastRenderedPageBreak/>
              <w:t>Recipients of non-Income Support Carer Payments</w:t>
            </w:r>
          </w:p>
        </w:tc>
        <w:tc>
          <w:tcPr>
            <w:tcW w:w="1387" w:type="pct"/>
          </w:tcPr>
          <w:p w14:paraId="5A96668C" w14:textId="77777777" w:rsidR="001404F7" w:rsidRPr="00812EC9" w:rsidRDefault="001404F7" w:rsidP="001404F7">
            <w:pPr>
              <w:spacing w:before="40" w:after="40"/>
              <w:jc w:val="right"/>
              <w:rPr>
                <w:rFonts w:eastAsia="Times New Roman" w:cs="Arial"/>
                <w:spacing w:val="4"/>
                <w:sz w:val="20"/>
                <w:szCs w:val="20"/>
                <w:lang w:val="en-GB"/>
              </w:rPr>
            </w:pPr>
            <w:r w:rsidRPr="00812EC9">
              <w:rPr>
                <w:rFonts w:eastAsia="Times New Roman"/>
                <w:spacing w:val="4"/>
                <w:sz w:val="20"/>
                <w:szCs w:val="20"/>
                <w:lang w:val="en-GB"/>
              </w:rPr>
              <w:t>$51b</w:t>
            </w:r>
          </w:p>
        </w:tc>
        <w:tc>
          <w:tcPr>
            <w:tcW w:w="1386" w:type="pct"/>
          </w:tcPr>
          <w:p w14:paraId="56E8F79A" w14:textId="77777777" w:rsidR="001404F7" w:rsidRPr="00812EC9" w:rsidRDefault="001404F7" w:rsidP="001404F7">
            <w:pPr>
              <w:spacing w:before="40" w:after="40"/>
              <w:jc w:val="right"/>
              <w:rPr>
                <w:rFonts w:eastAsia="Times New Roman" w:cs="Arial"/>
                <w:spacing w:val="4"/>
                <w:sz w:val="20"/>
                <w:szCs w:val="17"/>
                <w:lang w:val="en-GB"/>
              </w:rPr>
            </w:pPr>
            <w:r w:rsidRPr="00812EC9">
              <w:rPr>
                <w:sz w:val="20"/>
                <w:szCs w:val="20"/>
              </w:rPr>
              <w:t>$53b</w:t>
            </w:r>
          </w:p>
        </w:tc>
      </w:tr>
      <w:tr w:rsidR="001404F7" w:rsidRPr="006447FF" w14:paraId="498E339E" w14:textId="77777777" w:rsidTr="001404F7">
        <w:trPr>
          <w:cnfStyle w:val="000000100000" w:firstRow="0" w:lastRow="0" w:firstColumn="0" w:lastColumn="0" w:oddVBand="0" w:evenVBand="0" w:oddHBand="1" w:evenHBand="0" w:firstRowFirstColumn="0" w:firstRowLastColumn="0" w:lastRowFirstColumn="0" w:lastRowLastColumn="0"/>
        </w:trPr>
        <w:tc>
          <w:tcPr>
            <w:tcW w:w="2227" w:type="pct"/>
            <w:hideMark/>
          </w:tcPr>
          <w:p w14:paraId="535719E9" w14:textId="77777777" w:rsidR="001404F7" w:rsidRPr="006447FF" w:rsidRDefault="001404F7" w:rsidP="001404F7">
            <w:pPr>
              <w:numPr>
                <w:ilvl w:val="0"/>
                <w:numId w:val="81"/>
              </w:num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Recipients of other non-Income Support Payments</w:t>
            </w:r>
          </w:p>
        </w:tc>
        <w:tc>
          <w:tcPr>
            <w:tcW w:w="1387" w:type="pct"/>
          </w:tcPr>
          <w:p w14:paraId="4F89E9AB" w14:textId="77777777" w:rsidR="001404F7" w:rsidRPr="00812EC9" w:rsidRDefault="001404F7" w:rsidP="001404F7">
            <w:pPr>
              <w:spacing w:before="40" w:after="40"/>
              <w:jc w:val="right"/>
              <w:rPr>
                <w:rFonts w:eastAsia="Times New Roman"/>
                <w:spacing w:val="4"/>
                <w:sz w:val="20"/>
                <w:szCs w:val="20"/>
                <w:lang w:val="en-GB"/>
              </w:rPr>
            </w:pPr>
            <w:r w:rsidRPr="00812EC9">
              <w:rPr>
                <w:rFonts w:eastAsia="Times New Roman"/>
                <w:spacing w:val="4"/>
                <w:sz w:val="20"/>
                <w:szCs w:val="20"/>
                <w:lang w:val="en-GB"/>
              </w:rPr>
              <w:t>$98b</w:t>
            </w:r>
          </w:p>
        </w:tc>
        <w:tc>
          <w:tcPr>
            <w:tcW w:w="1386" w:type="pct"/>
          </w:tcPr>
          <w:p w14:paraId="78D61FC8" w14:textId="77777777" w:rsidR="001404F7" w:rsidRPr="00812EC9" w:rsidRDefault="001404F7" w:rsidP="001404F7">
            <w:pPr>
              <w:spacing w:before="40" w:after="40"/>
              <w:jc w:val="right"/>
              <w:rPr>
                <w:rFonts w:eastAsia="Times New Roman"/>
                <w:spacing w:val="4"/>
                <w:sz w:val="20"/>
                <w:szCs w:val="17"/>
                <w:lang w:val="en-GB"/>
              </w:rPr>
            </w:pPr>
            <w:r w:rsidRPr="00812EC9">
              <w:rPr>
                <w:sz w:val="20"/>
                <w:szCs w:val="20"/>
              </w:rPr>
              <w:t>$96b</w:t>
            </w:r>
          </w:p>
        </w:tc>
      </w:tr>
      <w:tr w:rsidR="001404F7" w:rsidRPr="006447FF" w14:paraId="1B3876EC" w14:textId="77777777" w:rsidTr="001404F7">
        <w:trPr>
          <w:cnfStyle w:val="000000010000" w:firstRow="0" w:lastRow="0" w:firstColumn="0" w:lastColumn="0" w:oddVBand="0" w:evenVBand="0" w:oddHBand="0" w:evenHBand="1" w:firstRowFirstColumn="0" w:firstRowLastColumn="0" w:lastRowFirstColumn="0" w:lastRowLastColumn="0"/>
        </w:trPr>
        <w:tc>
          <w:tcPr>
            <w:tcW w:w="2227" w:type="pct"/>
            <w:hideMark/>
          </w:tcPr>
          <w:p w14:paraId="6F5F06E4"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Previous welfare recipients</w:t>
            </w:r>
          </w:p>
        </w:tc>
        <w:tc>
          <w:tcPr>
            <w:tcW w:w="1387" w:type="pct"/>
          </w:tcPr>
          <w:p w14:paraId="2B985882" w14:textId="77777777" w:rsidR="001404F7" w:rsidRPr="00812EC9" w:rsidRDefault="001404F7" w:rsidP="001404F7">
            <w:pPr>
              <w:spacing w:before="40" w:after="40"/>
              <w:jc w:val="right"/>
              <w:rPr>
                <w:rFonts w:eastAsia="Times New Roman" w:cs="Arial"/>
                <w:spacing w:val="4"/>
                <w:sz w:val="20"/>
                <w:szCs w:val="20"/>
                <w:lang w:val="en-GB"/>
              </w:rPr>
            </w:pPr>
            <w:r w:rsidRPr="00812EC9">
              <w:rPr>
                <w:rFonts w:eastAsia="Times New Roman"/>
                <w:spacing w:val="4"/>
                <w:sz w:val="20"/>
                <w:szCs w:val="20"/>
                <w:lang w:val="en-GB"/>
              </w:rPr>
              <w:t>$900b</w:t>
            </w:r>
          </w:p>
        </w:tc>
        <w:tc>
          <w:tcPr>
            <w:tcW w:w="1386" w:type="pct"/>
          </w:tcPr>
          <w:p w14:paraId="0E883A7D" w14:textId="77777777" w:rsidR="001404F7" w:rsidRPr="00812EC9" w:rsidRDefault="001404F7" w:rsidP="001404F7">
            <w:pPr>
              <w:spacing w:before="40" w:after="40"/>
              <w:jc w:val="right"/>
              <w:rPr>
                <w:rFonts w:eastAsia="Times New Roman" w:cs="Arial"/>
                <w:spacing w:val="4"/>
                <w:sz w:val="20"/>
                <w:szCs w:val="17"/>
                <w:lang w:val="en-GB"/>
              </w:rPr>
            </w:pPr>
            <w:r w:rsidRPr="00812EC9">
              <w:rPr>
                <w:sz w:val="20"/>
                <w:szCs w:val="20"/>
              </w:rPr>
              <w:t>$990b</w:t>
            </w:r>
          </w:p>
        </w:tc>
      </w:tr>
      <w:tr w:rsidR="001404F7" w:rsidRPr="006447FF" w14:paraId="79A0F8F1" w14:textId="77777777" w:rsidTr="001404F7">
        <w:trPr>
          <w:cnfStyle w:val="000000100000" w:firstRow="0" w:lastRow="0" w:firstColumn="0" w:lastColumn="0" w:oddVBand="0" w:evenVBand="0" w:oddHBand="1" w:evenHBand="0" w:firstRowFirstColumn="0" w:firstRowLastColumn="0" w:lastRowFirstColumn="0" w:lastRowLastColumn="0"/>
        </w:trPr>
        <w:tc>
          <w:tcPr>
            <w:tcW w:w="2227" w:type="pct"/>
            <w:hideMark/>
          </w:tcPr>
          <w:p w14:paraId="60370756"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Rest of Australian resident population</w:t>
            </w:r>
          </w:p>
        </w:tc>
        <w:tc>
          <w:tcPr>
            <w:tcW w:w="1387" w:type="pct"/>
          </w:tcPr>
          <w:p w14:paraId="3A2152A6" w14:textId="77777777" w:rsidR="001404F7" w:rsidRPr="007F69AC" w:rsidRDefault="001404F7" w:rsidP="001404F7">
            <w:pPr>
              <w:spacing w:before="40" w:after="40"/>
              <w:jc w:val="right"/>
              <w:rPr>
                <w:rFonts w:eastAsia="Times New Roman"/>
                <w:spacing w:val="4"/>
                <w:sz w:val="20"/>
                <w:szCs w:val="20"/>
                <w:lang w:val="en-GB"/>
              </w:rPr>
            </w:pPr>
            <w:r w:rsidRPr="007F69AC">
              <w:rPr>
                <w:rFonts w:eastAsia="Times New Roman"/>
                <w:spacing w:val="4"/>
                <w:sz w:val="20"/>
                <w:szCs w:val="20"/>
                <w:lang w:val="en-GB"/>
              </w:rPr>
              <w:t>$2,323b</w:t>
            </w:r>
          </w:p>
        </w:tc>
        <w:tc>
          <w:tcPr>
            <w:tcW w:w="1386" w:type="pct"/>
          </w:tcPr>
          <w:p w14:paraId="2B6C6D11" w14:textId="77777777" w:rsidR="001404F7" w:rsidRPr="007F69AC" w:rsidRDefault="001404F7" w:rsidP="001404F7">
            <w:pPr>
              <w:spacing w:before="40" w:after="40"/>
              <w:jc w:val="right"/>
              <w:rPr>
                <w:rFonts w:eastAsia="Times New Roman"/>
                <w:spacing w:val="4"/>
                <w:sz w:val="20"/>
                <w:szCs w:val="17"/>
                <w:lang w:val="en-GB"/>
              </w:rPr>
            </w:pPr>
            <w:r w:rsidRPr="007F69AC">
              <w:rPr>
                <w:sz w:val="20"/>
                <w:szCs w:val="20"/>
              </w:rPr>
              <w:t>$2,708b</w:t>
            </w:r>
          </w:p>
        </w:tc>
      </w:tr>
      <w:tr w:rsidR="001404F7" w:rsidRPr="006447FF" w14:paraId="4B4161F7" w14:textId="77777777" w:rsidTr="001404F7">
        <w:trPr>
          <w:cnfStyle w:val="000000010000" w:firstRow="0" w:lastRow="0" w:firstColumn="0" w:lastColumn="0" w:oddVBand="0" w:evenVBand="0" w:oddHBand="0" w:evenHBand="1" w:firstRowFirstColumn="0" w:firstRowLastColumn="0" w:lastRowFirstColumn="0" w:lastRowLastColumn="0"/>
        </w:trPr>
        <w:tc>
          <w:tcPr>
            <w:tcW w:w="2227" w:type="pct"/>
            <w:hideMark/>
          </w:tcPr>
          <w:p w14:paraId="2F7B389A"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Total—Australian resident population</w:t>
            </w:r>
          </w:p>
        </w:tc>
        <w:tc>
          <w:tcPr>
            <w:tcW w:w="1387" w:type="pct"/>
          </w:tcPr>
          <w:p w14:paraId="253739F3" w14:textId="77777777" w:rsidR="001404F7" w:rsidRPr="007F69AC" w:rsidRDefault="001404F7" w:rsidP="001404F7">
            <w:pPr>
              <w:spacing w:before="40" w:after="40"/>
              <w:jc w:val="right"/>
              <w:rPr>
                <w:rFonts w:eastAsia="Times New Roman" w:cs="Arial"/>
                <w:spacing w:val="4"/>
                <w:sz w:val="20"/>
                <w:szCs w:val="20"/>
                <w:lang w:val="en-GB"/>
              </w:rPr>
            </w:pPr>
            <w:r w:rsidRPr="007F69AC">
              <w:rPr>
                <w:rFonts w:eastAsia="Times New Roman"/>
                <w:spacing w:val="4"/>
                <w:sz w:val="20"/>
                <w:szCs w:val="20"/>
                <w:lang w:val="en-GB"/>
              </w:rPr>
              <w:t>$5,662b</w:t>
            </w:r>
          </w:p>
        </w:tc>
        <w:tc>
          <w:tcPr>
            <w:tcW w:w="1386" w:type="pct"/>
          </w:tcPr>
          <w:p w14:paraId="52B6D620" w14:textId="77777777" w:rsidR="001404F7" w:rsidRPr="007F69AC" w:rsidRDefault="001404F7" w:rsidP="001404F7">
            <w:pPr>
              <w:spacing w:before="40" w:after="40"/>
              <w:jc w:val="right"/>
              <w:rPr>
                <w:rFonts w:eastAsia="Times New Roman" w:cs="Arial"/>
                <w:spacing w:val="4"/>
                <w:sz w:val="20"/>
                <w:szCs w:val="17"/>
                <w:lang w:val="en-GB"/>
              </w:rPr>
            </w:pPr>
            <w:r w:rsidRPr="007F69AC">
              <w:rPr>
                <w:sz w:val="20"/>
                <w:szCs w:val="20"/>
              </w:rPr>
              <w:t>$6,298b</w:t>
            </w:r>
          </w:p>
        </w:tc>
      </w:tr>
    </w:tbl>
    <w:p w14:paraId="2658207E" w14:textId="77777777" w:rsidR="001404F7" w:rsidRPr="008B06D9" w:rsidRDefault="001404F7" w:rsidP="001404F7">
      <w:pPr>
        <w:tabs>
          <w:tab w:val="left" w:pos="284"/>
        </w:tabs>
        <w:spacing w:before="160" w:after="60" w:line="240" w:lineRule="auto"/>
        <w:ind w:left="284" w:hanging="284"/>
        <w:contextualSpacing/>
        <w:rPr>
          <w:rFonts w:cs="Arial"/>
          <w:sz w:val="16"/>
          <w:szCs w:val="16"/>
        </w:rPr>
      </w:pPr>
      <w:r w:rsidRPr="0070482A">
        <w:rPr>
          <w:rFonts w:cs="Arial"/>
          <w:sz w:val="16"/>
          <w:szCs w:val="16"/>
        </w:rPr>
        <w:t>a</w:t>
      </w:r>
      <w:r w:rsidRPr="0070482A">
        <w:rPr>
          <w:rFonts w:cs="Arial"/>
          <w:sz w:val="16"/>
          <w:szCs w:val="16"/>
        </w:rPr>
        <w:tab/>
      </w:r>
      <w:r w:rsidRPr="007F69AC">
        <w:rPr>
          <w:rFonts w:cs="Arial"/>
          <w:sz w:val="16"/>
          <w:szCs w:val="16"/>
        </w:rPr>
        <w:t>Future lifetime cost is defined at the valuation date as the net present value of future in-scope payments made to people over the remainder of their natural lifetimes. Due to rounding, numbers may not add up precisely to the total provided.</w:t>
      </w:r>
    </w:p>
    <w:p w14:paraId="1DE33A7F" w14:textId="77777777" w:rsidR="001404F7" w:rsidRDefault="001404F7" w:rsidP="001404F7">
      <w:pPr>
        <w:tabs>
          <w:tab w:val="left" w:pos="284"/>
        </w:tabs>
        <w:spacing w:before="160" w:after="60" w:line="240" w:lineRule="auto"/>
        <w:ind w:left="284" w:hanging="284"/>
        <w:contextualSpacing/>
        <w:rPr>
          <w:rFonts w:cs="Arial"/>
          <w:sz w:val="16"/>
          <w:szCs w:val="16"/>
        </w:rPr>
      </w:pPr>
      <w:r w:rsidRPr="00C77D1F">
        <w:rPr>
          <w:rFonts w:cs="Arial"/>
          <w:sz w:val="16"/>
          <w:szCs w:val="16"/>
        </w:rPr>
        <w:t>b</w:t>
      </w:r>
      <w:r w:rsidRPr="00C77D1F">
        <w:rPr>
          <w:rFonts w:cs="Arial"/>
          <w:sz w:val="16"/>
          <w:szCs w:val="16"/>
        </w:rPr>
        <w:tab/>
      </w:r>
      <w:r>
        <w:rPr>
          <w:rFonts w:cs="Arial"/>
          <w:sz w:val="16"/>
          <w:szCs w:val="16"/>
        </w:rPr>
        <w:t>T</w:t>
      </w:r>
      <w:r w:rsidRPr="008642DE">
        <w:rPr>
          <w:rFonts w:cs="Arial"/>
          <w:sz w:val="16"/>
          <w:szCs w:val="16"/>
        </w:rPr>
        <w:t>he 2017 results have been ‘rebased’ using a 5 per cent discount rate</w:t>
      </w:r>
      <w:r>
        <w:rPr>
          <w:rFonts w:cs="Arial"/>
          <w:sz w:val="16"/>
          <w:szCs w:val="16"/>
        </w:rPr>
        <w:t xml:space="preserve"> to </w:t>
      </w:r>
      <w:r w:rsidRPr="008642DE">
        <w:rPr>
          <w:rFonts w:cs="Arial"/>
          <w:sz w:val="16"/>
          <w:szCs w:val="16"/>
        </w:rPr>
        <w:t>enable the comparability of the 2017 and 2018 lifetime costs</w:t>
      </w:r>
      <w:r>
        <w:rPr>
          <w:rFonts w:cs="Arial"/>
          <w:sz w:val="16"/>
          <w:szCs w:val="16"/>
        </w:rPr>
        <w:t>.</w:t>
      </w:r>
    </w:p>
    <w:p w14:paraId="3147E0DF" w14:textId="640FC3B9" w:rsidR="001404F7" w:rsidRPr="00DE7858" w:rsidRDefault="001404F7" w:rsidP="001404F7">
      <w:pPr>
        <w:tabs>
          <w:tab w:val="left" w:pos="284"/>
        </w:tabs>
        <w:spacing w:before="120" w:after="40" w:line="240" w:lineRule="auto"/>
        <w:ind w:left="284" w:hanging="284"/>
        <w:contextualSpacing/>
        <w:rPr>
          <w:rFonts w:cs="Arial"/>
          <w:sz w:val="16"/>
          <w:szCs w:val="16"/>
        </w:rPr>
      </w:pPr>
      <w:r w:rsidRPr="00DE7858">
        <w:rPr>
          <w:rFonts w:cs="Arial"/>
          <w:sz w:val="16"/>
          <w:szCs w:val="16"/>
        </w:rPr>
        <w:t>c</w:t>
      </w:r>
      <w:r w:rsidRPr="00DE7858">
        <w:rPr>
          <w:rFonts w:cs="Arial"/>
          <w:sz w:val="16"/>
          <w:szCs w:val="16"/>
        </w:rPr>
        <w:tab/>
      </w:r>
      <w:r>
        <w:rPr>
          <w:rFonts w:cs="Arial"/>
          <w:sz w:val="16"/>
          <w:szCs w:val="16"/>
        </w:rPr>
        <w:t>O</w:t>
      </w:r>
      <w:r w:rsidRPr="00DE7858">
        <w:rPr>
          <w:rFonts w:cs="Arial"/>
          <w:sz w:val="16"/>
          <w:szCs w:val="16"/>
        </w:rPr>
        <w:t>ne</w:t>
      </w:r>
      <w:r>
        <w:rPr>
          <w:rFonts w:cs="Arial"/>
          <w:sz w:val="16"/>
          <w:szCs w:val="16"/>
        </w:rPr>
        <w:t>-</w:t>
      </w:r>
      <w:r w:rsidRPr="00DE7858">
        <w:rPr>
          <w:rFonts w:cs="Arial"/>
          <w:sz w:val="16"/>
          <w:szCs w:val="16"/>
        </w:rPr>
        <w:t>year lag for reporting of data</w:t>
      </w:r>
      <w:r w:rsidR="00D92519">
        <w:rPr>
          <w:rFonts w:cs="Arial"/>
          <w:sz w:val="16"/>
          <w:szCs w:val="16"/>
        </w:rPr>
        <w:t>.</w:t>
      </w:r>
    </w:p>
    <w:p w14:paraId="37D5340B" w14:textId="77777777" w:rsidR="001404F7" w:rsidRPr="00D47E5B"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Pr>
          <w:rFonts w:ascii="Arial Narrow" w:eastAsia="Times New Roman" w:hAnsi="Arial Narrow" w:cs="Times New Roman"/>
          <w:b/>
          <w:bCs/>
          <w:spacing w:val="4"/>
          <w:sz w:val="20"/>
          <w:szCs w:val="18"/>
          <w:lang w:eastAsia="en-AU"/>
        </w:rPr>
        <w:t>Table 2.1.4</w:t>
      </w:r>
      <w:r w:rsidRPr="00D47E5B">
        <w:rPr>
          <w:rFonts w:ascii="Arial Narrow" w:eastAsia="Times New Roman" w:hAnsi="Arial Narrow" w:cs="Times New Roman"/>
          <w:b/>
          <w:bCs/>
          <w:spacing w:val="4"/>
          <w:sz w:val="20"/>
          <w:szCs w:val="18"/>
          <w:lang w:eastAsia="en-AU"/>
        </w:rPr>
        <w:t>b: Average future lifetime cost (in current year dollars) by current welfare class</w:t>
      </w:r>
    </w:p>
    <w:tbl>
      <w:tblPr>
        <w:tblStyle w:val="HHorizontaltable1"/>
        <w:tblW w:w="5000" w:type="pct"/>
        <w:tblLook w:val="04A0" w:firstRow="1" w:lastRow="0" w:firstColumn="1" w:lastColumn="0" w:noHBand="0" w:noVBand="1"/>
        <w:tblCaption w:val="Table 2.1.4b: Average future lifetime cost (in current year dollars) by current Welfare class"/>
        <w:tblDescription w:val="Table 2.1.4b: Average future lifetime cost (in current year dollars) by current Welfare class"/>
      </w:tblPr>
      <w:tblGrid>
        <w:gridCol w:w="3696"/>
        <w:gridCol w:w="2664"/>
        <w:gridCol w:w="2666"/>
      </w:tblGrid>
      <w:tr w:rsidR="001404F7" w:rsidRPr="006447FF" w14:paraId="0433C650" w14:textId="77777777" w:rsidTr="00D57DA0">
        <w:trPr>
          <w:cnfStyle w:val="100000000000" w:firstRow="1" w:lastRow="0" w:firstColumn="0" w:lastColumn="0" w:oddVBand="0" w:evenVBand="0" w:oddHBand="0" w:evenHBand="0" w:firstRowFirstColumn="0" w:firstRowLastColumn="0" w:lastRowFirstColumn="0" w:lastRowLastColumn="0"/>
          <w:trHeight w:val="317"/>
          <w:tblHeader/>
        </w:trPr>
        <w:tc>
          <w:tcPr>
            <w:tcW w:w="2047" w:type="pct"/>
            <w:vMerge w:val="restart"/>
            <w:hideMark/>
          </w:tcPr>
          <w:p w14:paraId="093A6BC8" w14:textId="77777777" w:rsidR="001404F7" w:rsidRPr="00D13460" w:rsidRDefault="001404F7" w:rsidP="001404F7">
            <w:pPr>
              <w:keepNext/>
              <w:keepLines/>
              <w:spacing w:before="40" w:after="40"/>
              <w:jc w:val="center"/>
              <w:rPr>
                <w:rFonts w:eastAsia="Times New Roman" w:cs="Times New Roman"/>
                <w:sz w:val="20"/>
                <w:szCs w:val="18"/>
              </w:rPr>
            </w:pPr>
            <w:r w:rsidRPr="00D13460">
              <w:rPr>
                <w:rFonts w:eastAsia="Times New Roman" w:cs="Times New Roman"/>
                <w:sz w:val="20"/>
                <w:szCs w:val="18"/>
              </w:rPr>
              <w:t>Outcome performance measure</w:t>
            </w:r>
          </w:p>
        </w:tc>
        <w:tc>
          <w:tcPr>
            <w:tcW w:w="2953" w:type="pct"/>
            <w:gridSpan w:val="2"/>
            <w:tcBorders>
              <w:bottom w:val="single" w:sz="12" w:space="0" w:color="FFFFFF" w:themeColor="background1"/>
            </w:tcBorders>
            <w:hideMark/>
          </w:tcPr>
          <w:p w14:paraId="21458CB5" w14:textId="77777777" w:rsidR="001404F7" w:rsidRPr="00D13460" w:rsidRDefault="001404F7" w:rsidP="001404F7">
            <w:pPr>
              <w:keepNext/>
              <w:keepLines/>
              <w:spacing w:before="40" w:after="40"/>
              <w:jc w:val="center"/>
              <w:rPr>
                <w:rFonts w:eastAsia="Times New Roman" w:cs="Times New Roman"/>
                <w:sz w:val="20"/>
                <w:szCs w:val="18"/>
              </w:rPr>
            </w:pPr>
            <w:r w:rsidRPr="00D13460">
              <w:rPr>
                <w:rFonts w:eastAsia="Times New Roman" w:cs="Times New Roman"/>
                <w:sz w:val="20"/>
                <w:szCs w:val="18"/>
              </w:rPr>
              <w:t>Average future lifetime cost</w:t>
            </w:r>
            <w:r w:rsidRPr="00D13460">
              <w:rPr>
                <w:rFonts w:eastAsia="Times New Roman" w:cs="Times New Roman"/>
                <w:b w:val="0"/>
                <w:sz w:val="20"/>
                <w:szCs w:val="18"/>
                <w:vertAlign w:val="superscript"/>
              </w:rPr>
              <w:t>a</w:t>
            </w:r>
          </w:p>
        </w:tc>
      </w:tr>
      <w:tr w:rsidR="001404F7" w:rsidRPr="006447FF" w14:paraId="606A3884" w14:textId="77777777" w:rsidTr="00D57DA0">
        <w:trPr>
          <w:cnfStyle w:val="100000000000" w:firstRow="1" w:lastRow="0" w:firstColumn="0" w:lastColumn="0" w:oddVBand="0" w:evenVBand="0" w:oddHBand="0" w:evenHBand="0" w:firstRowFirstColumn="0" w:firstRowLastColumn="0" w:lastRowFirstColumn="0" w:lastRowLastColumn="0"/>
          <w:trHeight w:val="317"/>
          <w:tblHeader/>
        </w:trPr>
        <w:tc>
          <w:tcPr>
            <w:tcW w:w="2047" w:type="pct"/>
            <w:vMerge/>
            <w:hideMark/>
          </w:tcPr>
          <w:p w14:paraId="514B9446" w14:textId="77777777" w:rsidR="001404F7" w:rsidRPr="00D13460" w:rsidRDefault="001404F7" w:rsidP="001404F7">
            <w:pPr>
              <w:jc w:val="center"/>
              <w:rPr>
                <w:rFonts w:eastAsia="Times New Roman" w:cs="Times New Roman"/>
                <w:sz w:val="20"/>
                <w:szCs w:val="18"/>
              </w:rPr>
            </w:pPr>
          </w:p>
        </w:tc>
        <w:tc>
          <w:tcPr>
            <w:tcW w:w="1476" w:type="pct"/>
            <w:tcBorders>
              <w:top w:val="single" w:sz="12" w:space="0" w:color="FFFFFF" w:themeColor="background1"/>
              <w:bottom w:val="single" w:sz="4" w:space="0" w:color="FFFFFF" w:themeColor="background1"/>
            </w:tcBorders>
          </w:tcPr>
          <w:p w14:paraId="5B841785" w14:textId="77777777" w:rsidR="001404F7" w:rsidRPr="00D13460" w:rsidRDefault="001404F7" w:rsidP="001404F7">
            <w:pPr>
              <w:keepNext/>
              <w:keepLines/>
              <w:spacing w:before="40" w:after="40"/>
              <w:jc w:val="center"/>
              <w:rPr>
                <w:rFonts w:eastAsia="Times New Roman" w:cs="Times New Roman"/>
                <w:b w:val="0"/>
                <w:sz w:val="20"/>
                <w:szCs w:val="20"/>
              </w:rPr>
            </w:pPr>
            <w:r w:rsidRPr="00D13460">
              <w:rPr>
                <w:rFonts w:eastAsia="Times New Roman" w:cs="Times New Roman"/>
                <w:b w:val="0"/>
                <w:sz w:val="20"/>
                <w:szCs w:val="20"/>
              </w:rPr>
              <w:t>June 2018</w:t>
            </w:r>
          </w:p>
        </w:tc>
        <w:tc>
          <w:tcPr>
            <w:tcW w:w="1477" w:type="pct"/>
            <w:tcBorders>
              <w:top w:val="single" w:sz="12" w:space="0" w:color="FFFFFF" w:themeColor="background1"/>
              <w:bottom w:val="single" w:sz="4" w:space="0" w:color="FFFFFF" w:themeColor="background1"/>
            </w:tcBorders>
            <w:hideMark/>
          </w:tcPr>
          <w:p w14:paraId="75873E34" w14:textId="77777777" w:rsidR="001404F7" w:rsidRPr="00D13460" w:rsidRDefault="001404F7" w:rsidP="001404F7">
            <w:pPr>
              <w:keepNext/>
              <w:keepLines/>
              <w:spacing w:before="40" w:after="40"/>
              <w:jc w:val="center"/>
              <w:rPr>
                <w:rFonts w:eastAsia="Times New Roman" w:cs="Times New Roman"/>
                <w:b w:val="0"/>
                <w:sz w:val="20"/>
                <w:szCs w:val="20"/>
              </w:rPr>
            </w:pPr>
            <w:r w:rsidRPr="00D13460">
              <w:rPr>
                <w:rFonts w:eastAsia="Times New Roman" w:cs="Times New Roman"/>
                <w:b w:val="0"/>
                <w:sz w:val="20"/>
                <w:szCs w:val="20"/>
              </w:rPr>
              <w:t>June 2017</w:t>
            </w:r>
            <w:r w:rsidRPr="00D13460">
              <w:rPr>
                <w:rFonts w:eastAsia="Times New Roman" w:cs="Times New Roman"/>
                <w:sz w:val="20"/>
                <w:szCs w:val="20"/>
                <w:vertAlign w:val="superscript"/>
              </w:rPr>
              <w:t>b</w:t>
            </w:r>
          </w:p>
        </w:tc>
      </w:tr>
      <w:tr w:rsidR="001404F7" w:rsidRPr="006447FF" w14:paraId="35E02474"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3"/>
            <w:tcBorders>
              <w:bottom w:val="single" w:sz="12" w:space="0" w:color="00B0B9"/>
            </w:tcBorders>
            <w:hideMark/>
          </w:tcPr>
          <w:p w14:paraId="660701E2" w14:textId="77777777" w:rsidR="001404F7" w:rsidRPr="007B3527" w:rsidRDefault="001404F7" w:rsidP="001404F7">
            <w:pPr>
              <w:keepNext/>
              <w:keepLines/>
              <w:spacing w:before="40" w:after="40"/>
              <w:rPr>
                <w:rFonts w:eastAsia="Times New Roman" w:cs="Times New Roman"/>
                <w:b/>
                <w:color w:val="000000" w:themeColor="text1"/>
                <w:sz w:val="20"/>
                <w:szCs w:val="20"/>
              </w:rPr>
            </w:pPr>
            <w:r w:rsidRPr="007B3527">
              <w:rPr>
                <w:rFonts w:eastAsia="Times New Roman" w:cs="Times New Roman"/>
                <w:b/>
                <w:color w:val="000000" w:themeColor="text1"/>
                <w:sz w:val="20"/>
                <w:szCs w:val="20"/>
              </w:rPr>
              <w:t>Cross program</w:t>
            </w:r>
          </w:p>
        </w:tc>
      </w:tr>
      <w:tr w:rsidR="001404F7" w:rsidRPr="006447FF" w14:paraId="11F98A78"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3"/>
            <w:tcBorders>
              <w:top w:val="single" w:sz="12" w:space="0" w:color="00B0B9"/>
              <w:bottom w:val="single" w:sz="4" w:space="0" w:color="FFFFFF" w:themeColor="background1"/>
            </w:tcBorders>
            <w:hideMark/>
          </w:tcPr>
          <w:p w14:paraId="72E33873" w14:textId="77777777" w:rsidR="001404F7" w:rsidRPr="006447FF" w:rsidRDefault="001404F7" w:rsidP="001404F7">
            <w:pPr>
              <w:spacing w:before="40" w:after="40"/>
              <w:rPr>
                <w:rFonts w:eastAsia="Times New Roman" w:cs="Arial"/>
                <w:color w:val="000000" w:themeColor="text1"/>
                <w:spacing w:val="4"/>
                <w:sz w:val="20"/>
                <w:szCs w:val="17"/>
                <w:highlight w:val="yellow"/>
                <w:lang w:val="en-GB"/>
              </w:rPr>
            </w:pPr>
            <w:r w:rsidRPr="006447FF">
              <w:rPr>
                <w:rFonts w:eastAsia="Times New Roman" w:cs="Arial"/>
                <w:color w:val="000000" w:themeColor="text1"/>
                <w:spacing w:val="4"/>
                <w:sz w:val="20"/>
                <w:szCs w:val="17"/>
                <w:lang w:val="en-GB"/>
              </w:rPr>
              <w:t>Current welfare recipients</w:t>
            </w:r>
            <w:r>
              <w:rPr>
                <w:rFonts w:eastAsia="Times New Roman" w:cs="Arial"/>
                <w:color w:val="000000" w:themeColor="text1"/>
                <w:spacing w:val="4"/>
                <w:sz w:val="20"/>
                <w:szCs w:val="17"/>
                <w:lang w:val="en-GB"/>
              </w:rPr>
              <w:t>:</w:t>
            </w:r>
          </w:p>
        </w:tc>
      </w:tr>
      <w:tr w:rsidR="001404F7" w:rsidRPr="006447FF" w14:paraId="72B543C0" w14:textId="77777777" w:rsidTr="001404F7">
        <w:trPr>
          <w:cnfStyle w:val="000000100000" w:firstRow="0" w:lastRow="0" w:firstColumn="0" w:lastColumn="0" w:oddVBand="0" w:evenVBand="0" w:oddHBand="1" w:evenHBand="0" w:firstRowFirstColumn="0" w:firstRowLastColumn="0" w:lastRowFirstColumn="0" w:lastRowLastColumn="0"/>
        </w:trPr>
        <w:tc>
          <w:tcPr>
            <w:tcW w:w="2047" w:type="pct"/>
            <w:tcBorders>
              <w:top w:val="single" w:sz="4" w:space="0" w:color="FFFFFF" w:themeColor="background1"/>
            </w:tcBorders>
            <w:hideMark/>
          </w:tcPr>
          <w:p w14:paraId="2D41C648" w14:textId="77777777" w:rsidR="001404F7" w:rsidRPr="006447FF" w:rsidRDefault="001404F7" w:rsidP="001404F7">
            <w:pPr>
              <w:numPr>
                <w:ilvl w:val="0"/>
                <w:numId w:val="81"/>
              </w:num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Studying Payment recipients</w:t>
            </w:r>
          </w:p>
        </w:tc>
        <w:tc>
          <w:tcPr>
            <w:tcW w:w="1476" w:type="pct"/>
            <w:tcBorders>
              <w:top w:val="single" w:sz="4" w:space="0" w:color="FFFFFF" w:themeColor="background1"/>
            </w:tcBorders>
          </w:tcPr>
          <w:p w14:paraId="4F6083D5" w14:textId="77777777" w:rsidR="001404F7" w:rsidRPr="007F69AC" w:rsidRDefault="001404F7" w:rsidP="001404F7">
            <w:pPr>
              <w:spacing w:before="40" w:after="40"/>
              <w:jc w:val="right"/>
              <w:rPr>
                <w:rFonts w:eastAsia="Times New Roman"/>
                <w:spacing w:val="4"/>
                <w:sz w:val="20"/>
                <w:szCs w:val="20"/>
                <w:lang w:val="en-GB"/>
              </w:rPr>
            </w:pPr>
            <w:r w:rsidRPr="007F69AC">
              <w:rPr>
                <w:sz w:val="20"/>
                <w:szCs w:val="20"/>
              </w:rPr>
              <w:t>$263,000</w:t>
            </w:r>
          </w:p>
        </w:tc>
        <w:tc>
          <w:tcPr>
            <w:tcW w:w="1477" w:type="pct"/>
            <w:tcBorders>
              <w:top w:val="single" w:sz="4" w:space="0" w:color="FFFFFF" w:themeColor="background1"/>
            </w:tcBorders>
          </w:tcPr>
          <w:p w14:paraId="44AE6DC0" w14:textId="77777777" w:rsidR="001404F7" w:rsidRPr="007F69AC" w:rsidRDefault="001404F7" w:rsidP="001404F7">
            <w:pPr>
              <w:spacing w:before="40" w:after="40"/>
              <w:jc w:val="right"/>
              <w:rPr>
                <w:rFonts w:eastAsia="Times New Roman"/>
                <w:spacing w:val="4"/>
                <w:sz w:val="20"/>
                <w:szCs w:val="17"/>
                <w:lang w:val="en-GB"/>
              </w:rPr>
            </w:pPr>
            <w:r w:rsidRPr="007F69AC">
              <w:rPr>
                <w:sz w:val="20"/>
                <w:szCs w:val="20"/>
              </w:rPr>
              <w:t>$302,000</w:t>
            </w:r>
          </w:p>
        </w:tc>
      </w:tr>
      <w:tr w:rsidR="001404F7" w:rsidRPr="006447FF" w14:paraId="005006DA" w14:textId="77777777" w:rsidTr="001404F7">
        <w:trPr>
          <w:cnfStyle w:val="000000010000" w:firstRow="0" w:lastRow="0" w:firstColumn="0" w:lastColumn="0" w:oddVBand="0" w:evenVBand="0" w:oddHBand="0" w:evenHBand="1" w:firstRowFirstColumn="0" w:firstRowLastColumn="0" w:lastRowFirstColumn="0" w:lastRowLastColumn="0"/>
        </w:trPr>
        <w:tc>
          <w:tcPr>
            <w:tcW w:w="2047" w:type="pct"/>
            <w:hideMark/>
          </w:tcPr>
          <w:p w14:paraId="2EF51742" w14:textId="77777777" w:rsidR="001404F7" w:rsidRPr="006447FF" w:rsidRDefault="001404F7" w:rsidP="001404F7">
            <w:pPr>
              <w:numPr>
                <w:ilvl w:val="0"/>
                <w:numId w:val="81"/>
              </w:num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Working Age Payment recipients</w:t>
            </w:r>
          </w:p>
        </w:tc>
        <w:tc>
          <w:tcPr>
            <w:tcW w:w="1476" w:type="pct"/>
          </w:tcPr>
          <w:p w14:paraId="0B8A1838" w14:textId="77777777" w:rsidR="001404F7" w:rsidRPr="007F69AC" w:rsidRDefault="001404F7" w:rsidP="001404F7">
            <w:pPr>
              <w:spacing w:before="40" w:after="40"/>
              <w:jc w:val="right"/>
              <w:rPr>
                <w:rFonts w:eastAsia="Times New Roman" w:cs="Arial"/>
                <w:spacing w:val="4"/>
                <w:sz w:val="20"/>
                <w:szCs w:val="20"/>
                <w:lang w:val="en-GB"/>
              </w:rPr>
            </w:pPr>
            <w:r w:rsidRPr="007F69AC">
              <w:rPr>
                <w:sz w:val="20"/>
                <w:szCs w:val="20"/>
              </w:rPr>
              <w:t>$380,000</w:t>
            </w:r>
          </w:p>
        </w:tc>
        <w:tc>
          <w:tcPr>
            <w:tcW w:w="1477" w:type="pct"/>
          </w:tcPr>
          <w:p w14:paraId="4BCFDCA2" w14:textId="77777777" w:rsidR="001404F7" w:rsidRPr="007F69AC" w:rsidRDefault="001404F7" w:rsidP="001404F7">
            <w:pPr>
              <w:spacing w:before="40" w:after="40"/>
              <w:jc w:val="right"/>
              <w:rPr>
                <w:rFonts w:eastAsia="Times New Roman" w:cs="Arial"/>
                <w:spacing w:val="4"/>
                <w:sz w:val="20"/>
                <w:szCs w:val="17"/>
                <w:lang w:val="en-GB"/>
              </w:rPr>
            </w:pPr>
            <w:r w:rsidRPr="007F69AC">
              <w:rPr>
                <w:sz w:val="20"/>
                <w:szCs w:val="20"/>
              </w:rPr>
              <w:t>$400,000</w:t>
            </w:r>
          </w:p>
        </w:tc>
      </w:tr>
      <w:tr w:rsidR="001404F7" w:rsidRPr="006447FF" w14:paraId="1A8F72A0" w14:textId="77777777" w:rsidTr="001404F7">
        <w:trPr>
          <w:cnfStyle w:val="000000100000" w:firstRow="0" w:lastRow="0" w:firstColumn="0" w:lastColumn="0" w:oddVBand="0" w:evenVBand="0" w:oddHBand="1" w:evenHBand="0" w:firstRowFirstColumn="0" w:firstRowLastColumn="0" w:lastRowFirstColumn="0" w:lastRowLastColumn="0"/>
        </w:trPr>
        <w:tc>
          <w:tcPr>
            <w:tcW w:w="2047" w:type="pct"/>
            <w:hideMark/>
          </w:tcPr>
          <w:p w14:paraId="19237E10" w14:textId="77777777" w:rsidR="001404F7" w:rsidRPr="006447FF" w:rsidRDefault="001404F7" w:rsidP="001404F7">
            <w:pPr>
              <w:numPr>
                <w:ilvl w:val="0"/>
                <w:numId w:val="81"/>
              </w:num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Parenting Payment recipients</w:t>
            </w:r>
          </w:p>
        </w:tc>
        <w:tc>
          <w:tcPr>
            <w:tcW w:w="1476" w:type="pct"/>
          </w:tcPr>
          <w:p w14:paraId="01A7ED61" w14:textId="77777777" w:rsidR="001404F7" w:rsidRPr="007F69AC" w:rsidRDefault="001404F7" w:rsidP="001404F7">
            <w:pPr>
              <w:spacing w:before="40" w:after="40"/>
              <w:jc w:val="right"/>
              <w:rPr>
                <w:rFonts w:eastAsia="Times New Roman"/>
                <w:spacing w:val="4"/>
                <w:sz w:val="20"/>
                <w:szCs w:val="20"/>
                <w:lang w:val="en-GB"/>
              </w:rPr>
            </w:pPr>
            <w:r w:rsidRPr="007F69AC">
              <w:rPr>
                <w:sz w:val="20"/>
                <w:szCs w:val="20"/>
              </w:rPr>
              <w:t>$577,000</w:t>
            </w:r>
          </w:p>
        </w:tc>
        <w:tc>
          <w:tcPr>
            <w:tcW w:w="1477" w:type="pct"/>
          </w:tcPr>
          <w:p w14:paraId="224A619C" w14:textId="77777777" w:rsidR="001404F7" w:rsidRPr="007F69AC" w:rsidRDefault="001404F7" w:rsidP="001404F7">
            <w:pPr>
              <w:spacing w:before="40" w:after="40"/>
              <w:jc w:val="right"/>
              <w:rPr>
                <w:rFonts w:eastAsia="Times New Roman"/>
                <w:spacing w:val="4"/>
                <w:sz w:val="20"/>
                <w:szCs w:val="17"/>
                <w:lang w:val="en-GB"/>
              </w:rPr>
            </w:pPr>
            <w:r w:rsidRPr="007F69AC">
              <w:rPr>
                <w:sz w:val="20"/>
                <w:szCs w:val="20"/>
              </w:rPr>
              <w:t>$599,000</w:t>
            </w:r>
          </w:p>
        </w:tc>
      </w:tr>
      <w:tr w:rsidR="001404F7" w:rsidRPr="006447FF" w14:paraId="2B5AB3E5" w14:textId="77777777" w:rsidTr="001404F7">
        <w:trPr>
          <w:cnfStyle w:val="000000010000" w:firstRow="0" w:lastRow="0" w:firstColumn="0" w:lastColumn="0" w:oddVBand="0" w:evenVBand="0" w:oddHBand="0" w:evenHBand="1" w:firstRowFirstColumn="0" w:firstRowLastColumn="0" w:lastRowFirstColumn="0" w:lastRowLastColumn="0"/>
        </w:trPr>
        <w:tc>
          <w:tcPr>
            <w:tcW w:w="2047" w:type="pct"/>
            <w:hideMark/>
          </w:tcPr>
          <w:p w14:paraId="0C2D2A30" w14:textId="77777777" w:rsidR="001404F7" w:rsidRPr="006447FF" w:rsidRDefault="001404F7" w:rsidP="001404F7">
            <w:pPr>
              <w:numPr>
                <w:ilvl w:val="0"/>
                <w:numId w:val="81"/>
              </w:num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Carer Payment recipients</w:t>
            </w:r>
          </w:p>
        </w:tc>
        <w:tc>
          <w:tcPr>
            <w:tcW w:w="1476" w:type="pct"/>
          </w:tcPr>
          <w:p w14:paraId="3BB8208C" w14:textId="77777777" w:rsidR="001404F7" w:rsidRPr="007F69AC" w:rsidRDefault="001404F7" w:rsidP="001404F7">
            <w:pPr>
              <w:spacing w:before="40" w:after="40"/>
              <w:jc w:val="right"/>
              <w:rPr>
                <w:rFonts w:eastAsia="Times New Roman" w:cs="Arial"/>
                <w:spacing w:val="4"/>
                <w:sz w:val="20"/>
                <w:szCs w:val="20"/>
                <w:lang w:val="en-GB"/>
              </w:rPr>
            </w:pPr>
            <w:r w:rsidRPr="007F69AC">
              <w:rPr>
                <w:sz w:val="20"/>
                <w:szCs w:val="20"/>
              </w:rPr>
              <w:t>$529,000</w:t>
            </w:r>
          </w:p>
        </w:tc>
        <w:tc>
          <w:tcPr>
            <w:tcW w:w="1477" w:type="pct"/>
          </w:tcPr>
          <w:p w14:paraId="21C55BAD" w14:textId="77777777" w:rsidR="001404F7" w:rsidRPr="007F69AC" w:rsidRDefault="001404F7" w:rsidP="001404F7">
            <w:pPr>
              <w:spacing w:before="40" w:after="40"/>
              <w:jc w:val="right"/>
              <w:rPr>
                <w:rFonts w:eastAsia="Times New Roman" w:cs="Arial"/>
                <w:spacing w:val="4"/>
                <w:sz w:val="20"/>
                <w:szCs w:val="17"/>
                <w:lang w:val="en-GB"/>
              </w:rPr>
            </w:pPr>
            <w:r w:rsidRPr="007F69AC">
              <w:rPr>
                <w:sz w:val="20"/>
                <w:szCs w:val="20"/>
              </w:rPr>
              <w:t>$532,000</w:t>
            </w:r>
          </w:p>
        </w:tc>
      </w:tr>
      <w:tr w:rsidR="001404F7" w:rsidRPr="006447FF" w14:paraId="721B27F7" w14:textId="77777777" w:rsidTr="001404F7">
        <w:trPr>
          <w:cnfStyle w:val="000000100000" w:firstRow="0" w:lastRow="0" w:firstColumn="0" w:lastColumn="0" w:oddVBand="0" w:evenVBand="0" w:oddHBand="1" w:evenHBand="0" w:firstRowFirstColumn="0" w:firstRowLastColumn="0" w:lastRowFirstColumn="0" w:lastRowLastColumn="0"/>
        </w:trPr>
        <w:tc>
          <w:tcPr>
            <w:tcW w:w="2047" w:type="pct"/>
            <w:hideMark/>
          </w:tcPr>
          <w:p w14:paraId="51B42CEF" w14:textId="77777777" w:rsidR="001404F7" w:rsidRPr="006447FF" w:rsidRDefault="001404F7" w:rsidP="001404F7">
            <w:pPr>
              <w:numPr>
                <w:ilvl w:val="0"/>
                <w:numId w:val="81"/>
              </w:num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Disability Support Pension recipients</w:t>
            </w:r>
          </w:p>
        </w:tc>
        <w:tc>
          <w:tcPr>
            <w:tcW w:w="1476" w:type="pct"/>
          </w:tcPr>
          <w:p w14:paraId="082CB760" w14:textId="77777777" w:rsidR="001404F7" w:rsidRPr="007F69AC" w:rsidRDefault="001404F7" w:rsidP="001404F7">
            <w:pPr>
              <w:spacing w:before="40" w:after="40"/>
              <w:jc w:val="right"/>
              <w:rPr>
                <w:rFonts w:eastAsia="Times New Roman"/>
                <w:spacing w:val="4"/>
                <w:sz w:val="20"/>
                <w:szCs w:val="20"/>
                <w:lang w:val="en-GB"/>
              </w:rPr>
            </w:pPr>
            <w:r w:rsidRPr="007F69AC">
              <w:rPr>
                <w:sz w:val="20"/>
                <w:szCs w:val="20"/>
              </w:rPr>
              <w:t>$547,000</w:t>
            </w:r>
          </w:p>
        </w:tc>
        <w:tc>
          <w:tcPr>
            <w:tcW w:w="1477" w:type="pct"/>
          </w:tcPr>
          <w:p w14:paraId="36839C97" w14:textId="77777777" w:rsidR="001404F7" w:rsidRPr="007F69AC" w:rsidRDefault="001404F7" w:rsidP="001404F7">
            <w:pPr>
              <w:spacing w:before="40" w:after="40"/>
              <w:jc w:val="right"/>
              <w:rPr>
                <w:rFonts w:eastAsia="Times New Roman"/>
                <w:spacing w:val="4"/>
                <w:sz w:val="20"/>
                <w:szCs w:val="17"/>
                <w:lang w:val="en-GB"/>
              </w:rPr>
            </w:pPr>
            <w:r w:rsidRPr="007F69AC">
              <w:rPr>
                <w:sz w:val="20"/>
                <w:szCs w:val="20"/>
              </w:rPr>
              <w:t>$548,000</w:t>
            </w:r>
          </w:p>
        </w:tc>
      </w:tr>
      <w:tr w:rsidR="001404F7" w:rsidRPr="006447FF" w14:paraId="73453B2E" w14:textId="77777777" w:rsidTr="001404F7">
        <w:trPr>
          <w:cnfStyle w:val="000000010000" w:firstRow="0" w:lastRow="0" w:firstColumn="0" w:lastColumn="0" w:oddVBand="0" w:evenVBand="0" w:oddHBand="0" w:evenHBand="1" w:firstRowFirstColumn="0" w:firstRowLastColumn="0" w:lastRowFirstColumn="0" w:lastRowLastColumn="0"/>
        </w:trPr>
        <w:tc>
          <w:tcPr>
            <w:tcW w:w="2047" w:type="pct"/>
            <w:hideMark/>
          </w:tcPr>
          <w:p w14:paraId="16D92A24" w14:textId="77777777" w:rsidR="001404F7" w:rsidRPr="006447FF" w:rsidRDefault="001404F7" w:rsidP="001404F7">
            <w:pPr>
              <w:numPr>
                <w:ilvl w:val="0"/>
                <w:numId w:val="81"/>
              </w:num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Age Pension recipients</w:t>
            </w:r>
          </w:p>
        </w:tc>
        <w:tc>
          <w:tcPr>
            <w:tcW w:w="1476" w:type="pct"/>
          </w:tcPr>
          <w:p w14:paraId="243260DA" w14:textId="77777777" w:rsidR="001404F7" w:rsidRPr="007F69AC" w:rsidRDefault="001404F7" w:rsidP="001404F7">
            <w:pPr>
              <w:spacing w:before="40" w:after="40"/>
              <w:jc w:val="right"/>
              <w:rPr>
                <w:rFonts w:eastAsia="Times New Roman" w:cs="Arial"/>
                <w:spacing w:val="4"/>
                <w:sz w:val="20"/>
                <w:szCs w:val="20"/>
                <w:lang w:val="en-GB"/>
              </w:rPr>
            </w:pPr>
            <w:r w:rsidRPr="007F69AC">
              <w:rPr>
                <w:sz w:val="20"/>
                <w:szCs w:val="20"/>
              </w:rPr>
              <w:t>$230,000</w:t>
            </w:r>
          </w:p>
        </w:tc>
        <w:tc>
          <w:tcPr>
            <w:tcW w:w="1477" w:type="pct"/>
          </w:tcPr>
          <w:p w14:paraId="3BBA4065" w14:textId="77777777" w:rsidR="001404F7" w:rsidRPr="007F69AC" w:rsidRDefault="001404F7" w:rsidP="001404F7">
            <w:pPr>
              <w:spacing w:before="40" w:after="40"/>
              <w:jc w:val="right"/>
              <w:rPr>
                <w:rFonts w:eastAsia="Times New Roman" w:cs="Arial"/>
                <w:spacing w:val="4"/>
                <w:sz w:val="20"/>
                <w:szCs w:val="17"/>
                <w:lang w:val="en-GB"/>
              </w:rPr>
            </w:pPr>
            <w:r w:rsidRPr="007F69AC">
              <w:rPr>
                <w:sz w:val="20"/>
                <w:szCs w:val="20"/>
              </w:rPr>
              <w:t>$228,000</w:t>
            </w:r>
          </w:p>
        </w:tc>
      </w:tr>
      <w:tr w:rsidR="001404F7" w:rsidRPr="006447FF" w14:paraId="34E64D17" w14:textId="77777777" w:rsidTr="001404F7">
        <w:trPr>
          <w:cnfStyle w:val="000000100000" w:firstRow="0" w:lastRow="0" w:firstColumn="0" w:lastColumn="0" w:oddVBand="0" w:evenVBand="0" w:oddHBand="1" w:evenHBand="0" w:firstRowFirstColumn="0" w:firstRowLastColumn="0" w:lastRowFirstColumn="0" w:lastRowLastColumn="0"/>
        </w:trPr>
        <w:tc>
          <w:tcPr>
            <w:tcW w:w="2047" w:type="pct"/>
            <w:hideMark/>
          </w:tcPr>
          <w:p w14:paraId="41FC4168" w14:textId="77777777" w:rsidR="001404F7" w:rsidRPr="006447FF" w:rsidRDefault="001404F7" w:rsidP="001404F7">
            <w:pPr>
              <w:numPr>
                <w:ilvl w:val="0"/>
                <w:numId w:val="81"/>
              </w:num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Recipients of non-Income Support Family Payments</w:t>
            </w:r>
          </w:p>
        </w:tc>
        <w:tc>
          <w:tcPr>
            <w:tcW w:w="1476" w:type="pct"/>
          </w:tcPr>
          <w:p w14:paraId="056609A1" w14:textId="77777777" w:rsidR="001404F7" w:rsidRPr="007F69AC" w:rsidRDefault="001404F7" w:rsidP="001404F7">
            <w:pPr>
              <w:spacing w:before="40" w:after="40"/>
              <w:jc w:val="right"/>
              <w:rPr>
                <w:rFonts w:eastAsia="Times New Roman"/>
                <w:spacing w:val="4"/>
                <w:sz w:val="20"/>
                <w:szCs w:val="20"/>
                <w:lang w:val="en-GB"/>
              </w:rPr>
            </w:pPr>
            <w:r w:rsidRPr="007F69AC">
              <w:rPr>
                <w:sz w:val="20"/>
                <w:szCs w:val="20"/>
              </w:rPr>
              <w:t>$230,000</w:t>
            </w:r>
          </w:p>
        </w:tc>
        <w:tc>
          <w:tcPr>
            <w:tcW w:w="1477" w:type="pct"/>
          </w:tcPr>
          <w:p w14:paraId="368C069C" w14:textId="77777777" w:rsidR="001404F7" w:rsidRPr="007F69AC" w:rsidRDefault="001404F7" w:rsidP="001404F7">
            <w:pPr>
              <w:spacing w:before="40" w:after="40"/>
              <w:jc w:val="right"/>
              <w:rPr>
                <w:rFonts w:eastAsia="Times New Roman"/>
                <w:spacing w:val="4"/>
                <w:sz w:val="20"/>
                <w:szCs w:val="17"/>
                <w:lang w:val="en-GB"/>
              </w:rPr>
            </w:pPr>
            <w:r w:rsidRPr="007F69AC">
              <w:rPr>
                <w:sz w:val="20"/>
                <w:szCs w:val="20"/>
              </w:rPr>
              <w:t>$261,000</w:t>
            </w:r>
          </w:p>
        </w:tc>
      </w:tr>
      <w:tr w:rsidR="001404F7" w:rsidRPr="006447FF" w14:paraId="2468849A" w14:textId="77777777" w:rsidTr="001404F7">
        <w:trPr>
          <w:cnfStyle w:val="000000010000" w:firstRow="0" w:lastRow="0" w:firstColumn="0" w:lastColumn="0" w:oddVBand="0" w:evenVBand="0" w:oddHBand="0" w:evenHBand="1" w:firstRowFirstColumn="0" w:firstRowLastColumn="0" w:lastRowFirstColumn="0" w:lastRowLastColumn="0"/>
        </w:trPr>
        <w:tc>
          <w:tcPr>
            <w:tcW w:w="2047" w:type="pct"/>
            <w:hideMark/>
          </w:tcPr>
          <w:p w14:paraId="02282A99" w14:textId="77777777" w:rsidR="001404F7" w:rsidRPr="006447FF" w:rsidRDefault="001404F7" w:rsidP="001404F7">
            <w:pPr>
              <w:numPr>
                <w:ilvl w:val="0"/>
                <w:numId w:val="81"/>
              </w:num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Recipients of non-Income Support Carer Payments</w:t>
            </w:r>
          </w:p>
        </w:tc>
        <w:tc>
          <w:tcPr>
            <w:tcW w:w="1476" w:type="pct"/>
          </w:tcPr>
          <w:p w14:paraId="59F6EEBF" w14:textId="77777777" w:rsidR="001404F7" w:rsidRPr="007F69AC" w:rsidRDefault="001404F7" w:rsidP="001404F7">
            <w:pPr>
              <w:spacing w:before="40" w:after="40"/>
              <w:jc w:val="right"/>
              <w:rPr>
                <w:rFonts w:eastAsia="Times New Roman" w:cs="Arial"/>
                <w:spacing w:val="4"/>
                <w:sz w:val="20"/>
                <w:szCs w:val="20"/>
                <w:lang w:val="en-GB"/>
              </w:rPr>
            </w:pPr>
            <w:r w:rsidRPr="007F69AC">
              <w:rPr>
                <w:sz w:val="20"/>
                <w:szCs w:val="20"/>
              </w:rPr>
              <w:t>$235,000</w:t>
            </w:r>
          </w:p>
        </w:tc>
        <w:tc>
          <w:tcPr>
            <w:tcW w:w="1477" w:type="pct"/>
          </w:tcPr>
          <w:p w14:paraId="7131F3F2" w14:textId="77777777" w:rsidR="001404F7" w:rsidRPr="007F69AC" w:rsidRDefault="001404F7" w:rsidP="001404F7">
            <w:pPr>
              <w:spacing w:before="40" w:after="40"/>
              <w:jc w:val="right"/>
              <w:rPr>
                <w:rFonts w:eastAsia="Times New Roman" w:cs="Arial"/>
                <w:spacing w:val="4"/>
                <w:sz w:val="20"/>
                <w:szCs w:val="17"/>
                <w:lang w:val="en-GB"/>
              </w:rPr>
            </w:pPr>
            <w:r w:rsidRPr="007F69AC">
              <w:rPr>
                <w:sz w:val="20"/>
                <w:szCs w:val="20"/>
              </w:rPr>
              <w:t>$260,000</w:t>
            </w:r>
          </w:p>
        </w:tc>
      </w:tr>
      <w:tr w:rsidR="001404F7" w:rsidRPr="006447FF" w14:paraId="6BBDC316" w14:textId="77777777" w:rsidTr="001404F7">
        <w:trPr>
          <w:cnfStyle w:val="000000100000" w:firstRow="0" w:lastRow="0" w:firstColumn="0" w:lastColumn="0" w:oddVBand="0" w:evenVBand="0" w:oddHBand="1" w:evenHBand="0" w:firstRowFirstColumn="0" w:firstRowLastColumn="0" w:lastRowFirstColumn="0" w:lastRowLastColumn="0"/>
        </w:trPr>
        <w:tc>
          <w:tcPr>
            <w:tcW w:w="2047" w:type="pct"/>
            <w:hideMark/>
          </w:tcPr>
          <w:p w14:paraId="58B3BAD2" w14:textId="77777777" w:rsidR="001404F7" w:rsidRPr="006447FF" w:rsidRDefault="001404F7" w:rsidP="001404F7">
            <w:pPr>
              <w:numPr>
                <w:ilvl w:val="0"/>
                <w:numId w:val="81"/>
              </w:num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Recipients of other non-Income Support Payments</w:t>
            </w:r>
          </w:p>
        </w:tc>
        <w:tc>
          <w:tcPr>
            <w:tcW w:w="1476" w:type="pct"/>
          </w:tcPr>
          <w:p w14:paraId="0212F0F2" w14:textId="77777777" w:rsidR="001404F7" w:rsidRPr="007F69AC" w:rsidRDefault="001404F7" w:rsidP="001404F7">
            <w:pPr>
              <w:spacing w:before="40" w:after="40"/>
              <w:jc w:val="right"/>
              <w:rPr>
                <w:rFonts w:eastAsia="Times New Roman"/>
                <w:spacing w:val="4"/>
                <w:sz w:val="20"/>
                <w:szCs w:val="20"/>
                <w:lang w:val="en-GB"/>
              </w:rPr>
            </w:pPr>
            <w:r w:rsidRPr="007F69AC">
              <w:rPr>
                <w:sz w:val="20"/>
                <w:szCs w:val="20"/>
              </w:rPr>
              <w:t>$151,000</w:t>
            </w:r>
          </w:p>
        </w:tc>
        <w:tc>
          <w:tcPr>
            <w:tcW w:w="1477" w:type="pct"/>
          </w:tcPr>
          <w:p w14:paraId="2BB2218C" w14:textId="77777777" w:rsidR="001404F7" w:rsidRPr="007F69AC" w:rsidRDefault="001404F7" w:rsidP="001404F7">
            <w:pPr>
              <w:spacing w:before="40" w:after="40"/>
              <w:jc w:val="right"/>
              <w:rPr>
                <w:rFonts w:eastAsia="Times New Roman"/>
                <w:spacing w:val="4"/>
                <w:sz w:val="20"/>
                <w:szCs w:val="17"/>
                <w:lang w:val="en-GB"/>
              </w:rPr>
            </w:pPr>
            <w:r w:rsidRPr="007F69AC">
              <w:rPr>
                <w:sz w:val="20"/>
                <w:szCs w:val="20"/>
              </w:rPr>
              <w:t>$172,000</w:t>
            </w:r>
          </w:p>
        </w:tc>
      </w:tr>
      <w:tr w:rsidR="001404F7" w:rsidRPr="006447FF" w14:paraId="12187BEA" w14:textId="77777777" w:rsidTr="001404F7">
        <w:trPr>
          <w:cnfStyle w:val="000000010000" w:firstRow="0" w:lastRow="0" w:firstColumn="0" w:lastColumn="0" w:oddVBand="0" w:evenVBand="0" w:oddHBand="0" w:evenHBand="1" w:firstRowFirstColumn="0" w:firstRowLastColumn="0" w:lastRowFirstColumn="0" w:lastRowLastColumn="0"/>
        </w:trPr>
        <w:tc>
          <w:tcPr>
            <w:tcW w:w="2047" w:type="pct"/>
            <w:hideMark/>
          </w:tcPr>
          <w:p w14:paraId="69F221EB"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Previous welfare recipients</w:t>
            </w:r>
          </w:p>
        </w:tc>
        <w:tc>
          <w:tcPr>
            <w:tcW w:w="1476" w:type="pct"/>
          </w:tcPr>
          <w:p w14:paraId="090C2930" w14:textId="77777777" w:rsidR="001404F7" w:rsidRPr="007F69AC" w:rsidRDefault="001404F7" w:rsidP="001404F7">
            <w:pPr>
              <w:spacing w:before="40" w:after="40"/>
              <w:jc w:val="right"/>
              <w:rPr>
                <w:rFonts w:eastAsia="Times New Roman" w:cs="Arial"/>
                <w:spacing w:val="4"/>
                <w:sz w:val="20"/>
                <w:szCs w:val="20"/>
                <w:lang w:val="en-GB"/>
              </w:rPr>
            </w:pPr>
            <w:r w:rsidRPr="007F69AC">
              <w:rPr>
                <w:sz w:val="20"/>
                <w:szCs w:val="20"/>
              </w:rPr>
              <w:t>$187,000</w:t>
            </w:r>
          </w:p>
        </w:tc>
        <w:tc>
          <w:tcPr>
            <w:tcW w:w="1477" w:type="pct"/>
          </w:tcPr>
          <w:p w14:paraId="3294D0BC" w14:textId="77777777" w:rsidR="001404F7" w:rsidRPr="007F69AC" w:rsidRDefault="001404F7" w:rsidP="001404F7">
            <w:pPr>
              <w:spacing w:before="40" w:after="40"/>
              <w:jc w:val="right"/>
              <w:rPr>
                <w:rFonts w:eastAsia="Times New Roman" w:cs="Arial"/>
                <w:spacing w:val="4"/>
                <w:sz w:val="20"/>
                <w:szCs w:val="17"/>
                <w:lang w:val="en-GB"/>
              </w:rPr>
            </w:pPr>
            <w:r w:rsidRPr="007F69AC">
              <w:rPr>
                <w:sz w:val="20"/>
                <w:szCs w:val="20"/>
              </w:rPr>
              <w:t>$221,000</w:t>
            </w:r>
          </w:p>
        </w:tc>
      </w:tr>
      <w:tr w:rsidR="001404F7" w:rsidRPr="006447FF" w14:paraId="58C8831F" w14:textId="77777777" w:rsidTr="001404F7">
        <w:trPr>
          <w:cnfStyle w:val="000000100000" w:firstRow="0" w:lastRow="0" w:firstColumn="0" w:lastColumn="0" w:oddVBand="0" w:evenVBand="0" w:oddHBand="1" w:evenHBand="0" w:firstRowFirstColumn="0" w:firstRowLastColumn="0" w:lastRowFirstColumn="0" w:lastRowLastColumn="0"/>
        </w:trPr>
        <w:tc>
          <w:tcPr>
            <w:tcW w:w="2047" w:type="pct"/>
            <w:hideMark/>
          </w:tcPr>
          <w:p w14:paraId="50567BA6"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Rest of Australian resident population</w:t>
            </w:r>
          </w:p>
        </w:tc>
        <w:tc>
          <w:tcPr>
            <w:tcW w:w="1476" w:type="pct"/>
          </w:tcPr>
          <w:p w14:paraId="20D27FA0" w14:textId="77777777" w:rsidR="001404F7" w:rsidRPr="007F69AC" w:rsidRDefault="001404F7" w:rsidP="001404F7">
            <w:pPr>
              <w:spacing w:before="40" w:after="40"/>
              <w:jc w:val="right"/>
              <w:rPr>
                <w:rFonts w:eastAsia="Times New Roman"/>
                <w:spacing w:val="4"/>
                <w:sz w:val="20"/>
                <w:szCs w:val="20"/>
                <w:lang w:val="en-GB"/>
              </w:rPr>
            </w:pPr>
            <w:r w:rsidRPr="007F69AC">
              <w:rPr>
                <w:sz w:val="20"/>
                <w:szCs w:val="20"/>
              </w:rPr>
              <w:t>$189,000</w:t>
            </w:r>
          </w:p>
        </w:tc>
        <w:tc>
          <w:tcPr>
            <w:tcW w:w="1477" w:type="pct"/>
          </w:tcPr>
          <w:p w14:paraId="4676DB51" w14:textId="77777777" w:rsidR="001404F7" w:rsidRPr="007F69AC" w:rsidRDefault="001404F7" w:rsidP="001404F7">
            <w:pPr>
              <w:spacing w:before="40" w:after="40"/>
              <w:jc w:val="right"/>
              <w:rPr>
                <w:rFonts w:eastAsia="Times New Roman"/>
                <w:spacing w:val="4"/>
                <w:sz w:val="20"/>
                <w:szCs w:val="17"/>
                <w:lang w:val="en-GB"/>
              </w:rPr>
            </w:pPr>
            <w:r w:rsidRPr="007F69AC">
              <w:rPr>
                <w:sz w:val="20"/>
                <w:szCs w:val="20"/>
              </w:rPr>
              <w:t>$223,000</w:t>
            </w:r>
          </w:p>
        </w:tc>
      </w:tr>
      <w:tr w:rsidR="001404F7" w:rsidRPr="006447FF" w14:paraId="2E578B33" w14:textId="77777777" w:rsidTr="001404F7">
        <w:trPr>
          <w:cnfStyle w:val="000000010000" w:firstRow="0" w:lastRow="0" w:firstColumn="0" w:lastColumn="0" w:oddVBand="0" w:evenVBand="0" w:oddHBand="0" w:evenHBand="1" w:firstRowFirstColumn="0" w:firstRowLastColumn="0" w:lastRowFirstColumn="0" w:lastRowLastColumn="0"/>
        </w:trPr>
        <w:tc>
          <w:tcPr>
            <w:tcW w:w="2047" w:type="pct"/>
            <w:hideMark/>
          </w:tcPr>
          <w:p w14:paraId="1F5B2E28"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Total—Australian resident population</w:t>
            </w:r>
          </w:p>
        </w:tc>
        <w:tc>
          <w:tcPr>
            <w:tcW w:w="1476" w:type="pct"/>
          </w:tcPr>
          <w:p w14:paraId="08066B9B" w14:textId="77777777" w:rsidR="001404F7" w:rsidRPr="007F69AC" w:rsidRDefault="001404F7" w:rsidP="001404F7">
            <w:pPr>
              <w:spacing w:before="40" w:after="40"/>
              <w:jc w:val="right"/>
              <w:rPr>
                <w:rFonts w:eastAsia="Times New Roman" w:cs="Arial"/>
                <w:spacing w:val="4"/>
                <w:sz w:val="20"/>
                <w:szCs w:val="20"/>
                <w:lang w:val="en-GB"/>
              </w:rPr>
            </w:pPr>
            <w:r w:rsidRPr="007F69AC">
              <w:rPr>
                <w:sz w:val="20"/>
                <w:szCs w:val="20"/>
              </w:rPr>
              <w:t>$226,000</w:t>
            </w:r>
          </w:p>
        </w:tc>
        <w:tc>
          <w:tcPr>
            <w:tcW w:w="1477" w:type="pct"/>
          </w:tcPr>
          <w:p w14:paraId="795AE030" w14:textId="77777777" w:rsidR="001404F7" w:rsidRPr="007F69AC" w:rsidRDefault="001404F7" w:rsidP="001404F7">
            <w:pPr>
              <w:spacing w:before="40" w:after="40"/>
              <w:jc w:val="right"/>
              <w:rPr>
                <w:rFonts w:eastAsia="Times New Roman" w:cs="Arial"/>
                <w:spacing w:val="4"/>
                <w:sz w:val="20"/>
                <w:szCs w:val="17"/>
                <w:lang w:val="en-GB"/>
              </w:rPr>
            </w:pPr>
            <w:r w:rsidRPr="007F69AC">
              <w:rPr>
                <w:sz w:val="20"/>
                <w:szCs w:val="20"/>
              </w:rPr>
              <w:t>$255,000</w:t>
            </w:r>
          </w:p>
        </w:tc>
      </w:tr>
    </w:tbl>
    <w:p w14:paraId="6F83DD72" w14:textId="77777777" w:rsidR="001404F7" w:rsidRPr="007F69AC" w:rsidRDefault="001404F7" w:rsidP="001404F7">
      <w:pPr>
        <w:tabs>
          <w:tab w:val="left" w:pos="284"/>
        </w:tabs>
        <w:spacing w:before="120" w:after="40" w:line="240" w:lineRule="auto"/>
        <w:ind w:left="284" w:hanging="284"/>
        <w:contextualSpacing/>
        <w:rPr>
          <w:rFonts w:cs="Arial"/>
          <w:sz w:val="16"/>
          <w:szCs w:val="16"/>
        </w:rPr>
      </w:pPr>
      <w:r w:rsidRPr="006447FF">
        <w:rPr>
          <w:rFonts w:cs="Arial"/>
          <w:sz w:val="16"/>
          <w:szCs w:val="16"/>
        </w:rPr>
        <w:t>a</w:t>
      </w:r>
      <w:r w:rsidRPr="006447FF">
        <w:rPr>
          <w:rFonts w:cs="Arial"/>
          <w:sz w:val="16"/>
          <w:szCs w:val="16"/>
        </w:rPr>
        <w:tab/>
      </w:r>
      <w:r w:rsidRPr="007F69AC">
        <w:rPr>
          <w:rFonts w:cs="Arial"/>
          <w:sz w:val="16"/>
          <w:szCs w:val="16"/>
        </w:rPr>
        <w:t>Future lifetime cost is defined at the valuation date as the net present value of future in-scope payments made to people over the remainder of their natural lifetimes. Average future lifetime cost refers to the per person lifetime cost for a group of people.</w:t>
      </w:r>
      <w:r>
        <w:rPr>
          <w:rFonts w:cs="Arial"/>
          <w:sz w:val="16"/>
          <w:szCs w:val="16"/>
        </w:rPr>
        <w:t xml:space="preserve"> </w:t>
      </w:r>
      <w:r w:rsidRPr="00542396">
        <w:rPr>
          <w:rFonts w:cs="Arial"/>
          <w:sz w:val="16"/>
          <w:szCs w:val="16"/>
        </w:rPr>
        <w:t>Note the one</w:t>
      </w:r>
      <w:r>
        <w:rPr>
          <w:rFonts w:cs="Arial"/>
          <w:sz w:val="16"/>
          <w:szCs w:val="16"/>
        </w:rPr>
        <w:t>-</w:t>
      </w:r>
      <w:r w:rsidRPr="00542396">
        <w:rPr>
          <w:rFonts w:cs="Arial"/>
          <w:sz w:val="16"/>
          <w:szCs w:val="16"/>
        </w:rPr>
        <w:t>y</w:t>
      </w:r>
      <w:r>
        <w:rPr>
          <w:rFonts w:cs="Arial"/>
          <w:sz w:val="16"/>
          <w:szCs w:val="16"/>
        </w:rPr>
        <w:t>ear lag for reporting the data.</w:t>
      </w:r>
    </w:p>
    <w:p w14:paraId="30D347EA" w14:textId="77777777" w:rsidR="001404F7" w:rsidRDefault="001404F7" w:rsidP="001404F7">
      <w:pPr>
        <w:tabs>
          <w:tab w:val="left" w:pos="284"/>
        </w:tabs>
        <w:spacing w:before="120" w:after="40" w:line="240" w:lineRule="auto"/>
        <w:ind w:left="284" w:hanging="284"/>
        <w:contextualSpacing/>
        <w:rPr>
          <w:rFonts w:cs="Arial"/>
          <w:sz w:val="16"/>
          <w:szCs w:val="16"/>
        </w:rPr>
      </w:pPr>
      <w:r w:rsidRPr="007F69AC">
        <w:rPr>
          <w:rFonts w:cs="Arial"/>
          <w:sz w:val="16"/>
          <w:szCs w:val="16"/>
        </w:rPr>
        <w:t>b</w:t>
      </w:r>
      <w:r w:rsidRPr="007F69AC">
        <w:rPr>
          <w:rFonts w:cs="Arial"/>
          <w:sz w:val="16"/>
          <w:szCs w:val="16"/>
        </w:rPr>
        <w:tab/>
      </w:r>
      <w:r w:rsidRPr="008642DE">
        <w:rPr>
          <w:rFonts w:cs="Arial"/>
          <w:sz w:val="16"/>
          <w:szCs w:val="16"/>
        </w:rPr>
        <w:t>The 2017 results have been ‘rebased’ using a 5 per cent discount rate to enable the comparability of the 2017 and 2018 lifetime costs</w:t>
      </w:r>
      <w:r>
        <w:rPr>
          <w:rFonts w:cs="Arial"/>
          <w:sz w:val="16"/>
          <w:szCs w:val="16"/>
        </w:rPr>
        <w:t>.</w:t>
      </w:r>
    </w:p>
    <w:p w14:paraId="2CE79445" w14:textId="77777777" w:rsidR="00D96CDD" w:rsidRDefault="00D96CDD" w:rsidP="001404F7">
      <w:pPr>
        <w:spacing w:before="240" w:after="240" w:line="260" w:lineRule="atLeast"/>
        <w:outlineLvl w:val="6"/>
        <w:rPr>
          <w:rFonts w:eastAsiaTheme="majorEastAsia" w:cstheme="majorBidi"/>
          <w:b/>
          <w:iCs/>
          <w:sz w:val="26"/>
        </w:rPr>
        <w:sectPr w:rsidR="00D96CDD" w:rsidSect="00585891">
          <w:footnotePr>
            <w:numRestart w:val="eachPage"/>
          </w:footnotePr>
          <w:pgSz w:w="11906" w:h="16838"/>
          <w:pgMar w:top="1440" w:right="1440" w:bottom="1440" w:left="1440" w:header="709" w:footer="709" w:gutter="0"/>
          <w:cols w:space="708"/>
          <w:docGrid w:linePitch="360"/>
        </w:sectPr>
      </w:pPr>
    </w:p>
    <w:p w14:paraId="612F280E" w14:textId="42616189" w:rsidR="001404F7" w:rsidRPr="003F5594" w:rsidRDefault="001404F7" w:rsidP="001404F7">
      <w:pPr>
        <w:spacing w:before="240" w:after="240" w:line="260" w:lineRule="atLeast"/>
        <w:outlineLvl w:val="6"/>
        <w:rPr>
          <w:rFonts w:eastAsiaTheme="majorEastAsia" w:cstheme="majorBidi"/>
          <w:b/>
          <w:iCs/>
          <w:sz w:val="26"/>
        </w:rPr>
      </w:pPr>
      <w:r>
        <w:rPr>
          <w:rFonts w:eastAsiaTheme="majorEastAsia" w:cstheme="majorBidi"/>
          <w:b/>
          <w:iCs/>
          <w:sz w:val="26"/>
        </w:rPr>
        <w:lastRenderedPageBreak/>
        <w:t xml:space="preserve">C1.2 </w:t>
      </w:r>
      <w:r w:rsidRPr="003F5594">
        <w:rPr>
          <w:rFonts w:eastAsiaTheme="majorEastAsia" w:cstheme="majorBidi"/>
          <w:b/>
          <w:iCs/>
          <w:sz w:val="26"/>
        </w:rPr>
        <w:t>Extent to which payment recipients have improved financial self-reliance</w:t>
      </w:r>
    </w:p>
    <w:p w14:paraId="6920973F" w14:textId="77777777" w:rsidR="001404F7" w:rsidRPr="00022526" w:rsidRDefault="001404F7" w:rsidP="001404F7">
      <w:pPr>
        <w:rPr>
          <w:rFonts w:cs="Arial"/>
          <w:sz w:val="20"/>
          <w:szCs w:val="20"/>
        </w:rPr>
      </w:pPr>
      <w:r w:rsidRPr="00022526">
        <w:rPr>
          <w:rFonts w:cs="Arial"/>
          <w:sz w:val="20"/>
          <w:szCs w:val="20"/>
        </w:rPr>
        <w:t>This criterion comprises a number of proxy indicators for financial self-reliance that measures contact with the social security payment system. These indicators are designed to capture the extent to which people that have the capacity to do so access financial resources beyond the payment they are receiving. These indicators are:</w:t>
      </w:r>
    </w:p>
    <w:p w14:paraId="225736E3" w14:textId="77777777" w:rsidR="001404F7" w:rsidRPr="00181573" w:rsidRDefault="001404F7" w:rsidP="003A047F">
      <w:pPr>
        <w:pStyle w:val="ListParagraph"/>
        <w:numPr>
          <w:ilvl w:val="0"/>
          <w:numId w:val="104"/>
        </w:numPr>
        <w:spacing w:before="60" w:after="120" w:line="260" w:lineRule="atLeast"/>
        <w:rPr>
          <w:rFonts w:cs="Times New Roman"/>
          <w:spacing w:val="4"/>
          <w:sz w:val="20"/>
          <w:szCs w:val="20"/>
        </w:rPr>
      </w:pPr>
      <w:r w:rsidRPr="00181573">
        <w:rPr>
          <w:rFonts w:cs="Times New Roman"/>
          <w:spacing w:val="4"/>
          <w:sz w:val="20"/>
          <w:szCs w:val="24"/>
        </w:rPr>
        <w:t>expected average proportion of future years not receiving income support payments</w:t>
      </w:r>
    </w:p>
    <w:p w14:paraId="06E164A1" w14:textId="77777777" w:rsidR="001404F7" w:rsidRPr="00181573" w:rsidRDefault="001404F7" w:rsidP="003A047F">
      <w:pPr>
        <w:pStyle w:val="ListParagraph"/>
        <w:numPr>
          <w:ilvl w:val="0"/>
          <w:numId w:val="104"/>
        </w:numPr>
        <w:spacing w:before="60" w:after="120" w:line="260" w:lineRule="atLeast"/>
        <w:rPr>
          <w:rFonts w:cs="Times New Roman"/>
          <w:spacing w:val="4"/>
          <w:sz w:val="20"/>
          <w:szCs w:val="20"/>
        </w:rPr>
      </w:pPr>
      <w:r w:rsidRPr="00181573">
        <w:rPr>
          <w:rFonts w:cs="Times New Roman"/>
          <w:spacing w:val="4"/>
          <w:sz w:val="20"/>
          <w:szCs w:val="24"/>
        </w:rPr>
        <w:t>percentage of recipients who are not receiving income support within three, six, and 12 months after exiting student payments</w:t>
      </w:r>
    </w:p>
    <w:p w14:paraId="0FDE36E1" w14:textId="77777777" w:rsidR="001404F7" w:rsidRPr="00181573" w:rsidRDefault="001404F7" w:rsidP="003A047F">
      <w:pPr>
        <w:pStyle w:val="ListParagraph"/>
        <w:numPr>
          <w:ilvl w:val="0"/>
          <w:numId w:val="104"/>
        </w:numPr>
        <w:spacing w:before="60" w:after="120" w:line="260" w:lineRule="atLeast"/>
        <w:rPr>
          <w:rFonts w:cs="Times New Roman"/>
          <w:spacing w:val="4"/>
          <w:sz w:val="20"/>
          <w:szCs w:val="20"/>
        </w:rPr>
      </w:pPr>
      <w:r w:rsidRPr="00181573">
        <w:rPr>
          <w:rFonts w:cs="Times New Roman"/>
          <w:spacing w:val="4"/>
          <w:sz w:val="20"/>
          <w:szCs w:val="24"/>
        </w:rPr>
        <w:t>percentage of recipients who exit income support within three, six, and 12 months</w:t>
      </w:r>
    </w:p>
    <w:p w14:paraId="5AEC06AA" w14:textId="77777777" w:rsidR="001404F7" w:rsidRPr="00181573" w:rsidRDefault="001404F7" w:rsidP="003A047F">
      <w:pPr>
        <w:pStyle w:val="ListParagraph"/>
        <w:numPr>
          <w:ilvl w:val="0"/>
          <w:numId w:val="104"/>
        </w:numPr>
        <w:spacing w:before="60" w:after="120" w:line="260" w:lineRule="atLeast"/>
        <w:rPr>
          <w:rFonts w:cs="Times New Roman"/>
          <w:spacing w:val="4"/>
          <w:sz w:val="20"/>
          <w:szCs w:val="20"/>
        </w:rPr>
      </w:pPr>
      <w:r w:rsidRPr="00181573">
        <w:rPr>
          <w:rFonts w:cs="Times New Roman"/>
          <w:spacing w:val="4"/>
          <w:sz w:val="20"/>
          <w:szCs w:val="24"/>
        </w:rPr>
        <w:t>percentage of recipients reporting employment income</w:t>
      </w:r>
    </w:p>
    <w:p w14:paraId="2BC8990D" w14:textId="77777777" w:rsidR="001404F7" w:rsidRPr="00181573" w:rsidRDefault="001404F7" w:rsidP="003A047F">
      <w:pPr>
        <w:pStyle w:val="ListParagraph"/>
        <w:numPr>
          <w:ilvl w:val="0"/>
          <w:numId w:val="104"/>
        </w:numPr>
        <w:spacing w:before="60" w:after="120" w:line="260" w:lineRule="atLeast"/>
        <w:rPr>
          <w:rFonts w:cs="Times New Roman"/>
          <w:spacing w:val="4"/>
          <w:sz w:val="20"/>
          <w:szCs w:val="20"/>
        </w:rPr>
      </w:pPr>
      <w:r w:rsidRPr="00181573">
        <w:rPr>
          <w:rFonts w:cs="Times New Roman"/>
          <w:spacing w:val="4"/>
          <w:sz w:val="20"/>
          <w:szCs w:val="24"/>
        </w:rPr>
        <w:t xml:space="preserve">percentage </w:t>
      </w:r>
      <w:r w:rsidRPr="00181573">
        <w:rPr>
          <w:rFonts w:cs="Times New Roman"/>
          <w:spacing w:val="4"/>
          <w:sz w:val="20"/>
          <w:szCs w:val="20"/>
        </w:rPr>
        <w:t>of recipients receiving a part rate of payment due to the income or assets test.</w:t>
      </w:r>
    </w:p>
    <w:p w14:paraId="49A453C6" w14:textId="0063EBF3" w:rsidR="001404F7" w:rsidRPr="00022526" w:rsidRDefault="001404F7" w:rsidP="001404F7">
      <w:pPr>
        <w:rPr>
          <w:rFonts w:cs="Arial"/>
          <w:sz w:val="20"/>
          <w:szCs w:val="20"/>
        </w:rPr>
      </w:pPr>
      <w:r w:rsidRPr="00022526">
        <w:rPr>
          <w:rFonts w:cs="Arial"/>
          <w:sz w:val="20"/>
          <w:szCs w:val="20"/>
        </w:rPr>
        <w:t>The five indicators apply differently across payments, based on payment objectives and the extent of financial independence and duration on payment expected for different groups of people. More measures apply to activity-tested programs as these are explicitly trying to improve self-reliance and provide opportunities to exit the income support system.</w:t>
      </w:r>
    </w:p>
    <w:p w14:paraId="402EBAC8" w14:textId="77777777" w:rsidR="001404F7" w:rsidRPr="003F5594" w:rsidRDefault="001404F7" w:rsidP="001404F7">
      <w:pPr>
        <w:keepNext/>
        <w:spacing w:before="360" w:after="240"/>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t xml:space="preserve">C1.2.1 </w:t>
      </w:r>
      <w:r w:rsidRPr="003F5594">
        <w:rPr>
          <w:rFonts w:eastAsiaTheme="majorEastAsia" w:cstheme="majorBidi"/>
          <w:b/>
          <w:color w:val="595959" w:themeColor="text1" w:themeTint="A6"/>
          <w:sz w:val="24"/>
          <w:szCs w:val="20"/>
        </w:rPr>
        <w:t xml:space="preserve">Expected average proportion of future years not receiving </w:t>
      </w:r>
      <w:r>
        <w:rPr>
          <w:rFonts w:eastAsiaTheme="majorEastAsia" w:cstheme="majorBidi"/>
          <w:b/>
          <w:color w:val="595959" w:themeColor="text1" w:themeTint="A6"/>
          <w:sz w:val="24"/>
          <w:szCs w:val="20"/>
        </w:rPr>
        <w:t xml:space="preserve">income support </w:t>
      </w:r>
      <w:r w:rsidRPr="003F5594">
        <w:rPr>
          <w:rFonts w:eastAsiaTheme="majorEastAsia" w:cstheme="majorBidi"/>
          <w:b/>
          <w:color w:val="595959" w:themeColor="text1" w:themeTint="A6"/>
          <w:sz w:val="24"/>
          <w:szCs w:val="20"/>
        </w:rPr>
        <w:t>payments</w:t>
      </w:r>
    </w:p>
    <w:p w14:paraId="5BC05B0E" w14:textId="77777777" w:rsidR="001404F7" w:rsidRPr="00022526" w:rsidRDefault="001404F7" w:rsidP="001404F7">
      <w:pPr>
        <w:rPr>
          <w:rFonts w:cs="Arial"/>
          <w:sz w:val="20"/>
          <w:szCs w:val="20"/>
        </w:rPr>
      </w:pPr>
      <w:r w:rsidRPr="00022526">
        <w:rPr>
          <w:rFonts w:cs="Arial"/>
          <w:sz w:val="20"/>
          <w:szCs w:val="20"/>
        </w:rPr>
        <w:t>This indicator measures the expected average proportion of future years that an individual will not receive income support payments over their expected future lifetime as simulated by the Australian Priority Investment Approach to Welfare actuarial model. This helps us understand expected future reliance on the social security system for Australian residents.</w:t>
      </w:r>
    </w:p>
    <w:p w14:paraId="7D71FE1A" w14:textId="77777777" w:rsidR="001404F7" w:rsidRPr="00D47E5B"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Pr>
          <w:rFonts w:ascii="Arial Narrow" w:eastAsia="Times New Roman" w:hAnsi="Arial Narrow" w:cs="Times New Roman"/>
          <w:b/>
          <w:bCs/>
          <w:spacing w:val="4"/>
          <w:sz w:val="20"/>
          <w:szCs w:val="18"/>
          <w:lang w:eastAsia="en-AU"/>
        </w:rPr>
        <w:t>Table 2.1.5</w:t>
      </w:r>
      <w:r w:rsidRPr="00D47E5B">
        <w:rPr>
          <w:rFonts w:ascii="Arial Narrow" w:eastAsia="Times New Roman" w:hAnsi="Arial Narrow" w:cs="Times New Roman"/>
          <w:b/>
          <w:bCs/>
          <w:spacing w:val="4"/>
          <w:sz w:val="20"/>
          <w:szCs w:val="18"/>
          <w:lang w:eastAsia="en-AU"/>
        </w:rPr>
        <w:t>: Expected average proportion of future years not receiving income support payments, June 2018</w:t>
      </w:r>
    </w:p>
    <w:tbl>
      <w:tblPr>
        <w:tblStyle w:val="HHorizontaltable1"/>
        <w:tblW w:w="5000" w:type="pct"/>
        <w:tblLook w:val="04A0" w:firstRow="1" w:lastRow="0" w:firstColumn="1" w:lastColumn="0" w:noHBand="0" w:noVBand="1"/>
        <w:tblCaption w:val="Table 2.1.5: Expected average proportion of future lifetime years not receiving income support payments"/>
        <w:tblDescription w:val="Table 2.1.5: Expected average proportion of future lifetime years not receiving income support payments, June 2018 and June 2017 "/>
      </w:tblPr>
      <w:tblGrid>
        <w:gridCol w:w="3702"/>
        <w:gridCol w:w="2663"/>
        <w:gridCol w:w="2661"/>
      </w:tblGrid>
      <w:tr w:rsidR="001404F7" w:rsidRPr="006447FF" w14:paraId="650E52C2" w14:textId="77777777" w:rsidTr="001404F7">
        <w:trPr>
          <w:cnfStyle w:val="100000000000" w:firstRow="1" w:lastRow="0" w:firstColumn="0" w:lastColumn="0" w:oddVBand="0" w:evenVBand="0" w:oddHBand="0" w:evenHBand="0" w:firstRowFirstColumn="0" w:firstRowLastColumn="0" w:lastRowFirstColumn="0" w:lastRowLastColumn="0"/>
          <w:trHeight w:val="317"/>
        </w:trPr>
        <w:tc>
          <w:tcPr>
            <w:tcW w:w="2051" w:type="pct"/>
            <w:vMerge w:val="restart"/>
            <w:hideMark/>
          </w:tcPr>
          <w:p w14:paraId="192E195E" w14:textId="77777777" w:rsidR="001404F7" w:rsidRPr="00D13460" w:rsidRDefault="001404F7" w:rsidP="001404F7">
            <w:pPr>
              <w:keepNext/>
              <w:keepLines/>
              <w:spacing w:before="40" w:after="40"/>
              <w:jc w:val="center"/>
              <w:rPr>
                <w:rFonts w:eastAsia="Times New Roman" w:cs="Times New Roman"/>
                <w:sz w:val="20"/>
                <w:szCs w:val="18"/>
              </w:rPr>
            </w:pPr>
            <w:r w:rsidRPr="00D13460">
              <w:rPr>
                <w:rFonts w:eastAsia="Times New Roman" w:cs="Times New Roman"/>
                <w:sz w:val="20"/>
                <w:szCs w:val="18"/>
              </w:rPr>
              <w:t>Outcome performance measure</w:t>
            </w:r>
          </w:p>
        </w:tc>
        <w:tc>
          <w:tcPr>
            <w:tcW w:w="2949" w:type="pct"/>
            <w:gridSpan w:val="2"/>
            <w:tcBorders>
              <w:bottom w:val="single" w:sz="12" w:space="0" w:color="FFFFFF" w:themeColor="background1"/>
            </w:tcBorders>
          </w:tcPr>
          <w:p w14:paraId="188FF09C" w14:textId="77777777" w:rsidR="001404F7" w:rsidRPr="00D13460" w:rsidRDefault="001404F7" w:rsidP="001404F7">
            <w:pPr>
              <w:keepNext/>
              <w:keepLines/>
              <w:spacing w:before="40" w:after="40"/>
              <w:jc w:val="center"/>
              <w:rPr>
                <w:rFonts w:eastAsia="Times New Roman" w:cs="Times New Roman"/>
                <w:sz w:val="20"/>
                <w:szCs w:val="18"/>
              </w:rPr>
            </w:pPr>
            <w:r w:rsidRPr="00D13460">
              <w:rPr>
                <w:rFonts w:eastAsia="Times New Roman" w:cs="Times New Roman"/>
                <w:sz w:val="20"/>
                <w:szCs w:val="18"/>
              </w:rPr>
              <w:t xml:space="preserve">Expected average proportion of future years not receiving income support </w:t>
            </w:r>
            <w:proofErr w:type="spellStart"/>
            <w:r w:rsidRPr="00D13460">
              <w:rPr>
                <w:rFonts w:eastAsia="Times New Roman" w:cs="Times New Roman"/>
                <w:sz w:val="20"/>
                <w:szCs w:val="18"/>
              </w:rPr>
              <w:t>payments</w:t>
            </w:r>
            <w:r w:rsidRPr="00D13460">
              <w:rPr>
                <w:rFonts w:eastAsia="Times New Roman" w:cs="Times New Roman"/>
                <w:b w:val="0"/>
                <w:sz w:val="20"/>
                <w:szCs w:val="18"/>
                <w:vertAlign w:val="superscript"/>
              </w:rPr>
              <w:t>a</w:t>
            </w:r>
            <w:proofErr w:type="spellEnd"/>
          </w:p>
        </w:tc>
      </w:tr>
      <w:tr w:rsidR="001404F7" w:rsidRPr="006447FF" w14:paraId="12A948AE"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2051" w:type="pct"/>
            <w:vMerge/>
            <w:shd w:val="clear" w:color="auto" w:fill="00B0B9"/>
            <w:hideMark/>
          </w:tcPr>
          <w:p w14:paraId="7189BE41" w14:textId="77777777" w:rsidR="001404F7" w:rsidRPr="00D13460" w:rsidRDefault="001404F7" w:rsidP="001404F7">
            <w:pPr>
              <w:jc w:val="center"/>
              <w:rPr>
                <w:rFonts w:eastAsia="Times New Roman" w:cs="Times New Roman"/>
                <w:b/>
                <w:sz w:val="20"/>
                <w:szCs w:val="18"/>
              </w:rPr>
            </w:pPr>
          </w:p>
        </w:tc>
        <w:tc>
          <w:tcPr>
            <w:tcW w:w="1475" w:type="pct"/>
            <w:tcBorders>
              <w:top w:val="single" w:sz="12" w:space="0" w:color="FFFFFF" w:themeColor="background1"/>
              <w:bottom w:val="single" w:sz="4" w:space="0" w:color="FFFFFF" w:themeColor="background1"/>
            </w:tcBorders>
            <w:shd w:val="clear" w:color="auto" w:fill="00B0B9"/>
          </w:tcPr>
          <w:p w14:paraId="4C54C563" w14:textId="1C1DCBE5" w:rsidR="001404F7" w:rsidRPr="00D13460" w:rsidRDefault="001404F7" w:rsidP="006938C4">
            <w:pPr>
              <w:keepNext/>
              <w:keepLines/>
              <w:spacing w:before="40" w:after="40"/>
              <w:jc w:val="center"/>
              <w:rPr>
                <w:rFonts w:eastAsia="Times New Roman" w:cs="Times New Roman"/>
                <w:b/>
                <w:sz w:val="20"/>
                <w:szCs w:val="20"/>
              </w:rPr>
            </w:pPr>
            <w:r w:rsidRPr="00D13460">
              <w:rPr>
                <w:rFonts w:eastAsia="Times New Roman" w:cs="Times New Roman"/>
                <w:b/>
                <w:sz w:val="20"/>
                <w:szCs w:val="20"/>
              </w:rPr>
              <w:t>June 2018</w:t>
            </w:r>
            <w:r w:rsidRPr="00D13460">
              <w:rPr>
                <w:rFonts w:eastAsia="Times New Roman" w:cs="Times New Roman"/>
                <w:sz w:val="20"/>
                <w:szCs w:val="20"/>
                <w:vertAlign w:val="superscript"/>
              </w:rPr>
              <w:t>b</w:t>
            </w:r>
          </w:p>
        </w:tc>
        <w:tc>
          <w:tcPr>
            <w:tcW w:w="1474" w:type="pct"/>
            <w:tcBorders>
              <w:top w:val="single" w:sz="12" w:space="0" w:color="FFFFFF" w:themeColor="background1"/>
              <w:bottom w:val="single" w:sz="4" w:space="0" w:color="FFFFFF" w:themeColor="background1"/>
            </w:tcBorders>
            <w:shd w:val="clear" w:color="auto" w:fill="00B0B9"/>
            <w:hideMark/>
          </w:tcPr>
          <w:p w14:paraId="6B2557E1" w14:textId="77777777" w:rsidR="001404F7" w:rsidRPr="00D13460" w:rsidRDefault="001404F7" w:rsidP="001404F7">
            <w:pPr>
              <w:keepNext/>
              <w:keepLines/>
              <w:spacing w:before="40" w:after="40"/>
              <w:jc w:val="center"/>
              <w:rPr>
                <w:rFonts w:eastAsia="Times New Roman" w:cs="Times New Roman"/>
                <w:b/>
                <w:sz w:val="20"/>
                <w:szCs w:val="20"/>
              </w:rPr>
            </w:pPr>
            <w:r w:rsidRPr="00D13460">
              <w:rPr>
                <w:rFonts w:eastAsia="Times New Roman" w:cs="Times New Roman"/>
                <w:b/>
                <w:sz w:val="20"/>
                <w:szCs w:val="20"/>
              </w:rPr>
              <w:t>June 2017</w:t>
            </w:r>
          </w:p>
        </w:tc>
      </w:tr>
      <w:tr w:rsidR="001404F7" w:rsidRPr="006447FF" w14:paraId="1228ADD2" w14:textId="77777777" w:rsidTr="001404F7">
        <w:trPr>
          <w:cnfStyle w:val="000000010000" w:firstRow="0" w:lastRow="0" w:firstColumn="0" w:lastColumn="0" w:oddVBand="0" w:evenVBand="0" w:oddHBand="0" w:evenHBand="1" w:firstRowFirstColumn="0" w:firstRowLastColumn="0" w:lastRowFirstColumn="0" w:lastRowLastColumn="0"/>
          <w:trHeight w:val="317"/>
        </w:trPr>
        <w:tc>
          <w:tcPr>
            <w:tcW w:w="5000" w:type="pct"/>
            <w:gridSpan w:val="3"/>
            <w:tcBorders>
              <w:bottom w:val="single" w:sz="12" w:space="0" w:color="00B0B9"/>
            </w:tcBorders>
          </w:tcPr>
          <w:p w14:paraId="0355EB18" w14:textId="77777777" w:rsidR="001404F7" w:rsidRPr="006447FF" w:rsidRDefault="001404F7" w:rsidP="001404F7">
            <w:pPr>
              <w:keepNext/>
              <w:keepLines/>
              <w:spacing w:before="40" w:after="40"/>
              <w:rPr>
                <w:rFonts w:eastAsia="Times New Roman" w:cs="Times New Roman"/>
                <w:b/>
                <w:color w:val="000000" w:themeColor="text1"/>
                <w:sz w:val="20"/>
                <w:szCs w:val="20"/>
              </w:rPr>
            </w:pPr>
            <w:r w:rsidRPr="006447FF">
              <w:rPr>
                <w:rFonts w:eastAsia="Times New Roman" w:cs="Times New Roman"/>
                <w:b/>
                <w:color w:val="000000" w:themeColor="text1"/>
                <w:sz w:val="20"/>
                <w:szCs w:val="20"/>
              </w:rPr>
              <w:t>Cross program</w:t>
            </w:r>
          </w:p>
        </w:tc>
      </w:tr>
      <w:tr w:rsidR="001404F7" w:rsidRPr="006447FF" w14:paraId="67A6A26E" w14:textId="77777777" w:rsidTr="001404F7">
        <w:trPr>
          <w:cnfStyle w:val="000000100000" w:firstRow="0" w:lastRow="0" w:firstColumn="0" w:lastColumn="0" w:oddVBand="0" w:evenVBand="0" w:oddHBand="1" w:evenHBand="0" w:firstRowFirstColumn="0" w:firstRowLastColumn="0" w:lastRowFirstColumn="0" w:lastRowLastColumn="0"/>
        </w:trPr>
        <w:tc>
          <w:tcPr>
            <w:tcW w:w="2051" w:type="pct"/>
            <w:tcBorders>
              <w:top w:val="single" w:sz="12" w:space="0" w:color="00B0B9"/>
              <w:bottom w:val="single" w:sz="4" w:space="0" w:color="FFFFFF" w:themeColor="background1"/>
            </w:tcBorders>
            <w:hideMark/>
          </w:tcPr>
          <w:p w14:paraId="3DA10A4F" w14:textId="77777777" w:rsidR="001404F7" w:rsidRPr="006447FF" w:rsidRDefault="001404F7" w:rsidP="001404F7">
            <w:pPr>
              <w:numPr>
                <w:ilvl w:val="0"/>
                <w:numId w:val="81"/>
              </w:num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Studying Payment recipients</w:t>
            </w:r>
          </w:p>
        </w:tc>
        <w:tc>
          <w:tcPr>
            <w:tcW w:w="1475" w:type="pct"/>
            <w:tcBorders>
              <w:top w:val="single" w:sz="12" w:space="0" w:color="00B0B9"/>
              <w:bottom w:val="single" w:sz="4" w:space="0" w:color="FFFFFF" w:themeColor="background1"/>
            </w:tcBorders>
          </w:tcPr>
          <w:p w14:paraId="66155B4E" w14:textId="77777777" w:rsidR="001404F7" w:rsidRPr="007F69AC" w:rsidRDefault="001404F7" w:rsidP="001404F7">
            <w:pPr>
              <w:spacing w:before="40" w:after="40"/>
              <w:jc w:val="right"/>
              <w:rPr>
                <w:rFonts w:eastAsia="Times New Roman" w:cs="Arial"/>
                <w:spacing w:val="4"/>
                <w:sz w:val="20"/>
                <w:szCs w:val="20"/>
                <w:lang w:val="en-GB"/>
              </w:rPr>
            </w:pPr>
            <w:r w:rsidRPr="007F69AC">
              <w:rPr>
                <w:sz w:val="20"/>
                <w:szCs w:val="20"/>
              </w:rPr>
              <w:t>65%</w:t>
            </w:r>
          </w:p>
        </w:tc>
        <w:tc>
          <w:tcPr>
            <w:tcW w:w="1474" w:type="pct"/>
            <w:tcBorders>
              <w:top w:val="single" w:sz="12" w:space="0" w:color="00B0B9"/>
              <w:bottom w:val="single" w:sz="4" w:space="0" w:color="FFFFFF" w:themeColor="background1"/>
            </w:tcBorders>
            <w:hideMark/>
          </w:tcPr>
          <w:p w14:paraId="5C5C9AAC"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7F69AC">
              <w:rPr>
                <w:rFonts w:eastAsia="Times New Roman" w:cs="Arial"/>
                <w:spacing w:val="4"/>
                <w:sz w:val="20"/>
                <w:szCs w:val="17"/>
                <w:lang w:val="en-GB"/>
              </w:rPr>
              <w:t>60%</w:t>
            </w:r>
          </w:p>
        </w:tc>
      </w:tr>
      <w:tr w:rsidR="001404F7" w:rsidRPr="006447FF" w14:paraId="112609CC" w14:textId="77777777" w:rsidTr="001404F7">
        <w:trPr>
          <w:cnfStyle w:val="000000010000" w:firstRow="0" w:lastRow="0" w:firstColumn="0" w:lastColumn="0" w:oddVBand="0" w:evenVBand="0" w:oddHBand="0" w:evenHBand="1" w:firstRowFirstColumn="0" w:firstRowLastColumn="0" w:lastRowFirstColumn="0" w:lastRowLastColumn="0"/>
        </w:trPr>
        <w:tc>
          <w:tcPr>
            <w:tcW w:w="2051" w:type="pct"/>
            <w:tcBorders>
              <w:top w:val="single" w:sz="4" w:space="0" w:color="FFFFFF" w:themeColor="background1"/>
            </w:tcBorders>
            <w:hideMark/>
          </w:tcPr>
          <w:p w14:paraId="7EB25004" w14:textId="77777777" w:rsidR="001404F7" w:rsidRPr="006447FF" w:rsidRDefault="001404F7" w:rsidP="001404F7">
            <w:pPr>
              <w:numPr>
                <w:ilvl w:val="0"/>
                <w:numId w:val="81"/>
              </w:num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Working Age Payment recipients</w:t>
            </w:r>
          </w:p>
        </w:tc>
        <w:tc>
          <w:tcPr>
            <w:tcW w:w="1475" w:type="pct"/>
            <w:tcBorders>
              <w:top w:val="single" w:sz="4" w:space="0" w:color="FFFFFF" w:themeColor="background1"/>
            </w:tcBorders>
          </w:tcPr>
          <w:p w14:paraId="19B4A589" w14:textId="77777777" w:rsidR="001404F7" w:rsidRPr="007F69AC" w:rsidRDefault="001404F7" w:rsidP="001404F7">
            <w:pPr>
              <w:spacing w:before="40" w:after="40"/>
              <w:jc w:val="right"/>
              <w:rPr>
                <w:rFonts w:eastAsia="Times New Roman"/>
                <w:spacing w:val="4"/>
                <w:sz w:val="20"/>
                <w:szCs w:val="20"/>
                <w:lang w:val="en-GB"/>
              </w:rPr>
            </w:pPr>
            <w:r w:rsidRPr="007F69AC">
              <w:rPr>
                <w:sz w:val="20"/>
                <w:szCs w:val="20"/>
              </w:rPr>
              <w:t>41%</w:t>
            </w:r>
          </w:p>
        </w:tc>
        <w:tc>
          <w:tcPr>
            <w:tcW w:w="1474" w:type="pct"/>
            <w:tcBorders>
              <w:top w:val="single" w:sz="4" w:space="0" w:color="FFFFFF" w:themeColor="background1"/>
            </w:tcBorders>
            <w:hideMark/>
          </w:tcPr>
          <w:p w14:paraId="423F4AD1"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7F69AC">
              <w:rPr>
                <w:rFonts w:eastAsia="Times New Roman"/>
                <w:spacing w:val="4"/>
                <w:sz w:val="20"/>
                <w:szCs w:val="17"/>
                <w:lang w:val="en-GB"/>
              </w:rPr>
              <w:t>38%</w:t>
            </w:r>
          </w:p>
        </w:tc>
      </w:tr>
      <w:tr w:rsidR="001404F7" w:rsidRPr="006447FF" w14:paraId="0B22D129" w14:textId="77777777" w:rsidTr="001404F7">
        <w:trPr>
          <w:cnfStyle w:val="000000100000" w:firstRow="0" w:lastRow="0" w:firstColumn="0" w:lastColumn="0" w:oddVBand="0" w:evenVBand="0" w:oddHBand="1" w:evenHBand="0" w:firstRowFirstColumn="0" w:firstRowLastColumn="0" w:lastRowFirstColumn="0" w:lastRowLastColumn="0"/>
        </w:trPr>
        <w:tc>
          <w:tcPr>
            <w:tcW w:w="2051" w:type="pct"/>
            <w:hideMark/>
          </w:tcPr>
          <w:p w14:paraId="7B5290BA" w14:textId="77777777" w:rsidR="001404F7" w:rsidRPr="006447FF" w:rsidRDefault="001404F7" w:rsidP="001404F7">
            <w:pPr>
              <w:numPr>
                <w:ilvl w:val="0"/>
                <w:numId w:val="81"/>
              </w:num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Parenting Payment recipients</w:t>
            </w:r>
          </w:p>
        </w:tc>
        <w:tc>
          <w:tcPr>
            <w:tcW w:w="1475" w:type="pct"/>
          </w:tcPr>
          <w:p w14:paraId="29872390" w14:textId="77777777" w:rsidR="001404F7" w:rsidRPr="007F69AC" w:rsidRDefault="001404F7" w:rsidP="001404F7">
            <w:pPr>
              <w:spacing w:before="40" w:after="40"/>
              <w:jc w:val="right"/>
              <w:rPr>
                <w:rFonts w:eastAsia="Times New Roman" w:cs="Arial"/>
                <w:spacing w:val="4"/>
                <w:sz w:val="20"/>
                <w:szCs w:val="20"/>
                <w:lang w:val="en-GB"/>
              </w:rPr>
            </w:pPr>
            <w:r w:rsidRPr="007F69AC">
              <w:rPr>
                <w:sz w:val="20"/>
                <w:szCs w:val="20"/>
              </w:rPr>
              <w:t>41%</w:t>
            </w:r>
          </w:p>
        </w:tc>
        <w:tc>
          <w:tcPr>
            <w:tcW w:w="1474" w:type="pct"/>
            <w:hideMark/>
          </w:tcPr>
          <w:p w14:paraId="406C05AF"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7F69AC">
              <w:rPr>
                <w:rFonts w:eastAsia="Times New Roman" w:cs="Arial"/>
                <w:spacing w:val="4"/>
                <w:sz w:val="20"/>
                <w:szCs w:val="17"/>
                <w:lang w:val="en-GB"/>
              </w:rPr>
              <w:t>36%</w:t>
            </w:r>
          </w:p>
        </w:tc>
      </w:tr>
      <w:tr w:rsidR="001404F7" w:rsidRPr="006447FF" w14:paraId="4C7F3968" w14:textId="77777777" w:rsidTr="001404F7">
        <w:trPr>
          <w:cnfStyle w:val="000000010000" w:firstRow="0" w:lastRow="0" w:firstColumn="0" w:lastColumn="0" w:oddVBand="0" w:evenVBand="0" w:oddHBand="0" w:evenHBand="1" w:firstRowFirstColumn="0" w:firstRowLastColumn="0" w:lastRowFirstColumn="0" w:lastRowLastColumn="0"/>
        </w:trPr>
        <w:tc>
          <w:tcPr>
            <w:tcW w:w="2051" w:type="pct"/>
            <w:hideMark/>
          </w:tcPr>
          <w:p w14:paraId="51BEC96A" w14:textId="77777777" w:rsidR="001404F7" w:rsidRPr="006447FF" w:rsidRDefault="001404F7" w:rsidP="001404F7">
            <w:pPr>
              <w:numPr>
                <w:ilvl w:val="0"/>
                <w:numId w:val="81"/>
              </w:num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Carer Payment recipients</w:t>
            </w:r>
          </w:p>
        </w:tc>
        <w:tc>
          <w:tcPr>
            <w:tcW w:w="1475" w:type="pct"/>
          </w:tcPr>
          <w:p w14:paraId="1F41D834" w14:textId="77777777" w:rsidR="001404F7" w:rsidRPr="007F69AC" w:rsidRDefault="001404F7" w:rsidP="001404F7">
            <w:pPr>
              <w:spacing w:before="40" w:after="40"/>
              <w:jc w:val="right"/>
              <w:rPr>
                <w:rFonts w:eastAsia="Times New Roman"/>
                <w:spacing w:val="4"/>
                <w:sz w:val="20"/>
                <w:szCs w:val="20"/>
                <w:lang w:val="en-GB"/>
              </w:rPr>
            </w:pPr>
            <w:r w:rsidRPr="007F69AC">
              <w:rPr>
                <w:sz w:val="20"/>
                <w:szCs w:val="20"/>
              </w:rPr>
              <w:t>18%</w:t>
            </w:r>
          </w:p>
        </w:tc>
        <w:tc>
          <w:tcPr>
            <w:tcW w:w="1474" w:type="pct"/>
            <w:hideMark/>
          </w:tcPr>
          <w:p w14:paraId="3C0FFD8F"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7F69AC">
              <w:rPr>
                <w:rFonts w:eastAsia="Times New Roman"/>
                <w:spacing w:val="4"/>
                <w:sz w:val="20"/>
                <w:szCs w:val="17"/>
                <w:lang w:val="en-GB"/>
              </w:rPr>
              <w:t>16%</w:t>
            </w:r>
          </w:p>
        </w:tc>
      </w:tr>
      <w:tr w:rsidR="001404F7" w:rsidRPr="006447FF" w14:paraId="294D290C" w14:textId="77777777" w:rsidTr="001404F7">
        <w:trPr>
          <w:cnfStyle w:val="000000100000" w:firstRow="0" w:lastRow="0" w:firstColumn="0" w:lastColumn="0" w:oddVBand="0" w:evenVBand="0" w:oddHBand="1" w:evenHBand="0" w:firstRowFirstColumn="0" w:firstRowLastColumn="0" w:lastRowFirstColumn="0" w:lastRowLastColumn="0"/>
        </w:trPr>
        <w:tc>
          <w:tcPr>
            <w:tcW w:w="2051" w:type="pct"/>
            <w:hideMark/>
          </w:tcPr>
          <w:p w14:paraId="47CA182F" w14:textId="77777777" w:rsidR="001404F7" w:rsidRPr="006447FF" w:rsidRDefault="001404F7" w:rsidP="001404F7">
            <w:pPr>
              <w:numPr>
                <w:ilvl w:val="0"/>
                <w:numId w:val="81"/>
              </w:num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Disability Support Pension recipients</w:t>
            </w:r>
          </w:p>
        </w:tc>
        <w:tc>
          <w:tcPr>
            <w:tcW w:w="1475" w:type="pct"/>
          </w:tcPr>
          <w:p w14:paraId="2F0E8EE7" w14:textId="77777777" w:rsidR="001404F7" w:rsidRPr="007F69AC" w:rsidRDefault="001404F7" w:rsidP="001404F7">
            <w:pPr>
              <w:spacing w:before="40" w:after="40"/>
              <w:jc w:val="right"/>
              <w:rPr>
                <w:rFonts w:eastAsia="Times New Roman" w:cs="Arial"/>
                <w:spacing w:val="4"/>
                <w:sz w:val="20"/>
                <w:szCs w:val="20"/>
                <w:lang w:val="en-GB"/>
              </w:rPr>
            </w:pPr>
            <w:r w:rsidRPr="007F69AC">
              <w:rPr>
                <w:sz w:val="20"/>
                <w:szCs w:val="20"/>
              </w:rPr>
              <w:t>7%</w:t>
            </w:r>
          </w:p>
        </w:tc>
        <w:tc>
          <w:tcPr>
            <w:tcW w:w="1474" w:type="pct"/>
            <w:hideMark/>
          </w:tcPr>
          <w:p w14:paraId="5C8D06DD"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7F69AC">
              <w:rPr>
                <w:rFonts w:eastAsia="Times New Roman" w:cs="Arial"/>
                <w:spacing w:val="4"/>
                <w:sz w:val="20"/>
                <w:szCs w:val="17"/>
                <w:lang w:val="en-GB"/>
              </w:rPr>
              <w:t>6%</w:t>
            </w:r>
          </w:p>
        </w:tc>
      </w:tr>
      <w:tr w:rsidR="001404F7" w:rsidRPr="006447FF" w14:paraId="39281E37" w14:textId="77777777" w:rsidTr="001404F7">
        <w:trPr>
          <w:cnfStyle w:val="000000010000" w:firstRow="0" w:lastRow="0" w:firstColumn="0" w:lastColumn="0" w:oddVBand="0" w:evenVBand="0" w:oddHBand="0" w:evenHBand="1" w:firstRowFirstColumn="0" w:firstRowLastColumn="0" w:lastRowFirstColumn="0" w:lastRowLastColumn="0"/>
        </w:trPr>
        <w:tc>
          <w:tcPr>
            <w:tcW w:w="2051" w:type="pct"/>
            <w:hideMark/>
          </w:tcPr>
          <w:p w14:paraId="102C8642" w14:textId="77777777" w:rsidR="001404F7" w:rsidRPr="006447FF" w:rsidRDefault="001404F7" w:rsidP="001404F7">
            <w:pPr>
              <w:numPr>
                <w:ilvl w:val="0"/>
                <w:numId w:val="81"/>
              </w:num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Age Pension recipients</w:t>
            </w:r>
          </w:p>
        </w:tc>
        <w:tc>
          <w:tcPr>
            <w:tcW w:w="1475" w:type="pct"/>
          </w:tcPr>
          <w:p w14:paraId="17273DBD" w14:textId="77777777" w:rsidR="001404F7" w:rsidRPr="007F69AC" w:rsidRDefault="001404F7" w:rsidP="001404F7">
            <w:pPr>
              <w:spacing w:before="40" w:after="40"/>
              <w:jc w:val="right"/>
              <w:rPr>
                <w:rFonts w:eastAsia="Times New Roman"/>
                <w:spacing w:val="4"/>
                <w:sz w:val="20"/>
                <w:szCs w:val="20"/>
                <w:lang w:val="en-GB"/>
              </w:rPr>
            </w:pPr>
            <w:r w:rsidRPr="007F69AC">
              <w:rPr>
                <w:sz w:val="20"/>
                <w:szCs w:val="20"/>
              </w:rPr>
              <w:t>4%</w:t>
            </w:r>
          </w:p>
        </w:tc>
        <w:tc>
          <w:tcPr>
            <w:tcW w:w="1474" w:type="pct"/>
            <w:hideMark/>
          </w:tcPr>
          <w:p w14:paraId="57783222"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7F69AC">
              <w:rPr>
                <w:rFonts w:eastAsia="Times New Roman"/>
                <w:spacing w:val="4"/>
                <w:sz w:val="20"/>
                <w:szCs w:val="17"/>
                <w:lang w:val="en-GB"/>
              </w:rPr>
              <w:t>6%</w:t>
            </w:r>
          </w:p>
        </w:tc>
      </w:tr>
      <w:tr w:rsidR="001404F7" w:rsidRPr="006447FF" w14:paraId="5701C0BD" w14:textId="77777777" w:rsidTr="001404F7">
        <w:trPr>
          <w:cnfStyle w:val="000000100000" w:firstRow="0" w:lastRow="0" w:firstColumn="0" w:lastColumn="0" w:oddVBand="0" w:evenVBand="0" w:oddHBand="1" w:evenHBand="0" w:firstRowFirstColumn="0" w:firstRowLastColumn="0" w:lastRowFirstColumn="0" w:lastRowLastColumn="0"/>
        </w:trPr>
        <w:tc>
          <w:tcPr>
            <w:tcW w:w="2051" w:type="pct"/>
            <w:hideMark/>
          </w:tcPr>
          <w:p w14:paraId="531BF1FB" w14:textId="77777777" w:rsidR="001404F7" w:rsidRPr="006447FF" w:rsidRDefault="001404F7" w:rsidP="001404F7">
            <w:pPr>
              <w:numPr>
                <w:ilvl w:val="0"/>
                <w:numId w:val="81"/>
              </w:num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Recipients of non-Income Support Family Payments</w:t>
            </w:r>
          </w:p>
        </w:tc>
        <w:tc>
          <w:tcPr>
            <w:tcW w:w="1475" w:type="pct"/>
          </w:tcPr>
          <w:p w14:paraId="721F0764" w14:textId="77777777" w:rsidR="001404F7" w:rsidRPr="007F69AC" w:rsidRDefault="001404F7" w:rsidP="001404F7">
            <w:pPr>
              <w:spacing w:before="40" w:after="40"/>
              <w:jc w:val="right"/>
              <w:rPr>
                <w:rFonts w:eastAsia="Times New Roman" w:cs="Arial"/>
                <w:spacing w:val="4"/>
                <w:sz w:val="20"/>
                <w:szCs w:val="20"/>
                <w:lang w:val="en-GB"/>
              </w:rPr>
            </w:pPr>
            <w:r w:rsidRPr="007F69AC">
              <w:rPr>
                <w:sz w:val="20"/>
                <w:szCs w:val="20"/>
              </w:rPr>
              <w:t>67%</w:t>
            </w:r>
          </w:p>
        </w:tc>
        <w:tc>
          <w:tcPr>
            <w:tcW w:w="1474" w:type="pct"/>
            <w:hideMark/>
          </w:tcPr>
          <w:p w14:paraId="2B6B8609"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7F69AC">
              <w:rPr>
                <w:rFonts w:eastAsia="Times New Roman" w:cs="Arial"/>
                <w:spacing w:val="4"/>
                <w:sz w:val="20"/>
                <w:szCs w:val="17"/>
                <w:lang w:val="en-GB"/>
              </w:rPr>
              <w:t>62%</w:t>
            </w:r>
          </w:p>
        </w:tc>
      </w:tr>
      <w:tr w:rsidR="001404F7" w:rsidRPr="006447FF" w14:paraId="0C86CB1A" w14:textId="77777777" w:rsidTr="001404F7">
        <w:trPr>
          <w:cnfStyle w:val="000000010000" w:firstRow="0" w:lastRow="0" w:firstColumn="0" w:lastColumn="0" w:oddVBand="0" w:evenVBand="0" w:oddHBand="0" w:evenHBand="1" w:firstRowFirstColumn="0" w:firstRowLastColumn="0" w:lastRowFirstColumn="0" w:lastRowLastColumn="0"/>
        </w:trPr>
        <w:tc>
          <w:tcPr>
            <w:tcW w:w="2051" w:type="pct"/>
            <w:hideMark/>
          </w:tcPr>
          <w:p w14:paraId="794BF8B6" w14:textId="77777777" w:rsidR="001404F7" w:rsidRPr="006447FF" w:rsidRDefault="001404F7" w:rsidP="001404F7">
            <w:pPr>
              <w:numPr>
                <w:ilvl w:val="0"/>
                <w:numId w:val="81"/>
              </w:num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Recipients of non-Income Support Carer Payments</w:t>
            </w:r>
          </w:p>
        </w:tc>
        <w:tc>
          <w:tcPr>
            <w:tcW w:w="1475" w:type="pct"/>
          </w:tcPr>
          <w:p w14:paraId="72914717" w14:textId="77777777" w:rsidR="001404F7" w:rsidRPr="007F69AC" w:rsidRDefault="001404F7" w:rsidP="001404F7">
            <w:pPr>
              <w:spacing w:before="40" w:after="40"/>
              <w:jc w:val="right"/>
              <w:rPr>
                <w:rFonts w:eastAsia="Times New Roman"/>
                <w:spacing w:val="4"/>
                <w:sz w:val="20"/>
                <w:szCs w:val="20"/>
                <w:lang w:val="en-GB"/>
              </w:rPr>
            </w:pPr>
            <w:r w:rsidRPr="007F69AC">
              <w:rPr>
                <w:sz w:val="20"/>
                <w:szCs w:val="20"/>
              </w:rPr>
              <w:t>62%</w:t>
            </w:r>
          </w:p>
        </w:tc>
        <w:tc>
          <w:tcPr>
            <w:tcW w:w="1474" w:type="pct"/>
            <w:hideMark/>
          </w:tcPr>
          <w:p w14:paraId="4A6129A0"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7F69AC">
              <w:rPr>
                <w:rFonts w:eastAsia="Times New Roman"/>
                <w:spacing w:val="4"/>
                <w:sz w:val="20"/>
                <w:szCs w:val="17"/>
                <w:lang w:val="en-GB"/>
              </w:rPr>
              <w:t>57%</w:t>
            </w:r>
          </w:p>
        </w:tc>
      </w:tr>
      <w:tr w:rsidR="001404F7" w:rsidRPr="006447FF" w14:paraId="152848A6" w14:textId="77777777" w:rsidTr="001404F7">
        <w:trPr>
          <w:cnfStyle w:val="000000100000" w:firstRow="0" w:lastRow="0" w:firstColumn="0" w:lastColumn="0" w:oddVBand="0" w:evenVBand="0" w:oddHBand="1" w:evenHBand="0" w:firstRowFirstColumn="0" w:firstRowLastColumn="0" w:lastRowFirstColumn="0" w:lastRowLastColumn="0"/>
        </w:trPr>
        <w:tc>
          <w:tcPr>
            <w:tcW w:w="2051" w:type="pct"/>
            <w:hideMark/>
          </w:tcPr>
          <w:p w14:paraId="2A2A4E1B" w14:textId="77777777" w:rsidR="001404F7" w:rsidRPr="006447FF" w:rsidRDefault="001404F7" w:rsidP="001404F7">
            <w:pPr>
              <w:numPr>
                <w:ilvl w:val="0"/>
                <w:numId w:val="81"/>
              </w:num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Recipients of other non-Income Support Payments</w:t>
            </w:r>
          </w:p>
        </w:tc>
        <w:tc>
          <w:tcPr>
            <w:tcW w:w="1475" w:type="pct"/>
          </w:tcPr>
          <w:p w14:paraId="34033B59" w14:textId="77777777" w:rsidR="001404F7" w:rsidRPr="007F69AC" w:rsidRDefault="001404F7" w:rsidP="001404F7">
            <w:pPr>
              <w:spacing w:before="40" w:after="40"/>
              <w:jc w:val="right"/>
              <w:rPr>
                <w:rFonts w:eastAsia="Times New Roman" w:cs="Arial"/>
                <w:spacing w:val="4"/>
                <w:sz w:val="20"/>
                <w:szCs w:val="20"/>
                <w:lang w:val="en-GB"/>
              </w:rPr>
            </w:pPr>
            <w:r w:rsidRPr="007F69AC">
              <w:rPr>
                <w:sz w:val="20"/>
                <w:szCs w:val="20"/>
              </w:rPr>
              <w:t>68%</w:t>
            </w:r>
          </w:p>
        </w:tc>
        <w:tc>
          <w:tcPr>
            <w:tcW w:w="1474" w:type="pct"/>
            <w:hideMark/>
          </w:tcPr>
          <w:p w14:paraId="7B08A17E"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7F69AC">
              <w:rPr>
                <w:rFonts w:eastAsia="Times New Roman" w:cs="Arial"/>
                <w:spacing w:val="4"/>
                <w:sz w:val="20"/>
                <w:szCs w:val="17"/>
                <w:lang w:val="en-GB"/>
              </w:rPr>
              <w:t>63%</w:t>
            </w:r>
          </w:p>
        </w:tc>
      </w:tr>
      <w:tr w:rsidR="001404F7" w:rsidRPr="006447FF" w14:paraId="3CD20B0B" w14:textId="77777777" w:rsidTr="001404F7">
        <w:trPr>
          <w:cnfStyle w:val="000000010000" w:firstRow="0" w:lastRow="0" w:firstColumn="0" w:lastColumn="0" w:oddVBand="0" w:evenVBand="0" w:oddHBand="0" w:evenHBand="1" w:firstRowFirstColumn="0" w:firstRowLastColumn="0" w:lastRowFirstColumn="0" w:lastRowLastColumn="0"/>
        </w:trPr>
        <w:tc>
          <w:tcPr>
            <w:tcW w:w="2051" w:type="pct"/>
            <w:hideMark/>
          </w:tcPr>
          <w:p w14:paraId="4577D51B"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Previous welfare recipients</w:t>
            </w:r>
          </w:p>
        </w:tc>
        <w:tc>
          <w:tcPr>
            <w:tcW w:w="1475" w:type="pct"/>
          </w:tcPr>
          <w:p w14:paraId="21374D9E" w14:textId="77777777" w:rsidR="001404F7" w:rsidRPr="007F69AC" w:rsidRDefault="001404F7" w:rsidP="001404F7">
            <w:pPr>
              <w:spacing w:before="40" w:after="40"/>
              <w:jc w:val="right"/>
              <w:rPr>
                <w:rFonts w:eastAsia="Times New Roman"/>
                <w:spacing w:val="4"/>
                <w:sz w:val="20"/>
                <w:szCs w:val="20"/>
                <w:lang w:val="en-GB"/>
              </w:rPr>
            </w:pPr>
            <w:r w:rsidRPr="007F69AC">
              <w:rPr>
                <w:sz w:val="20"/>
                <w:szCs w:val="20"/>
              </w:rPr>
              <w:t>66%</w:t>
            </w:r>
          </w:p>
        </w:tc>
        <w:tc>
          <w:tcPr>
            <w:tcW w:w="1474" w:type="pct"/>
            <w:hideMark/>
          </w:tcPr>
          <w:p w14:paraId="61A973F3"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7F69AC">
              <w:rPr>
                <w:rFonts w:eastAsia="Times New Roman"/>
                <w:spacing w:val="4"/>
                <w:sz w:val="20"/>
                <w:szCs w:val="17"/>
                <w:lang w:val="en-GB"/>
              </w:rPr>
              <w:t>59%</w:t>
            </w:r>
          </w:p>
        </w:tc>
      </w:tr>
      <w:tr w:rsidR="001404F7" w:rsidRPr="006447FF" w14:paraId="06679CD3" w14:textId="77777777" w:rsidTr="001404F7">
        <w:trPr>
          <w:cnfStyle w:val="000000100000" w:firstRow="0" w:lastRow="0" w:firstColumn="0" w:lastColumn="0" w:oddVBand="0" w:evenVBand="0" w:oddHBand="1" w:evenHBand="0" w:firstRowFirstColumn="0" w:firstRowLastColumn="0" w:lastRowFirstColumn="0" w:lastRowLastColumn="0"/>
        </w:trPr>
        <w:tc>
          <w:tcPr>
            <w:tcW w:w="2051" w:type="pct"/>
            <w:hideMark/>
          </w:tcPr>
          <w:p w14:paraId="60FE6FB3"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lastRenderedPageBreak/>
              <w:t>Rest of Australian resident population</w:t>
            </w:r>
          </w:p>
        </w:tc>
        <w:tc>
          <w:tcPr>
            <w:tcW w:w="1475" w:type="pct"/>
          </w:tcPr>
          <w:p w14:paraId="1C10038A" w14:textId="77777777" w:rsidR="001404F7" w:rsidRPr="007F69AC" w:rsidRDefault="001404F7" w:rsidP="001404F7">
            <w:pPr>
              <w:spacing w:before="40" w:after="40"/>
              <w:jc w:val="right"/>
              <w:rPr>
                <w:rFonts w:eastAsia="Times New Roman" w:cs="Arial"/>
                <w:spacing w:val="4"/>
                <w:sz w:val="20"/>
                <w:szCs w:val="20"/>
                <w:lang w:val="en-GB"/>
              </w:rPr>
            </w:pPr>
            <w:r w:rsidRPr="007F69AC">
              <w:rPr>
                <w:sz w:val="20"/>
                <w:szCs w:val="20"/>
              </w:rPr>
              <w:t>71%</w:t>
            </w:r>
          </w:p>
        </w:tc>
        <w:tc>
          <w:tcPr>
            <w:tcW w:w="1474" w:type="pct"/>
            <w:hideMark/>
          </w:tcPr>
          <w:p w14:paraId="2D6492FC"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7F69AC">
              <w:rPr>
                <w:rFonts w:eastAsia="Times New Roman" w:cs="Arial"/>
                <w:spacing w:val="4"/>
                <w:sz w:val="20"/>
                <w:szCs w:val="17"/>
                <w:lang w:val="en-GB"/>
              </w:rPr>
              <w:t>66%</w:t>
            </w:r>
          </w:p>
        </w:tc>
      </w:tr>
      <w:tr w:rsidR="001404F7" w:rsidRPr="006447FF" w14:paraId="4E962C91" w14:textId="77777777" w:rsidTr="001404F7">
        <w:trPr>
          <w:cnfStyle w:val="000000010000" w:firstRow="0" w:lastRow="0" w:firstColumn="0" w:lastColumn="0" w:oddVBand="0" w:evenVBand="0" w:oddHBand="0" w:evenHBand="1" w:firstRowFirstColumn="0" w:firstRowLastColumn="0" w:lastRowFirstColumn="0" w:lastRowLastColumn="0"/>
        </w:trPr>
        <w:tc>
          <w:tcPr>
            <w:tcW w:w="2051" w:type="pct"/>
            <w:hideMark/>
          </w:tcPr>
          <w:p w14:paraId="4FF804DF"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Total—Australian resident population</w:t>
            </w:r>
          </w:p>
        </w:tc>
        <w:tc>
          <w:tcPr>
            <w:tcW w:w="1475" w:type="pct"/>
          </w:tcPr>
          <w:p w14:paraId="78DFBE05" w14:textId="77777777" w:rsidR="001404F7" w:rsidRPr="007F69AC" w:rsidRDefault="001404F7" w:rsidP="001404F7">
            <w:pPr>
              <w:spacing w:before="40" w:after="40"/>
              <w:jc w:val="right"/>
              <w:rPr>
                <w:rFonts w:eastAsia="Times New Roman"/>
                <w:spacing w:val="4"/>
                <w:sz w:val="20"/>
                <w:szCs w:val="20"/>
                <w:lang w:val="en-GB"/>
              </w:rPr>
            </w:pPr>
            <w:r w:rsidRPr="007F69AC">
              <w:rPr>
                <w:sz w:val="20"/>
                <w:szCs w:val="20"/>
              </w:rPr>
              <w:t>64%</w:t>
            </w:r>
          </w:p>
        </w:tc>
        <w:tc>
          <w:tcPr>
            <w:tcW w:w="1474" w:type="pct"/>
            <w:hideMark/>
          </w:tcPr>
          <w:p w14:paraId="3A89ABF2"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7F69AC">
              <w:rPr>
                <w:rFonts w:eastAsia="Times New Roman"/>
                <w:spacing w:val="4"/>
                <w:sz w:val="20"/>
                <w:szCs w:val="17"/>
                <w:lang w:val="en-GB"/>
              </w:rPr>
              <w:t>59%</w:t>
            </w:r>
          </w:p>
        </w:tc>
      </w:tr>
    </w:tbl>
    <w:p w14:paraId="7238A5B7" w14:textId="77777777" w:rsidR="001404F7" w:rsidRDefault="001404F7" w:rsidP="001404F7">
      <w:pPr>
        <w:spacing w:after="0" w:line="240" w:lineRule="auto"/>
        <w:ind w:left="284" w:hanging="284"/>
        <w:rPr>
          <w:rFonts w:cs="Arial"/>
          <w:sz w:val="16"/>
          <w:szCs w:val="16"/>
        </w:rPr>
      </w:pPr>
      <w:proofErr w:type="spellStart"/>
      <w:r w:rsidRPr="006447FF">
        <w:rPr>
          <w:sz w:val="16"/>
        </w:rPr>
        <w:t>a</w:t>
      </w:r>
      <w:proofErr w:type="spellEnd"/>
      <w:r w:rsidRPr="006447FF">
        <w:rPr>
          <w:sz w:val="16"/>
        </w:rPr>
        <w:tab/>
      </w:r>
      <w:r w:rsidRPr="007F69AC">
        <w:rPr>
          <w:rFonts w:cs="Arial"/>
          <w:sz w:val="16"/>
          <w:szCs w:val="16"/>
        </w:rPr>
        <w:t>This measure captures information on an annual basis; that is, the number of future years for which no income support payment would be made to the individual (expressed as a percentage of their expected future lifetime years). It is not a measure of the number of fortnightly payment periods in which individuals do not receive payment.</w:t>
      </w:r>
    </w:p>
    <w:p w14:paraId="023A6508" w14:textId="77777777" w:rsidR="001404F7" w:rsidRPr="009E0FFD" w:rsidRDefault="001404F7" w:rsidP="001404F7">
      <w:pPr>
        <w:spacing w:after="0" w:line="240" w:lineRule="auto"/>
        <w:ind w:left="284" w:hanging="284"/>
        <w:rPr>
          <w:rFonts w:cs="Arial"/>
          <w:sz w:val="16"/>
          <w:szCs w:val="16"/>
        </w:rPr>
      </w:pPr>
      <w:r w:rsidRPr="009E0FFD">
        <w:rPr>
          <w:rFonts w:cs="Arial"/>
          <w:sz w:val="16"/>
          <w:szCs w:val="16"/>
        </w:rPr>
        <w:t>b</w:t>
      </w:r>
      <w:r w:rsidRPr="009E0FFD">
        <w:rPr>
          <w:rFonts w:cs="Arial"/>
          <w:sz w:val="16"/>
          <w:szCs w:val="16"/>
        </w:rPr>
        <w:tab/>
        <w:t>Note the one</w:t>
      </w:r>
      <w:r>
        <w:rPr>
          <w:rFonts w:cs="Arial"/>
          <w:sz w:val="16"/>
          <w:szCs w:val="16"/>
        </w:rPr>
        <w:t>-</w:t>
      </w:r>
      <w:r w:rsidRPr="009E0FFD">
        <w:rPr>
          <w:rFonts w:cs="Arial"/>
          <w:sz w:val="16"/>
          <w:szCs w:val="16"/>
        </w:rPr>
        <w:t>year lag for reporting the data.</w:t>
      </w:r>
    </w:p>
    <w:p w14:paraId="154287A6" w14:textId="77777777" w:rsidR="001404F7" w:rsidRPr="00577E4E" w:rsidRDefault="001404F7" w:rsidP="001404F7">
      <w:pPr>
        <w:rPr>
          <w:rFonts w:cs="Arial"/>
          <w:sz w:val="20"/>
          <w:szCs w:val="20"/>
        </w:rPr>
      </w:pPr>
    </w:p>
    <w:p w14:paraId="345AB76F" w14:textId="44B6D78B" w:rsidR="001404F7" w:rsidRPr="003F5594" w:rsidRDefault="001404F7" w:rsidP="001404F7">
      <w:pPr>
        <w:spacing w:before="240" w:after="240" w:line="260" w:lineRule="atLeast"/>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t xml:space="preserve">C1.2.2 </w:t>
      </w:r>
      <w:r w:rsidRPr="003F5594">
        <w:rPr>
          <w:rFonts w:eastAsiaTheme="majorEastAsia" w:cstheme="majorBidi"/>
          <w:b/>
          <w:color w:val="595959" w:themeColor="text1" w:themeTint="A6"/>
          <w:sz w:val="24"/>
          <w:szCs w:val="20"/>
        </w:rPr>
        <w:t>Percentage of recipients who are not receiving income support 3/6/12 months after exiting student payments</w:t>
      </w:r>
    </w:p>
    <w:p w14:paraId="173BFCC9" w14:textId="77777777" w:rsidR="001404F7" w:rsidRPr="00022526" w:rsidRDefault="001404F7" w:rsidP="001404F7">
      <w:pPr>
        <w:rPr>
          <w:rFonts w:cs="Arial"/>
          <w:sz w:val="20"/>
          <w:szCs w:val="20"/>
        </w:rPr>
      </w:pPr>
      <w:r w:rsidRPr="00022526">
        <w:rPr>
          <w:rFonts w:cs="Arial"/>
          <w:sz w:val="20"/>
          <w:szCs w:val="20"/>
        </w:rPr>
        <w:t>This indicator measures the reliance of former recipients of student payments on income support three, six, and 12 months after leaving student payments. It is a proxy indicator for sustained self-reliance.</w:t>
      </w:r>
    </w:p>
    <w:p w14:paraId="735D6E3A" w14:textId="77777777" w:rsidR="001404F7" w:rsidRPr="00D47E5B"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Pr>
          <w:rFonts w:ascii="Arial Narrow" w:eastAsia="Times New Roman" w:hAnsi="Arial Narrow" w:cs="Times New Roman"/>
          <w:b/>
          <w:bCs/>
          <w:spacing w:val="4"/>
          <w:sz w:val="20"/>
          <w:szCs w:val="18"/>
          <w:lang w:eastAsia="en-AU"/>
        </w:rPr>
        <w:t>Table 2.1.6</w:t>
      </w:r>
      <w:r w:rsidRPr="00D47E5B">
        <w:rPr>
          <w:rFonts w:ascii="Arial Narrow" w:eastAsia="Times New Roman" w:hAnsi="Arial Narrow" w:cs="Times New Roman"/>
          <w:b/>
          <w:bCs/>
          <w:spacing w:val="4"/>
          <w:sz w:val="20"/>
          <w:szCs w:val="18"/>
          <w:lang w:eastAsia="en-AU"/>
        </w:rPr>
        <w:t>: Percentage of recipients who are not receiving income support 3/6/12 months after exiting Student Payments</w:t>
      </w:r>
    </w:p>
    <w:tbl>
      <w:tblPr>
        <w:tblStyle w:val="HHorizontaltable1"/>
        <w:tblW w:w="5000" w:type="pct"/>
        <w:tblLook w:val="04A0" w:firstRow="1" w:lastRow="0" w:firstColumn="1" w:lastColumn="0" w:noHBand="0" w:noVBand="1"/>
        <w:tblCaption w:val="Table 2.1.6: Percentage of recipients who are not receiving income support within 3/6/12 months after exiting student payments"/>
        <w:tblDescription w:val="Table 2.1.6: Percentage of recipients who are not receiving income support within 3/6/12 months after exiting student payments"/>
      </w:tblPr>
      <w:tblGrid>
        <w:gridCol w:w="5459"/>
        <w:gridCol w:w="1181"/>
        <w:gridCol w:w="1303"/>
        <w:gridCol w:w="1083"/>
      </w:tblGrid>
      <w:tr w:rsidR="001404F7" w:rsidRPr="001947C1" w14:paraId="196696EF" w14:textId="77777777" w:rsidTr="001404F7">
        <w:trPr>
          <w:cnfStyle w:val="100000000000" w:firstRow="1" w:lastRow="0" w:firstColumn="0" w:lastColumn="0" w:oddVBand="0" w:evenVBand="0" w:oddHBand="0" w:evenHBand="0" w:firstRowFirstColumn="0" w:firstRowLastColumn="0" w:lastRowFirstColumn="0" w:lastRowLastColumn="0"/>
          <w:trHeight w:val="75"/>
          <w:tblHeader/>
        </w:trPr>
        <w:tc>
          <w:tcPr>
            <w:tcW w:w="3024" w:type="pct"/>
            <w:hideMark/>
          </w:tcPr>
          <w:p w14:paraId="625AA4A6" w14:textId="77777777" w:rsidR="001404F7" w:rsidRPr="00D13460" w:rsidRDefault="001404F7" w:rsidP="001404F7">
            <w:pPr>
              <w:keepNext/>
              <w:keepLines/>
              <w:spacing w:before="40" w:after="40"/>
              <w:rPr>
                <w:rFonts w:eastAsia="Times New Roman"/>
                <w:sz w:val="20"/>
                <w:szCs w:val="20"/>
              </w:rPr>
            </w:pPr>
            <w:r w:rsidRPr="00D13460">
              <w:rPr>
                <w:rFonts w:eastAsia="Times New Roman"/>
                <w:sz w:val="20"/>
                <w:szCs w:val="20"/>
              </w:rPr>
              <w:t>Outcome performance measure</w:t>
            </w:r>
          </w:p>
        </w:tc>
        <w:tc>
          <w:tcPr>
            <w:tcW w:w="654" w:type="pct"/>
            <w:hideMark/>
          </w:tcPr>
          <w:p w14:paraId="4A6B5EA1" w14:textId="77777777" w:rsidR="001404F7" w:rsidRPr="00D13460" w:rsidRDefault="001404F7" w:rsidP="001404F7">
            <w:pPr>
              <w:keepNext/>
              <w:keepLines/>
              <w:spacing w:before="40" w:after="40"/>
              <w:jc w:val="right"/>
              <w:rPr>
                <w:rFonts w:eastAsia="Times New Roman"/>
                <w:sz w:val="20"/>
                <w:szCs w:val="20"/>
              </w:rPr>
            </w:pPr>
            <w:r w:rsidRPr="00D13460">
              <w:rPr>
                <w:rFonts w:eastAsia="Times New Roman"/>
                <w:sz w:val="20"/>
                <w:szCs w:val="20"/>
              </w:rPr>
              <w:t>2019–20</w:t>
            </w:r>
          </w:p>
        </w:tc>
        <w:tc>
          <w:tcPr>
            <w:tcW w:w="722" w:type="pct"/>
            <w:hideMark/>
          </w:tcPr>
          <w:p w14:paraId="141A16AA" w14:textId="77777777" w:rsidR="001404F7" w:rsidRPr="00D13460" w:rsidRDefault="001404F7" w:rsidP="001404F7">
            <w:pPr>
              <w:keepNext/>
              <w:keepLines/>
              <w:spacing w:before="40" w:after="40"/>
              <w:jc w:val="right"/>
              <w:rPr>
                <w:rFonts w:eastAsia="Times New Roman"/>
                <w:sz w:val="20"/>
                <w:szCs w:val="20"/>
              </w:rPr>
            </w:pPr>
            <w:r w:rsidRPr="00D13460">
              <w:rPr>
                <w:rFonts w:eastAsia="Times New Roman"/>
                <w:sz w:val="20"/>
                <w:szCs w:val="20"/>
              </w:rPr>
              <w:t>2018–19</w:t>
            </w:r>
          </w:p>
        </w:tc>
        <w:tc>
          <w:tcPr>
            <w:tcW w:w="600" w:type="pct"/>
            <w:hideMark/>
          </w:tcPr>
          <w:p w14:paraId="47E438DF" w14:textId="77777777" w:rsidR="001404F7" w:rsidRPr="00D13460" w:rsidRDefault="001404F7" w:rsidP="001404F7">
            <w:pPr>
              <w:keepNext/>
              <w:keepLines/>
              <w:spacing w:before="40" w:after="40"/>
              <w:jc w:val="right"/>
              <w:rPr>
                <w:rFonts w:eastAsia="Times New Roman"/>
                <w:sz w:val="20"/>
                <w:szCs w:val="20"/>
              </w:rPr>
            </w:pPr>
            <w:r w:rsidRPr="00D13460">
              <w:rPr>
                <w:rFonts w:eastAsia="Times New Roman"/>
                <w:sz w:val="20"/>
                <w:szCs w:val="20"/>
              </w:rPr>
              <w:t>2017–18</w:t>
            </w:r>
          </w:p>
        </w:tc>
      </w:tr>
      <w:tr w:rsidR="001404F7" w:rsidRPr="006447FF" w14:paraId="4A1DF8AD"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4"/>
            <w:tcBorders>
              <w:bottom w:val="single" w:sz="12" w:space="0" w:color="00B0B9"/>
            </w:tcBorders>
            <w:hideMark/>
          </w:tcPr>
          <w:p w14:paraId="0FB91316" w14:textId="77777777" w:rsidR="001404F7" w:rsidRPr="006447FF" w:rsidRDefault="001404F7" w:rsidP="001404F7">
            <w:pPr>
              <w:spacing w:before="40" w:after="40"/>
              <w:rPr>
                <w:rFonts w:eastAsia="Times New Roman" w:cs="Arial"/>
                <w:b/>
                <w:color w:val="000000" w:themeColor="text1"/>
                <w:spacing w:val="4"/>
                <w:sz w:val="20"/>
                <w:szCs w:val="20"/>
                <w:lang w:val="en-GB"/>
              </w:rPr>
            </w:pPr>
            <w:r w:rsidRPr="006447FF">
              <w:rPr>
                <w:rFonts w:eastAsia="Times New Roman" w:cs="Arial"/>
                <w:b/>
                <w:color w:val="000000" w:themeColor="text1"/>
                <w:spacing w:val="4"/>
                <w:sz w:val="20"/>
                <w:szCs w:val="20"/>
                <w:lang w:val="en-GB"/>
              </w:rPr>
              <w:t xml:space="preserve">Student </w:t>
            </w:r>
            <w:proofErr w:type="spellStart"/>
            <w:r w:rsidRPr="006447FF">
              <w:rPr>
                <w:rFonts w:eastAsia="Times New Roman" w:cs="Arial"/>
                <w:b/>
                <w:color w:val="000000" w:themeColor="text1"/>
                <w:spacing w:val="4"/>
                <w:sz w:val="20"/>
                <w:szCs w:val="20"/>
                <w:lang w:val="en-GB"/>
              </w:rPr>
              <w:t>Payments</w:t>
            </w:r>
            <w:r w:rsidRPr="006447FF">
              <w:rPr>
                <w:rFonts w:eastAsia="Times New Roman" w:cs="Arial"/>
                <w:color w:val="000000" w:themeColor="text1"/>
                <w:spacing w:val="4"/>
                <w:sz w:val="20"/>
                <w:szCs w:val="20"/>
                <w:vertAlign w:val="superscript"/>
                <w:lang w:val="en-GB"/>
              </w:rPr>
              <w:t>a</w:t>
            </w:r>
            <w:proofErr w:type="spellEnd"/>
          </w:p>
        </w:tc>
      </w:tr>
      <w:tr w:rsidR="001404F7" w:rsidRPr="006447FF" w14:paraId="12D39C87"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4"/>
            <w:tcBorders>
              <w:top w:val="single" w:sz="12" w:space="0" w:color="00B0B9"/>
              <w:bottom w:val="single" w:sz="4" w:space="0" w:color="FFFFFF" w:themeColor="background1"/>
            </w:tcBorders>
            <w:hideMark/>
          </w:tcPr>
          <w:p w14:paraId="7AD9DBD6" w14:textId="77777777" w:rsidR="001404F7" w:rsidRPr="006447FF" w:rsidRDefault="001404F7" w:rsidP="001404F7">
            <w:pPr>
              <w:spacing w:before="40" w:after="40"/>
              <w:rPr>
                <w:rFonts w:eastAsia="Times New Roman"/>
                <w:b/>
                <w:color w:val="000000" w:themeColor="text1"/>
                <w:spacing w:val="4"/>
                <w:sz w:val="20"/>
                <w:szCs w:val="20"/>
                <w:lang w:val="en-GB"/>
              </w:rPr>
            </w:pPr>
            <w:proofErr w:type="spellStart"/>
            <w:r w:rsidRPr="006447FF">
              <w:rPr>
                <w:rFonts w:eastAsia="Times New Roman"/>
                <w:b/>
                <w:color w:val="000000" w:themeColor="text1"/>
                <w:spacing w:val="4"/>
                <w:sz w:val="20"/>
                <w:szCs w:val="20"/>
                <w:lang w:val="en-GB"/>
              </w:rPr>
              <w:t>Austudy</w:t>
            </w:r>
            <w:proofErr w:type="spellEnd"/>
          </w:p>
        </w:tc>
      </w:tr>
      <w:tr w:rsidR="001404F7" w:rsidRPr="006447FF" w14:paraId="40242D55"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4"/>
            <w:tcBorders>
              <w:top w:val="single" w:sz="4" w:space="0" w:color="FFFFFF" w:themeColor="background1"/>
            </w:tcBorders>
            <w:hideMark/>
          </w:tcPr>
          <w:p w14:paraId="5B289D37" w14:textId="77777777" w:rsidR="001404F7" w:rsidRPr="006447FF" w:rsidRDefault="001404F7" w:rsidP="001404F7">
            <w:pPr>
              <w:tabs>
                <w:tab w:val="left" w:pos="6980"/>
              </w:tabs>
              <w:spacing w:before="40" w:after="40"/>
              <w:ind w:right="2616"/>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 xml:space="preserve">Percentage of </w:t>
            </w:r>
            <w:proofErr w:type="spellStart"/>
            <w:r w:rsidRPr="006447FF">
              <w:rPr>
                <w:rFonts w:eastAsia="Times New Roman" w:cs="Arial"/>
                <w:color w:val="000000" w:themeColor="text1"/>
                <w:spacing w:val="4"/>
                <w:sz w:val="20"/>
                <w:szCs w:val="20"/>
                <w:lang w:val="en-GB"/>
              </w:rPr>
              <w:t>Austudy</w:t>
            </w:r>
            <w:proofErr w:type="spellEnd"/>
            <w:r w:rsidRPr="006447FF">
              <w:rPr>
                <w:rFonts w:eastAsia="Times New Roman" w:cs="Arial"/>
                <w:color w:val="000000" w:themeColor="text1"/>
                <w:spacing w:val="4"/>
                <w:sz w:val="20"/>
                <w:szCs w:val="20"/>
                <w:lang w:val="en-GB"/>
              </w:rPr>
              <w:t xml:space="preserve"> recipients who are not receiving income support 3/6/12 months after exiting Student Payments:</w:t>
            </w:r>
          </w:p>
        </w:tc>
      </w:tr>
      <w:tr w:rsidR="001404F7" w:rsidRPr="006447FF" w14:paraId="225A34CC" w14:textId="77777777" w:rsidTr="001404F7">
        <w:trPr>
          <w:cnfStyle w:val="000000010000" w:firstRow="0" w:lastRow="0" w:firstColumn="0" w:lastColumn="0" w:oddVBand="0" w:evenVBand="0" w:oddHBand="0" w:evenHBand="1" w:firstRowFirstColumn="0" w:firstRowLastColumn="0" w:lastRowFirstColumn="0" w:lastRowLastColumn="0"/>
        </w:trPr>
        <w:tc>
          <w:tcPr>
            <w:tcW w:w="3024" w:type="pct"/>
            <w:hideMark/>
          </w:tcPr>
          <w:p w14:paraId="46EBF45D" w14:textId="77777777" w:rsidR="001404F7" w:rsidRPr="006447FF" w:rsidRDefault="001404F7" w:rsidP="001404F7">
            <w:pPr>
              <w:numPr>
                <w:ilvl w:val="0"/>
                <w:numId w:val="67"/>
              </w:numPr>
              <w:spacing w:before="40" w:after="40"/>
              <w:ind w:left="459"/>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within 3 months</w:t>
            </w:r>
          </w:p>
        </w:tc>
        <w:tc>
          <w:tcPr>
            <w:tcW w:w="654" w:type="pct"/>
            <w:hideMark/>
          </w:tcPr>
          <w:p w14:paraId="650A6F7F" w14:textId="77777777" w:rsidR="001404F7" w:rsidRPr="007F69AC" w:rsidRDefault="001404F7" w:rsidP="001404F7">
            <w:pPr>
              <w:spacing w:before="40" w:after="40"/>
              <w:jc w:val="right"/>
              <w:rPr>
                <w:rFonts w:eastAsia="Times New Roman"/>
                <w:spacing w:val="4"/>
                <w:sz w:val="20"/>
                <w:szCs w:val="20"/>
                <w:lang w:val="en-GB"/>
              </w:rPr>
            </w:pPr>
            <w:r w:rsidRPr="007F69AC">
              <w:rPr>
                <w:rFonts w:eastAsia="Times New Roman"/>
                <w:spacing w:val="4"/>
                <w:sz w:val="20"/>
                <w:szCs w:val="20"/>
                <w:lang w:val="en-GB"/>
              </w:rPr>
              <w:t>69.1%</w:t>
            </w:r>
          </w:p>
        </w:tc>
        <w:tc>
          <w:tcPr>
            <w:tcW w:w="722" w:type="pct"/>
            <w:hideMark/>
          </w:tcPr>
          <w:p w14:paraId="5C644190"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65.2%</w:t>
            </w:r>
          </w:p>
        </w:tc>
        <w:tc>
          <w:tcPr>
            <w:tcW w:w="600" w:type="pct"/>
            <w:hideMark/>
          </w:tcPr>
          <w:p w14:paraId="0D3416C5"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63.2%</w:t>
            </w:r>
          </w:p>
        </w:tc>
      </w:tr>
      <w:tr w:rsidR="001404F7" w:rsidRPr="006447FF" w14:paraId="1211910A" w14:textId="77777777" w:rsidTr="001404F7">
        <w:trPr>
          <w:cnfStyle w:val="000000100000" w:firstRow="0" w:lastRow="0" w:firstColumn="0" w:lastColumn="0" w:oddVBand="0" w:evenVBand="0" w:oddHBand="1" w:evenHBand="0" w:firstRowFirstColumn="0" w:firstRowLastColumn="0" w:lastRowFirstColumn="0" w:lastRowLastColumn="0"/>
        </w:trPr>
        <w:tc>
          <w:tcPr>
            <w:tcW w:w="3024" w:type="pct"/>
            <w:hideMark/>
          </w:tcPr>
          <w:p w14:paraId="79A8368B" w14:textId="77777777" w:rsidR="001404F7" w:rsidRPr="006447FF" w:rsidRDefault="001404F7" w:rsidP="001404F7">
            <w:pPr>
              <w:numPr>
                <w:ilvl w:val="0"/>
                <w:numId w:val="67"/>
              </w:numPr>
              <w:spacing w:before="40" w:after="40"/>
              <w:ind w:left="459"/>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within 6 months</w:t>
            </w:r>
          </w:p>
        </w:tc>
        <w:tc>
          <w:tcPr>
            <w:tcW w:w="654" w:type="pct"/>
            <w:hideMark/>
          </w:tcPr>
          <w:p w14:paraId="45417ACA" w14:textId="77777777" w:rsidR="001404F7" w:rsidRPr="007F69AC" w:rsidRDefault="001404F7" w:rsidP="001404F7">
            <w:pPr>
              <w:spacing w:before="40" w:after="40"/>
              <w:jc w:val="right"/>
              <w:rPr>
                <w:rFonts w:eastAsia="Times New Roman" w:cs="Arial"/>
                <w:spacing w:val="4"/>
                <w:sz w:val="20"/>
                <w:szCs w:val="20"/>
                <w:lang w:val="en-GB"/>
              </w:rPr>
            </w:pPr>
            <w:r w:rsidRPr="007F69AC">
              <w:rPr>
                <w:rFonts w:eastAsia="Times New Roman" w:cs="Arial"/>
                <w:spacing w:val="4"/>
                <w:sz w:val="20"/>
                <w:szCs w:val="20"/>
                <w:lang w:val="en-GB"/>
              </w:rPr>
              <w:t>71.4%</w:t>
            </w:r>
          </w:p>
        </w:tc>
        <w:tc>
          <w:tcPr>
            <w:tcW w:w="722" w:type="pct"/>
            <w:hideMark/>
          </w:tcPr>
          <w:p w14:paraId="7C1080CE"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68.3%</w:t>
            </w:r>
          </w:p>
        </w:tc>
        <w:tc>
          <w:tcPr>
            <w:tcW w:w="600" w:type="pct"/>
            <w:hideMark/>
          </w:tcPr>
          <w:p w14:paraId="202A4E7B"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65.7%</w:t>
            </w:r>
          </w:p>
        </w:tc>
      </w:tr>
      <w:tr w:rsidR="001404F7" w:rsidRPr="006447FF" w14:paraId="654313E6" w14:textId="77777777" w:rsidTr="001404F7">
        <w:trPr>
          <w:cnfStyle w:val="000000010000" w:firstRow="0" w:lastRow="0" w:firstColumn="0" w:lastColumn="0" w:oddVBand="0" w:evenVBand="0" w:oddHBand="0" w:evenHBand="1" w:firstRowFirstColumn="0" w:firstRowLastColumn="0" w:lastRowFirstColumn="0" w:lastRowLastColumn="0"/>
        </w:trPr>
        <w:tc>
          <w:tcPr>
            <w:tcW w:w="3024" w:type="pct"/>
            <w:hideMark/>
          </w:tcPr>
          <w:p w14:paraId="46F5E3A1" w14:textId="77777777" w:rsidR="001404F7" w:rsidRPr="006447FF" w:rsidRDefault="001404F7" w:rsidP="001404F7">
            <w:pPr>
              <w:numPr>
                <w:ilvl w:val="0"/>
                <w:numId w:val="67"/>
              </w:numPr>
              <w:spacing w:before="40" w:after="40"/>
              <w:ind w:left="459"/>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within 12 months</w:t>
            </w:r>
          </w:p>
        </w:tc>
        <w:tc>
          <w:tcPr>
            <w:tcW w:w="654" w:type="pct"/>
            <w:hideMark/>
          </w:tcPr>
          <w:p w14:paraId="622A7DC3" w14:textId="77777777" w:rsidR="001404F7" w:rsidRPr="007F69AC" w:rsidRDefault="001404F7" w:rsidP="001404F7">
            <w:pPr>
              <w:spacing w:before="40" w:after="40"/>
              <w:jc w:val="right"/>
              <w:rPr>
                <w:rFonts w:eastAsia="Times New Roman"/>
                <w:spacing w:val="4"/>
                <w:sz w:val="20"/>
                <w:szCs w:val="20"/>
                <w:lang w:val="en-GB"/>
              </w:rPr>
            </w:pPr>
            <w:r w:rsidRPr="007F69AC">
              <w:rPr>
                <w:rFonts w:eastAsia="Times New Roman"/>
                <w:spacing w:val="4"/>
                <w:sz w:val="20"/>
                <w:szCs w:val="20"/>
                <w:lang w:val="en-GB"/>
              </w:rPr>
              <w:t>75.3%</w:t>
            </w:r>
          </w:p>
        </w:tc>
        <w:tc>
          <w:tcPr>
            <w:tcW w:w="722" w:type="pct"/>
            <w:hideMark/>
          </w:tcPr>
          <w:p w14:paraId="13279FB9"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73.0%</w:t>
            </w:r>
          </w:p>
        </w:tc>
        <w:tc>
          <w:tcPr>
            <w:tcW w:w="600" w:type="pct"/>
            <w:hideMark/>
          </w:tcPr>
          <w:p w14:paraId="722735AD"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70.5%</w:t>
            </w:r>
          </w:p>
        </w:tc>
      </w:tr>
      <w:tr w:rsidR="001404F7" w:rsidRPr="006447FF" w14:paraId="374DB1FB"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hideMark/>
          </w:tcPr>
          <w:p w14:paraId="595F47AE" w14:textId="77777777" w:rsidR="001404F7" w:rsidRPr="006447FF" w:rsidRDefault="001404F7" w:rsidP="001404F7">
            <w:pPr>
              <w:keepNext/>
              <w:keepLines/>
              <w:spacing w:before="40" w:after="40"/>
              <w:rPr>
                <w:rFonts w:eastAsia="Times New Roman" w:cs="Arial"/>
                <w:b/>
                <w:color w:val="000000" w:themeColor="text1"/>
                <w:sz w:val="20"/>
                <w:szCs w:val="20"/>
              </w:rPr>
            </w:pPr>
            <w:r w:rsidRPr="006447FF">
              <w:rPr>
                <w:rFonts w:eastAsia="Times New Roman" w:cs="Arial"/>
                <w:b/>
                <w:color w:val="000000" w:themeColor="text1"/>
                <w:sz w:val="20"/>
                <w:szCs w:val="20"/>
              </w:rPr>
              <w:t>Youth Allowance (student)</w:t>
            </w:r>
          </w:p>
        </w:tc>
      </w:tr>
      <w:tr w:rsidR="001404F7" w:rsidRPr="006447FF" w14:paraId="512726F0"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4"/>
            <w:hideMark/>
          </w:tcPr>
          <w:p w14:paraId="3AB1C6DF" w14:textId="77777777" w:rsidR="001404F7" w:rsidRPr="006447FF" w:rsidRDefault="001404F7" w:rsidP="001404F7">
            <w:pPr>
              <w:spacing w:before="40" w:after="40"/>
              <w:ind w:right="2332"/>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Percentage of Youth Allowance (student) recipients who are not receiving income support 3/6/12 months</w:t>
            </w:r>
            <w:r>
              <w:rPr>
                <w:rFonts w:eastAsia="Times New Roman"/>
                <w:color w:val="000000" w:themeColor="text1"/>
                <w:spacing w:val="4"/>
                <w:sz w:val="20"/>
                <w:szCs w:val="20"/>
                <w:lang w:val="en-GB"/>
              </w:rPr>
              <w:t xml:space="preserve"> after exiting Student </w:t>
            </w:r>
            <w:proofErr w:type="spellStart"/>
            <w:r>
              <w:rPr>
                <w:rFonts w:eastAsia="Times New Roman"/>
                <w:color w:val="000000" w:themeColor="text1"/>
                <w:spacing w:val="4"/>
                <w:sz w:val="20"/>
                <w:szCs w:val="20"/>
                <w:lang w:val="en-GB"/>
              </w:rPr>
              <w:t>Payments</w:t>
            </w:r>
            <w:r w:rsidRPr="006447FF">
              <w:rPr>
                <w:rFonts w:eastAsia="Times New Roman"/>
                <w:color w:val="000000" w:themeColor="text1"/>
                <w:spacing w:val="4"/>
                <w:sz w:val="20"/>
                <w:szCs w:val="20"/>
                <w:vertAlign w:val="superscript"/>
                <w:lang w:val="en-GB"/>
              </w:rPr>
              <w:t>b</w:t>
            </w:r>
            <w:proofErr w:type="spellEnd"/>
          </w:p>
        </w:tc>
      </w:tr>
      <w:tr w:rsidR="001404F7" w:rsidRPr="006447FF" w14:paraId="3AA692B4" w14:textId="77777777" w:rsidTr="001404F7">
        <w:trPr>
          <w:cnfStyle w:val="000000100000" w:firstRow="0" w:lastRow="0" w:firstColumn="0" w:lastColumn="0" w:oddVBand="0" w:evenVBand="0" w:oddHBand="1" w:evenHBand="0" w:firstRowFirstColumn="0" w:firstRowLastColumn="0" w:lastRowFirstColumn="0" w:lastRowLastColumn="0"/>
        </w:trPr>
        <w:tc>
          <w:tcPr>
            <w:tcW w:w="3024" w:type="pct"/>
            <w:hideMark/>
          </w:tcPr>
          <w:p w14:paraId="660D9B6E" w14:textId="77777777" w:rsidR="001404F7" w:rsidRPr="006447FF" w:rsidRDefault="001404F7" w:rsidP="001404F7">
            <w:pPr>
              <w:numPr>
                <w:ilvl w:val="0"/>
                <w:numId w:val="67"/>
              </w:numPr>
              <w:spacing w:before="40" w:after="40"/>
              <w:ind w:left="459"/>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within 3 months</w:t>
            </w:r>
          </w:p>
        </w:tc>
        <w:tc>
          <w:tcPr>
            <w:tcW w:w="654" w:type="pct"/>
            <w:hideMark/>
          </w:tcPr>
          <w:p w14:paraId="3310A76C" w14:textId="77777777" w:rsidR="001404F7" w:rsidRPr="007F69AC" w:rsidRDefault="001404F7" w:rsidP="001404F7">
            <w:pPr>
              <w:spacing w:before="40" w:after="40"/>
              <w:jc w:val="right"/>
              <w:rPr>
                <w:rFonts w:eastAsia="Times New Roman" w:cs="Arial"/>
                <w:spacing w:val="4"/>
                <w:sz w:val="20"/>
                <w:szCs w:val="20"/>
                <w:lang w:val="en-GB"/>
              </w:rPr>
            </w:pPr>
            <w:r w:rsidRPr="007F69AC">
              <w:rPr>
                <w:rFonts w:eastAsia="Times New Roman" w:cs="Arial"/>
                <w:spacing w:val="4"/>
                <w:sz w:val="20"/>
                <w:szCs w:val="20"/>
                <w:lang w:val="en-GB"/>
              </w:rPr>
              <w:t>77.5%</w:t>
            </w:r>
          </w:p>
        </w:tc>
        <w:tc>
          <w:tcPr>
            <w:tcW w:w="722" w:type="pct"/>
            <w:hideMark/>
          </w:tcPr>
          <w:p w14:paraId="20F3B99F"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73.9%</w:t>
            </w:r>
          </w:p>
        </w:tc>
        <w:tc>
          <w:tcPr>
            <w:tcW w:w="600" w:type="pct"/>
            <w:hideMark/>
          </w:tcPr>
          <w:p w14:paraId="4124C501"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71.5%</w:t>
            </w:r>
          </w:p>
        </w:tc>
      </w:tr>
      <w:tr w:rsidR="001404F7" w:rsidRPr="006447FF" w14:paraId="0987CC5A" w14:textId="77777777" w:rsidTr="001404F7">
        <w:trPr>
          <w:cnfStyle w:val="000000010000" w:firstRow="0" w:lastRow="0" w:firstColumn="0" w:lastColumn="0" w:oddVBand="0" w:evenVBand="0" w:oddHBand="0" w:evenHBand="1" w:firstRowFirstColumn="0" w:firstRowLastColumn="0" w:lastRowFirstColumn="0" w:lastRowLastColumn="0"/>
        </w:trPr>
        <w:tc>
          <w:tcPr>
            <w:tcW w:w="3024" w:type="pct"/>
            <w:hideMark/>
          </w:tcPr>
          <w:p w14:paraId="2356C6FA" w14:textId="77777777" w:rsidR="001404F7" w:rsidRPr="006447FF" w:rsidRDefault="001404F7" w:rsidP="001404F7">
            <w:pPr>
              <w:numPr>
                <w:ilvl w:val="0"/>
                <w:numId w:val="67"/>
              </w:numPr>
              <w:spacing w:before="40" w:after="40"/>
              <w:ind w:left="459"/>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within 6 months</w:t>
            </w:r>
          </w:p>
        </w:tc>
        <w:tc>
          <w:tcPr>
            <w:tcW w:w="654" w:type="pct"/>
            <w:hideMark/>
          </w:tcPr>
          <w:p w14:paraId="531C3884" w14:textId="77777777" w:rsidR="001404F7" w:rsidRPr="007F69AC" w:rsidRDefault="001404F7" w:rsidP="001404F7">
            <w:pPr>
              <w:spacing w:before="40" w:after="40"/>
              <w:jc w:val="right"/>
              <w:rPr>
                <w:rFonts w:eastAsia="Times New Roman"/>
                <w:spacing w:val="4"/>
                <w:sz w:val="20"/>
                <w:szCs w:val="20"/>
                <w:lang w:val="en-GB"/>
              </w:rPr>
            </w:pPr>
            <w:r w:rsidRPr="007F69AC">
              <w:rPr>
                <w:rFonts w:eastAsia="Times New Roman"/>
                <w:spacing w:val="4"/>
                <w:sz w:val="20"/>
                <w:szCs w:val="20"/>
                <w:lang w:val="en-GB"/>
              </w:rPr>
              <w:t>80.5%</w:t>
            </w:r>
          </w:p>
        </w:tc>
        <w:tc>
          <w:tcPr>
            <w:tcW w:w="722" w:type="pct"/>
            <w:hideMark/>
          </w:tcPr>
          <w:p w14:paraId="7CB0F5AB"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77.9%</w:t>
            </w:r>
          </w:p>
        </w:tc>
        <w:tc>
          <w:tcPr>
            <w:tcW w:w="600" w:type="pct"/>
            <w:hideMark/>
          </w:tcPr>
          <w:p w14:paraId="2BCD9988"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75.4%</w:t>
            </w:r>
          </w:p>
        </w:tc>
      </w:tr>
      <w:tr w:rsidR="001404F7" w:rsidRPr="006447FF" w14:paraId="42126C32" w14:textId="77777777" w:rsidTr="001404F7">
        <w:trPr>
          <w:cnfStyle w:val="000000100000" w:firstRow="0" w:lastRow="0" w:firstColumn="0" w:lastColumn="0" w:oddVBand="0" w:evenVBand="0" w:oddHBand="1" w:evenHBand="0" w:firstRowFirstColumn="0" w:firstRowLastColumn="0" w:lastRowFirstColumn="0" w:lastRowLastColumn="0"/>
        </w:trPr>
        <w:tc>
          <w:tcPr>
            <w:tcW w:w="3024" w:type="pct"/>
            <w:hideMark/>
          </w:tcPr>
          <w:p w14:paraId="39B75949" w14:textId="77777777" w:rsidR="001404F7" w:rsidRPr="006447FF" w:rsidRDefault="001404F7" w:rsidP="001404F7">
            <w:pPr>
              <w:numPr>
                <w:ilvl w:val="0"/>
                <w:numId w:val="67"/>
              </w:numPr>
              <w:spacing w:before="40" w:after="40"/>
              <w:ind w:left="459"/>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within 12 months</w:t>
            </w:r>
          </w:p>
        </w:tc>
        <w:tc>
          <w:tcPr>
            <w:tcW w:w="654" w:type="pct"/>
            <w:hideMark/>
          </w:tcPr>
          <w:p w14:paraId="49E90F06" w14:textId="77777777" w:rsidR="001404F7" w:rsidRPr="007F69AC" w:rsidRDefault="001404F7" w:rsidP="001404F7">
            <w:pPr>
              <w:spacing w:before="40" w:after="40"/>
              <w:jc w:val="right"/>
              <w:rPr>
                <w:rFonts w:eastAsia="Times New Roman" w:cs="Arial"/>
                <w:spacing w:val="4"/>
                <w:sz w:val="20"/>
                <w:szCs w:val="20"/>
                <w:lang w:val="en-GB"/>
              </w:rPr>
            </w:pPr>
            <w:r w:rsidRPr="007F69AC">
              <w:rPr>
                <w:rFonts w:eastAsia="Times New Roman" w:cs="Arial"/>
                <w:spacing w:val="4"/>
                <w:sz w:val="20"/>
                <w:szCs w:val="20"/>
                <w:lang w:val="en-GB"/>
              </w:rPr>
              <w:t>84.0%</w:t>
            </w:r>
          </w:p>
        </w:tc>
        <w:tc>
          <w:tcPr>
            <w:tcW w:w="722" w:type="pct"/>
            <w:hideMark/>
          </w:tcPr>
          <w:p w14:paraId="0CF23A4A"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82.8%</w:t>
            </w:r>
          </w:p>
        </w:tc>
        <w:tc>
          <w:tcPr>
            <w:tcW w:w="600" w:type="pct"/>
            <w:hideMark/>
          </w:tcPr>
          <w:p w14:paraId="43B2EBF2"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80.4%</w:t>
            </w:r>
          </w:p>
        </w:tc>
      </w:tr>
      <w:tr w:rsidR="001404F7" w:rsidRPr="006447FF" w14:paraId="02A89394" w14:textId="77777777" w:rsidTr="001404F7">
        <w:trPr>
          <w:cnfStyle w:val="000000010000" w:firstRow="0" w:lastRow="0" w:firstColumn="0" w:lastColumn="0" w:oddVBand="0" w:evenVBand="0" w:oddHBand="0" w:evenHBand="1" w:firstRowFirstColumn="0" w:firstRowLastColumn="0" w:lastRowFirstColumn="0" w:lastRowLastColumn="0"/>
          <w:trHeight w:val="317"/>
        </w:trPr>
        <w:tc>
          <w:tcPr>
            <w:tcW w:w="5000" w:type="pct"/>
            <w:gridSpan w:val="4"/>
            <w:hideMark/>
          </w:tcPr>
          <w:p w14:paraId="57CD865D" w14:textId="77777777" w:rsidR="001404F7" w:rsidRPr="006447FF" w:rsidRDefault="001404F7" w:rsidP="001404F7">
            <w:pPr>
              <w:spacing w:before="40" w:after="40"/>
              <w:rPr>
                <w:rFonts w:eastAsia="Times New Roman"/>
                <w:b/>
                <w:color w:val="000000" w:themeColor="text1"/>
                <w:spacing w:val="4"/>
                <w:sz w:val="20"/>
                <w:szCs w:val="20"/>
                <w:lang w:val="en-GB"/>
              </w:rPr>
            </w:pPr>
            <w:r w:rsidRPr="006447FF">
              <w:rPr>
                <w:rFonts w:eastAsia="Times New Roman"/>
                <w:b/>
                <w:color w:val="000000" w:themeColor="text1"/>
                <w:spacing w:val="4"/>
                <w:sz w:val="20"/>
                <w:szCs w:val="20"/>
                <w:lang w:val="en-GB"/>
              </w:rPr>
              <w:t>ABSTUDY (Secondary and Tertiary)</w:t>
            </w:r>
          </w:p>
        </w:tc>
      </w:tr>
      <w:tr w:rsidR="001404F7" w:rsidRPr="006447FF" w14:paraId="5963E2B8"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4"/>
            <w:hideMark/>
          </w:tcPr>
          <w:p w14:paraId="18323690" w14:textId="77777777" w:rsidR="001404F7" w:rsidRPr="006447FF" w:rsidRDefault="001404F7" w:rsidP="001404F7">
            <w:pPr>
              <w:spacing w:before="40" w:after="40"/>
              <w:ind w:right="2049"/>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 xml:space="preserve">Percentage of ABSTUDY recipients who are </w:t>
            </w:r>
            <w:r w:rsidRPr="006447FF" w:rsidDel="00411F8C">
              <w:rPr>
                <w:rFonts w:eastAsia="Times New Roman" w:cs="Arial"/>
                <w:color w:val="000000" w:themeColor="text1"/>
                <w:spacing w:val="4"/>
                <w:sz w:val="20"/>
                <w:szCs w:val="20"/>
                <w:lang w:val="en-GB"/>
              </w:rPr>
              <w:t xml:space="preserve">not </w:t>
            </w:r>
            <w:r w:rsidRPr="006447FF">
              <w:rPr>
                <w:rFonts w:eastAsia="Times New Roman" w:cs="Arial"/>
                <w:color w:val="000000" w:themeColor="text1"/>
                <w:spacing w:val="4"/>
                <w:sz w:val="20"/>
                <w:szCs w:val="20"/>
                <w:lang w:val="en-GB"/>
              </w:rPr>
              <w:t>receiving income support 3/6/12 months</w:t>
            </w:r>
            <w:r>
              <w:rPr>
                <w:rFonts w:eastAsia="Times New Roman" w:cs="Arial"/>
                <w:color w:val="000000" w:themeColor="text1"/>
                <w:spacing w:val="4"/>
                <w:sz w:val="20"/>
                <w:szCs w:val="20"/>
                <w:lang w:val="en-GB"/>
              </w:rPr>
              <w:t xml:space="preserve"> after exiting Student </w:t>
            </w:r>
            <w:proofErr w:type="spellStart"/>
            <w:r>
              <w:rPr>
                <w:rFonts w:eastAsia="Times New Roman" w:cs="Arial"/>
                <w:color w:val="000000" w:themeColor="text1"/>
                <w:spacing w:val="4"/>
                <w:sz w:val="20"/>
                <w:szCs w:val="20"/>
                <w:lang w:val="en-GB"/>
              </w:rPr>
              <w:t>Payments</w:t>
            </w:r>
            <w:r w:rsidRPr="006447FF">
              <w:rPr>
                <w:rFonts w:eastAsia="Times New Roman" w:cs="Arial"/>
                <w:color w:val="000000" w:themeColor="text1"/>
                <w:spacing w:val="4"/>
                <w:sz w:val="20"/>
                <w:szCs w:val="20"/>
                <w:vertAlign w:val="superscript"/>
                <w:lang w:val="en-GB"/>
              </w:rPr>
              <w:t>c</w:t>
            </w:r>
            <w:proofErr w:type="spellEnd"/>
          </w:p>
        </w:tc>
      </w:tr>
      <w:tr w:rsidR="001404F7" w:rsidRPr="006447FF" w14:paraId="4F659821" w14:textId="77777777" w:rsidTr="001404F7">
        <w:trPr>
          <w:cnfStyle w:val="000000010000" w:firstRow="0" w:lastRow="0" w:firstColumn="0" w:lastColumn="0" w:oddVBand="0" w:evenVBand="0" w:oddHBand="0" w:evenHBand="1" w:firstRowFirstColumn="0" w:firstRowLastColumn="0" w:lastRowFirstColumn="0" w:lastRowLastColumn="0"/>
        </w:trPr>
        <w:tc>
          <w:tcPr>
            <w:tcW w:w="3024" w:type="pct"/>
            <w:hideMark/>
          </w:tcPr>
          <w:p w14:paraId="67FD845C" w14:textId="77777777" w:rsidR="001404F7" w:rsidRPr="006447FF" w:rsidRDefault="001404F7" w:rsidP="001404F7">
            <w:pPr>
              <w:numPr>
                <w:ilvl w:val="0"/>
                <w:numId w:val="67"/>
              </w:numPr>
              <w:spacing w:before="40" w:after="40"/>
              <w:ind w:left="459"/>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within 3 months</w:t>
            </w:r>
          </w:p>
        </w:tc>
        <w:tc>
          <w:tcPr>
            <w:tcW w:w="654" w:type="pct"/>
            <w:hideMark/>
          </w:tcPr>
          <w:p w14:paraId="03CB9D42" w14:textId="77777777" w:rsidR="001404F7" w:rsidRPr="007F69AC" w:rsidRDefault="001404F7" w:rsidP="001404F7">
            <w:pPr>
              <w:spacing w:before="40" w:after="40"/>
              <w:jc w:val="right"/>
              <w:rPr>
                <w:rFonts w:eastAsia="Times New Roman"/>
                <w:spacing w:val="4"/>
                <w:sz w:val="20"/>
                <w:szCs w:val="20"/>
                <w:lang w:val="en-GB"/>
              </w:rPr>
            </w:pPr>
            <w:r w:rsidRPr="007F69AC">
              <w:rPr>
                <w:rFonts w:eastAsia="Times New Roman"/>
                <w:spacing w:val="4"/>
                <w:sz w:val="20"/>
                <w:szCs w:val="20"/>
                <w:lang w:val="en-GB"/>
              </w:rPr>
              <w:t>60.9%</w:t>
            </w:r>
          </w:p>
        </w:tc>
        <w:tc>
          <w:tcPr>
            <w:tcW w:w="722" w:type="pct"/>
            <w:hideMark/>
          </w:tcPr>
          <w:p w14:paraId="355CACAB"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56.6%</w:t>
            </w:r>
          </w:p>
        </w:tc>
        <w:tc>
          <w:tcPr>
            <w:tcW w:w="600" w:type="pct"/>
            <w:hideMark/>
          </w:tcPr>
          <w:p w14:paraId="3F58DEBC"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53.1%</w:t>
            </w:r>
          </w:p>
        </w:tc>
      </w:tr>
      <w:tr w:rsidR="001404F7" w:rsidRPr="006447FF" w14:paraId="69083D63" w14:textId="77777777" w:rsidTr="001404F7">
        <w:trPr>
          <w:cnfStyle w:val="000000100000" w:firstRow="0" w:lastRow="0" w:firstColumn="0" w:lastColumn="0" w:oddVBand="0" w:evenVBand="0" w:oddHBand="1" w:evenHBand="0" w:firstRowFirstColumn="0" w:firstRowLastColumn="0" w:lastRowFirstColumn="0" w:lastRowLastColumn="0"/>
        </w:trPr>
        <w:tc>
          <w:tcPr>
            <w:tcW w:w="3024" w:type="pct"/>
            <w:hideMark/>
          </w:tcPr>
          <w:p w14:paraId="078A0EEC" w14:textId="77777777" w:rsidR="001404F7" w:rsidRPr="006447FF" w:rsidRDefault="001404F7" w:rsidP="001404F7">
            <w:pPr>
              <w:numPr>
                <w:ilvl w:val="0"/>
                <w:numId w:val="67"/>
              </w:numPr>
              <w:spacing w:before="40" w:after="40"/>
              <w:ind w:left="459"/>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within 6 months</w:t>
            </w:r>
          </w:p>
        </w:tc>
        <w:tc>
          <w:tcPr>
            <w:tcW w:w="654" w:type="pct"/>
            <w:hideMark/>
          </w:tcPr>
          <w:p w14:paraId="566B1A8C" w14:textId="77777777" w:rsidR="001404F7" w:rsidRPr="007F69AC" w:rsidRDefault="001404F7" w:rsidP="001404F7">
            <w:pPr>
              <w:spacing w:before="40" w:after="40"/>
              <w:jc w:val="right"/>
              <w:rPr>
                <w:rFonts w:eastAsia="Times New Roman" w:cs="Arial"/>
                <w:spacing w:val="4"/>
                <w:sz w:val="20"/>
                <w:szCs w:val="20"/>
                <w:lang w:val="en-GB"/>
              </w:rPr>
            </w:pPr>
            <w:r w:rsidRPr="007F69AC">
              <w:rPr>
                <w:rFonts w:eastAsia="Times New Roman" w:cs="Arial"/>
                <w:spacing w:val="4"/>
                <w:sz w:val="20"/>
                <w:szCs w:val="20"/>
                <w:lang w:val="en-GB"/>
              </w:rPr>
              <w:t>58.6%</w:t>
            </w:r>
          </w:p>
        </w:tc>
        <w:tc>
          <w:tcPr>
            <w:tcW w:w="722" w:type="pct"/>
            <w:hideMark/>
          </w:tcPr>
          <w:p w14:paraId="65E64A25"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55.2%</w:t>
            </w:r>
          </w:p>
        </w:tc>
        <w:tc>
          <w:tcPr>
            <w:tcW w:w="600" w:type="pct"/>
            <w:hideMark/>
          </w:tcPr>
          <w:p w14:paraId="4EB74CC0"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52.2%</w:t>
            </w:r>
          </w:p>
        </w:tc>
      </w:tr>
      <w:tr w:rsidR="001404F7" w:rsidRPr="006447FF" w14:paraId="353CB372" w14:textId="77777777" w:rsidTr="001404F7">
        <w:trPr>
          <w:cnfStyle w:val="000000010000" w:firstRow="0" w:lastRow="0" w:firstColumn="0" w:lastColumn="0" w:oddVBand="0" w:evenVBand="0" w:oddHBand="0" w:evenHBand="1" w:firstRowFirstColumn="0" w:firstRowLastColumn="0" w:lastRowFirstColumn="0" w:lastRowLastColumn="0"/>
        </w:trPr>
        <w:tc>
          <w:tcPr>
            <w:tcW w:w="3024" w:type="pct"/>
            <w:hideMark/>
          </w:tcPr>
          <w:p w14:paraId="7C27DE6C" w14:textId="77777777" w:rsidR="001404F7" w:rsidRPr="006447FF" w:rsidRDefault="001404F7" w:rsidP="001404F7">
            <w:pPr>
              <w:numPr>
                <w:ilvl w:val="0"/>
                <w:numId w:val="67"/>
              </w:numPr>
              <w:spacing w:before="40" w:after="40"/>
              <w:ind w:left="459"/>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within 12 months</w:t>
            </w:r>
          </w:p>
        </w:tc>
        <w:tc>
          <w:tcPr>
            <w:tcW w:w="654" w:type="pct"/>
            <w:hideMark/>
          </w:tcPr>
          <w:p w14:paraId="208CBED0" w14:textId="77777777" w:rsidR="001404F7" w:rsidRPr="007F69AC" w:rsidRDefault="001404F7" w:rsidP="001404F7">
            <w:pPr>
              <w:spacing w:before="40" w:after="40"/>
              <w:jc w:val="right"/>
              <w:rPr>
                <w:rFonts w:eastAsia="Times New Roman"/>
                <w:spacing w:val="4"/>
                <w:sz w:val="20"/>
                <w:szCs w:val="20"/>
                <w:lang w:val="en-GB"/>
              </w:rPr>
            </w:pPr>
            <w:r w:rsidRPr="007F69AC">
              <w:rPr>
                <w:rFonts w:eastAsia="Times New Roman"/>
                <w:spacing w:val="4"/>
                <w:sz w:val="20"/>
                <w:szCs w:val="20"/>
                <w:lang w:val="en-GB"/>
              </w:rPr>
              <w:t>57.7%</w:t>
            </w:r>
          </w:p>
        </w:tc>
        <w:tc>
          <w:tcPr>
            <w:tcW w:w="722" w:type="pct"/>
            <w:hideMark/>
          </w:tcPr>
          <w:p w14:paraId="5280E27D"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57.5%</w:t>
            </w:r>
          </w:p>
        </w:tc>
        <w:tc>
          <w:tcPr>
            <w:tcW w:w="600" w:type="pct"/>
            <w:hideMark/>
          </w:tcPr>
          <w:p w14:paraId="357DC6B4"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54.4%</w:t>
            </w:r>
          </w:p>
        </w:tc>
      </w:tr>
    </w:tbl>
    <w:p w14:paraId="74BCDDE6" w14:textId="77777777" w:rsidR="001404F7" w:rsidRPr="007F69AC" w:rsidRDefault="001404F7" w:rsidP="001404F7">
      <w:pPr>
        <w:spacing w:before="160" w:after="60" w:line="240" w:lineRule="auto"/>
        <w:ind w:left="284" w:hanging="284"/>
        <w:contextualSpacing/>
        <w:rPr>
          <w:rFonts w:cs="Arial"/>
          <w:sz w:val="16"/>
          <w:szCs w:val="16"/>
        </w:rPr>
      </w:pPr>
      <w:r w:rsidRPr="00812EC9">
        <w:rPr>
          <w:rFonts w:cs="Arial"/>
          <w:sz w:val="16"/>
          <w:szCs w:val="16"/>
        </w:rPr>
        <w:t>a</w:t>
      </w:r>
      <w:r w:rsidRPr="00812EC9">
        <w:rPr>
          <w:rFonts w:cs="Arial"/>
          <w:sz w:val="16"/>
          <w:szCs w:val="16"/>
        </w:rPr>
        <w:tab/>
        <w:t>Group comprises</w:t>
      </w:r>
      <w:r w:rsidRPr="007F69AC">
        <w:rPr>
          <w:rFonts w:cs="Arial"/>
          <w:sz w:val="16"/>
          <w:szCs w:val="16"/>
        </w:rPr>
        <w:t xml:space="preserve"> recipients who exited from Student Payments in calendar years 2018, 2017 and 2016.</w:t>
      </w:r>
    </w:p>
    <w:p w14:paraId="0C99B752" w14:textId="77777777" w:rsidR="001404F7" w:rsidRPr="007F69AC" w:rsidRDefault="001404F7" w:rsidP="001404F7">
      <w:pPr>
        <w:spacing w:before="160" w:after="60" w:line="240" w:lineRule="auto"/>
        <w:ind w:left="284" w:hanging="284"/>
        <w:contextualSpacing/>
        <w:rPr>
          <w:rFonts w:cs="Arial"/>
          <w:sz w:val="16"/>
          <w:szCs w:val="16"/>
        </w:rPr>
      </w:pPr>
      <w:r w:rsidRPr="007F69AC">
        <w:rPr>
          <w:rFonts w:cs="Arial"/>
          <w:sz w:val="16"/>
          <w:szCs w:val="16"/>
        </w:rPr>
        <w:t>b</w:t>
      </w:r>
      <w:r w:rsidRPr="007F69AC">
        <w:rPr>
          <w:rFonts w:cs="Arial"/>
          <w:sz w:val="16"/>
          <w:szCs w:val="16"/>
        </w:rPr>
        <w:tab/>
        <w:t>Includes Australian apprentices.</w:t>
      </w:r>
    </w:p>
    <w:p w14:paraId="001A7486" w14:textId="77777777" w:rsidR="001404F7" w:rsidRPr="006447FF" w:rsidRDefault="001404F7" w:rsidP="001404F7">
      <w:pPr>
        <w:spacing w:before="160" w:after="60" w:line="240" w:lineRule="auto"/>
        <w:ind w:left="284" w:hanging="284"/>
        <w:contextualSpacing/>
        <w:rPr>
          <w:rFonts w:cs="Arial"/>
          <w:sz w:val="16"/>
          <w:szCs w:val="16"/>
        </w:rPr>
      </w:pPr>
      <w:r w:rsidRPr="007F69AC">
        <w:rPr>
          <w:rFonts w:cs="Arial"/>
          <w:sz w:val="16"/>
          <w:szCs w:val="16"/>
        </w:rPr>
        <w:t>c</w:t>
      </w:r>
      <w:r w:rsidRPr="007F69AC">
        <w:rPr>
          <w:rFonts w:cs="Arial"/>
          <w:sz w:val="16"/>
          <w:szCs w:val="16"/>
        </w:rPr>
        <w:tab/>
        <w:t>ABSTUDY Living Allowance only.</w:t>
      </w:r>
    </w:p>
    <w:p w14:paraId="11F4E0D8" w14:textId="77777777" w:rsidR="001404F7" w:rsidRPr="00577E4E" w:rsidRDefault="001404F7" w:rsidP="001404F7">
      <w:pPr>
        <w:rPr>
          <w:sz w:val="20"/>
          <w:szCs w:val="20"/>
        </w:rPr>
      </w:pPr>
    </w:p>
    <w:p w14:paraId="7A627FBB" w14:textId="77777777" w:rsidR="001404F7" w:rsidRPr="003F5594" w:rsidRDefault="001404F7" w:rsidP="001404F7">
      <w:pPr>
        <w:spacing w:before="240" w:after="240" w:line="260" w:lineRule="atLeast"/>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t xml:space="preserve">C1.2.3 </w:t>
      </w:r>
      <w:r w:rsidRPr="003F5594">
        <w:rPr>
          <w:rFonts w:eastAsiaTheme="majorEastAsia" w:cstheme="majorBidi"/>
          <w:b/>
          <w:color w:val="595959" w:themeColor="text1" w:themeTint="A6"/>
          <w:sz w:val="24"/>
          <w:szCs w:val="20"/>
        </w:rPr>
        <w:t>Percentage of recipients who exit income support within 3/6/12 months</w:t>
      </w:r>
    </w:p>
    <w:p w14:paraId="2FCB1929" w14:textId="77777777" w:rsidR="001404F7" w:rsidRPr="00022526" w:rsidRDefault="001404F7" w:rsidP="001404F7">
      <w:pPr>
        <w:rPr>
          <w:rFonts w:cs="Arial"/>
          <w:sz w:val="20"/>
          <w:szCs w:val="20"/>
        </w:rPr>
      </w:pPr>
      <w:r w:rsidRPr="00022526">
        <w:rPr>
          <w:rFonts w:cs="Arial"/>
          <w:sz w:val="20"/>
          <w:szCs w:val="20"/>
        </w:rPr>
        <w:t>This indicator demonstrates how quickly activity-tested recipients have been able to exit from income support and is a proxy measure of self-reliance. Activity-tested recipients are those who have mutual obligation requirements to look for work or undertake other activities and who are normally expected to have a short duration on payment.</w:t>
      </w:r>
    </w:p>
    <w:p w14:paraId="373098DA" w14:textId="77777777" w:rsidR="00D96CDD" w:rsidRDefault="00D96CDD" w:rsidP="001404F7">
      <w:pPr>
        <w:pStyle w:val="Heading7"/>
        <w:sectPr w:rsidR="00D96CDD" w:rsidSect="00585891">
          <w:footnotePr>
            <w:numRestart w:val="eachPage"/>
          </w:footnotePr>
          <w:pgSz w:w="11906" w:h="16838"/>
          <w:pgMar w:top="1440" w:right="1440" w:bottom="1440" w:left="1440" w:header="709" w:footer="709" w:gutter="0"/>
          <w:cols w:space="708"/>
          <w:docGrid w:linePitch="360"/>
        </w:sectPr>
      </w:pPr>
    </w:p>
    <w:p w14:paraId="1D90F910" w14:textId="7EF5CFC4" w:rsidR="001404F7" w:rsidRPr="00022526" w:rsidRDefault="001404F7" w:rsidP="001404F7">
      <w:pPr>
        <w:pStyle w:val="Heading7"/>
      </w:pPr>
      <w:r w:rsidRPr="00022526">
        <w:lastRenderedPageBreak/>
        <w:t>Analysis</w:t>
      </w:r>
    </w:p>
    <w:p w14:paraId="5DAF9302" w14:textId="77777777" w:rsidR="001404F7" w:rsidRPr="00022526" w:rsidRDefault="001404F7" w:rsidP="001404F7">
      <w:pPr>
        <w:rPr>
          <w:rFonts w:cs="Arial"/>
          <w:sz w:val="20"/>
          <w:szCs w:val="20"/>
        </w:rPr>
      </w:pPr>
      <w:r w:rsidRPr="00022526">
        <w:rPr>
          <w:rFonts w:cs="Arial"/>
          <w:sz w:val="20"/>
          <w:szCs w:val="20"/>
        </w:rPr>
        <w:t xml:space="preserve">The proportion of people exiting </w:t>
      </w:r>
      <w:proofErr w:type="spellStart"/>
      <w:r w:rsidRPr="00022526">
        <w:rPr>
          <w:rFonts w:cs="Arial"/>
          <w:sz w:val="20"/>
          <w:szCs w:val="20"/>
        </w:rPr>
        <w:t>Newstart</w:t>
      </w:r>
      <w:proofErr w:type="spellEnd"/>
      <w:r>
        <w:rPr>
          <w:rFonts w:cs="Arial"/>
          <w:sz w:val="20"/>
          <w:szCs w:val="20"/>
        </w:rPr>
        <w:t xml:space="preserve"> Allowance</w:t>
      </w:r>
      <w:r w:rsidRPr="00022526">
        <w:rPr>
          <w:rFonts w:cs="Arial"/>
          <w:sz w:val="20"/>
          <w:szCs w:val="20"/>
        </w:rPr>
        <w:t>/</w:t>
      </w:r>
      <w:proofErr w:type="spellStart"/>
      <w:r w:rsidRPr="00022526">
        <w:rPr>
          <w:rFonts w:cs="Arial"/>
          <w:sz w:val="20"/>
          <w:szCs w:val="20"/>
        </w:rPr>
        <w:t>Job</w:t>
      </w:r>
      <w:r>
        <w:rPr>
          <w:rFonts w:cs="Arial"/>
          <w:sz w:val="20"/>
          <w:szCs w:val="20"/>
        </w:rPr>
        <w:t>S</w:t>
      </w:r>
      <w:r w:rsidRPr="00022526">
        <w:rPr>
          <w:rFonts w:cs="Arial"/>
          <w:sz w:val="20"/>
          <w:szCs w:val="20"/>
        </w:rPr>
        <w:t>eeker</w:t>
      </w:r>
      <w:proofErr w:type="spellEnd"/>
      <w:r w:rsidRPr="00022526">
        <w:rPr>
          <w:rFonts w:cs="Arial"/>
          <w:sz w:val="20"/>
          <w:szCs w:val="20"/>
        </w:rPr>
        <w:t xml:space="preserve"> </w:t>
      </w:r>
      <w:r>
        <w:rPr>
          <w:rFonts w:cs="Arial"/>
          <w:sz w:val="20"/>
          <w:szCs w:val="20"/>
        </w:rPr>
        <w:t>Payment</w:t>
      </w:r>
      <w:r w:rsidRPr="00022526">
        <w:rPr>
          <w:rFonts w:cs="Arial"/>
          <w:sz w:val="20"/>
          <w:szCs w:val="20"/>
        </w:rPr>
        <w:t xml:space="preserve">, Youth Allowance (other) and Special Benefit within 12 months has decreased, compared to the previous year. This can, in part, be explained by the economic downturn that occurred as a result of the health response to the </w:t>
      </w:r>
      <w:r>
        <w:rPr>
          <w:rFonts w:cs="Arial"/>
          <w:sz w:val="20"/>
          <w:szCs w:val="20"/>
        </w:rPr>
        <w:t>COVID-19</w:t>
      </w:r>
      <w:r w:rsidRPr="00022526">
        <w:rPr>
          <w:rFonts w:cs="Arial"/>
          <w:sz w:val="20"/>
          <w:szCs w:val="20"/>
        </w:rPr>
        <w:t xml:space="preserve"> pandemic.</w:t>
      </w:r>
    </w:p>
    <w:p w14:paraId="33A79668" w14:textId="02757F43" w:rsidR="001404F7" w:rsidRDefault="001404F7" w:rsidP="001404F7">
      <w:pPr>
        <w:rPr>
          <w:rFonts w:cs="Arial"/>
          <w:sz w:val="20"/>
          <w:szCs w:val="20"/>
        </w:rPr>
      </w:pPr>
      <w:r w:rsidRPr="00022526">
        <w:rPr>
          <w:rFonts w:cs="Arial"/>
          <w:sz w:val="20"/>
          <w:szCs w:val="20"/>
        </w:rPr>
        <w:t>Recipients exit income support for a variety of reasons, including employment, personal income from other sources, partner income, parental income (for Youth Allowance (other) recipients only), or assets.</w:t>
      </w:r>
    </w:p>
    <w:p w14:paraId="3F41F616" w14:textId="77777777" w:rsidR="001404F7" w:rsidRPr="00D47E5B"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sidRPr="00D47E5B">
        <w:rPr>
          <w:rFonts w:ascii="Arial Narrow" w:eastAsia="Times New Roman" w:hAnsi="Arial Narrow" w:cs="Times New Roman"/>
          <w:b/>
          <w:bCs/>
          <w:spacing w:val="4"/>
          <w:sz w:val="20"/>
          <w:szCs w:val="18"/>
          <w:lang w:eastAsia="en-AU"/>
        </w:rPr>
        <w:t>Table 2.1.</w:t>
      </w:r>
      <w:r>
        <w:rPr>
          <w:rFonts w:ascii="Arial Narrow" w:eastAsia="Times New Roman" w:hAnsi="Arial Narrow" w:cs="Times New Roman"/>
          <w:b/>
          <w:bCs/>
          <w:spacing w:val="4"/>
          <w:sz w:val="20"/>
          <w:szCs w:val="18"/>
          <w:lang w:eastAsia="en-AU"/>
        </w:rPr>
        <w:t>7</w:t>
      </w:r>
      <w:r w:rsidRPr="00D47E5B">
        <w:rPr>
          <w:rFonts w:ascii="Arial Narrow" w:eastAsia="Times New Roman" w:hAnsi="Arial Narrow" w:cs="Times New Roman"/>
          <w:b/>
          <w:bCs/>
          <w:spacing w:val="4"/>
          <w:sz w:val="20"/>
          <w:szCs w:val="18"/>
          <w:lang w:eastAsia="en-AU"/>
        </w:rPr>
        <w:t>: Percentage of recipients who exit income support within 3/6/12 months</w:t>
      </w:r>
    </w:p>
    <w:tbl>
      <w:tblPr>
        <w:tblStyle w:val="HHorizontaltable1"/>
        <w:tblW w:w="4762" w:type="pct"/>
        <w:tblLook w:val="04A0" w:firstRow="1" w:lastRow="0" w:firstColumn="1" w:lastColumn="0" w:noHBand="0" w:noVBand="1"/>
        <w:tblCaption w:val="Table 2.1.7: Percentage of recipients who exit income support within 3/6/12 months"/>
        <w:tblDescription w:val="Table 2.1.7: Percentage of recipients who exit income support within 3/6/12 months"/>
      </w:tblPr>
      <w:tblGrid>
        <w:gridCol w:w="3896"/>
        <w:gridCol w:w="1879"/>
        <w:gridCol w:w="1477"/>
        <w:gridCol w:w="1344"/>
      </w:tblGrid>
      <w:tr w:rsidR="001404F7" w:rsidRPr="00355030" w14:paraId="2E1B3DA2" w14:textId="77777777" w:rsidTr="00D57DA0">
        <w:trPr>
          <w:cnfStyle w:val="100000000000" w:firstRow="1" w:lastRow="0" w:firstColumn="0" w:lastColumn="0" w:oddVBand="0" w:evenVBand="0" w:oddHBand="0" w:evenHBand="0" w:firstRowFirstColumn="0" w:firstRowLastColumn="0" w:lastRowFirstColumn="0" w:lastRowLastColumn="0"/>
          <w:trHeight w:val="75"/>
          <w:tblHeader/>
        </w:trPr>
        <w:tc>
          <w:tcPr>
            <w:tcW w:w="2266" w:type="pct"/>
            <w:hideMark/>
          </w:tcPr>
          <w:p w14:paraId="608A8FD1" w14:textId="77777777" w:rsidR="001404F7" w:rsidRPr="00D13460" w:rsidRDefault="001404F7" w:rsidP="001404F7">
            <w:pPr>
              <w:keepNext/>
              <w:keepLines/>
              <w:spacing w:before="40" w:after="40"/>
              <w:rPr>
                <w:rFonts w:eastAsia="Times New Roman"/>
                <w:sz w:val="20"/>
                <w:szCs w:val="20"/>
              </w:rPr>
            </w:pPr>
            <w:r w:rsidRPr="00D13460">
              <w:rPr>
                <w:rFonts w:eastAsia="Times New Roman"/>
                <w:sz w:val="20"/>
                <w:szCs w:val="20"/>
              </w:rPr>
              <w:t>Outcome performance measure</w:t>
            </w:r>
          </w:p>
        </w:tc>
        <w:tc>
          <w:tcPr>
            <w:tcW w:w="1093" w:type="pct"/>
            <w:hideMark/>
          </w:tcPr>
          <w:p w14:paraId="3EBC3F5C" w14:textId="77777777" w:rsidR="001404F7" w:rsidRPr="00D13460" w:rsidRDefault="001404F7" w:rsidP="001404F7">
            <w:pPr>
              <w:keepNext/>
              <w:keepLines/>
              <w:spacing w:before="40" w:after="40"/>
              <w:jc w:val="right"/>
              <w:rPr>
                <w:rFonts w:eastAsia="Times New Roman"/>
                <w:sz w:val="20"/>
                <w:szCs w:val="20"/>
              </w:rPr>
            </w:pPr>
            <w:r w:rsidRPr="00D13460">
              <w:rPr>
                <w:rFonts w:eastAsia="Times New Roman"/>
                <w:sz w:val="20"/>
                <w:szCs w:val="20"/>
              </w:rPr>
              <w:t>2019–20</w:t>
            </w:r>
          </w:p>
        </w:tc>
        <w:tc>
          <w:tcPr>
            <w:tcW w:w="859" w:type="pct"/>
            <w:hideMark/>
          </w:tcPr>
          <w:p w14:paraId="56D77E9E" w14:textId="77777777" w:rsidR="001404F7" w:rsidRPr="00D13460" w:rsidRDefault="001404F7" w:rsidP="001404F7">
            <w:pPr>
              <w:keepNext/>
              <w:keepLines/>
              <w:spacing w:before="40" w:after="40"/>
              <w:jc w:val="right"/>
              <w:rPr>
                <w:rFonts w:eastAsia="Times New Roman"/>
                <w:sz w:val="20"/>
                <w:szCs w:val="20"/>
              </w:rPr>
            </w:pPr>
            <w:r w:rsidRPr="00D13460">
              <w:rPr>
                <w:rFonts w:eastAsia="Times New Roman"/>
                <w:sz w:val="20"/>
                <w:szCs w:val="20"/>
              </w:rPr>
              <w:t>2018–19</w:t>
            </w:r>
          </w:p>
        </w:tc>
        <w:tc>
          <w:tcPr>
            <w:tcW w:w="782" w:type="pct"/>
            <w:hideMark/>
          </w:tcPr>
          <w:p w14:paraId="24215734" w14:textId="77777777" w:rsidR="001404F7" w:rsidRPr="00D13460" w:rsidRDefault="001404F7" w:rsidP="001404F7">
            <w:pPr>
              <w:keepNext/>
              <w:keepLines/>
              <w:spacing w:before="40" w:after="40"/>
              <w:jc w:val="right"/>
              <w:rPr>
                <w:rFonts w:eastAsia="Times New Roman"/>
                <w:sz w:val="20"/>
                <w:szCs w:val="20"/>
              </w:rPr>
            </w:pPr>
            <w:r w:rsidRPr="00D13460">
              <w:rPr>
                <w:rFonts w:eastAsia="Times New Roman"/>
                <w:sz w:val="20"/>
                <w:szCs w:val="20"/>
              </w:rPr>
              <w:t>2017–18</w:t>
            </w:r>
          </w:p>
        </w:tc>
      </w:tr>
      <w:tr w:rsidR="001404F7" w:rsidRPr="006447FF" w14:paraId="4B1810C2"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bottom w:val="single" w:sz="12" w:space="0" w:color="00B0B9"/>
            </w:tcBorders>
            <w:hideMark/>
          </w:tcPr>
          <w:p w14:paraId="66183E39" w14:textId="77777777" w:rsidR="001404F7" w:rsidRPr="006447FF" w:rsidRDefault="001404F7" w:rsidP="001404F7">
            <w:pPr>
              <w:keepNext/>
              <w:keepLines/>
              <w:spacing w:before="40" w:after="40"/>
              <w:rPr>
                <w:rFonts w:eastAsia="Times New Roman" w:cs="Arial"/>
                <w:color w:val="FFFFFF" w:themeColor="background1"/>
                <w:sz w:val="20"/>
                <w:szCs w:val="20"/>
              </w:rPr>
            </w:pPr>
            <w:r w:rsidRPr="006447FF">
              <w:rPr>
                <w:rFonts w:eastAsia="Times New Roman" w:cs="Arial"/>
                <w:b/>
                <w:color w:val="000000" w:themeColor="text1"/>
                <w:sz w:val="20"/>
                <w:szCs w:val="20"/>
              </w:rPr>
              <w:t>Income Support for Vulnerable People</w:t>
            </w:r>
          </w:p>
        </w:tc>
      </w:tr>
      <w:tr w:rsidR="001404F7" w:rsidRPr="006447FF" w14:paraId="5E800508"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4"/>
            <w:tcBorders>
              <w:top w:val="single" w:sz="12" w:space="0" w:color="00B0B9"/>
              <w:bottom w:val="single" w:sz="4" w:space="0" w:color="FFFFFF" w:themeColor="background1"/>
            </w:tcBorders>
            <w:hideMark/>
          </w:tcPr>
          <w:p w14:paraId="7547CC92" w14:textId="77777777" w:rsidR="001404F7" w:rsidRPr="006447FF" w:rsidRDefault="001404F7" w:rsidP="001404F7">
            <w:pPr>
              <w:spacing w:before="40" w:after="40"/>
              <w:rPr>
                <w:rFonts w:eastAsia="Times New Roman"/>
                <w:b/>
                <w:color w:val="000000" w:themeColor="text1"/>
                <w:spacing w:val="4"/>
                <w:sz w:val="20"/>
                <w:szCs w:val="20"/>
                <w:lang w:val="en-GB"/>
              </w:rPr>
            </w:pPr>
            <w:r w:rsidRPr="006447FF">
              <w:rPr>
                <w:rFonts w:eastAsia="Times New Roman"/>
                <w:b/>
                <w:color w:val="000000" w:themeColor="text1"/>
                <w:spacing w:val="4"/>
                <w:sz w:val="20"/>
                <w:szCs w:val="20"/>
                <w:lang w:val="en-GB"/>
              </w:rPr>
              <w:t>Special Benefit</w:t>
            </w:r>
          </w:p>
        </w:tc>
      </w:tr>
      <w:tr w:rsidR="001404F7" w:rsidRPr="006447FF" w14:paraId="7A290D0D"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4"/>
            <w:tcBorders>
              <w:top w:val="single" w:sz="4" w:space="0" w:color="FFFFFF" w:themeColor="background1"/>
            </w:tcBorders>
            <w:hideMark/>
          </w:tcPr>
          <w:p w14:paraId="704DF7D1"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Percentage of Special Benefit activity tested recipients who exit income support payment:</w:t>
            </w:r>
          </w:p>
        </w:tc>
      </w:tr>
      <w:tr w:rsidR="001404F7" w:rsidRPr="006447FF" w14:paraId="30971498" w14:textId="77777777" w:rsidTr="001404F7">
        <w:trPr>
          <w:cnfStyle w:val="000000010000" w:firstRow="0" w:lastRow="0" w:firstColumn="0" w:lastColumn="0" w:oddVBand="0" w:evenVBand="0" w:oddHBand="0" w:evenHBand="1" w:firstRowFirstColumn="0" w:firstRowLastColumn="0" w:lastRowFirstColumn="0" w:lastRowLastColumn="0"/>
        </w:trPr>
        <w:tc>
          <w:tcPr>
            <w:tcW w:w="2266" w:type="pct"/>
            <w:hideMark/>
          </w:tcPr>
          <w:p w14:paraId="13E69CF1" w14:textId="77777777" w:rsidR="001404F7" w:rsidRPr="006447FF" w:rsidRDefault="001404F7" w:rsidP="001404F7">
            <w:pPr>
              <w:numPr>
                <w:ilvl w:val="0"/>
                <w:numId w:val="67"/>
              </w:numPr>
              <w:spacing w:before="40" w:after="40"/>
              <w:ind w:left="459"/>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within 3 months</w:t>
            </w:r>
          </w:p>
        </w:tc>
        <w:tc>
          <w:tcPr>
            <w:tcW w:w="1093" w:type="pct"/>
            <w:hideMark/>
          </w:tcPr>
          <w:p w14:paraId="111F8EB6" w14:textId="77777777" w:rsidR="001404F7" w:rsidRPr="007F69AC" w:rsidRDefault="001404F7" w:rsidP="001404F7">
            <w:pPr>
              <w:spacing w:before="40" w:after="40"/>
              <w:jc w:val="right"/>
              <w:rPr>
                <w:rFonts w:eastAsia="Times New Roman"/>
                <w:spacing w:val="4"/>
                <w:sz w:val="20"/>
                <w:szCs w:val="20"/>
                <w:lang w:val="en-GB"/>
              </w:rPr>
            </w:pPr>
            <w:r w:rsidRPr="007F69AC">
              <w:rPr>
                <w:rFonts w:eastAsia="Times New Roman"/>
                <w:spacing w:val="4"/>
                <w:sz w:val="20"/>
                <w:szCs w:val="20"/>
                <w:lang w:val="en-GB"/>
              </w:rPr>
              <w:t>8.6%</w:t>
            </w:r>
          </w:p>
        </w:tc>
        <w:tc>
          <w:tcPr>
            <w:tcW w:w="859" w:type="pct"/>
            <w:hideMark/>
          </w:tcPr>
          <w:p w14:paraId="02B2A8B3" w14:textId="77777777" w:rsidR="001404F7" w:rsidRPr="007F69AC" w:rsidRDefault="001404F7" w:rsidP="001404F7">
            <w:pPr>
              <w:spacing w:before="40" w:after="40"/>
              <w:jc w:val="right"/>
              <w:rPr>
                <w:rFonts w:eastAsia="Times New Roman"/>
                <w:spacing w:val="4"/>
                <w:sz w:val="20"/>
                <w:szCs w:val="20"/>
                <w:lang w:val="en-GB"/>
              </w:rPr>
            </w:pPr>
            <w:r w:rsidRPr="007F69AC">
              <w:rPr>
                <w:rFonts w:eastAsia="Times New Roman"/>
                <w:spacing w:val="4"/>
                <w:sz w:val="20"/>
                <w:szCs w:val="20"/>
                <w:lang w:val="en-GB"/>
              </w:rPr>
              <w:t>20.8%</w:t>
            </w:r>
          </w:p>
        </w:tc>
        <w:tc>
          <w:tcPr>
            <w:tcW w:w="782" w:type="pct"/>
            <w:hideMark/>
          </w:tcPr>
          <w:p w14:paraId="1AFE8092"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23.7%</w:t>
            </w:r>
          </w:p>
        </w:tc>
      </w:tr>
      <w:tr w:rsidR="001404F7" w:rsidRPr="006447FF" w14:paraId="7D4B6C64" w14:textId="77777777" w:rsidTr="001404F7">
        <w:trPr>
          <w:cnfStyle w:val="000000100000" w:firstRow="0" w:lastRow="0" w:firstColumn="0" w:lastColumn="0" w:oddVBand="0" w:evenVBand="0" w:oddHBand="1" w:evenHBand="0" w:firstRowFirstColumn="0" w:firstRowLastColumn="0" w:lastRowFirstColumn="0" w:lastRowLastColumn="0"/>
        </w:trPr>
        <w:tc>
          <w:tcPr>
            <w:tcW w:w="2266" w:type="pct"/>
            <w:hideMark/>
          </w:tcPr>
          <w:p w14:paraId="2EFDD480" w14:textId="77777777" w:rsidR="001404F7" w:rsidRPr="006447FF" w:rsidRDefault="001404F7" w:rsidP="001404F7">
            <w:pPr>
              <w:numPr>
                <w:ilvl w:val="0"/>
                <w:numId w:val="67"/>
              </w:numPr>
              <w:spacing w:before="40" w:after="40"/>
              <w:ind w:left="459"/>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within 6 months</w:t>
            </w:r>
          </w:p>
        </w:tc>
        <w:tc>
          <w:tcPr>
            <w:tcW w:w="1093" w:type="pct"/>
            <w:hideMark/>
          </w:tcPr>
          <w:p w14:paraId="5ACDFEB3" w14:textId="77777777" w:rsidR="001404F7" w:rsidRPr="007F69AC" w:rsidRDefault="001404F7" w:rsidP="001404F7">
            <w:pPr>
              <w:spacing w:before="40" w:after="40"/>
              <w:jc w:val="right"/>
              <w:rPr>
                <w:rFonts w:eastAsia="Times New Roman" w:cs="Arial"/>
                <w:spacing w:val="4"/>
                <w:sz w:val="20"/>
                <w:szCs w:val="20"/>
                <w:lang w:val="en-GB"/>
              </w:rPr>
            </w:pPr>
            <w:r w:rsidRPr="007F69AC">
              <w:rPr>
                <w:rFonts w:eastAsia="Times New Roman" w:cs="Arial"/>
                <w:spacing w:val="4"/>
                <w:sz w:val="20"/>
                <w:szCs w:val="20"/>
                <w:lang w:val="en-GB"/>
              </w:rPr>
              <w:t>27.7%</w:t>
            </w:r>
          </w:p>
        </w:tc>
        <w:tc>
          <w:tcPr>
            <w:tcW w:w="859" w:type="pct"/>
            <w:hideMark/>
          </w:tcPr>
          <w:p w14:paraId="2BB10ED1"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36.9%</w:t>
            </w:r>
          </w:p>
        </w:tc>
        <w:tc>
          <w:tcPr>
            <w:tcW w:w="782" w:type="pct"/>
            <w:hideMark/>
          </w:tcPr>
          <w:p w14:paraId="42923015"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40.8%</w:t>
            </w:r>
          </w:p>
        </w:tc>
      </w:tr>
      <w:tr w:rsidR="001404F7" w:rsidRPr="006447FF" w14:paraId="6889E023" w14:textId="77777777" w:rsidTr="001404F7">
        <w:trPr>
          <w:cnfStyle w:val="000000010000" w:firstRow="0" w:lastRow="0" w:firstColumn="0" w:lastColumn="0" w:oddVBand="0" w:evenVBand="0" w:oddHBand="0" w:evenHBand="1" w:firstRowFirstColumn="0" w:firstRowLastColumn="0" w:lastRowFirstColumn="0" w:lastRowLastColumn="0"/>
        </w:trPr>
        <w:tc>
          <w:tcPr>
            <w:tcW w:w="2266" w:type="pct"/>
            <w:hideMark/>
          </w:tcPr>
          <w:p w14:paraId="518A4591" w14:textId="77777777" w:rsidR="001404F7" w:rsidRPr="006447FF" w:rsidRDefault="001404F7" w:rsidP="001404F7">
            <w:pPr>
              <w:numPr>
                <w:ilvl w:val="0"/>
                <w:numId w:val="67"/>
              </w:numPr>
              <w:spacing w:before="40" w:after="40"/>
              <w:ind w:left="459"/>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within 12 months</w:t>
            </w:r>
          </w:p>
        </w:tc>
        <w:tc>
          <w:tcPr>
            <w:tcW w:w="1093" w:type="pct"/>
            <w:hideMark/>
          </w:tcPr>
          <w:p w14:paraId="409BB4A7" w14:textId="77777777" w:rsidR="001404F7" w:rsidRPr="007F69AC" w:rsidRDefault="001404F7" w:rsidP="001404F7">
            <w:pPr>
              <w:spacing w:before="40" w:after="40"/>
              <w:jc w:val="right"/>
              <w:rPr>
                <w:rFonts w:eastAsia="Times New Roman"/>
                <w:spacing w:val="4"/>
                <w:sz w:val="20"/>
                <w:szCs w:val="20"/>
                <w:lang w:val="en-GB"/>
              </w:rPr>
            </w:pPr>
            <w:r w:rsidRPr="007F69AC">
              <w:rPr>
                <w:rFonts w:eastAsia="Times New Roman"/>
                <w:spacing w:val="4"/>
                <w:sz w:val="20"/>
                <w:szCs w:val="20"/>
                <w:lang w:val="en-GB"/>
              </w:rPr>
              <w:t>56.6%</w:t>
            </w:r>
          </w:p>
        </w:tc>
        <w:tc>
          <w:tcPr>
            <w:tcW w:w="859" w:type="pct"/>
            <w:hideMark/>
          </w:tcPr>
          <w:p w14:paraId="306E3081"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58.0%</w:t>
            </w:r>
          </w:p>
        </w:tc>
        <w:tc>
          <w:tcPr>
            <w:tcW w:w="782" w:type="pct"/>
            <w:hideMark/>
          </w:tcPr>
          <w:p w14:paraId="0E47836F"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60.6%</w:t>
            </w:r>
          </w:p>
        </w:tc>
      </w:tr>
      <w:tr w:rsidR="001404F7" w:rsidRPr="006447FF" w14:paraId="1F69EB50"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bottom w:val="single" w:sz="12" w:space="0" w:color="00B0B9"/>
            </w:tcBorders>
            <w:hideMark/>
          </w:tcPr>
          <w:p w14:paraId="0C687C01" w14:textId="77777777" w:rsidR="001404F7" w:rsidRPr="006447FF" w:rsidRDefault="001404F7" w:rsidP="001404F7">
            <w:pPr>
              <w:keepNext/>
              <w:keepLines/>
              <w:spacing w:before="40" w:after="40"/>
              <w:rPr>
                <w:rFonts w:eastAsia="Times New Roman" w:cs="Arial"/>
                <w:b/>
                <w:color w:val="FFFFFF" w:themeColor="background1"/>
                <w:sz w:val="20"/>
                <w:szCs w:val="20"/>
              </w:rPr>
            </w:pPr>
            <w:r w:rsidRPr="006447FF">
              <w:rPr>
                <w:rFonts w:eastAsia="Times New Roman" w:cs="Arial"/>
                <w:b/>
                <w:color w:val="000000" w:themeColor="text1"/>
                <w:sz w:val="20"/>
                <w:szCs w:val="20"/>
              </w:rPr>
              <w:t>Working Age Payments</w:t>
            </w:r>
          </w:p>
        </w:tc>
      </w:tr>
      <w:tr w:rsidR="001404F7" w:rsidRPr="006447FF" w14:paraId="4F26EFB3" w14:textId="77777777" w:rsidTr="001404F7">
        <w:trPr>
          <w:cnfStyle w:val="000000010000" w:firstRow="0" w:lastRow="0" w:firstColumn="0" w:lastColumn="0" w:oddVBand="0" w:evenVBand="0" w:oddHBand="0" w:evenHBand="1" w:firstRowFirstColumn="0" w:firstRowLastColumn="0" w:lastRowFirstColumn="0" w:lastRowLastColumn="0"/>
          <w:trHeight w:val="317"/>
        </w:trPr>
        <w:tc>
          <w:tcPr>
            <w:tcW w:w="5000" w:type="pct"/>
            <w:gridSpan w:val="4"/>
            <w:tcBorders>
              <w:top w:val="single" w:sz="12" w:space="0" w:color="00B0B9"/>
              <w:bottom w:val="single" w:sz="4" w:space="0" w:color="FFFFFF" w:themeColor="background1"/>
            </w:tcBorders>
            <w:hideMark/>
          </w:tcPr>
          <w:p w14:paraId="3D751156" w14:textId="77777777" w:rsidR="001404F7" w:rsidRPr="006447FF" w:rsidRDefault="001404F7" w:rsidP="001404F7">
            <w:pPr>
              <w:spacing w:before="40" w:after="40"/>
              <w:rPr>
                <w:rFonts w:eastAsia="Times New Roman"/>
                <w:b/>
                <w:color w:val="000000" w:themeColor="text1"/>
                <w:spacing w:val="4"/>
                <w:sz w:val="20"/>
                <w:szCs w:val="20"/>
                <w:lang w:val="en-GB"/>
              </w:rPr>
            </w:pPr>
            <w:proofErr w:type="spellStart"/>
            <w:r w:rsidRPr="006447FF">
              <w:rPr>
                <w:rFonts w:eastAsia="Times New Roman"/>
                <w:b/>
                <w:color w:val="000000" w:themeColor="text1"/>
                <w:spacing w:val="4"/>
                <w:sz w:val="20"/>
                <w:szCs w:val="20"/>
                <w:lang w:val="en-GB"/>
              </w:rPr>
              <w:t>Newstart</w:t>
            </w:r>
            <w:proofErr w:type="spellEnd"/>
            <w:r w:rsidRPr="006447FF">
              <w:rPr>
                <w:rFonts w:eastAsia="Times New Roman"/>
                <w:b/>
                <w:color w:val="000000" w:themeColor="text1"/>
                <w:spacing w:val="4"/>
                <w:sz w:val="20"/>
                <w:szCs w:val="20"/>
                <w:lang w:val="en-GB"/>
              </w:rPr>
              <w:t xml:space="preserve"> Allowance</w:t>
            </w:r>
            <w:r>
              <w:rPr>
                <w:rFonts w:eastAsia="Times New Roman"/>
                <w:b/>
                <w:color w:val="000000" w:themeColor="text1"/>
                <w:spacing w:val="4"/>
                <w:sz w:val="20"/>
                <w:szCs w:val="20"/>
                <w:lang w:val="en-GB"/>
              </w:rPr>
              <w:t>/</w:t>
            </w:r>
            <w:proofErr w:type="spellStart"/>
            <w:r>
              <w:rPr>
                <w:rFonts w:eastAsia="Times New Roman"/>
                <w:b/>
                <w:color w:val="000000" w:themeColor="text1"/>
                <w:spacing w:val="4"/>
                <w:sz w:val="20"/>
                <w:szCs w:val="20"/>
                <w:lang w:val="en-GB"/>
              </w:rPr>
              <w:t>JobSeeker</w:t>
            </w:r>
            <w:proofErr w:type="spellEnd"/>
            <w:r>
              <w:rPr>
                <w:rFonts w:eastAsia="Times New Roman"/>
                <w:b/>
                <w:color w:val="000000" w:themeColor="text1"/>
                <w:spacing w:val="4"/>
                <w:sz w:val="20"/>
                <w:szCs w:val="20"/>
                <w:lang w:val="en-GB"/>
              </w:rPr>
              <w:t xml:space="preserve"> </w:t>
            </w:r>
            <w:proofErr w:type="spellStart"/>
            <w:r>
              <w:rPr>
                <w:rFonts w:eastAsia="Times New Roman"/>
                <w:b/>
                <w:color w:val="000000" w:themeColor="text1"/>
                <w:spacing w:val="4"/>
                <w:sz w:val="20"/>
                <w:szCs w:val="20"/>
                <w:lang w:val="en-GB"/>
              </w:rPr>
              <w:t>Payment</w:t>
            </w:r>
            <w:r w:rsidRPr="00783ED0">
              <w:rPr>
                <w:rFonts w:eastAsia="Times New Roman"/>
                <w:b/>
                <w:color w:val="000000" w:themeColor="text1"/>
                <w:spacing w:val="4"/>
                <w:sz w:val="20"/>
                <w:szCs w:val="20"/>
                <w:vertAlign w:val="superscript"/>
                <w:lang w:val="en-GB"/>
              </w:rPr>
              <w:t>a</w:t>
            </w:r>
            <w:proofErr w:type="spellEnd"/>
          </w:p>
        </w:tc>
      </w:tr>
      <w:tr w:rsidR="001404F7" w:rsidRPr="006447FF" w14:paraId="137FDE2A"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4"/>
            <w:tcBorders>
              <w:top w:val="single" w:sz="4" w:space="0" w:color="FFFFFF" w:themeColor="background1"/>
            </w:tcBorders>
            <w:hideMark/>
          </w:tcPr>
          <w:p w14:paraId="23C68F9A" w14:textId="77777777" w:rsidR="001404F7" w:rsidRPr="006447FF" w:rsidRDefault="001404F7" w:rsidP="001404F7">
            <w:pPr>
              <w:spacing w:before="40" w:after="40"/>
              <w:rPr>
                <w:rFonts w:eastAsia="Times New Roman" w:cs="Arial"/>
                <w:color w:val="000000" w:themeColor="text1"/>
                <w:spacing w:val="4"/>
                <w:sz w:val="20"/>
                <w:szCs w:val="20"/>
                <w:highlight w:val="yellow"/>
                <w:lang w:val="en-GB"/>
              </w:rPr>
            </w:pPr>
            <w:r w:rsidRPr="006447FF">
              <w:rPr>
                <w:rFonts w:eastAsia="Times New Roman" w:cs="Arial"/>
                <w:color w:val="000000" w:themeColor="text1"/>
                <w:spacing w:val="4"/>
                <w:sz w:val="20"/>
                <w:szCs w:val="20"/>
                <w:lang w:val="en-GB"/>
              </w:rPr>
              <w:t xml:space="preserve">Percentage of </w:t>
            </w:r>
            <w:proofErr w:type="spellStart"/>
            <w:r w:rsidRPr="006447FF">
              <w:rPr>
                <w:rFonts w:eastAsia="Times New Roman" w:cs="Arial"/>
                <w:color w:val="000000" w:themeColor="text1"/>
                <w:spacing w:val="4"/>
                <w:sz w:val="20"/>
                <w:szCs w:val="20"/>
                <w:lang w:val="en-GB"/>
              </w:rPr>
              <w:t>Newstart</w:t>
            </w:r>
            <w:proofErr w:type="spellEnd"/>
            <w:r w:rsidRPr="006447FF">
              <w:rPr>
                <w:rFonts w:eastAsia="Times New Roman" w:cs="Arial"/>
                <w:color w:val="000000" w:themeColor="text1"/>
                <w:spacing w:val="4"/>
                <w:sz w:val="20"/>
                <w:szCs w:val="20"/>
                <w:lang w:val="en-GB"/>
              </w:rPr>
              <w:t xml:space="preserve"> </w:t>
            </w:r>
            <w:r>
              <w:rPr>
                <w:rFonts w:eastAsia="Times New Roman" w:cs="Arial"/>
                <w:color w:val="000000" w:themeColor="text1"/>
                <w:spacing w:val="4"/>
                <w:sz w:val="20"/>
                <w:szCs w:val="20"/>
                <w:lang w:val="en-GB"/>
              </w:rPr>
              <w:t>Allowance/</w:t>
            </w:r>
            <w:proofErr w:type="spellStart"/>
            <w:r>
              <w:rPr>
                <w:rFonts w:eastAsia="Times New Roman" w:cs="Arial"/>
                <w:color w:val="000000" w:themeColor="text1"/>
                <w:spacing w:val="4"/>
                <w:sz w:val="20"/>
                <w:szCs w:val="20"/>
                <w:lang w:val="en-GB"/>
              </w:rPr>
              <w:t>JobSeeker</w:t>
            </w:r>
            <w:proofErr w:type="spellEnd"/>
            <w:r>
              <w:rPr>
                <w:rFonts w:eastAsia="Times New Roman" w:cs="Arial"/>
                <w:color w:val="000000" w:themeColor="text1"/>
                <w:spacing w:val="4"/>
                <w:sz w:val="20"/>
                <w:szCs w:val="20"/>
                <w:lang w:val="en-GB"/>
              </w:rPr>
              <w:t xml:space="preserve"> Payment </w:t>
            </w:r>
            <w:r w:rsidRPr="006447FF">
              <w:rPr>
                <w:rFonts w:eastAsia="Times New Roman" w:cs="Arial"/>
                <w:color w:val="000000" w:themeColor="text1"/>
                <w:spacing w:val="4"/>
                <w:sz w:val="20"/>
                <w:szCs w:val="20"/>
                <w:lang w:val="en-GB"/>
              </w:rPr>
              <w:t>recipients who exit income support payment:</w:t>
            </w:r>
          </w:p>
        </w:tc>
      </w:tr>
      <w:tr w:rsidR="001404F7" w:rsidRPr="006447FF" w14:paraId="3F75855D" w14:textId="77777777" w:rsidTr="001404F7">
        <w:trPr>
          <w:cnfStyle w:val="000000010000" w:firstRow="0" w:lastRow="0" w:firstColumn="0" w:lastColumn="0" w:oddVBand="0" w:evenVBand="0" w:oddHBand="0" w:evenHBand="1" w:firstRowFirstColumn="0" w:firstRowLastColumn="0" w:lastRowFirstColumn="0" w:lastRowLastColumn="0"/>
        </w:trPr>
        <w:tc>
          <w:tcPr>
            <w:tcW w:w="2266" w:type="pct"/>
            <w:hideMark/>
          </w:tcPr>
          <w:p w14:paraId="2B7AB538" w14:textId="77777777" w:rsidR="001404F7" w:rsidRPr="006447FF" w:rsidRDefault="001404F7" w:rsidP="001404F7">
            <w:pPr>
              <w:numPr>
                <w:ilvl w:val="0"/>
                <w:numId w:val="67"/>
              </w:numPr>
              <w:spacing w:before="40" w:after="40"/>
              <w:ind w:left="459"/>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 xml:space="preserve">within 3 </w:t>
            </w:r>
            <w:proofErr w:type="spellStart"/>
            <w:r w:rsidRPr="006447FF">
              <w:rPr>
                <w:rFonts w:eastAsia="Times New Roman"/>
                <w:color w:val="000000" w:themeColor="text1"/>
                <w:spacing w:val="4"/>
                <w:sz w:val="20"/>
                <w:szCs w:val="20"/>
                <w:lang w:val="en-GB"/>
              </w:rPr>
              <w:t>months</w:t>
            </w:r>
            <w:r w:rsidRPr="00783ED0">
              <w:rPr>
                <w:rFonts w:eastAsia="Times New Roman"/>
                <w:color w:val="000000" w:themeColor="text1"/>
                <w:spacing w:val="4"/>
                <w:sz w:val="20"/>
                <w:szCs w:val="20"/>
                <w:vertAlign w:val="superscript"/>
                <w:lang w:val="en-GB"/>
              </w:rPr>
              <w:t>b</w:t>
            </w:r>
            <w:proofErr w:type="spellEnd"/>
          </w:p>
        </w:tc>
        <w:tc>
          <w:tcPr>
            <w:tcW w:w="1093" w:type="pct"/>
            <w:hideMark/>
          </w:tcPr>
          <w:p w14:paraId="1D86F585" w14:textId="77777777" w:rsidR="001404F7" w:rsidRPr="007F69AC" w:rsidRDefault="001404F7" w:rsidP="001404F7">
            <w:pPr>
              <w:spacing w:before="40" w:after="40"/>
              <w:jc w:val="right"/>
              <w:rPr>
                <w:rFonts w:eastAsia="Times New Roman"/>
                <w:spacing w:val="4"/>
                <w:sz w:val="20"/>
                <w:szCs w:val="20"/>
                <w:lang w:val="en-GB"/>
              </w:rPr>
            </w:pPr>
            <w:r w:rsidRPr="007F69AC">
              <w:rPr>
                <w:rFonts w:eastAsia="Times New Roman"/>
                <w:spacing w:val="4"/>
                <w:sz w:val="20"/>
                <w:szCs w:val="20"/>
                <w:lang w:val="en-GB"/>
              </w:rPr>
              <w:t>17.6%</w:t>
            </w:r>
          </w:p>
        </w:tc>
        <w:tc>
          <w:tcPr>
            <w:tcW w:w="859" w:type="pct"/>
            <w:hideMark/>
          </w:tcPr>
          <w:p w14:paraId="5D85B06D"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19.2%</w:t>
            </w:r>
          </w:p>
        </w:tc>
        <w:tc>
          <w:tcPr>
            <w:tcW w:w="782" w:type="pct"/>
            <w:hideMark/>
          </w:tcPr>
          <w:p w14:paraId="6CCE3FE1"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24.0%</w:t>
            </w:r>
          </w:p>
        </w:tc>
      </w:tr>
      <w:tr w:rsidR="001404F7" w:rsidRPr="006447FF" w14:paraId="0F68F46F" w14:textId="77777777" w:rsidTr="001404F7">
        <w:trPr>
          <w:cnfStyle w:val="000000100000" w:firstRow="0" w:lastRow="0" w:firstColumn="0" w:lastColumn="0" w:oddVBand="0" w:evenVBand="0" w:oddHBand="1" w:evenHBand="0" w:firstRowFirstColumn="0" w:firstRowLastColumn="0" w:lastRowFirstColumn="0" w:lastRowLastColumn="0"/>
        </w:trPr>
        <w:tc>
          <w:tcPr>
            <w:tcW w:w="2266" w:type="pct"/>
            <w:hideMark/>
          </w:tcPr>
          <w:p w14:paraId="1A8A068C" w14:textId="77777777" w:rsidR="001404F7" w:rsidRPr="006447FF" w:rsidRDefault="001404F7" w:rsidP="001404F7">
            <w:pPr>
              <w:numPr>
                <w:ilvl w:val="0"/>
                <w:numId w:val="67"/>
              </w:numPr>
              <w:spacing w:before="40" w:after="40"/>
              <w:ind w:left="459"/>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 xml:space="preserve">within 6 </w:t>
            </w:r>
            <w:proofErr w:type="spellStart"/>
            <w:r w:rsidRPr="006447FF">
              <w:rPr>
                <w:rFonts w:eastAsia="Times New Roman" w:cs="Arial"/>
                <w:color w:val="000000" w:themeColor="text1"/>
                <w:spacing w:val="4"/>
                <w:sz w:val="20"/>
                <w:szCs w:val="20"/>
                <w:lang w:val="en-GB"/>
              </w:rPr>
              <w:t>months</w:t>
            </w:r>
            <w:r w:rsidRPr="00783ED0">
              <w:rPr>
                <w:rFonts w:eastAsia="Times New Roman" w:cs="Arial"/>
                <w:color w:val="000000" w:themeColor="text1"/>
                <w:spacing w:val="4"/>
                <w:sz w:val="20"/>
                <w:szCs w:val="20"/>
                <w:vertAlign w:val="superscript"/>
                <w:lang w:val="en-GB"/>
              </w:rPr>
              <w:t>c</w:t>
            </w:r>
            <w:proofErr w:type="spellEnd"/>
          </w:p>
        </w:tc>
        <w:tc>
          <w:tcPr>
            <w:tcW w:w="1093" w:type="pct"/>
            <w:hideMark/>
          </w:tcPr>
          <w:p w14:paraId="3C29E075" w14:textId="77777777" w:rsidR="001404F7" w:rsidRPr="007F69AC" w:rsidRDefault="001404F7" w:rsidP="001404F7">
            <w:pPr>
              <w:spacing w:before="40" w:after="40"/>
              <w:jc w:val="right"/>
              <w:rPr>
                <w:rFonts w:eastAsia="Times New Roman" w:cs="Arial"/>
                <w:spacing w:val="4"/>
                <w:sz w:val="20"/>
                <w:szCs w:val="20"/>
                <w:lang w:val="en-GB"/>
              </w:rPr>
            </w:pPr>
            <w:r w:rsidRPr="007F69AC">
              <w:rPr>
                <w:rFonts w:eastAsia="Times New Roman" w:cs="Arial"/>
                <w:spacing w:val="4"/>
                <w:sz w:val="20"/>
                <w:szCs w:val="20"/>
                <w:lang w:val="en-GB"/>
              </w:rPr>
              <w:t>28.5%</w:t>
            </w:r>
          </w:p>
        </w:tc>
        <w:tc>
          <w:tcPr>
            <w:tcW w:w="859" w:type="pct"/>
            <w:hideMark/>
          </w:tcPr>
          <w:p w14:paraId="2D94B9CD"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38.0%</w:t>
            </w:r>
          </w:p>
        </w:tc>
        <w:tc>
          <w:tcPr>
            <w:tcW w:w="782" w:type="pct"/>
            <w:hideMark/>
          </w:tcPr>
          <w:p w14:paraId="3DA8CA62"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41.7%</w:t>
            </w:r>
          </w:p>
        </w:tc>
      </w:tr>
      <w:tr w:rsidR="001404F7" w:rsidRPr="006447FF" w14:paraId="56224564" w14:textId="77777777" w:rsidTr="001404F7">
        <w:trPr>
          <w:cnfStyle w:val="000000010000" w:firstRow="0" w:lastRow="0" w:firstColumn="0" w:lastColumn="0" w:oddVBand="0" w:evenVBand="0" w:oddHBand="0" w:evenHBand="1" w:firstRowFirstColumn="0" w:firstRowLastColumn="0" w:lastRowFirstColumn="0" w:lastRowLastColumn="0"/>
        </w:trPr>
        <w:tc>
          <w:tcPr>
            <w:tcW w:w="2266" w:type="pct"/>
            <w:hideMark/>
          </w:tcPr>
          <w:p w14:paraId="48761034" w14:textId="77777777" w:rsidR="001404F7" w:rsidRPr="006447FF" w:rsidRDefault="001404F7" w:rsidP="001404F7">
            <w:pPr>
              <w:numPr>
                <w:ilvl w:val="0"/>
                <w:numId w:val="67"/>
              </w:numPr>
              <w:spacing w:before="40" w:after="40"/>
              <w:ind w:left="459"/>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 xml:space="preserve">within 12 </w:t>
            </w:r>
            <w:proofErr w:type="spellStart"/>
            <w:r w:rsidRPr="006447FF">
              <w:rPr>
                <w:rFonts w:eastAsia="Times New Roman"/>
                <w:color w:val="000000" w:themeColor="text1"/>
                <w:spacing w:val="4"/>
                <w:sz w:val="20"/>
                <w:szCs w:val="20"/>
                <w:lang w:val="en-GB"/>
              </w:rPr>
              <w:t>months</w:t>
            </w:r>
            <w:r w:rsidRPr="00783ED0">
              <w:rPr>
                <w:rFonts w:eastAsia="Times New Roman"/>
                <w:color w:val="000000" w:themeColor="text1"/>
                <w:spacing w:val="4"/>
                <w:sz w:val="20"/>
                <w:szCs w:val="20"/>
                <w:vertAlign w:val="superscript"/>
                <w:lang w:val="en-GB"/>
              </w:rPr>
              <w:t>c</w:t>
            </w:r>
            <w:proofErr w:type="spellEnd"/>
          </w:p>
        </w:tc>
        <w:tc>
          <w:tcPr>
            <w:tcW w:w="1093" w:type="pct"/>
            <w:hideMark/>
          </w:tcPr>
          <w:p w14:paraId="74587879" w14:textId="77777777" w:rsidR="001404F7" w:rsidRPr="007F69AC" w:rsidRDefault="001404F7" w:rsidP="001404F7">
            <w:pPr>
              <w:spacing w:before="40" w:after="40"/>
              <w:jc w:val="right"/>
              <w:rPr>
                <w:rFonts w:eastAsia="Times New Roman"/>
                <w:spacing w:val="4"/>
                <w:sz w:val="20"/>
                <w:szCs w:val="20"/>
                <w:lang w:val="en-GB"/>
              </w:rPr>
            </w:pPr>
            <w:r w:rsidRPr="007F69AC">
              <w:rPr>
                <w:rFonts w:eastAsia="Times New Roman"/>
                <w:spacing w:val="4"/>
                <w:sz w:val="20"/>
                <w:szCs w:val="20"/>
                <w:lang w:val="en-GB"/>
              </w:rPr>
              <w:t>57.1%</w:t>
            </w:r>
          </w:p>
        </w:tc>
        <w:tc>
          <w:tcPr>
            <w:tcW w:w="859" w:type="pct"/>
            <w:hideMark/>
          </w:tcPr>
          <w:p w14:paraId="0112B525"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62.0%</w:t>
            </w:r>
          </w:p>
        </w:tc>
        <w:tc>
          <w:tcPr>
            <w:tcW w:w="782" w:type="pct"/>
            <w:hideMark/>
          </w:tcPr>
          <w:p w14:paraId="45BBF13B"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63.0%</w:t>
            </w:r>
          </w:p>
        </w:tc>
      </w:tr>
      <w:tr w:rsidR="001404F7" w:rsidRPr="006447FF" w14:paraId="00C437AA"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bottom w:val="single" w:sz="12" w:space="0" w:color="00B0B9"/>
            </w:tcBorders>
            <w:hideMark/>
          </w:tcPr>
          <w:p w14:paraId="7BCCF447" w14:textId="77777777" w:rsidR="001404F7" w:rsidRPr="006447FF" w:rsidRDefault="001404F7" w:rsidP="001404F7">
            <w:pPr>
              <w:spacing w:before="40" w:after="40"/>
              <w:rPr>
                <w:rFonts w:eastAsia="Times New Roman" w:cs="Arial"/>
                <w:b/>
                <w:color w:val="000000" w:themeColor="text1"/>
                <w:spacing w:val="4"/>
                <w:sz w:val="20"/>
                <w:szCs w:val="20"/>
                <w:lang w:val="en-GB"/>
              </w:rPr>
            </w:pPr>
            <w:r w:rsidRPr="006447FF">
              <w:rPr>
                <w:rFonts w:eastAsia="Times New Roman" w:cs="Arial"/>
                <w:b/>
                <w:color w:val="000000" w:themeColor="text1"/>
                <w:spacing w:val="4"/>
                <w:sz w:val="20"/>
                <w:szCs w:val="20"/>
                <w:lang w:val="en-GB"/>
              </w:rPr>
              <w:t>Youth Allowance (other)</w:t>
            </w:r>
          </w:p>
        </w:tc>
      </w:tr>
      <w:tr w:rsidR="001404F7" w:rsidRPr="006447FF" w14:paraId="23660ACC"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4"/>
            <w:tcBorders>
              <w:top w:val="single" w:sz="12" w:space="0" w:color="00B0B9"/>
              <w:bottom w:val="single" w:sz="4" w:space="0" w:color="FFFFFF" w:themeColor="background1"/>
            </w:tcBorders>
            <w:hideMark/>
          </w:tcPr>
          <w:p w14:paraId="02982F95" w14:textId="77777777" w:rsidR="001404F7" w:rsidRPr="006447FF" w:rsidRDefault="001404F7" w:rsidP="001404F7">
            <w:pPr>
              <w:spacing w:before="40" w:after="40"/>
              <w:rPr>
                <w:rFonts w:eastAsia="Times New Roman"/>
                <w:color w:val="000000" w:themeColor="text1"/>
                <w:spacing w:val="4"/>
                <w:sz w:val="20"/>
                <w:szCs w:val="20"/>
                <w:highlight w:val="yellow"/>
                <w:lang w:val="en-GB"/>
              </w:rPr>
            </w:pPr>
            <w:r w:rsidRPr="006447FF">
              <w:rPr>
                <w:rFonts w:eastAsia="Times New Roman"/>
                <w:color w:val="000000" w:themeColor="text1"/>
                <w:spacing w:val="4"/>
                <w:sz w:val="20"/>
                <w:szCs w:val="20"/>
                <w:lang w:val="en-GB"/>
              </w:rPr>
              <w:t>Percentage of Youth Allowance (other) recipients who exit income support payment:</w:t>
            </w:r>
          </w:p>
        </w:tc>
      </w:tr>
      <w:tr w:rsidR="001404F7" w:rsidRPr="006447FF" w14:paraId="676A45A2" w14:textId="77777777" w:rsidTr="001404F7">
        <w:trPr>
          <w:cnfStyle w:val="000000100000" w:firstRow="0" w:lastRow="0" w:firstColumn="0" w:lastColumn="0" w:oddVBand="0" w:evenVBand="0" w:oddHBand="1" w:evenHBand="0" w:firstRowFirstColumn="0" w:firstRowLastColumn="0" w:lastRowFirstColumn="0" w:lastRowLastColumn="0"/>
        </w:trPr>
        <w:tc>
          <w:tcPr>
            <w:tcW w:w="2266" w:type="pct"/>
            <w:tcBorders>
              <w:top w:val="single" w:sz="4" w:space="0" w:color="FFFFFF" w:themeColor="background1"/>
            </w:tcBorders>
            <w:hideMark/>
          </w:tcPr>
          <w:p w14:paraId="1CB904C5" w14:textId="77777777" w:rsidR="001404F7" w:rsidRPr="006447FF" w:rsidRDefault="001404F7" w:rsidP="001404F7">
            <w:pPr>
              <w:numPr>
                <w:ilvl w:val="0"/>
                <w:numId w:val="67"/>
              </w:numPr>
              <w:spacing w:before="40" w:after="40"/>
              <w:ind w:left="459"/>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within 3 months</w:t>
            </w:r>
          </w:p>
        </w:tc>
        <w:tc>
          <w:tcPr>
            <w:tcW w:w="1093" w:type="pct"/>
            <w:tcBorders>
              <w:top w:val="single" w:sz="4" w:space="0" w:color="FFFFFF" w:themeColor="background1"/>
            </w:tcBorders>
            <w:hideMark/>
          </w:tcPr>
          <w:p w14:paraId="00F8BDCB" w14:textId="77777777" w:rsidR="001404F7" w:rsidRPr="007F69AC" w:rsidRDefault="001404F7" w:rsidP="001404F7">
            <w:pPr>
              <w:spacing w:before="40" w:after="40"/>
              <w:jc w:val="right"/>
              <w:rPr>
                <w:rFonts w:eastAsia="Times New Roman" w:cs="Arial"/>
                <w:spacing w:val="4"/>
                <w:sz w:val="20"/>
                <w:szCs w:val="20"/>
                <w:lang w:val="en-GB"/>
              </w:rPr>
            </w:pPr>
            <w:r w:rsidRPr="007F69AC">
              <w:rPr>
                <w:rFonts w:eastAsia="Times New Roman" w:cs="Arial"/>
                <w:spacing w:val="4"/>
                <w:sz w:val="20"/>
                <w:szCs w:val="20"/>
                <w:lang w:val="en-GB"/>
              </w:rPr>
              <w:t>14.9%</w:t>
            </w:r>
          </w:p>
        </w:tc>
        <w:tc>
          <w:tcPr>
            <w:tcW w:w="859" w:type="pct"/>
            <w:tcBorders>
              <w:top w:val="single" w:sz="4" w:space="0" w:color="FFFFFF" w:themeColor="background1"/>
            </w:tcBorders>
            <w:hideMark/>
          </w:tcPr>
          <w:p w14:paraId="6195C3C3"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17.3%</w:t>
            </w:r>
          </w:p>
        </w:tc>
        <w:tc>
          <w:tcPr>
            <w:tcW w:w="782" w:type="pct"/>
            <w:tcBorders>
              <w:top w:val="single" w:sz="4" w:space="0" w:color="FFFFFF" w:themeColor="background1"/>
            </w:tcBorders>
            <w:hideMark/>
          </w:tcPr>
          <w:p w14:paraId="4983FC13"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22.9%</w:t>
            </w:r>
          </w:p>
        </w:tc>
      </w:tr>
      <w:tr w:rsidR="001404F7" w:rsidRPr="006447FF" w14:paraId="76F6082F" w14:textId="77777777" w:rsidTr="001404F7">
        <w:trPr>
          <w:cnfStyle w:val="000000010000" w:firstRow="0" w:lastRow="0" w:firstColumn="0" w:lastColumn="0" w:oddVBand="0" w:evenVBand="0" w:oddHBand="0" w:evenHBand="1" w:firstRowFirstColumn="0" w:firstRowLastColumn="0" w:lastRowFirstColumn="0" w:lastRowLastColumn="0"/>
        </w:trPr>
        <w:tc>
          <w:tcPr>
            <w:tcW w:w="2266" w:type="pct"/>
            <w:hideMark/>
          </w:tcPr>
          <w:p w14:paraId="72FE44CB" w14:textId="77777777" w:rsidR="001404F7" w:rsidRPr="006447FF" w:rsidRDefault="001404F7" w:rsidP="001404F7">
            <w:pPr>
              <w:numPr>
                <w:ilvl w:val="0"/>
                <w:numId w:val="67"/>
              </w:numPr>
              <w:spacing w:before="40" w:after="40"/>
              <w:ind w:left="459"/>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within 6 months</w:t>
            </w:r>
          </w:p>
        </w:tc>
        <w:tc>
          <w:tcPr>
            <w:tcW w:w="1093" w:type="pct"/>
            <w:hideMark/>
          </w:tcPr>
          <w:p w14:paraId="1FA223FF" w14:textId="77777777" w:rsidR="001404F7" w:rsidRPr="007F69AC" w:rsidRDefault="001404F7" w:rsidP="001404F7">
            <w:pPr>
              <w:spacing w:before="40" w:after="40"/>
              <w:jc w:val="right"/>
              <w:rPr>
                <w:rFonts w:eastAsia="Times New Roman"/>
                <w:spacing w:val="4"/>
                <w:sz w:val="20"/>
                <w:szCs w:val="20"/>
                <w:lang w:val="en-GB"/>
              </w:rPr>
            </w:pPr>
            <w:r w:rsidRPr="007F69AC">
              <w:rPr>
                <w:rFonts w:eastAsia="Times New Roman"/>
                <w:spacing w:val="4"/>
                <w:sz w:val="20"/>
                <w:szCs w:val="20"/>
                <w:lang w:val="en-GB"/>
              </w:rPr>
              <w:t>28.1%</w:t>
            </w:r>
          </w:p>
        </w:tc>
        <w:tc>
          <w:tcPr>
            <w:tcW w:w="859" w:type="pct"/>
            <w:hideMark/>
          </w:tcPr>
          <w:p w14:paraId="2A4BB80B"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37.7%</w:t>
            </w:r>
          </w:p>
        </w:tc>
        <w:tc>
          <w:tcPr>
            <w:tcW w:w="782" w:type="pct"/>
            <w:hideMark/>
          </w:tcPr>
          <w:p w14:paraId="35E03FA2"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42.5%</w:t>
            </w:r>
          </w:p>
        </w:tc>
      </w:tr>
      <w:tr w:rsidR="001404F7" w:rsidRPr="006447FF" w14:paraId="1BB76A7B" w14:textId="77777777" w:rsidTr="001404F7">
        <w:trPr>
          <w:cnfStyle w:val="000000100000" w:firstRow="0" w:lastRow="0" w:firstColumn="0" w:lastColumn="0" w:oddVBand="0" w:evenVBand="0" w:oddHBand="1" w:evenHBand="0" w:firstRowFirstColumn="0" w:firstRowLastColumn="0" w:lastRowFirstColumn="0" w:lastRowLastColumn="0"/>
        </w:trPr>
        <w:tc>
          <w:tcPr>
            <w:tcW w:w="2266" w:type="pct"/>
            <w:hideMark/>
          </w:tcPr>
          <w:p w14:paraId="57A4E736" w14:textId="77777777" w:rsidR="001404F7" w:rsidRPr="006447FF" w:rsidRDefault="001404F7" w:rsidP="001404F7">
            <w:pPr>
              <w:numPr>
                <w:ilvl w:val="0"/>
                <w:numId w:val="67"/>
              </w:numPr>
              <w:spacing w:before="40" w:after="40"/>
              <w:ind w:left="459"/>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within 12 months</w:t>
            </w:r>
          </w:p>
        </w:tc>
        <w:tc>
          <w:tcPr>
            <w:tcW w:w="1093" w:type="pct"/>
            <w:hideMark/>
          </w:tcPr>
          <w:p w14:paraId="6C46F16F" w14:textId="77777777" w:rsidR="001404F7" w:rsidRPr="007F69AC" w:rsidRDefault="001404F7" w:rsidP="001404F7">
            <w:pPr>
              <w:spacing w:before="40" w:after="40"/>
              <w:jc w:val="right"/>
              <w:rPr>
                <w:rFonts w:eastAsia="Times New Roman" w:cs="Arial"/>
                <w:spacing w:val="4"/>
                <w:sz w:val="20"/>
                <w:szCs w:val="20"/>
                <w:lang w:val="en-GB"/>
              </w:rPr>
            </w:pPr>
            <w:r w:rsidRPr="007F69AC">
              <w:rPr>
                <w:rFonts w:eastAsia="Times New Roman" w:cs="Arial"/>
                <w:spacing w:val="4"/>
                <w:sz w:val="20"/>
                <w:szCs w:val="20"/>
                <w:lang w:val="en-GB"/>
              </w:rPr>
              <w:t>56.4%</w:t>
            </w:r>
          </w:p>
        </w:tc>
        <w:tc>
          <w:tcPr>
            <w:tcW w:w="859" w:type="pct"/>
            <w:hideMark/>
          </w:tcPr>
          <w:p w14:paraId="78A921F6"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61.6%</w:t>
            </w:r>
          </w:p>
        </w:tc>
        <w:tc>
          <w:tcPr>
            <w:tcW w:w="782" w:type="pct"/>
            <w:hideMark/>
          </w:tcPr>
          <w:p w14:paraId="0B88D747"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62.1%</w:t>
            </w:r>
          </w:p>
        </w:tc>
      </w:tr>
    </w:tbl>
    <w:p w14:paraId="667CA030" w14:textId="77777777" w:rsidR="001404F7" w:rsidRPr="00812EC9" w:rsidRDefault="001404F7" w:rsidP="001404F7">
      <w:pPr>
        <w:spacing w:before="160" w:after="60" w:line="240" w:lineRule="auto"/>
        <w:ind w:left="284" w:hanging="284"/>
        <w:contextualSpacing/>
        <w:rPr>
          <w:rFonts w:cs="Arial"/>
          <w:sz w:val="16"/>
          <w:szCs w:val="16"/>
        </w:rPr>
      </w:pPr>
      <w:r w:rsidRPr="00812EC9">
        <w:rPr>
          <w:rFonts w:cs="Arial"/>
          <w:sz w:val="16"/>
          <w:szCs w:val="16"/>
        </w:rPr>
        <w:t>a</w:t>
      </w:r>
      <w:r w:rsidRPr="00812EC9">
        <w:rPr>
          <w:rFonts w:cs="Arial"/>
          <w:sz w:val="16"/>
          <w:szCs w:val="16"/>
        </w:rPr>
        <w:tab/>
      </w:r>
      <w:proofErr w:type="spellStart"/>
      <w:r w:rsidRPr="00812EC9">
        <w:rPr>
          <w:rFonts w:cs="Arial"/>
          <w:sz w:val="16"/>
          <w:szCs w:val="16"/>
        </w:rPr>
        <w:t>JobSeeker</w:t>
      </w:r>
      <w:proofErr w:type="spellEnd"/>
      <w:r w:rsidRPr="00812EC9">
        <w:rPr>
          <w:rFonts w:cs="Arial"/>
          <w:sz w:val="16"/>
          <w:szCs w:val="16"/>
        </w:rPr>
        <w:t xml:space="preserve"> Payment replaced </w:t>
      </w:r>
      <w:proofErr w:type="spellStart"/>
      <w:r w:rsidRPr="00812EC9">
        <w:rPr>
          <w:rFonts w:cs="Arial"/>
          <w:sz w:val="16"/>
          <w:szCs w:val="16"/>
        </w:rPr>
        <w:t>Newstart</w:t>
      </w:r>
      <w:proofErr w:type="spellEnd"/>
      <w:r w:rsidRPr="00812EC9">
        <w:rPr>
          <w:rFonts w:cs="Arial"/>
          <w:sz w:val="16"/>
          <w:szCs w:val="16"/>
        </w:rPr>
        <w:t xml:space="preserve"> Allowance on 20 March 2020.</w:t>
      </w:r>
    </w:p>
    <w:p w14:paraId="561A316B" w14:textId="77777777" w:rsidR="001404F7" w:rsidRPr="00812EC9" w:rsidRDefault="001404F7" w:rsidP="001404F7">
      <w:pPr>
        <w:spacing w:before="160" w:after="60" w:line="240" w:lineRule="auto"/>
        <w:ind w:left="284" w:hanging="284"/>
        <w:contextualSpacing/>
        <w:rPr>
          <w:rFonts w:cs="Arial"/>
          <w:sz w:val="16"/>
          <w:szCs w:val="16"/>
        </w:rPr>
      </w:pPr>
      <w:r w:rsidRPr="00812EC9">
        <w:rPr>
          <w:rFonts w:cs="Arial"/>
          <w:sz w:val="16"/>
          <w:szCs w:val="16"/>
        </w:rPr>
        <w:t>b</w:t>
      </w:r>
      <w:r w:rsidRPr="00812EC9">
        <w:rPr>
          <w:rFonts w:cs="Arial"/>
          <w:sz w:val="16"/>
          <w:szCs w:val="16"/>
        </w:rPr>
        <w:tab/>
        <w:t xml:space="preserve">Includes </w:t>
      </w:r>
      <w:proofErr w:type="spellStart"/>
      <w:r w:rsidRPr="00812EC9">
        <w:rPr>
          <w:rFonts w:cs="Arial"/>
          <w:sz w:val="16"/>
          <w:szCs w:val="16"/>
        </w:rPr>
        <w:t>Newstart</w:t>
      </w:r>
      <w:proofErr w:type="spellEnd"/>
      <w:r w:rsidRPr="00812EC9">
        <w:rPr>
          <w:rFonts w:cs="Arial"/>
          <w:sz w:val="16"/>
          <w:szCs w:val="16"/>
        </w:rPr>
        <w:t xml:space="preserve"> Allowance and </w:t>
      </w:r>
      <w:proofErr w:type="spellStart"/>
      <w:r w:rsidRPr="00812EC9">
        <w:rPr>
          <w:rFonts w:cs="Arial"/>
          <w:sz w:val="16"/>
          <w:szCs w:val="16"/>
        </w:rPr>
        <w:t>JobSeeker</w:t>
      </w:r>
      <w:proofErr w:type="spellEnd"/>
      <w:r w:rsidRPr="00812EC9">
        <w:rPr>
          <w:rFonts w:cs="Arial"/>
          <w:sz w:val="16"/>
          <w:szCs w:val="16"/>
        </w:rPr>
        <w:t xml:space="preserve"> Payment recipients.</w:t>
      </w:r>
    </w:p>
    <w:p w14:paraId="45E6C9DC" w14:textId="77777777" w:rsidR="001404F7" w:rsidRDefault="001404F7" w:rsidP="001404F7">
      <w:pPr>
        <w:spacing w:before="160" w:after="60" w:line="240" w:lineRule="auto"/>
        <w:ind w:left="284" w:hanging="284"/>
        <w:contextualSpacing/>
        <w:rPr>
          <w:rFonts w:cs="Arial"/>
          <w:sz w:val="16"/>
          <w:szCs w:val="16"/>
        </w:rPr>
      </w:pPr>
      <w:r w:rsidRPr="00812EC9">
        <w:rPr>
          <w:rFonts w:cs="Arial"/>
          <w:sz w:val="16"/>
          <w:szCs w:val="16"/>
        </w:rPr>
        <w:t>c</w:t>
      </w:r>
      <w:r w:rsidRPr="00812EC9">
        <w:rPr>
          <w:rFonts w:cs="Arial"/>
          <w:sz w:val="16"/>
          <w:szCs w:val="16"/>
        </w:rPr>
        <w:tab/>
        <w:t xml:space="preserve">Includes </w:t>
      </w:r>
      <w:proofErr w:type="spellStart"/>
      <w:r w:rsidRPr="00812EC9">
        <w:rPr>
          <w:rFonts w:cs="Arial"/>
          <w:sz w:val="16"/>
          <w:szCs w:val="16"/>
        </w:rPr>
        <w:t>Newstart</w:t>
      </w:r>
      <w:proofErr w:type="spellEnd"/>
      <w:r w:rsidRPr="00812EC9">
        <w:rPr>
          <w:rFonts w:cs="Arial"/>
          <w:sz w:val="16"/>
          <w:szCs w:val="16"/>
        </w:rPr>
        <w:t xml:space="preserve"> Allowance recipients only.</w:t>
      </w:r>
    </w:p>
    <w:p w14:paraId="04763C9E" w14:textId="77777777" w:rsidR="001404F7" w:rsidRPr="003F5594" w:rsidRDefault="001404F7" w:rsidP="001404F7">
      <w:pPr>
        <w:spacing w:before="240" w:after="240" w:line="260" w:lineRule="atLeast"/>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t xml:space="preserve">C1.2.4 </w:t>
      </w:r>
      <w:r w:rsidRPr="00812EC9">
        <w:rPr>
          <w:rFonts w:eastAsiaTheme="majorEastAsia" w:cstheme="majorBidi"/>
          <w:b/>
          <w:color w:val="595959" w:themeColor="text1" w:themeTint="A6"/>
          <w:sz w:val="24"/>
          <w:szCs w:val="20"/>
        </w:rPr>
        <w:t>Percentage of recipients reporting</w:t>
      </w:r>
      <w:r w:rsidRPr="003F5594">
        <w:rPr>
          <w:rFonts w:eastAsiaTheme="majorEastAsia" w:cstheme="majorBidi"/>
          <w:b/>
          <w:color w:val="595959" w:themeColor="text1" w:themeTint="A6"/>
          <w:sz w:val="24"/>
          <w:szCs w:val="20"/>
        </w:rPr>
        <w:t xml:space="preserve"> employment income</w:t>
      </w:r>
    </w:p>
    <w:p w14:paraId="470030EC" w14:textId="6BCB6D26" w:rsidR="001404F7" w:rsidRPr="00022526" w:rsidRDefault="001404F7" w:rsidP="001404F7">
      <w:pPr>
        <w:rPr>
          <w:rFonts w:cs="Arial"/>
          <w:sz w:val="20"/>
          <w:szCs w:val="20"/>
        </w:rPr>
      </w:pPr>
      <w:r w:rsidRPr="00022526">
        <w:rPr>
          <w:rFonts w:cs="Arial"/>
          <w:sz w:val="20"/>
          <w:szCs w:val="20"/>
        </w:rPr>
        <w:t xml:space="preserve">This indicator uses receipt of employment income to demonstrate a person’s connection to the workforce. Reporting income from employment is a proxy for improved financial </w:t>
      </w:r>
      <w:proofErr w:type="spellStart"/>
      <w:r w:rsidRPr="00022526">
        <w:rPr>
          <w:rFonts w:cs="Arial"/>
          <w:sz w:val="20"/>
          <w:szCs w:val="20"/>
        </w:rPr>
        <w:t>self</w:t>
      </w:r>
      <w:r w:rsidR="00EB552B">
        <w:rPr>
          <w:rFonts w:cs="Arial"/>
          <w:sz w:val="20"/>
          <w:szCs w:val="20"/>
        </w:rPr>
        <w:t xml:space="preserve"> </w:t>
      </w:r>
      <w:r w:rsidRPr="00022526">
        <w:rPr>
          <w:rFonts w:cs="Arial"/>
          <w:sz w:val="20"/>
          <w:szCs w:val="20"/>
        </w:rPr>
        <w:t>reliance</w:t>
      </w:r>
      <w:proofErr w:type="spellEnd"/>
      <w:r w:rsidRPr="00022526">
        <w:rPr>
          <w:rFonts w:cs="Arial"/>
          <w:sz w:val="20"/>
          <w:szCs w:val="20"/>
        </w:rPr>
        <w:t>.</w:t>
      </w:r>
    </w:p>
    <w:p w14:paraId="6D619810" w14:textId="77777777" w:rsidR="001404F7" w:rsidRPr="00022526" w:rsidRDefault="001404F7" w:rsidP="001404F7">
      <w:pPr>
        <w:rPr>
          <w:rFonts w:cs="Arial"/>
          <w:sz w:val="20"/>
          <w:szCs w:val="20"/>
        </w:rPr>
      </w:pPr>
      <w:r w:rsidRPr="00022526">
        <w:rPr>
          <w:rFonts w:cs="Arial"/>
          <w:sz w:val="20"/>
          <w:szCs w:val="20"/>
        </w:rPr>
        <w:t>The results for this measure will vary by payment. For some groups, such as secondary students, principal carers of children under school age, carers, people with disability</w:t>
      </w:r>
      <w:r>
        <w:rPr>
          <w:rFonts w:cs="Arial"/>
          <w:sz w:val="20"/>
          <w:szCs w:val="20"/>
        </w:rPr>
        <w:t>,</w:t>
      </w:r>
      <w:r w:rsidRPr="00022526">
        <w:rPr>
          <w:rFonts w:cs="Arial"/>
          <w:sz w:val="20"/>
          <w:szCs w:val="20"/>
        </w:rPr>
        <w:t xml:space="preserve"> and seniors</w:t>
      </w:r>
      <w:r>
        <w:rPr>
          <w:rFonts w:cs="Arial"/>
          <w:sz w:val="20"/>
          <w:szCs w:val="20"/>
        </w:rPr>
        <w:t>,</w:t>
      </w:r>
      <w:r w:rsidRPr="00022526">
        <w:rPr>
          <w:rFonts w:cs="Arial"/>
          <w:sz w:val="20"/>
          <w:szCs w:val="20"/>
        </w:rPr>
        <w:t xml:space="preserve"> it is recognised there is a reduced capacity to undertake paid work. Students are provided with additional incentives to work through a higher personal income-free area and income bank. This is consistent with the Government’s objectives of increasing financial self</w:t>
      </w:r>
      <w:r w:rsidRPr="00022526">
        <w:rPr>
          <w:rFonts w:cs="Arial"/>
          <w:sz w:val="20"/>
          <w:szCs w:val="20"/>
        </w:rPr>
        <w:noBreakHyphen/>
        <w:t>reliance.</w:t>
      </w:r>
    </w:p>
    <w:p w14:paraId="06872A0D" w14:textId="77777777" w:rsidR="00D96CDD" w:rsidRDefault="00D96CDD" w:rsidP="001404F7">
      <w:pPr>
        <w:pStyle w:val="Heading7"/>
        <w:sectPr w:rsidR="00D96CDD" w:rsidSect="00585891">
          <w:footnotePr>
            <w:numRestart w:val="eachPage"/>
          </w:footnotePr>
          <w:pgSz w:w="11906" w:h="16838"/>
          <w:pgMar w:top="1440" w:right="1440" w:bottom="1440" w:left="1440" w:header="709" w:footer="709" w:gutter="0"/>
          <w:cols w:space="708"/>
          <w:docGrid w:linePitch="360"/>
        </w:sectPr>
      </w:pPr>
    </w:p>
    <w:p w14:paraId="54137ED8" w14:textId="0A47FB7A" w:rsidR="001404F7" w:rsidRPr="00BF055A" w:rsidRDefault="001404F7" w:rsidP="001404F7">
      <w:pPr>
        <w:pStyle w:val="Heading7"/>
      </w:pPr>
      <w:r w:rsidRPr="00BF055A">
        <w:lastRenderedPageBreak/>
        <w:t>Analysis</w:t>
      </w:r>
    </w:p>
    <w:p w14:paraId="0AF60701" w14:textId="77777777" w:rsidR="001404F7" w:rsidRPr="00022526" w:rsidRDefault="001404F7" w:rsidP="001404F7">
      <w:pPr>
        <w:rPr>
          <w:rFonts w:cs="Arial"/>
          <w:sz w:val="20"/>
          <w:szCs w:val="20"/>
        </w:rPr>
      </w:pPr>
      <w:r w:rsidRPr="00022526">
        <w:rPr>
          <w:rFonts w:cs="Arial"/>
          <w:sz w:val="20"/>
          <w:szCs w:val="20"/>
        </w:rPr>
        <w:t xml:space="preserve">The economic downturn that occurred from March 2020 as a result of the health response to the </w:t>
      </w:r>
      <w:r>
        <w:rPr>
          <w:rFonts w:cs="Arial"/>
          <w:sz w:val="20"/>
          <w:szCs w:val="20"/>
        </w:rPr>
        <w:t>COVID-19</w:t>
      </w:r>
      <w:r w:rsidRPr="00022526">
        <w:rPr>
          <w:rFonts w:cs="Arial"/>
          <w:sz w:val="20"/>
          <w:szCs w:val="20"/>
        </w:rPr>
        <w:t xml:space="preserve"> pandemic has resulted in decreased opportunities for people to take</w:t>
      </w:r>
      <w:r>
        <w:rPr>
          <w:rFonts w:cs="Arial"/>
          <w:sz w:val="20"/>
          <w:szCs w:val="20"/>
        </w:rPr>
        <w:t xml:space="preserve"> </w:t>
      </w:r>
      <w:r w:rsidRPr="00022526">
        <w:rPr>
          <w:rFonts w:cs="Arial"/>
          <w:sz w:val="20"/>
          <w:szCs w:val="20"/>
        </w:rPr>
        <w:t>up paid work.</w:t>
      </w:r>
    </w:p>
    <w:p w14:paraId="1B775F5F" w14:textId="77777777" w:rsidR="001404F7" w:rsidRPr="00022526" w:rsidRDefault="001404F7" w:rsidP="001404F7">
      <w:pPr>
        <w:rPr>
          <w:rFonts w:cs="Arial"/>
          <w:sz w:val="20"/>
          <w:szCs w:val="20"/>
        </w:rPr>
      </w:pPr>
      <w:r w:rsidRPr="00022526">
        <w:rPr>
          <w:rFonts w:cs="Arial"/>
          <w:sz w:val="20"/>
          <w:szCs w:val="20"/>
        </w:rPr>
        <w:t>Only 1.7 per cent of all Special Benefit recipients report employment income as many recipients are over Age Pension age.</w:t>
      </w:r>
    </w:p>
    <w:p w14:paraId="4D928738" w14:textId="77777777" w:rsidR="001404F7" w:rsidRPr="00022526" w:rsidRDefault="001404F7" w:rsidP="001404F7">
      <w:pPr>
        <w:rPr>
          <w:rFonts w:cs="Arial"/>
          <w:sz w:val="20"/>
          <w:szCs w:val="20"/>
        </w:rPr>
      </w:pPr>
      <w:r w:rsidRPr="00022526">
        <w:rPr>
          <w:rFonts w:cs="Arial"/>
          <w:sz w:val="20"/>
          <w:szCs w:val="20"/>
        </w:rPr>
        <w:t>The proportion of Age Pension recipients reporting employment income in 2019–20 has declined to 4.0 per cent after being relatively steady in the previous two years (4.2 per cent in 2017–18, 4.3 per cent in 2018–19).</w:t>
      </w:r>
    </w:p>
    <w:p w14:paraId="095A42AB" w14:textId="77777777" w:rsidR="001404F7" w:rsidRPr="00022526" w:rsidRDefault="001404F7" w:rsidP="001404F7">
      <w:pPr>
        <w:rPr>
          <w:rFonts w:cs="Arial"/>
          <w:sz w:val="20"/>
          <w:szCs w:val="20"/>
        </w:rPr>
      </w:pPr>
      <w:r w:rsidRPr="00022526">
        <w:rPr>
          <w:rFonts w:cs="Arial"/>
          <w:sz w:val="20"/>
          <w:szCs w:val="20"/>
        </w:rPr>
        <w:t xml:space="preserve">Disability Support Pension recipients reporting employment income continued to decline to 6.9 per cent in 2019–20 from previous years (8.0 per cent in 2017–18 and 7.8 per cent in 2018–19). The low proportion of recipients reporting employment income reflects that </w:t>
      </w:r>
      <w:r>
        <w:rPr>
          <w:rFonts w:cs="Arial"/>
          <w:sz w:val="20"/>
          <w:szCs w:val="20"/>
        </w:rPr>
        <w:t xml:space="preserve">the </w:t>
      </w:r>
      <w:r w:rsidRPr="00022526">
        <w:rPr>
          <w:rFonts w:cs="Arial"/>
          <w:sz w:val="20"/>
          <w:szCs w:val="20"/>
        </w:rPr>
        <w:t>Disability Support Pension is designed to support those with limited capacity to work.</w:t>
      </w:r>
    </w:p>
    <w:p w14:paraId="66BC4CFF" w14:textId="77777777" w:rsidR="001404F7" w:rsidRPr="00022526" w:rsidRDefault="001404F7" w:rsidP="001404F7">
      <w:pPr>
        <w:rPr>
          <w:rFonts w:cs="Arial"/>
          <w:sz w:val="20"/>
          <w:szCs w:val="20"/>
        </w:rPr>
      </w:pPr>
      <w:r w:rsidRPr="00022526">
        <w:rPr>
          <w:rFonts w:cs="Arial"/>
          <w:sz w:val="20"/>
          <w:szCs w:val="20"/>
        </w:rPr>
        <w:t>The low percentage of Carer Payment recipients reporting employment income (between 8.3 and 9.3 per cent over the past three financial years) reflects the targeting of the payment to carers who have limited capacity to engage in employment.</w:t>
      </w:r>
    </w:p>
    <w:p w14:paraId="60E2B949" w14:textId="77777777" w:rsidR="001404F7" w:rsidRPr="00022526" w:rsidRDefault="001404F7" w:rsidP="001404F7">
      <w:pPr>
        <w:rPr>
          <w:rFonts w:cs="Arial"/>
          <w:sz w:val="20"/>
          <w:szCs w:val="20"/>
        </w:rPr>
      </w:pPr>
      <w:r w:rsidRPr="00022526">
        <w:rPr>
          <w:rFonts w:cs="Arial"/>
          <w:sz w:val="20"/>
          <w:szCs w:val="20"/>
        </w:rPr>
        <w:t>The proportion of working</w:t>
      </w:r>
      <w:r>
        <w:rPr>
          <w:rFonts w:cs="Arial"/>
          <w:sz w:val="20"/>
          <w:szCs w:val="20"/>
        </w:rPr>
        <w:t xml:space="preserve"> </w:t>
      </w:r>
      <w:r w:rsidRPr="00022526">
        <w:rPr>
          <w:rFonts w:cs="Arial"/>
          <w:sz w:val="20"/>
          <w:szCs w:val="20"/>
        </w:rPr>
        <w:t xml:space="preserve">age payment recipients reporting employment income has generally remained steady, although there was a slight fall for </w:t>
      </w:r>
      <w:proofErr w:type="spellStart"/>
      <w:r w:rsidRPr="00022526">
        <w:rPr>
          <w:rFonts w:cs="Arial"/>
          <w:sz w:val="20"/>
          <w:szCs w:val="20"/>
        </w:rPr>
        <w:t>Newstart</w:t>
      </w:r>
      <w:proofErr w:type="spellEnd"/>
      <w:r w:rsidRPr="00022526">
        <w:rPr>
          <w:rFonts w:cs="Arial"/>
          <w:sz w:val="20"/>
          <w:szCs w:val="20"/>
        </w:rPr>
        <w:t xml:space="preserve"> Allowance/</w:t>
      </w:r>
      <w:proofErr w:type="spellStart"/>
      <w:r w:rsidRPr="00022526">
        <w:rPr>
          <w:rFonts w:cs="Arial"/>
          <w:sz w:val="20"/>
          <w:szCs w:val="20"/>
        </w:rPr>
        <w:t>Job</w:t>
      </w:r>
      <w:r>
        <w:rPr>
          <w:rFonts w:cs="Arial"/>
          <w:sz w:val="20"/>
          <w:szCs w:val="20"/>
        </w:rPr>
        <w:t>S</w:t>
      </w:r>
      <w:r w:rsidRPr="00022526">
        <w:rPr>
          <w:rFonts w:cs="Arial"/>
          <w:sz w:val="20"/>
          <w:szCs w:val="20"/>
        </w:rPr>
        <w:t>eeker</w:t>
      </w:r>
      <w:proofErr w:type="spellEnd"/>
      <w:r w:rsidRPr="00022526">
        <w:rPr>
          <w:rFonts w:cs="Arial"/>
          <w:sz w:val="20"/>
          <w:szCs w:val="20"/>
        </w:rPr>
        <w:t xml:space="preserve"> Payment.</w:t>
      </w:r>
    </w:p>
    <w:p w14:paraId="74EB1FE0" w14:textId="77777777" w:rsidR="001404F7" w:rsidRPr="00022526" w:rsidRDefault="001404F7" w:rsidP="001404F7">
      <w:pPr>
        <w:rPr>
          <w:rFonts w:cs="Arial"/>
          <w:sz w:val="20"/>
          <w:szCs w:val="20"/>
        </w:rPr>
      </w:pPr>
      <w:r w:rsidRPr="00022526">
        <w:rPr>
          <w:rFonts w:cs="Arial"/>
          <w:sz w:val="20"/>
          <w:szCs w:val="20"/>
        </w:rPr>
        <w:t>Parenting Payment Partnered, Sickness Allowance, Partner Allowance and Widow Allowance recipients are less likely to have employment income as these recipients are not subject to mutual obligation requirements.</w:t>
      </w:r>
    </w:p>
    <w:p w14:paraId="7B32C5F7" w14:textId="77777777" w:rsidR="001404F7" w:rsidRPr="00022526" w:rsidRDefault="001404F7" w:rsidP="001404F7">
      <w:pPr>
        <w:rPr>
          <w:rFonts w:cs="Arial"/>
          <w:sz w:val="20"/>
          <w:szCs w:val="20"/>
        </w:rPr>
      </w:pPr>
      <w:r w:rsidRPr="00022526">
        <w:rPr>
          <w:rFonts w:cs="Arial"/>
          <w:sz w:val="20"/>
          <w:szCs w:val="20"/>
        </w:rPr>
        <w:t>Parenting Payment Single has a higher income limit than other working</w:t>
      </w:r>
      <w:r>
        <w:rPr>
          <w:rFonts w:cs="Arial"/>
          <w:sz w:val="20"/>
          <w:szCs w:val="20"/>
        </w:rPr>
        <w:t xml:space="preserve"> </w:t>
      </w:r>
      <w:r w:rsidRPr="00022526">
        <w:rPr>
          <w:rFonts w:cs="Arial"/>
          <w:sz w:val="20"/>
          <w:szCs w:val="20"/>
        </w:rPr>
        <w:t>age payments, which allows recipients with higher levels of earnings to remain entitled to the payment.</w:t>
      </w:r>
    </w:p>
    <w:p w14:paraId="65E17CA7" w14:textId="77777777" w:rsidR="001404F7" w:rsidRPr="00D47E5B"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Pr>
          <w:rFonts w:ascii="Arial Narrow" w:eastAsia="Times New Roman" w:hAnsi="Arial Narrow" w:cs="Times New Roman"/>
          <w:b/>
          <w:bCs/>
          <w:spacing w:val="4"/>
          <w:sz w:val="20"/>
          <w:szCs w:val="18"/>
          <w:lang w:eastAsia="en-AU"/>
        </w:rPr>
        <w:t>Table 2.1.8</w:t>
      </w:r>
      <w:r w:rsidRPr="00D47E5B">
        <w:rPr>
          <w:rFonts w:ascii="Arial Narrow" w:eastAsia="Times New Roman" w:hAnsi="Arial Narrow" w:cs="Times New Roman"/>
          <w:b/>
          <w:bCs/>
          <w:spacing w:val="4"/>
          <w:sz w:val="20"/>
          <w:szCs w:val="18"/>
          <w:lang w:eastAsia="en-AU"/>
        </w:rPr>
        <w:t>: Percentage of recipients reporting employment income</w:t>
      </w:r>
    </w:p>
    <w:tbl>
      <w:tblPr>
        <w:tblStyle w:val="HHorizontaltable1"/>
        <w:tblW w:w="4613" w:type="pct"/>
        <w:tblLook w:val="04A0" w:firstRow="1" w:lastRow="0" w:firstColumn="1" w:lastColumn="0" w:noHBand="0" w:noVBand="1"/>
        <w:tblCaption w:val="Table 2.1.8: Percentage of recipients reporting employment income"/>
        <w:tblDescription w:val="Table 2.1.8: Percentage of recipients reporting employment income"/>
      </w:tblPr>
      <w:tblGrid>
        <w:gridCol w:w="4213"/>
        <w:gridCol w:w="1391"/>
        <w:gridCol w:w="1384"/>
        <w:gridCol w:w="1339"/>
      </w:tblGrid>
      <w:tr w:rsidR="001404F7" w:rsidRPr="004A6BB3" w14:paraId="273883F3" w14:textId="77777777" w:rsidTr="001404F7">
        <w:trPr>
          <w:cnfStyle w:val="100000000000" w:firstRow="1" w:lastRow="0" w:firstColumn="0" w:lastColumn="0" w:oddVBand="0" w:evenVBand="0" w:oddHBand="0" w:evenHBand="0" w:firstRowFirstColumn="0" w:firstRowLastColumn="0" w:lastRowFirstColumn="0" w:lastRowLastColumn="0"/>
          <w:trHeight w:val="75"/>
        </w:trPr>
        <w:tc>
          <w:tcPr>
            <w:tcW w:w="2530" w:type="pct"/>
            <w:hideMark/>
          </w:tcPr>
          <w:p w14:paraId="1678107A" w14:textId="77777777" w:rsidR="001404F7" w:rsidRPr="00D13460" w:rsidRDefault="001404F7" w:rsidP="001404F7">
            <w:pPr>
              <w:keepNext/>
              <w:keepLines/>
              <w:spacing w:before="40" w:after="40"/>
              <w:rPr>
                <w:rFonts w:eastAsia="Times New Roman"/>
                <w:sz w:val="20"/>
                <w:szCs w:val="20"/>
              </w:rPr>
            </w:pPr>
            <w:r w:rsidRPr="00D13460">
              <w:rPr>
                <w:rFonts w:eastAsia="Times New Roman"/>
                <w:sz w:val="20"/>
                <w:szCs w:val="20"/>
              </w:rPr>
              <w:t>Outcome performance measure</w:t>
            </w:r>
          </w:p>
        </w:tc>
        <w:tc>
          <w:tcPr>
            <w:tcW w:w="835" w:type="pct"/>
            <w:hideMark/>
          </w:tcPr>
          <w:p w14:paraId="171CCAD3" w14:textId="77777777" w:rsidR="001404F7" w:rsidRPr="00D13460" w:rsidRDefault="001404F7" w:rsidP="001404F7">
            <w:pPr>
              <w:keepNext/>
              <w:keepLines/>
              <w:spacing w:before="40" w:after="40"/>
              <w:jc w:val="right"/>
              <w:rPr>
                <w:rFonts w:eastAsia="Times New Roman"/>
                <w:sz w:val="20"/>
                <w:szCs w:val="20"/>
              </w:rPr>
            </w:pPr>
            <w:r w:rsidRPr="00D13460">
              <w:rPr>
                <w:rFonts w:eastAsia="Times New Roman"/>
                <w:sz w:val="20"/>
                <w:szCs w:val="20"/>
              </w:rPr>
              <w:t>2019–20</w:t>
            </w:r>
          </w:p>
        </w:tc>
        <w:tc>
          <w:tcPr>
            <w:tcW w:w="831" w:type="pct"/>
            <w:hideMark/>
          </w:tcPr>
          <w:p w14:paraId="469DC476" w14:textId="77777777" w:rsidR="001404F7" w:rsidRPr="00D13460" w:rsidRDefault="001404F7" w:rsidP="001404F7">
            <w:pPr>
              <w:keepNext/>
              <w:keepLines/>
              <w:spacing w:before="40" w:after="40"/>
              <w:jc w:val="right"/>
              <w:rPr>
                <w:rFonts w:eastAsia="Times New Roman"/>
                <w:sz w:val="20"/>
                <w:szCs w:val="20"/>
              </w:rPr>
            </w:pPr>
            <w:r w:rsidRPr="00D13460">
              <w:rPr>
                <w:rFonts w:eastAsia="Times New Roman"/>
                <w:sz w:val="20"/>
                <w:szCs w:val="20"/>
              </w:rPr>
              <w:t>2018–19</w:t>
            </w:r>
          </w:p>
        </w:tc>
        <w:tc>
          <w:tcPr>
            <w:tcW w:w="804" w:type="pct"/>
            <w:hideMark/>
          </w:tcPr>
          <w:p w14:paraId="2D86CB78" w14:textId="77777777" w:rsidR="001404F7" w:rsidRPr="00D13460" w:rsidRDefault="001404F7" w:rsidP="001404F7">
            <w:pPr>
              <w:keepNext/>
              <w:keepLines/>
              <w:spacing w:before="40" w:after="40"/>
              <w:jc w:val="right"/>
              <w:rPr>
                <w:rFonts w:eastAsia="Times New Roman"/>
                <w:sz w:val="20"/>
                <w:szCs w:val="20"/>
              </w:rPr>
            </w:pPr>
            <w:r w:rsidRPr="00D13460">
              <w:rPr>
                <w:rFonts w:eastAsia="Times New Roman"/>
                <w:sz w:val="20"/>
                <w:szCs w:val="20"/>
              </w:rPr>
              <w:t>2017–18</w:t>
            </w:r>
          </w:p>
        </w:tc>
      </w:tr>
      <w:tr w:rsidR="001404F7" w:rsidRPr="006447FF" w14:paraId="0C250B15"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4"/>
            <w:tcBorders>
              <w:bottom w:val="single" w:sz="12" w:space="0" w:color="00B0B9"/>
            </w:tcBorders>
            <w:hideMark/>
          </w:tcPr>
          <w:p w14:paraId="3E2AD473"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b/>
                <w:color w:val="000000" w:themeColor="text1"/>
                <w:spacing w:val="4"/>
                <w:sz w:val="20"/>
                <w:szCs w:val="20"/>
                <w:lang w:val="en-GB"/>
              </w:rPr>
              <w:t>Income Support for Vulnerable People</w:t>
            </w:r>
          </w:p>
        </w:tc>
      </w:tr>
      <w:tr w:rsidR="001404F7" w:rsidRPr="006447FF" w14:paraId="046A006F" w14:textId="77777777" w:rsidTr="001404F7">
        <w:trPr>
          <w:cnfStyle w:val="000000010000" w:firstRow="0" w:lastRow="0" w:firstColumn="0" w:lastColumn="0" w:oddVBand="0" w:evenVBand="0" w:oddHBand="0" w:evenHBand="1" w:firstRowFirstColumn="0" w:firstRowLastColumn="0" w:lastRowFirstColumn="0" w:lastRowLastColumn="0"/>
        </w:trPr>
        <w:tc>
          <w:tcPr>
            <w:tcW w:w="2530" w:type="pct"/>
            <w:tcBorders>
              <w:top w:val="single" w:sz="12" w:space="0" w:color="00B0B9"/>
              <w:bottom w:val="single" w:sz="4" w:space="0" w:color="FFFFFF" w:themeColor="background1"/>
            </w:tcBorders>
            <w:hideMark/>
          </w:tcPr>
          <w:p w14:paraId="0426ED2A"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Special Benefit</w:t>
            </w:r>
          </w:p>
        </w:tc>
        <w:tc>
          <w:tcPr>
            <w:tcW w:w="835" w:type="pct"/>
            <w:tcBorders>
              <w:top w:val="single" w:sz="12" w:space="0" w:color="00B0B9"/>
              <w:bottom w:val="single" w:sz="4" w:space="0" w:color="FFFFFF" w:themeColor="background1"/>
            </w:tcBorders>
            <w:hideMark/>
          </w:tcPr>
          <w:p w14:paraId="64651123" w14:textId="77777777" w:rsidR="001404F7" w:rsidRPr="007F69AC" w:rsidRDefault="001404F7" w:rsidP="001404F7">
            <w:pPr>
              <w:spacing w:before="40" w:after="40"/>
              <w:jc w:val="right"/>
              <w:rPr>
                <w:rFonts w:eastAsia="Times New Roman"/>
                <w:spacing w:val="4"/>
                <w:sz w:val="20"/>
                <w:szCs w:val="20"/>
                <w:lang w:val="en-GB"/>
              </w:rPr>
            </w:pPr>
            <w:r w:rsidRPr="007F69AC">
              <w:rPr>
                <w:rFonts w:eastAsia="Times New Roman"/>
                <w:spacing w:val="4"/>
                <w:sz w:val="20"/>
                <w:szCs w:val="20"/>
                <w:lang w:val="en-GB"/>
              </w:rPr>
              <w:t>1.7%</w:t>
            </w:r>
          </w:p>
        </w:tc>
        <w:tc>
          <w:tcPr>
            <w:tcW w:w="831" w:type="pct"/>
            <w:tcBorders>
              <w:top w:val="single" w:sz="12" w:space="0" w:color="00B0B9"/>
              <w:bottom w:val="single" w:sz="4" w:space="0" w:color="FFFFFF" w:themeColor="background1"/>
            </w:tcBorders>
            <w:hideMark/>
          </w:tcPr>
          <w:p w14:paraId="144F645A" w14:textId="77777777" w:rsidR="001404F7" w:rsidRPr="006447FF" w:rsidRDefault="001404F7" w:rsidP="001404F7">
            <w:pPr>
              <w:spacing w:before="40" w:after="40"/>
              <w:jc w:val="right"/>
              <w:rPr>
                <w:rFonts w:eastAsia="Times New Roman"/>
                <w:color w:val="000000" w:themeColor="text1"/>
                <w:spacing w:val="4"/>
                <w:sz w:val="20"/>
                <w:szCs w:val="20"/>
                <w:lang w:val="en-GB"/>
              </w:rPr>
            </w:pPr>
            <w:r>
              <w:rPr>
                <w:rFonts w:eastAsia="Times New Roman"/>
                <w:color w:val="000000" w:themeColor="text1"/>
                <w:spacing w:val="4"/>
                <w:sz w:val="20"/>
                <w:szCs w:val="20"/>
                <w:lang w:val="en-GB"/>
              </w:rPr>
              <w:t>1.6</w:t>
            </w:r>
            <w:r w:rsidRPr="006447FF">
              <w:rPr>
                <w:rFonts w:eastAsia="Times New Roman"/>
                <w:color w:val="000000" w:themeColor="text1"/>
                <w:spacing w:val="4"/>
                <w:sz w:val="20"/>
                <w:szCs w:val="20"/>
                <w:lang w:val="en-GB"/>
              </w:rPr>
              <w:t>%</w:t>
            </w:r>
          </w:p>
        </w:tc>
        <w:tc>
          <w:tcPr>
            <w:tcW w:w="804" w:type="pct"/>
            <w:tcBorders>
              <w:top w:val="single" w:sz="12" w:space="0" w:color="00B0B9"/>
              <w:bottom w:val="single" w:sz="4" w:space="0" w:color="FFFFFF" w:themeColor="background1"/>
            </w:tcBorders>
            <w:hideMark/>
          </w:tcPr>
          <w:p w14:paraId="44C9951B"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1.5%</w:t>
            </w:r>
          </w:p>
        </w:tc>
      </w:tr>
      <w:tr w:rsidR="001404F7" w:rsidRPr="006447FF" w14:paraId="0701FE4A"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4"/>
            <w:tcBorders>
              <w:top w:val="single" w:sz="4" w:space="0" w:color="FFFFFF" w:themeColor="background1"/>
              <w:bottom w:val="single" w:sz="12" w:space="0" w:color="00B0B9"/>
            </w:tcBorders>
            <w:hideMark/>
          </w:tcPr>
          <w:p w14:paraId="719F4AB5"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b/>
                <w:color w:val="000000" w:themeColor="text1"/>
                <w:spacing w:val="4"/>
                <w:sz w:val="20"/>
                <w:szCs w:val="20"/>
                <w:lang w:val="en-GB"/>
              </w:rPr>
              <w:t>Income Support for Seniors</w:t>
            </w:r>
          </w:p>
        </w:tc>
      </w:tr>
      <w:tr w:rsidR="001404F7" w:rsidRPr="006447FF" w14:paraId="6B6C44CB" w14:textId="77777777" w:rsidTr="001404F7">
        <w:trPr>
          <w:cnfStyle w:val="000000010000" w:firstRow="0" w:lastRow="0" w:firstColumn="0" w:lastColumn="0" w:oddVBand="0" w:evenVBand="0" w:oddHBand="0" w:evenHBand="1" w:firstRowFirstColumn="0" w:firstRowLastColumn="0" w:lastRowFirstColumn="0" w:lastRowLastColumn="0"/>
        </w:trPr>
        <w:tc>
          <w:tcPr>
            <w:tcW w:w="2530" w:type="pct"/>
            <w:tcBorders>
              <w:top w:val="single" w:sz="12" w:space="0" w:color="00B0B9"/>
              <w:bottom w:val="single" w:sz="4" w:space="0" w:color="FFFFFF" w:themeColor="background1"/>
            </w:tcBorders>
            <w:hideMark/>
          </w:tcPr>
          <w:p w14:paraId="72850C29"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Age Pension (new entrants)</w:t>
            </w:r>
          </w:p>
        </w:tc>
        <w:tc>
          <w:tcPr>
            <w:tcW w:w="835" w:type="pct"/>
            <w:tcBorders>
              <w:top w:val="single" w:sz="12" w:space="0" w:color="00B0B9"/>
              <w:bottom w:val="single" w:sz="4" w:space="0" w:color="FFFFFF" w:themeColor="background1"/>
            </w:tcBorders>
            <w:hideMark/>
          </w:tcPr>
          <w:p w14:paraId="75307255" w14:textId="77777777" w:rsidR="001404F7" w:rsidRPr="006176A5" w:rsidRDefault="001404F7" w:rsidP="001404F7">
            <w:pPr>
              <w:spacing w:before="40"/>
              <w:jc w:val="right"/>
              <w:rPr>
                <w:rFonts w:eastAsia="Times New Roman"/>
                <w:spacing w:val="4"/>
                <w:sz w:val="20"/>
                <w:szCs w:val="20"/>
                <w:lang w:val="en-GB"/>
              </w:rPr>
            </w:pPr>
            <w:r w:rsidRPr="006176A5">
              <w:rPr>
                <w:sz w:val="20"/>
                <w:szCs w:val="20"/>
              </w:rPr>
              <w:t>10.0%</w:t>
            </w:r>
          </w:p>
        </w:tc>
        <w:tc>
          <w:tcPr>
            <w:tcW w:w="831" w:type="pct"/>
            <w:tcBorders>
              <w:top w:val="single" w:sz="12" w:space="0" w:color="00B0B9"/>
              <w:bottom w:val="single" w:sz="4" w:space="0" w:color="FFFFFF" w:themeColor="background1"/>
            </w:tcBorders>
            <w:hideMark/>
          </w:tcPr>
          <w:p w14:paraId="5E9F2761" w14:textId="77777777" w:rsidR="001404F7" w:rsidRPr="006447FF" w:rsidRDefault="001404F7" w:rsidP="001404F7">
            <w:pPr>
              <w:spacing w:before="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9.8%</w:t>
            </w:r>
          </w:p>
        </w:tc>
        <w:tc>
          <w:tcPr>
            <w:tcW w:w="804" w:type="pct"/>
            <w:tcBorders>
              <w:top w:val="single" w:sz="12" w:space="0" w:color="00B0B9"/>
              <w:bottom w:val="single" w:sz="4" w:space="0" w:color="FFFFFF" w:themeColor="background1"/>
            </w:tcBorders>
            <w:hideMark/>
          </w:tcPr>
          <w:p w14:paraId="1AB6A1DC"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9.4%</w:t>
            </w:r>
          </w:p>
        </w:tc>
      </w:tr>
      <w:tr w:rsidR="001404F7" w:rsidRPr="006447FF" w14:paraId="4C2DA12D" w14:textId="77777777" w:rsidTr="001404F7">
        <w:trPr>
          <w:cnfStyle w:val="000000100000" w:firstRow="0" w:lastRow="0" w:firstColumn="0" w:lastColumn="0" w:oddVBand="0" w:evenVBand="0" w:oddHBand="1" w:evenHBand="0" w:firstRowFirstColumn="0" w:firstRowLastColumn="0" w:lastRowFirstColumn="0" w:lastRowLastColumn="0"/>
        </w:trPr>
        <w:tc>
          <w:tcPr>
            <w:tcW w:w="2530" w:type="pct"/>
            <w:tcBorders>
              <w:top w:val="single" w:sz="4" w:space="0" w:color="FFFFFF" w:themeColor="background1"/>
            </w:tcBorders>
            <w:hideMark/>
          </w:tcPr>
          <w:p w14:paraId="339811B7"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Age Pension (all recipients)</w:t>
            </w:r>
          </w:p>
        </w:tc>
        <w:tc>
          <w:tcPr>
            <w:tcW w:w="835" w:type="pct"/>
            <w:tcBorders>
              <w:top w:val="single" w:sz="4" w:space="0" w:color="FFFFFF" w:themeColor="background1"/>
            </w:tcBorders>
            <w:hideMark/>
          </w:tcPr>
          <w:p w14:paraId="6BEC5798" w14:textId="77777777" w:rsidR="001404F7" w:rsidRPr="006176A5" w:rsidRDefault="001404F7" w:rsidP="001404F7">
            <w:pPr>
              <w:spacing w:before="40" w:after="40"/>
              <w:jc w:val="right"/>
              <w:rPr>
                <w:rFonts w:eastAsia="Times New Roman" w:cs="Arial"/>
                <w:spacing w:val="4"/>
                <w:sz w:val="20"/>
                <w:szCs w:val="20"/>
                <w:lang w:val="en-GB"/>
              </w:rPr>
            </w:pPr>
            <w:r w:rsidRPr="006176A5">
              <w:rPr>
                <w:sz w:val="20"/>
                <w:szCs w:val="20"/>
              </w:rPr>
              <w:t>4.0%</w:t>
            </w:r>
          </w:p>
        </w:tc>
        <w:tc>
          <w:tcPr>
            <w:tcW w:w="831" w:type="pct"/>
            <w:tcBorders>
              <w:top w:val="single" w:sz="4" w:space="0" w:color="FFFFFF" w:themeColor="background1"/>
            </w:tcBorders>
            <w:hideMark/>
          </w:tcPr>
          <w:p w14:paraId="64E9524F"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4.3%</w:t>
            </w:r>
          </w:p>
        </w:tc>
        <w:tc>
          <w:tcPr>
            <w:tcW w:w="804" w:type="pct"/>
            <w:tcBorders>
              <w:top w:val="single" w:sz="4" w:space="0" w:color="FFFFFF" w:themeColor="background1"/>
            </w:tcBorders>
            <w:hideMark/>
          </w:tcPr>
          <w:p w14:paraId="660796B6"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4.2%</w:t>
            </w:r>
          </w:p>
        </w:tc>
      </w:tr>
      <w:tr w:rsidR="001404F7" w:rsidRPr="006447FF" w14:paraId="7BE23C88"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4"/>
            <w:tcBorders>
              <w:bottom w:val="single" w:sz="12" w:space="0" w:color="00B0B9"/>
            </w:tcBorders>
            <w:hideMark/>
          </w:tcPr>
          <w:p w14:paraId="0D8D2C1E"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b/>
                <w:color w:val="000000" w:themeColor="text1"/>
                <w:spacing w:val="4"/>
                <w:sz w:val="20"/>
                <w:szCs w:val="20"/>
                <w:lang w:val="en-GB"/>
              </w:rPr>
              <w:t>Income Support for People with Disability</w:t>
            </w:r>
          </w:p>
        </w:tc>
      </w:tr>
      <w:tr w:rsidR="001404F7" w:rsidRPr="006447FF" w14:paraId="03E0D925" w14:textId="77777777" w:rsidTr="001404F7">
        <w:trPr>
          <w:cnfStyle w:val="000000100000" w:firstRow="0" w:lastRow="0" w:firstColumn="0" w:lastColumn="0" w:oddVBand="0" w:evenVBand="0" w:oddHBand="1" w:evenHBand="0" w:firstRowFirstColumn="0" w:firstRowLastColumn="0" w:lastRowFirstColumn="0" w:lastRowLastColumn="0"/>
        </w:trPr>
        <w:tc>
          <w:tcPr>
            <w:tcW w:w="2530" w:type="pct"/>
            <w:tcBorders>
              <w:top w:val="single" w:sz="12" w:space="0" w:color="00B0B9"/>
              <w:bottom w:val="single" w:sz="4" w:space="0" w:color="FFFFFF" w:themeColor="background1"/>
            </w:tcBorders>
            <w:hideMark/>
          </w:tcPr>
          <w:p w14:paraId="3139321B"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Disability Support Pension</w:t>
            </w:r>
          </w:p>
        </w:tc>
        <w:tc>
          <w:tcPr>
            <w:tcW w:w="835" w:type="pct"/>
            <w:tcBorders>
              <w:top w:val="single" w:sz="12" w:space="0" w:color="00B0B9"/>
              <w:bottom w:val="single" w:sz="4" w:space="0" w:color="FFFFFF" w:themeColor="background1"/>
            </w:tcBorders>
            <w:hideMark/>
          </w:tcPr>
          <w:p w14:paraId="7A4403A8" w14:textId="77777777" w:rsidR="001404F7" w:rsidRPr="00C651AE" w:rsidRDefault="001404F7" w:rsidP="001404F7">
            <w:pPr>
              <w:spacing w:before="40" w:after="40"/>
              <w:jc w:val="right"/>
              <w:rPr>
                <w:rFonts w:eastAsia="Times New Roman" w:cs="Arial"/>
                <w:spacing w:val="4"/>
                <w:sz w:val="20"/>
                <w:szCs w:val="20"/>
                <w:lang w:val="en-GB"/>
              </w:rPr>
            </w:pPr>
            <w:r w:rsidRPr="00C651AE">
              <w:rPr>
                <w:rFonts w:eastAsia="Times New Roman" w:cs="Arial"/>
                <w:spacing w:val="4"/>
                <w:sz w:val="20"/>
                <w:szCs w:val="20"/>
                <w:lang w:val="en-GB"/>
              </w:rPr>
              <w:t>6.9%</w:t>
            </w:r>
          </w:p>
        </w:tc>
        <w:tc>
          <w:tcPr>
            <w:tcW w:w="831" w:type="pct"/>
            <w:tcBorders>
              <w:top w:val="single" w:sz="12" w:space="0" w:color="00B0B9"/>
              <w:bottom w:val="single" w:sz="4" w:space="0" w:color="FFFFFF" w:themeColor="background1"/>
            </w:tcBorders>
            <w:hideMark/>
          </w:tcPr>
          <w:p w14:paraId="1E4D39AC" w14:textId="77777777" w:rsidR="001404F7" w:rsidRPr="00C651AE" w:rsidRDefault="001404F7" w:rsidP="001404F7">
            <w:pPr>
              <w:spacing w:before="40" w:after="40"/>
              <w:jc w:val="right"/>
              <w:rPr>
                <w:rFonts w:eastAsia="Times New Roman" w:cs="Arial"/>
                <w:spacing w:val="4"/>
                <w:sz w:val="20"/>
                <w:szCs w:val="20"/>
                <w:lang w:val="en-GB"/>
              </w:rPr>
            </w:pPr>
            <w:r w:rsidRPr="00C651AE">
              <w:rPr>
                <w:rFonts w:eastAsia="Times New Roman" w:cs="Arial"/>
                <w:spacing w:val="4"/>
                <w:sz w:val="20"/>
                <w:szCs w:val="20"/>
                <w:lang w:val="en-GB"/>
              </w:rPr>
              <w:t>7.8%</w:t>
            </w:r>
          </w:p>
        </w:tc>
        <w:tc>
          <w:tcPr>
            <w:tcW w:w="804" w:type="pct"/>
            <w:tcBorders>
              <w:top w:val="single" w:sz="12" w:space="0" w:color="00B0B9"/>
              <w:bottom w:val="single" w:sz="4" w:space="0" w:color="FFFFFF" w:themeColor="background1"/>
            </w:tcBorders>
            <w:hideMark/>
          </w:tcPr>
          <w:p w14:paraId="13AA35DB" w14:textId="77777777" w:rsidR="001404F7" w:rsidRPr="00C651AE" w:rsidRDefault="001404F7" w:rsidP="001404F7">
            <w:pPr>
              <w:spacing w:before="40" w:after="40"/>
              <w:jc w:val="right"/>
              <w:rPr>
                <w:rFonts w:eastAsia="Times New Roman" w:cs="Arial"/>
                <w:spacing w:val="4"/>
                <w:sz w:val="20"/>
                <w:szCs w:val="20"/>
                <w:lang w:val="en-GB"/>
              </w:rPr>
            </w:pPr>
            <w:r w:rsidRPr="00C651AE">
              <w:rPr>
                <w:rFonts w:eastAsia="Times New Roman" w:cs="Arial"/>
                <w:spacing w:val="4"/>
                <w:sz w:val="20"/>
                <w:szCs w:val="20"/>
                <w:lang w:val="en-GB"/>
              </w:rPr>
              <w:t>8.0%</w:t>
            </w:r>
          </w:p>
        </w:tc>
      </w:tr>
      <w:tr w:rsidR="001404F7" w:rsidRPr="006447FF" w14:paraId="195F2910"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4"/>
            <w:tcBorders>
              <w:top w:val="single" w:sz="4" w:space="0" w:color="FFFFFF" w:themeColor="background1"/>
              <w:bottom w:val="single" w:sz="12" w:space="0" w:color="00B0B9"/>
            </w:tcBorders>
            <w:hideMark/>
          </w:tcPr>
          <w:p w14:paraId="63F717F6"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b/>
                <w:color w:val="000000" w:themeColor="text1"/>
                <w:spacing w:val="4"/>
                <w:sz w:val="20"/>
                <w:szCs w:val="20"/>
                <w:lang w:val="en-GB"/>
              </w:rPr>
              <w:t>Income Support for Carers</w:t>
            </w:r>
          </w:p>
        </w:tc>
      </w:tr>
      <w:tr w:rsidR="001404F7" w:rsidRPr="006447FF" w14:paraId="1F2A2631" w14:textId="77777777" w:rsidTr="001404F7">
        <w:trPr>
          <w:cnfStyle w:val="000000100000" w:firstRow="0" w:lastRow="0" w:firstColumn="0" w:lastColumn="0" w:oddVBand="0" w:evenVBand="0" w:oddHBand="1" w:evenHBand="0" w:firstRowFirstColumn="0" w:firstRowLastColumn="0" w:lastRowFirstColumn="0" w:lastRowLastColumn="0"/>
        </w:trPr>
        <w:tc>
          <w:tcPr>
            <w:tcW w:w="2530" w:type="pct"/>
            <w:tcBorders>
              <w:top w:val="single" w:sz="12" w:space="0" w:color="00B0B9"/>
              <w:bottom w:val="single" w:sz="4" w:space="0" w:color="FFFFFF" w:themeColor="background1"/>
            </w:tcBorders>
            <w:hideMark/>
          </w:tcPr>
          <w:p w14:paraId="72B7057B"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Carer Payment</w:t>
            </w:r>
          </w:p>
        </w:tc>
        <w:tc>
          <w:tcPr>
            <w:tcW w:w="835" w:type="pct"/>
            <w:tcBorders>
              <w:top w:val="single" w:sz="12" w:space="0" w:color="00B0B9"/>
              <w:bottom w:val="single" w:sz="4" w:space="0" w:color="FFFFFF" w:themeColor="background1"/>
            </w:tcBorders>
            <w:hideMark/>
          </w:tcPr>
          <w:p w14:paraId="725A2223" w14:textId="77777777" w:rsidR="001404F7" w:rsidRPr="006176A5" w:rsidRDefault="001404F7" w:rsidP="001404F7">
            <w:pPr>
              <w:spacing w:before="40" w:after="40"/>
              <w:jc w:val="right"/>
              <w:rPr>
                <w:rFonts w:eastAsia="Times New Roman" w:cs="Arial"/>
                <w:spacing w:val="4"/>
                <w:sz w:val="20"/>
                <w:szCs w:val="20"/>
                <w:lang w:val="en-GB"/>
              </w:rPr>
            </w:pPr>
            <w:r w:rsidRPr="006176A5">
              <w:rPr>
                <w:sz w:val="20"/>
                <w:szCs w:val="20"/>
              </w:rPr>
              <w:t>8.3%</w:t>
            </w:r>
          </w:p>
        </w:tc>
        <w:tc>
          <w:tcPr>
            <w:tcW w:w="831" w:type="pct"/>
            <w:tcBorders>
              <w:top w:val="single" w:sz="12" w:space="0" w:color="00B0B9"/>
              <w:bottom w:val="single" w:sz="4" w:space="0" w:color="FFFFFF" w:themeColor="background1"/>
            </w:tcBorders>
            <w:hideMark/>
          </w:tcPr>
          <w:p w14:paraId="06DC8CA2"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9.3%</w:t>
            </w:r>
          </w:p>
        </w:tc>
        <w:tc>
          <w:tcPr>
            <w:tcW w:w="804" w:type="pct"/>
            <w:tcBorders>
              <w:top w:val="single" w:sz="12" w:space="0" w:color="00B0B9"/>
              <w:bottom w:val="single" w:sz="4" w:space="0" w:color="FFFFFF" w:themeColor="background1"/>
            </w:tcBorders>
            <w:hideMark/>
          </w:tcPr>
          <w:p w14:paraId="560BD654"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9.1%</w:t>
            </w:r>
          </w:p>
        </w:tc>
      </w:tr>
      <w:tr w:rsidR="001404F7" w:rsidRPr="006447FF" w14:paraId="7AC33698" w14:textId="77777777" w:rsidTr="001404F7">
        <w:trPr>
          <w:cnfStyle w:val="000000010000" w:firstRow="0" w:lastRow="0" w:firstColumn="0" w:lastColumn="0" w:oddVBand="0" w:evenVBand="0" w:oddHBand="0" w:evenHBand="1" w:firstRowFirstColumn="0" w:firstRowLastColumn="0" w:lastRowFirstColumn="0" w:lastRowLastColumn="0"/>
        </w:trPr>
        <w:tc>
          <w:tcPr>
            <w:tcW w:w="2530" w:type="pct"/>
            <w:tcBorders>
              <w:top w:val="single" w:sz="4" w:space="0" w:color="FFFFFF" w:themeColor="background1"/>
            </w:tcBorders>
            <w:hideMark/>
          </w:tcPr>
          <w:p w14:paraId="2F07D8D4"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Wife Pension (</w:t>
            </w:r>
            <w:r w:rsidRPr="006447FF">
              <w:rPr>
                <w:rFonts w:eastAsia="Times New Roman" w:cs="Times New Roman"/>
                <w:spacing w:val="4"/>
                <w:sz w:val="20"/>
                <w:szCs w:val="20"/>
                <w:lang w:eastAsia="en-AU"/>
              </w:rPr>
              <w:t>Disability Support Pension</w:t>
            </w:r>
            <w:r w:rsidRPr="006447FF">
              <w:rPr>
                <w:rFonts w:eastAsia="Times New Roman"/>
                <w:color w:val="000000" w:themeColor="text1"/>
                <w:spacing w:val="4"/>
                <w:sz w:val="20"/>
                <w:szCs w:val="20"/>
                <w:lang w:val="en-GB"/>
              </w:rPr>
              <w:t>)</w:t>
            </w:r>
            <w:r w:rsidRPr="00B64A66">
              <w:rPr>
                <w:rFonts w:eastAsia="Times New Roman"/>
                <w:color w:val="000000" w:themeColor="text1"/>
                <w:spacing w:val="4"/>
                <w:sz w:val="20"/>
                <w:szCs w:val="20"/>
                <w:vertAlign w:val="superscript"/>
                <w:lang w:val="en-GB"/>
              </w:rPr>
              <w:t>a</w:t>
            </w:r>
          </w:p>
        </w:tc>
        <w:tc>
          <w:tcPr>
            <w:tcW w:w="835" w:type="pct"/>
            <w:tcBorders>
              <w:top w:val="single" w:sz="4" w:space="0" w:color="FFFFFF" w:themeColor="background1"/>
            </w:tcBorders>
            <w:hideMark/>
          </w:tcPr>
          <w:p w14:paraId="5B160B3D" w14:textId="08E367D1" w:rsidR="001404F7" w:rsidRPr="006176A5" w:rsidRDefault="00384B66" w:rsidP="001404F7">
            <w:pPr>
              <w:spacing w:before="40" w:after="40"/>
              <w:jc w:val="right"/>
              <w:rPr>
                <w:rFonts w:eastAsia="Times New Roman"/>
                <w:spacing w:val="4"/>
                <w:sz w:val="20"/>
                <w:szCs w:val="20"/>
                <w:lang w:val="en-GB"/>
              </w:rPr>
            </w:pPr>
            <w:r w:rsidRPr="00771C23">
              <w:rPr>
                <w:rFonts w:eastAsia="Times New Roman"/>
                <w:color w:val="000000" w:themeColor="text1"/>
                <w:spacing w:val="4"/>
                <w:sz w:val="20"/>
                <w:szCs w:val="20"/>
                <w:lang w:val="en-GB"/>
              </w:rPr>
              <w:t>–</w:t>
            </w:r>
          </w:p>
        </w:tc>
        <w:tc>
          <w:tcPr>
            <w:tcW w:w="831" w:type="pct"/>
            <w:tcBorders>
              <w:top w:val="single" w:sz="4" w:space="0" w:color="FFFFFF" w:themeColor="background1"/>
            </w:tcBorders>
            <w:hideMark/>
          </w:tcPr>
          <w:p w14:paraId="77BA1546"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21.3%</w:t>
            </w:r>
          </w:p>
        </w:tc>
        <w:tc>
          <w:tcPr>
            <w:tcW w:w="804" w:type="pct"/>
            <w:tcBorders>
              <w:top w:val="single" w:sz="4" w:space="0" w:color="FFFFFF" w:themeColor="background1"/>
            </w:tcBorders>
            <w:hideMark/>
          </w:tcPr>
          <w:p w14:paraId="38CF10C5"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21.7%</w:t>
            </w:r>
          </w:p>
        </w:tc>
      </w:tr>
      <w:tr w:rsidR="001404F7" w:rsidRPr="006447FF" w14:paraId="14144330"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4"/>
            <w:tcBorders>
              <w:bottom w:val="single" w:sz="12" w:space="0" w:color="00B0B9"/>
            </w:tcBorders>
            <w:hideMark/>
          </w:tcPr>
          <w:p w14:paraId="2E126E0A"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b/>
                <w:color w:val="000000" w:themeColor="text1"/>
                <w:spacing w:val="4"/>
                <w:sz w:val="20"/>
                <w:szCs w:val="20"/>
                <w:lang w:val="en-GB"/>
              </w:rPr>
              <w:t>Working Age Payments</w:t>
            </w:r>
          </w:p>
        </w:tc>
      </w:tr>
      <w:tr w:rsidR="001404F7" w:rsidRPr="006447FF" w14:paraId="3A41875E" w14:textId="77777777" w:rsidTr="001404F7">
        <w:trPr>
          <w:cnfStyle w:val="000000010000" w:firstRow="0" w:lastRow="0" w:firstColumn="0" w:lastColumn="0" w:oddVBand="0" w:evenVBand="0" w:oddHBand="0" w:evenHBand="1" w:firstRowFirstColumn="0" w:firstRowLastColumn="0" w:lastRowFirstColumn="0" w:lastRowLastColumn="0"/>
        </w:trPr>
        <w:tc>
          <w:tcPr>
            <w:tcW w:w="2530" w:type="pct"/>
            <w:tcBorders>
              <w:top w:val="single" w:sz="12" w:space="0" w:color="00B0B9"/>
              <w:bottom w:val="single" w:sz="4" w:space="0" w:color="FFFFFF" w:themeColor="background1"/>
            </w:tcBorders>
            <w:hideMark/>
          </w:tcPr>
          <w:p w14:paraId="68623BD6" w14:textId="77777777" w:rsidR="001404F7" w:rsidRPr="006447FF" w:rsidRDefault="001404F7" w:rsidP="001404F7">
            <w:pPr>
              <w:spacing w:before="40" w:after="40"/>
              <w:rPr>
                <w:rFonts w:eastAsia="Times New Roman"/>
                <w:color w:val="000000" w:themeColor="text1"/>
                <w:spacing w:val="4"/>
                <w:sz w:val="20"/>
                <w:szCs w:val="20"/>
                <w:lang w:val="en-GB"/>
              </w:rPr>
            </w:pPr>
            <w:proofErr w:type="spellStart"/>
            <w:r>
              <w:rPr>
                <w:rFonts w:eastAsia="Times New Roman"/>
                <w:color w:val="000000" w:themeColor="text1"/>
                <w:spacing w:val="4"/>
                <w:sz w:val="20"/>
                <w:szCs w:val="20"/>
                <w:lang w:val="en-GB"/>
              </w:rPr>
              <w:t>Newstart</w:t>
            </w:r>
            <w:proofErr w:type="spellEnd"/>
            <w:r>
              <w:rPr>
                <w:rFonts w:eastAsia="Times New Roman"/>
                <w:color w:val="000000" w:themeColor="text1"/>
                <w:spacing w:val="4"/>
                <w:sz w:val="20"/>
                <w:szCs w:val="20"/>
                <w:lang w:val="en-GB"/>
              </w:rPr>
              <w:t xml:space="preserve"> Allowance/</w:t>
            </w:r>
            <w:proofErr w:type="spellStart"/>
            <w:r>
              <w:rPr>
                <w:rFonts w:eastAsia="Times New Roman"/>
                <w:color w:val="000000" w:themeColor="text1"/>
                <w:spacing w:val="4"/>
                <w:sz w:val="20"/>
                <w:szCs w:val="20"/>
                <w:lang w:val="en-GB"/>
              </w:rPr>
              <w:t>JobSeeker</w:t>
            </w:r>
            <w:proofErr w:type="spellEnd"/>
            <w:r>
              <w:rPr>
                <w:rFonts w:eastAsia="Times New Roman"/>
                <w:color w:val="000000" w:themeColor="text1"/>
                <w:spacing w:val="4"/>
                <w:sz w:val="20"/>
                <w:szCs w:val="20"/>
                <w:lang w:val="en-GB"/>
              </w:rPr>
              <w:t xml:space="preserve"> Payment</w:t>
            </w:r>
            <w:r>
              <w:rPr>
                <w:rFonts w:eastAsia="Times New Roman"/>
                <w:color w:val="000000" w:themeColor="text1"/>
                <w:spacing w:val="4"/>
                <w:sz w:val="20"/>
                <w:szCs w:val="20"/>
                <w:vertAlign w:val="superscript"/>
                <w:lang w:val="en-GB"/>
              </w:rPr>
              <w:t xml:space="preserve"> b</w:t>
            </w:r>
          </w:p>
        </w:tc>
        <w:tc>
          <w:tcPr>
            <w:tcW w:w="835" w:type="pct"/>
            <w:tcBorders>
              <w:top w:val="single" w:sz="12" w:space="0" w:color="00B0B9"/>
              <w:bottom w:val="single" w:sz="4" w:space="0" w:color="FFFFFF" w:themeColor="background1"/>
            </w:tcBorders>
            <w:hideMark/>
          </w:tcPr>
          <w:p w14:paraId="1B9E71D0" w14:textId="77777777" w:rsidR="001404F7" w:rsidRPr="008D5C0A" w:rsidRDefault="001404F7" w:rsidP="001404F7">
            <w:pPr>
              <w:spacing w:before="40" w:after="40"/>
              <w:jc w:val="right"/>
              <w:rPr>
                <w:rFonts w:eastAsia="Times New Roman"/>
                <w:spacing w:val="4"/>
                <w:sz w:val="20"/>
                <w:szCs w:val="20"/>
                <w:lang w:val="en-GB"/>
              </w:rPr>
            </w:pPr>
            <w:r w:rsidRPr="008D5C0A">
              <w:rPr>
                <w:rFonts w:eastAsia="Times New Roman"/>
                <w:spacing w:val="4"/>
                <w:sz w:val="20"/>
                <w:szCs w:val="20"/>
                <w:lang w:val="en-GB"/>
              </w:rPr>
              <w:t>15.1%</w:t>
            </w:r>
          </w:p>
        </w:tc>
        <w:tc>
          <w:tcPr>
            <w:tcW w:w="831" w:type="pct"/>
            <w:tcBorders>
              <w:top w:val="single" w:sz="12" w:space="0" w:color="00B0B9"/>
              <w:bottom w:val="single" w:sz="4" w:space="0" w:color="FFFFFF" w:themeColor="background1"/>
            </w:tcBorders>
            <w:hideMark/>
          </w:tcPr>
          <w:p w14:paraId="2880EFB6"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19.1%</w:t>
            </w:r>
          </w:p>
        </w:tc>
        <w:tc>
          <w:tcPr>
            <w:tcW w:w="804" w:type="pct"/>
            <w:tcBorders>
              <w:top w:val="single" w:sz="12" w:space="0" w:color="00B0B9"/>
              <w:bottom w:val="single" w:sz="4" w:space="0" w:color="FFFFFF" w:themeColor="background1"/>
            </w:tcBorders>
            <w:hideMark/>
          </w:tcPr>
          <w:p w14:paraId="7578E6F7"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20.3%</w:t>
            </w:r>
          </w:p>
        </w:tc>
      </w:tr>
      <w:tr w:rsidR="001404F7" w:rsidRPr="006447FF" w14:paraId="5C293BFA" w14:textId="77777777" w:rsidTr="001404F7">
        <w:trPr>
          <w:cnfStyle w:val="000000100000" w:firstRow="0" w:lastRow="0" w:firstColumn="0" w:lastColumn="0" w:oddVBand="0" w:evenVBand="0" w:oddHBand="1" w:evenHBand="0" w:firstRowFirstColumn="0" w:firstRowLastColumn="0" w:lastRowFirstColumn="0" w:lastRowLastColumn="0"/>
        </w:trPr>
        <w:tc>
          <w:tcPr>
            <w:tcW w:w="2530" w:type="pct"/>
            <w:tcBorders>
              <w:top w:val="single" w:sz="4" w:space="0" w:color="FFFFFF" w:themeColor="background1"/>
            </w:tcBorders>
            <w:hideMark/>
          </w:tcPr>
          <w:p w14:paraId="7EF301E1"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Parenting Payment (Partnered)</w:t>
            </w:r>
          </w:p>
        </w:tc>
        <w:tc>
          <w:tcPr>
            <w:tcW w:w="835" w:type="pct"/>
            <w:tcBorders>
              <w:top w:val="single" w:sz="4" w:space="0" w:color="FFFFFF" w:themeColor="background1"/>
            </w:tcBorders>
            <w:hideMark/>
          </w:tcPr>
          <w:p w14:paraId="4B9C01AF" w14:textId="77777777" w:rsidR="001404F7" w:rsidRPr="008D5C0A" w:rsidRDefault="001404F7" w:rsidP="001404F7">
            <w:pPr>
              <w:spacing w:before="40" w:after="40"/>
              <w:jc w:val="right"/>
              <w:rPr>
                <w:rFonts w:eastAsia="Times New Roman" w:cs="Arial"/>
                <w:spacing w:val="4"/>
                <w:sz w:val="20"/>
                <w:szCs w:val="20"/>
                <w:lang w:val="en-GB"/>
              </w:rPr>
            </w:pPr>
            <w:r w:rsidRPr="008D5C0A">
              <w:rPr>
                <w:rFonts w:eastAsia="Times New Roman" w:cs="Arial"/>
                <w:spacing w:val="4"/>
                <w:sz w:val="20"/>
                <w:szCs w:val="20"/>
                <w:lang w:val="en-GB"/>
              </w:rPr>
              <w:t>10.5%</w:t>
            </w:r>
          </w:p>
        </w:tc>
        <w:tc>
          <w:tcPr>
            <w:tcW w:w="831" w:type="pct"/>
            <w:tcBorders>
              <w:top w:val="single" w:sz="4" w:space="0" w:color="FFFFFF" w:themeColor="background1"/>
            </w:tcBorders>
            <w:hideMark/>
          </w:tcPr>
          <w:p w14:paraId="3AF9749C"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10.8%</w:t>
            </w:r>
          </w:p>
        </w:tc>
        <w:tc>
          <w:tcPr>
            <w:tcW w:w="804" w:type="pct"/>
            <w:tcBorders>
              <w:top w:val="single" w:sz="4" w:space="0" w:color="FFFFFF" w:themeColor="background1"/>
            </w:tcBorders>
            <w:hideMark/>
          </w:tcPr>
          <w:p w14:paraId="0EFB5CF1"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10.0%</w:t>
            </w:r>
          </w:p>
        </w:tc>
      </w:tr>
      <w:tr w:rsidR="001404F7" w:rsidRPr="006447FF" w14:paraId="4484EFCC" w14:textId="77777777" w:rsidTr="001404F7">
        <w:trPr>
          <w:cnfStyle w:val="000000010000" w:firstRow="0" w:lastRow="0" w:firstColumn="0" w:lastColumn="0" w:oddVBand="0" w:evenVBand="0" w:oddHBand="0" w:evenHBand="1" w:firstRowFirstColumn="0" w:firstRowLastColumn="0" w:lastRowFirstColumn="0" w:lastRowLastColumn="0"/>
        </w:trPr>
        <w:tc>
          <w:tcPr>
            <w:tcW w:w="2530" w:type="pct"/>
            <w:hideMark/>
          </w:tcPr>
          <w:p w14:paraId="34EEC907"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Parenting Payment (Single)</w:t>
            </w:r>
          </w:p>
        </w:tc>
        <w:tc>
          <w:tcPr>
            <w:tcW w:w="835" w:type="pct"/>
            <w:hideMark/>
          </w:tcPr>
          <w:p w14:paraId="47A2D7E7" w14:textId="77777777" w:rsidR="001404F7" w:rsidRPr="008D5C0A" w:rsidRDefault="001404F7" w:rsidP="001404F7">
            <w:pPr>
              <w:spacing w:before="40" w:after="40"/>
              <w:jc w:val="right"/>
              <w:rPr>
                <w:rFonts w:eastAsia="Times New Roman"/>
                <w:spacing w:val="4"/>
                <w:sz w:val="20"/>
                <w:szCs w:val="20"/>
                <w:lang w:val="en-GB"/>
              </w:rPr>
            </w:pPr>
            <w:r w:rsidRPr="008D5C0A">
              <w:rPr>
                <w:rFonts w:eastAsia="Times New Roman"/>
                <w:spacing w:val="4"/>
                <w:sz w:val="20"/>
                <w:szCs w:val="20"/>
                <w:lang w:val="en-GB"/>
              </w:rPr>
              <w:t>25.5%</w:t>
            </w:r>
          </w:p>
        </w:tc>
        <w:tc>
          <w:tcPr>
            <w:tcW w:w="831" w:type="pct"/>
            <w:hideMark/>
          </w:tcPr>
          <w:p w14:paraId="4D4181E6"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28.8%</w:t>
            </w:r>
          </w:p>
        </w:tc>
        <w:tc>
          <w:tcPr>
            <w:tcW w:w="804" w:type="pct"/>
            <w:hideMark/>
          </w:tcPr>
          <w:p w14:paraId="65212B3F"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26.9%</w:t>
            </w:r>
          </w:p>
        </w:tc>
      </w:tr>
      <w:tr w:rsidR="001404F7" w:rsidRPr="006447FF" w14:paraId="66D4199F" w14:textId="77777777" w:rsidTr="001404F7">
        <w:trPr>
          <w:cnfStyle w:val="000000100000" w:firstRow="0" w:lastRow="0" w:firstColumn="0" w:lastColumn="0" w:oddVBand="0" w:evenVBand="0" w:oddHBand="1" w:evenHBand="0" w:firstRowFirstColumn="0" w:firstRowLastColumn="0" w:lastRowFirstColumn="0" w:lastRowLastColumn="0"/>
        </w:trPr>
        <w:tc>
          <w:tcPr>
            <w:tcW w:w="2530" w:type="pct"/>
            <w:hideMark/>
          </w:tcPr>
          <w:p w14:paraId="3AF02BC4"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Partner Allowance</w:t>
            </w:r>
          </w:p>
        </w:tc>
        <w:tc>
          <w:tcPr>
            <w:tcW w:w="835" w:type="pct"/>
            <w:hideMark/>
          </w:tcPr>
          <w:p w14:paraId="2ACBE30F" w14:textId="77777777" w:rsidR="001404F7" w:rsidRPr="008D5C0A" w:rsidRDefault="001404F7" w:rsidP="001404F7">
            <w:pPr>
              <w:spacing w:before="40" w:after="40"/>
              <w:jc w:val="right"/>
              <w:rPr>
                <w:rFonts w:eastAsia="Times New Roman" w:cs="Arial"/>
                <w:spacing w:val="4"/>
                <w:sz w:val="20"/>
                <w:szCs w:val="20"/>
                <w:lang w:val="en-GB"/>
              </w:rPr>
            </w:pPr>
            <w:r w:rsidRPr="008D5C0A">
              <w:rPr>
                <w:rFonts w:eastAsia="Times New Roman" w:cs="Arial"/>
                <w:spacing w:val="4"/>
                <w:sz w:val="20"/>
                <w:szCs w:val="20"/>
                <w:lang w:val="en-GB"/>
              </w:rPr>
              <w:t>4.1%</w:t>
            </w:r>
          </w:p>
        </w:tc>
        <w:tc>
          <w:tcPr>
            <w:tcW w:w="831" w:type="pct"/>
            <w:hideMark/>
          </w:tcPr>
          <w:p w14:paraId="6AD27CA8"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5.9%</w:t>
            </w:r>
          </w:p>
        </w:tc>
        <w:tc>
          <w:tcPr>
            <w:tcW w:w="804" w:type="pct"/>
            <w:hideMark/>
          </w:tcPr>
          <w:p w14:paraId="28051A71"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6.1%</w:t>
            </w:r>
          </w:p>
        </w:tc>
      </w:tr>
      <w:tr w:rsidR="001404F7" w:rsidRPr="006447FF" w14:paraId="32F84984" w14:textId="77777777" w:rsidTr="001404F7">
        <w:trPr>
          <w:cnfStyle w:val="000000010000" w:firstRow="0" w:lastRow="0" w:firstColumn="0" w:lastColumn="0" w:oddVBand="0" w:evenVBand="0" w:oddHBand="0" w:evenHBand="1" w:firstRowFirstColumn="0" w:firstRowLastColumn="0" w:lastRowFirstColumn="0" w:lastRowLastColumn="0"/>
        </w:trPr>
        <w:tc>
          <w:tcPr>
            <w:tcW w:w="2530" w:type="pct"/>
            <w:hideMark/>
          </w:tcPr>
          <w:p w14:paraId="71E7C7EB"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 xml:space="preserve">Sickness </w:t>
            </w:r>
            <w:proofErr w:type="spellStart"/>
            <w:r w:rsidRPr="006447FF">
              <w:rPr>
                <w:rFonts w:eastAsia="Times New Roman"/>
                <w:color w:val="000000" w:themeColor="text1"/>
                <w:spacing w:val="4"/>
                <w:sz w:val="20"/>
                <w:szCs w:val="20"/>
                <w:lang w:val="en-GB"/>
              </w:rPr>
              <w:t>Allowance</w:t>
            </w:r>
            <w:r>
              <w:rPr>
                <w:rFonts w:eastAsia="Times New Roman"/>
                <w:color w:val="000000" w:themeColor="text1"/>
                <w:spacing w:val="4"/>
                <w:sz w:val="20"/>
                <w:szCs w:val="20"/>
                <w:vertAlign w:val="superscript"/>
                <w:lang w:val="en-GB"/>
              </w:rPr>
              <w:t>c</w:t>
            </w:r>
            <w:proofErr w:type="spellEnd"/>
          </w:p>
        </w:tc>
        <w:tc>
          <w:tcPr>
            <w:tcW w:w="835" w:type="pct"/>
            <w:hideMark/>
          </w:tcPr>
          <w:p w14:paraId="63ED766F" w14:textId="77777777" w:rsidR="001404F7" w:rsidRPr="008D5C0A" w:rsidRDefault="001404F7" w:rsidP="001404F7">
            <w:pPr>
              <w:spacing w:before="40" w:after="40"/>
              <w:jc w:val="right"/>
              <w:rPr>
                <w:rFonts w:eastAsia="Times New Roman"/>
                <w:spacing w:val="4"/>
                <w:sz w:val="20"/>
                <w:szCs w:val="20"/>
                <w:lang w:val="en-GB"/>
              </w:rPr>
            </w:pPr>
            <w:r w:rsidRPr="008D5C0A">
              <w:rPr>
                <w:rFonts w:eastAsia="Times New Roman"/>
                <w:spacing w:val="4"/>
                <w:sz w:val="20"/>
                <w:szCs w:val="20"/>
                <w:lang w:val="en-GB"/>
              </w:rPr>
              <w:t>0.0%</w:t>
            </w:r>
          </w:p>
        </w:tc>
        <w:tc>
          <w:tcPr>
            <w:tcW w:w="831" w:type="pct"/>
            <w:hideMark/>
          </w:tcPr>
          <w:p w14:paraId="27E5681A"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9.4%</w:t>
            </w:r>
          </w:p>
        </w:tc>
        <w:tc>
          <w:tcPr>
            <w:tcW w:w="804" w:type="pct"/>
            <w:hideMark/>
          </w:tcPr>
          <w:p w14:paraId="26D776E0"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8.8%</w:t>
            </w:r>
          </w:p>
        </w:tc>
      </w:tr>
      <w:tr w:rsidR="001404F7" w:rsidRPr="006447FF" w14:paraId="2D3D9671" w14:textId="77777777" w:rsidTr="001404F7">
        <w:trPr>
          <w:cnfStyle w:val="000000100000" w:firstRow="0" w:lastRow="0" w:firstColumn="0" w:lastColumn="0" w:oddVBand="0" w:evenVBand="0" w:oddHBand="1" w:evenHBand="0" w:firstRowFirstColumn="0" w:firstRowLastColumn="0" w:lastRowFirstColumn="0" w:lastRowLastColumn="0"/>
        </w:trPr>
        <w:tc>
          <w:tcPr>
            <w:tcW w:w="2530" w:type="pct"/>
            <w:hideMark/>
          </w:tcPr>
          <w:p w14:paraId="7A291422"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Widow Allowance</w:t>
            </w:r>
          </w:p>
        </w:tc>
        <w:tc>
          <w:tcPr>
            <w:tcW w:w="835" w:type="pct"/>
            <w:hideMark/>
          </w:tcPr>
          <w:p w14:paraId="14F64B9F" w14:textId="77777777" w:rsidR="001404F7" w:rsidRPr="008D5C0A" w:rsidRDefault="001404F7" w:rsidP="001404F7">
            <w:pPr>
              <w:spacing w:before="40" w:after="40"/>
              <w:jc w:val="right"/>
              <w:rPr>
                <w:rFonts w:eastAsia="Times New Roman" w:cs="Arial"/>
                <w:spacing w:val="4"/>
                <w:sz w:val="20"/>
                <w:szCs w:val="20"/>
                <w:lang w:val="en-GB"/>
              </w:rPr>
            </w:pPr>
            <w:r w:rsidRPr="008D5C0A">
              <w:rPr>
                <w:rFonts w:eastAsia="Times New Roman" w:cs="Arial"/>
                <w:spacing w:val="4"/>
                <w:sz w:val="20"/>
                <w:szCs w:val="20"/>
                <w:lang w:val="en-GB"/>
              </w:rPr>
              <w:t>3.2%</w:t>
            </w:r>
          </w:p>
        </w:tc>
        <w:tc>
          <w:tcPr>
            <w:tcW w:w="831" w:type="pct"/>
            <w:hideMark/>
          </w:tcPr>
          <w:p w14:paraId="47BFE28F"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5.1%</w:t>
            </w:r>
          </w:p>
        </w:tc>
        <w:tc>
          <w:tcPr>
            <w:tcW w:w="804" w:type="pct"/>
            <w:hideMark/>
          </w:tcPr>
          <w:p w14:paraId="276372F3"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5.9%</w:t>
            </w:r>
          </w:p>
        </w:tc>
      </w:tr>
      <w:tr w:rsidR="001404F7" w:rsidRPr="006447FF" w14:paraId="237D9858" w14:textId="77777777" w:rsidTr="001404F7">
        <w:trPr>
          <w:cnfStyle w:val="000000010000" w:firstRow="0" w:lastRow="0" w:firstColumn="0" w:lastColumn="0" w:oddVBand="0" w:evenVBand="0" w:oddHBand="0" w:evenHBand="1" w:firstRowFirstColumn="0" w:firstRowLastColumn="0" w:lastRowFirstColumn="0" w:lastRowLastColumn="0"/>
        </w:trPr>
        <w:tc>
          <w:tcPr>
            <w:tcW w:w="2530" w:type="pct"/>
            <w:hideMark/>
          </w:tcPr>
          <w:p w14:paraId="2EC12F70"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lastRenderedPageBreak/>
              <w:t>Youth Allowance (other)</w:t>
            </w:r>
          </w:p>
        </w:tc>
        <w:tc>
          <w:tcPr>
            <w:tcW w:w="835" w:type="pct"/>
            <w:hideMark/>
          </w:tcPr>
          <w:p w14:paraId="4445B2FB" w14:textId="77777777" w:rsidR="001404F7" w:rsidRPr="008D5C0A" w:rsidRDefault="001404F7" w:rsidP="001404F7">
            <w:pPr>
              <w:spacing w:before="40" w:after="40"/>
              <w:jc w:val="right"/>
              <w:rPr>
                <w:rFonts w:eastAsia="Times New Roman"/>
                <w:spacing w:val="4"/>
                <w:sz w:val="20"/>
                <w:szCs w:val="20"/>
                <w:lang w:val="en-GB"/>
              </w:rPr>
            </w:pPr>
            <w:r w:rsidRPr="008D5C0A">
              <w:rPr>
                <w:rFonts w:eastAsia="Times New Roman"/>
                <w:spacing w:val="4"/>
                <w:sz w:val="20"/>
                <w:szCs w:val="20"/>
                <w:lang w:val="en-GB"/>
              </w:rPr>
              <w:t>19.8%</w:t>
            </w:r>
          </w:p>
        </w:tc>
        <w:tc>
          <w:tcPr>
            <w:tcW w:w="831" w:type="pct"/>
            <w:hideMark/>
          </w:tcPr>
          <w:p w14:paraId="40F0121D"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17.6%</w:t>
            </w:r>
          </w:p>
        </w:tc>
        <w:tc>
          <w:tcPr>
            <w:tcW w:w="804" w:type="pct"/>
            <w:hideMark/>
          </w:tcPr>
          <w:p w14:paraId="54F3AE96"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19.3%</w:t>
            </w:r>
          </w:p>
        </w:tc>
      </w:tr>
      <w:tr w:rsidR="001404F7" w:rsidRPr="006447FF" w14:paraId="4E61442A"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4"/>
            <w:tcBorders>
              <w:bottom w:val="single" w:sz="12" w:space="0" w:color="00B0B9"/>
            </w:tcBorders>
            <w:hideMark/>
          </w:tcPr>
          <w:p w14:paraId="244A385E"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b/>
                <w:color w:val="000000" w:themeColor="text1"/>
                <w:spacing w:val="4"/>
                <w:sz w:val="20"/>
                <w:szCs w:val="20"/>
                <w:lang w:val="en-GB"/>
              </w:rPr>
              <w:t>Student Payments</w:t>
            </w:r>
          </w:p>
        </w:tc>
      </w:tr>
      <w:tr w:rsidR="001404F7" w:rsidRPr="006447FF" w14:paraId="1CE01200" w14:textId="77777777" w:rsidTr="001404F7">
        <w:trPr>
          <w:cnfStyle w:val="000000010000" w:firstRow="0" w:lastRow="0" w:firstColumn="0" w:lastColumn="0" w:oddVBand="0" w:evenVBand="0" w:oddHBand="0" w:evenHBand="1" w:firstRowFirstColumn="0" w:firstRowLastColumn="0" w:lastRowFirstColumn="0" w:lastRowLastColumn="0"/>
        </w:trPr>
        <w:tc>
          <w:tcPr>
            <w:tcW w:w="2530" w:type="pct"/>
            <w:tcBorders>
              <w:top w:val="single" w:sz="12" w:space="0" w:color="00B0B9"/>
              <w:bottom w:val="single" w:sz="4" w:space="0" w:color="FFFFFF" w:themeColor="background1"/>
            </w:tcBorders>
            <w:hideMark/>
          </w:tcPr>
          <w:p w14:paraId="0480ED2E" w14:textId="77777777" w:rsidR="001404F7" w:rsidRPr="006447FF" w:rsidRDefault="001404F7" w:rsidP="001404F7">
            <w:pPr>
              <w:spacing w:before="40" w:after="40"/>
              <w:rPr>
                <w:rFonts w:eastAsia="Times New Roman"/>
                <w:color w:val="000000" w:themeColor="text1"/>
                <w:spacing w:val="4"/>
                <w:sz w:val="20"/>
                <w:szCs w:val="20"/>
                <w:lang w:val="en-GB"/>
              </w:rPr>
            </w:pPr>
            <w:proofErr w:type="spellStart"/>
            <w:r w:rsidRPr="006447FF">
              <w:rPr>
                <w:rFonts w:eastAsia="Times New Roman"/>
                <w:color w:val="000000" w:themeColor="text1"/>
                <w:spacing w:val="4"/>
                <w:sz w:val="20"/>
                <w:szCs w:val="20"/>
                <w:lang w:val="en-GB"/>
              </w:rPr>
              <w:t>Austudy</w:t>
            </w:r>
            <w:proofErr w:type="spellEnd"/>
          </w:p>
        </w:tc>
        <w:tc>
          <w:tcPr>
            <w:tcW w:w="835" w:type="pct"/>
            <w:tcBorders>
              <w:top w:val="single" w:sz="12" w:space="0" w:color="00B0B9"/>
              <w:bottom w:val="single" w:sz="4" w:space="0" w:color="FFFFFF" w:themeColor="background1"/>
            </w:tcBorders>
            <w:hideMark/>
          </w:tcPr>
          <w:p w14:paraId="6117C318" w14:textId="77777777" w:rsidR="001404F7" w:rsidRPr="008D5C0A" w:rsidRDefault="001404F7" w:rsidP="001404F7">
            <w:pPr>
              <w:spacing w:before="40" w:after="40"/>
              <w:jc w:val="right"/>
              <w:rPr>
                <w:rFonts w:eastAsia="Times New Roman"/>
                <w:spacing w:val="4"/>
                <w:sz w:val="20"/>
                <w:szCs w:val="20"/>
                <w:lang w:val="en-GB"/>
              </w:rPr>
            </w:pPr>
            <w:r w:rsidRPr="008D5C0A">
              <w:rPr>
                <w:rFonts w:eastAsia="Times New Roman"/>
                <w:spacing w:val="4"/>
                <w:sz w:val="20"/>
                <w:szCs w:val="20"/>
                <w:lang w:val="en-GB"/>
              </w:rPr>
              <w:t>27.7%</w:t>
            </w:r>
          </w:p>
        </w:tc>
        <w:tc>
          <w:tcPr>
            <w:tcW w:w="831" w:type="pct"/>
            <w:tcBorders>
              <w:top w:val="single" w:sz="12" w:space="0" w:color="00B0B9"/>
              <w:bottom w:val="single" w:sz="4" w:space="0" w:color="FFFFFF" w:themeColor="background1"/>
            </w:tcBorders>
            <w:hideMark/>
          </w:tcPr>
          <w:p w14:paraId="67A45133"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33.7%</w:t>
            </w:r>
          </w:p>
        </w:tc>
        <w:tc>
          <w:tcPr>
            <w:tcW w:w="804" w:type="pct"/>
            <w:tcBorders>
              <w:top w:val="single" w:sz="12" w:space="0" w:color="00B0B9"/>
              <w:bottom w:val="single" w:sz="4" w:space="0" w:color="FFFFFF" w:themeColor="background1"/>
            </w:tcBorders>
            <w:hideMark/>
          </w:tcPr>
          <w:p w14:paraId="25CBF76F"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33.1%</w:t>
            </w:r>
          </w:p>
        </w:tc>
      </w:tr>
      <w:tr w:rsidR="001404F7" w:rsidRPr="006447FF" w14:paraId="23DC3D4B" w14:textId="77777777" w:rsidTr="001404F7">
        <w:trPr>
          <w:cnfStyle w:val="000000100000" w:firstRow="0" w:lastRow="0" w:firstColumn="0" w:lastColumn="0" w:oddVBand="0" w:evenVBand="0" w:oddHBand="1" w:evenHBand="0" w:firstRowFirstColumn="0" w:firstRowLastColumn="0" w:lastRowFirstColumn="0" w:lastRowLastColumn="0"/>
        </w:trPr>
        <w:tc>
          <w:tcPr>
            <w:tcW w:w="2530" w:type="pct"/>
            <w:tcBorders>
              <w:top w:val="single" w:sz="4" w:space="0" w:color="FFFFFF" w:themeColor="background1"/>
            </w:tcBorders>
            <w:hideMark/>
          </w:tcPr>
          <w:p w14:paraId="5B1F5813"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Youth Allowance (student)</w:t>
            </w:r>
            <w:r>
              <w:rPr>
                <w:rFonts w:eastAsia="Times New Roman" w:cs="Arial"/>
                <w:color w:val="000000" w:themeColor="text1"/>
                <w:spacing w:val="4"/>
                <w:sz w:val="20"/>
                <w:szCs w:val="20"/>
                <w:vertAlign w:val="superscript"/>
                <w:lang w:val="en-GB"/>
              </w:rPr>
              <w:t>d</w:t>
            </w:r>
          </w:p>
        </w:tc>
        <w:tc>
          <w:tcPr>
            <w:tcW w:w="835" w:type="pct"/>
            <w:tcBorders>
              <w:top w:val="single" w:sz="4" w:space="0" w:color="FFFFFF" w:themeColor="background1"/>
            </w:tcBorders>
            <w:hideMark/>
          </w:tcPr>
          <w:p w14:paraId="5C82B514" w14:textId="77777777" w:rsidR="001404F7" w:rsidRPr="008D5C0A" w:rsidRDefault="001404F7" w:rsidP="001404F7">
            <w:pPr>
              <w:spacing w:before="40" w:after="40"/>
              <w:jc w:val="right"/>
              <w:rPr>
                <w:rFonts w:eastAsia="Times New Roman" w:cs="Arial"/>
                <w:spacing w:val="4"/>
                <w:sz w:val="20"/>
                <w:szCs w:val="20"/>
                <w:lang w:val="en-GB"/>
              </w:rPr>
            </w:pPr>
            <w:r w:rsidRPr="008D5C0A">
              <w:rPr>
                <w:rFonts w:eastAsia="Times New Roman" w:cs="Arial"/>
                <w:spacing w:val="4"/>
                <w:sz w:val="20"/>
                <w:szCs w:val="20"/>
                <w:lang w:val="en-GB"/>
              </w:rPr>
              <w:t>31.9%</w:t>
            </w:r>
          </w:p>
        </w:tc>
        <w:tc>
          <w:tcPr>
            <w:tcW w:w="831" w:type="pct"/>
            <w:tcBorders>
              <w:top w:val="single" w:sz="4" w:space="0" w:color="FFFFFF" w:themeColor="background1"/>
            </w:tcBorders>
            <w:hideMark/>
          </w:tcPr>
          <w:p w14:paraId="1D69BADA"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38.0%</w:t>
            </w:r>
          </w:p>
        </w:tc>
        <w:tc>
          <w:tcPr>
            <w:tcW w:w="804" w:type="pct"/>
            <w:tcBorders>
              <w:top w:val="single" w:sz="4" w:space="0" w:color="FFFFFF" w:themeColor="background1"/>
            </w:tcBorders>
            <w:hideMark/>
          </w:tcPr>
          <w:p w14:paraId="7C31F6F6"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37.7%</w:t>
            </w:r>
          </w:p>
        </w:tc>
      </w:tr>
      <w:tr w:rsidR="001404F7" w:rsidRPr="006447FF" w14:paraId="69AC04C1" w14:textId="77777777" w:rsidTr="001404F7">
        <w:trPr>
          <w:cnfStyle w:val="000000010000" w:firstRow="0" w:lastRow="0" w:firstColumn="0" w:lastColumn="0" w:oddVBand="0" w:evenVBand="0" w:oddHBand="0" w:evenHBand="1" w:firstRowFirstColumn="0" w:firstRowLastColumn="0" w:lastRowFirstColumn="0" w:lastRowLastColumn="0"/>
        </w:trPr>
        <w:tc>
          <w:tcPr>
            <w:tcW w:w="2530" w:type="pct"/>
            <w:hideMark/>
          </w:tcPr>
          <w:p w14:paraId="53283EE3"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ABSTUDY (Secondary and Tertiary)</w:t>
            </w:r>
            <w:r>
              <w:rPr>
                <w:rFonts w:eastAsia="Times New Roman"/>
                <w:color w:val="000000" w:themeColor="text1"/>
                <w:spacing w:val="4"/>
                <w:sz w:val="20"/>
                <w:szCs w:val="20"/>
                <w:vertAlign w:val="superscript"/>
                <w:lang w:val="en-GB"/>
              </w:rPr>
              <w:t>e</w:t>
            </w:r>
          </w:p>
        </w:tc>
        <w:tc>
          <w:tcPr>
            <w:tcW w:w="835" w:type="pct"/>
            <w:hideMark/>
          </w:tcPr>
          <w:p w14:paraId="4A015FBC" w14:textId="77777777" w:rsidR="001404F7" w:rsidRPr="008D5C0A" w:rsidRDefault="001404F7" w:rsidP="001404F7">
            <w:pPr>
              <w:spacing w:before="40" w:after="40"/>
              <w:jc w:val="right"/>
              <w:rPr>
                <w:rFonts w:eastAsia="Times New Roman"/>
                <w:spacing w:val="4"/>
                <w:sz w:val="20"/>
                <w:szCs w:val="20"/>
                <w:lang w:val="en-GB"/>
              </w:rPr>
            </w:pPr>
            <w:r w:rsidRPr="008D5C0A">
              <w:rPr>
                <w:rFonts w:eastAsia="Times New Roman"/>
                <w:spacing w:val="4"/>
                <w:sz w:val="20"/>
                <w:szCs w:val="20"/>
                <w:lang w:val="en-GB"/>
              </w:rPr>
              <w:t>14.8%</w:t>
            </w:r>
          </w:p>
        </w:tc>
        <w:tc>
          <w:tcPr>
            <w:tcW w:w="831" w:type="pct"/>
            <w:hideMark/>
          </w:tcPr>
          <w:p w14:paraId="31C27DE6"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17.5%</w:t>
            </w:r>
          </w:p>
        </w:tc>
        <w:tc>
          <w:tcPr>
            <w:tcW w:w="804" w:type="pct"/>
            <w:hideMark/>
          </w:tcPr>
          <w:p w14:paraId="0D64A8CA"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17.4%</w:t>
            </w:r>
          </w:p>
        </w:tc>
      </w:tr>
    </w:tbl>
    <w:p w14:paraId="073F42DF" w14:textId="77777777" w:rsidR="001404F7" w:rsidRDefault="001404F7" w:rsidP="001404F7">
      <w:pPr>
        <w:spacing w:before="160" w:after="60" w:line="240" w:lineRule="auto"/>
        <w:ind w:left="284" w:hanging="284"/>
        <w:contextualSpacing/>
        <w:rPr>
          <w:rFonts w:cs="Arial"/>
          <w:sz w:val="16"/>
          <w:szCs w:val="16"/>
        </w:rPr>
      </w:pPr>
      <w:r>
        <w:rPr>
          <w:rFonts w:cs="Arial"/>
          <w:sz w:val="16"/>
          <w:szCs w:val="16"/>
        </w:rPr>
        <w:t>a</w:t>
      </w:r>
      <w:r>
        <w:rPr>
          <w:rFonts w:cs="Arial"/>
          <w:sz w:val="16"/>
          <w:szCs w:val="16"/>
        </w:rPr>
        <w:tab/>
      </w:r>
      <w:r w:rsidRPr="00EB1530">
        <w:rPr>
          <w:rFonts w:cs="Arial"/>
          <w:sz w:val="16"/>
          <w:szCs w:val="16"/>
        </w:rPr>
        <w:t xml:space="preserve">Wife Pension (Disability Support Pension) closed on 20 March 2020, these recipients were transferred to Carer Payment, Age Pension or </w:t>
      </w:r>
      <w:proofErr w:type="spellStart"/>
      <w:r w:rsidRPr="00EB1530">
        <w:rPr>
          <w:rFonts w:cs="Arial"/>
          <w:sz w:val="16"/>
          <w:szCs w:val="16"/>
        </w:rPr>
        <w:t>JobSeeker</w:t>
      </w:r>
      <w:proofErr w:type="spellEnd"/>
      <w:r w:rsidRPr="00EB1530">
        <w:rPr>
          <w:rFonts w:cs="Arial"/>
          <w:sz w:val="16"/>
          <w:szCs w:val="16"/>
        </w:rPr>
        <w:t xml:space="preserve"> Payment and the percentage of recipients reporting employment income is reflected in the payment to which these people transferred.</w:t>
      </w:r>
    </w:p>
    <w:p w14:paraId="20F527ED" w14:textId="5683E169" w:rsidR="001404F7" w:rsidRPr="00EB1530" w:rsidRDefault="001404F7" w:rsidP="001404F7">
      <w:pPr>
        <w:spacing w:before="160" w:after="60" w:line="240" w:lineRule="auto"/>
        <w:ind w:left="284" w:hanging="284"/>
        <w:contextualSpacing/>
        <w:rPr>
          <w:rFonts w:cs="Arial"/>
          <w:sz w:val="16"/>
          <w:szCs w:val="16"/>
        </w:rPr>
      </w:pPr>
      <w:r>
        <w:rPr>
          <w:rFonts w:cs="Arial"/>
          <w:sz w:val="16"/>
          <w:szCs w:val="16"/>
        </w:rPr>
        <w:t>b</w:t>
      </w:r>
      <w:r>
        <w:rPr>
          <w:rFonts w:cs="Arial"/>
          <w:sz w:val="16"/>
          <w:szCs w:val="16"/>
        </w:rPr>
        <w:tab/>
      </w:r>
      <w:proofErr w:type="spellStart"/>
      <w:r>
        <w:rPr>
          <w:rFonts w:cs="Arial"/>
          <w:sz w:val="16"/>
          <w:szCs w:val="16"/>
        </w:rPr>
        <w:t>JobSeeker</w:t>
      </w:r>
      <w:proofErr w:type="spellEnd"/>
      <w:r>
        <w:rPr>
          <w:rFonts w:cs="Arial"/>
          <w:sz w:val="16"/>
          <w:szCs w:val="16"/>
        </w:rPr>
        <w:t xml:space="preserve"> Payment replaced </w:t>
      </w:r>
      <w:proofErr w:type="spellStart"/>
      <w:r>
        <w:rPr>
          <w:rFonts w:cs="Arial"/>
          <w:sz w:val="16"/>
          <w:szCs w:val="16"/>
        </w:rPr>
        <w:t>Newstart</w:t>
      </w:r>
      <w:proofErr w:type="spellEnd"/>
      <w:r>
        <w:rPr>
          <w:rFonts w:cs="Arial"/>
          <w:sz w:val="16"/>
          <w:szCs w:val="16"/>
        </w:rPr>
        <w:t xml:space="preserve"> Allowance on 20 March 2020</w:t>
      </w:r>
      <w:r w:rsidR="00D92519">
        <w:rPr>
          <w:rFonts w:cs="Arial"/>
          <w:sz w:val="16"/>
          <w:szCs w:val="16"/>
        </w:rPr>
        <w:t>.</w:t>
      </w:r>
    </w:p>
    <w:p w14:paraId="78096A70" w14:textId="6165379D" w:rsidR="001404F7" w:rsidRPr="00EB1530" w:rsidRDefault="001404F7" w:rsidP="001404F7">
      <w:pPr>
        <w:spacing w:before="160" w:after="60" w:line="240" w:lineRule="auto"/>
        <w:ind w:left="284" w:hanging="284"/>
        <w:contextualSpacing/>
        <w:rPr>
          <w:rFonts w:cs="Arial"/>
          <w:sz w:val="16"/>
          <w:szCs w:val="16"/>
        </w:rPr>
      </w:pPr>
      <w:r>
        <w:rPr>
          <w:rFonts w:cs="Arial"/>
          <w:sz w:val="16"/>
          <w:szCs w:val="16"/>
        </w:rPr>
        <w:t>c</w:t>
      </w:r>
      <w:r w:rsidRPr="00EB1530">
        <w:rPr>
          <w:rFonts w:cs="Arial"/>
          <w:sz w:val="16"/>
          <w:szCs w:val="16"/>
        </w:rPr>
        <w:tab/>
        <w:t xml:space="preserve">Sickness Allowance closed to new recipients on 20 March 2020 and all but </w:t>
      </w:r>
      <w:r>
        <w:rPr>
          <w:rFonts w:cs="Arial"/>
          <w:sz w:val="16"/>
          <w:szCs w:val="16"/>
        </w:rPr>
        <w:t>six</w:t>
      </w:r>
      <w:r w:rsidRPr="00EB1530">
        <w:rPr>
          <w:rFonts w:cs="Arial"/>
          <w:sz w:val="16"/>
          <w:szCs w:val="16"/>
        </w:rPr>
        <w:t xml:space="preserve"> existing recipients transitioned</w:t>
      </w:r>
      <w:r w:rsidR="00532B37">
        <w:rPr>
          <w:rFonts w:cs="Arial"/>
          <w:sz w:val="16"/>
          <w:szCs w:val="16"/>
        </w:rPr>
        <w:br/>
      </w:r>
      <w:r w:rsidRPr="00EB1530">
        <w:rPr>
          <w:rFonts w:cs="Arial"/>
          <w:sz w:val="16"/>
          <w:szCs w:val="16"/>
        </w:rPr>
        <w:t xml:space="preserve">to </w:t>
      </w:r>
      <w:proofErr w:type="spellStart"/>
      <w:r w:rsidRPr="00EB1530">
        <w:rPr>
          <w:rFonts w:cs="Arial"/>
          <w:sz w:val="16"/>
          <w:szCs w:val="16"/>
        </w:rPr>
        <w:t>JobSeeker</w:t>
      </w:r>
      <w:proofErr w:type="spellEnd"/>
      <w:r w:rsidRPr="00EB1530">
        <w:rPr>
          <w:rFonts w:cs="Arial"/>
          <w:sz w:val="16"/>
          <w:szCs w:val="16"/>
        </w:rPr>
        <w:t xml:space="preserve"> Payment.</w:t>
      </w:r>
    </w:p>
    <w:p w14:paraId="1C45457F" w14:textId="24CF06F6" w:rsidR="001404F7" w:rsidRPr="00EB1530" w:rsidRDefault="001404F7" w:rsidP="001404F7">
      <w:pPr>
        <w:spacing w:before="160" w:after="60" w:line="240" w:lineRule="auto"/>
        <w:ind w:left="284" w:hanging="284"/>
        <w:contextualSpacing/>
        <w:rPr>
          <w:rFonts w:cs="Arial"/>
          <w:sz w:val="16"/>
          <w:szCs w:val="16"/>
        </w:rPr>
      </w:pPr>
      <w:r>
        <w:rPr>
          <w:rFonts w:cs="Arial"/>
          <w:sz w:val="16"/>
          <w:szCs w:val="16"/>
        </w:rPr>
        <w:t>d</w:t>
      </w:r>
      <w:r w:rsidRPr="00EB1530">
        <w:rPr>
          <w:rFonts w:cs="Arial"/>
          <w:sz w:val="16"/>
          <w:szCs w:val="16"/>
        </w:rPr>
        <w:tab/>
        <w:t>Includes Australian apprentices.</w:t>
      </w:r>
    </w:p>
    <w:p w14:paraId="2887E7E3" w14:textId="77777777" w:rsidR="001404F7" w:rsidRDefault="001404F7" w:rsidP="001404F7">
      <w:pPr>
        <w:spacing w:before="160" w:after="60" w:line="240" w:lineRule="auto"/>
        <w:ind w:left="284" w:hanging="284"/>
        <w:contextualSpacing/>
        <w:rPr>
          <w:rFonts w:cs="Arial"/>
          <w:sz w:val="16"/>
          <w:szCs w:val="16"/>
        </w:rPr>
      </w:pPr>
      <w:r>
        <w:rPr>
          <w:rFonts w:cs="Arial"/>
          <w:sz w:val="16"/>
          <w:szCs w:val="16"/>
        </w:rPr>
        <w:t>e</w:t>
      </w:r>
      <w:r w:rsidRPr="00EB1530">
        <w:rPr>
          <w:rFonts w:cs="Arial"/>
          <w:sz w:val="16"/>
          <w:szCs w:val="16"/>
        </w:rPr>
        <w:tab/>
        <w:t>ABSTUDY Living Allowance only</w:t>
      </w:r>
      <w:r w:rsidRPr="008D5C0A">
        <w:rPr>
          <w:rFonts w:cs="Arial"/>
          <w:sz w:val="16"/>
          <w:szCs w:val="16"/>
        </w:rPr>
        <w:t>.</w:t>
      </w:r>
    </w:p>
    <w:p w14:paraId="70C5AD58" w14:textId="77777777" w:rsidR="001404F7" w:rsidRPr="003F5594" w:rsidRDefault="001404F7" w:rsidP="001404F7">
      <w:pPr>
        <w:spacing w:before="360" w:after="240" w:line="260" w:lineRule="atLeast"/>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t xml:space="preserve">C1.2.5 </w:t>
      </w:r>
      <w:r w:rsidRPr="003F5594">
        <w:rPr>
          <w:rFonts w:eastAsiaTheme="majorEastAsia" w:cstheme="majorBidi"/>
          <w:b/>
          <w:color w:val="595959" w:themeColor="text1" w:themeTint="A6"/>
          <w:sz w:val="24"/>
          <w:szCs w:val="20"/>
        </w:rPr>
        <w:t>Percentage of recipients receiving a part</w:t>
      </w:r>
      <w:r>
        <w:rPr>
          <w:rFonts w:eastAsiaTheme="majorEastAsia" w:cstheme="majorBidi"/>
          <w:b/>
          <w:color w:val="595959" w:themeColor="text1" w:themeTint="A6"/>
          <w:sz w:val="24"/>
          <w:szCs w:val="20"/>
        </w:rPr>
        <w:t xml:space="preserve"> </w:t>
      </w:r>
      <w:r w:rsidRPr="003F5594">
        <w:rPr>
          <w:rFonts w:eastAsiaTheme="majorEastAsia" w:cstheme="majorBidi"/>
          <w:b/>
          <w:color w:val="595959" w:themeColor="text1" w:themeTint="A6"/>
          <w:sz w:val="24"/>
          <w:szCs w:val="20"/>
        </w:rPr>
        <w:t>rate of payment due to income or assets tests</w:t>
      </w:r>
    </w:p>
    <w:p w14:paraId="6A97EC79" w14:textId="77777777" w:rsidR="001404F7" w:rsidRPr="00022526" w:rsidRDefault="001404F7" w:rsidP="001404F7">
      <w:pPr>
        <w:rPr>
          <w:rFonts w:cs="Arial"/>
          <w:sz w:val="20"/>
          <w:szCs w:val="20"/>
        </w:rPr>
      </w:pPr>
      <w:r w:rsidRPr="00022526">
        <w:rPr>
          <w:rFonts w:cs="Arial"/>
          <w:sz w:val="20"/>
          <w:szCs w:val="20"/>
        </w:rPr>
        <w:t>This indicator shows the proportion of payment recipients with additional means (income or assets over free areas in the means test) who need less support from the payments system. A higher proportion of the population in receipt of a part</w:t>
      </w:r>
      <w:r>
        <w:rPr>
          <w:rFonts w:cs="Arial"/>
          <w:sz w:val="20"/>
          <w:szCs w:val="20"/>
        </w:rPr>
        <w:t xml:space="preserve"> </w:t>
      </w:r>
      <w:r w:rsidRPr="00022526">
        <w:rPr>
          <w:rFonts w:cs="Arial"/>
          <w:sz w:val="20"/>
          <w:szCs w:val="20"/>
        </w:rPr>
        <w:t>rate of payment indicates a higher financial capacity to provide some level of self-support. Some payments only apply income tests.</w:t>
      </w:r>
    </w:p>
    <w:p w14:paraId="6157CBBA" w14:textId="77777777" w:rsidR="001404F7" w:rsidRPr="00022526" w:rsidRDefault="001404F7" w:rsidP="001404F7">
      <w:pPr>
        <w:rPr>
          <w:rFonts w:cs="Arial"/>
          <w:sz w:val="20"/>
          <w:szCs w:val="20"/>
        </w:rPr>
      </w:pPr>
      <w:r w:rsidRPr="00022526">
        <w:rPr>
          <w:rFonts w:cs="Arial"/>
          <w:sz w:val="20"/>
          <w:szCs w:val="20"/>
        </w:rPr>
        <w:t>Payment rates may be reduced under the income test due to income earnt by the recipient or their partner or, for Youth Allowance only, parental income.</w:t>
      </w:r>
    </w:p>
    <w:p w14:paraId="002F7C62" w14:textId="77777777" w:rsidR="001404F7" w:rsidRPr="00022526" w:rsidRDefault="001404F7" w:rsidP="001404F7">
      <w:pPr>
        <w:rPr>
          <w:rFonts w:cs="Arial"/>
          <w:sz w:val="20"/>
          <w:szCs w:val="20"/>
        </w:rPr>
      </w:pPr>
      <w:r w:rsidRPr="00022526">
        <w:rPr>
          <w:rFonts w:cs="Arial"/>
          <w:sz w:val="20"/>
          <w:szCs w:val="20"/>
        </w:rPr>
        <w:t>The high proportion of Special Benefit recipients receiving a part rate is due to the strict Special Benefit income test whereby all income and the value of in</w:t>
      </w:r>
      <w:r w:rsidRPr="00022526">
        <w:rPr>
          <w:rFonts w:cs="Arial"/>
          <w:sz w:val="20"/>
          <w:szCs w:val="20"/>
        </w:rPr>
        <w:noBreakHyphen/>
        <w:t>kind support, such as free board and lodgings, reduces the Special Benefit rate by that amount.</w:t>
      </w:r>
    </w:p>
    <w:p w14:paraId="38C37EF6" w14:textId="77777777" w:rsidR="001404F7" w:rsidRPr="00BF055A" w:rsidRDefault="001404F7" w:rsidP="001404F7">
      <w:pPr>
        <w:pStyle w:val="Heading7"/>
      </w:pPr>
      <w:r w:rsidRPr="00BF055A">
        <w:t>Analysis</w:t>
      </w:r>
    </w:p>
    <w:p w14:paraId="3EEA8886" w14:textId="77777777" w:rsidR="001404F7" w:rsidRPr="00022526" w:rsidRDefault="001404F7" w:rsidP="001404F7">
      <w:pPr>
        <w:rPr>
          <w:rFonts w:cs="Arial"/>
          <w:sz w:val="20"/>
          <w:szCs w:val="20"/>
        </w:rPr>
      </w:pPr>
      <w:r w:rsidRPr="00022526">
        <w:rPr>
          <w:rFonts w:cs="Arial"/>
          <w:sz w:val="20"/>
          <w:szCs w:val="20"/>
        </w:rPr>
        <w:t>The proportion of Age Pension recipients on part rate due to the means test reduced to 32.8 per cent in 2019–20 compared to around 38 per cent in the previous two financial years. The proportion in receipt of a part</w:t>
      </w:r>
      <w:r>
        <w:rPr>
          <w:rFonts w:cs="Arial"/>
          <w:sz w:val="20"/>
          <w:szCs w:val="20"/>
        </w:rPr>
        <w:t xml:space="preserve"> </w:t>
      </w:r>
      <w:r w:rsidRPr="00022526">
        <w:rPr>
          <w:rFonts w:cs="Arial"/>
          <w:sz w:val="20"/>
          <w:szCs w:val="20"/>
        </w:rPr>
        <w:t>rate is highest for pensioners aged 70 and under.</w:t>
      </w:r>
    </w:p>
    <w:p w14:paraId="468446C9" w14:textId="77777777" w:rsidR="001404F7" w:rsidRPr="00022526" w:rsidRDefault="001404F7" w:rsidP="001404F7">
      <w:pPr>
        <w:rPr>
          <w:rFonts w:cs="Arial"/>
          <w:sz w:val="20"/>
          <w:szCs w:val="20"/>
        </w:rPr>
      </w:pPr>
      <w:r w:rsidRPr="00022526">
        <w:rPr>
          <w:rFonts w:cs="Arial"/>
          <w:sz w:val="20"/>
          <w:szCs w:val="20"/>
        </w:rPr>
        <w:t>Over the longer-term, it is expected the proportion of Age Pension recipients on the part</w:t>
      </w:r>
      <w:r>
        <w:rPr>
          <w:rFonts w:cs="Arial"/>
          <w:sz w:val="20"/>
          <w:szCs w:val="20"/>
        </w:rPr>
        <w:t xml:space="preserve"> </w:t>
      </w:r>
      <w:r w:rsidRPr="00022526">
        <w:rPr>
          <w:rFonts w:cs="Arial"/>
          <w:sz w:val="20"/>
          <w:szCs w:val="20"/>
        </w:rPr>
        <w:t>rate will increase, because newer retirees are more likely to have accumulated superannuation savings due to the introduction of compulsory superannuation in 1992.</w:t>
      </w:r>
    </w:p>
    <w:p w14:paraId="5B9C5925" w14:textId="77777777" w:rsidR="001404F7" w:rsidRPr="00022526" w:rsidRDefault="001404F7" w:rsidP="001404F7">
      <w:pPr>
        <w:rPr>
          <w:rFonts w:cs="Arial"/>
          <w:sz w:val="20"/>
          <w:szCs w:val="20"/>
        </w:rPr>
      </w:pPr>
      <w:r w:rsidRPr="00022526">
        <w:rPr>
          <w:rFonts w:cs="Arial"/>
          <w:sz w:val="20"/>
          <w:szCs w:val="20"/>
        </w:rPr>
        <w:t>The downward trend of Disability Support Pension recipients on part</w:t>
      </w:r>
      <w:r>
        <w:rPr>
          <w:rFonts w:cs="Arial"/>
          <w:sz w:val="20"/>
          <w:szCs w:val="20"/>
        </w:rPr>
        <w:t xml:space="preserve"> </w:t>
      </w:r>
      <w:r w:rsidRPr="00022526">
        <w:rPr>
          <w:rFonts w:cs="Arial"/>
          <w:sz w:val="20"/>
          <w:szCs w:val="20"/>
        </w:rPr>
        <w:t>rate is partially influenced by improved assessments and tightened eligibility for recipients, which better targets the payment to people who are unable to support themselves due to their disability.</w:t>
      </w:r>
    </w:p>
    <w:p w14:paraId="1814CF43" w14:textId="77777777" w:rsidR="001404F7" w:rsidRPr="00022526" w:rsidRDefault="001404F7" w:rsidP="001404F7">
      <w:pPr>
        <w:rPr>
          <w:rFonts w:cs="Arial"/>
          <w:sz w:val="20"/>
          <w:szCs w:val="20"/>
        </w:rPr>
      </w:pPr>
      <w:r w:rsidRPr="00022526">
        <w:rPr>
          <w:rFonts w:cs="Arial"/>
          <w:sz w:val="20"/>
          <w:szCs w:val="20"/>
        </w:rPr>
        <w:t>There has been a slight reduction in the percentage of Carer Payment recipients receiving a part</w:t>
      </w:r>
      <w:r>
        <w:rPr>
          <w:rFonts w:cs="Arial"/>
          <w:sz w:val="20"/>
          <w:szCs w:val="20"/>
        </w:rPr>
        <w:t xml:space="preserve"> </w:t>
      </w:r>
      <w:r w:rsidRPr="00022526">
        <w:rPr>
          <w:rFonts w:cs="Arial"/>
          <w:sz w:val="20"/>
          <w:szCs w:val="20"/>
        </w:rPr>
        <w:t>rate of pension due to the means test over the past three years, from 22.5 per cent in 2017–18 to 19.5 per cent in 2019–20.</w:t>
      </w:r>
    </w:p>
    <w:p w14:paraId="356035CD" w14:textId="77777777" w:rsidR="00D96CDD" w:rsidRDefault="001404F7" w:rsidP="00D96CDD">
      <w:pPr>
        <w:rPr>
          <w:rFonts w:cs="Arial"/>
          <w:sz w:val="20"/>
          <w:szCs w:val="20"/>
        </w:rPr>
      </w:pPr>
      <w:r w:rsidRPr="00022526">
        <w:rPr>
          <w:rFonts w:cs="Arial"/>
          <w:sz w:val="20"/>
          <w:szCs w:val="20"/>
        </w:rPr>
        <w:t xml:space="preserve">This indicator captures recipients on a part rate due to the income test only for working age payments. This is because these payments are not payable at a part rate under the assets test. These payments are subject to personal and partner income tests, and for dependent Youth Allowance (other) recipients, a parental income test and where applicable, a maintenance income test where child support is being received in respect of the young person and that amount is above the maintenance income-free area. The proportion of working age payment recipients receiving a part rate has remained steady across most payment types. In line with the slight reduction in the proportion of recipients with earned income, the proportion of </w:t>
      </w:r>
      <w:proofErr w:type="spellStart"/>
      <w:r w:rsidRPr="00022526">
        <w:rPr>
          <w:rFonts w:cs="Arial"/>
          <w:sz w:val="20"/>
          <w:szCs w:val="20"/>
        </w:rPr>
        <w:t>Newstart</w:t>
      </w:r>
      <w:proofErr w:type="spellEnd"/>
      <w:r w:rsidRPr="00022526">
        <w:rPr>
          <w:rFonts w:cs="Arial"/>
          <w:sz w:val="20"/>
          <w:szCs w:val="20"/>
        </w:rPr>
        <w:t xml:space="preserve"> Allowance/</w:t>
      </w:r>
      <w:proofErr w:type="spellStart"/>
      <w:r w:rsidRPr="00022526">
        <w:rPr>
          <w:rFonts w:cs="Arial"/>
          <w:sz w:val="20"/>
          <w:szCs w:val="20"/>
        </w:rPr>
        <w:t>Job</w:t>
      </w:r>
      <w:r>
        <w:rPr>
          <w:rFonts w:cs="Arial"/>
          <w:sz w:val="20"/>
          <w:szCs w:val="20"/>
        </w:rPr>
        <w:t>S</w:t>
      </w:r>
      <w:r w:rsidRPr="00022526">
        <w:rPr>
          <w:rFonts w:cs="Arial"/>
          <w:sz w:val="20"/>
          <w:szCs w:val="20"/>
        </w:rPr>
        <w:t>eeker</w:t>
      </w:r>
      <w:proofErr w:type="spellEnd"/>
      <w:r w:rsidRPr="00022526">
        <w:rPr>
          <w:rFonts w:cs="Arial"/>
          <w:sz w:val="20"/>
          <w:szCs w:val="20"/>
        </w:rPr>
        <w:t xml:space="preserve"> Payment recipients on a part rate of payment also fell slightly. This can be attributed to the economic downturn that </w:t>
      </w:r>
      <w:r w:rsidRPr="00022526">
        <w:rPr>
          <w:rFonts w:cs="Arial"/>
          <w:sz w:val="20"/>
          <w:szCs w:val="20"/>
        </w:rPr>
        <w:lastRenderedPageBreak/>
        <w:t xml:space="preserve">occurred from March 2020 as a result of the health response to the </w:t>
      </w:r>
      <w:r>
        <w:rPr>
          <w:rFonts w:cs="Arial"/>
          <w:sz w:val="20"/>
          <w:szCs w:val="20"/>
        </w:rPr>
        <w:t>COVID-19</w:t>
      </w:r>
      <w:r w:rsidRPr="00022526">
        <w:rPr>
          <w:rFonts w:cs="Arial"/>
          <w:sz w:val="20"/>
          <w:szCs w:val="20"/>
        </w:rPr>
        <w:t xml:space="preserve"> pandemic that reduced opportunities for people to participate in the labour market.</w:t>
      </w:r>
    </w:p>
    <w:p w14:paraId="0C5DC8CB" w14:textId="2F74F823" w:rsidR="001404F7" w:rsidRPr="006447FF" w:rsidRDefault="001404F7" w:rsidP="00D96CDD">
      <w:pPr>
        <w:rPr>
          <w:rFonts w:ascii="Arial Narrow" w:eastAsia="Times New Roman" w:hAnsi="Arial Narrow" w:cs="Times New Roman"/>
          <w:b/>
          <w:bCs/>
          <w:spacing w:val="4"/>
          <w:sz w:val="20"/>
          <w:szCs w:val="18"/>
          <w:lang w:eastAsia="en-AU"/>
        </w:rPr>
      </w:pPr>
      <w:r w:rsidRPr="006447FF">
        <w:rPr>
          <w:rFonts w:ascii="Arial Narrow" w:eastAsia="Times New Roman" w:hAnsi="Arial Narrow" w:cs="Times New Roman"/>
          <w:b/>
          <w:bCs/>
          <w:spacing w:val="4"/>
          <w:sz w:val="20"/>
          <w:szCs w:val="18"/>
          <w:lang w:eastAsia="en-AU"/>
        </w:rPr>
        <w:t>Table 2.1.</w:t>
      </w:r>
      <w:r>
        <w:rPr>
          <w:rFonts w:ascii="Arial Narrow" w:eastAsia="Times New Roman" w:hAnsi="Arial Narrow" w:cs="Times New Roman"/>
          <w:b/>
          <w:bCs/>
          <w:spacing w:val="4"/>
          <w:sz w:val="20"/>
          <w:szCs w:val="18"/>
          <w:lang w:eastAsia="en-AU"/>
        </w:rPr>
        <w:t>9</w:t>
      </w:r>
      <w:r w:rsidRPr="006447FF">
        <w:rPr>
          <w:rFonts w:ascii="Arial Narrow" w:eastAsia="Times New Roman" w:hAnsi="Arial Narrow" w:cs="Times New Roman"/>
          <w:b/>
          <w:bCs/>
          <w:spacing w:val="4"/>
          <w:sz w:val="20"/>
          <w:szCs w:val="18"/>
          <w:lang w:eastAsia="en-AU"/>
        </w:rPr>
        <w:t>a: Percentage of recipients receiving a part rate of payment due to income or assets test</w:t>
      </w:r>
      <w:r>
        <w:rPr>
          <w:rFonts w:ascii="Arial Narrow" w:eastAsia="Times New Roman" w:hAnsi="Arial Narrow" w:cs="Times New Roman"/>
          <w:b/>
          <w:bCs/>
          <w:spacing w:val="4"/>
          <w:sz w:val="20"/>
          <w:szCs w:val="18"/>
          <w:lang w:eastAsia="en-AU"/>
        </w:rPr>
        <w:t xml:space="preserve"> </w:t>
      </w:r>
      <w:r w:rsidRPr="006447FF">
        <w:rPr>
          <w:rFonts w:ascii="Arial Narrow" w:eastAsia="Times New Roman" w:hAnsi="Arial Narrow" w:cs="Times New Roman"/>
          <w:b/>
          <w:bCs/>
          <w:spacing w:val="4"/>
          <w:sz w:val="20"/>
          <w:szCs w:val="18"/>
          <w:lang w:eastAsia="en-AU"/>
        </w:rPr>
        <w:t>—</w:t>
      </w:r>
      <w:r>
        <w:rPr>
          <w:rFonts w:ascii="Arial Narrow" w:eastAsia="Times New Roman" w:hAnsi="Arial Narrow" w:cs="Times New Roman"/>
          <w:b/>
          <w:bCs/>
          <w:spacing w:val="4"/>
          <w:sz w:val="20"/>
          <w:szCs w:val="18"/>
          <w:lang w:eastAsia="en-AU"/>
        </w:rPr>
        <w:t xml:space="preserve"> </w:t>
      </w:r>
      <w:r w:rsidRPr="006447FF">
        <w:rPr>
          <w:rFonts w:ascii="Arial Narrow" w:eastAsia="Times New Roman" w:hAnsi="Arial Narrow" w:cs="Times New Roman"/>
          <w:b/>
          <w:bCs/>
          <w:spacing w:val="4"/>
          <w:sz w:val="20"/>
          <w:szCs w:val="18"/>
          <w:lang w:eastAsia="en-AU"/>
        </w:rPr>
        <w:t>Family</w:t>
      </w:r>
      <w:r>
        <w:rPr>
          <w:rFonts w:ascii="Arial Narrow" w:eastAsia="Times New Roman" w:hAnsi="Arial Narrow" w:cs="Times New Roman"/>
          <w:b/>
          <w:bCs/>
          <w:spacing w:val="4"/>
          <w:sz w:val="20"/>
          <w:szCs w:val="18"/>
          <w:lang w:eastAsia="en-AU"/>
        </w:rPr>
        <w:t xml:space="preserve"> </w:t>
      </w:r>
      <w:r w:rsidRPr="006447FF">
        <w:rPr>
          <w:rFonts w:ascii="Arial Narrow" w:eastAsia="Times New Roman" w:hAnsi="Arial Narrow" w:cs="Times New Roman"/>
          <w:b/>
          <w:bCs/>
          <w:spacing w:val="4"/>
          <w:sz w:val="20"/>
          <w:szCs w:val="18"/>
          <w:lang w:eastAsia="en-AU"/>
        </w:rPr>
        <w:t>Tax</w:t>
      </w:r>
      <w:r>
        <w:rPr>
          <w:rFonts w:ascii="Arial Narrow" w:eastAsia="Times New Roman" w:hAnsi="Arial Narrow" w:cs="Times New Roman"/>
          <w:b/>
          <w:bCs/>
          <w:spacing w:val="4"/>
          <w:sz w:val="20"/>
          <w:szCs w:val="18"/>
          <w:lang w:eastAsia="en-AU"/>
        </w:rPr>
        <w:t xml:space="preserve"> </w:t>
      </w:r>
      <w:r w:rsidRPr="006447FF">
        <w:rPr>
          <w:rFonts w:ascii="Arial Narrow" w:eastAsia="Times New Roman" w:hAnsi="Arial Narrow" w:cs="Times New Roman"/>
          <w:b/>
          <w:bCs/>
          <w:spacing w:val="4"/>
          <w:sz w:val="20"/>
          <w:szCs w:val="18"/>
          <w:lang w:eastAsia="en-AU"/>
        </w:rPr>
        <w:t>Benefit</w:t>
      </w:r>
    </w:p>
    <w:tbl>
      <w:tblPr>
        <w:tblStyle w:val="HHorizontaltable1"/>
        <w:tblW w:w="5000" w:type="pct"/>
        <w:tblLook w:val="04A0" w:firstRow="1" w:lastRow="0" w:firstColumn="1" w:lastColumn="0" w:noHBand="0" w:noVBand="1"/>
        <w:tblCaption w:val="Table 2.1.9a: Percentage of recipients receiving a part rate of payment due to the income or assets test – Family Tax Benefit"/>
        <w:tblDescription w:val="Table 2.1.9a: Percentage of recipients receiving a part rate of payment due to the income or assets test – Family Tax Benefit"/>
      </w:tblPr>
      <w:tblGrid>
        <w:gridCol w:w="5001"/>
        <w:gridCol w:w="170"/>
        <w:gridCol w:w="1024"/>
        <w:gridCol w:w="197"/>
        <w:gridCol w:w="1219"/>
        <w:gridCol w:w="171"/>
        <w:gridCol w:w="1244"/>
      </w:tblGrid>
      <w:tr w:rsidR="001404F7" w:rsidRPr="006447FF" w14:paraId="6468E15A" w14:textId="77777777" w:rsidTr="001404F7">
        <w:trPr>
          <w:cnfStyle w:val="100000000000" w:firstRow="1" w:lastRow="0" w:firstColumn="0" w:lastColumn="0" w:oddVBand="0" w:evenVBand="0" w:oddHBand="0" w:evenHBand="0" w:firstRowFirstColumn="0" w:firstRowLastColumn="0" w:lastRowFirstColumn="0" w:lastRowLastColumn="0"/>
        </w:trPr>
        <w:tc>
          <w:tcPr>
            <w:tcW w:w="2771" w:type="pct"/>
            <w:vMerge w:val="restart"/>
            <w:hideMark/>
          </w:tcPr>
          <w:p w14:paraId="04ECD7DC" w14:textId="77777777" w:rsidR="001404F7" w:rsidRPr="00D13460" w:rsidRDefault="001404F7" w:rsidP="001404F7">
            <w:pPr>
              <w:keepNext/>
              <w:keepLines/>
              <w:spacing w:before="40" w:after="40"/>
              <w:rPr>
                <w:rFonts w:eastAsia="Times New Roman" w:cs="Times New Roman"/>
                <w:sz w:val="20"/>
                <w:szCs w:val="18"/>
              </w:rPr>
            </w:pPr>
            <w:r w:rsidRPr="00D13460">
              <w:rPr>
                <w:rFonts w:eastAsia="Times New Roman" w:cs="Times New Roman"/>
                <w:sz w:val="20"/>
                <w:szCs w:val="18"/>
              </w:rPr>
              <w:t>Intermediate outcome performance measure</w:t>
            </w:r>
          </w:p>
        </w:tc>
        <w:tc>
          <w:tcPr>
            <w:tcW w:w="2229" w:type="pct"/>
            <w:gridSpan w:val="6"/>
            <w:hideMark/>
          </w:tcPr>
          <w:p w14:paraId="0D21CAAC" w14:textId="77777777" w:rsidR="001404F7" w:rsidRPr="00D13460" w:rsidRDefault="001404F7" w:rsidP="001404F7">
            <w:pPr>
              <w:keepNext/>
              <w:keepLines/>
              <w:spacing w:before="40" w:after="40"/>
              <w:jc w:val="center"/>
              <w:rPr>
                <w:rFonts w:eastAsia="Times New Roman" w:cs="Times New Roman"/>
                <w:sz w:val="20"/>
                <w:szCs w:val="18"/>
              </w:rPr>
            </w:pPr>
            <w:r w:rsidRPr="00D13460">
              <w:rPr>
                <w:rFonts w:eastAsia="Times New Roman" w:cs="Times New Roman"/>
                <w:sz w:val="20"/>
                <w:szCs w:val="18"/>
              </w:rPr>
              <w:t xml:space="preserve">As </w:t>
            </w:r>
            <w:proofErr w:type="spellStart"/>
            <w:r w:rsidRPr="00D13460">
              <w:rPr>
                <w:rFonts w:eastAsia="Times New Roman" w:cs="Times New Roman"/>
                <w:sz w:val="20"/>
                <w:szCs w:val="18"/>
              </w:rPr>
              <w:t>at</w:t>
            </w:r>
            <w:r w:rsidRPr="00D13460">
              <w:rPr>
                <w:rFonts w:eastAsia="Times New Roman" w:cs="Times New Roman"/>
                <w:b w:val="0"/>
                <w:sz w:val="20"/>
                <w:szCs w:val="18"/>
                <w:vertAlign w:val="superscript"/>
              </w:rPr>
              <w:t>a</w:t>
            </w:r>
            <w:proofErr w:type="spellEnd"/>
          </w:p>
        </w:tc>
      </w:tr>
      <w:tr w:rsidR="001404F7" w:rsidRPr="009E65FC" w14:paraId="27EF1116" w14:textId="77777777" w:rsidTr="001404F7">
        <w:trPr>
          <w:cnfStyle w:val="000000100000" w:firstRow="0" w:lastRow="0" w:firstColumn="0" w:lastColumn="0" w:oddVBand="0" w:evenVBand="0" w:oddHBand="1" w:evenHBand="0" w:firstRowFirstColumn="0" w:firstRowLastColumn="0" w:lastRowFirstColumn="0" w:lastRowLastColumn="0"/>
        </w:trPr>
        <w:tc>
          <w:tcPr>
            <w:tcW w:w="0" w:type="auto"/>
            <w:vMerge/>
            <w:shd w:val="clear" w:color="auto" w:fill="00B0B9"/>
            <w:hideMark/>
          </w:tcPr>
          <w:p w14:paraId="269A34BB" w14:textId="77777777" w:rsidR="001404F7" w:rsidRPr="00D13460" w:rsidRDefault="001404F7" w:rsidP="001404F7">
            <w:pPr>
              <w:spacing w:before="40" w:after="40"/>
              <w:rPr>
                <w:rFonts w:eastAsia="Times New Roman" w:cs="Times New Roman"/>
                <w:sz w:val="20"/>
                <w:szCs w:val="18"/>
              </w:rPr>
            </w:pPr>
          </w:p>
        </w:tc>
        <w:tc>
          <w:tcPr>
            <w:tcW w:w="770" w:type="pct"/>
            <w:gridSpan w:val="3"/>
            <w:shd w:val="clear" w:color="auto" w:fill="00B0B9"/>
            <w:hideMark/>
          </w:tcPr>
          <w:p w14:paraId="04E5A727" w14:textId="77777777" w:rsidR="001404F7" w:rsidRPr="00D13460" w:rsidRDefault="001404F7" w:rsidP="001404F7">
            <w:pPr>
              <w:keepNext/>
              <w:keepLines/>
              <w:spacing w:before="40" w:after="40"/>
              <w:jc w:val="right"/>
              <w:rPr>
                <w:rFonts w:eastAsia="Times New Roman" w:cs="Times New Roman"/>
                <w:b/>
                <w:sz w:val="20"/>
                <w:szCs w:val="18"/>
              </w:rPr>
            </w:pPr>
            <w:r w:rsidRPr="00D13460">
              <w:rPr>
                <w:rFonts w:eastAsia="Times New Roman" w:cs="Times New Roman"/>
                <w:b/>
                <w:sz w:val="20"/>
                <w:szCs w:val="18"/>
              </w:rPr>
              <w:t>June 2018</w:t>
            </w:r>
          </w:p>
        </w:tc>
        <w:tc>
          <w:tcPr>
            <w:tcW w:w="770" w:type="pct"/>
            <w:gridSpan w:val="2"/>
            <w:shd w:val="clear" w:color="auto" w:fill="00B0B9"/>
            <w:hideMark/>
          </w:tcPr>
          <w:p w14:paraId="794A4600" w14:textId="77777777" w:rsidR="001404F7" w:rsidRPr="00D13460" w:rsidRDefault="001404F7" w:rsidP="001404F7">
            <w:pPr>
              <w:keepNext/>
              <w:keepLines/>
              <w:spacing w:before="40" w:after="40"/>
              <w:jc w:val="right"/>
              <w:rPr>
                <w:rFonts w:eastAsia="Times New Roman" w:cs="Times New Roman"/>
                <w:b/>
                <w:sz w:val="20"/>
                <w:szCs w:val="18"/>
              </w:rPr>
            </w:pPr>
            <w:r w:rsidRPr="00D13460">
              <w:rPr>
                <w:rFonts w:eastAsia="Times New Roman" w:cs="Times New Roman"/>
                <w:b/>
                <w:sz w:val="20"/>
                <w:szCs w:val="18"/>
              </w:rPr>
              <w:t>June 2017</w:t>
            </w:r>
          </w:p>
        </w:tc>
        <w:tc>
          <w:tcPr>
            <w:tcW w:w="689" w:type="pct"/>
            <w:shd w:val="clear" w:color="auto" w:fill="00B0B9"/>
            <w:hideMark/>
          </w:tcPr>
          <w:p w14:paraId="316C6F1A" w14:textId="77777777" w:rsidR="001404F7" w:rsidRPr="00D13460" w:rsidRDefault="001404F7" w:rsidP="001404F7">
            <w:pPr>
              <w:keepNext/>
              <w:keepLines/>
              <w:spacing w:before="40" w:after="40"/>
              <w:jc w:val="right"/>
              <w:rPr>
                <w:rFonts w:eastAsia="Times New Roman" w:cs="Times New Roman"/>
                <w:b/>
                <w:sz w:val="20"/>
                <w:szCs w:val="18"/>
              </w:rPr>
            </w:pPr>
            <w:r w:rsidRPr="00D13460">
              <w:rPr>
                <w:rFonts w:eastAsia="Times New Roman" w:cs="Times New Roman"/>
                <w:b/>
                <w:sz w:val="20"/>
                <w:szCs w:val="18"/>
              </w:rPr>
              <w:t>June 2016</w:t>
            </w:r>
          </w:p>
        </w:tc>
      </w:tr>
      <w:tr w:rsidR="001404F7" w:rsidRPr="006447FF" w14:paraId="5E1A2EF0"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7"/>
            <w:hideMark/>
          </w:tcPr>
          <w:p w14:paraId="196F4E43" w14:textId="77777777" w:rsidR="001404F7" w:rsidRPr="00323328" w:rsidRDefault="001404F7" w:rsidP="001404F7">
            <w:pPr>
              <w:spacing w:before="40" w:after="40"/>
              <w:rPr>
                <w:b/>
                <w:sz w:val="20"/>
                <w:szCs w:val="20"/>
              </w:rPr>
            </w:pPr>
            <w:r w:rsidRPr="00323328">
              <w:rPr>
                <w:b/>
                <w:sz w:val="20"/>
                <w:szCs w:val="20"/>
              </w:rPr>
              <w:t xml:space="preserve">Percentage of recipients receiving a part rate of payment due to income or assets </w:t>
            </w:r>
            <w:proofErr w:type="spellStart"/>
            <w:r w:rsidRPr="00323328">
              <w:rPr>
                <w:b/>
                <w:sz w:val="20"/>
                <w:szCs w:val="20"/>
              </w:rPr>
              <w:t>test</w:t>
            </w:r>
            <w:r w:rsidRPr="002D1EA4">
              <w:rPr>
                <w:sz w:val="20"/>
                <w:szCs w:val="20"/>
                <w:vertAlign w:val="superscript"/>
              </w:rPr>
              <w:t>b</w:t>
            </w:r>
            <w:proofErr w:type="spellEnd"/>
          </w:p>
        </w:tc>
      </w:tr>
      <w:tr w:rsidR="001404F7" w:rsidRPr="006447FF" w14:paraId="46702564"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7"/>
            <w:tcBorders>
              <w:bottom w:val="single" w:sz="12" w:space="0" w:color="00B0B9"/>
            </w:tcBorders>
            <w:hideMark/>
          </w:tcPr>
          <w:p w14:paraId="2D879BC8" w14:textId="77777777" w:rsidR="001404F7" w:rsidRPr="006447FF" w:rsidRDefault="001404F7" w:rsidP="001404F7">
            <w:pPr>
              <w:keepNext/>
              <w:keepLines/>
              <w:spacing w:before="40" w:after="40"/>
              <w:rPr>
                <w:rFonts w:eastAsia="Times New Roman" w:cs="Times New Roman"/>
                <w:color w:val="000000" w:themeColor="text1"/>
                <w:sz w:val="20"/>
                <w:szCs w:val="20"/>
              </w:rPr>
            </w:pPr>
            <w:r w:rsidRPr="006447FF">
              <w:rPr>
                <w:rFonts w:eastAsia="Times New Roman" w:cs="Times New Roman"/>
                <w:color w:val="000000" w:themeColor="text1"/>
                <w:sz w:val="20"/>
                <w:szCs w:val="20"/>
              </w:rPr>
              <w:t>Family Tax Benefit</w:t>
            </w:r>
          </w:p>
        </w:tc>
      </w:tr>
      <w:tr w:rsidR="001404F7" w:rsidRPr="006447FF" w14:paraId="4BA81EE7"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7"/>
            <w:tcBorders>
              <w:top w:val="single" w:sz="12" w:space="0" w:color="00B0B9"/>
              <w:bottom w:val="single" w:sz="4" w:space="0" w:color="FFFFFF" w:themeColor="background1"/>
            </w:tcBorders>
            <w:hideMark/>
          </w:tcPr>
          <w:p w14:paraId="57575015" w14:textId="77777777" w:rsidR="001404F7" w:rsidRPr="006447FF" w:rsidRDefault="001404F7" w:rsidP="001404F7">
            <w:pPr>
              <w:spacing w:before="40" w:after="40"/>
              <w:rPr>
                <w:rFonts w:eastAsia="Times New Roman"/>
                <w:b/>
                <w:color w:val="000000" w:themeColor="text1"/>
                <w:spacing w:val="4"/>
                <w:sz w:val="20"/>
                <w:szCs w:val="17"/>
                <w:lang w:val="en-GB"/>
              </w:rPr>
            </w:pPr>
            <w:r w:rsidRPr="006447FF">
              <w:rPr>
                <w:rFonts w:eastAsia="Times New Roman"/>
                <w:b/>
                <w:color w:val="000000" w:themeColor="text1"/>
                <w:spacing w:val="4"/>
                <w:sz w:val="20"/>
                <w:szCs w:val="17"/>
                <w:lang w:val="en-GB"/>
              </w:rPr>
              <w:t>Family Tax Benefit Part A</w:t>
            </w:r>
            <w:r w:rsidRPr="006447FF">
              <w:rPr>
                <w:rFonts w:eastAsia="Times New Roman"/>
                <w:color w:val="000000" w:themeColor="text1"/>
                <w:spacing w:val="4"/>
                <w:sz w:val="20"/>
                <w:szCs w:val="17"/>
                <w:vertAlign w:val="superscript"/>
                <w:lang w:val="en-GB"/>
              </w:rPr>
              <w:t>c</w:t>
            </w:r>
          </w:p>
        </w:tc>
      </w:tr>
      <w:tr w:rsidR="001404F7" w:rsidRPr="006447FF" w14:paraId="112DFD92" w14:textId="77777777" w:rsidTr="001404F7">
        <w:trPr>
          <w:cnfStyle w:val="000000100000" w:firstRow="0" w:lastRow="0" w:firstColumn="0" w:lastColumn="0" w:oddVBand="0" w:evenVBand="0" w:oddHBand="1" w:evenHBand="0" w:firstRowFirstColumn="0" w:firstRowLastColumn="0" w:lastRowFirstColumn="0" w:lastRowLastColumn="0"/>
        </w:trPr>
        <w:tc>
          <w:tcPr>
            <w:tcW w:w="2865" w:type="pct"/>
            <w:gridSpan w:val="2"/>
            <w:tcBorders>
              <w:top w:val="single" w:sz="4" w:space="0" w:color="FFFFFF" w:themeColor="background1"/>
            </w:tcBorders>
            <w:hideMark/>
          </w:tcPr>
          <w:p w14:paraId="0BB665A1" w14:textId="77777777" w:rsidR="001404F7" w:rsidRPr="006447FF" w:rsidRDefault="001404F7" w:rsidP="001404F7">
            <w:pPr>
              <w:numPr>
                <w:ilvl w:val="0"/>
                <w:numId w:val="67"/>
              </w:numPr>
              <w:spacing w:before="40" w:after="40"/>
              <w:ind w:left="447"/>
              <w:rPr>
                <w:rFonts w:eastAsia="Times New Roman" w:cs="Arial"/>
                <w:color w:val="000000" w:themeColor="text1"/>
                <w:spacing w:val="4"/>
                <w:sz w:val="20"/>
                <w:szCs w:val="20"/>
                <w:lang w:val="en-GB"/>
              </w:rPr>
            </w:pPr>
            <w:r w:rsidRPr="006447FF">
              <w:rPr>
                <w:rFonts w:eastAsia="Times New Roman"/>
                <w:color w:val="000000" w:themeColor="text1"/>
                <w:spacing w:val="4"/>
                <w:sz w:val="20"/>
                <w:szCs w:val="20"/>
                <w:lang w:val="en-GB"/>
              </w:rPr>
              <w:t xml:space="preserve">Income </w:t>
            </w:r>
            <w:proofErr w:type="spellStart"/>
            <w:r w:rsidRPr="006447FF">
              <w:rPr>
                <w:rFonts w:eastAsia="Times New Roman"/>
                <w:color w:val="000000" w:themeColor="text1"/>
                <w:spacing w:val="4"/>
                <w:sz w:val="20"/>
                <w:szCs w:val="20"/>
                <w:lang w:val="en-GB"/>
              </w:rPr>
              <w:t>test</w:t>
            </w:r>
            <w:r w:rsidRPr="006447FF">
              <w:rPr>
                <w:rFonts w:eastAsia="Times New Roman"/>
                <w:color w:val="000000" w:themeColor="text1"/>
                <w:spacing w:val="4"/>
                <w:sz w:val="20"/>
                <w:szCs w:val="20"/>
                <w:vertAlign w:val="superscript"/>
                <w:lang w:val="en-GB"/>
              </w:rPr>
              <w:t>d</w:t>
            </w:r>
            <w:proofErr w:type="spellEnd"/>
          </w:p>
        </w:tc>
        <w:tc>
          <w:tcPr>
            <w:tcW w:w="567" w:type="pct"/>
            <w:tcBorders>
              <w:top w:val="single" w:sz="4" w:space="0" w:color="FFFFFF" w:themeColor="background1"/>
            </w:tcBorders>
            <w:hideMark/>
          </w:tcPr>
          <w:p w14:paraId="6F657F91" w14:textId="77777777" w:rsidR="001404F7" w:rsidRPr="00323328" w:rsidRDefault="001404F7" w:rsidP="001404F7">
            <w:pPr>
              <w:spacing w:before="40" w:after="40"/>
              <w:jc w:val="right"/>
              <w:rPr>
                <w:rFonts w:eastAsia="Times New Roman"/>
                <w:spacing w:val="4"/>
                <w:sz w:val="20"/>
                <w:szCs w:val="20"/>
                <w:lang w:val="en-GB"/>
              </w:rPr>
            </w:pPr>
            <w:r w:rsidRPr="00323328">
              <w:rPr>
                <w:sz w:val="20"/>
                <w:szCs w:val="20"/>
              </w:rPr>
              <w:t>40.4%</w:t>
            </w:r>
          </w:p>
        </w:tc>
        <w:tc>
          <w:tcPr>
            <w:tcW w:w="784" w:type="pct"/>
            <w:gridSpan w:val="2"/>
            <w:tcBorders>
              <w:top w:val="single" w:sz="4" w:space="0" w:color="FFFFFF" w:themeColor="background1"/>
            </w:tcBorders>
            <w:hideMark/>
          </w:tcPr>
          <w:p w14:paraId="23DBD2B7"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40.5%</w:t>
            </w:r>
          </w:p>
        </w:tc>
        <w:tc>
          <w:tcPr>
            <w:tcW w:w="784" w:type="pct"/>
            <w:gridSpan w:val="2"/>
            <w:tcBorders>
              <w:top w:val="single" w:sz="4" w:space="0" w:color="FFFFFF" w:themeColor="background1"/>
            </w:tcBorders>
            <w:hideMark/>
          </w:tcPr>
          <w:p w14:paraId="432F85D4"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40.9%</w:t>
            </w:r>
          </w:p>
        </w:tc>
      </w:tr>
      <w:tr w:rsidR="001404F7" w:rsidRPr="006447FF" w14:paraId="63FBAAA1" w14:textId="77777777" w:rsidTr="001404F7">
        <w:trPr>
          <w:cnfStyle w:val="000000010000" w:firstRow="0" w:lastRow="0" w:firstColumn="0" w:lastColumn="0" w:oddVBand="0" w:evenVBand="0" w:oddHBand="0" w:evenHBand="1" w:firstRowFirstColumn="0" w:firstRowLastColumn="0" w:lastRowFirstColumn="0" w:lastRowLastColumn="0"/>
        </w:trPr>
        <w:tc>
          <w:tcPr>
            <w:tcW w:w="2865" w:type="pct"/>
            <w:gridSpan w:val="2"/>
            <w:hideMark/>
          </w:tcPr>
          <w:p w14:paraId="2C657E91" w14:textId="77777777" w:rsidR="001404F7" w:rsidRPr="006447FF" w:rsidRDefault="001404F7" w:rsidP="001404F7">
            <w:pPr>
              <w:numPr>
                <w:ilvl w:val="0"/>
                <w:numId w:val="67"/>
              </w:numPr>
              <w:spacing w:before="40" w:after="40"/>
              <w:ind w:left="447"/>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Maintenance income test</w:t>
            </w:r>
            <w:r w:rsidRPr="006447FF">
              <w:rPr>
                <w:rFonts w:eastAsia="Times New Roman"/>
                <w:color w:val="000000" w:themeColor="text1"/>
                <w:spacing w:val="4"/>
                <w:sz w:val="20"/>
                <w:szCs w:val="20"/>
                <w:vertAlign w:val="superscript"/>
                <w:lang w:val="en-GB"/>
              </w:rPr>
              <w:t>e</w:t>
            </w:r>
          </w:p>
        </w:tc>
        <w:tc>
          <w:tcPr>
            <w:tcW w:w="567" w:type="pct"/>
            <w:hideMark/>
          </w:tcPr>
          <w:p w14:paraId="4CB540D0" w14:textId="77777777" w:rsidR="001404F7" w:rsidRPr="00323328" w:rsidRDefault="001404F7" w:rsidP="001404F7">
            <w:pPr>
              <w:spacing w:before="40" w:after="40"/>
              <w:jc w:val="right"/>
              <w:rPr>
                <w:rFonts w:eastAsia="Times New Roman"/>
                <w:spacing w:val="4"/>
                <w:sz w:val="20"/>
                <w:szCs w:val="20"/>
                <w:lang w:val="en-GB"/>
              </w:rPr>
            </w:pPr>
            <w:r w:rsidRPr="00323328">
              <w:rPr>
                <w:sz w:val="20"/>
                <w:szCs w:val="20"/>
              </w:rPr>
              <w:t>21.4%</w:t>
            </w:r>
          </w:p>
        </w:tc>
        <w:tc>
          <w:tcPr>
            <w:tcW w:w="784" w:type="pct"/>
            <w:gridSpan w:val="2"/>
            <w:hideMark/>
          </w:tcPr>
          <w:p w14:paraId="608457FB"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20.7%</w:t>
            </w:r>
          </w:p>
        </w:tc>
        <w:tc>
          <w:tcPr>
            <w:tcW w:w="784" w:type="pct"/>
            <w:gridSpan w:val="2"/>
            <w:hideMark/>
          </w:tcPr>
          <w:p w14:paraId="50303204"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20.3%</w:t>
            </w:r>
          </w:p>
        </w:tc>
      </w:tr>
      <w:tr w:rsidR="001404F7" w:rsidRPr="006447FF" w14:paraId="186E0C4D"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7"/>
            <w:hideMark/>
          </w:tcPr>
          <w:p w14:paraId="48CDC0E6" w14:textId="77777777" w:rsidR="001404F7" w:rsidRPr="006447FF" w:rsidRDefault="001404F7" w:rsidP="001404F7">
            <w:pPr>
              <w:spacing w:before="40" w:after="40"/>
              <w:rPr>
                <w:rFonts w:eastAsia="Times New Roman" w:cs="Arial"/>
                <w:b/>
                <w:color w:val="000000" w:themeColor="text1"/>
                <w:spacing w:val="4"/>
                <w:sz w:val="20"/>
                <w:szCs w:val="17"/>
                <w:lang w:val="en-GB"/>
              </w:rPr>
            </w:pPr>
            <w:r w:rsidRPr="006447FF">
              <w:rPr>
                <w:rFonts w:eastAsia="Times New Roman"/>
                <w:b/>
                <w:color w:val="000000" w:themeColor="text1"/>
                <w:spacing w:val="4"/>
                <w:sz w:val="20"/>
                <w:szCs w:val="17"/>
                <w:lang w:val="en-GB"/>
              </w:rPr>
              <w:t>Family Tax Benefit Part B</w:t>
            </w:r>
          </w:p>
        </w:tc>
      </w:tr>
      <w:tr w:rsidR="001404F7" w:rsidRPr="006447FF" w14:paraId="0C8475F3" w14:textId="77777777" w:rsidTr="001404F7">
        <w:trPr>
          <w:cnfStyle w:val="000000010000" w:firstRow="0" w:lastRow="0" w:firstColumn="0" w:lastColumn="0" w:oddVBand="0" w:evenVBand="0" w:oddHBand="0" w:evenHBand="1" w:firstRowFirstColumn="0" w:firstRowLastColumn="0" w:lastRowFirstColumn="0" w:lastRowLastColumn="0"/>
        </w:trPr>
        <w:tc>
          <w:tcPr>
            <w:tcW w:w="2865" w:type="pct"/>
            <w:gridSpan w:val="2"/>
            <w:hideMark/>
          </w:tcPr>
          <w:p w14:paraId="50DAAA28" w14:textId="77777777" w:rsidR="001404F7" w:rsidRPr="006447FF" w:rsidRDefault="001404F7" w:rsidP="001404F7">
            <w:pPr>
              <w:numPr>
                <w:ilvl w:val="0"/>
                <w:numId w:val="67"/>
              </w:numPr>
              <w:spacing w:before="40" w:after="40"/>
              <w:ind w:left="447"/>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Income test</w:t>
            </w:r>
          </w:p>
        </w:tc>
        <w:tc>
          <w:tcPr>
            <w:tcW w:w="567" w:type="pct"/>
            <w:hideMark/>
          </w:tcPr>
          <w:p w14:paraId="6FBEA59B"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323328">
              <w:rPr>
                <w:rFonts w:eastAsia="Times New Roman"/>
                <w:spacing w:val="4"/>
                <w:sz w:val="20"/>
                <w:szCs w:val="17"/>
                <w:lang w:val="en-GB"/>
              </w:rPr>
              <w:t>24.8%</w:t>
            </w:r>
          </w:p>
        </w:tc>
        <w:tc>
          <w:tcPr>
            <w:tcW w:w="784" w:type="pct"/>
            <w:gridSpan w:val="2"/>
            <w:hideMark/>
          </w:tcPr>
          <w:p w14:paraId="7FE42CC8"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25.7%</w:t>
            </w:r>
          </w:p>
        </w:tc>
        <w:tc>
          <w:tcPr>
            <w:tcW w:w="784" w:type="pct"/>
            <w:gridSpan w:val="2"/>
            <w:hideMark/>
          </w:tcPr>
          <w:p w14:paraId="6F96F010"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28.0%</w:t>
            </w:r>
          </w:p>
        </w:tc>
      </w:tr>
    </w:tbl>
    <w:p w14:paraId="50ADA08D" w14:textId="354ADB9E" w:rsidR="001404F7" w:rsidRPr="004A5FAD" w:rsidRDefault="001404F7" w:rsidP="001404F7">
      <w:pPr>
        <w:spacing w:before="160" w:after="60" w:line="240" w:lineRule="auto"/>
        <w:ind w:left="284" w:hanging="284"/>
        <w:contextualSpacing/>
        <w:rPr>
          <w:rFonts w:cs="Arial"/>
          <w:sz w:val="16"/>
          <w:szCs w:val="16"/>
        </w:rPr>
      </w:pPr>
      <w:r w:rsidRPr="004A5FAD">
        <w:rPr>
          <w:rFonts w:cs="Arial"/>
          <w:sz w:val="16"/>
          <w:szCs w:val="16"/>
        </w:rPr>
        <w:t>a</w:t>
      </w:r>
      <w:r w:rsidRPr="004A5FAD">
        <w:rPr>
          <w:rFonts w:cs="Arial"/>
          <w:sz w:val="16"/>
          <w:szCs w:val="16"/>
        </w:rPr>
        <w:tab/>
        <w:t>Family Tax Benefit instalment population as at June each year.</w:t>
      </w:r>
      <w:r>
        <w:rPr>
          <w:rFonts w:cs="Arial"/>
          <w:sz w:val="16"/>
          <w:szCs w:val="16"/>
        </w:rPr>
        <w:t xml:space="preserve"> </w:t>
      </w:r>
    </w:p>
    <w:p w14:paraId="2FF520AF" w14:textId="77777777" w:rsidR="001404F7" w:rsidRPr="004A5FAD" w:rsidRDefault="001404F7" w:rsidP="001404F7">
      <w:pPr>
        <w:spacing w:before="160" w:after="60" w:line="240" w:lineRule="auto"/>
        <w:ind w:left="284" w:hanging="284"/>
        <w:contextualSpacing/>
        <w:rPr>
          <w:rFonts w:cs="Arial"/>
          <w:sz w:val="16"/>
          <w:szCs w:val="16"/>
        </w:rPr>
      </w:pPr>
      <w:r w:rsidRPr="004A5FAD">
        <w:rPr>
          <w:rFonts w:cs="Arial"/>
          <w:sz w:val="16"/>
          <w:szCs w:val="16"/>
        </w:rPr>
        <w:t>b</w:t>
      </w:r>
      <w:r w:rsidRPr="004A5FAD">
        <w:rPr>
          <w:rFonts w:cs="Arial"/>
          <w:sz w:val="16"/>
          <w:szCs w:val="16"/>
        </w:rPr>
        <w:tab/>
        <w:t>Family Tax Benefit recipients are not subject to an assets test.</w:t>
      </w:r>
    </w:p>
    <w:p w14:paraId="69F39CC8" w14:textId="77777777" w:rsidR="001404F7" w:rsidRPr="004A5FAD" w:rsidRDefault="001404F7" w:rsidP="001404F7">
      <w:pPr>
        <w:spacing w:before="160" w:after="60" w:line="240" w:lineRule="auto"/>
        <w:ind w:left="284" w:hanging="284"/>
        <w:contextualSpacing/>
        <w:rPr>
          <w:rFonts w:cs="Arial"/>
          <w:sz w:val="16"/>
          <w:szCs w:val="16"/>
        </w:rPr>
      </w:pPr>
      <w:r w:rsidRPr="004A5FAD">
        <w:rPr>
          <w:rFonts w:cs="Arial"/>
          <w:sz w:val="16"/>
          <w:szCs w:val="16"/>
        </w:rPr>
        <w:t xml:space="preserve">c </w:t>
      </w:r>
      <w:r w:rsidRPr="004A5FAD">
        <w:rPr>
          <w:rFonts w:cs="Arial"/>
          <w:sz w:val="16"/>
          <w:szCs w:val="16"/>
        </w:rPr>
        <w:tab/>
        <w:t xml:space="preserve">In this measure, a recipient may be captured in more than one category, that is, both income test and maintenance income test for Family Tax Benefit Part A. In </w:t>
      </w:r>
      <w:r>
        <w:rPr>
          <w:rFonts w:cs="Arial"/>
          <w:sz w:val="16"/>
          <w:szCs w:val="16"/>
        </w:rPr>
        <w:t>Table 2.1.11</w:t>
      </w:r>
      <w:r w:rsidRPr="00BD3997">
        <w:rPr>
          <w:rFonts w:cs="Arial"/>
          <w:sz w:val="16"/>
          <w:szCs w:val="16"/>
        </w:rPr>
        <w:t>a,</w:t>
      </w:r>
      <w:r w:rsidRPr="004A5FAD">
        <w:rPr>
          <w:rFonts w:cs="Arial"/>
          <w:sz w:val="16"/>
          <w:szCs w:val="16"/>
        </w:rPr>
        <w:t xml:space="preserve"> recipients are captured in one category only.</w:t>
      </w:r>
    </w:p>
    <w:p w14:paraId="41D2A23C" w14:textId="77777777" w:rsidR="001404F7" w:rsidRPr="004A5FAD" w:rsidRDefault="001404F7" w:rsidP="001404F7">
      <w:pPr>
        <w:spacing w:before="160" w:after="60" w:line="240" w:lineRule="auto"/>
        <w:ind w:left="284" w:hanging="284"/>
        <w:contextualSpacing/>
        <w:rPr>
          <w:rFonts w:cs="Arial"/>
          <w:sz w:val="16"/>
          <w:szCs w:val="16"/>
        </w:rPr>
      </w:pPr>
      <w:r w:rsidRPr="004A5FAD">
        <w:rPr>
          <w:rFonts w:cs="Arial"/>
          <w:sz w:val="16"/>
          <w:szCs w:val="16"/>
        </w:rPr>
        <w:t xml:space="preserve">d </w:t>
      </w:r>
      <w:r w:rsidRPr="004A5FAD">
        <w:rPr>
          <w:rFonts w:cs="Arial"/>
          <w:sz w:val="16"/>
          <w:szCs w:val="16"/>
        </w:rPr>
        <w:tab/>
        <w:t>This measure captures any recipient whose entitlement is reduced by an income test.</w:t>
      </w:r>
    </w:p>
    <w:p w14:paraId="48A6C21F" w14:textId="77777777" w:rsidR="001404F7" w:rsidRPr="006447FF" w:rsidRDefault="001404F7" w:rsidP="001404F7">
      <w:pPr>
        <w:spacing w:before="160" w:after="60" w:line="240" w:lineRule="auto"/>
        <w:ind w:left="284" w:hanging="284"/>
        <w:contextualSpacing/>
        <w:rPr>
          <w:rFonts w:cs="Arial"/>
          <w:sz w:val="16"/>
          <w:szCs w:val="16"/>
        </w:rPr>
      </w:pPr>
      <w:r w:rsidRPr="004A5FAD">
        <w:rPr>
          <w:rFonts w:cs="Arial"/>
          <w:sz w:val="16"/>
          <w:szCs w:val="16"/>
        </w:rPr>
        <w:t xml:space="preserve">e </w:t>
      </w:r>
      <w:r w:rsidRPr="004A5FAD">
        <w:rPr>
          <w:rFonts w:cs="Arial"/>
          <w:sz w:val="16"/>
          <w:szCs w:val="16"/>
        </w:rPr>
        <w:tab/>
        <w:t>This measure captures any recipient whose entitlement is reduced by the maintenance income test.</w:t>
      </w:r>
    </w:p>
    <w:p w14:paraId="4071EF6F" w14:textId="77777777" w:rsidR="001404F7" w:rsidRPr="00577E4E" w:rsidRDefault="001404F7" w:rsidP="001404F7">
      <w:pPr>
        <w:rPr>
          <w:sz w:val="20"/>
          <w:szCs w:val="20"/>
        </w:rPr>
      </w:pPr>
    </w:p>
    <w:p w14:paraId="6DFB5CCC" w14:textId="77777777" w:rsidR="001404F7" w:rsidRPr="006447FF"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sidRPr="006447FF">
        <w:rPr>
          <w:rFonts w:ascii="Arial Narrow" w:eastAsia="Times New Roman" w:hAnsi="Arial Narrow" w:cs="Times New Roman"/>
          <w:b/>
          <w:bCs/>
          <w:spacing w:val="4"/>
          <w:sz w:val="20"/>
          <w:szCs w:val="18"/>
          <w:lang w:eastAsia="en-AU"/>
        </w:rPr>
        <w:t>Table 2.1.</w:t>
      </w:r>
      <w:r>
        <w:rPr>
          <w:rFonts w:ascii="Arial Narrow" w:eastAsia="Times New Roman" w:hAnsi="Arial Narrow" w:cs="Times New Roman"/>
          <w:b/>
          <w:bCs/>
          <w:spacing w:val="4"/>
          <w:sz w:val="20"/>
          <w:szCs w:val="18"/>
          <w:lang w:eastAsia="en-AU"/>
        </w:rPr>
        <w:t>9</w:t>
      </w:r>
      <w:r w:rsidRPr="006447FF">
        <w:rPr>
          <w:rFonts w:ascii="Arial Narrow" w:eastAsia="Times New Roman" w:hAnsi="Arial Narrow" w:cs="Times New Roman"/>
          <w:b/>
          <w:bCs/>
          <w:spacing w:val="4"/>
          <w:sz w:val="20"/>
          <w:szCs w:val="18"/>
          <w:lang w:eastAsia="en-AU"/>
        </w:rPr>
        <w:t>b: Percentage of recipients who did not meet the Family Tax Benefit Maintenance Action Test</w:t>
      </w:r>
    </w:p>
    <w:tbl>
      <w:tblPr>
        <w:tblStyle w:val="HHorizontaltable1"/>
        <w:tblW w:w="5047" w:type="pct"/>
        <w:tblLook w:val="04A0" w:firstRow="1" w:lastRow="0" w:firstColumn="1" w:lastColumn="0" w:noHBand="0" w:noVBand="1"/>
        <w:tblCaption w:val="Table 2.1.9b: Percentage of recipients who did not meet the Family Tax Benefit Maintenance Action Test"/>
        <w:tblDescription w:val="Table 2.1.9b: Percentage of recipients who did not meet the Family Tax Benefit Maintenance Action Test."/>
      </w:tblPr>
      <w:tblGrid>
        <w:gridCol w:w="5010"/>
        <w:gridCol w:w="1593"/>
        <w:gridCol w:w="1307"/>
        <w:gridCol w:w="1201"/>
      </w:tblGrid>
      <w:tr w:rsidR="001404F7" w:rsidRPr="006447FF" w14:paraId="61CD9C52" w14:textId="77777777" w:rsidTr="001404F7">
        <w:trPr>
          <w:cnfStyle w:val="100000000000" w:firstRow="1" w:lastRow="0" w:firstColumn="0" w:lastColumn="0" w:oddVBand="0" w:evenVBand="0" w:oddHBand="0" w:evenHBand="0" w:firstRowFirstColumn="0" w:firstRowLastColumn="0" w:lastRowFirstColumn="0" w:lastRowLastColumn="0"/>
          <w:trHeight w:val="344"/>
        </w:trPr>
        <w:tc>
          <w:tcPr>
            <w:tcW w:w="2750" w:type="pct"/>
            <w:vMerge w:val="restart"/>
            <w:hideMark/>
          </w:tcPr>
          <w:p w14:paraId="5F23F864" w14:textId="77777777" w:rsidR="001404F7" w:rsidRPr="00D13460" w:rsidRDefault="001404F7" w:rsidP="001404F7">
            <w:pPr>
              <w:keepNext/>
              <w:keepLines/>
              <w:spacing w:before="40" w:after="40"/>
              <w:rPr>
                <w:rFonts w:eastAsia="Times New Roman" w:cs="Times New Roman"/>
                <w:sz w:val="20"/>
                <w:szCs w:val="18"/>
              </w:rPr>
            </w:pPr>
            <w:r w:rsidRPr="00D13460">
              <w:rPr>
                <w:rFonts w:eastAsia="Times New Roman" w:cs="Times New Roman"/>
                <w:sz w:val="20"/>
                <w:szCs w:val="18"/>
              </w:rPr>
              <w:t xml:space="preserve">Intermediate outcome performance </w:t>
            </w:r>
            <w:proofErr w:type="spellStart"/>
            <w:r w:rsidRPr="00D13460">
              <w:rPr>
                <w:rFonts w:eastAsia="Times New Roman" w:cs="Times New Roman"/>
                <w:sz w:val="20"/>
                <w:szCs w:val="18"/>
              </w:rPr>
              <w:t>measure</w:t>
            </w:r>
            <w:r w:rsidRPr="00D13460">
              <w:rPr>
                <w:rFonts w:eastAsia="Times New Roman" w:cs="Times New Roman"/>
                <w:sz w:val="20"/>
                <w:szCs w:val="18"/>
                <w:vertAlign w:val="superscript"/>
              </w:rPr>
              <w:t>a</w:t>
            </w:r>
            <w:proofErr w:type="spellEnd"/>
          </w:p>
        </w:tc>
        <w:tc>
          <w:tcPr>
            <w:tcW w:w="2250" w:type="pct"/>
            <w:gridSpan w:val="3"/>
            <w:hideMark/>
          </w:tcPr>
          <w:p w14:paraId="01FCFEF5" w14:textId="77777777" w:rsidR="001404F7" w:rsidRPr="00D13460" w:rsidRDefault="001404F7" w:rsidP="001404F7">
            <w:pPr>
              <w:keepNext/>
              <w:keepLines/>
              <w:spacing w:before="40" w:after="40"/>
              <w:jc w:val="center"/>
              <w:rPr>
                <w:rFonts w:eastAsia="Times New Roman" w:cs="Times New Roman"/>
                <w:sz w:val="20"/>
                <w:szCs w:val="18"/>
              </w:rPr>
            </w:pPr>
            <w:r w:rsidRPr="00D13460">
              <w:rPr>
                <w:rFonts w:eastAsia="Times New Roman" w:cs="Times New Roman"/>
                <w:sz w:val="20"/>
                <w:szCs w:val="18"/>
              </w:rPr>
              <w:t>As at</w:t>
            </w:r>
          </w:p>
        </w:tc>
      </w:tr>
      <w:tr w:rsidR="001404F7" w:rsidRPr="006447FF" w14:paraId="060C8B4C" w14:textId="77777777" w:rsidTr="001404F7">
        <w:trPr>
          <w:cnfStyle w:val="000000100000" w:firstRow="0" w:lastRow="0" w:firstColumn="0" w:lastColumn="0" w:oddVBand="0" w:evenVBand="0" w:oddHBand="1" w:evenHBand="0" w:firstRowFirstColumn="0" w:firstRowLastColumn="0" w:lastRowFirstColumn="0" w:lastRowLastColumn="0"/>
          <w:trHeight w:val="360"/>
        </w:trPr>
        <w:tc>
          <w:tcPr>
            <w:tcW w:w="0" w:type="auto"/>
            <w:vMerge/>
            <w:shd w:val="clear" w:color="auto" w:fill="00B0B9"/>
            <w:hideMark/>
          </w:tcPr>
          <w:p w14:paraId="27F2F326" w14:textId="77777777" w:rsidR="001404F7" w:rsidRPr="00D13460" w:rsidRDefault="001404F7" w:rsidP="001404F7">
            <w:pPr>
              <w:spacing w:before="40" w:after="40"/>
              <w:rPr>
                <w:rFonts w:eastAsia="Times New Roman" w:cs="Times New Roman"/>
                <w:sz w:val="20"/>
                <w:szCs w:val="18"/>
              </w:rPr>
            </w:pPr>
          </w:p>
        </w:tc>
        <w:tc>
          <w:tcPr>
            <w:tcW w:w="874" w:type="pct"/>
            <w:shd w:val="clear" w:color="auto" w:fill="00B0B9"/>
            <w:hideMark/>
          </w:tcPr>
          <w:p w14:paraId="2E66BEDD" w14:textId="77777777" w:rsidR="001404F7" w:rsidRPr="00D13460" w:rsidRDefault="001404F7" w:rsidP="001404F7">
            <w:pPr>
              <w:keepNext/>
              <w:keepLines/>
              <w:spacing w:before="40" w:after="40"/>
              <w:rPr>
                <w:rFonts w:eastAsia="Times New Roman" w:cs="Times New Roman"/>
                <w:b/>
                <w:sz w:val="20"/>
                <w:szCs w:val="18"/>
              </w:rPr>
            </w:pPr>
            <w:r w:rsidRPr="00D13460">
              <w:rPr>
                <w:rFonts w:eastAsia="Times New Roman" w:cs="Times New Roman"/>
                <w:b/>
                <w:sz w:val="20"/>
                <w:szCs w:val="18"/>
              </w:rPr>
              <w:t>June 2018</w:t>
            </w:r>
          </w:p>
        </w:tc>
        <w:tc>
          <w:tcPr>
            <w:tcW w:w="717" w:type="pct"/>
            <w:shd w:val="clear" w:color="auto" w:fill="00B0B9"/>
            <w:hideMark/>
          </w:tcPr>
          <w:p w14:paraId="36B4F7C2" w14:textId="77777777" w:rsidR="001404F7" w:rsidRPr="00D13460" w:rsidRDefault="001404F7" w:rsidP="001404F7">
            <w:pPr>
              <w:keepNext/>
              <w:keepLines/>
              <w:spacing w:before="40" w:after="40"/>
              <w:rPr>
                <w:rFonts w:eastAsia="Times New Roman" w:cs="Times New Roman"/>
                <w:b/>
                <w:sz w:val="20"/>
                <w:szCs w:val="18"/>
              </w:rPr>
            </w:pPr>
            <w:r w:rsidRPr="00D13460">
              <w:rPr>
                <w:rFonts w:eastAsia="Times New Roman" w:cs="Times New Roman"/>
                <w:b/>
                <w:sz w:val="20"/>
                <w:szCs w:val="18"/>
              </w:rPr>
              <w:t>June 2017</w:t>
            </w:r>
          </w:p>
        </w:tc>
        <w:tc>
          <w:tcPr>
            <w:tcW w:w="659" w:type="pct"/>
            <w:shd w:val="clear" w:color="auto" w:fill="00B0B9"/>
            <w:hideMark/>
          </w:tcPr>
          <w:p w14:paraId="57918E4A" w14:textId="77777777" w:rsidR="001404F7" w:rsidRPr="00D13460" w:rsidRDefault="001404F7" w:rsidP="001404F7">
            <w:pPr>
              <w:keepNext/>
              <w:keepLines/>
              <w:spacing w:before="40" w:after="40"/>
              <w:rPr>
                <w:rFonts w:eastAsia="Times New Roman" w:cs="Times New Roman"/>
                <w:b/>
                <w:sz w:val="20"/>
                <w:szCs w:val="18"/>
              </w:rPr>
            </w:pPr>
            <w:r w:rsidRPr="00D13460">
              <w:rPr>
                <w:rFonts w:eastAsia="Times New Roman" w:cs="Times New Roman"/>
                <w:b/>
                <w:sz w:val="20"/>
                <w:szCs w:val="18"/>
              </w:rPr>
              <w:t>June 2016</w:t>
            </w:r>
          </w:p>
        </w:tc>
      </w:tr>
      <w:tr w:rsidR="001404F7" w:rsidRPr="006447FF" w14:paraId="75007B90" w14:textId="77777777" w:rsidTr="001404F7">
        <w:trPr>
          <w:cnfStyle w:val="000000010000" w:firstRow="0" w:lastRow="0" w:firstColumn="0" w:lastColumn="0" w:oddVBand="0" w:evenVBand="0" w:oddHBand="0" w:evenHBand="1" w:firstRowFirstColumn="0" w:firstRowLastColumn="0" w:lastRowFirstColumn="0" w:lastRowLastColumn="0"/>
          <w:trHeight w:val="508"/>
        </w:trPr>
        <w:tc>
          <w:tcPr>
            <w:tcW w:w="0" w:type="auto"/>
            <w:hideMark/>
          </w:tcPr>
          <w:p w14:paraId="2A4890FE" w14:textId="77777777" w:rsidR="001404F7" w:rsidRPr="00FD34D6" w:rsidRDefault="001404F7" w:rsidP="001404F7">
            <w:pPr>
              <w:spacing w:before="40" w:after="40"/>
              <w:rPr>
                <w:rFonts w:eastAsia="Times New Roman"/>
                <w:spacing w:val="4"/>
                <w:sz w:val="20"/>
                <w:szCs w:val="18"/>
                <w:lang w:val="en-GB"/>
              </w:rPr>
            </w:pPr>
            <w:r w:rsidRPr="00FD34D6">
              <w:rPr>
                <w:rFonts w:eastAsia="Times New Roman"/>
                <w:color w:val="000000" w:themeColor="text1"/>
                <w:spacing w:val="4"/>
                <w:sz w:val="20"/>
                <w:szCs w:val="17"/>
                <w:lang w:val="en-GB"/>
              </w:rPr>
              <w:t xml:space="preserve">Percentage of children who did not meet the Family Tax Benefit Maintenance Action </w:t>
            </w:r>
            <w:proofErr w:type="spellStart"/>
            <w:r w:rsidRPr="00FD34D6">
              <w:rPr>
                <w:rFonts w:eastAsia="Times New Roman"/>
                <w:color w:val="000000" w:themeColor="text1"/>
                <w:spacing w:val="4"/>
                <w:sz w:val="20"/>
                <w:szCs w:val="17"/>
                <w:lang w:val="en-GB"/>
              </w:rPr>
              <w:t>Test</w:t>
            </w:r>
            <w:r w:rsidRPr="00FD34D6">
              <w:rPr>
                <w:rFonts w:eastAsia="Times New Roman"/>
                <w:color w:val="000000" w:themeColor="text1"/>
                <w:spacing w:val="4"/>
                <w:sz w:val="20"/>
                <w:szCs w:val="17"/>
                <w:vertAlign w:val="superscript"/>
                <w:lang w:val="en-GB"/>
              </w:rPr>
              <w:t>b</w:t>
            </w:r>
            <w:proofErr w:type="spellEnd"/>
          </w:p>
        </w:tc>
        <w:tc>
          <w:tcPr>
            <w:tcW w:w="874" w:type="pct"/>
            <w:hideMark/>
          </w:tcPr>
          <w:p w14:paraId="3CEF2475" w14:textId="77777777" w:rsidR="001404F7" w:rsidRPr="00107B1C" w:rsidRDefault="001404F7" w:rsidP="001404F7">
            <w:pPr>
              <w:spacing w:before="40" w:after="40"/>
              <w:jc w:val="center"/>
              <w:rPr>
                <w:sz w:val="20"/>
                <w:lang w:val="en-GB"/>
              </w:rPr>
            </w:pPr>
            <w:r w:rsidRPr="00107B1C">
              <w:rPr>
                <w:sz w:val="20"/>
                <w:lang w:val="en-GB"/>
              </w:rPr>
              <w:t>11.0%</w:t>
            </w:r>
          </w:p>
        </w:tc>
        <w:tc>
          <w:tcPr>
            <w:tcW w:w="717" w:type="pct"/>
            <w:hideMark/>
          </w:tcPr>
          <w:p w14:paraId="3D568195" w14:textId="77777777" w:rsidR="001404F7" w:rsidRPr="00107B1C" w:rsidRDefault="001404F7" w:rsidP="001404F7">
            <w:pPr>
              <w:spacing w:before="40" w:after="40"/>
              <w:jc w:val="center"/>
              <w:rPr>
                <w:sz w:val="20"/>
                <w:lang w:val="en-GB"/>
              </w:rPr>
            </w:pPr>
            <w:r w:rsidRPr="00107B1C">
              <w:rPr>
                <w:sz w:val="20"/>
                <w:lang w:val="en-GB"/>
              </w:rPr>
              <w:t>11.0%</w:t>
            </w:r>
          </w:p>
        </w:tc>
        <w:tc>
          <w:tcPr>
            <w:tcW w:w="659" w:type="pct"/>
            <w:hideMark/>
          </w:tcPr>
          <w:p w14:paraId="3AB60C3E" w14:textId="77777777" w:rsidR="001404F7" w:rsidRPr="00107B1C" w:rsidRDefault="001404F7" w:rsidP="001404F7">
            <w:pPr>
              <w:spacing w:before="40" w:after="40"/>
              <w:jc w:val="center"/>
              <w:rPr>
                <w:sz w:val="20"/>
                <w:lang w:val="en-GB"/>
              </w:rPr>
            </w:pPr>
            <w:r w:rsidRPr="00107B1C">
              <w:rPr>
                <w:sz w:val="20"/>
                <w:lang w:val="en-GB"/>
              </w:rPr>
              <w:t>10.8%</w:t>
            </w:r>
          </w:p>
        </w:tc>
      </w:tr>
      <w:tr w:rsidR="001404F7" w:rsidRPr="006447FF" w14:paraId="5654FD7F" w14:textId="77777777" w:rsidTr="001404F7">
        <w:trPr>
          <w:cnfStyle w:val="000000100000" w:firstRow="0" w:lastRow="0" w:firstColumn="0" w:lastColumn="0" w:oddVBand="0" w:evenVBand="0" w:oddHBand="1" w:evenHBand="0" w:firstRowFirstColumn="0" w:firstRowLastColumn="0" w:lastRowFirstColumn="0" w:lastRowLastColumn="0"/>
          <w:trHeight w:val="621"/>
        </w:trPr>
        <w:tc>
          <w:tcPr>
            <w:tcW w:w="0" w:type="auto"/>
            <w:hideMark/>
          </w:tcPr>
          <w:p w14:paraId="2E9149BC" w14:textId="77777777" w:rsidR="001404F7" w:rsidRPr="00FD34D6" w:rsidRDefault="001404F7" w:rsidP="001404F7">
            <w:pPr>
              <w:spacing w:before="40" w:after="40"/>
              <w:rPr>
                <w:rFonts w:eastAsia="Times New Roman" w:cs="Arial"/>
                <w:color w:val="000000" w:themeColor="text1"/>
                <w:spacing w:val="4"/>
                <w:sz w:val="20"/>
                <w:szCs w:val="17"/>
                <w:lang w:val="en-GB"/>
              </w:rPr>
            </w:pPr>
            <w:r w:rsidRPr="00FD34D6">
              <w:rPr>
                <w:rFonts w:eastAsia="Times New Roman"/>
                <w:color w:val="000000" w:themeColor="text1"/>
                <w:spacing w:val="4"/>
                <w:sz w:val="20"/>
                <w:szCs w:val="17"/>
                <w:lang w:val="en-GB"/>
              </w:rPr>
              <w:t xml:space="preserve">Percentage of families who did not meet the Family Tax Benefit Maintenance Action </w:t>
            </w:r>
            <w:proofErr w:type="spellStart"/>
            <w:r w:rsidRPr="00FD34D6">
              <w:rPr>
                <w:rFonts w:eastAsia="Times New Roman"/>
                <w:color w:val="000000" w:themeColor="text1"/>
                <w:spacing w:val="4"/>
                <w:sz w:val="20"/>
                <w:szCs w:val="17"/>
                <w:lang w:val="en-GB"/>
              </w:rPr>
              <w:t>Test</w:t>
            </w:r>
            <w:r w:rsidRPr="00FD34D6">
              <w:rPr>
                <w:rFonts w:eastAsia="Times New Roman"/>
                <w:color w:val="000000" w:themeColor="text1"/>
                <w:spacing w:val="4"/>
                <w:sz w:val="20"/>
                <w:szCs w:val="17"/>
                <w:vertAlign w:val="superscript"/>
                <w:lang w:val="en-GB"/>
              </w:rPr>
              <w:t>c</w:t>
            </w:r>
            <w:proofErr w:type="spellEnd"/>
          </w:p>
        </w:tc>
        <w:tc>
          <w:tcPr>
            <w:tcW w:w="874" w:type="pct"/>
            <w:hideMark/>
          </w:tcPr>
          <w:p w14:paraId="16C6860B" w14:textId="77777777" w:rsidR="001404F7" w:rsidRPr="00107B1C" w:rsidRDefault="001404F7" w:rsidP="001404F7">
            <w:pPr>
              <w:spacing w:before="40" w:after="40"/>
              <w:jc w:val="center"/>
              <w:rPr>
                <w:sz w:val="20"/>
                <w:lang w:val="en-GB"/>
              </w:rPr>
            </w:pPr>
            <w:r w:rsidRPr="00107B1C">
              <w:rPr>
                <w:sz w:val="20"/>
                <w:lang w:val="en-GB"/>
              </w:rPr>
              <w:t>14.5%</w:t>
            </w:r>
          </w:p>
        </w:tc>
        <w:tc>
          <w:tcPr>
            <w:tcW w:w="717" w:type="pct"/>
            <w:hideMark/>
          </w:tcPr>
          <w:p w14:paraId="5911182E" w14:textId="77777777" w:rsidR="001404F7" w:rsidRPr="00107B1C" w:rsidRDefault="001404F7" w:rsidP="001404F7">
            <w:pPr>
              <w:spacing w:before="40" w:after="40"/>
              <w:jc w:val="center"/>
              <w:rPr>
                <w:sz w:val="20"/>
                <w:lang w:val="en-GB"/>
              </w:rPr>
            </w:pPr>
            <w:r w:rsidRPr="00107B1C">
              <w:rPr>
                <w:sz w:val="20"/>
                <w:lang w:val="en-GB"/>
              </w:rPr>
              <w:t>14.4%</w:t>
            </w:r>
          </w:p>
        </w:tc>
        <w:tc>
          <w:tcPr>
            <w:tcW w:w="659" w:type="pct"/>
            <w:hideMark/>
          </w:tcPr>
          <w:p w14:paraId="7FD981C9" w14:textId="77777777" w:rsidR="001404F7" w:rsidRPr="00107B1C" w:rsidRDefault="001404F7" w:rsidP="001404F7">
            <w:pPr>
              <w:spacing w:before="40" w:after="40"/>
              <w:jc w:val="center"/>
              <w:rPr>
                <w:sz w:val="20"/>
                <w:lang w:val="en-GB"/>
              </w:rPr>
            </w:pPr>
            <w:r w:rsidRPr="00107B1C">
              <w:rPr>
                <w:sz w:val="20"/>
                <w:lang w:val="en-GB"/>
              </w:rPr>
              <w:t>14.2%</w:t>
            </w:r>
          </w:p>
        </w:tc>
      </w:tr>
    </w:tbl>
    <w:p w14:paraId="158DC62F" w14:textId="243C03AF" w:rsidR="001404F7" w:rsidRPr="00323328" w:rsidRDefault="001404F7" w:rsidP="001404F7">
      <w:pPr>
        <w:spacing w:before="120" w:after="60" w:line="240" w:lineRule="auto"/>
        <w:ind w:left="284" w:hanging="284"/>
        <w:contextualSpacing/>
        <w:rPr>
          <w:rFonts w:cs="Arial"/>
          <w:b/>
          <w:sz w:val="16"/>
          <w:szCs w:val="16"/>
        </w:rPr>
      </w:pPr>
      <w:proofErr w:type="spellStart"/>
      <w:r w:rsidRPr="00323328">
        <w:rPr>
          <w:rFonts w:cs="Arial"/>
          <w:sz w:val="16"/>
          <w:szCs w:val="16"/>
        </w:rPr>
        <w:t>a</w:t>
      </w:r>
      <w:proofErr w:type="spellEnd"/>
      <w:r w:rsidRPr="00323328">
        <w:rPr>
          <w:rFonts w:cs="Arial"/>
          <w:sz w:val="16"/>
          <w:szCs w:val="16"/>
        </w:rPr>
        <w:tab/>
        <w:t>The Family Tax Benefit Maintenance Action Test requires a child’s parent to seek financial support from the other parent when they separate. If the parent does not take action</w:t>
      </w:r>
      <w:r>
        <w:rPr>
          <w:rFonts w:cs="Arial"/>
          <w:sz w:val="16"/>
          <w:szCs w:val="16"/>
        </w:rPr>
        <w:t>,</w:t>
      </w:r>
      <w:r w:rsidRPr="00323328">
        <w:rPr>
          <w:rFonts w:cs="Arial"/>
          <w:sz w:val="16"/>
          <w:szCs w:val="16"/>
        </w:rPr>
        <w:t xml:space="preserve"> they are limited to the base rate of Family Tax Benefit Part A for that child. In certain circumstances, parents may be exempt from the Maintenance Action Test.</w:t>
      </w:r>
      <w:r>
        <w:rPr>
          <w:rFonts w:cs="Arial"/>
          <w:sz w:val="16"/>
          <w:szCs w:val="16"/>
        </w:rPr>
        <w:t xml:space="preserve"> </w:t>
      </w:r>
    </w:p>
    <w:p w14:paraId="7AF8B2C4" w14:textId="77777777" w:rsidR="001404F7" w:rsidRPr="00323328" w:rsidRDefault="001404F7" w:rsidP="001404F7">
      <w:pPr>
        <w:spacing w:before="160" w:after="60" w:line="240" w:lineRule="auto"/>
        <w:ind w:left="284" w:hanging="284"/>
        <w:contextualSpacing/>
        <w:rPr>
          <w:rFonts w:cs="Arial"/>
          <w:sz w:val="16"/>
          <w:szCs w:val="16"/>
        </w:rPr>
      </w:pPr>
      <w:r w:rsidRPr="00323328">
        <w:rPr>
          <w:rFonts w:cs="Arial"/>
          <w:sz w:val="16"/>
          <w:szCs w:val="16"/>
        </w:rPr>
        <w:t>b</w:t>
      </w:r>
      <w:r w:rsidRPr="00323328">
        <w:rPr>
          <w:rFonts w:cs="Arial"/>
          <w:sz w:val="16"/>
          <w:szCs w:val="16"/>
        </w:rPr>
        <w:tab/>
        <w:t>Denominator includes all Family Tax Benefit Part A children who are required to go through Maintenance Action Test.</w:t>
      </w:r>
    </w:p>
    <w:p w14:paraId="31EF0429" w14:textId="77777777" w:rsidR="001404F7" w:rsidRPr="006447FF" w:rsidRDefault="001404F7" w:rsidP="001404F7">
      <w:pPr>
        <w:spacing w:before="160" w:after="60" w:line="240" w:lineRule="auto"/>
        <w:ind w:left="284" w:hanging="284"/>
        <w:contextualSpacing/>
        <w:rPr>
          <w:rFonts w:cs="Arial"/>
          <w:sz w:val="16"/>
          <w:szCs w:val="16"/>
        </w:rPr>
      </w:pPr>
      <w:r w:rsidRPr="00323328">
        <w:rPr>
          <w:rFonts w:cs="Arial"/>
          <w:sz w:val="16"/>
          <w:szCs w:val="16"/>
        </w:rPr>
        <w:t>c</w:t>
      </w:r>
      <w:r w:rsidRPr="00323328">
        <w:rPr>
          <w:rFonts w:cs="Arial"/>
          <w:sz w:val="16"/>
          <w:szCs w:val="16"/>
        </w:rPr>
        <w:tab/>
        <w:t>Denominator includes all Family Tax Benefit Part A families who are required to take reasonable action to obtain maintenance.</w:t>
      </w:r>
    </w:p>
    <w:p w14:paraId="397F7595" w14:textId="77777777" w:rsidR="001404F7" w:rsidRPr="00577E4E" w:rsidRDefault="001404F7" w:rsidP="001404F7">
      <w:pPr>
        <w:rPr>
          <w:sz w:val="20"/>
          <w:szCs w:val="20"/>
        </w:rPr>
      </w:pPr>
    </w:p>
    <w:p w14:paraId="69CEA30D" w14:textId="77777777" w:rsidR="001404F7" w:rsidRPr="00D47E5B"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sidRPr="00D47E5B">
        <w:rPr>
          <w:rFonts w:ascii="Arial Narrow" w:eastAsia="Times New Roman" w:hAnsi="Arial Narrow" w:cs="Times New Roman"/>
          <w:b/>
          <w:bCs/>
          <w:spacing w:val="4"/>
          <w:sz w:val="20"/>
          <w:szCs w:val="18"/>
          <w:lang w:eastAsia="en-AU"/>
        </w:rPr>
        <w:t>Table 2.1.</w:t>
      </w:r>
      <w:r>
        <w:rPr>
          <w:rFonts w:ascii="Arial Narrow" w:eastAsia="Times New Roman" w:hAnsi="Arial Narrow" w:cs="Times New Roman"/>
          <w:b/>
          <w:bCs/>
          <w:spacing w:val="4"/>
          <w:sz w:val="20"/>
          <w:szCs w:val="18"/>
          <w:lang w:eastAsia="en-AU"/>
        </w:rPr>
        <w:t>9</w:t>
      </w:r>
      <w:r w:rsidRPr="00D47E5B">
        <w:rPr>
          <w:rFonts w:ascii="Arial Narrow" w:eastAsia="Times New Roman" w:hAnsi="Arial Narrow" w:cs="Times New Roman"/>
          <w:b/>
          <w:bCs/>
          <w:spacing w:val="4"/>
          <w:sz w:val="20"/>
          <w:szCs w:val="18"/>
          <w:lang w:eastAsia="en-AU"/>
        </w:rPr>
        <w:t>c: Percentage of recipients receiving part rate of payment due to income or assets test</w:t>
      </w:r>
      <w:r>
        <w:rPr>
          <w:rFonts w:ascii="Arial Narrow" w:eastAsia="Times New Roman" w:hAnsi="Arial Narrow" w:cs="Times New Roman"/>
          <w:b/>
          <w:bCs/>
          <w:spacing w:val="4"/>
          <w:sz w:val="20"/>
          <w:szCs w:val="18"/>
          <w:lang w:eastAsia="en-AU"/>
        </w:rPr>
        <w:t xml:space="preserve"> </w:t>
      </w:r>
      <w:r w:rsidRPr="00D47E5B">
        <w:rPr>
          <w:rFonts w:ascii="Arial Narrow" w:eastAsia="Times New Roman" w:hAnsi="Arial Narrow" w:cs="Times New Roman"/>
          <w:b/>
          <w:bCs/>
          <w:spacing w:val="4"/>
          <w:sz w:val="20"/>
          <w:szCs w:val="18"/>
          <w:lang w:eastAsia="en-AU"/>
        </w:rPr>
        <w:t>—</w:t>
      </w:r>
      <w:r>
        <w:rPr>
          <w:rFonts w:ascii="Arial Narrow" w:eastAsia="Times New Roman" w:hAnsi="Arial Narrow" w:cs="Times New Roman"/>
          <w:b/>
          <w:bCs/>
          <w:spacing w:val="4"/>
          <w:sz w:val="20"/>
          <w:szCs w:val="18"/>
          <w:lang w:eastAsia="en-AU"/>
        </w:rPr>
        <w:t xml:space="preserve"> </w:t>
      </w:r>
      <w:r w:rsidRPr="00D47E5B">
        <w:rPr>
          <w:rFonts w:ascii="Arial Narrow" w:eastAsia="Times New Roman" w:hAnsi="Arial Narrow" w:cs="Times New Roman"/>
          <w:b/>
          <w:bCs/>
          <w:spacing w:val="4"/>
          <w:sz w:val="20"/>
          <w:szCs w:val="18"/>
          <w:lang w:eastAsia="en-AU"/>
        </w:rPr>
        <w:t>welfare payments (excluding Family Tax Benefit)</w:t>
      </w:r>
    </w:p>
    <w:tbl>
      <w:tblPr>
        <w:tblStyle w:val="HHorizontaltable1"/>
        <w:tblW w:w="5000" w:type="pct"/>
        <w:tblLook w:val="04A0" w:firstRow="1" w:lastRow="0" w:firstColumn="1" w:lastColumn="0" w:noHBand="0" w:noVBand="1"/>
        <w:tblCaption w:val="Table 2.1.9c: Percentage of recipients receiving a part rate of payment due to the income or assets test - welfare payments (excluding Family Tax Benefit)"/>
        <w:tblDescription w:val="Table 2.1.9c: Percentage of recipients receiving a part rate of payment due to the income or assets test - welfare payments (excluding Family Tax Benefit)"/>
      </w:tblPr>
      <w:tblGrid>
        <w:gridCol w:w="4769"/>
        <w:gridCol w:w="1636"/>
        <w:gridCol w:w="1307"/>
        <w:gridCol w:w="1314"/>
      </w:tblGrid>
      <w:tr w:rsidR="001404F7" w:rsidRPr="00B41CB5" w14:paraId="073E827A" w14:textId="77777777" w:rsidTr="001404F7">
        <w:trPr>
          <w:cnfStyle w:val="100000000000" w:firstRow="1" w:lastRow="0" w:firstColumn="0" w:lastColumn="0" w:oddVBand="0" w:evenVBand="0" w:oddHBand="0" w:evenHBand="0" w:firstRowFirstColumn="0" w:firstRowLastColumn="0" w:lastRowFirstColumn="0" w:lastRowLastColumn="0"/>
          <w:trHeight w:val="75"/>
          <w:tblHeader/>
        </w:trPr>
        <w:tc>
          <w:tcPr>
            <w:tcW w:w="2642" w:type="pct"/>
            <w:hideMark/>
          </w:tcPr>
          <w:p w14:paraId="37522654" w14:textId="77777777" w:rsidR="001404F7" w:rsidRPr="00D13460" w:rsidRDefault="001404F7" w:rsidP="001404F7">
            <w:pPr>
              <w:spacing w:before="40" w:after="40"/>
              <w:rPr>
                <w:rFonts w:eastAsia="Times New Roman"/>
                <w:sz w:val="20"/>
                <w:szCs w:val="20"/>
              </w:rPr>
            </w:pPr>
            <w:r w:rsidRPr="00D13460">
              <w:rPr>
                <w:rFonts w:eastAsia="Times New Roman"/>
                <w:sz w:val="20"/>
                <w:szCs w:val="20"/>
              </w:rPr>
              <w:t>Outcome performance measure</w:t>
            </w:r>
          </w:p>
        </w:tc>
        <w:tc>
          <w:tcPr>
            <w:tcW w:w="906" w:type="pct"/>
            <w:hideMark/>
          </w:tcPr>
          <w:p w14:paraId="659540FA" w14:textId="77777777" w:rsidR="001404F7" w:rsidRPr="00D13460" w:rsidRDefault="001404F7" w:rsidP="001404F7">
            <w:pPr>
              <w:spacing w:before="40" w:after="40"/>
              <w:jc w:val="right"/>
              <w:rPr>
                <w:rFonts w:eastAsia="Times New Roman"/>
                <w:sz w:val="20"/>
                <w:szCs w:val="20"/>
              </w:rPr>
            </w:pPr>
            <w:r w:rsidRPr="00D13460">
              <w:rPr>
                <w:rFonts w:eastAsia="Times New Roman"/>
                <w:sz w:val="20"/>
                <w:szCs w:val="20"/>
              </w:rPr>
              <w:t>2019–20</w:t>
            </w:r>
          </w:p>
        </w:tc>
        <w:tc>
          <w:tcPr>
            <w:tcW w:w="724" w:type="pct"/>
            <w:hideMark/>
          </w:tcPr>
          <w:p w14:paraId="29EA9635" w14:textId="77777777" w:rsidR="001404F7" w:rsidRPr="00D13460" w:rsidRDefault="001404F7" w:rsidP="001404F7">
            <w:pPr>
              <w:spacing w:before="40" w:after="40"/>
              <w:jc w:val="right"/>
              <w:rPr>
                <w:rFonts w:eastAsia="Times New Roman"/>
                <w:sz w:val="20"/>
                <w:szCs w:val="20"/>
              </w:rPr>
            </w:pPr>
            <w:r w:rsidRPr="00D13460">
              <w:rPr>
                <w:rFonts w:eastAsia="Times New Roman"/>
                <w:sz w:val="20"/>
                <w:szCs w:val="20"/>
              </w:rPr>
              <w:t>2018–19</w:t>
            </w:r>
          </w:p>
        </w:tc>
        <w:tc>
          <w:tcPr>
            <w:tcW w:w="728" w:type="pct"/>
            <w:hideMark/>
          </w:tcPr>
          <w:p w14:paraId="27912B80" w14:textId="77777777" w:rsidR="001404F7" w:rsidRPr="00D13460" w:rsidRDefault="001404F7" w:rsidP="001404F7">
            <w:pPr>
              <w:spacing w:before="40" w:after="40"/>
              <w:jc w:val="right"/>
              <w:rPr>
                <w:rFonts w:eastAsia="Times New Roman"/>
                <w:sz w:val="20"/>
                <w:szCs w:val="20"/>
              </w:rPr>
            </w:pPr>
            <w:r w:rsidRPr="00D13460">
              <w:rPr>
                <w:rFonts w:eastAsia="Times New Roman"/>
                <w:sz w:val="20"/>
                <w:szCs w:val="20"/>
              </w:rPr>
              <w:t>2017–18</w:t>
            </w:r>
          </w:p>
        </w:tc>
      </w:tr>
      <w:tr w:rsidR="001404F7" w:rsidRPr="006447FF" w14:paraId="6526A8F9" w14:textId="77777777" w:rsidTr="001404F7">
        <w:trPr>
          <w:cnfStyle w:val="000000100000" w:firstRow="0" w:lastRow="0" w:firstColumn="0" w:lastColumn="0" w:oddVBand="0" w:evenVBand="0" w:oddHBand="1" w:evenHBand="0" w:firstRowFirstColumn="0" w:firstRowLastColumn="0" w:lastRowFirstColumn="0" w:lastRowLastColumn="0"/>
          <w:trHeight w:val="172"/>
        </w:trPr>
        <w:tc>
          <w:tcPr>
            <w:tcW w:w="5000" w:type="pct"/>
            <w:gridSpan w:val="4"/>
            <w:tcBorders>
              <w:bottom w:val="single" w:sz="12" w:space="0" w:color="00B0B9"/>
            </w:tcBorders>
            <w:hideMark/>
          </w:tcPr>
          <w:p w14:paraId="042045E9" w14:textId="77777777" w:rsidR="001404F7" w:rsidRPr="006447FF" w:rsidRDefault="001404F7" w:rsidP="001404F7">
            <w:pPr>
              <w:spacing w:before="40" w:after="40"/>
              <w:rPr>
                <w:rFonts w:eastAsia="Times New Roman" w:cs="Arial"/>
                <w:b/>
                <w:color w:val="000000" w:themeColor="text1"/>
                <w:spacing w:val="4"/>
                <w:sz w:val="20"/>
                <w:szCs w:val="20"/>
                <w:lang w:val="en-GB"/>
              </w:rPr>
            </w:pPr>
            <w:r w:rsidRPr="006447FF">
              <w:rPr>
                <w:rFonts w:eastAsia="Times New Roman" w:cs="Arial"/>
                <w:b/>
                <w:color w:val="000000" w:themeColor="text1"/>
                <w:spacing w:val="4"/>
                <w:sz w:val="20"/>
                <w:szCs w:val="20"/>
                <w:lang w:val="en-GB"/>
              </w:rPr>
              <w:t>Income Support for Vulnerable People</w:t>
            </w:r>
          </w:p>
        </w:tc>
      </w:tr>
      <w:tr w:rsidR="001404F7" w:rsidRPr="006447FF" w14:paraId="20176A61" w14:textId="77777777" w:rsidTr="001404F7">
        <w:trPr>
          <w:cnfStyle w:val="000000010000" w:firstRow="0" w:lastRow="0" w:firstColumn="0" w:lastColumn="0" w:oddVBand="0" w:evenVBand="0" w:oddHBand="0" w:evenHBand="1" w:firstRowFirstColumn="0" w:firstRowLastColumn="0" w:lastRowFirstColumn="0" w:lastRowLastColumn="0"/>
        </w:trPr>
        <w:tc>
          <w:tcPr>
            <w:tcW w:w="2642" w:type="pct"/>
            <w:tcBorders>
              <w:top w:val="single" w:sz="12" w:space="0" w:color="00B0B9"/>
              <w:bottom w:val="single" w:sz="4" w:space="0" w:color="FFFFFF" w:themeColor="background1"/>
            </w:tcBorders>
            <w:hideMark/>
          </w:tcPr>
          <w:p w14:paraId="172D548B"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 xml:space="preserve">Special </w:t>
            </w:r>
            <w:proofErr w:type="spellStart"/>
            <w:r w:rsidRPr="006447FF">
              <w:rPr>
                <w:rFonts w:eastAsia="Times New Roman"/>
                <w:color w:val="000000" w:themeColor="text1"/>
                <w:spacing w:val="4"/>
                <w:sz w:val="20"/>
                <w:szCs w:val="20"/>
                <w:lang w:val="en-GB"/>
              </w:rPr>
              <w:t>Benefit</w:t>
            </w:r>
            <w:r w:rsidRPr="006447FF">
              <w:rPr>
                <w:rFonts w:eastAsia="Times New Roman"/>
                <w:color w:val="000000" w:themeColor="text1"/>
                <w:spacing w:val="4"/>
                <w:sz w:val="20"/>
                <w:szCs w:val="20"/>
                <w:vertAlign w:val="superscript"/>
                <w:lang w:val="en-GB"/>
              </w:rPr>
              <w:t>a</w:t>
            </w:r>
            <w:proofErr w:type="spellEnd"/>
          </w:p>
        </w:tc>
        <w:tc>
          <w:tcPr>
            <w:tcW w:w="906" w:type="pct"/>
            <w:tcBorders>
              <w:top w:val="single" w:sz="12" w:space="0" w:color="00B0B9"/>
              <w:bottom w:val="single" w:sz="4" w:space="0" w:color="FFFFFF" w:themeColor="background1"/>
            </w:tcBorders>
            <w:hideMark/>
          </w:tcPr>
          <w:p w14:paraId="4111042E"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323328">
              <w:rPr>
                <w:rFonts w:eastAsia="Times New Roman"/>
                <w:spacing w:val="4"/>
                <w:sz w:val="20"/>
                <w:szCs w:val="20"/>
                <w:lang w:val="en-GB"/>
              </w:rPr>
              <w:t>59.6%</w:t>
            </w:r>
          </w:p>
        </w:tc>
        <w:tc>
          <w:tcPr>
            <w:tcW w:w="724" w:type="pct"/>
            <w:tcBorders>
              <w:top w:val="single" w:sz="12" w:space="0" w:color="00B0B9"/>
              <w:bottom w:val="single" w:sz="4" w:space="0" w:color="FFFFFF" w:themeColor="background1"/>
            </w:tcBorders>
            <w:hideMark/>
          </w:tcPr>
          <w:p w14:paraId="44DA2E94"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76.7%</w:t>
            </w:r>
          </w:p>
        </w:tc>
        <w:tc>
          <w:tcPr>
            <w:tcW w:w="728" w:type="pct"/>
            <w:tcBorders>
              <w:top w:val="single" w:sz="12" w:space="0" w:color="00B0B9"/>
              <w:bottom w:val="single" w:sz="4" w:space="0" w:color="FFFFFF" w:themeColor="background1"/>
            </w:tcBorders>
            <w:hideMark/>
          </w:tcPr>
          <w:p w14:paraId="0139C3C1"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77.7%</w:t>
            </w:r>
          </w:p>
        </w:tc>
      </w:tr>
      <w:tr w:rsidR="001404F7" w:rsidRPr="006447FF" w14:paraId="11A1C3C2"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4"/>
            <w:tcBorders>
              <w:top w:val="single" w:sz="4" w:space="0" w:color="FFFFFF" w:themeColor="background1"/>
              <w:bottom w:val="single" w:sz="12" w:space="0" w:color="00B0B9"/>
            </w:tcBorders>
            <w:hideMark/>
          </w:tcPr>
          <w:p w14:paraId="3D58C59C"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b/>
                <w:color w:val="000000" w:themeColor="text1"/>
                <w:spacing w:val="4"/>
                <w:sz w:val="20"/>
                <w:szCs w:val="20"/>
                <w:lang w:val="en-GB"/>
              </w:rPr>
              <w:t>Income Support for Seniors</w:t>
            </w:r>
          </w:p>
        </w:tc>
      </w:tr>
      <w:tr w:rsidR="001404F7" w:rsidRPr="006447FF" w14:paraId="4F00D886" w14:textId="77777777" w:rsidTr="001404F7">
        <w:trPr>
          <w:cnfStyle w:val="000000010000" w:firstRow="0" w:lastRow="0" w:firstColumn="0" w:lastColumn="0" w:oddVBand="0" w:evenVBand="0" w:oddHBand="0" w:evenHBand="1" w:firstRowFirstColumn="0" w:firstRowLastColumn="0" w:lastRowFirstColumn="0" w:lastRowLastColumn="0"/>
        </w:trPr>
        <w:tc>
          <w:tcPr>
            <w:tcW w:w="2642" w:type="pct"/>
            <w:tcBorders>
              <w:top w:val="single" w:sz="12" w:space="0" w:color="00B0B9"/>
              <w:bottom w:val="single" w:sz="4" w:space="0" w:color="FFFFFF" w:themeColor="background1"/>
            </w:tcBorders>
            <w:hideMark/>
          </w:tcPr>
          <w:p w14:paraId="05DFAF9D"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Age Pension</w:t>
            </w:r>
          </w:p>
        </w:tc>
        <w:tc>
          <w:tcPr>
            <w:tcW w:w="906" w:type="pct"/>
            <w:tcBorders>
              <w:top w:val="single" w:sz="12" w:space="0" w:color="00B0B9"/>
              <w:bottom w:val="single" w:sz="4" w:space="0" w:color="FFFFFF" w:themeColor="background1"/>
            </w:tcBorders>
            <w:hideMark/>
          </w:tcPr>
          <w:p w14:paraId="7160CE1C" w14:textId="77777777" w:rsidR="001404F7" w:rsidRPr="00323328" w:rsidRDefault="001404F7" w:rsidP="001404F7">
            <w:pPr>
              <w:spacing w:before="40" w:after="40"/>
              <w:jc w:val="right"/>
              <w:rPr>
                <w:rFonts w:eastAsia="Times New Roman"/>
                <w:spacing w:val="4"/>
                <w:sz w:val="20"/>
                <w:szCs w:val="20"/>
                <w:lang w:val="en-GB"/>
              </w:rPr>
            </w:pPr>
            <w:r w:rsidRPr="00323328">
              <w:rPr>
                <w:sz w:val="20"/>
                <w:szCs w:val="20"/>
              </w:rPr>
              <w:t>32.8%</w:t>
            </w:r>
          </w:p>
        </w:tc>
        <w:tc>
          <w:tcPr>
            <w:tcW w:w="724" w:type="pct"/>
            <w:tcBorders>
              <w:top w:val="single" w:sz="12" w:space="0" w:color="00B0B9"/>
              <w:bottom w:val="single" w:sz="4" w:space="0" w:color="FFFFFF" w:themeColor="background1"/>
            </w:tcBorders>
            <w:hideMark/>
          </w:tcPr>
          <w:p w14:paraId="29CFEB3B"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38.0%</w:t>
            </w:r>
          </w:p>
        </w:tc>
        <w:tc>
          <w:tcPr>
            <w:tcW w:w="728" w:type="pct"/>
            <w:tcBorders>
              <w:top w:val="single" w:sz="12" w:space="0" w:color="00B0B9"/>
              <w:bottom w:val="single" w:sz="4" w:space="0" w:color="FFFFFF" w:themeColor="background1"/>
            </w:tcBorders>
            <w:hideMark/>
          </w:tcPr>
          <w:p w14:paraId="287FEF02"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38.2%</w:t>
            </w:r>
          </w:p>
        </w:tc>
      </w:tr>
      <w:tr w:rsidR="001404F7" w:rsidRPr="006447FF" w14:paraId="71EE3AA6" w14:textId="77777777" w:rsidTr="001404F7">
        <w:trPr>
          <w:cnfStyle w:val="000000100000" w:firstRow="0" w:lastRow="0" w:firstColumn="0" w:lastColumn="0" w:oddVBand="0" w:evenVBand="0" w:oddHBand="1" w:evenHBand="0" w:firstRowFirstColumn="0" w:firstRowLastColumn="0" w:lastRowFirstColumn="0" w:lastRowLastColumn="0"/>
        </w:trPr>
        <w:tc>
          <w:tcPr>
            <w:tcW w:w="2642" w:type="pct"/>
            <w:tcBorders>
              <w:top w:val="single" w:sz="4" w:space="0" w:color="FFFFFF" w:themeColor="background1"/>
            </w:tcBorders>
            <w:hideMark/>
          </w:tcPr>
          <w:p w14:paraId="6E7F5A61" w14:textId="77777777" w:rsidR="001404F7" w:rsidRPr="006447FF" w:rsidRDefault="001404F7" w:rsidP="001404F7">
            <w:pPr>
              <w:numPr>
                <w:ilvl w:val="0"/>
                <w:numId w:val="67"/>
              </w:numPr>
              <w:spacing w:before="40" w:after="40"/>
              <w:ind w:left="318"/>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Income test</w:t>
            </w:r>
          </w:p>
        </w:tc>
        <w:tc>
          <w:tcPr>
            <w:tcW w:w="906" w:type="pct"/>
            <w:tcBorders>
              <w:top w:val="single" w:sz="4" w:space="0" w:color="FFFFFF" w:themeColor="background1"/>
            </w:tcBorders>
            <w:hideMark/>
          </w:tcPr>
          <w:p w14:paraId="26BB22F1" w14:textId="77777777" w:rsidR="001404F7" w:rsidRPr="00323328" w:rsidRDefault="001404F7" w:rsidP="001404F7">
            <w:pPr>
              <w:spacing w:before="40" w:after="40"/>
              <w:jc w:val="right"/>
              <w:rPr>
                <w:rFonts w:eastAsia="Times New Roman" w:cs="Arial"/>
                <w:spacing w:val="4"/>
                <w:sz w:val="20"/>
                <w:szCs w:val="20"/>
                <w:lang w:val="en-GB"/>
              </w:rPr>
            </w:pPr>
            <w:r w:rsidRPr="00323328">
              <w:rPr>
                <w:sz w:val="20"/>
                <w:szCs w:val="20"/>
              </w:rPr>
              <w:t>19.5%</w:t>
            </w:r>
          </w:p>
        </w:tc>
        <w:tc>
          <w:tcPr>
            <w:tcW w:w="724" w:type="pct"/>
            <w:tcBorders>
              <w:top w:val="single" w:sz="4" w:space="0" w:color="FFFFFF" w:themeColor="background1"/>
            </w:tcBorders>
            <w:hideMark/>
          </w:tcPr>
          <w:p w14:paraId="74383A02"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25.1%</w:t>
            </w:r>
          </w:p>
        </w:tc>
        <w:tc>
          <w:tcPr>
            <w:tcW w:w="728" w:type="pct"/>
            <w:tcBorders>
              <w:top w:val="single" w:sz="4" w:space="0" w:color="FFFFFF" w:themeColor="background1"/>
            </w:tcBorders>
            <w:hideMark/>
          </w:tcPr>
          <w:p w14:paraId="2C16635A"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25.4%</w:t>
            </w:r>
          </w:p>
        </w:tc>
      </w:tr>
      <w:tr w:rsidR="001404F7" w:rsidRPr="006447FF" w14:paraId="15F71CD2" w14:textId="77777777" w:rsidTr="001404F7">
        <w:trPr>
          <w:cnfStyle w:val="000000010000" w:firstRow="0" w:lastRow="0" w:firstColumn="0" w:lastColumn="0" w:oddVBand="0" w:evenVBand="0" w:oddHBand="0" w:evenHBand="1" w:firstRowFirstColumn="0" w:firstRowLastColumn="0" w:lastRowFirstColumn="0" w:lastRowLastColumn="0"/>
        </w:trPr>
        <w:tc>
          <w:tcPr>
            <w:tcW w:w="2642" w:type="pct"/>
            <w:hideMark/>
          </w:tcPr>
          <w:p w14:paraId="5B4CF308" w14:textId="77777777" w:rsidR="001404F7" w:rsidRPr="006447FF" w:rsidRDefault="001404F7" w:rsidP="001404F7">
            <w:pPr>
              <w:numPr>
                <w:ilvl w:val="0"/>
                <w:numId w:val="67"/>
              </w:numPr>
              <w:spacing w:before="40" w:after="40"/>
              <w:ind w:left="318"/>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Assets test</w:t>
            </w:r>
          </w:p>
        </w:tc>
        <w:tc>
          <w:tcPr>
            <w:tcW w:w="906" w:type="pct"/>
            <w:hideMark/>
          </w:tcPr>
          <w:p w14:paraId="32145625" w14:textId="77777777" w:rsidR="001404F7" w:rsidRPr="00323328" w:rsidRDefault="001404F7" w:rsidP="001404F7">
            <w:pPr>
              <w:spacing w:before="40" w:after="40"/>
              <w:jc w:val="right"/>
              <w:rPr>
                <w:rFonts w:eastAsia="Times New Roman"/>
                <w:spacing w:val="4"/>
                <w:sz w:val="20"/>
                <w:szCs w:val="20"/>
                <w:lang w:val="en-GB"/>
              </w:rPr>
            </w:pPr>
            <w:r w:rsidRPr="00323328">
              <w:rPr>
                <w:sz w:val="20"/>
                <w:szCs w:val="20"/>
              </w:rPr>
              <w:t>13.3%</w:t>
            </w:r>
          </w:p>
        </w:tc>
        <w:tc>
          <w:tcPr>
            <w:tcW w:w="724" w:type="pct"/>
            <w:hideMark/>
          </w:tcPr>
          <w:p w14:paraId="513993EB"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13.0%</w:t>
            </w:r>
          </w:p>
        </w:tc>
        <w:tc>
          <w:tcPr>
            <w:tcW w:w="728" w:type="pct"/>
            <w:hideMark/>
          </w:tcPr>
          <w:p w14:paraId="28EC8D57"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12.8%</w:t>
            </w:r>
          </w:p>
        </w:tc>
      </w:tr>
      <w:tr w:rsidR="00384B66" w:rsidRPr="006447FF" w14:paraId="5D805113" w14:textId="77777777" w:rsidTr="001404F7">
        <w:trPr>
          <w:cnfStyle w:val="000000100000" w:firstRow="0" w:lastRow="0" w:firstColumn="0" w:lastColumn="0" w:oddVBand="0" w:evenVBand="0" w:oddHBand="1" w:evenHBand="0" w:firstRowFirstColumn="0" w:firstRowLastColumn="0" w:lastRowFirstColumn="0" w:lastRowLastColumn="0"/>
        </w:trPr>
        <w:tc>
          <w:tcPr>
            <w:tcW w:w="2642" w:type="pct"/>
            <w:hideMark/>
          </w:tcPr>
          <w:p w14:paraId="44197270" w14:textId="77777777" w:rsidR="00384B66" w:rsidRPr="006447FF" w:rsidRDefault="00384B66" w:rsidP="00384B66">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 xml:space="preserve">Widow B </w:t>
            </w:r>
            <w:proofErr w:type="spellStart"/>
            <w:r w:rsidRPr="006447FF">
              <w:rPr>
                <w:rFonts w:eastAsia="Times New Roman" w:cs="Arial"/>
                <w:color w:val="000000" w:themeColor="text1"/>
                <w:spacing w:val="4"/>
                <w:sz w:val="20"/>
                <w:szCs w:val="20"/>
                <w:lang w:val="en-GB"/>
              </w:rPr>
              <w:t>Pension</w:t>
            </w:r>
            <w:r w:rsidRPr="00CA3A4C">
              <w:rPr>
                <w:rFonts w:eastAsia="Times New Roman" w:cs="Arial"/>
                <w:color w:val="000000" w:themeColor="text1"/>
                <w:spacing w:val="4"/>
                <w:sz w:val="20"/>
                <w:szCs w:val="20"/>
                <w:vertAlign w:val="superscript"/>
                <w:lang w:val="en-GB"/>
              </w:rPr>
              <w:t>b</w:t>
            </w:r>
            <w:proofErr w:type="spellEnd"/>
          </w:p>
        </w:tc>
        <w:tc>
          <w:tcPr>
            <w:tcW w:w="906" w:type="pct"/>
            <w:hideMark/>
          </w:tcPr>
          <w:p w14:paraId="1F481DD6" w14:textId="4B06F840" w:rsidR="00384B66" w:rsidRPr="00323328" w:rsidRDefault="00384B66" w:rsidP="00384B66">
            <w:pPr>
              <w:spacing w:before="40" w:after="40"/>
              <w:jc w:val="right"/>
              <w:rPr>
                <w:rFonts w:eastAsia="Times New Roman" w:cs="Arial"/>
                <w:spacing w:val="4"/>
                <w:sz w:val="18"/>
                <w:szCs w:val="18"/>
                <w:lang w:val="en-GB"/>
              </w:rPr>
            </w:pPr>
            <w:r w:rsidRPr="00E33FCF">
              <w:rPr>
                <w:rFonts w:eastAsia="Times New Roman"/>
                <w:color w:val="000000" w:themeColor="text1"/>
                <w:spacing w:val="4"/>
                <w:sz w:val="20"/>
                <w:szCs w:val="20"/>
                <w:lang w:val="en-GB"/>
              </w:rPr>
              <w:t>–</w:t>
            </w:r>
          </w:p>
        </w:tc>
        <w:tc>
          <w:tcPr>
            <w:tcW w:w="724" w:type="pct"/>
            <w:hideMark/>
          </w:tcPr>
          <w:p w14:paraId="2CAD6AD8" w14:textId="77777777" w:rsidR="00384B66" w:rsidRPr="006447FF" w:rsidRDefault="00384B66" w:rsidP="00384B66">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40.2%</w:t>
            </w:r>
          </w:p>
        </w:tc>
        <w:tc>
          <w:tcPr>
            <w:tcW w:w="728" w:type="pct"/>
            <w:hideMark/>
          </w:tcPr>
          <w:p w14:paraId="13E89A9E" w14:textId="77777777" w:rsidR="00384B66" w:rsidRPr="006447FF" w:rsidRDefault="00384B66" w:rsidP="00384B66">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39.0%</w:t>
            </w:r>
          </w:p>
        </w:tc>
      </w:tr>
      <w:tr w:rsidR="00384B66" w:rsidRPr="006447FF" w14:paraId="14AEE8A1" w14:textId="77777777" w:rsidTr="001404F7">
        <w:trPr>
          <w:cnfStyle w:val="000000010000" w:firstRow="0" w:lastRow="0" w:firstColumn="0" w:lastColumn="0" w:oddVBand="0" w:evenVBand="0" w:oddHBand="0" w:evenHBand="1" w:firstRowFirstColumn="0" w:firstRowLastColumn="0" w:lastRowFirstColumn="0" w:lastRowLastColumn="0"/>
        </w:trPr>
        <w:tc>
          <w:tcPr>
            <w:tcW w:w="2642" w:type="pct"/>
            <w:hideMark/>
          </w:tcPr>
          <w:p w14:paraId="1EB33027" w14:textId="77777777" w:rsidR="00384B66" w:rsidRPr="006447FF" w:rsidRDefault="00384B66" w:rsidP="00384B66">
            <w:pPr>
              <w:numPr>
                <w:ilvl w:val="0"/>
                <w:numId w:val="67"/>
              </w:numPr>
              <w:spacing w:before="40" w:after="40"/>
              <w:ind w:left="318"/>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Income test</w:t>
            </w:r>
          </w:p>
        </w:tc>
        <w:tc>
          <w:tcPr>
            <w:tcW w:w="906" w:type="pct"/>
            <w:hideMark/>
          </w:tcPr>
          <w:p w14:paraId="5B4B115F" w14:textId="5E2636A9" w:rsidR="00384B66" w:rsidRPr="00323328" w:rsidRDefault="00384B66" w:rsidP="00384B66">
            <w:pPr>
              <w:spacing w:before="40" w:after="40"/>
              <w:jc w:val="right"/>
              <w:rPr>
                <w:rFonts w:eastAsia="Times New Roman"/>
                <w:spacing w:val="4"/>
                <w:sz w:val="18"/>
                <w:szCs w:val="18"/>
                <w:lang w:val="en-GB"/>
              </w:rPr>
            </w:pPr>
            <w:r w:rsidRPr="00E33FCF">
              <w:rPr>
                <w:rFonts w:eastAsia="Times New Roman"/>
                <w:color w:val="000000" w:themeColor="text1"/>
                <w:spacing w:val="4"/>
                <w:sz w:val="20"/>
                <w:szCs w:val="20"/>
                <w:lang w:val="en-GB"/>
              </w:rPr>
              <w:t>–</w:t>
            </w:r>
          </w:p>
        </w:tc>
        <w:tc>
          <w:tcPr>
            <w:tcW w:w="724" w:type="pct"/>
            <w:hideMark/>
          </w:tcPr>
          <w:p w14:paraId="69E6551B" w14:textId="77777777" w:rsidR="00384B66" w:rsidRPr="006447FF" w:rsidRDefault="00384B66" w:rsidP="00384B66">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40.2%</w:t>
            </w:r>
          </w:p>
        </w:tc>
        <w:tc>
          <w:tcPr>
            <w:tcW w:w="728" w:type="pct"/>
            <w:hideMark/>
          </w:tcPr>
          <w:p w14:paraId="445BE6B8" w14:textId="77777777" w:rsidR="00384B66" w:rsidRPr="006447FF" w:rsidRDefault="00384B66" w:rsidP="00384B66">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39.0%</w:t>
            </w:r>
          </w:p>
        </w:tc>
      </w:tr>
      <w:tr w:rsidR="00384B66" w:rsidRPr="006447FF" w14:paraId="2D1F9091" w14:textId="77777777" w:rsidTr="001404F7">
        <w:trPr>
          <w:cnfStyle w:val="000000100000" w:firstRow="0" w:lastRow="0" w:firstColumn="0" w:lastColumn="0" w:oddVBand="0" w:evenVBand="0" w:oddHBand="1" w:evenHBand="0" w:firstRowFirstColumn="0" w:firstRowLastColumn="0" w:lastRowFirstColumn="0" w:lastRowLastColumn="0"/>
        </w:trPr>
        <w:tc>
          <w:tcPr>
            <w:tcW w:w="2642" w:type="pct"/>
            <w:hideMark/>
          </w:tcPr>
          <w:p w14:paraId="151F1C6B" w14:textId="77777777" w:rsidR="00384B66" w:rsidRPr="006447FF" w:rsidRDefault="00384B66" w:rsidP="00384B66">
            <w:pPr>
              <w:numPr>
                <w:ilvl w:val="0"/>
                <w:numId w:val="67"/>
              </w:numPr>
              <w:spacing w:before="40" w:after="40"/>
              <w:ind w:left="318"/>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br w:type="page"/>
              <w:t>Assets test</w:t>
            </w:r>
          </w:p>
        </w:tc>
        <w:tc>
          <w:tcPr>
            <w:tcW w:w="906" w:type="pct"/>
            <w:hideMark/>
          </w:tcPr>
          <w:p w14:paraId="6591E3A0" w14:textId="12B95DD8" w:rsidR="00384B66" w:rsidRPr="00323328" w:rsidRDefault="00384B66" w:rsidP="00384B66">
            <w:pPr>
              <w:spacing w:before="40" w:after="40"/>
              <w:jc w:val="right"/>
              <w:rPr>
                <w:rFonts w:eastAsia="Times New Roman" w:cs="Arial"/>
                <w:spacing w:val="4"/>
                <w:sz w:val="18"/>
                <w:szCs w:val="18"/>
                <w:lang w:val="en-GB"/>
              </w:rPr>
            </w:pPr>
            <w:r w:rsidRPr="00E33FCF">
              <w:rPr>
                <w:rFonts w:eastAsia="Times New Roman"/>
                <w:color w:val="000000" w:themeColor="text1"/>
                <w:spacing w:val="4"/>
                <w:sz w:val="20"/>
                <w:szCs w:val="20"/>
                <w:lang w:val="en-GB"/>
              </w:rPr>
              <w:t>–</w:t>
            </w:r>
          </w:p>
        </w:tc>
        <w:tc>
          <w:tcPr>
            <w:tcW w:w="724" w:type="pct"/>
            <w:hideMark/>
          </w:tcPr>
          <w:p w14:paraId="28D65827" w14:textId="77777777" w:rsidR="00384B66" w:rsidRPr="006447FF" w:rsidRDefault="00384B66" w:rsidP="00384B66">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0.0%</w:t>
            </w:r>
          </w:p>
        </w:tc>
        <w:tc>
          <w:tcPr>
            <w:tcW w:w="728" w:type="pct"/>
            <w:hideMark/>
          </w:tcPr>
          <w:p w14:paraId="4200A0A4" w14:textId="77777777" w:rsidR="00384B66" w:rsidRPr="006447FF" w:rsidRDefault="00384B66" w:rsidP="00384B66">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0.0%</w:t>
            </w:r>
          </w:p>
        </w:tc>
      </w:tr>
      <w:tr w:rsidR="00384B66" w:rsidRPr="006447FF" w14:paraId="79ED6F35" w14:textId="77777777" w:rsidTr="001404F7">
        <w:trPr>
          <w:cnfStyle w:val="000000010000" w:firstRow="0" w:lastRow="0" w:firstColumn="0" w:lastColumn="0" w:oddVBand="0" w:evenVBand="0" w:oddHBand="0" w:evenHBand="1" w:firstRowFirstColumn="0" w:firstRowLastColumn="0" w:lastRowFirstColumn="0" w:lastRowLastColumn="0"/>
        </w:trPr>
        <w:tc>
          <w:tcPr>
            <w:tcW w:w="2642" w:type="pct"/>
            <w:hideMark/>
          </w:tcPr>
          <w:p w14:paraId="2EF9CE1D" w14:textId="77777777" w:rsidR="00384B66" w:rsidRPr="006447FF" w:rsidRDefault="00384B66" w:rsidP="00384B66">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Wife Pension (Age)</w:t>
            </w:r>
            <w:r w:rsidRPr="00CA3A4C">
              <w:rPr>
                <w:rFonts w:eastAsia="Times New Roman"/>
                <w:color w:val="000000" w:themeColor="text1"/>
                <w:spacing w:val="4"/>
                <w:sz w:val="20"/>
                <w:szCs w:val="20"/>
                <w:vertAlign w:val="superscript"/>
                <w:lang w:val="en-GB"/>
              </w:rPr>
              <w:t>b</w:t>
            </w:r>
          </w:p>
        </w:tc>
        <w:tc>
          <w:tcPr>
            <w:tcW w:w="906" w:type="pct"/>
            <w:hideMark/>
          </w:tcPr>
          <w:p w14:paraId="4064F44B" w14:textId="1EBE9FC2" w:rsidR="00384B66" w:rsidRPr="00323328" w:rsidRDefault="00384B66" w:rsidP="00384B66">
            <w:pPr>
              <w:spacing w:before="40" w:after="40"/>
              <w:jc w:val="right"/>
              <w:rPr>
                <w:rFonts w:eastAsia="Times New Roman"/>
                <w:spacing w:val="4"/>
                <w:sz w:val="18"/>
                <w:szCs w:val="18"/>
                <w:lang w:val="en-GB"/>
              </w:rPr>
            </w:pPr>
            <w:r w:rsidRPr="00E33FCF">
              <w:rPr>
                <w:rFonts w:eastAsia="Times New Roman"/>
                <w:color w:val="000000" w:themeColor="text1"/>
                <w:spacing w:val="4"/>
                <w:sz w:val="20"/>
                <w:szCs w:val="20"/>
                <w:lang w:val="en-GB"/>
              </w:rPr>
              <w:t>–</w:t>
            </w:r>
          </w:p>
        </w:tc>
        <w:tc>
          <w:tcPr>
            <w:tcW w:w="724" w:type="pct"/>
            <w:hideMark/>
          </w:tcPr>
          <w:p w14:paraId="7BFCBF34" w14:textId="77777777" w:rsidR="00384B66" w:rsidRPr="006447FF" w:rsidRDefault="00384B66" w:rsidP="00384B66">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18.0%</w:t>
            </w:r>
          </w:p>
        </w:tc>
        <w:tc>
          <w:tcPr>
            <w:tcW w:w="728" w:type="pct"/>
            <w:hideMark/>
          </w:tcPr>
          <w:p w14:paraId="2A40258E" w14:textId="77777777" w:rsidR="00384B66" w:rsidRPr="006447FF" w:rsidRDefault="00384B66" w:rsidP="00384B66">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18.7%</w:t>
            </w:r>
          </w:p>
        </w:tc>
      </w:tr>
      <w:tr w:rsidR="00384B66" w:rsidRPr="006447FF" w14:paraId="7D2BB9E2" w14:textId="77777777" w:rsidTr="001404F7">
        <w:trPr>
          <w:cnfStyle w:val="000000100000" w:firstRow="0" w:lastRow="0" w:firstColumn="0" w:lastColumn="0" w:oddVBand="0" w:evenVBand="0" w:oddHBand="1" w:evenHBand="0" w:firstRowFirstColumn="0" w:firstRowLastColumn="0" w:lastRowFirstColumn="0" w:lastRowLastColumn="0"/>
        </w:trPr>
        <w:tc>
          <w:tcPr>
            <w:tcW w:w="2642" w:type="pct"/>
            <w:hideMark/>
          </w:tcPr>
          <w:p w14:paraId="24D02E0E" w14:textId="77777777" w:rsidR="00384B66" w:rsidRPr="006447FF" w:rsidRDefault="00384B66" w:rsidP="00384B66">
            <w:pPr>
              <w:numPr>
                <w:ilvl w:val="0"/>
                <w:numId w:val="67"/>
              </w:numPr>
              <w:spacing w:before="40" w:after="40"/>
              <w:ind w:left="318"/>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lastRenderedPageBreak/>
              <w:t>Income test</w:t>
            </w:r>
          </w:p>
        </w:tc>
        <w:tc>
          <w:tcPr>
            <w:tcW w:w="906" w:type="pct"/>
            <w:hideMark/>
          </w:tcPr>
          <w:p w14:paraId="618394D8" w14:textId="2C1FD086" w:rsidR="00384B66" w:rsidRPr="00323328" w:rsidRDefault="00384B66" w:rsidP="00384B66">
            <w:pPr>
              <w:spacing w:before="40" w:after="40"/>
              <w:jc w:val="right"/>
              <w:rPr>
                <w:rFonts w:eastAsia="Times New Roman" w:cs="Arial"/>
                <w:spacing w:val="4"/>
                <w:sz w:val="18"/>
                <w:szCs w:val="18"/>
                <w:lang w:val="en-GB"/>
              </w:rPr>
            </w:pPr>
            <w:r w:rsidRPr="00E33FCF">
              <w:rPr>
                <w:rFonts w:eastAsia="Times New Roman"/>
                <w:color w:val="000000" w:themeColor="text1"/>
                <w:spacing w:val="4"/>
                <w:sz w:val="20"/>
                <w:szCs w:val="20"/>
                <w:lang w:val="en-GB"/>
              </w:rPr>
              <w:t>–</w:t>
            </w:r>
          </w:p>
        </w:tc>
        <w:tc>
          <w:tcPr>
            <w:tcW w:w="724" w:type="pct"/>
            <w:hideMark/>
          </w:tcPr>
          <w:p w14:paraId="0FF2006F" w14:textId="77777777" w:rsidR="00384B66" w:rsidRPr="006447FF" w:rsidRDefault="00384B66" w:rsidP="00384B66">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16.2%</w:t>
            </w:r>
          </w:p>
        </w:tc>
        <w:tc>
          <w:tcPr>
            <w:tcW w:w="728" w:type="pct"/>
            <w:hideMark/>
          </w:tcPr>
          <w:p w14:paraId="52074D42" w14:textId="77777777" w:rsidR="00384B66" w:rsidRPr="006447FF" w:rsidRDefault="00384B66" w:rsidP="00384B66">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17.0%</w:t>
            </w:r>
          </w:p>
        </w:tc>
      </w:tr>
      <w:tr w:rsidR="00384B66" w:rsidRPr="006447FF" w14:paraId="47D0B7EF" w14:textId="77777777" w:rsidTr="001404F7">
        <w:trPr>
          <w:cnfStyle w:val="000000010000" w:firstRow="0" w:lastRow="0" w:firstColumn="0" w:lastColumn="0" w:oddVBand="0" w:evenVBand="0" w:oddHBand="0" w:evenHBand="1" w:firstRowFirstColumn="0" w:firstRowLastColumn="0" w:lastRowFirstColumn="0" w:lastRowLastColumn="0"/>
        </w:trPr>
        <w:tc>
          <w:tcPr>
            <w:tcW w:w="2642" w:type="pct"/>
            <w:hideMark/>
          </w:tcPr>
          <w:p w14:paraId="11871C4C" w14:textId="77777777" w:rsidR="00384B66" w:rsidRPr="006447FF" w:rsidRDefault="00384B66" w:rsidP="00384B66">
            <w:pPr>
              <w:numPr>
                <w:ilvl w:val="0"/>
                <w:numId w:val="67"/>
              </w:numPr>
              <w:spacing w:before="40" w:after="40"/>
              <w:ind w:left="318"/>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Assets test</w:t>
            </w:r>
          </w:p>
        </w:tc>
        <w:tc>
          <w:tcPr>
            <w:tcW w:w="906" w:type="pct"/>
            <w:hideMark/>
          </w:tcPr>
          <w:p w14:paraId="07555991" w14:textId="260A7EA3" w:rsidR="00384B66" w:rsidRPr="00323328" w:rsidRDefault="00384B66" w:rsidP="00384B66">
            <w:pPr>
              <w:spacing w:before="40" w:after="40"/>
              <w:jc w:val="right"/>
              <w:rPr>
                <w:rFonts w:eastAsia="Times New Roman"/>
                <w:spacing w:val="4"/>
                <w:sz w:val="18"/>
                <w:szCs w:val="18"/>
                <w:lang w:val="en-GB"/>
              </w:rPr>
            </w:pPr>
            <w:r w:rsidRPr="00E33FCF">
              <w:rPr>
                <w:rFonts w:eastAsia="Times New Roman"/>
                <w:color w:val="000000" w:themeColor="text1"/>
                <w:spacing w:val="4"/>
                <w:sz w:val="20"/>
                <w:szCs w:val="20"/>
                <w:lang w:val="en-GB"/>
              </w:rPr>
              <w:t>–</w:t>
            </w:r>
          </w:p>
        </w:tc>
        <w:tc>
          <w:tcPr>
            <w:tcW w:w="724" w:type="pct"/>
            <w:hideMark/>
          </w:tcPr>
          <w:p w14:paraId="7059CDDD" w14:textId="77777777" w:rsidR="00384B66" w:rsidRPr="006447FF" w:rsidRDefault="00384B66" w:rsidP="00384B66">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1.8%</w:t>
            </w:r>
          </w:p>
        </w:tc>
        <w:tc>
          <w:tcPr>
            <w:tcW w:w="728" w:type="pct"/>
            <w:hideMark/>
          </w:tcPr>
          <w:p w14:paraId="403B8E59" w14:textId="77777777" w:rsidR="00384B66" w:rsidRPr="006447FF" w:rsidRDefault="00384B66" w:rsidP="00384B66">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1.7%</w:t>
            </w:r>
          </w:p>
        </w:tc>
      </w:tr>
      <w:tr w:rsidR="001404F7" w:rsidRPr="006447FF" w14:paraId="39A00A32"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4"/>
            <w:tcBorders>
              <w:bottom w:val="single" w:sz="12" w:space="0" w:color="00B0B9"/>
            </w:tcBorders>
            <w:hideMark/>
          </w:tcPr>
          <w:p w14:paraId="2D2D303B" w14:textId="77777777" w:rsidR="001404F7" w:rsidRPr="00CA3A4C" w:rsidRDefault="001404F7" w:rsidP="001404F7">
            <w:pPr>
              <w:spacing w:before="40" w:after="40"/>
              <w:rPr>
                <w:rFonts w:eastAsia="Times New Roman" w:cs="Arial"/>
                <w:color w:val="FF0000"/>
                <w:spacing w:val="4"/>
                <w:sz w:val="20"/>
                <w:szCs w:val="20"/>
                <w:highlight w:val="yellow"/>
                <w:lang w:val="en-GB"/>
              </w:rPr>
            </w:pPr>
            <w:r w:rsidRPr="00323328">
              <w:rPr>
                <w:rFonts w:eastAsia="Times New Roman" w:cs="Arial"/>
                <w:b/>
                <w:color w:val="000000" w:themeColor="text1"/>
                <w:spacing w:val="4"/>
                <w:sz w:val="20"/>
                <w:szCs w:val="20"/>
                <w:lang w:val="en-GB"/>
              </w:rPr>
              <w:t>Income Support for People with Disability</w:t>
            </w:r>
          </w:p>
        </w:tc>
      </w:tr>
      <w:tr w:rsidR="001404F7" w:rsidRPr="006447FF" w14:paraId="1795ABA1" w14:textId="77777777" w:rsidTr="001404F7">
        <w:trPr>
          <w:cnfStyle w:val="000000010000" w:firstRow="0" w:lastRow="0" w:firstColumn="0" w:lastColumn="0" w:oddVBand="0" w:evenVBand="0" w:oddHBand="0" w:evenHBand="1" w:firstRowFirstColumn="0" w:firstRowLastColumn="0" w:lastRowFirstColumn="0" w:lastRowLastColumn="0"/>
        </w:trPr>
        <w:tc>
          <w:tcPr>
            <w:tcW w:w="2642" w:type="pct"/>
            <w:tcBorders>
              <w:top w:val="single" w:sz="12" w:space="0" w:color="00B0B9"/>
              <w:bottom w:val="single" w:sz="4" w:space="0" w:color="FFFFFF" w:themeColor="background1"/>
            </w:tcBorders>
            <w:hideMark/>
          </w:tcPr>
          <w:p w14:paraId="4BB3F3EF"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Disability Support Pension</w:t>
            </w:r>
          </w:p>
        </w:tc>
        <w:tc>
          <w:tcPr>
            <w:tcW w:w="906" w:type="pct"/>
            <w:tcBorders>
              <w:top w:val="single" w:sz="12" w:space="0" w:color="00B0B9"/>
              <w:bottom w:val="single" w:sz="4" w:space="0" w:color="FFFFFF" w:themeColor="background1"/>
            </w:tcBorders>
            <w:hideMark/>
          </w:tcPr>
          <w:p w14:paraId="51A1F482" w14:textId="77777777" w:rsidR="001404F7" w:rsidRPr="00323328" w:rsidRDefault="001404F7" w:rsidP="001404F7">
            <w:pPr>
              <w:spacing w:before="40" w:after="40"/>
              <w:jc w:val="right"/>
              <w:rPr>
                <w:rFonts w:eastAsia="Times New Roman"/>
                <w:spacing w:val="4"/>
                <w:sz w:val="20"/>
                <w:szCs w:val="20"/>
                <w:lang w:val="en-GB"/>
              </w:rPr>
            </w:pPr>
            <w:r w:rsidRPr="00323328">
              <w:rPr>
                <w:sz w:val="20"/>
                <w:szCs w:val="20"/>
              </w:rPr>
              <w:t>12.3%</w:t>
            </w:r>
          </w:p>
        </w:tc>
        <w:tc>
          <w:tcPr>
            <w:tcW w:w="724" w:type="pct"/>
            <w:tcBorders>
              <w:top w:val="single" w:sz="12" w:space="0" w:color="00B0B9"/>
              <w:bottom w:val="single" w:sz="4" w:space="0" w:color="FFFFFF" w:themeColor="background1"/>
            </w:tcBorders>
            <w:hideMark/>
          </w:tcPr>
          <w:p w14:paraId="4D2E1384"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14.1%</w:t>
            </w:r>
          </w:p>
        </w:tc>
        <w:tc>
          <w:tcPr>
            <w:tcW w:w="728" w:type="pct"/>
            <w:tcBorders>
              <w:top w:val="single" w:sz="12" w:space="0" w:color="00B0B9"/>
              <w:bottom w:val="single" w:sz="4" w:space="0" w:color="FFFFFF" w:themeColor="background1"/>
            </w:tcBorders>
            <w:hideMark/>
          </w:tcPr>
          <w:p w14:paraId="7BAF8531"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14.4%</w:t>
            </w:r>
          </w:p>
        </w:tc>
      </w:tr>
      <w:tr w:rsidR="001404F7" w:rsidRPr="006447FF" w14:paraId="2DF0FB65" w14:textId="77777777" w:rsidTr="001404F7">
        <w:trPr>
          <w:cnfStyle w:val="000000100000" w:firstRow="0" w:lastRow="0" w:firstColumn="0" w:lastColumn="0" w:oddVBand="0" w:evenVBand="0" w:oddHBand="1" w:evenHBand="0" w:firstRowFirstColumn="0" w:firstRowLastColumn="0" w:lastRowFirstColumn="0" w:lastRowLastColumn="0"/>
        </w:trPr>
        <w:tc>
          <w:tcPr>
            <w:tcW w:w="2642" w:type="pct"/>
            <w:tcBorders>
              <w:top w:val="single" w:sz="4" w:space="0" w:color="FFFFFF" w:themeColor="background1"/>
            </w:tcBorders>
            <w:hideMark/>
          </w:tcPr>
          <w:p w14:paraId="63E5F8A8" w14:textId="77777777" w:rsidR="001404F7" w:rsidRPr="006447FF" w:rsidRDefault="001404F7" w:rsidP="001404F7">
            <w:pPr>
              <w:numPr>
                <w:ilvl w:val="0"/>
                <w:numId w:val="67"/>
              </w:numPr>
              <w:spacing w:before="40" w:after="40"/>
              <w:ind w:left="318"/>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Income test</w:t>
            </w:r>
          </w:p>
        </w:tc>
        <w:tc>
          <w:tcPr>
            <w:tcW w:w="906" w:type="pct"/>
            <w:tcBorders>
              <w:top w:val="single" w:sz="4" w:space="0" w:color="FFFFFF" w:themeColor="background1"/>
            </w:tcBorders>
            <w:hideMark/>
          </w:tcPr>
          <w:p w14:paraId="08813594" w14:textId="77777777" w:rsidR="001404F7" w:rsidRPr="00323328" w:rsidRDefault="001404F7" w:rsidP="001404F7">
            <w:pPr>
              <w:spacing w:before="40" w:after="40"/>
              <w:jc w:val="right"/>
              <w:rPr>
                <w:rFonts w:eastAsia="Times New Roman" w:cs="Arial"/>
                <w:spacing w:val="4"/>
                <w:sz w:val="20"/>
                <w:szCs w:val="20"/>
                <w:lang w:val="en-GB"/>
              </w:rPr>
            </w:pPr>
            <w:r w:rsidRPr="00323328">
              <w:rPr>
                <w:sz w:val="20"/>
                <w:szCs w:val="20"/>
              </w:rPr>
              <w:t>11.3%</w:t>
            </w:r>
          </w:p>
        </w:tc>
        <w:tc>
          <w:tcPr>
            <w:tcW w:w="724" w:type="pct"/>
            <w:tcBorders>
              <w:top w:val="single" w:sz="4" w:space="0" w:color="FFFFFF" w:themeColor="background1"/>
            </w:tcBorders>
            <w:hideMark/>
          </w:tcPr>
          <w:p w14:paraId="5FF11B7F"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13.2%</w:t>
            </w:r>
          </w:p>
        </w:tc>
        <w:tc>
          <w:tcPr>
            <w:tcW w:w="728" w:type="pct"/>
            <w:tcBorders>
              <w:top w:val="single" w:sz="4" w:space="0" w:color="FFFFFF" w:themeColor="background1"/>
            </w:tcBorders>
            <w:hideMark/>
          </w:tcPr>
          <w:p w14:paraId="3FB8C1D6"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13.5%</w:t>
            </w:r>
          </w:p>
        </w:tc>
      </w:tr>
      <w:tr w:rsidR="001404F7" w:rsidRPr="006447FF" w14:paraId="4BC65369" w14:textId="77777777" w:rsidTr="001404F7">
        <w:trPr>
          <w:cnfStyle w:val="000000010000" w:firstRow="0" w:lastRow="0" w:firstColumn="0" w:lastColumn="0" w:oddVBand="0" w:evenVBand="0" w:oddHBand="0" w:evenHBand="1" w:firstRowFirstColumn="0" w:firstRowLastColumn="0" w:lastRowFirstColumn="0" w:lastRowLastColumn="0"/>
        </w:trPr>
        <w:tc>
          <w:tcPr>
            <w:tcW w:w="2642" w:type="pct"/>
            <w:hideMark/>
          </w:tcPr>
          <w:p w14:paraId="10E92491" w14:textId="77777777" w:rsidR="001404F7" w:rsidRPr="006447FF" w:rsidRDefault="001404F7" w:rsidP="001404F7">
            <w:pPr>
              <w:numPr>
                <w:ilvl w:val="0"/>
                <w:numId w:val="67"/>
              </w:numPr>
              <w:spacing w:before="40" w:after="40"/>
              <w:ind w:left="318"/>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Assets test</w:t>
            </w:r>
          </w:p>
        </w:tc>
        <w:tc>
          <w:tcPr>
            <w:tcW w:w="906" w:type="pct"/>
            <w:hideMark/>
          </w:tcPr>
          <w:p w14:paraId="5B2C7E1B" w14:textId="77777777" w:rsidR="001404F7" w:rsidRPr="00323328" w:rsidRDefault="001404F7" w:rsidP="001404F7">
            <w:pPr>
              <w:spacing w:before="40" w:after="40"/>
              <w:jc w:val="right"/>
              <w:rPr>
                <w:rFonts w:eastAsia="Times New Roman"/>
                <w:spacing w:val="4"/>
                <w:sz w:val="20"/>
                <w:szCs w:val="20"/>
                <w:lang w:val="en-GB"/>
              </w:rPr>
            </w:pPr>
            <w:r w:rsidRPr="00323328">
              <w:rPr>
                <w:sz w:val="20"/>
                <w:szCs w:val="20"/>
              </w:rPr>
              <w:t>1.0%</w:t>
            </w:r>
          </w:p>
        </w:tc>
        <w:tc>
          <w:tcPr>
            <w:tcW w:w="724" w:type="pct"/>
            <w:hideMark/>
          </w:tcPr>
          <w:p w14:paraId="54EEAAD3"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0.9%</w:t>
            </w:r>
          </w:p>
        </w:tc>
        <w:tc>
          <w:tcPr>
            <w:tcW w:w="728" w:type="pct"/>
            <w:hideMark/>
          </w:tcPr>
          <w:p w14:paraId="631C3266"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1.0%</w:t>
            </w:r>
          </w:p>
        </w:tc>
      </w:tr>
      <w:tr w:rsidR="001404F7" w:rsidRPr="006447FF" w14:paraId="0D14FA2A"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4"/>
            <w:tcBorders>
              <w:bottom w:val="single" w:sz="12" w:space="0" w:color="00B0B9"/>
            </w:tcBorders>
            <w:hideMark/>
          </w:tcPr>
          <w:p w14:paraId="127AD39D"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b/>
                <w:color w:val="000000" w:themeColor="text1"/>
                <w:spacing w:val="4"/>
                <w:sz w:val="20"/>
                <w:szCs w:val="20"/>
                <w:lang w:val="en-GB"/>
              </w:rPr>
              <w:t>Income Support for Carers</w:t>
            </w:r>
          </w:p>
        </w:tc>
      </w:tr>
      <w:tr w:rsidR="001404F7" w:rsidRPr="006447FF" w14:paraId="414FBF48" w14:textId="77777777" w:rsidTr="001404F7">
        <w:trPr>
          <w:cnfStyle w:val="000000010000" w:firstRow="0" w:lastRow="0" w:firstColumn="0" w:lastColumn="0" w:oddVBand="0" w:evenVBand="0" w:oddHBand="0" w:evenHBand="1" w:firstRowFirstColumn="0" w:firstRowLastColumn="0" w:lastRowFirstColumn="0" w:lastRowLastColumn="0"/>
        </w:trPr>
        <w:tc>
          <w:tcPr>
            <w:tcW w:w="2642" w:type="pct"/>
            <w:tcBorders>
              <w:top w:val="single" w:sz="12" w:space="0" w:color="00B0B9"/>
              <w:bottom w:val="single" w:sz="4" w:space="0" w:color="FFFFFF" w:themeColor="background1"/>
            </w:tcBorders>
            <w:hideMark/>
          </w:tcPr>
          <w:p w14:paraId="78CDE5B6"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Carer Payment</w:t>
            </w:r>
          </w:p>
        </w:tc>
        <w:tc>
          <w:tcPr>
            <w:tcW w:w="906" w:type="pct"/>
            <w:tcBorders>
              <w:top w:val="single" w:sz="12" w:space="0" w:color="00B0B9"/>
              <w:bottom w:val="single" w:sz="4" w:space="0" w:color="FFFFFF" w:themeColor="background1"/>
            </w:tcBorders>
            <w:hideMark/>
          </w:tcPr>
          <w:p w14:paraId="0DF269C3" w14:textId="77777777" w:rsidR="001404F7" w:rsidRPr="00323328" w:rsidRDefault="001404F7" w:rsidP="001404F7">
            <w:pPr>
              <w:spacing w:before="40" w:after="40"/>
              <w:jc w:val="right"/>
              <w:rPr>
                <w:rFonts w:eastAsia="Times New Roman"/>
                <w:spacing w:val="4"/>
                <w:sz w:val="20"/>
                <w:szCs w:val="20"/>
                <w:lang w:val="en-GB"/>
              </w:rPr>
            </w:pPr>
            <w:r w:rsidRPr="00323328">
              <w:rPr>
                <w:sz w:val="20"/>
                <w:szCs w:val="20"/>
              </w:rPr>
              <w:t>19.5%</w:t>
            </w:r>
          </w:p>
        </w:tc>
        <w:tc>
          <w:tcPr>
            <w:tcW w:w="724" w:type="pct"/>
            <w:tcBorders>
              <w:top w:val="single" w:sz="12" w:space="0" w:color="00B0B9"/>
              <w:bottom w:val="single" w:sz="4" w:space="0" w:color="FFFFFF" w:themeColor="background1"/>
            </w:tcBorders>
            <w:hideMark/>
          </w:tcPr>
          <w:p w14:paraId="27D00E05"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22.7%</w:t>
            </w:r>
          </w:p>
        </w:tc>
        <w:tc>
          <w:tcPr>
            <w:tcW w:w="728" w:type="pct"/>
            <w:tcBorders>
              <w:top w:val="single" w:sz="12" w:space="0" w:color="00B0B9"/>
              <w:bottom w:val="single" w:sz="4" w:space="0" w:color="FFFFFF" w:themeColor="background1"/>
            </w:tcBorders>
            <w:hideMark/>
          </w:tcPr>
          <w:p w14:paraId="73B6A7C9"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17"/>
                <w:lang w:val="en-GB"/>
              </w:rPr>
              <w:t>22.5%</w:t>
            </w:r>
          </w:p>
        </w:tc>
      </w:tr>
      <w:tr w:rsidR="001404F7" w:rsidRPr="006447FF" w14:paraId="14C8B6CE" w14:textId="77777777" w:rsidTr="001404F7">
        <w:trPr>
          <w:cnfStyle w:val="000000100000" w:firstRow="0" w:lastRow="0" w:firstColumn="0" w:lastColumn="0" w:oddVBand="0" w:evenVBand="0" w:oddHBand="1" w:evenHBand="0" w:firstRowFirstColumn="0" w:firstRowLastColumn="0" w:lastRowFirstColumn="0" w:lastRowLastColumn="0"/>
        </w:trPr>
        <w:tc>
          <w:tcPr>
            <w:tcW w:w="2642" w:type="pct"/>
            <w:tcBorders>
              <w:top w:val="single" w:sz="4" w:space="0" w:color="FFFFFF" w:themeColor="background1"/>
            </w:tcBorders>
            <w:hideMark/>
          </w:tcPr>
          <w:p w14:paraId="2B6A1156" w14:textId="77777777" w:rsidR="001404F7" w:rsidRPr="006447FF" w:rsidRDefault="001404F7" w:rsidP="001404F7">
            <w:pPr>
              <w:numPr>
                <w:ilvl w:val="0"/>
                <w:numId w:val="67"/>
              </w:numPr>
              <w:spacing w:before="40" w:after="40"/>
              <w:ind w:left="318"/>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Income test</w:t>
            </w:r>
          </w:p>
        </w:tc>
        <w:tc>
          <w:tcPr>
            <w:tcW w:w="906" w:type="pct"/>
            <w:tcBorders>
              <w:top w:val="single" w:sz="4" w:space="0" w:color="FFFFFF" w:themeColor="background1"/>
            </w:tcBorders>
            <w:hideMark/>
          </w:tcPr>
          <w:p w14:paraId="1F27E477" w14:textId="77777777" w:rsidR="001404F7" w:rsidRPr="00323328" w:rsidRDefault="001404F7" w:rsidP="001404F7">
            <w:pPr>
              <w:spacing w:before="40" w:after="40"/>
              <w:jc w:val="right"/>
              <w:rPr>
                <w:rFonts w:eastAsia="Times New Roman" w:cs="Arial"/>
                <w:spacing w:val="4"/>
                <w:sz w:val="20"/>
                <w:szCs w:val="20"/>
                <w:lang w:val="en-GB"/>
              </w:rPr>
            </w:pPr>
            <w:r w:rsidRPr="00323328">
              <w:rPr>
                <w:sz w:val="20"/>
                <w:szCs w:val="20"/>
              </w:rPr>
              <w:t>17.1%</w:t>
            </w:r>
          </w:p>
        </w:tc>
        <w:tc>
          <w:tcPr>
            <w:tcW w:w="724" w:type="pct"/>
            <w:tcBorders>
              <w:top w:val="single" w:sz="4" w:space="0" w:color="FFFFFF" w:themeColor="background1"/>
            </w:tcBorders>
            <w:hideMark/>
          </w:tcPr>
          <w:p w14:paraId="58746300"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20.3%</w:t>
            </w:r>
          </w:p>
        </w:tc>
        <w:tc>
          <w:tcPr>
            <w:tcW w:w="728" w:type="pct"/>
            <w:tcBorders>
              <w:top w:val="single" w:sz="4" w:space="0" w:color="FFFFFF" w:themeColor="background1"/>
            </w:tcBorders>
            <w:hideMark/>
          </w:tcPr>
          <w:p w14:paraId="0406D291"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17"/>
                <w:lang w:val="en-GB"/>
              </w:rPr>
              <w:t>20.0%</w:t>
            </w:r>
          </w:p>
        </w:tc>
      </w:tr>
      <w:tr w:rsidR="001404F7" w:rsidRPr="006447FF" w14:paraId="6B02CAD5" w14:textId="77777777" w:rsidTr="001404F7">
        <w:trPr>
          <w:cnfStyle w:val="000000010000" w:firstRow="0" w:lastRow="0" w:firstColumn="0" w:lastColumn="0" w:oddVBand="0" w:evenVBand="0" w:oddHBand="0" w:evenHBand="1" w:firstRowFirstColumn="0" w:firstRowLastColumn="0" w:lastRowFirstColumn="0" w:lastRowLastColumn="0"/>
        </w:trPr>
        <w:tc>
          <w:tcPr>
            <w:tcW w:w="2642" w:type="pct"/>
            <w:hideMark/>
          </w:tcPr>
          <w:p w14:paraId="7319C42A" w14:textId="77777777" w:rsidR="001404F7" w:rsidRPr="006447FF" w:rsidRDefault="001404F7" w:rsidP="001404F7">
            <w:pPr>
              <w:numPr>
                <w:ilvl w:val="0"/>
                <w:numId w:val="67"/>
              </w:numPr>
              <w:spacing w:before="40" w:after="40"/>
              <w:ind w:left="318"/>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Assets test</w:t>
            </w:r>
          </w:p>
        </w:tc>
        <w:tc>
          <w:tcPr>
            <w:tcW w:w="906" w:type="pct"/>
            <w:hideMark/>
          </w:tcPr>
          <w:p w14:paraId="3E877C77" w14:textId="77777777" w:rsidR="001404F7" w:rsidRPr="00323328" w:rsidRDefault="001404F7" w:rsidP="001404F7">
            <w:pPr>
              <w:spacing w:before="40" w:after="40"/>
              <w:jc w:val="right"/>
              <w:rPr>
                <w:rFonts w:eastAsia="Times New Roman"/>
                <w:spacing w:val="4"/>
                <w:sz w:val="20"/>
                <w:szCs w:val="20"/>
                <w:lang w:val="en-GB"/>
              </w:rPr>
            </w:pPr>
            <w:r w:rsidRPr="00323328">
              <w:rPr>
                <w:sz w:val="20"/>
                <w:szCs w:val="20"/>
              </w:rPr>
              <w:t>2.4%</w:t>
            </w:r>
          </w:p>
        </w:tc>
        <w:tc>
          <w:tcPr>
            <w:tcW w:w="724" w:type="pct"/>
            <w:hideMark/>
          </w:tcPr>
          <w:p w14:paraId="6EBEA8C9"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2.4%</w:t>
            </w:r>
          </w:p>
        </w:tc>
        <w:tc>
          <w:tcPr>
            <w:tcW w:w="728" w:type="pct"/>
            <w:hideMark/>
          </w:tcPr>
          <w:p w14:paraId="235E12C5" w14:textId="77777777" w:rsidR="001404F7" w:rsidRPr="006447FF" w:rsidRDefault="001404F7" w:rsidP="001404F7">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17"/>
                <w:lang w:val="en-GB"/>
              </w:rPr>
              <w:t>2.5%</w:t>
            </w:r>
          </w:p>
        </w:tc>
      </w:tr>
      <w:tr w:rsidR="00384B66" w:rsidRPr="006447FF" w14:paraId="42CA289B" w14:textId="77777777" w:rsidTr="001404F7">
        <w:trPr>
          <w:cnfStyle w:val="000000100000" w:firstRow="0" w:lastRow="0" w:firstColumn="0" w:lastColumn="0" w:oddVBand="0" w:evenVBand="0" w:oddHBand="1" w:evenHBand="0" w:firstRowFirstColumn="0" w:firstRowLastColumn="0" w:lastRowFirstColumn="0" w:lastRowLastColumn="0"/>
        </w:trPr>
        <w:tc>
          <w:tcPr>
            <w:tcW w:w="2642" w:type="pct"/>
            <w:hideMark/>
          </w:tcPr>
          <w:p w14:paraId="652C4137" w14:textId="77777777" w:rsidR="00384B66" w:rsidRPr="006447FF" w:rsidRDefault="00384B66" w:rsidP="00384B66">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Wife Pension (</w:t>
            </w:r>
            <w:r w:rsidRPr="006447FF">
              <w:rPr>
                <w:rFonts w:eastAsia="Times New Roman" w:cs="Times New Roman"/>
                <w:spacing w:val="4"/>
                <w:sz w:val="20"/>
                <w:szCs w:val="20"/>
                <w:lang w:eastAsia="en-AU"/>
              </w:rPr>
              <w:t>Disability Support Pension</w:t>
            </w:r>
            <w:r w:rsidRPr="006447FF">
              <w:rPr>
                <w:rFonts w:eastAsia="Times New Roman" w:cs="Arial"/>
                <w:color w:val="000000" w:themeColor="text1"/>
                <w:spacing w:val="4"/>
                <w:sz w:val="20"/>
                <w:szCs w:val="20"/>
                <w:lang w:val="en-GB"/>
              </w:rPr>
              <w:t>)</w:t>
            </w:r>
            <w:r w:rsidRPr="00CA3A4C">
              <w:rPr>
                <w:rFonts w:eastAsia="Times New Roman" w:cs="Arial"/>
                <w:color w:val="000000" w:themeColor="text1"/>
                <w:spacing w:val="4"/>
                <w:sz w:val="20"/>
                <w:szCs w:val="20"/>
                <w:vertAlign w:val="superscript"/>
                <w:lang w:val="en-GB"/>
              </w:rPr>
              <w:t>b</w:t>
            </w:r>
          </w:p>
        </w:tc>
        <w:tc>
          <w:tcPr>
            <w:tcW w:w="906" w:type="pct"/>
            <w:hideMark/>
          </w:tcPr>
          <w:p w14:paraId="6DCED449" w14:textId="3EE51411" w:rsidR="00384B66" w:rsidRPr="00323328" w:rsidRDefault="00384B66" w:rsidP="00384B66">
            <w:pPr>
              <w:spacing w:before="40" w:after="40"/>
              <w:jc w:val="right"/>
              <w:rPr>
                <w:rFonts w:eastAsia="Times New Roman" w:cs="Arial"/>
                <w:spacing w:val="4"/>
                <w:sz w:val="18"/>
                <w:szCs w:val="18"/>
                <w:lang w:val="en-GB"/>
              </w:rPr>
            </w:pPr>
            <w:r w:rsidRPr="002469C2">
              <w:rPr>
                <w:rFonts w:eastAsia="Times New Roman"/>
                <w:color w:val="000000" w:themeColor="text1"/>
                <w:spacing w:val="4"/>
                <w:sz w:val="20"/>
                <w:szCs w:val="20"/>
                <w:lang w:val="en-GB"/>
              </w:rPr>
              <w:t>–</w:t>
            </w:r>
          </w:p>
        </w:tc>
        <w:tc>
          <w:tcPr>
            <w:tcW w:w="724" w:type="pct"/>
            <w:hideMark/>
          </w:tcPr>
          <w:p w14:paraId="32B2F7A5" w14:textId="77777777" w:rsidR="00384B66" w:rsidRPr="006447FF" w:rsidRDefault="00384B66" w:rsidP="00384B66">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27.5%</w:t>
            </w:r>
          </w:p>
        </w:tc>
        <w:tc>
          <w:tcPr>
            <w:tcW w:w="728" w:type="pct"/>
            <w:hideMark/>
          </w:tcPr>
          <w:p w14:paraId="16D349FD" w14:textId="77777777" w:rsidR="00384B66" w:rsidRPr="006447FF" w:rsidRDefault="00384B66" w:rsidP="00384B66">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17"/>
                <w:lang w:val="en-GB"/>
              </w:rPr>
              <w:t>27.8%</w:t>
            </w:r>
          </w:p>
        </w:tc>
      </w:tr>
      <w:tr w:rsidR="00384B66" w:rsidRPr="006447FF" w14:paraId="1F302FE5" w14:textId="77777777" w:rsidTr="001404F7">
        <w:trPr>
          <w:cnfStyle w:val="000000010000" w:firstRow="0" w:lastRow="0" w:firstColumn="0" w:lastColumn="0" w:oddVBand="0" w:evenVBand="0" w:oddHBand="0" w:evenHBand="1" w:firstRowFirstColumn="0" w:firstRowLastColumn="0" w:lastRowFirstColumn="0" w:lastRowLastColumn="0"/>
        </w:trPr>
        <w:tc>
          <w:tcPr>
            <w:tcW w:w="2642" w:type="pct"/>
            <w:hideMark/>
          </w:tcPr>
          <w:p w14:paraId="608496E7" w14:textId="77777777" w:rsidR="00384B66" w:rsidRPr="006447FF" w:rsidRDefault="00384B66" w:rsidP="00384B66">
            <w:pPr>
              <w:numPr>
                <w:ilvl w:val="0"/>
                <w:numId w:val="67"/>
              </w:numPr>
              <w:spacing w:before="40" w:after="40"/>
              <w:ind w:left="318"/>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Income test</w:t>
            </w:r>
          </w:p>
        </w:tc>
        <w:tc>
          <w:tcPr>
            <w:tcW w:w="906" w:type="pct"/>
            <w:hideMark/>
          </w:tcPr>
          <w:p w14:paraId="599DF887" w14:textId="25F4526E" w:rsidR="00384B66" w:rsidRPr="00323328" w:rsidRDefault="00384B66" w:rsidP="00384B66">
            <w:pPr>
              <w:spacing w:before="40" w:after="40"/>
              <w:jc w:val="right"/>
              <w:rPr>
                <w:rFonts w:eastAsia="Times New Roman"/>
                <w:spacing w:val="4"/>
                <w:sz w:val="18"/>
                <w:szCs w:val="18"/>
                <w:lang w:val="en-GB"/>
              </w:rPr>
            </w:pPr>
            <w:r w:rsidRPr="002469C2">
              <w:rPr>
                <w:rFonts w:eastAsia="Times New Roman"/>
                <w:color w:val="000000" w:themeColor="text1"/>
                <w:spacing w:val="4"/>
                <w:sz w:val="20"/>
                <w:szCs w:val="20"/>
                <w:lang w:val="en-GB"/>
              </w:rPr>
              <w:t>–</w:t>
            </w:r>
          </w:p>
        </w:tc>
        <w:tc>
          <w:tcPr>
            <w:tcW w:w="724" w:type="pct"/>
            <w:hideMark/>
          </w:tcPr>
          <w:p w14:paraId="1C54405E" w14:textId="77777777" w:rsidR="00384B66" w:rsidRPr="006447FF" w:rsidRDefault="00384B66" w:rsidP="00384B66">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26.1%</w:t>
            </w:r>
          </w:p>
        </w:tc>
        <w:tc>
          <w:tcPr>
            <w:tcW w:w="728" w:type="pct"/>
            <w:hideMark/>
          </w:tcPr>
          <w:p w14:paraId="67360A26" w14:textId="77777777" w:rsidR="00384B66" w:rsidRPr="006447FF" w:rsidRDefault="00384B66" w:rsidP="00384B66">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17"/>
                <w:lang w:val="en-GB"/>
              </w:rPr>
              <w:t>26.2%</w:t>
            </w:r>
          </w:p>
        </w:tc>
      </w:tr>
      <w:tr w:rsidR="00384B66" w:rsidRPr="006447FF" w14:paraId="059D39F5" w14:textId="77777777" w:rsidTr="001404F7">
        <w:trPr>
          <w:cnfStyle w:val="000000100000" w:firstRow="0" w:lastRow="0" w:firstColumn="0" w:lastColumn="0" w:oddVBand="0" w:evenVBand="0" w:oddHBand="1" w:evenHBand="0" w:firstRowFirstColumn="0" w:firstRowLastColumn="0" w:lastRowFirstColumn="0" w:lastRowLastColumn="0"/>
        </w:trPr>
        <w:tc>
          <w:tcPr>
            <w:tcW w:w="2642" w:type="pct"/>
            <w:hideMark/>
          </w:tcPr>
          <w:p w14:paraId="16AA20BC" w14:textId="77777777" w:rsidR="00384B66" w:rsidRPr="006447FF" w:rsidRDefault="00384B66" w:rsidP="00384B66">
            <w:pPr>
              <w:numPr>
                <w:ilvl w:val="0"/>
                <w:numId w:val="67"/>
              </w:numPr>
              <w:spacing w:before="40" w:after="40"/>
              <w:ind w:left="318"/>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Assets test</w:t>
            </w:r>
          </w:p>
        </w:tc>
        <w:tc>
          <w:tcPr>
            <w:tcW w:w="906" w:type="pct"/>
            <w:hideMark/>
          </w:tcPr>
          <w:p w14:paraId="17B69D26" w14:textId="2754B53D" w:rsidR="00384B66" w:rsidRPr="00323328" w:rsidRDefault="00384B66" w:rsidP="00384B66">
            <w:pPr>
              <w:spacing w:before="40" w:after="40"/>
              <w:jc w:val="right"/>
              <w:rPr>
                <w:rFonts w:eastAsia="Times New Roman" w:cs="Arial"/>
                <w:spacing w:val="4"/>
                <w:sz w:val="18"/>
                <w:szCs w:val="18"/>
                <w:lang w:val="en-GB"/>
              </w:rPr>
            </w:pPr>
            <w:r w:rsidRPr="002469C2">
              <w:rPr>
                <w:rFonts w:eastAsia="Times New Roman"/>
                <w:color w:val="000000" w:themeColor="text1"/>
                <w:spacing w:val="4"/>
                <w:sz w:val="20"/>
                <w:szCs w:val="20"/>
                <w:lang w:val="en-GB"/>
              </w:rPr>
              <w:t>–</w:t>
            </w:r>
          </w:p>
        </w:tc>
        <w:tc>
          <w:tcPr>
            <w:tcW w:w="724" w:type="pct"/>
            <w:hideMark/>
          </w:tcPr>
          <w:p w14:paraId="53B76DE8" w14:textId="77777777" w:rsidR="00384B66" w:rsidRPr="006447FF" w:rsidRDefault="00384B66" w:rsidP="00384B66">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1.4%</w:t>
            </w:r>
          </w:p>
        </w:tc>
        <w:tc>
          <w:tcPr>
            <w:tcW w:w="728" w:type="pct"/>
            <w:hideMark/>
          </w:tcPr>
          <w:p w14:paraId="3F00327A" w14:textId="77777777" w:rsidR="00384B66" w:rsidRPr="006447FF" w:rsidRDefault="00384B66" w:rsidP="00384B66">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17"/>
                <w:lang w:val="en-GB"/>
              </w:rPr>
              <w:t>1.6%</w:t>
            </w:r>
          </w:p>
        </w:tc>
      </w:tr>
      <w:tr w:rsidR="001404F7" w:rsidRPr="006447FF" w14:paraId="52501AA2" w14:textId="77777777" w:rsidTr="001404F7">
        <w:trPr>
          <w:cnfStyle w:val="000000010000" w:firstRow="0" w:lastRow="0" w:firstColumn="0" w:lastColumn="0" w:oddVBand="0" w:evenVBand="0" w:oddHBand="0" w:evenHBand="1" w:firstRowFirstColumn="0" w:firstRowLastColumn="0" w:lastRowFirstColumn="0" w:lastRowLastColumn="0"/>
          <w:trHeight w:val="265"/>
        </w:trPr>
        <w:tc>
          <w:tcPr>
            <w:tcW w:w="5000" w:type="pct"/>
            <w:gridSpan w:val="4"/>
            <w:tcBorders>
              <w:bottom w:val="single" w:sz="12" w:space="0" w:color="00B0B9"/>
            </w:tcBorders>
            <w:hideMark/>
          </w:tcPr>
          <w:p w14:paraId="7BC511FD" w14:textId="77777777" w:rsidR="001404F7" w:rsidRPr="006447FF" w:rsidRDefault="001404F7" w:rsidP="001404F7">
            <w:pPr>
              <w:spacing w:before="40" w:after="40"/>
              <w:rPr>
                <w:rFonts w:eastAsia="Times New Roman"/>
                <w:b/>
                <w:color w:val="000000" w:themeColor="text1"/>
                <w:spacing w:val="4"/>
                <w:sz w:val="20"/>
                <w:szCs w:val="17"/>
                <w:lang w:val="en-GB"/>
              </w:rPr>
            </w:pPr>
            <w:r w:rsidRPr="006447FF">
              <w:rPr>
                <w:rFonts w:eastAsia="Times New Roman"/>
                <w:b/>
                <w:color w:val="000000" w:themeColor="text1"/>
                <w:spacing w:val="4"/>
                <w:sz w:val="20"/>
                <w:szCs w:val="17"/>
                <w:lang w:val="en-GB"/>
              </w:rPr>
              <w:t>Working Age Payments</w:t>
            </w:r>
          </w:p>
        </w:tc>
      </w:tr>
      <w:tr w:rsidR="001404F7" w:rsidRPr="006447FF" w14:paraId="4D389E31" w14:textId="77777777" w:rsidTr="001404F7">
        <w:trPr>
          <w:cnfStyle w:val="000000100000" w:firstRow="0" w:lastRow="0" w:firstColumn="0" w:lastColumn="0" w:oddVBand="0" w:evenVBand="0" w:oddHBand="1" w:evenHBand="0" w:firstRowFirstColumn="0" w:firstRowLastColumn="0" w:lastRowFirstColumn="0" w:lastRowLastColumn="0"/>
        </w:trPr>
        <w:tc>
          <w:tcPr>
            <w:tcW w:w="2642" w:type="pct"/>
            <w:tcBorders>
              <w:top w:val="single" w:sz="12" w:space="0" w:color="00B0B9"/>
              <w:bottom w:val="single" w:sz="4" w:space="0" w:color="FFFFFF" w:themeColor="background1"/>
            </w:tcBorders>
            <w:hideMark/>
          </w:tcPr>
          <w:p w14:paraId="661A9F47" w14:textId="77777777" w:rsidR="001404F7" w:rsidRPr="006447FF" w:rsidRDefault="001404F7" w:rsidP="001404F7">
            <w:pPr>
              <w:spacing w:before="40" w:after="40"/>
              <w:rPr>
                <w:rFonts w:eastAsia="Times New Roman" w:cs="Arial"/>
                <w:color w:val="000000" w:themeColor="text1"/>
                <w:spacing w:val="4"/>
                <w:sz w:val="20"/>
                <w:szCs w:val="20"/>
                <w:lang w:val="en-GB"/>
              </w:rPr>
            </w:pPr>
            <w:proofErr w:type="spellStart"/>
            <w:r>
              <w:rPr>
                <w:rFonts w:eastAsia="Times New Roman" w:cs="Arial"/>
                <w:color w:val="000000" w:themeColor="text1"/>
                <w:spacing w:val="4"/>
                <w:sz w:val="20"/>
                <w:szCs w:val="20"/>
                <w:lang w:val="en-GB"/>
              </w:rPr>
              <w:t>Newstart</w:t>
            </w:r>
            <w:proofErr w:type="spellEnd"/>
            <w:r>
              <w:rPr>
                <w:rFonts w:eastAsia="Times New Roman" w:cs="Arial"/>
                <w:color w:val="000000" w:themeColor="text1"/>
                <w:spacing w:val="4"/>
                <w:sz w:val="20"/>
                <w:szCs w:val="20"/>
                <w:lang w:val="en-GB"/>
              </w:rPr>
              <w:t xml:space="preserve"> Allowance/</w:t>
            </w:r>
            <w:proofErr w:type="spellStart"/>
            <w:r w:rsidRPr="00177126">
              <w:rPr>
                <w:rFonts w:eastAsia="Times New Roman" w:cs="Arial"/>
                <w:color w:val="000000" w:themeColor="text1"/>
                <w:spacing w:val="4"/>
                <w:sz w:val="20"/>
                <w:szCs w:val="20"/>
                <w:lang w:val="en-GB"/>
              </w:rPr>
              <w:t>JobSeeker</w:t>
            </w:r>
            <w:proofErr w:type="spellEnd"/>
            <w:r w:rsidRPr="00177126">
              <w:rPr>
                <w:rFonts w:eastAsia="Times New Roman" w:cs="Arial"/>
                <w:color w:val="000000" w:themeColor="text1"/>
                <w:spacing w:val="4"/>
                <w:sz w:val="20"/>
                <w:szCs w:val="20"/>
                <w:lang w:val="en-GB"/>
              </w:rPr>
              <w:t xml:space="preserve"> Payment</w:t>
            </w:r>
            <w:r w:rsidRPr="00CA3A4C">
              <w:rPr>
                <w:rFonts w:eastAsia="Times New Roman"/>
                <w:color w:val="000000" w:themeColor="text1"/>
                <w:spacing w:val="4"/>
                <w:sz w:val="20"/>
                <w:szCs w:val="20"/>
                <w:vertAlign w:val="superscript"/>
                <w:lang w:val="en-GB"/>
              </w:rPr>
              <w:t xml:space="preserve"> c</w:t>
            </w:r>
          </w:p>
        </w:tc>
        <w:tc>
          <w:tcPr>
            <w:tcW w:w="906" w:type="pct"/>
            <w:tcBorders>
              <w:top w:val="single" w:sz="12" w:space="0" w:color="00B0B9"/>
              <w:bottom w:val="single" w:sz="4" w:space="0" w:color="FFFFFF" w:themeColor="background1"/>
            </w:tcBorders>
            <w:hideMark/>
          </w:tcPr>
          <w:p w14:paraId="265D4C3F" w14:textId="77777777" w:rsidR="001404F7" w:rsidRPr="00323328" w:rsidRDefault="001404F7" w:rsidP="001404F7">
            <w:pPr>
              <w:spacing w:before="40" w:after="40"/>
              <w:jc w:val="right"/>
              <w:rPr>
                <w:rFonts w:eastAsia="Times New Roman" w:cs="Arial"/>
                <w:color w:val="000000" w:themeColor="text1"/>
                <w:spacing w:val="4"/>
                <w:sz w:val="20"/>
                <w:szCs w:val="20"/>
                <w:lang w:val="en-GB"/>
              </w:rPr>
            </w:pPr>
            <w:r w:rsidRPr="00323328">
              <w:rPr>
                <w:sz w:val="18"/>
                <w:szCs w:val="18"/>
              </w:rPr>
              <w:t>24</w:t>
            </w:r>
            <w:r w:rsidRPr="00323328">
              <w:rPr>
                <w:rFonts w:eastAsia="Times New Roman" w:cs="Arial"/>
                <w:color w:val="000000" w:themeColor="text1"/>
                <w:spacing w:val="4"/>
                <w:sz w:val="20"/>
                <w:szCs w:val="20"/>
                <w:lang w:val="en-GB"/>
              </w:rPr>
              <w:t>.6%</w:t>
            </w:r>
          </w:p>
        </w:tc>
        <w:tc>
          <w:tcPr>
            <w:tcW w:w="724" w:type="pct"/>
            <w:tcBorders>
              <w:top w:val="single" w:sz="12" w:space="0" w:color="00B0B9"/>
              <w:bottom w:val="single" w:sz="4" w:space="0" w:color="FFFFFF" w:themeColor="background1"/>
            </w:tcBorders>
            <w:hideMark/>
          </w:tcPr>
          <w:p w14:paraId="6442E47A" w14:textId="77777777" w:rsidR="001404F7" w:rsidRPr="00323328" w:rsidRDefault="001404F7" w:rsidP="001404F7">
            <w:pPr>
              <w:spacing w:before="40" w:after="40"/>
              <w:jc w:val="right"/>
              <w:rPr>
                <w:rFonts w:eastAsia="Times New Roman" w:cs="Arial"/>
                <w:color w:val="000000" w:themeColor="text1"/>
                <w:spacing w:val="4"/>
                <w:sz w:val="20"/>
                <w:szCs w:val="20"/>
                <w:lang w:val="en-GB"/>
              </w:rPr>
            </w:pPr>
            <w:r w:rsidRPr="00323328">
              <w:rPr>
                <w:rFonts w:eastAsia="Times New Roman" w:cs="Arial"/>
                <w:color w:val="000000" w:themeColor="text1"/>
                <w:spacing w:val="4"/>
                <w:sz w:val="20"/>
                <w:szCs w:val="20"/>
                <w:lang w:val="en-GB"/>
              </w:rPr>
              <w:t>22.3%</w:t>
            </w:r>
          </w:p>
        </w:tc>
        <w:tc>
          <w:tcPr>
            <w:tcW w:w="728" w:type="pct"/>
            <w:tcBorders>
              <w:top w:val="single" w:sz="12" w:space="0" w:color="00B0B9"/>
              <w:bottom w:val="single" w:sz="4" w:space="0" w:color="FFFFFF" w:themeColor="background1"/>
            </w:tcBorders>
            <w:hideMark/>
          </w:tcPr>
          <w:p w14:paraId="7544031E" w14:textId="77777777" w:rsidR="001404F7" w:rsidRPr="00323328" w:rsidRDefault="001404F7" w:rsidP="001404F7">
            <w:pPr>
              <w:spacing w:before="40" w:after="40"/>
              <w:jc w:val="right"/>
              <w:rPr>
                <w:rFonts w:eastAsia="Times New Roman" w:cs="Arial"/>
                <w:color w:val="000000" w:themeColor="text1"/>
                <w:spacing w:val="4"/>
                <w:sz w:val="20"/>
                <w:szCs w:val="20"/>
                <w:lang w:val="en-GB"/>
              </w:rPr>
            </w:pPr>
            <w:r w:rsidRPr="00323328">
              <w:rPr>
                <w:rFonts w:eastAsia="Times New Roman" w:cs="Arial"/>
                <w:color w:val="000000" w:themeColor="text1"/>
                <w:spacing w:val="4"/>
                <w:sz w:val="20"/>
                <w:szCs w:val="20"/>
                <w:lang w:val="en-GB"/>
              </w:rPr>
              <w:t>23.2%</w:t>
            </w:r>
          </w:p>
        </w:tc>
      </w:tr>
      <w:tr w:rsidR="001404F7" w:rsidRPr="006447FF" w14:paraId="1A6B1458" w14:textId="77777777" w:rsidTr="001404F7">
        <w:trPr>
          <w:cnfStyle w:val="000000010000" w:firstRow="0" w:lastRow="0" w:firstColumn="0" w:lastColumn="0" w:oddVBand="0" w:evenVBand="0" w:oddHBand="0" w:evenHBand="1" w:firstRowFirstColumn="0" w:firstRowLastColumn="0" w:lastRowFirstColumn="0" w:lastRowLastColumn="0"/>
        </w:trPr>
        <w:tc>
          <w:tcPr>
            <w:tcW w:w="2642" w:type="pct"/>
            <w:tcBorders>
              <w:top w:val="single" w:sz="4" w:space="0" w:color="FFFFFF" w:themeColor="background1"/>
            </w:tcBorders>
            <w:hideMark/>
          </w:tcPr>
          <w:p w14:paraId="1019A73A"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Parenting Payment (Partnered)</w:t>
            </w:r>
            <w:r w:rsidRPr="00CA3A4C">
              <w:rPr>
                <w:rFonts w:eastAsia="Times New Roman"/>
                <w:color w:val="000000" w:themeColor="text1"/>
                <w:spacing w:val="4"/>
                <w:sz w:val="20"/>
                <w:szCs w:val="20"/>
                <w:vertAlign w:val="superscript"/>
                <w:lang w:val="en-GB"/>
              </w:rPr>
              <w:t>c</w:t>
            </w:r>
          </w:p>
        </w:tc>
        <w:tc>
          <w:tcPr>
            <w:tcW w:w="906" w:type="pct"/>
            <w:tcBorders>
              <w:top w:val="single" w:sz="4" w:space="0" w:color="FFFFFF" w:themeColor="background1"/>
            </w:tcBorders>
            <w:hideMark/>
          </w:tcPr>
          <w:p w14:paraId="4331255A" w14:textId="77777777" w:rsidR="001404F7" w:rsidRPr="00323328" w:rsidRDefault="001404F7" w:rsidP="001404F7">
            <w:pPr>
              <w:spacing w:before="40" w:after="40"/>
              <w:jc w:val="right"/>
              <w:rPr>
                <w:rFonts w:eastAsia="Times New Roman"/>
                <w:spacing w:val="4"/>
                <w:sz w:val="20"/>
                <w:szCs w:val="17"/>
                <w:lang w:val="en-GB"/>
              </w:rPr>
            </w:pPr>
            <w:r w:rsidRPr="00323328">
              <w:rPr>
                <w:rFonts w:eastAsia="Times New Roman"/>
                <w:spacing w:val="4"/>
                <w:sz w:val="20"/>
                <w:szCs w:val="17"/>
                <w:lang w:val="en-GB"/>
              </w:rPr>
              <w:t>26.5%</w:t>
            </w:r>
          </w:p>
        </w:tc>
        <w:tc>
          <w:tcPr>
            <w:tcW w:w="724" w:type="pct"/>
            <w:tcBorders>
              <w:top w:val="single" w:sz="4" w:space="0" w:color="FFFFFF" w:themeColor="background1"/>
            </w:tcBorders>
            <w:hideMark/>
          </w:tcPr>
          <w:p w14:paraId="4F72B9E6" w14:textId="77777777" w:rsidR="001404F7" w:rsidRPr="00323328" w:rsidRDefault="001404F7" w:rsidP="001404F7">
            <w:pPr>
              <w:spacing w:before="40" w:after="40"/>
              <w:jc w:val="right"/>
              <w:rPr>
                <w:rFonts w:eastAsia="Times New Roman"/>
                <w:spacing w:val="4"/>
                <w:sz w:val="20"/>
                <w:szCs w:val="17"/>
                <w:lang w:val="en-GB"/>
              </w:rPr>
            </w:pPr>
            <w:r w:rsidRPr="00323328">
              <w:rPr>
                <w:rFonts w:eastAsia="Times New Roman"/>
                <w:spacing w:val="4"/>
                <w:sz w:val="20"/>
                <w:szCs w:val="17"/>
                <w:lang w:val="en-GB"/>
              </w:rPr>
              <w:t>26.6%</w:t>
            </w:r>
          </w:p>
        </w:tc>
        <w:tc>
          <w:tcPr>
            <w:tcW w:w="728" w:type="pct"/>
            <w:tcBorders>
              <w:top w:val="single" w:sz="4" w:space="0" w:color="FFFFFF" w:themeColor="background1"/>
            </w:tcBorders>
            <w:hideMark/>
          </w:tcPr>
          <w:p w14:paraId="7F527BFA"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26.7%</w:t>
            </w:r>
          </w:p>
        </w:tc>
      </w:tr>
      <w:tr w:rsidR="001404F7" w:rsidRPr="006447FF" w14:paraId="28E9D103" w14:textId="77777777" w:rsidTr="001404F7">
        <w:trPr>
          <w:cnfStyle w:val="000000100000" w:firstRow="0" w:lastRow="0" w:firstColumn="0" w:lastColumn="0" w:oddVBand="0" w:evenVBand="0" w:oddHBand="1" w:evenHBand="0" w:firstRowFirstColumn="0" w:firstRowLastColumn="0" w:lastRowFirstColumn="0" w:lastRowLastColumn="0"/>
        </w:trPr>
        <w:tc>
          <w:tcPr>
            <w:tcW w:w="2642" w:type="pct"/>
            <w:hideMark/>
          </w:tcPr>
          <w:p w14:paraId="18F82473"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Parenting Payment (Single)</w:t>
            </w:r>
            <w:r w:rsidRPr="00CA3A4C">
              <w:rPr>
                <w:rFonts w:eastAsia="Times New Roman" w:cs="Arial"/>
                <w:color w:val="000000" w:themeColor="text1"/>
                <w:spacing w:val="4"/>
                <w:sz w:val="20"/>
                <w:szCs w:val="20"/>
                <w:vertAlign w:val="superscript"/>
                <w:lang w:val="en-GB"/>
              </w:rPr>
              <w:t>c</w:t>
            </w:r>
          </w:p>
        </w:tc>
        <w:tc>
          <w:tcPr>
            <w:tcW w:w="906" w:type="pct"/>
            <w:hideMark/>
          </w:tcPr>
          <w:p w14:paraId="029B1743" w14:textId="77777777" w:rsidR="001404F7" w:rsidRPr="009B2A19" w:rsidRDefault="001404F7" w:rsidP="001404F7">
            <w:pPr>
              <w:spacing w:before="40" w:after="40"/>
              <w:jc w:val="right"/>
              <w:rPr>
                <w:rFonts w:eastAsia="Times New Roman" w:cs="Arial"/>
                <w:spacing w:val="4"/>
                <w:sz w:val="20"/>
                <w:szCs w:val="17"/>
                <w:lang w:val="en-GB"/>
              </w:rPr>
            </w:pPr>
            <w:r w:rsidRPr="009B2A19">
              <w:rPr>
                <w:rFonts w:eastAsia="Times New Roman" w:cs="Arial"/>
                <w:spacing w:val="4"/>
                <w:sz w:val="20"/>
                <w:szCs w:val="17"/>
                <w:lang w:val="en-GB"/>
              </w:rPr>
              <w:t>24.2%</w:t>
            </w:r>
          </w:p>
        </w:tc>
        <w:tc>
          <w:tcPr>
            <w:tcW w:w="724" w:type="pct"/>
            <w:hideMark/>
          </w:tcPr>
          <w:p w14:paraId="12D823C2"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26.3%</w:t>
            </w:r>
          </w:p>
        </w:tc>
        <w:tc>
          <w:tcPr>
            <w:tcW w:w="728" w:type="pct"/>
            <w:hideMark/>
          </w:tcPr>
          <w:p w14:paraId="08E088B9"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24.7%</w:t>
            </w:r>
          </w:p>
        </w:tc>
      </w:tr>
      <w:tr w:rsidR="001404F7" w:rsidRPr="006447FF" w14:paraId="1865909A" w14:textId="77777777" w:rsidTr="001404F7">
        <w:trPr>
          <w:cnfStyle w:val="000000010000" w:firstRow="0" w:lastRow="0" w:firstColumn="0" w:lastColumn="0" w:oddVBand="0" w:evenVBand="0" w:oddHBand="0" w:evenHBand="1" w:firstRowFirstColumn="0" w:firstRowLastColumn="0" w:lastRowFirstColumn="0" w:lastRowLastColumn="0"/>
        </w:trPr>
        <w:tc>
          <w:tcPr>
            <w:tcW w:w="2642" w:type="pct"/>
            <w:hideMark/>
          </w:tcPr>
          <w:p w14:paraId="2D043596"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 xml:space="preserve">Partner </w:t>
            </w:r>
            <w:proofErr w:type="spellStart"/>
            <w:r w:rsidRPr="006447FF">
              <w:rPr>
                <w:rFonts w:eastAsia="Times New Roman"/>
                <w:color w:val="000000" w:themeColor="text1"/>
                <w:spacing w:val="4"/>
                <w:sz w:val="20"/>
                <w:szCs w:val="20"/>
                <w:lang w:val="en-GB"/>
              </w:rPr>
              <w:t>Allowance</w:t>
            </w:r>
            <w:r w:rsidRPr="00CA3A4C">
              <w:rPr>
                <w:rFonts w:eastAsia="Times New Roman"/>
                <w:color w:val="000000" w:themeColor="text1"/>
                <w:spacing w:val="4"/>
                <w:sz w:val="20"/>
                <w:szCs w:val="20"/>
                <w:vertAlign w:val="superscript"/>
                <w:lang w:val="en-GB"/>
              </w:rPr>
              <w:t>c</w:t>
            </w:r>
            <w:proofErr w:type="spellEnd"/>
          </w:p>
        </w:tc>
        <w:tc>
          <w:tcPr>
            <w:tcW w:w="906" w:type="pct"/>
            <w:hideMark/>
          </w:tcPr>
          <w:p w14:paraId="158878A3" w14:textId="77777777" w:rsidR="001404F7" w:rsidRPr="009B2A19" w:rsidRDefault="001404F7" w:rsidP="001404F7">
            <w:pPr>
              <w:spacing w:before="40" w:after="40"/>
              <w:jc w:val="right"/>
              <w:rPr>
                <w:rFonts w:eastAsia="Times New Roman"/>
                <w:spacing w:val="4"/>
                <w:sz w:val="20"/>
                <w:szCs w:val="17"/>
                <w:lang w:val="en-GB"/>
              </w:rPr>
            </w:pPr>
            <w:r w:rsidRPr="009B2A19">
              <w:rPr>
                <w:rFonts w:eastAsia="Times New Roman"/>
                <w:spacing w:val="4"/>
                <w:sz w:val="20"/>
                <w:szCs w:val="17"/>
                <w:lang w:val="en-GB"/>
              </w:rPr>
              <w:t>11.0%</w:t>
            </w:r>
          </w:p>
        </w:tc>
        <w:tc>
          <w:tcPr>
            <w:tcW w:w="724" w:type="pct"/>
            <w:hideMark/>
          </w:tcPr>
          <w:p w14:paraId="2F88C115"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13.0%</w:t>
            </w:r>
          </w:p>
        </w:tc>
        <w:tc>
          <w:tcPr>
            <w:tcW w:w="728" w:type="pct"/>
            <w:hideMark/>
          </w:tcPr>
          <w:p w14:paraId="2C64217D"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14.9%</w:t>
            </w:r>
          </w:p>
        </w:tc>
      </w:tr>
      <w:tr w:rsidR="001404F7" w:rsidRPr="006447FF" w14:paraId="79819A62" w14:textId="77777777" w:rsidTr="001404F7">
        <w:trPr>
          <w:cnfStyle w:val="000000100000" w:firstRow="0" w:lastRow="0" w:firstColumn="0" w:lastColumn="0" w:oddVBand="0" w:evenVBand="0" w:oddHBand="1" w:evenHBand="0" w:firstRowFirstColumn="0" w:firstRowLastColumn="0" w:lastRowFirstColumn="0" w:lastRowLastColumn="0"/>
        </w:trPr>
        <w:tc>
          <w:tcPr>
            <w:tcW w:w="2642" w:type="pct"/>
            <w:hideMark/>
          </w:tcPr>
          <w:p w14:paraId="0B6935C5"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 xml:space="preserve">Sickness </w:t>
            </w:r>
            <w:proofErr w:type="spellStart"/>
            <w:r w:rsidRPr="006447FF">
              <w:rPr>
                <w:rFonts w:eastAsia="Times New Roman" w:cs="Arial"/>
                <w:color w:val="000000" w:themeColor="text1"/>
                <w:spacing w:val="4"/>
                <w:sz w:val="20"/>
                <w:szCs w:val="20"/>
                <w:lang w:val="en-GB"/>
              </w:rPr>
              <w:t>Allowance</w:t>
            </w:r>
            <w:r w:rsidRPr="00CA3A4C">
              <w:rPr>
                <w:rFonts w:eastAsia="Times New Roman" w:cs="Arial"/>
                <w:color w:val="000000" w:themeColor="text1"/>
                <w:spacing w:val="4"/>
                <w:sz w:val="20"/>
                <w:szCs w:val="20"/>
                <w:vertAlign w:val="superscript"/>
                <w:lang w:val="en-GB"/>
              </w:rPr>
              <w:t>c</w:t>
            </w:r>
            <w:proofErr w:type="spellEnd"/>
          </w:p>
        </w:tc>
        <w:tc>
          <w:tcPr>
            <w:tcW w:w="906" w:type="pct"/>
            <w:hideMark/>
          </w:tcPr>
          <w:p w14:paraId="5E408787" w14:textId="77777777" w:rsidR="001404F7" w:rsidRPr="009B2A19" w:rsidRDefault="001404F7" w:rsidP="001404F7">
            <w:pPr>
              <w:spacing w:before="40" w:after="40"/>
              <w:jc w:val="right"/>
              <w:rPr>
                <w:rFonts w:eastAsia="Times New Roman" w:cs="Arial"/>
                <w:spacing w:val="4"/>
                <w:sz w:val="20"/>
                <w:szCs w:val="17"/>
                <w:lang w:val="en-GB"/>
              </w:rPr>
            </w:pPr>
            <w:r w:rsidRPr="009B2A19">
              <w:rPr>
                <w:rFonts w:eastAsia="Times New Roman" w:cs="Arial"/>
                <w:spacing w:val="4"/>
                <w:sz w:val="20"/>
                <w:szCs w:val="17"/>
                <w:lang w:val="en-GB"/>
              </w:rPr>
              <w:t>0.0%</w:t>
            </w:r>
          </w:p>
        </w:tc>
        <w:tc>
          <w:tcPr>
            <w:tcW w:w="724" w:type="pct"/>
            <w:hideMark/>
          </w:tcPr>
          <w:p w14:paraId="6C9C3263"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16.4%</w:t>
            </w:r>
          </w:p>
        </w:tc>
        <w:tc>
          <w:tcPr>
            <w:tcW w:w="728" w:type="pct"/>
            <w:hideMark/>
          </w:tcPr>
          <w:p w14:paraId="3F45F2D5"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16.1%</w:t>
            </w:r>
          </w:p>
        </w:tc>
      </w:tr>
      <w:tr w:rsidR="001404F7" w:rsidRPr="006447FF" w14:paraId="36620DE6" w14:textId="77777777" w:rsidTr="001404F7">
        <w:trPr>
          <w:cnfStyle w:val="000000010000" w:firstRow="0" w:lastRow="0" w:firstColumn="0" w:lastColumn="0" w:oddVBand="0" w:evenVBand="0" w:oddHBand="0" w:evenHBand="1" w:firstRowFirstColumn="0" w:firstRowLastColumn="0" w:lastRowFirstColumn="0" w:lastRowLastColumn="0"/>
        </w:trPr>
        <w:tc>
          <w:tcPr>
            <w:tcW w:w="2642" w:type="pct"/>
            <w:hideMark/>
          </w:tcPr>
          <w:p w14:paraId="7C0CACF7"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 xml:space="preserve">Widow </w:t>
            </w:r>
            <w:proofErr w:type="spellStart"/>
            <w:r w:rsidRPr="006447FF">
              <w:rPr>
                <w:rFonts w:eastAsia="Times New Roman"/>
                <w:color w:val="000000" w:themeColor="text1"/>
                <w:spacing w:val="4"/>
                <w:sz w:val="20"/>
                <w:szCs w:val="20"/>
                <w:lang w:val="en-GB"/>
              </w:rPr>
              <w:t>Allowance</w:t>
            </w:r>
            <w:r>
              <w:rPr>
                <w:rFonts w:eastAsia="Times New Roman"/>
                <w:color w:val="000000" w:themeColor="text1"/>
                <w:spacing w:val="4"/>
                <w:sz w:val="20"/>
                <w:szCs w:val="20"/>
                <w:vertAlign w:val="superscript"/>
                <w:lang w:val="en-GB"/>
              </w:rPr>
              <w:t>c</w:t>
            </w:r>
            <w:proofErr w:type="spellEnd"/>
          </w:p>
        </w:tc>
        <w:tc>
          <w:tcPr>
            <w:tcW w:w="906" w:type="pct"/>
            <w:hideMark/>
          </w:tcPr>
          <w:p w14:paraId="0D547A3E" w14:textId="77777777" w:rsidR="001404F7" w:rsidRPr="009B2A19" w:rsidRDefault="001404F7" w:rsidP="001404F7">
            <w:pPr>
              <w:spacing w:before="40" w:after="40"/>
              <w:jc w:val="right"/>
              <w:rPr>
                <w:rFonts w:eastAsia="Times New Roman"/>
                <w:spacing w:val="4"/>
                <w:sz w:val="20"/>
                <w:szCs w:val="17"/>
                <w:lang w:val="en-GB"/>
              </w:rPr>
            </w:pPr>
            <w:r w:rsidRPr="009B2A19">
              <w:rPr>
                <w:rFonts w:eastAsia="Times New Roman"/>
                <w:spacing w:val="4"/>
                <w:sz w:val="20"/>
                <w:szCs w:val="17"/>
                <w:lang w:val="en-GB"/>
              </w:rPr>
              <w:t>17.7%</w:t>
            </w:r>
          </w:p>
        </w:tc>
        <w:tc>
          <w:tcPr>
            <w:tcW w:w="724" w:type="pct"/>
            <w:hideMark/>
          </w:tcPr>
          <w:p w14:paraId="7CE24F65"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21.5%</w:t>
            </w:r>
          </w:p>
        </w:tc>
        <w:tc>
          <w:tcPr>
            <w:tcW w:w="728" w:type="pct"/>
            <w:hideMark/>
          </w:tcPr>
          <w:p w14:paraId="110CE2B6"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21.4%</w:t>
            </w:r>
          </w:p>
        </w:tc>
      </w:tr>
      <w:tr w:rsidR="001404F7" w:rsidRPr="006447FF" w14:paraId="277FDBD6" w14:textId="77777777" w:rsidTr="001404F7">
        <w:trPr>
          <w:cnfStyle w:val="000000100000" w:firstRow="0" w:lastRow="0" w:firstColumn="0" w:lastColumn="0" w:oddVBand="0" w:evenVBand="0" w:oddHBand="1" w:evenHBand="0" w:firstRowFirstColumn="0" w:firstRowLastColumn="0" w:lastRowFirstColumn="0" w:lastRowLastColumn="0"/>
        </w:trPr>
        <w:tc>
          <w:tcPr>
            <w:tcW w:w="2642" w:type="pct"/>
            <w:hideMark/>
          </w:tcPr>
          <w:p w14:paraId="6ABC09B8"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Youth Allowance (other)</w:t>
            </w:r>
            <w:r>
              <w:rPr>
                <w:rFonts w:eastAsia="Times New Roman" w:cs="Arial"/>
                <w:color w:val="000000" w:themeColor="text1"/>
                <w:spacing w:val="4"/>
                <w:sz w:val="20"/>
                <w:szCs w:val="20"/>
                <w:vertAlign w:val="superscript"/>
                <w:lang w:val="en-GB"/>
              </w:rPr>
              <w:t>c</w:t>
            </w:r>
          </w:p>
        </w:tc>
        <w:tc>
          <w:tcPr>
            <w:tcW w:w="906" w:type="pct"/>
            <w:hideMark/>
          </w:tcPr>
          <w:p w14:paraId="4ACDB787" w14:textId="77777777" w:rsidR="001404F7" w:rsidRPr="009B2A19" w:rsidRDefault="001404F7" w:rsidP="001404F7">
            <w:pPr>
              <w:spacing w:before="40" w:after="40"/>
              <w:jc w:val="right"/>
              <w:rPr>
                <w:rFonts w:eastAsia="Times New Roman" w:cs="Arial"/>
                <w:spacing w:val="4"/>
                <w:sz w:val="20"/>
                <w:szCs w:val="17"/>
                <w:lang w:val="en-GB"/>
              </w:rPr>
            </w:pPr>
            <w:r w:rsidRPr="009B2A19">
              <w:rPr>
                <w:rFonts w:eastAsia="Times New Roman" w:cs="Arial"/>
                <w:spacing w:val="4"/>
                <w:sz w:val="20"/>
                <w:szCs w:val="17"/>
                <w:lang w:val="en-GB"/>
              </w:rPr>
              <w:t>20.6%</w:t>
            </w:r>
          </w:p>
        </w:tc>
        <w:tc>
          <w:tcPr>
            <w:tcW w:w="724" w:type="pct"/>
            <w:hideMark/>
          </w:tcPr>
          <w:p w14:paraId="51068E28"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15.8%</w:t>
            </w:r>
          </w:p>
        </w:tc>
        <w:tc>
          <w:tcPr>
            <w:tcW w:w="728" w:type="pct"/>
            <w:hideMark/>
          </w:tcPr>
          <w:p w14:paraId="038885C0"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16.3%</w:t>
            </w:r>
          </w:p>
        </w:tc>
      </w:tr>
      <w:tr w:rsidR="001404F7" w:rsidRPr="006447FF" w14:paraId="6F605AB7"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4"/>
            <w:tcBorders>
              <w:bottom w:val="single" w:sz="12" w:space="0" w:color="00B0B9"/>
            </w:tcBorders>
            <w:hideMark/>
          </w:tcPr>
          <w:p w14:paraId="6F216659" w14:textId="77777777" w:rsidR="001404F7" w:rsidRPr="00A042AF" w:rsidRDefault="001404F7" w:rsidP="001404F7">
            <w:pPr>
              <w:spacing w:before="40" w:after="40"/>
              <w:rPr>
                <w:rFonts w:eastAsia="Times New Roman"/>
                <w:color w:val="FF0000"/>
                <w:spacing w:val="4"/>
                <w:sz w:val="20"/>
                <w:szCs w:val="17"/>
                <w:lang w:val="en-GB"/>
              </w:rPr>
            </w:pPr>
            <w:r w:rsidRPr="00554C26">
              <w:rPr>
                <w:rFonts w:eastAsia="Times New Roman"/>
                <w:b/>
                <w:spacing w:val="4"/>
                <w:sz w:val="20"/>
                <w:szCs w:val="17"/>
                <w:lang w:val="en-GB"/>
              </w:rPr>
              <w:t>Student Payments</w:t>
            </w:r>
          </w:p>
        </w:tc>
      </w:tr>
      <w:tr w:rsidR="001404F7" w:rsidRPr="006447FF" w14:paraId="5883B74B" w14:textId="77777777" w:rsidTr="001404F7">
        <w:trPr>
          <w:cnfStyle w:val="000000100000" w:firstRow="0" w:lastRow="0" w:firstColumn="0" w:lastColumn="0" w:oddVBand="0" w:evenVBand="0" w:oddHBand="1" w:evenHBand="0" w:firstRowFirstColumn="0" w:firstRowLastColumn="0" w:lastRowFirstColumn="0" w:lastRowLastColumn="0"/>
        </w:trPr>
        <w:tc>
          <w:tcPr>
            <w:tcW w:w="2642" w:type="pct"/>
            <w:tcBorders>
              <w:top w:val="single" w:sz="12" w:space="0" w:color="00B0B9"/>
              <w:bottom w:val="single" w:sz="4" w:space="0" w:color="FFFFFF" w:themeColor="background1"/>
            </w:tcBorders>
            <w:hideMark/>
          </w:tcPr>
          <w:p w14:paraId="5E851E62" w14:textId="77777777" w:rsidR="001404F7" w:rsidRPr="006447FF" w:rsidRDefault="001404F7" w:rsidP="001404F7">
            <w:pPr>
              <w:spacing w:before="40" w:after="40"/>
              <w:rPr>
                <w:rFonts w:eastAsia="Times New Roman" w:cs="Arial"/>
                <w:color w:val="000000" w:themeColor="text1"/>
                <w:spacing w:val="4"/>
                <w:sz w:val="20"/>
                <w:szCs w:val="20"/>
                <w:lang w:val="en-GB"/>
              </w:rPr>
            </w:pPr>
            <w:proofErr w:type="spellStart"/>
            <w:r w:rsidRPr="006447FF">
              <w:rPr>
                <w:rFonts w:eastAsia="Times New Roman" w:cs="Arial"/>
                <w:color w:val="000000" w:themeColor="text1"/>
                <w:spacing w:val="4"/>
                <w:sz w:val="20"/>
                <w:szCs w:val="20"/>
                <w:lang w:val="en-GB"/>
              </w:rPr>
              <w:t>Austudy</w:t>
            </w:r>
            <w:proofErr w:type="spellEnd"/>
          </w:p>
        </w:tc>
        <w:tc>
          <w:tcPr>
            <w:tcW w:w="906" w:type="pct"/>
            <w:tcBorders>
              <w:top w:val="single" w:sz="12" w:space="0" w:color="00B0B9"/>
              <w:bottom w:val="single" w:sz="4" w:space="0" w:color="FFFFFF" w:themeColor="background1"/>
            </w:tcBorders>
            <w:hideMark/>
          </w:tcPr>
          <w:p w14:paraId="33EB71D7" w14:textId="77777777" w:rsidR="001404F7" w:rsidRPr="009B2A19" w:rsidRDefault="001404F7" w:rsidP="001404F7">
            <w:pPr>
              <w:spacing w:before="40" w:after="40"/>
              <w:jc w:val="right"/>
              <w:rPr>
                <w:rFonts w:eastAsia="Times New Roman" w:cs="Arial"/>
                <w:spacing w:val="4"/>
                <w:sz w:val="20"/>
                <w:szCs w:val="17"/>
                <w:lang w:val="en-GB"/>
              </w:rPr>
            </w:pPr>
            <w:r w:rsidRPr="009B2A19">
              <w:rPr>
                <w:rFonts w:eastAsia="Times New Roman" w:cs="Arial"/>
                <w:spacing w:val="4"/>
                <w:sz w:val="20"/>
                <w:szCs w:val="17"/>
                <w:lang w:val="en-GB"/>
              </w:rPr>
              <w:t>13.6%</w:t>
            </w:r>
          </w:p>
        </w:tc>
        <w:tc>
          <w:tcPr>
            <w:tcW w:w="724" w:type="pct"/>
            <w:tcBorders>
              <w:top w:val="single" w:sz="12" w:space="0" w:color="00B0B9"/>
              <w:bottom w:val="single" w:sz="4" w:space="0" w:color="FFFFFF" w:themeColor="background1"/>
            </w:tcBorders>
            <w:hideMark/>
          </w:tcPr>
          <w:p w14:paraId="6A7B0F95"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16.8%</w:t>
            </w:r>
          </w:p>
        </w:tc>
        <w:tc>
          <w:tcPr>
            <w:tcW w:w="728" w:type="pct"/>
            <w:tcBorders>
              <w:top w:val="single" w:sz="12" w:space="0" w:color="00B0B9"/>
              <w:bottom w:val="single" w:sz="4" w:space="0" w:color="FFFFFF" w:themeColor="background1"/>
            </w:tcBorders>
            <w:hideMark/>
          </w:tcPr>
          <w:p w14:paraId="0E11B61A"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15.4%</w:t>
            </w:r>
          </w:p>
        </w:tc>
      </w:tr>
      <w:tr w:rsidR="001404F7" w:rsidRPr="006447FF" w14:paraId="3408EC06" w14:textId="77777777" w:rsidTr="001404F7">
        <w:trPr>
          <w:cnfStyle w:val="000000010000" w:firstRow="0" w:lastRow="0" w:firstColumn="0" w:lastColumn="0" w:oddVBand="0" w:evenVBand="0" w:oddHBand="0" w:evenHBand="1" w:firstRowFirstColumn="0" w:firstRowLastColumn="0" w:lastRowFirstColumn="0" w:lastRowLastColumn="0"/>
        </w:trPr>
        <w:tc>
          <w:tcPr>
            <w:tcW w:w="2642" w:type="pct"/>
            <w:tcBorders>
              <w:top w:val="single" w:sz="4" w:space="0" w:color="FFFFFF" w:themeColor="background1"/>
            </w:tcBorders>
            <w:hideMark/>
          </w:tcPr>
          <w:p w14:paraId="501BACC2"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Youth Allowance (student)</w:t>
            </w:r>
            <w:r w:rsidRPr="003D6317">
              <w:rPr>
                <w:rFonts w:eastAsia="Times New Roman"/>
                <w:color w:val="000000" w:themeColor="text1"/>
                <w:spacing w:val="4"/>
                <w:sz w:val="20"/>
                <w:szCs w:val="20"/>
                <w:vertAlign w:val="superscript"/>
                <w:lang w:val="en-GB"/>
              </w:rPr>
              <w:t>d</w:t>
            </w:r>
          </w:p>
        </w:tc>
        <w:tc>
          <w:tcPr>
            <w:tcW w:w="906" w:type="pct"/>
            <w:tcBorders>
              <w:top w:val="single" w:sz="4" w:space="0" w:color="FFFFFF" w:themeColor="background1"/>
            </w:tcBorders>
            <w:hideMark/>
          </w:tcPr>
          <w:p w14:paraId="50BF79A0" w14:textId="77777777" w:rsidR="001404F7" w:rsidRPr="009B2A19" w:rsidRDefault="001404F7" w:rsidP="001404F7">
            <w:pPr>
              <w:spacing w:before="40" w:after="40"/>
              <w:jc w:val="right"/>
              <w:rPr>
                <w:rFonts w:eastAsia="Times New Roman"/>
                <w:spacing w:val="4"/>
                <w:sz w:val="20"/>
                <w:szCs w:val="17"/>
                <w:lang w:val="en-GB"/>
              </w:rPr>
            </w:pPr>
            <w:r w:rsidRPr="009B2A19">
              <w:rPr>
                <w:rFonts w:eastAsia="Times New Roman"/>
                <w:spacing w:val="4"/>
                <w:sz w:val="20"/>
                <w:szCs w:val="17"/>
                <w:lang w:val="en-GB"/>
              </w:rPr>
              <w:t>24.5%</w:t>
            </w:r>
          </w:p>
        </w:tc>
        <w:tc>
          <w:tcPr>
            <w:tcW w:w="724" w:type="pct"/>
            <w:tcBorders>
              <w:top w:val="single" w:sz="4" w:space="0" w:color="FFFFFF" w:themeColor="background1"/>
            </w:tcBorders>
            <w:hideMark/>
          </w:tcPr>
          <w:p w14:paraId="5CA9BF39"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27.8%</w:t>
            </w:r>
          </w:p>
        </w:tc>
        <w:tc>
          <w:tcPr>
            <w:tcW w:w="728" w:type="pct"/>
            <w:tcBorders>
              <w:top w:val="single" w:sz="4" w:space="0" w:color="FFFFFF" w:themeColor="background1"/>
            </w:tcBorders>
            <w:hideMark/>
          </w:tcPr>
          <w:p w14:paraId="7719CE36"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26.4%</w:t>
            </w:r>
          </w:p>
        </w:tc>
      </w:tr>
      <w:tr w:rsidR="001404F7" w:rsidRPr="006447FF" w14:paraId="4C0FC9E7" w14:textId="77777777" w:rsidTr="001404F7">
        <w:trPr>
          <w:cnfStyle w:val="000000100000" w:firstRow="0" w:lastRow="0" w:firstColumn="0" w:lastColumn="0" w:oddVBand="0" w:evenVBand="0" w:oddHBand="1" w:evenHBand="0" w:firstRowFirstColumn="0" w:firstRowLastColumn="0" w:lastRowFirstColumn="0" w:lastRowLastColumn="0"/>
        </w:trPr>
        <w:tc>
          <w:tcPr>
            <w:tcW w:w="2642" w:type="pct"/>
            <w:hideMark/>
          </w:tcPr>
          <w:p w14:paraId="55536624"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ABSTUDY (Secondary)</w:t>
            </w:r>
            <w:r w:rsidRPr="00CA3A4C">
              <w:rPr>
                <w:rFonts w:eastAsia="Times New Roman" w:cs="Arial"/>
                <w:color w:val="000000" w:themeColor="text1"/>
                <w:spacing w:val="4"/>
                <w:sz w:val="20"/>
                <w:szCs w:val="20"/>
                <w:vertAlign w:val="superscript"/>
                <w:lang w:val="en-GB"/>
              </w:rPr>
              <w:t>e</w:t>
            </w:r>
          </w:p>
        </w:tc>
        <w:tc>
          <w:tcPr>
            <w:tcW w:w="906" w:type="pct"/>
            <w:hideMark/>
          </w:tcPr>
          <w:p w14:paraId="7B824340" w14:textId="77777777" w:rsidR="001404F7" w:rsidRPr="009B2A19" w:rsidRDefault="001404F7" w:rsidP="001404F7">
            <w:pPr>
              <w:spacing w:before="40" w:after="40"/>
              <w:jc w:val="right"/>
              <w:rPr>
                <w:rFonts w:eastAsia="Times New Roman" w:cs="Arial"/>
                <w:spacing w:val="4"/>
                <w:sz w:val="20"/>
                <w:szCs w:val="17"/>
                <w:lang w:val="en-GB"/>
              </w:rPr>
            </w:pPr>
            <w:r w:rsidRPr="009B2A19">
              <w:rPr>
                <w:rFonts w:eastAsia="Times New Roman" w:cs="Arial"/>
                <w:spacing w:val="4"/>
                <w:sz w:val="20"/>
                <w:szCs w:val="17"/>
                <w:lang w:val="en-GB"/>
              </w:rPr>
              <w:t>15.6%</w:t>
            </w:r>
          </w:p>
        </w:tc>
        <w:tc>
          <w:tcPr>
            <w:tcW w:w="724" w:type="pct"/>
            <w:hideMark/>
          </w:tcPr>
          <w:p w14:paraId="4F5AD5BA"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12.9%</w:t>
            </w:r>
          </w:p>
        </w:tc>
        <w:tc>
          <w:tcPr>
            <w:tcW w:w="728" w:type="pct"/>
            <w:hideMark/>
          </w:tcPr>
          <w:p w14:paraId="6AC61490"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13.7%</w:t>
            </w:r>
          </w:p>
        </w:tc>
      </w:tr>
      <w:tr w:rsidR="001404F7" w:rsidRPr="006447FF" w14:paraId="72DB6073" w14:textId="77777777" w:rsidTr="001404F7">
        <w:trPr>
          <w:cnfStyle w:val="000000010000" w:firstRow="0" w:lastRow="0" w:firstColumn="0" w:lastColumn="0" w:oddVBand="0" w:evenVBand="0" w:oddHBand="0" w:evenHBand="1" w:firstRowFirstColumn="0" w:firstRowLastColumn="0" w:lastRowFirstColumn="0" w:lastRowLastColumn="0"/>
        </w:trPr>
        <w:tc>
          <w:tcPr>
            <w:tcW w:w="2642" w:type="pct"/>
            <w:hideMark/>
          </w:tcPr>
          <w:p w14:paraId="14C18AD9" w14:textId="77777777" w:rsidR="001404F7" w:rsidRPr="006447FF" w:rsidRDefault="001404F7" w:rsidP="001404F7">
            <w:pPr>
              <w:spacing w:before="40" w:after="40"/>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ABSTUDY (Tertiary)</w:t>
            </w:r>
            <w:r>
              <w:rPr>
                <w:rFonts w:eastAsia="Times New Roman"/>
                <w:color w:val="000000" w:themeColor="text1"/>
                <w:spacing w:val="4"/>
                <w:sz w:val="20"/>
                <w:szCs w:val="20"/>
                <w:vertAlign w:val="superscript"/>
                <w:lang w:val="en-GB"/>
              </w:rPr>
              <w:t>f</w:t>
            </w:r>
          </w:p>
        </w:tc>
        <w:tc>
          <w:tcPr>
            <w:tcW w:w="906" w:type="pct"/>
            <w:hideMark/>
          </w:tcPr>
          <w:p w14:paraId="5FF857D5" w14:textId="77777777" w:rsidR="001404F7" w:rsidRPr="009B2A19" w:rsidRDefault="001404F7" w:rsidP="001404F7">
            <w:pPr>
              <w:spacing w:before="40" w:after="40"/>
              <w:jc w:val="right"/>
              <w:rPr>
                <w:rFonts w:eastAsia="Times New Roman"/>
                <w:spacing w:val="4"/>
                <w:sz w:val="20"/>
                <w:szCs w:val="17"/>
                <w:lang w:val="en-GB"/>
              </w:rPr>
            </w:pPr>
            <w:r w:rsidRPr="009B2A19">
              <w:rPr>
                <w:rFonts w:eastAsia="Times New Roman"/>
                <w:spacing w:val="4"/>
                <w:sz w:val="20"/>
                <w:szCs w:val="17"/>
                <w:lang w:val="en-GB"/>
              </w:rPr>
              <w:t>16.6%</w:t>
            </w:r>
          </w:p>
        </w:tc>
        <w:tc>
          <w:tcPr>
            <w:tcW w:w="724" w:type="pct"/>
            <w:hideMark/>
          </w:tcPr>
          <w:p w14:paraId="554E7EA3"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17.5%</w:t>
            </w:r>
          </w:p>
        </w:tc>
        <w:tc>
          <w:tcPr>
            <w:tcW w:w="728" w:type="pct"/>
            <w:hideMark/>
          </w:tcPr>
          <w:p w14:paraId="3F5D2182"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16.2%</w:t>
            </w:r>
          </w:p>
        </w:tc>
      </w:tr>
    </w:tbl>
    <w:p w14:paraId="65100F04" w14:textId="77777777" w:rsidR="001404F7" w:rsidRPr="009B2A19" w:rsidRDefault="001404F7" w:rsidP="001404F7">
      <w:pPr>
        <w:spacing w:before="160" w:after="60" w:line="240" w:lineRule="auto"/>
        <w:ind w:left="284" w:hanging="284"/>
        <w:contextualSpacing/>
        <w:rPr>
          <w:rFonts w:cs="Arial"/>
          <w:sz w:val="16"/>
          <w:szCs w:val="16"/>
        </w:rPr>
      </w:pPr>
      <w:r w:rsidRPr="009B2A19">
        <w:rPr>
          <w:rFonts w:cs="Arial"/>
          <w:sz w:val="16"/>
          <w:szCs w:val="16"/>
        </w:rPr>
        <w:t>a</w:t>
      </w:r>
      <w:r w:rsidRPr="009B2A19">
        <w:rPr>
          <w:rFonts w:cs="Arial"/>
          <w:sz w:val="16"/>
          <w:szCs w:val="16"/>
        </w:rPr>
        <w:tab/>
        <w:t>Recipients on a part rate due to the income test only. This is because Special Benefit is not payable at a part rate under the assets test.</w:t>
      </w:r>
    </w:p>
    <w:p w14:paraId="341CF461" w14:textId="2D6612BD" w:rsidR="001404F7" w:rsidRPr="009B2A19" w:rsidRDefault="001404F7" w:rsidP="001404F7">
      <w:pPr>
        <w:spacing w:before="160" w:after="60" w:line="240" w:lineRule="auto"/>
        <w:ind w:left="284" w:hanging="284"/>
        <w:contextualSpacing/>
        <w:rPr>
          <w:rFonts w:cs="Arial"/>
          <w:sz w:val="16"/>
          <w:szCs w:val="16"/>
        </w:rPr>
      </w:pPr>
      <w:r w:rsidRPr="009B2A19">
        <w:rPr>
          <w:rFonts w:cs="Arial"/>
          <w:sz w:val="16"/>
          <w:szCs w:val="16"/>
        </w:rPr>
        <w:t>b</w:t>
      </w:r>
      <w:r w:rsidRPr="009B2A19">
        <w:rPr>
          <w:rFonts w:cs="Arial"/>
          <w:sz w:val="16"/>
          <w:szCs w:val="16"/>
        </w:rPr>
        <w:tab/>
      </w:r>
      <w:r w:rsidRPr="00EB1530">
        <w:rPr>
          <w:rFonts w:cs="Arial"/>
          <w:sz w:val="16"/>
          <w:szCs w:val="16"/>
        </w:rPr>
        <w:t>Wife (A</w:t>
      </w:r>
      <w:r w:rsidR="001707B6">
        <w:rPr>
          <w:rFonts w:cs="Arial"/>
          <w:sz w:val="16"/>
          <w:szCs w:val="16"/>
        </w:rPr>
        <w:t>ge</w:t>
      </w:r>
      <w:r w:rsidRPr="00EB1530">
        <w:rPr>
          <w:rFonts w:cs="Arial"/>
          <w:sz w:val="16"/>
          <w:szCs w:val="16"/>
        </w:rPr>
        <w:t xml:space="preserve"> &amp; DSP) Pension and Widow B Pension closed on 20 March 2020, these recipients were transferred to Carer Payment, Age Pension or </w:t>
      </w:r>
      <w:proofErr w:type="spellStart"/>
      <w:r w:rsidRPr="00EB1530">
        <w:rPr>
          <w:rFonts w:cs="Arial"/>
          <w:sz w:val="16"/>
          <w:szCs w:val="16"/>
        </w:rPr>
        <w:t>JobSeeker</w:t>
      </w:r>
      <w:proofErr w:type="spellEnd"/>
      <w:r w:rsidRPr="00EB1530">
        <w:rPr>
          <w:rFonts w:cs="Arial"/>
          <w:sz w:val="16"/>
          <w:szCs w:val="16"/>
        </w:rPr>
        <w:t xml:space="preserve"> Payment and the percentage receiving a part rate of payment is reflected in the payment to which these people transferred</w:t>
      </w:r>
      <w:r>
        <w:rPr>
          <w:rFonts w:cs="Arial"/>
          <w:sz w:val="16"/>
          <w:szCs w:val="16"/>
        </w:rPr>
        <w:t>.</w:t>
      </w:r>
    </w:p>
    <w:p w14:paraId="55D8049B" w14:textId="77777777" w:rsidR="001404F7" w:rsidRPr="0074227A" w:rsidRDefault="001404F7" w:rsidP="001404F7">
      <w:pPr>
        <w:spacing w:before="160" w:after="60" w:line="240" w:lineRule="auto"/>
        <w:ind w:left="284" w:hanging="284"/>
        <w:contextualSpacing/>
        <w:rPr>
          <w:rFonts w:cs="Arial"/>
          <w:sz w:val="16"/>
          <w:szCs w:val="16"/>
        </w:rPr>
      </w:pPr>
      <w:r>
        <w:rPr>
          <w:rFonts w:cs="Arial"/>
          <w:sz w:val="16"/>
          <w:szCs w:val="16"/>
        </w:rPr>
        <w:t>c</w:t>
      </w:r>
      <w:r>
        <w:rPr>
          <w:rFonts w:cs="Arial"/>
          <w:sz w:val="16"/>
          <w:szCs w:val="16"/>
        </w:rPr>
        <w:tab/>
      </w:r>
      <w:r w:rsidRPr="00EB1530">
        <w:rPr>
          <w:rFonts w:cs="Arial"/>
          <w:sz w:val="16"/>
          <w:szCs w:val="16"/>
        </w:rPr>
        <w:t xml:space="preserve">Recipients on a part rate due to the income test only. This is because working age payments are not payable at a part rate under the assets test. Sickness Allowance closed to new recipients on 20 March 2020 and all but </w:t>
      </w:r>
      <w:r>
        <w:rPr>
          <w:rFonts w:cs="Arial"/>
          <w:sz w:val="16"/>
          <w:szCs w:val="16"/>
        </w:rPr>
        <w:t>six</w:t>
      </w:r>
      <w:r w:rsidRPr="00EB1530">
        <w:rPr>
          <w:rFonts w:cs="Arial"/>
          <w:sz w:val="16"/>
          <w:szCs w:val="16"/>
        </w:rPr>
        <w:t xml:space="preserve"> existing recipients have mostly transitioned to </w:t>
      </w:r>
      <w:proofErr w:type="spellStart"/>
      <w:r w:rsidRPr="00EB1530">
        <w:rPr>
          <w:rFonts w:cs="Arial"/>
          <w:sz w:val="16"/>
          <w:szCs w:val="16"/>
        </w:rPr>
        <w:t>JobSeeker</w:t>
      </w:r>
      <w:proofErr w:type="spellEnd"/>
      <w:r w:rsidRPr="00EB1530">
        <w:rPr>
          <w:rFonts w:cs="Arial"/>
          <w:sz w:val="16"/>
          <w:szCs w:val="16"/>
        </w:rPr>
        <w:t xml:space="preserve"> Payment</w:t>
      </w:r>
      <w:r>
        <w:rPr>
          <w:rFonts w:cs="Arial"/>
          <w:sz w:val="16"/>
          <w:szCs w:val="16"/>
        </w:rPr>
        <w:t xml:space="preserve"> (</w:t>
      </w:r>
      <w:proofErr w:type="spellStart"/>
      <w:r w:rsidRPr="00EB1530">
        <w:rPr>
          <w:rFonts w:cs="Arial"/>
          <w:sz w:val="16"/>
          <w:szCs w:val="16"/>
        </w:rPr>
        <w:t>JobSeeker</w:t>
      </w:r>
      <w:proofErr w:type="spellEnd"/>
      <w:r>
        <w:rPr>
          <w:rFonts w:cs="Arial"/>
          <w:sz w:val="16"/>
          <w:szCs w:val="16"/>
        </w:rPr>
        <w:t xml:space="preserve"> </w:t>
      </w:r>
      <w:r w:rsidRPr="00EB1530">
        <w:rPr>
          <w:rFonts w:cs="Arial"/>
          <w:sz w:val="16"/>
          <w:szCs w:val="16"/>
        </w:rPr>
        <w:t>Payment</w:t>
      </w:r>
      <w:r>
        <w:rPr>
          <w:rFonts w:cs="Arial"/>
          <w:sz w:val="16"/>
          <w:szCs w:val="16"/>
        </w:rPr>
        <w:t xml:space="preserve"> replaced </w:t>
      </w:r>
      <w:proofErr w:type="spellStart"/>
      <w:r>
        <w:rPr>
          <w:rFonts w:cs="Arial"/>
          <w:sz w:val="16"/>
          <w:szCs w:val="16"/>
        </w:rPr>
        <w:t>Newstart</w:t>
      </w:r>
      <w:proofErr w:type="spellEnd"/>
      <w:r>
        <w:rPr>
          <w:rFonts w:cs="Arial"/>
          <w:sz w:val="16"/>
          <w:szCs w:val="16"/>
        </w:rPr>
        <w:t xml:space="preserve"> Allowance on 20 March 2020)</w:t>
      </w:r>
      <w:r w:rsidRPr="00EB1530">
        <w:rPr>
          <w:rFonts w:cs="Arial"/>
          <w:sz w:val="16"/>
          <w:szCs w:val="16"/>
        </w:rPr>
        <w:t>. Partner Allowance and Widow Allowance will close in 2022; existing recipients will progressively transition to Age Pension</w:t>
      </w:r>
      <w:r>
        <w:rPr>
          <w:rFonts w:cs="Arial"/>
          <w:sz w:val="16"/>
          <w:szCs w:val="16"/>
        </w:rPr>
        <w:t>.</w:t>
      </w:r>
    </w:p>
    <w:p w14:paraId="5B358034" w14:textId="77777777" w:rsidR="001404F7" w:rsidRPr="0074227A" w:rsidRDefault="001404F7" w:rsidP="001404F7">
      <w:pPr>
        <w:spacing w:before="160" w:after="60" w:line="240" w:lineRule="auto"/>
        <w:ind w:left="284" w:hanging="284"/>
        <w:contextualSpacing/>
        <w:rPr>
          <w:rFonts w:cs="Arial"/>
          <w:sz w:val="16"/>
          <w:szCs w:val="16"/>
        </w:rPr>
      </w:pPr>
      <w:r w:rsidRPr="0074227A">
        <w:rPr>
          <w:rFonts w:cs="Arial"/>
          <w:sz w:val="16"/>
          <w:szCs w:val="16"/>
        </w:rPr>
        <w:t>d</w:t>
      </w:r>
      <w:r w:rsidRPr="0074227A">
        <w:rPr>
          <w:rFonts w:cs="Arial"/>
          <w:sz w:val="16"/>
          <w:szCs w:val="16"/>
        </w:rPr>
        <w:tab/>
        <w:t>Excludes Australian apprentices.</w:t>
      </w:r>
    </w:p>
    <w:p w14:paraId="2E843930" w14:textId="77777777" w:rsidR="001404F7" w:rsidRPr="0074227A" w:rsidRDefault="001404F7" w:rsidP="001404F7">
      <w:pPr>
        <w:spacing w:before="160" w:after="60" w:line="240" w:lineRule="auto"/>
        <w:ind w:left="284" w:hanging="284"/>
        <w:contextualSpacing/>
        <w:rPr>
          <w:rFonts w:cs="Arial"/>
          <w:sz w:val="16"/>
          <w:szCs w:val="16"/>
        </w:rPr>
      </w:pPr>
      <w:r w:rsidRPr="0074227A">
        <w:rPr>
          <w:rFonts w:cs="Arial"/>
          <w:sz w:val="16"/>
          <w:szCs w:val="16"/>
        </w:rPr>
        <w:t>e</w:t>
      </w:r>
      <w:r w:rsidRPr="0074227A">
        <w:rPr>
          <w:rFonts w:cs="Arial"/>
          <w:sz w:val="16"/>
          <w:szCs w:val="16"/>
        </w:rPr>
        <w:tab/>
        <w:t>ABSTUDY Living Allowance only.</w:t>
      </w:r>
    </w:p>
    <w:p w14:paraId="2192A84D" w14:textId="77777777" w:rsidR="001404F7" w:rsidRDefault="001404F7" w:rsidP="001404F7">
      <w:pPr>
        <w:spacing w:before="160" w:after="60" w:line="240" w:lineRule="auto"/>
        <w:ind w:left="284" w:hanging="284"/>
        <w:contextualSpacing/>
        <w:rPr>
          <w:rFonts w:cs="Arial"/>
          <w:sz w:val="16"/>
          <w:szCs w:val="16"/>
        </w:rPr>
      </w:pPr>
      <w:r w:rsidRPr="0074227A">
        <w:rPr>
          <w:rFonts w:cs="Arial"/>
          <w:sz w:val="16"/>
          <w:szCs w:val="16"/>
        </w:rPr>
        <w:t>f</w:t>
      </w:r>
      <w:r w:rsidRPr="0074227A">
        <w:rPr>
          <w:rFonts w:cs="Arial"/>
          <w:sz w:val="16"/>
          <w:szCs w:val="16"/>
        </w:rPr>
        <w:tab/>
        <w:t>This indicator takes into account higher education and vocational education and training students.</w:t>
      </w:r>
    </w:p>
    <w:p w14:paraId="124F5EDA" w14:textId="77777777" w:rsidR="001404F7" w:rsidRPr="00577E4E" w:rsidRDefault="001404F7" w:rsidP="001404F7">
      <w:pPr>
        <w:rPr>
          <w:sz w:val="20"/>
          <w:szCs w:val="20"/>
        </w:rPr>
      </w:pPr>
    </w:p>
    <w:p w14:paraId="38C7FA61" w14:textId="77777777" w:rsidR="00715F6F" w:rsidRDefault="00715F6F">
      <w:pPr>
        <w:rPr>
          <w:rFonts w:eastAsiaTheme="majorEastAsia" w:cstheme="majorBidi"/>
          <w:b/>
          <w:iCs/>
          <w:sz w:val="26"/>
        </w:rPr>
        <w:sectPr w:rsidR="00715F6F" w:rsidSect="00585891">
          <w:footnotePr>
            <w:numRestart w:val="eachPage"/>
          </w:footnotePr>
          <w:pgSz w:w="11906" w:h="16838"/>
          <w:pgMar w:top="1440" w:right="1440" w:bottom="1440" w:left="1440" w:header="709" w:footer="709" w:gutter="0"/>
          <w:cols w:space="708"/>
          <w:docGrid w:linePitch="360"/>
        </w:sectPr>
      </w:pPr>
    </w:p>
    <w:p w14:paraId="09F6929D" w14:textId="66EA6E75" w:rsidR="001404F7" w:rsidRPr="003F5594" w:rsidRDefault="001404F7" w:rsidP="001404F7">
      <w:pPr>
        <w:spacing w:before="240" w:after="240"/>
        <w:outlineLvl w:val="6"/>
        <w:rPr>
          <w:rFonts w:eastAsiaTheme="majorEastAsia" w:cstheme="majorBidi"/>
          <w:b/>
          <w:iCs/>
          <w:sz w:val="26"/>
        </w:rPr>
      </w:pPr>
      <w:r>
        <w:rPr>
          <w:rFonts w:eastAsiaTheme="majorEastAsia" w:cstheme="majorBidi"/>
          <w:b/>
          <w:iCs/>
          <w:sz w:val="26"/>
        </w:rPr>
        <w:lastRenderedPageBreak/>
        <w:t xml:space="preserve">C1.3 </w:t>
      </w:r>
      <w:r w:rsidRPr="003F5594">
        <w:rPr>
          <w:rFonts w:eastAsiaTheme="majorEastAsia" w:cstheme="majorBidi"/>
          <w:b/>
          <w:iCs/>
          <w:sz w:val="26"/>
        </w:rPr>
        <w:t>Extent to which payments are made to, or with respect to, people unable to</w:t>
      </w:r>
      <w:r>
        <w:rPr>
          <w:rFonts w:eastAsiaTheme="majorEastAsia" w:cstheme="majorBidi"/>
          <w:b/>
          <w:iCs/>
          <w:sz w:val="26"/>
        </w:rPr>
        <w:t xml:space="preserve"> </w:t>
      </w:r>
      <w:r w:rsidRPr="003F5594">
        <w:rPr>
          <w:rFonts w:eastAsiaTheme="majorEastAsia" w:cstheme="majorBidi"/>
          <w:b/>
          <w:iCs/>
          <w:sz w:val="26"/>
        </w:rPr>
        <w:t>fully support themselves</w:t>
      </w:r>
    </w:p>
    <w:p w14:paraId="5363341A" w14:textId="77777777" w:rsidR="001404F7" w:rsidRPr="00577E4E" w:rsidRDefault="001404F7" w:rsidP="001404F7">
      <w:pPr>
        <w:rPr>
          <w:rFonts w:cs="Arial"/>
          <w:sz w:val="20"/>
          <w:szCs w:val="20"/>
        </w:rPr>
      </w:pPr>
      <w:r w:rsidRPr="00577E4E">
        <w:rPr>
          <w:rFonts w:cs="Arial"/>
          <w:sz w:val="20"/>
          <w:szCs w:val="20"/>
        </w:rPr>
        <w:t>This criterion shows the reach of the major components of the payments system, expressed as a proportion of a particular population that receives payment. Trends in each demonstrate the effectiveness of policy measures in increasing or restricting eligibility to payments, as well as changes in the characteristics of the populations of interest.</w:t>
      </w:r>
    </w:p>
    <w:p w14:paraId="1FD2A396" w14:textId="77777777" w:rsidR="001404F7" w:rsidRPr="003F5594" w:rsidRDefault="001404F7" w:rsidP="001404F7">
      <w:pPr>
        <w:spacing w:before="240" w:after="240" w:line="260" w:lineRule="atLeast"/>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t xml:space="preserve">C1.3.1 </w:t>
      </w:r>
      <w:r w:rsidRPr="003F5594">
        <w:rPr>
          <w:rFonts w:eastAsiaTheme="majorEastAsia" w:cstheme="majorBidi"/>
          <w:b/>
          <w:color w:val="595959" w:themeColor="text1" w:themeTint="A6"/>
          <w:sz w:val="24"/>
          <w:szCs w:val="20"/>
        </w:rPr>
        <w:t>Percentage of the targeted population who receive payment</w:t>
      </w:r>
    </w:p>
    <w:p w14:paraId="6EDA78AC" w14:textId="77777777" w:rsidR="001404F7" w:rsidRPr="00577E4E" w:rsidRDefault="001404F7" w:rsidP="001404F7">
      <w:pPr>
        <w:rPr>
          <w:rFonts w:cs="Arial"/>
          <w:sz w:val="20"/>
          <w:szCs w:val="20"/>
        </w:rPr>
      </w:pPr>
      <w:r w:rsidRPr="00577E4E">
        <w:rPr>
          <w:rFonts w:cs="Arial"/>
          <w:sz w:val="20"/>
          <w:szCs w:val="20"/>
        </w:rPr>
        <w:t>These measures provide a comparison of the number of people receiving particular welfare payments with the estimated population relevant to the payment type. They provide useful information on the coverage of particular payments in the population, such as families with children, senior Australians and carers.</w:t>
      </w:r>
    </w:p>
    <w:p w14:paraId="4E544DC1" w14:textId="77777777" w:rsidR="001404F7" w:rsidRPr="00577E4E" w:rsidRDefault="001404F7" w:rsidP="001404F7">
      <w:pPr>
        <w:rPr>
          <w:rFonts w:cs="Arial"/>
          <w:sz w:val="20"/>
          <w:szCs w:val="20"/>
        </w:rPr>
      </w:pPr>
      <w:r w:rsidRPr="00577E4E">
        <w:rPr>
          <w:rFonts w:cs="Arial"/>
          <w:sz w:val="20"/>
          <w:szCs w:val="20"/>
        </w:rPr>
        <w:t>Family Tax Benefit has undergone successive policy changes, such as pausing indexation of income thresholds, which have tightened eligibility for payment. This has resulted in a downward trend in the number of Family Tax Benefit families receiving fortnightly payments since 2004–05.</w:t>
      </w:r>
    </w:p>
    <w:p w14:paraId="1337B4EA" w14:textId="77777777" w:rsidR="001404F7" w:rsidRPr="00BF055A" w:rsidRDefault="001404F7" w:rsidP="001404F7">
      <w:pPr>
        <w:pStyle w:val="Heading7"/>
      </w:pPr>
      <w:r w:rsidRPr="00BF055A">
        <w:t>Analysis</w:t>
      </w:r>
    </w:p>
    <w:p w14:paraId="5B2439A4" w14:textId="77777777" w:rsidR="001404F7" w:rsidRPr="00577E4E" w:rsidRDefault="001404F7" w:rsidP="001404F7">
      <w:pPr>
        <w:rPr>
          <w:rFonts w:cs="Arial"/>
          <w:sz w:val="20"/>
          <w:szCs w:val="20"/>
        </w:rPr>
      </w:pPr>
      <w:r w:rsidRPr="00577E4E">
        <w:rPr>
          <w:rFonts w:cs="Arial"/>
          <w:sz w:val="20"/>
          <w:szCs w:val="20"/>
        </w:rPr>
        <w:t>There is a long-term trend of a gradual reduction in the proportion of senior Australians receiving the Age Pension. This is because new retirees have more assets at retirement than previous cohorts due to the maturation of the superannuation system. It is also due to the increase in the number of senior Australians remaining in the workforce longer. There was a slight increase in 2019–20, most likely due to the economic conditions in the second half of 2019</w:t>
      </w:r>
      <w:r>
        <w:rPr>
          <w:rFonts w:cs="Arial"/>
          <w:sz w:val="20"/>
          <w:szCs w:val="20"/>
        </w:rPr>
        <w:t>–</w:t>
      </w:r>
      <w:r w:rsidRPr="00577E4E">
        <w:rPr>
          <w:rFonts w:cs="Arial"/>
          <w:sz w:val="20"/>
          <w:szCs w:val="20"/>
        </w:rPr>
        <w:t>20, along with a reduction in deeming rates.</w:t>
      </w:r>
    </w:p>
    <w:p w14:paraId="17C4311B" w14:textId="77777777" w:rsidR="001404F7" w:rsidRPr="00577E4E" w:rsidRDefault="001404F7" w:rsidP="001404F7">
      <w:pPr>
        <w:rPr>
          <w:rFonts w:cs="Arial"/>
          <w:sz w:val="20"/>
          <w:szCs w:val="20"/>
        </w:rPr>
      </w:pPr>
      <w:r w:rsidRPr="00577E4E">
        <w:rPr>
          <w:rFonts w:cs="Arial"/>
          <w:sz w:val="20"/>
          <w:szCs w:val="20"/>
        </w:rPr>
        <w:t>There has been a slight decrease in the percentage of people with disability who receive Disability Support Pension payments, down from 17.64 per cent in 2017–18 to 17.3 per cent in 2019–20. Similarly, the ratio of Disability Support Pension recipients to the total Australian working age population has also fallen slightly from 4.2 per cent in 2017–18 to 3.9 per cent in 2019–20. The continued decrease in Disability Support Pension recipients can primarily be attributed to previous policy changes associated with improved assessments and tightened eligibility</w:t>
      </w:r>
      <w:r>
        <w:rPr>
          <w:rFonts w:cs="Arial"/>
          <w:sz w:val="20"/>
          <w:szCs w:val="20"/>
        </w:rPr>
        <w:t>.</w:t>
      </w:r>
    </w:p>
    <w:p w14:paraId="5B77B3AA" w14:textId="77777777" w:rsidR="00C54AF9" w:rsidRDefault="00C54AF9" w:rsidP="001404F7">
      <w:pPr>
        <w:keepNext/>
        <w:spacing w:before="240" w:after="0" w:line="260" w:lineRule="atLeast"/>
        <w:ind w:right="425"/>
        <w:rPr>
          <w:rFonts w:ascii="Arial Narrow" w:eastAsia="Times New Roman" w:hAnsi="Arial Narrow" w:cs="Times New Roman"/>
          <w:b/>
          <w:bCs/>
          <w:spacing w:val="4"/>
          <w:sz w:val="20"/>
          <w:szCs w:val="18"/>
          <w:lang w:eastAsia="en-AU"/>
        </w:rPr>
        <w:sectPr w:rsidR="00C54AF9" w:rsidSect="00585891">
          <w:footnotePr>
            <w:numRestart w:val="eachPage"/>
          </w:footnotePr>
          <w:pgSz w:w="11906" w:h="16838"/>
          <w:pgMar w:top="1440" w:right="1440" w:bottom="1440" w:left="1440" w:header="709" w:footer="709" w:gutter="0"/>
          <w:cols w:space="708"/>
          <w:docGrid w:linePitch="360"/>
        </w:sectPr>
      </w:pPr>
    </w:p>
    <w:p w14:paraId="5C9C9B32" w14:textId="32D2C90D" w:rsidR="001404F7" w:rsidRPr="006447FF"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sidRPr="006447FF">
        <w:rPr>
          <w:rFonts w:ascii="Arial Narrow" w:eastAsia="Times New Roman" w:hAnsi="Arial Narrow" w:cs="Times New Roman"/>
          <w:b/>
          <w:bCs/>
          <w:spacing w:val="4"/>
          <w:sz w:val="20"/>
          <w:szCs w:val="18"/>
          <w:lang w:eastAsia="en-AU"/>
        </w:rPr>
        <w:lastRenderedPageBreak/>
        <w:t>Table 2.1.</w:t>
      </w:r>
      <w:r>
        <w:rPr>
          <w:rFonts w:ascii="Arial Narrow" w:eastAsia="Times New Roman" w:hAnsi="Arial Narrow" w:cs="Times New Roman"/>
          <w:b/>
          <w:bCs/>
          <w:spacing w:val="4"/>
          <w:sz w:val="20"/>
          <w:szCs w:val="18"/>
          <w:lang w:eastAsia="en-AU"/>
        </w:rPr>
        <w:t>10</w:t>
      </w:r>
      <w:r w:rsidRPr="006447FF">
        <w:rPr>
          <w:rFonts w:ascii="Arial Narrow" w:eastAsia="Times New Roman" w:hAnsi="Arial Narrow" w:cs="Times New Roman"/>
          <w:b/>
          <w:bCs/>
          <w:spacing w:val="4"/>
          <w:sz w:val="20"/>
          <w:szCs w:val="18"/>
          <w:lang w:eastAsia="en-AU"/>
        </w:rPr>
        <w:t>a: Percentage of the targeted population who receive payment</w:t>
      </w:r>
      <w:r>
        <w:rPr>
          <w:rFonts w:ascii="Arial Narrow" w:eastAsia="Times New Roman" w:hAnsi="Arial Narrow" w:cs="Times New Roman"/>
          <w:b/>
          <w:bCs/>
          <w:spacing w:val="4"/>
          <w:sz w:val="20"/>
          <w:szCs w:val="18"/>
          <w:lang w:eastAsia="en-AU"/>
        </w:rPr>
        <w:t xml:space="preserve"> </w:t>
      </w:r>
      <w:r w:rsidRPr="006447FF">
        <w:rPr>
          <w:rFonts w:ascii="Arial Narrow" w:eastAsia="Times New Roman" w:hAnsi="Arial Narrow" w:cs="Times New Roman"/>
          <w:b/>
          <w:bCs/>
          <w:spacing w:val="4"/>
          <w:sz w:val="20"/>
          <w:szCs w:val="18"/>
          <w:lang w:eastAsia="en-AU"/>
        </w:rPr>
        <w:t>—</w:t>
      </w:r>
      <w:r>
        <w:rPr>
          <w:rFonts w:ascii="Arial Narrow" w:eastAsia="Times New Roman" w:hAnsi="Arial Narrow" w:cs="Times New Roman"/>
          <w:b/>
          <w:bCs/>
          <w:spacing w:val="4"/>
          <w:sz w:val="20"/>
          <w:szCs w:val="18"/>
          <w:lang w:eastAsia="en-AU"/>
        </w:rPr>
        <w:t xml:space="preserve"> </w:t>
      </w:r>
      <w:r w:rsidRPr="006447FF">
        <w:rPr>
          <w:rFonts w:ascii="Arial Narrow" w:eastAsia="Times New Roman" w:hAnsi="Arial Narrow" w:cs="Times New Roman"/>
          <w:b/>
          <w:bCs/>
          <w:spacing w:val="4"/>
          <w:sz w:val="20"/>
          <w:szCs w:val="18"/>
          <w:lang w:eastAsia="en-AU"/>
        </w:rPr>
        <w:t>Family Tax Benefit</w:t>
      </w:r>
    </w:p>
    <w:tbl>
      <w:tblPr>
        <w:tblStyle w:val="HHorizontaltable1"/>
        <w:tblW w:w="5000" w:type="pct"/>
        <w:tblLook w:val="04A0" w:firstRow="1" w:lastRow="0" w:firstColumn="1" w:lastColumn="0" w:noHBand="0" w:noVBand="1"/>
        <w:tblCaption w:val="Table 2.1.10a: Percentage of the targeted population who receive payment - Family Tax Benefit"/>
        <w:tblDescription w:val="Table 2.1.10a: Percentage of the targeted population who receive payment - Family Tax Benefit"/>
      </w:tblPr>
      <w:tblGrid>
        <w:gridCol w:w="5109"/>
        <w:gridCol w:w="1305"/>
        <w:gridCol w:w="1305"/>
        <w:gridCol w:w="1307"/>
      </w:tblGrid>
      <w:tr w:rsidR="001404F7" w:rsidRPr="006447FF" w14:paraId="0F525961" w14:textId="77777777" w:rsidTr="001404F7">
        <w:trPr>
          <w:cnfStyle w:val="100000000000" w:firstRow="1" w:lastRow="0" w:firstColumn="0" w:lastColumn="0" w:oddVBand="0" w:evenVBand="0" w:oddHBand="0" w:evenHBand="0" w:firstRowFirstColumn="0" w:firstRowLastColumn="0" w:lastRowFirstColumn="0" w:lastRowLastColumn="0"/>
        </w:trPr>
        <w:tc>
          <w:tcPr>
            <w:tcW w:w="2830" w:type="pct"/>
            <w:vMerge w:val="restart"/>
            <w:hideMark/>
          </w:tcPr>
          <w:p w14:paraId="7EFAA474" w14:textId="77777777" w:rsidR="001404F7" w:rsidRPr="00D13460" w:rsidRDefault="001404F7" w:rsidP="001404F7">
            <w:pPr>
              <w:keepNext/>
              <w:keepLines/>
              <w:spacing w:before="40" w:after="40"/>
              <w:rPr>
                <w:rFonts w:eastAsia="Times New Roman" w:cs="Times New Roman"/>
                <w:sz w:val="20"/>
                <w:szCs w:val="18"/>
              </w:rPr>
            </w:pPr>
            <w:r w:rsidRPr="00D13460">
              <w:rPr>
                <w:rFonts w:eastAsia="Times New Roman" w:cs="Times New Roman"/>
                <w:sz w:val="20"/>
                <w:szCs w:val="18"/>
              </w:rPr>
              <w:t>Intermediate outcome performance measure</w:t>
            </w:r>
          </w:p>
        </w:tc>
        <w:tc>
          <w:tcPr>
            <w:tcW w:w="2170" w:type="pct"/>
            <w:gridSpan w:val="3"/>
            <w:tcBorders>
              <w:bottom w:val="single" w:sz="12" w:space="0" w:color="FFFFFF" w:themeColor="background1"/>
            </w:tcBorders>
            <w:hideMark/>
          </w:tcPr>
          <w:p w14:paraId="7083E76E" w14:textId="77777777" w:rsidR="001404F7" w:rsidRPr="00D13460" w:rsidRDefault="001404F7" w:rsidP="001404F7">
            <w:pPr>
              <w:keepNext/>
              <w:keepLines/>
              <w:spacing w:before="40" w:after="40"/>
              <w:jc w:val="center"/>
              <w:rPr>
                <w:rFonts w:eastAsia="Times New Roman" w:cs="Times New Roman"/>
                <w:sz w:val="20"/>
                <w:szCs w:val="18"/>
              </w:rPr>
            </w:pPr>
            <w:r w:rsidRPr="00D13460">
              <w:rPr>
                <w:rFonts w:eastAsia="Times New Roman" w:cs="Times New Roman"/>
                <w:sz w:val="20"/>
                <w:szCs w:val="18"/>
              </w:rPr>
              <w:t xml:space="preserve">Entitlement </w:t>
            </w:r>
            <w:proofErr w:type="spellStart"/>
            <w:r w:rsidRPr="00D13460">
              <w:rPr>
                <w:rFonts w:eastAsia="Times New Roman" w:cs="Times New Roman"/>
                <w:sz w:val="20"/>
                <w:szCs w:val="18"/>
              </w:rPr>
              <w:t>year</w:t>
            </w:r>
            <w:r w:rsidRPr="00D13460">
              <w:rPr>
                <w:rFonts w:eastAsia="Times New Roman" w:cs="Times New Roman"/>
                <w:b w:val="0"/>
                <w:sz w:val="20"/>
                <w:szCs w:val="18"/>
                <w:vertAlign w:val="superscript"/>
              </w:rPr>
              <w:t>a</w:t>
            </w:r>
            <w:proofErr w:type="spellEnd"/>
          </w:p>
        </w:tc>
      </w:tr>
      <w:tr w:rsidR="001404F7" w:rsidRPr="006447FF" w14:paraId="56150F78" w14:textId="77777777" w:rsidTr="001404F7">
        <w:trPr>
          <w:cnfStyle w:val="000000100000" w:firstRow="0" w:lastRow="0" w:firstColumn="0" w:lastColumn="0" w:oddVBand="0" w:evenVBand="0" w:oddHBand="1" w:evenHBand="0" w:firstRowFirstColumn="0" w:firstRowLastColumn="0" w:lastRowFirstColumn="0" w:lastRowLastColumn="0"/>
        </w:trPr>
        <w:tc>
          <w:tcPr>
            <w:tcW w:w="2830" w:type="pct"/>
            <w:vMerge/>
            <w:hideMark/>
          </w:tcPr>
          <w:p w14:paraId="653B9FCC" w14:textId="77777777" w:rsidR="001404F7" w:rsidRPr="00D13460" w:rsidRDefault="001404F7" w:rsidP="001404F7">
            <w:pPr>
              <w:rPr>
                <w:rFonts w:eastAsia="Times New Roman" w:cs="Times New Roman"/>
                <w:sz w:val="20"/>
                <w:szCs w:val="18"/>
              </w:rPr>
            </w:pPr>
          </w:p>
        </w:tc>
        <w:tc>
          <w:tcPr>
            <w:tcW w:w="723" w:type="pct"/>
            <w:tcBorders>
              <w:top w:val="single" w:sz="12" w:space="0" w:color="FFFFFF" w:themeColor="background1"/>
              <w:bottom w:val="single" w:sz="4" w:space="0" w:color="FFFFFF" w:themeColor="background1"/>
            </w:tcBorders>
            <w:shd w:val="clear" w:color="auto" w:fill="00B0B9"/>
            <w:hideMark/>
          </w:tcPr>
          <w:p w14:paraId="3B6E52D7" w14:textId="77777777" w:rsidR="001404F7" w:rsidRPr="00D13460" w:rsidRDefault="001404F7" w:rsidP="001404F7">
            <w:pPr>
              <w:keepNext/>
              <w:keepLines/>
              <w:spacing w:before="40" w:after="40"/>
              <w:jc w:val="right"/>
              <w:rPr>
                <w:rFonts w:eastAsia="Times New Roman" w:cs="Times New Roman"/>
                <w:b/>
                <w:sz w:val="20"/>
                <w:szCs w:val="18"/>
              </w:rPr>
            </w:pPr>
            <w:r w:rsidRPr="00D13460">
              <w:rPr>
                <w:rFonts w:eastAsia="Times New Roman" w:cs="Times New Roman"/>
                <w:b/>
                <w:sz w:val="20"/>
                <w:szCs w:val="18"/>
              </w:rPr>
              <w:t>2017–18</w:t>
            </w:r>
          </w:p>
        </w:tc>
        <w:tc>
          <w:tcPr>
            <w:tcW w:w="723" w:type="pct"/>
            <w:tcBorders>
              <w:top w:val="single" w:sz="12" w:space="0" w:color="FFFFFF" w:themeColor="background1"/>
              <w:bottom w:val="single" w:sz="4" w:space="0" w:color="FFFFFF" w:themeColor="background1"/>
            </w:tcBorders>
            <w:shd w:val="clear" w:color="auto" w:fill="00B0B9"/>
            <w:hideMark/>
          </w:tcPr>
          <w:p w14:paraId="126CD401" w14:textId="77777777" w:rsidR="001404F7" w:rsidRPr="00D13460" w:rsidRDefault="001404F7" w:rsidP="001404F7">
            <w:pPr>
              <w:keepNext/>
              <w:keepLines/>
              <w:spacing w:before="40" w:after="40"/>
              <w:jc w:val="right"/>
              <w:rPr>
                <w:rFonts w:eastAsia="Times New Roman" w:cs="Times New Roman"/>
                <w:b/>
                <w:sz w:val="20"/>
                <w:szCs w:val="18"/>
              </w:rPr>
            </w:pPr>
            <w:r w:rsidRPr="00D13460">
              <w:rPr>
                <w:rFonts w:eastAsia="Times New Roman" w:cs="Times New Roman"/>
                <w:b/>
                <w:sz w:val="20"/>
                <w:szCs w:val="18"/>
              </w:rPr>
              <w:t>2016–17</w:t>
            </w:r>
          </w:p>
        </w:tc>
        <w:tc>
          <w:tcPr>
            <w:tcW w:w="724" w:type="pct"/>
            <w:tcBorders>
              <w:top w:val="single" w:sz="12" w:space="0" w:color="FFFFFF" w:themeColor="background1"/>
              <w:bottom w:val="single" w:sz="4" w:space="0" w:color="FFFFFF" w:themeColor="background1"/>
            </w:tcBorders>
            <w:shd w:val="clear" w:color="auto" w:fill="00B0B9"/>
            <w:hideMark/>
          </w:tcPr>
          <w:p w14:paraId="740DF24B" w14:textId="77777777" w:rsidR="001404F7" w:rsidRPr="00D13460" w:rsidRDefault="001404F7" w:rsidP="001404F7">
            <w:pPr>
              <w:keepNext/>
              <w:keepLines/>
              <w:spacing w:before="40" w:after="40"/>
              <w:jc w:val="right"/>
              <w:rPr>
                <w:rFonts w:eastAsia="Times New Roman" w:cs="Times New Roman"/>
                <w:b/>
                <w:sz w:val="20"/>
                <w:szCs w:val="18"/>
              </w:rPr>
            </w:pPr>
            <w:r w:rsidRPr="00D13460">
              <w:rPr>
                <w:rFonts w:eastAsia="Times New Roman" w:cs="Times New Roman"/>
                <w:b/>
                <w:sz w:val="20"/>
                <w:szCs w:val="18"/>
              </w:rPr>
              <w:t>2015–16</w:t>
            </w:r>
          </w:p>
        </w:tc>
      </w:tr>
      <w:tr w:rsidR="001404F7" w:rsidRPr="006447FF" w14:paraId="605BF006"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4"/>
            <w:tcBorders>
              <w:bottom w:val="single" w:sz="12" w:space="0" w:color="00B0B9"/>
            </w:tcBorders>
            <w:hideMark/>
          </w:tcPr>
          <w:p w14:paraId="00FF61EA" w14:textId="77777777" w:rsidR="001404F7" w:rsidRPr="00320858" w:rsidRDefault="001404F7" w:rsidP="001404F7">
            <w:pPr>
              <w:keepNext/>
              <w:keepLines/>
              <w:spacing w:before="40" w:after="40"/>
              <w:rPr>
                <w:rFonts w:eastAsia="Times New Roman" w:cs="Times New Roman"/>
                <w:b/>
                <w:color w:val="000000" w:themeColor="text1"/>
                <w:sz w:val="20"/>
                <w:szCs w:val="20"/>
              </w:rPr>
            </w:pPr>
            <w:r w:rsidRPr="00320858">
              <w:rPr>
                <w:rFonts w:eastAsia="Times New Roman" w:cs="Times New Roman"/>
                <w:b/>
                <w:color w:val="000000" w:themeColor="text1"/>
                <w:sz w:val="20"/>
                <w:szCs w:val="20"/>
              </w:rPr>
              <w:t>Family Tax Benefit</w:t>
            </w:r>
          </w:p>
        </w:tc>
      </w:tr>
      <w:tr w:rsidR="001404F7" w:rsidRPr="006447FF" w14:paraId="35716EA0" w14:textId="77777777" w:rsidTr="001404F7">
        <w:trPr>
          <w:cnfStyle w:val="000000100000" w:firstRow="0" w:lastRow="0" w:firstColumn="0" w:lastColumn="0" w:oddVBand="0" w:evenVBand="0" w:oddHBand="1" w:evenHBand="0" w:firstRowFirstColumn="0" w:firstRowLastColumn="0" w:lastRowFirstColumn="0" w:lastRowLastColumn="0"/>
        </w:trPr>
        <w:tc>
          <w:tcPr>
            <w:tcW w:w="2830" w:type="pct"/>
            <w:tcBorders>
              <w:top w:val="single" w:sz="12" w:space="0" w:color="00B0B9"/>
              <w:bottom w:val="single" w:sz="4" w:space="0" w:color="FFFFFF" w:themeColor="background1"/>
            </w:tcBorders>
            <w:hideMark/>
          </w:tcPr>
          <w:p w14:paraId="421401DA"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Percentage of estimated population of families with children under 16 years of age receiving Family Tax Benefit Part A</w:t>
            </w:r>
            <w:r w:rsidRPr="003A047F">
              <w:rPr>
                <w:rFonts w:eastAsia="Times New Roman" w:cs="Arial"/>
                <w:color w:val="000000" w:themeColor="text1"/>
                <w:spacing w:val="4"/>
                <w:sz w:val="20"/>
                <w:szCs w:val="20"/>
                <w:vertAlign w:val="superscript"/>
                <w:lang w:val="en-GB"/>
              </w:rPr>
              <w:t>b</w:t>
            </w:r>
          </w:p>
        </w:tc>
        <w:tc>
          <w:tcPr>
            <w:tcW w:w="723" w:type="pct"/>
            <w:tcBorders>
              <w:top w:val="single" w:sz="12" w:space="0" w:color="00B0B9"/>
              <w:bottom w:val="single" w:sz="4" w:space="0" w:color="FFFFFF" w:themeColor="background1"/>
            </w:tcBorders>
            <w:hideMark/>
          </w:tcPr>
          <w:p w14:paraId="1497EE2D" w14:textId="77777777" w:rsidR="001404F7" w:rsidRPr="006D10DC" w:rsidRDefault="001404F7" w:rsidP="001404F7">
            <w:pPr>
              <w:spacing w:before="40" w:after="40"/>
              <w:jc w:val="right"/>
              <w:rPr>
                <w:rFonts w:eastAsia="Times New Roman" w:cs="Arial"/>
                <w:color w:val="000000" w:themeColor="text1"/>
                <w:spacing w:val="4"/>
                <w:sz w:val="20"/>
                <w:szCs w:val="20"/>
                <w:highlight w:val="yellow"/>
                <w:lang w:val="en-GB"/>
              </w:rPr>
            </w:pPr>
            <w:r w:rsidRPr="009B2A19">
              <w:rPr>
                <w:sz w:val="20"/>
                <w:szCs w:val="20"/>
              </w:rPr>
              <w:t>53.4%</w:t>
            </w:r>
          </w:p>
        </w:tc>
        <w:tc>
          <w:tcPr>
            <w:tcW w:w="723" w:type="pct"/>
            <w:tcBorders>
              <w:top w:val="single" w:sz="12" w:space="0" w:color="00B0B9"/>
              <w:bottom w:val="single" w:sz="4" w:space="0" w:color="FFFFFF" w:themeColor="background1"/>
            </w:tcBorders>
            <w:hideMark/>
          </w:tcPr>
          <w:p w14:paraId="2398EFFE" w14:textId="25C238F5" w:rsidR="001404F7" w:rsidRPr="006447FF" w:rsidRDefault="001404F7" w:rsidP="001F2CC2">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56.</w:t>
            </w:r>
            <w:r w:rsidR="001F2CC2">
              <w:rPr>
                <w:rFonts w:eastAsia="Times New Roman" w:cs="Arial"/>
                <w:color w:val="000000" w:themeColor="text1"/>
                <w:spacing w:val="4"/>
                <w:sz w:val="20"/>
                <w:szCs w:val="17"/>
                <w:lang w:val="en-GB"/>
              </w:rPr>
              <w:t>2</w:t>
            </w:r>
            <w:r w:rsidRPr="006447FF">
              <w:rPr>
                <w:rFonts w:eastAsia="Times New Roman" w:cs="Arial"/>
                <w:color w:val="000000" w:themeColor="text1"/>
                <w:spacing w:val="4"/>
                <w:sz w:val="20"/>
                <w:szCs w:val="17"/>
                <w:lang w:val="en-GB"/>
              </w:rPr>
              <w:t>%</w:t>
            </w:r>
          </w:p>
        </w:tc>
        <w:tc>
          <w:tcPr>
            <w:tcW w:w="724" w:type="pct"/>
            <w:tcBorders>
              <w:top w:val="single" w:sz="12" w:space="0" w:color="00B0B9"/>
              <w:bottom w:val="single" w:sz="4" w:space="0" w:color="FFFFFF" w:themeColor="background1"/>
            </w:tcBorders>
            <w:hideMark/>
          </w:tcPr>
          <w:p w14:paraId="3D3BAD3A" w14:textId="270FE8D8" w:rsidR="001404F7" w:rsidRPr="006447FF" w:rsidRDefault="001404F7" w:rsidP="001F2CC2">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58.</w:t>
            </w:r>
            <w:r w:rsidR="001F2CC2">
              <w:rPr>
                <w:rFonts w:eastAsia="Times New Roman" w:cs="Arial"/>
                <w:color w:val="000000" w:themeColor="text1"/>
                <w:spacing w:val="4"/>
                <w:sz w:val="20"/>
                <w:szCs w:val="17"/>
                <w:lang w:val="en-GB"/>
              </w:rPr>
              <w:t>9</w:t>
            </w:r>
            <w:r w:rsidRPr="006447FF">
              <w:rPr>
                <w:rFonts w:eastAsia="Times New Roman" w:cs="Arial"/>
                <w:color w:val="000000" w:themeColor="text1"/>
                <w:spacing w:val="4"/>
                <w:sz w:val="20"/>
                <w:szCs w:val="17"/>
                <w:lang w:val="en-GB"/>
              </w:rPr>
              <w:t>%</w:t>
            </w:r>
          </w:p>
        </w:tc>
      </w:tr>
      <w:tr w:rsidR="001404F7" w:rsidRPr="006447FF" w14:paraId="1F31EF56" w14:textId="77777777" w:rsidTr="001404F7">
        <w:trPr>
          <w:cnfStyle w:val="000000010000" w:firstRow="0" w:lastRow="0" w:firstColumn="0" w:lastColumn="0" w:oddVBand="0" w:evenVBand="0" w:oddHBand="0" w:evenHBand="1" w:firstRowFirstColumn="0" w:firstRowLastColumn="0" w:lastRowFirstColumn="0" w:lastRowLastColumn="0"/>
        </w:trPr>
        <w:tc>
          <w:tcPr>
            <w:tcW w:w="2830" w:type="pct"/>
            <w:tcBorders>
              <w:top w:val="single" w:sz="4" w:space="0" w:color="FFFFFF" w:themeColor="background1"/>
            </w:tcBorders>
            <w:hideMark/>
          </w:tcPr>
          <w:p w14:paraId="5BADC0D2"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olor w:val="000000" w:themeColor="text1"/>
                <w:spacing w:val="4"/>
                <w:sz w:val="20"/>
                <w:szCs w:val="20"/>
                <w:lang w:val="en-GB"/>
              </w:rPr>
              <w:t>Percentage of estimated population of families with children under 16 years of age receiving Family Tax Benefit Part B</w:t>
            </w:r>
            <w:r w:rsidRPr="006447FF">
              <w:rPr>
                <w:rFonts w:eastAsia="Times New Roman"/>
                <w:color w:val="000000" w:themeColor="text1"/>
                <w:spacing w:val="4"/>
                <w:sz w:val="20"/>
                <w:szCs w:val="20"/>
                <w:vertAlign w:val="superscript"/>
                <w:lang w:val="en-GB"/>
              </w:rPr>
              <w:t>b</w:t>
            </w:r>
          </w:p>
        </w:tc>
        <w:tc>
          <w:tcPr>
            <w:tcW w:w="723" w:type="pct"/>
            <w:tcBorders>
              <w:top w:val="single" w:sz="4" w:space="0" w:color="FFFFFF" w:themeColor="background1"/>
            </w:tcBorders>
            <w:hideMark/>
          </w:tcPr>
          <w:p w14:paraId="33CB2A2E" w14:textId="77777777" w:rsidR="001404F7" w:rsidRPr="006D10DC" w:rsidRDefault="001404F7" w:rsidP="001404F7">
            <w:pPr>
              <w:spacing w:before="40" w:after="40"/>
              <w:jc w:val="right"/>
              <w:rPr>
                <w:rFonts w:eastAsia="Times New Roman"/>
                <w:color w:val="FF0000"/>
                <w:spacing w:val="4"/>
                <w:sz w:val="20"/>
                <w:szCs w:val="20"/>
                <w:highlight w:val="yellow"/>
                <w:lang w:val="en-GB"/>
              </w:rPr>
            </w:pPr>
            <w:r w:rsidRPr="009B2A19">
              <w:rPr>
                <w:sz w:val="20"/>
                <w:szCs w:val="20"/>
              </w:rPr>
              <w:t>45.1%</w:t>
            </w:r>
          </w:p>
        </w:tc>
        <w:tc>
          <w:tcPr>
            <w:tcW w:w="723" w:type="pct"/>
            <w:tcBorders>
              <w:top w:val="single" w:sz="4" w:space="0" w:color="FFFFFF" w:themeColor="background1"/>
            </w:tcBorders>
            <w:hideMark/>
          </w:tcPr>
          <w:p w14:paraId="141E0426" w14:textId="28647824" w:rsidR="001404F7" w:rsidRPr="006447FF" w:rsidRDefault="001404F7" w:rsidP="001F2CC2">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47.</w:t>
            </w:r>
            <w:r w:rsidR="001F2CC2">
              <w:rPr>
                <w:rFonts w:eastAsia="Times New Roman"/>
                <w:color w:val="000000" w:themeColor="text1"/>
                <w:spacing w:val="4"/>
                <w:sz w:val="20"/>
                <w:szCs w:val="17"/>
                <w:lang w:val="en-GB"/>
              </w:rPr>
              <w:t>3</w:t>
            </w:r>
            <w:r w:rsidRPr="006447FF">
              <w:rPr>
                <w:rFonts w:eastAsia="Times New Roman"/>
                <w:color w:val="000000" w:themeColor="text1"/>
                <w:spacing w:val="4"/>
                <w:sz w:val="20"/>
                <w:szCs w:val="17"/>
                <w:lang w:val="en-GB"/>
              </w:rPr>
              <w:t>%</w:t>
            </w:r>
          </w:p>
        </w:tc>
        <w:tc>
          <w:tcPr>
            <w:tcW w:w="724" w:type="pct"/>
            <w:tcBorders>
              <w:top w:val="single" w:sz="4" w:space="0" w:color="FFFFFF" w:themeColor="background1"/>
            </w:tcBorders>
            <w:hideMark/>
          </w:tcPr>
          <w:p w14:paraId="5E91ECAF" w14:textId="3161D678" w:rsidR="001404F7" w:rsidRPr="006447FF" w:rsidRDefault="001404F7" w:rsidP="001F2CC2">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49.</w:t>
            </w:r>
            <w:r w:rsidR="001F2CC2">
              <w:rPr>
                <w:rFonts w:eastAsia="Times New Roman"/>
                <w:color w:val="000000" w:themeColor="text1"/>
                <w:spacing w:val="4"/>
                <w:sz w:val="20"/>
                <w:szCs w:val="17"/>
                <w:lang w:val="en-GB"/>
              </w:rPr>
              <w:t>8</w:t>
            </w:r>
            <w:r w:rsidRPr="006447FF">
              <w:rPr>
                <w:rFonts w:eastAsia="Times New Roman"/>
                <w:color w:val="000000" w:themeColor="text1"/>
                <w:spacing w:val="4"/>
                <w:sz w:val="20"/>
                <w:szCs w:val="17"/>
                <w:lang w:val="en-GB"/>
              </w:rPr>
              <w:t>%</w:t>
            </w:r>
          </w:p>
        </w:tc>
      </w:tr>
    </w:tbl>
    <w:p w14:paraId="59B77016" w14:textId="0F83BCA4" w:rsidR="001404F7" w:rsidRPr="009B2A19" w:rsidRDefault="001404F7" w:rsidP="001404F7">
      <w:pPr>
        <w:spacing w:before="160" w:after="60" w:line="240" w:lineRule="auto"/>
        <w:ind w:left="284" w:hanging="284"/>
        <w:contextualSpacing/>
        <w:rPr>
          <w:rFonts w:cs="Arial"/>
          <w:sz w:val="16"/>
          <w:szCs w:val="16"/>
        </w:rPr>
      </w:pPr>
      <w:r w:rsidRPr="006447FF">
        <w:rPr>
          <w:rFonts w:cs="Arial"/>
          <w:sz w:val="16"/>
          <w:szCs w:val="16"/>
        </w:rPr>
        <w:t>a</w:t>
      </w:r>
      <w:r w:rsidRPr="006447FF">
        <w:rPr>
          <w:rFonts w:cs="Arial"/>
          <w:sz w:val="16"/>
          <w:szCs w:val="16"/>
        </w:rPr>
        <w:tab/>
      </w:r>
      <w:r w:rsidRPr="009B2A19">
        <w:rPr>
          <w:rFonts w:cs="Arial"/>
          <w:sz w:val="16"/>
          <w:szCs w:val="16"/>
        </w:rPr>
        <w:t>Reconciliation data reported at June 2020 for 2017–18, June 2019 for 2016–17 and June 2018 for 2015–16.</w:t>
      </w:r>
      <w:r>
        <w:rPr>
          <w:rFonts w:cs="Arial"/>
          <w:sz w:val="16"/>
          <w:szCs w:val="16"/>
        </w:rPr>
        <w:t xml:space="preserve"> </w:t>
      </w:r>
      <w:r w:rsidR="003C5132" w:rsidRPr="006A4767">
        <w:rPr>
          <w:rFonts w:cs="Arial"/>
          <w:sz w:val="16"/>
          <w:szCs w:val="16"/>
        </w:rPr>
        <w:t>FTB reconciliation recipient information is reported after two years to capture future actions in respect of the financial year. The two-year period allows time for the data to capture many recipients lodging income tax returns and undertaking the reconciliation process or claiming a lump sum payment.</w:t>
      </w:r>
    </w:p>
    <w:p w14:paraId="6D53DE85" w14:textId="77777777" w:rsidR="001404F7" w:rsidRDefault="001404F7" w:rsidP="001404F7">
      <w:pPr>
        <w:spacing w:before="160" w:after="240" w:line="240" w:lineRule="auto"/>
        <w:ind w:left="284" w:hanging="284"/>
        <w:contextualSpacing/>
        <w:rPr>
          <w:rFonts w:cs="Arial"/>
          <w:sz w:val="16"/>
          <w:szCs w:val="16"/>
        </w:rPr>
      </w:pPr>
      <w:r w:rsidRPr="009B2A19">
        <w:rPr>
          <w:rFonts w:cs="Arial"/>
          <w:sz w:val="16"/>
          <w:szCs w:val="16"/>
        </w:rPr>
        <w:t>b</w:t>
      </w:r>
      <w:r w:rsidRPr="009B2A19">
        <w:rPr>
          <w:rFonts w:cs="Arial"/>
          <w:sz w:val="16"/>
          <w:szCs w:val="16"/>
        </w:rPr>
        <w:tab/>
        <w:t>Families are only able to receive Family Tax Benefit Part A for children aged 16 and over if they are in full time study towards Year 12 or equivalent. For this reason, comparison against the total population is limited to families with children under 16 years of age. The 2017–18 Australian Bureau of Statistics Survey of Income and Housing (SIH) data was used to estimate the number of families with a child aged under 16. For consistency, the 2016–17 and 2015–16 data have been revised using the same data. The estimates should be treated with caution as the 2017–18 SIH does not take into account families with shared care arrangements.</w:t>
      </w:r>
    </w:p>
    <w:p w14:paraId="458C8F0D" w14:textId="77777777" w:rsidR="001404F7" w:rsidRPr="00292770" w:rsidRDefault="001404F7" w:rsidP="001404F7">
      <w:pPr>
        <w:rPr>
          <w:sz w:val="20"/>
          <w:szCs w:val="20"/>
        </w:rPr>
      </w:pPr>
    </w:p>
    <w:p w14:paraId="3C58AD94" w14:textId="77777777" w:rsidR="001404F7" w:rsidRPr="006447FF"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Pr>
          <w:rFonts w:ascii="Arial Narrow" w:eastAsia="Times New Roman" w:hAnsi="Arial Narrow" w:cs="Times New Roman"/>
          <w:b/>
          <w:bCs/>
          <w:spacing w:val="4"/>
          <w:sz w:val="20"/>
          <w:szCs w:val="18"/>
          <w:lang w:eastAsia="en-AU"/>
        </w:rPr>
        <w:t>Table 2.1.10</w:t>
      </w:r>
      <w:r w:rsidRPr="006447FF">
        <w:rPr>
          <w:rFonts w:ascii="Arial Narrow" w:eastAsia="Times New Roman" w:hAnsi="Arial Narrow" w:cs="Times New Roman"/>
          <w:b/>
          <w:bCs/>
          <w:spacing w:val="4"/>
          <w:sz w:val="20"/>
          <w:szCs w:val="18"/>
          <w:lang w:eastAsia="en-AU"/>
        </w:rPr>
        <w:t>b: Percentage of the targeted population who receive payment</w:t>
      </w:r>
      <w:r>
        <w:rPr>
          <w:rFonts w:ascii="Arial Narrow" w:eastAsia="Times New Roman" w:hAnsi="Arial Narrow" w:cs="Times New Roman"/>
          <w:b/>
          <w:bCs/>
          <w:spacing w:val="4"/>
          <w:sz w:val="20"/>
          <w:szCs w:val="18"/>
          <w:lang w:eastAsia="en-AU"/>
        </w:rPr>
        <w:t xml:space="preserve"> </w:t>
      </w:r>
      <w:r w:rsidRPr="006447FF">
        <w:rPr>
          <w:rFonts w:ascii="Arial Narrow" w:eastAsia="Times New Roman" w:hAnsi="Arial Narrow" w:cs="Times New Roman"/>
          <w:b/>
          <w:bCs/>
          <w:spacing w:val="4"/>
          <w:sz w:val="20"/>
          <w:szCs w:val="18"/>
          <w:lang w:eastAsia="en-AU"/>
        </w:rPr>
        <w:t>—</w:t>
      </w:r>
      <w:r>
        <w:rPr>
          <w:rFonts w:ascii="Arial Narrow" w:eastAsia="Times New Roman" w:hAnsi="Arial Narrow" w:cs="Times New Roman"/>
          <w:b/>
          <w:bCs/>
          <w:spacing w:val="4"/>
          <w:sz w:val="20"/>
          <w:szCs w:val="18"/>
          <w:lang w:eastAsia="en-AU"/>
        </w:rPr>
        <w:t xml:space="preserve"> </w:t>
      </w:r>
      <w:r w:rsidRPr="006447FF">
        <w:rPr>
          <w:rFonts w:ascii="Arial Narrow" w:eastAsia="Times New Roman" w:hAnsi="Arial Narrow" w:cs="Times New Roman"/>
          <w:b/>
          <w:bCs/>
          <w:spacing w:val="4"/>
          <w:sz w:val="20"/>
          <w:szCs w:val="18"/>
          <w:lang w:eastAsia="en-AU"/>
        </w:rPr>
        <w:t>welfare payments (excluding Family Tax Benefit)</w:t>
      </w:r>
    </w:p>
    <w:tbl>
      <w:tblPr>
        <w:tblStyle w:val="HHorizontaltable1"/>
        <w:tblW w:w="5000" w:type="pct"/>
        <w:tblLook w:val="04A0" w:firstRow="1" w:lastRow="0" w:firstColumn="1" w:lastColumn="0" w:noHBand="0" w:noVBand="1"/>
        <w:tblCaption w:val="Table 2.1.10b: Percentage of the targeted population who receive payment - welfare payments (excluding Family Tax Benefit)"/>
        <w:tblDescription w:val="Table 2.1.10b: Percentage of the targeted population who receive payment - welfare payments (excluding Family Tax Benefit)"/>
      </w:tblPr>
      <w:tblGrid>
        <w:gridCol w:w="5277"/>
        <w:gridCol w:w="1249"/>
        <w:gridCol w:w="1249"/>
        <w:gridCol w:w="1251"/>
      </w:tblGrid>
      <w:tr w:rsidR="001404F7" w:rsidRPr="00320858" w14:paraId="4C3453C5" w14:textId="77777777" w:rsidTr="001404F7">
        <w:trPr>
          <w:cnfStyle w:val="100000000000" w:firstRow="1" w:lastRow="0" w:firstColumn="0" w:lastColumn="0" w:oddVBand="0" w:evenVBand="0" w:oddHBand="0" w:evenHBand="0" w:firstRowFirstColumn="0" w:firstRowLastColumn="0" w:lastRowFirstColumn="0" w:lastRowLastColumn="0"/>
          <w:trHeight w:val="317"/>
        </w:trPr>
        <w:tc>
          <w:tcPr>
            <w:tcW w:w="2923" w:type="pct"/>
            <w:hideMark/>
          </w:tcPr>
          <w:p w14:paraId="3107E806" w14:textId="77777777" w:rsidR="001404F7" w:rsidRPr="00D13460" w:rsidRDefault="001404F7" w:rsidP="001404F7">
            <w:pPr>
              <w:keepNext/>
              <w:keepLines/>
              <w:spacing w:before="40" w:after="40"/>
              <w:rPr>
                <w:rFonts w:eastAsia="Times New Roman" w:cs="Times New Roman"/>
                <w:sz w:val="20"/>
                <w:szCs w:val="18"/>
              </w:rPr>
            </w:pPr>
            <w:r w:rsidRPr="00D13460">
              <w:rPr>
                <w:rFonts w:eastAsia="Times New Roman" w:cs="Times New Roman"/>
                <w:sz w:val="20"/>
                <w:szCs w:val="18"/>
              </w:rPr>
              <w:t>Outcome performance measure</w:t>
            </w:r>
          </w:p>
        </w:tc>
        <w:tc>
          <w:tcPr>
            <w:tcW w:w="692" w:type="pct"/>
            <w:hideMark/>
          </w:tcPr>
          <w:p w14:paraId="175CFF2E" w14:textId="77777777" w:rsidR="001404F7" w:rsidRPr="00D13460" w:rsidRDefault="001404F7" w:rsidP="001404F7">
            <w:pPr>
              <w:keepNext/>
              <w:keepLines/>
              <w:spacing w:before="40" w:after="40"/>
              <w:jc w:val="right"/>
              <w:rPr>
                <w:rFonts w:eastAsia="Times New Roman" w:cs="Times New Roman"/>
                <w:sz w:val="20"/>
                <w:szCs w:val="18"/>
              </w:rPr>
            </w:pPr>
            <w:r w:rsidRPr="00D13460">
              <w:rPr>
                <w:rFonts w:eastAsia="Times New Roman" w:cs="Times New Roman"/>
                <w:sz w:val="20"/>
                <w:szCs w:val="18"/>
              </w:rPr>
              <w:t>2019–20</w:t>
            </w:r>
          </w:p>
        </w:tc>
        <w:tc>
          <w:tcPr>
            <w:tcW w:w="692" w:type="pct"/>
            <w:hideMark/>
          </w:tcPr>
          <w:p w14:paraId="65B648BF" w14:textId="77777777" w:rsidR="001404F7" w:rsidRPr="00D13460" w:rsidRDefault="001404F7" w:rsidP="001404F7">
            <w:pPr>
              <w:keepNext/>
              <w:keepLines/>
              <w:spacing w:before="40" w:after="40"/>
              <w:jc w:val="right"/>
              <w:rPr>
                <w:rFonts w:eastAsia="Times New Roman" w:cs="Times New Roman"/>
                <w:sz w:val="20"/>
                <w:szCs w:val="18"/>
              </w:rPr>
            </w:pPr>
            <w:r w:rsidRPr="00D13460">
              <w:rPr>
                <w:rFonts w:eastAsia="Times New Roman" w:cs="Times New Roman"/>
                <w:sz w:val="20"/>
                <w:szCs w:val="18"/>
              </w:rPr>
              <w:t>2018–19</w:t>
            </w:r>
          </w:p>
        </w:tc>
        <w:tc>
          <w:tcPr>
            <w:tcW w:w="693" w:type="pct"/>
            <w:hideMark/>
          </w:tcPr>
          <w:p w14:paraId="1D11BAB4" w14:textId="77777777" w:rsidR="001404F7" w:rsidRPr="00D13460" w:rsidRDefault="001404F7" w:rsidP="001404F7">
            <w:pPr>
              <w:keepNext/>
              <w:keepLines/>
              <w:spacing w:before="40" w:after="40"/>
              <w:jc w:val="right"/>
              <w:rPr>
                <w:rFonts w:eastAsia="Times New Roman" w:cs="Times New Roman"/>
                <w:sz w:val="20"/>
                <w:szCs w:val="18"/>
              </w:rPr>
            </w:pPr>
            <w:r w:rsidRPr="00D13460">
              <w:rPr>
                <w:rFonts w:eastAsia="Times New Roman" w:cs="Times New Roman"/>
                <w:sz w:val="20"/>
                <w:szCs w:val="18"/>
              </w:rPr>
              <w:t>2017–18</w:t>
            </w:r>
          </w:p>
        </w:tc>
      </w:tr>
      <w:tr w:rsidR="001404F7" w:rsidRPr="006447FF" w14:paraId="29A336AD"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4"/>
            <w:tcBorders>
              <w:bottom w:val="single" w:sz="12" w:space="0" w:color="00B0B9"/>
            </w:tcBorders>
            <w:hideMark/>
          </w:tcPr>
          <w:p w14:paraId="0E7E983E" w14:textId="77777777" w:rsidR="001404F7" w:rsidRPr="006447FF" w:rsidRDefault="001404F7" w:rsidP="001404F7">
            <w:pPr>
              <w:keepNext/>
              <w:keepLines/>
              <w:spacing w:before="40" w:after="40"/>
              <w:rPr>
                <w:rFonts w:eastAsia="Times New Roman" w:cs="Times New Roman"/>
                <w:b/>
                <w:color w:val="000000" w:themeColor="text1"/>
                <w:sz w:val="20"/>
                <w:szCs w:val="20"/>
              </w:rPr>
            </w:pPr>
            <w:r w:rsidRPr="006447FF">
              <w:rPr>
                <w:rFonts w:eastAsia="Times New Roman" w:cs="Times New Roman"/>
                <w:b/>
                <w:color w:val="000000" w:themeColor="text1"/>
                <w:sz w:val="20"/>
                <w:szCs w:val="20"/>
              </w:rPr>
              <w:t>Income Support for Seniors</w:t>
            </w:r>
          </w:p>
        </w:tc>
      </w:tr>
      <w:tr w:rsidR="001404F7" w:rsidRPr="006447FF" w14:paraId="614220F1" w14:textId="77777777" w:rsidTr="001404F7">
        <w:trPr>
          <w:cnfStyle w:val="000000010000" w:firstRow="0" w:lastRow="0" w:firstColumn="0" w:lastColumn="0" w:oddVBand="0" w:evenVBand="0" w:oddHBand="0" w:evenHBand="1" w:firstRowFirstColumn="0" w:firstRowLastColumn="0" w:lastRowFirstColumn="0" w:lastRowLastColumn="0"/>
        </w:trPr>
        <w:tc>
          <w:tcPr>
            <w:tcW w:w="2923" w:type="pct"/>
            <w:tcBorders>
              <w:top w:val="single" w:sz="12" w:space="0" w:color="00B0B9"/>
              <w:bottom w:val="single" w:sz="4" w:space="0" w:color="FFFFFF" w:themeColor="background1"/>
            </w:tcBorders>
            <w:hideMark/>
          </w:tcPr>
          <w:p w14:paraId="75754E81"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olor w:val="000000" w:themeColor="text1"/>
                <w:spacing w:val="4"/>
                <w:sz w:val="20"/>
                <w:szCs w:val="20"/>
                <w:lang w:val="en-GB"/>
              </w:rPr>
              <w:t xml:space="preserve">Percentage of estimated population of senior Australians over 65 years who receive Age </w:t>
            </w:r>
            <w:proofErr w:type="spellStart"/>
            <w:r w:rsidRPr="006447FF">
              <w:rPr>
                <w:rFonts w:eastAsia="Times New Roman"/>
                <w:color w:val="000000" w:themeColor="text1"/>
                <w:spacing w:val="4"/>
                <w:sz w:val="20"/>
                <w:szCs w:val="20"/>
                <w:lang w:val="en-GB"/>
              </w:rPr>
              <w:t>Pension</w:t>
            </w:r>
            <w:r w:rsidRPr="006447FF">
              <w:rPr>
                <w:rFonts w:eastAsia="Times New Roman"/>
                <w:color w:val="000000" w:themeColor="text1"/>
                <w:spacing w:val="4"/>
                <w:sz w:val="20"/>
                <w:szCs w:val="20"/>
                <w:vertAlign w:val="superscript"/>
                <w:lang w:val="en-GB"/>
              </w:rPr>
              <w:t>a</w:t>
            </w:r>
            <w:proofErr w:type="spellEnd"/>
          </w:p>
        </w:tc>
        <w:tc>
          <w:tcPr>
            <w:tcW w:w="692" w:type="pct"/>
            <w:tcBorders>
              <w:top w:val="single" w:sz="12" w:space="0" w:color="00B0B9"/>
              <w:bottom w:val="single" w:sz="4" w:space="0" w:color="FFFFFF" w:themeColor="background1"/>
            </w:tcBorders>
            <w:hideMark/>
          </w:tcPr>
          <w:p w14:paraId="3051ABE4" w14:textId="77777777" w:rsidR="001404F7" w:rsidRPr="009B2A19" w:rsidRDefault="001404F7" w:rsidP="001404F7">
            <w:pPr>
              <w:spacing w:before="40" w:after="40"/>
              <w:jc w:val="right"/>
              <w:rPr>
                <w:rFonts w:eastAsia="Times New Roman"/>
                <w:spacing w:val="4"/>
                <w:sz w:val="20"/>
                <w:szCs w:val="17"/>
                <w:lang w:val="en-GB"/>
              </w:rPr>
            </w:pPr>
            <w:r w:rsidRPr="009B2A19">
              <w:rPr>
                <w:rFonts w:eastAsia="Times New Roman"/>
                <w:spacing w:val="4"/>
                <w:sz w:val="20"/>
                <w:szCs w:val="17"/>
                <w:lang w:val="en-GB"/>
              </w:rPr>
              <w:t>65.9%</w:t>
            </w:r>
          </w:p>
        </w:tc>
        <w:tc>
          <w:tcPr>
            <w:tcW w:w="692" w:type="pct"/>
            <w:tcBorders>
              <w:top w:val="single" w:sz="12" w:space="0" w:color="00B0B9"/>
              <w:bottom w:val="single" w:sz="4" w:space="0" w:color="FFFFFF" w:themeColor="background1"/>
            </w:tcBorders>
            <w:hideMark/>
          </w:tcPr>
          <w:p w14:paraId="483C1B93"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65.1%</w:t>
            </w:r>
          </w:p>
        </w:tc>
        <w:tc>
          <w:tcPr>
            <w:tcW w:w="693" w:type="pct"/>
            <w:tcBorders>
              <w:top w:val="single" w:sz="12" w:space="0" w:color="00B0B9"/>
              <w:bottom w:val="single" w:sz="4" w:space="0" w:color="FFFFFF" w:themeColor="background1"/>
            </w:tcBorders>
            <w:hideMark/>
          </w:tcPr>
          <w:p w14:paraId="44FAB6C3"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65.3%</w:t>
            </w:r>
          </w:p>
        </w:tc>
      </w:tr>
      <w:tr w:rsidR="001404F7" w:rsidRPr="006447FF" w14:paraId="52CC5E73"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4"/>
            <w:tcBorders>
              <w:top w:val="single" w:sz="4" w:space="0" w:color="FFFFFF" w:themeColor="background1"/>
              <w:bottom w:val="single" w:sz="12" w:space="0" w:color="00B0B9"/>
            </w:tcBorders>
            <w:hideMark/>
          </w:tcPr>
          <w:p w14:paraId="40F6B00B" w14:textId="77777777" w:rsidR="001404F7" w:rsidRPr="006447FF" w:rsidRDefault="001404F7" w:rsidP="001404F7">
            <w:pPr>
              <w:keepNext/>
              <w:keepLines/>
              <w:spacing w:before="40" w:after="40"/>
              <w:rPr>
                <w:rFonts w:eastAsia="Times New Roman" w:cs="Times New Roman"/>
                <w:b/>
                <w:color w:val="000000" w:themeColor="text1"/>
                <w:sz w:val="20"/>
                <w:szCs w:val="20"/>
              </w:rPr>
            </w:pPr>
            <w:r w:rsidRPr="006447FF">
              <w:rPr>
                <w:rFonts w:eastAsia="Times New Roman" w:cs="Times New Roman"/>
                <w:b/>
                <w:color w:val="000000" w:themeColor="text1"/>
                <w:sz w:val="20"/>
                <w:szCs w:val="20"/>
              </w:rPr>
              <w:t>Income Support for People with Disability</w:t>
            </w:r>
          </w:p>
        </w:tc>
      </w:tr>
      <w:tr w:rsidR="001404F7" w:rsidRPr="006447FF" w14:paraId="638803D3" w14:textId="77777777" w:rsidTr="001404F7">
        <w:trPr>
          <w:cnfStyle w:val="000000010000" w:firstRow="0" w:lastRow="0" w:firstColumn="0" w:lastColumn="0" w:oddVBand="0" w:evenVBand="0" w:oddHBand="0" w:evenHBand="1" w:firstRowFirstColumn="0" w:firstRowLastColumn="0" w:lastRowFirstColumn="0" w:lastRowLastColumn="0"/>
        </w:trPr>
        <w:tc>
          <w:tcPr>
            <w:tcW w:w="2923" w:type="pct"/>
            <w:tcBorders>
              <w:top w:val="single" w:sz="12" w:space="0" w:color="00B0B9"/>
              <w:bottom w:val="single" w:sz="4" w:space="0" w:color="FFFFFF" w:themeColor="background1"/>
            </w:tcBorders>
            <w:hideMark/>
          </w:tcPr>
          <w:p w14:paraId="0550546C"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olor w:val="000000" w:themeColor="text1"/>
                <w:spacing w:val="4"/>
                <w:sz w:val="20"/>
                <w:szCs w:val="20"/>
                <w:lang w:val="en-GB"/>
              </w:rPr>
              <w:t xml:space="preserve">Percentage of estimated population of people with disability who receive Disability Support </w:t>
            </w:r>
            <w:proofErr w:type="spellStart"/>
            <w:r w:rsidRPr="006447FF">
              <w:rPr>
                <w:rFonts w:eastAsia="Times New Roman"/>
                <w:color w:val="000000" w:themeColor="text1"/>
                <w:spacing w:val="4"/>
                <w:sz w:val="20"/>
                <w:szCs w:val="20"/>
                <w:lang w:val="en-GB"/>
              </w:rPr>
              <w:t>Pension</w:t>
            </w:r>
            <w:r w:rsidRPr="006447FF">
              <w:rPr>
                <w:rFonts w:eastAsia="Times New Roman"/>
                <w:color w:val="000000" w:themeColor="text1"/>
                <w:spacing w:val="4"/>
                <w:sz w:val="20"/>
                <w:szCs w:val="20"/>
                <w:vertAlign w:val="superscript"/>
                <w:lang w:val="en-GB"/>
              </w:rPr>
              <w:t>b</w:t>
            </w:r>
            <w:proofErr w:type="spellEnd"/>
          </w:p>
        </w:tc>
        <w:tc>
          <w:tcPr>
            <w:tcW w:w="692" w:type="pct"/>
            <w:tcBorders>
              <w:top w:val="single" w:sz="12" w:space="0" w:color="00B0B9"/>
              <w:bottom w:val="single" w:sz="4" w:space="0" w:color="FFFFFF" w:themeColor="background1"/>
            </w:tcBorders>
            <w:hideMark/>
          </w:tcPr>
          <w:p w14:paraId="75C36343" w14:textId="77777777" w:rsidR="001404F7" w:rsidRPr="00554C26" w:rsidRDefault="001404F7" w:rsidP="001404F7">
            <w:pPr>
              <w:spacing w:before="40" w:after="40"/>
              <w:jc w:val="right"/>
              <w:rPr>
                <w:rFonts w:eastAsia="Times New Roman"/>
                <w:color w:val="FF0000"/>
                <w:spacing w:val="4"/>
                <w:sz w:val="20"/>
                <w:szCs w:val="17"/>
                <w:highlight w:val="yellow"/>
                <w:lang w:val="en-GB"/>
              </w:rPr>
            </w:pPr>
            <w:r w:rsidRPr="009B2A19">
              <w:rPr>
                <w:rFonts w:eastAsia="Times New Roman"/>
                <w:spacing w:val="4"/>
                <w:sz w:val="20"/>
                <w:szCs w:val="17"/>
                <w:lang w:val="en-GB"/>
              </w:rPr>
              <w:t>17.3%</w:t>
            </w:r>
          </w:p>
        </w:tc>
        <w:tc>
          <w:tcPr>
            <w:tcW w:w="692" w:type="pct"/>
            <w:tcBorders>
              <w:top w:val="single" w:sz="12" w:space="0" w:color="00B0B9"/>
              <w:bottom w:val="single" w:sz="4" w:space="0" w:color="FFFFFF" w:themeColor="background1"/>
            </w:tcBorders>
            <w:hideMark/>
          </w:tcPr>
          <w:p w14:paraId="63C3EBBC"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17.4%</w:t>
            </w:r>
          </w:p>
        </w:tc>
        <w:tc>
          <w:tcPr>
            <w:tcW w:w="693" w:type="pct"/>
            <w:tcBorders>
              <w:top w:val="single" w:sz="12" w:space="0" w:color="00B0B9"/>
              <w:bottom w:val="single" w:sz="4" w:space="0" w:color="FFFFFF" w:themeColor="background1"/>
            </w:tcBorders>
            <w:hideMark/>
          </w:tcPr>
          <w:p w14:paraId="6E3788CD"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17.6%</w:t>
            </w:r>
          </w:p>
        </w:tc>
      </w:tr>
      <w:tr w:rsidR="001404F7" w:rsidRPr="006447FF" w14:paraId="24FB24B5" w14:textId="77777777" w:rsidTr="001404F7">
        <w:trPr>
          <w:cnfStyle w:val="000000100000" w:firstRow="0" w:lastRow="0" w:firstColumn="0" w:lastColumn="0" w:oddVBand="0" w:evenVBand="0" w:oddHBand="1" w:evenHBand="0" w:firstRowFirstColumn="0" w:firstRowLastColumn="0" w:lastRowFirstColumn="0" w:lastRowLastColumn="0"/>
        </w:trPr>
        <w:tc>
          <w:tcPr>
            <w:tcW w:w="2923" w:type="pct"/>
            <w:tcBorders>
              <w:top w:val="single" w:sz="4" w:space="0" w:color="FFFFFF" w:themeColor="background1"/>
            </w:tcBorders>
            <w:hideMark/>
          </w:tcPr>
          <w:p w14:paraId="7407B075"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 xml:space="preserve">Percentage of estimated Australian working age population who receive Disability Support </w:t>
            </w:r>
            <w:proofErr w:type="spellStart"/>
            <w:r w:rsidRPr="006447FF">
              <w:rPr>
                <w:rFonts w:eastAsia="Times New Roman" w:cs="Arial"/>
                <w:color w:val="000000" w:themeColor="text1"/>
                <w:spacing w:val="4"/>
                <w:sz w:val="20"/>
                <w:szCs w:val="20"/>
                <w:lang w:val="en-GB"/>
              </w:rPr>
              <w:t>Pension</w:t>
            </w:r>
            <w:r w:rsidRPr="006447FF">
              <w:rPr>
                <w:rFonts w:eastAsia="Times New Roman" w:cs="Arial"/>
                <w:color w:val="000000" w:themeColor="text1"/>
                <w:spacing w:val="4"/>
                <w:sz w:val="20"/>
                <w:szCs w:val="20"/>
                <w:vertAlign w:val="superscript"/>
                <w:lang w:val="en-GB"/>
              </w:rPr>
              <w:t>c</w:t>
            </w:r>
            <w:proofErr w:type="spellEnd"/>
          </w:p>
        </w:tc>
        <w:tc>
          <w:tcPr>
            <w:tcW w:w="692" w:type="pct"/>
            <w:tcBorders>
              <w:top w:val="single" w:sz="4" w:space="0" w:color="FFFFFF" w:themeColor="background1"/>
            </w:tcBorders>
            <w:hideMark/>
          </w:tcPr>
          <w:p w14:paraId="66096D8A" w14:textId="77777777" w:rsidR="001404F7" w:rsidRPr="00554C26" w:rsidRDefault="001404F7" w:rsidP="001404F7">
            <w:pPr>
              <w:spacing w:before="40" w:after="40"/>
              <w:jc w:val="right"/>
              <w:rPr>
                <w:rFonts w:eastAsia="Times New Roman" w:cs="Arial"/>
                <w:color w:val="FF0000"/>
                <w:spacing w:val="4"/>
                <w:sz w:val="20"/>
                <w:szCs w:val="17"/>
                <w:highlight w:val="yellow"/>
                <w:lang w:val="en-GB"/>
              </w:rPr>
            </w:pPr>
            <w:r w:rsidRPr="009B2A19">
              <w:rPr>
                <w:rFonts w:eastAsia="Times New Roman" w:cs="Arial"/>
                <w:spacing w:val="4"/>
                <w:sz w:val="20"/>
                <w:szCs w:val="17"/>
                <w:lang w:val="en-GB"/>
              </w:rPr>
              <w:t>3.9%</w:t>
            </w:r>
          </w:p>
        </w:tc>
        <w:tc>
          <w:tcPr>
            <w:tcW w:w="692" w:type="pct"/>
            <w:tcBorders>
              <w:top w:val="single" w:sz="4" w:space="0" w:color="FFFFFF" w:themeColor="background1"/>
            </w:tcBorders>
            <w:hideMark/>
          </w:tcPr>
          <w:p w14:paraId="12BC3CD9"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4.0%</w:t>
            </w:r>
          </w:p>
        </w:tc>
        <w:tc>
          <w:tcPr>
            <w:tcW w:w="693" w:type="pct"/>
            <w:tcBorders>
              <w:top w:val="single" w:sz="4" w:space="0" w:color="FFFFFF" w:themeColor="background1"/>
            </w:tcBorders>
            <w:hideMark/>
          </w:tcPr>
          <w:p w14:paraId="5A771205"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4.2%</w:t>
            </w:r>
          </w:p>
        </w:tc>
      </w:tr>
      <w:tr w:rsidR="001404F7" w:rsidRPr="006447FF" w14:paraId="32885E40"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4"/>
            <w:tcBorders>
              <w:bottom w:val="single" w:sz="12" w:space="0" w:color="00B0B9"/>
            </w:tcBorders>
            <w:hideMark/>
          </w:tcPr>
          <w:p w14:paraId="51BBF3E4" w14:textId="77777777" w:rsidR="001404F7" w:rsidRPr="006447FF" w:rsidRDefault="001404F7" w:rsidP="001404F7">
            <w:pPr>
              <w:keepNext/>
              <w:keepLines/>
              <w:spacing w:before="40" w:after="40"/>
              <w:rPr>
                <w:rFonts w:eastAsia="Times New Roman" w:cs="Times New Roman"/>
                <w:b/>
                <w:color w:val="000000" w:themeColor="text1"/>
                <w:sz w:val="20"/>
                <w:szCs w:val="20"/>
              </w:rPr>
            </w:pPr>
            <w:r w:rsidRPr="006447FF">
              <w:rPr>
                <w:rFonts w:eastAsia="Times New Roman" w:cs="Times New Roman"/>
                <w:b/>
                <w:color w:val="000000" w:themeColor="text1"/>
                <w:sz w:val="20"/>
                <w:szCs w:val="20"/>
              </w:rPr>
              <w:t>Income Support for Carers</w:t>
            </w:r>
          </w:p>
        </w:tc>
      </w:tr>
      <w:tr w:rsidR="001404F7" w:rsidRPr="006447FF" w14:paraId="3966671C" w14:textId="77777777" w:rsidTr="001404F7">
        <w:trPr>
          <w:cnfStyle w:val="000000100000" w:firstRow="0" w:lastRow="0" w:firstColumn="0" w:lastColumn="0" w:oddVBand="0" w:evenVBand="0" w:oddHBand="1" w:evenHBand="0" w:firstRowFirstColumn="0" w:firstRowLastColumn="0" w:lastRowFirstColumn="0" w:lastRowLastColumn="0"/>
        </w:trPr>
        <w:tc>
          <w:tcPr>
            <w:tcW w:w="2923" w:type="pct"/>
            <w:tcBorders>
              <w:top w:val="single" w:sz="12" w:space="0" w:color="00B0B9"/>
              <w:bottom w:val="single" w:sz="4" w:space="0" w:color="FFFFFF" w:themeColor="background1"/>
            </w:tcBorders>
            <w:hideMark/>
          </w:tcPr>
          <w:p w14:paraId="349490B9"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 xml:space="preserve">Percentage of primary carers who are receiving Carer </w:t>
            </w:r>
            <w:proofErr w:type="spellStart"/>
            <w:r w:rsidRPr="006447FF">
              <w:rPr>
                <w:rFonts w:eastAsia="Times New Roman" w:cs="Arial"/>
                <w:color w:val="000000" w:themeColor="text1"/>
                <w:spacing w:val="4"/>
                <w:sz w:val="20"/>
                <w:szCs w:val="20"/>
                <w:lang w:val="en-GB"/>
              </w:rPr>
              <w:t>Payment</w:t>
            </w:r>
            <w:r w:rsidRPr="006447FF">
              <w:rPr>
                <w:rFonts w:eastAsia="Times New Roman" w:cs="Arial"/>
                <w:color w:val="000000" w:themeColor="text1"/>
                <w:spacing w:val="4"/>
                <w:sz w:val="20"/>
                <w:szCs w:val="20"/>
                <w:vertAlign w:val="superscript"/>
                <w:lang w:val="en-GB"/>
              </w:rPr>
              <w:t>d</w:t>
            </w:r>
            <w:proofErr w:type="spellEnd"/>
          </w:p>
        </w:tc>
        <w:tc>
          <w:tcPr>
            <w:tcW w:w="692" w:type="pct"/>
            <w:tcBorders>
              <w:top w:val="single" w:sz="12" w:space="0" w:color="00B0B9"/>
              <w:bottom w:val="single" w:sz="4" w:space="0" w:color="FFFFFF" w:themeColor="background1"/>
            </w:tcBorders>
            <w:hideMark/>
          </w:tcPr>
          <w:p w14:paraId="4280CA05" w14:textId="77777777" w:rsidR="001404F7" w:rsidRPr="00554C26" w:rsidRDefault="001404F7" w:rsidP="001404F7">
            <w:pPr>
              <w:spacing w:before="40" w:after="40"/>
              <w:jc w:val="right"/>
              <w:rPr>
                <w:rFonts w:eastAsia="Times New Roman" w:cs="Arial"/>
                <w:color w:val="FF0000"/>
                <w:spacing w:val="4"/>
                <w:sz w:val="20"/>
                <w:szCs w:val="17"/>
                <w:highlight w:val="yellow"/>
                <w:lang w:val="en-GB"/>
              </w:rPr>
            </w:pPr>
            <w:r w:rsidRPr="009B2A19">
              <w:rPr>
                <w:rFonts w:eastAsia="Times New Roman" w:cs="Arial"/>
                <w:spacing w:val="4"/>
                <w:sz w:val="20"/>
                <w:szCs w:val="17"/>
                <w:lang w:val="en-GB"/>
              </w:rPr>
              <w:t>34.2%</w:t>
            </w:r>
          </w:p>
        </w:tc>
        <w:tc>
          <w:tcPr>
            <w:tcW w:w="692" w:type="pct"/>
            <w:tcBorders>
              <w:top w:val="single" w:sz="12" w:space="0" w:color="00B0B9"/>
              <w:bottom w:val="single" w:sz="4" w:space="0" w:color="FFFFFF" w:themeColor="background1"/>
            </w:tcBorders>
            <w:hideMark/>
          </w:tcPr>
          <w:p w14:paraId="61D30039"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33.0%</w:t>
            </w:r>
          </w:p>
        </w:tc>
        <w:tc>
          <w:tcPr>
            <w:tcW w:w="693" w:type="pct"/>
            <w:tcBorders>
              <w:top w:val="single" w:sz="12" w:space="0" w:color="00B0B9"/>
              <w:bottom w:val="single" w:sz="4" w:space="0" w:color="FFFFFF" w:themeColor="background1"/>
            </w:tcBorders>
            <w:hideMark/>
          </w:tcPr>
          <w:p w14:paraId="76BC85D0" w14:textId="77777777" w:rsidR="001404F7" w:rsidRPr="006447FF" w:rsidRDefault="001404F7" w:rsidP="001404F7">
            <w:pPr>
              <w:spacing w:before="40" w:after="40"/>
              <w:jc w:val="right"/>
              <w:rPr>
                <w:rFonts w:eastAsia="Times New Roman" w:cs="Arial"/>
                <w:color w:val="000000" w:themeColor="text1"/>
                <w:spacing w:val="4"/>
                <w:sz w:val="20"/>
                <w:szCs w:val="17"/>
                <w:lang w:val="en-GB"/>
              </w:rPr>
            </w:pPr>
            <w:r w:rsidRPr="006447FF">
              <w:rPr>
                <w:rFonts w:eastAsia="Times New Roman" w:cs="Arial"/>
                <w:color w:val="000000" w:themeColor="text1"/>
                <w:spacing w:val="4"/>
                <w:sz w:val="20"/>
                <w:szCs w:val="17"/>
                <w:lang w:val="en-GB"/>
              </w:rPr>
              <w:t>32.1%</w:t>
            </w:r>
          </w:p>
        </w:tc>
      </w:tr>
      <w:tr w:rsidR="001404F7" w:rsidRPr="006447FF" w14:paraId="27E86D1B" w14:textId="77777777" w:rsidTr="001404F7">
        <w:trPr>
          <w:cnfStyle w:val="000000010000" w:firstRow="0" w:lastRow="0" w:firstColumn="0" w:lastColumn="0" w:oddVBand="0" w:evenVBand="0" w:oddHBand="0" w:evenHBand="1" w:firstRowFirstColumn="0" w:firstRowLastColumn="0" w:lastRowFirstColumn="0" w:lastRowLastColumn="0"/>
        </w:trPr>
        <w:tc>
          <w:tcPr>
            <w:tcW w:w="2923" w:type="pct"/>
            <w:tcBorders>
              <w:top w:val="single" w:sz="4" w:space="0" w:color="FFFFFF" w:themeColor="background1"/>
            </w:tcBorders>
            <w:hideMark/>
          </w:tcPr>
          <w:p w14:paraId="288E8267"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olor w:val="000000" w:themeColor="text1"/>
                <w:spacing w:val="4"/>
                <w:sz w:val="20"/>
                <w:szCs w:val="20"/>
                <w:lang w:val="en-GB"/>
              </w:rPr>
              <w:t>Percentage of primary carers who are receiving Carer Allowance (Adult) and (Child)</w:t>
            </w:r>
            <w:r w:rsidRPr="006447FF">
              <w:rPr>
                <w:rFonts w:eastAsia="Times New Roman"/>
                <w:color w:val="000000" w:themeColor="text1"/>
                <w:spacing w:val="4"/>
                <w:sz w:val="20"/>
                <w:szCs w:val="20"/>
                <w:vertAlign w:val="superscript"/>
                <w:lang w:val="en-GB"/>
              </w:rPr>
              <w:t>e</w:t>
            </w:r>
          </w:p>
        </w:tc>
        <w:tc>
          <w:tcPr>
            <w:tcW w:w="692" w:type="pct"/>
            <w:tcBorders>
              <w:top w:val="single" w:sz="4" w:space="0" w:color="FFFFFF" w:themeColor="background1"/>
            </w:tcBorders>
            <w:hideMark/>
          </w:tcPr>
          <w:p w14:paraId="7E2D6C1A" w14:textId="77777777" w:rsidR="001404F7" w:rsidRPr="00554C26" w:rsidRDefault="001404F7" w:rsidP="001404F7">
            <w:pPr>
              <w:spacing w:before="40" w:after="40"/>
              <w:jc w:val="right"/>
              <w:rPr>
                <w:rFonts w:eastAsia="Times New Roman"/>
                <w:color w:val="FF0000"/>
                <w:spacing w:val="4"/>
                <w:sz w:val="20"/>
                <w:szCs w:val="17"/>
                <w:highlight w:val="yellow"/>
                <w:lang w:val="en-GB"/>
              </w:rPr>
            </w:pPr>
            <w:r w:rsidRPr="009B2A19">
              <w:rPr>
                <w:rFonts w:eastAsia="Times New Roman"/>
                <w:spacing w:val="4"/>
                <w:sz w:val="20"/>
                <w:szCs w:val="17"/>
                <w:lang w:val="en-GB"/>
              </w:rPr>
              <w:t>71.8%</w:t>
            </w:r>
          </w:p>
        </w:tc>
        <w:tc>
          <w:tcPr>
            <w:tcW w:w="692" w:type="pct"/>
            <w:tcBorders>
              <w:top w:val="single" w:sz="4" w:space="0" w:color="FFFFFF" w:themeColor="background1"/>
            </w:tcBorders>
            <w:hideMark/>
          </w:tcPr>
          <w:p w14:paraId="2F99149D"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72.5%</w:t>
            </w:r>
          </w:p>
        </w:tc>
        <w:tc>
          <w:tcPr>
            <w:tcW w:w="693" w:type="pct"/>
            <w:tcBorders>
              <w:top w:val="single" w:sz="4" w:space="0" w:color="FFFFFF" w:themeColor="background1"/>
            </w:tcBorders>
            <w:hideMark/>
          </w:tcPr>
          <w:p w14:paraId="1EB8858E" w14:textId="77777777" w:rsidR="001404F7" w:rsidRPr="006447FF" w:rsidRDefault="001404F7" w:rsidP="001404F7">
            <w:pPr>
              <w:spacing w:before="40" w:after="40"/>
              <w:jc w:val="right"/>
              <w:rPr>
                <w:rFonts w:eastAsia="Times New Roman"/>
                <w:color w:val="000000" w:themeColor="text1"/>
                <w:spacing w:val="4"/>
                <w:sz w:val="20"/>
                <w:szCs w:val="17"/>
                <w:lang w:val="en-GB"/>
              </w:rPr>
            </w:pPr>
            <w:r w:rsidRPr="006447FF">
              <w:rPr>
                <w:rFonts w:eastAsia="Times New Roman"/>
                <w:color w:val="000000" w:themeColor="text1"/>
                <w:spacing w:val="4"/>
                <w:sz w:val="20"/>
                <w:szCs w:val="17"/>
                <w:lang w:val="en-GB"/>
              </w:rPr>
              <w:t>72.7%</w:t>
            </w:r>
          </w:p>
        </w:tc>
      </w:tr>
    </w:tbl>
    <w:p w14:paraId="1AAE7A74" w14:textId="77777777" w:rsidR="001404F7" w:rsidRPr="009B2A19" w:rsidRDefault="001404F7" w:rsidP="001404F7">
      <w:pPr>
        <w:spacing w:before="240" w:after="60" w:line="240" w:lineRule="auto"/>
        <w:ind w:left="284" w:hanging="284"/>
        <w:contextualSpacing/>
        <w:rPr>
          <w:rFonts w:cs="Arial"/>
          <w:sz w:val="16"/>
          <w:szCs w:val="16"/>
        </w:rPr>
      </w:pPr>
      <w:proofErr w:type="spellStart"/>
      <w:r w:rsidRPr="006447FF">
        <w:rPr>
          <w:rFonts w:cs="Arial"/>
          <w:sz w:val="16"/>
          <w:szCs w:val="16"/>
        </w:rPr>
        <w:t>a</w:t>
      </w:r>
      <w:proofErr w:type="spellEnd"/>
      <w:r w:rsidRPr="006447FF">
        <w:rPr>
          <w:rFonts w:cs="Arial"/>
          <w:sz w:val="16"/>
          <w:szCs w:val="16"/>
        </w:rPr>
        <w:tab/>
      </w:r>
      <w:r w:rsidRPr="009B2A19">
        <w:rPr>
          <w:rFonts w:cs="Arial"/>
          <w:sz w:val="16"/>
          <w:szCs w:val="16"/>
        </w:rPr>
        <w:t>These results are point-in-time counts of Age Pension recipients and the Australian Bureau of Statistics (cat. no. 3222.0 Population Projections, Australia, 2017 (base) to 2066) data on the seniors population aged 66 years and over.</w:t>
      </w:r>
    </w:p>
    <w:p w14:paraId="329C7F38" w14:textId="77777777" w:rsidR="001404F7" w:rsidRPr="009B2A19" w:rsidRDefault="001404F7" w:rsidP="001404F7">
      <w:pPr>
        <w:spacing w:before="160" w:after="60" w:line="240" w:lineRule="auto"/>
        <w:ind w:left="284" w:hanging="284"/>
        <w:contextualSpacing/>
        <w:rPr>
          <w:rFonts w:cs="Arial"/>
          <w:sz w:val="16"/>
          <w:szCs w:val="16"/>
        </w:rPr>
      </w:pPr>
      <w:r w:rsidRPr="009B2A19">
        <w:rPr>
          <w:rFonts w:cs="Arial"/>
          <w:sz w:val="16"/>
          <w:szCs w:val="16"/>
        </w:rPr>
        <w:t>b</w:t>
      </w:r>
      <w:r w:rsidRPr="009B2A19">
        <w:rPr>
          <w:rFonts w:cs="Arial"/>
          <w:sz w:val="16"/>
          <w:szCs w:val="16"/>
        </w:rPr>
        <w:tab/>
        <w:t>These results are derived from the 2018 Australian Bureau of Statistics Survey of Disability, Ageing and Carers (cat. no. 4430.0) and report the number of people with disability. Not all people with disability have a work limitation or rely on the Disability Support Pension.</w:t>
      </w:r>
    </w:p>
    <w:p w14:paraId="38C96155" w14:textId="77777777" w:rsidR="001404F7" w:rsidRPr="009B2A19" w:rsidRDefault="001404F7" w:rsidP="001404F7">
      <w:pPr>
        <w:spacing w:before="160" w:after="60" w:line="240" w:lineRule="auto"/>
        <w:ind w:left="284" w:hanging="284"/>
        <w:contextualSpacing/>
        <w:rPr>
          <w:rFonts w:cs="Arial"/>
          <w:sz w:val="16"/>
          <w:szCs w:val="16"/>
        </w:rPr>
      </w:pPr>
      <w:r w:rsidRPr="009B2A19">
        <w:rPr>
          <w:rFonts w:cs="Arial"/>
          <w:sz w:val="16"/>
          <w:szCs w:val="16"/>
        </w:rPr>
        <w:t>c</w:t>
      </w:r>
      <w:r w:rsidRPr="009B2A19">
        <w:rPr>
          <w:rFonts w:cs="Arial"/>
          <w:sz w:val="16"/>
          <w:szCs w:val="16"/>
        </w:rPr>
        <w:tab/>
        <w:t>These results are point-in-time counts of Disability Support Pension recipients of working age and the Australian Bureau of Statistics (cat. no. 3222.0 Population Projections, Australia, 2017 (base) to 2066) data on the working</w:t>
      </w:r>
      <w:r>
        <w:rPr>
          <w:rFonts w:cs="Arial"/>
          <w:sz w:val="16"/>
          <w:szCs w:val="16"/>
        </w:rPr>
        <w:t xml:space="preserve"> </w:t>
      </w:r>
      <w:r w:rsidRPr="009B2A19">
        <w:rPr>
          <w:rFonts w:cs="Arial"/>
          <w:sz w:val="16"/>
          <w:szCs w:val="16"/>
        </w:rPr>
        <w:t>age population aged 15–64 years.</w:t>
      </w:r>
    </w:p>
    <w:p w14:paraId="20A7D97D" w14:textId="77777777" w:rsidR="001404F7" w:rsidRPr="009B2A19" w:rsidRDefault="001404F7" w:rsidP="001404F7">
      <w:pPr>
        <w:spacing w:before="160" w:after="60" w:line="240" w:lineRule="auto"/>
        <w:ind w:left="284" w:hanging="284"/>
        <w:contextualSpacing/>
        <w:rPr>
          <w:rFonts w:cs="Arial"/>
          <w:sz w:val="16"/>
          <w:szCs w:val="16"/>
        </w:rPr>
      </w:pPr>
      <w:r w:rsidRPr="009B2A19">
        <w:rPr>
          <w:rFonts w:cs="Arial"/>
          <w:sz w:val="16"/>
          <w:szCs w:val="16"/>
        </w:rPr>
        <w:t>d</w:t>
      </w:r>
      <w:r w:rsidRPr="009B2A19">
        <w:rPr>
          <w:rFonts w:cs="Arial"/>
          <w:sz w:val="16"/>
          <w:szCs w:val="16"/>
        </w:rPr>
        <w:tab/>
        <w:t>The result of this performance measure relies on the definition of primary carer used by the 2018 Australian Bureau of Statistics Survey of Disability, Ageing and Carers (cat. no. 4430.0) and is the number of people who provided the most informal help needed by a person with disability. Eligibility for Carer Payment and Carer Allowance is not determined by the Australian Bureau of</w:t>
      </w:r>
      <w:r>
        <w:rPr>
          <w:rFonts w:cs="Arial"/>
          <w:sz w:val="16"/>
          <w:szCs w:val="16"/>
        </w:rPr>
        <w:t xml:space="preserve"> </w:t>
      </w:r>
      <w:r w:rsidRPr="009B2A19">
        <w:rPr>
          <w:rFonts w:cs="Arial"/>
          <w:sz w:val="16"/>
          <w:szCs w:val="16"/>
        </w:rPr>
        <w:t>Statistics definition of primary carer. This survey is run by the Australian Bureau of Statistics triennially.</w:t>
      </w:r>
    </w:p>
    <w:p w14:paraId="624F618E" w14:textId="77777777" w:rsidR="001404F7" w:rsidRDefault="001404F7" w:rsidP="001404F7">
      <w:pPr>
        <w:spacing w:before="160" w:after="60" w:line="240" w:lineRule="auto"/>
        <w:ind w:left="284" w:hanging="284"/>
        <w:contextualSpacing/>
        <w:rPr>
          <w:rFonts w:cs="Arial"/>
          <w:sz w:val="16"/>
          <w:szCs w:val="16"/>
        </w:rPr>
      </w:pPr>
      <w:r w:rsidRPr="009B2A19">
        <w:rPr>
          <w:rFonts w:cs="Arial"/>
          <w:sz w:val="16"/>
          <w:szCs w:val="16"/>
        </w:rPr>
        <w:t>e</w:t>
      </w:r>
      <w:r w:rsidRPr="009B2A19">
        <w:rPr>
          <w:rFonts w:cs="Arial"/>
          <w:sz w:val="16"/>
          <w:szCs w:val="16"/>
        </w:rPr>
        <w:tab/>
        <w:t>Excludes carers whose care receiver qualified for a Health Care Card only.</w:t>
      </w:r>
    </w:p>
    <w:p w14:paraId="1A5E79ED" w14:textId="77777777" w:rsidR="001404F7" w:rsidRDefault="001404F7" w:rsidP="001404F7">
      <w:pPr>
        <w:rPr>
          <w:sz w:val="20"/>
          <w:szCs w:val="20"/>
        </w:rPr>
      </w:pPr>
    </w:p>
    <w:p w14:paraId="3AC5D095" w14:textId="77777777" w:rsidR="00C54AF9" w:rsidRDefault="00C54AF9" w:rsidP="001404F7">
      <w:pPr>
        <w:spacing w:before="240" w:after="240" w:line="260" w:lineRule="atLeast"/>
        <w:outlineLvl w:val="7"/>
        <w:rPr>
          <w:rFonts w:eastAsiaTheme="majorEastAsia" w:cstheme="majorBidi"/>
          <w:b/>
          <w:color w:val="595959" w:themeColor="text1" w:themeTint="A6"/>
          <w:sz w:val="24"/>
          <w:szCs w:val="20"/>
        </w:rPr>
        <w:sectPr w:rsidR="00C54AF9" w:rsidSect="00585891">
          <w:footnotePr>
            <w:numRestart w:val="eachPage"/>
          </w:footnotePr>
          <w:pgSz w:w="11906" w:h="16838"/>
          <w:pgMar w:top="1440" w:right="1440" w:bottom="1440" w:left="1440" w:header="709" w:footer="709" w:gutter="0"/>
          <w:cols w:space="708"/>
          <w:docGrid w:linePitch="360"/>
        </w:sectPr>
      </w:pPr>
    </w:p>
    <w:p w14:paraId="35783DCF" w14:textId="21EA7637" w:rsidR="001404F7" w:rsidRPr="003F5594" w:rsidRDefault="001404F7" w:rsidP="001404F7">
      <w:pPr>
        <w:spacing w:before="240" w:after="240" w:line="260" w:lineRule="atLeast"/>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lastRenderedPageBreak/>
        <w:t xml:space="preserve">C1.3.2 </w:t>
      </w:r>
      <w:r w:rsidRPr="003F5594">
        <w:rPr>
          <w:rFonts w:eastAsiaTheme="majorEastAsia" w:cstheme="majorBidi"/>
          <w:b/>
          <w:color w:val="595959" w:themeColor="text1" w:themeTint="A6"/>
          <w:sz w:val="24"/>
          <w:szCs w:val="20"/>
        </w:rPr>
        <w:t>Percentage of recipients aligned to specific policy objectives or payment conditions</w:t>
      </w:r>
    </w:p>
    <w:p w14:paraId="60E7F754" w14:textId="77777777" w:rsidR="001404F7" w:rsidRPr="00577E4E" w:rsidRDefault="001404F7" w:rsidP="001404F7">
      <w:pPr>
        <w:rPr>
          <w:sz w:val="20"/>
          <w:szCs w:val="20"/>
        </w:rPr>
      </w:pPr>
      <w:r w:rsidRPr="00577E4E">
        <w:rPr>
          <w:sz w:val="20"/>
          <w:szCs w:val="20"/>
        </w:rPr>
        <w:t>This indicator explores a range of payment-specific policy requirements or parameters, such as immunisation and health checks. These provide insight into the characteristics of the payment populations and the effectiveness of policy conditions in influencing recipient behaviour.</w:t>
      </w:r>
    </w:p>
    <w:p w14:paraId="3E083625" w14:textId="77777777" w:rsidR="001404F7" w:rsidRPr="00577E4E" w:rsidRDefault="001404F7" w:rsidP="001404F7">
      <w:pPr>
        <w:rPr>
          <w:sz w:val="20"/>
          <w:szCs w:val="20"/>
        </w:rPr>
      </w:pPr>
      <w:r w:rsidRPr="00577E4E">
        <w:rPr>
          <w:sz w:val="20"/>
          <w:szCs w:val="20"/>
        </w:rPr>
        <w:t xml:space="preserve">Families who do not meet immunisation and health check requirements have a reduction applied to their FTB Part A child rate for each child who does not meet the requirements. To meet immunisation requirements children must be immunised according to the childhood vaccination </w:t>
      </w:r>
      <w:r>
        <w:rPr>
          <w:sz w:val="20"/>
          <w:szCs w:val="20"/>
        </w:rPr>
        <w:t>s</w:t>
      </w:r>
      <w:r w:rsidRPr="00577E4E">
        <w:rPr>
          <w:sz w:val="20"/>
          <w:szCs w:val="20"/>
        </w:rPr>
        <w:t>chedule appropriate for the child’s age (or have an approved exemption). If a person received Family Tax Benefit and an Income Support Payment, and their child turned four during the entitlement year, their child also needs to undergo a health check in addition to immunisation requirements.</w:t>
      </w:r>
    </w:p>
    <w:p w14:paraId="5C12011B" w14:textId="77777777" w:rsidR="001404F7" w:rsidRPr="00BF055A" w:rsidRDefault="001404F7" w:rsidP="001404F7">
      <w:pPr>
        <w:pStyle w:val="Heading7"/>
      </w:pPr>
      <w:r w:rsidRPr="00BF055A">
        <w:t>Analysis</w:t>
      </w:r>
    </w:p>
    <w:p w14:paraId="39C15694" w14:textId="77777777" w:rsidR="001404F7" w:rsidRPr="00577E4E" w:rsidRDefault="001404F7" w:rsidP="001404F7">
      <w:pPr>
        <w:rPr>
          <w:sz w:val="20"/>
          <w:szCs w:val="20"/>
        </w:rPr>
      </w:pPr>
      <w:r w:rsidRPr="00577E4E">
        <w:rPr>
          <w:sz w:val="20"/>
          <w:szCs w:val="20"/>
        </w:rPr>
        <w:t>In the 2017–18 entitlement year, the amount of child support received has reduced the amount of Family Tax Benefit Part A paid by $756 million, a small increase on the $750 million reduction in the 2016–17 entitlement year.</w:t>
      </w:r>
    </w:p>
    <w:p w14:paraId="250F48B7" w14:textId="77777777" w:rsidR="00C54AF9" w:rsidRDefault="00C54AF9" w:rsidP="00C54AF9">
      <w:pPr>
        <w:rPr>
          <w:rFonts w:ascii="Arial Narrow" w:eastAsia="Times New Roman" w:hAnsi="Arial Narrow" w:cs="Times New Roman"/>
          <w:b/>
          <w:bCs/>
          <w:spacing w:val="4"/>
          <w:sz w:val="20"/>
          <w:szCs w:val="18"/>
          <w:lang w:eastAsia="en-AU"/>
        </w:rPr>
        <w:sectPr w:rsidR="00C54AF9" w:rsidSect="00585891">
          <w:footnotePr>
            <w:numRestart w:val="eachPage"/>
          </w:footnotePr>
          <w:pgSz w:w="11906" w:h="16838"/>
          <w:pgMar w:top="1440" w:right="1440" w:bottom="1440" w:left="1440" w:header="709" w:footer="709" w:gutter="0"/>
          <w:cols w:space="708"/>
          <w:docGrid w:linePitch="360"/>
        </w:sectPr>
      </w:pPr>
    </w:p>
    <w:p w14:paraId="49234993" w14:textId="4C7E51A7" w:rsidR="001404F7" w:rsidRPr="00313570" w:rsidRDefault="001404F7" w:rsidP="003A047F">
      <w:pPr>
        <w:rPr>
          <w:rFonts w:ascii="Arial Narrow" w:eastAsia="Times New Roman" w:hAnsi="Arial Narrow" w:cs="Times New Roman"/>
          <w:b/>
          <w:bCs/>
          <w:spacing w:val="4"/>
          <w:sz w:val="20"/>
          <w:szCs w:val="18"/>
          <w:lang w:eastAsia="en-AU"/>
        </w:rPr>
      </w:pPr>
      <w:r>
        <w:rPr>
          <w:rFonts w:ascii="Arial Narrow" w:eastAsia="Times New Roman" w:hAnsi="Arial Narrow" w:cs="Times New Roman"/>
          <w:b/>
          <w:bCs/>
          <w:spacing w:val="4"/>
          <w:sz w:val="20"/>
          <w:szCs w:val="18"/>
          <w:lang w:eastAsia="en-AU"/>
        </w:rPr>
        <w:lastRenderedPageBreak/>
        <w:t>Table 2.1.11</w:t>
      </w:r>
      <w:r w:rsidRPr="00313570">
        <w:rPr>
          <w:rFonts w:ascii="Arial Narrow" w:eastAsia="Times New Roman" w:hAnsi="Arial Narrow" w:cs="Times New Roman"/>
          <w:b/>
          <w:bCs/>
          <w:spacing w:val="4"/>
          <w:sz w:val="20"/>
          <w:szCs w:val="18"/>
          <w:lang w:eastAsia="en-AU"/>
        </w:rPr>
        <w:t>a: Percentage of recipients aligned to specific policy objectives or payment conditions</w:t>
      </w:r>
      <w:r>
        <w:rPr>
          <w:rFonts w:ascii="Arial Narrow" w:eastAsia="Times New Roman" w:hAnsi="Arial Narrow" w:cs="Times New Roman"/>
          <w:b/>
          <w:bCs/>
          <w:spacing w:val="4"/>
          <w:sz w:val="20"/>
          <w:szCs w:val="18"/>
          <w:lang w:eastAsia="en-AU"/>
        </w:rPr>
        <w:t xml:space="preserve"> </w:t>
      </w:r>
      <w:r w:rsidRPr="00313570">
        <w:rPr>
          <w:rFonts w:ascii="Arial Narrow" w:eastAsia="Times New Roman" w:hAnsi="Arial Narrow" w:cs="Times New Roman"/>
          <w:b/>
          <w:bCs/>
          <w:spacing w:val="4"/>
          <w:sz w:val="20"/>
          <w:szCs w:val="18"/>
          <w:lang w:eastAsia="en-AU"/>
        </w:rPr>
        <w:t>—</w:t>
      </w:r>
      <w:r>
        <w:rPr>
          <w:rFonts w:ascii="Arial Narrow" w:eastAsia="Times New Roman" w:hAnsi="Arial Narrow" w:cs="Times New Roman"/>
          <w:b/>
          <w:bCs/>
          <w:spacing w:val="4"/>
          <w:sz w:val="20"/>
          <w:szCs w:val="18"/>
          <w:lang w:eastAsia="en-AU"/>
        </w:rPr>
        <w:t xml:space="preserve"> </w:t>
      </w:r>
      <w:r w:rsidRPr="00313570">
        <w:rPr>
          <w:rFonts w:ascii="Arial Narrow" w:eastAsia="Times New Roman" w:hAnsi="Arial Narrow" w:cs="Times New Roman"/>
          <w:b/>
          <w:bCs/>
          <w:spacing w:val="4"/>
          <w:sz w:val="20"/>
          <w:szCs w:val="18"/>
          <w:lang w:eastAsia="en-AU"/>
        </w:rPr>
        <w:t>Family Tax Benefit by income test categories</w:t>
      </w:r>
    </w:p>
    <w:tbl>
      <w:tblPr>
        <w:tblStyle w:val="HHorizontaltable1"/>
        <w:tblW w:w="5000" w:type="pct"/>
        <w:tblLook w:val="04A0" w:firstRow="1" w:lastRow="0" w:firstColumn="1" w:lastColumn="0" w:noHBand="0" w:noVBand="1"/>
        <w:tblCaption w:val="Table 2.1.11a: Percentage of recipients aligned to specific policy objectives or payment conditions - Family Tax Benefit by income test categories"/>
        <w:tblDescription w:val="Table 2.1.11a: Percentage of recipients aligned to specific policy objectives or payment conditions - Family Tax Benefit by income test categories."/>
      </w:tblPr>
      <w:tblGrid>
        <w:gridCol w:w="4819"/>
        <w:gridCol w:w="1282"/>
        <w:gridCol w:w="42"/>
        <w:gridCol w:w="1421"/>
        <w:gridCol w:w="20"/>
        <w:gridCol w:w="1442"/>
      </w:tblGrid>
      <w:tr w:rsidR="001404F7" w:rsidRPr="00AF1D81" w14:paraId="23CC4A60" w14:textId="77777777" w:rsidTr="00107B1C">
        <w:trPr>
          <w:cnfStyle w:val="100000000000" w:firstRow="1" w:lastRow="0" w:firstColumn="0" w:lastColumn="0" w:oddVBand="0" w:evenVBand="0" w:oddHBand="0" w:evenHBand="0" w:firstRowFirstColumn="0" w:firstRowLastColumn="0" w:lastRowFirstColumn="0" w:lastRowLastColumn="0"/>
          <w:trHeight w:val="317"/>
        </w:trPr>
        <w:tc>
          <w:tcPr>
            <w:tcW w:w="2670" w:type="pct"/>
            <w:vMerge w:val="restart"/>
            <w:hideMark/>
          </w:tcPr>
          <w:p w14:paraId="69CA7620" w14:textId="77777777" w:rsidR="001404F7" w:rsidRPr="00D13460" w:rsidRDefault="001404F7" w:rsidP="001404F7">
            <w:pPr>
              <w:keepNext/>
              <w:keepLines/>
              <w:rPr>
                <w:rFonts w:eastAsia="Times New Roman"/>
                <w:sz w:val="20"/>
                <w:szCs w:val="20"/>
              </w:rPr>
            </w:pPr>
            <w:r w:rsidRPr="00D13460">
              <w:rPr>
                <w:rFonts w:eastAsia="Times New Roman"/>
                <w:sz w:val="20"/>
                <w:szCs w:val="20"/>
              </w:rPr>
              <w:t>Intermediate outcome performance measure</w:t>
            </w:r>
          </w:p>
        </w:tc>
        <w:tc>
          <w:tcPr>
            <w:tcW w:w="2330" w:type="pct"/>
            <w:gridSpan w:val="5"/>
            <w:tcBorders>
              <w:bottom w:val="single" w:sz="12" w:space="0" w:color="FFFFFF" w:themeColor="background1"/>
            </w:tcBorders>
            <w:hideMark/>
          </w:tcPr>
          <w:p w14:paraId="17228EC8" w14:textId="77777777" w:rsidR="001404F7" w:rsidRPr="00D13460" w:rsidRDefault="001404F7" w:rsidP="001404F7">
            <w:pPr>
              <w:keepNext/>
              <w:keepLines/>
              <w:spacing w:before="40" w:after="40"/>
              <w:jc w:val="center"/>
              <w:rPr>
                <w:rFonts w:eastAsia="Times New Roman"/>
                <w:sz w:val="20"/>
                <w:szCs w:val="20"/>
              </w:rPr>
            </w:pPr>
            <w:r w:rsidRPr="00D13460">
              <w:rPr>
                <w:rFonts w:eastAsia="Times New Roman"/>
                <w:sz w:val="20"/>
                <w:szCs w:val="20"/>
              </w:rPr>
              <w:t xml:space="preserve">As </w:t>
            </w:r>
            <w:proofErr w:type="spellStart"/>
            <w:r w:rsidRPr="00D13460">
              <w:rPr>
                <w:rFonts w:eastAsia="Times New Roman"/>
                <w:sz w:val="20"/>
                <w:szCs w:val="20"/>
              </w:rPr>
              <w:t>at</w:t>
            </w:r>
            <w:r w:rsidRPr="00D13460">
              <w:rPr>
                <w:rFonts w:eastAsia="Times New Roman"/>
                <w:b w:val="0"/>
                <w:sz w:val="20"/>
                <w:szCs w:val="20"/>
                <w:vertAlign w:val="superscript"/>
              </w:rPr>
              <w:t>a</w:t>
            </w:r>
            <w:proofErr w:type="spellEnd"/>
          </w:p>
        </w:tc>
      </w:tr>
      <w:tr w:rsidR="001404F7" w:rsidRPr="00AF1D81" w14:paraId="21595015" w14:textId="77777777" w:rsidTr="00107B1C">
        <w:trPr>
          <w:cnfStyle w:val="000000100000" w:firstRow="0" w:lastRow="0" w:firstColumn="0" w:lastColumn="0" w:oddVBand="0" w:evenVBand="0" w:oddHBand="1" w:evenHBand="0" w:firstRowFirstColumn="0" w:firstRowLastColumn="0" w:lastRowFirstColumn="0" w:lastRowLastColumn="0"/>
          <w:trHeight w:val="274"/>
        </w:trPr>
        <w:tc>
          <w:tcPr>
            <w:tcW w:w="2670" w:type="pct"/>
            <w:vMerge/>
            <w:hideMark/>
          </w:tcPr>
          <w:p w14:paraId="6F4E15CC" w14:textId="77777777" w:rsidR="001404F7" w:rsidRPr="00D13460" w:rsidRDefault="001404F7" w:rsidP="001404F7">
            <w:pPr>
              <w:rPr>
                <w:rFonts w:eastAsia="Times New Roman" w:cs="Arial"/>
                <w:sz w:val="20"/>
                <w:szCs w:val="20"/>
              </w:rPr>
            </w:pPr>
          </w:p>
        </w:tc>
        <w:tc>
          <w:tcPr>
            <w:tcW w:w="733" w:type="pct"/>
            <w:gridSpan w:val="2"/>
            <w:tcBorders>
              <w:top w:val="single" w:sz="12" w:space="0" w:color="FFFFFF" w:themeColor="background1"/>
              <w:bottom w:val="single" w:sz="4" w:space="0" w:color="FFFFFF" w:themeColor="background1"/>
            </w:tcBorders>
            <w:shd w:val="clear" w:color="auto" w:fill="00B0B9"/>
            <w:hideMark/>
          </w:tcPr>
          <w:p w14:paraId="21A7138B" w14:textId="77777777" w:rsidR="001404F7" w:rsidRPr="00D13460" w:rsidRDefault="001404F7" w:rsidP="001404F7">
            <w:pPr>
              <w:keepNext/>
              <w:keepLines/>
              <w:spacing w:before="40" w:after="40"/>
              <w:jc w:val="right"/>
              <w:rPr>
                <w:rFonts w:eastAsia="Times New Roman"/>
                <w:b/>
                <w:sz w:val="20"/>
                <w:szCs w:val="20"/>
              </w:rPr>
            </w:pPr>
            <w:r w:rsidRPr="00D13460">
              <w:rPr>
                <w:rFonts w:eastAsia="Times New Roman"/>
                <w:b/>
                <w:sz w:val="20"/>
                <w:szCs w:val="20"/>
              </w:rPr>
              <w:t>June 2018</w:t>
            </w:r>
          </w:p>
        </w:tc>
        <w:tc>
          <w:tcPr>
            <w:tcW w:w="798" w:type="pct"/>
            <w:gridSpan w:val="2"/>
            <w:tcBorders>
              <w:top w:val="single" w:sz="12" w:space="0" w:color="FFFFFF" w:themeColor="background1"/>
              <w:bottom w:val="single" w:sz="4" w:space="0" w:color="FFFFFF" w:themeColor="background1"/>
            </w:tcBorders>
            <w:shd w:val="clear" w:color="auto" w:fill="00B0B9"/>
            <w:hideMark/>
          </w:tcPr>
          <w:p w14:paraId="21A58CA5" w14:textId="77777777" w:rsidR="001404F7" w:rsidRPr="00D13460" w:rsidRDefault="001404F7" w:rsidP="001404F7">
            <w:pPr>
              <w:keepNext/>
              <w:keepLines/>
              <w:spacing w:before="40" w:after="40"/>
              <w:jc w:val="right"/>
              <w:rPr>
                <w:rFonts w:eastAsia="Times New Roman"/>
                <w:b/>
                <w:sz w:val="20"/>
                <w:szCs w:val="20"/>
              </w:rPr>
            </w:pPr>
            <w:r w:rsidRPr="00D13460">
              <w:rPr>
                <w:rFonts w:eastAsia="Times New Roman"/>
                <w:b/>
                <w:sz w:val="20"/>
                <w:szCs w:val="20"/>
              </w:rPr>
              <w:t>June 2017</w:t>
            </w:r>
          </w:p>
        </w:tc>
        <w:tc>
          <w:tcPr>
            <w:tcW w:w="798" w:type="pct"/>
            <w:tcBorders>
              <w:top w:val="single" w:sz="12" w:space="0" w:color="FFFFFF" w:themeColor="background1"/>
              <w:bottom w:val="single" w:sz="4" w:space="0" w:color="FFFFFF" w:themeColor="background1"/>
            </w:tcBorders>
            <w:shd w:val="clear" w:color="auto" w:fill="00B0B9"/>
            <w:hideMark/>
          </w:tcPr>
          <w:p w14:paraId="671164EA" w14:textId="77777777" w:rsidR="001404F7" w:rsidRPr="00D13460" w:rsidRDefault="001404F7" w:rsidP="001404F7">
            <w:pPr>
              <w:keepNext/>
              <w:keepLines/>
              <w:spacing w:before="40" w:after="40"/>
              <w:jc w:val="right"/>
              <w:rPr>
                <w:rFonts w:eastAsia="Times New Roman"/>
                <w:b/>
                <w:sz w:val="20"/>
                <w:szCs w:val="20"/>
              </w:rPr>
            </w:pPr>
            <w:r w:rsidRPr="00D13460">
              <w:rPr>
                <w:rFonts w:eastAsia="Times New Roman"/>
                <w:b/>
                <w:sz w:val="20"/>
                <w:szCs w:val="20"/>
              </w:rPr>
              <w:t>June 2016</w:t>
            </w:r>
          </w:p>
        </w:tc>
      </w:tr>
      <w:tr w:rsidR="001404F7" w:rsidRPr="00313570" w14:paraId="1C773D1C" w14:textId="77777777" w:rsidTr="001404F7">
        <w:trPr>
          <w:cnfStyle w:val="000000010000" w:firstRow="0" w:lastRow="0" w:firstColumn="0" w:lastColumn="0" w:oddVBand="0" w:evenVBand="0" w:oddHBand="0" w:evenHBand="1" w:firstRowFirstColumn="0" w:firstRowLastColumn="0" w:lastRowFirstColumn="0" w:lastRowLastColumn="0"/>
          <w:trHeight w:val="317"/>
        </w:trPr>
        <w:tc>
          <w:tcPr>
            <w:tcW w:w="5000" w:type="pct"/>
            <w:gridSpan w:val="6"/>
            <w:hideMark/>
          </w:tcPr>
          <w:p w14:paraId="7A61FEC1" w14:textId="77777777" w:rsidR="001404F7" w:rsidRPr="00800B1E" w:rsidRDefault="001404F7" w:rsidP="001404F7">
            <w:pPr>
              <w:keepNext/>
              <w:keepLines/>
              <w:spacing w:before="40" w:after="40"/>
              <w:rPr>
                <w:rFonts w:eastAsia="Times New Roman"/>
                <w:b/>
                <w:color w:val="000000" w:themeColor="text1"/>
                <w:sz w:val="20"/>
                <w:szCs w:val="20"/>
              </w:rPr>
            </w:pPr>
            <w:r w:rsidRPr="00800B1E">
              <w:rPr>
                <w:rFonts w:eastAsia="Times New Roman"/>
                <w:b/>
                <w:color w:val="000000" w:themeColor="text1"/>
                <w:sz w:val="20"/>
                <w:szCs w:val="20"/>
              </w:rPr>
              <w:t>Family Tax Benefit</w:t>
            </w:r>
          </w:p>
        </w:tc>
      </w:tr>
      <w:tr w:rsidR="001404F7" w:rsidRPr="00313570" w14:paraId="569E4B99"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6"/>
            <w:hideMark/>
          </w:tcPr>
          <w:p w14:paraId="25700C8D" w14:textId="77777777" w:rsidR="001404F7" w:rsidRPr="00313570" w:rsidRDefault="001404F7" w:rsidP="001404F7">
            <w:pPr>
              <w:spacing w:before="40" w:after="40"/>
              <w:rPr>
                <w:rFonts w:eastAsia="Times New Roman" w:cs="Arial"/>
                <w:b/>
                <w:color w:val="000000" w:themeColor="text1"/>
                <w:spacing w:val="4"/>
                <w:sz w:val="20"/>
                <w:szCs w:val="20"/>
                <w:lang w:val="en-GB"/>
              </w:rPr>
            </w:pPr>
            <w:r w:rsidRPr="00313570">
              <w:rPr>
                <w:rFonts w:eastAsia="Times New Roman" w:cs="Arial"/>
                <w:color w:val="000000" w:themeColor="text1"/>
                <w:spacing w:val="4"/>
                <w:sz w:val="20"/>
                <w:szCs w:val="20"/>
                <w:lang w:val="en-GB"/>
              </w:rPr>
              <w:t>Percentage of families in receipt of Family Tax Benefit Part A within income test categories:</w:t>
            </w:r>
          </w:p>
        </w:tc>
      </w:tr>
      <w:tr w:rsidR="001404F7" w:rsidRPr="00313570" w14:paraId="1B486F2B"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6"/>
            <w:hideMark/>
          </w:tcPr>
          <w:p w14:paraId="11C70646" w14:textId="77777777" w:rsidR="001404F7" w:rsidRPr="00313570" w:rsidRDefault="001404F7" w:rsidP="001404F7">
            <w:pPr>
              <w:numPr>
                <w:ilvl w:val="0"/>
                <w:numId w:val="67"/>
              </w:numPr>
              <w:spacing w:before="40" w:after="40"/>
              <w:ind w:left="459"/>
              <w:rPr>
                <w:rFonts w:eastAsia="Times New Roman" w:cs="Arial"/>
                <w:color w:val="000000" w:themeColor="text1"/>
                <w:spacing w:val="4"/>
                <w:sz w:val="20"/>
                <w:szCs w:val="20"/>
                <w:lang w:val="en-GB"/>
              </w:rPr>
            </w:pPr>
            <w:r w:rsidRPr="00313570">
              <w:rPr>
                <w:rFonts w:eastAsia="Times New Roman"/>
                <w:color w:val="000000" w:themeColor="text1"/>
                <w:spacing w:val="4"/>
                <w:sz w:val="20"/>
                <w:szCs w:val="20"/>
                <w:lang w:val="en-GB"/>
              </w:rPr>
              <w:t>Families on Income Support</w:t>
            </w:r>
          </w:p>
        </w:tc>
      </w:tr>
      <w:tr w:rsidR="001404F7" w:rsidRPr="00313570" w14:paraId="0D6CF3F3" w14:textId="77777777" w:rsidTr="00107B1C">
        <w:trPr>
          <w:cnfStyle w:val="000000100000" w:firstRow="0" w:lastRow="0" w:firstColumn="0" w:lastColumn="0" w:oddVBand="0" w:evenVBand="0" w:oddHBand="1" w:evenHBand="0" w:firstRowFirstColumn="0" w:firstRowLastColumn="0" w:lastRowFirstColumn="0" w:lastRowLastColumn="0"/>
        </w:trPr>
        <w:tc>
          <w:tcPr>
            <w:tcW w:w="2670" w:type="pct"/>
            <w:hideMark/>
          </w:tcPr>
          <w:p w14:paraId="44DD7FE4" w14:textId="77777777" w:rsidR="001404F7" w:rsidRPr="00313570" w:rsidRDefault="001404F7" w:rsidP="001404F7">
            <w:pPr>
              <w:numPr>
                <w:ilvl w:val="0"/>
                <w:numId w:val="68"/>
              </w:numPr>
              <w:spacing w:before="40" w:after="40"/>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Maximum rate</w:t>
            </w:r>
          </w:p>
        </w:tc>
        <w:tc>
          <w:tcPr>
            <w:tcW w:w="710" w:type="pct"/>
            <w:hideMark/>
          </w:tcPr>
          <w:p w14:paraId="00801B4F" w14:textId="77777777" w:rsidR="001404F7" w:rsidRPr="009B2A19" w:rsidRDefault="001404F7" w:rsidP="001404F7">
            <w:pPr>
              <w:spacing w:before="40" w:after="40"/>
              <w:jc w:val="right"/>
              <w:rPr>
                <w:rFonts w:eastAsia="Times New Roman" w:cs="Arial"/>
                <w:spacing w:val="4"/>
                <w:sz w:val="20"/>
                <w:szCs w:val="20"/>
                <w:lang w:val="en-GB"/>
              </w:rPr>
            </w:pPr>
            <w:r w:rsidRPr="009B2A19">
              <w:rPr>
                <w:sz w:val="20"/>
                <w:szCs w:val="20"/>
              </w:rPr>
              <w:t>27.9%</w:t>
            </w:r>
          </w:p>
        </w:tc>
        <w:tc>
          <w:tcPr>
            <w:tcW w:w="810" w:type="pct"/>
            <w:gridSpan w:val="2"/>
            <w:hideMark/>
          </w:tcPr>
          <w:p w14:paraId="4DA45222"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28.6%</w:t>
            </w:r>
          </w:p>
        </w:tc>
        <w:tc>
          <w:tcPr>
            <w:tcW w:w="810" w:type="pct"/>
            <w:gridSpan w:val="2"/>
            <w:hideMark/>
          </w:tcPr>
          <w:p w14:paraId="33EFB12E"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28.8%</w:t>
            </w:r>
          </w:p>
        </w:tc>
      </w:tr>
      <w:tr w:rsidR="001404F7" w:rsidRPr="00313570" w14:paraId="70CCDF02" w14:textId="77777777" w:rsidTr="00107B1C">
        <w:trPr>
          <w:cnfStyle w:val="000000010000" w:firstRow="0" w:lastRow="0" w:firstColumn="0" w:lastColumn="0" w:oddVBand="0" w:evenVBand="0" w:oddHBand="0" w:evenHBand="1" w:firstRowFirstColumn="0" w:firstRowLastColumn="0" w:lastRowFirstColumn="0" w:lastRowLastColumn="0"/>
        </w:trPr>
        <w:tc>
          <w:tcPr>
            <w:tcW w:w="2670" w:type="pct"/>
            <w:hideMark/>
          </w:tcPr>
          <w:p w14:paraId="27D77AA2" w14:textId="77777777" w:rsidR="001404F7" w:rsidRPr="00313570" w:rsidRDefault="001404F7" w:rsidP="001404F7">
            <w:pPr>
              <w:numPr>
                <w:ilvl w:val="0"/>
                <w:numId w:val="68"/>
              </w:numPr>
              <w:spacing w:before="40" w:after="40"/>
              <w:rPr>
                <w:rFonts w:eastAsia="Times New Roman" w:cs="Arial"/>
                <w:color w:val="000000" w:themeColor="text1"/>
                <w:spacing w:val="4"/>
                <w:sz w:val="20"/>
                <w:szCs w:val="20"/>
                <w:lang w:val="en-GB"/>
              </w:rPr>
            </w:pPr>
            <w:r w:rsidRPr="00313570">
              <w:rPr>
                <w:rFonts w:eastAsia="Times New Roman"/>
                <w:color w:val="000000" w:themeColor="text1"/>
                <w:spacing w:val="4"/>
                <w:sz w:val="20"/>
                <w:szCs w:val="20"/>
                <w:lang w:val="en-GB"/>
              </w:rPr>
              <w:t>Maintenance reduced rate</w:t>
            </w:r>
          </w:p>
        </w:tc>
        <w:tc>
          <w:tcPr>
            <w:tcW w:w="710" w:type="pct"/>
            <w:hideMark/>
          </w:tcPr>
          <w:p w14:paraId="10886C06" w14:textId="77777777" w:rsidR="001404F7" w:rsidRPr="009B2A19" w:rsidRDefault="001404F7" w:rsidP="001404F7">
            <w:pPr>
              <w:spacing w:before="40" w:after="40"/>
              <w:jc w:val="right"/>
              <w:rPr>
                <w:rFonts w:eastAsia="Times New Roman"/>
                <w:spacing w:val="4"/>
                <w:sz w:val="20"/>
                <w:szCs w:val="20"/>
                <w:lang w:val="en-GB"/>
              </w:rPr>
            </w:pPr>
            <w:r w:rsidRPr="009B2A19">
              <w:rPr>
                <w:sz w:val="20"/>
                <w:szCs w:val="20"/>
              </w:rPr>
              <w:t>13.4%</w:t>
            </w:r>
          </w:p>
        </w:tc>
        <w:tc>
          <w:tcPr>
            <w:tcW w:w="810" w:type="pct"/>
            <w:gridSpan w:val="2"/>
            <w:hideMark/>
          </w:tcPr>
          <w:p w14:paraId="5CA4ED7B" w14:textId="77777777" w:rsidR="001404F7" w:rsidRPr="00313570" w:rsidRDefault="001404F7" w:rsidP="001404F7">
            <w:pPr>
              <w:spacing w:before="40" w:after="40"/>
              <w:jc w:val="right"/>
              <w:rPr>
                <w:rFonts w:eastAsia="Times New Roman"/>
                <w:color w:val="000000" w:themeColor="text1"/>
                <w:spacing w:val="4"/>
                <w:sz w:val="20"/>
                <w:szCs w:val="20"/>
                <w:lang w:val="en-GB"/>
              </w:rPr>
            </w:pPr>
            <w:r w:rsidRPr="00313570">
              <w:rPr>
                <w:rFonts w:eastAsia="Times New Roman"/>
                <w:color w:val="000000" w:themeColor="text1"/>
                <w:spacing w:val="4"/>
                <w:sz w:val="20"/>
                <w:szCs w:val="20"/>
                <w:lang w:val="en-GB"/>
              </w:rPr>
              <w:t>13.4%</w:t>
            </w:r>
          </w:p>
        </w:tc>
        <w:tc>
          <w:tcPr>
            <w:tcW w:w="810" w:type="pct"/>
            <w:gridSpan w:val="2"/>
            <w:hideMark/>
          </w:tcPr>
          <w:p w14:paraId="3E377694" w14:textId="77777777" w:rsidR="001404F7" w:rsidRPr="00313570" w:rsidRDefault="001404F7" w:rsidP="001404F7">
            <w:pPr>
              <w:spacing w:before="40" w:after="40"/>
              <w:jc w:val="right"/>
              <w:rPr>
                <w:rFonts w:eastAsia="Times New Roman"/>
                <w:color w:val="000000" w:themeColor="text1"/>
                <w:spacing w:val="4"/>
                <w:sz w:val="20"/>
                <w:szCs w:val="20"/>
                <w:lang w:val="en-GB"/>
              </w:rPr>
            </w:pPr>
            <w:r w:rsidRPr="00313570">
              <w:rPr>
                <w:rFonts w:eastAsia="Times New Roman"/>
                <w:color w:val="000000" w:themeColor="text1"/>
                <w:spacing w:val="4"/>
                <w:sz w:val="20"/>
                <w:szCs w:val="20"/>
                <w:lang w:val="en-GB"/>
              </w:rPr>
              <w:t>13.3%</w:t>
            </w:r>
          </w:p>
        </w:tc>
      </w:tr>
      <w:tr w:rsidR="001404F7" w:rsidRPr="00313570" w14:paraId="3FBC642E" w14:textId="77777777" w:rsidTr="00107B1C">
        <w:trPr>
          <w:cnfStyle w:val="000000100000" w:firstRow="0" w:lastRow="0" w:firstColumn="0" w:lastColumn="0" w:oddVBand="0" w:evenVBand="0" w:oddHBand="1" w:evenHBand="0" w:firstRowFirstColumn="0" w:firstRowLastColumn="0" w:lastRowFirstColumn="0" w:lastRowLastColumn="0"/>
        </w:trPr>
        <w:tc>
          <w:tcPr>
            <w:tcW w:w="2670" w:type="pct"/>
            <w:hideMark/>
          </w:tcPr>
          <w:p w14:paraId="7E94485C" w14:textId="77777777" w:rsidR="001404F7" w:rsidRPr="00313570" w:rsidRDefault="001404F7" w:rsidP="001404F7">
            <w:pPr>
              <w:numPr>
                <w:ilvl w:val="0"/>
                <w:numId w:val="68"/>
              </w:numPr>
              <w:spacing w:before="40" w:after="40"/>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Base rate</w:t>
            </w:r>
          </w:p>
        </w:tc>
        <w:tc>
          <w:tcPr>
            <w:tcW w:w="710" w:type="pct"/>
            <w:hideMark/>
          </w:tcPr>
          <w:p w14:paraId="19A8DC59" w14:textId="77777777" w:rsidR="001404F7" w:rsidRPr="009B2A19" w:rsidRDefault="001404F7" w:rsidP="001404F7">
            <w:pPr>
              <w:spacing w:before="40" w:after="40"/>
              <w:jc w:val="right"/>
              <w:rPr>
                <w:rFonts w:eastAsia="Times New Roman" w:cs="Arial"/>
                <w:spacing w:val="4"/>
                <w:sz w:val="20"/>
                <w:szCs w:val="20"/>
                <w:lang w:val="en-GB"/>
              </w:rPr>
            </w:pPr>
            <w:r w:rsidRPr="009B2A19">
              <w:rPr>
                <w:sz w:val="20"/>
                <w:szCs w:val="20"/>
              </w:rPr>
              <w:t>2.6%</w:t>
            </w:r>
          </w:p>
        </w:tc>
        <w:tc>
          <w:tcPr>
            <w:tcW w:w="810" w:type="pct"/>
            <w:gridSpan w:val="2"/>
            <w:hideMark/>
          </w:tcPr>
          <w:p w14:paraId="7E19FD99"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2.6%</w:t>
            </w:r>
          </w:p>
        </w:tc>
        <w:tc>
          <w:tcPr>
            <w:tcW w:w="810" w:type="pct"/>
            <w:gridSpan w:val="2"/>
            <w:hideMark/>
          </w:tcPr>
          <w:p w14:paraId="4622CA6C"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2.5%</w:t>
            </w:r>
          </w:p>
        </w:tc>
      </w:tr>
      <w:tr w:rsidR="001404F7" w:rsidRPr="00313570" w14:paraId="5296FE33" w14:textId="77777777" w:rsidTr="00107B1C">
        <w:trPr>
          <w:cnfStyle w:val="000000010000" w:firstRow="0" w:lastRow="0" w:firstColumn="0" w:lastColumn="0" w:oddVBand="0" w:evenVBand="0" w:oddHBand="0" w:evenHBand="1" w:firstRowFirstColumn="0" w:firstRowLastColumn="0" w:lastRowFirstColumn="0" w:lastRowLastColumn="0"/>
        </w:trPr>
        <w:tc>
          <w:tcPr>
            <w:tcW w:w="2670" w:type="pct"/>
            <w:hideMark/>
          </w:tcPr>
          <w:p w14:paraId="395C1579" w14:textId="77777777" w:rsidR="001404F7" w:rsidRPr="00313570" w:rsidRDefault="001404F7" w:rsidP="001404F7">
            <w:pPr>
              <w:numPr>
                <w:ilvl w:val="0"/>
                <w:numId w:val="68"/>
              </w:numPr>
              <w:spacing w:before="40" w:after="40"/>
              <w:rPr>
                <w:rFonts w:eastAsia="Times New Roman" w:cs="Arial"/>
                <w:color w:val="000000" w:themeColor="text1"/>
                <w:spacing w:val="4"/>
                <w:sz w:val="20"/>
                <w:szCs w:val="20"/>
                <w:lang w:val="en-GB"/>
              </w:rPr>
            </w:pPr>
            <w:r w:rsidRPr="00313570">
              <w:rPr>
                <w:rFonts w:eastAsia="Times New Roman"/>
                <w:color w:val="000000" w:themeColor="text1"/>
                <w:spacing w:val="4"/>
                <w:sz w:val="20"/>
                <w:szCs w:val="20"/>
                <w:lang w:val="en-GB"/>
              </w:rPr>
              <w:t>Regular care rate</w:t>
            </w:r>
          </w:p>
        </w:tc>
        <w:tc>
          <w:tcPr>
            <w:tcW w:w="710" w:type="pct"/>
            <w:hideMark/>
          </w:tcPr>
          <w:p w14:paraId="1CB097DA" w14:textId="77777777" w:rsidR="001404F7" w:rsidRPr="009B2A19" w:rsidRDefault="001404F7" w:rsidP="001404F7">
            <w:pPr>
              <w:spacing w:before="40" w:after="40"/>
              <w:jc w:val="right"/>
              <w:rPr>
                <w:rFonts w:eastAsia="Times New Roman"/>
                <w:spacing w:val="4"/>
                <w:sz w:val="20"/>
                <w:szCs w:val="20"/>
                <w:lang w:val="en-GB"/>
              </w:rPr>
            </w:pPr>
            <w:r w:rsidRPr="009B2A19">
              <w:rPr>
                <w:sz w:val="20"/>
                <w:szCs w:val="20"/>
              </w:rPr>
              <w:t>0.3%</w:t>
            </w:r>
          </w:p>
        </w:tc>
        <w:tc>
          <w:tcPr>
            <w:tcW w:w="810" w:type="pct"/>
            <w:gridSpan w:val="2"/>
            <w:hideMark/>
          </w:tcPr>
          <w:p w14:paraId="3DBE5851" w14:textId="77777777" w:rsidR="001404F7" w:rsidRPr="00313570" w:rsidRDefault="001404F7" w:rsidP="001404F7">
            <w:pPr>
              <w:spacing w:before="40" w:after="40"/>
              <w:jc w:val="right"/>
              <w:rPr>
                <w:rFonts w:eastAsia="Times New Roman"/>
                <w:color w:val="000000" w:themeColor="text1"/>
                <w:spacing w:val="4"/>
                <w:sz w:val="20"/>
                <w:szCs w:val="20"/>
                <w:lang w:val="en-GB"/>
              </w:rPr>
            </w:pPr>
            <w:r w:rsidRPr="00313570">
              <w:rPr>
                <w:rFonts w:eastAsia="Times New Roman"/>
                <w:color w:val="000000" w:themeColor="text1"/>
                <w:spacing w:val="4"/>
                <w:sz w:val="20"/>
                <w:szCs w:val="20"/>
                <w:lang w:val="en-GB"/>
              </w:rPr>
              <w:t>0.3%</w:t>
            </w:r>
          </w:p>
        </w:tc>
        <w:tc>
          <w:tcPr>
            <w:tcW w:w="810" w:type="pct"/>
            <w:gridSpan w:val="2"/>
            <w:hideMark/>
          </w:tcPr>
          <w:p w14:paraId="4A4EF843" w14:textId="77777777" w:rsidR="001404F7" w:rsidRPr="00313570" w:rsidRDefault="001404F7" w:rsidP="001404F7">
            <w:pPr>
              <w:spacing w:before="40" w:after="40"/>
              <w:jc w:val="right"/>
              <w:rPr>
                <w:rFonts w:eastAsia="Times New Roman"/>
                <w:color w:val="000000" w:themeColor="text1"/>
                <w:spacing w:val="4"/>
                <w:sz w:val="20"/>
                <w:szCs w:val="20"/>
                <w:lang w:val="en-GB"/>
              </w:rPr>
            </w:pPr>
            <w:r w:rsidRPr="00313570">
              <w:rPr>
                <w:rFonts w:eastAsia="Times New Roman"/>
                <w:color w:val="000000" w:themeColor="text1"/>
                <w:spacing w:val="4"/>
                <w:sz w:val="20"/>
                <w:szCs w:val="20"/>
                <w:lang w:val="en-GB"/>
              </w:rPr>
              <w:t>0.3%</w:t>
            </w:r>
          </w:p>
        </w:tc>
      </w:tr>
      <w:tr w:rsidR="001404F7" w:rsidRPr="00313570" w14:paraId="544DAE0A"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6"/>
            <w:hideMark/>
          </w:tcPr>
          <w:p w14:paraId="05A2DEE5" w14:textId="77777777" w:rsidR="001404F7" w:rsidRPr="00313570" w:rsidRDefault="001404F7" w:rsidP="001404F7">
            <w:pPr>
              <w:numPr>
                <w:ilvl w:val="0"/>
                <w:numId w:val="67"/>
              </w:numPr>
              <w:spacing w:before="40" w:after="40"/>
              <w:ind w:left="459"/>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Families not on Income Support</w:t>
            </w:r>
          </w:p>
        </w:tc>
      </w:tr>
      <w:tr w:rsidR="001404F7" w:rsidRPr="00313570" w14:paraId="17CF2C0D" w14:textId="77777777" w:rsidTr="00107B1C">
        <w:trPr>
          <w:cnfStyle w:val="000000010000" w:firstRow="0" w:lastRow="0" w:firstColumn="0" w:lastColumn="0" w:oddVBand="0" w:evenVBand="0" w:oddHBand="0" w:evenHBand="1" w:firstRowFirstColumn="0" w:firstRowLastColumn="0" w:lastRowFirstColumn="0" w:lastRowLastColumn="0"/>
        </w:trPr>
        <w:tc>
          <w:tcPr>
            <w:tcW w:w="2670" w:type="pct"/>
            <w:hideMark/>
          </w:tcPr>
          <w:p w14:paraId="431A8DF9" w14:textId="77777777" w:rsidR="001404F7" w:rsidRPr="00313570" w:rsidRDefault="001404F7" w:rsidP="001404F7">
            <w:pPr>
              <w:numPr>
                <w:ilvl w:val="0"/>
                <w:numId w:val="68"/>
              </w:numPr>
              <w:spacing w:before="40" w:after="40"/>
              <w:rPr>
                <w:rFonts w:eastAsia="Times New Roman" w:cs="Arial"/>
                <w:color w:val="000000" w:themeColor="text1"/>
                <w:spacing w:val="4"/>
                <w:sz w:val="20"/>
                <w:szCs w:val="20"/>
                <w:lang w:val="en-GB"/>
              </w:rPr>
            </w:pPr>
            <w:r w:rsidRPr="00313570">
              <w:rPr>
                <w:rFonts w:eastAsia="Times New Roman"/>
                <w:color w:val="000000" w:themeColor="text1"/>
                <w:spacing w:val="4"/>
                <w:sz w:val="20"/>
                <w:szCs w:val="20"/>
                <w:lang w:val="en-GB"/>
              </w:rPr>
              <w:t>Maximum rate</w:t>
            </w:r>
          </w:p>
        </w:tc>
        <w:tc>
          <w:tcPr>
            <w:tcW w:w="733" w:type="pct"/>
            <w:gridSpan w:val="2"/>
            <w:hideMark/>
          </w:tcPr>
          <w:p w14:paraId="6CC56937" w14:textId="77777777" w:rsidR="001404F7" w:rsidRPr="009B2A19" w:rsidRDefault="001404F7" w:rsidP="001404F7">
            <w:pPr>
              <w:spacing w:before="40" w:after="40"/>
              <w:jc w:val="right"/>
              <w:rPr>
                <w:rFonts w:eastAsia="Times New Roman"/>
                <w:spacing w:val="4"/>
                <w:sz w:val="20"/>
                <w:szCs w:val="20"/>
                <w:lang w:val="en-GB"/>
              </w:rPr>
            </w:pPr>
            <w:r w:rsidRPr="009B2A19">
              <w:rPr>
                <w:sz w:val="20"/>
                <w:szCs w:val="20"/>
              </w:rPr>
              <w:t>10.8%</w:t>
            </w:r>
          </w:p>
        </w:tc>
        <w:tc>
          <w:tcPr>
            <w:tcW w:w="798" w:type="pct"/>
            <w:gridSpan w:val="2"/>
            <w:hideMark/>
          </w:tcPr>
          <w:p w14:paraId="6C624210" w14:textId="77777777" w:rsidR="001404F7" w:rsidRPr="00313570" w:rsidRDefault="001404F7" w:rsidP="001404F7">
            <w:pPr>
              <w:spacing w:before="40" w:after="40"/>
              <w:jc w:val="right"/>
              <w:rPr>
                <w:rFonts w:eastAsia="Times New Roman"/>
                <w:color w:val="000000" w:themeColor="text1"/>
                <w:spacing w:val="4"/>
                <w:sz w:val="20"/>
                <w:szCs w:val="20"/>
                <w:lang w:val="en-GB"/>
              </w:rPr>
            </w:pPr>
            <w:r w:rsidRPr="00313570">
              <w:rPr>
                <w:rFonts w:eastAsia="Times New Roman"/>
                <w:color w:val="000000" w:themeColor="text1"/>
                <w:spacing w:val="4"/>
                <w:sz w:val="20"/>
                <w:szCs w:val="20"/>
                <w:lang w:val="en-GB"/>
              </w:rPr>
              <w:t>10.4%</w:t>
            </w:r>
          </w:p>
        </w:tc>
        <w:tc>
          <w:tcPr>
            <w:tcW w:w="798" w:type="pct"/>
            <w:hideMark/>
          </w:tcPr>
          <w:p w14:paraId="108D4CFC" w14:textId="77777777" w:rsidR="001404F7" w:rsidRPr="00313570" w:rsidRDefault="001404F7" w:rsidP="001404F7">
            <w:pPr>
              <w:spacing w:before="40" w:after="40"/>
              <w:jc w:val="right"/>
              <w:rPr>
                <w:rFonts w:eastAsia="Times New Roman"/>
                <w:color w:val="000000" w:themeColor="text1"/>
                <w:spacing w:val="4"/>
                <w:sz w:val="20"/>
                <w:szCs w:val="20"/>
                <w:lang w:val="en-GB"/>
              </w:rPr>
            </w:pPr>
            <w:r w:rsidRPr="00313570">
              <w:rPr>
                <w:rFonts w:eastAsia="Times New Roman"/>
                <w:color w:val="000000" w:themeColor="text1"/>
                <w:spacing w:val="4"/>
                <w:sz w:val="20"/>
                <w:szCs w:val="20"/>
                <w:lang w:val="en-GB"/>
              </w:rPr>
              <w:t>10.1%</w:t>
            </w:r>
          </w:p>
        </w:tc>
      </w:tr>
      <w:tr w:rsidR="001404F7" w:rsidRPr="00313570" w14:paraId="66FABC9B" w14:textId="77777777" w:rsidTr="00107B1C">
        <w:trPr>
          <w:cnfStyle w:val="000000100000" w:firstRow="0" w:lastRow="0" w:firstColumn="0" w:lastColumn="0" w:oddVBand="0" w:evenVBand="0" w:oddHBand="1" w:evenHBand="0" w:firstRowFirstColumn="0" w:firstRowLastColumn="0" w:lastRowFirstColumn="0" w:lastRowLastColumn="0"/>
        </w:trPr>
        <w:tc>
          <w:tcPr>
            <w:tcW w:w="2670" w:type="pct"/>
            <w:hideMark/>
          </w:tcPr>
          <w:p w14:paraId="01D9B3A9" w14:textId="77777777" w:rsidR="001404F7" w:rsidRPr="00313570" w:rsidRDefault="001404F7" w:rsidP="001404F7">
            <w:pPr>
              <w:numPr>
                <w:ilvl w:val="0"/>
                <w:numId w:val="68"/>
              </w:numPr>
              <w:spacing w:before="40" w:after="40"/>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Maintenance reduced rate</w:t>
            </w:r>
          </w:p>
        </w:tc>
        <w:tc>
          <w:tcPr>
            <w:tcW w:w="733" w:type="pct"/>
            <w:gridSpan w:val="2"/>
            <w:hideMark/>
          </w:tcPr>
          <w:p w14:paraId="17CE1212" w14:textId="77777777" w:rsidR="001404F7" w:rsidRPr="009B2A19" w:rsidRDefault="001404F7" w:rsidP="001404F7">
            <w:pPr>
              <w:spacing w:before="40" w:after="40"/>
              <w:jc w:val="right"/>
              <w:rPr>
                <w:rFonts w:eastAsia="Times New Roman" w:cs="Arial"/>
                <w:spacing w:val="4"/>
                <w:sz w:val="20"/>
                <w:szCs w:val="20"/>
                <w:lang w:val="en-GB"/>
              </w:rPr>
            </w:pPr>
            <w:r w:rsidRPr="009B2A19">
              <w:rPr>
                <w:sz w:val="20"/>
                <w:szCs w:val="20"/>
              </w:rPr>
              <w:t>3.6%</w:t>
            </w:r>
          </w:p>
        </w:tc>
        <w:tc>
          <w:tcPr>
            <w:tcW w:w="798" w:type="pct"/>
            <w:gridSpan w:val="2"/>
            <w:hideMark/>
          </w:tcPr>
          <w:p w14:paraId="5797EE71"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3.3%</w:t>
            </w:r>
          </w:p>
        </w:tc>
        <w:tc>
          <w:tcPr>
            <w:tcW w:w="798" w:type="pct"/>
            <w:hideMark/>
          </w:tcPr>
          <w:p w14:paraId="7AA354D7"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3.1%</w:t>
            </w:r>
          </w:p>
        </w:tc>
      </w:tr>
      <w:tr w:rsidR="001404F7" w:rsidRPr="00313570" w14:paraId="0AB23124" w14:textId="77777777" w:rsidTr="00107B1C">
        <w:trPr>
          <w:cnfStyle w:val="000000010000" w:firstRow="0" w:lastRow="0" w:firstColumn="0" w:lastColumn="0" w:oddVBand="0" w:evenVBand="0" w:oddHBand="0" w:evenHBand="1" w:firstRowFirstColumn="0" w:firstRowLastColumn="0" w:lastRowFirstColumn="0" w:lastRowLastColumn="0"/>
        </w:trPr>
        <w:tc>
          <w:tcPr>
            <w:tcW w:w="2670" w:type="pct"/>
            <w:hideMark/>
          </w:tcPr>
          <w:p w14:paraId="3C2273EE" w14:textId="77777777" w:rsidR="001404F7" w:rsidRPr="00313570" w:rsidRDefault="001404F7" w:rsidP="001404F7">
            <w:pPr>
              <w:numPr>
                <w:ilvl w:val="0"/>
                <w:numId w:val="68"/>
              </w:numPr>
              <w:spacing w:before="40" w:after="40"/>
              <w:rPr>
                <w:rFonts w:eastAsia="Times New Roman" w:cs="Arial"/>
                <w:color w:val="000000" w:themeColor="text1"/>
                <w:spacing w:val="4"/>
                <w:sz w:val="20"/>
                <w:szCs w:val="20"/>
                <w:lang w:val="en-GB"/>
              </w:rPr>
            </w:pPr>
            <w:r w:rsidRPr="00313570">
              <w:rPr>
                <w:rFonts w:eastAsia="Times New Roman"/>
                <w:color w:val="000000" w:themeColor="text1"/>
                <w:spacing w:val="4"/>
                <w:sz w:val="20"/>
                <w:szCs w:val="20"/>
                <w:lang w:val="en-GB"/>
              </w:rPr>
              <w:t>Broken rate below high income free area</w:t>
            </w:r>
          </w:p>
        </w:tc>
        <w:tc>
          <w:tcPr>
            <w:tcW w:w="733" w:type="pct"/>
            <w:gridSpan w:val="2"/>
            <w:hideMark/>
          </w:tcPr>
          <w:p w14:paraId="10C64156" w14:textId="77777777" w:rsidR="001404F7" w:rsidRPr="009B2A19" w:rsidRDefault="001404F7" w:rsidP="001404F7">
            <w:pPr>
              <w:spacing w:before="40" w:after="40"/>
              <w:jc w:val="right"/>
              <w:rPr>
                <w:rFonts w:eastAsia="Times New Roman"/>
                <w:spacing w:val="4"/>
                <w:sz w:val="20"/>
                <w:szCs w:val="20"/>
                <w:lang w:val="en-GB"/>
              </w:rPr>
            </w:pPr>
            <w:r w:rsidRPr="009B2A19">
              <w:rPr>
                <w:sz w:val="20"/>
                <w:szCs w:val="20"/>
              </w:rPr>
              <w:t>20.4%</w:t>
            </w:r>
          </w:p>
        </w:tc>
        <w:tc>
          <w:tcPr>
            <w:tcW w:w="798" w:type="pct"/>
            <w:gridSpan w:val="2"/>
            <w:hideMark/>
          </w:tcPr>
          <w:p w14:paraId="20C54BD9" w14:textId="77777777" w:rsidR="001404F7" w:rsidRPr="00313570" w:rsidRDefault="001404F7" w:rsidP="001404F7">
            <w:pPr>
              <w:spacing w:before="40" w:after="40"/>
              <w:jc w:val="right"/>
              <w:rPr>
                <w:rFonts w:eastAsia="Times New Roman"/>
                <w:color w:val="000000" w:themeColor="text1"/>
                <w:spacing w:val="4"/>
                <w:sz w:val="20"/>
                <w:szCs w:val="20"/>
                <w:lang w:val="en-GB"/>
              </w:rPr>
            </w:pPr>
            <w:r w:rsidRPr="00313570">
              <w:rPr>
                <w:rFonts w:eastAsia="Times New Roman"/>
                <w:color w:val="000000" w:themeColor="text1"/>
                <w:spacing w:val="4"/>
                <w:sz w:val="20"/>
                <w:szCs w:val="20"/>
                <w:lang w:val="en-GB"/>
              </w:rPr>
              <w:t>20.3%</w:t>
            </w:r>
          </w:p>
        </w:tc>
        <w:tc>
          <w:tcPr>
            <w:tcW w:w="798" w:type="pct"/>
            <w:hideMark/>
          </w:tcPr>
          <w:p w14:paraId="4BFB81DF" w14:textId="77777777" w:rsidR="001404F7" w:rsidRPr="00313570" w:rsidRDefault="001404F7" w:rsidP="001404F7">
            <w:pPr>
              <w:spacing w:before="40" w:after="40"/>
              <w:jc w:val="right"/>
              <w:rPr>
                <w:rFonts w:eastAsia="Times New Roman"/>
                <w:color w:val="000000" w:themeColor="text1"/>
                <w:spacing w:val="4"/>
                <w:sz w:val="20"/>
                <w:szCs w:val="20"/>
                <w:lang w:val="en-GB"/>
              </w:rPr>
            </w:pPr>
            <w:r w:rsidRPr="00313570">
              <w:rPr>
                <w:rFonts w:eastAsia="Times New Roman"/>
                <w:color w:val="000000" w:themeColor="text1"/>
                <w:spacing w:val="4"/>
                <w:sz w:val="20"/>
                <w:szCs w:val="20"/>
                <w:lang w:val="en-GB"/>
              </w:rPr>
              <w:t>19.9%</w:t>
            </w:r>
          </w:p>
        </w:tc>
      </w:tr>
      <w:tr w:rsidR="001404F7" w:rsidRPr="00313570" w14:paraId="11111EA2" w14:textId="77777777" w:rsidTr="00107B1C">
        <w:trPr>
          <w:cnfStyle w:val="000000100000" w:firstRow="0" w:lastRow="0" w:firstColumn="0" w:lastColumn="0" w:oddVBand="0" w:evenVBand="0" w:oddHBand="1" w:evenHBand="0" w:firstRowFirstColumn="0" w:firstRowLastColumn="0" w:lastRowFirstColumn="0" w:lastRowLastColumn="0"/>
        </w:trPr>
        <w:tc>
          <w:tcPr>
            <w:tcW w:w="2670" w:type="pct"/>
            <w:hideMark/>
          </w:tcPr>
          <w:p w14:paraId="7113DF7B" w14:textId="2864A94A" w:rsidR="001404F7" w:rsidRPr="00313570" w:rsidRDefault="001404F7" w:rsidP="00096099">
            <w:pPr>
              <w:numPr>
                <w:ilvl w:val="0"/>
                <w:numId w:val="68"/>
              </w:numPr>
              <w:spacing w:before="40" w:after="40"/>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Broken rate above high income free</w:t>
            </w:r>
            <w:r w:rsidR="00340D20">
              <w:rPr>
                <w:rFonts w:eastAsia="Times New Roman" w:cs="Arial"/>
                <w:color w:val="000000" w:themeColor="text1"/>
                <w:spacing w:val="4"/>
                <w:sz w:val="20"/>
                <w:szCs w:val="20"/>
                <w:lang w:val="en-GB"/>
              </w:rPr>
              <w:t xml:space="preserve"> </w:t>
            </w:r>
            <w:r w:rsidRPr="00313570">
              <w:rPr>
                <w:rFonts w:eastAsia="Times New Roman" w:cs="Arial"/>
                <w:color w:val="000000" w:themeColor="text1"/>
                <w:spacing w:val="4"/>
                <w:sz w:val="20"/>
                <w:szCs w:val="20"/>
                <w:lang w:val="en-GB"/>
              </w:rPr>
              <w:t>area</w:t>
            </w:r>
          </w:p>
        </w:tc>
        <w:tc>
          <w:tcPr>
            <w:tcW w:w="733" w:type="pct"/>
            <w:gridSpan w:val="2"/>
            <w:hideMark/>
          </w:tcPr>
          <w:p w14:paraId="227174BC" w14:textId="77777777" w:rsidR="001404F7" w:rsidRPr="009B2A19" w:rsidRDefault="001404F7" w:rsidP="001404F7">
            <w:pPr>
              <w:spacing w:before="40" w:after="40"/>
              <w:jc w:val="right"/>
              <w:rPr>
                <w:rFonts w:eastAsia="Times New Roman" w:cs="Arial"/>
                <w:spacing w:val="4"/>
                <w:sz w:val="20"/>
                <w:szCs w:val="20"/>
                <w:lang w:val="en-GB"/>
              </w:rPr>
            </w:pPr>
            <w:r w:rsidRPr="009B2A19">
              <w:rPr>
                <w:sz w:val="20"/>
                <w:szCs w:val="20"/>
              </w:rPr>
              <w:t>6.8%</w:t>
            </w:r>
          </w:p>
        </w:tc>
        <w:tc>
          <w:tcPr>
            <w:tcW w:w="798" w:type="pct"/>
            <w:gridSpan w:val="2"/>
            <w:hideMark/>
          </w:tcPr>
          <w:p w14:paraId="75981E4B"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6.5%</w:t>
            </w:r>
          </w:p>
        </w:tc>
        <w:tc>
          <w:tcPr>
            <w:tcW w:w="798" w:type="pct"/>
            <w:hideMark/>
          </w:tcPr>
          <w:p w14:paraId="67CF26D1"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6.0%</w:t>
            </w:r>
          </w:p>
        </w:tc>
      </w:tr>
      <w:tr w:rsidR="001404F7" w:rsidRPr="00313570" w14:paraId="4D3FB56D" w14:textId="77777777" w:rsidTr="00107B1C">
        <w:trPr>
          <w:cnfStyle w:val="000000010000" w:firstRow="0" w:lastRow="0" w:firstColumn="0" w:lastColumn="0" w:oddVBand="0" w:evenVBand="0" w:oddHBand="0" w:evenHBand="1" w:firstRowFirstColumn="0" w:firstRowLastColumn="0" w:lastRowFirstColumn="0" w:lastRowLastColumn="0"/>
        </w:trPr>
        <w:tc>
          <w:tcPr>
            <w:tcW w:w="2670" w:type="pct"/>
            <w:hideMark/>
          </w:tcPr>
          <w:p w14:paraId="58D0E63F" w14:textId="77777777" w:rsidR="001404F7" w:rsidRPr="00313570" w:rsidRDefault="001404F7" w:rsidP="001404F7">
            <w:pPr>
              <w:numPr>
                <w:ilvl w:val="0"/>
                <w:numId w:val="68"/>
              </w:numPr>
              <w:spacing w:before="40" w:after="40"/>
              <w:rPr>
                <w:rFonts w:eastAsia="Times New Roman" w:cs="Arial"/>
                <w:color w:val="000000" w:themeColor="text1"/>
                <w:spacing w:val="4"/>
                <w:sz w:val="20"/>
                <w:szCs w:val="20"/>
                <w:lang w:val="en-GB"/>
              </w:rPr>
            </w:pPr>
            <w:r w:rsidRPr="00313570">
              <w:rPr>
                <w:rFonts w:eastAsia="Times New Roman"/>
                <w:color w:val="000000" w:themeColor="text1"/>
                <w:spacing w:val="4"/>
                <w:sz w:val="20"/>
                <w:szCs w:val="20"/>
                <w:lang w:val="en-GB"/>
              </w:rPr>
              <w:t>Base rate</w:t>
            </w:r>
          </w:p>
        </w:tc>
        <w:tc>
          <w:tcPr>
            <w:tcW w:w="733" w:type="pct"/>
            <w:gridSpan w:val="2"/>
            <w:hideMark/>
          </w:tcPr>
          <w:p w14:paraId="611DDDF8" w14:textId="77777777" w:rsidR="001404F7" w:rsidRPr="009B2A19" w:rsidRDefault="001404F7" w:rsidP="001404F7">
            <w:pPr>
              <w:spacing w:before="40" w:after="40"/>
              <w:jc w:val="right"/>
              <w:rPr>
                <w:rFonts w:eastAsia="Times New Roman"/>
                <w:spacing w:val="4"/>
                <w:sz w:val="20"/>
                <w:szCs w:val="20"/>
                <w:lang w:val="en-GB"/>
              </w:rPr>
            </w:pPr>
            <w:r w:rsidRPr="009B2A19">
              <w:rPr>
                <w:sz w:val="20"/>
                <w:szCs w:val="20"/>
              </w:rPr>
              <w:t>9.9%</w:t>
            </w:r>
          </w:p>
        </w:tc>
        <w:tc>
          <w:tcPr>
            <w:tcW w:w="798" w:type="pct"/>
            <w:gridSpan w:val="2"/>
            <w:hideMark/>
          </w:tcPr>
          <w:p w14:paraId="51D96030" w14:textId="77777777" w:rsidR="001404F7" w:rsidRPr="00313570" w:rsidRDefault="001404F7" w:rsidP="001404F7">
            <w:pPr>
              <w:spacing w:before="40" w:after="40"/>
              <w:jc w:val="right"/>
              <w:rPr>
                <w:rFonts w:eastAsia="Times New Roman"/>
                <w:color w:val="000000" w:themeColor="text1"/>
                <w:spacing w:val="4"/>
                <w:sz w:val="20"/>
                <w:szCs w:val="20"/>
                <w:lang w:val="en-GB"/>
              </w:rPr>
            </w:pPr>
            <w:r w:rsidRPr="00313570">
              <w:rPr>
                <w:rFonts w:eastAsia="Times New Roman"/>
                <w:color w:val="000000" w:themeColor="text1"/>
                <w:spacing w:val="4"/>
                <w:sz w:val="20"/>
                <w:szCs w:val="20"/>
                <w:lang w:val="en-GB"/>
              </w:rPr>
              <w:t>10.2%</w:t>
            </w:r>
          </w:p>
        </w:tc>
        <w:tc>
          <w:tcPr>
            <w:tcW w:w="798" w:type="pct"/>
            <w:hideMark/>
          </w:tcPr>
          <w:p w14:paraId="1B4BFD43" w14:textId="77777777" w:rsidR="001404F7" w:rsidRPr="00313570" w:rsidRDefault="001404F7" w:rsidP="001404F7">
            <w:pPr>
              <w:spacing w:before="40" w:after="40"/>
              <w:jc w:val="right"/>
              <w:rPr>
                <w:rFonts w:eastAsia="Times New Roman"/>
                <w:color w:val="000000" w:themeColor="text1"/>
                <w:spacing w:val="4"/>
                <w:sz w:val="20"/>
                <w:szCs w:val="20"/>
                <w:lang w:val="en-GB"/>
              </w:rPr>
            </w:pPr>
            <w:r w:rsidRPr="00313570">
              <w:rPr>
                <w:rFonts w:eastAsia="Times New Roman"/>
                <w:color w:val="000000" w:themeColor="text1"/>
                <w:spacing w:val="4"/>
                <w:sz w:val="20"/>
                <w:szCs w:val="20"/>
                <w:lang w:val="en-GB"/>
              </w:rPr>
              <w:t>11.2%</w:t>
            </w:r>
          </w:p>
        </w:tc>
      </w:tr>
      <w:tr w:rsidR="001404F7" w:rsidRPr="00313570" w14:paraId="38BDD740" w14:textId="77777777" w:rsidTr="00107B1C">
        <w:trPr>
          <w:cnfStyle w:val="000000100000" w:firstRow="0" w:lastRow="0" w:firstColumn="0" w:lastColumn="0" w:oddVBand="0" w:evenVBand="0" w:oddHBand="1" w:evenHBand="0" w:firstRowFirstColumn="0" w:firstRowLastColumn="0" w:lastRowFirstColumn="0" w:lastRowLastColumn="0"/>
        </w:trPr>
        <w:tc>
          <w:tcPr>
            <w:tcW w:w="2670" w:type="pct"/>
            <w:hideMark/>
          </w:tcPr>
          <w:p w14:paraId="201FF862" w14:textId="77777777" w:rsidR="001404F7" w:rsidRPr="00313570" w:rsidRDefault="001404F7" w:rsidP="001404F7">
            <w:pPr>
              <w:numPr>
                <w:ilvl w:val="0"/>
                <w:numId w:val="68"/>
              </w:numPr>
              <w:spacing w:before="40" w:after="40"/>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Tapered base rate</w:t>
            </w:r>
          </w:p>
        </w:tc>
        <w:tc>
          <w:tcPr>
            <w:tcW w:w="733" w:type="pct"/>
            <w:gridSpan w:val="2"/>
            <w:hideMark/>
          </w:tcPr>
          <w:p w14:paraId="05887CA8" w14:textId="77777777" w:rsidR="001404F7" w:rsidRPr="009B2A19" w:rsidRDefault="001404F7" w:rsidP="001404F7">
            <w:pPr>
              <w:spacing w:before="40" w:after="40"/>
              <w:jc w:val="right"/>
              <w:rPr>
                <w:rFonts w:eastAsia="Times New Roman" w:cs="Arial"/>
                <w:spacing w:val="4"/>
                <w:sz w:val="20"/>
                <w:szCs w:val="20"/>
                <w:lang w:val="en-GB"/>
              </w:rPr>
            </w:pPr>
            <w:r w:rsidRPr="009B2A19">
              <w:rPr>
                <w:sz w:val="20"/>
                <w:szCs w:val="20"/>
              </w:rPr>
              <w:t>3.8%</w:t>
            </w:r>
          </w:p>
        </w:tc>
        <w:tc>
          <w:tcPr>
            <w:tcW w:w="798" w:type="pct"/>
            <w:gridSpan w:val="2"/>
            <w:hideMark/>
          </w:tcPr>
          <w:p w14:paraId="6022DD38"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4.1%</w:t>
            </w:r>
          </w:p>
        </w:tc>
        <w:tc>
          <w:tcPr>
            <w:tcW w:w="798" w:type="pct"/>
            <w:hideMark/>
          </w:tcPr>
          <w:p w14:paraId="348DA348"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4.4%</w:t>
            </w:r>
          </w:p>
        </w:tc>
      </w:tr>
      <w:tr w:rsidR="001404F7" w:rsidRPr="00313570" w14:paraId="464BE5C2" w14:textId="77777777" w:rsidTr="00107B1C">
        <w:trPr>
          <w:cnfStyle w:val="000000010000" w:firstRow="0" w:lastRow="0" w:firstColumn="0" w:lastColumn="0" w:oddVBand="0" w:evenVBand="0" w:oddHBand="0" w:evenHBand="1" w:firstRowFirstColumn="0" w:firstRowLastColumn="0" w:lastRowFirstColumn="0" w:lastRowLastColumn="0"/>
        </w:trPr>
        <w:tc>
          <w:tcPr>
            <w:tcW w:w="2670" w:type="pct"/>
            <w:hideMark/>
          </w:tcPr>
          <w:p w14:paraId="65F780C6" w14:textId="77777777" w:rsidR="001404F7" w:rsidRPr="00313570" w:rsidRDefault="001404F7" w:rsidP="001404F7">
            <w:pPr>
              <w:numPr>
                <w:ilvl w:val="0"/>
                <w:numId w:val="68"/>
              </w:numPr>
              <w:spacing w:before="40" w:after="40"/>
              <w:rPr>
                <w:rFonts w:eastAsia="Times New Roman" w:cs="Arial"/>
                <w:color w:val="000000" w:themeColor="text1"/>
                <w:spacing w:val="4"/>
                <w:sz w:val="20"/>
                <w:szCs w:val="20"/>
                <w:lang w:val="en-GB"/>
              </w:rPr>
            </w:pPr>
            <w:r w:rsidRPr="00313570">
              <w:rPr>
                <w:rFonts w:eastAsia="Times New Roman"/>
                <w:color w:val="000000" w:themeColor="text1"/>
                <w:spacing w:val="4"/>
                <w:sz w:val="20"/>
                <w:szCs w:val="20"/>
                <w:lang w:val="en-GB"/>
              </w:rPr>
              <w:t>Regular care rate</w:t>
            </w:r>
          </w:p>
        </w:tc>
        <w:tc>
          <w:tcPr>
            <w:tcW w:w="733" w:type="pct"/>
            <w:gridSpan w:val="2"/>
            <w:hideMark/>
          </w:tcPr>
          <w:p w14:paraId="6314138E" w14:textId="77777777" w:rsidR="001404F7" w:rsidRPr="009B2A19" w:rsidRDefault="001404F7" w:rsidP="001404F7">
            <w:pPr>
              <w:spacing w:before="40" w:after="40"/>
              <w:jc w:val="right"/>
              <w:rPr>
                <w:rFonts w:eastAsia="Times New Roman"/>
                <w:spacing w:val="4"/>
                <w:sz w:val="20"/>
                <w:szCs w:val="20"/>
                <w:lang w:val="en-GB"/>
              </w:rPr>
            </w:pPr>
            <w:r w:rsidRPr="009B2A19">
              <w:rPr>
                <w:sz w:val="20"/>
                <w:szCs w:val="20"/>
              </w:rPr>
              <w:t>0.5%</w:t>
            </w:r>
          </w:p>
        </w:tc>
        <w:tc>
          <w:tcPr>
            <w:tcW w:w="798" w:type="pct"/>
            <w:gridSpan w:val="2"/>
            <w:hideMark/>
          </w:tcPr>
          <w:p w14:paraId="143F1072" w14:textId="77777777" w:rsidR="001404F7" w:rsidRPr="00313570" w:rsidRDefault="001404F7" w:rsidP="001404F7">
            <w:pPr>
              <w:spacing w:before="40" w:after="40"/>
              <w:jc w:val="right"/>
              <w:rPr>
                <w:rFonts w:eastAsia="Times New Roman"/>
                <w:color w:val="000000" w:themeColor="text1"/>
                <w:spacing w:val="4"/>
                <w:sz w:val="20"/>
                <w:szCs w:val="20"/>
                <w:lang w:val="en-GB"/>
              </w:rPr>
            </w:pPr>
            <w:r w:rsidRPr="00313570">
              <w:rPr>
                <w:rFonts w:eastAsia="Times New Roman"/>
                <w:color w:val="000000" w:themeColor="text1"/>
                <w:spacing w:val="4"/>
                <w:sz w:val="20"/>
                <w:szCs w:val="20"/>
                <w:lang w:val="en-GB"/>
              </w:rPr>
              <w:t>0.4%</w:t>
            </w:r>
          </w:p>
        </w:tc>
        <w:tc>
          <w:tcPr>
            <w:tcW w:w="798" w:type="pct"/>
            <w:hideMark/>
          </w:tcPr>
          <w:p w14:paraId="5266A16E" w14:textId="77777777" w:rsidR="001404F7" w:rsidRPr="00313570" w:rsidRDefault="001404F7" w:rsidP="001404F7">
            <w:pPr>
              <w:spacing w:before="40" w:after="40"/>
              <w:jc w:val="right"/>
              <w:rPr>
                <w:rFonts w:eastAsia="Times New Roman"/>
                <w:color w:val="000000" w:themeColor="text1"/>
                <w:spacing w:val="4"/>
                <w:sz w:val="20"/>
                <w:szCs w:val="20"/>
                <w:lang w:val="en-GB"/>
              </w:rPr>
            </w:pPr>
            <w:r w:rsidRPr="00313570">
              <w:rPr>
                <w:rFonts w:eastAsia="Times New Roman"/>
                <w:color w:val="000000" w:themeColor="text1"/>
                <w:spacing w:val="4"/>
                <w:sz w:val="20"/>
                <w:szCs w:val="20"/>
                <w:lang w:val="en-GB"/>
              </w:rPr>
              <w:t>0.5%</w:t>
            </w:r>
          </w:p>
        </w:tc>
      </w:tr>
      <w:tr w:rsidR="001404F7" w:rsidRPr="00313570" w14:paraId="45880F2B"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6"/>
            <w:hideMark/>
          </w:tcPr>
          <w:p w14:paraId="68BA136C" w14:textId="77777777" w:rsidR="001404F7" w:rsidRPr="00313570" w:rsidRDefault="001404F7" w:rsidP="001404F7">
            <w:pPr>
              <w:spacing w:before="40" w:after="40"/>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Percentage of families in receipt of Family Tax Benefit Part B within income test categories:</w:t>
            </w:r>
          </w:p>
        </w:tc>
      </w:tr>
      <w:tr w:rsidR="001404F7" w:rsidRPr="00313570" w14:paraId="0B20BB6C"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6"/>
            <w:hideMark/>
          </w:tcPr>
          <w:p w14:paraId="0FBAC4E8" w14:textId="77777777" w:rsidR="001404F7" w:rsidRPr="00313570" w:rsidRDefault="001404F7" w:rsidP="001404F7">
            <w:pPr>
              <w:numPr>
                <w:ilvl w:val="0"/>
                <w:numId w:val="67"/>
              </w:numPr>
              <w:spacing w:before="40" w:after="40"/>
              <w:ind w:left="459"/>
              <w:rPr>
                <w:rFonts w:eastAsia="Times New Roman" w:cs="Arial"/>
                <w:color w:val="000000" w:themeColor="text1"/>
                <w:spacing w:val="4"/>
                <w:sz w:val="20"/>
                <w:szCs w:val="20"/>
                <w:lang w:val="en-GB"/>
              </w:rPr>
            </w:pPr>
            <w:r w:rsidRPr="00313570">
              <w:rPr>
                <w:rFonts w:eastAsia="Times New Roman"/>
                <w:color w:val="000000" w:themeColor="text1"/>
                <w:spacing w:val="4"/>
                <w:sz w:val="20"/>
                <w:szCs w:val="20"/>
                <w:lang w:val="en-GB"/>
              </w:rPr>
              <w:t>Families on Income Support</w:t>
            </w:r>
          </w:p>
        </w:tc>
      </w:tr>
      <w:tr w:rsidR="001404F7" w:rsidRPr="00313570" w14:paraId="4788876D" w14:textId="77777777" w:rsidTr="00107B1C">
        <w:trPr>
          <w:cnfStyle w:val="000000100000" w:firstRow="0" w:lastRow="0" w:firstColumn="0" w:lastColumn="0" w:oddVBand="0" w:evenVBand="0" w:oddHBand="1" w:evenHBand="0" w:firstRowFirstColumn="0" w:firstRowLastColumn="0" w:lastRowFirstColumn="0" w:lastRowLastColumn="0"/>
        </w:trPr>
        <w:tc>
          <w:tcPr>
            <w:tcW w:w="2670" w:type="pct"/>
            <w:hideMark/>
          </w:tcPr>
          <w:p w14:paraId="01C2C820" w14:textId="77777777" w:rsidR="001404F7" w:rsidRPr="00313570" w:rsidRDefault="001404F7" w:rsidP="001404F7">
            <w:pPr>
              <w:numPr>
                <w:ilvl w:val="0"/>
                <w:numId w:val="68"/>
              </w:numPr>
              <w:spacing w:before="40" w:after="40"/>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Maximum rate single families</w:t>
            </w:r>
          </w:p>
        </w:tc>
        <w:tc>
          <w:tcPr>
            <w:tcW w:w="733" w:type="pct"/>
            <w:gridSpan w:val="2"/>
            <w:hideMark/>
          </w:tcPr>
          <w:p w14:paraId="28841558" w14:textId="77777777" w:rsidR="001404F7" w:rsidRPr="009B2A19" w:rsidRDefault="001404F7" w:rsidP="001404F7">
            <w:pPr>
              <w:spacing w:before="40" w:after="40"/>
              <w:jc w:val="right"/>
              <w:rPr>
                <w:rFonts w:eastAsia="Times New Roman" w:cs="Arial"/>
                <w:spacing w:val="4"/>
                <w:sz w:val="20"/>
                <w:szCs w:val="20"/>
                <w:lang w:val="en-GB"/>
              </w:rPr>
            </w:pPr>
            <w:r w:rsidRPr="009B2A19">
              <w:rPr>
                <w:sz w:val="20"/>
                <w:szCs w:val="20"/>
              </w:rPr>
              <w:t>39.0%</w:t>
            </w:r>
          </w:p>
        </w:tc>
        <w:tc>
          <w:tcPr>
            <w:tcW w:w="798" w:type="pct"/>
            <w:gridSpan w:val="2"/>
            <w:hideMark/>
          </w:tcPr>
          <w:p w14:paraId="6E33A0C4"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39.1%</w:t>
            </w:r>
          </w:p>
        </w:tc>
        <w:tc>
          <w:tcPr>
            <w:tcW w:w="798" w:type="pct"/>
            <w:hideMark/>
          </w:tcPr>
          <w:p w14:paraId="4DAB8134"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37.1%</w:t>
            </w:r>
          </w:p>
        </w:tc>
      </w:tr>
      <w:tr w:rsidR="001404F7" w:rsidRPr="00313570" w14:paraId="7C774003" w14:textId="77777777" w:rsidTr="00107B1C">
        <w:trPr>
          <w:cnfStyle w:val="000000010000" w:firstRow="0" w:lastRow="0" w:firstColumn="0" w:lastColumn="0" w:oddVBand="0" w:evenVBand="0" w:oddHBand="0" w:evenHBand="1" w:firstRowFirstColumn="0" w:firstRowLastColumn="0" w:lastRowFirstColumn="0" w:lastRowLastColumn="0"/>
        </w:trPr>
        <w:tc>
          <w:tcPr>
            <w:tcW w:w="2670" w:type="pct"/>
            <w:hideMark/>
          </w:tcPr>
          <w:p w14:paraId="5BC02AC6" w14:textId="77777777" w:rsidR="001404F7" w:rsidRPr="00313570" w:rsidRDefault="001404F7" w:rsidP="001404F7">
            <w:pPr>
              <w:numPr>
                <w:ilvl w:val="0"/>
                <w:numId w:val="68"/>
              </w:numPr>
              <w:spacing w:before="40" w:after="40"/>
              <w:rPr>
                <w:rFonts w:eastAsia="Times New Roman" w:cs="Arial"/>
                <w:color w:val="000000" w:themeColor="text1"/>
                <w:spacing w:val="4"/>
                <w:sz w:val="20"/>
                <w:szCs w:val="20"/>
                <w:lang w:val="en-GB"/>
              </w:rPr>
            </w:pPr>
            <w:r w:rsidRPr="00313570">
              <w:rPr>
                <w:rFonts w:eastAsia="Times New Roman"/>
                <w:color w:val="000000" w:themeColor="text1"/>
                <w:spacing w:val="4"/>
                <w:sz w:val="20"/>
                <w:szCs w:val="20"/>
                <w:lang w:val="en-GB"/>
              </w:rPr>
              <w:t>Maximum rate couple families</w:t>
            </w:r>
          </w:p>
        </w:tc>
        <w:tc>
          <w:tcPr>
            <w:tcW w:w="733" w:type="pct"/>
            <w:gridSpan w:val="2"/>
            <w:hideMark/>
          </w:tcPr>
          <w:p w14:paraId="7635E763" w14:textId="77777777" w:rsidR="001404F7" w:rsidRPr="009B2A19" w:rsidRDefault="001404F7" w:rsidP="001404F7">
            <w:pPr>
              <w:spacing w:before="40" w:after="40"/>
              <w:jc w:val="right"/>
              <w:rPr>
                <w:rFonts w:eastAsia="Times New Roman"/>
                <w:spacing w:val="4"/>
                <w:sz w:val="20"/>
                <w:szCs w:val="20"/>
                <w:lang w:val="en-GB"/>
              </w:rPr>
            </w:pPr>
            <w:r w:rsidRPr="009B2A19">
              <w:rPr>
                <w:sz w:val="20"/>
                <w:szCs w:val="20"/>
              </w:rPr>
              <w:t>1.8%</w:t>
            </w:r>
          </w:p>
        </w:tc>
        <w:tc>
          <w:tcPr>
            <w:tcW w:w="798" w:type="pct"/>
            <w:gridSpan w:val="2"/>
            <w:hideMark/>
          </w:tcPr>
          <w:p w14:paraId="0CFAABAB" w14:textId="77777777" w:rsidR="001404F7" w:rsidRPr="00313570" w:rsidRDefault="001404F7" w:rsidP="001404F7">
            <w:pPr>
              <w:spacing w:before="40" w:after="40"/>
              <w:jc w:val="right"/>
              <w:rPr>
                <w:rFonts w:eastAsia="Times New Roman"/>
                <w:color w:val="000000" w:themeColor="text1"/>
                <w:spacing w:val="4"/>
                <w:sz w:val="20"/>
                <w:szCs w:val="20"/>
                <w:lang w:val="en-GB"/>
              </w:rPr>
            </w:pPr>
            <w:r w:rsidRPr="00313570">
              <w:rPr>
                <w:rFonts w:eastAsia="Times New Roman"/>
                <w:color w:val="000000" w:themeColor="text1"/>
                <w:spacing w:val="4"/>
                <w:sz w:val="20"/>
                <w:szCs w:val="20"/>
                <w:lang w:val="en-GB"/>
              </w:rPr>
              <w:t>1.9%</w:t>
            </w:r>
          </w:p>
        </w:tc>
        <w:tc>
          <w:tcPr>
            <w:tcW w:w="798" w:type="pct"/>
            <w:hideMark/>
          </w:tcPr>
          <w:p w14:paraId="0798656A" w14:textId="77777777" w:rsidR="001404F7" w:rsidRPr="00313570" w:rsidRDefault="001404F7" w:rsidP="001404F7">
            <w:pPr>
              <w:spacing w:before="40" w:after="40"/>
              <w:jc w:val="right"/>
              <w:rPr>
                <w:rFonts w:eastAsia="Times New Roman"/>
                <w:color w:val="000000" w:themeColor="text1"/>
                <w:spacing w:val="4"/>
                <w:sz w:val="20"/>
                <w:szCs w:val="20"/>
                <w:lang w:val="en-GB"/>
              </w:rPr>
            </w:pPr>
            <w:r w:rsidRPr="00313570">
              <w:rPr>
                <w:rFonts w:eastAsia="Times New Roman"/>
                <w:color w:val="000000" w:themeColor="text1"/>
                <w:spacing w:val="4"/>
                <w:sz w:val="20"/>
                <w:szCs w:val="20"/>
                <w:lang w:val="en-GB"/>
              </w:rPr>
              <w:t>2.1%</w:t>
            </w:r>
          </w:p>
        </w:tc>
      </w:tr>
      <w:tr w:rsidR="001404F7" w:rsidRPr="00313570" w14:paraId="2157BE35" w14:textId="77777777" w:rsidTr="00107B1C">
        <w:trPr>
          <w:cnfStyle w:val="000000100000" w:firstRow="0" w:lastRow="0" w:firstColumn="0" w:lastColumn="0" w:oddVBand="0" w:evenVBand="0" w:oddHBand="1" w:evenHBand="0" w:firstRowFirstColumn="0" w:firstRowLastColumn="0" w:lastRowFirstColumn="0" w:lastRowLastColumn="0"/>
        </w:trPr>
        <w:tc>
          <w:tcPr>
            <w:tcW w:w="2670" w:type="pct"/>
            <w:hideMark/>
          </w:tcPr>
          <w:p w14:paraId="05DFAF40" w14:textId="77777777" w:rsidR="001404F7" w:rsidRPr="00313570" w:rsidRDefault="001404F7" w:rsidP="001404F7">
            <w:pPr>
              <w:numPr>
                <w:ilvl w:val="0"/>
                <w:numId w:val="68"/>
              </w:numPr>
              <w:spacing w:before="40" w:after="40"/>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Broken rate couple families</w:t>
            </w:r>
          </w:p>
        </w:tc>
        <w:tc>
          <w:tcPr>
            <w:tcW w:w="733" w:type="pct"/>
            <w:gridSpan w:val="2"/>
            <w:hideMark/>
          </w:tcPr>
          <w:p w14:paraId="7152DCF9" w14:textId="77777777" w:rsidR="001404F7" w:rsidRPr="009B2A19" w:rsidRDefault="001404F7" w:rsidP="001404F7">
            <w:pPr>
              <w:spacing w:before="40" w:after="40"/>
              <w:jc w:val="right"/>
              <w:rPr>
                <w:rFonts w:eastAsia="Times New Roman" w:cs="Arial"/>
                <w:spacing w:val="4"/>
                <w:sz w:val="20"/>
                <w:szCs w:val="20"/>
                <w:lang w:val="en-GB"/>
              </w:rPr>
            </w:pPr>
            <w:r w:rsidRPr="009B2A19">
              <w:rPr>
                <w:sz w:val="20"/>
                <w:szCs w:val="20"/>
              </w:rPr>
              <w:t>10.6%</w:t>
            </w:r>
          </w:p>
        </w:tc>
        <w:tc>
          <w:tcPr>
            <w:tcW w:w="798" w:type="pct"/>
            <w:gridSpan w:val="2"/>
            <w:hideMark/>
          </w:tcPr>
          <w:p w14:paraId="12F43B8A"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11.2%</w:t>
            </w:r>
          </w:p>
        </w:tc>
        <w:tc>
          <w:tcPr>
            <w:tcW w:w="798" w:type="pct"/>
            <w:hideMark/>
          </w:tcPr>
          <w:p w14:paraId="3E9CD302"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12.8%</w:t>
            </w:r>
          </w:p>
        </w:tc>
      </w:tr>
      <w:tr w:rsidR="001404F7" w:rsidRPr="00313570" w14:paraId="3C553523"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6"/>
            <w:hideMark/>
          </w:tcPr>
          <w:p w14:paraId="3E28BFDC" w14:textId="77777777" w:rsidR="001404F7" w:rsidRPr="00313570" w:rsidRDefault="001404F7" w:rsidP="001404F7">
            <w:pPr>
              <w:numPr>
                <w:ilvl w:val="0"/>
                <w:numId w:val="67"/>
              </w:numPr>
              <w:spacing w:before="40" w:after="40"/>
              <w:ind w:left="459"/>
              <w:rPr>
                <w:rFonts w:eastAsia="Times New Roman" w:cs="Arial"/>
                <w:color w:val="000000" w:themeColor="text1"/>
                <w:spacing w:val="4"/>
                <w:sz w:val="20"/>
                <w:szCs w:val="20"/>
                <w:lang w:val="en-GB"/>
              </w:rPr>
            </w:pPr>
            <w:r w:rsidRPr="00313570">
              <w:rPr>
                <w:rFonts w:eastAsia="Times New Roman"/>
                <w:color w:val="000000" w:themeColor="text1"/>
                <w:spacing w:val="4"/>
                <w:sz w:val="20"/>
                <w:szCs w:val="20"/>
                <w:lang w:val="en-GB"/>
              </w:rPr>
              <w:t>Families not on Income Support</w:t>
            </w:r>
          </w:p>
        </w:tc>
      </w:tr>
      <w:tr w:rsidR="001404F7" w:rsidRPr="00313570" w14:paraId="14892FF0" w14:textId="77777777" w:rsidTr="00107B1C">
        <w:trPr>
          <w:cnfStyle w:val="000000100000" w:firstRow="0" w:lastRow="0" w:firstColumn="0" w:lastColumn="0" w:oddVBand="0" w:evenVBand="0" w:oddHBand="1" w:evenHBand="0" w:firstRowFirstColumn="0" w:firstRowLastColumn="0" w:lastRowFirstColumn="0" w:lastRowLastColumn="0"/>
        </w:trPr>
        <w:tc>
          <w:tcPr>
            <w:tcW w:w="2670" w:type="pct"/>
            <w:hideMark/>
          </w:tcPr>
          <w:p w14:paraId="2BE44DDE" w14:textId="77777777" w:rsidR="001404F7" w:rsidRPr="00313570" w:rsidRDefault="001404F7" w:rsidP="001404F7">
            <w:pPr>
              <w:numPr>
                <w:ilvl w:val="0"/>
                <w:numId w:val="68"/>
              </w:numPr>
              <w:spacing w:before="40" w:after="40"/>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Maximum rate single families</w:t>
            </w:r>
          </w:p>
        </w:tc>
        <w:tc>
          <w:tcPr>
            <w:tcW w:w="733" w:type="pct"/>
            <w:gridSpan w:val="2"/>
            <w:hideMark/>
          </w:tcPr>
          <w:p w14:paraId="708C026E" w14:textId="77777777" w:rsidR="001404F7" w:rsidRPr="009B2A19" w:rsidRDefault="001404F7" w:rsidP="001404F7">
            <w:pPr>
              <w:spacing w:before="40" w:after="40"/>
              <w:jc w:val="right"/>
              <w:rPr>
                <w:rFonts w:eastAsia="Times New Roman" w:cs="Arial"/>
                <w:spacing w:val="4"/>
                <w:sz w:val="20"/>
                <w:szCs w:val="20"/>
                <w:lang w:val="en-GB"/>
              </w:rPr>
            </w:pPr>
            <w:r w:rsidRPr="009B2A19">
              <w:rPr>
                <w:sz w:val="20"/>
                <w:szCs w:val="20"/>
              </w:rPr>
              <w:t>18.9%</w:t>
            </w:r>
          </w:p>
        </w:tc>
        <w:tc>
          <w:tcPr>
            <w:tcW w:w="798" w:type="pct"/>
            <w:gridSpan w:val="2"/>
            <w:hideMark/>
          </w:tcPr>
          <w:p w14:paraId="46462C6C"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17.5%</w:t>
            </w:r>
          </w:p>
        </w:tc>
        <w:tc>
          <w:tcPr>
            <w:tcW w:w="798" w:type="pct"/>
            <w:hideMark/>
          </w:tcPr>
          <w:p w14:paraId="0D230BD2"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15.8%</w:t>
            </w:r>
          </w:p>
        </w:tc>
      </w:tr>
      <w:tr w:rsidR="001404F7" w:rsidRPr="00313570" w14:paraId="511558C8" w14:textId="77777777" w:rsidTr="00107B1C">
        <w:trPr>
          <w:cnfStyle w:val="000000010000" w:firstRow="0" w:lastRow="0" w:firstColumn="0" w:lastColumn="0" w:oddVBand="0" w:evenVBand="0" w:oddHBand="0" w:evenHBand="1" w:firstRowFirstColumn="0" w:firstRowLastColumn="0" w:lastRowFirstColumn="0" w:lastRowLastColumn="0"/>
        </w:trPr>
        <w:tc>
          <w:tcPr>
            <w:tcW w:w="2670" w:type="pct"/>
            <w:hideMark/>
          </w:tcPr>
          <w:p w14:paraId="6E00C9F3" w14:textId="77777777" w:rsidR="001404F7" w:rsidRPr="00313570" w:rsidRDefault="001404F7" w:rsidP="001404F7">
            <w:pPr>
              <w:numPr>
                <w:ilvl w:val="0"/>
                <w:numId w:val="68"/>
              </w:numPr>
              <w:spacing w:before="40" w:after="40"/>
              <w:rPr>
                <w:rFonts w:eastAsia="Times New Roman" w:cs="Arial"/>
                <w:color w:val="000000" w:themeColor="text1"/>
                <w:spacing w:val="4"/>
                <w:sz w:val="20"/>
                <w:szCs w:val="20"/>
                <w:lang w:val="en-GB"/>
              </w:rPr>
            </w:pPr>
            <w:r w:rsidRPr="00313570">
              <w:rPr>
                <w:rFonts w:eastAsia="Times New Roman"/>
                <w:color w:val="000000" w:themeColor="text1"/>
                <w:spacing w:val="4"/>
                <w:sz w:val="20"/>
                <w:szCs w:val="20"/>
                <w:lang w:val="en-GB"/>
              </w:rPr>
              <w:t>Maximum rate couple families</w:t>
            </w:r>
          </w:p>
        </w:tc>
        <w:tc>
          <w:tcPr>
            <w:tcW w:w="733" w:type="pct"/>
            <w:gridSpan w:val="2"/>
            <w:hideMark/>
          </w:tcPr>
          <w:p w14:paraId="2F505F39" w14:textId="77777777" w:rsidR="001404F7" w:rsidRPr="009B2A19" w:rsidRDefault="001404F7" w:rsidP="001404F7">
            <w:pPr>
              <w:spacing w:before="40" w:after="40"/>
              <w:jc w:val="right"/>
              <w:rPr>
                <w:rFonts w:eastAsia="Times New Roman"/>
                <w:spacing w:val="4"/>
                <w:sz w:val="20"/>
                <w:szCs w:val="20"/>
                <w:lang w:val="en-GB"/>
              </w:rPr>
            </w:pPr>
            <w:r w:rsidRPr="009B2A19">
              <w:rPr>
                <w:sz w:val="20"/>
                <w:szCs w:val="20"/>
              </w:rPr>
              <w:t>15.5%</w:t>
            </w:r>
          </w:p>
        </w:tc>
        <w:tc>
          <w:tcPr>
            <w:tcW w:w="798" w:type="pct"/>
            <w:gridSpan w:val="2"/>
            <w:hideMark/>
          </w:tcPr>
          <w:p w14:paraId="3961CF92" w14:textId="77777777" w:rsidR="001404F7" w:rsidRPr="00313570" w:rsidRDefault="001404F7" w:rsidP="001404F7">
            <w:pPr>
              <w:spacing w:before="40" w:after="40"/>
              <w:jc w:val="right"/>
              <w:rPr>
                <w:rFonts w:eastAsia="Times New Roman"/>
                <w:color w:val="000000" w:themeColor="text1"/>
                <w:spacing w:val="4"/>
                <w:sz w:val="20"/>
                <w:szCs w:val="20"/>
                <w:lang w:val="en-GB"/>
              </w:rPr>
            </w:pPr>
            <w:r w:rsidRPr="00313570">
              <w:rPr>
                <w:rFonts w:eastAsia="Times New Roman"/>
                <w:color w:val="000000" w:themeColor="text1"/>
                <w:spacing w:val="4"/>
                <w:sz w:val="20"/>
                <w:szCs w:val="20"/>
                <w:lang w:val="en-GB"/>
              </w:rPr>
              <w:t>15.8%</w:t>
            </w:r>
          </w:p>
        </w:tc>
        <w:tc>
          <w:tcPr>
            <w:tcW w:w="798" w:type="pct"/>
            <w:hideMark/>
          </w:tcPr>
          <w:p w14:paraId="7864E0EA" w14:textId="77777777" w:rsidR="001404F7" w:rsidRPr="00313570" w:rsidRDefault="001404F7" w:rsidP="001404F7">
            <w:pPr>
              <w:spacing w:before="40" w:after="40"/>
              <w:jc w:val="right"/>
              <w:rPr>
                <w:rFonts w:eastAsia="Times New Roman"/>
                <w:color w:val="000000" w:themeColor="text1"/>
                <w:spacing w:val="4"/>
                <w:sz w:val="20"/>
                <w:szCs w:val="20"/>
                <w:lang w:val="en-GB"/>
              </w:rPr>
            </w:pPr>
            <w:r w:rsidRPr="00313570">
              <w:rPr>
                <w:rFonts w:eastAsia="Times New Roman"/>
                <w:color w:val="000000" w:themeColor="text1"/>
                <w:spacing w:val="4"/>
                <w:sz w:val="20"/>
                <w:szCs w:val="20"/>
                <w:lang w:val="en-GB"/>
              </w:rPr>
              <w:t>16.9%</w:t>
            </w:r>
          </w:p>
        </w:tc>
      </w:tr>
      <w:tr w:rsidR="001404F7" w:rsidRPr="00313570" w14:paraId="2A77EFBD" w14:textId="77777777" w:rsidTr="00107B1C">
        <w:trPr>
          <w:cnfStyle w:val="000000100000" w:firstRow="0" w:lastRow="0" w:firstColumn="0" w:lastColumn="0" w:oddVBand="0" w:evenVBand="0" w:oddHBand="1" w:evenHBand="0" w:firstRowFirstColumn="0" w:firstRowLastColumn="0" w:lastRowFirstColumn="0" w:lastRowLastColumn="0"/>
        </w:trPr>
        <w:tc>
          <w:tcPr>
            <w:tcW w:w="2670" w:type="pct"/>
            <w:hideMark/>
          </w:tcPr>
          <w:p w14:paraId="3AFBE086" w14:textId="77777777" w:rsidR="001404F7" w:rsidRPr="00313570" w:rsidRDefault="001404F7" w:rsidP="001404F7">
            <w:pPr>
              <w:numPr>
                <w:ilvl w:val="0"/>
                <w:numId w:val="68"/>
              </w:numPr>
              <w:spacing w:before="40" w:after="40"/>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Broken rate couple families</w:t>
            </w:r>
          </w:p>
        </w:tc>
        <w:tc>
          <w:tcPr>
            <w:tcW w:w="733" w:type="pct"/>
            <w:gridSpan w:val="2"/>
            <w:hideMark/>
          </w:tcPr>
          <w:p w14:paraId="6BE155C9" w14:textId="77777777" w:rsidR="001404F7" w:rsidRPr="009B2A19" w:rsidRDefault="001404F7" w:rsidP="001404F7">
            <w:pPr>
              <w:spacing w:before="40" w:after="40"/>
              <w:jc w:val="right"/>
              <w:rPr>
                <w:rFonts w:eastAsia="Times New Roman" w:cs="Arial"/>
                <w:spacing w:val="4"/>
                <w:sz w:val="20"/>
                <w:szCs w:val="20"/>
                <w:lang w:val="en-GB"/>
              </w:rPr>
            </w:pPr>
            <w:r w:rsidRPr="009B2A19">
              <w:rPr>
                <w:sz w:val="20"/>
                <w:szCs w:val="20"/>
              </w:rPr>
              <w:t>14.2%</w:t>
            </w:r>
          </w:p>
        </w:tc>
        <w:tc>
          <w:tcPr>
            <w:tcW w:w="798" w:type="pct"/>
            <w:gridSpan w:val="2"/>
            <w:hideMark/>
          </w:tcPr>
          <w:p w14:paraId="3EA4E972"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14.5%</w:t>
            </w:r>
          </w:p>
        </w:tc>
        <w:tc>
          <w:tcPr>
            <w:tcW w:w="798" w:type="pct"/>
            <w:hideMark/>
          </w:tcPr>
          <w:p w14:paraId="579C83C5" w14:textId="77777777" w:rsidR="001404F7" w:rsidRPr="00313570" w:rsidRDefault="001404F7" w:rsidP="001404F7">
            <w:pPr>
              <w:spacing w:before="40" w:after="40"/>
              <w:jc w:val="right"/>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15.2%</w:t>
            </w:r>
          </w:p>
        </w:tc>
      </w:tr>
    </w:tbl>
    <w:p w14:paraId="5634F0F6" w14:textId="29DF2800" w:rsidR="001404F7" w:rsidRPr="00313570" w:rsidRDefault="001404F7" w:rsidP="001404F7">
      <w:pPr>
        <w:spacing w:before="160" w:after="60" w:line="240" w:lineRule="auto"/>
        <w:ind w:left="284" w:hanging="284"/>
        <w:contextualSpacing/>
        <w:rPr>
          <w:rFonts w:cs="Arial"/>
          <w:sz w:val="16"/>
          <w:szCs w:val="16"/>
        </w:rPr>
      </w:pPr>
      <w:proofErr w:type="spellStart"/>
      <w:r w:rsidRPr="00313570">
        <w:rPr>
          <w:rFonts w:cs="Arial"/>
          <w:sz w:val="16"/>
          <w:szCs w:val="16"/>
        </w:rPr>
        <w:t>a</w:t>
      </w:r>
      <w:proofErr w:type="spellEnd"/>
      <w:r w:rsidRPr="00313570">
        <w:rPr>
          <w:rFonts w:cs="Arial"/>
          <w:sz w:val="16"/>
          <w:szCs w:val="16"/>
        </w:rPr>
        <w:tab/>
      </w:r>
      <w:r w:rsidRPr="009B2A19">
        <w:rPr>
          <w:rFonts w:cs="Arial"/>
          <w:sz w:val="16"/>
          <w:szCs w:val="16"/>
        </w:rPr>
        <w:t>Instalment population as at June each year. Totals may not add to 100 per cent due to rounding.</w:t>
      </w:r>
      <w:r>
        <w:rPr>
          <w:rFonts w:cs="Arial"/>
          <w:sz w:val="16"/>
          <w:szCs w:val="16"/>
        </w:rPr>
        <w:t xml:space="preserve"> </w:t>
      </w:r>
    </w:p>
    <w:p w14:paraId="480CFC43" w14:textId="77777777" w:rsidR="001404F7" w:rsidRPr="00D47E5B" w:rsidRDefault="001404F7" w:rsidP="001404F7">
      <w:pPr>
        <w:rPr>
          <w:sz w:val="20"/>
          <w:szCs w:val="20"/>
        </w:rPr>
      </w:pPr>
    </w:p>
    <w:p w14:paraId="164BFF99" w14:textId="77777777" w:rsidR="00715F6F" w:rsidRDefault="00715F6F">
      <w:pPr>
        <w:rPr>
          <w:rFonts w:ascii="Arial Narrow" w:eastAsia="Times New Roman" w:hAnsi="Arial Narrow" w:cs="Times New Roman"/>
          <w:b/>
          <w:bCs/>
          <w:spacing w:val="4"/>
          <w:sz w:val="20"/>
          <w:szCs w:val="18"/>
          <w:lang w:eastAsia="en-AU"/>
        </w:rPr>
        <w:sectPr w:rsidR="00715F6F" w:rsidSect="00585891">
          <w:footnotePr>
            <w:numRestart w:val="eachPage"/>
          </w:footnotePr>
          <w:pgSz w:w="11906" w:h="16838"/>
          <w:pgMar w:top="1440" w:right="1440" w:bottom="1440" w:left="1440" w:header="709" w:footer="709" w:gutter="0"/>
          <w:cols w:space="708"/>
          <w:docGrid w:linePitch="360"/>
        </w:sectPr>
      </w:pPr>
    </w:p>
    <w:p w14:paraId="35366996" w14:textId="34F2D9CB" w:rsidR="001404F7" w:rsidRPr="00D47E5B"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sidRPr="00D47E5B">
        <w:rPr>
          <w:rFonts w:ascii="Arial Narrow" w:eastAsia="Times New Roman" w:hAnsi="Arial Narrow" w:cs="Times New Roman"/>
          <w:b/>
          <w:bCs/>
          <w:spacing w:val="4"/>
          <w:sz w:val="20"/>
          <w:szCs w:val="18"/>
          <w:lang w:eastAsia="en-AU"/>
        </w:rPr>
        <w:lastRenderedPageBreak/>
        <w:t>Table 2.1.</w:t>
      </w:r>
      <w:r>
        <w:rPr>
          <w:rFonts w:ascii="Arial Narrow" w:eastAsia="Times New Roman" w:hAnsi="Arial Narrow" w:cs="Times New Roman"/>
          <w:b/>
          <w:bCs/>
          <w:spacing w:val="4"/>
          <w:sz w:val="20"/>
          <w:szCs w:val="18"/>
          <w:lang w:eastAsia="en-AU"/>
        </w:rPr>
        <w:t>11</w:t>
      </w:r>
      <w:r w:rsidRPr="00D47E5B">
        <w:rPr>
          <w:rFonts w:ascii="Arial Narrow" w:eastAsia="Times New Roman" w:hAnsi="Arial Narrow" w:cs="Times New Roman"/>
          <w:b/>
          <w:bCs/>
          <w:spacing w:val="4"/>
          <w:sz w:val="20"/>
          <w:szCs w:val="18"/>
          <w:lang w:eastAsia="en-AU"/>
        </w:rPr>
        <w:t>b: Percentage of recipients aligned to specific policy objectives or payment conditions</w:t>
      </w:r>
      <w:r>
        <w:rPr>
          <w:rFonts w:ascii="Arial Narrow" w:eastAsia="Times New Roman" w:hAnsi="Arial Narrow" w:cs="Times New Roman"/>
          <w:b/>
          <w:bCs/>
          <w:spacing w:val="4"/>
          <w:sz w:val="20"/>
          <w:szCs w:val="18"/>
          <w:lang w:eastAsia="en-AU"/>
        </w:rPr>
        <w:t xml:space="preserve"> </w:t>
      </w:r>
      <w:r w:rsidRPr="00D47E5B">
        <w:rPr>
          <w:rFonts w:ascii="Arial Narrow" w:eastAsia="Times New Roman" w:hAnsi="Arial Narrow" w:cs="Times New Roman"/>
          <w:b/>
          <w:bCs/>
          <w:spacing w:val="4"/>
          <w:sz w:val="20"/>
          <w:szCs w:val="18"/>
          <w:lang w:eastAsia="en-AU"/>
        </w:rPr>
        <w:t>—</w:t>
      </w:r>
      <w:r>
        <w:rPr>
          <w:rFonts w:ascii="Arial Narrow" w:eastAsia="Times New Roman" w:hAnsi="Arial Narrow" w:cs="Times New Roman"/>
          <w:b/>
          <w:bCs/>
          <w:spacing w:val="4"/>
          <w:sz w:val="20"/>
          <w:szCs w:val="18"/>
          <w:lang w:eastAsia="en-AU"/>
        </w:rPr>
        <w:t xml:space="preserve"> </w:t>
      </w:r>
      <w:r w:rsidRPr="00D47E5B">
        <w:rPr>
          <w:rFonts w:ascii="Arial Narrow" w:eastAsia="Times New Roman" w:hAnsi="Arial Narrow" w:cs="Times New Roman"/>
          <w:b/>
          <w:bCs/>
          <w:spacing w:val="4"/>
          <w:sz w:val="20"/>
          <w:szCs w:val="18"/>
          <w:lang w:eastAsia="en-AU"/>
        </w:rPr>
        <w:t>Family Tax Benefit immunisation and maintenance income reduction</w:t>
      </w:r>
    </w:p>
    <w:tbl>
      <w:tblPr>
        <w:tblStyle w:val="HHorizontaltable1"/>
        <w:tblW w:w="5000" w:type="pct"/>
        <w:tblLook w:val="04A0" w:firstRow="1" w:lastRow="0" w:firstColumn="1" w:lastColumn="0" w:noHBand="0" w:noVBand="1"/>
        <w:tblCaption w:val="Table 2.1.11b: Percentage of recipients aligned to specific policy objectives or payment conditions – Family Tax Benefit immunisation and maintenance income reduction"/>
        <w:tblDescription w:val="Table 2.1.11b: Percentage of recipients aligned to specific policy objectives or payment conditions – Family Tax Benefit immunisation and maintenance income reduction"/>
      </w:tblPr>
      <w:tblGrid>
        <w:gridCol w:w="5101"/>
        <w:gridCol w:w="1309"/>
        <w:gridCol w:w="1309"/>
        <w:gridCol w:w="1307"/>
      </w:tblGrid>
      <w:tr w:rsidR="001404F7" w:rsidRPr="00AF1D81" w14:paraId="638FCAA7" w14:textId="77777777" w:rsidTr="001404F7">
        <w:trPr>
          <w:cnfStyle w:val="100000000000" w:firstRow="1" w:lastRow="0" w:firstColumn="0" w:lastColumn="0" w:oddVBand="0" w:evenVBand="0" w:oddHBand="0" w:evenHBand="0" w:firstRowFirstColumn="0" w:firstRowLastColumn="0" w:lastRowFirstColumn="0" w:lastRowLastColumn="0"/>
        </w:trPr>
        <w:tc>
          <w:tcPr>
            <w:tcW w:w="2826" w:type="pct"/>
            <w:vMerge w:val="restart"/>
            <w:hideMark/>
          </w:tcPr>
          <w:p w14:paraId="037D71C4" w14:textId="77777777" w:rsidR="001404F7" w:rsidRPr="00D13460" w:rsidRDefault="001404F7" w:rsidP="001404F7">
            <w:pPr>
              <w:keepNext/>
              <w:keepLines/>
              <w:spacing w:before="40" w:after="40"/>
              <w:rPr>
                <w:rFonts w:eastAsia="Times New Roman" w:cs="Times New Roman"/>
                <w:sz w:val="20"/>
                <w:szCs w:val="18"/>
              </w:rPr>
            </w:pPr>
            <w:r w:rsidRPr="00D13460">
              <w:rPr>
                <w:rFonts w:eastAsia="Times New Roman" w:cs="Times New Roman"/>
                <w:sz w:val="20"/>
                <w:szCs w:val="18"/>
              </w:rPr>
              <w:t>Intermediate outcome performance measure</w:t>
            </w:r>
          </w:p>
        </w:tc>
        <w:tc>
          <w:tcPr>
            <w:tcW w:w="2174" w:type="pct"/>
            <w:gridSpan w:val="3"/>
            <w:tcBorders>
              <w:bottom w:val="single" w:sz="12" w:space="0" w:color="FFFFFF" w:themeColor="background1"/>
            </w:tcBorders>
            <w:hideMark/>
          </w:tcPr>
          <w:p w14:paraId="7E82309C" w14:textId="77777777" w:rsidR="001404F7" w:rsidRPr="00D13460" w:rsidRDefault="001404F7" w:rsidP="001404F7">
            <w:pPr>
              <w:keepNext/>
              <w:keepLines/>
              <w:spacing w:before="40" w:after="40"/>
              <w:jc w:val="center"/>
              <w:rPr>
                <w:rFonts w:eastAsia="Times New Roman" w:cs="Times New Roman"/>
                <w:sz w:val="20"/>
                <w:szCs w:val="18"/>
              </w:rPr>
            </w:pPr>
            <w:r w:rsidRPr="00D13460">
              <w:rPr>
                <w:rFonts w:eastAsia="Times New Roman" w:cs="Times New Roman"/>
                <w:sz w:val="20"/>
                <w:szCs w:val="18"/>
              </w:rPr>
              <w:t xml:space="preserve">Entitlement </w:t>
            </w:r>
            <w:proofErr w:type="spellStart"/>
            <w:r w:rsidRPr="00D13460">
              <w:rPr>
                <w:rFonts w:eastAsia="Times New Roman" w:cs="Times New Roman"/>
                <w:sz w:val="20"/>
                <w:szCs w:val="18"/>
              </w:rPr>
              <w:t>year</w:t>
            </w:r>
            <w:r w:rsidRPr="00D13460">
              <w:rPr>
                <w:rFonts w:eastAsia="Times New Roman" w:cs="Times New Roman"/>
                <w:b w:val="0"/>
                <w:sz w:val="20"/>
                <w:szCs w:val="18"/>
                <w:vertAlign w:val="superscript"/>
              </w:rPr>
              <w:t>a</w:t>
            </w:r>
            <w:proofErr w:type="spellEnd"/>
          </w:p>
        </w:tc>
      </w:tr>
      <w:tr w:rsidR="001404F7" w:rsidRPr="00AF1D81" w14:paraId="05FD2326" w14:textId="77777777" w:rsidTr="001404F7">
        <w:trPr>
          <w:cnfStyle w:val="000000100000" w:firstRow="0" w:lastRow="0" w:firstColumn="0" w:lastColumn="0" w:oddVBand="0" w:evenVBand="0" w:oddHBand="1" w:evenHBand="0" w:firstRowFirstColumn="0" w:firstRowLastColumn="0" w:lastRowFirstColumn="0" w:lastRowLastColumn="0"/>
        </w:trPr>
        <w:tc>
          <w:tcPr>
            <w:tcW w:w="2826" w:type="pct"/>
            <w:vMerge/>
            <w:shd w:val="clear" w:color="auto" w:fill="00B0B9"/>
            <w:hideMark/>
          </w:tcPr>
          <w:p w14:paraId="1E5E5DC9" w14:textId="77777777" w:rsidR="001404F7" w:rsidRPr="00D13460" w:rsidRDefault="001404F7" w:rsidP="001404F7">
            <w:pPr>
              <w:rPr>
                <w:rFonts w:eastAsia="Times New Roman" w:cs="Times New Roman"/>
                <w:b/>
                <w:sz w:val="20"/>
                <w:szCs w:val="18"/>
              </w:rPr>
            </w:pPr>
          </w:p>
        </w:tc>
        <w:tc>
          <w:tcPr>
            <w:tcW w:w="725" w:type="pct"/>
            <w:tcBorders>
              <w:top w:val="single" w:sz="12" w:space="0" w:color="FFFFFF" w:themeColor="background1"/>
              <w:bottom w:val="single" w:sz="4" w:space="0" w:color="FFFFFF" w:themeColor="background1"/>
            </w:tcBorders>
            <w:shd w:val="clear" w:color="auto" w:fill="00B0B9"/>
            <w:hideMark/>
          </w:tcPr>
          <w:p w14:paraId="254097D3" w14:textId="77777777" w:rsidR="001404F7" w:rsidRPr="00D13460" w:rsidRDefault="001404F7" w:rsidP="001404F7">
            <w:pPr>
              <w:keepNext/>
              <w:keepLines/>
              <w:spacing w:before="40" w:after="40"/>
              <w:jc w:val="right"/>
              <w:rPr>
                <w:rFonts w:eastAsia="Times New Roman" w:cs="Times New Roman"/>
                <w:b/>
                <w:sz w:val="20"/>
                <w:szCs w:val="18"/>
              </w:rPr>
            </w:pPr>
            <w:r w:rsidRPr="00D13460">
              <w:rPr>
                <w:rFonts w:eastAsia="Times New Roman" w:cs="Times New Roman"/>
                <w:b/>
                <w:sz w:val="20"/>
                <w:szCs w:val="18"/>
              </w:rPr>
              <w:t>2017–18</w:t>
            </w:r>
          </w:p>
        </w:tc>
        <w:tc>
          <w:tcPr>
            <w:tcW w:w="725" w:type="pct"/>
            <w:tcBorders>
              <w:top w:val="single" w:sz="12" w:space="0" w:color="FFFFFF" w:themeColor="background1"/>
              <w:bottom w:val="single" w:sz="4" w:space="0" w:color="FFFFFF" w:themeColor="background1"/>
            </w:tcBorders>
            <w:shd w:val="clear" w:color="auto" w:fill="00B0B9"/>
            <w:hideMark/>
          </w:tcPr>
          <w:p w14:paraId="3A0D4F25" w14:textId="77777777" w:rsidR="001404F7" w:rsidRPr="00D13460" w:rsidRDefault="001404F7" w:rsidP="001404F7">
            <w:pPr>
              <w:keepNext/>
              <w:keepLines/>
              <w:spacing w:before="40" w:after="40"/>
              <w:jc w:val="right"/>
              <w:rPr>
                <w:rFonts w:eastAsia="Times New Roman" w:cs="Times New Roman"/>
                <w:b/>
                <w:sz w:val="20"/>
                <w:szCs w:val="18"/>
              </w:rPr>
            </w:pPr>
            <w:r w:rsidRPr="00D13460">
              <w:rPr>
                <w:rFonts w:eastAsia="Times New Roman" w:cs="Times New Roman"/>
                <w:b/>
                <w:sz w:val="20"/>
                <w:szCs w:val="18"/>
              </w:rPr>
              <w:t>2016–17</w:t>
            </w:r>
          </w:p>
        </w:tc>
        <w:tc>
          <w:tcPr>
            <w:tcW w:w="725" w:type="pct"/>
            <w:tcBorders>
              <w:top w:val="single" w:sz="12" w:space="0" w:color="FFFFFF" w:themeColor="background1"/>
              <w:bottom w:val="single" w:sz="4" w:space="0" w:color="FFFFFF" w:themeColor="background1"/>
            </w:tcBorders>
            <w:shd w:val="clear" w:color="auto" w:fill="00B0B9"/>
            <w:hideMark/>
          </w:tcPr>
          <w:p w14:paraId="2BA221F3" w14:textId="77777777" w:rsidR="001404F7" w:rsidRPr="00D13460" w:rsidRDefault="001404F7" w:rsidP="001404F7">
            <w:pPr>
              <w:keepNext/>
              <w:keepLines/>
              <w:spacing w:before="40" w:after="40"/>
              <w:jc w:val="right"/>
              <w:rPr>
                <w:rFonts w:eastAsia="Times New Roman" w:cs="Times New Roman"/>
                <w:b/>
                <w:sz w:val="20"/>
                <w:szCs w:val="18"/>
              </w:rPr>
            </w:pPr>
            <w:r w:rsidRPr="00D13460">
              <w:rPr>
                <w:rFonts w:eastAsia="Times New Roman" w:cs="Times New Roman"/>
                <w:b/>
                <w:sz w:val="20"/>
                <w:szCs w:val="18"/>
              </w:rPr>
              <w:t>2015–16</w:t>
            </w:r>
          </w:p>
        </w:tc>
      </w:tr>
      <w:tr w:rsidR="001404F7" w:rsidRPr="00313570" w14:paraId="601C5F29"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4"/>
            <w:hideMark/>
          </w:tcPr>
          <w:p w14:paraId="5B3A214D" w14:textId="77777777" w:rsidR="001404F7" w:rsidRPr="00313570" w:rsidRDefault="001404F7" w:rsidP="001404F7">
            <w:pPr>
              <w:spacing w:before="40" w:after="40"/>
              <w:rPr>
                <w:sz w:val="20"/>
                <w:szCs w:val="20"/>
              </w:rPr>
            </w:pPr>
            <w:r w:rsidRPr="00313570">
              <w:rPr>
                <w:sz w:val="20"/>
                <w:szCs w:val="20"/>
              </w:rPr>
              <w:t>Percentage of children who meet the Family Tax Benefit immunisation requirement by age check point:</w:t>
            </w:r>
          </w:p>
        </w:tc>
      </w:tr>
      <w:tr w:rsidR="001404F7" w:rsidRPr="00313570" w14:paraId="135095A1" w14:textId="77777777" w:rsidTr="001404F7">
        <w:trPr>
          <w:cnfStyle w:val="000000100000" w:firstRow="0" w:lastRow="0" w:firstColumn="0" w:lastColumn="0" w:oddVBand="0" w:evenVBand="0" w:oddHBand="1" w:evenHBand="0" w:firstRowFirstColumn="0" w:firstRowLastColumn="0" w:lastRowFirstColumn="0" w:lastRowLastColumn="0"/>
        </w:trPr>
        <w:tc>
          <w:tcPr>
            <w:tcW w:w="2826" w:type="pct"/>
            <w:hideMark/>
          </w:tcPr>
          <w:p w14:paraId="3B7BA015" w14:textId="77777777" w:rsidR="001404F7" w:rsidRPr="00313570" w:rsidRDefault="001404F7" w:rsidP="001404F7">
            <w:pPr>
              <w:numPr>
                <w:ilvl w:val="0"/>
                <w:numId w:val="69"/>
              </w:numPr>
              <w:spacing w:before="40" w:after="40"/>
              <w:rPr>
                <w:rFonts w:eastAsia="Times New Roman"/>
                <w:color w:val="000000" w:themeColor="text1"/>
                <w:spacing w:val="4"/>
                <w:sz w:val="20"/>
                <w:szCs w:val="20"/>
                <w:lang w:val="en-GB"/>
              </w:rPr>
            </w:pPr>
            <w:r w:rsidRPr="00313570">
              <w:rPr>
                <w:rFonts w:eastAsia="Times New Roman"/>
                <w:color w:val="000000" w:themeColor="text1"/>
                <w:spacing w:val="4"/>
                <w:sz w:val="20"/>
                <w:szCs w:val="20"/>
                <w:lang w:val="en-GB"/>
              </w:rPr>
              <w:t>Children aged one in entitlement year</w:t>
            </w:r>
          </w:p>
        </w:tc>
        <w:tc>
          <w:tcPr>
            <w:tcW w:w="725" w:type="pct"/>
            <w:hideMark/>
          </w:tcPr>
          <w:p w14:paraId="10B90698" w14:textId="77777777" w:rsidR="001404F7" w:rsidRPr="009B2A19" w:rsidRDefault="001404F7" w:rsidP="001404F7">
            <w:pPr>
              <w:spacing w:before="40" w:after="40"/>
              <w:jc w:val="right"/>
              <w:rPr>
                <w:rFonts w:eastAsia="Times New Roman"/>
                <w:spacing w:val="4"/>
                <w:sz w:val="20"/>
                <w:szCs w:val="20"/>
                <w:lang w:val="en-GB"/>
              </w:rPr>
            </w:pPr>
            <w:r w:rsidRPr="009B2A19">
              <w:rPr>
                <w:sz w:val="20"/>
                <w:szCs w:val="20"/>
              </w:rPr>
              <w:t>97.1%</w:t>
            </w:r>
          </w:p>
        </w:tc>
        <w:tc>
          <w:tcPr>
            <w:tcW w:w="725" w:type="pct"/>
            <w:hideMark/>
          </w:tcPr>
          <w:p w14:paraId="253EBB34" w14:textId="77777777" w:rsidR="001404F7" w:rsidRPr="00313570" w:rsidRDefault="001404F7" w:rsidP="001404F7">
            <w:pPr>
              <w:spacing w:before="40" w:after="40"/>
              <w:jc w:val="right"/>
              <w:rPr>
                <w:rFonts w:eastAsia="Times New Roman"/>
                <w:color w:val="000000" w:themeColor="text1"/>
                <w:spacing w:val="4"/>
                <w:sz w:val="20"/>
                <w:szCs w:val="17"/>
                <w:lang w:val="en-GB"/>
              </w:rPr>
            </w:pPr>
            <w:r w:rsidRPr="00313570">
              <w:rPr>
                <w:rFonts w:eastAsia="Times New Roman"/>
                <w:color w:val="000000" w:themeColor="text1"/>
                <w:spacing w:val="4"/>
                <w:sz w:val="20"/>
                <w:szCs w:val="17"/>
                <w:lang w:val="en-GB"/>
              </w:rPr>
              <w:t>97.0%</w:t>
            </w:r>
          </w:p>
        </w:tc>
        <w:tc>
          <w:tcPr>
            <w:tcW w:w="725" w:type="pct"/>
            <w:hideMark/>
          </w:tcPr>
          <w:p w14:paraId="72A08664" w14:textId="77777777" w:rsidR="001404F7" w:rsidRPr="00313570" w:rsidRDefault="001404F7" w:rsidP="001404F7">
            <w:pPr>
              <w:spacing w:before="40" w:after="40"/>
              <w:jc w:val="right"/>
              <w:rPr>
                <w:rFonts w:eastAsia="Times New Roman"/>
                <w:color w:val="000000" w:themeColor="text1"/>
                <w:spacing w:val="4"/>
                <w:sz w:val="20"/>
                <w:szCs w:val="17"/>
                <w:lang w:val="en-GB"/>
              </w:rPr>
            </w:pPr>
            <w:r w:rsidRPr="00313570">
              <w:rPr>
                <w:rFonts w:eastAsia="Times New Roman"/>
                <w:color w:val="000000" w:themeColor="text1"/>
                <w:spacing w:val="4"/>
                <w:sz w:val="20"/>
                <w:szCs w:val="17"/>
                <w:lang w:val="en-GB"/>
              </w:rPr>
              <w:t>97.3%</w:t>
            </w:r>
          </w:p>
        </w:tc>
      </w:tr>
      <w:tr w:rsidR="001404F7" w:rsidRPr="00313570" w14:paraId="0542CA05" w14:textId="77777777" w:rsidTr="001404F7">
        <w:trPr>
          <w:cnfStyle w:val="000000010000" w:firstRow="0" w:lastRow="0" w:firstColumn="0" w:lastColumn="0" w:oddVBand="0" w:evenVBand="0" w:oddHBand="0" w:evenHBand="1" w:firstRowFirstColumn="0" w:firstRowLastColumn="0" w:lastRowFirstColumn="0" w:lastRowLastColumn="0"/>
        </w:trPr>
        <w:tc>
          <w:tcPr>
            <w:tcW w:w="2826" w:type="pct"/>
            <w:hideMark/>
          </w:tcPr>
          <w:p w14:paraId="1588F92A" w14:textId="77777777" w:rsidR="001404F7" w:rsidRPr="00313570" w:rsidRDefault="001404F7" w:rsidP="001404F7">
            <w:pPr>
              <w:numPr>
                <w:ilvl w:val="0"/>
                <w:numId w:val="69"/>
              </w:numPr>
              <w:spacing w:before="40" w:after="40"/>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Children aged two in entitlement year</w:t>
            </w:r>
          </w:p>
        </w:tc>
        <w:tc>
          <w:tcPr>
            <w:tcW w:w="725" w:type="pct"/>
            <w:hideMark/>
          </w:tcPr>
          <w:p w14:paraId="42CB7229" w14:textId="77777777" w:rsidR="001404F7" w:rsidRPr="009B2A19" w:rsidRDefault="001404F7" w:rsidP="001404F7">
            <w:pPr>
              <w:spacing w:before="40" w:after="40"/>
              <w:jc w:val="right"/>
              <w:rPr>
                <w:rFonts w:eastAsia="Times New Roman" w:cs="Arial"/>
                <w:spacing w:val="4"/>
                <w:sz w:val="20"/>
                <w:szCs w:val="20"/>
                <w:lang w:val="en-GB"/>
              </w:rPr>
            </w:pPr>
            <w:r w:rsidRPr="009B2A19">
              <w:rPr>
                <w:sz w:val="20"/>
                <w:szCs w:val="20"/>
              </w:rPr>
              <w:t>97.0%</w:t>
            </w:r>
          </w:p>
        </w:tc>
        <w:tc>
          <w:tcPr>
            <w:tcW w:w="725" w:type="pct"/>
            <w:hideMark/>
          </w:tcPr>
          <w:p w14:paraId="11E767B0" w14:textId="77777777" w:rsidR="001404F7" w:rsidRPr="00313570" w:rsidRDefault="001404F7" w:rsidP="001404F7">
            <w:pPr>
              <w:spacing w:before="40" w:after="40"/>
              <w:jc w:val="right"/>
              <w:rPr>
                <w:rFonts w:eastAsia="Times New Roman" w:cs="Arial"/>
                <w:color w:val="000000" w:themeColor="text1"/>
                <w:spacing w:val="4"/>
                <w:sz w:val="20"/>
                <w:szCs w:val="17"/>
                <w:lang w:val="en-GB"/>
              </w:rPr>
            </w:pPr>
            <w:r w:rsidRPr="00313570">
              <w:rPr>
                <w:rFonts w:eastAsia="Times New Roman" w:cs="Arial"/>
                <w:color w:val="000000" w:themeColor="text1"/>
                <w:spacing w:val="4"/>
                <w:sz w:val="20"/>
                <w:szCs w:val="17"/>
                <w:lang w:val="en-GB"/>
              </w:rPr>
              <w:t>96.7%</w:t>
            </w:r>
          </w:p>
        </w:tc>
        <w:tc>
          <w:tcPr>
            <w:tcW w:w="725" w:type="pct"/>
            <w:hideMark/>
          </w:tcPr>
          <w:p w14:paraId="758187C7" w14:textId="77777777" w:rsidR="001404F7" w:rsidRPr="00313570" w:rsidRDefault="001404F7" w:rsidP="001404F7">
            <w:pPr>
              <w:spacing w:before="40" w:after="40"/>
              <w:jc w:val="right"/>
              <w:rPr>
                <w:rFonts w:eastAsia="Times New Roman" w:cs="Arial"/>
                <w:color w:val="000000" w:themeColor="text1"/>
                <w:spacing w:val="4"/>
                <w:sz w:val="20"/>
                <w:szCs w:val="17"/>
                <w:lang w:val="en-GB"/>
              </w:rPr>
            </w:pPr>
            <w:r w:rsidRPr="00313570">
              <w:rPr>
                <w:rFonts w:eastAsia="Times New Roman" w:cs="Arial"/>
                <w:color w:val="000000" w:themeColor="text1"/>
                <w:spacing w:val="4"/>
                <w:sz w:val="20"/>
                <w:szCs w:val="17"/>
                <w:lang w:val="en-GB"/>
              </w:rPr>
              <w:t>97.9%</w:t>
            </w:r>
          </w:p>
        </w:tc>
      </w:tr>
      <w:tr w:rsidR="001404F7" w:rsidRPr="00313570" w14:paraId="7D8FFF0D" w14:textId="77777777" w:rsidTr="001404F7">
        <w:trPr>
          <w:cnfStyle w:val="000000100000" w:firstRow="0" w:lastRow="0" w:firstColumn="0" w:lastColumn="0" w:oddVBand="0" w:evenVBand="0" w:oddHBand="1" w:evenHBand="0" w:firstRowFirstColumn="0" w:firstRowLastColumn="0" w:lastRowFirstColumn="0" w:lastRowLastColumn="0"/>
        </w:trPr>
        <w:tc>
          <w:tcPr>
            <w:tcW w:w="2826" w:type="pct"/>
            <w:hideMark/>
          </w:tcPr>
          <w:p w14:paraId="6E4CC481" w14:textId="77777777" w:rsidR="001404F7" w:rsidRPr="00313570" w:rsidRDefault="001404F7" w:rsidP="001404F7">
            <w:pPr>
              <w:numPr>
                <w:ilvl w:val="0"/>
                <w:numId w:val="69"/>
              </w:numPr>
              <w:spacing w:before="40" w:after="40"/>
              <w:rPr>
                <w:rFonts w:eastAsia="Times New Roman" w:cs="Arial"/>
                <w:color w:val="000000" w:themeColor="text1"/>
                <w:spacing w:val="4"/>
                <w:sz w:val="20"/>
                <w:szCs w:val="20"/>
                <w:lang w:val="en-GB"/>
              </w:rPr>
            </w:pPr>
            <w:r w:rsidRPr="00313570">
              <w:rPr>
                <w:rFonts w:eastAsia="Times New Roman"/>
                <w:color w:val="000000" w:themeColor="text1"/>
                <w:spacing w:val="4"/>
                <w:sz w:val="20"/>
                <w:szCs w:val="20"/>
                <w:lang w:val="en-GB"/>
              </w:rPr>
              <w:t>Children aged five in entitlement year</w:t>
            </w:r>
          </w:p>
        </w:tc>
        <w:tc>
          <w:tcPr>
            <w:tcW w:w="725" w:type="pct"/>
            <w:hideMark/>
          </w:tcPr>
          <w:p w14:paraId="121B8CE4" w14:textId="77777777" w:rsidR="001404F7" w:rsidRPr="009B2A19" w:rsidRDefault="001404F7" w:rsidP="001404F7">
            <w:pPr>
              <w:spacing w:before="40" w:after="40"/>
              <w:jc w:val="right"/>
              <w:rPr>
                <w:rFonts w:eastAsia="Times New Roman"/>
                <w:spacing w:val="4"/>
                <w:sz w:val="20"/>
                <w:szCs w:val="20"/>
                <w:lang w:val="en-GB"/>
              </w:rPr>
            </w:pPr>
            <w:r w:rsidRPr="009B2A19">
              <w:rPr>
                <w:sz w:val="20"/>
                <w:szCs w:val="20"/>
              </w:rPr>
              <w:t>97.6%</w:t>
            </w:r>
          </w:p>
        </w:tc>
        <w:tc>
          <w:tcPr>
            <w:tcW w:w="725" w:type="pct"/>
            <w:hideMark/>
          </w:tcPr>
          <w:p w14:paraId="45F8BC67" w14:textId="77777777" w:rsidR="001404F7" w:rsidRPr="00313570" w:rsidRDefault="001404F7" w:rsidP="001404F7">
            <w:pPr>
              <w:spacing w:before="40" w:after="40"/>
              <w:jc w:val="right"/>
              <w:rPr>
                <w:rFonts w:eastAsia="Times New Roman"/>
                <w:color w:val="000000" w:themeColor="text1"/>
                <w:spacing w:val="4"/>
                <w:sz w:val="20"/>
                <w:szCs w:val="17"/>
                <w:lang w:val="en-GB"/>
              </w:rPr>
            </w:pPr>
            <w:r w:rsidRPr="00313570">
              <w:rPr>
                <w:rFonts w:eastAsia="Times New Roman"/>
                <w:color w:val="000000" w:themeColor="text1"/>
                <w:spacing w:val="4"/>
                <w:sz w:val="20"/>
                <w:szCs w:val="17"/>
                <w:lang w:val="en-GB"/>
              </w:rPr>
              <w:t>97.3%</w:t>
            </w:r>
          </w:p>
        </w:tc>
        <w:tc>
          <w:tcPr>
            <w:tcW w:w="725" w:type="pct"/>
            <w:hideMark/>
          </w:tcPr>
          <w:p w14:paraId="72609062" w14:textId="77777777" w:rsidR="001404F7" w:rsidRPr="00313570" w:rsidRDefault="001404F7" w:rsidP="001404F7">
            <w:pPr>
              <w:spacing w:before="40" w:after="40"/>
              <w:jc w:val="right"/>
              <w:rPr>
                <w:rFonts w:eastAsia="Times New Roman"/>
                <w:color w:val="000000" w:themeColor="text1"/>
                <w:spacing w:val="4"/>
                <w:sz w:val="20"/>
                <w:szCs w:val="17"/>
                <w:lang w:val="en-GB"/>
              </w:rPr>
            </w:pPr>
            <w:r w:rsidRPr="00313570">
              <w:rPr>
                <w:rFonts w:eastAsia="Times New Roman"/>
                <w:color w:val="000000" w:themeColor="text1"/>
                <w:spacing w:val="4"/>
                <w:sz w:val="20"/>
                <w:szCs w:val="17"/>
                <w:lang w:val="en-GB"/>
              </w:rPr>
              <w:t>98.5%</w:t>
            </w:r>
          </w:p>
        </w:tc>
      </w:tr>
      <w:tr w:rsidR="001404F7" w:rsidRPr="00313570" w14:paraId="3D799939" w14:textId="77777777" w:rsidTr="001404F7">
        <w:trPr>
          <w:cnfStyle w:val="000000010000" w:firstRow="0" w:lastRow="0" w:firstColumn="0" w:lastColumn="0" w:oddVBand="0" w:evenVBand="0" w:oddHBand="0" w:evenHBand="1" w:firstRowFirstColumn="0" w:firstRowLastColumn="0" w:lastRowFirstColumn="0" w:lastRowLastColumn="0"/>
        </w:trPr>
        <w:tc>
          <w:tcPr>
            <w:tcW w:w="2826" w:type="pct"/>
            <w:hideMark/>
          </w:tcPr>
          <w:p w14:paraId="183894E1" w14:textId="77777777" w:rsidR="001404F7" w:rsidRPr="00313570" w:rsidRDefault="001404F7" w:rsidP="001404F7">
            <w:pPr>
              <w:spacing w:before="40" w:after="40"/>
              <w:rPr>
                <w:rFonts w:eastAsia="Times New Roman" w:cs="Arial"/>
                <w:color w:val="000000" w:themeColor="text1"/>
                <w:spacing w:val="4"/>
                <w:sz w:val="20"/>
                <w:szCs w:val="20"/>
                <w:lang w:val="en-GB"/>
              </w:rPr>
            </w:pPr>
            <w:r w:rsidRPr="00313570">
              <w:rPr>
                <w:rFonts w:eastAsia="Times New Roman" w:cs="Arial"/>
                <w:color w:val="000000" w:themeColor="text1"/>
                <w:spacing w:val="4"/>
                <w:sz w:val="20"/>
                <w:szCs w:val="20"/>
                <w:lang w:val="en-GB"/>
              </w:rPr>
              <w:t>Percentage of children who meet the Family Tax Benefit health check requirement</w:t>
            </w:r>
          </w:p>
        </w:tc>
        <w:tc>
          <w:tcPr>
            <w:tcW w:w="725" w:type="pct"/>
            <w:hideMark/>
          </w:tcPr>
          <w:p w14:paraId="4DB438A8" w14:textId="77777777" w:rsidR="001404F7" w:rsidRPr="009B2A19" w:rsidRDefault="001404F7" w:rsidP="001404F7">
            <w:pPr>
              <w:spacing w:before="40" w:after="40"/>
              <w:jc w:val="right"/>
              <w:rPr>
                <w:rFonts w:eastAsia="Times New Roman" w:cs="Arial"/>
                <w:spacing w:val="4"/>
                <w:sz w:val="20"/>
                <w:szCs w:val="20"/>
                <w:lang w:val="en-GB"/>
              </w:rPr>
            </w:pPr>
            <w:r w:rsidRPr="009B2A19">
              <w:rPr>
                <w:sz w:val="20"/>
                <w:szCs w:val="20"/>
              </w:rPr>
              <w:t>88.3%</w:t>
            </w:r>
          </w:p>
        </w:tc>
        <w:tc>
          <w:tcPr>
            <w:tcW w:w="725" w:type="pct"/>
            <w:hideMark/>
          </w:tcPr>
          <w:p w14:paraId="15EE525C" w14:textId="77777777" w:rsidR="001404F7" w:rsidRPr="00313570" w:rsidRDefault="001404F7" w:rsidP="001404F7">
            <w:pPr>
              <w:spacing w:before="40" w:after="40"/>
              <w:jc w:val="right"/>
              <w:rPr>
                <w:rFonts w:eastAsia="Times New Roman" w:cs="Arial"/>
                <w:color w:val="000000" w:themeColor="text1"/>
                <w:spacing w:val="4"/>
                <w:sz w:val="20"/>
                <w:szCs w:val="17"/>
                <w:lang w:val="en-GB"/>
              </w:rPr>
            </w:pPr>
            <w:r w:rsidRPr="00313570">
              <w:rPr>
                <w:rFonts w:eastAsia="Times New Roman" w:cs="Arial"/>
                <w:color w:val="000000" w:themeColor="text1"/>
                <w:spacing w:val="4"/>
                <w:sz w:val="20"/>
                <w:szCs w:val="17"/>
                <w:lang w:val="en-GB"/>
              </w:rPr>
              <w:t>87.9%</w:t>
            </w:r>
          </w:p>
        </w:tc>
        <w:tc>
          <w:tcPr>
            <w:tcW w:w="725" w:type="pct"/>
            <w:hideMark/>
          </w:tcPr>
          <w:p w14:paraId="72DA5847" w14:textId="77777777" w:rsidR="001404F7" w:rsidRPr="00313570" w:rsidRDefault="001404F7" w:rsidP="001404F7">
            <w:pPr>
              <w:spacing w:before="40" w:after="40"/>
              <w:jc w:val="right"/>
              <w:rPr>
                <w:rFonts w:eastAsia="Times New Roman" w:cs="Arial"/>
                <w:color w:val="000000" w:themeColor="text1"/>
                <w:spacing w:val="4"/>
                <w:sz w:val="20"/>
                <w:szCs w:val="17"/>
                <w:lang w:val="en-GB"/>
              </w:rPr>
            </w:pPr>
            <w:r w:rsidRPr="00313570">
              <w:rPr>
                <w:rFonts w:eastAsia="Times New Roman" w:cs="Arial"/>
                <w:color w:val="000000" w:themeColor="text1"/>
                <w:spacing w:val="4"/>
                <w:sz w:val="20"/>
                <w:szCs w:val="17"/>
                <w:lang w:val="en-GB"/>
              </w:rPr>
              <w:t>87.9%</w:t>
            </w:r>
          </w:p>
        </w:tc>
      </w:tr>
      <w:tr w:rsidR="001404F7" w:rsidRPr="00313570" w14:paraId="4ED97B36" w14:textId="77777777" w:rsidTr="001404F7">
        <w:trPr>
          <w:cnfStyle w:val="000000100000" w:firstRow="0" w:lastRow="0" w:firstColumn="0" w:lastColumn="0" w:oddVBand="0" w:evenVBand="0" w:oddHBand="1" w:evenHBand="0" w:firstRowFirstColumn="0" w:firstRowLastColumn="0" w:lastRowFirstColumn="0" w:lastRowLastColumn="0"/>
        </w:trPr>
        <w:tc>
          <w:tcPr>
            <w:tcW w:w="2826" w:type="pct"/>
            <w:hideMark/>
          </w:tcPr>
          <w:p w14:paraId="7CF7FC3D" w14:textId="77777777" w:rsidR="001404F7" w:rsidRPr="00313570" w:rsidRDefault="001404F7" w:rsidP="001404F7">
            <w:pPr>
              <w:spacing w:before="40" w:after="40"/>
              <w:rPr>
                <w:rFonts w:eastAsia="Times New Roman" w:cs="Arial"/>
                <w:color w:val="000000" w:themeColor="text1"/>
                <w:spacing w:val="4"/>
                <w:sz w:val="20"/>
                <w:szCs w:val="20"/>
                <w:lang w:val="en-GB"/>
              </w:rPr>
            </w:pPr>
            <w:r w:rsidRPr="00313570">
              <w:rPr>
                <w:rFonts w:eastAsia="Times New Roman"/>
                <w:color w:val="000000" w:themeColor="text1"/>
                <w:spacing w:val="4"/>
                <w:sz w:val="20"/>
                <w:szCs w:val="20"/>
                <w:lang w:val="en-GB"/>
              </w:rPr>
              <w:t xml:space="preserve">Reduction of Family Tax Benefit as a result of maintenance income </w:t>
            </w:r>
            <w:proofErr w:type="spellStart"/>
            <w:r w:rsidRPr="00313570">
              <w:rPr>
                <w:rFonts w:eastAsia="Times New Roman"/>
                <w:color w:val="000000" w:themeColor="text1"/>
                <w:spacing w:val="4"/>
                <w:sz w:val="20"/>
                <w:szCs w:val="20"/>
                <w:lang w:val="en-GB"/>
              </w:rPr>
              <w:t>test</w:t>
            </w:r>
            <w:r w:rsidRPr="00313570">
              <w:rPr>
                <w:rFonts w:eastAsia="Times New Roman"/>
                <w:color w:val="000000" w:themeColor="text1"/>
                <w:spacing w:val="4"/>
                <w:sz w:val="20"/>
                <w:szCs w:val="20"/>
                <w:vertAlign w:val="superscript"/>
                <w:lang w:val="en-GB"/>
              </w:rPr>
              <w:t>b</w:t>
            </w:r>
            <w:proofErr w:type="spellEnd"/>
          </w:p>
        </w:tc>
        <w:tc>
          <w:tcPr>
            <w:tcW w:w="725" w:type="pct"/>
            <w:hideMark/>
          </w:tcPr>
          <w:p w14:paraId="5094BCE0" w14:textId="77777777" w:rsidR="001404F7" w:rsidRPr="009B2A19" w:rsidRDefault="001404F7" w:rsidP="001404F7">
            <w:pPr>
              <w:spacing w:before="40" w:after="40"/>
              <w:jc w:val="right"/>
              <w:rPr>
                <w:rFonts w:eastAsia="Times New Roman"/>
                <w:spacing w:val="4"/>
                <w:sz w:val="20"/>
                <w:szCs w:val="20"/>
                <w:lang w:val="en-GB"/>
              </w:rPr>
            </w:pPr>
            <w:r w:rsidRPr="009B2A19">
              <w:rPr>
                <w:sz w:val="20"/>
                <w:szCs w:val="20"/>
              </w:rPr>
              <w:t>$756m</w:t>
            </w:r>
          </w:p>
        </w:tc>
        <w:tc>
          <w:tcPr>
            <w:tcW w:w="725" w:type="pct"/>
            <w:hideMark/>
          </w:tcPr>
          <w:p w14:paraId="751EBC02" w14:textId="77777777" w:rsidR="001404F7" w:rsidRPr="00313570" w:rsidRDefault="001404F7" w:rsidP="001404F7">
            <w:pPr>
              <w:spacing w:before="40" w:after="40"/>
              <w:jc w:val="right"/>
              <w:rPr>
                <w:rFonts w:eastAsia="Times New Roman"/>
                <w:color w:val="000000" w:themeColor="text1"/>
                <w:spacing w:val="4"/>
                <w:sz w:val="20"/>
                <w:szCs w:val="17"/>
                <w:lang w:val="en-GB"/>
              </w:rPr>
            </w:pPr>
            <w:r w:rsidRPr="00313570">
              <w:rPr>
                <w:rFonts w:eastAsia="Times New Roman"/>
                <w:color w:val="000000" w:themeColor="text1"/>
                <w:spacing w:val="4"/>
                <w:sz w:val="20"/>
                <w:szCs w:val="17"/>
                <w:lang w:val="en-GB"/>
              </w:rPr>
              <w:t>$750m</w:t>
            </w:r>
          </w:p>
        </w:tc>
        <w:tc>
          <w:tcPr>
            <w:tcW w:w="725" w:type="pct"/>
            <w:hideMark/>
          </w:tcPr>
          <w:p w14:paraId="371F8260" w14:textId="77777777" w:rsidR="001404F7" w:rsidRPr="00313570" w:rsidRDefault="001404F7" w:rsidP="001404F7">
            <w:pPr>
              <w:spacing w:before="40" w:after="40"/>
              <w:jc w:val="right"/>
              <w:rPr>
                <w:rFonts w:eastAsia="Times New Roman"/>
                <w:color w:val="000000" w:themeColor="text1"/>
                <w:spacing w:val="4"/>
                <w:sz w:val="20"/>
                <w:szCs w:val="17"/>
                <w:lang w:val="en-GB"/>
              </w:rPr>
            </w:pPr>
            <w:r w:rsidRPr="00313570">
              <w:rPr>
                <w:rFonts w:eastAsia="Times New Roman"/>
                <w:color w:val="000000" w:themeColor="text1"/>
                <w:spacing w:val="4"/>
                <w:sz w:val="20"/>
                <w:szCs w:val="17"/>
                <w:lang w:val="en-GB"/>
              </w:rPr>
              <w:t>$739m</w:t>
            </w:r>
          </w:p>
        </w:tc>
      </w:tr>
    </w:tbl>
    <w:p w14:paraId="08589465" w14:textId="6959AA32" w:rsidR="001404F7" w:rsidRPr="009B2A19" w:rsidRDefault="001404F7" w:rsidP="001404F7">
      <w:pPr>
        <w:spacing w:before="160" w:after="60" w:line="240" w:lineRule="auto"/>
        <w:ind w:left="284" w:hanging="284"/>
        <w:contextualSpacing/>
        <w:rPr>
          <w:rFonts w:cs="Arial"/>
          <w:sz w:val="16"/>
          <w:szCs w:val="16"/>
        </w:rPr>
      </w:pPr>
      <w:r w:rsidRPr="009B2A19">
        <w:rPr>
          <w:rFonts w:cs="Arial"/>
          <w:sz w:val="16"/>
          <w:szCs w:val="16"/>
        </w:rPr>
        <w:t>a</w:t>
      </w:r>
      <w:r w:rsidRPr="009B2A19">
        <w:rPr>
          <w:rFonts w:cs="Arial"/>
          <w:sz w:val="16"/>
          <w:szCs w:val="16"/>
        </w:rPr>
        <w:tab/>
        <w:t>Reconciliation data reported at June 2020 for 2017–18, June 2019 for 2016–17 and June 2018 for 2015–16.</w:t>
      </w:r>
      <w:r>
        <w:rPr>
          <w:rFonts w:cs="Arial"/>
          <w:sz w:val="16"/>
          <w:szCs w:val="16"/>
        </w:rPr>
        <w:t xml:space="preserve"> </w:t>
      </w:r>
      <w:r w:rsidR="003C5132" w:rsidRPr="00050992">
        <w:rPr>
          <w:rFonts w:cs="Arial"/>
          <w:sz w:val="16"/>
          <w:szCs w:val="16"/>
        </w:rPr>
        <w:t>FTB reconciliation recipient information is reported after two years to capture future actions in respect of the financial year. The two-year period allows time for the data to capture many recipients lodging income tax returns and undertaking the reconciliation process or claiming a lump sum payment.</w:t>
      </w:r>
    </w:p>
    <w:p w14:paraId="4941AEFF" w14:textId="77777777" w:rsidR="001404F7" w:rsidRPr="009B2A19" w:rsidRDefault="001404F7" w:rsidP="001404F7">
      <w:pPr>
        <w:spacing w:before="160" w:after="60" w:line="240" w:lineRule="auto"/>
        <w:ind w:left="284" w:hanging="284"/>
        <w:contextualSpacing/>
        <w:rPr>
          <w:rFonts w:cs="Arial"/>
          <w:sz w:val="16"/>
          <w:szCs w:val="16"/>
        </w:rPr>
      </w:pPr>
      <w:r w:rsidRPr="009B2A19">
        <w:rPr>
          <w:rFonts w:cs="Arial"/>
          <w:sz w:val="16"/>
          <w:szCs w:val="16"/>
        </w:rPr>
        <w:t>b</w:t>
      </w:r>
      <w:r w:rsidRPr="009B2A19">
        <w:rPr>
          <w:rFonts w:cs="Arial"/>
          <w:sz w:val="16"/>
          <w:szCs w:val="16"/>
        </w:rPr>
        <w:tab/>
        <w:t>The Child Support Scheme contributes to this indicator through assessment, collection and transfer of child support between separated parents</w:t>
      </w:r>
      <w:r>
        <w:rPr>
          <w:rFonts w:cs="Arial"/>
          <w:sz w:val="16"/>
          <w:szCs w:val="16"/>
        </w:rPr>
        <w:t>.</w:t>
      </w:r>
    </w:p>
    <w:p w14:paraId="77E35156" w14:textId="77777777" w:rsidR="001404F7" w:rsidRPr="00D47E5B" w:rsidRDefault="001404F7" w:rsidP="001404F7">
      <w:pPr>
        <w:rPr>
          <w:sz w:val="20"/>
          <w:szCs w:val="20"/>
        </w:rPr>
      </w:pPr>
    </w:p>
    <w:p w14:paraId="66B4553D" w14:textId="77777777" w:rsidR="001404F7" w:rsidRPr="00BC04EB"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sidRPr="00BC04EB">
        <w:rPr>
          <w:rFonts w:ascii="Arial Narrow" w:eastAsia="Times New Roman" w:hAnsi="Arial Narrow" w:cs="Times New Roman"/>
          <w:b/>
          <w:bCs/>
          <w:spacing w:val="4"/>
          <w:sz w:val="20"/>
          <w:szCs w:val="18"/>
          <w:lang w:eastAsia="en-AU"/>
        </w:rPr>
        <w:t>Table 2.1.</w:t>
      </w:r>
      <w:r>
        <w:rPr>
          <w:rFonts w:ascii="Arial Narrow" w:eastAsia="Times New Roman" w:hAnsi="Arial Narrow" w:cs="Times New Roman"/>
          <w:b/>
          <w:bCs/>
          <w:spacing w:val="4"/>
          <w:sz w:val="20"/>
          <w:szCs w:val="18"/>
          <w:lang w:eastAsia="en-AU"/>
        </w:rPr>
        <w:t>11</w:t>
      </w:r>
      <w:r w:rsidRPr="00BC04EB">
        <w:rPr>
          <w:rFonts w:ascii="Arial Narrow" w:eastAsia="Times New Roman" w:hAnsi="Arial Narrow" w:cs="Times New Roman"/>
          <w:b/>
          <w:bCs/>
          <w:spacing w:val="4"/>
          <w:sz w:val="20"/>
          <w:szCs w:val="18"/>
          <w:lang w:eastAsia="en-AU"/>
        </w:rPr>
        <w:t>c: Percentage of recipients aligned to specific policy objectives or payment conditions</w:t>
      </w:r>
      <w:r>
        <w:rPr>
          <w:rFonts w:ascii="Arial Narrow" w:eastAsia="Times New Roman" w:hAnsi="Arial Narrow" w:cs="Times New Roman"/>
          <w:b/>
          <w:bCs/>
          <w:spacing w:val="4"/>
          <w:sz w:val="20"/>
          <w:szCs w:val="18"/>
          <w:lang w:eastAsia="en-AU"/>
        </w:rPr>
        <w:t xml:space="preserve"> </w:t>
      </w:r>
      <w:r w:rsidRPr="00BC04EB">
        <w:rPr>
          <w:rFonts w:ascii="Arial Narrow" w:eastAsia="Times New Roman" w:hAnsi="Arial Narrow" w:cs="Times New Roman"/>
          <w:b/>
          <w:bCs/>
          <w:spacing w:val="4"/>
          <w:sz w:val="20"/>
          <w:szCs w:val="18"/>
          <w:lang w:eastAsia="en-AU"/>
        </w:rPr>
        <w:t>—</w:t>
      </w:r>
      <w:r>
        <w:rPr>
          <w:rFonts w:ascii="Arial Narrow" w:eastAsia="Times New Roman" w:hAnsi="Arial Narrow" w:cs="Times New Roman"/>
          <w:b/>
          <w:bCs/>
          <w:spacing w:val="4"/>
          <w:sz w:val="20"/>
          <w:szCs w:val="18"/>
          <w:lang w:eastAsia="en-AU"/>
        </w:rPr>
        <w:t xml:space="preserve"> </w:t>
      </w:r>
      <w:r w:rsidRPr="00BC04EB">
        <w:rPr>
          <w:rFonts w:ascii="Arial Narrow" w:eastAsia="Times New Roman" w:hAnsi="Arial Narrow" w:cs="Times New Roman"/>
          <w:b/>
          <w:bCs/>
          <w:spacing w:val="4"/>
          <w:sz w:val="20"/>
          <w:szCs w:val="18"/>
          <w:lang w:eastAsia="en-AU"/>
        </w:rPr>
        <w:t>Income Support for Seniors</w:t>
      </w:r>
    </w:p>
    <w:tbl>
      <w:tblPr>
        <w:tblStyle w:val="HHorizontaltable1"/>
        <w:tblpPr w:leftFromText="180" w:rightFromText="180" w:vertAnchor="text" w:tblpY="1"/>
        <w:tblW w:w="5000" w:type="pct"/>
        <w:tblLook w:val="04A0" w:firstRow="1" w:lastRow="0" w:firstColumn="1" w:lastColumn="0" w:noHBand="0" w:noVBand="1"/>
        <w:tblCaption w:val="Table 2.1.11c: Percentage of recipients aligned to specific policy objectives or payment conditions – Income Support for Seniors"/>
        <w:tblDescription w:val="Table 2.1.11c: Percentage of recipients aligned to specific policy objectives or payment conditions – Income Support for Seniors"/>
      </w:tblPr>
      <w:tblGrid>
        <w:gridCol w:w="5103"/>
        <w:gridCol w:w="1307"/>
        <w:gridCol w:w="1309"/>
        <w:gridCol w:w="1307"/>
      </w:tblGrid>
      <w:tr w:rsidR="001404F7" w:rsidRPr="00AF1D81" w14:paraId="1D0BB7ED" w14:textId="77777777" w:rsidTr="001404F7">
        <w:trPr>
          <w:cnfStyle w:val="100000000000" w:firstRow="1" w:lastRow="0" w:firstColumn="0" w:lastColumn="0" w:oddVBand="0" w:evenVBand="0" w:oddHBand="0" w:evenHBand="0" w:firstRowFirstColumn="0" w:firstRowLastColumn="0" w:lastRowFirstColumn="0" w:lastRowLastColumn="0"/>
          <w:trHeight w:val="545"/>
        </w:trPr>
        <w:tc>
          <w:tcPr>
            <w:tcW w:w="2827" w:type="pct"/>
            <w:hideMark/>
          </w:tcPr>
          <w:p w14:paraId="2F36EEE3" w14:textId="77777777" w:rsidR="001404F7" w:rsidRPr="00D13460" w:rsidRDefault="001404F7" w:rsidP="001404F7">
            <w:pPr>
              <w:keepNext/>
              <w:keepLines/>
              <w:spacing w:before="40" w:after="40"/>
              <w:rPr>
                <w:rFonts w:eastAsia="Times New Roman" w:cs="Times New Roman"/>
                <w:sz w:val="20"/>
                <w:szCs w:val="18"/>
              </w:rPr>
            </w:pPr>
            <w:r w:rsidRPr="00D13460">
              <w:rPr>
                <w:rFonts w:eastAsia="Times New Roman" w:cs="Times New Roman"/>
                <w:sz w:val="20"/>
                <w:szCs w:val="18"/>
              </w:rPr>
              <w:t>Intermediate outcome performance measure</w:t>
            </w:r>
          </w:p>
        </w:tc>
        <w:tc>
          <w:tcPr>
            <w:tcW w:w="724" w:type="pct"/>
            <w:hideMark/>
          </w:tcPr>
          <w:p w14:paraId="69773941" w14:textId="77777777" w:rsidR="001404F7" w:rsidRPr="00D13460" w:rsidRDefault="001404F7" w:rsidP="001404F7">
            <w:pPr>
              <w:keepNext/>
              <w:keepLines/>
              <w:spacing w:before="40" w:after="40"/>
              <w:jc w:val="right"/>
              <w:rPr>
                <w:rFonts w:eastAsia="Times New Roman" w:cs="Times New Roman"/>
                <w:sz w:val="20"/>
                <w:szCs w:val="18"/>
              </w:rPr>
            </w:pPr>
            <w:r w:rsidRPr="00D13460">
              <w:rPr>
                <w:rFonts w:eastAsia="Times New Roman" w:cs="Times New Roman"/>
                <w:sz w:val="20"/>
                <w:szCs w:val="18"/>
              </w:rPr>
              <w:t>2019–20</w:t>
            </w:r>
          </w:p>
        </w:tc>
        <w:tc>
          <w:tcPr>
            <w:tcW w:w="725" w:type="pct"/>
            <w:hideMark/>
          </w:tcPr>
          <w:p w14:paraId="1DDC54B2" w14:textId="77777777" w:rsidR="001404F7" w:rsidRPr="00D13460" w:rsidRDefault="001404F7" w:rsidP="001404F7">
            <w:pPr>
              <w:keepNext/>
              <w:keepLines/>
              <w:spacing w:before="40" w:after="40"/>
              <w:jc w:val="right"/>
              <w:rPr>
                <w:rFonts w:eastAsia="Times New Roman" w:cs="Times New Roman"/>
                <w:sz w:val="20"/>
                <w:szCs w:val="18"/>
              </w:rPr>
            </w:pPr>
            <w:r w:rsidRPr="00D13460">
              <w:rPr>
                <w:rFonts w:eastAsia="Times New Roman" w:cs="Times New Roman"/>
                <w:sz w:val="20"/>
                <w:szCs w:val="18"/>
              </w:rPr>
              <w:t>2018–19</w:t>
            </w:r>
          </w:p>
        </w:tc>
        <w:tc>
          <w:tcPr>
            <w:tcW w:w="724" w:type="pct"/>
            <w:hideMark/>
          </w:tcPr>
          <w:p w14:paraId="28AA0197" w14:textId="77777777" w:rsidR="001404F7" w:rsidRPr="00D13460" w:rsidRDefault="001404F7" w:rsidP="001404F7">
            <w:pPr>
              <w:keepNext/>
              <w:keepLines/>
              <w:spacing w:before="40" w:after="40"/>
              <w:jc w:val="right"/>
              <w:rPr>
                <w:rFonts w:eastAsia="Times New Roman" w:cs="Times New Roman"/>
                <w:sz w:val="20"/>
                <w:szCs w:val="18"/>
              </w:rPr>
            </w:pPr>
            <w:r w:rsidRPr="00D13460">
              <w:rPr>
                <w:rFonts w:eastAsia="Times New Roman" w:cs="Times New Roman"/>
                <w:sz w:val="20"/>
                <w:szCs w:val="18"/>
              </w:rPr>
              <w:t>2017–18</w:t>
            </w:r>
          </w:p>
        </w:tc>
      </w:tr>
      <w:tr w:rsidR="001404F7" w:rsidRPr="00BC04EB" w14:paraId="258DEFFE" w14:textId="77777777" w:rsidTr="001404F7">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4"/>
            <w:tcBorders>
              <w:bottom w:val="single" w:sz="12" w:space="0" w:color="00B0B9"/>
            </w:tcBorders>
            <w:hideMark/>
          </w:tcPr>
          <w:p w14:paraId="659BD02B" w14:textId="77777777" w:rsidR="001404F7" w:rsidRPr="00BC04EB" w:rsidRDefault="001404F7" w:rsidP="001404F7">
            <w:pPr>
              <w:keepNext/>
              <w:keepLines/>
              <w:spacing w:before="40" w:after="40"/>
              <w:rPr>
                <w:rFonts w:eastAsia="Times New Roman" w:cs="Times New Roman"/>
                <w:b/>
                <w:color w:val="000000" w:themeColor="text1"/>
                <w:sz w:val="20"/>
                <w:szCs w:val="20"/>
              </w:rPr>
            </w:pPr>
            <w:r w:rsidRPr="00BC04EB">
              <w:rPr>
                <w:rFonts w:eastAsia="Times New Roman" w:cs="Times New Roman"/>
                <w:b/>
                <w:color w:val="000000" w:themeColor="text1"/>
                <w:sz w:val="20"/>
                <w:szCs w:val="20"/>
              </w:rPr>
              <w:t>Income Support for Seniors</w:t>
            </w:r>
          </w:p>
        </w:tc>
      </w:tr>
      <w:tr w:rsidR="001404F7" w:rsidRPr="00BC04EB" w14:paraId="1FA35091" w14:textId="77777777" w:rsidTr="001404F7">
        <w:trPr>
          <w:cnfStyle w:val="000000010000" w:firstRow="0" w:lastRow="0" w:firstColumn="0" w:lastColumn="0" w:oddVBand="0" w:evenVBand="0" w:oddHBand="0" w:evenHBand="1" w:firstRowFirstColumn="0" w:firstRowLastColumn="0" w:lastRowFirstColumn="0" w:lastRowLastColumn="0"/>
          <w:trHeight w:val="310"/>
        </w:trPr>
        <w:tc>
          <w:tcPr>
            <w:tcW w:w="5000" w:type="pct"/>
            <w:gridSpan w:val="4"/>
            <w:tcBorders>
              <w:top w:val="single" w:sz="12" w:space="0" w:color="00B0B9"/>
              <w:bottom w:val="single" w:sz="4" w:space="0" w:color="FFFFFF" w:themeColor="background1"/>
            </w:tcBorders>
            <w:hideMark/>
          </w:tcPr>
          <w:p w14:paraId="513CAC1A" w14:textId="77777777" w:rsidR="001404F7" w:rsidRPr="00BC04EB" w:rsidRDefault="001404F7" w:rsidP="001404F7">
            <w:pPr>
              <w:spacing w:before="40"/>
              <w:rPr>
                <w:rFonts w:eastAsia="Times New Roman" w:cs="Arial"/>
                <w:color w:val="000000" w:themeColor="text1"/>
                <w:spacing w:val="4"/>
                <w:sz w:val="20"/>
                <w:szCs w:val="17"/>
                <w:lang w:val="en-GB"/>
              </w:rPr>
            </w:pPr>
            <w:r w:rsidRPr="00BC04EB">
              <w:rPr>
                <w:rFonts w:eastAsia="Times New Roman"/>
                <w:color w:val="000000" w:themeColor="text1"/>
                <w:spacing w:val="4"/>
                <w:sz w:val="20"/>
                <w:szCs w:val="17"/>
                <w:lang w:val="en-GB"/>
              </w:rPr>
              <w:t>Age Pension</w:t>
            </w:r>
          </w:p>
        </w:tc>
      </w:tr>
      <w:tr w:rsidR="001404F7" w:rsidRPr="00BC04EB" w14:paraId="2D13AD18" w14:textId="77777777" w:rsidTr="001404F7">
        <w:trPr>
          <w:cnfStyle w:val="000000100000" w:firstRow="0" w:lastRow="0" w:firstColumn="0" w:lastColumn="0" w:oddVBand="0" w:evenVBand="0" w:oddHBand="1" w:evenHBand="0" w:firstRowFirstColumn="0" w:firstRowLastColumn="0" w:lastRowFirstColumn="0" w:lastRowLastColumn="0"/>
          <w:trHeight w:val="545"/>
        </w:trPr>
        <w:tc>
          <w:tcPr>
            <w:tcW w:w="2827" w:type="pct"/>
            <w:tcBorders>
              <w:top w:val="single" w:sz="4" w:space="0" w:color="FFFFFF" w:themeColor="background1"/>
            </w:tcBorders>
            <w:hideMark/>
          </w:tcPr>
          <w:p w14:paraId="57568C76" w14:textId="77777777" w:rsidR="001404F7" w:rsidRPr="00BC04EB" w:rsidRDefault="001404F7" w:rsidP="001404F7">
            <w:pPr>
              <w:spacing w:line="260" w:lineRule="atLeast"/>
              <w:rPr>
                <w:rFonts w:eastAsia="Times New Roman" w:cs="Arial"/>
                <w:color w:val="000000" w:themeColor="text1"/>
                <w:spacing w:val="4"/>
                <w:sz w:val="20"/>
                <w:szCs w:val="20"/>
                <w:highlight w:val="yellow"/>
                <w:lang w:val="en-GB"/>
              </w:rPr>
            </w:pPr>
            <w:r w:rsidRPr="00BC04EB">
              <w:rPr>
                <w:rFonts w:eastAsia="Times New Roman" w:cs="Arial"/>
                <w:color w:val="000000" w:themeColor="text1"/>
                <w:spacing w:val="4"/>
                <w:sz w:val="20"/>
                <w:szCs w:val="20"/>
                <w:lang w:val="en-GB"/>
              </w:rPr>
              <w:t xml:space="preserve">Percentage of total </w:t>
            </w:r>
            <w:proofErr w:type="spellStart"/>
            <w:r w:rsidRPr="00BC04EB">
              <w:rPr>
                <w:rFonts w:eastAsia="Times New Roman" w:cs="Arial"/>
                <w:color w:val="000000" w:themeColor="text1"/>
                <w:spacing w:val="4"/>
                <w:sz w:val="20"/>
                <w:szCs w:val="20"/>
                <w:lang w:val="en-GB"/>
              </w:rPr>
              <w:t>income</w:t>
            </w:r>
            <w:r w:rsidRPr="00BC04EB">
              <w:rPr>
                <w:rFonts w:eastAsia="Times New Roman" w:cs="Arial"/>
                <w:color w:val="000000" w:themeColor="text1"/>
                <w:spacing w:val="4"/>
                <w:sz w:val="20"/>
                <w:szCs w:val="20"/>
                <w:vertAlign w:val="superscript"/>
                <w:lang w:val="en-GB"/>
              </w:rPr>
              <w:t>a</w:t>
            </w:r>
            <w:proofErr w:type="spellEnd"/>
            <w:r w:rsidRPr="00BC04EB">
              <w:rPr>
                <w:rFonts w:eastAsia="Times New Roman" w:cs="Arial"/>
                <w:color w:val="000000" w:themeColor="text1"/>
                <w:spacing w:val="4"/>
                <w:sz w:val="20"/>
                <w:szCs w:val="20"/>
                <w:lang w:val="en-GB"/>
              </w:rPr>
              <w:t xml:space="preserve"> derived from sources other than the </w:t>
            </w:r>
            <w:proofErr w:type="spellStart"/>
            <w:r w:rsidRPr="00BC04EB">
              <w:rPr>
                <w:rFonts w:eastAsia="Times New Roman" w:cs="Arial"/>
                <w:color w:val="000000" w:themeColor="text1"/>
                <w:spacing w:val="4"/>
                <w:sz w:val="20"/>
                <w:szCs w:val="20"/>
                <w:lang w:val="en-GB"/>
              </w:rPr>
              <w:t>pension</w:t>
            </w:r>
            <w:r w:rsidRPr="00BC04EB">
              <w:rPr>
                <w:rFonts w:eastAsia="Times New Roman" w:cs="Arial"/>
                <w:color w:val="000000" w:themeColor="text1"/>
                <w:spacing w:val="4"/>
                <w:sz w:val="20"/>
                <w:szCs w:val="20"/>
                <w:vertAlign w:val="superscript"/>
                <w:lang w:val="en-GB"/>
              </w:rPr>
              <w:t>b</w:t>
            </w:r>
            <w:proofErr w:type="spellEnd"/>
          </w:p>
        </w:tc>
        <w:tc>
          <w:tcPr>
            <w:tcW w:w="724" w:type="pct"/>
            <w:tcBorders>
              <w:top w:val="single" w:sz="4" w:space="0" w:color="FFFFFF" w:themeColor="background1"/>
            </w:tcBorders>
            <w:hideMark/>
          </w:tcPr>
          <w:p w14:paraId="2E577724" w14:textId="77777777" w:rsidR="001404F7" w:rsidRPr="00BC04EB" w:rsidRDefault="001404F7" w:rsidP="001404F7">
            <w:pPr>
              <w:spacing w:line="260" w:lineRule="atLeast"/>
              <w:jc w:val="right"/>
              <w:rPr>
                <w:rFonts w:eastAsia="Times New Roman" w:cs="Arial"/>
                <w:color w:val="000000" w:themeColor="text1"/>
                <w:spacing w:val="4"/>
                <w:sz w:val="20"/>
                <w:szCs w:val="17"/>
                <w:lang w:val="en-GB"/>
              </w:rPr>
            </w:pPr>
            <w:r w:rsidRPr="009B2A19">
              <w:rPr>
                <w:rFonts w:eastAsia="Times New Roman" w:cs="Arial"/>
                <w:spacing w:val="4"/>
                <w:sz w:val="20"/>
                <w:szCs w:val="17"/>
                <w:lang w:val="en-GB"/>
              </w:rPr>
              <w:t>19.1%</w:t>
            </w:r>
          </w:p>
        </w:tc>
        <w:tc>
          <w:tcPr>
            <w:tcW w:w="724" w:type="pct"/>
            <w:tcBorders>
              <w:top w:val="single" w:sz="4" w:space="0" w:color="FFFFFF" w:themeColor="background1"/>
            </w:tcBorders>
            <w:hideMark/>
          </w:tcPr>
          <w:p w14:paraId="6C82659C" w14:textId="77777777" w:rsidR="001404F7" w:rsidRPr="00BC04EB" w:rsidRDefault="001404F7" w:rsidP="001404F7">
            <w:pPr>
              <w:spacing w:line="260" w:lineRule="atLeast"/>
              <w:jc w:val="right"/>
              <w:rPr>
                <w:rFonts w:eastAsia="Times New Roman" w:cs="Arial"/>
                <w:color w:val="000000" w:themeColor="text1"/>
                <w:spacing w:val="4"/>
                <w:sz w:val="20"/>
                <w:szCs w:val="17"/>
                <w:lang w:val="en-GB"/>
              </w:rPr>
            </w:pPr>
            <w:r w:rsidRPr="00BC04EB">
              <w:rPr>
                <w:rFonts w:eastAsia="Times New Roman" w:cs="Arial"/>
                <w:color w:val="000000" w:themeColor="text1"/>
                <w:spacing w:val="4"/>
                <w:sz w:val="20"/>
                <w:szCs w:val="17"/>
                <w:lang w:val="en-GB"/>
              </w:rPr>
              <w:t>21.9%</w:t>
            </w:r>
          </w:p>
        </w:tc>
        <w:tc>
          <w:tcPr>
            <w:tcW w:w="725" w:type="pct"/>
            <w:tcBorders>
              <w:top w:val="single" w:sz="4" w:space="0" w:color="FFFFFF" w:themeColor="background1"/>
            </w:tcBorders>
            <w:hideMark/>
          </w:tcPr>
          <w:p w14:paraId="61810117" w14:textId="77777777" w:rsidR="001404F7" w:rsidRPr="00BC04EB" w:rsidRDefault="001404F7" w:rsidP="001404F7">
            <w:pPr>
              <w:spacing w:line="260" w:lineRule="atLeast"/>
              <w:jc w:val="right"/>
              <w:rPr>
                <w:rFonts w:eastAsia="Times New Roman" w:cs="Arial"/>
                <w:color w:val="000000" w:themeColor="text1"/>
                <w:spacing w:val="4"/>
                <w:sz w:val="20"/>
                <w:szCs w:val="17"/>
                <w:lang w:val="en-GB"/>
              </w:rPr>
            </w:pPr>
            <w:r w:rsidRPr="00BC04EB">
              <w:rPr>
                <w:rFonts w:eastAsia="Times New Roman" w:cs="Arial"/>
                <w:color w:val="000000" w:themeColor="text1"/>
                <w:spacing w:val="4"/>
                <w:sz w:val="20"/>
                <w:szCs w:val="17"/>
                <w:lang w:val="en-GB"/>
              </w:rPr>
              <w:t>22.2%</w:t>
            </w:r>
          </w:p>
        </w:tc>
      </w:tr>
    </w:tbl>
    <w:p w14:paraId="66E42E1C" w14:textId="77777777" w:rsidR="001404F7" w:rsidRPr="00BC04EB" w:rsidRDefault="001404F7" w:rsidP="001404F7">
      <w:pPr>
        <w:spacing w:before="160" w:after="60" w:line="240" w:lineRule="auto"/>
        <w:ind w:left="284" w:hanging="284"/>
        <w:contextualSpacing/>
        <w:rPr>
          <w:rFonts w:cs="Arial"/>
          <w:sz w:val="16"/>
          <w:szCs w:val="16"/>
        </w:rPr>
      </w:pPr>
      <w:r w:rsidRPr="00BC04EB">
        <w:rPr>
          <w:rFonts w:cs="Arial"/>
          <w:sz w:val="16"/>
          <w:szCs w:val="16"/>
        </w:rPr>
        <w:t>a</w:t>
      </w:r>
      <w:r w:rsidRPr="00BC04EB">
        <w:rPr>
          <w:rFonts w:cs="Arial"/>
          <w:sz w:val="16"/>
          <w:szCs w:val="16"/>
        </w:rPr>
        <w:tab/>
        <w:t>Total income only includes assessable income for social security purposes, such as employment income, foreign pensions, deemed income from financial investments and the assessable income received from income streams. It does not include the actual amounts earned on deemed financial investments, the actual income received from income streams, amounts received from reverse mortgages or lump sum amounts withdrawn from bank accounts or superannuation. It also does not account for the use of assets for self-support in retirement (e.g. selling property, selling shares), which is a key part of retirement income planning.</w:t>
      </w:r>
    </w:p>
    <w:p w14:paraId="5AC9D172" w14:textId="77777777" w:rsidR="001404F7" w:rsidRPr="00BC04EB" w:rsidRDefault="001404F7" w:rsidP="001404F7">
      <w:pPr>
        <w:spacing w:before="160" w:after="60" w:line="240" w:lineRule="auto"/>
        <w:ind w:left="284" w:hanging="284"/>
        <w:contextualSpacing/>
        <w:rPr>
          <w:rFonts w:cs="Arial"/>
          <w:sz w:val="16"/>
          <w:szCs w:val="16"/>
        </w:rPr>
      </w:pPr>
      <w:r w:rsidRPr="00BC04EB">
        <w:rPr>
          <w:rFonts w:cs="Arial"/>
          <w:sz w:val="16"/>
          <w:szCs w:val="16"/>
        </w:rPr>
        <w:t>b</w:t>
      </w:r>
      <w:r w:rsidRPr="00BC04EB">
        <w:rPr>
          <w:rFonts w:cs="Arial"/>
          <w:sz w:val="16"/>
          <w:szCs w:val="16"/>
        </w:rPr>
        <w:tab/>
        <w:t>Performance measure updated to reflect a percentage from 2018–19.</w:t>
      </w:r>
    </w:p>
    <w:p w14:paraId="0B74E420" w14:textId="77777777" w:rsidR="001404F7" w:rsidRPr="00D47E5B" w:rsidRDefault="001404F7" w:rsidP="001404F7">
      <w:pPr>
        <w:rPr>
          <w:sz w:val="20"/>
          <w:szCs w:val="20"/>
        </w:rPr>
      </w:pPr>
    </w:p>
    <w:p w14:paraId="1E604DB5" w14:textId="77777777" w:rsidR="001404F7" w:rsidRDefault="001404F7" w:rsidP="001404F7">
      <w:pPr>
        <w:spacing w:before="240" w:after="240" w:line="260" w:lineRule="atLeast"/>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t xml:space="preserve">C1.3.3 </w:t>
      </w:r>
      <w:r w:rsidRPr="00E5037E">
        <w:rPr>
          <w:rFonts w:eastAsiaTheme="majorEastAsia" w:cstheme="majorBidi"/>
          <w:b/>
          <w:color w:val="595959" w:themeColor="text1" w:themeTint="A6"/>
          <w:sz w:val="24"/>
          <w:szCs w:val="20"/>
        </w:rPr>
        <w:t>Percentage of Commonwealth Rent Assistance income units in rental stress before and after receiving Commonwealth Rent Assistance</w:t>
      </w:r>
    </w:p>
    <w:p w14:paraId="6F91E76D" w14:textId="77777777" w:rsidR="001404F7" w:rsidRPr="00577E4E" w:rsidRDefault="001404F7" w:rsidP="001404F7">
      <w:pPr>
        <w:rPr>
          <w:rFonts w:cs="Arial"/>
          <w:sz w:val="20"/>
          <w:szCs w:val="20"/>
        </w:rPr>
      </w:pPr>
      <w:r w:rsidRPr="00577E4E">
        <w:rPr>
          <w:rFonts w:cs="Arial"/>
          <w:sz w:val="20"/>
          <w:szCs w:val="20"/>
        </w:rPr>
        <w:t>This indicator reports on the impact of Commonwealth Rent Assistance payments in helping social security payment or Family Tax Benefit recipients with the cost of private rental housing or community housing. It is a proxy measure of whether recipients can rent affordably in the private market. For the purposes of this indicator, Commonwealth Rent Assistance recipients are considered to be in rental stress if rent is more than 30 per cent of income.</w:t>
      </w:r>
    </w:p>
    <w:p w14:paraId="4B683629" w14:textId="77777777" w:rsidR="001404F7" w:rsidRPr="00577E4E" w:rsidRDefault="001404F7" w:rsidP="001404F7">
      <w:pPr>
        <w:rPr>
          <w:rFonts w:cs="Arial"/>
          <w:sz w:val="20"/>
          <w:szCs w:val="20"/>
        </w:rPr>
      </w:pPr>
      <w:r w:rsidRPr="00577E4E">
        <w:rPr>
          <w:rFonts w:cs="Arial"/>
          <w:sz w:val="20"/>
          <w:szCs w:val="20"/>
        </w:rPr>
        <w:t>The amount of Commonwealth Rent Assistance payable is based on the amount of rent paid and the person’s family situation (single, couple, number of children, if any, and for single people, whether they are sharing accommodation).</w:t>
      </w:r>
    </w:p>
    <w:p w14:paraId="0276FD21" w14:textId="77777777" w:rsidR="00370874" w:rsidRDefault="00370874" w:rsidP="001404F7">
      <w:pPr>
        <w:pStyle w:val="Heading7"/>
      </w:pPr>
    </w:p>
    <w:p w14:paraId="53C4763E" w14:textId="77777777" w:rsidR="00715F6F" w:rsidRDefault="00715F6F">
      <w:pPr>
        <w:sectPr w:rsidR="00715F6F" w:rsidSect="00585891">
          <w:footnotePr>
            <w:numRestart w:val="eachPage"/>
          </w:footnotePr>
          <w:pgSz w:w="11906" w:h="16838"/>
          <w:pgMar w:top="1440" w:right="1440" w:bottom="1440" w:left="1440" w:header="709" w:footer="709" w:gutter="0"/>
          <w:cols w:space="708"/>
          <w:docGrid w:linePitch="360"/>
        </w:sectPr>
      </w:pPr>
    </w:p>
    <w:p w14:paraId="77F29C95" w14:textId="568691BE" w:rsidR="001404F7" w:rsidRPr="00BF055A" w:rsidRDefault="001404F7" w:rsidP="001404F7">
      <w:pPr>
        <w:pStyle w:val="Heading7"/>
      </w:pPr>
      <w:r w:rsidRPr="00BF055A">
        <w:lastRenderedPageBreak/>
        <w:t>Analysis</w:t>
      </w:r>
    </w:p>
    <w:p w14:paraId="316DEA3B" w14:textId="77777777" w:rsidR="001404F7" w:rsidRPr="00577E4E" w:rsidRDefault="001404F7" w:rsidP="001404F7">
      <w:pPr>
        <w:rPr>
          <w:rFonts w:cs="Arial"/>
          <w:sz w:val="20"/>
          <w:szCs w:val="20"/>
        </w:rPr>
      </w:pPr>
      <w:r w:rsidRPr="00577E4E">
        <w:rPr>
          <w:rFonts w:cs="Arial"/>
          <w:sz w:val="20"/>
          <w:szCs w:val="20"/>
        </w:rPr>
        <w:t>As at the fortnight ending 26 June 2019, Commonwealth Rent Assistance reduced the proportion of income units</w:t>
      </w:r>
      <w:r w:rsidRPr="00577E4E">
        <w:rPr>
          <w:rFonts w:cs="Arial"/>
          <w:vertAlign w:val="superscript"/>
        </w:rPr>
        <w:footnoteReference w:id="1"/>
      </w:r>
      <w:r w:rsidRPr="00577E4E">
        <w:rPr>
          <w:rFonts w:cs="Arial"/>
          <w:sz w:val="20"/>
          <w:szCs w:val="20"/>
          <w:vertAlign w:val="superscript"/>
        </w:rPr>
        <w:t xml:space="preserve"> </w:t>
      </w:r>
      <w:r w:rsidRPr="00577E4E">
        <w:rPr>
          <w:rFonts w:cs="Arial"/>
          <w:sz w:val="20"/>
          <w:szCs w:val="20"/>
        </w:rPr>
        <w:t>paying more than 30 per cent of their income in rent from 55.4 per cent to 29.4 per cent.</w:t>
      </w:r>
    </w:p>
    <w:p w14:paraId="60BF94B3" w14:textId="77777777" w:rsidR="001404F7" w:rsidRPr="003F49E7"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sidRPr="003F49E7">
        <w:rPr>
          <w:rFonts w:ascii="Arial Narrow" w:eastAsia="Times New Roman" w:hAnsi="Arial Narrow" w:cs="Times New Roman"/>
          <w:b/>
          <w:bCs/>
          <w:spacing w:val="4"/>
          <w:sz w:val="20"/>
          <w:szCs w:val="18"/>
          <w:lang w:eastAsia="en-AU"/>
        </w:rPr>
        <w:t>Table 2.1.1</w:t>
      </w:r>
      <w:r>
        <w:rPr>
          <w:rFonts w:ascii="Arial Narrow" w:eastAsia="Times New Roman" w:hAnsi="Arial Narrow" w:cs="Times New Roman"/>
          <w:b/>
          <w:bCs/>
          <w:spacing w:val="4"/>
          <w:sz w:val="20"/>
          <w:szCs w:val="18"/>
          <w:lang w:eastAsia="en-AU"/>
        </w:rPr>
        <w:t>2</w:t>
      </w:r>
      <w:r w:rsidRPr="003F49E7">
        <w:rPr>
          <w:rFonts w:ascii="Arial Narrow" w:eastAsia="Times New Roman" w:hAnsi="Arial Narrow" w:cs="Times New Roman"/>
          <w:b/>
          <w:bCs/>
          <w:spacing w:val="4"/>
          <w:sz w:val="20"/>
          <w:szCs w:val="18"/>
          <w:lang w:eastAsia="en-AU"/>
        </w:rPr>
        <w:t>: Percentage of Commonwealth Rent Assistance income units in rental stress before and after receiving Commonwealth Rent Assistance</w:t>
      </w:r>
    </w:p>
    <w:tbl>
      <w:tblPr>
        <w:tblStyle w:val="HHorizontaltable1"/>
        <w:tblW w:w="4911" w:type="pct"/>
        <w:tblLook w:val="04A0" w:firstRow="1" w:lastRow="0" w:firstColumn="1" w:lastColumn="0" w:noHBand="0" w:noVBand="1"/>
        <w:tblCaption w:val="Table 2.1.12: Percentage of Commonwealth Rent Assistance income units in rental stress before and after receiving commonwealth Rent Assistance"/>
        <w:tblDescription w:val="Table 2.1.12: Percentage of Commonwealth Rent Assistance income units in rental stress before and after receiving commonwealth Rent Assistance"/>
      </w:tblPr>
      <w:tblGrid>
        <w:gridCol w:w="5102"/>
        <w:gridCol w:w="1254"/>
        <w:gridCol w:w="1254"/>
        <w:gridCol w:w="1255"/>
      </w:tblGrid>
      <w:tr w:rsidR="001404F7" w:rsidRPr="00AF1D81" w14:paraId="7315B2FB" w14:textId="77777777" w:rsidTr="001404F7">
        <w:trPr>
          <w:cnfStyle w:val="100000000000" w:firstRow="1" w:lastRow="0" w:firstColumn="0" w:lastColumn="0" w:oddVBand="0" w:evenVBand="0" w:oddHBand="0" w:evenHBand="0" w:firstRowFirstColumn="0" w:firstRowLastColumn="0" w:lastRowFirstColumn="0" w:lastRowLastColumn="0"/>
          <w:trHeight w:val="317"/>
        </w:trPr>
        <w:tc>
          <w:tcPr>
            <w:tcW w:w="2878" w:type="pct"/>
            <w:hideMark/>
          </w:tcPr>
          <w:p w14:paraId="30B88ADE" w14:textId="77777777" w:rsidR="001404F7" w:rsidRPr="00D13460" w:rsidRDefault="001404F7" w:rsidP="001404F7">
            <w:pPr>
              <w:spacing w:before="40" w:after="40"/>
              <w:rPr>
                <w:rFonts w:eastAsia="Times New Roman"/>
                <w:sz w:val="20"/>
                <w:szCs w:val="18"/>
              </w:rPr>
            </w:pPr>
            <w:r w:rsidRPr="00D13460">
              <w:rPr>
                <w:rFonts w:eastAsia="Times New Roman"/>
                <w:sz w:val="20"/>
                <w:szCs w:val="18"/>
              </w:rPr>
              <w:t>Outcome performance measure</w:t>
            </w:r>
          </w:p>
        </w:tc>
        <w:tc>
          <w:tcPr>
            <w:tcW w:w="707" w:type="pct"/>
            <w:hideMark/>
          </w:tcPr>
          <w:p w14:paraId="32B43972" w14:textId="77777777" w:rsidR="001404F7" w:rsidRPr="00D13460" w:rsidRDefault="001404F7" w:rsidP="001404F7">
            <w:pPr>
              <w:spacing w:before="40" w:after="40"/>
              <w:jc w:val="right"/>
              <w:rPr>
                <w:rFonts w:ascii="Arial Bold" w:eastAsia="Times New Roman" w:hAnsi="Arial Bold"/>
                <w:sz w:val="20"/>
                <w:szCs w:val="18"/>
                <w:vertAlign w:val="superscript"/>
              </w:rPr>
            </w:pPr>
            <w:r w:rsidRPr="00D13460">
              <w:rPr>
                <w:rFonts w:eastAsia="Times New Roman"/>
                <w:sz w:val="20"/>
                <w:szCs w:val="18"/>
              </w:rPr>
              <w:t>2019–20</w:t>
            </w:r>
            <w:r w:rsidRPr="00D13460">
              <w:rPr>
                <w:rFonts w:ascii="Arial Bold" w:eastAsia="Times New Roman" w:hAnsi="Arial Bold"/>
                <w:b w:val="0"/>
                <w:sz w:val="20"/>
                <w:szCs w:val="18"/>
                <w:vertAlign w:val="superscript"/>
              </w:rPr>
              <w:t>a</w:t>
            </w:r>
          </w:p>
        </w:tc>
        <w:tc>
          <w:tcPr>
            <w:tcW w:w="707" w:type="pct"/>
            <w:hideMark/>
          </w:tcPr>
          <w:p w14:paraId="470C993D" w14:textId="77777777" w:rsidR="001404F7" w:rsidRPr="00D13460" w:rsidRDefault="001404F7" w:rsidP="001404F7">
            <w:pPr>
              <w:spacing w:before="40" w:after="40"/>
              <w:jc w:val="right"/>
              <w:rPr>
                <w:rFonts w:eastAsia="Times New Roman"/>
                <w:sz w:val="20"/>
                <w:szCs w:val="18"/>
              </w:rPr>
            </w:pPr>
            <w:r w:rsidRPr="00D13460">
              <w:rPr>
                <w:rFonts w:eastAsia="Times New Roman"/>
                <w:sz w:val="20"/>
                <w:szCs w:val="18"/>
              </w:rPr>
              <w:t>2018–19</w:t>
            </w:r>
          </w:p>
        </w:tc>
        <w:tc>
          <w:tcPr>
            <w:tcW w:w="708" w:type="pct"/>
            <w:hideMark/>
          </w:tcPr>
          <w:p w14:paraId="495F964C" w14:textId="77777777" w:rsidR="001404F7" w:rsidRPr="00D13460" w:rsidRDefault="001404F7" w:rsidP="001404F7">
            <w:pPr>
              <w:spacing w:before="40" w:after="40"/>
              <w:jc w:val="right"/>
              <w:rPr>
                <w:rFonts w:eastAsia="Times New Roman"/>
                <w:sz w:val="20"/>
                <w:szCs w:val="18"/>
              </w:rPr>
            </w:pPr>
            <w:r w:rsidRPr="00D13460">
              <w:rPr>
                <w:rFonts w:eastAsia="Times New Roman"/>
                <w:sz w:val="20"/>
                <w:szCs w:val="18"/>
              </w:rPr>
              <w:t>2017–18</w:t>
            </w:r>
          </w:p>
        </w:tc>
      </w:tr>
      <w:tr w:rsidR="001404F7" w:rsidRPr="006447FF" w14:paraId="2A00E399"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bottom w:val="single" w:sz="12" w:space="0" w:color="00B0B9"/>
            </w:tcBorders>
            <w:hideMark/>
          </w:tcPr>
          <w:p w14:paraId="22802B11" w14:textId="77777777" w:rsidR="001404F7" w:rsidRPr="00AF1D81" w:rsidRDefault="001404F7" w:rsidP="001404F7">
            <w:pPr>
              <w:spacing w:before="40" w:after="40"/>
              <w:rPr>
                <w:rFonts w:eastAsia="Times New Roman"/>
                <w:b/>
                <w:color w:val="000000" w:themeColor="text1"/>
                <w:sz w:val="20"/>
                <w:szCs w:val="20"/>
              </w:rPr>
            </w:pPr>
            <w:r w:rsidRPr="00AF1D81">
              <w:rPr>
                <w:rFonts w:eastAsia="Times New Roman"/>
                <w:b/>
                <w:color w:val="000000" w:themeColor="text1"/>
                <w:sz w:val="20"/>
                <w:szCs w:val="20"/>
              </w:rPr>
              <w:t>Cross Program – Rent Assistance</w:t>
            </w:r>
          </w:p>
        </w:tc>
      </w:tr>
      <w:tr w:rsidR="001404F7" w:rsidRPr="006447FF" w14:paraId="44A4F5C7"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4"/>
            <w:tcBorders>
              <w:top w:val="single" w:sz="12" w:space="0" w:color="00B0B9"/>
              <w:bottom w:val="single" w:sz="4" w:space="0" w:color="FFFFFF" w:themeColor="background1"/>
            </w:tcBorders>
            <w:hideMark/>
          </w:tcPr>
          <w:p w14:paraId="7F2835CD" w14:textId="77777777" w:rsidR="001404F7" w:rsidRPr="004A5FAD" w:rsidRDefault="001404F7" w:rsidP="001404F7">
            <w:pPr>
              <w:spacing w:before="40" w:after="40"/>
              <w:rPr>
                <w:rFonts w:eastAsia="Times New Roman" w:cs="Arial"/>
                <w:color w:val="000000" w:themeColor="text1"/>
                <w:spacing w:val="4"/>
                <w:sz w:val="20"/>
                <w:szCs w:val="20"/>
                <w:vertAlign w:val="superscript"/>
                <w:lang w:val="en-GB"/>
              </w:rPr>
            </w:pPr>
            <w:r>
              <w:rPr>
                <w:rFonts w:eastAsia="Times New Roman" w:cs="Arial"/>
                <w:color w:val="000000" w:themeColor="text1"/>
                <w:spacing w:val="4"/>
                <w:sz w:val="20"/>
                <w:szCs w:val="20"/>
                <w:lang w:val="en-GB"/>
              </w:rPr>
              <w:t xml:space="preserve">Percentage of Commonwealth Rent Assistance income units in rental stress before and after receiving Commonwealth Rent </w:t>
            </w:r>
            <w:proofErr w:type="spellStart"/>
            <w:r>
              <w:rPr>
                <w:rFonts w:eastAsia="Times New Roman" w:cs="Arial"/>
                <w:color w:val="000000" w:themeColor="text1"/>
                <w:spacing w:val="4"/>
                <w:sz w:val="20"/>
                <w:szCs w:val="20"/>
                <w:lang w:val="en-GB"/>
              </w:rPr>
              <w:t>Assistance</w:t>
            </w:r>
            <w:r>
              <w:rPr>
                <w:rFonts w:eastAsia="Times New Roman" w:cs="Arial"/>
                <w:color w:val="000000" w:themeColor="text1"/>
                <w:spacing w:val="4"/>
                <w:sz w:val="20"/>
                <w:szCs w:val="20"/>
                <w:vertAlign w:val="superscript"/>
                <w:lang w:val="en-GB"/>
              </w:rPr>
              <w:t>b</w:t>
            </w:r>
            <w:proofErr w:type="spellEnd"/>
          </w:p>
        </w:tc>
      </w:tr>
      <w:tr w:rsidR="001404F7" w:rsidRPr="006447FF" w14:paraId="03E36667" w14:textId="77777777" w:rsidTr="001404F7">
        <w:trPr>
          <w:cnfStyle w:val="000000100000" w:firstRow="0" w:lastRow="0" w:firstColumn="0" w:lastColumn="0" w:oddVBand="0" w:evenVBand="0" w:oddHBand="1" w:evenHBand="0" w:firstRowFirstColumn="0" w:firstRowLastColumn="0" w:lastRowFirstColumn="0" w:lastRowLastColumn="0"/>
        </w:trPr>
        <w:tc>
          <w:tcPr>
            <w:tcW w:w="2878" w:type="pct"/>
            <w:tcBorders>
              <w:top w:val="single" w:sz="4" w:space="0" w:color="FFFFFF" w:themeColor="background1"/>
            </w:tcBorders>
            <w:hideMark/>
          </w:tcPr>
          <w:p w14:paraId="0775BA53" w14:textId="77777777" w:rsidR="001404F7" w:rsidRPr="006447FF" w:rsidRDefault="001404F7" w:rsidP="001404F7">
            <w:pPr>
              <w:numPr>
                <w:ilvl w:val="0"/>
                <w:numId w:val="79"/>
              </w:numPr>
              <w:spacing w:before="40" w:after="40"/>
              <w:ind w:left="459"/>
              <w:rPr>
                <w:rFonts w:eastAsia="Times New Roman" w:cs="Arial"/>
                <w:color w:val="000000" w:themeColor="text1"/>
                <w:spacing w:val="4"/>
                <w:sz w:val="20"/>
                <w:szCs w:val="20"/>
                <w:lang w:val="en-GB"/>
              </w:rPr>
            </w:pPr>
            <w:r w:rsidRPr="00061DD3">
              <w:rPr>
                <w:rFonts w:eastAsia="Arial" w:cs="Arial"/>
                <w:color w:val="000000" w:themeColor="text1"/>
                <w:spacing w:val="4"/>
                <w:sz w:val="20"/>
                <w:szCs w:val="20"/>
                <w:lang w:val="en-GB"/>
              </w:rPr>
              <w:t>Before</w:t>
            </w:r>
          </w:p>
        </w:tc>
        <w:tc>
          <w:tcPr>
            <w:tcW w:w="707" w:type="pct"/>
            <w:tcBorders>
              <w:top w:val="single" w:sz="4" w:space="0" w:color="FFFFFF" w:themeColor="background1"/>
            </w:tcBorders>
            <w:hideMark/>
          </w:tcPr>
          <w:p w14:paraId="4A79AC43" w14:textId="77777777" w:rsidR="001404F7" w:rsidRPr="009B2A19" w:rsidRDefault="001404F7" w:rsidP="001404F7">
            <w:pPr>
              <w:spacing w:before="40" w:after="40"/>
              <w:jc w:val="right"/>
              <w:rPr>
                <w:rFonts w:eastAsia="Arial" w:cs="Arial"/>
                <w:spacing w:val="4"/>
                <w:sz w:val="20"/>
                <w:szCs w:val="20"/>
                <w:lang w:val="en-GB"/>
              </w:rPr>
            </w:pPr>
            <w:r>
              <w:rPr>
                <w:rFonts w:eastAsia="Arial" w:cs="Arial"/>
                <w:sz w:val="20"/>
                <w:szCs w:val="20"/>
                <w:lang w:val="en-GB"/>
              </w:rPr>
              <w:t>55.4</w:t>
            </w:r>
            <w:r w:rsidRPr="009B2A19">
              <w:rPr>
                <w:rFonts w:eastAsia="Arial" w:cs="Arial"/>
                <w:spacing w:val="4"/>
                <w:sz w:val="20"/>
                <w:szCs w:val="20"/>
                <w:lang w:val="en-GB"/>
              </w:rPr>
              <w:t>%</w:t>
            </w:r>
          </w:p>
        </w:tc>
        <w:tc>
          <w:tcPr>
            <w:tcW w:w="707" w:type="pct"/>
            <w:tcBorders>
              <w:top w:val="single" w:sz="4" w:space="0" w:color="FFFFFF" w:themeColor="background1"/>
            </w:tcBorders>
            <w:hideMark/>
          </w:tcPr>
          <w:p w14:paraId="38D26354" w14:textId="77777777" w:rsidR="001404F7" w:rsidRPr="00061DD3" w:rsidRDefault="001404F7" w:rsidP="001404F7">
            <w:pPr>
              <w:spacing w:before="40" w:after="40"/>
              <w:jc w:val="right"/>
              <w:rPr>
                <w:rFonts w:eastAsia="Arial" w:cs="Arial"/>
                <w:color w:val="000000" w:themeColor="text1"/>
                <w:spacing w:val="4"/>
                <w:sz w:val="20"/>
                <w:szCs w:val="20"/>
                <w:lang w:val="en-GB"/>
              </w:rPr>
            </w:pPr>
            <w:r>
              <w:rPr>
                <w:rFonts w:eastAsia="Arial" w:cs="Arial"/>
                <w:color w:val="000000" w:themeColor="text1"/>
                <w:spacing w:val="4"/>
                <w:sz w:val="20"/>
                <w:szCs w:val="20"/>
                <w:lang w:val="en-GB"/>
              </w:rPr>
              <w:t>68.9</w:t>
            </w:r>
            <w:r w:rsidRPr="00061DD3">
              <w:rPr>
                <w:rFonts w:eastAsia="Arial" w:cs="Arial"/>
                <w:color w:val="000000" w:themeColor="text1"/>
                <w:spacing w:val="4"/>
                <w:sz w:val="20"/>
                <w:szCs w:val="20"/>
                <w:lang w:val="en-GB"/>
              </w:rPr>
              <w:t>%</w:t>
            </w:r>
          </w:p>
        </w:tc>
        <w:tc>
          <w:tcPr>
            <w:tcW w:w="708" w:type="pct"/>
            <w:tcBorders>
              <w:top w:val="single" w:sz="4" w:space="0" w:color="FFFFFF" w:themeColor="background1"/>
            </w:tcBorders>
            <w:hideMark/>
          </w:tcPr>
          <w:p w14:paraId="7A3950F3" w14:textId="77777777" w:rsidR="001404F7" w:rsidRPr="00061DD3" w:rsidRDefault="001404F7" w:rsidP="001404F7">
            <w:pPr>
              <w:spacing w:before="40" w:after="40"/>
              <w:jc w:val="right"/>
              <w:rPr>
                <w:spacing w:val="4"/>
                <w:sz w:val="20"/>
                <w:szCs w:val="20"/>
                <w:vertAlign w:val="superscript"/>
                <w:lang w:val="en-GB"/>
              </w:rPr>
            </w:pPr>
            <w:r>
              <w:rPr>
                <w:rFonts w:eastAsia="Arial" w:cs="Arial"/>
                <w:color w:val="000000" w:themeColor="text1"/>
                <w:spacing w:val="4"/>
                <w:sz w:val="20"/>
                <w:szCs w:val="20"/>
                <w:lang w:val="en-GB"/>
              </w:rPr>
              <w:t>68.3</w:t>
            </w:r>
            <w:r w:rsidRPr="00061DD3">
              <w:rPr>
                <w:rFonts w:eastAsia="Arial" w:cs="Arial"/>
                <w:color w:val="000000" w:themeColor="text1"/>
                <w:spacing w:val="4"/>
                <w:sz w:val="20"/>
                <w:szCs w:val="20"/>
                <w:lang w:val="en-GB"/>
              </w:rPr>
              <w:t>%</w:t>
            </w:r>
          </w:p>
        </w:tc>
      </w:tr>
      <w:tr w:rsidR="001404F7" w:rsidRPr="006447FF" w14:paraId="3B137952" w14:textId="77777777" w:rsidTr="001404F7">
        <w:trPr>
          <w:cnfStyle w:val="000000010000" w:firstRow="0" w:lastRow="0" w:firstColumn="0" w:lastColumn="0" w:oddVBand="0" w:evenVBand="0" w:oddHBand="0" w:evenHBand="1" w:firstRowFirstColumn="0" w:firstRowLastColumn="0" w:lastRowFirstColumn="0" w:lastRowLastColumn="0"/>
        </w:trPr>
        <w:tc>
          <w:tcPr>
            <w:tcW w:w="2878" w:type="pct"/>
            <w:hideMark/>
          </w:tcPr>
          <w:p w14:paraId="45DC3517" w14:textId="77777777" w:rsidR="001404F7" w:rsidRPr="006447FF" w:rsidRDefault="001404F7" w:rsidP="001404F7">
            <w:pPr>
              <w:numPr>
                <w:ilvl w:val="0"/>
                <w:numId w:val="79"/>
              </w:numPr>
              <w:spacing w:before="40" w:after="40"/>
              <w:ind w:left="459"/>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After</w:t>
            </w:r>
          </w:p>
        </w:tc>
        <w:tc>
          <w:tcPr>
            <w:tcW w:w="707" w:type="pct"/>
            <w:hideMark/>
          </w:tcPr>
          <w:p w14:paraId="2BED8B9F" w14:textId="77777777" w:rsidR="001404F7" w:rsidRPr="009B2A19" w:rsidRDefault="001404F7" w:rsidP="001404F7">
            <w:pPr>
              <w:spacing w:before="40" w:after="40"/>
              <w:jc w:val="right"/>
              <w:rPr>
                <w:rFonts w:eastAsia="Times New Roman" w:cs="Arial"/>
                <w:spacing w:val="4"/>
                <w:sz w:val="20"/>
                <w:szCs w:val="20"/>
                <w:lang w:val="en-GB"/>
              </w:rPr>
            </w:pPr>
            <w:r>
              <w:rPr>
                <w:rFonts w:eastAsia="Times New Roman" w:cs="Arial"/>
                <w:spacing w:val="4"/>
                <w:sz w:val="20"/>
                <w:szCs w:val="20"/>
                <w:lang w:val="en-GB"/>
              </w:rPr>
              <w:t>29.4</w:t>
            </w:r>
            <w:r w:rsidRPr="009B2A19">
              <w:rPr>
                <w:rFonts w:eastAsia="Times New Roman" w:cs="Arial"/>
                <w:spacing w:val="4"/>
                <w:sz w:val="20"/>
                <w:szCs w:val="20"/>
                <w:lang w:val="en-GB"/>
              </w:rPr>
              <w:t>%</w:t>
            </w:r>
          </w:p>
        </w:tc>
        <w:tc>
          <w:tcPr>
            <w:tcW w:w="707" w:type="pct"/>
            <w:hideMark/>
          </w:tcPr>
          <w:p w14:paraId="53122B8D"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Pr>
                <w:rFonts w:eastAsia="Times New Roman" w:cs="Arial"/>
                <w:color w:val="000000" w:themeColor="text1"/>
                <w:spacing w:val="4"/>
                <w:sz w:val="20"/>
                <w:szCs w:val="20"/>
                <w:lang w:val="en-GB"/>
              </w:rPr>
              <w:t>40.5</w:t>
            </w:r>
            <w:r w:rsidRPr="006447FF">
              <w:rPr>
                <w:rFonts w:eastAsia="Times New Roman" w:cs="Arial"/>
                <w:color w:val="000000" w:themeColor="text1"/>
                <w:spacing w:val="4"/>
                <w:sz w:val="20"/>
                <w:szCs w:val="20"/>
                <w:lang w:val="en-GB"/>
              </w:rPr>
              <w:t>%</w:t>
            </w:r>
          </w:p>
        </w:tc>
        <w:tc>
          <w:tcPr>
            <w:tcW w:w="708" w:type="pct"/>
            <w:hideMark/>
          </w:tcPr>
          <w:p w14:paraId="7B1DA36D" w14:textId="77777777" w:rsidR="001404F7" w:rsidRPr="00061DD3" w:rsidRDefault="001404F7" w:rsidP="001404F7">
            <w:pPr>
              <w:spacing w:before="40" w:after="40"/>
              <w:jc w:val="right"/>
              <w:rPr>
                <w:rFonts w:cs="Arial"/>
                <w:sz w:val="20"/>
                <w:szCs w:val="20"/>
                <w:vertAlign w:val="superscript"/>
                <w:lang w:val="en-GB"/>
              </w:rPr>
            </w:pPr>
            <w:r>
              <w:rPr>
                <w:rFonts w:eastAsia="Times New Roman" w:cs="Arial"/>
                <w:color w:val="000000" w:themeColor="text1"/>
                <w:spacing w:val="4"/>
                <w:sz w:val="20"/>
                <w:szCs w:val="20"/>
                <w:lang w:val="en-GB"/>
              </w:rPr>
              <w:t>40.3</w:t>
            </w:r>
            <w:r w:rsidRPr="006447FF">
              <w:rPr>
                <w:rFonts w:eastAsia="Times New Roman" w:cs="Arial"/>
                <w:color w:val="000000" w:themeColor="text1"/>
                <w:spacing w:val="4"/>
                <w:sz w:val="20"/>
                <w:szCs w:val="20"/>
                <w:lang w:val="en-GB"/>
              </w:rPr>
              <w:t>%</w:t>
            </w:r>
          </w:p>
        </w:tc>
      </w:tr>
    </w:tbl>
    <w:p w14:paraId="752207D7" w14:textId="77777777" w:rsidR="001404F7" w:rsidRPr="00240EE2" w:rsidRDefault="001404F7" w:rsidP="001404F7">
      <w:pPr>
        <w:spacing w:before="160" w:after="60" w:line="240" w:lineRule="auto"/>
        <w:ind w:left="284" w:hanging="284"/>
        <w:contextualSpacing/>
        <w:rPr>
          <w:rFonts w:cs="Arial"/>
          <w:sz w:val="16"/>
          <w:szCs w:val="16"/>
        </w:rPr>
      </w:pPr>
      <w:proofErr w:type="spellStart"/>
      <w:r w:rsidRPr="00240EE2">
        <w:rPr>
          <w:rFonts w:cs="Arial"/>
          <w:sz w:val="16"/>
          <w:szCs w:val="16"/>
        </w:rPr>
        <w:t>a</w:t>
      </w:r>
      <w:proofErr w:type="spellEnd"/>
      <w:r w:rsidRPr="00240EE2">
        <w:rPr>
          <w:rFonts w:cs="Arial"/>
          <w:sz w:val="16"/>
          <w:szCs w:val="16"/>
        </w:rPr>
        <w:tab/>
        <w:t xml:space="preserve">The decrease in rental stress for the fortnight ending 26 June 2020 was most likely due to </w:t>
      </w:r>
      <w:r>
        <w:rPr>
          <w:rFonts w:cs="Arial"/>
          <w:sz w:val="16"/>
          <w:szCs w:val="16"/>
        </w:rPr>
        <w:t>factors, including Government support, relating to the COVID-19 pandemic</w:t>
      </w:r>
      <w:r w:rsidRPr="00240EE2">
        <w:rPr>
          <w:rFonts w:cs="Arial"/>
          <w:sz w:val="16"/>
          <w:szCs w:val="16"/>
        </w:rPr>
        <w:t>.</w:t>
      </w:r>
    </w:p>
    <w:p w14:paraId="3593C721" w14:textId="6FA4DD1E" w:rsidR="001404F7" w:rsidRPr="00240EE2" w:rsidRDefault="001404F7" w:rsidP="001404F7">
      <w:pPr>
        <w:spacing w:before="160" w:after="60" w:line="240" w:lineRule="auto"/>
        <w:ind w:left="284" w:hanging="284"/>
        <w:contextualSpacing/>
        <w:rPr>
          <w:rFonts w:cs="Arial"/>
          <w:sz w:val="16"/>
          <w:szCs w:val="16"/>
        </w:rPr>
      </w:pPr>
      <w:r w:rsidRPr="00240EE2">
        <w:rPr>
          <w:rFonts w:cs="Arial"/>
          <w:sz w:val="16"/>
          <w:szCs w:val="16"/>
        </w:rPr>
        <w:t xml:space="preserve">b </w:t>
      </w:r>
      <w:r w:rsidRPr="00240EE2">
        <w:rPr>
          <w:rFonts w:cs="Arial"/>
          <w:sz w:val="16"/>
          <w:szCs w:val="16"/>
        </w:rPr>
        <w:tab/>
        <w:t>Refers to last fortnight during the reporting year</w:t>
      </w:r>
      <w:r w:rsidR="00227CCA">
        <w:rPr>
          <w:rFonts w:cs="Arial"/>
          <w:sz w:val="16"/>
          <w:szCs w:val="16"/>
        </w:rPr>
        <w:t>.</w:t>
      </w:r>
    </w:p>
    <w:p w14:paraId="014B18EE" w14:textId="77777777" w:rsidR="001404F7" w:rsidRPr="00577E4E" w:rsidRDefault="001404F7" w:rsidP="001404F7">
      <w:pPr>
        <w:rPr>
          <w:rFonts w:cs="Arial"/>
          <w:sz w:val="20"/>
          <w:szCs w:val="20"/>
        </w:rPr>
      </w:pPr>
    </w:p>
    <w:p w14:paraId="39081111" w14:textId="77777777" w:rsidR="001404F7" w:rsidRDefault="001404F7" w:rsidP="001404F7">
      <w:pPr>
        <w:spacing w:before="240" w:after="240" w:line="260" w:lineRule="atLeast"/>
        <w:outlineLvl w:val="6"/>
        <w:rPr>
          <w:rFonts w:eastAsiaTheme="majorEastAsia" w:cstheme="majorBidi"/>
          <w:b/>
          <w:iCs/>
          <w:sz w:val="26"/>
        </w:rPr>
      </w:pPr>
      <w:r>
        <w:rPr>
          <w:rFonts w:eastAsiaTheme="majorEastAsia" w:cstheme="majorBidi"/>
          <w:b/>
          <w:iCs/>
          <w:sz w:val="26"/>
        </w:rPr>
        <w:t xml:space="preserve">C1.4 </w:t>
      </w:r>
      <w:r w:rsidRPr="003F5594">
        <w:rPr>
          <w:rFonts w:eastAsiaTheme="majorEastAsia" w:cstheme="majorBidi"/>
          <w:b/>
          <w:iCs/>
          <w:sz w:val="26"/>
        </w:rPr>
        <w:t>Extent to which delivery meets program objective</w:t>
      </w:r>
    </w:p>
    <w:p w14:paraId="05839245" w14:textId="77777777" w:rsidR="001404F7" w:rsidRPr="003F5594" w:rsidRDefault="001404F7" w:rsidP="001404F7">
      <w:pPr>
        <w:spacing w:before="240" w:after="240"/>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t xml:space="preserve">C1.4.2 </w:t>
      </w:r>
      <w:r w:rsidRPr="003F5594">
        <w:rPr>
          <w:rFonts w:eastAsiaTheme="majorEastAsia" w:cstheme="majorBidi"/>
          <w:b/>
          <w:color w:val="595959" w:themeColor="text1" w:themeTint="A6"/>
          <w:sz w:val="24"/>
          <w:szCs w:val="20"/>
        </w:rPr>
        <w:t>Payment accuracy</w:t>
      </w:r>
    </w:p>
    <w:p w14:paraId="238F1EE2" w14:textId="77777777" w:rsidR="001404F7" w:rsidRPr="00577E4E" w:rsidRDefault="001404F7" w:rsidP="001404F7">
      <w:pPr>
        <w:rPr>
          <w:rFonts w:cs="Arial"/>
          <w:sz w:val="20"/>
          <w:szCs w:val="20"/>
        </w:rPr>
      </w:pPr>
      <w:r w:rsidRPr="00577E4E">
        <w:rPr>
          <w:rFonts w:cs="Arial"/>
          <w:sz w:val="20"/>
          <w:szCs w:val="20"/>
        </w:rPr>
        <w:t>The Random Sample Survey (RSS) provides assurance over the accuracy of sampled social security payments. Reviews are conducted by Services Australia using a random sample of the population for the major payment types provided by the department.</w:t>
      </w:r>
    </w:p>
    <w:p w14:paraId="44A09852" w14:textId="77777777" w:rsidR="001404F7" w:rsidRPr="00577E4E" w:rsidRDefault="001404F7" w:rsidP="001404F7">
      <w:pPr>
        <w:rPr>
          <w:rFonts w:cs="Arial"/>
          <w:sz w:val="20"/>
          <w:szCs w:val="20"/>
        </w:rPr>
      </w:pPr>
      <w:r w:rsidRPr="00577E4E">
        <w:rPr>
          <w:rFonts w:cs="Arial"/>
          <w:sz w:val="20"/>
          <w:szCs w:val="20"/>
        </w:rPr>
        <w:t>The survey provides a point-in-time assessment of recipient circumstances to establish the accurately paid value of total outlays and provides reasons for any debt, error, or change in payment rate. It provides benchmark data on the level of inaccurate payments.</w:t>
      </w:r>
    </w:p>
    <w:p w14:paraId="600061EC" w14:textId="77777777" w:rsidR="001404F7" w:rsidRPr="00BF055A" w:rsidRDefault="001404F7" w:rsidP="001404F7">
      <w:pPr>
        <w:pStyle w:val="Heading7"/>
      </w:pPr>
      <w:r w:rsidRPr="00BF055A">
        <w:t>Analysis</w:t>
      </w:r>
    </w:p>
    <w:p w14:paraId="09B9764D" w14:textId="77777777" w:rsidR="001404F7" w:rsidRPr="00577E4E" w:rsidRDefault="001404F7" w:rsidP="001404F7">
      <w:pPr>
        <w:rPr>
          <w:rFonts w:cs="Arial"/>
          <w:sz w:val="20"/>
          <w:szCs w:val="20"/>
        </w:rPr>
      </w:pPr>
      <w:r w:rsidRPr="00577E4E">
        <w:rPr>
          <w:rFonts w:cs="Arial"/>
          <w:sz w:val="20"/>
          <w:szCs w:val="20"/>
        </w:rPr>
        <w:t>In 2019–20, 13,712 recipients were surveyed.</w:t>
      </w:r>
    </w:p>
    <w:p w14:paraId="2AFC1A1A" w14:textId="77777777" w:rsidR="001404F7" w:rsidRPr="00577E4E" w:rsidRDefault="001404F7" w:rsidP="001404F7">
      <w:pPr>
        <w:rPr>
          <w:rFonts w:cs="Arial"/>
          <w:sz w:val="20"/>
          <w:szCs w:val="20"/>
        </w:rPr>
      </w:pPr>
      <w:r w:rsidRPr="00874E1C">
        <w:rPr>
          <w:rFonts w:cs="Arial"/>
          <w:sz w:val="20"/>
          <w:szCs w:val="20"/>
        </w:rPr>
        <w:t xml:space="preserve">As a result </w:t>
      </w:r>
      <w:r w:rsidRPr="00E855DA">
        <w:rPr>
          <w:rFonts w:cs="Arial"/>
          <w:sz w:val="20"/>
          <w:szCs w:val="20"/>
        </w:rPr>
        <w:t xml:space="preserve">of factors relating </w:t>
      </w:r>
      <w:r>
        <w:rPr>
          <w:rFonts w:cs="Arial"/>
          <w:sz w:val="20"/>
          <w:szCs w:val="20"/>
        </w:rPr>
        <w:t xml:space="preserve">to the </w:t>
      </w:r>
      <w:r w:rsidRPr="00874E1C">
        <w:rPr>
          <w:rFonts w:cs="Arial"/>
          <w:sz w:val="20"/>
          <w:szCs w:val="20"/>
        </w:rPr>
        <w:t>COVID</w:t>
      </w:r>
      <w:r>
        <w:rPr>
          <w:rFonts w:cs="Arial"/>
          <w:sz w:val="20"/>
          <w:szCs w:val="20"/>
        </w:rPr>
        <w:t>-</w:t>
      </w:r>
      <w:r w:rsidRPr="00874E1C">
        <w:rPr>
          <w:rFonts w:cs="Arial"/>
          <w:sz w:val="20"/>
          <w:szCs w:val="20"/>
        </w:rPr>
        <w:t>19</w:t>
      </w:r>
      <w:r>
        <w:rPr>
          <w:rFonts w:cs="Arial"/>
          <w:sz w:val="20"/>
          <w:szCs w:val="20"/>
        </w:rPr>
        <w:t xml:space="preserve"> pandemic</w:t>
      </w:r>
      <w:r w:rsidRPr="00874E1C">
        <w:rPr>
          <w:rFonts w:cs="Arial"/>
          <w:sz w:val="20"/>
          <w:szCs w:val="20"/>
        </w:rPr>
        <w:t>, Trimester 3 of the RSS did not proceed. Trimesters 1 and 2 fully met the completion and performance benchmarks and an assessment of existing payment controls supported reliance on two trimesters of RSS surveys to calculate payment accur</w:t>
      </w:r>
      <w:r>
        <w:rPr>
          <w:rFonts w:cs="Arial"/>
          <w:sz w:val="20"/>
          <w:szCs w:val="20"/>
        </w:rPr>
        <w:t>acy for the full financial year</w:t>
      </w:r>
      <w:r w:rsidRPr="00874E1C">
        <w:rPr>
          <w:rFonts w:cs="Arial"/>
          <w:sz w:val="20"/>
          <w:szCs w:val="20"/>
        </w:rPr>
        <w:t>.</w:t>
      </w:r>
    </w:p>
    <w:p w14:paraId="24821EC7" w14:textId="77777777" w:rsidR="001404F7" w:rsidRDefault="001404F7" w:rsidP="001404F7">
      <w:pPr>
        <w:rPr>
          <w:rFonts w:cs="Arial"/>
          <w:sz w:val="20"/>
          <w:szCs w:val="20"/>
        </w:rPr>
      </w:pPr>
      <w:r w:rsidRPr="00874E1C">
        <w:rPr>
          <w:rFonts w:cs="Arial"/>
          <w:sz w:val="20"/>
          <w:szCs w:val="20"/>
        </w:rPr>
        <w:t>The survey is one of the methods we use to measure social security service delivery performance. The target performance level is 95 per cent or greater accuracy across all payments, with individual targets set for each payment. In 2019–20, the overall accuracy result was 96.21 per cent (see Table 2.1.1</w:t>
      </w:r>
      <w:r>
        <w:rPr>
          <w:rFonts w:cs="Arial"/>
          <w:sz w:val="20"/>
          <w:szCs w:val="20"/>
        </w:rPr>
        <w:t>3)</w:t>
      </w:r>
      <w:r w:rsidRPr="00874E1C">
        <w:rPr>
          <w:rFonts w:cs="Arial"/>
          <w:sz w:val="20"/>
          <w:szCs w:val="20"/>
        </w:rPr>
        <w:t>.</w:t>
      </w:r>
    </w:p>
    <w:p w14:paraId="74C40C5F" w14:textId="77777777" w:rsidR="00715F6F" w:rsidRDefault="00715F6F">
      <w:pPr>
        <w:rPr>
          <w:rFonts w:ascii="Arial Narrow" w:eastAsia="Times New Roman" w:hAnsi="Arial Narrow" w:cs="Times New Roman"/>
          <w:b/>
          <w:bCs/>
          <w:spacing w:val="4"/>
          <w:sz w:val="20"/>
          <w:szCs w:val="18"/>
          <w:lang w:eastAsia="en-AU"/>
        </w:rPr>
        <w:sectPr w:rsidR="00715F6F" w:rsidSect="00585891">
          <w:footnotePr>
            <w:numRestart w:val="eachPage"/>
          </w:footnotePr>
          <w:pgSz w:w="11906" w:h="16838"/>
          <w:pgMar w:top="1440" w:right="1440" w:bottom="1440" w:left="1440" w:header="709" w:footer="709" w:gutter="0"/>
          <w:cols w:space="708"/>
          <w:docGrid w:linePitch="360"/>
        </w:sectPr>
      </w:pPr>
    </w:p>
    <w:p w14:paraId="2EE38F23" w14:textId="1990864D" w:rsidR="001404F7" w:rsidRPr="00D47E5B"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sidRPr="000E4B6E">
        <w:rPr>
          <w:rFonts w:ascii="Arial Narrow" w:eastAsia="Times New Roman" w:hAnsi="Arial Narrow" w:cs="Times New Roman"/>
          <w:b/>
          <w:bCs/>
          <w:spacing w:val="4"/>
          <w:sz w:val="20"/>
          <w:szCs w:val="18"/>
          <w:lang w:eastAsia="en-AU"/>
        </w:rPr>
        <w:lastRenderedPageBreak/>
        <w:t>Table 2.1.13: Payment accuracy</w:t>
      </w:r>
    </w:p>
    <w:tbl>
      <w:tblPr>
        <w:tblStyle w:val="HHorizontaltable1"/>
        <w:tblW w:w="5000" w:type="pct"/>
        <w:tblLook w:val="04A0" w:firstRow="1" w:lastRow="0" w:firstColumn="1" w:lastColumn="0" w:noHBand="0" w:noVBand="1"/>
        <w:tblCaption w:val="Table 2.1.13: Payment accuracy"/>
        <w:tblDescription w:val="Table 2.1.13: Payment accuracy"/>
      </w:tblPr>
      <w:tblGrid>
        <w:gridCol w:w="5118"/>
        <w:gridCol w:w="1278"/>
        <w:gridCol w:w="25"/>
        <w:gridCol w:w="1294"/>
        <w:gridCol w:w="9"/>
        <w:gridCol w:w="1302"/>
      </w:tblGrid>
      <w:tr w:rsidR="001404F7" w:rsidRPr="00AE6479" w14:paraId="10E31E3B" w14:textId="77777777" w:rsidTr="001404F7">
        <w:trPr>
          <w:cnfStyle w:val="100000000000" w:firstRow="1" w:lastRow="0" w:firstColumn="0" w:lastColumn="0" w:oddVBand="0" w:evenVBand="0" w:oddHBand="0" w:evenHBand="0" w:firstRowFirstColumn="0" w:firstRowLastColumn="0" w:lastRowFirstColumn="0" w:lastRowLastColumn="0"/>
          <w:trHeight w:val="368"/>
          <w:tblHeader/>
        </w:trPr>
        <w:tc>
          <w:tcPr>
            <w:tcW w:w="2835" w:type="pct"/>
            <w:hideMark/>
          </w:tcPr>
          <w:p w14:paraId="6AF6F932" w14:textId="77777777" w:rsidR="001404F7" w:rsidRPr="00D13460" w:rsidRDefault="001404F7" w:rsidP="001404F7">
            <w:pPr>
              <w:keepNext/>
              <w:keepLines/>
              <w:spacing w:before="40" w:after="40"/>
              <w:rPr>
                <w:rFonts w:eastAsia="Times New Roman"/>
                <w:sz w:val="20"/>
                <w:szCs w:val="20"/>
              </w:rPr>
            </w:pPr>
            <w:r w:rsidRPr="00D13460">
              <w:rPr>
                <w:rFonts w:eastAsia="Times New Roman"/>
                <w:sz w:val="20"/>
                <w:szCs w:val="20"/>
              </w:rPr>
              <w:t>Intermediate outcome performance measure</w:t>
            </w:r>
          </w:p>
        </w:tc>
        <w:tc>
          <w:tcPr>
            <w:tcW w:w="2165" w:type="pct"/>
            <w:gridSpan w:val="5"/>
            <w:hideMark/>
          </w:tcPr>
          <w:p w14:paraId="1FC2D7F2" w14:textId="77777777" w:rsidR="001404F7" w:rsidRPr="00D13460" w:rsidRDefault="001404F7" w:rsidP="001404F7">
            <w:pPr>
              <w:keepNext/>
              <w:keepLines/>
              <w:spacing w:before="40" w:after="40"/>
              <w:jc w:val="center"/>
              <w:rPr>
                <w:rFonts w:eastAsia="Times New Roman"/>
                <w:sz w:val="20"/>
                <w:szCs w:val="20"/>
              </w:rPr>
            </w:pPr>
            <w:r w:rsidRPr="00D13460">
              <w:rPr>
                <w:rFonts w:eastAsia="Times New Roman"/>
                <w:sz w:val="20"/>
                <w:szCs w:val="20"/>
              </w:rPr>
              <w:t>2019–20</w:t>
            </w:r>
          </w:p>
        </w:tc>
      </w:tr>
      <w:tr w:rsidR="001404F7" w:rsidRPr="00AE6479" w14:paraId="511DD6EC" w14:textId="77777777" w:rsidTr="001404F7">
        <w:trPr>
          <w:cnfStyle w:val="100000000000" w:firstRow="1" w:lastRow="0" w:firstColumn="0" w:lastColumn="0" w:oddVBand="0" w:evenVBand="0" w:oddHBand="0" w:evenHBand="0" w:firstRowFirstColumn="0" w:firstRowLastColumn="0" w:lastRowFirstColumn="0" w:lastRowLastColumn="0"/>
          <w:trHeight w:val="368"/>
          <w:tblHeader/>
        </w:trPr>
        <w:tc>
          <w:tcPr>
            <w:tcW w:w="2835" w:type="pct"/>
            <w:hideMark/>
          </w:tcPr>
          <w:p w14:paraId="740B8390" w14:textId="77777777" w:rsidR="001404F7" w:rsidRPr="00D13460" w:rsidRDefault="001404F7" w:rsidP="001404F7">
            <w:pPr>
              <w:keepNext/>
              <w:keepLines/>
              <w:spacing w:before="40" w:after="40"/>
              <w:rPr>
                <w:rFonts w:eastAsia="Times New Roman"/>
                <w:b w:val="0"/>
                <w:sz w:val="20"/>
                <w:szCs w:val="20"/>
              </w:rPr>
            </w:pPr>
            <w:r w:rsidRPr="00D13460">
              <w:rPr>
                <w:rFonts w:eastAsia="Times New Roman"/>
                <w:b w:val="0"/>
                <w:sz w:val="20"/>
                <w:szCs w:val="20"/>
              </w:rPr>
              <w:t>Payment type</w:t>
            </w:r>
          </w:p>
        </w:tc>
        <w:tc>
          <w:tcPr>
            <w:tcW w:w="722" w:type="pct"/>
            <w:gridSpan w:val="2"/>
            <w:hideMark/>
          </w:tcPr>
          <w:p w14:paraId="78C32C1C" w14:textId="77777777" w:rsidR="001404F7" w:rsidRPr="00D13460" w:rsidRDefault="001404F7" w:rsidP="001404F7">
            <w:pPr>
              <w:keepNext/>
              <w:keepLines/>
              <w:spacing w:before="40" w:after="40"/>
              <w:jc w:val="right"/>
              <w:rPr>
                <w:rFonts w:eastAsia="Times New Roman"/>
                <w:b w:val="0"/>
                <w:sz w:val="20"/>
                <w:szCs w:val="20"/>
              </w:rPr>
            </w:pPr>
            <w:r w:rsidRPr="00D13460">
              <w:rPr>
                <w:rFonts w:eastAsia="Times New Roman"/>
                <w:b w:val="0"/>
                <w:sz w:val="20"/>
                <w:szCs w:val="20"/>
              </w:rPr>
              <w:t>Number of recipients surveyed</w:t>
            </w:r>
          </w:p>
        </w:tc>
        <w:tc>
          <w:tcPr>
            <w:tcW w:w="722" w:type="pct"/>
            <w:gridSpan w:val="2"/>
            <w:hideMark/>
          </w:tcPr>
          <w:p w14:paraId="728037AA" w14:textId="77777777" w:rsidR="001404F7" w:rsidRPr="00D13460" w:rsidRDefault="001404F7" w:rsidP="001404F7">
            <w:pPr>
              <w:keepNext/>
              <w:keepLines/>
              <w:spacing w:before="40" w:after="40"/>
              <w:jc w:val="right"/>
              <w:rPr>
                <w:rFonts w:eastAsia="Times New Roman"/>
                <w:b w:val="0"/>
                <w:sz w:val="20"/>
                <w:szCs w:val="20"/>
              </w:rPr>
            </w:pPr>
            <w:r w:rsidRPr="00D13460">
              <w:rPr>
                <w:rFonts w:eastAsia="Times New Roman"/>
                <w:b w:val="0"/>
                <w:sz w:val="20"/>
                <w:szCs w:val="20"/>
              </w:rPr>
              <w:t>Accuracy</w:t>
            </w:r>
          </w:p>
        </w:tc>
        <w:tc>
          <w:tcPr>
            <w:tcW w:w="721" w:type="pct"/>
            <w:hideMark/>
          </w:tcPr>
          <w:p w14:paraId="3BE45A96" w14:textId="77777777" w:rsidR="001404F7" w:rsidRPr="00D13460" w:rsidRDefault="001404F7" w:rsidP="001404F7">
            <w:pPr>
              <w:keepNext/>
              <w:keepLines/>
              <w:spacing w:before="40" w:after="40"/>
              <w:jc w:val="right"/>
              <w:rPr>
                <w:rFonts w:eastAsia="Times New Roman"/>
                <w:b w:val="0"/>
                <w:sz w:val="18"/>
                <w:szCs w:val="20"/>
              </w:rPr>
            </w:pPr>
            <w:r w:rsidRPr="00D13460">
              <w:rPr>
                <w:rFonts w:eastAsia="Times New Roman"/>
                <w:b w:val="0"/>
                <w:sz w:val="18"/>
                <w:szCs w:val="20"/>
              </w:rPr>
              <w:t xml:space="preserve">Confidence </w:t>
            </w:r>
          </w:p>
          <w:p w14:paraId="427400A3" w14:textId="77777777" w:rsidR="001404F7" w:rsidRPr="00D13460" w:rsidRDefault="001404F7" w:rsidP="001404F7">
            <w:pPr>
              <w:keepNext/>
              <w:keepLines/>
              <w:spacing w:before="40" w:after="40"/>
              <w:jc w:val="right"/>
              <w:rPr>
                <w:rFonts w:eastAsia="Times New Roman"/>
                <w:b w:val="0"/>
                <w:sz w:val="18"/>
                <w:szCs w:val="20"/>
              </w:rPr>
            </w:pPr>
            <w:r w:rsidRPr="00D13460">
              <w:rPr>
                <w:rFonts w:eastAsia="Times New Roman"/>
                <w:b w:val="0"/>
                <w:sz w:val="18"/>
                <w:szCs w:val="20"/>
              </w:rPr>
              <w:t>interval</w:t>
            </w:r>
          </w:p>
          <w:p w14:paraId="77494660" w14:textId="77777777" w:rsidR="001404F7" w:rsidRPr="00D13460" w:rsidRDefault="001404F7" w:rsidP="001404F7">
            <w:pPr>
              <w:keepNext/>
              <w:keepLines/>
              <w:spacing w:before="40" w:after="40"/>
              <w:jc w:val="right"/>
              <w:rPr>
                <w:rFonts w:eastAsia="Times New Roman"/>
                <w:b w:val="0"/>
                <w:sz w:val="20"/>
                <w:szCs w:val="20"/>
              </w:rPr>
            </w:pPr>
            <w:r w:rsidRPr="00D13460">
              <w:rPr>
                <w:rFonts w:eastAsia="Times New Roman"/>
                <w:b w:val="0"/>
                <w:sz w:val="18"/>
                <w:szCs w:val="20"/>
              </w:rPr>
              <w:t>+/–</w:t>
            </w:r>
          </w:p>
        </w:tc>
      </w:tr>
      <w:tr w:rsidR="001404F7" w:rsidRPr="00D54BFA" w14:paraId="229B7CC6" w14:textId="77777777" w:rsidTr="001404F7">
        <w:trPr>
          <w:cnfStyle w:val="000000100000" w:firstRow="0" w:lastRow="0" w:firstColumn="0" w:lastColumn="0" w:oddVBand="0" w:evenVBand="0" w:oddHBand="1" w:evenHBand="0" w:firstRowFirstColumn="0" w:firstRowLastColumn="0" w:lastRowFirstColumn="0" w:lastRowLastColumn="0"/>
          <w:trHeight w:val="329"/>
        </w:trPr>
        <w:tc>
          <w:tcPr>
            <w:tcW w:w="2835" w:type="pct"/>
            <w:hideMark/>
          </w:tcPr>
          <w:p w14:paraId="00CAF3EE" w14:textId="77777777" w:rsidR="001404F7" w:rsidRPr="00874E1C" w:rsidRDefault="001404F7" w:rsidP="001404F7">
            <w:pPr>
              <w:spacing w:before="40" w:after="40"/>
              <w:rPr>
                <w:rFonts w:cs="Arial"/>
                <w:b/>
                <w:color w:val="000000"/>
                <w:sz w:val="20"/>
                <w:szCs w:val="20"/>
              </w:rPr>
            </w:pPr>
            <w:r w:rsidRPr="00874E1C">
              <w:rPr>
                <w:rFonts w:cs="Arial"/>
                <w:b/>
                <w:color w:val="000000"/>
                <w:sz w:val="20"/>
                <w:szCs w:val="20"/>
              </w:rPr>
              <w:t>ABSTUDY</w:t>
            </w:r>
          </w:p>
        </w:tc>
        <w:tc>
          <w:tcPr>
            <w:tcW w:w="722" w:type="pct"/>
            <w:gridSpan w:val="2"/>
            <w:hideMark/>
          </w:tcPr>
          <w:p w14:paraId="04FC9CEC"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250</w:t>
            </w:r>
          </w:p>
        </w:tc>
        <w:tc>
          <w:tcPr>
            <w:tcW w:w="722" w:type="pct"/>
            <w:gridSpan w:val="2"/>
            <w:hideMark/>
          </w:tcPr>
          <w:p w14:paraId="6A1CCAB2"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80.07%</w:t>
            </w:r>
          </w:p>
        </w:tc>
        <w:tc>
          <w:tcPr>
            <w:tcW w:w="721" w:type="pct"/>
            <w:hideMark/>
          </w:tcPr>
          <w:p w14:paraId="6D990681"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5.49%</w:t>
            </w:r>
          </w:p>
        </w:tc>
      </w:tr>
      <w:tr w:rsidR="001404F7" w:rsidRPr="00D54BFA" w14:paraId="4735AAF9" w14:textId="77777777" w:rsidTr="001404F7">
        <w:trPr>
          <w:cnfStyle w:val="000000010000" w:firstRow="0" w:lastRow="0" w:firstColumn="0" w:lastColumn="0" w:oddVBand="0" w:evenVBand="0" w:oddHBand="0" w:evenHBand="1" w:firstRowFirstColumn="0" w:firstRowLastColumn="0" w:lastRowFirstColumn="0" w:lastRowLastColumn="0"/>
          <w:trHeight w:val="329"/>
        </w:trPr>
        <w:tc>
          <w:tcPr>
            <w:tcW w:w="2835" w:type="pct"/>
            <w:hideMark/>
          </w:tcPr>
          <w:p w14:paraId="420E7FC9" w14:textId="77777777" w:rsidR="001404F7" w:rsidRPr="00874E1C" w:rsidRDefault="001404F7" w:rsidP="001404F7">
            <w:pPr>
              <w:spacing w:before="40" w:after="40"/>
              <w:rPr>
                <w:rFonts w:cs="Arial"/>
                <w:b/>
                <w:color w:val="000000"/>
                <w:sz w:val="20"/>
                <w:szCs w:val="20"/>
              </w:rPr>
            </w:pPr>
            <w:proofErr w:type="spellStart"/>
            <w:r w:rsidRPr="00874E1C">
              <w:rPr>
                <w:rFonts w:cs="Arial"/>
                <w:b/>
                <w:color w:val="000000"/>
                <w:sz w:val="20"/>
                <w:szCs w:val="20"/>
              </w:rPr>
              <w:t>Austudy</w:t>
            </w:r>
            <w:proofErr w:type="spellEnd"/>
          </w:p>
        </w:tc>
        <w:tc>
          <w:tcPr>
            <w:tcW w:w="722" w:type="pct"/>
            <w:gridSpan w:val="2"/>
            <w:hideMark/>
          </w:tcPr>
          <w:p w14:paraId="41492347"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343</w:t>
            </w:r>
          </w:p>
        </w:tc>
        <w:tc>
          <w:tcPr>
            <w:tcW w:w="722" w:type="pct"/>
            <w:gridSpan w:val="2"/>
            <w:hideMark/>
          </w:tcPr>
          <w:p w14:paraId="2DDB2BCB"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80.33%</w:t>
            </w:r>
          </w:p>
        </w:tc>
        <w:tc>
          <w:tcPr>
            <w:tcW w:w="721" w:type="pct"/>
            <w:hideMark/>
          </w:tcPr>
          <w:p w14:paraId="4C2BCBC9"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4.40%</w:t>
            </w:r>
          </w:p>
        </w:tc>
      </w:tr>
      <w:tr w:rsidR="001404F7" w:rsidRPr="00D54BFA" w14:paraId="5A3631A8" w14:textId="77777777" w:rsidTr="001404F7">
        <w:trPr>
          <w:cnfStyle w:val="000000100000" w:firstRow="0" w:lastRow="0" w:firstColumn="0" w:lastColumn="0" w:oddVBand="0" w:evenVBand="0" w:oddHBand="1" w:evenHBand="0" w:firstRowFirstColumn="0" w:firstRowLastColumn="0" w:lastRowFirstColumn="0" w:lastRowLastColumn="0"/>
          <w:trHeight w:val="329"/>
        </w:trPr>
        <w:tc>
          <w:tcPr>
            <w:tcW w:w="2835" w:type="pct"/>
            <w:hideMark/>
          </w:tcPr>
          <w:p w14:paraId="70ECDAD6" w14:textId="77777777" w:rsidR="001404F7" w:rsidRPr="00EE5B57" w:rsidRDefault="001404F7" w:rsidP="001404F7">
            <w:pPr>
              <w:spacing w:before="40" w:after="40"/>
              <w:rPr>
                <w:rFonts w:cs="Arial"/>
                <w:b/>
                <w:color w:val="000000"/>
                <w:sz w:val="20"/>
                <w:szCs w:val="20"/>
              </w:rPr>
            </w:pPr>
            <w:proofErr w:type="spellStart"/>
            <w:r w:rsidRPr="00EE5B57">
              <w:rPr>
                <w:rFonts w:cs="Arial"/>
                <w:b/>
                <w:color w:val="000000"/>
                <w:sz w:val="20"/>
                <w:szCs w:val="20"/>
              </w:rPr>
              <w:t>Newstart</w:t>
            </w:r>
            <w:proofErr w:type="spellEnd"/>
            <w:r w:rsidRPr="00EE5B57">
              <w:rPr>
                <w:rFonts w:cs="Arial"/>
                <w:b/>
                <w:color w:val="000000"/>
                <w:sz w:val="20"/>
                <w:szCs w:val="20"/>
              </w:rPr>
              <w:t xml:space="preserve"> Allowance</w:t>
            </w:r>
          </w:p>
        </w:tc>
        <w:tc>
          <w:tcPr>
            <w:tcW w:w="708" w:type="pct"/>
            <w:hideMark/>
          </w:tcPr>
          <w:p w14:paraId="49942F6A"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4,826</w:t>
            </w:r>
          </w:p>
        </w:tc>
        <w:tc>
          <w:tcPr>
            <w:tcW w:w="731" w:type="pct"/>
            <w:gridSpan w:val="2"/>
            <w:hideMark/>
          </w:tcPr>
          <w:p w14:paraId="54EBD018"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93.13%</w:t>
            </w:r>
          </w:p>
        </w:tc>
        <w:tc>
          <w:tcPr>
            <w:tcW w:w="726" w:type="pct"/>
            <w:gridSpan w:val="2"/>
            <w:hideMark/>
          </w:tcPr>
          <w:p w14:paraId="759B19B5"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0.89%</w:t>
            </w:r>
          </w:p>
        </w:tc>
      </w:tr>
      <w:tr w:rsidR="001404F7" w:rsidRPr="00D54BFA" w14:paraId="558F133D" w14:textId="77777777" w:rsidTr="001404F7">
        <w:trPr>
          <w:cnfStyle w:val="000000010000" w:firstRow="0" w:lastRow="0" w:firstColumn="0" w:lastColumn="0" w:oddVBand="0" w:evenVBand="0" w:oddHBand="0" w:evenHBand="1" w:firstRowFirstColumn="0" w:firstRowLastColumn="0" w:lastRowFirstColumn="0" w:lastRowLastColumn="0"/>
          <w:trHeight w:val="329"/>
        </w:trPr>
        <w:tc>
          <w:tcPr>
            <w:tcW w:w="2835" w:type="pct"/>
            <w:hideMark/>
          </w:tcPr>
          <w:p w14:paraId="6C1BF270" w14:textId="77777777" w:rsidR="001404F7" w:rsidRPr="00EE5B57" w:rsidRDefault="001404F7" w:rsidP="001404F7">
            <w:pPr>
              <w:spacing w:before="40" w:after="40"/>
              <w:rPr>
                <w:rFonts w:cs="Arial"/>
                <w:b/>
                <w:color w:val="000000"/>
                <w:sz w:val="20"/>
                <w:szCs w:val="20"/>
              </w:rPr>
            </w:pPr>
            <w:r w:rsidRPr="00EE5B57">
              <w:rPr>
                <w:rFonts w:cs="Arial"/>
                <w:b/>
                <w:color w:val="000000"/>
                <w:sz w:val="20"/>
                <w:szCs w:val="20"/>
              </w:rPr>
              <w:t>Parenting Payment (Partnered)</w:t>
            </w:r>
          </w:p>
        </w:tc>
        <w:tc>
          <w:tcPr>
            <w:tcW w:w="708" w:type="pct"/>
            <w:hideMark/>
          </w:tcPr>
          <w:p w14:paraId="0730AEEC"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545</w:t>
            </w:r>
          </w:p>
        </w:tc>
        <w:tc>
          <w:tcPr>
            <w:tcW w:w="731" w:type="pct"/>
            <w:gridSpan w:val="2"/>
            <w:hideMark/>
          </w:tcPr>
          <w:p w14:paraId="71B34D80"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86.01%</w:t>
            </w:r>
          </w:p>
        </w:tc>
        <w:tc>
          <w:tcPr>
            <w:tcW w:w="726" w:type="pct"/>
            <w:gridSpan w:val="2"/>
            <w:hideMark/>
          </w:tcPr>
          <w:p w14:paraId="06B1296E"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3.60%</w:t>
            </w:r>
          </w:p>
        </w:tc>
      </w:tr>
      <w:tr w:rsidR="001404F7" w:rsidRPr="00D54BFA" w14:paraId="61D65C14" w14:textId="77777777" w:rsidTr="001404F7">
        <w:trPr>
          <w:cnfStyle w:val="000000100000" w:firstRow="0" w:lastRow="0" w:firstColumn="0" w:lastColumn="0" w:oddVBand="0" w:evenVBand="0" w:oddHBand="1" w:evenHBand="0" w:firstRowFirstColumn="0" w:firstRowLastColumn="0" w:lastRowFirstColumn="0" w:lastRowLastColumn="0"/>
          <w:trHeight w:val="329"/>
        </w:trPr>
        <w:tc>
          <w:tcPr>
            <w:tcW w:w="2835" w:type="pct"/>
            <w:hideMark/>
          </w:tcPr>
          <w:p w14:paraId="6CE1E06D" w14:textId="77777777" w:rsidR="001404F7" w:rsidRPr="00EE5B57" w:rsidRDefault="001404F7" w:rsidP="001404F7">
            <w:pPr>
              <w:spacing w:before="40" w:after="40"/>
              <w:rPr>
                <w:rFonts w:cs="Arial"/>
                <w:b/>
                <w:color w:val="000000"/>
                <w:sz w:val="20"/>
                <w:szCs w:val="20"/>
              </w:rPr>
            </w:pPr>
            <w:r w:rsidRPr="00EE5B57">
              <w:rPr>
                <w:rFonts w:cs="Arial"/>
                <w:b/>
                <w:color w:val="000000"/>
                <w:sz w:val="20"/>
                <w:szCs w:val="20"/>
              </w:rPr>
              <w:t>Parenting Payment (Single)</w:t>
            </w:r>
          </w:p>
        </w:tc>
        <w:tc>
          <w:tcPr>
            <w:tcW w:w="708" w:type="pct"/>
            <w:hideMark/>
          </w:tcPr>
          <w:p w14:paraId="306BAA90"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1,035</w:t>
            </w:r>
          </w:p>
        </w:tc>
        <w:tc>
          <w:tcPr>
            <w:tcW w:w="731" w:type="pct"/>
            <w:gridSpan w:val="2"/>
            <w:hideMark/>
          </w:tcPr>
          <w:p w14:paraId="2D7B1E9F"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95.43%</w:t>
            </w:r>
          </w:p>
        </w:tc>
        <w:tc>
          <w:tcPr>
            <w:tcW w:w="726" w:type="pct"/>
            <w:gridSpan w:val="2"/>
            <w:hideMark/>
          </w:tcPr>
          <w:p w14:paraId="6752781A"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1.35%</w:t>
            </w:r>
          </w:p>
        </w:tc>
      </w:tr>
      <w:tr w:rsidR="001404F7" w:rsidRPr="00D54BFA" w14:paraId="3D59837D" w14:textId="77777777" w:rsidTr="001404F7">
        <w:trPr>
          <w:cnfStyle w:val="000000010000" w:firstRow="0" w:lastRow="0" w:firstColumn="0" w:lastColumn="0" w:oddVBand="0" w:evenVBand="0" w:oddHBand="0" w:evenHBand="1" w:firstRowFirstColumn="0" w:firstRowLastColumn="0" w:lastRowFirstColumn="0" w:lastRowLastColumn="0"/>
          <w:trHeight w:val="329"/>
        </w:trPr>
        <w:tc>
          <w:tcPr>
            <w:tcW w:w="2835" w:type="pct"/>
            <w:hideMark/>
          </w:tcPr>
          <w:p w14:paraId="779754E9" w14:textId="77777777" w:rsidR="001404F7" w:rsidRPr="00EE5B57" w:rsidRDefault="001404F7" w:rsidP="001404F7">
            <w:pPr>
              <w:spacing w:before="40" w:after="40"/>
              <w:rPr>
                <w:rFonts w:cs="Arial"/>
                <w:b/>
                <w:color w:val="000000"/>
                <w:sz w:val="20"/>
                <w:szCs w:val="20"/>
              </w:rPr>
            </w:pPr>
            <w:r w:rsidRPr="00EE5B57">
              <w:rPr>
                <w:rFonts w:cs="Arial"/>
                <w:b/>
                <w:color w:val="000000"/>
                <w:sz w:val="20"/>
                <w:szCs w:val="20"/>
              </w:rPr>
              <w:t>Partner Allowance</w:t>
            </w:r>
          </w:p>
        </w:tc>
        <w:tc>
          <w:tcPr>
            <w:tcW w:w="708" w:type="pct"/>
            <w:hideMark/>
          </w:tcPr>
          <w:p w14:paraId="03A17332"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117</w:t>
            </w:r>
          </w:p>
        </w:tc>
        <w:tc>
          <w:tcPr>
            <w:tcW w:w="731" w:type="pct"/>
            <w:gridSpan w:val="2"/>
            <w:hideMark/>
          </w:tcPr>
          <w:p w14:paraId="63CD0513"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99.84%</w:t>
            </w:r>
          </w:p>
        </w:tc>
        <w:tc>
          <w:tcPr>
            <w:tcW w:w="726" w:type="pct"/>
            <w:gridSpan w:val="2"/>
            <w:hideMark/>
          </w:tcPr>
          <w:p w14:paraId="4B48A7C8"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0.22%</w:t>
            </w:r>
          </w:p>
        </w:tc>
      </w:tr>
      <w:tr w:rsidR="001404F7" w:rsidRPr="00D54BFA" w14:paraId="0CA55019" w14:textId="77777777" w:rsidTr="001404F7">
        <w:trPr>
          <w:cnfStyle w:val="000000100000" w:firstRow="0" w:lastRow="0" w:firstColumn="0" w:lastColumn="0" w:oddVBand="0" w:evenVBand="0" w:oddHBand="1" w:evenHBand="0" w:firstRowFirstColumn="0" w:firstRowLastColumn="0" w:lastRowFirstColumn="0" w:lastRowLastColumn="0"/>
          <w:trHeight w:val="329"/>
        </w:trPr>
        <w:tc>
          <w:tcPr>
            <w:tcW w:w="2835" w:type="pct"/>
            <w:hideMark/>
          </w:tcPr>
          <w:p w14:paraId="2E163877" w14:textId="77777777" w:rsidR="001404F7" w:rsidRPr="00EE5B57" w:rsidRDefault="001404F7" w:rsidP="001404F7">
            <w:pPr>
              <w:spacing w:before="40" w:after="40"/>
              <w:rPr>
                <w:rFonts w:cs="Arial"/>
                <w:b/>
                <w:color w:val="000000"/>
                <w:sz w:val="20"/>
                <w:szCs w:val="20"/>
              </w:rPr>
            </w:pPr>
            <w:r w:rsidRPr="00EE5B57">
              <w:rPr>
                <w:rFonts w:cs="Arial"/>
                <w:b/>
                <w:color w:val="000000"/>
                <w:sz w:val="20"/>
                <w:szCs w:val="20"/>
              </w:rPr>
              <w:t>Sickness Allowance</w:t>
            </w:r>
          </w:p>
        </w:tc>
        <w:tc>
          <w:tcPr>
            <w:tcW w:w="708" w:type="pct"/>
            <w:hideMark/>
          </w:tcPr>
          <w:p w14:paraId="2580EFD8"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377</w:t>
            </w:r>
          </w:p>
        </w:tc>
        <w:tc>
          <w:tcPr>
            <w:tcW w:w="731" w:type="pct"/>
            <w:gridSpan w:val="2"/>
            <w:hideMark/>
          </w:tcPr>
          <w:p w14:paraId="5E7DF74D"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73.13%</w:t>
            </w:r>
          </w:p>
        </w:tc>
        <w:tc>
          <w:tcPr>
            <w:tcW w:w="726" w:type="pct"/>
            <w:gridSpan w:val="2"/>
            <w:hideMark/>
          </w:tcPr>
          <w:p w14:paraId="218529E7"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4.82%</w:t>
            </w:r>
          </w:p>
        </w:tc>
      </w:tr>
      <w:tr w:rsidR="001404F7" w:rsidRPr="00D54BFA" w14:paraId="04EB216C" w14:textId="77777777" w:rsidTr="001404F7">
        <w:trPr>
          <w:cnfStyle w:val="000000010000" w:firstRow="0" w:lastRow="0" w:firstColumn="0" w:lastColumn="0" w:oddVBand="0" w:evenVBand="0" w:oddHBand="0" w:evenHBand="1" w:firstRowFirstColumn="0" w:firstRowLastColumn="0" w:lastRowFirstColumn="0" w:lastRowLastColumn="0"/>
          <w:trHeight w:val="329"/>
        </w:trPr>
        <w:tc>
          <w:tcPr>
            <w:tcW w:w="2835" w:type="pct"/>
            <w:hideMark/>
          </w:tcPr>
          <w:p w14:paraId="3CFE8601" w14:textId="77777777" w:rsidR="001404F7" w:rsidRPr="00EE5B57" w:rsidRDefault="001404F7" w:rsidP="001404F7">
            <w:pPr>
              <w:spacing w:before="40" w:after="40"/>
              <w:rPr>
                <w:rFonts w:cs="Arial"/>
                <w:b/>
                <w:color w:val="000000"/>
                <w:sz w:val="20"/>
                <w:szCs w:val="20"/>
              </w:rPr>
            </w:pPr>
            <w:r w:rsidRPr="00EE5B57">
              <w:rPr>
                <w:rFonts w:cs="Arial"/>
                <w:b/>
                <w:color w:val="000000"/>
                <w:sz w:val="20"/>
                <w:szCs w:val="20"/>
              </w:rPr>
              <w:t>Widow Allowance</w:t>
            </w:r>
          </w:p>
        </w:tc>
        <w:tc>
          <w:tcPr>
            <w:tcW w:w="708" w:type="pct"/>
            <w:hideMark/>
          </w:tcPr>
          <w:p w14:paraId="0B67B3AD"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190</w:t>
            </w:r>
          </w:p>
        </w:tc>
        <w:tc>
          <w:tcPr>
            <w:tcW w:w="731" w:type="pct"/>
            <w:gridSpan w:val="2"/>
            <w:hideMark/>
          </w:tcPr>
          <w:p w14:paraId="2464A920"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97.02%</w:t>
            </w:r>
          </w:p>
        </w:tc>
        <w:tc>
          <w:tcPr>
            <w:tcW w:w="726" w:type="pct"/>
            <w:gridSpan w:val="2"/>
            <w:hideMark/>
          </w:tcPr>
          <w:p w14:paraId="44B8E9B8"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1.89%</w:t>
            </w:r>
          </w:p>
        </w:tc>
      </w:tr>
      <w:tr w:rsidR="001404F7" w:rsidRPr="00D54BFA" w14:paraId="63CCBA5E" w14:textId="77777777" w:rsidTr="001404F7">
        <w:trPr>
          <w:cnfStyle w:val="000000100000" w:firstRow="0" w:lastRow="0" w:firstColumn="0" w:lastColumn="0" w:oddVBand="0" w:evenVBand="0" w:oddHBand="1" w:evenHBand="0" w:firstRowFirstColumn="0" w:firstRowLastColumn="0" w:lastRowFirstColumn="0" w:lastRowLastColumn="0"/>
          <w:trHeight w:val="329"/>
        </w:trPr>
        <w:tc>
          <w:tcPr>
            <w:tcW w:w="2835" w:type="pct"/>
            <w:hideMark/>
          </w:tcPr>
          <w:p w14:paraId="4B6DDD16" w14:textId="77777777" w:rsidR="001404F7" w:rsidRPr="00EE5B57" w:rsidRDefault="001404F7" w:rsidP="001404F7">
            <w:pPr>
              <w:spacing w:before="40" w:after="40"/>
              <w:rPr>
                <w:rFonts w:cs="Arial"/>
                <w:b/>
                <w:color w:val="000000"/>
                <w:sz w:val="20"/>
                <w:szCs w:val="20"/>
              </w:rPr>
            </w:pPr>
            <w:r w:rsidRPr="00EE5B57">
              <w:rPr>
                <w:rFonts w:cs="Arial"/>
                <w:b/>
                <w:color w:val="000000"/>
                <w:sz w:val="20"/>
                <w:szCs w:val="20"/>
              </w:rPr>
              <w:t>Youth Allowance (other)</w:t>
            </w:r>
          </w:p>
        </w:tc>
        <w:tc>
          <w:tcPr>
            <w:tcW w:w="708" w:type="pct"/>
            <w:hideMark/>
          </w:tcPr>
          <w:p w14:paraId="50C77F51"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409</w:t>
            </w:r>
          </w:p>
        </w:tc>
        <w:tc>
          <w:tcPr>
            <w:tcW w:w="731" w:type="pct"/>
            <w:gridSpan w:val="2"/>
            <w:hideMark/>
          </w:tcPr>
          <w:p w14:paraId="106C169A"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92.01%</w:t>
            </w:r>
          </w:p>
        </w:tc>
        <w:tc>
          <w:tcPr>
            <w:tcW w:w="726" w:type="pct"/>
            <w:gridSpan w:val="2"/>
            <w:hideMark/>
          </w:tcPr>
          <w:p w14:paraId="1DABD30F"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2.63%</w:t>
            </w:r>
          </w:p>
        </w:tc>
      </w:tr>
      <w:tr w:rsidR="001404F7" w:rsidRPr="00D54BFA" w14:paraId="43DDABE7" w14:textId="77777777" w:rsidTr="001404F7">
        <w:trPr>
          <w:cnfStyle w:val="000000010000" w:firstRow="0" w:lastRow="0" w:firstColumn="0" w:lastColumn="0" w:oddVBand="0" w:evenVBand="0" w:oddHBand="0" w:evenHBand="1" w:firstRowFirstColumn="0" w:firstRowLastColumn="0" w:lastRowFirstColumn="0" w:lastRowLastColumn="0"/>
          <w:trHeight w:val="329"/>
        </w:trPr>
        <w:tc>
          <w:tcPr>
            <w:tcW w:w="2835" w:type="pct"/>
            <w:hideMark/>
          </w:tcPr>
          <w:p w14:paraId="401692C6" w14:textId="77777777" w:rsidR="001404F7" w:rsidRPr="00EE5B57" w:rsidRDefault="001404F7" w:rsidP="001404F7">
            <w:pPr>
              <w:spacing w:before="40" w:after="40"/>
              <w:rPr>
                <w:rFonts w:cs="Arial"/>
                <w:b/>
                <w:color w:val="000000"/>
                <w:sz w:val="20"/>
                <w:szCs w:val="20"/>
              </w:rPr>
            </w:pPr>
            <w:r w:rsidRPr="00EE5B57">
              <w:rPr>
                <w:rFonts w:cs="Arial"/>
                <w:b/>
                <w:color w:val="000000"/>
                <w:sz w:val="20"/>
                <w:szCs w:val="20"/>
              </w:rPr>
              <w:t>Youth Allowance (student)</w:t>
            </w:r>
          </w:p>
        </w:tc>
        <w:tc>
          <w:tcPr>
            <w:tcW w:w="708" w:type="pct"/>
            <w:hideMark/>
          </w:tcPr>
          <w:p w14:paraId="3D097B9D"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644</w:t>
            </w:r>
          </w:p>
        </w:tc>
        <w:tc>
          <w:tcPr>
            <w:tcW w:w="731" w:type="pct"/>
            <w:gridSpan w:val="2"/>
            <w:hideMark/>
          </w:tcPr>
          <w:p w14:paraId="2FD80D07"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86.44%</w:t>
            </w:r>
          </w:p>
        </w:tc>
        <w:tc>
          <w:tcPr>
            <w:tcW w:w="726" w:type="pct"/>
            <w:gridSpan w:val="2"/>
            <w:hideMark/>
          </w:tcPr>
          <w:p w14:paraId="0E789AF7"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2.81%</w:t>
            </w:r>
          </w:p>
        </w:tc>
      </w:tr>
      <w:tr w:rsidR="001404F7" w:rsidRPr="00D54BFA" w14:paraId="1F3BEFB5" w14:textId="77777777" w:rsidTr="001404F7">
        <w:trPr>
          <w:cnfStyle w:val="000000100000" w:firstRow="0" w:lastRow="0" w:firstColumn="0" w:lastColumn="0" w:oddVBand="0" w:evenVBand="0" w:oddHBand="1" w:evenHBand="0" w:firstRowFirstColumn="0" w:firstRowLastColumn="0" w:lastRowFirstColumn="0" w:lastRowLastColumn="0"/>
          <w:trHeight w:val="329"/>
        </w:trPr>
        <w:tc>
          <w:tcPr>
            <w:tcW w:w="2835" w:type="pct"/>
            <w:hideMark/>
          </w:tcPr>
          <w:p w14:paraId="2A18A346" w14:textId="77777777" w:rsidR="001404F7" w:rsidRPr="00EE5B57" w:rsidRDefault="001404F7" w:rsidP="001404F7">
            <w:pPr>
              <w:spacing w:before="40" w:after="40"/>
              <w:rPr>
                <w:rFonts w:cs="Arial"/>
                <w:b/>
                <w:color w:val="000000"/>
                <w:sz w:val="20"/>
                <w:szCs w:val="20"/>
              </w:rPr>
            </w:pPr>
            <w:r w:rsidRPr="00EE5B57">
              <w:rPr>
                <w:rFonts w:cs="Arial"/>
                <w:b/>
                <w:color w:val="000000"/>
                <w:sz w:val="20"/>
                <w:szCs w:val="20"/>
              </w:rPr>
              <w:t>Age Pension</w:t>
            </w:r>
          </w:p>
        </w:tc>
        <w:tc>
          <w:tcPr>
            <w:tcW w:w="708" w:type="pct"/>
            <w:hideMark/>
          </w:tcPr>
          <w:p w14:paraId="0E3C6C8E"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1,724</w:t>
            </w:r>
          </w:p>
        </w:tc>
        <w:tc>
          <w:tcPr>
            <w:tcW w:w="731" w:type="pct"/>
            <w:gridSpan w:val="2"/>
            <w:hideMark/>
          </w:tcPr>
          <w:p w14:paraId="3F1D38EF"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97.78%</w:t>
            </w:r>
          </w:p>
        </w:tc>
        <w:tc>
          <w:tcPr>
            <w:tcW w:w="726" w:type="pct"/>
            <w:gridSpan w:val="2"/>
            <w:hideMark/>
          </w:tcPr>
          <w:p w14:paraId="5F1E0F40"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0.60%</w:t>
            </w:r>
          </w:p>
        </w:tc>
      </w:tr>
      <w:tr w:rsidR="001404F7" w:rsidRPr="00D54BFA" w14:paraId="77DE64AA" w14:textId="77777777" w:rsidTr="001404F7">
        <w:trPr>
          <w:cnfStyle w:val="000000010000" w:firstRow="0" w:lastRow="0" w:firstColumn="0" w:lastColumn="0" w:oddVBand="0" w:evenVBand="0" w:oddHBand="0" w:evenHBand="1" w:firstRowFirstColumn="0" w:firstRowLastColumn="0" w:lastRowFirstColumn="0" w:lastRowLastColumn="0"/>
          <w:trHeight w:val="329"/>
        </w:trPr>
        <w:tc>
          <w:tcPr>
            <w:tcW w:w="2835" w:type="pct"/>
            <w:hideMark/>
          </w:tcPr>
          <w:p w14:paraId="5967A3FB" w14:textId="77777777" w:rsidR="001404F7" w:rsidRPr="00EE5B57" w:rsidRDefault="001404F7" w:rsidP="001404F7">
            <w:pPr>
              <w:spacing w:before="40" w:after="40"/>
              <w:rPr>
                <w:rFonts w:cs="Arial"/>
                <w:b/>
                <w:color w:val="000000"/>
                <w:sz w:val="20"/>
                <w:szCs w:val="20"/>
              </w:rPr>
            </w:pPr>
            <w:r w:rsidRPr="00EE5B57">
              <w:rPr>
                <w:rFonts w:cs="Arial"/>
                <w:b/>
                <w:sz w:val="20"/>
                <w:szCs w:val="20"/>
              </w:rPr>
              <w:t>Disability Support Pension</w:t>
            </w:r>
          </w:p>
        </w:tc>
        <w:tc>
          <w:tcPr>
            <w:tcW w:w="708" w:type="pct"/>
            <w:hideMark/>
          </w:tcPr>
          <w:p w14:paraId="780ABAFB"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1,220</w:t>
            </w:r>
          </w:p>
        </w:tc>
        <w:tc>
          <w:tcPr>
            <w:tcW w:w="731" w:type="pct"/>
            <w:gridSpan w:val="2"/>
            <w:hideMark/>
          </w:tcPr>
          <w:p w14:paraId="4EB4377A"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97.00%</w:t>
            </w:r>
          </w:p>
        </w:tc>
        <w:tc>
          <w:tcPr>
            <w:tcW w:w="726" w:type="pct"/>
            <w:gridSpan w:val="2"/>
            <w:hideMark/>
          </w:tcPr>
          <w:p w14:paraId="72C12CBE"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1.09%</w:t>
            </w:r>
          </w:p>
        </w:tc>
      </w:tr>
      <w:tr w:rsidR="001404F7" w:rsidRPr="00D54BFA" w14:paraId="2C175052" w14:textId="77777777" w:rsidTr="001404F7">
        <w:trPr>
          <w:cnfStyle w:val="000000100000" w:firstRow="0" w:lastRow="0" w:firstColumn="0" w:lastColumn="0" w:oddVBand="0" w:evenVBand="0" w:oddHBand="1" w:evenHBand="0" w:firstRowFirstColumn="0" w:firstRowLastColumn="0" w:lastRowFirstColumn="0" w:lastRowLastColumn="0"/>
          <w:trHeight w:val="329"/>
        </w:trPr>
        <w:tc>
          <w:tcPr>
            <w:tcW w:w="2835" w:type="pct"/>
            <w:hideMark/>
          </w:tcPr>
          <w:p w14:paraId="29C8C07A" w14:textId="77777777" w:rsidR="001404F7" w:rsidRPr="00EE5B57" w:rsidRDefault="001404F7" w:rsidP="001404F7">
            <w:pPr>
              <w:spacing w:before="40" w:after="40"/>
              <w:rPr>
                <w:rFonts w:cs="Arial"/>
                <w:b/>
                <w:color w:val="000000"/>
                <w:sz w:val="20"/>
                <w:szCs w:val="20"/>
              </w:rPr>
            </w:pPr>
            <w:r w:rsidRPr="00EE5B57">
              <w:rPr>
                <w:rFonts w:cs="Arial"/>
                <w:b/>
                <w:color w:val="000000"/>
                <w:sz w:val="20"/>
                <w:szCs w:val="20"/>
              </w:rPr>
              <w:t>Carer Payment</w:t>
            </w:r>
          </w:p>
        </w:tc>
        <w:tc>
          <w:tcPr>
            <w:tcW w:w="708" w:type="pct"/>
            <w:hideMark/>
          </w:tcPr>
          <w:p w14:paraId="158CBF65"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526</w:t>
            </w:r>
          </w:p>
        </w:tc>
        <w:tc>
          <w:tcPr>
            <w:tcW w:w="731" w:type="pct"/>
            <w:gridSpan w:val="2"/>
            <w:hideMark/>
          </w:tcPr>
          <w:p w14:paraId="53974C93"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94.30%</w:t>
            </w:r>
          </w:p>
        </w:tc>
        <w:tc>
          <w:tcPr>
            <w:tcW w:w="726" w:type="pct"/>
            <w:gridSpan w:val="2"/>
            <w:hideMark/>
          </w:tcPr>
          <w:p w14:paraId="6E6176CC"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2.02%</w:t>
            </w:r>
          </w:p>
        </w:tc>
      </w:tr>
      <w:tr w:rsidR="001404F7" w:rsidRPr="00D54BFA" w14:paraId="49581604" w14:textId="77777777" w:rsidTr="001404F7">
        <w:trPr>
          <w:cnfStyle w:val="000000010000" w:firstRow="0" w:lastRow="0" w:firstColumn="0" w:lastColumn="0" w:oddVBand="0" w:evenVBand="0" w:oddHBand="0" w:evenHBand="1" w:firstRowFirstColumn="0" w:firstRowLastColumn="0" w:lastRowFirstColumn="0" w:lastRowLastColumn="0"/>
          <w:trHeight w:val="329"/>
        </w:trPr>
        <w:tc>
          <w:tcPr>
            <w:tcW w:w="2835" w:type="pct"/>
            <w:hideMark/>
          </w:tcPr>
          <w:p w14:paraId="157115F6" w14:textId="77777777" w:rsidR="001404F7" w:rsidRPr="00EE5B57" w:rsidRDefault="001404F7" w:rsidP="001404F7">
            <w:pPr>
              <w:spacing w:before="40" w:after="40"/>
              <w:rPr>
                <w:rFonts w:cs="Arial"/>
                <w:b/>
                <w:color w:val="000000"/>
                <w:sz w:val="20"/>
                <w:szCs w:val="20"/>
              </w:rPr>
            </w:pPr>
            <w:r w:rsidRPr="00EE5B57">
              <w:rPr>
                <w:rFonts w:cs="Arial"/>
                <w:b/>
                <w:color w:val="000000"/>
                <w:sz w:val="20"/>
                <w:szCs w:val="20"/>
              </w:rPr>
              <w:t>Carer Allowance</w:t>
            </w:r>
          </w:p>
        </w:tc>
        <w:tc>
          <w:tcPr>
            <w:tcW w:w="708" w:type="pct"/>
            <w:hideMark/>
          </w:tcPr>
          <w:p w14:paraId="2E642C60"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171</w:t>
            </w:r>
          </w:p>
        </w:tc>
        <w:tc>
          <w:tcPr>
            <w:tcW w:w="731" w:type="pct"/>
            <w:gridSpan w:val="2"/>
            <w:hideMark/>
          </w:tcPr>
          <w:p w14:paraId="54072695"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98.32%</w:t>
            </w:r>
          </w:p>
        </w:tc>
        <w:tc>
          <w:tcPr>
            <w:tcW w:w="726" w:type="pct"/>
            <w:gridSpan w:val="2"/>
            <w:hideMark/>
          </w:tcPr>
          <w:p w14:paraId="315FF573"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1.77%</w:t>
            </w:r>
          </w:p>
        </w:tc>
      </w:tr>
      <w:tr w:rsidR="001404F7" w:rsidRPr="00D54BFA" w14:paraId="2EB6D607" w14:textId="77777777" w:rsidTr="001404F7">
        <w:trPr>
          <w:cnfStyle w:val="000000100000" w:firstRow="0" w:lastRow="0" w:firstColumn="0" w:lastColumn="0" w:oddVBand="0" w:evenVBand="0" w:oddHBand="1" w:evenHBand="0" w:firstRowFirstColumn="0" w:firstRowLastColumn="0" w:lastRowFirstColumn="0" w:lastRowLastColumn="0"/>
          <w:trHeight w:val="329"/>
        </w:trPr>
        <w:tc>
          <w:tcPr>
            <w:tcW w:w="2835" w:type="pct"/>
            <w:hideMark/>
          </w:tcPr>
          <w:p w14:paraId="53517E1B" w14:textId="77777777" w:rsidR="001404F7" w:rsidRPr="00EE5B57" w:rsidRDefault="001404F7" w:rsidP="001404F7">
            <w:pPr>
              <w:spacing w:before="40" w:after="40"/>
              <w:rPr>
                <w:rFonts w:cs="Arial"/>
                <w:b/>
                <w:color w:val="000000"/>
                <w:sz w:val="20"/>
                <w:szCs w:val="20"/>
              </w:rPr>
            </w:pPr>
            <w:r w:rsidRPr="00EE5B57">
              <w:rPr>
                <w:rFonts w:cs="Arial"/>
                <w:b/>
                <w:color w:val="000000"/>
                <w:sz w:val="20"/>
                <w:szCs w:val="20"/>
              </w:rPr>
              <w:t>Family Tax Benefit</w:t>
            </w:r>
          </w:p>
        </w:tc>
        <w:tc>
          <w:tcPr>
            <w:tcW w:w="708" w:type="pct"/>
            <w:hideMark/>
          </w:tcPr>
          <w:p w14:paraId="785FA5CD"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988</w:t>
            </w:r>
          </w:p>
        </w:tc>
        <w:tc>
          <w:tcPr>
            <w:tcW w:w="731" w:type="pct"/>
            <w:gridSpan w:val="2"/>
            <w:hideMark/>
          </w:tcPr>
          <w:p w14:paraId="08689B11"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97.06%</w:t>
            </w:r>
          </w:p>
        </w:tc>
        <w:tc>
          <w:tcPr>
            <w:tcW w:w="726" w:type="pct"/>
            <w:gridSpan w:val="2"/>
            <w:hideMark/>
          </w:tcPr>
          <w:p w14:paraId="30119CBD"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1.32%</w:t>
            </w:r>
          </w:p>
        </w:tc>
      </w:tr>
      <w:tr w:rsidR="001404F7" w:rsidRPr="00D54BFA" w14:paraId="3571C398" w14:textId="77777777" w:rsidTr="001404F7">
        <w:trPr>
          <w:cnfStyle w:val="000000010000" w:firstRow="0" w:lastRow="0" w:firstColumn="0" w:lastColumn="0" w:oddVBand="0" w:evenVBand="0" w:oddHBand="0" w:evenHBand="1" w:firstRowFirstColumn="0" w:firstRowLastColumn="0" w:lastRowFirstColumn="0" w:lastRowLastColumn="0"/>
          <w:trHeight w:val="329"/>
        </w:trPr>
        <w:tc>
          <w:tcPr>
            <w:tcW w:w="2835" w:type="pct"/>
            <w:hideMark/>
          </w:tcPr>
          <w:p w14:paraId="373D9C71" w14:textId="77777777" w:rsidR="001404F7" w:rsidRPr="00EE5B57" w:rsidRDefault="001404F7" w:rsidP="001404F7">
            <w:pPr>
              <w:spacing w:before="40" w:after="40"/>
              <w:rPr>
                <w:rFonts w:cs="Arial"/>
                <w:b/>
                <w:color w:val="000000"/>
                <w:sz w:val="20"/>
                <w:szCs w:val="20"/>
              </w:rPr>
            </w:pPr>
            <w:r w:rsidRPr="00EE5B57">
              <w:rPr>
                <w:rFonts w:cs="Arial"/>
                <w:b/>
                <w:color w:val="000000"/>
                <w:sz w:val="20"/>
                <w:szCs w:val="20"/>
              </w:rPr>
              <w:t>Special Benefit</w:t>
            </w:r>
          </w:p>
        </w:tc>
        <w:tc>
          <w:tcPr>
            <w:tcW w:w="708" w:type="pct"/>
            <w:hideMark/>
          </w:tcPr>
          <w:p w14:paraId="51A762FB"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347</w:t>
            </w:r>
          </w:p>
        </w:tc>
        <w:tc>
          <w:tcPr>
            <w:tcW w:w="731" w:type="pct"/>
            <w:gridSpan w:val="2"/>
            <w:hideMark/>
          </w:tcPr>
          <w:p w14:paraId="1D8D1F69"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96.13%</w:t>
            </w:r>
          </w:p>
        </w:tc>
        <w:tc>
          <w:tcPr>
            <w:tcW w:w="726" w:type="pct"/>
            <w:gridSpan w:val="2"/>
            <w:hideMark/>
          </w:tcPr>
          <w:p w14:paraId="49FACC05" w14:textId="77777777" w:rsidR="001404F7" w:rsidRPr="00EE5B57" w:rsidRDefault="001404F7" w:rsidP="001404F7">
            <w:pPr>
              <w:spacing w:before="40" w:after="40"/>
              <w:jc w:val="right"/>
              <w:rPr>
                <w:rFonts w:cs="Arial"/>
                <w:color w:val="000000"/>
                <w:sz w:val="20"/>
                <w:szCs w:val="20"/>
              </w:rPr>
            </w:pPr>
            <w:r w:rsidRPr="00EE5B57">
              <w:rPr>
                <w:rFonts w:cs="Arial"/>
                <w:color w:val="000000"/>
                <w:sz w:val="20"/>
                <w:szCs w:val="20"/>
              </w:rPr>
              <w:t>2.40%</w:t>
            </w:r>
          </w:p>
        </w:tc>
      </w:tr>
      <w:tr w:rsidR="001404F7" w:rsidRPr="00D54BFA" w14:paraId="13851E23" w14:textId="77777777" w:rsidTr="001404F7">
        <w:trPr>
          <w:cnfStyle w:val="000000100000" w:firstRow="0" w:lastRow="0" w:firstColumn="0" w:lastColumn="0" w:oddVBand="0" w:evenVBand="0" w:oddHBand="1" w:evenHBand="0" w:firstRowFirstColumn="0" w:firstRowLastColumn="0" w:lastRowFirstColumn="0" w:lastRowLastColumn="0"/>
          <w:trHeight w:val="329"/>
        </w:trPr>
        <w:tc>
          <w:tcPr>
            <w:tcW w:w="2835" w:type="pct"/>
            <w:hideMark/>
          </w:tcPr>
          <w:p w14:paraId="686967A5" w14:textId="77777777" w:rsidR="001404F7" w:rsidRPr="00D54BFA" w:rsidRDefault="001404F7" w:rsidP="001404F7">
            <w:pPr>
              <w:spacing w:before="40" w:after="40"/>
              <w:rPr>
                <w:rFonts w:cs="Arial"/>
                <w:color w:val="000000"/>
                <w:sz w:val="20"/>
                <w:szCs w:val="20"/>
              </w:rPr>
            </w:pPr>
            <w:r w:rsidRPr="00D54BFA">
              <w:rPr>
                <w:rFonts w:cs="Arial"/>
                <w:color w:val="000000"/>
                <w:sz w:val="20"/>
                <w:szCs w:val="20"/>
              </w:rPr>
              <w:t>Overall rate of accuracy</w:t>
            </w:r>
          </w:p>
        </w:tc>
        <w:tc>
          <w:tcPr>
            <w:tcW w:w="708" w:type="pct"/>
            <w:hideMark/>
          </w:tcPr>
          <w:p w14:paraId="2EBA2572" w14:textId="77777777" w:rsidR="001404F7" w:rsidRPr="00EE5B57" w:rsidRDefault="001404F7" w:rsidP="001404F7">
            <w:pPr>
              <w:spacing w:before="40" w:after="40"/>
              <w:jc w:val="right"/>
              <w:rPr>
                <w:rFonts w:cs="Arial"/>
                <w:b/>
                <w:color w:val="000000"/>
                <w:sz w:val="20"/>
                <w:szCs w:val="20"/>
              </w:rPr>
            </w:pPr>
            <w:r w:rsidRPr="00EE5B57">
              <w:rPr>
                <w:rFonts w:cs="Arial"/>
                <w:b/>
                <w:color w:val="000000"/>
                <w:sz w:val="20"/>
                <w:szCs w:val="20"/>
              </w:rPr>
              <w:t>13,712</w:t>
            </w:r>
          </w:p>
        </w:tc>
        <w:tc>
          <w:tcPr>
            <w:tcW w:w="731" w:type="pct"/>
            <w:gridSpan w:val="2"/>
            <w:hideMark/>
          </w:tcPr>
          <w:p w14:paraId="363B4D99" w14:textId="77777777" w:rsidR="001404F7" w:rsidRPr="00EE5B57" w:rsidRDefault="001404F7" w:rsidP="001404F7">
            <w:pPr>
              <w:spacing w:before="40" w:after="40"/>
              <w:jc w:val="right"/>
              <w:rPr>
                <w:rFonts w:cs="Arial"/>
                <w:b/>
                <w:color w:val="000000"/>
                <w:sz w:val="20"/>
                <w:szCs w:val="20"/>
              </w:rPr>
            </w:pPr>
            <w:r w:rsidRPr="00EE5B57">
              <w:rPr>
                <w:rFonts w:cs="Arial"/>
                <w:b/>
                <w:color w:val="000000"/>
                <w:sz w:val="20"/>
                <w:szCs w:val="20"/>
              </w:rPr>
              <w:t>96.21%</w:t>
            </w:r>
          </w:p>
        </w:tc>
        <w:tc>
          <w:tcPr>
            <w:tcW w:w="726" w:type="pct"/>
            <w:gridSpan w:val="2"/>
            <w:hideMark/>
          </w:tcPr>
          <w:p w14:paraId="1C1CAF7D" w14:textId="77777777" w:rsidR="001404F7" w:rsidRPr="00EE5B57" w:rsidRDefault="001404F7" w:rsidP="001404F7">
            <w:pPr>
              <w:spacing w:before="40" w:after="40"/>
              <w:jc w:val="right"/>
              <w:rPr>
                <w:rFonts w:cs="Arial"/>
                <w:b/>
                <w:color w:val="000000"/>
                <w:sz w:val="20"/>
                <w:szCs w:val="20"/>
              </w:rPr>
            </w:pPr>
            <w:r w:rsidRPr="00EE5B57">
              <w:rPr>
                <w:rFonts w:cs="Arial"/>
                <w:b/>
                <w:color w:val="000000"/>
                <w:sz w:val="20"/>
                <w:szCs w:val="20"/>
              </w:rPr>
              <w:t>0.40%</w:t>
            </w:r>
          </w:p>
        </w:tc>
      </w:tr>
    </w:tbl>
    <w:p w14:paraId="74E1E261" w14:textId="77777777" w:rsidR="001404F7" w:rsidRPr="008D0F53" w:rsidRDefault="001404F7" w:rsidP="001404F7">
      <w:pPr>
        <w:spacing w:before="160" w:after="120" w:line="260" w:lineRule="atLeast"/>
        <w:rPr>
          <w:rFonts w:cs="Arial"/>
          <w:sz w:val="20"/>
          <w:szCs w:val="20"/>
        </w:rPr>
      </w:pPr>
    </w:p>
    <w:p w14:paraId="6AC74828" w14:textId="77777777" w:rsidR="00715F6F" w:rsidRDefault="00715F6F">
      <w:pPr>
        <w:rPr>
          <w:rFonts w:eastAsiaTheme="majorEastAsia" w:cstheme="majorBidi"/>
          <w:b/>
          <w:color w:val="595959" w:themeColor="text1" w:themeTint="A6"/>
          <w:sz w:val="24"/>
          <w:szCs w:val="20"/>
        </w:rPr>
        <w:sectPr w:rsidR="00715F6F" w:rsidSect="00585891">
          <w:footnotePr>
            <w:numRestart w:val="eachPage"/>
          </w:footnotePr>
          <w:pgSz w:w="11906" w:h="16838"/>
          <w:pgMar w:top="1440" w:right="1440" w:bottom="1440" w:left="1440" w:header="709" w:footer="709" w:gutter="0"/>
          <w:cols w:space="708"/>
          <w:docGrid w:linePitch="360"/>
        </w:sectPr>
      </w:pPr>
    </w:p>
    <w:p w14:paraId="18B68FE3" w14:textId="7A382F6A" w:rsidR="001404F7" w:rsidRPr="003F5594" w:rsidRDefault="001404F7" w:rsidP="001404F7">
      <w:pPr>
        <w:spacing w:before="240" w:after="240"/>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lastRenderedPageBreak/>
        <w:t xml:space="preserve">C1.4.3 </w:t>
      </w:r>
      <w:r w:rsidRPr="003F5594">
        <w:rPr>
          <w:rFonts w:eastAsiaTheme="majorEastAsia" w:cstheme="majorBidi"/>
          <w:b/>
          <w:color w:val="595959" w:themeColor="text1" w:themeTint="A6"/>
          <w:sz w:val="24"/>
          <w:szCs w:val="20"/>
        </w:rPr>
        <w:t>Percentage of recipients with debts by type and status</w:t>
      </w:r>
    </w:p>
    <w:p w14:paraId="2EBAB9A1" w14:textId="4A9E6F48" w:rsidR="001404F7" w:rsidRPr="006D455E" w:rsidRDefault="001404F7" w:rsidP="001404F7">
      <w:pPr>
        <w:rPr>
          <w:rFonts w:cs="Arial"/>
          <w:sz w:val="20"/>
          <w:szCs w:val="20"/>
        </w:rPr>
      </w:pPr>
      <w:r w:rsidRPr="006D455E">
        <w:rPr>
          <w:rFonts w:cs="Arial"/>
          <w:sz w:val="20"/>
          <w:szCs w:val="20"/>
        </w:rPr>
        <w:t xml:space="preserve">This indicator monitors the number and types of debts to assess the efficiency and responsiveness of the social security payments system design. Services Australia manages debt identification and recovery on behalf of the department. These measures were affected by a national pause on debt raising and recovery announced by the Government in response to the </w:t>
      </w:r>
      <w:r>
        <w:rPr>
          <w:rFonts w:cs="Arial"/>
          <w:sz w:val="20"/>
          <w:szCs w:val="20"/>
        </w:rPr>
        <w:t>COVID-19</w:t>
      </w:r>
      <w:r w:rsidRPr="006D455E">
        <w:rPr>
          <w:rFonts w:cs="Arial"/>
          <w:sz w:val="20"/>
          <w:szCs w:val="20"/>
        </w:rPr>
        <w:t xml:space="preserve"> pandemic. The national debt pause commenced on 3 April 2020, reducing </w:t>
      </w:r>
      <w:r w:rsidR="00AC3C8B">
        <w:rPr>
          <w:rFonts w:cs="Arial"/>
          <w:sz w:val="20"/>
          <w:szCs w:val="20"/>
        </w:rPr>
        <w:t>the number of new debts raised.</w:t>
      </w:r>
    </w:p>
    <w:p w14:paraId="4C7017E0" w14:textId="77777777" w:rsidR="001404F7" w:rsidRPr="00D47E5B"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sidRPr="000E4B6E">
        <w:rPr>
          <w:rFonts w:ascii="Arial Narrow" w:eastAsia="Times New Roman" w:hAnsi="Arial Narrow" w:cs="Times New Roman"/>
          <w:b/>
          <w:bCs/>
          <w:spacing w:val="4"/>
          <w:sz w:val="20"/>
          <w:szCs w:val="18"/>
          <w:lang w:eastAsia="en-AU"/>
        </w:rPr>
        <w:t>Table 2.1.14: Percentage</w:t>
      </w:r>
      <w:r w:rsidRPr="00D47E5B">
        <w:rPr>
          <w:rFonts w:ascii="Arial Narrow" w:eastAsia="Times New Roman" w:hAnsi="Arial Narrow" w:cs="Times New Roman"/>
          <w:b/>
          <w:bCs/>
          <w:spacing w:val="4"/>
          <w:sz w:val="20"/>
          <w:szCs w:val="18"/>
          <w:lang w:eastAsia="en-AU"/>
        </w:rPr>
        <w:t xml:space="preserve"> of recipients with debts by type and status</w:t>
      </w:r>
    </w:p>
    <w:tbl>
      <w:tblPr>
        <w:tblStyle w:val="DSSDatatablestyle68"/>
        <w:tblW w:w="5000" w:type="pct"/>
        <w:tblInd w:w="0" w:type="dxa"/>
        <w:shd w:val="pct10" w:color="auto" w:fill="auto"/>
        <w:tblLook w:val="06A0" w:firstRow="1" w:lastRow="0" w:firstColumn="1" w:lastColumn="0" w:noHBand="1" w:noVBand="1"/>
        <w:tblCaption w:val="Table 2.1.14: Percentage of recipients with debts by type and status"/>
        <w:tblDescription w:val="Table 2.1.14: Percentage of recipients with debts by type and status"/>
      </w:tblPr>
      <w:tblGrid>
        <w:gridCol w:w="5103"/>
        <w:gridCol w:w="1307"/>
        <w:gridCol w:w="1307"/>
        <w:gridCol w:w="1309"/>
      </w:tblGrid>
      <w:tr w:rsidR="001404F7" w:rsidRPr="00821BBF" w14:paraId="6345B8C6" w14:textId="77777777" w:rsidTr="001404F7">
        <w:trPr>
          <w:cnfStyle w:val="100000000000" w:firstRow="1" w:lastRow="0" w:firstColumn="0" w:lastColumn="0" w:oddVBand="0" w:evenVBand="0" w:oddHBand="0" w:evenHBand="0" w:firstRowFirstColumn="0" w:firstRowLastColumn="0" w:lastRowFirstColumn="0" w:lastRowLastColumn="0"/>
          <w:cantSplit/>
          <w:trHeight w:val="317"/>
          <w:tblHeader/>
        </w:trPr>
        <w:tc>
          <w:tcPr>
            <w:tcW w:w="2827" w:type="pct"/>
            <w:vMerge w:val="restart"/>
            <w:tcBorders>
              <w:top w:val="nil"/>
              <w:left w:val="nil"/>
              <w:bottom w:val="single" w:sz="8" w:space="0" w:color="FFFFFF" w:themeColor="background1"/>
              <w:right w:val="nil"/>
            </w:tcBorders>
            <w:shd w:val="clear" w:color="auto" w:fill="00B0B9"/>
            <w:vAlign w:val="bottom"/>
            <w:hideMark/>
          </w:tcPr>
          <w:p w14:paraId="0350C3AC" w14:textId="77777777" w:rsidR="001404F7" w:rsidRPr="00D13460" w:rsidRDefault="001404F7" w:rsidP="001404F7">
            <w:pPr>
              <w:keepNext/>
              <w:keepLines/>
              <w:spacing w:before="40" w:after="40"/>
              <w:rPr>
                <w:rFonts w:eastAsia="Times New Roman" w:cs="Times New Roman"/>
                <w:color w:val="auto"/>
                <w:sz w:val="20"/>
                <w:szCs w:val="18"/>
              </w:rPr>
            </w:pPr>
            <w:r w:rsidRPr="00D13460">
              <w:rPr>
                <w:rFonts w:eastAsia="Times New Roman" w:cs="Times New Roman"/>
                <w:color w:val="auto"/>
                <w:sz w:val="20"/>
                <w:szCs w:val="18"/>
              </w:rPr>
              <w:t xml:space="preserve">Intermediate outcome performance </w:t>
            </w:r>
            <w:proofErr w:type="spellStart"/>
            <w:r w:rsidRPr="00D13460">
              <w:rPr>
                <w:rFonts w:eastAsia="Times New Roman" w:cs="Times New Roman"/>
                <w:color w:val="auto"/>
                <w:sz w:val="20"/>
                <w:szCs w:val="18"/>
              </w:rPr>
              <w:t>measure</w:t>
            </w:r>
            <w:r w:rsidRPr="00D13460">
              <w:rPr>
                <w:rFonts w:ascii="Arial Narrow" w:eastAsia="Times New Roman" w:hAnsi="Arial Narrow" w:cstheme="minorHAnsi"/>
                <w:b w:val="0"/>
                <w:color w:val="auto"/>
                <w:spacing w:val="4"/>
                <w:sz w:val="20"/>
                <w:szCs w:val="18"/>
                <w:vertAlign w:val="superscript"/>
                <w:lang w:eastAsia="en-AU"/>
              </w:rPr>
              <w:t>a</w:t>
            </w:r>
            <w:proofErr w:type="spellEnd"/>
          </w:p>
        </w:tc>
        <w:tc>
          <w:tcPr>
            <w:tcW w:w="2173" w:type="pct"/>
            <w:gridSpan w:val="3"/>
            <w:tcBorders>
              <w:top w:val="nil"/>
              <w:left w:val="nil"/>
              <w:bottom w:val="single" w:sz="8" w:space="0" w:color="FFFFFF" w:themeColor="background1"/>
              <w:right w:val="nil"/>
            </w:tcBorders>
            <w:shd w:val="clear" w:color="auto" w:fill="00B0B9"/>
            <w:vAlign w:val="bottom"/>
            <w:hideMark/>
          </w:tcPr>
          <w:p w14:paraId="4C6F420D" w14:textId="77777777" w:rsidR="001404F7" w:rsidRPr="00D13460" w:rsidRDefault="001404F7" w:rsidP="001404F7">
            <w:pPr>
              <w:keepNext/>
              <w:keepLines/>
              <w:spacing w:before="40" w:after="40"/>
              <w:jc w:val="center"/>
              <w:rPr>
                <w:rFonts w:eastAsia="Times New Roman" w:cs="Times New Roman"/>
                <w:color w:val="auto"/>
                <w:sz w:val="20"/>
                <w:szCs w:val="18"/>
              </w:rPr>
            </w:pPr>
            <w:r w:rsidRPr="00D13460">
              <w:rPr>
                <w:rFonts w:eastAsia="Times New Roman" w:cs="Times New Roman"/>
                <w:color w:val="auto"/>
                <w:sz w:val="20"/>
                <w:szCs w:val="18"/>
              </w:rPr>
              <w:t xml:space="preserve">Entitlement </w:t>
            </w:r>
            <w:proofErr w:type="spellStart"/>
            <w:r w:rsidRPr="00D13460">
              <w:rPr>
                <w:rFonts w:eastAsia="Times New Roman" w:cs="Times New Roman"/>
                <w:color w:val="auto"/>
                <w:sz w:val="20"/>
                <w:szCs w:val="18"/>
              </w:rPr>
              <w:t>year</w:t>
            </w:r>
            <w:r w:rsidRPr="00D13460">
              <w:rPr>
                <w:rFonts w:eastAsia="Times New Roman" w:cs="Times New Roman"/>
                <w:b w:val="0"/>
                <w:color w:val="auto"/>
                <w:sz w:val="20"/>
                <w:szCs w:val="18"/>
                <w:vertAlign w:val="superscript"/>
              </w:rPr>
              <w:t>b</w:t>
            </w:r>
            <w:proofErr w:type="spellEnd"/>
          </w:p>
        </w:tc>
      </w:tr>
      <w:tr w:rsidR="001404F7" w:rsidRPr="00821BBF" w14:paraId="7208C350" w14:textId="77777777" w:rsidTr="001404F7">
        <w:trPr>
          <w:cnfStyle w:val="100000000000" w:firstRow="1" w:lastRow="0" w:firstColumn="0" w:lastColumn="0" w:oddVBand="0" w:evenVBand="0" w:oddHBand="0" w:evenHBand="0" w:firstRowFirstColumn="0" w:firstRowLastColumn="0" w:lastRowFirstColumn="0" w:lastRowLastColumn="0"/>
          <w:cantSplit/>
          <w:trHeight w:val="317"/>
          <w:tblHeader/>
        </w:trPr>
        <w:tc>
          <w:tcPr>
            <w:tcW w:w="2827" w:type="pct"/>
            <w:vMerge/>
            <w:tcBorders>
              <w:top w:val="nil"/>
              <w:left w:val="nil"/>
              <w:bottom w:val="single" w:sz="8" w:space="0" w:color="FFFFFF" w:themeColor="background1"/>
              <w:right w:val="nil"/>
            </w:tcBorders>
            <w:shd w:val="clear" w:color="auto" w:fill="00B0B9"/>
            <w:vAlign w:val="center"/>
            <w:hideMark/>
          </w:tcPr>
          <w:p w14:paraId="04CE82CA" w14:textId="77777777" w:rsidR="001404F7" w:rsidRPr="00D13460" w:rsidRDefault="001404F7" w:rsidP="001404F7">
            <w:pPr>
              <w:rPr>
                <w:rFonts w:eastAsia="Times New Roman" w:cs="Times New Roman"/>
                <w:color w:val="auto"/>
                <w:sz w:val="20"/>
                <w:szCs w:val="18"/>
              </w:rPr>
            </w:pPr>
          </w:p>
        </w:tc>
        <w:tc>
          <w:tcPr>
            <w:tcW w:w="723" w:type="pct"/>
            <w:tcBorders>
              <w:top w:val="single" w:sz="8" w:space="0" w:color="FFFFFF" w:themeColor="background1"/>
              <w:left w:val="nil"/>
              <w:bottom w:val="single" w:sz="8" w:space="0" w:color="FFFFFF" w:themeColor="background1"/>
              <w:right w:val="nil"/>
            </w:tcBorders>
            <w:shd w:val="clear" w:color="auto" w:fill="00B0B9"/>
            <w:vAlign w:val="bottom"/>
            <w:hideMark/>
          </w:tcPr>
          <w:p w14:paraId="017C205B" w14:textId="77777777" w:rsidR="001404F7" w:rsidRPr="00D13460" w:rsidRDefault="001404F7" w:rsidP="001404F7">
            <w:pPr>
              <w:keepNext/>
              <w:keepLines/>
              <w:spacing w:before="40" w:after="40"/>
              <w:jc w:val="right"/>
              <w:rPr>
                <w:rFonts w:eastAsia="Times New Roman" w:cs="Times New Roman"/>
                <w:color w:val="auto"/>
                <w:sz w:val="20"/>
                <w:szCs w:val="18"/>
              </w:rPr>
            </w:pPr>
            <w:r w:rsidRPr="00D13460">
              <w:rPr>
                <w:rFonts w:eastAsia="Times New Roman" w:cs="Times New Roman"/>
                <w:color w:val="auto"/>
                <w:sz w:val="20"/>
                <w:szCs w:val="18"/>
              </w:rPr>
              <w:t>2017–18</w:t>
            </w:r>
          </w:p>
        </w:tc>
        <w:tc>
          <w:tcPr>
            <w:tcW w:w="724" w:type="pct"/>
            <w:tcBorders>
              <w:top w:val="single" w:sz="8" w:space="0" w:color="FFFFFF" w:themeColor="background1"/>
              <w:left w:val="nil"/>
              <w:bottom w:val="single" w:sz="8" w:space="0" w:color="FFFFFF" w:themeColor="background1"/>
              <w:right w:val="nil"/>
            </w:tcBorders>
            <w:shd w:val="clear" w:color="auto" w:fill="00B0B9"/>
            <w:vAlign w:val="bottom"/>
            <w:hideMark/>
          </w:tcPr>
          <w:p w14:paraId="11F1F38A" w14:textId="77777777" w:rsidR="001404F7" w:rsidRPr="00D13460" w:rsidRDefault="001404F7" w:rsidP="001404F7">
            <w:pPr>
              <w:keepNext/>
              <w:keepLines/>
              <w:spacing w:before="40" w:after="40"/>
              <w:jc w:val="right"/>
              <w:rPr>
                <w:rFonts w:eastAsia="Times New Roman" w:cs="Times New Roman"/>
                <w:color w:val="auto"/>
                <w:sz w:val="20"/>
                <w:szCs w:val="18"/>
              </w:rPr>
            </w:pPr>
            <w:r w:rsidRPr="00D13460">
              <w:rPr>
                <w:rFonts w:eastAsia="Times New Roman" w:cs="Times New Roman"/>
                <w:color w:val="auto"/>
                <w:sz w:val="20"/>
                <w:szCs w:val="18"/>
              </w:rPr>
              <w:t>2016–17</w:t>
            </w:r>
          </w:p>
        </w:tc>
        <w:tc>
          <w:tcPr>
            <w:tcW w:w="725" w:type="pct"/>
            <w:tcBorders>
              <w:top w:val="single" w:sz="8" w:space="0" w:color="FFFFFF" w:themeColor="background1"/>
              <w:left w:val="nil"/>
              <w:bottom w:val="single" w:sz="8" w:space="0" w:color="FFFFFF" w:themeColor="background1"/>
              <w:right w:val="nil"/>
            </w:tcBorders>
            <w:shd w:val="clear" w:color="auto" w:fill="00B0B9"/>
            <w:vAlign w:val="bottom"/>
            <w:hideMark/>
          </w:tcPr>
          <w:p w14:paraId="0A18BC9F" w14:textId="77777777" w:rsidR="001404F7" w:rsidRPr="00D13460" w:rsidRDefault="001404F7" w:rsidP="001404F7">
            <w:pPr>
              <w:keepNext/>
              <w:keepLines/>
              <w:spacing w:before="40" w:after="40"/>
              <w:jc w:val="right"/>
              <w:rPr>
                <w:rFonts w:eastAsia="Times New Roman" w:cs="Times New Roman"/>
                <w:color w:val="auto"/>
                <w:sz w:val="20"/>
                <w:szCs w:val="18"/>
              </w:rPr>
            </w:pPr>
            <w:r w:rsidRPr="00D13460">
              <w:rPr>
                <w:rFonts w:eastAsia="Times New Roman" w:cs="Times New Roman"/>
                <w:color w:val="auto"/>
                <w:sz w:val="20"/>
                <w:szCs w:val="18"/>
              </w:rPr>
              <w:t>2015–16</w:t>
            </w:r>
          </w:p>
        </w:tc>
      </w:tr>
      <w:tr w:rsidR="001404F7" w:rsidRPr="00821BBF" w14:paraId="24C68B0B" w14:textId="77777777" w:rsidTr="001404F7">
        <w:trPr>
          <w:cantSplit/>
          <w:trHeight w:val="317"/>
        </w:trPr>
        <w:tc>
          <w:tcPr>
            <w:tcW w:w="5000" w:type="pct"/>
            <w:gridSpan w:val="4"/>
            <w:tcBorders>
              <w:top w:val="single" w:sz="8" w:space="0" w:color="FFFFFF" w:themeColor="background1"/>
              <w:left w:val="nil"/>
              <w:bottom w:val="single" w:sz="12" w:space="0" w:color="00B0B9"/>
              <w:right w:val="nil"/>
            </w:tcBorders>
            <w:shd w:val="clear" w:color="auto" w:fill="auto"/>
            <w:vAlign w:val="bottom"/>
            <w:hideMark/>
          </w:tcPr>
          <w:p w14:paraId="5539C850" w14:textId="77777777" w:rsidR="001404F7" w:rsidRPr="00821BBF" w:rsidRDefault="001404F7" w:rsidP="001404F7">
            <w:pPr>
              <w:keepNext/>
              <w:keepLines/>
              <w:spacing w:before="40" w:after="40"/>
              <w:rPr>
                <w:rFonts w:eastAsia="Times New Roman" w:cs="Times New Roman"/>
                <w:b/>
                <w:color w:val="000000" w:themeColor="text1"/>
                <w:sz w:val="20"/>
                <w:szCs w:val="20"/>
              </w:rPr>
            </w:pPr>
            <w:r w:rsidRPr="00821BBF">
              <w:rPr>
                <w:rFonts w:eastAsia="Times New Roman" w:cs="Times New Roman"/>
                <w:b/>
                <w:color w:val="000000" w:themeColor="text1"/>
                <w:sz w:val="20"/>
                <w:szCs w:val="20"/>
              </w:rPr>
              <w:t>Family Tax Benefit</w:t>
            </w:r>
          </w:p>
        </w:tc>
      </w:tr>
      <w:tr w:rsidR="001404F7" w:rsidRPr="00821BBF" w14:paraId="554FD598" w14:textId="77777777" w:rsidTr="001404F7">
        <w:trPr>
          <w:cantSplit/>
        </w:trPr>
        <w:tc>
          <w:tcPr>
            <w:tcW w:w="2827" w:type="pct"/>
            <w:tcBorders>
              <w:top w:val="single" w:sz="12" w:space="0" w:color="00B0B9"/>
              <w:left w:val="nil"/>
              <w:bottom w:val="single" w:sz="8" w:space="0" w:color="FFFFFF" w:themeColor="background1"/>
              <w:right w:val="nil"/>
            </w:tcBorders>
            <w:shd w:val="clear" w:color="auto" w:fill="EAEAEA"/>
            <w:hideMark/>
          </w:tcPr>
          <w:p w14:paraId="6FD0E0A3"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s="Arial"/>
                <w:color w:val="000000" w:themeColor="text1"/>
                <w:spacing w:val="4"/>
                <w:sz w:val="20"/>
                <w:szCs w:val="20"/>
                <w:lang w:val="en-GB"/>
              </w:rPr>
              <w:t>Percentage of all recipients who had a qualification debt raised</w:t>
            </w:r>
          </w:p>
        </w:tc>
        <w:tc>
          <w:tcPr>
            <w:tcW w:w="724" w:type="pct"/>
            <w:tcBorders>
              <w:top w:val="single" w:sz="12" w:space="0" w:color="00B0B9"/>
              <w:left w:val="nil"/>
              <w:bottom w:val="single" w:sz="8" w:space="0" w:color="FFFFFF" w:themeColor="background1"/>
              <w:right w:val="nil"/>
            </w:tcBorders>
            <w:shd w:val="clear" w:color="auto" w:fill="EAEAEA"/>
            <w:hideMark/>
          </w:tcPr>
          <w:p w14:paraId="3B46BD88" w14:textId="77777777" w:rsidR="001404F7" w:rsidRPr="00EE5B57" w:rsidRDefault="001404F7" w:rsidP="001404F7">
            <w:pPr>
              <w:jc w:val="right"/>
              <w:rPr>
                <w:sz w:val="20"/>
                <w:szCs w:val="20"/>
              </w:rPr>
            </w:pPr>
            <w:r w:rsidRPr="00EE5B57">
              <w:rPr>
                <w:sz w:val="20"/>
                <w:szCs w:val="20"/>
              </w:rPr>
              <w:t>8.3%</w:t>
            </w:r>
          </w:p>
        </w:tc>
        <w:tc>
          <w:tcPr>
            <w:tcW w:w="724" w:type="pct"/>
            <w:tcBorders>
              <w:top w:val="single" w:sz="12" w:space="0" w:color="00B0B9"/>
              <w:left w:val="nil"/>
              <w:bottom w:val="single" w:sz="8" w:space="0" w:color="FFFFFF" w:themeColor="background1"/>
              <w:right w:val="nil"/>
            </w:tcBorders>
            <w:shd w:val="clear" w:color="auto" w:fill="EAEAEA"/>
            <w:hideMark/>
          </w:tcPr>
          <w:p w14:paraId="23E1EF09" w14:textId="77777777" w:rsidR="001404F7" w:rsidRPr="00821BBF" w:rsidRDefault="001404F7" w:rsidP="001404F7">
            <w:pPr>
              <w:jc w:val="right"/>
              <w:rPr>
                <w:sz w:val="20"/>
                <w:szCs w:val="20"/>
              </w:rPr>
            </w:pPr>
            <w:r w:rsidRPr="00821BBF">
              <w:rPr>
                <w:sz w:val="20"/>
                <w:szCs w:val="20"/>
              </w:rPr>
              <w:t>7.5%</w:t>
            </w:r>
          </w:p>
        </w:tc>
        <w:tc>
          <w:tcPr>
            <w:tcW w:w="725" w:type="pct"/>
            <w:tcBorders>
              <w:top w:val="single" w:sz="12" w:space="0" w:color="00B0B9"/>
              <w:left w:val="nil"/>
              <w:bottom w:val="single" w:sz="8" w:space="0" w:color="FFFFFF" w:themeColor="background1"/>
              <w:right w:val="nil"/>
            </w:tcBorders>
            <w:shd w:val="clear" w:color="auto" w:fill="EAEAEA"/>
            <w:hideMark/>
          </w:tcPr>
          <w:p w14:paraId="2D9C03F0" w14:textId="77777777" w:rsidR="001404F7" w:rsidRPr="00821BBF" w:rsidRDefault="001404F7" w:rsidP="001404F7">
            <w:pPr>
              <w:jc w:val="right"/>
              <w:rPr>
                <w:sz w:val="20"/>
                <w:szCs w:val="20"/>
              </w:rPr>
            </w:pPr>
            <w:r w:rsidRPr="00821BBF">
              <w:rPr>
                <w:sz w:val="20"/>
                <w:szCs w:val="20"/>
              </w:rPr>
              <w:t>10.2%</w:t>
            </w:r>
          </w:p>
        </w:tc>
      </w:tr>
      <w:tr w:rsidR="001404F7" w:rsidRPr="00821BBF" w14:paraId="5E7F0664" w14:textId="77777777" w:rsidTr="001404F7">
        <w:trPr>
          <w:cantSplit/>
        </w:trPr>
        <w:tc>
          <w:tcPr>
            <w:tcW w:w="2827" w:type="pct"/>
            <w:tcBorders>
              <w:top w:val="single" w:sz="8" w:space="0" w:color="FFFFFF" w:themeColor="background1"/>
              <w:left w:val="nil"/>
              <w:bottom w:val="single" w:sz="8" w:space="0" w:color="FFFFFF" w:themeColor="background1"/>
              <w:right w:val="nil"/>
            </w:tcBorders>
            <w:shd w:val="clear" w:color="auto" w:fill="F8F8F8"/>
            <w:hideMark/>
          </w:tcPr>
          <w:p w14:paraId="72C20607"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s="Arial"/>
                <w:color w:val="000000" w:themeColor="text1"/>
                <w:spacing w:val="4"/>
                <w:sz w:val="20"/>
                <w:szCs w:val="20"/>
                <w:lang w:val="en-GB"/>
              </w:rPr>
              <w:t>Percentage of all recipients whose qualification debt remains outstanding</w:t>
            </w:r>
          </w:p>
        </w:tc>
        <w:tc>
          <w:tcPr>
            <w:tcW w:w="724" w:type="pct"/>
            <w:tcBorders>
              <w:top w:val="single" w:sz="8" w:space="0" w:color="FFFFFF" w:themeColor="background1"/>
              <w:left w:val="nil"/>
              <w:bottom w:val="single" w:sz="8" w:space="0" w:color="FFFFFF" w:themeColor="background1"/>
              <w:right w:val="nil"/>
            </w:tcBorders>
            <w:shd w:val="clear" w:color="auto" w:fill="F8F8F8"/>
            <w:hideMark/>
          </w:tcPr>
          <w:p w14:paraId="186E2445" w14:textId="77777777" w:rsidR="001404F7" w:rsidRPr="00EE5B57" w:rsidRDefault="001404F7" w:rsidP="001404F7">
            <w:pPr>
              <w:jc w:val="right"/>
              <w:rPr>
                <w:sz w:val="20"/>
                <w:szCs w:val="20"/>
              </w:rPr>
            </w:pPr>
            <w:r w:rsidRPr="00EE5B57">
              <w:rPr>
                <w:sz w:val="20"/>
                <w:szCs w:val="20"/>
              </w:rPr>
              <w:t>0.5%</w:t>
            </w:r>
          </w:p>
        </w:tc>
        <w:tc>
          <w:tcPr>
            <w:tcW w:w="724" w:type="pct"/>
            <w:tcBorders>
              <w:top w:val="single" w:sz="8" w:space="0" w:color="FFFFFF" w:themeColor="background1"/>
              <w:left w:val="nil"/>
              <w:bottom w:val="single" w:sz="8" w:space="0" w:color="FFFFFF" w:themeColor="background1"/>
              <w:right w:val="nil"/>
            </w:tcBorders>
            <w:shd w:val="clear" w:color="auto" w:fill="F8F8F8"/>
            <w:hideMark/>
          </w:tcPr>
          <w:p w14:paraId="547229EE" w14:textId="77777777" w:rsidR="001404F7" w:rsidRPr="00821BBF" w:rsidRDefault="001404F7" w:rsidP="001404F7">
            <w:pPr>
              <w:jc w:val="right"/>
              <w:rPr>
                <w:sz w:val="20"/>
                <w:szCs w:val="20"/>
              </w:rPr>
            </w:pPr>
            <w:r w:rsidRPr="00821BBF">
              <w:rPr>
                <w:sz w:val="20"/>
                <w:szCs w:val="20"/>
              </w:rPr>
              <w:t>0.5%</w:t>
            </w:r>
          </w:p>
        </w:tc>
        <w:tc>
          <w:tcPr>
            <w:tcW w:w="725" w:type="pct"/>
            <w:tcBorders>
              <w:top w:val="single" w:sz="8" w:space="0" w:color="FFFFFF" w:themeColor="background1"/>
              <w:left w:val="nil"/>
              <w:bottom w:val="single" w:sz="8" w:space="0" w:color="FFFFFF" w:themeColor="background1"/>
              <w:right w:val="nil"/>
            </w:tcBorders>
            <w:shd w:val="clear" w:color="auto" w:fill="F8F8F8"/>
            <w:hideMark/>
          </w:tcPr>
          <w:p w14:paraId="3ABF7883" w14:textId="77777777" w:rsidR="001404F7" w:rsidRPr="00821BBF" w:rsidRDefault="001404F7" w:rsidP="001404F7">
            <w:pPr>
              <w:jc w:val="right"/>
              <w:rPr>
                <w:sz w:val="20"/>
                <w:szCs w:val="20"/>
              </w:rPr>
            </w:pPr>
            <w:r w:rsidRPr="00821BBF">
              <w:rPr>
                <w:sz w:val="20"/>
                <w:szCs w:val="20"/>
              </w:rPr>
              <w:t>1.2%</w:t>
            </w:r>
          </w:p>
        </w:tc>
      </w:tr>
      <w:tr w:rsidR="001404F7" w:rsidRPr="00821BBF" w14:paraId="1888401F" w14:textId="77777777" w:rsidTr="001404F7">
        <w:trPr>
          <w:cantSplit/>
        </w:trPr>
        <w:tc>
          <w:tcPr>
            <w:tcW w:w="2827" w:type="pct"/>
            <w:tcBorders>
              <w:top w:val="single" w:sz="8" w:space="0" w:color="FFFFFF" w:themeColor="background1"/>
              <w:left w:val="nil"/>
              <w:bottom w:val="single" w:sz="8" w:space="0" w:color="FFFFFF" w:themeColor="background1"/>
              <w:right w:val="nil"/>
            </w:tcBorders>
            <w:shd w:val="clear" w:color="auto" w:fill="EAEAEA"/>
            <w:hideMark/>
          </w:tcPr>
          <w:p w14:paraId="4A250B23"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s="Arial"/>
                <w:color w:val="000000" w:themeColor="text1"/>
                <w:spacing w:val="4"/>
                <w:sz w:val="20"/>
                <w:szCs w:val="20"/>
                <w:lang w:val="en-GB"/>
              </w:rPr>
              <w:t>Percentage of all recipients who had a debt raised following reconciliation</w:t>
            </w:r>
          </w:p>
        </w:tc>
        <w:tc>
          <w:tcPr>
            <w:tcW w:w="724" w:type="pct"/>
            <w:tcBorders>
              <w:top w:val="single" w:sz="8" w:space="0" w:color="FFFFFF" w:themeColor="background1"/>
              <w:left w:val="nil"/>
              <w:bottom w:val="single" w:sz="8" w:space="0" w:color="FFFFFF" w:themeColor="background1"/>
              <w:right w:val="nil"/>
            </w:tcBorders>
            <w:shd w:val="clear" w:color="auto" w:fill="EAEAEA"/>
            <w:hideMark/>
          </w:tcPr>
          <w:p w14:paraId="0A290B45" w14:textId="77777777" w:rsidR="001404F7" w:rsidRPr="00EE5B57" w:rsidRDefault="001404F7" w:rsidP="001404F7">
            <w:pPr>
              <w:jc w:val="right"/>
              <w:rPr>
                <w:sz w:val="20"/>
                <w:szCs w:val="20"/>
              </w:rPr>
            </w:pPr>
            <w:r w:rsidRPr="00EE5B57">
              <w:rPr>
                <w:sz w:val="20"/>
                <w:szCs w:val="20"/>
              </w:rPr>
              <w:t>18.2%</w:t>
            </w:r>
          </w:p>
        </w:tc>
        <w:tc>
          <w:tcPr>
            <w:tcW w:w="724" w:type="pct"/>
            <w:tcBorders>
              <w:top w:val="single" w:sz="8" w:space="0" w:color="FFFFFF" w:themeColor="background1"/>
              <w:left w:val="nil"/>
              <w:bottom w:val="single" w:sz="8" w:space="0" w:color="FFFFFF" w:themeColor="background1"/>
              <w:right w:val="nil"/>
            </w:tcBorders>
            <w:shd w:val="clear" w:color="auto" w:fill="EAEAEA"/>
            <w:hideMark/>
          </w:tcPr>
          <w:p w14:paraId="63A20977" w14:textId="77777777" w:rsidR="001404F7" w:rsidRPr="00821BBF" w:rsidRDefault="001404F7" w:rsidP="001404F7">
            <w:pPr>
              <w:jc w:val="right"/>
              <w:rPr>
                <w:sz w:val="20"/>
                <w:szCs w:val="20"/>
              </w:rPr>
            </w:pPr>
            <w:r w:rsidRPr="00821BBF">
              <w:rPr>
                <w:sz w:val="20"/>
                <w:szCs w:val="20"/>
              </w:rPr>
              <w:t>17.8%</w:t>
            </w:r>
          </w:p>
        </w:tc>
        <w:tc>
          <w:tcPr>
            <w:tcW w:w="725" w:type="pct"/>
            <w:tcBorders>
              <w:top w:val="single" w:sz="8" w:space="0" w:color="FFFFFF" w:themeColor="background1"/>
              <w:left w:val="nil"/>
              <w:bottom w:val="single" w:sz="8" w:space="0" w:color="FFFFFF" w:themeColor="background1"/>
              <w:right w:val="nil"/>
            </w:tcBorders>
            <w:shd w:val="clear" w:color="auto" w:fill="EAEAEA"/>
            <w:hideMark/>
          </w:tcPr>
          <w:p w14:paraId="5A520B4C" w14:textId="77777777" w:rsidR="001404F7" w:rsidRPr="00821BBF" w:rsidRDefault="001404F7" w:rsidP="001404F7">
            <w:pPr>
              <w:jc w:val="right"/>
              <w:rPr>
                <w:sz w:val="20"/>
                <w:szCs w:val="20"/>
              </w:rPr>
            </w:pPr>
            <w:r w:rsidRPr="00821BBF">
              <w:rPr>
                <w:sz w:val="20"/>
                <w:szCs w:val="20"/>
              </w:rPr>
              <w:t>14.9%</w:t>
            </w:r>
          </w:p>
        </w:tc>
      </w:tr>
      <w:tr w:rsidR="001404F7" w:rsidRPr="00821BBF" w14:paraId="449D2DE3" w14:textId="77777777" w:rsidTr="001404F7">
        <w:trPr>
          <w:cantSplit/>
        </w:trPr>
        <w:tc>
          <w:tcPr>
            <w:tcW w:w="2827" w:type="pct"/>
            <w:tcBorders>
              <w:top w:val="single" w:sz="8" w:space="0" w:color="FFFFFF" w:themeColor="background1"/>
              <w:left w:val="nil"/>
              <w:bottom w:val="single" w:sz="8" w:space="0" w:color="FFFFFF" w:themeColor="background1"/>
              <w:right w:val="nil"/>
            </w:tcBorders>
            <w:shd w:val="clear" w:color="auto" w:fill="F8F8F8"/>
            <w:hideMark/>
          </w:tcPr>
          <w:p w14:paraId="3E10B31D"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s="Arial"/>
                <w:color w:val="000000" w:themeColor="text1"/>
                <w:spacing w:val="4"/>
                <w:sz w:val="20"/>
                <w:szCs w:val="20"/>
                <w:lang w:val="en-GB"/>
              </w:rPr>
              <w:t>Percentage of all recipients whose reconciliation debt remains outstanding</w:t>
            </w:r>
          </w:p>
        </w:tc>
        <w:tc>
          <w:tcPr>
            <w:tcW w:w="724" w:type="pct"/>
            <w:tcBorders>
              <w:top w:val="single" w:sz="8" w:space="0" w:color="FFFFFF" w:themeColor="background1"/>
              <w:left w:val="nil"/>
              <w:bottom w:val="single" w:sz="8" w:space="0" w:color="FFFFFF" w:themeColor="background1"/>
              <w:right w:val="nil"/>
            </w:tcBorders>
            <w:shd w:val="clear" w:color="auto" w:fill="F8F8F8"/>
            <w:hideMark/>
          </w:tcPr>
          <w:p w14:paraId="21B42ED0" w14:textId="77777777" w:rsidR="001404F7" w:rsidRPr="00EE5B57" w:rsidRDefault="001404F7" w:rsidP="001404F7">
            <w:pPr>
              <w:jc w:val="right"/>
              <w:rPr>
                <w:sz w:val="20"/>
                <w:szCs w:val="20"/>
              </w:rPr>
            </w:pPr>
            <w:r w:rsidRPr="00EE5B57">
              <w:rPr>
                <w:sz w:val="20"/>
                <w:szCs w:val="20"/>
              </w:rPr>
              <w:t>3.8%</w:t>
            </w:r>
          </w:p>
        </w:tc>
        <w:tc>
          <w:tcPr>
            <w:tcW w:w="724" w:type="pct"/>
            <w:tcBorders>
              <w:top w:val="single" w:sz="8" w:space="0" w:color="FFFFFF" w:themeColor="background1"/>
              <w:left w:val="nil"/>
              <w:bottom w:val="single" w:sz="8" w:space="0" w:color="FFFFFF" w:themeColor="background1"/>
              <w:right w:val="nil"/>
            </w:tcBorders>
            <w:shd w:val="clear" w:color="auto" w:fill="F8F8F8"/>
            <w:hideMark/>
          </w:tcPr>
          <w:p w14:paraId="18749BC9" w14:textId="77777777" w:rsidR="001404F7" w:rsidRPr="00821BBF" w:rsidRDefault="001404F7" w:rsidP="001404F7">
            <w:pPr>
              <w:jc w:val="right"/>
              <w:rPr>
                <w:sz w:val="20"/>
                <w:szCs w:val="20"/>
              </w:rPr>
            </w:pPr>
            <w:r w:rsidRPr="00821BBF">
              <w:rPr>
                <w:sz w:val="20"/>
                <w:szCs w:val="20"/>
              </w:rPr>
              <w:t>3.4%</w:t>
            </w:r>
          </w:p>
        </w:tc>
        <w:tc>
          <w:tcPr>
            <w:tcW w:w="725" w:type="pct"/>
            <w:tcBorders>
              <w:top w:val="single" w:sz="8" w:space="0" w:color="FFFFFF" w:themeColor="background1"/>
              <w:left w:val="nil"/>
              <w:bottom w:val="single" w:sz="8" w:space="0" w:color="FFFFFF" w:themeColor="background1"/>
              <w:right w:val="nil"/>
            </w:tcBorders>
            <w:shd w:val="clear" w:color="auto" w:fill="F8F8F8"/>
            <w:hideMark/>
          </w:tcPr>
          <w:p w14:paraId="4C8926AA" w14:textId="77777777" w:rsidR="001404F7" w:rsidRPr="00821BBF" w:rsidRDefault="001404F7" w:rsidP="001404F7">
            <w:pPr>
              <w:jc w:val="right"/>
              <w:rPr>
                <w:sz w:val="20"/>
                <w:szCs w:val="20"/>
              </w:rPr>
            </w:pPr>
            <w:r w:rsidRPr="00821BBF">
              <w:rPr>
                <w:sz w:val="20"/>
                <w:szCs w:val="20"/>
              </w:rPr>
              <w:t>2.9%</w:t>
            </w:r>
          </w:p>
        </w:tc>
      </w:tr>
      <w:tr w:rsidR="001404F7" w:rsidRPr="00821BBF" w14:paraId="5801484E" w14:textId="77777777" w:rsidTr="001404F7">
        <w:trPr>
          <w:cantSplit/>
        </w:trPr>
        <w:tc>
          <w:tcPr>
            <w:tcW w:w="2827" w:type="pct"/>
            <w:tcBorders>
              <w:top w:val="single" w:sz="8" w:space="0" w:color="FFFFFF" w:themeColor="background1"/>
              <w:left w:val="nil"/>
              <w:bottom w:val="single" w:sz="8" w:space="0" w:color="FFFFFF" w:themeColor="background1"/>
              <w:right w:val="nil"/>
            </w:tcBorders>
            <w:shd w:val="clear" w:color="auto" w:fill="EAEAEA"/>
            <w:hideMark/>
          </w:tcPr>
          <w:p w14:paraId="5CF6270B"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s="Arial"/>
                <w:color w:val="000000" w:themeColor="text1"/>
                <w:spacing w:val="4"/>
                <w:sz w:val="20"/>
                <w:szCs w:val="20"/>
                <w:lang w:val="en-GB"/>
              </w:rPr>
              <w:t>Percentage of all recipients who had a non</w:t>
            </w:r>
            <w:r w:rsidRPr="00821BBF">
              <w:rPr>
                <w:rFonts w:eastAsia="Times New Roman" w:cs="Arial"/>
                <w:color w:val="000000" w:themeColor="text1"/>
                <w:spacing w:val="4"/>
                <w:sz w:val="20"/>
                <w:szCs w:val="20"/>
                <w:lang w:val="en-GB"/>
              </w:rPr>
              <w:noBreakHyphen/>
              <w:t>lodger debt raised</w:t>
            </w:r>
          </w:p>
        </w:tc>
        <w:tc>
          <w:tcPr>
            <w:tcW w:w="724" w:type="pct"/>
            <w:tcBorders>
              <w:top w:val="single" w:sz="8" w:space="0" w:color="FFFFFF" w:themeColor="background1"/>
              <w:left w:val="nil"/>
              <w:bottom w:val="single" w:sz="8" w:space="0" w:color="FFFFFF" w:themeColor="background1"/>
              <w:right w:val="nil"/>
            </w:tcBorders>
            <w:shd w:val="clear" w:color="auto" w:fill="EAEAEA"/>
            <w:hideMark/>
          </w:tcPr>
          <w:p w14:paraId="6A44B912" w14:textId="77777777" w:rsidR="001404F7" w:rsidRPr="00EE5B57" w:rsidRDefault="001404F7" w:rsidP="001404F7">
            <w:pPr>
              <w:jc w:val="right"/>
              <w:rPr>
                <w:sz w:val="20"/>
                <w:szCs w:val="20"/>
              </w:rPr>
            </w:pPr>
            <w:r w:rsidRPr="00EE5B57">
              <w:rPr>
                <w:sz w:val="20"/>
                <w:szCs w:val="20"/>
              </w:rPr>
              <w:t>1.3%</w:t>
            </w:r>
          </w:p>
        </w:tc>
        <w:tc>
          <w:tcPr>
            <w:tcW w:w="724" w:type="pct"/>
            <w:tcBorders>
              <w:top w:val="single" w:sz="8" w:space="0" w:color="FFFFFF" w:themeColor="background1"/>
              <w:left w:val="nil"/>
              <w:bottom w:val="single" w:sz="8" w:space="0" w:color="FFFFFF" w:themeColor="background1"/>
              <w:right w:val="nil"/>
            </w:tcBorders>
            <w:shd w:val="clear" w:color="auto" w:fill="EAEAEA"/>
            <w:hideMark/>
          </w:tcPr>
          <w:p w14:paraId="697CCCD7" w14:textId="77777777" w:rsidR="001404F7" w:rsidRPr="00821BBF" w:rsidRDefault="001404F7" w:rsidP="001404F7">
            <w:pPr>
              <w:jc w:val="right"/>
              <w:rPr>
                <w:sz w:val="20"/>
                <w:szCs w:val="20"/>
              </w:rPr>
            </w:pPr>
            <w:r w:rsidRPr="00821BBF">
              <w:rPr>
                <w:sz w:val="20"/>
                <w:szCs w:val="20"/>
              </w:rPr>
              <w:t>1.5%</w:t>
            </w:r>
          </w:p>
        </w:tc>
        <w:tc>
          <w:tcPr>
            <w:tcW w:w="725" w:type="pct"/>
            <w:tcBorders>
              <w:top w:val="single" w:sz="8" w:space="0" w:color="FFFFFF" w:themeColor="background1"/>
              <w:left w:val="nil"/>
              <w:bottom w:val="single" w:sz="8" w:space="0" w:color="FFFFFF" w:themeColor="background1"/>
              <w:right w:val="nil"/>
            </w:tcBorders>
            <w:shd w:val="clear" w:color="auto" w:fill="EAEAEA"/>
            <w:hideMark/>
          </w:tcPr>
          <w:p w14:paraId="73CB441F" w14:textId="77777777" w:rsidR="001404F7" w:rsidRPr="00821BBF" w:rsidRDefault="001404F7" w:rsidP="001404F7">
            <w:pPr>
              <w:jc w:val="right"/>
              <w:rPr>
                <w:sz w:val="20"/>
                <w:szCs w:val="20"/>
              </w:rPr>
            </w:pPr>
            <w:r w:rsidRPr="00821BBF">
              <w:rPr>
                <w:sz w:val="20"/>
                <w:szCs w:val="20"/>
              </w:rPr>
              <w:t>1.5%</w:t>
            </w:r>
          </w:p>
        </w:tc>
      </w:tr>
      <w:tr w:rsidR="001404F7" w:rsidRPr="00821BBF" w14:paraId="23F90156" w14:textId="77777777" w:rsidTr="001404F7">
        <w:trPr>
          <w:cantSplit/>
        </w:trPr>
        <w:tc>
          <w:tcPr>
            <w:tcW w:w="2827" w:type="pct"/>
            <w:tcBorders>
              <w:top w:val="single" w:sz="8" w:space="0" w:color="FFFFFF" w:themeColor="background1"/>
              <w:left w:val="nil"/>
              <w:bottom w:val="single" w:sz="8" w:space="0" w:color="FFFFFF" w:themeColor="background1"/>
              <w:right w:val="nil"/>
            </w:tcBorders>
            <w:shd w:val="clear" w:color="auto" w:fill="F8F8F8"/>
            <w:hideMark/>
          </w:tcPr>
          <w:p w14:paraId="443FB9AB"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s="Arial"/>
                <w:color w:val="000000" w:themeColor="text1"/>
                <w:spacing w:val="4"/>
                <w:sz w:val="20"/>
                <w:szCs w:val="20"/>
                <w:lang w:val="en-GB"/>
              </w:rPr>
              <w:t>Percentage of all recipients whose non</w:t>
            </w:r>
            <w:r w:rsidRPr="00821BBF">
              <w:rPr>
                <w:rFonts w:eastAsia="Times New Roman" w:cs="Arial"/>
                <w:color w:val="000000" w:themeColor="text1"/>
                <w:spacing w:val="4"/>
                <w:sz w:val="20"/>
                <w:szCs w:val="20"/>
                <w:lang w:val="en-GB"/>
              </w:rPr>
              <w:noBreakHyphen/>
              <w:t>lodger debt remains outstanding</w:t>
            </w:r>
          </w:p>
        </w:tc>
        <w:tc>
          <w:tcPr>
            <w:tcW w:w="724" w:type="pct"/>
            <w:tcBorders>
              <w:top w:val="single" w:sz="8" w:space="0" w:color="FFFFFF" w:themeColor="background1"/>
              <w:left w:val="nil"/>
              <w:bottom w:val="single" w:sz="8" w:space="0" w:color="FFFFFF" w:themeColor="background1"/>
              <w:right w:val="nil"/>
            </w:tcBorders>
            <w:shd w:val="clear" w:color="auto" w:fill="F8F8F8"/>
            <w:hideMark/>
          </w:tcPr>
          <w:p w14:paraId="5BC2AD16" w14:textId="77777777" w:rsidR="001404F7" w:rsidRPr="00EE5B57" w:rsidRDefault="001404F7" w:rsidP="001404F7">
            <w:pPr>
              <w:jc w:val="right"/>
              <w:rPr>
                <w:sz w:val="20"/>
                <w:szCs w:val="20"/>
              </w:rPr>
            </w:pPr>
            <w:r w:rsidRPr="00EE5B57">
              <w:rPr>
                <w:sz w:val="20"/>
                <w:szCs w:val="20"/>
              </w:rPr>
              <w:t>1.2%</w:t>
            </w:r>
          </w:p>
        </w:tc>
        <w:tc>
          <w:tcPr>
            <w:tcW w:w="724" w:type="pct"/>
            <w:tcBorders>
              <w:top w:val="single" w:sz="8" w:space="0" w:color="FFFFFF" w:themeColor="background1"/>
              <w:left w:val="nil"/>
              <w:bottom w:val="single" w:sz="8" w:space="0" w:color="FFFFFF" w:themeColor="background1"/>
              <w:right w:val="nil"/>
            </w:tcBorders>
            <w:shd w:val="clear" w:color="auto" w:fill="F8F8F8"/>
            <w:hideMark/>
          </w:tcPr>
          <w:p w14:paraId="56770845" w14:textId="77777777" w:rsidR="001404F7" w:rsidRPr="00821BBF" w:rsidRDefault="001404F7" w:rsidP="001404F7">
            <w:pPr>
              <w:jc w:val="right"/>
              <w:rPr>
                <w:sz w:val="20"/>
                <w:szCs w:val="20"/>
              </w:rPr>
            </w:pPr>
            <w:r w:rsidRPr="00821BBF">
              <w:rPr>
                <w:sz w:val="20"/>
                <w:szCs w:val="20"/>
              </w:rPr>
              <w:t>1.4%</w:t>
            </w:r>
          </w:p>
        </w:tc>
        <w:tc>
          <w:tcPr>
            <w:tcW w:w="725" w:type="pct"/>
            <w:tcBorders>
              <w:top w:val="single" w:sz="8" w:space="0" w:color="FFFFFF" w:themeColor="background1"/>
              <w:left w:val="nil"/>
              <w:bottom w:val="single" w:sz="8" w:space="0" w:color="FFFFFF" w:themeColor="background1"/>
              <w:right w:val="nil"/>
            </w:tcBorders>
            <w:shd w:val="clear" w:color="auto" w:fill="F8F8F8"/>
            <w:hideMark/>
          </w:tcPr>
          <w:p w14:paraId="2F8532C2" w14:textId="77777777" w:rsidR="001404F7" w:rsidRPr="00821BBF" w:rsidRDefault="001404F7" w:rsidP="001404F7">
            <w:pPr>
              <w:jc w:val="right"/>
              <w:rPr>
                <w:sz w:val="20"/>
                <w:szCs w:val="20"/>
              </w:rPr>
            </w:pPr>
            <w:r w:rsidRPr="00821BBF">
              <w:rPr>
                <w:sz w:val="20"/>
                <w:szCs w:val="20"/>
              </w:rPr>
              <w:t>1.4%</w:t>
            </w:r>
          </w:p>
        </w:tc>
      </w:tr>
    </w:tbl>
    <w:p w14:paraId="22B51750" w14:textId="7F03B125" w:rsidR="001404F7" w:rsidRPr="00EE5B57" w:rsidRDefault="001404F7" w:rsidP="001404F7">
      <w:pPr>
        <w:spacing w:before="160" w:after="60" w:line="240" w:lineRule="auto"/>
        <w:ind w:left="284" w:hanging="284"/>
        <w:contextualSpacing/>
        <w:rPr>
          <w:rFonts w:cs="Arial"/>
          <w:sz w:val="16"/>
          <w:szCs w:val="16"/>
        </w:rPr>
      </w:pPr>
      <w:proofErr w:type="spellStart"/>
      <w:r w:rsidRPr="00821BBF">
        <w:rPr>
          <w:rFonts w:cs="Arial"/>
          <w:sz w:val="16"/>
          <w:szCs w:val="16"/>
        </w:rPr>
        <w:t>a</w:t>
      </w:r>
      <w:proofErr w:type="spellEnd"/>
      <w:r w:rsidRPr="00821BBF">
        <w:rPr>
          <w:rFonts w:cs="Arial"/>
          <w:sz w:val="16"/>
          <w:szCs w:val="16"/>
        </w:rPr>
        <w:tab/>
      </w:r>
      <w:r w:rsidRPr="00EE5B57">
        <w:rPr>
          <w:rFonts w:cs="Arial"/>
          <w:sz w:val="16"/>
          <w:szCs w:val="16"/>
        </w:rPr>
        <w:t>This table includes any recipient that has had a debt raised in relation to an entitlement year.</w:t>
      </w:r>
      <w:r>
        <w:rPr>
          <w:rFonts w:cs="Arial"/>
          <w:sz w:val="16"/>
          <w:szCs w:val="16"/>
        </w:rPr>
        <w:t xml:space="preserve"> </w:t>
      </w:r>
      <w:r w:rsidR="003C5132" w:rsidRPr="00CC75A1">
        <w:rPr>
          <w:rFonts w:cs="Arial"/>
          <w:sz w:val="16"/>
          <w:szCs w:val="16"/>
        </w:rPr>
        <w:t>FTB reconciliation recipient information is reported after two years to capture future actions in respect of the financial year. The two-year period allows time for the data to capture many recipients lodging income tax returns and undertaking the reconciliation process or claiming a lump sum payment.</w:t>
      </w:r>
    </w:p>
    <w:p w14:paraId="184C0E17" w14:textId="77777777" w:rsidR="001404F7" w:rsidRDefault="001404F7" w:rsidP="001404F7">
      <w:pPr>
        <w:spacing w:before="160" w:after="60" w:line="240" w:lineRule="auto"/>
        <w:ind w:left="284" w:hanging="284"/>
        <w:contextualSpacing/>
        <w:rPr>
          <w:rFonts w:cs="Arial"/>
          <w:sz w:val="16"/>
          <w:szCs w:val="16"/>
        </w:rPr>
      </w:pPr>
      <w:r w:rsidRPr="00EE5B57">
        <w:rPr>
          <w:rFonts w:cs="Arial"/>
          <w:sz w:val="16"/>
          <w:szCs w:val="16"/>
        </w:rPr>
        <w:t>b</w:t>
      </w:r>
      <w:r w:rsidRPr="00EE5B57">
        <w:rPr>
          <w:rFonts w:cs="Arial"/>
          <w:sz w:val="16"/>
          <w:szCs w:val="16"/>
        </w:rPr>
        <w:tab/>
        <w:t>Reconciliation data reported at June 2020 for 2017–18, June 2019 for 2016–17 and June 2018 for 2015–16. From 2016–17, Table 2.1.1</w:t>
      </w:r>
      <w:r>
        <w:rPr>
          <w:rFonts w:cs="Arial"/>
          <w:sz w:val="16"/>
          <w:szCs w:val="16"/>
        </w:rPr>
        <w:t>4</w:t>
      </w:r>
      <w:r w:rsidRPr="00EE5B57">
        <w:rPr>
          <w:rFonts w:cs="Arial"/>
          <w:sz w:val="16"/>
          <w:szCs w:val="16"/>
        </w:rPr>
        <w:t xml:space="preserve"> reports Family Tax Benefit debts against the Family Tax Benefit population (1,757,503 in 2017–18, 1,823,24</w:t>
      </w:r>
      <w:r>
        <w:rPr>
          <w:rFonts w:cs="Arial"/>
          <w:sz w:val="16"/>
          <w:szCs w:val="16"/>
        </w:rPr>
        <w:t xml:space="preserve">9 </w:t>
      </w:r>
      <w:r w:rsidRPr="00EE5B57">
        <w:rPr>
          <w:rFonts w:cs="Arial"/>
          <w:sz w:val="16"/>
          <w:szCs w:val="16"/>
        </w:rPr>
        <w:t>in 2016–17 and 1,859,774 in 2015–16). This recognises that Family Tax Benefit debts raised for a recipient may result from their entitlement (or non-entitlement) to Family Tax Benefit Part A and/or Part B</w:t>
      </w:r>
      <w:r>
        <w:rPr>
          <w:rFonts w:cs="Arial"/>
          <w:sz w:val="16"/>
          <w:szCs w:val="16"/>
        </w:rPr>
        <w:t>.</w:t>
      </w:r>
    </w:p>
    <w:p w14:paraId="38C53A69" w14:textId="77777777" w:rsidR="001404F7" w:rsidRPr="00C651AE" w:rsidRDefault="001404F7" w:rsidP="001404F7">
      <w:pPr>
        <w:rPr>
          <w:rFonts w:cs="Arial"/>
          <w:sz w:val="20"/>
          <w:szCs w:val="20"/>
        </w:rPr>
      </w:pPr>
    </w:p>
    <w:p w14:paraId="0A581E6B" w14:textId="77777777" w:rsidR="00715F6F" w:rsidRDefault="00715F6F">
      <w:pPr>
        <w:rPr>
          <w:rFonts w:eastAsiaTheme="majorEastAsia" w:cstheme="majorBidi"/>
          <w:b/>
          <w:iCs/>
          <w:sz w:val="26"/>
        </w:rPr>
        <w:sectPr w:rsidR="00715F6F" w:rsidSect="00585891">
          <w:footnotePr>
            <w:numRestart w:val="eachPage"/>
          </w:footnotePr>
          <w:pgSz w:w="11906" w:h="16838"/>
          <w:pgMar w:top="1440" w:right="1440" w:bottom="1440" w:left="1440" w:header="709" w:footer="709" w:gutter="0"/>
          <w:cols w:space="708"/>
          <w:docGrid w:linePitch="360"/>
        </w:sectPr>
      </w:pPr>
    </w:p>
    <w:p w14:paraId="015E8E83" w14:textId="43AD0B33" w:rsidR="001404F7" w:rsidRPr="006447FF" w:rsidRDefault="001404F7" w:rsidP="001404F7">
      <w:pPr>
        <w:spacing w:before="360" w:after="240" w:line="260" w:lineRule="atLeast"/>
        <w:outlineLvl w:val="6"/>
        <w:rPr>
          <w:rFonts w:eastAsiaTheme="majorEastAsia" w:cstheme="majorBidi"/>
          <w:b/>
          <w:iCs/>
          <w:sz w:val="26"/>
        </w:rPr>
      </w:pPr>
      <w:r>
        <w:rPr>
          <w:rFonts w:eastAsiaTheme="majorEastAsia" w:cstheme="majorBidi"/>
          <w:b/>
          <w:iCs/>
          <w:sz w:val="26"/>
        </w:rPr>
        <w:lastRenderedPageBreak/>
        <w:t xml:space="preserve">C1.5 </w:t>
      </w:r>
      <w:r w:rsidRPr="006447FF">
        <w:rPr>
          <w:rFonts w:eastAsiaTheme="majorEastAsia" w:cstheme="majorBidi"/>
          <w:b/>
          <w:iCs/>
          <w:sz w:val="26"/>
        </w:rPr>
        <w:t>Delivery measures</w:t>
      </w:r>
    </w:p>
    <w:p w14:paraId="238DEC31" w14:textId="77777777" w:rsidR="001404F7" w:rsidRDefault="001404F7" w:rsidP="001404F7">
      <w:pPr>
        <w:spacing w:before="240" w:after="240" w:line="260" w:lineRule="atLeast"/>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t xml:space="preserve">C1.5.1 </w:t>
      </w:r>
      <w:r w:rsidRPr="006447FF">
        <w:rPr>
          <w:rFonts w:eastAsiaTheme="majorEastAsia" w:cstheme="majorBidi"/>
          <w:b/>
          <w:color w:val="595959" w:themeColor="text1" w:themeTint="A6"/>
          <w:sz w:val="24"/>
          <w:szCs w:val="20"/>
        </w:rPr>
        <w:t>Number of recipients</w:t>
      </w:r>
    </w:p>
    <w:p w14:paraId="16AADAE9" w14:textId="77777777" w:rsidR="001404F7" w:rsidRPr="00D47E5B"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Pr>
          <w:rFonts w:ascii="Arial Narrow" w:eastAsia="Times New Roman" w:hAnsi="Arial Narrow" w:cs="Times New Roman"/>
          <w:b/>
          <w:bCs/>
          <w:spacing w:val="4"/>
          <w:sz w:val="20"/>
          <w:szCs w:val="18"/>
          <w:lang w:eastAsia="en-AU"/>
        </w:rPr>
        <w:t>Table 2.1.15</w:t>
      </w:r>
      <w:r w:rsidRPr="00D47E5B">
        <w:rPr>
          <w:rFonts w:ascii="Arial Narrow" w:eastAsia="Times New Roman" w:hAnsi="Arial Narrow" w:cs="Times New Roman"/>
          <w:b/>
          <w:bCs/>
          <w:spacing w:val="4"/>
          <w:sz w:val="20"/>
          <w:szCs w:val="18"/>
          <w:lang w:eastAsia="en-AU"/>
        </w:rPr>
        <w:t>a: Number of recipients — Family Tax Benefit Part A and B</w:t>
      </w:r>
    </w:p>
    <w:tbl>
      <w:tblPr>
        <w:tblStyle w:val="HHorizontaltable1"/>
        <w:tblW w:w="4936" w:type="pct"/>
        <w:tblLook w:val="04A0" w:firstRow="1" w:lastRow="0" w:firstColumn="1" w:lastColumn="0" w:noHBand="0" w:noVBand="1"/>
        <w:tblCaption w:val="Table 2.1.15a: Number of recipients - Family Tax Benefit Part A and B"/>
        <w:tblDescription w:val="Table 2.1.15a: Number of recipients - Family Tax Benefit Part A and B"/>
      </w:tblPr>
      <w:tblGrid>
        <w:gridCol w:w="5073"/>
        <w:gridCol w:w="1279"/>
        <w:gridCol w:w="1279"/>
        <w:gridCol w:w="1279"/>
      </w:tblGrid>
      <w:tr w:rsidR="001404F7" w:rsidRPr="00B06B4D" w14:paraId="460A2B54" w14:textId="77777777" w:rsidTr="001404F7">
        <w:trPr>
          <w:cnfStyle w:val="100000000000" w:firstRow="1" w:lastRow="0" w:firstColumn="0" w:lastColumn="0" w:oddVBand="0" w:evenVBand="0" w:oddHBand="0" w:evenHBand="0" w:firstRowFirstColumn="0" w:firstRowLastColumn="0" w:lastRowFirstColumn="0" w:lastRowLastColumn="0"/>
          <w:trHeight w:val="317"/>
        </w:trPr>
        <w:tc>
          <w:tcPr>
            <w:tcW w:w="2846" w:type="pct"/>
            <w:vMerge w:val="restart"/>
            <w:hideMark/>
          </w:tcPr>
          <w:p w14:paraId="339CEA16" w14:textId="77777777" w:rsidR="001404F7" w:rsidRPr="00D13460" w:rsidRDefault="001404F7" w:rsidP="001404F7">
            <w:pPr>
              <w:keepNext/>
              <w:keepLines/>
              <w:spacing w:before="40" w:after="40"/>
              <w:rPr>
                <w:rFonts w:eastAsia="Times New Roman" w:cs="Times New Roman"/>
                <w:sz w:val="20"/>
                <w:szCs w:val="18"/>
              </w:rPr>
            </w:pPr>
            <w:r w:rsidRPr="00D13460">
              <w:rPr>
                <w:rFonts w:eastAsia="Times New Roman" w:cs="Times New Roman"/>
                <w:sz w:val="20"/>
                <w:szCs w:val="18"/>
              </w:rPr>
              <w:t>Output performance measure</w:t>
            </w:r>
          </w:p>
        </w:tc>
        <w:tc>
          <w:tcPr>
            <w:tcW w:w="2154" w:type="pct"/>
            <w:gridSpan w:val="3"/>
            <w:hideMark/>
          </w:tcPr>
          <w:p w14:paraId="25CD0A20" w14:textId="77777777" w:rsidR="001404F7" w:rsidRPr="00D13460" w:rsidRDefault="001404F7" w:rsidP="001404F7">
            <w:pPr>
              <w:keepNext/>
              <w:keepLines/>
              <w:spacing w:before="40" w:after="40"/>
              <w:jc w:val="center"/>
              <w:rPr>
                <w:rFonts w:eastAsia="Times New Roman" w:cs="Times New Roman"/>
                <w:sz w:val="20"/>
                <w:szCs w:val="18"/>
              </w:rPr>
            </w:pPr>
            <w:r w:rsidRPr="00D13460">
              <w:rPr>
                <w:rFonts w:eastAsia="Times New Roman" w:cs="Times New Roman"/>
                <w:sz w:val="20"/>
                <w:szCs w:val="18"/>
              </w:rPr>
              <w:t xml:space="preserve">Entitlement </w:t>
            </w:r>
            <w:proofErr w:type="spellStart"/>
            <w:r w:rsidRPr="00D13460">
              <w:rPr>
                <w:rFonts w:eastAsia="Times New Roman" w:cs="Times New Roman"/>
                <w:sz w:val="20"/>
                <w:szCs w:val="18"/>
              </w:rPr>
              <w:t>year</w:t>
            </w:r>
            <w:r w:rsidRPr="00D13460">
              <w:rPr>
                <w:rFonts w:eastAsia="Times New Roman" w:cs="Times New Roman"/>
                <w:b w:val="0"/>
                <w:sz w:val="20"/>
                <w:szCs w:val="18"/>
                <w:vertAlign w:val="superscript"/>
              </w:rPr>
              <w:t>a</w:t>
            </w:r>
            <w:proofErr w:type="spellEnd"/>
          </w:p>
        </w:tc>
      </w:tr>
      <w:tr w:rsidR="001404F7" w:rsidRPr="00B06B4D" w14:paraId="1AE486E8" w14:textId="77777777" w:rsidTr="001404F7">
        <w:trPr>
          <w:cnfStyle w:val="000000100000" w:firstRow="0" w:lastRow="0" w:firstColumn="0" w:lastColumn="0" w:oddVBand="0" w:evenVBand="0" w:oddHBand="1" w:evenHBand="0" w:firstRowFirstColumn="0" w:firstRowLastColumn="0" w:lastRowFirstColumn="0" w:lastRowLastColumn="0"/>
          <w:trHeight w:val="75"/>
        </w:trPr>
        <w:tc>
          <w:tcPr>
            <w:tcW w:w="2846" w:type="pct"/>
            <w:vMerge/>
            <w:shd w:val="clear" w:color="auto" w:fill="00B0B9"/>
            <w:hideMark/>
          </w:tcPr>
          <w:p w14:paraId="0F2D1278" w14:textId="77777777" w:rsidR="001404F7" w:rsidRPr="00D13460" w:rsidRDefault="001404F7" w:rsidP="001404F7">
            <w:pPr>
              <w:rPr>
                <w:rFonts w:eastAsia="Times New Roman" w:cs="Times New Roman"/>
                <w:sz w:val="20"/>
                <w:szCs w:val="18"/>
              </w:rPr>
            </w:pPr>
          </w:p>
        </w:tc>
        <w:tc>
          <w:tcPr>
            <w:tcW w:w="718" w:type="pct"/>
            <w:shd w:val="clear" w:color="auto" w:fill="00B0B9"/>
            <w:hideMark/>
          </w:tcPr>
          <w:p w14:paraId="4F2A3266" w14:textId="77777777" w:rsidR="001404F7" w:rsidRPr="00D13460" w:rsidRDefault="001404F7" w:rsidP="001404F7">
            <w:pPr>
              <w:keepNext/>
              <w:keepLines/>
              <w:spacing w:before="40" w:after="40"/>
              <w:jc w:val="right"/>
              <w:rPr>
                <w:rFonts w:eastAsia="Times New Roman" w:cs="Times New Roman"/>
                <w:b/>
                <w:sz w:val="20"/>
                <w:szCs w:val="18"/>
              </w:rPr>
            </w:pPr>
            <w:r w:rsidRPr="00D13460">
              <w:rPr>
                <w:rFonts w:eastAsia="Times New Roman" w:cs="Times New Roman"/>
                <w:b/>
                <w:sz w:val="20"/>
                <w:szCs w:val="18"/>
              </w:rPr>
              <w:t>2017–18</w:t>
            </w:r>
          </w:p>
        </w:tc>
        <w:tc>
          <w:tcPr>
            <w:tcW w:w="718" w:type="pct"/>
            <w:shd w:val="clear" w:color="auto" w:fill="00B0B9"/>
            <w:hideMark/>
          </w:tcPr>
          <w:p w14:paraId="20DC64B9" w14:textId="77777777" w:rsidR="001404F7" w:rsidRPr="00D13460" w:rsidRDefault="001404F7" w:rsidP="001404F7">
            <w:pPr>
              <w:keepNext/>
              <w:keepLines/>
              <w:spacing w:before="40" w:after="40"/>
              <w:jc w:val="right"/>
              <w:rPr>
                <w:rFonts w:eastAsia="Times New Roman" w:cs="Times New Roman"/>
                <w:b/>
                <w:sz w:val="20"/>
                <w:szCs w:val="18"/>
              </w:rPr>
            </w:pPr>
            <w:r w:rsidRPr="00D13460">
              <w:rPr>
                <w:rFonts w:eastAsia="Times New Roman" w:cs="Times New Roman"/>
                <w:b/>
                <w:sz w:val="20"/>
                <w:szCs w:val="18"/>
              </w:rPr>
              <w:t>2016–17</w:t>
            </w:r>
          </w:p>
        </w:tc>
        <w:tc>
          <w:tcPr>
            <w:tcW w:w="719" w:type="pct"/>
            <w:shd w:val="clear" w:color="auto" w:fill="00B0B9"/>
            <w:hideMark/>
          </w:tcPr>
          <w:p w14:paraId="4210D5BD" w14:textId="77777777" w:rsidR="001404F7" w:rsidRPr="00D13460" w:rsidRDefault="001404F7" w:rsidP="001404F7">
            <w:pPr>
              <w:keepNext/>
              <w:keepLines/>
              <w:spacing w:before="40" w:after="40"/>
              <w:jc w:val="right"/>
              <w:rPr>
                <w:rFonts w:eastAsia="Times New Roman" w:cs="Times New Roman"/>
                <w:b/>
                <w:sz w:val="20"/>
                <w:szCs w:val="18"/>
              </w:rPr>
            </w:pPr>
            <w:r w:rsidRPr="00D13460">
              <w:rPr>
                <w:rFonts w:eastAsia="Times New Roman" w:cs="Times New Roman"/>
                <w:b/>
                <w:sz w:val="20"/>
                <w:szCs w:val="18"/>
              </w:rPr>
              <w:t>2015–16</w:t>
            </w:r>
          </w:p>
        </w:tc>
      </w:tr>
      <w:tr w:rsidR="001404F7" w:rsidRPr="00821BBF" w14:paraId="5A0ABFFF" w14:textId="77777777" w:rsidTr="001404F7">
        <w:trPr>
          <w:cnfStyle w:val="000000010000" w:firstRow="0" w:lastRow="0" w:firstColumn="0" w:lastColumn="0" w:oddVBand="0" w:evenVBand="0" w:oddHBand="0" w:evenHBand="1" w:firstRowFirstColumn="0" w:firstRowLastColumn="0" w:lastRowFirstColumn="0" w:lastRowLastColumn="0"/>
          <w:trHeight w:val="317"/>
        </w:trPr>
        <w:tc>
          <w:tcPr>
            <w:tcW w:w="5000" w:type="pct"/>
            <w:gridSpan w:val="4"/>
            <w:hideMark/>
          </w:tcPr>
          <w:p w14:paraId="4C18448D" w14:textId="77777777" w:rsidR="001404F7" w:rsidRPr="00821BBF" w:rsidRDefault="001404F7" w:rsidP="001404F7">
            <w:pPr>
              <w:keepNext/>
              <w:keepLines/>
              <w:spacing w:before="40" w:after="40"/>
              <w:rPr>
                <w:rFonts w:eastAsia="Times New Roman" w:cs="Times New Roman"/>
                <w:b/>
                <w:color w:val="000000" w:themeColor="text1"/>
                <w:sz w:val="20"/>
                <w:szCs w:val="20"/>
              </w:rPr>
            </w:pPr>
            <w:r w:rsidRPr="00821BBF">
              <w:rPr>
                <w:rFonts w:eastAsia="Times New Roman" w:cs="Times New Roman"/>
                <w:b/>
                <w:color w:val="000000" w:themeColor="text1"/>
                <w:sz w:val="20"/>
                <w:szCs w:val="20"/>
              </w:rPr>
              <w:t>Family Tax Benefit</w:t>
            </w:r>
          </w:p>
        </w:tc>
      </w:tr>
      <w:tr w:rsidR="001404F7" w:rsidRPr="00821BBF" w14:paraId="08F6D7AD" w14:textId="77777777" w:rsidTr="001404F7">
        <w:trPr>
          <w:cnfStyle w:val="000000100000" w:firstRow="0" w:lastRow="0" w:firstColumn="0" w:lastColumn="0" w:oddVBand="0" w:evenVBand="0" w:oddHBand="1" w:evenHBand="0" w:firstRowFirstColumn="0" w:firstRowLastColumn="0" w:lastRowFirstColumn="0" w:lastRowLastColumn="0"/>
        </w:trPr>
        <w:tc>
          <w:tcPr>
            <w:tcW w:w="2846" w:type="pct"/>
            <w:hideMark/>
          </w:tcPr>
          <w:p w14:paraId="69746D41"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olor w:val="000000" w:themeColor="text1"/>
                <w:spacing w:val="4"/>
                <w:sz w:val="20"/>
                <w:szCs w:val="20"/>
                <w:lang w:val="en-GB"/>
              </w:rPr>
              <w:t>Family Tax Benefit Part A</w:t>
            </w:r>
          </w:p>
        </w:tc>
        <w:tc>
          <w:tcPr>
            <w:tcW w:w="718" w:type="pct"/>
            <w:hideMark/>
          </w:tcPr>
          <w:p w14:paraId="32904BBA" w14:textId="77777777" w:rsidR="001404F7" w:rsidRPr="00EE5B57" w:rsidRDefault="001404F7" w:rsidP="001404F7">
            <w:pPr>
              <w:spacing w:before="40" w:after="40"/>
              <w:jc w:val="right"/>
              <w:rPr>
                <w:rFonts w:eastAsia="Times New Roman"/>
                <w:spacing w:val="4"/>
                <w:sz w:val="20"/>
                <w:szCs w:val="20"/>
                <w:lang w:val="en-GB"/>
              </w:rPr>
            </w:pPr>
            <w:r w:rsidRPr="00EE5B57">
              <w:rPr>
                <w:sz w:val="20"/>
                <w:szCs w:val="20"/>
              </w:rPr>
              <w:t>1,604,777</w:t>
            </w:r>
          </w:p>
        </w:tc>
        <w:tc>
          <w:tcPr>
            <w:tcW w:w="718" w:type="pct"/>
            <w:hideMark/>
          </w:tcPr>
          <w:p w14:paraId="64B5F4BC" w14:textId="77777777" w:rsidR="001404F7" w:rsidRPr="00821BBF" w:rsidRDefault="001404F7" w:rsidP="001404F7">
            <w:pPr>
              <w:spacing w:before="40" w:after="40"/>
              <w:jc w:val="right"/>
              <w:rPr>
                <w:rFonts w:eastAsia="Times New Roman"/>
                <w:color w:val="000000" w:themeColor="text1"/>
                <w:spacing w:val="4"/>
                <w:sz w:val="20"/>
                <w:szCs w:val="17"/>
                <w:lang w:val="en-GB"/>
              </w:rPr>
            </w:pPr>
            <w:r w:rsidRPr="00821BBF">
              <w:rPr>
                <w:rFonts w:eastAsia="Times New Roman"/>
                <w:color w:val="000000" w:themeColor="text1"/>
                <w:spacing w:val="4"/>
                <w:sz w:val="20"/>
                <w:szCs w:val="17"/>
                <w:lang w:val="en-GB"/>
              </w:rPr>
              <w:t>1,669,583</w:t>
            </w:r>
          </w:p>
        </w:tc>
        <w:tc>
          <w:tcPr>
            <w:tcW w:w="718" w:type="pct"/>
            <w:hideMark/>
          </w:tcPr>
          <w:p w14:paraId="337ACC28" w14:textId="77777777" w:rsidR="001404F7" w:rsidRPr="00821BBF" w:rsidRDefault="001404F7" w:rsidP="001404F7">
            <w:pPr>
              <w:spacing w:before="40" w:after="40"/>
              <w:jc w:val="right"/>
              <w:rPr>
                <w:rFonts w:eastAsia="Times New Roman"/>
                <w:color w:val="000000" w:themeColor="text1"/>
                <w:spacing w:val="4"/>
                <w:sz w:val="20"/>
                <w:szCs w:val="17"/>
                <w:lang w:val="en-GB"/>
              </w:rPr>
            </w:pPr>
            <w:r w:rsidRPr="00821BBF">
              <w:rPr>
                <w:rFonts w:eastAsia="Times New Roman"/>
                <w:color w:val="000000" w:themeColor="text1"/>
                <w:spacing w:val="4"/>
                <w:sz w:val="20"/>
                <w:szCs w:val="17"/>
                <w:lang w:val="en-GB"/>
              </w:rPr>
              <w:t>1,723,741</w:t>
            </w:r>
          </w:p>
        </w:tc>
      </w:tr>
      <w:tr w:rsidR="001404F7" w:rsidRPr="00821BBF" w14:paraId="6DBDA7FF" w14:textId="77777777" w:rsidTr="001404F7">
        <w:trPr>
          <w:cnfStyle w:val="000000010000" w:firstRow="0" w:lastRow="0" w:firstColumn="0" w:lastColumn="0" w:oddVBand="0" w:evenVBand="0" w:oddHBand="0" w:evenHBand="1" w:firstRowFirstColumn="0" w:firstRowLastColumn="0" w:lastRowFirstColumn="0" w:lastRowLastColumn="0"/>
        </w:trPr>
        <w:tc>
          <w:tcPr>
            <w:tcW w:w="2846" w:type="pct"/>
            <w:hideMark/>
          </w:tcPr>
          <w:p w14:paraId="00BCC3B8"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s="Arial"/>
                <w:color w:val="000000" w:themeColor="text1"/>
                <w:spacing w:val="4"/>
                <w:sz w:val="20"/>
                <w:szCs w:val="20"/>
                <w:lang w:val="en-GB"/>
              </w:rPr>
              <w:t>Family Tax Benefit Part B</w:t>
            </w:r>
          </w:p>
        </w:tc>
        <w:tc>
          <w:tcPr>
            <w:tcW w:w="718" w:type="pct"/>
            <w:hideMark/>
          </w:tcPr>
          <w:p w14:paraId="64AD2256" w14:textId="77777777" w:rsidR="001404F7" w:rsidRPr="00EE5B57" w:rsidRDefault="001404F7" w:rsidP="001404F7">
            <w:pPr>
              <w:spacing w:before="40" w:after="40"/>
              <w:jc w:val="right"/>
              <w:rPr>
                <w:rFonts w:eastAsia="Times New Roman" w:cs="Arial"/>
                <w:spacing w:val="4"/>
                <w:sz w:val="20"/>
                <w:szCs w:val="20"/>
                <w:lang w:val="en-GB"/>
              </w:rPr>
            </w:pPr>
            <w:r w:rsidRPr="00EE5B57">
              <w:rPr>
                <w:sz w:val="20"/>
                <w:szCs w:val="20"/>
              </w:rPr>
              <w:t>1,314,756</w:t>
            </w:r>
          </w:p>
        </w:tc>
        <w:tc>
          <w:tcPr>
            <w:tcW w:w="718" w:type="pct"/>
            <w:hideMark/>
          </w:tcPr>
          <w:p w14:paraId="610B3BCC" w14:textId="77777777" w:rsidR="001404F7" w:rsidRPr="00821BBF" w:rsidRDefault="001404F7" w:rsidP="001404F7">
            <w:pPr>
              <w:spacing w:before="40" w:after="40"/>
              <w:jc w:val="right"/>
              <w:rPr>
                <w:rFonts w:eastAsia="Times New Roman" w:cs="Arial"/>
                <w:color w:val="000000" w:themeColor="text1"/>
                <w:spacing w:val="4"/>
                <w:sz w:val="20"/>
                <w:szCs w:val="17"/>
                <w:lang w:val="en-GB"/>
              </w:rPr>
            </w:pPr>
            <w:r w:rsidRPr="00821BBF">
              <w:rPr>
                <w:rFonts w:eastAsia="Times New Roman" w:cs="Arial"/>
                <w:color w:val="000000" w:themeColor="text1"/>
                <w:spacing w:val="4"/>
                <w:sz w:val="20"/>
                <w:szCs w:val="17"/>
                <w:lang w:val="en-GB"/>
              </w:rPr>
              <w:t>1,360,857</w:t>
            </w:r>
          </w:p>
        </w:tc>
        <w:tc>
          <w:tcPr>
            <w:tcW w:w="718" w:type="pct"/>
            <w:hideMark/>
          </w:tcPr>
          <w:p w14:paraId="0701DE66" w14:textId="77777777" w:rsidR="001404F7" w:rsidRPr="00821BBF" w:rsidRDefault="001404F7" w:rsidP="001404F7">
            <w:pPr>
              <w:spacing w:before="40" w:after="40"/>
              <w:jc w:val="right"/>
              <w:rPr>
                <w:rFonts w:eastAsia="Times New Roman" w:cs="Arial"/>
                <w:color w:val="000000" w:themeColor="text1"/>
                <w:spacing w:val="4"/>
                <w:sz w:val="20"/>
                <w:szCs w:val="17"/>
                <w:lang w:val="en-GB"/>
              </w:rPr>
            </w:pPr>
            <w:r w:rsidRPr="00821BBF">
              <w:rPr>
                <w:rFonts w:eastAsia="Times New Roman" w:cs="Arial"/>
                <w:color w:val="000000" w:themeColor="text1"/>
                <w:spacing w:val="4"/>
                <w:sz w:val="20"/>
                <w:szCs w:val="17"/>
                <w:lang w:val="en-GB"/>
              </w:rPr>
              <w:t>1,449,237</w:t>
            </w:r>
          </w:p>
        </w:tc>
      </w:tr>
    </w:tbl>
    <w:p w14:paraId="669D6162" w14:textId="77777777" w:rsidR="003C5132" w:rsidRDefault="001404F7" w:rsidP="003C5132">
      <w:pPr>
        <w:spacing w:before="160" w:after="60" w:line="240" w:lineRule="auto"/>
        <w:ind w:left="284" w:hanging="284"/>
        <w:contextualSpacing/>
        <w:rPr>
          <w:rFonts w:cs="Arial"/>
          <w:sz w:val="16"/>
          <w:szCs w:val="16"/>
        </w:rPr>
      </w:pPr>
      <w:r w:rsidRPr="00EE5B57">
        <w:rPr>
          <w:rFonts w:cs="Arial"/>
          <w:sz w:val="16"/>
          <w:szCs w:val="16"/>
        </w:rPr>
        <w:t>a</w:t>
      </w:r>
      <w:r w:rsidRPr="00EE5B57">
        <w:rPr>
          <w:rFonts w:cs="Arial"/>
          <w:sz w:val="16"/>
          <w:szCs w:val="16"/>
        </w:rPr>
        <w:tab/>
        <w:t>Reconciliation data reported at June 2020 for 2017–18, June 2019 for 2016–17 and June 2018 for 2015–16.</w:t>
      </w:r>
      <w:r>
        <w:rPr>
          <w:rFonts w:cs="Arial"/>
          <w:sz w:val="16"/>
          <w:szCs w:val="16"/>
        </w:rPr>
        <w:t xml:space="preserve"> </w:t>
      </w:r>
      <w:r w:rsidR="003C5132" w:rsidRPr="00A2448B">
        <w:rPr>
          <w:rFonts w:cs="Arial"/>
          <w:sz w:val="16"/>
          <w:szCs w:val="16"/>
        </w:rPr>
        <w:t>FTB reconciliation recipient information is reported after two years to capture future actions in respect of the financial year. The two-year period allows time for the data to capture many recipients lodging income tax returns and undertaking the reconciliation process or claiming a lump sum payment.</w:t>
      </w:r>
    </w:p>
    <w:p w14:paraId="16584200" w14:textId="77777777" w:rsidR="003C5132" w:rsidRDefault="003C5132" w:rsidP="003C5132">
      <w:pPr>
        <w:spacing w:before="160" w:after="60" w:line="240" w:lineRule="auto"/>
        <w:ind w:left="284" w:hanging="284"/>
        <w:contextualSpacing/>
        <w:rPr>
          <w:rFonts w:cs="Arial"/>
          <w:sz w:val="16"/>
          <w:szCs w:val="16"/>
        </w:rPr>
      </w:pPr>
    </w:p>
    <w:p w14:paraId="68B966ED" w14:textId="20743154" w:rsidR="001404F7" w:rsidRPr="00D47E5B"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sidRPr="00D47E5B">
        <w:rPr>
          <w:rFonts w:ascii="Arial Narrow" w:eastAsia="Times New Roman" w:hAnsi="Arial Narrow" w:cs="Times New Roman"/>
          <w:b/>
          <w:bCs/>
          <w:spacing w:val="4"/>
          <w:sz w:val="20"/>
          <w:szCs w:val="18"/>
          <w:lang w:eastAsia="en-AU"/>
        </w:rPr>
        <w:t>Table 2.1.1</w:t>
      </w:r>
      <w:r>
        <w:rPr>
          <w:rFonts w:ascii="Arial Narrow" w:eastAsia="Times New Roman" w:hAnsi="Arial Narrow" w:cs="Times New Roman"/>
          <w:b/>
          <w:bCs/>
          <w:spacing w:val="4"/>
          <w:sz w:val="20"/>
          <w:szCs w:val="18"/>
          <w:lang w:eastAsia="en-AU"/>
        </w:rPr>
        <w:t>5</w:t>
      </w:r>
      <w:r w:rsidRPr="00D47E5B">
        <w:rPr>
          <w:rFonts w:ascii="Arial Narrow" w:eastAsia="Times New Roman" w:hAnsi="Arial Narrow" w:cs="Times New Roman"/>
          <w:b/>
          <w:bCs/>
          <w:spacing w:val="4"/>
          <w:sz w:val="20"/>
          <w:szCs w:val="18"/>
          <w:lang w:eastAsia="en-AU"/>
        </w:rPr>
        <w:t>b: Number of recipients — welfare payments (excluding Family Tax Benefit Part A and B)</w:t>
      </w:r>
    </w:p>
    <w:tbl>
      <w:tblPr>
        <w:tblStyle w:val="HHorizontaltable1"/>
        <w:tblW w:w="5165" w:type="pct"/>
        <w:tblLook w:val="04A0" w:firstRow="1" w:lastRow="0" w:firstColumn="1" w:lastColumn="0" w:noHBand="0" w:noVBand="1"/>
        <w:tblCaption w:val="Table 2.1.15b: Number of recipients - welfare payments (excluding Family Tax Benefit Part A and B)"/>
        <w:tblDescription w:val="Table 2.1.15b: Number of recipients - welfare payments (excluding Family Tax Benefit Part A and B)"/>
      </w:tblPr>
      <w:tblGrid>
        <w:gridCol w:w="5106"/>
        <w:gridCol w:w="1406"/>
        <w:gridCol w:w="1406"/>
        <w:gridCol w:w="1406"/>
      </w:tblGrid>
      <w:tr w:rsidR="001404F7" w:rsidRPr="00A74709" w14:paraId="5A4B035A" w14:textId="77777777" w:rsidTr="001404F7">
        <w:trPr>
          <w:cnfStyle w:val="100000000000" w:firstRow="1" w:lastRow="0" w:firstColumn="0" w:lastColumn="0" w:oddVBand="0" w:evenVBand="0" w:oddHBand="0" w:evenHBand="0" w:firstRowFirstColumn="0" w:firstRowLastColumn="0" w:lastRowFirstColumn="0" w:lastRowLastColumn="0"/>
          <w:trHeight w:val="317"/>
          <w:tblHeader/>
        </w:trPr>
        <w:tc>
          <w:tcPr>
            <w:tcW w:w="2738" w:type="pct"/>
            <w:hideMark/>
          </w:tcPr>
          <w:p w14:paraId="2BAE8B8F" w14:textId="77777777" w:rsidR="001404F7" w:rsidRPr="00D13460" w:rsidRDefault="001404F7" w:rsidP="001404F7">
            <w:pPr>
              <w:spacing w:before="40" w:after="40"/>
              <w:rPr>
                <w:rFonts w:eastAsia="Times New Roman"/>
                <w:sz w:val="20"/>
                <w:szCs w:val="20"/>
              </w:rPr>
            </w:pPr>
            <w:r w:rsidRPr="00D13460">
              <w:rPr>
                <w:rFonts w:eastAsia="Times New Roman"/>
                <w:sz w:val="20"/>
                <w:szCs w:val="20"/>
              </w:rPr>
              <w:t>Output performance measure</w:t>
            </w:r>
          </w:p>
        </w:tc>
        <w:tc>
          <w:tcPr>
            <w:tcW w:w="754" w:type="pct"/>
          </w:tcPr>
          <w:p w14:paraId="622CB148" w14:textId="77777777" w:rsidR="001404F7" w:rsidRPr="00D13460" w:rsidRDefault="001404F7" w:rsidP="001404F7">
            <w:pPr>
              <w:spacing w:before="40" w:after="40"/>
              <w:rPr>
                <w:rFonts w:eastAsia="Times New Roman"/>
                <w:sz w:val="20"/>
                <w:szCs w:val="20"/>
              </w:rPr>
            </w:pPr>
            <w:r w:rsidRPr="00D13460">
              <w:rPr>
                <w:rFonts w:eastAsia="Times New Roman"/>
                <w:sz w:val="20"/>
                <w:szCs w:val="20"/>
              </w:rPr>
              <w:t>2019–20</w:t>
            </w:r>
          </w:p>
        </w:tc>
        <w:tc>
          <w:tcPr>
            <w:tcW w:w="754" w:type="pct"/>
          </w:tcPr>
          <w:p w14:paraId="679A0A2B" w14:textId="77777777" w:rsidR="001404F7" w:rsidRPr="00D13460" w:rsidRDefault="001404F7" w:rsidP="001404F7">
            <w:pPr>
              <w:spacing w:before="40" w:after="40"/>
              <w:rPr>
                <w:rFonts w:eastAsia="Times New Roman"/>
                <w:sz w:val="20"/>
                <w:szCs w:val="20"/>
              </w:rPr>
            </w:pPr>
            <w:r w:rsidRPr="00D13460">
              <w:rPr>
                <w:rFonts w:eastAsia="Times New Roman"/>
                <w:sz w:val="20"/>
                <w:szCs w:val="20"/>
              </w:rPr>
              <w:t>2018–19</w:t>
            </w:r>
          </w:p>
        </w:tc>
        <w:tc>
          <w:tcPr>
            <w:tcW w:w="754" w:type="pct"/>
          </w:tcPr>
          <w:p w14:paraId="1B850CDC" w14:textId="77777777" w:rsidR="001404F7" w:rsidRPr="00D13460" w:rsidRDefault="001404F7" w:rsidP="001404F7">
            <w:pPr>
              <w:spacing w:before="40" w:after="40"/>
              <w:rPr>
                <w:rFonts w:eastAsia="Times New Roman"/>
                <w:sz w:val="20"/>
                <w:szCs w:val="20"/>
              </w:rPr>
            </w:pPr>
            <w:r w:rsidRPr="00D13460">
              <w:rPr>
                <w:rFonts w:eastAsia="Times New Roman"/>
                <w:sz w:val="20"/>
                <w:szCs w:val="20"/>
              </w:rPr>
              <w:t>2017–18</w:t>
            </w:r>
          </w:p>
        </w:tc>
      </w:tr>
      <w:tr w:rsidR="001404F7" w:rsidRPr="00821BBF" w14:paraId="5F7353DD"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4"/>
            <w:tcBorders>
              <w:bottom w:val="single" w:sz="12" w:space="0" w:color="00B0B9"/>
            </w:tcBorders>
          </w:tcPr>
          <w:p w14:paraId="0ACC6CB7" w14:textId="77777777" w:rsidR="001404F7" w:rsidRPr="00AB60A0" w:rsidRDefault="001404F7" w:rsidP="001404F7">
            <w:pPr>
              <w:tabs>
                <w:tab w:val="right" w:pos="1370"/>
              </w:tabs>
              <w:spacing w:before="40" w:after="40"/>
              <w:rPr>
                <w:rFonts w:eastAsia="Times New Roman"/>
                <w:b/>
                <w:color w:val="000000" w:themeColor="text1"/>
                <w:spacing w:val="4"/>
                <w:sz w:val="20"/>
                <w:szCs w:val="20"/>
                <w:lang w:val="en-GB"/>
              </w:rPr>
            </w:pPr>
            <w:r w:rsidRPr="00AB60A0">
              <w:rPr>
                <w:rFonts w:eastAsia="Times New Roman"/>
                <w:b/>
                <w:color w:val="000000" w:themeColor="text1"/>
                <w:sz w:val="20"/>
                <w:szCs w:val="20"/>
              </w:rPr>
              <w:t>Family Tax Benefit</w:t>
            </w:r>
          </w:p>
        </w:tc>
      </w:tr>
      <w:tr w:rsidR="001404F7" w:rsidRPr="00821BBF" w14:paraId="1D11C8EE" w14:textId="77777777" w:rsidTr="001404F7">
        <w:trPr>
          <w:cnfStyle w:val="000000010000" w:firstRow="0" w:lastRow="0" w:firstColumn="0" w:lastColumn="0" w:oddVBand="0" w:evenVBand="0" w:oddHBand="0" w:evenHBand="1" w:firstRowFirstColumn="0" w:firstRowLastColumn="0" w:lastRowFirstColumn="0" w:lastRowLastColumn="0"/>
        </w:trPr>
        <w:tc>
          <w:tcPr>
            <w:tcW w:w="2738" w:type="pct"/>
            <w:tcBorders>
              <w:top w:val="single" w:sz="12" w:space="0" w:color="00B0B9"/>
              <w:bottom w:val="single" w:sz="4" w:space="0" w:color="FFFFFF" w:themeColor="background1"/>
            </w:tcBorders>
          </w:tcPr>
          <w:p w14:paraId="666525A4"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Child Support Scheme (number of cases)</w:t>
            </w:r>
            <w:r w:rsidRPr="00821BBF">
              <w:rPr>
                <w:rFonts w:eastAsia="Times New Roman"/>
                <w:color w:val="000000" w:themeColor="text1"/>
                <w:spacing w:val="4"/>
                <w:sz w:val="20"/>
                <w:szCs w:val="20"/>
                <w:vertAlign w:val="superscript"/>
                <w:lang w:val="en-GB"/>
              </w:rPr>
              <w:t>a</w:t>
            </w:r>
          </w:p>
        </w:tc>
        <w:tc>
          <w:tcPr>
            <w:tcW w:w="754" w:type="pct"/>
            <w:tcBorders>
              <w:top w:val="single" w:sz="12" w:space="0" w:color="00B0B9"/>
              <w:bottom w:val="single" w:sz="4" w:space="0" w:color="FFFFFF" w:themeColor="background1"/>
            </w:tcBorders>
          </w:tcPr>
          <w:p w14:paraId="5161F50B" w14:textId="77777777" w:rsidR="001404F7" w:rsidRPr="00EE5B57" w:rsidRDefault="001404F7" w:rsidP="001404F7">
            <w:pPr>
              <w:spacing w:before="40" w:after="40"/>
              <w:jc w:val="right"/>
              <w:rPr>
                <w:rFonts w:eastAsia="Times New Roman"/>
                <w:spacing w:val="4"/>
                <w:sz w:val="20"/>
                <w:szCs w:val="20"/>
                <w:lang w:val="en-GB"/>
              </w:rPr>
            </w:pPr>
            <w:r w:rsidRPr="00EE5B57">
              <w:rPr>
                <w:rFonts w:eastAsia="Times New Roman"/>
                <w:spacing w:val="4"/>
                <w:sz w:val="20"/>
                <w:szCs w:val="20"/>
                <w:lang w:val="en-GB"/>
              </w:rPr>
              <w:t>759,931</w:t>
            </w:r>
          </w:p>
        </w:tc>
        <w:tc>
          <w:tcPr>
            <w:tcW w:w="754" w:type="pct"/>
            <w:tcBorders>
              <w:top w:val="single" w:sz="12" w:space="0" w:color="00B0B9"/>
              <w:bottom w:val="single" w:sz="4" w:space="0" w:color="FFFFFF" w:themeColor="background1"/>
            </w:tcBorders>
          </w:tcPr>
          <w:p w14:paraId="3602997D" w14:textId="77777777" w:rsidR="001404F7" w:rsidRPr="00821BBF" w:rsidRDefault="001404F7" w:rsidP="001404F7">
            <w:pPr>
              <w:tabs>
                <w:tab w:val="right" w:pos="1370"/>
              </w:tabs>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767,247</w:t>
            </w:r>
          </w:p>
        </w:tc>
        <w:tc>
          <w:tcPr>
            <w:tcW w:w="754" w:type="pct"/>
            <w:tcBorders>
              <w:top w:val="single" w:sz="12" w:space="0" w:color="00B0B9"/>
              <w:bottom w:val="single" w:sz="4" w:space="0" w:color="FFFFFF" w:themeColor="background1"/>
            </w:tcBorders>
          </w:tcPr>
          <w:p w14:paraId="1CC718DE" w14:textId="77777777" w:rsidR="001404F7" w:rsidRPr="00821BBF" w:rsidRDefault="001404F7" w:rsidP="001404F7">
            <w:pPr>
              <w:tabs>
                <w:tab w:val="right" w:pos="1370"/>
              </w:tabs>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777,884</w:t>
            </w:r>
          </w:p>
        </w:tc>
      </w:tr>
      <w:tr w:rsidR="001404F7" w:rsidRPr="00821BBF" w14:paraId="54AA5FCF"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4"/>
            <w:tcBorders>
              <w:top w:val="single" w:sz="4" w:space="0" w:color="FFFFFF" w:themeColor="background1"/>
              <w:bottom w:val="single" w:sz="12" w:space="0" w:color="00B0B9"/>
            </w:tcBorders>
            <w:hideMark/>
          </w:tcPr>
          <w:p w14:paraId="4E56027D"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b/>
                <w:color w:val="000000" w:themeColor="text1"/>
                <w:spacing w:val="4"/>
                <w:sz w:val="20"/>
                <w:szCs w:val="20"/>
                <w:lang w:val="en-GB"/>
              </w:rPr>
              <w:t>Child Payments</w:t>
            </w:r>
          </w:p>
        </w:tc>
      </w:tr>
      <w:tr w:rsidR="001404F7" w:rsidRPr="00821BBF" w14:paraId="6F021593" w14:textId="77777777" w:rsidTr="001404F7">
        <w:trPr>
          <w:cnfStyle w:val="000000010000" w:firstRow="0" w:lastRow="0" w:firstColumn="0" w:lastColumn="0" w:oddVBand="0" w:evenVBand="0" w:oddHBand="0" w:evenHBand="1" w:firstRowFirstColumn="0" w:firstRowLastColumn="0" w:lastRowFirstColumn="0" w:lastRowLastColumn="0"/>
        </w:trPr>
        <w:tc>
          <w:tcPr>
            <w:tcW w:w="2738" w:type="pct"/>
            <w:tcBorders>
              <w:top w:val="single" w:sz="12" w:space="0" w:color="00B0B9"/>
              <w:bottom w:val="single" w:sz="4" w:space="0" w:color="FFFFFF" w:themeColor="background1"/>
            </w:tcBorders>
            <w:hideMark/>
          </w:tcPr>
          <w:p w14:paraId="272A5F58"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olor w:val="000000" w:themeColor="text1"/>
                <w:spacing w:val="4"/>
                <w:sz w:val="20"/>
                <w:szCs w:val="20"/>
                <w:lang w:val="en-GB"/>
              </w:rPr>
              <w:t>Double Orphan Pension</w:t>
            </w:r>
          </w:p>
        </w:tc>
        <w:tc>
          <w:tcPr>
            <w:tcW w:w="754" w:type="pct"/>
            <w:tcBorders>
              <w:top w:val="single" w:sz="12" w:space="0" w:color="00B0B9"/>
              <w:bottom w:val="single" w:sz="4" w:space="0" w:color="FFFFFF" w:themeColor="background1"/>
            </w:tcBorders>
            <w:hideMark/>
          </w:tcPr>
          <w:p w14:paraId="1F986FF6" w14:textId="77777777" w:rsidR="001404F7" w:rsidRPr="00EB71A8" w:rsidRDefault="001404F7" w:rsidP="001404F7">
            <w:pPr>
              <w:spacing w:before="40" w:after="40"/>
              <w:jc w:val="right"/>
              <w:rPr>
                <w:rFonts w:eastAsia="Times New Roman"/>
                <w:spacing w:val="4"/>
                <w:sz w:val="20"/>
                <w:szCs w:val="20"/>
                <w:lang w:val="en-GB"/>
              </w:rPr>
            </w:pPr>
            <w:r w:rsidRPr="00EB71A8">
              <w:rPr>
                <w:sz w:val="20"/>
                <w:szCs w:val="20"/>
              </w:rPr>
              <w:t>906</w:t>
            </w:r>
          </w:p>
        </w:tc>
        <w:tc>
          <w:tcPr>
            <w:tcW w:w="754" w:type="pct"/>
            <w:tcBorders>
              <w:top w:val="single" w:sz="12" w:space="0" w:color="00B0B9"/>
              <w:bottom w:val="single" w:sz="4" w:space="0" w:color="FFFFFF" w:themeColor="background1"/>
            </w:tcBorders>
            <w:hideMark/>
          </w:tcPr>
          <w:p w14:paraId="360C04AA" w14:textId="77777777" w:rsidR="001404F7" w:rsidRPr="00EB71A8" w:rsidRDefault="001404F7" w:rsidP="001404F7">
            <w:pPr>
              <w:spacing w:before="40" w:after="40"/>
              <w:jc w:val="right"/>
              <w:rPr>
                <w:rFonts w:eastAsia="Times New Roman"/>
                <w:color w:val="000000" w:themeColor="text1"/>
                <w:spacing w:val="4"/>
                <w:sz w:val="20"/>
                <w:szCs w:val="20"/>
                <w:lang w:val="en-GB"/>
              </w:rPr>
            </w:pPr>
            <w:r w:rsidRPr="00EB71A8">
              <w:rPr>
                <w:rFonts w:eastAsia="Times New Roman"/>
                <w:color w:val="000000" w:themeColor="text1"/>
                <w:spacing w:val="4"/>
                <w:sz w:val="20"/>
                <w:szCs w:val="20"/>
                <w:lang w:val="en-GB"/>
              </w:rPr>
              <w:t>972</w:t>
            </w:r>
          </w:p>
        </w:tc>
        <w:tc>
          <w:tcPr>
            <w:tcW w:w="754" w:type="pct"/>
            <w:tcBorders>
              <w:top w:val="single" w:sz="12" w:space="0" w:color="00B0B9"/>
              <w:bottom w:val="single" w:sz="4" w:space="0" w:color="FFFFFF" w:themeColor="background1"/>
            </w:tcBorders>
            <w:hideMark/>
          </w:tcPr>
          <w:p w14:paraId="061BAE80" w14:textId="77777777" w:rsidR="001404F7" w:rsidRPr="00EB71A8" w:rsidRDefault="001404F7" w:rsidP="001404F7">
            <w:pPr>
              <w:spacing w:before="40" w:after="40"/>
              <w:jc w:val="right"/>
              <w:rPr>
                <w:rFonts w:eastAsia="Times New Roman"/>
                <w:color w:val="000000" w:themeColor="text1"/>
                <w:spacing w:val="4"/>
                <w:sz w:val="20"/>
                <w:szCs w:val="20"/>
                <w:lang w:val="en-GB"/>
              </w:rPr>
            </w:pPr>
            <w:r w:rsidRPr="00EB71A8">
              <w:rPr>
                <w:rFonts w:eastAsia="Times New Roman"/>
                <w:color w:val="000000" w:themeColor="text1"/>
                <w:spacing w:val="4"/>
                <w:sz w:val="20"/>
                <w:szCs w:val="20"/>
                <w:lang w:val="en-GB"/>
              </w:rPr>
              <w:t>1,036</w:t>
            </w:r>
          </w:p>
        </w:tc>
      </w:tr>
      <w:tr w:rsidR="001404F7" w:rsidRPr="00821BBF" w14:paraId="6BA402D9" w14:textId="77777777" w:rsidTr="001404F7">
        <w:trPr>
          <w:cnfStyle w:val="000000100000" w:firstRow="0" w:lastRow="0" w:firstColumn="0" w:lastColumn="0" w:oddVBand="0" w:evenVBand="0" w:oddHBand="1" w:evenHBand="0" w:firstRowFirstColumn="0" w:firstRowLastColumn="0" w:lastRowFirstColumn="0" w:lastRowLastColumn="0"/>
        </w:trPr>
        <w:tc>
          <w:tcPr>
            <w:tcW w:w="2738" w:type="pct"/>
            <w:tcBorders>
              <w:top w:val="single" w:sz="4" w:space="0" w:color="FFFFFF" w:themeColor="background1"/>
            </w:tcBorders>
            <w:hideMark/>
          </w:tcPr>
          <w:p w14:paraId="3E02A7A2"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 xml:space="preserve">Single Income Family </w:t>
            </w:r>
            <w:proofErr w:type="spellStart"/>
            <w:r w:rsidRPr="00821BBF">
              <w:rPr>
                <w:rFonts w:eastAsia="Times New Roman"/>
                <w:color w:val="000000" w:themeColor="text1"/>
                <w:spacing w:val="4"/>
                <w:sz w:val="20"/>
                <w:szCs w:val="20"/>
                <w:lang w:val="en-GB"/>
              </w:rPr>
              <w:t>Supplement</w:t>
            </w:r>
            <w:r w:rsidRPr="00821BBF">
              <w:rPr>
                <w:rFonts w:eastAsia="Times New Roman"/>
                <w:color w:val="000000" w:themeColor="text1"/>
                <w:spacing w:val="4"/>
                <w:sz w:val="20"/>
                <w:szCs w:val="20"/>
                <w:vertAlign w:val="superscript"/>
                <w:lang w:val="en-GB"/>
              </w:rPr>
              <w:t>b</w:t>
            </w:r>
            <w:proofErr w:type="spellEnd"/>
          </w:p>
        </w:tc>
        <w:tc>
          <w:tcPr>
            <w:tcW w:w="754" w:type="pct"/>
            <w:tcBorders>
              <w:top w:val="single" w:sz="4" w:space="0" w:color="FFFFFF" w:themeColor="background1"/>
            </w:tcBorders>
            <w:hideMark/>
          </w:tcPr>
          <w:p w14:paraId="06E5B5D1" w14:textId="0EE16FC8" w:rsidR="001404F7" w:rsidRPr="00EB71A8" w:rsidRDefault="00384B66">
            <w:pPr>
              <w:spacing w:before="40" w:after="40"/>
              <w:jc w:val="right"/>
              <w:rPr>
                <w:rFonts w:eastAsia="Times New Roman"/>
                <w:spacing w:val="4"/>
                <w:sz w:val="20"/>
                <w:szCs w:val="20"/>
                <w:lang w:val="en-GB"/>
              </w:rPr>
            </w:pPr>
            <w:r w:rsidRPr="00771C23">
              <w:rPr>
                <w:rFonts w:eastAsia="Times New Roman"/>
                <w:color w:val="000000" w:themeColor="text1"/>
                <w:spacing w:val="4"/>
                <w:sz w:val="20"/>
                <w:szCs w:val="20"/>
                <w:lang w:val="en-GB"/>
              </w:rPr>
              <w:t>–</w:t>
            </w:r>
            <w:r w:rsidR="001404F7" w:rsidRPr="00EB71A8">
              <w:rPr>
                <w:sz w:val="20"/>
                <w:szCs w:val="20"/>
                <w:vertAlign w:val="superscript"/>
              </w:rPr>
              <w:t>c</w:t>
            </w:r>
          </w:p>
        </w:tc>
        <w:tc>
          <w:tcPr>
            <w:tcW w:w="754" w:type="pct"/>
            <w:tcBorders>
              <w:top w:val="single" w:sz="4" w:space="0" w:color="FFFFFF" w:themeColor="background1"/>
            </w:tcBorders>
            <w:hideMark/>
          </w:tcPr>
          <w:p w14:paraId="357CBCBD" w14:textId="3ACBB799" w:rsidR="001404F7" w:rsidRPr="006A0E9A" w:rsidRDefault="002F6BEB">
            <w:pPr>
              <w:spacing w:before="40" w:after="40"/>
              <w:jc w:val="right"/>
              <w:rPr>
                <w:rFonts w:eastAsia="Times New Roman"/>
                <w:spacing w:val="4"/>
                <w:sz w:val="20"/>
                <w:szCs w:val="20"/>
                <w:lang w:val="en-GB"/>
              </w:rPr>
            </w:pPr>
            <w:r w:rsidRPr="006A0E9A">
              <w:rPr>
                <w:rFonts w:eastAsia="Times New Roman"/>
                <w:spacing w:val="4"/>
                <w:sz w:val="20"/>
                <w:szCs w:val="20"/>
                <w:lang w:val="en-GB"/>
              </w:rPr>
              <w:t>65,430</w:t>
            </w:r>
          </w:p>
        </w:tc>
        <w:tc>
          <w:tcPr>
            <w:tcW w:w="754" w:type="pct"/>
            <w:tcBorders>
              <w:top w:val="single" w:sz="4" w:space="0" w:color="FFFFFF" w:themeColor="background1"/>
            </w:tcBorders>
            <w:hideMark/>
          </w:tcPr>
          <w:p w14:paraId="0D615FC7" w14:textId="617A2679" w:rsidR="001404F7" w:rsidRPr="006A0E9A" w:rsidRDefault="001404F7">
            <w:pPr>
              <w:spacing w:before="40" w:after="40"/>
              <w:jc w:val="right"/>
              <w:rPr>
                <w:rFonts w:eastAsia="Times New Roman"/>
                <w:spacing w:val="4"/>
                <w:sz w:val="20"/>
                <w:szCs w:val="20"/>
                <w:lang w:val="en-GB"/>
              </w:rPr>
            </w:pPr>
            <w:r w:rsidRPr="006A0E9A">
              <w:rPr>
                <w:rFonts w:eastAsia="Times New Roman"/>
                <w:spacing w:val="4"/>
                <w:sz w:val="20"/>
                <w:szCs w:val="20"/>
                <w:lang w:val="en-GB"/>
              </w:rPr>
              <w:t>11</w:t>
            </w:r>
            <w:r w:rsidR="002F6BEB" w:rsidRPr="006A0E9A">
              <w:rPr>
                <w:rFonts w:eastAsia="Times New Roman"/>
                <w:spacing w:val="4"/>
                <w:sz w:val="20"/>
                <w:szCs w:val="20"/>
                <w:lang w:val="en-GB"/>
              </w:rPr>
              <w:t>6</w:t>
            </w:r>
            <w:r w:rsidRPr="006A0E9A">
              <w:rPr>
                <w:rFonts w:eastAsia="Times New Roman"/>
                <w:spacing w:val="4"/>
                <w:sz w:val="20"/>
                <w:szCs w:val="20"/>
                <w:lang w:val="en-GB"/>
              </w:rPr>
              <w:t>,</w:t>
            </w:r>
            <w:r w:rsidR="002F6BEB" w:rsidRPr="006A0E9A">
              <w:rPr>
                <w:rFonts w:eastAsia="Times New Roman"/>
                <w:spacing w:val="4"/>
                <w:sz w:val="20"/>
                <w:szCs w:val="20"/>
                <w:lang w:val="en-GB"/>
              </w:rPr>
              <w:t>031</w:t>
            </w:r>
            <w:r w:rsidRPr="006A0E9A">
              <w:rPr>
                <w:rFonts w:eastAsia="Times New Roman"/>
                <w:spacing w:val="4"/>
                <w:sz w:val="20"/>
                <w:szCs w:val="20"/>
                <w:vertAlign w:val="superscript"/>
                <w:lang w:val="en-GB"/>
              </w:rPr>
              <w:t>d</w:t>
            </w:r>
          </w:p>
        </w:tc>
      </w:tr>
      <w:tr w:rsidR="001404F7" w:rsidRPr="00821BBF" w14:paraId="214C69FB" w14:textId="77777777" w:rsidTr="001404F7">
        <w:trPr>
          <w:cnfStyle w:val="000000010000" w:firstRow="0" w:lastRow="0" w:firstColumn="0" w:lastColumn="0" w:oddVBand="0" w:evenVBand="0" w:oddHBand="0" w:evenHBand="1" w:firstRowFirstColumn="0" w:firstRowLastColumn="0" w:lastRowFirstColumn="0" w:lastRowLastColumn="0"/>
        </w:trPr>
        <w:tc>
          <w:tcPr>
            <w:tcW w:w="2738" w:type="pct"/>
            <w:hideMark/>
          </w:tcPr>
          <w:p w14:paraId="0E0E2975" w14:textId="77777777" w:rsidR="001404F7" w:rsidRPr="001467B3" w:rsidRDefault="001404F7" w:rsidP="001404F7">
            <w:pPr>
              <w:spacing w:before="40" w:after="40"/>
              <w:rPr>
                <w:rFonts w:eastAsia="Times New Roman" w:cs="Arial"/>
                <w:spacing w:val="4"/>
                <w:sz w:val="20"/>
                <w:szCs w:val="20"/>
                <w:lang w:val="en-GB"/>
              </w:rPr>
            </w:pPr>
            <w:r w:rsidRPr="001467B3">
              <w:rPr>
                <w:rFonts w:eastAsia="Times New Roman"/>
                <w:spacing w:val="4"/>
                <w:sz w:val="20"/>
                <w:szCs w:val="20"/>
                <w:lang w:val="en-GB"/>
              </w:rPr>
              <w:t>Stillborn Baby Payment</w:t>
            </w:r>
          </w:p>
        </w:tc>
        <w:tc>
          <w:tcPr>
            <w:tcW w:w="754" w:type="pct"/>
            <w:hideMark/>
          </w:tcPr>
          <w:p w14:paraId="50593343" w14:textId="77777777" w:rsidR="001404F7" w:rsidRPr="001467B3" w:rsidRDefault="001404F7" w:rsidP="001404F7">
            <w:pPr>
              <w:spacing w:before="40" w:after="40"/>
              <w:jc w:val="right"/>
              <w:rPr>
                <w:rFonts w:eastAsia="Times New Roman"/>
                <w:spacing w:val="4"/>
                <w:sz w:val="20"/>
                <w:szCs w:val="20"/>
                <w:lang w:val="en-GB"/>
              </w:rPr>
            </w:pPr>
            <w:r w:rsidRPr="001467B3">
              <w:rPr>
                <w:rFonts w:eastAsia="Times New Roman"/>
                <w:spacing w:val="4"/>
                <w:sz w:val="20"/>
                <w:szCs w:val="20"/>
                <w:lang w:val="en-GB"/>
              </w:rPr>
              <w:t>796</w:t>
            </w:r>
          </w:p>
        </w:tc>
        <w:tc>
          <w:tcPr>
            <w:tcW w:w="754" w:type="pct"/>
            <w:hideMark/>
          </w:tcPr>
          <w:p w14:paraId="09106F4E" w14:textId="77777777" w:rsidR="001404F7" w:rsidRPr="001467B3" w:rsidRDefault="001404F7" w:rsidP="001404F7">
            <w:pPr>
              <w:spacing w:before="40" w:after="40"/>
              <w:jc w:val="right"/>
              <w:rPr>
                <w:rFonts w:eastAsia="Times New Roman"/>
                <w:color w:val="000000" w:themeColor="text1"/>
                <w:spacing w:val="4"/>
                <w:sz w:val="20"/>
                <w:szCs w:val="20"/>
                <w:lang w:val="en-GB"/>
              </w:rPr>
            </w:pPr>
            <w:r w:rsidRPr="001467B3">
              <w:rPr>
                <w:rFonts w:eastAsia="Times New Roman"/>
                <w:color w:val="000000" w:themeColor="text1"/>
                <w:spacing w:val="4"/>
                <w:sz w:val="20"/>
                <w:szCs w:val="20"/>
                <w:lang w:val="en-GB"/>
              </w:rPr>
              <w:t>788</w:t>
            </w:r>
          </w:p>
        </w:tc>
        <w:tc>
          <w:tcPr>
            <w:tcW w:w="754" w:type="pct"/>
            <w:hideMark/>
          </w:tcPr>
          <w:p w14:paraId="568AAE45" w14:textId="77777777" w:rsidR="001404F7" w:rsidRPr="001467B3" w:rsidRDefault="001404F7" w:rsidP="001404F7">
            <w:pPr>
              <w:tabs>
                <w:tab w:val="left" w:pos="1020"/>
                <w:tab w:val="left" w:pos="1161"/>
              </w:tabs>
              <w:spacing w:before="40" w:after="40"/>
              <w:jc w:val="right"/>
              <w:rPr>
                <w:rFonts w:eastAsia="Times New Roman"/>
                <w:color w:val="000000" w:themeColor="text1"/>
                <w:spacing w:val="4"/>
                <w:sz w:val="20"/>
                <w:szCs w:val="20"/>
                <w:lang w:val="en-GB"/>
              </w:rPr>
            </w:pPr>
            <w:r w:rsidRPr="001467B3">
              <w:rPr>
                <w:rFonts w:eastAsia="Times New Roman"/>
                <w:color w:val="000000" w:themeColor="text1"/>
                <w:spacing w:val="4"/>
                <w:sz w:val="20"/>
                <w:szCs w:val="20"/>
                <w:lang w:val="en-GB"/>
              </w:rPr>
              <w:t>866</w:t>
            </w:r>
            <w:r w:rsidRPr="001467B3">
              <w:rPr>
                <w:rFonts w:eastAsia="Times New Roman"/>
                <w:color w:val="000000" w:themeColor="text1"/>
                <w:spacing w:val="4"/>
                <w:sz w:val="20"/>
                <w:szCs w:val="20"/>
                <w:vertAlign w:val="superscript"/>
                <w:lang w:val="en-GB"/>
              </w:rPr>
              <w:t>e</w:t>
            </w:r>
          </w:p>
        </w:tc>
      </w:tr>
      <w:tr w:rsidR="001404F7" w:rsidRPr="00821BBF" w14:paraId="3EBA50F3" w14:textId="77777777" w:rsidTr="001404F7">
        <w:trPr>
          <w:cnfStyle w:val="000000100000" w:firstRow="0" w:lastRow="0" w:firstColumn="0" w:lastColumn="0" w:oddVBand="0" w:evenVBand="0" w:oddHBand="1" w:evenHBand="0" w:firstRowFirstColumn="0" w:firstRowLastColumn="0" w:lastRowFirstColumn="0" w:lastRowLastColumn="0"/>
        </w:trPr>
        <w:tc>
          <w:tcPr>
            <w:tcW w:w="2738" w:type="pct"/>
            <w:hideMark/>
          </w:tcPr>
          <w:p w14:paraId="0B8A7EA7" w14:textId="77777777" w:rsidR="001404F7" w:rsidRPr="00EE5B57" w:rsidRDefault="001404F7" w:rsidP="001404F7">
            <w:pPr>
              <w:spacing w:before="40" w:after="40"/>
              <w:rPr>
                <w:rFonts w:eastAsia="Times New Roman"/>
                <w:spacing w:val="4"/>
                <w:sz w:val="20"/>
                <w:szCs w:val="20"/>
                <w:lang w:val="en-GB"/>
              </w:rPr>
            </w:pPr>
            <w:r w:rsidRPr="00EE5B57">
              <w:rPr>
                <w:rFonts w:eastAsia="Times New Roman"/>
                <w:spacing w:val="4"/>
                <w:sz w:val="20"/>
                <w:szCs w:val="20"/>
                <w:lang w:val="en-GB"/>
              </w:rPr>
              <w:t xml:space="preserve">Assistance for Isolated </w:t>
            </w:r>
            <w:proofErr w:type="spellStart"/>
            <w:r w:rsidRPr="00EE5B57">
              <w:rPr>
                <w:rFonts w:eastAsia="Times New Roman"/>
                <w:spacing w:val="4"/>
                <w:sz w:val="20"/>
                <w:szCs w:val="20"/>
                <w:lang w:val="en-GB"/>
              </w:rPr>
              <w:t>Children</w:t>
            </w:r>
            <w:r w:rsidRPr="00EE5B57">
              <w:rPr>
                <w:rFonts w:eastAsia="Times New Roman"/>
                <w:spacing w:val="4"/>
                <w:sz w:val="20"/>
                <w:szCs w:val="20"/>
                <w:vertAlign w:val="superscript"/>
                <w:lang w:val="en-GB"/>
              </w:rPr>
              <w:t>f</w:t>
            </w:r>
            <w:proofErr w:type="spellEnd"/>
          </w:p>
        </w:tc>
        <w:tc>
          <w:tcPr>
            <w:tcW w:w="754" w:type="pct"/>
            <w:hideMark/>
          </w:tcPr>
          <w:p w14:paraId="5B29968C" w14:textId="77777777" w:rsidR="001404F7" w:rsidRPr="00EB71A8" w:rsidRDefault="001404F7" w:rsidP="001404F7">
            <w:pPr>
              <w:spacing w:before="40" w:after="40"/>
              <w:jc w:val="right"/>
              <w:rPr>
                <w:rFonts w:eastAsia="Times New Roman"/>
                <w:spacing w:val="4"/>
                <w:sz w:val="20"/>
                <w:szCs w:val="20"/>
                <w:lang w:val="en-GB"/>
              </w:rPr>
            </w:pPr>
            <w:r w:rsidRPr="00EB71A8">
              <w:rPr>
                <w:rFonts w:eastAsia="Times New Roman"/>
                <w:spacing w:val="4"/>
                <w:sz w:val="20"/>
                <w:szCs w:val="20"/>
                <w:lang w:val="en-GB"/>
              </w:rPr>
              <w:t>12,353</w:t>
            </w:r>
          </w:p>
        </w:tc>
        <w:tc>
          <w:tcPr>
            <w:tcW w:w="754" w:type="pct"/>
            <w:hideMark/>
          </w:tcPr>
          <w:p w14:paraId="65815671" w14:textId="77777777" w:rsidR="001404F7" w:rsidRPr="00EB71A8" w:rsidRDefault="001404F7" w:rsidP="001404F7">
            <w:pPr>
              <w:spacing w:before="40" w:after="40"/>
              <w:jc w:val="right"/>
              <w:rPr>
                <w:rFonts w:eastAsia="Times New Roman"/>
                <w:color w:val="000000" w:themeColor="text1"/>
                <w:spacing w:val="4"/>
                <w:sz w:val="20"/>
                <w:szCs w:val="20"/>
                <w:lang w:val="en-GB"/>
              </w:rPr>
            </w:pPr>
            <w:r w:rsidRPr="00EB71A8">
              <w:rPr>
                <w:rFonts w:eastAsia="Times New Roman"/>
                <w:color w:val="000000" w:themeColor="text1"/>
                <w:spacing w:val="4"/>
                <w:sz w:val="20"/>
                <w:szCs w:val="20"/>
                <w:lang w:val="en-GB"/>
              </w:rPr>
              <w:t>11,524</w:t>
            </w:r>
          </w:p>
        </w:tc>
        <w:tc>
          <w:tcPr>
            <w:tcW w:w="754" w:type="pct"/>
            <w:hideMark/>
          </w:tcPr>
          <w:p w14:paraId="2DDE283C" w14:textId="77777777" w:rsidR="001404F7" w:rsidRPr="00EB71A8" w:rsidRDefault="001404F7" w:rsidP="001404F7">
            <w:pPr>
              <w:tabs>
                <w:tab w:val="left" w:pos="878"/>
              </w:tabs>
              <w:spacing w:before="40" w:after="40"/>
              <w:ind w:right="25"/>
              <w:jc w:val="right"/>
              <w:rPr>
                <w:rFonts w:eastAsia="Times New Roman"/>
                <w:color w:val="000000" w:themeColor="text1"/>
                <w:spacing w:val="4"/>
                <w:sz w:val="20"/>
                <w:szCs w:val="20"/>
                <w:lang w:val="en-GB"/>
              </w:rPr>
            </w:pPr>
            <w:r w:rsidRPr="00EB71A8">
              <w:rPr>
                <w:rFonts w:eastAsia="Times New Roman"/>
                <w:color w:val="000000" w:themeColor="text1"/>
                <w:spacing w:val="4"/>
                <w:sz w:val="20"/>
                <w:szCs w:val="20"/>
                <w:lang w:val="en-GB"/>
              </w:rPr>
              <w:t>11,330</w:t>
            </w:r>
          </w:p>
        </w:tc>
      </w:tr>
      <w:tr w:rsidR="001404F7" w:rsidRPr="00821BBF" w14:paraId="4A78E849" w14:textId="77777777" w:rsidTr="001404F7">
        <w:trPr>
          <w:cnfStyle w:val="000000010000" w:firstRow="0" w:lastRow="0" w:firstColumn="0" w:lastColumn="0" w:oddVBand="0" w:evenVBand="0" w:oddHBand="0" w:evenHBand="1" w:firstRowFirstColumn="0" w:firstRowLastColumn="0" w:lastRowFirstColumn="0" w:lastRowLastColumn="0"/>
          <w:trHeight w:val="317"/>
        </w:trPr>
        <w:tc>
          <w:tcPr>
            <w:tcW w:w="5000" w:type="pct"/>
            <w:gridSpan w:val="4"/>
            <w:tcBorders>
              <w:bottom w:val="single" w:sz="12" w:space="0" w:color="00B0B9"/>
            </w:tcBorders>
            <w:hideMark/>
          </w:tcPr>
          <w:p w14:paraId="0CC05B3D" w14:textId="77777777" w:rsidR="001404F7" w:rsidRPr="00821BBF" w:rsidRDefault="001404F7" w:rsidP="001404F7">
            <w:pPr>
              <w:spacing w:before="40" w:after="40"/>
              <w:rPr>
                <w:rFonts w:eastAsia="Times New Roman" w:cs="Arial"/>
                <w:b/>
                <w:color w:val="000000" w:themeColor="text1"/>
                <w:sz w:val="20"/>
                <w:szCs w:val="20"/>
              </w:rPr>
            </w:pPr>
            <w:r w:rsidRPr="00821BBF">
              <w:rPr>
                <w:rFonts w:eastAsia="Times New Roman"/>
                <w:b/>
                <w:color w:val="000000" w:themeColor="text1"/>
                <w:sz w:val="20"/>
                <w:szCs w:val="20"/>
              </w:rPr>
              <w:t>Income Support for Vulnerable People</w:t>
            </w:r>
          </w:p>
        </w:tc>
      </w:tr>
      <w:tr w:rsidR="001404F7" w:rsidRPr="00821BBF" w14:paraId="773CEDD8" w14:textId="77777777" w:rsidTr="001404F7">
        <w:trPr>
          <w:cnfStyle w:val="000000100000" w:firstRow="0" w:lastRow="0" w:firstColumn="0" w:lastColumn="0" w:oddVBand="0" w:evenVBand="0" w:oddHBand="1" w:evenHBand="0" w:firstRowFirstColumn="0" w:firstRowLastColumn="0" w:lastRowFirstColumn="0" w:lastRowLastColumn="0"/>
        </w:trPr>
        <w:tc>
          <w:tcPr>
            <w:tcW w:w="2738" w:type="pct"/>
            <w:tcBorders>
              <w:top w:val="single" w:sz="12" w:space="0" w:color="00B0B9"/>
              <w:bottom w:val="single" w:sz="4" w:space="0" w:color="FFFFFF" w:themeColor="background1"/>
            </w:tcBorders>
            <w:hideMark/>
          </w:tcPr>
          <w:p w14:paraId="1B740A0B"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Special Benefit</w:t>
            </w:r>
          </w:p>
        </w:tc>
        <w:tc>
          <w:tcPr>
            <w:tcW w:w="754" w:type="pct"/>
            <w:tcBorders>
              <w:top w:val="single" w:sz="12" w:space="0" w:color="00B0B9"/>
              <w:bottom w:val="single" w:sz="4" w:space="0" w:color="FFFFFF" w:themeColor="background1"/>
            </w:tcBorders>
            <w:hideMark/>
          </w:tcPr>
          <w:p w14:paraId="4DB21373" w14:textId="77777777" w:rsidR="001404F7" w:rsidRPr="00821BBF" w:rsidRDefault="001404F7" w:rsidP="001404F7">
            <w:pPr>
              <w:tabs>
                <w:tab w:val="right" w:pos="1370"/>
              </w:tabs>
              <w:spacing w:before="40" w:after="40"/>
              <w:jc w:val="right"/>
              <w:rPr>
                <w:rFonts w:eastAsia="Times New Roman"/>
                <w:color w:val="000000" w:themeColor="text1"/>
                <w:spacing w:val="4"/>
                <w:sz w:val="20"/>
                <w:szCs w:val="20"/>
                <w:lang w:val="en-GB"/>
              </w:rPr>
            </w:pPr>
            <w:r w:rsidRPr="00EE5B57">
              <w:rPr>
                <w:rFonts w:eastAsia="Times New Roman"/>
                <w:spacing w:val="4"/>
                <w:sz w:val="20"/>
                <w:szCs w:val="20"/>
                <w:lang w:val="en-GB"/>
              </w:rPr>
              <w:t>9,638</w:t>
            </w:r>
          </w:p>
        </w:tc>
        <w:tc>
          <w:tcPr>
            <w:tcW w:w="754" w:type="pct"/>
            <w:tcBorders>
              <w:top w:val="single" w:sz="12" w:space="0" w:color="00B0B9"/>
              <w:bottom w:val="single" w:sz="4" w:space="0" w:color="FFFFFF" w:themeColor="background1"/>
            </w:tcBorders>
            <w:hideMark/>
          </w:tcPr>
          <w:p w14:paraId="43A0F93F" w14:textId="77777777" w:rsidR="001404F7" w:rsidRPr="00821BBF" w:rsidRDefault="001404F7" w:rsidP="001404F7">
            <w:pPr>
              <w:tabs>
                <w:tab w:val="right" w:pos="1370"/>
              </w:tabs>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7,135</w:t>
            </w:r>
          </w:p>
        </w:tc>
        <w:tc>
          <w:tcPr>
            <w:tcW w:w="754" w:type="pct"/>
            <w:tcBorders>
              <w:top w:val="single" w:sz="12" w:space="0" w:color="00B0B9"/>
              <w:bottom w:val="single" w:sz="4" w:space="0" w:color="FFFFFF" w:themeColor="background1"/>
            </w:tcBorders>
            <w:hideMark/>
          </w:tcPr>
          <w:p w14:paraId="1186B0E5"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6,823</w:t>
            </w:r>
          </w:p>
        </w:tc>
      </w:tr>
      <w:tr w:rsidR="001404F7" w:rsidRPr="00821BBF" w14:paraId="24E0422A" w14:textId="77777777" w:rsidTr="001404F7">
        <w:trPr>
          <w:cnfStyle w:val="000000010000" w:firstRow="0" w:lastRow="0" w:firstColumn="0" w:lastColumn="0" w:oddVBand="0" w:evenVBand="0" w:oddHBand="0" w:evenHBand="1" w:firstRowFirstColumn="0" w:firstRowLastColumn="0" w:lastRowFirstColumn="0" w:lastRowLastColumn="0"/>
          <w:trHeight w:val="317"/>
        </w:trPr>
        <w:tc>
          <w:tcPr>
            <w:tcW w:w="5000" w:type="pct"/>
            <w:gridSpan w:val="4"/>
            <w:tcBorders>
              <w:top w:val="single" w:sz="4" w:space="0" w:color="FFFFFF" w:themeColor="background1"/>
              <w:bottom w:val="single" w:sz="12" w:space="0" w:color="00B0B9"/>
            </w:tcBorders>
            <w:hideMark/>
          </w:tcPr>
          <w:p w14:paraId="777D818F" w14:textId="77777777" w:rsidR="001404F7" w:rsidRPr="00821BBF" w:rsidRDefault="001404F7" w:rsidP="001404F7">
            <w:pPr>
              <w:spacing w:before="40" w:after="40"/>
              <w:rPr>
                <w:rFonts w:eastAsia="Times New Roman" w:cs="Arial"/>
                <w:b/>
                <w:color w:val="000000" w:themeColor="text1"/>
                <w:sz w:val="20"/>
                <w:szCs w:val="20"/>
              </w:rPr>
            </w:pPr>
            <w:r w:rsidRPr="00821BBF">
              <w:rPr>
                <w:rFonts w:eastAsia="Times New Roman"/>
                <w:b/>
                <w:color w:val="000000" w:themeColor="text1"/>
                <w:sz w:val="20"/>
                <w:szCs w:val="20"/>
              </w:rPr>
              <w:t>Income Support for People in Special Circumstances</w:t>
            </w:r>
          </w:p>
        </w:tc>
      </w:tr>
      <w:tr w:rsidR="001404F7" w:rsidRPr="00821BBF" w14:paraId="4A65A6B5" w14:textId="77777777" w:rsidTr="001404F7">
        <w:trPr>
          <w:cnfStyle w:val="000000100000" w:firstRow="0" w:lastRow="0" w:firstColumn="0" w:lastColumn="0" w:oddVBand="0" w:evenVBand="0" w:oddHBand="1" w:evenHBand="0" w:firstRowFirstColumn="0" w:firstRowLastColumn="0" w:lastRowFirstColumn="0" w:lastRowLastColumn="0"/>
          <w:trHeight w:val="153"/>
        </w:trPr>
        <w:tc>
          <w:tcPr>
            <w:tcW w:w="2738" w:type="pct"/>
            <w:tcBorders>
              <w:top w:val="single" w:sz="12" w:space="0" w:color="00B0B9"/>
              <w:bottom w:val="single" w:sz="4" w:space="0" w:color="FFFFFF" w:themeColor="background1"/>
            </w:tcBorders>
            <w:hideMark/>
          </w:tcPr>
          <w:p w14:paraId="4A56F86F"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 xml:space="preserve">Bereavement </w:t>
            </w:r>
            <w:proofErr w:type="spellStart"/>
            <w:r w:rsidRPr="00821BBF">
              <w:rPr>
                <w:rFonts w:eastAsia="Times New Roman"/>
                <w:color w:val="000000" w:themeColor="text1"/>
                <w:spacing w:val="4"/>
                <w:sz w:val="20"/>
                <w:szCs w:val="20"/>
                <w:lang w:val="en-GB"/>
              </w:rPr>
              <w:t>Allowance</w:t>
            </w:r>
            <w:r w:rsidRPr="00821BBF">
              <w:rPr>
                <w:rFonts w:eastAsia="Times New Roman"/>
                <w:color w:val="000000" w:themeColor="text1"/>
                <w:spacing w:val="4"/>
                <w:sz w:val="20"/>
                <w:szCs w:val="20"/>
                <w:vertAlign w:val="superscript"/>
                <w:lang w:val="en-GB"/>
              </w:rPr>
              <w:t>g</w:t>
            </w:r>
            <w:proofErr w:type="spellEnd"/>
          </w:p>
        </w:tc>
        <w:tc>
          <w:tcPr>
            <w:tcW w:w="754" w:type="pct"/>
            <w:tcBorders>
              <w:top w:val="single" w:sz="12" w:space="0" w:color="00B0B9"/>
              <w:bottom w:val="single" w:sz="4" w:space="0" w:color="FFFFFF" w:themeColor="background1"/>
            </w:tcBorders>
            <w:hideMark/>
          </w:tcPr>
          <w:p w14:paraId="0585967D" w14:textId="77777777" w:rsidR="001404F7" w:rsidRPr="00821BBF" w:rsidRDefault="001404F7" w:rsidP="001404F7">
            <w:pPr>
              <w:spacing w:before="40" w:after="40"/>
              <w:jc w:val="right"/>
              <w:rPr>
                <w:rFonts w:eastAsia="Times New Roman"/>
                <w:color w:val="000000" w:themeColor="text1"/>
                <w:spacing w:val="4"/>
                <w:sz w:val="20"/>
                <w:szCs w:val="20"/>
                <w:highlight w:val="yellow"/>
                <w:lang w:val="en-GB"/>
              </w:rPr>
            </w:pPr>
            <w:r w:rsidRPr="00EE5B57">
              <w:rPr>
                <w:rFonts w:eastAsia="Times New Roman"/>
                <w:spacing w:val="4"/>
                <w:sz w:val="20"/>
                <w:szCs w:val="20"/>
                <w:lang w:val="en-GB"/>
              </w:rPr>
              <w:t>641</w:t>
            </w:r>
          </w:p>
        </w:tc>
        <w:tc>
          <w:tcPr>
            <w:tcW w:w="754" w:type="pct"/>
            <w:tcBorders>
              <w:top w:val="single" w:sz="12" w:space="0" w:color="00B0B9"/>
              <w:bottom w:val="single" w:sz="4" w:space="0" w:color="FFFFFF" w:themeColor="background1"/>
            </w:tcBorders>
            <w:hideMark/>
          </w:tcPr>
          <w:p w14:paraId="70EAFCEB" w14:textId="77777777" w:rsidR="001404F7" w:rsidRPr="00821BBF" w:rsidRDefault="001404F7" w:rsidP="001404F7">
            <w:pPr>
              <w:spacing w:before="40" w:after="40"/>
              <w:jc w:val="right"/>
              <w:rPr>
                <w:rFonts w:eastAsia="Times New Roman"/>
                <w:color w:val="000000" w:themeColor="text1"/>
                <w:spacing w:val="4"/>
                <w:sz w:val="20"/>
                <w:szCs w:val="20"/>
                <w:highlight w:val="yellow"/>
                <w:lang w:val="en-GB"/>
              </w:rPr>
            </w:pPr>
            <w:r w:rsidRPr="00821BBF">
              <w:rPr>
                <w:rFonts w:eastAsia="Times New Roman"/>
                <w:color w:val="000000" w:themeColor="text1"/>
                <w:spacing w:val="4"/>
                <w:sz w:val="20"/>
                <w:szCs w:val="20"/>
                <w:lang w:val="en-GB"/>
              </w:rPr>
              <w:t>742</w:t>
            </w:r>
          </w:p>
        </w:tc>
        <w:tc>
          <w:tcPr>
            <w:tcW w:w="754" w:type="pct"/>
            <w:tcBorders>
              <w:top w:val="single" w:sz="12" w:space="0" w:color="00B0B9"/>
              <w:bottom w:val="single" w:sz="4" w:space="0" w:color="FFFFFF" w:themeColor="background1"/>
            </w:tcBorders>
            <w:hideMark/>
          </w:tcPr>
          <w:p w14:paraId="01F5B677"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872</w:t>
            </w:r>
          </w:p>
        </w:tc>
      </w:tr>
      <w:tr w:rsidR="001404F7" w:rsidRPr="00821BBF" w14:paraId="1C6E64D3" w14:textId="77777777" w:rsidTr="001404F7">
        <w:trPr>
          <w:cnfStyle w:val="000000010000" w:firstRow="0" w:lastRow="0" w:firstColumn="0" w:lastColumn="0" w:oddVBand="0" w:evenVBand="0" w:oddHBand="0" w:evenHBand="1" w:firstRowFirstColumn="0" w:firstRowLastColumn="0" w:lastRowFirstColumn="0" w:lastRowLastColumn="0"/>
        </w:trPr>
        <w:tc>
          <w:tcPr>
            <w:tcW w:w="2738" w:type="pct"/>
            <w:tcBorders>
              <w:top w:val="single" w:sz="4" w:space="0" w:color="FFFFFF" w:themeColor="background1"/>
            </w:tcBorders>
            <w:hideMark/>
          </w:tcPr>
          <w:p w14:paraId="38B93F6E"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olor w:val="000000" w:themeColor="text1"/>
                <w:spacing w:val="4"/>
                <w:sz w:val="20"/>
                <w:szCs w:val="20"/>
                <w:lang w:val="en-GB"/>
              </w:rPr>
              <w:t xml:space="preserve">Payments under Special </w:t>
            </w:r>
            <w:proofErr w:type="spellStart"/>
            <w:r w:rsidRPr="00821BBF">
              <w:rPr>
                <w:rFonts w:eastAsia="Times New Roman"/>
                <w:color w:val="000000" w:themeColor="text1"/>
                <w:spacing w:val="4"/>
                <w:sz w:val="20"/>
                <w:szCs w:val="20"/>
                <w:lang w:val="en-GB"/>
              </w:rPr>
              <w:t>Circumstances</w:t>
            </w:r>
            <w:r w:rsidRPr="00821BBF">
              <w:rPr>
                <w:rFonts w:eastAsia="Times New Roman"/>
                <w:color w:val="000000" w:themeColor="text1"/>
                <w:spacing w:val="4"/>
                <w:sz w:val="20"/>
                <w:szCs w:val="20"/>
                <w:vertAlign w:val="superscript"/>
                <w:lang w:val="en-GB"/>
              </w:rPr>
              <w:t>h</w:t>
            </w:r>
            <w:proofErr w:type="spellEnd"/>
          </w:p>
        </w:tc>
        <w:tc>
          <w:tcPr>
            <w:tcW w:w="754" w:type="pct"/>
            <w:tcBorders>
              <w:top w:val="single" w:sz="4" w:space="0" w:color="FFFFFF" w:themeColor="background1"/>
            </w:tcBorders>
            <w:hideMark/>
          </w:tcPr>
          <w:p w14:paraId="35C328FE" w14:textId="77777777" w:rsidR="001404F7" w:rsidRPr="00821BBF" w:rsidRDefault="001404F7" w:rsidP="001404F7">
            <w:pPr>
              <w:spacing w:before="40" w:after="40"/>
              <w:jc w:val="right"/>
              <w:rPr>
                <w:rFonts w:eastAsia="Times New Roman"/>
                <w:color w:val="000000" w:themeColor="text1"/>
                <w:spacing w:val="4"/>
                <w:sz w:val="20"/>
                <w:szCs w:val="20"/>
                <w:highlight w:val="yellow"/>
                <w:lang w:val="en-GB"/>
              </w:rPr>
            </w:pPr>
            <w:r w:rsidRPr="009F67CA">
              <w:rPr>
                <w:rFonts w:eastAsia="Times New Roman"/>
                <w:color w:val="000000" w:themeColor="text1"/>
                <w:spacing w:val="4"/>
                <w:sz w:val="20"/>
                <w:szCs w:val="20"/>
                <w:lang w:val="en-GB"/>
              </w:rPr>
              <w:t>35</w:t>
            </w:r>
          </w:p>
        </w:tc>
        <w:tc>
          <w:tcPr>
            <w:tcW w:w="754" w:type="pct"/>
            <w:tcBorders>
              <w:top w:val="single" w:sz="4" w:space="0" w:color="FFFFFF" w:themeColor="background1"/>
            </w:tcBorders>
            <w:hideMark/>
          </w:tcPr>
          <w:p w14:paraId="1B085D6F" w14:textId="77777777" w:rsidR="001404F7" w:rsidRPr="00821BBF" w:rsidRDefault="001404F7" w:rsidP="001404F7">
            <w:pPr>
              <w:spacing w:before="40" w:after="40"/>
              <w:jc w:val="right"/>
              <w:rPr>
                <w:rFonts w:eastAsia="Times New Roman"/>
                <w:color w:val="000000" w:themeColor="text1"/>
                <w:spacing w:val="4"/>
                <w:sz w:val="20"/>
                <w:szCs w:val="20"/>
                <w:highlight w:val="yellow"/>
                <w:lang w:val="en-GB"/>
              </w:rPr>
            </w:pPr>
            <w:r w:rsidRPr="00821BBF">
              <w:rPr>
                <w:rFonts w:eastAsia="Times New Roman"/>
                <w:color w:val="000000" w:themeColor="text1"/>
                <w:spacing w:val="4"/>
                <w:sz w:val="20"/>
                <w:szCs w:val="20"/>
                <w:lang w:val="en-GB"/>
              </w:rPr>
              <w:t>39</w:t>
            </w:r>
          </w:p>
        </w:tc>
        <w:tc>
          <w:tcPr>
            <w:tcW w:w="754" w:type="pct"/>
            <w:tcBorders>
              <w:top w:val="single" w:sz="4" w:space="0" w:color="FFFFFF" w:themeColor="background1"/>
            </w:tcBorders>
            <w:hideMark/>
          </w:tcPr>
          <w:p w14:paraId="2AF537E7"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36</w:t>
            </w:r>
          </w:p>
        </w:tc>
      </w:tr>
      <w:tr w:rsidR="001404F7" w:rsidRPr="00821BBF" w14:paraId="7CDAF187"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bottom w:val="single" w:sz="12" w:space="0" w:color="00B0B9"/>
            </w:tcBorders>
            <w:hideMark/>
          </w:tcPr>
          <w:p w14:paraId="521EA634" w14:textId="77777777" w:rsidR="001404F7" w:rsidRPr="00821BBF" w:rsidRDefault="001404F7" w:rsidP="001404F7">
            <w:pPr>
              <w:spacing w:before="40" w:after="40"/>
              <w:rPr>
                <w:rFonts w:eastAsia="Times New Roman"/>
                <w:b/>
                <w:color w:val="000000" w:themeColor="text1"/>
                <w:sz w:val="20"/>
                <w:szCs w:val="20"/>
              </w:rPr>
            </w:pPr>
            <w:r w:rsidRPr="00821BBF">
              <w:rPr>
                <w:rFonts w:eastAsia="Times New Roman"/>
                <w:b/>
                <w:color w:val="000000" w:themeColor="text1"/>
                <w:sz w:val="20"/>
                <w:szCs w:val="20"/>
              </w:rPr>
              <w:t>Supplementary Payments and Support for Income Support Recipients</w:t>
            </w:r>
          </w:p>
        </w:tc>
      </w:tr>
      <w:tr w:rsidR="001404F7" w:rsidRPr="00821BBF" w14:paraId="22E4DC12" w14:textId="77777777" w:rsidTr="001404F7">
        <w:trPr>
          <w:cnfStyle w:val="000000010000" w:firstRow="0" w:lastRow="0" w:firstColumn="0" w:lastColumn="0" w:oddVBand="0" w:evenVBand="0" w:oddHBand="0" w:evenHBand="1" w:firstRowFirstColumn="0" w:firstRowLastColumn="0" w:lastRowFirstColumn="0" w:lastRowLastColumn="0"/>
        </w:trPr>
        <w:tc>
          <w:tcPr>
            <w:tcW w:w="2738" w:type="pct"/>
            <w:tcBorders>
              <w:top w:val="single" w:sz="12" w:space="0" w:color="00B0B9"/>
              <w:bottom w:val="single" w:sz="4" w:space="0" w:color="FFFFFF" w:themeColor="background1"/>
            </w:tcBorders>
            <w:hideMark/>
          </w:tcPr>
          <w:p w14:paraId="7670C3AC"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olor w:val="000000" w:themeColor="text1"/>
                <w:spacing w:val="4"/>
                <w:sz w:val="20"/>
                <w:szCs w:val="20"/>
                <w:lang w:val="en-GB"/>
              </w:rPr>
              <w:t>Utilities Allowance</w:t>
            </w:r>
          </w:p>
        </w:tc>
        <w:tc>
          <w:tcPr>
            <w:tcW w:w="754" w:type="pct"/>
            <w:tcBorders>
              <w:top w:val="single" w:sz="12" w:space="0" w:color="00B0B9"/>
              <w:bottom w:val="single" w:sz="4" w:space="0" w:color="FFFFFF" w:themeColor="background1"/>
            </w:tcBorders>
            <w:hideMark/>
          </w:tcPr>
          <w:p w14:paraId="5F0F9299" w14:textId="77777777" w:rsidR="001404F7" w:rsidRPr="00EE5B57" w:rsidRDefault="001404F7" w:rsidP="001404F7">
            <w:pPr>
              <w:spacing w:before="40" w:after="40"/>
              <w:jc w:val="right"/>
              <w:rPr>
                <w:rFonts w:eastAsia="Times New Roman"/>
                <w:spacing w:val="4"/>
                <w:sz w:val="20"/>
                <w:szCs w:val="20"/>
                <w:lang w:val="en-GB"/>
              </w:rPr>
            </w:pPr>
            <w:r w:rsidRPr="00EE5B57">
              <w:rPr>
                <w:rFonts w:eastAsia="Times New Roman"/>
                <w:spacing w:val="4"/>
                <w:sz w:val="20"/>
                <w:szCs w:val="20"/>
                <w:lang w:val="en-GB"/>
              </w:rPr>
              <w:t>32,985</w:t>
            </w:r>
          </w:p>
        </w:tc>
        <w:tc>
          <w:tcPr>
            <w:tcW w:w="754" w:type="pct"/>
            <w:tcBorders>
              <w:top w:val="single" w:sz="12" w:space="0" w:color="00B0B9"/>
              <w:bottom w:val="single" w:sz="4" w:space="0" w:color="FFFFFF" w:themeColor="background1"/>
            </w:tcBorders>
            <w:hideMark/>
          </w:tcPr>
          <w:p w14:paraId="7377CDD2"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36,593</w:t>
            </w:r>
          </w:p>
        </w:tc>
        <w:tc>
          <w:tcPr>
            <w:tcW w:w="754" w:type="pct"/>
            <w:tcBorders>
              <w:top w:val="single" w:sz="12" w:space="0" w:color="00B0B9"/>
              <w:bottom w:val="single" w:sz="4" w:space="0" w:color="FFFFFF" w:themeColor="background1"/>
            </w:tcBorders>
            <w:hideMark/>
          </w:tcPr>
          <w:p w14:paraId="561FF41D"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40,753</w:t>
            </w:r>
          </w:p>
        </w:tc>
      </w:tr>
      <w:tr w:rsidR="001404F7" w:rsidRPr="00821BBF" w14:paraId="4C40C8D8" w14:textId="77777777" w:rsidTr="001404F7">
        <w:trPr>
          <w:cnfStyle w:val="000000100000" w:firstRow="0" w:lastRow="0" w:firstColumn="0" w:lastColumn="0" w:oddVBand="0" w:evenVBand="0" w:oddHBand="1" w:evenHBand="0" w:firstRowFirstColumn="0" w:firstRowLastColumn="0" w:lastRowFirstColumn="0" w:lastRowLastColumn="0"/>
        </w:trPr>
        <w:tc>
          <w:tcPr>
            <w:tcW w:w="2738" w:type="pct"/>
            <w:tcBorders>
              <w:top w:val="single" w:sz="4" w:space="0" w:color="FFFFFF" w:themeColor="background1"/>
            </w:tcBorders>
            <w:hideMark/>
          </w:tcPr>
          <w:p w14:paraId="40DB68B8"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Essential Medical Equipment Payment (number of payments)</w:t>
            </w:r>
          </w:p>
        </w:tc>
        <w:tc>
          <w:tcPr>
            <w:tcW w:w="754" w:type="pct"/>
            <w:tcBorders>
              <w:top w:val="single" w:sz="4" w:space="0" w:color="FFFFFF" w:themeColor="background1"/>
            </w:tcBorders>
            <w:hideMark/>
          </w:tcPr>
          <w:p w14:paraId="3C4D2DF1"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48,311</w:t>
            </w:r>
          </w:p>
        </w:tc>
        <w:tc>
          <w:tcPr>
            <w:tcW w:w="754" w:type="pct"/>
            <w:tcBorders>
              <w:top w:val="single" w:sz="4" w:space="0" w:color="FFFFFF" w:themeColor="background1"/>
            </w:tcBorders>
            <w:hideMark/>
          </w:tcPr>
          <w:p w14:paraId="77E83AE2"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47,105</w:t>
            </w:r>
          </w:p>
        </w:tc>
        <w:tc>
          <w:tcPr>
            <w:tcW w:w="754" w:type="pct"/>
            <w:tcBorders>
              <w:top w:val="single" w:sz="4" w:space="0" w:color="FFFFFF" w:themeColor="background1"/>
            </w:tcBorders>
            <w:hideMark/>
          </w:tcPr>
          <w:p w14:paraId="2327E31E"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43,220</w:t>
            </w:r>
          </w:p>
        </w:tc>
      </w:tr>
      <w:tr w:rsidR="001404F7" w:rsidRPr="00821BBF" w14:paraId="1BCB2354" w14:textId="77777777" w:rsidTr="001404F7">
        <w:trPr>
          <w:cnfStyle w:val="000000010000" w:firstRow="0" w:lastRow="0" w:firstColumn="0" w:lastColumn="0" w:oddVBand="0" w:evenVBand="0" w:oddHBand="0" w:evenHBand="1" w:firstRowFirstColumn="0" w:firstRowLastColumn="0" w:lastRowFirstColumn="0" w:lastRowLastColumn="0"/>
          <w:trHeight w:val="317"/>
        </w:trPr>
        <w:tc>
          <w:tcPr>
            <w:tcW w:w="5000" w:type="pct"/>
            <w:gridSpan w:val="4"/>
            <w:tcBorders>
              <w:bottom w:val="single" w:sz="12" w:space="0" w:color="00B0B9"/>
            </w:tcBorders>
            <w:hideMark/>
          </w:tcPr>
          <w:p w14:paraId="6C65E33A" w14:textId="77777777" w:rsidR="001404F7" w:rsidRPr="00821BBF" w:rsidRDefault="001404F7" w:rsidP="001404F7">
            <w:pPr>
              <w:spacing w:before="40" w:after="40"/>
              <w:rPr>
                <w:rFonts w:eastAsia="Times New Roman" w:cs="Arial"/>
                <w:b/>
                <w:color w:val="000000" w:themeColor="text1"/>
                <w:sz w:val="20"/>
                <w:szCs w:val="20"/>
              </w:rPr>
            </w:pPr>
            <w:r w:rsidRPr="00821BBF">
              <w:rPr>
                <w:rFonts w:eastAsia="Times New Roman"/>
                <w:b/>
                <w:color w:val="000000" w:themeColor="text1"/>
                <w:sz w:val="20"/>
                <w:szCs w:val="20"/>
              </w:rPr>
              <w:t>Income Support for Seniors</w:t>
            </w:r>
          </w:p>
        </w:tc>
      </w:tr>
      <w:tr w:rsidR="001404F7" w:rsidRPr="00821BBF" w14:paraId="4BDB3D5A" w14:textId="77777777" w:rsidTr="001404F7">
        <w:trPr>
          <w:cnfStyle w:val="000000100000" w:firstRow="0" w:lastRow="0" w:firstColumn="0" w:lastColumn="0" w:oddVBand="0" w:evenVBand="0" w:oddHBand="1" w:evenHBand="0" w:firstRowFirstColumn="0" w:firstRowLastColumn="0" w:lastRowFirstColumn="0" w:lastRowLastColumn="0"/>
        </w:trPr>
        <w:tc>
          <w:tcPr>
            <w:tcW w:w="2738" w:type="pct"/>
            <w:tcBorders>
              <w:top w:val="single" w:sz="12" w:space="0" w:color="00B0B9"/>
              <w:bottom w:val="single" w:sz="4" w:space="0" w:color="FFFFFF" w:themeColor="background1"/>
            </w:tcBorders>
            <w:hideMark/>
          </w:tcPr>
          <w:p w14:paraId="5B171FB6"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Age Pension</w:t>
            </w:r>
          </w:p>
        </w:tc>
        <w:tc>
          <w:tcPr>
            <w:tcW w:w="754" w:type="pct"/>
            <w:tcBorders>
              <w:top w:val="single" w:sz="12" w:space="0" w:color="00B0B9"/>
              <w:bottom w:val="single" w:sz="4" w:space="0" w:color="FFFFFF" w:themeColor="background1"/>
            </w:tcBorders>
            <w:hideMark/>
          </w:tcPr>
          <w:p w14:paraId="21286CED"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2.56m</w:t>
            </w:r>
          </w:p>
        </w:tc>
        <w:tc>
          <w:tcPr>
            <w:tcW w:w="754" w:type="pct"/>
            <w:tcBorders>
              <w:top w:val="single" w:sz="12" w:space="0" w:color="00B0B9"/>
              <w:bottom w:val="single" w:sz="4" w:space="0" w:color="FFFFFF" w:themeColor="background1"/>
            </w:tcBorders>
            <w:hideMark/>
          </w:tcPr>
          <w:p w14:paraId="26E7717A"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2.54m</w:t>
            </w:r>
          </w:p>
        </w:tc>
        <w:tc>
          <w:tcPr>
            <w:tcW w:w="754" w:type="pct"/>
            <w:tcBorders>
              <w:top w:val="single" w:sz="12" w:space="0" w:color="00B0B9"/>
              <w:bottom w:val="single" w:sz="4" w:space="0" w:color="FFFFFF" w:themeColor="background1"/>
            </w:tcBorders>
            <w:hideMark/>
          </w:tcPr>
          <w:p w14:paraId="17F923B3"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2.48m</w:t>
            </w:r>
          </w:p>
        </w:tc>
      </w:tr>
      <w:tr w:rsidR="00384B66" w:rsidRPr="00821BBF" w14:paraId="16601B9F" w14:textId="77777777" w:rsidTr="001404F7">
        <w:trPr>
          <w:cnfStyle w:val="000000010000" w:firstRow="0" w:lastRow="0" w:firstColumn="0" w:lastColumn="0" w:oddVBand="0" w:evenVBand="0" w:oddHBand="0" w:evenHBand="1" w:firstRowFirstColumn="0" w:firstRowLastColumn="0" w:lastRowFirstColumn="0" w:lastRowLastColumn="0"/>
        </w:trPr>
        <w:tc>
          <w:tcPr>
            <w:tcW w:w="2738" w:type="pct"/>
            <w:tcBorders>
              <w:top w:val="single" w:sz="4" w:space="0" w:color="FFFFFF" w:themeColor="background1"/>
            </w:tcBorders>
            <w:hideMark/>
          </w:tcPr>
          <w:p w14:paraId="34CD8FCB" w14:textId="77777777" w:rsidR="00384B66" w:rsidRPr="00821BBF" w:rsidRDefault="00384B66" w:rsidP="00384B66">
            <w:pPr>
              <w:spacing w:before="40" w:after="40"/>
              <w:rPr>
                <w:rFonts w:eastAsia="Times New Roman" w:cs="Arial"/>
                <w:color w:val="000000" w:themeColor="text1"/>
                <w:spacing w:val="4"/>
                <w:sz w:val="20"/>
                <w:szCs w:val="20"/>
                <w:lang w:val="en-GB"/>
              </w:rPr>
            </w:pPr>
            <w:r w:rsidRPr="00821BBF">
              <w:rPr>
                <w:rFonts w:eastAsia="Times New Roman"/>
                <w:color w:val="000000" w:themeColor="text1"/>
                <w:spacing w:val="4"/>
                <w:sz w:val="20"/>
                <w:szCs w:val="20"/>
                <w:lang w:val="en-GB"/>
              </w:rPr>
              <w:t xml:space="preserve">Widow B </w:t>
            </w:r>
            <w:proofErr w:type="spellStart"/>
            <w:r w:rsidRPr="00821BBF">
              <w:rPr>
                <w:rFonts w:eastAsia="Times New Roman"/>
                <w:color w:val="000000" w:themeColor="text1"/>
                <w:spacing w:val="4"/>
                <w:sz w:val="20"/>
                <w:szCs w:val="20"/>
                <w:lang w:val="en-GB"/>
              </w:rPr>
              <w:t>Pension</w:t>
            </w:r>
            <w:r w:rsidRPr="00821BBF">
              <w:rPr>
                <w:rFonts w:eastAsia="Times New Roman"/>
                <w:color w:val="000000" w:themeColor="text1"/>
                <w:spacing w:val="4"/>
                <w:sz w:val="20"/>
                <w:szCs w:val="20"/>
                <w:vertAlign w:val="superscript"/>
                <w:lang w:val="en-GB"/>
              </w:rPr>
              <w:t>i</w:t>
            </w:r>
            <w:proofErr w:type="spellEnd"/>
          </w:p>
        </w:tc>
        <w:tc>
          <w:tcPr>
            <w:tcW w:w="754" w:type="pct"/>
            <w:tcBorders>
              <w:top w:val="single" w:sz="4" w:space="0" w:color="FFFFFF" w:themeColor="background1"/>
            </w:tcBorders>
            <w:hideMark/>
          </w:tcPr>
          <w:p w14:paraId="4D124061" w14:textId="4F6B0609" w:rsidR="00384B66" w:rsidRPr="00794BA3" w:rsidRDefault="00384B66" w:rsidP="00384B66">
            <w:pPr>
              <w:spacing w:before="40" w:after="40"/>
              <w:jc w:val="right"/>
              <w:rPr>
                <w:rFonts w:eastAsia="Times New Roman"/>
                <w:spacing w:val="4"/>
                <w:sz w:val="20"/>
                <w:szCs w:val="20"/>
                <w:lang w:val="en-GB"/>
              </w:rPr>
            </w:pPr>
            <w:r w:rsidRPr="00A27AB7">
              <w:rPr>
                <w:rFonts w:eastAsia="Times New Roman"/>
                <w:color w:val="000000" w:themeColor="text1"/>
                <w:spacing w:val="4"/>
                <w:sz w:val="20"/>
                <w:szCs w:val="20"/>
                <w:lang w:val="en-GB"/>
              </w:rPr>
              <w:t>–</w:t>
            </w:r>
          </w:p>
        </w:tc>
        <w:tc>
          <w:tcPr>
            <w:tcW w:w="754" w:type="pct"/>
            <w:tcBorders>
              <w:top w:val="single" w:sz="4" w:space="0" w:color="FFFFFF" w:themeColor="background1"/>
            </w:tcBorders>
            <w:hideMark/>
          </w:tcPr>
          <w:p w14:paraId="503C96B7" w14:textId="77777777" w:rsidR="00384B66" w:rsidRPr="00821BBF" w:rsidRDefault="00384B66" w:rsidP="00384B66">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296</w:t>
            </w:r>
          </w:p>
        </w:tc>
        <w:tc>
          <w:tcPr>
            <w:tcW w:w="754" w:type="pct"/>
            <w:tcBorders>
              <w:top w:val="single" w:sz="4" w:space="0" w:color="FFFFFF" w:themeColor="background1"/>
            </w:tcBorders>
            <w:hideMark/>
          </w:tcPr>
          <w:p w14:paraId="3F6EBD47" w14:textId="77777777" w:rsidR="00384B66" w:rsidRPr="00821BBF" w:rsidRDefault="00384B66" w:rsidP="00384B66">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328</w:t>
            </w:r>
          </w:p>
        </w:tc>
      </w:tr>
      <w:tr w:rsidR="00384B66" w:rsidRPr="00821BBF" w14:paraId="042E263A" w14:textId="77777777" w:rsidTr="001404F7">
        <w:trPr>
          <w:cnfStyle w:val="000000100000" w:firstRow="0" w:lastRow="0" w:firstColumn="0" w:lastColumn="0" w:oddVBand="0" w:evenVBand="0" w:oddHBand="1" w:evenHBand="0" w:firstRowFirstColumn="0" w:firstRowLastColumn="0" w:lastRowFirstColumn="0" w:lastRowLastColumn="0"/>
        </w:trPr>
        <w:tc>
          <w:tcPr>
            <w:tcW w:w="2738" w:type="pct"/>
            <w:hideMark/>
          </w:tcPr>
          <w:p w14:paraId="0010598A" w14:textId="77777777" w:rsidR="00384B66" w:rsidRPr="00821BBF" w:rsidRDefault="00384B66" w:rsidP="00384B66">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Wife Pension (Age)</w:t>
            </w:r>
            <w:proofErr w:type="spellStart"/>
            <w:r w:rsidRPr="00821BBF">
              <w:rPr>
                <w:rFonts w:eastAsia="Times New Roman"/>
                <w:color w:val="000000" w:themeColor="text1"/>
                <w:spacing w:val="4"/>
                <w:sz w:val="20"/>
                <w:szCs w:val="20"/>
                <w:vertAlign w:val="superscript"/>
                <w:lang w:val="en-GB"/>
              </w:rPr>
              <w:t>i</w:t>
            </w:r>
            <w:proofErr w:type="spellEnd"/>
          </w:p>
        </w:tc>
        <w:tc>
          <w:tcPr>
            <w:tcW w:w="754" w:type="pct"/>
            <w:hideMark/>
          </w:tcPr>
          <w:p w14:paraId="0E47AE25" w14:textId="6699DA4D" w:rsidR="00384B66" w:rsidRPr="00794BA3" w:rsidRDefault="00384B66" w:rsidP="00384B66">
            <w:pPr>
              <w:spacing w:before="40" w:after="40"/>
              <w:jc w:val="right"/>
              <w:rPr>
                <w:rFonts w:eastAsia="Times New Roman"/>
                <w:spacing w:val="4"/>
                <w:sz w:val="20"/>
                <w:szCs w:val="20"/>
                <w:lang w:val="en-GB"/>
              </w:rPr>
            </w:pPr>
            <w:r w:rsidRPr="00A27AB7">
              <w:rPr>
                <w:rFonts w:eastAsia="Times New Roman"/>
                <w:color w:val="000000" w:themeColor="text1"/>
                <w:spacing w:val="4"/>
                <w:sz w:val="20"/>
                <w:szCs w:val="20"/>
                <w:lang w:val="en-GB"/>
              </w:rPr>
              <w:t>–</w:t>
            </w:r>
          </w:p>
        </w:tc>
        <w:tc>
          <w:tcPr>
            <w:tcW w:w="754" w:type="pct"/>
            <w:hideMark/>
          </w:tcPr>
          <w:p w14:paraId="6EF07EF5" w14:textId="77777777" w:rsidR="00384B66" w:rsidRPr="00821BBF" w:rsidRDefault="00384B66" w:rsidP="00384B66">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4,102</w:t>
            </w:r>
          </w:p>
        </w:tc>
        <w:tc>
          <w:tcPr>
            <w:tcW w:w="754" w:type="pct"/>
            <w:hideMark/>
          </w:tcPr>
          <w:p w14:paraId="1B43695F" w14:textId="77777777" w:rsidR="00384B66" w:rsidRPr="00821BBF" w:rsidRDefault="00384B66" w:rsidP="00384B66">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4,715</w:t>
            </w:r>
          </w:p>
        </w:tc>
      </w:tr>
      <w:tr w:rsidR="001404F7" w:rsidRPr="00821BBF" w14:paraId="5087F35F" w14:textId="77777777" w:rsidTr="001404F7">
        <w:trPr>
          <w:cnfStyle w:val="000000010000" w:firstRow="0" w:lastRow="0" w:firstColumn="0" w:lastColumn="0" w:oddVBand="0" w:evenVBand="0" w:oddHBand="0" w:evenHBand="1" w:firstRowFirstColumn="0" w:firstRowLastColumn="0" w:lastRowFirstColumn="0" w:lastRowLastColumn="0"/>
          <w:trHeight w:val="317"/>
        </w:trPr>
        <w:tc>
          <w:tcPr>
            <w:tcW w:w="5000" w:type="pct"/>
            <w:gridSpan w:val="4"/>
            <w:tcBorders>
              <w:bottom w:val="single" w:sz="12" w:space="0" w:color="00B0B9"/>
            </w:tcBorders>
            <w:hideMark/>
          </w:tcPr>
          <w:p w14:paraId="797D21D5" w14:textId="77777777" w:rsidR="001404F7" w:rsidRPr="00821BBF" w:rsidRDefault="001404F7" w:rsidP="001404F7">
            <w:pPr>
              <w:spacing w:before="40" w:after="40"/>
              <w:rPr>
                <w:rFonts w:eastAsia="Times New Roman" w:cs="Arial"/>
                <w:b/>
                <w:color w:val="000000" w:themeColor="text1"/>
                <w:sz w:val="20"/>
                <w:szCs w:val="20"/>
              </w:rPr>
            </w:pPr>
            <w:r w:rsidRPr="00821BBF">
              <w:rPr>
                <w:rFonts w:eastAsia="Times New Roman"/>
                <w:b/>
                <w:color w:val="000000" w:themeColor="text1"/>
                <w:sz w:val="20"/>
                <w:szCs w:val="20"/>
              </w:rPr>
              <w:t>Allowances and Concessions for Seniors</w:t>
            </w:r>
          </w:p>
        </w:tc>
      </w:tr>
      <w:tr w:rsidR="001404F7" w:rsidRPr="00821BBF" w14:paraId="64682CD7" w14:textId="77777777" w:rsidTr="001404F7">
        <w:trPr>
          <w:cnfStyle w:val="000000100000" w:firstRow="0" w:lastRow="0" w:firstColumn="0" w:lastColumn="0" w:oddVBand="0" w:evenVBand="0" w:oddHBand="1" w:evenHBand="0" w:firstRowFirstColumn="0" w:firstRowLastColumn="0" w:lastRowFirstColumn="0" w:lastRowLastColumn="0"/>
        </w:trPr>
        <w:tc>
          <w:tcPr>
            <w:tcW w:w="2738" w:type="pct"/>
            <w:tcBorders>
              <w:top w:val="single" w:sz="12" w:space="0" w:color="00B0B9"/>
              <w:bottom w:val="single" w:sz="4" w:space="0" w:color="FFFFFF" w:themeColor="background1"/>
            </w:tcBorders>
            <w:hideMark/>
          </w:tcPr>
          <w:p w14:paraId="0A905B42"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Energy Supplement for holders of the Commonwealth Seniors Health Card</w:t>
            </w:r>
          </w:p>
        </w:tc>
        <w:tc>
          <w:tcPr>
            <w:tcW w:w="754" w:type="pct"/>
            <w:tcBorders>
              <w:top w:val="single" w:sz="12" w:space="0" w:color="00B0B9"/>
              <w:bottom w:val="single" w:sz="4" w:space="0" w:color="FFFFFF" w:themeColor="background1"/>
            </w:tcBorders>
            <w:hideMark/>
          </w:tcPr>
          <w:p w14:paraId="5F099AFD" w14:textId="77777777" w:rsidR="001404F7" w:rsidRPr="00821BBF" w:rsidRDefault="001404F7" w:rsidP="001404F7">
            <w:pPr>
              <w:spacing w:before="40" w:after="40"/>
              <w:jc w:val="right"/>
              <w:rPr>
                <w:rFonts w:eastAsia="Times New Roman"/>
                <w:color w:val="000000" w:themeColor="text1"/>
                <w:spacing w:val="4"/>
                <w:sz w:val="20"/>
                <w:szCs w:val="20"/>
                <w:highlight w:val="yellow"/>
                <w:lang w:val="en-GB"/>
              </w:rPr>
            </w:pPr>
            <w:r w:rsidRPr="00F923D8">
              <w:rPr>
                <w:rFonts w:eastAsia="Times New Roman"/>
                <w:color w:val="000000" w:themeColor="text1"/>
                <w:spacing w:val="4"/>
                <w:sz w:val="20"/>
                <w:szCs w:val="20"/>
                <w:lang w:val="en-GB"/>
              </w:rPr>
              <w:t>281,651</w:t>
            </w:r>
          </w:p>
        </w:tc>
        <w:tc>
          <w:tcPr>
            <w:tcW w:w="754" w:type="pct"/>
            <w:tcBorders>
              <w:top w:val="single" w:sz="12" w:space="0" w:color="00B0B9"/>
              <w:bottom w:val="single" w:sz="4" w:space="0" w:color="FFFFFF" w:themeColor="background1"/>
            </w:tcBorders>
            <w:hideMark/>
          </w:tcPr>
          <w:p w14:paraId="0E8BB59A"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302,906</w:t>
            </w:r>
          </w:p>
        </w:tc>
        <w:tc>
          <w:tcPr>
            <w:tcW w:w="754" w:type="pct"/>
            <w:tcBorders>
              <w:top w:val="single" w:sz="12" w:space="0" w:color="00B0B9"/>
              <w:bottom w:val="single" w:sz="4" w:space="0" w:color="FFFFFF" w:themeColor="background1"/>
            </w:tcBorders>
            <w:hideMark/>
          </w:tcPr>
          <w:p w14:paraId="20C298AF"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327,309</w:t>
            </w:r>
          </w:p>
        </w:tc>
      </w:tr>
      <w:tr w:rsidR="001404F7" w:rsidRPr="00821BBF" w14:paraId="414241B6" w14:textId="77777777" w:rsidTr="001404F7">
        <w:trPr>
          <w:cnfStyle w:val="000000010000" w:firstRow="0" w:lastRow="0" w:firstColumn="0" w:lastColumn="0" w:oddVBand="0" w:evenVBand="0" w:oddHBand="0" w:evenHBand="1" w:firstRowFirstColumn="0" w:firstRowLastColumn="0" w:lastRowFirstColumn="0" w:lastRowLastColumn="0"/>
          <w:trHeight w:val="317"/>
        </w:trPr>
        <w:tc>
          <w:tcPr>
            <w:tcW w:w="5000" w:type="pct"/>
            <w:gridSpan w:val="4"/>
            <w:tcBorders>
              <w:top w:val="single" w:sz="4" w:space="0" w:color="FFFFFF" w:themeColor="background1"/>
              <w:bottom w:val="single" w:sz="12" w:space="0" w:color="00B0B9"/>
            </w:tcBorders>
            <w:hideMark/>
          </w:tcPr>
          <w:p w14:paraId="0B8D27F3" w14:textId="77777777" w:rsidR="001404F7" w:rsidRPr="00821BBF" w:rsidRDefault="001404F7" w:rsidP="001404F7">
            <w:pPr>
              <w:spacing w:before="40" w:after="40"/>
              <w:rPr>
                <w:rFonts w:eastAsia="Times New Roman" w:cs="Arial"/>
                <w:b/>
                <w:color w:val="000000" w:themeColor="text1"/>
                <w:sz w:val="20"/>
                <w:szCs w:val="20"/>
              </w:rPr>
            </w:pPr>
            <w:r w:rsidRPr="00821BBF">
              <w:rPr>
                <w:rFonts w:eastAsia="Times New Roman"/>
                <w:b/>
                <w:color w:val="000000" w:themeColor="text1"/>
                <w:sz w:val="20"/>
                <w:szCs w:val="20"/>
              </w:rPr>
              <w:t>Income Support for People with Disability</w:t>
            </w:r>
          </w:p>
        </w:tc>
      </w:tr>
      <w:tr w:rsidR="001404F7" w:rsidRPr="00821BBF" w14:paraId="53C87A79" w14:textId="77777777" w:rsidTr="001404F7">
        <w:trPr>
          <w:cnfStyle w:val="000000100000" w:firstRow="0" w:lastRow="0" w:firstColumn="0" w:lastColumn="0" w:oddVBand="0" w:evenVBand="0" w:oddHBand="1" w:evenHBand="0" w:firstRowFirstColumn="0" w:firstRowLastColumn="0" w:lastRowFirstColumn="0" w:lastRowLastColumn="0"/>
        </w:trPr>
        <w:tc>
          <w:tcPr>
            <w:tcW w:w="2738" w:type="pct"/>
            <w:tcBorders>
              <w:top w:val="single" w:sz="12" w:space="0" w:color="00B0B9"/>
              <w:bottom w:val="single" w:sz="4" w:space="0" w:color="FFFFFF" w:themeColor="background1"/>
            </w:tcBorders>
            <w:hideMark/>
          </w:tcPr>
          <w:p w14:paraId="25DFB1F2"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Disability Support Pension</w:t>
            </w:r>
          </w:p>
        </w:tc>
        <w:tc>
          <w:tcPr>
            <w:tcW w:w="754" w:type="pct"/>
            <w:tcBorders>
              <w:top w:val="single" w:sz="12" w:space="0" w:color="00B0B9"/>
              <w:bottom w:val="single" w:sz="4" w:space="0" w:color="FFFFFF" w:themeColor="background1"/>
            </w:tcBorders>
            <w:hideMark/>
          </w:tcPr>
          <w:p w14:paraId="11BA47B1"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754,181</w:t>
            </w:r>
          </w:p>
        </w:tc>
        <w:tc>
          <w:tcPr>
            <w:tcW w:w="754" w:type="pct"/>
            <w:tcBorders>
              <w:top w:val="single" w:sz="12" w:space="0" w:color="00B0B9"/>
              <w:bottom w:val="single" w:sz="4" w:space="0" w:color="FFFFFF" w:themeColor="background1"/>
            </w:tcBorders>
            <w:hideMark/>
          </w:tcPr>
          <w:p w14:paraId="325CFC50"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745,673</w:t>
            </w:r>
          </w:p>
        </w:tc>
        <w:tc>
          <w:tcPr>
            <w:tcW w:w="754" w:type="pct"/>
            <w:tcBorders>
              <w:top w:val="single" w:sz="12" w:space="0" w:color="00B0B9"/>
              <w:bottom w:val="single" w:sz="4" w:space="0" w:color="FFFFFF" w:themeColor="background1"/>
            </w:tcBorders>
            <w:hideMark/>
          </w:tcPr>
          <w:p w14:paraId="34484694"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756,960</w:t>
            </w:r>
          </w:p>
        </w:tc>
      </w:tr>
      <w:tr w:rsidR="001404F7" w:rsidRPr="00821BBF" w14:paraId="509FA66B" w14:textId="77777777" w:rsidTr="001404F7">
        <w:trPr>
          <w:cnfStyle w:val="000000010000" w:firstRow="0" w:lastRow="0" w:firstColumn="0" w:lastColumn="0" w:oddVBand="0" w:evenVBand="0" w:oddHBand="0" w:evenHBand="1" w:firstRowFirstColumn="0" w:firstRowLastColumn="0" w:lastRowFirstColumn="0" w:lastRowLastColumn="0"/>
        </w:trPr>
        <w:tc>
          <w:tcPr>
            <w:tcW w:w="2738" w:type="pct"/>
            <w:tcBorders>
              <w:top w:val="single" w:sz="4" w:space="0" w:color="FFFFFF" w:themeColor="background1"/>
            </w:tcBorders>
            <w:hideMark/>
          </w:tcPr>
          <w:p w14:paraId="4D0F6493"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olor w:val="000000" w:themeColor="text1"/>
                <w:spacing w:val="4"/>
                <w:sz w:val="20"/>
                <w:szCs w:val="20"/>
                <w:lang w:val="en-GB"/>
              </w:rPr>
              <w:t xml:space="preserve">Mobility </w:t>
            </w:r>
            <w:proofErr w:type="spellStart"/>
            <w:r w:rsidRPr="00821BBF">
              <w:rPr>
                <w:rFonts w:eastAsia="Times New Roman"/>
                <w:color w:val="000000" w:themeColor="text1"/>
                <w:spacing w:val="4"/>
                <w:sz w:val="20"/>
                <w:szCs w:val="20"/>
                <w:lang w:val="en-GB"/>
              </w:rPr>
              <w:t>Allowance</w:t>
            </w:r>
            <w:r w:rsidRPr="00821BBF">
              <w:rPr>
                <w:rFonts w:eastAsia="Times New Roman"/>
                <w:color w:val="000000" w:themeColor="text1"/>
                <w:spacing w:val="4"/>
                <w:sz w:val="20"/>
                <w:szCs w:val="20"/>
                <w:vertAlign w:val="superscript"/>
                <w:lang w:val="en-GB"/>
              </w:rPr>
              <w:t>j</w:t>
            </w:r>
            <w:proofErr w:type="spellEnd"/>
          </w:p>
        </w:tc>
        <w:tc>
          <w:tcPr>
            <w:tcW w:w="754" w:type="pct"/>
            <w:tcBorders>
              <w:top w:val="single" w:sz="4" w:space="0" w:color="FFFFFF" w:themeColor="background1"/>
            </w:tcBorders>
            <w:hideMark/>
          </w:tcPr>
          <w:p w14:paraId="62923577"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13,463</w:t>
            </w:r>
          </w:p>
        </w:tc>
        <w:tc>
          <w:tcPr>
            <w:tcW w:w="754" w:type="pct"/>
            <w:tcBorders>
              <w:top w:val="single" w:sz="4" w:space="0" w:color="FFFFFF" w:themeColor="background1"/>
            </w:tcBorders>
            <w:hideMark/>
          </w:tcPr>
          <w:p w14:paraId="1E19FCCF"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16,750</w:t>
            </w:r>
          </w:p>
        </w:tc>
        <w:tc>
          <w:tcPr>
            <w:tcW w:w="754" w:type="pct"/>
            <w:tcBorders>
              <w:top w:val="single" w:sz="4" w:space="0" w:color="FFFFFF" w:themeColor="background1"/>
            </w:tcBorders>
            <w:hideMark/>
          </w:tcPr>
          <w:p w14:paraId="66045E39"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32,799</w:t>
            </w:r>
          </w:p>
        </w:tc>
      </w:tr>
      <w:tr w:rsidR="001404F7" w:rsidRPr="00821BBF" w14:paraId="4527901F"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bottom w:val="single" w:sz="12" w:space="0" w:color="00B0B9"/>
            </w:tcBorders>
            <w:hideMark/>
          </w:tcPr>
          <w:p w14:paraId="17C03E6D" w14:textId="77777777" w:rsidR="001404F7" w:rsidRPr="00821BBF" w:rsidRDefault="001404F7" w:rsidP="001404F7">
            <w:pPr>
              <w:spacing w:before="40" w:after="40"/>
              <w:rPr>
                <w:rFonts w:eastAsia="Times New Roman"/>
                <w:b/>
                <w:color w:val="000000" w:themeColor="text1"/>
                <w:sz w:val="20"/>
                <w:szCs w:val="20"/>
              </w:rPr>
            </w:pPr>
            <w:r w:rsidRPr="00821BBF">
              <w:rPr>
                <w:rFonts w:eastAsia="Times New Roman"/>
                <w:b/>
                <w:color w:val="000000" w:themeColor="text1"/>
                <w:sz w:val="20"/>
                <w:szCs w:val="20"/>
              </w:rPr>
              <w:t>Income Support for Carers</w:t>
            </w:r>
          </w:p>
        </w:tc>
      </w:tr>
      <w:tr w:rsidR="001404F7" w:rsidRPr="00821BBF" w14:paraId="7794C606" w14:textId="77777777" w:rsidTr="001404F7">
        <w:trPr>
          <w:cnfStyle w:val="000000010000" w:firstRow="0" w:lastRow="0" w:firstColumn="0" w:lastColumn="0" w:oddVBand="0" w:evenVBand="0" w:oddHBand="0" w:evenHBand="1" w:firstRowFirstColumn="0" w:firstRowLastColumn="0" w:lastRowFirstColumn="0" w:lastRowLastColumn="0"/>
        </w:trPr>
        <w:tc>
          <w:tcPr>
            <w:tcW w:w="2738" w:type="pct"/>
            <w:tcBorders>
              <w:top w:val="single" w:sz="12" w:space="0" w:color="00B0B9"/>
              <w:bottom w:val="single" w:sz="4" w:space="0" w:color="FFFFFF" w:themeColor="background1"/>
            </w:tcBorders>
            <w:hideMark/>
          </w:tcPr>
          <w:p w14:paraId="19D0DBC4"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olor w:val="000000" w:themeColor="text1"/>
                <w:spacing w:val="4"/>
                <w:sz w:val="20"/>
                <w:szCs w:val="20"/>
                <w:lang w:val="en-GB"/>
              </w:rPr>
              <w:t>Carer Payment</w:t>
            </w:r>
          </w:p>
        </w:tc>
        <w:tc>
          <w:tcPr>
            <w:tcW w:w="754" w:type="pct"/>
            <w:tcBorders>
              <w:top w:val="single" w:sz="12" w:space="0" w:color="00B0B9"/>
              <w:bottom w:val="single" w:sz="4" w:space="0" w:color="FFFFFF" w:themeColor="background1"/>
            </w:tcBorders>
            <w:hideMark/>
          </w:tcPr>
          <w:p w14:paraId="7C8BB442"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294,272</w:t>
            </w:r>
          </w:p>
        </w:tc>
        <w:tc>
          <w:tcPr>
            <w:tcW w:w="754" w:type="pct"/>
            <w:tcBorders>
              <w:top w:val="single" w:sz="12" w:space="0" w:color="00B0B9"/>
              <w:bottom w:val="single" w:sz="4" w:space="0" w:color="FFFFFF" w:themeColor="background1"/>
            </w:tcBorders>
            <w:hideMark/>
          </w:tcPr>
          <w:p w14:paraId="168F41D0"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282,097</w:t>
            </w:r>
          </w:p>
        </w:tc>
        <w:tc>
          <w:tcPr>
            <w:tcW w:w="754" w:type="pct"/>
            <w:tcBorders>
              <w:top w:val="single" w:sz="12" w:space="0" w:color="00B0B9"/>
              <w:bottom w:val="single" w:sz="4" w:space="0" w:color="FFFFFF" w:themeColor="background1"/>
            </w:tcBorders>
            <w:hideMark/>
          </w:tcPr>
          <w:p w14:paraId="10DC8987"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274,414</w:t>
            </w:r>
          </w:p>
        </w:tc>
      </w:tr>
      <w:tr w:rsidR="001404F7" w:rsidRPr="00821BBF" w14:paraId="6D38B13A" w14:textId="77777777" w:rsidTr="001404F7">
        <w:trPr>
          <w:cnfStyle w:val="000000100000" w:firstRow="0" w:lastRow="0" w:firstColumn="0" w:lastColumn="0" w:oddVBand="0" w:evenVBand="0" w:oddHBand="1" w:evenHBand="0" w:firstRowFirstColumn="0" w:firstRowLastColumn="0" w:lastRowFirstColumn="0" w:lastRowLastColumn="0"/>
        </w:trPr>
        <w:tc>
          <w:tcPr>
            <w:tcW w:w="2738" w:type="pct"/>
            <w:tcBorders>
              <w:top w:val="single" w:sz="4" w:space="0" w:color="FFFFFF" w:themeColor="background1"/>
            </w:tcBorders>
            <w:hideMark/>
          </w:tcPr>
          <w:p w14:paraId="217DC70C"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lastRenderedPageBreak/>
              <w:t>Carer Allowance (Adult and Child)</w:t>
            </w:r>
            <w:r w:rsidRPr="00821BBF">
              <w:rPr>
                <w:rFonts w:eastAsia="Times New Roman"/>
                <w:color w:val="000000" w:themeColor="text1"/>
                <w:spacing w:val="4"/>
                <w:sz w:val="20"/>
                <w:szCs w:val="20"/>
                <w:vertAlign w:val="superscript"/>
                <w:lang w:val="en-GB"/>
              </w:rPr>
              <w:t>k</w:t>
            </w:r>
          </w:p>
        </w:tc>
        <w:tc>
          <w:tcPr>
            <w:tcW w:w="754" w:type="pct"/>
            <w:tcBorders>
              <w:top w:val="single" w:sz="4" w:space="0" w:color="FFFFFF" w:themeColor="background1"/>
            </w:tcBorders>
            <w:hideMark/>
          </w:tcPr>
          <w:p w14:paraId="7149DC5E"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619,038</w:t>
            </w:r>
          </w:p>
        </w:tc>
        <w:tc>
          <w:tcPr>
            <w:tcW w:w="754" w:type="pct"/>
            <w:tcBorders>
              <w:top w:val="single" w:sz="4" w:space="0" w:color="FFFFFF" w:themeColor="background1"/>
            </w:tcBorders>
            <w:hideMark/>
          </w:tcPr>
          <w:p w14:paraId="3997E727"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620,396</w:t>
            </w:r>
          </w:p>
        </w:tc>
        <w:tc>
          <w:tcPr>
            <w:tcW w:w="754" w:type="pct"/>
            <w:tcBorders>
              <w:top w:val="single" w:sz="4" w:space="0" w:color="FFFFFF" w:themeColor="background1"/>
            </w:tcBorders>
            <w:hideMark/>
          </w:tcPr>
          <w:p w14:paraId="138B9751"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622,423</w:t>
            </w:r>
          </w:p>
        </w:tc>
      </w:tr>
      <w:tr w:rsidR="001404F7" w:rsidRPr="00821BBF" w14:paraId="273441E8" w14:textId="77777777" w:rsidTr="001404F7">
        <w:trPr>
          <w:cnfStyle w:val="000000010000" w:firstRow="0" w:lastRow="0" w:firstColumn="0" w:lastColumn="0" w:oddVBand="0" w:evenVBand="0" w:oddHBand="0" w:evenHBand="1" w:firstRowFirstColumn="0" w:firstRowLastColumn="0" w:lastRowFirstColumn="0" w:lastRowLastColumn="0"/>
        </w:trPr>
        <w:tc>
          <w:tcPr>
            <w:tcW w:w="2738" w:type="pct"/>
            <w:hideMark/>
          </w:tcPr>
          <w:p w14:paraId="32F3DDC1"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olor w:val="000000" w:themeColor="text1"/>
                <w:spacing w:val="4"/>
                <w:sz w:val="20"/>
                <w:szCs w:val="20"/>
                <w:lang w:val="en-GB"/>
              </w:rPr>
              <w:t>Carer Supplement</w:t>
            </w:r>
          </w:p>
        </w:tc>
        <w:tc>
          <w:tcPr>
            <w:tcW w:w="754" w:type="pct"/>
            <w:hideMark/>
          </w:tcPr>
          <w:p w14:paraId="508F0D4E"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638,761</w:t>
            </w:r>
          </w:p>
        </w:tc>
        <w:tc>
          <w:tcPr>
            <w:tcW w:w="754" w:type="pct"/>
            <w:hideMark/>
          </w:tcPr>
          <w:p w14:paraId="1AFE3B29"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651,587</w:t>
            </w:r>
          </w:p>
        </w:tc>
        <w:tc>
          <w:tcPr>
            <w:tcW w:w="754" w:type="pct"/>
            <w:hideMark/>
          </w:tcPr>
          <w:p w14:paraId="263054DC"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642,537</w:t>
            </w:r>
          </w:p>
        </w:tc>
      </w:tr>
      <w:tr w:rsidR="001404F7" w:rsidRPr="00821BBF" w14:paraId="73794C53" w14:textId="77777777" w:rsidTr="001404F7">
        <w:trPr>
          <w:cnfStyle w:val="000000100000" w:firstRow="0" w:lastRow="0" w:firstColumn="0" w:lastColumn="0" w:oddVBand="0" w:evenVBand="0" w:oddHBand="1" w:evenHBand="0" w:firstRowFirstColumn="0" w:firstRowLastColumn="0" w:lastRowFirstColumn="0" w:lastRowLastColumn="0"/>
        </w:trPr>
        <w:tc>
          <w:tcPr>
            <w:tcW w:w="2738" w:type="pct"/>
            <w:hideMark/>
          </w:tcPr>
          <w:p w14:paraId="1AD12DC9"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Child Disability Assistance Payment</w:t>
            </w:r>
          </w:p>
        </w:tc>
        <w:tc>
          <w:tcPr>
            <w:tcW w:w="754" w:type="pct"/>
            <w:hideMark/>
          </w:tcPr>
          <w:p w14:paraId="65D63CF4"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158,308</w:t>
            </w:r>
          </w:p>
        </w:tc>
        <w:tc>
          <w:tcPr>
            <w:tcW w:w="754" w:type="pct"/>
            <w:hideMark/>
          </w:tcPr>
          <w:p w14:paraId="66ED3AAC"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163,410</w:t>
            </w:r>
          </w:p>
        </w:tc>
        <w:tc>
          <w:tcPr>
            <w:tcW w:w="754" w:type="pct"/>
            <w:hideMark/>
          </w:tcPr>
          <w:p w14:paraId="35F0D71D"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159,065</w:t>
            </w:r>
          </w:p>
        </w:tc>
      </w:tr>
      <w:tr w:rsidR="001404F7" w:rsidRPr="00821BBF" w14:paraId="5B236E43" w14:textId="77777777" w:rsidTr="001404F7">
        <w:trPr>
          <w:cnfStyle w:val="000000010000" w:firstRow="0" w:lastRow="0" w:firstColumn="0" w:lastColumn="0" w:oddVBand="0" w:evenVBand="0" w:oddHBand="0" w:evenHBand="1" w:firstRowFirstColumn="0" w:firstRowLastColumn="0" w:lastRowFirstColumn="0" w:lastRowLastColumn="0"/>
        </w:trPr>
        <w:tc>
          <w:tcPr>
            <w:tcW w:w="2738" w:type="pct"/>
            <w:hideMark/>
          </w:tcPr>
          <w:p w14:paraId="0F71EF5C"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olor w:val="000000" w:themeColor="text1"/>
                <w:spacing w:val="4"/>
                <w:sz w:val="20"/>
                <w:szCs w:val="20"/>
                <w:lang w:val="en-GB"/>
              </w:rPr>
              <w:t>Wife Pension (Disability Support Pension)</w:t>
            </w:r>
            <w:proofErr w:type="spellStart"/>
            <w:r w:rsidRPr="00821BBF">
              <w:rPr>
                <w:rFonts w:eastAsia="Times New Roman"/>
                <w:color w:val="000000" w:themeColor="text1"/>
                <w:spacing w:val="4"/>
                <w:sz w:val="20"/>
                <w:szCs w:val="20"/>
                <w:vertAlign w:val="superscript"/>
                <w:lang w:val="en-GB"/>
              </w:rPr>
              <w:t>i</w:t>
            </w:r>
            <w:proofErr w:type="spellEnd"/>
          </w:p>
        </w:tc>
        <w:tc>
          <w:tcPr>
            <w:tcW w:w="754" w:type="pct"/>
            <w:hideMark/>
          </w:tcPr>
          <w:p w14:paraId="20F862C8" w14:textId="50F1435B" w:rsidR="001404F7" w:rsidRPr="00794BA3" w:rsidRDefault="00384B66" w:rsidP="001404F7">
            <w:pPr>
              <w:spacing w:before="40" w:after="40"/>
              <w:jc w:val="right"/>
              <w:rPr>
                <w:rFonts w:eastAsia="Times New Roman"/>
                <w:spacing w:val="4"/>
                <w:sz w:val="20"/>
                <w:szCs w:val="20"/>
                <w:lang w:val="en-GB"/>
              </w:rPr>
            </w:pPr>
            <w:r w:rsidRPr="00771C23">
              <w:rPr>
                <w:rFonts w:eastAsia="Times New Roman"/>
                <w:color w:val="000000" w:themeColor="text1"/>
                <w:spacing w:val="4"/>
                <w:sz w:val="20"/>
                <w:szCs w:val="20"/>
                <w:lang w:val="en-GB"/>
              </w:rPr>
              <w:t>–</w:t>
            </w:r>
          </w:p>
        </w:tc>
        <w:tc>
          <w:tcPr>
            <w:tcW w:w="754" w:type="pct"/>
            <w:hideMark/>
          </w:tcPr>
          <w:p w14:paraId="73F25BA2"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3,927</w:t>
            </w:r>
          </w:p>
        </w:tc>
        <w:tc>
          <w:tcPr>
            <w:tcW w:w="754" w:type="pct"/>
            <w:hideMark/>
          </w:tcPr>
          <w:p w14:paraId="33B252E8"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4,541</w:t>
            </w:r>
          </w:p>
        </w:tc>
      </w:tr>
      <w:tr w:rsidR="001404F7" w:rsidRPr="00821BBF" w14:paraId="252F1B40"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bottom w:val="single" w:sz="12" w:space="0" w:color="00B0B9"/>
            </w:tcBorders>
            <w:hideMark/>
          </w:tcPr>
          <w:p w14:paraId="7949F453" w14:textId="77777777" w:rsidR="001404F7" w:rsidRPr="00821BBF" w:rsidRDefault="001404F7" w:rsidP="001404F7">
            <w:pPr>
              <w:spacing w:before="40" w:after="40"/>
              <w:rPr>
                <w:rFonts w:eastAsia="Times New Roman"/>
                <w:b/>
                <w:color w:val="000000" w:themeColor="text1"/>
                <w:sz w:val="20"/>
                <w:szCs w:val="20"/>
              </w:rPr>
            </w:pPr>
            <w:r w:rsidRPr="00821BBF">
              <w:rPr>
                <w:rFonts w:eastAsia="Times New Roman"/>
                <w:b/>
                <w:color w:val="000000" w:themeColor="text1"/>
                <w:sz w:val="20"/>
                <w:szCs w:val="20"/>
              </w:rPr>
              <w:t>Working Age Payments</w:t>
            </w:r>
          </w:p>
        </w:tc>
      </w:tr>
      <w:tr w:rsidR="001404F7" w:rsidRPr="00821BBF" w14:paraId="591F8403" w14:textId="77777777" w:rsidTr="001404F7">
        <w:trPr>
          <w:cnfStyle w:val="000000010000" w:firstRow="0" w:lastRow="0" w:firstColumn="0" w:lastColumn="0" w:oddVBand="0" w:evenVBand="0" w:oddHBand="0" w:evenHBand="1" w:firstRowFirstColumn="0" w:firstRowLastColumn="0" w:lastRowFirstColumn="0" w:lastRowLastColumn="0"/>
        </w:trPr>
        <w:tc>
          <w:tcPr>
            <w:tcW w:w="2738" w:type="pct"/>
            <w:tcBorders>
              <w:top w:val="single" w:sz="12" w:space="0" w:color="00B0B9"/>
              <w:bottom w:val="single" w:sz="4" w:space="0" w:color="FFFFFF" w:themeColor="background1"/>
            </w:tcBorders>
            <w:hideMark/>
          </w:tcPr>
          <w:p w14:paraId="1B352CE9" w14:textId="77777777" w:rsidR="001404F7" w:rsidRPr="00821BBF" w:rsidRDefault="001404F7" w:rsidP="001404F7">
            <w:pPr>
              <w:spacing w:before="40" w:after="40"/>
              <w:rPr>
                <w:rFonts w:eastAsia="Times New Roman" w:cs="Arial"/>
                <w:color w:val="000000" w:themeColor="text1"/>
                <w:spacing w:val="4"/>
                <w:sz w:val="20"/>
                <w:szCs w:val="20"/>
                <w:lang w:val="en-GB"/>
              </w:rPr>
            </w:pPr>
            <w:proofErr w:type="spellStart"/>
            <w:r>
              <w:rPr>
                <w:rFonts w:eastAsia="Times New Roman"/>
                <w:color w:val="000000" w:themeColor="text1"/>
                <w:spacing w:val="4"/>
                <w:sz w:val="20"/>
                <w:szCs w:val="20"/>
                <w:lang w:val="en-GB"/>
              </w:rPr>
              <w:t>Newstart</w:t>
            </w:r>
            <w:proofErr w:type="spellEnd"/>
            <w:r>
              <w:rPr>
                <w:rFonts w:eastAsia="Times New Roman"/>
                <w:color w:val="000000" w:themeColor="text1"/>
                <w:spacing w:val="4"/>
                <w:sz w:val="20"/>
                <w:szCs w:val="20"/>
                <w:lang w:val="en-GB"/>
              </w:rPr>
              <w:t xml:space="preserve"> Allowance/</w:t>
            </w:r>
            <w:proofErr w:type="spellStart"/>
            <w:r w:rsidRPr="00821BBF">
              <w:rPr>
                <w:rFonts w:eastAsia="Times New Roman"/>
                <w:color w:val="000000" w:themeColor="text1"/>
                <w:spacing w:val="4"/>
                <w:sz w:val="20"/>
                <w:szCs w:val="20"/>
                <w:lang w:val="en-GB"/>
              </w:rPr>
              <w:t>JobSeeker</w:t>
            </w:r>
            <w:proofErr w:type="spellEnd"/>
            <w:r w:rsidRPr="00821BBF">
              <w:rPr>
                <w:rFonts w:eastAsia="Times New Roman"/>
                <w:color w:val="000000" w:themeColor="text1"/>
                <w:spacing w:val="4"/>
                <w:sz w:val="20"/>
                <w:szCs w:val="20"/>
                <w:lang w:val="en-GB"/>
              </w:rPr>
              <w:t xml:space="preserve"> Payment</w:t>
            </w:r>
          </w:p>
        </w:tc>
        <w:tc>
          <w:tcPr>
            <w:tcW w:w="754" w:type="pct"/>
            <w:tcBorders>
              <w:top w:val="single" w:sz="12" w:space="0" w:color="00B0B9"/>
              <w:bottom w:val="single" w:sz="4" w:space="0" w:color="FFFFFF" w:themeColor="background1"/>
            </w:tcBorders>
            <w:hideMark/>
          </w:tcPr>
          <w:p w14:paraId="6208A522"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1,441,287</w:t>
            </w:r>
          </w:p>
        </w:tc>
        <w:tc>
          <w:tcPr>
            <w:tcW w:w="754" w:type="pct"/>
            <w:tcBorders>
              <w:top w:val="single" w:sz="12" w:space="0" w:color="00B0B9"/>
              <w:bottom w:val="single" w:sz="4" w:space="0" w:color="FFFFFF" w:themeColor="background1"/>
            </w:tcBorders>
            <w:hideMark/>
          </w:tcPr>
          <w:p w14:paraId="00B3F5ED"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686,785</w:t>
            </w:r>
          </w:p>
        </w:tc>
        <w:tc>
          <w:tcPr>
            <w:tcW w:w="754" w:type="pct"/>
            <w:tcBorders>
              <w:top w:val="single" w:sz="12" w:space="0" w:color="00B0B9"/>
              <w:bottom w:val="single" w:sz="4" w:space="0" w:color="FFFFFF" w:themeColor="background1"/>
            </w:tcBorders>
            <w:hideMark/>
          </w:tcPr>
          <w:p w14:paraId="12EE4025"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727,533</w:t>
            </w:r>
          </w:p>
        </w:tc>
      </w:tr>
      <w:tr w:rsidR="001404F7" w:rsidRPr="00821BBF" w14:paraId="6267C93D" w14:textId="77777777" w:rsidTr="001404F7">
        <w:trPr>
          <w:cnfStyle w:val="000000100000" w:firstRow="0" w:lastRow="0" w:firstColumn="0" w:lastColumn="0" w:oddVBand="0" w:evenVBand="0" w:oddHBand="1" w:evenHBand="0" w:firstRowFirstColumn="0" w:firstRowLastColumn="0" w:lastRowFirstColumn="0" w:lastRowLastColumn="0"/>
        </w:trPr>
        <w:tc>
          <w:tcPr>
            <w:tcW w:w="2738" w:type="pct"/>
            <w:tcBorders>
              <w:top w:val="single" w:sz="4" w:space="0" w:color="FFFFFF" w:themeColor="background1"/>
            </w:tcBorders>
            <w:hideMark/>
          </w:tcPr>
          <w:p w14:paraId="291851C1"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Parenting Payment (Partnered)</w:t>
            </w:r>
          </w:p>
        </w:tc>
        <w:tc>
          <w:tcPr>
            <w:tcW w:w="754" w:type="pct"/>
            <w:tcBorders>
              <w:top w:val="single" w:sz="4" w:space="0" w:color="FFFFFF" w:themeColor="background1"/>
            </w:tcBorders>
            <w:hideMark/>
          </w:tcPr>
          <w:p w14:paraId="25050F10"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92,022</w:t>
            </w:r>
          </w:p>
        </w:tc>
        <w:tc>
          <w:tcPr>
            <w:tcW w:w="754" w:type="pct"/>
            <w:tcBorders>
              <w:top w:val="single" w:sz="4" w:space="0" w:color="FFFFFF" w:themeColor="background1"/>
            </w:tcBorders>
            <w:hideMark/>
          </w:tcPr>
          <w:p w14:paraId="4E1FAA42"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73,138</w:t>
            </w:r>
          </w:p>
        </w:tc>
        <w:tc>
          <w:tcPr>
            <w:tcW w:w="754" w:type="pct"/>
            <w:tcBorders>
              <w:top w:val="single" w:sz="4" w:space="0" w:color="FFFFFF" w:themeColor="background1"/>
            </w:tcBorders>
            <w:hideMark/>
          </w:tcPr>
          <w:p w14:paraId="2FD390D3"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82,541</w:t>
            </w:r>
          </w:p>
        </w:tc>
      </w:tr>
      <w:tr w:rsidR="001404F7" w:rsidRPr="00821BBF" w14:paraId="464FB6B8" w14:textId="77777777" w:rsidTr="001404F7">
        <w:trPr>
          <w:cnfStyle w:val="000000010000" w:firstRow="0" w:lastRow="0" w:firstColumn="0" w:lastColumn="0" w:oddVBand="0" w:evenVBand="0" w:oddHBand="0" w:evenHBand="1" w:firstRowFirstColumn="0" w:firstRowLastColumn="0" w:lastRowFirstColumn="0" w:lastRowLastColumn="0"/>
        </w:trPr>
        <w:tc>
          <w:tcPr>
            <w:tcW w:w="2738" w:type="pct"/>
            <w:hideMark/>
          </w:tcPr>
          <w:p w14:paraId="42A01A27"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olor w:val="000000" w:themeColor="text1"/>
                <w:spacing w:val="4"/>
                <w:sz w:val="20"/>
                <w:szCs w:val="20"/>
                <w:lang w:val="en-GB"/>
              </w:rPr>
              <w:t>Parenting Payment (Single)</w:t>
            </w:r>
          </w:p>
        </w:tc>
        <w:tc>
          <w:tcPr>
            <w:tcW w:w="754" w:type="pct"/>
            <w:hideMark/>
          </w:tcPr>
          <w:p w14:paraId="131820B7"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243,433</w:t>
            </w:r>
          </w:p>
        </w:tc>
        <w:tc>
          <w:tcPr>
            <w:tcW w:w="754" w:type="pct"/>
            <w:hideMark/>
          </w:tcPr>
          <w:p w14:paraId="1FABB817"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230,164</w:t>
            </w:r>
          </w:p>
        </w:tc>
        <w:tc>
          <w:tcPr>
            <w:tcW w:w="754" w:type="pct"/>
            <w:hideMark/>
          </w:tcPr>
          <w:p w14:paraId="19C21942"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244,296</w:t>
            </w:r>
          </w:p>
        </w:tc>
      </w:tr>
      <w:tr w:rsidR="001404F7" w:rsidRPr="00821BBF" w14:paraId="3DE26E5C" w14:textId="77777777" w:rsidTr="001404F7">
        <w:trPr>
          <w:cnfStyle w:val="000000100000" w:firstRow="0" w:lastRow="0" w:firstColumn="0" w:lastColumn="0" w:oddVBand="0" w:evenVBand="0" w:oddHBand="1" w:evenHBand="0" w:firstRowFirstColumn="0" w:firstRowLastColumn="0" w:lastRowFirstColumn="0" w:lastRowLastColumn="0"/>
        </w:trPr>
        <w:tc>
          <w:tcPr>
            <w:tcW w:w="2738" w:type="pct"/>
            <w:hideMark/>
          </w:tcPr>
          <w:p w14:paraId="7B217E17"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Partner Allowance</w:t>
            </w:r>
          </w:p>
        </w:tc>
        <w:tc>
          <w:tcPr>
            <w:tcW w:w="754" w:type="pct"/>
            <w:hideMark/>
          </w:tcPr>
          <w:p w14:paraId="4EEF42F9"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652</w:t>
            </w:r>
          </w:p>
        </w:tc>
        <w:tc>
          <w:tcPr>
            <w:tcW w:w="754" w:type="pct"/>
            <w:hideMark/>
          </w:tcPr>
          <w:p w14:paraId="4BE925CB"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1,026</w:t>
            </w:r>
          </w:p>
        </w:tc>
        <w:tc>
          <w:tcPr>
            <w:tcW w:w="754" w:type="pct"/>
            <w:hideMark/>
          </w:tcPr>
          <w:p w14:paraId="4A5BC6B2"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1,956</w:t>
            </w:r>
          </w:p>
        </w:tc>
      </w:tr>
      <w:tr w:rsidR="001404F7" w:rsidRPr="00821BBF" w14:paraId="357D1E2E" w14:textId="77777777" w:rsidTr="001404F7">
        <w:trPr>
          <w:cnfStyle w:val="000000010000" w:firstRow="0" w:lastRow="0" w:firstColumn="0" w:lastColumn="0" w:oddVBand="0" w:evenVBand="0" w:oddHBand="0" w:evenHBand="1" w:firstRowFirstColumn="0" w:firstRowLastColumn="0" w:lastRowFirstColumn="0" w:lastRowLastColumn="0"/>
        </w:trPr>
        <w:tc>
          <w:tcPr>
            <w:tcW w:w="2738" w:type="pct"/>
            <w:hideMark/>
          </w:tcPr>
          <w:p w14:paraId="32B09524"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olor w:val="000000" w:themeColor="text1"/>
                <w:spacing w:val="4"/>
                <w:sz w:val="20"/>
                <w:szCs w:val="20"/>
                <w:lang w:val="en-GB"/>
              </w:rPr>
              <w:t>Pensioner Education Supplement</w:t>
            </w:r>
          </w:p>
        </w:tc>
        <w:tc>
          <w:tcPr>
            <w:tcW w:w="754" w:type="pct"/>
            <w:hideMark/>
          </w:tcPr>
          <w:p w14:paraId="3B565820"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22,530</w:t>
            </w:r>
          </w:p>
        </w:tc>
        <w:tc>
          <w:tcPr>
            <w:tcW w:w="754" w:type="pct"/>
            <w:hideMark/>
          </w:tcPr>
          <w:p w14:paraId="7A7F997D"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20,674</w:t>
            </w:r>
          </w:p>
        </w:tc>
        <w:tc>
          <w:tcPr>
            <w:tcW w:w="754" w:type="pct"/>
            <w:hideMark/>
          </w:tcPr>
          <w:p w14:paraId="0C3056C3"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24,315</w:t>
            </w:r>
          </w:p>
        </w:tc>
      </w:tr>
      <w:tr w:rsidR="001404F7" w:rsidRPr="00821BBF" w14:paraId="50A74726" w14:textId="77777777" w:rsidTr="001404F7">
        <w:trPr>
          <w:cnfStyle w:val="000000100000" w:firstRow="0" w:lastRow="0" w:firstColumn="0" w:lastColumn="0" w:oddVBand="0" w:evenVBand="0" w:oddHBand="1" w:evenHBand="0" w:firstRowFirstColumn="0" w:firstRowLastColumn="0" w:lastRowFirstColumn="0" w:lastRowLastColumn="0"/>
        </w:trPr>
        <w:tc>
          <w:tcPr>
            <w:tcW w:w="2738" w:type="pct"/>
            <w:hideMark/>
          </w:tcPr>
          <w:p w14:paraId="1BFB8C0D"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 xml:space="preserve">Sickness </w:t>
            </w:r>
            <w:proofErr w:type="spellStart"/>
            <w:r w:rsidRPr="00821BBF">
              <w:rPr>
                <w:rFonts w:eastAsia="Times New Roman"/>
                <w:color w:val="000000" w:themeColor="text1"/>
                <w:spacing w:val="4"/>
                <w:sz w:val="20"/>
                <w:szCs w:val="20"/>
                <w:lang w:val="en-GB"/>
              </w:rPr>
              <w:t>Allowance</w:t>
            </w:r>
            <w:r w:rsidRPr="00821BBF">
              <w:rPr>
                <w:rFonts w:eastAsia="Times New Roman"/>
                <w:color w:val="000000" w:themeColor="text1"/>
                <w:spacing w:val="4"/>
                <w:sz w:val="20"/>
                <w:szCs w:val="20"/>
                <w:vertAlign w:val="superscript"/>
                <w:lang w:val="en-GB"/>
              </w:rPr>
              <w:t>l</w:t>
            </w:r>
            <w:proofErr w:type="spellEnd"/>
          </w:p>
        </w:tc>
        <w:tc>
          <w:tcPr>
            <w:tcW w:w="754" w:type="pct"/>
            <w:hideMark/>
          </w:tcPr>
          <w:p w14:paraId="1C389130" w14:textId="77777777" w:rsidR="001404F7" w:rsidRPr="00794BA3" w:rsidRDefault="001404F7" w:rsidP="001404F7">
            <w:pPr>
              <w:spacing w:before="40" w:after="40"/>
              <w:ind w:left="-198"/>
              <w:jc w:val="right"/>
              <w:rPr>
                <w:rFonts w:eastAsia="Times New Roman"/>
                <w:spacing w:val="4"/>
                <w:sz w:val="20"/>
                <w:szCs w:val="20"/>
                <w:lang w:val="en-GB"/>
              </w:rPr>
            </w:pPr>
            <w:r w:rsidRPr="00794BA3">
              <w:rPr>
                <w:rFonts w:eastAsia="Times New Roman"/>
                <w:spacing w:val="4"/>
                <w:sz w:val="20"/>
                <w:szCs w:val="20"/>
                <w:lang w:val="en-GB"/>
              </w:rPr>
              <w:t>6</w:t>
            </w:r>
          </w:p>
        </w:tc>
        <w:tc>
          <w:tcPr>
            <w:tcW w:w="754" w:type="pct"/>
            <w:hideMark/>
          </w:tcPr>
          <w:p w14:paraId="41269656"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4,997</w:t>
            </w:r>
          </w:p>
        </w:tc>
        <w:tc>
          <w:tcPr>
            <w:tcW w:w="754" w:type="pct"/>
            <w:hideMark/>
          </w:tcPr>
          <w:p w14:paraId="0062280E"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6,101</w:t>
            </w:r>
          </w:p>
        </w:tc>
      </w:tr>
      <w:tr w:rsidR="001404F7" w:rsidRPr="00821BBF" w14:paraId="4DFD3CDE" w14:textId="77777777" w:rsidTr="001404F7">
        <w:trPr>
          <w:cnfStyle w:val="000000010000" w:firstRow="0" w:lastRow="0" w:firstColumn="0" w:lastColumn="0" w:oddVBand="0" w:evenVBand="0" w:oddHBand="0" w:evenHBand="1" w:firstRowFirstColumn="0" w:firstRowLastColumn="0" w:lastRowFirstColumn="0" w:lastRowLastColumn="0"/>
        </w:trPr>
        <w:tc>
          <w:tcPr>
            <w:tcW w:w="2738" w:type="pct"/>
            <w:hideMark/>
          </w:tcPr>
          <w:p w14:paraId="3C616123"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olor w:val="000000" w:themeColor="text1"/>
                <w:spacing w:val="4"/>
                <w:sz w:val="20"/>
                <w:szCs w:val="20"/>
                <w:lang w:val="en-GB"/>
              </w:rPr>
              <w:t>Widow Allowance</w:t>
            </w:r>
          </w:p>
        </w:tc>
        <w:tc>
          <w:tcPr>
            <w:tcW w:w="754" w:type="pct"/>
            <w:hideMark/>
          </w:tcPr>
          <w:p w14:paraId="7ED845E4"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5,549</w:t>
            </w:r>
          </w:p>
        </w:tc>
        <w:tc>
          <w:tcPr>
            <w:tcW w:w="754" w:type="pct"/>
            <w:hideMark/>
          </w:tcPr>
          <w:p w14:paraId="49FE3549"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7,729</w:t>
            </w:r>
          </w:p>
        </w:tc>
        <w:tc>
          <w:tcPr>
            <w:tcW w:w="754" w:type="pct"/>
            <w:hideMark/>
          </w:tcPr>
          <w:p w14:paraId="384F1C4B"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12,802</w:t>
            </w:r>
          </w:p>
        </w:tc>
      </w:tr>
      <w:tr w:rsidR="001404F7" w:rsidRPr="00821BBF" w14:paraId="43E38723" w14:textId="77777777" w:rsidTr="001404F7">
        <w:trPr>
          <w:cnfStyle w:val="000000100000" w:firstRow="0" w:lastRow="0" w:firstColumn="0" w:lastColumn="0" w:oddVBand="0" w:evenVBand="0" w:oddHBand="1" w:evenHBand="0" w:firstRowFirstColumn="0" w:firstRowLastColumn="0" w:lastRowFirstColumn="0" w:lastRowLastColumn="0"/>
        </w:trPr>
        <w:tc>
          <w:tcPr>
            <w:tcW w:w="2738" w:type="pct"/>
            <w:hideMark/>
          </w:tcPr>
          <w:p w14:paraId="0714DF67"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Youth Allowance (other)</w:t>
            </w:r>
          </w:p>
        </w:tc>
        <w:tc>
          <w:tcPr>
            <w:tcW w:w="754" w:type="pct"/>
            <w:hideMark/>
          </w:tcPr>
          <w:p w14:paraId="46CB2239" w14:textId="77777777" w:rsidR="001404F7" w:rsidRPr="00821BBF" w:rsidRDefault="001404F7" w:rsidP="001404F7">
            <w:pPr>
              <w:spacing w:before="40" w:after="40"/>
              <w:jc w:val="right"/>
              <w:rPr>
                <w:rFonts w:eastAsia="Times New Roman"/>
                <w:color w:val="FF0000"/>
                <w:spacing w:val="4"/>
                <w:sz w:val="20"/>
                <w:szCs w:val="20"/>
                <w:highlight w:val="yellow"/>
                <w:lang w:val="en-GB"/>
              </w:rPr>
            </w:pPr>
            <w:r w:rsidRPr="00794BA3">
              <w:rPr>
                <w:rFonts w:eastAsia="Times New Roman"/>
                <w:spacing w:val="4"/>
                <w:sz w:val="20"/>
                <w:szCs w:val="20"/>
                <w:lang w:val="en-GB"/>
              </w:rPr>
              <w:t>173,125</w:t>
            </w:r>
          </w:p>
        </w:tc>
        <w:tc>
          <w:tcPr>
            <w:tcW w:w="754" w:type="pct"/>
            <w:hideMark/>
          </w:tcPr>
          <w:p w14:paraId="79ECBA32"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82,770</w:t>
            </w:r>
          </w:p>
        </w:tc>
        <w:tc>
          <w:tcPr>
            <w:tcW w:w="754" w:type="pct"/>
            <w:hideMark/>
          </w:tcPr>
          <w:p w14:paraId="09B01A09"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94,009</w:t>
            </w:r>
          </w:p>
        </w:tc>
      </w:tr>
      <w:tr w:rsidR="001404F7" w:rsidRPr="00821BBF" w14:paraId="22556798" w14:textId="77777777" w:rsidTr="001404F7">
        <w:trPr>
          <w:cnfStyle w:val="000000010000" w:firstRow="0" w:lastRow="0" w:firstColumn="0" w:lastColumn="0" w:oddVBand="0" w:evenVBand="0" w:oddHBand="0" w:evenHBand="1" w:firstRowFirstColumn="0" w:firstRowLastColumn="0" w:lastRowFirstColumn="0" w:lastRowLastColumn="0"/>
          <w:trHeight w:val="317"/>
        </w:trPr>
        <w:tc>
          <w:tcPr>
            <w:tcW w:w="5000" w:type="pct"/>
            <w:gridSpan w:val="4"/>
            <w:tcBorders>
              <w:bottom w:val="single" w:sz="12" w:space="0" w:color="00B0B9"/>
            </w:tcBorders>
            <w:hideMark/>
          </w:tcPr>
          <w:p w14:paraId="0AC42894" w14:textId="77777777" w:rsidR="001404F7" w:rsidRPr="00821BBF" w:rsidRDefault="001404F7" w:rsidP="001404F7">
            <w:pPr>
              <w:keepNext/>
              <w:keepLines/>
              <w:spacing w:before="40" w:after="40"/>
              <w:rPr>
                <w:rFonts w:eastAsia="Times New Roman" w:cs="Arial"/>
                <w:b/>
                <w:color w:val="FF0000"/>
                <w:sz w:val="20"/>
                <w:szCs w:val="20"/>
              </w:rPr>
            </w:pPr>
            <w:r w:rsidRPr="00821BBF">
              <w:rPr>
                <w:rFonts w:eastAsia="Times New Roman"/>
                <w:b/>
                <w:sz w:val="20"/>
                <w:szCs w:val="20"/>
              </w:rPr>
              <w:t>Student Payments</w:t>
            </w:r>
          </w:p>
        </w:tc>
      </w:tr>
      <w:tr w:rsidR="001404F7" w:rsidRPr="00821BBF" w14:paraId="6D122B75" w14:textId="77777777" w:rsidTr="001404F7">
        <w:trPr>
          <w:cnfStyle w:val="000000100000" w:firstRow="0" w:lastRow="0" w:firstColumn="0" w:lastColumn="0" w:oddVBand="0" w:evenVBand="0" w:oddHBand="1" w:evenHBand="0" w:firstRowFirstColumn="0" w:firstRowLastColumn="0" w:lastRowFirstColumn="0" w:lastRowLastColumn="0"/>
        </w:trPr>
        <w:tc>
          <w:tcPr>
            <w:tcW w:w="2738" w:type="pct"/>
            <w:tcBorders>
              <w:top w:val="single" w:sz="12" w:space="0" w:color="00B0B9"/>
              <w:bottom w:val="single" w:sz="4" w:space="0" w:color="FFFFFF" w:themeColor="background1"/>
            </w:tcBorders>
            <w:hideMark/>
          </w:tcPr>
          <w:p w14:paraId="4174040A" w14:textId="77777777" w:rsidR="001404F7" w:rsidRPr="00821BBF" w:rsidRDefault="001404F7" w:rsidP="001404F7">
            <w:pPr>
              <w:spacing w:before="40" w:after="40"/>
              <w:rPr>
                <w:rFonts w:eastAsia="Times New Roman"/>
                <w:color w:val="000000" w:themeColor="text1"/>
                <w:spacing w:val="4"/>
                <w:sz w:val="20"/>
                <w:szCs w:val="20"/>
                <w:lang w:val="en-GB"/>
              </w:rPr>
            </w:pPr>
            <w:proofErr w:type="spellStart"/>
            <w:r w:rsidRPr="00821BBF">
              <w:rPr>
                <w:rFonts w:eastAsia="Times New Roman"/>
                <w:color w:val="000000" w:themeColor="text1"/>
                <w:spacing w:val="4"/>
                <w:sz w:val="20"/>
                <w:szCs w:val="20"/>
                <w:lang w:val="en-GB"/>
              </w:rPr>
              <w:t>Austudy</w:t>
            </w:r>
            <w:r w:rsidRPr="00821BBF">
              <w:rPr>
                <w:rFonts w:eastAsia="Times New Roman"/>
                <w:color w:val="000000" w:themeColor="text1"/>
                <w:spacing w:val="4"/>
                <w:sz w:val="20"/>
                <w:szCs w:val="20"/>
                <w:vertAlign w:val="superscript"/>
                <w:lang w:val="en-GB"/>
              </w:rPr>
              <w:t>m</w:t>
            </w:r>
            <w:proofErr w:type="spellEnd"/>
          </w:p>
        </w:tc>
        <w:tc>
          <w:tcPr>
            <w:tcW w:w="754" w:type="pct"/>
            <w:tcBorders>
              <w:top w:val="single" w:sz="12" w:space="0" w:color="00B0B9"/>
              <w:bottom w:val="single" w:sz="4" w:space="0" w:color="FFFFFF" w:themeColor="background1"/>
            </w:tcBorders>
            <w:hideMark/>
          </w:tcPr>
          <w:p w14:paraId="1ACBDAF6"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34,360</w:t>
            </w:r>
          </w:p>
        </w:tc>
        <w:tc>
          <w:tcPr>
            <w:tcW w:w="754" w:type="pct"/>
            <w:tcBorders>
              <w:top w:val="single" w:sz="12" w:space="0" w:color="00B0B9"/>
              <w:bottom w:val="single" w:sz="4" w:space="0" w:color="FFFFFF" w:themeColor="background1"/>
            </w:tcBorders>
            <w:hideMark/>
          </w:tcPr>
          <w:p w14:paraId="199BD55A"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34,950</w:t>
            </w:r>
          </w:p>
        </w:tc>
        <w:tc>
          <w:tcPr>
            <w:tcW w:w="754" w:type="pct"/>
            <w:tcBorders>
              <w:top w:val="single" w:sz="12" w:space="0" w:color="00B0B9"/>
              <w:bottom w:val="single" w:sz="4" w:space="0" w:color="FFFFFF" w:themeColor="background1"/>
            </w:tcBorders>
            <w:hideMark/>
          </w:tcPr>
          <w:p w14:paraId="0A54AA33" w14:textId="77777777" w:rsidR="001404F7" w:rsidRPr="00821BBF" w:rsidRDefault="001404F7" w:rsidP="001404F7">
            <w:pPr>
              <w:spacing w:before="40" w:after="40"/>
              <w:ind w:right="27"/>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39,170</w:t>
            </w:r>
          </w:p>
        </w:tc>
      </w:tr>
      <w:tr w:rsidR="001404F7" w:rsidRPr="00821BBF" w14:paraId="668A6339" w14:textId="77777777" w:rsidTr="001404F7">
        <w:trPr>
          <w:cnfStyle w:val="000000010000" w:firstRow="0" w:lastRow="0" w:firstColumn="0" w:lastColumn="0" w:oddVBand="0" w:evenVBand="0" w:oddHBand="0" w:evenHBand="1" w:firstRowFirstColumn="0" w:firstRowLastColumn="0" w:lastRowFirstColumn="0" w:lastRowLastColumn="0"/>
        </w:trPr>
        <w:tc>
          <w:tcPr>
            <w:tcW w:w="2738" w:type="pct"/>
            <w:tcBorders>
              <w:top w:val="single" w:sz="4" w:space="0" w:color="FFFFFF" w:themeColor="background1"/>
            </w:tcBorders>
            <w:hideMark/>
          </w:tcPr>
          <w:p w14:paraId="6D1A2BE6"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olor w:val="000000" w:themeColor="text1"/>
                <w:spacing w:val="4"/>
                <w:sz w:val="20"/>
                <w:szCs w:val="20"/>
                <w:lang w:val="en-GB"/>
              </w:rPr>
              <w:t>ABSTUDY—</w:t>
            </w:r>
            <w:proofErr w:type="spellStart"/>
            <w:r w:rsidRPr="00821BBF">
              <w:rPr>
                <w:rFonts w:eastAsia="Times New Roman"/>
                <w:color w:val="000000" w:themeColor="text1"/>
                <w:spacing w:val="4"/>
                <w:sz w:val="20"/>
                <w:szCs w:val="20"/>
                <w:lang w:val="en-GB"/>
              </w:rPr>
              <w:t>Secondary</w:t>
            </w:r>
            <w:r w:rsidRPr="00821BBF">
              <w:rPr>
                <w:rFonts w:eastAsia="Times New Roman"/>
                <w:color w:val="000000" w:themeColor="text1"/>
                <w:spacing w:val="4"/>
                <w:sz w:val="20"/>
                <w:szCs w:val="20"/>
                <w:vertAlign w:val="superscript"/>
                <w:lang w:val="en-GB"/>
              </w:rPr>
              <w:t>m</w:t>
            </w:r>
            <w:proofErr w:type="spellEnd"/>
          </w:p>
        </w:tc>
        <w:tc>
          <w:tcPr>
            <w:tcW w:w="754" w:type="pct"/>
            <w:tcBorders>
              <w:top w:val="single" w:sz="4" w:space="0" w:color="FFFFFF" w:themeColor="background1"/>
            </w:tcBorders>
            <w:hideMark/>
          </w:tcPr>
          <w:p w14:paraId="20131543"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18,201</w:t>
            </w:r>
          </w:p>
        </w:tc>
        <w:tc>
          <w:tcPr>
            <w:tcW w:w="754" w:type="pct"/>
            <w:tcBorders>
              <w:top w:val="single" w:sz="4" w:space="0" w:color="FFFFFF" w:themeColor="background1"/>
            </w:tcBorders>
            <w:hideMark/>
          </w:tcPr>
          <w:p w14:paraId="172364D0"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17,762</w:t>
            </w:r>
          </w:p>
        </w:tc>
        <w:tc>
          <w:tcPr>
            <w:tcW w:w="754" w:type="pct"/>
            <w:tcBorders>
              <w:top w:val="single" w:sz="4" w:space="0" w:color="FFFFFF" w:themeColor="background1"/>
            </w:tcBorders>
            <w:hideMark/>
          </w:tcPr>
          <w:p w14:paraId="43DF3F40" w14:textId="77777777" w:rsidR="001404F7" w:rsidRPr="00821BBF" w:rsidRDefault="001404F7" w:rsidP="001404F7">
            <w:pPr>
              <w:spacing w:before="40" w:after="40"/>
              <w:ind w:right="27"/>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18,984</w:t>
            </w:r>
          </w:p>
        </w:tc>
      </w:tr>
      <w:tr w:rsidR="001404F7" w:rsidRPr="00821BBF" w14:paraId="007F7D67" w14:textId="77777777" w:rsidTr="001404F7">
        <w:trPr>
          <w:cnfStyle w:val="000000100000" w:firstRow="0" w:lastRow="0" w:firstColumn="0" w:lastColumn="0" w:oddVBand="0" w:evenVBand="0" w:oddHBand="1" w:evenHBand="0" w:firstRowFirstColumn="0" w:firstRowLastColumn="0" w:lastRowFirstColumn="0" w:lastRowLastColumn="0"/>
        </w:trPr>
        <w:tc>
          <w:tcPr>
            <w:tcW w:w="2738" w:type="pct"/>
            <w:hideMark/>
          </w:tcPr>
          <w:p w14:paraId="660D6DE7"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ABSTUDY—</w:t>
            </w:r>
            <w:proofErr w:type="spellStart"/>
            <w:r w:rsidRPr="00821BBF">
              <w:rPr>
                <w:rFonts w:eastAsia="Times New Roman"/>
                <w:color w:val="000000" w:themeColor="text1"/>
                <w:spacing w:val="4"/>
                <w:sz w:val="20"/>
                <w:szCs w:val="20"/>
                <w:lang w:val="en-GB"/>
              </w:rPr>
              <w:t>Tertiary</w:t>
            </w:r>
            <w:r w:rsidRPr="00821BBF">
              <w:rPr>
                <w:rFonts w:eastAsia="Times New Roman"/>
                <w:color w:val="000000" w:themeColor="text1"/>
                <w:spacing w:val="4"/>
                <w:sz w:val="20"/>
                <w:szCs w:val="20"/>
                <w:vertAlign w:val="superscript"/>
                <w:lang w:val="en-GB"/>
              </w:rPr>
              <w:t>m</w:t>
            </w:r>
            <w:proofErr w:type="spellEnd"/>
          </w:p>
        </w:tc>
        <w:tc>
          <w:tcPr>
            <w:tcW w:w="754" w:type="pct"/>
            <w:hideMark/>
          </w:tcPr>
          <w:p w14:paraId="2C3E1BD9"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10,470</w:t>
            </w:r>
          </w:p>
        </w:tc>
        <w:tc>
          <w:tcPr>
            <w:tcW w:w="754" w:type="pct"/>
            <w:hideMark/>
          </w:tcPr>
          <w:p w14:paraId="65BF2102"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9,650</w:t>
            </w:r>
          </w:p>
        </w:tc>
        <w:tc>
          <w:tcPr>
            <w:tcW w:w="754" w:type="pct"/>
            <w:hideMark/>
          </w:tcPr>
          <w:p w14:paraId="70622702" w14:textId="77777777" w:rsidR="001404F7" w:rsidRPr="00821BBF" w:rsidRDefault="001404F7" w:rsidP="001404F7">
            <w:pPr>
              <w:spacing w:before="40" w:after="40"/>
              <w:ind w:right="27"/>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9,702</w:t>
            </w:r>
          </w:p>
        </w:tc>
      </w:tr>
      <w:tr w:rsidR="001404F7" w:rsidRPr="00821BBF" w14:paraId="6E7321C8" w14:textId="77777777" w:rsidTr="001404F7">
        <w:trPr>
          <w:cnfStyle w:val="000000010000" w:firstRow="0" w:lastRow="0" w:firstColumn="0" w:lastColumn="0" w:oddVBand="0" w:evenVBand="0" w:oddHBand="0" w:evenHBand="1" w:firstRowFirstColumn="0" w:firstRowLastColumn="0" w:lastRowFirstColumn="0" w:lastRowLastColumn="0"/>
        </w:trPr>
        <w:tc>
          <w:tcPr>
            <w:tcW w:w="2738" w:type="pct"/>
            <w:hideMark/>
          </w:tcPr>
          <w:p w14:paraId="35FA8DB1"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olor w:val="000000" w:themeColor="text1"/>
                <w:spacing w:val="4"/>
                <w:sz w:val="20"/>
                <w:szCs w:val="20"/>
                <w:lang w:val="en-GB"/>
              </w:rPr>
              <w:t>Youth Allowance (student)</w:t>
            </w:r>
            <w:proofErr w:type="spellStart"/>
            <w:r w:rsidRPr="00821BBF">
              <w:rPr>
                <w:rFonts w:eastAsia="Times New Roman"/>
                <w:color w:val="000000" w:themeColor="text1"/>
                <w:spacing w:val="4"/>
                <w:sz w:val="20"/>
                <w:szCs w:val="20"/>
                <w:vertAlign w:val="superscript"/>
                <w:lang w:val="en-GB"/>
              </w:rPr>
              <w:t>mn</w:t>
            </w:r>
            <w:proofErr w:type="spellEnd"/>
          </w:p>
        </w:tc>
        <w:tc>
          <w:tcPr>
            <w:tcW w:w="754" w:type="pct"/>
            <w:hideMark/>
          </w:tcPr>
          <w:p w14:paraId="681A9EC2"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177,700</w:t>
            </w:r>
          </w:p>
        </w:tc>
        <w:tc>
          <w:tcPr>
            <w:tcW w:w="754" w:type="pct"/>
            <w:hideMark/>
          </w:tcPr>
          <w:p w14:paraId="60496D83"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174,906</w:t>
            </w:r>
          </w:p>
        </w:tc>
        <w:tc>
          <w:tcPr>
            <w:tcW w:w="754" w:type="pct"/>
            <w:hideMark/>
          </w:tcPr>
          <w:p w14:paraId="7BFB3026" w14:textId="77777777" w:rsidR="001404F7" w:rsidRPr="00821BBF" w:rsidRDefault="001404F7" w:rsidP="001404F7">
            <w:pPr>
              <w:spacing w:before="40" w:after="40"/>
              <w:ind w:right="27"/>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187,114</w:t>
            </w:r>
          </w:p>
        </w:tc>
      </w:tr>
      <w:tr w:rsidR="001404F7" w:rsidRPr="00821BBF" w14:paraId="74617056" w14:textId="77777777" w:rsidTr="001404F7">
        <w:trPr>
          <w:cnfStyle w:val="000000100000" w:firstRow="0" w:lastRow="0" w:firstColumn="0" w:lastColumn="0" w:oddVBand="0" w:evenVBand="0" w:oddHBand="1" w:evenHBand="0" w:firstRowFirstColumn="0" w:firstRowLastColumn="0" w:lastRowFirstColumn="0" w:lastRowLastColumn="0"/>
        </w:trPr>
        <w:tc>
          <w:tcPr>
            <w:tcW w:w="2738" w:type="pct"/>
            <w:hideMark/>
          </w:tcPr>
          <w:p w14:paraId="51E3D8C9"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 xml:space="preserve">Student Start-up </w:t>
            </w:r>
            <w:proofErr w:type="spellStart"/>
            <w:r w:rsidRPr="00821BBF">
              <w:rPr>
                <w:rFonts w:eastAsia="Times New Roman"/>
                <w:color w:val="000000" w:themeColor="text1"/>
                <w:spacing w:val="4"/>
                <w:sz w:val="20"/>
                <w:szCs w:val="20"/>
                <w:lang w:val="en-GB"/>
              </w:rPr>
              <w:t>Loan</w:t>
            </w:r>
            <w:r w:rsidRPr="00821BBF">
              <w:rPr>
                <w:rFonts w:eastAsia="Times New Roman"/>
                <w:color w:val="000000" w:themeColor="text1"/>
                <w:spacing w:val="4"/>
                <w:sz w:val="20"/>
                <w:szCs w:val="20"/>
                <w:vertAlign w:val="superscript"/>
                <w:lang w:val="en-GB"/>
              </w:rPr>
              <w:t>op</w:t>
            </w:r>
            <w:proofErr w:type="spellEnd"/>
          </w:p>
        </w:tc>
        <w:tc>
          <w:tcPr>
            <w:tcW w:w="754" w:type="pct"/>
            <w:hideMark/>
          </w:tcPr>
          <w:p w14:paraId="2D007CD9"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101,115</w:t>
            </w:r>
          </w:p>
        </w:tc>
        <w:tc>
          <w:tcPr>
            <w:tcW w:w="754" w:type="pct"/>
            <w:hideMark/>
          </w:tcPr>
          <w:p w14:paraId="06C264E8"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112,773</w:t>
            </w:r>
          </w:p>
        </w:tc>
        <w:tc>
          <w:tcPr>
            <w:tcW w:w="754" w:type="pct"/>
            <w:hideMark/>
          </w:tcPr>
          <w:p w14:paraId="6AA5C41D" w14:textId="77777777" w:rsidR="001404F7" w:rsidRPr="00821BBF" w:rsidRDefault="001404F7" w:rsidP="001404F7">
            <w:pPr>
              <w:spacing w:before="40" w:after="40"/>
              <w:ind w:right="27"/>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104,248</w:t>
            </w:r>
          </w:p>
        </w:tc>
      </w:tr>
      <w:tr w:rsidR="001404F7" w:rsidRPr="00821BBF" w14:paraId="38634EA4" w14:textId="77777777" w:rsidTr="001404F7">
        <w:trPr>
          <w:cnfStyle w:val="000000010000" w:firstRow="0" w:lastRow="0" w:firstColumn="0" w:lastColumn="0" w:oddVBand="0" w:evenVBand="0" w:oddHBand="0" w:evenHBand="1" w:firstRowFirstColumn="0" w:firstRowLastColumn="0" w:lastRowFirstColumn="0" w:lastRowLastColumn="0"/>
        </w:trPr>
        <w:tc>
          <w:tcPr>
            <w:tcW w:w="2738" w:type="pct"/>
            <w:hideMark/>
          </w:tcPr>
          <w:p w14:paraId="591F9158" w14:textId="77777777" w:rsidR="001404F7" w:rsidRPr="00821BBF" w:rsidRDefault="001404F7" w:rsidP="001404F7">
            <w:pPr>
              <w:spacing w:before="40" w:after="40"/>
              <w:rPr>
                <w:rFonts w:eastAsia="Times New Roman" w:cs="Arial"/>
                <w:color w:val="000000" w:themeColor="text1"/>
                <w:spacing w:val="4"/>
                <w:sz w:val="20"/>
                <w:szCs w:val="20"/>
                <w:lang w:val="en-GB"/>
              </w:rPr>
            </w:pPr>
            <w:r w:rsidRPr="00821BBF">
              <w:rPr>
                <w:rFonts w:eastAsia="Times New Roman"/>
                <w:color w:val="000000" w:themeColor="text1"/>
                <w:spacing w:val="4"/>
                <w:sz w:val="20"/>
                <w:szCs w:val="20"/>
                <w:lang w:val="en-GB"/>
              </w:rPr>
              <w:t>Student Start-up Loan—</w:t>
            </w:r>
            <w:proofErr w:type="spellStart"/>
            <w:r w:rsidRPr="00821BBF">
              <w:rPr>
                <w:rFonts w:eastAsia="Times New Roman"/>
                <w:color w:val="000000" w:themeColor="text1"/>
                <w:spacing w:val="4"/>
                <w:sz w:val="20"/>
                <w:szCs w:val="20"/>
                <w:lang w:val="en-GB"/>
              </w:rPr>
              <w:t>ABSTUDY</w:t>
            </w:r>
            <w:r w:rsidRPr="00821BBF">
              <w:rPr>
                <w:rFonts w:eastAsia="Times New Roman"/>
                <w:color w:val="000000" w:themeColor="text1"/>
                <w:spacing w:val="4"/>
                <w:sz w:val="20"/>
                <w:szCs w:val="20"/>
                <w:vertAlign w:val="superscript"/>
                <w:lang w:val="en-GB"/>
              </w:rPr>
              <w:t>o</w:t>
            </w:r>
            <w:proofErr w:type="spellEnd"/>
          </w:p>
        </w:tc>
        <w:tc>
          <w:tcPr>
            <w:tcW w:w="754" w:type="pct"/>
            <w:hideMark/>
          </w:tcPr>
          <w:p w14:paraId="2B17D1C9" w14:textId="77777777" w:rsidR="001404F7" w:rsidRPr="00794BA3" w:rsidRDefault="001404F7" w:rsidP="001404F7">
            <w:pPr>
              <w:spacing w:before="40" w:after="40"/>
              <w:jc w:val="right"/>
              <w:rPr>
                <w:rFonts w:eastAsia="Times New Roman"/>
                <w:spacing w:val="4"/>
                <w:sz w:val="20"/>
                <w:szCs w:val="20"/>
                <w:lang w:val="en-GB"/>
              </w:rPr>
            </w:pPr>
            <w:r w:rsidRPr="00794BA3">
              <w:rPr>
                <w:rFonts w:eastAsia="Times New Roman"/>
                <w:spacing w:val="4"/>
                <w:sz w:val="20"/>
                <w:szCs w:val="20"/>
                <w:lang w:val="en-GB"/>
              </w:rPr>
              <w:t>2,373</w:t>
            </w:r>
          </w:p>
        </w:tc>
        <w:tc>
          <w:tcPr>
            <w:tcW w:w="754" w:type="pct"/>
            <w:hideMark/>
          </w:tcPr>
          <w:p w14:paraId="4BD7C650" w14:textId="77777777" w:rsidR="001404F7" w:rsidRPr="00821BBF" w:rsidRDefault="001404F7" w:rsidP="001404F7">
            <w:pPr>
              <w:spacing w:before="40" w:after="40"/>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2,136</w:t>
            </w:r>
          </w:p>
        </w:tc>
        <w:tc>
          <w:tcPr>
            <w:tcW w:w="754" w:type="pct"/>
            <w:hideMark/>
          </w:tcPr>
          <w:p w14:paraId="2FDFD10B" w14:textId="77777777" w:rsidR="001404F7" w:rsidRPr="00821BBF" w:rsidRDefault="001404F7" w:rsidP="001404F7">
            <w:pPr>
              <w:spacing w:before="40" w:after="40"/>
              <w:ind w:right="27"/>
              <w:jc w:val="right"/>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1,948</w:t>
            </w:r>
          </w:p>
        </w:tc>
      </w:tr>
    </w:tbl>
    <w:p w14:paraId="54CCB388" w14:textId="77777777" w:rsidR="001404F7" w:rsidRPr="00794BA3" w:rsidRDefault="001404F7" w:rsidP="001404F7">
      <w:pPr>
        <w:spacing w:before="160" w:after="0" w:line="240" w:lineRule="auto"/>
        <w:ind w:left="284" w:hanging="284"/>
        <w:contextualSpacing/>
        <w:rPr>
          <w:rFonts w:cs="Arial"/>
          <w:sz w:val="16"/>
          <w:szCs w:val="16"/>
        </w:rPr>
      </w:pPr>
      <w:r w:rsidRPr="00794BA3">
        <w:rPr>
          <w:rFonts w:cs="Arial"/>
          <w:sz w:val="16"/>
          <w:szCs w:val="16"/>
        </w:rPr>
        <w:t>a</w:t>
      </w:r>
      <w:r w:rsidRPr="00794BA3">
        <w:rPr>
          <w:rFonts w:cs="Arial"/>
          <w:sz w:val="16"/>
          <w:szCs w:val="16"/>
        </w:rPr>
        <w:tab/>
        <w:t>Data for number of cases is point-in-time as at 30 June of the relevant financial year.</w:t>
      </w:r>
    </w:p>
    <w:p w14:paraId="4C104CF6" w14:textId="77777777" w:rsidR="001404F7" w:rsidRPr="00794BA3" w:rsidRDefault="001404F7" w:rsidP="001404F7">
      <w:pPr>
        <w:spacing w:before="160" w:after="0" w:line="240" w:lineRule="auto"/>
        <w:ind w:left="284" w:hanging="284"/>
        <w:contextualSpacing/>
        <w:rPr>
          <w:rFonts w:cs="Arial"/>
          <w:sz w:val="16"/>
          <w:szCs w:val="16"/>
        </w:rPr>
      </w:pPr>
      <w:r w:rsidRPr="00794BA3">
        <w:rPr>
          <w:rFonts w:cs="Arial"/>
          <w:sz w:val="16"/>
          <w:szCs w:val="16"/>
        </w:rPr>
        <w:t>b</w:t>
      </w:r>
      <w:r w:rsidRPr="00794BA3">
        <w:rPr>
          <w:rFonts w:cs="Arial"/>
          <w:sz w:val="16"/>
          <w:szCs w:val="16"/>
        </w:rPr>
        <w:tab/>
        <w:t>The Single Income Family Supplement is closed to new entrants. Recipients eligible on 30 June 2017 may continue to receive the supplement if they remain continuously eligible.</w:t>
      </w:r>
    </w:p>
    <w:p w14:paraId="28654A11" w14:textId="1FBB67C0" w:rsidR="001404F7" w:rsidRPr="00794BA3" w:rsidRDefault="001404F7" w:rsidP="001404F7">
      <w:pPr>
        <w:spacing w:before="160" w:after="0" w:line="240" w:lineRule="auto"/>
        <w:ind w:left="284" w:hanging="284"/>
        <w:contextualSpacing/>
        <w:rPr>
          <w:rFonts w:cs="Arial"/>
          <w:sz w:val="16"/>
          <w:szCs w:val="16"/>
        </w:rPr>
      </w:pPr>
      <w:r w:rsidRPr="00794BA3">
        <w:rPr>
          <w:rFonts w:cs="Arial"/>
          <w:sz w:val="16"/>
          <w:szCs w:val="16"/>
        </w:rPr>
        <w:t>c</w:t>
      </w:r>
      <w:r w:rsidRPr="00794BA3">
        <w:rPr>
          <w:rFonts w:cs="Arial"/>
          <w:sz w:val="16"/>
          <w:szCs w:val="16"/>
        </w:rPr>
        <w:tab/>
        <w:t xml:space="preserve">Family Tax Benefit recipients are automatically assessed for Single Income Family Supplement when their Family Tax Benefit entitlement is reconciled. Data for </w:t>
      </w:r>
      <w:r w:rsidRPr="000462C9">
        <w:rPr>
          <w:rFonts w:cs="Arial"/>
          <w:sz w:val="16"/>
          <w:szCs w:val="16"/>
        </w:rPr>
        <w:t>201</w:t>
      </w:r>
      <w:r w:rsidR="002F6BEB" w:rsidRPr="000462C9">
        <w:rPr>
          <w:rFonts w:cs="Arial"/>
          <w:sz w:val="16"/>
          <w:szCs w:val="16"/>
        </w:rPr>
        <w:t>9</w:t>
      </w:r>
      <w:r w:rsidRPr="000462C9">
        <w:rPr>
          <w:rFonts w:cs="Arial"/>
          <w:sz w:val="16"/>
          <w:szCs w:val="16"/>
        </w:rPr>
        <w:t>–</w:t>
      </w:r>
      <w:r w:rsidR="002F6BEB" w:rsidRPr="000462C9">
        <w:rPr>
          <w:rFonts w:cs="Arial"/>
          <w:sz w:val="16"/>
          <w:szCs w:val="16"/>
        </w:rPr>
        <w:t>20</w:t>
      </w:r>
      <w:r w:rsidRPr="00794BA3">
        <w:rPr>
          <w:rFonts w:cs="Arial"/>
          <w:sz w:val="16"/>
          <w:szCs w:val="16"/>
        </w:rPr>
        <w:t xml:space="preserve"> is not available as the reconciliation process for Family Tax Benefit is not yet finalised.</w:t>
      </w:r>
    </w:p>
    <w:p w14:paraId="50D739B4" w14:textId="77777777" w:rsidR="001404F7" w:rsidRPr="00794BA3" w:rsidRDefault="001404F7" w:rsidP="001404F7">
      <w:pPr>
        <w:spacing w:before="160" w:after="0" w:line="240" w:lineRule="auto"/>
        <w:ind w:left="284" w:hanging="284"/>
        <w:contextualSpacing/>
        <w:rPr>
          <w:rFonts w:cs="Arial"/>
          <w:sz w:val="16"/>
          <w:szCs w:val="16"/>
        </w:rPr>
      </w:pPr>
      <w:r w:rsidRPr="00794BA3">
        <w:rPr>
          <w:rFonts w:cs="Arial"/>
          <w:sz w:val="16"/>
          <w:szCs w:val="16"/>
        </w:rPr>
        <w:t>d</w:t>
      </w:r>
      <w:r w:rsidRPr="00794BA3">
        <w:rPr>
          <w:rFonts w:cs="Arial"/>
          <w:sz w:val="16"/>
          <w:szCs w:val="16"/>
        </w:rPr>
        <w:tab/>
        <w:t>Number has been revised due to the further reconciliation.</w:t>
      </w:r>
    </w:p>
    <w:p w14:paraId="6BCD8BD3" w14:textId="7387E92B" w:rsidR="001404F7" w:rsidRPr="00794BA3" w:rsidRDefault="001404F7" w:rsidP="001404F7">
      <w:pPr>
        <w:spacing w:before="160" w:after="0" w:line="240" w:lineRule="auto"/>
        <w:ind w:left="284" w:hanging="284"/>
        <w:contextualSpacing/>
        <w:rPr>
          <w:rFonts w:cs="Arial"/>
          <w:sz w:val="16"/>
          <w:szCs w:val="16"/>
        </w:rPr>
      </w:pPr>
      <w:r w:rsidRPr="00794BA3">
        <w:rPr>
          <w:rFonts w:cs="Arial"/>
          <w:sz w:val="16"/>
          <w:szCs w:val="16"/>
        </w:rPr>
        <w:t>e</w:t>
      </w:r>
      <w:r w:rsidRPr="00794BA3">
        <w:rPr>
          <w:rFonts w:cs="Arial"/>
          <w:sz w:val="16"/>
          <w:szCs w:val="16"/>
        </w:rPr>
        <w:tab/>
        <w:t xml:space="preserve">The </w:t>
      </w:r>
      <w:r w:rsidR="00A61E7A">
        <w:rPr>
          <w:rFonts w:cs="Arial"/>
          <w:sz w:val="16"/>
          <w:szCs w:val="16"/>
        </w:rPr>
        <w:t>department’s</w:t>
      </w:r>
      <w:r w:rsidRPr="00794BA3">
        <w:rPr>
          <w:rFonts w:cs="Arial"/>
          <w:sz w:val="16"/>
          <w:szCs w:val="16"/>
        </w:rPr>
        <w:t xml:space="preserve"> 2017–18 Annual Report, Table 2.1.13b (page 41) stated that 886 people received the payment. The correct figure was 866.</w:t>
      </w:r>
    </w:p>
    <w:p w14:paraId="477A0AE6" w14:textId="77777777" w:rsidR="001404F7" w:rsidRPr="00794BA3" w:rsidRDefault="001404F7" w:rsidP="001404F7">
      <w:pPr>
        <w:spacing w:before="160" w:after="0" w:line="240" w:lineRule="auto"/>
        <w:ind w:left="284" w:hanging="284"/>
        <w:contextualSpacing/>
        <w:rPr>
          <w:rFonts w:cs="Arial"/>
          <w:sz w:val="16"/>
          <w:szCs w:val="16"/>
        </w:rPr>
      </w:pPr>
      <w:r w:rsidRPr="00794BA3">
        <w:rPr>
          <w:rFonts w:cs="Arial"/>
          <w:sz w:val="16"/>
          <w:szCs w:val="16"/>
        </w:rPr>
        <w:t>f</w:t>
      </w:r>
      <w:r w:rsidRPr="00794BA3">
        <w:rPr>
          <w:rFonts w:cs="Arial"/>
          <w:sz w:val="16"/>
          <w:szCs w:val="16"/>
        </w:rPr>
        <w:tab/>
      </w:r>
      <w:r w:rsidRPr="00CE27CA">
        <w:rPr>
          <w:rFonts w:cs="Arial"/>
          <w:sz w:val="16"/>
          <w:szCs w:val="16"/>
        </w:rPr>
        <w:t>These figures are for the month of December each year due to the nature of the payment.</w:t>
      </w:r>
    </w:p>
    <w:p w14:paraId="3000ED1A" w14:textId="77777777" w:rsidR="001404F7" w:rsidRPr="00794BA3" w:rsidRDefault="001404F7" w:rsidP="001404F7">
      <w:pPr>
        <w:spacing w:before="160" w:after="0" w:line="240" w:lineRule="auto"/>
        <w:ind w:left="284" w:hanging="284"/>
        <w:contextualSpacing/>
        <w:rPr>
          <w:rFonts w:cs="Arial"/>
          <w:sz w:val="16"/>
          <w:szCs w:val="16"/>
        </w:rPr>
      </w:pPr>
      <w:r w:rsidRPr="00794BA3">
        <w:rPr>
          <w:rFonts w:cs="Arial"/>
          <w:sz w:val="16"/>
          <w:szCs w:val="16"/>
        </w:rPr>
        <w:t>g</w:t>
      </w:r>
      <w:r w:rsidRPr="00794BA3">
        <w:rPr>
          <w:rFonts w:cs="Arial"/>
          <w:sz w:val="16"/>
          <w:szCs w:val="16"/>
        </w:rPr>
        <w:tab/>
        <w:t>This is the number of grants for each financial year.  Bereavement Allowance closed to new recipients on 20 March 2020 and will cease when all current recipients completed their bereavement period.</w:t>
      </w:r>
    </w:p>
    <w:p w14:paraId="2E94C63A" w14:textId="77777777" w:rsidR="001404F7" w:rsidRPr="00794BA3" w:rsidRDefault="001404F7" w:rsidP="001404F7">
      <w:pPr>
        <w:spacing w:before="160" w:after="0" w:line="240" w:lineRule="auto"/>
        <w:ind w:left="284" w:hanging="284"/>
        <w:contextualSpacing/>
        <w:rPr>
          <w:rFonts w:cs="Arial"/>
          <w:sz w:val="16"/>
          <w:szCs w:val="16"/>
        </w:rPr>
      </w:pPr>
      <w:r w:rsidRPr="00794BA3">
        <w:rPr>
          <w:rFonts w:cs="Arial"/>
          <w:sz w:val="16"/>
          <w:szCs w:val="16"/>
        </w:rPr>
        <w:t>h</w:t>
      </w:r>
      <w:r w:rsidRPr="00794BA3">
        <w:rPr>
          <w:rFonts w:cs="Arial"/>
          <w:sz w:val="16"/>
          <w:szCs w:val="16"/>
        </w:rPr>
        <w:tab/>
      </w:r>
      <w:r w:rsidRPr="009F67CA">
        <w:rPr>
          <w:rFonts w:cs="Arial"/>
          <w:sz w:val="16"/>
          <w:szCs w:val="16"/>
        </w:rPr>
        <w:t>These figures are unique counts of recipients across the financial year.</w:t>
      </w:r>
    </w:p>
    <w:p w14:paraId="1C85795D" w14:textId="2461A15A" w:rsidR="001404F7" w:rsidRPr="00794BA3" w:rsidRDefault="001C599F" w:rsidP="001404F7">
      <w:pPr>
        <w:spacing w:before="160" w:after="0" w:line="240" w:lineRule="auto"/>
        <w:ind w:left="284" w:hanging="284"/>
        <w:contextualSpacing/>
        <w:rPr>
          <w:rFonts w:cs="Arial"/>
          <w:sz w:val="16"/>
          <w:szCs w:val="16"/>
        </w:rPr>
      </w:pPr>
      <w:proofErr w:type="spellStart"/>
      <w:r>
        <w:rPr>
          <w:rFonts w:cs="Arial"/>
          <w:sz w:val="16"/>
          <w:szCs w:val="16"/>
        </w:rPr>
        <w:t>i</w:t>
      </w:r>
      <w:proofErr w:type="spellEnd"/>
      <w:r w:rsidR="001404F7" w:rsidRPr="00794BA3">
        <w:rPr>
          <w:rFonts w:cs="Arial"/>
          <w:sz w:val="16"/>
          <w:szCs w:val="16"/>
        </w:rPr>
        <w:tab/>
        <w:t>Wife (A</w:t>
      </w:r>
      <w:r w:rsidR="00227CCA">
        <w:rPr>
          <w:rFonts w:cs="Arial"/>
          <w:sz w:val="16"/>
          <w:szCs w:val="16"/>
        </w:rPr>
        <w:t>ge</w:t>
      </w:r>
      <w:r w:rsidR="001404F7" w:rsidRPr="00794BA3">
        <w:rPr>
          <w:rFonts w:cs="Arial"/>
          <w:sz w:val="16"/>
          <w:szCs w:val="16"/>
        </w:rPr>
        <w:t xml:space="preserve"> &amp; DSP) Pension and Widow B Pension closed on 20 March 2020</w:t>
      </w:r>
      <w:r w:rsidR="001404F7">
        <w:rPr>
          <w:rFonts w:cs="Arial"/>
          <w:sz w:val="16"/>
          <w:szCs w:val="16"/>
        </w:rPr>
        <w:t>.</w:t>
      </w:r>
    </w:p>
    <w:p w14:paraId="478D938A" w14:textId="77777777" w:rsidR="001404F7" w:rsidRPr="00794BA3" w:rsidRDefault="001404F7" w:rsidP="001404F7">
      <w:pPr>
        <w:spacing w:before="160" w:after="0" w:line="240" w:lineRule="auto"/>
        <w:ind w:left="284" w:hanging="284"/>
        <w:contextualSpacing/>
        <w:rPr>
          <w:rFonts w:cs="Arial"/>
          <w:sz w:val="16"/>
          <w:szCs w:val="16"/>
        </w:rPr>
      </w:pPr>
      <w:r w:rsidRPr="00794BA3">
        <w:rPr>
          <w:rFonts w:cs="Arial"/>
          <w:sz w:val="16"/>
          <w:szCs w:val="16"/>
        </w:rPr>
        <w:t>j</w:t>
      </w:r>
      <w:r w:rsidRPr="00794BA3">
        <w:rPr>
          <w:rFonts w:cs="Arial"/>
          <w:sz w:val="16"/>
          <w:szCs w:val="16"/>
        </w:rPr>
        <w:tab/>
        <w:t>Significant decrease is due to recipients transitioning to NDIS as it is rolled out. Mobility Allowance is not payable to those in receipt of an NDIS package.</w:t>
      </w:r>
    </w:p>
    <w:p w14:paraId="1D61FC29" w14:textId="77777777" w:rsidR="001404F7" w:rsidRPr="00794BA3" w:rsidRDefault="001404F7" w:rsidP="001404F7">
      <w:pPr>
        <w:spacing w:before="160" w:after="0" w:line="240" w:lineRule="auto"/>
        <w:ind w:left="284" w:hanging="284"/>
        <w:contextualSpacing/>
        <w:rPr>
          <w:rFonts w:cs="Arial"/>
          <w:sz w:val="16"/>
          <w:szCs w:val="16"/>
        </w:rPr>
      </w:pPr>
      <w:r w:rsidRPr="00794BA3">
        <w:rPr>
          <w:rFonts w:cs="Arial"/>
          <w:sz w:val="16"/>
          <w:szCs w:val="16"/>
        </w:rPr>
        <w:t>k</w:t>
      </w:r>
      <w:r w:rsidRPr="00794BA3">
        <w:rPr>
          <w:rFonts w:cs="Arial"/>
          <w:sz w:val="16"/>
          <w:szCs w:val="16"/>
        </w:rPr>
        <w:tab/>
        <w:t>Excludes carers whose care receiver qualified for a Health Care Card only.</w:t>
      </w:r>
    </w:p>
    <w:p w14:paraId="5313815E" w14:textId="77777777" w:rsidR="001404F7" w:rsidRPr="00D231AA" w:rsidRDefault="001404F7" w:rsidP="001404F7">
      <w:pPr>
        <w:spacing w:before="160" w:after="60" w:line="240" w:lineRule="auto"/>
        <w:ind w:left="284" w:hanging="284"/>
        <w:contextualSpacing/>
        <w:rPr>
          <w:rFonts w:cs="Arial"/>
          <w:sz w:val="16"/>
          <w:szCs w:val="16"/>
        </w:rPr>
      </w:pPr>
      <w:r w:rsidRPr="00D231AA">
        <w:rPr>
          <w:rFonts w:cs="Arial"/>
          <w:sz w:val="16"/>
          <w:szCs w:val="16"/>
        </w:rPr>
        <w:t>l</w:t>
      </w:r>
      <w:r w:rsidRPr="00D231AA">
        <w:rPr>
          <w:rFonts w:cs="Arial"/>
          <w:sz w:val="16"/>
          <w:szCs w:val="16"/>
        </w:rPr>
        <w:tab/>
        <w:t>Sickness Allowance closed to new recipients on 20 March 2020 and will cease by September 2020.</w:t>
      </w:r>
    </w:p>
    <w:p w14:paraId="2E56D023" w14:textId="77777777" w:rsidR="001404F7" w:rsidRPr="00D231AA" w:rsidRDefault="001404F7" w:rsidP="001404F7">
      <w:pPr>
        <w:spacing w:before="160" w:after="0" w:line="240" w:lineRule="auto"/>
        <w:ind w:left="284" w:hanging="284"/>
        <w:contextualSpacing/>
        <w:rPr>
          <w:rFonts w:cs="Arial"/>
          <w:sz w:val="16"/>
          <w:szCs w:val="16"/>
        </w:rPr>
      </w:pPr>
      <w:r w:rsidRPr="00D231AA">
        <w:rPr>
          <w:rFonts w:cs="Arial"/>
          <w:sz w:val="16"/>
          <w:szCs w:val="16"/>
        </w:rPr>
        <w:t>m</w:t>
      </w:r>
      <w:r w:rsidRPr="00D231AA">
        <w:rPr>
          <w:rFonts w:cs="Arial"/>
          <w:sz w:val="16"/>
          <w:szCs w:val="16"/>
        </w:rPr>
        <w:tab/>
        <w:t>These figures are monthly averages due to the seasonal nature of Student Payments.</w:t>
      </w:r>
    </w:p>
    <w:p w14:paraId="537B9226" w14:textId="77777777" w:rsidR="001404F7" w:rsidRPr="00D231AA" w:rsidRDefault="001404F7" w:rsidP="001404F7">
      <w:pPr>
        <w:spacing w:before="160" w:after="0" w:line="240" w:lineRule="auto"/>
        <w:ind w:left="284" w:hanging="284"/>
        <w:contextualSpacing/>
        <w:rPr>
          <w:rFonts w:cs="Arial"/>
          <w:sz w:val="16"/>
          <w:szCs w:val="16"/>
        </w:rPr>
      </w:pPr>
      <w:r w:rsidRPr="00D231AA">
        <w:rPr>
          <w:rFonts w:cs="Arial"/>
          <w:sz w:val="16"/>
          <w:szCs w:val="16"/>
        </w:rPr>
        <w:t>n</w:t>
      </w:r>
      <w:r w:rsidRPr="00D231AA">
        <w:rPr>
          <w:rFonts w:cs="Arial"/>
          <w:sz w:val="16"/>
          <w:szCs w:val="16"/>
        </w:rPr>
        <w:tab/>
        <w:t>Includes Australian apprentices.</w:t>
      </w:r>
    </w:p>
    <w:p w14:paraId="46A2A7ED" w14:textId="77777777" w:rsidR="001404F7" w:rsidRPr="00D231AA" w:rsidRDefault="001404F7" w:rsidP="001404F7">
      <w:pPr>
        <w:spacing w:after="0" w:line="240" w:lineRule="auto"/>
        <w:ind w:left="284" w:hanging="284"/>
        <w:contextualSpacing/>
        <w:rPr>
          <w:rFonts w:cs="Arial"/>
          <w:sz w:val="16"/>
          <w:szCs w:val="16"/>
        </w:rPr>
      </w:pPr>
      <w:r w:rsidRPr="00D231AA">
        <w:rPr>
          <w:rFonts w:cs="Arial"/>
          <w:sz w:val="16"/>
          <w:szCs w:val="16"/>
        </w:rPr>
        <w:t>o</w:t>
      </w:r>
      <w:r w:rsidRPr="00D231AA">
        <w:rPr>
          <w:rFonts w:cs="Arial"/>
          <w:sz w:val="16"/>
          <w:szCs w:val="16"/>
        </w:rPr>
        <w:tab/>
        <w:t>These figures are unique counts of recipients across the calendar year due to the nature of the payment.</w:t>
      </w:r>
    </w:p>
    <w:p w14:paraId="69110D0E" w14:textId="77777777" w:rsidR="001404F7" w:rsidRPr="00794BA3" w:rsidRDefault="001404F7" w:rsidP="001404F7">
      <w:pPr>
        <w:spacing w:after="0" w:line="240" w:lineRule="auto"/>
        <w:ind w:left="284" w:hanging="284"/>
        <w:contextualSpacing/>
        <w:rPr>
          <w:rFonts w:cs="Arial"/>
          <w:sz w:val="16"/>
          <w:szCs w:val="16"/>
        </w:rPr>
      </w:pPr>
      <w:r w:rsidRPr="00D231AA">
        <w:rPr>
          <w:rFonts w:cs="Arial"/>
          <w:sz w:val="16"/>
          <w:szCs w:val="16"/>
        </w:rPr>
        <w:t>p</w:t>
      </w:r>
      <w:r w:rsidRPr="00D231AA">
        <w:rPr>
          <w:rFonts w:cs="Arial"/>
          <w:sz w:val="16"/>
          <w:szCs w:val="16"/>
        </w:rPr>
        <w:tab/>
        <w:t xml:space="preserve">Youth Allowance and </w:t>
      </w:r>
      <w:proofErr w:type="spellStart"/>
      <w:r w:rsidRPr="00D231AA">
        <w:rPr>
          <w:rFonts w:cs="Arial"/>
          <w:sz w:val="16"/>
          <w:szCs w:val="16"/>
        </w:rPr>
        <w:t>Austudy</w:t>
      </w:r>
      <w:proofErr w:type="spellEnd"/>
      <w:r w:rsidRPr="00D231AA">
        <w:rPr>
          <w:rFonts w:cs="Arial"/>
          <w:sz w:val="16"/>
          <w:szCs w:val="16"/>
        </w:rPr>
        <w:t xml:space="preserve"> recipients only.</w:t>
      </w:r>
    </w:p>
    <w:p w14:paraId="5B8D762F" w14:textId="77777777" w:rsidR="00715F6F" w:rsidRDefault="00715F6F">
      <w:pPr>
        <w:rPr>
          <w:rFonts w:eastAsiaTheme="majorEastAsia" w:cstheme="majorBidi"/>
          <w:b/>
          <w:color w:val="595959" w:themeColor="text1" w:themeTint="A6"/>
          <w:sz w:val="24"/>
          <w:szCs w:val="20"/>
        </w:rPr>
        <w:sectPr w:rsidR="00715F6F" w:rsidSect="00585891">
          <w:footnotePr>
            <w:numRestart w:val="eachPage"/>
          </w:footnotePr>
          <w:pgSz w:w="11906" w:h="16838"/>
          <w:pgMar w:top="1440" w:right="1440" w:bottom="1440" w:left="1440" w:header="709" w:footer="709" w:gutter="0"/>
          <w:cols w:space="708"/>
          <w:docGrid w:linePitch="360"/>
        </w:sectPr>
      </w:pPr>
    </w:p>
    <w:p w14:paraId="4E2EC9BF" w14:textId="49F1F9A3" w:rsidR="001404F7" w:rsidRDefault="001404F7" w:rsidP="001404F7">
      <w:pPr>
        <w:spacing w:before="240" w:after="240" w:line="260" w:lineRule="atLeast"/>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lastRenderedPageBreak/>
        <w:t xml:space="preserve">C1.5.2 </w:t>
      </w:r>
      <w:r w:rsidRPr="006447FF">
        <w:rPr>
          <w:rFonts w:eastAsiaTheme="majorEastAsia" w:cstheme="majorBidi"/>
          <w:b/>
          <w:color w:val="595959" w:themeColor="text1" w:themeTint="A6"/>
          <w:sz w:val="24"/>
          <w:szCs w:val="20"/>
        </w:rPr>
        <w:t>Number of children</w:t>
      </w:r>
    </w:p>
    <w:p w14:paraId="73FE814C" w14:textId="77777777" w:rsidR="001404F7" w:rsidRPr="00D47E5B"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sidRPr="00D47E5B">
        <w:rPr>
          <w:rFonts w:ascii="Arial Narrow" w:eastAsia="Times New Roman" w:hAnsi="Arial Narrow" w:cs="Times New Roman"/>
          <w:b/>
          <w:bCs/>
          <w:spacing w:val="4"/>
          <w:sz w:val="20"/>
          <w:szCs w:val="18"/>
          <w:lang w:eastAsia="en-AU"/>
        </w:rPr>
        <w:t>Table 2.1.1</w:t>
      </w:r>
      <w:r>
        <w:rPr>
          <w:rFonts w:ascii="Arial Narrow" w:eastAsia="Times New Roman" w:hAnsi="Arial Narrow" w:cs="Times New Roman"/>
          <w:b/>
          <w:bCs/>
          <w:spacing w:val="4"/>
          <w:sz w:val="20"/>
          <w:szCs w:val="18"/>
          <w:lang w:eastAsia="en-AU"/>
        </w:rPr>
        <w:t>6</w:t>
      </w:r>
      <w:r w:rsidRPr="00D47E5B">
        <w:rPr>
          <w:rFonts w:ascii="Arial Narrow" w:eastAsia="Times New Roman" w:hAnsi="Arial Narrow" w:cs="Times New Roman"/>
          <w:b/>
          <w:bCs/>
          <w:spacing w:val="4"/>
          <w:sz w:val="20"/>
          <w:szCs w:val="18"/>
          <w:lang w:eastAsia="en-AU"/>
        </w:rPr>
        <w:t>a: Number of children — Family Tax Benefit</w:t>
      </w:r>
    </w:p>
    <w:tbl>
      <w:tblPr>
        <w:tblStyle w:val="HHorizontaltable1"/>
        <w:tblW w:w="5100" w:type="pct"/>
        <w:tblLook w:val="04A0" w:firstRow="1" w:lastRow="0" w:firstColumn="1" w:lastColumn="0" w:noHBand="0" w:noVBand="1"/>
        <w:tblCaption w:val="Table 2.1.16a: Number of children - Family Tax Benefit"/>
        <w:tblDescription w:val="Table 2.1.16a: Number of children - Family Tax Benefit"/>
      </w:tblPr>
      <w:tblGrid>
        <w:gridCol w:w="5100"/>
        <w:gridCol w:w="1361"/>
        <w:gridCol w:w="1361"/>
        <w:gridCol w:w="1361"/>
        <w:gridCol w:w="24"/>
      </w:tblGrid>
      <w:tr w:rsidR="001404F7" w:rsidRPr="00821BBF" w14:paraId="35CCBAEB" w14:textId="77777777" w:rsidTr="001404F7">
        <w:trPr>
          <w:gridAfter w:val="1"/>
          <w:cnfStyle w:val="100000000000" w:firstRow="1" w:lastRow="0" w:firstColumn="0" w:lastColumn="0" w:oddVBand="0" w:evenVBand="0" w:oddHBand="0" w:evenHBand="0" w:firstRowFirstColumn="0" w:firstRowLastColumn="0" w:lastRowFirstColumn="0" w:lastRowLastColumn="0"/>
          <w:wAfter w:w="24" w:type="dxa"/>
          <w:trHeight w:val="317"/>
        </w:trPr>
        <w:tc>
          <w:tcPr>
            <w:tcW w:w="2770" w:type="pct"/>
            <w:vMerge w:val="restart"/>
            <w:hideMark/>
          </w:tcPr>
          <w:p w14:paraId="05B32372" w14:textId="77777777" w:rsidR="001404F7" w:rsidRPr="00D13460" w:rsidRDefault="001404F7" w:rsidP="001404F7">
            <w:pPr>
              <w:keepNext/>
              <w:keepLines/>
              <w:spacing w:before="40" w:after="40"/>
              <w:rPr>
                <w:rFonts w:eastAsia="Times New Roman" w:cs="Times New Roman"/>
                <w:sz w:val="20"/>
                <w:szCs w:val="18"/>
              </w:rPr>
            </w:pPr>
            <w:r w:rsidRPr="00D13460">
              <w:rPr>
                <w:rFonts w:eastAsia="Times New Roman" w:cs="Times New Roman"/>
                <w:sz w:val="20"/>
                <w:szCs w:val="18"/>
              </w:rPr>
              <w:t>Output performance measure</w:t>
            </w:r>
          </w:p>
        </w:tc>
        <w:tc>
          <w:tcPr>
            <w:tcW w:w="2217" w:type="pct"/>
            <w:gridSpan w:val="3"/>
            <w:hideMark/>
          </w:tcPr>
          <w:p w14:paraId="44637001" w14:textId="77777777" w:rsidR="001404F7" w:rsidRPr="00D13460" w:rsidRDefault="001404F7" w:rsidP="001404F7">
            <w:pPr>
              <w:keepNext/>
              <w:keepLines/>
              <w:spacing w:before="40" w:after="40"/>
              <w:jc w:val="center"/>
              <w:rPr>
                <w:rFonts w:eastAsia="Times New Roman" w:cs="Times New Roman"/>
                <w:sz w:val="20"/>
                <w:szCs w:val="18"/>
              </w:rPr>
            </w:pPr>
            <w:r w:rsidRPr="00D13460">
              <w:rPr>
                <w:rFonts w:eastAsia="Times New Roman" w:cs="Times New Roman"/>
                <w:sz w:val="20"/>
                <w:szCs w:val="18"/>
              </w:rPr>
              <w:t>Entitlement year</w:t>
            </w:r>
          </w:p>
        </w:tc>
      </w:tr>
      <w:tr w:rsidR="001404F7" w:rsidRPr="00821BBF" w14:paraId="65B8A4C4" w14:textId="77777777" w:rsidTr="001404F7">
        <w:trPr>
          <w:gridAfter w:val="1"/>
          <w:cnfStyle w:val="000000100000" w:firstRow="0" w:lastRow="0" w:firstColumn="0" w:lastColumn="0" w:oddVBand="0" w:evenVBand="0" w:oddHBand="1" w:evenHBand="0" w:firstRowFirstColumn="0" w:firstRowLastColumn="0" w:lastRowFirstColumn="0" w:lastRowLastColumn="0"/>
          <w:wAfter w:w="24" w:type="dxa"/>
          <w:trHeight w:val="317"/>
        </w:trPr>
        <w:tc>
          <w:tcPr>
            <w:tcW w:w="2770" w:type="pct"/>
            <w:vMerge/>
            <w:shd w:val="clear" w:color="auto" w:fill="00B0B9"/>
            <w:hideMark/>
          </w:tcPr>
          <w:p w14:paraId="0A2B9A13" w14:textId="77777777" w:rsidR="001404F7" w:rsidRPr="00D13460" w:rsidRDefault="001404F7" w:rsidP="001404F7">
            <w:pPr>
              <w:rPr>
                <w:rFonts w:eastAsia="Times New Roman" w:cs="Times New Roman"/>
                <w:b/>
                <w:sz w:val="20"/>
                <w:szCs w:val="18"/>
              </w:rPr>
            </w:pPr>
          </w:p>
        </w:tc>
        <w:tc>
          <w:tcPr>
            <w:tcW w:w="739" w:type="pct"/>
            <w:shd w:val="clear" w:color="auto" w:fill="00B0B9"/>
            <w:hideMark/>
          </w:tcPr>
          <w:p w14:paraId="45C27011" w14:textId="77777777" w:rsidR="001404F7" w:rsidRPr="00D13460" w:rsidRDefault="001404F7" w:rsidP="001404F7">
            <w:pPr>
              <w:keepNext/>
              <w:keepLines/>
              <w:spacing w:before="40" w:after="40"/>
              <w:jc w:val="right"/>
              <w:rPr>
                <w:rFonts w:eastAsia="Times New Roman" w:cs="Times New Roman"/>
                <w:b/>
                <w:sz w:val="20"/>
                <w:szCs w:val="18"/>
              </w:rPr>
            </w:pPr>
            <w:r w:rsidRPr="00D13460">
              <w:rPr>
                <w:rFonts w:eastAsia="Times New Roman" w:cs="Times New Roman"/>
                <w:b/>
                <w:sz w:val="20"/>
                <w:szCs w:val="18"/>
              </w:rPr>
              <w:t>2017–18</w:t>
            </w:r>
          </w:p>
        </w:tc>
        <w:tc>
          <w:tcPr>
            <w:tcW w:w="739" w:type="pct"/>
            <w:shd w:val="clear" w:color="auto" w:fill="00B0B9"/>
            <w:hideMark/>
          </w:tcPr>
          <w:p w14:paraId="4F52199C" w14:textId="77777777" w:rsidR="001404F7" w:rsidRPr="00D13460" w:rsidRDefault="001404F7" w:rsidP="001404F7">
            <w:pPr>
              <w:keepNext/>
              <w:keepLines/>
              <w:spacing w:before="40" w:after="40"/>
              <w:jc w:val="right"/>
              <w:rPr>
                <w:rFonts w:eastAsia="Times New Roman" w:cs="Times New Roman"/>
                <w:b/>
                <w:sz w:val="20"/>
                <w:szCs w:val="18"/>
              </w:rPr>
            </w:pPr>
            <w:r w:rsidRPr="00D13460">
              <w:rPr>
                <w:rFonts w:eastAsia="Times New Roman" w:cs="Times New Roman"/>
                <w:b/>
                <w:sz w:val="20"/>
                <w:szCs w:val="18"/>
              </w:rPr>
              <w:t>2016–17</w:t>
            </w:r>
          </w:p>
        </w:tc>
        <w:tc>
          <w:tcPr>
            <w:tcW w:w="739" w:type="pct"/>
            <w:shd w:val="clear" w:color="auto" w:fill="00B0B9"/>
            <w:hideMark/>
          </w:tcPr>
          <w:p w14:paraId="1BAD62EB" w14:textId="77777777" w:rsidR="001404F7" w:rsidRPr="00D13460" w:rsidRDefault="001404F7" w:rsidP="001404F7">
            <w:pPr>
              <w:keepNext/>
              <w:keepLines/>
              <w:spacing w:before="40" w:after="40"/>
              <w:ind w:right="150"/>
              <w:jc w:val="right"/>
              <w:rPr>
                <w:rFonts w:eastAsia="Times New Roman" w:cs="Times New Roman"/>
                <w:b/>
                <w:sz w:val="20"/>
                <w:szCs w:val="18"/>
              </w:rPr>
            </w:pPr>
            <w:r w:rsidRPr="00D13460">
              <w:rPr>
                <w:rFonts w:eastAsia="Times New Roman" w:cs="Times New Roman"/>
                <w:b/>
                <w:sz w:val="20"/>
                <w:szCs w:val="18"/>
              </w:rPr>
              <w:t>2015–16</w:t>
            </w:r>
          </w:p>
        </w:tc>
      </w:tr>
      <w:tr w:rsidR="001404F7" w:rsidRPr="00821BBF" w14:paraId="49DC45AD"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5"/>
            <w:hideMark/>
          </w:tcPr>
          <w:p w14:paraId="7795D368" w14:textId="77777777" w:rsidR="001404F7" w:rsidRPr="00821BBF" w:rsidRDefault="001404F7" w:rsidP="001404F7">
            <w:pPr>
              <w:spacing w:before="40" w:after="40"/>
              <w:rPr>
                <w:rFonts w:eastAsia="Times New Roman" w:cs="Arial"/>
                <w:color w:val="000000" w:themeColor="text1"/>
                <w:spacing w:val="4"/>
                <w:sz w:val="20"/>
                <w:szCs w:val="17"/>
                <w:lang w:val="en-GB"/>
              </w:rPr>
            </w:pPr>
            <w:r w:rsidRPr="00821BBF">
              <w:rPr>
                <w:rFonts w:eastAsia="Times New Roman" w:cs="Arial"/>
                <w:color w:val="000000" w:themeColor="text1"/>
                <w:spacing w:val="4"/>
                <w:sz w:val="20"/>
                <w:szCs w:val="17"/>
                <w:lang w:val="en-GB"/>
              </w:rPr>
              <w:t xml:space="preserve">Number of </w:t>
            </w:r>
            <w:proofErr w:type="spellStart"/>
            <w:r w:rsidRPr="00821BBF">
              <w:rPr>
                <w:rFonts w:eastAsia="Times New Roman" w:cs="Arial"/>
                <w:color w:val="000000" w:themeColor="text1"/>
                <w:spacing w:val="4"/>
                <w:sz w:val="20"/>
                <w:szCs w:val="17"/>
                <w:lang w:val="en-GB"/>
              </w:rPr>
              <w:t>children</w:t>
            </w:r>
            <w:r w:rsidRPr="00821BBF">
              <w:rPr>
                <w:rFonts w:eastAsia="Times New Roman" w:cs="Arial"/>
                <w:color w:val="000000" w:themeColor="text1"/>
                <w:spacing w:val="4"/>
                <w:sz w:val="20"/>
                <w:szCs w:val="17"/>
                <w:vertAlign w:val="superscript"/>
                <w:lang w:val="en-GB"/>
              </w:rPr>
              <w:t>a</w:t>
            </w:r>
            <w:proofErr w:type="spellEnd"/>
          </w:p>
        </w:tc>
      </w:tr>
      <w:tr w:rsidR="001404F7" w:rsidRPr="00821BBF" w14:paraId="50B555EC" w14:textId="77777777" w:rsidTr="001404F7">
        <w:trPr>
          <w:gridAfter w:val="1"/>
          <w:cnfStyle w:val="000000100000" w:firstRow="0" w:lastRow="0" w:firstColumn="0" w:lastColumn="0" w:oddVBand="0" w:evenVBand="0" w:oddHBand="1" w:evenHBand="0" w:firstRowFirstColumn="0" w:firstRowLastColumn="0" w:lastRowFirstColumn="0" w:lastRowLastColumn="0"/>
          <w:wAfter w:w="24" w:type="dxa"/>
        </w:trPr>
        <w:tc>
          <w:tcPr>
            <w:tcW w:w="4987" w:type="pct"/>
            <w:gridSpan w:val="4"/>
            <w:tcBorders>
              <w:bottom w:val="single" w:sz="12" w:space="0" w:color="00B0B9"/>
            </w:tcBorders>
            <w:hideMark/>
          </w:tcPr>
          <w:p w14:paraId="2269D24B" w14:textId="77777777" w:rsidR="001404F7" w:rsidRPr="00821BBF" w:rsidRDefault="001404F7" w:rsidP="001404F7">
            <w:pPr>
              <w:keepNext/>
              <w:keepLines/>
              <w:spacing w:before="40" w:after="40"/>
              <w:rPr>
                <w:rFonts w:eastAsia="Times New Roman" w:cs="Times New Roman"/>
                <w:color w:val="000000" w:themeColor="text1"/>
                <w:sz w:val="20"/>
                <w:szCs w:val="20"/>
              </w:rPr>
            </w:pPr>
            <w:r w:rsidRPr="00821BBF">
              <w:rPr>
                <w:rFonts w:eastAsia="Times New Roman" w:cs="Times New Roman"/>
                <w:b/>
                <w:color w:val="000000" w:themeColor="text1"/>
                <w:sz w:val="20"/>
                <w:szCs w:val="20"/>
              </w:rPr>
              <w:t>Family Tax Benefit</w:t>
            </w:r>
          </w:p>
        </w:tc>
      </w:tr>
      <w:tr w:rsidR="001404F7" w:rsidRPr="004E04C8" w14:paraId="38020D50" w14:textId="77777777" w:rsidTr="001404F7">
        <w:trPr>
          <w:gridAfter w:val="1"/>
          <w:cnfStyle w:val="000000010000" w:firstRow="0" w:lastRow="0" w:firstColumn="0" w:lastColumn="0" w:oddVBand="0" w:evenVBand="0" w:oddHBand="0" w:evenHBand="1" w:firstRowFirstColumn="0" w:firstRowLastColumn="0" w:lastRowFirstColumn="0" w:lastRowLastColumn="0"/>
          <w:wAfter w:w="24" w:type="dxa"/>
        </w:trPr>
        <w:tc>
          <w:tcPr>
            <w:tcW w:w="2770" w:type="pct"/>
            <w:tcBorders>
              <w:top w:val="single" w:sz="12" w:space="0" w:color="00B0B9"/>
              <w:bottom w:val="single" w:sz="4" w:space="0" w:color="FFFFFF" w:themeColor="background1"/>
            </w:tcBorders>
            <w:hideMark/>
          </w:tcPr>
          <w:p w14:paraId="57AE0DEF" w14:textId="77777777" w:rsidR="001404F7" w:rsidRPr="004E04C8" w:rsidRDefault="001404F7" w:rsidP="001404F7">
            <w:pPr>
              <w:spacing w:before="40" w:after="40"/>
              <w:rPr>
                <w:rFonts w:eastAsia="Times New Roman" w:cs="Arial"/>
                <w:spacing w:val="4"/>
                <w:sz w:val="20"/>
                <w:szCs w:val="20"/>
                <w:lang w:val="en-GB"/>
              </w:rPr>
            </w:pPr>
            <w:r w:rsidRPr="004E04C8">
              <w:rPr>
                <w:rFonts w:eastAsia="Times New Roman" w:cs="Arial"/>
                <w:spacing w:val="4"/>
                <w:sz w:val="20"/>
                <w:szCs w:val="20"/>
                <w:lang w:val="en-GB"/>
              </w:rPr>
              <w:t>Number of eligible Family Tax Benefit Part A children</w:t>
            </w:r>
          </w:p>
        </w:tc>
        <w:tc>
          <w:tcPr>
            <w:tcW w:w="739" w:type="pct"/>
            <w:tcBorders>
              <w:top w:val="single" w:sz="12" w:space="0" w:color="00B0B9"/>
              <w:bottom w:val="single" w:sz="4" w:space="0" w:color="FFFFFF" w:themeColor="background1"/>
            </w:tcBorders>
            <w:hideMark/>
          </w:tcPr>
          <w:p w14:paraId="4B596370" w14:textId="77777777" w:rsidR="001404F7" w:rsidRPr="004E04C8" w:rsidRDefault="001404F7" w:rsidP="001404F7">
            <w:pPr>
              <w:spacing w:before="40" w:after="40"/>
              <w:jc w:val="right"/>
              <w:rPr>
                <w:rFonts w:eastAsia="Times New Roman" w:cs="Arial"/>
                <w:spacing w:val="4"/>
                <w:sz w:val="20"/>
                <w:szCs w:val="20"/>
                <w:lang w:val="en-GB"/>
              </w:rPr>
            </w:pPr>
            <w:r w:rsidRPr="004E04C8">
              <w:rPr>
                <w:sz w:val="20"/>
                <w:szCs w:val="20"/>
              </w:rPr>
              <w:t>3,179,161</w:t>
            </w:r>
          </w:p>
        </w:tc>
        <w:tc>
          <w:tcPr>
            <w:tcW w:w="739" w:type="pct"/>
            <w:tcBorders>
              <w:top w:val="single" w:sz="12" w:space="0" w:color="00B0B9"/>
              <w:bottom w:val="single" w:sz="4" w:space="0" w:color="FFFFFF" w:themeColor="background1"/>
            </w:tcBorders>
            <w:hideMark/>
          </w:tcPr>
          <w:p w14:paraId="3F48A2D1" w14:textId="77777777" w:rsidR="001404F7" w:rsidRPr="004E04C8" w:rsidRDefault="001404F7" w:rsidP="001404F7">
            <w:pPr>
              <w:spacing w:before="40" w:after="40"/>
              <w:jc w:val="right"/>
              <w:rPr>
                <w:rFonts w:eastAsia="Times New Roman" w:cs="Arial"/>
                <w:spacing w:val="4"/>
                <w:sz w:val="20"/>
                <w:szCs w:val="17"/>
                <w:lang w:val="en-GB"/>
              </w:rPr>
            </w:pPr>
            <w:r w:rsidRPr="004E04C8">
              <w:rPr>
                <w:rFonts w:eastAsia="Times New Roman" w:cs="Arial"/>
                <w:spacing w:val="4"/>
                <w:sz w:val="20"/>
                <w:szCs w:val="17"/>
                <w:lang w:val="en-GB"/>
              </w:rPr>
              <w:t>3,298,456</w:t>
            </w:r>
          </w:p>
        </w:tc>
        <w:tc>
          <w:tcPr>
            <w:tcW w:w="739" w:type="pct"/>
            <w:tcBorders>
              <w:top w:val="single" w:sz="12" w:space="0" w:color="00B0B9"/>
              <w:bottom w:val="single" w:sz="4" w:space="0" w:color="FFFFFF" w:themeColor="background1"/>
            </w:tcBorders>
            <w:hideMark/>
          </w:tcPr>
          <w:p w14:paraId="609B11AD" w14:textId="77777777" w:rsidR="001404F7" w:rsidRPr="004E04C8" w:rsidRDefault="001404F7" w:rsidP="001404F7">
            <w:pPr>
              <w:spacing w:before="40" w:after="40"/>
              <w:jc w:val="right"/>
              <w:rPr>
                <w:rFonts w:eastAsia="Times New Roman" w:cs="Arial"/>
                <w:spacing w:val="4"/>
                <w:sz w:val="20"/>
                <w:szCs w:val="17"/>
                <w:lang w:val="en-GB"/>
              </w:rPr>
            </w:pPr>
            <w:r w:rsidRPr="004E04C8">
              <w:rPr>
                <w:rFonts w:eastAsia="Times New Roman" w:cs="Arial"/>
                <w:spacing w:val="4"/>
                <w:sz w:val="20"/>
                <w:szCs w:val="17"/>
                <w:lang w:val="en-GB"/>
              </w:rPr>
              <w:t>3,403,411</w:t>
            </w:r>
          </w:p>
        </w:tc>
      </w:tr>
      <w:tr w:rsidR="001404F7" w:rsidRPr="005C5A01" w14:paraId="305D3105" w14:textId="77777777" w:rsidTr="001404F7">
        <w:trPr>
          <w:gridAfter w:val="1"/>
          <w:cnfStyle w:val="000000100000" w:firstRow="0" w:lastRow="0" w:firstColumn="0" w:lastColumn="0" w:oddVBand="0" w:evenVBand="0" w:oddHBand="1" w:evenHBand="0" w:firstRowFirstColumn="0" w:firstRowLastColumn="0" w:lastRowFirstColumn="0" w:lastRowLastColumn="0"/>
          <w:wAfter w:w="24" w:type="dxa"/>
        </w:trPr>
        <w:tc>
          <w:tcPr>
            <w:tcW w:w="2770" w:type="pct"/>
            <w:tcBorders>
              <w:top w:val="single" w:sz="4" w:space="0" w:color="FFFFFF" w:themeColor="background1"/>
            </w:tcBorders>
            <w:hideMark/>
          </w:tcPr>
          <w:p w14:paraId="41C58C61" w14:textId="77777777" w:rsidR="001404F7" w:rsidRPr="004E04C8" w:rsidRDefault="001404F7" w:rsidP="001404F7">
            <w:pPr>
              <w:spacing w:before="40" w:after="40"/>
              <w:rPr>
                <w:rFonts w:eastAsia="Times New Roman"/>
                <w:spacing w:val="4"/>
                <w:sz w:val="20"/>
                <w:szCs w:val="20"/>
                <w:lang w:val="en-GB"/>
              </w:rPr>
            </w:pPr>
            <w:r w:rsidRPr="004E04C8">
              <w:rPr>
                <w:rFonts w:eastAsia="Times New Roman"/>
                <w:spacing w:val="4"/>
                <w:sz w:val="20"/>
                <w:szCs w:val="20"/>
                <w:lang w:val="en-GB"/>
              </w:rPr>
              <w:t xml:space="preserve">Number of children in eligible Family Tax Benefit Part B </w:t>
            </w:r>
            <w:proofErr w:type="spellStart"/>
            <w:r w:rsidRPr="004E04C8">
              <w:rPr>
                <w:rFonts w:eastAsia="Times New Roman"/>
                <w:spacing w:val="4"/>
                <w:sz w:val="20"/>
                <w:szCs w:val="20"/>
                <w:lang w:val="en-GB"/>
              </w:rPr>
              <w:t>families</w:t>
            </w:r>
            <w:r w:rsidRPr="004E04C8">
              <w:rPr>
                <w:rFonts w:eastAsia="Times New Roman"/>
                <w:spacing w:val="4"/>
                <w:sz w:val="20"/>
                <w:szCs w:val="20"/>
                <w:vertAlign w:val="superscript"/>
                <w:lang w:val="en-GB"/>
              </w:rPr>
              <w:t>b</w:t>
            </w:r>
            <w:proofErr w:type="spellEnd"/>
          </w:p>
        </w:tc>
        <w:tc>
          <w:tcPr>
            <w:tcW w:w="739" w:type="pct"/>
            <w:tcBorders>
              <w:top w:val="single" w:sz="4" w:space="0" w:color="FFFFFF" w:themeColor="background1"/>
            </w:tcBorders>
            <w:hideMark/>
          </w:tcPr>
          <w:p w14:paraId="52A748AB" w14:textId="77777777" w:rsidR="001404F7" w:rsidRPr="004E04C8" w:rsidRDefault="001404F7" w:rsidP="001404F7">
            <w:pPr>
              <w:spacing w:before="40" w:after="40"/>
              <w:jc w:val="right"/>
              <w:rPr>
                <w:rFonts w:eastAsia="Times New Roman"/>
                <w:spacing w:val="4"/>
                <w:sz w:val="20"/>
                <w:szCs w:val="20"/>
                <w:lang w:val="en-GB"/>
              </w:rPr>
            </w:pPr>
            <w:r w:rsidRPr="004E04C8">
              <w:rPr>
                <w:sz w:val="20"/>
                <w:szCs w:val="20"/>
              </w:rPr>
              <w:t>2,455,652</w:t>
            </w:r>
          </w:p>
        </w:tc>
        <w:tc>
          <w:tcPr>
            <w:tcW w:w="739" w:type="pct"/>
            <w:tcBorders>
              <w:top w:val="single" w:sz="4" w:space="0" w:color="FFFFFF" w:themeColor="background1"/>
            </w:tcBorders>
            <w:hideMark/>
          </w:tcPr>
          <w:p w14:paraId="769BA361" w14:textId="77777777" w:rsidR="001404F7" w:rsidRPr="004E04C8" w:rsidRDefault="001404F7" w:rsidP="001404F7">
            <w:pPr>
              <w:spacing w:before="40" w:after="40"/>
              <w:jc w:val="right"/>
              <w:rPr>
                <w:rFonts w:eastAsia="Times New Roman"/>
                <w:spacing w:val="4"/>
                <w:sz w:val="20"/>
                <w:szCs w:val="17"/>
                <w:lang w:val="en-GB"/>
              </w:rPr>
            </w:pPr>
            <w:r w:rsidRPr="004E04C8">
              <w:rPr>
                <w:rFonts w:eastAsia="Times New Roman"/>
                <w:spacing w:val="4"/>
                <w:sz w:val="20"/>
                <w:szCs w:val="17"/>
                <w:lang w:val="en-GB"/>
              </w:rPr>
              <w:t>2,539,278</w:t>
            </w:r>
          </w:p>
        </w:tc>
        <w:tc>
          <w:tcPr>
            <w:tcW w:w="739" w:type="pct"/>
            <w:tcBorders>
              <w:top w:val="single" w:sz="4" w:space="0" w:color="FFFFFF" w:themeColor="background1"/>
            </w:tcBorders>
            <w:hideMark/>
          </w:tcPr>
          <w:p w14:paraId="4BD7C995" w14:textId="77777777" w:rsidR="001404F7" w:rsidRPr="00FC34ED" w:rsidRDefault="001404F7" w:rsidP="001404F7">
            <w:pPr>
              <w:spacing w:before="40" w:after="40"/>
              <w:jc w:val="right"/>
              <w:rPr>
                <w:rFonts w:eastAsia="Times New Roman"/>
                <w:spacing w:val="4"/>
                <w:sz w:val="20"/>
                <w:szCs w:val="17"/>
                <w:lang w:val="en-GB"/>
              </w:rPr>
            </w:pPr>
            <w:r w:rsidRPr="004E04C8">
              <w:rPr>
                <w:rFonts w:eastAsia="Times New Roman"/>
                <w:spacing w:val="4"/>
                <w:sz w:val="20"/>
                <w:szCs w:val="17"/>
                <w:lang w:val="en-GB"/>
              </w:rPr>
              <w:t>2,811,937</w:t>
            </w:r>
          </w:p>
        </w:tc>
      </w:tr>
    </w:tbl>
    <w:p w14:paraId="022E6922" w14:textId="68D07E67" w:rsidR="001404F7" w:rsidRPr="00FC34ED" w:rsidRDefault="001404F7" w:rsidP="001404F7">
      <w:pPr>
        <w:spacing w:before="160" w:after="60" w:line="240" w:lineRule="auto"/>
        <w:ind w:left="284" w:hanging="284"/>
        <w:contextualSpacing/>
        <w:rPr>
          <w:rFonts w:cs="Arial"/>
          <w:sz w:val="16"/>
          <w:szCs w:val="16"/>
        </w:rPr>
      </w:pPr>
      <w:r w:rsidRPr="005C5A01">
        <w:rPr>
          <w:rFonts w:cs="Arial"/>
          <w:sz w:val="16"/>
          <w:szCs w:val="16"/>
        </w:rPr>
        <w:t>a</w:t>
      </w:r>
      <w:r w:rsidRPr="005C5A01">
        <w:rPr>
          <w:rFonts w:cs="Arial"/>
          <w:sz w:val="16"/>
          <w:szCs w:val="16"/>
        </w:rPr>
        <w:tab/>
      </w:r>
      <w:r w:rsidRPr="00FC34ED">
        <w:rPr>
          <w:rFonts w:cs="Arial"/>
          <w:sz w:val="16"/>
          <w:szCs w:val="16"/>
        </w:rPr>
        <w:t>Reconciliation data reported at June 2020 for 2017-18, June 2019 for 2016–17, and June 2018 for 2015–16.</w:t>
      </w:r>
      <w:r>
        <w:rPr>
          <w:rFonts w:cs="Arial"/>
          <w:sz w:val="16"/>
          <w:szCs w:val="16"/>
        </w:rPr>
        <w:t xml:space="preserve"> </w:t>
      </w:r>
      <w:r w:rsidR="009D4EAC" w:rsidRPr="00D41CD6">
        <w:rPr>
          <w:rFonts w:cs="Arial"/>
          <w:sz w:val="16"/>
          <w:szCs w:val="16"/>
        </w:rPr>
        <w:t>FTB reconciliation recipient information is reported after two years to capture future actions in respect of the financial year. The two-year period allows time for the data to capture many recipients lodging income tax returns and undertaking the reconciliation process or claiming a lump sum payment.</w:t>
      </w:r>
    </w:p>
    <w:p w14:paraId="4983E86F" w14:textId="77777777" w:rsidR="001404F7" w:rsidRDefault="001404F7" w:rsidP="001404F7">
      <w:pPr>
        <w:spacing w:before="160" w:after="60" w:line="240" w:lineRule="auto"/>
        <w:ind w:left="284" w:hanging="284"/>
        <w:contextualSpacing/>
        <w:rPr>
          <w:rFonts w:cs="Arial"/>
          <w:sz w:val="16"/>
          <w:szCs w:val="16"/>
        </w:rPr>
      </w:pPr>
      <w:r w:rsidRPr="00FC34ED">
        <w:rPr>
          <w:rFonts w:cs="Arial"/>
          <w:sz w:val="16"/>
          <w:szCs w:val="16"/>
        </w:rPr>
        <w:t>b</w:t>
      </w:r>
      <w:r w:rsidRPr="00FC34ED">
        <w:rPr>
          <w:rFonts w:cs="Arial"/>
          <w:sz w:val="16"/>
          <w:szCs w:val="16"/>
        </w:rPr>
        <w:tab/>
        <w:t>Family Tax Benefit Part B is a per family payment.</w:t>
      </w:r>
    </w:p>
    <w:p w14:paraId="6478D52C" w14:textId="77777777" w:rsidR="001404F7" w:rsidRPr="006D455E" w:rsidRDefault="001404F7" w:rsidP="001404F7">
      <w:pPr>
        <w:rPr>
          <w:rFonts w:cs="Arial"/>
          <w:sz w:val="20"/>
          <w:szCs w:val="20"/>
        </w:rPr>
      </w:pPr>
    </w:p>
    <w:p w14:paraId="0A96EA94" w14:textId="77777777" w:rsidR="001404F7" w:rsidRPr="00D47E5B"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Pr>
          <w:rFonts w:ascii="Arial Narrow" w:eastAsia="Times New Roman" w:hAnsi="Arial Narrow" w:cs="Times New Roman"/>
          <w:b/>
          <w:bCs/>
          <w:spacing w:val="4"/>
          <w:sz w:val="20"/>
          <w:szCs w:val="18"/>
          <w:lang w:eastAsia="en-AU"/>
        </w:rPr>
        <w:t>Table 2.1.16</w:t>
      </w:r>
      <w:r w:rsidRPr="00AF5DB1">
        <w:rPr>
          <w:rFonts w:ascii="Arial Narrow" w:eastAsia="Times New Roman" w:hAnsi="Arial Narrow" w:cs="Times New Roman"/>
          <w:b/>
          <w:bCs/>
          <w:spacing w:val="4"/>
          <w:sz w:val="20"/>
          <w:szCs w:val="18"/>
          <w:lang w:eastAsia="en-AU"/>
        </w:rPr>
        <w:t>b: Number of children</w:t>
      </w:r>
      <w:r>
        <w:rPr>
          <w:rFonts w:ascii="Arial Narrow" w:eastAsia="Times New Roman" w:hAnsi="Arial Narrow" w:cs="Times New Roman"/>
          <w:b/>
          <w:bCs/>
          <w:spacing w:val="4"/>
          <w:sz w:val="20"/>
          <w:szCs w:val="18"/>
          <w:lang w:eastAsia="en-AU"/>
        </w:rPr>
        <w:t xml:space="preserve"> </w:t>
      </w:r>
      <w:r w:rsidRPr="00AF5DB1">
        <w:rPr>
          <w:rFonts w:ascii="Arial Narrow" w:eastAsia="Times New Roman" w:hAnsi="Arial Narrow" w:cs="Times New Roman"/>
          <w:b/>
          <w:bCs/>
          <w:spacing w:val="4"/>
          <w:sz w:val="20"/>
          <w:szCs w:val="18"/>
          <w:lang w:eastAsia="en-AU"/>
        </w:rPr>
        <w:t>—</w:t>
      </w:r>
      <w:r>
        <w:rPr>
          <w:rFonts w:ascii="Arial Narrow" w:eastAsia="Times New Roman" w:hAnsi="Arial Narrow" w:cs="Times New Roman"/>
          <w:b/>
          <w:bCs/>
          <w:spacing w:val="4"/>
          <w:sz w:val="20"/>
          <w:szCs w:val="18"/>
          <w:lang w:eastAsia="en-AU"/>
        </w:rPr>
        <w:t xml:space="preserve"> </w:t>
      </w:r>
      <w:r w:rsidRPr="00AF5DB1">
        <w:rPr>
          <w:rFonts w:ascii="Arial Narrow" w:eastAsia="Times New Roman" w:hAnsi="Arial Narrow" w:cs="Times New Roman"/>
          <w:b/>
          <w:bCs/>
          <w:spacing w:val="4"/>
          <w:sz w:val="20"/>
          <w:szCs w:val="18"/>
          <w:lang w:eastAsia="en-AU"/>
        </w:rPr>
        <w:t>Child Payments</w:t>
      </w:r>
    </w:p>
    <w:tbl>
      <w:tblPr>
        <w:tblStyle w:val="HHorizontaltable1"/>
        <w:tblW w:w="5077" w:type="pct"/>
        <w:tblLook w:val="04A0" w:firstRow="1" w:lastRow="0" w:firstColumn="1" w:lastColumn="0" w:noHBand="0" w:noVBand="1"/>
        <w:tblCaption w:val="Table 2.1.16b: Number of children - Child Payments"/>
        <w:tblDescription w:val="Table 2.1.16b: Number of children - Child Payments"/>
      </w:tblPr>
      <w:tblGrid>
        <w:gridCol w:w="5103"/>
        <w:gridCol w:w="1355"/>
        <w:gridCol w:w="1355"/>
        <w:gridCol w:w="1345"/>
        <w:gridCol w:w="7"/>
      </w:tblGrid>
      <w:tr w:rsidR="001404F7" w:rsidRPr="007C3D6D" w14:paraId="72DDCF8E" w14:textId="77777777" w:rsidTr="001404F7">
        <w:trPr>
          <w:cnfStyle w:val="100000000000" w:firstRow="1" w:lastRow="0" w:firstColumn="0" w:lastColumn="0" w:oddVBand="0" w:evenVBand="0" w:oddHBand="0" w:evenHBand="0" w:firstRowFirstColumn="0" w:firstRowLastColumn="0" w:lastRowFirstColumn="0" w:lastRowLastColumn="0"/>
          <w:trHeight w:val="318"/>
        </w:trPr>
        <w:tc>
          <w:tcPr>
            <w:tcW w:w="2784" w:type="pct"/>
            <w:hideMark/>
          </w:tcPr>
          <w:p w14:paraId="5AB1F154" w14:textId="77777777" w:rsidR="001404F7" w:rsidRPr="00D13460" w:rsidRDefault="001404F7" w:rsidP="001404F7">
            <w:pPr>
              <w:keepNext/>
              <w:keepLines/>
              <w:spacing w:before="40" w:after="40"/>
              <w:rPr>
                <w:rFonts w:eastAsia="Times New Roman" w:cs="Times New Roman"/>
                <w:sz w:val="20"/>
                <w:szCs w:val="18"/>
              </w:rPr>
            </w:pPr>
            <w:r w:rsidRPr="00D13460">
              <w:rPr>
                <w:rFonts w:eastAsia="Times New Roman" w:cs="Times New Roman"/>
                <w:sz w:val="20"/>
                <w:szCs w:val="18"/>
              </w:rPr>
              <w:t>Output performance measure</w:t>
            </w:r>
          </w:p>
        </w:tc>
        <w:tc>
          <w:tcPr>
            <w:tcW w:w="739" w:type="pct"/>
            <w:hideMark/>
          </w:tcPr>
          <w:p w14:paraId="7783FAE1" w14:textId="77777777" w:rsidR="001404F7" w:rsidRPr="00D13460" w:rsidRDefault="001404F7" w:rsidP="001404F7">
            <w:pPr>
              <w:keepNext/>
              <w:keepLines/>
              <w:spacing w:before="40" w:after="40"/>
              <w:jc w:val="right"/>
              <w:rPr>
                <w:rFonts w:eastAsia="Times New Roman" w:cs="Times New Roman"/>
                <w:sz w:val="20"/>
                <w:szCs w:val="18"/>
              </w:rPr>
            </w:pPr>
            <w:r w:rsidRPr="00D13460">
              <w:rPr>
                <w:rFonts w:eastAsia="Times New Roman" w:cs="Times New Roman"/>
                <w:sz w:val="20"/>
                <w:szCs w:val="18"/>
              </w:rPr>
              <w:t>2019–20</w:t>
            </w:r>
          </w:p>
        </w:tc>
        <w:tc>
          <w:tcPr>
            <w:tcW w:w="739" w:type="pct"/>
            <w:hideMark/>
          </w:tcPr>
          <w:p w14:paraId="1D3C8200" w14:textId="77777777" w:rsidR="001404F7" w:rsidRPr="00D13460" w:rsidRDefault="001404F7" w:rsidP="001404F7">
            <w:pPr>
              <w:keepNext/>
              <w:keepLines/>
              <w:spacing w:before="40" w:after="40"/>
              <w:ind w:right="-110"/>
              <w:jc w:val="right"/>
              <w:rPr>
                <w:rFonts w:eastAsia="Times New Roman" w:cs="Times New Roman"/>
                <w:sz w:val="20"/>
                <w:szCs w:val="18"/>
              </w:rPr>
            </w:pPr>
            <w:r w:rsidRPr="00D13460">
              <w:rPr>
                <w:rFonts w:eastAsia="Times New Roman" w:cs="Times New Roman"/>
                <w:sz w:val="20"/>
                <w:szCs w:val="18"/>
              </w:rPr>
              <w:t>2018–19</w:t>
            </w:r>
          </w:p>
        </w:tc>
        <w:tc>
          <w:tcPr>
            <w:tcW w:w="738" w:type="pct"/>
            <w:gridSpan w:val="2"/>
            <w:hideMark/>
          </w:tcPr>
          <w:p w14:paraId="35540202" w14:textId="77777777" w:rsidR="001404F7" w:rsidRPr="00D13460" w:rsidRDefault="001404F7" w:rsidP="001404F7">
            <w:pPr>
              <w:keepNext/>
              <w:keepLines/>
              <w:spacing w:before="40" w:after="40"/>
              <w:jc w:val="right"/>
              <w:rPr>
                <w:rFonts w:eastAsia="Times New Roman" w:cs="Times New Roman"/>
                <w:sz w:val="20"/>
                <w:szCs w:val="18"/>
              </w:rPr>
            </w:pPr>
            <w:r w:rsidRPr="00D13460">
              <w:rPr>
                <w:rFonts w:eastAsia="Times New Roman" w:cs="Times New Roman"/>
                <w:sz w:val="20"/>
                <w:szCs w:val="18"/>
              </w:rPr>
              <w:t>2017–18</w:t>
            </w:r>
          </w:p>
        </w:tc>
      </w:tr>
      <w:tr w:rsidR="001404F7" w:rsidRPr="00821BBF" w14:paraId="6D94069D" w14:textId="77777777" w:rsidTr="001404F7">
        <w:trPr>
          <w:gridAfter w:val="1"/>
          <w:cnfStyle w:val="000000100000" w:firstRow="0" w:lastRow="0" w:firstColumn="0" w:lastColumn="0" w:oddVBand="0" w:evenVBand="0" w:oddHBand="1" w:evenHBand="0" w:firstRowFirstColumn="0" w:firstRowLastColumn="0" w:lastRowFirstColumn="0" w:lastRowLastColumn="0"/>
          <w:wAfter w:w="7" w:type="dxa"/>
        </w:trPr>
        <w:tc>
          <w:tcPr>
            <w:tcW w:w="4996" w:type="pct"/>
            <w:gridSpan w:val="4"/>
            <w:hideMark/>
          </w:tcPr>
          <w:p w14:paraId="427069B4" w14:textId="77777777" w:rsidR="001404F7" w:rsidRPr="00821BBF" w:rsidRDefault="001404F7" w:rsidP="001404F7">
            <w:pPr>
              <w:keepNext/>
              <w:keepLines/>
              <w:spacing w:before="40" w:after="40"/>
              <w:rPr>
                <w:rFonts w:eastAsia="Times New Roman" w:cs="Times New Roman"/>
                <w:b/>
                <w:color w:val="000000" w:themeColor="text1"/>
                <w:sz w:val="20"/>
                <w:szCs w:val="20"/>
              </w:rPr>
            </w:pPr>
            <w:r w:rsidRPr="00821BBF">
              <w:rPr>
                <w:rFonts w:eastAsia="Times New Roman" w:cs="Times New Roman"/>
                <w:b/>
                <w:color w:val="000000" w:themeColor="text1"/>
                <w:sz w:val="20"/>
                <w:szCs w:val="20"/>
              </w:rPr>
              <w:t>Child Payments</w:t>
            </w:r>
          </w:p>
        </w:tc>
      </w:tr>
      <w:tr w:rsidR="001404F7" w:rsidRPr="00821BBF" w14:paraId="0008E612" w14:textId="77777777" w:rsidTr="001404F7">
        <w:trPr>
          <w:cnfStyle w:val="000000010000" w:firstRow="0" w:lastRow="0" w:firstColumn="0" w:lastColumn="0" w:oddVBand="0" w:evenVBand="0" w:oddHBand="0" w:evenHBand="1" w:firstRowFirstColumn="0" w:firstRowLastColumn="0" w:lastRowFirstColumn="0" w:lastRowLastColumn="0"/>
        </w:trPr>
        <w:tc>
          <w:tcPr>
            <w:tcW w:w="2784" w:type="pct"/>
            <w:tcBorders>
              <w:top w:val="single" w:sz="12" w:space="0" w:color="00B0B9"/>
              <w:bottom w:val="nil"/>
            </w:tcBorders>
            <w:hideMark/>
          </w:tcPr>
          <w:p w14:paraId="62CEA846" w14:textId="77777777" w:rsidR="001404F7" w:rsidRPr="00821BBF" w:rsidRDefault="001404F7" w:rsidP="001404F7">
            <w:pPr>
              <w:spacing w:before="40" w:after="40"/>
              <w:rPr>
                <w:rFonts w:eastAsia="Times New Roman"/>
                <w:color w:val="000000" w:themeColor="text1"/>
                <w:spacing w:val="4"/>
                <w:sz w:val="20"/>
                <w:szCs w:val="20"/>
                <w:lang w:val="en-GB"/>
              </w:rPr>
            </w:pPr>
            <w:r w:rsidRPr="00821BBF">
              <w:rPr>
                <w:rFonts w:eastAsia="Times New Roman"/>
                <w:color w:val="000000" w:themeColor="text1"/>
                <w:spacing w:val="4"/>
                <w:sz w:val="20"/>
                <w:szCs w:val="20"/>
                <w:lang w:val="en-GB"/>
              </w:rPr>
              <w:t xml:space="preserve">Double Orphan </w:t>
            </w:r>
            <w:proofErr w:type="spellStart"/>
            <w:r w:rsidRPr="00821BBF">
              <w:rPr>
                <w:rFonts w:eastAsia="Times New Roman"/>
                <w:color w:val="000000" w:themeColor="text1"/>
                <w:spacing w:val="4"/>
                <w:sz w:val="20"/>
                <w:szCs w:val="20"/>
                <w:lang w:val="en-GB"/>
              </w:rPr>
              <w:t>Pension</w:t>
            </w:r>
            <w:r w:rsidRPr="00821BBF">
              <w:rPr>
                <w:rFonts w:eastAsia="Times New Roman"/>
                <w:color w:val="000000" w:themeColor="text1"/>
                <w:spacing w:val="4"/>
                <w:sz w:val="20"/>
                <w:szCs w:val="20"/>
                <w:vertAlign w:val="superscript"/>
                <w:lang w:val="en-GB"/>
              </w:rPr>
              <w:t>a</w:t>
            </w:r>
            <w:proofErr w:type="spellEnd"/>
          </w:p>
        </w:tc>
        <w:tc>
          <w:tcPr>
            <w:tcW w:w="739" w:type="pct"/>
            <w:tcBorders>
              <w:top w:val="single" w:sz="12" w:space="0" w:color="00B0B9"/>
              <w:bottom w:val="nil"/>
            </w:tcBorders>
            <w:hideMark/>
          </w:tcPr>
          <w:p w14:paraId="2D1A6D5B" w14:textId="77777777" w:rsidR="001404F7" w:rsidRPr="00FC34ED" w:rsidRDefault="001404F7" w:rsidP="001404F7">
            <w:pPr>
              <w:spacing w:before="40" w:after="40"/>
              <w:jc w:val="right"/>
              <w:rPr>
                <w:rFonts w:eastAsia="Times New Roman"/>
                <w:spacing w:val="4"/>
                <w:sz w:val="20"/>
                <w:szCs w:val="17"/>
                <w:lang w:val="en-GB"/>
              </w:rPr>
            </w:pPr>
            <w:r w:rsidRPr="00FC34ED">
              <w:rPr>
                <w:rFonts w:eastAsia="Times New Roman"/>
                <w:spacing w:val="4"/>
                <w:sz w:val="20"/>
                <w:szCs w:val="17"/>
                <w:lang w:val="en-GB"/>
              </w:rPr>
              <w:t>1,311</w:t>
            </w:r>
          </w:p>
        </w:tc>
        <w:tc>
          <w:tcPr>
            <w:tcW w:w="739" w:type="pct"/>
            <w:tcBorders>
              <w:top w:val="single" w:sz="12" w:space="0" w:color="00B0B9"/>
              <w:bottom w:val="nil"/>
            </w:tcBorders>
            <w:hideMark/>
          </w:tcPr>
          <w:p w14:paraId="69E2136C" w14:textId="77777777" w:rsidR="001404F7" w:rsidRPr="00FC34ED" w:rsidRDefault="001404F7" w:rsidP="001404F7">
            <w:pPr>
              <w:spacing w:before="40" w:after="40"/>
              <w:jc w:val="right"/>
              <w:rPr>
                <w:rFonts w:eastAsia="Times New Roman"/>
                <w:spacing w:val="4"/>
                <w:sz w:val="20"/>
                <w:szCs w:val="17"/>
                <w:lang w:val="en-GB"/>
              </w:rPr>
            </w:pPr>
            <w:r w:rsidRPr="00FC34ED">
              <w:rPr>
                <w:rFonts w:eastAsia="Times New Roman"/>
                <w:spacing w:val="4"/>
                <w:sz w:val="20"/>
                <w:szCs w:val="17"/>
                <w:lang w:val="en-GB"/>
              </w:rPr>
              <w:t>1,425</w:t>
            </w:r>
          </w:p>
        </w:tc>
        <w:tc>
          <w:tcPr>
            <w:tcW w:w="739" w:type="pct"/>
            <w:gridSpan w:val="2"/>
            <w:tcBorders>
              <w:top w:val="single" w:sz="12" w:space="0" w:color="00B0B9"/>
              <w:bottom w:val="nil"/>
            </w:tcBorders>
            <w:hideMark/>
          </w:tcPr>
          <w:p w14:paraId="21100E7F" w14:textId="77777777" w:rsidR="001404F7" w:rsidRPr="00821BBF" w:rsidRDefault="001404F7" w:rsidP="001404F7">
            <w:pPr>
              <w:spacing w:before="40" w:after="40"/>
              <w:jc w:val="right"/>
              <w:rPr>
                <w:rFonts w:eastAsia="Times New Roman"/>
                <w:color w:val="000000" w:themeColor="text1"/>
                <w:spacing w:val="4"/>
                <w:sz w:val="20"/>
                <w:szCs w:val="17"/>
                <w:lang w:val="en-GB"/>
              </w:rPr>
            </w:pPr>
            <w:r w:rsidRPr="00821BBF">
              <w:rPr>
                <w:rFonts w:eastAsia="Times New Roman"/>
                <w:color w:val="000000" w:themeColor="text1"/>
                <w:spacing w:val="4"/>
                <w:sz w:val="20"/>
                <w:szCs w:val="17"/>
                <w:lang w:val="en-GB"/>
              </w:rPr>
              <w:t>1,512</w:t>
            </w:r>
          </w:p>
        </w:tc>
      </w:tr>
    </w:tbl>
    <w:p w14:paraId="706F0266" w14:textId="77777777" w:rsidR="001404F7" w:rsidRDefault="001404F7" w:rsidP="001404F7">
      <w:pPr>
        <w:spacing w:after="0" w:line="260" w:lineRule="atLeast"/>
        <w:ind w:left="284" w:hanging="284"/>
        <w:contextualSpacing/>
        <w:rPr>
          <w:rFonts w:cs="Arial"/>
          <w:sz w:val="16"/>
          <w:szCs w:val="16"/>
        </w:rPr>
      </w:pPr>
      <w:r w:rsidRPr="00821BBF">
        <w:rPr>
          <w:rFonts w:cs="Arial"/>
          <w:sz w:val="16"/>
          <w:szCs w:val="16"/>
        </w:rPr>
        <w:t>a</w:t>
      </w:r>
      <w:r w:rsidRPr="00821BBF">
        <w:rPr>
          <w:rFonts w:cs="Arial"/>
          <w:sz w:val="16"/>
          <w:szCs w:val="16"/>
        </w:rPr>
        <w:tab/>
      </w:r>
      <w:r w:rsidRPr="00FC34ED">
        <w:rPr>
          <w:rFonts w:cs="Arial"/>
          <w:sz w:val="16"/>
          <w:szCs w:val="16"/>
        </w:rPr>
        <w:t>Data as at 30 June 2020 for 2019–20, as at 30 June 2019 for 2018–19 and as at 30 June 2018 for 2017–18.</w:t>
      </w:r>
    </w:p>
    <w:p w14:paraId="7947EC6F" w14:textId="77777777" w:rsidR="00370874" w:rsidRDefault="00370874" w:rsidP="001404F7">
      <w:pPr>
        <w:spacing w:before="240" w:after="240" w:line="260" w:lineRule="atLeast"/>
        <w:outlineLvl w:val="7"/>
        <w:rPr>
          <w:rFonts w:eastAsiaTheme="majorEastAsia" w:cstheme="majorBidi"/>
          <w:b/>
          <w:color w:val="595959" w:themeColor="text1" w:themeTint="A6"/>
          <w:sz w:val="24"/>
          <w:szCs w:val="20"/>
        </w:rPr>
      </w:pPr>
    </w:p>
    <w:p w14:paraId="6DBBF64B" w14:textId="7CE85D15" w:rsidR="001404F7" w:rsidRDefault="001404F7" w:rsidP="001404F7">
      <w:pPr>
        <w:spacing w:before="240" w:after="240" w:line="260" w:lineRule="atLeast"/>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t xml:space="preserve">C1.5.3 </w:t>
      </w:r>
      <w:r w:rsidRPr="00E5037E">
        <w:rPr>
          <w:rFonts w:eastAsiaTheme="majorEastAsia" w:cstheme="majorBidi"/>
          <w:b/>
          <w:color w:val="595959" w:themeColor="text1" w:themeTint="A6"/>
          <w:sz w:val="24"/>
          <w:szCs w:val="20"/>
        </w:rPr>
        <w:t xml:space="preserve">Number of Commonwealth Rent Assistance income units </w:t>
      </w:r>
    </w:p>
    <w:p w14:paraId="5EE490CF" w14:textId="07026C8E" w:rsidR="001404F7" w:rsidRPr="006D455E" w:rsidRDefault="001404F7" w:rsidP="001404F7">
      <w:pPr>
        <w:rPr>
          <w:rFonts w:cs="Arial"/>
          <w:sz w:val="20"/>
          <w:szCs w:val="20"/>
        </w:rPr>
      </w:pPr>
      <w:r w:rsidRPr="006D455E">
        <w:rPr>
          <w:rFonts w:cs="Arial"/>
          <w:sz w:val="20"/>
          <w:szCs w:val="20"/>
        </w:rPr>
        <w:t>As at 30 June 2020, Commonwealth Rent Assistance had assisted 1,700,166 income units</w:t>
      </w:r>
      <w:r w:rsidR="00D7270C">
        <w:rPr>
          <w:rStyle w:val="FootnoteReference"/>
          <w:rFonts w:cs="Arial"/>
          <w:sz w:val="20"/>
          <w:szCs w:val="20"/>
        </w:rPr>
        <w:footnoteReference w:id="2"/>
      </w:r>
      <w:r w:rsidRPr="006D455E">
        <w:rPr>
          <w:rFonts w:cs="Arial"/>
          <w:sz w:val="20"/>
          <w:szCs w:val="20"/>
        </w:rPr>
        <w:t>. This was at a cost of $4.69 billion in 2019-20.</w:t>
      </w:r>
    </w:p>
    <w:p w14:paraId="01942EE4" w14:textId="77777777" w:rsidR="001404F7" w:rsidRPr="00D47E5B"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Pr>
          <w:rFonts w:ascii="Arial Narrow" w:eastAsia="Times New Roman" w:hAnsi="Arial Narrow" w:cs="Times New Roman"/>
          <w:b/>
          <w:bCs/>
          <w:spacing w:val="4"/>
          <w:sz w:val="20"/>
          <w:szCs w:val="18"/>
          <w:lang w:eastAsia="en-AU"/>
        </w:rPr>
        <w:t>Table 2.1.17</w:t>
      </w:r>
      <w:r w:rsidRPr="00AF5DB1">
        <w:rPr>
          <w:rFonts w:ascii="Arial Narrow" w:eastAsia="Times New Roman" w:hAnsi="Arial Narrow" w:cs="Times New Roman"/>
          <w:b/>
          <w:bCs/>
          <w:spacing w:val="4"/>
          <w:sz w:val="20"/>
          <w:szCs w:val="18"/>
          <w:lang w:eastAsia="en-AU"/>
        </w:rPr>
        <w:t xml:space="preserve">: </w:t>
      </w:r>
      <w:r w:rsidRPr="006D455E">
        <w:rPr>
          <w:rFonts w:ascii="Arial Narrow" w:eastAsia="Times New Roman" w:hAnsi="Arial Narrow" w:cs="Times New Roman"/>
          <w:b/>
          <w:bCs/>
          <w:spacing w:val="4"/>
          <w:sz w:val="20"/>
          <w:szCs w:val="18"/>
          <w:lang w:eastAsia="en-AU"/>
        </w:rPr>
        <w:t>Number of Commonweal</w:t>
      </w:r>
      <w:r>
        <w:rPr>
          <w:rFonts w:ascii="Arial Narrow" w:eastAsia="Times New Roman" w:hAnsi="Arial Narrow" w:cs="Times New Roman"/>
          <w:b/>
          <w:bCs/>
          <w:spacing w:val="4"/>
          <w:sz w:val="20"/>
          <w:szCs w:val="18"/>
          <w:lang w:eastAsia="en-AU"/>
        </w:rPr>
        <w:t>th Rent Assistance income units</w:t>
      </w:r>
    </w:p>
    <w:tbl>
      <w:tblPr>
        <w:tblStyle w:val="HHorizontaltable1"/>
        <w:tblW w:w="5000" w:type="pct"/>
        <w:tblLook w:val="04A0" w:firstRow="1" w:lastRow="0" w:firstColumn="1" w:lastColumn="0" w:noHBand="0" w:noVBand="1"/>
        <w:tblCaption w:val="Table 2.1.17: Number of Commonwealth Rent Assistance income units"/>
        <w:tblDescription w:val="Table 2.1.17: Number of Commonwealth Rent Assistance income units"/>
      </w:tblPr>
      <w:tblGrid>
        <w:gridCol w:w="5028"/>
        <w:gridCol w:w="1332"/>
        <w:gridCol w:w="1332"/>
        <w:gridCol w:w="1334"/>
      </w:tblGrid>
      <w:tr w:rsidR="001404F7" w:rsidRPr="006447FF" w14:paraId="374D61BB" w14:textId="77777777" w:rsidTr="001404F7">
        <w:trPr>
          <w:cnfStyle w:val="100000000000" w:firstRow="1" w:lastRow="0" w:firstColumn="0" w:lastColumn="0" w:oddVBand="0" w:evenVBand="0" w:oddHBand="0" w:evenHBand="0" w:firstRowFirstColumn="0" w:firstRowLastColumn="0" w:lastRowFirstColumn="0" w:lastRowLastColumn="0"/>
          <w:trHeight w:val="317"/>
        </w:trPr>
        <w:tc>
          <w:tcPr>
            <w:tcW w:w="2785" w:type="pct"/>
            <w:hideMark/>
          </w:tcPr>
          <w:p w14:paraId="2CD7A491" w14:textId="77777777" w:rsidR="001404F7" w:rsidRPr="00D13460" w:rsidRDefault="001404F7" w:rsidP="001404F7">
            <w:pPr>
              <w:keepNext/>
              <w:keepLines/>
              <w:spacing w:before="40" w:after="40"/>
              <w:rPr>
                <w:rFonts w:eastAsia="Times New Roman" w:cs="Times New Roman"/>
                <w:sz w:val="20"/>
                <w:szCs w:val="20"/>
              </w:rPr>
            </w:pPr>
            <w:r w:rsidRPr="00D13460">
              <w:rPr>
                <w:rFonts w:eastAsia="Times New Roman" w:cs="Times New Roman"/>
                <w:sz w:val="20"/>
                <w:szCs w:val="20"/>
              </w:rPr>
              <w:t>Output performance measure</w:t>
            </w:r>
          </w:p>
        </w:tc>
        <w:tc>
          <w:tcPr>
            <w:tcW w:w="738" w:type="pct"/>
            <w:hideMark/>
          </w:tcPr>
          <w:p w14:paraId="67D109F1" w14:textId="77777777" w:rsidR="001404F7" w:rsidRPr="00D13460" w:rsidRDefault="001404F7" w:rsidP="001404F7">
            <w:pPr>
              <w:keepNext/>
              <w:keepLines/>
              <w:spacing w:before="40" w:after="40"/>
              <w:jc w:val="right"/>
              <w:rPr>
                <w:rFonts w:eastAsia="Times New Roman" w:cs="Times New Roman"/>
                <w:sz w:val="20"/>
                <w:szCs w:val="20"/>
              </w:rPr>
            </w:pPr>
            <w:r w:rsidRPr="00D13460">
              <w:rPr>
                <w:rFonts w:eastAsia="Times New Roman" w:cs="Times New Roman"/>
                <w:sz w:val="20"/>
                <w:szCs w:val="20"/>
              </w:rPr>
              <w:t>2019–20</w:t>
            </w:r>
            <w:r w:rsidRPr="00D13460">
              <w:rPr>
                <w:rFonts w:eastAsia="Times New Roman"/>
                <w:b w:val="0"/>
                <w:spacing w:val="4"/>
                <w:sz w:val="20"/>
                <w:szCs w:val="20"/>
                <w:vertAlign w:val="superscript"/>
                <w:lang w:val="en-GB"/>
              </w:rPr>
              <w:t>a</w:t>
            </w:r>
          </w:p>
        </w:tc>
        <w:tc>
          <w:tcPr>
            <w:tcW w:w="738" w:type="pct"/>
            <w:hideMark/>
          </w:tcPr>
          <w:p w14:paraId="597761E4" w14:textId="77777777" w:rsidR="001404F7" w:rsidRPr="00D13460" w:rsidRDefault="001404F7" w:rsidP="001404F7">
            <w:pPr>
              <w:keepNext/>
              <w:keepLines/>
              <w:spacing w:before="40" w:after="40"/>
              <w:jc w:val="right"/>
              <w:rPr>
                <w:rFonts w:eastAsia="Times New Roman" w:cs="Times New Roman"/>
                <w:sz w:val="20"/>
                <w:szCs w:val="20"/>
              </w:rPr>
            </w:pPr>
            <w:r w:rsidRPr="00D13460">
              <w:rPr>
                <w:rFonts w:eastAsia="Times New Roman" w:cs="Times New Roman"/>
                <w:sz w:val="20"/>
                <w:szCs w:val="20"/>
              </w:rPr>
              <w:t>2018–19</w:t>
            </w:r>
          </w:p>
        </w:tc>
        <w:tc>
          <w:tcPr>
            <w:tcW w:w="739" w:type="pct"/>
            <w:hideMark/>
          </w:tcPr>
          <w:p w14:paraId="53F3493C" w14:textId="77777777" w:rsidR="001404F7" w:rsidRPr="00D13460" w:rsidRDefault="001404F7" w:rsidP="001404F7">
            <w:pPr>
              <w:keepNext/>
              <w:keepLines/>
              <w:spacing w:before="40" w:after="40"/>
              <w:jc w:val="right"/>
              <w:rPr>
                <w:rFonts w:eastAsia="Times New Roman" w:cs="Times New Roman"/>
                <w:sz w:val="20"/>
                <w:szCs w:val="20"/>
              </w:rPr>
            </w:pPr>
            <w:r w:rsidRPr="00D13460">
              <w:rPr>
                <w:rFonts w:eastAsia="Times New Roman" w:cs="Times New Roman"/>
                <w:sz w:val="20"/>
                <w:szCs w:val="20"/>
              </w:rPr>
              <w:t>2017–18</w:t>
            </w:r>
          </w:p>
        </w:tc>
      </w:tr>
      <w:tr w:rsidR="001404F7" w:rsidRPr="006447FF" w14:paraId="7647C06B"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bottom w:val="single" w:sz="12" w:space="0" w:color="00B0B9"/>
            </w:tcBorders>
            <w:hideMark/>
          </w:tcPr>
          <w:p w14:paraId="2EAB2218" w14:textId="77777777" w:rsidR="001404F7" w:rsidRPr="007C3D6D" w:rsidRDefault="001404F7" w:rsidP="001404F7">
            <w:pPr>
              <w:keepNext/>
              <w:keepLines/>
              <w:spacing w:before="40" w:after="40"/>
              <w:rPr>
                <w:rFonts w:eastAsia="Times New Roman" w:cs="Times New Roman"/>
                <w:b/>
                <w:color w:val="000000" w:themeColor="text1"/>
                <w:sz w:val="20"/>
                <w:szCs w:val="20"/>
              </w:rPr>
            </w:pPr>
            <w:r w:rsidRPr="007C3D6D">
              <w:rPr>
                <w:rFonts w:eastAsia="Times New Roman" w:cs="Times New Roman"/>
                <w:b/>
                <w:color w:val="000000" w:themeColor="text1"/>
                <w:sz w:val="20"/>
                <w:szCs w:val="20"/>
              </w:rPr>
              <w:t>Cross program</w:t>
            </w:r>
            <w:r w:rsidRPr="007C3D6D">
              <w:rPr>
                <w:rFonts w:eastAsia="Times New Roman"/>
                <w:b/>
                <w:color w:val="000000" w:themeColor="text1"/>
                <w:sz w:val="20"/>
                <w:szCs w:val="20"/>
              </w:rPr>
              <w:t>—</w:t>
            </w:r>
            <w:r w:rsidRPr="007C3D6D">
              <w:rPr>
                <w:rFonts w:eastAsia="Times New Roman" w:cs="Times New Roman"/>
                <w:b/>
                <w:color w:val="000000" w:themeColor="text1"/>
                <w:sz w:val="20"/>
                <w:szCs w:val="20"/>
              </w:rPr>
              <w:t>Rent Assistance</w:t>
            </w:r>
          </w:p>
        </w:tc>
      </w:tr>
      <w:tr w:rsidR="001404F7" w:rsidRPr="006447FF" w14:paraId="1F8902A0" w14:textId="77777777" w:rsidTr="001404F7">
        <w:trPr>
          <w:cnfStyle w:val="000000010000" w:firstRow="0" w:lastRow="0" w:firstColumn="0" w:lastColumn="0" w:oddVBand="0" w:evenVBand="0" w:oddHBand="0" w:evenHBand="1" w:firstRowFirstColumn="0" w:firstRowLastColumn="0" w:lastRowFirstColumn="0" w:lastRowLastColumn="0"/>
        </w:trPr>
        <w:tc>
          <w:tcPr>
            <w:tcW w:w="2785" w:type="pct"/>
            <w:tcBorders>
              <w:top w:val="single" w:sz="12" w:space="0" w:color="00B0B9"/>
              <w:bottom w:val="nil"/>
            </w:tcBorders>
            <w:hideMark/>
          </w:tcPr>
          <w:p w14:paraId="39ADB093" w14:textId="77777777" w:rsidR="001404F7" w:rsidRPr="006447FF" w:rsidRDefault="001404F7" w:rsidP="001404F7">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 xml:space="preserve">Number of Commonwealth Rent Assistance income </w:t>
            </w:r>
            <w:proofErr w:type="spellStart"/>
            <w:r w:rsidRPr="006447FF">
              <w:rPr>
                <w:rFonts w:eastAsia="Times New Roman" w:cs="Arial"/>
                <w:color w:val="000000" w:themeColor="text1"/>
                <w:spacing w:val="4"/>
                <w:sz w:val="20"/>
                <w:szCs w:val="20"/>
                <w:lang w:val="en-GB"/>
              </w:rPr>
              <w:t>units</w:t>
            </w:r>
            <w:r>
              <w:rPr>
                <w:rFonts w:eastAsia="Times New Roman" w:cs="Arial"/>
                <w:color w:val="000000" w:themeColor="text1"/>
                <w:spacing w:val="4"/>
                <w:sz w:val="20"/>
                <w:szCs w:val="20"/>
                <w:vertAlign w:val="superscript"/>
                <w:lang w:val="en-GB"/>
              </w:rPr>
              <w:t>b</w:t>
            </w:r>
            <w:proofErr w:type="spellEnd"/>
          </w:p>
        </w:tc>
        <w:tc>
          <w:tcPr>
            <w:tcW w:w="738" w:type="pct"/>
            <w:tcBorders>
              <w:top w:val="single" w:sz="12" w:space="0" w:color="00B0B9"/>
              <w:bottom w:val="nil"/>
            </w:tcBorders>
            <w:hideMark/>
          </w:tcPr>
          <w:p w14:paraId="575BB9DD"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Pr>
                <w:rFonts w:eastAsia="Times New Roman" w:cs="Arial"/>
                <w:color w:val="000000" w:themeColor="text1"/>
                <w:spacing w:val="4"/>
                <w:sz w:val="20"/>
                <w:szCs w:val="20"/>
                <w:lang w:val="en-GB"/>
              </w:rPr>
              <w:t>1,700,166</w:t>
            </w:r>
          </w:p>
        </w:tc>
        <w:tc>
          <w:tcPr>
            <w:tcW w:w="738" w:type="pct"/>
            <w:tcBorders>
              <w:top w:val="single" w:sz="12" w:space="0" w:color="00B0B9"/>
              <w:bottom w:val="nil"/>
            </w:tcBorders>
            <w:hideMark/>
          </w:tcPr>
          <w:p w14:paraId="74F6318B"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1,285,941</w:t>
            </w:r>
          </w:p>
        </w:tc>
        <w:tc>
          <w:tcPr>
            <w:tcW w:w="738" w:type="pct"/>
            <w:tcBorders>
              <w:top w:val="single" w:sz="12" w:space="0" w:color="00B0B9"/>
              <w:bottom w:val="nil"/>
            </w:tcBorders>
            <w:hideMark/>
          </w:tcPr>
          <w:p w14:paraId="23D78EAB" w14:textId="77777777" w:rsidR="001404F7" w:rsidRPr="006447FF" w:rsidRDefault="001404F7" w:rsidP="001404F7">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1,311,187</w:t>
            </w:r>
          </w:p>
        </w:tc>
      </w:tr>
    </w:tbl>
    <w:p w14:paraId="6636790F" w14:textId="218E169A" w:rsidR="001404F7" w:rsidRDefault="001404F7" w:rsidP="001404F7">
      <w:pPr>
        <w:spacing w:before="160" w:after="60" w:line="240" w:lineRule="auto"/>
        <w:ind w:left="284" w:hanging="284"/>
        <w:contextualSpacing/>
        <w:rPr>
          <w:rFonts w:cs="Arial"/>
          <w:sz w:val="16"/>
          <w:szCs w:val="16"/>
        </w:rPr>
      </w:pPr>
      <w:proofErr w:type="spellStart"/>
      <w:r>
        <w:rPr>
          <w:rFonts w:cs="Arial"/>
          <w:sz w:val="16"/>
          <w:szCs w:val="16"/>
        </w:rPr>
        <w:t>a</w:t>
      </w:r>
      <w:proofErr w:type="spellEnd"/>
      <w:r>
        <w:rPr>
          <w:rFonts w:cs="Arial"/>
          <w:sz w:val="16"/>
          <w:szCs w:val="16"/>
        </w:rPr>
        <w:tab/>
        <w:t xml:space="preserve">The sharp increase in the number of Commonwealth Rent Assistance income units was mainly due to the increase in number of </w:t>
      </w:r>
      <w:proofErr w:type="spellStart"/>
      <w:r>
        <w:rPr>
          <w:rFonts w:cs="Arial"/>
          <w:sz w:val="16"/>
          <w:szCs w:val="16"/>
        </w:rPr>
        <w:t>JobSeeker</w:t>
      </w:r>
      <w:proofErr w:type="spellEnd"/>
      <w:r>
        <w:rPr>
          <w:rFonts w:cs="Arial"/>
          <w:sz w:val="16"/>
          <w:szCs w:val="16"/>
        </w:rPr>
        <w:t xml:space="preserve"> Payment recipients in the three months to June 2020.</w:t>
      </w:r>
    </w:p>
    <w:p w14:paraId="52CF127C" w14:textId="77777777" w:rsidR="001404F7" w:rsidRDefault="001404F7" w:rsidP="001404F7">
      <w:pPr>
        <w:spacing w:before="160" w:after="60" w:line="240" w:lineRule="auto"/>
        <w:ind w:left="284" w:hanging="284"/>
        <w:contextualSpacing/>
        <w:rPr>
          <w:rFonts w:cs="Arial"/>
          <w:sz w:val="16"/>
          <w:szCs w:val="16"/>
        </w:rPr>
      </w:pPr>
      <w:r>
        <w:rPr>
          <w:rFonts w:cs="Arial"/>
          <w:sz w:val="16"/>
          <w:szCs w:val="16"/>
        </w:rPr>
        <w:t>b</w:t>
      </w:r>
      <w:r>
        <w:rPr>
          <w:rFonts w:cs="Arial"/>
          <w:sz w:val="16"/>
          <w:szCs w:val="16"/>
        </w:rPr>
        <w:tab/>
      </w:r>
      <w:r w:rsidRPr="00425CE9">
        <w:rPr>
          <w:rFonts w:cs="Arial"/>
          <w:sz w:val="16"/>
          <w:szCs w:val="16"/>
        </w:rPr>
        <w:t>Refers to last Friday in June during the reporting year.</w:t>
      </w:r>
    </w:p>
    <w:p w14:paraId="6D04F74F" w14:textId="77777777" w:rsidR="001404F7" w:rsidRPr="00240EE2" w:rsidRDefault="001404F7" w:rsidP="001404F7">
      <w:pPr>
        <w:rPr>
          <w:rFonts w:cs="Arial"/>
          <w:sz w:val="20"/>
          <w:szCs w:val="20"/>
        </w:rPr>
      </w:pPr>
    </w:p>
    <w:p w14:paraId="1B735100" w14:textId="77777777" w:rsidR="00715F6F" w:rsidRDefault="00715F6F">
      <w:pPr>
        <w:rPr>
          <w:rFonts w:eastAsiaTheme="majorEastAsia" w:cstheme="majorBidi"/>
          <w:b/>
          <w:color w:val="595959" w:themeColor="text1" w:themeTint="A6"/>
          <w:sz w:val="24"/>
          <w:szCs w:val="20"/>
        </w:rPr>
        <w:sectPr w:rsidR="00715F6F" w:rsidSect="00585891">
          <w:pgSz w:w="11906" w:h="16838"/>
          <w:pgMar w:top="1440" w:right="1440" w:bottom="1440" w:left="1440" w:header="709" w:footer="709" w:gutter="0"/>
          <w:cols w:space="708"/>
          <w:docGrid w:linePitch="360"/>
        </w:sectPr>
      </w:pPr>
    </w:p>
    <w:p w14:paraId="729090DA" w14:textId="2C6119A8" w:rsidR="001404F7" w:rsidRPr="00A456EF" w:rsidRDefault="001404F7" w:rsidP="001404F7">
      <w:pPr>
        <w:keepNext/>
        <w:spacing w:before="360" w:after="240" w:line="260" w:lineRule="atLeast"/>
        <w:outlineLvl w:val="7"/>
        <w:rPr>
          <w:rFonts w:eastAsiaTheme="majorEastAsia" w:cstheme="majorBidi"/>
          <w:b/>
          <w:color w:val="595959" w:themeColor="text1" w:themeTint="A6"/>
          <w:sz w:val="24"/>
          <w:szCs w:val="20"/>
        </w:rPr>
      </w:pPr>
      <w:r w:rsidRPr="00A456EF">
        <w:rPr>
          <w:rFonts w:eastAsiaTheme="majorEastAsia" w:cstheme="majorBidi"/>
          <w:b/>
          <w:color w:val="595959" w:themeColor="text1" w:themeTint="A6"/>
          <w:sz w:val="24"/>
          <w:szCs w:val="20"/>
        </w:rPr>
        <w:lastRenderedPageBreak/>
        <w:t>C1.5.4 Administered outlays</w:t>
      </w:r>
    </w:p>
    <w:p w14:paraId="2F11DE7A" w14:textId="77777777" w:rsidR="001404F7" w:rsidRDefault="001404F7" w:rsidP="001404F7">
      <w:pPr>
        <w:keepNext/>
        <w:spacing w:before="240" w:after="0" w:line="260" w:lineRule="atLeast"/>
        <w:ind w:right="425"/>
        <w:rPr>
          <w:rFonts w:ascii="Arial Narrow" w:eastAsia="Times New Roman" w:hAnsi="Arial Narrow" w:cs="Times New Roman"/>
          <w:b/>
          <w:bCs/>
          <w:spacing w:val="4"/>
          <w:sz w:val="20"/>
          <w:szCs w:val="18"/>
          <w:lang w:eastAsia="en-AU"/>
        </w:rPr>
      </w:pPr>
      <w:r w:rsidRPr="00A456EF">
        <w:rPr>
          <w:rFonts w:ascii="Arial Narrow" w:eastAsia="Times New Roman" w:hAnsi="Arial Narrow" w:cs="Times New Roman"/>
          <w:b/>
          <w:bCs/>
          <w:spacing w:val="4"/>
          <w:sz w:val="20"/>
          <w:szCs w:val="18"/>
          <w:lang w:eastAsia="en-AU"/>
        </w:rPr>
        <w:t>Table 2.1.18: Administered outlays</w:t>
      </w:r>
    </w:p>
    <w:tbl>
      <w:tblPr>
        <w:tblStyle w:val="HHorizontaltable1"/>
        <w:tblW w:w="5000" w:type="pct"/>
        <w:tblLook w:val="04A0" w:firstRow="1" w:lastRow="0" w:firstColumn="1" w:lastColumn="0" w:noHBand="0" w:noVBand="1"/>
        <w:tblCaption w:val="Table 2.1.18: Administered Outlays"/>
        <w:tblDescription w:val="Table 2.1.18: Administered Outlays"/>
      </w:tblPr>
      <w:tblGrid>
        <w:gridCol w:w="3467"/>
        <w:gridCol w:w="1652"/>
        <w:gridCol w:w="1948"/>
        <w:gridCol w:w="1959"/>
      </w:tblGrid>
      <w:tr w:rsidR="001404F7" w:rsidRPr="006E2377" w14:paraId="47648FEB" w14:textId="77777777" w:rsidTr="00107B1C">
        <w:trPr>
          <w:cnfStyle w:val="100000000000" w:firstRow="1" w:lastRow="0" w:firstColumn="0" w:lastColumn="0" w:oddVBand="0" w:evenVBand="0" w:oddHBand="0" w:evenHBand="0" w:firstRowFirstColumn="0" w:firstRowLastColumn="0" w:lastRowFirstColumn="0" w:lastRowLastColumn="0"/>
          <w:trHeight w:val="75"/>
          <w:tblHeader/>
        </w:trPr>
        <w:tc>
          <w:tcPr>
            <w:tcW w:w="1921" w:type="pct"/>
            <w:tcBorders>
              <w:bottom w:val="single" w:sz="4" w:space="0" w:color="FFFFFF" w:themeColor="background1"/>
            </w:tcBorders>
            <w:hideMark/>
          </w:tcPr>
          <w:p w14:paraId="5B90BBB8" w14:textId="77777777" w:rsidR="001404F7" w:rsidRPr="00D13460" w:rsidRDefault="001404F7" w:rsidP="001404F7">
            <w:pPr>
              <w:keepNext/>
              <w:keepLines/>
              <w:spacing w:before="40" w:after="40"/>
              <w:rPr>
                <w:rFonts w:eastAsia="Times New Roman"/>
                <w:sz w:val="20"/>
                <w:szCs w:val="20"/>
              </w:rPr>
            </w:pPr>
            <w:r w:rsidRPr="00D13460">
              <w:rPr>
                <w:rFonts w:eastAsia="Times New Roman"/>
                <w:sz w:val="20"/>
                <w:szCs w:val="20"/>
              </w:rPr>
              <w:t>Output performance measure</w:t>
            </w:r>
          </w:p>
        </w:tc>
        <w:tc>
          <w:tcPr>
            <w:tcW w:w="915" w:type="pct"/>
            <w:tcBorders>
              <w:bottom w:val="single" w:sz="4" w:space="0" w:color="FFFFFF" w:themeColor="background1"/>
            </w:tcBorders>
            <w:hideMark/>
          </w:tcPr>
          <w:p w14:paraId="5A7E7408" w14:textId="77777777" w:rsidR="001404F7" w:rsidRPr="00D13460" w:rsidRDefault="001404F7" w:rsidP="001404F7">
            <w:pPr>
              <w:keepNext/>
              <w:keepLines/>
              <w:spacing w:before="40" w:after="40"/>
              <w:jc w:val="right"/>
              <w:rPr>
                <w:rFonts w:eastAsia="Times New Roman"/>
                <w:sz w:val="20"/>
                <w:szCs w:val="20"/>
              </w:rPr>
            </w:pPr>
            <w:r w:rsidRPr="00D13460">
              <w:rPr>
                <w:rFonts w:eastAsia="Times New Roman"/>
                <w:sz w:val="20"/>
                <w:szCs w:val="20"/>
              </w:rPr>
              <w:t>2019–20</w:t>
            </w:r>
          </w:p>
        </w:tc>
        <w:tc>
          <w:tcPr>
            <w:tcW w:w="1079" w:type="pct"/>
            <w:tcBorders>
              <w:bottom w:val="single" w:sz="4" w:space="0" w:color="FFFFFF" w:themeColor="background1"/>
            </w:tcBorders>
            <w:hideMark/>
          </w:tcPr>
          <w:p w14:paraId="40365037" w14:textId="77777777" w:rsidR="001404F7" w:rsidRPr="00D13460" w:rsidRDefault="001404F7" w:rsidP="001404F7">
            <w:pPr>
              <w:keepNext/>
              <w:keepLines/>
              <w:spacing w:before="40" w:after="40"/>
              <w:jc w:val="right"/>
              <w:rPr>
                <w:rFonts w:eastAsia="Times New Roman"/>
                <w:sz w:val="20"/>
                <w:szCs w:val="20"/>
              </w:rPr>
            </w:pPr>
            <w:r w:rsidRPr="00D13460">
              <w:rPr>
                <w:rFonts w:eastAsia="Times New Roman"/>
                <w:sz w:val="20"/>
                <w:szCs w:val="20"/>
              </w:rPr>
              <w:t>2018–19</w:t>
            </w:r>
          </w:p>
        </w:tc>
        <w:tc>
          <w:tcPr>
            <w:tcW w:w="1086" w:type="pct"/>
            <w:tcBorders>
              <w:bottom w:val="single" w:sz="4" w:space="0" w:color="FFFFFF" w:themeColor="background1"/>
            </w:tcBorders>
            <w:hideMark/>
          </w:tcPr>
          <w:p w14:paraId="7EB02ABD" w14:textId="77777777" w:rsidR="001404F7" w:rsidRPr="00D13460" w:rsidRDefault="001404F7" w:rsidP="001404F7">
            <w:pPr>
              <w:keepNext/>
              <w:keepLines/>
              <w:spacing w:before="40" w:after="40"/>
              <w:jc w:val="right"/>
              <w:rPr>
                <w:rFonts w:eastAsia="Times New Roman"/>
                <w:sz w:val="20"/>
                <w:szCs w:val="20"/>
              </w:rPr>
            </w:pPr>
            <w:r w:rsidRPr="00D13460">
              <w:rPr>
                <w:rFonts w:eastAsia="Times New Roman"/>
                <w:sz w:val="20"/>
                <w:szCs w:val="20"/>
              </w:rPr>
              <w:t>2017–18</w:t>
            </w:r>
          </w:p>
        </w:tc>
      </w:tr>
      <w:tr w:rsidR="001404F7" w:rsidRPr="00EA08A6" w14:paraId="19732A7C"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77F1FC90" w14:textId="77777777" w:rsidR="001404F7" w:rsidRPr="00EA08A6" w:rsidRDefault="001404F7" w:rsidP="001404F7">
            <w:pPr>
              <w:keepNext/>
              <w:keepLines/>
              <w:spacing w:before="40" w:after="40"/>
              <w:rPr>
                <w:rFonts w:eastAsia="Times New Roman" w:cs="Arial"/>
                <w:b/>
                <w:color w:val="000000" w:themeColor="text1"/>
                <w:sz w:val="20"/>
                <w:szCs w:val="20"/>
              </w:rPr>
            </w:pPr>
            <w:r w:rsidRPr="00EA08A6">
              <w:rPr>
                <w:rFonts w:eastAsia="Times New Roman" w:cs="Arial"/>
                <w:b/>
                <w:color w:val="000000" w:themeColor="text1"/>
                <w:sz w:val="20"/>
                <w:szCs w:val="20"/>
              </w:rPr>
              <w:t>Family Tax Benefit</w:t>
            </w:r>
          </w:p>
        </w:tc>
      </w:tr>
      <w:tr w:rsidR="001404F7" w:rsidRPr="00EA08A6" w14:paraId="103A757F"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tcBorders>
              <w:top w:val="single" w:sz="18" w:space="0" w:color="00B0B9"/>
            </w:tcBorders>
            <w:hideMark/>
          </w:tcPr>
          <w:p w14:paraId="7231886C"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olor w:val="000000" w:themeColor="text1"/>
                <w:spacing w:val="4"/>
                <w:sz w:val="20"/>
                <w:szCs w:val="20"/>
                <w:lang w:val="en-GB"/>
              </w:rPr>
              <w:t>Family Tax Benefit Part A</w:t>
            </w:r>
          </w:p>
        </w:tc>
        <w:tc>
          <w:tcPr>
            <w:tcW w:w="915" w:type="pct"/>
            <w:tcBorders>
              <w:top w:val="single" w:sz="18" w:space="0" w:color="00B0B9"/>
            </w:tcBorders>
          </w:tcPr>
          <w:p w14:paraId="714B8BF8"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517BCD">
              <w:rPr>
                <w:rFonts w:eastAsia="Times New Roman"/>
                <w:color w:val="000000" w:themeColor="text1"/>
                <w:spacing w:val="4"/>
                <w:sz w:val="20"/>
                <w:szCs w:val="20"/>
                <w:lang w:val="en-GB"/>
              </w:rPr>
              <w:t>$14</w:t>
            </w:r>
            <w:r>
              <w:rPr>
                <w:rFonts w:eastAsia="Times New Roman"/>
                <w:color w:val="000000" w:themeColor="text1"/>
                <w:spacing w:val="4"/>
                <w:sz w:val="20"/>
                <w:szCs w:val="20"/>
                <w:lang w:val="en-GB"/>
              </w:rPr>
              <w:t>,</w:t>
            </w:r>
            <w:r w:rsidRPr="00517BCD">
              <w:rPr>
                <w:rFonts w:eastAsia="Times New Roman"/>
                <w:color w:val="000000" w:themeColor="text1"/>
                <w:spacing w:val="4"/>
                <w:sz w:val="20"/>
                <w:szCs w:val="20"/>
                <w:lang w:val="en-GB"/>
              </w:rPr>
              <w:t>567.42m</w:t>
            </w:r>
          </w:p>
        </w:tc>
        <w:tc>
          <w:tcPr>
            <w:tcW w:w="1079" w:type="pct"/>
            <w:tcBorders>
              <w:top w:val="single" w:sz="18" w:space="0" w:color="00B0B9"/>
            </w:tcBorders>
            <w:hideMark/>
          </w:tcPr>
          <w:p w14:paraId="7A45A94B" w14:textId="77777777" w:rsidR="001404F7" w:rsidRPr="00EA08A6" w:rsidRDefault="001404F7" w:rsidP="001404F7">
            <w:pPr>
              <w:spacing w:before="40" w:after="40"/>
              <w:jc w:val="right"/>
              <w:rPr>
                <w:rFonts w:eastAsia="Times New Roman"/>
                <w:color w:val="000000" w:themeColor="text1"/>
                <w:spacing w:val="4"/>
                <w:sz w:val="20"/>
                <w:szCs w:val="20"/>
                <w:lang w:val="en-GB"/>
              </w:rPr>
            </w:pPr>
            <w:r>
              <w:rPr>
                <w:rFonts w:eastAsia="Times New Roman" w:cs="Arial"/>
                <w:color w:val="000000" w:themeColor="text1"/>
                <w:spacing w:val="4"/>
                <w:sz w:val="20"/>
                <w:szCs w:val="20"/>
                <w:lang w:val="en-GB"/>
              </w:rPr>
              <w:t>$13,962.34m</w:t>
            </w:r>
          </w:p>
        </w:tc>
        <w:tc>
          <w:tcPr>
            <w:tcW w:w="1086" w:type="pct"/>
            <w:tcBorders>
              <w:top w:val="single" w:sz="18" w:space="0" w:color="00B0B9"/>
            </w:tcBorders>
            <w:hideMark/>
          </w:tcPr>
          <w:p w14:paraId="5D7C9A5B" w14:textId="77777777" w:rsidR="001404F7" w:rsidRPr="00EA08A6" w:rsidRDefault="001404F7" w:rsidP="001404F7">
            <w:pPr>
              <w:spacing w:before="40" w:after="40"/>
              <w:jc w:val="right"/>
              <w:rPr>
                <w:rFonts w:eastAsia="Times New Roman"/>
                <w:color w:val="000000" w:themeColor="text1"/>
                <w:spacing w:val="4"/>
                <w:sz w:val="20"/>
                <w:szCs w:val="20"/>
                <w:lang w:val="en-GB"/>
              </w:rPr>
            </w:pPr>
            <w:r>
              <w:rPr>
                <w:rFonts w:eastAsia="Times New Roman"/>
                <w:color w:val="000000" w:themeColor="text1"/>
                <w:spacing w:val="4"/>
                <w:sz w:val="20"/>
                <w:szCs w:val="20"/>
                <w:lang w:val="en-GB"/>
              </w:rPr>
              <w:t>$13,936.74m</w:t>
            </w:r>
          </w:p>
        </w:tc>
      </w:tr>
      <w:tr w:rsidR="001404F7" w:rsidRPr="00EA08A6" w14:paraId="766087B3" w14:textId="77777777" w:rsidTr="00107B1C">
        <w:trPr>
          <w:cnfStyle w:val="000000100000" w:firstRow="0" w:lastRow="0" w:firstColumn="0" w:lastColumn="0" w:oddVBand="0" w:evenVBand="0" w:oddHBand="1" w:evenHBand="0" w:firstRowFirstColumn="0" w:firstRowLastColumn="0" w:lastRowFirstColumn="0" w:lastRowLastColumn="0"/>
        </w:trPr>
        <w:tc>
          <w:tcPr>
            <w:tcW w:w="1921" w:type="pct"/>
            <w:tcBorders>
              <w:bottom w:val="single" w:sz="4" w:space="0" w:color="FFFFFF" w:themeColor="background1"/>
            </w:tcBorders>
            <w:hideMark/>
          </w:tcPr>
          <w:p w14:paraId="2DBA33D9"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Family Tax Benefit Part B</w:t>
            </w:r>
          </w:p>
        </w:tc>
        <w:tc>
          <w:tcPr>
            <w:tcW w:w="915" w:type="pct"/>
            <w:tcBorders>
              <w:bottom w:val="single" w:sz="4" w:space="0" w:color="FFFFFF" w:themeColor="background1"/>
            </w:tcBorders>
          </w:tcPr>
          <w:p w14:paraId="5B63D3D6"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4,054.21m</w:t>
            </w:r>
          </w:p>
        </w:tc>
        <w:tc>
          <w:tcPr>
            <w:tcW w:w="1079" w:type="pct"/>
            <w:tcBorders>
              <w:bottom w:val="single" w:sz="4" w:space="0" w:color="FFFFFF" w:themeColor="background1"/>
            </w:tcBorders>
            <w:hideMark/>
          </w:tcPr>
          <w:p w14:paraId="1FC2A7F0"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Pr>
                <w:rFonts w:eastAsia="Times New Roman" w:cs="Arial"/>
                <w:color w:val="000000" w:themeColor="text1"/>
                <w:spacing w:val="4"/>
                <w:sz w:val="20"/>
                <w:szCs w:val="20"/>
                <w:lang w:val="en-GB"/>
              </w:rPr>
              <w:t>$4,104.97m</w:t>
            </w:r>
          </w:p>
        </w:tc>
        <w:tc>
          <w:tcPr>
            <w:tcW w:w="1086" w:type="pct"/>
            <w:tcBorders>
              <w:bottom w:val="single" w:sz="4" w:space="0" w:color="FFFFFF" w:themeColor="background1"/>
            </w:tcBorders>
            <w:hideMark/>
          </w:tcPr>
          <w:p w14:paraId="09B16AF2"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Pr>
                <w:rFonts w:eastAsia="Times New Roman" w:cs="Arial"/>
                <w:color w:val="000000" w:themeColor="text1"/>
                <w:spacing w:val="4"/>
                <w:sz w:val="20"/>
                <w:szCs w:val="20"/>
                <w:lang w:val="en-GB"/>
              </w:rPr>
              <w:t>$4,077.17m</w:t>
            </w:r>
          </w:p>
        </w:tc>
      </w:tr>
      <w:tr w:rsidR="001404F7" w:rsidRPr="00EA08A6" w14:paraId="4D57B195" w14:textId="77777777" w:rsidTr="001404F7">
        <w:trPr>
          <w:cnfStyle w:val="000000010000" w:firstRow="0" w:lastRow="0" w:firstColumn="0" w:lastColumn="0" w:oddVBand="0" w:evenVBand="0" w:oddHBand="0" w:evenHBand="1"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7042CA4C" w14:textId="77777777" w:rsidR="001404F7" w:rsidRPr="00EA08A6" w:rsidRDefault="001404F7" w:rsidP="001404F7">
            <w:pPr>
              <w:keepNext/>
              <w:keepLines/>
              <w:spacing w:before="40" w:after="40"/>
              <w:rPr>
                <w:rFonts w:eastAsia="Times New Roman" w:cs="Arial"/>
                <w:b/>
                <w:color w:val="000000" w:themeColor="text1"/>
                <w:sz w:val="20"/>
                <w:szCs w:val="20"/>
              </w:rPr>
            </w:pPr>
            <w:r w:rsidRPr="00EA08A6">
              <w:rPr>
                <w:rFonts w:eastAsia="Times New Roman"/>
                <w:b/>
                <w:color w:val="000000" w:themeColor="text1"/>
                <w:sz w:val="20"/>
                <w:szCs w:val="20"/>
              </w:rPr>
              <w:t>Child Payments</w:t>
            </w:r>
          </w:p>
        </w:tc>
      </w:tr>
      <w:tr w:rsidR="001404F7" w:rsidRPr="00EA08A6" w14:paraId="5B091D32" w14:textId="77777777" w:rsidTr="00107B1C">
        <w:trPr>
          <w:cnfStyle w:val="000000100000" w:firstRow="0" w:lastRow="0" w:firstColumn="0" w:lastColumn="0" w:oddVBand="0" w:evenVBand="0" w:oddHBand="1" w:evenHBand="0" w:firstRowFirstColumn="0" w:firstRowLastColumn="0" w:lastRowFirstColumn="0" w:lastRowLastColumn="0"/>
        </w:trPr>
        <w:tc>
          <w:tcPr>
            <w:tcW w:w="1921" w:type="pct"/>
            <w:tcBorders>
              <w:top w:val="single" w:sz="18" w:space="0" w:color="00B0B9"/>
            </w:tcBorders>
            <w:hideMark/>
          </w:tcPr>
          <w:p w14:paraId="3844713A"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Double Orphan Pension</w:t>
            </w:r>
          </w:p>
        </w:tc>
        <w:tc>
          <w:tcPr>
            <w:tcW w:w="915" w:type="pct"/>
            <w:tcBorders>
              <w:top w:val="single" w:sz="18" w:space="0" w:color="00B0B9"/>
            </w:tcBorders>
          </w:tcPr>
          <w:p w14:paraId="34B89E94"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3.17m</w:t>
            </w:r>
          </w:p>
        </w:tc>
        <w:tc>
          <w:tcPr>
            <w:tcW w:w="1079" w:type="pct"/>
            <w:tcBorders>
              <w:top w:val="single" w:sz="18" w:space="0" w:color="00B0B9"/>
            </w:tcBorders>
            <w:hideMark/>
          </w:tcPr>
          <w:p w14:paraId="29A86BCF"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$3.00m</w:t>
            </w:r>
          </w:p>
        </w:tc>
        <w:tc>
          <w:tcPr>
            <w:tcW w:w="1086" w:type="pct"/>
            <w:tcBorders>
              <w:top w:val="single" w:sz="18" w:space="0" w:color="00B0B9"/>
            </w:tcBorders>
            <w:hideMark/>
          </w:tcPr>
          <w:p w14:paraId="3D3CA816"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$3.11m</w:t>
            </w:r>
          </w:p>
        </w:tc>
      </w:tr>
      <w:tr w:rsidR="001404F7" w:rsidRPr="00EA08A6" w14:paraId="559BC9F7"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hideMark/>
          </w:tcPr>
          <w:p w14:paraId="07B1F2C4"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olor w:val="000000" w:themeColor="text1"/>
                <w:spacing w:val="4"/>
                <w:sz w:val="20"/>
                <w:szCs w:val="20"/>
                <w:lang w:val="en-GB"/>
              </w:rPr>
              <w:t>Single Income Family Supplement</w:t>
            </w:r>
          </w:p>
        </w:tc>
        <w:tc>
          <w:tcPr>
            <w:tcW w:w="915" w:type="pct"/>
          </w:tcPr>
          <w:p w14:paraId="50BAF662"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17.51m</w:t>
            </w:r>
          </w:p>
        </w:tc>
        <w:tc>
          <w:tcPr>
            <w:tcW w:w="1079" w:type="pct"/>
            <w:hideMark/>
          </w:tcPr>
          <w:p w14:paraId="2F8AFBBF"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$22.22m</w:t>
            </w:r>
          </w:p>
        </w:tc>
        <w:tc>
          <w:tcPr>
            <w:tcW w:w="1086" w:type="pct"/>
            <w:hideMark/>
          </w:tcPr>
          <w:p w14:paraId="01E8A8AE"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olor w:val="000000" w:themeColor="text1"/>
                <w:spacing w:val="4"/>
                <w:sz w:val="20"/>
                <w:szCs w:val="20"/>
                <w:lang w:val="en-GB"/>
              </w:rPr>
              <w:t>$28.46m</w:t>
            </w:r>
          </w:p>
        </w:tc>
      </w:tr>
      <w:tr w:rsidR="001404F7" w:rsidRPr="00EA08A6" w14:paraId="595D4516" w14:textId="77777777" w:rsidTr="00107B1C">
        <w:trPr>
          <w:cnfStyle w:val="000000100000" w:firstRow="0" w:lastRow="0" w:firstColumn="0" w:lastColumn="0" w:oddVBand="0" w:evenVBand="0" w:oddHBand="1" w:evenHBand="0" w:firstRowFirstColumn="0" w:firstRowLastColumn="0" w:lastRowFirstColumn="0" w:lastRowLastColumn="0"/>
        </w:trPr>
        <w:tc>
          <w:tcPr>
            <w:tcW w:w="1921" w:type="pct"/>
            <w:hideMark/>
          </w:tcPr>
          <w:p w14:paraId="549FEFC2"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Stillborn Baby Payment</w:t>
            </w:r>
          </w:p>
        </w:tc>
        <w:tc>
          <w:tcPr>
            <w:tcW w:w="915" w:type="pct"/>
          </w:tcPr>
          <w:p w14:paraId="16BDCCF5"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1.78m</w:t>
            </w:r>
          </w:p>
        </w:tc>
        <w:tc>
          <w:tcPr>
            <w:tcW w:w="1079" w:type="pct"/>
            <w:hideMark/>
          </w:tcPr>
          <w:p w14:paraId="0A6C8090"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$1.73m</w:t>
            </w:r>
          </w:p>
        </w:tc>
        <w:tc>
          <w:tcPr>
            <w:tcW w:w="1086" w:type="pct"/>
            <w:hideMark/>
          </w:tcPr>
          <w:p w14:paraId="7F8CD892"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$1.89m</w:t>
            </w:r>
          </w:p>
        </w:tc>
      </w:tr>
      <w:tr w:rsidR="001404F7" w:rsidRPr="00EA08A6" w14:paraId="06427C50"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tcBorders>
              <w:bottom w:val="single" w:sz="4" w:space="0" w:color="FFFFFF" w:themeColor="background1"/>
            </w:tcBorders>
            <w:hideMark/>
          </w:tcPr>
          <w:p w14:paraId="6A303422"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olor w:val="000000" w:themeColor="text1"/>
                <w:spacing w:val="4"/>
                <w:sz w:val="20"/>
                <w:szCs w:val="20"/>
                <w:lang w:val="en-GB"/>
              </w:rPr>
              <w:t>Assistance for Isolated Children</w:t>
            </w:r>
          </w:p>
        </w:tc>
        <w:tc>
          <w:tcPr>
            <w:tcW w:w="915" w:type="pct"/>
            <w:tcBorders>
              <w:bottom w:val="single" w:sz="4" w:space="0" w:color="FFFFFF" w:themeColor="background1"/>
            </w:tcBorders>
          </w:tcPr>
          <w:p w14:paraId="564CDFB5"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82.69m</w:t>
            </w:r>
          </w:p>
        </w:tc>
        <w:tc>
          <w:tcPr>
            <w:tcW w:w="1079" w:type="pct"/>
            <w:tcBorders>
              <w:bottom w:val="single" w:sz="4" w:space="0" w:color="FFFFFF" w:themeColor="background1"/>
            </w:tcBorders>
            <w:hideMark/>
          </w:tcPr>
          <w:p w14:paraId="5E2EF70C"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$77.19m</w:t>
            </w:r>
          </w:p>
        </w:tc>
        <w:tc>
          <w:tcPr>
            <w:tcW w:w="1086" w:type="pct"/>
            <w:tcBorders>
              <w:bottom w:val="single" w:sz="4" w:space="0" w:color="FFFFFF" w:themeColor="background1"/>
            </w:tcBorders>
            <w:hideMark/>
          </w:tcPr>
          <w:p w14:paraId="4AC86E76"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olor w:val="000000" w:themeColor="text1"/>
                <w:spacing w:val="4"/>
                <w:sz w:val="20"/>
                <w:szCs w:val="20"/>
                <w:lang w:val="en-GB"/>
              </w:rPr>
              <w:t>$74.94m</w:t>
            </w:r>
          </w:p>
        </w:tc>
      </w:tr>
      <w:tr w:rsidR="001404F7" w:rsidRPr="00EA08A6" w14:paraId="20D36D7D"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3FA7BB91" w14:textId="77777777" w:rsidR="001404F7" w:rsidRPr="00EA08A6" w:rsidRDefault="001404F7" w:rsidP="001404F7">
            <w:pPr>
              <w:keepNext/>
              <w:keepLines/>
              <w:spacing w:before="40" w:after="40"/>
              <w:rPr>
                <w:rFonts w:eastAsia="Times New Roman" w:cs="Arial"/>
                <w:b/>
                <w:color w:val="000000" w:themeColor="text1"/>
                <w:sz w:val="20"/>
                <w:szCs w:val="20"/>
              </w:rPr>
            </w:pPr>
            <w:r w:rsidRPr="00EA08A6">
              <w:rPr>
                <w:rFonts w:eastAsia="Times New Roman" w:cs="Arial"/>
                <w:b/>
                <w:color w:val="000000" w:themeColor="text1"/>
                <w:sz w:val="20"/>
                <w:szCs w:val="20"/>
              </w:rPr>
              <w:t>Income Support for Vulnerable People</w:t>
            </w:r>
          </w:p>
        </w:tc>
      </w:tr>
      <w:tr w:rsidR="001404F7" w:rsidRPr="00EA08A6" w14:paraId="5808CFB7"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tcBorders>
              <w:top w:val="single" w:sz="18" w:space="0" w:color="00B0B9"/>
              <w:bottom w:val="single" w:sz="4" w:space="0" w:color="FFFFFF" w:themeColor="background1"/>
            </w:tcBorders>
            <w:hideMark/>
          </w:tcPr>
          <w:p w14:paraId="6A1C16A5"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olor w:val="000000" w:themeColor="text1"/>
                <w:spacing w:val="4"/>
                <w:sz w:val="20"/>
                <w:szCs w:val="20"/>
                <w:lang w:val="en-GB"/>
              </w:rPr>
              <w:t>Special Benefit</w:t>
            </w:r>
          </w:p>
        </w:tc>
        <w:tc>
          <w:tcPr>
            <w:tcW w:w="915" w:type="pct"/>
            <w:tcBorders>
              <w:top w:val="single" w:sz="18" w:space="0" w:color="00B0B9"/>
              <w:bottom w:val="single" w:sz="4" w:space="0" w:color="FFFFFF" w:themeColor="background1"/>
            </w:tcBorders>
          </w:tcPr>
          <w:p w14:paraId="529DA7A9"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151.12m</w:t>
            </w:r>
          </w:p>
        </w:tc>
        <w:tc>
          <w:tcPr>
            <w:tcW w:w="1079" w:type="pct"/>
            <w:tcBorders>
              <w:top w:val="single" w:sz="18" w:space="0" w:color="00B0B9"/>
              <w:bottom w:val="single" w:sz="4" w:space="0" w:color="FFFFFF" w:themeColor="background1"/>
            </w:tcBorders>
            <w:hideMark/>
          </w:tcPr>
          <w:p w14:paraId="0535D192"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$103.15m</w:t>
            </w:r>
          </w:p>
        </w:tc>
        <w:tc>
          <w:tcPr>
            <w:tcW w:w="1086" w:type="pct"/>
            <w:tcBorders>
              <w:top w:val="single" w:sz="18" w:space="0" w:color="00B0B9"/>
              <w:bottom w:val="single" w:sz="4" w:space="0" w:color="FFFFFF" w:themeColor="background1"/>
            </w:tcBorders>
            <w:hideMark/>
          </w:tcPr>
          <w:p w14:paraId="7CB572FA"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olor w:val="000000" w:themeColor="text1"/>
                <w:spacing w:val="4"/>
                <w:sz w:val="20"/>
                <w:szCs w:val="20"/>
                <w:lang w:val="en-GB"/>
              </w:rPr>
              <w:t>$99.79m</w:t>
            </w:r>
          </w:p>
        </w:tc>
      </w:tr>
      <w:tr w:rsidR="001404F7" w:rsidRPr="00EA08A6" w14:paraId="02DF1BD8"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651572B9" w14:textId="77777777" w:rsidR="001404F7" w:rsidRPr="00EA08A6" w:rsidRDefault="001404F7" w:rsidP="001404F7">
            <w:pPr>
              <w:keepNext/>
              <w:keepLines/>
              <w:spacing w:before="40" w:after="40"/>
              <w:rPr>
                <w:rFonts w:eastAsia="Times New Roman" w:cs="Arial"/>
                <w:b/>
                <w:color w:val="000000" w:themeColor="text1"/>
                <w:sz w:val="20"/>
                <w:szCs w:val="20"/>
              </w:rPr>
            </w:pPr>
            <w:r w:rsidRPr="00EA08A6">
              <w:rPr>
                <w:rFonts w:eastAsia="Times New Roman" w:cs="Arial"/>
                <w:b/>
                <w:color w:val="000000" w:themeColor="text1"/>
                <w:sz w:val="20"/>
                <w:szCs w:val="20"/>
              </w:rPr>
              <w:t>Income Support for People in Special Circumstances</w:t>
            </w:r>
          </w:p>
        </w:tc>
      </w:tr>
      <w:tr w:rsidR="001404F7" w:rsidRPr="00EA08A6" w14:paraId="4C677018"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tcBorders>
              <w:top w:val="single" w:sz="18" w:space="0" w:color="00B0B9"/>
            </w:tcBorders>
            <w:hideMark/>
          </w:tcPr>
          <w:p w14:paraId="443BF1E1"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olor w:val="000000" w:themeColor="text1"/>
                <w:spacing w:val="4"/>
                <w:sz w:val="20"/>
                <w:szCs w:val="20"/>
                <w:lang w:val="en-GB"/>
              </w:rPr>
              <w:t>Bereavement Allowance</w:t>
            </w:r>
          </w:p>
        </w:tc>
        <w:tc>
          <w:tcPr>
            <w:tcW w:w="915" w:type="pct"/>
            <w:tcBorders>
              <w:top w:val="single" w:sz="18" w:space="0" w:color="00B0B9"/>
            </w:tcBorders>
          </w:tcPr>
          <w:p w14:paraId="4ABB185C"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3.06m</w:t>
            </w:r>
          </w:p>
        </w:tc>
        <w:tc>
          <w:tcPr>
            <w:tcW w:w="1079" w:type="pct"/>
            <w:tcBorders>
              <w:top w:val="single" w:sz="18" w:space="0" w:color="00B0B9"/>
            </w:tcBorders>
            <w:hideMark/>
          </w:tcPr>
          <w:p w14:paraId="06A2672E"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$3.42m</w:t>
            </w:r>
          </w:p>
        </w:tc>
        <w:tc>
          <w:tcPr>
            <w:tcW w:w="1086" w:type="pct"/>
            <w:tcBorders>
              <w:top w:val="single" w:sz="18" w:space="0" w:color="00B0B9"/>
            </w:tcBorders>
            <w:hideMark/>
          </w:tcPr>
          <w:p w14:paraId="1F5CF674"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olor w:val="000000" w:themeColor="text1"/>
                <w:spacing w:val="4"/>
                <w:sz w:val="20"/>
                <w:szCs w:val="20"/>
                <w:lang w:val="en-GB"/>
              </w:rPr>
              <w:t>$3.93m</w:t>
            </w:r>
          </w:p>
        </w:tc>
      </w:tr>
      <w:tr w:rsidR="001404F7" w:rsidRPr="00EA08A6" w14:paraId="7AA7BDAC" w14:textId="77777777" w:rsidTr="00107B1C">
        <w:trPr>
          <w:cnfStyle w:val="000000100000" w:firstRow="0" w:lastRow="0" w:firstColumn="0" w:lastColumn="0" w:oddVBand="0" w:evenVBand="0" w:oddHBand="1" w:evenHBand="0" w:firstRowFirstColumn="0" w:firstRowLastColumn="0" w:lastRowFirstColumn="0" w:lastRowLastColumn="0"/>
        </w:trPr>
        <w:tc>
          <w:tcPr>
            <w:tcW w:w="1921" w:type="pct"/>
            <w:tcBorders>
              <w:bottom w:val="single" w:sz="4" w:space="0" w:color="FFFFFF" w:themeColor="background1"/>
            </w:tcBorders>
            <w:hideMark/>
          </w:tcPr>
          <w:p w14:paraId="37442C26"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Payments under Special Circumstances</w:t>
            </w:r>
          </w:p>
        </w:tc>
        <w:tc>
          <w:tcPr>
            <w:tcW w:w="915" w:type="pct"/>
            <w:tcBorders>
              <w:bottom w:val="single" w:sz="4" w:space="0" w:color="FFFFFF" w:themeColor="background1"/>
            </w:tcBorders>
          </w:tcPr>
          <w:p w14:paraId="4D5E8911"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0.67m</w:t>
            </w:r>
          </w:p>
        </w:tc>
        <w:tc>
          <w:tcPr>
            <w:tcW w:w="1079" w:type="pct"/>
            <w:tcBorders>
              <w:bottom w:val="single" w:sz="4" w:space="0" w:color="FFFFFF" w:themeColor="background1"/>
            </w:tcBorders>
            <w:hideMark/>
          </w:tcPr>
          <w:p w14:paraId="3EBD3428"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$0.78m</w:t>
            </w:r>
          </w:p>
        </w:tc>
        <w:tc>
          <w:tcPr>
            <w:tcW w:w="1086" w:type="pct"/>
            <w:tcBorders>
              <w:bottom w:val="single" w:sz="4" w:space="0" w:color="FFFFFF" w:themeColor="background1"/>
            </w:tcBorders>
            <w:hideMark/>
          </w:tcPr>
          <w:p w14:paraId="7B86BA58"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$0.53m</w:t>
            </w:r>
          </w:p>
        </w:tc>
      </w:tr>
      <w:tr w:rsidR="001404F7" w:rsidRPr="00EA08A6" w14:paraId="603C8BED" w14:textId="77777777" w:rsidTr="001404F7">
        <w:trPr>
          <w:cnfStyle w:val="000000010000" w:firstRow="0" w:lastRow="0" w:firstColumn="0" w:lastColumn="0" w:oddVBand="0" w:evenVBand="0" w:oddHBand="0" w:evenHBand="1"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10246B7E" w14:textId="77777777" w:rsidR="001404F7" w:rsidRPr="00EA08A6" w:rsidRDefault="001404F7" w:rsidP="001404F7">
            <w:pPr>
              <w:keepNext/>
              <w:keepLines/>
              <w:spacing w:before="40" w:after="40"/>
              <w:rPr>
                <w:rFonts w:eastAsia="Times New Roman" w:cs="Arial"/>
                <w:b/>
                <w:color w:val="000000" w:themeColor="text1"/>
                <w:sz w:val="20"/>
                <w:szCs w:val="20"/>
              </w:rPr>
            </w:pPr>
            <w:r w:rsidRPr="00EA08A6">
              <w:rPr>
                <w:rFonts w:eastAsia="Times New Roman"/>
                <w:b/>
                <w:color w:val="000000" w:themeColor="text1"/>
                <w:sz w:val="20"/>
                <w:szCs w:val="20"/>
              </w:rPr>
              <w:t>Supplementary Payments and Support for Income Support Recipients</w:t>
            </w:r>
          </w:p>
        </w:tc>
      </w:tr>
      <w:tr w:rsidR="001404F7" w:rsidRPr="00EA08A6" w14:paraId="7C6D2AB0" w14:textId="77777777" w:rsidTr="00107B1C">
        <w:trPr>
          <w:cnfStyle w:val="000000100000" w:firstRow="0" w:lastRow="0" w:firstColumn="0" w:lastColumn="0" w:oddVBand="0" w:evenVBand="0" w:oddHBand="1" w:evenHBand="0" w:firstRowFirstColumn="0" w:firstRowLastColumn="0" w:lastRowFirstColumn="0" w:lastRowLastColumn="0"/>
        </w:trPr>
        <w:tc>
          <w:tcPr>
            <w:tcW w:w="1921" w:type="pct"/>
            <w:tcBorders>
              <w:top w:val="single" w:sz="18" w:space="0" w:color="00B0B9"/>
            </w:tcBorders>
            <w:hideMark/>
          </w:tcPr>
          <w:p w14:paraId="0DD0E40F"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Utilities Allowance</w:t>
            </w:r>
          </w:p>
        </w:tc>
        <w:tc>
          <w:tcPr>
            <w:tcW w:w="915" w:type="pct"/>
            <w:tcBorders>
              <w:top w:val="single" w:sz="18" w:space="0" w:color="00B0B9"/>
            </w:tcBorders>
          </w:tcPr>
          <w:p w14:paraId="21C9C893"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17.45m</w:t>
            </w:r>
          </w:p>
        </w:tc>
        <w:tc>
          <w:tcPr>
            <w:tcW w:w="1079" w:type="pct"/>
            <w:tcBorders>
              <w:top w:val="single" w:sz="18" w:space="0" w:color="00B0B9"/>
            </w:tcBorders>
            <w:hideMark/>
          </w:tcPr>
          <w:p w14:paraId="552080EC"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$19.56m</w:t>
            </w:r>
          </w:p>
        </w:tc>
        <w:tc>
          <w:tcPr>
            <w:tcW w:w="1086" w:type="pct"/>
            <w:tcBorders>
              <w:top w:val="single" w:sz="18" w:space="0" w:color="00B0B9"/>
            </w:tcBorders>
            <w:hideMark/>
          </w:tcPr>
          <w:p w14:paraId="5AFECF8D"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$21.53m</w:t>
            </w:r>
          </w:p>
        </w:tc>
      </w:tr>
      <w:tr w:rsidR="001404F7" w:rsidRPr="00EA08A6" w14:paraId="67EB3F65"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tcBorders>
              <w:bottom w:val="single" w:sz="4" w:space="0" w:color="FFFFFF" w:themeColor="background1"/>
            </w:tcBorders>
            <w:hideMark/>
          </w:tcPr>
          <w:p w14:paraId="030B934F"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olor w:val="000000" w:themeColor="text1"/>
                <w:spacing w:val="4"/>
                <w:sz w:val="20"/>
                <w:szCs w:val="20"/>
                <w:lang w:val="en-GB"/>
              </w:rPr>
              <w:t>Essential Medical Equipment Payment</w:t>
            </w:r>
          </w:p>
        </w:tc>
        <w:tc>
          <w:tcPr>
            <w:tcW w:w="915" w:type="pct"/>
            <w:tcBorders>
              <w:bottom w:val="single" w:sz="4" w:space="0" w:color="FFFFFF" w:themeColor="background1"/>
            </w:tcBorders>
          </w:tcPr>
          <w:p w14:paraId="6E1EEA6E"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7.91m</w:t>
            </w:r>
          </w:p>
        </w:tc>
        <w:tc>
          <w:tcPr>
            <w:tcW w:w="1079" w:type="pct"/>
            <w:tcBorders>
              <w:bottom w:val="single" w:sz="4" w:space="0" w:color="FFFFFF" w:themeColor="background1"/>
            </w:tcBorders>
            <w:hideMark/>
          </w:tcPr>
          <w:p w14:paraId="331468AA"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$7.61m</w:t>
            </w:r>
          </w:p>
        </w:tc>
        <w:tc>
          <w:tcPr>
            <w:tcW w:w="1086" w:type="pct"/>
            <w:tcBorders>
              <w:bottom w:val="single" w:sz="4" w:space="0" w:color="FFFFFF" w:themeColor="background1"/>
            </w:tcBorders>
            <w:hideMark/>
          </w:tcPr>
          <w:p w14:paraId="30FFFF20"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olor w:val="000000" w:themeColor="text1"/>
                <w:spacing w:val="4"/>
                <w:sz w:val="20"/>
                <w:szCs w:val="20"/>
                <w:lang w:val="en-GB"/>
              </w:rPr>
              <w:t>$6.80m</w:t>
            </w:r>
          </w:p>
        </w:tc>
      </w:tr>
      <w:tr w:rsidR="001404F7" w:rsidRPr="00EA08A6" w14:paraId="66914089"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46EBFE8D" w14:textId="77777777" w:rsidR="001404F7" w:rsidRPr="00EA08A6" w:rsidRDefault="001404F7" w:rsidP="001404F7">
            <w:pPr>
              <w:keepNext/>
              <w:keepLines/>
              <w:spacing w:before="40" w:after="40"/>
              <w:rPr>
                <w:rFonts w:eastAsia="Times New Roman" w:cs="Arial"/>
                <w:b/>
                <w:color w:val="000000" w:themeColor="text1"/>
                <w:sz w:val="20"/>
                <w:szCs w:val="20"/>
              </w:rPr>
            </w:pPr>
            <w:r w:rsidRPr="00EA08A6">
              <w:rPr>
                <w:rFonts w:eastAsia="Times New Roman" w:cs="Arial"/>
                <w:b/>
                <w:color w:val="000000" w:themeColor="text1"/>
                <w:sz w:val="20"/>
                <w:szCs w:val="20"/>
              </w:rPr>
              <w:t>Income Support for Seniors</w:t>
            </w:r>
          </w:p>
        </w:tc>
      </w:tr>
      <w:tr w:rsidR="001404F7" w:rsidRPr="00EA08A6" w14:paraId="2840D020"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tcBorders>
              <w:top w:val="single" w:sz="18" w:space="0" w:color="00B0B9"/>
            </w:tcBorders>
            <w:hideMark/>
          </w:tcPr>
          <w:p w14:paraId="6D65B563" w14:textId="77777777" w:rsidR="001404F7" w:rsidRPr="00EA08A6" w:rsidRDefault="001404F7" w:rsidP="001404F7">
            <w:pPr>
              <w:keepNext/>
              <w:keepLines/>
              <w:spacing w:before="40" w:after="40"/>
              <w:rPr>
                <w:rFonts w:eastAsia="Times New Roman" w:cs="Arial"/>
                <w:color w:val="000000" w:themeColor="text1"/>
                <w:spacing w:val="4"/>
                <w:sz w:val="20"/>
                <w:szCs w:val="20"/>
                <w:lang w:val="en-GB"/>
              </w:rPr>
            </w:pPr>
            <w:r w:rsidRPr="00EA08A6">
              <w:rPr>
                <w:rFonts w:eastAsia="Times New Roman"/>
                <w:color w:val="000000" w:themeColor="text1"/>
                <w:spacing w:val="4"/>
                <w:sz w:val="20"/>
                <w:szCs w:val="20"/>
                <w:lang w:val="en-GB"/>
              </w:rPr>
              <w:t>Age Pension</w:t>
            </w:r>
          </w:p>
        </w:tc>
        <w:tc>
          <w:tcPr>
            <w:tcW w:w="915" w:type="pct"/>
            <w:tcBorders>
              <w:top w:val="single" w:sz="18" w:space="0" w:color="00B0B9"/>
            </w:tcBorders>
          </w:tcPr>
          <w:p w14:paraId="71EC8D33"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50,077.91m</w:t>
            </w:r>
          </w:p>
        </w:tc>
        <w:tc>
          <w:tcPr>
            <w:tcW w:w="1079" w:type="pct"/>
            <w:tcBorders>
              <w:top w:val="single" w:sz="18" w:space="0" w:color="00B0B9"/>
            </w:tcBorders>
            <w:hideMark/>
          </w:tcPr>
          <w:p w14:paraId="1AF1CFA5" w14:textId="77777777" w:rsidR="001404F7" w:rsidRPr="00EA08A6" w:rsidRDefault="001404F7" w:rsidP="001404F7">
            <w:pPr>
              <w:spacing w:before="40" w:after="40"/>
              <w:jc w:val="right"/>
              <w:rPr>
                <w:rFonts w:eastAsia="Times New Roman"/>
                <w:color w:val="000000" w:themeColor="text1"/>
                <w:spacing w:val="4"/>
                <w:sz w:val="20"/>
                <w:szCs w:val="20"/>
                <w:lang w:val="en-GB"/>
              </w:rPr>
            </w:pPr>
            <w:r>
              <w:rPr>
                <w:rFonts w:eastAsia="Times New Roman" w:cs="Arial"/>
                <w:color w:val="000000" w:themeColor="text1"/>
                <w:spacing w:val="4"/>
                <w:sz w:val="20"/>
                <w:szCs w:val="20"/>
                <w:lang w:val="en-GB"/>
              </w:rPr>
              <w:t>$46,443.59m</w:t>
            </w:r>
          </w:p>
        </w:tc>
        <w:tc>
          <w:tcPr>
            <w:tcW w:w="1086" w:type="pct"/>
            <w:tcBorders>
              <w:top w:val="single" w:sz="18" w:space="0" w:color="00B0B9"/>
            </w:tcBorders>
            <w:hideMark/>
          </w:tcPr>
          <w:p w14:paraId="49B7B8FE" w14:textId="77777777" w:rsidR="001404F7" w:rsidRPr="00EA08A6" w:rsidRDefault="001404F7" w:rsidP="001404F7">
            <w:pPr>
              <w:spacing w:before="40" w:after="40"/>
              <w:jc w:val="right"/>
              <w:rPr>
                <w:rFonts w:eastAsia="Times New Roman"/>
                <w:color w:val="000000" w:themeColor="text1"/>
                <w:spacing w:val="4"/>
                <w:sz w:val="20"/>
                <w:szCs w:val="20"/>
                <w:lang w:val="en-GB"/>
              </w:rPr>
            </w:pPr>
            <w:r>
              <w:rPr>
                <w:rFonts w:eastAsia="Times New Roman"/>
                <w:color w:val="000000" w:themeColor="text1"/>
                <w:spacing w:val="4"/>
                <w:sz w:val="20"/>
                <w:szCs w:val="17"/>
                <w:lang w:val="en-GB"/>
              </w:rPr>
              <w:t>$44,801.74m</w:t>
            </w:r>
          </w:p>
        </w:tc>
      </w:tr>
      <w:tr w:rsidR="001404F7" w:rsidRPr="00EA08A6" w14:paraId="5F45D581" w14:textId="77777777" w:rsidTr="00107B1C">
        <w:trPr>
          <w:cnfStyle w:val="000000100000" w:firstRow="0" w:lastRow="0" w:firstColumn="0" w:lastColumn="0" w:oddVBand="0" w:evenVBand="0" w:oddHBand="1" w:evenHBand="0" w:firstRowFirstColumn="0" w:firstRowLastColumn="0" w:lastRowFirstColumn="0" w:lastRowLastColumn="0"/>
        </w:trPr>
        <w:tc>
          <w:tcPr>
            <w:tcW w:w="1921" w:type="pct"/>
            <w:hideMark/>
          </w:tcPr>
          <w:p w14:paraId="597D2C06" w14:textId="77777777" w:rsidR="001404F7" w:rsidRPr="00EA08A6" w:rsidRDefault="001404F7" w:rsidP="001404F7">
            <w:pPr>
              <w:keepNext/>
              <w:keepLines/>
              <w:spacing w:before="40" w:after="40"/>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Widow B Pension</w:t>
            </w:r>
          </w:p>
        </w:tc>
        <w:tc>
          <w:tcPr>
            <w:tcW w:w="915" w:type="pct"/>
          </w:tcPr>
          <w:p w14:paraId="320EB833"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4.03m</w:t>
            </w:r>
          </w:p>
        </w:tc>
        <w:tc>
          <w:tcPr>
            <w:tcW w:w="1079" w:type="pct"/>
            <w:hideMark/>
          </w:tcPr>
          <w:p w14:paraId="79BD4415"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$5.36m</w:t>
            </w:r>
          </w:p>
        </w:tc>
        <w:tc>
          <w:tcPr>
            <w:tcW w:w="1086" w:type="pct"/>
            <w:hideMark/>
          </w:tcPr>
          <w:p w14:paraId="6CE9C560"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17"/>
                <w:lang w:val="en-GB"/>
              </w:rPr>
              <w:t>$5.46m</w:t>
            </w:r>
          </w:p>
        </w:tc>
      </w:tr>
      <w:tr w:rsidR="001404F7" w:rsidRPr="00EA08A6" w14:paraId="0D9BD111"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tcBorders>
              <w:bottom w:val="single" w:sz="4" w:space="0" w:color="FFFFFF" w:themeColor="background1"/>
            </w:tcBorders>
            <w:hideMark/>
          </w:tcPr>
          <w:p w14:paraId="151CA9C8"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olor w:val="000000" w:themeColor="text1"/>
                <w:spacing w:val="4"/>
                <w:sz w:val="20"/>
                <w:szCs w:val="20"/>
                <w:lang w:val="en-GB"/>
              </w:rPr>
              <w:t>Wife Pension (Age)</w:t>
            </w:r>
          </w:p>
        </w:tc>
        <w:tc>
          <w:tcPr>
            <w:tcW w:w="915" w:type="pct"/>
            <w:tcBorders>
              <w:bottom w:val="single" w:sz="4" w:space="0" w:color="FFFFFF" w:themeColor="background1"/>
            </w:tcBorders>
          </w:tcPr>
          <w:p w14:paraId="07AA1110"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51.97m</w:t>
            </w:r>
          </w:p>
        </w:tc>
        <w:tc>
          <w:tcPr>
            <w:tcW w:w="1079" w:type="pct"/>
            <w:tcBorders>
              <w:bottom w:val="single" w:sz="4" w:space="0" w:color="FFFFFF" w:themeColor="background1"/>
            </w:tcBorders>
            <w:hideMark/>
          </w:tcPr>
          <w:p w14:paraId="225D3728"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$76.36m</w:t>
            </w:r>
          </w:p>
        </w:tc>
        <w:tc>
          <w:tcPr>
            <w:tcW w:w="1086" w:type="pct"/>
            <w:tcBorders>
              <w:bottom w:val="single" w:sz="4" w:space="0" w:color="FFFFFF" w:themeColor="background1"/>
            </w:tcBorders>
            <w:hideMark/>
          </w:tcPr>
          <w:p w14:paraId="6D19B0AD"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olor w:val="000000" w:themeColor="text1"/>
                <w:spacing w:val="4"/>
                <w:sz w:val="20"/>
                <w:szCs w:val="17"/>
                <w:lang w:val="en-GB"/>
              </w:rPr>
              <w:t>$83.24m</w:t>
            </w:r>
          </w:p>
        </w:tc>
      </w:tr>
      <w:tr w:rsidR="001404F7" w:rsidRPr="00EA08A6" w14:paraId="591B6672"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2DB0222A" w14:textId="77777777" w:rsidR="001404F7" w:rsidRPr="00EA08A6" w:rsidRDefault="001404F7" w:rsidP="001404F7">
            <w:pPr>
              <w:keepNext/>
              <w:keepLines/>
              <w:spacing w:before="40" w:after="40"/>
              <w:rPr>
                <w:rFonts w:eastAsia="Times New Roman" w:cs="Arial"/>
                <w:b/>
                <w:color w:val="000000" w:themeColor="text1"/>
                <w:sz w:val="20"/>
                <w:szCs w:val="20"/>
              </w:rPr>
            </w:pPr>
            <w:r w:rsidRPr="00EA08A6">
              <w:rPr>
                <w:rFonts w:eastAsia="Times New Roman" w:cs="Arial"/>
                <w:b/>
                <w:color w:val="000000" w:themeColor="text1"/>
                <w:sz w:val="20"/>
                <w:szCs w:val="20"/>
              </w:rPr>
              <w:t>Allowances and Concessions for Seniors</w:t>
            </w:r>
          </w:p>
        </w:tc>
      </w:tr>
      <w:tr w:rsidR="001404F7" w:rsidRPr="00EA08A6" w14:paraId="3DB8FEEE"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tcBorders>
              <w:top w:val="single" w:sz="18" w:space="0" w:color="00B0B9"/>
              <w:bottom w:val="single" w:sz="4" w:space="0" w:color="FFFFFF" w:themeColor="background1"/>
            </w:tcBorders>
            <w:hideMark/>
          </w:tcPr>
          <w:p w14:paraId="0B35FE4E"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olor w:val="000000" w:themeColor="text1"/>
                <w:spacing w:val="4"/>
                <w:sz w:val="20"/>
                <w:szCs w:val="20"/>
                <w:lang w:val="en-GB"/>
              </w:rPr>
              <w:t>Energy Supplement for holders of the Commonwealth Seniors Health Card</w:t>
            </w:r>
          </w:p>
        </w:tc>
        <w:tc>
          <w:tcPr>
            <w:tcW w:w="915" w:type="pct"/>
            <w:tcBorders>
              <w:top w:val="single" w:sz="18" w:space="0" w:color="00B0B9"/>
              <w:bottom w:val="single" w:sz="4" w:space="0" w:color="FFFFFF" w:themeColor="background1"/>
            </w:tcBorders>
          </w:tcPr>
          <w:p w14:paraId="3169B67A"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378.73m</w:t>
            </w:r>
          </w:p>
        </w:tc>
        <w:tc>
          <w:tcPr>
            <w:tcW w:w="1079" w:type="pct"/>
            <w:tcBorders>
              <w:top w:val="single" w:sz="18" w:space="0" w:color="00B0B9"/>
              <w:bottom w:val="single" w:sz="4" w:space="0" w:color="FFFFFF" w:themeColor="background1"/>
            </w:tcBorders>
            <w:hideMark/>
          </w:tcPr>
          <w:p w14:paraId="3F8A2C61"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$92.66m</w:t>
            </w:r>
          </w:p>
        </w:tc>
        <w:tc>
          <w:tcPr>
            <w:tcW w:w="1086" w:type="pct"/>
            <w:tcBorders>
              <w:top w:val="single" w:sz="18" w:space="0" w:color="00B0B9"/>
              <w:bottom w:val="single" w:sz="4" w:space="0" w:color="FFFFFF" w:themeColor="background1"/>
            </w:tcBorders>
            <w:hideMark/>
          </w:tcPr>
          <w:p w14:paraId="32D558B6"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olor w:val="000000" w:themeColor="text1"/>
                <w:spacing w:val="4"/>
                <w:sz w:val="20"/>
                <w:szCs w:val="17"/>
                <w:lang w:val="en-GB"/>
              </w:rPr>
              <w:t>$98.21m</w:t>
            </w:r>
          </w:p>
        </w:tc>
      </w:tr>
      <w:tr w:rsidR="001404F7" w:rsidRPr="00EA08A6" w14:paraId="3BC515C2" w14:textId="77777777" w:rsidTr="001404F7">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7D18CEDE" w14:textId="77777777" w:rsidR="001404F7" w:rsidRPr="00EA08A6" w:rsidRDefault="001404F7" w:rsidP="001404F7">
            <w:pPr>
              <w:keepNext/>
              <w:keepLines/>
              <w:spacing w:before="40" w:after="40"/>
              <w:rPr>
                <w:rFonts w:eastAsia="Times New Roman" w:cs="Arial"/>
                <w:b/>
                <w:color w:val="000000" w:themeColor="text1"/>
                <w:sz w:val="20"/>
                <w:szCs w:val="20"/>
              </w:rPr>
            </w:pPr>
            <w:r w:rsidRPr="00EA08A6">
              <w:rPr>
                <w:rFonts w:eastAsia="Times New Roman" w:cs="Arial"/>
                <w:b/>
                <w:color w:val="000000" w:themeColor="text1"/>
                <w:sz w:val="20"/>
                <w:szCs w:val="20"/>
              </w:rPr>
              <w:t>Income Support for People with Disability</w:t>
            </w:r>
          </w:p>
        </w:tc>
      </w:tr>
      <w:tr w:rsidR="001404F7" w:rsidRPr="00EA08A6" w14:paraId="5830FA8E"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tcBorders>
              <w:top w:val="single" w:sz="18" w:space="0" w:color="00B0B9"/>
            </w:tcBorders>
            <w:hideMark/>
          </w:tcPr>
          <w:p w14:paraId="12E077BD"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olor w:val="000000" w:themeColor="text1"/>
                <w:spacing w:val="4"/>
                <w:sz w:val="20"/>
                <w:szCs w:val="20"/>
                <w:lang w:val="en-GB"/>
              </w:rPr>
              <w:t>Disability Support Pension</w:t>
            </w:r>
          </w:p>
        </w:tc>
        <w:tc>
          <w:tcPr>
            <w:tcW w:w="915" w:type="pct"/>
            <w:tcBorders>
              <w:top w:val="single" w:sz="18" w:space="0" w:color="00B0B9"/>
            </w:tcBorders>
          </w:tcPr>
          <w:p w14:paraId="485E5358"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17,739.32m</w:t>
            </w:r>
          </w:p>
        </w:tc>
        <w:tc>
          <w:tcPr>
            <w:tcW w:w="1079" w:type="pct"/>
            <w:tcBorders>
              <w:top w:val="single" w:sz="18" w:space="0" w:color="00B0B9"/>
            </w:tcBorders>
            <w:hideMark/>
          </w:tcPr>
          <w:p w14:paraId="65B02DF5" w14:textId="77777777" w:rsidR="001404F7" w:rsidRPr="00EA08A6" w:rsidRDefault="001404F7" w:rsidP="001404F7">
            <w:pPr>
              <w:spacing w:before="40" w:after="40"/>
              <w:jc w:val="right"/>
              <w:rPr>
                <w:rFonts w:eastAsia="Times New Roman"/>
                <w:color w:val="000000" w:themeColor="text1"/>
                <w:spacing w:val="4"/>
                <w:sz w:val="20"/>
                <w:szCs w:val="20"/>
                <w:lang w:val="en-GB"/>
              </w:rPr>
            </w:pPr>
            <w:r>
              <w:rPr>
                <w:rFonts w:eastAsia="Times New Roman" w:cs="Arial"/>
                <w:color w:val="000000" w:themeColor="text1"/>
                <w:spacing w:val="4"/>
                <w:sz w:val="20"/>
                <w:szCs w:val="20"/>
                <w:lang w:val="en-GB"/>
              </w:rPr>
              <w:t>$16,711.95m</w:t>
            </w:r>
          </w:p>
        </w:tc>
        <w:tc>
          <w:tcPr>
            <w:tcW w:w="1086" w:type="pct"/>
            <w:tcBorders>
              <w:top w:val="single" w:sz="18" w:space="0" w:color="00B0B9"/>
            </w:tcBorders>
            <w:hideMark/>
          </w:tcPr>
          <w:p w14:paraId="32E00BC9" w14:textId="77777777" w:rsidR="001404F7" w:rsidRPr="00EA08A6" w:rsidRDefault="001404F7" w:rsidP="001404F7">
            <w:pPr>
              <w:spacing w:before="40" w:after="40"/>
              <w:jc w:val="right"/>
              <w:rPr>
                <w:rFonts w:eastAsia="Times New Roman"/>
                <w:color w:val="000000" w:themeColor="text1"/>
                <w:spacing w:val="4"/>
                <w:sz w:val="20"/>
                <w:szCs w:val="20"/>
                <w:lang w:val="en-GB"/>
              </w:rPr>
            </w:pPr>
            <w:r>
              <w:rPr>
                <w:rFonts w:eastAsia="Times New Roman"/>
                <w:color w:val="000000" w:themeColor="text1"/>
                <w:spacing w:val="4"/>
                <w:sz w:val="20"/>
                <w:szCs w:val="17"/>
                <w:lang w:val="en-GB"/>
              </w:rPr>
              <w:t>$16,443.07m</w:t>
            </w:r>
          </w:p>
        </w:tc>
      </w:tr>
      <w:tr w:rsidR="001404F7" w:rsidRPr="00EA08A6" w14:paraId="7AA0644E" w14:textId="77777777" w:rsidTr="00107B1C">
        <w:trPr>
          <w:cnfStyle w:val="000000100000" w:firstRow="0" w:lastRow="0" w:firstColumn="0" w:lastColumn="0" w:oddVBand="0" w:evenVBand="0" w:oddHBand="1" w:evenHBand="0" w:firstRowFirstColumn="0" w:firstRowLastColumn="0" w:lastRowFirstColumn="0" w:lastRowLastColumn="0"/>
        </w:trPr>
        <w:tc>
          <w:tcPr>
            <w:tcW w:w="1921" w:type="pct"/>
            <w:tcBorders>
              <w:bottom w:val="single" w:sz="4" w:space="0" w:color="FFFFFF" w:themeColor="background1"/>
            </w:tcBorders>
            <w:hideMark/>
          </w:tcPr>
          <w:p w14:paraId="6A08FFF0"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Mobility Allowance</w:t>
            </w:r>
          </w:p>
        </w:tc>
        <w:tc>
          <w:tcPr>
            <w:tcW w:w="915" w:type="pct"/>
            <w:tcBorders>
              <w:bottom w:val="single" w:sz="4" w:space="0" w:color="FFFFFF" w:themeColor="background1"/>
            </w:tcBorders>
          </w:tcPr>
          <w:p w14:paraId="764F78AB"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41.74m</w:t>
            </w:r>
          </w:p>
        </w:tc>
        <w:tc>
          <w:tcPr>
            <w:tcW w:w="1079" w:type="pct"/>
            <w:tcBorders>
              <w:bottom w:val="single" w:sz="4" w:space="0" w:color="FFFFFF" w:themeColor="background1"/>
            </w:tcBorders>
            <w:hideMark/>
          </w:tcPr>
          <w:p w14:paraId="61D53A32"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$64.77m</w:t>
            </w:r>
          </w:p>
        </w:tc>
        <w:tc>
          <w:tcPr>
            <w:tcW w:w="1086" w:type="pct"/>
            <w:tcBorders>
              <w:bottom w:val="single" w:sz="4" w:space="0" w:color="FFFFFF" w:themeColor="background1"/>
            </w:tcBorders>
            <w:hideMark/>
          </w:tcPr>
          <w:p w14:paraId="4C267697"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17"/>
                <w:lang w:val="en-GB"/>
              </w:rPr>
              <w:t>$103.37m</w:t>
            </w:r>
          </w:p>
        </w:tc>
      </w:tr>
      <w:tr w:rsidR="001404F7" w:rsidRPr="00EA08A6" w14:paraId="6AA5B7C2" w14:textId="77777777" w:rsidTr="001404F7">
        <w:trPr>
          <w:cnfStyle w:val="000000010000" w:firstRow="0" w:lastRow="0" w:firstColumn="0" w:lastColumn="0" w:oddVBand="0" w:evenVBand="0" w:oddHBand="0" w:evenHBand="1" w:firstRowFirstColumn="0" w:firstRowLastColumn="0" w:lastRowFirstColumn="0" w:lastRowLastColumn="0"/>
        </w:trPr>
        <w:tc>
          <w:tcPr>
            <w:tcW w:w="5000" w:type="pct"/>
            <w:gridSpan w:val="4"/>
            <w:tcBorders>
              <w:top w:val="single" w:sz="4" w:space="0" w:color="FFFFFF" w:themeColor="background1"/>
              <w:bottom w:val="single" w:sz="18" w:space="0" w:color="00B0B9"/>
            </w:tcBorders>
            <w:hideMark/>
          </w:tcPr>
          <w:p w14:paraId="7635024A"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b/>
                <w:color w:val="000000" w:themeColor="text1"/>
                <w:spacing w:val="4"/>
                <w:sz w:val="20"/>
                <w:szCs w:val="20"/>
                <w:lang w:val="en-GB"/>
              </w:rPr>
              <w:t>Income Support for Carers</w:t>
            </w:r>
          </w:p>
        </w:tc>
      </w:tr>
      <w:tr w:rsidR="001404F7" w:rsidRPr="00EA08A6" w14:paraId="00FB2F5E" w14:textId="77777777" w:rsidTr="00107B1C">
        <w:trPr>
          <w:cnfStyle w:val="000000100000" w:firstRow="0" w:lastRow="0" w:firstColumn="0" w:lastColumn="0" w:oddVBand="0" w:evenVBand="0" w:oddHBand="1" w:evenHBand="0" w:firstRowFirstColumn="0" w:firstRowLastColumn="0" w:lastRowFirstColumn="0" w:lastRowLastColumn="0"/>
        </w:trPr>
        <w:tc>
          <w:tcPr>
            <w:tcW w:w="1921" w:type="pct"/>
            <w:tcBorders>
              <w:top w:val="single" w:sz="18" w:space="0" w:color="00B0B9"/>
            </w:tcBorders>
            <w:hideMark/>
          </w:tcPr>
          <w:p w14:paraId="72877673" w14:textId="77777777" w:rsidR="001404F7" w:rsidRPr="00EA08A6" w:rsidRDefault="001404F7" w:rsidP="001404F7">
            <w:pPr>
              <w:spacing w:before="40" w:after="40"/>
              <w:rPr>
                <w:rFonts w:eastAsia="Times New Roman" w:cs="Arial"/>
                <w:b/>
                <w:color w:val="000000" w:themeColor="text1"/>
                <w:spacing w:val="4"/>
                <w:sz w:val="20"/>
                <w:szCs w:val="20"/>
                <w:lang w:val="en-GB"/>
              </w:rPr>
            </w:pPr>
            <w:r w:rsidRPr="00EA08A6">
              <w:rPr>
                <w:rFonts w:eastAsia="Times New Roman" w:cs="Arial"/>
                <w:color w:val="000000" w:themeColor="text1"/>
                <w:spacing w:val="4"/>
                <w:sz w:val="20"/>
                <w:szCs w:val="20"/>
                <w:lang w:val="en-GB"/>
              </w:rPr>
              <w:t>Carer Payment</w:t>
            </w:r>
          </w:p>
        </w:tc>
        <w:tc>
          <w:tcPr>
            <w:tcW w:w="915" w:type="pct"/>
            <w:tcBorders>
              <w:top w:val="single" w:sz="18" w:space="0" w:color="00B0B9"/>
            </w:tcBorders>
          </w:tcPr>
          <w:p w14:paraId="51D805F9"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6,144.30m</w:t>
            </w:r>
          </w:p>
        </w:tc>
        <w:tc>
          <w:tcPr>
            <w:tcW w:w="1079" w:type="pct"/>
            <w:tcBorders>
              <w:top w:val="single" w:sz="18" w:space="0" w:color="00B0B9"/>
            </w:tcBorders>
            <w:hideMark/>
          </w:tcPr>
          <w:p w14:paraId="676A0662"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Pr>
                <w:rFonts w:eastAsia="Times New Roman" w:cs="Arial"/>
                <w:color w:val="000000" w:themeColor="text1"/>
                <w:spacing w:val="4"/>
                <w:sz w:val="20"/>
                <w:szCs w:val="20"/>
                <w:lang w:val="en-GB"/>
              </w:rPr>
              <w:t>$5,590.59m</w:t>
            </w:r>
          </w:p>
        </w:tc>
        <w:tc>
          <w:tcPr>
            <w:tcW w:w="1086" w:type="pct"/>
            <w:tcBorders>
              <w:top w:val="single" w:sz="18" w:space="0" w:color="00B0B9"/>
            </w:tcBorders>
            <w:hideMark/>
          </w:tcPr>
          <w:p w14:paraId="6983D124"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Pr>
                <w:rFonts w:eastAsia="Times New Roman" w:cs="Arial"/>
                <w:color w:val="000000" w:themeColor="text1"/>
                <w:spacing w:val="4"/>
                <w:sz w:val="20"/>
                <w:szCs w:val="17"/>
                <w:lang w:val="en-GB"/>
              </w:rPr>
              <w:t>$5,392.47m</w:t>
            </w:r>
          </w:p>
        </w:tc>
      </w:tr>
      <w:tr w:rsidR="001404F7" w:rsidRPr="00EA08A6" w14:paraId="29538088"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hideMark/>
          </w:tcPr>
          <w:p w14:paraId="3F54E218"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olor w:val="000000" w:themeColor="text1"/>
                <w:spacing w:val="4"/>
                <w:sz w:val="20"/>
                <w:szCs w:val="20"/>
                <w:lang w:val="en-GB"/>
              </w:rPr>
              <w:t>Carer Allowance (Adult)</w:t>
            </w:r>
          </w:p>
        </w:tc>
        <w:tc>
          <w:tcPr>
            <w:tcW w:w="915" w:type="pct"/>
          </w:tcPr>
          <w:p w14:paraId="36728E5C"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1,783.41m</w:t>
            </w:r>
          </w:p>
        </w:tc>
        <w:tc>
          <w:tcPr>
            <w:tcW w:w="1079" w:type="pct"/>
            <w:hideMark/>
          </w:tcPr>
          <w:p w14:paraId="63CC23FB" w14:textId="77777777" w:rsidR="001404F7" w:rsidRPr="00EA08A6" w:rsidRDefault="001404F7" w:rsidP="001404F7">
            <w:pPr>
              <w:spacing w:before="40" w:after="40"/>
              <w:jc w:val="right"/>
              <w:rPr>
                <w:rFonts w:eastAsia="Times New Roman"/>
                <w:color w:val="000000" w:themeColor="text1"/>
                <w:spacing w:val="4"/>
                <w:sz w:val="20"/>
                <w:szCs w:val="20"/>
                <w:lang w:val="en-GB"/>
              </w:rPr>
            </w:pPr>
            <w:r>
              <w:rPr>
                <w:rFonts w:eastAsia="Times New Roman" w:cs="Arial"/>
                <w:color w:val="000000" w:themeColor="text1"/>
                <w:spacing w:val="4"/>
                <w:sz w:val="20"/>
                <w:szCs w:val="20"/>
                <w:lang w:val="en-GB"/>
              </w:rPr>
              <w:t>$1,674.48m</w:t>
            </w:r>
          </w:p>
        </w:tc>
        <w:tc>
          <w:tcPr>
            <w:tcW w:w="1086" w:type="pct"/>
            <w:hideMark/>
          </w:tcPr>
          <w:p w14:paraId="298D35BE" w14:textId="77777777" w:rsidR="001404F7" w:rsidRPr="00EA08A6" w:rsidRDefault="001404F7" w:rsidP="001404F7">
            <w:pPr>
              <w:spacing w:before="40" w:after="40"/>
              <w:jc w:val="right"/>
              <w:rPr>
                <w:rFonts w:eastAsia="Times New Roman"/>
                <w:color w:val="000000" w:themeColor="text1"/>
                <w:spacing w:val="4"/>
                <w:sz w:val="20"/>
                <w:szCs w:val="20"/>
                <w:lang w:val="en-GB"/>
              </w:rPr>
            </w:pPr>
            <w:r>
              <w:rPr>
                <w:rFonts w:eastAsia="Times New Roman"/>
                <w:color w:val="000000" w:themeColor="text1"/>
                <w:spacing w:val="4"/>
                <w:sz w:val="20"/>
                <w:szCs w:val="17"/>
                <w:lang w:val="en-GB"/>
              </w:rPr>
              <w:t>$1,</w:t>
            </w:r>
            <w:r w:rsidRPr="00EA08A6">
              <w:rPr>
                <w:rFonts w:eastAsia="Times New Roman"/>
                <w:color w:val="000000" w:themeColor="text1"/>
                <w:spacing w:val="4"/>
                <w:sz w:val="20"/>
                <w:szCs w:val="17"/>
                <w:lang w:val="en-GB"/>
              </w:rPr>
              <w:t>64</w:t>
            </w:r>
            <w:r>
              <w:rPr>
                <w:rFonts w:eastAsia="Times New Roman"/>
                <w:color w:val="000000" w:themeColor="text1"/>
                <w:spacing w:val="4"/>
                <w:sz w:val="20"/>
                <w:szCs w:val="17"/>
                <w:lang w:val="en-GB"/>
              </w:rPr>
              <w:t>4.72m</w:t>
            </w:r>
          </w:p>
        </w:tc>
      </w:tr>
      <w:tr w:rsidR="001404F7" w:rsidRPr="00EA08A6" w14:paraId="267E767C" w14:textId="77777777" w:rsidTr="00107B1C">
        <w:trPr>
          <w:cnfStyle w:val="000000100000" w:firstRow="0" w:lastRow="0" w:firstColumn="0" w:lastColumn="0" w:oddVBand="0" w:evenVBand="0" w:oddHBand="1" w:evenHBand="0" w:firstRowFirstColumn="0" w:firstRowLastColumn="0" w:lastRowFirstColumn="0" w:lastRowLastColumn="0"/>
        </w:trPr>
        <w:tc>
          <w:tcPr>
            <w:tcW w:w="1921" w:type="pct"/>
            <w:hideMark/>
          </w:tcPr>
          <w:p w14:paraId="0376B854"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Carer Allowance (Child)</w:t>
            </w:r>
          </w:p>
        </w:tc>
        <w:tc>
          <w:tcPr>
            <w:tcW w:w="915" w:type="pct"/>
          </w:tcPr>
          <w:p w14:paraId="7C8A1699"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631.13m</w:t>
            </w:r>
          </w:p>
        </w:tc>
        <w:tc>
          <w:tcPr>
            <w:tcW w:w="1079" w:type="pct"/>
            <w:hideMark/>
          </w:tcPr>
          <w:p w14:paraId="5891F29A"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$627.32m</w:t>
            </w:r>
          </w:p>
        </w:tc>
        <w:tc>
          <w:tcPr>
            <w:tcW w:w="1086" w:type="pct"/>
            <w:hideMark/>
          </w:tcPr>
          <w:p w14:paraId="7214E412"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17"/>
                <w:lang w:val="en-GB"/>
              </w:rPr>
              <w:t>$605.94m</w:t>
            </w:r>
          </w:p>
        </w:tc>
      </w:tr>
      <w:tr w:rsidR="001404F7" w:rsidRPr="00EA08A6" w14:paraId="6D2932F1"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hideMark/>
          </w:tcPr>
          <w:p w14:paraId="5C9434E8"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olor w:val="000000" w:themeColor="text1"/>
                <w:spacing w:val="4"/>
                <w:sz w:val="20"/>
                <w:szCs w:val="20"/>
                <w:lang w:val="en-GB"/>
              </w:rPr>
              <w:t>Carer Supplement</w:t>
            </w:r>
          </w:p>
        </w:tc>
        <w:tc>
          <w:tcPr>
            <w:tcW w:w="915" w:type="pct"/>
          </w:tcPr>
          <w:p w14:paraId="3CBE9B86"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587.33m</w:t>
            </w:r>
          </w:p>
        </w:tc>
        <w:tc>
          <w:tcPr>
            <w:tcW w:w="1079" w:type="pct"/>
            <w:hideMark/>
          </w:tcPr>
          <w:p w14:paraId="77612517"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$584.94m</w:t>
            </w:r>
          </w:p>
        </w:tc>
        <w:tc>
          <w:tcPr>
            <w:tcW w:w="1086" w:type="pct"/>
            <w:hideMark/>
          </w:tcPr>
          <w:p w14:paraId="64D8D326"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olor w:val="000000" w:themeColor="text1"/>
                <w:spacing w:val="4"/>
                <w:sz w:val="20"/>
                <w:szCs w:val="17"/>
                <w:lang w:val="en-GB"/>
              </w:rPr>
              <w:t>$590.59m</w:t>
            </w:r>
          </w:p>
        </w:tc>
      </w:tr>
      <w:tr w:rsidR="001404F7" w:rsidRPr="00EA08A6" w14:paraId="2708AFCB" w14:textId="77777777" w:rsidTr="00107B1C">
        <w:trPr>
          <w:cnfStyle w:val="000000100000" w:firstRow="0" w:lastRow="0" w:firstColumn="0" w:lastColumn="0" w:oddVBand="0" w:evenVBand="0" w:oddHBand="1" w:evenHBand="0" w:firstRowFirstColumn="0" w:firstRowLastColumn="0" w:lastRowFirstColumn="0" w:lastRowLastColumn="0"/>
        </w:trPr>
        <w:tc>
          <w:tcPr>
            <w:tcW w:w="1921" w:type="pct"/>
            <w:hideMark/>
          </w:tcPr>
          <w:p w14:paraId="60943518"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Child Disability Assistance Payment</w:t>
            </w:r>
          </w:p>
        </w:tc>
        <w:tc>
          <w:tcPr>
            <w:tcW w:w="915" w:type="pct"/>
          </w:tcPr>
          <w:p w14:paraId="30C5C923"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181.81m</w:t>
            </w:r>
          </w:p>
        </w:tc>
        <w:tc>
          <w:tcPr>
            <w:tcW w:w="1079" w:type="pct"/>
            <w:hideMark/>
          </w:tcPr>
          <w:p w14:paraId="2EC22160"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$185.87m</w:t>
            </w:r>
          </w:p>
        </w:tc>
        <w:tc>
          <w:tcPr>
            <w:tcW w:w="1086" w:type="pct"/>
            <w:hideMark/>
          </w:tcPr>
          <w:p w14:paraId="68873BA9"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17"/>
                <w:lang w:val="en-GB"/>
              </w:rPr>
              <w:t>$182.41m</w:t>
            </w:r>
          </w:p>
        </w:tc>
      </w:tr>
      <w:tr w:rsidR="001404F7" w:rsidRPr="00EA08A6" w14:paraId="101AEA9A"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tcBorders>
              <w:bottom w:val="single" w:sz="4" w:space="0" w:color="FFFFFF" w:themeColor="background1"/>
            </w:tcBorders>
            <w:hideMark/>
          </w:tcPr>
          <w:p w14:paraId="134CB9B8" w14:textId="77777777" w:rsidR="001404F7" w:rsidRPr="00EA08A6" w:rsidRDefault="001404F7" w:rsidP="001404F7">
            <w:pPr>
              <w:spacing w:before="40" w:after="40"/>
              <w:rPr>
                <w:rFonts w:eastAsia="Times New Roman" w:cs="Arial"/>
                <w:color w:val="000000" w:themeColor="text1"/>
                <w:spacing w:val="4"/>
                <w:sz w:val="20"/>
                <w:szCs w:val="20"/>
                <w:lang w:val="en-GB"/>
              </w:rPr>
            </w:pPr>
            <w:r w:rsidRPr="00EA08A6">
              <w:rPr>
                <w:rFonts w:eastAsia="Times New Roman"/>
                <w:color w:val="000000" w:themeColor="text1"/>
                <w:spacing w:val="4"/>
                <w:sz w:val="20"/>
                <w:szCs w:val="20"/>
                <w:lang w:val="en-GB"/>
              </w:rPr>
              <w:t>Wife Pension (Disability Support Pension)</w:t>
            </w:r>
          </w:p>
        </w:tc>
        <w:tc>
          <w:tcPr>
            <w:tcW w:w="915" w:type="pct"/>
            <w:tcBorders>
              <w:bottom w:val="single" w:sz="4" w:space="0" w:color="FFFFFF" w:themeColor="background1"/>
            </w:tcBorders>
          </w:tcPr>
          <w:p w14:paraId="017D7973"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47.84m</w:t>
            </w:r>
          </w:p>
        </w:tc>
        <w:tc>
          <w:tcPr>
            <w:tcW w:w="1079" w:type="pct"/>
            <w:tcBorders>
              <w:bottom w:val="single" w:sz="4" w:space="0" w:color="FFFFFF" w:themeColor="background1"/>
            </w:tcBorders>
            <w:hideMark/>
          </w:tcPr>
          <w:p w14:paraId="45A8EDB2"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$68.55m</w:t>
            </w:r>
          </w:p>
        </w:tc>
        <w:tc>
          <w:tcPr>
            <w:tcW w:w="1086" w:type="pct"/>
            <w:tcBorders>
              <w:bottom w:val="single" w:sz="4" w:space="0" w:color="FFFFFF" w:themeColor="background1"/>
            </w:tcBorders>
            <w:hideMark/>
          </w:tcPr>
          <w:p w14:paraId="7CB392FD" w14:textId="77777777" w:rsidR="001404F7" w:rsidRPr="00EA08A6" w:rsidRDefault="001404F7" w:rsidP="001404F7">
            <w:pPr>
              <w:spacing w:before="40" w:after="40"/>
              <w:jc w:val="right"/>
              <w:rPr>
                <w:rFonts w:eastAsia="Times New Roman"/>
                <w:color w:val="000000" w:themeColor="text1"/>
                <w:spacing w:val="4"/>
                <w:sz w:val="20"/>
                <w:szCs w:val="20"/>
                <w:lang w:val="en-GB"/>
              </w:rPr>
            </w:pPr>
            <w:r w:rsidRPr="00EA08A6">
              <w:rPr>
                <w:rFonts w:eastAsia="Times New Roman"/>
                <w:color w:val="000000" w:themeColor="text1"/>
                <w:spacing w:val="4"/>
                <w:sz w:val="20"/>
                <w:szCs w:val="17"/>
                <w:lang w:val="en-GB"/>
              </w:rPr>
              <w:t>$75.37m</w:t>
            </w:r>
          </w:p>
        </w:tc>
      </w:tr>
    </w:tbl>
    <w:p w14:paraId="0C0658AD" w14:textId="77777777" w:rsidR="00096099" w:rsidRDefault="00096099" w:rsidP="001404F7">
      <w:pPr>
        <w:spacing w:before="40" w:after="40"/>
        <w:rPr>
          <w:rFonts w:eastAsia="Times New Roman"/>
          <w:b/>
          <w:color w:val="000000" w:themeColor="text1"/>
          <w:spacing w:val="4"/>
          <w:sz w:val="20"/>
          <w:szCs w:val="20"/>
          <w:lang w:val="en-GB"/>
        </w:rPr>
        <w:sectPr w:rsidR="00096099" w:rsidSect="00585891">
          <w:footnotePr>
            <w:numRestart w:val="eachPage"/>
          </w:footnotePr>
          <w:pgSz w:w="11906" w:h="16838"/>
          <w:pgMar w:top="1440" w:right="1440" w:bottom="1440" w:left="1440" w:header="709" w:footer="709" w:gutter="0"/>
          <w:cols w:space="708"/>
          <w:docGrid w:linePitch="360"/>
        </w:sectPr>
      </w:pPr>
    </w:p>
    <w:tbl>
      <w:tblPr>
        <w:tblStyle w:val="HHorizontaltable1"/>
        <w:tblW w:w="5000" w:type="pct"/>
        <w:tblLook w:val="04A0" w:firstRow="1" w:lastRow="0" w:firstColumn="1" w:lastColumn="0" w:noHBand="0" w:noVBand="1"/>
        <w:tblCaption w:val="Table 2.1.15: Administered Outlays"/>
        <w:tblDescription w:val="Table 2.1.15: Administered Outlays"/>
      </w:tblPr>
      <w:tblGrid>
        <w:gridCol w:w="3468"/>
        <w:gridCol w:w="1652"/>
        <w:gridCol w:w="1948"/>
        <w:gridCol w:w="1944"/>
        <w:gridCol w:w="14"/>
      </w:tblGrid>
      <w:tr w:rsidR="001404F7" w:rsidRPr="00EA08A6" w14:paraId="5EEC1887" w14:textId="77777777" w:rsidTr="001404F7">
        <w:trPr>
          <w:cnfStyle w:val="100000000000" w:firstRow="1" w:lastRow="0" w:firstColumn="0" w:lastColumn="0" w:oddVBand="0" w:evenVBand="0" w:oddHBand="0" w:evenHBand="0" w:firstRowFirstColumn="0" w:firstRowLastColumn="0" w:lastRowFirstColumn="0" w:lastRowLastColumn="0"/>
        </w:trPr>
        <w:tc>
          <w:tcPr>
            <w:tcW w:w="5000" w:type="pct"/>
            <w:gridSpan w:val="5"/>
            <w:tcBorders>
              <w:top w:val="single" w:sz="4" w:space="0" w:color="FFFFFF" w:themeColor="background1"/>
              <w:bottom w:val="single" w:sz="18" w:space="0" w:color="00B0B9"/>
            </w:tcBorders>
          </w:tcPr>
          <w:p w14:paraId="73A6BEA1" w14:textId="77081479" w:rsidR="001404F7" w:rsidRPr="006E2377" w:rsidRDefault="001404F7" w:rsidP="001404F7">
            <w:pPr>
              <w:spacing w:before="40" w:after="40"/>
              <w:rPr>
                <w:rFonts w:eastAsia="Times New Roman"/>
                <w:b w:val="0"/>
                <w:color w:val="000000" w:themeColor="text1"/>
                <w:spacing w:val="4"/>
                <w:sz w:val="20"/>
                <w:szCs w:val="17"/>
                <w:lang w:val="en-GB"/>
              </w:rPr>
            </w:pPr>
            <w:r w:rsidRPr="006E2377">
              <w:rPr>
                <w:rFonts w:eastAsia="Times New Roman"/>
                <w:b w:val="0"/>
                <w:color w:val="000000" w:themeColor="text1"/>
                <w:spacing w:val="4"/>
                <w:sz w:val="20"/>
                <w:szCs w:val="20"/>
                <w:lang w:val="en-GB"/>
              </w:rPr>
              <w:lastRenderedPageBreak/>
              <w:t>Working Age Payments</w:t>
            </w:r>
          </w:p>
        </w:tc>
      </w:tr>
      <w:tr w:rsidR="001404F7" w:rsidRPr="00EA08A6" w14:paraId="01760C4B" w14:textId="77777777" w:rsidTr="00107B1C">
        <w:trPr>
          <w:cnfStyle w:val="000000100000" w:firstRow="0" w:lastRow="0" w:firstColumn="0" w:lastColumn="0" w:oddVBand="0" w:evenVBand="0" w:oddHBand="1" w:evenHBand="0" w:firstRowFirstColumn="0" w:firstRowLastColumn="0" w:lastRowFirstColumn="0" w:lastRowLastColumn="0"/>
        </w:trPr>
        <w:tc>
          <w:tcPr>
            <w:tcW w:w="1921" w:type="pct"/>
            <w:tcBorders>
              <w:top w:val="single" w:sz="18" w:space="0" w:color="00B0B9"/>
              <w:left w:val="nil"/>
              <w:bottom w:val="single" w:sz="8" w:space="0" w:color="FFFFFF" w:themeColor="background1"/>
              <w:right w:val="nil"/>
            </w:tcBorders>
            <w:shd w:val="clear" w:color="auto" w:fill="EAEAEA"/>
          </w:tcPr>
          <w:p w14:paraId="2275DE91" w14:textId="77777777" w:rsidR="001404F7" w:rsidRPr="00EA08A6" w:rsidRDefault="001404F7" w:rsidP="001404F7">
            <w:pPr>
              <w:spacing w:before="40" w:after="40"/>
              <w:rPr>
                <w:rFonts w:eastAsia="Times New Roman"/>
                <w:color w:val="000000" w:themeColor="text1"/>
                <w:spacing w:val="4"/>
                <w:sz w:val="20"/>
                <w:szCs w:val="20"/>
                <w:lang w:val="en-GB"/>
              </w:rPr>
            </w:pPr>
            <w:proofErr w:type="spellStart"/>
            <w:r w:rsidRPr="00EA08A6">
              <w:rPr>
                <w:rFonts w:eastAsia="Times New Roman"/>
                <w:color w:val="000000" w:themeColor="text1"/>
                <w:spacing w:val="4"/>
                <w:sz w:val="20"/>
                <w:szCs w:val="20"/>
                <w:lang w:val="en-GB"/>
              </w:rPr>
              <w:t>Newstart</w:t>
            </w:r>
            <w:proofErr w:type="spellEnd"/>
            <w:r w:rsidRPr="00EA08A6">
              <w:rPr>
                <w:rFonts w:eastAsia="Times New Roman"/>
                <w:color w:val="000000" w:themeColor="text1"/>
                <w:spacing w:val="4"/>
                <w:sz w:val="20"/>
                <w:szCs w:val="20"/>
                <w:lang w:val="en-GB"/>
              </w:rPr>
              <w:t xml:space="preserve"> Allowance</w:t>
            </w:r>
            <w:r>
              <w:rPr>
                <w:rFonts w:eastAsia="Times New Roman"/>
                <w:color w:val="000000" w:themeColor="text1"/>
                <w:spacing w:val="4"/>
                <w:sz w:val="20"/>
                <w:szCs w:val="20"/>
                <w:lang w:val="en-GB"/>
              </w:rPr>
              <w:t>/</w:t>
            </w:r>
            <w:proofErr w:type="spellStart"/>
            <w:r>
              <w:rPr>
                <w:rFonts w:eastAsia="Times New Roman"/>
                <w:color w:val="000000" w:themeColor="text1"/>
                <w:spacing w:val="4"/>
                <w:sz w:val="20"/>
                <w:szCs w:val="20"/>
                <w:lang w:val="en-GB"/>
              </w:rPr>
              <w:t>JobSeeker</w:t>
            </w:r>
            <w:proofErr w:type="spellEnd"/>
            <w:r>
              <w:rPr>
                <w:rFonts w:eastAsia="Times New Roman"/>
                <w:color w:val="000000" w:themeColor="text1"/>
                <w:spacing w:val="4"/>
                <w:sz w:val="20"/>
                <w:szCs w:val="20"/>
                <w:lang w:val="en-GB"/>
              </w:rPr>
              <w:t xml:space="preserve"> Payment </w:t>
            </w:r>
            <w:r w:rsidRPr="00EC79D9">
              <w:rPr>
                <w:rFonts w:eastAsia="Times New Roman"/>
                <w:color w:val="000000" w:themeColor="text1"/>
                <w:spacing w:val="4"/>
                <w:sz w:val="20"/>
                <w:szCs w:val="20"/>
                <w:vertAlign w:val="superscript"/>
                <w:lang w:val="en-GB"/>
              </w:rPr>
              <w:t>a</w:t>
            </w:r>
          </w:p>
        </w:tc>
        <w:tc>
          <w:tcPr>
            <w:tcW w:w="915" w:type="pct"/>
            <w:tcBorders>
              <w:top w:val="single" w:sz="18" w:space="0" w:color="00B0B9"/>
              <w:left w:val="nil"/>
              <w:bottom w:val="single" w:sz="8" w:space="0" w:color="FFFFFF" w:themeColor="background1"/>
              <w:right w:val="nil"/>
            </w:tcBorders>
            <w:shd w:val="clear" w:color="auto" w:fill="EAEAEA"/>
          </w:tcPr>
          <w:p w14:paraId="1EE82D41"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18,528.09m</w:t>
            </w:r>
          </w:p>
        </w:tc>
        <w:tc>
          <w:tcPr>
            <w:tcW w:w="1079" w:type="pct"/>
            <w:tcBorders>
              <w:top w:val="single" w:sz="18" w:space="0" w:color="00B0B9"/>
              <w:left w:val="nil"/>
              <w:bottom w:val="single" w:sz="8" w:space="0" w:color="FFFFFF" w:themeColor="background1"/>
              <w:right w:val="nil"/>
            </w:tcBorders>
            <w:shd w:val="clear" w:color="auto" w:fill="EAEAEA"/>
          </w:tcPr>
          <w:p w14:paraId="4C1CE284"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Pr>
                <w:rFonts w:eastAsia="Times New Roman" w:cs="Arial"/>
                <w:color w:val="000000" w:themeColor="text1"/>
                <w:spacing w:val="4"/>
                <w:sz w:val="20"/>
                <w:szCs w:val="20"/>
                <w:lang w:val="en-GB"/>
              </w:rPr>
              <w:t>$9,684.89m</w:t>
            </w:r>
          </w:p>
        </w:tc>
        <w:tc>
          <w:tcPr>
            <w:tcW w:w="1086" w:type="pct"/>
            <w:gridSpan w:val="2"/>
            <w:tcBorders>
              <w:top w:val="single" w:sz="18" w:space="0" w:color="00B0B9"/>
              <w:left w:val="nil"/>
              <w:bottom w:val="single" w:sz="8" w:space="0" w:color="FFFFFF" w:themeColor="background1"/>
              <w:right w:val="nil"/>
            </w:tcBorders>
            <w:shd w:val="clear" w:color="auto" w:fill="EAEAEA"/>
          </w:tcPr>
          <w:p w14:paraId="0B2ABBDF" w14:textId="77777777" w:rsidR="001404F7" w:rsidRPr="00EA08A6" w:rsidRDefault="001404F7" w:rsidP="001404F7">
            <w:pPr>
              <w:spacing w:before="40" w:after="40"/>
              <w:jc w:val="right"/>
              <w:rPr>
                <w:rFonts w:eastAsia="Times New Roman"/>
                <w:color w:val="000000" w:themeColor="text1"/>
                <w:spacing w:val="4"/>
                <w:sz w:val="20"/>
                <w:szCs w:val="17"/>
                <w:lang w:val="en-GB"/>
              </w:rPr>
            </w:pPr>
            <w:r>
              <w:rPr>
                <w:rFonts w:eastAsia="Times New Roman"/>
                <w:color w:val="000000" w:themeColor="text1"/>
                <w:spacing w:val="4"/>
                <w:sz w:val="20"/>
                <w:szCs w:val="17"/>
                <w:lang w:val="en-GB"/>
              </w:rPr>
              <w:t>$10,014.20m</w:t>
            </w:r>
          </w:p>
        </w:tc>
      </w:tr>
      <w:tr w:rsidR="001404F7" w:rsidRPr="00EA08A6" w14:paraId="6A571D81"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tcBorders>
              <w:top w:val="single" w:sz="8" w:space="0" w:color="FFFFFF" w:themeColor="background1"/>
              <w:left w:val="nil"/>
              <w:bottom w:val="nil"/>
              <w:right w:val="nil"/>
            </w:tcBorders>
            <w:shd w:val="clear" w:color="auto" w:fill="F8F8F8"/>
          </w:tcPr>
          <w:p w14:paraId="28C24827" w14:textId="77777777" w:rsidR="001404F7" w:rsidRPr="00EA08A6" w:rsidRDefault="001404F7" w:rsidP="001404F7">
            <w:pPr>
              <w:spacing w:before="40" w:after="40"/>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Parenting Payment (Partnered)</w:t>
            </w:r>
          </w:p>
        </w:tc>
        <w:tc>
          <w:tcPr>
            <w:tcW w:w="915" w:type="pct"/>
            <w:tcBorders>
              <w:top w:val="single" w:sz="8" w:space="0" w:color="FFFFFF" w:themeColor="background1"/>
              <w:left w:val="nil"/>
              <w:bottom w:val="nil"/>
              <w:right w:val="nil"/>
            </w:tcBorders>
            <w:shd w:val="clear" w:color="auto" w:fill="F8F8F8"/>
          </w:tcPr>
          <w:p w14:paraId="4056CEC5"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Pr>
                <w:rFonts w:cs="Arial"/>
                <w:color w:val="000000" w:themeColor="text1"/>
                <w:sz w:val="20"/>
                <w:szCs w:val="20"/>
              </w:rPr>
              <w:t>$1,113.98m</w:t>
            </w:r>
          </w:p>
        </w:tc>
        <w:tc>
          <w:tcPr>
            <w:tcW w:w="1079" w:type="pct"/>
            <w:tcBorders>
              <w:top w:val="single" w:sz="8" w:space="0" w:color="FFFFFF" w:themeColor="background1"/>
              <w:left w:val="nil"/>
              <w:bottom w:val="nil"/>
              <w:right w:val="nil"/>
            </w:tcBorders>
            <w:shd w:val="clear" w:color="auto" w:fill="F8F8F8"/>
          </w:tcPr>
          <w:p w14:paraId="5D472F4C"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$806.00m</w:t>
            </w:r>
          </w:p>
        </w:tc>
        <w:tc>
          <w:tcPr>
            <w:tcW w:w="1086" w:type="pct"/>
            <w:gridSpan w:val="2"/>
            <w:tcBorders>
              <w:top w:val="single" w:sz="8" w:space="0" w:color="FFFFFF" w:themeColor="background1"/>
              <w:left w:val="nil"/>
              <w:bottom w:val="nil"/>
              <w:right w:val="nil"/>
            </w:tcBorders>
            <w:shd w:val="clear" w:color="auto" w:fill="F8F8F8"/>
          </w:tcPr>
          <w:p w14:paraId="0EEE62F6" w14:textId="77777777" w:rsidR="001404F7" w:rsidRPr="00EA08A6" w:rsidRDefault="001404F7" w:rsidP="001404F7">
            <w:pPr>
              <w:spacing w:before="40" w:after="40"/>
              <w:jc w:val="right"/>
              <w:rPr>
                <w:rFonts w:eastAsia="Times New Roman"/>
                <w:color w:val="000000" w:themeColor="text1"/>
                <w:spacing w:val="4"/>
                <w:sz w:val="20"/>
                <w:szCs w:val="17"/>
                <w:lang w:val="en-GB"/>
              </w:rPr>
            </w:pPr>
            <w:r w:rsidRPr="00EA08A6">
              <w:rPr>
                <w:rFonts w:eastAsia="Times New Roman" w:cs="Arial"/>
                <w:color w:val="000000" w:themeColor="text1"/>
                <w:spacing w:val="4"/>
                <w:sz w:val="20"/>
                <w:szCs w:val="17"/>
                <w:lang w:val="en-GB"/>
              </w:rPr>
              <w:t>$916.23m</w:t>
            </w:r>
          </w:p>
        </w:tc>
      </w:tr>
      <w:tr w:rsidR="001404F7" w:rsidRPr="00EA08A6" w14:paraId="733AB9A0" w14:textId="77777777" w:rsidTr="00107B1C">
        <w:trPr>
          <w:cnfStyle w:val="000000100000" w:firstRow="0" w:lastRow="0" w:firstColumn="0" w:lastColumn="0" w:oddVBand="0" w:evenVBand="0" w:oddHBand="1" w:evenHBand="0" w:firstRowFirstColumn="0" w:firstRowLastColumn="0" w:lastRowFirstColumn="0" w:lastRowLastColumn="0"/>
        </w:trPr>
        <w:tc>
          <w:tcPr>
            <w:tcW w:w="1921" w:type="pct"/>
            <w:tcBorders>
              <w:top w:val="nil"/>
              <w:left w:val="nil"/>
              <w:bottom w:val="single" w:sz="8" w:space="0" w:color="FFFFFF" w:themeColor="background1"/>
              <w:right w:val="nil"/>
            </w:tcBorders>
            <w:shd w:val="clear" w:color="auto" w:fill="EAEAEA"/>
          </w:tcPr>
          <w:p w14:paraId="2B13C92A" w14:textId="77777777" w:rsidR="001404F7" w:rsidRPr="00EA08A6" w:rsidRDefault="001404F7" w:rsidP="001404F7">
            <w:pPr>
              <w:spacing w:before="40" w:after="40"/>
              <w:rPr>
                <w:rFonts w:eastAsia="Times New Roman"/>
                <w:color w:val="000000" w:themeColor="text1"/>
                <w:spacing w:val="4"/>
                <w:sz w:val="20"/>
                <w:szCs w:val="20"/>
                <w:lang w:val="en-GB"/>
              </w:rPr>
            </w:pPr>
            <w:r w:rsidRPr="00EA08A6">
              <w:rPr>
                <w:rFonts w:eastAsia="Times New Roman"/>
                <w:color w:val="000000" w:themeColor="text1"/>
                <w:spacing w:val="4"/>
                <w:sz w:val="20"/>
                <w:szCs w:val="20"/>
                <w:lang w:val="en-GB"/>
              </w:rPr>
              <w:t>Parenting Payment (Single)</w:t>
            </w:r>
          </w:p>
        </w:tc>
        <w:tc>
          <w:tcPr>
            <w:tcW w:w="915" w:type="pct"/>
            <w:tcBorders>
              <w:top w:val="nil"/>
              <w:left w:val="nil"/>
              <w:bottom w:val="single" w:sz="8" w:space="0" w:color="FFFFFF" w:themeColor="background1"/>
              <w:right w:val="nil"/>
            </w:tcBorders>
            <w:shd w:val="clear" w:color="auto" w:fill="EAEAEA"/>
          </w:tcPr>
          <w:p w14:paraId="311907EE"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5,183.56m</w:t>
            </w:r>
          </w:p>
        </w:tc>
        <w:tc>
          <w:tcPr>
            <w:tcW w:w="1079" w:type="pct"/>
            <w:tcBorders>
              <w:top w:val="nil"/>
              <w:left w:val="nil"/>
              <w:bottom w:val="single" w:sz="8" w:space="0" w:color="FFFFFF" w:themeColor="background1"/>
              <w:right w:val="nil"/>
            </w:tcBorders>
            <w:shd w:val="clear" w:color="auto" w:fill="EAEAEA"/>
          </w:tcPr>
          <w:p w14:paraId="28520DBA"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Pr>
                <w:rFonts w:eastAsia="Times New Roman" w:cs="Arial"/>
                <w:color w:val="000000" w:themeColor="text1"/>
                <w:spacing w:val="4"/>
                <w:sz w:val="20"/>
                <w:szCs w:val="20"/>
                <w:lang w:val="en-GB"/>
              </w:rPr>
              <w:t>$4,305.24m</w:t>
            </w:r>
          </w:p>
        </w:tc>
        <w:tc>
          <w:tcPr>
            <w:tcW w:w="1086" w:type="pct"/>
            <w:gridSpan w:val="2"/>
            <w:tcBorders>
              <w:top w:val="nil"/>
              <w:left w:val="nil"/>
              <w:bottom w:val="single" w:sz="8" w:space="0" w:color="FFFFFF" w:themeColor="background1"/>
              <w:right w:val="nil"/>
            </w:tcBorders>
            <w:shd w:val="clear" w:color="auto" w:fill="EAEAEA"/>
          </w:tcPr>
          <w:p w14:paraId="6EE5715C" w14:textId="77777777" w:rsidR="001404F7" w:rsidRPr="00EA08A6" w:rsidRDefault="001404F7" w:rsidP="001404F7">
            <w:pPr>
              <w:spacing w:before="40" w:after="40"/>
              <w:jc w:val="right"/>
              <w:rPr>
                <w:rFonts w:eastAsia="Times New Roman"/>
                <w:color w:val="000000" w:themeColor="text1"/>
                <w:spacing w:val="4"/>
                <w:sz w:val="20"/>
                <w:szCs w:val="17"/>
                <w:lang w:val="en-GB"/>
              </w:rPr>
            </w:pPr>
            <w:r>
              <w:rPr>
                <w:rFonts w:eastAsia="Times New Roman" w:cs="Arial"/>
                <w:color w:val="000000" w:themeColor="text1"/>
                <w:spacing w:val="4"/>
                <w:sz w:val="20"/>
                <w:szCs w:val="17"/>
                <w:lang w:val="en-GB"/>
              </w:rPr>
              <w:t>$4,676.79m</w:t>
            </w:r>
          </w:p>
        </w:tc>
      </w:tr>
      <w:tr w:rsidR="001404F7" w:rsidRPr="00EA08A6" w14:paraId="51E7529D"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tcBorders>
              <w:top w:val="single" w:sz="8" w:space="0" w:color="FFFFFF" w:themeColor="background1"/>
              <w:left w:val="nil"/>
              <w:bottom w:val="nil"/>
              <w:right w:val="nil"/>
            </w:tcBorders>
            <w:shd w:val="clear" w:color="auto" w:fill="F8F8F8"/>
          </w:tcPr>
          <w:p w14:paraId="2EF01BD9" w14:textId="77777777" w:rsidR="001404F7" w:rsidRPr="00EA08A6" w:rsidRDefault="001404F7" w:rsidP="001404F7">
            <w:pPr>
              <w:spacing w:before="40" w:after="40"/>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Partner Allowance</w:t>
            </w:r>
          </w:p>
        </w:tc>
        <w:tc>
          <w:tcPr>
            <w:tcW w:w="915" w:type="pct"/>
            <w:tcBorders>
              <w:top w:val="single" w:sz="8" w:space="0" w:color="FFFFFF" w:themeColor="background1"/>
              <w:left w:val="nil"/>
              <w:bottom w:val="nil"/>
              <w:right w:val="nil"/>
            </w:tcBorders>
            <w:shd w:val="clear" w:color="auto" w:fill="F8F8F8"/>
          </w:tcPr>
          <w:p w14:paraId="4C691CE3"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Pr>
                <w:rFonts w:cs="Arial"/>
                <w:color w:val="000000" w:themeColor="text1"/>
                <w:sz w:val="20"/>
                <w:szCs w:val="20"/>
              </w:rPr>
              <w:t>$14.58m</w:t>
            </w:r>
          </w:p>
        </w:tc>
        <w:tc>
          <w:tcPr>
            <w:tcW w:w="1079" w:type="pct"/>
            <w:tcBorders>
              <w:top w:val="single" w:sz="8" w:space="0" w:color="FFFFFF" w:themeColor="background1"/>
              <w:left w:val="nil"/>
              <w:bottom w:val="nil"/>
              <w:right w:val="nil"/>
            </w:tcBorders>
            <w:shd w:val="clear" w:color="auto" w:fill="F8F8F8"/>
          </w:tcPr>
          <w:p w14:paraId="77860E1F"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$18.81m</w:t>
            </w:r>
          </w:p>
        </w:tc>
        <w:tc>
          <w:tcPr>
            <w:tcW w:w="1086" w:type="pct"/>
            <w:gridSpan w:val="2"/>
            <w:tcBorders>
              <w:top w:val="single" w:sz="8" w:space="0" w:color="FFFFFF" w:themeColor="background1"/>
              <w:left w:val="nil"/>
              <w:bottom w:val="nil"/>
              <w:right w:val="nil"/>
            </w:tcBorders>
            <w:shd w:val="clear" w:color="auto" w:fill="F8F8F8"/>
          </w:tcPr>
          <w:p w14:paraId="6CD8BD69" w14:textId="77777777" w:rsidR="001404F7" w:rsidRPr="00EA08A6" w:rsidRDefault="001404F7" w:rsidP="001404F7">
            <w:pPr>
              <w:spacing w:before="40" w:after="40"/>
              <w:jc w:val="right"/>
              <w:rPr>
                <w:rFonts w:eastAsia="Times New Roman"/>
                <w:color w:val="000000" w:themeColor="text1"/>
                <w:spacing w:val="4"/>
                <w:sz w:val="20"/>
                <w:szCs w:val="17"/>
                <w:lang w:val="en-GB"/>
              </w:rPr>
            </w:pPr>
            <w:r w:rsidRPr="00EA08A6">
              <w:rPr>
                <w:rFonts w:eastAsia="Times New Roman" w:cs="Arial"/>
                <w:color w:val="000000" w:themeColor="text1"/>
                <w:spacing w:val="4"/>
                <w:sz w:val="20"/>
                <w:szCs w:val="17"/>
                <w:lang w:val="en-GB"/>
              </w:rPr>
              <w:t>$29.35m</w:t>
            </w:r>
          </w:p>
        </w:tc>
      </w:tr>
      <w:tr w:rsidR="001404F7" w:rsidRPr="00EA08A6" w14:paraId="6D43A528" w14:textId="77777777" w:rsidTr="00107B1C">
        <w:trPr>
          <w:cnfStyle w:val="000000100000" w:firstRow="0" w:lastRow="0" w:firstColumn="0" w:lastColumn="0" w:oddVBand="0" w:evenVBand="0" w:oddHBand="1" w:evenHBand="0" w:firstRowFirstColumn="0" w:firstRowLastColumn="0" w:lastRowFirstColumn="0" w:lastRowLastColumn="0"/>
        </w:trPr>
        <w:tc>
          <w:tcPr>
            <w:tcW w:w="1921" w:type="pct"/>
            <w:tcBorders>
              <w:top w:val="nil"/>
              <w:left w:val="nil"/>
              <w:bottom w:val="single" w:sz="8" w:space="0" w:color="FFFFFF" w:themeColor="background1"/>
              <w:right w:val="nil"/>
            </w:tcBorders>
            <w:shd w:val="clear" w:color="auto" w:fill="EAEAEA"/>
          </w:tcPr>
          <w:p w14:paraId="32593969" w14:textId="77777777" w:rsidR="001404F7" w:rsidRPr="00EA08A6" w:rsidRDefault="001404F7" w:rsidP="001404F7">
            <w:pPr>
              <w:spacing w:before="40" w:after="40"/>
              <w:rPr>
                <w:rFonts w:eastAsia="Times New Roman"/>
                <w:color w:val="000000" w:themeColor="text1"/>
                <w:spacing w:val="4"/>
                <w:sz w:val="20"/>
                <w:szCs w:val="20"/>
                <w:lang w:val="en-GB"/>
              </w:rPr>
            </w:pPr>
            <w:r w:rsidRPr="00EA08A6">
              <w:rPr>
                <w:rFonts w:eastAsia="Times New Roman"/>
                <w:color w:val="000000" w:themeColor="text1"/>
                <w:spacing w:val="4"/>
                <w:sz w:val="20"/>
                <w:szCs w:val="20"/>
                <w:lang w:val="en-GB"/>
              </w:rPr>
              <w:t>Pensioner Education Supplement</w:t>
            </w:r>
          </w:p>
        </w:tc>
        <w:tc>
          <w:tcPr>
            <w:tcW w:w="915" w:type="pct"/>
            <w:tcBorders>
              <w:top w:val="nil"/>
              <w:left w:val="nil"/>
              <w:bottom w:val="single" w:sz="8" w:space="0" w:color="FFFFFF" w:themeColor="background1"/>
              <w:right w:val="nil"/>
            </w:tcBorders>
            <w:shd w:val="clear" w:color="auto" w:fill="EAEAEA"/>
          </w:tcPr>
          <w:p w14:paraId="23FC4BF6"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Pr>
                <w:rFonts w:cs="Arial"/>
                <w:color w:val="000000" w:themeColor="text1"/>
                <w:sz w:val="20"/>
                <w:szCs w:val="20"/>
              </w:rPr>
              <w:t>$37.43m</w:t>
            </w:r>
          </w:p>
        </w:tc>
        <w:tc>
          <w:tcPr>
            <w:tcW w:w="1079" w:type="pct"/>
            <w:tcBorders>
              <w:top w:val="nil"/>
              <w:left w:val="nil"/>
              <w:bottom w:val="single" w:sz="8" w:space="0" w:color="FFFFFF" w:themeColor="background1"/>
              <w:right w:val="nil"/>
            </w:tcBorders>
            <w:shd w:val="clear" w:color="auto" w:fill="EAEAEA"/>
          </w:tcPr>
          <w:p w14:paraId="20FAD58A"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$36.34m</w:t>
            </w:r>
          </w:p>
        </w:tc>
        <w:tc>
          <w:tcPr>
            <w:tcW w:w="1086" w:type="pct"/>
            <w:gridSpan w:val="2"/>
            <w:tcBorders>
              <w:top w:val="nil"/>
              <w:left w:val="nil"/>
              <w:bottom w:val="single" w:sz="8" w:space="0" w:color="FFFFFF" w:themeColor="background1"/>
              <w:right w:val="nil"/>
            </w:tcBorders>
            <w:shd w:val="clear" w:color="auto" w:fill="EAEAEA"/>
          </w:tcPr>
          <w:p w14:paraId="51DED950" w14:textId="77777777" w:rsidR="001404F7" w:rsidRPr="00EA08A6" w:rsidRDefault="001404F7" w:rsidP="001404F7">
            <w:pPr>
              <w:spacing w:before="40" w:after="40"/>
              <w:jc w:val="right"/>
              <w:rPr>
                <w:rFonts w:eastAsia="Times New Roman"/>
                <w:color w:val="000000" w:themeColor="text1"/>
                <w:spacing w:val="4"/>
                <w:sz w:val="20"/>
                <w:szCs w:val="17"/>
                <w:lang w:val="en-GB"/>
              </w:rPr>
            </w:pPr>
            <w:r w:rsidRPr="00EA08A6">
              <w:rPr>
                <w:rFonts w:eastAsia="Times New Roman"/>
                <w:color w:val="000000" w:themeColor="text1"/>
                <w:spacing w:val="4"/>
                <w:sz w:val="20"/>
                <w:szCs w:val="17"/>
                <w:lang w:val="en-GB"/>
              </w:rPr>
              <w:t>$46.56m</w:t>
            </w:r>
          </w:p>
        </w:tc>
      </w:tr>
      <w:tr w:rsidR="001404F7" w:rsidRPr="00EA08A6" w14:paraId="414E3848"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tcBorders>
              <w:top w:val="single" w:sz="8" w:space="0" w:color="FFFFFF" w:themeColor="background1"/>
              <w:left w:val="nil"/>
              <w:bottom w:val="nil"/>
              <w:right w:val="nil"/>
            </w:tcBorders>
            <w:shd w:val="clear" w:color="auto" w:fill="F8F8F8"/>
          </w:tcPr>
          <w:p w14:paraId="5723DA3A" w14:textId="77777777" w:rsidR="001404F7" w:rsidRPr="00EA08A6" w:rsidRDefault="001404F7" w:rsidP="001404F7">
            <w:pPr>
              <w:spacing w:before="40" w:after="40"/>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Sickness Allowance</w:t>
            </w:r>
          </w:p>
        </w:tc>
        <w:tc>
          <w:tcPr>
            <w:tcW w:w="915" w:type="pct"/>
            <w:tcBorders>
              <w:top w:val="single" w:sz="8" w:space="0" w:color="FFFFFF" w:themeColor="background1"/>
              <w:left w:val="nil"/>
              <w:bottom w:val="nil"/>
              <w:right w:val="nil"/>
            </w:tcBorders>
            <w:shd w:val="clear" w:color="auto" w:fill="F8F8F8"/>
          </w:tcPr>
          <w:p w14:paraId="1577D617"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Pr>
                <w:rFonts w:cs="Arial"/>
                <w:color w:val="000000" w:themeColor="text1"/>
                <w:sz w:val="20"/>
                <w:szCs w:val="20"/>
              </w:rPr>
              <w:t>$93.52m</w:t>
            </w:r>
          </w:p>
        </w:tc>
        <w:tc>
          <w:tcPr>
            <w:tcW w:w="1079" w:type="pct"/>
            <w:tcBorders>
              <w:top w:val="single" w:sz="8" w:space="0" w:color="FFFFFF" w:themeColor="background1"/>
              <w:left w:val="nil"/>
              <w:bottom w:val="nil"/>
              <w:right w:val="nil"/>
            </w:tcBorders>
            <w:shd w:val="clear" w:color="auto" w:fill="F8F8F8"/>
          </w:tcPr>
          <w:p w14:paraId="315CDCDD"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$84.62m</w:t>
            </w:r>
          </w:p>
        </w:tc>
        <w:tc>
          <w:tcPr>
            <w:tcW w:w="1086" w:type="pct"/>
            <w:gridSpan w:val="2"/>
            <w:tcBorders>
              <w:top w:val="single" w:sz="8" w:space="0" w:color="FFFFFF" w:themeColor="background1"/>
              <w:left w:val="nil"/>
              <w:bottom w:val="nil"/>
              <w:right w:val="nil"/>
            </w:tcBorders>
            <w:shd w:val="clear" w:color="auto" w:fill="F8F8F8"/>
          </w:tcPr>
          <w:p w14:paraId="5291E014" w14:textId="77777777" w:rsidR="001404F7" w:rsidRPr="00EA08A6" w:rsidRDefault="001404F7" w:rsidP="001404F7">
            <w:pPr>
              <w:spacing w:before="40" w:after="40"/>
              <w:jc w:val="right"/>
              <w:rPr>
                <w:rFonts w:eastAsia="Times New Roman"/>
                <w:color w:val="000000" w:themeColor="text1"/>
                <w:spacing w:val="4"/>
                <w:sz w:val="20"/>
                <w:szCs w:val="17"/>
                <w:lang w:val="en-GB"/>
              </w:rPr>
            </w:pPr>
            <w:r w:rsidRPr="00EA08A6">
              <w:rPr>
                <w:rFonts w:eastAsia="Times New Roman" w:cs="Arial"/>
                <w:color w:val="000000" w:themeColor="text1"/>
                <w:spacing w:val="4"/>
                <w:sz w:val="20"/>
                <w:szCs w:val="17"/>
                <w:lang w:val="en-GB"/>
              </w:rPr>
              <w:t>$102.79m</w:t>
            </w:r>
          </w:p>
        </w:tc>
      </w:tr>
      <w:tr w:rsidR="001404F7" w:rsidRPr="00EA08A6" w14:paraId="30389AD0" w14:textId="77777777" w:rsidTr="00107B1C">
        <w:trPr>
          <w:cnfStyle w:val="000000100000" w:firstRow="0" w:lastRow="0" w:firstColumn="0" w:lastColumn="0" w:oddVBand="0" w:evenVBand="0" w:oddHBand="1" w:evenHBand="0" w:firstRowFirstColumn="0" w:firstRowLastColumn="0" w:lastRowFirstColumn="0" w:lastRowLastColumn="0"/>
        </w:trPr>
        <w:tc>
          <w:tcPr>
            <w:tcW w:w="1921" w:type="pct"/>
            <w:tcBorders>
              <w:top w:val="nil"/>
              <w:left w:val="nil"/>
              <w:bottom w:val="single" w:sz="8" w:space="0" w:color="FFFFFF" w:themeColor="background1"/>
              <w:right w:val="nil"/>
            </w:tcBorders>
            <w:shd w:val="clear" w:color="auto" w:fill="EAEAEA"/>
          </w:tcPr>
          <w:p w14:paraId="70D1F3E6" w14:textId="77777777" w:rsidR="001404F7" w:rsidRPr="00EA08A6" w:rsidRDefault="001404F7" w:rsidP="001404F7">
            <w:pPr>
              <w:spacing w:before="40" w:after="40"/>
              <w:rPr>
                <w:rFonts w:eastAsia="Times New Roman"/>
                <w:color w:val="000000" w:themeColor="text1"/>
                <w:spacing w:val="4"/>
                <w:sz w:val="20"/>
                <w:szCs w:val="20"/>
                <w:lang w:val="en-GB"/>
              </w:rPr>
            </w:pPr>
            <w:r w:rsidRPr="00EA08A6">
              <w:rPr>
                <w:rFonts w:eastAsia="Times New Roman"/>
                <w:color w:val="000000" w:themeColor="text1"/>
                <w:spacing w:val="4"/>
                <w:sz w:val="20"/>
                <w:szCs w:val="20"/>
                <w:lang w:val="en-GB"/>
              </w:rPr>
              <w:t>Widow Allowance</w:t>
            </w:r>
          </w:p>
        </w:tc>
        <w:tc>
          <w:tcPr>
            <w:tcW w:w="915" w:type="pct"/>
            <w:tcBorders>
              <w:top w:val="nil"/>
              <w:left w:val="nil"/>
              <w:bottom w:val="single" w:sz="8" w:space="0" w:color="FFFFFF" w:themeColor="background1"/>
              <w:right w:val="nil"/>
            </w:tcBorders>
            <w:shd w:val="clear" w:color="auto" w:fill="EAEAEA"/>
          </w:tcPr>
          <w:p w14:paraId="4186C547"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138.41m</w:t>
            </w:r>
          </w:p>
        </w:tc>
        <w:tc>
          <w:tcPr>
            <w:tcW w:w="1079" w:type="pct"/>
            <w:tcBorders>
              <w:top w:val="nil"/>
              <w:left w:val="nil"/>
              <w:bottom w:val="single" w:sz="8" w:space="0" w:color="FFFFFF" w:themeColor="background1"/>
              <w:right w:val="nil"/>
            </w:tcBorders>
            <w:shd w:val="clear" w:color="auto" w:fill="EAEAEA"/>
          </w:tcPr>
          <w:p w14:paraId="6A4AFF0B"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$161.99m</w:t>
            </w:r>
          </w:p>
        </w:tc>
        <w:tc>
          <w:tcPr>
            <w:tcW w:w="1086" w:type="pct"/>
            <w:gridSpan w:val="2"/>
            <w:tcBorders>
              <w:top w:val="nil"/>
              <w:left w:val="nil"/>
              <w:bottom w:val="single" w:sz="8" w:space="0" w:color="FFFFFF" w:themeColor="background1"/>
              <w:right w:val="nil"/>
            </w:tcBorders>
            <w:shd w:val="clear" w:color="auto" w:fill="EAEAEA"/>
          </w:tcPr>
          <w:p w14:paraId="5A27496C" w14:textId="77777777" w:rsidR="001404F7" w:rsidRPr="00EA08A6" w:rsidRDefault="001404F7" w:rsidP="001404F7">
            <w:pPr>
              <w:spacing w:before="40" w:after="40"/>
              <w:jc w:val="right"/>
              <w:rPr>
                <w:rFonts w:eastAsia="Times New Roman"/>
                <w:color w:val="000000" w:themeColor="text1"/>
                <w:spacing w:val="4"/>
                <w:sz w:val="20"/>
                <w:szCs w:val="17"/>
                <w:lang w:val="en-GB"/>
              </w:rPr>
            </w:pPr>
            <w:r w:rsidRPr="00EA08A6">
              <w:rPr>
                <w:rFonts w:eastAsia="Times New Roman"/>
                <w:color w:val="000000" w:themeColor="text1"/>
                <w:spacing w:val="4"/>
                <w:sz w:val="20"/>
                <w:szCs w:val="17"/>
                <w:lang w:val="en-GB"/>
              </w:rPr>
              <w:t>$221.74m</w:t>
            </w:r>
          </w:p>
        </w:tc>
      </w:tr>
      <w:tr w:rsidR="001404F7" w:rsidRPr="00EA08A6" w14:paraId="01DFDEB2"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tcBorders>
              <w:top w:val="single" w:sz="8" w:space="0" w:color="FFFFFF" w:themeColor="background1"/>
              <w:left w:val="nil"/>
              <w:bottom w:val="single" w:sz="4" w:space="0" w:color="FFFFFF" w:themeColor="background1"/>
              <w:right w:val="nil"/>
            </w:tcBorders>
            <w:shd w:val="clear" w:color="auto" w:fill="F8F8F8"/>
          </w:tcPr>
          <w:p w14:paraId="0697EA98" w14:textId="77777777" w:rsidR="001404F7" w:rsidRPr="00EA08A6" w:rsidRDefault="001404F7" w:rsidP="001404F7">
            <w:pPr>
              <w:spacing w:before="40" w:after="40"/>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Youth Allowance (other)</w:t>
            </w:r>
          </w:p>
        </w:tc>
        <w:tc>
          <w:tcPr>
            <w:tcW w:w="915" w:type="pct"/>
            <w:tcBorders>
              <w:top w:val="single" w:sz="8" w:space="0" w:color="FFFFFF" w:themeColor="background1"/>
              <w:left w:val="nil"/>
              <w:bottom w:val="single" w:sz="4" w:space="0" w:color="FFFFFF" w:themeColor="background1"/>
              <w:right w:val="nil"/>
            </w:tcBorders>
            <w:shd w:val="clear" w:color="auto" w:fill="F8F8F8"/>
          </w:tcPr>
          <w:p w14:paraId="0D0F7235"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Pr>
                <w:rFonts w:cs="Arial"/>
                <w:color w:val="000000" w:themeColor="text1"/>
                <w:sz w:val="20"/>
                <w:szCs w:val="20"/>
              </w:rPr>
              <w:t>$1,726.72m</w:t>
            </w:r>
          </w:p>
        </w:tc>
        <w:tc>
          <w:tcPr>
            <w:tcW w:w="1079" w:type="pct"/>
            <w:tcBorders>
              <w:top w:val="single" w:sz="8" w:space="0" w:color="FFFFFF" w:themeColor="background1"/>
              <w:left w:val="nil"/>
              <w:bottom w:val="single" w:sz="4" w:space="0" w:color="FFFFFF" w:themeColor="background1"/>
              <w:right w:val="nil"/>
            </w:tcBorders>
            <w:shd w:val="clear" w:color="auto" w:fill="F8F8F8"/>
          </w:tcPr>
          <w:p w14:paraId="249D1C72"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$862.75m</w:t>
            </w:r>
          </w:p>
        </w:tc>
        <w:tc>
          <w:tcPr>
            <w:tcW w:w="1086" w:type="pct"/>
            <w:gridSpan w:val="2"/>
            <w:tcBorders>
              <w:top w:val="single" w:sz="8" w:space="0" w:color="FFFFFF" w:themeColor="background1"/>
              <w:left w:val="nil"/>
              <w:bottom w:val="single" w:sz="4" w:space="0" w:color="FFFFFF" w:themeColor="background1"/>
              <w:right w:val="nil"/>
            </w:tcBorders>
            <w:shd w:val="clear" w:color="auto" w:fill="F8F8F8"/>
          </w:tcPr>
          <w:p w14:paraId="3A58F5F1" w14:textId="77777777" w:rsidR="001404F7" w:rsidRPr="00EA08A6" w:rsidRDefault="001404F7" w:rsidP="001404F7">
            <w:pPr>
              <w:spacing w:before="40" w:after="40"/>
              <w:jc w:val="right"/>
              <w:rPr>
                <w:rFonts w:eastAsia="Times New Roman"/>
                <w:color w:val="000000" w:themeColor="text1"/>
                <w:spacing w:val="4"/>
                <w:sz w:val="20"/>
                <w:szCs w:val="17"/>
                <w:lang w:val="en-GB"/>
              </w:rPr>
            </w:pPr>
            <w:r w:rsidRPr="00EA08A6">
              <w:rPr>
                <w:rFonts w:eastAsia="Times New Roman" w:cs="Arial"/>
                <w:color w:val="000000" w:themeColor="text1"/>
                <w:spacing w:val="4"/>
                <w:sz w:val="20"/>
                <w:szCs w:val="17"/>
                <w:lang w:val="en-GB"/>
              </w:rPr>
              <w:t>$943.90m</w:t>
            </w:r>
          </w:p>
        </w:tc>
      </w:tr>
      <w:tr w:rsidR="001404F7" w:rsidRPr="00EA08A6" w14:paraId="2F5486E5" w14:textId="77777777" w:rsidTr="001404F7">
        <w:trPr>
          <w:cnfStyle w:val="000000100000" w:firstRow="0" w:lastRow="0" w:firstColumn="0" w:lastColumn="0" w:oddVBand="0" w:evenVBand="0" w:oddHBand="1" w:evenHBand="0" w:firstRowFirstColumn="0" w:firstRowLastColumn="0" w:lastRowFirstColumn="0" w:lastRowLastColumn="0"/>
        </w:trPr>
        <w:tc>
          <w:tcPr>
            <w:tcW w:w="5000" w:type="pct"/>
            <w:gridSpan w:val="5"/>
            <w:tcBorders>
              <w:top w:val="single" w:sz="4" w:space="0" w:color="FFFFFF" w:themeColor="background1"/>
              <w:bottom w:val="single" w:sz="18" w:space="0" w:color="00B0B9"/>
            </w:tcBorders>
          </w:tcPr>
          <w:p w14:paraId="046EF25D" w14:textId="77777777" w:rsidR="001404F7" w:rsidRPr="006E2377" w:rsidRDefault="001404F7" w:rsidP="001404F7">
            <w:pPr>
              <w:spacing w:before="40" w:after="40"/>
              <w:rPr>
                <w:rFonts w:eastAsia="Times New Roman"/>
                <w:b/>
                <w:color w:val="000000" w:themeColor="text1"/>
                <w:spacing w:val="4"/>
                <w:sz w:val="20"/>
                <w:szCs w:val="17"/>
                <w:lang w:val="en-GB"/>
              </w:rPr>
            </w:pPr>
            <w:r w:rsidRPr="006E2377">
              <w:rPr>
                <w:rFonts w:eastAsia="Times New Roman"/>
                <w:b/>
                <w:color w:val="000000" w:themeColor="text1"/>
                <w:spacing w:val="4"/>
                <w:sz w:val="20"/>
                <w:szCs w:val="20"/>
                <w:lang w:val="en-GB"/>
              </w:rPr>
              <w:t>Student Payments</w:t>
            </w:r>
          </w:p>
        </w:tc>
      </w:tr>
      <w:tr w:rsidR="001404F7" w:rsidRPr="00EA08A6" w14:paraId="6E4A397F"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tcBorders>
              <w:top w:val="single" w:sz="8" w:space="0" w:color="C00000"/>
              <w:left w:val="nil"/>
              <w:bottom w:val="single" w:sz="8" w:space="0" w:color="FFFFFF" w:themeColor="background1"/>
              <w:right w:val="nil"/>
            </w:tcBorders>
            <w:shd w:val="clear" w:color="auto" w:fill="EAEAEA"/>
          </w:tcPr>
          <w:p w14:paraId="58C7D6FF" w14:textId="77777777" w:rsidR="001404F7" w:rsidRPr="00EA08A6" w:rsidRDefault="001404F7" w:rsidP="001404F7">
            <w:pPr>
              <w:spacing w:before="40" w:after="40"/>
              <w:rPr>
                <w:rFonts w:eastAsia="Times New Roman"/>
                <w:color w:val="000000" w:themeColor="text1"/>
                <w:spacing w:val="4"/>
                <w:sz w:val="20"/>
                <w:szCs w:val="20"/>
                <w:lang w:val="en-GB"/>
              </w:rPr>
            </w:pPr>
            <w:proofErr w:type="spellStart"/>
            <w:r w:rsidRPr="00EA08A6">
              <w:rPr>
                <w:rFonts w:eastAsia="Times New Roman" w:cs="Arial"/>
                <w:color w:val="000000" w:themeColor="text1"/>
                <w:spacing w:val="4"/>
                <w:sz w:val="20"/>
                <w:szCs w:val="20"/>
                <w:lang w:val="en-GB"/>
              </w:rPr>
              <w:t>Austudy</w:t>
            </w:r>
            <w:proofErr w:type="spellEnd"/>
          </w:p>
        </w:tc>
        <w:tc>
          <w:tcPr>
            <w:tcW w:w="915" w:type="pct"/>
            <w:tcBorders>
              <w:top w:val="single" w:sz="8" w:space="0" w:color="C00000"/>
              <w:left w:val="nil"/>
              <w:bottom w:val="single" w:sz="8" w:space="0" w:color="FFFFFF" w:themeColor="background1"/>
              <w:right w:val="nil"/>
            </w:tcBorders>
            <w:shd w:val="clear" w:color="auto" w:fill="EAEAEA"/>
          </w:tcPr>
          <w:p w14:paraId="058FE119"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609.15m</w:t>
            </w:r>
          </w:p>
        </w:tc>
        <w:tc>
          <w:tcPr>
            <w:tcW w:w="1079" w:type="pct"/>
            <w:tcBorders>
              <w:top w:val="single" w:sz="8" w:space="0" w:color="C00000"/>
              <w:left w:val="nil"/>
              <w:bottom w:val="single" w:sz="8" w:space="0" w:color="FFFFFF" w:themeColor="background1"/>
              <w:right w:val="nil"/>
            </w:tcBorders>
            <w:shd w:val="clear" w:color="auto" w:fill="EAEAEA"/>
          </w:tcPr>
          <w:p w14:paraId="7BBB3FD0"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$444.42m</w:t>
            </w:r>
          </w:p>
        </w:tc>
        <w:tc>
          <w:tcPr>
            <w:tcW w:w="1086" w:type="pct"/>
            <w:gridSpan w:val="2"/>
            <w:tcBorders>
              <w:top w:val="single" w:sz="8" w:space="0" w:color="C00000"/>
              <w:left w:val="nil"/>
              <w:bottom w:val="single" w:sz="8" w:space="0" w:color="FFFFFF" w:themeColor="background1"/>
              <w:right w:val="nil"/>
            </w:tcBorders>
            <w:shd w:val="clear" w:color="auto" w:fill="EAEAEA"/>
          </w:tcPr>
          <w:p w14:paraId="598C168E" w14:textId="77777777" w:rsidR="001404F7" w:rsidRPr="00EA08A6" w:rsidRDefault="001404F7" w:rsidP="001404F7">
            <w:pPr>
              <w:spacing w:before="40" w:after="40"/>
              <w:jc w:val="right"/>
              <w:rPr>
                <w:rFonts w:eastAsia="Times New Roman"/>
                <w:color w:val="000000" w:themeColor="text1"/>
                <w:spacing w:val="4"/>
                <w:sz w:val="20"/>
                <w:szCs w:val="17"/>
                <w:lang w:val="en-GB"/>
              </w:rPr>
            </w:pPr>
            <w:r w:rsidRPr="00EA08A6">
              <w:rPr>
                <w:rFonts w:eastAsia="Times New Roman" w:cs="Arial"/>
                <w:color w:val="000000" w:themeColor="text1"/>
                <w:spacing w:val="4"/>
                <w:sz w:val="20"/>
                <w:szCs w:val="17"/>
                <w:lang w:val="en-GB"/>
              </w:rPr>
              <w:t>$509.73m</w:t>
            </w:r>
          </w:p>
        </w:tc>
      </w:tr>
      <w:tr w:rsidR="001404F7" w:rsidRPr="00EA08A6" w14:paraId="61C0ACC3" w14:textId="77777777" w:rsidTr="00107B1C">
        <w:trPr>
          <w:cnfStyle w:val="000000100000" w:firstRow="0" w:lastRow="0" w:firstColumn="0" w:lastColumn="0" w:oddVBand="0" w:evenVBand="0" w:oddHBand="1" w:evenHBand="0" w:firstRowFirstColumn="0" w:firstRowLastColumn="0" w:lastRowFirstColumn="0" w:lastRowLastColumn="0"/>
        </w:trPr>
        <w:tc>
          <w:tcPr>
            <w:tcW w:w="1921" w:type="pct"/>
            <w:tcBorders>
              <w:top w:val="single" w:sz="8" w:space="0" w:color="FFFFFF" w:themeColor="background1"/>
              <w:left w:val="nil"/>
              <w:bottom w:val="nil"/>
              <w:right w:val="nil"/>
            </w:tcBorders>
            <w:shd w:val="clear" w:color="auto" w:fill="F8F8F8"/>
          </w:tcPr>
          <w:p w14:paraId="308CBD44" w14:textId="77777777" w:rsidR="001404F7" w:rsidRPr="00EA08A6" w:rsidRDefault="001404F7" w:rsidP="001404F7">
            <w:pPr>
              <w:spacing w:before="40" w:after="40"/>
              <w:rPr>
                <w:rFonts w:eastAsia="Times New Roman"/>
                <w:color w:val="000000" w:themeColor="text1"/>
                <w:spacing w:val="4"/>
                <w:sz w:val="20"/>
                <w:szCs w:val="20"/>
                <w:lang w:val="en-GB"/>
              </w:rPr>
            </w:pPr>
            <w:r w:rsidRPr="00EA08A6">
              <w:rPr>
                <w:rFonts w:eastAsia="Times New Roman"/>
                <w:color w:val="000000" w:themeColor="text1"/>
                <w:spacing w:val="4"/>
                <w:sz w:val="20"/>
                <w:szCs w:val="20"/>
                <w:lang w:val="en-GB"/>
              </w:rPr>
              <w:t>Youth Allowance (student)</w:t>
            </w:r>
          </w:p>
        </w:tc>
        <w:tc>
          <w:tcPr>
            <w:tcW w:w="915" w:type="pct"/>
            <w:tcBorders>
              <w:top w:val="single" w:sz="8" w:space="0" w:color="FFFFFF" w:themeColor="background1"/>
              <w:left w:val="nil"/>
              <w:bottom w:val="nil"/>
              <w:right w:val="nil"/>
            </w:tcBorders>
            <w:shd w:val="clear" w:color="auto" w:fill="F8F8F8"/>
          </w:tcPr>
          <w:p w14:paraId="2245A48F"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2,685.77m</w:t>
            </w:r>
          </w:p>
        </w:tc>
        <w:tc>
          <w:tcPr>
            <w:tcW w:w="1079" w:type="pct"/>
            <w:tcBorders>
              <w:top w:val="single" w:sz="8" w:space="0" w:color="FFFFFF" w:themeColor="background1"/>
              <w:left w:val="nil"/>
              <w:bottom w:val="nil"/>
              <w:right w:val="nil"/>
            </w:tcBorders>
            <w:shd w:val="clear" w:color="auto" w:fill="F8F8F8"/>
          </w:tcPr>
          <w:p w14:paraId="64C6C708"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Pr>
                <w:rFonts w:eastAsia="Times New Roman" w:cs="Arial"/>
                <w:color w:val="000000" w:themeColor="text1"/>
                <w:spacing w:val="4"/>
                <w:sz w:val="20"/>
                <w:szCs w:val="20"/>
                <w:lang w:val="en-GB"/>
              </w:rPr>
              <w:t>$1,652.38m</w:t>
            </w:r>
          </w:p>
        </w:tc>
        <w:tc>
          <w:tcPr>
            <w:tcW w:w="1086" w:type="pct"/>
            <w:gridSpan w:val="2"/>
            <w:tcBorders>
              <w:top w:val="single" w:sz="8" w:space="0" w:color="FFFFFF" w:themeColor="background1"/>
              <w:left w:val="nil"/>
              <w:bottom w:val="nil"/>
              <w:right w:val="nil"/>
            </w:tcBorders>
            <w:shd w:val="clear" w:color="auto" w:fill="F8F8F8"/>
          </w:tcPr>
          <w:p w14:paraId="38CE69E1" w14:textId="77777777" w:rsidR="001404F7" w:rsidRPr="00EA08A6" w:rsidRDefault="001404F7" w:rsidP="001404F7">
            <w:pPr>
              <w:spacing w:before="40" w:after="40"/>
              <w:jc w:val="right"/>
              <w:rPr>
                <w:rFonts w:eastAsia="Times New Roman"/>
                <w:color w:val="000000" w:themeColor="text1"/>
                <w:spacing w:val="4"/>
                <w:sz w:val="20"/>
                <w:szCs w:val="17"/>
                <w:lang w:val="en-GB"/>
              </w:rPr>
            </w:pPr>
            <w:r>
              <w:rPr>
                <w:rFonts w:eastAsia="Times New Roman"/>
                <w:color w:val="000000" w:themeColor="text1"/>
                <w:spacing w:val="4"/>
                <w:sz w:val="20"/>
                <w:szCs w:val="17"/>
                <w:lang w:val="en-GB"/>
              </w:rPr>
              <w:t>$1,851.24m</w:t>
            </w:r>
          </w:p>
        </w:tc>
      </w:tr>
      <w:tr w:rsidR="001404F7" w:rsidRPr="00EA08A6" w14:paraId="031D6F48" w14:textId="77777777" w:rsidTr="00107B1C">
        <w:trPr>
          <w:cnfStyle w:val="000000010000" w:firstRow="0" w:lastRow="0" w:firstColumn="0" w:lastColumn="0" w:oddVBand="0" w:evenVBand="0" w:oddHBand="0" w:evenHBand="1" w:firstRowFirstColumn="0" w:firstRowLastColumn="0" w:lastRowFirstColumn="0" w:lastRowLastColumn="0"/>
        </w:trPr>
        <w:tc>
          <w:tcPr>
            <w:tcW w:w="1921" w:type="pct"/>
            <w:tcBorders>
              <w:top w:val="nil"/>
              <w:left w:val="nil"/>
              <w:bottom w:val="single" w:sz="8" w:space="0" w:color="FFFFFF" w:themeColor="background1"/>
              <w:right w:val="nil"/>
            </w:tcBorders>
            <w:shd w:val="clear" w:color="auto" w:fill="EAEAEA"/>
          </w:tcPr>
          <w:p w14:paraId="37B08E61" w14:textId="77777777" w:rsidR="001404F7" w:rsidRPr="00EA08A6" w:rsidRDefault="001404F7" w:rsidP="001404F7">
            <w:pPr>
              <w:spacing w:before="40" w:after="40"/>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ABSTUDY—Secondary</w:t>
            </w:r>
          </w:p>
        </w:tc>
        <w:tc>
          <w:tcPr>
            <w:tcW w:w="915" w:type="pct"/>
            <w:tcBorders>
              <w:top w:val="nil"/>
              <w:left w:val="nil"/>
              <w:bottom w:val="single" w:sz="8" w:space="0" w:color="FFFFFF" w:themeColor="background1"/>
              <w:right w:val="nil"/>
            </w:tcBorders>
            <w:shd w:val="clear" w:color="auto" w:fill="EAEAEA"/>
          </w:tcPr>
          <w:p w14:paraId="0B52FB67"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178.63m</w:t>
            </w:r>
          </w:p>
        </w:tc>
        <w:tc>
          <w:tcPr>
            <w:tcW w:w="1079" w:type="pct"/>
            <w:tcBorders>
              <w:top w:val="nil"/>
              <w:left w:val="nil"/>
              <w:bottom w:val="single" w:sz="8" w:space="0" w:color="FFFFFF" w:themeColor="background1"/>
              <w:right w:val="nil"/>
            </w:tcBorders>
            <w:shd w:val="clear" w:color="auto" w:fill="EAEAEA"/>
          </w:tcPr>
          <w:p w14:paraId="098361EF"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$154.37m</w:t>
            </w:r>
          </w:p>
        </w:tc>
        <w:tc>
          <w:tcPr>
            <w:tcW w:w="1086" w:type="pct"/>
            <w:gridSpan w:val="2"/>
            <w:tcBorders>
              <w:top w:val="nil"/>
              <w:left w:val="nil"/>
              <w:bottom w:val="single" w:sz="8" w:space="0" w:color="FFFFFF" w:themeColor="background1"/>
              <w:right w:val="nil"/>
            </w:tcBorders>
            <w:shd w:val="clear" w:color="auto" w:fill="EAEAEA"/>
          </w:tcPr>
          <w:p w14:paraId="1050B431" w14:textId="77777777" w:rsidR="001404F7" w:rsidRPr="00EA08A6" w:rsidRDefault="001404F7" w:rsidP="001404F7">
            <w:pPr>
              <w:spacing w:before="40" w:after="40"/>
              <w:jc w:val="right"/>
              <w:rPr>
                <w:rFonts w:eastAsia="Times New Roman"/>
                <w:color w:val="000000" w:themeColor="text1"/>
                <w:spacing w:val="4"/>
                <w:sz w:val="20"/>
                <w:szCs w:val="17"/>
                <w:lang w:val="en-GB"/>
              </w:rPr>
            </w:pPr>
            <w:r w:rsidRPr="00EA08A6">
              <w:rPr>
                <w:rFonts w:eastAsia="Times New Roman" w:cs="Arial"/>
                <w:color w:val="000000" w:themeColor="text1"/>
                <w:spacing w:val="4"/>
                <w:sz w:val="20"/>
                <w:szCs w:val="17"/>
                <w:lang w:val="en-GB"/>
              </w:rPr>
              <w:t>$152.68m</w:t>
            </w:r>
          </w:p>
        </w:tc>
      </w:tr>
      <w:tr w:rsidR="001404F7" w:rsidRPr="00EA08A6" w14:paraId="4509FA1D" w14:textId="77777777" w:rsidTr="00107B1C">
        <w:trPr>
          <w:cnfStyle w:val="000000100000" w:firstRow="0" w:lastRow="0" w:firstColumn="0" w:lastColumn="0" w:oddVBand="0" w:evenVBand="0" w:oddHBand="1" w:evenHBand="0" w:firstRowFirstColumn="0" w:firstRowLastColumn="0" w:lastRowFirstColumn="0" w:lastRowLastColumn="0"/>
        </w:trPr>
        <w:tc>
          <w:tcPr>
            <w:tcW w:w="1921" w:type="pct"/>
            <w:tcBorders>
              <w:top w:val="single" w:sz="8" w:space="0" w:color="FFFFFF" w:themeColor="background1"/>
              <w:left w:val="nil"/>
              <w:bottom w:val="nil"/>
              <w:right w:val="nil"/>
            </w:tcBorders>
            <w:shd w:val="clear" w:color="auto" w:fill="F8F8F8"/>
          </w:tcPr>
          <w:p w14:paraId="1B42C878" w14:textId="77777777" w:rsidR="001404F7" w:rsidRPr="00EA08A6" w:rsidRDefault="001404F7" w:rsidP="001404F7">
            <w:pPr>
              <w:spacing w:before="40" w:after="40"/>
              <w:rPr>
                <w:rFonts w:eastAsia="Times New Roman"/>
                <w:color w:val="000000" w:themeColor="text1"/>
                <w:spacing w:val="4"/>
                <w:sz w:val="20"/>
                <w:szCs w:val="20"/>
                <w:lang w:val="en-GB"/>
              </w:rPr>
            </w:pPr>
            <w:r w:rsidRPr="00EA08A6">
              <w:rPr>
                <w:rFonts w:eastAsia="Times New Roman"/>
                <w:color w:val="000000" w:themeColor="text1"/>
                <w:spacing w:val="4"/>
                <w:sz w:val="20"/>
                <w:szCs w:val="20"/>
                <w:lang w:val="en-GB"/>
              </w:rPr>
              <w:t>ABSTUDY—Tertiary</w:t>
            </w:r>
          </w:p>
        </w:tc>
        <w:tc>
          <w:tcPr>
            <w:tcW w:w="915" w:type="pct"/>
            <w:tcBorders>
              <w:top w:val="single" w:sz="8" w:space="0" w:color="FFFFFF" w:themeColor="background1"/>
              <w:left w:val="nil"/>
              <w:bottom w:val="nil"/>
              <w:right w:val="nil"/>
            </w:tcBorders>
            <w:shd w:val="clear" w:color="auto" w:fill="F8F8F8"/>
          </w:tcPr>
          <w:p w14:paraId="6C11569F"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w:t>
            </w:r>
            <w:r>
              <w:rPr>
                <w:rFonts w:eastAsia="Times New Roman" w:cs="Arial"/>
                <w:color w:val="000000" w:themeColor="text1"/>
                <w:spacing w:val="4"/>
                <w:sz w:val="20"/>
                <w:szCs w:val="20"/>
                <w:lang w:val="en-GB"/>
              </w:rPr>
              <w:t>143.83m</w:t>
            </w:r>
          </w:p>
        </w:tc>
        <w:tc>
          <w:tcPr>
            <w:tcW w:w="1079" w:type="pct"/>
            <w:tcBorders>
              <w:top w:val="single" w:sz="8" w:space="0" w:color="FFFFFF" w:themeColor="background1"/>
              <w:left w:val="nil"/>
              <w:bottom w:val="nil"/>
              <w:right w:val="nil"/>
            </w:tcBorders>
            <w:shd w:val="clear" w:color="auto" w:fill="F8F8F8"/>
          </w:tcPr>
          <w:p w14:paraId="7034F6FD" w14:textId="77777777" w:rsidR="001404F7" w:rsidRPr="00EA08A6" w:rsidRDefault="001404F7" w:rsidP="001404F7">
            <w:pPr>
              <w:spacing w:before="40" w:after="40"/>
              <w:jc w:val="right"/>
              <w:rPr>
                <w:rFonts w:eastAsia="Times New Roman" w:cs="Arial"/>
                <w:color w:val="000000" w:themeColor="text1"/>
                <w:spacing w:val="4"/>
                <w:sz w:val="20"/>
                <w:szCs w:val="20"/>
                <w:lang w:val="en-GB"/>
              </w:rPr>
            </w:pPr>
            <w:r w:rsidRPr="00EA08A6">
              <w:rPr>
                <w:rFonts w:eastAsia="Times New Roman" w:cs="Arial"/>
                <w:color w:val="000000" w:themeColor="text1"/>
                <w:spacing w:val="4"/>
                <w:sz w:val="20"/>
                <w:szCs w:val="20"/>
                <w:lang w:val="en-GB"/>
              </w:rPr>
              <w:t>$110.50m</w:t>
            </w:r>
          </w:p>
        </w:tc>
        <w:tc>
          <w:tcPr>
            <w:tcW w:w="1086" w:type="pct"/>
            <w:gridSpan w:val="2"/>
            <w:tcBorders>
              <w:top w:val="single" w:sz="8" w:space="0" w:color="FFFFFF" w:themeColor="background1"/>
              <w:left w:val="nil"/>
              <w:bottom w:val="nil"/>
              <w:right w:val="nil"/>
            </w:tcBorders>
            <w:shd w:val="clear" w:color="auto" w:fill="F8F8F8"/>
          </w:tcPr>
          <w:p w14:paraId="3AF43109" w14:textId="77777777" w:rsidR="001404F7" w:rsidRPr="00EA08A6" w:rsidRDefault="001404F7" w:rsidP="001404F7">
            <w:pPr>
              <w:spacing w:before="40" w:after="40"/>
              <w:jc w:val="right"/>
              <w:rPr>
                <w:rFonts w:eastAsia="Times New Roman"/>
                <w:color w:val="000000" w:themeColor="text1"/>
                <w:spacing w:val="4"/>
                <w:sz w:val="20"/>
                <w:szCs w:val="17"/>
                <w:lang w:val="en-GB"/>
              </w:rPr>
            </w:pPr>
            <w:r w:rsidRPr="00EA08A6">
              <w:rPr>
                <w:rFonts w:eastAsia="Times New Roman"/>
                <w:color w:val="000000" w:themeColor="text1"/>
                <w:spacing w:val="4"/>
                <w:sz w:val="20"/>
                <w:szCs w:val="17"/>
                <w:lang w:val="en-GB"/>
              </w:rPr>
              <w:t>$113.77m</w:t>
            </w:r>
          </w:p>
        </w:tc>
      </w:tr>
      <w:tr w:rsidR="001404F7" w:rsidRPr="00EA08A6" w14:paraId="2EC5B66A" w14:textId="77777777" w:rsidTr="00107B1C">
        <w:trPr>
          <w:gridAfter w:val="1"/>
          <w:cnfStyle w:val="000000010000" w:firstRow="0" w:lastRow="0" w:firstColumn="0" w:lastColumn="0" w:oddVBand="0" w:evenVBand="0" w:oddHBand="0" w:evenHBand="1" w:firstRowFirstColumn="0" w:firstRowLastColumn="0" w:lastRowFirstColumn="0" w:lastRowLastColumn="0"/>
          <w:wAfter w:w="9" w:type="pct"/>
        </w:trPr>
        <w:tc>
          <w:tcPr>
            <w:tcW w:w="1921" w:type="pct"/>
            <w:tcBorders>
              <w:top w:val="nil"/>
              <w:left w:val="nil"/>
              <w:bottom w:val="single" w:sz="8" w:space="0" w:color="FFFFFF" w:themeColor="background1"/>
              <w:right w:val="nil"/>
            </w:tcBorders>
            <w:shd w:val="clear" w:color="auto" w:fill="EAEAEA"/>
          </w:tcPr>
          <w:p w14:paraId="2ACD0E31" w14:textId="77777777" w:rsidR="001404F7" w:rsidRPr="00EA08A6" w:rsidRDefault="001404F7" w:rsidP="001404F7">
            <w:pPr>
              <w:spacing w:before="40" w:after="40"/>
              <w:rPr>
                <w:rFonts w:eastAsia="Times New Roman"/>
                <w:color w:val="000000" w:themeColor="text1"/>
                <w:spacing w:val="4"/>
                <w:sz w:val="20"/>
                <w:szCs w:val="20"/>
                <w:lang w:val="en-GB"/>
              </w:rPr>
            </w:pPr>
            <w:r w:rsidRPr="00EA08A6">
              <w:rPr>
                <w:rFonts w:eastAsia="Times New Roman" w:cs="Arial"/>
                <w:color w:val="000000" w:themeColor="text1"/>
                <w:spacing w:val="4"/>
                <w:sz w:val="20"/>
                <w:szCs w:val="20"/>
                <w:lang w:val="en-GB"/>
              </w:rPr>
              <w:t>Student Start-up Loan</w:t>
            </w:r>
          </w:p>
        </w:tc>
        <w:tc>
          <w:tcPr>
            <w:tcW w:w="915" w:type="pct"/>
            <w:tcBorders>
              <w:top w:val="nil"/>
              <w:left w:val="nil"/>
              <w:bottom w:val="single" w:sz="8" w:space="0" w:color="FFFFFF" w:themeColor="background1"/>
              <w:right w:val="nil"/>
            </w:tcBorders>
            <w:shd w:val="clear" w:color="auto" w:fill="EAEAEA"/>
          </w:tcPr>
          <w:p w14:paraId="17A6379C" w14:textId="6089D407" w:rsidR="001404F7" w:rsidRPr="00EA08A6" w:rsidRDefault="00384B66">
            <w:pPr>
              <w:spacing w:before="40" w:after="40"/>
              <w:jc w:val="right"/>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w:t>
            </w:r>
            <w:r w:rsidR="001404F7" w:rsidRPr="00150300">
              <w:rPr>
                <w:rFonts w:eastAsia="Times New Roman" w:cs="Arial"/>
                <w:color w:val="000000" w:themeColor="text1"/>
                <w:spacing w:val="4"/>
                <w:sz w:val="20"/>
                <w:szCs w:val="20"/>
                <w:vertAlign w:val="superscript"/>
                <w:lang w:val="en-GB"/>
              </w:rPr>
              <w:t>b</w:t>
            </w:r>
          </w:p>
        </w:tc>
        <w:tc>
          <w:tcPr>
            <w:tcW w:w="1079" w:type="pct"/>
            <w:tcBorders>
              <w:top w:val="nil"/>
              <w:left w:val="nil"/>
              <w:bottom w:val="single" w:sz="8" w:space="0" w:color="FFFFFF" w:themeColor="background1"/>
              <w:right w:val="nil"/>
            </w:tcBorders>
            <w:shd w:val="clear" w:color="auto" w:fill="EAEAEA"/>
          </w:tcPr>
          <w:p w14:paraId="5EB00BED" w14:textId="75345632" w:rsidR="001404F7" w:rsidRPr="00EA08A6" w:rsidRDefault="00384B66" w:rsidP="001404F7">
            <w:pPr>
              <w:spacing w:before="40" w:after="40"/>
              <w:jc w:val="right"/>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w:t>
            </w:r>
            <w:r w:rsidR="001707B6" w:rsidRPr="00150300">
              <w:rPr>
                <w:rFonts w:eastAsia="Times New Roman" w:cs="Arial"/>
                <w:color w:val="000000" w:themeColor="text1"/>
                <w:spacing w:val="4"/>
                <w:sz w:val="20"/>
                <w:szCs w:val="20"/>
                <w:vertAlign w:val="superscript"/>
                <w:lang w:val="en-GB"/>
              </w:rPr>
              <w:t>b</w:t>
            </w:r>
          </w:p>
        </w:tc>
        <w:tc>
          <w:tcPr>
            <w:tcW w:w="1077" w:type="pct"/>
            <w:tcBorders>
              <w:top w:val="nil"/>
              <w:left w:val="nil"/>
              <w:bottom w:val="single" w:sz="8" w:space="0" w:color="FFFFFF" w:themeColor="background1"/>
              <w:right w:val="nil"/>
            </w:tcBorders>
            <w:shd w:val="clear" w:color="auto" w:fill="EAEAEA"/>
          </w:tcPr>
          <w:p w14:paraId="22C65C0A" w14:textId="77777777" w:rsidR="001404F7" w:rsidRPr="00EA08A6" w:rsidRDefault="001404F7" w:rsidP="001404F7">
            <w:pPr>
              <w:spacing w:before="40" w:after="40"/>
              <w:jc w:val="right"/>
              <w:rPr>
                <w:rFonts w:eastAsia="Times New Roman"/>
                <w:color w:val="000000" w:themeColor="text1"/>
                <w:spacing w:val="4"/>
                <w:sz w:val="20"/>
                <w:szCs w:val="17"/>
                <w:lang w:val="en-GB"/>
              </w:rPr>
            </w:pPr>
            <w:r w:rsidRPr="00EA08A6">
              <w:rPr>
                <w:rFonts w:eastAsia="Times New Roman" w:cs="Arial"/>
                <w:color w:val="000000" w:themeColor="text1"/>
                <w:spacing w:val="4"/>
                <w:sz w:val="20"/>
                <w:szCs w:val="17"/>
                <w:lang w:val="en-GB"/>
              </w:rPr>
              <w:t>$129.43m</w:t>
            </w:r>
          </w:p>
        </w:tc>
      </w:tr>
      <w:tr w:rsidR="001404F7" w:rsidRPr="00EA08A6" w14:paraId="006C19D5" w14:textId="77777777" w:rsidTr="00107B1C">
        <w:trPr>
          <w:gridAfter w:val="1"/>
          <w:cnfStyle w:val="000000100000" w:firstRow="0" w:lastRow="0" w:firstColumn="0" w:lastColumn="0" w:oddVBand="0" w:evenVBand="0" w:oddHBand="1" w:evenHBand="0" w:firstRowFirstColumn="0" w:firstRowLastColumn="0" w:lastRowFirstColumn="0" w:lastRowLastColumn="0"/>
          <w:wAfter w:w="9" w:type="pct"/>
        </w:trPr>
        <w:tc>
          <w:tcPr>
            <w:tcW w:w="1921" w:type="pct"/>
            <w:tcBorders>
              <w:top w:val="single" w:sz="8" w:space="0" w:color="FFFFFF" w:themeColor="background1"/>
              <w:left w:val="nil"/>
              <w:bottom w:val="nil"/>
              <w:right w:val="nil"/>
            </w:tcBorders>
            <w:shd w:val="clear" w:color="auto" w:fill="F8F8F8"/>
          </w:tcPr>
          <w:p w14:paraId="71F3BE9F" w14:textId="77777777" w:rsidR="001404F7" w:rsidRPr="00EA08A6" w:rsidRDefault="001404F7" w:rsidP="001404F7">
            <w:pPr>
              <w:spacing w:before="40" w:after="40"/>
              <w:rPr>
                <w:rFonts w:eastAsia="Times New Roman"/>
                <w:color w:val="000000" w:themeColor="text1"/>
                <w:spacing w:val="4"/>
                <w:sz w:val="20"/>
                <w:szCs w:val="20"/>
                <w:lang w:val="en-GB"/>
              </w:rPr>
            </w:pPr>
            <w:r w:rsidRPr="00EA08A6">
              <w:rPr>
                <w:rFonts w:eastAsia="Times New Roman"/>
                <w:color w:val="000000" w:themeColor="text1"/>
                <w:spacing w:val="4"/>
                <w:sz w:val="20"/>
                <w:szCs w:val="20"/>
                <w:lang w:val="en-GB"/>
              </w:rPr>
              <w:t>Student Start-up Loan—ABSTUDY</w:t>
            </w:r>
          </w:p>
        </w:tc>
        <w:tc>
          <w:tcPr>
            <w:tcW w:w="915" w:type="pct"/>
            <w:tcBorders>
              <w:top w:val="single" w:sz="8" w:space="0" w:color="FFFFFF" w:themeColor="background1"/>
              <w:left w:val="nil"/>
              <w:bottom w:val="nil"/>
              <w:right w:val="nil"/>
            </w:tcBorders>
            <w:shd w:val="clear" w:color="auto" w:fill="F8F8F8"/>
          </w:tcPr>
          <w:p w14:paraId="2EE4C9DB" w14:textId="1E80C184" w:rsidR="001404F7" w:rsidRPr="00EA08A6" w:rsidRDefault="00384B66" w:rsidP="001404F7">
            <w:pPr>
              <w:spacing w:before="40" w:after="40"/>
              <w:jc w:val="right"/>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w:t>
            </w:r>
            <w:r w:rsidR="001707B6" w:rsidRPr="00150300">
              <w:rPr>
                <w:rFonts w:eastAsia="Times New Roman" w:cs="Arial"/>
                <w:color w:val="000000" w:themeColor="text1"/>
                <w:spacing w:val="4"/>
                <w:sz w:val="20"/>
                <w:szCs w:val="20"/>
                <w:vertAlign w:val="superscript"/>
                <w:lang w:val="en-GB"/>
              </w:rPr>
              <w:t>b</w:t>
            </w:r>
          </w:p>
        </w:tc>
        <w:tc>
          <w:tcPr>
            <w:tcW w:w="1079" w:type="pct"/>
            <w:tcBorders>
              <w:top w:val="single" w:sz="8" w:space="0" w:color="FFFFFF" w:themeColor="background1"/>
              <w:left w:val="nil"/>
              <w:bottom w:val="nil"/>
              <w:right w:val="nil"/>
            </w:tcBorders>
            <w:shd w:val="clear" w:color="auto" w:fill="F8F8F8"/>
          </w:tcPr>
          <w:p w14:paraId="1A20A636" w14:textId="37CC0BB1" w:rsidR="001404F7" w:rsidRPr="00EA08A6" w:rsidRDefault="00384B66" w:rsidP="001404F7">
            <w:pPr>
              <w:spacing w:before="40" w:after="40"/>
              <w:jc w:val="right"/>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w:t>
            </w:r>
            <w:r w:rsidR="001707B6" w:rsidRPr="00150300">
              <w:rPr>
                <w:rFonts w:eastAsia="Times New Roman" w:cs="Arial"/>
                <w:color w:val="000000" w:themeColor="text1"/>
                <w:spacing w:val="4"/>
                <w:sz w:val="20"/>
                <w:szCs w:val="20"/>
                <w:vertAlign w:val="superscript"/>
                <w:lang w:val="en-GB"/>
              </w:rPr>
              <w:t>b</w:t>
            </w:r>
          </w:p>
        </w:tc>
        <w:tc>
          <w:tcPr>
            <w:tcW w:w="1077" w:type="pct"/>
            <w:tcBorders>
              <w:top w:val="single" w:sz="8" w:space="0" w:color="FFFFFF" w:themeColor="background1"/>
              <w:left w:val="nil"/>
              <w:bottom w:val="nil"/>
              <w:right w:val="nil"/>
            </w:tcBorders>
            <w:shd w:val="clear" w:color="auto" w:fill="F8F8F8"/>
          </w:tcPr>
          <w:p w14:paraId="71951C50" w14:textId="77777777" w:rsidR="001404F7" w:rsidRPr="00EA08A6" w:rsidRDefault="001404F7" w:rsidP="001404F7">
            <w:pPr>
              <w:spacing w:before="40" w:after="40"/>
              <w:jc w:val="right"/>
              <w:rPr>
                <w:rFonts w:eastAsia="Times New Roman"/>
                <w:color w:val="000000" w:themeColor="text1"/>
                <w:spacing w:val="4"/>
                <w:sz w:val="20"/>
                <w:szCs w:val="17"/>
                <w:lang w:val="en-GB"/>
              </w:rPr>
            </w:pPr>
            <w:r w:rsidRPr="00EA08A6">
              <w:rPr>
                <w:rFonts w:eastAsia="Times New Roman"/>
                <w:color w:val="000000" w:themeColor="text1"/>
                <w:spacing w:val="4"/>
                <w:sz w:val="20"/>
                <w:szCs w:val="17"/>
                <w:lang w:val="en-GB"/>
              </w:rPr>
              <w:t>$2.46m</w:t>
            </w:r>
          </w:p>
        </w:tc>
      </w:tr>
    </w:tbl>
    <w:p w14:paraId="4E27C217" w14:textId="541907A3" w:rsidR="001404F7" w:rsidRPr="003A047F" w:rsidRDefault="001404F7" w:rsidP="00874971">
      <w:pPr>
        <w:spacing w:before="160" w:after="60" w:line="240" w:lineRule="auto"/>
        <w:ind w:left="284" w:hanging="284"/>
        <w:contextualSpacing/>
        <w:rPr>
          <w:rFonts w:cs="Arial"/>
          <w:sz w:val="16"/>
          <w:szCs w:val="16"/>
        </w:rPr>
      </w:pPr>
      <w:r w:rsidRPr="003A047F">
        <w:rPr>
          <w:rFonts w:cs="Arial"/>
          <w:sz w:val="16"/>
          <w:szCs w:val="16"/>
        </w:rPr>
        <w:t>a</w:t>
      </w:r>
      <w:r w:rsidRPr="003A047F">
        <w:rPr>
          <w:rFonts w:cs="Arial"/>
          <w:sz w:val="16"/>
          <w:szCs w:val="16"/>
        </w:rPr>
        <w:tab/>
      </w:r>
      <w:proofErr w:type="spellStart"/>
      <w:r w:rsidRPr="002D1F6C">
        <w:rPr>
          <w:rFonts w:cs="Arial"/>
          <w:sz w:val="16"/>
          <w:szCs w:val="16"/>
        </w:rPr>
        <w:t>JobSeeker</w:t>
      </w:r>
      <w:proofErr w:type="spellEnd"/>
      <w:r w:rsidRPr="002D1F6C">
        <w:rPr>
          <w:rFonts w:cs="Arial"/>
          <w:sz w:val="16"/>
          <w:szCs w:val="16"/>
        </w:rPr>
        <w:t xml:space="preserve"> Payment replaced </w:t>
      </w:r>
      <w:proofErr w:type="spellStart"/>
      <w:r w:rsidRPr="002D1F6C">
        <w:rPr>
          <w:rFonts w:cs="Arial"/>
          <w:sz w:val="16"/>
          <w:szCs w:val="16"/>
        </w:rPr>
        <w:t>Newstart</w:t>
      </w:r>
      <w:proofErr w:type="spellEnd"/>
      <w:r w:rsidRPr="002D1F6C">
        <w:rPr>
          <w:rFonts w:cs="Arial"/>
          <w:sz w:val="16"/>
          <w:szCs w:val="16"/>
        </w:rPr>
        <w:t xml:space="preserve"> Allowance as the main working age payment on 20 March 2020</w:t>
      </w:r>
      <w:r w:rsidR="001707B6">
        <w:rPr>
          <w:rFonts w:cs="Arial"/>
          <w:sz w:val="16"/>
          <w:szCs w:val="16"/>
        </w:rPr>
        <w:t>.</w:t>
      </w:r>
    </w:p>
    <w:p w14:paraId="664DD1A8" w14:textId="66948620" w:rsidR="001404F7" w:rsidRDefault="001404F7" w:rsidP="00874971">
      <w:pPr>
        <w:spacing w:before="160" w:after="60" w:line="240" w:lineRule="auto"/>
        <w:ind w:left="284" w:hanging="284"/>
        <w:contextualSpacing/>
        <w:rPr>
          <w:rFonts w:cs="Arial"/>
          <w:sz w:val="16"/>
          <w:szCs w:val="16"/>
        </w:rPr>
      </w:pPr>
      <w:r w:rsidRPr="003A047F">
        <w:rPr>
          <w:rFonts w:cs="Arial"/>
          <w:sz w:val="16"/>
          <w:szCs w:val="16"/>
        </w:rPr>
        <w:t>b</w:t>
      </w:r>
      <w:r w:rsidRPr="003A047F">
        <w:rPr>
          <w:rFonts w:cs="Arial"/>
          <w:sz w:val="16"/>
          <w:szCs w:val="16"/>
        </w:rPr>
        <w:tab/>
        <w:t>Nil expenses for 2019-20 and 2018–19 due to the implementation of AASB9—Financial Instruments</w:t>
      </w:r>
      <w:r w:rsidR="001707B6">
        <w:rPr>
          <w:rFonts w:cs="Arial"/>
          <w:sz w:val="16"/>
          <w:szCs w:val="16"/>
        </w:rPr>
        <w:t>.</w:t>
      </w:r>
    </w:p>
    <w:p w14:paraId="28F005EE" w14:textId="77777777" w:rsidR="001404F7" w:rsidRPr="00240EE2" w:rsidRDefault="001404F7" w:rsidP="001404F7">
      <w:pPr>
        <w:rPr>
          <w:rFonts w:cs="Arial"/>
          <w:sz w:val="20"/>
          <w:szCs w:val="20"/>
        </w:rPr>
      </w:pPr>
    </w:p>
    <w:p w14:paraId="0484C777" w14:textId="77777777" w:rsidR="00C54AF9" w:rsidRDefault="00C54AF9" w:rsidP="0029429F">
      <w:pPr>
        <w:spacing w:before="200"/>
        <w:outlineLvl w:val="4"/>
        <w:rPr>
          <w:rFonts w:eastAsia="Times New Roman" w:cstheme="majorBidi"/>
          <w:bCs/>
          <w:sz w:val="28"/>
          <w:lang w:eastAsia="en-AU"/>
        </w:rPr>
        <w:sectPr w:rsidR="00C54AF9" w:rsidSect="00585891">
          <w:footnotePr>
            <w:numRestart w:val="eachPage"/>
          </w:footnotePr>
          <w:pgSz w:w="11906" w:h="16838"/>
          <w:pgMar w:top="1440" w:right="1440" w:bottom="1440" w:left="1440" w:header="709" w:footer="709" w:gutter="0"/>
          <w:cols w:space="708"/>
          <w:docGrid w:linePitch="360"/>
        </w:sectPr>
      </w:pPr>
      <w:bookmarkStart w:id="5" w:name="_Ref490207523"/>
    </w:p>
    <w:p w14:paraId="6B9D9DE1" w14:textId="4E328E2A" w:rsidR="0029429F" w:rsidRPr="00771C23" w:rsidRDefault="0029429F" w:rsidP="0029429F">
      <w:pPr>
        <w:spacing w:before="200"/>
        <w:outlineLvl w:val="4"/>
        <w:rPr>
          <w:rFonts w:eastAsia="Times New Roman" w:cstheme="majorBidi"/>
          <w:bCs/>
          <w:sz w:val="28"/>
          <w:lang w:eastAsia="en-AU"/>
        </w:rPr>
      </w:pPr>
      <w:r w:rsidRPr="00771C23">
        <w:rPr>
          <w:rFonts w:eastAsia="Times New Roman" w:cstheme="majorBidi"/>
          <w:bCs/>
          <w:sz w:val="28"/>
          <w:lang w:eastAsia="en-AU"/>
        </w:rPr>
        <w:lastRenderedPageBreak/>
        <w:t>Chapter 2.2</w:t>
      </w:r>
      <w:bookmarkEnd w:id="5"/>
    </w:p>
    <w:p w14:paraId="18BEA61E" w14:textId="77777777" w:rsidR="0029429F" w:rsidRPr="00771C23" w:rsidRDefault="0029429F" w:rsidP="0029429F">
      <w:pPr>
        <w:spacing w:after="0" w:line="280" w:lineRule="atLeast"/>
        <w:outlineLvl w:val="1"/>
        <w:rPr>
          <w:rFonts w:ascii="Georgia" w:eastAsiaTheme="majorEastAsia" w:hAnsi="Georgia" w:cstheme="majorBidi"/>
          <w:bCs/>
          <w:color w:val="005A70"/>
          <w:sz w:val="52"/>
          <w:szCs w:val="26"/>
        </w:rPr>
      </w:pPr>
      <w:r w:rsidRPr="00771C23">
        <w:rPr>
          <w:rFonts w:ascii="Georgia" w:eastAsiaTheme="majorEastAsia" w:hAnsi="Georgia" w:cstheme="majorBidi"/>
          <w:bCs/>
          <w:color w:val="005A70"/>
          <w:sz w:val="52"/>
          <w:szCs w:val="26"/>
        </w:rPr>
        <w:t>Purpose 2 — Families and Communities</w:t>
      </w:r>
    </w:p>
    <w:p w14:paraId="64F79D98" w14:textId="77777777" w:rsidR="0029429F" w:rsidRPr="00771C23" w:rsidRDefault="0029429F" w:rsidP="0029429F">
      <w:pPr>
        <w:rPr>
          <w:sz w:val="20"/>
          <w:szCs w:val="20"/>
        </w:rPr>
      </w:pPr>
      <w:r w:rsidRPr="00771C23">
        <w:rPr>
          <w:sz w:val="20"/>
          <w:szCs w:val="20"/>
        </w:rPr>
        <w:t>Contribute to stronger and more resilient individuals, families and communities by providing targeted services and initiatives.</w:t>
      </w:r>
    </w:p>
    <w:p w14:paraId="0A65C21D" w14:textId="77777777" w:rsidR="0029429F" w:rsidRPr="00054A67" w:rsidRDefault="0029429F" w:rsidP="0029429F">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t>Summary and analysis of Outcome 2 performance</w:t>
      </w:r>
    </w:p>
    <w:p w14:paraId="7CD4899B" w14:textId="77777777" w:rsidR="0029429F" w:rsidRPr="00771C23" w:rsidRDefault="0029429F" w:rsidP="0029429F">
      <w:pPr>
        <w:rPr>
          <w:sz w:val="20"/>
          <w:szCs w:val="20"/>
        </w:rPr>
      </w:pPr>
      <w:r w:rsidRPr="00771C23">
        <w:rPr>
          <w:sz w:val="20"/>
          <w:szCs w:val="20"/>
        </w:rPr>
        <w:t>We operate in an environment in which the strength of families and communities is influenced by a complex array of circumstances, social norms and people’s personal aspirations and motivations. Parenting, relationship</w:t>
      </w:r>
      <w:r>
        <w:rPr>
          <w:sz w:val="20"/>
          <w:szCs w:val="20"/>
        </w:rPr>
        <w:t>,</w:t>
      </w:r>
      <w:r w:rsidRPr="00771C23">
        <w:rPr>
          <w:sz w:val="20"/>
          <w:szCs w:val="20"/>
        </w:rPr>
        <w:t xml:space="preserve"> and financial management skills also contribute to positive outcomes for families and children.</w:t>
      </w:r>
    </w:p>
    <w:p w14:paraId="00AFEC8F" w14:textId="77777777" w:rsidR="0029429F" w:rsidRPr="00771C23" w:rsidRDefault="0029429F" w:rsidP="0029429F">
      <w:pPr>
        <w:rPr>
          <w:sz w:val="20"/>
          <w:szCs w:val="20"/>
        </w:rPr>
      </w:pPr>
      <w:r w:rsidRPr="00771C23">
        <w:rPr>
          <w:sz w:val="20"/>
          <w:szCs w:val="20"/>
        </w:rPr>
        <w:t>Our performance contributes to positive outcomes alongside the significant effort made by state jurisdictions, local communities, other government agencies, and families.</w:t>
      </w:r>
    </w:p>
    <w:p w14:paraId="7812D721" w14:textId="77777777" w:rsidR="0029429F" w:rsidRPr="00771C23" w:rsidRDefault="0029429F" w:rsidP="0029429F">
      <w:pPr>
        <w:rPr>
          <w:sz w:val="20"/>
          <w:szCs w:val="20"/>
        </w:rPr>
      </w:pPr>
      <w:r w:rsidRPr="00771C23">
        <w:rPr>
          <w:sz w:val="20"/>
          <w:szCs w:val="20"/>
        </w:rPr>
        <w:t>We support families and children to improve their lifetime wellbeing by responding to specific needs and encouraging independence and participation in the community. We provide assistance through numerous programs of grants, procurements</w:t>
      </w:r>
      <w:r>
        <w:rPr>
          <w:sz w:val="20"/>
          <w:szCs w:val="20"/>
        </w:rPr>
        <w:t>,</w:t>
      </w:r>
      <w:r w:rsidRPr="00771C23">
        <w:rPr>
          <w:sz w:val="20"/>
          <w:szCs w:val="20"/>
        </w:rPr>
        <w:t xml:space="preserve"> and subsidies. We support new parents through Paid Parental Leave arrangements. Through this assistance, we help individuals and families, and strengthen community capacity to provide support and meet local needs. </w:t>
      </w:r>
    </w:p>
    <w:p w14:paraId="05D3FB23" w14:textId="77777777" w:rsidR="0029429F" w:rsidRPr="00771C23" w:rsidRDefault="0029429F" w:rsidP="0029429F">
      <w:pPr>
        <w:rPr>
          <w:sz w:val="20"/>
          <w:szCs w:val="20"/>
        </w:rPr>
      </w:pPr>
      <w:r w:rsidRPr="00771C23">
        <w:rPr>
          <w:sz w:val="20"/>
          <w:szCs w:val="20"/>
        </w:rPr>
        <w:t>We work across the Australian and state and territory governments to foster inclusive social behaviours that strengthen social cohesion, such as mutual respect, trust and belonging. We support the development of strong and resilient families and community harmony by providing support and early intervention to people at risk of a range of social harms including domestic and family violence, child abuse and neglect, sexual assault against women and children, racism</w:t>
      </w:r>
      <w:r>
        <w:rPr>
          <w:sz w:val="20"/>
          <w:szCs w:val="20"/>
        </w:rPr>
        <w:t xml:space="preserve">, </w:t>
      </w:r>
      <w:r w:rsidRPr="00771C23">
        <w:rPr>
          <w:sz w:val="20"/>
          <w:szCs w:val="20"/>
        </w:rPr>
        <w:t>and discrimination. We also work with state and territory governments to reduce the harm from online gambling through a National Consumer Protection Framework for Online Wagering. We support those affected by institutional child sexual abuse to access redress through the National Redress Scheme.</w:t>
      </w:r>
    </w:p>
    <w:p w14:paraId="30562D2E" w14:textId="77777777" w:rsidR="0029429F" w:rsidRPr="00771C23" w:rsidRDefault="0029429F" w:rsidP="0029429F">
      <w:pPr>
        <w:rPr>
          <w:sz w:val="20"/>
          <w:szCs w:val="20"/>
        </w:rPr>
      </w:pPr>
      <w:r w:rsidRPr="00771C23">
        <w:rPr>
          <w:sz w:val="20"/>
          <w:szCs w:val="20"/>
        </w:rPr>
        <w:t>We work in partnership with the community sector to support individuals and families to navigate financial crises and build financial wellbeing</w:t>
      </w:r>
      <w:r>
        <w:rPr>
          <w:sz w:val="20"/>
          <w:szCs w:val="20"/>
        </w:rPr>
        <w:t>,</w:t>
      </w:r>
      <w:r w:rsidRPr="00771C23">
        <w:rPr>
          <w:sz w:val="20"/>
          <w:szCs w:val="20"/>
        </w:rPr>
        <w:t xml:space="preserve"> capability and resilience. This includes </w:t>
      </w:r>
      <w:r>
        <w:rPr>
          <w:sz w:val="20"/>
          <w:szCs w:val="20"/>
        </w:rPr>
        <w:t>p</w:t>
      </w:r>
      <w:r w:rsidRPr="00771C23">
        <w:rPr>
          <w:sz w:val="20"/>
          <w:szCs w:val="20"/>
        </w:rPr>
        <w:t xml:space="preserve">rograms such as Emergency Relief, which provides immediate financial or material aid, such as food, clothing, vouchers or help to pay bills. A sector led National Coordination Group has been established to provide advice on the delivery of Emergency Relief and Food Relief nationally in response to the unprecedented challenges and demands presented by the </w:t>
      </w:r>
      <w:r>
        <w:rPr>
          <w:sz w:val="20"/>
          <w:szCs w:val="20"/>
        </w:rPr>
        <w:t>COVID-19</w:t>
      </w:r>
      <w:r w:rsidRPr="00771C23">
        <w:rPr>
          <w:sz w:val="20"/>
          <w:szCs w:val="20"/>
        </w:rPr>
        <w:t xml:space="preserve"> pandemic.</w:t>
      </w:r>
    </w:p>
    <w:p w14:paraId="751011C7" w14:textId="77777777" w:rsidR="0029429F" w:rsidRPr="00771C23" w:rsidRDefault="0029429F" w:rsidP="0029429F">
      <w:pPr>
        <w:rPr>
          <w:sz w:val="20"/>
          <w:szCs w:val="20"/>
        </w:rPr>
      </w:pPr>
    </w:p>
    <w:tbl>
      <w:tblPr>
        <w:tblStyle w:val="HHorizontaltable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6"/>
        <w:tblCellMar>
          <w:top w:w="227" w:type="dxa"/>
          <w:left w:w="340" w:type="dxa"/>
          <w:bottom w:w="227" w:type="dxa"/>
          <w:right w:w="340" w:type="dxa"/>
        </w:tblCellMar>
        <w:tblLook w:val="04A0" w:firstRow="1" w:lastRow="0" w:firstColumn="1" w:lastColumn="0" w:noHBand="0" w:noVBand="1"/>
        <w:tblCaption w:val="Purpose 2 - Families and Communities Key Results"/>
        <w:tblDescription w:val="Purpose 2 - Families and Communities Key Results"/>
      </w:tblPr>
      <w:tblGrid>
        <w:gridCol w:w="9026"/>
      </w:tblGrid>
      <w:tr w:rsidR="0029429F" w:rsidRPr="00771C23" w14:paraId="78B7B8E9" w14:textId="77777777" w:rsidTr="00E117FD">
        <w:trPr>
          <w:trHeight w:val="6374"/>
          <w:tblHeader/>
        </w:trPr>
        <w:tc>
          <w:tcPr>
            <w:tcW w:w="5000" w:type="pct"/>
            <w:shd w:val="clear" w:color="auto" w:fill="D9D9D6"/>
            <w:hideMark/>
          </w:tcPr>
          <w:p w14:paraId="0486F7DB" w14:textId="77777777" w:rsidR="0029429F" w:rsidRPr="00D13460" w:rsidRDefault="0029429F" w:rsidP="00D13460">
            <w:pPr>
              <w:shd w:val="clear" w:color="auto" w:fill="00B0B9"/>
              <w:spacing w:before="120" w:after="120"/>
              <w:ind w:right="-576"/>
              <w:outlineLvl w:val="6"/>
              <w:rPr>
                <w:spacing w:val="4"/>
                <w:sz w:val="20"/>
                <w:szCs w:val="20"/>
              </w:rPr>
            </w:pPr>
            <w:r w:rsidRPr="00D13460">
              <w:rPr>
                <w:rFonts w:eastAsiaTheme="majorEastAsia" w:cstheme="majorBidi"/>
                <w:b/>
                <w:iCs/>
                <w:sz w:val="24"/>
              </w:rPr>
              <w:lastRenderedPageBreak/>
              <w:t>Key</w:t>
            </w:r>
            <w:r w:rsidRPr="00D13460">
              <w:rPr>
                <w:spacing w:val="4"/>
                <w:sz w:val="20"/>
                <w:szCs w:val="20"/>
              </w:rPr>
              <w:t xml:space="preserve"> </w:t>
            </w:r>
            <w:r w:rsidRPr="00D13460">
              <w:rPr>
                <w:rFonts w:eastAsiaTheme="majorEastAsia" w:cstheme="majorBidi"/>
                <w:b/>
                <w:iCs/>
                <w:sz w:val="24"/>
              </w:rPr>
              <w:t>results</w:t>
            </w:r>
          </w:p>
          <w:p w14:paraId="48DF4A13" w14:textId="77777777" w:rsidR="0029429F" w:rsidRPr="00771C23" w:rsidRDefault="0029429F" w:rsidP="00E117FD">
            <w:pPr>
              <w:spacing w:after="120"/>
              <w:rPr>
                <w:rFonts w:cs="Arial"/>
                <w:sz w:val="20"/>
                <w:szCs w:val="20"/>
              </w:rPr>
            </w:pPr>
            <w:r w:rsidRPr="00771C23">
              <w:rPr>
                <w:rFonts w:cs="Arial"/>
                <w:sz w:val="20"/>
                <w:szCs w:val="20"/>
              </w:rPr>
              <w:t>In the past year, our contributions to improving the outcomes for families and communities include:</w:t>
            </w:r>
          </w:p>
          <w:p w14:paraId="3929999D" w14:textId="77F71306" w:rsidR="0029429F" w:rsidRPr="00771C23" w:rsidRDefault="0029429F" w:rsidP="003A047F">
            <w:pPr>
              <w:numPr>
                <w:ilvl w:val="0"/>
                <w:numId w:val="105"/>
              </w:numPr>
              <w:spacing w:before="60" w:after="120" w:line="260" w:lineRule="atLeast"/>
              <w:rPr>
                <w:rFonts w:cs="Times New Roman"/>
                <w:spacing w:val="4"/>
                <w:sz w:val="20"/>
                <w:szCs w:val="20"/>
              </w:rPr>
            </w:pPr>
            <w:r w:rsidRPr="00771C23">
              <w:rPr>
                <w:rFonts w:cs="Times New Roman"/>
                <w:spacing w:val="4"/>
                <w:sz w:val="20"/>
                <w:szCs w:val="20"/>
              </w:rPr>
              <w:t>delivered strong results for the Cashless Debit Card in current sites and made program improvements such as the payment of interest for Cashless Debit Card participants</w:t>
            </w:r>
          </w:p>
          <w:p w14:paraId="0BF6E64B" w14:textId="455CA56A" w:rsidR="0029429F" w:rsidRPr="00771C23" w:rsidRDefault="0029429F" w:rsidP="003A047F">
            <w:pPr>
              <w:numPr>
                <w:ilvl w:val="0"/>
                <w:numId w:val="105"/>
              </w:numPr>
              <w:spacing w:before="60" w:after="120" w:line="260" w:lineRule="atLeast"/>
              <w:rPr>
                <w:rFonts w:cs="Times New Roman"/>
                <w:spacing w:val="4"/>
                <w:sz w:val="20"/>
                <w:szCs w:val="20"/>
              </w:rPr>
            </w:pPr>
            <w:r w:rsidRPr="00771C23">
              <w:rPr>
                <w:rFonts w:cs="Times New Roman"/>
                <w:spacing w:val="4"/>
                <w:sz w:val="20"/>
                <w:szCs w:val="20"/>
              </w:rPr>
              <w:t xml:space="preserve">delivered key activities under the </w:t>
            </w:r>
            <w:r w:rsidRPr="00771C23">
              <w:rPr>
                <w:rFonts w:cs="Times New Roman"/>
                <w:i/>
                <w:iCs/>
                <w:spacing w:val="4"/>
                <w:sz w:val="20"/>
                <w:szCs w:val="20"/>
              </w:rPr>
              <w:t>National Plan to Reduce Violence against Women and their Children</w:t>
            </w:r>
            <w:r w:rsidRPr="00771C23">
              <w:rPr>
                <w:rFonts w:cs="Times New Roman"/>
                <w:spacing w:val="4"/>
                <w:sz w:val="20"/>
                <w:szCs w:val="20"/>
              </w:rPr>
              <w:t xml:space="preserve"> </w:t>
            </w:r>
            <w:r w:rsidRPr="00771C23">
              <w:rPr>
                <w:rFonts w:cs="Times New Roman"/>
                <w:i/>
                <w:iCs/>
                <w:spacing w:val="4"/>
                <w:sz w:val="20"/>
                <w:szCs w:val="20"/>
              </w:rPr>
              <w:t>2010–2022</w:t>
            </w:r>
            <w:r w:rsidRPr="00B805F8">
              <w:rPr>
                <w:spacing w:val="4"/>
                <w:sz w:val="20"/>
              </w:rPr>
              <w:t xml:space="preserve"> </w:t>
            </w:r>
            <w:r>
              <w:rPr>
                <w:rFonts w:cs="Times New Roman"/>
                <w:spacing w:val="4"/>
                <w:sz w:val="20"/>
                <w:szCs w:val="20"/>
              </w:rPr>
              <w:t>(National Plan)</w:t>
            </w:r>
            <w:r w:rsidR="0035029D">
              <w:rPr>
                <w:rFonts w:cs="Times New Roman"/>
                <w:spacing w:val="4"/>
                <w:sz w:val="20"/>
                <w:szCs w:val="20"/>
              </w:rPr>
              <w:t xml:space="preserve"> </w:t>
            </w:r>
            <w:r w:rsidRPr="00771C23">
              <w:rPr>
                <w:rFonts w:cs="Times New Roman"/>
                <w:spacing w:val="4"/>
                <w:sz w:val="20"/>
                <w:szCs w:val="20"/>
              </w:rPr>
              <w:t xml:space="preserve">and worked with states and territories to </w:t>
            </w:r>
            <w:r w:rsidR="0035029D">
              <w:rPr>
                <w:rFonts w:cs="Times New Roman"/>
                <w:spacing w:val="4"/>
                <w:sz w:val="20"/>
                <w:szCs w:val="20"/>
              </w:rPr>
              <w:t>boost frontline services during the COVID-19 pandemic</w:t>
            </w:r>
          </w:p>
          <w:p w14:paraId="19ED7EF3" w14:textId="0E42BFDC" w:rsidR="0029429F" w:rsidRPr="00935E80" w:rsidRDefault="0029429F" w:rsidP="003A047F">
            <w:pPr>
              <w:numPr>
                <w:ilvl w:val="0"/>
                <w:numId w:val="105"/>
              </w:numPr>
              <w:spacing w:before="60" w:after="120" w:line="260" w:lineRule="atLeast"/>
              <w:rPr>
                <w:rFonts w:cs="Times New Roman"/>
                <w:spacing w:val="4"/>
                <w:sz w:val="20"/>
                <w:szCs w:val="20"/>
              </w:rPr>
            </w:pPr>
            <w:r w:rsidRPr="00771C23">
              <w:rPr>
                <w:rFonts w:cs="Times New Roman"/>
                <w:spacing w:val="4"/>
                <w:sz w:val="20"/>
                <w:szCs w:val="20"/>
              </w:rPr>
              <w:t xml:space="preserve">delivered key activities under the Third (2015–2018) and Fourth (2018–2020) Action Plans of the </w:t>
            </w:r>
            <w:r w:rsidRPr="00771C23">
              <w:rPr>
                <w:rFonts w:cs="Times New Roman"/>
                <w:i/>
                <w:spacing w:val="4"/>
                <w:sz w:val="20"/>
                <w:szCs w:val="20"/>
              </w:rPr>
              <w:t xml:space="preserve">National Framework for Protecting Australia’s Children 2009–2020 </w:t>
            </w:r>
            <w:r w:rsidRPr="003A047F">
              <w:rPr>
                <w:spacing w:val="4"/>
                <w:sz w:val="20"/>
              </w:rPr>
              <w:t>(National Framework)</w:t>
            </w:r>
          </w:p>
          <w:p w14:paraId="472BF07E" w14:textId="31C70110" w:rsidR="0029429F" w:rsidRPr="00771C23" w:rsidRDefault="0029429F" w:rsidP="003A047F">
            <w:pPr>
              <w:numPr>
                <w:ilvl w:val="0"/>
                <w:numId w:val="105"/>
              </w:numPr>
              <w:spacing w:before="60" w:after="120" w:line="260" w:lineRule="atLeast"/>
              <w:rPr>
                <w:rFonts w:cs="Times New Roman"/>
                <w:i/>
                <w:spacing w:val="4"/>
                <w:sz w:val="20"/>
                <w:szCs w:val="20"/>
              </w:rPr>
            </w:pPr>
            <w:r w:rsidRPr="00771C23">
              <w:rPr>
                <w:rFonts w:cs="Times New Roman"/>
                <w:spacing w:val="4"/>
                <w:sz w:val="20"/>
                <w:szCs w:val="20"/>
              </w:rPr>
              <w:t xml:space="preserve">commenced the development of the national successor plan to follow the current National Framework, as recommended by the </w:t>
            </w:r>
            <w:r w:rsidRPr="00771C23">
              <w:rPr>
                <w:rFonts w:cs="Times New Roman"/>
                <w:i/>
                <w:spacing w:val="4"/>
                <w:sz w:val="20"/>
                <w:szCs w:val="20"/>
              </w:rPr>
              <w:t>Royal Commission into Institutional Responses to Child Sexual Abuse</w:t>
            </w:r>
            <w:r w:rsidRPr="00771C23">
              <w:rPr>
                <w:rFonts w:cs="Times New Roman"/>
                <w:spacing w:val="4"/>
                <w:sz w:val="20"/>
                <w:szCs w:val="20"/>
              </w:rPr>
              <w:t xml:space="preserve"> (recommendation 6.15)</w:t>
            </w:r>
          </w:p>
          <w:p w14:paraId="7BB5DECC" w14:textId="3A8087BF" w:rsidR="0029429F" w:rsidRPr="00771C23" w:rsidRDefault="0029429F" w:rsidP="003A047F">
            <w:pPr>
              <w:numPr>
                <w:ilvl w:val="0"/>
                <w:numId w:val="105"/>
              </w:numPr>
              <w:spacing w:before="60" w:after="120" w:line="260" w:lineRule="atLeast"/>
              <w:rPr>
                <w:rFonts w:cs="Times New Roman"/>
                <w:spacing w:val="4"/>
                <w:sz w:val="20"/>
                <w:szCs w:val="20"/>
              </w:rPr>
            </w:pPr>
            <w:r w:rsidRPr="00771C23">
              <w:rPr>
                <w:rFonts w:cs="Times New Roman"/>
                <w:spacing w:val="4"/>
                <w:sz w:val="20"/>
                <w:szCs w:val="20"/>
              </w:rPr>
              <w:t>supported the community sector in a collaborative, timely</w:t>
            </w:r>
            <w:r>
              <w:rPr>
                <w:rFonts w:cs="Times New Roman"/>
                <w:spacing w:val="4"/>
                <w:sz w:val="20"/>
                <w:szCs w:val="20"/>
              </w:rPr>
              <w:t>,</w:t>
            </w:r>
            <w:r w:rsidRPr="00771C23">
              <w:rPr>
                <w:rFonts w:cs="Times New Roman"/>
                <w:spacing w:val="4"/>
                <w:sz w:val="20"/>
                <w:szCs w:val="20"/>
              </w:rPr>
              <w:t xml:space="preserve"> and coordinated manner to provide front-line assistance to vulnerable people in response to the </w:t>
            </w:r>
            <w:r>
              <w:rPr>
                <w:sz w:val="20"/>
                <w:szCs w:val="20"/>
              </w:rPr>
              <w:t>COVID-19</w:t>
            </w:r>
            <w:r w:rsidRPr="00771C23">
              <w:rPr>
                <w:sz w:val="20"/>
                <w:szCs w:val="20"/>
              </w:rPr>
              <w:t xml:space="preserve"> </w:t>
            </w:r>
            <w:r w:rsidRPr="00771C23">
              <w:rPr>
                <w:rFonts w:cs="Times New Roman"/>
                <w:spacing w:val="4"/>
                <w:sz w:val="20"/>
                <w:szCs w:val="20"/>
              </w:rPr>
              <w:t>pandemic and the 2019–20 bushfires</w:t>
            </w:r>
          </w:p>
          <w:p w14:paraId="0B312DD3" w14:textId="77777777" w:rsidR="0029429F" w:rsidRPr="00771C23" w:rsidRDefault="0029429F" w:rsidP="003A047F">
            <w:pPr>
              <w:numPr>
                <w:ilvl w:val="0"/>
                <w:numId w:val="105"/>
              </w:numPr>
              <w:spacing w:before="60" w:after="120" w:line="260" w:lineRule="atLeast"/>
              <w:rPr>
                <w:rFonts w:ascii="Calibri" w:hAnsi="Calibri" w:cs="Times New Roman"/>
                <w:spacing w:val="4"/>
                <w:sz w:val="20"/>
                <w:szCs w:val="20"/>
              </w:rPr>
            </w:pPr>
            <w:r w:rsidRPr="00771C23">
              <w:rPr>
                <w:rFonts w:cs="Times New Roman"/>
                <w:spacing w:val="4"/>
                <w:sz w:val="20"/>
                <w:szCs w:val="20"/>
              </w:rPr>
              <w:t xml:space="preserve">delivered changes to the Paid Parental Leave Scheme to support working parents impacted by </w:t>
            </w:r>
            <w:r>
              <w:rPr>
                <w:sz w:val="20"/>
                <w:szCs w:val="20"/>
              </w:rPr>
              <w:t>COVID-19</w:t>
            </w:r>
            <w:r w:rsidRPr="00771C23">
              <w:rPr>
                <w:sz w:val="20"/>
                <w:szCs w:val="20"/>
              </w:rPr>
              <w:t xml:space="preserve"> </w:t>
            </w:r>
            <w:r w:rsidRPr="00771C23">
              <w:rPr>
                <w:rFonts w:cs="Arial"/>
                <w:spacing w:val="4"/>
                <w:sz w:val="20"/>
                <w:szCs w:val="20"/>
              </w:rPr>
              <w:t>pandemic</w:t>
            </w:r>
            <w:r w:rsidRPr="00771C23">
              <w:rPr>
                <w:rFonts w:cs="Times New Roman"/>
                <w:spacing w:val="4"/>
                <w:sz w:val="20"/>
                <w:szCs w:val="20"/>
              </w:rPr>
              <w:t xml:space="preserve">, by allowing time spent on the </w:t>
            </w:r>
            <w:proofErr w:type="spellStart"/>
            <w:r w:rsidRPr="00771C23">
              <w:rPr>
                <w:rFonts w:cs="Times New Roman"/>
                <w:spacing w:val="4"/>
                <w:sz w:val="20"/>
                <w:szCs w:val="20"/>
              </w:rPr>
              <w:t>JobKeeper</w:t>
            </w:r>
            <w:proofErr w:type="spellEnd"/>
            <w:r w:rsidRPr="00771C23">
              <w:rPr>
                <w:rFonts w:cs="Times New Roman"/>
                <w:spacing w:val="4"/>
                <w:sz w:val="20"/>
                <w:szCs w:val="20"/>
              </w:rPr>
              <w:t xml:space="preserve"> </w:t>
            </w:r>
            <w:r>
              <w:rPr>
                <w:rFonts w:cs="Times New Roman"/>
                <w:spacing w:val="4"/>
                <w:sz w:val="20"/>
                <w:szCs w:val="20"/>
              </w:rPr>
              <w:t>P</w:t>
            </w:r>
            <w:r w:rsidRPr="00771C23">
              <w:rPr>
                <w:rFonts w:cs="Times New Roman"/>
                <w:spacing w:val="4"/>
                <w:sz w:val="20"/>
                <w:szCs w:val="20"/>
              </w:rPr>
              <w:t>ayment to count towards the Paid Parental Leave work test.</w:t>
            </w:r>
          </w:p>
        </w:tc>
      </w:tr>
    </w:tbl>
    <w:p w14:paraId="3B3DCADD" w14:textId="77777777" w:rsidR="0029429F" w:rsidRPr="00A20685" w:rsidRDefault="0029429F" w:rsidP="0029429F">
      <w:pPr>
        <w:rPr>
          <w:sz w:val="20"/>
          <w:szCs w:val="20"/>
        </w:rPr>
      </w:pPr>
    </w:p>
    <w:p w14:paraId="03A7B8EC" w14:textId="77777777" w:rsidR="00715F6F" w:rsidRDefault="00715F6F" w:rsidP="0029429F">
      <w:pPr>
        <w:rPr>
          <w:sz w:val="20"/>
          <w:szCs w:val="20"/>
        </w:rPr>
        <w:sectPr w:rsidR="00715F6F" w:rsidSect="00A94724">
          <w:footnotePr>
            <w:numRestart w:val="eachPage"/>
          </w:footnotePr>
          <w:pgSz w:w="11906" w:h="16838"/>
          <w:pgMar w:top="1440" w:right="1440" w:bottom="1440" w:left="1440" w:header="709" w:footer="709" w:gutter="0"/>
          <w:cols w:space="708"/>
          <w:docGrid w:linePitch="360"/>
        </w:sectPr>
      </w:pPr>
    </w:p>
    <w:p w14:paraId="2687C04C" w14:textId="77777777" w:rsidR="0029429F" w:rsidRPr="00054A67" w:rsidRDefault="0029429F" w:rsidP="0029429F">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lastRenderedPageBreak/>
        <w:t>Outcome 2 programs and key activities</w:t>
      </w:r>
    </w:p>
    <w:p w14:paraId="40E8EB51" w14:textId="77777777" w:rsidR="0029429F" w:rsidRPr="00771C23" w:rsidRDefault="0029429F" w:rsidP="0029429F">
      <w:pPr>
        <w:rPr>
          <w:sz w:val="20"/>
          <w:szCs w:val="20"/>
        </w:rPr>
      </w:pPr>
      <w:r w:rsidRPr="00771C23">
        <w:rPr>
          <w:sz w:val="20"/>
          <w:szCs w:val="20"/>
        </w:rPr>
        <w:t>Outcome 2 comprises three programs underpinned by a number of activities that seek to contribute to stronger and more resilient individuals, children, families</w:t>
      </w:r>
      <w:r>
        <w:rPr>
          <w:sz w:val="20"/>
          <w:szCs w:val="20"/>
        </w:rPr>
        <w:t>,</w:t>
      </w:r>
      <w:r w:rsidRPr="00771C23">
        <w:rPr>
          <w:sz w:val="20"/>
          <w:szCs w:val="20"/>
        </w:rPr>
        <w:t xml:space="preserve"> and communities. The tables below outline how the objectives of this purpose were achieved through delivery of measurable activities. Our program performance in 2019</w:t>
      </w:r>
      <w:r>
        <w:rPr>
          <w:sz w:val="20"/>
          <w:szCs w:val="20"/>
        </w:rPr>
        <w:t>–</w:t>
      </w:r>
      <w:r w:rsidRPr="00771C23">
        <w:rPr>
          <w:sz w:val="20"/>
          <w:szCs w:val="20"/>
        </w:rPr>
        <w:t>20 is measured through agreements in place with relevant service providers and the performance of key activities is assessed using cross program performance indicators and measures.</w:t>
      </w:r>
    </w:p>
    <w:p w14:paraId="429855BF" w14:textId="77777777" w:rsidR="0029429F" w:rsidRPr="00771C23" w:rsidRDefault="0029429F" w:rsidP="0029429F">
      <w:pPr>
        <w:keepNext/>
        <w:spacing w:before="240" w:after="0" w:line="260" w:lineRule="atLeast"/>
        <w:ind w:right="425"/>
        <w:rPr>
          <w:rFonts w:ascii="Arial Narrow" w:eastAsia="Times New Roman" w:hAnsi="Arial Narrow" w:cs="Times New Roman"/>
          <w:b/>
          <w:bCs/>
          <w:spacing w:val="4"/>
          <w:sz w:val="20"/>
          <w:szCs w:val="18"/>
          <w:lang w:eastAsia="en-AU"/>
        </w:rPr>
      </w:pPr>
      <w:r w:rsidRPr="00771C23">
        <w:rPr>
          <w:rFonts w:ascii="Arial Narrow" w:eastAsia="Times New Roman" w:hAnsi="Arial Narrow" w:cs="Times New Roman"/>
          <w:b/>
          <w:bCs/>
          <w:spacing w:val="4"/>
          <w:sz w:val="20"/>
          <w:szCs w:val="18"/>
          <w:lang w:eastAsia="en-AU"/>
        </w:rPr>
        <w:t>Table 2.2.1: Outcome 2 Programs and Key Activities</w:t>
      </w:r>
    </w:p>
    <w:tbl>
      <w:tblPr>
        <w:tblStyle w:val="TableGrid36"/>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Table 2.2.1: Outcome 2 Programs and Key Activities"/>
        <w:tblDescription w:val="This table outlines the program and key activites for Outcome 2."/>
      </w:tblPr>
      <w:tblGrid>
        <w:gridCol w:w="2992"/>
        <w:gridCol w:w="2992"/>
        <w:gridCol w:w="2996"/>
      </w:tblGrid>
      <w:tr w:rsidR="0029429F" w:rsidRPr="00771C23" w14:paraId="4C6135C7" w14:textId="77777777" w:rsidTr="00E117FD">
        <w:trPr>
          <w:tblHeader/>
        </w:trPr>
        <w:tc>
          <w:tcPr>
            <w:tcW w:w="5000" w:type="pct"/>
            <w:gridSpan w:val="3"/>
            <w:shd w:val="clear" w:color="auto" w:fill="005A70"/>
          </w:tcPr>
          <w:p w14:paraId="691E59A0" w14:textId="77777777" w:rsidR="0029429F" w:rsidRPr="00771C23" w:rsidRDefault="0029429F" w:rsidP="00E117FD">
            <w:pPr>
              <w:spacing w:before="120" w:after="120"/>
              <w:jc w:val="center"/>
              <w:rPr>
                <w:rFonts w:cs="Arial"/>
                <w:b/>
                <w:color w:val="FFFFFF" w:themeColor="background1"/>
                <w:sz w:val="16"/>
              </w:rPr>
            </w:pPr>
            <w:r w:rsidRPr="00771C23">
              <w:rPr>
                <w:rFonts w:cs="Arial"/>
                <w:b/>
                <w:color w:val="FFFFFF" w:themeColor="background1"/>
                <w:sz w:val="16"/>
              </w:rPr>
              <w:t>OUTCOME 2 FAMILIES AND COMMUNITIES</w:t>
            </w:r>
          </w:p>
        </w:tc>
      </w:tr>
      <w:tr w:rsidR="0029429F" w:rsidRPr="00771C23" w14:paraId="47854485" w14:textId="77777777" w:rsidTr="00E117FD">
        <w:trPr>
          <w:trHeight w:val="112"/>
        </w:trPr>
        <w:tc>
          <w:tcPr>
            <w:tcW w:w="1666" w:type="pct"/>
            <w:shd w:val="clear" w:color="auto" w:fill="00B0B9"/>
          </w:tcPr>
          <w:p w14:paraId="4858E74A" w14:textId="77777777" w:rsidR="0029429F" w:rsidRPr="007F2601" w:rsidRDefault="0029429F" w:rsidP="00E117FD">
            <w:pPr>
              <w:spacing w:before="120" w:after="120"/>
              <w:jc w:val="center"/>
              <w:rPr>
                <w:rFonts w:cs="Arial"/>
                <w:b/>
                <w:sz w:val="16"/>
              </w:rPr>
            </w:pPr>
            <w:r w:rsidRPr="007F2601">
              <w:rPr>
                <w:rFonts w:cs="Arial"/>
                <w:b/>
                <w:sz w:val="16"/>
              </w:rPr>
              <w:t xml:space="preserve">Program 2.1 </w:t>
            </w:r>
          </w:p>
          <w:p w14:paraId="15ADCD1D" w14:textId="77777777" w:rsidR="0029429F" w:rsidRPr="007F2601" w:rsidRDefault="0029429F" w:rsidP="00E117FD">
            <w:pPr>
              <w:spacing w:before="120" w:after="120"/>
              <w:jc w:val="center"/>
              <w:rPr>
                <w:rFonts w:cs="Arial"/>
                <w:b/>
                <w:sz w:val="16"/>
              </w:rPr>
            </w:pPr>
            <w:r w:rsidRPr="007F2601">
              <w:rPr>
                <w:rFonts w:cs="Arial"/>
                <w:b/>
                <w:sz w:val="16"/>
              </w:rPr>
              <w:t>Families and Communities</w:t>
            </w:r>
          </w:p>
        </w:tc>
        <w:tc>
          <w:tcPr>
            <w:tcW w:w="1666" w:type="pct"/>
            <w:shd w:val="clear" w:color="auto" w:fill="00B0B9"/>
          </w:tcPr>
          <w:p w14:paraId="47A29319" w14:textId="77777777" w:rsidR="0029429F" w:rsidRPr="007F2601" w:rsidRDefault="0029429F" w:rsidP="00E117FD">
            <w:pPr>
              <w:spacing w:before="120" w:after="120"/>
              <w:jc w:val="center"/>
              <w:rPr>
                <w:rFonts w:cs="Arial"/>
                <w:b/>
                <w:sz w:val="16"/>
              </w:rPr>
            </w:pPr>
            <w:r w:rsidRPr="007F2601">
              <w:rPr>
                <w:rFonts w:cs="Arial"/>
                <w:b/>
                <w:sz w:val="16"/>
              </w:rPr>
              <w:t xml:space="preserve">Program 2.2 </w:t>
            </w:r>
          </w:p>
          <w:p w14:paraId="42F1FD73" w14:textId="77777777" w:rsidR="0029429F" w:rsidRPr="007F2601" w:rsidRDefault="0029429F" w:rsidP="00E117FD">
            <w:pPr>
              <w:spacing w:before="120" w:after="120"/>
              <w:jc w:val="center"/>
              <w:rPr>
                <w:rFonts w:cs="Arial"/>
                <w:b/>
                <w:sz w:val="16"/>
              </w:rPr>
            </w:pPr>
            <w:r w:rsidRPr="007F2601">
              <w:rPr>
                <w:rFonts w:cs="Arial"/>
                <w:b/>
                <w:sz w:val="16"/>
              </w:rPr>
              <w:t>Paid Parental Leave</w:t>
            </w:r>
          </w:p>
        </w:tc>
        <w:tc>
          <w:tcPr>
            <w:tcW w:w="1668" w:type="pct"/>
            <w:shd w:val="clear" w:color="auto" w:fill="00B0B9"/>
          </w:tcPr>
          <w:p w14:paraId="5894F6AC" w14:textId="77777777" w:rsidR="0029429F" w:rsidRPr="007F2601" w:rsidRDefault="0029429F" w:rsidP="00E117FD">
            <w:pPr>
              <w:spacing w:before="120" w:after="120"/>
              <w:jc w:val="center"/>
              <w:rPr>
                <w:rFonts w:cs="Arial"/>
                <w:b/>
                <w:sz w:val="16"/>
              </w:rPr>
            </w:pPr>
            <w:r w:rsidRPr="007F2601">
              <w:rPr>
                <w:rFonts w:cs="Arial"/>
                <w:b/>
                <w:sz w:val="16"/>
              </w:rPr>
              <w:t xml:space="preserve">Program 2.3 </w:t>
            </w:r>
          </w:p>
          <w:p w14:paraId="65C812C7" w14:textId="77777777" w:rsidR="0029429F" w:rsidRPr="007F2601" w:rsidRDefault="0029429F" w:rsidP="00E117FD">
            <w:pPr>
              <w:spacing w:before="120" w:after="120"/>
              <w:jc w:val="center"/>
              <w:rPr>
                <w:rFonts w:cs="Arial"/>
                <w:b/>
                <w:sz w:val="16"/>
              </w:rPr>
            </w:pPr>
            <w:r w:rsidRPr="007F2601">
              <w:rPr>
                <w:rFonts w:cs="Arial"/>
                <w:b/>
                <w:sz w:val="16"/>
              </w:rPr>
              <w:t>Social and Community Services</w:t>
            </w:r>
          </w:p>
        </w:tc>
      </w:tr>
      <w:tr w:rsidR="0029429F" w:rsidRPr="00771C23" w14:paraId="18909294" w14:textId="77777777" w:rsidTr="00E117FD">
        <w:trPr>
          <w:trHeight w:val="25"/>
        </w:trPr>
        <w:tc>
          <w:tcPr>
            <w:tcW w:w="5000" w:type="pct"/>
            <w:gridSpan w:val="3"/>
            <w:shd w:val="clear" w:color="auto" w:fill="D9D9D6"/>
            <w:vAlign w:val="center"/>
          </w:tcPr>
          <w:p w14:paraId="5EA26F31" w14:textId="77777777" w:rsidR="0029429F" w:rsidRPr="00771C23" w:rsidRDefault="0029429F" w:rsidP="00E117FD">
            <w:pPr>
              <w:spacing w:before="120" w:after="120"/>
              <w:jc w:val="center"/>
              <w:rPr>
                <w:rFonts w:cs="Arial"/>
                <w:sz w:val="16"/>
              </w:rPr>
            </w:pPr>
            <w:r w:rsidRPr="00771C23">
              <w:rPr>
                <w:rFonts w:cs="Arial"/>
                <w:sz w:val="16"/>
              </w:rPr>
              <w:t>Refer to Table 2.2.2 for program performance results</w:t>
            </w:r>
          </w:p>
        </w:tc>
      </w:tr>
      <w:tr w:rsidR="0029429F" w:rsidRPr="00771C23" w14:paraId="5D5F56F8" w14:textId="77777777" w:rsidTr="00E117FD">
        <w:tc>
          <w:tcPr>
            <w:tcW w:w="1666" w:type="pct"/>
            <w:shd w:val="clear" w:color="auto" w:fill="B1E4E3"/>
          </w:tcPr>
          <w:p w14:paraId="7D540131" w14:textId="77777777" w:rsidR="0029429F" w:rsidRPr="00771C23" w:rsidRDefault="0029429F" w:rsidP="00E117FD">
            <w:pPr>
              <w:spacing w:before="120" w:after="120"/>
              <w:jc w:val="center"/>
              <w:rPr>
                <w:rFonts w:cs="Arial"/>
                <w:b/>
                <w:sz w:val="16"/>
              </w:rPr>
            </w:pPr>
            <w:r w:rsidRPr="00771C23">
              <w:rPr>
                <w:rFonts w:cs="Arial"/>
                <w:b/>
                <w:sz w:val="16"/>
              </w:rPr>
              <w:t>Key activities</w:t>
            </w:r>
          </w:p>
          <w:p w14:paraId="1ABEB54E" w14:textId="77777777" w:rsidR="0029429F" w:rsidRPr="00771C23" w:rsidRDefault="0029429F" w:rsidP="00E117FD">
            <w:pPr>
              <w:numPr>
                <w:ilvl w:val="0"/>
                <w:numId w:val="85"/>
              </w:numPr>
              <w:spacing w:before="120" w:after="120"/>
              <w:rPr>
                <w:rFonts w:cs="Arial"/>
                <w:sz w:val="16"/>
              </w:rPr>
            </w:pPr>
            <w:r w:rsidRPr="00771C23">
              <w:rPr>
                <w:rFonts w:cs="Arial"/>
                <w:sz w:val="16"/>
              </w:rPr>
              <w:t>Families and Children</w:t>
            </w:r>
          </w:p>
          <w:p w14:paraId="213E3898" w14:textId="77777777" w:rsidR="0029429F" w:rsidRPr="00771C23" w:rsidRDefault="0029429F" w:rsidP="00E117FD">
            <w:pPr>
              <w:numPr>
                <w:ilvl w:val="0"/>
                <w:numId w:val="85"/>
              </w:numPr>
              <w:spacing w:before="120" w:after="120"/>
              <w:rPr>
                <w:rFonts w:cs="Arial"/>
                <w:sz w:val="16"/>
              </w:rPr>
            </w:pPr>
            <w:r w:rsidRPr="00771C23">
              <w:rPr>
                <w:rFonts w:cs="Arial"/>
                <w:sz w:val="16"/>
              </w:rPr>
              <w:t>Family Safety</w:t>
            </w:r>
          </w:p>
          <w:p w14:paraId="6B0DEF17" w14:textId="77777777" w:rsidR="0029429F" w:rsidRPr="00771C23" w:rsidRDefault="0029429F" w:rsidP="00E117FD">
            <w:pPr>
              <w:numPr>
                <w:ilvl w:val="0"/>
                <w:numId w:val="85"/>
              </w:numPr>
              <w:spacing w:before="120" w:after="120"/>
              <w:rPr>
                <w:rFonts w:cs="Arial"/>
                <w:sz w:val="16"/>
              </w:rPr>
            </w:pPr>
            <w:r w:rsidRPr="00771C23">
              <w:rPr>
                <w:rFonts w:cs="Arial"/>
                <w:sz w:val="16"/>
              </w:rPr>
              <w:t>Protecting Australia’s Children</w:t>
            </w:r>
          </w:p>
          <w:p w14:paraId="109A3753" w14:textId="77777777" w:rsidR="0029429F" w:rsidRPr="00771C23" w:rsidRDefault="0029429F" w:rsidP="00E117FD">
            <w:pPr>
              <w:numPr>
                <w:ilvl w:val="0"/>
                <w:numId w:val="85"/>
              </w:numPr>
              <w:spacing w:before="120" w:after="120"/>
              <w:rPr>
                <w:rFonts w:cs="Arial"/>
                <w:sz w:val="16"/>
              </w:rPr>
            </w:pPr>
            <w:r w:rsidRPr="00771C23">
              <w:rPr>
                <w:rFonts w:cs="Arial"/>
                <w:sz w:val="16"/>
              </w:rPr>
              <w:t>Financial Wellbeing and Capability</w:t>
            </w:r>
          </w:p>
          <w:p w14:paraId="07492946" w14:textId="77777777" w:rsidR="0029429F" w:rsidRPr="00771C23" w:rsidRDefault="0029429F" w:rsidP="00E117FD">
            <w:pPr>
              <w:numPr>
                <w:ilvl w:val="0"/>
                <w:numId w:val="85"/>
              </w:numPr>
              <w:spacing w:before="120" w:after="120"/>
              <w:rPr>
                <w:rFonts w:cs="Arial"/>
                <w:sz w:val="16"/>
              </w:rPr>
            </w:pPr>
            <w:r w:rsidRPr="00771C23">
              <w:rPr>
                <w:rFonts w:cs="Arial"/>
                <w:sz w:val="16"/>
              </w:rPr>
              <w:t>Volunteering and Community Connectedness</w:t>
            </w:r>
          </w:p>
          <w:p w14:paraId="1CC105CC" w14:textId="77777777" w:rsidR="0029429F" w:rsidRPr="00771C23" w:rsidRDefault="0029429F" w:rsidP="00E117FD">
            <w:pPr>
              <w:numPr>
                <w:ilvl w:val="0"/>
                <w:numId w:val="85"/>
              </w:numPr>
              <w:spacing w:before="120" w:after="120"/>
              <w:rPr>
                <w:rFonts w:cs="Arial"/>
                <w:sz w:val="16"/>
              </w:rPr>
            </w:pPr>
            <w:r w:rsidRPr="00771C23">
              <w:rPr>
                <w:rFonts w:cs="Arial"/>
                <w:sz w:val="16"/>
              </w:rPr>
              <w:t>Cashless Debit Card</w:t>
            </w:r>
          </w:p>
          <w:p w14:paraId="340832C2" w14:textId="77777777" w:rsidR="0029429F" w:rsidRPr="00771C23" w:rsidRDefault="0029429F" w:rsidP="00E117FD">
            <w:pPr>
              <w:numPr>
                <w:ilvl w:val="0"/>
                <w:numId w:val="85"/>
              </w:numPr>
              <w:spacing w:before="120" w:after="120"/>
              <w:rPr>
                <w:rFonts w:cs="Arial"/>
                <w:sz w:val="16"/>
              </w:rPr>
            </w:pPr>
            <w:r w:rsidRPr="00771C23">
              <w:rPr>
                <w:rFonts w:cs="Arial"/>
                <w:sz w:val="16"/>
              </w:rPr>
              <w:t>National Redress Scheme for Institutional Child Sexual Abuse</w:t>
            </w:r>
          </w:p>
        </w:tc>
        <w:tc>
          <w:tcPr>
            <w:tcW w:w="1666" w:type="pct"/>
            <w:shd w:val="clear" w:color="auto" w:fill="B1E4E3"/>
          </w:tcPr>
          <w:p w14:paraId="3990198A" w14:textId="77777777" w:rsidR="0029429F" w:rsidRPr="00771C23" w:rsidRDefault="0029429F" w:rsidP="00E117FD">
            <w:pPr>
              <w:spacing w:before="120" w:after="120"/>
              <w:jc w:val="center"/>
              <w:rPr>
                <w:rFonts w:cs="Arial"/>
                <w:b/>
                <w:sz w:val="16"/>
              </w:rPr>
            </w:pPr>
            <w:r w:rsidRPr="00771C23">
              <w:rPr>
                <w:rFonts w:cs="Arial"/>
                <w:b/>
                <w:sz w:val="16"/>
              </w:rPr>
              <w:t>Key activities</w:t>
            </w:r>
          </w:p>
          <w:p w14:paraId="68308D89" w14:textId="77777777" w:rsidR="0029429F" w:rsidRPr="00771C23" w:rsidRDefault="0029429F" w:rsidP="00E117FD">
            <w:pPr>
              <w:numPr>
                <w:ilvl w:val="0"/>
                <w:numId w:val="85"/>
              </w:numPr>
              <w:spacing w:before="120" w:after="120"/>
              <w:rPr>
                <w:rFonts w:cs="Arial"/>
                <w:sz w:val="16"/>
              </w:rPr>
            </w:pPr>
            <w:r w:rsidRPr="00771C23">
              <w:rPr>
                <w:rFonts w:cs="Arial"/>
                <w:sz w:val="16"/>
              </w:rPr>
              <w:t>Parental Leave Pay</w:t>
            </w:r>
          </w:p>
          <w:p w14:paraId="29B2A8C6" w14:textId="37F49873" w:rsidR="0029429F" w:rsidRPr="00771C23" w:rsidRDefault="00AC3C8B" w:rsidP="00E117FD">
            <w:pPr>
              <w:numPr>
                <w:ilvl w:val="0"/>
                <w:numId w:val="85"/>
              </w:numPr>
              <w:spacing w:before="120" w:after="120"/>
              <w:rPr>
                <w:rFonts w:cs="Arial"/>
                <w:sz w:val="16"/>
              </w:rPr>
            </w:pPr>
            <w:r>
              <w:rPr>
                <w:rFonts w:cs="Arial"/>
                <w:sz w:val="16"/>
              </w:rPr>
              <w:t>Dad and Partner P</w:t>
            </w:r>
            <w:r w:rsidR="0029429F" w:rsidRPr="00771C23">
              <w:rPr>
                <w:rFonts w:cs="Arial"/>
                <w:sz w:val="16"/>
              </w:rPr>
              <w:t>ay</w:t>
            </w:r>
          </w:p>
        </w:tc>
        <w:tc>
          <w:tcPr>
            <w:tcW w:w="1668" w:type="pct"/>
            <w:shd w:val="clear" w:color="auto" w:fill="B1E4E3"/>
          </w:tcPr>
          <w:p w14:paraId="46016BE7" w14:textId="77777777" w:rsidR="0029429F" w:rsidRPr="00771C23" w:rsidRDefault="0029429F" w:rsidP="00E117FD">
            <w:pPr>
              <w:spacing w:before="120" w:after="120"/>
              <w:jc w:val="center"/>
              <w:rPr>
                <w:rFonts w:cs="Arial"/>
                <w:b/>
                <w:sz w:val="16"/>
              </w:rPr>
            </w:pPr>
            <w:r w:rsidRPr="00771C23">
              <w:rPr>
                <w:rFonts w:cs="Arial"/>
                <w:b/>
                <w:sz w:val="16"/>
              </w:rPr>
              <w:t>Key activities</w:t>
            </w:r>
          </w:p>
          <w:p w14:paraId="3F954AB2" w14:textId="77777777" w:rsidR="0029429F" w:rsidRPr="00771C23" w:rsidRDefault="0029429F" w:rsidP="00E117FD">
            <w:pPr>
              <w:numPr>
                <w:ilvl w:val="0"/>
                <w:numId w:val="85"/>
              </w:numPr>
              <w:spacing w:before="120" w:after="120"/>
              <w:rPr>
                <w:rFonts w:cs="Arial"/>
                <w:sz w:val="16"/>
              </w:rPr>
            </w:pPr>
            <w:r w:rsidRPr="00771C23">
              <w:rPr>
                <w:rFonts w:cs="Arial"/>
                <w:sz w:val="16"/>
              </w:rPr>
              <w:t>Social and Community Services Pay Equity Amount</w:t>
            </w:r>
          </w:p>
        </w:tc>
      </w:tr>
      <w:tr w:rsidR="0029429F" w:rsidRPr="00771C23" w14:paraId="46C70CBE" w14:textId="77777777" w:rsidTr="00E117FD">
        <w:trPr>
          <w:trHeight w:val="299"/>
        </w:trPr>
        <w:tc>
          <w:tcPr>
            <w:tcW w:w="1" w:type="pct"/>
            <w:gridSpan w:val="3"/>
            <w:shd w:val="clear" w:color="auto" w:fill="D9D9D6"/>
          </w:tcPr>
          <w:p w14:paraId="2D984CCC" w14:textId="77777777" w:rsidR="0029429F" w:rsidRPr="00771C23" w:rsidRDefault="0029429F" w:rsidP="00E117FD">
            <w:pPr>
              <w:spacing w:before="120" w:after="120"/>
              <w:jc w:val="center"/>
              <w:rPr>
                <w:rFonts w:cs="Arial"/>
                <w:sz w:val="16"/>
                <w:szCs w:val="16"/>
              </w:rPr>
            </w:pPr>
            <w:r w:rsidRPr="00771C23">
              <w:rPr>
                <w:rFonts w:cs="Arial"/>
                <w:sz w:val="16"/>
                <w:szCs w:val="16"/>
              </w:rPr>
              <w:t>Refer to Table 2.2.3 for index of key activities performance results</w:t>
            </w:r>
          </w:p>
        </w:tc>
      </w:tr>
    </w:tbl>
    <w:p w14:paraId="5D40BEAC" w14:textId="77777777" w:rsidR="0029429F" w:rsidRPr="00771C23" w:rsidRDefault="0029429F" w:rsidP="0029429F">
      <w:pPr>
        <w:rPr>
          <w:sz w:val="20"/>
          <w:szCs w:val="20"/>
        </w:rPr>
      </w:pPr>
    </w:p>
    <w:p w14:paraId="17DFAAAC" w14:textId="77777777" w:rsidR="0029429F" w:rsidRPr="00054A67" w:rsidRDefault="0029429F" w:rsidP="0029429F">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t>Performance Results of Programs</w:t>
      </w:r>
    </w:p>
    <w:p w14:paraId="7AA34852" w14:textId="77777777" w:rsidR="0029429F" w:rsidRPr="00771C23" w:rsidRDefault="0029429F" w:rsidP="0029429F">
      <w:pPr>
        <w:rPr>
          <w:sz w:val="20"/>
          <w:szCs w:val="20"/>
        </w:rPr>
      </w:pPr>
      <w:r w:rsidRPr="00771C23">
        <w:rPr>
          <w:sz w:val="20"/>
          <w:szCs w:val="20"/>
        </w:rPr>
        <w:t>This section describes the 2019</w:t>
      </w:r>
      <w:r>
        <w:rPr>
          <w:sz w:val="20"/>
          <w:szCs w:val="20"/>
        </w:rPr>
        <w:t>–</w:t>
      </w:r>
      <w:r w:rsidRPr="00771C23">
        <w:rPr>
          <w:sz w:val="20"/>
          <w:szCs w:val="20"/>
        </w:rPr>
        <w:t>20 results of the program performance measured through agreements in place with relevant services providers.</w:t>
      </w:r>
    </w:p>
    <w:p w14:paraId="651A68B3" w14:textId="77777777" w:rsidR="0029429F" w:rsidRPr="00771C23" w:rsidRDefault="0029429F" w:rsidP="0029429F">
      <w:pPr>
        <w:keepNext/>
        <w:spacing w:before="240" w:after="240"/>
        <w:outlineLvl w:val="6"/>
        <w:rPr>
          <w:rFonts w:eastAsiaTheme="majorEastAsia" w:cstheme="majorBidi"/>
          <w:b/>
          <w:iCs/>
          <w:sz w:val="26"/>
        </w:rPr>
      </w:pPr>
      <w:r w:rsidRPr="00771C23">
        <w:rPr>
          <w:rFonts w:eastAsiaTheme="majorEastAsia" w:cstheme="majorBidi"/>
          <w:b/>
          <w:iCs/>
          <w:sz w:val="26"/>
        </w:rPr>
        <w:t>C2.3 Extent to which payments and service provision meet program objective</w:t>
      </w:r>
    </w:p>
    <w:p w14:paraId="412F7F0F" w14:textId="77777777" w:rsidR="0029429F" w:rsidRPr="00771C23" w:rsidRDefault="0029429F" w:rsidP="0029429F">
      <w:pPr>
        <w:rPr>
          <w:sz w:val="20"/>
          <w:szCs w:val="20"/>
        </w:rPr>
      </w:pPr>
      <w:r w:rsidRPr="00771C23">
        <w:rPr>
          <w:sz w:val="20"/>
          <w:szCs w:val="20"/>
        </w:rPr>
        <w:t>This criterion explores a range of payment and service provision parameters that indicate progress towards outcomes, rather than impact. These include whether funds have been spent consistent with the program objective, satisfaction with services, community and service system capacity, service usage by priority groups, and payment coverage.</w:t>
      </w:r>
    </w:p>
    <w:p w14:paraId="3CAC430D" w14:textId="77777777" w:rsidR="00D96CDD" w:rsidRDefault="00D96CDD" w:rsidP="0029429F">
      <w:pPr>
        <w:spacing w:before="240" w:after="240"/>
        <w:outlineLvl w:val="7"/>
        <w:rPr>
          <w:rFonts w:eastAsiaTheme="majorEastAsia" w:cstheme="majorBidi"/>
          <w:b/>
          <w:color w:val="595959" w:themeColor="text1" w:themeTint="A6"/>
          <w:sz w:val="24"/>
          <w:szCs w:val="20"/>
        </w:rPr>
        <w:sectPr w:rsidR="00D96CDD" w:rsidSect="00A94724">
          <w:footnotePr>
            <w:numRestart w:val="eachPage"/>
          </w:footnotePr>
          <w:pgSz w:w="11906" w:h="16838"/>
          <w:pgMar w:top="1440" w:right="1440" w:bottom="1440" w:left="1440" w:header="709" w:footer="709" w:gutter="0"/>
          <w:cols w:space="708"/>
          <w:docGrid w:linePitch="360"/>
        </w:sectPr>
      </w:pPr>
    </w:p>
    <w:p w14:paraId="562A28BB" w14:textId="2B4622A8" w:rsidR="0029429F" w:rsidRPr="00771C23" w:rsidRDefault="0029429F" w:rsidP="0029429F">
      <w:pPr>
        <w:spacing w:before="240" w:after="240"/>
        <w:outlineLvl w:val="7"/>
        <w:rPr>
          <w:rFonts w:eastAsiaTheme="majorEastAsia" w:cstheme="majorBidi"/>
          <w:b/>
          <w:color w:val="595959" w:themeColor="text1" w:themeTint="A6"/>
          <w:sz w:val="24"/>
          <w:szCs w:val="20"/>
        </w:rPr>
      </w:pPr>
      <w:r w:rsidRPr="00771C23">
        <w:rPr>
          <w:rFonts w:eastAsiaTheme="majorEastAsia" w:cstheme="majorBidi"/>
          <w:b/>
          <w:color w:val="595959" w:themeColor="text1" w:themeTint="A6"/>
          <w:sz w:val="24"/>
          <w:szCs w:val="20"/>
        </w:rPr>
        <w:lastRenderedPageBreak/>
        <w:t>C2.3.1 Program performance criteria and associated milestones/standards</w:t>
      </w:r>
    </w:p>
    <w:p w14:paraId="2A69764F" w14:textId="77777777" w:rsidR="0029429F" w:rsidRPr="00771C23" w:rsidRDefault="0029429F" w:rsidP="0029429F">
      <w:pPr>
        <w:rPr>
          <w:sz w:val="20"/>
          <w:szCs w:val="20"/>
        </w:rPr>
      </w:pPr>
      <w:r w:rsidRPr="00771C23">
        <w:rPr>
          <w:sz w:val="20"/>
          <w:szCs w:val="20"/>
        </w:rPr>
        <w:t>This indicator assesses whether funds have been spent consistent with the program objective. It focuses on appropriate delivery of grants, procurements, and subsidies for which the department receives appropriations.</w:t>
      </w:r>
    </w:p>
    <w:p w14:paraId="2AEC8F84" w14:textId="77777777" w:rsidR="0029429F" w:rsidRPr="00771C23" w:rsidRDefault="0029429F" w:rsidP="0029429F">
      <w:pPr>
        <w:keepNext/>
        <w:spacing w:before="240" w:after="0" w:line="260" w:lineRule="atLeast"/>
        <w:ind w:right="425"/>
        <w:rPr>
          <w:rFonts w:ascii="Arial Narrow" w:eastAsia="Times New Roman" w:hAnsi="Arial Narrow" w:cs="Times New Roman"/>
          <w:b/>
          <w:bCs/>
          <w:spacing w:val="4"/>
          <w:sz w:val="20"/>
          <w:szCs w:val="18"/>
          <w:lang w:eastAsia="en-AU"/>
        </w:rPr>
      </w:pPr>
      <w:r w:rsidRPr="00771C23">
        <w:rPr>
          <w:rFonts w:ascii="Arial Narrow" w:eastAsia="Times New Roman" w:hAnsi="Arial Narrow" w:cs="Times New Roman"/>
          <w:b/>
          <w:bCs/>
          <w:spacing w:val="4"/>
          <w:sz w:val="20"/>
          <w:szCs w:val="18"/>
          <w:lang w:eastAsia="en-AU"/>
        </w:rPr>
        <w:t>Table 2.2.2: Program performance criteria and associated milestones/standards</w:t>
      </w:r>
    </w:p>
    <w:tbl>
      <w:tblPr>
        <w:tblStyle w:val="HHorizontaltable14"/>
        <w:tblW w:w="0" w:type="auto"/>
        <w:tblInd w:w="4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2.2.2: Program performance criteria and associated milestones/standards"/>
        <w:tblDescription w:val="Table 2.2.2: Program performance criteria and associated milestones/standards "/>
      </w:tblPr>
      <w:tblGrid>
        <w:gridCol w:w="3193"/>
        <w:gridCol w:w="2628"/>
        <w:gridCol w:w="1053"/>
        <w:gridCol w:w="1053"/>
        <w:gridCol w:w="1053"/>
      </w:tblGrid>
      <w:tr w:rsidR="00585891" w:rsidRPr="00771C23" w14:paraId="0E203CE1" w14:textId="77777777" w:rsidTr="003A047F">
        <w:trPr>
          <w:cnfStyle w:val="100000000000" w:firstRow="1" w:lastRow="0" w:firstColumn="0" w:lastColumn="0" w:oddVBand="0" w:evenVBand="0" w:oddHBand="0" w:evenHBand="0" w:firstRowFirstColumn="0" w:firstRowLastColumn="0" w:lastRowFirstColumn="0" w:lastRowLastColumn="0"/>
          <w:trHeight w:val="317"/>
          <w:tblHeader/>
        </w:trPr>
        <w:tc>
          <w:tcPr>
            <w:tcW w:w="3193" w:type="dxa"/>
            <w:tcBorders>
              <w:bottom w:val="single" w:sz="18" w:space="0" w:color="FFFFFF" w:themeColor="background1"/>
            </w:tcBorders>
            <w:vAlign w:val="center"/>
            <w:hideMark/>
          </w:tcPr>
          <w:p w14:paraId="504A741F" w14:textId="77777777" w:rsidR="0029429F" w:rsidRPr="007F2601" w:rsidRDefault="0029429F" w:rsidP="00E117FD">
            <w:pPr>
              <w:spacing w:before="40" w:after="40"/>
              <w:jc w:val="center"/>
              <w:rPr>
                <w:rFonts w:eastAsia="Times New Roman"/>
                <w:sz w:val="16"/>
                <w:szCs w:val="16"/>
              </w:rPr>
            </w:pPr>
            <w:r w:rsidRPr="007F2601">
              <w:rPr>
                <w:rFonts w:eastAsia="Times New Roman"/>
                <w:sz w:val="16"/>
                <w:szCs w:val="16"/>
              </w:rPr>
              <w:t>Intermediate outcome performance measure</w:t>
            </w:r>
          </w:p>
          <w:p w14:paraId="5355B9CE" w14:textId="77777777" w:rsidR="0029429F" w:rsidRPr="007F2601" w:rsidRDefault="0029429F" w:rsidP="00E117FD">
            <w:pPr>
              <w:spacing w:before="40" w:after="40"/>
              <w:jc w:val="center"/>
              <w:rPr>
                <w:rFonts w:eastAsia="Times New Roman"/>
                <w:sz w:val="16"/>
                <w:szCs w:val="16"/>
              </w:rPr>
            </w:pPr>
            <w:r w:rsidRPr="007F2601">
              <w:rPr>
                <w:rFonts w:eastAsia="Times New Roman"/>
                <w:sz w:val="16"/>
                <w:szCs w:val="16"/>
              </w:rPr>
              <w:t>PBS performance criteria</w:t>
            </w:r>
          </w:p>
        </w:tc>
        <w:tc>
          <w:tcPr>
            <w:tcW w:w="2628" w:type="dxa"/>
            <w:tcBorders>
              <w:bottom w:val="single" w:sz="18" w:space="0" w:color="FFFFFF" w:themeColor="background1"/>
            </w:tcBorders>
            <w:vAlign w:val="center"/>
          </w:tcPr>
          <w:p w14:paraId="1AC5E6EF" w14:textId="77777777" w:rsidR="0029429F" w:rsidRPr="007F2601" w:rsidRDefault="0029429F" w:rsidP="00E117FD">
            <w:pPr>
              <w:spacing w:before="40" w:after="40"/>
              <w:jc w:val="center"/>
              <w:rPr>
                <w:rFonts w:eastAsia="Times New Roman"/>
                <w:sz w:val="16"/>
                <w:szCs w:val="16"/>
              </w:rPr>
            </w:pPr>
            <w:r w:rsidRPr="007F2601">
              <w:rPr>
                <w:rFonts w:eastAsia="Times New Roman"/>
                <w:sz w:val="16"/>
                <w:szCs w:val="16"/>
              </w:rPr>
              <w:t>Target</w:t>
            </w:r>
          </w:p>
        </w:tc>
        <w:tc>
          <w:tcPr>
            <w:tcW w:w="1053" w:type="dxa"/>
            <w:tcBorders>
              <w:bottom w:val="single" w:sz="18" w:space="0" w:color="FFFFFF" w:themeColor="background1"/>
            </w:tcBorders>
            <w:vAlign w:val="center"/>
            <w:hideMark/>
          </w:tcPr>
          <w:p w14:paraId="35392329" w14:textId="77777777" w:rsidR="0029429F" w:rsidRPr="007F2601" w:rsidRDefault="0029429F" w:rsidP="00E117FD">
            <w:pPr>
              <w:spacing w:before="40" w:after="40"/>
              <w:jc w:val="center"/>
              <w:rPr>
                <w:rFonts w:eastAsia="Times New Roman"/>
                <w:sz w:val="16"/>
                <w:szCs w:val="16"/>
              </w:rPr>
            </w:pPr>
            <w:r w:rsidRPr="007F2601">
              <w:rPr>
                <w:rFonts w:eastAsia="Times New Roman"/>
                <w:sz w:val="16"/>
                <w:szCs w:val="16"/>
              </w:rPr>
              <w:t>2019–20</w:t>
            </w:r>
          </w:p>
        </w:tc>
        <w:tc>
          <w:tcPr>
            <w:tcW w:w="1053" w:type="dxa"/>
            <w:tcBorders>
              <w:bottom w:val="single" w:sz="18" w:space="0" w:color="FFFFFF" w:themeColor="background1"/>
            </w:tcBorders>
            <w:vAlign w:val="center"/>
            <w:hideMark/>
          </w:tcPr>
          <w:p w14:paraId="6C06A88B" w14:textId="77777777" w:rsidR="0029429F" w:rsidRPr="007F2601" w:rsidRDefault="0029429F" w:rsidP="00E117FD">
            <w:pPr>
              <w:spacing w:before="40" w:after="40"/>
              <w:jc w:val="center"/>
              <w:rPr>
                <w:rFonts w:eastAsia="Times New Roman"/>
                <w:sz w:val="16"/>
                <w:szCs w:val="16"/>
              </w:rPr>
            </w:pPr>
            <w:r w:rsidRPr="007F2601">
              <w:rPr>
                <w:rFonts w:eastAsia="Times New Roman"/>
                <w:sz w:val="16"/>
                <w:szCs w:val="16"/>
              </w:rPr>
              <w:t>2018–19</w:t>
            </w:r>
          </w:p>
        </w:tc>
        <w:tc>
          <w:tcPr>
            <w:tcW w:w="1053" w:type="dxa"/>
            <w:tcBorders>
              <w:bottom w:val="single" w:sz="18" w:space="0" w:color="FFFFFF" w:themeColor="background1"/>
            </w:tcBorders>
            <w:vAlign w:val="center"/>
            <w:hideMark/>
          </w:tcPr>
          <w:p w14:paraId="567CD5BB" w14:textId="77777777" w:rsidR="0029429F" w:rsidRPr="007F2601" w:rsidRDefault="0029429F" w:rsidP="00E117FD">
            <w:pPr>
              <w:spacing w:before="40" w:after="40"/>
              <w:jc w:val="center"/>
              <w:rPr>
                <w:rFonts w:eastAsia="Times New Roman"/>
                <w:sz w:val="16"/>
                <w:szCs w:val="16"/>
              </w:rPr>
            </w:pPr>
            <w:r w:rsidRPr="007F2601">
              <w:rPr>
                <w:rFonts w:eastAsia="Times New Roman"/>
                <w:sz w:val="16"/>
                <w:szCs w:val="16"/>
              </w:rPr>
              <w:t>2017–18</w:t>
            </w:r>
          </w:p>
        </w:tc>
      </w:tr>
      <w:tr w:rsidR="0029429F" w:rsidRPr="00771C23" w14:paraId="08661406" w14:textId="77777777" w:rsidTr="003A047F">
        <w:trPr>
          <w:cnfStyle w:val="000000100000" w:firstRow="0" w:lastRow="0" w:firstColumn="0" w:lastColumn="0" w:oddVBand="0" w:evenVBand="0" w:oddHBand="1" w:evenHBand="0" w:firstRowFirstColumn="0" w:firstRowLastColumn="0" w:lastRowFirstColumn="0" w:lastRowLastColumn="0"/>
        </w:trPr>
        <w:tc>
          <w:tcPr>
            <w:tcW w:w="8980" w:type="dxa"/>
            <w:gridSpan w:val="5"/>
            <w:tcBorders>
              <w:left w:val="nil"/>
              <w:bottom w:val="single" w:sz="18" w:space="0" w:color="00B0B9"/>
              <w:right w:val="nil"/>
            </w:tcBorders>
          </w:tcPr>
          <w:p w14:paraId="05CC4455" w14:textId="77777777" w:rsidR="0029429F" w:rsidRPr="00771C23" w:rsidRDefault="0029429F" w:rsidP="00E117FD">
            <w:pPr>
              <w:spacing w:before="40" w:after="40"/>
              <w:rPr>
                <w:rFonts w:eastAsia="Times New Roman" w:cs="Arial"/>
                <w:b/>
                <w:color w:val="000000" w:themeColor="text1"/>
                <w:sz w:val="16"/>
                <w:szCs w:val="16"/>
              </w:rPr>
            </w:pPr>
            <w:r w:rsidRPr="00771C23">
              <w:rPr>
                <w:rFonts w:eastAsia="Times New Roman" w:cs="Arial"/>
                <w:b/>
                <w:color w:val="000000" w:themeColor="text1"/>
                <w:sz w:val="16"/>
                <w:szCs w:val="16"/>
              </w:rPr>
              <w:t>Program 2.1: Families and Communities</w:t>
            </w:r>
          </w:p>
        </w:tc>
      </w:tr>
      <w:tr w:rsidR="00585891" w:rsidRPr="00771C23" w14:paraId="4E7BB9BA" w14:textId="77777777" w:rsidTr="003A047F">
        <w:trPr>
          <w:cnfStyle w:val="000000010000" w:firstRow="0" w:lastRow="0" w:firstColumn="0" w:lastColumn="0" w:oddVBand="0" w:evenVBand="0" w:oddHBand="0" w:evenHBand="1" w:firstRowFirstColumn="0" w:firstRowLastColumn="0" w:lastRowFirstColumn="0" w:lastRowLastColumn="0"/>
        </w:trPr>
        <w:tc>
          <w:tcPr>
            <w:tcW w:w="3193" w:type="dxa"/>
            <w:tcBorders>
              <w:top w:val="single" w:sz="18" w:space="0" w:color="00B0B9"/>
              <w:left w:val="nil"/>
              <w:bottom w:val="single" w:sz="18" w:space="0" w:color="FFFFFF" w:themeColor="background1"/>
            </w:tcBorders>
            <w:hideMark/>
          </w:tcPr>
          <w:p w14:paraId="4F1AE4EC" w14:textId="77777777" w:rsidR="0029429F" w:rsidRPr="00771C23" w:rsidRDefault="0029429F" w:rsidP="00E117FD">
            <w:pPr>
              <w:spacing w:before="40" w:after="40"/>
              <w:rPr>
                <w:rFonts w:eastAsia="Times New Roman" w:cs="Arial"/>
                <w:b/>
                <w:color w:val="000000" w:themeColor="text1"/>
                <w:spacing w:val="4"/>
                <w:sz w:val="16"/>
                <w:szCs w:val="16"/>
                <w:lang w:val="en-GB"/>
              </w:rPr>
            </w:pPr>
            <w:r w:rsidRPr="00771C23">
              <w:rPr>
                <w:rFonts w:eastAsia="Times New Roman"/>
                <w:color w:val="000000" w:themeColor="text1"/>
                <w:spacing w:val="4"/>
                <w:sz w:val="16"/>
                <w:szCs w:val="16"/>
                <w:lang w:val="en-GB"/>
              </w:rPr>
              <w:t>Delivery by organisations is in accordance with specified requirements, which may include service level standards, of the contracts and agreements between organisations and the department. Agreements and contracts require:</w:t>
            </w:r>
          </w:p>
          <w:p w14:paraId="55CD1B28" w14:textId="6FE4886B" w:rsidR="0029429F" w:rsidRPr="00771C23" w:rsidRDefault="0029429F" w:rsidP="00E117FD">
            <w:pPr>
              <w:numPr>
                <w:ilvl w:val="0"/>
                <w:numId w:val="69"/>
              </w:numPr>
              <w:spacing w:before="40" w:after="40"/>
              <w:rPr>
                <w:rFonts w:eastAsia="Times New Roman"/>
                <w:color w:val="000000" w:themeColor="text1"/>
                <w:spacing w:val="4"/>
                <w:sz w:val="16"/>
                <w:szCs w:val="16"/>
                <w:lang w:val="en-GB"/>
              </w:rPr>
            </w:pPr>
            <w:r w:rsidRPr="00771C23">
              <w:rPr>
                <w:rFonts w:eastAsia="Times New Roman"/>
                <w:color w:val="000000" w:themeColor="text1"/>
                <w:spacing w:val="4"/>
                <w:sz w:val="16"/>
                <w:szCs w:val="16"/>
                <w:lang w:val="en-GB"/>
              </w:rPr>
              <w:t>support and capacity building that contribute to strengthening individual and family functioning and communities</w:t>
            </w:r>
          </w:p>
        </w:tc>
        <w:tc>
          <w:tcPr>
            <w:tcW w:w="2628" w:type="dxa"/>
            <w:tcBorders>
              <w:top w:val="single" w:sz="18" w:space="0" w:color="00B0B9"/>
              <w:bottom w:val="single" w:sz="18" w:space="0" w:color="FFFFFF" w:themeColor="background1"/>
            </w:tcBorders>
          </w:tcPr>
          <w:p w14:paraId="3897BD2D" w14:textId="77777777" w:rsidR="0029429F" w:rsidRPr="00771C23" w:rsidRDefault="0029429F" w:rsidP="00E117FD">
            <w:pPr>
              <w:spacing w:before="40" w:after="40"/>
              <w:rPr>
                <w:rFonts w:eastAsia="Times New Roman"/>
                <w:spacing w:val="4"/>
                <w:sz w:val="16"/>
                <w:szCs w:val="16"/>
                <w:lang w:val="en-GB"/>
              </w:rPr>
            </w:pPr>
            <w:r w:rsidRPr="00771C23">
              <w:rPr>
                <w:rFonts w:eastAsia="Times New Roman"/>
                <w:spacing w:val="4"/>
                <w:sz w:val="16"/>
                <w:szCs w:val="16"/>
                <w:lang w:val="en-GB"/>
              </w:rPr>
              <w:t>Milestone/standard:</w:t>
            </w:r>
          </w:p>
          <w:p w14:paraId="3041338D" w14:textId="77777777" w:rsidR="0029429F" w:rsidRPr="00771C23" w:rsidRDefault="0029429F" w:rsidP="00E117FD">
            <w:pPr>
              <w:spacing w:before="40" w:after="40"/>
              <w:rPr>
                <w:rFonts w:eastAsia="Times New Roman"/>
                <w:spacing w:val="4"/>
                <w:sz w:val="16"/>
                <w:szCs w:val="16"/>
                <w:lang w:val="en-GB"/>
              </w:rPr>
            </w:pPr>
            <w:r w:rsidRPr="00771C23">
              <w:rPr>
                <w:rFonts w:eastAsia="Times New Roman"/>
                <w:spacing w:val="4"/>
                <w:sz w:val="16"/>
                <w:szCs w:val="16"/>
                <w:lang w:val="en-GB"/>
              </w:rPr>
              <w:t>Standard of delivery is performed in accordance with the terms and conditions of organisations’ contracts and agreements with the department</w:t>
            </w:r>
          </w:p>
        </w:tc>
        <w:tc>
          <w:tcPr>
            <w:tcW w:w="1053" w:type="dxa"/>
            <w:tcBorders>
              <w:top w:val="single" w:sz="18" w:space="0" w:color="00B0B9"/>
              <w:bottom w:val="single" w:sz="18" w:space="0" w:color="FFFFFF" w:themeColor="background1"/>
            </w:tcBorders>
            <w:vAlign w:val="center"/>
            <w:hideMark/>
          </w:tcPr>
          <w:p w14:paraId="506377A5" w14:textId="77777777" w:rsidR="0029429F" w:rsidRPr="00771C23" w:rsidRDefault="0029429F" w:rsidP="00E117FD">
            <w:pPr>
              <w:spacing w:before="40" w:after="40"/>
              <w:jc w:val="center"/>
              <w:rPr>
                <w:rFonts w:eastAsia="Times New Roman"/>
                <w:spacing w:val="4"/>
                <w:sz w:val="20"/>
                <w:szCs w:val="16"/>
                <w:lang w:val="en-GB"/>
              </w:rPr>
            </w:pPr>
            <w:r w:rsidRPr="00771C23">
              <w:rPr>
                <w:rFonts w:eastAsia="Times New Roman"/>
                <w:spacing w:val="4"/>
                <w:sz w:val="20"/>
                <w:szCs w:val="16"/>
                <w:lang w:val="en-GB"/>
              </w:rPr>
              <w:sym w:font="Wingdings" w:char="F0FE"/>
            </w:r>
          </w:p>
        </w:tc>
        <w:tc>
          <w:tcPr>
            <w:tcW w:w="1053" w:type="dxa"/>
            <w:tcBorders>
              <w:top w:val="single" w:sz="18" w:space="0" w:color="00B0B9"/>
              <w:bottom w:val="single" w:sz="18" w:space="0" w:color="FFFFFF" w:themeColor="background1"/>
            </w:tcBorders>
            <w:vAlign w:val="center"/>
          </w:tcPr>
          <w:p w14:paraId="12F1E377" w14:textId="77777777" w:rsidR="0029429F" w:rsidRPr="00771C23" w:rsidRDefault="0029429F" w:rsidP="00E117FD">
            <w:pPr>
              <w:spacing w:before="40" w:after="40"/>
              <w:jc w:val="center"/>
              <w:rPr>
                <w:rFonts w:eastAsia="Times New Roman"/>
                <w:spacing w:val="4"/>
                <w:sz w:val="20"/>
                <w:szCs w:val="16"/>
                <w:lang w:val="en-GB"/>
              </w:rPr>
            </w:pPr>
            <w:r w:rsidRPr="00771C23">
              <w:rPr>
                <w:rFonts w:eastAsia="Times New Roman"/>
                <w:spacing w:val="4"/>
                <w:sz w:val="20"/>
                <w:szCs w:val="16"/>
                <w:lang w:val="en-GB"/>
              </w:rPr>
              <w:sym w:font="Wingdings" w:char="F0FE"/>
            </w:r>
          </w:p>
        </w:tc>
        <w:tc>
          <w:tcPr>
            <w:tcW w:w="1053" w:type="dxa"/>
            <w:tcBorders>
              <w:top w:val="single" w:sz="18" w:space="0" w:color="00B0B9"/>
              <w:bottom w:val="single" w:sz="18" w:space="0" w:color="FFFFFF" w:themeColor="background1"/>
              <w:right w:val="nil"/>
            </w:tcBorders>
            <w:vAlign w:val="center"/>
          </w:tcPr>
          <w:p w14:paraId="64AFFCA2" w14:textId="77777777" w:rsidR="0029429F" w:rsidRPr="00771C23" w:rsidRDefault="0029429F" w:rsidP="00E117FD">
            <w:pPr>
              <w:spacing w:before="40" w:after="40"/>
              <w:jc w:val="center"/>
              <w:rPr>
                <w:rFonts w:eastAsia="Times New Roman"/>
                <w:color w:val="000000" w:themeColor="text1"/>
                <w:spacing w:val="4"/>
                <w:sz w:val="20"/>
                <w:szCs w:val="16"/>
                <w:lang w:val="en-GB"/>
              </w:rPr>
            </w:pPr>
            <w:r w:rsidRPr="00771C23">
              <w:rPr>
                <w:rFonts w:eastAsia="Times New Roman"/>
                <w:spacing w:val="4"/>
                <w:sz w:val="20"/>
                <w:szCs w:val="16"/>
                <w:lang w:val="en-GB"/>
              </w:rPr>
              <w:sym w:font="Wingdings" w:char="F0FE"/>
            </w:r>
          </w:p>
        </w:tc>
      </w:tr>
      <w:tr w:rsidR="0029429F" w:rsidRPr="00771C23" w14:paraId="0458C9D3" w14:textId="77777777" w:rsidTr="003A047F">
        <w:trPr>
          <w:cnfStyle w:val="000000100000" w:firstRow="0" w:lastRow="0" w:firstColumn="0" w:lastColumn="0" w:oddVBand="0" w:evenVBand="0" w:oddHBand="1" w:evenHBand="0" w:firstRowFirstColumn="0" w:firstRowLastColumn="0" w:lastRowFirstColumn="0" w:lastRowLastColumn="0"/>
          <w:trHeight w:val="317"/>
        </w:trPr>
        <w:tc>
          <w:tcPr>
            <w:tcW w:w="8980" w:type="dxa"/>
            <w:gridSpan w:val="5"/>
            <w:tcBorders>
              <w:left w:val="nil"/>
              <w:bottom w:val="single" w:sz="18" w:space="0" w:color="00B0B9"/>
              <w:right w:val="nil"/>
            </w:tcBorders>
          </w:tcPr>
          <w:p w14:paraId="7B90FD77" w14:textId="77777777" w:rsidR="0029429F" w:rsidRPr="00771C23" w:rsidRDefault="0029429F" w:rsidP="00E117FD">
            <w:pPr>
              <w:spacing w:before="40" w:after="40"/>
              <w:rPr>
                <w:rFonts w:eastAsia="Times New Roman" w:cs="Arial"/>
                <w:b/>
                <w:color w:val="000000" w:themeColor="text1"/>
                <w:sz w:val="16"/>
                <w:szCs w:val="16"/>
              </w:rPr>
            </w:pPr>
            <w:r w:rsidRPr="00771C23">
              <w:rPr>
                <w:rFonts w:eastAsia="Times New Roman" w:cs="Arial"/>
                <w:b/>
                <w:color w:val="000000" w:themeColor="text1"/>
                <w:sz w:val="16"/>
                <w:szCs w:val="16"/>
              </w:rPr>
              <w:t>Program 2.2: Paid Parental Leave</w:t>
            </w:r>
          </w:p>
        </w:tc>
      </w:tr>
      <w:tr w:rsidR="0029429F" w:rsidRPr="00771C23" w14:paraId="62CEC9D7" w14:textId="77777777" w:rsidTr="003A047F">
        <w:trPr>
          <w:cnfStyle w:val="000000010000" w:firstRow="0" w:lastRow="0" w:firstColumn="0" w:lastColumn="0" w:oddVBand="0" w:evenVBand="0" w:oddHBand="0" w:evenHBand="1" w:firstRowFirstColumn="0" w:firstRowLastColumn="0" w:lastRowFirstColumn="0" w:lastRowLastColumn="0"/>
        </w:trPr>
        <w:tc>
          <w:tcPr>
            <w:tcW w:w="3193" w:type="dxa"/>
            <w:tcBorders>
              <w:top w:val="single" w:sz="18" w:space="0" w:color="00B0B9"/>
              <w:left w:val="nil"/>
            </w:tcBorders>
            <w:hideMark/>
          </w:tcPr>
          <w:p w14:paraId="5D436669" w14:textId="77777777" w:rsidR="0029429F" w:rsidRPr="00771C23" w:rsidRDefault="0029429F" w:rsidP="00E117FD">
            <w:pPr>
              <w:spacing w:before="40" w:after="40"/>
              <w:rPr>
                <w:rFonts w:eastAsia="Times New Roman" w:cs="Arial"/>
                <w:color w:val="000000" w:themeColor="text1"/>
                <w:spacing w:val="4"/>
                <w:sz w:val="16"/>
                <w:szCs w:val="16"/>
                <w:lang w:val="en-GB"/>
              </w:rPr>
            </w:pPr>
            <w:r w:rsidRPr="00771C23">
              <w:rPr>
                <w:rFonts w:eastAsia="Times New Roman"/>
                <w:color w:val="000000" w:themeColor="text1"/>
                <w:spacing w:val="4"/>
                <w:sz w:val="16"/>
                <w:szCs w:val="16"/>
                <w:lang w:val="en-GB"/>
              </w:rPr>
              <w:t>Agreement is in place with Services Australia to provide assurance that the delivery of the payments below are made in accordance with relevant legislation, policy and guidelines:</w:t>
            </w:r>
          </w:p>
          <w:p w14:paraId="7DBCC446" w14:textId="77777777" w:rsidR="0029429F" w:rsidRPr="00771C23" w:rsidRDefault="0029429F" w:rsidP="00E117FD">
            <w:pPr>
              <w:numPr>
                <w:ilvl w:val="0"/>
                <w:numId w:val="70"/>
              </w:numPr>
              <w:spacing w:before="40" w:after="40"/>
              <w:rPr>
                <w:rFonts w:eastAsia="Times New Roman"/>
                <w:color w:val="000000" w:themeColor="text1"/>
                <w:spacing w:val="4"/>
                <w:sz w:val="16"/>
                <w:szCs w:val="16"/>
                <w:lang w:val="en-GB"/>
              </w:rPr>
            </w:pPr>
            <w:r w:rsidRPr="00771C23">
              <w:rPr>
                <w:rFonts w:eastAsia="Times New Roman"/>
                <w:color w:val="000000" w:themeColor="text1"/>
                <w:spacing w:val="4"/>
                <w:sz w:val="16"/>
                <w:szCs w:val="16"/>
                <w:lang w:val="en-GB"/>
              </w:rPr>
              <w:t>Dad and Partner Pay</w:t>
            </w:r>
          </w:p>
          <w:p w14:paraId="4DC2B47B" w14:textId="77777777" w:rsidR="0029429F" w:rsidRPr="00771C23" w:rsidRDefault="0029429F" w:rsidP="00E117FD">
            <w:pPr>
              <w:numPr>
                <w:ilvl w:val="0"/>
                <w:numId w:val="70"/>
              </w:numPr>
              <w:spacing w:before="40" w:after="40"/>
              <w:rPr>
                <w:rFonts w:eastAsia="Times New Roman"/>
                <w:color w:val="000000" w:themeColor="text1"/>
                <w:spacing w:val="4"/>
                <w:sz w:val="16"/>
                <w:szCs w:val="16"/>
                <w:lang w:val="en-GB"/>
              </w:rPr>
            </w:pPr>
            <w:r w:rsidRPr="00771C23">
              <w:rPr>
                <w:rFonts w:eastAsia="Times New Roman"/>
                <w:color w:val="000000" w:themeColor="text1"/>
                <w:spacing w:val="4"/>
                <w:sz w:val="16"/>
                <w:szCs w:val="16"/>
                <w:lang w:val="en-GB"/>
              </w:rPr>
              <w:t>Parental Leave Pay</w:t>
            </w:r>
          </w:p>
        </w:tc>
        <w:tc>
          <w:tcPr>
            <w:tcW w:w="2628" w:type="dxa"/>
            <w:tcBorders>
              <w:top w:val="single" w:sz="18" w:space="0" w:color="00B0B9"/>
            </w:tcBorders>
          </w:tcPr>
          <w:p w14:paraId="4192A0AF" w14:textId="77777777" w:rsidR="0029429F" w:rsidRPr="00771C23" w:rsidRDefault="0029429F" w:rsidP="00E117FD">
            <w:pPr>
              <w:spacing w:before="40" w:after="40"/>
              <w:rPr>
                <w:rFonts w:eastAsia="Times New Roman"/>
                <w:spacing w:val="4"/>
                <w:sz w:val="16"/>
                <w:szCs w:val="16"/>
                <w:lang w:val="en-GB"/>
              </w:rPr>
            </w:pPr>
            <w:r w:rsidRPr="00771C23">
              <w:rPr>
                <w:rFonts w:eastAsia="Times New Roman"/>
                <w:spacing w:val="4"/>
                <w:sz w:val="16"/>
                <w:szCs w:val="16"/>
                <w:lang w:val="en-GB"/>
              </w:rPr>
              <w:t>Milestone/ standard:</w:t>
            </w:r>
          </w:p>
          <w:p w14:paraId="312B36C9" w14:textId="77777777" w:rsidR="0029429F" w:rsidRPr="00771C23" w:rsidRDefault="0029429F" w:rsidP="00E117FD">
            <w:pPr>
              <w:spacing w:before="40" w:after="40"/>
              <w:rPr>
                <w:rFonts w:eastAsia="Times New Roman"/>
                <w:spacing w:val="4"/>
                <w:sz w:val="16"/>
                <w:szCs w:val="16"/>
                <w:lang w:val="en-GB"/>
              </w:rPr>
            </w:pPr>
            <w:r w:rsidRPr="00771C23">
              <w:rPr>
                <w:rFonts w:eastAsia="Times New Roman"/>
                <w:spacing w:val="4"/>
                <w:sz w:val="16"/>
                <w:szCs w:val="16"/>
                <w:lang w:val="en-GB"/>
              </w:rPr>
              <w:t>Agreement is in place</w:t>
            </w:r>
          </w:p>
        </w:tc>
        <w:tc>
          <w:tcPr>
            <w:tcW w:w="1053" w:type="dxa"/>
            <w:tcBorders>
              <w:top w:val="single" w:sz="18" w:space="0" w:color="00B0B9"/>
            </w:tcBorders>
            <w:vAlign w:val="center"/>
          </w:tcPr>
          <w:p w14:paraId="61E1955C" w14:textId="77777777" w:rsidR="0029429F" w:rsidRPr="00771C23" w:rsidRDefault="0029429F" w:rsidP="00E117FD">
            <w:pPr>
              <w:spacing w:before="40" w:after="40"/>
              <w:jc w:val="center"/>
              <w:rPr>
                <w:rFonts w:eastAsia="Times New Roman"/>
                <w:spacing w:val="4"/>
                <w:sz w:val="20"/>
                <w:szCs w:val="16"/>
                <w:lang w:val="en-GB"/>
              </w:rPr>
            </w:pPr>
            <w:r w:rsidRPr="00771C23">
              <w:rPr>
                <w:rFonts w:eastAsia="Times New Roman"/>
                <w:spacing w:val="4"/>
                <w:sz w:val="20"/>
                <w:szCs w:val="16"/>
                <w:lang w:val="en-GB"/>
              </w:rPr>
              <w:sym w:font="Wingdings" w:char="F0FE"/>
            </w:r>
          </w:p>
        </w:tc>
        <w:tc>
          <w:tcPr>
            <w:tcW w:w="1053" w:type="dxa"/>
            <w:tcBorders>
              <w:top w:val="single" w:sz="18" w:space="0" w:color="00B0B9"/>
            </w:tcBorders>
            <w:vAlign w:val="center"/>
          </w:tcPr>
          <w:p w14:paraId="262BCA2F" w14:textId="77777777" w:rsidR="0029429F" w:rsidRPr="00771C23" w:rsidRDefault="0029429F" w:rsidP="00E117FD">
            <w:pPr>
              <w:spacing w:before="40" w:after="40"/>
              <w:jc w:val="center"/>
              <w:rPr>
                <w:rFonts w:eastAsia="Times New Roman"/>
                <w:spacing w:val="4"/>
                <w:sz w:val="20"/>
                <w:szCs w:val="16"/>
                <w:lang w:val="en-GB"/>
              </w:rPr>
            </w:pPr>
            <w:r w:rsidRPr="00771C23">
              <w:rPr>
                <w:rFonts w:eastAsia="Times New Roman"/>
                <w:spacing w:val="4"/>
                <w:sz w:val="20"/>
                <w:szCs w:val="16"/>
                <w:lang w:val="en-GB"/>
              </w:rPr>
              <w:sym w:font="Wingdings" w:char="F0FE"/>
            </w:r>
          </w:p>
        </w:tc>
        <w:tc>
          <w:tcPr>
            <w:tcW w:w="1053" w:type="dxa"/>
            <w:tcBorders>
              <w:top w:val="single" w:sz="18" w:space="0" w:color="00B0B9"/>
              <w:right w:val="nil"/>
            </w:tcBorders>
            <w:vAlign w:val="center"/>
          </w:tcPr>
          <w:p w14:paraId="78F825CB" w14:textId="77777777" w:rsidR="0029429F" w:rsidRPr="00771C23" w:rsidRDefault="0029429F" w:rsidP="00E117FD">
            <w:pPr>
              <w:spacing w:before="40" w:after="40"/>
              <w:jc w:val="center"/>
              <w:rPr>
                <w:rFonts w:eastAsia="Times New Roman"/>
                <w:color w:val="000000" w:themeColor="text1"/>
                <w:spacing w:val="4"/>
                <w:sz w:val="20"/>
                <w:szCs w:val="16"/>
                <w:lang w:val="en-GB"/>
              </w:rPr>
            </w:pPr>
            <w:r w:rsidRPr="00771C23">
              <w:rPr>
                <w:rFonts w:eastAsia="Times New Roman"/>
                <w:spacing w:val="4"/>
                <w:sz w:val="20"/>
                <w:szCs w:val="16"/>
                <w:lang w:val="en-GB"/>
              </w:rPr>
              <w:sym w:font="Wingdings" w:char="F0FE"/>
            </w:r>
          </w:p>
        </w:tc>
      </w:tr>
      <w:tr w:rsidR="0029429F" w:rsidRPr="00771C23" w14:paraId="6388F48C" w14:textId="77777777" w:rsidTr="003A047F">
        <w:trPr>
          <w:cnfStyle w:val="000000100000" w:firstRow="0" w:lastRow="0" w:firstColumn="0" w:lastColumn="0" w:oddVBand="0" w:evenVBand="0" w:oddHBand="1" w:evenHBand="0" w:firstRowFirstColumn="0" w:firstRowLastColumn="0" w:lastRowFirstColumn="0" w:lastRowLastColumn="0"/>
          <w:trHeight w:val="317"/>
        </w:trPr>
        <w:tc>
          <w:tcPr>
            <w:tcW w:w="8980" w:type="dxa"/>
            <w:gridSpan w:val="5"/>
            <w:tcBorders>
              <w:left w:val="nil"/>
              <w:bottom w:val="single" w:sz="18" w:space="0" w:color="00B0B9"/>
              <w:right w:val="nil"/>
            </w:tcBorders>
          </w:tcPr>
          <w:p w14:paraId="322228EE" w14:textId="77777777" w:rsidR="0029429F" w:rsidRPr="00771C23" w:rsidRDefault="0029429F" w:rsidP="00E117FD">
            <w:pPr>
              <w:spacing w:before="40" w:after="40"/>
              <w:rPr>
                <w:rFonts w:eastAsia="Times New Roman"/>
                <w:b/>
                <w:color w:val="000000" w:themeColor="text1"/>
                <w:spacing w:val="4"/>
                <w:sz w:val="16"/>
                <w:szCs w:val="16"/>
                <w:lang w:val="en-GB"/>
              </w:rPr>
            </w:pPr>
            <w:r w:rsidRPr="00771C23">
              <w:rPr>
                <w:rFonts w:eastAsia="Times New Roman"/>
                <w:b/>
                <w:color w:val="000000" w:themeColor="text1"/>
                <w:spacing w:val="4"/>
                <w:sz w:val="16"/>
                <w:szCs w:val="16"/>
                <w:lang w:val="en-GB"/>
              </w:rPr>
              <w:t>Program 2.3: Social and Community Services</w:t>
            </w:r>
          </w:p>
        </w:tc>
      </w:tr>
      <w:tr w:rsidR="0029429F" w:rsidRPr="00771C23" w14:paraId="1858EAF1" w14:textId="77777777" w:rsidTr="003A047F">
        <w:trPr>
          <w:cnfStyle w:val="000000010000" w:firstRow="0" w:lastRow="0" w:firstColumn="0" w:lastColumn="0" w:oddVBand="0" w:evenVBand="0" w:oddHBand="0" w:evenHBand="1" w:firstRowFirstColumn="0" w:firstRowLastColumn="0" w:lastRowFirstColumn="0" w:lastRowLastColumn="0"/>
        </w:trPr>
        <w:tc>
          <w:tcPr>
            <w:tcW w:w="3193" w:type="dxa"/>
            <w:tcBorders>
              <w:top w:val="single" w:sz="18" w:space="0" w:color="00B0B9"/>
              <w:left w:val="nil"/>
            </w:tcBorders>
            <w:hideMark/>
          </w:tcPr>
          <w:p w14:paraId="181A80A5" w14:textId="77777777" w:rsidR="0029429F" w:rsidRPr="00771C23" w:rsidRDefault="0029429F" w:rsidP="00E117FD">
            <w:pPr>
              <w:spacing w:before="40" w:after="40"/>
              <w:rPr>
                <w:rFonts w:eastAsia="Times New Roman"/>
                <w:color w:val="000000" w:themeColor="text1"/>
                <w:spacing w:val="4"/>
                <w:sz w:val="16"/>
                <w:szCs w:val="16"/>
                <w:lang w:val="en-GB"/>
              </w:rPr>
            </w:pPr>
            <w:r w:rsidRPr="00771C23">
              <w:rPr>
                <w:rFonts w:eastAsia="Times New Roman"/>
                <w:color w:val="000000" w:themeColor="text1"/>
                <w:spacing w:val="4"/>
                <w:sz w:val="16"/>
                <w:szCs w:val="16"/>
                <w:lang w:val="en-GB"/>
              </w:rPr>
              <w:t>Delivery complies with relevant legislation</w:t>
            </w:r>
          </w:p>
          <w:p w14:paraId="4BC5EEFE" w14:textId="77777777" w:rsidR="0029429F" w:rsidRPr="00771C23" w:rsidRDefault="0029429F" w:rsidP="00E117FD">
            <w:pPr>
              <w:spacing w:before="40" w:after="40"/>
              <w:rPr>
                <w:rFonts w:eastAsia="Times New Roman"/>
                <w:color w:val="000000" w:themeColor="text1"/>
                <w:spacing w:val="4"/>
                <w:sz w:val="16"/>
                <w:szCs w:val="16"/>
                <w:lang w:val="en-GB"/>
              </w:rPr>
            </w:pPr>
            <w:r w:rsidRPr="00771C23">
              <w:rPr>
                <w:rFonts w:eastAsia="Times New Roman"/>
                <w:color w:val="000000" w:themeColor="text1"/>
                <w:spacing w:val="4"/>
                <w:sz w:val="16"/>
                <w:szCs w:val="16"/>
                <w:lang w:val="en-GB"/>
              </w:rPr>
              <w:t>The funds appropriated to the department are issued to meet the Australian Government’s share of the pay increases</w:t>
            </w:r>
          </w:p>
        </w:tc>
        <w:tc>
          <w:tcPr>
            <w:tcW w:w="2628" w:type="dxa"/>
            <w:tcBorders>
              <w:top w:val="single" w:sz="18" w:space="0" w:color="00B0B9"/>
            </w:tcBorders>
          </w:tcPr>
          <w:p w14:paraId="036E50D5" w14:textId="77777777" w:rsidR="0029429F" w:rsidRPr="00771C23" w:rsidRDefault="0029429F" w:rsidP="00E117FD">
            <w:pPr>
              <w:spacing w:before="40" w:after="40"/>
              <w:rPr>
                <w:rFonts w:eastAsia="Times New Roman"/>
                <w:spacing w:val="4"/>
                <w:sz w:val="16"/>
                <w:szCs w:val="16"/>
                <w:lang w:val="en-GB"/>
              </w:rPr>
            </w:pPr>
            <w:r w:rsidRPr="00771C23">
              <w:rPr>
                <w:rFonts w:eastAsia="Times New Roman"/>
                <w:spacing w:val="4"/>
                <w:sz w:val="16"/>
                <w:szCs w:val="16"/>
                <w:lang w:val="en-GB"/>
              </w:rPr>
              <w:t>Milestone/standard:</w:t>
            </w:r>
          </w:p>
          <w:p w14:paraId="3A1FA497" w14:textId="77777777" w:rsidR="0029429F" w:rsidRPr="00771C23" w:rsidRDefault="0029429F" w:rsidP="00E117FD">
            <w:pPr>
              <w:spacing w:before="40" w:after="40"/>
              <w:rPr>
                <w:rFonts w:eastAsia="Times New Roman"/>
                <w:spacing w:val="4"/>
                <w:sz w:val="16"/>
                <w:szCs w:val="16"/>
                <w:lang w:val="en-GB"/>
              </w:rPr>
            </w:pPr>
            <w:r w:rsidRPr="00771C23">
              <w:rPr>
                <w:rFonts w:eastAsia="Times New Roman"/>
                <w:spacing w:val="4"/>
                <w:sz w:val="16"/>
                <w:szCs w:val="16"/>
                <w:lang w:val="en-GB"/>
              </w:rPr>
              <w:t>Payments were made as described</w:t>
            </w:r>
          </w:p>
        </w:tc>
        <w:tc>
          <w:tcPr>
            <w:tcW w:w="1053" w:type="dxa"/>
            <w:tcBorders>
              <w:top w:val="single" w:sz="18" w:space="0" w:color="00B0B9"/>
            </w:tcBorders>
            <w:vAlign w:val="center"/>
          </w:tcPr>
          <w:p w14:paraId="6AFA0AF2" w14:textId="77777777" w:rsidR="0029429F" w:rsidRPr="00771C23" w:rsidRDefault="0029429F" w:rsidP="00E117FD">
            <w:pPr>
              <w:spacing w:before="40" w:after="40"/>
              <w:jc w:val="center"/>
              <w:rPr>
                <w:rFonts w:eastAsia="Times New Roman"/>
                <w:spacing w:val="4"/>
                <w:sz w:val="20"/>
                <w:szCs w:val="16"/>
                <w:lang w:val="en-GB"/>
              </w:rPr>
            </w:pPr>
            <w:r w:rsidRPr="00771C23">
              <w:rPr>
                <w:rFonts w:eastAsia="Times New Roman"/>
                <w:spacing w:val="4"/>
                <w:sz w:val="20"/>
                <w:szCs w:val="16"/>
                <w:lang w:val="en-GB"/>
              </w:rPr>
              <w:sym w:font="Wingdings" w:char="F0FE"/>
            </w:r>
          </w:p>
        </w:tc>
        <w:tc>
          <w:tcPr>
            <w:tcW w:w="1053" w:type="dxa"/>
            <w:tcBorders>
              <w:top w:val="single" w:sz="18" w:space="0" w:color="00B0B9"/>
            </w:tcBorders>
            <w:vAlign w:val="center"/>
          </w:tcPr>
          <w:p w14:paraId="1582DACE" w14:textId="77777777" w:rsidR="0029429F" w:rsidRPr="00771C23" w:rsidRDefault="0029429F" w:rsidP="00E117FD">
            <w:pPr>
              <w:spacing w:before="40" w:after="40"/>
              <w:jc w:val="center"/>
              <w:rPr>
                <w:rFonts w:eastAsia="Times New Roman"/>
                <w:spacing w:val="4"/>
                <w:sz w:val="20"/>
                <w:szCs w:val="16"/>
                <w:lang w:val="en-GB"/>
              </w:rPr>
            </w:pPr>
            <w:r w:rsidRPr="00771C23">
              <w:rPr>
                <w:rFonts w:eastAsia="Times New Roman"/>
                <w:spacing w:val="4"/>
                <w:sz w:val="20"/>
                <w:szCs w:val="16"/>
                <w:lang w:val="en-GB"/>
              </w:rPr>
              <w:sym w:font="Wingdings" w:char="F0FE"/>
            </w:r>
          </w:p>
        </w:tc>
        <w:tc>
          <w:tcPr>
            <w:tcW w:w="1053" w:type="dxa"/>
            <w:tcBorders>
              <w:top w:val="single" w:sz="18" w:space="0" w:color="00B0B9"/>
              <w:right w:val="nil"/>
            </w:tcBorders>
            <w:vAlign w:val="center"/>
          </w:tcPr>
          <w:p w14:paraId="5810D219" w14:textId="77777777" w:rsidR="0029429F" w:rsidRPr="00771C23" w:rsidRDefault="0029429F" w:rsidP="00E117FD">
            <w:pPr>
              <w:spacing w:before="40" w:after="40"/>
              <w:jc w:val="center"/>
              <w:rPr>
                <w:rFonts w:eastAsia="Times New Roman"/>
                <w:color w:val="000000" w:themeColor="text1"/>
                <w:spacing w:val="4"/>
                <w:sz w:val="20"/>
                <w:szCs w:val="16"/>
                <w:lang w:val="en-GB"/>
              </w:rPr>
            </w:pPr>
            <w:r w:rsidRPr="00771C23">
              <w:rPr>
                <w:rFonts w:eastAsia="Times New Roman"/>
                <w:spacing w:val="4"/>
                <w:sz w:val="20"/>
                <w:szCs w:val="16"/>
                <w:lang w:val="en-GB"/>
              </w:rPr>
              <w:sym w:font="Wingdings" w:char="F0FE"/>
            </w:r>
          </w:p>
        </w:tc>
      </w:tr>
      <w:tr w:rsidR="0029429F" w:rsidRPr="00771C23" w14:paraId="14A9367A" w14:textId="77777777" w:rsidTr="003A047F">
        <w:trPr>
          <w:cnfStyle w:val="000000100000" w:firstRow="0" w:lastRow="0" w:firstColumn="0" w:lastColumn="0" w:oddVBand="0" w:evenVBand="0" w:oddHBand="1" w:evenHBand="0" w:firstRowFirstColumn="0" w:firstRowLastColumn="0" w:lastRowFirstColumn="0" w:lastRowLastColumn="0"/>
        </w:trPr>
        <w:tc>
          <w:tcPr>
            <w:tcW w:w="8980" w:type="dxa"/>
            <w:gridSpan w:val="5"/>
            <w:tcBorders>
              <w:left w:val="nil"/>
              <w:bottom w:val="single" w:sz="18" w:space="0" w:color="00B0B9"/>
              <w:right w:val="nil"/>
            </w:tcBorders>
          </w:tcPr>
          <w:p w14:paraId="2639DB92" w14:textId="77777777" w:rsidR="0029429F" w:rsidRPr="00771C23" w:rsidRDefault="0029429F" w:rsidP="00E117FD">
            <w:pPr>
              <w:spacing w:before="40" w:after="40"/>
              <w:rPr>
                <w:rFonts w:eastAsia="Times New Roman"/>
                <w:b/>
                <w:color w:val="000000" w:themeColor="text1"/>
                <w:spacing w:val="4"/>
                <w:sz w:val="16"/>
                <w:szCs w:val="16"/>
                <w:lang w:val="en-GB"/>
              </w:rPr>
            </w:pPr>
            <w:r w:rsidRPr="00771C23">
              <w:rPr>
                <w:rFonts w:eastAsia="Times New Roman"/>
                <w:b/>
                <w:color w:val="000000" w:themeColor="text1"/>
                <w:spacing w:val="4"/>
                <w:sz w:val="16"/>
                <w:szCs w:val="16"/>
                <w:lang w:val="en-GB"/>
              </w:rPr>
              <w:t>Program 2.4: Program Support for Outcome 2</w:t>
            </w:r>
          </w:p>
        </w:tc>
      </w:tr>
      <w:tr w:rsidR="0029429F" w:rsidRPr="00771C23" w14:paraId="559008FB" w14:textId="77777777" w:rsidTr="003A047F">
        <w:trPr>
          <w:cnfStyle w:val="000000010000" w:firstRow="0" w:lastRow="0" w:firstColumn="0" w:lastColumn="0" w:oddVBand="0" w:evenVBand="0" w:oddHBand="0" w:evenHBand="1" w:firstRowFirstColumn="0" w:firstRowLastColumn="0" w:lastRowFirstColumn="0" w:lastRowLastColumn="0"/>
        </w:trPr>
        <w:tc>
          <w:tcPr>
            <w:tcW w:w="3193" w:type="dxa"/>
            <w:tcBorders>
              <w:top w:val="single" w:sz="18" w:space="0" w:color="00B0B9"/>
              <w:left w:val="nil"/>
              <w:bottom w:val="nil"/>
            </w:tcBorders>
          </w:tcPr>
          <w:p w14:paraId="3A9B8FE8" w14:textId="77777777" w:rsidR="0029429F" w:rsidRPr="00771C23" w:rsidRDefault="0029429F" w:rsidP="00E117FD">
            <w:pPr>
              <w:keepNext/>
              <w:keepLines/>
              <w:spacing w:before="40" w:after="40"/>
              <w:rPr>
                <w:rFonts w:eastAsia="Times New Roman"/>
                <w:color w:val="000000" w:themeColor="text1"/>
                <w:spacing w:val="4"/>
                <w:sz w:val="16"/>
                <w:szCs w:val="16"/>
                <w:lang w:val="en-GB"/>
              </w:rPr>
            </w:pPr>
            <w:r w:rsidRPr="00771C23">
              <w:rPr>
                <w:rFonts w:eastAsia="Times New Roman"/>
                <w:color w:val="000000" w:themeColor="text1"/>
                <w:spacing w:val="4"/>
                <w:sz w:val="16"/>
                <w:szCs w:val="16"/>
                <w:lang w:val="en-GB"/>
              </w:rPr>
              <w:t>Total departmental funding for Outcome 2</w:t>
            </w:r>
          </w:p>
        </w:tc>
        <w:tc>
          <w:tcPr>
            <w:tcW w:w="2628" w:type="dxa"/>
            <w:tcBorders>
              <w:top w:val="single" w:sz="18" w:space="0" w:color="00B0B9"/>
              <w:bottom w:val="nil"/>
            </w:tcBorders>
          </w:tcPr>
          <w:p w14:paraId="7CEC89D9" w14:textId="77777777" w:rsidR="0029429F" w:rsidRPr="00771C23" w:rsidRDefault="0029429F" w:rsidP="00E117FD">
            <w:pPr>
              <w:spacing w:before="40" w:after="40"/>
              <w:rPr>
                <w:rFonts w:eastAsia="Times New Roman"/>
                <w:spacing w:val="4"/>
                <w:sz w:val="16"/>
                <w:szCs w:val="16"/>
                <w:lang w:val="en-GB"/>
              </w:rPr>
            </w:pPr>
            <w:r w:rsidRPr="00771C23">
              <w:rPr>
                <w:rFonts w:eastAsia="Times New Roman"/>
                <w:spacing w:val="4"/>
                <w:sz w:val="16"/>
                <w:szCs w:val="16"/>
                <w:lang w:val="en-GB"/>
              </w:rPr>
              <w:t>Milestone/standard:</w:t>
            </w:r>
          </w:p>
          <w:p w14:paraId="1971507B" w14:textId="77777777" w:rsidR="0029429F" w:rsidRPr="00771C23" w:rsidRDefault="0029429F" w:rsidP="00E117FD">
            <w:pPr>
              <w:spacing w:before="40" w:after="40"/>
              <w:rPr>
                <w:rFonts w:eastAsia="Times New Roman"/>
                <w:spacing w:val="4"/>
                <w:sz w:val="16"/>
                <w:szCs w:val="16"/>
                <w:lang w:val="en-GB"/>
              </w:rPr>
            </w:pPr>
            <w:r w:rsidRPr="00771C23">
              <w:rPr>
                <w:rFonts w:eastAsia="Times New Roman"/>
                <w:spacing w:val="4"/>
                <w:sz w:val="16"/>
                <w:szCs w:val="16"/>
                <w:lang w:val="en-GB"/>
              </w:rPr>
              <w:t>Departmental funding is expended to achieve agency outcomes</w:t>
            </w:r>
          </w:p>
        </w:tc>
        <w:tc>
          <w:tcPr>
            <w:tcW w:w="1053" w:type="dxa"/>
            <w:tcBorders>
              <w:top w:val="single" w:sz="18" w:space="0" w:color="00B0B9"/>
              <w:bottom w:val="nil"/>
            </w:tcBorders>
            <w:vAlign w:val="center"/>
          </w:tcPr>
          <w:p w14:paraId="2B2941E5" w14:textId="77777777" w:rsidR="0029429F" w:rsidRPr="00771C23" w:rsidRDefault="0029429F" w:rsidP="00E117FD">
            <w:pPr>
              <w:spacing w:before="40" w:after="40"/>
              <w:jc w:val="center"/>
              <w:rPr>
                <w:rFonts w:eastAsia="Times New Roman"/>
                <w:spacing w:val="4"/>
                <w:sz w:val="16"/>
                <w:szCs w:val="16"/>
                <w:lang w:val="en-GB"/>
              </w:rPr>
            </w:pPr>
            <w:r w:rsidRPr="00771C23">
              <w:rPr>
                <w:rFonts w:eastAsia="Times New Roman"/>
                <w:spacing w:val="4"/>
                <w:sz w:val="16"/>
                <w:szCs w:val="16"/>
                <w:lang w:val="en-GB"/>
              </w:rPr>
              <w:t>$202.334m</w:t>
            </w:r>
          </w:p>
        </w:tc>
        <w:tc>
          <w:tcPr>
            <w:tcW w:w="1053" w:type="dxa"/>
            <w:tcBorders>
              <w:top w:val="single" w:sz="18" w:space="0" w:color="00B0B9"/>
              <w:bottom w:val="nil"/>
            </w:tcBorders>
            <w:vAlign w:val="center"/>
          </w:tcPr>
          <w:p w14:paraId="68D1C568" w14:textId="77777777" w:rsidR="0029429F" w:rsidRPr="00771C23" w:rsidRDefault="0029429F" w:rsidP="00E117FD">
            <w:pPr>
              <w:spacing w:before="40" w:after="40"/>
              <w:jc w:val="center"/>
              <w:rPr>
                <w:rFonts w:eastAsia="Times New Roman"/>
                <w:spacing w:val="4"/>
                <w:sz w:val="16"/>
                <w:szCs w:val="16"/>
                <w:lang w:val="en-GB"/>
              </w:rPr>
            </w:pPr>
            <w:r w:rsidRPr="00771C23">
              <w:rPr>
                <w:rFonts w:eastAsia="Times New Roman"/>
                <w:spacing w:val="4"/>
                <w:sz w:val="16"/>
                <w:szCs w:val="16"/>
                <w:lang w:val="en-GB"/>
              </w:rPr>
              <w:t>$244.017m</w:t>
            </w:r>
          </w:p>
        </w:tc>
        <w:tc>
          <w:tcPr>
            <w:tcW w:w="1053" w:type="dxa"/>
            <w:tcBorders>
              <w:top w:val="single" w:sz="18" w:space="0" w:color="00B0B9"/>
              <w:bottom w:val="nil"/>
              <w:right w:val="nil"/>
            </w:tcBorders>
            <w:vAlign w:val="center"/>
          </w:tcPr>
          <w:p w14:paraId="528F111B" w14:textId="77777777" w:rsidR="0029429F" w:rsidRPr="00771C23" w:rsidRDefault="0029429F" w:rsidP="00E117FD">
            <w:pPr>
              <w:spacing w:before="40" w:after="40"/>
              <w:jc w:val="center"/>
              <w:rPr>
                <w:rFonts w:eastAsia="Times New Roman"/>
                <w:color w:val="000000" w:themeColor="text1"/>
                <w:spacing w:val="4"/>
                <w:sz w:val="16"/>
                <w:szCs w:val="16"/>
                <w:lang w:val="en-GB"/>
              </w:rPr>
            </w:pPr>
            <w:r w:rsidRPr="00771C23">
              <w:rPr>
                <w:rFonts w:eastAsia="Times New Roman"/>
                <w:color w:val="000000" w:themeColor="text1"/>
                <w:spacing w:val="4"/>
                <w:sz w:val="16"/>
                <w:szCs w:val="16"/>
                <w:lang w:val="en-GB"/>
              </w:rPr>
              <w:t>$236.448m</w:t>
            </w:r>
          </w:p>
        </w:tc>
      </w:tr>
    </w:tbl>
    <w:p w14:paraId="11B56CAA" w14:textId="77777777" w:rsidR="0029429F" w:rsidRPr="00771C23" w:rsidRDefault="0029429F" w:rsidP="0029429F">
      <w:pPr>
        <w:rPr>
          <w:sz w:val="20"/>
          <w:szCs w:val="20"/>
        </w:rPr>
      </w:pPr>
    </w:p>
    <w:p w14:paraId="78166350" w14:textId="77777777" w:rsidR="0029429F" w:rsidRPr="00054A67" w:rsidRDefault="0029429F" w:rsidP="0029429F">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t>Performance Analysis of Outcome 2 Programs</w:t>
      </w:r>
    </w:p>
    <w:p w14:paraId="76279BF4" w14:textId="04C90E2D" w:rsidR="000B5158" w:rsidRPr="003A047F" w:rsidRDefault="000B5158" w:rsidP="000B5158">
      <w:pPr>
        <w:rPr>
          <w:sz w:val="20"/>
          <w:szCs w:val="20"/>
        </w:rPr>
      </w:pPr>
      <w:r w:rsidRPr="003A047F">
        <w:rPr>
          <w:sz w:val="20"/>
          <w:szCs w:val="20"/>
        </w:rPr>
        <w:t>Outcome 2 program performance criteria (as outlined in the 2019–20 Portfolio Budget Statement</w:t>
      </w:r>
      <w:r w:rsidR="00715789">
        <w:rPr>
          <w:sz w:val="20"/>
          <w:szCs w:val="20"/>
        </w:rPr>
        <w:t>s</w:t>
      </w:r>
      <w:r w:rsidRPr="003A047F">
        <w:rPr>
          <w:sz w:val="20"/>
          <w:szCs w:val="20"/>
        </w:rPr>
        <w:t>) are about having agreements in place and compliance with legislation.</w:t>
      </w:r>
    </w:p>
    <w:p w14:paraId="6896D487" w14:textId="0A7860F3" w:rsidR="000B5158" w:rsidRPr="003A047F" w:rsidRDefault="000B5158" w:rsidP="000B5158">
      <w:pPr>
        <w:rPr>
          <w:sz w:val="20"/>
          <w:szCs w:val="20"/>
        </w:rPr>
      </w:pPr>
      <w:r w:rsidRPr="003A047F">
        <w:rPr>
          <w:sz w:val="20"/>
          <w:szCs w:val="20"/>
        </w:rPr>
        <w:t>For the Families and Communities program</w:t>
      </w:r>
      <w:r w:rsidR="0035029D">
        <w:rPr>
          <w:sz w:val="20"/>
          <w:szCs w:val="20"/>
        </w:rPr>
        <w:t>,</w:t>
      </w:r>
      <w:r w:rsidRPr="003A047F">
        <w:rPr>
          <w:sz w:val="20"/>
          <w:szCs w:val="20"/>
        </w:rPr>
        <w:t xml:space="preserve"> the criteria relate to having agreements in place with organisations who deliver services and supports that contribute to strengthening communities and individual and family functioning. These agreements contain the agreed service level standards and expectations between the department and the organisation delivering the services. In the context of the financial year, these agreements were essential during the period to deliver, for example, emergency relief payments and grants to providers who were supporting communities through bushfires</w:t>
      </w:r>
      <w:r w:rsidR="00573214">
        <w:rPr>
          <w:sz w:val="20"/>
          <w:szCs w:val="20"/>
        </w:rPr>
        <w:t>, C</w:t>
      </w:r>
      <w:r w:rsidRPr="003A047F">
        <w:rPr>
          <w:sz w:val="20"/>
          <w:szCs w:val="20"/>
        </w:rPr>
        <w:t xml:space="preserve">OVID-19 and other economic impacts. These providers are geographically located in communities to provide on the ground support in service areas as set out in the funding agreements </w:t>
      </w:r>
      <w:r w:rsidRPr="003A047F">
        <w:rPr>
          <w:sz w:val="20"/>
          <w:szCs w:val="20"/>
        </w:rPr>
        <w:lastRenderedPageBreak/>
        <w:t xml:space="preserve">we have in place. In terms of assurance and support to these providers, the Community Grants Hub who administers and monitors performance of grant providers have regular reporting and engagement at the local level. </w:t>
      </w:r>
    </w:p>
    <w:p w14:paraId="7D6426AA" w14:textId="77777777" w:rsidR="000B5158" w:rsidRPr="003A047F" w:rsidRDefault="000B5158" w:rsidP="000B5158">
      <w:pPr>
        <w:rPr>
          <w:sz w:val="20"/>
          <w:szCs w:val="20"/>
        </w:rPr>
      </w:pPr>
      <w:r w:rsidRPr="003A047F">
        <w:rPr>
          <w:sz w:val="20"/>
          <w:szCs w:val="20"/>
        </w:rPr>
        <w:t xml:space="preserve">In 2020–21, program performance will be focused on measuring the effectiveness of the services delivered by the organisations, by seeking feedback from the users of the services. In addition, we will measure the impact of policy development through engagement with stakeholders and we will measure the delivery of services for the Cashless Debit Card and National Redress Scheme through timeliness and outputs reporting. </w:t>
      </w:r>
    </w:p>
    <w:p w14:paraId="062C4FFB" w14:textId="130461CC" w:rsidR="000B5158" w:rsidRPr="003A047F" w:rsidRDefault="000B5158" w:rsidP="000B5158">
      <w:pPr>
        <w:rPr>
          <w:sz w:val="20"/>
          <w:szCs w:val="20"/>
        </w:rPr>
      </w:pPr>
      <w:r w:rsidRPr="003A047F">
        <w:rPr>
          <w:sz w:val="20"/>
          <w:szCs w:val="20"/>
        </w:rPr>
        <w:t>For the Paid Parental Leave program, the criteria is having an agreement in place with</w:t>
      </w:r>
      <w:r w:rsidR="00D96CDD">
        <w:rPr>
          <w:sz w:val="20"/>
          <w:szCs w:val="20"/>
        </w:rPr>
        <w:br/>
      </w:r>
      <w:r w:rsidRPr="003A047F">
        <w:rPr>
          <w:sz w:val="20"/>
          <w:szCs w:val="20"/>
        </w:rPr>
        <w:t>Services Australia</w:t>
      </w:r>
      <w:r w:rsidR="00F04CED">
        <w:rPr>
          <w:sz w:val="20"/>
          <w:szCs w:val="20"/>
        </w:rPr>
        <w:t>,</w:t>
      </w:r>
      <w:r w:rsidRPr="003A047F">
        <w:rPr>
          <w:sz w:val="20"/>
          <w:szCs w:val="20"/>
        </w:rPr>
        <w:t xml:space="preserve"> to ensure payments are made in accordance with the policy and guidelines set by the department. In 2020–21, similar to Outcome 1, this will be measured through the level of payments accessed by the eligible cohort to maintain a focus on providing targeted payments to those in need. </w:t>
      </w:r>
    </w:p>
    <w:p w14:paraId="6D050C59" w14:textId="77777777" w:rsidR="000B5158" w:rsidRPr="00771C23" w:rsidRDefault="000B5158" w:rsidP="000B5158">
      <w:pPr>
        <w:rPr>
          <w:sz w:val="20"/>
          <w:szCs w:val="20"/>
        </w:rPr>
      </w:pPr>
      <w:r w:rsidRPr="003A047F">
        <w:rPr>
          <w:sz w:val="20"/>
          <w:szCs w:val="20"/>
        </w:rPr>
        <w:t>For the Social and Community Services payments, the focus is and continues to be payments being made as prescribed by legislation and to the eligible grant recipients to provide the basis of effective administration of the payment.</w:t>
      </w:r>
    </w:p>
    <w:p w14:paraId="6A704938" w14:textId="77777777" w:rsidR="00715F6F" w:rsidRDefault="00715F6F" w:rsidP="0029429F">
      <w:pPr>
        <w:rPr>
          <w:rFonts w:ascii="Georgia" w:eastAsiaTheme="majorEastAsia" w:hAnsi="Georgia" w:cstheme="majorBidi"/>
          <w:bCs/>
          <w:iCs/>
          <w:color w:val="00B0B9"/>
          <w:sz w:val="36"/>
        </w:rPr>
        <w:sectPr w:rsidR="00715F6F" w:rsidSect="00A94724">
          <w:footnotePr>
            <w:numRestart w:val="eachPage"/>
          </w:footnotePr>
          <w:pgSz w:w="11906" w:h="16838"/>
          <w:pgMar w:top="1440" w:right="1440" w:bottom="1440" w:left="1440" w:header="709" w:footer="709" w:gutter="0"/>
          <w:cols w:space="708"/>
          <w:docGrid w:linePitch="360"/>
        </w:sectPr>
      </w:pPr>
    </w:p>
    <w:p w14:paraId="76D03962" w14:textId="77777777" w:rsidR="0029429F" w:rsidRPr="00054A67" w:rsidRDefault="0029429F" w:rsidP="0029429F">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lastRenderedPageBreak/>
        <w:t>Performance Results of Key Activities</w:t>
      </w:r>
    </w:p>
    <w:p w14:paraId="2D364928" w14:textId="77777777" w:rsidR="0029429F" w:rsidRPr="00771C23" w:rsidRDefault="0029429F" w:rsidP="0029429F">
      <w:pPr>
        <w:rPr>
          <w:rFonts w:cs="Arial"/>
          <w:sz w:val="20"/>
          <w:szCs w:val="20"/>
        </w:rPr>
      </w:pPr>
      <w:r w:rsidRPr="00771C23">
        <w:rPr>
          <w:rFonts w:cs="Arial"/>
          <w:sz w:val="20"/>
          <w:szCs w:val="20"/>
        </w:rPr>
        <w:t>This section describes the performance of the key activities in Outcome 2. The table below outlines our Corporate Plan performance criteria and indicators for Outcome 2, which show how we intend to measure what we achieved, how well we did, and how much we did. Not all activities report against every performance criterion.</w:t>
      </w:r>
    </w:p>
    <w:p w14:paraId="16A15462" w14:textId="77777777" w:rsidR="0029429F" w:rsidRDefault="0029429F" w:rsidP="0029429F">
      <w:pPr>
        <w:keepNext/>
        <w:spacing w:before="240" w:after="0" w:line="260" w:lineRule="atLeast"/>
        <w:ind w:right="425"/>
        <w:rPr>
          <w:rFonts w:ascii="Arial Narrow" w:eastAsia="Times New Roman" w:hAnsi="Arial Narrow" w:cs="Times New Roman"/>
          <w:b/>
          <w:bCs/>
          <w:spacing w:val="4"/>
          <w:sz w:val="20"/>
          <w:szCs w:val="18"/>
          <w:lang w:eastAsia="en-AU"/>
        </w:rPr>
      </w:pPr>
      <w:r w:rsidRPr="00771C23">
        <w:rPr>
          <w:rFonts w:ascii="Arial Narrow" w:eastAsia="Times New Roman" w:hAnsi="Arial Narrow" w:cs="Times New Roman"/>
          <w:b/>
          <w:bCs/>
          <w:spacing w:val="4"/>
          <w:sz w:val="20"/>
          <w:szCs w:val="18"/>
          <w:lang w:eastAsia="en-AU"/>
        </w:rPr>
        <w:t xml:space="preserve">Table 2.2.3: Cross program performance criteria for Outcome 2 </w:t>
      </w:r>
      <w:r>
        <w:rPr>
          <w:rFonts w:ascii="Arial Narrow" w:eastAsia="Times New Roman" w:hAnsi="Arial Narrow" w:cs="Times New Roman"/>
          <w:b/>
          <w:bCs/>
          <w:spacing w:val="4"/>
          <w:sz w:val="20"/>
          <w:szCs w:val="18"/>
          <w:lang w:eastAsia="en-AU"/>
        </w:rPr>
        <w:t>—</w:t>
      </w:r>
      <w:r w:rsidRPr="00771C23">
        <w:rPr>
          <w:rFonts w:ascii="Arial Narrow" w:eastAsia="Times New Roman" w:hAnsi="Arial Narrow" w:cs="Times New Roman"/>
          <w:b/>
          <w:bCs/>
          <w:spacing w:val="4"/>
          <w:sz w:val="20"/>
          <w:szCs w:val="18"/>
          <w:lang w:eastAsia="en-AU"/>
        </w:rPr>
        <w:t xml:space="preserve"> Families and Communities</w:t>
      </w:r>
    </w:p>
    <w:p w14:paraId="462EE6B4" w14:textId="77777777" w:rsidR="0029429F" w:rsidRPr="0071543C" w:rsidRDefault="0029429F" w:rsidP="0029429F">
      <w:pPr>
        <w:tabs>
          <w:tab w:val="left" w:pos="1843"/>
        </w:tabs>
        <w:spacing w:after="0"/>
        <w:rPr>
          <w:i/>
          <w:sz w:val="15"/>
          <w:szCs w:val="15"/>
        </w:rPr>
      </w:pPr>
      <w:r w:rsidRPr="0071543C">
        <w:rPr>
          <w:i/>
          <w:sz w:val="15"/>
          <w:szCs w:val="15"/>
        </w:rPr>
        <w:t>Programs</w:t>
      </w:r>
      <w:r>
        <w:rPr>
          <w:i/>
          <w:sz w:val="15"/>
          <w:szCs w:val="15"/>
        </w:rPr>
        <w:t xml:space="preserve">: </w:t>
      </w:r>
      <w:r w:rsidRPr="0071543C">
        <w:rPr>
          <w:i/>
          <w:sz w:val="15"/>
          <w:szCs w:val="15"/>
        </w:rPr>
        <w:t>2.1 Families and Communities</w:t>
      </w:r>
      <w:r>
        <w:rPr>
          <w:i/>
          <w:sz w:val="15"/>
          <w:szCs w:val="15"/>
        </w:rPr>
        <w:t xml:space="preserve">; </w:t>
      </w:r>
      <w:r w:rsidRPr="0071543C">
        <w:rPr>
          <w:i/>
          <w:sz w:val="15"/>
          <w:szCs w:val="15"/>
        </w:rPr>
        <w:t>2.2 Paid Parental Leave</w:t>
      </w:r>
      <w:r>
        <w:rPr>
          <w:i/>
          <w:sz w:val="15"/>
          <w:szCs w:val="15"/>
        </w:rPr>
        <w:t xml:space="preserve">; </w:t>
      </w:r>
      <w:r w:rsidRPr="0071543C">
        <w:rPr>
          <w:i/>
          <w:sz w:val="15"/>
          <w:szCs w:val="15"/>
        </w:rPr>
        <w:t>2.3 Social and Community Services</w:t>
      </w:r>
      <w:r>
        <w:rPr>
          <w:i/>
          <w:sz w:val="15"/>
          <w:szCs w:val="15"/>
        </w:rPr>
        <w:t xml:space="preserve">; </w:t>
      </w:r>
      <w:r w:rsidRPr="0071543C">
        <w:rPr>
          <w:i/>
          <w:sz w:val="15"/>
          <w:szCs w:val="15"/>
        </w:rPr>
        <w:t>XP Cross Program</w:t>
      </w:r>
    </w:p>
    <w:tbl>
      <w:tblPr>
        <w:tblStyle w:val="DSSDatatablestyle3112"/>
        <w:tblW w:w="5000" w:type="pct"/>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pct10" w:color="auto" w:fill="auto"/>
        <w:tblLook w:val="04A0" w:firstRow="1" w:lastRow="0" w:firstColumn="1" w:lastColumn="0" w:noHBand="0" w:noVBand="1"/>
        <w:tblCaption w:val="Table 2.2.3: Cross program performance criteria for Outcome 2 - Families and Communities"/>
        <w:tblDescription w:val="Table 2.2.3: Cross program performance criteria for Outcome 2 - Families and Communities"/>
      </w:tblPr>
      <w:tblGrid>
        <w:gridCol w:w="1381"/>
        <w:gridCol w:w="1636"/>
        <w:gridCol w:w="3475"/>
        <w:gridCol w:w="997"/>
        <w:gridCol w:w="1491"/>
      </w:tblGrid>
      <w:tr w:rsidR="0029429F" w:rsidRPr="00501AC2" w14:paraId="38241881" w14:textId="77777777" w:rsidTr="00ED2244">
        <w:trPr>
          <w:cnfStyle w:val="100000000000" w:firstRow="1" w:lastRow="0" w:firstColumn="0" w:lastColumn="0" w:oddVBand="0" w:evenVBand="0" w:oddHBand="0" w:evenHBand="0" w:firstRowFirstColumn="0" w:firstRowLastColumn="0" w:lastRowFirstColumn="0" w:lastRowLastColumn="0"/>
          <w:trHeight w:val="340"/>
          <w:tblHeader/>
        </w:trPr>
        <w:tc>
          <w:tcPr>
            <w:tcW w:w="769" w:type="pct"/>
            <w:tcBorders>
              <w:bottom w:val="single" w:sz="18" w:space="0" w:color="FFFFFF" w:themeColor="background1"/>
            </w:tcBorders>
            <w:shd w:val="clear" w:color="auto" w:fill="000000" w:themeFill="text1"/>
            <w:vAlign w:val="center"/>
          </w:tcPr>
          <w:p w14:paraId="10555C96" w14:textId="77777777" w:rsidR="0029429F" w:rsidRPr="007F2601" w:rsidRDefault="0029429F" w:rsidP="00E117FD">
            <w:pPr>
              <w:keepNext/>
              <w:keepLines/>
              <w:spacing w:before="40" w:after="40"/>
              <w:jc w:val="center"/>
              <w:rPr>
                <w:rFonts w:cs="Times New Roman"/>
                <w:sz w:val="16"/>
                <w:szCs w:val="16"/>
              </w:rPr>
            </w:pPr>
            <w:r w:rsidRPr="007F2601">
              <w:rPr>
                <w:rFonts w:cs="Times New Roman"/>
                <w:sz w:val="16"/>
                <w:szCs w:val="16"/>
              </w:rPr>
              <w:t>Measure Hierarchy</w:t>
            </w:r>
          </w:p>
        </w:tc>
        <w:tc>
          <w:tcPr>
            <w:tcW w:w="911" w:type="pct"/>
            <w:tcBorders>
              <w:bottom w:val="single" w:sz="18" w:space="0" w:color="FFFFFF" w:themeColor="background1"/>
            </w:tcBorders>
            <w:shd w:val="clear" w:color="auto" w:fill="000000" w:themeFill="text1"/>
            <w:vAlign w:val="center"/>
            <w:hideMark/>
          </w:tcPr>
          <w:p w14:paraId="35CDAE20" w14:textId="77777777" w:rsidR="0029429F" w:rsidRPr="007F2601" w:rsidRDefault="0029429F" w:rsidP="00E117FD">
            <w:pPr>
              <w:keepNext/>
              <w:keepLines/>
              <w:spacing w:before="40" w:after="40"/>
              <w:jc w:val="center"/>
              <w:rPr>
                <w:rFonts w:cs="Times New Roman"/>
                <w:sz w:val="16"/>
                <w:szCs w:val="16"/>
              </w:rPr>
            </w:pPr>
            <w:r w:rsidRPr="007F2601">
              <w:rPr>
                <w:rFonts w:cs="Times New Roman"/>
                <w:sz w:val="16"/>
                <w:szCs w:val="16"/>
              </w:rPr>
              <w:t>Performance criteria</w:t>
            </w:r>
          </w:p>
        </w:tc>
        <w:tc>
          <w:tcPr>
            <w:tcW w:w="1935" w:type="pct"/>
            <w:shd w:val="clear" w:color="auto" w:fill="000000" w:themeFill="text1"/>
            <w:vAlign w:val="center"/>
            <w:hideMark/>
          </w:tcPr>
          <w:p w14:paraId="2E9DCDFA" w14:textId="77777777" w:rsidR="0029429F" w:rsidRPr="007F2601" w:rsidRDefault="0029429F" w:rsidP="00E117FD">
            <w:pPr>
              <w:keepNext/>
              <w:keepLines/>
              <w:spacing w:before="40" w:after="40"/>
              <w:jc w:val="center"/>
              <w:rPr>
                <w:rFonts w:cs="Times New Roman"/>
                <w:sz w:val="16"/>
                <w:szCs w:val="16"/>
              </w:rPr>
            </w:pPr>
            <w:r w:rsidRPr="007F2601">
              <w:rPr>
                <w:rFonts w:cs="Times New Roman"/>
                <w:sz w:val="16"/>
                <w:szCs w:val="16"/>
              </w:rPr>
              <w:t>Indicator/Output</w:t>
            </w:r>
          </w:p>
        </w:tc>
        <w:tc>
          <w:tcPr>
            <w:tcW w:w="555" w:type="pct"/>
            <w:shd w:val="clear" w:color="auto" w:fill="000000" w:themeFill="text1"/>
          </w:tcPr>
          <w:p w14:paraId="76F3CD2E" w14:textId="77777777" w:rsidR="0029429F" w:rsidRPr="007F2601" w:rsidRDefault="0029429F" w:rsidP="00E117FD">
            <w:pPr>
              <w:keepNext/>
              <w:keepLines/>
              <w:spacing w:before="40" w:after="40"/>
              <w:jc w:val="center"/>
              <w:rPr>
                <w:rFonts w:cs="Times New Roman"/>
                <w:sz w:val="16"/>
                <w:szCs w:val="16"/>
              </w:rPr>
            </w:pPr>
            <w:r w:rsidRPr="007F2601">
              <w:rPr>
                <w:rFonts w:cs="Times New Roman"/>
                <w:sz w:val="16"/>
                <w:szCs w:val="16"/>
              </w:rPr>
              <w:t>Program Reference</w:t>
            </w:r>
          </w:p>
        </w:tc>
        <w:tc>
          <w:tcPr>
            <w:tcW w:w="830" w:type="pct"/>
            <w:shd w:val="clear" w:color="auto" w:fill="000000" w:themeFill="text1"/>
            <w:vAlign w:val="center"/>
          </w:tcPr>
          <w:p w14:paraId="021343FE" w14:textId="77777777" w:rsidR="0029429F" w:rsidRPr="007F2601" w:rsidRDefault="0029429F" w:rsidP="00E117FD">
            <w:pPr>
              <w:keepNext/>
              <w:keepLines/>
              <w:spacing w:before="40" w:after="40"/>
              <w:jc w:val="center"/>
              <w:rPr>
                <w:rFonts w:cs="Times New Roman"/>
                <w:sz w:val="16"/>
                <w:szCs w:val="16"/>
              </w:rPr>
            </w:pPr>
            <w:r w:rsidRPr="007F2601">
              <w:rPr>
                <w:rFonts w:cs="Times New Roman"/>
                <w:sz w:val="16"/>
                <w:szCs w:val="16"/>
              </w:rPr>
              <w:t>Results Table Index</w:t>
            </w:r>
          </w:p>
        </w:tc>
      </w:tr>
      <w:tr w:rsidR="0029429F" w:rsidRPr="00501AC2" w14:paraId="694966A4" w14:textId="77777777" w:rsidTr="00ED2244">
        <w:trPr>
          <w:trHeight w:val="62"/>
        </w:trPr>
        <w:tc>
          <w:tcPr>
            <w:tcW w:w="769" w:type="pct"/>
            <w:vMerge w:val="restart"/>
            <w:shd w:val="clear" w:color="auto" w:fill="005A70"/>
            <w:hideMark/>
          </w:tcPr>
          <w:p w14:paraId="5BCCCD4D" w14:textId="77777777" w:rsidR="0029429F" w:rsidRPr="00D13460" w:rsidRDefault="0029429F" w:rsidP="00E117FD">
            <w:pPr>
              <w:keepNext/>
              <w:keepLines/>
              <w:spacing w:beforeLines="20" w:before="48" w:afterLines="20" w:after="48"/>
              <w:rPr>
                <w:rFonts w:cs="Arial"/>
                <w:b/>
                <w:color w:val="FFFFFF" w:themeColor="background1"/>
                <w:sz w:val="16"/>
                <w:szCs w:val="16"/>
              </w:rPr>
            </w:pPr>
            <w:r w:rsidRPr="00D13460">
              <w:rPr>
                <w:rFonts w:cs="Arial"/>
                <w:b/>
                <w:color w:val="FFFFFF" w:themeColor="background1"/>
                <w:sz w:val="16"/>
                <w:szCs w:val="16"/>
              </w:rPr>
              <w:t>Outcome — What did we achieve?</w:t>
            </w:r>
          </w:p>
        </w:tc>
        <w:tc>
          <w:tcPr>
            <w:tcW w:w="911" w:type="pct"/>
            <w:vMerge w:val="restart"/>
            <w:shd w:val="clear" w:color="auto" w:fill="00B0B9"/>
            <w:hideMark/>
          </w:tcPr>
          <w:p w14:paraId="5AECFBE8" w14:textId="77777777" w:rsidR="0029429F" w:rsidRPr="007F2601" w:rsidRDefault="0029429F" w:rsidP="00E117FD">
            <w:pPr>
              <w:keepNext/>
              <w:keepLines/>
              <w:spacing w:beforeLines="20" w:before="48" w:afterLines="20" w:after="48"/>
              <w:rPr>
                <w:rFonts w:cs="Arial"/>
                <w:b/>
                <w:sz w:val="16"/>
                <w:szCs w:val="16"/>
              </w:rPr>
            </w:pPr>
            <w:r w:rsidRPr="007F2601">
              <w:rPr>
                <w:rFonts w:cs="Arial"/>
                <w:b/>
                <w:sz w:val="16"/>
                <w:szCs w:val="16"/>
              </w:rPr>
              <w:t>C2.1 – Extent to which assisted individuals and families have improved individual and family functioning</w:t>
            </w:r>
          </w:p>
        </w:tc>
        <w:tc>
          <w:tcPr>
            <w:tcW w:w="1935" w:type="pct"/>
            <w:shd w:val="clear" w:color="auto" w:fill="D9D9D9" w:themeFill="background1" w:themeFillShade="D9"/>
          </w:tcPr>
          <w:p w14:paraId="5088D390" w14:textId="77777777" w:rsidR="0029429F" w:rsidRPr="00501AC2" w:rsidRDefault="0029429F" w:rsidP="00E117FD">
            <w:pPr>
              <w:keepNext/>
              <w:keepLines/>
              <w:spacing w:beforeLines="20" w:before="48" w:afterLines="20" w:after="48"/>
              <w:rPr>
                <w:rFonts w:cs="Arial"/>
                <w:sz w:val="16"/>
                <w:szCs w:val="16"/>
              </w:rPr>
            </w:pPr>
            <w:r w:rsidRPr="00501AC2">
              <w:rPr>
                <w:rFonts w:cs="Arial"/>
                <w:sz w:val="16"/>
                <w:szCs w:val="16"/>
              </w:rPr>
              <w:t xml:space="preserve">C2.1.1 </w:t>
            </w:r>
            <w:r>
              <w:rPr>
                <w:rFonts w:cs="Arial"/>
                <w:sz w:val="16"/>
                <w:szCs w:val="16"/>
              </w:rPr>
              <w:t>–</w:t>
            </w:r>
            <w:r w:rsidRPr="00501AC2">
              <w:rPr>
                <w:rFonts w:cs="Arial"/>
                <w:sz w:val="16"/>
                <w:szCs w:val="16"/>
              </w:rPr>
              <w:t xml:space="preserve"> Percentage of assisted individuals and families with improved circumstances in areas relevant to individual/family needs</w:t>
            </w:r>
          </w:p>
        </w:tc>
        <w:tc>
          <w:tcPr>
            <w:tcW w:w="555" w:type="pct"/>
            <w:shd w:val="clear" w:color="auto" w:fill="D9D9D9" w:themeFill="background1" w:themeFillShade="D9"/>
          </w:tcPr>
          <w:p w14:paraId="2C2924D0" w14:textId="77777777" w:rsidR="0029429F" w:rsidRPr="00501AC2" w:rsidRDefault="0029429F" w:rsidP="00E117FD">
            <w:pPr>
              <w:keepNext/>
              <w:keepLines/>
              <w:spacing w:beforeLines="20" w:before="48" w:afterLines="20" w:after="48"/>
              <w:rPr>
                <w:rFonts w:cs="Arial"/>
                <w:sz w:val="16"/>
                <w:szCs w:val="16"/>
              </w:rPr>
            </w:pPr>
            <w:r>
              <w:rPr>
                <w:rFonts w:cs="Arial"/>
                <w:sz w:val="16"/>
                <w:szCs w:val="16"/>
              </w:rPr>
              <w:t>2.1, XP</w:t>
            </w:r>
          </w:p>
        </w:tc>
        <w:tc>
          <w:tcPr>
            <w:tcW w:w="830" w:type="pct"/>
            <w:shd w:val="clear" w:color="auto" w:fill="D9D9D9" w:themeFill="background1" w:themeFillShade="D9"/>
          </w:tcPr>
          <w:p w14:paraId="41760FD0" w14:textId="77777777" w:rsidR="0029429F" w:rsidRPr="00501AC2" w:rsidRDefault="0029429F" w:rsidP="00E117FD">
            <w:pPr>
              <w:keepNext/>
              <w:keepLines/>
              <w:spacing w:beforeLines="20" w:before="48" w:afterLines="20" w:after="48"/>
              <w:rPr>
                <w:rFonts w:cs="Arial"/>
                <w:sz w:val="16"/>
                <w:szCs w:val="16"/>
              </w:rPr>
            </w:pPr>
            <w:r w:rsidRPr="00501AC2">
              <w:rPr>
                <w:rFonts w:cs="Arial"/>
                <w:sz w:val="16"/>
                <w:szCs w:val="16"/>
              </w:rPr>
              <w:t>2.2.4</w:t>
            </w:r>
          </w:p>
        </w:tc>
      </w:tr>
      <w:tr w:rsidR="0029429F" w:rsidRPr="00501AC2" w14:paraId="4366FF97" w14:textId="77777777" w:rsidTr="00ED2244">
        <w:trPr>
          <w:cnfStyle w:val="000000010000" w:firstRow="0" w:lastRow="0" w:firstColumn="0" w:lastColumn="0" w:oddVBand="0" w:evenVBand="0" w:oddHBand="0" w:evenHBand="1" w:firstRowFirstColumn="0" w:firstRowLastColumn="0" w:lastRowFirstColumn="0" w:lastRowLastColumn="0"/>
          <w:trHeight w:val="25"/>
        </w:trPr>
        <w:tc>
          <w:tcPr>
            <w:tcW w:w="769" w:type="pct"/>
            <w:vMerge/>
            <w:shd w:val="clear" w:color="auto" w:fill="005A70"/>
            <w:vAlign w:val="center"/>
            <w:hideMark/>
          </w:tcPr>
          <w:p w14:paraId="3FF397BE" w14:textId="77777777" w:rsidR="0029429F" w:rsidRPr="00D13460" w:rsidRDefault="0029429F" w:rsidP="00D13460">
            <w:pPr>
              <w:keepNext/>
              <w:keepLines/>
              <w:spacing w:beforeLines="20" w:before="48" w:afterLines="20" w:after="48"/>
              <w:rPr>
                <w:b/>
                <w:color w:val="FFFFFF" w:themeColor="background1"/>
                <w:sz w:val="16"/>
                <w:szCs w:val="16"/>
              </w:rPr>
            </w:pPr>
          </w:p>
        </w:tc>
        <w:tc>
          <w:tcPr>
            <w:tcW w:w="911" w:type="pct"/>
            <w:vMerge/>
            <w:shd w:val="clear" w:color="auto" w:fill="00B0B9"/>
            <w:hideMark/>
          </w:tcPr>
          <w:p w14:paraId="7F1118A7" w14:textId="77777777" w:rsidR="0029429F" w:rsidRPr="007F2601" w:rsidRDefault="0029429F" w:rsidP="00E117FD">
            <w:pPr>
              <w:keepNext/>
              <w:keepLines/>
              <w:spacing w:beforeLines="20" w:before="48" w:afterLines="20" w:after="48"/>
              <w:rPr>
                <w:b/>
                <w:sz w:val="16"/>
                <w:szCs w:val="16"/>
              </w:rPr>
            </w:pPr>
          </w:p>
        </w:tc>
        <w:tc>
          <w:tcPr>
            <w:tcW w:w="1935" w:type="pct"/>
            <w:shd w:val="clear" w:color="auto" w:fill="D9D9D9" w:themeFill="background1" w:themeFillShade="D9"/>
          </w:tcPr>
          <w:p w14:paraId="4DEBCD8E" w14:textId="77777777" w:rsidR="0029429F" w:rsidRPr="00501AC2" w:rsidRDefault="0029429F" w:rsidP="00E117FD">
            <w:pPr>
              <w:keepNext/>
              <w:keepLines/>
              <w:spacing w:beforeLines="20" w:before="48" w:afterLines="20" w:after="48"/>
              <w:rPr>
                <w:rFonts w:cs="Times New Roman"/>
                <w:sz w:val="16"/>
                <w:szCs w:val="16"/>
              </w:rPr>
            </w:pPr>
            <w:r w:rsidRPr="00501AC2">
              <w:rPr>
                <w:rFonts w:cs="Times New Roman"/>
                <w:sz w:val="16"/>
                <w:szCs w:val="16"/>
              </w:rPr>
              <w:t xml:space="preserve">C2.1.2 </w:t>
            </w:r>
            <w:r>
              <w:rPr>
                <w:rFonts w:cs="Times New Roman"/>
                <w:sz w:val="16"/>
                <w:szCs w:val="16"/>
              </w:rPr>
              <w:t>–</w:t>
            </w:r>
            <w:r w:rsidRPr="00501AC2">
              <w:rPr>
                <w:rFonts w:cs="Times New Roman"/>
                <w:sz w:val="16"/>
                <w:szCs w:val="16"/>
              </w:rPr>
              <w:t xml:space="preserve"> Percentage of assisted individuals and families who achieve individual/family goals related to building capacity and connections</w:t>
            </w:r>
          </w:p>
        </w:tc>
        <w:tc>
          <w:tcPr>
            <w:tcW w:w="555" w:type="pct"/>
            <w:shd w:val="clear" w:color="auto" w:fill="D9D9D9" w:themeFill="background1" w:themeFillShade="D9"/>
          </w:tcPr>
          <w:p w14:paraId="6A39A969" w14:textId="77777777" w:rsidR="0029429F" w:rsidRPr="00501AC2" w:rsidRDefault="0029429F" w:rsidP="00E117FD">
            <w:pPr>
              <w:keepNext/>
              <w:keepLines/>
              <w:spacing w:beforeLines="20" w:before="48" w:afterLines="20" w:after="48"/>
              <w:rPr>
                <w:rFonts w:cs="Times New Roman"/>
                <w:sz w:val="16"/>
                <w:szCs w:val="16"/>
              </w:rPr>
            </w:pPr>
            <w:r>
              <w:rPr>
                <w:sz w:val="16"/>
                <w:szCs w:val="16"/>
              </w:rPr>
              <w:t>2.1, XP</w:t>
            </w:r>
          </w:p>
        </w:tc>
        <w:tc>
          <w:tcPr>
            <w:tcW w:w="830" w:type="pct"/>
            <w:shd w:val="clear" w:color="auto" w:fill="D9D9D9" w:themeFill="background1" w:themeFillShade="D9"/>
          </w:tcPr>
          <w:p w14:paraId="4124FF68" w14:textId="77777777" w:rsidR="0029429F" w:rsidRPr="00501AC2" w:rsidRDefault="0029429F" w:rsidP="00E117FD">
            <w:pPr>
              <w:keepNext/>
              <w:keepLines/>
              <w:spacing w:beforeLines="20" w:before="48" w:afterLines="20" w:after="48"/>
              <w:rPr>
                <w:rFonts w:cs="Times New Roman"/>
                <w:sz w:val="16"/>
                <w:szCs w:val="16"/>
              </w:rPr>
            </w:pPr>
            <w:r w:rsidRPr="00501AC2">
              <w:rPr>
                <w:rFonts w:cs="Times New Roman"/>
                <w:sz w:val="16"/>
                <w:szCs w:val="16"/>
              </w:rPr>
              <w:t>2.2.5</w:t>
            </w:r>
          </w:p>
        </w:tc>
      </w:tr>
      <w:tr w:rsidR="0029429F" w:rsidRPr="00501AC2" w14:paraId="1E963653" w14:textId="77777777" w:rsidTr="00ED2244">
        <w:trPr>
          <w:trHeight w:val="204"/>
        </w:trPr>
        <w:tc>
          <w:tcPr>
            <w:tcW w:w="769" w:type="pct"/>
            <w:vMerge w:val="restart"/>
            <w:shd w:val="clear" w:color="auto" w:fill="005A70"/>
            <w:hideMark/>
          </w:tcPr>
          <w:p w14:paraId="61681048" w14:textId="77777777" w:rsidR="0029429F" w:rsidRPr="00D13460" w:rsidRDefault="0029429F" w:rsidP="00E117FD">
            <w:pPr>
              <w:keepNext/>
              <w:keepLines/>
              <w:spacing w:beforeLines="20" w:before="48" w:afterLines="20" w:after="48"/>
              <w:rPr>
                <w:rFonts w:cs="Arial"/>
                <w:b/>
                <w:color w:val="FFFFFF" w:themeColor="background1"/>
                <w:sz w:val="16"/>
                <w:szCs w:val="16"/>
              </w:rPr>
            </w:pPr>
            <w:r w:rsidRPr="00D13460">
              <w:rPr>
                <w:rFonts w:cs="Arial"/>
                <w:b/>
                <w:color w:val="FFFFFF" w:themeColor="background1"/>
                <w:sz w:val="16"/>
                <w:szCs w:val="16"/>
              </w:rPr>
              <w:t>Intermediate Outcome — How well did we do?</w:t>
            </w:r>
          </w:p>
        </w:tc>
        <w:tc>
          <w:tcPr>
            <w:tcW w:w="911" w:type="pct"/>
            <w:vMerge w:val="restart"/>
            <w:shd w:val="clear" w:color="auto" w:fill="00B0B9"/>
            <w:hideMark/>
          </w:tcPr>
          <w:p w14:paraId="70457E7C" w14:textId="77777777" w:rsidR="0029429F" w:rsidRPr="007F2601" w:rsidRDefault="0029429F" w:rsidP="00E117FD">
            <w:pPr>
              <w:keepNext/>
              <w:keepLines/>
              <w:spacing w:beforeLines="20" w:before="48" w:afterLines="20" w:after="48"/>
              <w:rPr>
                <w:rFonts w:cs="Arial"/>
                <w:b/>
                <w:sz w:val="16"/>
                <w:szCs w:val="16"/>
              </w:rPr>
            </w:pPr>
            <w:r w:rsidRPr="007F2601">
              <w:rPr>
                <w:rFonts w:cs="Arial"/>
                <w:b/>
                <w:iCs/>
                <w:sz w:val="16"/>
                <w:szCs w:val="16"/>
              </w:rPr>
              <w:t>C2.2 – Extent of contribution to implementing national initiatives</w:t>
            </w:r>
          </w:p>
        </w:tc>
        <w:tc>
          <w:tcPr>
            <w:tcW w:w="1935" w:type="pct"/>
            <w:shd w:val="clear" w:color="auto" w:fill="D9D9D9" w:themeFill="background1" w:themeFillShade="D9"/>
          </w:tcPr>
          <w:p w14:paraId="35123D34" w14:textId="77777777" w:rsidR="0029429F" w:rsidRPr="00501AC2" w:rsidRDefault="0029429F" w:rsidP="00E117FD">
            <w:pPr>
              <w:keepNext/>
              <w:keepLines/>
              <w:spacing w:beforeLines="20" w:before="48" w:afterLines="20" w:after="48"/>
              <w:rPr>
                <w:rFonts w:cs="Arial"/>
                <w:sz w:val="16"/>
                <w:szCs w:val="16"/>
              </w:rPr>
            </w:pPr>
            <w:r w:rsidRPr="00501AC2">
              <w:rPr>
                <w:rFonts w:cs="Arial"/>
                <w:sz w:val="16"/>
                <w:szCs w:val="16"/>
              </w:rPr>
              <w:t xml:space="preserve">C2.2.1 </w:t>
            </w:r>
            <w:r>
              <w:rPr>
                <w:rFonts w:cs="Arial"/>
                <w:sz w:val="16"/>
                <w:szCs w:val="16"/>
              </w:rPr>
              <w:t>–</w:t>
            </w:r>
            <w:r w:rsidRPr="00501AC2">
              <w:rPr>
                <w:rFonts w:cs="Arial"/>
                <w:sz w:val="16"/>
                <w:szCs w:val="16"/>
              </w:rPr>
              <w:t xml:space="preserve"> Contribution to reducing violence against women</w:t>
            </w:r>
          </w:p>
        </w:tc>
        <w:tc>
          <w:tcPr>
            <w:tcW w:w="555" w:type="pct"/>
            <w:shd w:val="clear" w:color="auto" w:fill="D9D9D9" w:themeFill="background1" w:themeFillShade="D9"/>
          </w:tcPr>
          <w:p w14:paraId="17C2CBEF" w14:textId="77777777" w:rsidR="0029429F" w:rsidRPr="00312769" w:rsidRDefault="0029429F" w:rsidP="00E117FD">
            <w:pPr>
              <w:keepNext/>
              <w:keepLines/>
              <w:spacing w:beforeLines="20" w:before="48" w:afterLines="20" w:after="48"/>
              <w:rPr>
                <w:rFonts w:cs="Arial"/>
                <w:sz w:val="16"/>
                <w:szCs w:val="16"/>
              </w:rPr>
            </w:pPr>
            <w:r w:rsidRPr="00312769">
              <w:rPr>
                <w:rFonts w:cs="Arial"/>
                <w:sz w:val="16"/>
                <w:szCs w:val="16"/>
              </w:rPr>
              <w:t>2.1</w:t>
            </w:r>
          </w:p>
        </w:tc>
        <w:tc>
          <w:tcPr>
            <w:tcW w:w="830" w:type="pct"/>
            <w:shd w:val="clear" w:color="auto" w:fill="D9D9D9" w:themeFill="background1" w:themeFillShade="D9"/>
          </w:tcPr>
          <w:p w14:paraId="271653B6" w14:textId="77777777" w:rsidR="0029429F" w:rsidRPr="00312769" w:rsidRDefault="0029429F" w:rsidP="00E117FD">
            <w:pPr>
              <w:keepNext/>
              <w:keepLines/>
              <w:spacing w:beforeLines="20" w:before="48" w:afterLines="20" w:after="48"/>
              <w:rPr>
                <w:rFonts w:cs="Arial"/>
                <w:sz w:val="16"/>
                <w:szCs w:val="16"/>
              </w:rPr>
            </w:pPr>
            <w:r w:rsidRPr="00312769">
              <w:rPr>
                <w:rFonts w:cs="Arial"/>
                <w:sz w:val="16"/>
                <w:szCs w:val="16"/>
              </w:rPr>
              <w:t>-</w:t>
            </w:r>
          </w:p>
        </w:tc>
      </w:tr>
      <w:tr w:rsidR="0029429F" w:rsidRPr="00501AC2" w14:paraId="1F7443C1" w14:textId="77777777" w:rsidTr="00ED2244">
        <w:trPr>
          <w:cnfStyle w:val="000000010000" w:firstRow="0" w:lastRow="0" w:firstColumn="0" w:lastColumn="0" w:oddVBand="0" w:evenVBand="0" w:oddHBand="0" w:evenHBand="1" w:firstRowFirstColumn="0" w:firstRowLastColumn="0" w:lastRowFirstColumn="0" w:lastRowLastColumn="0"/>
          <w:trHeight w:val="126"/>
        </w:trPr>
        <w:tc>
          <w:tcPr>
            <w:tcW w:w="769" w:type="pct"/>
            <w:vMerge/>
            <w:shd w:val="clear" w:color="auto" w:fill="005A70"/>
          </w:tcPr>
          <w:p w14:paraId="03AED364" w14:textId="77777777" w:rsidR="0029429F" w:rsidRPr="00D13460" w:rsidRDefault="0029429F" w:rsidP="00E117FD">
            <w:pPr>
              <w:keepNext/>
              <w:keepLines/>
              <w:spacing w:beforeLines="20" w:before="48" w:afterLines="20" w:after="48"/>
              <w:rPr>
                <w:b/>
                <w:color w:val="FFFFFF" w:themeColor="background1"/>
                <w:sz w:val="16"/>
                <w:szCs w:val="16"/>
              </w:rPr>
            </w:pPr>
          </w:p>
        </w:tc>
        <w:tc>
          <w:tcPr>
            <w:tcW w:w="911" w:type="pct"/>
            <w:vMerge/>
            <w:shd w:val="clear" w:color="auto" w:fill="00B0B9"/>
          </w:tcPr>
          <w:p w14:paraId="64F05082" w14:textId="77777777" w:rsidR="0029429F" w:rsidRPr="007F2601" w:rsidRDefault="0029429F" w:rsidP="00E117FD">
            <w:pPr>
              <w:keepNext/>
              <w:keepLines/>
              <w:spacing w:beforeLines="20" w:before="48" w:afterLines="20" w:after="48"/>
              <w:rPr>
                <w:b/>
                <w:iCs/>
                <w:sz w:val="16"/>
                <w:szCs w:val="16"/>
              </w:rPr>
            </w:pPr>
          </w:p>
        </w:tc>
        <w:tc>
          <w:tcPr>
            <w:tcW w:w="1935" w:type="pct"/>
            <w:shd w:val="clear" w:color="auto" w:fill="D9D9D9" w:themeFill="background1" w:themeFillShade="D9"/>
          </w:tcPr>
          <w:p w14:paraId="724D795E" w14:textId="77777777" w:rsidR="0029429F" w:rsidRPr="00501AC2" w:rsidRDefault="0029429F" w:rsidP="00E117FD">
            <w:pPr>
              <w:keepNext/>
              <w:keepLines/>
              <w:spacing w:beforeLines="20" w:before="48" w:afterLines="20" w:after="48"/>
              <w:rPr>
                <w:sz w:val="16"/>
                <w:szCs w:val="16"/>
              </w:rPr>
            </w:pPr>
            <w:r w:rsidRPr="00501AC2">
              <w:rPr>
                <w:sz w:val="16"/>
                <w:szCs w:val="16"/>
              </w:rPr>
              <w:t xml:space="preserve">C2.2.2 </w:t>
            </w:r>
            <w:r>
              <w:rPr>
                <w:sz w:val="16"/>
                <w:szCs w:val="16"/>
              </w:rPr>
              <w:t>–</w:t>
            </w:r>
            <w:r w:rsidRPr="00501AC2">
              <w:rPr>
                <w:sz w:val="16"/>
                <w:szCs w:val="16"/>
              </w:rPr>
              <w:t xml:space="preserve"> Extent of progress in implementing the </w:t>
            </w:r>
            <w:r w:rsidRPr="00501AC2">
              <w:rPr>
                <w:i/>
                <w:sz w:val="16"/>
                <w:szCs w:val="16"/>
              </w:rPr>
              <w:t>National Framework for Protecting Australia’s Children 2009–2020</w:t>
            </w:r>
          </w:p>
        </w:tc>
        <w:tc>
          <w:tcPr>
            <w:tcW w:w="555" w:type="pct"/>
            <w:shd w:val="clear" w:color="auto" w:fill="D9D9D9" w:themeFill="background1" w:themeFillShade="D9"/>
          </w:tcPr>
          <w:p w14:paraId="21360BCD" w14:textId="77777777" w:rsidR="0029429F" w:rsidRPr="00501AC2" w:rsidRDefault="0029429F" w:rsidP="00E117FD">
            <w:pPr>
              <w:keepNext/>
              <w:keepLines/>
              <w:spacing w:beforeLines="20" w:before="48" w:afterLines="20" w:after="48"/>
              <w:rPr>
                <w:sz w:val="16"/>
                <w:szCs w:val="16"/>
              </w:rPr>
            </w:pPr>
            <w:r>
              <w:rPr>
                <w:sz w:val="16"/>
                <w:szCs w:val="16"/>
              </w:rPr>
              <w:t>2.1</w:t>
            </w:r>
          </w:p>
        </w:tc>
        <w:tc>
          <w:tcPr>
            <w:tcW w:w="830" w:type="pct"/>
            <w:shd w:val="clear" w:color="auto" w:fill="D9D9D9" w:themeFill="background1" w:themeFillShade="D9"/>
          </w:tcPr>
          <w:p w14:paraId="316F8CAB" w14:textId="77777777" w:rsidR="0029429F" w:rsidRPr="00312769" w:rsidRDefault="0029429F" w:rsidP="00E117FD">
            <w:pPr>
              <w:keepNext/>
              <w:keepLines/>
              <w:spacing w:beforeLines="20" w:before="48" w:afterLines="20" w:after="48"/>
              <w:rPr>
                <w:sz w:val="16"/>
                <w:szCs w:val="16"/>
              </w:rPr>
            </w:pPr>
            <w:r w:rsidRPr="00312769">
              <w:rPr>
                <w:sz w:val="16"/>
                <w:szCs w:val="16"/>
              </w:rPr>
              <w:t>2.2.6</w:t>
            </w:r>
          </w:p>
        </w:tc>
      </w:tr>
      <w:tr w:rsidR="0029429F" w:rsidRPr="00501AC2" w14:paraId="2022E7BD" w14:textId="77777777" w:rsidTr="00ED2244">
        <w:trPr>
          <w:trHeight w:val="473"/>
        </w:trPr>
        <w:tc>
          <w:tcPr>
            <w:tcW w:w="769" w:type="pct"/>
            <w:vMerge/>
            <w:shd w:val="clear" w:color="auto" w:fill="005A70"/>
          </w:tcPr>
          <w:p w14:paraId="4A580F77" w14:textId="77777777" w:rsidR="0029429F" w:rsidRPr="00D13460" w:rsidRDefault="0029429F" w:rsidP="00E117FD">
            <w:pPr>
              <w:keepNext/>
              <w:keepLines/>
              <w:spacing w:beforeLines="20" w:before="48" w:afterLines="20" w:after="48"/>
              <w:rPr>
                <w:rFonts w:cs="Arial"/>
                <w:b/>
                <w:color w:val="FFFFFF" w:themeColor="background1"/>
                <w:sz w:val="16"/>
                <w:szCs w:val="16"/>
              </w:rPr>
            </w:pPr>
          </w:p>
        </w:tc>
        <w:tc>
          <w:tcPr>
            <w:tcW w:w="911" w:type="pct"/>
            <w:vMerge/>
            <w:shd w:val="clear" w:color="auto" w:fill="00B0B9"/>
          </w:tcPr>
          <w:p w14:paraId="2F562598" w14:textId="77777777" w:rsidR="0029429F" w:rsidRPr="007F2601" w:rsidRDefault="0029429F" w:rsidP="00E117FD">
            <w:pPr>
              <w:keepNext/>
              <w:keepLines/>
              <w:spacing w:beforeLines="20" w:before="48" w:afterLines="20" w:after="48"/>
              <w:rPr>
                <w:rFonts w:cs="Arial"/>
                <w:b/>
                <w:iCs/>
                <w:sz w:val="16"/>
                <w:szCs w:val="16"/>
              </w:rPr>
            </w:pPr>
          </w:p>
        </w:tc>
        <w:tc>
          <w:tcPr>
            <w:tcW w:w="1935" w:type="pct"/>
            <w:shd w:val="clear" w:color="auto" w:fill="D9D9D9" w:themeFill="background1" w:themeFillShade="D9"/>
          </w:tcPr>
          <w:p w14:paraId="16ECF823" w14:textId="77777777" w:rsidR="0029429F" w:rsidRPr="00501AC2" w:rsidRDefault="0029429F" w:rsidP="00E117FD">
            <w:pPr>
              <w:keepNext/>
              <w:keepLines/>
              <w:spacing w:beforeLines="20" w:before="48" w:afterLines="20" w:after="48"/>
              <w:rPr>
                <w:rFonts w:cs="Arial"/>
                <w:sz w:val="16"/>
                <w:szCs w:val="16"/>
              </w:rPr>
            </w:pPr>
            <w:r w:rsidRPr="00501AC2">
              <w:rPr>
                <w:rFonts w:cs="Arial"/>
                <w:sz w:val="16"/>
                <w:szCs w:val="16"/>
              </w:rPr>
              <w:t xml:space="preserve">C2.2.3 </w:t>
            </w:r>
            <w:r>
              <w:rPr>
                <w:rFonts w:cs="Arial"/>
                <w:sz w:val="16"/>
                <w:szCs w:val="16"/>
              </w:rPr>
              <w:t>–</w:t>
            </w:r>
            <w:r w:rsidRPr="00501AC2">
              <w:rPr>
                <w:rFonts w:cs="Arial"/>
                <w:sz w:val="16"/>
                <w:szCs w:val="16"/>
              </w:rPr>
              <w:t xml:space="preserve"> Extent of progress in implementing the </w:t>
            </w:r>
            <w:r w:rsidRPr="00501AC2">
              <w:rPr>
                <w:rFonts w:cs="Arial"/>
                <w:i/>
                <w:sz w:val="16"/>
                <w:szCs w:val="16"/>
              </w:rPr>
              <w:t>National Centre for the Prevention of Child Sexual Abuse</w:t>
            </w:r>
          </w:p>
        </w:tc>
        <w:tc>
          <w:tcPr>
            <w:tcW w:w="555" w:type="pct"/>
            <w:shd w:val="clear" w:color="auto" w:fill="D9D9D9" w:themeFill="background1" w:themeFillShade="D9"/>
          </w:tcPr>
          <w:p w14:paraId="1BF807DF" w14:textId="77777777" w:rsidR="0029429F" w:rsidRPr="00501AC2" w:rsidRDefault="0029429F" w:rsidP="00E117FD">
            <w:pPr>
              <w:keepNext/>
              <w:keepLines/>
              <w:spacing w:beforeLines="20" w:before="48" w:afterLines="20" w:after="48"/>
              <w:rPr>
                <w:rFonts w:cs="Arial"/>
                <w:sz w:val="16"/>
                <w:szCs w:val="16"/>
              </w:rPr>
            </w:pPr>
            <w:r>
              <w:rPr>
                <w:rFonts w:cs="Arial"/>
                <w:sz w:val="16"/>
                <w:szCs w:val="16"/>
              </w:rPr>
              <w:t>2.1</w:t>
            </w:r>
          </w:p>
        </w:tc>
        <w:tc>
          <w:tcPr>
            <w:tcW w:w="830" w:type="pct"/>
            <w:shd w:val="clear" w:color="auto" w:fill="D9D9D9" w:themeFill="background1" w:themeFillShade="D9"/>
          </w:tcPr>
          <w:p w14:paraId="1552AF7C" w14:textId="77777777" w:rsidR="0029429F" w:rsidRPr="00312769" w:rsidRDefault="0029429F" w:rsidP="00E117FD">
            <w:pPr>
              <w:keepNext/>
              <w:keepLines/>
              <w:spacing w:beforeLines="20" w:before="48" w:afterLines="20" w:after="48"/>
              <w:rPr>
                <w:rFonts w:cs="Arial"/>
                <w:sz w:val="16"/>
                <w:szCs w:val="16"/>
              </w:rPr>
            </w:pPr>
            <w:r w:rsidRPr="00312769">
              <w:rPr>
                <w:rFonts w:cs="Arial"/>
                <w:sz w:val="16"/>
                <w:szCs w:val="16"/>
              </w:rPr>
              <w:t>2.2.7</w:t>
            </w:r>
          </w:p>
        </w:tc>
      </w:tr>
      <w:tr w:rsidR="0029429F" w:rsidRPr="00501AC2" w14:paraId="42B21B66" w14:textId="77777777" w:rsidTr="00ED2244">
        <w:trPr>
          <w:cnfStyle w:val="000000010000" w:firstRow="0" w:lastRow="0" w:firstColumn="0" w:lastColumn="0" w:oddVBand="0" w:evenVBand="0" w:oddHBand="0" w:evenHBand="1" w:firstRowFirstColumn="0" w:firstRowLastColumn="0" w:lastRowFirstColumn="0" w:lastRowLastColumn="0"/>
          <w:trHeight w:val="435"/>
        </w:trPr>
        <w:tc>
          <w:tcPr>
            <w:tcW w:w="769" w:type="pct"/>
            <w:vMerge/>
            <w:shd w:val="clear" w:color="auto" w:fill="005A70"/>
            <w:vAlign w:val="center"/>
            <w:hideMark/>
          </w:tcPr>
          <w:p w14:paraId="76210045" w14:textId="77777777" w:rsidR="0029429F" w:rsidRPr="00D13460" w:rsidRDefault="0029429F" w:rsidP="00D13460">
            <w:pPr>
              <w:keepNext/>
              <w:keepLines/>
              <w:spacing w:beforeLines="20" w:before="48" w:afterLines="20" w:after="48"/>
              <w:rPr>
                <w:b/>
                <w:color w:val="FFFFFF" w:themeColor="background1"/>
                <w:sz w:val="16"/>
                <w:szCs w:val="16"/>
              </w:rPr>
            </w:pPr>
          </w:p>
        </w:tc>
        <w:tc>
          <w:tcPr>
            <w:tcW w:w="911" w:type="pct"/>
            <w:vMerge w:val="restart"/>
            <w:shd w:val="clear" w:color="auto" w:fill="00B0B9"/>
            <w:hideMark/>
          </w:tcPr>
          <w:p w14:paraId="6B144343" w14:textId="77777777" w:rsidR="0029429F" w:rsidRPr="007F2601" w:rsidRDefault="0029429F" w:rsidP="00E117FD">
            <w:pPr>
              <w:keepNext/>
              <w:keepLines/>
              <w:spacing w:beforeLines="10" w:before="24" w:afterLines="10" w:after="24"/>
              <w:rPr>
                <w:b/>
                <w:sz w:val="16"/>
                <w:szCs w:val="16"/>
              </w:rPr>
            </w:pPr>
            <w:r w:rsidRPr="007F2601">
              <w:rPr>
                <w:rFonts w:cs="Times New Roman"/>
                <w:b/>
                <w:sz w:val="16"/>
                <w:szCs w:val="16"/>
              </w:rPr>
              <w:t>C2.3 – Extent to which payments and service provision meet program objective</w:t>
            </w:r>
          </w:p>
        </w:tc>
        <w:tc>
          <w:tcPr>
            <w:tcW w:w="1935" w:type="pct"/>
            <w:shd w:val="clear" w:color="auto" w:fill="D9D9D9" w:themeFill="background1" w:themeFillShade="D9"/>
          </w:tcPr>
          <w:p w14:paraId="03654646" w14:textId="77777777" w:rsidR="0029429F" w:rsidRPr="00501AC2" w:rsidRDefault="0029429F" w:rsidP="00E117FD">
            <w:pPr>
              <w:keepNext/>
              <w:keepLines/>
              <w:spacing w:beforeLines="10" w:before="24" w:afterLines="10" w:after="24"/>
              <w:rPr>
                <w:rFonts w:cs="Times New Roman"/>
                <w:sz w:val="16"/>
                <w:szCs w:val="16"/>
              </w:rPr>
            </w:pPr>
            <w:r w:rsidRPr="00501AC2">
              <w:rPr>
                <w:rFonts w:cs="Times New Roman"/>
                <w:sz w:val="16"/>
                <w:szCs w:val="16"/>
              </w:rPr>
              <w:t xml:space="preserve">C2.3.1 </w:t>
            </w:r>
            <w:r>
              <w:rPr>
                <w:rFonts w:cs="Times New Roman"/>
                <w:sz w:val="16"/>
                <w:szCs w:val="16"/>
              </w:rPr>
              <w:t>–</w:t>
            </w:r>
            <w:r w:rsidRPr="00501AC2">
              <w:rPr>
                <w:rFonts w:cs="Times New Roman"/>
                <w:sz w:val="16"/>
                <w:szCs w:val="16"/>
              </w:rPr>
              <w:t xml:space="preserve"> Program performance criteria and associated milestones/standards (PBS)</w:t>
            </w:r>
          </w:p>
        </w:tc>
        <w:tc>
          <w:tcPr>
            <w:tcW w:w="555" w:type="pct"/>
            <w:shd w:val="clear" w:color="auto" w:fill="D9D9D9" w:themeFill="background1" w:themeFillShade="D9"/>
          </w:tcPr>
          <w:p w14:paraId="5F459251" w14:textId="77777777" w:rsidR="0029429F" w:rsidRPr="00312769" w:rsidRDefault="0029429F" w:rsidP="00E117FD">
            <w:pPr>
              <w:keepNext/>
              <w:keepLines/>
              <w:spacing w:beforeLines="20" w:before="48" w:afterLines="20" w:after="48"/>
              <w:rPr>
                <w:sz w:val="16"/>
                <w:szCs w:val="16"/>
              </w:rPr>
            </w:pPr>
            <w:r w:rsidRPr="00312769">
              <w:rPr>
                <w:sz w:val="16"/>
                <w:szCs w:val="16"/>
              </w:rPr>
              <w:t>2.1, 2.2, 2.3</w:t>
            </w:r>
          </w:p>
        </w:tc>
        <w:tc>
          <w:tcPr>
            <w:tcW w:w="830" w:type="pct"/>
            <w:shd w:val="clear" w:color="auto" w:fill="D9D9D9" w:themeFill="background1" w:themeFillShade="D9"/>
          </w:tcPr>
          <w:p w14:paraId="0B0B11AF" w14:textId="77777777" w:rsidR="0029429F" w:rsidRPr="00312769" w:rsidRDefault="0029429F" w:rsidP="00E117FD">
            <w:pPr>
              <w:keepNext/>
              <w:keepLines/>
              <w:spacing w:beforeLines="10" w:before="24" w:afterLines="10" w:after="24"/>
              <w:rPr>
                <w:rFonts w:cs="Times New Roman"/>
                <w:bCs/>
                <w:sz w:val="16"/>
                <w:szCs w:val="16"/>
              </w:rPr>
            </w:pPr>
            <w:r w:rsidRPr="00312769">
              <w:rPr>
                <w:rFonts w:cs="Times New Roman"/>
                <w:bCs/>
                <w:sz w:val="16"/>
                <w:szCs w:val="16"/>
              </w:rPr>
              <w:t>2.2.2</w:t>
            </w:r>
          </w:p>
        </w:tc>
      </w:tr>
      <w:tr w:rsidR="0029429F" w:rsidRPr="00501AC2" w14:paraId="7098A64B" w14:textId="77777777" w:rsidTr="00ED2244">
        <w:trPr>
          <w:trHeight w:val="25"/>
        </w:trPr>
        <w:tc>
          <w:tcPr>
            <w:tcW w:w="769" w:type="pct"/>
            <w:vMerge/>
            <w:shd w:val="clear" w:color="auto" w:fill="005A70"/>
            <w:vAlign w:val="center"/>
            <w:hideMark/>
          </w:tcPr>
          <w:p w14:paraId="45D1F411" w14:textId="77777777" w:rsidR="0029429F" w:rsidRPr="00D13460" w:rsidRDefault="0029429F" w:rsidP="00D13460">
            <w:pPr>
              <w:keepNext/>
              <w:keepLines/>
              <w:spacing w:beforeLines="20" w:before="48" w:afterLines="20" w:after="48"/>
              <w:rPr>
                <w:rFonts w:cs="Arial"/>
                <w:b/>
                <w:color w:val="FFFFFF" w:themeColor="background1"/>
                <w:sz w:val="16"/>
                <w:szCs w:val="16"/>
              </w:rPr>
            </w:pPr>
          </w:p>
        </w:tc>
        <w:tc>
          <w:tcPr>
            <w:tcW w:w="911" w:type="pct"/>
            <w:vMerge/>
            <w:shd w:val="clear" w:color="auto" w:fill="00B0B9"/>
            <w:vAlign w:val="center"/>
            <w:hideMark/>
          </w:tcPr>
          <w:p w14:paraId="228D0C1D" w14:textId="77777777" w:rsidR="0029429F" w:rsidRPr="007F2601" w:rsidRDefault="0029429F" w:rsidP="00E117FD">
            <w:pPr>
              <w:rPr>
                <w:rFonts w:cs="Arial"/>
                <w:b/>
                <w:sz w:val="16"/>
                <w:szCs w:val="16"/>
              </w:rPr>
            </w:pPr>
          </w:p>
        </w:tc>
        <w:tc>
          <w:tcPr>
            <w:tcW w:w="1935" w:type="pct"/>
            <w:shd w:val="clear" w:color="auto" w:fill="D9D9D9" w:themeFill="background1" w:themeFillShade="D9"/>
          </w:tcPr>
          <w:p w14:paraId="18168982" w14:textId="77777777" w:rsidR="0029429F" w:rsidRPr="00501AC2" w:rsidRDefault="0029429F" w:rsidP="00E117FD">
            <w:pPr>
              <w:keepNext/>
              <w:keepLines/>
              <w:spacing w:beforeLines="10" w:before="24" w:afterLines="10" w:after="24"/>
              <w:rPr>
                <w:sz w:val="16"/>
                <w:szCs w:val="16"/>
              </w:rPr>
            </w:pPr>
            <w:r w:rsidRPr="00501AC2">
              <w:rPr>
                <w:sz w:val="16"/>
                <w:szCs w:val="16"/>
              </w:rPr>
              <w:t xml:space="preserve">C2.3.2 </w:t>
            </w:r>
            <w:r>
              <w:rPr>
                <w:sz w:val="16"/>
                <w:szCs w:val="16"/>
              </w:rPr>
              <w:t>–</w:t>
            </w:r>
            <w:r w:rsidRPr="00501AC2">
              <w:rPr>
                <w:sz w:val="16"/>
                <w:szCs w:val="16"/>
              </w:rPr>
              <w:t xml:space="preserve"> Extent of satisfaction with services</w:t>
            </w:r>
          </w:p>
        </w:tc>
        <w:tc>
          <w:tcPr>
            <w:tcW w:w="555" w:type="pct"/>
            <w:shd w:val="clear" w:color="auto" w:fill="D9D9D9" w:themeFill="background1" w:themeFillShade="D9"/>
          </w:tcPr>
          <w:p w14:paraId="33A5F2F4" w14:textId="77777777" w:rsidR="0029429F" w:rsidRPr="00312769" w:rsidRDefault="0029429F" w:rsidP="00E117FD">
            <w:pPr>
              <w:keepNext/>
              <w:keepLines/>
              <w:spacing w:beforeLines="20" w:before="48" w:afterLines="20" w:after="48"/>
              <w:rPr>
                <w:sz w:val="16"/>
                <w:szCs w:val="16"/>
              </w:rPr>
            </w:pPr>
            <w:r w:rsidRPr="00312769">
              <w:rPr>
                <w:sz w:val="16"/>
                <w:szCs w:val="16"/>
              </w:rPr>
              <w:t>2.1</w:t>
            </w:r>
          </w:p>
        </w:tc>
        <w:tc>
          <w:tcPr>
            <w:tcW w:w="830" w:type="pct"/>
            <w:shd w:val="clear" w:color="auto" w:fill="D9D9D9" w:themeFill="background1" w:themeFillShade="D9"/>
          </w:tcPr>
          <w:p w14:paraId="0066535C" w14:textId="77777777" w:rsidR="0029429F" w:rsidRPr="00312769" w:rsidRDefault="0029429F" w:rsidP="00E117FD">
            <w:pPr>
              <w:keepNext/>
              <w:keepLines/>
              <w:spacing w:beforeLines="10" w:before="24" w:afterLines="10" w:after="24"/>
              <w:rPr>
                <w:bCs/>
                <w:sz w:val="16"/>
                <w:szCs w:val="16"/>
              </w:rPr>
            </w:pPr>
            <w:r w:rsidRPr="00312769">
              <w:rPr>
                <w:bCs/>
                <w:sz w:val="16"/>
                <w:szCs w:val="16"/>
              </w:rPr>
              <w:t>2.2.8</w:t>
            </w:r>
          </w:p>
        </w:tc>
      </w:tr>
      <w:tr w:rsidR="0029429F" w:rsidRPr="00501AC2" w14:paraId="799D75A5" w14:textId="77777777" w:rsidTr="00ED2244">
        <w:trPr>
          <w:cnfStyle w:val="000000010000" w:firstRow="0" w:lastRow="0" w:firstColumn="0" w:lastColumn="0" w:oddVBand="0" w:evenVBand="0" w:oddHBand="0" w:evenHBand="1" w:firstRowFirstColumn="0" w:firstRowLastColumn="0" w:lastRowFirstColumn="0" w:lastRowLastColumn="0"/>
          <w:trHeight w:val="268"/>
        </w:trPr>
        <w:tc>
          <w:tcPr>
            <w:tcW w:w="769" w:type="pct"/>
            <w:vMerge/>
            <w:shd w:val="clear" w:color="auto" w:fill="005A70"/>
            <w:vAlign w:val="center"/>
          </w:tcPr>
          <w:p w14:paraId="2B307C17" w14:textId="77777777" w:rsidR="0029429F" w:rsidRPr="00D13460" w:rsidRDefault="0029429F" w:rsidP="00D13460">
            <w:pPr>
              <w:keepNext/>
              <w:keepLines/>
              <w:spacing w:beforeLines="20" w:before="48" w:afterLines="20" w:after="48"/>
              <w:rPr>
                <w:b/>
                <w:color w:val="FFFFFF" w:themeColor="background1"/>
                <w:sz w:val="16"/>
                <w:szCs w:val="16"/>
              </w:rPr>
            </w:pPr>
          </w:p>
        </w:tc>
        <w:tc>
          <w:tcPr>
            <w:tcW w:w="911" w:type="pct"/>
            <w:vMerge/>
            <w:shd w:val="clear" w:color="auto" w:fill="00B0B9"/>
            <w:vAlign w:val="center"/>
          </w:tcPr>
          <w:p w14:paraId="7E155558" w14:textId="77777777" w:rsidR="0029429F" w:rsidRPr="007F2601" w:rsidRDefault="0029429F" w:rsidP="00E117FD">
            <w:pPr>
              <w:rPr>
                <w:b/>
                <w:sz w:val="16"/>
                <w:szCs w:val="16"/>
              </w:rPr>
            </w:pPr>
          </w:p>
        </w:tc>
        <w:tc>
          <w:tcPr>
            <w:tcW w:w="1935" w:type="pct"/>
            <w:shd w:val="clear" w:color="auto" w:fill="D9D9D9" w:themeFill="background1" w:themeFillShade="D9"/>
          </w:tcPr>
          <w:p w14:paraId="13780CC1" w14:textId="77777777" w:rsidR="0029429F" w:rsidRPr="00501AC2" w:rsidRDefault="0029429F" w:rsidP="00E117FD">
            <w:pPr>
              <w:keepNext/>
              <w:keepLines/>
              <w:spacing w:beforeLines="10" w:before="24" w:afterLines="50" w:after="120"/>
              <w:rPr>
                <w:rFonts w:cs="Times New Roman"/>
                <w:bCs/>
                <w:sz w:val="16"/>
                <w:szCs w:val="16"/>
              </w:rPr>
            </w:pPr>
            <w:r w:rsidRPr="00501AC2">
              <w:rPr>
                <w:rFonts w:cs="Times New Roman"/>
                <w:bCs/>
                <w:sz w:val="16"/>
                <w:szCs w:val="16"/>
              </w:rPr>
              <w:t xml:space="preserve">C2.3.3 </w:t>
            </w:r>
            <w:r>
              <w:rPr>
                <w:rFonts w:cs="Times New Roman"/>
                <w:bCs/>
                <w:sz w:val="16"/>
                <w:szCs w:val="16"/>
              </w:rPr>
              <w:t>–</w:t>
            </w:r>
            <w:r w:rsidRPr="00501AC2">
              <w:rPr>
                <w:rFonts w:cs="Times New Roman"/>
                <w:bCs/>
                <w:sz w:val="16"/>
                <w:szCs w:val="16"/>
              </w:rPr>
              <w:t xml:space="preserve"> Extent of community and service system capacity and capability improvement</w:t>
            </w:r>
          </w:p>
        </w:tc>
        <w:tc>
          <w:tcPr>
            <w:tcW w:w="555" w:type="pct"/>
            <w:shd w:val="clear" w:color="auto" w:fill="D9D9D9" w:themeFill="background1" w:themeFillShade="D9"/>
          </w:tcPr>
          <w:p w14:paraId="7F8DFE48" w14:textId="77777777" w:rsidR="0029429F" w:rsidRPr="00312769" w:rsidRDefault="0029429F" w:rsidP="00E117FD">
            <w:pPr>
              <w:keepNext/>
              <w:keepLines/>
              <w:spacing w:beforeLines="20" w:before="48" w:afterLines="20" w:after="48"/>
              <w:rPr>
                <w:sz w:val="16"/>
                <w:szCs w:val="16"/>
              </w:rPr>
            </w:pPr>
            <w:r w:rsidRPr="00312769">
              <w:rPr>
                <w:sz w:val="16"/>
                <w:szCs w:val="16"/>
              </w:rPr>
              <w:t>2.1</w:t>
            </w:r>
          </w:p>
        </w:tc>
        <w:tc>
          <w:tcPr>
            <w:tcW w:w="830" w:type="pct"/>
            <w:shd w:val="clear" w:color="auto" w:fill="D9D9D9" w:themeFill="background1" w:themeFillShade="D9"/>
          </w:tcPr>
          <w:p w14:paraId="05611CE0" w14:textId="77777777" w:rsidR="0029429F" w:rsidRPr="00312769" w:rsidRDefault="0029429F" w:rsidP="00E117FD">
            <w:pPr>
              <w:keepNext/>
              <w:keepLines/>
              <w:spacing w:beforeLines="10" w:before="24" w:afterLines="50" w:after="120"/>
              <w:rPr>
                <w:rFonts w:cs="Times New Roman"/>
                <w:bCs/>
                <w:sz w:val="16"/>
                <w:szCs w:val="16"/>
              </w:rPr>
            </w:pPr>
            <w:r w:rsidRPr="00312769">
              <w:rPr>
                <w:sz w:val="16"/>
                <w:szCs w:val="16"/>
              </w:rPr>
              <w:t>-</w:t>
            </w:r>
          </w:p>
        </w:tc>
      </w:tr>
      <w:tr w:rsidR="0029429F" w:rsidRPr="00501AC2" w14:paraId="2397E629" w14:textId="77777777" w:rsidTr="00ED2244">
        <w:trPr>
          <w:trHeight w:val="268"/>
        </w:trPr>
        <w:tc>
          <w:tcPr>
            <w:tcW w:w="769" w:type="pct"/>
            <w:vMerge/>
            <w:shd w:val="clear" w:color="auto" w:fill="005A70"/>
            <w:vAlign w:val="center"/>
          </w:tcPr>
          <w:p w14:paraId="28B72498" w14:textId="77777777" w:rsidR="0029429F" w:rsidRPr="00D13460" w:rsidRDefault="0029429F" w:rsidP="00D13460">
            <w:pPr>
              <w:keepNext/>
              <w:keepLines/>
              <w:spacing w:beforeLines="20" w:before="48" w:afterLines="20" w:after="48"/>
              <w:rPr>
                <w:rFonts w:cs="Arial"/>
                <w:b/>
                <w:color w:val="FFFFFF" w:themeColor="background1"/>
                <w:sz w:val="16"/>
                <w:szCs w:val="16"/>
              </w:rPr>
            </w:pPr>
          </w:p>
        </w:tc>
        <w:tc>
          <w:tcPr>
            <w:tcW w:w="911" w:type="pct"/>
            <w:vMerge/>
            <w:shd w:val="clear" w:color="auto" w:fill="00B0B9"/>
            <w:vAlign w:val="center"/>
          </w:tcPr>
          <w:p w14:paraId="15039331" w14:textId="77777777" w:rsidR="0029429F" w:rsidRPr="007F2601" w:rsidRDefault="0029429F" w:rsidP="00E117FD">
            <w:pPr>
              <w:rPr>
                <w:b/>
                <w:sz w:val="16"/>
                <w:szCs w:val="16"/>
              </w:rPr>
            </w:pPr>
          </w:p>
        </w:tc>
        <w:tc>
          <w:tcPr>
            <w:tcW w:w="1935" w:type="pct"/>
            <w:shd w:val="clear" w:color="auto" w:fill="D9D9D9" w:themeFill="background1" w:themeFillShade="D9"/>
          </w:tcPr>
          <w:p w14:paraId="45328C94" w14:textId="77777777" w:rsidR="0029429F" w:rsidRPr="00501AC2" w:rsidRDefault="0029429F" w:rsidP="00E117FD">
            <w:pPr>
              <w:keepNext/>
              <w:keepLines/>
              <w:spacing w:beforeLines="10" w:before="24" w:afterLines="50" w:after="120"/>
              <w:rPr>
                <w:bCs/>
                <w:sz w:val="16"/>
                <w:szCs w:val="16"/>
              </w:rPr>
            </w:pPr>
            <w:r w:rsidRPr="00501AC2">
              <w:rPr>
                <w:bCs/>
                <w:sz w:val="16"/>
                <w:szCs w:val="16"/>
              </w:rPr>
              <w:t xml:space="preserve">C2.3.4 </w:t>
            </w:r>
            <w:r>
              <w:rPr>
                <w:bCs/>
                <w:sz w:val="16"/>
                <w:szCs w:val="16"/>
              </w:rPr>
              <w:t xml:space="preserve">– </w:t>
            </w:r>
            <w:r w:rsidRPr="00501AC2">
              <w:rPr>
                <w:bCs/>
                <w:sz w:val="16"/>
                <w:szCs w:val="16"/>
              </w:rPr>
              <w:t>Percentage of assisted individuals who are from priority groups or locations</w:t>
            </w:r>
          </w:p>
        </w:tc>
        <w:tc>
          <w:tcPr>
            <w:tcW w:w="555" w:type="pct"/>
            <w:shd w:val="clear" w:color="auto" w:fill="D9D9D9" w:themeFill="background1" w:themeFillShade="D9"/>
          </w:tcPr>
          <w:p w14:paraId="3F47D212" w14:textId="77777777" w:rsidR="0029429F" w:rsidRPr="00501AC2" w:rsidRDefault="0029429F" w:rsidP="00E117FD">
            <w:pPr>
              <w:keepNext/>
              <w:keepLines/>
              <w:spacing w:beforeLines="10" w:before="24" w:afterLines="50" w:after="120"/>
              <w:rPr>
                <w:bCs/>
                <w:sz w:val="16"/>
                <w:szCs w:val="16"/>
              </w:rPr>
            </w:pPr>
            <w:r>
              <w:rPr>
                <w:bCs/>
                <w:sz w:val="16"/>
                <w:szCs w:val="16"/>
              </w:rPr>
              <w:t>2.1</w:t>
            </w:r>
          </w:p>
        </w:tc>
        <w:tc>
          <w:tcPr>
            <w:tcW w:w="830" w:type="pct"/>
            <w:shd w:val="clear" w:color="auto" w:fill="D9D9D9" w:themeFill="background1" w:themeFillShade="D9"/>
          </w:tcPr>
          <w:p w14:paraId="4152E13E" w14:textId="77777777" w:rsidR="0029429F" w:rsidRPr="00501AC2" w:rsidRDefault="0029429F" w:rsidP="00E117FD">
            <w:pPr>
              <w:keepNext/>
              <w:keepLines/>
              <w:spacing w:beforeLines="10" w:before="24" w:afterLines="50" w:after="120"/>
              <w:rPr>
                <w:bCs/>
                <w:sz w:val="16"/>
                <w:szCs w:val="16"/>
              </w:rPr>
            </w:pPr>
            <w:r w:rsidRPr="00501AC2">
              <w:rPr>
                <w:bCs/>
                <w:sz w:val="16"/>
                <w:szCs w:val="16"/>
              </w:rPr>
              <w:t>2.2.9</w:t>
            </w:r>
          </w:p>
        </w:tc>
      </w:tr>
      <w:tr w:rsidR="0029429F" w:rsidRPr="00501AC2" w14:paraId="0344A438" w14:textId="77777777" w:rsidTr="00ED2244">
        <w:trPr>
          <w:cnfStyle w:val="000000010000" w:firstRow="0" w:lastRow="0" w:firstColumn="0" w:lastColumn="0" w:oddVBand="0" w:evenVBand="0" w:oddHBand="0" w:evenHBand="1" w:firstRowFirstColumn="0" w:firstRowLastColumn="0" w:lastRowFirstColumn="0" w:lastRowLastColumn="0"/>
          <w:trHeight w:val="268"/>
        </w:trPr>
        <w:tc>
          <w:tcPr>
            <w:tcW w:w="769" w:type="pct"/>
            <w:vMerge/>
            <w:shd w:val="clear" w:color="auto" w:fill="005A70"/>
            <w:vAlign w:val="center"/>
            <w:hideMark/>
          </w:tcPr>
          <w:p w14:paraId="1565762F" w14:textId="77777777" w:rsidR="0029429F" w:rsidRPr="00D13460" w:rsidRDefault="0029429F" w:rsidP="00D13460">
            <w:pPr>
              <w:keepNext/>
              <w:keepLines/>
              <w:spacing w:beforeLines="20" w:before="48" w:afterLines="20" w:after="48"/>
              <w:rPr>
                <w:b/>
                <w:color w:val="FFFFFF" w:themeColor="background1"/>
                <w:sz w:val="16"/>
                <w:szCs w:val="16"/>
              </w:rPr>
            </w:pPr>
          </w:p>
        </w:tc>
        <w:tc>
          <w:tcPr>
            <w:tcW w:w="911" w:type="pct"/>
            <w:vMerge/>
            <w:shd w:val="clear" w:color="auto" w:fill="00B0B9"/>
            <w:vAlign w:val="center"/>
            <w:hideMark/>
          </w:tcPr>
          <w:p w14:paraId="7073A0E5" w14:textId="77777777" w:rsidR="0029429F" w:rsidRPr="007F2601" w:rsidRDefault="0029429F" w:rsidP="00E117FD">
            <w:pPr>
              <w:rPr>
                <w:b/>
                <w:sz w:val="16"/>
                <w:szCs w:val="16"/>
              </w:rPr>
            </w:pPr>
          </w:p>
        </w:tc>
        <w:tc>
          <w:tcPr>
            <w:tcW w:w="1935" w:type="pct"/>
            <w:shd w:val="clear" w:color="auto" w:fill="D9D9D9" w:themeFill="background1" w:themeFillShade="D9"/>
          </w:tcPr>
          <w:p w14:paraId="1EF05765" w14:textId="77777777" w:rsidR="0029429F" w:rsidRPr="00501AC2" w:rsidRDefault="0029429F" w:rsidP="00E117FD">
            <w:pPr>
              <w:keepNext/>
              <w:keepLines/>
              <w:spacing w:beforeLines="10" w:before="24" w:afterLines="50" w:after="120"/>
              <w:rPr>
                <w:rFonts w:cs="Times New Roman"/>
                <w:bCs/>
                <w:sz w:val="16"/>
                <w:szCs w:val="16"/>
              </w:rPr>
            </w:pPr>
            <w:r w:rsidRPr="00501AC2">
              <w:rPr>
                <w:rFonts w:cs="Times New Roman"/>
                <w:bCs/>
                <w:sz w:val="16"/>
                <w:szCs w:val="16"/>
              </w:rPr>
              <w:t xml:space="preserve">C2.3.5 </w:t>
            </w:r>
            <w:r>
              <w:rPr>
                <w:rFonts w:cs="Times New Roman"/>
                <w:bCs/>
                <w:sz w:val="16"/>
                <w:szCs w:val="16"/>
              </w:rPr>
              <w:t>–</w:t>
            </w:r>
            <w:r w:rsidRPr="00501AC2">
              <w:rPr>
                <w:rFonts w:cs="Times New Roman"/>
                <w:bCs/>
                <w:sz w:val="16"/>
                <w:szCs w:val="16"/>
              </w:rPr>
              <w:t xml:space="preserve"> Percentage of new parents supported to take paid parental leave</w:t>
            </w:r>
          </w:p>
        </w:tc>
        <w:tc>
          <w:tcPr>
            <w:tcW w:w="555" w:type="pct"/>
            <w:shd w:val="clear" w:color="auto" w:fill="D9D9D9" w:themeFill="background1" w:themeFillShade="D9"/>
          </w:tcPr>
          <w:p w14:paraId="05558E3E" w14:textId="77777777" w:rsidR="0029429F" w:rsidRPr="00501AC2" w:rsidRDefault="0029429F" w:rsidP="00E117FD">
            <w:pPr>
              <w:keepNext/>
              <w:keepLines/>
              <w:spacing w:beforeLines="10" w:before="24" w:afterLines="50" w:after="120"/>
              <w:rPr>
                <w:rFonts w:cs="Times New Roman"/>
                <w:bCs/>
                <w:sz w:val="16"/>
                <w:szCs w:val="16"/>
              </w:rPr>
            </w:pPr>
            <w:r>
              <w:rPr>
                <w:rFonts w:cs="Times New Roman"/>
                <w:bCs/>
                <w:sz w:val="16"/>
                <w:szCs w:val="16"/>
              </w:rPr>
              <w:t>2.2</w:t>
            </w:r>
          </w:p>
        </w:tc>
        <w:tc>
          <w:tcPr>
            <w:tcW w:w="830" w:type="pct"/>
            <w:shd w:val="clear" w:color="auto" w:fill="D9D9D9" w:themeFill="background1" w:themeFillShade="D9"/>
          </w:tcPr>
          <w:p w14:paraId="3E3E9E1D" w14:textId="77777777" w:rsidR="0029429F" w:rsidRPr="00501AC2" w:rsidRDefault="0029429F" w:rsidP="00E117FD">
            <w:pPr>
              <w:keepNext/>
              <w:keepLines/>
              <w:spacing w:beforeLines="10" w:before="24" w:afterLines="50" w:after="120"/>
              <w:rPr>
                <w:rFonts w:cs="Times New Roman"/>
                <w:bCs/>
                <w:sz w:val="16"/>
                <w:szCs w:val="16"/>
              </w:rPr>
            </w:pPr>
            <w:r w:rsidRPr="00501AC2">
              <w:rPr>
                <w:rFonts w:cs="Times New Roman"/>
                <w:bCs/>
                <w:sz w:val="16"/>
                <w:szCs w:val="16"/>
              </w:rPr>
              <w:t>2.2.10</w:t>
            </w:r>
          </w:p>
        </w:tc>
      </w:tr>
      <w:tr w:rsidR="0029429F" w:rsidRPr="00501AC2" w14:paraId="4E86B046" w14:textId="77777777" w:rsidTr="00ED2244">
        <w:trPr>
          <w:trHeight w:val="294"/>
        </w:trPr>
        <w:tc>
          <w:tcPr>
            <w:tcW w:w="769" w:type="pct"/>
            <w:vMerge w:val="restart"/>
            <w:shd w:val="clear" w:color="auto" w:fill="005A70"/>
            <w:hideMark/>
          </w:tcPr>
          <w:p w14:paraId="7B5C981C" w14:textId="77777777" w:rsidR="0029429F" w:rsidRPr="00D13460" w:rsidRDefault="0029429F" w:rsidP="00D13460">
            <w:pPr>
              <w:keepNext/>
              <w:keepLines/>
              <w:spacing w:beforeLines="20" w:before="48" w:afterLines="20" w:after="48"/>
              <w:rPr>
                <w:rFonts w:cs="Arial"/>
                <w:b/>
                <w:color w:val="FFFFFF" w:themeColor="background1"/>
                <w:sz w:val="16"/>
                <w:szCs w:val="16"/>
              </w:rPr>
            </w:pPr>
            <w:r w:rsidRPr="00D13460">
              <w:rPr>
                <w:rFonts w:cs="Arial"/>
                <w:b/>
                <w:color w:val="FFFFFF" w:themeColor="background1"/>
                <w:sz w:val="16"/>
                <w:szCs w:val="16"/>
              </w:rPr>
              <w:t>Output — How much did we do?</w:t>
            </w:r>
          </w:p>
        </w:tc>
        <w:tc>
          <w:tcPr>
            <w:tcW w:w="911" w:type="pct"/>
            <w:vMerge w:val="restart"/>
            <w:shd w:val="clear" w:color="auto" w:fill="00B0B9"/>
            <w:hideMark/>
          </w:tcPr>
          <w:p w14:paraId="2A446AFA" w14:textId="77777777" w:rsidR="0029429F" w:rsidRPr="007F2601" w:rsidRDefault="0029429F" w:rsidP="00E117FD">
            <w:pPr>
              <w:keepNext/>
              <w:keepLines/>
              <w:spacing w:beforeLines="20" w:before="48" w:afterLines="20" w:after="48"/>
              <w:rPr>
                <w:b/>
                <w:sz w:val="16"/>
                <w:szCs w:val="16"/>
              </w:rPr>
            </w:pPr>
            <w:r w:rsidRPr="007F2601">
              <w:rPr>
                <w:b/>
                <w:sz w:val="16"/>
                <w:szCs w:val="16"/>
              </w:rPr>
              <w:t>C2.4 – Delivery measures</w:t>
            </w:r>
          </w:p>
        </w:tc>
        <w:tc>
          <w:tcPr>
            <w:tcW w:w="1935" w:type="pct"/>
            <w:shd w:val="clear" w:color="auto" w:fill="D9D9D9" w:themeFill="background1" w:themeFillShade="D9"/>
          </w:tcPr>
          <w:p w14:paraId="1DC8CC85" w14:textId="77777777" w:rsidR="0029429F" w:rsidRPr="00501AC2" w:rsidRDefault="0029429F" w:rsidP="00E117FD">
            <w:pPr>
              <w:keepNext/>
              <w:keepLines/>
              <w:spacing w:beforeLines="20" w:before="48" w:afterLines="20" w:after="48"/>
              <w:rPr>
                <w:sz w:val="16"/>
                <w:szCs w:val="16"/>
              </w:rPr>
            </w:pPr>
            <w:r w:rsidRPr="00501AC2">
              <w:rPr>
                <w:sz w:val="16"/>
                <w:szCs w:val="16"/>
              </w:rPr>
              <w:t xml:space="preserve">C2.4.1 </w:t>
            </w:r>
            <w:r>
              <w:rPr>
                <w:sz w:val="16"/>
                <w:szCs w:val="16"/>
              </w:rPr>
              <w:t>–</w:t>
            </w:r>
            <w:r w:rsidRPr="00501AC2">
              <w:rPr>
                <w:sz w:val="16"/>
                <w:szCs w:val="16"/>
              </w:rPr>
              <w:t xml:space="preserve"> Number of individuals assisted (PBS)</w:t>
            </w:r>
          </w:p>
        </w:tc>
        <w:tc>
          <w:tcPr>
            <w:tcW w:w="555" w:type="pct"/>
            <w:shd w:val="clear" w:color="auto" w:fill="D9D9D9" w:themeFill="background1" w:themeFillShade="D9"/>
          </w:tcPr>
          <w:p w14:paraId="3B5AB9AC" w14:textId="77777777" w:rsidR="0029429F" w:rsidRPr="00501AC2" w:rsidRDefault="0029429F" w:rsidP="00E117FD">
            <w:pPr>
              <w:keepNext/>
              <w:keepLines/>
              <w:spacing w:beforeLines="20" w:before="48" w:afterLines="20" w:after="48"/>
              <w:rPr>
                <w:sz w:val="16"/>
                <w:szCs w:val="16"/>
              </w:rPr>
            </w:pPr>
            <w:r>
              <w:rPr>
                <w:sz w:val="16"/>
                <w:szCs w:val="16"/>
              </w:rPr>
              <w:t>2.1, 2.2</w:t>
            </w:r>
          </w:p>
        </w:tc>
        <w:tc>
          <w:tcPr>
            <w:tcW w:w="830" w:type="pct"/>
            <w:shd w:val="clear" w:color="auto" w:fill="D9D9D9" w:themeFill="background1" w:themeFillShade="D9"/>
          </w:tcPr>
          <w:p w14:paraId="2291CD88" w14:textId="77777777" w:rsidR="0029429F" w:rsidRPr="00501AC2" w:rsidRDefault="0029429F" w:rsidP="00E117FD">
            <w:pPr>
              <w:keepNext/>
              <w:keepLines/>
              <w:spacing w:beforeLines="20" w:before="48" w:afterLines="20" w:after="48"/>
              <w:rPr>
                <w:sz w:val="16"/>
                <w:szCs w:val="16"/>
              </w:rPr>
            </w:pPr>
            <w:r w:rsidRPr="00501AC2">
              <w:rPr>
                <w:sz w:val="16"/>
                <w:szCs w:val="16"/>
              </w:rPr>
              <w:t>2.2.11, 2.2.12</w:t>
            </w:r>
          </w:p>
        </w:tc>
      </w:tr>
      <w:tr w:rsidR="0029429F" w:rsidRPr="00501AC2" w14:paraId="26E2C9F4" w14:textId="77777777" w:rsidTr="00ED2244">
        <w:trPr>
          <w:cnfStyle w:val="000000010000" w:firstRow="0" w:lastRow="0" w:firstColumn="0" w:lastColumn="0" w:oddVBand="0" w:evenVBand="0" w:oddHBand="0" w:evenHBand="1" w:firstRowFirstColumn="0" w:firstRowLastColumn="0" w:lastRowFirstColumn="0" w:lastRowLastColumn="0"/>
          <w:trHeight w:val="294"/>
        </w:trPr>
        <w:tc>
          <w:tcPr>
            <w:tcW w:w="769" w:type="pct"/>
            <w:vMerge/>
            <w:shd w:val="clear" w:color="auto" w:fill="005A70"/>
            <w:vAlign w:val="center"/>
          </w:tcPr>
          <w:p w14:paraId="20254D6A" w14:textId="77777777" w:rsidR="0029429F" w:rsidRPr="00501AC2" w:rsidRDefault="0029429F" w:rsidP="00E117FD">
            <w:pPr>
              <w:rPr>
                <w:rFonts w:cs="Times New Roman"/>
                <w:b/>
                <w:sz w:val="16"/>
                <w:szCs w:val="16"/>
              </w:rPr>
            </w:pPr>
          </w:p>
        </w:tc>
        <w:tc>
          <w:tcPr>
            <w:tcW w:w="911" w:type="pct"/>
            <w:vMerge/>
            <w:shd w:val="clear" w:color="auto" w:fill="00B0B9"/>
            <w:vAlign w:val="center"/>
          </w:tcPr>
          <w:p w14:paraId="5217A922" w14:textId="77777777" w:rsidR="0029429F" w:rsidRPr="00501AC2" w:rsidRDefault="0029429F" w:rsidP="00E117FD">
            <w:pPr>
              <w:rPr>
                <w:rFonts w:cs="Times New Roman"/>
                <w:b/>
                <w:sz w:val="16"/>
                <w:szCs w:val="16"/>
              </w:rPr>
            </w:pPr>
          </w:p>
        </w:tc>
        <w:tc>
          <w:tcPr>
            <w:tcW w:w="1935" w:type="pct"/>
            <w:shd w:val="clear" w:color="auto" w:fill="D9D9D9" w:themeFill="background1" w:themeFillShade="D9"/>
          </w:tcPr>
          <w:p w14:paraId="70C05E15" w14:textId="77777777" w:rsidR="0029429F" w:rsidRPr="00501AC2" w:rsidRDefault="0029429F" w:rsidP="00E117FD">
            <w:pPr>
              <w:keepNext/>
              <w:keepLines/>
              <w:spacing w:beforeLines="20" w:before="48" w:afterLines="20" w:after="48"/>
              <w:rPr>
                <w:rFonts w:cs="Times New Roman"/>
                <w:sz w:val="16"/>
                <w:szCs w:val="16"/>
              </w:rPr>
            </w:pPr>
            <w:r w:rsidRPr="00501AC2">
              <w:rPr>
                <w:sz w:val="16"/>
                <w:szCs w:val="16"/>
              </w:rPr>
              <w:t xml:space="preserve">C2.4.2 </w:t>
            </w:r>
            <w:r>
              <w:rPr>
                <w:sz w:val="16"/>
                <w:szCs w:val="16"/>
              </w:rPr>
              <w:t>–</w:t>
            </w:r>
            <w:r w:rsidRPr="00501AC2">
              <w:rPr>
                <w:sz w:val="16"/>
                <w:szCs w:val="16"/>
              </w:rPr>
              <w:t xml:space="preserve"> Number of applications received for the National Redress Scheme</w:t>
            </w:r>
          </w:p>
        </w:tc>
        <w:tc>
          <w:tcPr>
            <w:tcW w:w="555" w:type="pct"/>
            <w:shd w:val="clear" w:color="auto" w:fill="D9D9D9" w:themeFill="background1" w:themeFillShade="D9"/>
          </w:tcPr>
          <w:p w14:paraId="1EE63894" w14:textId="77777777" w:rsidR="0029429F" w:rsidRPr="00501AC2" w:rsidRDefault="0029429F" w:rsidP="00E117FD">
            <w:pPr>
              <w:keepNext/>
              <w:keepLines/>
              <w:spacing w:beforeLines="20" w:before="48" w:afterLines="20" w:after="48"/>
              <w:rPr>
                <w:rFonts w:cs="Times New Roman"/>
                <w:sz w:val="16"/>
                <w:szCs w:val="16"/>
              </w:rPr>
            </w:pPr>
            <w:r>
              <w:rPr>
                <w:rFonts w:cs="Times New Roman"/>
                <w:sz w:val="16"/>
                <w:szCs w:val="16"/>
              </w:rPr>
              <w:t>2.1</w:t>
            </w:r>
          </w:p>
        </w:tc>
        <w:tc>
          <w:tcPr>
            <w:tcW w:w="830" w:type="pct"/>
            <w:shd w:val="clear" w:color="auto" w:fill="D9D9D9" w:themeFill="background1" w:themeFillShade="D9"/>
          </w:tcPr>
          <w:p w14:paraId="01153D71" w14:textId="77777777" w:rsidR="0029429F" w:rsidRPr="00501AC2" w:rsidRDefault="0029429F" w:rsidP="00E117FD">
            <w:pPr>
              <w:keepNext/>
              <w:keepLines/>
              <w:spacing w:beforeLines="20" w:before="48" w:afterLines="20" w:after="48"/>
              <w:rPr>
                <w:rFonts w:cs="Times New Roman"/>
                <w:sz w:val="16"/>
                <w:szCs w:val="16"/>
              </w:rPr>
            </w:pPr>
            <w:r w:rsidRPr="00501AC2">
              <w:rPr>
                <w:rFonts w:cs="Times New Roman"/>
                <w:sz w:val="16"/>
                <w:szCs w:val="16"/>
              </w:rPr>
              <w:t>2.2.13</w:t>
            </w:r>
          </w:p>
        </w:tc>
      </w:tr>
      <w:tr w:rsidR="0029429F" w:rsidRPr="00501AC2" w14:paraId="2D90D03A" w14:textId="77777777" w:rsidTr="00ED2244">
        <w:trPr>
          <w:trHeight w:val="294"/>
        </w:trPr>
        <w:tc>
          <w:tcPr>
            <w:tcW w:w="769" w:type="pct"/>
            <w:vMerge/>
            <w:shd w:val="clear" w:color="auto" w:fill="005A70"/>
            <w:vAlign w:val="center"/>
            <w:hideMark/>
          </w:tcPr>
          <w:p w14:paraId="656A6E6E" w14:textId="77777777" w:rsidR="0029429F" w:rsidRPr="00501AC2" w:rsidRDefault="0029429F" w:rsidP="00E117FD">
            <w:pPr>
              <w:rPr>
                <w:b/>
                <w:sz w:val="16"/>
                <w:szCs w:val="16"/>
              </w:rPr>
            </w:pPr>
          </w:p>
        </w:tc>
        <w:tc>
          <w:tcPr>
            <w:tcW w:w="911" w:type="pct"/>
            <w:vMerge/>
            <w:shd w:val="clear" w:color="auto" w:fill="00B0B9"/>
            <w:vAlign w:val="center"/>
            <w:hideMark/>
          </w:tcPr>
          <w:p w14:paraId="3F1B60AB" w14:textId="77777777" w:rsidR="0029429F" w:rsidRPr="00501AC2" w:rsidRDefault="0029429F" w:rsidP="00E117FD">
            <w:pPr>
              <w:rPr>
                <w:b/>
                <w:sz w:val="16"/>
                <w:szCs w:val="16"/>
              </w:rPr>
            </w:pPr>
          </w:p>
        </w:tc>
        <w:tc>
          <w:tcPr>
            <w:tcW w:w="1935" w:type="pct"/>
            <w:shd w:val="clear" w:color="auto" w:fill="D9D9D9" w:themeFill="background1" w:themeFillShade="D9"/>
          </w:tcPr>
          <w:p w14:paraId="18585518" w14:textId="77777777" w:rsidR="0029429F" w:rsidRPr="00501AC2" w:rsidRDefault="0029429F" w:rsidP="00E117FD">
            <w:pPr>
              <w:keepNext/>
              <w:keepLines/>
              <w:spacing w:beforeLines="20" w:before="48" w:afterLines="20" w:after="48"/>
              <w:rPr>
                <w:sz w:val="16"/>
                <w:szCs w:val="16"/>
              </w:rPr>
            </w:pPr>
            <w:r w:rsidRPr="00501AC2">
              <w:rPr>
                <w:sz w:val="16"/>
                <w:szCs w:val="16"/>
              </w:rPr>
              <w:t xml:space="preserve">C2.4.3 </w:t>
            </w:r>
            <w:r>
              <w:rPr>
                <w:sz w:val="16"/>
                <w:szCs w:val="16"/>
              </w:rPr>
              <w:t>–</w:t>
            </w:r>
            <w:r w:rsidRPr="00501AC2">
              <w:rPr>
                <w:sz w:val="16"/>
                <w:szCs w:val="16"/>
              </w:rPr>
              <w:t xml:space="preserve"> Number of organisations contracted or receiving grant funding to deliver services (PBS)</w:t>
            </w:r>
          </w:p>
        </w:tc>
        <w:tc>
          <w:tcPr>
            <w:tcW w:w="555" w:type="pct"/>
            <w:shd w:val="clear" w:color="auto" w:fill="D9D9D9" w:themeFill="background1" w:themeFillShade="D9"/>
          </w:tcPr>
          <w:p w14:paraId="0FC52C73" w14:textId="77777777" w:rsidR="0029429F" w:rsidRPr="00501AC2" w:rsidRDefault="0029429F" w:rsidP="00E117FD">
            <w:pPr>
              <w:keepNext/>
              <w:keepLines/>
              <w:spacing w:beforeLines="20" w:before="48" w:afterLines="20" w:after="48"/>
              <w:rPr>
                <w:sz w:val="16"/>
                <w:szCs w:val="16"/>
              </w:rPr>
            </w:pPr>
            <w:r>
              <w:rPr>
                <w:sz w:val="16"/>
                <w:szCs w:val="16"/>
              </w:rPr>
              <w:t>2.1</w:t>
            </w:r>
          </w:p>
        </w:tc>
        <w:tc>
          <w:tcPr>
            <w:tcW w:w="830" w:type="pct"/>
            <w:shd w:val="clear" w:color="auto" w:fill="D9D9D9" w:themeFill="background1" w:themeFillShade="D9"/>
          </w:tcPr>
          <w:p w14:paraId="1A46EA22" w14:textId="77777777" w:rsidR="0029429F" w:rsidRPr="00501AC2" w:rsidRDefault="0029429F" w:rsidP="00E117FD">
            <w:pPr>
              <w:keepNext/>
              <w:keepLines/>
              <w:spacing w:beforeLines="20" w:before="48" w:afterLines="20" w:after="48"/>
              <w:rPr>
                <w:sz w:val="16"/>
                <w:szCs w:val="16"/>
              </w:rPr>
            </w:pPr>
            <w:r w:rsidRPr="00501AC2">
              <w:rPr>
                <w:sz w:val="16"/>
                <w:szCs w:val="16"/>
              </w:rPr>
              <w:t>2.2.14</w:t>
            </w:r>
          </w:p>
        </w:tc>
      </w:tr>
      <w:tr w:rsidR="0029429F" w:rsidRPr="00501AC2" w14:paraId="0B61DF44" w14:textId="77777777" w:rsidTr="00ED2244">
        <w:trPr>
          <w:cnfStyle w:val="000000010000" w:firstRow="0" w:lastRow="0" w:firstColumn="0" w:lastColumn="0" w:oddVBand="0" w:evenVBand="0" w:oddHBand="0" w:evenHBand="1" w:firstRowFirstColumn="0" w:firstRowLastColumn="0" w:lastRowFirstColumn="0" w:lastRowLastColumn="0"/>
          <w:trHeight w:val="271"/>
        </w:trPr>
        <w:tc>
          <w:tcPr>
            <w:tcW w:w="769" w:type="pct"/>
            <w:vMerge/>
            <w:shd w:val="clear" w:color="auto" w:fill="005A70"/>
            <w:vAlign w:val="center"/>
          </w:tcPr>
          <w:p w14:paraId="27910B8D" w14:textId="77777777" w:rsidR="0029429F" w:rsidRPr="00501AC2" w:rsidRDefault="0029429F" w:rsidP="00E117FD">
            <w:pPr>
              <w:rPr>
                <w:b/>
                <w:sz w:val="16"/>
                <w:szCs w:val="16"/>
              </w:rPr>
            </w:pPr>
          </w:p>
        </w:tc>
        <w:tc>
          <w:tcPr>
            <w:tcW w:w="911" w:type="pct"/>
            <w:vMerge/>
            <w:shd w:val="clear" w:color="auto" w:fill="00B0B9"/>
            <w:vAlign w:val="center"/>
          </w:tcPr>
          <w:p w14:paraId="0274E8D5" w14:textId="77777777" w:rsidR="0029429F" w:rsidRPr="00501AC2" w:rsidRDefault="0029429F" w:rsidP="00E117FD">
            <w:pPr>
              <w:rPr>
                <w:b/>
                <w:sz w:val="16"/>
                <w:szCs w:val="16"/>
              </w:rPr>
            </w:pPr>
          </w:p>
        </w:tc>
        <w:tc>
          <w:tcPr>
            <w:tcW w:w="1935" w:type="pct"/>
            <w:shd w:val="clear" w:color="auto" w:fill="D9D9D9" w:themeFill="background1" w:themeFillShade="D9"/>
          </w:tcPr>
          <w:p w14:paraId="5A14E73A" w14:textId="77777777" w:rsidR="0029429F" w:rsidRPr="00501AC2" w:rsidRDefault="0029429F" w:rsidP="00E117FD">
            <w:pPr>
              <w:keepNext/>
              <w:keepLines/>
              <w:spacing w:beforeLines="10" w:before="24" w:afterLines="10" w:after="24"/>
              <w:rPr>
                <w:sz w:val="16"/>
                <w:szCs w:val="16"/>
              </w:rPr>
            </w:pPr>
            <w:r w:rsidRPr="00501AC2">
              <w:rPr>
                <w:sz w:val="16"/>
                <w:szCs w:val="16"/>
              </w:rPr>
              <w:t xml:space="preserve">C2.4.4 </w:t>
            </w:r>
            <w:r>
              <w:rPr>
                <w:sz w:val="16"/>
                <w:szCs w:val="16"/>
              </w:rPr>
              <w:t>–</w:t>
            </w:r>
            <w:r w:rsidRPr="00501AC2">
              <w:rPr>
                <w:sz w:val="16"/>
                <w:szCs w:val="16"/>
              </w:rPr>
              <w:t xml:space="preserve"> Number of institutions that have joined the National Redress Scheme</w:t>
            </w:r>
          </w:p>
        </w:tc>
        <w:tc>
          <w:tcPr>
            <w:tcW w:w="555" w:type="pct"/>
            <w:shd w:val="clear" w:color="auto" w:fill="D9D9D9" w:themeFill="background1" w:themeFillShade="D9"/>
          </w:tcPr>
          <w:p w14:paraId="6EF79095" w14:textId="77777777" w:rsidR="0029429F" w:rsidRPr="00501AC2" w:rsidRDefault="0029429F" w:rsidP="00E117FD">
            <w:pPr>
              <w:keepNext/>
              <w:keepLines/>
              <w:spacing w:beforeLines="10" w:before="24" w:afterLines="10" w:after="24"/>
              <w:rPr>
                <w:sz w:val="16"/>
                <w:szCs w:val="16"/>
              </w:rPr>
            </w:pPr>
            <w:r>
              <w:rPr>
                <w:sz w:val="16"/>
                <w:szCs w:val="16"/>
              </w:rPr>
              <w:t>2.1</w:t>
            </w:r>
          </w:p>
        </w:tc>
        <w:tc>
          <w:tcPr>
            <w:tcW w:w="830" w:type="pct"/>
            <w:shd w:val="clear" w:color="auto" w:fill="D9D9D9" w:themeFill="background1" w:themeFillShade="D9"/>
          </w:tcPr>
          <w:p w14:paraId="2A72A648" w14:textId="77777777" w:rsidR="0029429F" w:rsidRPr="00501AC2" w:rsidRDefault="0029429F" w:rsidP="00E117FD">
            <w:pPr>
              <w:keepNext/>
              <w:keepLines/>
              <w:spacing w:beforeLines="10" w:before="24" w:afterLines="10" w:after="24"/>
              <w:rPr>
                <w:sz w:val="16"/>
                <w:szCs w:val="16"/>
              </w:rPr>
            </w:pPr>
            <w:r w:rsidRPr="00501AC2">
              <w:rPr>
                <w:sz w:val="16"/>
                <w:szCs w:val="16"/>
              </w:rPr>
              <w:t>2.2.15</w:t>
            </w:r>
          </w:p>
        </w:tc>
      </w:tr>
      <w:tr w:rsidR="0029429F" w:rsidRPr="00501AC2" w14:paraId="74C70750" w14:textId="77777777" w:rsidTr="00ED2244">
        <w:trPr>
          <w:trHeight w:val="271"/>
        </w:trPr>
        <w:tc>
          <w:tcPr>
            <w:tcW w:w="769" w:type="pct"/>
            <w:vMerge/>
            <w:shd w:val="clear" w:color="auto" w:fill="005A70"/>
            <w:vAlign w:val="center"/>
            <w:hideMark/>
          </w:tcPr>
          <w:p w14:paraId="44BEF5A4" w14:textId="77777777" w:rsidR="0029429F" w:rsidRPr="00501AC2" w:rsidRDefault="0029429F" w:rsidP="00E117FD">
            <w:pPr>
              <w:rPr>
                <w:b/>
                <w:sz w:val="16"/>
                <w:szCs w:val="16"/>
              </w:rPr>
            </w:pPr>
          </w:p>
        </w:tc>
        <w:tc>
          <w:tcPr>
            <w:tcW w:w="911" w:type="pct"/>
            <w:vMerge/>
            <w:shd w:val="clear" w:color="auto" w:fill="00B0B9"/>
            <w:vAlign w:val="center"/>
            <w:hideMark/>
          </w:tcPr>
          <w:p w14:paraId="6CE2686C" w14:textId="77777777" w:rsidR="0029429F" w:rsidRPr="00501AC2" w:rsidRDefault="0029429F" w:rsidP="00E117FD">
            <w:pPr>
              <w:rPr>
                <w:b/>
                <w:sz w:val="16"/>
                <w:szCs w:val="16"/>
              </w:rPr>
            </w:pPr>
          </w:p>
        </w:tc>
        <w:tc>
          <w:tcPr>
            <w:tcW w:w="1935" w:type="pct"/>
            <w:shd w:val="clear" w:color="auto" w:fill="D9D9D9" w:themeFill="background1" w:themeFillShade="D9"/>
          </w:tcPr>
          <w:p w14:paraId="44CCDAE4" w14:textId="77777777" w:rsidR="0029429F" w:rsidRPr="00501AC2" w:rsidRDefault="0029429F" w:rsidP="00E117FD">
            <w:pPr>
              <w:keepNext/>
              <w:keepLines/>
              <w:spacing w:beforeLines="10" w:before="24" w:afterLines="10" w:after="24"/>
              <w:rPr>
                <w:sz w:val="16"/>
                <w:szCs w:val="16"/>
              </w:rPr>
            </w:pPr>
            <w:r w:rsidRPr="00501AC2">
              <w:rPr>
                <w:sz w:val="16"/>
                <w:szCs w:val="16"/>
              </w:rPr>
              <w:t xml:space="preserve">C2.4.5 </w:t>
            </w:r>
            <w:r>
              <w:rPr>
                <w:sz w:val="16"/>
                <w:szCs w:val="16"/>
              </w:rPr>
              <w:t>–</w:t>
            </w:r>
            <w:r w:rsidRPr="00501AC2">
              <w:rPr>
                <w:sz w:val="16"/>
                <w:szCs w:val="16"/>
              </w:rPr>
              <w:t xml:space="preserve"> Administered outlays (PBS)</w:t>
            </w:r>
          </w:p>
        </w:tc>
        <w:tc>
          <w:tcPr>
            <w:tcW w:w="555" w:type="pct"/>
            <w:shd w:val="clear" w:color="auto" w:fill="D9D9D9" w:themeFill="background1" w:themeFillShade="D9"/>
          </w:tcPr>
          <w:p w14:paraId="01F626C9" w14:textId="77777777" w:rsidR="0029429F" w:rsidRPr="00501AC2" w:rsidRDefault="0029429F" w:rsidP="00E117FD">
            <w:pPr>
              <w:keepNext/>
              <w:keepLines/>
              <w:spacing w:beforeLines="10" w:before="24" w:afterLines="10" w:after="24"/>
              <w:rPr>
                <w:sz w:val="16"/>
                <w:szCs w:val="16"/>
              </w:rPr>
            </w:pPr>
            <w:r>
              <w:rPr>
                <w:sz w:val="16"/>
                <w:szCs w:val="16"/>
              </w:rPr>
              <w:t>2.1, 2.2, 2.3</w:t>
            </w:r>
          </w:p>
        </w:tc>
        <w:tc>
          <w:tcPr>
            <w:tcW w:w="830" w:type="pct"/>
            <w:shd w:val="clear" w:color="auto" w:fill="D9D9D9" w:themeFill="background1" w:themeFillShade="D9"/>
          </w:tcPr>
          <w:p w14:paraId="5B3AAB35" w14:textId="77777777" w:rsidR="0029429F" w:rsidRPr="00501AC2" w:rsidRDefault="0029429F" w:rsidP="00E117FD">
            <w:pPr>
              <w:keepNext/>
              <w:keepLines/>
              <w:spacing w:beforeLines="10" w:before="24" w:afterLines="10" w:after="24"/>
              <w:rPr>
                <w:sz w:val="16"/>
                <w:szCs w:val="16"/>
              </w:rPr>
            </w:pPr>
            <w:r w:rsidRPr="00501AC2">
              <w:rPr>
                <w:sz w:val="16"/>
                <w:szCs w:val="16"/>
              </w:rPr>
              <w:t>2.2.16</w:t>
            </w:r>
          </w:p>
        </w:tc>
      </w:tr>
    </w:tbl>
    <w:p w14:paraId="127090F6" w14:textId="77777777" w:rsidR="0029429F" w:rsidRPr="00771C23" w:rsidRDefault="0029429F" w:rsidP="0029429F">
      <w:pPr>
        <w:spacing w:before="160" w:after="60" w:line="240" w:lineRule="auto"/>
        <w:ind w:left="170" w:hanging="170"/>
        <w:contextualSpacing/>
        <w:rPr>
          <w:rFonts w:cs="Arial"/>
          <w:sz w:val="16"/>
          <w:szCs w:val="16"/>
        </w:rPr>
      </w:pPr>
      <w:r w:rsidRPr="00815094">
        <w:rPr>
          <w:rFonts w:cs="Arial"/>
          <w:sz w:val="16"/>
          <w:szCs w:val="16"/>
        </w:rPr>
        <w:t>Source: Corporate Plan 2019–20 and Portfolio Budget Statements 2019–20</w:t>
      </w:r>
      <w:r>
        <w:rPr>
          <w:rFonts w:cs="Arial"/>
          <w:sz w:val="16"/>
          <w:szCs w:val="16"/>
        </w:rPr>
        <w:t>.</w:t>
      </w:r>
    </w:p>
    <w:p w14:paraId="0375DB74" w14:textId="77777777" w:rsidR="0029429F" w:rsidRPr="00771C23" w:rsidRDefault="0029429F" w:rsidP="0029429F"/>
    <w:p w14:paraId="19C91E58" w14:textId="77777777" w:rsidR="00943101" w:rsidRDefault="00943101" w:rsidP="0029429F">
      <w:pPr>
        <w:rPr>
          <w:rFonts w:eastAsiaTheme="majorEastAsia" w:cstheme="majorBidi"/>
          <w:b/>
          <w:iCs/>
          <w:sz w:val="26"/>
        </w:rPr>
        <w:sectPr w:rsidR="00943101" w:rsidSect="00A94724">
          <w:footnotePr>
            <w:numRestart w:val="eachPage"/>
          </w:footnotePr>
          <w:pgSz w:w="11906" w:h="16838"/>
          <w:pgMar w:top="1440" w:right="1440" w:bottom="1440" w:left="1440" w:header="709" w:footer="709" w:gutter="0"/>
          <w:cols w:space="708"/>
          <w:docGrid w:linePitch="360"/>
        </w:sectPr>
      </w:pPr>
    </w:p>
    <w:p w14:paraId="09BBC658" w14:textId="77777777" w:rsidR="0029429F" w:rsidRPr="00771C23" w:rsidRDefault="0029429F" w:rsidP="003A047F">
      <w:pPr>
        <w:rPr>
          <w:rFonts w:eastAsiaTheme="majorEastAsia" w:cstheme="majorBidi"/>
          <w:b/>
          <w:iCs/>
          <w:sz w:val="26"/>
        </w:rPr>
      </w:pPr>
      <w:r w:rsidRPr="00771C23">
        <w:rPr>
          <w:rFonts w:eastAsiaTheme="majorEastAsia" w:cstheme="majorBidi"/>
          <w:b/>
          <w:iCs/>
          <w:sz w:val="26"/>
        </w:rPr>
        <w:lastRenderedPageBreak/>
        <w:t>C2.1 Extent to which assisted individuals and families have improved individual and family functioning</w:t>
      </w:r>
    </w:p>
    <w:p w14:paraId="03B4D139" w14:textId="77777777" w:rsidR="0029429F" w:rsidRPr="00771C23" w:rsidRDefault="0029429F" w:rsidP="0029429F">
      <w:pPr>
        <w:rPr>
          <w:sz w:val="20"/>
          <w:szCs w:val="20"/>
        </w:rPr>
      </w:pPr>
      <w:r w:rsidRPr="00771C23">
        <w:rPr>
          <w:sz w:val="20"/>
          <w:szCs w:val="20"/>
        </w:rPr>
        <w:t>This criterion captures elements of the outcome purpose: stronger and more resilient individuals, families</w:t>
      </w:r>
      <w:r>
        <w:rPr>
          <w:sz w:val="20"/>
          <w:szCs w:val="20"/>
        </w:rPr>
        <w:t>,</w:t>
      </w:r>
      <w:r w:rsidRPr="00771C23">
        <w:rPr>
          <w:sz w:val="20"/>
          <w:szCs w:val="20"/>
        </w:rPr>
        <w:t xml:space="preserve"> and communities. It represents the main areas where improved individual and family functioning is an expected outcome of service provision. It is measured through two indicators, which focus on improved circumstances and achievement of, or progress towards, goals.</w:t>
      </w:r>
    </w:p>
    <w:p w14:paraId="4ACB3479" w14:textId="77777777" w:rsidR="0029429F" w:rsidRPr="00771C23" w:rsidRDefault="0029429F" w:rsidP="0029429F">
      <w:pPr>
        <w:spacing w:before="240" w:after="240"/>
        <w:outlineLvl w:val="7"/>
        <w:rPr>
          <w:rFonts w:eastAsiaTheme="majorEastAsia" w:cstheme="majorBidi"/>
          <w:b/>
          <w:color w:val="595959" w:themeColor="text1" w:themeTint="A6"/>
          <w:sz w:val="24"/>
          <w:szCs w:val="20"/>
        </w:rPr>
      </w:pPr>
      <w:r w:rsidRPr="00771C23">
        <w:rPr>
          <w:rFonts w:eastAsiaTheme="majorEastAsia" w:cstheme="majorBidi"/>
          <w:b/>
          <w:color w:val="595959" w:themeColor="text1" w:themeTint="A6"/>
          <w:sz w:val="24"/>
          <w:szCs w:val="20"/>
        </w:rPr>
        <w:t>C2.1.1 Percentage of assisted individuals and families with improved circumstances in areas relevant to individual/family needs</w:t>
      </w:r>
    </w:p>
    <w:p w14:paraId="70A8EBB5" w14:textId="77777777" w:rsidR="0029429F" w:rsidRPr="00771C23" w:rsidRDefault="0029429F" w:rsidP="0029429F">
      <w:pPr>
        <w:rPr>
          <w:rFonts w:cs="Arial"/>
          <w:sz w:val="20"/>
          <w:szCs w:val="20"/>
        </w:rPr>
      </w:pPr>
      <w:r w:rsidRPr="00771C23">
        <w:rPr>
          <w:rFonts w:cs="Arial"/>
          <w:sz w:val="20"/>
          <w:szCs w:val="20"/>
        </w:rPr>
        <w:t>This indicator captures the main areas where improved circumstances for individuals and families are an expected outcome of service provision.</w:t>
      </w:r>
    </w:p>
    <w:p w14:paraId="1B677239" w14:textId="77777777" w:rsidR="0029429F" w:rsidRPr="00771C23" w:rsidRDefault="0029429F" w:rsidP="0029429F">
      <w:pPr>
        <w:rPr>
          <w:rFonts w:cs="Arial"/>
          <w:sz w:val="20"/>
          <w:szCs w:val="20"/>
        </w:rPr>
      </w:pPr>
      <w:r w:rsidRPr="00771C23">
        <w:rPr>
          <w:rFonts w:cs="Arial"/>
          <w:sz w:val="20"/>
          <w:szCs w:val="20"/>
        </w:rPr>
        <w:t>This indicator considers a range of areas (such as family functioning, financial resilience, age</w:t>
      </w:r>
      <w:r w:rsidRPr="00771C23">
        <w:rPr>
          <w:rFonts w:cs="Arial"/>
          <w:sz w:val="20"/>
          <w:szCs w:val="20"/>
        </w:rPr>
        <w:noBreakHyphen/>
        <w:t>appropriate development, and personal safety) to provide a high-level summary on how a family functions. Specific measures track improvements by individuals being assisted through programs for families and children, and financial wellbeing and capability programs.</w:t>
      </w:r>
    </w:p>
    <w:p w14:paraId="6A95A4BC" w14:textId="77777777" w:rsidR="0029429F" w:rsidRPr="00771C23" w:rsidRDefault="0029429F" w:rsidP="0029429F">
      <w:pPr>
        <w:spacing w:after="0"/>
        <w:outlineLvl w:val="6"/>
        <w:rPr>
          <w:rFonts w:eastAsiaTheme="majorEastAsia" w:cstheme="majorBidi"/>
          <w:i/>
          <w:iCs/>
        </w:rPr>
      </w:pPr>
      <w:r w:rsidRPr="00771C23">
        <w:rPr>
          <w:rFonts w:eastAsiaTheme="majorEastAsia" w:cstheme="majorBidi"/>
          <w:i/>
          <w:iCs/>
        </w:rPr>
        <w:t>Analysis</w:t>
      </w:r>
    </w:p>
    <w:p w14:paraId="09DDAAB3" w14:textId="77777777" w:rsidR="0029429F" w:rsidRPr="00771C23" w:rsidRDefault="0029429F" w:rsidP="0029429F">
      <w:pPr>
        <w:rPr>
          <w:rFonts w:cs="Arial"/>
          <w:sz w:val="20"/>
          <w:szCs w:val="20"/>
        </w:rPr>
      </w:pPr>
      <w:r w:rsidRPr="00771C23">
        <w:rPr>
          <w:rFonts w:cs="Arial"/>
          <w:sz w:val="20"/>
          <w:szCs w:val="20"/>
        </w:rPr>
        <w:t>There are a number of activities that may have contributed to clients reporting improved circumstances, including:</w:t>
      </w:r>
    </w:p>
    <w:p w14:paraId="17EA45CF" w14:textId="580136B5" w:rsidR="0029429F" w:rsidRDefault="0029429F" w:rsidP="003A047F">
      <w:pPr>
        <w:numPr>
          <w:ilvl w:val="0"/>
          <w:numId w:val="106"/>
        </w:numPr>
        <w:spacing w:before="60" w:line="260" w:lineRule="atLeast"/>
        <w:rPr>
          <w:rFonts w:cs="Arial"/>
          <w:spacing w:val="4"/>
          <w:sz w:val="20"/>
          <w:szCs w:val="20"/>
        </w:rPr>
      </w:pPr>
      <w:r w:rsidRPr="00771C23">
        <w:rPr>
          <w:rFonts w:cs="Arial"/>
          <w:spacing w:val="4"/>
          <w:sz w:val="20"/>
          <w:szCs w:val="20"/>
        </w:rPr>
        <w:t>delivery of the Home Interaction Program for Parents and Youngsters in 100</w:t>
      </w:r>
      <w:r w:rsidRPr="00771C23">
        <w:rPr>
          <w:rFonts w:cs="Arial"/>
          <w:spacing w:val="4"/>
          <w:sz w:val="20"/>
          <w:szCs w:val="20"/>
          <w:vertAlign w:val="superscript"/>
        </w:rPr>
        <w:footnoteReference w:id="3"/>
      </w:r>
      <w:r w:rsidRPr="00771C23">
        <w:rPr>
          <w:rFonts w:cs="Arial"/>
          <w:spacing w:val="4"/>
          <w:sz w:val="20"/>
          <w:szCs w:val="20"/>
        </w:rPr>
        <w:t xml:space="preserve"> communities across Australia, including 50 Indigenous-focused sites</w:t>
      </w:r>
    </w:p>
    <w:p w14:paraId="419CA8C0" w14:textId="59946F16" w:rsidR="0035029D" w:rsidRPr="00771C23" w:rsidRDefault="0035029D" w:rsidP="003A047F">
      <w:pPr>
        <w:numPr>
          <w:ilvl w:val="0"/>
          <w:numId w:val="106"/>
        </w:numPr>
        <w:spacing w:before="60" w:line="260" w:lineRule="atLeast"/>
        <w:rPr>
          <w:rFonts w:cs="Arial"/>
          <w:spacing w:val="4"/>
          <w:sz w:val="20"/>
          <w:szCs w:val="20"/>
        </w:rPr>
      </w:pPr>
      <w:r>
        <w:rPr>
          <w:rFonts w:cs="Arial"/>
          <w:spacing w:val="4"/>
          <w:sz w:val="20"/>
          <w:szCs w:val="20"/>
        </w:rPr>
        <w:t>delivery of the Communities for Children Facilitating Partners, which supports children and families in 52 disadvantaged communities across Australia</w:t>
      </w:r>
    </w:p>
    <w:p w14:paraId="1184D332" w14:textId="77777777" w:rsidR="0029429F" w:rsidRPr="00771C23" w:rsidRDefault="0029429F" w:rsidP="003A047F">
      <w:pPr>
        <w:numPr>
          <w:ilvl w:val="0"/>
          <w:numId w:val="106"/>
        </w:numPr>
        <w:spacing w:before="60" w:line="260" w:lineRule="atLeast"/>
        <w:rPr>
          <w:rFonts w:cs="Arial"/>
          <w:spacing w:val="4"/>
          <w:sz w:val="20"/>
          <w:szCs w:val="20"/>
        </w:rPr>
      </w:pPr>
      <w:r w:rsidRPr="00771C23">
        <w:rPr>
          <w:rFonts w:cs="Arial"/>
          <w:spacing w:val="4"/>
          <w:sz w:val="20"/>
          <w:szCs w:val="20"/>
        </w:rPr>
        <w:t>delivery of the National Redress Scheme, with community-based services in place to support survivors throughout their redress journey</w:t>
      </w:r>
    </w:p>
    <w:p w14:paraId="2FA6D319" w14:textId="77777777" w:rsidR="0029429F" w:rsidRPr="00771C23" w:rsidRDefault="0029429F" w:rsidP="003A047F">
      <w:pPr>
        <w:numPr>
          <w:ilvl w:val="0"/>
          <w:numId w:val="106"/>
        </w:numPr>
        <w:spacing w:before="60" w:line="260" w:lineRule="atLeast"/>
        <w:rPr>
          <w:rFonts w:cs="Arial"/>
          <w:spacing w:val="4"/>
          <w:sz w:val="20"/>
          <w:szCs w:val="20"/>
        </w:rPr>
      </w:pPr>
      <w:r w:rsidRPr="00771C23">
        <w:rPr>
          <w:rFonts w:cs="Arial"/>
          <w:spacing w:val="4"/>
          <w:sz w:val="20"/>
          <w:szCs w:val="20"/>
        </w:rPr>
        <w:t>community-based support services for those affected by institutional child sexual abuse throughout their redress journey</w:t>
      </w:r>
    </w:p>
    <w:p w14:paraId="2DFD26D2" w14:textId="77777777" w:rsidR="0029429F" w:rsidRPr="00771C23" w:rsidRDefault="0029429F" w:rsidP="003A047F">
      <w:pPr>
        <w:numPr>
          <w:ilvl w:val="0"/>
          <w:numId w:val="106"/>
        </w:numPr>
        <w:spacing w:before="60" w:after="120" w:line="260" w:lineRule="atLeast"/>
        <w:rPr>
          <w:rFonts w:cs="Arial"/>
          <w:spacing w:val="4"/>
          <w:sz w:val="20"/>
          <w:szCs w:val="20"/>
        </w:rPr>
      </w:pPr>
      <w:r w:rsidRPr="00771C23">
        <w:rPr>
          <w:rFonts w:cs="Arial"/>
          <w:spacing w:val="4"/>
          <w:sz w:val="20"/>
          <w:szCs w:val="20"/>
        </w:rPr>
        <w:t>delivery of Children and Parenting Support services in 805</w:t>
      </w:r>
      <w:r w:rsidRPr="00771C23">
        <w:rPr>
          <w:rFonts w:cs="Arial"/>
          <w:spacing w:val="4"/>
          <w:sz w:val="20"/>
          <w:szCs w:val="20"/>
          <w:vertAlign w:val="superscript"/>
        </w:rPr>
        <w:footnoteReference w:id="4"/>
      </w:r>
      <w:r w:rsidRPr="00771C23">
        <w:rPr>
          <w:rFonts w:cs="Arial"/>
          <w:spacing w:val="4"/>
          <w:sz w:val="20"/>
          <w:szCs w:val="20"/>
        </w:rPr>
        <w:t xml:space="preserve"> outlets across Australia, including service delivery in Western Australia and South Australia to support the Cashless Debit Card trial</w:t>
      </w:r>
    </w:p>
    <w:p w14:paraId="63C71DBB" w14:textId="77777777" w:rsidR="0029429F" w:rsidRPr="00771C23" w:rsidRDefault="0029429F" w:rsidP="003A047F">
      <w:pPr>
        <w:numPr>
          <w:ilvl w:val="0"/>
          <w:numId w:val="106"/>
        </w:numPr>
        <w:spacing w:before="60" w:line="260" w:lineRule="atLeast"/>
        <w:rPr>
          <w:rFonts w:cs="Arial"/>
          <w:spacing w:val="4"/>
          <w:sz w:val="20"/>
          <w:szCs w:val="20"/>
        </w:rPr>
      </w:pPr>
      <w:r w:rsidRPr="00771C23">
        <w:rPr>
          <w:rFonts w:cs="Arial"/>
          <w:spacing w:val="4"/>
          <w:sz w:val="20"/>
          <w:szCs w:val="20"/>
        </w:rPr>
        <w:t xml:space="preserve">delivery of Intensive Family Support Services in the Northern Territory and </w:t>
      </w:r>
      <w:proofErr w:type="spellStart"/>
      <w:r w:rsidRPr="00771C23">
        <w:rPr>
          <w:rFonts w:cs="Arial"/>
          <w:spacing w:val="4"/>
          <w:sz w:val="20"/>
          <w:szCs w:val="20"/>
        </w:rPr>
        <w:t>Anangu</w:t>
      </w:r>
      <w:proofErr w:type="spellEnd"/>
      <w:r w:rsidRPr="00771C23">
        <w:rPr>
          <w:rFonts w:cs="Arial"/>
          <w:spacing w:val="4"/>
          <w:sz w:val="20"/>
          <w:szCs w:val="20"/>
        </w:rPr>
        <w:t xml:space="preserve"> Pitjantjatjara Yankunytjatjara Lands in South Australia, providing intensive support to families with children aged 0–12 years of age and where child neglect concerns are present</w:t>
      </w:r>
    </w:p>
    <w:p w14:paraId="68CC67CC" w14:textId="77777777" w:rsidR="0029429F" w:rsidRPr="00771C23" w:rsidRDefault="0029429F" w:rsidP="003A047F">
      <w:pPr>
        <w:numPr>
          <w:ilvl w:val="0"/>
          <w:numId w:val="106"/>
        </w:numPr>
        <w:spacing w:before="60" w:line="260" w:lineRule="atLeast"/>
        <w:rPr>
          <w:rFonts w:cs="Arial"/>
          <w:spacing w:val="4"/>
          <w:sz w:val="20"/>
          <w:szCs w:val="20"/>
        </w:rPr>
      </w:pPr>
      <w:r w:rsidRPr="00771C23">
        <w:rPr>
          <w:rFonts w:cs="Arial"/>
          <w:spacing w:val="4"/>
          <w:sz w:val="20"/>
          <w:szCs w:val="20"/>
        </w:rPr>
        <w:t>delivery of the Adult Specialist Support Services (Find and Connect Support Services and Forced Adoption Support Services) to improve outcomes and enhance wellbeing for people adversely affected by past institutional and child</w:t>
      </w:r>
      <w:r w:rsidRPr="00771C23">
        <w:rPr>
          <w:rFonts w:cs="Arial"/>
          <w:spacing w:val="4"/>
          <w:sz w:val="20"/>
          <w:szCs w:val="20"/>
        </w:rPr>
        <w:noBreakHyphen/>
        <w:t>welfare practices and policies</w:t>
      </w:r>
    </w:p>
    <w:p w14:paraId="04B6E749" w14:textId="77777777" w:rsidR="0029429F" w:rsidRPr="00771C23" w:rsidRDefault="0029429F" w:rsidP="003A047F">
      <w:pPr>
        <w:numPr>
          <w:ilvl w:val="0"/>
          <w:numId w:val="106"/>
        </w:numPr>
        <w:spacing w:before="60" w:line="260" w:lineRule="atLeast"/>
        <w:rPr>
          <w:rFonts w:cs="Arial"/>
          <w:spacing w:val="4"/>
          <w:sz w:val="20"/>
          <w:szCs w:val="20"/>
        </w:rPr>
      </w:pPr>
      <w:r w:rsidRPr="00771C23">
        <w:rPr>
          <w:rFonts w:cs="Arial"/>
          <w:spacing w:val="4"/>
          <w:sz w:val="20"/>
          <w:szCs w:val="20"/>
        </w:rPr>
        <w:t>delivery of Family and Relationship Services in 499</w:t>
      </w:r>
      <w:r w:rsidRPr="00771C23">
        <w:rPr>
          <w:rFonts w:cs="Arial"/>
          <w:spacing w:val="4"/>
          <w:sz w:val="20"/>
          <w:szCs w:val="20"/>
          <w:vertAlign w:val="superscript"/>
        </w:rPr>
        <w:footnoteReference w:id="5"/>
      </w:r>
      <w:r w:rsidRPr="00771C23">
        <w:rPr>
          <w:rFonts w:cs="Arial"/>
          <w:spacing w:val="4"/>
          <w:sz w:val="20"/>
          <w:szCs w:val="20"/>
        </w:rPr>
        <w:t xml:space="preserve"> locations across Australia, including counselling services to families and individuals at critical family transition points such as </w:t>
      </w:r>
      <w:r w:rsidRPr="00771C23">
        <w:rPr>
          <w:rFonts w:cs="Arial"/>
          <w:spacing w:val="4"/>
          <w:sz w:val="20"/>
          <w:szCs w:val="20"/>
        </w:rPr>
        <w:lastRenderedPageBreak/>
        <w:t>family formation, extension or family separation, and education and skills training to strengthen family relationships</w:t>
      </w:r>
    </w:p>
    <w:p w14:paraId="77D39DC1" w14:textId="77777777" w:rsidR="0029429F" w:rsidRPr="00771C23" w:rsidRDefault="0029429F" w:rsidP="003A047F">
      <w:pPr>
        <w:numPr>
          <w:ilvl w:val="0"/>
          <w:numId w:val="107"/>
        </w:numPr>
        <w:spacing w:before="60" w:line="260" w:lineRule="atLeast"/>
        <w:rPr>
          <w:rFonts w:cs="Arial"/>
          <w:spacing w:val="4"/>
          <w:sz w:val="20"/>
          <w:szCs w:val="20"/>
        </w:rPr>
      </w:pPr>
      <w:r w:rsidRPr="00771C23">
        <w:rPr>
          <w:rFonts w:cs="Arial"/>
          <w:spacing w:val="4"/>
          <w:sz w:val="20"/>
          <w:szCs w:val="20"/>
        </w:rPr>
        <w:t>delivery of t</w:t>
      </w:r>
      <w:r w:rsidRPr="00771C23">
        <w:rPr>
          <w:rFonts w:cs="Arial"/>
          <w:color w:val="2C2A29"/>
          <w:sz w:val="20"/>
          <w:szCs w:val="20"/>
          <w:lang w:val="en"/>
        </w:rPr>
        <w:t>he Strong and Resilient Communities Activity, which builds strong, resilient, cohesive and harmonious communities to ensure that individuals, families, and communities have the opportunity to thrive, be free from intolerance and discrimination, and have the capacity to respond to emerging needs and challenges</w:t>
      </w:r>
    </w:p>
    <w:p w14:paraId="0C57E4D6" w14:textId="77777777" w:rsidR="0029429F" w:rsidRPr="00771C23" w:rsidRDefault="0029429F" w:rsidP="003A047F">
      <w:pPr>
        <w:numPr>
          <w:ilvl w:val="0"/>
          <w:numId w:val="107"/>
        </w:numPr>
        <w:spacing w:before="60" w:line="260" w:lineRule="atLeast"/>
        <w:rPr>
          <w:rFonts w:cs="Arial"/>
          <w:spacing w:val="4"/>
          <w:sz w:val="20"/>
          <w:szCs w:val="20"/>
        </w:rPr>
      </w:pPr>
      <w:r w:rsidRPr="00771C23">
        <w:rPr>
          <w:rFonts w:cs="Arial"/>
          <w:spacing w:val="4"/>
          <w:sz w:val="20"/>
          <w:szCs w:val="20"/>
        </w:rPr>
        <w:t xml:space="preserve">delivery of additional Emergency Relief and Financial Counselling to support people impacted by the 2019–20 bushfires and the </w:t>
      </w:r>
      <w:r>
        <w:rPr>
          <w:sz w:val="20"/>
          <w:szCs w:val="20"/>
        </w:rPr>
        <w:t>COVID-19</w:t>
      </w:r>
      <w:r w:rsidRPr="00771C23">
        <w:rPr>
          <w:sz w:val="20"/>
          <w:szCs w:val="20"/>
        </w:rPr>
        <w:t xml:space="preserve"> </w:t>
      </w:r>
      <w:r w:rsidRPr="00771C23">
        <w:rPr>
          <w:rFonts w:cs="Arial"/>
          <w:spacing w:val="4"/>
          <w:sz w:val="20"/>
          <w:szCs w:val="20"/>
        </w:rPr>
        <w:t>pandemic</w:t>
      </w:r>
    </w:p>
    <w:p w14:paraId="22F292A0" w14:textId="77777777" w:rsidR="0029429F" w:rsidRPr="00771C23" w:rsidRDefault="0029429F" w:rsidP="003A047F">
      <w:pPr>
        <w:numPr>
          <w:ilvl w:val="0"/>
          <w:numId w:val="107"/>
        </w:numPr>
        <w:spacing w:before="60" w:line="260" w:lineRule="atLeast"/>
        <w:rPr>
          <w:rFonts w:cs="Arial"/>
          <w:spacing w:val="4"/>
          <w:sz w:val="20"/>
          <w:szCs w:val="20"/>
        </w:rPr>
      </w:pPr>
      <w:r w:rsidRPr="00771C23">
        <w:rPr>
          <w:rFonts w:cs="Arial"/>
          <w:spacing w:val="4"/>
          <w:sz w:val="20"/>
          <w:szCs w:val="20"/>
        </w:rPr>
        <w:t>delivery of the Cashless Debit Card program to support people, families</w:t>
      </w:r>
      <w:r>
        <w:rPr>
          <w:rFonts w:cs="Arial"/>
          <w:spacing w:val="4"/>
          <w:sz w:val="20"/>
          <w:szCs w:val="20"/>
        </w:rPr>
        <w:t>,</w:t>
      </w:r>
      <w:r w:rsidRPr="00771C23">
        <w:rPr>
          <w:rFonts w:cs="Arial"/>
          <w:spacing w:val="4"/>
          <w:sz w:val="20"/>
          <w:szCs w:val="20"/>
        </w:rPr>
        <w:t xml:space="preserve"> and communities in places where high levels of welfare dependence co-exist with high levels of social harm:</w:t>
      </w:r>
    </w:p>
    <w:p w14:paraId="4EEFD665" w14:textId="77777777" w:rsidR="0029429F" w:rsidRPr="00771C23" w:rsidRDefault="0029429F" w:rsidP="003A047F">
      <w:pPr>
        <w:numPr>
          <w:ilvl w:val="0"/>
          <w:numId w:val="108"/>
        </w:numPr>
        <w:tabs>
          <w:tab w:val="left" w:pos="720"/>
        </w:tabs>
        <w:spacing w:before="60" w:line="260" w:lineRule="atLeast"/>
        <w:rPr>
          <w:rFonts w:cs="Arial"/>
          <w:spacing w:val="4"/>
          <w:sz w:val="20"/>
          <w:szCs w:val="20"/>
        </w:rPr>
      </w:pPr>
      <w:r w:rsidRPr="00771C23">
        <w:rPr>
          <w:rFonts w:cs="Arial"/>
          <w:spacing w:val="4"/>
          <w:sz w:val="20"/>
          <w:szCs w:val="20"/>
        </w:rPr>
        <w:t>12,577 participants across four trial regions were participants on the Cashless Debit Card as at 26 June 2020</w:t>
      </w:r>
    </w:p>
    <w:p w14:paraId="6200CB76" w14:textId="77777777" w:rsidR="0029429F" w:rsidRPr="00771C23" w:rsidRDefault="0029429F" w:rsidP="003A047F">
      <w:pPr>
        <w:numPr>
          <w:ilvl w:val="0"/>
          <w:numId w:val="108"/>
        </w:numPr>
        <w:tabs>
          <w:tab w:val="left" w:pos="720"/>
        </w:tabs>
        <w:spacing w:before="60" w:line="260" w:lineRule="atLeast"/>
        <w:rPr>
          <w:rFonts w:cs="Arial"/>
          <w:spacing w:val="4"/>
          <w:sz w:val="20"/>
          <w:szCs w:val="20"/>
        </w:rPr>
      </w:pPr>
      <w:r w:rsidRPr="00771C23">
        <w:rPr>
          <w:rFonts w:cs="Arial"/>
          <w:spacing w:val="4"/>
          <w:sz w:val="20"/>
          <w:szCs w:val="20"/>
        </w:rPr>
        <w:t>delivered 83 information sessions on the transition to the Cashless Debit Card in the Northern Territory and Cape York region in over 70 communities as part of engagement with over 3,400 community members and over 120 stakeholder and local organisations</w:t>
      </w:r>
    </w:p>
    <w:p w14:paraId="538A67D9" w14:textId="77777777" w:rsidR="0029429F" w:rsidRPr="00771C23" w:rsidRDefault="0029429F" w:rsidP="003A047F">
      <w:pPr>
        <w:numPr>
          <w:ilvl w:val="0"/>
          <w:numId w:val="108"/>
        </w:numPr>
        <w:tabs>
          <w:tab w:val="left" w:pos="720"/>
        </w:tabs>
        <w:spacing w:before="60" w:line="260" w:lineRule="atLeast"/>
        <w:rPr>
          <w:rFonts w:cs="Times New Roman"/>
          <w:spacing w:val="4"/>
          <w:sz w:val="20"/>
          <w:szCs w:val="24"/>
        </w:rPr>
      </w:pPr>
      <w:r w:rsidRPr="00771C23">
        <w:rPr>
          <w:rFonts w:cs="Arial"/>
          <w:spacing w:val="4"/>
          <w:sz w:val="20"/>
          <w:szCs w:val="20"/>
        </w:rPr>
        <w:t>improved Cashless Debit Card systems including to allow for monthly payment of interest on balances in Cashless Debit Card accounts</w:t>
      </w:r>
    </w:p>
    <w:p w14:paraId="7FBEE4F1" w14:textId="305A87C3" w:rsidR="0029429F" w:rsidRPr="00771C23" w:rsidRDefault="0029429F" w:rsidP="003A047F">
      <w:pPr>
        <w:numPr>
          <w:ilvl w:val="0"/>
          <w:numId w:val="108"/>
        </w:numPr>
        <w:tabs>
          <w:tab w:val="left" w:pos="720"/>
        </w:tabs>
        <w:spacing w:before="60" w:line="260" w:lineRule="atLeast"/>
        <w:rPr>
          <w:rFonts w:cs="Times New Roman"/>
          <w:spacing w:val="4"/>
          <w:sz w:val="20"/>
          <w:szCs w:val="24"/>
        </w:rPr>
      </w:pPr>
      <w:r w:rsidRPr="00771C23">
        <w:rPr>
          <w:rFonts w:cs="Arial"/>
          <w:spacing w:val="4"/>
          <w:sz w:val="20"/>
          <w:szCs w:val="20"/>
        </w:rPr>
        <w:t>successfully delivered a pilot of Product Level Blocking technology which uses</w:t>
      </w:r>
      <w:r w:rsidR="00D96CDD">
        <w:rPr>
          <w:rFonts w:cs="Arial"/>
          <w:spacing w:val="4"/>
          <w:sz w:val="20"/>
          <w:szCs w:val="20"/>
        </w:rPr>
        <w:br/>
      </w:r>
      <w:r w:rsidRPr="00771C23">
        <w:rPr>
          <w:rFonts w:cs="Arial"/>
          <w:spacing w:val="4"/>
          <w:sz w:val="20"/>
          <w:szCs w:val="20"/>
        </w:rPr>
        <w:t>Point-of-Sale systems and PIN Pads to identify and automatically block the purchase of restricted items rather than blocking at the merchant level.</w:t>
      </w:r>
    </w:p>
    <w:p w14:paraId="0D93615E" w14:textId="5C81DFE4" w:rsidR="00874971" w:rsidRPr="00874971" w:rsidRDefault="00874971" w:rsidP="00874971">
      <w:pPr>
        <w:rPr>
          <w:rFonts w:cs="Arial"/>
          <w:sz w:val="20"/>
          <w:szCs w:val="20"/>
        </w:rPr>
      </w:pPr>
      <w:r w:rsidRPr="00874971">
        <w:rPr>
          <w:rFonts w:cs="Arial"/>
          <w:sz w:val="20"/>
          <w:szCs w:val="20"/>
        </w:rPr>
        <w:t>The outcome areas of community participation and networks, education and skills training and employment saw declines in the percentage of clients achieving a positive outcome</w:t>
      </w:r>
      <w:r w:rsidR="00D96CDD">
        <w:rPr>
          <w:rFonts w:cs="Arial"/>
          <w:sz w:val="20"/>
          <w:szCs w:val="20"/>
        </w:rPr>
        <w:br/>
      </w:r>
      <w:r w:rsidRPr="00874971">
        <w:rPr>
          <w:rFonts w:cs="Arial"/>
          <w:sz w:val="20"/>
          <w:szCs w:val="20"/>
        </w:rPr>
        <w:t>(from 2018-19 to 2019-20). One of the factors influencing this change was the movement of Settlement Services to the Department of Home Affairs via machinery of government changes</w:t>
      </w:r>
      <w:r w:rsidR="00D96CDD">
        <w:rPr>
          <w:rFonts w:cs="Arial"/>
          <w:sz w:val="20"/>
          <w:szCs w:val="20"/>
        </w:rPr>
        <w:br/>
      </w:r>
      <w:r w:rsidRPr="00874971">
        <w:rPr>
          <w:rFonts w:cs="Arial"/>
          <w:sz w:val="20"/>
          <w:szCs w:val="20"/>
        </w:rPr>
        <w:t>in July 2019 and as such were included in the 2018-19 results but not the 2019-20 results.</w:t>
      </w:r>
      <w:r w:rsidR="00D96CDD">
        <w:rPr>
          <w:rFonts w:cs="Arial"/>
          <w:sz w:val="20"/>
          <w:szCs w:val="20"/>
        </w:rPr>
        <w:br/>
      </w:r>
      <w:r w:rsidRPr="00874971">
        <w:rPr>
          <w:rFonts w:cs="Arial"/>
          <w:sz w:val="20"/>
          <w:szCs w:val="20"/>
        </w:rPr>
        <w:t xml:space="preserve">Settlement Services have a strong focus on strengthening community participation and supporting migrants to become independent through education and employment. As a result, settlement service organisations reported high numbers of clients against these domains. </w:t>
      </w:r>
    </w:p>
    <w:p w14:paraId="6A0B1442" w14:textId="1DCA89C5" w:rsidR="00874971" w:rsidRPr="00874971" w:rsidRDefault="00874971" w:rsidP="00874971">
      <w:pPr>
        <w:rPr>
          <w:rFonts w:cs="Arial"/>
          <w:sz w:val="20"/>
          <w:szCs w:val="20"/>
        </w:rPr>
      </w:pPr>
      <w:r w:rsidRPr="00874971">
        <w:rPr>
          <w:rFonts w:cs="Arial"/>
          <w:sz w:val="20"/>
          <w:szCs w:val="20"/>
        </w:rPr>
        <w:t xml:space="preserve">The decrease in results in some outcome areas, for example ‘community participation and networks’, ‘education and skills training’, ‘employment’, ‘physical health’ and ‘housing’ corresponds broadly with the timing of the COVID-19 pandemic. The introduction of social distancing measures, restrictions on community gatherings, as well as the interruptions and changes to regular training and education mechanisms, (i.e. as courses transitioned online or were delayed or cancelled) impacted the results in the second half of the 2019-20. </w:t>
      </w:r>
    </w:p>
    <w:p w14:paraId="1D438A28" w14:textId="77777777" w:rsidR="00874971" w:rsidRDefault="00874971" w:rsidP="0029429F">
      <w:pPr>
        <w:rPr>
          <w:rFonts w:ascii="Arial Narrow" w:hAnsi="Arial Narrow" w:cstheme="minorHAnsi"/>
          <w:b/>
          <w:sz w:val="20"/>
          <w:szCs w:val="20"/>
        </w:rPr>
        <w:sectPr w:rsidR="00874971" w:rsidSect="00A94724">
          <w:pgSz w:w="11906" w:h="16838"/>
          <w:pgMar w:top="1440" w:right="1440" w:bottom="1440" w:left="1440" w:header="709" w:footer="709" w:gutter="0"/>
          <w:cols w:space="708"/>
          <w:docGrid w:linePitch="360"/>
        </w:sectPr>
      </w:pPr>
    </w:p>
    <w:p w14:paraId="1CF77146" w14:textId="77777777" w:rsidR="0029429F" w:rsidRPr="00771C23" w:rsidRDefault="0029429F" w:rsidP="003A047F">
      <w:pPr>
        <w:rPr>
          <w:rFonts w:ascii="Arial Narrow" w:eastAsia="Times New Roman" w:hAnsi="Arial Narrow" w:cs="Times New Roman"/>
          <w:b/>
          <w:bCs/>
          <w:spacing w:val="4"/>
          <w:sz w:val="20"/>
          <w:szCs w:val="18"/>
          <w:lang w:eastAsia="en-AU"/>
        </w:rPr>
      </w:pPr>
      <w:r w:rsidRPr="00771C23">
        <w:rPr>
          <w:rFonts w:ascii="Arial Narrow" w:eastAsia="Times New Roman" w:hAnsi="Arial Narrow" w:cs="Times New Roman"/>
          <w:b/>
          <w:bCs/>
          <w:spacing w:val="4"/>
          <w:sz w:val="20"/>
          <w:szCs w:val="18"/>
          <w:lang w:eastAsia="en-AU"/>
        </w:rPr>
        <w:lastRenderedPageBreak/>
        <w:t>Table 2.2.4: Percentage of assisted individuals and families with improved circumstances in areas relevant to individual/family needs</w:t>
      </w:r>
    </w:p>
    <w:tbl>
      <w:tblPr>
        <w:tblStyle w:val="HHorizontaltable1"/>
        <w:tblW w:w="5000" w:type="pct"/>
        <w:tblLook w:val="04A0" w:firstRow="1" w:lastRow="0" w:firstColumn="1" w:lastColumn="0" w:noHBand="0" w:noVBand="1"/>
        <w:tblCaption w:val="Table 2.2.4: Percentage of assisted individuals and families with improved circumstances in areas relevant to individual/family needs"/>
        <w:tblDescription w:val="Table 2.2.4: Percentage of assisted individuals and families with improved circumstances in areas relevant to individual/family needs"/>
      </w:tblPr>
      <w:tblGrid>
        <w:gridCol w:w="5529"/>
        <w:gridCol w:w="1134"/>
        <w:gridCol w:w="31"/>
        <w:gridCol w:w="1103"/>
        <w:gridCol w:w="63"/>
        <w:gridCol w:w="1166"/>
      </w:tblGrid>
      <w:tr w:rsidR="0044324F" w:rsidRPr="00771C23" w14:paraId="731AB1F5" w14:textId="77777777" w:rsidTr="006938C4">
        <w:trPr>
          <w:cnfStyle w:val="100000000000" w:firstRow="1" w:lastRow="0" w:firstColumn="0" w:lastColumn="0" w:oddVBand="0" w:evenVBand="0" w:oddHBand="0" w:evenHBand="0" w:firstRowFirstColumn="0" w:firstRowLastColumn="0" w:lastRowFirstColumn="0" w:lastRowLastColumn="0"/>
          <w:trHeight w:val="317"/>
        </w:trPr>
        <w:tc>
          <w:tcPr>
            <w:tcW w:w="3063" w:type="pct"/>
            <w:tcBorders>
              <w:bottom w:val="single" w:sz="4" w:space="0" w:color="FFFFFF" w:themeColor="background1"/>
            </w:tcBorders>
            <w:hideMark/>
          </w:tcPr>
          <w:p w14:paraId="06BAE98F" w14:textId="77777777" w:rsidR="0044324F" w:rsidRPr="007F2601" w:rsidRDefault="0044324F" w:rsidP="006938C4">
            <w:pPr>
              <w:keepNext/>
              <w:keepLines/>
              <w:spacing w:before="40" w:after="40"/>
              <w:rPr>
                <w:rFonts w:eastAsia="Times New Roman"/>
                <w:sz w:val="20"/>
                <w:szCs w:val="20"/>
              </w:rPr>
            </w:pPr>
            <w:r w:rsidRPr="007F2601">
              <w:rPr>
                <w:rFonts w:eastAsia="Times New Roman"/>
                <w:sz w:val="20"/>
                <w:szCs w:val="20"/>
              </w:rPr>
              <w:t>Outcome performance measure</w:t>
            </w:r>
          </w:p>
        </w:tc>
        <w:tc>
          <w:tcPr>
            <w:tcW w:w="645" w:type="pct"/>
            <w:gridSpan w:val="2"/>
            <w:tcBorders>
              <w:bottom w:val="single" w:sz="4" w:space="0" w:color="FFFFFF" w:themeColor="background1"/>
            </w:tcBorders>
            <w:hideMark/>
          </w:tcPr>
          <w:p w14:paraId="4B9ED782" w14:textId="77777777" w:rsidR="0044324F" w:rsidRPr="007F2601" w:rsidRDefault="0044324F" w:rsidP="006938C4">
            <w:pPr>
              <w:keepNext/>
              <w:keepLines/>
              <w:spacing w:before="40" w:after="40"/>
              <w:jc w:val="right"/>
              <w:rPr>
                <w:rFonts w:eastAsia="Times New Roman"/>
                <w:sz w:val="16"/>
                <w:szCs w:val="16"/>
              </w:rPr>
            </w:pPr>
            <w:r w:rsidRPr="007F2601">
              <w:rPr>
                <w:rFonts w:eastAsia="Times New Roman"/>
                <w:sz w:val="20"/>
                <w:szCs w:val="20"/>
              </w:rPr>
              <w:t>2019–20</w:t>
            </w:r>
            <w:r w:rsidRPr="007F2601">
              <w:rPr>
                <w:rFonts w:eastAsia="Times New Roman"/>
                <w:sz w:val="16"/>
                <w:szCs w:val="16"/>
              </w:rPr>
              <w:t xml:space="preserve"> </w:t>
            </w:r>
          </w:p>
        </w:tc>
        <w:tc>
          <w:tcPr>
            <w:tcW w:w="646" w:type="pct"/>
            <w:gridSpan w:val="2"/>
            <w:tcBorders>
              <w:bottom w:val="single" w:sz="4" w:space="0" w:color="FFFFFF" w:themeColor="background1"/>
            </w:tcBorders>
          </w:tcPr>
          <w:p w14:paraId="27BE77C9" w14:textId="77777777" w:rsidR="0044324F" w:rsidRPr="007F2601" w:rsidRDefault="0044324F" w:rsidP="006938C4">
            <w:pPr>
              <w:keepNext/>
              <w:keepLines/>
              <w:spacing w:before="40" w:after="40"/>
              <w:jc w:val="right"/>
              <w:rPr>
                <w:rFonts w:eastAsia="Times New Roman"/>
                <w:sz w:val="20"/>
                <w:szCs w:val="20"/>
                <w:vertAlign w:val="superscript"/>
              </w:rPr>
            </w:pPr>
            <w:r w:rsidRPr="007F2601">
              <w:rPr>
                <w:rFonts w:eastAsia="Times New Roman"/>
                <w:sz w:val="20"/>
                <w:szCs w:val="20"/>
              </w:rPr>
              <w:t>2018–19</w:t>
            </w:r>
          </w:p>
        </w:tc>
        <w:tc>
          <w:tcPr>
            <w:tcW w:w="646" w:type="pct"/>
            <w:tcBorders>
              <w:bottom w:val="single" w:sz="4" w:space="0" w:color="FFFFFF" w:themeColor="background1"/>
            </w:tcBorders>
            <w:hideMark/>
          </w:tcPr>
          <w:p w14:paraId="51062087" w14:textId="77777777" w:rsidR="0044324F" w:rsidRPr="007F2601" w:rsidRDefault="0044324F" w:rsidP="006938C4">
            <w:pPr>
              <w:keepNext/>
              <w:keepLines/>
              <w:spacing w:before="40" w:after="40"/>
              <w:jc w:val="right"/>
              <w:rPr>
                <w:rFonts w:eastAsia="Times New Roman"/>
                <w:sz w:val="16"/>
                <w:szCs w:val="16"/>
              </w:rPr>
            </w:pPr>
            <w:r w:rsidRPr="007F2601">
              <w:rPr>
                <w:rFonts w:eastAsia="Times New Roman"/>
                <w:sz w:val="20"/>
                <w:szCs w:val="20"/>
              </w:rPr>
              <w:t>2017–18</w:t>
            </w:r>
          </w:p>
        </w:tc>
      </w:tr>
      <w:tr w:rsidR="0044324F" w:rsidRPr="00771C23" w14:paraId="7F3B4AA8" w14:textId="77777777" w:rsidTr="006938C4">
        <w:trPr>
          <w:cnfStyle w:val="000000100000" w:firstRow="0" w:lastRow="0" w:firstColumn="0" w:lastColumn="0" w:oddVBand="0" w:evenVBand="0" w:oddHBand="1" w:evenHBand="0" w:firstRowFirstColumn="0" w:firstRowLastColumn="0" w:lastRowFirstColumn="0" w:lastRowLastColumn="0"/>
          <w:trHeight w:val="340"/>
        </w:trPr>
        <w:tc>
          <w:tcPr>
            <w:tcW w:w="5000" w:type="pct"/>
            <w:gridSpan w:val="6"/>
            <w:tcBorders>
              <w:top w:val="single" w:sz="4" w:space="0" w:color="FFFFFF" w:themeColor="background1"/>
              <w:bottom w:val="single" w:sz="18" w:space="0" w:color="00B0B9"/>
            </w:tcBorders>
            <w:hideMark/>
          </w:tcPr>
          <w:p w14:paraId="6229F8D1" w14:textId="77777777" w:rsidR="0044324F" w:rsidRPr="00771C23" w:rsidRDefault="0044324F" w:rsidP="006938C4">
            <w:pPr>
              <w:keepNext/>
              <w:keepLines/>
              <w:spacing w:before="40" w:after="40"/>
              <w:rPr>
                <w:rFonts w:eastAsia="Times New Roman" w:cs="Arial"/>
                <w:b/>
                <w:color w:val="000000" w:themeColor="text1"/>
                <w:sz w:val="20"/>
                <w:szCs w:val="20"/>
              </w:rPr>
            </w:pPr>
            <w:r w:rsidRPr="00771C23">
              <w:rPr>
                <w:rFonts w:eastAsia="Times New Roman" w:cs="Arial"/>
                <w:b/>
                <w:color w:val="000000" w:themeColor="text1"/>
                <w:sz w:val="20"/>
                <w:szCs w:val="20"/>
              </w:rPr>
              <w:t>Cross program</w:t>
            </w:r>
          </w:p>
        </w:tc>
      </w:tr>
      <w:tr w:rsidR="0044324F" w:rsidRPr="00771C23" w14:paraId="00EE83DC" w14:textId="77777777" w:rsidTr="006938C4">
        <w:trPr>
          <w:cnfStyle w:val="000000010000" w:firstRow="0" w:lastRow="0" w:firstColumn="0" w:lastColumn="0" w:oddVBand="0" w:evenVBand="0" w:oddHBand="0" w:evenHBand="1" w:firstRowFirstColumn="0" w:firstRowLastColumn="0" w:lastRowFirstColumn="0" w:lastRowLastColumn="0"/>
          <w:trHeight w:val="340"/>
        </w:trPr>
        <w:tc>
          <w:tcPr>
            <w:tcW w:w="5000" w:type="pct"/>
            <w:gridSpan w:val="6"/>
            <w:tcBorders>
              <w:top w:val="single" w:sz="18" w:space="0" w:color="00B0B9"/>
            </w:tcBorders>
            <w:hideMark/>
          </w:tcPr>
          <w:p w14:paraId="20ABFBFB" w14:textId="77777777" w:rsidR="0044324F" w:rsidRPr="00771C23" w:rsidRDefault="0044324F" w:rsidP="006938C4">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 xml:space="preserve">Percentage of assisted individuals and families with improved circumstances in areas relevant to individual/family </w:t>
            </w:r>
            <w:proofErr w:type="spellStart"/>
            <w:r w:rsidRPr="00771C23">
              <w:rPr>
                <w:rFonts w:eastAsia="Times New Roman"/>
                <w:color w:val="000000" w:themeColor="text1"/>
                <w:spacing w:val="4"/>
                <w:sz w:val="20"/>
                <w:szCs w:val="20"/>
                <w:lang w:val="en-GB"/>
              </w:rPr>
              <w:t>needs</w:t>
            </w:r>
            <w:r>
              <w:rPr>
                <w:rFonts w:eastAsia="Times New Roman"/>
                <w:color w:val="000000" w:themeColor="text1"/>
                <w:spacing w:val="4"/>
                <w:sz w:val="20"/>
                <w:szCs w:val="20"/>
                <w:vertAlign w:val="superscript"/>
                <w:lang w:val="en-GB"/>
              </w:rPr>
              <w:t>a</w:t>
            </w:r>
            <w:r w:rsidRPr="00771C23">
              <w:rPr>
                <w:rFonts w:eastAsia="Times New Roman"/>
                <w:color w:val="000000" w:themeColor="text1"/>
                <w:spacing w:val="4"/>
                <w:sz w:val="20"/>
                <w:szCs w:val="20"/>
                <w:vertAlign w:val="superscript"/>
                <w:lang w:val="en-GB"/>
              </w:rPr>
              <w:t>bc</w:t>
            </w:r>
            <w:proofErr w:type="spellEnd"/>
          </w:p>
        </w:tc>
      </w:tr>
      <w:tr w:rsidR="0044324F" w:rsidRPr="00771C23" w14:paraId="4C3A2C7E" w14:textId="77777777" w:rsidTr="006938C4">
        <w:trPr>
          <w:cnfStyle w:val="000000100000" w:firstRow="0" w:lastRow="0" w:firstColumn="0" w:lastColumn="0" w:oddVBand="0" w:evenVBand="0" w:oddHBand="1" w:evenHBand="0" w:firstRowFirstColumn="0" w:firstRowLastColumn="0" w:lastRowFirstColumn="0" w:lastRowLastColumn="0"/>
          <w:trHeight w:val="340"/>
        </w:trPr>
        <w:tc>
          <w:tcPr>
            <w:tcW w:w="3063" w:type="pct"/>
            <w:hideMark/>
          </w:tcPr>
          <w:p w14:paraId="594540D3" w14:textId="77777777" w:rsidR="0044324F" w:rsidRPr="00771C23" w:rsidRDefault="0044324F" w:rsidP="006938C4">
            <w:pPr>
              <w:numPr>
                <w:ilvl w:val="0"/>
                <w:numId w:val="87"/>
              </w:num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All circumstances</w:t>
            </w:r>
          </w:p>
        </w:tc>
        <w:tc>
          <w:tcPr>
            <w:tcW w:w="645" w:type="pct"/>
            <w:gridSpan w:val="2"/>
            <w:hideMark/>
          </w:tcPr>
          <w:p w14:paraId="50D4B771"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71.0%</w:t>
            </w:r>
          </w:p>
        </w:tc>
        <w:tc>
          <w:tcPr>
            <w:tcW w:w="646" w:type="pct"/>
            <w:gridSpan w:val="2"/>
          </w:tcPr>
          <w:p w14:paraId="0B8E58B9" w14:textId="77777777" w:rsidR="0044324F" w:rsidRPr="00771C23" w:rsidRDefault="0044324F" w:rsidP="006938C4">
            <w:pPr>
              <w:spacing w:before="40" w:after="40"/>
              <w:jc w:val="right"/>
              <w:rPr>
                <w:rFonts w:eastAsia="Times New Roman" w:cs="Arial"/>
                <w:color w:val="000000" w:themeColor="text1"/>
                <w:spacing w:val="4"/>
                <w:sz w:val="20"/>
                <w:szCs w:val="20"/>
                <w:highlight w:val="cyan"/>
                <w:lang w:val="en-GB"/>
              </w:rPr>
            </w:pPr>
            <w:r w:rsidRPr="00771C23">
              <w:rPr>
                <w:rFonts w:eastAsia="Times New Roman" w:cs="Arial"/>
                <w:color w:val="000000" w:themeColor="text1"/>
                <w:spacing w:val="4"/>
                <w:sz w:val="20"/>
                <w:szCs w:val="20"/>
                <w:lang w:val="en-GB"/>
              </w:rPr>
              <w:t>72.1%</w:t>
            </w:r>
          </w:p>
        </w:tc>
        <w:tc>
          <w:tcPr>
            <w:tcW w:w="646" w:type="pct"/>
          </w:tcPr>
          <w:p w14:paraId="6EEE6F8B"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70.8%</w:t>
            </w:r>
          </w:p>
        </w:tc>
      </w:tr>
      <w:tr w:rsidR="0044324F" w:rsidRPr="00771C23" w14:paraId="0FC28EE3" w14:textId="77777777" w:rsidTr="006938C4">
        <w:trPr>
          <w:cnfStyle w:val="000000010000" w:firstRow="0" w:lastRow="0" w:firstColumn="0" w:lastColumn="0" w:oddVBand="0" w:evenVBand="0" w:oddHBand="0" w:evenHBand="1" w:firstRowFirstColumn="0" w:firstRowLastColumn="0" w:lastRowFirstColumn="0" w:lastRowLastColumn="0"/>
          <w:trHeight w:val="340"/>
        </w:trPr>
        <w:tc>
          <w:tcPr>
            <w:tcW w:w="3063" w:type="pct"/>
            <w:hideMark/>
          </w:tcPr>
          <w:p w14:paraId="6EC9C77F" w14:textId="77777777" w:rsidR="0044324F" w:rsidRPr="00771C23" w:rsidRDefault="0044324F" w:rsidP="006938C4">
            <w:pPr>
              <w:numPr>
                <w:ilvl w:val="0"/>
                <w:numId w:val="87"/>
              </w:numPr>
              <w:spacing w:before="40" w:after="40"/>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Age-appropriate development</w:t>
            </w:r>
          </w:p>
        </w:tc>
        <w:tc>
          <w:tcPr>
            <w:tcW w:w="645" w:type="pct"/>
            <w:gridSpan w:val="2"/>
            <w:hideMark/>
          </w:tcPr>
          <w:p w14:paraId="4DF7384A" w14:textId="77777777" w:rsidR="0044324F" w:rsidRPr="00771C23" w:rsidRDefault="0044324F"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57.5%</w:t>
            </w:r>
          </w:p>
        </w:tc>
        <w:tc>
          <w:tcPr>
            <w:tcW w:w="646" w:type="pct"/>
            <w:gridSpan w:val="2"/>
          </w:tcPr>
          <w:p w14:paraId="2037511E" w14:textId="77777777" w:rsidR="0044324F" w:rsidRPr="00771C23" w:rsidRDefault="0044324F"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61.7%</w:t>
            </w:r>
          </w:p>
        </w:tc>
        <w:tc>
          <w:tcPr>
            <w:tcW w:w="646" w:type="pct"/>
          </w:tcPr>
          <w:p w14:paraId="052FA466" w14:textId="77777777" w:rsidR="0044324F" w:rsidRPr="00771C23" w:rsidRDefault="0044324F"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59.4%</w:t>
            </w:r>
          </w:p>
        </w:tc>
      </w:tr>
      <w:tr w:rsidR="0044324F" w:rsidRPr="00771C23" w14:paraId="6245E2F8" w14:textId="77777777" w:rsidTr="006938C4">
        <w:trPr>
          <w:cnfStyle w:val="000000100000" w:firstRow="0" w:lastRow="0" w:firstColumn="0" w:lastColumn="0" w:oddVBand="0" w:evenVBand="0" w:oddHBand="1" w:evenHBand="0" w:firstRowFirstColumn="0" w:firstRowLastColumn="0" w:lastRowFirstColumn="0" w:lastRowLastColumn="0"/>
          <w:trHeight w:val="340"/>
        </w:trPr>
        <w:tc>
          <w:tcPr>
            <w:tcW w:w="3063" w:type="pct"/>
            <w:hideMark/>
          </w:tcPr>
          <w:p w14:paraId="35F045ED" w14:textId="77777777" w:rsidR="0044324F" w:rsidRPr="00771C23" w:rsidRDefault="0044324F" w:rsidP="006938C4">
            <w:pPr>
              <w:numPr>
                <w:ilvl w:val="0"/>
                <w:numId w:val="87"/>
              </w:num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Community participation and networks</w:t>
            </w:r>
          </w:p>
        </w:tc>
        <w:tc>
          <w:tcPr>
            <w:tcW w:w="645" w:type="pct"/>
            <w:gridSpan w:val="2"/>
            <w:hideMark/>
          </w:tcPr>
          <w:p w14:paraId="5DB7560F"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58.6%</w:t>
            </w:r>
          </w:p>
        </w:tc>
        <w:tc>
          <w:tcPr>
            <w:tcW w:w="646" w:type="pct"/>
            <w:gridSpan w:val="2"/>
          </w:tcPr>
          <w:p w14:paraId="5D6D69CB"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67.9%</w:t>
            </w:r>
          </w:p>
        </w:tc>
        <w:tc>
          <w:tcPr>
            <w:tcW w:w="646" w:type="pct"/>
          </w:tcPr>
          <w:p w14:paraId="4980839C"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64.7%</w:t>
            </w:r>
          </w:p>
        </w:tc>
      </w:tr>
      <w:tr w:rsidR="0044324F" w:rsidRPr="00771C23" w14:paraId="2CF8047C" w14:textId="77777777" w:rsidTr="006938C4">
        <w:trPr>
          <w:cnfStyle w:val="000000010000" w:firstRow="0" w:lastRow="0" w:firstColumn="0" w:lastColumn="0" w:oddVBand="0" w:evenVBand="0" w:oddHBand="0" w:evenHBand="1" w:firstRowFirstColumn="0" w:firstRowLastColumn="0" w:lastRowFirstColumn="0" w:lastRowLastColumn="0"/>
          <w:trHeight w:val="340"/>
        </w:trPr>
        <w:tc>
          <w:tcPr>
            <w:tcW w:w="3063" w:type="pct"/>
            <w:hideMark/>
          </w:tcPr>
          <w:p w14:paraId="2E212221" w14:textId="77777777" w:rsidR="0044324F" w:rsidRPr="00771C23" w:rsidRDefault="0044324F" w:rsidP="006938C4">
            <w:pPr>
              <w:numPr>
                <w:ilvl w:val="0"/>
                <w:numId w:val="87"/>
              </w:numPr>
              <w:spacing w:before="40" w:after="40"/>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 xml:space="preserve">Education and skills </w:t>
            </w:r>
            <w:proofErr w:type="spellStart"/>
            <w:r w:rsidRPr="00771C23">
              <w:rPr>
                <w:rFonts w:eastAsia="Times New Roman"/>
                <w:color w:val="000000" w:themeColor="text1"/>
                <w:spacing w:val="4"/>
                <w:sz w:val="20"/>
                <w:szCs w:val="20"/>
                <w:lang w:val="en-GB"/>
              </w:rPr>
              <w:t>training</w:t>
            </w:r>
            <w:r>
              <w:rPr>
                <w:rFonts w:eastAsia="Times New Roman"/>
                <w:color w:val="000000" w:themeColor="text1"/>
                <w:spacing w:val="4"/>
                <w:sz w:val="20"/>
                <w:szCs w:val="20"/>
                <w:vertAlign w:val="superscript"/>
                <w:lang w:val="en-GB"/>
              </w:rPr>
              <w:t>d</w:t>
            </w:r>
            <w:proofErr w:type="spellEnd"/>
          </w:p>
        </w:tc>
        <w:tc>
          <w:tcPr>
            <w:tcW w:w="645" w:type="pct"/>
            <w:gridSpan w:val="2"/>
            <w:hideMark/>
          </w:tcPr>
          <w:p w14:paraId="48272441" w14:textId="77777777" w:rsidR="0044324F" w:rsidRPr="00771C23" w:rsidRDefault="0044324F"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58.7%</w:t>
            </w:r>
          </w:p>
        </w:tc>
        <w:tc>
          <w:tcPr>
            <w:tcW w:w="646" w:type="pct"/>
            <w:gridSpan w:val="2"/>
          </w:tcPr>
          <w:p w14:paraId="20A6AA68" w14:textId="77777777" w:rsidR="0044324F" w:rsidRPr="00771C23" w:rsidRDefault="0044324F"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69.2%</w:t>
            </w:r>
          </w:p>
        </w:tc>
        <w:tc>
          <w:tcPr>
            <w:tcW w:w="646" w:type="pct"/>
          </w:tcPr>
          <w:p w14:paraId="34E414A0" w14:textId="77777777" w:rsidR="0044324F" w:rsidRPr="00771C23" w:rsidRDefault="0044324F"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w:t>
            </w:r>
          </w:p>
        </w:tc>
      </w:tr>
      <w:tr w:rsidR="0044324F" w:rsidRPr="00771C23" w14:paraId="29A9ABFE" w14:textId="77777777" w:rsidTr="006938C4">
        <w:trPr>
          <w:cnfStyle w:val="000000100000" w:firstRow="0" w:lastRow="0" w:firstColumn="0" w:lastColumn="0" w:oddVBand="0" w:evenVBand="0" w:oddHBand="1" w:evenHBand="0" w:firstRowFirstColumn="0" w:firstRowLastColumn="0" w:lastRowFirstColumn="0" w:lastRowLastColumn="0"/>
          <w:trHeight w:val="340"/>
        </w:trPr>
        <w:tc>
          <w:tcPr>
            <w:tcW w:w="3063" w:type="pct"/>
            <w:hideMark/>
          </w:tcPr>
          <w:p w14:paraId="41D0D207" w14:textId="77777777" w:rsidR="0044324F" w:rsidRPr="00771C23" w:rsidRDefault="0044324F" w:rsidP="006938C4">
            <w:pPr>
              <w:numPr>
                <w:ilvl w:val="0"/>
                <w:numId w:val="87"/>
              </w:numPr>
              <w:spacing w:before="40" w:after="40"/>
              <w:rPr>
                <w:rFonts w:eastAsia="Times New Roman" w:cs="Arial"/>
                <w:color w:val="000000" w:themeColor="text1"/>
                <w:spacing w:val="4"/>
                <w:sz w:val="20"/>
                <w:szCs w:val="20"/>
                <w:lang w:val="en-GB"/>
              </w:rPr>
            </w:pPr>
            <w:proofErr w:type="spellStart"/>
            <w:r w:rsidRPr="00771C23">
              <w:rPr>
                <w:rFonts w:eastAsia="Times New Roman" w:cs="Arial"/>
                <w:color w:val="000000" w:themeColor="text1"/>
                <w:spacing w:val="4"/>
                <w:sz w:val="20"/>
                <w:szCs w:val="20"/>
                <w:lang w:val="en-GB"/>
              </w:rPr>
              <w:t>Employment</w:t>
            </w:r>
            <w:r>
              <w:rPr>
                <w:rFonts w:eastAsia="Times New Roman" w:cs="Arial"/>
                <w:color w:val="000000" w:themeColor="text1"/>
                <w:spacing w:val="4"/>
                <w:sz w:val="20"/>
                <w:szCs w:val="20"/>
                <w:vertAlign w:val="superscript"/>
                <w:lang w:val="en-GB"/>
              </w:rPr>
              <w:t>d</w:t>
            </w:r>
            <w:proofErr w:type="spellEnd"/>
          </w:p>
        </w:tc>
        <w:tc>
          <w:tcPr>
            <w:tcW w:w="645" w:type="pct"/>
            <w:gridSpan w:val="2"/>
            <w:hideMark/>
          </w:tcPr>
          <w:p w14:paraId="03162D3D"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43.9%</w:t>
            </w:r>
          </w:p>
        </w:tc>
        <w:tc>
          <w:tcPr>
            <w:tcW w:w="646" w:type="pct"/>
            <w:gridSpan w:val="2"/>
          </w:tcPr>
          <w:p w14:paraId="04D236B6"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61.1%</w:t>
            </w:r>
          </w:p>
        </w:tc>
        <w:tc>
          <w:tcPr>
            <w:tcW w:w="646" w:type="pct"/>
          </w:tcPr>
          <w:p w14:paraId="0F89846B"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w:t>
            </w:r>
          </w:p>
        </w:tc>
      </w:tr>
      <w:tr w:rsidR="0044324F" w:rsidRPr="00771C23" w14:paraId="2CF3D4E2" w14:textId="77777777" w:rsidTr="006938C4">
        <w:trPr>
          <w:cnfStyle w:val="000000010000" w:firstRow="0" w:lastRow="0" w:firstColumn="0" w:lastColumn="0" w:oddVBand="0" w:evenVBand="0" w:oddHBand="0" w:evenHBand="1" w:firstRowFirstColumn="0" w:firstRowLastColumn="0" w:lastRowFirstColumn="0" w:lastRowLastColumn="0"/>
          <w:trHeight w:val="340"/>
        </w:trPr>
        <w:tc>
          <w:tcPr>
            <w:tcW w:w="3063" w:type="pct"/>
            <w:hideMark/>
          </w:tcPr>
          <w:p w14:paraId="5F87606C" w14:textId="77777777" w:rsidR="0044324F" w:rsidRPr="00771C23" w:rsidRDefault="0044324F" w:rsidP="006938C4">
            <w:pPr>
              <w:numPr>
                <w:ilvl w:val="0"/>
                <w:numId w:val="87"/>
              </w:num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Family functioning</w:t>
            </w:r>
          </w:p>
        </w:tc>
        <w:tc>
          <w:tcPr>
            <w:tcW w:w="645" w:type="pct"/>
            <w:gridSpan w:val="2"/>
            <w:hideMark/>
          </w:tcPr>
          <w:p w14:paraId="678AFC41"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58.1%</w:t>
            </w:r>
          </w:p>
        </w:tc>
        <w:tc>
          <w:tcPr>
            <w:tcW w:w="646" w:type="pct"/>
            <w:gridSpan w:val="2"/>
          </w:tcPr>
          <w:p w14:paraId="59FC2E77"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58.9%</w:t>
            </w:r>
          </w:p>
        </w:tc>
        <w:tc>
          <w:tcPr>
            <w:tcW w:w="646" w:type="pct"/>
          </w:tcPr>
          <w:p w14:paraId="3A8F77CD"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59.7%</w:t>
            </w:r>
          </w:p>
        </w:tc>
      </w:tr>
      <w:tr w:rsidR="0044324F" w:rsidRPr="00771C23" w14:paraId="72902D9D" w14:textId="77777777" w:rsidTr="006938C4">
        <w:trPr>
          <w:cnfStyle w:val="000000100000" w:firstRow="0" w:lastRow="0" w:firstColumn="0" w:lastColumn="0" w:oddVBand="0" w:evenVBand="0" w:oddHBand="1" w:evenHBand="0" w:firstRowFirstColumn="0" w:firstRowLastColumn="0" w:lastRowFirstColumn="0" w:lastRowLastColumn="0"/>
          <w:trHeight w:val="340"/>
        </w:trPr>
        <w:tc>
          <w:tcPr>
            <w:tcW w:w="3063" w:type="pct"/>
            <w:hideMark/>
          </w:tcPr>
          <w:p w14:paraId="213A9AAD" w14:textId="77777777" w:rsidR="0044324F" w:rsidRPr="00771C23" w:rsidRDefault="0044324F" w:rsidP="006938C4">
            <w:pPr>
              <w:numPr>
                <w:ilvl w:val="0"/>
                <w:numId w:val="87"/>
              </w:numPr>
              <w:spacing w:before="40" w:after="40"/>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Housing</w:t>
            </w:r>
          </w:p>
        </w:tc>
        <w:tc>
          <w:tcPr>
            <w:tcW w:w="645" w:type="pct"/>
            <w:gridSpan w:val="2"/>
            <w:hideMark/>
          </w:tcPr>
          <w:p w14:paraId="604C97A4" w14:textId="77777777" w:rsidR="0044324F" w:rsidRPr="00771C23" w:rsidRDefault="0044324F"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52.3%</w:t>
            </w:r>
          </w:p>
        </w:tc>
        <w:tc>
          <w:tcPr>
            <w:tcW w:w="646" w:type="pct"/>
            <w:gridSpan w:val="2"/>
          </w:tcPr>
          <w:p w14:paraId="756262A4" w14:textId="77777777" w:rsidR="0044324F" w:rsidRPr="00771C23" w:rsidRDefault="0044324F"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59.6%</w:t>
            </w:r>
          </w:p>
        </w:tc>
        <w:tc>
          <w:tcPr>
            <w:tcW w:w="646" w:type="pct"/>
          </w:tcPr>
          <w:p w14:paraId="5A6F1547" w14:textId="77777777" w:rsidR="0044324F" w:rsidRPr="00771C23" w:rsidRDefault="0044324F"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60.6%</w:t>
            </w:r>
          </w:p>
        </w:tc>
      </w:tr>
      <w:tr w:rsidR="0044324F" w:rsidRPr="00771C23" w14:paraId="4DE02EAD" w14:textId="77777777" w:rsidTr="006938C4">
        <w:trPr>
          <w:cnfStyle w:val="000000010000" w:firstRow="0" w:lastRow="0" w:firstColumn="0" w:lastColumn="0" w:oddVBand="0" w:evenVBand="0" w:oddHBand="0" w:evenHBand="1" w:firstRowFirstColumn="0" w:firstRowLastColumn="0" w:lastRowFirstColumn="0" w:lastRowLastColumn="0"/>
          <w:trHeight w:val="340"/>
        </w:trPr>
        <w:tc>
          <w:tcPr>
            <w:tcW w:w="3063" w:type="pct"/>
            <w:hideMark/>
          </w:tcPr>
          <w:p w14:paraId="2032E4A9" w14:textId="77777777" w:rsidR="0044324F" w:rsidRPr="00771C23" w:rsidRDefault="0044324F" w:rsidP="006938C4">
            <w:pPr>
              <w:numPr>
                <w:ilvl w:val="0"/>
                <w:numId w:val="87"/>
              </w:num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Material wellbeing and basic necessities</w:t>
            </w:r>
          </w:p>
        </w:tc>
        <w:tc>
          <w:tcPr>
            <w:tcW w:w="645" w:type="pct"/>
            <w:gridSpan w:val="2"/>
            <w:hideMark/>
          </w:tcPr>
          <w:p w14:paraId="5B7AEE5A"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66.1%</w:t>
            </w:r>
          </w:p>
        </w:tc>
        <w:tc>
          <w:tcPr>
            <w:tcW w:w="646" w:type="pct"/>
            <w:gridSpan w:val="2"/>
          </w:tcPr>
          <w:p w14:paraId="1616CD10"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69.6%</w:t>
            </w:r>
          </w:p>
        </w:tc>
        <w:tc>
          <w:tcPr>
            <w:tcW w:w="646" w:type="pct"/>
          </w:tcPr>
          <w:p w14:paraId="03C5948A"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67.6%</w:t>
            </w:r>
          </w:p>
        </w:tc>
      </w:tr>
      <w:tr w:rsidR="0044324F" w:rsidRPr="00771C23" w14:paraId="75DAF61A" w14:textId="77777777" w:rsidTr="006938C4">
        <w:trPr>
          <w:cnfStyle w:val="000000100000" w:firstRow="0" w:lastRow="0" w:firstColumn="0" w:lastColumn="0" w:oddVBand="0" w:evenVBand="0" w:oddHBand="1" w:evenHBand="0" w:firstRowFirstColumn="0" w:firstRowLastColumn="0" w:lastRowFirstColumn="0" w:lastRowLastColumn="0"/>
          <w:trHeight w:val="340"/>
        </w:trPr>
        <w:tc>
          <w:tcPr>
            <w:tcW w:w="3063" w:type="pct"/>
            <w:hideMark/>
          </w:tcPr>
          <w:p w14:paraId="2C6B73B2" w14:textId="77777777" w:rsidR="0044324F" w:rsidRPr="00771C23" w:rsidRDefault="0044324F" w:rsidP="006938C4">
            <w:pPr>
              <w:numPr>
                <w:ilvl w:val="0"/>
                <w:numId w:val="87"/>
              </w:numPr>
              <w:spacing w:before="40" w:after="40"/>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Mental health, wellbeing and self-care</w:t>
            </w:r>
          </w:p>
        </w:tc>
        <w:tc>
          <w:tcPr>
            <w:tcW w:w="645" w:type="pct"/>
            <w:gridSpan w:val="2"/>
            <w:hideMark/>
          </w:tcPr>
          <w:p w14:paraId="31424D21" w14:textId="77777777" w:rsidR="0044324F" w:rsidRPr="00771C23" w:rsidRDefault="0044324F"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58.8%</w:t>
            </w:r>
          </w:p>
        </w:tc>
        <w:tc>
          <w:tcPr>
            <w:tcW w:w="646" w:type="pct"/>
            <w:gridSpan w:val="2"/>
          </w:tcPr>
          <w:p w14:paraId="5795C02E" w14:textId="77777777" w:rsidR="0044324F" w:rsidRPr="00771C23" w:rsidRDefault="0044324F"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58.6%</w:t>
            </w:r>
          </w:p>
        </w:tc>
        <w:tc>
          <w:tcPr>
            <w:tcW w:w="646" w:type="pct"/>
          </w:tcPr>
          <w:p w14:paraId="26FA92B5" w14:textId="77777777" w:rsidR="0044324F" w:rsidRPr="00771C23" w:rsidRDefault="0044324F"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59.7%</w:t>
            </w:r>
          </w:p>
        </w:tc>
      </w:tr>
      <w:tr w:rsidR="0044324F" w:rsidRPr="00771C23" w14:paraId="6609E7DC" w14:textId="77777777" w:rsidTr="006938C4">
        <w:trPr>
          <w:cnfStyle w:val="000000010000" w:firstRow="0" w:lastRow="0" w:firstColumn="0" w:lastColumn="0" w:oddVBand="0" w:evenVBand="0" w:oddHBand="0" w:evenHBand="1" w:firstRowFirstColumn="0" w:firstRowLastColumn="0" w:lastRowFirstColumn="0" w:lastRowLastColumn="0"/>
          <w:trHeight w:val="340"/>
        </w:trPr>
        <w:tc>
          <w:tcPr>
            <w:tcW w:w="3063" w:type="pct"/>
            <w:hideMark/>
          </w:tcPr>
          <w:p w14:paraId="6C20472B" w14:textId="77777777" w:rsidR="0044324F" w:rsidRPr="00771C23" w:rsidRDefault="0044324F" w:rsidP="006938C4">
            <w:pPr>
              <w:numPr>
                <w:ilvl w:val="0"/>
                <w:numId w:val="87"/>
              </w:num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 xml:space="preserve">Financial </w:t>
            </w:r>
            <w:proofErr w:type="spellStart"/>
            <w:r w:rsidRPr="00771C23">
              <w:rPr>
                <w:rFonts w:eastAsia="Times New Roman" w:cs="Arial"/>
                <w:color w:val="000000" w:themeColor="text1"/>
                <w:spacing w:val="4"/>
                <w:sz w:val="20"/>
                <w:szCs w:val="20"/>
                <w:lang w:val="en-GB"/>
              </w:rPr>
              <w:t>resilience</w:t>
            </w:r>
            <w:r>
              <w:rPr>
                <w:rFonts w:eastAsia="Times New Roman" w:cs="Arial"/>
                <w:color w:val="000000" w:themeColor="text1"/>
                <w:spacing w:val="4"/>
                <w:sz w:val="20"/>
                <w:szCs w:val="20"/>
                <w:vertAlign w:val="superscript"/>
                <w:lang w:val="en-GB"/>
              </w:rPr>
              <w:t>e</w:t>
            </w:r>
            <w:proofErr w:type="spellEnd"/>
          </w:p>
        </w:tc>
        <w:tc>
          <w:tcPr>
            <w:tcW w:w="645" w:type="pct"/>
            <w:gridSpan w:val="2"/>
            <w:hideMark/>
          </w:tcPr>
          <w:p w14:paraId="2D57230D"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64.4%</w:t>
            </w:r>
          </w:p>
        </w:tc>
        <w:tc>
          <w:tcPr>
            <w:tcW w:w="646" w:type="pct"/>
            <w:gridSpan w:val="2"/>
          </w:tcPr>
          <w:p w14:paraId="02E868E4"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60.7%</w:t>
            </w:r>
          </w:p>
        </w:tc>
        <w:tc>
          <w:tcPr>
            <w:tcW w:w="646" w:type="pct"/>
          </w:tcPr>
          <w:p w14:paraId="290CAB07"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59.4%</w:t>
            </w:r>
          </w:p>
        </w:tc>
      </w:tr>
      <w:tr w:rsidR="0044324F" w:rsidRPr="00771C23" w14:paraId="40B235E0" w14:textId="77777777" w:rsidTr="006938C4">
        <w:trPr>
          <w:cnfStyle w:val="000000100000" w:firstRow="0" w:lastRow="0" w:firstColumn="0" w:lastColumn="0" w:oddVBand="0" w:evenVBand="0" w:oddHBand="1" w:evenHBand="0" w:firstRowFirstColumn="0" w:firstRowLastColumn="0" w:lastRowFirstColumn="0" w:lastRowLastColumn="0"/>
          <w:trHeight w:val="340"/>
        </w:trPr>
        <w:tc>
          <w:tcPr>
            <w:tcW w:w="3063" w:type="pct"/>
            <w:hideMark/>
          </w:tcPr>
          <w:p w14:paraId="2510DC3C" w14:textId="77777777" w:rsidR="0044324F" w:rsidRPr="00771C23" w:rsidRDefault="0044324F" w:rsidP="006938C4">
            <w:pPr>
              <w:numPr>
                <w:ilvl w:val="0"/>
                <w:numId w:val="87"/>
              </w:numPr>
              <w:spacing w:before="40" w:after="40"/>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Personal and family safety</w:t>
            </w:r>
          </w:p>
        </w:tc>
        <w:tc>
          <w:tcPr>
            <w:tcW w:w="645" w:type="pct"/>
            <w:gridSpan w:val="2"/>
            <w:hideMark/>
          </w:tcPr>
          <w:p w14:paraId="12DDA033" w14:textId="77777777" w:rsidR="0044324F" w:rsidRPr="00771C23" w:rsidRDefault="0044324F"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49.8%</w:t>
            </w:r>
          </w:p>
        </w:tc>
        <w:tc>
          <w:tcPr>
            <w:tcW w:w="646" w:type="pct"/>
            <w:gridSpan w:val="2"/>
          </w:tcPr>
          <w:p w14:paraId="5B57730E" w14:textId="77777777" w:rsidR="0044324F" w:rsidRPr="00771C23" w:rsidRDefault="0044324F"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51.3%</w:t>
            </w:r>
          </w:p>
        </w:tc>
        <w:tc>
          <w:tcPr>
            <w:tcW w:w="646" w:type="pct"/>
          </w:tcPr>
          <w:p w14:paraId="44E5D892" w14:textId="77777777" w:rsidR="0044324F" w:rsidRPr="00771C23" w:rsidRDefault="0044324F"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52.1%</w:t>
            </w:r>
          </w:p>
        </w:tc>
      </w:tr>
      <w:tr w:rsidR="0044324F" w:rsidRPr="00771C23" w14:paraId="259ABF91" w14:textId="77777777" w:rsidTr="006938C4">
        <w:trPr>
          <w:cnfStyle w:val="000000010000" w:firstRow="0" w:lastRow="0" w:firstColumn="0" w:lastColumn="0" w:oddVBand="0" w:evenVBand="0" w:oddHBand="0" w:evenHBand="1" w:firstRowFirstColumn="0" w:firstRowLastColumn="0" w:lastRowFirstColumn="0" w:lastRowLastColumn="0"/>
          <w:trHeight w:val="340"/>
        </w:trPr>
        <w:tc>
          <w:tcPr>
            <w:tcW w:w="3063" w:type="pct"/>
            <w:tcBorders>
              <w:bottom w:val="single" w:sz="4" w:space="0" w:color="FFFFFF" w:themeColor="background1"/>
            </w:tcBorders>
            <w:hideMark/>
          </w:tcPr>
          <w:p w14:paraId="0FC9AE3E" w14:textId="77777777" w:rsidR="0044324F" w:rsidRPr="00771C23" w:rsidRDefault="0044324F" w:rsidP="006938C4">
            <w:pPr>
              <w:numPr>
                <w:ilvl w:val="0"/>
                <w:numId w:val="87"/>
              </w:num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Physical health</w:t>
            </w:r>
          </w:p>
        </w:tc>
        <w:tc>
          <w:tcPr>
            <w:tcW w:w="645" w:type="pct"/>
            <w:gridSpan w:val="2"/>
            <w:tcBorders>
              <w:bottom w:val="single" w:sz="4" w:space="0" w:color="FFFFFF" w:themeColor="background1"/>
            </w:tcBorders>
            <w:hideMark/>
          </w:tcPr>
          <w:p w14:paraId="472E2829"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49.5%</w:t>
            </w:r>
          </w:p>
        </w:tc>
        <w:tc>
          <w:tcPr>
            <w:tcW w:w="646" w:type="pct"/>
            <w:gridSpan w:val="2"/>
            <w:tcBorders>
              <w:bottom w:val="single" w:sz="4" w:space="0" w:color="FFFFFF" w:themeColor="background1"/>
            </w:tcBorders>
          </w:tcPr>
          <w:p w14:paraId="50C78A1B"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55.7%</w:t>
            </w:r>
          </w:p>
        </w:tc>
        <w:tc>
          <w:tcPr>
            <w:tcW w:w="646" w:type="pct"/>
            <w:tcBorders>
              <w:bottom w:val="single" w:sz="4" w:space="0" w:color="FFFFFF" w:themeColor="background1"/>
            </w:tcBorders>
          </w:tcPr>
          <w:p w14:paraId="120A0627"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50.1%</w:t>
            </w:r>
          </w:p>
        </w:tc>
      </w:tr>
      <w:tr w:rsidR="0044324F" w:rsidRPr="00771C23" w14:paraId="5A34CDC9" w14:textId="77777777" w:rsidTr="006938C4">
        <w:trPr>
          <w:cnfStyle w:val="000000100000" w:firstRow="0" w:lastRow="0" w:firstColumn="0" w:lastColumn="0" w:oddVBand="0" w:evenVBand="0" w:oddHBand="1" w:evenHBand="0" w:firstRowFirstColumn="0" w:firstRowLastColumn="0" w:lastRowFirstColumn="0" w:lastRowLastColumn="0"/>
          <w:trHeight w:val="340"/>
        </w:trPr>
        <w:tc>
          <w:tcPr>
            <w:tcW w:w="5000" w:type="pct"/>
            <w:gridSpan w:val="6"/>
            <w:tcBorders>
              <w:top w:val="single" w:sz="4" w:space="0" w:color="FFFFFF" w:themeColor="background1"/>
              <w:bottom w:val="single" w:sz="18" w:space="0" w:color="00B0B9"/>
            </w:tcBorders>
          </w:tcPr>
          <w:p w14:paraId="3CB3D666" w14:textId="77777777" w:rsidR="0044324F" w:rsidRPr="00771C23" w:rsidRDefault="0044324F" w:rsidP="006938C4">
            <w:pPr>
              <w:keepNext/>
              <w:keepLines/>
              <w:spacing w:before="40" w:after="40"/>
              <w:rPr>
                <w:rFonts w:eastAsia="Times New Roman"/>
                <w:b/>
                <w:color w:val="000000" w:themeColor="text1"/>
                <w:sz w:val="20"/>
                <w:szCs w:val="20"/>
              </w:rPr>
            </w:pPr>
            <w:r w:rsidRPr="00771C23">
              <w:rPr>
                <w:rFonts w:eastAsia="Times New Roman"/>
                <w:b/>
                <w:color w:val="000000" w:themeColor="text1"/>
                <w:sz w:val="20"/>
                <w:szCs w:val="20"/>
              </w:rPr>
              <w:t>Families and Children</w:t>
            </w:r>
          </w:p>
        </w:tc>
      </w:tr>
      <w:tr w:rsidR="0044324F" w:rsidRPr="00771C23" w14:paraId="1841AFDE" w14:textId="77777777" w:rsidTr="006938C4">
        <w:trPr>
          <w:cnfStyle w:val="000000010000" w:firstRow="0" w:lastRow="0" w:firstColumn="0" w:lastColumn="0" w:oddVBand="0" w:evenVBand="0" w:oddHBand="0" w:evenHBand="1" w:firstRowFirstColumn="0" w:firstRowLastColumn="0" w:lastRowFirstColumn="0" w:lastRowLastColumn="0"/>
        </w:trPr>
        <w:tc>
          <w:tcPr>
            <w:tcW w:w="3063" w:type="pct"/>
            <w:tcBorders>
              <w:top w:val="single" w:sz="18" w:space="0" w:color="00B0B9"/>
              <w:bottom w:val="single" w:sz="4" w:space="0" w:color="FFFFFF" w:themeColor="background1"/>
            </w:tcBorders>
            <w:hideMark/>
          </w:tcPr>
          <w:p w14:paraId="36C783D8" w14:textId="77777777" w:rsidR="0044324F" w:rsidRPr="00771C23" w:rsidRDefault="0044324F" w:rsidP="006938C4">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 xml:space="preserve">Percentage of individuals with improved family functioning, including child wellbeing, safety and </w:t>
            </w:r>
            <w:proofErr w:type="spellStart"/>
            <w:r w:rsidRPr="00771C23">
              <w:rPr>
                <w:rFonts w:eastAsia="Times New Roman" w:cs="Arial"/>
                <w:color w:val="000000" w:themeColor="text1"/>
                <w:spacing w:val="4"/>
                <w:sz w:val="20"/>
                <w:szCs w:val="20"/>
                <w:lang w:val="en-GB"/>
              </w:rPr>
              <w:t>development</w:t>
            </w:r>
            <w:r>
              <w:rPr>
                <w:rFonts w:eastAsia="Times New Roman" w:cs="Arial"/>
                <w:color w:val="000000" w:themeColor="text1"/>
                <w:spacing w:val="4"/>
                <w:sz w:val="20"/>
                <w:szCs w:val="20"/>
                <w:vertAlign w:val="superscript"/>
                <w:lang w:val="en-GB"/>
              </w:rPr>
              <w:t>f</w:t>
            </w:r>
            <w:proofErr w:type="spellEnd"/>
          </w:p>
        </w:tc>
        <w:tc>
          <w:tcPr>
            <w:tcW w:w="645" w:type="pct"/>
            <w:gridSpan w:val="2"/>
            <w:tcBorders>
              <w:top w:val="single" w:sz="18" w:space="0" w:color="00B0B9"/>
              <w:bottom w:val="single" w:sz="4" w:space="0" w:color="FFFFFF" w:themeColor="background1"/>
            </w:tcBorders>
            <w:hideMark/>
          </w:tcPr>
          <w:p w14:paraId="1F19B78F"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68%</w:t>
            </w:r>
          </w:p>
        </w:tc>
        <w:tc>
          <w:tcPr>
            <w:tcW w:w="646" w:type="pct"/>
            <w:gridSpan w:val="2"/>
            <w:tcBorders>
              <w:top w:val="single" w:sz="18" w:space="0" w:color="00B0B9"/>
              <w:bottom w:val="single" w:sz="4" w:space="0" w:color="FFFFFF" w:themeColor="background1"/>
            </w:tcBorders>
          </w:tcPr>
          <w:p w14:paraId="38A3A45E"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66.8%</w:t>
            </w:r>
          </w:p>
        </w:tc>
        <w:tc>
          <w:tcPr>
            <w:tcW w:w="646" w:type="pct"/>
            <w:tcBorders>
              <w:top w:val="single" w:sz="18" w:space="0" w:color="00B0B9"/>
              <w:bottom w:val="single" w:sz="4" w:space="0" w:color="FFFFFF" w:themeColor="background1"/>
            </w:tcBorders>
            <w:hideMark/>
          </w:tcPr>
          <w:p w14:paraId="78E5858F"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66.7%</w:t>
            </w:r>
          </w:p>
        </w:tc>
      </w:tr>
      <w:tr w:rsidR="0044324F" w:rsidRPr="00771C23" w14:paraId="6C92EBAB" w14:textId="77777777" w:rsidTr="006938C4">
        <w:trPr>
          <w:cnfStyle w:val="000000100000" w:firstRow="0" w:lastRow="0" w:firstColumn="0" w:lastColumn="0" w:oddVBand="0" w:evenVBand="0" w:oddHBand="1" w:evenHBand="0" w:firstRowFirstColumn="0" w:firstRowLastColumn="0" w:lastRowFirstColumn="0" w:lastRowLastColumn="0"/>
          <w:trHeight w:val="340"/>
        </w:trPr>
        <w:tc>
          <w:tcPr>
            <w:tcW w:w="5000" w:type="pct"/>
            <w:gridSpan w:val="6"/>
            <w:tcBorders>
              <w:top w:val="single" w:sz="4" w:space="0" w:color="FFFFFF" w:themeColor="background1"/>
              <w:bottom w:val="single" w:sz="18" w:space="0" w:color="00B0B9"/>
            </w:tcBorders>
          </w:tcPr>
          <w:p w14:paraId="2B04A74C" w14:textId="77777777" w:rsidR="0044324F" w:rsidRPr="00771C23" w:rsidRDefault="0044324F" w:rsidP="006938C4">
            <w:pPr>
              <w:keepNext/>
              <w:keepLines/>
              <w:spacing w:before="40" w:after="40"/>
              <w:rPr>
                <w:rFonts w:eastAsia="Times New Roman"/>
                <w:b/>
                <w:color w:val="000000" w:themeColor="text1"/>
                <w:sz w:val="20"/>
                <w:szCs w:val="20"/>
              </w:rPr>
            </w:pPr>
            <w:r w:rsidRPr="00771C23">
              <w:rPr>
                <w:rFonts w:eastAsia="Times New Roman"/>
                <w:b/>
                <w:color w:val="000000" w:themeColor="text1"/>
                <w:sz w:val="20"/>
                <w:szCs w:val="20"/>
              </w:rPr>
              <w:t>Financial Wellbeing and Capability</w:t>
            </w:r>
          </w:p>
        </w:tc>
      </w:tr>
      <w:tr w:rsidR="0044324F" w:rsidRPr="00771C23" w14:paraId="21B528A7" w14:textId="77777777" w:rsidTr="006938C4">
        <w:trPr>
          <w:cnfStyle w:val="000000010000" w:firstRow="0" w:lastRow="0" w:firstColumn="0" w:lastColumn="0" w:oddVBand="0" w:evenVBand="0" w:oddHBand="0" w:evenHBand="1" w:firstRowFirstColumn="0" w:firstRowLastColumn="0" w:lastRowFirstColumn="0" w:lastRowLastColumn="0"/>
        </w:trPr>
        <w:tc>
          <w:tcPr>
            <w:tcW w:w="3063" w:type="pct"/>
            <w:tcBorders>
              <w:top w:val="single" w:sz="18" w:space="0" w:color="00B0B9"/>
            </w:tcBorders>
            <w:hideMark/>
          </w:tcPr>
          <w:p w14:paraId="5B67EFE3" w14:textId="77777777" w:rsidR="0044324F" w:rsidRPr="00771C23" w:rsidRDefault="0044324F" w:rsidP="006938C4">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 xml:space="preserve">Percentage of assisted individuals with improved financial wellbeing, capability and </w:t>
            </w:r>
            <w:proofErr w:type="spellStart"/>
            <w:r w:rsidRPr="00771C23">
              <w:rPr>
                <w:rFonts w:eastAsia="Times New Roman" w:cs="Arial"/>
                <w:color w:val="000000" w:themeColor="text1"/>
                <w:spacing w:val="4"/>
                <w:sz w:val="20"/>
                <w:szCs w:val="20"/>
                <w:lang w:val="en-GB"/>
              </w:rPr>
              <w:t>resilience</w:t>
            </w:r>
            <w:r>
              <w:rPr>
                <w:rFonts w:eastAsia="Times New Roman" w:cs="Arial"/>
                <w:color w:val="000000" w:themeColor="text1"/>
                <w:spacing w:val="4"/>
                <w:sz w:val="20"/>
                <w:szCs w:val="20"/>
                <w:vertAlign w:val="superscript"/>
                <w:lang w:val="en-GB"/>
              </w:rPr>
              <w:t>g</w:t>
            </w:r>
            <w:proofErr w:type="spellEnd"/>
          </w:p>
        </w:tc>
        <w:tc>
          <w:tcPr>
            <w:tcW w:w="628" w:type="pct"/>
            <w:tcBorders>
              <w:top w:val="single" w:sz="18" w:space="0" w:color="00B0B9"/>
            </w:tcBorders>
            <w:hideMark/>
          </w:tcPr>
          <w:p w14:paraId="3D6ABF8A"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74.7%</w:t>
            </w:r>
          </w:p>
        </w:tc>
        <w:tc>
          <w:tcPr>
            <w:tcW w:w="628" w:type="pct"/>
            <w:gridSpan w:val="2"/>
            <w:tcBorders>
              <w:top w:val="single" w:sz="18" w:space="0" w:color="00B0B9"/>
            </w:tcBorders>
          </w:tcPr>
          <w:p w14:paraId="4342F670"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74.4%</w:t>
            </w:r>
          </w:p>
        </w:tc>
        <w:tc>
          <w:tcPr>
            <w:tcW w:w="681" w:type="pct"/>
            <w:gridSpan w:val="2"/>
            <w:tcBorders>
              <w:top w:val="single" w:sz="18" w:space="0" w:color="00B0B9"/>
            </w:tcBorders>
            <w:hideMark/>
          </w:tcPr>
          <w:p w14:paraId="7AF4F057" w14:textId="77777777" w:rsidR="0044324F" w:rsidRPr="00771C23" w:rsidRDefault="0044324F"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71.9%</w:t>
            </w:r>
          </w:p>
        </w:tc>
      </w:tr>
    </w:tbl>
    <w:p w14:paraId="5EA5F92B" w14:textId="77777777" w:rsidR="00874971" w:rsidRPr="00771C23" w:rsidRDefault="00874971" w:rsidP="00874971">
      <w:pPr>
        <w:spacing w:before="160" w:after="60" w:line="240" w:lineRule="auto"/>
        <w:ind w:left="284" w:hanging="284"/>
        <w:contextualSpacing/>
        <w:rPr>
          <w:rFonts w:cs="Arial"/>
          <w:sz w:val="16"/>
          <w:szCs w:val="16"/>
        </w:rPr>
      </w:pPr>
      <w:proofErr w:type="spellStart"/>
      <w:r w:rsidRPr="00771C23">
        <w:rPr>
          <w:rFonts w:cs="Arial"/>
          <w:sz w:val="16"/>
          <w:szCs w:val="16"/>
        </w:rPr>
        <w:t>a</w:t>
      </w:r>
      <w:proofErr w:type="spellEnd"/>
      <w:r w:rsidRPr="00771C23">
        <w:rPr>
          <w:rFonts w:cs="Arial"/>
          <w:sz w:val="16"/>
          <w:szCs w:val="16"/>
        </w:rPr>
        <w:tab/>
      </w:r>
      <w:r w:rsidRPr="00DD03EE">
        <w:rPr>
          <w:rFonts w:cs="Arial"/>
          <w:sz w:val="16"/>
          <w:szCs w:val="16"/>
        </w:rPr>
        <w:t>To measure outcomes only clients with at least two corresponding outcome domains have been counted.</w:t>
      </w:r>
    </w:p>
    <w:p w14:paraId="2054C076" w14:textId="77777777" w:rsidR="00874971" w:rsidRPr="00771C23" w:rsidRDefault="00874971" w:rsidP="00874971">
      <w:pPr>
        <w:spacing w:before="160" w:after="60" w:line="240" w:lineRule="auto"/>
        <w:ind w:left="284" w:hanging="284"/>
        <w:contextualSpacing/>
        <w:rPr>
          <w:rFonts w:cs="Arial"/>
          <w:sz w:val="16"/>
          <w:szCs w:val="16"/>
        </w:rPr>
      </w:pPr>
      <w:r w:rsidRPr="00771C23">
        <w:rPr>
          <w:rFonts w:cs="Arial"/>
          <w:sz w:val="16"/>
          <w:szCs w:val="16"/>
        </w:rPr>
        <w:t>b</w:t>
      </w:r>
      <w:r w:rsidRPr="00771C23">
        <w:rPr>
          <w:rFonts w:cs="Arial"/>
          <w:sz w:val="16"/>
          <w:szCs w:val="16"/>
        </w:rPr>
        <w:tab/>
        <w:t>The number of activities funded under the Families and Communities Program may vary across financial years.</w:t>
      </w:r>
      <w:r>
        <w:rPr>
          <w:rFonts w:cs="Arial"/>
          <w:sz w:val="16"/>
          <w:szCs w:val="16"/>
        </w:rPr>
        <w:t xml:space="preserve"> </w:t>
      </w:r>
      <w:r w:rsidRPr="00771C23">
        <w:rPr>
          <w:rFonts w:cs="Arial"/>
          <w:sz w:val="16"/>
          <w:szCs w:val="16"/>
        </w:rPr>
        <w:t>Data relating to Family Law Services is excluded as it is funded by, and under the policy responsibility of, the Attorney-General’s Department.</w:t>
      </w:r>
    </w:p>
    <w:p w14:paraId="6E684089" w14:textId="77777777" w:rsidR="00874971" w:rsidRPr="00771C23" w:rsidRDefault="00874971" w:rsidP="00874971">
      <w:pPr>
        <w:spacing w:before="160" w:after="60" w:line="240" w:lineRule="auto"/>
        <w:ind w:left="284" w:hanging="284"/>
        <w:contextualSpacing/>
        <w:rPr>
          <w:rFonts w:cs="Arial"/>
          <w:sz w:val="16"/>
          <w:szCs w:val="16"/>
        </w:rPr>
      </w:pPr>
      <w:r>
        <w:rPr>
          <w:rFonts w:cs="Arial"/>
          <w:sz w:val="16"/>
          <w:szCs w:val="16"/>
        </w:rPr>
        <w:t>c</w:t>
      </w:r>
      <w:r w:rsidRPr="00771C23">
        <w:rPr>
          <w:rFonts w:cs="Arial"/>
          <w:sz w:val="16"/>
          <w:szCs w:val="16"/>
        </w:rPr>
        <w:tab/>
        <w:t>Strong and Resilient Communities Activity replaced Strengthening Communities from 1 April 2018. Data is not comparable as a reduced number of organisations were funded to deliver services before the commencement of the Strong and Resilient Communities Activity.</w:t>
      </w:r>
    </w:p>
    <w:p w14:paraId="3080C786" w14:textId="77777777" w:rsidR="00874971" w:rsidRPr="00771C23" w:rsidRDefault="00874971" w:rsidP="00874971">
      <w:pPr>
        <w:spacing w:before="160" w:after="60" w:line="240" w:lineRule="auto"/>
        <w:ind w:left="284" w:hanging="284"/>
        <w:contextualSpacing/>
        <w:rPr>
          <w:rFonts w:cs="Arial"/>
          <w:sz w:val="16"/>
          <w:szCs w:val="16"/>
        </w:rPr>
      </w:pPr>
      <w:r>
        <w:rPr>
          <w:rFonts w:cs="Arial"/>
          <w:sz w:val="16"/>
          <w:szCs w:val="16"/>
        </w:rPr>
        <w:t>d</w:t>
      </w:r>
      <w:r w:rsidRPr="00771C23">
        <w:rPr>
          <w:rFonts w:cs="Arial"/>
          <w:sz w:val="16"/>
          <w:szCs w:val="16"/>
        </w:rPr>
        <w:tab/>
        <w:t>‘Employment’ and ‘Education and skills training’</w:t>
      </w:r>
      <w:r>
        <w:rPr>
          <w:rFonts w:cs="Arial"/>
          <w:sz w:val="16"/>
          <w:szCs w:val="16"/>
        </w:rPr>
        <w:t xml:space="preserve"> was reported as a combined domain in 2017-18. This was split into two new domains in 2018-19.  </w:t>
      </w:r>
    </w:p>
    <w:p w14:paraId="57732DFB" w14:textId="77777777" w:rsidR="00874971" w:rsidRPr="00771C23" w:rsidRDefault="00874971" w:rsidP="00874971">
      <w:pPr>
        <w:spacing w:before="160" w:after="60" w:line="240" w:lineRule="auto"/>
        <w:ind w:left="284" w:hanging="284"/>
        <w:contextualSpacing/>
        <w:rPr>
          <w:rFonts w:cs="Arial"/>
          <w:sz w:val="16"/>
          <w:szCs w:val="16"/>
        </w:rPr>
      </w:pPr>
      <w:r>
        <w:rPr>
          <w:rFonts w:cs="Arial"/>
          <w:sz w:val="16"/>
          <w:szCs w:val="16"/>
        </w:rPr>
        <w:t>e</w:t>
      </w:r>
      <w:r w:rsidRPr="00771C23">
        <w:rPr>
          <w:rFonts w:cs="Arial"/>
          <w:sz w:val="16"/>
          <w:szCs w:val="16"/>
        </w:rPr>
        <w:tab/>
        <w:t>Description of this performance measure in 2017–18 was ‘Money management’ and was changed to ‘Financial resilience’ in 2018–19.</w:t>
      </w:r>
    </w:p>
    <w:p w14:paraId="78B7C8E7" w14:textId="77777777" w:rsidR="00874971" w:rsidRPr="00771C23" w:rsidRDefault="00874971" w:rsidP="00874971">
      <w:pPr>
        <w:spacing w:before="160" w:after="60" w:line="240" w:lineRule="auto"/>
        <w:ind w:left="284" w:hanging="284"/>
        <w:contextualSpacing/>
        <w:rPr>
          <w:rFonts w:cs="Arial"/>
          <w:sz w:val="16"/>
          <w:szCs w:val="16"/>
        </w:rPr>
      </w:pPr>
      <w:r>
        <w:rPr>
          <w:rFonts w:cs="Arial"/>
          <w:sz w:val="16"/>
          <w:szCs w:val="16"/>
        </w:rPr>
        <w:t>f</w:t>
      </w:r>
      <w:r w:rsidRPr="00771C23">
        <w:rPr>
          <w:rFonts w:cs="Arial"/>
          <w:sz w:val="16"/>
          <w:szCs w:val="16"/>
        </w:rPr>
        <w:tab/>
        <w:t>For this measure, all domains relating to the circumstance outcome type have been included.</w:t>
      </w:r>
    </w:p>
    <w:p w14:paraId="3DA33423" w14:textId="77777777" w:rsidR="00874971" w:rsidRPr="00771C23" w:rsidRDefault="00874971" w:rsidP="00874971">
      <w:pPr>
        <w:spacing w:before="160" w:after="60" w:line="240" w:lineRule="auto"/>
        <w:ind w:left="284" w:hanging="284"/>
        <w:contextualSpacing/>
        <w:rPr>
          <w:rFonts w:cs="Arial"/>
          <w:sz w:val="16"/>
          <w:szCs w:val="16"/>
        </w:rPr>
      </w:pPr>
      <w:r>
        <w:rPr>
          <w:rFonts w:cs="Arial"/>
          <w:sz w:val="16"/>
          <w:szCs w:val="16"/>
        </w:rPr>
        <w:t>g</w:t>
      </w:r>
      <w:r w:rsidRPr="00771C23">
        <w:rPr>
          <w:rFonts w:cs="Arial"/>
          <w:sz w:val="16"/>
          <w:szCs w:val="16"/>
        </w:rPr>
        <w:tab/>
        <w:t>Measured by provider reports of client assessments, for clients whose needs were met through Financial Crisis and Material Aid, Commonwealth Financial Counselling and Financial Capability, and Financial Resilience services. Changes in the number of organisations reporting may affect comparability over financial years.</w:t>
      </w:r>
    </w:p>
    <w:p w14:paraId="7278B77F" w14:textId="77777777" w:rsidR="0029429F" w:rsidRPr="00771C23" w:rsidRDefault="0029429F" w:rsidP="0029429F">
      <w:pPr>
        <w:spacing w:before="240" w:after="240"/>
        <w:outlineLvl w:val="7"/>
        <w:rPr>
          <w:rFonts w:eastAsiaTheme="majorEastAsia" w:cstheme="majorBidi"/>
          <w:b/>
          <w:color w:val="595959" w:themeColor="text1" w:themeTint="A6"/>
          <w:sz w:val="24"/>
          <w:szCs w:val="20"/>
        </w:rPr>
      </w:pPr>
      <w:r w:rsidRPr="00771C23">
        <w:rPr>
          <w:rFonts w:eastAsiaTheme="majorEastAsia" w:cstheme="majorBidi"/>
          <w:b/>
          <w:color w:val="595959" w:themeColor="text1" w:themeTint="A6"/>
          <w:sz w:val="24"/>
          <w:szCs w:val="20"/>
        </w:rPr>
        <w:t>C2.1.2 Percentage of assisted individuals and families who achieve individual/family goals relating to building capacity and connections</w:t>
      </w:r>
    </w:p>
    <w:p w14:paraId="1C2484D7" w14:textId="77777777" w:rsidR="0029429F" w:rsidRPr="00771C23" w:rsidRDefault="0029429F" w:rsidP="0029429F">
      <w:pPr>
        <w:rPr>
          <w:sz w:val="20"/>
          <w:szCs w:val="20"/>
        </w:rPr>
      </w:pPr>
      <w:r w:rsidRPr="00771C23">
        <w:rPr>
          <w:sz w:val="20"/>
          <w:szCs w:val="20"/>
        </w:rPr>
        <w:t>This indicator captures the main areas where goal setting is a function of service provision and reporting is applicable.</w:t>
      </w:r>
    </w:p>
    <w:p w14:paraId="79B2D3F4" w14:textId="77777777" w:rsidR="00D96CDD" w:rsidRDefault="00D96CDD" w:rsidP="0029429F">
      <w:pPr>
        <w:spacing w:after="0"/>
        <w:outlineLvl w:val="6"/>
        <w:rPr>
          <w:rFonts w:eastAsiaTheme="majorEastAsia" w:cstheme="majorBidi"/>
          <w:i/>
          <w:iCs/>
        </w:rPr>
        <w:sectPr w:rsidR="00D96CDD" w:rsidSect="00A94724">
          <w:footnotePr>
            <w:numRestart w:val="eachPage"/>
          </w:footnotePr>
          <w:pgSz w:w="11906" w:h="16838"/>
          <w:pgMar w:top="1440" w:right="1440" w:bottom="1440" w:left="1440" w:header="709" w:footer="709" w:gutter="0"/>
          <w:cols w:space="708"/>
          <w:docGrid w:linePitch="360"/>
        </w:sectPr>
      </w:pPr>
    </w:p>
    <w:p w14:paraId="4008EFC4" w14:textId="3F35455D" w:rsidR="0029429F" w:rsidRPr="00771C23" w:rsidRDefault="0029429F" w:rsidP="0029429F">
      <w:pPr>
        <w:spacing w:after="0"/>
        <w:outlineLvl w:val="6"/>
        <w:rPr>
          <w:rFonts w:eastAsiaTheme="majorEastAsia" w:cstheme="majorBidi"/>
          <w:i/>
          <w:iCs/>
        </w:rPr>
      </w:pPr>
      <w:r w:rsidRPr="00771C23">
        <w:rPr>
          <w:rFonts w:eastAsiaTheme="majorEastAsia" w:cstheme="majorBidi"/>
          <w:i/>
          <w:iCs/>
        </w:rPr>
        <w:lastRenderedPageBreak/>
        <w:t>Analysis</w:t>
      </w:r>
    </w:p>
    <w:p w14:paraId="31E30CDE" w14:textId="77777777" w:rsidR="0029429F" w:rsidRPr="00771C23" w:rsidRDefault="0029429F" w:rsidP="0029429F">
      <w:pPr>
        <w:rPr>
          <w:sz w:val="20"/>
          <w:szCs w:val="20"/>
        </w:rPr>
      </w:pPr>
      <w:r w:rsidRPr="00771C23">
        <w:rPr>
          <w:sz w:val="20"/>
          <w:szCs w:val="20"/>
        </w:rPr>
        <w:t>Activities that may have contributed to clients reporting improved knowledge, skills, behaviours, and engagement with services include:</w:t>
      </w:r>
    </w:p>
    <w:p w14:paraId="6E71723E" w14:textId="2E784EBF" w:rsidR="0029429F" w:rsidRDefault="0029429F" w:rsidP="003A047F">
      <w:pPr>
        <w:numPr>
          <w:ilvl w:val="0"/>
          <w:numId w:val="109"/>
        </w:numPr>
        <w:spacing w:before="60" w:after="120" w:line="260" w:lineRule="atLeast"/>
        <w:rPr>
          <w:rFonts w:cs="Times New Roman"/>
          <w:spacing w:val="4"/>
          <w:sz w:val="20"/>
          <w:szCs w:val="20"/>
        </w:rPr>
      </w:pPr>
      <w:r w:rsidRPr="00771C23">
        <w:rPr>
          <w:rFonts w:cs="Times New Roman"/>
          <w:spacing w:val="4"/>
          <w:sz w:val="20"/>
          <w:szCs w:val="20"/>
        </w:rPr>
        <w:t>delivery of Children and Parenting Support services in 805</w:t>
      </w:r>
      <w:r w:rsidRPr="00771C23">
        <w:rPr>
          <w:rFonts w:cs="Times New Roman"/>
          <w:spacing w:val="4"/>
          <w:sz w:val="20"/>
          <w:szCs w:val="20"/>
          <w:vertAlign w:val="superscript"/>
        </w:rPr>
        <w:footnoteReference w:id="6"/>
      </w:r>
      <w:r w:rsidRPr="00771C23">
        <w:rPr>
          <w:rFonts w:cs="Times New Roman"/>
          <w:spacing w:val="4"/>
          <w:sz w:val="20"/>
          <w:szCs w:val="20"/>
        </w:rPr>
        <w:t xml:space="preserve"> outlets across Australia, including service delivery in Western Australia and South Australia to support the Cashless Debit Card trial</w:t>
      </w:r>
    </w:p>
    <w:p w14:paraId="746A21AF" w14:textId="7D6AE8E3" w:rsidR="0035029D" w:rsidRPr="00771C23" w:rsidRDefault="0035029D" w:rsidP="003A047F">
      <w:pPr>
        <w:numPr>
          <w:ilvl w:val="0"/>
          <w:numId w:val="109"/>
        </w:numPr>
        <w:spacing w:before="60" w:after="120" w:line="260" w:lineRule="atLeast"/>
        <w:rPr>
          <w:rFonts w:cs="Times New Roman"/>
          <w:spacing w:val="4"/>
          <w:sz w:val="20"/>
          <w:szCs w:val="20"/>
        </w:rPr>
      </w:pPr>
      <w:r>
        <w:rPr>
          <w:rFonts w:cs="Times New Roman"/>
          <w:spacing w:val="4"/>
          <w:sz w:val="20"/>
          <w:szCs w:val="20"/>
        </w:rPr>
        <w:t>delivery of Commonwealth Financial Counselling services to help people in financial difficulty address their financial problems, manage debt and make informed choices. These services are provided by community and local government organisations, through face-to-face meetings, a National Debt Helpline and website</w:t>
      </w:r>
    </w:p>
    <w:p w14:paraId="1138AD50" w14:textId="77777777" w:rsidR="0029429F" w:rsidRPr="00771C23" w:rsidRDefault="0029429F" w:rsidP="003A047F">
      <w:pPr>
        <w:numPr>
          <w:ilvl w:val="0"/>
          <w:numId w:val="109"/>
        </w:numPr>
        <w:spacing w:before="60" w:after="120" w:line="260" w:lineRule="atLeast"/>
        <w:rPr>
          <w:rFonts w:ascii="Calibri" w:hAnsi="Calibri" w:cs="Times New Roman"/>
          <w:spacing w:val="4"/>
          <w:sz w:val="20"/>
          <w:szCs w:val="20"/>
        </w:rPr>
      </w:pPr>
      <w:r w:rsidRPr="00771C23">
        <w:rPr>
          <w:rFonts w:cs="Times New Roman"/>
          <w:spacing w:val="4"/>
          <w:sz w:val="20"/>
          <w:szCs w:val="20"/>
        </w:rPr>
        <w:t>delivery of Family and Relationship Services in 499</w:t>
      </w:r>
      <w:r w:rsidRPr="00771C23">
        <w:rPr>
          <w:rFonts w:cs="Times New Roman"/>
          <w:spacing w:val="4"/>
          <w:sz w:val="20"/>
          <w:szCs w:val="20"/>
          <w:vertAlign w:val="superscript"/>
        </w:rPr>
        <w:footnoteReference w:id="7"/>
      </w:r>
      <w:r w:rsidRPr="00771C23">
        <w:rPr>
          <w:rFonts w:cs="Times New Roman"/>
          <w:spacing w:val="4"/>
          <w:sz w:val="20"/>
          <w:szCs w:val="20"/>
        </w:rPr>
        <w:t xml:space="preserve"> locations across Australia, including counselling services to families and individuals at critical family transition points such as family formation, extension or family separation, and education and skills training to strengthen family relationships.</w:t>
      </w:r>
    </w:p>
    <w:p w14:paraId="08D07C89" w14:textId="77777777" w:rsidR="00715F6F" w:rsidRDefault="00715F6F" w:rsidP="0029429F">
      <w:pPr>
        <w:sectPr w:rsidR="00715F6F" w:rsidSect="00A94724">
          <w:pgSz w:w="11906" w:h="16838"/>
          <w:pgMar w:top="1440" w:right="1440" w:bottom="1440" w:left="1440" w:header="709" w:footer="709" w:gutter="0"/>
          <w:cols w:space="708"/>
          <w:docGrid w:linePitch="360"/>
        </w:sectPr>
      </w:pPr>
    </w:p>
    <w:p w14:paraId="0C52D1BE" w14:textId="77777777" w:rsidR="0029429F" w:rsidRPr="00771C23" w:rsidRDefault="0029429F" w:rsidP="0029429F">
      <w:pPr>
        <w:keepNext/>
        <w:spacing w:before="240" w:after="0" w:line="260" w:lineRule="atLeast"/>
        <w:ind w:right="425"/>
        <w:rPr>
          <w:rFonts w:ascii="Arial Narrow" w:eastAsia="Times New Roman" w:hAnsi="Arial Narrow" w:cs="Times New Roman"/>
          <w:b/>
          <w:bCs/>
          <w:spacing w:val="4"/>
          <w:sz w:val="20"/>
          <w:szCs w:val="18"/>
          <w:lang w:eastAsia="en-AU"/>
        </w:rPr>
      </w:pPr>
      <w:r w:rsidRPr="00771C23">
        <w:rPr>
          <w:rFonts w:ascii="Arial Narrow" w:eastAsia="Times New Roman" w:hAnsi="Arial Narrow" w:cs="Times New Roman"/>
          <w:b/>
          <w:bCs/>
          <w:spacing w:val="4"/>
          <w:sz w:val="20"/>
          <w:szCs w:val="18"/>
          <w:lang w:eastAsia="en-AU"/>
        </w:rPr>
        <w:lastRenderedPageBreak/>
        <w:t>Table 2.2.5: Percentage of assisted individuals and families who achieve individual/family goals related to building capacity and connections</w:t>
      </w:r>
    </w:p>
    <w:tbl>
      <w:tblPr>
        <w:tblStyle w:val="HHorizontaltable1"/>
        <w:tblW w:w="5000" w:type="pct"/>
        <w:tblLook w:val="04A0" w:firstRow="1" w:lastRow="0" w:firstColumn="1" w:lastColumn="0" w:noHBand="0" w:noVBand="1"/>
        <w:tblCaption w:val="Table 2.2.5: Percentage of assisted individuals and families who achieve individual/family goals related to building capacity and connections"/>
        <w:tblDescription w:val="Table 2.2.5: Percentage of assisted individuals and families who achieve individual/family goals related to building capacity and connections"/>
      </w:tblPr>
      <w:tblGrid>
        <w:gridCol w:w="5530"/>
        <w:gridCol w:w="1164"/>
        <w:gridCol w:w="1166"/>
        <w:gridCol w:w="1166"/>
      </w:tblGrid>
      <w:tr w:rsidR="00B20600" w:rsidRPr="00771C23" w14:paraId="58A4A43F" w14:textId="77777777" w:rsidTr="006938C4">
        <w:trPr>
          <w:cnfStyle w:val="100000000000" w:firstRow="1" w:lastRow="0" w:firstColumn="0" w:lastColumn="0" w:oddVBand="0" w:evenVBand="0" w:oddHBand="0" w:evenHBand="0" w:firstRowFirstColumn="0" w:firstRowLastColumn="0" w:lastRowFirstColumn="0" w:lastRowLastColumn="0"/>
          <w:trHeight w:val="317"/>
        </w:trPr>
        <w:tc>
          <w:tcPr>
            <w:tcW w:w="3063" w:type="pct"/>
            <w:tcBorders>
              <w:bottom w:val="single" w:sz="4" w:space="0" w:color="FFFFFF" w:themeColor="background1"/>
            </w:tcBorders>
            <w:hideMark/>
          </w:tcPr>
          <w:p w14:paraId="4168BBCE" w14:textId="77777777" w:rsidR="00B20600" w:rsidRPr="007F2601" w:rsidRDefault="00B20600" w:rsidP="006938C4">
            <w:pPr>
              <w:keepNext/>
              <w:keepLines/>
              <w:spacing w:before="40" w:after="40"/>
              <w:rPr>
                <w:rFonts w:eastAsia="Times New Roman"/>
                <w:sz w:val="20"/>
                <w:szCs w:val="20"/>
              </w:rPr>
            </w:pPr>
            <w:r w:rsidRPr="007F2601">
              <w:rPr>
                <w:rFonts w:eastAsia="Times New Roman"/>
                <w:sz w:val="20"/>
                <w:szCs w:val="20"/>
              </w:rPr>
              <w:t>Outcome performance measure</w:t>
            </w:r>
          </w:p>
        </w:tc>
        <w:tc>
          <w:tcPr>
            <w:tcW w:w="645" w:type="pct"/>
            <w:tcBorders>
              <w:bottom w:val="single" w:sz="4" w:space="0" w:color="FFFFFF" w:themeColor="background1"/>
            </w:tcBorders>
            <w:hideMark/>
          </w:tcPr>
          <w:p w14:paraId="69F993D1" w14:textId="77777777" w:rsidR="00B20600" w:rsidRPr="007F2601" w:rsidRDefault="00B20600" w:rsidP="006938C4">
            <w:pPr>
              <w:keepNext/>
              <w:keepLines/>
              <w:spacing w:before="40" w:after="40"/>
              <w:jc w:val="right"/>
              <w:rPr>
                <w:rFonts w:eastAsia="Times New Roman"/>
                <w:sz w:val="20"/>
                <w:szCs w:val="20"/>
                <w:vertAlign w:val="superscript"/>
              </w:rPr>
            </w:pPr>
            <w:r w:rsidRPr="007F2601">
              <w:rPr>
                <w:rFonts w:eastAsia="Times New Roman"/>
                <w:sz w:val="20"/>
                <w:szCs w:val="20"/>
              </w:rPr>
              <w:t>2019–20</w:t>
            </w:r>
          </w:p>
        </w:tc>
        <w:tc>
          <w:tcPr>
            <w:tcW w:w="646" w:type="pct"/>
            <w:tcBorders>
              <w:bottom w:val="single" w:sz="4" w:space="0" w:color="FFFFFF" w:themeColor="background1"/>
            </w:tcBorders>
          </w:tcPr>
          <w:p w14:paraId="26A8ABCB" w14:textId="22FFCDD0" w:rsidR="00B20600" w:rsidRPr="007F2601" w:rsidRDefault="00B20600" w:rsidP="00874971">
            <w:pPr>
              <w:keepNext/>
              <w:keepLines/>
              <w:spacing w:before="40" w:after="40"/>
              <w:jc w:val="right"/>
              <w:rPr>
                <w:rFonts w:eastAsia="Times New Roman"/>
                <w:sz w:val="20"/>
                <w:szCs w:val="20"/>
                <w:vertAlign w:val="superscript"/>
              </w:rPr>
            </w:pPr>
            <w:r w:rsidRPr="007F2601">
              <w:rPr>
                <w:rFonts w:eastAsia="Times New Roman"/>
                <w:sz w:val="20"/>
                <w:szCs w:val="20"/>
              </w:rPr>
              <w:t>2018–19</w:t>
            </w:r>
          </w:p>
        </w:tc>
        <w:tc>
          <w:tcPr>
            <w:tcW w:w="646" w:type="pct"/>
            <w:tcBorders>
              <w:bottom w:val="single" w:sz="4" w:space="0" w:color="FFFFFF" w:themeColor="background1"/>
            </w:tcBorders>
            <w:hideMark/>
          </w:tcPr>
          <w:p w14:paraId="2FD34FAE" w14:textId="7D5E3DB6" w:rsidR="00B20600" w:rsidRPr="007F2601" w:rsidRDefault="00B20600" w:rsidP="00874971">
            <w:pPr>
              <w:keepNext/>
              <w:keepLines/>
              <w:spacing w:before="40" w:after="40"/>
              <w:jc w:val="right"/>
              <w:rPr>
                <w:rFonts w:eastAsia="Times New Roman"/>
                <w:sz w:val="16"/>
                <w:szCs w:val="16"/>
              </w:rPr>
            </w:pPr>
            <w:r w:rsidRPr="007F2601">
              <w:rPr>
                <w:rFonts w:eastAsia="Times New Roman"/>
                <w:sz w:val="20"/>
                <w:szCs w:val="20"/>
              </w:rPr>
              <w:t>2017–18</w:t>
            </w:r>
          </w:p>
        </w:tc>
      </w:tr>
      <w:tr w:rsidR="00B20600" w:rsidRPr="00771C23" w14:paraId="4359F9F5" w14:textId="77777777" w:rsidTr="006938C4">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tcPr>
          <w:p w14:paraId="3F3DDD27" w14:textId="77777777" w:rsidR="00B20600" w:rsidRPr="00771C23" w:rsidRDefault="00B20600" w:rsidP="006938C4">
            <w:pPr>
              <w:keepNext/>
              <w:keepLines/>
              <w:spacing w:before="40" w:after="40"/>
              <w:rPr>
                <w:rFonts w:eastAsia="Times New Roman" w:cs="Arial"/>
                <w:b/>
                <w:color w:val="000000" w:themeColor="text1"/>
                <w:sz w:val="20"/>
                <w:szCs w:val="20"/>
              </w:rPr>
            </w:pPr>
            <w:r w:rsidRPr="00771C23">
              <w:rPr>
                <w:rFonts w:eastAsia="Times New Roman" w:cs="Arial"/>
                <w:b/>
                <w:color w:val="000000" w:themeColor="text1"/>
                <w:sz w:val="20"/>
                <w:szCs w:val="20"/>
              </w:rPr>
              <w:t>Cross program</w:t>
            </w:r>
          </w:p>
        </w:tc>
      </w:tr>
      <w:tr w:rsidR="00B20600" w:rsidRPr="00771C23" w14:paraId="6E6F50F9" w14:textId="77777777" w:rsidTr="006938C4">
        <w:trPr>
          <w:cnfStyle w:val="000000010000" w:firstRow="0" w:lastRow="0" w:firstColumn="0" w:lastColumn="0" w:oddVBand="0" w:evenVBand="0" w:oddHBand="0" w:evenHBand="1" w:firstRowFirstColumn="0" w:firstRowLastColumn="0" w:lastRowFirstColumn="0" w:lastRowLastColumn="0"/>
          <w:trHeight w:val="317"/>
        </w:trPr>
        <w:tc>
          <w:tcPr>
            <w:tcW w:w="5000" w:type="pct"/>
            <w:gridSpan w:val="4"/>
            <w:tcBorders>
              <w:top w:val="single" w:sz="18" w:space="0" w:color="00B0B9"/>
            </w:tcBorders>
          </w:tcPr>
          <w:p w14:paraId="6DD70F35" w14:textId="5F635351" w:rsidR="00B20600" w:rsidRPr="00771C23" w:rsidRDefault="00B20600" w:rsidP="006938C4">
            <w:pPr>
              <w:spacing w:before="40" w:after="40"/>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Percentage of assisted individuals and families who achieve individual/family goals related to building capacity and connections</w:t>
            </w:r>
            <w:r w:rsidR="00874971" w:rsidRPr="00B20600">
              <w:rPr>
                <w:rFonts w:eastAsia="Times New Roman"/>
                <w:color w:val="FFFFFF" w:themeColor="background1"/>
                <w:sz w:val="20"/>
                <w:szCs w:val="20"/>
                <w:vertAlign w:val="superscript"/>
              </w:rPr>
              <w:t xml:space="preserve"> </w:t>
            </w:r>
            <w:r w:rsidR="00874971" w:rsidRPr="00874971">
              <w:rPr>
                <w:rFonts w:eastAsia="Times New Roman"/>
                <w:sz w:val="20"/>
                <w:szCs w:val="20"/>
                <w:vertAlign w:val="superscript"/>
              </w:rPr>
              <w:t>a</w:t>
            </w:r>
            <w:proofErr w:type="spellStart"/>
            <w:r w:rsidRPr="00771C23">
              <w:rPr>
                <w:rFonts w:eastAsia="Times New Roman"/>
                <w:color w:val="000000" w:themeColor="text1"/>
                <w:spacing w:val="4"/>
                <w:sz w:val="20"/>
                <w:szCs w:val="20"/>
                <w:vertAlign w:val="superscript"/>
                <w:lang w:val="en-GB"/>
              </w:rPr>
              <w:t>bc</w:t>
            </w:r>
            <w:proofErr w:type="spellEnd"/>
          </w:p>
        </w:tc>
      </w:tr>
      <w:tr w:rsidR="00B20600" w:rsidRPr="00771C23" w14:paraId="66D91537" w14:textId="77777777" w:rsidTr="006938C4">
        <w:trPr>
          <w:cnfStyle w:val="000000100000" w:firstRow="0" w:lastRow="0" w:firstColumn="0" w:lastColumn="0" w:oddVBand="0" w:evenVBand="0" w:oddHBand="1" w:evenHBand="0" w:firstRowFirstColumn="0" w:firstRowLastColumn="0" w:lastRowFirstColumn="0" w:lastRowLastColumn="0"/>
          <w:trHeight w:val="317"/>
        </w:trPr>
        <w:tc>
          <w:tcPr>
            <w:tcW w:w="3063" w:type="pct"/>
            <w:hideMark/>
          </w:tcPr>
          <w:p w14:paraId="3F824FE0" w14:textId="77777777" w:rsidR="00B20600" w:rsidRPr="00771C23" w:rsidRDefault="00B20600" w:rsidP="006938C4">
            <w:pPr>
              <w:numPr>
                <w:ilvl w:val="0"/>
                <w:numId w:val="87"/>
              </w:num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 xml:space="preserve">All </w:t>
            </w:r>
            <w:proofErr w:type="spellStart"/>
            <w:r w:rsidRPr="00771C23">
              <w:rPr>
                <w:rFonts w:eastAsia="Times New Roman" w:cs="Arial"/>
                <w:color w:val="000000" w:themeColor="text1"/>
                <w:spacing w:val="4"/>
                <w:sz w:val="20"/>
                <w:szCs w:val="20"/>
                <w:lang w:val="en-GB"/>
              </w:rPr>
              <w:t>goals</w:t>
            </w:r>
            <w:r w:rsidRPr="00771C23">
              <w:rPr>
                <w:rFonts w:eastAsia="Times New Roman" w:cs="Arial"/>
                <w:color w:val="000000" w:themeColor="text1"/>
                <w:spacing w:val="4"/>
                <w:sz w:val="20"/>
                <w:szCs w:val="20"/>
                <w:vertAlign w:val="superscript"/>
                <w:lang w:val="en-GB"/>
              </w:rPr>
              <w:t>d</w:t>
            </w:r>
            <w:proofErr w:type="spellEnd"/>
          </w:p>
        </w:tc>
        <w:tc>
          <w:tcPr>
            <w:tcW w:w="645" w:type="pct"/>
            <w:hideMark/>
          </w:tcPr>
          <w:p w14:paraId="053F221D" w14:textId="77777777" w:rsidR="00B20600" w:rsidRPr="00771C23" w:rsidRDefault="00B20600"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75.8%</w:t>
            </w:r>
          </w:p>
        </w:tc>
        <w:tc>
          <w:tcPr>
            <w:tcW w:w="646" w:type="pct"/>
          </w:tcPr>
          <w:p w14:paraId="620C6EED" w14:textId="77777777" w:rsidR="00B20600" w:rsidRPr="00771C23" w:rsidRDefault="00B20600"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76.8%</w:t>
            </w:r>
          </w:p>
        </w:tc>
        <w:tc>
          <w:tcPr>
            <w:tcW w:w="646" w:type="pct"/>
          </w:tcPr>
          <w:p w14:paraId="12086360" w14:textId="77777777" w:rsidR="00B20600" w:rsidRPr="00771C23" w:rsidRDefault="00B20600" w:rsidP="006938C4">
            <w:pPr>
              <w:keepNext/>
              <w:keepLines/>
              <w:spacing w:before="40" w:after="40"/>
              <w:jc w:val="right"/>
              <w:rPr>
                <w:rFonts w:eastAsia="Times New Roman" w:cs="Arial"/>
                <w:color w:val="000000" w:themeColor="text1"/>
                <w:sz w:val="20"/>
                <w:szCs w:val="20"/>
              </w:rPr>
            </w:pPr>
            <w:r w:rsidRPr="00771C23">
              <w:rPr>
                <w:rFonts w:eastAsia="Times New Roman" w:cs="Arial"/>
                <w:color w:val="000000" w:themeColor="text1"/>
                <w:spacing w:val="4"/>
                <w:sz w:val="20"/>
                <w:szCs w:val="20"/>
                <w:lang w:val="en-GB"/>
              </w:rPr>
              <w:t>78.0%</w:t>
            </w:r>
          </w:p>
        </w:tc>
      </w:tr>
      <w:tr w:rsidR="00B20600" w:rsidRPr="00771C23" w14:paraId="1938DA81" w14:textId="77777777" w:rsidTr="006938C4">
        <w:trPr>
          <w:cnfStyle w:val="000000010000" w:firstRow="0" w:lastRow="0" w:firstColumn="0" w:lastColumn="0" w:oddVBand="0" w:evenVBand="0" w:oddHBand="0" w:evenHBand="1" w:firstRowFirstColumn="0" w:firstRowLastColumn="0" w:lastRowFirstColumn="0" w:lastRowLastColumn="0"/>
          <w:trHeight w:val="317"/>
        </w:trPr>
        <w:tc>
          <w:tcPr>
            <w:tcW w:w="3063" w:type="pct"/>
            <w:hideMark/>
          </w:tcPr>
          <w:p w14:paraId="310FD9CA" w14:textId="77777777" w:rsidR="00B20600" w:rsidRPr="00771C23" w:rsidRDefault="00B20600" w:rsidP="006938C4">
            <w:pPr>
              <w:numPr>
                <w:ilvl w:val="0"/>
                <w:numId w:val="87"/>
              </w:numPr>
              <w:spacing w:before="40" w:after="40"/>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Under 15 years</w:t>
            </w:r>
          </w:p>
        </w:tc>
        <w:tc>
          <w:tcPr>
            <w:tcW w:w="645" w:type="pct"/>
            <w:hideMark/>
          </w:tcPr>
          <w:p w14:paraId="4822E90F" w14:textId="77777777" w:rsidR="00B20600" w:rsidRPr="00771C23" w:rsidRDefault="00B20600"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77.5%</w:t>
            </w:r>
          </w:p>
        </w:tc>
        <w:tc>
          <w:tcPr>
            <w:tcW w:w="646" w:type="pct"/>
          </w:tcPr>
          <w:p w14:paraId="7E53B3A5" w14:textId="77777777" w:rsidR="00B20600" w:rsidRPr="00771C23" w:rsidRDefault="00B20600"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78.0%</w:t>
            </w:r>
          </w:p>
        </w:tc>
        <w:tc>
          <w:tcPr>
            <w:tcW w:w="646" w:type="pct"/>
          </w:tcPr>
          <w:p w14:paraId="6C1FC0EB" w14:textId="77777777" w:rsidR="00B20600" w:rsidRPr="00771C23" w:rsidRDefault="00B20600" w:rsidP="006938C4">
            <w:pPr>
              <w:keepNext/>
              <w:keepLines/>
              <w:spacing w:before="40" w:after="40"/>
              <w:jc w:val="right"/>
              <w:rPr>
                <w:rFonts w:eastAsia="Times New Roman"/>
                <w:color w:val="000000" w:themeColor="text1"/>
                <w:sz w:val="20"/>
                <w:szCs w:val="20"/>
              </w:rPr>
            </w:pPr>
            <w:r w:rsidRPr="00771C23">
              <w:rPr>
                <w:rFonts w:eastAsia="Times New Roman"/>
                <w:color w:val="000000" w:themeColor="text1"/>
                <w:spacing w:val="4"/>
                <w:sz w:val="20"/>
                <w:szCs w:val="20"/>
                <w:lang w:val="en-GB"/>
              </w:rPr>
              <w:t>74.8%</w:t>
            </w:r>
          </w:p>
        </w:tc>
      </w:tr>
      <w:tr w:rsidR="00B20600" w:rsidRPr="00771C23" w14:paraId="71768BC3" w14:textId="77777777" w:rsidTr="006938C4">
        <w:trPr>
          <w:cnfStyle w:val="000000100000" w:firstRow="0" w:lastRow="0" w:firstColumn="0" w:lastColumn="0" w:oddVBand="0" w:evenVBand="0" w:oddHBand="1" w:evenHBand="0" w:firstRowFirstColumn="0" w:firstRowLastColumn="0" w:lastRowFirstColumn="0" w:lastRowLastColumn="0"/>
          <w:trHeight w:val="317"/>
        </w:trPr>
        <w:tc>
          <w:tcPr>
            <w:tcW w:w="3063" w:type="pct"/>
            <w:hideMark/>
          </w:tcPr>
          <w:p w14:paraId="35234654" w14:textId="77777777" w:rsidR="00B20600" w:rsidRPr="00771C23" w:rsidRDefault="00B20600" w:rsidP="006938C4">
            <w:pPr>
              <w:numPr>
                <w:ilvl w:val="0"/>
                <w:numId w:val="87"/>
              </w:num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15–64 years</w:t>
            </w:r>
          </w:p>
        </w:tc>
        <w:tc>
          <w:tcPr>
            <w:tcW w:w="645" w:type="pct"/>
            <w:hideMark/>
          </w:tcPr>
          <w:p w14:paraId="254DD896" w14:textId="77777777" w:rsidR="00B20600" w:rsidRPr="00771C23" w:rsidRDefault="00B20600"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75.4%</w:t>
            </w:r>
          </w:p>
        </w:tc>
        <w:tc>
          <w:tcPr>
            <w:tcW w:w="646" w:type="pct"/>
          </w:tcPr>
          <w:p w14:paraId="367AC4B0" w14:textId="77777777" w:rsidR="00B20600" w:rsidRPr="00771C23" w:rsidRDefault="00B20600"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77.2%</w:t>
            </w:r>
          </w:p>
        </w:tc>
        <w:tc>
          <w:tcPr>
            <w:tcW w:w="646" w:type="pct"/>
          </w:tcPr>
          <w:p w14:paraId="1ED877BF" w14:textId="77777777" w:rsidR="00B20600" w:rsidRPr="00771C23" w:rsidRDefault="00B20600" w:rsidP="006938C4">
            <w:pPr>
              <w:keepNext/>
              <w:keepLines/>
              <w:spacing w:before="40" w:after="40"/>
              <w:jc w:val="right"/>
              <w:rPr>
                <w:rFonts w:eastAsia="Times New Roman" w:cs="Arial"/>
                <w:color w:val="000000" w:themeColor="text1"/>
                <w:sz w:val="20"/>
                <w:szCs w:val="20"/>
              </w:rPr>
            </w:pPr>
            <w:r w:rsidRPr="00771C23">
              <w:rPr>
                <w:rFonts w:eastAsia="Times New Roman" w:cs="Arial"/>
                <w:color w:val="000000" w:themeColor="text1"/>
                <w:spacing w:val="4"/>
                <w:sz w:val="20"/>
                <w:szCs w:val="20"/>
                <w:lang w:val="en-GB"/>
              </w:rPr>
              <w:t>78.3%</w:t>
            </w:r>
          </w:p>
        </w:tc>
      </w:tr>
      <w:tr w:rsidR="00B20600" w:rsidRPr="00771C23" w14:paraId="0B314F86" w14:textId="77777777" w:rsidTr="006938C4">
        <w:trPr>
          <w:cnfStyle w:val="000000010000" w:firstRow="0" w:lastRow="0" w:firstColumn="0" w:lastColumn="0" w:oddVBand="0" w:evenVBand="0" w:oddHBand="0" w:evenHBand="1" w:firstRowFirstColumn="0" w:firstRowLastColumn="0" w:lastRowFirstColumn="0" w:lastRowLastColumn="0"/>
          <w:trHeight w:val="317"/>
        </w:trPr>
        <w:tc>
          <w:tcPr>
            <w:tcW w:w="3063" w:type="pct"/>
            <w:hideMark/>
          </w:tcPr>
          <w:p w14:paraId="6BDCAC93" w14:textId="77777777" w:rsidR="00B20600" w:rsidRPr="00771C23" w:rsidRDefault="00B20600" w:rsidP="006938C4">
            <w:pPr>
              <w:numPr>
                <w:ilvl w:val="0"/>
                <w:numId w:val="87"/>
              </w:numPr>
              <w:spacing w:before="40" w:after="40"/>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65 years and over</w:t>
            </w:r>
          </w:p>
        </w:tc>
        <w:tc>
          <w:tcPr>
            <w:tcW w:w="645" w:type="pct"/>
            <w:hideMark/>
          </w:tcPr>
          <w:p w14:paraId="0BD5839C" w14:textId="77777777" w:rsidR="00B20600" w:rsidRPr="00771C23" w:rsidRDefault="00B20600"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77.4%</w:t>
            </w:r>
          </w:p>
        </w:tc>
        <w:tc>
          <w:tcPr>
            <w:tcW w:w="646" w:type="pct"/>
          </w:tcPr>
          <w:p w14:paraId="1926A30F" w14:textId="77777777" w:rsidR="00B20600" w:rsidRPr="00771C23" w:rsidRDefault="00B20600"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66.3%</w:t>
            </w:r>
          </w:p>
        </w:tc>
        <w:tc>
          <w:tcPr>
            <w:tcW w:w="646" w:type="pct"/>
          </w:tcPr>
          <w:p w14:paraId="7A4A3071" w14:textId="77777777" w:rsidR="00B20600" w:rsidRPr="00771C23" w:rsidRDefault="00B20600" w:rsidP="006938C4">
            <w:pPr>
              <w:keepNext/>
              <w:keepLines/>
              <w:spacing w:before="40" w:after="40"/>
              <w:jc w:val="right"/>
              <w:rPr>
                <w:rFonts w:eastAsia="Times New Roman"/>
                <w:color w:val="000000" w:themeColor="text1"/>
                <w:sz w:val="20"/>
                <w:szCs w:val="20"/>
              </w:rPr>
            </w:pPr>
            <w:r w:rsidRPr="00771C23">
              <w:rPr>
                <w:rFonts w:eastAsia="Times New Roman"/>
                <w:color w:val="000000" w:themeColor="text1"/>
                <w:spacing w:val="4"/>
                <w:sz w:val="20"/>
                <w:szCs w:val="20"/>
                <w:lang w:val="en-GB"/>
              </w:rPr>
              <w:t>83.3%</w:t>
            </w:r>
          </w:p>
        </w:tc>
      </w:tr>
      <w:tr w:rsidR="00B20600" w:rsidRPr="00771C23" w14:paraId="5DF3B511" w14:textId="77777777" w:rsidTr="006938C4">
        <w:trPr>
          <w:cnfStyle w:val="000000100000" w:firstRow="0" w:lastRow="0" w:firstColumn="0" w:lastColumn="0" w:oddVBand="0" w:evenVBand="0" w:oddHBand="1" w:evenHBand="0" w:firstRowFirstColumn="0" w:firstRowLastColumn="0" w:lastRowFirstColumn="0" w:lastRowLastColumn="0"/>
          <w:trHeight w:val="317"/>
        </w:trPr>
        <w:tc>
          <w:tcPr>
            <w:tcW w:w="3063" w:type="pct"/>
            <w:hideMark/>
          </w:tcPr>
          <w:p w14:paraId="7DC46D84" w14:textId="77777777" w:rsidR="00B20600" w:rsidRPr="00771C23" w:rsidRDefault="00B20600" w:rsidP="006938C4">
            <w:pPr>
              <w:numPr>
                <w:ilvl w:val="0"/>
                <w:numId w:val="87"/>
              </w:num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Culturally and linguistically diverse</w:t>
            </w:r>
          </w:p>
        </w:tc>
        <w:tc>
          <w:tcPr>
            <w:tcW w:w="645" w:type="pct"/>
            <w:hideMark/>
          </w:tcPr>
          <w:p w14:paraId="73AA56BD" w14:textId="77777777" w:rsidR="00B20600" w:rsidRPr="00771C23" w:rsidRDefault="00B20600"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79.7%</w:t>
            </w:r>
          </w:p>
        </w:tc>
        <w:tc>
          <w:tcPr>
            <w:tcW w:w="646" w:type="pct"/>
          </w:tcPr>
          <w:p w14:paraId="68CE7F2D" w14:textId="77777777" w:rsidR="00B20600" w:rsidRPr="00771C23" w:rsidRDefault="00B20600" w:rsidP="006938C4">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82.4%</w:t>
            </w:r>
          </w:p>
        </w:tc>
        <w:tc>
          <w:tcPr>
            <w:tcW w:w="646" w:type="pct"/>
          </w:tcPr>
          <w:p w14:paraId="54F1DE8D" w14:textId="77777777" w:rsidR="00B20600" w:rsidRPr="00771C23" w:rsidRDefault="00B20600" w:rsidP="006938C4">
            <w:pPr>
              <w:keepNext/>
              <w:keepLines/>
              <w:spacing w:before="40" w:after="40"/>
              <w:jc w:val="right"/>
              <w:rPr>
                <w:rFonts w:eastAsia="Times New Roman" w:cs="Arial"/>
                <w:color w:val="000000" w:themeColor="text1"/>
                <w:sz w:val="20"/>
                <w:szCs w:val="20"/>
              </w:rPr>
            </w:pPr>
            <w:r w:rsidRPr="00771C23">
              <w:rPr>
                <w:rFonts w:eastAsia="Times New Roman" w:cs="Arial"/>
                <w:color w:val="000000" w:themeColor="text1"/>
                <w:spacing w:val="4"/>
                <w:sz w:val="20"/>
                <w:szCs w:val="20"/>
                <w:lang w:val="en-GB"/>
              </w:rPr>
              <w:t>82.9%</w:t>
            </w:r>
          </w:p>
        </w:tc>
      </w:tr>
      <w:tr w:rsidR="00B20600" w:rsidRPr="00771C23" w14:paraId="4DBA78C8" w14:textId="77777777" w:rsidTr="006938C4">
        <w:trPr>
          <w:cnfStyle w:val="000000010000" w:firstRow="0" w:lastRow="0" w:firstColumn="0" w:lastColumn="0" w:oddVBand="0" w:evenVBand="0" w:oddHBand="0" w:evenHBand="1" w:firstRowFirstColumn="0" w:firstRowLastColumn="0" w:lastRowFirstColumn="0" w:lastRowLastColumn="0"/>
          <w:trHeight w:val="317"/>
        </w:trPr>
        <w:tc>
          <w:tcPr>
            <w:tcW w:w="3063" w:type="pct"/>
            <w:tcBorders>
              <w:bottom w:val="single" w:sz="4" w:space="0" w:color="FFFFFF" w:themeColor="background1"/>
            </w:tcBorders>
            <w:hideMark/>
          </w:tcPr>
          <w:p w14:paraId="697631F4" w14:textId="77777777" w:rsidR="00B20600" w:rsidRPr="00771C23" w:rsidRDefault="00B20600" w:rsidP="006938C4">
            <w:pPr>
              <w:numPr>
                <w:ilvl w:val="0"/>
                <w:numId w:val="87"/>
              </w:numPr>
              <w:spacing w:before="40" w:after="40"/>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Do not identify as culturally and linguistically diverse</w:t>
            </w:r>
          </w:p>
        </w:tc>
        <w:tc>
          <w:tcPr>
            <w:tcW w:w="645" w:type="pct"/>
            <w:tcBorders>
              <w:bottom w:val="single" w:sz="4" w:space="0" w:color="FFFFFF" w:themeColor="background1"/>
            </w:tcBorders>
            <w:hideMark/>
          </w:tcPr>
          <w:p w14:paraId="7667433E" w14:textId="77777777" w:rsidR="00B20600" w:rsidRPr="00771C23" w:rsidRDefault="00B20600"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75.3%</w:t>
            </w:r>
          </w:p>
        </w:tc>
        <w:tc>
          <w:tcPr>
            <w:tcW w:w="646" w:type="pct"/>
            <w:tcBorders>
              <w:bottom w:val="single" w:sz="4" w:space="0" w:color="FFFFFF" w:themeColor="background1"/>
            </w:tcBorders>
          </w:tcPr>
          <w:p w14:paraId="728B870C" w14:textId="77777777" w:rsidR="00B20600" w:rsidRPr="00771C23" w:rsidRDefault="00B20600"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74.8%</w:t>
            </w:r>
          </w:p>
        </w:tc>
        <w:tc>
          <w:tcPr>
            <w:tcW w:w="646" w:type="pct"/>
            <w:tcBorders>
              <w:bottom w:val="single" w:sz="4" w:space="0" w:color="FFFFFF" w:themeColor="background1"/>
            </w:tcBorders>
          </w:tcPr>
          <w:p w14:paraId="6DC8DC5B" w14:textId="77777777" w:rsidR="00B20600" w:rsidRPr="00771C23" w:rsidRDefault="00B20600" w:rsidP="006938C4">
            <w:pPr>
              <w:keepNext/>
              <w:keepLines/>
              <w:spacing w:before="40" w:after="40"/>
              <w:jc w:val="right"/>
              <w:rPr>
                <w:rFonts w:eastAsia="Times New Roman"/>
                <w:color w:val="000000" w:themeColor="text1"/>
                <w:sz w:val="20"/>
                <w:szCs w:val="20"/>
              </w:rPr>
            </w:pPr>
            <w:r w:rsidRPr="00771C23">
              <w:rPr>
                <w:rFonts w:eastAsia="Times New Roman"/>
                <w:color w:val="000000" w:themeColor="text1"/>
                <w:spacing w:val="4"/>
                <w:sz w:val="20"/>
                <w:szCs w:val="20"/>
                <w:lang w:val="en-GB"/>
              </w:rPr>
              <w:t>75.9%</w:t>
            </w:r>
          </w:p>
        </w:tc>
      </w:tr>
      <w:tr w:rsidR="00B20600" w:rsidRPr="00771C23" w14:paraId="108F4827" w14:textId="77777777" w:rsidTr="006938C4">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tcPr>
          <w:p w14:paraId="05B875E3" w14:textId="77777777" w:rsidR="00B20600" w:rsidRPr="00771C23" w:rsidRDefault="00B20600" w:rsidP="006938C4">
            <w:pPr>
              <w:keepNext/>
              <w:keepLines/>
              <w:spacing w:before="40" w:after="40"/>
              <w:rPr>
                <w:rFonts w:eastAsia="Times New Roman" w:cs="Arial"/>
                <w:b/>
                <w:color w:val="000000" w:themeColor="text1"/>
                <w:sz w:val="20"/>
                <w:szCs w:val="20"/>
              </w:rPr>
            </w:pPr>
            <w:r w:rsidRPr="00771C23">
              <w:rPr>
                <w:rFonts w:eastAsia="Times New Roman" w:cs="Arial"/>
                <w:b/>
                <w:color w:val="000000" w:themeColor="text1"/>
                <w:sz w:val="20"/>
                <w:szCs w:val="20"/>
              </w:rPr>
              <w:t>Families and Children</w:t>
            </w:r>
          </w:p>
        </w:tc>
      </w:tr>
      <w:tr w:rsidR="00B20600" w:rsidRPr="00771C23" w14:paraId="2DA9B620" w14:textId="77777777" w:rsidTr="006938C4">
        <w:trPr>
          <w:cnfStyle w:val="000000010000" w:firstRow="0" w:lastRow="0" w:firstColumn="0" w:lastColumn="0" w:oddVBand="0" w:evenVBand="0" w:oddHBand="0" w:evenHBand="1" w:firstRowFirstColumn="0" w:firstRowLastColumn="0" w:lastRowFirstColumn="0" w:lastRowLastColumn="0"/>
        </w:trPr>
        <w:tc>
          <w:tcPr>
            <w:tcW w:w="3063" w:type="pct"/>
            <w:tcBorders>
              <w:top w:val="single" w:sz="18" w:space="0" w:color="00B0B9"/>
              <w:bottom w:val="single" w:sz="4" w:space="0" w:color="FFFFFF" w:themeColor="background1"/>
            </w:tcBorders>
            <w:hideMark/>
          </w:tcPr>
          <w:p w14:paraId="63CFCCF8" w14:textId="77777777" w:rsidR="00B20600" w:rsidRPr="00771C23" w:rsidRDefault="00B20600" w:rsidP="006938C4">
            <w:pPr>
              <w:spacing w:before="40" w:after="40"/>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 xml:space="preserve">Percentage of individuals with improved knowledge, skills, behaviours, and engagement with </w:t>
            </w:r>
            <w:proofErr w:type="spellStart"/>
            <w:r w:rsidRPr="00771C23">
              <w:rPr>
                <w:rFonts w:eastAsia="Times New Roman"/>
                <w:color w:val="000000" w:themeColor="text1"/>
                <w:spacing w:val="4"/>
                <w:sz w:val="20"/>
                <w:szCs w:val="20"/>
                <w:lang w:val="en-GB"/>
              </w:rPr>
              <w:t>services</w:t>
            </w:r>
            <w:r w:rsidRPr="00771C23">
              <w:rPr>
                <w:rFonts w:eastAsia="Times New Roman"/>
                <w:color w:val="000000" w:themeColor="text1"/>
                <w:spacing w:val="4"/>
                <w:sz w:val="20"/>
                <w:szCs w:val="20"/>
                <w:vertAlign w:val="superscript"/>
                <w:lang w:val="en-GB"/>
              </w:rPr>
              <w:t>e</w:t>
            </w:r>
            <w:proofErr w:type="spellEnd"/>
          </w:p>
        </w:tc>
        <w:tc>
          <w:tcPr>
            <w:tcW w:w="645" w:type="pct"/>
            <w:tcBorders>
              <w:top w:val="single" w:sz="18" w:space="0" w:color="00B0B9"/>
              <w:bottom w:val="single" w:sz="4" w:space="0" w:color="FFFFFF" w:themeColor="background1"/>
            </w:tcBorders>
            <w:hideMark/>
          </w:tcPr>
          <w:p w14:paraId="35F726E7" w14:textId="77777777" w:rsidR="00B20600" w:rsidRPr="00771C23" w:rsidRDefault="00B20600"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74%</w:t>
            </w:r>
          </w:p>
        </w:tc>
        <w:tc>
          <w:tcPr>
            <w:tcW w:w="646" w:type="pct"/>
            <w:tcBorders>
              <w:top w:val="single" w:sz="18" w:space="0" w:color="00B0B9"/>
              <w:bottom w:val="single" w:sz="4" w:space="0" w:color="FFFFFF" w:themeColor="background1"/>
            </w:tcBorders>
          </w:tcPr>
          <w:p w14:paraId="659C3977" w14:textId="77777777" w:rsidR="00B20600" w:rsidRPr="00771C23" w:rsidRDefault="00B20600"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73.8%</w:t>
            </w:r>
          </w:p>
        </w:tc>
        <w:tc>
          <w:tcPr>
            <w:tcW w:w="646" w:type="pct"/>
            <w:tcBorders>
              <w:top w:val="single" w:sz="18" w:space="0" w:color="00B0B9"/>
              <w:bottom w:val="single" w:sz="4" w:space="0" w:color="FFFFFF" w:themeColor="background1"/>
            </w:tcBorders>
            <w:hideMark/>
          </w:tcPr>
          <w:p w14:paraId="35558A5C" w14:textId="77777777" w:rsidR="00B20600" w:rsidRPr="00771C23" w:rsidRDefault="00B20600"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74.9%</w:t>
            </w:r>
          </w:p>
        </w:tc>
      </w:tr>
      <w:tr w:rsidR="00B20600" w:rsidRPr="00771C23" w14:paraId="7F305790" w14:textId="77777777" w:rsidTr="006938C4">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tcPr>
          <w:p w14:paraId="62BCC722" w14:textId="77777777" w:rsidR="00B20600" w:rsidRPr="00771C23" w:rsidRDefault="00B20600" w:rsidP="006938C4">
            <w:pPr>
              <w:keepNext/>
              <w:keepLines/>
              <w:spacing w:before="40" w:after="40"/>
              <w:rPr>
                <w:rFonts w:eastAsia="Times New Roman" w:cs="Arial"/>
                <w:b/>
                <w:color w:val="000000" w:themeColor="text1"/>
                <w:sz w:val="20"/>
                <w:szCs w:val="20"/>
              </w:rPr>
            </w:pPr>
            <w:r w:rsidRPr="00771C23">
              <w:rPr>
                <w:rFonts w:eastAsia="Times New Roman" w:cs="Arial"/>
                <w:b/>
                <w:color w:val="000000" w:themeColor="text1"/>
                <w:sz w:val="20"/>
                <w:szCs w:val="20"/>
              </w:rPr>
              <w:t>Financial Wellbeing and Capability</w:t>
            </w:r>
          </w:p>
        </w:tc>
      </w:tr>
      <w:tr w:rsidR="00B20600" w:rsidRPr="00771C23" w14:paraId="13BDA0BC" w14:textId="77777777" w:rsidTr="006938C4">
        <w:trPr>
          <w:cnfStyle w:val="000000010000" w:firstRow="0" w:lastRow="0" w:firstColumn="0" w:lastColumn="0" w:oddVBand="0" w:evenVBand="0" w:oddHBand="0" w:evenHBand="1" w:firstRowFirstColumn="0" w:firstRowLastColumn="0" w:lastRowFirstColumn="0" w:lastRowLastColumn="0"/>
        </w:trPr>
        <w:tc>
          <w:tcPr>
            <w:tcW w:w="3063" w:type="pct"/>
            <w:tcBorders>
              <w:top w:val="single" w:sz="18" w:space="0" w:color="00B0B9"/>
            </w:tcBorders>
            <w:hideMark/>
          </w:tcPr>
          <w:p w14:paraId="7C9C24F2" w14:textId="77777777" w:rsidR="00B20600" w:rsidRPr="00771C23" w:rsidRDefault="00B20600" w:rsidP="006938C4">
            <w:pPr>
              <w:spacing w:before="40" w:after="40"/>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 xml:space="preserve">Percentage of assisted individuals achieving individual goals relating to financial wellbeing, capability and </w:t>
            </w:r>
            <w:proofErr w:type="spellStart"/>
            <w:r w:rsidRPr="00771C23">
              <w:rPr>
                <w:rFonts w:eastAsia="Times New Roman"/>
                <w:color w:val="000000" w:themeColor="text1"/>
                <w:spacing w:val="4"/>
                <w:sz w:val="20"/>
                <w:szCs w:val="20"/>
                <w:lang w:val="en-GB"/>
              </w:rPr>
              <w:t>resilience</w:t>
            </w:r>
            <w:r w:rsidRPr="00771C23">
              <w:rPr>
                <w:rFonts w:eastAsia="Times New Roman"/>
                <w:color w:val="000000" w:themeColor="text1"/>
                <w:spacing w:val="4"/>
                <w:sz w:val="20"/>
                <w:szCs w:val="20"/>
                <w:vertAlign w:val="superscript"/>
                <w:lang w:val="en-GB"/>
              </w:rPr>
              <w:t>f</w:t>
            </w:r>
            <w:proofErr w:type="spellEnd"/>
          </w:p>
        </w:tc>
        <w:tc>
          <w:tcPr>
            <w:tcW w:w="645" w:type="pct"/>
            <w:tcBorders>
              <w:top w:val="single" w:sz="18" w:space="0" w:color="00B0B9"/>
            </w:tcBorders>
            <w:hideMark/>
          </w:tcPr>
          <w:p w14:paraId="0D425F03" w14:textId="77777777" w:rsidR="00B20600" w:rsidRPr="00771C23" w:rsidRDefault="00B20600"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78.8%</w:t>
            </w:r>
          </w:p>
        </w:tc>
        <w:tc>
          <w:tcPr>
            <w:tcW w:w="646" w:type="pct"/>
            <w:tcBorders>
              <w:top w:val="single" w:sz="18" w:space="0" w:color="00B0B9"/>
            </w:tcBorders>
          </w:tcPr>
          <w:p w14:paraId="4643BCBF" w14:textId="77777777" w:rsidR="00B20600" w:rsidRPr="00771C23" w:rsidRDefault="00B20600"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77.7%</w:t>
            </w:r>
          </w:p>
        </w:tc>
        <w:tc>
          <w:tcPr>
            <w:tcW w:w="646" w:type="pct"/>
            <w:tcBorders>
              <w:top w:val="single" w:sz="18" w:space="0" w:color="00B0B9"/>
            </w:tcBorders>
            <w:hideMark/>
          </w:tcPr>
          <w:p w14:paraId="2FACD03E" w14:textId="77777777" w:rsidR="00B20600" w:rsidRPr="00771C23" w:rsidRDefault="00B20600" w:rsidP="006938C4">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80.5%</w:t>
            </w:r>
          </w:p>
        </w:tc>
      </w:tr>
    </w:tbl>
    <w:p w14:paraId="6FE39EC7" w14:textId="77777777" w:rsidR="00874971" w:rsidRPr="00874971" w:rsidRDefault="00874971" w:rsidP="00874971">
      <w:pPr>
        <w:spacing w:before="160" w:after="60" w:line="240" w:lineRule="auto"/>
        <w:ind w:left="284" w:hanging="284"/>
        <w:contextualSpacing/>
        <w:rPr>
          <w:rFonts w:cs="Arial"/>
          <w:sz w:val="16"/>
          <w:szCs w:val="16"/>
        </w:rPr>
      </w:pPr>
      <w:proofErr w:type="spellStart"/>
      <w:r w:rsidRPr="00874971">
        <w:rPr>
          <w:rFonts w:cs="Arial"/>
          <w:sz w:val="16"/>
          <w:szCs w:val="16"/>
        </w:rPr>
        <w:t>a</w:t>
      </w:r>
      <w:proofErr w:type="spellEnd"/>
      <w:r w:rsidRPr="00874971">
        <w:rPr>
          <w:rFonts w:cs="Arial"/>
          <w:sz w:val="16"/>
          <w:szCs w:val="16"/>
        </w:rPr>
        <w:tab/>
        <w:t>To measure outcomes only clients with at least two corresponding outcome domains have been counted.</w:t>
      </w:r>
    </w:p>
    <w:p w14:paraId="0A4F26BE" w14:textId="77777777" w:rsidR="00874971" w:rsidRPr="00874971" w:rsidRDefault="00874971" w:rsidP="00874971">
      <w:pPr>
        <w:spacing w:before="160" w:after="60" w:line="240" w:lineRule="auto"/>
        <w:ind w:left="284" w:hanging="284"/>
        <w:contextualSpacing/>
        <w:rPr>
          <w:rFonts w:cs="Arial"/>
          <w:sz w:val="16"/>
          <w:szCs w:val="16"/>
        </w:rPr>
      </w:pPr>
      <w:r w:rsidRPr="00874971">
        <w:rPr>
          <w:rFonts w:cs="Arial"/>
          <w:sz w:val="16"/>
          <w:szCs w:val="16"/>
        </w:rPr>
        <w:t>b</w:t>
      </w:r>
      <w:r w:rsidRPr="00874971">
        <w:rPr>
          <w:rFonts w:cs="Arial"/>
          <w:sz w:val="16"/>
          <w:szCs w:val="16"/>
        </w:rPr>
        <w:tab/>
        <w:t>The number of activities funded under the Families and Communities Program may vary across financial years.</w:t>
      </w:r>
    </w:p>
    <w:p w14:paraId="198DF09C" w14:textId="77777777" w:rsidR="00874971" w:rsidRPr="00874971" w:rsidRDefault="00874971" w:rsidP="00874971">
      <w:pPr>
        <w:spacing w:before="160" w:after="60" w:line="240" w:lineRule="auto"/>
        <w:ind w:left="284" w:hanging="284"/>
        <w:contextualSpacing/>
        <w:rPr>
          <w:rFonts w:cs="Arial"/>
          <w:sz w:val="16"/>
          <w:szCs w:val="16"/>
        </w:rPr>
      </w:pPr>
      <w:r w:rsidRPr="00874971">
        <w:rPr>
          <w:rFonts w:cs="Arial"/>
          <w:sz w:val="16"/>
          <w:szCs w:val="16"/>
        </w:rPr>
        <w:t>c</w:t>
      </w:r>
      <w:r w:rsidRPr="00874971">
        <w:rPr>
          <w:rFonts w:cs="Arial"/>
          <w:sz w:val="16"/>
          <w:szCs w:val="16"/>
        </w:rPr>
        <w:tab/>
        <w:t>Data relating to Family Law Services is excluded as it is funded by, and under the policy responsibility of, the Attorney-General’s Department.</w:t>
      </w:r>
    </w:p>
    <w:p w14:paraId="7554633D" w14:textId="77777777" w:rsidR="00874971" w:rsidRPr="00874971" w:rsidRDefault="00874971" w:rsidP="00874971">
      <w:pPr>
        <w:spacing w:before="160" w:after="60" w:line="240" w:lineRule="auto"/>
        <w:ind w:left="284" w:hanging="284"/>
        <w:contextualSpacing/>
        <w:rPr>
          <w:rFonts w:cs="Arial"/>
          <w:sz w:val="16"/>
          <w:szCs w:val="16"/>
        </w:rPr>
      </w:pPr>
      <w:r w:rsidRPr="00874971">
        <w:rPr>
          <w:rFonts w:cs="Arial"/>
          <w:sz w:val="16"/>
          <w:szCs w:val="16"/>
        </w:rPr>
        <w:t>d</w:t>
      </w:r>
      <w:r w:rsidRPr="00874971">
        <w:rPr>
          <w:rFonts w:cs="Arial"/>
          <w:sz w:val="16"/>
          <w:szCs w:val="16"/>
        </w:rPr>
        <w:tab/>
        <w:t>Outcome performance measures are collated from programs supporting people in achieving different outcome circumstances.</w:t>
      </w:r>
    </w:p>
    <w:p w14:paraId="417021CE" w14:textId="77777777" w:rsidR="00874971" w:rsidRPr="00874971" w:rsidRDefault="00874971" w:rsidP="00874971">
      <w:pPr>
        <w:spacing w:before="160" w:after="60" w:line="240" w:lineRule="auto"/>
        <w:ind w:left="284" w:hanging="284"/>
        <w:contextualSpacing/>
        <w:rPr>
          <w:rFonts w:cs="Arial"/>
          <w:sz w:val="16"/>
          <w:szCs w:val="16"/>
        </w:rPr>
      </w:pPr>
      <w:r w:rsidRPr="00874971">
        <w:rPr>
          <w:rFonts w:cs="Arial"/>
          <w:sz w:val="16"/>
          <w:szCs w:val="16"/>
        </w:rPr>
        <w:t>e</w:t>
      </w:r>
      <w:r w:rsidRPr="00874971">
        <w:rPr>
          <w:rFonts w:cs="Arial"/>
          <w:sz w:val="16"/>
          <w:szCs w:val="16"/>
        </w:rPr>
        <w:tab/>
        <w:t>The submission of outcomes data is mandatory for some programs but not others, meaning not all service providers have submitted the additional data. To measure outcomes only clients with at least two corresponding domain SCOREs (Standard Client/Community Outcomes Reporting) have been counted. For this measure all domains relating to the goals’ outcome type have been included.</w:t>
      </w:r>
    </w:p>
    <w:p w14:paraId="05CDC56A" w14:textId="77777777" w:rsidR="00874971" w:rsidRPr="00874971" w:rsidRDefault="00874971" w:rsidP="00874971">
      <w:pPr>
        <w:spacing w:before="160" w:after="60" w:line="240" w:lineRule="auto"/>
        <w:ind w:left="284" w:hanging="284"/>
        <w:contextualSpacing/>
        <w:rPr>
          <w:rFonts w:cs="Arial"/>
          <w:sz w:val="16"/>
          <w:szCs w:val="16"/>
        </w:rPr>
      </w:pPr>
      <w:r w:rsidRPr="00874971">
        <w:rPr>
          <w:rFonts w:cs="Arial"/>
          <w:sz w:val="16"/>
          <w:szCs w:val="16"/>
        </w:rPr>
        <w:t>f</w:t>
      </w:r>
      <w:r w:rsidRPr="00874971">
        <w:rPr>
          <w:rFonts w:cs="Arial"/>
          <w:sz w:val="16"/>
          <w:szCs w:val="16"/>
        </w:rPr>
        <w:tab/>
        <w:t>Measured by provider reports of client assessments, for clients who were assisted to improve their financial wellbeing through Financial Crisis and Material Aid, Commonwealth Financial Counselling and Financial Capability, and Financial Resilience services. Changes in the number of organisations reporting may affect comparability over financial years.</w:t>
      </w:r>
    </w:p>
    <w:p w14:paraId="1CD23B32" w14:textId="4592B484" w:rsidR="0029429F" w:rsidRPr="00771C23" w:rsidRDefault="0029429F" w:rsidP="00B20600">
      <w:pPr>
        <w:spacing w:before="160" w:after="60" w:line="240" w:lineRule="auto"/>
        <w:ind w:left="284" w:hanging="284"/>
        <w:contextualSpacing/>
        <w:rPr>
          <w:rFonts w:cs="Arial"/>
          <w:sz w:val="16"/>
          <w:szCs w:val="16"/>
        </w:rPr>
      </w:pPr>
    </w:p>
    <w:p w14:paraId="4835A223" w14:textId="77777777" w:rsidR="0029429F" w:rsidRPr="00771C23" w:rsidRDefault="0029429F" w:rsidP="0029429F">
      <w:pPr>
        <w:rPr>
          <w:sz w:val="20"/>
          <w:szCs w:val="20"/>
        </w:rPr>
      </w:pPr>
    </w:p>
    <w:p w14:paraId="61603C6D" w14:textId="77777777" w:rsidR="00715F6F" w:rsidRDefault="00715F6F" w:rsidP="0029429F">
      <w:pPr>
        <w:rPr>
          <w:rFonts w:eastAsiaTheme="majorEastAsia" w:cstheme="majorBidi"/>
          <w:b/>
          <w:iCs/>
          <w:sz w:val="26"/>
        </w:rPr>
        <w:sectPr w:rsidR="00715F6F" w:rsidSect="00A94724">
          <w:footnotePr>
            <w:numRestart w:val="eachPage"/>
          </w:footnotePr>
          <w:pgSz w:w="11906" w:h="16838"/>
          <w:pgMar w:top="1440" w:right="1440" w:bottom="1440" w:left="1440" w:header="709" w:footer="709" w:gutter="0"/>
          <w:cols w:space="708"/>
          <w:docGrid w:linePitch="360"/>
        </w:sectPr>
      </w:pPr>
    </w:p>
    <w:p w14:paraId="4B650774" w14:textId="77777777" w:rsidR="0029429F" w:rsidRPr="00771C23" w:rsidRDefault="0029429F" w:rsidP="0029429F">
      <w:pPr>
        <w:spacing w:before="240" w:after="240"/>
        <w:outlineLvl w:val="6"/>
        <w:rPr>
          <w:rFonts w:eastAsiaTheme="majorEastAsia" w:cstheme="majorBidi"/>
          <w:b/>
          <w:iCs/>
          <w:sz w:val="26"/>
        </w:rPr>
      </w:pPr>
      <w:r w:rsidRPr="00771C23">
        <w:rPr>
          <w:rFonts w:eastAsiaTheme="majorEastAsia" w:cstheme="majorBidi"/>
          <w:b/>
          <w:iCs/>
          <w:sz w:val="26"/>
        </w:rPr>
        <w:lastRenderedPageBreak/>
        <w:t>C2.2 Extent of contribution to implementing national initiatives</w:t>
      </w:r>
    </w:p>
    <w:p w14:paraId="7DDBC2DB" w14:textId="77777777" w:rsidR="0029429F" w:rsidRPr="00771C23" w:rsidRDefault="0029429F" w:rsidP="0029429F">
      <w:pPr>
        <w:rPr>
          <w:sz w:val="20"/>
          <w:szCs w:val="20"/>
        </w:rPr>
      </w:pPr>
      <w:r w:rsidRPr="00771C23">
        <w:rPr>
          <w:sz w:val="20"/>
          <w:szCs w:val="20"/>
        </w:rPr>
        <w:t>This criterion captures the high-level contribution by our department to the larger effort made by state jurisdictions, local communities, and other government agencies on key national initiatives.</w:t>
      </w:r>
    </w:p>
    <w:p w14:paraId="72CF43F7" w14:textId="77777777" w:rsidR="0029429F" w:rsidRPr="00771C23" w:rsidRDefault="0029429F" w:rsidP="0029429F">
      <w:pPr>
        <w:spacing w:before="240" w:after="240"/>
        <w:outlineLvl w:val="7"/>
        <w:rPr>
          <w:rFonts w:eastAsiaTheme="majorEastAsia" w:cstheme="majorBidi"/>
          <w:b/>
          <w:color w:val="595959" w:themeColor="text1" w:themeTint="A6"/>
          <w:sz w:val="24"/>
          <w:szCs w:val="20"/>
        </w:rPr>
      </w:pPr>
      <w:r w:rsidRPr="00771C23">
        <w:rPr>
          <w:rFonts w:eastAsiaTheme="majorEastAsia" w:cstheme="majorBidi"/>
          <w:b/>
          <w:color w:val="595959" w:themeColor="text1" w:themeTint="A6"/>
          <w:sz w:val="24"/>
          <w:szCs w:val="20"/>
        </w:rPr>
        <w:t>C2.2.1 Contribution to reducing violence against women</w:t>
      </w:r>
    </w:p>
    <w:p w14:paraId="146F570A" w14:textId="727D66F5" w:rsidR="0029429F" w:rsidRPr="00771C23" w:rsidRDefault="0029429F" w:rsidP="0029429F">
      <w:pPr>
        <w:rPr>
          <w:rFonts w:cs="Arial"/>
          <w:sz w:val="20"/>
          <w:szCs w:val="20"/>
        </w:rPr>
      </w:pPr>
      <w:r w:rsidRPr="00771C23">
        <w:rPr>
          <w:rFonts w:cs="Arial"/>
          <w:sz w:val="20"/>
          <w:szCs w:val="20"/>
        </w:rPr>
        <w:t xml:space="preserve">The </w:t>
      </w:r>
      <w:r w:rsidRPr="00771C23">
        <w:rPr>
          <w:rFonts w:cs="Arial"/>
          <w:i/>
          <w:sz w:val="20"/>
          <w:szCs w:val="20"/>
        </w:rPr>
        <w:t>National Plan to Reduce Violence against Women and their Children 2010–2022</w:t>
      </w:r>
      <w:r w:rsidRPr="00771C23">
        <w:rPr>
          <w:rFonts w:cs="Arial"/>
          <w:sz w:val="20"/>
          <w:szCs w:val="20"/>
        </w:rPr>
        <w:t xml:space="preserve"> (the</w:t>
      </w:r>
      <w:r>
        <w:rPr>
          <w:rFonts w:cs="Arial"/>
          <w:sz w:val="20"/>
          <w:szCs w:val="20"/>
        </w:rPr>
        <w:t xml:space="preserve"> </w:t>
      </w:r>
      <w:r w:rsidRPr="00771C23">
        <w:rPr>
          <w:rFonts w:cs="Arial"/>
          <w:sz w:val="20"/>
          <w:szCs w:val="20"/>
        </w:rPr>
        <w:t>National Plan) represents a commitment by the Commonwealth</w:t>
      </w:r>
      <w:r w:rsidR="00980F86">
        <w:rPr>
          <w:rFonts w:cs="Arial"/>
          <w:sz w:val="20"/>
          <w:szCs w:val="20"/>
        </w:rPr>
        <w:t xml:space="preserve"> and</w:t>
      </w:r>
      <w:r w:rsidRPr="00771C23">
        <w:rPr>
          <w:rFonts w:cs="Arial"/>
          <w:sz w:val="20"/>
          <w:szCs w:val="20"/>
        </w:rPr>
        <w:t xml:space="preserve"> state and territory governments to reduce violence against women and their children, delivered through a series of three-year Action Plans.</w:t>
      </w:r>
    </w:p>
    <w:p w14:paraId="0E6ADB4D" w14:textId="77777777" w:rsidR="0029429F" w:rsidRPr="00771C23" w:rsidRDefault="0029429F" w:rsidP="0029429F">
      <w:pPr>
        <w:rPr>
          <w:rFonts w:cs="Arial"/>
          <w:sz w:val="20"/>
          <w:szCs w:val="20"/>
          <w:lang w:val="en"/>
        </w:rPr>
      </w:pPr>
      <w:r w:rsidRPr="00771C23">
        <w:rPr>
          <w:rFonts w:cs="Arial"/>
          <w:sz w:val="20"/>
          <w:szCs w:val="20"/>
          <w:lang w:val="en"/>
        </w:rPr>
        <w:t>State and territory governments have primary responsibility for funding front line services to support women who have experienced or are at risk of violence. In 2019</w:t>
      </w:r>
      <w:r>
        <w:rPr>
          <w:rFonts w:cs="Arial"/>
          <w:sz w:val="20"/>
          <w:szCs w:val="20"/>
          <w:lang w:val="en"/>
        </w:rPr>
        <w:t>–</w:t>
      </w:r>
      <w:r w:rsidRPr="00771C23">
        <w:rPr>
          <w:rFonts w:cs="Arial"/>
          <w:sz w:val="20"/>
          <w:szCs w:val="20"/>
          <w:lang w:val="en"/>
        </w:rPr>
        <w:t xml:space="preserve">20, </w:t>
      </w:r>
      <w:r>
        <w:rPr>
          <w:rFonts w:cs="Arial"/>
          <w:sz w:val="20"/>
          <w:szCs w:val="20"/>
          <w:lang w:val="en"/>
        </w:rPr>
        <w:t xml:space="preserve">we </w:t>
      </w:r>
      <w:r w:rsidRPr="00771C23">
        <w:rPr>
          <w:rFonts w:cs="Arial"/>
          <w:sz w:val="20"/>
          <w:szCs w:val="20"/>
          <w:lang w:val="en"/>
        </w:rPr>
        <w:t>continued implementation of the Fourth Action Plan delivering:</w:t>
      </w:r>
    </w:p>
    <w:p w14:paraId="346BC315" w14:textId="4FE3C7D4" w:rsidR="0029429F" w:rsidRPr="00771C23" w:rsidRDefault="0029429F" w:rsidP="003A047F">
      <w:pPr>
        <w:numPr>
          <w:ilvl w:val="0"/>
          <w:numId w:val="110"/>
        </w:numPr>
        <w:tabs>
          <w:tab w:val="left" w:pos="720"/>
        </w:tabs>
        <w:spacing w:before="60" w:after="120" w:line="260" w:lineRule="atLeast"/>
        <w:rPr>
          <w:rFonts w:eastAsia="Times New Roman" w:cs="Arial"/>
          <w:spacing w:val="4"/>
          <w:sz w:val="20"/>
          <w:szCs w:val="20"/>
          <w:lang w:val="en-GB"/>
        </w:rPr>
      </w:pPr>
      <w:r w:rsidRPr="00771C23">
        <w:rPr>
          <w:rFonts w:eastAsia="Times New Roman" w:cs="Arial"/>
          <w:spacing w:val="4"/>
          <w:sz w:val="20"/>
          <w:szCs w:val="20"/>
          <w:lang w:val="en-GB"/>
        </w:rPr>
        <w:t>primary prevention activities, including the second phase of the Stop it at the Start campaign, complemented by Our Watch’s Doing Nothing Does Harm</w:t>
      </w:r>
      <w:r>
        <w:rPr>
          <w:rFonts w:eastAsia="Times New Roman" w:cs="Arial"/>
          <w:spacing w:val="4"/>
          <w:sz w:val="20"/>
          <w:szCs w:val="20"/>
          <w:lang w:val="en-GB"/>
        </w:rPr>
        <w:t>,</w:t>
      </w:r>
      <w:r w:rsidRPr="00771C23">
        <w:rPr>
          <w:rFonts w:eastAsia="Times New Roman" w:cs="Arial"/>
          <w:spacing w:val="4"/>
          <w:sz w:val="20"/>
          <w:szCs w:val="20"/>
          <w:lang w:val="en-GB"/>
        </w:rPr>
        <w:t xml:space="preserve"> and No Excuse for Abuse campaigns. These activities aim to change community attitudes and behaviour that can lead to violence against women</w:t>
      </w:r>
    </w:p>
    <w:p w14:paraId="2527D99E" w14:textId="77777777" w:rsidR="0029429F" w:rsidRPr="00771C23" w:rsidRDefault="0029429F" w:rsidP="003A047F">
      <w:pPr>
        <w:numPr>
          <w:ilvl w:val="0"/>
          <w:numId w:val="110"/>
        </w:numPr>
        <w:tabs>
          <w:tab w:val="left" w:pos="720"/>
        </w:tabs>
        <w:spacing w:before="60" w:after="120" w:line="260" w:lineRule="atLeast"/>
        <w:rPr>
          <w:rFonts w:eastAsia="Times New Roman" w:cs="Arial"/>
          <w:spacing w:val="4"/>
          <w:sz w:val="20"/>
          <w:szCs w:val="20"/>
          <w:lang w:val="en-GB"/>
        </w:rPr>
      </w:pPr>
      <w:r w:rsidRPr="00771C23">
        <w:rPr>
          <w:rFonts w:eastAsia="Times New Roman" w:cs="Arial"/>
          <w:spacing w:val="4"/>
          <w:sz w:val="20"/>
          <w:szCs w:val="20"/>
          <w:lang w:val="en-GB"/>
        </w:rPr>
        <w:t>continued support of national services for women, including:</w:t>
      </w:r>
    </w:p>
    <w:p w14:paraId="04D445D6" w14:textId="77777777" w:rsidR="0029429F" w:rsidRPr="00771C23" w:rsidRDefault="0029429F" w:rsidP="003A047F">
      <w:pPr>
        <w:numPr>
          <w:ilvl w:val="0"/>
          <w:numId w:val="112"/>
        </w:numPr>
        <w:tabs>
          <w:tab w:val="left" w:pos="720"/>
        </w:tabs>
        <w:spacing w:before="60" w:after="120" w:line="260" w:lineRule="atLeast"/>
        <w:rPr>
          <w:rFonts w:eastAsia="Times New Roman" w:cs="Arial"/>
          <w:spacing w:val="4"/>
          <w:sz w:val="20"/>
          <w:szCs w:val="20"/>
          <w:lang w:val="en-GB"/>
        </w:rPr>
      </w:pPr>
      <w:r w:rsidRPr="00771C23">
        <w:rPr>
          <w:rFonts w:eastAsia="Times New Roman" w:cs="Arial"/>
          <w:spacing w:val="4"/>
          <w:sz w:val="20"/>
          <w:szCs w:val="20"/>
          <w:lang w:val="en-GB"/>
        </w:rPr>
        <w:t>1800RESPECT, which responded to 267,869 phone and online contacts</w:t>
      </w:r>
    </w:p>
    <w:p w14:paraId="5E87E880" w14:textId="77777777" w:rsidR="0029429F" w:rsidRPr="00771C23" w:rsidRDefault="0029429F" w:rsidP="003A047F">
      <w:pPr>
        <w:numPr>
          <w:ilvl w:val="0"/>
          <w:numId w:val="112"/>
        </w:numPr>
        <w:tabs>
          <w:tab w:val="left" w:pos="1560"/>
        </w:tabs>
        <w:spacing w:before="60" w:after="120" w:line="260" w:lineRule="atLeast"/>
        <w:rPr>
          <w:rFonts w:eastAsia="Times New Roman" w:cs="Arial"/>
          <w:spacing w:val="4"/>
          <w:sz w:val="20"/>
          <w:szCs w:val="20"/>
          <w:lang w:val="en-GB"/>
        </w:rPr>
      </w:pPr>
      <w:r w:rsidRPr="00771C23">
        <w:rPr>
          <w:rFonts w:eastAsia="Times New Roman" w:cs="Arial"/>
          <w:spacing w:val="4"/>
          <w:sz w:val="20"/>
          <w:szCs w:val="20"/>
          <w:lang w:val="en-GB"/>
        </w:rPr>
        <w:t>DV-alert, which delivered domestic violence response training to more than 5,560 frontline workers</w:t>
      </w:r>
    </w:p>
    <w:p w14:paraId="1EEF5476" w14:textId="7075EF8C" w:rsidR="0029429F" w:rsidRPr="00771C23" w:rsidRDefault="0029429F" w:rsidP="003A047F">
      <w:pPr>
        <w:numPr>
          <w:ilvl w:val="0"/>
          <w:numId w:val="112"/>
        </w:numPr>
        <w:spacing w:before="60" w:after="120" w:line="260" w:lineRule="atLeast"/>
        <w:rPr>
          <w:rFonts w:eastAsia="Times New Roman" w:cs="Arial"/>
          <w:spacing w:val="4"/>
          <w:sz w:val="20"/>
          <w:szCs w:val="20"/>
          <w:lang w:val="en-GB"/>
        </w:rPr>
      </w:pPr>
      <w:r w:rsidRPr="00771C23">
        <w:rPr>
          <w:rFonts w:eastAsia="Times New Roman" w:cs="Arial"/>
          <w:spacing w:val="4"/>
          <w:sz w:val="20"/>
          <w:szCs w:val="20"/>
          <w:lang w:val="en-GB"/>
        </w:rPr>
        <w:t>Keeping Women Safe in Their Homes initiative, which supported 3,458 women and their children who have experienced violence to remain in their own homes, or a home of their choice, where it was safe and appropriate to do so</w:t>
      </w:r>
    </w:p>
    <w:p w14:paraId="5E88042A" w14:textId="7773BE66" w:rsidR="0029429F" w:rsidRPr="00771C23" w:rsidRDefault="0029429F" w:rsidP="003A047F">
      <w:pPr>
        <w:numPr>
          <w:ilvl w:val="0"/>
          <w:numId w:val="111"/>
        </w:numPr>
        <w:tabs>
          <w:tab w:val="left" w:pos="720"/>
        </w:tabs>
        <w:spacing w:before="60" w:after="120" w:line="260" w:lineRule="atLeast"/>
        <w:rPr>
          <w:rFonts w:eastAsia="Times New Roman" w:cs="Arial"/>
          <w:spacing w:val="4"/>
          <w:sz w:val="20"/>
          <w:szCs w:val="20"/>
          <w:lang w:val="en-GB"/>
        </w:rPr>
      </w:pPr>
      <w:r>
        <w:rPr>
          <w:rFonts w:eastAsia="Times New Roman" w:cs="Arial"/>
          <w:spacing w:val="4"/>
          <w:sz w:val="20"/>
          <w:szCs w:val="20"/>
          <w:lang w:val="en-GB"/>
        </w:rPr>
        <w:t>c</w:t>
      </w:r>
      <w:r w:rsidRPr="00771C23">
        <w:rPr>
          <w:rFonts w:eastAsia="Times New Roman" w:cs="Arial"/>
          <w:spacing w:val="4"/>
          <w:sz w:val="20"/>
          <w:szCs w:val="20"/>
          <w:lang w:val="en-GB"/>
        </w:rPr>
        <w:t>ommunity-led prevention project initiative, which funded 16 organisations to support innovative and community-led primary prevention activities that challenge the underlying social, economic</w:t>
      </w:r>
      <w:r>
        <w:rPr>
          <w:rFonts w:eastAsia="Times New Roman" w:cs="Arial"/>
          <w:spacing w:val="4"/>
          <w:sz w:val="20"/>
          <w:szCs w:val="20"/>
          <w:lang w:val="en-GB"/>
        </w:rPr>
        <w:t>,</w:t>
      </w:r>
      <w:r w:rsidRPr="00771C23">
        <w:rPr>
          <w:rFonts w:eastAsia="Times New Roman" w:cs="Arial"/>
          <w:spacing w:val="4"/>
          <w:sz w:val="20"/>
          <w:szCs w:val="20"/>
          <w:lang w:val="en-GB"/>
        </w:rPr>
        <w:t xml:space="preserve"> and political conditions as well as historical and cultural factors that allow violence-supportive attitudes and behaviours to thrive</w:t>
      </w:r>
    </w:p>
    <w:p w14:paraId="23149C2C" w14:textId="77777777" w:rsidR="0029429F" w:rsidRPr="00771C23" w:rsidRDefault="0029429F" w:rsidP="003A047F">
      <w:pPr>
        <w:numPr>
          <w:ilvl w:val="0"/>
          <w:numId w:val="111"/>
        </w:numPr>
        <w:tabs>
          <w:tab w:val="left" w:pos="720"/>
        </w:tabs>
        <w:spacing w:before="60" w:after="120" w:line="260" w:lineRule="atLeast"/>
        <w:rPr>
          <w:rFonts w:eastAsia="Times New Roman" w:cs="Arial"/>
          <w:spacing w:val="4"/>
          <w:sz w:val="20"/>
          <w:szCs w:val="20"/>
          <w:lang w:val="en-GB"/>
        </w:rPr>
      </w:pPr>
      <w:r w:rsidRPr="00771C23">
        <w:rPr>
          <w:rFonts w:eastAsia="Times New Roman" w:cs="Arial"/>
          <w:spacing w:val="4"/>
          <w:sz w:val="20"/>
          <w:szCs w:val="20"/>
          <w:lang w:val="en-GB"/>
        </w:rPr>
        <w:t xml:space="preserve">$150 million under the Domestic Violence Support Package to support all Australians at risk of, or experiencing, family and domestic violence through this </w:t>
      </w:r>
      <w:r>
        <w:rPr>
          <w:sz w:val="20"/>
          <w:szCs w:val="20"/>
        </w:rPr>
        <w:t>COVID-19</w:t>
      </w:r>
      <w:r w:rsidRPr="00771C23">
        <w:rPr>
          <w:sz w:val="20"/>
          <w:szCs w:val="20"/>
        </w:rPr>
        <w:t xml:space="preserve"> </w:t>
      </w:r>
      <w:r>
        <w:rPr>
          <w:rFonts w:eastAsia="Times New Roman" w:cs="Arial"/>
          <w:spacing w:val="4"/>
          <w:sz w:val="20"/>
          <w:szCs w:val="20"/>
          <w:lang w:val="en-GB"/>
        </w:rPr>
        <w:t>pandemic, that includes:</w:t>
      </w:r>
    </w:p>
    <w:p w14:paraId="68B80073" w14:textId="77777777" w:rsidR="0029429F" w:rsidRPr="00771C23" w:rsidRDefault="0029429F" w:rsidP="003A047F">
      <w:pPr>
        <w:numPr>
          <w:ilvl w:val="0"/>
          <w:numId w:val="113"/>
        </w:numPr>
        <w:spacing w:before="60" w:after="120" w:line="260" w:lineRule="atLeast"/>
        <w:rPr>
          <w:rFonts w:cs="Arial"/>
          <w:color w:val="000000"/>
          <w:spacing w:val="4"/>
          <w:sz w:val="20"/>
          <w:szCs w:val="20"/>
          <w:lang w:val="en-GB"/>
        </w:rPr>
      </w:pPr>
      <w:r w:rsidRPr="00771C23">
        <w:rPr>
          <w:rFonts w:cs="Arial"/>
          <w:color w:val="000000"/>
          <w:spacing w:val="4"/>
          <w:sz w:val="20"/>
          <w:szCs w:val="20"/>
          <w:lang w:val="en-GB"/>
        </w:rPr>
        <w:t>$130 million to state and territory governments through the National Partnership on COVID-19 Domestic and Family Violence Responses to bolster support for domestic, family and sexual violence service</w:t>
      </w:r>
    </w:p>
    <w:p w14:paraId="75F62C04" w14:textId="77777777" w:rsidR="0029429F" w:rsidRPr="00771C23" w:rsidRDefault="0029429F" w:rsidP="003A047F">
      <w:pPr>
        <w:numPr>
          <w:ilvl w:val="0"/>
          <w:numId w:val="113"/>
        </w:numPr>
        <w:tabs>
          <w:tab w:val="left" w:pos="1560"/>
        </w:tabs>
        <w:spacing w:before="60" w:after="120" w:line="260" w:lineRule="atLeast"/>
        <w:rPr>
          <w:rFonts w:eastAsia="Times New Roman" w:cs="Arial"/>
          <w:spacing w:val="4"/>
          <w:sz w:val="20"/>
          <w:szCs w:val="20"/>
          <w:lang w:val="en-GB"/>
        </w:rPr>
      </w:pPr>
      <w:r w:rsidRPr="00771C23">
        <w:rPr>
          <w:rFonts w:eastAsia="Times New Roman" w:cs="Arial"/>
          <w:spacing w:val="4"/>
          <w:sz w:val="20"/>
          <w:szCs w:val="20"/>
          <w:lang w:val="en-GB"/>
        </w:rPr>
        <w:t>$20 million</w:t>
      </w:r>
      <w:r>
        <w:rPr>
          <w:rFonts w:eastAsia="Times New Roman" w:cs="Arial"/>
          <w:spacing w:val="4"/>
          <w:sz w:val="20"/>
          <w:szCs w:val="20"/>
          <w:lang w:val="en-GB"/>
        </w:rPr>
        <w:t xml:space="preserve"> </w:t>
      </w:r>
      <w:r w:rsidRPr="00771C23">
        <w:rPr>
          <w:rFonts w:eastAsia="Times New Roman" w:cs="Arial"/>
          <w:spacing w:val="4"/>
          <w:sz w:val="20"/>
          <w:szCs w:val="20"/>
          <w:lang w:val="en-GB"/>
        </w:rPr>
        <w:t xml:space="preserve">to boost key Commonwealth programs under the </w:t>
      </w:r>
      <w:r w:rsidRPr="003A047F">
        <w:rPr>
          <w:spacing w:val="4"/>
          <w:sz w:val="20"/>
          <w:lang w:val="en-GB"/>
        </w:rPr>
        <w:t>National Plan</w:t>
      </w:r>
      <w:r w:rsidRPr="00771C23">
        <w:rPr>
          <w:rFonts w:eastAsia="Times New Roman" w:cs="Arial"/>
          <w:spacing w:val="4"/>
          <w:sz w:val="20"/>
          <w:szCs w:val="20"/>
          <w:lang w:val="en-GB"/>
        </w:rPr>
        <w:t>.</w:t>
      </w:r>
    </w:p>
    <w:p w14:paraId="00039968" w14:textId="77777777" w:rsidR="0029429F" w:rsidRPr="00771C23" w:rsidRDefault="0029429F" w:rsidP="0029429F">
      <w:pPr>
        <w:spacing w:after="0"/>
        <w:outlineLvl w:val="6"/>
        <w:rPr>
          <w:rFonts w:eastAsiaTheme="majorEastAsia" w:cstheme="majorBidi"/>
          <w:i/>
          <w:iCs/>
        </w:rPr>
      </w:pPr>
      <w:r w:rsidRPr="00771C23">
        <w:rPr>
          <w:rFonts w:eastAsiaTheme="majorEastAsia" w:cstheme="majorBidi"/>
          <w:i/>
          <w:iCs/>
        </w:rPr>
        <w:t>Analysis</w:t>
      </w:r>
    </w:p>
    <w:p w14:paraId="2520D950" w14:textId="77777777" w:rsidR="0029429F" w:rsidRPr="00771C23" w:rsidRDefault="0029429F" w:rsidP="0029429F">
      <w:pPr>
        <w:rPr>
          <w:rFonts w:cs="Arial"/>
          <w:sz w:val="20"/>
          <w:szCs w:val="20"/>
          <w:lang w:val="en"/>
        </w:rPr>
      </w:pPr>
      <w:r w:rsidRPr="00771C23">
        <w:rPr>
          <w:rFonts w:cs="Arial"/>
          <w:sz w:val="20"/>
          <w:szCs w:val="20"/>
          <w:lang w:val="en"/>
        </w:rPr>
        <w:t xml:space="preserve">A reduction in prevalence rates of violence against women requires sustained action by all tiers of government. The </w:t>
      </w:r>
      <w:r>
        <w:rPr>
          <w:rFonts w:cs="Arial"/>
          <w:sz w:val="20"/>
          <w:szCs w:val="20"/>
          <w:lang w:val="en"/>
        </w:rPr>
        <w:t>Australian Bureau of Statistics (</w:t>
      </w:r>
      <w:r w:rsidRPr="00771C23">
        <w:rPr>
          <w:rFonts w:cs="Arial"/>
          <w:sz w:val="20"/>
          <w:szCs w:val="20"/>
          <w:lang w:val="en"/>
        </w:rPr>
        <w:t>ABS</w:t>
      </w:r>
      <w:r>
        <w:rPr>
          <w:rFonts w:cs="Arial"/>
          <w:sz w:val="20"/>
          <w:szCs w:val="20"/>
          <w:lang w:val="en"/>
        </w:rPr>
        <w:t>)</w:t>
      </w:r>
      <w:r w:rsidRPr="00771C23">
        <w:rPr>
          <w:rFonts w:cs="Arial"/>
          <w:sz w:val="20"/>
          <w:szCs w:val="20"/>
          <w:lang w:val="en"/>
        </w:rPr>
        <w:t xml:space="preserve"> Personal Safety Survey data from 2016 (the latest results available) shows that rates of cohabiting partner violence have remained steady, and rates of sexual violence have increased since 2012 (from 1.2 per cent to 1.8 per cent); a result that may be driven by improved reporting and does not preclude a reduction in prevalence rates being achieved in coming years. The </w:t>
      </w:r>
      <w:r w:rsidRPr="008604D9">
        <w:rPr>
          <w:rFonts w:cs="Arial"/>
          <w:i/>
          <w:iCs/>
          <w:sz w:val="20"/>
          <w:szCs w:val="20"/>
          <w:lang w:val="en"/>
        </w:rPr>
        <w:t>2017 National Community Attitudes towards Violence against Women Survey</w:t>
      </w:r>
      <w:r w:rsidRPr="00771C23">
        <w:rPr>
          <w:rFonts w:cs="Arial"/>
          <w:sz w:val="20"/>
          <w:szCs w:val="20"/>
          <w:lang w:val="en"/>
        </w:rPr>
        <w:t xml:space="preserve"> (NCAS), by Australia’s National Research </w:t>
      </w:r>
      <w:proofErr w:type="spellStart"/>
      <w:r w:rsidRPr="00771C23">
        <w:rPr>
          <w:rFonts w:cs="Arial"/>
          <w:sz w:val="20"/>
          <w:szCs w:val="20"/>
          <w:lang w:val="en"/>
        </w:rPr>
        <w:t>Organisation</w:t>
      </w:r>
      <w:proofErr w:type="spellEnd"/>
      <w:r w:rsidRPr="00771C23">
        <w:rPr>
          <w:rFonts w:cs="Arial"/>
          <w:sz w:val="20"/>
          <w:szCs w:val="20"/>
          <w:lang w:val="en"/>
        </w:rPr>
        <w:t xml:space="preserve"> for Women’s Safety (ANROWS) showed most Australians were more likely to understand that violence against women involves more than just physical violence in 2017 than they were in 2013 and 2009.</w:t>
      </w:r>
    </w:p>
    <w:p w14:paraId="783DA42F" w14:textId="77777777" w:rsidR="0029429F" w:rsidRPr="00771C23" w:rsidRDefault="0029429F" w:rsidP="0029429F">
      <w:pPr>
        <w:spacing w:before="240" w:after="240"/>
        <w:outlineLvl w:val="7"/>
        <w:rPr>
          <w:rFonts w:eastAsiaTheme="majorEastAsia" w:cstheme="majorBidi"/>
          <w:b/>
          <w:i/>
          <w:color w:val="595959" w:themeColor="text1" w:themeTint="A6"/>
          <w:sz w:val="24"/>
          <w:szCs w:val="20"/>
        </w:rPr>
      </w:pPr>
      <w:r w:rsidRPr="00771C23">
        <w:rPr>
          <w:rFonts w:eastAsiaTheme="majorEastAsia" w:cstheme="majorBidi"/>
          <w:b/>
          <w:color w:val="595959" w:themeColor="text1" w:themeTint="A6"/>
          <w:sz w:val="24"/>
          <w:szCs w:val="20"/>
        </w:rPr>
        <w:lastRenderedPageBreak/>
        <w:t xml:space="preserve">C2.2.2 Extent of progress in implementing the </w:t>
      </w:r>
      <w:r w:rsidRPr="00771C23">
        <w:rPr>
          <w:rFonts w:eastAsiaTheme="majorEastAsia" w:cstheme="majorBidi"/>
          <w:b/>
          <w:i/>
          <w:color w:val="595959" w:themeColor="text1" w:themeTint="A6"/>
          <w:sz w:val="24"/>
          <w:szCs w:val="20"/>
        </w:rPr>
        <w:t>National Framework for Protecting Australia’s Children 2009–2020</w:t>
      </w:r>
    </w:p>
    <w:p w14:paraId="6FD089BB" w14:textId="77777777" w:rsidR="0029429F" w:rsidRPr="00771C23" w:rsidRDefault="0029429F" w:rsidP="0029429F">
      <w:pPr>
        <w:rPr>
          <w:sz w:val="20"/>
          <w:szCs w:val="20"/>
        </w:rPr>
      </w:pPr>
      <w:r w:rsidRPr="00771C23">
        <w:rPr>
          <w:sz w:val="20"/>
          <w:szCs w:val="20"/>
        </w:rPr>
        <w:t xml:space="preserve">The </w:t>
      </w:r>
      <w:r w:rsidRPr="00B805F8">
        <w:rPr>
          <w:sz w:val="20"/>
        </w:rPr>
        <w:t>Third Action Plan 2015–2018</w:t>
      </w:r>
      <w:r w:rsidRPr="00771C23">
        <w:rPr>
          <w:sz w:val="20"/>
          <w:szCs w:val="20"/>
        </w:rPr>
        <w:t xml:space="preserve"> (Third Action Plan) of the </w:t>
      </w:r>
      <w:r w:rsidRPr="00771C23">
        <w:rPr>
          <w:i/>
          <w:sz w:val="20"/>
          <w:szCs w:val="20"/>
        </w:rPr>
        <w:t xml:space="preserve">National Framework for Protecting Australia’s Children 2009–2020 </w:t>
      </w:r>
      <w:r w:rsidRPr="00771C23">
        <w:rPr>
          <w:sz w:val="20"/>
          <w:szCs w:val="20"/>
        </w:rPr>
        <w:t xml:space="preserve">(National Framework) included three strategies focused on national efforts to improve the wellbeing of Australia’s children: </w:t>
      </w:r>
    </w:p>
    <w:p w14:paraId="2E40CDAF" w14:textId="2E5C48AA" w:rsidR="0029429F" w:rsidRPr="00771C23" w:rsidRDefault="0029429F" w:rsidP="003A047F">
      <w:pPr>
        <w:numPr>
          <w:ilvl w:val="0"/>
          <w:numId w:val="114"/>
        </w:numPr>
        <w:tabs>
          <w:tab w:val="left" w:pos="720"/>
        </w:tabs>
        <w:spacing w:before="60" w:after="120" w:line="260" w:lineRule="atLeast"/>
        <w:rPr>
          <w:sz w:val="20"/>
          <w:szCs w:val="20"/>
        </w:rPr>
      </w:pPr>
      <w:r w:rsidRPr="00771C23">
        <w:rPr>
          <w:sz w:val="20"/>
          <w:szCs w:val="20"/>
        </w:rPr>
        <w:t>Strategy 1: Early intervention with a focus on the early years, particularly the first 1,000 days for a child</w:t>
      </w:r>
    </w:p>
    <w:p w14:paraId="071F8B11" w14:textId="66DEFB2F" w:rsidR="0029429F" w:rsidRPr="00771C23" w:rsidRDefault="0029429F" w:rsidP="003A047F">
      <w:pPr>
        <w:numPr>
          <w:ilvl w:val="0"/>
          <w:numId w:val="114"/>
        </w:numPr>
        <w:tabs>
          <w:tab w:val="left" w:pos="720"/>
        </w:tabs>
        <w:spacing w:before="60" w:after="120" w:line="260" w:lineRule="atLeast"/>
        <w:rPr>
          <w:sz w:val="20"/>
          <w:szCs w:val="20"/>
        </w:rPr>
      </w:pPr>
      <w:r w:rsidRPr="00771C23">
        <w:rPr>
          <w:sz w:val="20"/>
          <w:szCs w:val="20"/>
        </w:rPr>
        <w:t>Strategy 2: Helping young people in out-of-home care to thrive into adulthood</w:t>
      </w:r>
    </w:p>
    <w:p w14:paraId="6026D282" w14:textId="77777777" w:rsidR="0029429F" w:rsidRPr="00771C23" w:rsidRDefault="0029429F" w:rsidP="003A047F">
      <w:pPr>
        <w:numPr>
          <w:ilvl w:val="0"/>
          <w:numId w:val="114"/>
        </w:numPr>
        <w:tabs>
          <w:tab w:val="left" w:pos="720"/>
        </w:tabs>
        <w:spacing w:before="60" w:after="120" w:line="260" w:lineRule="atLeast"/>
        <w:rPr>
          <w:sz w:val="20"/>
          <w:szCs w:val="20"/>
        </w:rPr>
      </w:pPr>
      <w:r w:rsidRPr="00771C23">
        <w:rPr>
          <w:sz w:val="20"/>
          <w:szCs w:val="20"/>
        </w:rPr>
        <w:t>Strategy 3: Organisations responding better to children and young people to keep them safe.</w:t>
      </w:r>
    </w:p>
    <w:p w14:paraId="1DCBA3CE" w14:textId="77777777" w:rsidR="00D96CDD" w:rsidRDefault="00D96CDD" w:rsidP="0029429F">
      <w:pPr>
        <w:spacing w:after="0"/>
        <w:outlineLvl w:val="6"/>
        <w:rPr>
          <w:rFonts w:eastAsiaTheme="majorEastAsia" w:cstheme="majorBidi"/>
          <w:i/>
          <w:iCs/>
        </w:rPr>
      </w:pPr>
    </w:p>
    <w:p w14:paraId="177E2606" w14:textId="669C85F3" w:rsidR="0029429F" w:rsidRPr="00771C23" w:rsidRDefault="0029429F" w:rsidP="0029429F">
      <w:pPr>
        <w:spacing w:after="0"/>
        <w:outlineLvl w:val="6"/>
        <w:rPr>
          <w:rFonts w:eastAsiaTheme="majorEastAsia" w:cstheme="majorBidi"/>
          <w:i/>
          <w:iCs/>
        </w:rPr>
      </w:pPr>
      <w:r w:rsidRPr="00771C23">
        <w:rPr>
          <w:rFonts w:eastAsiaTheme="majorEastAsia" w:cstheme="majorBidi"/>
          <w:i/>
          <w:iCs/>
        </w:rPr>
        <w:t>Analysis</w:t>
      </w:r>
    </w:p>
    <w:p w14:paraId="5D857298" w14:textId="77777777" w:rsidR="0029429F" w:rsidRPr="00771C23" w:rsidRDefault="0029429F" w:rsidP="0029429F">
      <w:pPr>
        <w:rPr>
          <w:sz w:val="20"/>
          <w:szCs w:val="20"/>
        </w:rPr>
      </w:pPr>
      <w:r>
        <w:rPr>
          <w:sz w:val="20"/>
          <w:szCs w:val="20"/>
        </w:rPr>
        <w:t>We are</w:t>
      </w:r>
      <w:r w:rsidRPr="00771C23">
        <w:rPr>
          <w:sz w:val="20"/>
          <w:szCs w:val="20"/>
        </w:rPr>
        <w:t xml:space="preserve"> leading a number of initiatives that continue beyond the end of the Third Action Plan, including:</w:t>
      </w:r>
    </w:p>
    <w:p w14:paraId="638A16D2" w14:textId="0D96B768" w:rsidR="0029429F" w:rsidRPr="00771C23" w:rsidRDefault="0029429F" w:rsidP="003A047F">
      <w:pPr>
        <w:numPr>
          <w:ilvl w:val="0"/>
          <w:numId w:val="115"/>
        </w:numPr>
        <w:tabs>
          <w:tab w:val="left" w:pos="720"/>
        </w:tabs>
        <w:spacing w:before="60" w:after="120" w:line="260" w:lineRule="atLeast"/>
        <w:rPr>
          <w:sz w:val="20"/>
          <w:szCs w:val="20"/>
        </w:rPr>
      </w:pPr>
      <w:r>
        <w:rPr>
          <w:sz w:val="20"/>
          <w:szCs w:val="20"/>
        </w:rPr>
        <w:t>d</w:t>
      </w:r>
      <w:r w:rsidRPr="00771C23">
        <w:rPr>
          <w:sz w:val="20"/>
          <w:szCs w:val="20"/>
        </w:rPr>
        <w:t xml:space="preserve">elivery of the </w:t>
      </w:r>
      <w:r w:rsidRPr="00B805F8">
        <w:rPr>
          <w:sz w:val="20"/>
        </w:rPr>
        <w:t>Towards Independent Adulthood</w:t>
      </w:r>
      <w:r w:rsidRPr="00771C23">
        <w:rPr>
          <w:sz w:val="20"/>
          <w:szCs w:val="20"/>
        </w:rPr>
        <w:t xml:space="preserve"> (TIA) trial, which has implemented</w:t>
      </w:r>
      <w:r w:rsidR="00D96CDD">
        <w:rPr>
          <w:sz w:val="20"/>
          <w:szCs w:val="20"/>
        </w:rPr>
        <w:br/>
      </w:r>
      <w:r w:rsidRPr="00771C23">
        <w:rPr>
          <w:sz w:val="20"/>
          <w:szCs w:val="20"/>
        </w:rPr>
        <w:t>a one-on-one mentoring model that aims to assist young people leaving</w:t>
      </w:r>
      <w:r>
        <w:rPr>
          <w:sz w:val="20"/>
          <w:szCs w:val="20"/>
        </w:rPr>
        <w:t xml:space="preserve"> </w:t>
      </w:r>
      <w:r w:rsidRPr="00771C23">
        <w:rPr>
          <w:sz w:val="20"/>
          <w:szCs w:val="20"/>
        </w:rPr>
        <w:t>out-of-home care engag</w:t>
      </w:r>
      <w:r w:rsidR="0035029D">
        <w:rPr>
          <w:sz w:val="20"/>
          <w:szCs w:val="20"/>
        </w:rPr>
        <w:t>e</w:t>
      </w:r>
      <w:r w:rsidRPr="00771C23">
        <w:rPr>
          <w:sz w:val="20"/>
          <w:szCs w:val="20"/>
        </w:rPr>
        <w:t xml:space="preserve"> with training and education, get a job and secur</w:t>
      </w:r>
      <w:r w:rsidR="00F74BC3">
        <w:rPr>
          <w:sz w:val="20"/>
          <w:szCs w:val="20"/>
        </w:rPr>
        <w:t>e</w:t>
      </w:r>
      <w:r w:rsidRPr="00771C23">
        <w:rPr>
          <w:sz w:val="20"/>
          <w:szCs w:val="20"/>
        </w:rPr>
        <w:t xml:space="preserve"> a place to live, and develop skills to live independently. As a result of the impact of</w:t>
      </w:r>
      <w:r>
        <w:rPr>
          <w:sz w:val="20"/>
          <w:szCs w:val="20"/>
        </w:rPr>
        <w:t xml:space="preserve"> the</w:t>
      </w:r>
      <w:r w:rsidRPr="00771C23">
        <w:rPr>
          <w:sz w:val="20"/>
          <w:szCs w:val="20"/>
        </w:rPr>
        <w:t xml:space="preserve"> </w:t>
      </w:r>
      <w:r>
        <w:rPr>
          <w:sz w:val="20"/>
          <w:szCs w:val="20"/>
        </w:rPr>
        <w:t>COVID-19</w:t>
      </w:r>
      <w:r w:rsidRPr="00771C23">
        <w:rPr>
          <w:sz w:val="20"/>
          <w:szCs w:val="20"/>
        </w:rPr>
        <w:t xml:space="preserve"> pandemic on the young people in the trial, service delivery was extended to 31 March 2021 to ensure adequate support was available during this difficult time</w:t>
      </w:r>
    </w:p>
    <w:p w14:paraId="2F3CEB07" w14:textId="297F318F" w:rsidR="00F74BC3" w:rsidRDefault="0029429F" w:rsidP="003A047F">
      <w:pPr>
        <w:numPr>
          <w:ilvl w:val="0"/>
          <w:numId w:val="115"/>
        </w:numPr>
        <w:tabs>
          <w:tab w:val="left" w:pos="720"/>
        </w:tabs>
        <w:spacing w:before="60" w:after="120" w:line="260" w:lineRule="atLeast"/>
        <w:rPr>
          <w:sz w:val="20"/>
          <w:szCs w:val="20"/>
        </w:rPr>
      </w:pPr>
      <w:r>
        <w:rPr>
          <w:sz w:val="20"/>
          <w:szCs w:val="20"/>
        </w:rPr>
        <w:t>t</w:t>
      </w:r>
      <w:r w:rsidRPr="00771C23">
        <w:rPr>
          <w:sz w:val="20"/>
          <w:szCs w:val="20"/>
        </w:rPr>
        <w:t xml:space="preserve">he </w:t>
      </w:r>
      <w:r w:rsidRPr="00B805F8">
        <w:rPr>
          <w:sz w:val="20"/>
        </w:rPr>
        <w:t>National Community Awareness Raising</w:t>
      </w:r>
      <w:r w:rsidRPr="00771C23">
        <w:rPr>
          <w:sz w:val="20"/>
          <w:szCs w:val="20"/>
        </w:rPr>
        <w:t xml:space="preserve"> (NCAR) strategy ended in June 2020 and raised awareness in the community of the importance of the first 1,000 days of a child’s life </w:t>
      </w:r>
    </w:p>
    <w:p w14:paraId="3BCF24F6" w14:textId="1678AEF9" w:rsidR="0029429F" w:rsidRPr="00771C23" w:rsidRDefault="00F74BC3" w:rsidP="003A047F">
      <w:pPr>
        <w:numPr>
          <w:ilvl w:val="0"/>
          <w:numId w:val="115"/>
        </w:numPr>
        <w:tabs>
          <w:tab w:val="left" w:pos="720"/>
        </w:tabs>
        <w:spacing w:before="60" w:after="120" w:line="260" w:lineRule="atLeast"/>
        <w:rPr>
          <w:sz w:val="20"/>
          <w:szCs w:val="20"/>
        </w:rPr>
      </w:pPr>
      <w:r>
        <w:rPr>
          <w:sz w:val="20"/>
          <w:szCs w:val="20"/>
        </w:rPr>
        <w:t>a</w:t>
      </w:r>
      <w:r w:rsidR="0029429F" w:rsidRPr="00771C23">
        <w:rPr>
          <w:sz w:val="20"/>
          <w:szCs w:val="20"/>
        </w:rPr>
        <w:t>n evaluation of NCAR is being undertaken and is expected in September 2020</w:t>
      </w:r>
    </w:p>
    <w:p w14:paraId="14C9C391" w14:textId="63248263" w:rsidR="0029429F" w:rsidRPr="00771C23" w:rsidRDefault="0029429F" w:rsidP="003A047F">
      <w:pPr>
        <w:numPr>
          <w:ilvl w:val="0"/>
          <w:numId w:val="115"/>
        </w:numPr>
        <w:tabs>
          <w:tab w:val="left" w:pos="720"/>
        </w:tabs>
        <w:spacing w:before="60" w:after="120" w:line="260" w:lineRule="atLeast"/>
        <w:rPr>
          <w:sz w:val="20"/>
          <w:szCs w:val="20"/>
        </w:rPr>
      </w:pPr>
      <w:r>
        <w:rPr>
          <w:sz w:val="20"/>
          <w:szCs w:val="20"/>
        </w:rPr>
        <w:t>the continuance of the</w:t>
      </w:r>
      <w:r w:rsidRPr="00771C23">
        <w:rPr>
          <w:sz w:val="20"/>
          <w:szCs w:val="20"/>
        </w:rPr>
        <w:t xml:space="preserve"> Inter-jurisdictional child protection linkage solution named</w:t>
      </w:r>
      <w:r w:rsidR="00D96CDD">
        <w:rPr>
          <w:sz w:val="20"/>
          <w:szCs w:val="20"/>
        </w:rPr>
        <w:br/>
      </w:r>
      <w:r w:rsidRPr="00771C23">
        <w:rPr>
          <w:sz w:val="20"/>
          <w:szCs w:val="20"/>
        </w:rPr>
        <w:t>Connect 4 Safety</w:t>
      </w:r>
      <w:r>
        <w:rPr>
          <w:sz w:val="20"/>
          <w:szCs w:val="20"/>
        </w:rPr>
        <w:t xml:space="preserve">. </w:t>
      </w:r>
      <w:r w:rsidRPr="00771C23">
        <w:rPr>
          <w:sz w:val="20"/>
          <w:szCs w:val="20"/>
        </w:rPr>
        <w:t>This solution enables child protection workers to undertake a real time search to identify whether vulnerable children will have links to other jurisdictions. All state and territory child protection agencies are progressively on-boarding to the solution during 2020.</w:t>
      </w:r>
    </w:p>
    <w:p w14:paraId="1B604F1F" w14:textId="77777777" w:rsidR="0029429F" w:rsidRPr="00771C23" w:rsidRDefault="0029429F" w:rsidP="0029429F">
      <w:pPr>
        <w:rPr>
          <w:sz w:val="20"/>
          <w:szCs w:val="20"/>
        </w:rPr>
      </w:pPr>
      <w:r w:rsidRPr="00771C23">
        <w:rPr>
          <w:sz w:val="20"/>
          <w:szCs w:val="20"/>
        </w:rPr>
        <w:t xml:space="preserve">Actions under the </w:t>
      </w:r>
      <w:r w:rsidRPr="00B805F8">
        <w:rPr>
          <w:sz w:val="20"/>
        </w:rPr>
        <w:t>Fourth Action Plan 2018–2020</w:t>
      </w:r>
      <w:r w:rsidRPr="00771C23">
        <w:rPr>
          <w:sz w:val="20"/>
          <w:szCs w:val="20"/>
        </w:rPr>
        <w:t xml:space="preserve"> (Fourth Action Plan) of the National Framework continue to be delivered. The Fourth Action Plan has four key priority areas:</w:t>
      </w:r>
    </w:p>
    <w:p w14:paraId="6CE760AA" w14:textId="77777777" w:rsidR="0029429F" w:rsidRPr="00771C23" w:rsidRDefault="0029429F" w:rsidP="003A047F">
      <w:pPr>
        <w:keepNext/>
        <w:numPr>
          <w:ilvl w:val="0"/>
          <w:numId w:val="116"/>
        </w:numPr>
        <w:spacing w:before="60" w:after="120"/>
        <w:rPr>
          <w:sz w:val="20"/>
          <w:szCs w:val="20"/>
        </w:rPr>
      </w:pPr>
      <w:r w:rsidRPr="00771C23">
        <w:rPr>
          <w:sz w:val="20"/>
          <w:szCs w:val="20"/>
        </w:rPr>
        <w:t>Priority 1</w:t>
      </w:r>
      <w:r>
        <w:rPr>
          <w:sz w:val="20"/>
          <w:szCs w:val="20"/>
        </w:rPr>
        <w:t xml:space="preserve"> </w:t>
      </w:r>
      <w:r w:rsidRPr="00771C23">
        <w:rPr>
          <w:sz w:val="20"/>
          <w:szCs w:val="20"/>
        </w:rPr>
        <w:t>—</w:t>
      </w:r>
      <w:r>
        <w:rPr>
          <w:sz w:val="20"/>
          <w:szCs w:val="20"/>
        </w:rPr>
        <w:t xml:space="preserve"> </w:t>
      </w:r>
      <w:r w:rsidRPr="00771C23">
        <w:rPr>
          <w:sz w:val="20"/>
          <w:szCs w:val="20"/>
        </w:rPr>
        <w:t>Improving outcomes for Aboriginal and Torres Strait Islander children at risk of entering, or in contact with, child protection systems:</w:t>
      </w:r>
    </w:p>
    <w:p w14:paraId="03744D9A" w14:textId="55035ACD" w:rsidR="0029429F" w:rsidRPr="00771C23" w:rsidRDefault="0029429F" w:rsidP="003A047F">
      <w:pPr>
        <w:numPr>
          <w:ilvl w:val="0"/>
          <w:numId w:val="117"/>
        </w:numPr>
        <w:tabs>
          <w:tab w:val="left" w:pos="720"/>
        </w:tabs>
        <w:spacing w:before="60" w:after="120" w:line="260" w:lineRule="atLeast"/>
        <w:rPr>
          <w:rFonts w:eastAsia="Times New Roman" w:cs="Arial"/>
          <w:spacing w:val="4"/>
          <w:sz w:val="20"/>
          <w:szCs w:val="20"/>
          <w:lang w:val="en-GB"/>
        </w:rPr>
      </w:pPr>
      <w:r w:rsidRPr="00771C23">
        <w:rPr>
          <w:rFonts w:eastAsia="Times New Roman" w:cs="Arial"/>
          <w:spacing w:val="4"/>
          <w:sz w:val="20"/>
          <w:szCs w:val="20"/>
          <w:lang w:val="en-GB"/>
        </w:rPr>
        <w:t xml:space="preserve">developing a </w:t>
      </w:r>
      <w:r>
        <w:rPr>
          <w:rFonts w:eastAsia="Times New Roman" w:cs="Arial"/>
          <w:spacing w:val="4"/>
          <w:sz w:val="20"/>
          <w:szCs w:val="20"/>
          <w:lang w:val="en-GB"/>
        </w:rPr>
        <w:t>g</w:t>
      </w:r>
      <w:r w:rsidRPr="00771C23">
        <w:rPr>
          <w:rFonts w:eastAsia="Times New Roman" w:cs="Arial"/>
          <w:spacing w:val="4"/>
          <w:sz w:val="20"/>
          <w:szCs w:val="20"/>
          <w:lang w:val="en-GB"/>
        </w:rPr>
        <w:t xml:space="preserve">uide to Support Implementation of the </w:t>
      </w:r>
      <w:r w:rsidRPr="00B805F8">
        <w:rPr>
          <w:spacing w:val="4"/>
          <w:sz w:val="20"/>
          <w:lang w:val="en-GB"/>
        </w:rPr>
        <w:t>Aboriginal and Torres Strait Islander Child Placement Principle</w:t>
      </w:r>
      <w:r w:rsidRPr="00771C23">
        <w:rPr>
          <w:rFonts w:eastAsia="Times New Roman" w:cs="Arial"/>
          <w:spacing w:val="4"/>
          <w:sz w:val="20"/>
          <w:szCs w:val="20"/>
          <w:lang w:val="en-GB"/>
        </w:rPr>
        <w:t xml:space="preserve"> (ATSICPP)</w:t>
      </w:r>
    </w:p>
    <w:p w14:paraId="1FD1B988" w14:textId="4FCB049F" w:rsidR="0029429F" w:rsidRPr="00771C23" w:rsidRDefault="0029429F" w:rsidP="003A047F">
      <w:pPr>
        <w:numPr>
          <w:ilvl w:val="0"/>
          <w:numId w:val="117"/>
        </w:numPr>
        <w:tabs>
          <w:tab w:val="left" w:pos="720"/>
        </w:tabs>
        <w:spacing w:before="60" w:after="120" w:line="260" w:lineRule="atLeast"/>
        <w:rPr>
          <w:sz w:val="20"/>
          <w:szCs w:val="20"/>
        </w:rPr>
      </w:pPr>
      <w:r w:rsidRPr="00771C23">
        <w:rPr>
          <w:rFonts w:eastAsia="Times New Roman" w:cs="Arial"/>
          <w:spacing w:val="4"/>
          <w:sz w:val="20"/>
          <w:szCs w:val="20"/>
          <w:lang w:val="en-GB"/>
        </w:rPr>
        <w:t>investment in ongoing data development for new national indicators to measure compliance with the ATSICPP</w:t>
      </w:r>
    </w:p>
    <w:p w14:paraId="4BC74CCE" w14:textId="77777777" w:rsidR="0029429F" w:rsidRPr="00771C23" w:rsidRDefault="0029429F" w:rsidP="003A047F">
      <w:pPr>
        <w:keepNext/>
        <w:numPr>
          <w:ilvl w:val="0"/>
          <w:numId w:val="116"/>
        </w:numPr>
        <w:spacing w:before="60" w:after="120"/>
        <w:rPr>
          <w:rFonts w:cs="Times New Roman"/>
          <w:spacing w:val="4"/>
          <w:sz w:val="20"/>
          <w:szCs w:val="20"/>
        </w:rPr>
      </w:pPr>
      <w:r w:rsidRPr="00771C23">
        <w:rPr>
          <w:rFonts w:cs="Times New Roman"/>
          <w:spacing w:val="4"/>
          <w:sz w:val="20"/>
          <w:szCs w:val="20"/>
        </w:rPr>
        <w:t>Priority 2</w:t>
      </w:r>
      <w:r>
        <w:rPr>
          <w:rFonts w:cs="Times New Roman"/>
          <w:spacing w:val="4"/>
          <w:sz w:val="20"/>
          <w:szCs w:val="20"/>
        </w:rPr>
        <w:t xml:space="preserve"> </w:t>
      </w:r>
      <w:r w:rsidRPr="00771C23">
        <w:rPr>
          <w:rFonts w:cs="Times New Roman"/>
          <w:spacing w:val="4"/>
          <w:sz w:val="20"/>
          <w:szCs w:val="20"/>
        </w:rPr>
        <w:t>—</w:t>
      </w:r>
      <w:r>
        <w:rPr>
          <w:rFonts w:cs="Times New Roman"/>
          <w:spacing w:val="4"/>
          <w:sz w:val="20"/>
          <w:szCs w:val="20"/>
        </w:rPr>
        <w:t xml:space="preserve"> </w:t>
      </w:r>
      <w:r w:rsidRPr="00771C23">
        <w:rPr>
          <w:rFonts w:cs="Times New Roman"/>
          <w:spacing w:val="4"/>
          <w:sz w:val="20"/>
          <w:szCs w:val="20"/>
        </w:rPr>
        <w:t>Improving prevention and early intervention through joint service planning and investment:</w:t>
      </w:r>
    </w:p>
    <w:p w14:paraId="37DA4FBB" w14:textId="15FE1E6C" w:rsidR="0029429F" w:rsidRPr="003A047F" w:rsidRDefault="0029429F" w:rsidP="003A047F">
      <w:pPr>
        <w:numPr>
          <w:ilvl w:val="0"/>
          <w:numId w:val="117"/>
        </w:numPr>
        <w:tabs>
          <w:tab w:val="left" w:pos="720"/>
        </w:tabs>
        <w:spacing w:before="60" w:after="120" w:line="260" w:lineRule="atLeast"/>
        <w:rPr>
          <w:spacing w:val="4"/>
          <w:sz w:val="20"/>
          <w:lang w:val="en-GB"/>
        </w:rPr>
      </w:pPr>
      <w:r w:rsidRPr="003A047F">
        <w:rPr>
          <w:spacing w:val="4"/>
          <w:sz w:val="20"/>
          <w:lang w:val="en-GB"/>
        </w:rPr>
        <w:t xml:space="preserve">implementation of Stronger Places, Stronger People, a place-based, collective impact initiative that focuses on interrupting the cycle of childhood vulnerability and poverty </w:t>
      </w:r>
    </w:p>
    <w:p w14:paraId="4D318B0E" w14:textId="50E1D5BF" w:rsidR="0029429F" w:rsidRPr="00771C23" w:rsidRDefault="0029429F" w:rsidP="003A047F">
      <w:pPr>
        <w:numPr>
          <w:ilvl w:val="0"/>
          <w:numId w:val="117"/>
        </w:numPr>
        <w:tabs>
          <w:tab w:val="left" w:pos="720"/>
        </w:tabs>
        <w:spacing w:before="60" w:after="120" w:line="260" w:lineRule="atLeast"/>
        <w:rPr>
          <w:rFonts w:eastAsia="Times New Roman" w:cs="Arial"/>
          <w:spacing w:val="4"/>
          <w:sz w:val="20"/>
          <w:szCs w:val="20"/>
          <w:lang w:val="en-GB"/>
        </w:rPr>
      </w:pPr>
      <w:r w:rsidRPr="003A047F">
        <w:rPr>
          <w:spacing w:val="4"/>
          <w:sz w:val="20"/>
          <w:lang w:val="en-GB"/>
        </w:rPr>
        <w:t xml:space="preserve">seven communities have been announced in Logan, </w:t>
      </w:r>
      <w:proofErr w:type="spellStart"/>
      <w:r w:rsidRPr="003A047F">
        <w:rPr>
          <w:spacing w:val="4"/>
          <w:sz w:val="20"/>
          <w:lang w:val="en-GB"/>
        </w:rPr>
        <w:t>Rockhampton</w:t>
      </w:r>
      <w:proofErr w:type="spellEnd"/>
      <w:r w:rsidRPr="003A047F">
        <w:rPr>
          <w:spacing w:val="4"/>
          <w:sz w:val="20"/>
          <w:lang w:val="en-GB"/>
        </w:rPr>
        <w:t>, and Gladstone in Queensland</w:t>
      </w:r>
      <w:r w:rsidRPr="00771C23">
        <w:rPr>
          <w:rFonts w:eastAsia="Times New Roman" w:cs="Arial"/>
          <w:spacing w:val="4"/>
          <w:sz w:val="20"/>
          <w:szCs w:val="20"/>
          <w:lang w:val="en-GB"/>
        </w:rPr>
        <w:t xml:space="preserve">; Bourke in New South Wales; Burnie in Tasmania; the Far West Region (including </w:t>
      </w:r>
      <w:proofErr w:type="spellStart"/>
      <w:r w:rsidRPr="00771C23">
        <w:rPr>
          <w:rFonts w:eastAsia="Times New Roman" w:cs="Arial"/>
          <w:spacing w:val="4"/>
          <w:sz w:val="20"/>
          <w:szCs w:val="20"/>
          <w:lang w:val="en-GB"/>
        </w:rPr>
        <w:t>Ceduna</w:t>
      </w:r>
      <w:proofErr w:type="spellEnd"/>
      <w:r w:rsidRPr="00771C23">
        <w:rPr>
          <w:rFonts w:eastAsia="Times New Roman" w:cs="Arial"/>
          <w:spacing w:val="4"/>
          <w:sz w:val="20"/>
          <w:szCs w:val="20"/>
          <w:lang w:val="en-GB"/>
        </w:rPr>
        <w:t>) in South Australia; and Tennant Creek in the Northern Territory</w:t>
      </w:r>
    </w:p>
    <w:p w14:paraId="00B074ED" w14:textId="77777777" w:rsidR="0029429F" w:rsidRPr="00771C23" w:rsidRDefault="0029429F" w:rsidP="003A047F">
      <w:pPr>
        <w:keepNext/>
        <w:numPr>
          <w:ilvl w:val="0"/>
          <w:numId w:val="116"/>
        </w:numPr>
        <w:spacing w:before="60" w:after="120"/>
        <w:rPr>
          <w:sz w:val="20"/>
          <w:szCs w:val="20"/>
        </w:rPr>
      </w:pPr>
      <w:r w:rsidRPr="00771C23">
        <w:rPr>
          <w:sz w:val="20"/>
          <w:szCs w:val="20"/>
        </w:rPr>
        <w:lastRenderedPageBreak/>
        <w:t>Priority 3</w:t>
      </w:r>
      <w:r>
        <w:rPr>
          <w:sz w:val="20"/>
          <w:szCs w:val="20"/>
        </w:rPr>
        <w:t xml:space="preserve"> </w:t>
      </w:r>
      <w:r w:rsidRPr="00771C23">
        <w:rPr>
          <w:sz w:val="20"/>
          <w:szCs w:val="20"/>
        </w:rPr>
        <w:t>—</w:t>
      </w:r>
      <w:r>
        <w:rPr>
          <w:sz w:val="20"/>
          <w:szCs w:val="20"/>
        </w:rPr>
        <w:t xml:space="preserve"> </w:t>
      </w:r>
      <w:r w:rsidRPr="00771C23">
        <w:rPr>
          <w:sz w:val="20"/>
          <w:szCs w:val="20"/>
        </w:rPr>
        <w:t>Improving outcomes for children in out-of-home care by enhancing placement stability through reunification and other permanent care options:</w:t>
      </w:r>
    </w:p>
    <w:p w14:paraId="0C825D9A" w14:textId="77777777" w:rsidR="0029429F" w:rsidRPr="003A047F" w:rsidRDefault="0029429F" w:rsidP="003A047F">
      <w:pPr>
        <w:numPr>
          <w:ilvl w:val="0"/>
          <w:numId w:val="117"/>
        </w:numPr>
        <w:tabs>
          <w:tab w:val="left" w:pos="720"/>
        </w:tabs>
        <w:spacing w:before="60" w:after="120" w:line="260" w:lineRule="atLeast"/>
        <w:rPr>
          <w:spacing w:val="4"/>
          <w:sz w:val="20"/>
          <w:lang w:val="en-GB"/>
        </w:rPr>
      </w:pPr>
      <w:r w:rsidRPr="00771C23">
        <w:rPr>
          <w:rFonts w:eastAsia="Times New Roman" w:cs="Arial"/>
          <w:spacing w:val="4"/>
          <w:sz w:val="20"/>
          <w:szCs w:val="20"/>
          <w:lang w:val="en-GB"/>
        </w:rPr>
        <w:t xml:space="preserve">a </w:t>
      </w:r>
      <w:r w:rsidRPr="003A047F">
        <w:rPr>
          <w:spacing w:val="4"/>
          <w:sz w:val="20"/>
          <w:lang w:val="en-GB"/>
        </w:rPr>
        <w:t xml:space="preserve">Permanency Outcomes Performance Reporting Framework was agreed, and new permanency indicators were reported in </w:t>
      </w:r>
      <w:r w:rsidRPr="00B805F8">
        <w:rPr>
          <w:spacing w:val="4"/>
          <w:sz w:val="20"/>
          <w:lang w:val="en-GB"/>
        </w:rPr>
        <w:t xml:space="preserve">Child </w:t>
      </w:r>
      <w:r w:rsidRPr="003A047F">
        <w:rPr>
          <w:spacing w:val="4"/>
          <w:sz w:val="20"/>
          <w:lang w:val="en-GB"/>
        </w:rPr>
        <w:t>Protection</w:t>
      </w:r>
      <w:r w:rsidRPr="00B805F8">
        <w:rPr>
          <w:spacing w:val="4"/>
          <w:sz w:val="20"/>
          <w:lang w:val="en-GB"/>
        </w:rPr>
        <w:t xml:space="preserve"> Australia 2018–19</w:t>
      </w:r>
      <w:r w:rsidRPr="003A047F">
        <w:rPr>
          <w:spacing w:val="4"/>
          <w:sz w:val="20"/>
          <w:lang w:val="en-GB"/>
        </w:rPr>
        <w:t>, released on 18 March 2020</w:t>
      </w:r>
    </w:p>
    <w:p w14:paraId="004D8496" w14:textId="02D1E94A" w:rsidR="0029429F" w:rsidRPr="00771C23" w:rsidRDefault="0029429F" w:rsidP="003A047F">
      <w:pPr>
        <w:numPr>
          <w:ilvl w:val="0"/>
          <w:numId w:val="117"/>
        </w:numPr>
        <w:tabs>
          <w:tab w:val="left" w:pos="720"/>
        </w:tabs>
        <w:spacing w:before="60" w:after="120" w:line="260" w:lineRule="atLeast"/>
        <w:rPr>
          <w:rFonts w:eastAsia="Times New Roman" w:cs="Arial"/>
          <w:spacing w:val="4"/>
          <w:sz w:val="20"/>
          <w:szCs w:val="20"/>
          <w:lang w:val="en-GB"/>
        </w:rPr>
      </w:pPr>
      <w:r w:rsidRPr="003A047F">
        <w:rPr>
          <w:spacing w:val="4"/>
          <w:sz w:val="20"/>
          <w:lang w:val="en-GB"/>
        </w:rPr>
        <w:t>development of a nationally consistent approach to guide timely permanency decision making for children in out-of-home care. The National Approach may not be publicly available until</w:t>
      </w:r>
      <w:r w:rsidRPr="00771C23">
        <w:rPr>
          <w:rFonts w:eastAsia="Times New Roman" w:cs="Arial"/>
          <w:spacing w:val="4"/>
          <w:sz w:val="20"/>
          <w:szCs w:val="20"/>
          <w:lang w:val="en-GB"/>
        </w:rPr>
        <w:t xml:space="preserve"> the first half of 2021 due to the impact of the </w:t>
      </w:r>
      <w:r>
        <w:rPr>
          <w:sz w:val="20"/>
          <w:szCs w:val="20"/>
        </w:rPr>
        <w:t>COVID-19</w:t>
      </w:r>
      <w:r w:rsidRPr="00771C23">
        <w:rPr>
          <w:sz w:val="20"/>
          <w:szCs w:val="20"/>
        </w:rPr>
        <w:t xml:space="preserve"> </w:t>
      </w:r>
      <w:r w:rsidRPr="00771C23">
        <w:rPr>
          <w:rFonts w:eastAsia="Times New Roman" w:cs="Arial"/>
          <w:spacing w:val="4"/>
          <w:sz w:val="20"/>
          <w:szCs w:val="20"/>
          <w:lang w:val="en-GB"/>
        </w:rPr>
        <w:t>pandemic</w:t>
      </w:r>
    </w:p>
    <w:p w14:paraId="38E430D8" w14:textId="77777777" w:rsidR="0029429F" w:rsidRPr="00771C23" w:rsidRDefault="0029429F" w:rsidP="003A047F">
      <w:pPr>
        <w:keepNext/>
        <w:numPr>
          <w:ilvl w:val="0"/>
          <w:numId w:val="116"/>
        </w:numPr>
        <w:spacing w:before="60" w:after="120"/>
        <w:rPr>
          <w:sz w:val="20"/>
          <w:szCs w:val="20"/>
        </w:rPr>
      </w:pPr>
      <w:r w:rsidRPr="00771C23">
        <w:rPr>
          <w:sz w:val="20"/>
          <w:szCs w:val="20"/>
        </w:rPr>
        <w:t>Priority 4</w:t>
      </w:r>
      <w:r>
        <w:rPr>
          <w:sz w:val="20"/>
          <w:szCs w:val="20"/>
        </w:rPr>
        <w:t xml:space="preserve"> </w:t>
      </w:r>
      <w:r w:rsidRPr="00771C23">
        <w:rPr>
          <w:sz w:val="20"/>
          <w:szCs w:val="20"/>
        </w:rPr>
        <w:t>—</w:t>
      </w:r>
      <w:r>
        <w:rPr>
          <w:sz w:val="20"/>
          <w:szCs w:val="20"/>
        </w:rPr>
        <w:t xml:space="preserve"> </w:t>
      </w:r>
      <w:r w:rsidRPr="00771C23">
        <w:rPr>
          <w:sz w:val="20"/>
          <w:szCs w:val="20"/>
        </w:rPr>
        <w:t>Improving organisations’ and governments’ ability to keep children and young people safe from abuse:</w:t>
      </w:r>
    </w:p>
    <w:p w14:paraId="25328F19" w14:textId="0ED5F90B" w:rsidR="0029429F" w:rsidRPr="00771C23" w:rsidRDefault="0029429F" w:rsidP="003A047F">
      <w:pPr>
        <w:numPr>
          <w:ilvl w:val="0"/>
          <w:numId w:val="117"/>
        </w:numPr>
        <w:tabs>
          <w:tab w:val="left" w:pos="720"/>
        </w:tabs>
        <w:spacing w:before="60" w:after="120" w:line="260" w:lineRule="atLeast"/>
        <w:rPr>
          <w:sz w:val="20"/>
          <w:szCs w:val="20"/>
        </w:rPr>
      </w:pPr>
      <w:r w:rsidRPr="00771C23">
        <w:rPr>
          <w:sz w:val="20"/>
          <w:szCs w:val="20"/>
        </w:rPr>
        <w:t>priority 4 is being led by the National Office of Child Safety (NOCS) in the</w:t>
      </w:r>
      <w:r w:rsidR="00D96CDD">
        <w:rPr>
          <w:sz w:val="20"/>
          <w:szCs w:val="20"/>
        </w:rPr>
        <w:br/>
      </w:r>
      <w:r w:rsidRPr="00771C23">
        <w:rPr>
          <w:sz w:val="20"/>
          <w:szCs w:val="20"/>
        </w:rPr>
        <w:t xml:space="preserve">Department of the Prime Minister </w:t>
      </w:r>
      <w:r w:rsidRPr="003A047F">
        <w:rPr>
          <w:spacing w:val="4"/>
          <w:sz w:val="20"/>
          <w:lang w:val="en-GB"/>
        </w:rPr>
        <w:t>and</w:t>
      </w:r>
      <w:r w:rsidRPr="00771C23">
        <w:rPr>
          <w:sz w:val="20"/>
          <w:szCs w:val="20"/>
        </w:rPr>
        <w:t xml:space="preserve"> Cabinet.</w:t>
      </w:r>
    </w:p>
    <w:p w14:paraId="55C6B84D" w14:textId="77777777" w:rsidR="00715F6F" w:rsidRDefault="00715F6F" w:rsidP="0029429F">
      <w:pPr>
        <w:rPr>
          <w:rFonts w:ascii="Arial Narrow" w:eastAsia="Times New Roman" w:hAnsi="Arial Narrow" w:cstheme="minorHAnsi"/>
          <w:b/>
          <w:bCs/>
          <w:spacing w:val="4"/>
          <w:sz w:val="20"/>
          <w:szCs w:val="18"/>
          <w:lang w:eastAsia="en-AU"/>
        </w:rPr>
        <w:sectPr w:rsidR="00715F6F" w:rsidSect="00A94724">
          <w:footnotePr>
            <w:numRestart w:val="eachPage"/>
          </w:footnotePr>
          <w:pgSz w:w="11906" w:h="16838"/>
          <w:pgMar w:top="1440" w:right="1440" w:bottom="1440" w:left="1440" w:header="709" w:footer="709" w:gutter="0"/>
          <w:cols w:space="708"/>
          <w:docGrid w:linePitch="360"/>
        </w:sectPr>
      </w:pPr>
    </w:p>
    <w:p w14:paraId="1D664CEE" w14:textId="77777777" w:rsidR="0029429F" w:rsidRPr="004920F0" w:rsidRDefault="0029429F" w:rsidP="0029429F">
      <w:pPr>
        <w:keepNext/>
        <w:spacing w:before="240" w:after="0" w:line="260" w:lineRule="atLeast"/>
        <w:ind w:right="425"/>
        <w:rPr>
          <w:rFonts w:ascii="Arial Narrow" w:eastAsia="Times New Roman" w:hAnsi="Arial Narrow" w:cs="Times New Roman"/>
          <w:b/>
          <w:bCs/>
          <w:i/>
          <w:iCs/>
          <w:spacing w:val="4"/>
          <w:sz w:val="20"/>
          <w:szCs w:val="18"/>
          <w:lang w:eastAsia="en-AU"/>
        </w:rPr>
      </w:pPr>
      <w:r w:rsidRPr="00771C23">
        <w:rPr>
          <w:rFonts w:ascii="Arial Narrow" w:eastAsia="Times New Roman" w:hAnsi="Arial Narrow" w:cs="Times New Roman"/>
          <w:b/>
          <w:bCs/>
          <w:spacing w:val="4"/>
          <w:sz w:val="20"/>
          <w:szCs w:val="18"/>
          <w:lang w:eastAsia="en-AU"/>
        </w:rPr>
        <w:lastRenderedPageBreak/>
        <w:t xml:space="preserve">Table 2.2.6: Extent of progress in implementing the </w:t>
      </w:r>
      <w:r w:rsidRPr="004920F0">
        <w:rPr>
          <w:rFonts w:ascii="Arial Narrow" w:eastAsia="Times New Roman" w:hAnsi="Arial Narrow" w:cs="Times New Roman"/>
          <w:b/>
          <w:bCs/>
          <w:i/>
          <w:iCs/>
          <w:spacing w:val="4"/>
          <w:sz w:val="20"/>
          <w:szCs w:val="18"/>
          <w:lang w:eastAsia="en-AU"/>
        </w:rPr>
        <w:t>National Framework for Protecting Australia’s Children 2009–2020</w:t>
      </w:r>
    </w:p>
    <w:tbl>
      <w:tblPr>
        <w:tblStyle w:val="HHorizontaltable1"/>
        <w:tblW w:w="5000" w:type="pct"/>
        <w:tblLook w:val="04A0" w:firstRow="1" w:lastRow="0" w:firstColumn="1" w:lastColumn="0" w:noHBand="0" w:noVBand="1"/>
        <w:tblCaption w:val="Table 2.2.6: Extent of progress in implementing the National Framework for protecting Australia’s Children 2009-2020"/>
        <w:tblDescription w:val="Table 2.2.6: Extent of progress in implementing the National Framework for protecting Australia’s Children 2009-2020"/>
      </w:tblPr>
      <w:tblGrid>
        <w:gridCol w:w="1968"/>
        <w:gridCol w:w="2139"/>
        <w:gridCol w:w="2264"/>
        <w:gridCol w:w="2655"/>
      </w:tblGrid>
      <w:tr w:rsidR="0029429F" w:rsidRPr="00771C23" w14:paraId="7F762DB5" w14:textId="77777777" w:rsidTr="00E117FD">
        <w:trPr>
          <w:cnfStyle w:val="100000000000" w:firstRow="1" w:lastRow="0" w:firstColumn="0" w:lastColumn="0" w:oddVBand="0" w:evenVBand="0" w:oddHBand="0" w:evenHBand="0" w:firstRowFirstColumn="0" w:firstRowLastColumn="0" w:lastRowFirstColumn="0" w:lastRowLastColumn="0"/>
          <w:trHeight w:val="317"/>
          <w:tblHeader/>
        </w:trPr>
        <w:tc>
          <w:tcPr>
            <w:tcW w:w="1090" w:type="pct"/>
            <w:tcBorders>
              <w:bottom w:val="single" w:sz="4" w:space="0" w:color="FFFFFF" w:themeColor="background1"/>
            </w:tcBorders>
            <w:hideMark/>
          </w:tcPr>
          <w:p w14:paraId="78A206F9" w14:textId="77777777" w:rsidR="0029429F" w:rsidRPr="007F2601" w:rsidRDefault="0029429F" w:rsidP="00E117FD">
            <w:pPr>
              <w:keepNext/>
              <w:keepLines/>
              <w:spacing w:before="40" w:after="40"/>
              <w:rPr>
                <w:rFonts w:eastAsia="Times New Roman" w:cs="Times New Roman"/>
                <w:sz w:val="20"/>
                <w:szCs w:val="18"/>
              </w:rPr>
            </w:pPr>
            <w:r w:rsidRPr="007F2601">
              <w:rPr>
                <w:rFonts w:eastAsia="Times New Roman" w:cs="Times New Roman"/>
                <w:sz w:val="20"/>
                <w:szCs w:val="18"/>
              </w:rPr>
              <w:t>Intermediate outcome performance measure</w:t>
            </w:r>
          </w:p>
        </w:tc>
        <w:tc>
          <w:tcPr>
            <w:tcW w:w="1185" w:type="pct"/>
            <w:tcBorders>
              <w:bottom w:val="single" w:sz="4" w:space="0" w:color="FFFFFF" w:themeColor="background1"/>
            </w:tcBorders>
            <w:hideMark/>
          </w:tcPr>
          <w:p w14:paraId="7AF2675A" w14:textId="77777777" w:rsidR="0029429F" w:rsidRPr="007F2601" w:rsidRDefault="0029429F" w:rsidP="00E117FD">
            <w:pPr>
              <w:keepNext/>
              <w:keepLines/>
              <w:spacing w:before="40" w:after="40"/>
              <w:rPr>
                <w:rFonts w:eastAsia="Times New Roman" w:cs="Times New Roman"/>
                <w:sz w:val="20"/>
                <w:szCs w:val="18"/>
              </w:rPr>
            </w:pPr>
            <w:r w:rsidRPr="007F2601">
              <w:rPr>
                <w:rFonts w:eastAsia="Times New Roman" w:cs="Times New Roman"/>
                <w:sz w:val="20"/>
                <w:szCs w:val="18"/>
              </w:rPr>
              <w:t>2019–20</w:t>
            </w:r>
          </w:p>
        </w:tc>
        <w:tc>
          <w:tcPr>
            <w:tcW w:w="1254" w:type="pct"/>
            <w:tcBorders>
              <w:bottom w:val="single" w:sz="4" w:space="0" w:color="FFFFFF" w:themeColor="background1"/>
            </w:tcBorders>
          </w:tcPr>
          <w:p w14:paraId="4073F349" w14:textId="77777777" w:rsidR="0029429F" w:rsidRPr="007F2601" w:rsidRDefault="0029429F" w:rsidP="00E117FD">
            <w:pPr>
              <w:keepNext/>
              <w:keepLines/>
              <w:spacing w:before="40" w:after="40"/>
              <w:rPr>
                <w:rFonts w:eastAsia="Times New Roman" w:cs="Times New Roman"/>
                <w:sz w:val="20"/>
                <w:szCs w:val="18"/>
              </w:rPr>
            </w:pPr>
            <w:r w:rsidRPr="007F2601">
              <w:rPr>
                <w:rFonts w:eastAsia="Times New Roman" w:cs="Times New Roman"/>
                <w:sz w:val="20"/>
                <w:szCs w:val="18"/>
              </w:rPr>
              <w:t>2018–19</w:t>
            </w:r>
          </w:p>
        </w:tc>
        <w:tc>
          <w:tcPr>
            <w:tcW w:w="1471" w:type="pct"/>
            <w:tcBorders>
              <w:bottom w:val="single" w:sz="4" w:space="0" w:color="FFFFFF" w:themeColor="background1"/>
            </w:tcBorders>
          </w:tcPr>
          <w:p w14:paraId="3B4920A5" w14:textId="77777777" w:rsidR="0029429F" w:rsidRPr="007F2601" w:rsidRDefault="0029429F" w:rsidP="00E117FD">
            <w:pPr>
              <w:keepNext/>
              <w:keepLines/>
              <w:spacing w:before="40" w:after="40"/>
              <w:rPr>
                <w:rFonts w:eastAsia="Times New Roman" w:cs="Times New Roman"/>
                <w:sz w:val="20"/>
                <w:szCs w:val="18"/>
              </w:rPr>
            </w:pPr>
            <w:r w:rsidRPr="007F2601">
              <w:rPr>
                <w:rFonts w:eastAsia="Times New Roman" w:cs="Times New Roman"/>
                <w:sz w:val="20"/>
                <w:szCs w:val="18"/>
              </w:rPr>
              <w:t>2017–18</w:t>
            </w:r>
          </w:p>
        </w:tc>
      </w:tr>
      <w:tr w:rsidR="0029429F" w:rsidRPr="00771C23" w14:paraId="53CE5BD6"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1" w:type="pct"/>
            <w:gridSpan w:val="4"/>
            <w:tcBorders>
              <w:top w:val="single" w:sz="4" w:space="0" w:color="FFFFFF" w:themeColor="background1"/>
              <w:bottom w:val="single" w:sz="18" w:space="0" w:color="00B0B9"/>
            </w:tcBorders>
            <w:hideMark/>
          </w:tcPr>
          <w:p w14:paraId="73C47BCD" w14:textId="77777777" w:rsidR="0029429F" w:rsidRPr="00771C23" w:rsidRDefault="0029429F" w:rsidP="00E117FD">
            <w:pPr>
              <w:keepNext/>
              <w:keepLines/>
              <w:spacing w:before="40" w:after="40"/>
              <w:rPr>
                <w:rFonts w:eastAsia="Times New Roman" w:cs="Times New Roman"/>
                <w:b/>
                <w:color w:val="000000" w:themeColor="text1"/>
                <w:sz w:val="20"/>
                <w:szCs w:val="20"/>
              </w:rPr>
            </w:pPr>
            <w:r w:rsidRPr="00771C23">
              <w:rPr>
                <w:rFonts w:eastAsia="Times New Roman" w:cs="Times New Roman"/>
                <w:b/>
                <w:color w:val="000000" w:themeColor="text1"/>
                <w:sz w:val="20"/>
                <w:szCs w:val="20"/>
              </w:rPr>
              <w:t>Cross program</w:t>
            </w:r>
          </w:p>
        </w:tc>
      </w:tr>
      <w:tr w:rsidR="0029429F" w:rsidRPr="00771C23" w14:paraId="1014D7FA" w14:textId="77777777" w:rsidTr="00E117FD">
        <w:trPr>
          <w:cnfStyle w:val="000000010000" w:firstRow="0" w:lastRow="0" w:firstColumn="0" w:lastColumn="0" w:oddVBand="0" w:evenVBand="0" w:oddHBand="0" w:evenHBand="1" w:firstRowFirstColumn="0" w:firstRowLastColumn="0" w:lastRowFirstColumn="0" w:lastRowLastColumn="0"/>
        </w:trPr>
        <w:tc>
          <w:tcPr>
            <w:tcW w:w="1090" w:type="pct"/>
            <w:tcBorders>
              <w:top w:val="single" w:sz="18" w:space="0" w:color="00B0B9"/>
            </w:tcBorders>
            <w:hideMark/>
          </w:tcPr>
          <w:p w14:paraId="2EA5FE07" w14:textId="0344DA71" w:rsidR="0029429F" w:rsidRPr="00771C23" w:rsidRDefault="0029429F">
            <w:pPr>
              <w:spacing w:before="40" w:after="40"/>
              <w:rPr>
                <w:rFonts w:eastAsia="Times New Roman" w:cs="Arial"/>
                <w:spacing w:val="4"/>
                <w:sz w:val="20"/>
                <w:szCs w:val="20"/>
                <w:lang w:val="en-GB"/>
              </w:rPr>
            </w:pPr>
            <w:r w:rsidRPr="00771C23">
              <w:rPr>
                <w:rFonts w:eastAsia="Times New Roman"/>
                <w:spacing w:val="4"/>
                <w:sz w:val="20"/>
                <w:szCs w:val="20"/>
                <w:lang w:val="en-GB"/>
              </w:rPr>
              <w:t xml:space="preserve">Assess whether </w:t>
            </w:r>
            <w:r w:rsidR="00A61E7A">
              <w:rPr>
                <w:rFonts w:eastAsia="Times New Roman"/>
                <w:spacing w:val="4"/>
                <w:sz w:val="20"/>
                <w:szCs w:val="20"/>
                <w:lang w:val="en-GB"/>
              </w:rPr>
              <w:t>the department</w:t>
            </w:r>
            <w:r w:rsidRPr="00771C23">
              <w:rPr>
                <w:rFonts w:eastAsia="Times New Roman"/>
                <w:spacing w:val="4"/>
                <w:sz w:val="20"/>
                <w:szCs w:val="20"/>
                <w:lang w:val="en-GB"/>
              </w:rPr>
              <w:t xml:space="preserve"> has implemented the actions under the Third and Fourth Action Plans of the National Framework, for which </w:t>
            </w:r>
            <w:r w:rsidR="00A61E7A">
              <w:rPr>
                <w:rFonts w:eastAsia="Times New Roman"/>
                <w:spacing w:val="4"/>
                <w:sz w:val="20"/>
                <w:szCs w:val="20"/>
                <w:lang w:val="en-GB"/>
              </w:rPr>
              <w:t>the department</w:t>
            </w:r>
            <w:r w:rsidRPr="00771C23">
              <w:rPr>
                <w:rFonts w:eastAsia="Times New Roman"/>
                <w:spacing w:val="4"/>
                <w:sz w:val="20"/>
                <w:szCs w:val="20"/>
                <w:lang w:val="en-GB"/>
              </w:rPr>
              <w:t xml:space="preserve"> is </w:t>
            </w:r>
            <w:proofErr w:type="spellStart"/>
            <w:r w:rsidRPr="00771C23">
              <w:rPr>
                <w:rFonts w:eastAsia="Times New Roman"/>
                <w:spacing w:val="4"/>
                <w:sz w:val="20"/>
                <w:szCs w:val="20"/>
                <w:lang w:val="en-GB"/>
              </w:rPr>
              <w:t>responsible</w:t>
            </w:r>
            <w:r w:rsidRPr="00771C23">
              <w:rPr>
                <w:rFonts w:eastAsia="Times New Roman"/>
                <w:color w:val="000000" w:themeColor="text1"/>
                <w:spacing w:val="4"/>
                <w:sz w:val="20"/>
                <w:szCs w:val="20"/>
                <w:vertAlign w:val="superscript"/>
                <w:lang w:val="en-GB"/>
              </w:rPr>
              <w:t>a</w:t>
            </w:r>
            <w:proofErr w:type="spellEnd"/>
            <w:r w:rsidRPr="00771C23">
              <w:rPr>
                <w:rFonts w:eastAsia="Times New Roman"/>
                <w:spacing w:val="4"/>
                <w:sz w:val="20"/>
                <w:szCs w:val="20"/>
                <w:lang w:val="en-GB"/>
              </w:rPr>
              <w:t xml:space="preserve"> </w:t>
            </w:r>
          </w:p>
        </w:tc>
        <w:tc>
          <w:tcPr>
            <w:tcW w:w="1185" w:type="pct"/>
            <w:tcBorders>
              <w:top w:val="single" w:sz="18" w:space="0" w:color="00B0B9"/>
            </w:tcBorders>
            <w:hideMark/>
          </w:tcPr>
          <w:p w14:paraId="310F31DA" w14:textId="77777777" w:rsidR="0029429F" w:rsidRPr="00771C23" w:rsidRDefault="0029429F" w:rsidP="00E117FD">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Result: Met</w:t>
            </w:r>
          </w:p>
          <w:p w14:paraId="2EF853D5" w14:textId="77777777" w:rsidR="0029429F" w:rsidRPr="00771C23" w:rsidRDefault="0029429F" w:rsidP="00E117FD">
            <w:pPr>
              <w:spacing w:before="40" w:after="40"/>
              <w:rPr>
                <w:rFonts w:eastAsia="Times New Roman"/>
                <w:color w:val="000000" w:themeColor="text1"/>
                <w:spacing w:val="4"/>
                <w:sz w:val="20"/>
                <w:szCs w:val="20"/>
                <w:lang w:val="en-GB"/>
              </w:rPr>
            </w:pPr>
          </w:p>
          <w:p w14:paraId="07B4F1D7" w14:textId="77777777" w:rsidR="0029429F" w:rsidRPr="00771C23" w:rsidRDefault="0029429F" w:rsidP="00E117FD">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Completion of the Towards Independent Adulthood (TIA) trial</w:t>
            </w:r>
          </w:p>
          <w:p w14:paraId="43AE8851" w14:textId="77777777" w:rsidR="0029429F" w:rsidRPr="00771C23" w:rsidRDefault="0029429F" w:rsidP="00E117FD">
            <w:pPr>
              <w:spacing w:before="40" w:after="40"/>
              <w:rPr>
                <w:rFonts w:eastAsia="Times New Roman"/>
                <w:color w:val="000000" w:themeColor="text1"/>
                <w:spacing w:val="4"/>
                <w:sz w:val="20"/>
                <w:szCs w:val="20"/>
                <w:lang w:val="en-GB"/>
              </w:rPr>
            </w:pPr>
          </w:p>
          <w:p w14:paraId="19B062A5" w14:textId="77777777" w:rsidR="0029429F" w:rsidRPr="00771C23" w:rsidRDefault="0029429F" w:rsidP="00E117FD">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Completion of the National Community Awareness Raising (NCAR) communication strategy</w:t>
            </w:r>
          </w:p>
          <w:p w14:paraId="1EC517E7" w14:textId="77777777" w:rsidR="0029429F" w:rsidRPr="00771C23" w:rsidRDefault="0029429F" w:rsidP="00E117FD">
            <w:pPr>
              <w:spacing w:before="40" w:after="40"/>
              <w:rPr>
                <w:rFonts w:eastAsia="Times New Roman"/>
                <w:color w:val="000000" w:themeColor="text1"/>
                <w:spacing w:val="4"/>
                <w:sz w:val="20"/>
                <w:szCs w:val="20"/>
                <w:lang w:val="en-GB"/>
              </w:rPr>
            </w:pPr>
          </w:p>
          <w:p w14:paraId="0A32C918" w14:textId="77777777" w:rsidR="0029429F" w:rsidRPr="00771C23" w:rsidRDefault="0029429F" w:rsidP="00E117FD">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 xml:space="preserve">Parenting Research Centre and the Frame Works Institute release Phase 2 of the </w:t>
            </w:r>
            <w:r w:rsidRPr="00B805F8">
              <w:rPr>
                <w:i/>
                <w:color w:val="000000" w:themeColor="text1"/>
                <w:spacing w:val="4"/>
                <w:sz w:val="20"/>
                <w:lang w:val="en-GB"/>
              </w:rPr>
              <w:t>Perceptions of Parenting Research</w:t>
            </w:r>
            <w:r w:rsidRPr="00771C23">
              <w:rPr>
                <w:rFonts w:eastAsia="Times New Roman"/>
                <w:color w:val="000000" w:themeColor="text1"/>
                <w:spacing w:val="4"/>
                <w:sz w:val="20"/>
                <w:szCs w:val="20"/>
                <w:lang w:val="en-GB"/>
              </w:rPr>
              <w:t xml:space="preserve"> – Workshop held</w:t>
            </w:r>
          </w:p>
          <w:p w14:paraId="59595ED5" w14:textId="77777777" w:rsidR="0029429F" w:rsidRPr="00771C23" w:rsidRDefault="0029429F" w:rsidP="00E117FD">
            <w:pPr>
              <w:spacing w:before="40" w:after="40"/>
              <w:rPr>
                <w:rFonts w:eastAsia="Times New Roman"/>
                <w:color w:val="000000" w:themeColor="text1"/>
                <w:spacing w:val="4"/>
                <w:sz w:val="20"/>
                <w:szCs w:val="20"/>
                <w:lang w:val="en-GB"/>
              </w:rPr>
            </w:pPr>
          </w:p>
          <w:p w14:paraId="5497E54C" w14:textId="799D3B26" w:rsidR="0029429F" w:rsidRPr="00771C23" w:rsidRDefault="0029429F" w:rsidP="00E117FD">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Development and delivery of the First 1</w:t>
            </w:r>
            <w:r w:rsidR="00980F86">
              <w:rPr>
                <w:rFonts w:eastAsia="Times New Roman"/>
                <w:color w:val="000000" w:themeColor="text1"/>
                <w:spacing w:val="4"/>
                <w:sz w:val="20"/>
                <w:szCs w:val="20"/>
                <w:lang w:val="en-GB"/>
              </w:rPr>
              <w:t>,</w:t>
            </w:r>
            <w:r w:rsidRPr="00771C23">
              <w:rPr>
                <w:rFonts w:eastAsia="Times New Roman"/>
                <w:color w:val="000000" w:themeColor="text1"/>
                <w:spacing w:val="4"/>
                <w:sz w:val="20"/>
                <w:szCs w:val="20"/>
                <w:lang w:val="en-GB"/>
              </w:rPr>
              <w:t>000 Days landing page on the Raising Children Network website</w:t>
            </w:r>
          </w:p>
          <w:p w14:paraId="62447F3B" w14:textId="77777777" w:rsidR="0029429F" w:rsidRPr="00771C23" w:rsidRDefault="0029429F" w:rsidP="00E117FD">
            <w:pPr>
              <w:spacing w:before="40" w:after="40"/>
              <w:rPr>
                <w:rFonts w:eastAsia="Times New Roman"/>
                <w:color w:val="000000" w:themeColor="text1"/>
                <w:spacing w:val="4"/>
                <w:sz w:val="20"/>
                <w:szCs w:val="20"/>
                <w:lang w:val="en-GB"/>
              </w:rPr>
            </w:pPr>
          </w:p>
          <w:p w14:paraId="78D1E67A" w14:textId="210E3C15" w:rsidR="0029429F" w:rsidRPr="00771C23" w:rsidRDefault="0029429F" w:rsidP="00E117FD">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 xml:space="preserve">Development of the </w:t>
            </w:r>
            <w:r w:rsidRPr="00B805F8">
              <w:rPr>
                <w:i/>
                <w:color w:val="000000" w:themeColor="text1"/>
                <w:spacing w:val="4"/>
                <w:sz w:val="20"/>
                <w:lang w:val="en-GB"/>
              </w:rPr>
              <w:t>Bringing Up Great Kids in the First 1</w:t>
            </w:r>
            <w:r w:rsidR="00980F86">
              <w:rPr>
                <w:i/>
                <w:color w:val="000000" w:themeColor="text1"/>
                <w:spacing w:val="4"/>
                <w:sz w:val="20"/>
                <w:lang w:val="en-GB"/>
              </w:rPr>
              <w:t>,</w:t>
            </w:r>
            <w:r w:rsidRPr="00B805F8">
              <w:rPr>
                <w:i/>
                <w:color w:val="000000" w:themeColor="text1"/>
                <w:spacing w:val="4"/>
                <w:sz w:val="20"/>
                <w:lang w:val="en-GB"/>
              </w:rPr>
              <w:t>000 Days</w:t>
            </w:r>
            <w:r w:rsidRPr="00771C23">
              <w:rPr>
                <w:rFonts w:eastAsia="Times New Roman"/>
                <w:color w:val="000000" w:themeColor="text1"/>
                <w:spacing w:val="4"/>
                <w:sz w:val="20"/>
                <w:szCs w:val="20"/>
                <w:lang w:val="en-GB"/>
              </w:rPr>
              <w:t xml:space="preserve"> train the trainer package</w:t>
            </w:r>
          </w:p>
          <w:p w14:paraId="2783D3AD" w14:textId="77777777" w:rsidR="0029429F" w:rsidRPr="00771C23" w:rsidRDefault="0029429F" w:rsidP="00E117FD">
            <w:pPr>
              <w:spacing w:before="40" w:after="40"/>
              <w:rPr>
                <w:rFonts w:eastAsia="Times New Roman"/>
                <w:color w:val="000000" w:themeColor="text1"/>
                <w:spacing w:val="4"/>
                <w:sz w:val="20"/>
                <w:szCs w:val="20"/>
                <w:lang w:val="en-GB"/>
              </w:rPr>
            </w:pPr>
          </w:p>
          <w:p w14:paraId="075C6958" w14:textId="77777777" w:rsidR="0029429F" w:rsidRPr="00771C23" w:rsidRDefault="0029429F" w:rsidP="00E117FD">
            <w:pPr>
              <w:spacing w:before="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Limited tender process for delivery of National Child Protection Information Data Sharing Solution (Connect 4 Safety) completed, vendor contracted.  Solution progressively being on boarded by state and territory child protection agencies</w:t>
            </w:r>
          </w:p>
          <w:p w14:paraId="7F42121B" w14:textId="037CDE7F" w:rsidR="0029429F" w:rsidRPr="00771C23" w:rsidRDefault="0029429F" w:rsidP="003A047F">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lastRenderedPageBreak/>
              <w:t>Building Capacity in Australia’s Parents (BCAP) trial completed</w:t>
            </w:r>
          </w:p>
          <w:p w14:paraId="21097095" w14:textId="77777777" w:rsidR="00980F86" w:rsidRDefault="00980F86">
            <w:pPr>
              <w:spacing w:before="40" w:after="40"/>
              <w:rPr>
                <w:rFonts w:eastAsia="Times New Roman"/>
                <w:color w:val="000000" w:themeColor="text1"/>
                <w:spacing w:val="4"/>
                <w:sz w:val="20"/>
                <w:szCs w:val="20"/>
                <w:lang w:val="en-GB"/>
              </w:rPr>
            </w:pPr>
          </w:p>
          <w:p w14:paraId="24BD9E68" w14:textId="68705F84" w:rsidR="0029429F" w:rsidRPr="00327F01" w:rsidRDefault="0029429F">
            <w:pPr>
              <w:spacing w:before="40" w:after="40"/>
              <w:rPr>
                <w:rFonts w:eastAsia="Times New Roman"/>
                <w:color w:val="000000" w:themeColor="text1"/>
                <w:spacing w:val="4"/>
                <w:sz w:val="20"/>
                <w:szCs w:val="20"/>
                <w:lang w:val="en-GB"/>
              </w:rPr>
            </w:pPr>
            <w:r w:rsidRPr="00327F01">
              <w:rPr>
                <w:rFonts w:eastAsia="Times New Roman"/>
                <w:color w:val="000000" w:themeColor="text1"/>
                <w:spacing w:val="4"/>
                <w:sz w:val="20"/>
                <w:szCs w:val="20"/>
                <w:lang w:val="en-GB"/>
              </w:rPr>
              <w:t>Completion of a guide to support implementation of the Aboriginal and Torres Strait Islander Child Placement Principle (ATSICPP), including workshops to support implementation of the ATSICPP</w:t>
            </w:r>
          </w:p>
          <w:p w14:paraId="1972B45B" w14:textId="77777777" w:rsidR="0029429F" w:rsidRPr="00327F01" w:rsidRDefault="0029429F" w:rsidP="00E117FD">
            <w:pPr>
              <w:spacing w:before="40" w:after="40"/>
              <w:rPr>
                <w:rFonts w:eastAsia="Times New Roman"/>
                <w:color w:val="000000" w:themeColor="text1"/>
                <w:spacing w:val="4"/>
                <w:sz w:val="20"/>
                <w:szCs w:val="20"/>
                <w:lang w:val="en-GB"/>
              </w:rPr>
            </w:pPr>
          </w:p>
          <w:p w14:paraId="607DBFDA" w14:textId="3A0D3053" w:rsidR="0029429F" w:rsidRPr="00327F01" w:rsidRDefault="0029429F">
            <w:pPr>
              <w:spacing w:before="40" w:after="40"/>
              <w:rPr>
                <w:rFonts w:eastAsia="Times New Roman"/>
                <w:color w:val="000000" w:themeColor="text1"/>
                <w:spacing w:val="4"/>
                <w:sz w:val="20"/>
                <w:szCs w:val="20"/>
                <w:lang w:val="en-GB"/>
              </w:rPr>
            </w:pPr>
            <w:r w:rsidRPr="00327F01">
              <w:rPr>
                <w:rFonts w:eastAsia="Times New Roman"/>
                <w:color w:val="000000" w:themeColor="text1"/>
                <w:spacing w:val="4"/>
                <w:sz w:val="20"/>
                <w:szCs w:val="20"/>
                <w:lang w:val="en-GB"/>
              </w:rPr>
              <w:t>Investment in ongoing data development for new national indicators to measure compliance with the ATSICPP</w:t>
            </w:r>
          </w:p>
          <w:p w14:paraId="53360242" w14:textId="77777777" w:rsidR="0029429F" w:rsidRPr="00327F01" w:rsidRDefault="0029429F" w:rsidP="00E117FD">
            <w:pPr>
              <w:spacing w:before="40" w:after="40"/>
              <w:rPr>
                <w:rFonts w:eastAsia="Times New Roman"/>
                <w:color w:val="000000" w:themeColor="text1"/>
                <w:spacing w:val="4"/>
                <w:sz w:val="20"/>
                <w:szCs w:val="20"/>
                <w:lang w:val="en-GB"/>
              </w:rPr>
            </w:pPr>
          </w:p>
          <w:p w14:paraId="5A0185AD" w14:textId="2703A17E" w:rsidR="0029429F" w:rsidRPr="00327F01" w:rsidRDefault="0029429F" w:rsidP="00E117FD">
            <w:pPr>
              <w:spacing w:before="40" w:after="40"/>
              <w:rPr>
                <w:rFonts w:eastAsia="Times New Roman"/>
                <w:color w:val="000000" w:themeColor="text1"/>
                <w:spacing w:val="4"/>
                <w:sz w:val="20"/>
                <w:szCs w:val="20"/>
                <w:lang w:val="en-GB"/>
              </w:rPr>
            </w:pPr>
            <w:r w:rsidRPr="00327F01">
              <w:rPr>
                <w:rFonts w:eastAsia="Times New Roman"/>
                <w:color w:val="000000" w:themeColor="text1"/>
                <w:spacing w:val="4"/>
                <w:sz w:val="20"/>
                <w:szCs w:val="20"/>
                <w:lang w:val="en-GB"/>
              </w:rPr>
              <w:t>Agreement of Permanency Outcomes Performance Reporting Framework. New permanency indicators reported in Child Protection Australia 2018-19</w:t>
            </w:r>
          </w:p>
          <w:p w14:paraId="077226AD" w14:textId="77777777" w:rsidR="0029429F" w:rsidRPr="00327F01" w:rsidRDefault="0029429F" w:rsidP="00E117FD">
            <w:pPr>
              <w:spacing w:before="40" w:after="40"/>
              <w:rPr>
                <w:rFonts w:eastAsia="Times New Roman"/>
                <w:color w:val="000000" w:themeColor="text1"/>
                <w:spacing w:val="4"/>
                <w:sz w:val="20"/>
                <w:szCs w:val="20"/>
                <w:lang w:val="en-GB"/>
              </w:rPr>
            </w:pPr>
          </w:p>
          <w:p w14:paraId="414272BF" w14:textId="5157213C" w:rsidR="0029429F" w:rsidRPr="00771C23" w:rsidRDefault="0029429F" w:rsidP="00E117FD">
            <w:pPr>
              <w:spacing w:before="40" w:after="40"/>
              <w:rPr>
                <w:rFonts w:eastAsia="Times New Roman"/>
                <w:color w:val="000000" w:themeColor="text1"/>
                <w:spacing w:val="4"/>
                <w:sz w:val="20"/>
                <w:szCs w:val="20"/>
                <w:lang w:val="en-GB"/>
              </w:rPr>
            </w:pPr>
            <w:r w:rsidRPr="00327F01">
              <w:rPr>
                <w:rFonts w:eastAsia="Times New Roman"/>
                <w:color w:val="000000" w:themeColor="text1"/>
                <w:spacing w:val="4"/>
                <w:sz w:val="20"/>
                <w:szCs w:val="20"/>
                <w:lang w:val="en-GB"/>
              </w:rPr>
              <w:t>Development of a nationally consistent approach to guide timely permanency decision-making for children in out-of-home care</w:t>
            </w:r>
          </w:p>
        </w:tc>
        <w:tc>
          <w:tcPr>
            <w:tcW w:w="1254" w:type="pct"/>
            <w:tcBorders>
              <w:top w:val="single" w:sz="18" w:space="0" w:color="00B0B9"/>
            </w:tcBorders>
          </w:tcPr>
          <w:p w14:paraId="2D38D032" w14:textId="77777777" w:rsidR="0029429F" w:rsidRPr="00771C23" w:rsidRDefault="0029429F" w:rsidP="00E117FD">
            <w:pPr>
              <w:spacing w:before="40" w:after="40"/>
              <w:rPr>
                <w:rFonts w:eastAsia="Times New Roman"/>
                <w:spacing w:val="4"/>
                <w:sz w:val="20"/>
                <w:szCs w:val="20"/>
                <w:lang w:val="en-GB"/>
              </w:rPr>
            </w:pPr>
            <w:r w:rsidRPr="00771C23">
              <w:rPr>
                <w:rFonts w:eastAsia="Times New Roman"/>
                <w:spacing w:val="4"/>
                <w:sz w:val="20"/>
                <w:szCs w:val="20"/>
                <w:lang w:val="en-GB"/>
              </w:rPr>
              <w:lastRenderedPageBreak/>
              <w:t xml:space="preserve">Result: </w:t>
            </w:r>
            <w:r>
              <w:rPr>
                <w:rFonts w:eastAsia="Times New Roman"/>
                <w:spacing w:val="4"/>
                <w:sz w:val="20"/>
                <w:szCs w:val="20"/>
                <w:lang w:val="en-GB"/>
              </w:rPr>
              <w:t>M</w:t>
            </w:r>
            <w:r w:rsidRPr="00771C23">
              <w:rPr>
                <w:rFonts w:eastAsia="Times New Roman"/>
                <w:spacing w:val="4"/>
                <w:sz w:val="20"/>
                <w:szCs w:val="20"/>
                <w:lang w:val="en-GB"/>
              </w:rPr>
              <w:t xml:space="preserve">et </w:t>
            </w:r>
          </w:p>
          <w:p w14:paraId="7797DA96" w14:textId="77777777" w:rsidR="0029429F" w:rsidRPr="00771C23" w:rsidRDefault="0029429F" w:rsidP="00E117FD">
            <w:pPr>
              <w:spacing w:before="40" w:after="40"/>
              <w:rPr>
                <w:rFonts w:eastAsia="Times New Roman"/>
                <w:spacing w:val="4"/>
                <w:sz w:val="20"/>
                <w:szCs w:val="20"/>
                <w:lang w:val="en-GB"/>
              </w:rPr>
            </w:pPr>
          </w:p>
          <w:p w14:paraId="17A9B730" w14:textId="16A2D90F" w:rsidR="0029429F" w:rsidRPr="00771C23" w:rsidRDefault="0029429F" w:rsidP="00E117FD">
            <w:pPr>
              <w:spacing w:before="40" w:after="40"/>
              <w:rPr>
                <w:rFonts w:eastAsia="Times New Roman"/>
                <w:spacing w:val="4"/>
                <w:sz w:val="20"/>
                <w:szCs w:val="20"/>
                <w:lang w:val="en-GB"/>
              </w:rPr>
            </w:pPr>
            <w:r w:rsidRPr="00771C23">
              <w:rPr>
                <w:rFonts w:eastAsia="Times New Roman"/>
                <w:spacing w:val="4"/>
                <w:sz w:val="20"/>
                <w:szCs w:val="20"/>
                <w:lang w:val="en-GB"/>
              </w:rPr>
              <w:t xml:space="preserve">Formation of Priority Area Working Groups to drive delivery of actions to meet the objectives of priorities in the Fourth Action Plan </w:t>
            </w:r>
          </w:p>
          <w:p w14:paraId="64E5684E" w14:textId="77777777" w:rsidR="0029429F" w:rsidRPr="00771C23" w:rsidRDefault="0029429F" w:rsidP="00E117FD">
            <w:pPr>
              <w:spacing w:before="40" w:after="40"/>
              <w:rPr>
                <w:rFonts w:eastAsia="Times New Roman"/>
                <w:spacing w:val="4"/>
                <w:sz w:val="20"/>
                <w:szCs w:val="20"/>
                <w:lang w:val="en-GB"/>
              </w:rPr>
            </w:pPr>
          </w:p>
          <w:p w14:paraId="4FDF5732" w14:textId="006DDB43" w:rsidR="0029429F" w:rsidRPr="00771C23" w:rsidRDefault="0029429F" w:rsidP="00E117FD">
            <w:pPr>
              <w:spacing w:before="40" w:after="40"/>
              <w:rPr>
                <w:rFonts w:eastAsia="Times New Roman"/>
                <w:spacing w:val="4"/>
                <w:sz w:val="20"/>
                <w:szCs w:val="20"/>
                <w:lang w:val="en-GB"/>
              </w:rPr>
            </w:pPr>
            <w:r w:rsidRPr="00771C23">
              <w:rPr>
                <w:rFonts w:eastAsia="Times New Roman"/>
                <w:spacing w:val="4"/>
                <w:sz w:val="20"/>
                <w:szCs w:val="20"/>
                <w:lang w:val="en-GB"/>
              </w:rPr>
              <w:t xml:space="preserve">Regular meetings and consultations with the Child and Families Secretaries Group, the National Forum for Protecting Australia’s Children and Aboriginal and Torres Strait Islander Working Group to oversee the implementation of actions </w:t>
            </w:r>
          </w:p>
          <w:p w14:paraId="4620F15B" w14:textId="77777777" w:rsidR="0029429F" w:rsidRPr="00771C23" w:rsidRDefault="0029429F" w:rsidP="00E117FD">
            <w:pPr>
              <w:spacing w:before="40" w:after="40"/>
              <w:rPr>
                <w:rFonts w:eastAsia="Times New Roman"/>
                <w:spacing w:val="4"/>
                <w:sz w:val="20"/>
                <w:szCs w:val="20"/>
                <w:lang w:val="en-GB"/>
              </w:rPr>
            </w:pPr>
          </w:p>
          <w:p w14:paraId="78D801E1" w14:textId="11813F68" w:rsidR="0029429F" w:rsidRPr="00771C23" w:rsidRDefault="0029429F" w:rsidP="00E117FD">
            <w:pPr>
              <w:spacing w:before="40" w:after="40"/>
              <w:rPr>
                <w:rFonts w:eastAsia="Times New Roman"/>
                <w:spacing w:val="4"/>
                <w:sz w:val="20"/>
                <w:szCs w:val="20"/>
                <w:lang w:val="en-GB"/>
              </w:rPr>
            </w:pPr>
            <w:r w:rsidRPr="00771C23">
              <w:rPr>
                <w:rFonts w:eastAsia="Times New Roman"/>
                <w:spacing w:val="4"/>
                <w:sz w:val="20"/>
                <w:szCs w:val="20"/>
                <w:lang w:val="en-GB"/>
              </w:rPr>
              <w:t xml:space="preserve">Continuation of the Towards Independent Adulthood (TIA) trial by working with Western Australian Department of Communities to support TIA participants </w:t>
            </w:r>
          </w:p>
          <w:p w14:paraId="11CCFC11" w14:textId="77777777" w:rsidR="0029429F" w:rsidRPr="00771C23" w:rsidRDefault="0029429F" w:rsidP="00E117FD">
            <w:pPr>
              <w:spacing w:before="40" w:after="40"/>
              <w:rPr>
                <w:rFonts w:eastAsia="Times New Roman"/>
                <w:spacing w:val="4"/>
                <w:sz w:val="20"/>
                <w:szCs w:val="20"/>
                <w:lang w:val="en-GB"/>
              </w:rPr>
            </w:pPr>
          </w:p>
          <w:p w14:paraId="7FEEDE3B" w14:textId="266A36C0" w:rsidR="0029429F" w:rsidRDefault="0029429F" w:rsidP="00E117FD">
            <w:pPr>
              <w:spacing w:before="40" w:after="40"/>
              <w:rPr>
                <w:rFonts w:eastAsia="Times New Roman"/>
                <w:spacing w:val="4"/>
                <w:sz w:val="20"/>
                <w:szCs w:val="20"/>
                <w:lang w:val="en-GB"/>
              </w:rPr>
            </w:pPr>
            <w:r w:rsidRPr="00771C23">
              <w:rPr>
                <w:rFonts w:eastAsia="Times New Roman"/>
                <w:spacing w:val="4"/>
                <w:sz w:val="20"/>
                <w:szCs w:val="20"/>
                <w:lang w:val="en-GB"/>
              </w:rPr>
              <w:t>Sharing information nationally to help ensure child safety’ challenge, Stage Two, Proof of Concept Phase successfully completed</w:t>
            </w:r>
          </w:p>
          <w:p w14:paraId="09D07745" w14:textId="77777777" w:rsidR="0029429F" w:rsidRDefault="0029429F" w:rsidP="00E117FD">
            <w:pPr>
              <w:spacing w:before="40" w:after="40"/>
              <w:rPr>
                <w:rFonts w:eastAsia="Times New Roman"/>
                <w:spacing w:val="4"/>
                <w:sz w:val="20"/>
                <w:szCs w:val="20"/>
                <w:lang w:val="en-GB"/>
              </w:rPr>
            </w:pPr>
          </w:p>
          <w:p w14:paraId="1D7C5308" w14:textId="53C32B0B" w:rsidR="0029429F" w:rsidRPr="00771C23" w:rsidRDefault="0029429F" w:rsidP="00E117FD">
            <w:pPr>
              <w:spacing w:before="40" w:after="40"/>
              <w:rPr>
                <w:rFonts w:eastAsia="Times New Roman"/>
                <w:spacing w:val="4"/>
                <w:sz w:val="20"/>
                <w:szCs w:val="20"/>
                <w:lang w:val="en-GB"/>
              </w:rPr>
            </w:pPr>
            <w:r w:rsidRPr="00327F01">
              <w:rPr>
                <w:rFonts w:eastAsia="Times New Roman"/>
                <w:spacing w:val="4"/>
                <w:sz w:val="20"/>
                <w:szCs w:val="20"/>
                <w:lang w:val="en-GB"/>
              </w:rPr>
              <w:t>Evidence review published on timely decision-making and outcomes for children in out-of-home care</w:t>
            </w:r>
          </w:p>
        </w:tc>
        <w:tc>
          <w:tcPr>
            <w:tcW w:w="1471" w:type="pct"/>
            <w:tcBorders>
              <w:top w:val="single" w:sz="18" w:space="0" w:color="00B0B9"/>
            </w:tcBorders>
          </w:tcPr>
          <w:p w14:paraId="458A1FE4" w14:textId="77777777" w:rsidR="0029429F" w:rsidRPr="00771C23" w:rsidRDefault="0029429F" w:rsidP="00E117FD">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 xml:space="preserve">Result: </w:t>
            </w:r>
            <w:r>
              <w:rPr>
                <w:rFonts w:eastAsia="Times New Roman"/>
                <w:color w:val="000000" w:themeColor="text1"/>
                <w:spacing w:val="4"/>
                <w:sz w:val="20"/>
                <w:szCs w:val="20"/>
                <w:lang w:val="en-GB"/>
              </w:rPr>
              <w:t>M</w:t>
            </w:r>
            <w:r w:rsidRPr="00771C23">
              <w:rPr>
                <w:rFonts w:eastAsia="Times New Roman"/>
                <w:color w:val="000000" w:themeColor="text1"/>
                <w:spacing w:val="4"/>
                <w:sz w:val="20"/>
                <w:szCs w:val="20"/>
                <w:lang w:val="en-GB"/>
              </w:rPr>
              <w:t xml:space="preserve">et </w:t>
            </w:r>
          </w:p>
          <w:p w14:paraId="5EF63A54" w14:textId="77777777" w:rsidR="0029429F" w:rsidRPr="00771C23" w:rsidRDefault="0029429F" w:rsidP="00E117FD">
            <w:pPr>
              <w:spacing w:before="40" w:after="40"/>
              <w:rPr>
                <w:rFonts w:eastAsia="Times New Roman"/>
                <w:color w:val="000000" w:themeColor="text1"/>
                <w:spacing w:val="4"/>
                <w:sz w:val="20"/>
                <w:szCs w:val="20"/>
                <w:lang w:val="en-GB"/>
              </w:rPr>
            </w:pPr>
          </w:p>
          <w:p w14:paraId="272893D1" w14:textId="082E0389" w:rsidR="0029429F" w:rsidRPr="00771C23" w:rsidRDefault="0029429F" w:rsidP="00E117FD">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Development of National Principles for Child Safe Organisations</w:t>
            </w:r>
          </w:p>
          <w:p w14:paraId="5ABB7099" w14:textId="77777777" w:rsidR="0029429F" w:rsidRPr="00771C23" w:rsidRDefault="0029429F" w:rsidP="00E117FD">
            <w:pPr>
              <w:spacing w:before="40" w:after="40"/>
              <w:rPr>
                <w:rFonts w:eastAsia="Times New Roman"/>
                <w:color w:val="000000" w:themeColor="text1"/>
                <w:spacing w:val="4"/>
                <w:sz w:val="20"/>
                <w:szCs w:val="20"/>
                <w:lang w:val="en-GB"/>
              </w:rPr>
            </w:pPr>
          </w:p>
          <w:p w14:paraId="63DB75D8" w14:textId="05846099" w:rsidR="0029429F" w:rsidRPr="00771C23" w:rsidRDefault="0029429F" w:rsidP="00E117FD">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Towards Independent Adulthood (TIA) trial governance structures agreed with Western Australia’s Department of Communities and service providers</w:t>
            </w:r>
          </w:p>
          <w:p w14:paraId="7544DE9E" w14:textId="77777777" w:rsidR="0029429F" w:rsidRPr="00771C23" w:rsidRDefault="0029429F" w:rsidP="00E117FD">
            <w:pPr>
              <w:spacing w:before="40" w:after="40"/>
              <w:rPr>
                <w:rFonts w:eastAsia="Times New Roman"/>
                <w:color w:val="000000" w:themeColor="text1"/>
                <w:spacing w:val="4"/>
                <w:sz w:val="20"/>
                <w:szCs w:val="20"/>
                <w:lang w:val="en-GB"/>
              </w:rPr>
            </w:pPr>
          </w:p>
          <w:p w14:paraId="6E1D5CF7" w14:textId="73596FBA" w:rsidR="0029429F" w:rsidRPr="00771C23" w:rsidRDefault="0029429F" w:rsidP="00E117FD">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Stage One, Feasibility Study phase successfully completed</w:t>
            </w:r>
          </w:p>
          <w:p w14:paraId="77845C73" w14:textId="77777777" w:rsidR="0029429F" w:rsidRPr="00771C23" w:rsidRDefault="0029429F" w:rsidP="00E117FD">
            <w:pPr>
              <w:spacing w:before="40" w:after="40"/>
              <w:rPr>
                <w:rFonts w:eastAsia="Times New Roman"/>
                <w:color w:val="000000" w:themeColor="text1"/>
                <w:spacing w:val="4"/>
                <w:sz w:val="20"/>
                <w:szCs w:val="20"/>
                <w:lang w:val="en-GB"/>
              </w:rPr>
            </w:pPr>
          </w:p>
          <w:p w14:paraId="2BDB9733" w14:textId="492028F5" w:rsidR="0029429F" w:rsidRPr="00771C23" w:rsidRDefault="0029429F" w:rsidP="00E117FD">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Commencement of the Building Capacity in Australian Parents (BCAP) trial pilot phase</w:t>
            </w:r>
          </w:p>
          <w:p w14:paraId="224436E7" w14:textId="77777777" w:rsidR="0029429F" w:rsidRPr="00771C23" w:rsidRDefault="0029429F" w:rsidP="00E117FD">
            <w:pPr>
              <w:spacing w:before="40" w:after="40"/>
              <w:rPr>
                <w:rFonts w:eastAsia="Times New Roman"/>
                <w:color w:val="000000" w:themeColor="text1"/>
                <w:spacing w:val="4"/>
                <w:sz w:val="20"/>
                <w:szCs w:val="20"/>
                <w:lang w:val="en-GB"/>
              </w:rPr>
            </w:pPr>
          </w:p>
          <w:p w14:paraId="2DFAF850" w14:textId="574A68A8" w:rsidR="0029429F" w:rsidRPr="00771C23" w:rsidRDefault="0029429F">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Parenting Research Centre and the Frame Works Institute release Phase 2 of the Perceptions of Parenting Research ‘Talking about the Science of Parenting’</w:t>
            </w:r>
            <w:r>
              <w:rPr>
                <w:rFonts w:eastAsia="Times New Roman"/>
                <w:color w:val="000000" w:themeColor="text1"/>
                <w:spacing w:val="4"/>
                <w:sz w:val="20"/>
                <w:szCs w:val="20"/>
                <w:lang w:val="en-GB"/>
              </w:rPr>
              <w:t xml:space="preserve">  </w:t>
            </w:r>
            <w:r w:rsidRPr="00771C23">
              <w:rPr>
                <w:rFonts w:eastAsia="Times New Roman"/>
                <w:color w:val="000000" w:themeColor="text1"/>
                <w:spacing w:val="4"/>
                <w:sz w:val="20"/>
                <w:szCs w:val="20"/>
                <w:lang w:val="en-GB"/>
              </w:rPr>
              <w:t>report</w:t>
            </w:r>
          </w:p>
        </w:tc>
      </w:tr>
    </w:tbl>
    <w:p w14:paraId="0AAE4D2B" w14:textId="77777777" w:rsidR="0029429F" w:rsidRPr="00771C23" w:rsidRDefault="0029429F" w:rsidP="0029429F">
      <w:pPr>
        <w:spacing w:before="160" w:after="60" w:line="240" w:lineRule="auto"/>
        <w:ind w:left="284" w:hanging="284"/>
        <w:contextualSpacing/>
        <w:rPr>
          <w:rFonts w:cs="Arial"/>
          <w:sz w:val="16"/>
          <w:szCs w:val="16"/>
        </w:rPr>
      </w:pPr>
      <w:r w:rsidRPr="00771C23">
        <w:rPr>
          <w:rFonts w:cs="Arial"/>
          <w:sz w:val="16"/>
          <w:szCs w:val="16"/>
        </w:rPr>
        <w:t>a</w:t>
      </w:r>
      <w:r w:rsidRPr="00771C23">
        <w:rPr>
          <w:rFonts w:cs="Arial"/>
          <w:sz w:val="16"/>
          <w:szCs w:val="16"/>
        </w:rPr>
        <w:tab/>
        <w:t>2019–20 measure was updated from the 2018–19 version to reflect the maturity of the activity / actions taken to implement the framework.</w:t>
      </w:r>
    </w:p>
    <w:p w14:paraId="5BD318B3" w14:textId="77777777" w:rsidR="0029429F" w:rsidRPr="00771C23" w:rsidRDefault="0029429F" w:rsidP="0029429F">
      <w:pPr>
        <w:tabs>
          <w:tab w:val="left" w:pos="720"/>
        </w:tabs>
        <w:spacing w:line="260" w:lineRule="atLeast"/>
        <w:rPr>
          <w:sz w:val="20"/>
          <w:szCs w:val="20"/>
        </w:rPr>
      </w:pPr>
    </w:p>
    <w:p w14:paraId="7A34C3F2" w14:textId="77777777" w:rsidR="00715F6F" w:rsidRDefault="00715F6F">
      <w:pPr>
        <w:rPr>
          <w:rFonts w:eastAsiaTheme="majorEastAsia" w:cstheme="majorBidi"/>
          <w:b/>
          <w:color w:val="595959" w:themeColor="text1" w:themeTint="A6"/>
          <w:sz w:val="24"/>
          <w:szCs w:val="20"/>
        </w:rPr>
        <w:sectPr w:rsidR="00715F6F" w:rsidSect="00A94724">
          <w:footnotePr>
            <w:numRestart w:val="eachPage"/>
          </w:footnotePr>
          <w:pgSz w:w="11906" w:h="16838"/>
          <w:pgMar w:top="1440" w:right="1440" w:bottom="1440" w:left="1440" w:header="709" w:footer="709" w:gutter="0"/>
          <w:cols w:space="708"/>
          <w:docGrid w:linePitch="360"/>
        </w:sectPr>
      </w:pPr>
    </w:p>
    <w:p w14:paraId="4C678011" w14:textId="4EB7196B" w:rsidR="0029429F" w:rsidRPr="00771C23" w:rsidRDefault="0029429F" w:rsidP="0029429F">
      <w:pPr>
        <w:spacing w:before="240" w:after="240"/>
        <w:outlineLvl w:val="7"/>
        <w:rPr>
          <w:rFonts w:eastAsiaTheme="majorEastAsia" w:cstheme="majorBidi"/>
          <w:b/>
          <w:color w:val="595959" w:themeColor="text1" w:themeTint="A6"/>
          <w:sz w:val="24"/>
          <w:szCs w:val="20"/>
        </w:rPr>
      </w:pPr>
      <w:r w:rsidRPr="00771C23">
        <w:rPr>
          <w:rFonts w:eastAsiaTheme="majorEastAsia" w:cstheme="majorBidi"/>
          <w:b/>
          <w:color w:val="595959" w:themeColor="text1" w:themeTint="A6"/>
          <w:sz w:val="24"/>
          <w:szCs w:val="20"/>
        </w:rPr>
        <w:lastRenderedPageBreak/>
        <w:t xml:space="preserve">C2.2.3 Extent of progress in implementing the </w:t>
      </w:r>
      <w:r w:rsidRPr="00771C23">
        <w:rPr>
          <w:rFonts w:eastAsiaTheme="majorEastAsia" w:cstheme="majorBidi"/>
          <w:b/>
          <w:i/>
          <w:color w:val="595959" w:themeColor="text1" w:themeTint="A6"/>
          <w:sz w:val="24"/>
          <w:szCs w:val="20"/>
        </w:rPr>
        <w:t>National Centre for the Prevention of Child Sexual Abuse</w:t>
      </w:r>
    </w:p>
    <w:p w14:paraId="39A8DB60" w14:textId="77777777" w:rsidR="0029429F" w:rsidRPr="00771C23" w:rsidRDefault="0029429F" w:rsidP="0029429F">
      <w:pPr>
        <w:tabs>
          <w:tab w:val="left" w:pos="720"/>
        </w:tabs>
        <w:spacing w:line="260" w:lineRule="atLeast"/>
        <w:rPr>
          <w:sz w:val="20"/>
          <w:szCs w:val="20"/>
        </w:rPr>
      </w:pPr>
      <w:r w:rsidRPr="00771C23">
        <w:rPr>
          <w:sz w:val="20"/>
          <w:szCs w:val="20"/>
        </w:rPr>
        <w:t xml:space="preserve">The </w:t>
      </w:r>
      <w:r w:rsidRPr="00B805F8">
        <w:rPr>
          <w:sz w:val="20"/>
        </w:rPr>
        <w:t xml:space="preserve">Royal Commission into </w:t>
      </w:r>
      <w:r w:rsidRPr="008022DC">
        <w:rPr>
          <w:i/>
          <w:sz w:val="20"/>
        </w:rPr>
        <w:t>Institutional Responses to Child Sexual Abuse</w:t>
      </w:r>
      <w:r w:rsidRPr="00771C23">
        <w:rPr>
          <w:sz w:val="20"/>
          <w:szCs w:val="20"/>
        </w:rPr>
        <w:t xml:space="preserve"> recommended the Australian Government, along with state and territory governments</w:t>
      </w:r>
      <w:r>
        <w:rPr>
          <w:sz w:val="20"/>
          <w:szCs w:val="20"/>
        </w:rPr>
        <w:t>,</w:t>
      </w:r>
      <w:r w:rsidRPr="00771C23">
        <w:rPr>
          <w:sz w:val="20"/>
          <w:szCs w:val="20"/>
        </w:rPr>
        <w:t xml:space="preserve"> establish a National Centre to address child sexual abuse by reducing stigma, promoting help-seeking</w:t>
      </w:r>
      <w:r>
        <w:rPr>
          <w:sz w:val="20"/>
          <w:szCs w:val="20"/>
        </w:rPr>
        <w:t>,</w:t>
      </w:r>
      <w:r w:rsidRPr="00771C23">
        <w:rPr>
          <w:sz w:val="20"/>
          <w:szCs w:val="20"/>
        </w:rPr>
        <w:t xml:space="preserve"> and supporting good practice (Recommendation 9.9).</w:t>
      </w:r>
    </w:p>
    <w:p w14:paraId="1DF4CB7E" w14:textId="77777777" w:rsidR="0029429F" w:rsidRPr="00771C23" w:rsidRDefault="0029429F" w:rsidP="0029429F">
      <w:pPr>
        <w:spacing w:after="0"/>
        <w:outlineLvl w:val="6"/>
        <w:rPr>
          <w:rFonts w:eastAsiaTheme="majorEastAsia" w:cstheme="majorBidi"/>
          <w:i/>
          <w:iCs/>
        </w:rPr>
      </w:pPr>
      <w:r w:rsidRPr="00771C23">
        <w:rPr>
          <w:rFonts w:eastAsiaTheme="majorEastAsia" w:cstheme="majorBidi"/>
          <w:i/>
          <w:iCs/>
        </w:rPr>
        <w:t>Analysis</w:t>
      </w:r>
    </w:p>
    <w:p w14:paraId="532F5D8A" w14:textId="77777777" w:rsidR="0029429F" w:rsidRPr="00771C23" w:rsidRDefault="0029429F" w:rsidP="0029429F">
      <w:pPr>
        <w:tabs>
          <w:tab w:val="left" w:pos="720"/>
        </w:tabs>
        <w:spacing w:line="260" w:lineRule="atLeast"/>
        <w:rPr>
          <w:sz w:val="20"/>
          <w:szCs w:val="20"/>
        </w:rPr>
      </w:pPr>
      <w:r w:rsidRPr="00771C23">
        <w:rPr>
          <w:sz w:val="20"/>
          <w:szCs w:val="20"/>
        </w:rPr>
        <w:t>The Australian Government has committed $22.5 million over five years to establish a National Centre for the Prevention of Child Sexual Abuse (National Centre).</w:t>
      </w:r>
      <w:r w:rsidRPr="00771C23">
        <w:t xml:space="preserve"> </w:t>
      </w:r>
      <w:r w:rsidRPr="00771C23">
        <w:rPr>
          <w:sz w:val="20"/>
          <w:szCs w:val="20"/>
        </w:rPr>
        <w:t xml:space="preserve">The Australian Government is working closely with all states and territories to ensure the National Centre delivers a five-year work plan that will address the scope of the recommendation. The National Centre will intersect with the </w:t>
      </w:r>
      <w:r w:rsidRPr="008022DC">
        <w:rPr>
          <w:i/>
          <w:sz w:val="20"/>
        </w:rPr>
        <w:t>National Strategy for the Prevention of Child Sexual Abuse</w:t>
      </w:r>
      <w:r w:rsidRPr="00771C23">
        <w:rPr>
          <w:sz w:val="20"/>
          <w:szCs w:val="20"/>
        </w:rPr>
        <w:t xml:space="preserve"> to deliver outcomes that will reduce further traumatisation of those living with past child sexual abuse, and work to prevent future harm.</w:t>
      </w:r>
    </w:p>
    <w:p w14:paraId="5B245CE2" w14:textId="77777777" w:rsidR="0029429F" w:rsidRPr="00771C23" w:rsidRDefault="0029429F" w:rsidP="0029429F">
      <w:pPr>
        <w:tabs>
          <w:tab w:val="left" w:pos="720"/>
        </w:tabs>
        <w:spacing w:line="260" w:lineRule="atLeast"/>
        <w:rPr>
          <w:sz w:val="20"/>
          <w:szCs w:val="20"/>
        </w:rPr>
      </w:pPr>
      <w:r w:rsidRPr="00771C23">
        <w:rPr>
          <w:sz w:val="20"/>
          <w:szCs w:val="20"/>
        </w:rPr>
        <w:t>The National Centre, once established in 2020</w:t>
      </w:r>
      <w:r w:rsidRPr="00771C23">
        <w:rPr>
          <w:rFonts w:eastAsia="Times New Roman" w:cs="Times New Roman"/>
          <w:sz w:val="20"/>
          <w:szCs w:val="18"/>
        </w:rPr>
        <w:t>–</w:t>
      </w:r>
      <w:r w:rsidRPr="00771C23">
        <w:rPr>
          <w:sz w:val="20"/>
          <w:szCs w:val="20"/>
        </w:rPr>
        <w:t>21, will partner with victims and survivors in all its work.</w:t>
      </w:r>
    </w:p>
    <w:p w14:paraId="1D0C3D92" w14:textId="77777777" w:rsidR="0029429F" w:rsidRPr="00771C23" w:rsidRDefault="0029429F" w:rsidP="0029429F">
      <w:pPr>
        <w:tabs>
          <w:tab w:val="left" w:pos="720"/>
        </w:tabs>
        <w:spacing w:line="260" w:lineRule="atLeast"/>
        <w:rPr>
          <w:rFonts w:eastAsiaTheme="majorEastAsia" w:cstheme="majorBidi"/>
          <w:b/>
          <w:color w:val="595959" w:themeColor="text1" w:themeTint="A6"/>
          <w:sz w:val="24"/>
          <w:szCs w:val="20"/>
        </w:rPr>
      </w:pPr>
      <w:r w:rsidRPr="00771C23">
        <w:rPr>
          <w:sz w:val="20"/>
          <w:szCs w:val="20"/>
        </w:rPr>
        <w:t xml:space="preserve">The timeframe for delivering the National Centre was extended from December 2020 until early 2021. The extended timeframe will ensure any impediments to selecting a provider to deliver the National Centre due to </w:t>
      </w:r>
      <w:r>
        <w:rPr>
          <w:sz w:val="20"/>
          <w:szCs w:val="20"/>
        </w:rPr>
        <w:t>the COVID-19</w:t>
      </w:r>
      <w:r w:rsidRPr="00771C23">
        <w:rPr>
          <w:sz w:val="20"/>
          <w:szCs w:val="20"/>
        </w:rPr>
        <w:t xml:space="preserve"> </w:t>
      </w:r>
      <w:r>
        <w:rPr>
          <w:sz w:val="20"/>
          <w:szCs w:val="20"/>
        </w:rPr>
        <w:t xml:space="preserve">pandemic </w:t>
      </w:r>
      <w:r w:rsidRPr="00771C23">
        <w:rPr>
          <w:sz w:val="20"/>
          <w:szCs w:val="20"/>
        </w:rPr>
        <w:t>have been minimised.</w:t>
      </w:r>
    </w:p>
    <w:p w14:paraId="79A2B9FD" w14:textId="77777777" w:rsidR="0029429F" w:rsidRPr="00771C23" w:rsidRDefault="0029429F" w:rsidP="0029429F"/>
    <w:p w14:paraId="72C628B3" w14:textId="77777777" w:rsidR="0029429F" w:rsidRPr="00771C23" w:rsidRDefault="0029429F" w:rsidP="0029429F">
      <w:pPr>
        <w:rPr>
          <w:rFonts w:ascii="Arial Narrow" w:eastAsia="Times New Roman" w:hAnsi="Arial Narrow" w:cstheme="minorHAnsi"/>
          <w:b/>
          <w:bCs/>
          <w:spacing w:val="4"/>
          <w:sz w:val="20"/>
          <w:szCs w:val="18"/>
          <w:lang w:eastAsia="en-AU"/>
        </w:rPr>
      </w:pPr>
      <w:r w:rsidRPr="00771C23">
        <w:rPr>
          <w:rFonts w:ascii="Arial Narrow" w:eastAsia="Times New Roman" w:hAnsi="Arial Narrow" w:cstheme="minorHAnsi"/>
          <w:b/>
          <w:bCs/>
          <w:spacing w:val="4"/>
          <w:sz w:val="20"/>
          <w:szCs w:val="18"/>
          <w:lang w:eastAsia="en-AU"/>
        </w:rPr>
        <w:br w:type="page"/>
      </w:r>
    </w:p>
    <w:p w14:paraId="37145CBB" w14:textId="77777777" w:rsidR="0029429F" w:rsidRPr="00771C23" w:rsidRDefault="0029429F" w:rsidP="0029429F">
      <w:pPr>
        <w:keepNext/>
        <w:spacing w:before="240" w:after="0" w:line="260" w:lineRule="atLeast"/>
        <w:ind w:right="425"/>
        <w:rPr>
          <w:rFonts w:ascii="Arial Narrow" w:eastAsia="Times New Roman" w:hAnsi="Arial Narrow" w:cs="Times New Roman"/>
          <w:b/>
          <w:bCs/>
          <w:spacing w:val="4"/>
          <w:sz w:val="20"/>
          <w:szCs w:val="18"/>
          <w:lang w:eastAsia="en-AU"/>
        </w:rPr>
      </w:pPr>
      <w:r w:rsidRPr="00771C23">
        <w:rPr>
          <w:rFonts w:ascii="Arial Narrow" w:eastAsia="Times New Roman" w:hAnsi="Arial Narrow" w:cs="Times New Roman"/>
          <w:b/>
          <w:bCs/>
          <w:spacing w:val="4"/>
          <w:sz w:val="20"/>
          <w:szCs w:val="18"/>
          <w:lang w:eastAsia="en-AU"/>
        </w:rPr>
        <w:lastRenderedPageBreak/>
        <w:t>Table 2.2.7: Assess whether the National Centre for the Prevention of Child Sexual Abuse is on track to be operational in the second half of 2020</w:t>
      </w:r>
    </w:p>
    <w:tbl>
      <w:tblPr>
        <w:tblStyle w:val="HHorizontaltable1"/>
        <w:tblW w:w="5000" w:type="pct"/>
        <w:tblLook w:val="04A0" w:firstRow="1" w:lastRow="0" w:firstColumn="1" w:lastColumn="0" w:noHBand="0" w:noVBand="1"/>
        <w:tblCaption w:val="Table 2.2.7: Assess whether the national Centre for the Prevention of Child Sexual Abuse is on track to be operational in the second half of 2020"/>
        <w:tblDescription w:val="Table 2.2.7: Assess whether the national Centre for the Prevention of Child Sexual Abuse is on track to be operational in the second half of 2020"/>
      </w:tblPr>
      <w:tblGrid>
        <w:gridCol w:w="1967"/>
        <w:gridCol w:w="2710"/>
        <w:gridCol w:w="1843"/>
        <w:gridCol w:w="2506"/>
      </w:tblGrid>
      <w:tr w:rsidR="0029429F" w:rsidRPr="00771C23" w14:paraId="79EEB011"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1090" w:type="pct"/>
            <w:tcBorders>
              <w:bottom w:val="single" w:sz="4" w:space="0" w:color="FFFFFF" w:themeColor="background1"/>
            </w:tcBorders>
            <w:hideMark/>
          </w:tcPr>
          <w:p w14:paraId="23363599" w14:textId="77777777" w:rsidR="0029429F" w:rsidRPr="007F2601" w:rsidRDefault="0029429F" w:rsidP="00E117FD">
            <w:pPr>
              <w:keepNext/>
              <w:keepLines/>
              <w:spacing w:before="40" w:after="40"/>
              <w:rPr>
                <w:rFonts w:eastAsia="Times New Roman" w:cs="Times New Roman"/>
                <w:sz w:val="20"/>
                <w:szCs w:val="18"/>
              </w:rPr>
            </w:pPr>
            <w:r w:rsidRPr="007F2601">
              <w:rPr>
                <w:rFonts w:eastAsia="Times New Roman" w:cs="Times New Roman"/>
                <w:sz w:val="20"/>
                <w:szCs w:val="18"/>
              </w:rPr>
              <w:t>Intermediate outcome performance measure</w:t>
            </w:r>
          </w:p>
        </w:tc>
        <w:tc>
          <w:tcPr>
            <w:tcW w:w="1501" w:type="pct"/>
            <w:tcBorders>
              <w:bottom w:val="single" w:sz="4" w:space="0" w:color="FFFFFF" w:themeColor="background1"/>
            </w:tcBorders>
            <w:hideMark/>
          </w:tcPr>
          <w:p w14:paraId="71B2E2E1" w14:textId="77777777" w:rsidR="0029429F" w:rsidRPr="007F2601" w:rsidRDefault="0029429F" w:rsidP="00E117FD">
            <w:pPr>
              <w:keepNext/>
              <w:keepLines/>
              <w:spacing w:before="40" w:after="40"/>
              <w:rPr>
                <w:rFonts w:eastAsia="Times New Roman" w:cs="Times New Roman"/>
                <w:sz w:val="20"/>
                <w:szCs w:val="18"/>
              </w:rPr>
            </w:pPr>
            <w:r w:rsidRPr="007F2601">
              <w:rPr>
                <w:rFonts w:eastAsia="Times New Roman" w:cs="Times New Roman"/>
                <w:sz w:val="20"/>
                <w:szCs w:val="18"/>
              </w:rPr>
              <w:t>2019–20</w:t>
            </w:r>
          </w:p>
        </w:tc>
        <w:tc>
          <w:tcPr>
            <w:tcW w:w="1021" w:type="pct"/>
            <w:tcBorders>
              <w:bottom w:val="single" w:sz="4" w:space="0" w:color="FFFFFF" w:themeColor="background1"/>
            </w:tcBorders>
          </w:tcPr>
          <w:p w14:paraId="76B6C9B2" w14:textId="77777777" w:rsidR="0029429F" w:rsidRPr="007F2601" w:rsidRDefault="0029429F" w:rsidP="00E117FD">
            <w:pPr>
              <w:keepNext/>
              <w:keepLines/>
              <w:spacing w:before="40" w:after="40"/>
              <w:rPr>
                <w:rFonts w:eastAsia="Times New Roman" w:cs="Times New Roman"/>
                <w:sz w:val="20"/>
                <w:szCs w:val="18"/>
              </w:rPr>
            </w:pPr>
            <w:r w:rsidRPr="007F2601">
              <w:rPr>
                <w:rFonts w:eastAsia="Times New Roman" w:cs="Times New Roman"/>
                <w:sz w:val="20"/>
                <w:szCs w:val="18"/>
              </w:rPr>
              <w:t>2018–19</w:t>
            </w:r>
          </w:p>
        </w:tc>
        <w:tc>
          <w:tcPr>
            <w:tcW w:w="1388" w:type="pct"/>
            <w:tcBorders>
              <w:bottom w:val="single" w:sz="4" w:space="0" w:color="FFFFFF" w:themeColor="background1"/>
            </w:tcBorders>
          </w:tcPr>
          <w:p w14:paraId="5D64AA86" w14:textId="77777777" w:rsidR="0029429F" w:rsidRPr="007F2601" w:rsidRDefault="0029429F" w:rsidP="00E117FD">
            <w:pPr>
              <w:keepNext/>
              <w:keepLines/>
              <w:spacing w:before="40" w:after="40"/>
              <w:rPr>
                <w:rFonts w:eastAsia="Times New Roman" w:cs="Times New Roman"/>
                <w:sz w:val="20"/>
                <w:szCs w:val="18"/>
              </w:rPr>
            </w:pPr>
            <w:r w:rsidRPr="007F2601">
              <w:rPr>
                <w:rFonts w:eastAsia="Times New Roman" w:cs="Times New Roman"/>
                <w:sz w:val="20"/>
                <w:szCs w:val="18"/>
              </w:rPr>
              <w:t>2017–18</w:t>
            </w:r>
          </w:p>
        </w:tc>
      </w:tr>
      <w:tr w:rsidR="0029429F" w:rsidRPr="00771C23" w14:paraId="0123DAF6" w14:textId="77777777" w:rsidTr="00384B66">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54E570C3" w14:textId="77777777" w:rsidR="0029429F" w:rsidRPr="00771C23" w:rsidRDefault="0029429F" w:rsidP="00E117FD">
            <w:pPr>
              <w:keepNext/>
              <w:keepLines/>
              <w:spacing w:before="40" w:after="40"/>
              <w:rPr>
                <w:rFonts w:eastAsia="Times New Roman" w:cs="Times New Roman"/>
                <w:b/>
                <w:color w:val="000000" w:themeColor="text1"/>
                <w:sz w:val="20"/>
                <w:szCs w:val="20"/>
              </w:rPr>
            </w:pPr>
            <w:r w:rsidRPr="00771C23">
              <w:rPr>
                <w:rFonts w:eastAsia="Times New Roman" w:cs="Times New Roman"/>
                <w:b/>
                <w:color w:val="000000" w:themeColor="text1"/>
                <w:sz w:val="20"/>
                <w:szCs w:val="20"/>
              </w:rPr>
              <w:t>Cross program</w:t>
            </w:r>
          </w:p>
        </w:tc>
      </w:tr>
      <w:tr w:rsidR="00384B66" w:rsidRPr="00771C23" w14:paraId="79491264" w14:textId="77777777" w:rsidTr="00E117FD">
        <w:trPr>
          <w:cnfStyle w:val="000000010000" w:firstRow="0" w:lastRow="0" w:firstColumn="0" w:lastColumn="0" w:oddVBand="0" w:evenVBand="0" w:oddHBand="0" w:evenHBand="1" w:firstRowFirstColumn="0" w:firstRowLastColumn="0" w:lastRowFirstColumn="0" w:lastRowLastColumn="0"/>
        </w:trPr>
        <w:tc>
          <w:tcPr>
            <w:tcW w:w="1090" w:type="pct"/>
            <w:tcBorders>
              <w:top w:val="single" w:sz="18" w:space="0" w:color="00B0B9"/>
            </w:tcBorders>
            <w:hideMark/>
          </w:tcPr>
          <w:p w14:paraId="5793B4FB" w14:textId="77777777" w:rsidR="00384B66" w:rsidRPr="00771C23" w:rsidRDefault="00384B66" w:rsidP="00384B66">
            <w:pPr>
              <w:spacing w:before="40" w:after="40"/>
              <w:rPr>
                <w:rFonts w:eastAsia="Times New Roman" w:cs="Arial"/>
                <w:spacing w:val="4"/>
                <w:sz w:val="20"/>
                <w:szCs w:val="20"/>
                <w:lang w:val="en-GB"/>
              </w:rPr>
            </w:pPr>
            <w:r w:rsidRPr="00771C23">
              <w:rPr>
                <w:rFonts w:eastAsia="Times New Roman"/>
                <w:spacing w:val="4"/>
                <w:sz w:val="20"/>
                <w:szCs w:val="20"/>
                <w:lang w:val="en-GB"/>
              </w:rPr>
              <w:t>Assess whether the National Centre for the Prevention of Child Sexual Abuse is on track to be operational in the second half of 2020</w:t>
            </w:r>
          </w:p>
        </w:tc>
        <w:tc>
          <w:tcPr>
            <w:tcW w:w="1501" w:type="pct"/>
            <w:tcBorders>
              <w:top w:val="single" w:sz="18" w:space="0" w:color="00B0B9"/>
            </w:tcBorders>
            <w:hideMark/>
          </w:tcPr>
          <w:p w14:paraId="5892E211" w14:textId="77777777" w:rsidR="00384B66" w:rsidRPr="00771C23" w:rsidRDefault="00384B66" w:rsidP="00384B66">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Result: Not met</w:t>
            </w:r>
          </w:p>
          <w:p w14:paraId="15F78629" w14:textId="77777777" w:rsidR="00384B66" w:rsidRPr="00771C23" w:rsidRDefault="00384B66" w:rsidP="00384B66">
            <w:pPr>
              <w:spacing w:before="40" w:after="40"/>
              <w:rPr>
                <w:rFonts w:eastAsia="Times New Roman"/>
                <w:color w:val="000000" w:themeColor="text1"/>
                <w:spacing w:val="4"/>
                <w:sz w:val="20"/>
                <w:szCs w:val="20"/>
                <w:lang w:val="en-GB"/>
              </w:rPr>
            </w:pPr>
          </w:p>
          <w:p w14:paraId="53E2A085" w14:textId="5C9DDF0E" w:rsidR="00384B66" w:rsidRPr="00771C23" w:rsidRDefault="00384B66" w:rsidP="00384B66">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 xml:space="preserve">The National Centre will launch in February 2021. The initial timeframe has been extended to accommodate the impacts of </w:t>
            </w:r>
            <w:r>
              <w:rPr>
                <w:rFonts w:eastAsia="Times New Roman"/>
                <w:color w:val="000000" w:themeColor="text1"/>
                <w:spacing w:val="4"/>
                <w:sz w:val="20"/>
                <w:szCs w:val="20"/>
                <w:lang w:val="en-GB"/>
              </w:rPr>
              <w:t xml:space="preserve">the </w:t>
            </w:r>
            <w:r>
              <w:rPr>
                <w:sz w:val="20"/>
                <w:szCs w:val="20"/>
              </w:rPr>
              <w:t>COVID-19 pandemic</w:t>
            </w:r>
            <w:r w:rsidRPr="00771C23">
              <w:rPr>
                <w:rFonts w:eastAsia="Times New Roman"/>
                <w:color w:val="000000" w:themeColor="text1"/>
                <w:spacing w:val="4"/>
                <w:sz w:val="20"/>
                <w:szCs w:val="20"/>
                <w:lang w:val="en-GB"/>
              </w:rPr>
              <w:t xml:space="preserve"> </w:t>
            </w:r>
          </w:p>
          <w:p w14:paraId="3834EF0D" w14:textId="77777777" w:rsidR="00384B66" w:rsidRPr="00771C23" w:rsidRDefault="00384B66" w:rsidP="00384B66">
            <w:pPr>
              <w:spacing w:before="40" w:after="40"/>
              <w:rPr>
                <w:rFonts w:eastAsia="Times New Roman"/>
                <w:color w:val="000000" w:themeColor="text1"/>
                <w:spacing w:val="4"/>
                <w:sz w:val="20"/>
                <w:szCs w:val="20"/>
                <w:lang w:val="en-GB"/>
              </w:rPr>
            </w:pPr>
          </w:p>
          <w:p w14:paraId="61C38C4E" w14:textId="2F82F6C0" w:rsidR="00384B66" w:rsidRPr="00771C23" w:rsidRDefault="00384B66" w:rsidP="00384B66">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 xml:space="preserve">National online survey conducted through  Engage to capture the views of diverse stakeholders, including victims and survivors of child sexual </w:t>
            </w:r>
            <w:r>
              <w:rPr>
                <w:rFonts w:eastAsia="Times New Roman"/>
                <w:color w:val="000000" w:themeColor="text1"/>
                <w:spacing w:val="4"/>
                <w:sz w:val="20"/>
                <w:szCs w:val="20"/>
                <w:lang w:val="en-GB"/>
              </w:rPr>
              <w:t>abuse</w:t>
            </w:r>
            <w:r w:rsidRPr="00771C23">
              <w:rPr>
                <w:rFonts w:eastAsia="Times New Roman"/>
                <w:color w:val="000000" w:themeColor="text1"/>
                <w:spacing w:val="4"/>
                <w:sz w:val="20"/>
                <w:szCs w:val="20"/>
                <w:lang w:val="en-GB"/>
              </w:rPr>
              <w:t>, their families and caregivers, and the sector</w:t>
            </w:r>
          </w:p>
          <w:p w14:paraId="25EA6A39" w14:textId="77777777" w:rsidR="00384B66" w:rsidRPr="00771C23" w:rsidRDefault="00384B66" w:rsidP="00384B66">
            <w:pPr>
              <w:spacing w:before="40" w:after="40"/>
              <w:rPr>
                <w:rFonts w:eastAsia="Times New Roman"/>
                <w:color w:val="000000" w:themeColor="text1"/>
                <w:spacing w:val="4"/>
                <w:sz w:val="20"/>
                <w:szCs w:val="20"/>
                <w:lang w:val="en-GB"/>
              </w:rPr>
            </w:pPr>
          </w:p>
          <w:p w14:paraId="2CF9D70A" w14:textId="77777777" w:rsidR="00384B66" w:rsidRPr="00771C23" w:rsidRDefault="00384B66" w:rsidP="00384B66">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Nineteen face-to-face consultation workshops conducted with government and non-government stakeholders</w:t>
            </w:r>
          </w:p>
          <w:p w14:paraId="07BB554E" w14:textId="77777777" w:rsidR="00384B66" w:rsidRPr="00771C23" w:rsidRDefault="00384B66" w:rsidP="00384B66">
            <w:pPr>
              <w:spacing w:before="40" w:after="40"/>
              <w:rPr>
                <w:rFonts w:eastAsia="Times New Roman"/>
                <w:color w:val="000000" w:themeColor="text1"/>
                <w:spacing w:val="4"/>
                <w:sz w:val="20"/>
                <w:szCs w:val="20"/>
                <w:lang w:val="en-GB"/>
              </w:rPr>
            </w:pPr>
          </w:p>
          <w:p w14:paraId="38C44D6E" w14:textId="77777777" w:rsidR="00384B66" w:rsidRPr="00771C23" w:rsidRDefault="00384B66" w:rsidP="00384B66">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Ongoing engagement with states and territories</w:t>
            </w:r>
          </w:p>
          <w:p w14:paraId="5DDB425C" w14:textId="77777777" w:rsidR="00384B66" w:rsidRPr="00771C23" w:rsidRDefault="00384B66" w:rsidP="00384B66">
            <w:pPr>
              <w:spacing w:before="40" w:after="40"/>
              <w:rPr>
                <w:rFonts w:eastAsia="Times New Roman"/>
                <w:color w:val="000000" w:themeColor="text1"/>
                <w:spacing w:val="4"/>
                <w:sz w:val="20"/>
                <w:szCs w:val="20"/>
                <w:lang w:val="en-GB"/>
              </w:rPr>
            </w:pPr>
          </w:p>
          <w:p w14:paraId="3F8DB59D" w14:textId="77777777" w:rsidR="00384B66" w:rsidRPr="00771C23" w:rsidRDefault="00384B66" w:rsidP="00384B66">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Ongoing coordination and collaboration with the National Office for Child Safety in delivering the Royal Commission’s recommendations</w:t>
            </w:r>
          </w:p>
        </w:tc>
        <w:tc>
          <w:tcPr>
            <w:tcW w:w="1021" w:type="pct"/>
            <w:tcBorders>
              <w:top w:val="single" w:sz="18" w:space="0" w:color="00B0B9"/>
            </w:tcBorders>
          </w:tcPr>
          <w:p w14:paraId="6C80EBF1" w14:textId="5022C2A9" w:rsidR="00384B66" w:rsidRPr="00771C23" w:rsidRDefault="00384B66" w:rsidP="00384B66">
            <w:pPr>
              <w:spacing w:before="40" w:after="40"/>
              <w:rPr>
                <w:rFonts w:eastAsia="Times New Roman"/>
                <w:spacing w:val="4"/>
                <w:sz w:val="20"/>
                <w:szCs w:val="20"/>
                <w:lang w:val="en-GB"/>
              </w:rPr>
            </w:pPr>
            <w:r w:rsidRPr="002C7144">
              <w:rPr>
                <w:rFonts w:eastAsia="Times New Roman"/>
                <w:color w:val="000000" w:themeColor="text1"/>
                <w:spacing w:val="4"/>
                <w:sz w:val="20"/>
                <w:szCs w:val="20"/>
                <w:lang w:val="en-GB"/>
              </w:rPr>
              <w:t>–</w:t>
            </w:r>
          </w:p>
        </w:tc>
        <w:tc>
          <w:tcPr>
            <w:tcW w:w="1388" w:type="pct"/>
            <w:tcBorders>
              <w:top w:val="single" w:sz="18" w:space="0" w:color="00B0B9"/>
            </w:tcBorders>
          </w:tcPr>
          <w:p w14:paraId="28E877CF" w14:textId="778D9ECA" w:rsidR="00384B66" w:rsidRPr="00771C23" w:rsidRDefault="00384B66" w:rsidP="00384B66">
            <w:pPr>
              <w:spacing w:before="40" w:after="40"/>
              <w:rPr>
                <w:rFonts w:eastAsia="Times New Roman"/>
                <w:color w:val="000000" w:themeColor="text1"/>
                <w:spacing w:val="4"/>
                <w:sz w:val="20"/>
                <w:szCs w:val="20"/>
                <w:lang w:val="en-GB"/>
              </w:rPr>
            </w:pPr>
            <w:r w:rsidRPr="002C7144">
              <w:rPr>
                <w:rFonts w:eastAsia="Times New Roman"/>
                <w:color w:val="000000" w:themeColor="text1"/>
                <w:spacing w:val="4"/>
                <w:sz w:val="20"/>
                <w:szCs w:val="20"/>
                <w:lang w:val="en-GB"/>
              </w:rPr>
              <w:t>–</w:t>
            </w:r>
          </w:p>
        </w:tc>
      </w:tr>
    </w:tbl>
    <w:p w14:paraId="03539080" w14:textId="77777777" w:rsidR="0029429F" w:rsidRPr="00771C23" w:rsidRDefault="0029429F" w:rsidP="0029429F">
      <w:pPr>
        <w:rPr>
          <w:sz w:val="20"/>
          <w:szCs w:val="20"/>
        </w:rPr>
      </w:pPr>
    </w:p>
    <w:p w14:paraId="3FB1C3B1" w14:textId="77777777" w:rsidR="00715F6F" w:rsidRDefault="00715F6F">
      <w:pPr>
        <w:rPr>
          <w:rFonts w:eastAsiaTheme="majorEastAsia" w:cstheme="majorBidi"/>
          <w:b/>
          <w:iCs/>
          <w:sz w:val="26"/>
        </w:rPr>
        <w:sectPr w:rsidR="00715F6F" w:rsidSect="00A94724">
          <w:footnotePr>
            <w:numRestart w:val="eachPage"/>
          </w:footnotePr>
          <w:pgSz w:w="11906" w:h="16838"/>
          <w:pgMar w:top="1440" w:right="1440" w:bottom="1440" w:left="1440" w:header="709" w:footer="709" w:gutter="0"/>
          <w:cols w:space="708"/>
          <w:docGrid w:linePitch="360"/>
        </w:sectPr>
      </w:pPr>
    </w:p>
    <w:p w14:paraId="37DB2FE1" w14:textId="3FD0B56C" w:rsidR="0029429F" w:rsidRPr="00771C23" w:rsidRDefault="0029429F" w:rsidP="0029429F">
      <w:pPr>
        <w:keepNext/>
        <w:spacing w:before="240" w:after="240"/>
        <w:outlineLvl w:val="6"/>
        <w:rPr>
          <w:rFonts w:eastAsiaTheme="majorEastAsia" w:cstheme="majorBidi"/>
          <w:b/>
          <w:iCs/>
          <w:sz w:val="26"/>
        </w:rPr>
      </w:pPr>
      <w:r w:rsidRPr="00771C23">
        <w:rPr>
          <w:rFonts w:eastAsiaTheme="majorEastAsia" w:cstheme="majorBidi"/>
          <w:b/>
          <w:iCs/>
          <w:sz w:val="26"/>
        </w:rPr>
        <w:lastRenderedPageBreak/>
        <w:t>C2.3 Extent to which payments and service provision meet program objective</w:t>
      </w:r>
    </w:p>
    <w:p w14:paraId="6EC8991D" w14:textId="77777777" w:rsidR="0029429F" w:rsidRPr="00771C23" w:rsidRDefault="0029429F" w:rsidP="0029429F">
      <w:pPr>
        <w:rPr>
          <w:sz w:val="20"/>
          <w:szCs w:val="20"/>
        </w:rPr>
      </w:pPr>
      <w:r w:rsidRPr="00771C23">
        <w:rPr>
          <w:sz w:val="20"/>
          <w:szCs w:val="20"/>
        </w:rPr>
        <w:t>This criterion explores a range of payment and service provision parameters that indicate progress towards outcomes, rather than impact. These include whether funds have been spent consistent with the program objective, satisfaction with services, community and service system capacity, service usage by priority groups, and payment coverage.</w:t>
      </w:r>
    </w:p>
    <w:p w14:paraId="20A6DE3B" w14:textId="77777777" w:rsidR="0029429F" w:rsidRPr="00771C23" w:rsidRDefault="0029429F" w:rsidP="0029429F">
      <w:pPr>
        <w:spacing w:before="240" w:after="240"/>
        <w:outlineLvl w:val="7"/>
        <w:rPr>
          <w:rFonts w:eastAsiaTheme="majorEastAsia" w:cstheme="majorBidi"/>
          <w:b/>
          <w:color w:val="595959" w:themeColor="text1" w:themeTint="A6"/>
          <w:sz w:val="24"/>
          <w:szCs w:val="20"/>
        </w:rPr>
      </w:pPr>
      <w:r w:rsidRPr="00771C23">
        <w:rPr>
          <w:rFonts w:eastAsiaTheme="majorEastAsia" w:cstheme="majorBidi"/>
          <w:b/>
          <w:color w:val="595959" w:themeColor="text1" w:themeTint="A6"/>
          <w:sz w:val="24"/>
          <w:szCs w:val="20"/>
        </w:rPr>
        <w:t>C2.3.2 Extent of satisfaction with services</w:t>
      </w:r>
    </w:p>
    <w:p w14:paraId="3CA8381A" w14:textId="76FE89E3" w:rsidR="0029429F" w:rsidRPr="00771C23" w:rsidRDefault="0029429F" w:rsidP="0029429F">
      <w:pPr>
        <w:rPr>
          <w:sz w:val="20"/>
          <w:szCs w:val="20"/>
        </w:rPr>
      </w:pPr>
      <w:r w:rsidRPr="00771C23">
        <w:rPr>
          <w:sz w:val="20"/>
          <w:szCs w:val="20"/>
        </w:rPr>
        <w:t>Feedback from individuals, service providers, or stakeholders on the impacts of services helps our department better understand how well funded services meet the needs of individuals and communities.</w:t>
      </w:r>
      <w:r w:rsidR="00874971">
        <w:rPr>
          <w:sz w:val="20"/>
          <w:szCs w:val="20"/>
        </w:rPr>
        <w:t xml:space="preserve"> </w:t>
      </w:r>
      <w:r w:rsidR="00874971" w:rsidRPr="001B37AF">
        <w:rPr>
          <w:sz w:val="20"/>
          <w:szCs w:val="20"/>
        </w:rPr>
        <w:t>The decrease in satisfaction is due to the changing nature of the survey between</w:t>
      </w:r>
      <w:r w:rsidR="00874971">
        <w:rPr>
          <w:sz w:val="20"/>
          <w:szCs w:val="20"/>
        </w:rPr>
        <w:br/>
      </w:r>
      <w:r w:rsidR="00874971" w:rsidRPr="001B37AF">
        <w:rPr>
          <w:sz w:val="20"/>
          <w:szCs w:val="20"/>
        </w:rPr>
        <w:t>2018-19 and 2019-20, and the varying participation rates.</w:t>
      </w:r>
    </w:p>
    <w:p w14:paraId="1C7D1FE7" w14:textId="77777777" w:rsidR="0029429F" w:rsidRPr="00771C23" w:rsidRDefault="0029429F" w:rsidP="0029429F">
      <w:pPr>
        <w:keepNext/>
        <w:spacing w:before="240" w:after="0" w:line="260" w:lineRule="atLeast"/>
        <w:ind w:right="425"/>
        <w:rPr>
          <w:rFonts w:ascii="Arial Narrow" w:eastAsia="Times New Roman" w:hAnsi="Arial Narrow" w:cs="Times New Roman"/>
          <w:b/>
          <w:bCs/>
          <w:spacing w:val="4"/>
          <w:sz w:val="20"/>
          <w:szCs w:val="18"/>
          <w:lang w:eastAsia="en-AU"/>
        </w:rPr>
      </w:pPr>
      <w:r w:rsidRPr="00771C23">
        <w:rPr>
          <w:rFonts w:ascii="Arial Narrow" w:eastAsia="Times New Roman" w:hAnsi="Arial Narrow" w:cs="Times New Roman"/>
          <w:b/>
          <w:bCs/>
          <w:spacing w:val="4"/>
          <w:sz w:val="20"/>
          <w:szCs w:val="18"/>
          <w:lang w:eastAsia="en-AU"/>
        </w:rPr>
        <w:t>Table 2.2.8: Extent of satisfaction with services</w:t>
      </w:r>
    </w:p>
    <w:tbl>
      <w:tblPr>
        <w:tblStyle w:val="HHorizontaltable1"/>
        <w:tblW w:w="5000" w:type="pct"/>
        <w:tblLook w:val="04A0" w:firstRow="1" w:lastRow="0" w:firstColumn="1" w:lastColumn="0" w:noHBand="0" w:noVBand="1"/>
        <w:tblCaption w:val="Table 2.2.8: Extent of satisfaction with services"/>
        <w:tblDescription w:val="Table 2.2.8: Extent of satisfaction with services"/>
      </w:tblPr>
      <w:tblGrid>
        <w:gridCol w:w="4511"/>
        <w:gridCol w:w="1504"/>
        <w:gridCol w:w="1504"/>
        <w:gridCol w:w="1507"/>
      </w:tblGrid>
      <w:tr w:rsidR="0029429F" w:rsidRPr="00771C23" w14:paraId="7CD22DD3"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2499" w:type="pct"/>
            <w:tcBorders>
              <w:bottom w:val="single" w:sz="4" w:space="0" w:color="FFFFFF" w:themeColor="background1"/>
            </w:tcBorders>
            <w:hideMark/>
          </w:tcPr>
          <w:p w14:paraId="073DAE53" w14:textId="77777777" w:rsidR="0029429F" w:rsidRPr="007F2601" w:rsidRDefault="0029429F" w:rsidP="00E117FD">
            <w:pPr>
              <w:keepNext/>
              <w:keepLines/>
              <w:spacing w:before="40" w:after="40"/>
              <w:rPr>
                <w:rFonts w:eastAsia="Times New Roman"/>
                <w:sz w:val="20"/>
                <w:szCs w:val="20"/>
              </w:rPr>
            </w:pPr>
            <w:r w:rsidRPr="007F2601">
              <w:rPr>
                <w:rFonts w:eastAsia="Times New Roman"/>
                <w:sz w:val="20"/>
                <w:szCs w:val="20"/>
              </w:rPr>
              <w:t>Intermediate outcome performance measure</w:t>
            </w:r>
          </w:p>
        </w:tc>
        <w:tc>
          <w:tcPr>
            <w:tcW w:w="833" w:type="pct"/>
            <w:tcBorders>
              <w:bottom w:val="single" w:sz="4" w:space="0" w:color="FFFFFF" w:themeColor="background1"/>
            </w:tcBorders>
            <w:hideMark/>
          </w:tcPr>
          <w:p w14:paraId="64554B9D" w14:textId="77777777" w:rsidR="0029429F" w:rsidRPr="007F2601" w:rsidRDefault="0029429F" w:rsidP="00E117FD">
            <w:pPr>
              <w:keepNext/>
              <w:keepLines/>
              <w:spacing w:before="40" w:after="40"/>
              <w:jc w:val="right"/>
              <w:rPr>
                <w:rFonts w:eastAsia="Times New Roman"/>
                <w:sz w:val="20"/>
                <w:szCs w:val="20"/>
              </w:rPr>
            </w:pPr>
            <w:r w:rsidRPr="007F2601">
              <w:rPr>
                <w:rFonts w:eastAsia="Times New Roman"/>
                <w:sz w:val="20"/>
                <w:szCs w:val="20"/>
              </w:rPr>
              <w:t>2019–20</w:t>
            </w:r>
          </w:p>
        </w:tc>
        <w:tc>
          <w:tcPr>
            <w:tcW w:w="833" w:type="pct"/>
            <w:tcBorders>
              <w:bottom w:val="single" w:sz="4" w:space="0" w:color="FFFFFF" w:themeColor="background1"/>
            </w:tcBorders>
            <w:hideMark/>
          </w:tcPr>
          <w:p w14:paraId="3742BF58" w14:textId="77777777" w:rsidR="0029429F" w:rsidRPr="007F2601" w:rsidRDefault="0029429F" w:rsidP="00E117FD">
            <w:pPr>
              <w:keepNext/>
              <w:keepLines/>
              <w:spacing w:before="40" w:after="40"/>
              <w:jc w:val="right"/>
              <w:rPr>
                <w:rFonts w:eastAsia="Times New Roman"/>
                <w:sz w:val="20"/>
                <w:szCs w:val="20"/>
              </w:rPr>
            </w:pPr>
            <w:r w:rsidRPr="007F2601">
              <w:rPr>
                <w:rFonts w:eastAsia="Times New Roman"/>
                <w:sz w:val="20"/>
                <w:szCs w:val="20"/>
              </w:rPr>
              <w:t>2018–19</w:t>
            </w:r>
          </w:p>
        </w:tc>
        <w:tc>
          <w:tcPr>
            <w:tcW w:w="835" w:type="pct"/>
            <w:tcBorders>
              <w:bottom w:val="single" w:sz="4" w:space="0" w:color="FFFFFF" w:themeColor="background1"/>
            </w:tcBorders>
            <w:hideMark/>
          </w:tcPr>
          <w:p w14:paraId="16B36FBC" w14:textId="77777777" w:rsidR="0029429F" w:rsidRPr="007F2601" w:rsidRDefault="0029429F" w:rsidP="00E117FD">
            <w:pPr>
              <w:keepNext/>
              <w:keepLines/>
              <w:spacing w:before="40" w:after="40"/>
              <w:jc w:val="right"/>
              <w:rPr>
                <w:rFonts w:eastAsia="Times New Roman"/>
                <w:sz w:val="20"/>
                <w:szCs w:val="20"/>
              </w:rPr>
            </w:pPr>
            <w:r w:rsidRPr="007F2601">
              <w:rPr>
                <w:rFonts w:eastAsia="Times New Roman"/>
                <w:sz w:val="20"/>
                <w:szCs w:val="20"/>
              </w:rPr>
              <w:t>2017–18</w:t>
            </w:r>
          </w:p>
        </w:tc>
      </w:tr>
      <w:tr w:rsidR="0029429F" w:rsidRPr="00771C23" w14:paraId="57ED4B8D"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2634F024" w14:textId="77777777" w:rsidR="0029429F" w:rsidRPr="00771C23" w:rsidRDefault="0029429F" w:rsidP="00E117FD">
            <w:pPr>
              <w:keepNext/>
              <w:keepLines/>
              <w:spacing w:before="40" w:after="40"/>
              <w:rPr>
                <w:rFonts w:eastAsia="Times New Roman" w:cs="Arial"/>
                <w:b/>
                <w:color w:val="000000" w:themeColor="text1"/>
                <w:sz w:val="20"/>
                <w:szCs w:val="20"/>
              </w:rPr>
            </w:pPr>
            <w:r w:rsidRPr="00771C23">
              <w:rPr>
                <w:rFonts w:eastAsia="Times New Roman" w:cs="Arial"/>
                <w:b/>
                <w:color w:val="000000" w:themeColor="text1"/>
                <w:sz w:val="20"/>
                <w:szCs w:val="20"/>
              </w:rPr>
              <w:t>Strong and Resilient Communities</w:t>
            </w:r>
            <w:r w:rsidRPr="00771C23">
              <w:rPr>
                <w:rFonts w:eastAsia="Times New Roman"/>
                <w:color w:val="000000" w:themeColor="text1"/>
                <w:spacing w:val="4"/>
                <w:sz w:val="20"/>
                <w:szCs w:val="20"/>
                <w:vertAlign w:val="superscript"/>
                <w:lang w:val="en-GB"/>
              </w:rPr>
              <w:t>a</w:t>
            </w:r>
          </w:p>
        </w:tc>
      </w:tr>
      <w:tr w:rsidR="0029429F" w:rsidRPr="00771C23" w14:paraId="33CEDCB9" w14:textId="77777777" w:rsidTr="00E117FD">
        <w:trPr>
          <w:cnfStyle w:val="000000010000" w:firstRow="0" w:lastRow="0" w:firstColumn="0" w:lastColumn="0" w:oddVBand="0" w:evenVBand="0" w:oddHBand="0" w:evenHBand="1" w:firstRowFirstColumn="0" w:firstRowLastColumn="0" w:lastRowFirstColumn="0" w:lastRowLastColumn="0"/>
        </w:trPr>
        <w:tc>
          <w:tcPr>
            <w:tcW w:w="2499" w:type="pct"/>
            <w:tcBorders>
              <w:top w:val="single" w:sz="18" w:space="0" w:color="00B0B9"/>
              <w:bottom w:val="single" w:sz="4" w:space="0" w:color="FFFFFF" w:themeColor="background1"/>
            </w:tcBorders>
            <w:hideMark/>
          </w:tcPr>
          <w:p w14:paraId="45783C16"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Percentage of individuals satisfied with service provision</w:t>
            </w:r>
          </w:p>
        </w:tc>
        <w:tc>
          <w:tcPr>
            <w:tcW w:w="833" w:type="pct"/>
            <w:tcBorders>
              <w:top w:val="single" w:sz="18" w:space="0" w:color="00B0B9"/>
              <w:bottom w:val="single" w:sz="4" w:space="0" w:color="FFFFFF" w:themeColor="background1"/>
            </w:tcBorders>
            <w:hideMark/>
          </w:tcPr>
          <w:p w14:paraId="30A5E5FE"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95.8%</w:t>
            </w:r>
          </w:p>
        </w:tc>
        <w:tc>
          <w:tcPr>
            <w:tcW w:w="833" w:type="pct"/>
            <w:tcBorders>
              <w:top w:val="single" w:sz="18" w:space="0" w:color="00B0B9"/>
              <w:bottom w:val="single" w:sz="4" w:space="0" w:color="FFFFFF" w:themeColor="background1"/>
            </w:tcBorders>
            <w:hideMark/>
          </w:tcPr>
          <w:p w14:paraId="67751E7B"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90.7%</w:t>
            </w:r>
          </w:p>
        </w:tc>
        <w:tc>
          <w:tcPr>
            <w:tcW w:w="835" w:type="pct"/>
            <w:tcBorders>
              <w:top w:val="single" w:sz="18" w:space="0" w:color="00B0B9"/>
              <w:bottom w:val="single" w:sz="4" w:space="0" w:color="FFFFFF" w:themeColor="background1"/>
            </w:tcBorders>
            <w:hideMark/>
          </w:tcPr>
          <w:p w14:paraId="131F5364"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92%</w:t>
            </w:r>
            <w:r w:rsidRPr="00771C23">
              <w:rPr>
                <w:rFonts w:eastAsia="Times New Roman"/>
                <w:color w:val="000000" w:themeColor="text1"/>
                <w:spacing w:val="4"/>
                <w:sz w:val="20"/>
                <w:szCs w:val="20"/>
                <w:vertAlign w:val="superscript"/>
                <w:lang w:val="en-GB"/>
              </w:rPr>
              <w:t>b</w:t>
            </w:r>
          </w:p>
        </w:tc>
      </w:tr>
      <w:tr w:rsidR="0029429F" w:rsidRPr="00771C23" w14:paraId="093DF7FB"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21F6844B" w14:textId="77777777" w:rsidR="0029429F" w:rsidRPr="00771C23" w:rsidRDefault="0029429F" w:rsidP="00E117FD">
            <w:pPr>
              <w:keepNext/>
              <w:keepLines/>
              <w:spacing w:before="40" w:after="40"/>
              <w:rPr>
                <w:rFonts w:eastAsia="Times New Roman" w:cs="Arial"/>
                <w:b/>
                <w:color w:val="000000" w:themeColor="text1"/>
                <w:sz w:val="20"/>
                <w:szCs w:val="20"/>
              </w:rPr>
            </w:pPr>
            <w:r w:rsidRPr="00771C23">
              <w:rPr>
                <w:rFonts w:eastAsia="Times New Roman" w:cs="Arial"/>
                <w:b/>
                <w:color w:val="000000" w:themeColor="text1"/>
                <w:sz w:val="20"/>
                <w:szCs w:val="20"/>
              </w:rPr>
              <w:t>Families and Communities Service Improvement</w:t>
            </w:r>
          </w:p>
        </w:tc>
      </w:tr>
      <w:tr w:rsidR="0029429F" w:rsidRPr="00771C23" w14:paraId="7D07BB3A" w14:textId="77777777" w:rsidTr="00E117FD">
        <w:trPr>
          <w:cnfStyle w:val="000000010000" w:firstRow="0" w:lastRow="0" w:firstColumn="0" w:lastColumn="0" w:oddVBand="0" w:evenVBand="0" w:oddHBand="0" w:evenHBand="1" w:firstRowFirstColumn="0" w:firstRowLastColumn="0" w:lastRowFirstColumn="0" w:lastRowLastColumn="0"/>
        </w:trPr>
        <w:tc>
          <w:tcPr>
            <w:tcW w:w="2499" w:type="pct"/>
            <w:tcBorders>
              <w:top w:val="single" w:sz="18" w:space="0" w:color="00B0B9"/>
            </w:tcBorders>
            <w:hideMark/>
          </w:tcPr>
          <w:p w14:paraId="295F1DA5"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 xml:space="preserve">Extent of members’ satisfaction with service </w:t>
            </w:r>
            <w:proofErr w:type="spellStart"/>
            <w:r w:rsidRPr="00771C23">
              <w:rPr>
                <w:rFonts w:eastAsia="Times New Roman"/>
                <w:color w:val="000000" w:themeColor="text1"/>
                <w:spacing w:val="4"/>
                <w:sz w:val="20"/>
                <w:szCs w:val="20"/>
                <w:lang w:val="en-GB"/>
              </w:rPr>
              <w:t>provision</w:t>
            </w:r>
            <w:r w:rsidRPr="00771C23">
              <w:rPr>
                <w:rFonts w:eastAsia="Times New Roman"/>
                <w:color w:val="000000" w:themeColor="text1"/>
                <w:spacing w:val="4"/>
                <w:sz w:val="20"/>
                <w:szCs w:val="20"/>
                <w:vertAlign w:val="superscript"/>
                <w:lang w:val="en-GB"/>
              </w:rPr>
              <w:t>c</w:t>
            </w:r>
            <w:proofErr w:type="spellEnd"/>
          </w:p>
        </w:tc>
        <w:tc>
          <w:tcPr>
            <w:tcW w:w="833" w:type="pct"/>
            <w:tcBorders>
              <w:top w:val="single" w:sz="18" w:space="0" w:color="00B0B9"/>
            </w:tcBorders>
            <w:hideMark/>
          </w:tcPr>
          <w:p w14:paraId="41010507"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84%</w:t>
            </w:r>
          </w:p>
        </w:tc>
        <w:tc>
          <w:tcPr>
            <w:tcW w:w="833" w:type="pct"/>
            <w:tcBorders>
              <w:top w:val="single" w:sz="18" w:space="0" w:color="00B0B9"/>
            </w:tcBorders>
            <w:hideMark/>
          </w:tcPr>
          <w:p w14:paraId="5F2ABF53"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90%</w:t>
            </w:r>
          </w:p>
        </w:tc>
        <w:tc>
          <w:tcPr>
            <w:tcW w:w="835" w:type="pct"/>
            <w:tcBorders>
              <w:top w:val="single" w:sz="18" w:space="0" w:color="00B0B9"/>
            </w:tcBorders>
            <w:hideMark/>
          </w:tcPr>
          <w:p w14:paraId="05FAAE92"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w:t>
            </w:r>
          </w:p>
        </w:tc>
      </w:tr>
    </w:tbl>
    <w:p w14:paraId="2CA69602" w14:textId="77777777" w:rsidR="0029429F" w:rsidRPr="00771C23" w:rsidRDefault="0029429F" w:rsidP="0029429F">
      <w:pPr>
        <w:spacing w:before="160" w:after="60" w:line="240" w:lineRule="auto"/>
        <w:ind w:left="284" w:hanging="284"/>
        <w:contextualSpacing/>
        <w:rPr>
          <w:rFonts w:cs="Arial"/>
          <w:sz w:val="16"/>
          <w:szCs w:val="16"/>
        </w:rPr>
      </w:pPr>
      <w:r w:rsidRPr="00771C23">
        <w:rPr>
          <w:rFonts w:cs="Arial"/>
          <w:sz w:val="16"/>
          <w:szCs w:val="16"/>
        </w:rPr>
        <w:t>a</w:t>
      </w:r>
      <w:r w:rsidRPr="00771C23">
        <w:rPr>
          <w:rFonts w:cs="Arial"/>
          <w:sz w:val="16"/>
          <w:szCs w:val="16"/>
        </w:rPr>
        <w:tab/>
        <w:t>Strong and Resilient Communities Activity replaced Strengthening Communities from 1 April 2018.</w:t>
      </w:r>
    </w:p>
    <w:p w14:paraId="0DD5A0F9" w14:textId="77777777" w:rsidR="0029429F" w:rsidRPr="00771C23" w:rsidRDefault="0029429F" w:rsidP="0029429F">
      <w:pPr>
        <w:spacing w:before="160" w:after="60" w:line="240" w:lineRule="auto"/>
        <w:ind w:left="284" w:hanging="284"/>
        <w:contextualSpacing/>
        <w:rPr>
          <w:rFonts w:cs="Arial"/>
          <w:sz w:val="16"/>
          <w:szCs w:val="16"/>
        </w:rPr>
      </w:pPr>
      <w:r w:rsidRPr="00771C23">
        <w:rPr>
          <w:rFonts w:cs="Arial"/>
          <w:sz w:val="16"/>
          <w:szCs w:val="16"/>
        </w:rPr>
        <w:t>b</w:t>
      </w:r>
      <w:r w:rsidRPr="00771C23">
        <w:rPr>
          <w:rFonts w:cs="Arial"/>
          <w:sz w:val="16"/>
          <w:szCs w:val="16"/>
        </w:rPr>
        <w:tab/>
        <w:t>Data relates to Community Capacity Building from 1 July 2017 to 31 March 2018, Strong and Resilient Communities from 1 April 2018 and Digital Literacy for Older Australians from 1 July 2017.</w:t>
      </w:r>
    </w:p>
    <w:p w14:paraId="578D268E" w14:textId="77777777" w:rsidR="0029429F" w:rsidRPr="00771C23" w:rsidRDefault="0029429F" w:rsidP="0029429F">
      <w:pPr>
        <w:spacing w:before="160" w:after="60" w:line="240" w:lineRule="auto"/>
        <w:ind w:left="284" w:hanging="284"/>
        <w:contextualSpacing/>
        <w:rPr>
          <w:rFonts w:cs="Arial"/>
          <w:sz w:val="16"/>
          <w:szCs w:val="16"/>
        </w:rPr>
      </w:pPr>
      <w:r w:rsidRPr="00771C23">
        <w:rPr>
          <w:rFonts w:cs="Arial"/>
          <w:sz w:val="16"/>
          <w:szCs w:val="16"/>
        </w:rPr>
        <w:t>c</w:t>
      </w:r>
      <w:r w:rsidRPr="00771C23">
        <w:rPr>
          <w:rFonts w:cs="Arial"/>
          <w:sz w:val="16"/>
          <w:szCs w:val="16"/>
        </w:rPr>
        <w:tab/>
        <w:t>New performance measure for 2018–19. Data is based on data from member surveys conducted by the organisations during the 2019–20 financial year.</w:t>
      </w:r>
    </w:p>
    <w:p w14:paraId="5D0CF4F8" w14:textId="77777777" w:rsidR="0029429F" w:rsidRPr="00771C23" w:rsidRDefault="0029429F" w:rsidP="0029429F">
      <w:pPr>
        <w:rPr>
          <w:sz w:val="20"/>
          <w:szCs w:val="20"/>
        </w:rPr>
      </w:pPr>
    </w:p>
    <w:p w14:paraId="551EB0B3" w14:textId="77777777" w:rsidR="0029429F" w:rsidRPr="00771C23" w:rsidRDefault="0029429F" w:rsidP="0029429F">
      <w:pPr>
        <w:spacing w:before="240" w:after="240"/>
        <w:outlineLvl w:val="7"/>
        <w:rPr>
          <w:rFonts w:eastAsiaTheme="majorEastAsia" w:cstheme="majorBidi"/>
          <w:b/>
          <w:bCs/>
          <w:iCs/>
          <w:color w:val="595959" w:themeColor="text1" w:themeTint="A6"/>
          <w:sz w:val="24"/>
          <w:szCs w:val="20"/>
        </w:rPr>
      </w:pPr>
      <w:r w:rsidRPr="00771C23">
        <w:rPr>
          <w:rFonts w:eastAsiaTheme="majorEastAsia" w:cstheme="majorBidi"/>
          <w:b/>
          <w:color w:val="595959" w:themeColor="text1" w:themeTint="A6"/>
          <w:sz w:val="24"/>
          <w:szCs w:val="20"/>
        </w:rPr>
        <w:t>C2.3.3 Extent of community and service system capacity and capability improvement</w:t>
      </w:r>
    </w:p>
    <w:p w14:paraId="156D9E5E" w14:textId="77777777" w:rsidR="0029429F" w:rsidRPr="00771C23" w:rsidRDefault="0029429F" w:rsidP="0029429F">
      <w:pPr>
        <w:rPr>
          <w:sz w:val="20"/>
          <w:szCs w:val="20"/>
        </w:rPr>
      </w:pPr>
      <w:r w:rsidRPr="00771C23">
        <w:rPr>
          <w:sz w:val="20"/>
          <w:szCs w:val="20"/>
        </w:rPr>
        <w:t>The Families and Communities Service Improvement (FCSI) Activity was established in 2014 to build capacity within the families and communities</w:t>
      </w:r>
      <w:r>
        <w:rPr>
          <w:sz w:val="20"/>
          <w:szCs w:val="20"/>
        </w:rPr>
        <w:t>’</w:t>
      </w:r>
      <w:r w:rsidRPr="00771C23">
        <w:rPr>
          <w:sz w:val="20"/>
          <w:szCs w:val="20"/>
        </w:rPr>
        <w:t xml:space="preserve"> sector by funding peak bodies to deliver conferences, research, pilots, policy advice, evaluations</w:t>
      </w:r>
      <w:r>
        <w:rPr>
          <w:sz w:val="20"/>
          <w:szCs w:val="20"/>
        </w:rPr>
        <w:t>,</w:t>
      </w:r>
      <w:r w:rsidRPr="00771C23">
        <w:rPr>
          <w:sz w:val="20"/>
          <w:szCs w:val="20"/>
        </w:rPr>
        <w:t xml:space="preserve"> and other overarching service initiatives.</w:t>
      </w:r>
    </w:p>
    <w:p w14:paraId="29613FBC" w14:textId="77777777" w:rsidR="0029429F" w:rsidRPr="00771C23" w:rsidRDefault="0029429F" w:rsidP="0029429F">
      <w:pPr>
        <w:rPr>
          <w:sz w:val="20"/>
          <w:szCs w:val="20"/>
        </w:rPr>
      </w:pPr>
      <w:r w:rsidRPr="00771C23">
        <w:rPr>
          <w:sz w:val="20"/>
          <w:szCs w:val="20"/>
        </w:rPr>
        <w:t>Six peak bodies are funded to deliver FCSI: the Australian Council of Social Service, Australian Research Alliance for Children and Youth, Families Australia, Family and Relationship Services Australia, Economic Justice Australia</w:t>
      </w:r>
      <w:r>
        <w:rPr>
          <w:sz w:val="20"/>
          <w:szCs w:val="20"/>
        </w:rPr>
        <w:t>,</w:t>
      </w:r>
      <w:r w:rsidRPr="00771C23">
        <w:rPr>
          <w:sz w:val="20"/>
          <w:szCs w:val="20"/>
        </w:rPr>
        <w:t xml:space="preserve"> and Volunteering Australia.</w:t>
      </w:r>
    </w:p>
    <w:p w14:paraId="12D6E2FF" w14:textId="77777777" w:rsidR="0029429F" w:rsidRPr="00771C23" w:rsidRDefault="0029429F" w:rsidP="0029429F">
      <w:pPr>
        <w:rPr>
          <w:sz w:val="20"/>
          <w:szCs w:val="20"/>
        </w:rPr>
      </w:pPr>
      <w:r>
        <w:rPr>
          <w:sz w:val="20"/>
          <w:szCs w:val="20"/>
        </w:rPr>
        <w:t>We</w:t>
      </w:r>
      <w:r w:rsidRPr="00771C23">
        <w:rPr>
          <w:sz w:val="20"/>
          <w:szCs w:val="20"/>
        </w:rPr>
        <w:t xml:space="preserve"> also fun</w:t>
      </w:r>
      <w:r>
        <w:rPr>
          <w:sz w:val="20"/>
          <w:szCs w:val="20"/>
        </w:rPr>
        <w:t>d</w:t>
      </w:r>
      <w:r w:rsidRPr="00771C23">
        <w:rPr>
          <w:sz w:val="20"/>
          <w:szCs w:val="20"/>
        </w:rPr>
        <w:t xml:space="preserve"> two programs that support capacity and capability improvement through the Australian Institute of Family Studies. The first is the Child Family Community Australia (CFCA) Information Exchange, which is an information hub for evidence, resources</w:t>
      </w:r>
      <w:r>
        <w:rPr>
          <w:sz w:val="20"/>
          <w:szCs w:val="20"/>
        </w:rPr>
        <w:t>,</w:t>
      </w:r>
      <w:r w:rsidRPr="00771C23">
        <w:rPr>
          <w:sz w:val="20"/>
          <w:szCs w:val="20"/>
        </w:rPr>
        <w:t xml:space="preserve"> and support for professionals working in the child, family</w:t>
      </w:r>
      <w:r>
        <w:rPr>
          <w:sz w:val="20"/>
          <w:szCs w:val="20"/>
        </w:rPr>
        <w:t>,</w:t>
      </w:r>
      <w:r w:rsidRPr="00771C23">
        <w:rPr>
          <w:sz w:val="20"/>
          <w:szCs w:val="20"/>
        </w:rPr>
        <w:t xml:space="preserve"> and community welfare sector. The CFCA produces a number of publications, including papers, resource sheets, practice guides and webinars, which are published electronically and are free to access.</w:t>
      </w:r>
    </w:p>
    <w:p w14:paraId="58CEFFFD" w14:textId="69C54DA3" w:rsidR="0029429F" w:rsidRPr="00771C23" w:rsidRDefault="0029429F" w:rsidP="0029429F">
      <w:pPr>
        <w:rPr>
          <w:sz w:val="20"/>
          <w:szCs w:val="20"/>
        </w:rPr>
      </w:pPr>
      <w:r w:rsidRPr="00771C23">
        <w:rPr>
          <w:sz w:val="20"/>
          <w:szCs w:val="20"/>
        </w:rPr>
        <w:t>The second program is the Families and Children (</w:t>
      </w:r>
      <w:proofErr w:type="spellStart"/>
      <w:r w:rsidRPr="00771C23">
        <w:rPr>
          <w:sz w:val="20"/>
          <w:szCs w:val="20"/>
        </w:rPr>
        <w:t>FaC</w:t>
      </w:r>
      <w:proofErr w:type="spellEnd"/>
      <w:r w:rsidRPr="00771C23">
        <w:rPr>
          <w:sz w:val="20"/>
          <w:szCs w:val="20"/>
        </w:rPr>
        <w:t>) Expert Panel Project. In</w:t>
      </w:r>
      <w:r>
        <w:rPr>
          <w:sz w:val="20"/>
          <w:szCs w:val="20"/>
        </w:rPr>
        <w:t xml:space="preserve"> </w:t>
      </w:r>
      <w:r w:rsidRPr="00771C23">
        <w:rPr>
          <w:sz w:val="20"/>
          <w:szCs w:val="20"/>
        </w:rPr>
        <w:t>2019</w:t>
      </w:r>
      <w:r w:rsidRPr="00771C23">
        <w:rPr>
          <w:rFonts w:eastAsia="Times New Roman" w:cs="Times New Roman"/>
          <w:sz w:val="20"/>
          <w:szCs w:val="18"/>
        </w:rPr>
        <w:t>–</w:t>
      </w:r>
      <w:r w:rsidRPr="00771C23">
        <w:rPr>
          <w:sz w:val="20"/>
          <w:szCs w:val="20"/>
        </w:rPr>
        <w:t>20, the</w:t>
      </w:r>
      <w:r w:rsidR="00D96CDD">
        <w:rPr>
          <w:sz w:val="20"/>
          <w:szCs w:val="20"/>
        </w:rPr>
        <w:br/>
      </w:r>
      <w:proofErr w:type="spellStart"/>
      <w:r w:rsidRPr="00771C23">
        <w:rPr>
          <w:sz w:val="20"/>
          <w:szCs w:val="20"/>
        </w:rPr>
        <w:t>FaC</w:t>
      </w:r>
      <w:proofErr w:type="spellEnd"/>
      <w:r w:rsidRPr="00771C23">
        <w:rPr>
          <w:sz w:val="20"/>
          <w:szCs w:val="20"/>
        </w:rPr>
        <w:t xml:space="preserve"> Expert Panel Project implemented a number of universal and targeted activities to meet the varying needs of </w:t>
      </w:r>
      <w:proofErr w:type="spellStart"/>
      <w:r w:rsidRPr="00771C23">
        <w:rPr>
          <w:sz w:val="20"/>
          <w:szCs w:val="20"/>
        </w:rPr>
        <w:t>FaC</w:t>
      </w:r>
      <w:proofErr w:type="spellEnd"/>
      <w:r w:rsidRPr="00771C23">
        <w:rPr>
          <w:sz w:val="20"/>
          <w:szCs w:val="20"/>
        </w:rPr>
        <w:t xml:space="preserve"> Activity service providers. These include:</w:t>
      </w:r>
    </w:p>
    <w:p w14:paraId="183F8553" w14:textId="77777777" w:rsidR="0029429F" w:rsidRPr="00771C23" w:rsidRDefault="0029429F" w:rsidP="0029429F">
      <w:pPr>
        <w:numPr>
          <w:ilvl w:val="0"/>
          <w:numId w:val="92"/>
        </w:numPr>
        <w:spacing w:before="60" w:after="60" w:line="240" w:lineRule="auto"/>
        <w:ind w:left="357" w:hanging="357"/>
        <w:rPr>
          <w:sz w:val="20"/>
          <w:szCs w:val="20"/>
        </w:rPr>
      </w:pPr>
      <w:r w:rsidRPr="00771C23">
        <w:rPr>
          <w:sz w:val="20"/>
          <w:szCs w:val="20"/>
        </w:rPr>
        <w:lastRenderedPageBreak/>
        <w:t>development and publishing of evaluation and planning resources to support service providers to use evaluation findings for decision-making and continuous improvement</w:t>
      </w:r>
    </w:p>
    <w:p w14:paraId="57EA70A8" w14:textId="77777777" w:rsidR="0029429F" w:rsidRPr="00771C23" w:rsidRDefault="0029429F" w:rsidP="0029429F">
      <w:pPr>
        <w:numPr>
          <w:ilvl w:val="0"/>
          <w:numId w:val="92"/>
        </w:numPr>
        <w:spacing w:before="60" w:after="60" w:line="240" w:lineRule="auto"/>
        <w:ind w:left="357" w:hanging="357"/>
        <w:rPr>
          <w:sz w:val="20"/>
          <w:szCs w:val="20"/>
        </w:rPr>
      </w:pPr>
      <w:r w:rsidRPr="00771C23">
        <w:rPr>
          <w:sz w:val="20"/>
          <w:szCs w:val="20"/>
        </w:rPr>
        <w:t>facilitation of professional development workshops to enhance best practice implementation in child and family service delivery</w:t>
      </w:r>
    </w:p>
    <w:p w14:paraId="57F0BD03" w14:textId="77777777" w:rsidR="0029429F" w:rsidRPr="00771C23" w:rsidRDefault="0029429F" w:rsidP="0029429F">
      <w:pPr>
        <w:numPr>
          <w:ilvl w:val="0"/>
          <w:numId w:val="92"/>
        </w:numPr>
        <w:spacing w:before="60" w:after="60" w:line="240" w:lineRule="auto"/>
        <w:ind w:left="357" w:hanging="357"/>
        <w:rPr>
          <w:sz w:val="20"/>
          <w:szCs w:val="20"/>
        </w:rPr>
      </w:pPr>
      <w:r w:rsidRPr="00771C23">
        <w:rPr>
          <w:sz w:val="20"/>
          <w:szCs w:val="20"/>
        </w:rPr>
        <w:t>development and publication of resources and training for a ‘genuine partnerships’ project, in collaboration with SNAICC, which supports non-Indigenous service providers to better respond to the needs and aspirations of Indigenous children, familie</w:t>
      </w:r>
      <w:r>
        <w:rPr>
          <w:sz w:val="20"/>
          <w:szCs w:val="20"/>
        </w:rPr>
        <w:t>s,</w:t>
      </w:r>
      <w:r w:rsidRPr="00771C23">
        <w:rPr>
          <w:sz w:val="20"/>
          <w:szCs w:val="20"/>
        </w:rPr>
        <w:t xml:space="preserve"> and communities</w:t>
      </w:r>
    </w:p>
    <w:p w14:paraId="49901014" w14:textId="01F75159" w:rsidR="0029429F" w:rsidRPr="00771C23" w:rsidRDefault="0029429F" w:rsidP="0029429F">
      <w:pPr>
        <w:numPr>
          <w:ilvl w:val="0"/>
          <w:numId w:val="92"/>
        </w:numPr>
        <w:spacing w:before="60" w:after="60" w:line="240" w:lineRule="auto"/>
        <w:ind w:left="357" w:hanging="357"/>
        <w:rPr>
          <w:sz w:val="20"/>
          <w:szCs w:val="20"/>
        </w:rPr>
      </w:pPr>
      <w:r w:rsidRPr="00771C23">
        <w:rPr>
          <w:sz w:val="20"/>
          <w:szCs w:val="20"/>
        </w:rPr>
        <w:t>providing specialised support to Communities for Children Facilitating Partners to apply</w:t>
      </w:r>
      <w:r w:rsidR="00D96CDD">
        <w:rPr>
          <w:sz w:val="20"/>
          <w:szCs w:val="20"/>
        </w:rPr>
        <w:br/>
      </w:r>
      <w:r w:rsidRPr="00771C23">
        <w:rPr>
          <w:sz w:val="20"/>
          <w:szCs w:val="20"/>
        </w:rPr>
        <w:t>evidence-based practices in their programs.</w:t>
      </w:r>
    </w:p>
    <w:p w14:paraId="36C5B000" w14:textId="77777777" w:rsidR="0029429F" w:rsidRPr="00771C23" w:rsidRDefault="0029429F" w:rsidP="0029429F">
      <w:pPr>
        <w:spacing w:before="240" w:after="240"/>
        <w:outlineLvl w:val="7"/>
        <w:rPr>
          <w:rFonts w:eastAsiaTheme="majorEastAsia" w:cstheme="majorBidi"/>
          <w:b/>
          <w:color w:val="595959" w:themeColor="text1" w:themeTint="A6"/>
          <w:sz w:val="24"/>
          <w:szCs w:val="20"/>
        </w:rPr>
      </w:pPr>
      <w:r w:rsidRPr="00771C23">
        <w:rPr>
          <w:rFonts w:eastAsiaTheme="majorEastAsia" w:cstheme="majorBidi"/>
          <w:b/>
          <w:color w:val="595959" w:themeColor="text1" w:themeTint="A6"/>
          <w:sz w:val="24"/>
          <w:szCs w:val="20"/>
        </w:rPr>
        <w:t>C2.3.4 Percentage of assisted individuals who are from priority groups or locations</w:t>
      </w:r>
    </w:p>
    <w:p w14:paraId="58FDB695" w14:textId="77777777" w:rsidR="0029429F" w:rsidRPr="00771C23" w:rsidRDefault="0029429F" w:rsidP="0029429F">
      <w:pPr>
        <w:spacing w:before="160" w:line="260" w:lineRule="atLeast"/>
        <w:rPr>
          <w:sz w:val="20"/>
          <w:szCs w:val="20"/>
        </w:rPr>
      </w:pPr>
      <w:r w:rsidRPr="00771C23">
        <w:rPr>
          <w:sz w:val="20"/>
          <w:szCs w:val="20"/>
        </w:rPr>
        <w:t>This indicator shows the extent to which Indigenous and culturally and linguistically diverse people are accessing services.</w:t>
      </w:r>
    </w:p>
    <w:p w14:paraId="18525004" w14:textId="77777777" w:rsidR="0029429F" w:rsidRPr="00771C23" w:rsidRDefault="0029429F" w:rsidP="0029429F">
      <w:pPr>
        <w:spacing w:before="160" w:line="260" w:lineRule="atLeast"/>
        <w:rPr>
          <w:rFonts w:eastAsia="Times New Roman" w:cs="Times New Roman"/>
          <w:spacing w:val="4"/>
          <w:sz w:val="20"/>
          <w:szCs w:val="20"/>
          <w:lang w:eastAsia="en-AU"/>
        </w:rPr>
      </w:pPr>
      <w:r w:rsidRPr="00771C23">
        <w:rPr>
          <w:sz w:val="20"/>
          <w:szCs w:val="20"/>
        </w:rPr>
        <w:t xml:space="preserve">Providers of Families and Children activities aim to ensure their services are sensitive and accessible to anyone who faces a real or perceived barrier to receiving assistance. This includes delivery of Children and Parenting Support services as part of the Cashless Debit Card package, through Aboriginal Community Controlled Organisations in the communities of Kununurra, Wyndham, Ceduna, </w:t>
      </w:r>
      <w:proofErr w:type="spellStart"/>
      <w:r w:rsidRPr="00771C23">
        <w:rPr>
          <w:sz w:val="20"/>
          <w:szCs w:val="20"/>
        </w:rPr>
        <w:t>Koonibba</w:t>
      </w:r>
      <w:proofErr w:type="spellEnd"/>
      <w:r w:rsidRPr="00771C23">
        <w:rPr>
          <w:sz w:val="20"/>
          <w:szCs w:val="20"/>
        </w:rPr>
        <w:t>, Yalata</w:t>
      </w:r>
      <w:r>
        <w:rPr>
          <w:sz w:val="20"/>
          <w:szCs w:val="20"/>
        </w:rPr>
        <w:t>,</w:t>
      </w:r>
      <w:r w:rsidRPr="00771C23">
        <w:rPr>
          <w:sz w:val="20"/>
          <w:szCs w:val="20"/>
        </w:rPr>
        <w:t xml:space="preserve"> and Oak Valley as well as providers’ access to culturally appropriate activities and supports.</w:t>
      </w:r>
    </w:p>
    <w:p w14:paraId="28D473C9" w14:textId="77777777" w:rsidR="0029429F" w:rsidRPr="00771C23" w:rsidRDefault="0029429F" w:rsidP="0029429F">
      <w:pPr>
        <w:keepNext/>
        <w:spacing w:before="240" w:after="0" w:line="260" w:lineRule="atLeast"/>
        <w:ind w:right="425"/>
        <w:rPr>
          <w:rFonts w:ascii="Arial Narrow" w:eastAsia="Times New Roman" w:hAnsi="Arial Narrow" w:cs="Times New Roman"/>
          <w:b/>
          <w:bCs/>
          <w:spacing w:val="4"/>
          <w:sz w:val="20"/>
          <w:szCs w:val="18"/>
          <w:lang w:eastAsia="en-AU"/>
        </w:rPr>
      </w:pPr>
      <w:r w:rsidRPr="00771C23">
        <w:rPr>
          <w:rFonts w:ascii="Arial Narrow" w:eastAsia="Times New Roman" w:hAnsi="Arial Narrow" w:cs="Times New Roman"/>
          <w:b/>
          <w:bCs/>
          <w:spacing w:val="4"/>
          <w:sz w:val="20"/>
          <w:szCs w:val="18"/>
          <w:lang w:eastAsia="en-AU"/>
        </w:rPr>
        <w:t>Table 2.2.9: Percentage of assisted individuals who are from priority groups or locations</w:t>
      </w:r>
    </w:p>
    <w:tbl>
      <w:tblPr>
        <w:tblStyle w:val="HHorizontaltable1"/>
        <w:tblW w:w="5000" w:type="pct"/>
        <w:tblLook w:val="04A0" w:firstRow="1" w:lastRow="0" w:firstColumn="1" w:lastColumn="0" w:noHBand="0" w:noVBand="1"/>
        <w:tblCaption w:val="Table 2.2.9: Percentage of assisted individuals who are from priority groups or locations"/>
        <w:tblDescription w:val="Table 2.2.9: Percentage of assisted individuals who are from priority groups or  locations"/>
      </w:tblPr>
      <w:tblGrid>
        <w:gridCol w:w="4516"/>
        <w:gridCol w:w="1504"/>
        <w:gridCol w:w="1504"/>
        <w:gridCol w:w="1502"/>
      </w:tblGrid>
      <w:tr w:rsidR="0029429F" w:rsidRPr="00771C23" w14:paraId="545B4F96"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2502" w:type="pct"/>
            <w:tcBorders>
              <w:bottom w:val="single" w:sz="4" w:space="0" w:color="FFFFFF" w:themeColor="background1"/>
            </w:tcBorders>
            <w:hideMark/>
          </w:tcPr>
          <w:p w14:paraId="796AA0AF" w14:textId="77777777" w:rsidR="0029429F" w:rsidRPr="007F2601" w:rsidRDefault="0029429F" w:rsidP="00E117FD">
            <w:pPr>
              <w:keepNext/>
              <w:keepLines/>
              <w:spacing w:before="40" w:after="40"/>
              <w:rPr>
                <w:rFonts w:eastAsia="Times New Roman"/>
                <w:sz w:val="20"/>
                <w:szCs w:val="20"/>
              </w:rPr>
            </w:pPr>
            <w:r w:rsidRPr="007F2601">
              <w:rPr>
                <w:rFonts w:eastAsia="Times New Roman"/>
                <w:sz w:val="20"/>
                <w:szCs w:val="20"/>
              </w:rPr>
              <w:t>Intermediate outcome performance measure</w:t>
            </w:r>
          </w:p>
        </w:tc>
        <w:tc>
          <w:tcPr>
            <w:tcW w:w="833" w:type="pct"/>
            <w:tcBorders>
              <w:bottom w:val="single" w:sz="4" w:space="0" w:color="FFFFFF" w:themeColor="background1"/>
            </w:tcBorders>
            <w:hideMark/>
          </w:tcPr>
          <w:p w14:paraId="0AA36266" w14:textId="77777777" w:rsidR="0029429F" w:rsidRPr="007F2601" w:rsidRDefault="0029429F" w:rsidP="00E117FD">
            <w:pPr>
              <w:keepNext/>
              <w:keepLines/>
              <w:spacing w:before="40" w:after="40"/>
              <w:jc w:val="right"/>
              <w:rPr>
                <w:rFonts w:eastAsia="Times New Roman"/>
                <w:sz w:val="20"/>
                <w:szCs w:val="20"/>
              </w:rPr>
            </w:pPr>
            <w:r w:rsidRPr="007F2601">
              <w:rPr>
                <w:rFonts w:eastAsia="Times New Roman"/>
                <w:sz w:val="20"/>
                <w:szCs w:val="20"/>
              </w:rPr>
              <w:t>2019–20</w:t>
            </w:r>
          </w:p>
        </w:tc>
        <w:tc>
          <w:tcPr>
            <w:tcW w:w="833" w:type="pct"/>
            <w:tcBorders>
              <w:bottom w:val="single" w:sz="4" w:space="0" w:color="FFFFFF" w:themeColor="background1"/>
            </w:tcBorders>
            <w:hideMark/>
          </w:tcPr>
          <w:p w14:paraId="39028A3E" w14:textId="77777777" w:rsidR="0029429F" w:rsidRPr="007F2601" w:rsidRDefault="0029429F" w:rsidP="00E117FD">
            <w:pPr>
              <w:keepNext/>
              <w:keepLines/>
              <w:spacing w:before="40" w:after="40"/>
              <w:jc w:val="right"/>
              <w:rPr>
                <w:rFonts w:eastAsia="Times New Roman"/>
                <w:sz w:val="20"/>
                <w:szCs w:val="20"/>
              </w:rPr>
            </w:pPr>
            <w:r w:rsidRPr="007F2601">
              <w:rPr>
                <w:rFonts w:eastAsia="Times New Roman"/>
                <w:sz w:val="20"/>
                <w:szCs w:val="20"/>
              </w:rPr>
              <w:t>2018–19</w:t>
            </w:r>
          </w:p>
        </w:tc>
        <w:tc>
          <w:tcPr>
            <w:tcW w:w="832" w:type="pct"/>
            <w:tcBorders>
              <w:bottom w:val="single" w:sz="4" w:space="0" w:color="FFFFFF" w:themeColor="background1"/>
            </w:tcBorders>
            <w:hideMark/>
          </w:tcPr>
          <w:p w14:paraId="317E464A" w14:textId="77777777" w:rsidR="0029429F" w:rsidRPr="007F2601" w:rsidRDefault="0029429F" w:rsidP="00E117FD">
            <w:pPr>
              <w:keepNext/>
              <w:keepLines/>
              <w:spacing w:before="40" w:after="40"/>
              <w:jc w:val="right"/>
              <w:rPr>
                <w:rFonts w:eastAsia="Times New Roman"/>
                <w:sz w:val="20"/>
                <w:szCs w:val="20"/>
              </w:rPr>
            </w:pPr>
            <w:r w:rsidRPr="007F2601">
              <w:rPr>
                <w:rFonts w:eastAsia="Times New Roman"/>
                <w:sz w:val="20"/>
                <w:szCs w:val="20"/>
              </w:rPr>
              <w:t>2017–18</w:t>
            </w:r>
          </w:p>
        </w:tc>
      </w:tr>
      <w:tr w:rsidR="0029429F" w:rsidRPr="00771C23" w14:paraId="4BF7F337" w14:textId="77777777" w:rsidTr="00E117FD">
        <w:trPr>
          <w:cnfStyle w:val="000000100000" w:firstRow="0" w:lastRow="0" w:firstColumn="0" w:lastColumn="0" w:oddVBand="0" w:evenVBand="0" w:oddHBand="1" w:evenHBand="0" w:firstRowFirstColumn="0" w:firstRowLastColumn="0" w:lastRowFirstColumn="0" w:lastRowLastColumn="0"/>
          <w:trHeight w:val="60"/>
        </w:trPr>
        <w:tc>
          <w:tcPr>
            <w:tcW w:w="5000" w:type="pct"/>
            <w:gridSpan w:val="4"/>
            <w:tcBorders>
              <w:top w:val="single" w:sz="4" w:space="0" w:color="FFFFFF" w:themeColor="background1"/>
              <w:bottom w:val="single" w:sz="18" w:space="0" w:color="00B0B9"/>
            </w:tcBorders>
            <w:hideMark/>
          </w:tcPr>
          <w:p w14:paraId="4E090B01" w14:textId="77777777" w:rsidR="0029429F" w:rsidRPr="00771C23" w:rsidRDefault="0029429F" w:rsidP="00E117FD">
            <w:pPr>
              <w:keepNext/>
              <w:keepLines/>
              <w:spacing w:before="40" w:after="40"/>
              <w:rPr>
                <w:rFonts w:eastAsia="Times New Roman" w:cs="Arial"/>
                <w:b/>
                <w:color w:val="000000" w:themeColor="text1"/>
                <w:sz w:val="20"/>
                <w:szCs w:val="20"/>
              </w:rPr>
            </w:pPr>
            <w:r w:rsidRPr="00771C23">
              <w:rPr>
                <w:rFonts w:eastAsia="Times New Roman" w:cs="Arial"/>
                <w:b/>
                <w:color w:val="000000" w:themeColor="text1"/>
                <w:sz w:val="20"/>
                <w:szCs w:val="20"/>
              </w:rPr>
              <w:t>Families and Children</w:t>
            </w:r>
          </w:p>
        </w:tc>
      </w:tr>
      <w:tr w:rsidR="0029429F" w:rsidRPr="00771C23" w14:paraId="3E3E0F6A"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tcBorders>
              <w:top w:val="single" w:sz="18" w:space="0" w:color="00B0B9"/>
            </w:tcBorders>
            <w:hideMark/>
          </w:tcPr>
          <w:p w14:paraId="023A5442"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 xml:space="preserve">Percentage of individuals from priority </w:t>
            </w:r>
            <w:proofErr w:type="spellStart"/>
            <w:r w:rsidRPr="00771C23">
              <w:rPr>
                <w:rFonts w:eastAsia="Times New Roman"/>
                <w:color w:val="000000" w:themeColor="text1"/>
                <w:spacing w:val="4"/>
                <w:sz w:val="20"/>
                <w:szCs w:val="20"/>
                <w:lang w:val="en-GB"/>
              </w:rPr>
              <w:t>groups</w:t>
            </w:r>
            <w:r w:rsidRPr="00771C23">
              <w:rPr>
                <w:rFonts w:eastAsia="Times New Roman"/>
                <w:color w:val="000000" w:themeColor="text1"/>
                <w:spacing w:val="4"/>
                <w:sz w:val="20"/>
                <w:szCs w:val="20"/>
                <w:vertAlign w:val="superscript"/>
                <w:lang w:val="en-GB"/>
              </w:rPr>
              <w:t>a</w:t>
            </w:r>
            <w:proofErr w:type="spellEnd"/>
          </w:p>
        </w:tc>
        <w:tc>
          <w:tcPr>
            <w:tcW w:w="833" w:type="pct"/>
            <w:tcBorders>
              <w:top w:val="single" w:sz="18" w:space="0" w:color="00B0B9"/>
            </w:tcBorders>
            <w:hideMark/>
          </w:tcPr>
          <w:p w14:paraId="12BF2233" w14:textId="77777777" w:rsidR="0029429F" w:rsidRPr="00771C23" w:rsidRDefault="0029429F" w:rsidP="00E117FD">
            <w:pPr>
              <w:spacing w:before="40" w:after="40"/>
              <w:jc w:val="right"/>
              <w:rPr>
                <w:rFonts w:eastAsia="Times New Roman"/>
                <w:color w:val="000000" w:themeColor="text1"/>
                <w:spacing w:val="4"/>
                <w:sz w:val="20"/>
                <w:szCs w:val="20"/>
                <w:highlight w:val="yellow"/>
                <w:lang w:val="en-GB"/>
              </w:rPr>
            </w:pPr>
            <w:r w:rsidRPr="00771C23">
              <w:rPr>
                <w:rFonts w:eastAsia="Times New Roman"/>
                <w:color w:val="000000" w:themeColor="text1"/>
                <w:spacing w:val="4"/>
                <w:sz w:val="20"/>
                <w:szCs w:val="20"/>
                <w:lang w:val="en-GB"/>
              </w:rPr>
              <w:t>23.8%</w:t>
            </w:r>
          </w:p>
        </w:tc>
        <w:tc>
          <w:tcPr>
            <w:tcW w:w="833" w:type="pct"/>
            <w:tcBorders>
              <w:top w:val="single" w:sz="18" w:space="0" w:color="00B0B9"/>
            </w:tcBorders>
            <w:hideMark/>
          </w:tcPr>
          <w:p w14:paraId="498FB72D"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20.5%</w:t>
            </w:r>
          </w:p>
        </w:tc>
        <w:tc>
          <w:tcPr>
            <w:tcW w:w="832" w:type="pct"/>
            <w:tcBorders>
              <w:top w:val="single" w:sz="18" w:space="0" w:color="00B0B9"/>
            </w:tcBorders>
            <w:hideMark/>
          </w:tcPr>
          <w:p w14:paraId="2973101E"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12.6%</w:t>
            </w:r>
          </w:p>
        </w:tc>
      </w:tr>
      <w:tr w:rsidR="0029429F" w:rsidRPr="00771C23" w14:paraId="278A8B7E"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hideMark/>
          </w:tcPr>
          <w:p w14:paraId="6DE2180B" w14:textId="77777777" w:rsidR="0029429F" w:rsidRPr="00771C23" w:rsidRDefault="0029429F" w:rsidP="00E117FD">
            <w:pPr>
              <w:numPr>
                <w:ilvl w:val="0"/>
                <w:numId w:val="67"/>
              </w:numPr>
              <w:spacing w:before="40" w:after="40"/>
              <w:ind w:left="459"/>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Indigenous</w:t>
            </w:r>
          </w:p>
        </w:tc>
        <w:tc>
          <w:tcPr>
            <w:tcW w:w="833" w:type="pct"/>
            <w:hideMark/>
          </w:tcPr>
          <w:p w14:paraId="15C1433A" w14:textId="77777777" w:rsidR="0029429F" w:rsidRPr="00771C23" w:rsidRDefault="0029429F" w:rsidP="00E117FD">
            <w:pPr>
              <w:spacing w:before="40" w:after="40"/>
              <w:jc w:val="right"/>
              <w:rPr>
                <w:rFonts w:eastAsia="Times New Roman" w:cs="Arial"/>
                <w:color w:val="000000" w:themeColor="text1"/>
                <w:spacing w:val="4"/>
                <w:sz w:val="20"/>
                <w:szCs w:val="20"/>
                <w:highlight w:val="yellow"/>
                <w:lang w:val="en-GB"/>
              </w:rPr>
            </w:pPr>
            <w:r w:rsidRPr="00771C23">
              <w:rPr>
                <w:rFonts w:eastAsia="Times New Roman" w:cs="Arial"/>
                <w:color w:val="000000" w:themeColor="text1"/>
                <w:spacing w:val="4"/>
                <w:sz w:val="20"/>
                <w:szCs w:val="20"/>
                <w:lang w:val="en-GB"/>
              </w:rPr>
              <w:t>11.7%</w:t>
            </w:r>
          </w:p>
        </w:tc>
        <w:tc>
          <w:tcPr>
            <w:tcW w:w="833" w:type="pct"/>
            <w:hideMark/>
          </w:tcPr>
          <w:p w14:paraId="323CCAD5"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9.0%</w:t>
            </w:r>
          </w:p>
        </w:tc>
        <w:tc>
          <w:tcPr>
            <w:tcW w:w="832" w:type="pct"/>
            <w:hideMark/>
          </w:tcPr>
          <w:p w14:paraId="613E2126"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7.8%</w:t>
            </w:r>
          </w:p>
        </w:tc>
      </w:tr>
      <w:tr w:rsidR="0029429F" w:rsidRPr="00771C23" w14:paraId="39499034"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hideMark/>
          </w:tcPr>
          <w:p w14:paraId="09162EB4" w14:textId="77777777" w:rsidR="0029429F" w:rsidRPr="00771C23" w:rsidRDefault="0029429F" w:rsidP="00E117FD">
            <w:pPr>
              <w:numPr>
                <w:ilvl w:val="0"/>
                <w:numId w:val="67"/>
              </w:numPr>
              <w:spacing w:before="40" w:after="40"/>
              <w:ind w:left="459"/>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Culturally and linguistically diverse</w:t>
            </w:r>
          </w:p>
        </w:tc>
        <w:tc>
          <w:tcPr>
            <w:tcW w:w="833" w:type="pct"/>
            <w:hideMark/>
          </w:tcPr>
          <w:p w14:paraId="330A5F45" w14:textId="77777777" w:rsidR="0029429F" w:rsidRPr="00771C23" w:rsidRDefault="0029429F" w:rsidP="00E117FD">
            <w:pPr>
              <w:spacing w:before="40" w:after="40"/>
              <w:jc w:val="right"/>
              <w:rPr>
                <w:rFonts w:eastAsia="Times New Roman"/>
                <w:color w:val="000000" w:themeColor="text1"/>
                <w:spacing w:val="4"/>
                <w:sz w:val="20"/>
                <w:szCs w:val="20"/>
                <w:highlight w:val="yellow"/>
                <w:lang w:val="en-GB"/>
              </w:rPr>
            </w:pPr>
            <w:r w:rsidRPr="00771C23">
              <w:rPr>
                <w:rFonts w:eastAsia="Times New Roman"/>
                <w:color w:val="000000" w:themeColor="text1"/>
                <w:spacing w:val="4"/>
                <w:sz w:val="20"/>
                <w:szCs w:val="20"/>
                <w:lang w:val="en-GB"/>
              </w:rPr>
              <w:t>5.9%</w:t>
            </w:r>
          </w:p>
        </w:tc>
        <w:tc>
          <w:tcPr>
            <w:tcW w:w="833" w:type="pct"/>
            <w:hideMark/>
          </w:tcPr>
          <w:p w14:paraId="2FF5B687"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5.3%</w:t>
            </w:r>
          </w:p>
        </w:tc>
        <w:tc>
          <w:tcPr>
            <w:tcW w:w="832" w:type="pct"/>
            <w:hideMark/>
          </w:tcPr>
          <w:p w14:paraId="0068386E"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4.8%</w:t>
            </w:r>
          </w:p>
        </w:tc>
      </w:tr>
      <w:tr w:rsidR="0029429F" w:rsidRPr="00771C23" w14:paraId="73FD52AD"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tcBorders>
              <w:bottom w:val="single" w:sz="4" w:space="0" w:color="FFFFFF" w:themeColor="background1"/>
            </w:tcBorders>
            <w:hideMark/>
          </w:tcPr>
          <w:p w14:paraId="562DF63B" w14:textId="77777777" w:rsidR="0029429F" w:rsidRPr="00771C23" w:rsidRDefault="0029429F" w:rsidP="00E117FD">
            <w:pPr>
              <w:numPr>
                <w:ilvl w:val="0"/>
                <w:numId w:val="67"/>
              </w:numPr>
              <w:spacing w:before="40" w:after="40"/>
              <w:ind w:left="459"/>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 xml:space="preserve">People with </w:t>
            </w:r>
            <w:proofErr w:type="spellStart"/>
            <w:r w:rsidRPr="00771C23">
              <w:rPr>
                <w:rFonts w:eastAsia="Times New Roman" w:cs="Arial"/>
                <w:color w:val="000000" w:themeColor="text1"/>
                <w:spacing w:val="4"/>
                <w:sz w:val="20"/>
                <w:szCs w:val="20"/>
                <w:lang w:val="en-GB"/>
              </w:rPr>
              <w:t>disability</w:t>
            </w:r>
            <w:r w:rsidRPr="00771C23">
              <w:rPr>
                <w:rFonts w:eastAsia="Times New Roman" w:cs="Arial"/>
                <w:color w:val="000000" w:themeColor="text1"/>
                <w:spacing w:val="4"/>
                <w:sz w:val="20"/>
                <w:szCs w:val="20"/>
                <w:vertAlign w:val="superscript"/>
                <w:lang w:val="en-GB"/>
              </w:rPr>
              <w:t>b</w:t>
            </w:r>
            <w:proofErr w:type="spellEnd"/>
          </w:p>
        </w:tc>
        <w:tc>
          <w:tcPr>
            <w:tcW w:w="833" w:type="pct"/>
            <w:tcBorders>
              <w:bottom w:val="single" w:sz="4" w:space="0" w:color="FFFFFF" w:themeColor="background1"/>
            </w:tcBorders>
            <w:hideMark/>
          </w:tcPr>
          <w:p w14:paraId="3C4C0768" w14:textId="77777777" w:rsidR="0029429F" w:rsidRPr="00771C23" w:rsidRDefault="0029429F" w:rsidP="00E117FD">
            <w:pPr>
              <w:spacing w:before="40" w:after="40"/>
              <w:jc w:val="right"/>
              <w:rPr>
                <w:rFonts w:eastAsia="Times New Roman" w:cs="Arial"/>
                <w:color w:val="000000" w:themeColor="text1"/>
                <w:spacing w:val="4"/>
                <w:sz w:val="20"/>
                <w:szCs w:val="20"/>
                <w:highlight w:val="yellow"/>
                <w:lang w:val="en-GB"/>
              </w:rPr>
            </w:pPr>
            <w:r w:rsidRPr="00771C23">
              <w:rPr>
                <w:rFonts w:eastAsia="Times New Roman" w:cs="Arial"/>
                <w:color w:val="000000" w:themeColor="text1"/>
                <w:spacing w:val="4"/>
                <w:sz w:val="20"/>
                <w:szCs w:val="20"/>
                <w:lang w:val="en-GB"/>
              </w:rPr>
              <w:t>7.7%</w:t>
            </w:r>
          </w:p>
        </w:tc>
        <w:tc>
          <w:tcPr>
            <w:tcW w:w="833" w:type="pct"/>
            <w:tcBorders>
              <w:bottom w:val="single" w:sz="4" w:space="0" w:color="FFFFFF" w:themeColor="background1"/>
            </w:tcBorders>
            <w:hideMark/>
          </w:tcPr>
          <w:p w14:paraId="4BC4EFAE"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7.4%</w:t>
            </w:r>
          </w:p>
        </w:tc>
        <w:tc>
          <w:tcPr>
            <w:tcW w:w="832" w:type="pct"/>
            <w:tcBorders>
              <w:bottom w:val="single" w:sz="4" w:space="0" w:color="FFFFFF" w:themeColor="background1"/>
            </w:tcBorders>
            <w:hideMark/>
          </w:tcPr>
          <w:p w14:paraId="5D2BCA50"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w:t>
            </w:r>
          </w:p>
        </w:tc>
      </w:tr>
      <w:tr w:rsidR="0029429F" w:rsidRPr="00771C23" w14:paraId="00A00FC9" w14:textId="77777777" w:rsidTr="00E117FD">
        <w:trPr>
          <w:cnfStyle w:val="000000010000" w:firstRow="0" w:lastRow="0" w:firstColumn="0" w:lastColumn="0" w:oddVBand="0" w:evenVBand="0" w:oddHBand="0" w:evenHBand="1" w:firstRowFirstColumn="0" w:firstRowLastColumn="0" w:lastRowFirstColumn="0" w:lastRowLastColumn="0"/>
          <w:trHeight w:val="60"/>
        </w:trPr>
        <w:tc>
          <w:tcPr>
            <w:tcW w:w="5000" w:type="pct"/>
            <w:gridSpan w:val="4"/>
            <w:tcBorders>
              <w:top w:val="single" w:sz="4" w:space="0" w:color="FFFFFF" w:themeColor="background1"/>
              <w:bottom w:val="single" w:sz="18" w:space="0" w:color="00B0B9"/>
            </w:tcBorders>
            <w:hideMark/>
          </w:tcPr>
          <w:p w14:paraId="58599B1A" w14:textId="77777777" w:rsidR="0029429F" w:rsidRPr="00771C23" w:rsidRDefault="0029429F" w:rsidP="00E117FD">
            <w:pPr>
              <w:keepNext/>
              <w:keepLines/>
              <w:spacing w:before="40" w:after="40"/>
              <w:rPr>
                <w:rFonts w:eastAsia="Times New Roman" w:cs="Arial"/>
                <w:b/>
                <w:color w:val="000000" w:themeColor="text1"/>
                <w:sz w:val="20"/>
                <w:szCs w:val="20"/>
              </w:rPr>
            </w:pPr>
            <w:r w:rsidRPr="00771C23">
              <w:rPr>
                <w:rFonts w:eastAsia="Times New Roman"/>
                <w:b/>
                <w:color w:val="000000" w:themeColor="text1"/>
                <w:sz w:val="20"/>
                <w:szCs w:val="20"/>
              </w:rPr>
              <w:t xml:space="preserve">Strong and Resilient </w:t>
            </w:r>
            <w:proofErr w:type="spellStart"/>
            <w:r w:rsidRPr="00771C23">
              <w:rPr>
                <w:rFonts w:eastAsia="Times New Roman"/>
                <w:b/>
                <w:color w:val="000000" w:themeColor="text1"/>
                <w:sz w:val="20"/>
                <w:szCs w:val="20"/>
              </w:rPr>
              <w:t>Communities</w:t>
            </w:r>
            <w:r w:rsidRPr="00771C23">
              <w:rPr>
                <w:rFonts w:eastAsia="Times New Roman"/>
                <w:color w:val="000000" w:themeColor="text1"/>
                <w:sz w:val="20"/>
                <w:szCs w:val="20"/>
                <w:vertAlign w:val="superscript"/>
              </w:rPr>
              <w:t>c</w:t>
            </w:r>
            <w:proofErr w:type="spellEnd"/>
          </w:p>
        </w:tc>
      </w:tr>
      <w:tr w:rsidR="0029429F" w:rsidRPr="00771C23" w14:paraId="01DA82F9"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tcBorders>
              <w:top w:val="single" w:sz="18" w:space="0" w:color="00B0B9"/>
            </w:tcBorders>
            <w:hideMark/>
          </w:tcPr>
          <w:p w14:paraId="178A559C"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 xml:space="preserve">Percentage of individuals assisted from priority </w:t>
            </w:r>
            <w:proofErr w:type="spellStart"/>
            <w:r w:rsidRPr="00771C23">
              <w:rPr>
                <w:rFonts w:eastAsia="Times New Roman" w:cs="Arial"/>
                <w:color w:val="000000" w:themeColor="text1"/>
                <w:spacing w:val="4"/>
                <w:sz w:val="20"/>
                <w:szCs w:val="20"/>
                <w:lang w:val="en-GB"/>
              </w:rPr>
              <w:t>groups</w:t>
            </w:r>
            <w:r w:rsidRPr="00771C23">
              <w:rPr>
                <w:rFonts w:eastAsia="Times New Roman" w:cs="Arial"/>
                <w:color w:val="000000" w:themeColor="text1"/>
                <w:spacing w:val="4"/>
                <w:sz w:val="20"/>
                <w:szCs w:val="20"/>
                <w:vertAlign w:val="superscript"/>
                <w:lang w:val="en-GB"/>
              </w:rPr>
              <w:t>d</w:t>
            </w:r>
            <w:proofErr w:type="spellEnd"/>
          </w:p>
        </w:tc>
        <w:tc>
          <w:tcPr>
            <w:tcW w:w="833" w:type="pct"/>
            <w:tcBorders>
              <w:top w:val="single" w:sz="18" w:space="0" w:color="00B0B9"/>
            </w:tcBorders>
            <w:hideMark/>
          </w:tcPr>
          <w:p w14:paraId="3102EF02"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31%</w:t>
            </w:r>
          </w:p>
        </w:tc>
        <w:tc>
          <w:tcPr>
            <w:tcW w:w="833" w:type="pct"/>
            <w:tcBorders>
              <w:top w:val="single" w:sz="18" w:space="0" w:color="00B0B9"/>
            </w:tcBorders>
            <w:hideMark/>
          </w:tcPr>
          <w:p w14:paraId="5897DA95"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19.2%</w:t>
            </w:r>
          </w:p>
        </w:tc>
        <w:tc>
          <w:tcPr>
            <w:tcW w:w="832" w:type="pct"/>
            <w:tcBorders>
              <w:top w:val="single" w:sz="18" w:space="0" w:color="00B0B9"/>
            </w:tcBorders>
            <w:hideMark/>
          </w:tcPr>
          <w:p w14:paraId="54A966D3"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12.8%</w:t>
            </w:r>
          </w:p>
        </w:tc>
      </w:tr>
      <w:tr w:rsidR="0029429F" w:rsidRPr="00771C23" w14:paraId="6ABDB37B"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hideMark/>
          </w:tcPr>
          <w:p w14:paraId="36DF4786" w14:textId="77777777" w:rsidR="0029429F" w:rsidRPr="00771C23" w:rsidRDefault="0029429F" w:rsidP="00E117FD">
            <w:pPr>
              <w:numPr>
                <w:ilvl w:val="0"/>
                <w:numId w:val="67"/>
              </w:numPr>
              <w:spacing w:before="40" w:after="40"/>
              <w:ind w:left="459"/>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Indigenous</w:t>
            </w:r>
          </w:p>
        </w:tc>
        <w:tc>
          <w:tcPr>
            <w:tcW w:w="833" w:type="pct"/>
            <w:hideMark/>
          </w:tcPr>
          <w:p w14:paraId="2EC7BAF2"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9.7%</w:t>
            </w:r>
          </w:p>
        </w:tc>
        <w:tc>
          <w:tcPr>
            <w:tcW w:w="833" w:type="pct"/>
            <w:hideMark/>
          </w:tcPr>
          <w:p w14:paraId="3F5BA989"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6.6%</w:t>
            </w:r>
          </w:p>
        </w:tc>
        <w:tc>
          <w:tcPr>
            <w:tcW w:w="832" w:type="pct"/>
            <w:hideMark/>
          </w:tcPr>
          <w:p w14:paraId="3A83BB85"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1.2%</w:t>
            </w:r>
          </w:p>
        </w:tc>
      </w:tr>
      <w:tr w:rsidR="0029429F" w:rsidRPr="00771C23" w14:paraId="4B1D169F"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tcBorders>
              <w:bottom w:val="single" w:sz="4" w:space="0" w:color="FFFFFF" w:themeColor="background1"/>
            </w:tcBorders>
            <w:hideMark/>
          </w:tcPr>
          <w:p w14:paraId="0A9B718B" w14:textId="77777777" w:rsidR="0029429F" w:rsidRPr="00771C23" w:rsidRDefault="0029429F" w:rsidP="00E117FD">
            <w:pPr>
              <w:numPr>
                <w:ilvl w:val="0"/>
                <w:numId w:val="67"/>
              </w:numPr>
              <w:spacing w:before="40" w:after="40"/>
              <w:ind w:left="459"/>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Culturally and linguistically diverse</w:t>
            </w:r>
          </w:p>
        </w:tc>
        <w:tc>
          <w:tcPr>
            <w:tcW w:w="833" w:type="pct"/>
            <w:tcBorders>
              <w:bottom w:val="single" w:sz="4" w:space="0" w:color="FFFFFF" w:themeColor="background1"/>
            </w:tcBorders>
            <w:hideMark/>
          </w:tcPr>
          <w:p w14:paraId="085F9EA4"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21.4%</w:t>
            </w:r>
          </w:p>
        </w:tc>
        <w:tc>
          <w:tcPr>
            <w:tcW w:w="833" w:type="pct"/>
            <w:tcBorders>
              <w:bottom w:val="single" w:sz="4" w:space="0" w:color="FFFFFF" w:themeColor="background1"/>
            </w:tcBorders>
            <w:hideMark/>
          </w:tcPr>
          <w:p w14:paraId="5755B572"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12.7%</w:t>
            </w:r>
          </w:p>
        </w:tc>
        <w:tc>
          <w:tcPr>
            <w:tcW w:w="832" w:type="pct"/>
            <w:tcBorders>
              <w:bottom w:val="single" w:sz="4" w:space="0" w:color="FFFFFF" w:themeColor="background1"/>
            </w:tcBorders>
            <w:hideMark/>
          </w:tcPr>
          <w:p w14:paraId="0E1EB547"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11.6%</w:t>
            </w:r>
          </w:p>
        </w:tc>
      </w:tr>
      <w:tr w:rsidR="0029429F" w:rsidRPr="00771C23" w14:paraId="45057274" w14:textId="77777777" w:rsidTr="00E117FD">
        <w:trPr>
          <w:cnfStyle w:val="000000010000" w:firstRow="0" w:lastRow="0" w:firstColumn="0" w:lastColumn="0" w:oddVBand="0" w:evenVBand="0" w:oddHBand="0" w:evenHBand="1" w:firstRowFirstColumn="0" w:firstRowLastColumn="0" w:lastRowFirstColumn="0" w:lastRowLastColumn="0"/>
          <w:trHeight w:val="60"/>
        </w:trPr>
        <w:tc>
          <w:tcPr>
            <w:tcW w:w="5000" w:type="pct"/>
            <w:gridSpan w:val="4"/>
            <w:tcBorders>
              <w:top w:val="single" w:sz="4" w:space="0" w:color="FFFFFF" w:themeColor="background1"/>
              <w:bottom w:val="single" w:sz="18" w:space="0" w:color="00B0B9"/>
            </w:tcBorders>
            <w:hideMark/>
          </w:tcPr>
          <w:p w14:paraId="35F9A396" w14:textId="77777777" w:rsidR="0029429F" w:rsidRPr="00771C23" w:rsidRDefault="0029429F" w:rsidP="00E117FD">
            <w:pPr>
              <w:keepNext/>
              <w:keepLines/>
              <w:spacing w:before="40" w:after="40"/>
              <w:rPr>
                <w:rFonts w:eastAsia="Times New Roman" w:cs="Arial"/>
                <w:b/>
                <w:color w:val="000000" w:themeColor="text1"/>
                <w:sz w:val="20"/>
                <w:szCs w:val="20"/>
              </w:rPr>
            </w:pPr>
            <w:r w:rsidRPr="00771C23">
              <w:rPr>
                <w:rFonts w:eastAsia="Times New Roman" w:cs="Arial"/>
                <w:b/>
                <w:color w:val="000000" w:themeColor="text1"/>
                <w:sz w:val="20"/>
                <w:szCs w:val="20"/>
              </w:rPr>
              <w:t xml:space="preserve">Volunteer Management </w:t>
            </w:r>
            <w:proofErr w:type="spellStart"/>
            <w:r w:rsidRPr="00771C23">
              <w:rPr>
                <w:rFonts w:eastAsia="Times New Roman" w:cs="Arial"/>
                <w:b/>
                <w:color w:val="000000" w:themeColor="text1"/>
                <w:sz w:val="20"/>
                <w:szCs w:val="20"/>
              </w:rPr>
              <w:t>Activity</w:t>
            </w:r>
            <w:r w:rsidRPr="00771C23">
              <w:rPr>
                <w:rFonts w:eastAsia="Times New Roman"/>
                <w:color w:val="000000" w:themeColor="text1"/>
                <w:sz w:val="20"/>
                <w:szCs w:val="20"/>
                <w:vertAlign w:val="superscript"/>
              </w:rPr>
              <w:t>e</w:t>
            </w:r>
            <w:proofErr w:type="spellEnd"/>
          </w:p>
        </w:tc>
      </w:tr>
      <w:tr w:rsidR="0029429F" w:rsidRPr="00771C23" w14:paraId="283E03A6"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tcBorders>
              <w:top w:val="single" w:sz="18" w:space="0" w:color="00B0B9"/>
            </w:tcBorders>
            <w:hideMark/>
          </w:tcPr>
          <w:p w14:paraId="7D04B87C"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Percentage of individuals assisted from priority groups:</w:t>
            </w:r>
          </w:p>
        </w:tc>
        <w:tc>
          <w:tcPr>
            <w:tcW w:w="833" w:type="pct"/>
            <w:tcBorders>
              <w:top w:val="single" w:sz="18" w:space="0" w:color="00B0B9"/>
            </w:tcBorders>
            <w:hideMark/>
          </w:tcPr>
          <w:p w14:paraId="39265FEA"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12.4%</w:t>
            </w:r>
          </w:p>
        </w:tc>
        <w:tc>
          <w:tcPr>
            <w:tcW w:w="833" w:type="pct"/>
            <w:tcBorders>
              <w:top w:val="single" w:sz="18" w:space="0" w:color="00B0B9"/>
            </w:tcBorders>
            <w:hideMark/>
          </w:tcPr>
          <w:p w14:paraId="103A5905"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14.0%</w:t>
            </w:r>
          </w:p>
        </w:tc>
        <w:tc>
          <w:tcPr>
            <w:tcW w:w="832" w:type="pct"/>
            <w:tcBorders>
              <w:top w:val="single" w:sz="18" w:space="0" w:color="00B0B9"/>
            </w:tcBorders>
            <w:hideMark/>
          </w:tcPr>
          <w:p w14:paraId="2975D375"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18.2%</w:t>
            </w:r>
          </w:p>
        </w:tc>
      </w:tr>
      <w:tr w:rsidR="0029429F" w:rsidRPr="00771C23" w14:paraId="4F61C879"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hideMark/>
          </w:tcPr>
          <w:p w14:paraId="6E1ED078" w14:textId="77777777" w:rsidR="0029429F" w:rsidRPr="00771C23" w:rsidRDefault="0029429F" w:rsidP="00E117FD">
            <w:pPr>
              <w:numPr>
                <w:ilvl w:val="0"/>
                <w:numId w:val="67"/>
              </w:numPr>
              <w:spacing w:before="40" w:after="40"/>
              <w:ind w:left="459"/>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Indigenous</w:t>
            </w:r>
          </w:p>
        </w:tc>
        <w:tc>
          <w:tcPr>
            <w:tcW w:w="833" w:type="pct"/>
            <w:hideMark/>
          </w:tcPr>
          <w:p w14:paraId="2F306B47"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1.4%</w:t>
            </w:r>
          </w:p>
        </w:tc>
        <w:tc>
          <w:tcPr>
            <w:tcW w:w="833" w:type="pct"/>
            <w:hideMark/>
          </w:tcPr>
          <w:p w14:paraId="6F905AFB"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1.7%</w:t>
            </w:r>
          </w:p>
        </w:tc>
        <w:tc>
          <w:tcPr>
            <w:tcW w:w="832" w:type="pct"/>
            <w:hideMark/>
          </w:tcPr>
          <w:p w14:paraId="0FFF475F"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1.3%</w:t>
            </w:r>
          </w:p>
        </w:tc>
      </w:tr>
      <w:tr w:rsidR="0029429F" w:rsidRPr="00771C23" w14:paraId="4B4B5247"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tcBorders>
              <w:bottom w:val="single" w:sz="4" w:space="0" w:color="FFFFFF" w:themeColor="background1"/>
            </w:tcBorders>
            <w:hideMark/>
          </w:tcPr>
          <w:p w14:paraId="7554B64D" w14:textId="77777777" w:rsidR="0029429F" w:rsidRPr="00771C23" w:rsidRDefault="0029429F" w:rsidP="00E117FD">
            <w:pPr>
              <w:numPr>
                <w:ilvl w:val="0"/>
                <w:numId w:val="67"/>
              </w:numPr>
              <w:spacing w:before="40" w:after="40"/>
              <w:ind w:left="459"/>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Culturally and linguistically diverse</w:t>
            </w:r>
          </w:p>
        </w:tc>
        <w:tc>
          <w:tcPr>
            <w:tcW w:w="833" w:type="pct"/>
            <w:tcBorders>
              <w:bottom w:val="single" w:sz="4" w:space="0" w:color="FFFFFF" w:themeColor="background1"/>
            </w:tcBorders>
            <w:hideMark/>
          </w:tcPr>
          <w:p w14:paraId="4DE29AD6"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11%</w:t>
            </w:r>
          </w:p>
        </w:tc>
        <w:tc>
          <w:tcPr>
            <w:tcW w:w="833" w:type="pct"/>
            <w:tcBorders>
              <w:bottom w:val="single" w:sz="4" w:space="0" w:color="FFFFFF" w:themeColor="background1"/>
            </w:tcBorders>
            <w:hideMark/>
          </w:tcPr>
          <w:p w14:paraId="095AEF1E"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12.3%</w:t>
            </w:r>
          </w:p>
        </w:tc>
        <w:tc>
          <w:tcPr>
            <w:tcW w:w="832" w:type="pct"/>
            <w:tcBorders>
              <w:bottom w:val="single" w:sz="4" w:space="0" w:color="FFFFFF" w:themeColor="background1"/>
            </w:tcBorders>
            <w:hideMark/>
          </w:tcPr>
          <w:p w14:paraId="0094108B"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16.9%</w:t>
            </w:r>
          </w:p>
        </w:tc>
      </w:tr>
      <w:tr w:rsidR="0029429F" w:rsidRPr="00771C23" w14:paraId="56CF1026" w14:textId="77777777" w:rsidTr="00E117FD">
        <w:trPr>
          <w:cnfStyle w:val="000000010000" w:firstRow="0" w:lastRow="0" w:firstColumn="0" w:lastColumn="0" w:oddVBand="0" w:evenVBand="0" w:oddHBand="0" w:evenHBand="1" w:firstRowFirstColumn="0" w:firstRowLastColumn="0" w:lastRowFirstColumn="0" w:lastRowLastColumn="0"/>
          <w:trHeight w:val="60"/>
        </w:trPr>
        <w:tc>
          <w:tcPr>
            <w:tcW w:w="5000" w:type="pct"/>
            <w:gridSpan w:val="4"/>
            <w:tcBorders>
              <w:top w:val="single" w:sz="4" w:space="0" w:color="FFFFFF" w:themeColor="background1"/>
              <w:bottom w:val="single" w:sz="18" w:space="0" w:color="00B0B9"/>
            </w:tcBorders>
            <w:hideMark/>
          </w:tcPr>
          <w:p w14:paraId="23A046F6" w14:textId="77777777" w:rsidR="0029429F" w:rsidRPr="00771C23" w:rsidRDefault="0029429F" w:rsidP="00E117FD">
            <w:pPr>
              <w:keepNext/>
              <w:keepLines/>
              <w:spacing w:before="40" w:after="40"/>
              <w:rPr>
                <w:rFonts w:eastAsia="Times New Roman" w:cs="Arial"/>
                <w:b/>
                <w:color w:val="000000" w:themeColor="text1"/>
                <w:sz w:val="20"/>
                <w:szCs w:val="20"/>
              </w:rPr>
            </w:pPr>
            <w:r w:rsidRPr="00771C23">
              <w:rPr>
                <w:rFonts w:eastAsia="Times New Roman"/>
                <w:b/>
                <w:color w:val="000000" w:themeColor="text1"/>
                <w:sz w:val="20"/>
                <w:szCs w:val="20"/>
              </w:rPr>
              <w:t>Financial Wellbeing and Capability</w:t>
            </w:r>
          </w:p>
        </w:tc>
      </w:tr>
      <w:tr w:rsidR="0029429F" w:rsidRPr="00771C23" w14:paraId="213AE25D"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tcBorders>
              <w:top w:val="single" w:sz="18" w:space="0" w:color="00B0B9"/>
            </w:tcBorders>
            <w:hideMark/>
          </w:tcPr>
          <w:p w14:paraId="60AB7844"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 xml:space="preserve">Percentage of individuals from priority </w:t>
            </w:r>
            <w:proofErr w:type="spellStart"/>
            <w:r w:rsidRPr="00771C23">
              <w:rPr>
                <w:rFonts w:eastAsia="Times New Roman" w:cs="Arial"/>
                <w:color w:val="000000" w:themeColor="text1"/>
                <w:spacing w:val="4"/>
                <w:sz w:val="20"/>
                <w:szCs w:val="20"/>
                <w:lang w:val="en-GB"/>
              </w:rPr>
              <w:t>groups</w:t>
            </w:r>
            <w:r w:rsidRPr="00771C23">
              <w:rPr>
                <w:rFonts w:eastAsia="Times New Roman" w:cs="Arial"/>
                <w:color w:val="000000" w:themeColor="text1"/>
                <w:spacing w:val="4"/>
                <w:sz w:val="20"/>
                <w:szCs w:val="20"/>
                <w:vertAlign w:val="superscript"/>
                <w:lang w:val="en-GB"/>
              </w:rPr>
              <w:t>fg</w:t>
            </w:r>
            <w:proofErr w:type="spellEnd"/>
          </w:p>
        </w:tc>
        <w:tc>
          <w:tcPr>
            <w:tcW w:w="833" w:type="pct"/>
            <w:tcBorders>
              <w:top w:val="single" w:sz="18" w:space="0" w:color="00B0B9"/>
            </w:tcBorders>
            <w:hideMark/>
          </w:tcPr>
          <w:p w14:paraId="2D31A936"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26.1%</w:t>
            </w:r>
          </w:p>
        </w:tc>
        <w:tc>
          <w:tcPr>
            <w:tcW w:w="833" w:type="pct"/>
            <w:tcBorders>
              <w:top w:val="single" w:sz="18" w:space="0" w:color="00B0B9"/>
            </w:tcBorders>
            <w:hideMark/>
          </w:tcPr>
          <w:p w14:paraId="653554A8"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24.9%</w:t>
            </w:r>
          </w:p>
        </w:tc>
        <w:tc>
          <w:tcPr>
            <w:tcW w:w="832" w:type="pct"/>
            <w:tcBorders>
              <w:top w:val="single" w:sz="18" w:space="0" w:color="00B0B9"/>
            </w:tcBorders>
            <w:hideMark/>
          </w:tcPr>
          <w:p w14:paraId="49FD9B47"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24.0%</w:t>
            </w:r>
          </w:p>
        </w:tc>
      </w:tr>
      <w:tr w:rsidR="0029429F" w:rsidRPr="00771C23" w14:paraId="794C93BD"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hideMark/>
          </w:tcPr>
          <w:p w14:paraId="6B0ACF04" w14:textId="77777777" w:rsidR="0029429F" w:rsidRPr="00771C23" w:rsidRDefault="0029429F" w:rsidP="00E117FD">
            <w:pPr>
              <w:numPr>
                <w:ilvl w:val="0"/>
                <w:numId w:val="67"/>
              </w:numPr>
              <w:spacing w:before="40" w:after="40"/>
              <w:ind w:left="459"/>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Indigenous</w:t>
            </w:r>
          </w:p>
        </w:tc>
        <w:tc>
          <w:tcPr>
            <w:tcW w:w="833" w:type="pct"/>
            <w:hideMark/>
          </w:tcPr>
          <w:p w14:paraId="18B4C65D"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18.8%</w:t>
            </w:r>
          </w:p>
        </w:tc>
        <w:tc>
          <w:tcPr>
            <w:tcW w:w="833" w:type="pct"/>
            <w:hideMark/>
          </w:tcPr>
          <w:p w14:paraId="6A2AA5A4"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19.2%</w:t>
            </w:r>
          </w:p>
        </w:tc>
        <w:tc>
          <w:tcPr>
            <w:tcW w:w="832" w:type="pct"/>
            <w:hideMark/>
          </w:tcPr>
          <w:p w14:paraId="012165D7"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18.5%</w:t>
            </w:r>
          </w:p>
        </w:tc>
      </w:tr>
      <w:tr w:rsidR="0029429F" w:rsidRPr="00771C23" w14:paraId="4B51BF36"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hideMark/>
          </w:tcPr>
          <w:p w14:paraId="09CCA111" w14:textId="77777777" w:rsidR="0029429F" w:rsidRPr="00771C23" w:rsidRDefault="0029429F" w:rsidP="00E117FD">
            <w:pPr>
              <w:numPr>
                <w:ilvl w:val="0"/>
                <w:numId w:val="67"/>
              </w:numPr>
              <w:spacing w:before="40" w:after="40"/>
              <w:ind w:left="459"/>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Culturally and linguistically diverse</w:t>
            </w:r>
          </w:p>
        </w:tc>
        <w:tc>
          <w:tcPr>
            <w:tcW w:w="833" w:type="pct"/>
            <w:hideMark/>
          </w:tcPr>
          <w:p w14:paraId="0A4BBB4E"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7.3%</w:t>
            </w:r>
          </w:p>
        </w:tc>
        <w:tc>
          <w:tcPr>
            <w:tcW w:w="833" w:type="pct"/>
            <w:hideMark/>
          </w:tcPr>
          <w:p w14:paraId="165D66AC"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5.7%</w:t>
            </w:r>
          </w:p>
        </w:tc>
        <w:tc>
          <w:tcPr>
            <w:tcW w:w="832" w:type="pct"/>
            <w:hideMark/>
          </w:tcPr>
          <w:p w14:paraId="183884F7"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5.5%</w:t>
            </w:r>
          </w:p>
        </w:tc>
      </w:tr>
    </w:tbl>
    <w:p w14:paraId="1A215F66" w14:textId="77777777" w:rsidR="0029429F" w:rsidRPr="00771C23" w:rsidRDefault="0029429F" w:rsidP="0029429F">
      <w:pPr>
        <w:spacing w:before="160" w:after="60" w:line="240" w:lineRule="auto"/>
        <w:ind w:left="284" w:hanging="284"/>
        <w:contextualSpacing/>
        <w:rPr>
          <w:rFonts w:cs="Arial"/>
          <w:sz w:val="16"/>
          <w:szCs w:val="16"/>
        </w:rPr>
      </w:pPr>
      <w:r w:rsidRPr="00771C23">
        <w:rPr>
          <w:rFonts w:cs="Arial"/>
          <w:sz w:val="16"/>
          <w:szCs w:val="16"/>
        </w:rPr>
        <w:t xml:space="preserve">a </w:t>
      </w:r>
      <w:r w:rsidRPr="00771C23">
        <w:rPr>
          <w:rFonts w:cs="Arial"/>
          <w:sz w:val="16"/>
          <w:szCs w:val="16"/>
        </w:rPr>
        <w:tab/>
        <w:t>Data across the three years is not comparable due to program changes (for example commencement of new services and cessation of some programs). This captures clients identified as Indigenous and culturally and linguistically diverse and people with disability.</w:t>
      </w:r>
    </w:p>
    <w:p w14:paraId="0D558B4C" w14:textId="77777777" w:rsidR="0029429F" w:rsidRPr="00771C23" w:rsidRDefault="0029429F" w:rsidP="0029429F">
      <w:pPr>
        <w:spacing w:before="160" w:after="60" w:line="240" w:lineRule="auto"/>
        <w:ind w:left="284" w:hanging="284"/>
        <w:contextualSpacing/>
        <w:rPr>
          <w:rFonts w:cs="Arial"/>
          <w:sz w:val="16"/>
          <w:szCs w:val="16"/>
        </w:rPr>
      </w:pPr>
      <w:r w:rsidRPr="00771C23">
        <w:rPr>
          <w:rFonts w:cs="Arial"/>
          <w:sz w:val="16"/>
          <w:szCs w:val="16"/>
        </w:rPr>
        <w:t>b</w:t>
      </w:r>
      <w:r w:rsidRPr="00771C23">
        <w:rPr>
          <w:rFonts w:cs="Arial"/>
          <w:sz w:val="16"/>
          <w:szCs w:val="16"/>
        </w:rPr>
        <w:tab/>
        <w:t>New performance measure for 2018–19.</w:t>
      </w:r>
    </w:p>
    <w:p w14:paraId="25CDA1C7" w14:textId="77777777" w:rsidR="0029429F" w:rsidRPr="00771C23" w:rsidRDefault="0029429F" w:rsidP="0029429F">
      <w:pPr>
        <w:spacing w:before="160" w:after="60" w:line="240" w:lineRule="auto"/>
        <w:ind w:left="284" w:hanging="284"/>
        <w:contextualSpacing/>
        <w:rPr>
          <w:rFonts w:cs="Arial"/>
          <w:iCs/>
          <w:sz w:val="16"/>
          <w:szCs w:val="16"/>
        </w:rPr>
      </w:pPr>
      <w:r w:rsidRPr="00771C23">
        <w:rPr>
          <w:rFonts w:cs="Arial"/>
          <w:sz w:val="16"/>
          <w:szCs w:val="16"/>
        </w:rPr>
        <w:lastRenderedPageBreak/>
        <w:t>c</w:t>
      </w:r>
      <w:r w:rsidRPr="00771C23">
        <w:rPr>
          <w:rFonts w:cs="Arial"/>
          <w:sz w:val="16"/>
          <w:szCs w:val="16"/>
        </w:rPr>
        <w:tab/>
      </w:r>
      <w:r w:rsidRPr="00771C23">
        <w:rPr>
          <w:rFonts w:cs="Arial"/>
          <w:iCs/>
          <w:sz w:val="16"/>
          <w:szCs w:val="16"/>
        </w:rPr>
        <w:t>Strong and Resilient Communities Activity commenced on 1 April 2018.</w:t>
      </w:r>
    </w:p>
    <w:p w14:paraId="5CC4077D" w14:textId="77777777" w:rsidR="0029429F" w:rsidRPr="00771C23" w:rsidRDefault="0029429F" w:rsidP="0029429F">
      <w:pPr>
        <w:spacing w:before="160" w:after="60" w:line="240" w:lineRule="auto"/>
        <w:ind w:left="284" w:hanging="284"/>
        <w:contextualSpacing/>
        <w:rPr>
          <w:rFonts w:cs="Arial"/>
          <w:sz w:val="16"/>
          <w:szCs w:val="16"/>
        </w:rPr>
      </w:pPr>
      <w:r w:rsidRPr="00771C23">
        <w:rPr>
          <w:rFonts w:cs="Arial"/>
          <w:sz w:val="16"/>
          <w:szCs w:val="16"/>
        </w:rPr>
        <w:t>d</w:t>
      </w:r>
      <w:r w:rsidRPr="00771C23">
        <w:rPr>
          <w:rFonts w:cs="Arial"/>
          <w:sz w:val="16"/>
          <w:szCs w:val="16"/>
        </w:rPr>
        <w:tab/>
        <w:t>Data relates to Digital Literacy for Older Australians and Strong and Resilient Communities Activity. Digital Literacy for Older Australians started providing services in 2017–18, was fully implemented in 2018–19, and expanded reach of its network in 2019-20 resulting in an increased number of individuals assisted, including in priority groups. Volunteer Management Activity became separate funding stream on 1 January 2018 and is now reported separately.</w:t>
      </w:r>
    </w:p>
    <w:p w14:paraId="67602917" w14:textId="77777777" w:rsidR="0029429F" w:rsidRPr="00771C23" w:rsidRDefault="0029429F" w:rsidP="0029429F">
      <w:pPr>
        <w:spacing w:before="160" w:after="60" w:line="240" w:lineRule="auto"/>
        <w:ind w:left="284" w:hanging="284"/>
        <w:contextualSpacing/>
        <w:rPr>
          <w:rFonts w:eastAsia="Arial" w:cs="Arial"/>
          <w:sz w:val="16"/>
          <w:szCs w:val="16"/>
        </w:rPr>
      </w:pPr>
      <w:r w:rsidRPr="00771C23">
        <w:rPr>
          <w:rFonts w:cs="Arial"/>
          <w:sz w:val="16"/>
          <w:szCs w:val="16"/>
        </w:rPr>
        <w:t>e</w:t>
      </w:r>
      <w:r w:rsidRPr="00771C23">
        <w:rPr>
          <w:rFonts w:cs="Arial"/>
          <w:sz w:val="16"/>
          <w:szCs w:val="16"/>
        </w:rPr>
        <w:tab/>
      </w:r>
      <w:r w:rsidRPr="00771C23">
        <w:rPr>
          <w:rFonts w:eastAsia="Arial" w:cs="Arial"/>
          <w:sz w:val="16"/>
          <w:szCs w:val="16"/>
        </w:rPr>
        <w:t>Data consistency and quality continues to improve over time as providers get used to using the Data Exchange.</w:t>
      </w:r>
    </w:p>
    <w:p w14:paraId="6F1539A9" w14:textId="77777777" w:rsidR="0029429F" w:rsidRPr="00771C23" w:rsidRDefault="0029429F" w:rsidP="0029429F">
      <w:pPr>
        <w:spacing w:before="160" w:after="60" w:line="240" w:lineRule="auto"/>
        <w:ind w:left="284" w:hanging="284"/>
        <w:contextualSpacing/>
        <w:rPr>
          <w:rFonts w:eastAsia="Arial" w:cs="Arial"/>
          <w:sz w:val="16"/>
          <w:szCs w:val="16"/>
        </w:rPr>
      </w:pPr>
      <w:r w:rsidRPr="00771C23">
        <w:rPr>
          <w:rFonts w:eastAsia="Arial" w:cs="Arial"/>
          <w:sz w:val="16"/>
          <w:szCs w:val="16"/>
        </w:rPr>
        <w:t>f</w:t>
      </w:r>
      <w:r w:rsidRPr="00771C23">
        <w:rPr>
          <w:rFonts w:eastAsia="Arial" w:cs="Arial"/>
          <w:sz w:val="16"/>
          <w:szCs w:val="16"/>
        </w:rPr>
        <w:tab/>
        <w:t>Data may not be comparable across years as some organisations may modify the way they collect data and report to the department.</w:t>
      </w:r>
    </w:p>
    <w:p w14:paraId="1C51EE39" w14:textId="77777777" w:rsidR="0029429F" w:rsidRPr="00771C23" w:rsidRDefault="0029429F" w:rsidP="0029429F">
      <w:pPr>
        <w:spacing w:before="160" w:after="60" w:line="240" w:lineRule="auto"/>
        <w:ind w:left="284" w:hanging="284"/>
        <w:contextualSpacing/>
        <w:rPr>
          <w:rFonts w:eastAsia="Arial" w:cs="Arial"/>
          <w:sz w:val="16"/>
          <w:szCs w:val="16"/>
        </w:rPr>
      </w:pPr>
      <w:r w:rsidRPr="00771C23">
        <w:rPr>
          <w:rFonts w:eastAsia="Arial" w:cs="Arial"/>
          <w:sz w:val="16"/>
          <w:szCs w:val="16"/>
        </w:rPr>
        <w:t>g</w:t>
      </w:r>
      <w:r w:rsidRPr="00771C23">
        <w:rPr>
          <w:rFonts w:eastAsia="Arial" w:cs="Arial"/>
          <w:sz w:val="16"/>
          <w:szCs w:val="16"/>
        </w:rPr>
        <w:tab/>
        <w:t>This is a count of individual and group clients assisted.</w:t>
      </w:r>
    </w:p>
    <w:p w14:paraId="0E2CD4DB" w14:textId="77777777" w:rsidR="0029429F" w:rsidRPr="00771C23" w:rsidRDefault="0029429F" w:rsidP="0029429F">
      <w:pPr>
        <w:rPr>
          <w:sz w:val="20"/>
          <w:szCs w:val="20"/>
        </w:rPr>
      </w:pPr>
    </w:p>
    <w:p w14:paraId="68EE885C" w14:textId="77777777" w:rsidR="0029429F" w:rsidRPr="00771C23" w:rsidRDefault="0029429F" w:rsidP="0029429F">
      <w:pPr>
        <w:spacing w:before="240" w:after="240"/>
        <w:outlineLvl w:val="7"/>
        <w:rPr>
          <w:rFonts w:eastAsiaTheme="majorEastAsia" w:cstheme="majorBidi"/>
          <w:b/>
          <w:color w:val="595959" w:themeColor="text1" w:themeTint="A6"/>
          <w:sz w:val="24"/>
          <w:szCs w:val="20"/>
        </w:rPr>
      </w:pPr>
      <w:r w:rsidRPr="00771C23">
        <w:rPr>
          <w:rFonts w:eastAsiaTheme="majorEastAsia" w:cstheme="majorBidi"/>
          <w:b/>
          <w:color w:val="595959" w:themeColor="text1" w:themeTint="A6"/>
          <w:sz w:val="24"/>
          <w:szCs w:val="20"/>
        </w:rPr>
        <w:t>C2.3.5 Percentage of new parents supported to take paid parental leave</w:t>
      </w:r>
    </w:p>
    <w:p w14:paraId="21F2111C" w14:textId="77777777" w:rsidR="0029429F" w:rsidRPr="00771C23" w:rsidRDefault="0029429F" w:rsidP="0029429F">
      <w:pPr>
        <w:rPr>
          <w:sz w:val="20"/>
          <w:szCs w:val="20"/>
        </w:rPr>
      </w:pPr>
      <w:r w:rsidRPr="00771C23">
        <w:rPr>
          <w:sz w:val="20"/>
          <w:szCs w:val="20"/>
        </w:rPr>
        <w:t>This indicator shows the reach of the Paid Parental Leave scheme among new parents, including the proportion of mothers who received Parental Leave Pay, how they received their payment, and the proportion of parents paid the full 18 weeks of Parental Leave Pay or two weeks of Dad and Partner Pay.</w:t>
      </w:r>
    </w:p>
    <w:p w14:paraId="5E8710EC" w14:textId="32FB0A29" w:rsidR="0029429F" w:rsidRPr="00771C23" w:rsidRDefault="0029429F" w:rsidP="0029429F">
      <w:pPr>
        <w:rPr>
          <w:sz w:val="20"/>
          <w:szCs w:val="20"/>
        </w:rPr>
      </w:pPr>
      <w:r w:rsidRPr="00771C23">
        <w:rPr>
          <w:sz w:val="20"/>
          <w:szCs w:val="20"/>
        </w:rPr>
        <w:t>There are two payments under the Paid Parental Leave scheme — Parental Leave Pay, and</w:t>
      </w:r>
      <w:r w:rsidR="00F111F2">
        <w:rPr>
          <w:sz w:val="20"/>
          <w:szCs w:val="20"/>
        </w:rPr>
        <w:br/>
      </w:r>
      <w:r w:rsidRPr="00771C23">
        <w:rPr>
          <w:sz w:val="20"/>
          <w:szCs w:val="20"/>
        </w:rPr>
        <w:t>Dad and Partner Pay. Parental Leave Pay provides eligible working parents up to 18 weeks’ pay based on the rate of the national minimum wage ($740.60 per week). Dad and Partner Pay provides eligible working fathers and partners two weeks’ pay based on the rate of national minimum wage.</w:t>
      </w:r>
    </w:p>
    <w:p w14:paraId="7EA11EF3" w14:textId="77777777" w:rsidR="0029429F" w:rsidRPr="00771C23" w:rsidRDefault="0029429F" w:rsidP="0029429F">
      <w:pPr>
        <w:spacing w:after="0"/>
        <w:outlineLvl w:val="6"/>
        <w:rPr>
          <w:rFonts w:eastAsiaTheme="majorEastAsia" w:cstheme="majorBidi"/>
          <w:i/>
          <w:iCs/>
        </w:rPr>
      </w:pPr>
      <w:r w:rsidRPr="00771C23">
        <w:rPr>
          <w:rFonts w:eastAsiaTheme="majorEastAsia" w:cstheme="majorBidi"/>
          <w:i/>
          <w:iCs/>
        </w:rPr>
        <w:t>Analysis</w:t>
      </w:r>
    </w:p>
    <w:p w14:paraId="062D3BBA" w14:textId="77777777" w:rsidR="0029429F" w:rsidRPr="00771C23" w:rsidRDefault="0029429F" w:rsidP="0029429F">
      <w:pPr>
        <w:rPr>
          <w:sz w:val="20"/>
          <w:szCs w:val="20"/>
        </w:rPr>
      </w:pPr>
      <w:r w:rsidRPr="00771C23">
        <w:rPr>
          <w:sz w:val="20"/>
          <w:szCs w:val="20"/>
        </w:rPr>
        <w:t>In 2019–20, a total of 171,712 parents started receiving Parental Leave Pay and a total of 92,343 fathers or</w:t>
      </w:r>
      <w:r>
        <w:rPr>
          <w:sz w:val="20"/>
          <w:szCs w:val="20"/>
        </w:rPr>
        <w:t xml:space="preserve"> </w:t>
      </w:r>
      <w:r w:rsidRPr="00771C23">
        <w:rPr>
          <w:sz w:val="20"/>
          <w:szCs w:val="20"/>
        </w:rPr>
        <w:t>partners received the Dad and Partner Pay.</w:t>
      </w:r>
    </w:p>
    <w:p w14:paraId="10591455" w14:textId="77777777" w:rsidR="0029429F" w:rsidRPr="00771C23" w:rsidRDefault="0029429F" w:rsidP="0029429F">
      <w:pPr>
        <w:rPr>
          <w:sz w:val="20"/>
          <w:szCs w:val="20"/>
        </w:rPr>
      </w:pPr>
      <w:r w:rsidRPr="00771C23">
        <w:rPr>
          <w:sz w:val="20"/>
          <w:szCs w:val="20"/>
        </w:rPr>
        <w:t>The proportion of mothers receiving Parental Leave Pay has decreased from 53.8 per cent of all mothers with newborns in 2018–19 to 51.1 per cent in 2019–20.</w:t>
      </w:r>
    </w:p>
    <w:p w14:paraId="446DB87A" w14:textId="77777777" w:rsidR="0029429F" w:rsidRPr="00771C23" w:rsidRDefault="0029429F" w:rsidP="0029429F">
      <w:pPr>
        <w:keepNext/>
        <w:spacing w:before="240" w:after="0" w:line="260" w:lineRule="atLeast"/>
        <w:ind w:right="425"/>
        <w:rPr>
          <w:rFonts w:ascii="Arial Narrow" w:eastAsia="Times New Roman" w:hAnsi="Arial Narrow" w:cs="Times New Roman"/>
          <w:b/>
          <w:bCs/>
          <w:spacing w:val="4"/>
          <w:sz w:val="20"/>
          <w:szCs w:val="18"/>
          <w:lang w:eastAsia="en-AU"/>
        </w:rPr>
      </w:pPr>
      <w:r w:rsidRPr="00771C23">
        <w:rPr>
          <w:rFonts w:ascii="Arial Narrow" w:eastAsia="Times New Roman" w:hAnsi="Arial Narrow" w:cs="Times New Roman"/>
          <w:b/>
          <w:bCs/>
          <w:spacing w:val="4"/>
          <w:sz w:val="20"/>
          <w:szCs w:val="18"/>
          <w:lang w:eastAsia="en-AU"/>
        </w:rPr>
        <w:t>Table 2.2.10: Percentage of new parents supported to take Paid Parental Leave</w:t>
      </w:r>
    </w:p>
    <w:tbl>
      <w:tblPr>
        <w:tblStyle w:val="HHorizontaltable1"/>
        <w:tblW w:w="5000" w:type="pct"/>
        <w:tblLook w:val="04A0" w:firstRow="1" w:lastRow="0" w:firstColumn="1" w:lastColumn="0" w:noHBand="0" w:noVBand="1"/>
        <w:tblCaption w:val="Table 2.2.10: Percentage of new parents supported to take paid parental leave"/>
        <w:tblDescription w:val="Table 2.2.10: Percentage of new parents supported to take paid parental leave"/>
      </w:tblPr>
      <w:tblGrid>
        <w:gridCol w:w="4516"/>
        <w:gridCol w:w="1491"/>
        <w:gridCol w:w="13"/>
        <w:gridCol w:w="1497"/>
        <w:gridCol w:w="7"/>
        <w:gridCol w:w="1502"/>
      </w:tblGrid>
      <w:tr w:rsidR="0029429F" w:rsidRPr="00771C23" w14:paraId="0631211C"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2502" w:type="pct"/>
            <w:tcBorders>
              <w:bottom w:val="single" w:sz="4" w:space="0" w:color="FFFFFF" w:themeColor="background1"/>
            </w:tcBorders>
            <w:hideMark/>
          </w:tcPr>
          <w:p w14:paraId="404AF19E" w14:textId="77777777" w:rsidR="0029429F" w:rsidRPr="007F2601" w:rsidRDefault="0029429F" w:rsidP="00E117FD">
            <w:pPr>
              <w:keepNext/>
              <w:keepLines/>
              <w:spacing w:before="40" w:after="40"/>
              <w:rPr>
                <w:rFonts w:eastAsia="Times New Roman" w:cs="Times New Roman"/>
                <w:sz w:val="20"/>
                <w:szCs w:val="18"/>
              </w:rPr>
            </w:pPr>
            <w:r w:rsidRPr="007F2601">
              <w:rPr>
                <w:rFonts w:eastAsia="Times New Roman" w:cs="Times New Roman"/>
                <w:sz w:val="20"/>
                <w:szCs w:val="18"/>
              </w:rPr>
              <w:t>Intermediate outcome performance measure</w:t>
            </w:r>
          </w:p>
        </w:tc>
        <w:tc>
          <w:tcPr>
            <w:tcW w:w="826" w:type="pct"/>
            <w:tcBorders>
              <w:bottom w:val="single" w:sz="4" w:space="0" w:color="FFFFFF" w:themeColor="background1"/>
            </w:tcBorders>
            <w:hideMark/>
          </w:tcPr>
          <w:p w14:paraId="16241750" w14:textId="77777777" w:rsidR="0029429F" w:rsidRPr="007F2601" w:rsidRDefault="0029429F" w:rsidP="00E117FD">
            <w:pPr>
              <w:keepNext/>
              <w:keepLines/>
              <w:spacing w:before="40" w:after="40"/>
              <w:jc w:val="right"/>
              <w:rPr>
                <w:rFonts w:eastAsia="Times New Roman" w:cs="Times New Roman"/>
                <w:sz w:val="20"/>
                <w:szCs w:val="18"/>
              </w:rPr>
            </w:pPr>
            <w:r w:rsidRPr="007F2601">
              <w:rPr>
                <w:rFonts w:eastAsia="Times New Roman" w:cs="Times New Roman"/>
                <w:sz w:val="20"/>
                <w:szCs w:val="18"/>
              </w:rPr>
              <w:t>2019–20</w:t>
            </w:r>
          </w:p>
        </w:tc>
        <w:tc>
          <w:tcPr>
            <w:tcW w:w="836" w:type="pct"/>
            <w:gridSpan w:val="2"/>
            <w:tcBorders>
              <w:bottom w:val="single" w:sz="4" w:space="0" w:color="FFFFFF" w:themeColor="background1"/>
            </w:tcBorders>
            <w:hideMark/>
          </w:tcPr>
          <w:p w14:paraId="019F1489" w14:textId="77777777" w:rsidR="0029429F" w:rsidRPr="007F2601" w:rsidRDefault="0029429F" w:rsidP="00E117FD">
            <w:pPr>
              <w:keepNext/>
              <w:keepLines/>
              <w:spacing w:before="40" w:after="40"/>
              <w:jc w:val="right"/>
              <w:rPr>
                <w:rFonts w:eastAsia="Times New Roman" w:cs="Times New Roman"/>
                <w:sz w:val="20"/>
                <w:szCs w:val="18"/>
              </w:rPr>
            </w:pPr>
            <w:r w:rsidRPr="007F2601">
              <w:rPr>
                <w:rFonts w:eastAsia="Times New Roman" w:cs="Times New Roman"/>
                <w:sz w:val="20"/>
                <w:szCs w:val="18"/>
              </w:rPr>
              <w:t>2018–19</w:t>
            </w:r>
          </w:p>
        </w:tc>
        <w:tc>
          <w:tcPr>
            <w:tcW w:w="836" w:type="pct"/>
            <w:gridSpan w:val="2"/>
            <w:tcBorders>
              <w:bottom w:val="single" w:sz="4" w:space="0" w:color="FFFFFF" w:themeColor="background1"/>
            </w:tcBorders>
            <w:hideMark/>
          </w:tcPr>
          <w:p w14:paraId="4EE36F49" w14:textId="77777777" w:rsidR="0029429F" w:rsidRPr="007F2601" w:rsidRDefault="0029429F" w:rsidP="00E117FD">
            <w:pPr>
              <w:keepNext/>
              <w:keepLines/>
              <w:spacing w:before="40" w:after="40"/>
              <w:jc w:val="right"/>
              <w:rPr>
                <w:rFonts w:eastAsia="Times New Roman" w:cs="Times New Roman"/>
                <w:sz w:val="20"/>
                <w:szCs w:val="18"/>
              </w:rPr>
            </w:pPr>
            <w:r w:rsidRPr="007F2601">
              <w:rPr>
                <w:rFonts w:eastAsia="Times New Roman" w:cs="Times New Roman"/>
                <w:sz w:val="20"/>
                <w:szCs w:val="18"/>
              </w:rPr>
              <w:t>2017–18</w:t>
            </w:r>
          </w:p>
        </w:tc>
      </w:tr>
      <w:tr w:rsidR="0029429F" w:rsidRPr="00771C23" w14:paraId="342E00DB"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6"/>
            <w:tcBorders>
              <w:top w:val="single" w:sz="4" w:space="0" w:color="FFFFFF" w:themeColor="background1"/>
              <w:bottom w:val="single" w:sz="18" w:space="0" w:color="00B0B9"/>
            </w:tcBorders>
            <w:hideMark/>
          </w:tcPr>
          <w:p w14:paraId="25CFE918" w14:textId="77777777" w:rsidR="0029429F" w:rsidRPr="00771C23" w:rsidRDefault="0029429F" w:rsidP="00E117FD">
            <w:pPr>
              <w:keepNext/>
              <w:keepLines/>
              <w:spacing w:before="40" w:after="40"/>
              <w:rPr>
                <w:rFonts w:eastAsia="Times New Roman" w:cs="Times New Roman"/>
                <w:b/>
                <w:color w:val="000000" w:themeColor="text1"/>
                <w:sz w:val="20"/>
                <w:szCs w:val="20"/>
              </w:rPr>
            </w:pPr>
            <w:r w:rsidRPr="00771C23">
              <w:rPr>
                <w:rFonts w:eastAsia="Times New Roman" w:cs="Times New Roman"/>
                <w:b/>
                <w:color w:val="000000" w:themeColor="text1"/>
                <w:sz w:val="20"/>
                <w:szCs w:val="20"/>
              </w:rPr>
              <w:t>Parental Leave Pay</w:t>
            </w:r>
          </w:p>
        </w:tc>
      </w:tr>
      <w:tr w:rsidR="0029429F" w:rsidRPr="00771C23" w14:paraId="267D97BE"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tcBorders>
              <w:top w:val="single" w:sz="18" w:space="0" w:color="00B0B9"/>
            </w:tcBorders>
            <w:hideMark/>
          </w:tcPr>
          <w:p w14:paraId="63E3A1CE"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 xml:space="preserve">Percentage of mothers for whom Parental Leave Pay has been paid as a proportion of all mothers in the same </w:t>
            </w:r>
            <w:proofErr w:type="spellStart"/>
            <w:r w:rsidRPr="00771C23">
              <w:rPr>
                <w:rFonts w:eastAsia="Times New Roman"/>
                <w:color w:val="000000" w:themeColor="text1"/>
                <w:spacing w:val="4"/>
                <w:sz w:val="20"/>
                <w:szCs w:val="20"/>
                <w:lang w:val="en-GB"/>
              </w:rPr>
              <w:t>year</w:t>
            </w:r>
            <w:r w:rsidRPr="00771C23">
              <w:rPr>
                <w:rFonts w:eastAsia="Times New Roman"/>
                <w:color w:val="000000" w:themeColor="text1"/>
                <w:spacing w:val="4"/>
                <w:sz w:val="20"/>
                <w:szCs w:val="20"/>
                <w:vertAlign w:val="superscript"/>
                <w:lang w:val="en-GB"/>
              </w:rPr>
              <w:t>a</w:t>
            </w:r>
            <w:proofErr w:type="spellEnd"/>
          </w:p>
        </w:tc>
        <w:tc>
          <w:tcPr>
            <w:tcW w:w="833" w:type="pct"/>
            <w:gridSpan w:val="2"/>
            <w:tcBorders>
              <w:top w:val="single" w:sz="18" w:space="0" w:color="00B0B9"/>
            </w:tcBorders>
            <w:hideMark/>
          </w:tcPr>
          <w:p w14:paraId="2EC34A48" w14:textId="77777777" w:rsidR="0029429F" w:rsidRPr="00771C23" w:rsidRDefault="0029429F" w:rsidP="00E117FD">
            <w:pPr>
              <w:spacing w:before="40" w:after="40"/>
              <w:jc w:val="right"/>
              <w:rPr>
                <w:rFonts w:eastAsia="Times New Roman"/>
                <w:color w:val="000000" w:themeColor="text1"/>
                <w:spacing w:val="4"/>
                <w:sz w:val="20"/>
                <w:szCs w:val="17"/>
                <w:lang w:val="en-GB"/>
              </w:rPr>
            </w:pPr>
            <w:r w:rsidRPr="00771C23">
              <w:rPr>
                <w:rFonts w:eastAsia="Times New Roman"/>
                <w:color w:val="000000" w:themeColor="text1"/>
                <w:spacing w:val="4"/>
                <w:sz w:val="20"/>
                <w:szCs w:val="17"/>
                <w:lang w:val="en-GB"/>
              </w:rPr>
              <w:t>51.1%</w:t>
            </w:r>
          </w:p>
        </w:tc>
        <w:tc>
          <w:tcPr>
            <w:tcW w:w="833" w:type="pct"/>
            <w:gridSpan w:val="2"/>
            <w:tcBorders>
              <w:top w:val="single" w:sz="18" w:space="0" w:color="00B0B9"/>
            </w:tcBorders>
            <w:hideMark/>
          </w:tcPr>
          <w:p w14:paraId="15057BF5" w14:textId="77777777" w:rsidR="0029429F" w:rsidRPr="00771C23" w:rsidRDefault="0029429F" w:rsidP="00E117FD">
            <w:pPr>
              <w:spacing w:before="40" w:after="40"/>
              <w:jc w:val="right"/>
              <w:rPr>
                <w:rFonts w:eastAsia="Times New Roman"/>
                <w:color w:val="000000" w:themeColor="text1"/>
                <w:spacing w:val="4"/>
                <w:sz w:val="20"/>
                <w:szCs w:val="17"/>
                <w:lang w:val="en-GB"/>
              </w:rPr>
            </w:pPr>
            <w:r w:rsidRPr="00771C23">
              <w:rPr>
                <w:rFonts w:eastAsia="Times New Roman"/>
                <w:color w:val="000000" w:themeColor="text1"/>
                <w:spacing w:val="4"/>
                <w:sz w:val="20"/>
                <w:szCs w:val="17"/>
                <w:lang w:val="en-GB"/>
              </w:rPr>
              <w:t>53.8%</w:t>
            </w:r>
          </w:p>
        </w:tc>
        <w:tc>
          <w:tcPr>
            <w:tcW w:w="832" w:type="pct"/>
            <w:tcBorders>
              <w:top w:val="single" w:sz="18" w:space="0" w:color="00B0B9"/>
            </w:tcBorders>
            <w:hideMark/>
          </w:tcPr>
          <w:p w14:paraId="0E712AA4" w14:textId="77777777" w:rsidR="0029429F" w:rsidRPr="00771C23" w:rsidRDefault="0029429F" w:rsidP="00E117FD">
            <w:pPr>
              <w:spacing w:before="40" w:after="40"/>
              <w:jc w:val="right"/>
              <w:rPr>
                <w:rFonts w:eastAsia="Times New Roman"/>
                <w:color w:val="000000" w:themeColor="text1"/>
                <w:spacing w:val="4"/>
                <w:sz w:val="20"/>
                <w:szCs w:val="17"/>
                <w:lang w:val="en-GB"/>
              </w:rPr>
            </w:pPr>
            <w:r w:rsidRPr="00771C23">
              <w:rPr>
                <w:rFonts w:eastAsia="Times New Roman"/>
                <w:color w:val="000000" w:themeColor="text1"/>
                <w:spacing w:val="4"/>
                <w:sz w:val="20"/>
                <w:szCs w:val="17"/>
                <w:lang w:val="en-GB"/>
              </w:rPr>
              <w:t>48.5%</w:t>
            </w:r>
          </w:p>
        </w:tc>
      </w:tr>
      <w:tr w:rsidR="0029429F" w:rsidRPr="00771C23" w14:paraId="540958A1"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hideMark/>
          </w:tcPr>
          <w:p w14:paraId="3B331669"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Percentage of parents paid government</w:t>
            </w:r>
            <w:r w:rsidRPr="00771C23">
              <w:rPr>
                <w:rFonts w:eastAsia="Times New Roman" w:cs="Arial"/>
                <w:color w:val="000000" w:themeColor="text1"/>
                <w:spacing w:val="4"/>
                <w:sz w:val="20"/>
                <w:szCs w:val="20"/>
                <w:lang w:val="en-GB"/>
              </w:rPr>
              <w:noBreakHyphen/>
              <w:t>funded Parental Leave Pay by employers</w:t>
            </w:r>
          </w:p>
        </w:tc>
        <w:tc>
          <w:tcPr>
            <w:tcW w:w="826" w:type="pct"/>
            <w:hideMark/>
          </w:tcPr>
          <w:p w14:paraId="31EF9170" w14:textId="77777777" w:rsidR="0029429F" w:rsidRPr="00771C23" w:rsidRDefault="0029429F" w:rsidP="00E117FD">
            <w:pPr>
              <w:spacing w:before="40" w:after="40"/>
              <w:jc w:val="right"/>
              <w:rPr>
                <w:rFonts w:eastAsia="Times New Roman" w:cs="Arial"/>
                <w:color w:val="000000" w:themeColor="text1"/>
                <w:spacing w:val="4"/>
                <w:sz w:val="20"/>
                <w:szCs w:val="17"/>
                <w:lang w:val="en-GB"/>
              </w:rPr>
            </w:pPr>
            <w:r w:rsidRPr="00771C23">
              <w:rPr>
                <w:rFonts w:eastAsia="Times New Roman" w:cs="Arial"/>
                <w:color w:val="000000" w:themeColor="text1"/>
                <w:spacing w:val="4"/>
                <w:sz w:val="20"/>
                <w:szCs w:val="17"/>
                <w:lang w:val="en-GB"/>
              </w:rPr>
              <w:t>68.7%</w:t>
            </w:r>
          </w:p>
        </w:tc>
        <w:tc>
          <w:tcPr>
            <w:tcW w:w="836" w:type="pct"/>
            <w:gridSpan w:val="2"/>
            <w:hideMark/>
          </w:tcPr>
          <w:p w14:paraId="4EAB409D" w14:textId="77777777" w:rsidR="0029429F" w:rsidRPr="00771C23" w:rsidRDefault="0029429F" w:rsidP="00E117FD">
            <w:pPr>
              <w:spacing w:before="40" w:after="40"/>
              <w:jc w:val="right"/>
              <w:rPr>
                <w:rFonts w:eastAsia="Times New Roman" w:cs="Arial"/>
                <w:color w:val="000000" w:themeColor="text1"/>
                <w:spacing w:val="4"/>
                <w:sz w:val="20"/>
                <w:szCs w:val="17"/>
                <w:lang w:val="en-GB"/>
              </w:rPr>
            </w:pPr>
            <w:r w:rsidRPr="00771C23">
              <w:rPr>
                <w:rFonts w:eastAsia="Times New Roman" w:cs="Arial"/>
                <w:color w:val="000000" w:themeColor="text1"/>
                <w:spacing w:val="4"/>
                <w:sz w:val="20"/>
                <w:szCs w:val="17"/>
                <w:lang w:val="en-GB"/>
              </w:rPr>
              <w:t>68.3%</w:t>
            </w:r>
          </w:p>
        </w:tc>
        <w:tc>
          <w:tcPr>
            <w:tcW w:w="836" w:type="pct"/>
            <w:gridSpan w:val="2"/>
            <w:hideMark/>
          </w:tcPr>
          <w:p w14:paraId="1ADAB974" w14:textId="77777777" w:rsidR="0029429F" w:rsidRPr="00771C23" w:rsidRDefault="0029429F" w:rsidP="00E117FD">
            <w:pPr>
              <w:spacing w:before="40" w:after="40"/>
              <w:jc w:val="right"/>
              <w:rPr>
                <w:rFonts w:eastAsia="Times New Roman" w:cs="Arial"/>
                <w:color w:val="000000" w:themeColor="text1"/>
                <w:spacing w:val="4"/>
                <w:sz w:val="20"/>
                <w:szCs w:val="17"/>
                <w:lang w:val="en-GB"/>
              </w:rPr>
            </w:pPr>
            <w:r w:rsidRPr="00771C23">
              <w:rPr>
                <w:rFonts w:eastAsia="Times New Roman" w:cs="Arial"/>
                <w:color w:val="000000" w:themeColor="text1"/>
                <w:spacing w:val="4"/>
                <w:sz w:val="20"/>
                <w:szCs w:val="17"/>
                <w:lang w:val="en-GB"/>
              </w:rPr>
              <w:t>68.5%</w:t>
            </w:r>
          </w:p>
        </w:tc>
      </w:tr>
      <w:tr w:rsidR="0029429F" w:rsidRPr="00771C23" w14:paraId="34DBD0A7"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tcBorders>
              <w:bottom w:val="single" w:sz="4" w:space="0" w:color="FFFFFF" w:themeColor="background1"/>
            </w:tcBorders>
            <w:hideMark/>
          </w:tcPr>
          <w:p w14:paraId="0599E8E4"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Percentage of parents who have taken the full 18 weeks of Parental Leave Pay</w:t>
            </w:r>
          </w:p>
        </w:tc>
        <w:tc>
          <w:tcPr>
            <w:tcW w:w="826" w:type="pct"/>
            <w:tcBorders>
              <w:bottom w:val="single" w:sz="4" w:space="0" w:color="FFFFFF" w:themeColor="background1"/>
            </w:tcBorders>
            <w:hideMark/>
          </w:tcPr>
          <w:p w14:paraId="7C88227B" w14:textId="77777777" w:rsidR="0029429F" w:rsidRPr="00771C23" w:rsidRDefault="0029429F" w:rsidP="00E117FD">
            <w:pPr>
              <w:spacing w:before="40" w:after="40"/>
              <w:jc w:val="right"/>
              <w:rPr>
                <w:rFonts w:eastAsia="Times New Roman"/>
                <w:color w:val="000000" w:themeColor="text1"/>
                <w:spacing w:val="4"/>
                <w:sz w:val="20"/>
                <w:szCs w:val="17"/>
                <w:lang w:val="en-GB"/>
              </w:rPr>
            </w:pPr>
            <w:r w:rsidRPr="00771C23">
              <w:rPr>
                <w:rFonts w:eastAsia="Times New Roman"/>
                <w:color w:val="000000" w:themeColor="text1"/>
                <w:spacing w:val="4"/>
                <w:sz w:val="20"/>
                <w:szCs w:val="17"/>
                <w:lang w:val="en-GB"/>
              </w:rPr>
              <w:t>96.6%</w:t>
            </w:r>
          </w:p>
        </w:tc>
        <w:tc>
          <w:tcPr>
            <w:tcW w:w="836" w:type="pct"/>
            <w:gridSpan w:val="2"/>
            <w:tcBorders>
              <w:bottom w:val="single" w:sz="4" w:space="0" w:color="FFFFFF" w:themeColor="background1"/>
            </w:tcBorders>
            <w:hideMark/>
          </w:tcPr>
          <w:p w14:paraId="0D9FB69B" w14:textId="77777777" w:rsidR="0029429F" w:rsidRPr="00771C23" w:rsidRDefault="0029429F" w:rsidP="00E117FD">
            <w:pPr>
              <w:spacing w:before="40" w:after="40"/>
              <w:jc w:val="right"/>
              <w:rPr>
                <w:rFonts w:eastAsia="Times New Roman"/>
                <w:color w:val="000000" w:themeColor="text1"/>
                <w:spacing w:val="4"/>
                <w:sz w:val="20"/>
                <w:szCs w:val="17"/>
                <w:lang w:val="en-GB"/>
              </w:rPr>
            </w:pPr>
            <w:r w:rsidRPr="00771C23">
              <w:rPr>
                <w:rFonts w:eastAsia="Times New Roman"/>
                <w:color w:val="000000" w:themeColor="text1"/>
                <w:spacing w:val="4"/>
                <w:sz w:val="20"/>
                <w:szCs w:val="17"/>
                <w:lang w:val="en-GB"/>
              </w:rPr>
              <w:t>96.6%</w:t>
            </w:r>
          </w:p>
        </w:tc>
        <w:tc>
          <w:tcPr>
            <w:tcW w:w="836" w:type="pct"/>
            <w:gridSpan w:val="2"/>
            <w:tcBorders>
              <w:bottom w:val="single" w:sz="4" w:space="0" w:color="FFFFFF" w:themeColor="background1"/>
            </w:tcBorders>
            <w:hideMark/>
          </w:tcPr>
          <w:p w14:paraId="432D1DC4" w14:textId="77777777" w:rsidR="0029429F" w:rsidRPr="00771C23" w:rsidRDefault="0029429F" w:rsidP="00E117FD">
            <w:pPr>
              <w:spacing w:before="40" w:after="40"/>
              <w:jc w:val="right"/>
              <w:rPr>
                <w:rFonts w:eastAsia="Times New Roman"/>
                <w:color w:val="000000" w:themeColor="text1"/>
                <w:spacing w:val="4"/>
                <w:sz w:val="20"/>
                <w:szCs w:val="17"/>
                <w:lang w:val="en-GB"/>
              </w:rPr>
            </w:pPr>
            <w:r w:rsidRPr="00771C23">
              <w:rPr>
                <w:rFonts w:eastAsia="Times New Roman"/>
                <w:color w:val="000000" w:themeColor="text1"/>
                <w:spacing w:val="4"/>
                <w:sz w:val="20"/>
                <w:szCs w:val="17"/>
                <w:lang w:val="en-GB"/>
              </w:rPr>
              <w:t>96.6%</w:t>
            </w:r>
          </w:p>
        </w:tc>
      </w:tr>
      <w:tr w:rsidR="0029429F" w:rsidRPr="00771C23" w14:paraId="1179AF31"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6"/>
            <w:tcBorders>
              <w:top w:val="single" w:sz="4" w:space="0" w:color="FFFFFF" w:themeColor="background1"/>
              <w:bottom w:val="single" w:sz="18" w:space="0" w:color="00B0B9"/>
            </w:tcBorders>
            <w:hideMark/>
          </w:tcPr>
          <w:p w14:paraId="6FE07872" w14:textId="77777777" w:rsidR="0029429F" w:rsidRPr="00771C23" w:rsidRDefault="0029429F" w:rsidP="00E117FD">
            <w:pPr>
              <w:keepNext/>
              <w:keepLines/>
              <w:spacing w:before="40" w:after="40"/>
              <w:rPr>
                <w:rFonts w:eastAsia="Times New Roman" w:cs="Times New Roman"/>
                <w:b/>
                <w:color w:val="000000" w:themeColor="text1"/>
                <w:sz w:val="20"/>
                <w:szCs w:val="20"/>
              </w:rPr>
            </w:pPr>
            <w:r w:rsidRPr="00771C23">
              <w:rPr>
                <w:rFonts w:eastAsia="Times New Roman" w:cs="Times New Roman"/>
                <w:b/>
                <w:color w:val="000000" w:themeColor="text1"/>
                <w:sz w:val="20"/>
                <w:szCs w:val="20"/>
              </w:rPr>
              <w:t>Dad and Partner Pay</w:t>
            </w:r>
          </w:p>
        </w:tc>
      </w:tr>
      <w:tr w:rsidR="0029429F" w:rsidRPr="00771C23" w14:paraId="7649354F"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tcBorders>
              <w:top w:val="single" w:sz="18" w:space="0" w:color="00B0B9"/>
            </w:tcBorders>
            <w:hideMark/>
          </w:tcPr>
          <w:p w14:paraId="0442B55C"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olor w:val="000000" w:themeColor="text1"/>
                <w:spacing w:val="4"/>
                <w:sz w:val="20"/>
                <w:szCs w:val="20"/>
                <w:lang w:val="en-GB"/>
              </w:rPr>
              <w:t>Percentage of dads and other partners who have taken the full two weeks of Dad and Partner Pay</w:t>
            </w:r>
          </w:p>
        </w:tc>
        <w:tc>
          <w:tcPr>
            <w:tcW w:w="833" w:type="pct"/>
            <w:gridSpan w:val="2"/>
            <w:tcBorders>
              <w:top w:val="single" w:sz="18" w:space="0" w:color="00B0B9"/>
            </w:tcBorders>
            <w:hideMark/>
          </w:tcPr>
          <w:p w14:paraId="0E3433A3" w14:textId="77777777" w:rsidR="0029429F" w:rsidRPr="00771C23" w:rsidRDefault="0029429F" w:rsidP="00E117FD">
            <w:pPr>
              <w:spacing w:before="40" w:after="40"/>
              <w:jc w:val="right"/>
              <w:rPr>
                <w:rFonts w:eastAsia="Times New Roman"/>
                <w:color w:val="000000" w:themeColor="text1"/>
                <w:spacing w:val="4"/>
                <w:sz w:val="20"/>
                <w:szCs w:val="17"/>
                <w:lang w:val="en-GB"/>
              </w:rPr>
            </w:pPr>
            <w:r w:rsidRPr="00771C23">
              <w:rPr>
                <w:rFonts w:eastAsia="Times New Roman"/>
                <w:color w:val="000000" w:themeColor="text1"/>
                <w:spacing w:val="4"/>
                <w:sz w:val="20"/>
                <w:szCs w:val="17"/>
                <w:lang w:val="en-GB"/>
              </w:rPr>
              <w:t>96.9%</w:t>
            </w:r>
          </w:p>
        </w:tc>
        <w:tc>
          <w:tcPr>
            <w:tcW w:w="833" w:type="pct"/>
            <w:gridSpan w:val="2"/>
            <w:tcBorders>
              <w:top w:val="single" w:sz="18" w:space="0" w:color="00B0B9"/>
            </w:tcBorders>
            <w:hideMark/>
          </w:tcPr>
          <w:p w14:paraId="03ADA3F3" w14:textId="77777777" w:rsidR="0029429F" w:rsidRPr="00771C23" w:rsidRDefault="0029429F" w:rsidP="00E117FD">
            <w:pPr>
              <w:spacing w:before="40" w:after="40"/>
              <w:jc w:val="right"/>
              <w:rPr>
                <w:rFonts w:eastAsia="Times New Roman"/>
                <w:color w:val="000000" w:themeColor="text1"/>
                <w:spacing w:val="4"/>
                <w:sz w:val="20"/>
                <w:szCs w:val="17"/>
                <w:lang w:val="en-GB"/>
              </w:rPr>
            </w:pPr>
            <w:r w:rsidRPr="00771C23">
              <w:rPr>
                <w:rFonts w:eastAsia="Times New Roman"/>
                <w:color w:val="000000" w:themeColor="text1"/>
                <w:spacing w:val="4"/>
                <w:sz w:val="20"/>
                <w:szCs w:val="17"/>
                <w:lang w:val="en-GB"/>
              </w:rPr>
              <w:t>96.6%</w:t>
            </w:r>
          </w:p>
        </w:tc>
        <w:tc>
          <w:tcPr>
            <w:tcW w:w="833" w:type="pct"/>
            <w:tcBorders>
              <w:top w:val="single" w:sz="18" w:space="0" w:color="00B0B9"/>
            </w:tcBorders>
            <w:hideMark/>
          </w:tcPr>
          <w:p w14:paraId="37774971" w14:textId="77777777" w:rsidR="0029429F" w:rsidRPr="00771C23" w:rsidRDefault="0029429F" w:rsidP="00E117FD">
            <w:pPr>
              <w:spacing w:before="40" w:after="40"/>
              <w:jc w:val="right"/>
              <w:rPr>
                <w:rFonts w:eastAsia="Times New Roman"/>
                <w:color w:val="000000" w:themeColor="text1"/>
                <w:spacing w:val="4"/>
                <w:sz w:val="20"/>
                <w:szCs w:val="17"/>
                <w:lang w:val="en-GB"/>
              </w:rPr>
            </w:pPr>
            <w:r w:rsidRPr="00771C23">
              <w:rPr>
                <w:rFonts w:eastAsia="Times New Roman"/>
                <w:color w:val="000000" w:themeColor="text1"/>
                <w:spacing w:val="4"/>
                <w:sz w:val="20"/>
                <w:szCs w:val="17"/>
                <w:lang w:val="en-GB"/>
              </w:rPr>
              <w:t>95.9%</w:t>
            </w:r>
          </w:p>
        </w:tc>
      </w:tr>
    </w:tbl>
    <w:p w14:paraId="718F1FEB" w14:textId="77777777" w:rsidR="0029429F" w:rsidRPr="00771C23" w:rsidRDefault="0029429F" w:rsidP="0029429F">
      <w:pPr>
        <w:spacing w:before="160" w:after="60" w:line="240" w:lineRule="auto"/>
        <w:ind w:left="284" w:hanging="284"/>
        <w:contextualSpacing/>
        <w:rPr>
          <w:rFonts w:cs="Arial"/>
          <w:sz w:val="16"/>
          <w:szCs w:val="16"/>
        </w:rPr>
      </w:pPr>
      <w:r w:rsidRPr="00771C23">
        <w:rPr>
          <w:rFonts w:cs="Arial"/>
          <w:sz w:val="16"/>
          <w:szCs w:val="16"/>
        </w:rPr>
        <w:t xml:space="preserve"> </w:t>
      </w:r>
    </w:p>
    <w:p w14:paraId="1AC85CE8" w14:textId="77777777" w:rsidR="0029429F" w:rsidRPr="00771C23" w:rsidRDefault="0029429F" w:rsidP="0029429F">
      <w:pPr>
        <w:spacing w:before="160" w:after="60" w:line="240" w:lineRule="auto"/>
        <w:ind w:left="284" w:hanging="284"/>
        <w:contextualSpacing/>
        <w:rPr>
          <w:rFonts w:cs="Arial"/>
          <w:sz w:val="16"/>
          <w:szCs w:val="16"/>
        </w:rPr>
      </w:pPr>
      <w:proofErr w:type="spellStart"/>
      <w:r w:rsidRPr="00771C23">
        <w:rPr>
          <w:rFonts w:cs="Arial"/>
          <w:sz w:val="16"/>
          <w:szCs w:val="16"/>
        </w:rPr>
        <w:t>a</w:t>
      </w:r>
      <w:proofErr w:type="spellEnd"/>
      <w:r w:rsidRPr="00771C23">
        <w:rPr>
          <w:rFonts w:cs="Arial"/>
          <w:sz w:val="16"/>
          <w:szCs w:val="16"/>
        </w:rPr>
        <w:tab/>
        <w:t>Annual figures for all mothers in the same year are based on the Australian Bureau of Statistics (ABS) publication ABS report 3222.0—Population Projections, Australia, 2012 (base) to 2101, Table B9. Population projections, by age and sex, Australia—Series B estimates of persons aged 0 for June 2018, 2019 and 2020.</w:t>
      </w:r>
    </w:p>
    <w:p w14:paraId="13A0DE5D" w14:textId="77777777" w:rsidR="0029429F" w:rsidRPr="00771C23" w:rsidRDefault="0029429F" w:rsidP="0029429F">
      <w:pPr>
        <w:rPr>
          <w:sz w:val="20"/>
          <w:szCs w:val="20"/>
        </w:rPr>
      </w:pPr>
    </w:p>
    <w:p w14:paraId="00CFE6A5" w14:textId="77777777" w:rsidR="00715F6F" w:rsidRDefault="00715F6F">
      <w:pPr>
        <w:rPr>
          <w:rFonts w:eastAsiaTheme="majorEastAsia" w:cstheme="majorBidi"/>
          <w:b/>
          <w:iCs/>
          <w:sz w:val="26"/>
        </w:rPr>
        <w:sectPr w:rsidR="00715F6F" w:rsidSect="00A94724">
          <w:footnotePr>
            <w:numRestart w:val="eachPage"/>
          </w:footnotePr>
          <w:pgSz w:w="11906" w:h="16838"/>
          <w:pgMar w:top="1440" w:right="1440" w:bottom="1440" w:left="1440" w:header="709" w:footer="709" w:gutter="0"/>
          <w:cols w:space="708"/>
          <w:docGrid w:linePitch="360"/>
        </w:sectPr>
      </w:pPr>
    </w:p>
    <w:p w14:paraId="1D7F6476" w14:textId="6FEAA0B1" w:rsidR="0029429F" w:rsidRPr="00771C23" w:rsidRDefault="0029429F" w:rsidP="0029429F">
      <w:pPr>
        <w:spacing w:before="240" w:after="240"/>
        <w:outlineLvl w:val="6"/>
        <w:rPr>
          <w:rFonts w:eastAsiaTheme="majorEastAsia" w:cstheme="majorBidi"/>
          <w:b/>
          <w:iCs/>
          <w:sz w:val="26"/>
        </w:rPr>
      </w:pPr>
      <w:r w:rsidRPr="00771C23">
        <w:rPr>
          <w:rFonts w:eastAsiaTheme="majorEastAsia" w:cstheme="majorBidi"/>
          <w:b/>
          <w:iCs/>
          <w:sz w:val="26"/>
        </w:rPr>
        <w:lastRenderedPageBreak/>
        <w:t>C2.4 Delivery measures</w:t>
      </w:r>
    </w:p>
    <w:p w14:paraId="3B3DD211" w14:textId="77777777" w:rsidR="0029429F" w:rsidRPr="00771C23" w:rsidRDefault="0029429F" w:rsidP="0029429F">
      <w:pPr>
        <w:spacing w:before="240" w:after="240"/>
        <w:outlineLvl w:val="7"/>
        <w:rPr>
          <w:rFonts w:eastAsiaTheme="majorEastAsia" w:cstheme="majorBidi"/>
          <w:b/>
          <w:color w:val="595959" w:themeColor="text1" w:themeTint="A6"/>
          <w:sz w:val="24"/>
          <w:szCs w:val="20"/>
        </w:rPr>
      </w:pPr>
      <w:r w:rsidRPr="00771C23">
        <w:rPr>
          <w:rFonts w:eastAsiaTheme="majorEastAsia" w:cstheme="majorBidi"/>
          <w:b/>
          <w:color w:val="595959" w:themeColor="text1" w:themeTint="A6"/>
          <w:sz w:val="24"/>
          <w:szCs w:val="20"/>
        </w:rPr>
        <w:t>C2.4.1 Number of individuals assisted</w:t>
      </w:r>
    </w:p>
    <w:p w14:paraId="4DB0AFCA" w14:textId="77777777" w:rsidR="0029429F" w:rsidRPr="00771C23" w:rsidRDefault="0029429F" w:rsidP="0029429F">
      <w:pPr>
        <w:keepNext/>
        <w:spacing w:before="240" w:after="0" w:line="260" w:lineRule="atLeast"/>
        <w:ind w:right="425"/>
        <w:rPr>
          <w:rFonts w:ascii="Arial Narrow" w:eastAsia="Times New Roman" w:hAnsi="Arial Narrow" w:cs="Times New Roman"/>
          <w:b/>
          <w:bCs/>
          <w:spacing w:val="4"/>
          <w:sz w:val="20"/>
          <w:szCs w:val="18"/>
          <w:lang w:eastAsia="en-AU"/>
        </w:rPr>
      </w:pPr>
      <w:r w:rsidRPr="00771C23">
        <w:rPr>
          <w:rFonts w:ascii="Arial Narrow" w:eastAsia="Times New Roman" w:hAnsi="Arial Narrow" w:cs="Times New Roman"/>
          <w:b/>
          <w:bCs/>
          <w:spacing w:val="4"/>
          <w:sz w:val="20"/>
          <w:szCs w:val="18"/>
          <w:lang w:eastAsia="en-AU"/>
        </w:rPr>
        <w:t>Table 2.2.11: Number of individuals assisted</w:t>
      </w:r>
    </w:p>
    <w:tbl>
      <w:tblPr>
        <w:tblStyle w:val="HHorizontaltable1"/>
        <w:tblW w:w="5007" w:type="pct"/>
        <w:tblLook w:val="04A0" w:firstRow="1" w:lastRow="0" w:firstColumn="1" w:lastColumn="0" w:noHBand="0" w:noVBand="1"/>
        <w:tblCaption w:val="Table 2.2.11: Number of individuals assisted "/>
        <w:tblDescription w:val="Table 2.2.11: Number of individuals assisted"/>
      </w:tblPr>
      <w:tblGrid>
        <w:gridCol w:w="4452"/>
        <w:gridCol w:w="7"/>
        <w:gridCol w:w="1685"/>
        <w:gridCol w:w="7"/>
        <w:gridCol w:w="1632"/>
        <w:gridCol w:w="1256"/>
      </w:tblGrid>
      <w:tr w:rsidR="0029429F" w:rsidRPr="00771C23" w14:paraId="58B70FFD" w14:textId="77777777" w:rsidTr="00E117FD">
        <w:trPr>
          <w:cnfStyle w:val="100000000000" w:firstRow="1" w:lastRow="0" w:firstColumn="0" w:lastColumn="0" w:oddVBand="0" w:evenVBand="0" w:oddHBand="0" w:evenHBand="0" w:firstRowFirstColumn="0" w:firstRowLastColumn="0" w:lastRowFirstColumn="0" w:lastRowLastColumn="0"/>
          <w:trHeight w:val="317"/>
          <w:tblHeader/>
        </w:trPr>
        <w:tc>
          <w:tcPr>
            <w:tcW w:w="2462" w:type="pct"/>
            <w:tcBorders>
              <w:bottom w:val="single" w:sz="4" w:space="0" w:color="FFFFFF" w:themeColor="background1"/>
            </w:tcBorders>
            <w:hideMark/>
          </w:tcPr>
          <w:p w14:paraId="0E54BB84" w14:textId="77777777" w:rsidR="0029429F" w:rsidRPr="007F2601" w:rsidRDefault="0029429F" w:rsidP="00E117FD">
            <w:pPr>
              <w:keepNext/>
              <w:keepLines/>
              <w:spacing w:before="40" w:after="40"/>
              <w:rPr>
                <w:rFonts w:eastAsia="Times New Roman"/>
                <w:sz w:val="20"/>
                <w:szCs w:val="20"/>
              </w:rPr>
            </w:pPr>
            <w:r w:rsidRPr="007F2601">
              <w:rPr>
                <w:rFonts w:eastAsia="Times New Roman"/>
                <w:sz w:val="20"/>
                <w:szCs w:val="20"/>
              </w:rPr>
              <w:t>Output performance measure</w:t>
            </w:r>
          </w:p>
        </w:tc>
        <w:tc>
          <w:tcPr>
            <w:tcW w:w="936" w:type="pct"/>
            <w:gridSpan w:val="2"/>
            <w:tcBorders>
              <w:bottom w:val="single" w:sz="4" w:space="0" w:color="FFFFFF" w:themeColor="background1"/>
            </w:tcBorders>
            <w:hideMark/>
          </w:tcPr>
          <w:p w14:paraId="63AA7657" w14:textId="77777777" w:rsidR="0029429F" w:rsidRPr="007F2601" w:rsidRDefault="0029429F" w:rsidP="00E117FD">
            <w:pPr>
              <w:keepNext/>
              <w:keepLines/>
              <w:spacing w:before="40" w:after="40"/>
              <w:jc w:val="right"/>
              <w:rPr>
                <w:rFonts w:eastAsia="Times New Roman"/>
                <w:sz w:val="20"/>
                <w:szCs w:val="20"/>
              </w:rPr>
            </w:pPr>
            <w:r w:rsidRPr="007F2601">
              <w:rPr>
                <w:rFonts w:eastAsia="Times New Roman"/>
                <w:sz w:val="20"/>
                <w:szCs w:val="20"/>
              </w:rPr>
              <w:t>2019–20</w:t>
            </w:r>
          </w:p>
        </w:tc>
        <w:tc>
          <w:tcPr>
            <w:tcW w:w="903" w:type="pct"/>
            <w:gridSpan w:val="2"/>
            <w:tcBorders>
              <w:bottom w:val="single" w:sz="4" w:space="0" w:color="FFFFFF" w:themeColor="background1"/>
            </w:tcBorders>
            <w:hideMark/>
          </w:tcPr>
          <w:p w14:paraId="1D8ADB13" w14:textId="77777777" w:rsidR="0029429F" w:rsidRPr="007F2601" w:rsidRDefault="0029429F" w:rsidP="00E117FD">
            <w:pPr>
              <w:keepNext/>
              <w:keepLines/>
              <w:spacing w:before="40" w:after="40"/>
              <w:jc w:val="right"/>
              <w:rPr>
                <w:rFonts w:eastAsia="Times New Roman"/>
                <w:sz w:val="20"/>
                <w:szCs w:val="20"/>
              </w:rPr>
            </w:pPr>
            <w:r w:rsidRPr="007F2601">
              <w:rPr>
                <w:rFonts w:eastAsia="Times New Roman"/>
                <w:sz w:val="20"/>
                <w:szCs w:val="20"/>
              </w:rPr>
              <w:t>2018–19</w:t>
            </w:r>
          </w:p>
        </w:tc>
        <w:tc>
          <w:tcPr>
            <w:tcW w:w="699" w:type="pct"/>
            <w:tcBorders>
              <w:bottom w:val="single" w:sz="4" w:space="0" w:color="FFFFFF" w:themeColor="background1"/>
            </w:tcBorders>
            <w:hideMark/>
          </w:tcPr>
          <w:p w14:paraId="730317DB" w14:textId="77777777" w:rsidR="0029429F" w:rsidRPr="007F2601" w:rsidRDefault="0029429F" w:rsidP="00E117FD">
            <w:pPr>
              <w:keepNext/>
              <w:keepLines/>
              <w:spacing w:before="40" w:after="40"/>
              <w:jc w:val="right"/>
              <w:rPr>
                <w:rFonts w:eastAsia="Times New Roman"/>
                <w:sz w:val="20"/>
                <w:szCs w:val="20"/>
              </w:rPr>
            </w:pPr>
            <w:r w:rsidRPr="007F2601">
              <w:rPr>
                <w:rFonts w:eastAsia="Times New Roman"/>
                <w:sz w:val="20"/>
                <w:szCs w:val="20"/>
              </w:rPr>
              <w:t>2017–18</w:t>
            </w:r>
          </w:p>
        </w:tc>
      </w:tr>
      <w:tr w:rsidR="0029429F" w:rsidRPr="00771C23" w14:paraId="0493B2D7"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6"/>
            <w:tcBorders>
              <w:top w:val="single" w:sz="4" w:space="0" w:color="FFFFFF" w:themeColor="background1"/>
              <w:bottom w:val="single" w:sz="18" w:space="0" w:color="00B0B9"/>
            </w:tcBorders>
            <w:hideMark/>
          </w:tcPr>
          <w:p w14:paraId="01ED3840" w14:textId="77777777" w:rsidR="0029429F" w:rsidRPr="00771C23" w:rsidRDefault="0029429F" w:rsidP="00E117FD">
            <w:pPr>
              <w:keepNext/>
              <w:keepLines/>
              <w:spacing w:before="40" w:after="40"/>
              <w:rPr>
                <w:rFonts w:eastAsia="Times New Roman" w:cs="Arial"/>
                <w:b/>
                <w:color w:val="000000" w:themeColor="text1"/>
                <w:sz w:val="20"/>
                <w:szCs w:val="20"/>
              </w:rPr>
            </w:pPr>
            <w:r w:rsidRPr="00771C23">
              <w:rPr>
                <w:rFonts w:eastAsia="Times New Roman" w:cs="Arial"/>
                <w:b/>
                <w:color w:val="000000" w:themeColor="text1"/>
                <w:sz w:val="20"/>
                <w:szCs w:val="20"/>
              </w:rPr>
              <w:t>Families and Children</w:t>
            </w:r>
          </w:p>
        </w:tc>
      </w:tr>
      <w:tr w:rsidR="0029429F" w:rsidRPr="00771C23" w14:paraId="59BBD582" w14:textId="77777777" w:rsidTr="00E117FD">
        <w:trPr>
          <w:cnfStyle w:val="000000010000" w:firstRow="0" w:lastRow="0" w:firstColumn="0" w:lastColumn="0" w:oddVBand="0" w:evenVBand="0" w:oddHBand="0" w:evenHBand="1" w:firstRowFirstColumn="0" w:firstRowLastColumn="0" w:lastRowFirstColumn="0" w:lastRowLastColumn="0"/>
        </w:trPr>
        <w:tc>
          <w:tcPr>
            <w:tcW w:w="2462" w:type="pct"/>
            <w:tcBorders>
              <w:top w:val="single" w:sz="18" w:space="0" w:color="00B0B9"/>
              <w:bottom w:val="single" w:sz="4" w:space="0" w:color="FFFFFF" w:themeColor="background1"/>
            </w:tcBorders>
            <w:hideMark/>
          </w:tcPr>
          <w:p w14:paraId="31408F71" w14:textId="77777777" w:rsidR="0029429F" w:rsidRPr="00771C23" w:rsidRDefault="0029429F" w:rsidP="00E117FD">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 xml:space="preserve">Number of individuals </w:t>
            </w:r>
            <w:proofErr w:type="spellStart"/>
            <w:r w:rsidRPr="00771C23">
              <w:rPr>
                <w:rFonts w:eastAsia="Times New Roman"/>
                <w:color w:val="000000" w:themeColor="text1"/>
                <w:spacing w:val="4"/>
                <w:sz w:val="20"/>
                <w:szCs w:val="20"/>
                <w:lang w:val="en-GB"/>
              </w:rPr>
              <w:t>assisted</w:t>
            </w:r>
            <w:r w:rsidRPr="00771C23">
              <w:rPr>
                <w:rFonts w:eastAsia="Times New Roman"/>
                <w:color w:val="000000" w:themeColor="text1"/>
                <w:spacing w:val="4"/>
                <w:sz w:val="20"/>
                <w:szCs w:val="20"/>
                <w:vertAlign w:val="superscript"/>
                <w:lang w:val="en-GB"/>
              </w:rPr>
              <w:t>a</w:t>
            </w:r>
            <w:proofErr w:type="spellEnd"/>
          </w:p>
        </w:tc>
        <w:tc>
          <w:tcPr>
            <w:tcW w:w="936" w:type="pct"/>
            <w:gridSpan w:val="2"/>
            <w:tcBorders>
              <w:top w:val="single" w:sz="18" w:space="0" w:color="00B0B9"/>
              <w:bottom w:val="single" w:sz="4" w:space="0" w:color="FFFFFF" w:themeColor="background1"/>
            </w:tcBorders>
            <w:hideMark/>
          </w:tcPr>
          <w:p w14:paraId="14CBA867"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457,612</w:t>
            </w:r>
          </w:p>
        </w:tc>
        <w:tc>
          <w:tcPr>
            <w:tcW w:w="903" w:type="pct"/>
            <w:gridSpan w:val="2"/>
            <w:tcBorders>
              <w:top w:val="single" w:sz="18" w:space="0" w:color="00B0B9"/>
              <w:bottom w:val="single" w:sz="4" w:space="0" w:color="FFFFFF" w:themeColor="background1"/>
            </w:tcBorders>
            <w:hideMark/>
          </w:tcPr>
          <w:p w14:paraId="64083126" w14:textId="77777777" w:rsidR="0029429F" w:rsidRPr="00771C23" w:rsidRDefault="0029429F" w:rsidP="00E117FD">
            <w:pPr>
              <w:spacing w:before="40" w:after="40"/>
              <w:jc w:val="right"/>
              <w:rPr>
                <w:rFonts w:eastAsia="Times New Roman"/>
                <w:b/>
                <w:color w:val="000000" w:themeColor="text1"/>
                <w:spacing w:val="4"/>
                <w:sz w:val="20"/>
                <w:szCs w:val="20"/>
                <w:lang w:val="en-GB"/>
              </w:rPr>
            </w:pPr>
            <w:r w:rsidRPr="00771C23">
              <w:rPr>
                <w:rFonts w:eastAsia="Times New Roman"/>
                <w:color w:val="000000" w:themeColor="text1"/>
                <w:spacing w:val="4"/>
                <w:sz w:val="20"/>
                <w:szCs w:val="20"/>
                <w:lang w:val="en-GB"/>
              </w:rPr>
              <w:t>604,825</w:t>
            </w:r>
          </w:p>
        </w:tc>
        <w:tc>
          <w:tcPr>
            <w:tcW w:w="699" w:type="pct"/>
            <w:tcBorders>
              <w:top w:val="single" w:sz="18" w:space="0" w:color="00B0B9"/>
              <w:bottom w:val="single" w:sz="4" w:space="0" w:color="FFFFFF" w:themeColor="background1"/>
            </w:tcBorders>
            <w:hideMark/>
          </w:tcPr>
          <w:p w14:paraId="29526A11"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648,377</w:t>
            </w:r>
          </w:p>
        </w:tc>
      </w:tr>
      <w:tr w:rsidR="0029429F" w:rsidRPr="00771C23" w14:paraId="4DB48105"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6"/>
            <w:tcBorders>
              <w:top w:val="single" w:sz="4" w:space="0" w:color="FFFFFF" w:themeColor="background1"/>
              <w:bottom w:val="single" w:sz="18" w:space="0" w:color="00B0B9"/>
            </w:tcBorders>
            <w:hideMark/>
          </w:tcPr>
          <w:p w14:paraId="15FAB312" w14:textId="77777777" w:rsidR="0029429F" w:rsidRPr="00771C23" w:rsidRDefault="0029429F" w:rsidP="00E117FD">
            <w:pPr>
              <w:keepNext/>
              <w:keepLines/>
              <w:spacing w:before="40" w:after="40"/>
              <w:rPr>
                <w:rFonts w:eastAsia="Times New Roman" w:cs="Arial"/>
                <w:b/>
                <w:color w:val="000000" w:themeColor="text1"/>
                <w:sz w:val="20"/>
                <w:szCs w:val="20"/>
              </w:rPr>
            </w:pPr>
            <w:r w:rsidRPr="00771C23">
              <w:rPr>
                <w:rFonts w:eastAsia="Times New Roman" w:cs="Arial"/>
                <w:b/>
                <w:color w:val="000000" w:themeColor="text1"/>
                <w:sz w:val="20"/>
                <w:szCs w:val="20"/>
              </w:rPr>
              <w:t>Transition to Independent Living Allowance</w:t>
            </w:r>
          </w:p>
        </w:tc>
      </w:tr>
      <w:tr w:rsidR="0029429F" w:rsidRPr="00771C23" w14:paraId="6CD67998" w14:textId="77777777" w:rsidTr="00E117FD">
        <w:trPr>
          <w:cnfStyle w:val="000000010000" w:firstRow="0" w:lastRow="0" w:firstColumn="0" w:lastColumn="0" w:oddVBand="0" w:evenVBand="0" w:oddHBand="0" w:evenHBand="1" w:firstRowFirstColumn="0" w:firstRowLastColumn="0" w:lastRowFirstColumn="0" w:lastRowLastColumn="0"/>
        </w:trPr>
        <w:tc>
          <w:tcPr>
            <w:tcW w:w="2462" w:type="pct"/>
            <w:tcBorders>
              <w:top w:val="single" w:sz="18" w:space="0" w:color="00B0B9"/>
              <w:bottom w:val="single" w:sz="4" w:space="0" w:color="FFFFFF" w:themeColor="background1"/>
            </w:tcBorders>
            <w:hideMark/>
          </w:tcPr>
          <w:p w14:paraId="20C68199" w14:textId="77777777" w:rsidR="0029429F" w:rsidRPr="00771C23" w:rsidRDefault="0029429F" w:rsidP="00E117FD">
            <w:pPr>
              <w:spacing w:before="40" w:after="4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Number of recipients</w:t>
            </w:r>
          </w:p>
        </w:tc>
        <w:tc>
          <w:tcPr>
            <w:tcW w:w="936" w:type="pct"/>
            <w:gridSpan w:val="2"/>
            <w:tcBorders>
              <w:top w:val="single" w:sz="18" w:space="0" w:color="00B0B9"/>
              <w:bottom w:val="single" w:sz="4" w:space="0" w:color="FFFFFF" w:themeColor="background1"/>
            </w:tcBorders>
            <w:hideMark/>
          </w:tcPr>
          <w:p w14:paraId="7A6689D1"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1,415</w:t>
            </w:r>
          </w:p>
        </w:tc>
        <w:tc>
          <w:tcPr>
            <w:tcW w:w="903" w:type="pct"/>
            <w:gridSpan w:val="2"/>
            <w:tcBorders>
              <w:top w:val="single" w:sz="18" w:space="0" w:color="00B0B9"/>
              <w:bottom w:val="single" w:sz="4" w:space="0" w:color="FFFFFF" w:themeColor="background1"/>
            </w:tcBorders>
            <w:hideMark/>
          </w:tcPr>
          <w:p w14:paraId="4AC222D1"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1,490</w:t>
            </w:r>
          </w:p>
        </w:tc>
        <w:tc>
          <w:tcPr>
            <w:tcW w:w="699" w:type="pct"/>
            <w:tcBorders>
              <w:top w:val="single" w:sz="18" w:space="0" w:color="00B0B9"/>
              <w:bottom w:val="single" w:sz="4" w:space="0" w:color="FFFFFF" w:themeColor="background1"/>
            </w:tcBorders>
            <w:hideMark/>
          </w:tcPr>
          <w:p w14:paraId="14BE8A90"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1,221</w:t>
            </w:r>
          </w:p>
        </w:tc>
      </w:tr>
      <w:tr w:rsidR="0029429F" w:rsidRPr="00771C23" w14:paraId="5A07057B" w14:textId="77777777" w:rsidTr="00E117FD">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4" w:space="0" w:color="FFFFFF" w:themeColor="background1"/>
              <w:bottom w:val="single" w:sz="18" w:space="0" w:color="00B0B9"/>
            </w:tcBorders>
            <w:hideMark/>
          </w:tcPr>
          <w:p w14:paraId="7B03C0C3" w14:textId="77777777" w:rsidR="0029429F" w:rsidRPr="00771C23" w:rsidRDefault="0029429F" w:rsidP="00E117FD">
            <w:pPr>
              <w:spacing w:before="40" w:after="40"/>
              <w:rPr>
                <w:rFonts w:eastAsia="Times New Roman" w:cs="Arial"/>
                <w:b/>
                <w:color w:val="000000" w:themeColor="text1"/>
                <w:spacing w:val="4"/>
                <w:sz w:val="20"/>
                <w:szCs w:val="20"/>
                <w:lang w:val="en-GB"/>
              </w:rPr>
            </w:pPr>
            <w:r w:rsidRPr="00771C23">
              <w:rPr>
                <w:rFonts w:eastAsia="Times New Roman" w:cs="Arial"/>
                <w:b/>
                <w:color w:val="000000" w:themeColor="text1"/>
                <w:spacing w:val="4"/>
                <w:sz w:val="20"/>
                <w:szCs w:val="17"/>
                <w:lang w:val="en-GB"/>
              </w:rPr>
              <w:t>Financial Wellbeing and Capability</w:t>
            </w:r>
          </w:p>
        </w:tc>
      </w:tr>
      <w:tr w:rsidR="0029429F" w:rsidRPr="00771C23" w14:paraId="5E1ED206" w14:textId="77777777" w:rsidTr="00E117FD">
        <w:trPr>
          <w:cnfStyle w:val="000000010000" w:firstRow="0" w:lastRow="0" w:firstColumn="0" w:lastColumn="0" w:oddVBand="0" w:evenVBand="0" w:oddHBand="0" w:evenHBand="1" w:firstRowFirstColumn="0" w:firstRowLastColumn="0" w:lastRowFirstColumn="0" w:lastRowLastColumn="0"/>
          <w:trHeight w:val="317"/>
        </w:trPr>
        <w:tc>
          <w:tcPr>
            <w:tcW w:w="2462" w:type="pct"/>
            <w:tcBorders>
              <w:top w:val="single" w:sz="18" w:space="0" w:color="00B0B9"/>
            </w:tcBorders>
            <w:hideMark/>
          </w:tcPr>
          <w:p w14:paraId="5A6A1746" w14:textId="77777777" w:rsidR="0029429F" w:rsidRPr="00771C23" w:rsidRDefault="0029429F" w:rsidP="00E117FD">
            <w:pPr>
              <w:keepNext/>
              <w:keepLines/>
              <w:spacing w:before="40" w:after="40"/>
              <w:rPr>
                <w:rFonts w:eastAsia="Times New Roman"/>
                <w:color w:val="000000" w:themeColor="text1"/>
                <w:sz w:val="20"/>
                <w:szCs w:val="20"/>
              </w:rPr>
            </w:pPr>
            <w:r w:rsidRPr="00771C23">
              <w:rPr>
                <w:rFonts w:eastAsia="Times New Roman"/>
                <w:color w:val="000000" w:themeColor="text1"/>
                <w:sz w:val="20"/>
                <w:szCs w:val="20"/>
              </w:rPr>
              <w:t xml:space="preserve">Number of individuals </w:t>
            </w:r>
            <w:proofErr w:type="spellStart"/>
            <w:r w:rsidRPr="00771C23">
              <w:rPr>
                <w:rFonts w:eastAsia="Times New Roman"/>
                <w:color w:val="000000" w:themeColor="text1"/>
                <w:sz w:val="20"/>
                <w:szCs w:val="20"/>
              </w:rPr>
              <w:t>assisted</w:t>
            </w:r>
            <w:r w:rsidRPr="00771C23">
              <w:rPr>
                <w:rFonts w:eastAsia="Times New Roman"/>
                <w:color w:val="000000" w:themeColor="text1"/>
                <w:sz w:val="20"/>
                <w:szCs w:val="20"/>
                <w:vertAlign w:val="superscript"/>
              </w:rPr>
              <w:t>a</w:t>
            </w:r>
            <w:proofErr w:type="spellEnd"/>
          </w:p>
        </w:tc>
        <w:tc>
          <w:tcPr>
            <w:tcW w:w="936" w:type="pct"/>
            <w:gridSpan w:val="2"/>
            <w:tcBorders>
              <w:top w:val="single" w:sz="18" w:space="0" w:color="00B0B9"/>
            </w:tcBorders>
            <w:hideMark/>
          </w:tcPr>
          <w:p w14:paraId="330BBF3B"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581,837</w:t>
            </w:r>
          </w:p>
        </w:tc>
        <w:tc>
          <w:tcPr>
            <w:tcW w:w="903" w:type="pct"/>
            <w:gridSpan w:val="2"/>
            <w:tcBorders>
              <w:top w:val="single" w:sz="18" w:space="0" w:color="00B0B9"/>
            </w:tcBorders>
            <w:hideMark/>
          </w:tcPr>
          <w:p w14:paraId="64B41C5D" w14:textId="77777777" w:rsidR="0029429F" w:rsidRPr="00771C23" w:rsidRDefault="0029429F" w:rsidP="00E117FD">
            <w:pPr>
              <w:spacing w:before="40" w:after="40"/>
              <w:jc w:val="right"/>
              <w:rPr>
                <w:rFonts w:eastAsia="Times New Roman"/>
                <w:color w:val="000000" w:themeColor="text1"/>
                <w:spacing w:val="4"/>
                <w:sz w:val="20"/>
                <w:szCs w:val="20"/>
                <w:highlight w:val="yellow"/>
                <w:lang w:val="en-GB"/>
              </w:rPr>
            </w:pPr>
            <w:r w:rsidRPr="00771C23">
              <w:rPr>
                <w:rFonts w:eastAsia="Times New Roman"/>
                <w:color w:val="000000" w:themeColor="text1"/>
                <w:spacing w:val="4"/>
                <w:sz w:val="20"/>
                <w:szCs w:val="20"/>
                <w:lang w:val="en-GB"/>
              </w:rPr>
              <w:t>660,137</w:t>
            </w:r>
          </w:p>
        </w:tc>
        <w:tc>
          <w:tcPr>
            <w:tcW w:w="699" w:type="pct"/>
            <w:tcBorders>
              <w:top w:val="single" w:sz="18" w:space="0" w:color="00B0B9"/>
            </w:tcBorders>
            <w:hideMark/>
          </w:tcPr>
          <w:p w14:paraId="6CB10522"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669,804</w:t>
            </w:r>
          </w:p>
        </w:tc>
      </w:tr>
      <w:tr w:rsidR="0029429F" w:rsidRPr="00771C23" w14:paraId="39353C37" w14:textId="77777777" w:rsidTr="00E117FD">
        <w:trPr>
          <w:cnfStyle w:val="000000100000" w:firstRow="0" w:lastRow="0" w:firstColumn="0" w:lastColumn="0" w:oddVBand="0" w:evenVBand="0" w:oddHBand="1" w:evenHBand="0" w:firstRowFirstColumn="0" w:firstRowLastColumn="0" w:lastRowFirstColumn="0" w:lastRowLastColumn="0"/>
        </w:trPr>
        <w:tc>
          <w:tcPr>
            <w:tcW w:w="2462" w:type="pct"/>
            <w:hideMark/>
          </w:tcPr>
          <w:p w14:paraId="5F6C26F0"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 xml:space="preserve">Number of individuals engaged with Income </w:t>
            </w:r>
            <w:proofErr w:type="spellStart"/>
            <w:r w:rsidRPr="00771C23">
              <w:rPr>
                <w:rFonts w:eastAsia="Times New Roman" w:cs="Arial"/>
                <w:color w:val="000000" w:themeColor="text1"/>
                <w:spacing w:val="4"/>
                <w:sz w:val="20"/>
                <w:szCs w:val="20"/>
                <w:lang w:val="en-GB"/>
              </w:rPr>
              <w:t>Management</w:t>
            </w:r>
            <w:r w:rsidRPr="00771C23">
              <w:rPr>
                <w:rFonts w:eastAsia="Times New Roman" w:cs="Arial"/>
                <w:color w:val="000000" w:themeColor="text1"/>
                <w:spacing w:val="4"/>
                <w:sz w:val="20"/>
                <w:szCs w:val="20"/>
                <w:vertAlign w:val="superscript"/>
                <w:lang w:val="en-GB"/>
              </w:rPr>
              <w:t>b</w:t>
            </w:r>
            <w:proofErr w:type="spellEnd"/>
          </w:p>
        </w:tc>
        <w:tc>
          <w:tcPr>
            <w:tcW w:w="936" w:type="pct"/>
            <w:gridSpan w:val="2"/>
            <w:hideMark/>
          </w:tcPr>
          <w:p w14:paraId="531EC191"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26,649</w:t>
            </w:r>
          </w:p>
        </w:tc>
        <w:tc>
          <w:tcPr>
            <w:tcW w:w="903" w:type="pct"/>
            <w:gridSpan w:val="2"/>
            <w:hideMark/>
          </w:tcPr>
          <w:p w14:paraId="5DF4C598"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24,943</w:t>
            </w:r>
          </w:p>
        </w:tc>
        <w:tc>
          <w:tcPr>
            <w:tcW w:w="699" w:type="pct"/>
            <w:hideMark/>
          </w:tcPr>
          <w:p w14:paraId="124D43F8"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24,800</w:t>
            </w:r>
          </w:p>
        </w:tc>
      </w:tr>
      <w:tr w:rsidR="0029429F" w:rsidRPr="00771C23" w14:paraId="0C3380A2" w14:textId="77777777" w:rsidTr="00E117FD">
        <w:trPr>
          <w:cnfStyle w:val="000000010000" w:firstRow="0" w:lastRow="0" w:firstColumn="0" w:lastColumn="0" w:oddVBand="0" w:evenVBand="0" w:oddHBand="0" w:evenHBand="1" w:firstRowFirstColumn="0" w:firstRowLastColumn="0" w:lastRowFirstColumn="0" w:lastRowLastColumn="0"/>
        </w:trPr>
        <w:tc>
          <w:tcPr>
            <w:tcW w:w="2462" w:type="pct"/>
            <w:hideMark/>
          </w:tcPr>
          <w:p w14:paraId="4A53C985" w14:textId="77777777" w:rsidR="0029429F" w:rsidRPr="00771C23" w:rsidRDefault="0029429F" w:rsidP="00E117FD">
            <w:pPr>
              <w:numPr>
                <w:ilvl w:val="0"/>
                <w:numId w:val="67"/>
              </w:numPr>
              <w:spacing w:before="40" w:after="40"/>
              <w:ind w:left="459" w:right="6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Vulnerable Welfare Payment Recipient Measure</w:t>
            </w:r>
          </w:p>
        </w:tc>
        <w:tc>
          <w:tcPr>
            <w:tcW w:w="936" w:type="pct"/>
            <w:gridSpan w:val="2"/>
            <w:hideMark/>
          </w:tcPr>
          <w:p w14:paraId="0B66CE5C"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1,755</w:t>
            </w:r>
          </w:p>
        </w:tc>
        <w:tc>
          <w:tcPr>
            <w:tcW w:w="903" w:type="pct"/>
            <w:gridSpan w:val="2"/>
            <w:hideMark/>
          </w:tcPr>
          <w:p w14:paraId="02074723"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1,481</w:t>
            </w:r>
          </w:p>
        </w:tc>
        <w:tc>
          <w:tcPr>
            <w:tcW w:w="699" w:type="pct"/>
            <w:hideMark/>
          </w:tcPr>
          <w:p w14:paraId="6C40C787"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1,581</w:t>
            </w:r>
          </w:p>
        </w:tc>
      </w:tr>
      <w:tr w:rsidR="0029429F" w:rsidRPr="00771C23" w14:paraId="01050500" w14:textId="77777777" w:rsidTr="00E117FD">
        <w:trPr>
          <w:cnfStyle w:val="000000100000" w:firstRow="0" w:lastRow="0" w:firstColumn="0" w:lastColumn="0" w:oddVBand="0" w:evenVBand="0" w:oddHBand="1" w:evenHBand="0" w:firstRowFirstColumn="0" w:firstRowLastColumn="0" w:lastRowFirstColumn="0" w:lastRowLastColumn="0"/>
        </w:trPr>
        <w:tc>
          <w:tcPr>
            <w:tcW w:w="2462" w:type="pct"/>
            <w:hideMark/>
          </w:tcPr>
          <w:p w14:paraId="2EDA7156" w14:textId="77777777" w:rsidR="0029429F" w:rsidRPr="00771C23" w:rsidRDefault="0029429F" w:rsidP="00E117FD">
            <w:pPr>
              <w:numPr>
                <w:ilvl w:val="0"/>
                <w:numId w:val="67"/>
              </w:numPr>
              <w:spacing w:before="40" w:after="40"/>
              <w:ind w:left="459" w:right="6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Long-term Welfare Payment Recipient Measure</w:t>
            </w:r>
          </w:p>
        </w:tc>
        <w:tc>
          <w:tcPr>
            <w:tcW w:w="936" w:type="pct"/>
            <w:gridSpan w:val="2"/>
            <w:hideMark/>
          </w:tcPr>
          <w:p w14:paraId="0D3AC9B6"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16,867</w:t>
            </w:r>
          </w:p>
        </w:tc>
        <w:tc>
          <w:tcPr>
            <w:tcW w:w="903" w:type="pct"/>
            <w:gridSpan w:val="2"/>
            <w:hideMark/>
          </w:tcPr>
          <w:p w14:paraId="2358F9F3"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15,592</w:t>
            </w:r>
          </w:p>
        </w:tc>
        <w:tc>
          <w:tcPr>
            <w:tcW w:w="699" w:type="pct"/>
            <w:hideMark/>
          </w:tcPr>
          <w:p w14:paraId="2779A6E9"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14,944</w:t>
            </w:r>
          </w:p>
        </w:tc>
      </w:tr>
      <w:tr w:rsidR="0029429F" w:rsidRPr="00771C23" w14:paraId="15175FEB" w14:textId="77777777" w:rsidTr="00E117FD">
        <w:trPr>
          <w:cnfStyle w:val="000000010000" w:firstRow="0" w:lastRow="0" w:firstColumn="0" w:lastColumn="0" w:oddVBand="0" w:evenVBand="0" w:oddHBand="0" w:evenHBand="1" w:firstRowFirstColumn="0" w:firstRowLastColumn="0" w:lastRowFirstColumn="0" w:lastRowLastColumn="0"/>
        </w:trPr>
        <w:tc>
          <w:tcPr>
            <w:tcW w:w="2462" w:type="pct"/>
            <w:hideMark/>
          </w:tcPr>
          <w:p w14:paraId="389D8800" w14:textId="77777777" w:rsidR="0029429F" w:rsidRPr="00771C23" w:rsidRDefault="0029429F" w:rsidP="00E117FD">
            <w:pPr>
              <w:numPr>
                <w:ilvl w:val="0"/>
                <w:numId w:val="67"/>
              </w:numPr>
              <w:spacing w:before="40" w:after="40"/>
              <w:ind w:left="459" w:right="6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Disengaged Youth Measure</w:t>
            </w:r>
          </w:p>
        </w:tc>
        <w:tc>
          <w:tcPr>
            <w:tcW w:w="936" w:type="pct"/>
            <w:gridSpan w:val="2"/>
            <w:hideMark/>
          </w:tcPr>
          <w:p w14:paraId="0E7727EB"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4,550</w:t>
            </w:r>
          </w:p>
        </w:tc>
        <w:tc>
          <w:tcPr>
            <w:tcW w:w="903" w:type="pct"/>
            <w:gridSpan w:val="2"/>
            <w:hideMark/>
          </w:tcPr>
          <w:p w14:paraId="0C431EFE"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4,020</w:t>
            </w:r>
          </w:p>
        </w:tc>
        <w:tc>
          <w:tcPr>
            <w:tcW w:w="699" w:type="pct"/>
            <w:hideMark/>
          </w:tcPr>
          <w:p w14:paraId="0608A7BB"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4,096</w:t>
            </w:r>
          </w:p>
        </w:tc>
      </w:tr>
      <w:tr w:rsidR="0029429F" w:rsidRPr="00771C23" w14:paraId="022757E7" w14:textId="77777777" w:rsidTr="00E117FD">
        <w:trPr>
          <w:cnfStyle w:val="000000100000" w:firstRow="0" w:lastRow="0" w:firstColumn="0" w:lastColumn="0" w:oddVBand="0" w:evenVBand="0" w:oddHBand="1" w:evenHBand="0" w:firstRowFirstColumn="0" w:firstRowLastColumn="0" w:lastRowFirstColumn="0" w:lastRowLastColumn="0"/>
        </w:trPr>
        <w:tc>
          <w:tcPr>
            <w:tcW w:w="2462" w:type="pct"/>
            <w:hideMark/>
          </w:tcPr>
          <w:p w14:paraId="3CC76994" w14:textId="77777777" w:rsidR="0029429F" w:rsidRPr="00771C23" w:rsidRDefault="0029429F" w:rsidP="00E117FD">
            <w:pPr>
              <w:numPr>
                <w:ilvl w:val="0"/>
                <w:numId w:val="67"/>
              </w:numPr>
              <w:spacing w:before="40" w:after="40"/>
              <w:ind w:left="459" w:right="6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Voluntary Income Management</w:t>
            </w:r>
          </w:p>
        </w:tc>
        <w:tc>
          <w:tcPr>
            <w:tcW w:w="936" w:type="pct"/>
            <w:gridSpan w:val="2"/>
            <w:hideMark/>
          </w:tcPr>
          <w:p w14:paraId="492A16E0"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3,168</w:t>
            </w:r>
          </w:p>
        </w:tc>
        <w:tc>
          <w:tcPr>
            <w:tcW w:w="903" w:type="pct"/>
            <w:gridSpan w:val="2"/>
            <w:hideMark/>
          </w:tcPr>
          <w:p w14:paraId="6EBC6D7B"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3,510</w:t>
            </w:r>
          </w:p>
        </w:tc>
        <w:tc>
          <w:tcPr>
            <w:tcW w:w="699" w:type="pct"/>
            <w:hideMark/>
          </w:tcPr>
          <w:p w14:paraId="4DC10D48"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3,857</w:t>
            </w:r>
          </w:p>
        </w:tc>
      </w:tr>
      <w:tr w:rsidR="0029429F" w:rsidRPr="00771C23" w14:paraId="3BB187E0" w14:textId="77777777" w:rsidTr="00E117FD">
        <w:trPr>
          <w:cnfStyle w:val="000000010000" w:firstRow="0" w:lastRow="0" w:firstColumn="0" w:lastColumn="0" w:oddVBand="0" w:evenVBand="0" w:oddHBand="0" w:evenHBand="1" w:firstRowFirstColumn="0" w:firstRowLastColumn="0" w:lastRowFirstColumn="0" w:lastRowLastColumn="0"/>
        </w:trPr>
        <w:tc>
          <w:tcPr>
            <w:tcW w:w="2462" w:type="pct"/>
            <w:hideMark/>
          </w:tcPr>
          <w:p w14:paraId="3A63FD1A" w14:textId="77777777" w:rsidR="0029429F" w:rsidRPr="00771C23" w:rsidRDefault="0029429F" w:rsidP="00E117FD">
            <w:pPr>
              <w:numPr>
                <w:ilvl w:val="0"/>
                <w:numId w:val="67"/>
              </w:numPr>
              <w:spacing w:before="40" w:after="40"/>
              <w:ind w:left="459" w:right="6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Child Protection Measure</w:t>
            </w:r>
          </w:p>
        </w:tc>
        <w:tc>
          <w:tcPr>
            <w:tcW w:w="936" w:type="pct"/>
            <w:gridSpan w:val="2"/>
            <w:hideMark/>
          </w:tcPr>
          <w:p w14:paraId="28F1B387"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124</w:t>
            </w:r>
          </w:p>
        </w:tc>
        <w:tc>
          <w:tcPr>
            <w:tcW w:w="903" w:type="pct"/>
            <w:gridSpan w:val="2"/>
            <w:hideMark/>
          </w:tcPr>
          <w:p w14:paraId="5B810DCB"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147</w:t>
            </w:r>
          </w:p>
        </w:tc>
        <w:tc>
          <w:tcPr>
            <w:tcW w:w="699" w:type="pct"/>
            <w:hideMark/>
          </w:tcPr>
          <w:p w14:paraId="00FB1717"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185</w:t>
            </w:r>
          </w:p>
        </w:tc>
      </w:tr>
      <w:tr w:rsidR="0029429F" w:rsidRPr="00771C23" w14:paraId="2F3B266D" w14:textId="77777777" w:rsidTr="00E117FD">
        <w:trPr>
          <w:cnfStyle w:val="000000100000" w:firstRow="0" w:lastRow="0" w:firstColumn="0" w:lastColumn="0" w:oddVBand="0" w:evenVBand="0" w:oddHBand="1" w:evenHBand="0" w:firstRowFirstColumn="0" w:firstRowLastColumn="0" w:lastRowFirstColumn="0" w:lastRowLastColumn="0"/>
        </w:trPr>
        <w:tc>
          <w:tcPr>
            <w:tcW w:w="2462" w:type="pct"/>
            <w:hideMark/>
          </w:tcPr>
          <w:p w14:paraId="24B670E6" w14:textId="77777777" w:rsidR="0029429F" w:rsidRPr="00771C23" w:rsidRDefault="0029429F" w:rsidP="00E117FD">
            <w:pPr>
              <w:numPr>
                <w:ilvl w:val="0"/>
                <w:numId w:val="67"/>
              </w:numPr>
              <w:spacing w:before="40" w:after="40"/>
              <w:ind w:left="459" w:right="6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Cape York Welfare Reform—Income Management</w:t>
            </w:r>
          </w:p>
        </w:tc>
        <w:tc>
          <w:tcPr>
            <w:tcW w:w="936" w:type="pct"/>
            <w:gridSpan w:val="2"/>
            <w:hideMark/>
          </w:tcPr>
          <w:p w14:paraId="0615E24D"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135</w:t>
            </w:r>
          </w:p>
        </w:tc>
        <w:tc>
          <w:tcPr>
            <w:tcW w:w="903" w:type="pct"/>
            <w:gridSpan w:val="2"/>
            <w:hideMark/>
          </w:tcPr>
          <w:p w14:paraId="10976709"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129</w:t>
            </w:r>
          </w:p>
        </w:tc>
        <w:tc>
          <w:tcPr>
            <w:tcW w:w="699" w:type="pct"/>
            <w:hideMark/>
          </w:tcPr>
          <w:p w14:paraId="1B588D8D"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n/p</w:t>
            </w:r>
          </w:p>
        </w:tc>
      </w:tr>
      <w:tr w:rsidR="0029429F" w:rsidRPr="00771C23" w14:paraId="0B9356D9" w14:textId="77777777" w:rsidTr="00E117FD">
        <w:trPr>
          <w:cnfStyle w:val="000000010000" w:firstRow="0" w:lastRow="0" w:firstColumn="0" w:lastColumn="0" w:oddVBand="0" w:evenVBand="0" w:oddHBand="0" w:evenHBand="1" w:firstRowFirstColumn="0" w:firstRowLastColumn="0" w:lastRowFirstColumn="0" w:lastRowLastColumn="0"/>
        </w:trPr>
        <w:tc>
          <w:tcPr>
            <w:tcW w:w="2462" w:type="pct"/>
            <w:hideMark/>
          </w:tcPr>
          <w:p w14:paraId="0B3DF306" w14:textId="77777777" w:rsidR="0029429F" w:rsidRPr="00771C23" w:rsidRDefault="0029429F" w:rsidP="00E117FD">
            <w:pPr>
              <w:numPr>
                <w:ilvl w:val="0"/>
                <w:numId w:val="67"/>
              </w:numPr>
              <w:spacing w:before="40" w:after="40"/>
              <w:ind w:left="459" w:right="60"/>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Supporting People at Risk Measure</w:t>
            </w:r>
          </w:p>
        </w:tc>
        <w:tc>
          <w:tcPr>
            <w:tcW w:w="936" w:type="pct"/>
            <w:gridSpan w:val="2"/>
            <w:hideMark/>
          </w:tcPr>
          <w:p w14:paraId="62A0F555"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50</w:t>
            </w:r>
          </w:p>
        </w:tc>
        <w:tc>
          <w:tcPr>
            <w:tcW w:w="903" w:type="pct"/>
            <w:gridSpan w:val="2"/>
            <w:hideMark/>
          </w:tcPr>
          <w:p w14:paraId="53F0BB02"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64</w:t>
            </w:r>
          </w:p>
        </w:tc>
        <w:tc>
          <w:tcPr>
            <w:tcW w:w="699" w:type="pct"/>
            <w:hideMark/>
          </w:tcPr>
          <w:p w14:paraId="5543229A" w14:textId="77777777" w:rsidR="0029429F" w:rsidRPr="00771C23" w:rsidRDefault="0029429F" w:rsidP="00E117FD">
            <w:pPr>
              <w:spacing w:before="40" w:after="40"/>
              <w:jc w:val="right"/>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&lt;5</w:t>
            </w:r>
            <w:r w:rsidRPr="00771C23">
              <w:rPr>
                <w:rFonts w:eastAsia="Times New Roman"/>
                <w:color w:val="000000" w:themeColor="text1"/>
                <w:spacing w:val="4"/>
                <w:sz w:val="20"/>
                <w:szCs w:val="20"/>
                <w:vertAlign w:val="superscript"/>
                <w:lang w:val="en-GB"/>
              </w:rPr>
              <w:t>c</w:t>
            </w:r>
          </w:p>
        </w:tc>
      </w:tr>
      <w:tr w:rsidR="0029429F" w:rsidRPr="00771C23" w14:paraId="69558E47" w14:textId="77777777" w:rsidTr="00E117FD">
        <w:trPr>
          <w:cnfStyle w:val="000000100000" w:firstRow="0" w:lastRow="0" w:firstColumn="0" w:lastColumn="0" w:oddVBand="0" w:evenVBand="0" w:oddHBand="1" w:evenHBand="0" w:firstRowFirstColumn="0" w:firstRowLastColumn="0" w:lastRowFirstColumn="0" w:lastRowLastColumn="0"/>
        </w:trPr>
        <w:tc>
          <w:tcPr>
            <w:tcW w:w="2462" w:type="pct"/>
            <w:tcBorders>
              <w:bottom w:val="single" w:sz="4" w:space="0" w:color="FFFFFF" w:themeColor="background1"/>
            </w:tcBorders>
            <w:hideMark/>
          </w:tcPr>
          <w:p w14:paraId="2E7781B3" w14:textId="77777777" w:rsidR="0029429F" w:rsidRPr="00771C23" w:rsidRDefault="0029429F" w:rsidP="00E117FD">
            <w:pPr>
              <w:spacing w:before="40" w:after="40"/>
              <w:ind w:right="6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 xml:space="preserve">Number of people on the Cashless Debit </w:t>
            </w:r>
            <w:proofErr w:type="spellStart"/>
            <w:r w:rsidRPr="00771C23">
              <w:rPr>
                <w:rFonts w:eastAsia="Times New Roman" w:cs="Arial"/>
                <w:color w:val="000000" w:themeColor="text1"/>
                <w:spacing w:val="4"/>
                <w:sz w:val="20"/>
                <w:szCs w:val="20"/>
                <w:lang w:val="en-GB"/>
              </w:rPr>
              <w:t>Card</w:t>
            </w:r>
            <w:r w:rsidRPr="00771C23">
              <w:rPr>
                <w:rFonts w:eastAsia="Times New Roman" w:cs="Arial"/>
                <w:color w:val="000000" w:themeColor="text1"/>
                <w:spacing w:val="4"/>
                <w:sz w:val="20"/>
                <w:szCs w:val="20"/>
                <w:vertAlign w:val="superscript"/>
                <w:lang w:val="en-GB"/>
              </w:rPr>
              <w:t>b</w:t>
            </w:r>
            <w:proofErr w:type="spellEnd"/>
          </w:p>
        </w:tc>
        <w:tc>
          <w:tcPr>
            <w:tcW w:w="936" w:type="pct"/>
            <w:gridSpan w:val="2"/>
            <w:tcBorders>
              <w:bottom w:val="single" w:sz="4" w:space="0" w:color="FFFFFF" w:themeColor="background1"/>
            </w:tcBorders>
            <w:hideMark/>
          </w:tcPr>
          <w:p w14:paraId="39B772B7"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12,577</w:t>
            </w:r>
          </w:p>
        </w:tc>
        <w:tc>
          <w:tcPr>
            <w:tcW w:w="903" w:type="pct"/>
            <w:gridSpan w:val="2"/>
            <w:tcBorders>
              <w:bottom w:val="single" w:sz="4" w:space="0" w:color="FFFFFF" w:themeColor="background1"/>
            </w:tcBorders>
            <w:hideMark/>
          </w:tcPr>
          <w:p w14:paraId="4DB8A348"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11,301</w:t>
            </w:r>
          </w:p>
        </w:tc>
        <w:tc>
          <w:tcPr>
            <w:tcW w:w="699" w:type="pct"/>
            <w:tcBorders>
              <w:bottom w:val="single" w:sz="4" w:space="0" w:color="FFFFFF" w:themeColor="background1"/>
            </w:tcBorders>
            <w:hideMark/>
          </w:tcPr>
          <w:p w14:paraId="3F5CE1F7"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5,207</w:t>
            </w:r>
          </w:p>
        </w:tc>
      </w:tr>
      <w:tr w:rsidR="0029429F" w:rsidRPr="00771C23" w14:paraId="44FADD70" w14:textId="77777777" w:rsidTr="00E117FD">
        <w:trPr>
          <w:cnfStyle w:val="000000010000" w:firstRow="0" w:lastRow="0" w:firstColumn="0" w:lastColumn="0" w:oddVBand="0" w:evenVBand="0" w:oddHBand="0" w:evenHBand="1" w:firstRowFirstColumn="0" w:firstRowLastColumn="0" w:lastRowFirstColumn="0" w:lastRowLastColumn="0"/>
        </w:trPr>
        <w:tc>
          <w:tcPr>
            <w:tcW w:w="5000" w:type="pct"/>
            <w:gridSpan w:val="6"/>
            <w:tcBorders>
              <w:top w:val="single" w:sz="4" w:space="0" w:color="FFFFFF" w:themeColor="background1"/>
              <w:bottom w:val="single" w:sz="18" w:space="0" w:color="00B0B9"/>
            </w:tcBorders>
            <w:hideMark/>
          </w:tcPr>
          <w:p w14:paraId="124039EC" w14:textId="77777777" w:rsidR="0029429F" w:rsidRPr="00771C23" w:rsidRDefault="0029429F" w:rsidP="00E117FD">
            <w:pPr>
              <w:spacing w:before="40" w:after="40"/>
              <w:rPr>
                <w:rFonts w:eastAsia="Times New Roman"/>
                <w:b/>
                <w:color w:val="000000" w:themeColor="text1"/>
                <w:spacing w:val="4"/>
                <w:sz w:val="20"/>
                <w:szCs w:val="20"/>
                <w:lang w:val="en-GB"/>
              </w:rPr>
            </w:pPr>
            <w:r w:rsidRPr="00771C23">
              <w:rPr>
                <w:rFonts w:eastAsia="Times New Roman"/>
                <w:b/>
                <w:color w:val="000000" w:themeColor="text1"/>
                <w:spacing w:val="4"/>
                <w:sz w:val="20"/>
                <w:szCs w:val="20"/>
                <w:lang w:val="en-GB"/>
              </w:rPr>
              <w:t xml:space="preserve">Strong and Resilient </w:t>
            </w:r>
            <w:proofErr w:type="spellStart"/>
            <w:r w:rsidRPr="00771C23">
              <w:rPr>
                <w:rFonts w:eastAsia="Times New Roman"/>
                <w:b/>
                <w:color w:val="000000" w:themeColor="text1"/>
                <w:spacing w:val="4"/>
                <w:sz w:val="20"/>
                <w:szCs w:val="20"/>
                <w:lang w:val="en-GB"/>
              </w:rPr>
              <w:t>Communities</w:t>
            </w:r>
            <w:r w:rsidRPr="003A047F">
              <w:rPr>
                <w:rFonts w:eastAsia="Times New Roman"/>
                <w:color w:val="000000" w:themeColor="text1"/>
                <w:spacing w:val="4"/>
                <w:sz w:val="20"/>
                <w:szCs w:val="20"/>
                <w:vertAlign w:val="superscript"/>
                <w:lang w:val="en-GB"/>
              </w:rPr>
              <w:t>d</w:t>
            </w:r>
            <w:proofErr w:type="spellEnd"/>
          </w:p>
        </w:tc>
      </w:tr>
      <w:tr w:rsidR="0029429F" w:rsidRPr="00771C23" w14:paraId="7D9E2211" w14:textId="77777777" w:rsidTr="00E117FD">
        <w:trPr>
          <w:cnfStyle w:val="000000100000" w:firstRow="0" w:lastRow="0" w:firstColumn="0" w:lastColumn="0" w:oddVBand="0" w:evenVBand="0" w:oddHBand="1" w:evenHBand="0" w:firstRowFirstColumn="0" w:firstRowLastColumn="0" w:lastRowFirstColumn="0" w:lastRowLastColumn="0"/>
        </w:trPr>
        <w:tc>
          <w:tcPr>
            <w:tcW w:w="2462" w:type="pct"/>
            <w:tcBorders>
              <w:top w:val="single" w:sz="18" w:space="0" w:color="00B0B9"/>
              <w:bottom w:val="single" w:sz="4" w:space="0" w:color="FFFFFF" w:themeColor="background1"/>
            </w:tcBorders>
            <w:hideMark/>
          </w:tcPr>
          <w:p w14:paraId="670DEF32"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 xml:space="preserve">Number of individuals </w:t>
            </w:r>
            <w:proofErr w:type="spellStart"/>
            <w:r w:rsidRPr="00771C23">
              <w:rPr>
                <w:rFonts w:eastAsia="Times New Roman" w:cs="Arial"/>
                <w:color w:val="000000" w:themeColor="text1"/>
                <w:spacing w:val="4"/>
                <w:sz w:val="20"/>
                <w:szCs w:val="20"/>
                <w:lang w:val="en-GB"/>
              </w:rPr>
              <w:t>assisted</w:t>
            </w:r>
            <w:r w:rsidRPr="00771C23">
              <w:rPr>
                <w:rFonts w:eastAsia="Times New Roman" w:cs="Arial"/>
                <w:color w:val="000000" w:themeColor="text1"/>
                <w:spacing w:val="4"/>
                <w:sz w:val="20"/>
                <w:szCs w:val="20"/>
                <w:vertAlign w:val="superscript"/>
                <w:lang w:val="en-GB"/>
              </w:rPr>
              <w:t>e</w:t>
            </w:r>
            <w:proofErr w:type="spellEnd"/>
          </w:p>
        </w:tc>
        <w:tc>
          <w:tcPr>
            <w:tcW w:w="936" w:type="pct"/>
            <w:gridSpan w:val="2"/>
            <w:tcBorders>
              <w:top w:val="single" w:sz="18" w:space="0" w:color="00B0B9"/>
              <w:bottom w:val="single" w:sz="4" w:space="0" w:color="FFFFFF" w:themeColor="background1"/>
            </w:tcBorders>
            <w:hideMark/>
          </w:tcPr>
          <w:p w14:paraId="1C9E4561"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525,854</w:t>
            </w:r>
          </w:p>
        </w:tc>
        <w:tc>
          <w:tcPr>
            <w:tcW w:w="903" w:type="pct"/>
            <w:gridSpan w:val="2"/>
            <w:tcBorders>
              <w:top w:val="single" w:sz="18" w:space="0" w:color="00B0B9"/>
              <w:bottom w:val="single" w:sz="4" w:space="0" w:color="FFFFFF" w:themeColor="background1"/>
            </w:tcBorders>
            <w:hideMark/>
          </w:tcPr>
          <w:p w14:paraId="7ED86982"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292,866</w:t>
            </w:r>
          </w:p>
        </w:tc>
        <w:tc>
          <w:tcPr>
            <w:tcW w:w="699" w:type="pct"/>
            <w:tcBorders>
              <w:top w:val="single" w:sz="18" w:space="0" w:color="00B0B9"/>
              <w:bottom w:val="single" w:sz="4" w:space="0" w:color="FFFFFF" w:themeColor="background1"/>
            </w:tcBorders>
            <w:hideMark/>
          </w:tcPr>
          <w:p w14:paraId="4F54A72C"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57,590</w:t>
            </w:r>
          </w:p>
        </w:tc>
      </w:tr>
      <w:tr w:rsidR="0029429F" w:rsidRPr="00771C23" w14:paraId="79EEE9E3" w14:textId="77777777" w:rsidTr="00E117FD">
        <w:trPr>
          <w:cnfStyle w:val="000000010000" w:firstRow="0" w:lastRow="0" w:firstColumn="0" w:lastColumn="0" w:oddVBand="0" w:evenVBand="0" w:oddHBand="0" w:evenHBand="1" w:firstRowFirstColumn="0" w:firstRowLastColumn="0" w:lastRowFirstColumn="0" w:lastRowLastColumn="0"/>
        </w:trPr>
        <w:tc>
          <w:tcPr>
            <w:tcW w:w="5000" w:type="pct"/>
            <w:gridSpan w:val="6"/>
            <w:tcBorders>
              <w:top w:val="single" w:sz="4" w:space="0" w:color="FFFFFF" w:themeColor="background1"/>
              <w:bottom w:val="single" w:sz="18" w:space="0" w:color="00B0B9"/>
            </w:tcBorders>
            <w:hideMark/>
          </w:tcPr>
          <w:p w14:paraId="368DD346" w14:textId="77777777" w:rsidR="0029429F" w:rsidRPr="00771C23" w:rsidRDefault="0029429F" w:rsidP="00E117FD">
            <w:pPr>
              <w:spacing w:before="40" w:after="40"/>
              <w:rPr>
                <w:rFonts w:eastAsia="Times New Roman"/>
                <w:b/>
                <w:spacing w:val="4"/>
                <w:sz w:val="20"/>
                <w:szCs w:val="20"/>
                <w:lang w:val="en-GB"/>
              </w:rPr>
            </w:pPr>
            <w:r w:rsidRPr="00771C23">
              <w:rPr>
                <w:rFonts w:eastAsia="Times New Roman"/>
                <w:b/>
                <w:spacing w:val="4"/>
                <w:sz w:val="20"/>
                <w:szCs w:val="20"/>
                <w:lang w:val="en-GB"/>
              </w:rPr>
              <w:t xml:space="preserve">Volunteer Management </w:t>
            </w:r>
            <w:proofErr w:type="spellStart"/>
            <w:r w:rsidRPr="00771C23">
              <w:rPr>
                <w:rFonts w:eastAsia="Times New Roman"/>
                <w:b/>
                <w:spacing w:val="4"/>
                <w:sz w:val="20"/>
                <w:szCs w:val="20"/>
                <w:lang w:val="en-GB"/>
              </w:rPr>
              <w:t>Activity</w:t>
            </w:r>
            <w:r w:rsidRPr="00771C23">
              <w:rPr>
                <w:rFonts w:eastAsia="Times New Roman"/>
                <w:spacing w:val="4"/>
                <w:sz w:val="20"/>
                <w:szCs w:val="20"/>
                <w:vertAlign w:val="superscript"/>
                <w:lang w:val="en-GB"/>
              </w:rPr>
              <w:t>f</w:t>
            </w:r>
            <w:proofErr w:type="spellEnd"/>
          </w:p>
        </w:tc>
      </w:tr>
      <w:tr w:rsidR="0029429F" w:rsidRPr="00771C23" w14:paraId="342F90BD" w14:textId="77777777" w:rsidTr="00E117FD">
        <w:trPr>
          <w:cnfStyle w:val="000000100000" w:firstRow="0" w:lastRow="0" w:firstColumn="0" w:lastColumn="0" w:oddVBand="0" w:evenVBand="0" w:oddHBand="1" w:evenHBand="0" w:firstRowFirstColumn="0" w:firstRowLastColumn="0" w:lastRowFirstColumn="0" w:lastRowLastColumn="0"/>
        </w:trPr>
        <w:tc>
          <w:tcPr>
            <w:tcW w:w="2462" w:type="pct"/>
            <w:tcBorders>
              <w:top w:val="single" w:sz="18" w:space="0" w:color="00B0B9"/>
              <w:bottom w:val="single" w:sz="4" w:space="0" w:color="FFFFFF" w:themeColor="background1"/>
            </w:tcBorders>
            <w:hideMark/>
          </w:tcPr>
          <w:p w14:paraId="5D8F91EA"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Number of individuals assisted</w:t>
            </w:r>
          </w:p>
        </w:tc>
        <w:tc>
          <w:tcPr>
            <w:tcW w:w="936" w:type="pct"/>
            <w:gridSpan w:val="2"/>
            <w:tcBorders>
              <w:top w:val="single" w:sz="18" w:space="0" w:color="00B0B9"/>
              <w:bottom w:val="single" w:sz="4" w:space="0" w:color="FFFFFF" w:themeColor="background1"/>
            </w:tcBorders>
            <w:hideMark/>
          </w:tcPr>
          <w:p w14:paraId="67DD9FF0"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106,900</w:t>
            </w:r>
          </w:p>
        </w:tc>
        <w:tc>
          <w:tcPr>
            <w:tcW w:w="903" w:type="pct"/>
            <w:gridSpan w:val="2"/>
            <w:tcBorders>
              <w:top w:val="single" w:sz="18" w:space="0" w:color="00B0B9"/>
              <w:bottom w:val="single" w:sz="4" w:space="0" w:color="FFFFFF" w:themeColor="background1"/>
            </w:tcBorders>
            <w:hideMark/>
          </w:tcPr>
          <w:p w14:paraId="3C4DA38A"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105,208</w:t>
            </w:r>
          </w:p>
        </w:tc>
        <w:tc>
          <w:tcPr>
            <w:tcW w:w="699" w:type="pct"/>
            <w:tcBorders>
              <w:top w:val="single" w:sz="18" w:space="0" w:color="00B0B9"/>
              <w:bottom w:val="single" w:sz="4" w:space="0" w:color="FFFFFF" w:themeColor="background1"/>
            </w:tcBorders>
            <w:hideMark/>
          </w:tcPr>
          <w:p w14:paraId="0987A773"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112,244</w:t>
            </w:r>
          </w:p>
        </w:tc>
      </w:tr>
      <w:tr w:rsidR="0029429F" w:rsidRPr="00771C23" w14:paraId="1AA71ECC" w14:textId="77777777" w:rsidTr="00E117FD">
        <w:trPr>
          <w:cnfStyle w:val="000000010000" w:firstRow="0" w:lastRow="0" w:firstColumn="0" w:lastColumn="0" w:oddVBand="0" w:evenVBand="0" w:oddHBand="0" w:evenHBand="1" w:firstRowFirstColumn="0" w:firstRowLastColumn="0" w:lastRowFirstColumn="0" w:lastRowLastColumn="0"/>
        </w:trPr>
        <w:tc>
          <w:tcPr>
            <w:tcW w:w="5000" w:type="pct"/>
            <w:gridSpan w:val="6"/>
            <w:tcBorders>
              <w:top w:val="single" w:sz="4" w:space="0" w:color="FFFFFF" w:themeColor="background1"/>
              <w:bottom w:val="single" w:sz="18" w:space="0" w:color="00B0B9"/>
            </w:tcBorders>
            <w:hideMark/>
          </w:tcPr>
          <w:p w14:paraId="1FD071B6" w14:textId="77777777" w:rsidR="0029429F" w:rsidRPr="00771C23" w:rsidRDefault="0029429F" w:rsidP="00E117FD">
            <w:pPr>
              <w:spacing w:before="40" w:after="40"/>
              <w:rPr>
                <w:rFonts w:eastAsia="Times New Roman"/>
                <w:b/>
                <w:color w:val="000000" w:themeColor="text1"/>
                <w:spacing w:val="4"/>
                <w:sz w:val="20"/>
                <w:szCs w:val="20"/>
                <w:lang w:val="en-GB"/>
              </w:rPr>
            </w:pPr>
            <w:r w:rsidRPr="00771C23">
              <w:rPr>
                <w:rFonts w:eastAsia="Times New Roman"/>
                <w:b/>
                <w:color w:val="000000" w:themeColor="text1"/>
                <w:spacing w:val="4"/>
                <w:sz w:val="20"/>
                <w:szCs w:val="20"/>
                <w:lang w:val="en-GB"/>
              </w:rPr>
              <w:t>Volunteer Grants</w:t>
            </w:r>
          </w:p>
        </w:tc>
      </w:tr>
      <w:tr w:rsidR="0029429F" w:rsidRPr="00771C23" w14:paraId="1F2B1A82" w14:textId="77777777" w:rsidTr="00E117FD">
        <w:trPr>
          <w:cnfStyle w:val="000000100000" w:firstRow="0" w:lastRow="0" w:firstColumn="0" w:lastColumn="0" w:oddVBand="0" w:evenVBand="0" w:oddHBand="1" w:evenHBand="0" w:firstRowFirstColumn="0" w:firstRowLastColumn="0" w:lastRowFirstColumn="0" w:lastRowLastColumn="0"/>
        </w:trPr>
        <w:tc>
          <w:tcPr>
            <w:tcW w:w="2462" w:type="pct"/>
            <w:tcBorders>
              <w:top w:val="single" w:sz="18" w:space="0" w:color="00B0B9"/>
              <w:bottom w:val="single" w:sz="4" w:space="0" w:color="FFFFFF" w:themeColor="background1"/>
            </w:tcBorders>
            <w:hideMark/>
          </w:tcPr>
          <w:p w14:paraId="18553D1F"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Number of individuals assisted</w:t>
            </w:r>
          </w:p>
        </w:tc>
        <w:tc>
          <w:tcPr>
            <w:tcW w:w="936" w:type="pct"/>
            <w:gridSpan w:val="2"/>
            <w:tcBorders>
              <w:top w:val="single" w:sz="18" w:space="0" w:color="00B0B9"/>
              <w:bottom w:val="single" w:sz="4" w:space="0" w:color="FFFFFF" w:themeColor="background1"/>
            </w:tcBorders>
            <w:hideMark/>
          </w:tcPr>
          <w:p w14:paraId="19168CE8"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245,855</w:t>
            </w:r>
          </w:p>
        </w:tc>
        <w:tc>
          <w:tcPr>
            <w:tcW w:w="903" w:type="pct"/>
            <w:gridSpan w:val="2"/>
            <w:tcBorders>
              <w:top w:val="single" w:sz="18" w:space="0" w:color="00B0B9"/>
              <w:bottom w:val="single" w:sz="4" w:space="0" w:color="FFFFFF" w:themeColor="background1"/>
            </w:tcBorders>
            <w:hideMark/>
          </w:tcPr>
          <w:p w14:paraId="11284E11"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282,792</w:t>
            </w:r>
          </w:p>
        </w:tc>
        <w:tc>
          <w:tcPr>
            <w:tcW w:w="699" w:type="pct"/>
            <w:tcBorders>
              <w:top w:val="single" w:sz="18" w:space="0" w:color="00B0B9"/>
              <w:bottom w:val="single" w:sz="4" w:space="0" w:color="FFFFFF" w:themeColor="background1"/>
            </w:tcBorders>
            <w:hideMark/>
          </w:tcPr>
          <w:p w14:paraId="524794FA"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0</w:t>
            </w:r>
            <w:r w:rsidRPr="00771C23">
              <w:rPr>
                <w:rFonts w:eastAsia="Times New Roman" w:cs="Arial"/>
                <w:color w:val="000000" w:themeColor="text1"/>
                <w:spacing w:val="4"/>
                <w:sz w:val="20"/>
                <w:szCs w:val="20"/>
                <w:vertAlign w:val="superscript"/>
                <w:lang w:val="en-GB"/>
              </w:rPr>
              <w:t>g</w:t>
            </w:r>
          </w:p>
        </w:tc>
      </w:tr>
      <w:tr w:rsidR="0029429F" w:rsidRPr="00771C23" w14:paraId="6D73CE09" w14:textId="77777777" w:rsidTr="00E117FD">
        <w:trPr>
          <w:cnfStyle w:val="000000010000" w:firstRow="0" w:lastRow="0" w:firstColumn="0" w:lastColumn="0" w:oddVBand="0" w:evenVBand="0" w:oddHBand="0" w:evenHBand="1" w:firstRowFirstColumn="0" w:firstRowLastColumn="0" w:lastRowFirstColumn="0" w:lastRowLastColumn="0"/>
          <w:trHeight w:val="389"/>
        </w:trPr>
        <w:tc>
          <w:tcPr>
            <w:tcW w:w="5000" w:type="pct"/>
            <w:gridSpan w:val="6"/>
            <w:tcBorders>
              <w:top w:val="single" w:sz="4" w:space="0" w:color="FFFFFF" w:themeColor="background1"/>
              <w:bottom w:val="single" w:sz="18" w:space="0" w:color="00B0B9"/>
            </w:tcBorders>
            <w:hideMark/>
          </w:tcPr>
          <w:p w14:paraId="53A49EFA" w14:textId="77777777" w:rsidR="0029429F" w:rsidRPr="00771C23" w:rsidRDefault="0029429F" w:rsidP="00E117FD">
            <w:pPr>
              <w:spacing w:before="40" w:after="40"/>
              <w:rPr>
                <w:rFonts w:eastAsia="Times New Roman"/>
                <w:b/>
                <w:color w:val="000000" w:themeColor="text1"/>
                <w:spacing w:val="4"/>
                <w:sz w:val="20"/>
                <w:szCs w:val="17"/>
                <w:lang w:val="en-GB"/>
              </w:rPr>
            </w:pPr>
            <w:r w:rsidRPr="00771C23">
              <w:rPr>
                <w:rFonts w:eastAsia="Times New Roman"/>
                <w:b/>
                <w:color w:val="000000" w:themeColor="text1"/>
                <w:spacing w:val="4"/>
                <w:sz w:val="20"/>
                <w:szCs w:val="17"/>
                <w:lang w:val="en-GB"/>
              </w:rPr>
              <w:t>National Initiatives</w:t>
            </w:r>
          </w:p>
        </w:tc>
      </w:tr>
      <w:tr w:rsidR="0029429F" w:rsidRPr="00771C23" w14:paraId="7EB856AC" w14:textId="77777777" w:rsidTr="00E117FD">
        <w:trPr>
          <w:cnfStyle w:val="000000100000" w:firstRow="0" w:lastRow="0" w:firstColumn="0" w:lastColumn="0" w:oddVBand="0" w:evenVBand="0" w:oddHBand="1" w:evenHBand="0" w:firstRowFirstColumn="0" w:firstRowLastColumn="0" w:lastRowFirstColumn="0" w:lastRowLastColumn="0"/>
        </w:trPr>
        <w:tc>
          <w:tcPr>
            <w:tcW w:w="2466" w:type="pct"/>
            <w:gridSpan w:val="2"/>
            <w:tcBorders>
              <w:top w:val="single" w:sz="18" w:space="0" w:color="00B0B9"/>
              <w:bottom w:val="single" w:sz="4" w:space="0" w:color="FFFFFF" w:themeColor="background1"/>
            </w:tcBorders>
            <w:hideMark/>
          </w:tcPr>
          <w:p w14:paraId="0EB41AB8" w14:textId="77777777" w:rsidR="0029429F" w:rsidRPr="00771C23" w:rsidRDefault="0029429F" w:rsidP="00E117FD">
            <w:pPr>
              <w:spacing w:before="40" w:after="40"/>
              <w:rPr>
                <w:rFonts w:eastAsia="Times New Roman" w:cs="Arial"/>
                <w:color w:val="000000" w:themeColor="text1"/>
                <w:spacing w:val="4"/>
                <w:sz w:val="20"/>
                <w:szCs w:val="20"/>
                <w:vertAlign w:val="superscript"/>
                <w:lang w:val="en-GB"/>
              </w:rPr>
            </w:pPr>
            <w:r w:rsidRPr="00771C23">
              <w:rPr>
                <w:rFonts w:eastAsia="Times New Roman" w:cs="Arial"/>
                <w:color w:val="000000" w:themeColor="text1"/>
                <w:spacing w:val="4"/>
                <w:sz w:val="20"/>
                <w:szCs w:val="20"/>
                <w:lang w:val="en-GB"/>
              </w:rPr>
              <w:t>Number of contacts answered by 1800RESPECT—the National Sexual Assault, Domestic Family Violence Counselling Service (telephone and online)</w:t>
            </w:r>
            <w:r w:rsidRPr="00771C23">
              <w:rPr>
                <w:rFonts w:eastAsia="Times New Roman" w:cs="Arial"/>
                <w:color w:val="000000" w:themeColor="text1"/>
                <w:spacing w:val="4"/>
                <w:sz w:val="20"/>
                <w:szCs w:val="20"/>
                <w:vertAlign w:val="superscript"/>
                <w:lang w:val="en-GB"/>
              </w:rPr>
              <w:t>h</w:t>
            </w:r>
          </w:p>
        </w:tc>
        <w:tc>
          <w:tcPr>
            <w:tcW w:w="936" w:type="pct"/>
            <w:gridSpan w:val="2"/>
            <w:tcBorders>
              <w:top w:val="single" w:sz="18" w:space="0" w:color="00B0B9"/>
              <w:bottom w:val="single" w:sz="4" w:space="0" w:color="FFFFFF" w:themeColor="background1"/>
            </w:tcBorders>
            <w:hideMark/>
          </w:tcPr>
          <w:p w14:paraId="2E71CA9A" w14:textId="77777777" w:rsidR="0029429F" w:rsidRPr="00771C23" w:rsidRDefault="0029429F" w:rsidP="00E117FD">
            <w:pPr>
              <w:spacing w:before="40" w:after="40"/>
              <w:jc w:val="right"/>
              <w:rPr>
                <w:rFonts w:eastAsia="Times New Roman" w:cs="Arial"/>
                <w:color w:val="000000" w:themeColor="text1"/>
                <w:spacing w:val="4"/>
                <w:sz w:val="20"/>
                <w:szCs w:val="17"/>
                <w:lang w:val="en-GB"/>
              </w:rPr>
            </w:pPr>
            <w:r w:rsidRPr="00771C23">
              <w:rPr>
                <w:rFonts w:eastAsia="Times New Roman" w:cs="Arial"/>
                <w:color w:val="000000" w:themeColor="text1"/>
                <w:spacing w:val="4"/>
                <w:sz w:val="20"/>
                <w:szCs w:val="17"/>
                <w:lang w:val="en-GB"/>
              </w:rPr>
              <w:t>267,869</w:t>
            </w:r>
            <w:r w:rsidRPr="00771C23">
              <w:rPr>
                <w:rFonts w:eastAsia="Times New Roman" w:cs="Arial"/>
                <w:color w:val="000000" w:themeColor="text1"/>
                <w:spacing w:val="4"/>
                <w:sz w:val="20"/>
                <w:szCs w:val="20"/>
                <w:vertAlign w:val="superscript"/>
                <w:lang w:val="en-GB"/>
              </w:rPr>
              <w:t>h</w:t>
            </w:r>
          </w:p>
        </w:tc>
        <w:tc>
          <w:tcPr>
            <w:tcW w:w="903" w:type="pct"/>
            <w:tcBorders>
              <w:top w:val="single" w:sz="18" w:space="0" w:color="00B0B9"/>
              <w:bottom w:val="single" w:sz="4" w:space="0" w:color="FFFFFF" w:themeColor="background1"/>
            </w:tcBorders>
            <w:hideMark/>
          </w:tcPr>
          <w:p w14:paraId="5E7653E7" w14:textId="77777777" w:rsidR="0029429F" w:rsidRPr="00771C23" w:rsidRDefault="0029429F" w:rsidP="00E117FD">
            <w:pPr>
              <w:spacing w:before="40" w:after="40"/>
              <w:jc w:val="right"/>
              <w:rPr>
                <w:rFonts w:eastAsia="Times New Roman" w:cs="Arial"/>
                <w:color w:val="000000" w:themeColor="text1"/>
                <w:spacing w:val="4"/>
                <w:sz w:val="20"/>
                <w:szCs w:val="17"/>
                <w:lang w:val="en-GB"/>
              </w:rPr>
            </w:pPr>
            <w:r w:rsidRPr="00771C23">
              <w:rPr>
                <w:rFonts w:eastAsia="Times New Roman" w:cs="Arial"/>
                <w:color w:val="000000" w:themeColor="text1"/>
                <w:spacing w:val="4"/>
                <w:sz w:val="20"/>
                <w:szCs w:val="17"/>
                <w:lang w:val="en-GB"/>
              </w:rPr>
              <w:t>163,551</w:t>
            </w:r>
          </w:p>
        </w:tc>
        <w:tc>
          <w:tcPr>
            <w:tcW w:w="695" w:type="pct"/>
            <w:tcBorders>
              <w:top w:val="single" w:sz="18" w:space="0" w:color="00B0B9"/>
              <w:bottom w:val="single" w:sz="4" w:space="0" w:color="FFFFFF" w:themeColor="background1"/>
            </w:tcBorders>
            <w:hideMark/>
          </w:tcPr>
          <w:p w14:paraId="7C7DBC93" w14:textId="77777777" w:rsidR="0029429F" w:rsidRPr="00771C23" w:rsidRDefault="0029429F" w:rsidP="00E117FD">
            <w:pPr>
              <w:spacing w:before="40" w:after="40"/>
              <w:jc w:val="right"/>
              <w:rPr>
                <w:rFonts w:eastAsia="Times New Roman" w:cs="Arial"/>
                <w:color w:val="000000" w:themeColor="text1"/>
                <w:spacing w:val="4"/>
                <w:sz w:val="20"/>
                <w:szCs w:val="17"/>
                <w:lang w:val="en-GB"/>
              </w:rPr>
            </w:pPr>
            <w:r w:rsidRPr="00771C23">
              <w:rPr>
                <w:rFonts w:eastAsia="Times New Roman" w:cs="Arial"/>
                <w:color w:val="000000" w:themeColor="text1"/>
                <w:spacing w:val="4"/>
                <w:sz w:val="20"/>
                <w:szCs w:val="17"/>
                <w:lang w:val="en-GB"/>
              </w:rPr>
              <w:t>98,466</w:t>
            </w:r>
          </w:p>
        </w:tc>
      </w:tr>
      <w:tr w:rsidR="0029429F" w:rsidRPr="00771C23" w14:paraId="7B339629" w14:textId="77777777" w:rsidTr="00E117FD">
        <w:trPr>
          <w:cnfStyle w:val="000000010000" w:firstRow="0" w:lastRow="0" w:firstColumn="0" w:lastColumn="0" w:oddVBand="0" w:evenVBand="0" w:oddHBand="0" w:evenHBand="1" w:firstRowFirstColumn="0" w:firstRowLastColumn="0" w:lastRowFirstColumn="0" w:lastRowLastColumn="0"/>
          <w:trHeight w:val="317"/>
        </w:trPr>
        <w:tc>
          <w:tcPr>
            <w:tcW w:w="5000" w:type="pct"/>
            <w:gridSpan w:val="6"/>
            <w:tcBorders>
              <w:top w:val="single" w:sz="4" w:space="0" w:color="FFFFFF" w:themeColor="background1"/>
              <w:bottom w:val="single" w:sz="18" w:space="0" w:color="00B0B9"/>
            </w:tcBorders>
            <w:hideMark/>
          </w:tcPr>
          <w:p w14:paraId="00E20DAF" w14:textId="77777777" w:rsidR="0029429F" w:rsidRPr="00771C23" w:rsidRDefault="0029429F" w:rsidP="00E117FD">
            <w:pPr>
              <w:keepNext/>
              <w:keepLines/>
              <w:spacing w:before="40" w:after="40"/>
              <w:rPr>
                <w:rFonts w:eastAsia="Times New Roman" w:cs="Times New Roman"/>
                <w:b/>
                <w:color w:val="000000" w:themeColor="text1"/>
                <w:sz w:val="20"/>
                <w:szCs w:val="20"/>
              </w:rPr>
            </w:pPr>
            <w:r w:rsidRPr="00771C23">
              <w:rPr>
                <w:rFonts w:eastAsia="Times New Roman" w:cs="Times New Roman"/>
                <w:b/>
                <w:color w:val="000000" w:themeColor="text1"/>
                <w:sz w:val="20"/>
                <w:szCs w:val="20"/>
              </w:rPr>
              <w:t>Paid Parental Leave</w:t>
            </w:r>
          </w:p>
        </w:tc>
      </w:tr>
      <w:tr w:rsidR="0029429F" w:rsidRPr="00771C23" w14:paraId="055CE0CE" w14:textId="77777777" w:rsidTr="00E117FD">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18" w:space="0" w:color="00B0B9"/>
            </w:tcBorders>
            <w:hideMark/>
          </w:tcPr>
          <w:p w14:paraId="0514ADD1" w14:textId="77777777" w:rsidR="0029429F" w:rsidRPr="00771C23" w:rsidRDefault="0029429F" w:rsidP="00E117FD">
            <w:pPr>
              <w:keepNext/>
              <w:keepLines/>
              <w:spacing w:before="40" w:after="40"/>
              <w:rPr>
                <w:rFonts w:eastAsia="Times New Roman" w:cs="Arial"/>
                <w:color w:val="000000" w:themeColor="text1"/>
                <w:spacing w:val="4"/>
                <w:sz w:val="20"/>
                <w:szCs w:val="17"/>
                <w:lang w:val="en-GB"/>
              </w:rPr>
            </w:pPr>
            <w:r w:rsidRPr="00771C23">
              <w:rPr>
                <w:rFonts w:eastAsia="Times New Roman" w:cs="Arial"/>
                <w:color w:val="000000" w:themeColor="text1"/>
                <w:spacing w:val="4"/>
                <w:sz w:val="20"/>
                <w:szCs w:val="17"/>
                <w:lang w:val="en-GB"/>
              </w:rPr>
              <w:t xml:space="preserve">Number of individuals </w:t>
            </w:r>
            <w:proofErr w:type="spellStart"/>
            <w:r w:rsidRPr="00771C23">
              <w:rPr>
                <w:rFonts w:eastAsia="Times New Roman" w:cs="Arial"/>
                <w:color w:val="000000" w:themeColor="text1"/>
                <w:spacing w:val="4"/>
                <w:sz w:val="20"/>
                <w:szCs w:val="17"/>
                <w:lang w:val="en-GB"/>
              </w:rPr>
              <w:t>assisted</w:t>
            </w:r>
            <w:r w:rsidRPr="00771C23">
              <w:rPr>
                <w:rFonts w:eastAsia="Times New Roman" w:cs="Arial"/>
                <w:color w:val="000000" w:themeColor="text1"/>
                <w:spacing w:val="4"/>
                <w:sz w:val="20"/>
                <w:szCs w:val="17"/>
                <w:vertAlign w:val="superscript"/>
                <w:lang w:val="en-GB"/>
              </w:rPr>
              <w:t>i</w:t>
            </w:r>
            <w:proofErr w:type="spellEnd"/>
          </w:p>
        </w:tc>
      </w:tr>
      <w:tr w:rsidR="0029429F" w:rsidRPr="00771C23" w14:paraId="6573DB5D" w14:textId="77777777" w:rsidTr="00E117FD">
        <w:trPr>
          <w:cnfStyle w:val="000000010000" w:firstRow="0" w:lastRow="0" w:firstColumn="0" w:lastColumn="0" w:oddVBand="0" w:evenVBand="0" w:oddHBand="0" w:evenHBand="1" w:firstRowFirstColumn="0" w:firstRowLastColumn="0" w:lastRowFirstColumn="0" w:lastRowLastColumn="0"/>
        </w:trPr>
        <w:tc>
          <w:tcPr>
            <w:tcW w:w="2466" w:type="pct"/>
            <w:gridSpan w:val="2"/>
            <w:hideMark/>
          </w:tcPr>
          <w:p w14:paraId="5728E2F3" w14:textId="77777777" w:rsidR="0029429F" w:rsidRPr="00771C23" w:rsidRDefault="0029429F" w:rsidP="00E117FD">
            <w:pPr>
              <w:keepNext/>
              <w:keepLines/>
              <w:numPr>
                <w:ilvl w:val="0"/>
                <w:numId w:val="91"/>
              </w:numPr>
              <w:spacing w:before="40" w:after="40"/>
              <w:ind w:left="318"/>
              <w:rPr>
                <w:rFonts w:eastAsia="Times New Roman"/>
                <w:color w:val="000000" w:themeColor="text1"/>
                <w:spacing w:val="4"/>
                <w:sz w:val="20"/>
                <w:szCs w:val="20"/>
                <w:lang w:val="en-GB"/>
              </w:rPr>
            </w:pPr>
            <w:r w:rsidRPr="00771C23">
              <w:rPr>
                <w:rFonts w:eastAsia="Times New Roman"/>
                <w:color w:val="000000" w:themeColor="text1"/>
                <w:spacing w:val="4"/>
                <w:sz w:val="20"/>
                <w:szCs w:val="20"/>
                <w:lang w:val="en-GB"/>
              </w:rPr>
              <w:t>Parental Leave Pay</w:t>
            </w:r>
          </w:p>
        </w:tc>
        <w:tc>
          <w:tcPr>
            <w:tcW w:w="936" w:type="pct"/>
            <w:gridSpan w:val="2"/>
            <w:hideMark/>
          </w:tcPr>
          <w:p w14:paraId="5697733F" w14:textId="77777777" w:rsidR="0029429F" w:rsidRPr="00771C23" w:rsidRDefault="0029429F" w:rsidP="00E117FD">
            <w:pPr>
              <w:spacing w:before="40" w:after="40"/>
              <w:jc w:val="right"/>
              <w:rPr>
                <w:rFonts w:eastAsia="Times New Roman"/>
                <w:color w:val="000000" w:themeColor="text1"/>
                <w:spacing w:val="4"/>
                <w:sz w:val="20"/>
                <w:szCs w:val="17"/>
                <w:lang w:val="en-GB"/>
              </w:rPr>
            </w:pPr>
            <w:r w:rsidRPr="00771C23">
              <w:rPr>
                <w:rFonts w:eastAsia="Times New Roman"/>
                <w:color w:val="000000" w:themeColor="text1"/>
                <w:spacing w:val="4"/>
                <w:sz w:val="20"/>
                <w:szCs w:val="17"/>
                <w:lang w:val="en-GB"/>
              </w:rPr>
              <w:t>171,712</w:t>
            </w:r>
          </w:p>
        </w:tc>
        <w:tc>
          <w:tcPr>
            <w:tcW w:w="903" w:type="pct"/>
            <w:hideMark/>
          </w:tcPr>
          <w:p w14:paraId="0B2D121B" w14:textId="77777777" w:rsidR="0029429F" w:rsidRPr="00771C23" w:rsidRDefault="0029429F" w:rsidP="00E117FD">
            <w:pPr>
              <w:spacing w:before="40" w:after="40"/>
              <w:jc w:val="right"/>
              <w:rPr>
                <w:rFonts w:eastAsia="Times New Roman"/>
                <w:color w:val="000000" w:themeColor="text1"/>
                <w:spacing w:val="4"/>
                <w:sz w:val="20"/>
                <w:szCs w:val="17"/>
                <w:lang w:val="en-GB"/>
              </w:rPr>
            </w:pPr>
            <w:r w:rsidRPr="00771C23">
              <w:rPr>
                <w:rFonts w:eastAsia="Times New Roman"/>
                <w:color w:val="000000" w:themeColor="text1"/>
                <w:spacing w:val="4"/>
                <w:sz w:val="20"/>
                <w:szCs w:val="17"/>
                <w:lang w:val="en-GB"/>
              </w:rPr>
              <w:t>178,758</w:t>
            </w:r>
          </w:p>
        </w:tc>
        <w:tc>
          <w:tcPr>
            <w:tcW w:w="695" w:type="pct"/>
            <w:hideMark/>
          </w:tcPr>
          <w:p w14:paraId="5B1C3D98" w14:textId="77777777" w:rsidR="0029429F" w:rsidRPr="00771C23" w:rsidRDefault="0029429F" w:rsidP="00E117FD">
            <w:pPr>
              <w:spacing w:before="40" w:after="40"/>
              <w:jc w:val="right"/>
              <w:rPr>
                <w:rFonts w:eastAsia="Times New Roman"/>
                <w:color w:val="000000" w:themeColor="text1"/>
                <w:spacing w:val="4"/>
                <w:sz w:val="20"/>
                <w:szCs w:val="17"/>
                <w:lang w:val="en-GB"/>
              </w:rPr>
            </w:pPr>
            <w:r w:rsidRPr="00771C23">
              <w:rPr>
                <w:rFonts w:eastAsia="Times New Roman"/>
                <w:color w:val="000000" w:themeColor="text1"/>
                <w:spacing w:val="4"/>
                <w:sz w:val="20"/>
                <w:szCs w:val="17"/>
                <w:lang w:val="en-GB"/>
              </w:rPr>
              <w:t>159,372</w:t>
            </w:r>
          </w:p>
        </w:tc>
      </w:tr>
      <w:tr w:rsidR="0029429F" w:rsidRPr="00771C23" w14:paraId="4B69686E" w14:textId="77777777" w:rsidTr="00E117FD">
        <w:trPr>
          <w:cnfStyle w:val="000000100000" w:firstRow="0" w:lastRow="0" w:firstColumn="0" w:lastColumn="0" w:oddVBand="0" w:evenVBand="0" w:oddHBand="1" w:evenHBand="0" w:firstRowFirstColumn="0" w:firstRowLastColumn="0" w:lastRowFirstColumn="0" w:lastRowLastColumn="0"/>
        </w:trPr>
        <w:tc>
          <w:tcPr>
            <w:tcW w:w="2466" w:type="pct"/>
            <w:gridSpan w:val="2"/>
            <w:hideMark/>
          </w:tcPr>
          <w:p w14:paraId="28B37540" w14:textId="77777777" w:rsidR="0029429F" w:rsidRPr="00771C23" w:rsidRDefault="0029429F" w:rsidP="00E117FD">
            <w:pPr>
              <w:keepNext/>
              <w:keepLines/>
              <w:numPr>
                <w:ilvl w:val="0"/>
                <w:numId w:val="91"/>
              </w:numPr>
              <w:spacing w:before="40" w:after="40"/>
              <w:ind w:left="318"/>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Dad and Partner Pay</w:t>
            </w:r>
          </w:p>
        </w:tc>
        <w:tc>
          <w:tcPr>
            <w:tcW w:w="936" w:type="pct"/>
            <w:gridSpan w:val="2"/>
            <w:hideMark/>
          </w:tcPr>
          <w:p w14:paraId="07A5D266" w14:textId="77777777" w:rsidR="0029429F" w:rsidRPr="00771C23" w:rsidRDefault="0029429F" w:rsidP="00E117FD">
            <w:pPr>
              <w:spacing w:before="40" w:after="40"/>
              <w:jc w:val="right"/>
              <w:rPr>
                <w:rFonts w:eastAsia="Times New Roman" w:cs="Arial"/>
                <w:color w:val="000000" w:themeColor="text1"/>
                <w:spacing w:val="4"/>
                <w:sz w:val="20"/>
                <w:szCs w:val="17"/>
                <w:lang w:val="en-GB"/>
              </w:rPr>
            </w:pPr>
            <w:r w:rsidRPr="00771C23">
              <w:rPr>
                <w:rFonts w:eastAsia="Times New Roman" w:cs="Arial"/>
                <w:color w:val="000000" w:themeColor="text1"/>
                <w:spacing w:val="4"/>
                <w:sz w:val="20"/>
                <w:szCs w:val="17"/>
                <w:lang w:val="en-GB"/>
              </w:rPr>
              <w:t>92,343</w:t>
            </w:r>
          </w:p>
        </w:tc>
        <w:tc>
          <w:tcPr>
            <w:tcW w:w="903" w:type="pct"/>
            <w:hideMark/>
          </w:tcPr>
          <w:p w14:paraId="7F8544BB" w14:textId="77777777" w:rsidR="0029429F" w:rsidRPr="00771C23" w:rsidRDefault="0029429F" w:rsidP="00E117FD">
            <w:pPr>
              <w:spacing w:before="40" w:after="40"/>
              <w:jc w:val="right"/>
              <w:rPr>
                <w:rFonts w:eastAsia="Times New Roman" w:cs="Arial"/>
                <w:color w:val="000000" w:themeColor="text1"/>
                <w:spacing w:val="4"/>
                <w:sz w:val="20"/>
                <w:szCs w:val="17"/>
                <w:lang w:val="en-GB"/>
              </w:rPr>
            </w:pPr>
            <w:r w:rsidRPr="00771C23">
              <w:rPr>
                <w:rFonts w:eastAsia="Times New Roman" w:cs="Arial"/>
                <w:color w:val="000000" w:themeColor="text1"/>
                <w:spacing w:val="4"/>
                <w:sz w:val="20"/>
                <w:szCs w:val="17"/>
                <w:lang w:val="en-GB"/>
              </w:rPr>
              <w:t>91,762</w:t>
            </w:r>
          </w:p>
        </w:tc>
        <w:tc>
          <w:tcPr>
            <w:tcW w:w="695" w:type="pct"/>
            <w:hideMark/>
          </w:tcPr>
          <w:p w14:paraId="36AAA42F" w14:textId="77777777" w:rsidR="0029429F" w:rsidRPr="00771C23" w:rsidRDefault="0029429F" w:rsidP="00E117FD">
            <w:pPr>
              <w:spacing w:before="40" w:after="40"/>
              <w:jc w:val="right"/>
              <w:rPr>
                <w:rFonts w:eastAsia="Times New Roman" w:cs="Arial"/>
                <w:color w:val="000000" w:themeColor="text1"/>
                <w:spacing w:val="4"/>
                <w:sz w:val="20"/>
                <w:szCs w:val="17"/>
                <w:lang w:val="en-GB"/>
              </w:rPr>
            </w:pPr>
            <w:r w:rsidRPr="00771C23">
              <w:rPr>
                <w:rFonts w:eastAsia="Times New Roman" w:cs="Arial"/>
                <w:color w:val="000000" w:themeColor="text1"/>
                <w:spacing w:val="4"/>
                <w:sz w:val="20"/>
                <w:szCs w:val="17"/>
                <w:lang w:val="en-GB"/>
              </w:rPr>
              <w:t>81,882</w:t>
            </w:r>
          </w:p>
        </w:tc>
      </w:tr>
    </w:tbl>
    <w:p w14:paraId="25D81722" w14:textId="77777777" w:rsidR="0029429F" w:rsidRPr="00771C23" w:rsidRDefault="0029429F" w:rsidP="0029429F">
      <w:pPr>
        <w:spacing w:after="0" w:line="240" w:lineRule="auto"/>
        <w:ind w:left="284" w:hanging="284"/>
        <w:rPr>
          <w:rFonts w:cs="Arial"/>
          <w:sz w:val="16"/>
          <w:szCs w:val="16"/>
        </w:rPr>
      </w:pPr>
    </w:p>
    <w:p w14:paraId="6DFC3EA7" w14:textId="77777777" w:rsidR="0029429F" w:rsidRPr="00771C23" w:rsidRDefault="0029429F" w:rsidP="0029429F">
      <w:pPr>
        <w:spacing w:after="0" w:line="240" w:lineRule="auto"/>
        <w:ind w:left="284" w:hanging="284"/>
        <w:rPr>
          <w:rFonts w:eastAsia="Arial" w:cs="Arial"/>
          <w:sz w:val="16"/>
          <w:szCs w:val="16"/>
        </w:rPr>
      </w:pPr>
      <w:proofErr w:type="spellStart"/>
      <w:r w:rsidRPr="00771C23">
        <w:rPr>
          <w:rFonts w:cs="Arial"/>
          <w:sz w:val="16"/>
          <w:szCs w:val="16"/>
        </w:rPr>
        <w:t>a</w:t>
      </w:r>
      <w:proofErr w:type="spellEnd"/>
      <w:r w:rsidRPr="00771C23">
        <w:rPr>
          <w:rFonts w:cs="Arial"/>
          <w:sz w:val="16"/>
          <w:szCs w:val="16"/>
        </w:rPr>
        <w:tab/>
      </w:r>
      <w:r w:rsidRPr="00771C23">
        <w:rPr>
          <w:rFonts w:eastAsia="Arial" w:cs="Arial"/>
          <w:sz w:val="16"/>
          <w:szCs w:val="16"/>
        </w:rPr>
        <w:t>The decrease in data reported for 2019</w:t>
      </w:r>
      <w:r>
        <w:rPr>
          <w:rFonts w:eastAsia="Arial" w:cs="Arial"/>
          <w:sz w:val="16"/>
          <w:szCs w:val="16"/>
        </w:rPr>
        <w:t>–</w:t>
      </w:r>
      <w:r w:rsidRPr="00771C23">
        <w:rPr>
          <w:rFonts w:eastAsia="Arial" w:cs="Arial"/>
          <w:sz w:val="16"/>
          <w:szCs w:val="16"/>
        </w:rPr>
        <w:t>20 is due to the department undertaking a data quality exercise that resulted in service providers reporting fewer unidentified group clients during the 2019</w:t>
      </w:r>
      <w:r>
        <w:rPr>
          <w:rFonts w:eastAsia="Arial" w:cs="Arial"/>
          <w:sz w:val="16"/>
          <w:szCs w:val="16"/>
        </w:rPr>
        <w:t>–</w:t>
      </w:r>
      <w:r w:rsidRPr="00771C23">
        <w:rPr>
          <w:rFonts w:eastAsia="Arial" w:cs="Arial"/>
          <w:sz w:val="16"/>
          <w:szCs w:val="16"/>
        </w:rPr>
        <w:t>20 period. While there has been no policy change to service delivery and numbers of individual clients and sessions is consistent with previous years, the number of individuals reported as unidentified group clients has decreased</w:t>
      </w:r>
      <w:r>
        <w:rPr>
          <w:rFonts w:eastAsia="Arial" w:cs="Arial"/>
          <w:sz w:val="16"/>
          <w:szCs w:val="16"/>
        </w:rPr>
        <w:t>.</w:t>
      </w:r>
    </w:p>
    <w:p w14:paraId="00FC7B91" w14:textId="77777777" w:rsidR="0029429F" w:rsidRPr="00771C23" w:rsidRDefault="0029429F" w:rsidP="0029429F">
      <w:pPr>
        <w:spacing w:after="0" w:line="240" w:lineRule="auto"/>
        <w:ind w:left="284" w:hanging="284"/>
        <w:rPr>
          <w:rFonts w:cs="Arial"/>
          <w:sz w:val="16"/>
          <w:szCs w:val="16"/>
        </w:rPr>
      </w:pPr>
      <w:r w:rsidRPr="00771C23">
        <w:rPr>
          <w:rFonts w:cs="Arial"/>
          <w:sz w:val="16"/>
          <w:szCs w:val="16"/>
        </w:rPr>
        <w:t>b</w:t>
      </w:r>
      <w:r w:rsidRPr="00771C23">
        <w:rPr>
          <w:rFonts w:cs="Arial"/>
          <w:sz w:val="16"/>
          <w:szCs w:val="16"/>
        </w:rPr>
        <w:tab/>
        <w:t>Income Management and Cashless Debit Card data is a point in time snapshot as at 26 June 2020.</w:t>
      </w:r>
    </w:p>
    <w:p w14:paraId="711D168E" w14:textId="77777777" w:rsidR="0029429F" w:rsidRPr="00771C23" w:rsidRDefault="0029429F" w:rsidP="0029429F">
      <w:pPr>
        <w:spacing w:after="0" w:line="240" w:lineRule="auto"/>
        <w:ind w:left="284" w:hanging="284"/>
        <w:rPr>
          <w:rFonts w:cs="Arial"/>
          <w:sz w:val="16"/>
          <w:szCs w:val="16"/>
        </w:rPr>
      </w:pPr>
      <w:r w:rsidRPr="00771C23">
        <w:rPr>
          <w:rFonts w:cs="Arial"/>
          <w:sz w:val="16"/>
          <w:szCs w:val="16"/>
        </w:rPr>
        <w:lastRenderedPageBreak/>
        <w:t>c</w:t>
      </w:r>
      <w:r w:rsidRPr="00771C23">
        <w:rPr>
          <w:rFonts w:cs="Arial"/>
          <w:sz w:val="16"/>
          <w:szCs w:val="16"/>
        </w:rPr>
        <w:tab/>
        <w:t>Numbers less than five have been withheld for privacy reasons. Numbers have not been provided (n/p) to ensure figures less than five cannot be derived from totals.</w:t>
      </w:r>
    </w:p>
    <w:p w14:paraId="03F73E3A" w14:textId="77777777" w:rsidR="0029429F" w:rsidRPr="00771C23" w:rsidRDefault="0029429F" w:rsidP="0029429F">
      <w:pPr>
        <w:spacing w:after="0" w:line="240" w:lineRule="auto"/>
        <w:ind w:left="284" w:hanging="284"/>
        <w:rPr>
          <w:rFonts w:cs="Arial"/>
          <w:sz w:val="16"/>
          <w:szCs w:val="16"/>
        </w:rPr>
      </w:pPr>
      <w:r w:rsidRPr="00771C23">
        <w:rPr>
          <w:rFonts w:cs="Arial"/>
          <w:sz w:val="16"/>
          <w:szCs w:val="16"/>
        </w:rPr>
        <w:t>d</w:t>
      </w:r>
      <w:r w:rsidRPr="00771C23">
        <w:rPr>
          <w:rFonts w:cs="Arial"/>
          <w:sz w:val="16"/>
          <w:szCs w:val="16"/>
        </w:rPr>
        <w:tab/>
        <w:t>Strong and Resilient Communities Activity commenced on 1 April 2018.</w:t>
      </w:r>
    </w:p>
    <w:p w14:paraId="3F1AE0A8" w14:textId="77777777" w:rsidR="0029429F" w:rsidRPr="00771C23" w:rsidRDefault="0029429F" w:rsidP="0029429F">
      <w:pPr>
        <w:spacing w:after="0" w:line="240" w:lineRule="auto"/>
        <w:ind w:left="284" w:hanging="284"/>
        <w:rPr>
          <w:rFonts w:cs="Arial"/>
          <w:sz w:val="16"/>
          <w:szCs w:val="16"/>
        </w:rPr>
      </w:pPr>
      <w:r w:rsidRPr="00771C23">
        <w:rPr>
          <w:rFonts w:cs="Arial"/>
          <w:sz w:val="16"/>
          <w:szCs w:val="16"/>
        </w:rPr>
        <w:t>e</w:t>
      </w:r>
      <w:r w:rsidRPr="00771C23">
        <w:rPr>
          <w:rFonts w:cs="Arial"/>
          <w:sz w:val="16"/>
          <w:szCs w:val="16"/>
        </w:rPr>
        <w:tab/>
        <w:t>Data relates to Digital Literacy for Older Australians and Strong and Resilient Communities Activity.  Digital Literacy for Older Australians started providing services in 2017</w:t>
      </w:r>
      <w:r w:rsidRPr="00771C23">
        <w:rPr>
          <w:rFonts w:eastAsia="Times New Roman"/>
          <w:sz w:val="16"/>
          <w:szCs w:val="16"/>
        </w:rPr>
        <w:t>–</w:t>
      </w:r>
      <w:r w:rsidRPr="00771C23">
        <w:rPr>
          <w:rFonts w:cs="Arial"/>
          <w:sz w:val="16"/>
          <w:szCs w:val="16"/>
        </w:rPr>
        <w:t>18, was fully implemented in 2018–19, and expanded reach of its network in 2019–20 resulting in an increased number of individuals assisted. Volunteer Management Activity became a separate funding stream on 1 January 2018 and is now reported separately.</w:t>
      </w:r>
    </w:p>
    <w:p w14:paraId="05295F9B" w14:textId="77777777" w:rsidR="0029429F" w:rsidRPr="00771C23" w:rsidRDefault="0029429F" w:rsidP="0029429F">
      <w:pPr>
        <w:spacing w:before="160" w:after="60" w:line="240" w:lineRule="auto"/>
        <w:ind w:left="284" w:hanging="284"/>
        <w:contextualSpacing/>
        <w:rPr>
          <w:rFonts w:eastAsia="Arial" w:cs="Arial"/>
          <w:sz w:val="16"/>
          <w:szCs w:val="16"/>
        </w:rPr>
      </w:pPr>
      <w:r w:rsidRPr="00771C23">
        <w:rPr>
          <w:rFonts w:cs="Arial"/>
          <w:sz w:val="16"/>
          <w:szCs w:val="16"/>
        </w:rPr>
        <w:t>f</w:t>
      </w:r>
      <w:r w:rsidRPr="00771C23">
        <w:rPr>
          <w:rFonts w:cs="Arial"/>
          <w:sz w:val="16"/>
          <w:szCs w:val="16"/>
        </w:rPr>
        <w:tab/>
      </w:r>
      <w:r w:rsidRPr="00771C23">
        <w:rPr>
          <w:rFonts w:eastAsia="Arial" w:cs="Arial"/>
          <w:sz w:val="16"/>
          <w:szCs w:val="16"/>
        </w:rPr>
        <w:t>Data consistency and quality continues to improve over time as providers get used to using the Data Exchange.</w:t>
      </w:r>
    </w:p>
    <w:p w14:paraId="1F45773B" w14:textId="77777777" w:rsidR="0029429F" w:rsidRPr="00771C23" w:rsidRDefault="0029429F" w:rsidP="0029429F">
      <w:pPr>
        <w:spacing w:before="160" w:after="60" w:line="240" w:lineRule="auto"/>
        <w:ind w:left="284" w:hanging="284"/>
        <w:contextualSpacing/>
        <w:rPr>
          <w:rFonts w:cs="Arial"/>
          <w:sz w:val="16"/>
          <w:szCs w:val="16"/>
        </w:rPr>
      </w:pPr>
      <w:r w:rsidRPr="00771C23">
        <w:rPr>
          <w:rFonts w:cs="Arial"/>
          <w:sz w:val="16"/>
          <w:szCs w:val="16"/>
        </w:rPr>
        <w:t>g</w:t>
      </w:r>
      <w:r w:rsidRPr="00771C23">
        <w:rPr>
          <w:rFonts w:cs="Arial"/>
          <w:sz w:val="16"/>
          <w:szCs w:val="16"/>
        </w:rPr>
        <w:tab/>
        <w:t>As 2017–18 Volunteer Grants funds were deferred to support a combined round in 2018–19, there was no selection round in 2017–18.</w:t>
      </w:r>
    </w:p>
    <w:p w14:paraId="46FBD592" w14:textId="77777777" w:rsidR="0029429F" w:rsidRPr="00771C23" w:rsidRDefault="0029429F" w:rsidP="0029429F">
      <w:pPr>
        <w:spacing w:before="160" w:after="60" w:line="240" w:lineRule="auto"/>
        <w:ind w:left="284" w:hanging="284"/>
        <w:contextualSpacing/>
        <w:rPr>
          <w:rFonts w:cs="Arial"/>
          <w:sz w:val="16"/>
          <w:szCs w:val="16"/>
        </w:rPr>
      </w:pPr>
      <w:r w:rsidRPr="00771C23">
        <w:rPr>
          <w:rFonts w:cs="Arial"/>
          <w:sz w:val="16"/>
          <w:szCs w:val="16"/>
        </w:rPr>
        <w:t>h</w:t>
      </w:r>
      <w:r w:rsidRPr="00771C23">
        <w:rPr>
          <w:rFonts w:cs="Arial"/>
          <w:sz w:val="16"/>
          <w:szCs w:val="16"/>
        </w:rPr>
        <w:tab/>
        <w:t>These numbers include every contact to the service, including hang ups, pranks and wrong numbers</w:t>
      </w:r>
      <w:r>
        <w:rPr>
          <w:rFonts w:cs="Arial"/>
          <w:sz w:val="16"/>
          <w:szCs w:val="16"/>
        </w:rPr>
        <w:t>.</w:t>
      </w:r>
    </w:p>
    <w:p w14:paraId="463D124A" w14:textId="77777777" w:rsidR="0029429F" w:rsidRPr="00771C23" w:rsidRDefault="0029429F" w:rsidP="0029429F">
      <w:pPr>
        <w:spacing w:before="160" w:after="60" w:line="240" w:lineRule="auto"/>
        <w:ind w:left="284" w:hanging="284"/>
        <w:contextualSpacing/>
        <w:rPr>
          <w:rFonts w:cs="Arial"/>
          <w:sz w:val="16"/>
          <w:szCs w:val="16"/>
        </w:rPr>
      </w:pPr>
      <w:proofErr w:type="spellStart"/>
      <w:r w:rsidRPr="003A047F">
        <w:rPr>
          <w:rFonts w:cs="Arial"/>
          <w:sz w:val="16"/>
          <w:szCs w:val="16"/>
        </w:rPr>
        <w:t>i</w:t>
      </w:r>
      <w:proofErr w:type="spellEnd"/>
      <w:r w:rsidRPr="00771C23">
        <w:rPr>
          <w:rFonts w:cs="Arial"/>
          <w:sz w:val="16"/>
          <w:szCs w:val="16"/>
        </w:rPr>
        <w:t xml:space="preserve"> </w:t>
      </w:r>
      <w:r w:rsidRPr="00771C23">
        <w:rPr>
          <w:rFonts w:cs="Arial"/>
          <w:sz w:val="16"/>
          <w:szCs w:val="16"/>
        </w:rPr>
        <w:tab/>
        <w:t>For Parental Leave Pay this is the number of individuals and families who started receiving payment in the financial year. For Dad and Partner Pay this is the number of individuals and families who received payment in the financial year.</w:t>
      </w:r>
    </w:p>
    <w:p w14:paraId="2FF368F7" w14:textId="77777777" w:rsidR="0029429F" w:rsidRPr="00771C23" w:rsidRDefault="0029429F" w:rsidP="0029429F">
      <w:pPr>
        <w:rPr>
          <w:sz w:val="20"/>
          <w:szCs w:val="20"/>
        </w:rPr>
      </w:pPr>
    </w:p>
    <w:p w14:paraId="280E9B88" w14:textId="77777777" w:rsidR="0029429F" w:rsidRPr="00771C23" w:rsidRDefault="0029429F" w:rsidP="0029429F">
      <w:pPr>
        <w:keepNext/>
        <w:spacing w:before="240" w:after="0" w:line="260" w:lineRule="atLeast"/>
        <w:ind w:right="425"/>
        <w:rPr>
          <w:rFonts w:ascii="Arial Narrow" w:eastAsia="Times New Roman" w:hAnsi="Arial Narrow" w:cs="Times New Roman"/>
          <w:b/>
          <w:bCs/>
          <w:spacing w:val="4"/>
          <w:sz w:val="20"/>
          <w:szCs w:val="18"/>
          <w:lang w:eastAsia="en-AU"/>
        </w:rPr>
      </w:pPr>
      <w:r w:rsidRPr="00771C23">
        <w:rPr>
          <w:rFonts w:ascii="Arial Narrow" w:eastAsia="Times New Roman" w:hAnsi="Arial Narrow" w:cs="Times New Roman"/>
          <w:b/>
          <w:bCs/>
          <w:spacing w:val="4"/>
          <w:sz w:val="20"/>
          <w:szCs w:val="18"/>
          <w:lang w:eastAsia="en-AU"/>
        </w:rPr>
        <w:t>Table 2.2.12: Number of individuals who have received a payment under the National Redress Scheme</w:t>
      </w:r>
    </w:p>
    <w:tbl>
      <w:tblPr>
        <w:tblStyle w:val="HHorizontaltable1"/>
        <w:tblW w:w="5000" w:type="pct"/>
        <w:tblLook w:val="04A0" w:firstRow="1" w:lastRow="0" w:firstColumn="1" w:lastColumn="0" w:noHBand="0" w:noVBand="1"/>
        <w:tblCaption w:val="Table 2.2.12: Number of individuals who have received a payment under the National Redress Scheme"/>
        <w:tblDescription w:val="Table 2.2.12: Number of individuals who have received a payment under the National Redress Scheme"/>
      </w:tblPr>
      <w:tblGrid>
        <w:gridCol w:w="4820"/>
        <w:gridCol w:w="1154"/>
        <w:gridCol w:w="1527"/>
        <w:gridCol w:w="1525"/>
      </w:tblGrid>
      <w:tr w:rsidR="0029429F" w:rsidRPr="00771C23" w14:paraId="6A376FB4"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2670" w:type="pct"/>
            <w:tcBorders>
              <w:bottom w:val="single" w:sz="4" w:space="0" w:color="FFFFFF" w:themeColor="background1"/>
            </w:tcBorders>
            <w:hideMark/>
          </w:tcPr>
          <w:p w14:paraId="5371750A" w14:textId="77777777" w:rsidR="0029429F" w:rsidRPr="007F2601" w:rsidRDefault="0029429F" w:rsidP="00E117FD">
            <w:pPr>
              <w:spacing w:before="40" w:after="40"/>
              <w:rPr>
                <w:rFonts w:eastAsia="Times New Roman"/>
                <w:spacing w:val="4"/>
                <w:sz w:val="20"/>
                <w:szCs w:val="20"/>
                <w:lang w:val="en-GB"/>
              </w:rPr>
            </w:pPr>
            <w:r w:rsidRPr="007F2601">
              <w:rPr>
                <w:rFonts w:eastAsia="Times New Roman" w:cs="Times New Roman"/>
                <w:spacing w:val="4"/>
                <w:sz w:val="20"/>
                <w:szCs w:val="18"/>
                <w:lang w:val="en-GB"/>
              </w:rPr>
              <w:t>Output performance measure</w:t>
            </w:r>
          </w:p>
        </w:tc>
        <w:tc>
          <w:tcPr>
            <w:tcW w:w="639" w:type="pct"/>
            <w:tcBorders>
              <w:bottom w:val="single" w:sz="4" w:space="0" w:color="FFFFFF" w:themeColor="background1"/>
            </w:tcBorders>
            <w:hideMark/>
          </w:tcPr>
          <w:p w14:paraId="42A3E928" w14:textId="77777777" w:rsidR="0029429F" w:rsidRPr="007F2601" w:rsidRDefault="0029429F" w:rsidP="00E117FD">
            <w:pPr>
              <w:keepNext/>
              <w:keepLines/>
              <w:spacing w:before="40" w:after="40"/>
              <w:jc w:val="right"/>
              <w:rPr>
                <w:sz w:val="20"/>
                <w:szCs w:val="20"/>
              </w:rPr>
            </w:pPr>
            <w:r w:rsidRPr="007F2601">
              <w:rPr>
                <w:sz w:val="20"/>
                <w:szCs w:val="20"/>
              </w:rPr>
              <w:t>2019–20</w:t>
            </w:r>
          </w:p>
        </w:tc>
        <w:tc>
          <w:tcPr>
            <w:tcW w:w="846" w:type="pct"/>
            <w:tcBorders>
              <w:bottom w:val="single" w:sz="4" w:space="0" w:color="FFFFFF" w:themeColor="background1"/>
            </w:tcBorders>
            <w:hideMark/>
          </w:tcPr>
          <w:p w14:paraId="25348C48" w14:textId="77777777" w:rsidR="0029429F" w:rsidRPr="007F2601" w:rsidRDefault="0029429F" w:rsidP="00E117FD">
            <w:pPr>
              <w:keepNext/>
              <w:keepLines/>
              <w:spacing w:before="40" w:after="40"/>
              <w:jc w:val="right"/>
              <w:rPr>
                <w:sz w:val="20"/>
                <w:szCs w:val="20"/>
              </w:rPr>
            </w:pPr>
            <w:r w:rsidRPr="007F2601">
              <w:rPr>
                <w:rFonts w:eastAsia="Times New Roman" w:cs="Times New Roman"/>
                <w:sz w:val="20"/>
                <w:szCs w:val="18"/>
              </w:rPr>
              <w:t>2018–19</w:t>
            </w:r>
          </w:p>
        </w:tc>
        <w:tc>
          <w:tcPr>
            <w:tcW w:w="845" w:type="pct"/>
            <w:tcBorders>
              <w:bottom w:val="single" w:sz="4" w:space="0" w:color="FFFFFF" w:themeColor="background1"/>
            </w:tcBorders>
            <w:hideMark/>
          </w:tcPr>
          <w:p w14:paraId="6BF67D72" w14:textId="77777777" w:rsidR="0029429F" w:rsidRPr="007F2601" w:rsidRDefault="0029429F" w:rsidP="00E117FD">
            <w:pPr>
              <w:keepNext/>
              <w:keepLines/>
              <w:spacing w:before="40" w:after="40"/>
              <w:jc w:val="right"/>
              <w:rPr>
                <w:rFonts w:eastAsia="Times New Roman" w:cs="Times New Roman"/>
                <w:sz w:val="20"/>
                <w:szCs w:val="18"/>
              </w:rPr>
            </w:pPr>
            <w:r w:rsidRPr="007F2601">
              <w:rPr>
                <w:rFonts w:eastAsia="Times New Roman" w:cs="Times New Roman"/>
                <w:sz w:val="20"/>
                <w:szCs w:val="18"/>
              </w:rPr>
              <w:t>2017–18</w:t>
            </w:r>
          </w:p>
        </w:tc>
      </w:tr>
      <w:tr w:rsidR="0029429F" w:rsidRPr="00771C23" w14:paraId="09074CB1"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6BC53ECE" w14:textId="77777777" w:rsidR="0029429F" w:rsidRPr="00771C23" w:rsidRDefault="0029429F" w:rsidP="00E117FD">
            <w:pPr>
              <w:spacing w:before="40" w:after="40"/>
              <w:rPr>
                <w:rFonts w:eastAsia="Times New Roman" w:cs="Times New Roman"/>
                <w:b/>
                <w:spacing w:val="4"/>
                <w:sz w:val="20"/>
                <w:szCs w:val="18"/>
                <w:highlight w:val="yellow"/>
                <w:lang w:val="en-GB"/>
              </w:rPr>
            </w:pPr>
            <w:r w:rsidRPr="00771C23">
              <w:rPr>
                <w:rFonts w:eastAsia="Times New Roman" w:cs="Times New Roman"/>
                <w:b/>
                <w:spacing w:val="4"/>
                <w:sz w:val="20"/>
                <w:szCs w:val="18"/>
                <w:lang w:val="en-GB"/>
              </w:rPr>
              <w:t>Number of individuals who have received a payment under the National Redress Scheme</w:t>
            </w:r>
          </w:p>
        </w:tc>
      </w:tr>
      <w:tr w:rsidR="0029429F" w:rsidRPr="00771C23" w14:paraId="77529500" w14:textId="77777777" w:rsidTr="00E117FD">
        <w:trPr>
          <w:cnfStyle w:val="000000010000" w:firstRow="0" w:lastRow="0" w:firstColumn="0" w:lastColumn="0" w:oddVBand="0" w:evenVBand="0" w:oddHBand="0" w:evenHBand="1" w:firstRowFirstColumn="0" w:firstRowLastColumn="0" w:lastRowFirstColumn="0" w:lastRowLastColumn="0"/>
          <w:trHeight w:val="317"/>
        </w:trPr>
        <w:tc>
          <w:tcPr>
            <w:tcW w:w="5000" w:type="pct"/>
            <w:gridSpan w:val="4"/>
            <w:tcBorders>
              <w:top w:val="single" w:sz="18" w:space="0" w:color="00B0B9"/>
            </w:tcBorders>
            <w:hideMark/>
          </w:tcPr>
          <w:p w14:paraId="7815CC7B" w14:textId="77777777" w:rsidR="0029429F" w:rsidRPr="00771C23" w:rsidRDefault="0029429F" w:rsidP="00E117FD">
            <w:pPr>
              <w:spacing w:before="40" w:after="40"/>
              <w:rPr>
                <w:rFonts w:eastAsia="Times New Roman" w:cs="Times New Roman"/>
                <w:spacing w:val="4"/>
                <w:sz w:val="20"/>
                <w:szCs w:val="18"/>
                <w:highlight w:val="yellow"/>
                <w:lang w:val="en-GB"/>
              </w:rPr>
            </w:pPr>
            <w:r w:rsidRPr="00771C23">
              <w:rPr>
                <w:rFonts w:eastAsia="Times New Roman" w:cs="Times New Roman"/>
                <w:spacing w:val="4"/>
                <w:sz w:val="20"/>
                <w:szCs w:val="18"/>
                <w:lang w:val="en-GB"/>
              </w:rPr>
              <w:t>Families and Communities</w:t>
            </w:r>
          </w:p>
        </w:tc>
      </w:tr>
      <w:tr w:rsidR="0029429F" w:rsidRPr="00771C23" w14:paraId="3A8A8478"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2670" w:type="pct"/>
            <w:hideMark/>
          </w:tcPr>
          <w:p w14:paraId="362B06D4" w14:textId="77777777" w:rsidR="0029429F" w:rsidRPr="00771C23" w:rsidRDefault="0029429F" w:rsidP="00E117FD">
            <w:pPr>
              <w:spacing w:before="40" w:after="40"/>
              <w:rPr>
                <w:rFonts w:eastAsia="Times New Roman" w:cs="Arial"/>
                <w:spacing w:val="4"/>
                <w:sz w:val="20"/>
                <w:szCs w:val="20"/>
                <w:lang w:val="en-GB"/>
              </w:rPr>
            </w:pPr>
            <w:r w:rsidRPr="00771C23">
              <w:rPr>
                <w:rFonts w:eastAsia="Times New Roman" w:cs="Arial"/>
                <w:color w:val="000000" w:themeColor="text1"/>
                <w:spacing w:val="4"/>
                <w:sz w:val="20"/>
                <w:szCs w:val="20"/>
                <w:lang w:val="en-GB"/>
              </w:rPr>
              <w:t>Number of individuals</w:t>
            </w:r>
          </w:p>
        </w:tc>
        <w:tc>
          <w:tcPr>
            <w:tcW w:w="639" w:type="pct"/>
            <w:hideMark/>
          </w:tcPr>
          <w:p w14:paraId="2BB1C729" w14:textId="754C56B7" w:rsidR="0029429F" w:rsidRPr="00771C23" w:rsidRDefault="0029429F" w:rsidP="00E117FD">
            <w:pPr>
              <w:keepNext/>
              <w:keepLines/>
              <w:spacing w:before="40" w:after="40"/>
              <w:jc w:val="right"/>
              <w:rPr>
                <w:color w:val="000000" w:themeColor="text1"/>
                <w:sz w:val="20"/>
                <w:szCs w:val="20"/>
              </w:rPr>
            </w:pPr>
            <w:r>
              <w:rPr>
                <w:color w:val="000000" w:themeColor="text1"/>
                <w:sz w:val="20"/>
                <w:szCs w:val="20"/>
              </w:rPr>
              <w:t>2</w:t>
            </w:r>
            <w:r w:rsidR="000B5158">
              <w:rPr>
                <w:color w:val="000000" w:themeColor="text1"/>
                <w:sz w:val="20"/>
                <w:szCs w:val="20"/>
              </w:rPr>
              <w:t>,</w:t>
            </w:r>
            <w:r>
              <w:rPr>
                <w:color w:val="000000" w:themeColor="text1"/>
                <w:sz w:val="20"/>
                <w:szCs w:val="20"/>
              </w:rPr>
              <w:t>504</w:t>
            </w:r>
          </w:p>
        </w:tc>
        <w:tc>
          <w:tcPr>
            <w:tcW w:w="846" w:type="pct"/>
            <w:hideMark/>
          </w:tcPr>
          <w:p w14:paraId="5E32490F" w14:textId="77777777" w:rsidR="0029429F" w:rsidRPr="00771C23" w:rsidRDefault="0029429F" w:rsidP="00E117FD">
            <w:pPr>
              <w:keepNext/>
              <w:keepLines/>
              <w:spacing w:before="40" w:after="40"/>
              <w:jc w:val="right"/>
              <w:rPr>
                <w:color w:val="000000" w:themeColor="text1"/>
                <w:sz w:val="20"/>
                <w:szCs w:val="20"/>
              </w:rPr>
            </w:pPr>
            <w:r w:rsidRPr="00771C23">
              <w:rPr>
                <w:color w:val="000000" w:themeColor="text1"/>
                <w:sz w:val="20"/>
                <w:szCs w:val="20"/>
              </w:rPr>
              <w:t>239</w:t>
            </w:r>
          </w:p>
        </w:tc>
        <w:tc>
          <w:tcPr>
            <w:tcW w:w="845" w:type="pct"/>
            <w:hideMark/>
          </w:tcPr>
          <w:p w14:paraId="4A29A422" w14:textId="77777777" w:rsidR="0029429F" w:rsidRPr="00771C23" w:rsidRDefault="0029429F" w:rsidP="00E117FD">
            <w:pPr>
              <w:keepNext/>
              <w:keepLines/>
              <w:spacing w:before="40" w:after="40"/>
              <w:jc w:val="right"/>
              <w:rPr>
                <w:color w:val="000000" w:themeColor="text1"/>
                <w:sz w:val="20"/>
                <w:szCs w:val="20"/>
              </w:rPr>
            </w:pPr>
          </w:p>
        </w:tc>
      </w:tr>
    </w:tbl>
    <w:p w14:paraId="6F08BA72" w14:textId="77777777" w:rsidR="0029429F" w:rsidRPr="00771C23" w:rsidRDefault="0029429F" w:rsidP="0029429F">
      <w:pPr>
        <w:rPr>
          <w:sz w:val="20"/>
          <w:szCs w:val="20"/>
        </w:rPr>
      </w:pPr>
    </w:p>
    <w:p w14:paraId="3CE592DD" w14:textId="77777777" w:rsidR="0029429F" w:rsidRPr="00771C23" w:rsidRDefault="0029429F" w:rsidP="0029429F">
      <w:pPr>
        <w:spacing w:before="240" w:after="240"/>
        <w:outlineLvl w:val="7"/>
        <w:rPr>
          <w:rFonts w:eastAsiaTheme="majorEastAsia" w:cstheme="majorBidi"/>
          <w:b/>
          <w:color w:val="595959" w:themeColor="text1" w:themeTint="A6"/>
          <w:sz w:val="24"/>
          <w:szCs w:val="20"/>
        </w:rPr>
      </w:pPr>
      <w:r w:rsidRPr="00771C23">
        <w:rPr>
          <w:rFonts w:eastAsiaTheme="majorEastAsia" w:cstheme="majorBidi"/>
          <w:b/>
          <w:color w:val="595959" w:themeColor="text1" w:themeTint="A6"/>
          <w:sz w:val="24"/>
          <w:szCs w:val="20"/>
        </w:rPr>
        <w:t>C2.4.2 Number of applications received for the National Redress Scheme</w:t>
      </w:r>
    </w:p>
    <w:p w14:paraId="4E3FEE0B" w14:textId="77777777" w:rsidR="0029429F" w:rsidRPr="00771C23" w:rsidRDefault="0029429F" w:rsidP="0029429F">
      <w:pPr>
        <w:keepNext/>
        <w:spacing w:before="240" w:after="0" w:line="260" w:lineRule="atLeast"/>
        <w:ind w:right="425"/>
        <w:rPr>
          <w:rFonts w:ascii="Arial Narrow" w:eastAsia="Times New Roman" w:hAnsi="Arial Narrow" w:cs="Times New Roman"/>
          <w:b/>
          <w:bCs/>
          <w:spacing w:val="4"/>
          <w:sz w:val="20"/>
          <w:szCs w:val="18"/>
          <w:lang w:eastAsia="en-AU"/>
        </w:rPr>
      </w:pPr>
      <w:r w:rsidRPr="00771C23">
        <w:rPr>
          <w:rFonts w:ascii="Arial Narrow" w:eastAsia="Times New Roman" w:hAnsi="Arial Narrow" w:cs="Times New Roman"/>
          <w:b/>
          <w:bCs/>
          <w:spacing w:val="4"/>
          <w:sz w:val="20"/>
          <w:szCs w:val="18"/>
          <w:lang w:eastAsia="en-AU"/>
        </w:rPr>
        <w:t>Table 2.2.13: Number of applications received for the National Redress Scheme</w:t>
      </w:r>
    </w:p>
    <w:tbl>
      <w:tblPr>
        <w:tblStyle w:val="HHorizontaltable1"/>
        <w:tblW w:w="5000" w:type="pct"/>
        <w:tblLook w:val="04A0" w:firstRow="1" w:lastRow="0" w:firstColumn="1" w:lastColumn="0" w:noHBand="0" w:noVBand="1"/>
        <w:tblCaption w:val="Table 2.2.13: Number of applications received for the National Redress Scheme"/>
        <w:tblDescription w:val="Table 2.2.13: Number of applications received for the National Redress Scheme"/>
      </w:tblPr>
      <w:tblGrid>
        <w:gridCol w:w="4820"/>
        <w:gridCol w:w="1154"/>
        <w:gridCol w:w="1527"/>
        <w:gridCol w:w="1525"/>
      </w:tblGrid>
      <w:tr w:rsidR="0029429F" w:rsidRPr="00771C23" w14:paraId="16DF61B5"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2670" w:type="pct"/>
            <w:tcBorders>
              <w:bottom w:val="single" w:sz="4" w:space="0" w:color="FFFFFF" w:themeColor="background1"/>
            </w:tcBorders>
            <w:hideMark/>
          </w:tcPr>
          <w:p w14:paraId="059BF9F6" w14:textId="77777777" w:rsidR="0029429F" w:rsidRPr="007F2601" w:rsidRDefault="0029429F" w:rsidP="00E117FD">
            <w:pPr>
              <w:spacing w:before="40" w:after="40"/>
              <w:rPr>
                <w:rFonts w:eastAsia="Times New Roman"/>
                <w:spacing w:val="4"/>
                <w:sz w:val="20"/>
                <w:szCs w:val="20"/>
                <w:lang w:val="en-GB"/>
              </w:rPr>
            </w:pPr>
            <w:r w:rsidRPr="007F2601">
              <w:rPr>
                <w:rFonts w:eastAsia="Times New Roman" w:cs="Times New Roman"/>
                <w:spacing w:val="4"/>
                <w:sz w:val="20"/>
                <w:szCs w:val="18"/>
                <w:lang w:val="en-GB"/>
              </w:rPr>
              <w:t>Output performance measure</w:t>
            </w:r>
          </w:p>
        </w:tc>
        <w:tc>
          <w:tcPr>
            <w:tcW w:w="639" w:type="pct"/>
            <w:tcBorders>
              <w:bottom w:val="single" w:sz="4" w:space="0" w:color="FFFFFF" w:themeColor="background1"/>
            </w:tcBorders>
            <w:hideMark/>
          </w:tcPr>
          <w:p w14:paraId="4BD0FD4D" w14:textId="77777777" w:rsidR="0029429F" w:rsidRPr="007F2601" w:rsidRDefault="0029429F" w:rsidP="00E117FD">
            <w:pPr>
              <w:keepNext/>
              <w:keepLines/>
              <w:spacing w:before="40" w:after="40"/>
              <w:jc w:val="right"/>
              <w:rPr>
                <w:sz w:val="20"/>
                <w:szCs w:val="20"/>
              </w:rPr>
            </w:pPr>
            <w:r w:rsidRPr="007F2601">
              <w:rPr>
                <w:sz w:val="20"/>
                <w:szCs w:val="20"/>
              </w:rPr>
              <w:t>2019–20</w:t>
            </w:r>
          </w:p>
        </w:tc>
        <w:tc>
          <w:tcPr>
            <w:tcW w:w="846" w:type="pct"/>
            <w:tcBorders>
              <w:bottom w:val="single" w:sz="4" w:space="0" w:color="FFFFFF" w:themeColor="background1"/>
            </w:tcBorders>
            <w:hideMark/>
          </w:tcPr>
          <w:p w14:paraId="2B924FE3" w14:textId="77777777" w:rsidR="0029429F" w:rsidRPr="007F2601" w:rsidRDefault="0029429F" w:rsidP="00E117FD">
            <w:pPr>
              <w:keepNext/>
              <w:keepLines/>
              <w:spacing w:before="40" w:after="40"/>
              <w:jc w:val="right"/>
              <w:rPr>
                <w:sz w:val="20"/>
                <w:szCs w:val="20"/>
              </w:rPr>
            </w:pPr>
            <w:r w:rsidRPr="007F2601">
              <w:rPr>
                <w:rFonts w:eastAsia="Times New Roman" w:cs="Times New Roman"/>
                <w:sz w:val="20"/>
                <w:szCs w:val="18"/>
              </w:rPr>
              <w:t>2018–19</w:t>
            </w:r>
          </w:p>
        </w:tc>
        <w:tc>
          <w:tcPr>
            <w:tcW w:w="845" w:type="pct"/>
            <w:tcBorders>
              <w:bottom w:val="single" w:sz="4" w:space="0" w:color="FFFFFF" w:themeColor="background1"/>
            </w:tcBorders>
            <w:hideMark/>
          </w:tcPr>
          <w:p w14:paraId="270F73EF" w14:textId="77777777" w:rsidR="0029429F" w:rsidRPr="007F2601" w:rsidRDefault="0029429F" w:rsidP="00E117FD">
            <w:pPr>
              <w:keepNext/>
              <w:keepLines/>
              <w:spacing w:before="40" w:after="40"/>
              <w:jc w:val="right"/>
              <w:rPr>
                <w:rFonts w:eastAsia="Times New Roman" w:cs="Times New Roman"/>
                <w:sz w:val="20"/>
                <w:szCs w:val="18"/>
              </w:rPr>
            </w:pPr>
            <w:r w:rsidRPr="007F2601">
              <w:rPr>
                <w:rFonts w:eastAsia="Times New Roman" w:cs="Times New Roman"/>
                <w:sz w:val="20"/>
                <w:szCs w:val="18"/>
              </w:rPr>
              <w:t>2017–18</w:t>
            </w:r>
          </w:p>
        </w:tc>
      </w:tr>
      <w:tr w:rsidR="0029429F" w:rsidRPr="00771C23" w14:paraId="216F32A4"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12B413FB" w14:textId="77777777" w:rsidR="0029429F" w:rsidRPr="00771C23" w:rsidRDefault="0029429F" w:rsidP="00E117FD">
            <w:pPr>
              <w:spacing w:before="40" w:after="40"/>
              <w:rPr>
                <w:rFonts w:eastAsia="Times New Roman" w:cs="Times New Roman"/>
                <w:b/>
                <w:spacing w:val="4"/>
                <w:sz w:val="20"/>
                <w:szCs w:val="18"/>
                <w:highlight w:val="yellow"/>
                <w:lang w:val="en-GB"/>
              </w:rPr>
            </w:pPr>
            <w:r w:rsidRPr="00771C23">
              <w:rPr>
                <w:rFonts w:eastAsia="Times New Roman" w:cs="Times New Roman"/>
                <w:b/>
                <w:spacing w:val="4"/>
                <w:sz w:val="20"/>
                <w:szCs w:val="18"/>
                <w:lang w:val="en-GB"/>
              </w:rPr>
              <w:t>Number of applications received for the National Redress Scheme</w:t>
            </w:r>
          </w:p>
        </w:tc>
      </w:tr>
      <w:tr w:rsidR="0029429F" w:rsidRPr="00771C23" w14:paraId="494D15BB" w14:textId="77777777" w:rsidTr="00E117FD">
        <w:trPr>
          <w:cnfStyle w:val="000000010000" w:firstRow="0" w:lastRow="0" w:firstColumn="0" w:lastColumn="0" w:oddVBand="0" w:evenVBand="0" w:oddHBand="0" w:evenHBand="1" w:firstRowFirstColumn="0" w:firstRowLastColumn="0" w:lastRowFirstColumn="0" w:lastRowLastColumn="0"/>
          <w:trHeight w:val="317"/>
        </w:trPr>
        <w:tc>
          <w:tcPr>
            <w:tcW w:w="2670" w:type="pct"/>
            <w:tcBorders>
              <w:top w:val="single" w:sz="18" w:space="0" w:color="00B0B9"/>
            </w:tcBorders>
            <w:hideMark/>
          </w:tcPr>
          <w:p w14:paraId="41F688BB" w14:textId="77777777" w:rsidR="0029429F" w:rsidRPr="00771C23" w:rsidRDefault="0029429F" w:rsidP="00E117FD">
            <w:pPr>
              <w:spacing w:before="40" w:after="40"/>
              <w:rPr>
                <w:rFonts w:eastAsia="Times New Roman" w:cs="Arial"/>
                <w:spacing w:val="4"/>
                <w:sz w:val="20"/>
                <w:szCs w:val="20"/>
                <w:lang w:val="en-GB"/>
              </w:rPr>
            </w:pPr>
            <w:r w:rsidRPr="00771C23">
              <w:rPr>
                <w:rFonts w:eastAsia="Times New Roman" w:cs="Arial"/>
                <w:color w:val="000000" w:themeColor="text1"/>
                <w:spacing w:val="4"/>
                <w:sz w:val="20"/>
                <w:szCs w:val="20"/>
                <w:lang w:val="en-GB"/>
              </w:rPr>
              <w:t>Number of applications</w:t>
            </w:r>
          </w:p>
        </w:tc>
        <w:tc>
          <w:tcPr>
            <w:tcW w:w="639" w:type="pct"/>
            <w:tcBorders>
              <w:top w:val="single" w:sz="18" w:space="0" w:color="00B0B9"/>
            </w:tcBorders>
            <w:hideMark/>
          </w:tcPr>
          <w:p w14:paraId="29E84EE4" w14:textId="77777777" w:rsidR="0029429F" w:rsidRPr="00771C23" w:rsidRDefault="0029429F" w:rsidP="00E117FD">
            <w:pPr>
              <w:keepNext/>
              <w:keepLines/>
              <w:spacing w:before="40" w:after="40"/>
              <w:jc w:val="right"/>
              <w:rPr>
                <w:color w:val="000000" w:themeColor="text1"/>
                <w:sz w:val="20"/>
                <w:szCs w:val="20"/>
              </w:rPr>
            </w:pPr>
            <w:r w:rsidRPr="00771C23">
              <w:rPr>
                <w:color w:val="000000" w:themeColor="text1"/>
                <w:sz w:val="20"/>
                <w:szCs w:val="20"/>
              </w:rPr>
              <w:t>3,127</w:t>
            </w:r>
          </w:p>
        </w:tc>
        <w:tc>
          <w:tcPr>
            <w:tcW w:w="846" w:type="pct"/>
            <w:tcBorders>
              <w:top w:val="single" w:sz="18" w:space="0" w:color="00B0B9"/>
            </w:tcBorders>
            <w:hideMark/>
          </w:tcPr>
          <w:p w14:paraId="50275C51" w14:textId="77777777" w:rsidR="0029429F" w:rsidRPr="00771C23" w:rsidRDefault="0029429F" w:rsidP="00E117FD">
            <w:pPr>
              <w:keepNext/>
              <w:keepLines/>
              <w:spacing w:before="40" w:after="40"/>
              <w:jc w:val="right"/>
              <w:rPr>
                <w:color w:val="000000" w:themeColor="text1"/>
                <w:sz w:val="20"/>
                <w:szCs w:val="20"/>
              </w:rPr>
            </w:pPr>
            <w:r w:rsidRPr="00771C23">
              <w:rPr>
                <w:color w:val="000000" w:themeColor="text1"/>
                <w:sz w:val="20"/>
                <w:szCs w:val="20"/>
              </w:rPr>
              <w:t>4,200</w:t>
            </w:r>
          </w:p>
        </w:tc>
        <w:tc>
          <w:tcPr>
            <w:tcW w:w="845" w:type="pct"/>
            <w:tcBorders>
              <w:top w:val="single" w:sz="18" w:space="0" w:color="00B0B9"/>
            </w:tcBorders>
            <w:hideMark/>
          </w:tcPr>
          <w:p w14:paraId="110D60F3" w14:textId="77777777" w:rsidR="0029429F" w:rsidRPr="00771C23" w:rsidRDefault="0029429F" w:rsidP="00E117FD">
            <w:pPr>
              <w:keepNext/>
              <w:keepLines/>
              <w:spacing w:before="40" w:after="40"/>
              <w:jc w:val="right"/>
              <w:rPr>
                <w:color w:val="000000" w:themeColor="text1"/>
                <w:sz w:val="20"/>
                <w:szCs w:val="20"/>
              </w:rPr>
            </w:pPr>
          </w:p>
        </w:tc>
      </w:tr>
    </w:tbl>
    <w:p w14:paraId="2D477D67" w14:textId="77777777" w:rsidR="0029429F" w:rsidRPr="00771C23" w:rsidRDefault="0029429F" w:rsidP="0029429F">
      <w:pPr>
        <w:rPr>
          <w:sz w:val="20"/>
          <w:szCs w:val="20"/>
        </w:rPr>
      </w:pPr>
    </w:p>
    <w:p w14:paraId="2AA2A36C" w14:textId="77777777" w:rsidR="0029429F" w:rsidRPr="00771C23" w:rsidRDefault="0029429F" w:rsidP="0029429F">
      <w:pPr>
        <w:spacing w:before="240" w:after="240"/>
        <w:outlineLvl w:val="7"/>
        <w:rPr>
          <w:rFonts w:eastAsiaTheme="majorEastAsia" w:cstheme="majorBidi"/>
          <w:b/>
          <w:color w:val="595959" w:themeColor="text1" w:themeTint="A6"/>
          <w:sz w:val="24"/>
          <w:szCs w:val="20"/>
        </w:rPr>
      </w:pPr>
      <w:r w:rsidRPr="00771C23">
        <w:rPr>
          <w:rFonts w:eastAsiaTheme="majorEastAsia" w:cstheme="majorBidi"/>
          <w:b/>
          <w:color w:val="595959" w:themeColor="text1" w:themeTint="A6"/>
          <w:sz w:val="24"/>
          <w:szCs w:val="20"/>
        </w:rPr>
        <w:t>C2.4.3 Number of organisations contracted or receiving grant funding to deliver services</w:t>
      </w:r>
    </w:p>
    <w:p w14:paraId="3C643941" w14:textId="77777777" w:rsidR="0029429F" w:rsidRPr="00771C23" w:rsidRDefault="0029429F" w:rsidP="0029429F">
      <w:pPr>
        <w:keepNext/>
        <w:spacing w:before="240" w:after="0" w:line="260" w:lineRule="atLeast"/>
        <w:ind w:right="425"/>
        <w:rPr>
          <w:rFonts w:ascii="Arial Narrow" w:eastAsia="Times New Roman" w:hAnsi="Arial Narrow" w:cs="Times New Roman"/>
          <w:b/>
          <w:bCs/>
          <w:spacing w:val="4"/>
          <w:sz w:val="20"/>
          <w:szCs w:val="18"/>
          <w:lang w:eastAsia="en-AU"/>
        </w:rPr>
      </w:pPr>
      <w:r w:rsidRPr="00771C23">
        <w:rPr>
          <w:rFonts w:ascii="Arial Narrow" w:eastAsia="Times New Roman" w:hAnsi="Arial Narrow" w:cs="Times New Roman"/>
          <w:b/>
          <w:bCs/>
          <w:spacing w:val="4"/>
          <w:sz w:val="20"/>
          <w:szCs w:val="18"/>
          <w:lang w:eastAsia="en-AU"/>
        </w:rPr>
        <w:t>Table 2.2.14: Number of organisations contracted or receiving grant funding to deliver services</w:t>
      </w:r>
    </w:p>
    <w:tbl>
      <w:tblPr>
        <w:tblStyle w:val="HHorizontaltable1"/>
        <w:tblW w:w="5000" w:type="pct"/>
        <w:tblLook w:val="04A0" w:firstRow="1" w:lastRow="0" w:firstColumn="1" w:lastColumn="0" w:noHBand="0" w:noVBand="1"/>
        <w:tblCaption w:val="Table 2.2.14: Number of organisations contracted or receiving grant funding to deliver services"/>
        <w:tblDescription w:val="Table 2.2.14: Number of organisations contracted or receiving grant funding to deliver services"/>
      </w:tblPr>
      <w:tblGrid>
        <w:gridCol w:w="4772"/>
        <w:gridCol w:w="1182"/>
        <w:gridCol w:w="1592"/>
        <w:gridCol w:w="1480"/>
      </w:tblGrid>
      <w:tr w:rsidR="0029429F" w:rsidRPr="00771C23" w14:paraId="655645E3"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2643" w:type="pct"/>
            <w:tcBorders>
              <w:bottom w:val="single" w:sz="4" w:space="0" w:color="FFFFFF" w:themeColor="background1"/>
            </w:tcBorders>
            <w:hideMark/>
          </w:tcPr>
          <w:p w14:paraId="6BF55657" w14:textId="77777777" w:rsidR="0029429F" w:rsidRPr="007F2601" w:rsidRDefault="0029429F" w:rsidP="00E117FD">
            <w:pPr>
              <w:spacing w:before="40" w:after="40"/>
              <w:rPr>
                <w:rFonts w:eastAsia="Times New Roman"/>
                <w:spacing w:val="4"/>
                <w:sz w:val="20"/>
                <w:szCs w:val="20"/>
                <w:lang w:val="en-GB"/>
              </w:rPr>
            </w:pPr>
            <w:r w:rsidRPr="007F2601">
              <w:rPr>
                <w:rFonts w:eastAsia="Times New Roman" w:cs="Times New Roman"/>
                <w:spacing w:val="4"/>
                <w:sz w:val="20"/>
                <w:szCs w:val="18"/>
                <w:lang w:val="en-GB"/>
              </w:rPr>
              <w:t>Output performance measure</w:t>
            </w:r>
          </w:p>
        </w:tc>
        <w:tc>
          <w:tcPr>
            <w:tcW w:w="655" w:type="pct"/>
            <w:tcBorders>
              <w:bottom w:val="single" w:sz="4" w:space="0" w:color="FFFFFF" w:themeColor="background1"/>
            </w:tcBorders>
            <w:hideMark/>
          </w:tcPr>
          <w:p w14:paraId="3DFE3EBE" w14:textId="77777777" w:rsidR="0029429F" w:rsidRPr="007F2601" w:rsidRDefault="0029429F" w:rsidP="00E117FD">
            <w:pPr>
              <w:keepNext/>
              <w:keepLines/>
              <w:spacing w:before="40" w:after="40"/>
              <w:jc w:val="right"/>
              <w:rPr>
                <w:sz w:val="20"/>
                <w:szCs w:val="20"/>
              </w:rPr>
            </w:pPr>
            <w:r w:rsidRPr="007F2601">
              <w:rPr>
                <w:sz w:val="20"/>
                <w:szCs w:val="20"/>
              </w:rPr>
              <w:t>2019–20</w:t>
            </w:r>
          </w:p>
        </w:tc>
        <w:tc>
          <w:tcPr>
            <w:tcW w:w="882" w:type="pct"/>
            <w:tcBorders>
              <w:bottom w:val="single" w:sz="4" w:space="0" w:color="FFFFFF" w:themeColor="background1"/>
            </w:tcBorders>
            <w:hideMark/>
          </w:tcPr>
          <w:p w14:paraId="5DB9D1AB" w14:textId="77777777" w:rsidR="0029429F" w:rsidRPr="007F2601" w:rsidRDefault="0029429F" w:rsidP="00E117FD">
            <w:pPr>
              <w:keepNext/>
              <w:keepLines/>
              <w:spacing w:before="40" w:after="40"/>
              <w:jc w:val="right"/>
              <w:rPr>
                <w:sz w:val="20"/>
                <w:szCs w:val="20"/>
              </w:rPr>
            </w:pPr>
            <w:r w:rsidRPr="007F2601">
              <w:rPr>
                <w:rFonts w:eastAsia="Times New Roman" w:cs="Times New Roman"/>
                <w:sz w:val="20"/>
                <w:szCs w:val="18"/>
              </w:rPr>
              <w:t>2018–19</w:t>
            </w:r>
          </w:p>
        </w:tc>
        <w:tc>
          <w:tcPr>
            <w:tcW w:w="820" w:type="pct"/>
            <w:tcBorders>
              <w:bottom w:val="single" w:sz="4" w:space="0" w:color="FFFFFF" w:themeColor="background1"/>
            </w:tcBorders>
            <w:hideMark/>
          </w:tcPr>
          <w:p w14:paraId="3CAD745F" w14:textId="77777777" w:rsidR="0029429F" w:rsidRPr="007F2601" w:rsidRDefault="0029429F" w:rsidP="00E117FD">
            <w:pPr>
              <w:keepNext/>
              <w:keepLines/>
              <w:spacing w:before="40" w:after="40"/>
              <w:jc w:val="right"/>
              <w:rPr>
                <w:rFonts w:eastAsia="Times New Roman" w:cs="Times New Roman"/>
                <w:sz w:val="20"/>
                <w:szCs w:val="18"/>
              </w:rPr>
            </w:pPr>
            <w:r w:rsidRPr="007F2601">
              <w:rPr>
                <w:rFonts w:eastAsia="Times New Roman" w:cs="Times New Roman"/>
                <w:sz w:val="20"/>
                <w:szCs w:val="18"/>
              </w:rPr>
              <w:t>2017–18</w:t>
            </w:r>
          </w:p>
        </w:tc>
      </w:tr>
      <w:tr w:rsidR="0029429F" w:rsidRPr="00771C23" w14:paraId="311E82B4"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39C40C74" w14:textId="77777777" w:rsidR="0029429F" w:rsidRPr="00771C23" w:rsidRDefault="0029429F" w:rsidP="00E117FD">
            <w:pPr>
              <w:keepNext/>
              <w:keepLines/>
              <w:spacing w:before="40" w:after="40"/>
              <w:rPr>
                <w:b/>
                <w:color w:val="000000" w:themeColor="text1"/>
                <w:sz w:val="20"/>
                <w:szCs w:val="20"/>
              </w:rPr>
            </w:pPr>
            <w:r w:rsidRPr="00771C23">
              <w:rPr>
                <w:b/>
                <w:color w:val="000000" w:themeColor="text1"/>
                <w:sz w:val="20"/>
                <w:szCs w:val="20"/>
              </w:rPr>
              <w:t>Number of organisations contracted or receiving grant funding to deliver services</w:t>
            </w:r>
          </w:p>
        </w:tc>
      </w:tr>
      <w:tr w:rsidR="0029429F" w:rsidRPr="00771C23" w14:paraId="72BC0CB5" w14:textId="77777777" w:rsidTr="00E117FD">
        <w:trPr>
          <w:cnfStyle w:val="000000010000" w:firstRow="0" w:lastRow="0" w:firstColumn="0" w:lastColumn="0" w:oddVBand="0" w:evenVBand="0" w:oddHBand="0" w:evenHBand="1" w:firstRowFirstColumn="0" w:firstRowLastColumn="0" w:lastRowFirstColumn="0" w:lastRowLastColumn="0"/>
          <w:trHeight w:val="317"/>
        </w:trPr>
        <w:tc>
          <w:tcPr>
            <w:tcW w:w="2643" w:type="pct"/>
            <w:tcBorders>
              <w:top w:val="single" w:sz="18" w:space="0" w:color="00B0B9"/>
            </w:tcBorders>
            <w:hideMark/>
          </w:tcPr>
          <w:p w14:paraId="7A88EE95" w14:textId="77777777" w:rsidR="0029429F" w:rsidRPr="00771C23" w:rsidRDefault="0029429F" w:rsidP="00E117FD">
            <w:pPr>
              <w:spacing w:before="40" w:after="40"/>
              <w:rPr>
                <w:rFonts w:eastAsia="Times New Roman" w:cs="Arial"/>
                <w:spacing w:val="4"/>
                <w:sz w:val="20"/>
                <w:szCs w:val="20"/>
                <w:lang w:val="en-GB"/>
              </w:rPr>
            </w:pPr>
            <w:r w:rsidRPr="00771C23">
              <w:rPr>
                <w:rFonts w:eastAsia="Times New Roman" w:cs="Arial"/>
                <w:spacing w:val="4"/>
                <w:sz w:val="20"/>
                <w:szCs w:val="20"/>
                <w:lang w:val="en-GB"/>
              </w:rPr>
              <w:t>Families and Children</w:t>
            </w:r>
          </w:p>
        </w:tc>
        <w:tc>
          <w:tcPr>
            <w:tcW w:w="655" w:type="pct"/>
            <w:tcBorders>
              <w:top w:val="single" w:sz="18" w:space="0" w:color="00B0B9"/>
            </w:tcBorders>
            <w:hideMark/>
          </w:tcPr>
          <w:p w14:paraId="7235B6FF" w14:textId="77777777" w:rsidR="0029429F" w:rsidRPr="00771C23" w:rsidRDefault="0029429F" w:rsidP="00E117FD">
            <w:pPr>
              <w:keepNext/>
              <w:keepLines/>
              <w:spacing w:before="40" w:after="40"/>
              <w:jc w:val="right"/>
              <w:rPr>
                <w:color w:val="000000" w:themeColor="text1"/>
                <w:sz w:val="20"/>
                <w:szCs w:val="20"/>
              </w:rPr>
            </w:pPr>
            <w:r w:rsidRPr="00771C23">
              <w:rPr>
                <w:color w:val="000000" w:themeColor="text1"/>
                <w:sz w:val="20"/>
                <w:szCs w:val="20"/>
              </w:rPr>
              <w:t>430</w:t>
            </w:r>
          </w:p>
        </w:tc>
        <w:tc>
          <w:tcPr>
            <w:tcW w:w="882" w:type="pct"/>
            <w:tcBorders>
              <w:top w:val="single" w:sz="18" w:space="0" w:color="00B0B9"/>
            </w:tcBorders>
            <w:hideMark/>
          </w:tcPr>
          <w:p w14:paraId="11BA51FF" w14:textId="77777777" w:rsidR="0029429F" w:rsidRPr="00771C23" w:rsidRDefault="0029429F" w:rsidP="00E117FD">
            <w:pPr>
              <w:keepNext/>
              <w:keepLines/>
              <w:spacing w:before="40" w:after="40"/>
              <w:jc w:val="right"/>
              <w:rPr>
                <w:color w:val="000000" w:themeColor="text1"/>
                <w:sz w:val="20"/>
                <w:szCs w:val="20"/>
              </w:rPr>
            </w:pPr>
            <w:r w:rsidRPr="00771C23">
              <w:rPr>
                <w:color w:val="000000" w:themeColor="text1"/>
                <w:sz w:val="20"/>
                <w:szCs w:val="20"/>
              </w:rPr>
              <w:t>424</w:t>
            </w:r>
          </w:p>
        </w:tc>
        <w:tc>
          <w:tcPr>
            <w:tcW w:w="820" w:type="pct"/>
            <w:tcBorders>
              <w:top w:val="single" w:sz="18" w:space="0" w:color="00B0B9"/>
            </w:tcBorders>
            <w:hideMark/>
          </w:tcPr>
          <w:p w14:paraId="33E852C5" w14:textId="77777777" w:rsidR="0029429F" w:rsidRPr="00771C23" w:rsidRDefault="0029429F" w:rsidP="00E117FD">
            <w:pPr>
              <w:keepNext/>
              <w:keepLines/>
              <w:spacing w:before="40" w:after="40"/>
              <w:jc w:val="right"/>
              <w:rPr>
                <w:color w:val="000000" w:themeColor="text1"/>
                <w:sz w:val="20"/>
                <w:szCs w:val="20"/>
              </w:rPr>
            </w:pPr>
            <w:r w:rsidRPr="00771C23">
              <w:rPr>
                <w:color w:val="000000" w:themeColor="text1"/>
                <w:sz w:val="20"/>
                <w:szCs w:val="20"/>
              </w:rPr>
              <w:t>410</w:t>
            </w:r>
          </w:p>
        </w:tc>
      </w:tr>
      <w:tr w:rsidR="0029429F" w:rsidRPr="00771C23" w14:paraId="02F4E153" w14:textId="77777777" w:rsidTr="00E117FD">
        <w:trPr>
          <w:cnfStyle w:val="000000100000" w:firstRow="0" w:lastRow="0" w:firstColumn="0" w:lastColumn="0" w:oddVBand="0" w:evenVBand="0" w:oddHBand="1" w:evenHBand="0" w:firstRowFirstColumn="0" w:firstRowLastColumn="0" w:lastRowFirstColumn="0" w:lastRowLastColumn="0"/>
        </w:trPr>
        <w:tc>
          <w:tcPr>
            <w:tcW w:w="2643" w:type="pct"/>
            <w:hideMark/>
          </w:tcPr>
          <w:p w14:paraId="33405DFC"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 xml:space="preserve">Financial Wellbeing and </w:t>
            </w:r>
            <w:proofErr w:type="spellStart"/>
            <w:r w:rsidRPr="00771C23">
              <w:rPr>
                <w:rFonts w:eastAsia="Times New Roman" w:cs="Arial"/>
                <w:color w:val="000000" w:themeColor="text1"/>
                <w:spacing w:val="4"/>
                <w:sz w:val="20"/>
                <w:szCs w:val="20"/>
                <w:lang w:val="en-GB"/>
              </w:rPr>
              <w:t>Capability</w:t>
            </w:r>
            <w:r w:rsidRPr="00771C23">
              <w:rPr>
                <w:rFonts w:eastAsia="Times New Roman" w:cs="Arial"/>
                <w:color w:val="000000" w:themeColor="text1"/>
                <w:spacing w:val="4"/>
                <w:sz w:val="20"/>
                <w:szCs w:val="20"/>
                <w:vertAlign w:val="superscript"/>
                <w:lang w:val="en-GB"/>
              </w:rPr>
              <w:t>ab</w:t>
            </w:r>
            <w:proofErr w:type="spellEnd"/>
          </w:p>
        </w:tc>
        <w:tc>
          <w:tcPr>
            <w:tcW w:w="655" w:type="pct"/>
            <w:hideMark/>
          </w:tcPr>
          <w:p w14:paraId="47626B7B" w14:textId="77777777" w:rsidR="0029429F" w:rsidRPr="00771C23" w:rsidRDefault="0029429F" w:rsidP="00E117FD">
            <w:pPr>
              <w:spacing w:before="40" w:after="40"/>
              <w:jc w:val="right"/>
              <w:rPr>
                <w:sz w:val="20"/>
                <w:szCs w:val="20"/>
              </w:rPr>
            </w:pPr>
            <w:r w:rsidRPr="00771C23">
              <w:rPr>
                <w:sz w:val="20"/>
                <w:szCs w:val="20"/>
              </w:rPr>
              <w:t>331</w:t>
            </w:r>
          </w:p>
        </w:tc>
        <w:tc>
          <w:tcPr>
            <w:tcW w:w="882" w:type="pct"/>
            <w:hideMark/>
          </w:tcPr>
          <w:p w14:paraId="25C22CD8" w14:textId="77777777" w:rsidR="0029429F" w:rsidRPr="00771C23" w:rsidRDefault="0029429F" w:rsidP="00E117FD">
            <w:pPr>
              <w:spacing w:before="40" w:after="40"/>
              <w:jc w:val="right"/>
              <w:rPr>
                <w:sz w:val="20"/>
                <w:szCs w:val="20"/>
                <w:highlight w:val="yellow"/>
              </w:rPr>
            </w:pPr>
            <w:r w:rsidRPr="00771C23">
              <w:rPr>
                <w:sz w:val="20"/>
                <w:szCs w:val="20"/>
              </w:rPr>
              <w:t>373</w:t>
            </w:r>
          </w:p>
        </w:tc>
        <w:tc>
          <w:tcPr>
            <w:tcW w:w="820" w:type="pct"/>
            <w:hideMark/>
          </w:tcPr>
          <w:p w14:paraId="253F282C" w14:textId="77777777" w:rsidR="0029429F" w:rsidRPr="00771C23" w:rsidRDefault="0029429F" w:rsidP="00E117FD">
            <w:pPr>
              <w:spacing w:before="40" w:after="40"/>
              <w:jc w:val="right"/>
              <w:rPr>
                <w:sz w:val="20"/>
                <w:szCs w:val="20"/>
              </w:rPr>
            </w:pPr>
            <w:r w:rsidRPr="00771C23">
              <w:rPr>
                <w:sz w:val="20"/>
                <w:szCs w:val="20"/>
              </w:rPr>
              <w:t>346</w:t>
            </w:r>
          </w:p>
        </w:tc>
      </w:tr>
      <w:tr w:rsidR="0029429F" w:rsidRPr="00771C23" w14:paraId="18114616" w14:textId="77777777" w:rsidTr="00E117FD">
        <w:trPr>
          <w:cnfStyle w:val="000000010000" w:firstRow="0" w:lastRow="0" w:firstColumn="0" w:lastColumn="0" w:oddVBand="0" w:evenVBand="0" w:oddHBand="0" w:evenHBand="1" w:firstRowFirstColumn="0" w:firstRowLastColumn="0" w:lastRowFirstColumn="0" w:lastRowLastColumn="0"/>
          <w:trHeight w:val="317"/>
        </w:trPr>
        <w:tc>
          <w:tcPr>
            <w:tcW w:w="2643" w:type="pct"/>
            <w:hideMark/>
          </w:tcPr>
          <w:p w14:paraId="0774EF9E"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Families and Communities Service Improvement</w:t>
            </w:r>
          </w:p>
        </w:tc>
        <w:tc>
          <w:tcPr>
            <w:tcW w:w="655" w:type="pct"/>
            <w:hideMark/>
          </w:tcPr>
          <w:p w14:paraId="2C19384D" w14:textId="77777777" w:rsidR="0029429F" w:rsidRPr="00771C23" w:rsidRDefault="0029429F" w:rsidP="00E117FD">
            <w:pPr>
              <w:keepNext/>
              <w:keepLines/>
              <w:spacing w:before="40" w:after="40"/>
              <w:jc w:val="right"/>
              <w:rPr>
                <w:sz w:val="20"/>
                <w:szCs w:val="20"/>
              </w:rPr>
            </w:pPr>
            <w:r w:rsidRPr="00771C23">
              <w:rPr>
                <w:sz w:val="20"/>
                <w:szCs w:val="20"/>
              </w:rPr>
              <w:t>6</w:t>
            </w:r>
          </w:p>
        </w:tc>
        <w:tc>
          <w:tcPr>
            <w:tcW w:w="882" w:type="pct"/>
            <w:hideMark/>
          </w:tcPr>
          <w:p w14:paraId="5E919969" w14:textId="77777777" w:rsidR="0029429F" w:rsidRPr="00771C23" w:rsidRDefault="0029429F" w:rsidP="00E117FD">
            <w:pPr>
              <w:keepNext/>
              <w:keepLines/>
              <w:spacing w:before="40" w:after="40"/>
              <w:jc w:val="right"/>
              <w:rPr>
                <w:sz w:val="20"/>
                <w:szCs w:val="20"/>
              </w:rPr>
            </w:pPr>
            <w:r w:rsidRPr="00771C23">
              <w:rPr>
                <w:sz w:val="20"/>
                <w:szCs w:val="20"/>
              </w:rPr>
              <w:t>6</w:t>
            </w:r>
          </w:p>
        </w:tc>
        <w:tc>
          <w:tcPr>
            <w:tcW w:w="820" w:type="pct"/>
            <w:hideMark/>
          </w:tcPr>
          <w:p w14:paraId="12B72BA0" w14:textId="77777777" w:rsidR="0029429F" w:rsidRPr="00771C23" w:rsidRDefault="0029429F" w:rsidP="00E117FD">
            <w:pPr>
              <w:keepNext/>
              <w:keepLines/>
              <w:spacing w:before="40" w:after="40"/>
              <w:jc w:val="right"/>
              <w:rPr>
                <w:sz w:val="20"/>
                <w:szCs w:val="20"/>
              </w:rPr>
            </w:pPr>
            <w:r w:rsidRPr="00771C23">
              <w:rPr>
                <w:sz w:val="20"/>
                <w:szCs w:val="20"/>
              </w:rPr>
              <w:t>6</w:t>
            </w:r>
          </w:p>
        </w:tc>
      </w:tr>
      <w:tr w:rsidR="0029429F" w:rsidRPr="00771C23" w14:paraId="698C3AB6"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2643" w:type="pct"/>
            <w:hideMark/>
          </w:tcPr>
          <w:p w14:paraId="69BA6CDE"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 xml:space="preserve">Strong and Resilient </w:t>
            </w:r>
            <w:proofErr w:type="spellStart"/>
            <w:r w:rsidRPr="00771C23">
              <w:rPr>
                <w:rFonts w:eastAsia="Times New Roman" w:cs="Arial"/>
                <w:color w:val="000000" w:themeColor="text1"/>
                <w:spacing w:val="4"/>
                <w:sz w:val="20"/>
                <w:szCs w:val="20"/>
                <w:lang w:val="en-GB"/>
              </w:rPr>
              <w:t>Communities</w:t>
            </w:r>
            <w:r w:rsidRPr="00771C23">
              <w:rPr>
                <w:rFonts w:eastAsia="Times New Roman" w:cs="Arial"/>
                <w:color w:val="000000" w:themeColor="text1"/>
                <w:spacing w:val="4"/>
                <w:sz w:val="20"/>
                <w:szCs w:val="20"/>
                <w:vertAlign w:val="superscript"/>
                <w:lang w:val="en-GB"/>
              </w:rPr>
              <w:t>c</w:t>
            </w:r>
            <w:proofErr w:type="spellEnd"/>
          </w:p>
        </w:tc>
        <w:tc>
          <w:tcPr>
            <w:tcW w:w="655" w:type="pct"/>
            <w:hideMark/>
          </w:tcPr>
          <w:p w14:paraId="2FEF674D" w14:textId="77777777" w:rsidR="0029429F" w:rsidRPr="00771C23" w:rsidRDefault="0029429F" w:rsidP="00E117FD">
            <w:pPr>
              <w:keepNext/>
              <w:keepLines/>
              <w:spacing w:before="40" w:after="40"/>
              <w:jc w:val="right"/>
              <w:rPr>
                <w:sz w:val="20"/>
                <w:szCs w:val="20"/>
              </w:rPr>
            </w:pPr>
            <w:r w:rsidRPr="00771C23">
              <w:rPr>
                <w:sz w:val="20"/>
                <w:szCs w:val="20"/>
              </w:rPr>
              <w:t>3413</w:t>
            </w:r>
          </w:p>
        </w:tc>
        <w:tc>
          <w:tcPr>
            <w:tcW w:w="882" w:type="pct"/>
            <w:hideMark/>
          </w:tcPr>
          <w:p w14:paraId="0E5AC8F8" w14:textId="77777777" w:rsidR="0029429F" w:rsidRPr="00771C23" w:rsidRDefault="0029429F" w:rsidP="00E117FD">
            <w:pPr>
              <w:keepNext/>
              <w:keepLines/>
              <w:spacing w:before="40" w:after="40"/>
              <w:jc w:val="right"/>
              <w:rPr>
                <w:sz w:val="20"/>
                <w:szCs w:val="20"/>
              </w:rPr>
            </w:pPr>
            <w:r w:rsidRPr="00771C23">
              <w:rPr>
                <w:sz w:val="20"/>
                <w:szCs w:val="20"/>
              </w:rPr>
              <w:t>1,308</w:t>
            </w:r>
          </w:p>
        </w:tc>
        <w:tc>
          <w:tcPr>
            <w:tcW w:w="820" w:type="pct"/>
            <w:hideMark/>
          </w:tcPr>
          <w:p w14:paraId="4BDC9D52" w14:textId="77777777" w:rsidR="0029429F" w:rsidRPr="00771C23" w:rsidRDefault="0029429F" w:rsidP="00E117FD">
            <w:pPr>
              <w:keepNext/>
              <w:keepLines/>
              <w:spacing w:before="40" w:after="40"/>
              <w:jc w:val="right"/>
              <w:rPr>
                <w:sz w:val="20"/>
                <w:szCs w:val="20"/>
              </w:rPr>
            </w:pPr>
            <w:r w:rsidRPr="00771C23">
              <w:rPr>
                <w:sz w:val="20"/>
                <w:szCs w:val="20"/>
              </w:rPr>
              <w:t>106</w:t>
            </w:r>
          </w:p>
        </w:tc>
      </w:tr>
      <w:tr w:rsidR="0029429F" w:rsidRPr="00771C23" w14:paraId="666EA477" w14:textId="77777777" w:rsidTr="00E117FD">
        <w:trPr>
          <w:cnfStyle w:val="000000010000" w:firstRow="0" w:lastRow="0" w:firstColumn="0" w:lastColumn="0" w:oddVBand="0" w:evenVBand="0" w:oddHBand="0" w:evenHBand="1" w:firstRowFirstColumn="0" w:firstRowLastColumn="0" w:lastRowFirstColumn="0" w:lastRowLastColumn="0"/>
          <w:trHeight w:val="317"/>
        </w:trPr>
        <w:tc>
          <w:tcPr>
            <w:tcW w:w="2643" w:type="pct"/>
            <w:hideMark/>
          </w:tcPr>
          <w:p w14:paraId="43B555D9"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Volunteer Management Activity</w:t>
            </w:r>
          </w:p>
        </w:tc>
        <w:tc>
          <w:tcPr>
            <w:tcW w:w="655" w:type="pct"/>
            <w:hideMark/>
          </w:tcPr>
          <w:p w14:paraId="1EAB37BB" w14:textId="77777777" w:rsidR="0029429F" w:rsidRPr="00771C23" w:rsidRDefault="0029429F" w:rsidP="00E117FD">
            <w:pPr>
              <w:keepNext/>
              <w:keepLines/>
              <w:spacing w:before="40" w:after="40"/>
              <w:jc w:val="right"/>
              <w:rPr>
                <w:sz w:val="20"/>
                <w:szCs w:val="20"/>
              </w:rPr>
            </w:pPr>
            <w:r w:rsidRPr="00771C23">
              <w:rPr>
                <w:sz w:val="20"/>
                <w:szCs w:val="20"/>
              </w:rPr>
              <w:t>52</w:t>
            </w:r>
          </w:p>
        </w:tc>
        <w:tc>
          <w:tcPr>
            <w:tcW w:w="882" w:type="pct"/>
            <w:hideMark/>
          </w:tcPr>
          <w:p w14:paraId="2985C8DE" w14:textId="77777777" w:rsidR="0029429F" w:rsidRPr="00771C23" w:rsidRDefault="0029429F" w:rsidP="00E117FD">
            <w:pPr>
              <w:keepNext/>
              <w:keepLines/>
              <w:spacing w:before="40" w:after="40"/>
              <w:jc w:val="right"/>
              <w:rPr>
                <w:sz w:val="20"/>
                <w:szCs w:val="20"/>
              </w:rPr>
            </w:pPr>
            <w:r w:rsidRPr="00771C23">
              <w:rPr>
                <w:sz w:val="20"/>
                <w:szCs w:val="20"/>
              </w:rPr>
              <w:t>52</w:t>
            </w:r>
          </w:p>
        </w:tc>
        <w:tc>
          <w:tcPr>
            <w:tcW w:w="820" w:type="pct"/>
            <w:hideMark/>
          </w:tcPr>
          <w:p w14:paraId="0C77AE84" w14:textId="77777777" w:rsidR="0029429F" w:rsidRPr="00771C23" w:rsidRDefault="0029429F" w:rsidP="00E117FD">
            <w:pPr>
              <w:keepNext/>
              <w:keepLines/>
              <w:spacing w:before="40" w:after="40"/>
              <w:jc w:val="right"/>
              <w:rPr>
                <w:sz w:val="20"/>
                <w:szCs w:val="20"/>
                <w:highlight w:val="yellow"/>
              </w:rPr>
            </w:pPr>
            <w:r w:rsidRPr="00771C23">
              <w:rPr>
                <w:sz w:val="20"/>
                <w:szCs w:val="20"/>
              </w:rPr>
              <w:t>52</w:t>
            </w:r>
          </w:p>
        </w:tc>
      </w:tr>
      <w:tr w:rsidR="0029429F" w:rsidRPr="00771C23" w14:paraId="15CEA8FA"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2643" w:type="pct"/>
            <w:hideMark/>
          </w:tcPr>
          <w:p w14:paraId="3DA85102"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Volunteer Grants</w:t>
            </w:r>
          </w:p>
        </w:tc>
        <w:tc>
          <w:tcPr>
            <w:tcW w:w="655" w:type="pct"/>
            <w:hideMark/>
          </w:tcPr>
          <w:p w14:paraId="7D388327" w14:textId="77777777" w:rsidR="0029429F" w:rsidRPr="00771C23" w:rsidRDefault="0029429F" w:rsidP="00E117FD">
            <w:pPr>
              <w:keepNext/>
              <w:keepLines/>
              <w:spacing w:before="40" w:after="40"/>
              <w:jc w:val="right"/>
              <w:rPr>
                <w:sz w:val="20"/>
                <w:szCs w:val="20"/>
              </w:rPr>
            </w:pPr>
            <w:r w:rsidRPr="00771C23">
              <w:rPr>
                <w:sz w:val="20"/>
                <w:szCs w:val="20"/>
              </w:rPr>
              <w:t>2,711</w:t>
            </w:r>
          </w:p>
        </w:tc>
        <w:tc>
          <w:tcPr>
            <w:tcW w:w="882" w:type="pct"/>
            <w:hideMark/>
          </w:tcPr>
          <w:p w14:paraId="7C0C6FAB" w14:textId="77777777" w:rsidR="0029429F" w:rsidRPr="00771C23" w:rsidRDefault="0029429F" w:rsidP="00E117FD">
            <w:pPr>
              <w:keepNext/>
              <w:keepLines/>
              <w:spacing w:before="40" w:after="40"/>
              <w:jc w:val="right"/>
              <w:rPr>
                <w:sz w:val="20"/>
                <w:szCs w:val="20"/>
              </w:rPr>
            </w:pPr>
            <w:r w:rsidRPr="00771C23">
              <w:rPr>
                <w:sz w:val="20"/>
                <w:szCs w:val="20"/>
              </w:rPr>
              <w:t>5,003</w:t>
            </w:r>
            <w:r w:rsidRPr="00771C23">
              <w:rPr>
                <w:rFonts w:eastAsia="Times New Roman" w:cs="Arial"/>
                <w:color w:val="000000" w:themeColor="text1"/>
                <w:spacing w:val="4"/>
                <w:sz w:val="20"/>
                <w:szCs w:val="20"/>
                <w:vertAlign w:val="superscript"/>
                <w:lang w:val="en-GB"/>
              </w:rPr>
              <w:t>d</w:t>
            </w:r>
          </w:p>
        </w:tc>
        <w:tc>
          <w:tcPr>
            <w:tcW w:w="820" w:type="pct"/>
            <w:hideMark/>
          </w:tcPr>
          <w:p w14:paraId="0424E0BF" w14:textId="2F7E7294" w:rsidR="0029429F" w:rsidRPr="00771C23" w:rsidRDefault="00384B66" w:rsidP="00E117FD">
            <w:pPr>
              <w:keepNext/>
              <w:keepLines/>
              <w:spacing w:before="40" w:after="40"/>
              <w:jc w:val="right"/>
              <w:rPr>
                <w:sz w:val="20"/>
                <w:szCs w:val="20"/>
                <w:highlight w:val="yellow"/>
              </w:rPr>
            </w:pPr>
            <w:r w:rsidRPr="00771C23">
              <w:rPr>
                <w:rFonts w:eastAsia="Times New Roman"/>
                <w:color w:val="000000" w:themeColor="text1"/>
                <w:spacing w:val="4"/>
                <w:sz w:val="20"/>
                <w:szCs w:val="20"/>
                <w:lang w:val="en-GB"/>
              </w:rPr>
              <w:t>–</w:t>
            </w:r>
            <w:r w:rsidR="0029429F" w:rsidRPr="00771C23">
              <w:rPr>
                <w:sz w:val="20"/>
                <w:szCs w:val="20"/>
                <w:vertAlign w:val="superscript"/>
              </w:rPr>
              <w:t>e</w:t>
            </w:r>
          </w:p>
        </w:tc>
      </w:tr>
      <w:tr w:rsidR="0029429F" w:rsidRPr="00771C23" w14:paraId="338D57F4" w14:textId="77777777" w:rsidTr="00E117FD">
        <w:trPr>
          <w:cnfStyle w:val="000000010000" w:firstRow="0" w:lastRow="0" w:firstColumn="0" w:lastColumn="0" w:oddVBand="0" w:evenVBand="0" w:oddHBand="0" w:evenHBand="1" w:firstRowFirstColumn="0" w:firstRowLastColumn="0" w:lastRowFirstColumn="0" w:lastRowLastColumn="0"/>
          <w:trHeight w:val="317"/>
        </w:trPr>
        <w:tc>
          <w:tcPr>
            <w:tcW w:w="2643" w:type="pct"/>
            <w:hideMark/>
          </w:tcPr>
          <w:p w14:paraId="34352B07"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 xml:space="preserve">National </w:t>
            </w:r>
            <w:proofErr w:type="spellStart"/>
            <w:r w:rsidRPr="00771C23">
              <w:rPr>
                <w:rFonts w:eastAsia="Times New Roman" w:cs="Arial"/>
                <w:color w:val="000000" w:themeColor="text1"/>
                <w:spacing w:val="4"/>
                <w:sz w:val="20"/>
                <w:szCs w:val="20"/>
                <w:lang w:val="en-GB"/>
              </w:rPr>
              <w:t>Initiatives</w:t>
            </w:r>
            <w:r w:rsidRPr="00771C23">
              <w:rPr>
                <w:rFonts w:eastAsia="Times New Roman" w:cs="Arial"/>
                <w:color w:val="000000" w:themeColor="text1"/>
                <w:spacing w:val="4"/>
                <w:sz w:val="20"/>
                <w:szCs w:val="20"/>
                <w:vertAlign w:val="superscript"/>
                <w:lang w:val="en-GB"/>
              </w:rPr>
              <w:t>f</w:t>
            </w:r>
            <w:proofErr w:type="spellEnd"/>
          </w:p>
        </w:tc>
        <w:tc>
          <w:tcPr>
            <w:tcW w:w="655" w:type="pct"/>
            <w:hideMark/>
          </w:tcPr>
          <w:p w14:paraId="76C08BD3" w14:textId="77777777" w:rsidR="0029429F" w:rsidRPr="00771C23" w:rsidRDefault="0029429F" w:rsidP="00E117FD">
            <w:pPr>
              <w:keepNext/>
              <w:keepLines/>
              <w:spacing w:before="40" w:after="40"/>
              <w:jc w:val="right"/>
              <w:rPr>
                <w:sz w:val="20"/>
                <w:szCs w:val="20"/>
              </w:rPr>
            </w:pPr>
            <w:r w:rsidRPr="00771C23">
              <w:rPr>
                <w:sz w:val="20"/>
                <w:szCs w:val="20"/>
              </w:rPr>
              <w:t>93</w:t>
            </w:r>
          </w:p>
        </w:tc>
        <w:tc>
          <w:tcPr>
            <w:tcW w:w="882" w:type="pct"/>
            <w:hideMark/>
          </w:tcPr>
          <w:p w14:paraId="53C10727" w14:textId="77777777" w:rsidR="0029429F" w:rsidRPr="00771C23" w:rsidRDefault="0029429F" w:rsidP="00E117FD">
            <w:pPr>
              <w:keepNext/>
              <w:keepLines/>
              <w:spacing w:before="40" w:after="40"/>
              <w:jc w:val="right"/>
              <w:rPr>
                <w:sz w:val="20"/>
                <w:szCs w:val="20"/>
              </w:rPr>
            </w:pPr>
            <w:r w:rsidRPr="00771C23">
              <w:rPr>
                <w:sz w:val="20"/>
                <w:szCs w:val="20"/>
              </w:rPr>
              <w:t>104</w:t>
            </w:r>
          </w:p>
        </w:tc>
        <w:tc>
          <w:tcPr>
            <w:tcW w:w="820" w:type="pct"/>
            <w:hideMark/>
          </w:tcPr>
          <w:p w14:paraId="2F3C336B" w14:textId="77777777" w:rsidR="0029429F" w:rsidRPr="00771C23" w:rsidRDefault="0029429F" w:rsidP="00E117FD">
            <w:pPr>
              <w:keepNext/>
              <w:keepLines/>
              <w:spacing w:before="40" w:after="40"/>
              <w:jc w:val="right"/>
              <w:rPr>
                <w:sz w:val="20"/>
                <w:szCs w:val="20"/>
              </w:rPr>
            </w:pPr>
            <w:r w:rsidRPr="00771C23">
              <w:rPr>
                <w:sz w:val="20"/>
                <w:szCs w:val="20"/>
              </w:rPr>
              <w:t>100</w:t>
            </w:r>
          </w:p>
        </w:tc>
      </w:tr>
    </w:tbl>
    <w:p w14:paraId="5073FB70" w14:textId="77777777" w:rsidR="0029429F" w:rsidRPr="00771C23" w:rsidRDefault="0029429F" w:rsidP="0029429F">
      <w:pPr>
        <w:spacing w:after="0" w:line="240" w:lineRule="auto"/>
        <w:ind w:left="284" w:hanging="284"/>
        <w:contextualSpacing/>
        <w:rPr>
          <w:rFonts w:eastAsia="Arial"/>
          <w:sz w:val="16"/>
          <w:szCs w:val="16"/>
        </w:rPr>
      </w:pPr>
      <w:r w:rsidRPr="00771C23">
        <w:rPr>
          <w:sz w:val="16"/>
          <w:szCs w:val="16"/>
        </w:rPr>
        <w:t>a</w:t>
      </w:r>
      <w:r w:rsidRPr="00771C23">
        <w:rPr>
          <w:sz w:val="16"/>
          <w:szCs w:val="16"/>
        </w:rPr>
        <w:tab/>
      </w:r>
      <w:r w:rsidRPr="00771C23">
        <w:rPr>
          <w:rFonts w:eastAsia="Arial"/>
          <w:sz w:val="16"/>
          <w:szCs w:val="16"/>
        </w:rPr>
        <w:t>Data is not comparable across years due to funding rounds being conducted in 2018–19. Organisations with different reporting arrangements for subsidiaries or delivery partners may mean the total number of delivery organisations is higher than reported.</w:t>
      </w:r>
    </w:p>
    <w:p w14:paraId="0C81E2B0" w14:textId="77777777" w:rsidR="0029429F" w:rsidRPr="00771C23" w:rsidRDefault="0029429F" w:rsidP="0029429F">
      <w:pPr>
        <w:spacing w:after="0" w:line="240" w:lineRule="auto"/>
        <w:ind w:left="284" w:hanging="284"/>
        <w:rPr>
          <w:sz w:val="16"/>
          <w:szCs w:val="16"/>
        </w:rPr>
      </w:pPr>
      <w:r w:rsidRPr="00771C23">
        <w:rPr>
          <w:sz w:val="16"/>
          <w:szCs w:val="16"/>
        </w:rPr>
        <w:t>b</w:t>
      </w:r>
      <w:r w:rsidRPr="00771C23">
        <w:rPr>
          <w:sz w:val="16"/>
          <w:szCs w:val="16"/>
        </w:rPr>
        <w:tab/>
        <w:t>This is a count of organisations delivering the program.</w:t>
      </w:r>
    </w:p>
    <w:p w14:paraId="6DE23C19" w14:textId="77777777" w:rsidR="0029429F" w:rsidRPr="00771C23" w:rsidRDefault="0029429F" w:rsidP="0029429F">
      <w:pPr>
        <w:spacing w:after="0" w:line="240" w:lineRule="auto"/>
        <w:ind w:left="284" w:hanging="284"/>
        <w:contextualSpacing/>
        <w:rPr>
          <w:rFonts w:ascii="Times New Roman" w:hAnsi="Times New Roman"/>
          <w:sz w:val="20"/>
        </w:rPr>
      </w:pPr>
      <w:r w:rsidRPr="00771C23">
        <w:rPr>
          <w:sz w:val="16"/>
          <w:szCs w:val="16"/>
        </w:rPr>
        <w:t>c</w:t>
      </w:r>
      <w:r w:rsidRPr="00771C23">
        <w:rPr>
          <w:sz w:val="16"/>
          <w:szCs w:val="16"/>
        </w:rPr>
        <w:tab/>
        <w:t>Strong and Resilient Communities Activity replaced Strengthening Communities from 1 April 2018. Data is not comparable as a reduced number of organisations were funded to deliver services prior to the commencement of the Strong and Resilient Communities Activity. Digital Literacy for Older Australians started providing services in 2017–18 and was fully implemented in 2018–19, resulting in an increased number of Network Partner organisations in 2019</w:t>
      </w:r>
      <w:r w:rsidRPr="00771C23">
        <w:rPr>
          <w:rFonts w:eastAsia="Times New Roman"/>
          <w:sz w:val="16"/>
          <w:szCs w:val="16"/>
        </w:rPr>
        <w:t>–</w:t>
      </w:r>
      <w:r w:rsidRPr="00771C23">
        <w:rPr>
          <w:sz w:val="16"/>
          <w:szCs w:val="16"/>
        </w:rPr>
        <w:t>20.</w:t>
      </w:r>
    </w:p>
    <w:p w14:paraId="1B2873D6" w14:textId="77777777" w:rsidR="0029429F" w:rsidRPr="00771C23" w:rsidRDefault="0029429F" w:rsidP="0029429F">
      <w:pPr>
        <w:spacing w:after="0" w:line="240" w:lineRule="auto"/>
        <w:ind w:left="284" w:hanging="284"/>
        <w:contextualSpacing/>
        <w:rPr>
          <w:rFonts w:cs="Arial"/>
          <w:sz w:val="16"/>
          <w:szCs w:val="16"/>
        </w:rPr>
      </w:pPr>
      <w:r w:rsidRPr="00771C23">
        <w:rPr>
          <w:rFonts w:cs="Arial"/>
          <w:sz w:val="16"/>
          <w:szCs w:val="16"/>
        </w:rPr>
        <w:t>d</w:t>
      </w:r>
      <w:r w:rsidRPr="00771C23">
        <w:rPr>
          <w:rFonts w:cs="Arial"/>
          <w:sz w:val="16"/>
          <w:szCs w:val="16"/>
        </w:rPr>
        <w:tab/>
        <w:t>Combined 2017</w:t>
      </w:r>
      <w:r>
        <w:rPr>
          <w:rFonts w:cs="Arial"/>
          <w:sz w:val="16"/>
          <w:szCs w:val="16"/>
        </w:rPr>
        <w:t>–</w:t>
      </w:r>
      <w:r w:rsidRPr="00771C23">
        <w:rPr>
          <w:rFonts w:cs="Arial"/>
          <w:sz w:val="16"/>
          <w:szCs w:val="16"/>
        </w:rPr>
        <w:t>18 and 2018</w:t>
      </w:r>
      <w:r>
        <w:rPr>
          <w:rFonts w:cs="Arial"/>
          <w:sz w:val="16"/>
          <w:szCs w:val="16"/>
        </w:rPr>
        <w:t>–</w:t>
      </w:r>
      <w:r w:rsidRPr="00771C23">
        <w:rPr>
          <w:rFonts w:cs="Arial"/>
          <w:sz w:val="16"/>
          <w:szCs w:val="16"/>
        </w:rPr>
        <w:t>19 Volunteer Grants funding round.</w:t>
      </w:r>
    </w:p>
    <w:p w14:paraId="79F089D1" w14:textId="77777777" w:rsidR="0029429F" w:rsidRPr="00771C23" w:rsidRDefault="0029429F" w:rsidP="0029429F">
      <w:pPr>
        <w:spacing w:after="0" w:line="240" w:lineRule="auto"/>
        <w:ind w:left="284" w:hanging="284"/>
        <w:contextualSpacing/>
        <w:rPr>
          <w:sz w:val="16"/>
          <w:szCs w:val="16"/>
        </w:rPr>
      </w:pPr>
      <w:r w:rsidRPr="00771C23">
        <w:rPr>
          <w:sz w:val="16"/>
          <w:szCs w:val="16"/>
        </w:rPr>
        <w:t>e</w:t>
      </w:r>
      <w:r w:rsidRPr="00771C23">
        <w:rPr>
          <w:sz w:val="16"/>
          <w:szCs w:val="16"/>
        </w:rPr>
        <w:tab/>
        <w:t>As 2017–18 Volunteer Grants funds were deferred to support a combined round in 2018–19, there was no selection round in 2017–18.</w:t>
      </w:r>
    </w:p>
    <w:p w14:paraId="1BE41628" w14:textId="77777777" w:rsidR="0029429F" w:rsidRPr="00771C23" w:rsidRDefault="0029429F" w:rsidP="0029429F">
      <w:pPr>
        <w:spacing w:after="0" w:line="240" w:lineRule="auto"/>
        <w:ind w:left="284" w:hanging="284"/>
        <w:contextualSpacing/>
        <w:rPr>
          <w:sz w:val="16"/>
          <w:szCs w:val="16"/>
        </w:rPr>
      </w:pPr>
      <w:r w:rsidRPr="00771C23">
        <w:rPr>
          <w:sz w:val="16"/>
          <w:szCs w:val="16"/>
        </w:rPr>
        <w:t>f</w:t>
      </w:r>
      <w:r w:rsidRPr="00771C23">
        <w:rPr>
          <w:sz w:val="16"/>
          <w:szCs w:val="16"/>
        </w:rPr>
        <w:tab/>
        <w:t xml:space="preserve">This figure includes organisations contracted or receiving grant funding under both the </w:t>
      </w:r>
      <w:r w:rsidRPr="00771C23">
        <w:rPr>
          <w:i/>
          <w:sz w:val="16"/>
          <w:szCs w:val="16"/>
        </w:rPr>
        <w:t>National Plan to Reduce Violence against Women and their Children 2010</w:t>
      </w:r>
      <w:r w:rsidRPr="00771C23">
        <w:rPr>
          <w:rFonts w:eastAsia="Times New Roman"/>
          <w:sz w:val="16"/>
          <w:szCs w:val="16"/>
        </w:rPr>
        <w:t>–</w:t>
      </w:r>
      <w:r w:rsidRPr="00771C23">
        <w:rPr>
          <w:i/>
          <w:sz w:val="16"/>
          <w:szCs w:val="16"/>
        </w:rPr>
        <w:t>2022</w:t>
      </w:r>
      <w:r w:rsidRPr="00771C23">
        <w:rPr>
          <w:sz w:val="16"/>
          <w:szCs w:val="16"/>
        </w:rPr>
        <w:t xml:space="preserve">, and the </w:t>
      </w:r>
      <w:r w:rsidRPr="00771C23">
        <w:rPr>
          <w:i/>
          <w:sz w:val="16"/>
          <w:szCs w:val="16"/>
        </w:rPr>
        <w:t>National Framework for Protecting Australia's Children 2009–2020</w:t>
      </w:r>
      <w:r w:rsidRPr="00771C23">
        <w:rPr>
          <w:sz w:val="16"/>
          <w:szCs w:val="16"/>
        </w:rPr>
        <w:t>.</w:t>
      </w:r>
    </w:p>
    <w:p w14:paraId="6E0F71F2" w14:textId="77777777" w:rsidR="0029429F" w:rsidRPr="00771C23" w:rsidRDefault="0029429F" w:rsidP="0029429F">
      <w:pPr>
        <w:spacing w:before="240" w:after="240"/>
        <w:outlineLvl w:val="7"/>
        <w:rPr>
          <w:rFonts w:eastAsiaTheme="majorEastAsia" w:cstheme="majorBidi"/>
          <w:b/>
          <w:color w:val="595959" w:themeColor="text1" w:themeTint="A6"/>
          <w:sz w:val="24"/>
          <w:szCs w:val="20"/>
        </w:rPr>
      </w:pPr>
      <w:r w:rsidRPr="00771C23">
        <w:rPr>
          <w:rFonts w:eastAsiaTheme="majorEastAsia" w:cstheme="majorBidi"/>
          <w:b/>
          <w:color w:val="595959" w:themeColor="text1" w:themeTint="A6"/>
          <w:sz w:val="24"/>
          <w:szCs w:val="20"/>
        </w:rPr>
        <w:lastRenderedPageBreak/>
        <w:t>C2.4.4 Number of institutions that have joined the National Redress Scheme</w:t>
      </w:r>
    </w:p>
    <w:p w14:paraId="61933863" w14:textId="77777777" w:rsidR="0029429F" w:rsidRPr="00771C23" w:rsidRDefault="0029429F" w:rsidP="0029429F">
      <w:pPr>
        <w:keepNext/>
        <w:spacing w:before="240" w:after="0" w:line="260" w:lineRule="atLeast"/>
        <w:ind w:right="425"/>
        <w:rPr>
          <w:rFonts w:ascii="Arial Narrow" w:eastAsia="Times New Roman" w:hAnsi="Arial Narrow" w:cs="Times New Roman"/>
          <w:b/>
          <w:bCs/>
          <w:spacing w:val="4"/>
          <w:sz w:val="20"/>
          <w:szCs w:val="18"/>
          <w:lang w:eastAsia="en-AU"/>
        </w:rPr>
      </w:pPr>
      <w:r w:rsidRPr="00771C23">
        <w:rPr>
          <w:rFonts w:ascii="Arial Narrow" w:eastAsia="Times New Roman" w:hAnsi="Arial Narrow" w:cs="Times New Roman"/>
          <w:b/>
          <w:bCs/>
          <w:spacing w:val="4"/>
          <w:sz w:val="20"/>
          <w:szCs w:val="18"/>
          <w:lang w:eastAsia="en-AU"/>
        </w:rPr>
        <w:t>Table 2.2.15: Number of institutions that have joined the National Redress Scheme</w:t>
      </w:r>
    </w:p>
    <w:tbl>
      <w:tblPr>
        <w:tblStyle w:val="HHorizontaltable1"/>
        <w:tblW w:w="5000" w:type="pct"/>
        <w:tblLook w:val="04A0" w:firstRow="1" w:lastRow="0" w:firstColumn="1" w:lastColumn="0" w:noHBand="0" w:noVBand="1"/>
        <w:tblCaption w:val="Table 2.2.15: Number of institutions that have joined the National Redress Scheme"/>
        <w:tblDescription w:val="Table 2.2.15: Number of institutions that have joined the National Redress Scheme"/>
      </w:tblPr>
      <w:tblGrid>
        <w:gridCol w:w="4820"/>
        <w:gridCol w:w="1154"/>
        <w:gridCol w:w="1527"/>
        <w:gridCol w:w="1525"/>
      </w:tblGrid>
      <w:tr w:rsidR="0029429F" w:rsidRPr="00771C23" w14:paraId="5582AE05"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2670" w:type="pct"/>
            <w:tcBorders>
              <w:bottom w:val="single" w:sz="4" w:space="0" w:color="FFFFFF" w:themeColor="background1"/>
            </w:tcBorders>
            <w:hideMark/>
          </w:tcPr>
          <w:p w14:paraId="67E72852" w14:textId="77777777" w:rsidR="0029429F" w:rsidRPr="007F2601" w:rsidRDefault="0029429F" w:rsidP="00E117FD">
            <w:pPr>
              <w:spacing w:before="40" w:after="40"/>
              <w:rPr>
                <w:rFonts w:eastAsia="Times New Roman"/>
                <w:spacing w:val="4"/>
                <w:sz w:val="20"/>
                <w:szCs w:val="20"/>
                <w:lang w:val="en-GB"/>
              </w:rPr>
            </w:pPr>
            <w:r w:rsidRPr="007F2601">
              <w:rPr>
                <w:rFonts w:eastAsia="Times New Roman" w:cs="Times New Roman"/>
                <w:spacing w:val="4"/>
                <w:sz w:val="20"/>
                <w:szCs w:val="18"/>
                <w:lang w:val="en-GB"/>
              </w:rPr>
              <w:t>Output performance measure</w:t>
            </w:r>
          </w:p>
        </w:tc>
        <w:tc>
          <w:tcPr>
            <w:tcW w:w="639" w:type="pct"/>
            <w:tcBorders>
              <w:bottom w:val="single" w:sz="4" w:space="0" w:color="FFFFFF" w:themeColor="background1"/>
            </w:tcBorders>
            <w:hideMark/>
          </w:tcPr>
          <w:p w14:paraId="2A02C362" w14:textId="77777777" w:rsidR="0029429F" w:rsidRPr="007F2601" w:rsidRDefault="0029429F" w:rsidP="00E117FD">
            <w:pPr>
              <w:keepNext/>
              <w:keepLines/>
              <w:spacing w:before="40" w:after="40"/>
              <w:jc w:val="right"/>
              <w:rPr>
                <w:sz w:val="20"/>
                <w:szCs w:val="20"/>
              </w:rPr>
            </w:pPr>
            <w:r w:rsidRPr="007F2601">
              <w:rPr>
                <w:sz w:val="20"/>
                <w:szCs w:val="20"/>
              </w:rPr>
              <w:t>2019–20</w:t>
            </w:r>
          </w:p>
        </w:tc>
        <w:tc>
          <w:tcPr>
            <w:tcW w:w="846" w:type="pct"/>
            <w:tcBorders>
              <w:bottom w:val="single" w:sz="4" w:space="0" w:color="FFFFFF" w:themeColor="background1"/>
            </w:tcBorders>
            <w:hideMark/>
          </w:tcPr>
          <w:p w14:paraId="470E482A" w14:textId="77777777" w:rsidR="0029429F" w:rsidRPr="007F2601" w:rsidRDefault="0029429F" w:rsidP="00E117FD">
            <w:pPr>
              <w:keepNext/>
              <w:keepLines/>
              <w:spacing w:before="40" w:after="40"/>
              <w:jc w:val="right"/>
              <w:rPr>
                <w:sz w:val="20"/>
                <w:szCs w:val="20"/>
              </w:rPr>
            </w:pPr>
            <w:r w:rsidRPr="007F2601">
              <w:rPr>
                <w:rFonts w:eastAsia="Times New Roman" w:cs="Times New Roman"/>
                <w:sz w:val="20"/>
                <w:szCs w:val="18"/>
              </w:rPr>
              <w:t>2018–19</w:t>
            </w:r>
          </w:p>
        </w:tc>
        <w:tc>
          <w:tcPr>
            <w:tcW w:w="845" w:type="pct"/>
            <w:tcBorders>
              <w:bottom w:val="single" w:sz="4" w:space="0" w:color="FFFFFF" w:themeColor="background1"/>
            </w:tcBorders>
            <w:hideMark/>
          </w:tcPr>
          <w:p w14:paraId="09F34AA1" w14:textId="77777777" w:rsidR="0029429F" w:rsidRPr="007F2601" w:rsidRDefault="0029429F" w:rsidP="00E117FD">
            <w:pPr>
              <w:keepNext/>
              <w:keepLines/>
              <w:spacing w:before="40" w:after="40"/>
              <w:jc w:val="right"/>
              <w:rPr>
                <w:rFonts w:eastAsia="Times New Roman" w:cs="Times New Roman"/>
                <w:sz w:val="20"/>
                <w:szCs w:val="18"/>
              </w:rPr>
            </w:pPr>
            <w:r w:rsidRPr="007F2601">
              <w:rPr>
                <w:rFonts w:eastAsia="Times New Roman" w:cs="Times New Roman"/>
                <w:sz w:val="20"/>
                <w:szCs w:val="18"/>
              </w:rPr>
              <w:t>2017–18</w:t>
            </w:r>
          </w:p>
        </w:tc>
      </w:tr>
      <w:tr w:rsidR="0029429F" w:rsidRPr="00771C23" w14:paraId="66EDEE65"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115AE41D" w14:textId="77777777" w:rsidR="0029429F" w:rsidRPr="00771C23" w:rsidRDefault="0029429F" w:rsidP="00E117FD">
            <w:pPr>
              <w:spacing w:before="40" w:after="40"/>
              <w:rPr>
                <w:rFonts w:eastAsia="Times New Roman" w:cs="Times New Roman"/>
                <w:b/>
                <w:spacing w:val="4"/>
                <w:sz w:val="20"/>
                <w:szCs w:val="18"/>
                <w:highlight w:val="yellow"/>
                <w:lang w:val="en-GB"/>
              </w:rPr>
            </w:pPr>
            <w:r w:rsidRPr="00771C23">
              <w:rPr>
                <w:rFonts w:eastAsia="Times New Roman" w:cs="Times New Roman"/>
                <w:b/>
                <w:spacing w:val="4"/>
                <w:sz w:val="20"/>
                <w:szCs w:val="18"/>
                <w:lang w:val="en-GB"/>
              </w:rPr>
              <w:t>Number of institutions that have joined the National Redress Scheme</w:t>
            </w:r>
          </w:p>
        </w:tc>
      </w:tr>
      <w:tr w:rsidR="0029429F" w:rsidRPr="00771C23" w14:paraId="29D2B9E5" w14:textId="77777777" w:rsidTr="00E117FD">
        <w:trPr>
          <w:cnfStyle w:val="000000010000" w:firstRow="0" w:lastRow="0" w:firstColumn="0" w:lastColumn="0" w:oddVBand="0" w:evenVBand="0" w:oddHBand="0" w:evenHBand="1" w:firstRowFirstColumn="0" w:firstRowLastColumn="0" w:lastRowFirstColumn="0" w:lastRowLastColumn="0"/>
          <w:trHeight w:val="317"/>
        </w:trPr>
        <w:tc>
          <w:tcPr>
            <w:tcW w:w="2670" w:type="pct"/>
            <w:hideMark/>
          </w:tcPr>
          <w:p w14:paraId="50DF8BEE" w14:textId="77777777" w:rsidR="0029429F" w:rsidRPr="00771C23" w:rsidRDefault="0029429F" w:rsidP="00E117FD">
            <w:pPr>
              <w:spacing w:before="40" w:after="40"/>
              <w:rPr>
                <w:rFonts w:eastAsia="Times New Roman" w:cs="Arial"/>
                <w:spacing w:val="4"/>
                <w:sz w:val="20"/>
                <w:szCs w:val="20"/>
                <w:highlight w:val="yellow"/>
                <w:lang w:val="en-GB"/>
              </w:rPr>
            </w:pPr>
            <w:r w:rsidRPr="00771C23">
              <w:rPr>
                <w:rFonts w:eastAsia="Times New Roman" w:cs="Arial"/>
                <w:color w:val="000000" w:themeColor="text1"/>
                <w:spacing w:val="4"/>
                <w:sz w:val="20"/>
                <w:szCs w:val="20"/>
                <w:lang w:val="en-GB"/>
              </w:rPr>
              <w:t xml:space="preserve">Number of institutions or groups of institutions that have joined the National Redress Scheme during the </w:t>
            </w:r>
            <w:proofErr w:type="spellStart"/>
            <w:r w:rsidRPr="00771C23">
              <w:rPr>
                <w:rFonts w:eastAsia="Times New Roman" w:cs="Arial"/>
                <w:color w:val="000000" w:themeColor="text1"/>
                <w:spacing w:val="4"/>
                <w:sz w:val="20"/>
                <w:szCs w:val="20"/>
                <w:lang w:val="en-GB"/>
              </w:rPr>
              <w:t>year</w:t>
            </w:r>
            <w:r w:rsidRPr="00771C23">
              <w:rPr>
                <w:rFonts w:eastAsia="Times New Roman" w:cs="Arial"/>
                <w:color w:val="000000" w:themeColor="text1"/>
                <w:spacing w:val="4"/>
                <w:sz w:val="20"/>
                <w:szCs w:val="20"/>
                <w:vertAlign w:val="superscript"/>
                <w:lang w:val="en-GB"/>
              </w:rPr>
              <w:t>a</w:t>
            </w:r>
            <w:proofErr w:type="spellEnd"/>
          </w:p>
        </w:tc>
        <w:tc>
          <w:tcPr>
            <w:tcW w:w="639" w:type="pct"/>
            <w:hideMark/>
          </w:tcPr>
          <w:p w14:paraId="2B08113D" w14:textId="77777777" w:rsidR="0029429F" w:rsidRPr="00771C23" w:rsidRDefault="0029429F" w:rsidP="00E117FD">
            <w:pPr>
              <w:keepNext/>
              <w:keepLines/>
              <w:spacing w:before="40" w:after="40"/>
              <w:jc w:val="right"/>
              <w:rPr>
                <w:color w:val="000000" w:themeColor="text1"/>
                <w:sz w:val="20"/>
                <w:szCs w:val="20"/>
              </w:rPr>
            </w:pPr>
            <w:r w:rsidRPr="00771C23">
              <w:rPr>
                <w:color w:val="000000" w:themeColor="text1"/>
                <w:sz w:val="20"/>
                <w:szCs w:val="20"/>
              </w:rPr>
              <w:t>177</w:t>
            </w:r>
          </w:p>
        </w:tc>
        <w:tc>
          <w:tcPr>
            <w:tcW w:w="846" w:type="pct"/>
            <w:hideMark/>
          </w:tcPr>
          <w:p w14:paraId="6F8A1A96" w14:textId="77777777" w:rsidR="0029429F" w:rsidRPr="00771C23" w:rsidRDefault="0029429F" w:rsidP="00E117FD">
            <w:pPr>
              <w:keepNext/>
              <w:keepLines/>
              <w:spacing w:before="40" w:after="40"/>
              <w:jc w:val="right"/>
              <w:rPr>
                <w:color w:val="000000" w:themeColor="text1"/>
                <w:sz w:val="20"/>
                <w:szCs w:val="20"/>
              </w:rPr>
            </w:pPr>
            <w:r w:rsidRPr="00771C23">
              <w:rPr>
                <w:color w:val="000000" w:themeColor="text1"/>
                <w:sz w:val="20"/>
                <w:szCs w:val="20"/>
              </w:rPr>
              <w:t>47</w:t>
            </w:r>
          </w:p>
        </w:tc>
        <w:tc>
          <w:tcPr>
            <w:tcW w:w="845" w:type="pct"/>
            <w:hideMark/>
          </w:tcPr>
          <w:p w14:paraId="202AECFF" w14:textId="77777777" w:rsidR="0029429F" w:rsidRPr="00771C23" w:rsidRDefault="0029429F" w:rsidP="00E117FD">
            <w:pPr>
              <w:keepNext/>
              <w:keepLines/>
              <w:spacing w:before="40" w:after="40"/>
              <w:jc w:val="right"/>
              <w:rPr>
                <w:color w:val="000000" w:themeColor="text1"/>
                <w:sz w:val="20"/>
                <w:szCs w:val="20"/>
              </w:rPr>
            </w:pPr>
          </w:p>
        </w:tc>
      </w:tr>
    </w:tbl>
    <w:p w14:paraId="14325611" w14:textId="067BA377" w:rsidR="0029429F" w:rsidRPr="00771C23" w:rsidRDefault="0029429F" w:rsidP="0029429F">
      <w:pPr>
        <w:spacing w:after="0" w:line="240" w:lineRule="auto"/>
        <w:ind w:left="284" w:hanging="284"/>
        <w:contextualSpacing/>
        <w:rPr>
          <w:sz w:val="16"/>
          <w:szCs w:val="16"/>
        </w:rPr>
      </w:pPr>
      <w:r w:rsidRPr="00771C23">
        <w:rPr>
          <w:sz w:val="16"/>
          <w:szCs w:val="16"/>
        </w:rPr>
        <w:t xml:space="preserve">a </w:t>
      </w:r>
      <w:r w:rsidRPr="00771C23">
        <w:rPr>
          <w:sz w:val="16"/>
          <w:szCs w:val="16"/>
        </w:rPr>
        <w:tab/>
        <w:t>Reflecting total number of non-government institutions or groups of institutions. All Commonwealth</w:t>
      </w:r>
      <w:r w:rsidR="00980F86">
        <w:rPr>
          <w:sz w:val="16"/>
          <w:szCs w:val="16"/>
        </w:rPr>
        <w:t xml:space="preserve"> and</w:t>
      </w:r>
      <w:r w:rsidRPr="00771C23">
        <w:rPr>
          <w:sz w:val="16"/>
          <w:szCs w:val="16"/>
        </w:rPr>
        <w:t xml:space="preserve"> </w:t>
      </w:r>
      <w:r w:rsidR="00935E80">
        <w:rPr>
          <w:sz w:val="16"/>
          <w:szCs w:val="16"/>
        </w:rPr>
        <w:t>st</w:t>
      </w:r>
      <w:r w:rsidRPr="00771C23">
        <w:rPr>
          <w:sz w:val="16"/>
          <w:szCs w:val="16"/>
        </w:rPr>
        <w:t xml:space="preserve">ate and </w:t>
      </w:r>
      <w:r w:rsidR="00935E80">
        <w:rPr>
          <w:sz w:val="16"/>
          <w:szCs w:val="16"/>
        </w:rPr>
        <w:t>t</w:t>
      </w:r>
      <w:r w:rsidRPr="00771C23">
        <w:rPr>
          <w:sz w:val="16"/>
          <w:szCs w:val="16"/>
        </w:rPr>
        <w:t>erritory governments are also participating in the Scheme.</w:t>
      </w:r>
    </w:p>
    <w:p w14:paraId="6A1C95C7" w14:textId="77777777" w:rsidR="0029429F" w:rsidRPr="00771C23" w:rsidRDefault="0029429F" w:rsidP="0029429F">
      <w:pPr>
        <w:rPr>
          <w:sz w:val="20"/>
          <w:szCs w:val="20"/>
        </w:rPr>
      </w:pPr>
    </w:p>
    <w:p w14:paraId="6621B0C9" w14:textId="77777777" w:rsidR="0029429F" w:rsidRPr="00771C23" w:rsidRDefault="0029429F" w:rsidP="0029429F">
      <w:pPr>
        <w:spacing w:before="240" w:after="240"/>
        <w:outlineLvl w:val="7"/>
        <w:rPr>
          <w:rFonts w:eastAsiaTheme="majorEastAsia" w:cstheme="majorBidi"/>
          <w:b/>
          <w:color w:val="595959" w:themeColor="text1" w:themeTint="A6"/>
          <w:sz w:val="24"/>
          <w:szCs w:val="20"/>
        </w:rPr>
      </w:pPr>
      <w:r w:rsidRPr="00771C23">
        <w:rPr>
          <w:rFonts w:eastAsiaTheme="majorEastAsia" w:cstheme="majorBidi"/>
          <w:b/>
          <w:color w:val="595959" w:themeColor="text1" w:themeTint="A6"/>
          <w:sz w:val="24"/>
          <w:szCs w:val="20"/>
        </w:rPr>
        <w:t>C2.4.5 Administered outlays</w:t>
      </w:r>
    </w:p>
    <w:p w14:paraId="35880927" w14:textId="77777777" w:rsidR="0029429F" w:rsidRPr="00771C23" w:rsidRDefault="0029429F" w:rsidP="0029429F">
      <w:pPr>
        <w:keepNext/>
        <w:spacing w:before="240" w:after="0" w:line="260" w:lineRule="atLeast"/>
        <w:ind w:right="425"/>
        <w:rPr>
          <w:rFonts w:ascii="Arial Narrow" w:eastAsia="Times New Roman" w:hAnsi="Arial Narrow" w:cs="Times New Roman"/>
          <w:b/>
          <w:bCs/>
          <w:spacing w:val="4"/>
          <w:sz w:val="20"/>
          <w:szCs w:val="18"/>
          <w:lang w:eastAsia="en-AU"/>
        </w:rPr>
      </w:pPr>
      <w:r w:rsidRPr="00771C23">
        <w:rPr>
          <w:rFonts w:ascii="Arial Narrow" w:eastAsia="Times New Roman" w:hAnsi="Arial Narrow" w:cs="Times New Roman"/>
          <w:b/>
          <w:bCs/>
          <w:spacing w:val="4"/>
          <w:sz w:val="20"/>
          <w:szCs w:val="18"/>
          <w:lang w:eastAsia="en-AU"/>
        </w:rPr>
        <w:t>Table 2.2.16: Administered outlays</w:t>
      </w:r>
    </w:p>
    <w:tbl>
      <w:tblPr>
        <w:tblStyle w:val="HHorizontaltable1"/>
        <w:tblW w:w="4738" w:type="pct"/>
        <w:tblLook w:val="04A0" w:firstRow="1" w:lastRow="0" w:firstColumn="1" w:lastColumn="0" w:noHBand="0" w:noVBand="1"/>
        <w:tblCaption w:val="Table 2.2.16: Administered Outlays "/>
        <w:tblDescription w:val="Table 2.2.16: Administered Outlays"/>
      </w:tblPr>
      <w:tblGrid>
        <w:gridCol w:w="4259"/>
        <w:gridCol w:w="1415"/>
        <w:gridCol w:w="1565"/>
        <w:gridCol w:w="1314"/>
      </w:tblGrid>
      <w:tr w:rsidR="0029429F" w:rsidRPr="00771C23" w14:paraId="40E2BD5A" w14:textId="77777777" w:rsidTr="00E117FD">
        <w:trPr>
          <w:cnfStyle w:val="100000000000" w:firstRow="1" w:lastRow="0" w:firstColumn="0" w:lastColumn="0" w:oddVBand="0" w:evenVBand="0" w:oddHBand="0" w:evenHBand="0" w:firstRowFirstColumn="0" w:firstRowLastColumn="0" w:lastRowFirstColumn="0" w:lastRowLastColumn="0"/>
        </w:trPr>
        <w:tc>
          <w:tcPr>
            <w:tcW w:w="2490" w:type="pct"/>
            <w:tcBorders>
              <w:bottom w:val="single" w:sz="4" w:space="0" w:color="FFFFFF" w:themeColor="background1"/>
            </w:tcBorders>
            <w:hideMark/>
          </w:tcPr>
          <w:p w14:paraId="3ED3F9DB" w14:textId="77777777" w:rsidR="0029429F" w:rsidRPr="007F2601" w:rsidRDefault="0029429F" w:rsidP="00E117FD">
            <w:pPr>
              <w:spacing w:before="40" w:after="40"/>
              <w:rPr>
                <w:rFonts w:eastAsia="Times New Roman"/>
                <w:spacing w:val="4"/>
                <w:sz w:val="20"/>
                <w:szCs w:val="20"/>
                <w:lang w:val="en-GB"/>
              </w:rPr>
            </w:pPr>
            <w:r w:rsidRPr="007F2601">
              <w:rPr>
                <w:rFonts w:eastAsia="Times New Roman"/>
                <w:sz w:val="20"/>
                <w:szCs w:val="20"/>
              </w:rPr>
              <w:t>Output performance measure</w:t>
            </w:r>
          </w:p>
        </w:tc>
        <w:tc>
          <w:tcPr>
            <w:tcW w:w="827" w:type="pct"/>
            <w:tcBorders>
              <w:bottom w:val="single" w:sz="4" w:space="0" w:color="FFFFFF" w:themeColor="background1"/>
            </w:tcBorders>
            <w:hideMark/>
          </w:tcPr>
          <w:p w14:paraId="6525147B" w14:textId="77777777" w:rsidR="0029429F" w:rsidRPr="007F2601" w:rsidRDefault="0029429F" w:rsidP="00E117FD">
            <w:pPr>
              <w:spacing w:before="40" w:after="40"/>
              <w:jc w:val="right"/>
              <w:rPr>
                <w:rFonts w:eastAsia="Times New Roman"/>
                <w:spacing w:val="4"/>
                <w:sz w:val="20"/>
                <w:szCs w:val="17"/>
                <w:lang w:val="en-GB"/>
              </w:rPr>
            </w:pPr>
            <w:r w:rsidRPr="007F2601">
              <w:rPr>
                <w:rFonts w:eastAsia="Times New Roman"/>
                <w:bCs/>
                <w:sz w:val="20"/>
                <w:szCs w:val="20"/>
              </w:rPr>
              <w:t>2019–20</w:t>
            </w:r>
          </w:p>
        </w:tc>
        <w:tc>
          <w:tcPr>
            <w:tcW w:w="915" w:type="pct"/>
            <w:tcBorders>
              <w:bottom w:val="single" w:sz="4" w:space="0" w:color="FFFFFF" w:themeColor="background1"/>
            </w:tcBorders>
            <w:hideMark/>
          </w:tcPr>
          <w:p w14:paraId="5A8FAF4A" w14:textId="77777777" w:rsidR="0029429F" w:rsidRPr="007F2601" w:rsidRDefault="0029429F" w:rsidP="00E117FD">
            <w:pPr>
              <w:spacing w:before="40" w:after="40"/>
              <w:jc w:val="right"/>
              <w:rPr>
                <w:rFonts w:eastAsia="Times New Roman"/>
                <w:spacing w:val="4"/>
                <w:sz w:val="20"/>
                <w:szCs w:val="20"/>
                <w:lang w:val="en-GB"/>
              </w:rPr>
            </w:pPr>
            <w:r w:rsidRPr="007F2601">
              <w:rPr>
                <w:rFonts w:eastAsia="Times New Roman"/>
                <w:bCs/>
                <w:sz w:val="20"/>
                <w:szCs w:val="20"/>
              </w:rPr>
              <w:t>2018–19</w:t>
            </w:r>
          </w:p>
        </w:tc>
        <w:tc>
          <w:tcPr>
            <w:tcW w:w="768" w:type="pct"/>
            <w:tcBorders>
              <w:bottom w:val="single" w:sz="4" w:space="0" w:color="FFFFFF" w:themeColor="background1"/>
            </w:tcBorders>
            <w:hideMark/>
          </w:tcPr>
          <w:p w14:paraId="55448658" w14:textId="77777777" w:rsidR="0029429F" w:rsidRPr="007F2601" w:rsidRDefault="0029429F" w:rsidP="00E117FD">
            <w:pPr>
              <w:spacing w:before="40" w:after="40"/>
              <w:jc w:val="right"/>
              <w:rPr>
                <w:rFonts w:eastAsia="Times New Roman"/>
                <w:spacing w:val="4"/>
                <w:sz w:val="20"/>
                <w:szCs w:val="20"/>
                <w:lang w:val="en-GB"/>
              </w:rPr>
            </w:pPr>
            <w:r w:rsidRPr="007F2601">
              <w:rPr>
                <w:rFonts w:eastAsia="Times New Roman"/>
                <w:bCs/>
                <w:sz w:val="20"/>
                <w:szCs w:val="20"/>
              </w:rPr>
              <w:t>2017–18</w:t>
            </w:r>
          </w:p>
        </w:tc>
      </w:tr>
      <w:tr w:rsidR="0029429F" w:rsidRPr="00771C23" w14:paraId="38564D50" w14:textId="77777777" w:rsidTr="00E117FD">
        <w:trPr>
          <w:cnfStyle w:val="000000100000" w:firstRow="0" w:lastRow="0" w:firstColumn="0" w:lastColumn="0" w:oddVBand="0" w:evenVBand="0" w:oddHBand="1" w:evenHBand="0" w:firstRowFirstColumn="0" w:firstRowLastColumn="0" w:lastRowFirstColumn="0" w:lastRowLastColumn="0"/>
        </w:trPr>
        <w:tc>
          <w:tcPr>
            <w:tcW w:w="5000" w:type="pct"/>
            <w:gridSpan w:val="4"/>
            <w:tcBorders>
              <w:top w:val="single" w:sz="4" w:space="0" w:color="FFFFFF" w:themeColor="background1"/>
              <w:bottom w:val="single" w:sz="18" w:space="0" w:color="00B0B9"/>
            </w:tcBorders>
            <w:hideMark/>
          </w:tcPr>
          <w:p w14:paraId="5587084D" w14:textId="77777777" w:rsidR="0029429F" w:rsidRPr="00771C23" w:rsidRDefault="0029429F" w:rsidP="00E117FD">
            <w:pPr>
              <w:spacing w:before="40" w:after="40"/>
              <w:rPr>
                <w:rFonts w:eastAsia="Times New Roman" w:cs="Times New Roman"/>
                <w:color w:val="000000" w:themeColor="text1"/>
                <w:spacing w:val="4"/>
                <w:sz w:val="20"/>
                <w:szCs w:val="20"/>
                <w:lang w:val="en-GB"/>
              </w:rPr>
            </w:pPr>
            <w:r w:rsidRPr="00771C23">
              <w:rPr>
                <w:rFonts w:eastAsia="Times New Roman" w:cs="Arial"/>
                <w:b/>
                <w:color w:val="000000" w:themeColor="text1"/>
                <w:sz w:val="20"/>
                <w:szCs w:val="20"/>
              </w:rPr>
              <w:t>Families and Communities</w:t>
            </w:r>
          </w:p>
        </w:tc>
      </w:tr>
      <w:tr w:rsidR="0029429F" w:rsidRPr="00771C23" w14:paraId="644A1EB2" w14:textId="77777777" w:rsidTr="00E117FD">
        <w:trPr>
          <w:cnfStyle w:val="000000010000" w:firstRow="0" w:lastRow="0" w:firstColumn="0" w:lastColumn="0" w:oddVBand="0" w:evenVBand="0" w:oddHBand="0" w:evenHBand="1" w:firstRowFirstColumn="0" w:firstRowLastColumn="0" w:lastRowFirstColumn="0" w:lastRowLastColumn="0"/>
        </w:trPr>
        <w:tc>
          <w:tcPr>
            <w:tcW w:w="2490" w:type="pct"/>
            <w:tcBorders>
              <w:top w:val="single" w:sz="18" w:space="0" w:color="00B0B9"/>
            </w:tcBorders>
            <w:hideMark/>
          </w:tcPr>
          <w:p w14:paraId="61E0B9A5"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Families and Children</w:t>
            </w:r>
          </w:p>
        </w:tc>
        <w:tc>
          <w:tcPr>
            <w:tcW w:w="827" w:type="pct"/>
            <w:tcBorders>
              <w:top w:val="single" w:sz="18" w:space="0" w:color="00B0B9"/>
            </w:tcBorders>
          </w:tcPr>
          <w:p w14:paraId="053EE901"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$290.99m</w:t>
            </w:r>
          </w:p>
        </w:tc>
        <w:tc>
          <w:tcPr>
            <w:tcW w:w="915" w:type="pct"/>
            <w:tcBorders>
              <w:top w:val="single" w:sz="18" w:space="0" w:color="00B0B9"/>
            </w:tcBorders>
            <w:hideMark/>
          </w:tcPr>
          <w:p w14:paraId="597D7AB7"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$271.74m</w:t>
            </w:r>
          </w:p>
        </w:tc>
        <w:tc>
          <w:tcPr>
            <w:tcW w:w="768" w:type="pct"/>
            <w:tcBorders>
              <w:top w:val="single" w:sz="18" w:space="0" w:color="00B0B9"/>
            </w:tcBorders>
            <w:hideMark/>
          </w:tcPr>
          <w:p w14:paraId="3DD9B6E4"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17"/>
                <w:lang w:val="en-GB"/>
              </w:rPr>
              <w:t>$258.27m</w:t>
            </w:r>
          </w:p>
        </w:tc>
      </w:tr>
      <w:tr w:rsidR="0029429F" w:rsidRPr="00771C23" w14:paraId="2581C746" w14:textId="77777777" w:rsidTr="00E117FD">
        <w:trPr>
          <w:cnfStyle w:val="000000100000" w:firstRow="0" w:lastRow="0" w:firstColumn="0" w:lastColumn="0" w:oddVBand="0" w:evenVBand="0" w:oddHBand="1" w:evenHBand="0" w:firstRowFirstColumn="0" w:firstRowLastColumn="0" w:lastRowFirstColumn="0" w:lastRowLastColumn="0"/>
        </w:trPr>
        <w:tc>
          <w:tcPr>
            <w:tcW w:w="2490" w:type="pct"/>
            <w:hideMark/>
          </w:tcPr>
          <w:p w14:paraId="0A8872A7"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Transition to Independent Living Allowance</w:t>
            </w:r>
          </w:p>
        </w:tc>
        <w:tc>
          <w:tcPr>
            <w:tcW w:w="827" w:type="pct"/>
          </w:tcPr>
          <w:p w14:paraId="2FA317EF"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$1.84m</w:t>
            </w:r>
          </w:p>
        </w:tc>
        <w:tc>
          <w:tcPr>
            <w:tcW w:w="915" w:type="pct"/>
            <w:hideMark/>
          </w:tcPr>
          <w:p w14:paraId="1ED9E632"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$1.95m</w:t>
            </w:r>
          </w:p>
        </w:tc>
        <w:tc>
          <w:tcPr>
            <w:tcW w:w="768" w:type="pct"/>
            <w:hideMark/>
          </w:tcPr>
          <w:p w14:paraId="2860D2C0"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17"/>
                <w:lang w:val="en-GB"/>
              </w:rPr>
              <w:t>$1.65m</w:t>
            </w:r>
          </w:p>
        </w:tc>
      </w:tr>
      <w:tr w:rsidR="0029429F" w:rsidRPr="00771C23" w14:paraId="0120D08B" w14:textId="77777777" w:rsidTr="00E117FD">
        <w:trPr>
          <w:cnfStyle w:val="000000010000" w:firstRow="0" w:lastRow="0" w:firstColumn="0" w:lastColumn="0" w:oddVBand="0" w:evenVBand="0" w:oddHBand="0" w:evenHBand="1" w:firstRowFirstColumn="0" w:firstRowLastColumn="0" w:lastRowFirstColumn="0" w:lastRowLastColumn="0"/>
        </w:trPr>
        <w:tc>
          <w:tcPr>
            <w:tcW w:w="2490" w:type="pct"/>
            <w:hideMark/>
          </w:tcPr>
          <w:p w14:paraId="7EC692C1"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Settlement Services</w:t>
            </w:r>
          </w:p>
        </w:tc>
        <w:tc>
          <w:tcPr>
            <w:tcW w:w="827" w:type="pct"/>
          </w:tcPr>
          <w:p w14:paraId="22F8FD83"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Calibri" w:cs="Arial"/>
                <w:color w:val="000000" w:themeColor="text1"/>
                <w:sz w:val="20"/>
                <w:szCs w:val="20"/>
              </w:rPr>
              <w:t>–</w:t>
            </w:r>
          </w:p>
        </w:tc>
        <w:tc>
          <w:tcPr>
            <w:tcW w:w="915" w:type="pct"/>
            <w:hideMark/>
          </w:tcPr>
          <w:p w14:paraId="452246C2"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$196.24m</w:t>
            </w:r>
          </w:p>
        </w:tc>
        <w:tc>
          <w:tcPr>
            <w:tcW w:w="768" w:type="pct"/>
            <w:hideMark/>
          </w:tcPr>
          <w:p w14:paraId="4F0154D8"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17"/>
                <w:lang w:val="en-GB"/>
              </w:rPr>
              <w:t>$163.68m</w:t>
            </w:r>
          </w:p>
        </w:tc>
      </w:tr>
      <w:tr w:rsidR="0029429F" w:rsidRPr="00771C23" w14:paraId="43962827" w14:textId="77777777" w:rsidTr="00E117FD">
        <w:trPr>
          <w:cnfStyle w:val="000000100000" w:firstRow="0" w:lastRow="0" w:firstColumn="0" w:lastColumn="0" w:oddVBand="0" w:evenVBand="0" w:oddHBand="1" w:evenHBand="0" w:firstRowFirstColumn="0" w:firstRowLastColumn="0" w:lastRowFirstColumn="0" w:lastRowLastColumn="0"/>
        </w:trPr>
        <w:tc>
          <w:tcPr>
            <w:tcW w:w="2490" w:type="pct"/>
            <w:hideMark/>
          </w:tcPr>
          <w:p w14:paraId="62ED1174"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 xml:space="preserve">Financial Wellbeing and </w:t>
            </w:r>
            <w:proofErr w:type="spellStart"/>
            <w:r w:rsidRPr="00771C23">
              <w:rPr>
                <w:rFonts w:eastAsia="Times New Roman" w:cs="Arial"/>
                <w:color w:val="000000" w:themeColor="text1"/>
                <w:spacing w:val="4"/>
                <w:sz w:val="20"/>
                <w:szCs w:val="20"/>
                <w:lang w:val="en-GB"/>
              </w:rPr>
              <w:t>Capability</w:t>
            </w:r>
            <w:r w:rsidRPr="00771C23">
              <w:rPr>
                <w:rFonts w:eastAsia="Times New Roman" w:cs="Arial"/>
                <w:color w:val="000000" w:themeColor="text1"/>
                <w:spacing w:val="4"/>
                <w:sz w:val="20"/>
                <w:szCs w:val="20"/>
                <w:vertAlign w:val="superscript"/>
                <w:lang w:val="en-GB"/>
              </w:rPr>
              <w:t>a</w:t>
            </w:r>
            <w:proofErr w:type="spellEnd"/>
          </w:p>
        </w:tc>
        <w:tc>
          <w:tcPr>
            <w:tcW w:w="827" w:type="pct"/>
          </w:tcPr>
          <w:p w14:paraId="3BC36862" w14:textId="77777777" w:rsidR="0029429F" w:rsidRPr="00771C23" w:rsidRDefault="0029429F" w:rsidP="00E117FD">
            <w:pPr>
              <w:spacing w:before="40" w:after="40"/>
              <w:jc w:val="right"/>
              <w:rPr>
                <w:rFonts w:eastAsia="Times New Roman" w:cs="Arial"/>
                <w:spacing w:val="4"/>
                <w:sz w:val="20"/>
                <w:szCs w:val="20"/>
                <w:lang w:val="en-GB"/>
              </w:rPr>
            </w:pPr>
            <w:r w:rsidRPr="00771C23">
              <w:rPr>
                <w:rFonts w:eastAsia="Times New Roman" w:cs="Arial"/>
                <w:color w:val="000000" w:themeColor="text1"/>
                <w:spacing w:val="4"/>
                <w:sz w:val="20"/>
                <w:szCs w:val="20"/>
                <w:lang w:val="en-GB"/>
              </w:rPr>
              <w:t>$218.42m</w:t>
            </w:r>
          </w:p>
        </w:tc>
        <w:tc>
          <w:tcPr>
            <w:tcW w:w="915" w:type="pct"/>
            <w:hideMark/>
          </w:tcPr>
          <w:p w14:paraId="5288435A" w14:textId="77777777" w:rsidR="0029429F" w:rsidRPr="00771C23" w:rsidRDefault="0029429F" w:rsidP="00E117FD">
            <w:pPr>
              <w:spacing w:before="40" w:after="40"/>
              <w:jc w:val="right"/>
              <w:rPr>
                <w:rFonts w:eastAsia="Times New Roman" w:cs="Arial"/>
                <w:spacing w:val="4"/>
                <w:sz w:val="20"/>
                <w:szCs w:val="20"/>
                <w:lang w:val="en-GB"/>
              </w:rPr>
            </w:pPr>
            <w:r w:rsidRPr="00771C23">
              <w:rPr>
                <w:rFonts w:eastAsia="Times New Roman" w:cs="Arial"/>
                <w:color w:val="000000" w:themeColor="text1"/>
                <w:spacing w:val="4"/>
                <w:sz w:val="20"/>
                <w:szCs w:val="20"/>
                <w:lang w:val="en-GB"/>
              </w:rPr>
              <w:t>$111.07m</w:t>
            </w:r>
          </w:p>
        </w:tc>
        <w:tc>
          <w:tcPr>
            <w:tcW w:w="768" w:type="pct"/>
            <w:hideMark/>
          </w:tcPr>
          <w:p w14:paraId="508CC609" w14:textId="77777777" w:rsidR="0029429F" w:rsidRPr="00771C23" w:rsidRDefault="0029429F" w:rsidP="00E117FD">
            <w:pPr>
              <w:spacing w:before="40" w:after="40"/>
              <w:jc w:val="right"/>
              <w:rPr>
                <w:rFonts w:eastAsia="Times New Roman" w:cs="Arial"/>
                <w:spacing w:val="4"/>
                <w:sz w:val="20"/>
                <w:szCs w:val="20"/>
                <w:lang w:val="en-GB"/>
              </w:rPr>
            </w:pPr>
            <w:r w:rsidRPr="00771C23">
              <w:rPr>
                <w:rFonts w:eastAsia="Times New Roman" w:cs="Arial"/>
                <w:spacing w:val="4"/>
                <w:sz w:val="20"/>
                <w:szCs w:val="17"/>
                <w:lang w:val="en-GB"/>
              </w:rPr>
              <w:t>$99.97m</w:t>
            </w:r>
          </w:p>
        </w:tc>
      </w:tr>
      <w:tr w:rsidR="0029429F" w:rsidRPr="00771C23" w14:paraId="508706E5" w14:textId="77777777" w:rsidTr="00E117FD">
        <w:trPr>
          <w:cnfStyle w:val="000000010000" w:firstRow="0" w:lastRow="0" w:firstColumn="0" w:lastColumn="0" w:oddVBand="0" w:evenVBand="0" w:oddHBand="0" w:evenHBand="1" w:firstRowFirstColumn="0" w:firstRowLastColumn="0" w:lastRowFirstColumn="0" w:lastRowLastColumn="0"/>
        </w:trPr>
        <w:tc>
          <w:tcPr>
            <w:tcW w:w="2490" w:type="pct"/>
            <w:hideMark/>
          </w:tcPr>
          <w:p w14:paraId="728F34AF"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Families and Communities Service Improvement</w:t>
            </w:r>
          </w:p>
        </w:tc>
        <w:tc>
          <w:tcPr>
            <w:tcW w:w="827" w:type="pct"/>
          </w:tcPr>
          <w:p w14:paraId="7AE51994"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$2.73m</w:t>
            </w:r>
          </w:p>
        </w:tc>
        <w:tc>
          <w:tcPr>
            <w:tcW w:w="915" w:type="pct"/>
            <w:hideMark/>
          </w:tcPr>
          <w:p w14:paraId="42133448"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$2.60m</w:t>
            </w:r>
          </w:p>
        </w:tc>
        <w:tc>
          <w:tcPr>
            <w:tcW w:w="768" w:type="pct"/>
            <w:hideMark/>
          </w:tcPr>
          <w:p w14:paraId="75C98F2F"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17"/>
                <w:lang w:val="en-GB"/>
              </w:rPr>
              <w:t>$2.60m</w:t>
            </w:r>
          </w:p>
        </w:tc>
      </w:tr>
      <w:tr w:rsidR="0029429F" w:rsidRPr="00771C23" w14:paraId="7B853DB6" w14:textId="77777777" w:rsidTr="00E117FD">
        <w:trPr>
          <w:cnfStyle w:val="000000100000" w:firstRow="0" w:lastRow="0" w:firstColumn="0" w:lastColumn="0" w:oddVBand="0" w:evenVBand="0" w:oddHBand="1" w:evenHBand="0" w:firstRowFirstColumn="0" w:firstRowLastColumn="0" w:lastRowFirstColumn="0" w:lastRowLastColumn="0"/>
        </w:trPr>
        <w:tc>
          <w:tcPr>
            <w:tcW w:w="2490" w:type="pct"/>
            <w:hideMark/>
          </w:tcPr>
          <w:p w14:paraId="67204CBD"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 xml:space="preserve">Strong and Resilient </w:t>
            </w:r>
            <w:proofErr w:type="spellStart"/>
            <w:r w:rsidRPr="00771C23">
              <w:rPr>
                <w:rFonts w:eastAsia="Times New Roman" w:cs="Arial"/>
                <w:color w:val="000000" w:themeColor="text1"/>
                <w:spacing w:val="4"/>
                <w:sz w:val="20"/>
                <w:szCs w:val="20"/>
                <w:lang w:val="en-GB"/>
              </w:rPr>
              <w:t>Communities</w:t>
            </w:r>
            <w:r w:rsidRPr="00771C23">
              <w:rPr>
                <w:rFonts w:eastAsia="Times New Roman" w:cs="Arial"/>
                <w:color w:val="000000" w:themeColor="text1"/>
                <w:spacing w:val="4"/>
                <w:sz w:val="20"/>
                <w:szCs w:val="20"/>
                <w:vertAlign w:val="superscript"/>
                <w:lang w:val="en-GB"/>
              </w:rPr>
              <w:t>b</w:t>
            </w:r>
            <w:proofErr w:type="spellEnd"/>
          </w:p>
        </w:tc>
        <w:tc>
          <w:tcPr>
            <w:tcW w:w="827" w:type="pct"/>
          </w:tcPr>
          <w:p w14:paraId="5D2CEEC9"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$57.45m</w:t>
            </w:r>
          </w:p>
        </w:tc>
        <w:tc>
          <w:tcPr>
            <w:tcW w:w="915" w:type="pct"/>
            <w:hideMark/>
          </w:tcPr>
          <w:p w14:paraId="1FD18617"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$53.84m</w:t>
            </w:r>
          </w:p>
        </w:tc>
        <w:tc>
          <w:tcPr>
            <w:tcW w:w="768" w:type="pct"/>
            <w:hideMark/>
          </w:tcPr>
          <w:p w14:paraId="4411D781"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17"/>
                <w:lang w:val="en-GB"/>
              </w:rPr>
              <w:t>$36.76m</w:t>
            </w:r>
          </w:p>
        </w:tc>
      </w:tr>
      <w:tr w:rsidR="0029429F" w:rsidRPr="00771C23" w14:paraId="2CE83006" w14:textId="77777777" w:rsidTr="00E117FD">
        <w:trPr>
          <w:cnfStyle w:val="000000010000" w:firstRow="0" w:lastRow="0" w:firstColumn="0" w:lastColumn="0" w:oddVBand="0" w:evenVBand="0" w:oddHBand="0" w:evenHBand="1" w:firstRowFirstColumn="0" w:firstRowLastColumn="0" w:lastRowFirstColumn="0" w:lastRowLastColumn="0"/>
        </w:trPr>
        <w:tc>
          <w:tcPr>
            <w:tcW w:w="2490" w:type="pct"/>
            <w:hideMark/>
          </w:tcPr>
          <w:p w14:paraId="419D64C1"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Volunteer Management Activity</w:t>
            </w:r>
          </w:p>
        </w:tc>
        <w:tc>
          <w:tcPr>
            <w:tcW w:w="827" w:type="pct"/>
          </w:tcPr>
          <w:p w14:paraId="4E2F20D8"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$5.54m</w:t>
            </w:r>
          </w:p>
        </w:tc>
        <w:tc>
          <w:tcPr>
            <w:tcW w:w="915" w:type="pct"/>
            <w:hideMark/>
          </w:tcPr>
          <w:p w14:paraId="010BEB6B"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$5.73m</w:t>
            </w:r>
          </w:p>
        </w:tc>
        <w:tc>
          <w:tcPr>
            <w:tcW w:w="768" w:type="pct"/>
            <w:hideMark/>
          </w:tcPr>
          <w:p w14:paraId="41531F65"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17"/>
                <w:lang w:val="en-GB"/>
              </w:rPr>
              <w:t>$2.92m</w:t>
            </w:r>
          </w:p>
        </w:tc>
      </w:tr>
      <w:tr w:rsidR="0029429F" w:rsidRPr="00771C23" w14:paraId="20ED037A" w14:textId="77777777" w:rsidTr="00E117FD">
        <w:trPr>
          <w:cnfStyle w:val="000000100000" w:firstRow="0" w:lastRow="0" w:firstColumn="0" w:lastColumn="0" w:oddVBand="0" w:evenVBand="0" w:oddHBand="1" w:evenHBand="0" w:firstRowFirstColumn="0" w:firstRowLastColumn="0" w:lastRowFirstColumn="0" w:lastRowLastColumn="0"/>
        </w:trPr>
        <w:tc>
          <w:tcPr>
            <w:tcW w:w="2490" w:type="pct"/>
            <w:hideMark/>
          </w:tcPr>
          <w:p w14:paraId="62871C50"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Volunteer Grants</w:t>
            </w:r>
          </w:p>
        </w:tc>
        <w:tc>
          <w:tcPr>
            <w:tcW w:w="827" w:type="pct"/>
          </w:tcPr>
          <w:p w14:paraId="74560380" w14:textId="77777777" w:rsidR="0029429F" w:rsidRPr="00771C23" w:rsidRDefault="0029429F" w:rsidP="00E117FD">
            <w:pPr>
              <w:spacing w:before="40" w:after="40"/>
              <w:jc w:val="right"/>
              <w:rPr>
                <w:rFonts w:eastAsia="Times New Roman" w:cs="Arial"/>
                <w:color w:val="000000" w:themeColor="text1"/>
                <w:spacing w:val="4"/>
                <w:sz w:val="20"/>
                <w:szCs w:val="17"/>
                <w:lang w:val="en-GB"/>
              </w:rPr>
            </w:pPr>
            <w:r w:rsidRPr="00771C23">
              <w:rPr>
                <w:rFonts w:eastAsia="Times New Roman" w:cs="Arial"/>
                <w:color w:val="000000" w:themeColor="text1"/>
                <w:spacing w:val="4"/>
                <w:sz w:val="20"/>
                <w:szCs w:val="17"/>
                <w:lang w:val="en-GB"/>
              </w:rPr>
              <w:t>$12.39m</w:t>
            </w:r>
          </w:p>
        </w:tc>
        <w:tc>
          <w:tcPr>
            <w:tcW w:w="915" w:type="pct"/>
            <w:hideMark/>
          </w:tcPr>
          <w:p w14:paraId="22D1288F" w14:textId="77777777" w:rsidR="0029429F" w:rsidRPr="00771C23" w:rsidRDefault="0029429F" w:rsidP="00E117FD">
            <w:pPr>
              <w:spacing w:before="40" w:after="40"/>
              <w:jc w:val="right"/>
              <w:rPr>
                <w:rFonts w:eastAsia="Times New Roman" w:cs="Arial"/>
                <w:color w:val="000000" w:themeColor="text1"/>
                <w:spacing w:val="4"/>
                <w:sz w:val="20"/>
                <w:szCs w:val="17"/>
                <w:lang w:val="en-GB"/>
              </w:rPr>
            </w:pPr>
            <w:r w:rsidRPr="00771C23">
              <w:rPr>
                <w:rFonts w:eastAsia="Times New Roman" w:cs="Arial"/>
                <w:color w:val="000000" w:themeColor="text1"/>
                <w:spacing w:val="4"/>
                <w:sz w:val="20"/>
                <w:szCs w:val="17"/>
                <w:lang w:val="en-GB"/>
              </w:rPr>
              <w:t>$19.00m</w:t>
            </w:r>
          </w:p>
        </w:tc>
        <w:tc>
          <w:tcPr>
            <w:tcW w:w="768" w:type="pct"/>
            <w:hideMark/>
          </w:tcPr>
          <w:p w14:paraId="4D0DAE85" w14:textId="77777777" w:rsidR="0029429F" w:rsidRPr="00771C23" w:rsidRDefault="0029429F" w:rsidP="00E117FD">
            <w:pPr>
              <w:spacing w:before="40" w:after="40"/>
              <w:jc w:val="right"/>
              <w:rPr>
                <w:rFonts w:eastAsia="Times New Roman" w:cs="Arial"/>
                <w:color w:val="000000" w:themeColor="text1"/>
                <w:spacing w:val="4"/>
                <w:sz w:val="20"/>
                <w:szCs w:val="17"/>
                <w:vertAlign w:val="superscript"/>
                <w:lang w:val="en-GB"/>
              </w:rPr>
            </w:pPr>
            <w:r w:rsidRPr="00771C23">
              <w:rPr>
                <w:rFonts w:eastAsia="Times New Roman" w:cs="Arial"/>
                <w:color w:val="000000" w:themeColor="text1"/>
                <w:spacing w:val="4"/>
                <w:sz w:val="20"/>
                <w:szCs w:val="17"/>
                <w:lang w:val="en-GB"/>
              </w:rPr>
              <w:t>–</w:t>
            </w:r>
            <w:r w:rsidRPr="00771C23">
              <w:rPr>
                <w:rFonts w:eastAsia="Times New Roman" w:cs="Arial"/>
                <w:color w:val="000000" w:themeColor="text1"/>
                <w:spacing w:val="4"/>
                <w:sz w:val="20"/>
                <w:szCs w:val="17"/>
                <w:vertAlign w:val="superscript"/>
                <w:lang w:val="en-GB"/>
              </w:rPr>
              <w:t>c</w:t>
            </w:r>
          </w:p>
        </w:tc>
      </w:tr>
      <w:tr w:rsidR="0029429F" w:rsidRPr="00771C23" w14:paraId="5EF52E64" w14:textId="77777777" w:rsidTr="00E117FD">
        <w:trPr>
          <w:cnfStyle w:val="000000010000" w:firstRow="0" w:lastRow="0" w:firstColumn="0" w:lastColumn="0" w:oddVBand="0" w:evenVBand="0" w:oddHBand="0" w:evenHBand="1" w:firstRowFirstColumn="0" w:firstRowLastColumn="0" w:lastRowFirstColumn="0" w:lastRowLastColumn="0"/>
        </w:trPr>
        <w:tc>
          <w:tcPr>
            <w:tcW w:w="2490" w:type="pct"/>
            <w:tcBorders>
              <w:bottom w:val="single" w:sz="4" w:space="0" w:color="FFFFFF" w:themeColor="background1"/>
            </w:tcBorders>
            <w:hideMark/>
          </w:tcPr>
          <w:p w14:paraId="3FAB2D05"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National Initiatives</w:t>
            </w:r>
          </w:p>
        </w:tc>
        <w:tc>
          <w:tcPr>
            <w:tcW w:w="827" w:type="pct"/>
            <w:tcBorders>
              <w:bottom w:val="single" w:sz="4" w:space="0" w:color="FFFFFF" w:themeColor="background1"/>
            </w:tcBorders>
          </w:tcPr>
          <w:p w14:paraId="24EB0085"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$102.76m</w:t>
            </w:r>
          </w:p>
        </w:tc>
        <w:tc>
          <w:tcPr>
            <w:tcW w:w="915" w:type="pct"/>
            <w:tcBorders>
              <w:bottom w:val="single" w:sz="4" w:space="0" w:color="FFFFFF" w:themeColor="background1"/>
            </w:tcBorders>
            <w:hideMark/>
          </w:tcPr>
          <w:p w14:paraId="667FB0C7"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$75.16m</w:t>
            </w:r>
          </w:p>
        </w:tc>
        <w:tc>
          <w:tcPr>
            <w:tcW w:w="768" w:type="pct"/>
            <w:tcBorders>
              <w:bottom w:val="single" w:sz="4" w:space="0" w:color="FFFFFF" w:themeColor="background1"/>
            </w:tcBorders>
            <w:hideMark/>
          </w:tcPr>
          <w:p w14:paraId="4BADA08D"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17"/>
                <w:lang w:val="en-GB"/>
              </w:rPr>
              <w:t>$72.48m</w:t>
            </w:r>
          </w:p>
        </w:tc>
      </w:tr>
      <w:tr w:rsidR="0029429F" w:rsidRPr="00771C23" w14:paraId="7D285439"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7F01A51D" w14:textId="77777777" w:rsidR="0029429F" w:rsidRPr="00771C23" w:rsidRDefault="0029429F" w:rsidP="00E117FD">
            <w:pPr>
              <w:keepNext/>
              <w:keepLines/>
              <w:spacing w:before="40" w:after="40"/>
              <w:rPr>
                <w:rFonts w:eastAsia="Times New Roman" w:cs="Arial"/>
                <w:b/>
                <w:color w:val="000000" w:themeColor="text1"/>
                <w:sz w:val="20"/>
                <w:szCs w:val="20"/>
              </w:rPr>
            </w:pPr>
            <w:r w:rsidRPr="00771C23">
              <w:rPr>
                <w:rFonts w:eastAsia="Times New Roman" w:cs="Arial"/>
                <w:b/>
                <w:color w:val="000000" w:themeColor="text1"/>
                <w:sz w:val="20"/>
                <w:szCs w:val="20"/>
              </w:rPr>
              <w:t>Paid Parental Leave</w:t>
            </w:r>
          </w:p>
        </w:tc>
      </w:tr>
      <w:tr w:rsidR="0029429F" w:rsidRPr="00771C23" w14:paraId="0F1EC374" w14:textId="77777777" w:rsidTr="00E117FD">
        <w:trPr>
          <w:cnfStyle w:val="000000010000" w:firstRow="0" w:lastRow="0" w:firstColumn="0" w:lastColumn="0" w:oddVBand="0" w:evenVBand="0" w:oddHBand="0" w:evenHBand="1" w:firstRowFirstColumn="0" w:firstRowLastColumn="0" w:lastRowFirstColumn="0" w:lastRowLastColumn="0"/>
        </w:trPr>
        <w:tc>
          <w:tcPr>
            <w:tcW w:w="2490" w:type="pct"/>
            <w:tcBorders>
              <w:top w:val="single" w:sz="18" w:space="0" w:color="00B0B9"/>
            </w:tcBorders>
            <w:hideMark/>
          </w:tcPr>
          <w:p w14:paraId="0F34174E"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Parental Leave Pay</w:t>
            </w:r>
          </w:p>
        </w:tc>
        <w:tc>
          <w:tcPr>
            <w:tcW w:w="827" w:type="pct"/>
            <w:tcBorders>
              <w:top w:val="single" w:sz="18" w:space="0" w:color="00B0B9"/>
            </w:tcBorders>
          </w:tcPr>
          <w:p w14:paraId="5C6EC3E8"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$2,269.88m</w:t>
            </w:r>
          </w:p>
        </w:tc>
        <w:tc>
          <w:tcPr>
            <w:tcW w:w="915" w:type="pct"/>
            <w:tcBorders>
              <w:top w:val="single" w:sz="18" w:space="0" w:color="00B0B9"/>
            </w:tcBorders>
            <w:hideMark/>
          </w:tcPr>
          <w:p w14:paraId="205E7A71"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$2,177.77m</w:t>
            </w:r>
          </w:p>
        </w:tc>
        <w:tc>
          <w:tcPr>
            <w:tcW w:w="768" w:type="pct"/>
            <w:tcBorders>
              <w:top w:val="single" w:sz="18" w:space="0" w:color="00B0B9"/>
            </w:tcBorders>
            <w:hideMark/>
          </w:tcPr>
          <w:p w14:paraId="638C0EC0"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17"/>
                <w:lang w:val="en-GB"/>
              </w:rPr>
              <w:t>$2,082.31m</w:t>
            </w:r>
          </w:p>
        </w:tc>
      </w:tr>
      <w:tr w:rsidR="0029429F" w:rsidRPr="00771C23" w14:paraId="7FAD5AF3" w14:textId="77777777" w:rsidTr="00E117FD">
        <w:trPr>
          <w:cnfStyle w:val="000000100000" w:firstRow="0" w:lastRow="0" w:firstColumn="0" w:lastColumn="0" w:oddVBand="0" w:evenVBand="0" w:oddHBand="1" w:evenHBand="0" w:firstRowFirstColumn="0" w:firstRowLastColumn="0" w:lastRowFirstColumn="0" w:lastRowLastColumn="0"/>
        </w:trPr>
        <w:tc>
          <w:tcPr>
            <w:tcW w:w="2490" w:type="pct"/>
            <w:tcBorders>
              <w:bottom w:val="single" w:sz="4" w:space="0" w:color="FFFFFF" w:themeColor="background1"/>
            </w:tcBorders>
            <w:hideMark/>
          </w:tcPr>
          <w:p w14:paraId="2A3CFB9B"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Dad and Partner Pay</w:t>
            </w:r>
          </w:p>
        </w:tc>
        <w:tc>
          <w:tcPr>
            <w:tcW w:w="827" w:type="pct"/>
            <w:tcBorders>
              <w:bottom w:val="single" w:sz="4" w:space="0" w:color="FFFFFF" w:themeColor="background1"/>
            </w:tcBorders>
          </w:tcPr>
          <w:p w14:paraId="008D2136"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$129.68m</w:t>
            </w:r>
          </w:p>
        </w:tc>
        <w:tc>
          <w:tcPr>
            <w:tcW w:w="915" w:type="pct"/>
            <w:tcBorders>
              <w:bottom w:val="single" w:sz="4" w:space="0" w:color="FFFFFF" w:themeColor="background1"/>
            </w:tcBorders>
            <w:hideMark/>
          </w:tcPr>
          <w:p w14:paraId="413FB510"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$136.95m</w:t>
            </w:r>
          </w:p>
        </w:tc>
        <w:tc>
          <w:tcPr>
            <w:tcW w:w="768" w:type="pct"/>
            <w:tcBorders>
              <w:bottom w:val="single" w:sz="4" w:space="0" w:color="FFFFFF" w:themeColor="background1"/>
            </w:tcBorders>
            <w:hideMark/>
          </w:tcPr>
          <w:p w14:paraId="4411F33E"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17"/>
                <w:lang w:val="en-GB"/>
              </w:rPr>
              <w:t>$111.74m</w:t>
            </w:r>
          </w:p>
        </w:tc>
      </w:tr>
      <w:tr w:rsidR="0029429F" w:rsidRPr="00771C23" w14:paraId="3267EBEA" w14:textId="77777777" w:rsidTr="00E117FD">
        <w:trPr>
          <w:cnfStyle w:val="000000010000" w:firstRow="0" w:lastRow="0" w:firstColumn="0" w:lastColumn="0" w:oddVBand="0" w:evenVBand="0" w:oddHBand="0" w:evenHBand="1" w:firstRowFirstColumn="0" w:firstRowLastColumn="0" w:lastRowFirstColumn="0" w:lastRowLastColumn="0"/>
        </w:trPr>
        <w:tc>
          <w:tcPr>
            <w:tcW w:w="5000" w:type="pct"/>
            <w:gridSpan w:val="4"/>
            <w:tcBorders>
              <w:top w:val="single" w:sz="4" w:space="0" w:color="FFFFFF" w:themeColor="background1"/>
              <w:bottom w:val="single" w:sz="18" w:space="0" w:color="00B0B9"/>
            </w:tcBorders>
            <w:hideMark/>
          </w:tcPr>
          <w:p w14:paraId="38871CC8" w14:textId="77777777" w:rsidR="0029429F" w:rsidRPr="00771C23" w:rsidRDefault="0029429F" w:rsidP="00E117FD">
            <w:pPr>
              <w:keepNext/>
              <w:keepLines/>
              <w:spacing w:before="40" w:after="40"/>
              <w:rPr>
                <w:rFonts w:eastAsia="Times New Roman" w:cs="Arial"/>
                <w:b/>
                <w:color w:val="000000" w:themeColor="text1"/>
                <w:sz w:val="20"/>
                <w:szCs w:val="20"/>
              </w:rPr>
            </w:pPr>
            <w:r w:rsidRPr="00771C23">
              <w:rPr>
                <w:rFonts w:eastAsia="Times New Roman" w:cs="Times New Roman"/>
                <w:b/>
                <w:color w:val="000000" w:themeColor="text1"/>
                <w:sz w:val="20"/>
                <w:szCs w:val="20"/>
              </w:rPr>
              <w:t>Social and Community Services</w:t>
            </w:r>
          </w:p>
        </w:tc>
      </w:tr>
      <w:tr w:rsidR="0029429F" w:rsidRPr="00771C23" w14:paraId="7CC903C7" w14:textId="77777777" w:rsidTr="00E117FD">
        <w:trPr>
          <w:cnfStyle w:val="000000100000" w:firstRow="0" w:lastRow="0" w:firstColumn="0" w:lastColumn="0" w:oddVBand="0" w:evenVBand="0" w:oddHBand="1" w:evenHBand="0" w:firstRowFirstColumn="0" w:firstRowLastColumn="0" w:lastRowFirstColumn="0" w:lastRowLastColumn="0"/>
        </w:trPr>
        <w:tc>
          <w:tcPr>
            <w:tcW w:w="2490" w:type="pct"/>
            <w:tcBorders>
              <w:top w:val="single" w:sz="18" w:space="0" w:color="00B0B9"/>
            </w:tcBorders>
            <w:hideMark/>
          </w:tcPr>
          <w:p w14:paraId="57D23FE1" w14:textId="77777777" w:rsidR="0029429F" w:rsidRPr="00771C23" w:rsidRDefault="0029429F" w:rsidP="00E117FD">
            <w:pPr>
              <w:spacing w:before="40" w:after="40"/>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Social and Community Services</w:t>
            </w:r>
          </w:p>
        </w:tc>
        <w:tc>
          <w:tcPr>
            <w:tcW w:w="827" w:type="pct"/>
            <w:tcBorders>
              <w:top w:val="single" w:sz="18" w:space="0" w:color="00B0B9"/>
            </w:tcBorders>
          </w:tcPr>
          <w:p w14:paraId="37E98CB4"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$411.92m</w:t>
            </w:r>
          </w:p>
        </w:tc>
        <w:tc>
          <w:tcPr>
            <w:tcW w:w="915" w:type="pct"/>
            <w:tcBorders>
              <w:top w:val="single" w:sz="18" w:space="0" w:color="00B0B9"/>
            </w:tcBorders>
            <w:hideMark/>
          </w:tcPr>
          <w:p w14:paraId="15C7B9CC"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20"/>
                <w:lang w:val="en-GB"/>
              </w:rPr>
              <w:t>$377.10m</w:t>
            </w:r>
          </w:p>
        </w:tc>
        <w:tc>
          <w:tcPr>
            <w:tcW w:w="768" w:type="pct"/>
            <w:tcBorders>
              <w:top w:val="single" w:sz="18" w:space="0" w:color="00B0B9"/>
            </w:tcBorders>
            <w:hideMark/>
          </w:tcPr>
          <w:p w14:paraId="2A2F89DF" w14:textId="77777777" w:rsidR="0029429F" w:rsidRPr="00771C23" w:rsidRDefault="0029429F" w:rsidP="00E117FD">
            <w:pPr>
              <w:spacing w:before="40" w:after="40"/>
              <w:jc w:val="right"/>
              <w:rPr>
                <w:rFonts w:eastAsia="Times New Roman" w:cs="Arial"/>
                <w:color w:val="000000" w:themeColor="text1"/>
                <w:spacing w:val="4"/>
                <w:sz w:val="20"/>
                <w:szCs w:val="20"/>
                <w:lang w:val="en-GB"/>
              </w:rPr>
            </w:pPr>
            <w:r w:rsidRPr="00771C23">
              <w:rPr>
                <w:rFonts w:eastAsia="Times New Roman" w:cs="Arial"/>
                <w:color w:val="000000" w:themeColor="text1"/>
                <w:spacing w:val="4"/>
                <w:sz w:val="20"/>
                <w:szCs w:val="17"/>
                <w:lang w:val="en-GB"/>
              </w:rPr>
              <w:t>$430.72m</w:t>
            </w:r>
          </w:p>
        </w:tc>
      </w:tr>
    </w:tbl>
    <w:p w14:paraId="46A2EC58" w14:textId="77777777" w:rsidR="0029429F" w:rsidRPr="003A047F" w:rsidRDefault="0029429F" w:rsidP="0029429F">
      <w:pPr>
        <w:spacing w:before="160" w:after="60" w:line="240" w:lineRule="auto"/>
        <w:ind w:left="284" w:hanging="284"/>
        <w:contextualSpacing/>
        <w:rPr>
          <w:rFonts w:eastAsia="Calibri" w:cs="Arial"/>
          <w:sz w:val="16"/>
          <w:szCs w:val="16"/>
        </w:rPr>
      </w:pPr>
      <w:r w:rsidRPr="003A047F">
        <w:rPr>
          <w:rFonts w:eastAsia="Calibri" w:cs="Arial"/>
          <w:sz w:val="16"/>
          <w:szCs w:val="16"/>
        </w:rPr>
        <w:t>a</w:t>
      </w:r>
      <w:r w:rsidRPr="003A047F">
        <w:rPr>
          <w:rFonts w:eastAsia="Calibri" w:cs="Arial"/>
          <w:sz w:val="16"/>
          <w:szCs w:val="16"/>
        </w:rPr>
        <w:tab/>
        <w:t>Funding is for the Financial Wellbeing and Capability Activity, and Welfare Quarantining.</w:t>
      </w:r>
    </w:p>
    <w:p w14:paraId="7351B9F7" w14:textId="77777777" w:rsidR="0029429F" w:rsidRPr="003A047F" w:rsidRDefault="0029429F" w:rsidP="0029429F">
      <w:pPr>
        <w:spacing w:before="160" w:after="60" w:line="240" w:lineRule="auto"/>
        <w:ind w:left="284" w:hanging="284"/>
        <w:contextualSpacing/>
        <w:rPr>
          <w:rFonts w:eastAsia="Calibri" w:cs="Arial"/>
          <w:sz w:val="16"/>
          <w:szCs w:val="16"/>
        </w:rPr>
      </w:pPr>
      <w:r w:rsidRPr="003A047F">
        <w:rPr>
          <w:rFonts w:eastAsia="Calibri" w:cs="Arial"/>
          <w:sz w:val="16"/>
          <w:szCs w:val="16"/>
        </w:rPr>
        <w:t>b</w:t>
      </w:r>
      <w:r w:rsidRPr="003A047F">
        <w:rPr>
          <w:rFonts w:eastAsia="Calibri" w:cs="Arial"/>
          <w:sz w:val="16"/>
          <w:szCs w:val="16"/>
        </w:rPr>
        <w:tab/>
        <w:t>Strong and Resilient Communities Activity replaced Strengthening Communities from 1 April 2018.</w:t>
      </w:r>
    </w:p>
    <w:p w14:paraId="21583C4F" w14:textId="77777777" w:rsidR="0029429F" w:rsidRPr="00771C23" w:rsidRDefault="0029429F" w:rsidP="0029429F">
      <w:pPr>
        <w:spacing w:before="160" w:after="60" w:line="240" w:lineRule="auto"/>
        <w:ind w:left="284" w:hanging="284"/>
        <w:contextualSpacing/>
      </w:pPr>
      <w:r w:rsidRPr="003A047F">
        <w:rPr>
          <w:rFonts w:eastAsia="Calibri" w:cs="Arial"/>
          <w:sz w:val="16"/>
          <w:szCs w:val="16"/>
        </w:rPr>
        <w:t>c</w:t>
      </w:r>
      <w:r w:rsidRPr="003A047F">
        <w:rPr>
          <w:rFonts w:eastAsia="Calibri" w:cs="Arial"/>
          <w:sz w:val="16"/>
          <w:szCs w:val="16"/>
        </w:rPr>
        <w:tab/>
      </w:r>
      <w:r w:rsidRPr="003A047F">
        <w:rPr>
          <w:rFonts w:eastAsia="Calibri" w:cs="Times New Roman"/>
          <w:sz w:val="16"/>
          <w:szCs w:val="16"/>
        </w:rPr>
        <w:t xml:space="preserve">As 2017–18 Volunteer Grants funds were moved forward to support a combined round in 2018–19 there was no selection </w:t>
      </w:r>
      <w:r w:rsidRPr="003A047F">
        <w:rPr>
          <w:sz w:val="16"/>
          <w:szCs w:val="16"/>
        </w:rPr>
        <w:t>round in 2017–18.</w:t>
      </w:r>
    </w:p>
    <w:p w14:paraId="260E639B" w14:textId="77777777" w:rsidR="006E51B9" w:rsidRDefault="006E51B9" w:rsidP="0029429F">
      <w:pPr>
        <w:rPr>
          <w:rFonts w:eastAsiaTheme="majorEastAsia" w:cstheme="majorBidi"/>
          <w:b/>
          <w:color w:val="595959" w:themeColor="text1" w:themeTint="A6"/>
          <w:sz w:val="24"/>
          <w:szCs w:val="20"/>
        </w:rPr>
        <w:sectPr w:rsidR="006E51B9" w:rsidSect="00A94724">
          <w:footnotePr>
            <w:numRestart w:val="eachPage"/>
          </w:footnotePr>
          <w:pgSz w:w="11906" w:h="16838"/>
          <w:pgMar w:top="1440" w:right="1440" w:bottom="1440" w:left="1440" w:header="709" w:footer="709" w:gutter="0"/>
          <w:cols w:space="708"/>
          <w:docGrid w:linePitch="360"/>
        </w:sectPr>
      </w:pPr>
    </w:p>
    <w:p w14:paraId="29E0D58C" w14:textId="77777777" w:rsidR="00C9100B" w:rsidRPr="002C1853" w:rsidRDefault="00C9100B" w:rsidP="00C9100B">
      <w:pPr>
        <w:rPr>
          <w:rFonts w:eastAsia="Times New Roman" w:cs="Arial"/>
          <w:spacing w:val="4"/>
          <w:sz w:val="24"/>
          <w:szCs w:val="24"/>
          <w:lang w:eastAsia="en-AU"/>
        </w:rPr>
      </w:pPr>
      <w:r w:rsidRPr="002C1853">
        <w:rPr>
          <w:rFonts w:eastAsia="Times New Roman" w:cstheme="majorBidi"/>
          <w:bCs/>
          <w:sz w:val="28"/>
          <w:lang w:eastAsia="en-AU"/>
        </w:rPr>
        <w:lastRenderedPageBreak/>
        <w:t>Chapter 2.3</w:t>
      </w:r>
    </w:p>
    <w:p w14:paraId="316D13FB" w14:textId="77777777" w:rsidR="00C9100B" w:rsidRPr="002C1853" w:rsidRDefault="00C9100B" w:rsidP="00C9100B">
      <w:pPr>
        <w:spacing w:after="0" w:line="280" w:lineRule="atLeast"/>
        <w:outlineLvl w:val="1"/>
        <w:rPr>
          <w:rFonts w:ascii="Georgia" w:eastAsiaTheme="majorEastAsia" w:hAnsi="Georgia" w:cstheme="majorBidi"/>
          <w:bCs/>
          <w:color w:val="005A70"/>
          <w:sz w:val="52"/>
          <w:szCs w:val="26"/>
        </w:rPr>
      </w:pPr>
      <w:r w:rsidRPr="002C1853">
        <w:rPr>
          <w:rFonts w:ascii="Georgia" w:eastAsiaTheme="majorEastAsia" w:hAnsi="Georgia" w:cstheme="majorBidi"/>
          <w:bCs/>
          <w:color w:val="005A70"/>
          <w:sz w:val="52"/>
          <w:szCs w:val="26"/>
        </w:rPr>
        <w:t>Purpose 3 — Disability and Carers</w:t>
      </w:r>
    </w:p>
    <w:p w14:paraId="20CB1267" w14:textId="77777777" w:rsidR="00980F86" w:rsidRDefault="00980F86" w:rsidP="00C9100B">
      <w:pPr>
        <w:rPr>
          <w:sz w:val="20"/>
          <w:szCs w:val="20"/>
        </w:rPr>
      </w:pPr>
    </w:p>
    <w:p w14:paraId="40A45FE5" w14:textId="79A3ED14" w:rsidR="00C9100B" w:rsidRPr="002C1853" w:rsidRDefault="00C9100B" w:rsidP="00C9100B">
      <w:pPr>
        <w:rPr>
          <w:sz w:val="20"/>
          <w:szCs w:val="20"/>
        </w:rPr>
      </w:pPr>
      <w:r w:rsidRPr="002C1853">
        <w:rPr>
          <w:sz w:val="20"/>
          <w:szCs w:val="20"/>
        </w:rPr>
        <w:t>Improved independence of, and participation by, people with disability, including improved support for carers, by providing targeted support and services.</w:t>
      </w:r>
    </w:p>
    <w:p w14:paraId="7CFFBA9D" w14:textId="77777777" w:rsidR="00C9100B" w:rsidRPr="00054A67" w:rsidRDefault="00C9100B" w:rsidP="00C9100B">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t>Summary and analysis of Outcome 3 performance</w:t>
      </w:r>
    </w:p>
    <w:p w14:paraId="79A724D9" w14:textId="66ECCE25" w:rsidR="00C9100B" w:rsidRPr="002C1853" w:rsidRDefault="00C9100B" w:rsidP="00C9100B">
      <w:pPr>
        <w:rPr>
          <w:sz w:val="20"/>
          <w:szCs w:val="20"/>
        </w:rPr>
      </w:pPr>
      <w:r w:rsidRPr="002C1853">
        <w:rPr>
          <w:sz w:val="20"/>
          <w:szCs w:val="20"/>
        </w:rPr>
        <w:t>We operate in an environment in which market dynamics, social norms and workplace cultures, impact the range of opportunities available for people with disability to improve their wellbeing. M</w:t>
      </w:r>
      <w:r>
        <w:rPr>
          <w:sz w:val="20"/>
          <w:szCs w:val="20"/>
        </w:rPr>
        <w:t>any m</w:t>
      </w:r>
      <w:r w:rsidRPr="002C1853">
        <w:rPr>
          <w:sz w:val="20"/>
          <w:szCs w:val="20"/>
        </w:rPr>
        <w:t xml:space="preserve">ainstream policies and programs </w:t>
      </w:r>
      <w:r>
        <w:rPr>
          <w:sz w:val="20"/>
          <w:szCs w:val="20"/>
        </w:rPr>
        <w:t xml:space="preserve">accessed by people with disability </w:t>
      </w:r>
      <w:r w:rsidRPr="002C1853">
        <w:rPr>
          <w:sz w:val="20"/>
          <w:szCs w:val="20"/>
        </w:rPr>
        <w:t xml:space="preserve">are run by state jurisdictions and, within the Commonwealth, by agencies other than the department. Our performance is reliant on </w:t>
      </w:r>
      <w:r w:rsidRPr="00946582">
        <w:rPr>
          <w:sz w:val="20"/>
          <w:szCs w:val="20"/>
        </w:rPr>
        <w:t xml:space="preserve">effectively managing the policies and programs </w:t>
      </w:r>
      <w:r>
        <w:rPr>
          <w:sz w:val="20"/>
          <w:szCs w:val="20"/>
        </w:rPr>
        <w:t>for which our agency is responsible</w:t>
      </w:r>
      <w:r w:rsidRPr="00946582">
        <w:rPr>
          <w:sz w:val="20"/>
          <w:szCs w:val="20"/>
        </w:rPr>
        <w:t xml:space="preserve"> and also on </w:t>
      </w:r>
      <w:r w:rsidRPr="002C1853">
        <w:rPr>
          <w:sz w:val="20"/>
          <w:szCs w:val="20"/>
        </w:rPr>
        <w:t>influencing other jurisdictions, agencies</w:t>
      </w:r>
      <w:r>
        <w:rPr>
          <w:sz w:val="20"/>
          <w:szCs w:val="20"/>
        </w:rPr>
        <w:t>,</w:t>
      </w:r>
      <w:r w:rsidRPr="002C1853">
        <w:rPr>
          <w:sz w:val="20"/>
          <w:szCs w:val="20"/>
        </w:rPr>
        <w:t xml:space="preserve"> and employers to reduce barriers to social and economic participation for people with disability and to improve their access to support.</w:t>
      </w:r>
    </w:p>
    <w:tbl>
      <w:tblPr>
        <w:tblStyle w:val="HHorizontaltable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6"/>
        <w:tblCellMar>
          <w:top w:w="227" w:type="dxa"/>
          <w:left w:w="340" w:type="dxa"/>
          <w:bottom w:w="227" w:type="dxa"/>
          <w:right w:w="340" w:type="dxa"/>
        </w:tblCellMar>
        <w:tblLook w:val="04A0" w:firstRow="1" w:lastRow="0" w:firstColumn="1" w:lastColumn="0" w:noHBand="0" w:noVBand="1"/>
        <w:tblCaption w:val="Purpose 3 - Disability and Carers Key results"/>
        <w:tblDescription w:val="Purpose 3 - Disability and Carers Key results"/>
      </w:tblPr>
      <w:tblGrid>
        <w:gridCol w:w="9026"/>
      </w:tblGrid>
      <w:tr w:rsidR="00C9100B" w:rsidRPr="002C1853" w14:paraId="08D16BF4" w14:textId="77777777" w:rsidTr="00E117FD">
        <w:trPr>
          <w:trHeight w:val="3721"/>
          <w:tblHeader/>
        </w:trPr>
        <w:tc>
          <w:tcPr>
            <w:tcW w:w="5000" w:type="pct"/>
            <w:shd w:val="clear" w:color="auto" w:fill="D9D9D6"/>
            <w:hideMark/>
          </w:tcPr>
          <w:p w14:paraId="1C3D96F0" w14:textId="77777777" w:rsidR="00C9100B" w:rsidRPr="007F2601" w:rsidRDefault="00C9100B" w:rsidP="007F2601">
            <w:pPr>
              <w:shd w:val="clear" w:color="auto" w:fill="00B0B9"/>
              <w:spacing w:before="120" w:after="120"/>
              <w:ind w:right="-576"/>
              <w:outlineLvl w:val="6"/>
              <w:rPr>
                <w:rFonts w:eastAsiaTheme="majorEastAsia" w:cstheme="majorBidi"/>
                <w:b/>
                <w:iCs/>
                <w:sz w:val="26"/>
              </w:rPr>
            </w:pPr>
            <w:r w:rsidRPr="007F2601">
              <w:rPr>
                <w:rFonts w:eastAsiaTheme="majorEastAsia" w:cstheme="majorBidi"/>
                <w:b/>
                <w:iCs/>
                <w:sz w:val="24"/>
              </w:rPr>
              <w:t>Key results</w:t>
            </w:r>
          </w:p>
          <w:p w14:paraId="01D443A4" w14:textId="77777777" w:rsidR="00C9100B" w:rsidRPr="002C1853" w:rsidRDefault="00C9100B" w:rsidP="00E117FD">
            <w:pPr>
              <w:spacing w:after="120"/>
              <w:rPr>
                <w:sz w:val="20"/>
                <w:szCs w:val="20"/>
              </w:rPr>
            </w:pPr>
            <w:r w:rsidRPr="002C1853">
              <w:rPr>
                <w:sz w:val="20"/>
                <w:szCs w:val="20"/>
              </w:rPr>
              <w:t>In the past year, our contributions to improving outcomes for people with disability and carers include:</w:t>
            </w:r>
          </w:p>
          <w:p w14:paraId="4733A4DF" w14:textId="25AD5548" w:rsidR="00C9100B" w:rsidRPr="002C1853" w:rsidRDefault="00C9100B" w:rsidP="003A047F">
            <w:pPr>
              <w:numPr>
                <w:ilvl w:val="0"/>
                <w:numId w:val="100"/>
              </w:numPr>
              <w:spacing w:before="60" w:after="120" w:line="260" w:lineRule="atLeast"/>
              <w:rPr>
                <w:spacing w:val="4"/>
                <w:sz w:val="20"/>
                <w:szCs w:val="20"/>
              </w:rPr>
            </w:pPr>
            <w:r w:rsidRPr="002C1853">
              <w:rPr>
                <w:spacing w:val="4"/>
                <w:sz w:val="20"/>
                <w:szCs w:val="20"/>
              </w:rPr>
              <w:t>cooperation with the National Disability Insurance Agency (NDIA) and state and territory governments to implement the National Disability Insurance Scheme (NDIS) across Australia, including reaching a full scheme Agreement with Queensland during 2019–20</w:t>
            </w:r>
          </w:p>
          <w:p w14:paraId="2348E4FE" w14:textId="05AD7DF5" w:rsidR="00C9100B" w:rsidRPr="00D750F0" w:rsidRDefault="00C9100B" w:rsidP="003A047F">
            <w:pPr>
              <w:pStyle w:val="ListBullet"/>
              <w:numPr>
                <w:ilvl w:val="0"/>
                <w:numId w:val="100"/>
              </w:numPr>
              <w:rPr>
                <w:szCs w:val="20"/>
              </w:rPr>
            </w:pPr>
            <w:r w:rsidRPr="00D750F0">
              <w:rPr>
                <w:rFonts w:cstheme="minorBidi"/>
                <w:szCs w:val="20"/>
              </w:rPr>
              <w:t>Victoria, Queensland, Tasmania, the Australian Capital Territory</w:t>
            </w:r>
            <w:r>
              <w:rPr>
                <w:rFonts w:cstheme="minorBidi"/>
                <w:szCs w:val="20"/>
              </w:rPr>
              <w:t>,</w:t>
            </w:r>
            <w:r w:rsidRPr="00D750F0">
              <w:rPr>
                <w:rFonts w:cstheme="minorBidi"/>
                <w:szCs w:val="20"/>
              </w:rPr>
              <w:t xml:space="preserve"> and the Northern Territory transitioned to the NDIS Quality and Safeguards Commissio</w:t>
            </w:r>
            <w:r>
              <w:rPr>
                <w:rFonts w:cstheme="minorBidi"/>
                <w:szCs w:val="20"/>
              </w:rPr>
              <w:t>n (NDIS Commission)</w:t>
            </w:r>
            <w:r w:rsidRPr="00D750F0">
              <w:rPr>
                <w:rFonts w:cstheme="minorBidi"/>
                <w:szCs w:val="20"/>
              </w:rPr>
              <w:t xml:space="preserve"> on 1 July 2019, which means the </w:t>
            </w:r>
            <w:r>
              <w:rPr>
                <w:rFonts w:cstheme="minorBidi"/>
                <w:szCs w:val="20"/>
              </w:rPr>
              <w:t xml:space="preserve">NDIS </w:t>
            </w:r>
            <w:r w:rsidRPr="00D750F0">
              <w:rPr>
                <w:rFonts w:cstheme="minorBidi"/>
                <w:szCs w:val="20"/>
              </w:rPr>
              <w:t>Commission is now operating in all states and territories except Western Australia</w:t>
            </w:r>
          </w:p>
          <w:p w14:paraId="3E85B6EB" w14:textId="6BC5C876" w:rsidR="00C9100B" w:rsidRPr="002C1853" w:rsidRDefault="00C9100B" w:rsidP="003A047F">
            <w:pPr>
              <w:numPr>
                <w:ilvl w:val="0"/>
                <w:numId w:val="100"/>
              </w:numPr>
              <w:spacing w:before="60" w:after="120" w:line="260" w:lineRule="atLeast"/>
              <w:rPr>
                <w:spacing w:val="4"/>
                <w:sz w:val="20"/>
                <w:szCs w:val="20"/>
              </w:rPr>
            </w:pPr>
            <w:r w:rsidRPr="002C1853">
              <w:rPr>
                <w:spacing w:val="4"/>
                <w:sz w:val="20"/>
                <w:szCs w:val="20"/>
              </w:rPr>
              <w:t>improved access to Specialist Disability Accommodation for NDIS participants by stimulating supply and market confidence</w:t>
            </w:r>
          </w:p>
          <w:p w14:paraId="2AC73CA0" w14:textId="1DA85A5E" w:rsidR="00C9100B" w:rsidRPr="00D750F0" w:rsidRDefault="00C9100B" w:rsidP="003A047F">
            <w:pPr>
              <w:pStyle w:val="ListBullet"/>
              <w:numPr>
                <w:ilvl w:val="0"/>
                <w:numId w:val="100"/>
              </w:numPr>
              <w:rPr>
                <w:szCs w:val="20"/>
              </w:rPr>
            </w:pPr>
            <w:r w:rsidRPr="00D750F0">
              <w:rPr>
                <w:szCs w:val="20"/>
              </w:rPr>
              <w:t xml:space="preserve">implementation of supports as part of the </w:t>
            </w:r>
            <w:r w:rsidRPr="00957357">
              <w:rPr>
                <w:i/>
                <w:iCs/>
                <w:szCs w:val="20"/>
              </w:rPr>
              <w:t>Royal Commission into Violence, Abuse, Neglect and Exploitation of People with Disability</w:t>
            </w:r>
            <w:r w:rsidRPr="00D750F0">
              <w:rPr>
                <w:szCs w:val="20"/>
              </w:rPr>
              <w:t>, including trauma-informed counselling services, individual advocacy support, Indigenous-specific individual advocacy, and systemic advocacy support for organisations and individuals</w:t>
            </w:r>
          </w:p>
          <w:p w14:paraId="386D8524" w14:textId="5E9F9998" w:rsidR="00C9100B" w:rsidRPr="00D750F0" w:rsidRDefault="00C9100B" w:rsidP="003A047F">
            <w:pPr>
              <w:pStyle w:val="ListBullet"/>
              <w:numPr>
                <w:ilvl w:val="0"/>
                <w:numId w:val="100"/>
              </w:numPr>
              <w:rPr>
                <w:szCs w:val="20"/>
              </w:rPr>
            </w:pPr>
            <w:r w:rsidRPr="00D750F0">
              <w:rPr>
                <w:rFonts w:cstheme="minorBidi"/>
                <w:szCs w:val="20"/>
              </w:rPr>
              <w:t xml:space="preserve">continued implementation of the reforms to the Disability Employment Services (DES), which saw a significant increase in the number of people with disability, illness and injury accessing assistance. From </w:t>
            </w:r>
            <w:r>
              <w:rPr>
                <w:rFonts w:cstheme="minorBidi"/>
                <w:szCs w:val="20"/>
              </w:rPr>
              <w:t>1 July</w:t>
            </w:r>
            <w:r w:rsidRPr="00D750F0">
              <w:rPr>
                <w:rFonts w:cstheme="minorBidi"/>
                <w:szCs w:val="20"/>
              </w:rPr>
              <w:t xml:space="preserve"> 2019 to 30 June 2020, the number of DES participants increased nearly 20 per cent (or 45,654) from 238,327 to 283,98</w:t>
            </w:r>
            <w:r w:rsidRPr="006E51B9">
              <w:rPr>
                <w:rFonts w:cstheme="minorBidi"/>
                <w:szCs w:val="20"/>
              </w:rPr>
              <w:t>1</w:t>
            </w:r>
          </w:p>
          <w:p w14:paraId="5C9986B3" w14:textId="77777777" w:rsidR="00C9100B" w:rsidRPr="002C1853" w:rsidRDefault="00C9100B" w:rsidP="003A047F">
            <w:pPr>
              <w:numPr>
                <w:ilvl w:val="0"/>
                <w:numId w:val="100"/>
              </w:numPr>
              <w:spacing w:before="60" w:after="120" w:line="260" w:lineRule="atLeast"/>
              <w:rPr>
                <w:spacing w:val="4"/>
                <w:sz w:val="20"/>
                <w:szCs w:val="20"/>
              </w:rPr>
            </w:pPr>
            <w:r w:rsidRPr="002C1853">
              <w:rPr>
                <w:spacing w:val="4"/>
                <w:sz w:val="20"/>
                <w:szCs w:val="20"/>
              </w:rPr>
              <w:t>the introduction of the new Integrated Carer Support Service (ICSS).</w:t>
            </w:r>
          </w:p>
        </w:tc>
      </w:tr>
    </w:tbl>
    <w:p w14:paraId="65272AD5" w14:textId="77777777" w:rsidR="00C9100B" w:rsidRPr="002C1853" w:rsidRDefault="00C9100B" w:rsidP="00C9100B">
      <w:pPr>
        <w:rPr>
          <w:sz w:val="20"/>
          <w:szCs w:val="20"/>
        </w:rPr>
      </w:pPr>
    </w:p>
    <w:p w14:paraId="2AA31A40" w14:textId="77777777" w:rsidR="00C9100B" w:rsidRPr="002C1853" w:rsidRDefault="00C9100B" w:rsidP="00C9100B">
      <w:pPr>
        <w:rPr>
          <w:sz w:val="20"/>
          <w:szCs w:val="20"/>
        </w:rPr>
      </w:pPr>
    </w:p>
    <w:p w14:paraId="264C3299" w14:textId="77777777" w:rsidR="00715F6F" w:rsidRDefault="00715F6F" w:rsidP="00C9100B">
      <w:pPr>
        <w:rPr>
          <w:sz w:val="20"/>
          <w:szCs w:val="20"/>
        </w:rPr>
        <w:sectPr w:rsidR="00715F6F" w:rsidSect="00A94724">
          <w:footnotePr>
            <w:numRestart w:val="eachPage"/>
          </w:footnotePr>
          <w:pgSz w:w="11906" w:h="16838"/>
          <w:pgMar w:top="1440" w:right="1440" w:bottom="1440" w:left="1440" w:header="709" w:footer="709" w:gutter="0"/>
          <w:cols w:space="708"/>
          <w:docGrid w:linePitch="360"/>
        </w:sectPr>
      </w:pPr>
    </w:p>
    <w:p w14:paraId="10CEA013" w14:textId="77777777" w:rsidR="00C9100B" w:rsidRPr="00054A67" w:rsidRDefault="00C9100B" w:rsidP="00C9100B">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lastRenderedPageBreak/>
        <w:t>Outcome 3 Programs and Key Activities</w:t>
      </w:r>
    </w:p>
    <w:p w14:paraId="61DFB332" w14:textId="77777777" w:rsidR="00C9100B" w:rsidRPr="002C1853" w:rsidRDefault="00C9100B" w:rsidP="00C9100B">
      <w:pPr>
        <w:rPr>
          <w:sz w:val="20"/>
          <w:szCs w:val="20"/>
        </w:rPr>
      </w:pPr>
      <w:r w:rsidRPr="002C1853">
        <w:rPr>
          <w:sz w:val="20"/>
          <w:szCs w:val="20"/>
        </w:rPr>
        <w:t xml:space="preserve">Outcome 3 comprises </w:t>
      </w:r>
      <w:r>
        <w:rPr>
          <w:sz w:val="20"/>
          <w:szCs w:val="20"/>
        </w:rPr>
        <w:t>two</w:t>
      </w:r>
      <w:r w:rsidRPr="002C1853">
        <w:rPr>
          <w:sz w:val="20"/>
          <w:szCs w:val="20"/>
        </w:rPr>
        <w:t xml:space="preserve"> programs underpinned by a number of activities that seek to contribute to positive outcomes for people with disability. The tables below outline how the objectives of this purpose were achieved through delivery of measurable activities. </w:t>
      </w:r>
    </w:p>
    <w:p w14:paraId="5DEA6B24" w14:textId="77777777" w:rsidR="00C9100B" w:rsidRPr="002C1853" w:rsidRDefault="00C9100B" w:rsidP="00C9100B">
      <w:pPr>
        <w:keepNext/>
        <w:spacing w:before="240" w:after="0" w:line="260" w:lineRule="atLeast"/>
        <w:ind w:right="425"/>
        <w:rPr>
          <w:rFonts w:ascii="Arial Narrow" w:eastAsia="Times New Roman" w:hAnsi="Arial Narrow" w:cs="Times New Roman"/>
          <w:b/>
          <w:bCs/>
          <w:spacing w:val="4"/>
          <w:sz w:val="20"/>
          <w:szCs w:val="18"/>
          <w:lang w:eastAsia="en-AU"/>
        </w:rPr>
      </w:pPr>
      <w:r w:rsidRPr="002C1853">
        <w:rPr>
          <w:rFonts w:ascii="Arial Narrow" w:eastAsia="Times New Roman" w:hAnsi="Arial Narrow" w:cs="Times New Roman"/>
          <w:b/>
          <w:bCs/>
          <w:spacing w:val="4"/>
          <w:sz w:val="20"/>
          <w:szCs w:val="18"/>
          <w:lang w:eastAsia="en-AU"/>
        </w:rPr>
        <w:t>Table 2.3.1: Outcome 3 Programs and Key Activities</w:t>
      </w:r>
    </w:p>
    <w:tbl>
      <w:tblPr>
        <w:tblStyle w:val="TableGrid1"/>
        <w:tblW w:w="5000" w:type="pct"/>
        <w:jc w:val="center"/>
        <w:tblInd w:w="0"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Caption w:val="Table 2.3.1: Outcome 3 Programs and Key Activities"/>
        <w:tblDescription w:val="This table outlines the programs and key activites for Outcome 3"/>
      </w:tblPr>
      <w:tblGrid>
        <w:gridCol w:w="4468"/>
        <w:gridCol w:w="4468"/>
      </w:tblGrid>
      <w:tr w:rsidR="00C9100B" w:rsidRPr="002C1853" w14:paraId="4A4AE3F2" w14:textId="77777777" w:rsidTr="00E117FD">
        <w:trPr>
          <w:tblHeader/>
          <w:jc w:val="center"/>
        </w:trPr>
        <w:tc>
          <w:tcPr>
            <w:tcW w:w="5000" w:type="pct"/>
            <w:gridSpan w:val="2"/>
            <w:shd w:val="clear" w:color="auto" w:fill="005A70"/>
            <w:vAlign w:val="center"/>
          </w:tcPr>
          <w:p w14:paraId="051D2617" w14:textId="77777777" w:rsidR="00C9100B" w:rsidRPr="002C1853" w:rsidRDefault="00C9100B" w:rsidP="00E117FD">
            <w:pPr>
              <w:spacing w:before="120" w:after="120"/>
              <w:jc w:val="center"/>
              <w:rPr>
                <w:rFonts w:cs="Arial"/>
                <w:color w:val="FFFFFF" w:themeColor="background1"/>
                <w:sz w:val="16"/>
                <w:szCs w:val="16"/>
              </w:rPr>
            </w:pPr>
            <w:r w:rsidRPr="002C1853">
              <w:rPr>
                <w:rFonts w:cs="Arial"/>
                <w:b/>
                <w:bCs/>
                <w:color w:val="FFFFFF" w:themeColor="background1"/>
                <w:sz w:val="16"/>
                <w:szCs w:val="16"/>
              </w:rPr>
              <w:t xml:space="preserve">OUTCOME 3 </w:t>
            </w:r>
            <w:r>
              <w:rPr>
                <w:rFonts w:cs="Arial"/>
                <w:b/>
                <w:bCs/>
                <w:color w:val="FFFFFF" w:themeColor="background1"/>
                <w:sz w:val="16"/>
                <w:szCs w:val="16"/>
              </w:rPr>
              <w:t>—</w:t>
            </w:r>
            <w:r w:rsidRPr="002C1853">
              <w:rPr>
                <w:rFonts w:cs="Arial"/>
                <w:b/>
                <w:bCs/>
                <w:color w:val="FFFFFF" w:themeColor="background1"/>
                <w:sz w:val="16"/>
                <w:szCs w:val="16"/>
              </w:rPr>
              <w:t xml:space="preserve"> DISABILITY AND CARERS</w:t>
            </w:r>
          </w:p>
        </w:tc>
      </w:tr>
      <w:tr w:rsidR="00C9100B" w:rsidRPr="002C1853" w14:paraId="0AE6B509" w14:textId="77777777" w:rsidTr="00E117FD">
        <w:trPr>
          <w:jc w:val="center"/>
        </w:trPr>
        <w:tc>
          <w:tcPr>
            <w:tcW w:w="2500" w:type="pct"/>
            <w:shd w:val="clear" w:color="auto" w:fill="00B0B9"/>
            <w:vAlign w:val="center"/>
          </w:tcPr>
          <w:p w14:paraId="36179F78" w14:textId="77777777" w:rsidR="00C9100B" w:rsidRPr="007F2601" w:rsidRDefault="00C9100B" w:rsidP="00E117FD">
            <w:pPr>
              <w:spacing w:before="120" w:after="120"/>
              <w:jc w:val="center"/>
              <w:rPr>
                <w:rFonts w:cs="Arial"/>
                <w:sz w:val="16"/>
                <w:szCs w:val="16"/>
              </w:rPr>
            </w:pPr>
            <w:r w:rsidRPr="007F2601">
              <w:rPr>
                <w:rFonts w:cs="Arial"/>
                <w:b/>
                <w:bCs/>
                <w:sz w:val="16"/>
                <w:szCs w:val="16"/>
              </w:rPr>
              <w:t>Program 3.1</w:t>
            </w:r>
          </w:p>
          <w:p w14:paraId="434D8F4B" w14:textId="77777777" w:rsidR="00C9100B" w:rsidRPr="007F2601" w:rsidRDefault="00C9100B" w:rsidP="00E117FD">
            <w:pPr>
              <w:spacing w:before="120" w:after="120"/>
              <w:jc w:val="center"/>
              <w:rPr>
                <w:rFonts w:cs="Arial"/>
                <w:sz w:val="16"/>
                <w:szCs w:val="16"/>
              </w:rPr>
            </w:pPr>
            <w:r w:rsidRPr="007F2601">
              <w:rPr>
                <w:rFonts w:cs="Arial"/>
                <w:b/>
                <w:bCs/>
                <w:sz w:val="16"/>
                <w:szCs w:val="16"/>
              </w:rPr>
              <w:t>Disability Mental Health and Carers</w:t>
            </w:r>
          </w:p>
        </w:tc>
        <w:tc>
          <w:tcPr>
            <w:tcW w:w="2500" w:type="pct"/>
            <w:shd w:val="clear" w:color="auto" w:fill="00B0B9"/>
            <w:vAlign w:val="center"/>
          </w:tcPr>
          <w:p w14:paraId="117EFBC7" w14:textId="77777777" w:rsidR="00C9100B" w:rsidRPr="007F2601" w:rsidRDefault="00C9100B" w:rsidP="00E117FD">
            <w:pPr>
              <w:spacing w:before="120" w:after="120"/>
              <w:jc w:val="center"/>
              <w:rPr>
                <w:rFonts w:cs="Arial"/>
                <w:sz w:val="16"/>
                <w:szCs w:val="16"/>
              </w:rPr>
            </w:pPr>
            <w:r w:rsidRPr="007F2601">
              <w:rPr>
                <w:rFonts w:cs="Arial"/>
                <w:b/>
                <w:bCs/>
                <w:sz w:val="16"/>
                <w:szCs w:val="16"/>
              </w:rPr>
              <w:t>Program 3.2</w:t>
            </w:r>
          </w:p>
          <w:p w14:paraId="4F8DB85D" w14:textId="77777777" w:rsidR="00C9100B" w:rsidRPr="007F2601" w:rsidRDefault="00C9100B" w:rsidP="00E117FD">
            <w:pPr>
              <w:spacing w:before="120" w:after="120"/>
              <w:jc w:val="center"/>
              <w:rPr>
                <w:rFonts w:cs="Arial"/>
                <w:sz w:val="16"/>
                <w:szCs w:val="16"/>
              </w:rPr>
            </w:pPr>
            <w:r w:rsidRPr="007F2601">
              <w:rPr>
                <w:rFonts w:cs="Arial"/>
                <w:b/>
                <w:bCs/>
                <w:sz w:val="16"/>
                <w:szCs w:val="16"/>
              </w:rPr>
              <w:t>National Disability Insurance Scheme (NDIS)</w:t>
            </w:r>
          </w:p>
        </w:tc>
      </w:tr>
      <w:tr w:rsidR="00C9100B" w:rsidRPr="002C1853" w14:paraId="71D9B52E" w14:textId="77777777" w:rsidTr="00E117FD">
        <w:trPr>
          <w:jc w:val="center"/>
        </w:trPr>
        <w:tc>
          <w:tcPr>
            <w:tcW w:w="1" w:type="pct"/>
            <w:gridSpan w:val="2"/>
            <w:shd w:val="clear" w:color="auto" w:fill="D9D9D6"/>
            <w:vAlign w:val="center"/>
          </w:tcPr>
          <w:p w14:paraId="4FBBC74D" w14:textId="77777777" w:rsidR="00C9100B" w:rsidRPr="002C1853" w:rsidRDefault="00C9100B" w:rsidP="00E117FD">
            <w:pPr>
              <w:spacing w:before="120" w:after="120"/>
              <w:jc w:val="center"/>
              <w:rPr>
                <w:rFonts w:cs="Arial"/>
                <w:bCs/>
                <w:color w:val="FFFFFF" w:themeColor="background1"/>
                <w:sz w:val="16"/>
                <w:szCs w:val="16"/>
              </w:rPr>
            </w:pPr>
            <w:r>
              <w:rPr>
                <w:rFonts w:cs="Arial"/>
                <w:bCs/>
                <w:sz w:val="16"/>
                <w:szCs w:val="16"/>
              </w:rPr>
              <w:t>Refer to Table 2.3</w:t>
            </w:r>
            <w:r w:rsidRPr="002C1853">
              <w:rPr>
                <w:rFonts w:cs="Arial"/>
                <w:bCs/>
                <w:sz w:val="16"/>
                <w:szCs w:val="16"/>
              </w:rPr>
              <w:t>.2 for program performance results</w:t>
            </w:r>
          </w:p>
        </w:tc>
      </w:tr>
      <w:tr w:rsidR="00C9100B" w:rsidRPr="002C1853" w14:paraId="47C4E178" w14:textId="77777777" w:rsidTr="00E117FD">
        <w:trPr>
          <w:jc w:val="center"/>
        </w:trPr>
        <w:tc>
          <w:tcPr>
            <w:tcW w:w="2500" w:type="pct"/>
            <w:shd w:val="clear" w:color="auto" w:fill="B1E4E3"/>
          </w:tcPr>
          <w:p w14:paraId="4808883E" w14:textId="77777777" w:rsidR="00C9100B" w:rsidRPr="002C1853" w:rsidRDefault="00C9100B" w:rsidP="00E117FD">
            <w:pPr>
              <w:spacing w:before="120" w:after="120"/>
              <w:jc w:val="center"/>
              <w:rPr>
                <w:rFonts w:cs="Arial"/>
                <w:sz w:val="16"/>
                <w:szCs w:val="16"/>
              </w:rPr>
            </w:pPr>
            <w:r w:rsidRPr="002C1853">
              <w:rPr>
                <w:rFonts w:cs="Arial"/>
                <w:b/>
                <w:bCs/>
                <w:sz w:val="16"/>
                <w:szCs w:val="16"/>
              </w:rPr>
              <w:t>Key activities</w:t>
            </w:r>
          </w:p>
          <w:p w14:paraId="0A5F86F9" w14:textId="77777777" w:rsidR="00C9100B" w:rsidRPr="002C1853" w:rsidRDefault="00C9100B" w:rsidP="00E117FD">
            <w:pPr>
              <w:numPr>
                <w:ilvl w:val="0"/>
                <w:numId w:val="83"/>
              </w:numPr>
              <w:spacing w:before="120" w:after="120"/>
              <w:ind w:left="368" w:hanging="283"/>
              <w:rPr>
                <w:rFonts w:cs="Arial"/>
                <w:sz w:val="16"/>
                <w:szCs w:val="16"/>
              </w:rPr>
            </w:pPr>
            <w:r w:rsidRPr="002C1853">
              <w:rPr>
                <w:rFonts w:cs="Arial"/>
                <w:sz w:val="16"/>
                <w:szCs w:val="16"/>
              </w:rPr>
              <w:t>Disability employment services</w:t>
            </w:r>
          </w:p>
          <w:p w14:paraId="0DC9A6C6" w14:textId="77777777" w:rsidR="00C9100B" w:rsidRPr="002C1853" w:rsidRDefault="00C9100B" w:rsidP="00E117FD">
            <w:pPr>
              <w:numPr>
                <w:ilvl w:val="0"/>
                <w:numId w:val="83"/>
              </w:numPr>
              <w:spacing w:before="120" w:after="120"/>
              <w:ind w:left="368" w:hanging="283"/>
              <w:rPr>
                <w:rFonts w:cs="Arial"/>
                <w:sz w:val="16"/>
                <w:szCs w:val="16"/>
              </w:rPr>
            </w:pPr>
            <w:r w:rsidRPr="002C1853">
              <w:rPr>
                <w:rFonts w:cs="Arial"/>
                <w:sz w:val="16"/>
                <w:szCs w:val="16"/>
              </w:rPr>
              <w:t>Support for carers</w:t>
            </w:r>
          </w:p>
          <w:p w14:paraId="0C0FA2C5" w14:textId="77777777" w:rsidR="00C9100B" w:rsidRPr="002C1853" w:rsidRDefault="00C9100B" w:rsidP="00E117FD">
            <w:pPr>
              <w:numPr>
                <w:ilvl w:val="0"/>
                <w:numId w:val="83"/>
              </w:numPr>
              <w:spacing w:before="120" w:after="120"/>
              <w:ind w:left="368" w:hanging="283"/>
              <w:rPr>
                <w:rFonts w:cs="Arial"/>
                <w:sz w:val="16"/>
                <w:szCs w:val="16"/>
              </w:rPr>
            </w:pPr>
            <w:r w:rsidRPr="002C1853">
              <w:rPr>
                <w:rFonts w:cs="Arial"/>
                <w:sz w:val="16"/>
                <w:szCs w:val="16"/>
              </w:rPr>
              <w:t>Advocacy support for people with disability</w:t>
            </w:r>
          </w:p>
          <w:p w14:paraId="4EE412D1" w14:textId="77777777" w:rsidR="00C9100B" w:rsidRPr="002C1853" w:rsidRDefault="00C9100B" w:rsidP="00E117FD">
            <w:pPr>
              <w:numPr>
                <w:ilvl w:val="0"/>
                <w:numId w:val="83"/>
              </w:numPr>
              <w:spacing w:before="120" w:after="120"/>
              <w:ind w:left="368" w:hanging="283"/>
              <w:rPr>
                <w:rFonts w:cs="Arial"/>
                <w:sz w:val="16"/>
                <w:szCs w:val="16"/>
              </w:rPr>
            </w:pPr>
            <w:r>
              <w:rPr>
                <w:rFonts w:cs="Arial"/>
                <w:sz w:val="16"/>
                <w:szCs w:val="16"/>
              </w:rPr>
              <w:t xml:space="preserve">National </w:t>
            </w:r>
            <w:r w:rsidRPr="002C1853">
              <w:rPr>
                <w:rFonts w:cs="Arial"/>
                <w:sz w:val="16"/>
                <w:szCs w:val="16"/>
              </w:rPr>
              <w:t>Disability Strategy</w:t>
            </w:r>
          </w:p>
        </w:tc>
        <w:tc>
          <w:tcPr>
            <w:tcW w:w="2500" w:type="pct"/>
            <w:shd w:val="clear" w:color="auto" w:fill="B1E4E3"/>
          </w:tcPr>
          <w:p w14:paraId="1EB2BF0F" w14:textId="77777777" w:rsidR="00C9100B" w:rsidRPr="002C1853" w:rsidRDefault="00C9100B" w:rsidP="00E117FD">
            <w:pPr>
              <w:spacing w:before="120" w:after="120"/>
              <w:jc w:val="center"/>
              <w:rPr>
                <w:rFonts w:cs="Arial"/>
                <w:sz w:val="16"/>
                <w:szCs w:val="16"/>
              </w:rPr>
            </w:pPr>
            <w:r w:rsidRPr="002C1853">
              <w:rPr>
                <w:rFonts w:cs="Arial"/>
                <w:b/>
                <w:bCs/>
                <w:sz w:val="16"/>
                <w:szCs w:val="16"/>
              </w:rPr>
              <w:t>Key activities</w:t>
            </w:r>
          </w:p>
          <w:p w14:paraId="4A5861D7" w14:textId="77777777" w:rsidR="00C9100B" w:rsidRPr="002C1853" w:rsidRDefault="00C9100B" w:rsidP="00E117FD">
            <w:pPr>
              <w:numPr>
                <w:ilvl w:val="0"/>
                <w:numId w:val="83"/>
              </w:numPr>
              <w:spacing w:before="120" w:after="120"/>
              <w:ind w:left="368" w:hanging="283"/>
              <w:rPr>
                <w:rFonts w:cs="Arial"/>
                <w:sz w:val="16"/>
                <w:szCs w:val="16"/>
              </w:rPr>
            </w:pPr>
            <w:r w:rsidRPr="002C1853">
              <w:rPr>
                <w:rFonts w:cs="Arial"/>
                <w:sz w:val="16"/>
                <w:szCs w:val="16"/>
              </w:rPr>
              <w:t>NDIS Transition  (including Commonwealth Programs)</w:t>
            </w:r>
          </w:p>
          <w:p w14:paraId="3BAE4235" w14:textId="77777777" w:rsidR="00C9100B" w:rsidRPr="002C1853" w:rsidRDefault="00C9100B" w:rsidP="00E117FD">
            <w:pPr>
              <w:numPr>
                <w:ilvl w:val="0"/>
                <w:numId w:val="83"/>
              </w:numPr>
              <w:spacing w:before="120" w:after="120"/>
              <w:ind w:left="368" w:hanging="283"/>
              <w:rPr>
                <w:rFonts w:cs="Arial"/>
                <w:sz w:val="16"/>
                <w:szCs w:val="16"/>
              </w:rPr>
            </w:pPr>
            <w:r w:rsidRPr="002C1853">
              <w:rPr>
                <w:rFonts w:cs="Arial"/>
                <w:sz w:val="16"/>
                <w:szCs w:val="16"/>
              </w:rPr>
              <w:t>Development of the NDIS Market</w:t>
            </w:r>
          </w:p>
          <w:p w14:paraId="272EC193" w14:textId="77777777" w:rsidR="00C9100B" w:rsidRPr="002C1853" w:rsidRDefault="00C9100B" w:rsidP="00E117FD">
            <w:pPr>
              <w:numPr>
                <w:ilvl w:val="0"/>
                <w:numId w:val="83"/>
              </w:numPr>
              <w:spacing w:before="120" w:after="120"/>
              <w:ind w:left="368" w:hanging="283"/>
              <w:rPr>
                <w:rFonts w:cs="Arial"/>
                <w:sz w:val="16"/>
                <w:szCs w:val="16"/>
              </w:rPr>
            </w:pPr>
            <w:r w:rsidRPr="002C1853">
              <w:rPr>
                <w:rFonts w:cs="Arial"/>
                <w:sz w:val="16"/>
                <w:szCs w:val="16"/>
              </w:rPr>
              <w:t>NDIS Participant Plans</w:t>
            </w:r>
          </w:p>
        </w:tc>
      </w:tr>
      <w:tr w:rsidR="00C9100B" w:rsidRPr="002C1853" w14:paraId="1BD71B8B" w14:textId="77777777" w:rsidTr="00E117FD">
        <w:trPr>
          <w:jc w:val="center"/>
        </w:trPr>
        <w:tc>
          <w:tcPr>
            <w:tcW w:w="1" w:type="pct"/>
            <w:gridSpan w:val="2"/>
            <w:shd w:val="clear" w:color="auto" w:fill="D9D9D6"/>
            <w:vAlign w:val="center"/>
          </w:tcPr>
          <w:p w14:paraId="670A93DB" w14:textId="77777777" w:rsidR="00C9100B" w:rsidRPr="002C1853" w:rsidRDefault="00C9100B" w:rsidP="00E117FD">
            <w:pPr>
              <w:spacing w:before="120" w:after="120"/>
              <w:jc w:val="center"/>
              <w:rPr>
                <w:rFonts w:cs="Arial"/>
                <w:sz w:val="16"/>
                <w:szCs w:val="16"/>
              </w:rPr>
            </w:pPr>
            <w:r>
              <w:rPr>
                <w:rFonts w:cs="Arial"/>
                <w:sz w:val="16"/>
                <w:szCs w:val="16"/>
              </w:rPr>
              <w:t>Refer to Table 2.3</w:t>
            </w:r>
            <w:r w:rsidRPr="002C1853">
              <w:rPr>
                <w:rFonts w:cs="Arial"/>
                <w:sz w:val="16"/>
                <w:szCs w:val="16"/>
              </w:rPr>
              <w:t>.3 for index of key activities performance results</w:t>
            </w:r>
          </w:p>
        </w:tc>
      </w:tr>
    </w:tbl>
    <w:p w14:paraId="264854F3" w14:textId="77777777" w:rsidR="00C9100B" w:rsidRPr="002C1853" w:rsidRDefault="00C9100B" w:rsidP="00C9100B">
      <w:pPr>
        <w:rPr>
          <w:sz w:val="20"/>
          <w:szCs w:val="20"/>
        </w:rPr>
      </w:pPr>
    </w:p>
    <w:p w14:paraId="3FEFC39F" w14:textId="77777777" w:rsidR="00C9100B" w:rsidRPr="00054A67" w:rsidRDefault="00C9100B" w:rsidP="00C9100B">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t>Performance Results of Programs</w:t>
      </w:r>
    </w:p>
    <w:p w14:paraId="6C308054" w14:textId="77777777" w:rsidR="00C9100B" w:rsidRPr="002C1853" w:rsidRDefault="00C9100B" w:rsidP="00C9100B">
      <w:pPr>
        <w:rPr>
          <w:sz w:val="20"/>
          <w:szCs w:val="20"/>
        </w:rPr>
      </w:pPr>
      <w:r w:rsidRPr="002C1853">
        <w:rPr>
          <w:sz w:val="20"/>
          <w:szCs w:val="20"/>
        </w:rPr>
        <w:t>This section describes the 2019</w:t>
      </w:r>
      <w:r>
        <w:rPr>
          <w:sz w:val="20"/>
          <w:szCs w:val="20"/>
        </w:rPr>
        <w:t>–</w:t>
      </w:r>
      <w:r w:rsidRPr="002C1853">
        <w:rPr>
          <w:sz w:val="20"/>
          <w:szCs w:val="20"/>
        </w:rPr>
        <w:t>20 results of the program performance measured through agreements in place with relevant service providers.</w:t>
      </w:r>
    </w:p>
    <w:p w14:paraId="1BB800FE" w14:textId="77777777" w:rsidR="00C9100B" w:rsidRPr="002C1853" w:rsidRDefault="00C9100B" w:rsidP="00C9100B">
      <w:pPr>
        <w:keepNext/>
        <w:spacing w:before="240" w:after="240"/>
        <w:outlineLvl w:val="6"/>
        <w:rPr>
          <w:rFonts w:eastAsiaTheme="majorEastAsia" w:cstheme="majorBidi"/>
          <w:b/>
          <w:iCs/>
          <w:sz w:val="26"/>
        </w:rPr>
      </w:pPr>
      <w:r w:rsidRPr="002C1853">
        <w:rPr>
          <w:rFonts w:eastAsiaTheme="majorEastAsia" w:cstheme="majorBidi"/>
          <w:b/>
          <w:iCs/>
          <w:sz w:val="26"/>
        </w:rPr>
        <w:t>C3.3 Extent to which service provision meets program objective</w:t>
      </w:r>
    </w:p>
    <w:p w14:paraId="7D0AC817" w14:textId="77777777" w:rsidR="00C9100B" w:rsidRPr="002C1853" w:rsidRDefault="00C9100B" w:rsidP="00C9100B">
      <w:pPr>
        <w:rPr>
          <w:sz w:val="20"/>
          <w:szCs w:val="20"/>
        </w:rPr>
      </w:pPr>
      <w:r w:rsidRPr="002C1853">
        <w:rPr>
          <w:sz w:val="20"/>
          <w:szCs w:val="20"/>
        </w:rPr>
        <w:t>This criterion explores a range of payment and service provision parameters that indicate progress towards outcomes, rather than impact. These include whether funds have been spent consistent with the program objective, satisfaction with services, and service usage by priority groups.</w:t>
      </w:r>
    </w:p>
    <w:p w14:paraId="21AB26EC" w14:textId="77777777" w:rsidR="00C9100B" w:rsidRPr="002C1853" w:rsidRDefault="00C9100B" w:rsidP="00C9100B">
      <w:pPr>
        <w:spacing w:before="240" w:after="240"/>
        <w:outlineLvl w:val="7"/>
        <w:rPr>
          <w:rFonts w:eastAsiaTheme="majorEastAsia" w:cstheme="majorBidi"/>
          <w:b/>
          <w:color w:val="595959" w:themeColor="text1" w:themeTint="A6"/>
          <w:sz w:val="24"/>
          <w:szCs w:val="20"/>
        </w:rPr>
      </w:pPr>
      <w:r w:rsidRPr="002C1853">
        <w:rPr>
          <w:rFonts w:eastAsiaTheme="majorEastAsia" w:cstheme="majorBidi"/>
          <w:b/>
          <w:color w:val="595959" w:themeColor="text1" w:themeTint="A6"/>
          <w:sz w:val="24"/>
          <w:szCs w:val="20"/>
        </w:rPr>
        <w:t>C3.3.1 Program performance criteria and associated milestones/standards</w:t>
      </w:r>
    </w:p>
    <w:p w14:paraId="3E00FC48" w14:textId="77777777" w:rsidR="00C9100B" w:rsidRPr="002C1853" w:rsidRDefault="00C9100B" w:rsidP="00C9100B">
      <w:pPr>
        <w:rPr>
          <w:sz w:val="20"/>
          <w:szCs w:val="20"/>
        </w:rPr>
      </w:pPr>
      <w:r w:rsidRPr="002C1853">
        <w:rPr>
          <w:sz w:val="20"/>
          <w:szCs w:val="20"/>
        </w:rPr>
        <w:t>This indicator assesses whether funds have been spent consistent with the program objective, with a focus on appropriate delivery of grants, procurements, and subsidies for which our department receives appropriations.</w:t>
      </w:r>
    </w:p>
    <w:p w14:paraId="46DB3A1C" w14:textId="48DB9410" w:rsidR="00C9100B" w:rsidRPr="002C1853" w:rsidRDefault="00C9100B" w:rsidP="00C9100B">
      <w:pPr>
        <w:rPr>
          <w:sz w:val="20"/>
          <w:szCs w:val="20"/>
        </w:rPr>
      </w:pPr>
      <w:r w:rsidRPr="002C1853">
        <w:rPr>
          <w:sz w:val="20"/>
          <w:szCs w:val="20"/>
        </w:rPr>
        <w:t xml:space="preserve">As at 30 June 2020, 391,999 people with disability </w:t>
      </w:r>
      <w:r w:rsidR="00700B0E">
        <w:rPr>
          <w:sz w:val="20"/>
          <w:szCs w:val="20"/>
        </w:rPr>
        <w:t>were</w:t>
      </w:r>
      <w:r w:rsidRPr="002C1853">
        <w:rPr>
          <w:sz w:val="20"/>
          <w:szCs w:val="20"/>
        </w:rPr>
        <w:t xml:space="preserve"> supported by the NDIS, including</w:t>
      </w:r>
      <w:r w:rsidR="00F111F2">
        <w:rPr>
          <w:sz w:val="20"/>
          <w:szCs w:val="20"/>
        </w:rPr>
        <w:br/>
      </w:r>
      <w:r w:rsidRPr="002C1853">
        <w:rPr>
          <w:sz w:val="20"/>
          <w:szCs w:val="20"/>
        </w:rPr>
        <w:t>8,197 participants referred to the Early Childhood Early Intervention program receiving initial supports. A total of 175,568, or 45 per cent of the NDIS participants, had not previously been receiving government-funded disability services before they accessed the NDIS.</w:t>
      </w:r>
    </w:p>
    <w:p w14:paraId="635129D9" w14:textId="42B42FF7" w:rsidR="00C9100B" w:rsidRPr="002C1853" w:rsidRDefault="00700B0E" w:rsidP="00C9100B">
      <w:pPr>
        <w:rPr>
          <w:sz w:val="20"/>
          <w:szCs w:val="20"/>
        </w:rPr>
      </w:pPr>
      <w:r w:rsidRPr="002C1853">
        <w:rPr>
          <w:sz w:val="20"/>
          <w:szCs w:val="20"/>
        </w:rPr>
        <w:t xml:space="preserve">From July 2019, the NDIS is available in every region of Australia except for Christmas Island and the Cocos Islands, where it </w:t>
      </w:r>
      <w:r>
        <w:rPr>
          <w:sz w:val="20"/>
          <w:szCs w:val="20"/>
        </w:rPr>
        <w:t>was</w:t>
      </w:r>
      <w:r w:rsidRPr="002C1853">
        <w:rPr>
          <w:sz w:val="20"/>
          <w:szCs w:val="20"/>
        </w:rPr>
        <w:t xml:space="preserve"> available from 1 July 2020. </w:t>
      </w:r>
      <w:r w:rsidRPr="008C44CE">
        <w:rPr>
          <w:sz w:val="20"/>
          <w:szCs w:val="20"/>
        </w:rPr>
        <w:t xml:space="preserve">On 1 July 2019, quality and safeguard arrangements transitioned from the state-based arrangements to the national arrangements under the NDIS Quality and Safeguards Commission (NDIS Commission) in Victoria, Queensland, Tasmania, </w:t>
      </w:r>
      <w:r w:rsidRPr="008C44CE">
        <w:rPr>
          <w:sz w:val="20"/>
          <w:szCs w:val="20"/>
        </w:rPr>
        <w:lastRenderedPageBreak/>
        <w:t>the Australian Capital Territory and the Northern Territory. This means the NDIS Commission now has regulatory oversight in all states and territories except Western Australia which is due to come under the NDIS Commission from 1 December 2020.</w:t>
      </w:r>
    </w:p>
    <w:p w14:paraId="3BBF5654" w14:textId="15A0F212" w:rsidR="00C9100B" w:rsidRPr="002C1853" w:rsidRDefault="00C9100B" w:rsidP="00C9100B">
      <w:pPr>
        <w:rPr>
          <w:sz w:val="20"/>
          <w:szCs w:val="20"/>
        </w:rPr>
      </w:pPr>
      <w:r w:rsidRPr="002C1853">
        <w:rPr>
          <w:sz w:val="20"/>
          <w:szCs w:val="20"/>
        </w:rPr>
        <w:t>During 2019</w:t>
      </w:r>
      <w:r>
        <w:rPr>
          <w:sz w:val="20"/>
          <w:szCs w:val="20"/>
        </w:rPr>
        <w:t>–</w:t>
      </w:r>
      <w:r w:rsidRPr="002C1853">
        <w:rPr>
          <w:sz w:val="20"/>
          <w:szCs w:val="20"/>
        </w:rPr>
        <w:t xml:space="preserve">20, the Prime Minister signed a bilateral full scheme agreement with Queensland which </w:t>
      </w:r>
      <w:r>
        <w:rPr>
          <w:sz w:val="20"/>
          <w:szCs w:val="20"/>
        </w:rPr>
        <w:t>commenced</w:t>
      </w:r>
      <w:r w:rsidRPr="002C1853">
        <w:rPr>
          <w:sz w:val="20"/>
          <w:szCs w:val="20"/>
        </w:rPr>
        <w:t xml:space="preserve"> on 1 October 2020. Full scheme agreements setting in place enduring funding and governance arrangements for the NDIS are in place with all jurisdictions, except Western Australia.</w:t>
      </w:r>
    </w:p>
    <w:p w14:paraId="365FAEF4" w14:textId="5A736020" w:rsidR="00C9100B" w:rsidRPr="002C1853" w:rsidRDefault="00C9100B" w:rsidP="00C9100B">
      <w:pPr>
        <w:rPr>
          <w:sz w:val="20"/>
          <w:szCs w:val="20"/>
        </w:rPr>
      </w:pPr>
      <w:r w:rsidRPr="002C1853">
        <w:rPr>
          <w:sz w:val="20"/>
          <w:szCs w:val="20"/>
        </w:rPr>
        <w:t>In June 2019, the Australian Government commissioned a review of the</w:t>
      </w:r>
      <w:r>
        <w:rPr>
          <w:sz w:val="20"/>
          <w:szCs w:val="20"/>
        </w:rPr>
        <w:t xml:space="preserve"> </w:t>
      </w:r>
      <w:r>
        <w:rPr>
          <w:i/>
          <w:sz w:val="20"/>
          <w:szCs w:val="20"/>
        </w:rPr>
        <w:t>National Disability Insurance Scheme Act 2013</w:t>
      </w:r>
      <w:r w:rsidR="00EE6369">
        <w:rPr>
          <w:i/>
          <w:sz w:val="20"/>
          <w:szCs w:val="20"/>
        </w:rPr>
        <w:t xml:space="preserve"> </w:t>
      </w:r>
      <w:r>
        <w:rPr>
          <w:sz w:val="20"/>
          <w:szCs w:val="20"/>
        </w:rPr>
        <w:t>(</w:t>
      </w:r>
      <w:r w:rsidRPr="002C1853">
        <w:rPr>
          <w:sz w:val="20"/>
          <w:szCs w:val="20"/>
        </w:rPr>
        <w:t>NDIS Act</w:t>
      </w:r>
      <w:r>
        <w:rPr>
          <w:sz w:val="20"/>
          <w:szCs w:val="20"/>
        </w:rPr>
        <w:t>)</w:t>
      </w:r>
      <w:r w:rsidRPr="002C1853">
        <w:rPr>
          <w:sz w:val="20"/>
          <w:szCs w:val="20"/>
        </w:rPr>
        <w:t xml:space="preserve"> with a focus on streamlining NDIS processes and removing red tape for participants and providers. Specifically, the review examined participant’s experiences of the NDIS and opportunities for improvement, honouring the Government’s 2019 Election commitment to introduce a NDIS Participant Service Guarantee (the Guarantee). The Guarantee will set standards and timeframes for NDIA decision-making as it affects participants, their families, and carers.</w:t>
      </w:r>
    </w:p>
    <w:p w14:paraId="0FC7A9B3" w14:textId="77777777" w:rsidR="00C9100B" w:rsidRPr="002C1853" w:rsidRDefault="00C9100B" w:rsidP="00C9100B">
      <w:pPr>
        <w:rPr>
          <w:sz w:val="20"/>
          <w:szCs w:val="20"/>
        </w:rPr>
      </w:pPr>
      <w:r>
        <w:rPr>
          <w:sz w:val="20"/>
          <w:szCs w:val="20"/>
        </w:rPr>
        <w:t xml:space="preserve">We </w:t>
      </w:r>
      <w:r w:rsidRPr="002C1853">
        <w:rPr>
          <w:sz w:val="20"/>
          <w:szCs w:val="20"/>
        </w:rPr>
        <w:t>supported the work of the review through a small, dedicated secretariat, reporting to the independent reviewer, Mr David Tune AO PSM.</w:t>
      </w:r>
    </w:p>
    <w:p w14:paraId="79C5F072" w14:textId="77777777" w:rsidR="00C9100B" w:rsidRPr="002C1853" w:rsidRDefault="00C9100B" w:rsidP="00C9100B">
      <w:pPr>
        <w:rPr>
          <w:sz w:val="20"/>
          <w:szCs w:val="20"/>
        </w:rPr>
      </w:pPr>
      <w:r w:rsidRPr="002C1853">
        <w:rPr>
          <w:sz w:val="20"/>
          <w:szCs w:val="20"/>
        </w:rPr>
        <w:t xml:space="preserve">The review was designed to be shaped by the experiences of people with disability, their families, and carers. To support this, </w:t>
      </w:r>
      <w:r>
        <w:rPr>
          <w:sz w:val="20"/>
          <w:szCs w:val="20"/>
        </w:rPr>
        <w:t>we</w:t>
      </w:r>
      <w:r w:rsidRPr="002C1853">
        <w:rPr>
          <w:sz w:val="20"/>
          <w:szCs w:val="20"/>
        </w:rPr>
        <w:t xml:space="preserve"> facilitated, on Mr Tune’s behalf, a national public consultation process to seek feedback from participants about their experiences with the NDIS, what should be included in the Guarantee, and what they felt was important to consider in this review of the NDIS Act.</w:t>
      </w:r>
    </w:p>
    <w:p w14:paraId="39A63D00" w14:textId="1A60B5C0" w:rsidR="00C9100B" w:rsidRPr="002C1853" w:rsidRDefault="00C9100B" w:rsidP="00C9100B">
      <w:pPr>
        <w:rPr>
          <w:sz w:val="20"/>
          <w:szCs w:val="20"/>
        </w:rPr>
      </w:pPr>
      <w:r w:rsidRPr="002C1853">
        <w:rPr>
          <w:sz w:val="20"/>
          <w:szCs w:val="20"/>
        </w:rPr>
        <w:t>Consultation activities commenced on 26 August 2019 and concluded 31 October 2019. During that process, the review received 201 written submissions from a range of stakeholders, including participants, their families and carers, service providers, advocates, and peak bodies. 1,273 usable responses were received to an online survey that sought to understand how participants and the people who support them experience the NDIS. An additional 15 face-to-face community workshops were held in every capital city and a regional location in each state and territory. Targeted consultations were also held with members of the Aboriginal and Torres Strait Islander</w:t>
      </w:r>
      <w:r>
        <w:rPr>
          <w:sz w:val="20"/>
          <w:szCs w:val="20"/>
        </w:rPr>
        <w:t xml:space="preserve"> peoples,</w:t>
      </w:r>
      <w:r w:rsidRPr="002C1853">
        <w:rPr>
          <w:sz w:val="20"/>
          <w:szCs w:val="20"/>
        </w:rPr>
        <w:t xml:space="preserve"> </w:t>
      </w:r>
      <w:r>
        <w:rPr>
          <w:sz w:val="20"/>
          <w:szCs w:val="20"/>
        </w:rPr>
        <w:t>p</w:t>
      </w:r>
      <w:r w:rsidRPr="002C1853">
        <w:rPr>
          <w:sz w:val="20"/>
          <w:szCs w:val="20"/>
        </w:rPr>
        <w:t>eople from culturally and linguistically diverse backgrounds, and people with psychosocial disability.</w:t>
      </w:r>
    </w:p>
    <w:p w14:paraId="397EFEF2" w14:textId="2DD50CB5" w:rsidR="00C9100B" w:rsidRPr="002C1853" w:rsidRDefault="00C9100B" w:rsidP="00C9100B">
      <w:pPr>
        <w:rPr>
          <w:sz w:val="20"/>
          <w:szCs w:val="20"/>
        </w:rPr>
      </w:pPr>
      <w:r w:rsidRPr="002C1853">
        <w:rPr>
          <w:sz w:val="20"/>
          <w:szCs w:val="20"/>
        </w:rPr>
        <w:t xml:space="preserve">Mr Tune handed his final report to the Government in December 2019, making 29 recommendations to remove legislative impediments to positive participant and provider experiences and support the implementation of the Guarantee. The report was published on the </w:t>
      </w:r>
      <w:r>
        <w:rPr>
          <w:sz w:val="20"/>
          <w:szCs w:val="20"/>
        </w:rPr>
        <w:t xml:space="preserve">department’s </w:t>
      </w:r>
      <w:r w:rsidRPr="002C1853">
        <w:rPr>
          <w:sz w:val="20"/>
          <w:szCs w:val="20"/>
        </w:rPr>
        <w:t>website</w:t>
      </w:r>
      <w:r w:rsidR="00F111F2">
        <w:rPr>
          <w:sz w:val="20"/>
          <w:szCs w:val="20"/>
        </w:rPr>
        <w:br/>
      </w:r>
      <w:r w:rsidRPr="002C1853">
        <w:rPr>
          <w:sz w:val="20"/>
          <w:szCs w:val="20"/>
        </w:rPr>
        <w:t>in January 2020.</w:t>
      </w:r>
    </w:p>
    <w:p w14:paraId="58074A80" w14:textId="77777777" w:rsidR="00C9100B" w:rsidRPr="002C1853" w:rsidRDefault="00C9100B" w:rsidP="00C9100B">
      <w:pPr>
        <w:rPr>
          <w:sz w:val="20"/>
          <w:szCs w:val="20"/>
        </w:rPr>
      </w:pPr>
      <w:r w:rsidRPr="002C1853">
        <w:rPr>
          <w:sz w:val="20"/>
          <w:szCs w:val="20"/>
        </w:rPr>
        <w:t xml:space="preserve">The Government’s election commitment was to bring the Guarantee into law from 1 July 2020. However, this was not achievable due to the impact of the </w:t>
      </w:r>
      <w:r>
        <w:rPr>
          <w:sz w:val="20"/>
          <w:szCs w:val="20"/>
        </w:rPr>
        <w:t>COVID-19</w:t>
      </w:r>
      <w:r w:rsidRPr="002C1853">
        <w:rPr>
          <w:sz w:val="20"/>
          <w:szCs w:val="20"/>
        </w:rPr>
        <w:t xml:space="preserve"> pandemic on the Australian community.</w:t>
      </w:r>
    </w:p>
    <w:p w14:paraId="2AC2005F" w14:textId="77777777" w:rsidR="00C9100B" w:rsidRPr="002C1853" w:rsidRDefault="00C9100B" w:rsidP="00C9100B">
      <w:pPr>
        <w:rPr>
          <w:sz w:val="20"/>
          <w:szCs w:val="20"/>
        </w:rPr>
      </w:pPr>
      <w:r w:rsidRPr="002C1853">
        <w:rPr>
          <w:sz w:val="20"/>
          <w:szCs w:val="20"/>
        </w:rPr>
        <w:t>The Government is working to bring the Guarantee into law from 1 July 2021, with the NDIA committed to meeting the Guarantee from 1 July 2020, despite the delay in legislation.</w:t>
      </w:r>
    </w:p>
    <w:p w14:paraId="4B26E8EA" w14:textId="77777777" w:rsidR="00715F6F" w:rsidRDefault="00715F6F">
      <w:pPr>
        <w:rPr>
          <w:rFonts w:ascii="Arial Narrow" w:eastAsia="Times New Roman" w:hAnsi="Arial Narrow" w:cs="Times New Roman"/>
          <w:b/>
          <w:bCs/>
          <w:spacing w:val="4"/>
          <w:sz w:val="20"/>
          <w:szCs w:val="18"/>
          <w:lang w:eastAsia="en-AU"/>
        </w:rPr>
        <w:sectPr w:rsidR="00715F6F" w:rsidSect="00A94724">
          <w:footnotePr>
            <w:numRestart w:val="eachPage"/>
          </w:footnotePr>
          <w:pgSz w:w="11906" w:h="16838"/>
          <w:pgMar w:top="1440" w:right="1440" w:bottom="1440" w:left="1440" w:header="709" w:footer="709" w:gutter="0"/>
          <w:cols w:space="708"/>
          <w:docGrid w:linePitch="360"/>
        </w:sectPr>
      </w:pPr>
    </w:p>
    <w:p w14:paraId="6F94F741" w14:textId="28FE9DA9" w:rsidR="00C9100B" w:rsidRPr="002C1853" w:rsidRDefault="00C9100B" w:rsidP="00C9100B">
      <w:pPr>
        <w:keepNext/>
        <w:spacing w:before="240" w:after="0" w:line="260" w:lineRule="atLeast"/>
        <w:ind w:right="425"/>
        <w:rPr>
          <w:rFonts w:ascii="Arial Narrow" w:eastAsia="Times New Roman" w:hAnsi="Arial Narrow" w:cs="Times New Roman"/>
          <w:b/>
          <w:bCs/>
          <w:spacing w:val="4"/>
          <w:sz w:val="20"/>
          <w:szCs w:val="18"/>
          <w:lang w:eastAsia="en-AU"/>
        </w:rPr>
      </w:pPr>
      <w:r w:rsidRPr="002C1853">
        <w:rPr>
          <w:rFonts w:ascii="Arial Narrow" w:eastAsia="Times New Roman" w:hAnsi="Arial Narrow" w:cs="Times New Roman"/>
          <w:b/>
          <w:bCs/>
          <w:spacing w:val="4"/>
          <w:sz w:val="20"/>
          <w:szCs w:val="18"/>
          <w:lang w:eastAsia="en-AU"/>
        </w:rPr>
        <w:lastRenderedPageBreak/>
        <w:t>Table 2.3.2: Program performance criteria and associated milestones/standards</w:t>
      </w:r>
    </w:p>
    <w:tbl>
      <w:tblPr>
        <w:tblStyle w:val="HHorizontaltable14"/>
        <w:tblW w:w="0" w:type="auto"/>
        <w:tblInd w:w="2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Caption w:val="Table 2.3.2: Program performance criteria and associated milestones/standards"/>
        <w:tblDescription w:val="Table 2.3.2: Program performance criteria and associated milestones/standards "/>
      </w:tblPr>
      <w:tblGrid>
        <w:gridCol w:w="3198"/>
        <w:gridCol w:w="2646"/>
        <w:gridCol w:w="1053"/>
        <w:gridCol w:w="1053"/>
        <w:gridCol w:w="1053"/>
      </w:tblGrid>
      <w:tr w:rsidR="00585891" w:rsidRPr="002C1853" w14:paraId="340DB89C" w14:textId="77777777" w:rsidTr="003A047F">
        <w:trPr>
          <w:cnfStyle w:val="100000000000" w:firstRow="1" w:lastRow="0" w:firstColumn="0" w:lastColumn="0" w:oddVBand="0" w:evenVBand="0" w:oddHBand="0" w:evenHBand="0" w:firstRowFirstColumn="0" w:firstRowLastColumn="0" w:lastRowFirstColumn="0" w:lastRowLastColumn="0"/>
          <w:trHeight w:val="317"/>
          <w:tblHeader/>
        </w:trPr>
        <w:tc>
          <w:tcPr>
            <w:tcW w:w="3198" w:type="dxa"/>
            <w:tcBorders>
              <w:bottom w:val="single" w:sz="18" w:space="0" w:color="FFFFFF" w:themeColor="background1"/>
            </w:tcBorders>
            <w:vAlign w:val="center"/>
            <w:hideMark/>
          </w:tcPr>
          <w:p w14:paraId="40DE620A" w14:textId="77777777" w:rsidR="00C9100B" w:rsidRPr="007F2601" w:rsidRDefault="00C9100B" w:rsidP="00E117FD">
            <w:pPr>
              <w:spacing w:before="40" w:after="40"/>
              <w:jc w:val="center"/>
              <w:rPr>
                <w:rFonts w:eastAsia="Times New Roman"/>
                <w:sz w:val="16"/>
                <w:szCs w:val="16"/>
              </w:rPr>
            </w:pPr>
            <w:r w:rsidRPr="007F2601">
              <w:rPr>
                <w:rFonts w:eastAsia="Times New Roman"/>
                <w:sz w:val="16"/>
                <w:szCs w:val="16"/>
              </w:rPr>
              <w:t>Intermediate outcome performance measure</w:t>
            </w:r>
          </w:p>
          <w:p w14:paraId="2E63E2FD" w14:textId="77777777" w:rsidR="00C9100B" w:rsidRPr="007F2601" w:rsidRDefault="00C9100B" w:rsidP="00E117FD">
            <w:pPr>
              <w:spacing w:before="40" w:after="40"/>
              <w:jc w:val="center"/>
              <w:rPr>
                <w:rFonts w:eastAsia="Times New Roman"/>
                <w:sz w:val="16"/>
                <w:szCs w:val="16"/>
              </w:rPr>
            </w:pPr>
            <w:r w:rsidRPr="007F2601">
              <w:rPr>
                <w:rFonts w:eastAsia="Times New Roman"/>
                <w:sz w:val="16"/>
                <w:szCs w:val="16"/>
              </w:rPr>
              <w:t>PBS performance criteria</w:t>
            </w:r>
          </w:p>
        </w:tc>
        <w:tc>
          <w:tcPr>
            <w:tcW w:w="2646" w:type="dxa"/>
            <w:tcBorders>
              <w:bottom w:val="single" w:sz="18" w:space="0" w:color="FFFFFF" w:themeColor="background1"/>
            </w:tcBorders>
            <w:vAlign w:val="center"/>
          </w:tcPr>
          <w:p w14:paraId="4907D715" w14:textId="77777777" w:rsidR="00C9100B" w:rsidRPr="007F2601" w:rsidRDefault="00C9100B" w:rsidP="00E117FD">
            <w:pPr>
              <w:spacing w:before="40" w:after="40"/>
              <w:jc w:val="center"/>
              <w:rPr>
                <w:rFonts w:eastAsia="Times New Roman"/>
                <w:sz w:val="16"/>
                <w:szCs w:val="16"/>
              </w:rPr>
            </w:pPr>
            <w:r w:rsidRPr="007F2601">
              <w:rPr>
                <w:rFonts w:eastAsia="Times New Roman"/>
                <w:sz w:val="16"/>
                <w:szCs w:val="16"/>
              </w:rPr>
              <w:t>Target</w:t>
            </w:r>
          </w:p>
        </w:tc>
        <w:tc>
          <w:tcPr>
            <w:tcW w:w="1053" w:type="dxa"/>
            <w:tcBorders>
              <w:bottom w:val="single" w:sz="18" w:space="0" w:color="FFFFFF" w:themeColor="background1"/>
            </w:tcBorders>
            <w:vAlign w:val="center"/>
            <w:hideMark/>
          </w:tcPr>
          <w:p w14:paraId="4CD30BEE" w14:textId="77777777" w:rsidR="00C9100B" w:rsidRPr="007F2601" w:rsidRDefault="00C9100B" w:rsidP="00E117FD">
            <w:pPr>
              <w:spacing w:before="40" w:after="40"/>
              <w:jc w:val="center"/>
              <w:rPr>
                <w:rFonts w:eastAsia="Times New Roman"/>
                <w:sz w:val="16"/>
                <w:szCs w:val="16"/>
              </w:rPr>
            </w:pPr>
            <w:r w:rsidRPr="007F2601">
              <w:rPr>
                <w:rFonts w:eastAsia="Times New Roman"/>
                <w:sz w:val="16"/>
                <w:szCs w:val="16"/>
              </w:rPr>
              <w:t>2019–20</w:t>
            </w:r>
          </w:p>
        </w:tc>
        <w:tc>
          <w:tcPr>
            <w:tcW w:w="1053" w:type="dxa"/>
            <w:tcBorders>
              <w:bottom w:val="single" w:sz="18" w:space="0" w:color="FFFFFF" w:themeColor="background1"/>
            </w:tcBorders>
            <w:vAlign w:val="center"/>
            <w:hideMark/>
          </w:tcPr>
          <w:p w14:paraId="577D985B" w14:textId="77777777" w:rsidR="00C9100B" w:rsidRPr="007F2601" w:rsidRDefault="00C9100B" w:rsidP="00E117FD">
            <w:pPr>
              <w:spacing w:before="40" w:after="40"/>
              <w:jc w:val="center"/>
              <w:rPr>
                <w:rFonts w:eastAsia="Times New Roman"/>
                <w:sz w:val="16"/>
                <w:szCs w:val="16"/>
              </w:rPr>
            </w:pPr>
            <w:r w:rsidRPr="007F2601">
              <w:rPr>
                <w:rFonts w:eastAsia="Times New Roman"/>
                <w:sz w:val="16"/>
                <w:szCs w:val="16"/>
              </w:rPr>
              <w:t>2018–19</w:t>
            </w:r>
          </w:p>
        </w:tc>
        <w:tc>
          <w:tcPr>
            <w:tcW w:w="1053" w:type="dxa"/>
            <w:tcBorders>
              <w:bottom w:val="single" w:sz="18" w:space="0" w:color="FFFFFF" w:themeColor="background1"/>
            </w:tcBorders>
            <w:vAlign w:val="center"/>
            <w:hideMark/>
          </w:tcPr>
          <w:p w14:paraId="084AAE4F" w14:textId="77777777" w:rsidR="00C9100B" w:rsidRPr="007F2601" w:rsidRDefault="00C9100B" w:rsidP="00E117FD">
            <w:pPr>
              <w:spacing w:before="40" w:after="40"/>
              <w:jc w:val="center"/>
              <w:rPr>
                <w:rFonts w:eastAsia="Times New Roman"/>
                <w:sz w:val="16"/>
                <w:szCs w:val="16"/>
              </w:rPr>
            </w:pPr>
            <w:r w:rsidRPr="007F2601">
              <w:rPr>
                <w:rFonts w:eastAsia="Times New Roman"/>
                <w:sz w:val="16"/>
                <w:szCs w:val="16"/>
              </w:rPr>
              <w:t>2017–18</w:t>
            </w:r>
          </w:p>
        </w:tc>
      </w:tr>
      <w:tr w:rsidR="00C9100B" w:rsidRPr="002C1853" w14:paraId="1C4CE240" w14:textId="77777777" w:rsidTr="003A047F">
        <w:trPr>
          <w:cnfStyle w:val="000000100000" w:firstRow="0" w:lastRow="0" w:firstColumn="0" w:lastColumn="0" w:oddVBand="0" w:evenVBand="0" w:oddHBand="1" w:evenHBand="0" w:firstRowFirstColumn="0" w:firstRowLastColumn="0" w:lastRowFirstColumn="0" w:lastRowLastColumn="0"/>
        </w:trPr>
        <w:tc>
          <w:tcPr>
            <w:tcW w:w="9003" w:type="dxa"/>
            <w:gridSpan w:val="5"/>
            <w:tcBorders>
              <w:left w:val="nil"/>
              <w:bottom w:val="single" w:sz="18" w:space="0" w:color="00B0B9"/>
              <w:right w:val="nil"/>
            </w:tcBorders>
          </w:tcPr>
          <w:p w14:paraId="0D6FFD16" w14:textId="77777777" w:rsidR="00C9100B" w:rsidRPr="002C1853" w:rsidRDefault="00C9100B" w:rsidP="00E117FD">
            <w:pPr>
              <w:spacing w:before="40" w:after="40"/>
              <w:rPr>
                <w:rFonts w:eastAsia="Times New Roman" w:cs="Arial"/>
                <w:b/>
                <w:color w:val="000000" w:themeColor="text1"/>
                <w:sz w:val="16"/>
                <w:szCs w:val="16"/>
              </w:rPr>
            </w:pPr>
            <w:r w:rsidRPr="002C1853">
              <w:rPr>
                <w:rFonts w:eastAsia="Times New Roman" w:cs="Arial"/>
                <w:b/>
                <w:color w:val="000000" w:themeColor="text1"/>
                <w:sz w:val="16"/>
                <w:szCs w:val="16"/>
              </w:rPr>
              <w:t>Program 3.1: Disability Mental Health and Carers</w:t>
            </w:r>
          </w:p>
        </w:tc>
      </w:tr>
      <w:tr w:rsidR="00C9100B" w:rsidRPr="002C1853" w14:paraId="58380790" w14:textId="77777777" w:rsidTr="003A047F">
        <w:trPr>
          <w:cnfStyle w:val="000000010000" w:firstRow="0" w:lastRow="0" w:firstColumn="0" w:lastColumn="0" w:oddVBand="0" w:evenVBand="0" w:oddHBand="0" w:evenHBand="1" w:firstRowFirstColumn="0" w:firstRowLastColumn="0" w:lastRowFirstColumn="0" w:lastRowLastColumn="0"/>
        </w:trPr>
        <w:tc>
          <w:tcPr>
            <w:tcW w:w="3198" w:type="dxa"/>
            <w:tcBorders>
              <w:top w:val="single" w:sz="18" w:space="0" w:color="00B0B9"/>
              <w:left w:val="nil"/>
            </w:tcBorders>
          </w:tcPr>
          <w:p w14:paraId="4C908000" w14:textId="173B7F53" w:rsidR="00C9100B" w:rsidRPr="002C1853" w:rsidRDefault="00C9100B" w:rsidP="00E117FD">
            <w:pPr>
              <w:spacing w:before="40" w:after="40"/>
              <w:rPr>
                <w:rFonts w:eastAsia="Times New Roman"/>
                <w:color w:val="000000" w:themeColor="text1"/>
                <w:spacing w:val="4"/>
                <w:sz w:val="16"/>
                <w:szCs w:val="16"/>
                <w:lang w:val="en-GB"/>
              </w:rPr>
            </w:pPr>
            <w:r w:rsidRPr="002C1853">
              <w:rPr>
                <w:rFonts w:eastAsia="Times New Roman"/>
                <w:color w:val="000000" w:themeColor="text1"/>
                <w:spacing w:val="4"/>
                <w:sz w:val="16"/>
                <w:szCs w:val="16"/>
                <w:lang w:val="en-GB"/>
              </w:rPr>
              <w:t xml:space="preserve">Delivery by organisations is in accordance with specified requirements, which may include service level standards, of the contracts and agreements between organisations and </w:t>
            </w:r>
            <w:r w:rsidR="00BA195C">
              <w:rPr>
                <w:rFonts w:eastAsia="Times New Roman"/>
                <w:color w:val="000000" w:themeColor="text1"/>
                <w:spacing w:val="4"/>
                <w:sz w:val="16"/>
                <w:szCs w:val="16"/>
                <w:lang w:val="en-GB"/>
              </w:rPr>
              <w:t>the department</w:t>
            </w:r>
            <w:r w:rsidRPr="002C1853">
              <w:rPr>
                <w:rFonts w:eastAsia="Times New Roman"/>
                <w:color w:val="000000" w:themeColor="text1"/>
                <w:spacing w:val="4"/>
                <w:sz w:val="16"/>
                <w:szCs w:val="16"/>
                <w:lang w:val="en-GB"/>
              </w:rPr>
              <w:t>. Agreements and contracts require:</w:t>
            </w:r>
          </w:p>
          <w:p w14:paraId="5E8B562A" w14:textId="77777777" w:rsidR="00C9100B" w:rsidRPr="002C1853" w:rsidRDefault="00C9100B" w:rsidP="00E117FD">
            <w:pPr>
              <w:numPr>
                <w:ilvl w:val="0"/>
                <w:numId w:val="69"/>
              </w:numPr>
              <w:spacing w:before="40" w:after="40"/>
              <w:rPr>
                <w:rFonts w:eastAsia="Times New Roman"/>
                <w:color w:val="000000" w:themeColor="text1"/>
                <w:spacing w:val="4"/>
                <w:sz w:val="16"/>
                <w:szCs w:val="16"/>
                <w:lang w:val="en-GB"/>
              </w:rPr>
            </w:pPr>
            <w:r w:rsidRPr="002C1853">
              <w:rPr>
                <w:rFonts w:eastAsia="Times New Roman"/>
                <w:color w:val="000000" w:themeColor="text1"/>
                <w:spacing w:val="4"/>
                <w:sz w:val="16"/>
                <w:szCs w:val="16"/>
                <w:lang w:val="en-GB"/>
              </w:rPr>
              <w:t>employment assistance and other services to individuals with disability</w:t>
            </w:r>
          </w:p>
          <w:p w14:paraId="2275851E" w14:textId="77777777" w:rsidR="00C9100B" w:rsidRPr="002C1853" w:rsidRDefault="00C9100B" w:rsidP="00E117FD">
            <w:pPr>
              <w:numPr>
                <w:ilvl w:val="0"/>
                <w:numId w:val="69"/>
              </w:numPr>
              <w:spacing w:before="40" w:after="40"/>
              <w:rPr>
                <w:rFonts w:eastAsia="Times New Roman"/>
                <w:color w:val="000000" w:themeColor="text1"/>
                <w:spacing w:val="4"/>
                <w:sz w:val="16"/>
                <w:szCs w:val="16"/>
                <w:lang w:val="en-GB"/>
              </w:rPr>
            </w:pPr>
            <w:r w:rsidRPr="002C1853">
              <w:rPr>
                <w:rFonts w:eastAsia="Times New Roman"/>
                <w:color w:val="000000" w:themeColor="text1"/>
                <w:spacing w:val="4"/>
                <w:sz w:val="16"/>
                <w:szCs w:val="16"/>
                <w:lang w:val="en-GB"/>
              </w:rPr>
              <w:t>direct advocacy support to individuals with disability</w:t>
            </w:r>
          </w:p>
          <w:p w14:paraId="11808D0B" w14:textId="77777777" w:rsidR="00C9100B" w:rsidRPr="002C1853" w:rsidRDefault="00C9100B" w:rsidP="00E117FD">
            <w:pPr>
              <w:numPr>
                <w:ilvl w:val="0"/>
                <w:numId w:val="69"/>
              </w:numPr>
              <w:spacing w:before="40" w:after="40"/>
              <w:rPr>
                <w:rFonts w:eastAsia="Times New Roman"/>
                <w:color w:val="000000" w:themeColor="text1"/>
                <w:spacing w:val="4"/>
                <w:sz w:val="16"/>
                <w:szCs w:val="16"/>
                <w:lang w:val="en-GB"/>
              </w:rPr>
            </w:pPr>
            <w:r w:rsidRPr="002C1853">
              <w:rPr>
                <w:rFonts w:eastAsia="Times New Roman"/>
                <w:color w:val="000000" w:themeColor="text1"/>
                <w:spacing w:val="4"/>
                <w:sz w:val="16"/>
                <w:szCs w:val="16"/>
                <w:lang w:val="en-GB"/>
              </w:rPr>
              <w:t>support to carers</w:t>
            </w:r>
          </w:p>
          <w:p w14:paraId="0BAF9ADE" w14:textId="77777777" w:rsidR="00C9100B" w:rsidRPr="002C1853" w:rsidRDefault="00C9100B" w:rsidP="00E117FD">
            <w:pPr>
              <w:numPr>
                <w:ilvl w:val="0"/>
                <w:numId w:val="69"/>
              </w:numPr>
              <w:spacing w:before="40" w:after="40"/>
              <w:rPr>
                <w:rFonts w:eastAsia="Times New Roman"/>
                <w:color w:val="000000" w:themeColor="text1"/>
                <w:spacing w:val="4"/>
                <w:sz w:val="16"/>
                <w:szCs w:val="16"/>
                <w:lang w:val="en-GB"/>
              </w:rPr>
            </w:pPr>
            <w:r w:rsidRPr="002C1853">
              <w:rPr>
                <w:rFonts w:eastAsia="Times New Roman"/>
                <w:color w:val="000000" w:themeColor="text1"/>
                <w:spacing w:val="4"/>
                <w:sz w:val="16"/>
                <w:szCs w:val="16"/>
                <w:lang w:val="en-GB"/>
              </w:rPr>
              <w:t>support through community-based initiatives to assist people with, or at risk of, mental illness</w:t>
            </w:r>
          </w:p>
          <w:p w14:paraId="6AD4EF24" w14:textId="77777777" w:rsidR="00C9100B" w:rsidRPr="002C1853" w:rsidRDefault="00C9100B" w:rsidP="00E117FD">
            <w:pPr>
              <w:numPr>
                <w:ilvl w:val="0"/>
                <w:numId w:val="69"/>
              </w:numPr>
              <w:spacing w:before="40" w:after="40"/>
              <w:rPr>
                <w:rFonts w:eastAsia="Times New Roman"/>
                <w:color w:val="000000" w:themeColor="text1"/>
                <w:spacing w:val="4"/>
                <w:sz w:val="16"/>
                <w:szCs w:val="16"/>
                <w:lang w:val="en-GB"/>
              </w:rPr>
            </w:pPr>
            <w:r w:rsidRPr="002C1853">
              <w:rPr>
                <w:rFonts w:eastAsia="Times New Roman"/>
                <w:color w:val="000000" w:themeColor="text1"/>
                <w:spacing w:val="4"/>
                <w:sz w:val="16"/>
                <w:szCs w:val="16"/>
                <w:lang w:val="en-GB"/>
              </w:rPr>
              <w:t>national leadership and representation for services to build capacity within the disability, carers, or community mental health sectors.</w:t>
            </w:r>
          </w:p>
        </w:tc>
        <w:tc>
          <w:tcPr>
            <w:tcW w:w="2646" w:type="dxa"/>
            <w:tcBorders>
              <w:top w:val="single" w:sz="18" w:space="0" w:color="00B0B9"/>
            </w:tcBorders>
          </w:tcPr>
          <w:p w14:paraId="05E736A3" w14:textId="19544747" w:rsidR="00C9100B" w:rsidRPr="002C1853" w:rsidRDefault="00C9100B">
            <w:pPr>
              <w:spacing w:before="40" w:after="40"/>
              <w:rPr>
                <w:rFonts w:eastAsia="Times New Roman"/>
                <w:spacing w:val="4"/>
                <w:sz w:val="16"/>
                <w:szCs w:val="16"/>
                <w:lang w:val="en-GB"/>
              </w:rPr>
            </w:pPr>
            <w:r w:rsidRPr="002C1853">
              <w:rPr>
                <w:rFonts w:eastAsia="Times New Roman"/>
                <w:spacing w:val="4"/>
                <w:sz w:val="16"/>
                <w:szCs w:val="16"/>
                <w:lang w:val="en-GB"/>
              </w:rPr>
              <w:t xml:space="preserve">Milestone/standard: Standard of delivery is in accordance with the terms and conditions of organisations’ contracts and agreements with </w:t>
            </w:r>
            <w:r w:rsidR="00BA195C">
              <w:rPr>
                <w:rFonts w:eastAsia="Times New Roman"/>
                <w:spacing w:val="4"/>
                <w:sz w:val="16"/>
                <w:szCs w:val="16"/>
                <w:lang w:val="en-GB"/>
              </w:rPr>
              <w:t>the department</w:t>
            </w:r>
          </w:p>
        </w:tc>
        <w:tc>
          <w:tcPr>
            <w:tcW w:w="1053" w:type="dxa"/>
            <w:tcBorders>
              <w:top w:val="single" w:sz="18" w:space="0" w:color="00B0B9"/>
            </w:tcBorders>
            <w:vAlign w:val="center"/>
          </w:tcPr>
          <w:p w14:paraId="1227B6C0" w14:textId="77777777" w:rsidR="00C9100B" w:rsidRPr="003C1C05" w:rsidRDefault="00C9100B" w:rsidP="00E117FD">
            <w:pPr>
              <w:spacing w:before="40" w:after="40"/>
              <w:jc w:val="center"/>
              <w:rPr>
                <w:rFonts w:eastAsia="Times New Roman"/>
                <w:spacing w:val="4"/>
                <w:sz w:val="20"/>
                <w:szCs w:val="24"/>
                <w:lang w:val="en-GB"/>
              </w:rPr>
            </w:pPr>
            <w:r w:rsidRPr="003C1C05">
              <w:rPr>
                <w:rFonts w:eastAsia="Times New Roman"/>
                <w:spacing w:val="4"/>
                <w:sz w:val="20"/>
                <w:szCs w:val="24"/>
                <w:lang w:val="en-GB"/>
              </w:rPr>
              <w:sym w:font="Wingdings" w:char="F0FE"/>
            </w:r>
            <w:r w:rsidRPr="003C1C05">
              <w:rPr>
                <w:rFonts w:eastAsia="Times New Roman"/>
                <w:spacing w:val="4"/>
                <w:sz w:val="20"/>
                <w:szCs w:val="24"/>
                <w:vertAlign w:val="superscript"/>
                <w:lang w:val="en-GB"/>
              </w:rPr>
              <w:t>a</w:t>
            </w:r>
          </w:p>
        </w:tc>
        <w:tc>
          <w:tcPr>
            <w:tcW w:w="1053" w:type="dxa"/>
            <w:tcBorders>
              <w:top w:val="single" w:sz="18" w:space="0" w:color="00B0B9"/>
            </w:tcBorders>
            <w:vAlign w:val="center"/>
          </w:tcPr>
          <w:p w14:paraId="189AABAF" w14:textId="77777777" w:rsidR="00C9100B" w:rsidRPr="003C1C05" w:rsidRDefault="00C9100B" w:rsidP="00E117FD">
            <w:pPr>
              <w:spacing w:before="40" w:after="40"/>
              <w:jc w:val="center"/>
              <w:rPr>
                <w:rFonts w:eastAsia="Times New Roman"/>
                <w:spacing w:val="4"/>
                <w:sz w:val="20"/>
                <w:szCs w:val="24"/>
                <w:lang w:val="en-GB"/>
              </w:rPr>
            </w:pPr>
            <w:r w:rsidRPr="003C1C05">
              <w:rPr>
                <w:rFonts w:eastAsia="Times New Roman"/>
                <w:spacing w:val="4"/>
                <w:sz w:val="20"/>
                <w:szCs w:val="24"/>
                <w:lang w:val="en-GB"/>
              </w:rPr>
              <w:sym w:font="Wingdings" w:char="F0FE"/>
            </w:r>
            <w:r w:rsidRPr="003C1C05">
              <w:rPr>
                <w:rFonts w:eastAsia="Times New Roman"/>
                <w:spacing w:val="4"/>
                <w:sz w:val="20"/>
                <w:szCs w:val="24"/>
                <w:vertAlign w:val="superscript"/>
                <w:lang w:val="en-GB"/>
              </w:rPr>
              <w:t>a</w:t>
            </w:r>
          </w:p>
        </w:tc>
        <w:tc>
          <w:tcPr>
            <w:tcW w:w="1053" w:type="dxa"/>
            <w:tcBorders>
              <w:top w:val="single" w:sz="18" w:space="0" w:color="00B0B9"/>
              <w:right w:val="nil"/>
            </w:tcBorders>
            <w:vAlign w:val="center"/>
          </w:tcPr>
          <w:p w14:paraId="00B91A71" w14:textId="77777777" w:rsidR="00C9100B" w:rsidRPr="003C1C05" w:rsidRDefault="00C9100B" w:rsidP="00E117FD">
            <w:pPr>
              <w:spacing w:before="40" w:after="40"/>
              <w:jc w:val="center"/>
              <w:rPr>
                <w:rFonts w:eastAsia="Times New Roman"/>
                <w:color w:val="000000" w:themeColor="text1"/>
                <w:spacing w:val="4"/>
                <w:sz w:val="20"/>
                <w:szCs w:val="24"/>
                <w:lang w:val="en-GB"/>
              </w:rPr>
            </w:pPr>
            <w:r w:rsidRPr="003C1C05">
              <w:rPr>
                <w:rFonts w:eastAsia="Times New Roman"/>
                <w:spacing w:val="4"/>
                <w:sz w:val="20"/>
                <w:szCs w:val="24"/>
                <w:lang w:val="en-GB"/>
              </w:rPr>
              <w:sym w:font="Wingdings" w:char="F0FE"/>
            </w:r>
            <w:r w:rsidRPr="003C1C05">
              <w:rPr>
                <w:rFonts w:eastAsia="Times New Roman"/>
                <w:spacing w:val="4"/>
                <w:sz w:val="20"/>
                <w:szCs w:val="24"/>
                <w:vertAlign w:val="superscript"/>
                <w:lang w:val="en-GB"/>
              </w:rPr>
              <w:t>a</w:t>
            </w:r>
          </w:p>
        </w:tc>
      </w:tr>
      <w:tr w:rsidR="00C9100B" w:rsidRPr="002C1853" w14:paraId="6F27D23F" w14:textId="77777777" w:rsidTr="003A047F">
        <w:trPr>
          <w:cnfStyle w:val="000000100000" w:firstRow="0" w:lastRow="0" w:firstColumn="0" w:lastColumn="0" w:oddVBand="0" w:evenVBand="0" w:oddHBand="1" w:evenHBand="0" w:firstRowFirstColumn="0" w:firstRowLastColumn="0" w:lastRowFirstColumn="0" w:lastRowLastColumn="0"/>
          <w:trHeight w:val="25"/>
        </w:trPr>
        <w:tc>
          <w:tcPr>
            <w:tcW w:w="9003" w:type="dxa"/>
            <w:gridSpan w:val="5"/>
            <w:tcBorders>
              <w:left w:val="nil"/>
              <w:bottom w:val="single" w:sz="18" w:space="0" w:color="00B0B9"/>
              <w:right w:val="nil"/>
            </w:tcBorders>
          </w:tcPr>
          <w:p w14:paraId="78870716" w14:textId="77777777" w:rsidR="00C9100B" w:rsidRPr="002C1853" w:rsidRDefault="00C9100B" w:rsidP="00E117FD">
            <w:pPr>
              <w:spacing w:before="40" w:after="40"/>
              <w:rPr>
                <w:rFonts w:eastAsia="Times New Roman" w:cs="Arial"/>
                <w:b/>
                <w:color w:val="000000" w:themeColor="text1"/>
                <w:sz w:val="16"/>
                <w:szCs w:val="16"/>
              </w:rPr>
            </w:pPr>
            <w:r w:rsidRPr="002C1853">
              <w:rPr>
                <w:rFonts w:eastAsia="Times New Roman" w:cs="Arial"/>
                <w:b/>
                <w:color w:val="000000" w:themeColor="text1"/>
                <w:sz w:val="16"/>
                <w:szCs w:val="16"/>
              </w:rPr>
              <w:t>Program 3.2: National Disability Insurance Scheme</w:t>
            </w:r>
          </w:p>
        </w:tc>
      </w:tr>
      <w:tr w:rsidR="00C9100B" w:rsidRPr="002C1853" w14:paraId="2026004C" w14:textId="77777777" w:rsidTr="003A047F">
        <w:trPr>
          <w:cnfStyle w:val="000000010000" w:firstRow="0" w:lastRow="0" w:firstColumn="0" w:lastColumn="0" w:oddVBand="0" w:evenVBand="0" w:oddHBand="0" w:evenHBand="1" w:firstRowFirstColumn="0" w:firstRowLastColumn="0" w:lastRowFirstColumn="0" w:lastRowLastColumn="0"/>
        </w:trPr>
        <w:tc>
          <w:tcPr>
            <w:tcW w:w="9003" w:type="dxa"/>
            <w:gridSpan w:val="5"/>
            <w:tcBorders>
              <w:top w:val="single" w:sz="18" w:space="0" w:color="00B0B9"/>
              <w:left w:val="nil"/>
              <w:right w:val="nil"/>
            </w:tcBorders>
          </w:tcPr>
          <w:p w14:paraId="65B9B372" w14:textId="77777777" w:rsidR="00C9100B" w:rsidRPr="002C1853" w:rsidRDefault="00C9100B" w:rsidP="00E117FD">
            <w:pPr>
              <w:spacing w:before="40" w:after="40"/>
              <w:rPr>
                <w:rFonts w:eastAsia="Times New Roman"/>
                <w:spacing w:val="4"/>
                <w:sz w:val="16"/>
                <w:szCs w:val="16"/>
                <w:lang w:val="en-GB"/>
              </w:rPr>
            </w:pPr>
            <w:r w:rsidRPr="002C1853">
              <w:rPr>
                <w:rFonts w:eastAsia="Times New Roman"/>
                <w:spacing w:val="4"/>
                <w:sz w:val="16"/>
                <w:szCs w:val="16"/>
                <w:lang w:val="en-GB"/>
              </w:rPr>
              <w:t>Policy, financial and partnership arrangements are in place to create an effective and sustainable NDIS including:</w:t>
            </w:r>
          </w:p>
        </w:tc>
      </w:tr>
      <w:tr w:rsidR="00C9100B" w:rsidRPr="002C1853" w14:paraId="0E60CACE" w14:textId="77777777" w:rsidTr="003A047F">
        <w:trPr>
          <w:cnfStyle w:val="000000100000" w:firstRow="0" w:lastRow="0" w:firstColumn="0" w:lastColumn="0" w:oddVBand="0" w:evenVBand="0" w:oddHBand="1" w:evenHBand="0" w:firstRowFirstColumn="0" w:firstRowLastColumn="0" w:lastRowFirstColumn="0" w:lastRowLastColumn="0"/>
        </w:trPr>
        <w:tc>
          <w:tcPr>
            <w:tcW w:w="3198" w:type="dxa"/>
            <w:tcBorders>
              <w:left w:val="nil"/>
            </w:tcBorders>
          </w:tcPr>
          <w:p w14:paraId="6CE61BF4" w14:textId="77777777" w:rsidR="00C9100B" w:rsidRPr="002C1853" w:rsidRDefault="00C9100B" w:rsidP="00E117FD">
            <w:pPr>
              <w:spacing w:before="40" w:after="40"/>
              <w:rPr>
                <w:rFonts w:eastAsia="Times New Roman"/>
                <w:color w:val="000000" w:themeColor="text1"/>
                <w:spacing w:val="4"/>
                <w:sz w:val="16"/>
                <w:szCs w:val="16"/>
                <w:highlight w:val="yellow"/>
                <w:lang w:val="en-GB"/>
              </w:rPr>
            </w:pPr>
            <w:r w:rsidRPr="002C1853">
              <w:rPr>
                <w:rFonts w:eastAsia="Times New Roman"/>
                <w:color w:val="000000" w:themeColor="text1"/>
                <w:spacing w:val="4"/>
                <w:sz w:val="16"/>
                <w:szCs w:val="16"/>
                <w:lang w:val="en-GB"/>
              </w:rPr>
              <w:t>Developing and implementing policy settings for full scheme</w:t>
            </w:r>
          </w:p>
        </w:tc>
        <w:tc>
          <w:tcPr>
            <w:tcW w:w="2646" w:type="dxa"/>
            <w:tcBorders>
              <w:top w:val="single" w:sz="8" w:space="0" w:color="FFFFFF" w:themeColor="background1"/>
              <w:left w:val="nil"/>
              <w:bottom w:val="single" w:sz="8" w:space="0" w:color="FFFFFF" w:themeColor="background1"/>
              <w:right w:val="nil"/>
            </w:tcBorders>
            <w:shd w:val="clear" w:color="auto" w:fill="F8F8F8"/>
          </w:tcPr>
          <w:p w14:paraId="52CB5042" w14:textId="77777777" w:rsidR="00C9100B" w:rsidRPr="002C1853" w:rsidRDefault="00C9100B" w:rsidP="00E117FD">
            <w:pPr>
              <w:spacing w:before="40" w:after="40"/>
              <w:rPr>
                <w:rFonts w:eastAsia="Times New Roman"/>
                <w:color w:val="000000" w:themeColor="text1"/>
                <w:spacing w:val="4"/>
                <w:sz w:val="16"/>
                <w:szCs w:val="16"/>
                <w:lang w:val="en-GB"/>
              </w:rPr>
            </w:pPr>
            <w:r w:rsidRPr="002C1853">
              <w:rPr>
                <w:rFonts w:eastAsia="Times New Roman"/>
                <w:color w:val="000000" w:themeColor="text1"/>
                <w:spacing w:val="4"/>
                <w:sz w:val="16"/>
                <w:szCs w:val="16"/>
                <w:lang w:val="en-GB"/>
              </w:rPr>
              <w:t>Milestone/standard:</w:t>
            </w:r>
          </w:p>
          <w:p w14:paraId="5CD2CE1D" w14:textId="513F1E4C" w:rsidR="00C9100B" w:rsidRPr="002C1853" w:rsidRDefault="00C9100B" w:rsidP="00E117FD">
            <w:pPr>
              <w:spacing w:before="40" w:after="40"/>
              <w:rPr>
                <w:rFonts w:eastAsia="Times New Roman"/>
                <w:color w:val="000000" w:themeColor="text1"/>
                <w:spacing w:val="4"/>
                <w:sz w:val="16"/>
                <w:szCs w:val="16"/>
                <w:lang w:val="en-GB"/>
              </w:rPr>
            </w:pPr>
            <w:r w:rsidRPr="002C1853">
              <w:rPr>
                <w:rFonts w:eastAsia="Times New Roman"/>
                <w:color w:val="000000" w:themeColor="text1"/>
                <w:spacing w:val="4"/>
                <w:sz w:val="16"/>
                <w:szCs w:val="16"/>
                <w:lang w:val="en-GB"/>
              </w:rPr>
              <w:t>Timely and effective policy advice (including on Quality and Safeguards) is provided for full scheme</w:t>
            </w:r>
          </w:p>
        </w:tc>
        <w:tc>
          <w:tcPr>
            <w:tcW w:w="1053" w:type="dxa"/>
            <w:vAlign w:val="center"/>
          </w:tcPr>
          <w:p w14:paraId="1E3A1C15" w14:textId="77777777" w:rsidR="00C9100B" w:rsidRPr="003C1C05" w:rsidRDefault="00C9100B" w:rsidP="00E117FD">
            <w:pPr>
              <w:spacing w:before="40" w:after="40"/>
              <w:jc w:val="center"/>
              <w:rPr>
                <w:rFonts w:eastAsia="Times New Roman"/>
                <w:color w:val="000000" w:themeColor="text1"/>
                <w:spacing w:val="4"/>
                <w:sz w:val="20"/>
                <w:szCs w:val="16"/>
                <w:lang w:val="en-GB"/>
              </w:rPr>
            </w:pPr>
            <w:r w:rsidRPr="003C1C05">
              <w:rPr>
                <w:rFonts w:eastAsia="Times New Roman"/>
                <w:spacing w:val="4"/>
                <w:sz w:val="20"/>
                <w:szCs w:val="16"/>
                <w:lang w:val="en-GB"/>
              </w:rPr>
              <w:sym w:font="Wingdings" w:char="F0FE"/>
            </w:r>
            <w:r w:rsidRPr="003C1C05">
              <w:rPr>
                <w:rFonts w:eastAsia="Times New Roman"/>
                <w:spacing w:val="4"/>
                <w:sz w:val="20"/>
                <w:szCs w:val="16"/>
                <w:vertAlign w:val="superscript"/>
                <w:lang w:val="en-GB"/>
              </w:rPr>
              <w:t>b</w:t>
            </w:r>
          </w:p>
        </w:tc>
        <w:tc>
          <w:tcPr>
            <w:tcW w:w="1053" w:type="dxa"/>
            <w:vAlign w:val="center"/>
          </w:tcPr>
          <w:p w14:paraId="36541A89" w14:textId="77777777" w:rsidR="00C9100B" w:rsidRPr="003C1C05" w:rsidRDefault="00C9100B" w:rsidP="00E117FD">
            <w:pPr>
              <w:spacing w:before="40" w:after="40"/>
              <w:jc w:val="center"/>
              <w:rPr>
                <w:rFonts w:eastAsia="Times New Roman"/>
                <w:color w:val="000000" w:themeColor="text1"/>
                <w:spacing w:val="4"/>
                <w:sz w:val="20"/>
                <w:szCs w:val="16"/>
                <w:lang w:val="en-GB"/>
              </w:rPr>
            </w:pPr>
            <w:r w:rsidRPr="003C1C05">
              <w:rPr>
                <w:rFonts w:eastAsia="Times New Roman"/>
                <w:spacing w:val="4"/>
                <w:sz w:val="20"/>
                <w:szCs w:val="16"/>
                <w:lang w:val="en-GB"/>
              </w:rPr>
              <w:sym w:font="Wingdings" w:char="F0FE"/>
            </w:r>
            <w:r w:rsidRPr="003C1C05">
              <w:rPr>
                <w:rFonts w:eastAsia="Times New Roman"/>
                <w:spacing w:val="4"/>
                <w:sz w:val="20"/>
                <w:szCs w:val="16"/>
                <w:vertAlign w:val="superscript"/>
                <w:lang w:val="en-GB"/>
              </w:rPr>
              <w:t>c</w:t>
            </w:r>
          </w:p>
        </w:tc>
        <w:tc>
          <w:tcPr>
            <w:tcW w:w="1053" w:type="dxa"/>
            <w:tcBorders>
              <w:right w:val="nil"/>
            </w:tcBorders>
            <w:vAlign w:val="center"/>
          </w:tcPr>
          <w:p w14:paraId="538AC97E" w14:textId="77777777" w:rsidR="00C9100B" w:rsidRPr="003C1C05" w:rsidRDefault="00C9100B" w:rsidP="00E117FD">
            <w:pPr>
              <w:spacing w:before="40" w:after="40"/>
              <w:jc w:val="center"/>
              <w:rPr>
                <w:rFonts w:eastAsia="Times New Roman"/>
                <w:color w:val="000000" w:themeColor="text1"/>
                <w:spacing w:val="4"/>
                <w:sz w:val="20"/>
                <w:szCs w:val="16"/>
                <w:lang w:val="en-GB"/>
              </w:rPr>
            </w:pPr>
            <w:r w:rsidRPr="003C1C05">
              <w:rPr>
                <w:rFonts w:eastAsia="Times New Roman"/>
                <w:spacing w:val="4"/>
                <w:sz w:val="20"/>
                <w:szCs w:val="16"/>
                <w:lang w:val="en-GB"/>
              </w:rPr>
              <w:sym w:font="Wingdings" w:char="F0FE"/>
            </w:r>
            <w:r w:rsidRPr="003C1C05">
              <w:rPr>
                <w:rFonts w:eastAsia="Times New Roman"/>
                <w:spacing w:val="4"/>
                <w:sz w:val="20"/>
                <w:szCs w:val="16"/>
                <w:vertAlign w:val="superscript"/>
                <w:lang w:val="en-GB"/>
              </w:rPr>
              <w:t>d</w:t>
            </w:r>
          </w:p>
        </w:tc>
      </w:tr>
      <w:tr w:rsidR="00C9100B" w:rsidRPr="002C1853" w14:paraId="37244AE7" w14:textId="77777777" w:rsidTr="003A047F">
        <w:trPr>
          <w:cnfStyle w:val="000000010000" w:firstRow="0" w:lastRow="0" w:firstColumn="0" w:lastColumn="0" w:oddVBand="0" w:evenVBand="0" w:oddHBand="0" w:evenHBand="1" w:firstRowFirstColumn="0" w:firstRowLastColumn="0" w:lastRowFirstColumn="0" w:lastRowLastColumn="0"/>
        </w:trPr>
        <w:tc>
          <w:tcPr>
            <w:tcW w:w="3198" w:type="dxa"/>
            <w:tcBorders>
              <w:left w:val="nil"/>
            </w:tcBorders>
          </w:tcPr>
          <w:p w14:paraId="3251071F" w14:textId="77777777" w:rsidR="00C9100B" w:rsidRPr="002C1853" w:rsidRDefault="00C9100B" w:rsidP="00E117FD">
            <w:pPr>
              <w:spacing w:before="40" w:after="40"/>
              <w:rPr>
                <w:rFonts w:eastAsia="Times New Roman"/>
                <w:color w:val="000000" w:themeColor="text1"/>
                <w:spacing w:val="4"/>
                <w:sz w:val="16"/>
                <w:szCs w:val="16"/>
                <w:highlight w:val="yellow"/>
                <w:lang w:val="en-GB"/>
              </w:rPr>
            </w:pPr>
            <w:r w:rsidRPr="002C1853">
              <w:rPr>
                <w:rFonts w:eastAsia="Times New Roman"/>
                <w:color w:val="000000" w:themeColor="text1"/>
                <w:spacing w:val="4"/>
                <w:sz w:val="16"/>
                <w:szCs w:val="16"/>
                <w:lang w:val="en-GB"/>
              </w:rPr>
              <w:t>Implementing funding mechanisms for NDIS transitions</w:t>
            </w:r>
          </w:p>
        </w:tc>
        <w:tc>
          <w:tcPr>
            <w:tcW w:w="2646" w:type="dxa"/>
          </w:tcPr>
          <w:p w14:paraId="698AF245" w14:textId="77777777" w:rsidR="00C9100B" w:rsidRPr="002C1853" w:rsidRDefault="00C9100B" w:rsidP="00E117FD">
            <w:pPr>
              <w:spacing w:before="40" w:after="40"/>
              <w:rPr>
                <w:rFonts w:eastAsia="Times New Roman"/>
                <w:spacing w:val="4"/>
                <w:sz w:val="16"/>
                <w:szCs w:val="16"/>
                <w:lang w:val="en-GB"/>
              </w:rPr>
            </w:pPr>
            <w:r w:rsidRPr="002C1853">
              <w:rPr>
                <w:rFonts w:eastAsia="Times New Roman"/>
                <w:spacing w:val="4"/>
                <w:sz w:val="16"/>
                <w:szCs w:val="16"/>
                <w:lang w:val="en-GB"/>
              </w:rPr>
              <w:t>Milestone/standard:</w:t>
            </w:r>
          </w:p>
          <w:p w14:paraId="127D423F" w14:textId="7D7A2997" w:rsidR="00C9100B" w:rsidRPr="002C1853" w:rsidRDefault="00C9100B" w:rsidP="00E117FD">
            <w:pPr>
              <w:spacing w:before="40" w:after="40"/>
              <w:rPr>
                <w:rFonts w:eastAsia="Times New Roman"/>
                <w:spacing w:val="4"/>
                <w:sz w:val="16"/>
                <w:szCs w:val="16"/>
                <w:lang w:val="en-GB"/>
              </w:rPr>
            </w:pPr>
            <w:r w:rsidRPr="002C1853">
              <w:rPr>
                <w:rFonts w:eastAsia="Times New Roman"/>
                <w:spacing w:val="4"/>
                <w:sz w:val="16"/>
                <w:szCs w:val="16"/>
                <w:lang w:val="en-GB"/>
              </w:rPr>
              <w:t>Appropriate management of the NDIS cash flow</w:t>
            </w:r>
          </w:p>
        </w:tc>
        <w:tc>
          <w:tcPr>
            <w:tcW w:w="1053" w:type="dxa"/>
            <w:vAlign w:val="center"/>
          </w:tcPr>
          <w:p w14:paraId="6A63240E" w14:textId="77777777" w:rsidR="00C9100B" w:rsidRPr="003C1C05" w:rsidRDefault="00C9100B" w:rsidP="00E117FD">
            <w:pPr>
              <w:spacing w:before="40" w:after="40"/>
              <w:jc w:val="center"/>
              <w:rPr>
                <w:rFonts w:eastAsia="Times New Roman"/>
                <w:spacing w:val="4"/>
                <w:sz w:val="20"/>
                <w:szCs w:val="16"/>
                <w:highlight w:val="yellow"/>
                <w:lang w:val="en-GB"/>
              </w:rPr>
            </w:pPr>
            <w:r w:rsidRPr="003C1C05">
              <w:rPr>
                <w:rFonts w:eastAsia="Times New Roman"/>
                <w:spacing w:val="4"/>
                <w:sz w:val="20"/>
                <w:szCs w:val="16"/>
                <w:lang w:val="en-GB"/>
              </w:rPr>
              <w:sym w:font="Wingdings" w:char="F0FE"/>
            </w:r>
            <w:r w:rsidRPr="003C1C05">
              <w:rPr>
                <w:rFonts w:eastAsia="Times New Roman"/>
                <w:spacing w:val="4"/>
                <w:sz w:val="20"/>
                <w:szCs w:val="16"/>
                <w:vertAlign w:val="superscript"/>
                <w:lang w:val="en-GB"/>
              </w:rPr>
              <w:t>e</w:t>
            </w:r>
          </w:p>
        </w:tc>
        <w:tc>
          <w:tcPr>
            <w:tcW w:w="1053" w:type="dxa"/>
            <w:vAlign w:val="center"/>
          </w:tcPr>
          <w:p w14:paraId="786B1DA0" w14:textId="77777777" w:rsidR="00C9100B" w:rsidRPr="003C1C05" w:rsidRDefault="00C9100B" w:rsidP="00E117FD">
            <w:pPr>
              <w:spacing w:before="40" w:after="40"/>
              <w:jc w:val="center"/>
              <w:rPr>
                <w:sz w:val="20"/>
                <w:szCs w:val="16"/>
                <w:highlight w:val="yellow"/>
              </w:rPr>
            </w:pPr>
            <w:r w:rsidRPr="003C1C05">
              <w:rPr>
                <w:rFonts w:eastAsia="Times New Roman"/>
                <w:spacing w:val="4"/>
                <w:sz w:val="20"/>
                <w:szCs w:val="16"/>
                <w:lang w:val="en-GB"/>
              </w:rPr>
              <w:sym w:font="Wingdings" w:char="F0FE"/>
            </w:r>
            <w:r w:rsidRPr="003C1C05">
              <w:rPr>
                <w:rFonts w:eastAsia="Times New Roman"/>
                <w:spacing w:val="4"/>
                <w:sz w:val="20"/>
                <w:szCs w:val="16"/>
                <w:vertAlign w:val="superscript"/>
                <w:lang w:val="en-GB"/>
              </w:rPr>
              <w:t>e</w:t>
            </w:r>
          </w:p>
        </w:tc>
        <w:tc>
          <w:tcPr>
            <w:tcW w:w="1053" w:type="dxa"/>
            <w:tcBorders>
              <w:right w:val="nil"/>
            </w:tcBorders>
            <w:vAlign w:val="center"/>
          </w:tcPr>
          <w:p w14:paraId="405C7C96" w14:textId="77777777" w:rsidR="00C9100B" w:rsidRPr="003C1C05" w:rsidRDefault="00C9100B" w:rsidP="00E117FD">
            <w:pPr>
              <w:spacing w:before="40" w:after="40"/>
              <w:jc w:val="center"/>
              <w:rPr>
                <w:sz w:val="20"/>
                <w:szCs w:val="16"/>
                <w:highlight w:val="yellow"/>
              </w:rPr>
            </w:pPr>
            <w:r w:rsidRPr="003C1C05">
              <w:rPr>
                <w:rFonts w:eastAsia="Times New Roman"/>
                <w:spacing w:val="4"/>
                <w:sz w:val="20"/>
                <w:szCs w:val="16"/>
                <w:lang w:val="en-GB"/>
              </w:rPr>
              <w:sym w:font="Wingdings" w:char="F0FE"/>
            </w:r>
            <w:r w:rsidRPr="003C1C05">
              <w:rPr>
                <w:rFonts w:eastAsia="Times New Roman"/>
                <w:spacing w:val="4"/>
                <w:sz w:val="20"/>
                <w:szCs w:val="16"/>
                <w:vertAlign w:val="superscript"/>
                <w:lang w:val="en-GB"/>
              </w:rPr>
              <w:t>e</w:t>
            </w:r>
          </w:p>
        </w:tc>
      </w:tr>
      <w:tr w:rsidR="00C9100B" w:rsidRPr="002C1853" w14:paraId="05A31F60" w14:textId="77777777" w:rsidTr="003A047F">
        <w:trPr>
          <w:cnfStyle w:val="000000100000" w:firstRow="0" w:lastRow="0" w:firstColumn="0" w:lastColumn="0" w:oddVBand="0" w:evenVBand="0" w:oddHBand="1" w:evenHBand="0" w:firstRowFirstColumn="0" w:firstRowLastColumn="0" w:lastRowFirstColumn="0" w:lastRowLastColumn="0"/>
        </w:trPr>
        <w:tc>
          <w:tcPr>
            <w:tcW w:w="3198" w:type="dxa"/>
            <w:tcBorders>
              <w:left w:val="nil"/>
            </w:tcBorders>
          </w:tcPr>
          <w:p w14:paraId="065A538B" w14:textId="77777777" w:rsidR="00C9100B" w:rsidRPr="002C1853" w:rsidRDefault="00C9100B" w:rsidP="00E117FD">
            <w:pPr>
              <w:spacing w:before="40" w:after="40"/>
              <w:rPr>
                <w:rFonts w:eastAsia="Times New Roman"/>
                <w:color w:val="000000" w:themeColor="text1"/>
                <w:spacing w:val="4"/>
                <w:sz w:val="16"/>
                <w:szCs w:val="16"/>
                <w:lang w:val="en-GB"/>
              </w:rPr>
            </w:pPr>
            <w:r w:rsidRPr="002C1853">
              <w:rPr>
                <w:rFonts w:eastAsia="Times New Roman"/>
                <w:color w:val="000000" w:themeColor="text1"/>
                <w:spacing w:val="4"/>
                <w:sz w:val="16"/>
                <w:szCs w:val="16"/>
                <w:lang w:val="en-GB"/>
              </w:rPr>
              <w:t>Negotiating and implementing agreements with states and territories for transition to full scheme</w:t>
            </w:r>
          </w:p>
        </w:tc>
        <w:tc>
          <w:tcPr>
            <w:tcW w:w="2646" w:type="dxa"/>
          </w:tcPr>
          <w:p w14:paraId="5243A3E2" w14:textId="77777777" w:rsidR="00C9100B" w:rsidRPr="002C1853" w:rsidRDefault="00C9100B" w:rsidP="00E117FD">
            <w:pPr>
              <w:spacing w:before="40" w:after="40"/>
              <w:rPr>
                <w:rFonts w:eastAsia="Times New Roman"/>
                <w:spacing w:val="4"/>
                <w:sz w:val="16"/>
                <w:szCs w:val="16"/>
                <w:lang w:val="en-GB"/>
              </w:rPr>
            </w:pPr>
            <w:r w:rsidRPr="002C1853">
              <w:rPr>
                <w:rFonts w:eastAsia="Times New Roman"/>
                <w:spacing w:val="4"/>
                <w:sz w:val="16"/>
                <w:szCs w:val="16"/>
                <w:lang w:val="en-GB"/>
              </w:rPr>
              <w:t xml:space="preserve">Milestone/standard </w:t>
            </w:r>
          </w:p>
          <w:p w14:paraId="07F2EB46" w14:textId="529A79D8" w:rsidR="00C9100B" w:rsidRPr="002C1853" w:rsidRDefault="00C9100B" w:rsidP="00E117FD">
            <w:pPr>
              <w:spacing w:before="40" w:after="40"/>
              <w:rPr>
                <w:rFonts w:eastAsia="Times New Roman"/>
                <w:spacing w:val="4"/>
                <w:sz w:val="16"/>
                <w:szCs w:val="16"/>
                <w:lang w:val="en-GB"/>
              </w:rPr>
            </w:pPr>
            <w:r w:rsidRPr="002C1853">
              <w:rPr>
                <w:rFonts w:eastAsia="Times New Roman"/>
                <w:spacing w:val="4"/>
                <w:sz w:val="16"/>
                <w:szCs w:val="16"/>
                <w:lang w:val="en-GB"/>
              </w:rPr>
              <w:t>Strategic implementation issues are identified and resolved</w:t>
            </w:r>
          </w:p>
        </w:tc>
        <w:tc>
          <w:tcPr>
            <w:tcW w:w="1053" w:type="dxa"/>
            <w:vAlign w:val="center"/>
          </w:tcPr>
          <w:p w14:paraId="0D388B90" w14:textId="77777777" w:rsidR="00C9100B" w:rsidRPr="003C1C05" w:rsidRDefault="00C9100B" w:rsidP="00E117FD">
            <w:pPr>
              <w:spacing w:before="40" w:after="40"/>
              <w:jc w:val="center"/>
              <w:rPr>
                <w:rFonts w:eastAsia="Times New Roman"/>
                <w:spacing w:val="4"/>
                <w:sz w:val="20"/>
                <w:szCs w:val="16"/>
                <w:lang w:val="en-GB"/>
              </w:rPr>
            </w:pPr>
            <w:r w:rsidRPr="003C1C05">
              <w:rPr>
                <w:rFonts w:eastAsia="Times New Roman"/>
                <w:spacing w:val="4"/>
                <w:sz w:val="20"/>
                <w:szCs w:val="16"/>
                <w:lang w:val="en-GB"/>
              </w:rPr>
              <w:sym w:font="Wingdings" w:char="F0FE"/>
            </w:r>
            <w:r w:rsidRPr="003C1C05">
              <w:rPr>
                <w:rFonts w:eastAsia="Times New Roman"/>
                <w:spacing w:val="4"/>
                <w:sz w:val="20"/>
                <w:szCs w:val="16"/>
                <w:vertAlign w:val="superscript"/>
                <w:lang w:val="en-GB"/>
              </w:rPr>
              <w:t>f</w:t>
            </w:r>
          </w:p>
        </w:tc>
        <w:tc>
          <w:tcPr>
            <w:tcW w:w="1053" w:type="dxa"/>
            <w:vAlign w:val="center"/>
          </w:tcPr>
          <w:p w14:paraId="4D4ED074" w14:textId="77777777" w:rsidR="00C9100B" w:rsidRPr="003C1C05" w:rsidRDefault="00C9100B" w:rsidP="00E117FD">
            <w:pPr>
              <w:spacing w:before="40" w:after="40"/>
              <w:jc w:val="center"/>
              <w:rPr>
                <w:rFonts w:eastAsia="Times New Roman"/>
                <w:spacing w:val="4"/>
                <w:sz w:val="20"/>
                <w:szCs w:val="16"/>
                <w:lang w:val="en-GB"/>
              </w:rPr>
            </w:pPr>
            <w:r w:rsidRPr="003C1C05">
              <w:rPr>
                <w:rFonts w:eastAsia="Times New Roman"/>
                <w:spacing w:val="4"/>
                <w:sz w:val="20"/>
                <w:szCs w:val="16"/>
                <w:lang w:val="en-GB"/>
              </w:rPr>
              <w:sym w:font="Wingdings" w:char="F0FE"/>
            </w:r>
            <w:r w:rsidRPr="003C1C05">
              <w:rPr>
                <w:rFonts w:eastAsia="Times New Roman"/>
                <w:spacing w:val="4"/>
                <w:sz w:val="20"/>
                <w:szCs w:val="16"/>
                <w:vertAlign w:val="superscript"/>
                <w:lang w:val="en-GB"/>
              </w:rPr>
              <w:t>g</w:t>
            </w:r>
          </w:p>
        </w:tc>
        <w:tc>
          <w:tcPr>
            <w:tcW w:w="1053" w:type="dxa"/>
            <w:tcBorders>
              <w:right w:val="nil"/>
            </w:tcBorders>
            <w:vAlign w:val="center"/>
          </w:tcPr>
          <w:p w14:paraId="639FD45F" w14:textId="77777777" w:rsidR="00C9100B" w:rsidRPr="003C1C05" w:rsidRDefault="00C9100B" w:rsidP="00E117FD">
            <w:pPr>
              <w:spacing w:before="40" w:after="40"/>
              <w:jc w:val="center"/>
              <w:rPr>
                <w:rFonts w:eastAsia="Times New Roman"/>
                <w:color w:val="000000" w:themeColor="text1"/>
                <w:spacing w:val="4"/>
                <w:sz w:val="20"/>
                <w:szCs w:val="16"/>
                <w:lang w:val="en-GB"/>
              </w:rPr>
            </w:pPr>
            <w:r w:rsidRPr="003C1C05">
              <w:rPr>
                <w:rFonts w:eastAsia="Times New Roman"/>
                <w:spacing w:val="4"/>
                <w:sz w:val="20"/>
                <w:szCs w:val="16"/>
                <w:lang w:val="en-GB"/>
              </w:rPr>
              <w:sym w:font="Wingdings" w:char="F0FE"/>
            </w:r>
            <w:r w:rsidRPr="003C1C05">
              <w:rPr>
                <w:rFonts w:eastAsia="Times New Roman"/>
                <w:spacing w:val="4"/>
                <w:sz w:val="20"/>
                <w:szCs w:val="16"/>
                <w:vertAlign w:val="superscript"/>
                <w:lang w:val="en-GB"/>
              </w:rPr>
              <w:t>h</w:t>
            </w:r>
          </w:p>
        </w:tc>
      </w:tr>
      <w:tr w:rsidR="00C9100B" w:rsidRPr="002C1853" w14:paraId="74EC6636" w14:textId="77777777" w:rsidTr="003A047F">
        <w:trPr>
          <w:cnfStyle w:val="000000010000" w:firstRow="0" w:lastRow="0" w:firstColumn="0" w:lastColumn="0" w:oddVBand="0" w:evenVBand="0" w:oddHBand="0" w:evenHBand="1" w:firstRowFirstColumn="0" w:firstRowLastColumn="0" w:lastRowFirstColumn="0" w:lastRowLastColumn="0"/>
        </w:trPr>
        <w:tc>
          <w:tcPr>
            <w:tcW w:w="9003" w:type="dxa"/>
            <w:gridSpan w:val="5"/>
            <w:tcBorders>
              <w:left w:val="nil"/>
              <w:bottom w:val="single" w:sz="18" w:space="0" w:color="00B0B9"/>
              <w:right w:val="nil"/>
            </w:tcBorders>
          </w:tcPr>
          <w:p w14:paraId="5DF757B3" w14:textId="77777777" w:rsidR="00C9100B" w:rsidRPr="002C1853" w:rsidRDefault="00C9100B" w:rsidP="00E117FD">
            <w:pPr>
              <w:spacing w:before="40" w:after="40"/>
              <w:rPr>
                <w:rFonts w:eastAsia="Times New Roman"/>
                <w:b/>
                <w:color w:val="000000" w:themeColor="text1"/>
                <w:spacing w:val="4"/>
                <w:sz w:val="16"/>
                <w:szCs w:val="16"/>
                <w:lang w:val="en-GB"/>
              </w:rPr>
            </w:pPr>
            <w:r w:rsidRPr="002C1853">
              <w:rPr>
                <w:rFonts w:eastAsia="Times New Roman"/>
                <w:b/>
                <w:color w:val="000000" w:themeColor="text1"/>
                <w:spacing w:val="4"/>
                <w:sz w:val="16"/>
                <w:szCs w:val="16"/>
                <w:lang w:val="en-GB"/>
              </w:rPr>
              <w:t>Program 3.3: Program Support for Outcome 3</w:t>
            </w:r>
          </w:p>
        </w:tc>
      </w:tr>
      <w:tr w:rsidR="00C9100B" w:rsidRPr="002C1853" w14:paraId="44C3420E" w14:textId="77777777" w:rsidTr="003A047F">
        <w:trPr>
          <w:cnfStyle w:val="000000100000" w:firstRow="0" w:lastRow="0" w:firstColumn="0" w:lastColumn="0" w:oddVBand="0" w:evenVBand="0" w:oddHBand="1" w:evenHBand="0" w:firstRowFirstColumn="0" w:firstRowLastColumn="0" w:lastRowFirstColumn="0" w:lastRowLastColumn="0"/>
        </w:trPr>
        <w:tc>
          <w:tcPr>
            <w:tcW w:w="3198" w:type="dxa"/>
            <w:tcBorders>
              <w:top w:val="single" w:sz="18" w:space="0" w:color="00B0B9"/>
              <w:left w:val="nil"/>
              <w:bottom w:val="nil"/>
            </w:tcBorders>
          </w:tcPr>
          <w:p w14:paraId="2C1A0CF2" w14:textId="77777777" w:rsidR="00C9100B" w:rsidRPr="002C1853" w:rsidRDefault="00C9100B" w:rsidP="00E117FD">
            <w:pPr>
              <w:spacing w:before="40" w:after="40"/>
              <w:rPr>
                <w:rFonts w:eastAsia="Times New Roman"/>
                <w:color w:val="000000" w:themeColor="text1"/>
                <w:spacing w:val="4"/>
                <w:sz w:val="16"/>
                <w:szCs w:val="16"/>
                <w:lang w:val="en-GB"/>
              </w:rPr>
            </w:pPr>
            <w:r w:rsidRPr="002C1853">
              <w:rPr>
                <w:rFonts w:eastAsia="Times New Roman"/>
                <w:color w:val="000000" w:themeColor="text1"/>
                <w:spacing w:val="4"/>
                <w:sz w:val="16"/>
                <w:szCs w:val="16"/>
                <w:lang w:val="en-GB"/>
              </w:rPr>
              <w:t>Total departmental funding for Outcome 3</w:t>
            </w:r>
          </w:p>
          <w:p w14:paraId="7E6F65F8" w14:textId="77777777" w:rsidR="00C9100B" w:rsidRPr="002C1853" w:rsidRDefault="00C9100B" w:rsidP="00E117FD">
            <w:pPr>
              <w:jc w:val="right"/>
              <w:rPr>
                <w:rFonts w:eastAsia="Times New Roman"/>
                <w:sz w:val="16"/>
                <w:szCs w:val="16"/>
                <w:lang w:val="en-GB"/>
              </w:rPr>
            </w:pPr>
          </w:p>
        </w:tc>
        <w:tc>
          <w:tcPr>
            <w:tcW w:w="2646" w:type="dxa"/>
            <w:tcBorders>
              <w:top w:val="single" w:sz="18" w:space="0" w:color="00B0B9"/>
              <w:bottom w:val="nil"/>
            </w:tcBorders>
          </w:tcPr>
          <w:p w14:paraId="12A7D4EE" w14:textId="77777777" w:rsidR="00C9100B" w:rsidRPr="002C1853" w:rsidRDefault="00C9100B" w:rsidP="00E117FD">
            <w:pPr>
              <w:spacing w:before="40" w:after="40"/>
              <w:rPr>
                <w:rFonts w:eastAsia="Times New Roman"/>
                <w:spacing w:val="4"/>
                <w:sz w:val="16"/>
                <w:szCs w:val="16"/>
                <w:lang w:val="en-GB"/>
              </w:rPr>
            </w:pPr>
            <w:r w:rsidRPr="002C1853">
              <w:rPr>
                <w:rFonts w:eastAsia="Times New Roman"/>
                <w:spacing w:val="4"/>
                <w:sz w:val="16"/>
                <w:szCs w:val="16"/>
                <w:lang w:val="en-GB"/>
              </w:rPr>
              <w:t>Milestone/standard:</w:t>
            </w:r>
          </w:p>
          <w:p w14:paraId="4BA06F6C" w14:textId="0B413434" w:rsidR="00C9100B" w:rsidRPr="002C1853" w:rsidRDefault="00C9100B" w:rsidP="00E117FD">
            <w:pPr>
              <w:spacing w:before="40" w:after="40"/>
              <w:rPr>
                <w:rFonts w:eastAsia="Times New Roman"/>
                <w:spacing w:val="4"/>
                <w:sz w:val="16"/>
                <w:szCs w:val="16"/>
                <w:lang w:val="en-GB"/>
              </w:rPr>
            </w:pPr>
            <w:r w:rsidRPr="002C1853">
              <w:rPr>
                <w:rFonts w:eastAsia="Times New Roman"/>
                <w:spacing w:val="4"/>
                <w:sz w:val="16"/>
                <w:szCs w:val="16"/>
                <w:lang w:val="en-GB"/>
              </w:rPr>
              <w:t>Departmental funding is expended to achieve agency outcomes</w:t>
            </w:r>
          </w:p>
        </w:tc>
        <w:tc>
          <w:tcPr>
            <w:tcW w:w="1053" w:type="dxa"/>
            <w:tcBorders>
              <w:top w:val="single" w:sz="18" w:space="0" w:color="00B0B9"/>
              <w:bottom w:val="nil"/>
            </w:tcBorders>
            <w:vAlign w:val="center"/>
          </w:tcPr>
          <w:p w14:paraId="64DF6E94" w14:textId="77777777" w:rsidR="00C9100B" w:rsidRPr="002C1853" w:rsidRDefault="00C9100B" w:rsidP="00E117FD">
            <w:pPr>
              <w:spacing w:before="40" w:after="40"/>
              <w:jc w:val="center"/>
              <w:rPr>
                <w:rFonts w:eastAsia="Times New Roman"/>
                <w:spacing w:val="4"/>
                <w:sz w:val="16"/>
                <w:szCs w:val="16"/>
                <w:lang w:val="en-GB"/>
              </w:rPr>
            </w:pPr>
            <w:r w:rsidRPr="002C1853">
              <w:rPr>
                <w:rFonts w:eastAsia="Times New Roman"/>
                <w:spacing w:val="4"/>
                <w:sz w:val="16"/>
                <w:szCs w:val="16"/>
                <w:lang w:val="en-GB"/>
              </w:rPr>
              <w:t>$116.905m</w:t>
            </w:r>
          </w:p>
        </w:tc>
        <w:tc>
          <w:tcPr>
            <w:tcW w:w="1053" w:type="dxa"/>
            <w:tcBorders>
              <w:top w:val="single" w:sz="18" w:space="0" w:color="00B0B9"/>
              <w:bottom w:val="nil"/>
            </w:tcBorders>
            <w:vAlign w:val="center"/>
          </w:tcPr>
          <w:p w14:paraId="6AA216A1" w14:textId="77777777" w:rsidR="00C9100B" w:rsidRPr="002C1853" w:rsidRDefault="00C9100B" w:rsidP="00E117FD">
            <w:pPr>
              <w:spacing w:before="40" w:after="40"/>
              <w:jc w:val="center"/>
              <w:rPr>
                <w:rFonts w:eastAsia="Times New Roman"/>
                <w:spacing w:val="4"/>
                <w:sz w:val="16"/>
                <w:szCs w:val="16"/>
                <w:lang w:val="en-GB"/>
              </w:rPr>
            </w:pPr>
            <w:r w:rsidRPr="002C1853">
              <w:rPr>
                <w:rFonts w:eastAsia="Times New Roman"/>
                <w:spacing w:val="4"/>
                <w:sz w:val="16"/>
                <w:szCs w:val="16"/>
                <w:lang w:val="en-GB"/>
              </w:rPr>
              <w:t>$110.047m</w:t>
            </w:r>
          </w:p>
        </w:tc>
        <w:tc>
          <w:tcPr>
            <w:tcW w:w="1053" w:type="dxa"/>
            <w:tcBorders>
              <w:top w:val="single" w:sz="18" w:space="0" w:color="00B0B9"/>
              <w:bottom w:val="nil"/>
              <w:right w:val="nil"/>
            </w:tcBorders>
            <w:vAlign w:val="center"/>
          </w:tcPr>
          <w:p w14:paraId="674B09C9" w14:textId="77777777" w:rsidR="00C9100B" w:rsidRPr="002C1853" w:rsidRDefault="00C9100B" w:rsidP="00E117FD">
            <w:pPr>
              <w:spacing w:before="40" w:after="40"/>
              <w:jc w:val="center"/>
              <w:rPr>
                <w:rFonts w:eastAsia="Times New Roman"/>
                <w:color w:val="000000" w:themeColor="text1"/>
                <w:spacing w:val="4"/>
                <w:sz w:val="16"/>
                <w:szCs w:val="16"/>
                <w:lang w:val="en-GB"/>
              </w:rPr>
            </w:pPr>
            <w:r w:rsidRPr="002C1853">
              <w:rPr>
                <w:rFonts w:eastAsia="Times New Roman"/>
                <w:color w:val="000000" w:themeColor="text1"/>
                <w:spacing w:val="4"/>
                <w:sz w:val="16"/>
                <w:szCs w:val="16"/>
                <w:lang w:val="en-GB"/>
              </w:rPr>
              <w:t>$106.633m</w:t>
            </w:r>
          </w:p>
        </w:tc>
      </w:tr>
    </w:tbl>
    <w:p w14:paraId="11C9EB5B" w14:textId="77777777" w:rsidR="00C9100B" w:rsidRPr="002C1853" w:rsidRDefault="00C9100B" w:rsidP="00C9100B">
      <w:pPr>
        <w:spacing w:before="160" w:after="60" w:line="240" w:lineRule="auto"/>
        <w:ind w:left="284" w:hanging="284"/>
        <w:contextualSpacing/>
        <w:rPr>
          <w:rFonts w:cs="Arial"/>
          <w:sz w:val="16"/>
          <w:szCs w:val="16"/>
        </w:rPr>
      </w:pPr>
      <w:proofErr w:type="spellStart"/>
      <w:r w:rsidRPr="002C1853">
        <w:rPr>
          <w:rFonts w:cs="Arial"/>
          <w:sz w:val="16"/>
          <w:szCs w:val="16"/>
        </w:rPr>
        <w:t>a</w:t>
      </w:r>
      <w:proofErr w:type="spellEnd"/>
      <w:r w:rsidRPr="002C1853">
        <w:rPr>
          <w:rFonts w:cs="Arial"/>
          <w:sz w:val="16"/>
          <w:szCs w:val="16"/>
        </w:rPr>
        <w:tab/>
        <w:t>All contracts and agreements were delivered in accordance with the terms and conditions specified.</w:t>
      </w:r>
    </w:p>
    <w:p w14:paraId="0A56B47D" w14:textId="2B666AD0" w:rsidR="00C9100B" w:rsidRPr="002C1853" w:rsidRDefault="00C9100B" w:rsidP="00C9100B">
      <w:pPr>
        <w:spacing w:before="160" w:after="60" w:line="240" w:lineRule="auto"/>
        <w:ind w:left="284" w:hanging="284"/>
        <w:contextualSpacing/>
        <w:rPr>
          <w:rFonts w:cs="Arial"/>
          <w:sz w:val="16"/>
          <w:szCs w:val="16"/>
        </w:rPr>
      </w:pPr>
      <w:r w:rsidRPr="002C1853">
        <w:rPr>
          <w:rFonts w:cs="Arial"/>
          <w:sz w:val="16"/>
          <w:szCs w:val="16"/>
        </w:rPr>
        <w:t>b</w:t>
      </w:r>
      <w:r w:rsidRPr="002C1853">
        <w:rPr>
          <w:rFonts w:cs="Arial"/>
          <w:sz w:val="16"/>
          <w:szCs w:val="16"/>
        </w:rPr>
        <w:tab/>
        <w:t xml:space="preserve">Policy settings requiring finalisation before end of transition have been designed and are being implemented. Full scheme agreements with NSW, VIC, QLD, SA, TAS, ACT and NT embed enduring arrangements for the NDIS in those states and territories. A bilateral transition agreement remains in place in WA. </w:t>
      </w:r>
      <w:r w:rsidR="00554A0D">
        <w:rPr>
          <w:rFonts w:cs="Arial"/>
          <w:sz w:val="16"/>
          <w:szCs w:val="16"/>
        </w:rPr>
        <w:t>QLD remained under a bilateral transition agreement until 1 October 2020 when its full scheme agreement came into effect</w:t>
      </w:r>
      <w:r w:rsidR="000462C9" w:rsidRPr="002C1853">
        <w:rPr>
          <w:rFonts w:cs="Arial"/>
          <w:sz w:val="16"/>
          <w:szCs w:val="16"/>
        </w:rPr>
        <w:t>.</w:t>
      </w:r>
    </w:p>
    <w:p w14:paraId="3B56DC41" w14:textId="77777777" w:rsidR="00C9100B" w:rsidRPr="002C1853" w:rsidRDefault="00C9100B" w:rsidP="00C9100B">
      <w:pPr>
        <w:spacing w:before="160" w:after="60" w:line="240" w:lineRule="auto"/>
        <w:ind w:left="284" w:hanging="284"/>
        <w:contextualSpacing/>
        <w:rPr>
          <w:rFonts w:cs="Arial"/>
          <w:sz w:val="16"/>
          <w:szCs w:val="16"/>
        </w:rPr>
      </w:pPr>
      <w:r w:rsidRPr="002C1853">
        <w:rPr>
          <w:rFonts w:cs="Arial"/>
          <w:sz w:val="16"/>
          <w:szCs w:val="16"/>
        </w:rPr>
        <w:t>c</w:t>
      </w:r>
      <w:r w:rsidRPr="002C1853">
        <w:rPr>
          <w:rFonts w:cs="Arial"/>
          <w:sz w:val="16"/>
          <w:szCs w:val="16"/>
        </w:rPr>
        <w:tab/>
        <w:t>Policy settings requiring finalisation before end of transition have been designed and are being implemented. Full scheme agreements with NSW, SA, VIC, TAS, NT and ACT embed enduring arrangements for the NDIS in those states and territories. Bilateral transition agreements remain in place for QLD and WA.</w:t>
      </w:r>
    </w:p>
    <w:p w14:paraId="0E4C6FF9" w14:textId="77777777" w:rsidR="00C9100B" w:rsidRPr="002C1853" w:rsidRDefault="00C9100B" w:rsidP="00C9100B">
      <w:pPr>
        <w:spacing w:before="160" w:after="60" w:line="240" w:lineRule="auto"/>
        <w:ind w:left="284" w:hanging="284"/>
        <w:contextualSpacing/>
        <w:rPr>
          <w:rFonts w:cs="Arial"/>
          <w:sz w:val="16"/>
          <w:szCs w:val="16"/>
        </w:rPr>
      </w:pPr>
      <w:r w:rsidRPr="002C1853">
        <w:rPr>
          <w:rFonts w:cs="Arial"/>
          <w:sz w:val="16"/>
          <w:szCs w:val="16"/>
        </w:rPr>
        <w:t>d</w:t>
      </w:r>
      <w:r w:rsidRPr="002C1853">
        <w:rPr>
          <w:rFonts w:cs="Arial"/>
          <w:sz w:val="16"/>
          <w:szCs w:val="16"/>
        </w:rPr>
        <w:tab/>
        <w:t>Policy settings requiring finalisation before end of transition are being designed and implemented. Reaching agreement with WA to join the nationally delivered NDIS makes it a truly national scheme. Full scheme agreements with NSW and SA embed enduring arrangements for the NDIS in those states.</w:t>
      </w:r>
    </w:p>
    <w:p w14:paraId="25706C70" w14:textId="77777777" w:rsidR="00C9100B" w:rsidRPr="002C1853" w:rsidRDefault="00C9100B" w:rsidP="00C9100B">
      <w:pPr>
        <w:spacing w:before="160" w:after="60" w:line="240" w:lineRule="auto"/>
        <w:ind w:left="284" w:hanging="284"/>
        <w:contextualSpacing/>
        <w:rPr>
          <w:rFonts w:eastAsia="Times New Roman"/>
          <w:spacing w:val="4"/>
          <w:sz w:val="16"/>
          <w:szCs w:val="16"/>
          <w:lang w:val="en-GB"/>
        </w:rPr>
      </w:pPr>
      <w:r w:rsidRPr="002C1853">
        <w:rPr>
          <w:rFonts w:cs="Arial"/>
          <w:sz w:val="16"/>
          <w:szCs w:val="16"/>
        </w:rPr>
        <w:t>e</w:t>
      </w:r>
      <w:r w:rsidRPr="002C1853">
        <w:rPr>
          <w:rFonts w:cs="Arial"/>
          <w:sz w:val="16"/>
          <w:szCs w:val="16"/>
        </w:rPr>
        <w:tab/>
        <w:t>T</w:t>
      </w:r>
      <w:r w:rsidRPr="002C1853">
        <w:rPr>
          <w:rFonts w:eastAsia="Times New Roman"/>
          <w:spacing w:val="4"/>
          <w:sz w:val="16"/>
          <w:szCs w:val="16"/>
          <w:lang w:val="en-GB"/>
        </w:rPr>
        <w:t>he funding mechanism is agreed and is in place for all jurisdictions transitioning to full scheme NDIS.</w:t>
      </w:r>
    </w:p>
    <w:p w14:paraId="64FCDB61" w14:textId="44F25AFD" w:rsidR="00C9100B" w:rsidRPr="002C1853" w:rsidRDefault="00C9100B" w:rsidP="00C9100B">
      <w:pPr>
        <w:spacing w:before="160" w:after="60" w:line="240" w:lineRule="auto"/>
        <w:ind w:left="284" w:hanging="284"/>
        <w:contextualSpacing/>
        <w:rPr>
          <w:rFonts w:eastAsia="Times New Roman"/>
          <w:spacing w:val="4"/>
          <w:sz w:val="16"/>
          <w:szCs w:val="16"/>
          <w:lang w:val="en-GB"/>
        </w:rPr>
      </w:pPr>
      <w:r w:rsidRPr="002C1853">
        <w:rPr>
          <w:rFonts w:eastAsia="Times New Roman"/>
          <w:spacing w:val="4"/>
          <w:sz w:val="16"/>
          <w:szCs w:val="16"/>
          <w:lang w:val="en-GB"/>
        </w:rPr>
        <w:t>f</w:t>
      </w:r>
      <w:r w:rsidRPr="002C1853">
        <w:rPr>
          <w:rFonts w:eastAsia="Times New Roman"/>
          <w:spacing w:val="4"/>
          <w:sz w:val="16"/>
          <w:szCs w:val="16"/>
          <w:lang w:val="en-GB"/>
        </w:rPr>
        <w:tab/>
        <w:t>Full scheme agreements with NSW, VIC, QLD, SA, TAS, ACT and NT embed enduring arrangements for the NDIS in those states and territories. A bilateral transition agreement remains in place</w:t>
      </w:r>
      <w:r w:rsidR="009C386A">
        <w:rPr>
          <w:rFonts w:eastAsia="Times New Roman"/>
          <w:spacing w:val="4"/>
          <w:sz w:val="16"/>
          <w:szCs w:val="16"/>
          <w:lang w:val="en-GB"/>
        </w:rPr>
        <w:t xml:space="preserve"> for</w:t>
      </w:r>
      <w:r w:rsidRPr="002C1853">
        <w:rPr>
          <w:rFonts w:eastAsia="Times New Roman"/>
          <w:spacing w:val="4"/>
          <w:sz w:val="16"/>
          <w:szCs w:val="16"/>
          <w:lang w:val="en-GB"/>
        </w:rPr>
        <w:t xml:space="preserve"> WA. QLD continues under a bilateral transition agreement until its full scheme agreement comes into effect no later than 1 January 2021.</w:t>
      </w:r>
    </w:p>
    <w:p w14:paraId="5378F825" w14:textId="77777777" w:rsidR="00C9100B" w:rsidRPr="002C1853" w:rsidRDefault="00C9100B" w:rsidP="00C9100B">
      <w:pPr>
        <w:spacing w:before="160" w:after="60" w:line="240" w:lineRule="auto"/>
        <w:ind w:left="284" w:hanging="284"/>
        <w:contextualSpacing/>
        <w:rPr>
          <w:rFonts w:eastAsia="Times New Roman"/>
          <w:spacing w:val="4"/>
          <w:sz w:val="16"/>
          <w:szCs w:val="16"/>
          <w:lang w:val="en-GB"/>
        </w:rPr>
      </w:pPr>
      <w:r w:rsidRPr="002C1853">
        <w:rPr>
          <w:rFonts w:eastAsia="Times New Roman"/>
          <w:spacing w:val="4"/>
          <w:sz w:val="16"/>
          <w:szCs w:val="16"/>
          <w:lang w:val="en-GB"/>
        </w:rPr>
        <w:t>g</w:t>
      </w:r>
      <w:r w:rsidRPr="002C1853">
        <w:rPr>
          <w:rFonts w:eastAsia="Times New Roman"/>
          <w:spacing w:val="4"/>
          <w:sz w:val="16"/>
          <w:szCs w:val="16"/>
          <w:lang w:val="en-GB"/>
        </w:rPr>
        <w:tab/>
        <w:t>Full scheme agreements with enduring funding and governance arrangements are in place for NSW, SA, VIC, TAS, NT and ACT. Negotiations with QLD were in their final stages at the end of the reporting period. Bilateral transition agreements remain in place for QLD and WA.</w:t>
      </w:r>
    </w:p>
    <w:p w14:paraId="62D49076" w14:textId="77777777" w:rsidR="00C9100B" w:rsidRPr="002C1853" w:rsidRDefault="00C9100B" w:rsidP="00C9100B">
      <w:pPr>
        <w:spacing w:before="160" w:after="60" w:line="240" w:lineRule="auto"/>
        <w:ind w:left="284" w:hanging="284"/>
        <w:contextualSpacing/>
        <w:rPr>
          <w:rFonts w:ascii="Arial Narrow" w:eastAsia="Times New Roman" w:hAnsi="Arial Narrow" w:cstheme="minorHAnsi"/>
          <w:b/>
          <w:bCs/>
          <w:spacing w:val="4"/>
          <w:sz w:val="20"/>
          <w:szCs w:val="18"/>
          <w:lang w:eastAsia="en-AU"/>
        </w:rPr>
      </w:pPr>
      <w:r w:rsidRPr="002C1853">
        <w:rPr>
          <w:rFonts w:eastAsia="Times New Roman"/>
          <w:spacing w:val="4"/>
          <w:sz w:val="16"/>
          <w:szCs w:val="16"/>
          <w:lang w:val="en-GB"/>
        </w:rPr>
        <w:t>h</w:t>
      </w:r>
      <w:r w:rsidRPr="002C1853">
        <w:rPr>
          <w:rFonts w:eastAsia="Times New Roman"/>
          <w:spacing w:val="4"/>
          <w:sz w:val="16"/>
          <w:szCs w:val="16"/>
          <w:lang w:val="en-GB"/>
        </w:rPr>
        <w:tab/>
        <w:t>Bilateral transition agreements are in place for all states and territories including WA, which agreed to join the nationally delivered scheme in December 2017.</w:t>
      </w:r>
    </w:p>
    <w:p w14:paraId="753F9439" w14:textId="77777777" w:rsidR="00715F6F" w:rsidRDefault="00715F6F">
      <w:pPr>
        <w:rPr>
          <w:rFonts w:ascii="Georgia" w:eastAsiaTheme="majorEastAsia" w:hAnsi="Georgia" w:cstheme="majorBidi"/>
          <w:bCs/>
          <w:iCs/>
          <w:color w:val="00B0B9"/>
          <w:sz w:val="36"/>
        </w:rPr>
        <w:sectPr w:rsidR="00715F6F" w:rsidSect="00A94724">
          <w:footnotePr>
            <w:numRestart w:val="eachPage"/>
          </w:footnotePr>
          <w:pgSz w:w="11906" w:h="16838"/>
          <w:pgMar w:top="1440" w:right="1440" w:bottom="1440" w:left="1440" w:header="709" w:footer="709" w:gutter="0"/>
          <w:cols w:space="708"/>
          <w:docGrid w:linePitch="360"/>
        </w:sectPr>
      </w:pPr>
    </w:p>
    <w:p w14:paraId="0FB6E3B9" w14:textId="256EE115" w:rsidR="00C9100B" w:rsidRPr="00054A67" w:rsidRDefault="00C9100B" w:rsidP="00C9100B">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lastRenderedPageBreak/>
        <w:t>Performance Analysis of Outcome 3 Programs</w:t>
      </w:r>
    </w:p>
    <w:p w14:paraId="764AF669" w14:textId="246DB38D" w:rsidR="00C9100B" w:rsidRPr="0042003D" w:rsidRDefault="00C9100B" w:rsidP="00C9100B">
      <w:pPr>
        <w:rPr>
          <w:sz w:val="20"/>
        </w:rPr>
      </w:pPr>
      <w:r w:rsidRPr="0042003D">
        <w:rPr>
          <w:sz w:val="20"/>
        </w:rPr>
        <w:t>For Outcome 3 programs our performance criteria (as outlined in the 2019–20 Portfolio Budget Statement</w:t>
      </w:r>
      <w:r w:rsidR="00715789">
        <w:rPr>
          <w:sz w:val="20"/>
        </w:rPr>
        <w:t>s</w:t>
      </w:r>
      <w:r w:rsidRPr="0042003D">
        <w:rPr>
          <w:sz w:val="20"/>
        </w:rPr>
        <w:t xml:space="preserve">) </w:t>
      </w:r>
      <w:r w:rsidRPr="00CC594E">
        <w:rPr>
          <w:sz w:val="20"/>
          <w:szCs w:val="20"/>
        </w:rPr>
        <w:t xml:space="preserve">are primarily </w:t>
      </w:r>
      <w:r w:rsidRPr="0042003D">
        <w:rPr>
          <w:sz w:val="20"/>
        </w:rPr>
        <w:t xml:space="preserve">about having agreements in place. This is specifically related to the services and program outcomes for developing capabilities and active participation in the disability sector. </w:t>
      </w:r>
    </w:p>
    <w:p w14:paraId="34DC21EA" w14:textId="77777777" w:rsidR="00C9100B" w:rsidRPr="0042003D" w:rsidRDefault="00C9100B" w:rsidP="00C9100B">
      <w:pPr>
        <w:rPr>
          <w:sz w:val="20"/>
        </w:rPr>
      </w:pPr>
      <w:r w:rsidRPr="00CC594E">
        <w:rPr>
          <w:sz w:val="20"/>
          <w:szCs w:val="20"/>
        </w:rPr>
        <w:t>Services delivered under these arrangements include</w:t>
      </w:r>
      <w:r w:rsidRPr="0042003D">
        <w:rPr>
          <w:sz w:val="20"/>
        </w:rPr>
        <w:t xml:space="preserve"> employment assistance to people with disability, direct advocacy support to people with disability, support to carers, support </w:t>
      </w:r>
      <w:r w:rsidRPr="00CC594E">
        <w:rPr>
          <w:sz w:val="20"/>
          <w:szCs w:val="20"/>
        </w:rPr>
        <w:t>for community based</w:t>
      </w:r>
      <w:r w:rsidRPr="0042003D">
        <w:rPr>
          <w:sz w:val="20"/>
        </w:rPr>
        <w:t xml:space="preserve"> initiatives to assist people with, or at risk of, mental illness and national leadership and representation services to build capacity within the disability, carers or community health sectors.</w:t>
      </w:r>
      <w:r w:rsidRPr="00CC594E">
        <w:rPr>
          <w:sz w:val="20"/>
          <w:szCs w:val="20"/>
        </w:rPr>
        <w:t xml:space="preserve"> Service level standards and expectations to improve independence and participation of people with disability and their </w:t>
      </w:r>
      <w:proofErr w:type="spellStart"/>
      <w:r w:rsidRPr="00CC594E">
        <w:rPr>
          <w:sz w:val="20"/>
          <w:szCs w:val="20"/>
        </w:rPr>
        <w:t>carers</w:t>
      </w:r>
      <w:proofErr w:type="spellEnd"/>
      <w:r w:rsidRPr="00CC594E">
        <w:rPr>
          <w:sz w:val="20"/>
          <w:szCs w:val="20"/>
        </w:rPr>
        <w:t xml:space="preserve"> are contained within the relevant funding agreements.</w:t>
      </w:r>
    </w:p>
    <w:p w14:paraId="7C0DECF0" w14:textId="19A1C6A3" w:rsidR="00C9100B" w:rsidRPr="0042003D" w:rsidRDefault="00C9100B" w:rsidP="00C9100B">
      <w:pPr>
        <w:rPr>
          <w:sz w:val="20"/>
        </w:rPr>
      </w:pPr>
      <w:r w:rsidRPr="0042003D">
        <w:rPr>
          <w:sz w:val="20"/>
        </w:rPr>
        <w:t xml:space="preserve">In the context of the NDIS the arrangements are focused on the policy, financial and partnerships with states and territories. The effectiveness of achieving these arrangements was </w:t>
      </w:r>
      <w:r w:rsidR="009C386A">
        <w:rPr>
          <w:sz w:val="20"/>
        </w:rPr>
        <w:t xml:space="preserve">through </w:t>
      </w:r>
      <w:r w:rsidRPr="0042003D">
        <w:rPr>
          <w:sz w:val="20"/>
        </w:rPr>
        <w:t>monitoring timely and effective policy advice, appropriate management of NDIS cash flow and strategic implementation issues being identified and resolved.</w:t>
      </w:r>
    </w:p>
    <w:p w14:paraId="3D47B8B6" w14:textId="477AD7FD" w:rsidR="00C9100B" w:rsidRPr="0042003D" w:rsidRDefault="00C9100B" w:rsidP="00C9100B">
      <w:pPr>
        <w:rPr>
          <w:sz w:val="20"/>
        </w:rPr>
      </w:pPr>
      <w:r w:rsidRPr="0042003D">
        <w:rPr>
          <w:sz w:val="20"/>
        </w:rPr>
        <w:t xml:space="preserve">In </w:t>
      </w:r>
      <w:r w:rsidR="00700B0E">
        <w:rPr>
          <w:sz w:val="20"/>
        </w:rPr>
        <w:t>this</w:t>
      </w:r>
      <w:r w:rsidRPr="0042003D">
        <w:rPr>
          <w:sz w:val="20"/>
        </w:rPr>
        <w:t xml:space="preserve"> financial year</w:t>
      </w:r>
      <w:r w:rsidR="0094163C">
        <w:rPr>
          <w:sz w:val="20"/>
        </w:rPr>
        <w:t>,</w:t>
      </w:r>
      <w:r w:rsidRPr="0042003D">
        <w:rPr>
          <w:sz w:val="20"/>
        </w:rPr>
        <w:t xml:space="preserve"> these arrangements were essential, for example with COVID-19 it enabled</w:t>
      </w:r>
      <w:r w:rsidR="00700B0E">
        <w:rPr>
          <w:sz w:val="20"/>
        </w:rPr>
        <w:t xml:space="preserve"> personal</w:t>
      </w:r>
      <w:r w:rsidRPr="0042003D">
        <w:rPr>
          <w:sz w:val="20"/>
        </w:rPr>
        <w:t xml:space="preserve"> protective equipment and support to be directed and targeted appropriately.</w:t>
      </w:r>
    </w:p>
    <w:p w14:paraId="0385EBF9" w14:textId="77777777" w:rsidR="00C9100B" w:rsidRDefault="00C9100B" w:rsidP="00C9100B">
      <w:pPr>
        <w:rPr>
          <w:sz w:val="20"/>
          <w:szCs w:val="20"/>
        </w:rPr>
      </w:pPr>
      <w:r w:rsidRPr="0042003D">
        <w:rPr>
          <w:sz w:val="20"/>
        </w:rPr>
        <w:t>In addition to the above,</w:t>
      </w:r>
      <w:r w:rsidRPr="00CC594E">
        <w:rPr>
          <w:sz w:val="20"/>
          <w:szCs w:val="20"/>
        </w:rPr>
        <w:t xml:space="preserve"> for</w:t>
      </w:r>
      <w:r w:rsidRPr="0042003D">
        <w:rPr>
          <w:sz w:val="20"/>
        </w:rPr>
        <w:t xml:space="preserve"> 2020–21, the program performance will be focused on measuring the effectiveness of the services delivered by the organisations by seeking responses from the users of the services. In addition we will be measuring the impact of strategy development through engagement with stakeholders for the National Disability Strategy and the delivery of services for NDIS clients.</w:t>
      </w:r>
    </w:p>
    <w:p w14:paraId="12715DA7" w14:textId="77777777" w:rsidR="00715F6F" w:rsidRDefault="00715F6F" w:rsidP="00C9100B">
      <w:pPr>
        <w:rPr>
          <w:sz w:val="20"/>
          <w:szCs w:val="20"/>
        </w:rPr>
        <w:sectPr w:rsidR="00715F6F" w:rsidSect="00A94724">
          <w:footnotePr>
            <w:numRestart w:val="eachPage"/>
          </w:footnotePr>
          <w:pgSz w:w="11906" w:h="16838"/>
          <w:pgMar w:top="1440" w:right="1440" w:bottom="1440" w:left="1440" w:header="709" w:footer="709" w:gutter="0"/>
          <w:cols w:space="708"/>
          <w:docGrid w:linePitch="360"/>
        </w:sectPr>
      </w:pPr>
    </w:p>
    <w:p w14:paraId="5EDCEEBB" w14:textId="77777777" w:rsidR="00C9100B" w:rsidRPr="00054A67" w:rsidRDefault="00C9100B" w:rsidP="00C9100B">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lastRenderedPageBreak/>
        <w:t>Performance Results of Key Activities</w:t>
      </w:r>
    </w:p>
    <w:p w14:paraId="5CBF5AF1" w14:textId="77777777" w:rsidR="00C9100B" w:rsidRPr="002C1853" w:rsidRDefault="00C9100B" w:rsidP="00C9100B">
      <w:pPr>
        <w:rPr>
          <w:rFonts w:cs="Arial"/>
          <w:sz w:val="20"/>
          <w:szCs w:val="20"/>
        </w:rPr>
      </w:pPr>
      <w:r w:rsidRPr="002C1853">
        <w:rPr>
          <w:rFonts w:cs="Arial"/>
          <w:sz w:val="20"/>
          <w:szCs w:val="20"/>
        </w:rPr>
        <w:t>This section describes the performance of the key activities in Outcome 3. The table below outlines our Corporate Plan performance criteria and indicators for Outcome 3, which show how we intend to measure what we achieved, how well we did, and how much we did. Not all activities report against every performance criterion.</w:t>
      </w:r>
    </w:p>
    <w:p w14:paraId="3410B5AE" w14:textId="77777777" w:rsidR="00C9100B" w:rsidRDefault="00C9100B" w:rsidP="00C9100B">
      <w:pPr>
        <w:keepNext/>
        <w:spacing w:before="240" w:after="0" w:line="260" w:lineRule="atLeast"/>
        <w:ind w:right="425"/>
        <w:rPr>
          <w:rFonts w:ascii="Arial Narrow" w:eastAsia="Times New Roman" w:hAnsi="Arial Narrow" w:cs="Times New Roman"/>
          <w:b/>
          <w:bCs/>
          <w:spacing w:val="4"/>
          <w:sz w:val="20"/>
          <w:szCs w:val="18"/>
          <w:lang w:eastAsia="en-AU"/>
        </w:rPr>
      </w:pPr>
      <w:r w:rsidRPr="002C1853">
        <w:rPr>
          <w:rFonts w:ascii="Arial Narrow" w:eastAsia="Times New Roman" w:hAnsi="Arial Narrow" w:cs="Times New Roman"/>
          <w:b/>
          <w:bCs/>
          <w:spacing w:val="4"/>
          <w:sz w:val="20"/>
          <w:szCs w:val="18"/>
          <w:lang w:eastAsia="en-AU"/>
        </w:rPr>
        <w:t xml:space="preserve">Table 2.3.3: Performance criteria for </w:t>
      </w:r>
      <w:r>
        <w:rPr>
          <w:rFonts w:ascii="Arial Narrow" w:eastAsia="Times New Roman" w:hAnsi="Arial Narrow" w:cs="Times New Roman"/>
          <w:b/>
          <w:bCs/>
          <w:spacing w:val="4"/>
          <w:sz w:val="20"/>
          <w:szCs w:val="18"/>
          <w:lang w:eastAsia="en-AU"/>
        </w:rPr>
        <w:t>Purpose 3 Disability and Carers</w:t>
      </w:r>
    </w:p>
    <w:p w14:paraId="00169DCB" w14:textId="77777777" w:rsidR="00C9100B" w:rsidRPr="009C404B" w:rsidRDefault="00C9100B" w:rsidP="00C9100B">
      <w:pPr>
        <w:tabs>
          <w:tab w:val="left" w:pos="1843"/>
        </w:tabs>
        <w:spacing w:before="40" w:after="40"/>
        <w:rPr>
          <w:rFonts w:ascii="Arial Narrow" w:eastAsia="Times New Roman" w:hAnsi="Arial Narrow" w:cs="Times New Roman"/>
          <w:b/>
          <w:bCs/>
          <w:i/>
          <w:spacing w:val="4"/>
          <w:sz w:val="20"/>
          <w:szCs w:val="18"/>
          <w:lang w:eastAsia="en-AU"/>
        </w:rPr>
      </w:pPr>
      <w:r w:rsidRPr="009C404B">
        <w:rPr>
          <w:rFonts w:cs="Arial"/>
          <w:i/>
          <w:sz w:val="16"/>
          <w:szCs w:val="16"/>
        </w:rPr>
        <w:t>Programs</w:t>
      </w:r>
      <w:r>
        <w:rPr>
          <w:rFonts w:cs="Arial"/>
          <w:i/>
          <w:sz w:val="16"/>
          <w:szCs w:val="16"/>
        </w:rPr>
        <w:t xml:space="preserve">: </w:t>
      </w:r>
      <w:r w:rsidRPr="009C404B">
        <w:rPr>
          <w:rFonts w:cs="Arial"/>
          <w:i/>
          <w:sz w:val="16"/>
          <w:szCs w:val="16"/>
        </w:rPr>
        <w:t>3.1 Disability, Mental Health and Carers</w:t>
      </w:r>
      <w:r>
        <w:rPr>
          <w:rFonts w:cs="Arial"/>
          <w:i/>
          <w:sz w:val="16"/>
          <w:szCs w:val="16"/>
        </w:rPr>
        <w:t xml:space="preserve">; </w:t>
      </w:r>
      <w:r w:rsidRPr="009C404B">
        <w:rPr>
          <w:rFonts w:cs="Arial"/>
          <w:i/>
          <w:sz w:val="16"/>
          <w:szCs w:val="16"/>
        </w:rPr>
        <w:t>3.2 National Disability Insurance Scheme</w:t>
      </w:r>
      <w:r>
        <w:rPr>
          <w:rFonts w:cs="Arial"/>
          <w:i/>
          <w:sz w:val="16"/>
          <w:szCs w:val="16"/>
        </w:rPr>
        <w:t xml:space="preserve">; </w:t>
      </w:r>
      <w:r w:rsidRPr="009C404B">
        <w:rPr>
          <w:rFonts w:cs="Arial"/>
          <w:i/>
          <w:sz w:val="16"/>
          <w:szCs w:val="16"/>
        </w:rPr>
        <w:t>XP Cross Program</w:t>
      </w:r>
    </w:p>
    <w:tbl>
      <w:tblPr>
        <w:tblStyle w:val="TableGrid11"/>
        <w:tblW w:w="5000" w:type="pct"/>
        <w:tblInd w:w="18" w:type="dxa"/>
        <w:tblLook w:val="04A0" w:firstRow="1" w:lastRow="0" w:firstColumn="1" w:lastColumn="0" w:noHBand="0" w:noVBand="1"/>
        <w:tblCaption w:val="Table 2.3.3: Performance Criteria for Purpose 3 Disability and Carers"/>
        <w:tblDescription w:val="Table 2.3.3: Performance Criteria for Purpose 3 Disability and Carers"/>
      </w:tblPr>
      <w:tblGrid>
        <w:gridCol w:w="1386"/>
        <w:gridCol w:w="1645"/>
        <w:gridCol w:w="3493"/>
        <w:gridCol w:w="1138"/>
        <w:gridCol w:w="1354"/>
      </w:tblGrid>
      <w:tr w:rsidR="00C9100B" w:rsidRPr="002C1853" w14:paraId="6E785B4E" w14:textId="77777777" w:rsidTr="007F2601">
        <w:trPr>
          <w:trHeight w:val="340"/>
        </w:trPr>
        <w:tc>
          <w:tcPr>
            <w:tcW w:w="769" w:type="pct"/>
            <w:shd w:val="clear" w:color="auto" w:fill="215868" w:themeFill="accent5" w:themeFillShade="80"/>
          </w:tcPr>
          <w:p w14:paraId="7EB03674" w14:textId="77777777" w:rsidR="00C9100B" w:rsidRPr="007F2601" w:rsidRDefault="00C9100B" w:rsidP="00E117FD">
            <w:pPr>
              <w:keepNext/>
              <w:keepLines/>
              <w:spacing w:before="40" w:after="40"/>
              <w:jc w:val="center"/>
              <w:rPr>
                <w:color w:val="FFFFFF" w:themeColor="background1"/>
                <w:sz w:val="16"/>
                <w:szCs w:val="16"/>
              </w:rPr>
            </w:pPr>
            <w:r w:rsidRPr="007F2601">
              <w:rPr>
                <w:color w:val="FFFFFF" w:themeColor="background1"/>
                <w:sz w:val="16"/>
                <w:szCs w:val="16"/>
              </w:rPr>
              <w:t>Measure Hierarchy</w:t>
            </w:r>
          </w:p>
        </w:tc>
        <w:tc>
          <w:tcPr>
            <w:tcW w:w="912" w:type="pct"/>
            <w:shd w:val="clear" w:color="auto" w:fill="215868" w:themeFill="accent5" w:themeFillShade="80"/>
            <w:hideMark/>
          </w:tcPr>
          <w:p w14:paraId="49260BCF" w14:textId="77777777" w:rsidR="00C9100B" w:rsidRPr="007F2601" w:rsidRDefault="00C9100B" w:rsidP="00E117FD">
            <w:pPr>
              <w:keepNext/>
              <w:keepLines/>
              <w:spacing w:before="40" w:after="40"/>
              <w:jc w:val="center"/>
              <w:rPr>
                <w:color w:val="FFFFFF" w:themeColor="background1"/>
                <w:sz w:val="16"/>
                <w:szCs w:val="16"/>
              </w:rPr>
            </w:pPr>
            <w:r w:rsidRPr="007F2601">
              <w:rPr>
                <w:color w:val="FFFFFF" w:themeColor="background1"/>
                <w:sz w:val="16"/>
                <w:szCs w:val="16"/>
              </w:rPr>
              <w:t>Performance criteria</w:t>
            </w:r>
          </w:p>
        </w:tc>
        <w:tc>
          <w:tcPr>
            <w:tcW w:w="1937" w:type="pct"/>
            <w:shd w:val="clear" w:color="auto" w:fill="215868" w:themeFill="accent5" w:themeFillShade="80"/>
            <w:hideMark/>
          </w:tcPr>
          <w:p w14:paraId="539FDBA4" w14:textId="77777777" w:rsidR="00C9100B" w:rsidRPr="007F2601" w:rsidRDefault="00C9100B" w:rsidP="00E117FD">
            <w:pPr>
              <w:keepNext/>
              <w:keepLines/>
              <w:spacing w:before="40" w:after="40"/>
              <w:jc w:val="center"/>
              <w:rPr>
                <w:color w:val="FFFFFF" w:themeColor="background1"/>
                <w:sz w:val="16"/>
                <w:szCs w:val="16"/>
              </w:rPr>
            </w:pPr>
            <w:r w:rsidRPr="007F2601">
              <w:rPr>
                <w:color w:val="FFFFFF" w:themeColor="background1"/>
                <w:sz w:val="16"/>
                <w:szCs w:val="16"/>
              </w:rPr>
              <w:t>Indicator/Output</w:t>
            </w:r>
          </w:p>
        </w:tc>
        <w:tc>
          <w:tcPr>
            <w:tcW w:w="631" w:type="pct"/>
            <w:shd w:val="clear" w:color="auto" w:fill="215868" w:themeFill="accent5" w:themeFillShade="80"/>
          </w:tcPr>
          <w:p w14:paraId="36B9FB72" w14:textId="77777777" w:rsidR="00C9100B" w:rsidRPr="007F2601" w:rsidRDefault="00C9100B" w:rsidP="00E117FD">
            <w:pPr>
              <w:keepNext/>
              <w:keepLines/>
              <w:spacing w:before="40" w:after="40"/>
              <w:jc w:val="center"/>
              <w:rPr>
                <w:color w:val="FFFFFF" w:themeColor="background1"/>
                <w:sz w:val="16"/>
                <w:szCs w:val="16"/>
              </w:rPr>
            </w:pPr>
            <w:r w:rsidRPr="007F2601">
              <w:rPr>
                <w:color w:val="FFFFFF" w:themeColor="background1"/>
                <w:sz w:val="16"/>
                <w:szCs w:val="16"/>
              </w:rPr>
              <w:t>Program Reference</w:t>
            </w:r>
          </w:p>
        </w:tc>
        <w:tc>
          <w:tcPr>
            <w:tcW w:w="751" w:type="pct"/>
            <w:shd w:val="clear" w:color="auto" w:fill="215868" w:themeFill="accent5" w:themeFillShade="80"/>
          </w:tcPr>
          <w:p w14:paraId="17F0083A" w14:textId="77777777" w:rsidR="00C9100B" w:rsidRPr="007F2601" w:rsidRDefault="00C9100B" w:rsidP="00E117FD">
            <w:pPr>
              <w:keepNext/>
              <w:keepLines/>
              <w:spacing w:before="40" w:after="40"/>
              <w:jc w:val="center"/>
              <w:rPr>
                <w:color w:val="FFFFFF" w:themeColor="background1"/>
                <w:sz w:val="16"/>
                <w:szCs w:val="16"/>
              </w:rPr>
            </w:pPr>
            <w:r w:rsidRPr="007F2601">
              <w:rPr>
                <w:color w:val="FFFFFF" w:themeColor="background1"/>
                <w:sz w:val="16"/>
                <w:szCs w:val="16"/>
              </w:rPr>
              <w:t>Results Table Index</w:t>
            </w:r>
          </w:p>
        </w:tc>
      </w:tr>
      <w:tr w:rsidR="00C9100B" w:rsidRPr="002C1853" w14:paraId="4618F7B7" w14:textId="77777777" w:rsidTr="00ED2244">
        <w:trPr>
          <w:trHeight w:val="62"/>
        </w:trPr>
        <w:tc>
          <w:tcPr>
            <w:tcW w:w="769" w:type="pct"/>
            <w:vMerge w:val="restart"/>
            <w:shd w:val="clear" w:color="auto" w:fill="005A70"/>
            <w:hideMark/>
          </w:tcPr>
          <w:p w14:paraId="1A53AF0F" w14:textId="77777777" w:rsidR="00C9100B" w:rsidRPr="00ED2244" w:rsidRDefault="00C9100B" w:rsidP="00E117FD">
            <w:pPr>
              <w:keepNext/>
              <w:keepLines/>
              <w:spacing w:beforeLines="20" w:before="48" w:afterLines="20" w:after="48"/>
              <w:rPr>
                <w:rFonts w:cs="Arial"/>
                <w:b/>
                <w:color w:val="FFFFFF" w:themeColor="background1"/>
                <w:sz w:val="16"/>
                <w:szCs w:val="16"/>
              </w:rPr>
            </w:pPr>
            <w:r w:rsidRPr="00ED2244">
              <w:rPr>
                <w:rFonts w:cs="Arial"/>
                <w:b/>
                <w:color w:val="FFFFFF" w:themeColor="background1"/>
                <w:sz w:val="16"/>
                <w:szCs w:val="16"/>
              </w:rPr>
              <w:t>Outcome — What did we achieve?</w:t>
            </w:r>
          </w:p>
        </w:tc>
        <w:tc>
          <w:tcPr>
            <w:tcW w:w="912" w:type="pct"/>
            <w:vMerge w:val="restart"/>
            <w:shd w:val="clear" w:color="auto" w:fill="00B0B9"/>
            <w:hideMark/>
          </w:tcPr>
          <w:p w14:paraId="176F7F56" w14:textId="77777777" w:rsidR="00C9100B" w:rsidRPr="007F2601" w:rsidRDefault="00C9100B" w:rsidP="00E117FD">
            <w:pPr>
              <w:keepNext/>
              <w:keepLines/>
              <w:spacing w:beforeLines="20" w:before="48" w:afterLines="20" w:after="48"/>
              <w:rPr>
                <w:rFonts w:cs="Arial"/>
                <w:b/>
                <w:sz w:val="16"/>
                <w:szCs w:val="16"/>
              </w:rPr>
            </w:pPr>
            <w:r w:rsidRPr="007F2601">
              <w:rPr>
                <w:rFonts w:cs="Arial"/>
                <w:b/>
                <w:sz w:val="16"/>
                <w:szCs w:val="16"/>
              </w:rPr>
              <w:t>C3.1 – Extent of improved independence and participation</w:t>
            </w:r>
          </w:p>
        </w:tc>
        <w:tc>
          <w:tcPr>
            <w:tcW w:w="1937" w:type="pct"/>
            <w:shd w:val="clear" w:color="auto" w:fill="D9D9D9" w:themeFill="background1" w:themeFillShade="D9"/>
          </w:tcPr>
          <w:p w14:paraId="2B74B227" w14:textId="77777777" w:rsidR="00C9100B" w:rsidRPr="002C1853" w:rsidRDefault="00C9100B" w:rsidP="00E117FD">
            <w:pPr>
              <w:keepNext/>
              <w:keepLines/>
              <w:spacing w:beforeLines="20" w:before="48" w:afterLines="20" w:after="48"/>
              <w:rPr>
                <w:rFonts w:cs="Arial"/>
                <w:sz w:val="16"/>
                <w:szCs w:val="16"/>
              </w:rPr>
            </w:pPr>
            <w:r w:rsidRPr="002C1853">
              <w:rPr>
                <w:rFonts w:cs="Arial"/>
                <w:sz w:val="16"/>
                <w:szCs w:val="16"/>
              </w:rPr>
              <w:t>C3.1.1</w:t>
            </w:r>
            <w:r>
              <w:rPr>
                <w:rFonts w:cs="Arial"/>
                <w:sz w:val="16"/>
                <w:szCs w:val="16"/>
              </w:rPr>
              <w:t xml:space="preserve"> –</w:t>
            </w:r>
            <w:r w:rsidRPr="002C1853">
              <w:rPr>
                <w:rFonts w:cs="Arial"/>
                <w:sz w:val="16"/>
                <w:szCs w:val="16"/>
              </w:rPr>
              <w:t xml:space="preserve"> Number of people supported to achieve at least 6 months employment at their work capacity in Disability Employment Services</w:t>
            </w:r>
          </w:p>
        </w:tc>
        <w:tc>
          <w:tcPr>
            <w:tcW w:w="631" w:type="pct"/>
            <w:shd w:val="clear" w:color="auto" w:fill="D9D9D9" w:themeFill="background1" w:themeFillShade="D9"/>
          </w:tcPr>
          <w:p w14:paraId="36E34694" w14:textId="77777777" w:rsidR="00C9100B" w:rsidRPr="002C1853" w:rsidRDefault="00C9100B" w:rsidP="00E117FD">
            <w:pPr>
              <w:keepNext/>
              <w:keepLines/>
              <w:spacing w:beforeLines="20" w:before="48" w:afterLines="20" w:after="48"/>
              <w:rPr>
                <w:rFonts w:cs="Arial"/>
                <w:sz w:val="16"/>
                <w:szCs w:val="16"/>
              </w:rPr>
            </w:pPr>
            <w:r>
              <w:rPr>
                <w:rFonts w:cs="Arial"/>
                <w:sz w:val="16"/>
                <w:szCs w:val="16"/>
              </w:rPr>
              <w:t>3.1</w:t>
            </w:r>
          </w:p>
        </w:tc>
        <w:tc>
          <w:tcPr>
            <w:tcW w:w="751" w:type="pct"/>
            <w:shd w:val="clear" w:color="auto" w:fill="D9D9D9" w:themeFill="background1" w:themeFillShade="D9"/>
          </w:tcPr>
          <w:p w14:paraId="48176F63" w14:textId="77777777" w:rsidR="00C9100B" w:rsidRPr="002C1853" w:rsidRDefault="00C9100B" w:rsidP="00E117FD">
            <w:pPr>
              <w:keepNext/>
              <w:keepLines/>
              <w:spacing w:beforeLines="20" w:before="48" w:afterLines="20" w:after="48"/>
              <w:rPr>
                <w:rFonts w:cs="Arial"/>
                <w:sz w:val="16"/>
                <w:szCs w:val="16"/>
              </w:rPr>
            </w:pPr>
            <w:r w:rsidRPr="002C1853">
              <w:rPr>
                <w:rFonts w:cs="Arial"/>
                <w:sz w:val="16"/>
                <w:szCs w:val="16"/>
              </w:rPr>
              <w:t>2.3.4</w:t>
            </w:r>
          </w:p>
        </w:tc>
      </w:tr>
      <w:tr w:rsidR="00C9100B" w:rsidRPr="002C1853" w14:paraId="4B929781" w14:textId="77777777" w:rsidTr="00ED2244">
        <w:trPr>
          <w:trHeight w:val="25"/>
        </w:trPr>
        <w:tc>
          <w:tcPr>
            <w:tcW w:w="769" w:type="pct"/>
            <w:vMerge/>
            <w:shd w:val="clear" w:color="auto" w:fill="005A70"/>
            <w:hideMark/>
          </w:tcPr>
          <w:p w14:paraId="46E3FDA6" w14:textId="77777777" w:rsidR="00C9100B" w:rsidRPr="00ED2244" w:rsidRDefault="00C9100B" w:rsidP="00E117FD">
            <w:pPr>
              <w:rPr>
                <w:b/>
                <w:color w:val="FFFFFF" w:themeColor="background1"/>
                <w:sz w:val="16"/>
                <w:szCs w:val="16"/>
              </w:rPr>
            </w:pPr>
          </w:p>
        </w:tc>
        <w:tc>
          <w:tcPr>
            <w:tcW w:w="912" w:type="pct"/>
            <w:vMerge/>
            <w:shd w:val="clear" w:color="auto" w:fill="00B0B9"/>
            <w:hideMark/>
          </w:tcPr>
          <w:p w14:paraId="33869ECD" w14:textId="77777777" w:rsidR="00C9100B" w:rsidRPr="007F2601" w:rsidRDefault="00C9100B" w:rsidP="00E117FD">
            <w:pPr>
              <w:keepNext/>
              <w:keepLines/>
              <w:spacing w:beforeLines="20" w:before="48" w:afterLines="20" w:after="48"/>
              <w:rPr>
                <w:b/>
                <w:sz w:val="16"/>
                <w:szCs w:val="16"/>
              </w:rPr>
            </w:pPr>
          </w:p>
        </w:tc>
        <w:tc>
          <w:tcPr>
            <w:tcW w:w="1937" w:type="pct"/>
            <w:shd w:val="clear" w:color="auto" w:fill="D9D9D9" w:themeFill="background1" w:themeFillShade="D9"/>
          </w:tcPr>
          <w:p w14:paraId="4E86DB9D" w14:textId="77777777" w:rsidR="00C9100B" w:rsidRPr="002C1853" w:rsidRDefault="00C9100B" w:rsidP="00E117FD">
            <w:pPr>
              <w:keepNext/>
              <w:keepLines/>
              <w:spacing w:beforeLines="20" w:before="48" w:afterLines="20" w:after="48"/>
              <w:rPr>
                <w:sz w:val="16"/>
                <w:szCs w:val="16"/>
              </w:rPr>
            </w:pPr>
            <w:r w:rsidRPr="002C1853">
              <w:rPr>
                <w:sz w:val="16"/>
                <w:szCs w:val="16"/>
              </w:rPr>
              <w:t xml:space="preserve">C3.1.2 </w:t>
            </w:r>
            <w:r>
              <w:rPr>
                <w:sz w:val="16"/>
                <w:szCs w:val="16"/>
              </w:rPr>
              <w:t>–</w:t>
            </w:r>
            <w:r w:rsidRPr="002C1853">
              <w:rPr>
                <w:sz w:val="16"/>
                <w:szCs w:val="16"/>
              </w:rPr>
              <w:t xml:space="preserve"> Percentage of assisted people with disability, mental illness and carers with improved knowledge, skills, behaviours and engagement with services</w:t>
            </w:r>
          </w:p>
        </w:tc>
        <w:tc>
          <w:tcPr>
            <w:tcW w:w="631" w:type="pct"/>
            <w:shd w:val="clear" w:color="auto" w:fill="D9D9D9" w:themeFill="background1" w:themeFillShade="D9"/>
          </w:tcPr>
          <w:p w14:paraId="26A3F845" w14:textId="77777777" w:rsidR="00C9100B" w:rsidRPr="002C1853" w:rsidRDefault="00C9100B" w:rsidP="00E117FD">
            <w:pPr>
              <w:keepNext/>
              <w:keepLines/>
              <w:spacing w:beforeLines="20" w:before="48" w:afterLines="20" w:after="48"/>
              <w:rPr>
                <w:sz w:val="16"/>
                <w:szCs w:val="16"/>
              </w:rPr>
            </w:pPr>
            <w:r>
              <w:rPr>
                <w:sz w:val="16"/>
                <w:szCs w:val="16"/>
              </w:rPr>
              <w:t>3.1</w:t>
            </w:r>
          </w:p>
        </w:tc>
        <w:tc>
          <w:tcPr>
            <w:tcW w:w="751" w:type="pct"/>
            <w:shd w:val="clear" w:color="auto" w:fill="D9D9D9" w:themeFill="background1" w:themeFillShade="D9"/>
          </w:tcPr>
          <w:p w14:paraId="7B78278F" w14:textId="77777777" w:rsidR="00C9100B" w:rsidRPr="002C1853" w:rsidRDefault="00C9100B" w:rsidP="00E117FD">
            <w:pPr>
              <w:keepNext/>
              <w:keepLines/>
              <w:spacing w:beforeLines="20" w:before="48" w:afterLines="20" w:after="48"/>
              <w:rPr>
                <w:sz w:val="16"/>
                <w:szCs w:val="16"/>
              </w:rPr>
            </w:pPr>
            <w:r w:rsidRPr="002C1853">
              <w:rPr>
                <w:sz w:val="16"/>
                <w:szCs w:val="16"/>
              </w:rPr>
              <w:t>2.3.5</w:t>
            </w:r>
          </w:p>
        </w:tc>
      </w:tr>
      <w:tr w:rsidR="00096099" w:rsidRPr="002C1853" w14:paraId="71BAD673" w14:textId="77777777" w:rsidTr="00ED2244">
        <w:trPr>
          <w:trHeight w:val="204"/>
        </w:trPr>
        <w:tc>
          <w:tcPr>
            <w:tcW w:w="769" w:type="pct"/>
            <w:vMerge w:val="restart"/>
            <w:shd w:val="clear" w:color="auto" w:fill="005A70"/>
            <w:hideMark/>
          </w:tcPr>
          <w:p w14:paraId="51CB01C2" w14:textId="77777777" w:rsidR="00096099" w:rsidRPr="00ED2244" w:rsidRDefault="00096099" w:rsidP="00E117FD">
            <w:pPr>
              <w:keepNext/>
              <w:keepLines/>
              <w:spacing w:beforeLines="20" w:before="48" w:afterLines="20" w:after="48"/>
              <w:rPr>
                <w:rFonts w:cs="Arial"/>
                <w:color w:val="FFFFFF" w:themeColor="background1"/>
                <w:sz w:val="16"/>
                <w:szCs w:val="16"/>
              </w:rPr>
            </w:pPr>
            <w:r w:rsidRPr="00ED2244">
              <w:rPr>
                <w:rFonts w:cs="Arial"/>
                <w:b/>
                <w:color w:val="FFFFFF" w:themeColor="background1"/>
                <w:sz w:val="16"/>
                <w:szCs w:val="16"/>
              </w:rPr>
              <w:t>Intermediate Outcome — How well did we do?</w:t>
            </w:r>
          </w:p>
        </w:tc>
        <w:tc>
          <w:tcPr>
            <w:tcW w:w="912" w:type="pct"/>
            <w:vMerge w:val="restart"/>
            <w:shd w:val="clear" w:color="auto" w:fill="00B0B9"/>
            <w:hideMark/>
          </w:tcPr>
          <w:p w14:paraId="740F5DC5" w14:textId="77777777" w:rsidR="00096099" w:rsidRPr="007F2601" w:rsidRDefault="00096099" w:rsidP="00E117FD">
            <w:pPr>
              <w:keepNext/>
              <w:keepLines/>
              <w:spacing w:beforeLines="20" w:before="48" w:afterLines="20" w:after="48"/>
              <w:rPr>
                <w:rFonts w:cs="Arial"/>
                <w:b/>
                <w:sz w:val="16"/>
                <w:szCs w:val="16"/>
              </w:rPr>
            </w:pPr>
            <w:r w:rsidRPr="007F2601">
              <w:rPr>
                <w:rFonts w:cs="Arial"/>
                <w:b/>
                <w:iCs/>
                <w:sz w:val="16"/>
                <w:szCs w:val="16"/>
              </w:rPr>
              <w:t>C3.2 – Extent of contribution to creating and implementing national approaches</w:t>
            </w:r>
          </w:p>
        </w:tc>
        <w:tc>
          <w:tcPr>
            <w:tcW w:w="1937" w:type="pct"/>
            <w:shd w:val="clear" w:color="auto" w:fill="D9D9D9" w:themeFill="background1" w:themeFillShade="D9"/>
          </w:tcPr>
          <w:p w14:paraId="0C8D36CC" w14:textId="77777777" w:rsidR="00096099" w:rsidRPr="002C1853" w:rsidRDefault="00096099" w:rsidP="00E117FD">
            <w:pPr>
              <w:keepNext/>
              <w:keepLines/>
              <w:spacing w:beforeLines="20" w:before="48" w:afterLines="20" w:after="48"/>
              <w:rPr>
                <w:rFonts w:cs="Arial"/>
                <w:sz w:val="16"/>
                <w:szCs w:val="16"/>
              </w:rPr>
            </w:pPr>
            <w:r w:rsidRPr="002C1853">
              <w:rPr>
                <w:rFonts w:cs="Arial"/>
                <w:sz w:val="16"/>
                <w:szCs w:val="16"/>
              </w:rPr>
              <w:t xml:space="preserve">C3.2.1 </w:t>
            </w:r>
            <w:r>
              <w:rPr>
                <w:rFonts w:cs="Arial"/>
                <w:sz w:val="16"/>
                <w:szCs w:val="16"/>
              </w:rPr>
              <w:t>–</w:t>
            </w:r>
            <w:r w:rsidRPr="002C1853">
              <w:rPr>
                <w:rFonts w:cs="Arial"/>
                <w:sz w:val="16"/>
                <w:szCs w:val="16"/>
              </w:rPr>
              <w:t xml:space="preserve"> Continued implementation of the </w:t>
            </w:r>
            <w:r w:rsidRPr="0042003D">
              <w:rPr>
                <w:rFonts w:cstheme="minorBidi"/>
                <w:sz w:val="16"/>
              </w:rPr>
              <w:t>National Disability Strategy 2010–2020</w:t>
            </w:r>
          </w:p>
        </w:tc>
        <w:tc>
          <w:tcPr>
            <w:tcW w:w="631" w:type="pct"/>
            <w:shd w:val="clear" w:color="auto" w:fill="D9D9D9" w:themeFill="background1" w:themeFillShade="D9"/>
          </w:tcPr>
          <w:p w14:paraId="207BD6B3" w14:textId="77777777" w:rsidR="00096099" w:rsidRPr="002C1853" w:rsidRDefault="00096099" w:rsidP="00E117FD">
            <w:pPr>
              <w:keepNext/>
              <w:keepLines/>
              <w:spacing w:beforeLines="20" w:before="48" w:afterLines="20" w:after="48"/>
              <w:rPr>
                <w:rFonts w:cs="Arial"/>
                <w:sz w:val="16"/>
                <w:szCs w:val="16"/>
              </w:rPr>
            </w:pPr>
            <w:r>
              <w:rPr>
                <w:rFonts w:cs="Arial"/>
                <w:sz w:val="16"/>
                <w:szCs w:val="16"/>
              </w:rPr>
              <w:t>XP</w:t>
            </w:r>
          </w:p>
        </w:tc>
        <w:tc>
          <w:tcPr>
            <w:tcW w:w="751" w:type="pct"/>
            <w:shd w:val="clear" w:color="auto" w:fill="D9D9D9" w:themeFill="background1" w:themeFillShade="D9"/>
          </w:tcPr>
          <w:p w14:paraId="49E85968" w14:textId="77777777" w:rsidR="00096099" w:rsidRPr="002C1853" w:rsidRDefault="00096099" w:rsidP="00E117FD">
            <w:pPr>
              <w:keepNext/>
              <w:keepLines/>
              <w:spacing w:beforeLines="20" w:before="48" w:afterLines="20" w:after="48"/>
              <w:rPr>
                <w:rFonts w:cs="Arial"/>
                <w:sz w:val="16"/>
                <w:szCs w:val="16"/>
              </w:rPr>
            </w:pPr>
            <w:r w:rsidRPr="002C1853">
              <w:rPr>
                <w:rFonts w:cs="Arial"/>
                <w:sz w:val="16"/>
                <w:szCs w:val="16"/>
              </w:rPr>
              <w:t>2.3.6</w:t>
            </w:r>
          </w:p>
        </w:tc>
      </w:tr>
      <w:tr w:rsidR="00096099" w:rsidRPr="002C1853" w14:paraId="4EB71088" w14:textId="77777777" w:rsidTr="00ED2244">
        <w:trPr>
          <w:trHeight w:val="47"/>
        </w:trPr>
        <w:tc>
          <w:tcPr>
            <w:tcW w:w="769" w:type="pct"/>
            <w:vMerge/>
            <w:shd w:val="clear" w:color="auto" w:fill="005A70"/>
          </w:tcPr>
          <w:p w14:paraId="27C1FAA8" w14:textId="77777777" w:rsidR="00096099" w:rsidRPr="00ED2244" w:rsidRDefault="00096099" w:rsidP="00E117FD">
            <w:pPr>
              <w:keepNext/>
              <w:keepLines/>
              <w:spacing w:beforeLines="20" w:before="48" w:afterLines="20" w:after="48"/>
              <w:rPr>
                <w:b/>
                <w:color w:val="FFFFFF" w:themeColor="background1"/>
                <w:sz w:val="16"/>
                <w:szCs w:val="16"/>
              </w:rPr>
            </w:pPr>
          </w:p>
        </w:tc>
        <w:tc>
          <w:tcPr>
            <w:tcW w:w="912" w:type="pct"/>
            <w:vMerge/>
            <w:shd w:val="clear" w:color="auto" w:fill="00B0B9"/>
          </w:tcPr>
          <w:p w14:paraId="57B9C2B1" w14:textId="77777777" w:rsidR="00096099" w:rsidRPr="007F2601" w:rsidRDefault="00096099" w:rsidP="00E117FD">
            <w:pPr>
              <w:keepNext/>
              <w:keepLines/>
              <w:spacing w:beforeLines="20" w:before="48" w:afterLines="20" w:after="48"/>
              <w:rPr>
                <w:b/>
                <w:iCs/>
                <w:sz w:val="16"/>
                <w:szCs w:val="16"/>
              </w:rPr>
            </w:pPr>
          </w:p>
        </w:tc>
        <w:tc>
          <w:tcPr>
            <w:tcW w:w="1937" w:type="pct"/>
            <w:shd w:val="clear" w:color="auto" w:fill="D9D9D9" w:themeFill="background1" w:themeFillShade="D9"/>
          </w:tcPr>
          <w:p w14:paraId="0C6EDAF8" w14:textId="77777777" w:rsidR="00096099" w:rsidRPr="002C1853" w:rsidRDefault="00096099" w:rsidP="00E117FD">
            <w:pPr>
              <w:keepNext/>
              <w:keepLines/>
              <w:spacing w:beforeLines="20" w:before="48" w:afterLines="20" w:after="48"/>
              <w:rPr>
                <w:sz w:val="16"/>
                <w:szCs w:val="16"/>
              </w:rPr>
            </w:pPr>
            <w:r w:rsidRPr="002C1853">
              <w:rPr>
                <w:sz w:val="16"/>
                <w:szCs w:val="16"/>
              </w:rPr>
              <w:t xml:space="preserve">C3.2.2 </w:t>
            </w:r>
            <w:r>
              <w:rPr>
                <w:sz w:val="16"/>
                <w:szCs w:val="16"/>
              </w:rPr>
              <w:t>–</w:t>
            </w:r>
            <w:r w:rsidRPr="002C1853">
              <w:rPr>
                <w:sz w:val="16"/>
                <w:szCs w:val="16"/>
              </w:rPr>
              <w:t xml:space="preserve"> Extent of contribution to create an effective and sustainable </w:t>
            </w:r>
            <w:r>
              <w:rPr>
                <w:sz w:val="16"/>
                <w:szCs w:val="16"/>
              </w:rPr>
              <w:t>NDIS</w:t>
            </w:r>
          </w:p>
        </w:tc>
        <w:tc>
          <w:tcPr>
            <w:tcW w:w="631" w:type="pct"/>
            <w:shd w:val="clear" w:color="auto" w:fill="D9D9D9" w:themeFill="background1" w:themeFillShade="D9"/>
          </w:tcPr>
          <w:p w14:paraId="13D30755" w14:textId="77777777" w:rsidR="00096099" w:rsidRPr="002C1853" w:rsidRDefault="00096099" w:rsidP="00E117FD">
            <w:pPr>
              <w:keepNext/>
              <w:keepLines/>
              <w:spacing w:beforeLines="20" w:before="48" w:afterLines="20" w:after="48"/>
              <w:rPr>
                <w:sz w:val="16"/>
                <w:szCs w:val="16"/>
              </w:rPr>
            </w:pPr>
            <w:r>
              <w:rPr>
                <w:sz w:val="16"/>
                <w:szCs w:val="16"/>
              </w:rPr>
              <w:t>XP</w:t>
            </w:r>
          </w:p>
        </w:tc>
        <w:tc>
          <w:tcPr>
            <w:tcW w:w="751" w:type="pct"/>
            <w:shd w:val="clear" w:color="auto" w:fill="D9D9D9" w:themeFill="background1" w:themeFillShade="D9"/>
          </w:tcPr>
          <w:p w14:paraId="21CCF3F0" w14:textId="77777777" w:rsidR="00096099" w:rsidRPr="002C1853" w:rsidRDefault="00096099" w:rsidP="00E117FD">
            <w:pPr>
              <w:keepNext/>
              <w:keepLines/>
              <w:spacing w:beforeLines="20" w:before="48" w:afterLines="20" w:after="48"/>
              <w:rPr>
                <w:sz w:val="16"/>
                <w:szCs w:val="16"/>
              </w:rPr>
            </w:pPr>
            <w:r w:rsidRPr="002C1853">
              <w:rPr>
                <w:sz w:val="16"/>
                <w:szCs w:val="16"/>
              </w:rPr>
              <w:t>2.3.7</w:t>
            </w:r>
          </w:p>
        </w:tc>
      </w:tr>
      <w:tr w:rsidR="00096099" w:rsidRPr="002C1853" w14:paraId="1AC2017C" w14:textId="77777777" w:rsidTr="00ED2244">
        <w:trPr>
          <w:trHeight w:val="435"/>
        </w:trPr>
        <w:tc>
          <w:tcPr>
            <w:tcW w:w="769" w:type="pct"/>
            <w:vMerge/>
            <w:shd w:val="clear" w:color="auto" w:fill="005A70"/>
            <w:hideMark/>
          </w:tcPr>
          <w:p w14:paraId="60022325" w14:textId="77777777" w:rsidR="00096099" w:rsidRPr="00ED2244" w:rsidRDefault="00096099" w:rsidP="00E117FD">
            <w:pPr>
              <w:rPr>
                <w:rFonts w:cs="Arial"/>
                <w:color w:val="FFFFFF" w:themeColor="background1"/>
                <w:sz w:val="16"/>
                <w:szCs w:val="16"/>
              </w:rPr>
            </w:pPr>
          </w:p>
        </w:tc>
        <w:tc>
          <w:tcPr>
            <w:tcW w:w="912" w:type="pct"/>
            <w:vMerge w:val="restart"/>
            <w:shd w:val="clear" w:color="auto" w:fill="00B0B9"/>
            <w:hideMark/>
          </w:tcPr>
          <w:p w14:paraId="4D0B384E" w14:textId="77777777" w:rsidR="00096099" w:rsidRPr="007F2601" w:rsidRDefault="00096099" w:rsidP="00E117FD">
            <w:pPr>
              <w:keepNext/>
              <w:keepLines/>
              <w:spacing w:beforeLines="10" w:before="24" w:afterLines="10" w:after="24"/>
              <w:rPr>
                <w:rFonts w:cs="Arial"/>
                <w:b/>
                <w:sz w:val="16"/>
                <w:szCs w:val="16"/>
              </w:rPr>
            </w:pPr>
            <w:r w:rsidRPr="007F2601">
              <w:rPr>
                <w:b/>
                <w:sz w:val="16"/>
                <w:szCs w:val="16"/>
              </w:rPr>
              <w:t>C3.3 – Extent to which service provision meets program objective</w:t>
            </w:r>
          </w:p>
        </w:tc>
        <w:tc>
          <w:tcPr>
            <w:tcW w:w="1937" w:type="pct"/>
            <w:shd w:val="clear" w:color="auto" w:fill="D9D9D9" w:themeFill="background1" w:themeFillShade="D9"/>
          </w:tcPr>
          <w:p w14:paraId="427BD776" w14:textId="77777777" w:rsidR="00096099" w:rsidRPr="002C1853" w:rsidRDefault="00096099" w:rsidP="00E117FD">
            <w:pPr>
              <w:keepNext/>
              <w:keepLines/>
              <w:spacing w:beforeLines="10" w:before="24" w:afterLines="10" w:after="24"/>
              <w:rPr>
                <w:sz w:val="16"/>
                <w:szCs w:val="16"/>
              </w:rPr>
            </w:pPr>
            <w:r w:rsidRPr="002C1853">
              <w:rPr>
                <w:sz w:val="16"/>
                <w:szCs w:val="16"/>
              </w:rPr>
              <w:t xml:space="preserve">C3.3.1 </w:t>
            </w:r>
            <w:r>
              <w:rPr>
                <w:sz w:val="16"/>
                <w:szCs w:val="16"/>
              </w:rPr>
              <w:t>–</w:t>
            </w:r>
            <w:r w:rsidRPr="002C1853">
              <w:rPr>
                <w:sz w:val="16"/>
                <w:szCs w:val="16"/>
              </w:rPr>
              <w:t xml:space="preserve"> Program performance criteria and associated milestones/standards (PBS)</w:t>
            </w:r>
          </w:p>
        </w:tc>
        <w:tc>
          <w:tcPr>
            <w:tcW w:w="631" w:type="pct"/>
            <w:shd w:val="clear" w:color="auto" w:fill="D9D9D9" w:themeFill="background1" w:themeFillShade="D9"/>
          </w:tcPr>
          <w:p w14:paraId="24059C84" w14:textId="77777777" w:rsidR="00096099" w:rsidRPr="002C1853" w:rsidRDefault="00096099" w:rsidP="00E117FD">
            <w:pPr>
              <w:keepNext/>
              <w:keepLines/>
              <w:spacing w:beforeLines="10" w:before="24" w:afterLines="10" w:after="24"/>
              <w:rPr>
                <w:bCs/>
                <w:sz w:val="16"/>
                <w:szCs w:val="16"/>
              </w:rPr>
            </w:pPr>
            <w:r>
              <w:rPr>
                <w:bCs/>
                <w:sz w:val="16"/>
                <w:szCs w:val="16"/>
              </w:rPr>
              <w:t>3.1, 3.2</w:t>
            </w:r>
          </w:p>
        </w:tc>
        <w:tc>
          <w:tcPr>
            <w:tcW w:w="751" w:type="pct"/>
            <w:shd w:val="clear" w:color="auto" w:fill="D9D9D9" w:themeFill="background1" w:themeFillShade="D9"/>
          </w:tcPr>
          <w:p w14:paraId="065234D8" w14:textId="77777777" w:rsidR="00096099" w:rsidRPr="002C1853" w:rsidRDefault="00096099" w:rsidP="00E117FD">
            <w:pPr>
              <w:keepNext/>
              <w:keepLines/>
              <w:spacing w:beforeLines="10" w:before="24" w:afterLines="10" w:after="24"/>
              <w:rPr>
                <w:bCs/>
                <w:sz w:val="16"/>
                <w:szCs w:val="16"/>
              </w:rPr>
            </w:pPr>
            <w:r w:rsidRPr="002C1853">
              <w:rPr>
                <w:bCs/>
                <w:sz w:val="16"/>
                <w:szCs w:val="16"/>
              </w:rPr>
              <w:t>2.3.2</w:t>
            </w:r>
          </w:p>
        </w:tc>
      </w:tr>
      <w:tr w:rsidR="00096099" w:rsidRPr="002C1853" w14:paraId="09D1248A" w14:textId="77777777" w:rsidTr="00ED2244">
        <w:trPr>
          <w:trHeight w:val="25"/>
        </w:trPr>
        <w:tc>
          <w:tcPr>
            <w:tcW w:w="769" w:type="pct"/>
            <w:vMerge/>
            <w:shd w:val="clear" w:color="auto" w:fill="005A70"/>
            <w:hideMark/>
          </w:tcPr>
          <w:p w14:paraId="1FBFC2AC" w14:textId="77777777" w:rsidR="00096099" w:rsidRPr="00ED2244" w:rsidRDefault="00096099" w:rsidP="00E117FD">
            <w:pPr>
              <w:rPr>
                <w:color w:val="FFFFFF" w:themeColor="background1"/>
                <w:sz w:val="16"/>
                <w:szCs w:val="16"/>
              </w:rPr>
            </w:pPr>
          </w:p>
        </w:tc>
        <w:tc>
          <w:tcPr>
            <w:tcW w:w="912" w:type="pct"/>
            <w:vMerge/>
            <w:shd w:val="clear" w:color="auto" w:fill="00B0B9"/>
            <w:hideMark/>
          </w:tcPr>
          <w:p w14:paraId="1A9C050C" w14:textId="77777777" w:rsidR="00096099" w:rsidRPr="007F2601" w:rsidRDefault="00096099" w:rsidP="00E117FD">
            <w:pPr>
              <w:rPr>
                <w:b/>
                <w:sz w:val="16"/>
                <w:szCs w:val="16"/>
              </w:rPr>
            </w:pPr>
          </w:p>
        </w:tc>
        <w:tc>
          <w:tcPr>
            <w:tcW w:w="1937" w:type="pct"/>
            <w:shd w:val="clear" w:color="auto" w:fill="D9D9D9" w:themeFill="background1" w:themeFillShade="D9"/>
          </w:tcPr>
          <w:p w14:paraId="6E7A588D" w14:textId="77777777" w:rsidR="00096099" w:rsidRPr="002C1853" w:rsidRDefault="00096099" w:rsidP="00E117FD">
            <w:pPr>
              <w:keepNext/>
              <w:keepLines/>
              <w:spacing w:beforeLines="10" w:before="24" w:afterLines="10" w:after="24"/>
              <w:rPr>
                <w:sz w:val="16"/>
                <w:szCs w:val="16"/>
              </w:rPr>
            </w:pPr>
            <w:r w:rsidRPr="002C1853">
              <w:rPr>
                <w:sz w:val="16"/>
                <w:szCs w:val="16"/>
              </w:rPr>
              <w:t xml:space="preserve">C3.3.2 </w:t>
            </w:r>
            <w:r>
              <w:rPr>
                <w:sz w:val="16"/>
                <w:szCs w:val="16"/>
              </w:rPr>
              <w:t>–</w:t>
            </w:r>
            <w:r w:rsidRPr="002C1853">
              <w:rPr>
                <w:sz w:val="16"/>
                <w:szCs w:val="16"/>
              </w:rPr>
              <w:t xml:space="preserve"> Extent of satisfaction with services</w:t>
            </w:r>
          </w:p>
        </w:tc>
        <w:tc>
          <w:tcPr>
            <w:tcW w:w="631" w:type="pct"/>
            <w:shd w:val="clear" w:color="auto" w:fill="D9D9D9" w:themeFill="background1" w:themeFillShade="D9"/>
          </w:tcPr>
          <w:p w14:paraId="66A40617" w14:textId="77777777" w:rsidR="00096099" w:rsidRPr="002C1853" w:rsidRDefault="00096099" w:rsidP="00E117FD">
            <w:pPr>
              <w:keepNext/>
              <w:keepLines/>
              <w:spacing w:beforeLines="10" w:before="24" w:afterLines="10" w:after="24"/>
              <w:rPr>
                <w:bCs/>
                <w:sz w:val="16"/>
                <w:szCs w:val="16"/>
              </w:rPr>
            </w:pPr>
            <w:r>
              <w:rPr>
                <w:bCs/>
                <w:sz w:val="16"/>
                <w:szCs w:val="16"/>
              </w:rPr>
              <w:t>3.1</w:t>
            </w:r>
          </w:p>
        </w:tc>
        <w:tc>
          <w:tcPr>
            <w:tcW w:w="751" w:type="pct"/>
            <w:shd w:val="clear" w:color="auto" w:fill="D9D9D9" w:themeFill="background1" w:themeFillShade="D9"/>
          </w:tcPr>
          <w:p w14:paraId="3D8A9DB6" w14:textId="77777777" w:rsidR="00096099" w:rsidRPr="002C1853" w:rsidRDefault="00096099" w:rsidP="00E117FD">
            <w:pPr>
              <w:keepNext/>
              <w:keepLines/>
              <w:spacing w:beforeLines="10" w:before="24" w:afterLines="10" w:after="24"/>
              <w:rPr>
                <w:bCs/>
                <w:sz w:val="16"/>
                <w:szCs w:val="16"/>
              </w:rPr>
            </w:pPr>
            <w:r w:rsidRPr="002C1853">
              <w:rPr>
                <w:bCs/>
                <w:sz w:val="16"/>
                <w:szCs w:val="16"/>
              </w:rPr>
              <w:t>2.3.8</w:t>
            </w:r>
          </w:p>
        </w:tc>
      </w:tr>
      <w:tr w:rsidR="00096099" w:rsidRPr="002C1853" w14:paraId="3807CF0F" w14:textId="77777777" w:rsidTr="00ED2244">
        <w:trPr>
          <w:trHeight w:val="25"/>
        </w:trPr>
        <w:tc>
          <w:tcPr>
            <w:tcW w:w="769" w:type="pct"/>
            <w:vMerge/>
            <w:shd w:val="clear" w:color="auto" w:fill="005A70"/>
          </w:tcPr>
          <w:p w14:paraId="3773784F" w14:textId="77777777" w:rsidR="00096099" w:rsidRPr="00ED2244" w:rsidRDefault="00096099" w:rsidP="00E117FD">
            <w:pPr>
              <w:rPr>
                <w:rFonts w:cs="Arial"/>
                <w:color w:val="FFFFFF" w:themeColor="background1"/>
                <w:sz w:val="16"/>
                <w:szCs w:val="16"/>
              </w:rPr>
            </w:pPr>
          </w:p>
        </w:tc>
        <w:tc>
          <w:tcPr>
            <w:tcW w:w="912" w:type="pct"/>
            <w:vMerge/>
            <w:shd w:val="clear" w:color="auto" w:fill="00B0B9"/>
          </w:tcPr>
          <w:p w14:paraId="63DB2EB0" w14:textId="77777777" w:rsidR="00096099" w:rsidRPr="007F2601" w:rsidRDefault="00096099" w:rsidP="00E117FD">
            <w:pPr>
              <w:rPr>
                <w:rFonts w:cs="Arial"/>
                <w:b/>
                <w:sz w:val="16"/>
                <w:szCs w:val="16"/>
              </w:rPr>
            </w:pPr>
          </w:p>
        </w:tc>
        <w:tc>
          <w:tcPr>
            <w:tcW w:w="1937" w:type="pct"/>
            <w:shd w:val="clear" w:color="auto" w:fill="D9D9D9" w:themeFill="background1" w:themeFillShade="D9"/>
          </w:tcPr>
          <w:p w14:paraId="6A9AF46B" w14:textId="77777777" w:rsidR="00096099" w:rsidRPr="002C1853" w:rsidRDefault="00096099" w:rsidP="00E117FD">
            <w:pPr>
              <w:keepNext/>
              <w:keepLines/>
              <w:spacing w:beforeLines="10" w:before="24" w:afterLines="10" w:after="24"/>
              <w:rPr>
                <w:bCs/>
                <w:sz w:val="16"/>
                <w:szCs w:val="16"/>
              </w:rPr>
            </w:pPr>
            <w:r w:rsidRPr="002C1853">
              <w:rPr>
                <w:sz w:val="16"/>
                <w:szCs w:val="16"/>
              </w:rPr>
              <w:t xml:space="preserve">C3.3.3 </w:t>
            </w:r>
            <w:r>
              <w:rPr>
                <w:sz w:val="16"/>
                <w:szCs w:val="16"/>
              </w:rPr>
              <w:t xml:space="preserve">– </w:t>
            </w:r>
            <w:r w:rsidRPr="002C1853">
              <w:rPr>
                <w:sz w:val="16"/>
                <w:szCs w:val="16"/>
              </w:rPr>
              <w:t>Percentage of assisted individuals who are from priority groups</w:t>
            </w:r>
          </w:p>
        </w:tc>
        <w:tc>
          <w:tcPr>
            <w:tcW w:w="631" w:type="pct"/>
            <w:shd w:val="clear" w:color="auto" w:fill="D9D9D9" w:themeFill="background1" w:themeFillShade="D9"/>
          </w:tcPr>
          <w:p w14:paraId="559FAEF2" w14:textId="77777777" w:rsidR="00096099" w:rsidRPr="002C1853" w:rsidRDefault="00096099" w:rsidP="00E117FD">
            <w:pPr>
              <w:keepNext/>
              <w:keepLines/>
              <w:spacing w:beforeLines="10" w:before="24" w:afterLines="50" w:after="120"/>
              <w:rPr>
                <w:bCs/>
                <w:sz w:val="16"/>
                <w:szCs w:val="16"/>
              </w:rPr>
            </w:pPr>
            <w:r>
              <w:rPr>
                <w:bCs/>
                <w:sz w:val="16"/>
                <w:szCs w:val="16"/>
              </w:rPr>
              <w:t>3.1</w:t>
            </w:r>
          </w:p>
        </w:tc>
        <w:tc>
          <w:tcPr>
            <w:tcW w:w="751" w:type="pct"/>
            <w:shd w:val="clear" w:color="auto" w:fill="D9D9D9" w:themeFill="background1" w:themeFillShade="D9"/>
          </w:tcPr>
          <w:p w14:paraId="6A076057" w14:textId="77777777" w:rsidR="00096099" w:rsidRPr="002C1853" w:rsidRDefault="00096099" w:rsidP="00E117FD">
            <w:pPr>
              <w:keepNext/>
              <w:keepLines/>
              <w:spacing w:beforeLines="10" w:before="24" w:afterLines="50" w:after="120"/>
              <w:rPr>
                <w:bCs/>
                <w:sz w:val="16"/>
                <w:szCs w:val="16"/>
              </w:rPr>
            </w:pPr>
            <w:r w:rsidRPr="002C1853">
              <w:rPr>
                <w:bCs/>
                <w:sz w:val="16"/>
                <w:szCs w:val="16"/>
              </w:rPr>
              <w:t>2.3.9</w:t>
            </w:r>
          </w:p>
        </w:tc>
      </w:tr>
      <w:tr w:rsidR="00C9100B" w:rsidRPr="002C1853" w14:paraId="5B31D60F" w14:textId="77777777" w:rsidTr="00ED2244">
        <w:trPr>
          <w:trHeight w:val="294"/>
        </w:trPr>
        <w:tc>
          <w:tcPr>
            <w:tcW w:w="769" w:type="pct"/>
            <w:vMerge w:val="restart"/>
            <w:shd w:val="clear" w:color="auto" w:fill="005A70"/>
            <w:hideMark/>
          </w:tcPr>
          <w:p w14:paraId="1E9F4A0B" w14:textId="77777777" w:rsidR="00C9100B" w:rsidRPr="00ED2244" w:rsidRDefault="00C9100B" w:rsidP="00E117FD">
            <w:pPr>
              <w:keepNext/>
              <w:keepLines/>
              <w:spacing w:beforeLines="10" w:before="24" w:afterLines="10" w:after="24"/>
              <w:rPr>
                <w:b/>
                <w:color w:val="FFFFFF" w:themeColor="background1"/>
                <w:sz w:val="16"/>
                <w:szCs w:val="16"/>
              </w:rPr>
            </w:pPr>
            <w:r w:rsidRPr="00ED2244">
              <w:rPr>
                <w:b/>
                <w:color w:val="FFFFFF" w:themeColor="background1"/>
                <w:sz w:val="16"/>
                <w:szCs w:val="16"/>
              </w:rPr>
              <w:t>Output —</w:t>
            </w:r>
            <w:r w:rsidRPr="00ED2244">
              <w:rPr>
                <w:i/>
                <w:iCs/>
                <w:smallCaps/>
                <w:color w:val="FFFFFF" w:themeColor="background1"/>
                <w:spacing w:val="5"/>
                <w:sz w:val="16"/>
                <w:szCs w:val="16"/>
              </w:rPr>
              <w:t xml:space="preserve"> </w:t>
            </w:r>
            <w:r w:rsidRPr="00ED2244">
              <w:rPr>
                <w:b/>
                <w:color w:val="FFFFFF" w:themeColor="background1"/>
                <w:sz w:val="16"/>
                <w:szCs w:val="16"/>
              </w:rPr>
              <w:t>How much did we do?</w:t>
            </w:r>
          </w:p>
        </w:tc>
        <w:tc>
          <w:tcPr>
            <w:tcW w:w="912" w:type="pct"/>
            <w:vMerge w:val="restart"/>
            <w:shd w:val="clear" w:color="auto" w:fill="00B0B9"/>
            <w:hideMark/>
          </w:tcPr>
          <w:p w14:paraId="5FE8486F" w14:textId="77777777" w:rsidR="00C9100B" w:rsidRPr="007F2601" w:rsidRDefault="00C9100B" w:rsidP="00E117FD">
            <w:pPr>
              <w:keepNext/>
              <w:keepLines/>
              <w:spacing w:beforeLines="20" w:before="48" w:afterLines="20" w:after="48"/>
              <w:rPr>
                <w:b/>
                <w:sz w:val="16"/>
                <w:szCs w:val="16"/>
              </w:rPr>
            </w:pPr>
            <w:r w:rsidRPr="007F2601">
              <w:rPr>
                <w:b/>
                <w:sz w:val="16"/>
                <w:szCs w:val="16"/>
              </w:rPr>
              <w:t>C3.4 – Delivery measures</w:t>
            </w:r>
          </w:p>
        </w:tc>
        <w:tc>
          <w:tcPr>
            <w:tcW w:w="1937" w:type="pct"/>
            <w:shd w:val="clear" w:color="auto" w:fill="D9D9D9" w:themeFill="background1" w:themeFillShade="D9"/>
          </w:tcPr>
          <w:p w14:paraId="6D2FAC41" w14:textId="77777777" w:rsidR="00C9100B" w:rsidRPr="002C1853" w:rsidRDefault="00C9100B" w:rsidP="00E117FD">
            <w:pPr>
              <w:keepNext/>
              <w:keepLines/>
              <w:spacing w:beforeLines="20" w:before="48" w:afterLines="20" w:after="48"/>
              <w:rPr>
                <w:sz w:val="16"/>
                <w:szCs w:val="16"/>
              </w:rPr>
            </w:pPr>
            <w:r w:rsidRPr="002C1853">
              <w:rPr>
                <w:sz w:val="16"/>
                <w:szCs w:val="16"/>
              </w:rPr>
              <w:t xml:space="preserve">C3.4.1 </w:t>
            </w:r>
            <w:r>
              <w:rPr>
                <w:sz w:val="16"/>
                <w:szCs w:val="16"/>
              </w:rPr>
              <w:t>–</w:t>
            </w:r>
            <w:r w:rsidRPr="002C1853">
              <w:rPr>
                <w:sz w:val="16"/>
                <w:szCs w:val="16"/>
              </w:rPr>
              <w:t xml:space="preserve"> Number of individuals assisted (PBS)</w:t>
            </w:r>
          </w:p>
        </w:tc>
        <w:tc>
          <w:tcPr>
            <w:tcW w:w="631" w:type="pct"/>
            <w:shd w:val="clear" w:color="auto" w:fill="D9D9D9" w:themeFill="background1" w:themeFillShade="D9"/>
          </w:tcPr>
          <w:p w14:paraId="58F022F6" w14:textId="77777777" w:rsidR="00C9100B" w:rsidRPr="002C1853" w:rsidRDefault="00C9100B" w:rsidP="00E117FD">
            <w:pPr>
              <w:keepNext/>
              <w:keepLines/>
              <w:spacing w:beforeLines="20" w:before="48" w:afterLines="20" w:after="48"/>
              <w:rPr>
                <w:sz w:val="16"/>
                <w:szCs w:val="16"/>
              </w:rPr>
            </w:pPr>
            <w:r>
              <w:rPr>
                <w:sz w:val="16"/>
                <w:szCs w:val="16"/>
              </w:rPr>
              <w:t>3.1</w:t>
            </w:r>
          </w:p>
        </w:tc>
        <w:tc>
          <w:tcPr>
            <w:tcW w:w="751" w:type="pct"/>
            <w:shd w:val="clear" w:color="auto" w:fill="D9D9D9" w:themeFill="background1" w:themeFillShade="D9"/>
          </w:tcPr>
          <w:p w14:paraId="0F7A2032" w14:textId="77777777" w:rsidR="00C9100B" w:rsidRPr="002C1853" w:rsidRDefault="00C9100B" w:rsidP="00E117FD">
            <w:pPr>
              <w:keepNext/>
              <w:keepLines/>
              <w:spacing w:beforeLines="20" w:before="48" w:afterLines="20" w:after="48"/>
              <w:rPr>
                <w:sz w:val="16"/>
                <w:szCs w:val="16"/>
              </w:rPr>
            </w:pPr>
            <w:r w:rsidRPr="002C1853">
              <w:rPr>
                <w:sz w:val="16"/>
                <w:szCs w:val="16"/>
              </w:rPr>
              <w:t>2.3.10</w:t>
            </w:r>
          </w:p>
        </w:tc>
      </w:tr>
      <w:tr w:rsidR="00C9100B" w:rsidRPr="002C1853" w14:paraId="06020A61" w14:textId="77777777" w:rsidTr="00ED2244">
        <w:trPr>
          <w:trHeight w:val="294"/>
        </w:trPr>
        <w:tc>
          <w:tcPr>
            <w:tcW w:w="769" w:type="pct"/>
            <w:vMerge/>
            <w:shd w:val="clear" w:color="auto" w:fill="005A70"/>
          </w:tcPr>
          <w:p w14:paraId="21EDEA9F" w14:textId="77777777" w:rsidR="00C9100B" w:rsidRPr="002C1853" w:rsidRDefault="00C9100B" w:rsidP="00E117FD">
            <w:pPr>
              <w:rPr>
                <w:b/>
                <w:sz w:val="16"/>
                <w:szCs w:val="16"/>
              </w:rPr>
            </w:pPr>
          </w:p>
        </w:tc>
        <w:tc>
          <w:tcPr>
            <w:tcW w:w="912" w:type="pct"/>
            <w:vMerge/>
            <w:shd w:val="clear" w:color="auto" w:fill="00B0B9"/>
          </w:tcPr>
          <w:p w14:paraId="3F4EA230" w14:textId="77777777" w:rsidR="00C9100B" w:rsidRPr="002C1853" w:rsidRDefault="00C9100B" w:rsidP="00E117FD">
            <w:pPr>
              <w:rPr>
                <w:b/>
                <w:sz w:val="16"/>
                <w:szCs w:val="16"/>
              </w:rPr>
            </w:pPr>
          </w:p>
        </w:tc>
        <w:tc>
          <w:tcPr>
            <w:tcW w:w="1937" w:type="pct"/>
            <w:shd w:val="clear" w:color="auto" w:fill="D9D9D9" w:themeFill="background1" w:themeFillShade="D9"/>
          </w:tcPr>
          <w:p w14:paraId="46B0EFC4" w14:textId="77777777" w:rsidR="00C9100B" w:rsidRPr="002C1853" w:rsidRDefault="00C9100B" w:rsidP="00E117FD">
            <w:pPr>
              <w:keepNext/>
              <w:keepLines/>
              <w:spacing w:beforeLines="20" w:before="48" w:afterLines="20" w:after="48"/>
              <w:rPr>
                <w:sz w:val="16"/>
                <w:szCs w:val="16"/>
              </w:rPr>
            </w:pPr>
            <w:r w:rsidRPr="002C1853">
              <w:rPr>
                <w:sz w:val="16"/>
                <w:szCs w:val="16"/>
              </w:rPr>
              <w:t xml:space="preserve">C3.4.2 </w:t>
            </w:r>
            <w:r>
              <w:rPr>
                <w:sz w:val="16"/>
                <w:szCs w:val="16"/>
              </w:rPr>
              <w:t>–</w:t>
            </w:r>
            <w:r w:rsidRPr="002C1853">
              <w:rPr>
                <w:sz w:val="16"/>
                <w:szCs w:val="16"/>
              </w:rPr>
              <w:t xml:space="preserve"> Number of organisations contracted or receiving grant funding to deliver services (PBS)</w:t>
            </w:r>
          </w:p>
        </w:tc>
        <w:tc>
          <w:tcPr>
            <w:tcW w:w="631" w:type="pct"/>
            <w:shd w:val="clear" w:color="auto" w:fill="D9D9D9" w:themeFill="background1" w:themeFillShade="D9"/>
          </w:tcPr>
          <w:p w14:paraId="0CEB145D" w14:textId="77777777" w:rsidR="00C9100B" w:rsidRPr="002C1853" w:rsidRDefault="00C9100B" w:rsidP="00E117FD">
            <w:pPr>
              <w:keepNext/>
              <w:keepLines/>
              <w:spacing w:beforeLines="20" w:before="48" w:afterLines="20" w:after="48"/>
              <w:rPr>
                <w:sz w:val="16"/>
                <w:szCs w:val="16"/>
              </w:rPr>
            </w:pPr>
            <w:r>
              <w:rPr>
                <w:sz w:val="16"/>
                <w:szCs w:val="16"/>
              </w:rPr>
              <w:t>3.1</w:t>
            </w:r>
          </w:p>
        </w:tc>
        <w:tc>
          <w:tcPr>
            <w:tcW w:w="751" w:type="pct"/>
            <w:shd w:val="clear" w:color="auto" w:fill="D9D9D9" w:themeFill="background1" w:themeFillShade="D9"/>
          </w:tcPr>
          <w:p w14:paraId="3178E550" w14:textId="77777777" w:rsidR="00C9100B" w:rsidRPr="002C1853" w:rsidRDefault="00C9100B" w:rsidP="00E117FD">
            <w:pPr>
              <w:keepNext/>
              <w:keepLines/>
              <w:spacing w:beforeLines="20" w:before="48" w:afterLines="20" w:after="48"/>
              <w:rPr>
                <w:sz w:val="16"/>
                <w:szCs w:val="16"/>
              </w:rPr>
            </w:pPr>
            <w:r w:rsidRPr="002C1853">
              <w:rPr>
                <w:sz w:val="16"/>
                <w:szCs w:val="16"/>
              </w:rPr>
              <w:t>2.3.11</w:t>
            </w:r>
          </w:p>
        </w:tc>
      </w:tr>
      <w:tr w:rsidR="00C9100B" w:rsidRPr="002C1853" w14:paraId="752142E6" w14:textId="77777777" w:rsidTr="00ED2244">
        <w:trPr>
          <w:trHeight w:val="294"/>
        </w:trPr>
        <w:tc>
          <w:tcPr>
            <w:tcW w:w="769" w:type="pct"/>
            <w:vMerge/>
            <w:shd w:val="clear" w:color="auto" w:fill="005A70"/>
            <w:hideMark/>
          </w:tcPr>
          <w:p w14:paraId="1754D653" w14:textId="77777777" w:rsidR="00C9100B" w:rsidRPr="002C1853" w:rsidRDefault="00C9100B" w:rsidP="00E117FD">
            <w:pPr>
              <w:rPr>
                <w:b/>
                <w:sz w:val="16"/>
                <w:szCs w:val="16"/>
              </w:rPr>
            </w:pPr>
          </w:p>
        </w:tc>
        <w:tc>
          <w:tcPr>
            <w:tcW w:w="912" w:type="pct"/>
            <w:vMerge/>
            <w:shd w:val="clear" w:color="auto" w:fill="00B0B9"/>
            <w:hideMark/>
          </w:tcPr>
          <w:p w14:paraId="2CAEF2A3" w14:textId="77777777" w:rsidR="00C9100B" w:rsidRPr="002C1853" w:rsidRDefault="00C9100B" w:rsidP="00E117FD">
            <w:pPr>
              <w:rPr>
                <w:b/>
                <w:sz w:val="16"/>
                <w:szCs w:val="16"/>
              </w:rPr>
            </w:pPr>
          </w:p>
        </w:tc>
        <w:tc>
          <w:tcPr>
            <w:tcW w:w="1937" w:type="pct"/>
            <w:shd w:val="clear" w:color="auto" w:fill="D9D9D9" w:themeFill="background1" w:themeFillShade="D9"/>
          </w:tcPr>
          <w:p w14:paraId="4E9F31CD" w14:textId="77777777" w:rsidR="00C9100B" w:rsidRPr="002C1853" w:rsidRDefault="00C9100B" w:rsidP="00E117FD">
            <w:pPr>
              <w:keepNext/>
              <w:keepLines/>
              <w:spacing w:beforeLines="20" w:before="48" w:afterLines="20" w:after="48"/>
              <w:rPr>
                <w:sz w:val="16"/>
                <w:szCs w:val="16"/>
              </w:rPr>
            </w:pPr>
            <w:r w:rsidRPr="002C1853">
              <w:rPr>
                <w:sz w:val="16"/>
                <w:szCs w:val="16"/>
              </w:rPr>
              <w:t xml:space="preserve">C3.4.3 </w:t>
            </w:r>
            <w:r>
              <w:rPr>
                <w:sz w:val="16"/>
                <w:szCs w:val="16"/>
              </w:rPr>
              <w:t>–</w:t>
            </w:r>
            <w:r w:rsidRPr="002C1853">
              <w:rPr>
                <w:sz w:val="16"/>
                <w:szCs w:val="16"/>
              </w:rPr>
              <w:t xml:space="preserve"> Value of Commonwealth program funding transitioned to the NDIS (PBS)</w:t>
            </w:r>
          </w:p>
        </w:tc>
        <w:tc>
          <w:tcPr>
            <w:tcW w:w="631" w:type="pct"/>
            <w:shd w:val="clear" w:color="auto" w:fill="D9D9D9" w:themeFill="background1" w:themeFillShade="D9"/>
          </w:tcPr>
          <w:p w14:paraId="4C467677" w14:textId="77777777" w:rsidR="00C9100B" w:rsidRPr="002C1853" w:rsidRDefault="00C9100B" w:rsidP="00E117FD">
            <w:pPr>
              <w:keepNext/>
              <w:keepLines/>
              <w:spacing w:beforeLines="20" w:before="48" w:afterLines="20" w:after="48"/>
              <w:rPr>
                <w:sz w:val="16"/>
                <w:szCs w:val="16"/>
              </w:rPr>
            </w:pPr>
            <w:r>
              <w:rPr>
                <w:sz w:val="16"/>
                <w:szCs w:val="16"/>
              </w:rPr>
              <w:t>3.2</w:t>
            </w:r>
          </w:p>
        </w:tc>
        <w:tc>
          <w:tcPr>
            <w:tcW w:w="751" w:type="pct"/>
            <w:shd w:val="clear" w:color="auto" w:fill="D9D9D9" w:themeFill="background1" w:themeFillShade="D9"/>
          </w:tcPr>
          <w:p w14:paraId="463B89C6" w14:textId="77777777" w:rsidR="00C9100B" w:rsidRPr="002C1853" w:rsidRDefault="00C9100B" w:rsidP="00E117FD">
            <w:pPr>
              <w:keepNext/>
              <w:keepLines/>
              <w:spacing w:beforeLines="20" w:before="48" w:afterLines="20" w:after="48"/>
              <w:rPr>
                <w:sz w:val="16"/>
                <w:szCs w:val="16"/>
              </w:rPr>
            </w:pPr>
            <w:r w:rsidRPr="002C1853">
              <w:rPr>
                <w:sz w:val="16"/>
                <w:szCs w:val="16"/>
              </w:rPr>
              <w:t>2.3.12</w:t>
            </w:r>
          </w:p>
        </w:tc>
      </w:tr>
      <w:tr w:rsidR="00C9100B" w:rsidRPr="002C1853" w14:paraId="084A6CA3" w14:textId="77777777" w:rsidTr="00ED2244">
        <w:trPr>
          <w:trHeight w:val="271"/>
        </w:trPr>
        <w:tc>
          <w:tcPr>
            <w:tcW w:w="769" w:type="pct"/>
            <w:vMerge/>
            <w:shd w:val="clear" w:color="auto" w:fill="005A70"/>
          </w:tcPr>
          <w:p w14:paraId="181066D2" w14:textId="77777777" w:rsidR="00C9100B" w:rsidRPr="002C1853" w:rsidRDefault="00C9100B" w:rsidP="00E117FD">
            <w:pPr>
              <w:rPr>
                <w:rFonts w:cs="Arial"/>
                <w:b/>
                <w:sz w:val="16"/>
                <w:szCs w:val="16"/>
              </w:rPr>
            </w:pPr>
          </w:p>
        </w:tc>
        <w:tc>
          <w:tcPr>
            <w:tcW w:w="912" w:type="pct"/>
            <w:vMerge/>
            <w:shd w:val="clear" w:color="auto" w:fill="00B0B9"/>
          </w:tcPr>
          <w:p w14:paraId="4845441B" w14:textId="77777777" w:rsidR="00C9100B" w:rsidRPr="002C1853" w:rsidRDefault="00C9100B" w:rsidP="00E117FD">
            <w:pPr>
              <w:rPr>
                <w:rFonts w:cs="Arial"/>
                <w:b/>
                <w:sz w:val="16"/>
                <w:szCs w:val="16"/>
              </w:rPr>
            </w:pPr>
          </w:p>
        </w:tc>
        <w:tc>
          <w:tcPr>
            <w:tcW w:w="1937" w:type="pct"/>
            <w:shd w:val="clear" w:color="auto" w:fill="D9D9D9" w:themeFill="background1" w:themeFillShade="D9"/>
          </w:tcPr>
          <w:p w14:paraId="24529408" w14:textId="77777777" w:rsidR="00C9100B" w:rsidRPr="002C1853" w:rsidRDefault="00C9100B" w:rsidP="00E117FD">
            <w:pPr>
              <w:keepNext/>
              <w:keepLines/>
              <w:spacing w:beforeLines="10" w:before="24" w:afterLines="10" w:after="24"/>
              <w:rPr>
                <w:rFonts w:cs="Arial"/>
                <w:sz w:val="16"/>
                <w:szCs w:val="16"/>
              </w:rPr>
            </w:pPr>
            <w:r w:rsidRPr="002C1853">
              <w:rPr>
                <w:sz w:val="16"/>
                <w:szCs w:val="16"/>
              </w:rPr>
              <w:t xml:space="preserve">C3.4.4 </w:t>
            </w:r>
            <w:r>
              <w:rPr>
                <w:sz w:val="16"/>
                <w:szCs w:val="16"/>
              </w:rPr>
              <w:t>–</w:t>
            </w:r>
            <w:r w:rsidRPr="002C1853">
              <w:rPr>
                <w:sz w:val="16"/>
                <w:szCs w:val="16"/>
              </w:rPr>
              <w:t xml:space="preserve"> Value and number of Jobs and Market Fund projects supporting the growth of the NDIS market and workforce (PBS)</w:t>
            </w:r>
          </w:p>
        </w:tc>
        <w:tc>
          <w:tcPr>
            <w:tcW w:w="631" w:type="pct"/>
            <w:shd w:val="clear" w:color="auto" w:fill="D9D9D9" w:themeFill="background1" w:themeFillShade="D9"/>
          </w:tcPr>
          <w:p w14:paraId="0F05B0AE" w14:textId="77777777" w:rsidR="00C9100B" w:rsidRPr="002C1853" w:rsidRDefault="00C9100B" w:rsidP="00E117FD">
            <w:pPr>
              <w:keepNext/>
              <w:keepLines/>
              <w:spacing w:beforeLines="10" w:before="24" w:afterLines="10" w:after="24"/>
              <w:rPr>
                <w:rFonts w:cs="Arial"/>
                <w:sz w:val="16"/>
                <w:szCs w:val="16"/>
              </w:rPr>
            </w:pPr>
            <w:r>
              <w:rPr>
                <w:rFonts w:cs="Arial"/>
                <w:sz w:val="16"/>
                <w:szCs w:val="16"/>
              </w:rPr>
              <w:t>3.2</w:t>
            </w:r>
          </w:p>
        </w:tc>
        <w:tc>
          <w:tcPr>
            <w:tcW w:w="751" w:type="pct"/>
            <w:shd w:val="clear" w:color="auto" w:fill="D9D9D9" w:themeFill="background1" w:themeFillShade="D9"/>
          </w:tcPr>
          <w:p w14:paraId="6857B868" w14:textId="77777777" w:rsidR="00C9100B" w:rsidRPr="002C1853" w:rsidRDefault="00C9100B" w:rsidP="00E117FD">
            <w:pPr>
              <w:keepNext/>
              <w:keepLines/>
              <w:spacing w:beforeLines="10" w:before="24" w:afterLines="10" w:after="24"/>
              <w:rPr>
                <w:rFonts w:cs="Arial"/>
                <w:sz w:val="16"/>
                <w:szCs w:val="16"/>
              </w:rPr>
            </w:pPr>
            <w:r w:rsidRPr="002C1853">
              <w:rPr>
                <w:rFonts w:cs="Arial"/>
                <w:sz w:val="16"/>
                <w:szCs w:val="16"/>
              </w:rPr>
              <w:t>2.3.13</w:t>
            </w:r>
          </w:p>
        </w:tc>
      </w:tr>
      <w:tr w:rsidR="00C9100B" w:rsidRPr="002C1853" w14:paraId="40EB0313" w14:textId="77777777" w:rsidTr="00ED2244">
        <w:trPr>
          <w:trHeight w:val="271"/>
        </w:trPr>
        <w:tc>
          <w:tcPr>
            <w:tcW w:w="769" w:type="pct"/>
            <w:vMerge/>
            <w:shd w:val="clear" w:color="auto" w:fill="005A70"/>
            <w:hideMark/>
          </w:tcPr>
          <w:p w14:paraId="2A36708C" w14:textId="77777777" w:rsidR="00C9100B" w:rsidRPr="002C1853" w:rsidRDefault="00C9100B" w:rsidP="00E117FD">
            <w:pPr>
              <w:rPr>
                <w:b/>
                <w:sz w:val="16"/>
                <w:szCs w:val="16"/>
              </w:rPr>
            </w:pPr>
          </w:p>
        </w:tc>
        <w:tc>
          <w:tcPr>
            <w:tcW w:w="912" w:type="pct"/>
            <w:vMerge/>
            <w:shd w:val="clear" w:color="auto" w:fill="00B0B9"/>
            <w:hideMark/>
          </w:tcPr>
          <w:p w14:paraId="058881B5" w14:textId="77777777" w:rsidR="00C9100B" w:rsidRPr="002C1853" w:rsidRDefault="00C9100B" w:rsidP="00E117FD">
            <w:pPr>
              <w:rPr>
                <w:b/>
                <w:sz w:val="16"/>
                <w:szCs w:val="16"/>
              </w:rPr>
            </w:pPr>
          </w:p>
        </w:tc>
        <w:tc>
          <w:tcPr>
            <w:tcW w:w="1937" w:type="pct"/>
            <w:shd w:val="clear" w:color="auto" w:fill="D9D9D9" w:themeFill="background1" w:themeFillShade="D9"/>
          </w:tcPr>
          <w:p w14:paraId="60E49DDF" w14:textId="77777777" w:rsidR="00C9100B" w:rsidRPr="002C1853" w:rsidRDefault="00C9100B" w:rsidP="00E117FD">
            <w:pPr>
              <w:keepNext/>
              <w:keepLines/>
              <w:spacing w:beforeLines="10" w:before="24" w:afterLines="10" w:after="24"/>
              <w:rPr>
                <w:sz w:val="16"/>
                <w:szCs w:val="16"/>
              </w:rPr>
            </w:pPr>
            <w:r w:rsidRPr="002C1853">
              <w:rPr>
                <w:sz w:val="16"/>
                <w:szCs w:val="16"/>
              </w:rPr>
              <w:t xml:space="preserve">C3.4.5 </w:t>
            </w:r>
            <w:r>
              <w:rPr>
                <w:sz w:val="16"/>
                <w:szCs w:val="16"/>
              </w:rPr>
              <w:t>–</w:t>
            </w:r>
            <w:r w:rsidRPr="002C1853">
              <w:rPr>
                <w:sz w:val="16"/>
                <w:szCs w:val="16"/>
              </w:rPr>
              <w:t xml:space="preserve"> Administered outlays (PBS)</w:t>
            </w:r>
          </w:p>
        </w:tc>
        <w:tc>
          <w:tcPr>
            <w:tcW w:w="631" w:type="pct"/>
            <w:shd w:val="clear" w:color="auto" w:fill="D9D9D9" w:themeFill="background1" w:themeFillShade="D9"/>
          </w:tcPr>
          <w:p w14:paraId="3D8958CA" w14:textId="77777777" w:rsidR="00C9100B" w:rsidRPr="002C1853" w:rsidRDefault="00C9100B" w:rsidP="00E117FD">
            <w:pPr>
              <w:keepNext/>
              <w:keepLines/>
              <w:spacing w:beforeLines="10" w:before="24" w:afterLines="10" w:after="24"/>
              <w:rPr>
                <w:sz w:val="16"/>
                <w:szCs w:val="16"/>
              </w:rPr>
            </w:pPr>
            <w:r>
              <w:rPr>
                <w:sz w:val="16"/>
                <w:szCs w:val="16"/>
              </w:rPr>
              <w:t>3.1, 3.2</w:t>
            </w:r>
          </w:p>
        </w:tc>
        <w:tc>
          <w:tcPr>
            <w:tcW w:w="751" w:type="pct"/>
            <w:shd w:val="clear" w:color="auto" w:fill="D9D9D9" w:themeFill="background1" w:themeFillShade="D9"/>
          </w:tcPr>
          <w:p w14:paraId="592022FC" w14:textId="77777777" w:rsidR="00C9100B" w:rsidRPr="002C1853" w:rsidRDefault="00C9100B" w:rsidP="00E117FD">
            <w:pPr>
              <w:keepNext/>
              <w:keepLines/>
              <w:spacing w:beforeLines="10" w:before="24" w:afterLines="10" w:after="24"/>
              <w:rPr>
                <w:sz w:val="16"/>
                <w:szCs w:val="16"/>
              </w:rPr>
            </w:pPr>
            <w:r w:rsidRPr="002C1853">
              <w:rPr>
                <w:sz w:val="16"/>
                <w:szCs w:val="16"/>
              </w:rPr>
              <w:t>2.3.14</w:t>
            </w:r>
          </w:p>
        </w:tc>
      </w:tr>
    </w:tbl>
    <w:p w14:paraId="12E1CE77" w14:textId="77777777" w:rsidR="00C9100B" w:rsidRDefault="00C9100B" w:rsidP="00C9100B">
      <w:pPr>
        <w:spacing w:before="160" w:after="60" w:line="240" w:lineRule="auto"/>
        <w:ind w:left="170" w:hanging="170"/>
        <w:contextualSpacing/>
        <w:rPr>
          <w:rFonts w:cs="Arial"/>
          <w:sz w:val="16"/>
          <w:szCs w:val="16"/>
        </w:rPr>
      </w:pPr>
      <w:r w:rsidRPr="00F01716">
        <w:rPr>
          <w:rFonts w:cs="Arial"/>
          <w:sz w:val="16"/>
          <w:szCs w:val="16"/>
        </w:rPr>
        <w:t>Source: Corporate Plan 2019–20 and Portfolio Budget Statements 2019–20</w:t>
      </w:r>
      <w:r>
        <w:rPr>
          <w:rFonts w:cs="Arial"/>
          <w:sz w:val="16"/>
          <w:szCs w:val="16"/>
        </w:rPr>
        <w:t>.</w:t>
      </w:r>
    </w:p>
    <w:p w14:paraId="7BBA678B" w14:textId="77777777" w:rsidR="00C9100B" w:rsidRPr="00771C23" w:rsidRDefault="00C9100B" w:rsidP="00C9100B">
      <w:pPr>
        <w:spacing w:before="160" w:after="60" w:line="240" w:lineRule="auto"/>
        <w:ind w:left="170" w:hanging="170"/>
        <w:contextualSpacing/>
        <w:rPr>
          <w:rFonts w:cs="Arial"/>
          <w:sz w:val="16"/>
          <w:szCs w:val="16"/>
        </w:rPr>
      </w:pPr>
    </w:p>
    <w:p w14:paraId="6DA06CAF" w14:textId="77777777" w:rsidR="00715F6F" w:rsidRDefault="00715F6F">
      <w:pPr>
        <w:rPr>
          <w:rFonts w:eastAsiaTheme="majorEastAsia" w:cstheme="majorBidi"/>
          <w:b/>
          <w:iCs/>
          <w:sz w:val="26"/>
        </w:rPr>
        <w:sectPr w:rsidR="00715F6F" w:rsidSect="00A94724">
          <w:footnotePr>
            <w:numRestart w:val="eachPage"/>
          </w:footnotePr>
          <w:pgSz w:w="11906" w:h="16838"/>
          <w:pgMar w:top="1440" w:right="1440" w:bottom="1440" w:left="1440" w:header="709" w:footer="709" w:gutter="0"/>
          <w:cols w:space="708"/>
          <w:docGrid w:linePitch="360"/>
        </w:sectPr>
      </w:pPr>
    </w:p>
    <w:p w14:paraId="3923482B" w14:textId="15DC5BFD" w:rsidR="00C9100B" w:rsidRPr="002C1853" w:rsidRDefault="00C9100B" w:rsidP="00C9100B">
      <w:pPr>
        <w:spacing w:before="240" w:after="240"/>
        <w:outlineLvl w:val="6"/>
        <w:rPr>
          <w:rFonts w:eastAsiaTheme="majorEastAsia" w:cstheme="majorBidi"/>
          <w:b/>
          <w:iCs/>
          <w:sz w:val="26"/>
        </w:rPr>
      </w:pPr>
      <w:r w:rsidRPr="002C1853">
        <w:rPr>
          <w:rFonts w:eastAsiaTheme="majorEastAsia" w:cstheme="majorBidi"/>
          <w:b/>
          <w:iCs/>
          <w:sz w:val="26"/>
        </w:rPr>
        <w:lastRenderedPageBreak/>
        <w:t>C3.1 Extent of improved independence and participation</w:t>
      </w:r>
    </w:p>
    <w:p w14:paraId="19945917" w14:textId="77777777" w:rsidR="00C9100B" w:rsidRPr="002C1853" w:rsidRDefault="00C9100B" w:rsidP="00C9100B">
      <w:pPr>
        <w:rPr>
          <w:sz w:val="20"/>
          <w:szCs w:val="20"/>
        </w:rPr>
      </w:pPr>
      <w:r w:rsidRPr="002C1853">
        <w:rPr>
          <w:sz w:val="20"/>
          <w:szCs w:val="20"/>
        </w:rPr>
        <w:t>This criterion is intended to report progress by people with disability towards goals for improved independence and participation, for individuals, families, and carers. Collectively the set of indicators provides an indication of improved independence and participation by people with disability.</w:t>
      </w:r>
    </w:p>
    <w:p w14:paraId="6B2A750F" w14:textId="77777777" w:rsidR="00C9100B" w:rsidRPr="002C1853" w:rsidRDefault="00C9100B" w:rsidP="00C9100B">
      <w:pPr>
        <w:spacing w:before="240" w:after="240"/>
        <w:outlineLvl w:val="7"/>
        <w:rPr>
          <w:rFonts w:eastAsiaTheme="majorEastAsia" w:cstheme="majorBidi"/>
          <w:b/>
          <w:color w:val="595959" w:themeColor="text1" w:themeTint="A6"/>
          <w:sz w:val="24"/>
          <w:szCs w:val="20"/>
        </w:rPr>
      </w:pPr>
      <w:r w:rsidRPr="002C1853">
        <w:rPr>
          <w:rFonts w:eastAsiaTheme="majorEastAsia" w:cstheme="majorBidi"/>
          <w:b/>
          <w:color w:val="595959" w:themeColor="text1" w:themeTint="A6"/>
          <w:sz w:val="24"/>
          <w:szCs w:val="20"/>
        </w:rPr>
        <w:t>C3.1.1 Number of people supported to achieve at least six months employment at their work capacity in Disability Employment Services</w:t>
      </w:r>
    </w:p>
    <w:p w14:paraId="56D9B902" w14:textId="77777777" w:rsidR="00C9100B" w:rsidRPr="002C1853" w:rsidRDefault="00C9100B" w:rsidP="00C9100B">
      <w:pPr>
        <w:rPr>
          <w:sz w:val="20"/>
          <w:szCs w:val="20"/>
        </w:rPr>
      </w:pPr>
      <w:r w:rsidRPr="002C1853">
        <w:rPr>
          <w:sz w:val="20"/>
          <w:szCs w:val="20"/>
        </w:rPr>
        <w:t>This indicator tracks the number of Disability Employment Services (DES) participants who achieved 26-week employment outcomes.</w:t>
      </w:r>
    </w:p>
    <w:p w14:paraId="799B659A" w14:textId="77777777" w:rsidR="00C9100B" w:rsidRPr="002C1853" w:rsidRDefault="00C9100B" w:rsidP="00C9100B">
      <w:pPr>
        <w:spacing w:after="0"/>
        <w:outlineLvl w:val="6"/>
        <w:rPr>
          <w:rFonts w:eastAsiaTheme="majorEastAsia" w:cstheme="majorBidi"/>
          <w:i/>
          <w:iCs/>
        </w:rPr>
      </w:pPr>
      <w:r w:rsidRPr="002C1853">
        <w:rPr>
          <w:rFonts w:eastAsiaTheme="majorEastAsia" w:cstheme="majorBidi"/>
          <w:i/>
          <w:iCs/>
        </w:rPr>
        <w:t>Analysis</w:t>
      </w:r>
    </w:p>
    <w:p w14:paraId="5995CA04" w14:textId="77777777" w:rsidR="00C9100B" w:rsidRPr="002C1853" w:rsidRDefault="00C9100B" w:rsidP="00C9100B">
      <w:pPr>
        <w:rPr>
          <w:sz w:val="20"/>
          <w:szCs w:val="20"/>
        </w:rPr>
      </w:pPr>
      <w:r w:rsidRPr="002C1853">
        <w:rPr>
          <w:sz w:val="20"/>
          <w:szCs w:val="20"/>
        </w:rPr>
        <w:t xml:space="preserve">Although there have been improvements in the number of DES participants with 26-week employment outcomes from 2018-19 to 2019-20, from early March 2020 the </w:t>
      </w:r>
      <w:r>
        <w:rPr>
          <w:sz w:val="20"/>
          <w:szCs w:val="20"/>
        </w:rPr>
        <w:t>COVID-19</w:t>
      </w:r>
      <w:r w:rsidRPr="002C1853">
        <w:rPr>
          <w:sz w:val="20"/>
          <w:szCs w:val="20"/>
        </w:rPr>
        <w:t xml:space="preserve"> pandemic impacted on the number of DES participants being placed into employment and a number of DES participants who were in employment lost their jobs as a result of the </w:t>
      </w:r>
      <w:r>
        <w:rPr>
          <w:sz w:val="20"/>
          <w:szCs w:val="20"/>
        </w:rPr>
        <w:t>COVID-19</w:t>
      </w:r>
      <w:r w:rsidRPr="002C1853">
        <w:rPr>
          <w:sz w:val="20"/>
          <w:szCs w:val="20"/>
        </w:rPr>
        <w:t xml:space="preserve"> pandemic and subsequent economic downturn. Both these factors directly affected the number of DES participants who would have achieved at least a 26-week employment outcome.</w:t>
      </w:r>
    </w:p>
    <w:p w14:paraId="6273EC12" w14:textId="77777777" w:rsidR="00C9100B" w:rsidRPr="002C1853" w:rsidRDefault="00C9100B" w:rsidP="00C9100B">
      <w:pPr>
        <w:keepNext/>
        <w:spacing w:before="240" w:after="0" w:line="260" w:lineRule="atLeast"/>
        <w:ind w:right="425"/>
        <w:rPr>
          <w:rFonts w:ascii="Arial Narrow" w:eastAsia="Times New Roman" w:hAnsi="Arial Narrow" w:cs="Times New Roman"/>
          <w:b/>
          <w:bCs/>
          <w:spacing w:val="4"/>
          <w:sz w:val="20"/>
          <w:szCs w:val="18"/>
          <w:lang w:eastAsia="en-AU"/>
        </w:rPr>
      </w:pPr>
      <w:r w:rsidRPr="002C1853">
        <w:rPr>
          <w:rFonts w:ascii="Arial Narrow" w:eastAsia="Times New Roman" w:hAnsi="Arial Narrow" w:cs="Times New Roman"/>
          <w:b/>
          <w:bCs/>
          <w:spacing w:val="4"/>
          <w:sz w:val="20"/>
          <w:szCs w:val="18"/>
          <w:lang w:eastAsia="en-AU"/>
        </w:rPr>
        <w:t>Table 2.3.4: Number of people supported to achieve at least six months employment at their work capacity in Disability Employment Services</w:t>
      </w:r>
    </w:p>
    <w:tbl>
      <w:tblPr>
        <w:tblStyle w:val="HHorizontaltable14"/>
        <w:tblW w:w="5000" w:type="pct"/>
        <w:tblLook w:val="04A0" w:firstRow="1" w:lastRow="0" w:firstColumn="1" w:lastColumn="0" w:noHBand="0" w:noVBand="1"/>
        <w:tblCaption w:val="Table 2.3.4: Number of people supported to achieve at least 6 months employment at their work capacity in Disability Employment Services"/>
        <w:tblDescription w:val="Table 2.3.4: Number of people supported to achieve at least 6 months employment at their work capacity in Disability Employment Services"/>
      </w:tblPr>
      <w:tblGrid>
        <w:gridCol w:w="4117"/>
        <w:gridCol w:w="1370"/>
        <w:gridCol w:w="1784"/>
        <w:gridCol w:w="1755"/>
      </w:tblGrid>
      <w:tr w:rsidR="00C9100B" w:rsidRPr="002C1853" w14:paraId="10A4F313"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2281" w:type="pct"/>
            <w:tcBorders>
              <w:bottom w:val="single" w:sz="4" w:space="0" w:color="FFFFFF" w:themeColor="background1"/>
            </w:tcBorders>
            <w:hideMark/>
          </w:tcPr>
          <w:p w14:paraId="1434489B" w14:textId="77777777" w:rsidR="00C9100B" w:rsidRPr="007F2601" w:rsidRDefault="00C9100B" w:rsidP="00E117FD">
            <w:pPr>
              <w:keepNext/>
              <w:keepLines/>
              <w:spacing w:before="40" w:after="40"/>
              <w:rPr>
                <w:rFonts w:eastAsia="Times New Roman"/>
                <w:sz w:val="20"/>
                <w:szCs w:val="18"/>
              </w:rPr>
            </w:pPr>
            <w:r w:rsidRPr="007F2601">
              <w:rPr>
                <w:rFonts w:eastAsia="Times New Roman"/>
                <w:sz w:val="20"/>
                <w:szCs w:val="18"/>
              </w:rPr>
              <w:t>Outcome performance measure</w:t>
            </w:r>
          </w:p>
        </w:tc>
        <w:tc>
          <w:tcPr>
            <w:tcW w:w="759" w:type="pct"/>
            <w:tcBorders>
              <w:bottom w:val="single" w:sz="4" w:space="0" w:color="FFFFFF" w:themeColor="background1"/>
            </w:tcBorders>
            <w:hideMark/>
          </w:tcPr>
          <w:p w14:paraId="34D22286" w14:textId="77777777" w:rsidR="00C9100B" w:rsidRPr="007F2601" w:rsidRDefault="00C9100B" w:rsidP="00E117FD">
            <w:pPr>
              <w:keepNext/>
              <w:keepLines/>
              <w:spacing w:before="40" w:after="40"/>
              <w:jc w:val="right"/>
              <w:rPr>
                <w:rFonts w:eastAsia="Times New Roman"/>
                <w:sz w:val="20"/>
                <w:szCs w:val="18"/>
              </w:rPr>
            </w:pPr>
            <w:r w:rsidRPr="007F2601">
              <w:rPr>
                <w:rFonts w:eastAsia="Times New Roman"/>
                <w:sz w:val="20"/>
                <w:szCs w:val="18"/>
              </w:rPr>
              <w:t>2019–20</w:t>
            </w:r>
          </w:p>
        </w:tc>
        <w:tc>
          <w:tcPr>
            <w:tcW w:w="988" w:type="pct"/>
            <w:tcBorders>
              <w:bottom w:val="single" w:sz="4" w:space="0" w:color="FFFFFF" w:themeColor="background1"/>
            </w:tcBorders>
            <w:hideMark/>
          </w:tcPr>
          <w:p w14:paraId="7C833BB4" w14:textId="77777777" w:rsidR="00C9100B" w:rsidRPr="007F2601" w:rsidRDefault="00C9100B" w:rsidP="00E117FD">
            <w:pPr>
              <w:keepNext/>
              <w:keepLines/>
              <w:spacing w:before="40" w:after="40"/>
              <w:jc w:val="right"/>
              <w:rPr>
                <w:rFonts w:eastAsia="Times New Roman"/>
                <w:sz w:val="20"/>
                <w:szCs w:val="18"/>
              </w:rPr>
            </w:pPr>
            <w:r w:rsidRPr="007F2601">
              <w:rPr>
                <w:rFonts w:eastAsia="Times New Roman"/>
                <w:sz w:val="20"/>
                <w:szCs w:val="18"/>
              </w:rPr>
              <w:t>2018–19</w:t>
            </w:r>
          </w:p>
        </w:tc>
        <w:tc>
          <w:tcPr>
            <w:tcW w:w="972" w:type="pct"/>
            <w:tcBorders>
              <w:bottom w:val="single" w:sz="4" w:space="0" w:color="FFFFFF" w:themeColor="background1"/>
            </w:tcBorders>
            <w:hideMark/>
          </w:tcPr>
          <w:p w14:paraId="51965E1A" w14:textId="77777777" w:rsidR="00C9100B" w:rsidRPr="007F2601" w:rsidRDefault="00C9100B" w:rsidP="00E117FD">
            <w:pPr>
              <w:keepNext/>
              <w:keepLines/>
              <w:spacing w:before="40" w:after="40"/>
              <w:jc w:val="right"/>
              <w:rPr>
                <w:rFonts w:eastAsia="Times New Roman"/>
                <w:sz w:val="20"/>
                <w:szCs w:val="18"/>
              </w:rPr>
            </w:pPr>
            <w:r w:rsidRPr="007F2601">
              <w:rPr>
                <w:rFonts w:eastAsia="Times New Roman"/>
                <w:sz w:val="20"/>
                <w:szCs w:val="18"/>
              </w:rPr>
              <w:t>2017–18</w:t>
            </w:r>
          </w:p>
        </w:tc>
      </w:tr>
      <w:tr w:rsidR="00C9100B" w:rsidRPr="002C1853" w14:paraId="65A69412"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230DDB66" w14:textId="77777777" w:rsidR="00C9100B" w:rsidRPr="002C1853" w:rsidRDefault="00C9100B" w:rsidP="00E117FD">
            <w:pPr>
              <w:keepNext/>
              <w:keepLines/>
              <w:rPr>
                <w:rFonts w:eastAsia="Times New Roman" w:cs="Arial"/>
                <w:b/>
                <w:color w:val="000000" w:themeColor="text1"/>
                <w:sz w:val="20"/>
                <w:szCs w:val="20"/>
              </w:rPr>
            </w:pPr>
            <w:r w:rsidRPr="002C1853">
              <w:rPr>
                <w:rFonts w:eastAsia="Times New Roman" w:cs="Arial"/>
                <w:b/>
                <w:color w:val="000000" w:themeColor="text1"/>
                <w:sz w:val="20"/>
                <w:szCs w:val="20"/>
              </w:rPr>
              <w:t>Disability Employment Services</w:t>
            </w:r>
          </w:p>
        </w:tc>
      </w:tr>
      <w:tr w:rsidR="00C9100B" w:rsidRPr="002C1853" w14:paraId="63028CFC" w14:textId="77777777" w:rsidTr="00E117FD">
        <w:trPr>
          <w:cnfStyle w:val="000000010000" w:firstRow="0" w:lastRow="0" w:firstColumn="0" w:lastColumn="0" w:oddVBand="0" w:evenVBand="0" w:oddHBand="0" w:evenHBand="1" w:firstRowFirstColumn="0" w:firstRowLastColumn="0" w:lastRowFirstColumn="0" w:lastRowLastColumn="0"/>
        </w:trPr>
        <w:tc>
          <w:tcPr>
            <w:tcW w:w="2281" w:type="pct"/>
            <w:tcBorders>
              <w:top w:val="single" w:sz="18" w:space="0" w:color="00B0B9"/>
            </w:tcBorders>
            <w:hideMark/>
          </w:tcPr>
          <w:p w14:paraId="428B6356" w14:textId="77777777" w:rsidR="00C9100B" w:rsidRPr="002C1853" w:rsidRDefault="00C9100B" w:rsidP="00E117FD">
            <w:pPr>
              <w:spacing w:before="40" w:after="40"/>
              <w:rPr>
                <w:rFonts w:cs="Arial"/>
                <w:sz w:val="20"/>
                <w:szCs w:val="20"/>
              </w:rPr>
            </w:pPr>
            <w:r w:rsidRPr="002C1853">
              <w:rPr>
                <w:sz w:val="20"/>
                <w:szCs w:val="20"/>
              </w:rPr>
              <w:t xml:space="preserve">Total for Disability Employment </w:t>
            </w:r>
            <w:proofErr w:type="spellStart"/>
            <w:r w:rsidRPr="002C1853">
              <w:rPr>
                <w:sz w:val="20"/>
                <w:szCs w:val="20"/>
              </w:rPr>
              <w:t>Services</w:t>
            </w:r>
            <w:r w:rsidRPr="002C1853">
              <w:rPr>
                <w:sz w:val="20"/>
                <w:szCs w:val="20"/>
                <w:vertAlign w:val="superscript"/>
              </w:rPr>
              <w:t>a</w:t>
            </w:r>
            <w:proofErr w:type="spellEnd"/>
          </w:p>
        </w:tc>
        <w:tc>
          <w:tcPr>
            <w:tcW w:w="759" w:type="pct"/>
            <w:tcBorders>
              <w:top w:val="single" w:sz="18" w:space="0" w:color="00B0B9"/>
            </w:tcBorders>
            <w:hideMark/>
          </w:tcPr>
          <w:p w14:paraId="786EAA30" w14:textId="77777777" w:rsidR="00C9100B" w:rsidRPr="002C1853" w:rsidRDefault="00C9100B" w:rsidP="00E117FD">
            <w:pPr>
              <w:spacing w:before="40" w:after="40"/>
              <w:jc w:val="right"/>
              <w:rPr>
                <w:sz w:val="20"/>
                <w:szCs w:val="20"/>
              </w:rPr>
            </w:pPr>
            <w:r w:rsidRPr="002C1853">
              <w:rPr>
                <w:sz w:val="20"/>
                <w:szCs w:val="20"/>
              </w:rPr>
              <w:t>32,093</w:t>
            </w:r>
          </w:p>
        </w:tc>
        <w:tc>
          <w:tcPr>
            <w:tcW w:w="988" w:type="pct"/>
            <w:tcBorders>
              <w:top w:val="single" w:sz="18" w:space="0" w:color="00B0B9"/>
            </w:tcBorders>
            <w:hideMark/>
          </w:tcPr>
          <w:p w14:paraId="4883EC5F" w14:textId="77777777" w:rsidR="00C9100B" w:rsidRPr="002C1853" w:rsidRDefault="00C9100B" w:rsidP="00E117FD">
            <w:pPr>
              <w:spacing w:before="40" w:after="40"/>
              <w:jc w:val="right"/>
              <w:rPr>
                <w:sz w:val="20"/>
                <w:szCs w:val="20"/>
              </w:rPr>
            </w:pPr>
            <w:r w:rsidRPr="002C1853">
              <w:rPr>
                <w:sz w:val="20"/>
                <w:szCs w:val="20"/>
              </w:rPr>
              <w:t>28,772</w:t>
            </w:r>
          </w:p>
        </w:tc>
        <w:tc>
          <w:tcPr>
            <w:tcW w:w="972" w:type="pct"/>
            <w:tcBorders>
              <w:top w:val="single" w:sz="18" w:space="0" w:color="00B0B9"/>
            </w:tcBorders>
            <w:hideMark/>
          </w:tcPr>
          <w:p w14:paraId="080FD8F3" w14:textId="77777777" w:rsidR="00C9100B" w:rsidRPr="002C1853" w:rsidRDefault="00C9100B" w:rsidP="00E117FD">
            <w:pPr>
              <w:spacing w:before="40" w:after="40"/>
              <w:jc w:val="right"/>
              <w:rPr>
                <w:sz w:val="20"/>
                <w:szCs w:val="20"/>
              </w:rPr>
            </w:pPr>
            <w:r w:rsidRPr="002C1853">
              <w:rPr>
                <w:sz w:val="20"/>
                <w:szCs w:val="20"/>
              </w:rPr>
              <w:t>31,711</w:t>
            </w:r>
          </w:p>
        </w:tc>
      </w:tr>
      <w:tr w:rsidR="00C9100B" w:rsidRPr="002C1853" w14:paraId="202BC0A1" w14:textId="77777777" w:rsidTr="00E117FD">
        <w:trPr>
          <w:cnfStyle w:val="000000100000" w:firstRow="0" w:lastRow="0" w:firstColumn="0" w:lastColumn="0" w:oddVBand="0" w:evenVBand="0" w:oddHBand="1" w:evenHBand="0" w:firstRowFirstColumn="0" w:firstRowLastColumn="0" w:lastRowFirstColumn="0" w:lastRowLastColumn="0"/>
        </w:trPr>
        <w:tc>
          <w:tcPr>
            <w:tcW w:w="2281" w:type="pct"/>
            <w:hideMark/>
          </w:tcPr>
          <w:p w14:paraId="73E78DEA" w14:textId="77777777" w:rsidR="00C9100B" w:rsidRPr="002C1853" w:rsidRDefault="00C9100B" w:rsidP="00E117FD">
            <w:pPr>
              <w:numPr>
                <w:ilvl w:val="0"/>
                <w:numId w:val="67"/>
              </w:numPr>
              <w:spacing w:before="40" w:after="40"/>
              <w:contextualSpacing/>
              <w:rPr>
                <w:rFonts w:cs="Arial"/>
                <w:sz w:val="20"/>
                <w:szCs w:val="20"/>
              </w:rPr>
            </w:pPr>
            <w:r w:rsidRPr="002C1853">
              <w:rPr>
                <w:rFonts w:cs="Arial"/>
                <w:sz w:val="20"/>
                <w:szCs w:val="20"/>
              </w:rPr>
              <w:t xml:space="preserve">Disability Management </w:t>
            </w:r>
            <w:proofErr w:type="spellStart"/>
            <w:r w:rsidRPr="002C1853">
              <w:rPr>
                <w:rFonts w:cs="Arial"/>
                <w:sz w:val="20"/>
                <w:szCs w:val="20"/>
              </w:rPr>
              <w:t>Service</w:t>
            </w:r>
            <w:r w:rsidRPr="002C1853">
              <w:rPr>
                <w:rFonts w:cs="Arial"/>
                <w:sz w:val="20"/>
                <w:szCs w:val="20"/>
                <w:vertAlign w:val="superscript"/>
              </w:rPr>
              <w:t>a</w:t>
            </w:r>
            <w:proofErr w:type="spellEnd"/>
          </w:p>
        </w:tc>
        <w:tc>
          <w:tcPr>
            <w:tcW w:w="759" w:type="pct"/>
            <w:hideMark/>
          </w:tcPr>
          <w:p w14:paraId="153C3934" w14:textId="77777777" w:rsidR="00C9100B" w:rsidRPr="002C1853" w:rsidRDefault="00C9100B" w:rsidP="00E117FD">
            <w:pPr>
              <w:spacing w:before="40" w:after="40"/>
              <w:jc w:val="right"/>
              <w:rPr>
                <w:rFonts w:cs="Arial"/>
                <w:sz w:val="20"/>
                <w:szCs w:val="20"/>
              </w:rPr>
            </w:pPr>
            <w:r w:rsidRPr="002C1853">
              <w:rPr>
                <w:rFonts w:cs="Arial"/>
                <w:sz w:val="20"/>
                <w:szCs w:val="20"/>
              </w:rPr>
              <w:t>14,370</w:t>
            </w:r>
          </w:p>
        </w:tc>
        <w:tc>
          <w:tcPr>
            <w:tcW w:w="988" w:type="pct"/>
            <w:hideMark/>
          </w:tcPr>
          <w:p w14:paraId="426B48A5" w14:textId="77777777" w:rsidR="00C9100B" w:rsidRPr="002C1853" w:rsidRDefault="00C9100B" w:rsidP="00E117FD">
            <w:pPr>
              <w:spacing w:before="40" w:after="40"/>
              <w:jc w:val="right"/>
              <w:rPr>
                <w:rFonts w:cs="Arial"/>
                <w:sz w:val="20"/>
                <w:szCs w:val="20"/>
              </w:rPr>
            </w:pPr>
            <w:r w:rsidRPr="002C1853">
              <w:rPr>
                <w:rFonts w:cs="Arial"/>
                <w:sz w:val="20"/>
                <w:szCs w:val="20"/>
              </w:rPr>
              <w:t>12,868</w:t>
            </w:r>
          </w:p>
        </w:tc>
        <w:tc>
          <w:tcPr>
            <w:tcW w:w="972" w:type="pct"/>
            <w:hideMark/>
          </w:tcPr>
          <w:p w14:paraId="28CECA18" w14:textId="77777777" w:rsidR="00C9100B" w:rsidRPr="002C1853" w:rsidRDefault="00C9100B" w:rsidP="00E117FD">
            <w:pPr>
              <w:spacing w:before="40" w:after="40"/>
              <w:jc w:val="right"/>
              <w:rPr>
                <w:rFonts w:cs="Arial"/>
                <w:sz w:val="20"/>
                <w:szCs w:val="20"/>
              </w:rPr>
            </w:pPr>
            <w:r w:rsidRPr="002C1853">
              <w:rPr>
                <w:rFonts w:cs="Arial"/>
                <w:sz w:val="20"/>
                <w:szCs w:val="20"/>
              </w:rPr>
              <w:t>14,470</w:t>
            </w:r>
          </w:p>
        </w:tc>
      </w:tr>
      <w:tr w:rsidR="00C9100B" w:rsidRPr="002C1853" w14:paraId="63F93C47" w14:textId="77777777" w:rsidTr="00E117FD">
        <w:trPr>
          <w:cnfStyle w:val="000000010000" w:firstRow="0" w:lastRow="0" w:firstColumn="0" w:lastColumn="0" w:oddVBand="0" w:evenVBand="0" w:oddHBand="0" w:evenHBand="1" w:firstRowFirstColumn="0" w:firstRowLastColumn="0" w:lastRowFirstColumn="0" w:lastRowLastColumn="0"/>
        </w:trPr>
        <w:tc>
          <w:tcPr>
            <w:tcW w:w="2281" w:type="pct"/>
            <w:hideMark/>
          </w:tcPr>
          <w:p w14:paraId="4989A605" w14:textId="77777777" w:rsidR="00C9100B" w:rsidRPr="002C1853" w:rsidRDefault="00C9100B" w:rsidP="00E117FD">
            <w:pPr>
              <w:numPr>
                <w:ilvl w:val="0"/>
                <w:numId w:val="67"/>
              </w:numPr>
              <w:spacing w:before="40" w:after="40"/>
              <w:contextualSpacing/>
              <w:rPr>
                <w:rFonts w:cs="Arial"/>
                <w:sz w:val="20"/>
                <w:szCs w:val="20"/>
              </w:rPr>
            </w:pPr>
            <w:r w:rsidRPr="002C1853">
              <w:rPr>
                <w:sz w:val="20"/>
                <w:szCs w:val="20"/>
              </w:rPr>
              <w:t xml:space="preserve">Employment Support </w:t>
            </w:r>
            <w:proofErr w:type="spellStart"/>
            <w:r w:rsidRPr="002C1853">
              <w:rPr>
                <w:sz w:val="20"/>
                <w:szCs w:val="20"/>
              </w:rPr>
              <w:t>Service</w:t>
            </w:r>
            <w:r w:rsidRPr="002C1853">
              <w:rPr>
                <w:sz w:val="20"/>
                <w:szCs w:val="20"/>
                <w:vertAlign w:val="superscript"/>
              </w:rPr>
              <w:t>a</w:t>
            </w:r>
            <w:proofErr w:type="spellEnd"/>
          </w:p>
        </w:tc>
        <w:tc>
          <w:tcPr>
            <w:tcW w:w="759" w:type="pct"/>
            <w:hideMark/>
          </w:tcPr>
          <w:p w14:paraId="40B2FD3C" w14:textId="77777777" w:rsidR="00C9100B" w:rsidRPr="002C1853" w:rsidRDefault="00C9100B" w:rsidP="00E117FD">
            <w:pPr>
              <w:spacing w:before="40" w:after="40"/>
              <w:jc w:val="right"/>
              <w:rPr>
                <w:sz w:val="20"/>
                <w:szCs w:val="20"/>
              </w:rPr>
            </w:pPr>
            <w:r w:rsidRPr="002C1853">
              <w:rPr>
                <w:sz w:val="20"/>
                <w:szCs w:val="20"/>
              </w:rPr>
              <w:t>17,723</w:t>
            </w:r>
          </w:p>
        </w:tc>
        <w:tc>
          <w:tcPr>
            <w:tcW w:w="988" w:type="pct"/>
            <w:hideMark/>
          </w:tcPr>
          <w:p w14:paraId="2DA9C475" w14:textId="77777777" w:rsidR="00C9100B" w:rsidRPr="002C1853" w:rsidRDefault="00C9100B" w:rsidP="00E117FD">
            <w:pPr>
              <w:spacing w:before="40" w:after="40"/>
              <w:jc w:val="right"/>
              <w:rPr>
                <w:sz w:val="20"/>
                <w:szCs w:val="20"/>
              </w:rPr>
            </w:pPr>
            <w:r w:rsidRPr="002C1853">
              <w:rPr>
                <w:sz w:val="20"/>
                <w:szCs w:val="20"/>
              </w:rPr>
              <w:t>15,904</w:t>
            </w:r>
          </w:p>
        </w:tc>
        <w:tc>
          <w:tcPr>
            <w:tcW w:w="972" w:type="pct"/>
            <w:hideMark/>
          </w:tcPr>
          <w:p w14:paraId="64E2984A" w14:textId="77777777" w:rsidR="00C9100B" w:rsidRPr="002C1853" w:rsidRDefault="00C9100B" w:rsidP="00E117FD">
            <w:pPr>
              <w:spacing w:before="40" w:after="40"/>
              <w:jc w:val="right"/>
              <w:rPr>
                <w:sz w:val="20"/>
                <w:szCs w:val="20"/>
              </w:rPr>
            </w:pPr>
            <w:r w:rsidRPr="002C1853">
              <w:rPr>
                <w:sz w:val="20"/>
                <w:szCs w:val="20"/>
              </w:rPr>
              <w:t>17,241</w:t>
            </w:r>
          </w:p>
        </w:tc>
      </w:tr>
    </w:tbl>
    <w:p w14:paraId="6B8A511F" w14:textId="77777777" w:rsidR="00C9100B" w:rsidRPr="002C1853" w:rsidRDefault="00C9100B" w:rsidP="00C9100B">
      <w:pPr>
        <w:spacing w:before="160" w:after="60" w:line="240" w:lineRule="auto"/>
        <w:ind w:left="284" w:hanging="284"/>
        <w:contextualSpacing/>
        <w:rPr>
          <w:rFonts w:cs="Arial"/>
          <w:sz w:val="16"/>
          <w:szCs w:val="16"/>
        </w:rPr>
      </w:pPr>
      <w:r w:rsidRPr="002C1853">
        <w:rPr>
          <w:rFonts w:cs="Arial"/>
          <w:sz w:val="16"/>
          <w:szCs w:val="16"/>
        </w:rPr>
        <w:t>a</w:t>
      </w:r>
      <w:r w:rsidRPr="002C1853">
        <w:rPr>
          <w:rFonts w:cs="Arial"/>
          <w:sz w:val="16"/>
          <w:szCs w:val="16"/>
        </w:rPr>
        <w:tab/>
        <w:t xml:space="preserve"> From 2018–19 reporting, data on 26-week employment outcomes replaced the 3-month Post Placement Monitoring (PPM) data. The data on 26-week employment outcomes for 2017-18 and 2018-19 are included for comparison purposes.</w:t>
      </w:r>
    </w:p>
    <w:p w14:paraId="34571098" w14:textId="77777777" w:rsidR="00C9100B" w:rsidRPr="002C1853" w:rsidRDefault="00C9100B" w:rsidP="00C9100B">
      <w:pPr>
        <w:spacing w:before="360" w:after="240"/>
        <w:outlineLvl w:val="7"/>
        <w:rPr>
          <w:rFonts w:eastAsiaTheme="majorEastAsia" w:cstheme="majorBidi"/>
          <w:b/>
          <w:color w:val="595959" w:themeColor="text1" w:themeTint="A6"/>
          <w:sz w:val="24"/>
          <w:szCs w:val="20"/>
        </w:rPr>
      </w:pPr>
      <w:r w:rsidRPr="002C1853">
        <w:rPr>
          <w:rFonts w:eastAsiaTheme="majorEastAsia" w:cstheme="majorBidi"/>
          <w:b/>
          <w:color w:val="595959" w:themeColor="text1" w:themeTint="A6"/>
          <w:sz w:val="24"/>
          <w:szCs w:val="20"/>
        </w:rPr>
        <w:t>C3.1.2 Percentage of assisted people with disability, mental illness and carers with improved knowledge, skills, behaviours, and engagement with services</w:t>
      </w:r>
    </w:p>
    <w:p w14:paraId="0B24544A" w14:textId="77777777" w:rsidR="00C9100B" w:rsidRPr="002C1853" w:rsidRDefault="00C9100B" w:rsidP="00C9100B">
      <w:pPr>
        <w:rPr>
          <w:sz w:val="20"/>
          <w:szCs w:val="20"/>
        </w:rPr>
      </w:pPr>
      <w:r w:rsidRPr="002C1853">
        <w:rPr>
          <w:sz w:val="20"/>
          <w:szCs w:val="20"/>
        </w:rPr>
        <w:t>This indicator tracks the extent that carers, people with disability and people with mental illness who access support programs are building their capability through improved knowledge, skills and behaviours and engagement with services. It provides an indication of the extent of their progress towards greater capability and participation goals.</w:t>
      </w:r>
    </w:p>
    <w:p w14:paraId="0BC24FC9" w14:textId="4EBCD9CE" w:rsidR="00C9100B" w:rsidRPr="002C1853" w:rsidRDefault="00C9100B" w:rsidP="00C9100B">
      <w:pPr>
        <w:rPr>
          <w:sz w:val="20"/>
          <w:szCs w:val="20"/>
        </w:rPr>
      </w:pPr>
      <w:r w:rsidRPr="002C1853">
        <w:rPr>
          <w:sz w:val="20"/>
          <w:szCs w:val="20"/>
        </w:rPr>
        <w:t>The Data Exchange is a program performance platform used to collect data about services delivered to clients. In response to feedback from organisations, the Data Exchange was enhanced in 2018, which impacted the client outcome measures for Data Exchange programs. In August 2018, the requirement to specify whether an outcome assessment was ‘pre’ or ‘post’ was removed to better reflect how clients interact with services. Instead the system now collects outcome assessments in a time sequence, which makes it easier for organisations to record multiple outcome assessments. The Data Exchange now matches the earliest outcomes assessment (regardless of whether it was ‘pre’ or ‘post’) with the most recent outcomes assessment.</w:t>
      </w:r>
    </w:p>
    <w:p w14:paraId="387B8EA3" w14:textId="77777777" w:rsidR="00C9100B" w:rsidRPr="002C1853" w:rsidRDefault="00C9100B" w:rsidP="00C9100B">
      <w:pPr>
        <w:rPr>
          <w:sz w:val="20"/>
          <w:szCs w:val="20"/>
        </w:rPr>
      </w:pPr>
      <w:r w:rsidRPr="002C1853">
        <w:rPr>
          <w:sz w:val="20"/>
          <w:szCs w:val="20"/>
        </w:rPr>
        <w:t xml:space="preserve">This change has increased the number of matched outcomes, but has also resulted in a higher number of neutral and negative client outcomes. This is because the counting of an outcome occurs as soon as two outcomes assessments can be matched together, meaning that the activity may have had less time to have an impact. </w:t>
      </w:r>
      <w:r>
        <w:rPr>
          <w:sz w:val="20"/>
          <w:szCs w:val="20"/>
        </w:rPr>
        <w:t>We</w:t>
      </w:r>
      <w:r w:rsidRPr="002C1853">
        <w:rPr>
          <w:sz w:val="20"/>
          <w:szCs w:val="20"/>
        </w:rPr>
        <w:t xml:space="preserve"> </w:t>
      </w:r>
      <w:r>
        <w:rPr>
          <w:sz w:val="20"/>
          <w:szCs w:val="20"/>
        </w:rPr>
        <w:t xml:space="preserve">have </w:t>
      </w:r>
      <w:r w:rsidRPr="002C1853">
        <w:rPr>
          <w:sz w:val="20"/>
          <w:szCs w:val="20"/>
        </w:rPr>
        <w:t xml:space="preserve">provided information and caveats against each indicator </w:t>
      </w:r>
      <w:r w:rsidRPr="002C1853">
        <w:rPr>
          <w:sz w:val="20"/>
          <w:szCs w:val="20"/>
        </w:rPr>
        <w:lastRenderedPageBreak/>
        <w:t>where these system changes are likely to have influenced the overall result. The performance tables also include what the outcome results would have looked like if the new methodology were applied to previous years, enabling more accurate comparison of outcome measures across financial years.</w:t>
      </w:r>
    </w:p>
    <w:p w14:paraId="771BDB07" w14:textId="77777777" w:rsidR="00C9100B" w:rsidRPr="002C1853" w:rsidRDefault="00C9100B" w:rsidP="00C9100B">
      <w:pPr>
        <w:keepNext/>
        <w:spacing w:before="240" w:after="0" w:line="260" w:lineRule="atLeast"/>
        <w:ind w:right="425"/>
        <w:rPr>
          <w:rFonts w:ascii="Arial Narrow" w:eastAsia="Times New Roman" w:hAnsi="Arial Narrow" w:cs="Times New Roman"/>
          <w:b/>
          <w:bCs/>
          <w:spacing w:val="4"/>
          <w:sz w:val="20"/>
          <w:szCs w:val="18"/>
          <w:lang w:eastAsia="en-AU"/>
        </w:rPr>
      </w:pPr>
      <w:r w:rsidRPr="002C1853">
        <w:rPr>
          <w:rFonts w:ascii="Arial Narrow" w:eastAsia="Times New Roman" w:hAnsi="Arial Narrow" w:cs="Times New Roman"/>
          <w:b/>
          <w:bCs/>
          <w:spacing w:val="4"/>
          <w:sz w:val="20"/>
          <w:szCs w:val="18"/>
          <w:lang w:eastAsia="en-AU"/>
        </w:rPr>
        <w:t>Table 2.3.5: Percentage of assisted individuals with disability, mental illness, and carers with improved knowledge, skills, behaviours, and engagement with services</w:t>
      </w:r>
    </w:p>
    <w:tbl>
      <w:tblPr>
        <w:tblStyle w:val="HHorizontaltable14"/>
        <w:tblW w:w="5000" w:type="pct"/>
        <w:tblLook w:val="04A0" w:firstRow="1" w:lastRow="0" w:firstColumn="1" w:lastColumn="0" w:noHBand="0" w:noVBand="1"/>
        <w:tblCaption w:val="Table 2.3.5: Percentage of assisted people with disability, mental illness and carers with improved knowledge, skills, behaviours and engagement with services"/>
        <w:tblDescription w:val="Table 2.3.5: Percentage of assisted people with disability, mental illness and carers with improved knowledge, skills, behaviours and engagement with services"/>
      </w:tblPr>
      <w:tblGrid>
        <w:gridCol w:w="4449"/>
        <w:gridCol w:w="1554"/>
        <w:gridCol w:w="1554"/>
        <w:gridCol w:w="1469"/>
      </w:tblGrid>
      <w:tr w:rsidR="00874971" w:rsidRPr="002C1853" w14:paraId="51720394" w14:textId="77777777" w:rsidTr="00874971">
        <w:trPr>
          <w:cnfStyle w:val="100000000000" w:firstRow="1" w:lastRow="0" w:firstColumn="0" w:lastColumn="0" w:oddVBand="0" w:evenVBand="0" w:oddHBand="0" w:evenHBand="0" w:firstRowFirstColumn="0" w:firstRowLastColumn="0" w:lastRowFirstColumn="0" w:lastRowLastColumn="0"/>
          <w:trHeight w:val="317"/>
        </w:trPr>
        <w:tc>
          <w:tcPr>
            <w:tcW w:w="2464" w:type="pct"/>
            <w:hideMark/>
          </w:tcPr>
          <w:p w14:paraId="02AE9741" w14:textId="77777777" w:rsidR="00874971" w:rsidRPr="007F2601" w:rsidRDefault="00874971" w:rsidP="00E117FD">
            <w:pPr>
              <w:keepNext/>
              <w:keepLines/>
              <w:spacing w:before="40" w:after="40"/>
              <w:rPr>
                <w:rFonts w:eastAsia="Times New Roman" w:cs="Times New Roman"/>
                <w:sz w:val="20"/>
                <w:szCs w:val="20"/>
              </w:rPr>
            </w:pPr>
            <w:r w:rsidRPr="007F2601">
              <w:rPr>
                <w:rFonts w:eastAsia="Times New Roman" w:cs="Times New Roman"/>
                <w:sz w:val="20"/>
                <w:szCs w:val="20"/>
              </w:rPr>
              <w:t>Outcome performance measure</w:t>
            </w:r>
          </w:p>
        </w:tc>
        <w:tc>
          <w:tcPr>
            <w:tcW w:w="861" w:type="pct"/>
            <w:hideMark/>
          </w:tcPr>
          <w:p w14:paraId="6FEBE745" w14:textId="6D006A09" w:rsidR="00874971" w:rsidRPr="007F2601" w:rsidRDefault="00874971" w:rsidP="00874971">
            <w:pPr>
              <w:keepNext/>
              <w:keepLines/>
              <w:spacing w:before="40" w:after="40"/>
              <w:jc w:val="center"/>
              <w:rPr>
                <w:sz w:val="20"/>
                <w:szCs w:val="20"/>
                <w:vertAlign w:val="superscript"/>
              </w:rPr>
            </w:pPr>
            <w:r w:rsidRPr="007F2601">
              <w:rPr>
                <w:sz w:val="20"/>
                <w:szCs w:val="20"/>
              </w:rPr>
              <w:t>2019–20</w:t>
            </w:r>
            <w:r w:rsidRPr="007F2601">
              <w:rPr>
                <w:b w:val="0"/>
                <w:sz w:val="20"/>
                <w:szCs w:val="20"/>
                <w:vertAlign w:val="superscript"/>
              </w:rPr>
              <w:t>a</w:t>
            </w:r>
          </w:p>
        </w:tc>
        <w:tc>
          <w:tcPr>
            <w:tcW w:w="861" w:type="pct"/>
          </w:tcPr>
          <w:p w14:paraId="49FA7CF0" w14:textId="4F6C624D" w:rsidR="00874971" w:rsidRPr="007F2601" w:rsidRDefault="00874971" w:rsidP="00874971">
            <w:pPr>
              <w:keepNext/>
              <w:keepLines/>
              <w:spacing w:before="40" w:after="40"/>
              <w:jc w:val="center"/>
              <w:rPr>
                <w:sz w:val="20"/>
                <w:szCs w:val="20"/>
                <w:vertAlign w:val="superscript"/>
              </w:rPr>
            </w:pPr>
            <w:r w:rsidRPr="007F2601">
              <w:rPr>
                <w:sz w:val="20"/>
                <w:szCs w:val="20"/>
              </w:rPr>
              <w:t>2018–19</w:t>
            </w:r>
            <w:r w:rsidRPr="007F2601">
              <w:rPr>
                <w:b w:val="0"/>
                <w:sz w:val="20"/>
                <w:szCs w:val="20"/>
                <w:vertAlign w:val="superscript"/>
              </w:rPr>
              <w:t>a</w:t>
            </w:r>
          </w:p>
        </w:tc>
        <w:tc>
          <w:tcPr>
            <w:tcW w:w="814" w:type="pct"/>
            <w:hideMark/>
          </w:tcPr>
          <w:p w14:paraId="41468FE1" w14:textId="4E7D7B91" w:rsidR="00874971" w:rsidRPr="007F2601" w:rsidRDefault="00874971" w:rsidP="00874971">
            <w:pPr>
              <w:keepNext/>
              <w:keepLines/>
              <w:spacing w:before="40" w:after="40"/>
              <w:jc w:val="center"/>
              <w:rPr>
                <w:sz w:val="20"/>
                <w:szCs w:val="20"/>
              </w:rPr>
            </w:pPr>
            <w:r w:rsidRPr="007F2601">
              <w:rPr>
                <w:sz w:val="20"/>
                <w:szCs w:val="20"/>
              </w:rPr>
              <w:t>2017–18</w:t>
            </w:r>
            <w:r w:rsidRPr="007F2601">
              <w:rPr>
                <w:rFonts w:eastAsia="Times New Roman"/>
                <w:b w:val="0"/>
                <w:sz w:val="20"/>
                <w:szCs w:val="20"/>
                <w:vertAlign w:val="superscript"/>
              </w:rPr>
              <w:t>a</w:t>
            </w:r>
          </w:p>
        </w:tc>
      </w:tr>
      <w:tr w:rsidR="00C9100B" w:rsidRPr="002C1853" w14:paraId="092F491E" w14:textId="77777777" w:rsidTr="00874971">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Pr>
          <w:p w14:paraId="1E003649" w14:textId="77777777" w:rsidR="00C9100B" w:rsidRPr="002C1853" w:rsidRDefault="00C9100B" w:rsidP="00E117FD">
            <w:pPr>
              <w:keepNext/>
              <w:keepLines/>
              <w:spacing w:before="40" w:after="40"/>
              <w:rPr>
                <w:b/>
                <w:sz w:val="20"/>
                <w:szCs w:val="20"/>
              </w:rPr>
            </w:pPr>
            <w:r w:rsidRPr="002C1853">
              <w:rPr>
                <w:b/>
                <w:sz w:val="20"/>
                <w:szCs w:val="20"/>
              </w:rPr>
              <w:t>Disability and Carer Support</w:t>
            </w:r>
          </w:p>
        </w:tc>
      </w:tr>
      <w:tr w:rsidR="00874971" w:rsidRPr="002C1853" w14:paraId="64F1EC50" w14:textId="77777777" w:rsidTr="00874971">
        <w:trPr>
          <w:cnfStyle w:val="000000010000" w:firstRow="0" w:lastRow="0" w:firstColumn="0" w:lastColumn="0" w:oddVBand="0" w:evenVBand="0" w:oddHBand="0" w:evenHBand="1" w:firstRowFirstColumn="0" w:firstRowLastColumn="0" w:lastRowFirstColumn="0" w:lastRowLastColumn="0"/>
        </w:trPr>
        <w:tc>
          <w:tcPr>
            <w:tcW w:w="2464" w:type="pct"/>
            <w:hideMark/>
          </w:tcPr>
          <w:p w14:paraId="7614B905" w14:textId="77777777" w:rsidR="00874971" w:rsidRPr="002C1853" w:rsidRDefault="00874971" w:rsidP="00E117FD">
            <w:pPr>
              <w:keepNext/>
              <w:keepLines/>
              <w:spacing w:before="40" w:after="40"/>
              <w:rPr>
                <w:sz w:val="20"/>
                <w:szCs w:val="20"/>
              </w:rPr>
            </w:pPr>
            <w:r w:rsidRPr="002C1853">
              <w:rPr>
                <w:sz w:val="20"/>
                <w:szCs w:val="20"/>
              </w:rPr>
              <w:t xml:space="preserve">Percentage of assisted carers, with improved knowledge, skills, behaviours, and engagement with </w:t>
            </w:r>
            <w:proofErr w:type="spellStart"/>
            <w:r w:rsidRPr="002C1853">
              <w:rPr>
                <w:sz w:val="20"/>
                <w:szCs w:val="20"/>
              </w:rPr>
              <w:t>services</w:t>
            </w:r>
            <w:r w:rsidRPr="002C1853">
              <w:rPr>
                <w:sz w:val="20"/>
                <w:szCs w:val="20"/>
                <w:vertAlign w:val="superscript"/>
              </w:rPr>
              <w:t>b</w:t>
            </w:r>
            <w:proofErr w:type="spellEnd"/>
          </w:p>
        </w:tc>
        <w:tc>
          <w:tcPr>
            <w:tcW w:w="861" w:type="pct"/>
            <w:hideMark/>
          </w:tcPr>
          <w:p w14:paraId="140AECB4" w14:textId="77777777" w:rsidR="00874971" w:rsidRPr="002C1853" w:rsidRDefault="00874971" w:rsidP="00E117FD">
            <w:pPr>
              <w:keepNext/>
              <w:keepLines/>
              <w:spacing w:before="40" w:after="40"/>
              <w:jc w:val="right"/>
              <w:rPr>
                <w:rFonts w:cs="Arial"/>
                <w:sz w:val="20"/>
                <w:szCs w:val="20"/>
                <w:highlight w:val="yellow"/>
              </w:rPr>
            </w:pPr>
            <w:r w:rsidRPr="002C1853">
              <w:rPr>
                <w:sz w:val="20"/>
                <w:szCs w:val="20"/>
              </w:rPr>
              <w:t>83.2%</w:t>
            </w:r>
          </w:p>
        </w:tc>
        <w:tc>
          <w:tcPr>
            <w:tcW w:w="861" w:type="pct"/>
          </w:tcPr>
          <w:p w14:paraId="022780D9" w14:textId="77777777" w:rsidR="00874971" w:rsidRPr="002C1853" w:rsidRDefault="00874971" w:rsidP="00E117FD">
            <w:pPr>
              <w:keepNext/>
              <w:keepLines/>
              <w:spacing w:before="40" w:after="40"/>
              <w:jc w:val="right"/>
              <w:rPr>
                <w:sz w:val="20"/>
                <w:szCs w:val="20"/>
              </w:rPr>
            </w:pPr>
            <w:r w:rsidRPr="002C1853">
              <w:rPr>
                <w:sz w:val="20"/>
                <w:szCs w:val="20"/>
              </w:rPr>
              <w:t>86.9%</w:t>
            </w:r>
          </w:p>
        </w:tc>
        <w:tc>
          <w:tcPr>
            <w:tcW w:w="814" w:type="pct"/>
            <w:hideMark/>
          </w:tcPr>
          <w:p w14:paraId="4086B4F0" w14:textId="77777777" w:rsidR="00874971" w:rsidRPr="002C1853" w:rsidRDefault="00874971" w:rsidP="00E117FD">
            <w:pPr>
              <w:keepNext/>
              <w:keepLines/>
              <w:spacing w:before="40" w:after="40"/>
              <w:jc w:val="right"/>
              <w:rPr>
                <w:sz w:val="20"/>
                <w:szCs w:val="20"/>
              </w:rPr>
            </w:pPr>
            <w:r w:rsidRPr="002C1853">
              <w:rPr>
                <w:sz w:val="20"/>
                <w:szCs w:val="20"/>
              </w:rPr>
              <w:t>82.9%</w:t>
            </w:r>
          </w:p>
        </w:tc>
      </w:tr>
      <w:tr w:rsidR="00C9100B" w:rsidRPr="002C1853" w14:paraId="18AB059B" w14:textId="77777777" w:rsidTr="00874971">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Pr>
          <w:p w14:paraId="3003B106" w14:textId="77777777" w:rsidR="00C9100B" w:rsidRPr="002C1853" w:rsidRDefault="00C9100B" w:rsidP="00E117FD">
            <w:pPr>
              <w:keepNext/>
              <w:keepLines/>
              <w:spacing w:before="40" w:after="40"/>
              <w:rPr>
                <w:b/>
                <w:sz w:val="20"/>
                <w:szCs w:val="20"/>
              </w:rPr>
            </w:pPr>
            <w:r w:rsidRPr="002C1853">
              <w:rPr>
                <w:b/>
                <w:sz w:val="20"/>
                <w:szCs w:val="20"/>
              </w:rPr>
              <w:t>Community Mental Health</w:t>
            </w:r>
          </w:p>
        </w:tc>
      </w:tr>
      <w:tr w:rsidR="00874971" w:rsidRPr="002C1853" w14:paraId="7EAE992A" w14:textId="77777777" w:rsidTr="00874971">
        <w:trPr>
          <w:cnfStyle w:val="000000010000" w:firstRow="0" w:lastRow="0" w:firstColumn="0" w:lastColumn="0" w:oddVBand="0" w:evenVBand="0" w:oddHBand="0" w:evenHBand="1" w:firstRowFirstColumn="0" w:firstRowLastColumn="0" w:lastRowFirstColumn="0" w:lastRowLastColumn="0"/>
        </w:trPr>
        <w:tc>
          <w:tcPr>
            <w:tcW w:w="2464" w:type="pct"/>
            <w:hideMark/>
          </w:tcPr>
          <w:p w14:paraId="7402B74A" w14:textId="77777777" w:rsidR="00874971" w:rsidRPr="002C1853" w:rsidRDefault="00874971" w:rsidP="00E117FD">
            <w:pPr>
              <w:keepNext/>
              <w:keepLines/>
              <w:spacing w:before="40" w:after="40"/>
              <w:rPr>
                <w:sz w:val="20"/>
                <w:szCs w:val="20"/>
              </w:rPr>
            </w:pPr>
            <w:r w:rsidRPr="002C1853">
              <w:rPr>
                <w:sz w:val="20"/>
                <w:szCs w:val="20"/>
              </w:rPr>
              <w:t>Percentage of assisted individuals with mental illness with improved knowledge, skills, behaviours, and engagement with services</w:t>
            </w:r>
          </w:p>
        </w:tc>
        <w:tc>
          <w:tcPr>
            <w:tcW w:w="861" w:type="pct"/>
            <w:hideMark/>
          </w:tcPr>
          <w:p w14:paraId="273E83A0" w14:textId="77777777" w:rsidR="00874971" w:rsidRPr="002C1853" w:rsidRDefault="00874971" w:rsidP="00E117FD">
            <w:pPr>
              <w:keepNext/>
              <w:keepLines/>
              <w:spacing w:before="40" w:after="40"/>
              <w:jc w:val="right"/>
              <w:rPr>
                <w:rFonts w:cs="Arial"/>
                <w:sz w:val="20"/>
                <w:szCs w:val="20"/>
              </w:rPr>
            </w:pPr>
            <w:r w:rsidRPr="002C1853">
              <w:rPr>
                <w:sz w:val="20"/>
                <w:szCs w:val="20"/>
              </w:rPr>
              <w:t>72%</w:t>
            </w:r>
          </w:p>
        </w:tc>
        <w:tc>
          <w:tcPr>
            <w:tcW w:w="861" w:type="pct"/>
          </w:tcPr>
          <w:p w14:paraId="244C60C7" w14:textId="77777777" w:rsidR="00874971" w:rsidRPr="002C1853" w:rsidRDefault="00874971" w:rsidP="00E117FD">
            <w:pPr>
              <w:keepNext/>
              <w:keepLines/>
              <w:spacing w:before="40" w:after="40"/>
              <w:jc w:val="right"/>
              <w:rPr>
                <w:rFonts w:cs="Arial"/>
                <w:sz w:val="20"/>
                <w:szCs w:val="20"/>
              </w:rPr>
            </w:pPr>
            <w:r w:rsidRPr="002C1853">
              <w:rPr>
                <w:sz w:val="20"/>
                <w:szCs w:val="20"/>
              </w:rPr>
              <w:t>68.4%</w:t>
            </w:r>
          </w:p>
        </w:tc>
        <w:tc>
          <w:tcPr>
            <w:tcW w:w="814" w:type="pct"/>
            <w:hideMark/>
          </w:tcPr>
          <w:p w14:paraId="212968FE" w14:textId="4F898C7C" w:rsidR="00874971" w:rsidRPr="002C1853" w:rsidRDefault="00874971" w:rsidP="00874971">
            <w:pPr>
              <w:keepNext/>
              <w:keepLines/>
              <w:spacing w:before="40" w:after="40"/>
              <w:jc w:val="right"/>
              <w:rPr>
                <w:sz w:val="20"/>
                <w:szCs w:val="20"/>
              </w:rPr>
            </w:pPr>
            <w:r w:rsidRPr="002C1853">
              <w:rPr>
                <w:sz w:val="20"/>
                <w:szCs w:val="20"/>
              </w:rPr>
              <w:t>68%</w:t>
            </w:r>
          </w:p>
        </w:tc>
      </w:tr>
    </w:tbl>
    <w:p w14:paraId="454A7BAE" w14:textId="77777777" w:rsidR="00874971" w:rsidRPr="00874971" w:rsidRDefault="00874971" w:rsidP="00874971">
      <w:pPr>
        <w:keepNext/>
        <w:spacing w:before="160" w:after="60" w:line="240" w:lineRule="auto"/>
        <w:ind w:left="284" w:hanging="284"/>
        <w:contextualSpacing/>
        <w:rPr>
          <w:rFonts w:eastAsia="Calibri" w:cs="Arial"/>
          <w:sz w:val="16"/>
          <w:szCs w:val="16"/>
        </w:rPr>
      </w:pPr>
      <w:proofErr w:type="spellStart"/>
      <w:r w:rsidRPr="00874971">
        <w:rPr>
          <w:rFonts w:eastAsia="Calibri" w:cs="Arial"/>
          <w:sz w:val="16"/>
          <w:szCs w:val="16"/>
        </w:rPr>
        <w:t>a</w:t>
      </w:r>
      <w:proofErr w:type="spellEnd"/>
      <w:r w:rsidRPr="00874971">
        <w:rPr>
          <w:rFonts w:eastAsia="Calibri" w:cs="Arial"/>
          <w:sz w:val="16"/>
          <w:szCs w:val="16"/>
        </w:rPr>
        <w:tab/>
        <w:t>To measure outcomes only clients with at least two corresponding outcome domains have been counted.</w:t>
      </w:r>
    </w:p>
    <w:p w14:paraId="557792D5" w14:textId="590C9104" w:rsidR="00874971" w:rsidRPr="00874971" w:rsidRDefault="00874971" w:rsidP="00874971">
      <w:pPr>
        <w:keepNext/>
        <w:spacing w:before="160" w:after="60" w:line="240" w:lineRule="auto"/>
        <w:ind w:left="284" w:hanging="284"/>
        <w:contextualSpacing/>
        <w:rPr>
          <w:rFonts w:eastAsia="Calibri" w:cs="Arial"/>
          <w:sz w:val="16"/>
          <w:szCs w:val="16"/>
        </w:rPr>
      </w:pPr>
      <w:r w:rsidRPr="00874971">
        <w:rPr>
          <w:rFonts w:eastAsia="Calibri" w:cs="Arial"/>
          <w:sz w:val="16"/>
          <w:szCs w:val="16"/>
        </w:rPr>
        <w:t>b</w:t>
      </w:r>
      <w:r w:rsidRPr="00874971">
        <w:rPr>
          <w:rFonts w:eastAsia="Calibri" w:cs="Arial"/>
          <w:sz w:val="16"/>
          <w:szCs w:val="16"/>
        </w:rPr>
        <w:tab/>
        <w:t>This was a new performance measure for 2016–17. A refinement to the methodology has been applied to 2018–19 to better reflect overall performance. Data for 2019-20 includes outcomes data collected under the new Integrated Carer Support Service introduced from 1 July 2019, in addition to carer support programs funded under Outcome 3 until</w:t>
      </w:r>
      <w:r>
        <w:rPr>
          <w:rFonts w:eastAsia="Calibri" w:cs="Arial"/>
          <w:sz w:val="16"/>
          <w:szCs w:val="16"/>
        </w:rPr>
        <w:br/>
      </w:r>
      <w:r w:rsidRPr="00874971">
        <w:rPr>
          <w:rFonts w:eastAsia="Calibri" w:cs="Arial"/>
          <w:sz w:val="16"/>
          <w:szCs w:val="16"/>
        </w:rPr>
        <w:t>31 May 2020.</w:t>
      </w:r>
    </w:p>
    <w:p w14:paraId="13690EDF" w14:textId="77777777" w:rsidR="00C9100B" w:rsidRPr="002C1853" w:rsidRDefault="00C9100B" w:rsidP="00C9100B">
      <w:pPr>
        <w:spacing w:before="360" w:after="240"/>
        <w:outlineLvl w:val="6"/>
        <w:rPr>
          <w:rFonts w:eastAsiaTheme="majorEastAsia" w:cstheme="majorBidi"/>
          <w:b/>
          <w:iCs/>
          <w:sz w:val="26"/>
        </w:rPr>
      </w:pPr>
      <w:r w:rsidRPr="002C1853">
        <w:rPr>
          <w:rFonts w:eastAsiaTheme="majorEastAsia" w:cstheme="majorBidi"/>
          <w:b/>
          <w:iCs/>
          <w:sz w:val="26"/>
        </w:rPr>
        <w:t>C3.2 Extent of contribution to creating and implementing national approaches</w:t>
      </w:r>
    </w:p>
    <w:p w14:paraId="406C310B" w14:textId="77777777" w:rsidR="00C9100B" w:rsidRPr="002C1853" w:rsidRDefault="00C9100B" w:rsidP="00C9100B">
      <w:pPr>
        <w:rPr>
          <w:sz w:val="20"/>
          <w:szCs w:val="20"/>
        </w:rPr>
      </w:pPr>
      <w:r w:rsidRPr="002C1853">
        <w:rPr>
          <w:sz w:val="20"/>
          <w:szCs w:val="20"/>
        </w:rPr>
        <w:t>This criterion captures the high-level contribution to the larger effort made by state jurisdictions, local communities, and other government agencies.</w:t>
      </w:r>
    </w:p>
    <w:p w14:paraId="11A23709" w14:textId="77777777" w:rsidR="00C9100B" w:rsidRPr="002C1853" w:rsidRDefault="00C9100B" w:rsidP="00C9100B">
      <w:pPr>
        <w:keepNext/>
        <w:spacing w:before="240" w:after="240"/>
        <w:outlineLvl w:val="7"/>
        <w:rPr>
          <w:rFonts w:eastAsiaTheme="majorEastAsia" w:cstheme="majorBidi"/>
          <w:b/>
          <w:color w:val="595959" w:themeColor="text1" w:themeTint="A6"/>
          <w:sz w:val="24"/>
          <w:szCs w:val="20"/>
        </w:rPr>
      </w:pPr>
      <w:r w:rsidRPr="002C1853">
        <w:rPr>
          <w:rFonts w:eastAsiaTheme="majorEastAsia" w:cstheme="majorBidi"/>
          <w:b/>
          <w:color w:val="595959" w:themeColor="text1" w:themeTint="A6"/>
          <w:sz w:val="24"/>
          <w:szCs w:val="20"/>
        </w:rPr>
        <w:t xml:space="preserve">C3.2.1 Continued implementation of the </w:t>
      </w:r>
      <w:r w:rsidRPr="002C1853">
        <w:rPr>
          <w:rFonts w:eastAsiaTheme="majorEastAsia" w:cstheme="majorBidi"/>
          <w:b/>
          <w:i/>
          <w:iCs/>
          <w:color w:val="595959" w:themeColor="text1" w:themeTint="A6"/>
          <w:sz w:val="24"/>
          <w:szCs w:val="20"/>
        </w:rPr>
        <w:t>National Disability Strategy 2010–2020</w:t>
      </w:r>
    </w:p>
    <w:p w14:paraId="1726050D" w14:textId="77777777" w:rsidR="00C9100B" w:rsidRPr="002C1853" w:rsidRDefault="00C9100B" w:rsidP="00C9100B">
      <w:pPr>
        <w:rPr>
          <w:sz w:val="20"/>
          <w:szCs w:val="20"/>
        </w:rPr>
      </w:pPr>
      <w:r w:rsidRPr="002C1853">
        <w:rPr>
          <w:sz w:val="20"/>
          <w:szCs w:val="20"/>
        </w:rPr>
        <w:t xml:space="preserve">This indicator captures high-level progress made in implementing the </w:t>
      </w:r>
      <w:r w:rsidRPr="002C1853">
        <w:rPr>
          <w:i/>
          <w:sz w:val="20"/>
          <w:szCs w:val="20"/>
        </w:rPr>
        <w:t>National Disability Strategy 2010–2020</w:t>
      </w:r>
      <w:r w:rsidRPr="002C1853">
        <w:rPr>
          <w:sz w:val="20"/>
          <w:szCs w:val="20"/>
        </w:rPr>
        <w:t xml:space="preserve"> (the Strategy). The Strategy provides a 10-year national policy framework for all levels of government to improve the lives of people with disability.</w:t>
      </w:r>
    </w:p>
    <w:p w14:paraId="289C80B7" w14:textId="77777777" w:rsidR="00C9100B" w:rsidRPr="002C1853" w:rsidRDefault="00C9100B" w:rsidP="00C9100B">
      <w:pPr>
        <w:spacing w:after="0"/>
        <w:outlineLvl w:val="6"/>
        <w:rPr>
          <w:rFonts w:eastAsiaTheme="majorEastAsia" w:cstheme="majorBidi"/>
          <w:i/>
          <w:iCs/>
        </w:rPr>
      </w:pPr>
      <w:r w:rsidRPr="002C1853">
        <w:rPr>
          <w:rFonts w:eastAsiaTheme="majorEastAsia" w:cstheme="majorBidi"/>
          <w:i/>
          <w:iCs/>
        </w:rPr>
        <w:t>Analysis</w:t>
      </w:r>
    </w:p>
    <w:p w14:paraId="1702C0C7" w14:textId="3DFC85F5" w:rsidR="00C9100B" w:rsidRPr="002C1853" w:rsidRDefault="00C9100B" w:rsidP="00C9100B">
      <w:pPr>
        <w:rPr>
          <w:sz w:val="20"/>
          <w:szCs w:val="20"/>
        </w:rPr>
      </w:pPr>
      <w:r w:rsidRPr="002C1853">
        <w:rPr>
          <w:sz w:val="20"/>
          <w:szCs w:val="20"/>
        </w:rPr>
        <w:t xml:space="preserve">The Strategy is the main mechanism for all levels of government to meet Australia’s commitment under the United Nations </w:t>
      </w:r>
      <w:hyperlink r:id="rId37" w:history="1">
        <w:r w:rsidRPr="002C1853">
          <w:rPr>
            <w:i/>
            <w:sz w:val="20"/>
            <w:szCs w:val="20"/>
          </w:rPr>
          <w:t>Convention on the Rights of Persons with Disabilities</w:t>
        </w:r>
      </w:hyperlink>
      <w:r w:rsidRPr="002C1853">
        <w:rPr>
          <w:sz w:val="20"/>
          <w:szCs w:val="20"/>
        </w:rPr>
        <w:t xml:space="preserve"> (CRPD). During</w:t>
      </w:r>
      <w:r w:rsidR="00B840D9">
        <w:rPr>
          <w:sz w:val="20"/>
          <w:szCs w:val="20"/>
        </w:rPr>
        <w:br/>
      </w:r>
      <w:r w:rsidRPr="002C1853">
        <w:rPr>
          <w:sz w:val="20"/>
          <w:szCs w:val="20"/>
        </w:rPr>
        <w:t xml:space="preserve">2019–20, </w:t>
      </w:r>
      <w:r>
        <w:rPr>
          <w:sz w:val="20"/>
          <w:szCs w:val="20"/>
        </w:rPr>
        <w:t xml:space="preserve">we </w:t>
      </w:r>
      <w:r w:rsidRPr="002C1853">
        <w:rPr>
          <w:sz w:val="20"/>
          <w:szCs w:val="20"/>
        </w:rPr>
        <w:t xml:space="preserve">continued to drive action under the Strategy and </w:t>
      </w:r>
      <w:r w:rsidRPr="004109AB">
        <w:rPr>
          <w:sz w:val="20"/>
          <w:szCs w:val="20"/>
        </w:rPr>
        <w:t>with the Attorney-General’s Department</w:t>
      </w:r>
      <w:r>
        <w:rPr>
          <w:sz w:val="20"/>
          <w:szCs w:val="20"/>
        </w:rPr>
        <w:t>,</w:t>
      </w:r>
      <w:r w:rsidRPr="002C1853">
        <w:rPr>
          <w:sz w:val="20"/>
          <w:szCs w:val="20"/>
        </w:rPr>
        <w:t xml:space="preserve"> provided the Committee on the Rights of Persons with Disability with Australia’s </w:t>
      </w:r>
      <w:r w:rsidRPr="00677E24">
        <w:rPr>
          <w:sz w:val="20"/>
          <w:szCs w:val="20"/>
        </w:rPr>
        <w:t xml:space="preserve">second and third periodic report </w:t>
      </w:r>
      <w:r w:rsidRPr="002C1853">
        <w:rPr>
          <w:sz w:val="20"/>
          <w:szCs w:val="20"/>
        </w:rPr>
        <w:t xml:space="preserve">under the CRPD outlining Australia’s achievements in implementing the convention and improving outcomes for people with disability. </w:t>
      </w:r>
      <w:r>
        <w:rPr>
          <w:sz w:val="20"/>
          <w:szCs w:val="20"/>
        </w:rPr>
        <w:t>We</w:t>
      </w:r>
      <w:r w:rsidRPr="002C1853">
        <w:rPr>
          <w:sz w:val="20"/>
          <w:szCs w:val="20"/>
        </w:rPr>
        <w:t xml:space="preserve"> also sponsored a civil society delegation to attend the proceedings in Geneva in September 2019 to ensure the Committee could hear directly from people with disability and disability sector representatives.</w:t>
      </w:r>
    </w:p>
    <w:p w14:paraId="5FAA5308" w14:textId="1BABE4D8" w:rsidR="00C9100B" w:rsidRPr="002C1853" w:rsidRDefault="00C9100B" w:rsidP="00C9100B">
      <w:pPr>
        <w:rPr>
          <w:sz w:val="20"/>
          <w:szCs w:val="20"/>
        </w:rPr>
      </w:pPr>
      <w:r>
        <w:rPr>
          <w:sz w:val="20"/>
          <w:szCs w:val="20"/>
        </w:rPr>
        <w:t xml:space="preserve">We </w:t>
      </w:r>
      <w:r w:rsidRPr="002C1853">
        <w:rPr>
          <w:sz w:val="20"/>
          <w:szCs w:val="20"/>
        </w:rPr>
        <w:t xml:space="preserve">also led significant work with states, territories, local government, and the disability sector on the development of the new National Disability Strategy for beyond 2020. A report, Right to Opportunity, on the first stage of public consultations to inform the new </w:t>
      </w:r>
      <w:r>
        <w:rPr>
          <w:sz w:val="20"/>
          <w:szCs w:val="20"/>
        </w:rPr>
        <w:t xml:space="preserve">National Disability </w:t>
      </w:r>
      <w:r w:rsidRPr="002C1853">
        <w:rPr>
          <w:sz w:val="20"/>
          <w:szCs w:val="20"/>
        </w:rPr>
        <w:t>Strategy was released in December 2019. The report is available on the</w:t>
      </w:r>
      <w:r w:rsidR="00FD5421">
        <w:rPr>
          <w:sz w:val="20"/>
          <w:szCs w:val="20"/>
        </w:rPr>
        <w:t xml:space="preserve"> </w:t>
      </w:r>
      <w:r w:rsidRPr="00677E24">
        <w:rPr>
          <w:sz w:val="20"/>
          <w:szCs w:val="20"/>
        </w:rPr>
        <w:t>department’s website</w:t>
      </w:r>
      <w:r>
        <w:rPr>
          <w:sz w:val="20"/>
          <w:szCs w:val="20"/>
        </w:rPr>
        <w:t>.</w:t>
      </w:r>
      <w:r w:rsidRPr="00677E24">
        <w:rPr>
          <w:sz w:val="20"/>
          <w:szCs w:val="20"/>
        </w:rPr>
        <w:t xml:space="preserve"> </w:t>
      </w:r>
      <w:r w:rsidRPr="002C1853">
        <w:rPr>
          <w:sz w:val="20"/>
          <w:szCs w:val="20"/>
        </w:rPr>
        <w:t>A second stage of public consultations were scheduled to start</w:t>
      </w:r>
      <w:r w:rsidR="0094163C">
        <w:rPr>
          <w:sz w:val="20"/>
          <w:szCs w:val="20"/>
        </w:rPr>
        <w:t xml:space="preserve"> during</w:t>
      </w:r>
      <w:r w:rsidRPr="002C1853">
        <w:rPr>
          <w:sz w:val="20"/>
          <w:szCs w:val="20"/>
        </w:rPr>
        <w:t xml:space="preserve"> April 2020 but at the request of the disability sector it was delayed until July 2020 due to the </w:t>
      </w:r>
      <w:r>
        <w:rPr>
          <w:sz w:val="20"/>
          <w:szCs w:val="20"/>
        </w:rPr>
        <w:t>COVID-19</w:t>
      </w:r>
      <w:r w:rsidRPr="002C1853">
        <w:rPr>
          <w:sz w:val="20"/>
          <w:szCs w:val="20"/>
        </w:rPr>
        <w:t xml:space="preserve"> pandemic to ensure people with disability could safely participate and help shape the new National Disability Strategy.</w:t>
      </w:r>
    </w:p>
    <w:p w14:paraId="24403159" w14:textId="77777777" w:rsidR="00C9100B" w:rsidRPr="002C1853" w:rsidRDefault="00C9100B" w:rsidP="00C9100B">
      <w:pPr>
        <w:keepNext/>
        <w:spacing w:before="240" w:after="0" w:line="260" w:lineRule="atLeast"/>
        <w:ind w:right="425"/>
        <w:rPr>
          <w:rFonts w:ascii="Arial Narrow" w:eastAsia="Times New Roman" w:hAnsi="Arial Narrow" w:cs="Times New Roman"/>
          <w:b/>
          <w:bCs/>
          <w:spacing w:val="4"/>
          <w:sz w:val="20"/>
          <w:szCs w:val="18"/>
          <w:lang w:eastAsia="en-AU"/>
        </w:rPr>
      </w:pPr>
      <w:r w:rsidRPr="002C1853">
        <w:rPr>
          <w:rFonts w:ascii="Arial Narrow" w:eastAsia="Times New Roman" w:hAnsi="Arial Narrow" w:cs="Times New Roman"/>
          <w:b/>
          <w:bCs/>
          <w:spacing w:val="4"/>
          <w:sz w:val="20"/>
          <w:szCs w:val="18"/>
          <w:lang w:eastAsia="en-AU"/>
        </w:rPr>
        <w:lastRenderedPageBreak/>
        <w:t xml:space="preserve">Table 2.3.6: Continued implementation of the </w:t>
      </w:r>
      <w:r w:rsidRPr="00D1262C">
        <w:rPr>
          <w:rFonts w:ascii="Arial Narrow" w:eastAsia="Times New Roman" w:hAnsi="Arial Narrow" w:cs="Times New Roman"/>
          <w:b/>
          <w:bCs/>
          <w:i/>
          <w:iCs/>
          <w:spacing w:val="4"/>
          <w:sz w:val="20"/>
          <w:szCs w:val="18"/>
          <w:lang w:eastAsia="en-AU"/>
        </w:rPr>
        <w:t>National Disability Strategy 2010–2020</w:t>
      </w:r>
    </w:p>
    <w:tbl>
      <w:tblPr>
        <w:tblStyle w:val="HHorizontaltable14"/>
        <w:tblW w:w="8931" w:type="dxa"/>
        <w:tblLook w:val="04A0" w:firstRow="1" w:lastRow="0" w:firstColumn="1" w:lastColumn="0" w:noHBand="0" w:noVBand="1"/>
        <w:tblCaption w:val="Table 2.3.6: Continued implementation of the National Disability Strategy 2010-2020"/>
        <w:tblDescription w:val="Table 2.3.6: Continued implementation of the National Disability Strategy 2010-2020"/>
      </w:tblPr>
      <w:tblGrid>
        <w:gridCol w:w="2835"/>
        <w:gridCol w:w="3463"/>
        <w:gridCol w:w="2633"/>
      </w:tblGrid>
      <w:tr w:rsidR="00C9100B" w:rsidRPr="002C1853" w14:paraId="30D5C3D3" w14:textId="77777777" w:rsidTr="003A047F">
        <w:trPr>
          <w:cnfStyle w:val="100000000000" w:firstRow="1" w:lastRow="0" w:firstColumn="0" w:lastColumn="0" w:oddVBand="0" w:evenVBand="0" w:oddHBand="0" w:evenHBand="0" w:firstRowFirstColumn="0" w:firstRowLastColumn="0" w:lastRowFirstColumn="0" w:lastRowLastColumn="0"/>
          <w:trHeight w:val="317"/>
        </w:trPr>
        <w:tc>
          <w:tcPr>
            <w:tcW w:w="2835" w:type="dxa"/>
            <w:tcBorders>
              <w:bottom w:val="single" w:sz="4" w:space="0" w:color="FFFFFF" w:themeColor="background1"/>
            </w:tcBorders>
            <w:hideMark/>
          </w:tcPr>
          <w:p w14:paraId="4DB1FC32" w14:textId="77777777" w:rsidR="00C9100B" w:rsidRPr="007F2601" w:rsidRDefault="00C9100B" w:rsidP="00E117FD">
            <w:pPr>
              <w:keepNext/>
              <w:keepLines/>
              <w:spacing w:before="40" w:after="40"/>
              <w:rPr>
                <w:rFonts w:eastAsia="Times New Roman" w:cs="Times New Roman"/>
                <w:sz w:val="20"/>
                <w:szCs w:val="18"/>
              </w:rPr>
            </w:pPr>
            <w:r w:rsidRPr="007F2601">
              <w:rPr>
                <w:rFonts w:eastAsia="Times New Roman" w:cs="Times New Roman"/>
                <w:sz w:val="20"/>
                <w:szCs w:val="18"/>
              </w:rPr>
              <w:t>Intermediate outcome performance measure</w:t>
            </w:r>
          </w:p>
        </w:tc>
        <w:tc>
          <w:tcPr>
            <w:tcW w:w="3463" w:type="dxa"/>
            <w:tcBorders>
              <w:bottom w:val="single" w:sz="4" w:space="0" w:color="FFFFFF" w:themeColor="background1"/>
            </w:tcBorders>
            <w:hideMark/>
          </w:tcPr>
          <w:p w14:paraId="4024F456" w14:textId="77777777" w:rsidR="00C9100B" w:rsidRPr="007F2601" w:rsidRDefault="00C9100B" w:rsidP="00E117FD">
            <w:pPr>
              <w:keepNext/>
              <w:keepLines/>
              <w:spacing w:before="40" w:after="40"/>
              <w:rPr>
                <w:rFonts w:eastAsia="Times New Roman" w:cs="Times New Roman"/>
                <w:sz w:val="20"/>
                <w:szCs w:val="18"/>
              </w:rPr>
            </w:pPr>
            <w:r w:rsidRPr="007F2601">
              <w:rPr>
                <w:rFonts w:eastAsia="Times New Roman" w:cs="Times New Roman"/>
                <w:sz w:val="20"/>
                <w:szCs w:val="18"/>
              </w:rPr>
              <w:t>2019–20</w:t>
            </w:r>
          </w:p>
        </w:tc>
        <w:tc>
          <w:tcPr>
            <w:tcW w:w="2633" w:type="dxa"/>
            <w:tcBorders>
              <w:bottom w:val="single" w:sz="4" w:space="0" w:color="FFFFFF" w:themeColor="background1"/>
            </w:tcBorders>
          </w:tcPr>
          <w:p w14:paraId="64BE6FD7" w14:textId="77777777" w:rsidR="00C9100B" w:rsidRPr="002C1853" w:rsidRDefault="00C9100B" w:rsidP="00E117FD">
            <w:pPr>
              <w:keepNext/>
              <w:keepLines/>
              <w:spacing w:before="40" w:after="40"/>
              <w:rPr>
                <w:rFonts w:eastAsia="Times New Roman" w:cs="Times New Roman"/>
                <w:color w:val="FFFFFF" w:themeColor="background1"/>
                <w:sz w:val="20"/>
                <w:szCs w:val="18"/>
              </w:rPr>
            </w:pPr>
          </w:p>
        </w:tc>
      </w:tr>
      <w:tr w:rsidR="00C9100B" w:rsidRPr="002C1853" w14:paraId="37BC7F47" w14:textId="77777777" w:rsidTr="003A047F">
        <w:trPr>
          <w:cnfStyle w:val="000000100000" w:firstRow="0" w:lastRow="0" w:firstColumn="0" w:lastColumn="0" w:oddVBand="0" w:evenVBand="0" w:oddHBand="1" w:evenHBand="0" w:firstRowFirstColumn="0" w:firstRowLastColumn="0" w:lastRowFirstColumn="0" w:lastRowLastColumn="0"/>
          <w:trHeight w:val="317"/>
        </w:trPr>
        <w:tc>
          <w:tcPr>
            <w:tcW w:w="8931" w:type="dxa"/>
            <w:gridSpan w:val="3"/>
            <w:tcBorders>
              <w:top w:val="single" w:sz="4" w:space="0" w:color="FFFFFF" w:themeColor="background1"/>
              <w:bottom w:val="single" w:sz="18" w:space="0" w:color="00B0B9"/>
            </w:tcBorders>
            <w:hideMark/>
          </w:tcPr>
          <w:p w14:paraId="13C6411C" w14:textId="77777777" w:rsidR="00C9100B" w:rsidRPr="002C1853" w:rsidRDefault="00C9100B" w:rsidP="00E117FD">
            <w:pPr>
              <w:keepNext/>
              <w:keepLines/>
              <w:spacing w:before="40" w:after="40"/>
              <w:rPr>
                <w:rFonts w:eastAsia="Times New Roman" w:cs="Times New Roman"/>
                <w:b/>
                <w:color w:val="000000" w:themeColor="text1"/>
                <w:sz w:val="20"/>
                <w:szCs w:val="20"/>
              </w:rPr>
            </w:pPr>
            <w:r w:rsidRPr="002C1853">
              <w:rPr>
                <w:rFonts w:eastAsia="Times New Roman" w:cs="Times New Roman"/>
                <w:b/>
                <w:color w:val="000000" w:themeColor="text1"/>
                <w:sz w:val="20"/>
                <w:szCs w:val="20"/>
              </w:rPr>
              <w:t>Cross program</w:t>
            </w:r>
          </w:p>
        </w:tc>
      </w:tr>
      <w:tr w:rsidR="00C9100B" w:rsidRPr="002C1853" w14:paraId="15555FB9" w14:textId="77777777" w:rsidTr="003A047F">
        <w:trPr>
          <w:cnfStyle w:val="000000010000" w:firstRow="0" w:lastRow="0" w:firstColumn="0" w:lastColumn="0" w:oddVBand="0" w:evenVBand="0" w:oddHBand="0" w:evenHBand="1" w:firstRowFirstColumn="0" w:firstRowLastColumn="0" w:lastRowFirstColumn="0" w:lastRowLastColumn="0"/>
        </w:trPr>
        <w:tc>
          <w:tcPr>
            <w:tcW w:w="2835" w:type="dxa"/>
            <w:tcBorders>
              <w:top w:val="single" w:sz="18" w:space="0" w:color="00B0B9"/>
            </w:tcBorders>
            <w:hideMark/>
          </w:tcPr>
          <w:p w14:paraId="556B91CC" w14:textId="77777777" w:rsidR="00C9100B" w:rsidRPr="002C1853" w:rsidRDefault="00C9100B" w:rsidP="00E117FD">
            <w:pPr>
              <w:spacing w:before="40" w:after="40"/>
              <w:rPr>
                <w:rFonts w:eastAsia="Times New Roman" w:cs="Arial"/>
                <w:i/>
                <w:spacing w:val="4"/>
                <w:sz w:val="20"/>
                <w:szCs w:val="20"/>
                <w:lang w:val="en-GB"/>
              </w:rPr>
            </w:pPr>
            <w:r w:rsidRPr="002C1853">
              <w:rPr>
                <w:rFonts w:eastAsia="Times New Roman" w:cs="Times New Roman"/>
                <w:color w:val="000000" w:themeColor="text1"/>
                <w:sz w:val="20"/>
                <w:szCs w:val="20"/>
              </w:rPr>
              <w:t>Delivery of the third National Disability Strategy progress report covering 2016</w:t>
            </w:r>
            <w:r>
              <w:rPr>
                <w:rFonts w:eastAsia="Times New Roman" w:cs="Times New Roman"/>
                <w:color w:val="000000" w:themeColor="text1"/>
                <w:sz w:val="20"/>
                <w:szCs w:val="20"/>
              </w:rPr>
              <w:t>–</w:t>
            </w:r>
            <w:r w:rsidRPr="002C1853">
              <w:rPr>
                <w:rFonts w:eastAsia="Times New Roman" w:cs="Times New Roman"/>
                <w:color w:val="000000" w:themeColor="text1"/>
                <w:sz w:val="20"/>
                <w:szCs w:val="20"/>
              </w:rPr>
              <w:t>18 to COAG, developed in partnership with state and territory governments and other Commonwealth agencies</w:t>
            </w:r>
          </w:p>
        </w:tc>
        <w:tc>
          <w:tcPr>
            <w:tcW w:w="6096" w:type="dxa"/>
            <w:gridSpan w:val="2"/>
            <w:tcBorders>
              <w:top w:val="single" w:sz="18" w:space="0" w:color="00B0B9"/>
            </w:tcBorders>
            <w:hideMark/>
          </w:tcPr>
          <w:p w14:paraId="1AC51222" w14:textId="2C76E7F8" w:rsidR="00C9100B" w:rsidRPr="002C1853" w:rsidRDefault="00C9100B" w:rsidP="00E117FD">
            <w:pPr>
              <w:spacing w:before="40" w:after="40"/>
              <w:rPr>
                <w:rFonts w:eastAsia="Times New Roman"/>
                <w:color w:val="000000" w:themeColor="text1"/>
                <w:spacing w:val="4"/>
                <w:sz w:val="20"/>
                <w:szCs w:val="20"/>
                <w:lang w:val="en-GB"/>
              </w:rPr>
            </w:pPr>
            <w:r w:rsidRPr="002C1853">
              <w:rPr>
                <w:rFonts w:eastAsia="Times New Roman"/>
                <w:spacing w:val="4"/>
                <w:sz w:val="20"/>
                <w:szCs w:val="20"/>
                <w:lang w:val="en-GB"/>
              </w:rPr>
              <w:t>Second progress report (to 2016) released. Work underway with state and territory governments to finalise 2017</w:t>
            </w:r>
            <w:r>
              <w:rPr>
                <w:rFonts w:eastAsia="Times New Roman"/>
                <w:spacing w:val="4"/>
                <w:sz w:val="20"/>
                <w:szCs w:val="20"/>
                <w:lang w:val="en-GB"/>
              </w:rPr>
              <w:t>–</w:t>
            </w:r>
            <w:r w:rsidRPr="002C1853">
              <w:rPr>
                <w:rFonts w:eastAsia="Times New Roman"/>
                <w:spacing w:val="4"/>
                <w:sz w:val="20"/>
                <w:szCs w:val="20"/>
                <w:lang w:val="en-GB"/>
              </w:rPr>
              <w:t>18 and 2019</w:t>
            </w:r>
            <w:r>
              <w:rPr>
                <w:rFonts w:eastAsia="Times New Roman"/>
                <w:spacing w:val="4"/>
                <w:sz w:val="20"/>
                <w:szCs w:val="20"/>
                <w:lang w:val="en-GB"/>
              </w:rPr>
              <w:t>–</w:t>
            </w:r>
            <w:r w:rsidRPr="002C1853">
              <w:rPr>
                <w:rFonts w:eastAsia="Times New Roman"/>
                <w:spacing w:val="4"/>
                <w:sz w:val="20"/>
                <w:szCs w:val="20"/>
                <w:lang w:val="en-GB"/>
              </w:rPr>
              <w:t>20 progress reports</w:t>
            </w:r>
          </w:p>
        </w:tc>
      </w:tr>
      <w:tr w:rsidR="00C9100B" w:rsidRPr="002C1853" w14:paraId="4CFAE381" w14:textId="77777777" w:rsidTr="003A047F">
        <w:trPr>
          <w:cnfStyle w:val="000000100000" w:firstRow="0" w:lastRow="0" w:firstColumn="0" w:lastColumn="0" w:oddVBand="0" w:evenVBand="0" w:oddHBand="1" w:evenHBand="0" w:firstRowFirstColumn="0" w:firstRowLastColumn="0" w:lastRowFirstColumn="0" w:lastRowLastColumn="0"/>
        </w:trPr>
        <w:tc>
          <w:tcPr>
            <w:tcW w:w="2835" w:type="dxa"/>
          </w:tcPr>
          <w:p w14:paraId="0745E69F" w14:textId="1309DB7A" w:rsidR="00C9100B" w:rsidRPr="002C1853" w:rsidRDefault="00C9100B" w:rsidP="00CE6778">
            <w:pPr>
              <w:spacing w:before="40" w:after="40"/>
              <w:rPr>
                <w:rFonts w:eastAsia="Times New Roman" w:cs="Times New Roman"/>
                <w:color w:val="000000" w:themeColor="text1"/>
                <w:sz w:val="20"/>
                <w:szCs w:val="20"/>
              </w:rPr>
            </w:pPr>
            <w:r w:rsidRPr="002C1853">
              <w:rPr>
                <w:rFonts w:eastAsia="Times New Roman" w:cs="Times New Roman"/>
                <w:color w:val="000000" w:themeColor="text1"/>
                <w:sz w:val="20"/>
                <w:szCs w:val="20"/>
              </w:rPr>
              <w:t xml:space="preserve">Development of the Strategy’s </w:t>
            </w:r>
            <w:r w:rsidR="00CE6778">
              <w:rPr>
                <w:rFonts w:eastAsia="Times New Roman" w:cs="Times New Roman"/>
                <w:color w:val="000000" w:themeColor="text1"/>
                <w:sz w:val="20"/>
                <w:szCs w:val="20"/>
              </w:rPr>
              <w:t>Third</w:t>
            </w:r>
            <w:r w:rsidRPr="002C1853">
              <w:rPr>
                <w:rFonts w:eastAsia="Times New Roman" w:cs="Times New Roman"/>
                <w:color w:val="000000" w:themeColor="text1"/>
                <w:sz w:val="20"/>
                <w:szCs w:val="20"/>
              </w:rPr>
              <w:t xml:space="preserve"> Implementation Plan, in partnership with state and territory governments</w:t>
            </w:r>
          </w:p>
        </w:tc>
        <w:tc>
          <w:tcPr>
            <w:tcW w:w="6096" w:type="dxa"/>
            <w:gridSpan w:val="2"/>
          </w:tcPr>
          <w:p w14:paraId="1FAD0DE6" w14:textId="24A525DF" w:rsidR="00C9100B" w:rsidRPr="002C1853" w:rsidRDefault="00C9100B" w:rsidP="00CE6778">
            <w:pPr>
              <w:spacing w:before="40" w:after="40"/>
              <w:rPr>
                <w:rFonts w:eastAsia="Times New Roman"/>
                <w:color w:val="000000" w:themeColor="text1"/>
                <w:spacing w:val="4"/>
                <w:sz w:val="20"/>
                <w:szCs w:val="20"/>
                <w:lang w:val="en-GB"/>
              </w:rPr>
            </w:pPr>
            <w:r w:rsidRPr="002C1853">
              <w:rPr>
                <w:rFonts w:eastAsia="Times New Roman"/>
                <w:i/>
                <w:spacing w:val="4"/>
                <w:sz w:val="20"/>
                <w:szCs w:val="20"/>
                <w:lang w:val="en-GB"/>
              </w:rPr>
              <w:t>National Disability Strategy 2010–2020</w:t>
            </w:r>
            <w:r w:rsidR="00CE6778">
              <w:rPr>
                <w:rFonts w:eastAsia="Times New Roman"/>
                <w:spacing w:val="4"/>
                <w:sz w:val="20"/>
                <w:szCs w:val="20"/>
                <w:lang w:val="en-GB"/>
              </w:rPr>
              <w:t xml:space="preserve"> T</w:t>
            </w:r>
            <w:r w:rsidRPr="002C1853">
              <w:rPr>
                <w:rFonts w:eastAsia="Times New Roman"/>
                <w:spacing w:val="4"/>
                <w:sz w:val="20"/>
                <w:szCs w:val="20"/>
                <w:lang w:val="en-GB"/>
              </w:rPr>
              <w:t xml:space="preserve">hird </w:t>
            </w:r>
            <w:r w:rsidR="00CE6778">
              <w:rPr>
                <w:rFonts w:eastAsia="Times New Roman"/>
                <w:spacing w:val="4"/>
                <w:sz w:val="20"/>
                <w:szCs w:val="20"/>
                <w:lang w:val="en-GB"/>
              </w:rPr>
              <w:t>Implementation P</w:t>
            </w:r>
            <w:r w:rsidRPr="002C1853">
              <w:rPr>
                <w:rFonts w:eastAsia="Times New Roman"/>
                <w:spacing w:val="4"/>
                <w:sz w:val="20"/>
                <w:szCs w:val="20"/>
                <w:lang w:val="en-GB"/>
              </w:rPr>
              <w:t>lan, covering calendar years 2019 and 2020 was</w:t>
            </w:r>
            <w:r w:rsidRPr="002C1853">
              <w:rPr>
                <w:rFonts w:eastAsia="Times New Roman"/>
                <w:spacing w:val="4"/>
                <w:sz w:val="20"/>
                <w:szCs w:val="20"/>
              </w:rPr>
              <w:t xml:space="preserve"> </w:t>
            </w:r>
            <w:r w:rsidRPr="002C1853">
              <w:rPr>
                <w:rFonts w:eastAsia="Times New Roman"/>
                <w:spacing w:val="4"/>
                <w:sz w:val="20"/>
                <w:szCs w:val="20"/>
                <w:lang w:val="en-GB"/>
              </w:rPr>
              <w:t>endorsed by</w:t>
            </w:r>
            <w:r>
              <w:rPr>
                <w:rFonts w:eastAsia="Times New Roman"/>
                <w:spacing w:val="4"/>
                <w:sz w:val="20"/>
                <w:szCs w:val="20"/>
                <w:lang w:val="en-GB"/>
              </w:rPr>
              <w:t xml:space="preserve"> the</w:t>
            </w:r>
            <w:r w:rsidRPr="002C1853">
              <w:rPr>
                <w:rFonts w:eastAsia="Times New Roman"/>
                <w:spacing w:val="4"/>
                <w:sz w:val="20"/>
                <w:szCs w:val="20"/>
                <w:lang w:val="en-GB"/>
              </w:rPr>
              <w:t xml:space="preserve"> </w:t>
            </w:r>
            <w:r>
              <w:rPr>
                <w:rFonts w:eastAsia="Times New Roman"/>
                <w:spacing w:val="4"/>
                <w:sz w:val="20"/>
                <w:szCs w:val="20"/>
                <w:lang w:val="en-GB"/>
              </w:rPr>
              <w:t xml:space="preserve">Commonwealth, and </w:t>
            </w:r>
            <w:r w:rsidRPr="002C1853">
              <w:rPr>
                <w:rFonts w:eastAsia="Times New Roman"/>
                <w:spacing w:val="4"/>
                <w:sz w:val="20"/>
                <w:szCs w:val="20"/>
                <w:lang w:val="en-GB"/>
              </w:rPr>
              <w:t>state and territory disability ministers</w:t>
            </w:r>
          </w:p>
        </w:tc>
      </w:tr>
    </w:tbl>
    <w:p w14:paraId="4FF6B97C" w14:textId="77777777" w:rsidR="00C9100B" w:rsidRPr="002C1853" w:rsidRDefault="00C9100B" w:rsidP="00C9100B">
      <w:pPr>
        <w:keepNext/>
        <w:spacing w:before="240" w:after="240"/>
        <w:outlineLvl w:val="7"/>
        <w:rPr>
          <w:rFonts w:eastAsiaTheme="majorEastAsia" w:cstheme="majorBidi"/>
          <w:b/>
          <w:color w:val="595959" w:themeColor="text1" w:themeTint="A6"/>
          <w:sz w:val="24"/>
          <w:szCs w:val="20"/>
        </w:rPr>
      </w:pPr>
      <w:r w:rsidRPr="002C1853">
        <w:rPr>
          <w:rFonts w:eastAsiaTheme="majorEastAsia" w:cstheme="majorBidi"/>
          <w:b/>
          <w:color w:val="595959" w:themeColor="text1" w:themeTint="A6"/>
          <w:sz w:val="24"/>
          <w:szCs w:val="20"/>
        </w:rPr>
        <w:t>C3.2.2 Extent of contribution to create an effective and sustainable National Disability Insurance Scheme (NDIS)</w:t>
      </w:r>
    </w:p>
    <w:p w14:paraId="473699EC" w14:textId="71EDECED" w:rsidR="00C9100B" w:rsidRPr="002C1853" w:rsidRDefault="00C9100B" w:rsidP="00C9100B">
      <w:pPr>
        <w:keepNext/>
        <w:spacing w:before="240" w:after="0" w:line="260" w:lineRule="atLeast"/>
        <w:ind w:right="425"/>
        <w:rPr>
          <w:rFonts w:ascii="Arial Narrow" w:eastAsia="Times New Roman" w:hAnsi="Arial Narrow" w:cs="Times New Roman"/>
          <w:b/>
          <w:bCs/>
          <w:spacing w:val="4"/>
          <w:sz w:val="20"/>
          <w:szCs w:val="18"/>
          <w:lang w:eastAsia="en-AU"/>
        </w:rPr>
      </w:pPr>
      <w:r w:rsidRPr="002C1853">
        <w:rPr>
          <w:rFonts w:ascii="Arial Narrow" w:eastAsia="Times New Roman" w:hAnsi="Arial Narrow" w:cs="Times New Roman"/>
          <w:b/>
          <w:bCs/>
          <w:spacing w:val="4"/>
          <w:sz w:val="20"/>
          <w:szCs w:val="18"/>
          <w:lang w:eastAsia="en-AU"/>
        </w:rPr>
        <w:t xml:space="preserve">Table 2.3.7: Extent of contribution to create an effective and sustainable </w:t>
      </w:r>
      <w:r w:rsidR="00980F86">
        <w:rPr>
          <w:rFonts w:ascii="Arial Narrow" w:eastAsia="Times New Roman" w:hAnsi="Arial Narrow" w:cs="Times New Roman"/>
          <w:b/>
          <w:bCs/>
          <w:spacing w:val="4"/>
          <w:sz w:val="20"/>
          <w:szCs w:val="18"/>
          <w:lang w:eastAsia="en-AU"/>
        </w:rPr>
        <w:t>NDIS</w:t>
      </w:r>
    </w:p>
    <w:tbl>
      <w:tblPr>
        <w:tblStyle w:val="HHorizontaltable14"/>
        <w:tblW w:w="5000" w:type="pct"/>
        <w:tblLook w:val="04A0" w:firstRow="1" w:lastRow="0" w:firstColumn="1" w:lastColumn="0" w:noHBand="0" w:noVBand="1"/>
        <w:tblCaption w:val="Table 2.3.7: Extent of contribution to create an effective and sustainable NDIS"/>
        <w:tblDescription w:val="Table 2.3.7: Extent of contribution to create an effective and sustainable NDIS"/>
      </w:tblPr>
      <w:tblGrid>
        <w:gridCol w:w="2256"/>
        <w:gridCol w:w="2256"/>
        <w:gridCol w:w="2257"/>
        <w:gridCol w:w="2257"/>
      </w:tblGrid>
      <w:tr w:rsidR="00C9100B" w:rsidRPr="002C1853" w14:paraId="5575AB23"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1250" w:type="pct"/>
            <w:tcBorders>
              <w:bottom w:val="single" w:sz="4" w:space="0" w:color="FFFFFF" w:themeColor="background1"/>
            </w:tcBorders>
            <w:hideMark/>
          </w:tcPr>
          <w:p w14:paraId="14BBBE57" w14:textId="77777777" w:rsidR="00C9100B" w:rsidRPr="007F2601" w:rsidRDefault="00C9100B" w:rsidP="00E117FD">
            <w:pPr>
              <w:keepNext/>
              <w:keepLines/>
              <w:spacing w:before="40" w:after="40"/>
              <w:rPr>
                <w:rFonts w:eastAsia="Times New Roman" w:cs="Times New Roman"/>
                <w:sz w:val="20"/>
                <w:szCs w:val="18"/>
              </w:rPr>
            </w:pPr>
            <w:r w:rsidRPr="007F2601">
              <w:rPr>
                <w:rFonts w:eastAsia="Times New Roman" w:cs="Times New Roman"/>
                <w:sz w:val="20"/>
                <w:szCs w:val="18"/>
              </w:rPr>
              <w:t>Intermediate outcome performance measure</w:t>
            </w:r>
          </w:p>
        </w:tc>
        <w:tc>
          <w:tcPr>
            <w:tcW w:w="1250" w:type="pct"/>
            <w:tcBorders>
              <w:bottom w:val="single" w:sz="4" w:space="0" w:color="FFFFFF" w:themeColor="background1"/>
            </w:tcBorders>
            <w:hideMark/>
          </w:tcPr>
          <w:p w14:paraId="0181CDA6" w14:textId="77777777" w:rsidR="00C9100B" w:rsidRPr="007F2601" w:rsidRDefault="00C9100B" w:rsidP="00E117FD">
            <w:pPr>
              <w:keepNext/>
              <w:keepLines/>
              <w:spacing w:before="40" w:after="40"/>
              <w:rPr>
                <w:rFonts w:eastAsia="Times New Roman" w:cs="Times New Roman"/>
                <w:sz w:val="20"/>
                <w:szCs w:val="18"/>
              </w:rPr>
            </w:pPr>
            <w:r w:rsidRPr="007F2601">
              <w:rPr>
                <w:rFonts w:eastAsia="Times New Roman" w:cs="Times New Roman"/>
                <w:sz w:val="20"/>
                <w:szCs w:val="18"/>
              </w:rPr>
              <w:t>2019–20</w:t>
            </w:r>
          </w:p>
        </w:tc>
        <w:tc>
          <w:tcPr>
            <w:tcW w:w="1250" w:type="pct"/>
            <w:tcBorders>
              <w:bottom w:val="single" w:sz="4" w:space="0" w:color="FFFFFF" w:themeColor="background1"/>
            </w:tcBorders>
            <w:hideMark/>
          </w:tcPr>
          <w:p w14:paraId="6BBB1C10" w14:textId="77777777" w:rsidR="00C9100B" w:rsidRPr="007F2601" w:rsidRDefault="00C9100B" w:rsidP="00E117FD">
            <w:pPr>
              <w:keepNext/>
              <w:keepLines/>
              <w:spacing w:before="40" w:after="40"/>
              <w:rPr>
                <w:rFonts w:eastAsia="Times New Roman" w:cs="Times New Roman"/>
                <w:sz w:val="20"/>
                <w:szCs w:val="18"/>
              </w:rPr>
            </w:pPr>
            <w:r w:rsidRPr="007F2601">
              <w:rPr>
                <w:rFonts w:eastAsia="Times New Roman" w:cs="Times New Roman"/>
                <w:sz w:val="20"/>
                <w:szCs w:val="18"/>
              </w:rPr>
              <w:t>2018–19</w:t>
            </w:r>
          </w:p>
        </w:tc>
        <w:tc>
          <w:tcPr>
            <w:tcW w:w="1250" w:type="pct"/>
            <w:tcBorders>
              <w:bottom w:val="single" w:sz="4" w:space="0" w:color="FFFFFF" w:themeColor="background1"/>
            </w:tcBorders>
            <w:hideMark/>
          </w:tcPr>
          <w:p w14:paraId="04308BF3" w14:textId="77777777" w:rsidR="00C9100B" w:rsidRPr="007F2601" w:rsidRDefault="00C9100B" w:rsidP="00E117FD">
            <w:pPr>
              <w:keepNext/>
              <w:keepLines/>
              <w:spacing w:before="40" w:after="40"/>
              <w:rPr>
                <w:rFonts w:eastAsia="Times New Roman" w:cs="Times New Roman"/>
                <w:sz w:val="20"/>
                <w:szCs w:val="18"/>
              </w:rPr>
            </w:pPr>
            <w:r w:rsidRPr="007F2601">
              <w:rPr>
                <w:rFonts w:eastAsia="Times New Roman" w:cs="Times New Roman"/>
                <w:sz w:val="20"/>
                <w:szCs w:val="18"/>
              </w:rPr>
              <w:t>2017–18</w:t>
            </w:r>
          </w:p>
        </w:tc>
      </w:tr>
      <w:tr w:rsidR="00C9100B" w:rsidRPr="002C1853" w14:paraId="31B5886B"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1E3350F5" w14:textId="77777777" w:rsidR="00C9100B" w:rsidRPr="002C1853" w:rsidRDefault="00C9100B" w:rsidP="00E117FD">
            <w:pPr>
              <w:keepNext/>
              <w:keepLines/>
              <w:spacing w:before="40" w:after="40"/>
              <w:rPr>
                <w:rFonts w:eastAsia="Times New Roman" w:cs="Times New Roman"/>
                <w:b/>
                <w:color w:val="000000" w:themeColor="text1"/>
                <w:sz w:val="20"/>
                <w:szCs w:val="20"/>
              </w:rPr>
            </w:pPr>
            <w:r w:rsidRPr="002C1853">
              <w:rPr>
                <w:rFonts w:eastAsia="Times New Roman" w:cs="Times New Roman"/>
                <w:b/>
                <w:color w:val="000000" w:themeColor="text1"/>
                <w:sz w:val="20"/>
                <w:szCs w:val="20"/>
              </w:rPr>
              <w:t>Cross program</w:t>
            </w:r>
          </w:p>
        </w:tc>
      </w:tr>
      <w:tr w:rsidR="00C9100B" w:rsidRPr="002C1853" w14:paraId="3D374979" w14:textId="77777777" w:rsidTr="00E117FD">
        <w:trPr>
          <w:cnfStyle w:val="000000010000" w:firstRow="0" w:lastRow="0" w:firstColumn="0" w:lastColumn="0" w:oddVBand="0" w:evenVBand="0" w:oddHBand="0" w:evenHBand="1" w:firstRowFirstColumn="0" w:firstRowLastColumn="0" w:lastRowFirstColumn="0" w:lastRowLastColumn="0"/>
        </w:trPr>
        <w:tc>
          <w:tcPr>
            <w:tcW w:w="1250" w:type="pct"/>
            <w:tcBorders>
              <w:top w:val="single" w:sz="18" w:space="0" w:color="00B0B9"/>
            </w:tcBorders>
            <w:hideMark/>
          </w:tcPr>
          <w:p w14:paraId="1C3F3A4E" w14:textId="77777777" w:rsidR="00C9100B" w:rsidRPr="002C1853" w:rsidRDefault="00C9100B" w:rsidP="00E117FD">
            <w:pPr>
              <w:spacing w:before="40" w:after="40"/>
              <w:rPr>
                <w:rFonts w:eastAsia="Times New Roman" w:cs="Arial"/>
                <w:color w:val="000000" w:themeColor="text1"/>
                <w:spacing w:val="4"/>
                <w:sz w:val="20"/>
                <w:szCs w:val="20"/>
                <w:lang w:val="en-GB"/>
              </w:rPr>
            </w:pPr>
            <w:r w:rsidRPr="002C1853">
              <w:rPr>
                <w:rFonts w:eastAsia="Times New Roman"/>
                <w:color w:val="000000" w:themeColor="text1"/>
                <w:spacing w:val="4"/>
                <w:sz w:val="20"/>
                <w:szCs w:val="20"/>
                <w:lang w:val="en-GB"/>
              </w:rPr>
              <w:t>Policy, financial</w:t>
            </w:r>
            <w:r>
              <w:rPr>
                <w:rFonts w:eastAsia="Times New Roman"/>
                <w:color w:val="000000" w:themeColor="text1"/>
                <w:spacing w:val="4"/>
                <w:sz w:val="20"/>
                <w:szCs w:val="20"/>
                <w:lang w:val="en-GB"/>
              </w:rPr>
              <w:t>,</w:t>
            </w:r>
            <w:r w:rsidRPr="002C1853">
              <w:rPr>
                <w:rFonts w:eastAsia="Times New Roman"/>
                <w:color w:val="000000" w:themeColor="text1"/>
                <w:spacing w:val="4"/>
                <w:sz w:val="20"/>
                <w:szCs w:val="20"/>
                <w:lang w:val="en-GB"/>
              </w:rPr>
              <w:t xml:space="preserve"> and partnership arrangements are in place to create an effective and sustainable NDIS</w:t>
            </w:r>
          </w:p>
        </w:tc>
        <w:tc>
          <w:tcPr>
            <w:tcW w:w="1250" w:type="pct"/>
            <w:tcBorders>
              <w:top w:val="single" w:sz="18" w:space="0" w:color="00B0B9"/>
            </w:tcBorders>
            <w:hideMark/>
          </w:tcPr>
          <w:p w14:paraId="40AC761D" w14:textId="4FA73ECD" w:rsidR="00C9100B" w:rsidRPr="002C1853" w:rsidRDefault="00C9100B" w:rsidP="00E117FD">
            <w:pPr>
              <w:spacing w:before="40" w:after="40"/>
              <w:rPr>
                <w:rFonts w:eastAsia="Times New Roman"/>
                <w:color w:val="000000" w:themeColor="text1"/>
                <w:spacing w:val="4"/>
                <w:sz w:val="20"/>
                <w:szCs w:val="20"/>
                <w:lang w:val="en-GB"/>
              </w:rPr>
            </w:pPr>
            <w:r w:rsidRPr="002C1853">
              <w:rPr>
                <w:rFonts w:eastAsia="Times New Roman"/>
                <w:color w:val="000000" w:themeColor="text1"/>
                <w:spacing w:val="4"/>
                <w:sz w:val="20"/>
                <w:szCs w:val="20"/>
                <w:lang w:val="en-GB"/>
              </w:rPr>
              <w:t>Results reported against performance criterion ‘Extent to which service provision meets program objective</w:t>
            </w:r>
            <w:r w:rsidR="00980F86">
              <w:rPr>
                <w:rFonts w:eastAsia="Times New Roman"/>
                <w:color w:val="000000" w:themeColor="text1"/>
                <w:spacing w:val="4"/>
                <w:sz w:val="20"/>
                <w:szCs w:val="20"/>
                <w:lang w:val="en-GB"/>
              </w:rPr>
              <w:t>’</w:t>
            </w:r>
          </w:p>
        </w:tc>
        <w:tc>
          <w:tcPr>
            <w:tcW w:w="1250" w:type="pct"/>
            <w:tcBorders>
              <w:top w:val="single" w:sz="18" w:space="0" w:color="00B0B9"/>
            </w:tcBorders>
            <w:hideMark/>
          </w:tcPr>
          <w:p w14:paraId="333BFDB8" w14:textId="5E211E4E" w:rsidR="00C9100B" w:rsidRPr="002C1853" w:rsidRDefault="00C9100B" w:rsidP="00E117FD">
            <w:pPr>
              <w:spacing w:before="40" w:after="40"/>
              <w:rPr>
                <w:rFonts w:eastAsia="Times New Roman"/>
                <w:color w:val="000000" w:themeColor="text1"/>
                <w:spacing w:val="4"/>
                <w:sz w:val="20"/>
                <w:szCs w:val="20"/>
                <w:lang w:val="en-GB"/>
              </w:rPr>
            </w:pPr>
            <w:r w:rsidRPr="002C1853">
              <w:rPr>
                <w:rFonts w:eastAsia="Times New Roman"/>
                <w:color w:val="000000" w:themeColor="text1"/>
                <w:spacing w:val="4"/>
                <w:sz w:val="20"/>
                <w:szCs w:val="20"/>
                <w:lang w:val="en-GB"/>
              </w:rPr>
              <w:t>Results reported against performance criterion ‘Extent to which service provision meets program objective’</w:t>
            </w:r>
          </w:p>
        </w:tc>
        <w:tc>
          <w:tcPr>
            <w:tcW w:w="1250" w:type="pct"/>
            <w:tcBorders>
              <w:top w:val="single" w:sz="18" w:space="0" w:color="00B0B9"/>
            </w:tcBorders>
            <w:hideMark/>
          </w:tcPr>
          <w:p w14:paraId="1F8144C0" w14:textId="37947C64" w:rsidR="00C9100B" w:rsidRPr="002C1853" w:rsidRDefault="00C9100B" w:rsidP="00E117FD">
            <w:pPr>
              <w:spacing w:before="40" w:after="40"/>
              <w:rPr>
                <w:rFonts w:eastAsia="Times New Roman"/>
                <w:color w:val="000000" w:themeColor="text1"/>
                <w:spacing w:val="4"/>
                <w:sz w:val="20"/>
                <w:szCs w:val="20"/>
                <w:lang w:val="en-GB"/>
              </w:rPr>
            </w:pPr>
            <w:r w:rsidRPr="002C1853">
              <w:rPr>
                <w:rFonts w:eastAsia="Times New Roman"/>
                <w:color w:val="000000" w:themeColor="text1"/>
                <w:spacing w:val="4"/>
                <w:sz w:val="20"/>
                <w:szCs w:val="20"/>
                <w:lang w:val="en-GB"/>
              </w:rPr>
              <w:t>Results reported against performance criterion ‘Extent to which service provision meets program objective’</w:t>
            </w:r>
          </w:p>
        </w:tc>
      </w:tr>
    </w:tbl>
    <w:p w14:paraId="55C26ABE" w14:textId="77777777" w:rsidR="00C9100B" w:rsidRDefault="00C9100B" w:rsidP="00C9100B">
      <w:pPr>
        <w:keepNext/>
        <w:spacing w:before="240" w:after="240"/>
        <w:outlineLvl w:val="6"/>
        <w:rPr>
          <w:rFonts w:eastAsiaTheme="majorEastAsia" w:cstheme="majorBidi"/>
          <w:b/>
          <w:iCs/>
          <w:sz w:val="26"/>
        </w:rPr>
      </w:pPr>
    </w:p>
    <w:p w14:paraId="28AD5027" w14:textId="77777777" w:rsidR="00715F6F" w:rsidRDefault="00715F6F">
      <w:pPr>
        <w:rPr>
          <w:rFonts w:eastAsiaTheme="majorEastAsia" w:cstheme="majorBidi"/>
          <w:b/>
          <w:iCs/>
          <w:sz w:val="26"/>
        </w:rPr>
        <w:sectPr w:rsidR="00715F6F" w:rsidSect="00A94724">
          <w:footnotePr>
            <w:numRestart w:val="eachPage"/>
          </w:footnotePr>
          <w:pgSz w:w="11906" w:h="16838"/>
          <w:pgMar w:top="1440" w:right="1440" w:bottom="1440" w:left="1440" w:header="709" w:footer="709" w:gutter="0"/>
          <w:cols w:space="708"/>
          <w:docGrid w:linePitch="360"/>
        </w:sectPr>
      </w:pPr>
    </w:p>
    <w:p w14:paraId="0D0A8AFD" w14:textId="1E85D1A5" w:rsidR="00C9100B" w:rsidRPr="002C1853" w:rsidRDefault="00C9100B" w:rsidP="00C9100B">
      <w:pPr>
        <w:keepNext/>
        <w:spacing w:before="240" w:after="240"/>
        <w:outlineLvl w:val="6"/>
        <w:rPr>
          <w:rFonts w:eastAsiaTheme="majorEastAsia" w:cstheme="majorBidi"/>
          <w:b/>
          <w:iCs/>
          <w:sz w:val="26"/>
        </w:rPr>
      </w:pPr>
      <w:r w:rsidRPr="002C1853">
        <w:rPr>
          <w:rFonts w:eastAsiaTheme="majorEastAsia" w:cstheme="majorBidi"/>
          <w:b/>
          <w:iCs/>
          <w:sz w:val="26"/>
        </w:rPr>
        <w:lastRenderedPageBreak/>
        <w:t>C3.3 Extent to which service provision meets program objective</w:t>
      </w:r>
    </w:p>
    <w:p w14:paraId="6882D231" w14:textId="77777777" w:rsidR="00C9100B" w:rsidRPr="002C1853" w:rsidRDefault="00C9100B" w:rsidP="00C9100B">
      <w:pPr>
        <w:rPr>
          <w:sz w:val="20"/>
          <w:szCs w:val="20"/>
        </w:rPr>
      </w:pPr>
      <w:r w:rsidRPr="002C1853">
        <w:rPr>
          <w:sz w:val="20"/>
          <w:szCs w:val="20"/>
        </w:rPr>
        <w:t>This criterion explores a range of payment and service provision parameters that indicate progress towards outcomes, rather than impact. These include whether funds have been spent consistent with the program objective, satisfaction with services, and service usage by priority groups.</w:t>
      </w:r>
    </w:p>
    <w:p w14:paraId="7DC68A2C" w14:textId="77777777" w:rsidR="00C9100B" w:rsidRPr="002C1853" w:rsidRDefault="00C9100B" w:rsidP="00C9100B">
      <w:pPr>
        <w:spacing w:before="240" w:after="240"/>
        <w:outlineLvl w:val="7"/>
        <w:rPr>
          <w:rFonts w:eastAsiaTheme="majorEastAsia" w:cstheme="majorBidi"/>
          <w:b/>
          <w:color w:val="595959" w:themeColor="text1" w:themeTint="A6"/>
          <w:sz w:val="24"/>
          <w:szCs w:val="20"/>
        </w:rPr>
      </w:pPr>
      <w:r w:rsidRPr="002C1853">
        <w:rPr>
          <w:rFonts w:eastAsiaTheme="majorEastAsia" w:cstheme="majorBidi"/>
          <w:b/>
          <w:color w:val="595959" w:themeColor="text1" w:themeTint="A6"/>
          <w:sz w:val="24"/>
          <w:szCs w:val="20"/>
        </w:rPr>
        <w:t>C3.3.2 Extent of satisfaction with services</w:t>
      </w:r>
    </w:p>
    <w:p w14:paraId="44AFBB29" w14:textId="77777777" w:rsidR="00C9100B" w:rsidRPr="002C1853" w:rsidRDefault="00C9100B" w:rsidP="00C9100B">
      <w:pPr>
        <w:rPr>
          <w:sz w:val="20"/>
          <w:szCs w:val="20"/>
        </w:rPr>
      </w:pPr>
      <w:r w:rsidRPr="002C1853">
        <w:rPr>
          <w:sz w:val="20"/>
          <w:szCs w:val="20"/>
        </w:rPr>
        <w:t>This indicator helps us better understand how funded services are meeting the needs of individuals and communities through feedback from individuals, service providers, or stakeholders on the impacts of services provided.</w:t>
      </w:r>
    </w:p>
    <w:p w14:paraId="24ABF36E" w14:textId="77777777" w:rsidR="00C9100B" w:rsidRPr="002C1853" w:rsidRDefault="00C9100B" w:rsidP="00C9100B">
      <w:pPr>
        <w:keepNext/>
        <w:spacing w:before="240" w:after="0" w:line="260" w:lineRule="atLeast"/>
        <w:ind w:right="425"/>
        <w:rPr>
          <w:rFonts w:ascii="Arial Narrow" w:eastAsia="Times New Roman" w:hAnsi="Arial Narrow" w:cs="Times New Roman"/>
          <w:b/>
          <w:bCs/>
          <w:spacing w:val="4"/>
          <w:sz w:val="20"/>
          <w:szCs w:val="18"/>
          <w:lang w:eastAsia="en-AU"/>
        </w:rPr>
      </w:pPr>
      <w:r w:rsidRPr="002C1853">
        <w:rPr>
          <w:rFonts w:ascii="Arial Narrow" w:eastAsia="Times New Roman" w:hAnsi="Arial Narrow" w:cs="Times New Roman"/>
          <w:b/>
          <w:bCs/>
          <w:spacing w:val="4"/>
          <w:sz w:val="20"/>
          <w:szCs w:val="18"/>
          <w:lang w:eastAsia="en-AU"/>
        </w:rPr>
        <w:t>Table 2.3.8: Extent of satisfaction with services</w:t>
      </w:r>
    </w:p>
    <w:tbl>
      <w:tblPr>
        <w:tblStyle w:val="HHorizontaltable14"/>
        <w:tblW w:w="5000" w:type="pct"/>
        <w:tblLook w:val="04A0" w:firstRow="1" w:lastRow="0" w:firstColumn="1" w:lastColumn="0" w:noHBand="0" w:noVBand="1"/>
        <w:tblCaption w:val="Table 2.3.8: Extent of satisfaction with services"/>
        <w:tblDescription w:val="Table 2.3.8: Extent of satisfaction with services"/>
      </w:tblPr>
      <w:tblGrid>
        <w:gridCol w:w="4516"/>
        <w:gridCol w:w="1504"/>
        <w:gridCol w:w="1504"/>
        <w:gridCol w:w="1502"/>
      </w:tblGrid>
      <w:tr w:rsidR="00C9100B" w:rsidRPr="002C1853" w14:paraId="518762D5"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2502" w:type="pct"/>
            <w:tcBorders>
              <w:bottom w:val="single" w:sz="4" w:space="0" w:color="FFFFFF" w:themeColor="background1"/>
            </w:tcBorders>
            <w:hideMark/>
          </w:tcPr>
          <w:p w14:paraId="73A68D23" w14:textId="77777777" w:rsidR="00C9100B" w:rsidRPr="007F2601" w:rsidRDefault="00C9100B" w:rsidP="00E117FD">
            <w:pPr>
              <w:spacing w:before="40" w:after="40"/>
              <w:ind w:right="-1856"/>
              <w:rPr>
                <w:rFonts w:eastAsia="Times New Roman" w:cs="Times New Roman"/>
                <w:sz w:val="20"/>
                <w:szCs w:val="18"/>
              </w:rPr>
            </w:pPr>
            <w:r w:rsidRPr="007F2601">
              <w:rPr>
                <w:rFonts w:eastAsia="Times New Roman" w:cs="Times New Roman"/>
                <w:sz w:val="20"/>
                <w:szCs w:val="18"/>
              </w:rPr>
              <w:t>Intermediate outcome performance measure</w:t>
            </w:r>
          </w:p>
        </w:tc>
        <w:tc>
          <w:tcPr>
            <w:tcW w:w="833" w:type="pct"/>
            <w:tcBorders>
              <w:bottom w:val="single" w:sz="4" w:space="0" w:color="FFFFFF" w:themeColor="background1"/>
            </w:tcBorders>
            <w:hideMark/>
          </w:tcPr>
          <w:p w14:paraId="5781712C" w14:textId="77777777" w:rsidR="00C9100B" w:rsidRPr="007F2601" w:rsidRDefault="00C9100B" w:rsidP="00E117FD">
            <w:pPr>
              <w:spacing w:before="40" w:after="40"/>
              <w:jc w:val="right"/>
              <w:rPr>
                <w:rFonts w:eastAsia="Times New Roman" w:cs="Times New Roman"/>
                <w:sz w:val="20"/>
                <w:szCs w:val="18"/>
              </w:rPr>
            </w:pPr>
            <w:r w:rsidRPr="007F2601">
              <w:rPr>
                <w:rFonts w:eastAsia="Times New Roman" w:cs="Times New Roman"/>
                <w:sz w:val="20"/>
                <w:szCs w:val="18"/>
              </w:rPr>
              <w:t>2019–20</w:t>
            </w:r>
          </w:p>
        </w:tc>
        <w:tc>
          <w:tcPr>
            <w:tcW w:w="833" w:type="pct"/>
            <w:tcBorders>
              <w:bottom w:val="single" w:sz="4" w:space="0" w:color="FFFFFF" w:themeColor="background1"/>
            </w:tcBorders>
            <w:hideMark/>
          </w:tcPr>
          <w:p w14:paraId="1BDF8FC2" w14:textId="77777777" w:rsidR="00C9100B" w:rsidRPr="007F2601" w:rsidRDefault="00C9100B" w:rsidP="00E117FD">
            <w:pPr>
              <w:spacing w:before="40" w:after="40"/>
              <w:jc w:val="right"/>
              <w:rPr>
                <w:rFonts w:eastAsia="Times New Roman" w:cs="Times New Roman"/>
                <w:sz w:val="20"/>
                <w:szCs w:val="18"/>
              </w:rPr>
            </w:pPr>
            <w:r w:rsidRPr="007F2601">
              <w:rPr>
                <w:rFonts w:eastAsia="Times New Roman" w:cs="Times New Roman"/>
                <w:sz w:val="20"/>
                <w:szCs w:val="18"/>
              </w:rPr>
              <w:t>2018–19</w:t>
            </w:r>
          </w:p>
        </w:tc>
        <w:tc>
          <w:tcPr>
            <w:tcW w:w="832" w:type="pct"/>
            <w:tcBorders>
              <w:bottom w:val="single" w:sz="4" w:space="0" w:color="FFFFFF" w:themeColor="background1"/>
            </w:tcBorders>
            <w:hideMark/>
          </w:tcPr>
          <w:p w14:paraId="6A9AD918" w14:textId="77777777" w:rsidR="00C9100B" w:rsidRPr="007F2601" w:rsidRDefault="00C9100B" w:rsidP="00E117FD">
            <w:pPr>
              <w:spacing w:before="40" w:after="40"/>
              <w:jc w:val="right"/>
              <w:rPr>
                <w:rFonts w:eastAsia="Times New Roman" w:cs="Times New Roman"/>
                <w:sz w:val="20"/>
                <w:szCs w:val="18"/>
              </w:rPr>
            </w:pPr>
            <w:r w:rsidRPr="007F2601">
              <w:rPr>
                <w:rFonts w:eastAsia="Times New Roman" w:cs="Times New Roman"/>
                <w:sz w:val="20"/>
                <w:szCs w:val="18"/>
              </w:rPr>
              <w:t>2017–18</w:t>
            </w:r>
          </w:p>
        </w:tc>
      </w:tr>
      <w:tr w:rsidR="00C9100B" w:rsidRPr="002C1853" w14:paraId="33AFDF5B"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51E75B8C" w14:textId="77777777" w:rsidR="00C9100B" w:rsidRPr="002C1853" w:rsidRDefault="00C9100B" w:rsidP="00E117FD">
            <w:pPr>
              <w:spacing w:before="40" w:after="40"/>
              <w:rPr>
                <w:b/>
                <w:sz w:val="20"/>
                <w:szCs w:val="20"/>
              </w:rPr>
            </w:pPr>
            <w:r w:rsidRPr="002C1853">
              <w:rPr>
                <w:b/>
                <w:sz w:val="20"/>
                <w:szCs w:val="20"/>
              </w:rPr>
              <w:t>Disability and Carer Support</w:t>
            </w:r>
          </w:p>
        </w:tc>
      </w:tr>
      <w:tr w:rsidR="00C9100B" w:rsidRPr="002C1853" w14:paraId="2BA27DC3" w14:textId="77777777" w:rsidTr="00E117FD">
        <w:trPr>
          <w:cnfStyle w:val="000000010000" w:firstRow="0" w:lastRow="0" w:firstColumn="0" w:lastColumn="0" w:oddVBand="0" w:evenVBand="0" w:oddHBand="0" w:evenHBand="1" w:firstRowFirstColumn="0" w:firstRowLastColumn="0" w:lastRowFirstColumn="0" w:lastRowLastColumn="0"/>
        </w:trPr>
        <w:tc>
          <w:tcPr>
            <w:tcW w:w="5000" w:type="pct"/>
            <w:gridSpan w:val="4"/>
            <w:tcBorders>
              <w:top w:val="single" w:sz="18" w:space="0" w:color="00B0B9"/>
            </w:tcBorders>
            <w:hideMark/>
          </w:tcPr>
          <w:p w14:paraId="7D186332" w14:textId="77777777" w:rsidR="00C9100B" w:rsidRPr="002C1853" w:rsidRDefault="00C9100B" w:rsidP="00E117FD">
            <w:pPr>
              <w:spacing w:before="40" w:after="40"/>
              <w:rPr>
                <w:b/>
                <w:sz w:val="20"/>
              </w:rPr>
            </w:pPr>
            <w:r w:rsidRPr="002C1853">
              <w:rPr>
                <w:sz w:val="20"/>
              </w:rPr>
              <w:t>Percentage of individuals and families satisfied with the service provided by Carer Gateway</w:t>
            </w:r>
          </w:p>
        </w:tc>
      </w:tr>
      <w:tr w:rsidR="00C9100B" w:rsidRPr="002C1853" w14:paraId="6835C1EB"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hideMark/>
          </w:tcPr>
          <w:p w14:paraId="13BF5A6A" w14:textId="77777777" w:rsidR="00C9100B" w:rsidRPr="002C1853" w:rsidRDefault="00C9100B" w:rsidP="00E117FD">
            <w:pPr>
              <w:numPr>
                <w:ilvl w:val="0"/>
                <w:numId w:val="93"/>
              </w:numPr>
              <w:spacing w:before="40" w:after="40"/>
              <w:rPr>
                <w:rFonts w:eastAsia="Times New Roman" w:cs="Arial"/>
                <w:color w:val="000000" w:themeColor="text1"/>
                <w:spacing w:val="4"/>
                <w:sz w:val="20"/>
                <w:szCs w:val="20"/>
                <w:lang w:val="en-GB"/>
              </w:rPr>
            </w:pPr>
            <w:r w:rsidRPr="002C1853">
              <w:rPr>
                <w:rFonts w:eastAsia="Times New Roman" w:cs="Arial"/>
                <w:color w:val="000000" w:themeColor="text1"/>
                <w:spacing w:val="4"/>
                <w:sz w:val="20"/>
                <w:szCs w:val="20"/>
                <w:lang w:val="en-GB"/>
              </w:rPr>
              <w:t xml:space="preserve">Call </w:t>
            </w:r>
            <w:proofErr w:type="spellStart"/>
            <w:r w:rsidRPr="002C1853">
              <w:rPr>
                <w:rFonts w:eastAsia="Times New Roman" w:cs="Arial"/>
                <w:color w:val="000000" w:themeColor="text1"/>
                <w:spacing w:val="4"/>
                <w:sz w:val="20"/>
                <w:szCs w:val="20"/>
                <w:lang w:val="en-GB"/>
              </w:rPr>
              <w:t>satisfaction</w:t>
            </w:r>
            <w:r w:rsidRPr="002C1853">
              <w:rPr>
                <w:rFonts w:eastAsia="Times New Roman" w:cs="Arial"/>
                <w:color w:val="000000" w:themeColor="text1"/>
                <w:spacing w:val="4"/>
                <w:sz w:val="20"/>
                <w:szCs w:val="20"/>
                <w:vertAlign w:val="superscript"/>
                <w:lang w:val="en-GB"/>
              </w:rPr>
              <w:t>a</w:t>
            </w:r>
            <w:proofErr w:type="spellEnd"/>
          </w:p>
        </w:tc>
        <w:tc>
          <w:tcPr>
            <w:tcW w:w="833" w:type="pct"/>
            <w:hideMark/>
          </w:tcPr>
          <w:p w14:paraId="2EFC4D4E" w14:textId="77777777" w:rsidR="00C9100B" w:rsidRPr="002C1853" w:rsidRDefault="00C9100B" w:rsidP="00E117FD">
            <w:pPr>
              <w:spacing w:before="40" w:after="40"/>
              <w:jc w:val="right"/>
              <w:rPr>
                <w:sz w:val="20"/>
                <w:szCs w:val="20"/>
              </w:rPr>
            </w:pPr>
            <w:r w:rsidRPr="002C1853">
              <w:rPr>
                <w:sz w:val="20"/>
                <w:szCs w:val="20"/>
              </w:rPr>
              <w:t>93%</w:t>
            </w:r>
          </w:p>
        </w:tc>
        <w:tc>
          <w:tcPr>
            <w:tcW w:w="833" w:type="pct"/>
            <w:hideMark/>
          </w:tcPr>
          <w:p w14:paraId="202E770A" w14:textId="77777777" w:rsidR="00C9100B" w:rsidRPr="002C1853" w:rsidRDefault="00C9100B" w:rsidP="00E117FD">
            <w:pPr>
              <w:spacing w:before="40" w:after="40"/>
              <w:jc w:val="right"/>
              <w:rPr>
                <w:sz w:val="20"/>
                <w:szCs w:val="20"/>
              </w:rPr>
            </w:pPr>
            <w:r w:rsidRPr="002C1853">
              <w:rPr>
                <w:sz w:val="20"/>
                <w:szCs w:val="20"/>
              </w:rPr>
              <w:t>93%</w:t>
            </w:r>
          </w:p>
        </w:tc>
        <w:tc>
          <w:tcPr>
            <w:tcW w:w="832" w:type="pct"/>
            <w:hideMark/>
          </w:tcPr>
          <w:p w14:paraId="31997BF9" w14:textId="77777777" w:rsidR="00C9100B" w:rsidRPr="002C1853" w:rsidRDefault="00C9100B" w:rsidP="00E117FD">
            <w:pPr>
              <w:spacing w:before="40" w:after="40"/>
              <w:jc w:val="right"/>
              <w:rPr>
                <w:sz w:val="20"/>
                <w:szCs w:val="20"/>
              </w:rPr>
            </w:pPr>
            <w:r w:rsidRPr="002C1853">
              <w:rPr>
                <w:sz w:val="20"/>
                <w:szCs w:val="20"/>
              </w:rPr>
              <w:t>93%</w:t>
            </w:r>
          </w:p>
        </w:tc>
      </w:tr>
      <w:tr w:rsidR="00C9100B" w:rsidRPr="002C1853" w14:paraId="1216CF73"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hideMark/>
          </w:tcPr>
          <w:p w14:paraId="715D32A1" w14:textId="77777777" w:rsidR="00C9100B" w:rsidRPr="002C1853" w:rsidRDefault="00C9100B" w:rsidP="00E117FD">
            <w:pPr>
              <w:numPr>
                <w:ilvl w:val="0"/>
                <w:numId w:val="93"/>
              </w:numPr>
              <w:spacing w:before="40" w:after="40"/>
              <w:rPr>
                <w:rFonts w:eastAsia="Times New Roman"/>
                <w:color w:val="000000" w:themeColor="text1"/>
                <w:spacing w:val="4"/>
                <w:sz w:val="20"/>
                <w:szCs w:val="20"/>
                <w:lang w:val="en-GB"/>
              </w:rPr>
            </w:pPr>
            <w:r w:rsidRPr="002C1853">
              <w:rPr>
                <w:rFonts w:eastAsia="Times New Roman"/>
                <w:color w:val="000000" w:themeColor="text1"/>
                <w:spacing w:val="4"/>
                <w:sz w:val="20"/>
                <w:szCs w:val="20"/>
                <w:lang w:val="en-GB"/>
              </w:rPr>
              <w:t xml:space="preserve">Website </w:t>
            </w:r>
            <w:proofErr w:type="spellStart"/>
            <w:r w:rsidRPr="002C1853">
              <w:rPr>
                <w:rFonts w:eastAsia="Times New Roman"/>
                <w:color w:val="000000" w:themeColor="text1"/>
                <w:spacing w:val="4"/>
                <w:sz w:val="20"/>
                <w:szCs w:val="20"/>
                <w:lang w:val="en-GB"/>
              </w:rPr>
              <w:t>satisfaction</w:t>
            </w:r>
            <w:r w:rsidRPr="002C1853">
              <w:rPr>
                <w:rFonts w:eastAsia="Times New Roman"/>
                <w:color w:val="000000" w:themeColor="text1"/>
                <w:spacing w:val="4"/>
                <w:sz w:val="20"/>
                <w:szCs w:val="20"/>
                <w:vertAlign w:val="superscript"/>
                <w:lang w:val="en-GB"/>
              </w:rPr>
              <w:t>b</w:t>
            </w:r>
            <w:proofErr w:type="spellEnd"/>
          </w:p>
        </w:tc>
        <w:tc>
          <w:tcPr>
            <w:tcW w:w="833" w:type="pct"/>
            <w:hideMark/>
          </w:tcPr>
          <w:p w14:paraId="1F6C37A9" w14:textId="1397B831" w:rsidR="00C9100B" w:rsidRPr="002C1853" w:rsidRDefault="00384B66" w:rsidP="00E117FD">
            <w:pPr>
              <w:spacing w:before="40" w:after="40"/>
              <w:jc w:val="right"/>
              <w:rPr>
                <w:sz w:val="20"/>
                <w:szCs w:val="20"/>
              </w:rPr>
            </w:pPr>
            <w:r w:rsidRPr="00771C23">
              <w:rPr>
                <w:rFonts w:eastAsia="Times New Roman"/>
                <w:color w:val="000000" w:themeColor="text1"/>
                <w:spacing w:val="4"/>
                <w:sz w:val="20"/>
                <w:szCs w:val="20"/>
                <w:lang w:val="en-GB"/>
              </w:rPr>
              <w:t>–</w:t>
            </w:r>
          </w:p>
        </w:tc>
        <w:tc>
          <w:tcPr>
            <w:tcW w:w="833" w:type="pct"/>
            <w:hideMark/>
          </w:tcPr>
          <w:p w14:paraId="15A01AE6" w14:textId="77777777" w:rsidR="00C9100B" w:rsidRPr="002C1853" w:rsidRDefault="00C9100B" w:rsidP="00E117FD">
            <w:pPr>
              <w:spacing w:before="40" w:after="40"/>
              <w:jc w:val="right"/>
              <w:rPr>
                <w:sz w:val="20"/>
                <w:szCs w:val="20"/>
              </w:rPr>
            </w:pPr>
            <w:r w:rsidRPr="002C1853">
              <w:rPr>
                <w:sz w:val="20"/>
                <w:szCs w:val="20"/>
              </w:rPr>
              <w:t>68%</w:t>
            </w:r>
          </w:p>
        </w:tc>
        <w:tc>
          <w:tcPr>
            <w:tcW w:w="832" w:type="pct"/>
            <w:hideMark/>
          </w:tcPr>
          <w:p w14:paraId="3A34AE7D" w14:textId="77777777" w:rsidR="00C9100B" w:rsidRPr="002C1853" w:rsidRDefault="00C9100B" w:rsidP="00E117FD">
            <w:pPr>
              <w:spacing w:before="40" w:after="40"/>
              <w:jc w:val="right"/>
              <w:rPr>
                <w:sz w:val="20"/>
                <w:szCs w:val="20"/>
              </w:rPr>
            </w:pPr>
            <w:r w:rsidRPr="002C1853">
              <w:rPr>
                <w:sz w:val="20"/>
                <w:szCs w:val="20"/>
              </w:rPr>
              <w:t>67%</w:t>
            </w:r>
          </w:p>
        </w:tc>
      </w:tr>
      <w:tr w:rsidR="00C9100B" w:rsidRPr="002C1853" w14:paraId="1597C205"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tcBorders>
              <w:bottom w:val="single" w:sz="4" w:space="0" w:color="FFFFFF" w:themeColor="background1"/>
            </w:tcBorders>
            <w:hideMark/>
          </w:tcPr>
          <w:p w14:paraId="102120AF" w14:textId="77777777" w:rsidR="00C9100B" w:rsidRPr="002C1853" w:rsidRDefault="00C9100B" w:rsidP="00E117FD">
            <w:pPr>
              <w:spacing w:before="40" w:after="40"/>
              <w:rPr>
                <w:sz w:val="20"/>
                <w:szCs w:val="20"/>
              </w:rPr>
            </w:pPr>
            <w:r w:rsidRPr="002C1853">
              <w:rPr>
                <w:sz w:val="20"/>
                <w:szCs w:val="20"/>
              </w:rPr>
              <w:t>Percentage of individuals who report that they are satisfied that the service they received was appropriate to their needs</w:t>
            </w:r>
          </w:p>
        </w:tc>
        <w:tc>
          <w:tcPr>
            <w:tcW w:w="833" w:type="pct"/>
            <w:tcBorders>
              <w:bottom w:val="single" w:sz="4" w:space="0" w:color="FFFFFF" w:themeColor="background1"/>
            </w:tcBorders>
            <w:hideMark/>
          </w:tcPr>
          <w:p w14:paraId="61EF8C00" w14:textId="77777777" w:rsidR="00C9100B" w:rsidRPr="002C1853" w:rsidRDefault="00C9100B" w:rsidP="00E117FD">
            <w:pPr>
              <w:spacing w:before="40" w:after="40"/>
              <w:jc w:val="right"/>
              <w:rPr>
                <w:sz w:val="20"/>
                <w:szCs w:val="20"/>
              </w:rPr>
            </w:pPr>
            <w:r w:rsidRPr="002C1853">
              <w:rPr>
                <w:sz w:val="20"/>
                <w:szCs w:val="20"/>
              </w:rPr>
              <w:t>99.1%</w:t>
            </w:r>
          </w:p>
        </w:tc>
        <w:tc>
          <w:tcPr>
            <w:tcW w:w="833" w:type="pct"/>
            <w:tcBorders>
              <w:bottom w:val="single" w:sz="4" w:space="0" w:color="FFFFFF" w:themeColor="background1"/>
            </w:tcBorders>
            <w:hideMark/>
          </w:tcPr>
          <w:p w14:paraId="3DDABF35" w14:textId="77777777" w:rsidR="00C9100B" w:rsidRPr="002C1853" w:rsidRDefault="00C9100B" w:rsidP="00E117FD">
            <w:pPr>
              <w:spacing w:before="40" w:after="40"/>
              <w:jc w:val="right"/>
              <w:rPr>
                <w:sz w:val="20"/>
                <w:szCs w:val="20"/>
                <w:highlight w:val="yellow"/>
              </w:rPr>
            </w:pPr>
            <w:r w:rsidRPr="002C1853">
              <w:rPr>
                <w:sz w:val="20"/>
                <w:szCs w:val="20"/>
              </w:rPr>
              <w:t>97.2%</w:t>
            </w:r>
          </w:p>
        </w:tc>
        <w:tc>
          <w:tcPr>
            <w:tcW w:w="832" w:type="pct"/>
            <w:tcBorders>
              <w:bottom w:val="single" w:sz="4" w:space="0" w:color="FFFFFF" w:themeColor="background1"/>
            </w:tcBorders>
            <w:hideMark/>
          </w:tcPr>
          <w:p w14:paraId="0BE61A9D" w14:textId="77777777" w:rsidR="00C9100B" w:rsidRPr="002C1853" w:rsidRDefault="00C9100B" w:rsidP="00E117FD">
            <w:pPr>
              <w:spacing w:before="40" w:after="40"/>
              <w:jc w:val="right"/>
              <w:rPr>
                <w:sz w:val="20"/>
                <w:szCs w:val="20"/>
              </w:rPr>
            </w:pPr>
            <w:r w:rsidRPr="002C1853">
              <w:rPr>
                <w:sz w:val="20"/>
                <w:szCs w:val="20"/>
              </w:rPr>
              <w:t>97.6%</w:t>
            </w:r>
          </w:p>
        </w:tc>
      </w:tr>
      <w:tr w:rsidR="00C9100B" w:rsidRPr="002C1853" w14:paraId="29F56D5A" w14:textId="77777777" w:rsidTr="00E117FD">
        <w:trPr>
          <w:cnfStyle w:val="000000010000" w:firstRow="0" w:lastRow="0" w:firstColumn="0" w:lastColumn="0" w:oddVBand="0" w:evenVBand="0" w:oddHBand="0" w:evenHBand="1"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79FAEA24" w14:textId="77777777" w:rsidR="00C9100B" w:rsidRPr="002C1853" w:rsidRDefault="00C9100B" w:rsidP="00E117FD">
            <w:pPr>
              <w:spacing w:before="40" w:after="40"/>
              <w:rPr>
                <w:b/>
                <w:sz w:val="20"/>
              </w:rPr>
            </w:pPr>
            <w:r w:rsidRPr="002C1853">
              <w:rPr>
                <w:b/>
                <w:sz w:val="20"/>
              </w:rPr>
              <w:t>Community Mental Health</w:t>
            </w:r>
          </w:p>
        </w:tc>
      </w:tr>
      <w:tr w:rsidR="00C9100B" w:rsidRPr="002C1853" w14:paraId="50B09E15"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tcBorders>
              <w:top w:val="single" w:sz="18" w:space="0" w:color="00B0B9"/>
            </w:tcBorders>
            <w:hideMark/>
          </w:tcPr>
          <w:p w14:paraId="4770DC5A" w14:textId="77777777" w:rsidR="00C9100B" w:rsidRPr="002C1853" w:rsidRDefault="00C9100B" w:rsidP="00E117FD">
            <w:pPr>
              <w:spacing w:before="40" w:after="40"/>
              <w:rPr>
                <w:sz w:val="20"/>
                <w:szCs w:val="20"/>
              </w:rPr>
            </w:pPr>
            <w:r w:rsidRPr="002C1853">
              <w:rPr>
                <w:sz w:val="20"/>
                <w:szCs w:val="20"/>
              </w:rPr>
              <w:t>Percentage of individuals who report that they are satisfied that the service they received was appropriate to their needs</w:t>
            </w:r>
          </w:p>
        </w:tc>
        <w:tc>
          <w:tcPr>
            <w:tcW w:w="833" w:type="pct"/>
            <w:tcBorders>
              <w:top w:val="single" w:sz="18" w:space="0" w:color="00B0B9"/>
            </w:tcBorders>
            <w:hideMark/>
          </w:tcPr>
          <w:p w14:paraId="4FC24D8C" w14:textId="77777777" w:rsidR="00C9100B" w:rsidRPr="002C1853" w:rsidRDefault="00C9100B" w:rsidP="00E117FD">
            <w:pPr>
              <w:spacing w:before="40" w:after="40"/>
              <w:jc w:val="right"/>
              <w:rPr>
                <w:sz w:val="20"/>
                <w:szCs w:val="20"/>
              </w:rPr>
            </w:pPr>
            <w:r w:rsidRPr="002C1853">
              <w:rPr>
                <w:sz w:val="20"/>
                <w:szCs w:val="20"/>
              </w:rPr>
              <w:t>94.5%</w:t>
            </w:r>
          </w:p>
        </w:tc>
        <w:tc>
          <w:tcPr>
            <w:tcW w:w="833" w:type="pct"/>
            <w:tcBorders>
              <w:top w:val="single" w:sz="18" w:space="0" w:color="00B0B9"/>
            </w:tcBorders>
            <w:hideMark/>
          </w:tcPr>
          <w:p w14:paraId="6C25E06E" w14:textId="77777777" w:rsidR="00C9100B" w:rsidRPr="002C1853" w:rsidRDefault="00C9100B" w:rsidP="00E117FD">
            <w:pPr>
              <w:spacing w:before="40" w:after="40"/>
              <w:jc w:val="right"/>
              <w:rPr>
                <w:sz w:val="20"/>
                <w:szCs w:val="20"/>
              </w:rPr>
            </w:pPr>
            <w:r w:rsidRPr="002C1853">
              <w:rPr>
                <w:sz w:val="20"/>
                <w:szCs w:val="20"/>
              </w:rPr>
              <w:t>93.8%</w:t>
            </w:r>
          </w:p>
        </w:tc>
        <w:tc>
          <w:tcPr>
            <w:tcW w:w="832" w:type="pct"/>
            <w:tcBorders>
              <w:top w:val="single" w:sz="18" w:space="0" w:color="00B0B9"/>
            </w:tcBorders>
            <w:hideMark/>
          </w:tcPr>
          <w:p w14:paraId="041FBD5F" w14:textId="77777777" w:rsidR="00C9100B" w:rsidRPr="002C1853" w:rsidRDefault="00C9100B" w:rsidP="00E117FD">
            <w:pPr>
              <w:spacing w:before="40" w:after="40"/>
              <w:jc w:val="right"/>
              <w:rPr>
                <w:sz w:val="20"/>
                <w:szCs w:val="20"/>
              </w:rPr>
            </w:pPr>
            <w:r w:rsidRPr="002C1853">
              <w:rPr>
                <w:sz w:val="20"/>
                <w:szCs w:val="20"/>
              </w:rPr>
              <w:t>96.9%</w:t>
            </w:r>
          </w:p>
        </w:tc>
      </w:tr>
    </w:tbl>
    <w:p w14:paraId="22AD6ACA" w14:textId="77777777" w:rsidR="00C9100B" w:rsidRPr="002C1853" w:rsidRDefault="00C9100B" w:rsidP="00C9100B">
      <w:pPr>
        <w:spacing w:before="160" w:after="60" w:line="240" w:lineRule="auto"/>
        <w:ind w:left="284" w:hanging="284"/>
        <w:contextualSpacing/>
        <w:rPr>
          <w:rFonts w:cs="Arial"/>
          <w:sz w:val="16"/>
          <w:szCs w:val="16"/>
        </w:rPr>
      </w:pPr>
      <w:r w:rsidRPr="002C1853">
        <w:rPr>
          <w:rFonts w:cs="Arial"/>
          <w:sz w:val="16"/>
          <w:szCs w:val="16"/>
        </w:rPr>
        <w:t>a</w:t>
      </w:r>
      <w:r w:rsidRPr="002C1853">
        <w:rPr>
          <w:rFonts w:cs="Arial"/>
          <w:sz w:val="16"/>
          <w:szCs w:val="16"/>
        </w:rPr>
        <w:tab/>
        <w:t>Call satisfaction ratings indicated are from 1 July 2019 to 5 April 2020 (nine months). The Carer Gateway contact centre ceased operating on 5 April 2020 with the national Carer Gateway 1800 number routed to callers’ local Carer Gateway service provider.</w:t>
      </w:r>
    </w:p>
    <w:p w14:paraId="71E69515" w14:textId="77777777" w:rsidR="00C9100B" w:rsidRPr="002C1853" w:rsidRDefault="00C9100B" w:rsidP="00C9100B">
      <w:pPr>
        <w:spacing w:before="160" w:after="60" w:line="240" w:lineRule="auto"/>
        <w:ind w:left="284" w:hanging="284"/>
        <w:contextualSpacing/>
        <w:rPr>
          <w:rFonts w:cs="Arial"/>
          <w:sz w:val="16"/>
          <w:szCs w:val="16"/>
        </w:rPr>
      </w:pPr>
      <w:r w:rsidRPr="002C1853">
        <w:rPr>
          <w:rFonts w:cs="Arial"/>
          <w:sz w:val="16"/>
          <w:szCs w:val="16"/>
        </w:rPr>
        <w:t>b</w:t>
      </w:r>
      <w:r w:rsidRPr="002C1853">
        <w:rPr>
          <w:rFonts w:cs="Arial"/>
          <w:sz w:val="16"/>
          <w:szCs w:val="16"/>
        </w:rPr>
        <w:tab/>
        <w:t>Website satisfaction ratings were changed in late July 2017, therefore, only data from August 2017 to June 2018 (11 months) has been reported for 2017–18. A redeveloped Carer Gateway website was launched on 1 July 2019 and website satisfaction ratings were not collected in 2019</w:t>
      </w:r>
      <w:r>
        <w:rPr>
          <w:rFonts w:cs="Arial"/>
          <w:sz w:val="16"/>
          <w:szCs w:val="16"/>
        </w:rPr>
        <w:t>–</w:t>
      </w:r>
      <w:r w:rsidRPr="002C1853">
        <w:rPr>
          <w:rFonts w:cs="Arial"/>
          <w:sz w:val="16"/>
          <w:szCs w:val="16"/>
        </w:rPr>
        <w:t>20.</w:t>
      </w:r>
    </w:p>
    <w:p w14:paraId="35F22E55" w14:textId="77777777" w:rsidR="00C9100B" w:rsidRPr="002C1853" w:rsidRDefault="00C9100B" w:rsidP="00C9100B">
      <w:pPr>
        <w:spacing w:before="240" w:after="240" w:line="260" w:lineRule="atLeast"/>
        <w:outlineLvl w:val="7"/>
        <w:rPr>
          <w:rFonts w:eastAsiaTheme="majorEastAsia" w:cstheme="majorBidi"/>
          <w:b/>
          <w:color w:val="595959" w:themeColor="text1" w:themeTint="A6"/>
          <w:sz w:val="24"/>
          <w:szCs w:val="20"/>
        </w:rPr>
      </w:pPr>
      <w:r w:rsidRPr="002C1853">
        <w:rPr>
          <w:rFonts w:eastAsiaTheme="majorEastAsia" w:cstheme="majorBidi"/>
          <w:b/>
          <w:color w:val="595959" w:themeColor="text1" w:themeTint="A6"/>
          <w:sz w:val="24"/>
          <w:szCs w:val="20"/>
        </w:rPr>
        <w:t>C3.3.3 Percentage of assisted individuals who are from priority groups</w:t>
      </w:r>
    </w:p>
    <w:p w14:paraId="26E83558" w14:textId="77777777" w:rsidR="00C9100B" w:rsidRPr="002C1853" w:rsidRDefault="00C9100B" w:rsidP="00C9100B">
      <w:pPr>
        <w:spacing w:after="0" w:line="240" w:lineRule="atLeast"/>
        <w:rPr>
          <w:sz w:val="20"/>
          <w:szCs w:val="20"/>
        </w:rPr>
      </w:pPr>
      <w:r w:rsidRPr="002C1853">
        <w:rPr>
          <w:sz w:val="20"/>
          <w:szCs w:val="20"/>
        </w:rPr>
        <w:t>This indicator shows the extent to which Indigenous and culturally and linguistically diverse people are accessing services.</w:t>
      </w:r>
    </w:p>
    <w:p w14:paraId="355328DE" w14:textId="77777777" w:rsidR="00C9100B" w:rsidRPr="002C1853" w:rsidRDefault="00C9100B" w:rsidP="00C9100B">
      <w:pPr>
        <w:keepNext/>
        <w:spacing w:before="240" w:after="0" w:line="260" w:lineRule="atLeast"/>
        <w:ind w:right="425"/>
        <w:rPr>
          <w:rFonts w:ascii="Arial Narrow" w:eastAsia="Times New Roman" w:hAnsi="Arial Narrow" w:cs="Times New Roman"/>
          <w:b/>
          <w:bCs/>
          <w:spacing w:val="4"/>
          <w:sz w:val="20"/>
          <w:szCs w:val="18"/>
          <w:lang w:eastAsia="en-AU"/>
        </w:rPr>
      </w:pPr>
      <w:r w:rsidRPr="002C1853">
        <w:rPr>
          <w:rFonts w:ascii="Arial Narrow" w:eastAsia="Times New Roman" w:hAnsi="Arial Narrow" w:cs="Times New Roman"/>
          <w:b/>
          <w:bCs/>
          <w:spacing w:val="4"/>
          <w:sz w:val="20"/>
          <w:szCs w:val="18"/>
          <w:lang w:eastAsia="en-AU"/>
        </w:rPr>
        <w:t>Table 2.3.9: Percentage of assisted individuals who are from priority groups</w:t>
      </w:r>
    </w:p>
    <w:tbl>
      <w:tblPr>
        <w:tblStyle w:val="HHorizontaltable14"/>
        <w:tblW w:w="5000" w:type="pct"/>
        <w:tblLook w:val="04A0" w:firstRow="1" w:lastRow="0" w:firstColumn="1" w:lastColumn="0" w:noHBand="0" w:noVBand="1"/>
        <w:tblCaption w:val="Table 2.3.9: Percentage of assisted clients who are from priority groups"/>
        <w:tblDescription w:val="Table 2.3.9: Percentage of assisted clients who are from priority groups"/>
      </w:tblPr>
      <w:tblGrid>
        <w:gridCol w:w="4516"/>
        <w:gridCol w:w="1504"/>
        <w:gridCol w:w="1504"/>
        <w:gridCol w:w="1502"/>
      </w:tblGrid>
      <w:tr w:rsidR="00C9100B" w:rsidRPr="002C1853" w14:paraId="3128B5F8"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2502" w:type="pct"/>
            <w:tcBorders>
              <w:bottom w:val="single" w:sz="4" w:space="0" w:color="FFFFFF" w:themeColor="background1"/>
            </w:tcBorders>
            <w:hideMark/>
          </w:tcPr>
          <w:p w14:paraId="52539374" w14:textId="77777777" w:rsidR="00C9100B" w:rsidRPr="007F2601" w:rsidRDefault="00C9100B" w:rsidP="00E117FD">
            <w:pPr>
              <w:keepNext/>
              <w:keepLines/>
              <w:spacing w:before="40" w:after="40"/>
              <w:rPr>
                <w:rFonts w:eastAsia="Times New Roman" w:cs="Times New Roman"/>
                <w:sz w:val="20"/>
                <w:szCs w:val="18"/>
              </w:rPr>
            </w:pPr>
            <w:r w:rsidRPr="007F2601">
              <w:rPr>
                <w:rFonts w:eastAsia="Times New Roman" w:cs="Times New Roman"/>
                <w:sz w:val="20"/>
                <w:szCs w:val="18"/>
              </w:rPr>
              <w:t>Intermediate outcome performance measure</w:t>
            </w:r>
          </w:p>
        </w:tc>
        <w:tc>
          <w:tcPr>
            <w:tcW w:w="833" w:type="pct"/>
            <w:tcBorders>
              <w:bottom w:val="single" w:sz="4" w:space="0" w:color="FFFFFF" w:themeColor="background1"/>
            </w:tcBorders>
            <w:hideMark/>
          </w:tcPr>
          <w:p w14:paraId="6B4CBBEE" w14:textId="77777777" w:rsidR="00C9100B" w:rsidRPr="007F2601" w:rsidRDefault="00C9100B" w:rsidP="00E117FD">
            <w:pPr>
              <w:keepNext/>
              <w:keepLines/>
              <w:spacing w:before="40" w:after="40"/>
              <w:jc w:val="right"/>
              <w:rPr>
                <w:rFonts w:eastAsia="Times New Roman" w:cs="Times New Roman"/>
                <w:sz w:val="20"/>
                <w:szCs w:val="18"/>
              </w:rPr>
            </w:pPr>
            <w:r w:rsidRPr="007F2601">
              <w:rPr>
                <w:rFonts w:eastAsia="Times New Roman" w:cs="Times New Roman"/>
                <w:sz w:val="20"/>
                <w:szCs w:val="18"/>
              </w:rPr>
              <w:t>2019–20</w:t>
            </w:r>
          </w:p>
        </w:tc>
        <w:tc>
          <w:tcPr>
            <w:tcW w:w="833" w:type="pct"/>
            <w:tcBorders>
              <w:bottom w:val="single" w:sz="4" w:space="0" w:color="FFFFFF" w:themeColor="background1"/>
            </w:tcBorders>
            <w:hideMark/>
          </w:tcPr>
          <w:p w14:paraId="79D27DC9" w14:textId="77777777" w:rsidR="00C9100B" w:rsidRPr="007F2601" w:rsidRDefault="00C9100B" w:rsidP="00E117FD">
            <w:pPr>
              <w:keepNext/>
              <w:keepLines/>
              <w:spacing w:before="40" w:after="40"/>
              <w:jc w:val="right"/>
              <w:rPr>
                <w:rFonts w:eastAsia="Times New Roman" w:cs="Times New Roman"/>
                <w:sz w:val="20"/>
                <w:szCs w:val="18"/>
              </w:rPr>
            </w:pPr>
            <w:r w:rsidRPr="007F2601">
              <w:rPr>
                <w:rFonts w:eastAsia="Times New Roman" w:cs="Times New Roman"/>
                <w:sz w:val="20"/>
                <w:szCs w:val="18"/>
              </w:rPr>
              <w:t>2018–19</w:t>
            </w:r>
          </w:p>
        </w:tc>
        <w:tc>
          <w:tcPr>
            <w:tcW w:w="832" w:type="pct"/>
            <w:tcBorders>
              <w:bottom w:val="single" w:sz="4" w:space="0" w:color="FFFFFF" w:themeColor="background1"/>
            </w:tcBorders>
            <w:hideMark/>
          </w:tcPr>
          <w:p w14:paraId="1B30909E" w14:textId="77777777" w:rsidR="00C9100B" w:rsidRPr="007F2601" w:rsidRDefault="00C9100B" w:rsidP="00E117FD">
            <w:pPr>
              <w:keepNext/>
              <w:keepLines/>
              <w:spacing w:before="40" w:after="40"/>
              <w:jc w:val="right"/>
              <w:rPr>
                <w:rFonts w:eastAsia="Times New Roman" w:cs="Times New Roman"/>
                <w:sz w:val="20"/>
                <w:szCs w:val="18"/>
              </w:rPr>
            </w:pPr>
            <w:r w:rsidRPr="007F2601">
              <w:rPr>
                <w:rFonts w:eastAsia="Times New Roman" w:cs="Times New Roman"/>
                <w:sz w:val="20"/>
                <w:szCs w:val="18"/>
              </w:rPr>
              <w:t>2017–18</w:t>
            </w:r>
          </w:p>
        </w:tc>
      </w:tr>
      <w:tr w:rsidR="00C9100B" w:rsidRPr="002C1853" w14:paraId="1B30ED51" w14:textId="77777777" w:rsidTr="00E117FD">
        <w:trPr>
          <w:cnfStyle w:val="000000100000" w:firstRow="0" w:lastRow="0" w:firstColumn="0" w:lastColumn="0" w:oddVBand="0" w:evenVBand="0" w:oddHBand="1" w:evenHBand="0" w:firstRowFirstColumn="0" w:firstRowLastColumn="0" w:lastRowFirstColumn="0" w:lastRowLastColumn="0"/>
        </w:trPr>
        <w:tc>
          <w:tcPr>
            <w:tcW w:w="5000" w:type="pct"/>
            <w:gridSpan w:val="4"/>
            <w:tcBorders>
              <w:top w:val="single" w:sz="4" w:space="0" w:color="FFFFFF" w:themeColor="background1"/>
              <w:bottom w:val="single" w:sz="18" w:space="0" w:color="00B0B9"/>
            </w:tcBorders>
            <w:hideMark/>
          </w:tcPr>
          <w:p w14:paraId="01D9CA42" w14:textId="77777777" w:rsidR="00C9100B" w:rsidRPr="002C1853" w:rsidRDefault="00C9100B" w:rsidP="00E117FD">
            <w:pPr>
              <w:spacing w:before="40" w:after="40"/>
              <w:rPr>
                <w:sz w:val="20"/>
                <w:szCs w:val="20"/>
              </w:rPr>
            </w:pPr>
            <w:r w:rsidRPr="002C1853">
              <w:rPr>
                <w:b/>
                <w:sz w:val="20"/>
              </w:rPr>
              <w:t>Community Mental Health</w:t>
            </w:r>
          </w:p>
        </w:tc>
      </w:tr>
      <w:tr w:rsidR="00C9100B" w:rsidRPr="002C1853" w14:paraId="707021AA" w14:textId="77777777" w:rsidTr="00E117FD">
        <w:trPr>
          <w:cnfStyle w:val="000000010000" w:firstRow="0" w:lastRow="0" w:firstColumn="0" w:lastColumn="0" w:oddVBand="0" w:evenVBand="0" w:oddHBand="0" w:evenHBand="1" w:firstRowFirstColumn="0" w:firstRowLastColumn="0" w:lastRowFirstColumn="0" w:lastRowLastColumn="0"/>
        </w:trPr>
        <w:tc>
          <w:tcPr>
            <w:tcW w:w="5000" w:type="pct"/>
            <w:gridSpan w:val="4"/>
            <w:tcBorders>
              <w:top w:val="single" w:sz="18" w:space="0" w:color="00B0B9"/>
            </w:tcBorders>
            <w:hideMark/>
          </w:tcPr>
          <w:p w14:paraId="3F0CFDC4" w14:textId="77777777" w:rsidR="00C9100B" w:rsidRPr="002C1853" w:rsidRDefault="00C9100B" w:rsidP="00E117FD">
            <w:pPr>
              <w:spacing w:before="40" w:after="40"/>
              <w:rPr>
                <w:sz w:val="20"/>
                <w:szCs w:val="20"/>
              </w:rPr>
            </w:pPr>
            <w:r w:rsidRPr="002C1853">
              <w:rPr>
                <w:sz w:val="20"/>
                <w:szCs w:val="20"/>
              </w:rPr>
              <w:t>Percentage of individuals from Indigenous and culturally and linguistically diverse backgrounds:</w:t>
            </w:r>
          </w:p>
        </w:tc>
      </w:tr>
      <w:tr w:rsidR="00C9100B" w:rsidRPr="002C1853" w14:paraId="55F28EDC"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hideMark/>
          </w:tcPr>
          <w:p w14:paraId="18C87251" w14:textId="77777777" w:rsidR="00C9100B" w:rsidRPr="002C1853" w:rsidRDefault="00C9100B" w:rsidP="00E117FD">
            <w:pPr>
              <w:numPr>
                <w:ilvl w:val="0"/>
                <w:numId w:val="79"/>
              </w:numPr>
              <w:spacing w:before="40" w:after="40"/>
              <w:ind w:left="318"/>
              <w:rPr>
                <w:rFonts w:eastAsia="Times New Roman" w:cs="Arial"/>
                <w:color w:val="000000" w:themeColor="text1"/>
                <w:spacing w:val="4"/>
                <w:sz w:val="20"/>
                <w:szCs w:val="20"/>
                <w:lang w:val="en-GB"/>
              </w:rPr>
            </w:pPr>
            <w:r w:rsidRPr="002C1853">
              <w:rPr>
                <w:rFonts w:eastAsia="Times New Roman" w:cs="Arial"/>
                <w:color w:val="000000" w:themeColor="text1"/>
                <w:spacing w:val="4"/>
                <w:sz w:val="20"/>
                <w:szCs w:val="20"/>
                <w:lang w:val="en-GB"/>
              </w:rPr>
              <w:t>Indigenous</w:t>
            </w:r>
          </w:p>
        </w:tc>
        <w:tc>
          <w:tcPr>
            <w:tcW w:w="833" w:type="pct"/>
            <w:hideMark/>
          </w:tcPr>
          <w:p w14:paraId="5CD65521" w14:textId="77777777" w:rsidR="00C9100B" w:rsidRPr="002C1853" w:rsidRDefault="00C9100B" w:rsidP="00E117FD">
            <w:pPr>
              <w:spacing w:before="40" w:after="40"/>
              <w:jc w:val="right"/>
              <w:rPr>
                <w:sz w:val="20"/>
                <w:szCs w:val="20"/>
                <w:highlight w:val="yellow"/>
              </w:rPr>
            </w:pPr>
            <w:r w:rsidRPr="002C1853">
              <w:rPr>
                <w:sz w:val="20"/>
                <w:szCs w:val="20"/>
              </w:rPr>
              <w:t>18.4%</w:t>
            </w:r>
          </w:p>
        </w:tc>
        <w:tc>
          <w:tcPr>
            <w:tcW w:w="833" w:type="pct"/>
            <w:hideMark/>
          </w:tcPr>
          <w:p w14:paraId="258CCCAC" w14:textId="77777777" w:rsidR="00C9100B" w:rsidRPr="002C1853" w:rsidRDefault="00C9100B" w:rsidP="00E117FD">
            <w:pPr>
              <w:spacing w:before="40" w:after="40"/>
              <w:jc w:val="right"/>
              <w:rPr>
                <w:sz w:val="20"/>
                <w:szCs w:val="20"/>
              </w:rPr>
            </w:pPr>
            <w:r w:rsidRPr="002C1853">
              <w:rPr>
                <w:sz w:val="20"/>
                <w:szCs w:val="20"/>
              </w:rPr>
              <w:t>18.2%</w:t>
            </w:r>
          </w:p>
        </w:tc>
        <w:tc>
          <w:tcPr>
            <w:tcW w:w="832" w:type="pct"/>
            <w:hideMark/>
          </w:tcPr>
          <w:p w14:paraId="2594BBBA" w14:textId="77777777" w:rsidR="00C9100B" w:rsidRPr="002C1853" w:rsidRDefault="00C9100B" w:rsidP="00E117FD">
            <w:pPr>
              <w:spacing w:before="40" w:after="40"/>
              <w:jc w:val="right"/>
              <w:rPr>
                <w:sz w:val="20"/>
                <w:szCs w:val="20"/>
              </w:rPr>
            </w:pPr>
            <w:r w:rsidRPr="002C1853">
              <w:rPr>
                <w:sz w:val="20"/>
                <w:szCs w:val="20"/>
              </w:rPr>
              <w:t>18.4%</w:t>
            </w:r>
          </w:p>
        </w:tc>
      </w:tr>
      <w:tr w:rsidR="00C9100B" w:rsidRPr="002C1853" w14:paraId="52D5DB44"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hideMark/>
          </w:tcPr>
          <w:p w14:paraId="555F61EA" w14:textId="77777777" w:rsidR="00C9100B" w:rsidRPr="002C1853" w:rsidRDefault="00C9100B" w:rsidP="00E117FD">
            <w:pPr>
              <w:numPr>
                <w:ilvl w:val="0"/>
                <w:numId w:val="79"/>
              </w:numPr>
              <w:spacing w:before="40" w:after="40"/>
              <w:ind w:left="318"/>
              <w:rPr>
                <w:rFonts w:eastAsia="Times New Roman"/>
                <w:color w:val="000000" w:themeColor="text1"/>
                <w:spacing w:val="4"/>
                <w:sz w:val="20"/>
                <w:szCs w:val="20"/>
                <w:lang w:val="en-GB"/>
              </w:rPr>
            </w:pPr>
            <w:r w:rsidRPr="002C1853">
              <w:rPr>
                <w:rFonts w:eastAsia="Times New Roman"/>
                <w:color w:val="000000" w:themeColor="text1"/>
                <w:spacing w:val="4"/>
                <w:sz w:val="20"/>
                <w:szCs w:val="20"/>
                <w:lang w:val="en-GB"/>
              </w:rPr>
              <w:t>Culturally and linguistically diverse</w:t>
            </w:r>
          </w:p>
        </w:tc>
        <w:tc>
          <w:tcPr>
            <w:tcW w:w="833" w:type="pct"/>
            <w:hideMark/>
          </w:tcPr>
          <w:p w14:paraId="473C3F99" w14:textId="77777777" w:rsidR="00C9100B" w:rsidRPr="002C1853" w:rsidRDefault="00C9100B" w:rsidP="00E117FD">
            <w:pPr>
              <w:spacing w:before="40" w:after="40"/>
              <w:jc w:val="right"/>
              <w:rPr>
                <w:sz w:val="20"/>
                <w:szCs w:val="20"/>
                <w:highlight w:val="yellow"/>
              </w:rPr>
            </w:pPr>
            <w:r w:rsidRPr="002C1853">
              <w:rPr>
                <w:sz w:val="20"/>
                <w:szCs w:val="20"/>
              </w:rPr>
              <w:t>4%</w:t>
            </w:r>
          </w:p>
        </w:tc>
        <w:tc>
          <w:tcPr>
            <w:tcW w:w="833" w:type="pct"/>
            <w:hideMark/>
          </w:tcPr>
          <w:p w14:paraId="6D60B881" w14:textId="77777777" w:rsidR="00C9100B" w:rsidRPr="002C1853" w:rsidRDefault="00C9100B" w:rsidP="00E117FD">
            <w:pPr>
              <w:spacing w:before="40" w:after="40"/>
              <w:jc w:val="right"/>
              <w:rPr>
                <w:sz w:val="20"/>
                <w:szCs w:val="20"/>
              </w:rPr>
            </w:pPr>
            <w:r w:rsidRPr="002C1853">
              <w:rPr>
                <w:sz w:val="20"/>
                <w:szCs w:val="20"/>
              </w:rPr>
              <w:t>3.4%</w:t>
            </w:r>
          </w:p>
        </w:tc>
        <w:tc>
          <w:tcPr>
            <w:tcW w:w="832" w:type="pct"/>
            <w:hideMark/>
          </w:tcPr>
          <w:p w14:paraId="32932A98" w14:textId="77777777" w:rsidR="00C9100B" w:rsidRPr="002C1853" w:rsidRDefault="00C9100B" w:rsidP="00E117FD">
            <w:pPr>
              <w:spacing w:before="40" w:after="40"/>
              <w:jc w:val="right"/>
              <w:rPr>
                <w:sz w:val="20"/>
                <w:szCs w:val="20"/>
              </w:rPr>
            </w:pPr>
            <w:r w:rsidRPr="002C1853">
              <w:rPr>
                <w:sz w:val="20"/>
                <w:szCs w:val="20"/>
              </w:rPr>
              <w:t>3.7%</w:t>
            </w:r>
          </w:p>
        </w:tc>
      </w:tr>
    </w:tbl>
    <w:p w14:paraId="42D77482" w14:textId="77777777" w:rsidR="00C9100B" w:rsidRDefault="00C9100B" w:rsidP="00C9100B">
      <w:pPr>
        <w:spacing w:before="360" w:after="240"/>
        <w:outlineLvl w:val="6"/>
        <w:rPr>
          <w:rFonts w:eastAsiaTheme="majorEastAsia" w:cstheme="majorBidi"/>
          <w:b/>
          <w:iCs/>
          <w:sz w:val="26"/>
        </w:rPr>
      </w:pPr>
    </w:p>
    <w:p w14:paraId="643DF25B" w14:textId="77777777" w:rsidR="00715F6F" w:rsidRDefault="00715F6F">
      <w:pPr>
        <w:rPr>
          <w:rFonts w:eastAsiaTheme="majorEastAsia" w:cstheme="majorBidi"/>
          <w:b/>
          <w:iCs/>
          <w:sz w:val="26"/>
        </w:rPr>
        <w:sectPr w:rsidR="00715F6F" w:rsidSect="00A94724">
          <w:footnotePr>
            <w:numRestart w:val="eachPage"/>
          </w:footnotePr>
          <w:pgSz w:w="11906" w:h="16838"/>
          <w:pgMar w:top="1440" w:right="1440" w:bottom="1440" w:left="1440" w:header="709" w:footer="709" w:gutter="0"/>
          <w:cols w:space="708"/>
          <w:docGrid w:linePitch="360"/>
        </w:sectPr>
      </w:pPr>
    </w:p>
    <w:p w14:paraId="71499591" w14:textId="5E9D7312" w:rsidR="00C9100B" w:rsidRPr="002C1853" w:rsidRDefault="00C9100B" w:rsidP="00C9100B">
      <w:pPr>
        <w:spacing w:before="360" w:after="240"/>
        <w:outlineLvl w:val="6"/>
        <w:rPr>
          <w:rFonts w:eastAsiaTheme="majorEastAsia" w:cstheme="majorBidi"/>
          <w:b/>
          <w:iCs/>
          <w:sz w:val="26"/>
        </w:rPr>
      </w:pPr>
      <w:r w:rsidRPr="002C1853">
        <w:rPr>
          <w:rFonts w:eastAsiaTheme="majorEastAsia" w:cstheme="majorBidi"/>
          <w:b/>
          <w:iCs/>
          <w:sz w:val="26"/>
        </w:rPr>
        <w:lastRenderedPageBreak/>
        <w:t>C3.4 Delivery measures</w:t>
      </w:r>
    </w:p>
    <w:p w14:paraId="2EFBE206" w14:textId="77777777" w:rsidR="00C9100B" w:rsidRPr="002C1853" w:rsidRDefault="00C9100B" w:rsidP="00C9100B">
      <w:pPr>
        <w:spacing w:before="240" w:after="240"/>
        <w:outlineLvl w:val="7"/>
        <w:rPr>
          <w:rFonts w:eastAsiaTheme="majorEastAsia" w:cstheme="majorBidi"/>
          <w:b/>
          <w:color w:val="595959" w:themeColor="text1" w:themeTint="A6"/>
          <w:sz w:val="24"/>
          <w:szCs w:val="20"/>
        </w:rPr>
      </w:pPr>
      <w:r w:rsidRPr="002C1853">
        <w:rPr>
          <w:rFonts w:eastAsiaTheme="majorEastAsia" w:cstheme="majorBidi"/>
          <w:b/>
          <w:color w:val="595959" w:themeColor="text1" w:themeTint="A6"/>
          <w:sz w:val="24"/>
          <w:szCs w:val="20"/>
        </w:rPr>
        <w:t>C3.4.1 Number of individuals assisted</w:t>
      </w:r>
    </w:p>
    <w:p w14:paraId="101ACDE2" w14:textId="77777777" w:rsidR="00C9100B" w:rsidRPr="002C1853" w:rsidRDefault="00C9100B" w:rsidP="00C9100B">
      <w:pPr>
        <w:keepNext/>
        <w:spacing w:before="240" w:after="0" w:line="260" w:lineRule="atLeast"/>
        <w:ind w:right="425"/>
        <w:rPr>
          <w:rFonts w:ascii="Arial Narrow" w:eastAsia="Times New Roman" w:hAnsi="Arial Narrow" w:cs="Times New Roman"/>
          <w:b/>
          <w:bCs/>
          <w:spacing w:val="4"/>
          <w:sz w:val="20"/>
          <w:szCs w:val="18"/>
          <w:lang w:eastAsia="en-AU"/>
        </w:rPr>
      </w:pPr>
      <w:r w:rsidRPr="002C1853">
        <w:rPr>
          <w:rFonts w:ascii="Arial Narrow" w:eastAsia="Times New Roman" w:hAnsi="Arial Narrow" w:cs="Times New Roman"/>
          <w:b/>
          <w:bCs/>
          <w:spacing w:val="4"/>
          <w:sz w:val="20"/>
          <w:szCs w:val="18"/>
          <w:lang w:eastAsia="en-AU"/>
        </w:rPr>
        <w:t>Table 2.3.10: Number of individuals assisted</w:t>
      </w:r>
    </w:p>
    <w:tbl>
      <w:tblPr>
        <w:tblStyle w:val="HHorizontaltable14"/>
        <w:tblW w:w="5000" w:type="pct"/>
        <w:tblLook w:val="04A0" w:firstRow="1" w:lastRow="0" w:firstColumn="1" w:lastColumn="0" w:noHBand="0" w:noVBand="1"/>
        <w:tblCaption w:val="Table 2.3.10: Number of individuals assisted"/>
        <w:tblDescription w:val="Table 2.3.10: Number of individuals assisted"/>
      </w:tblPr>
      <w:tblGrid>
        <w:gridCol w:w="4516"/>
        <w:gridCol w:w="1504"/>
        <w:gridCol w:w="1504"/>
        <w:gridCol w:w="1502"/>
      </w:tblGrid>
      <w:tr w:rsidR="00C9100B" w:rsidRPr="002C1853" w14:paraId="10498AD5"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2502" w:type="pct"/>
            <w:tcBorders>
              <w:bottom w:val="single" w:sz="4" w:space="0" w:color="FFFFFF" w:themeColor="background1"/>
            </w:tcBorders>
            <w:hideMark/>
          </w:tcPr>
          <w:p w14:paraId="6F591870" w14:textId="77777777" w:rsidR="00C9100B" w:rsidRPr="007F2601" w:rsidRDefault="00C9100B" w:rsidP="00E117FD">
            <w:pPr>
              <w:keepNext/>
              <w:keepLines/>
              <w:spacing w:before="40" w:after="40"/>
              <w:rPr>
                <w:rFonts w:eastAsia="Times New Roman"/>
                <w:sz w:val="20"/>
                <w:szCs w:val="20"/>
              </w:rPr>
            </w:pPr>
            <w:r w:rsidRPr="007F2601">
              <w:rPr>
                <w:rFonts w:eastAsia="Times New Roman"/>
                <w:sz w:val="20"/>
                <w:szCs w:val="20"/>
              </w:rPr>
              <w:t>Output performance measure</w:t>
            </w:r>
          </w:p>
        </w:tc>
        <w:tc>
          <w:tcPr>
            <w:tcW w:w="833" w:type="pct"/>
            <w:tcBorders>
              <w:bottom w:val="single" w:sz="4" w:space="0" w:color="FFFFFF" w:themeColor="background1"/>
            </w:tcBorders>
            <w:hideMark/>
          </w:tcPr>
          <w:p w14:paraId="480B6983" w14:textId="77777777" w:rsidR="00C9100B" w:rsidRPr="007F2601" w:rsidRDefault="00C9100B" w:rsidP="00E117FD">
            <w:pPr>
              <w:keepNext/>
              <w:keepLines/>
              <w:spacing w:before="40" w:after="40"/>
              <w:jc w:val="right"/>
              <w:rPr>
                <w:rFonts w:eastAsia="Times New Roman"/>
                <w:sz w:val="20"/>
                <w:szCs w:val="20"/>
              </w:rPr>
            </w:pPr>
            <w:r w:rsidRPr="007F2601">
              <w:rPr>
                <w:rFonts w:eastAsia="Times New Roman"/>
                <w:sz w:val="20"/>
                <w:szCs w:val="20"/>
              </w:rPr>
              <w:t>2019–20</w:t>
            </w:r>
          </w:p>
        </w:tc>
        <w:tc>
          <w:tcPr>
            <w:tcW w:w="833" w:type="pct"/>
            <w:tcBorders>
              <w:bottom w:val="single" w:sz="4" w:space="0" w:color="FFFFFF" w:themeColor="background1"/>
            </w:tcBorders>
            <w:hideMark/>
          </w:tcPr>
          <w:p w14:paraId="78DBA4EC" w14:textId="77777777" w:rsidR="00C9100B" w:rsidRPr="007F2601" w:rsidRDefault="00C9100B" w:rsidP="00E117FD">
            <w:pPr>
              <w:keepNext/>
              <w:keepLines/>
              <w:spacing w:before="40" w:after="40"/>
              <w:jc w:val="right"/>
              <w:rPr>
                <w:rFonts w:eastAsia="Times New Roman"/>
                <w:sz w:val="20"/>
                <w:szCs w:val="20"/>
              </w:rPr>
            </w:pPr>
            <w:r w:rsidRPr="007F2601">
              <w:rPr>
                <w:rFonts w:eastAsia="Times New Roman"/>
                <w:sz w:val="20"/>
                <w:szCs w:val="20"/>
              </w:rPr>
              <w:t>2018–19</w:t>
            </w:r>
          </w:p>
        </w:tc>
        <w:tc>
          <w:tcPr>
            <w:tcW w:w="832" w:type="pct"/>
            <w:tcBorders>
              <w:bottom w:val="single" w:sz="4" w:space="0" w:color="FFFFFF" w:themeColor="background1"/>
            </w:tcBorders>
            <w:hideMark/>
          </w:tcPr>
          <w:p w14:paraId="1D52E5E0" w14:textId="77777777" w:rsidR="00C9100B" w:rsidRPr="007F2601" w:rsidRDefault="00C9100B" w:rsidP="00E117FD">
            <w:pPr>
              <w:keepNext/>
              <w:keepLines/>
              <w:spacing w:before="40" w:after="40"/>
              <w:jc w:val="right"/>
              <w:rPr>
                <w:rFonts w:eastAsia="Times New Roman"/>
                <w:sz w:val="20"/>
                <w:szCs w:val="20"/>
              </w:rPr>
            </w:pPr>
            <w:r w:rsidRPr="007F2601">
              <w:rPr>
                <w:rFonts w:eastAsia="Times New Roman"/>
                <w:sz w:val="20"/>
                <w:szCs w:val="20"/>
              </w:rPr>
              <w:t>2017–18</w:t>
            </w:r>
          </w:p>
        </w:tc>
      </w:tr>
      <w:tr w:rsidR="00C9100B" w:rsidRPr="002C1853" w14:paraId="282DD86D" w14:textId="77777777" w:rsidTr="00E117FD">
        <w:trPr>
          <w:cnfStyle w:val="000000100000" w:firstRow="0" w:lastRow="0" w:firstColumn="0" w:lastColumn="0" w:oddVBand="0" w:evenVBand="0" w:oddHBand="1" w:evenHBand="0" w:firstRowFirstColumn="0" w:firstRowLastColumn="0" w:lastRowFirstColumn="0" w:lastRowLastColumn="0"/>
        </w:trPr>
        <w:tc>
          <w:tcPr>
            <w:tcW w:w="5000" w:type="pct"/>
            <w:gridSpan w:val="4"/>
            <w:tcBorders>
              <w:top w:val="single" w:sz="4" w:space="0" w:color="FFFFFF" w:themeColor="background1"/>
              <w:bottom w:val="single" w:sz="18" w:space="0" w:color="00B0B9"/>
            </w:tcBorders>
            <w:hideMark/>
          </w:tcPr>
          <w:p w14:paraId="705FD9A7" w14:textId="77777777" w:rsidR="00C9100B" w:rsidRPr="002C1853" w:rsidRDefault="00C9100B" w:rsidP="00E117FD">
            <w:pPr>
              <w:keepNext/>
              <w:keepLines/>
              <w:spacing w:before="40" w:after="40"/>
              <w:rPr>
                <w:rFonts w:eastAsia="Times New Roman" w:cs="Arial"/>
                <w:b/>
                <w:color w:val="000000" w:themeColor="text1"/>
                <w:sz w:val="20"/>
                <w:szCs w:val="20"/>
              </w:rPr>
            </w:pPr>
            <w:r w:rsidRPr="002C1853">
              <w:rPr>
                <w:rFonts w:eastAsia="Times New Roman" w:cs="Arial"/>
                <w:b/>
                <w:color w:val="000000" w:themeColor="text1"/>
                <w:sz w:val="20"/>
                <w:szCs w:val="20"/>
              </w:rPr>
              <w:t>Disability Employment Services</w:t>
            </w:r>
          </w:p>
        </w:tc>
      </w:tr>
      <w:tr w:rsidR="00C9100B" w:rsidRPr="002C1853" w14:paraId="558D907F"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tcBorders>
              <w:top w:val="single" w:sz="18" w:space="0" w:color="00B0B9"/>
            </w:tcBorders>
            <w:hideMark/>
          </w:tcPr>
          <w:p w14:paraId="01D491B6" w14:textId="77777777" w:rsidR="00C9100B" w:rsidRPr="002C1853" w:rsidRDefault="00C9100B" w:rsidP="00E117FD">
            <w:pPr>
              <w:spacing w:before="40" w:after="40"/>
              <w:rPr>
                <w:rFonts w:cs="Arial"/>
                <w:sz w:val="20"/>
                <w:szCs w:val="20"/>
              </w:rPr>
            </w:pPr>
            <w:r w:rsidRPr="002C1853">
              <w:rPr>
                <w:sz w:val="20"/>
                <w:szCs w:val="20"/>
              </w:rPr>
              <w:t>Number of commencements</w:t>
            </w:r>
          </w:p>
        </w:tc>
        <w:tc>
          <w:tcPr>
            <w:tcW w:w="833" w:type="pct"/>
            <w:tcBorders>
              <w:top w:val="single" w:sz="18" w:space="0" w:color="00B0B9"/>
            </w:tcBorders>
            <w:hideMark/>
          </w:tcPr>
          <w:p w14:paraId="52E6AADD" w14:textId="77777777" w:rsidR="00C9100B" w:rsidRPr="002C1853" w:rsidRDefault="00C9100B" w:rsidP="00E117FD">
            <w:pPr>
              <w:spacing w:before="40" w:after="40"/>
              <w:jc w:val="right"/>
              <w:rPr>
                <w:sz w:val="20"/>
                <w:szCs w:val="20"/>
              </w:rPr>
            </w:pPr>
            <w:r w:rsidRPr="002C1853">
              <w:rPr>
                <w:sz w:val="20"/>
                <w:szCs w:val="20"/>
              </w:rPr>
              <w:t>141,078</w:t>
            </w:r>
          </w:p>
        </w:tc>
        <w:tc>
          <w:tcPr>
            <w:tcW w:w="833" w:type="pct"/>
            <w:tcBorders>
              <w:top w:val="single" w:sz="18" w:space="0" w:color="00B0B9"/>
            </w:tcBorders>
            <w:hideMark/>
          </w:tcPr>
          <w:p w14:paraId="7635BF85" w14:textId="77777777" w:rsidR="00C9100B" w:rsidRPr="002C1853" w:rsidRDefault="00C9100B" w:rsidP="00E117FD">
            <w:pPr>
              <w:spacing w:before="40" w:after="40"/>
              <w:jc w:val="right"/>
              <w:rPr>
                <w:sz w:val="20"/>
                <w:szCs w:val="20"/>
              </w:rPr>
            </w:pPr>
            <w:r w:rsidRPr="002C1853">
              <w:rPr>
                <w:sz w:val="20"/>
                <w:szCs w:val="20"/>
              </w:rPr>
              <w:t>115,824</w:t>
            </w:r>
          </w:p>
        </w:tc>
        <w:tc>
          <w:tcPr>
            <w:tcW w:w="832" w:type="pct"/>
            <w:tcBorders>
              <w:top w:val="single" w:sz="18" w:space="0" w:color="00B0B9"/>
            </w:tcBorders>
            <w:hideMark/>
          </w:tcPr>
          <w:p w14:paraId="07013CFE" w14:textId="77777777" w:rsidR="00C9100B" w:rsidRPr="002C1853" w:rsidRDefault="00C9100B" w:rsidP="00E117FD">
            <w:pPr>
              <w:spacing w:before="40" w:after="40"/>
              <w:jc w:val="right"/>
              <w:rPr>
                <w:sz w:val="20"/>
                <w:szCs w:val="20"/>
              </w:rPr>
            </w:pPr>
            <w:r w:rsidRPr="002C1853">
              <w:rPr>
                <w:sz w:val="20"/>
                <w:szCs w:val="20"/>
              </w:rPr>
              <w:t>90,521</w:t>
            </w:r>
          </w:p>
        </w:tc>
      </w:tr>
      <w:tr w:rsidR="00C9100B" w:rsidRPr="002C1853" w14:paraId="4F79A6D2"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hideMark/>
          </w:tcPr>
          <w:p w14:paraId="32ED4921" w14:textId="77777777" w:rsidR="00C9100B" w:rsidRPr="002C1853" w:rsidRDefault="00C9100B" w:rsidP="00E117FD">
            <w:pPr>
              <w:spacing w:before="40" w:after="40"/>
              <w:rPr>
                <w:rFonts w:cs="Arial"/>
                <w:sz w:val="20"/>
                <w:szCs w:val="20"/>
              </w:rPr>
            </w:pPr>
            <w:r w:rsidRPr="002C1853">
              <w:rPr>
                <w:rFonts w:cs="Arial"/>
                <w:sz w:val="20"/>
                <w:szCs w:val="20"/>
              </w:rPr>
              <w:t xml:space="preserve">Total number of 4-week outcomes </w:t>
            </w:r>
            <w:proofErr w:type="spellStart"/>
            <w:r w:rsidRPr="002C1853">
              <w:rPr>
                <w:rFonts w:cs="Arial"/>
                <w:sz w:val="20"/>
                <w:szCs w:val="20"/>
              </w:rPr>
              <w:t>achieved</w:t>
            </w:r>
            <w:r w:rsidRPr="002C1853">
              <w:rPr>
                <w:rFonts w:cs="Arial"/>
                <w:sz w:val="20"/>
                <w:szCs w:val="20"/>
                <w:vertAlign w:val="superscript"/>
              </w:rPr>
              <w:t>a</w:t>
            </w:r>
            <w:proofErr w:type="spellEnd"/>
          </w:p>
        </w:tc>
        <w:tc>
          <w:tcPr>
            <w:tcW w:w="833" w:type="pct"/>
            <w:hideMark/>
          </w:tcPr>
          <w:p w14:paraId="541B4D88" w14:textId="77777777" w:rsidR="00C9100B" w:rsidRPr="002C1853" w:rsidRDefault="00C9100B" w:rsidP="00E117FD">
            <w:pPr>
              <w:spacing w:before="40" w:after="40"/>
              <w:jc w:val="right"/>
              <w:rPr>
                <w:rFonts w:cs="Arial"/>
                <w:sz w:val="20"/>
                <w:szCs w:val="20"/>
              </w:rPr>
            </w:pPr>
            <w:r w:rsidRPr="002C1853">
              <w:rPr>
                <w:rFonts w:cs="Arial"/>
                <w:sz w:val="20"/>
                <w:szCs w:val="20"/>
              </w:rPr>
              <w:t>45,250</w:t>
            </w:r>
          </w:p>
        </w:tc>
        <w:tc>
          <w:tcPr>
            <w:tcW w:w="833" w:type="pct"/>
          </w:tcPr>
          <w:p w14:paraId="367A2C61" w14:textId="77777777" w:rsidR="00C9100B" w:rsidRPr="002C1853" w:rsidRDefault="00C9100B" w:rsidP="00E117FD">
            <w:pPr>
              <w:spacing w:before="40" w:after="40"/>
              <w:jc w:val="right"/>
              <w:rPr>
                <w:rFonts w:cs="Arial"/>
                <w:sz w:val="20"/>
                <w:szCs w:val="20"/>
              </w:rPr>
            </w:pPr>
            <w:r w:rsidRPr="002C1853">
              <w:rPr>
                <w:rFonts w:cs="Arial"/>
                <w:sz w:val="20"/>
                <w:szCs w:val="20"/>
              </w:rPr>
              <w:t>41,147</w:t>
            </w:r>
          </w:p>
        </w:tc>
        <w:tc>
          <w:tcPr>
            <w:tcW w:w="832" w:type="pct"/>
          </w:tcPr>
          <w:p w14:paraId="08055424" w14:textId="212BE718" w:rsidR="00C9100B" w:rsidRPr="002C1853" w:rsidRDefault="00384B66" w:rsidP="00E117FD">
            <w:pPr>
              <w:spacing w:before="40" w:after="40"/>
              <w:jc w:val="right"/>
              <w:rPr>
                <w:rFonts w:cs="Arial"/>
                <w:sz w:val="20"/>
                <w:szCs w:val="20"/>
              </w:rPr>
            </w:pPr>
            <w:r w:rsidRPr="00771C23">
              <w:rPr>
                <w:rFonts w:eastAsia="Times New Roman"/>
                <w:color w:val="000000" w:themeColor="text1"/>
                <w:spacing w:val="4"/>
                <w:sz w:val="20"/>
                <w:szCs w:val="20"/>
                <w:lang w:val="en-GB"/>
              </w:rPr>
              <w:t>–</w:t>
            </w:r>
          </w:p>
        </w:tc>
      </w:tr>
      <w:tr w:rsidR="00384B66" w:rsidRPr="002C1853" w14:paraId="7527FAA5"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tcBorders>
              <w:bottom w:val="single" w:sz="4" w:space="0" w:color="FFFFFF" w:themeColor="background1"/>
            </w:tcBorders>
          </w:tcPr>
          <w:p w14:paraId="0901938B" w14:textId="77777777" w:rsidR="00384B66" w:rsidRPr="002C1853" w:rsidRDefault="00384B66" w:rsidP="00384B66">
            <w:pPr>
              <w:spacing w:before="40" w:after="40"/>
              <w:rPr>
                <w:rFonts w:cs="Arial"/>
                <w:sz w:val="20"/>
                <w:szCs w:val="20"/>
              </w:rPr>
            </w:pPr>
            <w:r w:rsidRPr="002C1853">
              <w:rPr>
                <w:rFonts w:cs="Arial"/>
                <w:sz w:val="20"/>
                <w:szCs w:val="20"/>
              </w:rPr>
              <w:t xml:space="preserve">Total number of 2-week job placements </w:t>
            </w:r>
            <w:proofErr w:type="spellStart"/>
            <w:r w:rsidRPr="002C1853">
              <w:rPr>
                <w:rFonts w:cs="Arial"/>
                <w:sz w:val="20"/>
                <w:szCs w:val="20"/>
              </w:rPr>
              <w:t>achieved</w:t>
            </w:r>
            <w:r w:rsidRPr="002C1853">
              <w:rPr>
                <w:rFonts w:cs="Arial"/>
                <w:sz w:val="20"/>
                <w:szCs w:val="20"/>
                <w:vertAlign w:val="superscript"/>
              </w:rPr>
              <w:t>a</w:t>
            </w:r>
            <w:proofErr w:type="spellEnd"/>
          </w:p>
        </w:tc>
        <w:tc>
          <w:tcPr>
            <w:tcW w:w="833" w:type="pct"/>
            <w:tcBorders>
              <w:bottom w:val="single" w:sz="4" w:space="0" w:color="FFFFFF" w:themeColor="background1"/>
            </w:tcBorders>
          </w:tcPr>
          <w:p w14:paraId="1C85F964" w14:textId="6E92590C" w:rsidR="00384B66" w:rsidRPr="002C1853" w:rsidRDefault="00384B66" w:rsidP="00384B66">
            <w:pPr>
              <w:spacing w:before="40" w:after="40"/>
              <w:jc w:val="right"/>
              <w:rPr>
                <w:rFonts w:cs="Arial"/>
                <w:sz w:val="20"/>
                <w:szCs w:val="20"/>
              </w:rPr>
            </w:pPr>
            <w:r w:rsidRPr="00555A5E">
              <w:rPr>
                <w:rFonts w:eastAsia="Times New Roman"/>
                <w:color w:val="000000" w:themeColor="text1"/>
                <w:spacing w:val="4"/>
                <w:sz w:val="20"/>
                <w:szCs w:val="20"/>
                <w:lang w:val="en-GB"/>
              </w:rPr>
              <w:t>–</w:t>
            </w:r>
          </w:p>
        </w:tc>
        <w:tc>
          <w:tcPr>
            <w:tcW w:w="833" w:type="pct"/>
            <w:tcBorders>
              <w:bottom w:val="single" w:sz="4" w:space="0" w:color="FFFFFF" w:themeColor="background1"/>
            </w:tcBorders>
          </w:tcPr>
          <w:p w14:paraId="5ABD2627" w14:textId="6153F1EE" w:rsidR="00384B66" w:rsidRPr="002C1853" w:rsidRDefault="00384B66" w:rsidP="00384B66">
            <w:pPr>
              <w:spacing w:before="40" w:after="40"/>
              <w:jc w:val="right"/>
              <w:rPr>
                <w:rFonts w:cs="Arial"/>
                <w:sz w:val="20"/>
                <w:szCs w:val="20"/>
              </w:rPr>
            </w:pPr>
            <w:r w:rsidRPr="00555A5E">
              <w:rPr>
                <w:rFonts w:eastAsia="Times New Roman"/>
                <w:color w:val="000000" w:themeColor="text1"/>
                <w:spacing w:val="4"/>
                <w:sz w:val="20"/>
                <w:szCs w:val="20"/>
                <w:lang w:val="en-GB"/>
              </w:rPr>
              <w:t>–</w:t>
            </w:r>
          </w:p>
        </w:tc>
        <w:tc>
          <w:tcPr>
            <w:tcW w:w="832" w:type="pct"/>
            <w:tcBorders>
              <w:bottom w:val="single" w:sz="4" w:space="0" w:color="FFFFFF" w:themeColor="background1"/>
            </w:tcBorders>
          </w:tcPr>
          <w:p w14:paraId="256D822F" w14:textId="77777777" w:rsidR="00384B66" w:rsidRPr="002C1853" w:rsidRDefault="00384B66" w:rsidP="00384B66">
            <w:pPr>
              <w:spacing w:before="40" w:after="40"/>
              <w:jc w:val="right"/>
              <w:rPr>
                <w:rFonts w:cs="Arial"/>
                <w:sz w:val="20"/>
                <w:szCs w:val="20"/>
              </w:rPr>
            </w:pPr>
            <w:r w:rsidRPr="002C1853">
              <w:rPr>
                <w:rFonts w:cs="Arial"/>
                <w:sz w:val="20"/>
                <w:szCs w:val="20"/>
              </w:rPr>
              <w:t>49,328</w:t>
            </w:r>
          </w:p>
        </w:tc>
      </w:tr>
      <w:tr w:rsidR="00C9100B" w:rsidRPr="002C1853" w14:paraId="169D61AC" w14:textId="77777777" w:rsidTr="00E117FD">
        <w:trPr>
          <w:cnfStyle w:val="000000100000" w:firstRow="0" w:lastRow="0" w:firstColumn="0" w:lastColumn="0" w:oddVBand="0" w:evenVBand="0" w:oddHBand="1" w:evenHBand="0" w:firstRowFirstColumn="0" w:firstRowLastColumn="0" w:lastRowFirstColumn="0" w:lastRowLastColumn="0"/>
        </w:trPr>
        <w:tc>
          <w:tcPr>
            <w:tcW w:w="5000" w:type="pct"/>
            <w:gridSpan w:val="4"/>
            <w:tcBorders>
              <w:top w:val="single" w:sz="4" w:space="0" w:color="FFFFFF" w:themeColor="background1"/>
              <w:bottom w:val="single" w:sz="18" w:space="0" w:color="00B0B9"/>
            </w:tcBorders>
            <w:hideMark/>
          </w:tcPr>
          <w:p w14:paraId="19C78747" w14:textId="77777777" w:rsidR="00C9100B" w:rsidRPr="002C1853" w:rsidRDefault="00C9100B" w:rsidP="00E117FD">
            <w:pPr>
              <w:keepNext/>
              <w:keepLines/>
              <w:spacing w:before="40" w:after="40"/>
              <w:rPr>
                <w:rFonts w:eastAsia="Times New Roman" w:cs="Arial"/>
                <w:b/>
                <w:color w:val="000000" w:themeColor="text1"/>
                <w:sz w:val="20"/>
                <w:szCs w:val="20"/>
              </w:rPr>
            </w:pPr>
            <w:r w:rsidRPr="002C1853">
              <w:rPr>
                <w:rFonts w:eastAsia="Times New Roman"/>
                <w:b/>
                <w:color w:val="000000" w:themeColor="text1"/>
                <w:sz w:val="20"/>
                <w:szCs w:val="20"/>
              </w:rPr>
              <w:t>Disability Management Service</w:t>
            </w:r>
          </w:p>
        </w:tc>
      </w:tr>
      <w:tr w:rsidR="00C9100B" w:rsidRPr="002C1853" w14:paraId="6DEE8F18"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tcBorders>
              <w:top w:val="single" w:sz="18" w:space="0" w:color="00B0B9"/>
            </w:tcBorders>
            <w:hideMark/>
          </w:tcPr>
          <w:p w14:paraId="2EB8C3C6" w14:textId="77777777" w:rsidR="00C9100B" w:rsidRPr="002C1853" w:rsidRDefault="00C9100B" w:rsidP="00E117FD">
            <w:pPr>
              <w:spacing w:before="40" w:after="40"/>
              <w:rPr>
                <w:rFonts w:cs="Arial"/>
                <w:sz w:val="20"/>
                <w:szCs w:val="20"/>
              </w:rPr>
            </w:pPr>
            <w:r w:rsidRPr="002C1853">
              <w:rPr>
                <w:rFonts w:cs="Arial"/>
                <w:sz w:val="20"/>
                <w:szCs w:val="20"/>
              </w:rPr>
              <w:t>Number of commencements</w:t>
            </w:r>
          </w:p>
        </w:tc>
        <w:tc>
          <w:tcPr>
            <w:tcW w:w="833" w:type="pct"/>
            <w:tcBorders>
              <w:top w:val="single" w:sz="18" w:space="0" w:color="00B0B9"/>
            </w:tcBorders>
            <w:hideMark/>
          </w:tcPr>
          <w:p w14:paraId="013B56EE" w14:textId="77777777" w:rsidR="00C9100B" w:rsidRPr="002C1853" w:rsidRDefault="00C9100B" w:rsidP="00E117FD">
            <w:pPr>
              <w:spacing w:before="40" w:after="40"/>
              <w:jc w:val="right"/>
              <w:rPr>
                <w:rFonts w:cs="Arial"/>
                <w:sz w:val="20"/>
                <w:szCs w:val="20"/>
              </w:rPr>
            </w:pPr>
            <w:r w:rsidRPr="002C1853">
              <w:rPr>
                <w:rFonts w:cs="Arial"/>
                <w:sz w:val="20"/>
                <w:szCs w:val="20"/>
              </w:rPr>
              <w:t>63,035</w:t>
            </w:r>
          </w:p>
        </w:tc>
        <w:tc>
          <w:tcPr>
            <w:tcW w:w="833" w:type="pct"/>
            <w:tcBorders>
              <w:top w:val="single" w:sz="18" w:space="0" w:color="00B0B9"/>
            </w:tcBorders>
            <w:hideMark/>
          </w:tcPr>
          <w:p w14:paraId="5C828D53" w14:textId="77777777" w:rsidR="00C9100B" w:rsidRPr="002C1853" w:rsidRDefault="00C9100B" w:rsidP="00E117FD">
            <w:pPr>
              <w:spacing w:before="40" w:after="40"/>
              <w:jc w:val="right"/>
              <w:rPr>
                <w:rFonts w:cs="Arial"/>
                <w:sz w:val="20"/>
                <w:szCs w:val="20"/>
              </w:rPr>
            </w:pPr>
            <w:r w:rsidRPr="002C1853">
              <w:rPr>
                <w:rFonts w:cs="Arial"/>
                <w:sz w:val="20"/>
                <w:szCs w:val="20"/>
              </w:rPr>
              <w:t>51,848</w:t>
            </w:r>
          </w:p>
        </w:tc>
        <w:tc>
          <w:tcPr>
            <w:tcW w:w="832" w:type="pct"/>
            <w:tcBorders>
              <w:top w:val="single" w:sz="18" w:space="0" w:color="00B0B9"/>
            </w:tcBorders>
            <w:hideMark/>
          </w:tcPr>
          <w:p w14:paraId="17749115" w14:textId="77777777" w:rsidR="00C9100B" w:rsidRPr="002C1853" w:rsidRDefault="00C9100B" w:rsidP="00E117FD">
            <w:pPr>
              <w:spacing w:before="40" w:after="40"/>
              <w:jc w:val="right"/>
              <w:rPr>
                <w:rFonts w:cs="Arial"/>
                <w:sz w:val="20"/>
                <w:szCs w:val="20"/>
              </w:rPr>
            </w:pPr>
            <w:r w:rsidRPr="002C1853">
              <w:rPr>
                <w:rFonts w:cs="Arial"/>
                <w:sz w:val="20"/>
                <w:szCs w:val="20"/>
              </w:rPr>
              <w:t>43,082</w:t>
            </w:r>
          </w:p>
        </w:tc>
      </w:tr>
      <w:tr w:rsidR="00C9100B" w:rsidRPr="002C1853" w14:paraId="33D25712"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hideMark/>
          </w:tcPr>
          <w:p w14:paraId="73F47BF5" w14:textId="77777777" w:rsidR="00C9100B" w:rsidRPr="002C1853" w:rsidRDefault="00C9100B" w:rsidP="00E117FD">
            <w:pPr>
              <w:spacing w:before="40" w:after="40"/>
              <w:rPr>
                <w:rFonts w:cs="Arial"/>
                <w:sz w:val="20"/>
                <w:szCs w:val="20"/>
              </w:rPr>
            </w:pPr>
            <w:r w:rsidRPr="002C1853">
              <w:rPr>
                <w:sz w:val="20"/>
                <w:szCs w:val="20"/>
              </w:rPr>
              <w:t xml:space="preserve">Total number of 4-week outcomes </w:t>
            </w:r>
            <w:proofErr w:type="spellStart"/>
            <w:r w:rsidRPr="002C1853">
              <w:rPr>
                <w:sz w:val="20"/>
                <w:szCs w:val="20"/>
              </w:rPr>
              <w:t>achieved</w:t>
            </w:r>
            <w:r w:rsidRPr="002C1853">
              <w:rPr>
                <w:sz w:val="20"/>
                <w:szCs w:val="20"/>
                <w:vertAlign w:val="superscript"/>
              </w:rPr>
              <w:t>a</w:t>
            </w:r>
            <w:proofErr w:type="spellEnd"/>
          </w:p>
        </w:tc>
        <w:tc>
          <w:tcPr>
            <w:tcW w:w="833" w:type="pct"/>
            <w:hideMark/>
          </w:tcPr>
          <w:p w14:paraId="05446A1B" w14:textId="77777777" w:rsidR="00C9100B" w:rsidRPr="002C1853" w:rsidRDefault="00C9100B" w:rsidP="00E117FD">
            <w:pPr>
              <w:spacing w:before="40" w:after="40"/>
              <w:jc w:val="right"/>
              <w:rPr>
                <w:sz w:val="20"/>
                <w:szCs w:val="20"/>
              </w:rPr>
            </w:pPr>
            <w:r w:rsidRPr="002C1853">
              <w:rPr>
                <w:sz w:val="20"/>
                <w:szCs w:val="20"/>
              </w:rPr>
              <w:t>19,853</w:t>
            </w:r>
          </w:p>
        </w:tc>
        <w:tc>
          <w:tcPr>
            <w:tcW w:w="833" w:type="pct"/>
          </w:tcPr>
          <w:p w14:paraId="2CA74A47" w14:textId="77777777" w:rsidR="00C9100B" w:rsidRPr="002C1853" w:rsidRDefault="00C9100B" w:rsidP="00E117FD">
            <w:pPr>
              <w:spacing w:before="40" w:after="40"/>
              <w:jc w:val="right"/>
              <w:rPr>
                <w:sz w:val="20"/>
                <w:szCs w:val="20"/>
              </w:rPr>
            </w:pPr>
            <w:r w:rsidRPr="002C1853">
              <w:rPr>
                <w:sz w:val="20"/>
                <w:szCs w:val="20"/>
              </w:rPr>
              <w:t>18,366</w:t>
            </w:r>
          </w:p>
        </w:tc>
        <w:tc>
          <w:tcPr>
            <w:tcW w:w="832" w:type="pct"/>
          </w:tcPr>
          <w:p w14:paraId="28D94FAD" w14:textId="4900D17D" w:rsidR="00C9100B" w:rsidRPr="002C1853" w:rsidRDefault="00384B66" w:rsidP="00E117FD">
            <w:pPr>
              <w:spacing w:before="40" w:after="40"/>
              <w:jc w:val="right"/>
              <w:rPr>
                <w:sz w:val="20"/>
                <w:szCs w:val="20"/>
              </w:rPr>
            </w:pPr>
            <w:r w:rsidRPr="00771C23">
              <w:rPr>
                <w:rFonts w:eastAsia="Times New Roman"/>
                <w:color w:val="000000" w:themeColor="text1"/>
                <w:spacing w:val="4"/>
                <w:sz w:val="20"/>
                <w:szCs w:val="20"/>
                <w:lang w:val="en-GB"/>
              </w:rPr>
              <w:t>–</w:t>
            </w:r>
          </w:p>
        </w:tc>
      </w:tr>
      <w:tr w:rsidR="00384B66" w:rsidRPr="002C1853" w14:paraId="25A71E2B"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tcBorders>
              <w:bottom w:val="single" w:sz="4" w:space="0" w:color="FFFFFF" w:themeColor="background1"/>
            </w:tcBorders>
          </w:tcPr>
          <w:p w14:paraId="2763225C" w14:textId="77777777" w:rsidR="00384B66" w:rsidRPr="002C1853" w:rsidRDefault="00384B66" w:rsidP="00384B66">
            <w:pPr>
              <w:spacing w:before="40" w:after="40"/>
              <w:rPr>
                <w:sz w:val="20"/>
                <w:szCs w:val="20"/>
              </w:rPr>
            </w:pPr>
            <w:r w:rsidRPr="002C1853">
              <w:rPr>
                <w:rFonts w:cs="Arial"/>
                <w:sz w:val="20"/>
                <w:szCs w:val="20"/>
              </w:rPr>
              <w:t xml:space="preserve">Total number of 2-week job placements </w:t>
            </w:r>
            <w:proofErr w:type="spellStart"/>
            <w:r w:rsidRPr="002C1853">
              <w:rPr>
                <w:rFonts w:cs="Arial"/>
                <w:sz w:val="20"/>
                <w:szCs w:val="20"/>
              </w:rPr>
              <w:t>achieved</w:t>
            </w:r>
            <w:r w:rsidRPr="002C1853">
              <w:rPr>
                <w:rFonts w:cs="Arial"/>
                <w:sz w:val="20"/>
                <w:szCs w:val="20"/>
                <w:vertAlign w:val="superscript"/>
              </w:rPr>
              <w:t>a</w:t>
            </w:r>
            <w:proofErr w:type="spellEnd"/>
          </w:p>
        </w:tc>
        <w:tc>
          <w:tcPr>
            <w:tcW w:w="833" w:type="pct"/>
            <w:tcBorders>
              <w:bottom w:val="single" w:sz="4" w:space="0" w:color="FFFFFF" w:themeColor="background1"/>
            </w:tcBorders>
          </w:tcPr>
          <w:p w14:paraId="2129EE94" w14:textId="3034F2B6" w:rsidR="00384B66" w:rsidRPr="002C1853" w:rsidRDefault="00384B66" w:rsidP="00384B66">
            <w:pPr>
              <w:spacing w:before="40" w:after="40"/>
              <w:jc w:val="right"/>
              <w:rPr>
                <w:sz w:val="20"/>
                <w:szCs w:val="20"/>
              </w:rPr>
            </w:pPr>
            <w:r w:rsidRPr="009550FC">
              <w:rPr>
                <w:rFonts w:eastAsia="Times New Roman"/>
                <w:color w:val="000000" w:themeColor="text1"/>
                <w:spacing w:val="4"/>
                <w:sz w:val="20"/>
                <w:szCs w:val="20"/>
                <w:lang w:val="en-GB"/>
              </w:rPr>
              <w:t>–</w:t>
            </w:r>
          </w:p>
        </w:tc>
        <w:tc>
          <w:tcPr>
            <w:tcW w:w="833" w:type="pct"/>
            <w:tcBorders>
              <w:bottom w:val="single" w:sz="4" w:space="0" w:color="FFFFFF" w:themeColor="background1"/>
            </w:tcBorders>
          </w:tcPr>
          <w:p w14:paraId="60B25E5C" w14:textId="6A199F01" w:rsidR="00384B66" w:rsidRPr="002C1853" w:rsidRDefault="00384B66" w:rsidP="00384B66">
            <w:pPr>
              <w:spacing w:before="40" w:after="40"/>
              <w:jc w:val="right"/>
              <w:rPr>
                <w:sz w:val="20"/>
                <w:szCs w:val="20"/>
              </w:rPr>
            </w:pPr>
            <w:r w:rsidRPr="009550FC">
              <w:rPr>
                <w:rFonts w:eastAsia="Times New Roman"/>
                <w:color w:val="000000" w:themeColor="text1"/>
                <w:spacing w:val="4"/>
                <w:sz w:val="20"/>
                <w:szCs w:val="20"/>
                <w:lang w:val="en-GB"/>
              </w:rPr>
              <w:t>–</w:t>
            </w:r>
          </w:p>
        </w:tc>
        <w:tc>
          <w:tcPr>
            <w:tcW w:w="832" w:type="pct"/>
            <w:tcBorders>
              <w:bottom w:val="single" w:sz="4" w:space="0" w:color="FFFFFF" w:themeColor="background1"/>
            </w:tcBorders>
          </w:tcPr>
          <w:p w14:paraId="35DACAE9" w14:textId="77777777" w:rsidR="00384B66" w:rsidRPr="002C1853" w:rsidRDefault="00384B66" w:rsidP="00384B66">
            <w:pPr>
              <w:spacing w:before="40" w:after="40"/>
              <w:jc w:val="right"/>
              <w:rPr>
                <w:sz w:val="20"/>
                <w:szCs w:val="20"/>
              </w:rPr>
            </w:pPr>
            <w:r w:rsidRPr="002C1853">
              <w:rPr>
                <w:sz w:val="20"/>
                <w:szCs w:val="20"/>
              </w:rPr>
              <w:t>22,412</w:t>
            </w:r>
          </w:p>
        </w:tc>
      </w:tr>
      <w:tr w:rsidR="00C9100B" w:rsidRPr="002C1853" w14:paraId="1F77665F" w14:textId="77777777" w:rsidTr="00E117FD">
        <w:trPr>
          <w:cnfStyle w:val="000000100000" w:firstRow="0" w:lastRow="0" w:firstColumn="0" w:lastColumn="0" w:oddVBand="0" w:evenVBand="0" w:oddHBand="1" w:evenHBand="0" w:firstRowFirstColumn="0" w:firstRowLastColumn="0" w:lastRowFirstColumn="0" w:lastRowLastColumn="0"/>
        </w:trPr>
        <w:tc>
          <w:tcPr>
            <w:tcW w:w="5000" w:type="pct"/>
            <w:gridSpan w:val="4"/>
            <w:tcBorders>
              <w:top w:val="single" w:sz="4" w:space="0" w:color="FFFFFF" w:themeColor="background1"/>
              <w:bottom w:val="single" w:sz="18" w:space="0" w:color="00B0B9"/>
            </w:tcBorders>
            <w:hideMark/>
          </w:tcPr>
          <w:p w14:paraId="173D2314" w14:textId="77777777" w:rsidR="00C9100B" w:rsidRPr="002C1853" w:rsidRDefault="00C9100B" w:rsidP="00E117FD">
            <w:pPr>
              <w:keepNext/>
              <w:keepLines/>
              <w:spacing w:before="40" w:after="40"/>
              <w:rPr>
                <w:rFonts w:eastAsia="Times New Roman" w:cs="Arial"/>
                <w:b/>
                <w:color w:val="000000" w:themeColor="text1"/>
                <w:sz w:val="20"/>
                <w:szCs w:val="20"/>
              </w:rPr>
            </w:pPr>
            <w:r w:rsidRPr="002C1853">
              <w:rPr>
                <w:rFonts w:eastAsia="Times New Roman" w:cs="Arial"/>
                <w:b/>
                <w:color w:val="000000" w:themeColor="text1"/>
                <w:sz w:val="20"/>
                <w:szCs w:val="20"/>
              </w:rPr>
              <w:t>Employment Support Service</w:t>
            </w:r>
          </w:p>
        </w:tc>
      </w:tr>
      <w:tr w:rsidR="00C9100B" w:rsidRPr="002C1853" w14:paraId="13BD7EFD"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tcBorders>
              <w:top w:val="single" w:sz="18" w:space="0" w:color="00B0B9"/>
            </w:tcBorders>
            <w:hideMark/>
          </w:tcPr>
          <w:p w14:paraId="429F1584" w14:textId="77777777" w:rsidR="00C9100B" w:rsidRPr="002C1853" w:rsidRDefault="00C9100B" w:rsidP="00E117FD">
            <w:pPr>
              <w:spacing w:before="40" w:after="40"/>
              <w:rPr>
                <w:rFonts w:cs="Arial"/>
                <w:sz w:val="20"/>
                <w:szCs w:val="20"/>
              </w:rPr>
            </w:pPr>
            <w:r w:rsidRPr="002C1853">
              <w:rPr>
                <w:sz w:val="20"/>
                <w:szCs w:val="20"/>
              </w:rPr>
              <w:t>Number of commencements</w:t>
            </w:r>
          </w:p>
        </w:tc>
        <w:tc>
          <w:tcPr>
            <w:tcW w:w="833" w:type="pct"/>
            <w:tcBorders>
              <w:top w:val="single" w:sz="18" w:space="0" w:color="00B0B9"/>
            </w:tcBorders>
            <w:hideMark/>
          </w:tcPr>
          <w:p w14:paraId="6C093BF9" w14:textId="77777777" w:rsidR="00C9100B" w:rsidRPr="002C1853" w:rsidRDefault="00C9100B" w:rsidP="00E117FD">
            <w:pPr>
              <w:spacing w:before="40" w:after="40"/>
              <w:jc w:val="right"/>
              <w:rPr>
                <w:sz w:val="20"/>
                <w:szCs w:val="20"/>
              </w:rPr>
            </w:pPr>
            <w:r w:rsidRPr="002C1853">
              <w:rPr>
                <w:sz w:val="20"/>
                <w:szCs w:val="20"/>
              </w:rPr>
              <w:t>78,043</w:t>
            </w:r>
          </w:p>
        </w:tc>
        <w:tc>
          <w:tcPr>
            <w:tcW w:w="833" w:type="pct"/>
            <w:tcBorders>
              <w:top w:val="single" w:sz="18" w:space="0" w:color="00B0B9"/>
            </w:tcBorders>
            <w:hideMark/>
          </w:tcPr>
          <w:p w14:paraId="394EA330" w14:textId="77777777" w:rsidR="00C9100B" w:rsidRPr="002C1853" w:rsidRDefault="00C9100B" w:rsidP="00E117FD">
            <w:pPr>
              <w:spacing w:before="40" w:after="40"/>
              <w:jc w:val="right"/>
              <w:rPr>
                <w:sz w:val="20"/>
                <w:szCs w:val="20"/>
              </w:rPr>
            </w:pPr>
            <w:r w:rsidRPr="002C1853">
              <w:rPr>
                <w:sz w:val="20"/>
                <w:szCs w:val="20"/>
              </w:rPr>
              <w:t>63,976</w:t>
            </w:r>
          </w:p>
        </w:tc>
        <w:tc>
          <w:tcPr>
            <w:tcW w:w="832" w:type="pct"/>
            <w:tcBorders>
              <w:top w:val="single" w:sz="18" w:space="0" w:color="00B0B9"/>
            </w:tcBorders>
            <w:hideMark/>
          </w:tcPr>
          <w:p w14:paraId="18D7394A" w14:textId="77777777" w:rsidR="00C9100B" w:rsidRPr="002C1853" w:rsidRDefault="00C9100B" w:rsidP="00E117FD">
            <w:pPr>
              <w:spacing w:before="40" w:after="40"/>
              <w:jc w:val="right"/>
              <w:rPr>
                <w:sz w:val="20"/>
                <w:szCs w:val="20"/>
              </w:rPr>
            </w:pPr>
            <w:r w:rsidRPr="002C1853">
              <w:rPr>
                <w:sz w:val="20"/>
                <w:szCs w:val="20"/>
              </w:rPr>
              <w:t>47,439</w:t>
            </w:r>
          </w:p>
        </w:tc>
      </w:tr>
      <w:tr w:rsidR="00C9100B" w:rsidRPr="002C1853" w14:paraId="4FDB1ECB"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hideMark/>
          </w:tcPr>
          <w:p w14:paraId="67BD5EBD" w14:textId="77777777" w:rsidR="00C9100B" w:rsidRPr="002C1853" w:rsidRDefault="00C9100B" w:rsidP="00E117FD">
            <w:pPr>
              <w:spacing w:before="40" w:after="40"/>
              <w:rPr>
                <w:rFonts w:cs="Arial"/>
                <w:sz w:val="20"/>
                <w:szCs w:val="20"/>
              </w:rPr>
            </w:pPr>
            <w:r w:rsidRPr="002C1853">
              <w:rPr>
                <w:rFonts w:cs="Arial"/>
                <w:sz w:val="20"/>
                <w:szCs w:val="20"/>
              </w:rPr>
              <w:t xml:space="preserve">Total number of 4-week outcomes </w:t>
            </w:r>
            <w:proofErr w:type="spellStart"/>
            <w:r w:rsidRPr="002C1853">
              <w:rPr>
                <w:rFonts w:cs="Arial"/>
                <w:sz w:val="20"/>
                <w:szCs w:val="20"/>
              </w:rPr>
              <w:t>achieved</w:t>
            </w:r>
            <w:r w:rsidRPr="002C1853">
              <w:rPr>
                <w:rFonts w:cs="Arial"/>
                <w:sz w:val="20"/>
                <w:szCs w:val="20"/>
                <w:vertAlign w:val="superscript"/>
              </w:rPr>
              <w:t>a</w:t>
            </w:r>
            <w:proofErr w:type="spellEnd"/>
          </w:p>
        </w:tc>
        <w:tc>
          <w:tcPr>
            <w:tcW w:w="833" w:type="pct"/>
            <w:hideMark/>
          </w:tcPr>
          <w:p w14:paraId="66E866A7" w14:textId="77777777" w:rsidR="00C9100B" w:rsidRPr="002C1853" w:rsidRDefault="00C9100B" w:rsidP="00E117FD">
            <w:pPr>
              <w:spacing w:before="40" w:after="40"/>
              <w:jc w:val="right"/>
              <w:rPr>
                <w:rFonts w:cs="Arial"/>
                <w:sz w:val="20"/>
                <w:szCs w:val="20"/>
              </w:rPr>
            </w:pPr>
            <w:r w:rsidRPr="002C1853">
              <w:rPr>
                <w:rFonts w:cs="Arial"/>
                <w:sz w:val="20"/>
                <w:szCs w:val="20"/>
              </w:rPr>
              <w:t>25,397</w:t>
            </w:r>
          </w:p>
        </w:tc>
        <w:tc>
          <w:tcPr>
            <w:tcW w:w="833" w:type="pct"/>
          </w:tcPr>
          <w:p w14:paraId="7CB70761" w14:textId="77777777" w:rsidR="00C9100B" w:rsidRPr="002C1853" w:rsidRDefault="00C9100B" w:rsidP="00E117FD">
            <w:pPr>
              <w:spacing w:before="40" w:after="40"/>
              <w:jc w:val="right"/>
              <w:rPr>
                <w:rFonts w:cs="Arial"/>
                <w:sz w:val="20"/>
                <w:szCs w:val="20"/>
              </w:rPr>
            </w:pPr>
            <w:r w:rsidRPr="002C1853">
              <w:rPr>
                <w:rFonts w:cs="Arial"/>
                <w:sz w:val="20"/>
                <w:szCs w:val="20"/>
              </w:rPr>
              <w:t>22,781</w:t>
            </w:r>
          </w:p>
        </w:tc>
        <w:tc>
          <w:tcPr>
            <w:tcW w:w="832" w:type="pct"/>
          </w:tcPr>
          <w:p w14:paraId="14A317F7" w14:textId="033AE5BF" w:rsidR="00C9100B" w:rsidRPr="002C1853" w:rsidRDefault="00384B66" w:rsidP="00E117FD">
            <w:pPr>
              <w:spacing w:before="40" w:after="40"/>
              <w:jc w:val="right"/>
              <w:rPr>
                <w:rFonts w:cs="Arial"/>
                <w:sz w:val="20"/>
                <w:szCs w:val="20"/>
              </w:rPr>
            </w:pPr>
            <w:r w:rsidRPr="00771C23">
              <w:rPr>
                <w:rFonts w:eastAsia="Times New Roman"/>
                <w:color w:val="000000" w:themeColor="text1"/>
                <w:spacing w:val="4"/>
                <w:sz w:val="20"/>
                <w:szCs w:val="20"/>
                <w:lang w:val="en-GB"/>
              </w:rPr>
              <w:t>–</w:t>
            </w:r>
          </w:p>
        </w:tc>
      </w:tr>
      <w:tr w:rsidR="00384B66" w:rsidRPr="002C1853" w14:paraId="04ACA45B"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tcBorders>
              <w:bottom w:val="single" w:sz="4" w:space="0" w:color="FFFFFF" w:themeColor="background1"/>
            </w:tcBorders>
          </w:tcPr>
          <w:p w14:paraId="24393733" w14:textId="77777777" w:rsidR="00384B66" w:rsidRPr="002C1853" w:rsidRDefault="00384B66" w:rsidP="00384B66">
            <w:pPr>
              <w:spacing w:before="40" w:after="40"/>
              <w:rPr>
                <w:rFonts w:cs="Arial"/>
                <w:sz w:val="20"/>
                <w:szCs w:val="20"/>
              </w:rPr>
            </w:pPr>
            <w:r w:rsidRPr="002C1853">
              <w:rPr>
                <w:rFonts w:cs="Arial"/>
                <w:sz w:val="20"/>
                <w:szCs w:val="20"/>
              </w:rPr>
              <w:t xml:space="preserve">Total number of 2-week job placements </w:t>
            </w:r>
            <w:proofErr w:type="spellStart"/>
            <w:r w:rsidRPr="002C1853">
              <w:rPr>
                <w:rFonts w:cs="Arial"/>
                <w:sz w:val="20"/>
                <w:szCs w:val="20"/>
              </w:rPr>
              <w:t>achieved</w:t>
            </w:r>
            <w:r w:rsidRPr="002C1853">
              <w:rPr>
                <w:rFonts w:cs="Arial"/>
                <w:sz w:val="20"/>
                <w:szCs w:val="20"/>
                <w:vertAlign w:val="superscript"/>
              </w:rPr>
              <w:t>a</w:t>
            </w:r>
            <w:proofErr w:type="spellEnd"/>
          </w:p>
        </w:tc>
        <w:tc>
          <w:tcPr>
            <w:tcW w:w="833" w:type="pct"/>
            <w:tcBorders>
              <w:bottom w:val="single" w:sz="4" w:space="0" w:color="FFFFFF" w:themeColor="background1"/>
            </w:tcBorders>
          </w:tcPr>
          <w:p w14:paraId="4207771E" w14:textId="75B582DD" w:rsidR="00384B66" w:rsidRPr="002C1853" w:rsidRDefault="00384B66" w:rsidP="00384B66">
            <w:pPr>
              <w:spacing w:before="40" w:after="40"/>
              <w:jc w:val="right"/>
              <w:rPr>
                <w:rFonts w:cs="Arial"/>
                <w:sz w:val="20"/>
                <w:szCs w:val="20"/>
              </w:rPr>
            </w:pPr>
            <w:r w:rsidRPr="001C7A70">
              <w:rPr>
                <w:rFonts w:eastAsia="Times New Roman"/>
                <w:color w:val="000000" w:themeColor="text1"/>
                <w:spacing w:val="4"/>
                <w:sz w:val="20"/>
                <w:szCs w:val="20"/>
                <w:lang w:val="en-GB"/>
              </w:rPr>
              <w:t>–</w:t>
            </w:r>
          </w:p>
        </w:tc>
        <w:tc>
          <w:tcPr>
            <w:tcW w:w="833" w:type="pct"/>
            <w:tcBorders>
              <w:bottom w:val="single" w:sz="4" w:space="0" w:color="FFFFFF" w:themeColor="background1"/>
            </w:tcBorders>
          </w:tcPr>
          <w:p w14:paraId="3371A0B3" w14:textId="3A61ECBB" w:rsidR="00384B66" w:rsidRPr="002C1853" w:rsidRDefault="00384B66" w:rsidP="00384B66">
            <w:pPr>
              <w:spacing w:before="40" w:after="40"/>
              <w:jc w:val="right"/>
              <w:rPr>
                <w:rFonts w:cs="Arial"/>
                <w:sz w:val="20"/>
                <w:szCs w:val="20"/>
              </w:rPr>
            </w:pPr>
            <w:r w:rsidRPr="001C7A70">
              <w:rPr>
                <w:rFonts w:eastAsia="Times New Roman"/>
                <w:color w:val="000000" w:themeColor="text1"/>
                <w:spacing w:val="4"/>
                <w:sz w:val="20"/>
                <w:szCs w:val="20"/>
                <w:lang w:val="en-GB"/>
              </w:rPr>
              <w:t>–</w:t>
            </w:r>
          </w:p>
        </w:tc>
        <w:tc>
          <w:tcPr>
            <w:tcW w:w="832" w:type="pct"/>
            <w:tcBorders>
              <w:bottom w:val="single" w:sz="4" w:space="0" w:color="FFFFFF" w:themeColor="background1"/>
            </w:tcBorders>
          </w:tcPr>
          <w:p w14:paraId="292ED4F6" w14:textId="77777777" w:rsidR="00384B66" w:rsidRPr="002C1853" w:rsidRDefault="00384B66" w:rsidP="00384B66">
            <w:pPr>
              <w:spacing w:before="40" w:after="40"/>
              <w:jc w:val="right"/>
              <w:rPr>
                <w:rFonts w:cs="Arial"/>
                <w:sz w:val="20"/>
                <w:szCs w:val="20"/>
              </w:rPr>
            </w:pPr>
            <w:r w:rsidRPr="002C1853">
              <w:rPr>
                <w:rFonts w:cs="Arial"/>
                <w:sz w:val="20"/>
                <w:szCs w:val="20"/>
              </w:rPr>
              <w:t>26,916</w:t>
            </w:r>
          </w:p>
        </w:tc>
      </w:tr>
      <w:tr w:rsidR="00C9100B" w:rsidRPr="002C1853" w14:paraId="5B5081D5" w14:textId="77777777" w:rsidTr="00E117FD">
        <w:trPr>
          <w:cnfStyle w:val="000000100000" w:firstRow="0" w:lastRow="0" w:firstColumn="0" w:lastColumn="0" w:oddVBand="0" w:evenVBand="0" w:oddHBand="1" w:evenHBand="0" w:firstRowFirstColumn="0" w:firstRowLastColumn="0" w:lastRowFirstColumn="0" w:lastRowLastColumn="0"/>
        </w:trPr>
        <w:tc>
          <w:tcPr>
            <w:tcW w:w="5000" w:type="pct"/>
            <w:gridSpan w:val="4"/>
            <w:tcBorders>
              <w:top w:val="single" w:sz="4" w:space="0" w:color="FFFFFF" w:themeColor="background1"/>
              <w:bottom w:val="single" w:sz="18" w:space="0" w:color="00B0B9"/>
            </w:tcBorders>
            <w:hideMark/>
          </w:tcPr>
          <w:p w14:paraId="6E29F95E" w14:textId="77777777" w:rsidR="00C9100B" w:rsidRPr="002C1853" w:rsidRDefault="00C9100B" w:rsidP="00E117FD">
            <w:pPr>
              <w:keepNext/>
              <w:keepLines/>
              <w:spacing w:before="40" w:after="40"/>
              <w:rPr>
                <w:rFonts w:eastAsia="Times New Roman" w:cs="Arial"/>
                <w:b/>
                <w:color w:val="000000" w:themeColor="text1"/>
                <w:sz w:val="20"/>
                <w:szCs w:val="20"/>
              </w:rPr>
            </w:pPr>
            <w:r w:rsidRPr="002C1853">
              <w:rPr>
                <w:rFonts w:eastAsia="Times New Roman"/>
                <w:b/>
                <w:color w:val="000000" w:themeColor="text1"/>
                <w:sz w:val="20"/>
                <w:szCs w:val="20"/>
              </w:rPr>
              <w:t>Disability and Carer Support</w:t>
            </w:r>
          </w:p>
        </w:tc>
      </w:tr>
      <w:tr w:rsidR="00C9100B" w:rsidRPr="002C1853" w14:paraId="33B3DE35"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tcBorders>
              <w:top w:val="single" w:sz="18" w:space="0" w:color="00B0B9"/>
            </w:tcBorders>
            <w:hideMark/>
          </w:tcPr>
          <w:p w14:paraId="3A91BDCB" w14:textId="77777777" w:rsidR="00C9100B" w:rsidRPr="002C1853" w:rsidRDefault="00C9100B" w:rsidP="00E117FD">
            <w:pPr>
              <w:spacing w:before="40" w:after="40"/>
              <w:rPr>
                <w:rFonts w:cs="Arial"/>
                <w:sz w:val="20"/>
                <w:szCs w:val="20"/>
              </w:rPr>
            </w:pPr>
            <w:r w:rsidRPr="002C1853">
              <w:rPr>
                <w:rFonts w:cs="Arial"/>
                <w:sz w:val="20"/>
                <w:szCs w:val="20"/>
              </w:rPr>
              <w:t xml:space="preserve">Number of carers </w:t>
            </w:r>
            <w:proofErr w:type="spellStart"/>
            <w:r w:rsidRPr="002C1853">
              <w:rPr>
                <w:rFonts w:cs="Arial"/>
                <w:sz w:val="20"/>
                <w:szCs w:val="20"/>
              </w:rPr>
              <w:t>assisted</w:t>
            </w:r>
            <w:r w:rsidRPr="002C1853">
              <w:rPr>
                <w:rFonts w:cs="Arial"/>
                <w:sz w:val="20"/>
                <w:szCs w:val="20"/>
                <w:vertAlign w:val="superscript"/>
              </w:rPr>
              <w:t>b</w:t>
            </w:r>
            <w:proofErr w:type="spellEnd"/>
          </w:p>
        </w:tc>
        <w:tc>
          <w:tcPr>
            <w:tcW w:w="833" w:type="pct"/>
            <w:tcBorders>
              <w:top w:val="single" w:sz="18" w:space="0" w:color="00B0B9"/>
            </w:tcBorders>
            <w:hideMark/>
          </w:tcPr>
          <w:p w14:paraId="042AE06D" w14:textId="77777777" w:rsidR="00C9100B" w:rsidRPr="002C1853" w:rsidRDefault="00C9100B" w:rsidP="00E117FD">
            <w:pPr>
              <w:spacing w:before="40" w:after="40"/>
              <w:jc w:val="right"/>
              <w:rPr>
                <w:rFonts w:cs="Arial"/>
                <w:sz w:val="20"/>
                <w:szCs w:val="20"/>
              </w:rPr>
            </w:pPr>
            <w:r w:rsidRPr="002C1853">
              <w:rPr>
                <w:rFonts w:cs="Arial"/>
                <w:sz w:val="20"/>
                <w:szCs w:val="20"/>
              </w:rPr>
              <w:t>73,005</w:t>
            </w:r>
          </w:p>
        </w:tc>
        <w:tc>
          <w:tcPr>
            <w:tcW w:w="833" w:type="pct"/>
            <w:tcBorders>
              <w:top w:val="single" w:sz="18" w:space="0" w:color="00B0B9"/>
            </w:tcBorders>
            <w:hideMark/>
          </w:tcPr>
          <w:p w14:paraId="7BF07A9A" w14:textId="77777777" w:rsidR="00C9100B" w:rsidRPr="002C1853" w:rsidRDefault="00C9100B" w:rsidP="00E117FD">
            <w:pPr>
              <w:spacing w:before="40" w:after="40"/>
              <w:jc w:val="right"/>
              <w:rPr>
                <w:rFonts w:cs="Arial"/>
                <w:sz w:val="20"/>
                <w:szCs w:val="20"/>
                <w:highlight w:val="yellow"/>
              </w:rPr>
            </w:pPr>
            <w:r w:rsidRPr="002C1853">
              <w:rPr>
                <w:rFonts w:cs="Arial"/>
                <w:sz w:val="20"/>
                <w:szCs w:val="20"/>
              </w:rPr>
              <w:t>95,709</w:t>
            </w:r>
          </w:p>
        </w:tc>
        <w:tc>
          <w:tcPr>
            <w:tcW w:w="832" w:type="pct"/>
            <w:tcBorders>
              <w:top w:val="single" w:sz="18" w:space="0" w:color="00B0B9"/>
            </w:tcBorders>
            <w:hideMark/>
          </w:tcPr>
          <w:p w14:paraId="539C7150" w14:textId="77777777" w:rsidR="00C9100B" w:rsidRPr="002C1853" w:rsidRDefault="00C9100B" w:rsidP="00E117FD">
            <w:pPr>
              <w:spacing w:before="40" w:after="40"/>
              <w:jc w:val="right"/>
              <w:rPr>
                <w:rFonts w:cs="Arial"/>
                <w:sz w:val="20"/>
                <w:szCs w:val="20"/>
              </w:rPr>
            </w:pPr>
            <w:r w:rsidRPr="002C1853">
              <w:rPr>
                <w:rFonts w:cs="Arial"/>
                <w:sz w:val="20"/>
                <w:szCs w:val="20"/>
              </w:rPr>
              <w:t>108,192</w:t>
            </w:r>
          </w:p>
        </w:tc>
      </w:tr>
      <w:tr w:rsidR="00C9100B" w:rsidRPr="002C1853" w14:paraId="65E9B8F8"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hideMark/>
          </w:tcPr>
          <w:p w14:paraId="1660706C" w14:textId="77777777" w:rsidR="00C9100B" w:rsidRPr="002C1853" w:rsidRDefault="00C9100B" w:rsidP="00E117FD">
            <w:pPr>
              <w:spacing w:before="40" w:after="40"/>
              <w:rPr>
                <w:rFonts w:cs="Arial"/>
                <w:sz w:val="20"/>
                <w:szCs w:val="20"/>
              </w:rPr>
            </w:pPr>
            <w:r w:rsidRPr="002C1853">
              <w:rPr>
                <w:sz w:val="20"/>
                <w:szCs w:val="20"/>
              </w:rPr>
              <w:t xml:space="preserve">Number of people accessing Carer </w:t>
            </w:r>
            <w:proofErr w:type="spellStart"/>
            <w:r w:rsidRPr="002C1853">
              <w:rPr>
                <w:sz w:val="20"/>
                <w:szCs w:val="20"/>
              </w:rPr>
              <w:t>Gateway</w:t>
            </w:r>
            <w:r w:rsidRPr="002C1853">
              <w:rPr>
                <w:sz w:val="20"/>
                <w:szCs w:val="20"/>
                <w:vertAlign w:val="superscript"/>
              </w:rPr>
              <w:t>c</w:t>
            </w:r>
            <w:proofErr w:type="spellEnd"/>
          </w:p>
        </w:tc>
        <w:tc>
          <w:tcPr>
            <w:tcW w:w="833" w:type="pct"/>
            <w:hideMark/>
          </w:tcPr>
          <w:p w14:paraId="0CC5988F" w14:textId="77777777" w:rsidR="00C9100B" w:rsidRPr="002C1853" w:rsidRDefault="00C9100B" w:rsidP="00E117FD">
            <w:pPr>
              <w:spacing w:before="40" w:after="40"/>
              <w:jc w:val="right"/>
              <w:rPr>
                <w:sz w:val="20"/>
                <w:szCs w:val="20"/>
              </w:rPr>
            </w:pPr>
            <w:r w:rsidRPr="002C1853">
              <w:rPr>
                <w:sz w:val="20"/>
                <w:szCs w:val="20"/>
              </w:rPr>
              <w:t>1,453,373</w:t>
            </w:r>
          </w:p>
        </w:tc>
        <w:tc>
          <w:tcPr>
            <w:tcW w:w="833" w:type="pct"/>
            <w:hideMark/>
          </w:tcPr>
          <w:p w14:paraId="137A57B4" w14:textId="77777777" w:rsidR="00C9100B" w:rsidRPr="002C1853" w:rsidRDefault="00C9100B" w:rsidP="00E117FD">
            <w:pPr>
              <w:spacing w:before="40" w:after="40"/>
              <w:jc w:val="right"/>
              <w:rPr>
                <w:sz w:val="20"/>
                <w:szCs w:val="20"/>
                <w:highlight w:val="yellow"/>
              </w:rPr>
            </w:pPr>
            <w:r w:rsidRPr="002C1853">
              <w:rPr>
                <w:sz w:val="20"/>
                <w:szCs w:val="20"/>
              </w:rPr>
              <w:t>580,948</w:t>
            </w:r>
          </w:p>
        </w:tc>
        <w:tc>
          <w:tcPr>
            <w:tcW w:w="832" w:type="pct"/>
            <w:hideMark/>
          </w:tcPr>
          <w:p w14:paraId="57835F3E" w14:textId="77777777" w:rsidR="00C9100B" w:rsidRPr="002C1853" w:rsidRDefault="00C9100B" w:rsidP="00E117FD">
            <w:pPr>
              <w:spacing w:before="40" w:after="40"/>
              <w:jc w:val="right"/>
              <w:rPr>
                <w:sz w:val="20"/>
                <w:szCs w:val="20"/>
              </w:rPr>
            </w:pPr>
            <w:r w:rsidRPr="002C1853">
              <w:rPr>
                <w:sz w:val="20"/>
                <w:szCs w:val="20"/>
              </w:rPr>
              <w:t>441,311</w:t>
            </w:r>
          </w:p>
        </w:tc>
      </w:tr>
      <w:tr w:rsidR="00C9100B" w:rsidRPr="002C1853" w14:paraId="44DED233" w14:textId="77777777" w:rsidTr="00E117FD">
        <w:trPr>
          <w:cnfStyle w:val="000000010000" w:firstRow="0" w:lastRow="0" w:firstColumn="0" w:lastColumn="0" w:oddVBand="0" w:evenVBand="0" w:oddHBand="0" w:evenHBand="1" w:firstRowFirstColumn="0" w:firstRowLastColumn="0" w:lastRowFirstColumn="0" w:lastRowLastColumn="0"/>
        </w:trPr>
        <w:tc>
          <w:tcPr>
            <w:tcW w:w="5000" w:type="pct"/>
            <w:gridSpan w:val="4"/>
            <w:hideMark/>
          </w:tcPr>
          <w:p w14:paraId="5269EE11" w14:textId="77777777" w:rsidR="00C9100B" w:rsidRPr="002C1853" w:rsidRDefault="00C9100B" w:rsidP="00E117FD">
            <w:pPr>
              <w:spacing w:before="40" w:after="40"/>
              <w:rPr>
                <w:rFonts w:cs="Arial"/>
                <w:sz w:val="20"/>
                <w:szCs w:val="20"/>
              </w:rPr>
            </w:pPr>
            <w:r w:rsidRPr="002C1853">
              <w:rPr>
                <w:rFonts w:cs="Arial"/>
                <w:sz w:val="20"/>
                <w:szCs w:val="20"/>
              </w:rPr>
              <w:t>Number of people with disability provided with direct advocacy support:</w:t>
            </w:r>
          </w:p>
        </w:tc>
      </w:tr>
      <w:tr w:rsidR="00C9100B" w:rsidRPr="002C1853" w14:paraId="4BA457F7" w14:textId="77777777" w:rsidTr="00E117FD">
        <w:trPr>
          <w:cnfStyle w:val="000000100000" w:firstRow="0" w:lastRow="0" w:firstColumn="0" w:lastColumn="0" w:oddVBand="0" w:evenVBand="0" w:oddHBand="1" w:evenHBand="0" w:firstRowFirstColumn="0" w:firstRowLastColumn="0" w:lastRowFirstColumn="0" w:lastRowLastColumn="0"/>
        </w:trPr>
        <w:tc>
          <w:tcPr>
            <w:tcW w:w="2502" w:type="pct"/>
            <w:hideMark/>
          </w:tcPr>
          <w:p w14:paraId="3332C811" w14:textId="77777777" w:rsidR="00C9100B" w:rsidRPr="002C1853" w:rsidRDefault="00C9100B" w:rsidP="00E117FD">
            <w:pPr>
              <w:numPr>
                <w:ilvl w:val="0"/>
                <w:numId w:val="79"/>
              </w:numPr>
              <w:spacing w:before="40" w:after="40"/>
              <w:ind w:left="318" w:hanging="284"/>
              <w:contextualSpacing/>
              <w:rPr>
                <w:rFonts w:cs="Arial"/>
                <w:sz w:val="20"/>
                <w:szCs w:val="20"/>
              </w:rPr>
            </w:pPr>
            <w:r w:rsidRPr="002C1853">
              <w:rPr>
                <w:sz w:val="20"/>
                <w:szCs w:val="20"/>
              </w:rPr>
              <w:t>National Disability Advocacy Program</w:t>
            </w:r>
          </w:p>
        </w:tc>
        <w:tc>
          <w:tcPr>
            <w:tcW w:w="833" w:type="pct"/>
            <w:hideMark/>
          </w:tcPr>
          <w:p w14:paraId="3E321057" w14:textId="77777777" w:rsidR="00C9100B" w:rsidRPr="002C1853" w:rsidRDefault="00C9100B" w:rsidP="00E117FD">
            <w:pPr>
              <w:spacing w:before="40" w:after="40"/>
              <w:jc w:val="right"/>
              <w:rPr>
                <w:sz w:val="20"/>
                <w:szCs w:val="20"/>
              </w:rPr>
            </w:pPr>
            <w:r w:rsidRPr="002C1853">
              <w:rPr>
                <w:sz w:val="20"/>
                <w:szCs w:val="20"/>
              </w:rPr>
              <w:t>12,316</w:t>
            </w:r>
          </w:p>
        </w:tc>
        <w:tc>
          <w:tcPr>
            <w:tcW w:w="833" w:type="pct"/>
            <w:hideMark/>
          </w:tcPr>
          <w:p w14:paraId="21A99D1E" w14:textId="77777777" w:rsidR="00C9100B" w:rsidRPr="002C1853" w:rsidRDefault="00C9100B" w:rsidP="00E117FD">
            <w:pPr>
              <w:spacing w:before="40" w:after="40"/>
              <w:jc w:val="right"/>
              <w:rPr>
                <w:sz w:val="20"/>
                <w:szCs w:val="20"/>
              </w:rPr>
            </w:pPr>
            <w:r w:rsidRPr="002C1853">
              <w:rPr>
                <w:sz w:val="20"/>
                <w:szCs w:val="20"/>
              </w:rPr>
              <w:t>12,450</w:t>
            </w:r>
          </w:p>
        </w:tc>
        <w:tc>
          <w:tcPr>
            <w:tcW w:w="832" w:type="pct"/>
            <w:hideMark/>
          </w:tcPr>
          <w:p w14:paraId="02FD54A1" w14:textId="77777777" w:rsidR="00C9100B" w:rsidRPr="002C1853" w:rsidRDefault="00C9100B" w:rsidP="00E117FD">
            <w:pPr>
              <w:spacing w:before="40" w:after="40"/>
              <w:jc w:val="right"/>
              <w:rPr>
                <w:sz w:val="20"/>
                <w:szCs w:val="20"/>
              </w:rPr>
            </w:pPr>
            <w:r w:rsidRPr="002C1853">
              <w:rPr>
                <w:sz w:val="20"/>
                <w:szCs w:val="20"/>
              </w:rPr>
              <w:t>8,867</w:t>
            </w:r>
          </w:p>
        </w:tc>
      </w:tr>
      <w:tr w:rsidR="00C9100B" w:rsidRPr="002C1853" w14:paraId="0A810DEE"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tcBorders>
              <w:bottom w:val="single" w:sz="4" w:space="0" w:color="FFFFFF" w:themeColor="background1"/>
            </w:tcBorders>
            <w:hideMark/>
          </w:tcPr>
          <w:p w14:paraId="7ACF7067" w14:textId="77777777" w:rsidR="00C9100B" w:rsidRPr="002C1853" w:rsidRDefault="00C9100B" w:rsidP="00E117FD">
            <w:pPr>
              <w:numPr>
                <w:ilvl w:val="0"/>
                <w:numId w:val="79"/>
              </w:numPr>
              <w:spacing w:before="40" w:after="40"/>
              <w:ind w:left="318" w:hanging="284"/>
              <w:contextualSpacing/>
              <w:rPr>
                <w:rFonts w:cs="Arial"/>
                <w:sz w:val="20"/>
                <w:szCs w:val="20"/>
              </w:rPr>
            </w:pPr>
            <w:r w:rsidRPr="002C1853">
              <w:rPr>
                <w:rFonts w:cs="Arial"/>
                <w:sz w:val="20"/>
                <w:szCs w:val="20"/>
              </w:rPr>
              <w:t xml:space="preserve">NDIS Appeals </w:t>
            </w:r>
            <w:proofErr w:type="spellStart"/>
            <w:r w:rsidRPr="002C1853">
              <w:rPr>
                <w:rFonts w:cs="Arial"/>
                <w:sz w:val="20"/>
                <w:szCs w:val="20"/>
              </w:rPr>
              <w:t>program</w:t>
            </w:r>
            <w:r w:rsidRPr="002C1853">
              <w:rPr>
                <w:rFonts w:cs="Arial"/>
                <w:sz w:val="20"/>
                <w:szCs w:val="20"/>
                <w:vertAlign w:val="superscript"/>
              </w:rPr>
              <w:t>e</w:t>
            </w:r>
            <w:proofErr w:type="spellEnd"/>
          </w:p>
        </w:tc>
        <w:tc>
          <w:tcPr>
            <w:tcW w:w="833" w:type="pct"/>
            <w:tcBorders>
              <w:bottom w:val="single" w:sz="4" w:space="0" w:color="FFFFFF" w:themeColor="background1"/>
            </w:tcBorders>
            <w:hideMark/>
          </w:tcPr>
          <w:p w14:paraId="03180FD0" w14:textId="77777777" w:rsidR="00C9100B" w:rsidRPr="002C1853" w:rsidRDefault="00C9100B" w:rsidP="00E117FD">
            <w:pPr>
              <w:spacing w:before="40" w:after="40"/>
              <w:jc w:val="right"/>
              <w:rPr>
                <w:rFonts w:cs="Arial"/>
                <w:sz w:val="20"/>
                <w:szCs w:val="20"/>
              </w:rPr>
            </w:pPr>
            <w:r w:rsidRPr="002C1853">
              <w:rPr>
                <w:rFonts w:cs="Arial"/>
                <w:sz w:val="20"/>
                <w:szCs w:val="20"/>
              </w:rPr>
              <w:t>2,931</w:t>
            </w:r>
          </w:p>
        </w:tc>
        <w:tc>
          <w:tcPr>
            <w:tcW w:w="833" w:type="pct"/>
            <w:tcBorders>
              <w:bottom w:val="single" w:sz="4" w:space="0" w:color="FFFFFF" w:themeColor="background1"/>
            </w:tcBorders>
            <w:hideMark/>
          </w:tcPr>
          <w:p w14:paraId="4D2363B9" w14:textId="77777777" w:rsidR="00C9100B" w:rsidRPr="002C1853" w:rsidRDefault="00C9100B" w:rsidP="00E117FD">
            <w:pPr>
              <w:spacing w:before="40" w:after="40"/>
              <w:jc w:val="right"/>
              <w:rPr>
                <w:rFonts w:cs="Arial"/>
                <w:sz w:val="20"/>
                <w:szCs w:val="20"/>
              </w:rPr>
            </w:pPr>
            <w:r w:rsidRPr="002C1853">
              <w:rPr>
                <w:rFonts w:cs="Arial"/>
                <w:sz w:val="20"/>
                <w:szCs w:val="20"/>
              </w:rPr>
              <w:t>3,305</w:t>
            </w:r>
          </w:p>
        </w:tc>
        <w:tc>
          <w:tcPr>
            <w:tcW w:w="832" w:type="pct"/>
            <w:tcBorders>
              <w:bottom w:val="single" w:sz="4" w:space="0" w:color="FFFFFF" w:themeColor="background1"/>
            </w:tcBorders>
            <w:hideMark/>
          </w:tcPr>
          <w:p w14:paraId="61B57CC9" w14:textId="77777777" w:rsidR="00C9100B" w:rsidRPr="002C1853" w:rsidRDefault="00C9100B" w:rsidP="00E117FD">
            <w:pPr>
              <w:spacing w:before="40" w:after="40"/>
              <w:jc w:val="right"/>
              <w:rPr>
                <w:rFonts w:cs="Arial"/>
                <w:sz w:val="20"/>
                <w:szCs w:val="20"/>
              </w:rPr>
            </w:pPr>
            <w:r w:rsidRPr="002C1853">
              <w:rPr>
                <w:rFonts w:cs="Arial"/>
                <w:sz w:val="20"/>
                <w:szCs w:val="20"/>
              </w:rPr>
              <w:t>–</w:t>
            </w:r>
          </w:p>
        </w:tc>
      </w:tr>
      <w:tr w:rsidR="00C9100B" w:rsidRPr="002C1853" w14:paraId="6123D660" w14:textId="77777777" w:rsidTr="00E117FD">
        <w:trPr>
          <w:cnfStyle w:val="000000100000" w:firstRow="0" w:lastRow="0" w:firstColumn="0" w:lastColumn="0" w:oddVBand="0" w:evenVBand="0" w:oddHBand="1" w:evenHBand="0" w:firstRowFirstColumn="0" w:firstRowLastColumn="0" w:lastRowFirstColumn="0" w:lastRowLastColumn="0"/>
        </w:trPr>
        <w:tc>
          <w:tcPr>
            <w:tcW w:w="5000" w:type="pct"/>
            <w:gridSpan w:val="4"/>
            <w:tcBorders>
              <w:top w:val="single" w:sz="4" w:space="0" w:color="FFFFFF" w:themeColor="background1"/>
              <w:bottom w:val="single" w:sz="18" w:space="0" w:color="00B0B9"/>
            </w:tcBorders>
            <w:hideMark/>
          </w:tcPr>
          <w:p w14:paraId="14000DF3" w14:textId="77777777" w:rsidR="00C9100B" w:rsidRPr="002C1853" w:rsidRDefault="00C9100B" w:rsidP="00E117FD">
            <w:pPr>
              <w:keepNext/>
              <w:keepLines/>
              <w:spacing w:before="40" w:after="40"/>
              <w:rPr>
                <w:rFonts w:eastAsia="Times New Roman" w:cs="Arial"/>
                <w:b/>
                <w:color w:val="000000" w:themeColor="text1"/>
                <w:sz w:val="20"/>
                <w:szCs w:val="20"/>
              </w:rPr>
            </w:pPr>
            <w:r w:rsidRPr="002C1853">
              <w:rPr>
                <w:rFonts w:eastAsia="Times New Roman"/>
                <w:b/>
                <w:color w:val="000000" w:themeColor="text1"/>
                <w:sz w:val="20"/>
                <w:szCs w:val="20"/>
              </w:rPr>
              <w:t>Community Mental Health</w:t>
            </w:r>
          </w:p>
        </w:tc>
      </w:tr>
      <w:tr w:rsidR="00C9100B" w:rsidRPr="002C1853" w14:paraId="2B6E3326" w14:textId="77777777" w:rsidTr="00E117FD">
        <w:trPr>
          <w:cnfStyle w:val="000000010000" w:firstRow="0" w:lastRow="0" w:firstColumn="0" w:lastColumn="0" w:oddVBand="0" w:evenVBand="0" w:oddHBand="0" w:evenHBand="1" w:firstRowFirstColumn="0" w:firstRowLastColumn="0" w:lastRowFirstColumn="0" w:lastRowLastColumn="0"/>
        </w:trPr>
        <w:tc>
          <w:tcPr>
            <w:tcW w:w="2502" w:type="pct"/>
            <w:tcBorders>
              <w:top w:val="single" w:sz="18" w:space="0" w:color="00B0B9"/>
            </w:tcBorders>
            <w:hideMark/>
          </w:tcPr>
          <w:p w14:paraId="36E41C6F" w14:textId="77777777" w:rsidR="00C9100B" w:rsidRPr="002C1853" w:rsidRDefault="00C9100B" w:rsidP="00E117FD">
            <w:pPr>
              <w:spacing w:before="40" w:after="40"/>
              <w:rPr>
                <w:rFonts w:cs="Arial"/>
                <w:sz w:val="20"/>
                <w:szCs w:val="20"/>
              </w:rPr>
            </w:pPr>
            <w:r w:rsidRPr="002C1853">
              <w:rPr>
                <w:rFonts w:cs="Arial"/>
                <w:sz w:val="20"/>
                <w:szCs w:val="20"/>
              </w:rPr>
              <w:t>Number of people whose lives are affected by mental illness accessing support services</w:t>
            </w:r>
            <w:r w:rsidRPr="002C1853">
              <w:rPr>
                <w:rFonts w:cs="Arial"/>
                <w:sz w:val="20"/>
                <w:szCs w:val="20"/>
                <w:vertAlign w:val="superscript"/>
              </w:rPr>
              <w:t xml:space="preserve"> d</w:t>
            </w:r>
          </w:p>
        </w:tc>
        <w:tc>
          <w:tcPr>
            <w:tcW w:w="833" w:type="pct"/>
            <w:tcBorders>
              <w:top w:val="single" w:sz="18" w:space="0" w:color="00B0B9"/>
            </w:tcBorders>
            <w:hideMark/>
          </w:tcPr>
          <w:p w14:paraId="682395F4" w14:textId="77777777" w:rsidR="00C9100B" w:rsidRPr="002C1853" w:rsidRDefault="00C9100B" w:rsidP="00E117FD">
            <w:pPr>
              <w:spacing w:before="40" w:after="40"/>
              <w:jc w:val="right"/>
              <w:rPr>
                <w:rFonts w:cs="Arial"/>
                <w:sz w:val="20"/>
                <w:szCs w:val="20"/>
                <w:vertAlign w:val="superscript"/>
              </w:rPr>
            </w:pPr>
            <w:r w:rsidRPr="002C1853">
              <w:rPr>
                <w:rFonts w:cs="Arial"/>
                <w:sz w:val="20"/>
                <w:szCs w:val="20"/>
              </w:rPr>
              <w:t>38,571</w:t>
            </w:r>
            <w:r w:rsidRPr="002C1853">
              <w:rPr>
                <w:rFonts w:cs="Arial"/>
                <w:sz w:val="20"/>
                <w:szCs w:val="20"/>
                <w:vertAlign w:val="superscript"/>
              </w:rPr>
              <w:t>e</w:t>
            </w:r>
          </w:p>
        </w:tc>
        <w:tc>
          <w:tcPr>
            <w:tcW w:w="833" w:type="pct"/>
            <w:tcBorders>
              <w:top w:val="single" w:sz="18" w:space="0" w:color="00B0B9"/>
            </w:tcBorders>
            <w:hideMark/>
          </w:tcPr>
          <w:p w14:paraId="383CA45B" w14:textId="77777777" w:rsidR="00C9100B" w:rsidRPr="002C1853" w:rsidRDefault="00C9100B" w:rsidP="00E117FD">
            <w:pPr>
              <w:spacing w:before="40" w:after="40"/>
              <w:jc w:val="right"/>
              <w:rPr>
                <w:rFonts w:cs="Arial"/>
                <w:sz w:val="20"/>
                <w:szCs w:val="20"/>
              </w:rPr>
            </w:pPr>
            <w:r w:rsidRPr="002C1853">
              <w:rPr>
                <w:rFonts w:cs="Arial"/>
                <w:sz w:val="20"/>
                <w:szCs w:val="20"/>
              </w:rPr>
              <w:t>49,884</w:t>
            </w:r>
          </w:p>
        </w:tc>
        <w:tc>
          <w:tcPr>
            <w:tcW w:w="832" w:type="pct"/>
            <w:tcBorders>
              <w:top w:val="single" w:sz="18" w:space="0" w:color="00B0B9"/>
            </w:tcBorders>
            <w:hideMark/>
          </w:tcPr>
          <w:p w14:paraId="097A146C" w14:textId="77777777" w:rsidR="00C9100B" w:rsidRPr="002C1853" w:rsidRDefault="00C9100B" w:rsidP="00E117FD">
            <w:pPr>
              <w:spacing w:before="40" w:after="40"/>
              <w:jc w:val="right"/>
              <w:rPr>
                <w:rFonts w:cs="Arial"/>
                <w:sz w:val="20"/>
                <w:szCs w:val="20"/>
              </w:rPr>
            </w:pPr>
            <w:r w:rsidRPr="002C1853">
              <w:rPr>
                <w:rFonts w:cs="Arial"/>
                <w:sz w:val="20"/>
                <w:szCs w:val="20"/>
              </w:rPr>
              <w:t>66,792</w:t>
            </w:r>
          </w:p>
        </w:tc>
      </w:tr>
    </w:tbl>
    <w:p w14:paraId="3DAD1052" w14:textId="77777777" w:rsidR="00C9100B" w:rsidRPr="002C1853" w:rsidRDefault="00C9100B" w:rsidP="00C9100B">
      <w:pPr>
        <w:spacing w:before="120" w:after="60" w:line="240" w:lineRule="auto"/>
        <w:ind w:left="284" w:hanging="284"/>
        <w:contextualSpacing/>
        <w:rPr>
          <w:rFonts w:cs="Arial"/>
          <w:sz w:val="16"/>
          <w:szCs w:val="16"/>
        </w:rPr>
      </w:pPr>
      <w:proofErr w:type="spellStart"/>
      <w:r w:rsidRPr="002C1853">
        <w:rPr>
          <w:rFonts w:cs="Arial"/>
          <w:sz w:val="16"/>
          <w:szCs w:val="16"/>
        </w:rPr>
        <w:t>a</w:t>
      </w:r>
      <w:proofErr w:type="spellEnd"/>
      <w:r w:rsidRPr="002C1853">
        <w:rPr>
          <w:rFonts w:cs="Arial"/>
          <w:sz w:val="16"/>
          <w:szCs w:val="16"/>
        </w:rPr>
        <w:tab/>
        <w:t>Under the new Disability Employment Services introduced on 1 July 2018, data on 4-week outcomes replaced data on (2-week) Job Placement outcomes. This results in a ‘break in series’ as data for 2018–19 is based on 4-week outcomes and data for 2017–18 was based on (2-week) Job Placement outcomes.</w:t>
      </w:r>
    </w:p>
    <w:p w14:paraId="3357F9A0" w14:textId="77777777" w:rsidR="00C9100B" w:rsidRPr="002C1853" w:rsidRDefault="00C9100B" w:rsidP="00C9100B">
      <w:pPr>
        <w:spacing w:before="120" w:after="60" w:line="240" w:lineRule="auto"/>
        <w:ind w:left="284" w:hanging="284"/>
        <w:contextualSpacing/>
        <w:rPr>
          <w:rFonts w:cs="Arial"/>
          <w:sz w:val="16"/>
          <w:szCs w:val="16"/>
        </w:rPr>
      </w:pPr>
      <w:r w:rsidRPr="002C1853">
        <w:rPr>
          <w:rFonts w:cs="Arial"/>
          <w:sz w:val="16"/>
          <w:szCs w:val="16"/>
        </w:rPr>
        <w:t>b</w:t>
      </w:r>
      <w:r w:rsidRPr="002C1853">
        <w:rPr>
          <w:rFonts w:cs="Arial"/>
          <w:sz w:val="16"/>
          <w:szCs w:val="16"/>
        </w:rPr>
        <w:tab/>
        <w:t>Under the new Integrated Carer Support Service introduced from 1 July 2019, program performance reporting within the Data Exchange for 2019-20 was expanded to measure the performance of the new Carer Gateway digital counselling service, and from 6</w:t>
      </w:r>
      <w:r>
        <w:rPr>
          <w:rFonts w:cs="Arial"/>
          <w:sz w:val="16"/>
          <w:szCs w:val="16"/>
        </w:rPr>
        <w:t xml:space="preserve"> </w:t>
      </w:r>
      <w:r w:rsidRPr="002C1853">
        <w:rPr>
          <w:rFonts w:cs="Arial"/>
          <w:sz w:val="16"/>
          <w:szCs w:val="16"/>
        </w:rPr>
        <w:t>April</w:t>
      </w:r>
      <w:r>
        <w:rPr>
          <w:rFonts w:cs="Arial"/>
          <w:sz w:val="16"/>
          <w:szCs w:val="16"/>
        </w:rPr>
        <w:t xml:space="preserve"> </w:t>
      </w:r>
      <w:r w:rsidRPr="002C1853">
        <w:rPr>
          <w:rFonts w:cs="Arial"/>
          <w:sz w:val="16"/>
          <w:szCs w:val="16"/>
        </w:rPr>
        <w:t>2020 face-to-face services, online coaching and peer support.</w:t>
      </w:r>
    </w:p>
    <w:p w14:paraId="51102ED0" w14:textId="77777777" w:rsidR="00C9100B" w:rsidRPr="002C1853" w:rsidRDefault="00C9100B" w:rsidP="00C9100B">
      <w:pPr>
        <w:spacing w:before="120" w:after="60" w:line="240" w:lineRule="auto"/>
        <w:ind w:left="284" w:hanging="284"/>
        <w:contextualSpacing/>
        <w:rPr>
          <w:rFonts w:cs="Arial"/>
          <w:sz w:val="16"/>
          <w:szCs w:val="16"/>
        </w:rPr>
      </w:pPr>
      <w:r w:rsidRPr="002C1853">
        <w:rPr>
          <w:rFonts w:cs="Arial"/>
          <w:sz w:val="16"/>
          <w:szCs w:val="16"/>
        </w:rPr>
        <w:t>c</w:t>
      </w:r>
      <w:r w:rsidRPr="002C1853">
        <w:rPr>
          <w:rFonts w:cs="Arial"/>
          <w:sz w:val="16"/>
          <w:szCs w:val="16"/>
        </w:rPr>
        <w:tab/>
        <w:t>Figures for 2017</w:t>
      </w:r>
      <w:r>
        <w:rPr>
          <w:rFonts w:cs="Arial"/>
          <w:sz w:val="16"/>
          <w:szCs w:val="16"/>
        </w:rPr>
        <w:t>–</w:t>
      </w:r>
      <w:r w:rsidRPr="002C1853">
        <w:rPr>
          <w:rFonts w:cs="Arial"/>
          <w:sz w:val="16"/>
          <w:szCs w:val="16"/>
        </w:rPr>
        <w:t>18 and 2018</w:t>
      </w:r>
      <w:r>
        <w:rPr>
          <w:rFonts w:cs="Arial"/>
          <w:sz w:val="16"/>
          <w:szCs w:val="16"/>
        </w:rPr>
        <w:t>–</w:t>
      </w:r>
      <w:r w:rsidRPr="002C1853">
        <w:rPr>
          <w:rFonts w:cs="Arial"/>
          <w:sz w:val="16"/>
          <w:szCs w:val="16"/>
        </w:rPr>
        <w:t>19 access to Carer Gateway includes web forms, calls and call backs through the Carer Gateway contact centre as well as website visits and Facebook engagements. Under the new Integrated Carer Support Service introduced from 1 July 2019, the figure for 2019-20 includes additional data measuring access to services through the Carer Gateway website including digital counselling, online peer support and coaching. Additionally, from 6 April 2020, calls to and call backs reflect engagement with Carer Gateway service providers through the Carer Gateway phone number and website.</w:t>
      </w:r>
    </w:p>
    <w:p w14:paraId="74E0CA89" w14:textId="77777777" w:rsidR="00C9100B" w:rsidRPr="002C1853" w:rsidRDefault="00C9100B" w:rsidP="00C9100B">
      <w:pPr>
        <w:spacing w:before="160" w:after="60" w:line="240" w:lineRule="auto"/>
        <w:ind w:left="284" w:hanging="284"/>
        <w:contextualSpacing/>
        <w:rPr>
          <w:rFonts w:cs="Arial"/>
          <w:sz w:val="16"/>
          <w:szCs w:val="16"/>
        </w:rPr>
      </w:pPr>
      <w:r w:rsidRPr="002C1853">
        <w:rPr>
          <w:rFonts w:cs="Arial"/>
          <w:sz w:val="16"/>
          <w:szCs w:val="16"/>
        </w:rPr>
        <w:t>d</w:t>
      </w:r>
      <w:r w:rsidRPr="002C1853">
        <w:rPr>
          <w:rFonts w:cs="Arial"/>
          <w:sz w:val="16"/>
          <w:szCs w:val="16"/>
        </w:rPr>
        <w:tab/>
        <w:t xml:space="preserve">The decrease in client numbers reported for 2019–20 is due to the department undertaking a data quality exercise resulting fewer unidentified group clients. In addition, this decrease demonstrates the impact of </w:t>
      </w:r>
      <w:r>
        <w:rPr>
          <w:rFonts w:cs="Arial"/>
          <w:sz w:val="16"/>
          <w:szCs w:val="16"/>
        </w:rPr>
        <w:t>COVID-19 pandemic</w:t>
      </w:r>
      <w:r w:rsidRPr="002C1853">
        <w:rPr>
          <w:rFonts w:cs="Arial"/>
          <w:sz w:val="16"/>
          <w:szCs w:val="16"/>
        </w:rPr>
        <w:t xml:space="preserve"> on direct service delivery in the last quarter of 2019-20. There has been no policy change to service delivery.</w:t>
      </w:r>
    </w:p>
    <w:p w14:paraId="6EC6D5F7" w14:textId="77777777" w:rsidR="00C9100B" w:rsidRPr="002C1853" w:rsidRDefault="00C9100B" w:rsidP="00C9100B">
      <w:pPr>
        <w:spacing w:before="160" w:after="60" w:line="240" w:lineRule="auto"/>
        <w:ind w:left="284" w:hanging="284"/>
        <w:contextualSpacing/>
        <w:rPr>
          <w:rFonts w:cs="Arial"/>
          <w:sz w:val="16"/>
          <w:szCs w:val="16"/>
        </w:rPr>
      </w:pPr>
      <w:r w:rsidRPr="002C1853">
        <w:rPr>
          <w:rFonts w:cs="Arial"/>
          <w:sz w:val="16"/>
          <w:szCs w:val="16"/>
        </w:rPr>
        <w:t>e</w:t>
      </w:r>
      <w:r w:rsidRPr="002C1853">
        <w:rPr>
          <w:rFonts w:cs="Arial"/>
          <w:sz w:val="16"/>
          <w:szCs w:val="16"/>
        </w:rPr>
        <w:tab/>
        <w:t xml:space="preserve">The decrease in client numbers reported for 2019–20 is due to the department undertaking a data quality exercise resulting in service providers reporting fewer unidentified group clients. In addition, this decrease demonstrates the impact of </w:t>
      </w:r>
      <w:r>
        <w:rPr>
          <w:rFonts w:cs="Arial"/>
          <w:sz w:val="16"/>
          <w:szCs w:val="16"/>
        </w:rPr>
        <w:t>COVID-19 pandemic</w:t>
      </w:r>
      <w:r w:rsidRPr="002C1853">
        <w:rPr>
          <w:rFonts w:cs="Arial"/>
          <w:sz w:val="16"/>
          <w:szCs w:val="16"/>
        </w:rPr>
        <w:t xml:space="preserve"> on direct service delivery in the last quarter of 2019-20. There has been no policy change to service delivery.</w:t>
      </w:r>
    </w:p>
    <w:p w14:paraId="687D8B1F" w14:textId="77777777" w:rsidR="00715F6F" w:rsidRDefault="00715F6F">
      <w:pPr>
        <w:rPr>
          <w:rFonts w:eastAsiaTheme="majorEastAsia" w:cstheme="majorBidi"/>
          <w:b/>
          <w:color w:val="595959" w:themeColor="text1" w:themeTint="A6"/>
          <w:sz w:val="24"/>
          <w:szCs w:val="20"/>
        </w:rPr>
        <w:sectPr w:rsidR="00715F6F" w:rsidSect="00A94724">
          <w:footnotePr>
            <w:numRestart w:val="eachPage"/>
          </w:footnotePr>
          <w:pgSz w:w="11906" w:h="16838"/>
          <w:pgMar w:top="1440" w:right="1440" w:bottom="1440" w:left="1440" w:header="709" w:footer="709" w:gutter="0"/>
          <w:cols w:space="708"/>
          <w:docGrid w:linePitch="360"/>
        </w:sectPr>
      </w:pPr>
    </w:p>
    <w:p w14:paraId="5D0B49A8" w14:textId="0F70901B" w:rsidR="00C9100B" w:rsidRPr="002C1853" w:rsidRDefault="00C9100B" w:rsidP="00C9100B">
      <w:pPr>
        <w:spacing w:before="240" w:after="240"/>
        <w:outlineLvl w:val="7"/>
        <w:rPr>
          <w:rFonts w:eastAsiaTheme="majorEastAsia" w:cstheme="majorBidi"/>
          <w:b/>
          <w:color w:val="595959" w:themeColor="text1" w:themeTint="A6"/>
          <w:sz w:val="24"/>
          <w:szCs w:val="20"/>
        </w:rPr>
      </w:pPr>
      <w:r w:rsidRPr="002C1853">
        <w:rPr>
          <w:rFonts w:eastAsiaTheme="majorEastAsia" w:cstheme="majorBidi"/>
          <w:b/>
          <w:color w:val="595959" w:themeColor="text1" w:themeTint="A6"/>
          <w:sz w:val="24"/>
          <w:szCs w:val="20"/>
        </w:rPr>
        <w:lastRenderedPageBreak/>
        <w:t>C3.4.2 Number of organisations contracted or receiving grant funding to deliver services</w:t>
      </w:r>
    </w:p>
    <w:p w14:paraId="1515A5A6" w14:textId="77777777" w:rsidR="00C9100B" w:rsidRPr="002C1853" w:rsidRDefault="00C9100B" w:rsidP="00C9100B">
      <w:pPr>
        <w:keepNext/>
        <w:spacing w:before="240" w:after="0" w:line="260" w:lineRule="atLeast"/>
        <w:ind w:right="425"/>
        <w:rPr>
          <w:rFonts w:ascii="Arial Narrow" w:eastAsia="Times New Roman" w:hAnsi="Arial Narrow" w:cs="Times New Roman"/>
          <w:b/>
          <w:bCs/>
          <w:spacing w:val="4"/>
          <w:sz w:val="20"/>
          <w:szCs w:val="18"/>
          <w:lang w:eastAsia="en-AU"/>
        </w:rPr>
      </w:pPr>
      <w:r w:rsidRPr="002C1853">
        <w:rPr>
          <w:rFonts w:ascii="Arial Narrow" w:eastAsia="Times New Roman" w:hAnsi="Arial Narrow" w:cs="Times New Roman"/>
          <w:b/>
          <w:bCs/>
          <w:spacing w:val="4"/>
          <w:sz w:val="20"/>
          <w:szCs w:val="18"/>
          <w:lang w:eastAsia="en-AU"/>
        </w:rPr>
        <w:t>Table 2.3.11: Number of organisations contracted or receiving grant funding to deliver services</w:t>
      </w:r>
    </w:p>
    <w:tbl>
      <w:tblPr>
        <w:tblStyle w:val="HHorizontaltable14"/>
        <w:tblW w:w="5000" w:type="pct"/>
        <w:tblLook w:val="04A0" w:firstRow="1" w:lastRow="0" w:firstColumn="1" w:lastColumn="0" w:noHBand="0" w:noVBand="1"/>
        <w:tblCaption w:val="Table 2.3.11: Number of organisations contracted or receiving grant funding to deliver services"/>
        <w:tblDescription w:val="Table 2.3.11: Number of organisations contracted or receiving grant funding to deliver services"/>
      </w:tblPr>
      <w:tblGrid>
        <w:gridCol w:w="5259"/>
        <w:gridCol w:w="1256"/>
        <w:gridCol w:w="1256"/>
        <w:gridCol w:w="1255"/>
      </w:tblGrid>
      <w:tr w:rsidR="00C9100B" w:rsidRPr="002C1853" w14:paraId="1D48882A"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2913" w:type="pct"/>
            <w:tcBorders>
              <w:bottom w:val="single" w:sz="4" w:space="0" w:color="FFFFFF" w:themeColor="background1"/>
            </w:tcBorders>
            <w:hideMark/>
          </w:tcPr>
          <w:p w14:paraId="7A808F31" w14:textId="77777777" w:rsidR="00C9100B" w:rsidRPr="007F2601" w:rsidRDefault="00C9100B" w:rsidP="00E117FD">
            <w:pPr>
              <w:keepNext/>
              <w:keepLines/>
              <w:spacing w:before="40" w:after="40"/>
              <w:rPr>
                <w:rFonts w:eastAsia="Times New Roman" w:cs="Times New Roman"/>
                <w:sz w:val="20"/>
                <w:szCs w:val="18"/>
              </w:rPr>
            </w:pPr>
            <w:r w:rsidRPr="007F2601">
              <w:rPr>
                <w:rFonts w:eastAsia="Times New Roman" w:cs="Times New Roman"/>
                <w:sz w:val="20"/>
                <w:szCs w:val="18"/>
              </w:rPr>
              <w:t>Output performance measure</w:t>
            </w:r>
          </w:p>
        </w:tc>
        <w:tc>
          <w:tcPr>
            <w:tcW w:w="696" w:type="pct"/>
            <w:tcBorders>
              <w:bottom w:val="single" w:sz="4" w:space="0" w:color="FFFFFF" w:themeColor="background1"/>
            </w:tcBorders>
            <w:hideMark/>
          </w:tcPr>
          <w:p w14:paraId="31024C5A" w14:textId="77777777" w:rsidR="00C9100B" w:rsidRPr="007F2601" w:rsidRDefault="00C9100B" w:rsidP="00E117FD">
            <w:pPr>
              <w:keepNext/>
              <w:keepLines/>
              <w:spacing w:before="40" w:after="40"/>
              <w:jc w:val="right"/>
              <w:rPr>
                <w:rFonts w:eastAsia="Times New Roman" w:cs="Times New Roman"/>
                <w:sz w:val="20"/>
                <w:szCs w:val="18"/>
              </w:rPr>
            </w:pPr>
            <w:r w:rsidRPr="007F2601">
              <w:rPr>
                <w:rFonts w:eastAsia="Times New Roman" w:cs="Times New Roman"/>
                <w:sz w:val="20"/>
                <w:szCs w:val="18"/>
              </w:rPr>
              <w:t>2019–20</w:t>
            </w:r>
          </w:p>
        </w:tc>
        <w:tc>
          <w:tcPr>
            <w:tcW w:w="696" w:type="pct"/>
            <w:tcBorders>
              <w:bottom w:val="single" w:sz="4" w:space="0" w:color="FFFFFF" w:themeColor="background1"/>
            </w:tcBorders>
            <w:hideMark/>
          </w:tcPr>
          <w:p w14:paraId="4037F4C8" w14:textId="77777777" w:rsidR="00C9100B" w:rsidRPr="007F2601" w:rsidRDefault="00C9100B" w:rsidP="00E117FD">
            <w:pPr>
              <w:keepNext/>
              <w:keepLines/>
              <w:spacing w:before="40" w:after="40"/>
              <w:jc w:val="right"/>
              <w:rPr>
                <w:rFonts w:eastAsia="Times New Roman" w:cs="Times New Roman"/>
                <w:sz w:val="20"/>
                <w:szCs w:val="18"/>
              </w:rPr>
            </w:pPr>
            <w:r w:rsidRPr="007F2601">
              <w:rPr>
                <w:rFonts w:eastAsia="Times New Roman" w:cs="Times New Roman"/>
                <w:sz w:val="20"/>
                <w:szCs w:val="18"/>
              </w:rPr>
              <w:t>2018–19</w:t>
            </w:r>
          </w:p>
        </w:tc>
        <w:tc>
          <w:tcPr>
            <w:tcW w:w="696" w:type="pct"/>
            <w:tcBorders>
              <w:bottom w:val="single" w:sz="4" w:space="0" w:color="FFFFFF" w:themeColor="background1"/>
            </w:tcBorders>
            <w:hideMark/>
          </w:tcPr>
          <w:p w14:paraId="3DB67F90" w14:textId="77777777" w:rsidR="00C9100B" w:rsidRPr="007F2601" w:rsidRDefault="00C9100B" w:rsidP="00E117FD">
            <w:pPr>
              <w:keepNext/>
              <w:keepLines/>
              <w:spacing w:before="40" w:after="40"/>
              <w:jc w:val="right"/>
              <w:rPr>
                <w:rFonts w:eastAsia="Times New Roman" w:cs="Times New Roman"/>
                <w:sz w:val="20"/>
                <w:szCs w:val="18"/>
              </w:rPr>
            </w:pPr>
            <w:r w:rsidRPr="007F2601">
              <w:rPr>
                <w:rFonts w:eastAsia="Times New Roman" w:cs="Times New Roman"/>
                <w:sz w:val="20"/>
                <w:szCs w:val="18"/>
              </w:rPr>
              <w:t>2017–18</w:t>
            </w:r>
          </w:p>
        </w:tc>
      </w:tr>
      <w:tr w:rsidR="00C9100B" w:rsidRPr="002C1853" w14:paraId="450FAC9E"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029C665D" w14:textId="77777777" w:rsidR="00C9100B" w:rsidRPr="002C1853" w:rsidRDefault="00C9100B" w:rsidP="00E117FD">
            <w:pPr>
              <w:keepNext/>
              <w:keepLines/>
              <w:spacing w:before="40" w:after="40"/>
              <w:rPr>
                <w:b/>
                <w:color w:val="000000" w:themeColor="text1"/>
                <w:sz w:val="20"/>
                <w:szCs w:val="20"/>
                <w:highlight w:val="yellow"/>
              </w:rPr>
            </w:pPr>
            <w:r w:rsidRPr="002C1853">
              <w:rPr>
                <w:b/>
                <w:color w:val="000000" w:themeColor="text1"/>
                <w:sz w:val="20"/>
                <w:szCs w:val="20"/>
              </w:rPr>
              <w:t>Disability Mental Health and Carers</w:t>
            </w:r>
          </w:p>
        </w:tc>
      </w:tr>
      <w:tr w:rsidR="00C9100B" w:rsidRPr="002C1853" w14:paraId="3D5D1DF4" w14:textId="77777777" w:rsidTr="00E117FD">
        <w:trPr>
          <w:cnfStyle w:val="000000010000" w:firstRow="0" w:lastRow="0" w:firstColumn="0" w:lastColumn="0" w:oddVBand="0" w:evenVBand="0" w:oddHBand="0" w:evenHBand="1" w:firstRowFirstColumn="0" w:firstRowLastColumn="0" w:lastRowFirstColumn="0" w:lastRowLastColumn="0"/>
          <w:trHeight w:val="317"/>
        </w:trPr>
        <w:tc>
          <w:tcPr>
            <w:tcW w:w="2913" w:type="pct"/>
            <w:tcBorders>
              <w:top w:val="single" w:sz="18" w:space="0" w:color="00B0B9"/>
            </w:tcBorders>
            <w:hideMark/>
          </w:tcPr>
          <w:p w14:paraId="055DF109" w14:textId="77777777" w:rsidR="00C9100B" w:rsidRPr="002C1853" w:rsidRDefault="00C9100B" w:rsidP="00E117FD">
            <w:pPr>
              <w:spacing w:before="40" w:after="40"/>
              <w:rPr>
                <w:sz w:val="20"/>
                <w:szCs w:val="20"/>
              </w:rPr>
            </w:pPr>
            <w:r w:rsidRPr="002C1853">
              <w:rPr>
                <w:sz w:val="20"/>
                <w:szCs w:val="20"/>
              </w:rPr>
              <w:t xml:space="preserve">Disability Employment </w:t>
            </w:r>
            <w:proofErr w:type="spellStart"/>
            <w:r w:rsidRPr="002C1853">
              <w:rPr>
                <w:sz w:val="20"/>
                <w:szCs w:val="20"/>
              </w:rPr>
              <w:t>Services</w:t>
            </w:r>
            <w:r w:rsidRPr="002C1853">
              <w:rPr>
                <w:sz w:val="20"/>
                <w:szCs w:val="20"/>
                <w:vertAlign w:val="superscript"/>
              </w:rPr>
              <w:t>a</w:t>
            </w:r>
            <w:proofErr w:type="spellEnd"/>
          </w:p>
        </w:tc>
        <w:tc>
          <w:tcPr>
            <w:tcW w:w="696" w:type="pct"/>
            <w:tcBorders>
              <w:top w:val="single" w:sz="18" w:space="0" w:color="00B0B9"/>
            </w:tcBorders>
            <w:hideMark/>
          </w:tcPr>
          <w:p w14:paraId="7FF4A342" w14:textId="77777777" w:rsidR="00C9100B" w:rsidRPr="002C1853" w:rsidRDefault="00C9100B" w:rsidP="00E117FD">
            <w:pPr>
              <w:keepNext/>
              <w:keepLines/>
              <w:spacing w:before="40" w:after="40"/>
              <w:jc w:val="right"/>
              <w:rPr>
                <w:sz w:val="20"/>
                <w:szCs w:val="20"/>
              </w:rPr>
            </w:pPr>
            <w:r w:rsidRPr="002C1853">
              <w:rPr>
                <w:sz w:val="20"/>
                <w:szCs w:val="20"/>
              </w:rPr>
              <w:t>110</w:t>
            </w:r>
          </w:p>
        </w:tc>
        <w:tc>
          <w:tcPr>
            <w:tcW w:w="696" w:type="pct"/>
            <w:tcBorders>
              <w:top w:val="single" w:sz="18" w:space="0" w:color="00B0B9"/>
            </w:tcBorders>
            <w:hideMark/>
          </w:tcPr>
          <w:p w14:paraId="672815A2" w14:textId="77777777" w:rsidR="00C9100B" w:rsidRPr="002C1853" w:rsidRDefault="00C9100B" w:rsidP="00E117FD">
            <w:pPr>
              <w:keepNext/>
              <w:keepLines/>
              <w:spacing w:before="40" w:after="40"/>
              <w:jc w:val="right"/>
              <w:rPr>
                <w:sz w:val="20"/>
                <w:szCs w:val="20"/>
              </w:rPr>
            </w:pPr>
            <w:r w:rsidRPr="002C1853">
              <w:rPr>
                <w:sz w:val="20"/>
                <w:szCs w:val="20"/>
              </w:rPr>
              <w:t>119</w:t>
            </w:r>
          </w:p>
        </w:tc>
        <w:tc>
          <w:tcPr>
            <w:tcW w:w="696" w:type="pct"/>
            <w:tcBorders>
              <w:top w:val="single" w:sz="18" w:space="0" w:color="00B0B9"/>
            </w:tcBorders>
            <w:hideMark/>
          </w:tcPr>
          <w:p w14:paraId="07D2CF08" w14:textId="77777777" w:rsidR="00C9100B" w:rsidRPr="002C1853" w:rsidRDefault="00C9100B" w:rsidP="00E117FD">
            <w:pPr>
              <w:keepNext/>
              <w:keepLines/>
              <w:spacing w:before="40" w:after="40"/>
              <w:jc w:val="right"/>
              <w:rPr>
                <w:sz w:val="20"/>
                <w:szCs w:val="20"/>
              </w:rPr>
            </w:pPr>
            <w:r w:rsidRPr="002C1853">
              <w:rPr>
                <w:sz w:val="20"/>
                <w:szCs w:val="20"/>
              </w:rPr>
              <w:t>117</w:t>
            </w:r>
          </w:p>
        </w:tc>
      </w:tr>
      <w:tr w:rsidR="00C9100B" w:rsidRPr="002C1853" w14:paraId="6E2A5E06"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2913" w:type="pct"/>
            <w:hideMark/>
          </w:tcPr>
          <w:p w14:paraId="3852EE63" w14:textId="77777777" w:rsidR="00C9100B" w:rsidRPr="002C1853" w:rsidRDefault="00C9100B" w:rsidP="00E117FD">
            <w:pPr>
              <w:keepNext/>
              <w:keepLines/>
              <w:spacing w:before="40" w:after="40"/>
              <w:jc w:val="both"/>
              <w:rPr>
                <w:sz w:val="20"/>
                <w:szCs w:val="20"/>
              </w:rPr>
            </w:pPr>
            <w:r w:rsidRPr="002C1853">
              <w:rPr>
                <w:sz w:val="20"/>
                <w:szCs w:val="20"/>
              </w:rPr>
              <w:t xml:space="preserve">Employer Assistance and Other </w:t>
            </w:r>
            <w:proofErr w:type="spellStart"/>
            <w:r w:rsidRPr="002C1853">
              <w:rPr>
                <w:sz w:val="20"/>
                <w:szCs w:val="20"/>
              </w:rPr>
              <w:t>Services</w:t>
            </w:r>
            <w:r w:rsidRPr="002C1853">
              <w:rPr>
                <w:sz w:val="20"/>
                <w:szCs w:val="20"/>
                <w:vertAlign w:val="superscript"/>
              </w:rPr>
              <w:t>b</w:t>
            </w:r>
            <w:proofErr w:type="spellEnd"/>
          </w:p>
        </w:tc>
        <w:tc>
          <w:tcPr>
            <w:tcW w:w="696" w:type="pct"/>
            <w:hideMark/>
          </w:tcPr>
          <w:p w14:paraId="60901026" w14:textId="77777777" w:rsidR="00C9100B" w:rsidRPr="002C1853" w:rsidRDefault="00C9100B" w:rsidP="00E117FD">
            <w:pPr>
              <w:keepNext/>
              <w:keepLines/>
              <w:spacing w:before="40" w:after="40"/>
              <w:jc w:val="right"/>
              <w:rPr>
                <w:sz w:val="20"/>
                <w:szCs w:val="20"/>
              </w:rPr>
            </w:pPr>
            <w:r w:rsidRPr="002C1853">
              <w:rPr>
                <w:sz w:val="20"/>
                <w:szCs w:val="20"/>
              </w:rPr>
              <w:t>163</w:t>
            </w:r>
          </w:p>
        </w:tc>
        <w:tc>
          <w:tcPr>
            <w:tcW w:w="696" w:type="pct"/>
            <w:hideMark/>
          </w:tcPr>
          <w:p w14:paraId="11C866E3" w14:textId="77777777" w:rsidR="00C9100B" w:rsidRPr="002C1853" w:rsidRDefault="00C9100B" w:rsidP="00E117FD">
            <w:pPr>
              <w:keepNext/>
              <w:keepLines/>
              <w:spacing w:before="40" w:after="40"/>
              <w:jc w:val="right"/>
              <w:rPr>
                <w:sz w:val="20"/>
                <w:szCs w:val="20"/>
              </w:rPr>
            </w:pPr>
            <w:r w:rsidRPr="002C1853">
              <w:rPr>
                <w:sz w:val="20"/>
                <w:szCs w:val="20"/>
              </w:rPr>
              <w:t>183</w:t>
            </w:r>
          </w:p>
        </w:tc>
        <w:tc>
          <w:tcPr>
            <w:tcW w:w="696" w:type="pct"/>
            <w:hideMark/>
          </w:tcPr>
          <w:p w14:paraId="501FC737" w14:textId="77777777" w:rsidR="00C9100B" w:rsidRPr="002C1853" w:rsidRDefault="00C9100B" w:rsidP="00E117FD">
            <w:pPr>
              <w:keepNext/>
              <w:keepLines/>
              <w:spacing w:before="40" w:after="40"/>
              <w:jc w:val="right"/>
              <w:rPr>
                <w:sz w:val="20"/>
                <w:szCs w:val="20"/>
              </w:rPr>
            </w:pPr>
            <w:r w:rsidRPr="002C1853">
              <w:rPr>
                <w:sz w:val="20"/>
                <w:szCs w:val="20"/>
              </w:rPr>
              <w:t>147</w:t>
            </w:r>
          </w:p>
        </w:tc>
      </w:tr>
      <w:tr w:rsidR="00C9100B" w:rsidRPr="002C1853" w14:paraId="64EF8FCF" w14:textId="77777777" w:rsidTr="00E117FD">
        <w:trPr>
          <w:cnfStyle w:val="000000010000" w:firstRow="0" w:lastRow="0" w:firstColumn="0" w:lastColumn="0" w:oddVBand="0" w:evenVBand="0" w:oddHBand="0" w:evenHBand="1" w:firstRowFirstColumn="0" w:firstRowLastColumn="0" w:lastRowFirstColumn="0" w:lastRowLastColumn="0"/>
        </w:trPr>
        <w:tc>
          <w:tcPr>
            <w:tcW w:w="2913" w:type="pct"/>
            <w:hideMark/>
          </w:tcPr>
          <w:p w14:paraId="6A65EC3C" w14:textId="77777777" w:rsidR="00C9100B" w:rsidRPr="002C1853" w:rsidRDefault="00C9100B" w:rsidP="00E117FD">
            <w:pPr>
              <w:spacing w:before="40" w:after="40"/>
              <w:rPr>
                <w:sz w:val="20"/>
                <w:szCs w:val="20"/>
              </w:rPr>
            </w:pPr>
            <w:r w:rsidRPr="002C1853">
              <w:rPr>
                <w:sz w:val="20"/>
                <w:szCs w:val="20"/>
              </w:rPr>
              <w:t xml:space="preserve">Disability and Carer </w:t>
            </w:r>
            <w:proofErr w:type="spellStart"/>
            <w:r w:rsidRPr="002C1853">
              <w:rPr>
                <w:sz w:val="20"/>
                <w:szCs w:val="20"/>
              </w:rPr>
              <w:t>Support</w:t>
            </w:r>
            <w:r w:rsidRPr="002C1853">
              <w:rPr>
                <w:sz w:val="20"/>
                <w:szCs w:val="20"/>
                <w:vertAlign w:val="superscript"/>
              </w:rPr>
              <w:t>c</w:t>
            </w:r>
            <w:proofErr w:type="spellEnd"/>
          </w:p>
        </w:tc>
        <w:tc>
          <w:tcPr>
            <w:tcW w:w="696" w:type="pct"/>
            <w:hideMark/>
          </w:tcPr>
          <w:p w14:paraId="6324B4E7" w14:textId="77777777" w:rsidR="00C9100B" w:rsidRPr="002C1853" w:rsidRDefault="00C9100B" w:rsidP="00E117FD">
            <w:pPr>
              <w:spacing w:before="40" w:after="40"/>
              <w:jc w:val="right"/>
              <w:rPr>
                <w:sz w:val="20"/>
                <w:szCs w:val="20"/>
                <w:highlight w:val="yellow"/>
              </w:rPr>
            </w:pPr>
            <w:r w:rsidRPr="002C1853">
              <w:rPr>
                <w:sz w:val="20"/>
                <w:szCs w:val="20"/>
              </w:rPr>
              <w:t>86</w:t>
            </w:r>
          </w:p>
        </w:tc>
        <w:tc>
          <w:tcPr>
            <w:tcW w:w="696" w:type="pct"/>
            <w:hideMark/>
          </w:tcPr>
          <w:p w14:paraId="123CEC78" w14:textId="77777777" w:rsidR="00C9100B" w:rsidRPr="002C1853" w:rsidRDefault="00C9100B" w:rsidP="00E117FD">
            <w:pPr>
              <w:spacing w:before="40" w:after="40"/>
              <w:jc w:val="right"/>
              <w:rPr>
                <w:sz w:val="20"/>
                <w:szCs w:val="20"/>
                <w:highlight w:val="yellow"/>
              </w:rPr>
            </w:pPr>
            <w:r w:rsidRPr="002C1853">
              <w:rPr>
                <w:sz w:val="20"/>
                <w:szCs w:val="20"/>
              </w:rPr>
              <w:t>83</w:t>
            </w:r>
          </w:p>
        </w:tc>
        <w:tc>
          <w:tcPr>
            <w:tcW w:w="696" w:type="pct"/>
            <w:hideMark/>
          </w:tcPr>
          <w:p w14:paraId="4648764F" w14:textId="77777777" w:rsidR="00C9100B" w:rsidRPr="002C1853" w:rsidRDefault="00C9100B" w:rsidP="00E117FD">
            <w:pPr>
              <w:spacing w:before="40" w:after="40"/>
              <w:jc w:val="right"/>
              <w:rPr>
                <w:sz w:val="20"/>
                <w:szCs w:val="20"/>
              </w:rPr>
            </w:pPr>
            <w:r w:rsidRPr="002C1853">
              <w:rPr>
                <w:sz w:val="20"/>
                <w:szCs w:val="20"/>
              </w:rPr>
              <w:t>83</w:t>
            </w:r>
          </w:p>
        </w:tc>
      </w:tr>
      <w:tr w:rsidR="00C9100B" w:rsidRPr="002C1853" w14:paraId="7666B42B"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2913" w:type="pct"/>
            <w:hideMark/>
          </w:tcPr>
          <w:p w14:paraId="556CF39B" w14:textId="77777777" w:rsidR="00C9100B" w:rsidRPr="002C1853" w:rsidRDefault="00C9100B" w:rsidP="00E117FD">
            <w:pPr>
              <w:keepNext/>
              <w:keepLines/>
              <w:spacing w:before="40" w:after="40"/>
              <w:rPr>
                <w:sz w:val="20"/>
                <w:szCs w:val="20"/>
              </w:rPr>
            </w:pPr>
            <w:r w:rsidRPr="002C1853">
              <w:rPr>
                <w:sz w:val="20"/>
                <w:szCs w:val="20"/>
              </w:rPr>
              <w:t xml:space="preserve">Community Mental </w:t>
            </w:r>
            <w:proofErr w:type="spellStart"/>
            <w:r w:rsidRPr="002C1853">
              <w:rPr>
                <w:sz w:val="20"/>
                <w:szCs w:val="20"/>
              </w:rPr>
              <w:t>Health</w:t>
            </w:r>
            <w:r w:rsidRPr="002C1853">
              <w:rPr>
                <w:sz w:val="20"/>
                <w:szCs w:val="20"/>
                <w:vertAlign w:val="superscript"/>
              </w:rPr>
              <w:t>d</w:t>
            </w:r>
            <w:proofErr w:type="spellEnd"/>
          </w:p>
        </w:tc>
        <w:tc>
          <w:tcPr>
            <w:tcW w:w="696" w:type="pct"/>
            <w:hideMark/>
          </w:tcPr>
          <w:p w14:paraId="4FCA615E" w14:textId="77777777" w:rsidR="00C9100B" w:rsidRPr="002C1853" w:rsidRDefault="00C9100B" w:rsidP="00E117FD">
            <w:pPr>
              <w:keepNext/>
              <w:keepLines/>
              <w:spacing w:before="40" w:after="40"/>
              <w:jc w:val="right"/>
              <w:rPr>
                <w:sz w:val="20"/>
                <w:szCs w:val="20"/>
                <w:highlight w:val="yellow"/>
              </w:rPr>
            </w:pPr>
            <w:r w:rsidRPr="002C1853">
              <w:rPr>
                <w:sz w:val="20"/>
                <w:szCs w:val="20"/>
              </w:rPr>
              <w:t>76</w:t>
            </w:r>
          </w:p>
        </w:tc>
        <w:tc>
          <w:tcPr>
            <w:tcW w:w="696" w:type="pct"/>
            <w:hideMark/>
          </w:tcPr>
          <w:p w14:paraId="220627BF" w14:textId="77777777" w:rsidR="00C9100B" w:rsidRPr="002C1853" w:rsidRDefault="00C9100B" w:rsidP="00E117FD">
            <w:pPr>
              <w:keepNext/>
              <w:keepLines/>
              <w:spacing w:before="40" w:after="40"/>
              <w:jc w:val="right"/>
              <w:rPr>
                <w:sz w:val="20"/>
                <w:szCs w:val="20"/>
              </w:rPr>
            </w:pPr>
            <w:r w:rsidRPr="002C1853">
              <w:rPr>
                <w:sz w:val="20"/>
                <w:szCs w:val="20"/>
              </w:rPr>
              <w:t>71</w:t>
            </w:r>
          </w:p>
        </w:tc>
        <w:tc>
          <w:tcPr>
            <w:tcW w:w="696" w:type="pct"/>
            <w:hideMark/>
          </w:tcPr>
          <w:p w14:paraId="612F80A2" w14:textId="77777777" w:rsidR="00C9100B" w:rsidRPr="002C1853" w:rsidRDefault="00C9100B" w:rsidP="00E117FD">
            <w:pPr>
              <w:keepNext/>
              <w:keepLines/>
              <w:spacing w:before="40" w:after="40"/>
              <w:jc w:val="right"/>
              <w:rPr>
                <w:sz w:val="20"/>
                <w:szCs w:val="20"/>
              </w:rPr>
            </w:pPr>
            <w:r w:rsidRPr="002C1853">
              <w:rPr>
                <w:sz w:val="20"/>
                <w:szCs w:val="20"/>
              </w:rPr>
              <w:t>70</w:t>
            </w:r>
          </w:p>
        </w:tc>
      </w:tr>
    </w:tbl>
    <w:p w14:paraId="5D1AD659" w14:textId="77777777" w:rsidR="00C9100B" w:rsidRPr="002C1853" w:rsidRDefault="00C9100B" w:rsidP="00C9100B">
      <w:pPr>
        <w:spacing w:before="160" w:after="60" w:line="240" w:lineRule="auto"/>
        <w:ind w:left="284" w:hanging="284"/>
        <w:contextualSpacing/>
        <w:rPr>
          <w:rFonts w:cs="Arial"/>
          <w:sz w:val="16"/>
          <w:szCs w:val="16"/>
        </w:rPr>
      </w:pPr>
      <w:r w:rsidRPr="002C1853">
        <w:rPr>
          <w:rFonts w:cs="Arial"/>
          <w:sz w:val="16"/>
          <w:szCs w:val="16"/>
        </w:rPr>
        <w:t>a</w:t>
      </w:r>
      <w:r w:rsidRPr="002C1853">
        <w:rPr>
          <w:rFonts w:cs="Arial"/>
          <w:sz w:val="16"/>
          <w:szCs w:val="16"/>
        </w:rPr>
        <w:tab/>
        <w:t>Distinct counts of Disability Employment Services providers as at 30 June in 2018, 2019 and 2020.</w:t>
      </w:r>
    </w:p>
    <w:p w14:paraId="699DF091" w14:textId="77777777" w:rsidR="00C9100B" w:rsidRPr="002C1853" w:rsidRDefault="00C9100B" w:rsidP="00C9100B">
      <w:pPr>
        <w:spacing w:before="160" w:after="60" w:line="240" w:lineRule="auto"/>
        <w:ind w:left="284" w:hanging="284"/>
        <w:contextualSpacing/>
        <w:rPr>
          <w:rFonts w:cs="Arial"/>
          <w:sz w:val="16"/>
          <w:szCs w:val="16"/>
        </w:rPr>
      </w:pPr>
      <w:r w:rsidRPr="002C1853">
        <w:rPr>
          <w:rFonts w:cs="Arial"/>
          <w:sz w:val="16"/>
          <w:szCs w:val="16"/>
        </w:rPr>
        <w:t>b</w:t>
      </w:r>
      <w:r w:rsidRPr="002C1853">
        <w:rPr>
          <w:rFonts w:cs="Arial"/>
          <w:sz w:val="16"/>
          <w:szCs w:val="16"/>
        </w:rPr>
        <w:tab/>
        <w:t xml:space="preserve">Distinct counts as at 30 June in 2018, 2019 and 2020 of entities that have been provided funding in relation to the Employment Assistance Fund, Supported Wage System, Wage Subsidy Scheme, National Disability Recruitment Coordinator, ongoing support assessments and </w:t>
      </w:r>
      <w:proofErr w:type="spellStart"/>
      <w:r w:rsidRPr="002C1853">
        <w:rPr>
          <w:rFonts w:cs="Arial"/>
          <w:sz w:val="16"/>
          <w:szCs w:val="16"/>
        </w:rPr>
        <w:t>JobAccess</w:t>
      </w:r>
      <w:proofErr w:type="spellEnd"/>
      <w:r w:rsidRPr="002C1853">
        <w:rPr>
          <w:rFonts w:cs="Arial"/>
          <w:sz w:val="16"/>
          <w:szCs w:val="16"/>
        </w:rPr>
        <w:t>.</w:t>
      </w:r>
    </w:p>
    <w:p w14:paraId="6B22DB84" w14:textId="77777777" w:rsidR="00C9100B" w:rsidRPr="002C1853" w:rsidRDefault="00C9100B" w:rsidP="00C9100B">
      <w:pPr>
        <w:spacing w:before="160" w:after="60" w:line="240" w:lineRule="auto"/>
        <w:ind w:left="284" w:hanging="284"/>
        <w:contextualSpacing/>
        <w:rPr>
          <w:rFonts w:cs="Arial"/>
          <w:sz w:val="16"/>
          <w:szCs w:val="16"/>
        </w:rPr>
      </w:pPr>
      <w:r w:rsidRPr="002C1853">
        <w:rPr>
          <w:rFonts w:cs="Arial"/>
          <w:sz w:val="16"/>
          <w:szCs w:val="16"/>
        </w:rPr>
        <w:t>c</w:t>
      </w:r>
      <w:r w:rsidRPr="002C1853">
        <w:rPr>
          <w:rFonts w:cs="Arial"/>
          <w:sz w:val="16"/>
          <w:szCs w:val="16"/>
        </w:rPr>
        <w:tab/>
        <w:t>This measure refers to the number of organisations contracted or receiving carer support grant funding.</w:t>
      </w:r>
    </w:p>
    <w:p w14:paraId="334C45EC" w14:textId="77777777" w:rsidR="00C9100B" w:rsidRPr="002C1853" w:rsidRDefault="00C9100B" w:rsidP="00C9100B">
      <w:pPr>
        <w:spacing w:before="160" w:after="60" w:line="240" w:lineRule="auto"/>
        <w:ind w:left="284" w:hanging="284"/>
        <w:contextualSpacing/>
        <w:rPr>
          <w:rFonts w:cs="Arial"/>
          <w:sz w:val="16"/>
          <w:szCs w:val="16"/>
        </w:rPr>
      </w:pPr>
      <w:r w:rsidRPr="002C1853">
        <w:rPr>
          <w:rFonts w:cs="Arial"/>
          <w:sz w:val="16"/>
          <w:szCs w:val="16"/>
        </w:rPr>
        <w:t>d</w:t>
      </w:r>
      <w:r w:rsidRPr="002C1853">
        <w:rPr>
          <w:rFonts w:cs="Arial"/>
          <w:sz w:val="16"/>
          <w:szCs w:val="16"/>
        </w:rPr>
        <w:tab/>
        <w:t xml:space="preserve">The closure of the Carers and Work sub-activity and the expansion of the </w:t>
      </w:r>
      <w:r w:rsidRPr="00B72539">
        <w:rPr>
          <w:rFonts w:cs="Arial"/>
          <w:sz w:val="16"/>
          <w:szCs w:val="16"/>
        </w:rPr>
        <w:t>I</w:t>
      </w:r>
      <w:r>
        <w:rPr>
          <w:rFonts w:cs="Arial"/>
          <w:sz w:val="16"/>
          <w:szCs w:val="16"/>
        </w:rPr>
        <w:t>ndividual Placement and Support (</w:t>
      </w:r>
      <w:r w:rsidRPr="002C1853">
        <w:rPr>
          <w:rFonts w:cs="Arial"/>
          <w:sz w:val="16"/>
          <w:szCs w:val="16"/>
        </w:rPr>
        <w:t>IPS</w:t>
      </w:r>
      <w:r>
        <w:rPr>
          <w:rFonts w:cs="Arial"/>
          <w:sz w:val="16"/>
          <w:szCs w:val="16"/>
        </w:rPr>
        <w:t>)</w:t>
      </w:r>
      <w:r w:rsidRPr="002C1853">
        <w:rPr>
          <w:rFonts w:cs="Arial"/>
          <w:sz w:val="16"/>
          <w:szCs w:val="16"/>
        </w:rPr>
        <w:t xml:space="preserve"> Trial in 2019-20 resulted in a net increase in the number of organisations funded through the Community Mental Health Activity.</w:t>
      </w:r>
    </w:p>
    <w:p w14:paraId="10234907" w14:textId="77777777" w:rsidR="00C9100B" w:rsidRPr="002C1853" w:rsidRDefault="00C9100B" w:rsidP="00C9100B">
      <w:pPr>
        <w:spacing w:before="160" w:after="60" w:line="240" w:lineRule="auto"/>
        <w:ind w:left="284" w:hanging="284"/>
        <w:contextualSpacing/>
        <w:rPr>
          <w:rFonts w:cs="Arial"/>
          <w:sz w:val="16"/>
          <w:szCs w:val="16"/>
        </w:rPr>
      </w:pPr>
    </w:p>
    <w:p w14:paraId="34B5404D" w14:textId="77777777" w:rsidR="00C9100B" w:rsidRPr="002C1853" w:rsidRDefault="00C9100B" w:rsidP="00C9100B">
      <w:pPr>
        <w:spacing w:before="240" w:after="240"/>
        <w:outlineLvl w:val="7"/>
        <w:rPr>
          <w:rFonts w:eastAsiaTheme="majorEastAsia" w:cstheme="majorBidi"/>
          <w:b/>
          <w:color w:val="595959" w:themeColor="text1" w:themeTint="A6"/>
          <w:sz w:val="24"/>
          <w:szCs w:val="20"/>
        </w:rPr>
      </w:pPr>
      <w:r w:rsidRPr="002C1853">
        <w:rPr>
          <w:rFonts w:eastAsiaTheme="majorEastAsia" w:cstheme="majorBidi"/>
          <w:b/>
          <w:color w:val="595959" w:themeColor="text1" w:themeTint="A6"/>
          <w:sz w:val="24"/>
          <w:szCs w:val="20"/>
        </w:rPr>
        <w:t>C3.4.3 Value of Commonwealth program funding transitioned to the National Disability Insurance Scheme</w:t>
      </w:r>
    </w:p>
    <w:p w14:paraId="28708AA3" w14:textId="77777777" w:rsidR="00C9100B" w:rsidRPr="002C1853" w:rsidRDefault="00C9100B" w:rsidP="00C9100B">
      <w:pPr>
        <w:keepNext/>
        <w:spacing w:before="240" w:after="0" w:line="260" w:lineRule="atLeast"/>
        <w:ind w:right="425"/>
        <w:rPr>
          <w:rFonts w:ascii="Arial Narrow" w:eastAsia="Times New Roman" w:hAnsi="Arial Narrow" w:cs="Times New Roman"/>
          <w:b/>
          <w:bCs/>
          <w:spacing w:val="4"/>
          <w:sz w:val="20"/>
          <w:szCs w:val="18"/>
          <w:lang w:eastAsia="en-AU"/>
        </w:rPr>
      </w:pPr>
      <w:r w:rsidRPr="002C1853">
        <w:rPr>
          <w:rFonts w:ascii="Arial Narrow" w:eastAsia="Times New Roman" w:hAnsi="Arial Narrow" w:cs="Times New Roman"/>
          <w:b/>
          <w:bCs/>
          <w:spacing w:val="4"/>
          <w:sz w:val="20"/>
          <w:szCs w:val="18"/>
          <w:lang w:eastAsia="en-AU"/>
        </w:rPr>
        <w:t>Table 2.3.12: Value of funding transitioned to the National Disability Insurance Scheme</w:t>
      </w:r>
    </w:p>
    <w:tbl>
      <w:tblPr>
        <w:tblStyle w:val="HHorizontaltable14"/>
        <w:tblW w:w="5000" w:type="pct"/>
        <w:tblLook w:val="04A0" w:firstRow="1" w:lastRow="0" w:firstColumn="1" w:lastColumn="0" w:noHBand="0" w:noVBand="1"/>
        <w:tblCaption w:val="Table 2.3.12: Value of funding transitioned to the National Disability Insurance Scheme (PBS)"/>
        <w:tblDescription w:val="Table 2.3.12: Value of funding transitioned to the National Disability Insurance Scheme "/>
      </w:tblPr>
      <w:tblGrid>
        <w:gridCol w:w="4717"/>
        <w:gridCol w:w="1437"/>
        <w:gridCol w:w="1437"/>
        <w:gridCol w:w="1435"/>
      </w:tblGrid>
      <w:tr w:rsidR="00C9100B" w:rsidRPr="002C1853" w14:paraId="28D05838"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2613" w:type="pct"/>
            <w:hideMark/>
          </w:tcPr>
          <w:p w14:paraId="00835FB1" w14:textId="77777777" w:rsidR="00C9100B" w:rsidRPr="007F2601" w:rsidRDefault="00C9100B" w:rsidP="00E117FD">
            <w:pPr>
              <w:keepNext/>
              <w:keepLines/>
              <w:spacing w:before="40" w:after="40"/>
              <w:rPr>
                <w:rFonts w:eastAsia="Times New Roman" w:cs="Times New Roman"/>
                <w:sz w:val="20"/>
                <w:szCs w:val="20"/>
              </w:rPr>
            </w:pPr>
            <w:r w:rsidRPr="007F2601">
              <w:rPr>
                <w:rFonts w:eastAsia="Times New Roman" w:cs="Times New Roman"/>
                <w:sz w:val="20"/>
                <w:szCs w:val="20"/>
              </w:rPr>
              <w:t>Output performance measure</w:t>
            </w:r>
          </w:p>
        </w:tc>
        <w:tc>
          <w:tcPr>
            <w:tcW w:w="796" w:type="pct"/>
            <w:hideMark/>
          </w:tcPr>
          <w:p w14:paraId="4AFABFEC" w14:textId="77777777" w:rsidR="00C9100B" w:rsidRPr="007F2601" w:rsidRDefault="00C9100B" w:rsidP="00E117FD">
            <w:pPr>
              <w:keepNext/>
              <w:keepLines/>
              <w:spacing w:before="40" w:after="40"/>
              <w:jc w:val="right"/>
              <w:rPr>
                <w:rFonts w:eastAsia="Times New Roman" w:cs="Times New Roman"/>
                <w:sz w:val="20"/>
                <w:szCs w:val="20"/>
              </w:rPr>
            </w:pPr>
            <w:r w:rsidRPr="007F2601">
              <w:rPr>
                <w:rFonts w:eastAsia="Times New Roman" w:cs="Times New Roman"/>
                <w:sz w:val="20"/>
                <w:szCs w:val="20"/>
              </w:rPr>
              <w:t>2019–20</w:t>
            </w:r>
          </w:p>
        </w:tc>
        <w:tc>
          <w:tcPr>
            <w:tcW w:w="796" w:type="pct"/>
            <w:hideMark/>
          </w:tcPr>
          <w:p w14:paraId="10A1AA8A" w14:textId="77777777" w:rsidR="00C9100B" w:rsidRPr="007F2601" w:rsidRDefault="00C9100B" w:rsidP="00E117FD">
            <w:pPr>
              <w:keepNext/>
              <w:keepLines/>
              <w:spacing w:before="40" w:after="40"/>
              <w:jc w:val="right"/>
              <w:rPr>
                <w:rFonts w:eastAsia="Times New Roman" w:cs="Times New Roman"/>
                <w:sz w:val="20"/>
                <w:szCs w:val="20"/>
              </w:rPr>
            </w:pPr>
            <w:r w:rsidRPr="007F2601">
              <w:rPr>
                <w:rFonts w:eastAsia="Times New Roman" w:cs="Times New Roman"/>
                <w:sz w:val="20"/>
                <w:szCs w:val="20"/>
              </w:rPr>
              <w:t>2018–19</w:t>
            </w:r>
          </w:p>
        </w:tc>
        <w:tc>
          <w:tcPr>
            <w:tcW w:w="795" w:type="pct"/>
            <w:hideMark/>
          </w:tcPr>
          <w:p w14:paraId="25181AFE" w14:textId="77777777" w:rsidR="00C9100B" w:rsidRPr="007F2601" w:rsidRDefault="00C9100B" w:rsidP="00E117FD">
            <w:pPr>
              <w:keepNext/>
              <w:keepLines/>
              <w:spacing w:before="40" w:after="40"/>
              <w:jc w:val="right"/>
              <w:rPr>
                <w:rFonts w:eastAsia="Times New Roman" w:cs="Times New Roman"/>
                <w:sz w:val="20"/>
                <w:szCs w:val="20"/>
              </w:rPr>
            </w:pPr>
            <w:r w:rsidRPr="007F2601">
              <w:rPr>
                <w:rFonts w:eastAsia="Times New Roman" w:cs="Times New Roman"/>
                <w:sz w:val="20"/>
                <w:szCs w:val="20"/>
              </w:rPr>
              <w:t>2017–18</w:t>
            </w:r>
          </w:p>
        </w:tc>
      </w:tr>
      <w:tr w:rsidR="00C9100B" w:rsidRPr="002C1853" w14:paraId="19C3C655"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4993" w:type="pct"/>
            <w:gridSpan w:val="4"/>
            <w:tcBorders>
              <w:top w:val="single" w:sz="4" w:space="0" w:color="FFFFFF" w:themeColor="background1"/>
              <w:bottom w:val="single" w:sz="18" w:space="0" w:color="00B0B9"/>
            </w:tcBorders>
            <w:hideMark/>
          </w:tcPr>
          <w:p w14:paraId="5BD51CEE" w14:textId="77777777" w:rsidR="00C9100B" w:rsidRPr="002C1853" w:rsidRDefault="00C9100B" w:rsidP="00E117FD">
            <w:pPr>
              <w:keepNext/>
              <w:keepLines/>
              <w:spacing w:before="40" w:after="40"/>
              <w:rPr>
                <w:rFonts w:eastAsia="Times New Roman" w:cs="Times New Roman"/>
                <w:b/>
                <w:color w:val="000000" w:themeColor="text1"/>
                <w:sz w:val="20"/>
                <w:szCs w:val="20"/>
              </w:rPr>
            </w:pPr>
            <w:r w:rsidRPr="002C1853">
              <w:rPr>
                <w:rFonts w:eastAsia="Times New Roman" w:cs="Times New Roman"/>
                <w:b/>
                <w:color w:val="000000" w:themeColor="text1"/>
                <w:sz w:val="20"/>
                <w:szCs w:val="20"/>
              </w:rPr>
              <w:t>National Disability Insurance Scheme</w:t>
            </w:r>
          </w:p>
        </w:tc>
      </w:tr>
      <w:tr w:rsidR="00C9100B" w:rsidRPr="002C1853" w14:paraId="73C58EDB" w14:textId="77777777" w:rsidTr="00E117FD">
        <w:trPr>
          <w:cnfStyle w:val="000000010000" w:firstRow="0" w:lastRow="0" w:firstColumn="0" w:lastColumn="0" w:oddVBand="0" w:evenVBand="0" w:oddHBand="0" w:evenHBand="1" w:firstRowFirstColumn="0" w:firstRowLastColumn="0" w:lastRowFirstColumn="0" w:lastRowLastColumn="0"/>
        </w:trPr>
        <w:tc>
          <w:tcPr>
            <w:tcW w:w="2613" w:type="pct"/>
            <w:hideMark/>
          </w:tcPr>
          <w:p w14:paraId="069C65A0" w14:textId="77777777" w:rsidR="00C9100B" w:rsidRPr="002C1853" w:rsidRDefault="00C9100B" w:rsidP="00E117FD">
            <w:pPr>
              <w:spacing w:before="40" w:after="40"/>
              <w:rPr>
                <w:rFonts w:eastAsia="Times New Roman"/>
                <w:color w:val="000000" w:themeColor="text1"/>
                <w:spacing w:val="4"/>
                <w:sz w:val="20"/>
                <w:szCs w:val="20"/>
                <w:lang w:val="en-GB"/>
              </w:rPr>
            </w:pPr>
            <w:r w:rsidRPr="002C1853">
              <w:rPr>
                <w:rFonts w:eastAsia="Times New Roman"/>
                <w:color w:val="000000" w:themeColor="text1"/>
                <w:spacing w:val="4"/>
                <w:sz w:val="20"/>
                <w:szCs w:val="20"/>
                <w:lang w:val="en-GB"/>
              </w:rPr>
              <w:t>Value of Commonwealth program funding transitioned into the National Disability Insurance Scheme</w:t>
            </w:r>
          </w:p>
        </w:tc>
        <w:tc>
          <w:tcPr>
            <w:tcW w:w="796" w:type="pct"/>
            <w:hideMark/>
          </w:tcPr>
          <w:p w14:paraId="38F36E30" w14:textId="77777777" w:rsidR="00C9100B" w:rsidRPr="002C1853" w:rsidRDefault="00C9100B" w:rsidP="00E117FD">
            <w:pPr>
              <w:spacing w:before="40" w:after="40"/>
              <w:jc w:val="right"/>
              <w:rPr>
                <w:rFonts w:eastAsia="Times New Roman"/>
                <w:color w:val="000000" w:themeColor="text1"/>
                <w:spacing w:val="4"/>
                <w:sz w:val="20"/>
                <w:szCs w:val="20"/>
                <w:lang w:val="en-GB"/>
              </w:rPr>
            </w:pPr>
            <w:r>
              <w:rPr>
                <w:rFonts w:eastAsia="Times New Roman"/>
                <w:color w:val="000000" w:themeColor="text1"/>
                <w:spacing w:val="4"/>
                <w:sz w:val="20"/>
                <w:szCs w:val="20"/>
                <w:lang w:val="en-GB"/>
              </w:rPr>
              <w:t>$499.84m</w:t>
            </w:r>
          </w:p>
        </w:tc>
        <w:tc>
          <w:tcPr>
            <w:tcW w:w="796" w:type="pct"/>
            <w:hideMark/>
          </w:tcPr>
          <w:p w14:paraId="6DD6F0B7" w14:textId="77777777" w:rsidR="00C9100B" w:rsidRPr="002C1853" w:rsidRDefault="00C9100B" w:rsidP="00E117FD">
            <w:pPr>
              <w:spacing w:before="40" w:after="40"/>
              <w:jc w:val="right"/>
              <w:rPr>
                <w:rFonts w:eastAsia="Times New Roman"/>
                <w:color w:val="000000" w:themeColor="text1"/>
                <w:spacing w:val="4"/>
                <w:sz w:val="20"/>
                <w:szCs w:val="20"/>
                <w:lang w:val="en-GB"/>
              </w:rPr>
            </w:pPr>
            <w:r w:rsidRPr="002C1853">
              <w:rPr>
                <w:rFonts w:eastAsia="Times New Roman"/>
                <w:color w:val="000000" w:themeColor="text1"/>
                <w:spacing w:val="4"/>
                <w:sz w:val="20"/>
                <w:szCs w:val="20"/>
                <w:lang w:val="en-GB"/>
              </w:rPr>
              <w:t>$304.14m</w:t>
            </w:r>
          </w:p>
        </w:tc>
        <w:tc>
          <w:tcPr>
            <w:tcW w:w="795" w:type="pct"/>
            <w:hideMark/>
          </w:tcPr>
          <w:p w14:paraId="69DD8F0B" w14:textId="77777777" w:rsidR="00C9100B" w:rsidRPr="002C1853" w:rsidRDefault="00C9100B" w:rsidP="00E117FD">
            <w:pPr>
              <w:spacing w:before="40" w:after="40"/>
              <w:jc w:val="right"/>
              <w:rPr>
                <w:rFonts w:eastAsia="Times New Roman"/>
                <w:color w:val="000000" w:themeColor="text1"/>
                <w:spacing w:val="4"/>
                <w:sz w:val="20"/>
                <w:szCs w:val="20"/>
                <w:lang w:val="en-GB"/>
              </w:rPr>
            </w:pPr>
            <w:r w:rsidRPr="002C1853">
              <w:rPr>
                <w:rFonts w:eastAsia="Times New Roman"/>
                <w:color w:val="000000" w:themeColor="text1"/>
                <w:spacing w:val="4"/>
                <w:sz w:val="20"/>
                <w:szCs w:val="20"/>
                <w:lang w:val="en-GB"/>
              </w:rPr>
              <w:t>$168.79m</w:t>
            </w:r>
          </w:p>
        </w:tc>
      </w:tr>
    </w:tbl>
    <w:p w14:paraId="7D065D0B" w14:textId="77777777" w:rsidR="00C9100B" w:rsidRPr="002C1853" w:rsidRDefault="00C9100B" w:rsidP="00C9100B">
      <w:pPr>
        <w:spacing w:before="240" w:after="120"/>
        <w:outlineLvl w:val="7"/>
        <w:rPr>
          <w:rFonts w:eastAsiaTheme="majorEastAsia" w:cstheme="majorBidi"/>
          <w:b/>
          <w:color w:val="595959" w:themeColor="text1" w:themeTint="A6"/>
          <w:sz w:val="24"/>
          <w:szCs w:val="20"/>
        </w:rPr>
      </w:pPr>
      <w:r w:rsidRPr="002C1853">
        <w:rPr>
          <w:rFonts w:eastAsiaTheme="majorEastAsia" w:cstheme="majorBidi"/>
          <w:b/>
          <w:color w:val="595959" w:themeColor="text1" w:themeTint="A6"/>
          <w:sz w:val="24"/>
          <w:szCs w:val="20"/>
        </w:rPr>
        <w:t>C3.4.4 Value and number of Jobs and Market Fund projects supporting the growth of the National Disability Insurance Scheme market and workforce</w:t>
      </w:r>
    </w:p>
    <w:p w14:paraId="782C6801" w14:textId="77777777" w:rsidR="00C9100B" w:rsidRPr="002C1853" w:rsidRDefault="00C9100B" w:rsidP="00C9100B">
      <w:pPr>
        <w:keepNext/>
        <w:spacing w:before="240" w:after="0" w:line="260" w:lineRule="atLeast"/>
        <w:ind w:right="425"/>
        <w:rPr>
          <w:rFonts w:ascii="Arial Narrow" w:eastAsia="Times New Roman" w:hAnsi="Arial Narrow" w:cs="Times New Roman"/>
          <w:b/>
          <w:bCs/>
          <w:spacing w:val="4"/>
          <w:sz w:val="20"/>
          <w:szCs w:val="18"/>
          <w:lang w:eastAsia="en-AU"/>
        </w:rPr>
      </w:pPr>
      <w:r w:rsidRPr="002C1853">
        <w:rPr>
          <w:rFonts w:ascii="Arial Narrow" w:eastAsia="Times New Roman" w:hAnsi="Arial Narrow" w:cs="Times New Roman"/>
          <w:b/>
          <w:bCs/>
          <w:spacing w:val="4"/>
          <w:sz w:val="20"/>
          <w:szCs w:val="18"/>
          <w:lang w:eastAsia="en-AU"/>
        </w:rPr>
        <w:t>Table 2.3.13: Value and number of Jobs and Market Fund projects supporting the growth of the National Disability Insurance Scheme market and workforce (PBS)</w:t>
      </w:r>
    </w:p>
    <w:tbl>
      <w:tblPr>
        <w:tblStyle w:val="HHorizontaltable14"/>
        <w:tblW w:w="5000" w:type="pct"/>
        <w:tblLook w:val="04A0" w:firstRow="1" w:lastRow="0" w:firstColumn="1" w:lastColumn="0" w:noHBand="0" w:noVBand="1"/>
        <w:tblCaption w:val="Table 2.3.13: Value and number of Jobs and Market Fund projects supporting the growth of the National Disability Insurance Sceme market and workforce (PBS)"/>
        <w:tblDescription w:val="Table 2.3.13: Value and number of Jobs and Market Fund projects supporting the growth of the National Disability Insurance Sceme market and workforce (PBS)"/>
      </w:tblPr>
      <w:tblGrid>
        <w:gridCol w:w="4717"/>
        <w:gridCol w:w="1437"/>
        <w:gridCol w:w="1437"/>
        <w:gridCol w:w="1422"/>
        <w:gridCol w:w="13"/>
      </w:tblGrid>
      <w:tr w:rsidR="00C9100B" w:rsidRPr="002C1853" w14:paraId="2B666BC6"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2613" w:type="pct"/>
            <w:hideMark/>
          </w:tcPr>
          <w:p w14:paraId="5A9ED5B0" w14:textId="77777777" w:rsidR="00C9100B" w:rsidRPr="007F2601" w:rsidRDefault="00C9100B" w:rsidP="00E117FD">
            <w:pPr>
              <w:keepNext/>
              <w:keepLines/>
              <w:spacing w:before="40" w:after="40"/>
              <w:rPr>
                <w:rFonts w:eastAsia="Times New Roman" w:cs="Times New Roman"/>
                <w:sz w:val="20"/>
                <w:szCs w:val="18"/>
              </w:rPr>
            </w:pPr>
            <w:r w:rsidRPr="007F2601">
              <w:rPr>
                <w:rFonts w:eastAsia="Times New Roman" w:cs="Times New Roman"/>
                <w:sz w:val="20"/>
                <w:szCs w:val="18"/>
              </w:rPr>
              <w:t>Output performance measure</w:t>
            </w:r>
          </w:p>
        </w:tc>
        <w:tc>
          <w:tcPr>
            <w:tcW w:w="796" w:type="pct"/>
            <w:hideMark/>
          </w:tcPr>
          <w:p w14:paraId="1A78AD5D" w14:textId="77777777" w:rsidR="00C9100B" w:rsidRPr="007F2601" w:rsidRDefault="00C9100B" w:rsidP="00E117FD">
            <w:pPr>
              <w:keepNext/>
              <w:keepLines/>
              <w:spacing w:before="40" w:after="40"/>
              <w:jc w:val="right"/>
              <w:rPr>
                <w:rFonts w:eastAsia="Times New Roman" w:cs="Times New Roman"/>
                <w:sz w:val="20"/>
                <w:szCs w:val="18"/>
              </w:rPr>
            </w:pPr>
            <w:r w:rsidRPr="007F2601">
              <w:rPr>
                <w:rFonts w:eastAsia="Times New Roman" w:cs="Times New Roman"/>
                <w:sz w:val="20"/>
                <w:szCs w:val="18"/>
              </w:rPr>
              <w:t>2019–20</w:t>
            </w:r>
          </w:p>
        </w:tc>
        <w:tc>
          <w:tcPr>
            <w:tcW w:w="796" w:type="pct"/>
            <w:hideMark/>
          </w:tcPr>
          <w:p w14:paraId="229F75E5" w14:textId="77777777" w:rsidR="00C9100B" w:rsidRPr="007F2601" w:rsidRDefault="00C9100B" w:rsidP="00E117FD">
            <w:pPr>
              <w:keepNext/>
              <w:keepLines/>
              <w:spacing w:before="40" w:after="40"/>
              <w:jc w:val="right"/>
              <w:rPr>
                <w:rFonts w:eastAsia="Times New Roman" w:cs="Times New Roman"/>
                <w:sz w:val="20"/>
                <w:szCs w:val="18"/>
              </w:rPr>
            </w:pPr>
            <w:r w:rsidRPr="007F2601">
              <w:rPr>
                <w:rFonts w:eastAsia="Times New Roman" w:cs="Times New Roman"/>
                <w:sz w:val="20"/>
                <w:szCs w:val="18"/>
              </w:rPr>
              <w:t>2018–19</w:t>
            </w:r>
          </w:p>
        </w:tc>
        <w:tc>
          <w:tcPr>
            <w:tcW w:w="795" w:type="pct"/>
            <w:gridSpan w:val="2"/>
            <w:hideMark/>
          </w:tcPr>
          <w:p w14:paraId="5A7A9301" w14:textId="77777777" w:rsidR="00C9100B" w:rsidRPr="007F2601" w:rsidRDefault="00C9100B" w:rsidP="00E117FD">
            <w:pPr>
              <w:keepNext/>
              <w:keepLines/>
              <w:spacing w:before="40" w:after="40"/>
              <w:jc w:val="right"/>
              <w:rPr>
                <w:rFonts w:eastAsia="Times New Roman" w:cs="Times New Roman"/>
                <w:sz w:val="20"/>
                <w:szCs w:val="18"/>
              </w:rPr>
            </w:pPr>
            <w:r w:rsidRPr="007F2601">
              <w:rPr>
                <w:rFonts w:eastAsia="Times New Roman" w:cs="Times New Roman"/>
                <w:sz w:val="20"/>
                <w:szCs w:val="18"/>
              </w:rPr>
              <w:t>2017–18</w:t>
            </w:r>
          </w:p>
        </w:tc>
      </w:tr>
      <w:tr w:rsidR="00C9100B" w:rsidRPr="002C1853" w14:paraId="4E003408" w14:textId="77777777" w:rsidTr="00E117FD">
        <w:trPr>
          <w:gridAfter w:val="1"/>
          <w:cnfStyle w:val="000000100000" w:firstRow="0" w:lastRow="0" w:firstColumn="0" w:lastColumn="0" w:oddVBand="0" w:evenVBand="0" w:oddHBand="1" w:evenHBand="0" w:firstRowFirstColumn="0" w:firstRowLastColumn="0" w:lastRowFirstColumn="0" w:lastRowLastColumn="0"/>
          <w:wAfter w:w="7" w:type="pct"/>
          <w:trHeight w:val="317"/>
        </w:trPr>
        <w:tc>
          <w:tcPr>
            <w:tcW w:w="4993" w:type="pct"/>
            <w:gridSpan w:val="4"/>
            <w:tcBorders>
              <w:top w:val="single" w:sz="4" w:space="0" w:color="FFFFFF" w:themeColor="background1"/>
              <w:bottom w:val="single" w:sz="18" w:space="0" w:color="00B0B9"/>
            </w:tcBorders>
            <w:hideMark/>
          </w:tcPr>
          <w:p w14:paraId="13415FAD" w14:textId="77777777" w:rsidR="00C9100B" w:rsidRPr="002C1853" w:rsidRDefault="00C9100B" w:rsidP="00E117FD">
            <w:pPr>
              <w:keepNext/>
              <w:keepLines/>
              <w:spacing w:before="40" w:after="40"/>
              <w:rPr>
                <w:rFonts w:eastAsia="Times New Roman" w:cs="Times New Roman"/>
                <w:b/>
                <w:sz w:val="20"/>
                <w:szCs w:val="20"/>
              </w:rPr>
            </w:pPr>
            <w:r w:rsidRPr="002C1853">
              <w:rPr>
                <w:rFonts w:eastAsia="Times New Roman" w:cs="Times New Roman"/>
                <w:b/>
                <w:sz w:val="20"/>
                <w:szCs w:val="20"/>
              </w:rPr>
              <w:t>National Disability Insurance Scheme</w:t>
            </w:r>
          </w:p>
        </w:tc>
      </w:tr>
      <w:tr w:rsidR="00C9100B" w:rsidRPr="002C1853" w14:paraId="15FC9A6F" w14:textId="77777777" w:rsidTr="00E117FD">
        <w:trPr>
          <w:cnfStyle w:val="000000010000" w:firstRow="0" w:lastRow="0" w:firstColumn="0" w:lastColumn="0" w:oddVBand="0" w:evenVBand="0" w:oddHBand="0" w:evenHBand="1" w:firstRowFirstColumn="0" w:firstRowLastColumn="0" w:lastRowFirstColumn="0" w:lastRowLastColumn="0"/>
          <w:trHeight w:val="1118"/>
        </w:trPr>
        <w:tc>
          <w:tcPr>
            <w:tcW w:w="2613" w:type="pct"/>
            <w:hideMark/>
          </w:tcPr>
          <w:p w14:paraId="78D8FBFB" w14:textId="77777777" w:rsidR="00C9100B" w:rsidRPr="002C1853" w:rsidRDefault="00C9100B" w:rsidP="00E117FD">
            <w:pPr>
              <w:spacing w:before="40" w:after="40"/>
              <w:rPr>
                <w:rFonts w:eastAsia="Times New Roman"/>
                <w:spacing w:val="4"/>
                <w:sz w:val="20"/>
                <w:szCs w:val="20"/>
                <w:lang w:val="en-GB"/>
              </w:rPr>
            </w:pPr>
            <w:r w:rsidRPr="002C1853">
              <w:rPr>
                <w:rFonts w:eastAsia="Times New Roman"/>
                <w:spacing w:val="4"/>
                <w:sz w:val="20"/>
                <w:szCs w:val="20"/>
                <w:lang w:val="en-GB"/>
              </w:rPr>
              <w:t>Value</w:t>
            </w:r>
            <w:r w:rsidRPr="002C1853">
              <w:rPr>
                <w:color w:val="000000" w:themeColor="text1"/>
                <w:sz w:val="20"/>
                <w:szCs w:val="20"/>
                <w:vertAlign w:val="superscript"/>
              </w:rPr>
              <w:t>a</w:t>
            </w:r>
            <w:r w:rsidRPr="002C1853">
              <w:rPr>
                <w:rFonts w:eastAsia="Times New Roman"/>
                <w:spacing w:val="4"/>
                <w:sz w:val="20"/>
                <w:szCs w:val="20"/>
                <w:lang w:val="en-GB"/>
              </w:rPr>
              <w:t xml:space="preserve"> and number</w:t>
            </w:r>
            <w:r w:rsidRPr="002C1853">
              <w:rPr>
                <w:color w:val="000000" w:themeColor="text1"/>
                <w:sz w:val="20"/>
                <w:szCs w:val="20"/>
                <w:vertAlign w:val="superscript"/>
              </w:rPr>
              <w:t>b</w:t>
            </w:r>
            <w:r w:rsidRPr="002C1853">
              <w:rPr>
                <w:rFonts w:eastAsia="Times New Roman"/>
                <w:spacing w:val="4"/>
                <w:sz w:val="20"/>
                <w:szCs w:val="20"/>
                <w:lang w:val="en-GB"/>
              </w:rPr>
              <w:t xml:space="preserve"> of Jobs and Market Fund</w:t>
            </w:r>
            <w:r w:rsidRPr="002C1853">
              <w:rPr>
                <w:color w:val="000000" w:themeColor="text1"/>
                <w:sz w:val="20"/>
                <w:szCs w:val="20"/>
                <w:vertAlign w:val="superscript"/>
              </w:rPr>
              <w:t>c</w:t>
            </w:r>
            <w:r w:rsidRPr="002C1853">
              <w:rPr>
                <w:rFonts w:eastAsia="Times New Roman"/>
                <w:spacing w:val="4"/>
                <w:sz w:val="20"/>
                <w:szCs w:val="20"/>
                <w:lang w:val="en-GB"/>
              </w:rPr>
              <w:t xml:space="preserve"> projects supporting the market, sector, and workforce to transition to the National Disability Insurance Scheme</w:t>
            </w:r>
          </w:p>
        </w:tc>
        <w:tc>
          <w:tcPr>
            <w:tcW w:w="796" w:type="pct"/>
            <w:hideMark/>
          </w:tcPr>
          <w:p w14:paraId="3747CDA9" w14:textId="77777777" w:rsidR="00C9100B" w:rsidRPr="002C1853" w:rsidRDefault="00C9100B" w:rsidP="00E117FD">
            <w:pPr>
              <w:spacing w:before="40" w:after="40"/>
              <w:jc w:val="right"/>
              <w:rPr>
                <w:rFonts w:eastAsia="Times New Roman"/>
                <w:spacing w:val="4"/>
                <w:sz w:val="20"/>
                <w:szCs w:val="20"/>
                <w:lang w:val="en-GB"/>
              </w:rPr>
            </w:pPr>
            <w:r w:rsidRPr="002C1853">
              <w:rPr>
                <w:rFonts w:eastAsia="Times New Roman"/>
                <w:spacing w:val="4"/>
                <w:sz w:val="20"/>
                <w:szCs w:val="20"/>
                <w:lang w:val="en-GB"/>
              </w:rPr>
              <w:t>$10.26m</w:t>
            </w:r>
          </w:p>
          <w:p w14:paraId="58A9A170" w14:textId="77777777" w:rsidR="00C9100B" w:rsidRPr="002C1853" w:rsidRDefault="00C9100B" w:rsidP="00E117FD">
            <w:pPr>
              <w:spacing w:before="40" w:after="40"/>
              <w:jc w:val="right"/>
              <w:rPr>
                <w:rFonts w:eastAsia="Times New Roman"/>
                <w:spacing w:val="4"/>
                <w:sz w:val="20"/>
                <w:szCs w:val="20"/>
                <w:highlight w:val="yellow"/>
                <w:lang w:val="en-GB"/>
              </w:rPr>
            </w:pPr>
            <w:r w:rsidRPr="002C1853">
              <w:rPr>
                <w:rFonts w:eastAsia="Times New Roman"/>
                <w:spacing w:val="4"/>
                <w:sz w:val="20"/>
                <w:szCs w:val="20"/>
                <w:lang w:val="en-GB"/>
              </w:rPr>
              <w:t>22 projects</w:t>
            </w:r>
          </w:p>
        </w:tc>
        <w:tc>
          <w:tcPr>
            <w:tcW w:w="796" w:type="pct"/>
            <w:hideMark/>
          </w:tcPr>
          <w:p w14:paraId="7EA325BE" w14:textId="77777777" w:rsidR="00C9100B" w:rsidRPr="002C1853" w:rsidRDefault="00C9100B" w:rsidP="00E117FD">
            <w:pPr>
              <w:spacing w:before="40" w:after="40"/>
              <w:jc w:val="right"/>
              <w:rPr>
                <w:rFonts w:eastAsia="Times New Roman"/>
                <w:spacing w:val="4"/>
                <w:sz w:val="20"/>
                <w:szCs w:val="20"/>
                <w:lang w:val="en-GB"/>
              </w:rPr>
            </w:pPr>
            <w:r w:rsidRPr="002C1853">
              <w:rPr>
                <w:rFonts w:eastAsia="Times New Roman"/>
                <w:spacing w:val="4"/>
                <w:sz w:val="20"/>
                <w:szCs w:val="20"/>
                <w:lang w:val="en-GB"/>
              </w:rPr>
              <w:t>$5.20m</w:t>
            </w:r>
          </w:p>
          <w:p w14:paraId="53EBE4FB" w14:textId="77777777" w:rsidR="00C9100B" w:rsidRPr="002C1853" w:rsidRDefault="00C9100B" w:rsidP="00E117FD">
            <w:pPr>
              <w:spacing w:before="40" w:after="40"/>
              <w:jc w:val="right"/>
              <w:rPr>
                <w:rFonts w:eastAsia="Times New Roman"/>
                <w:spacing w:val="4"/>
                <w:sz w:val="20"/>
                <w:szCs w:val="20"/>
                <w:lang w:val="en-GB"/>
              </w:rPr>
            </w:pPr>
            <w:r w:rsidRPr="002C1853">
              <w:rPr>
                <w:rFonts w:eastAsia="Times New Roman"/>
                <w:spacing w:val="4"/>
                <w:sz w:val="20"/>
                <w:szCs w:val="20"/>
                <w:lang w:val="en-GB"/>
              </w:rPr>
              <w:t>18 projects</w:t>
            </w:r>
          </w:p>
        </w:tc>
        <w:tc>
          <w:tcPr>
            <w:tcW w:w="795" w:type="pct"/>
            <w:gridSpan w:val="2"/>
            <w:hideMark/>
          </w:tcPr>
          <w:p w14:paraId="1BBC4DDF" w14:textId="77777777" w:rsidR="00C9100B" w:rsidRPr="002C1853" w:rsidRDefault="00C9100B" w:rsidP="00E117FD">
            <w:pPr>
              <w:spacing w:before="40" w:after="40"/>
              <w:jc w:val="right"/>
              <w:rPr>
                <w:rFonts w:eastAsia="Times New Roman"/>
                <w:spacing w:val="4"/>
                <w:sz w:val="20"/>
                <w:szCs w:val="20"/>
                <w:lang w:val="en-GB"/>
              </w:rPr>
            </w:pPr>
            <w:r w:rsidRPr="002C1853">
              <w:rPr>
                <w:rFonts w:eastAsia="Times New Roman"/>
                <w:spacing w:val="4"/>
                <w:sz w:val="20"/>
                <w:szCs w:val="20"/>
                <w:lang w:val="en-GB"/>
              </w:rPr>
              <w:t>$18.61m</w:t>
            </w:r>
          </w:p>
          <w:p w14:paraId="220431F0" w14:textId="77777777" w:rsidR="00C9100B" w:rsidRPr="002C1853" w:rsidRDefault="00C9100B" w:rsidP="00E117FD">
            <w:pPr>
              <w:spacing w:before="40" w:after="40"/>
              <w:jc w:val="right"/>
              <w:rPr>
                <w:rFonts w:eastAsia="Times New Roman"/>
                <w:spacing w:val="4"/>
                <w:sz w:val="20"/>
                <w:szCs w:val="20"/>
                <w:lang w:val="en-GB"/>
              </w:rPr>
            </w:pPr>
            <w:r w:rsidRPr="002C1853">
              <w:rPr>
                <w:rFonts w:eastAsia="Times New Roman"/>
                <w:spacing w:val="4"/>
                <w:sz w:val="20"/>
                <w:szCs w:val="20"/>
                <w:lang w:val="en-GB"/>
              </w:rPr>
              <w:t>40 projects</w:t>
            </w:r>
          </w:p>
        </w:tc>
      </w:tr>
    </w:tbl>
    <w:p w14:paraId="16BD4A6D" w14:textId="77777777" w:rsidR="00C9100B" w:rsidRPr="002C1853" w:rsidRDefault="00C9100B" w:rsidP="00C9100B">
      <w:pPr>
        <w:spacing w:before="160" w:after="60" w:line="240" w:lineRule="auto"/>
        <w:ind w:left="284" w:hanging="284"/>
        <w:contextualSpacing/>
        <w:rPr>
          <w:rFonts w:cs="Arial"/>
          <w:sz w:val="16"/>
          <w:szCs w:val="16"/>
        </w:rPr>
      </w:pPr>
      <w:proofErr w:type="spellStart"/>
      <w:r w:rsidRPr="002C1853">
        <w:rPr>
          <w:rFonts w:cs="Arial"/>
          <w:sz w:val="16"/>
          <w:szCs w:val="16"/>
        </w:rPr>
        <w:t>a</w:t>
      </w:r>
      <w:proofErr w:type="spellEnd"/>
      <w:r w:rsidRPr="002C1853">
        <w:rPr>
          <w:rFonts w:cs="Arial"/>
          <w:sz w:val="16"/>
          <w:szCs w:val="16"/>
        </w:rPr>
        <w:tab/>
        <w:t>Includes actual spending in the relevant period only.</w:t>
      </w:r>
    </w:p>
    <w:p w14:paraId="76DCF09D" w14:textId="77777777" w:rsidR="00C9100B" w:rsidRPr="002C1853" w:rsidRDefault="00C9100B" w:rsidP="00C9100B">
      <w:pPr>
        <w:spacing w:before="160" w:after="60" w:line="240" w:lineRule="auto"/>
        <w:ind w:left="284" w:hanging="284"/>
        <w:contextualSpacing/>
        <w:rPr>
          <w:rFonts w:cs="Arial"/>
          <w:sz w:val="16"/>
          <w:szCs w:val="16"/>
        </w:rPr>
      </w:pPr>
      <w:r w:rsidRPr="002C1853">
        <w:rPr>
          <w:rFonts w:cs="Arial"/>
          <w:sz w:val="16"/>
          <w:szCs w:val="16"/>
        </w:rPr>
        <w:t>b</w:t>
      </w:r>
      <w:r w:rsidRPr="002C1853">
        <w:rPr>
          <w:rFonts w:cs="Arial"/>
          <w:sz w:val="16"/>
          <w:szCs w:val="16"/>
        </w:rPr>
        <w:tab/>
        <w:t>This figure captures all projects that were current during the 2018–19 financial year, including projects that may have been fully funded in previous financial years.</w:t>
      </w:r>
    </w:p>
    <w:p w14:paraId="1507C002" w14:textId="77777777" w:rsidR="00C9100B" w:rsidRPr="002C1853" w:rsidRDefault="00C9100B" w:rsidP="00C9100B">
      <w:pPr>
        <w:spacing w:before="160" w:after="60" w:line="240" w:lineRule="auto"/>
        <w:ind w:left="284" w:hanging="284"/>
        <w:contextualSpacing/>
        <w:rPr>
          <w:rFonts w:cs="Arial"/>
          <w:sz w:val="16"/>
          <w:szCs w:val="16"/>
        </w:rPr>
      </w:pPr>
      <w:r w:rsidRPr="002C1853">
        <w:rPr>
          <w:rFonts w:cs="Arial"/>
          <w:sz w:val="16"/>
          <w:szCs w:val="16"/>
        </w:rPr>
        <w:t>c</w:t>
      </w:r>
      <w:r w:rsidRPr="002C1853">
        <w:rPr>
          <w:rFonts w:cs="Arial"/>
          <w:sz w:val="16"/>
          <w:szCs w:val="16"/>
        </w:rPr>
        <w:tab/>
        <w:t>Includes the Sector Development Fund (SDF), which was replaced by the Jobs and Market Fund in the 2018–19 Budget. Note final SDF payments were made in 2018–19. Results for 2018–19 and 2019-20 are not comparable with previous years.</w:t>
      </w:r>
    </w:p>
    <w:p w14:paraId="655DC1B3" w14:textId="77777777" w:rsidR="00C9100B" w:rsidRPr="002C1853" w:rsidRDefault="00C9100B" w:rsidP="00C9100B">
      <w:pPr>
        <w:keepNext/>
        <w:tabs>
          <w:tab w:val="left" w:pos="6870"/>
        </w:tabs>
        <w:spacing w:before="360" w:after="240" w:line="260" w:lineRule="atLeast"/>
        <w:outlineLvl w:val="7"/>
        <w:rPr>
          <w:rFonts w:eastAsiaTheme="majorEastAsia" w:cstheme="majorBidi"/>
          <w:b/>
          <w:color w:val="595959" w:themeColor="text1" w:themeTint="A6"/>
          <w:sz w:val="24"/>
          <w:szCs w:val="20"/>
        </w:rPr>
      </w:pPr>
      <w:r w:rsidRPr="002C1853">
        <w:rPr>
          <w:rFonts w:eastAsiaTheme="majorEastAsia" w:cstheme="majorBidi"/>
          <w:b/>
          <w:color w:val="595959" w:themeColor="text1" w:themeTint="A6"/>
          <w:sz w:val="24"/>
          <w:szCs w:val="20"/>
        </w:rPr>
        <w:lastRenderedPageBreak/>
        <w:t>C3.4.5 Administered outlays</w:t>
      </w:r>
    </w:p>
    <w:p w14:paraId="58DCD9FA" w14:textId="77777777" w:rsidR="00C9100B" w:rsidRPr="002C1853" w:rsidRDefault="00C9100B" w:rsidP="00C9100B">
      <w:pPr>
        <w:keepNext/>
        <w:spacing w:before="240" w:after="0" w:line="260" w:lineRule="atLeast"/>
        <w:ind w:right="425"/>
        <w:rPr>
          <w:rFonts w:ascii="Arial Narrow" w:eastAsia="Times New Roman" w:hAnsi="Arial Narrow" w:cs="Times New Roman"/>
          <w:b/>
          <w:bCs/>
          <w:spacing w:val="4"/>
          <w:sz w:val="20"/>
          <w:szCs w:val="18"/>
          <w:lang w:eastAsia="en-AU"/>
        </w:rPr>
      </w:pPr>
      <w:r w:rsidRPr="002C1853">
        <w:rPr>
          <w:rFonts w:ascii="Arial Narrow" w:eastAsia="Times New Roman" w:hAnsi="Arial Narrow" w:cs="Times New Roman"/>
          <w:b/>
          <w:bCs/>
          <w:spacing w:val="4"/>
          <w:sz w:val="20"/>
          <w:szCs w:val="18"/>
          <w:lang w:eastAsia="en-AU"/>
        </w:rPr>
        <w:t>Table 2.3.14: Administered outlays</w:t>
      </w:r>
    </w:p>
    <w:tbl>
      <w:tblPr>
        <w:tblStyle w:val="HHorizontaltable14"/>
        <w:tblW w:w="5000" w:type="pct"/>
        <w:tblLook w:val="04A0" w:firstRow="1" w:lastRow="0" w:firstColumn="1" w:lastColumn="0" w:noHBand="0" w:noVBand="1"/>
        <w:tblCaption w:val="Table 2.3.14: Administered outlays "/>
        <w:tblDescription w:val="Table 2.3.14: Administered outlays "/>
      </w:tblPr>
      <w:tblGrid>
        <w:gridCol w:w="4510"/>
        <w:gridCol w:w="1506"/>
        <w:gridCol w:w="1506"/>
        <w:gridCol w:w="1504"/>
      </w:tblGrid>
      <w:tr w:rsidR="00C9100B" w:rsidRPr="002C1853" w14:paraId="26C8106A"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2499" w:type="pct"/>
            <w:tcBorders>
              <w:bottom w:val="single" w:sz="4" w:space="0" w:color="FFFFFF" w:themeColor="background1"/>
            </w:tcBorders>
            <w:hideMark/>
          </w:tcPr>
          <w:p w14:paraId="2BA31F84" w14:textId="77777777" w:rsidR="00C9100B" w:rsidRPr="007F2601" w:rsidRDefault="00C9100B" w:rsidP="00E117FD">
            <w:pPr>
              <w:keepNext/>
              <w:keepLines/>
              <w:spacing w:after="0" w:line="40" w:lineRule="atLeast"/>
              <w:rPr>
                <w:rFonts w:eastAsia="Times New Roman"/>
                <w:sz w:val="20"/>
              </w:rPr>
            </w:pPr>
            <w:r w:rsidRPr="007F2601">
              <w:rPr>
                <w:rFonts w:eastAsia="Times New Roman"/>
                <w:sz w:val="20"/>
              </w:rPr>
              <w:t>Output performance measure</w:t>
            </w:r>
          </w:p>
        </w:tc>
        <w:tc>
          <w:tcPr>
            <w:tcW w:w="834" w:type="pct"/>
            <w:tcBorders>
              <w:bottom w:val="single" w:sz="4" w:space="0" w:color="FFFFFF" w:themeColor="background1"/>
            </w:tcBorders>
            <w:hideMark/>
          </w:tcPr>
          <w:p w14:paraId="2BFCE0AC" w14:textId="77777777" w:rsidR="00C9100B" w:rsidRPr="007F2601" w:rsidRDefault="00C9100B" w:rsidP="00E117FD">
            <w:pPr>
              <w:keepNext/>
              <w:keepLines/>
              <w:spacing w:before="40" w:after="40"/>
              <w:jc w:val="right"/>
              <w:rPr>
                <w:rFonts w:eastAsia="Times New Roman"/>
                <w:sz w:val="20"/>
              </w:rPr>
            </w:pPr>
            <w:r w:rsidRPr="007F2601">
              <w:rPr>
                <w:rFonts w:eastAsia="Times New Roman"/>
                <w:sz w:val="20"/>
              </w:rPr>
              <w:t>2019–20</w:t>
            </w:r>
          </w:p>
        </w:tc>
        <w:tc>
          <w:tcPr>
            <w:tcW w:w="834" w:type="pct"/>
            <w:tcBorders>
              <w:bottom w:val="single" w:sz="4" w:space="0" w:color="FFFFFF" w:themeColor="background1"/>
            </w:tcBorders>
            <w:hideMark/>
          </w:tcPr>
          <w:p w14:paraId="1F43F888" w14:textId="77777777" w:rsidR="00C9100B" w:rsidRPr="007F2601" w:rsidRDefault="00C9100B" w:rsidP="00E117FD">
            <w:pPr>
              <w:keepNext/>
              <w:keepLines/>
              <w:spacing w:before="40" w:after="40"/>
              <w:jc w:val="right"/>
              <w:rPr>
                <w:rFonts w:eastAsia="Times New Roman"/>
                <w:sz w:val="20"/>
              </w:rPr>
            </w:pPr>
            <w:r w:rsidRPr="007F2601">
              <w:rPr>
                <w:rFonts w:eastAsia="Times New Roman"/>
                <w:sz w:val="20"/>
              </w:rPr>
              <w:t>2018–19</w:t>
            </w:r>
          </w:p>
        </w:tc>
        <w:tc>
          <w:tcPr>
            <w:tcW w:w="832" w:type="pct"/>
            <w:tcBorders>
              <w:bottom w:val="single" w:sz="4" w:space="0" w:color="FFFFFF" w:themeColor="background1"/>
            </w:tcBorders>
            <w:hideMark/>
          </w:tcPr>
          <w:p w14:paraId="0DA24F47" w14:textId="77777777" w:rsidR="00C9100B" w:rsidRPr="007F2601" w:rsidRDefault="00C9100B" w:rsidP="00E117FD">
            <w:pPr>
              <w:keepNext/>
              <w:keepLines/>
              <w:spacing w:before="40" w:after="40"/>
              <w:jc w:val="right"/>
              <w:rPr>
                <w:rFonts w:eastAsia="Times New Roman"/>
                <w:sz w:val="20"/>
              </w:rPr>
            </w:pPr>
            <w:r w:rsidRPr="007F2601">
              <w:rPr>
                <w:rFonts w:eastAsia="Times New Roman"/>
                <w:sz w:val="20"/>
              </w:rPr>
              <w:t>2017–18</w:t>
            </w:r>
          </w:p>
        </w:tc>
      </w:tr>
      <w:tr w:rsidR="00C9100B" w:rsidRPr="002C1853" w14:paraId="4D827915"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642A8022" w14:textId="77777777" w:rsidR="00C9100B" w:rsidRPr="002C1853" w:rsidRDefault="00C9100B" w:rsidP="00E117FD">
            <w:pPr>
              <w:keepNext/>
              <w:keepLines/>
              <w:spacing w:before="40" w:after="40"/>
              <w:rPr>
                <w:b/>
                <w:color w:val="000000" w:themeColor="text1"/>
                <w:sz w:val="20"/>
              </w:rPr>
            </w:pPr>
            <w:r w:rsidRPr="002C1853">
              <w:rPr>
                <w:b/>
                <w:color w:val="000000" w:themeColor="text1"/>
                <w:sz w:val="20"/>
              </w:rPr>
              <w:t>Disability Mental Health and Carers</w:t>
            </w:r>
          </w:p>
        </w:tc>
      </w:tr>
      <w:tr w:rsidR="00C9100B" w:rsidRPr="002C1853" w14:paraId="7E09B3C2" w14:textId="77777777" w:rsidTr="00E117FD">
        <w:trPr>
          <w:cnfStyle w:val="000000010000" w:firstRow="0" w:lastRow="0" w:firstColumn="0" w:lastColumn="0" w:oddVBand="0" w:evenVBand="0" w:oddHBand="0" w:evenHBand="1" w:firstRowFirstColumn="0" w:firstRowLastColumn="0" w:lastRowFirstColumn="0" w:lastRowLastColumn="0"/>
          <w:trHeight w:val="317"/>
        </w:trPr>
        <w:tc>
          <w:tcPr>
            <w:tcW w:w="2499" w:type="pct"/>
            <w:tcBorders>
              <w:top w:val="single" w:sz="18" w:space="0" w:color="00B0B9"/>
            </w:tcBorders>
            <w:hideMark/>
          </w:tcPr>
          <w:p w14:paraId="216C0794" w14:textId="77777777" w:rsidR="00C9100B" w:rsidRPr="002C1853" w:rsidRDefault="00C9100B" w:rsidP="00E117FD">
            <w:pPr>
              <w:keepNext/>
              <w:keepLines/>
              <w:spacing w:before="40" w:after="40"/>
              <w:rPr>
                <w:color w:val="000000" w:themeColor="text1"/>
                <w:sz w:val="20"/>
              </w:rPr>
            </w:pPr>
            <w:r w:rsidRPr="002C1853">
              <w:rPr>
                <w:color w:val="000000" w:themeColor="text1"/>
                <w:sz w:val="20"/>
              </w:rPr>
              <w:t xml:space="preserve">Disability Employment </w:t>
            </w:r>
            <w:proofErr w:type="spellStart"/>
            <w:r w:rsidRPr="002C1853">
              <w:rPr>
                <w:color w:val="000000" w:themeColor="text1"/>
                <w:sz w:val="20"/>
              </w:rPr>
              <w:t>Services</w:t>
            </w:r>
            <w:r w:rsidRPr="002C1853">
              <w:rPr>
                <w:color w:val="000000" w:themeColor="text1"/>
                <w:sz w:val="20"/>
                <w:vertAlign w:val="superscript"/>
              </w:rPr>
              <w:t>a</w:t>
            </w:r>
            <w:proofErr w:type="spellEnd"/>
          </w:p>
        </w:tc>
        <w:tc>
          <w:tcPr>
            <w:tcW w:w="834" w:type="pct"/>
            <w:tcBorders>
              <w:top w:val="single" w:sz="18" w:space="0" w:color="00B0B9"/>
            </w:tcBorders>
          </w:tcPr>
          <w:p w14:paraId="486B704A" w14:textId="77777777" w:rsidR="00C9100B" w:rsidRPr="002C1853" w:rsidRDefault="00C9100B" w:rsidP="00E117FD">
            <w:pPr>
              <w:keepNext/>
              <w:keepLines/>
              <w:spacing w:before="40" w:after="40"/>
              <w:jc w:val="right"/>
              <w:rPr>
                <w:color w:val="000000" w:themeColor="text1"/>
                <w:sz w:val="20"/>
              </w:rPr>
            </w:pPr>
            <w:r w:rsidRPr="002C1853">
              <w:rPr>
                <w:rFonts w:cs="Arial"/>
                <w:color w:val="000000" w:themeColor="text1"/>
                <w:sz w:val="20"/>
              </w:rPr>
              <w:t>$1,201.12m</w:t>
            </w:r>
          </w:p>
        </w:tc>
        <w:tc>
          <w:tcPr>
            <w:tcW w:w="834" w:type="pct"/>
            <w:tcBorders>
              <w:top w:val="single" w:sz="18" w:space="0" w:color="00B0B9"/>
            </w:tcBorders>
            <w:hideMark/>
          </w:tcPr>
          <w:p w14:paraId="5CBF9136" w14:textId="77777777" w:rsidR="00C9100B" w:rsidRPr="002C1853" w:rsidRDefault="00C9100B" w:rsidP="00E117FD">
            <w:pPr>
              <w:keepNext/>
              <w:keepLines/>
              <w:spacing w:before="40" w:after="40"/>
              <w:jc w:val="right"/>
              <w:rPr>
                <w:color w:val="000000" w:themeColor="text1"/>
                <w:sz w:val="20"/>
              </w:rPr>
            </w:pPr>
            <w:r w:rsidRPr="002C1853">
              <w:rPr>
                <w:rFonts w:cs="Arial"/>
                <w:color w:val="000000" w:themeColor="text1"/>
                <w:sz w:val="20"/>
              </w:rPr>
              <w:t>$862.98m</w:t>
            </w:r>
          </w:p>
        </w:tc>
        <w:tc>
          <w:tcPr>
            <w:tcW w:w="832" w:type="pct"/>
            <w:tcBorders>
              <w:top w:val="single" w:sz="18" w:space="0" w:color="00B0B9"/>
            </w:tcBorders>
            <w:hideMark/>
          </w:tcPr>
          <w:p w14:paraId="3C32A5A6" w14:textId="77777777" w:rsidR="00C9100B" w:rsidRPr="002C1853" w:rsidRDefault="00C9100B" w:rsidP="00E117FD">
            <w:pPr>
              <w:keepNext/>
              <w:keepLines/>
              <w:spacing w:before="40" w:after="40"/>
              <w:jc w:val="right"/>
              <w:rPr>
                <w:color w:val="000000" w:themeColor="text1"/>
                <w:sz w:val="20"/>
              </w:rPr>
            </w:pPr>
            <w:r w:rsidRPr="002C1853">
              <w:rPr>
                <w:color w:val="000000" w:themeColor="text1"/>
                <w:sz w:val="20"/>
              </w:rPr>
              <w:t>$765.45m</w:t>
            </w:r>
          </w:p>
        </w:tc>
      </w:tr>
      <w:tr w:rsidR="00C9100B" w:rsidRPr="002C1853" w14:paraId="6760F0B3"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2499" w:type="pct"/>
            <w:hideMark/>
          </w:tcPr>
          <w:p w14:paraId="55420D3D" w14:textId="77777777" w:rsidR="00C9100B" w:rsidRPr="002C1853" w:rsidRDefault="00C9100B" w:rsidP="00E117FD">
            <w:pPr>
              <w:keepNext/>
              <w:keepLines/>
              <w:spacing w:before="40" w:after="40"/>
              <w:rPr>
                <w:color w:val="000000" w:themeColor="text1"/>
                <w:sz w:val="20"/>
              </w:rPr>
            </w:pPr>
            <w:r w:rsidRPr="002C1853">
              <w:rPr>
                <w:color w:val="000000" w:themeColor="text1"/>
                <w:sz w:val="20"/>
              </w:rPr>
              <w:t xml:space="preserve">Employment Assistance and Other </w:t>
            </w:r>
            <w:proofErr w:type="spellStart"/>
            <w:r w:rsidRPr="002C1853">
              <w:rPr>
                <w:color w:val="000000" w:themeColor="text1"/>
                <w:sz w:val="20"/>
              </w:rPr>
              <w:t>Services</w:t>
            </w:r>
            <w:r w:rsidRPr="002C1853">
              <w:rPr>
                <w:color w:val="000000" w:themeColor="text1"/>
                <w:sz w:val="20"/>
                <w:vertAlign w:val="superscript"/>
              </w:rPr>
              <w:t>b</w:t>
            </w:r>
            <w:proofErr w:type="spellEnd"/>
          </w:p>
        </w:tc>
        <w:tc>
          <w:tcPr>
            <w:tcW w:w="834" w:type="pct"/>
          </w:tcPr>
          <w:p w14:paraId="6202CF6D" w14:textId="77777777" w:rsidR="00C9100B" w:rsidRPr="002C1853" w:rsidRDefault="00C9100B" w:rsidP="00E117FD">
            <w:pPr>
              <w:spacing w:before="40" w:after="40"/>
              <w:jc w:val="right"/>
              <w:rPr>
                <w:color w:val="000000" w:themeColor="text1"/>
                <w:sz w:val="20"/>
              </w:rPr>
            </w:pPr>
            <w:r w:rsidRPr="002C1853">
              <w:rPr>
                <w:rFonts w:cs="Arial"/>
                <w:color w:val="000000" w:themeColor="text1"/>
                <w:sz w:val="20"/>
              </w:rPr>
              <w:t>$30.29m</w:t>
            </w:r>
          </w:p>
        </w:tc>
        <w:tc>
          <w:tcPr>
            <w:tcW w:w="834" w:type="pct"/>
            <w:hideMark/>
          </w:tcPr>
          <w:p w14:paraId="20DC6284" w14:textId="77777777" w:rsidR="00C9100B" w:rsidRPr="002C1853" w:rsidRDefault="00C9100B" w:rsidP="00E117FD">
            <w:pPr>
              <w:spacing w:before="40" w:after="40"/>
              <w:jc w:val="right"/>
              <w:rPr>
                <w:color w:val="000000" w:themeColor="text1"/>
                <w:sz w:val="20"/>
              </w:rPr>
            </w:pPr>
            <w:r w:rsidRPr="002C1853">
              <w:rPr>
                <w:rFonts w:cs="Arial"/>
                <w:color w:val="000000" w:themeColor="text1"/>
                <w:sz w:val="20"/>
              </w:rPr>
              <w:t>$28.30m</w:t>
            </w:r>
          </w:p>
        </w:tc>
        <w:tc>
          <w:tcPr>
            <w:tcW w:w="832" w:type="pct"/>
            <w:hideMark/>
          </w:tcPr>
          <w:p w14:paraId="41BC143B" w14:textId="77777777" w:rsidR="00C9100B" w:rsidRPr="002C1853" w:rsidRDefault="00C9100B" w:rsidP="00E117FD">
            <w:pPr>
              <w:spacing w:before="40" w:after="40"/>
              <w:jc w:val="right"/>
              <w:rPr>
                <w:color w:val="000000" w:themeColor="text1"/>
                <w:sz w:val="20"/>
              </w:rPr>
            </w:pPr>
            <w:r w:rsidRPr="002C1853">
              <w:rPr>
                <w:color w:val="000000" w:themeColor="text1"/>
                <w:sz w:val="20"/>
              </w:rPr>
              <w:t>$31.34m</w:t>
            </w:r>
          </w:p>
        </w:tc>
      </w:tr>
      <w:tr w:rsidR="00C9100B" w:rsidRPr="002C1853" w14:paraId="01747D85" w14:textId="77777777" w:rsidTr="00E117FD">
        <w:trPr>
          <w:cnfStyle w:val="000000010000" w:firstRow="0" w:lastRow="0" w:firstColumn="0" w:lastColumn="0" w:oddVBand="0" w:evenVBand="0" w:oddHBand="0" w:evenHBand="1" w:firstRowFirstColumn="0" w:firstRowLastColumn="0" w:lastRowFirstColumn="0" w:lastRowLastColumn="0"/>
        </w:trPr>
        <w:tc>
          <w:tcPr>
            <w:tcW w:w="2499" w:type="pct"/>
            <w:hideMark/>
          </w:tcPr>
          <w:p w14:paraId="0CFEF7FE" w14:textId="77777777" w:rsidR="00C9100B" w:rsidRPr="002C1853" w:rsidRDefault="00C9100B" w:rsidP="00E117FD">
            <w:pPr>
              <w:keepNext/>
              <w:keepLines/>
              <w:spacing w:before="40" w:after="40"/>
              <w:rPr>
                <w:rFonts w:cs="Arial"/>
                <w:sz w:val="20"/>
              </w:rPr>
            </w:pPr>
            <w:r w:rsidRPr="002C1853">
              <w:rPr>
                <w:rFonts w:cs="Arial"/>
                <w:sz w:val="20"/>
              </w:rPr>
              <w:t>Disability and Carer Support</w:t>
            </w:r>
          </w:p>
        </w:tc>
        <w:tc>
          <w:tcPr>
            <w:tcW w:w="834" w:type="pct"/>
          </w:tcPr>
          <w:p w14:paraId="2C7C9381" w14:textId="77777777" w:rsidR="00C9100B" w:rsidRPr="002C1853" w:rsidRDefault="00C9100B" w:rsidP="00E117FD">
            <w:pPr>
              <w:spacing w:before="40" w:after="40"/>
              <w:jc w:val="right"/>
              <w:rPr>
                <w:rFonts w:cs="Arial"/>
                <w:color w:val="000000" w:themeColor="text1"/>
                <w:sz w:val="20"/>
              </w:rPr>
            </w:pPr>
            <w:r w:rsidRPr="002C1853">
              <w:rPr>
                <w:rFonts w:cs="Arial"/>
                <w:color w:val="000000" w:themeColor="text1"/>
                <w:sz w:val="20"/>
              </w:rPr>
              <w:t>$181.65m</w:t>
            </w:r>
          </w:p>
        </w:tc>
        <w:tc>
          <w:tcPr>
            <w:tcW w:w="834" w:type="pct"/>
            <w:hideMark/>
          </w:tcPr>
          <w:p w14:paraId="42339999" w14:textId="77777777" w:rsidR="00C9100B" w:rsidRPr="002C1853" w:rsidRDefault="00C9100B" w:rsidP="00E117FD">
            <w:pPr>
              <w:spacing w:before="40" w:after="40"/>
              <w:jc w:val="right"/>
              <w:rPr>
                <w:rFonts w:cs="Arial"/>
                <w:color w:val="000000" w:themeColor="text1"/>
                <w:sz w:val="20"/>
              </w:rPr>
            </w:pPr>
            <w:r w:rsidRPr="002C1853">
              <w:rPr>
                <w:rFonts w:cs="Arial"/>
                <w:color w:val="000000" w:themeColor="text1"/>
                <w:sz w:val="20"/>
              </w:rPr>
              <w:t>$139.85m</w:t>
            </w:r>
          </w:p>
        </w:tc>
        <w:tc>
          <w:tcPr>
            <w:tcW w:w="832" w:type="pct"/>
            <w:hideMark/>
          </w:tcPr>
          <w:p w14:paraId="50986556" w14:textId="77777777" w:rsidR="00C9100B" w:rsidRPr="002C1853" w:rsidRDefault="00C9100B" w:rsidP="00E117FD">
            <w:pPr>
              <w:spacing w:before="40" w:after="40"/>
              <w:jc w:val="right"/>
              <w:rPr>
                <w:rFonts w:cs="Arial"/>
                <w:sz w:val="20"/>
              </w:rPr>
            </w:pPr>
            <w:r w:rsidRPr="002C1853">
              <w:rPr>
                <w:rFonts w:cs="Arial"/>
                <w:color w:val="000000" w:themeColor="text1"/>
                <w:sz w:val="20"/>
              </w:rPr>
              <w:t>$127.35m</w:t>
            </w:r>
          </w:p>
        </w:tc>
      </w:tr>
      <w:tr w:rsidR="00C9100B" w:rsidRPr="002C1853" w14:paraId="652F3E39" w14:textId="77777777" w:rsidTr="00E117FD">
        <w:trPr>
          <w:cnfStyle w:val="000000100000" w:firstRow="0" w:lastRow="0" w:firstColumn="0" w:lastColumn="0" w:oddVBand="0" w:evenVBand="0" w:oddHBand="1" w:evenHBand="0" w:firstRowFirstColumn="0" w:firstRowLastColumn="0" w:lastRowFirstColumn="0" w:lastRowLastColumn="0"/>
        </w:trPr>
        <w:tc>
          <w:tcPr>
            <w:tcW w:w="2499" w:type="pct"/>
            <w:tcBorders>
              <w:bottom w:val="single" w:sz="4" w:space="0" w:color="FFFFFF" w:themeColor="background1"/>
            </w:tcBorders>
            <w:hideMark/>
          </w:tcPr>
          <w:p w14:paraId="6D0012A8" w14:textId="77777777" w:rsidR="00C9100B" w:rsidRPr="002C1853" w:rsidRDefault="00C9100B" w:rsidP="00E117FD">
            <w:pPr>
              <w:keepNext/>
              <w:keepLines/>
              <w:spacing w:before="40" w:after="40"/>
              <w:rPr>
                <w:rFonts w:cs="Arial"/>
                <w:sz w:val="20"/>
              </w:rPr>
            </w:pPr>
            <w:r w:rsidRPr="002C1853">
              <w:rPr>
                <w:sz w:val="20"/>
              </w:rPr>
              <w:t>Community Mental Health</w:t>
            </w:r>
          </w:p>
        </w:tc>
        <w:tc>
          <w:tcPr>
            <w:tcW w:w="834" w:type="pct"/>
            <w:tcBorders>
              <w:bottom w:val="single" w:sz="4" w:space="0" w:color="FFFFFF" w:themeColor="background1"/>
            </w:tcBorders>
          </w:tcPr>
          <w:p w14:paraId="36D8B1D7" w14:textId="77777777" w:rsidR="00C9100B" w:rsidRPr="002C1853" w:rsidRDefault="00C9100B" w:rsidP="00E117FD">
            <w:pPr>
              <w:spacing w:before="40" w:after="40"/>
              <w:jc w:val="right"/>
              <w:rPr>
                <w:color w:val="000000" w:themeColor="text1"/>
                <w:sz w:val="20"/>
              </w:rPr>
            </w:pPr>
            <w:r w:rsidRPr="002C1853">
              <w:rPr>
                <w:rFonts w:cs="Arial"/>
                <w:color w:val="000000" w:themeColor="text1"/>
                <w:sz w:val="20"/>
              </w:rPr>
              <w:t>$52.57m</w:t>
            </w:r>
          </w:p>
        </w:tc>
        <w:tc>
          <w:tcPr>
            <w:tcW w:w="834" w:type="pct"/>
            <w:tcBorders>
              <w:bottom w:val="single" w:sz="4" w:space="0" w:color="FFFFFF" w:themeColor="background1"/>
            </w:tcBorders>
            <w:hideMark/>
          </w:tcPr>
          <w:p w14:paraId="322B5F65" w14:textId="77777777" w:rsidR="00C9100B" w:rsidRPr="002C1853" w:rsidRDefault="00C9100B" w:rsidP="00E117FD">
            <w:pPr>
              <w:spacing w:before="40" w:after="40"/>
              <w:jc w:val="right"/>
              <w:rPr>
                <w:color w:val="000000" w:themeColor="text1"/>
                <w:sz w:val="20"/>
              </w:rPr>
            </w:pPr>
            <w:r w:rsidRPr="002C1853">
              <w:rPr>
                <w:rFonts w:cs="Arial"/>
                <w:color w:val="000000" w:themeColor="text1"/>
                <w:sz w:val="20"/>
              </w:rPr>
              <w:t>$49.63m</w:t>
            </w:r>
          </w:p>
        </w:tc>
        <w:tc>
          <w:tcPr>
            <w:tcW w:w="832" w:type="pct"/>
            <w:tcBorders>
              <w:bottom w:val="single" w:sz="4" w:space="0" w:color="FFFFFF" w:themeColor="background1"/>
            </w:tcBorders>
            <w:hideMark/>
          </w:tcPr>
          <w:p w14:paraId="44F77ACF" w14:textId="77777777" w:rsidR="00C9100B" w:rsidRPr="002C1853" w:rsidRDefault="00C9100B" w:rsidP="00E117FD">
            <w:pPr>
              <w:spacing w:before="40" w:after="40"/>
              <w:jc w:val="right"/>
              <w:rPr>
                <w:sz w:val="20"/>
              </w:rPr>
            </w:pPr>
            <w:r w:rsidRPr="002C1853">
              <w:rPr>
                <w:color w:val="000000" w:themeColor="text1"/>
                <w:sz w:val="20"/>
              </w:rPr>
              <w:t>$47.36m</w:t>
            </w:r>
          </w:p>
        </w:tc>
      </w:tr>
      <w:tr w:rsidR="00C9100B" w:rsidRPr="002C1853" w14:paraId="37F53C7C" w14:textId="77777777" w:rsidTr="00E117FD">
        <w:trPr>
          <w:cnfStyle w:val="000000010000" w:firstRow="0" w:lastRow="0" w:firstColumn="0" w:lastColumn="0" w:oddVBand="0" w:evenVBand="0" w:oddHBand="0" w:evenHBand="1" w:firstRowFirstColumn="0" w:firstRowLastColumn="0" w:lastRowFirstColumn="0" w:lastRowLastColumn="0"/>
        </w:trPr>
        <w:tc>
          <w:tcPr>
            <w:tcW w:w="5000" w:type="pct"/>
            <w:gridSpan w:val="4"/>
            <w:tcBorders>
              <w:top w:val="single" w:sz="4" w:space="0" w:color="FFFFFF" w:themeColor="background1"/>
              <w:bottom w:val="single" w:sz="18" w:space="0" w:color="00B0B9"/>
            </w:tcBorders>
            <w:hideMark/>
          </w:tcPr>
          <w:p w14:paraId="6073078B" w14:textId="77777777" w:rsidR="00C9100B" w:rsidRPr="002C1853" w:rsidRDefault="00C9100B" w:rsidP="00E117FD">
            <w:pPr>
              <w:keepNext/>
              <w:keepLines/>
              <w:spacing w:before="40" w:after="40"/>
              <w:rPr>
                <w:rFonts w:eastAsia="Times New Roman" w:cs="Arial"/>
                <w:b/>
                <w:sz w:val="20"/>
              </w:rPr>
            </w:pPr>
            <w:r w:rsidRPr="002C1853">
              <w:rPr>
                <w:rFonts w:eastAsia="Times New Roman" w:cs="Arial"/>
                <w:b/>
                <w:sz w:val="20"/>
              </w:rPr>
              <w:t>National Disability Insurance Scheme</w:t>
            </w:r>
          </w:p>
        </w:tc>
      </w:tr>
      <w:tr w:rsidR="00C9100B" w:rsidRPr="002C1853" w14:paraId="70B82BB1" w14:textId="77777777" w:rsidTr="00E117FD">
        <w:trPr>
          <w:cnfStyle w:val="000000100000" w:firstRow="0" w:lastRow="0" w:firstColumn="0" w:lastColumn="0" w:oddVBand="0" w:evenVBand="0" w:oddHBand="1" w:evenHBand="0" w:firstRowFirstColumn="0" w:firstRowLastColumn="0" w:lastRowFirstColumn="0" w:lastRowLastColumn="0"/>
        </w:trPr>
        <w:tc>
          <w:tcPr>
            <w:tcW w:w="2499" w:type="pct"/>
            <w:tcBorders>
              <w:top w:val="single" w:sz="18" w:space="0" w:color="00B0B9"/>
            </w:tcBorders>
            <w:hideMark/>
          </w:tcPr>
          <w:p w14:paraId="561E247B" w14:textId="77777777" w:rsidR="00C9100B" w:rsidRPr="002C1853" w:rsidRDefault="00C9100B" w:rsidP="00E117FD">
            <w:pPr>
              <w:keepNext/>
              <w:keepLines/>
              <w:spacing w:before="40" w:after="40"/>
              <w:rPr>
                <w:rFonts w:cs="Arial"/>
                <w:sz w:val="20"/>
              </w:rPr>
            </w:pPr>
            <w:r w:rsidRPr="002C1853">
              <w:rPr>
                <w:sz w:val="20"/>
              </w:rPr>
              <w:t>National Disability Insurance Scheme Research and Evaluation</w:t>
            </w:r>
          </w:p>
        </w:tc>
        <w:tc>
          <w:tcPr>
            <w:tcW w:w="834" w:type="pct"/>
            <w:tcBorders>
              <w:top w:val="single" w:sz="18" w:space="0" w:color="00B0B9"/>
            </w:tcBorders>
          </w:tcPr>
          <w:p w14:paraId="5D6A6ECE" w14:textId="77777777" w:rsidR="00C9100B" w:rsidRPr="002C1853" w:rsidRDefault="00C9100B" w:rsidP="00E117FD">
            <w:pPr>
              <w:spacing w:before="40" w:after="40"/>
              <w:jc w:val="right"/>
              <w:rPr>
                <w:color w:val="000000" w:themeColor="text1"/>
                <w:sz w:val="20"/>
              </w:rPr>
            </w:pPr>
            <w:r w:rsidRPr="002C1853">
              <w:rPr>
                <w:rFonts w:cs="Arial"/>
                <w:color w:val="000000" w:themeColor="text1"/>
                <w:sz w:val="20"/>
              </w:rPr>
              <w:t>–</w:t>
            </w:r>
          </w:p>
        </w:tc>
        <w:tc>
          <w:tcPr>
            <w:tcW w:w="834" w:type="pct"/>
            <w:tcBorders>
              <w:top w:val="single" w:sz="18" w:space="0" w:color="00B0B9"/>
            </w:tcBorders>
            <w:hideMark/>
          </w:tcPr>
          <w:p w14:paraId="5729B2CC" w14:textId="77777777" w:rsidR="00C9100B" w:rsidRPr="002C1853" w:rsidRDefault="00C9100B" w:rsidP="00E117FD">
            <w:pPr>
              <w:spacing w:before="40" w:after="40"/>
              <w:jc w:val="right"/>
              <w:rPr>
                <w:color w:val="000000" w:themeColor="text1"/>
                <w:sz w:val="20"/>
              </w:rPr>
            </w:pPr>
            <w:r w:rsidRPr="002C1853">
              <w:rPr>
                <w:rFonts w:cs="Arial"/>
                <w:color w:val="000000" w:themeColor="text1"/>
                <w:sz w:val="20"/>
              </w:rPr>
              <w:t>–</w:t>
            </w:r>
          </w:p>
        </w:tc>
        <w:tc>
          <w:tcPr>
            <w:tcW w:w="832" w:type="pct"/>
            <w:tcBorders>
              <w:top w:val="single" w:sz="18" w:space="0" w:color="00B0B9"/>
            </w:tcBorders>
            <w:hideMark/>
          </w:tcPr>
          <w:p w14:paraId="75BD0D67" w14:textId="77777777" w:rsidR="00C9100B" w:rsidRPr="002C1853" w:rsidRDefault="00C9100B" w:rsidP="00E117FD">
            <w:pPr>
              <w:spacing w:before="40" w:after="40"/>
              <w:jc w:val="right"/>
              <w:rPr>
                <w:sz w:val="20"/>
              </w:rPr>
            </w:pPr>
            <w:r w:rsidRPr="002C1853">
              <w:rPr>
                <w:color w:val="000000" w:themeColor="text1"/>
                <w:sz w:val="20"/>
              </w:rPr>
              <w:t>$0.65m</w:t>
            </w:r>
          </w:p>
        </w:tc>
      </w:tr>
      <w:tr w:rsidR="00C9100B" w:rsidRPr="002C1853" w14:paraId="0C6D5B93" w14:textId="77777777" w:rsidTr="00E117FD">
        <w:trPr>
          <w:cnfStyle w:val="000000010000" w:firstRow="0" w:lastRow="0" w:firstColumn="0" w:lastColumn="0" w:oddVBand="0" w:evenVBand="0" w:oddHBand="0" w:evenHBand="1" w:firstRowFirstColumn="0" w:firstRowLastColumn="0" w:lastRowFirstColumn="0" w:lastRowLastColumn="0"/>
        </w:trPr>
        <w:tc>
          <w:tcPr>
            <w:tcW w:w="2499" w:type="pct"/>
            <w:hideMark/>
          </w:tcPr>
          <w:p w14:paraId="64710821" w14:textId="77777777" w:rsidR="00C9100B" w:rsidRPr="002C1853" w:rsidRDefault="00C9100B" w:rsidP="00E117FD">
            <w:pPr>
              <w:keepNext/>
              <w:keepLines/>
              <w:spacing w:before="40" w:after="40"/>
              <w:rPr>
                <w:rFonts w:cs="Arial"/>
                <w:sz w:val="20"/>
              </w:rPr>
            </w:pPr>
            <w:r w:rsidRPr="002C1853">
              <w:rPr>
                <w:rFonts w:cs="Arial"/>
                <w:sz w:val="20"/>
              </w:rPr>
              <w:t>National Disability Insurance Scheme Transition</w:t>
            </w:r>
          </w:p>
        </w:tc>
        <w:tc>
          <w:tcPr>
            <w:tcW w:w="834" w:type="pct"/>
          </w:tcPr>
          <w:p w14:paraId="5F51CA4E" w14:textId="77777777" w:rsidR="00C9100B" w:rsidRPr="002C1853" w:rsidRDefault="00C9100B" w:rsidP="00E117FD">
            <w:pPr>
              <w:spacing w:before="40" w:after="40"/>
              <w:jc w:val="right"/>
              <w:rPr>
                <w:rFonts w:cs="Arial"/>
                <w:color w:val="000000" w:themeColor="text1"/>
                <w:sz w:val="20"/>
              </w:rPr>
            </w:pPr>
            <w:r w:rsidRPr="002C1853">
              <w:rPr>
                <w:rFonts w:cs="Arial"/>
                <w:color w:val="000000" w:themeColor="text1"/>
                <w:sz w:val="20"/>
              </w:rPr>
              <w:t>$190.15m</w:t>
            </w:r>
          </w:p>
        </w:tc>
        <w:tc>
          <w:tcPr>
            <w:tcW w:w="834" w:type="pct"/>
            <w:hideMark/>
          </w:tcPr>
          <w:p w14:paraId="5FCAF6E3" w14:textId="77777777" w:rsidR="00C9100B" w:rsidRPr="002C1853" w:rsidRDefault="00C9100B" w:rsidP="00E117FD">
            <w:pPr>
              <w:spacing w:before="40" w:after="40"/>
              <w:jc w:val="right"/>
              <w:rPr>
                <w:rFonts w:cs="Arial"/>
                <w:color w:val="000000" w:themeColor="text1"/>
                <w:sz w:val="20"/>
              </w:rPr>
            </w:pPr>
            <w:r w:rsidRPr="002C1853">
              <w:rPr>
                <w:rFonts w:cs="Arial"/>
                <w:color w:val="000000" w:themeColor="text1"/>
                <w:sz w:val="20"/>
              </w:rPr>
              <w:t>$402.06m</w:t>
            </w:r>
          </w:p>
        </w:tc>
        <w:tc>
          <w:tcPr>
            <w:tcW w:w="832" w:type="pct"/>
            <w:hideMark/>
          </w:tcPr>
          <w:p w14:paraId="086E5988" w14:textId="77777777" w:rsidR="00C9100B" w:rsidRPr="002C1853" w:rsidRDefault="00C9100B" w:rsidP="00E117FD">
            <w:pPr>
              <w:spacing w:before="40" w:after="40"/>
              <w:jc w:val="right"/>
              <w:rPr>
                <w:rFonts w:cs="Arial"/>
                <w:sz w:val="20"/>
              </w:rPr>
            </w:pPr>
            <w:r w:rsidRPr="002C1853">
              <w:rPr>
                <w:rFonts w:cs="Arial"/>
                <w:color w:val="000000" w:themeColor="text1"/>
                <w:sz w:val="20"/>
              </w:rPr>
              <w:t>$511.71m</w:t>
            </w:r>
          </w:p>
        </w:tc>
      </w:tr>
      <w:tr w:rsidR="00C9100B" w:rsidRPr="002C1853" w14:paraId="0DB91F2F" w14:textId="77777777" w:rsidTr="00E117FD">
        <w:trPr>
          <w:cnfStyle w:val="000000100000" w:firstRow="0" w:lastRow="0" w:firstColumn="0" w:lastColumn="0" w:oddVBand="0" w:evenVBand="0" w:oddHBand="1" w:evenHBand="0" w:firstRowFirstColumn="0" w:firstRowLastColumn="0" w:lastRowFirstColumn="0" w:lastRowLastColumn="0"/>
        </w:trPr>
        <w:tc>
          <w:tcPr>
            <w:tcW w:w="2499" w:type="pct"/>
            <w:hideMark/>
          </w:tcPr>
          <w:p w14:paraId="5A5ECD79" w14:textId="77777777" w:rsidR="00C9100B" w:rsidRPr="002C1853" w:rsidRDefault="00C9100B" w:rsidP="00E117FD">
            <w:pPr>
              <w:keepNext/>
              <w:keepLines/>
              <w:spacing w:before="40" w:after="40"/>
              <w:rPr>
                <w:rFonts w:cs="Arial"/>
                <w:sz w:val="20"/>
              </w:rPr>
            </w:pPr>
            <w:r w:rsidRPr="002C1853">
              <w:rPr>
                <w:sz w:val="20"/>
              </w:rPr>
              <w:t>National Disability Insurance Scheme Participant Plans</w:t>
            </w:r>
          </w:p>
        </w:tc>
        <w:tc>
          <w:tcPr>
            <w:tcW w:w="834" w:type="pct"/>
          </w:tcPr>
          <w:p w14:paraId="01FD8835" w14:textId="77777777" w:rsidR="00C9100B" w:rsidRPr="002C1853" w:rsidRDefault="00C9100B" w:rsidP="00E117FD">
            <w:pPr>
              <w:spacing w:before="40" w:after="40"/>
              <w:jc w:val="right"/>
              <w:rPr>
                <w:color w:val="000000" w:themeColor="text1"/>
                <w:sz w:val="20"/>
              </w:rPr>
            </w:pPr>
            <w:r w:rsidRPr="002C1853">
              <w:rPr>
                <w:rFonts w:cs="Arial"/>
                <w:color w:val="000000" w:themeColor="text1"/>
                <w:sz w:val="20"/>
              </w:rPr>
              <w:t>$6,754.76m</w:t>
            </w:r>
          </w:p>
        </w:tc>
        <w:tc>
          <w:tcPr>
            <w:tcW w:w="834" w:type="pct"/>
            <w:hideMark/>
          </w:tcPr>
          <w:p w14:paraId="765F0648" w14:textId="77777777" w:rsidR="00C9100B" w:rsidRPr="002C1853" w:rsidRDefault="00C9100B" w:rsidP="00E117FD">
            <w:pPr>
              <w:spacing w:before="40" w:after="40"/>
              <w:jc w:val="right"/>
              <w:rPr>
                <w:color w:val="000000" w:themeColor="text1"/>
                <w:sz w:val="20"/>
              </w:rPr>
            </w:pPr>
            <w:r w:rsidRPr="002C1853">
              <w:rPr>
                <w:rFonts w:cs="Arial"/>
                <w:color w:val="000000" w:themeColor="text1"/>
                <w:sz w:val="20"/>
              </w:rPr>
              <w:t>$3,715.71m</w:t>
            </w:r>
          </w:p>
        </w:tc>
        <w:tc>
          <w:tcPr>
            <w:tcW w:w="832" w:type="pct"/>
            <w:hideMark/>
          </w:tcPr>
          <w:p w14:paraId="3680FEBB" w14:textId="77777777" w:rsidR="00C9100B" w:rsidRPr="002C1853" w:rsidRDefault="00C9100B" w:rsidP="00E117FD">
            <w:pPr>
              <w:spacing w:before="40" w:after="40"/>
              <w:jc w:val="right"/>
              <w:rPr>
                <w:color w:val="000000" w:themeColor="text1"/>
                <w:sz w:val="20"/>
              </w:rPr>
            </w:pPr>
            <w:r w:rsidRPr="002C1853">
              <w:rPr>
                <w:color w:val="000000" w:themeColor="text1"/>
                <w:sz w:val="20"/>
              </w:rPr>
              <w:t>$2,088.86m</w:t>
            </w:r>
          </w:p>
        </w:tc>
      </w:tr>
      <w:tr w:rsidR="00C9100B" w:rsidRPr="002C1853" w14:paraId="18EE558C" w14:textId="77777777" w:rsidTr="00E117FD">
        <w:trPr>
          <w:cnfStyle w:val="000000010000" w:firstRow="0" w:lastRow="0" w:firstColumn="0" w:lastColumn="0" w:oddVBand="0" w:evenVBand="0" w:oddHBand="0" w:evenHBand="1" w:firstRowFirstColumn="0" w:firstRowLastColumn="0" w:lastRowFirstColumn="0" w:lastRowLastColumn="0"/>
        </w:trPr>
        <w:tc>
          <w:tcPr>
            <w:tcW w:w="2499" w:type="pct"/>
            <w:hideMark/>
          </w:tcPr>
          <w:p w14:paraId="11EDF9FC" w14:textId="77777777" w:rsidR="00C9100B" w:rsidRPr="002C1853" w:rsidRDefault="00C9100B" w:rsidP="00E117FD">
            <w:pPr>
              <w:keepNext/>
              <w:keepLines/>
              <w:spacing w:before="40" w:after="40"/>
              <w:rPr>
                <w:rFonts w:cs="Arial"/>
                <w:sz w:val="20"/>
              </w:rPr>
            </w:pPr>
            <w:r w:rsidRPr="002C1853">
              <w:rPr>
                <w:rFonts w:cs="Arial"/>
                <w:sz w:val="20"/>
              </w:rPr>
              <w:t>National Disability Insurance Scheme Information, Linkages and Capacity Building</w:t>
            </w:r>
          </w:p>
        </w:tc>
        <w:tc>
          <w:tcPr>
            <w:tcW w:w="834" w:type="pct"/>
          </w:tcPr>
          <w:p w14:paraId="719BFCF4" w14:textId="77777777" w:rsidR="00C9100B" w:rsidRPr="002C1853" w:rsidRDefault="00C9100B" w:rsidP="00E117FD">
            <w:pPr>
              <w:spacing w:before="40" w:after="40"/>
              <w:jc w:val="right"/>
              <w:rPr>
                <w:rFonts w:cs="Arial"/>
                <w:color w:val="000000" w:themeColor="text1"/>
                <w:sz w:val="20"/>
              </w:rPr>
            </w:pPr>
            <w:r w:rsidRPr="002C1853">
              <w:rPr>
                <w:rFonts w:cs="Arial"/>
                <w:color w:val="000000" w:themeColor="text1"/>
                <w:sz w:val="20"/>
              </w:rPr>
              <w:t>$134.51m</w:t>
            </w:r>
          </w:p>
        </w:tc>
        <w:tc>
          <w:tcPr>
            <w:tcW w:w="834" w:type="pct"/>
            <w:hideMark/>
          </w:tcPr>
          <w:p w14:paraId="084416A1" w14:textId="77777777" w:rsidR="00C9100B" w:rsidRPr="002C1853" w:rsidRDefault="00C9100B" w:rsidP="00E117FD">
            <w:pPr>
              <w:spacing w:before="40" w:after="40"/>
              <w:jc w:val="right"/>
              <w:rPr>
                <w:rFonts w:cs="Arial"/>
                <w:color w:val="000000" w:themeColor="text1"/>
                <w:sz w:val="20"/>
              </w:rPr>
            </w:pPr>
            <w:r w:rsidRPr="002C1853">
              <w:rPr>
                <w:rFonts w:cs="Arial"/>
                <w:color w:val="000000" w:themeColor="text1"/>
                <w:sz w:val="20"/>
              </w:rPr>
              <w:t>$111.38m</w:t>
            </w:r>
          </w:p>
        </w:tc>
        <w:tc>
          <w:tcPr>
            <w:tcW w:w="832" w:type="pct"/>
          </w:tcPr>
          <w:p w14:paraId="3724C6E0" w14:textId="77777777" w:rsidR="00C9100B" w:rsidRPr="002C1853" w:rsidRDefault="00C9100B" w:rsidP="00E117FD">
            <w:pPr>
              <w:spacing w:before="40" w:after="40"/>
              <w:jc w:val="right"/>
              <w:rPr>
                <w:rFonts w:cs="Arial"/>
                <w:color w:val="000000" w:themeColor="text1"/>
                <w:sz w:val="20"/>
              </w:rPr>
            </w:pPr>
            <w:r w:rsidRPr="002C1853">
              <w:rPr>
                <w:rFonts w:cs="Arial"/>
                <w:color w:val="000000" w:themeColor="text1"/>
                <w:sz w:val="20"/>
              </w:rPr>
              <w:t>$70.99m</w:t>
            </w:r>
          </w:p>
        </w:tc>
      </w:tr>
      <w:tr w:rsidR="00C9100B" w:rsidRPr="002C1853" w14:paraId="3A582283" w14:textId="77777777" w:rsidTr="00E117FD">
        <w:trPr>
          <w:cnfStyle w:val="000000100000" w:firstRow="0" w:lastRow="0" w:firstColumn="0" w:lastColumn="0" w:oddVBand="0" w:evenVBand="0" w:oddHBand="1" w:evenHBand="0" w:firstRowFirstColumn="0" w:firstRowLastColumn="0" w:lastRowFirstColumn="0" w:lastRowLastColumn="0"/>
        </w:trPr>
        <w:tc>
          <w:tcPr>
            <w:tcW w:w="2499" w:type="pct"/>
            <w:hideMark/>
          </w:tcPr>
          <w:p w14:paraId="0A548AFE" w14:textId="5674CAF0" w:rsidR="00C9100B" w:rsidRPr="002C1853" w:rsidRDefault="00C9100B" w:rsidP="00E117FD">
            <w:pPr>
              <w:keepNext/>
              <w:keepLines/>
              <w:spacing w:before="40" w:after="40"/>
              <w:rPr>
                <w:rFonts w:cs="Arial"/>
                <w:sz w:val="20"/>
              </w:rPr>
            </w:pPr>
            <w:r w:rsidRPr="002C1853">
              <w:rPr>
                <w:sz w:val="20"/>
              </w:rPr>
              <w:t>Establishment of the NDIS Quality and Safeguards Commission</w:t>
            </w:r>
          </w:p>
        </w:tc>
        <w:tc>
          <w:tcPr>
            <w:tcW w:w="834" w:type="pct"/>
          </w:tcPr>
          <w:p w14:paraId="6864EF6A" w14:textId="77777777" w:rsidR="00C9100B" w:rsidRPr="002C1853" w:rsidRDefault="00C9100B" w:rsidP="00E117FD">
            <w:pPr>
              <w:spacing w:before="40" w:after="40"/>
              <w:jc w:val="right"/>
              <w:rPr>
                <w:color w:val="000000" w:themeColor="text1"/>
                <w:sz w:val="20"/>
              </w:rPr>
            </w:pPr>
            <w:r w:rsidRPr="002C1853">
              <w:rPr>
                <w:rFonts w:cs="Arial"/>
                <w:color w:val="000000" w:themeColor="text1"/>
                <w:sz w:val="20"/>
              </w:rPr>
              <w:t>–</w:t>
            </w:r>
          </w:p>
        </w:tc>
        <w:tc>
          <w:tcPr>
            <w:tcW w:w="834" w:type="pct"/>
            <w:hideMark/>
          </w:tcPr>
          <w:p w14:paraId="034197BE" w14:textId="77777777" w:rsidR="00C9100B" w:rsidRPr="002C1853" w:rsidRDefault="00C9100B" w:rsidP="00E117FD">
            <w:pPr>
              <w:spacing w:before="40" w:after="40"/>
              <w:jc w:val="right"/>
              <w:rPr>
                <w:color w:val="000000" w:themeColor="text1"/>
                <w:sz w:val="20"/>
              </w:rPr>
            </w:pPr>
            <w:r w:rsidRPr="002C1853">
              <w:rPr>
                <w:rFonts w:cs="Arial"/>
                <w:color w:val="000000" w:themeColor="text1"/>
                <w:sz w:val="20"/>
              </w:rPr>
              <w:t>$0.18m</w:t>
            </w:r>
          </w:p>
        </w:tc>
        <w:tc>
          <w:tcPr>
            <w:tcW w:w="832" w:type="pct"/>
          </w:tcPr>
          <w:p w14:paraId="06670C86" w14:textId="77777777" w:rsidR="00C9100B" w:rsidRPr="002C1853" w:rsidRDefault="00C9100B" w:rsidP="00E117FD">
            <w:pPr>
              <w:spacing w:before="40" w:after="40"/>
              <w:jc w:val="right"/>
              <w:rPr>
                <w:color w:val="000000" w:themeColor="text1"/>
                <w:sz w:val="20"/>
              </w:rPr>
            </w:pPr>
            <w:r w:rsidRPr="002C1853">
              <w:rPr>
                <w:color w:val="000000" w:themeColor="text1"/>
                <w:sz w:val="20"/>
              </w:rPr>
              <w:t>$0.82m</w:t>
            </w:r>
          </w:p>
        </w:tc>
      </w:tr>
      <w:tr w:rsidR="00C9100B" w:rsidRPr="002C1853" w14:paraId="3EBAB275" w14:textId="77777777" w:rsidTr="00E117FD">
        <w:trPr>
          <w:cnfStyle w:val="000000010000" w:firstRow="0" w:lastRow="0" w:firstColumn="0" w:lastColumn="0" w:oddVBand="0" w:evenVBand="0" w:oddHBand="0" w:evenHBand="1" w:firstRowFirstColumn="0" w:firstRowLastColumn="0" w:lastRowFirstColumn="0" w:lastRowLastColumn="0"/>
        </w:trPr>
        <w:tc>
          <w:tcPr>
            <w:tcW w:w="2499" w:type="pct"/>
            <w:hideMark/>
          </w:tcPr>
          <w:p w14:paraId="6230BE0A" w14:textId="77777777" w:rsidR="00C9100B" w:rsidRPr="002C1853" w:rsidRDefault="00C9100B" w:rsidP="00E117FD">
            <w:pPr>
              <w:keepNext/>
              <w:keepLines/>
              <w:spacing w:before="40" w:after="40"/>
              <w:rPr>
                <w:rFonts w:cs="Arial"/>
                <w:sz w:val="20"/>
              </w:rPr>
            </w:pPr>
            <w:r w:rsidRPr="002C1853">
              <w:rPr>
                <w:rFonts w:cs="Arial"/>
                <w:sz w:val="20"/>
              </w:rPr>
              <w:t>Boosting the Local Care Workforce</w:t>
            </w:r>
          </w:p>
        </w:tc>
        <w:tc>
          <w:tcPr>
            <w:tcW w:w="834" w:type="pct"/>
          </w:tcPr>
          <w:p w14:paraId="02F77AF9" w14:textId="77777777" w:rsidR="00C9100B" w:rsidRPr="002C1853" w:rsidRDefault="00C9100B" w:rsidP="00E117FD">
            <w:pPr>
              <w:spacing w:before="40" w:after="40"/>
              <w:jc w:val="right"/>
              <w:rPr>
                <w:rFonts w:cs="Arial"/>
                <w:color w:val="000000" w:themeColor="text1"/>
                <w:sz w:val="20"/>
              </w:rPr>
            </w:pPr>
            <w:r w:rsidRPr="002C1853">
              <w:rPr>
                <w:rFonts w:cs="Arial"/>
                <w:color w:val="000000" w:themeColor="text1"/>
                <w:sz w:val="20"/>
              </w:rPr>
              <w:t>–</w:t>
            </w:r>
          </w:p>
        </w:tc>
        <w:tc>
          <w:tcPr>
            <w:tcW w:w="834" w:type="pct"/>
            <w:hideMark/>
          </w:tcPr>
          <w:p w14:paraId="6B35672A" w14:textId="77777777" w:rsidR="00C9100B" w:rsidRPr="002C1853" w:rsidRDefault="00C9100B" w:rsidP="00E117FD">
            <w:pPr>
              <w:spacing w:before="40" w:after="40"/>
              <w:jc w:val="right"/>
              <w:rPr>
                <w:rFonts w:cs="Arial"/>
                <w:color w:val="000000" w:themeColor="text1"/>
                <w:sz w:val="20"/>
              </w:rPr>
            </w:pPr>
            <w:r w:rsidRPr="002C1853">
              <w:rPr>
                <w:rFonts w:cs="Arial"/>
                <w:sz w:val="20"/>
              </w:rPr>
              <w:t>$15.84m</w:t>
            </w:r>
          </w:p>
        </w:tc>
        <w:tc>
          <w:tcPr>
            <w:tcW w:w="832" w:type="pct"/>
          </w:tcPr>
          <w:p w14:paraId="7AC3A5C0" w14:textId="77777777" w:rsidR="00C9100B" w:rsidRPr="002C1853" w:rsidRDefault="00C9100B" w:rsidP="00E117FD">
            <w:pPr>
              <w:spacing w:before="40" w:after="40"/>
              <w:jc w:val="right"/>
              <w:rPr>
                <w:rFonts w:cs="Arial"/>
                <w:color w:val="000000" w:themeColor="text1"/>
                <w:sz w:val="20"/>
              </w:rPr>
            </w:pPr>
            <w:r w:rsidRPr="002C1853">
              <w:rPr>
                <w:rFonts w:cs="Arial"/>
                <w:color w:val="000000" w:themeColor="text1"/>
                <w:sz w:val="20"/>
              </w:rPr>
              <w:t>$10.56m</w:t>
            </w:r>
          </w:p>
        </w:tc>
      </w:tr>
      <w:tr w:rsidR="00C9100B" w:rsidRPr="002C1853" w14:paraId="6B13ADE0" w14:textId="77777777" w:rsidTr="00E117FD">
        <w:trPr>
          <w:cnfStyle w:val="000000100000" w:firstRow="0" w:lastRow="0" w:firstColumn="0" w:lastColumn="0" w:oddVBand="0" w:evenVBand="0" w:oddHBand="1" w:evenHBand="0" w:firstRowFirstColumn="0" w:firstRowLastColumn="0" w:lastRowFirstColumn="0" w:lastRowLastColumn="0"/>
        </w:trPr>
        <w:tc>
          <w:tcPr>
            <w:tcW w:w="2499" w:type="pct"/>
            <w:hideMark/>
          </w:tcPr>
          <w:p w14:paraId="1B5D0826" w14:textId="77777777" w:rsidR="00C9100B" w:rsidRPr="002C1853" w:rsidRDefault="00C9100B" w:rsidP="00E117FD">
            <w:pPr>
              <w:keepNext/>
              <w:keepLines/>
              <w:spacing w:before="40" w:after="40"/>
              <w:rPr>
                <w:rFonts w:cs="Arial"/>
                <w:sz w:val="20"/>
              </w:rPr>
            </w:pPr>
            <w:r w:rsidRPr="002C1853">
              <w:rPr>
                <w:sz w:val="20"/>
              </w:rPr>
              <w:t>Payments to Corporate Entity—NDIA agency costs</w:t>
            </w:r>
          </w:p>
        </w:tc>
        <w:tc>
          <w:tcPr>
            <w:tcW w:w="834" w:type="pct"/>
          </w:tcPr>
          <w:p w14:paraId="5B0E64E2" w14:textId="77777777" w:rsidR="00C9100B" w:rsidRPr="002C1853" w:rsidRDefault="00C9100B" w:rsidP="00E117FD">
            <w:pPr>
              <w:spacing w:before="40" w:after="40"/>
              <w:jc w:val="right"/>
              <w:rPr>
                <w:color w:val="000000" w:themeColor="text1"/>
                <w:sz w:val="20"/>
              </w:rPr>
            </w:pPr>
            <w:r w:rsidRPr="002C1853">
              <w:rPr>
                <w:color w:val="000000" w:themeColor="text1"/>
                <w:sz w:val="20"/>
              </w:rPr>
              <w:t>$1,413.26m</w:t>
            </w:r>
          </w:p>
        </w:tc>
        <w:tc>
          <w:tcPr>
            <w:tcW w:w="834" w:type="pct"/>
          </w:tcPr>
          <w:p w14:paraId="52410C17" w14:textId="77777777" w:rsidR="00C9100B" w:rsidRPr="002C1853" w:rsidRDefault="00C9100B" w:rsidP="00E117FD">
            <w:pPr>
              <w:spacing w:before="40" w:after="40"/>
              <w:jc w:val="right"/>
              <w:rPr>
                <w:color w:val="000000" w:themeColor="text1"/>
                <w:sz w:val="20"/>
              </w:rPr>
            </w:pPr>
            <w:r w:rsidRPr="002C1853">
              <w:rPr>
                <w:color w:val="000000" w:themeColor="text1"/>
                <w:sz w:val="20"/>
              </w:rPr>
              <w:t>$1,477.67m</w:t>
            </w:r>
          </w:p>
        </w:tc>
        <w:tc>
          <w:tcPr>
            <w:tcW w:w="832" w:type="pct"/>
          </w:tcPr>
          <w:p w14:paraId="2479ADF7" w14:textId="77777777" w:rsidR="00C9100B" w:rsidRPr="002C1853" w:rsidRDefault="00C9100B" w:rsidP="00E117FD">
            <w:pPr>
              <w:spacing w:before="40" w:after="40"/>
              <w:jc w:val="right"/>
              <w:rPr>
                <w:color w:val="000000" w:themeColor="text1"/>
                <w:sz w:val="20"/>
              </w:rPr>
            </w:pPr>
            <w:r w:rsidRPr="002C1853">
              <w:rPr>
                <w:color w:val="000000" w:themeColor="text1"/>
                <w:sz w:val="20"/>
              </w:rPr>
              <w:t>$1,050.98m</w:t>
            </w:r>
          </w:p>
        </w:tc>
      </w:tr>
    </w:tbl>
    <w:p w14:paraId="6D025FB6" w14:textId="77777777" w:rsidR="00C9100B" w:rsidRPr="0042003D" w:rsidRDefault="00C9100B" w:rsidP="00C9100B">
      <w:pPr>
        <w:spacing w:before="160" w:after="60" w:line="240" w:lineRule="auto"/>
        <w:ind w:left="284" w:hanging="284"/>
        <w:contextualSpacing/>
        <w:rPr>
          <w:sz w:val="16"/>
        </w:rPr>
      </w:pPr>
      <w:proofErr w:type="spellStart"/>
      <w:r w:rsidRPr="002C1853">
        <w:rPr>
          <w:rFonts w:cs="Arial"/>
          <w:sz w:val="16"/>
          <w:szCs w:val="16"/>
        </w:rPr>
        <w:t>a</w:t>
      </w:r>
      <w:proofErr w:type="spellEnd"/>
      <w:r w:rsidRPr="002C1853">
        <w:rPr>
          <w:rFonts w:cs="Arial"/>
          <w:sz w:val="16"/>
          <w:szCs w:val="16"/>
        </w:rPr>
        <w:tab/>
      </w:r>
      <w:r w:rsidRPr="0042003D">
        <w:rPr>
          <w:sz w:val="16"/>
        </w:rPr>
        <w:t xml:space="preserve">Includes Disability Employment Services, ongoing support assessments and </w:t>
      </w:r>
      <w:proofErr w:type="spellStart"/>
      <w:r w:rsidRPr="0042003D">
        <w:rPr>
          <w:sz w:val="16"/>
        </w:rPr>
        <w:t>JobAccess</w:t>
      </w:r>
      <w:proofErr w:type="spellEnd"/>
      <w:r w:rsidRPr="0042003D">
        <w:rPr>
          <w:sz w:val="16"/>
        </w:rPr>
        <w:t>.</w:t>
      </w:r>
    </w:p>
    <w:p w14:paraId="0F1EB458" w14:textId="77777777" w:rsidR="00C9100B" w:rsidRPr="0042003D" w:rsidRDefault="00C9100B" w:rsidP="00C9100B">
      <w:pPr>
        <w:spacing w:before="160" w:after="60" w:line="240" w:lineRule="auto"/>
        <w:ind w:left="284" w:hanging="284"/>
        <w:contextualSpacing/>
        <w:rPr>
          <w:sz w:val="16"/>
        </w:rPr>
      </w:pPr>
      <w:r w:rsidRPr="0042003D">
        <w:rPr>
          <w:sz w:val="16"/>
        </w:rPr>
        <w:t>b</w:t>
      </w:r>
      <w:r w:rsidRPr="0042003D">
        <w:rPr>
          <w:sz w:val="16"/>
        </w:rPr>
        <w:tab/>
        <w:t>Includes Employment Assistance Fund, Supported Wage System, Wage Subsidy Scheme and National Disability Recruitment Coordinator.</w:t>
      </w:r>
    </w:p>
    <w:p w14:paraId="27F944C0" w14:textId="77777777" w:rsidR="00C9100B" w:rsidRPr="002C1853" w:rsidRDefault="00C9100B" w:rsidP="00C9100B"/>
    <w:p w14:paraId="630CB6AE" w14:textId="77777777" w:rsidR="006E51B9" w:rsidRDefault="006E51B9" w:rsidP="00C9100B">
      <w:pPr>
        <w:rPr>
          <w:rFonts w:eastAsiaTheme="majorEastAsia" w:cstheme="majorBidi"/>
          <w:b/>
          <w:color w:val="595959" w:themeColor="text1" w:themeTint="A6"/>
          <w:sz w:val="24"/>
          <w:szCs w:val="20"/>
        </w:rPr>
        <w:sectPr w:rsidR="006E51B9" w:rsidSect="00A94724">
          <w:footnotePr>
            <w:numRestart w:val="eachPage"/>
          </w:footnotePr>
          <w:pgSz w:w="11906" w:h="16838"/>
          <w:pgMar w:top="1440" w:right="1440" w:bottom="1440" w:left="1440" w:header="709" w:footer="709" w:gutter="0"/>
          <w:cols w:space="708"/>
          <w:docGrid w:linePitch="360"/>
        </w:sectPr>
      </w:pPr>
    </w:p>
    <w:p w14:paraId="5A8C5B45" w14:textId="77777777" w:rsidR="00A9105E" w:rsidRPr="006447FF" w:rsidRDefault="00A9105E" w:rsidP="00A9105E">
      <w:pPr>
        <w:spacing w:before="200"/>
        <w:outlineLvl w:val="4"/>
        <w:rPr>
          <w:rFonts w:eastAsia="Times New Roman" w:cstheme="majorBidi"/>
          <w:bCs/>
          <w:sz w:val="28"/>
          <w:lang w:eastAsia="en-AU"/>
        </w:rPr>
      </w:pPr>
      <w:r w:rsidRPr="006447FF">
        <w:rPr>
          <w:rFonts w:eastAsia="Times New Roman" w:cstheme="majorBidi"/>
          <w:bCs/>
          <w:sz w:val="28"/>
          <w:lang w:eastAsia="en-AU"/>
        </w:rPr>
        <w:lastRenderedPageBreak/>
        <w:t>Chapter 2.4</w:t>
      </w:r>
    </w:p>
    <w:p w14:paraId="55963AA9" w14:textId="77777777" w:rsidR="00A9105E" w:rsidRPr="0022148C" w:rsidRDefault="00A9105E" w:rsidP="00A9105E">
      <w:pPr>
        <w:spacing w:after="0" w:line="280" w:lineRule="atLeast"/>
        <w:outlineLvl w:val="1"/>
        <w:rPr>
          <w:rFonts w:ascii="Georgia" w:eastAsiaTheme="majorEastAsia" w:hAnsi="Georgia" w:cstheme="majorBidi"/>
          <w:bCs/>
          <w:color w:val="005A70"/>
          <w:sz w:val="52"/>
          <w:szCs w:val="26"/>
        </w:rPr>
      </w:pPr>
      <w:r w:rsidRPr="0022148C">
        <w:rPr>
          <w:rFonts w:ascii="Georgia" w:eastAsiaTheme="majorEastAsia" w:hAnsi="Georgia" w:cstheme="majorBidi"/>
          <w:bCs/>
          <w:color w:val="005A70"/>
          <w:sz w:val="52"/>
          <w:szCs w:val="26"/>
        </w:rPr>
        <w:t>Purpose 4 — Housing</w:t>
      </w:r>
    </w:p>
    <w:p w14:paraId="7F554201" w14:textId="77777777" w:rsidR="00A9105E" w:rsidRDefault="00A9105E" w:rsidP="00A9105E">
      <w:pPr>
        <w:rPr>
          <w:rFonts w:cs="Arial"/>
          <w:sz w:val="20"/>
          <w:szCs w:val="20"/>
        </w:rPr>
      </w:pPr>
      <w:r w:rsidRPr="0022148C">
        <w:rPr>
          <w:rFonts w:cs="Arial"/>
          <w:sz w:val="20"/>
          <w:szCs w:val="20"/>
        </w:rPr>
        <w:t>Increased housing supply, improved community housing, and assisting individuals experiencing homelessness through targeted support and services.</w:t>
      </w:r>
    </w:p>
    <w:p w14:paraId="04D20DB0" w14:textId="77777777" w:rsidR="00A9105E" w:rsidRPr="00054A67" w:rsidRDefault="00A9105E" w:rsidP="00A9105E">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t>Summary and analysis of Outcome 4 performance</w:t>
      </w:r>
    </w:p>
    <w:p w14:paraId="0963CD04" w14:textId="18F5D457" w:rsidR="00A9105E" w:rsidRDefault="00A9105E" w:rsidP="00A9105E">
      <w:pPr>
        <w:rPr>
          <w:sz w:val="20"/>
          <w:szCs w:val="20"/>
        </w:rPr>
      </w:pPr>
      <w:r w:rsidRPr="00872387">
        <w:rPr>
          <w:sz w:val="20"/>
          <w:szCs w:val="20"/>
        </w:rPr>
        <w:t>The policy tools to support the availability of affordable and stable housing for low and</w:t>
      </w:r>
      <w:r w:rsidR="00F111F2">
        <w:rPr>
          <w:sz w:val="20"/>
          <w:szCs w:val="20"/>
        </w:rPr>
        <w:br/>
      </w:r>
      <w:r w:rsidRPr="00872387">
        <w:rPr>
          <w:sz w:val="20"/>
          <w:szCs w:val="20"/>
        </w:rPr>
        <w:t>moderate</w:t>
      </w:r>
      <w:r>
        <w:rPr>
          <w:sz w:val="20"/>
          <w:szCs w:val="20"/>
        </w:rPr>
        <w:t>-</w:t>
      </w:r>
      <w:r w:rsidRPr="00872387">
        <w:rPr>
          <w:sz w:val="20"/>
          <w:szCs w:val="20"/>
        </w:rPr>
        <w:t xml:space="preserve">income households are shared between </w:t>
      </w:r>
      <w:r>
        <w:rPr>
          <w:sz w:val="20"/>
          <w:szCs w:val="20"/>
        </w:rPr>
        <w:t xml:space="preserve">the </w:t>
      </w:r>
      <w:r w:rsidRPr="00872387">
        <w:rPr>
          <w:sz w:val="20"/>
          <w:szCs w:val="20"/>
        </w:rPr>
        <w:t xml:space="preserve">Australian Government and state and territory jurisdictions. These tools include: finance, regulation and tax settings, and planning and zoning policy. More broadly, factors such as housing market performance and labour market conditions are important influences on housing opportunities and outcomes. </w:t>
      </w:r>
      <w:r>
        <w:rPr>
          <w:sz w:val="20"/>
          <w:szCs w:val="20"/>
        </w:rPr>
        <w:t xml:space="preserve">We </w:t>
      </w:r>
      <w:r w:rsidRPr="00872387">
        <w:rPr>
          <w:sz w:val="20"/>
          <w:szCs w:val="20"/>
        </w:rPr>
        <w:t>work with the Australian Government Treasury and state and territory housing departments, including through the National Housing and Homelessness Agreement</w:t>
      </w:r>
      <w:r>
        <w:rPr>
          <w:sz w:val="20"/>
          <w:szCs w:val="20"/>
        </w:rPr>
        <w:t xml:space="preserve"> (NHHA)</w:t>
      </w:r>
      <w:r w:rsidR="00AC3C8B">
        <w:rPr>
          <w:sz w:val="20"/>
          <w:szCs w:val="20"/>
        </w:rPr>
        <w:t>,</w:t>
      </w:r>
      <w:r w:rsidRPr="00872387">
        <w:rPr>
          <w:sz w:val="20"/>
          <w:szCs w:val="20"/>
        </w:rPr>
        <w:t xml:space="preserve"> to improve housing and homelessness outcomes.</w:t>
      </w:r>
    </w:p>
    <w:p w14:paraId="54BCCF25" w14:textId="77777777" w:rsidR="00A9105E" w:rsidRPr="009D1F02" w:rsidRDefault="00A9105E" w:rsidP="00A9105E">
      <w:pPr>
        <w:rPr>
          <w:i/>
          <w:iCs/>
          <w:sz w:val="20"/>
        </w:rPr>
      </w:pPr>
      <w:r>
        <w:rPr>
          <w:sz w:val="20"/>
        </w:rPr>
        <w:t xml:space="preserve">We </w:t>
      </w:r>
      <w:r w:rsidRPr="00872387">
        <w:rPr>
          <w:sz w:val="20"/>
        </w:rPr>
        <w:t xml:space="preserve">fund the development of targeted housing developments, such as the 100 new affordable and social homes in Greater Hobart and Safe Places program under the Fourth Action Plan of the </w:t>
      </w:r>
      <w:r w:rsidRPr="009D1F02">
        <w:rPr>
          <w:i/>
          <w:iCs/>
          <w:sz w:val="20"/>
        </w:rPr>
        <w:t>National Plan to Reduce Violence against Women and their Children 2010–2022.</w:t>
      </w:r>
    </w:p>
    <w:tbl>
      <w:tblPr>
        <w:tblStyle w:val="HHorizontaltable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6"/>
        <w:tblCellMar>
          <w:top w:w="227" w:type="dxa"/>
          <w:left w:w="340" w:type="dxa"/>
          <w:bottom w:w="227" w:type="dxa"/>
          <w:right w:w="340" w:type="dxa"/>
        </w:tblCellMar>
        <w:tblLook w:val="04A0" w:firstRow="1" w:lastRow="0" w:firstColumn="1" w:lastColumn="0" w:noHBand="0" w:noVBand="1"/>
        <w:tblCaption w:val="Purpose 4 - Housing Key Results"/>
        <w:tblDescription w:val="Purpose 4 - Housing Key Results"/>
      </w:tblPr>
      <w:tblGrid>
        <w:gridCol w:w="9026"/>
      </w:tblGrid>
      <w:tr w:rsidR="00A9105E" w:rsidRPr="006447FF" w14:paraId="446AE221" w14:textId="77777777" w:rsidTr="00E117FD">
        <w:trPr>
          <w:trHeight w:val="3636"/>
          <w:tblHeader/>
        </w:trPr>
        <w:tc>
          <w:tcPr>
            <w:tcW w:w="5000" w:type="pct"/>
            <w:shd w:val="clear" w:color="auto" w:fill="D9D9D6"/>
            <w:hideMark/>
          </w:tcPr>
          <w:p w14:paraId="6A639D39" w14:textId="77777777" w:rsidR="00A9105E" w:rsidRPr="007F2601" w:rsidRDefault="00A9105E" w:rsidP="00E117FD">
            <w:pPr>
              <w:shd w:val="clear" w:color="auto" w:fill="00B0B9"/>
              <w:spacing w:before="120" w:after="120"/>
              <w:ind w:right="-576"/>
              <w:outlineLvl w:val="6"/>
              <w:rPr>
                <w:rFonts w:eastAsiaTheme="majorEastAsia" w:cstheme="majorBidi"/>
                <w:b/>
                <w:iCs/>
                <w:sz w:val="26"/>
              </w:rPr>
            </w:pPr>
            <w:r w:rsidRPr="007F2601">
              <w:rPr>
                <w:rFonts w:eastAsiaTheme="majorEastAsia" w:cstheme="majorBidi"/>
                <w:b/>
                <w:iCs/>
                <w:sz w:val="24"/>
              </w:rPr>
              <w:lastRenderedPageBreak/>
              <w:t>Key results</w:t>
            </w:r>
          </w:p>
          <w:p w14:paraId="0A938B4C" w14:textId="77777777" w:rsidR="00A9105E" w:rsidRPr="00F00E13" w:rsidRDefault="00A9105E" w:rsidP="00E117FD">
            <w:pPr>
              <w:spacing w:after="120"/>
              <w:rPr>
                <w:sz w:val="20"/>
                <w:szCs w:val="20"/>
              </w:rPr>
            </w:pPr>
            <w:r w:rsidRPr="00245233">
              <w:rPr>
                <w:sz w:val="20"/>
                <w:szCs w:val="20"/>
              </w:rPr>
              <w:t xml:space="preserve">In the past year, some of our contributions to improving outcomes for </w:t>
            </w:r>
            <w:r>
              <w:rPr>
                <w:sz w:val="20"/>
                <w:szCs w:val="20"/>
              </w:rPr>
              <w:t>i</w:t>
            </w:r>
            <w:r w:rsidRPr="00F00E13">
              <w:rPr>
                <w:sz w:val="20"/>
                <w:szCs w:val="20"/>
              </w:rPr>
              <w:t>ncreasing housing supply, improving community housing and assisting individuals experiencing homelessness include:</w:t>
            </w:r>
          </w:p>
          <w:p w14:paraId="59539230" w14:textId="00BE8CA7" w:rsidR="00A9105E" w:rsidRPr="00F00E13" w:rsidRDefault="00A9105E" w:rsidP="003A047F">
            <w:pPr>
              <w:numPr>
                <w:ilvl w:val="0"/>
                <w:numId w:val="101"/>
              </w:numPr>
              <w:spacing w:before="60" w:after="120" w:line="260" w:lineRule="atLeast"/>
              <w:rPr>
                <w:rFonts w:cs="Times New Roman"/>
                <w:spacing w:val="4"/>
                <w:sz w:val="20"/>
                <w:szCs w:val="20"/>
              </w:rPr>
            </w:pPr>
            <w:r w:rsidRPr="00F00E13">
              <w:rPr>
                <w:rFonts w:cs="Times New Roman"/>
                <w:spacing w:val="4"/>
                <w:sz w:val="20"/>
                <w:szCs w:val="20"/>
              </w:rPr>
              <w:t>delivered over $4.6 billion in Commonwealth Rent Assistance payments to help more than 1.3 million</w:t>
            </w:r>
            <w:r>
              <w:rPr>
                <w:rFonts w:cs="Times New Roman"/>
                <w:spacing w:val="4"/>
                <w:sz w:val="20"/>
                <w:szCs w:val="20"/>
              </w:rPr>
              <w:t xml:space="preserve"> </w:t>
            </w:r>
            <w:r w:rsidRPr="00F00E13">
              <w:rPr>
                <w:rFonts w:cs="Times New Roman"/>
                <w:spacing w:val="4"/>
                <w:sz w:val="20"/>
                <w:szCs w:val="20"/>
              </w:rPr>
              <w:t>individuals and families renting in the private rental market or living in community housing</w:t>
            </w:r>
            <w:r w:rsidR="00096099">
              <w:rPr>
                <w:rFonts w:cs="Times New Roman"/>
                <w:spacing w:val="4"/>
                <w:sz w:val="20"/>
                <w:szCs w:val="20"/>
              </w:rPr>
              <w:t>. Outcome 1 (Table 2.1.12) reports on the impact of Commonwealth Rent Assistance in reducing the incidence of rental stress</w:t>
            </w:r>
            <w:r w:rsidR="00096099">
              <w:rPr>
                <w:rStyle w:val="FootnoteReference"/>
                <w:rFonts w:cs="Times New Roman"/>
                <w:spacing w:val="4"/>
                <w:sz w:val="20"/>
                <w:szCs w:val="20"/>
              </w:rPr>
              <w:footnoteReference w:id="8"/>
            </w:r>
            <w:r w:rsidR="00096099">
              <w:rPr>
                <w:rFonts w:cs="Times New Roman"/>
                <w:spacing w:val="4"/>
                <w:sz w:val="20"/>
                <w:szCs w:val="20"/>
              </w:rPr>
              <w:t xml:space="preserve"> for social security payment or Family Tax Benefit recipients</w:t>
            </w:r>
          </w:p>
          <w:p w14:paraId="761C2263" w14:textId="124244C9" w:rsidR="00A9105E" w:rsidRPr="00F00E13" w:rsidRDefault="00A9105E" w:rsidP="003A047F">
            <w:pPr>
              <w:numPr>
                <w:ilvl w:val="0"/>
                <w:numId w:val="101"/>
              </w:numPr>
              <w:spacing w:before="60" w:after="120" w:line="260" w:lineRule="atLeast"/>
              <w:rPr>
                <w:rFonts w:cs="Times New Roman"/>
                <w:spacing w:val="4"/>
                <w:sz w:val="20"/>
                <w:szCs w:val="20"/>
              </w:rPr>
            </w:pPr>
            <w:r w:rsidRPr="00F00E13">
              <w:rPr>
                <w:rFonts w:cs="Times New Roman"/>
                <w:spacing w:val="4"/>
                <w:sz w:val="20"/>
                <w:szCs w:val="20"/>
              </w:rPr>
              <w:t xml:space="preserve">together with the Australian </w:t>
            </w:r>
            <w:r>
              <w:rPr>
                <w:rFonts w:cs="Times New Roman"/>
                <w:spacing w:val="4"/>
                <w:sz w:val="20"/>
                <w:szCs w:val="20"/>
              </w:rPr>
              <w:t xml:space="preserve">Government </w:t>
            </w:r>
            <w:r w:rsidRPr="00F00E13">
              <w:rPr>
                <w:rFonts w:cs="Times New Roman"/>
                <w:spacing w:val="4"/>
                <w:sz w:val="20"/>
                <w:szCs w:val="20"/>
              </w:rPr>
              <w:t xml:space="preserve">Treasury, </w:t>
            </w:r>
            <w:r w:rsidRPr="00F00E13">
              <w:rPr>
                <w:rFonts w:cs="Times New Roman"/>
                <w:spacing w:val="4"/>
                <w:sz w:val="20"/>
                <w:szCs w:val="24"/>
              </w:rPr>
              <w:t xml:space="preserve">delivered around </w:t>
            </w:r>
            <w:r w:rsidRPr="00F00E13">
              <w:rPr>
                <w:rFonts w:cs="Times New Roman"/>
                <w:spacing w:val="4"/>
                <w:sz w:val="20"/>
                <w:szCs w:val="20"/>
              </w:rPr>
              <w:t>$1.6 billion through the NHHA to improve housing and homelessness outcomes across Australia. Through the NHHA, the Australian Government is</w:t>
            </w:r>
            <w:r>
              <w:rPr>
                <w:rFonts w:cs="Times New Roman"/>
                <w:spacing w:val="4"/>
                <w:sz w:val="20"/>
                <w:szCs w:val="20"/>
              </w:rPr>
              <w:t xml:space="preserve"> </w:t>
            </w:r>
            <w:r w:rsidRPr="00F00E13">
              <w:rPr>
                <w:rFonts w:cs="Times New Roman"/>
                <w:spacing w:val="4"/>
                <w:sz w:val="20"/>
                <w:szCs w:val="20"/>
              </w:rPr>
              <w:t>improving funding for homelessness by ensuring homelessness funding previously provided through short-term agreements is ongoing and indexed. This will result in dedicated homelessness funding that needs to be matched by states and territories</w:t>
            </w:r>
          </w:p>
          <w:p w14:paraId="30601FD6" w14:textId="13559303" w:rsidR="00A9105E" w:rsidRPr="00F00E13" w:rsidRDefault="00A9105E" w:rsidP="003A047F">
            <w:pPr>
              <w:numPr>
                <w:ilvl w:val="0"/>
                <w:numId w:val="101"/>
              </w:numPr>
              <w:spacing w:before="60" w:after="120" w:line="260" w:lineRule="atLeast"/>
              <w:rPr>
                <w:rFonts w:cs="Times New Roman"/>
                <w:spacing w:val="4"/>
                <w:sz w:val="20"/>
                <w:szCs w:val="20"/>
              </w:rPr>
            </w:pPr>
            <w:r w:rsidRPr="00F00E13">
              <w:rPr>
                <w:rFonts w:cs="Times New Roman"/>
                <w:spacing w:val="4"/>
                <w:sz w:val="20"/>
                <w:szCs w:val="20"/>
              </w:rPr>
              <w:t>leading development of a housing and homelessness data improvement plan with states and territories and Commonwealth agencies, to ensure housing outcomes can be reliably measured in the future and government funds can be</w:t>
            </w:r>
            <w:r>
              <w:rPr>
                <w:rFonts w:cs="Times New Roman"/>
                <w:spacing w:val="4"/>
                <w:sz w:val="20"/>
                <w:szCs w:val="20"/>
              </w:rPr>
              <w:t xml:space="preserve"> </w:t>
            </w:r>
            <w:r w:rsidRPr="00F00E13">
              <w:rPr>
                <w:rFonts w:cs="Times New Roman"/>
                <w:spacing w:val="4"/>
                <w:sz w:val="20"/>
                <w:szCs w:val="20"/>
              </w:rPr>
              <w:t>directed to the most effective measures</w:t>
            </w:r>
          </w:p>
          <w:p w14:paraId="72B20F8F" w14:textId="54F59236" w:rsidR="00A9105E" w:rsidRPr="00872387" w:rsidRDefault="00A9105E" w:rsidP="003A047F">
            <w:pPr>
              <w:numPr>
                <w:ilvl w:val="0"/>
                <w:numId w:val="101"/>
              </w:numPr>
              <w:spacing w:before="60" w:after="120" w:line="260" w:lineRule="atLeast"/>
              <w:rPr>
                <w:rFonts w:cs="Times New Roman"/>
                <w:spacing w:val="4"/>
                <w:sz w:val="20"/>
                <w:szCs w:val="24"/>
              </w:rPr>
            </w:pPr>
            <w:r w:rsidRPr="00F00E13">
              <w:rPr>
                <w:rFonts w:cs="Times New Roman"/>
                <w:spacing w:val="4"/>
                <w:sz w:val="20"/>
                <w:szCs w:val="20"/>
              </w:rPr>
              <w:t>strengthened the regulatory framework for administering the National Rental Affordability Scheme</w:t>
            </w:r>
            <w:r>
              <w:rPr>
                <w:rFonts w:cs="Times New Roman"/>
                <w:spacing w:val="4"/>
                <w:sz w:val="20"/>
                <w:szCs w:val="20"/>
              </w:rPr>
              <w:t xml:space="preserve"> (NRAS)</w:t>
            </w:r>
          </w:p>
          <w:p w14:paraId="340BD158" w14:textId="77777777" w:rsidR="00A9105E" w:rsidRPr="007D7BA1" w:rsidRDefault="00A9105E" w:rsidP="003A047F">
            <w:pPr>
              <w:numPr>
                <w:ilvl w:val="0"/>
                <w:numId w:val="101"/>
              </w:numPr>
              <w:spacing w:before="60" w:after="120" w:line="260" w:lineRule="atLeast"/>
              <w:rPr>
                <w:rFonts w:cs="Times New Roman"/>
                <w:spacing w:val="4"/>
                <w:sz w:val="20"/>
                <w:szCs w:val="24"/>
              </w:rPr>
            </w:pPr>
            <w:r w:rsidRPr="00F00E13">
              <w:rPr>
                <w:rFonts w:cs="Times New Roman"/>
                <w:spacing w:val="4"/>
                <w:sz w:val="20"/>
                <w:szCs w:val="20"/>
              </w:rPr>
              <w:t xml:space="preserve">together with states and territories and the Australian </w:t>
            </w:r>
            <w:r>
              <w:rPr>
                <w:rFonts w:cs="Times New Roman"/>
                <w:spacing w:val="4"/>
                <w:sz w:val="20"/>
                <w:szCs w:val="20"/>
              </w:rPr>
              <w:t xml:space="preserve">Government </w:t>
            </w:r>
            <w:r w:rsidRPr="00F00E13">
              <w:rPr>
                <w:rFonts w:cs="Times New Roman"/>
                <w:spacing w:val="4"/>
                <w:sz w:val="20"/>
                <w:szCs w:val="20"/>
              </w:rPr>
              <w:t>Treasury, progressed the review of the National Regulatory System for Community Housing to ensure a well-governed, well-managed and viable sector that meets the housing needs of tenants and provides assurance for governments and investors.</w:t>
            </w:r>
          </w:p>
        </w:tc>
      </w:tr>
    </w:tbl>
    <w:p w14:paraId="36DD7567" w14:textId="77777777" w:rsidR="00715F6F" w:rsidRDefault="00715F6F" w:rsidP="00A9105E">
      <w:pPr>
        <w:rPr>
          <w:rFonts w:cs="Arial"/>
          <w:sz w:val="20"/>
          <w:szCs w:val="20"/>
        </w:rPr>
        <w:sectPr w:rsidR="00715F6F" w:rsidSect="003A047F">
          <w:headerReference w:type="even" r:id="rId38"/>
          <w:headerReference w:type="default" r:id="rId39"/>
          <w:footerReference w:type="even" r:id="rId40"/>
          <w:headerReference w:type="first" r:id="rId41"/>
          <w:footerReference w:type="first" r:id="rId42"/>
          <w:pgSz w:w="11906" w:h="16838"/>
          <w:pgMar w:top="1440" w:right="1440" w:bottom="1440" w:left="1440" w:header="709" w:footer="709" w:gutter="0"/>
          <w:cols w:space="708"/>
          <w:docGrid w:linePitch="360"/>
        </w:sectPr>
      </w:pPr>
    </w:p>
    <w:p w14:paraId="518DFE94" w14:textId="77777777" w:rsidR="00A9105E" w:rsidRPr="00054A67" w:rsidRDefault="00A9105E" w:rsidP="00A9105E">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lastRenderedPageBreak/>
        <w:t>Outcome 4 Programs and Key Activities</w:t>
      </w:r>
    </w:p>
    <w:p w14:paraId="4F6C4DAE" w14:textId="77777777" w:rsidR="00A9105E" w:rsidRDefault="00A9105E" w:rsidP="00A9105E">
      <w:pPr>
        <w:rPr>
          <w:sz w:val="20"/>
          <w:szCs w:val="20"/>
        </w:rPr>
      </w:pPr>
      <w:r>
        <w:rPr>
          <w:sz w:val="20"/>
          <w:szCs w:val="20"/>
        </w:rPr>
        <w:t>Outcome 4</w:t>
      </w:r>
      <w:r w:rsidRPr="008E70EF">
        <w:rPr>
          <w:sz w:val="20"/>
          <w:szCs w:val="20"/>
        </w:rPr>
        <w:t xml:space="preserve"> comprises </w:t>
      </w:r>
      <w:r>
        <w:rPr>
          <w:sz w:val="20"/>
          <w:szCs w:val="20"/>
        </w:rPr>
        <w:t>two</w:t>
      </w:r>
      <w:r w:rsidRPr="008E70EF">
        <w:rPr>
          <w:sz w:val="20"/>
          <w:szCs w:val="20"/>
        </w:rPr>
        <w:t xml:space="preserve"> programs and </w:t>
      </w:r>
      <w:r>
        <w:rPr>
          <w:sz w:val="20"/>
          <w:szCs w:val="20"/>
        </w:rPr>
        <w:t xml:space="preserve">two </w:t>
      </w:r>
      <w:r w:rsidRPr="008E70EF">
        <w:rPr>
          <w:sz w:val="20"/>
          <w:szCs w:val="20"/>
        </w:rPr>
        <w:t xml:space="preserve">activities contributing to the achievement of </w:t>
      </w:r>
      <w:r>
        <w:rPr>
          <w:sz w:val="20"/>
          <w:szCs w:val="20"/>
        </w:rPr>
        <w:t>the Housing outcome</w:t>
      </w:r>
      <w:r w:rsidRPr="008E70EF">
        <w:rPr>
          <w:sz w:val="20"/>
          <w:szCs w:val="20"/>
        </w:rPr>
        <w:t xml:space="preserve">. </w:t>
      </w:r>
      <w:r w:rsidRPr="00872387">
        <w:rPr>
          <w:sz w:val="20"/>
          <w:szCs w:val="20"/>
        </w:rPr>
        <w:t>The policy tools to support the availability of affordable and stable housing for low and moderate</w:t>
      </w:r>
      <w:r>
        <w:rPr>
          <w:sz w:val="20"/>
          <w:szCs w:val="20"/>
        </w:rPr>
        <w:t>-</w:t>
      </w:r>
      <w:r w:rsidRPr="00872387">
        <w:rPr>
          <w:sz w:val="20"/>
          <w:szCs w:val="20"/>
        </w:rPr>
        <w:t xml:space="preserve">income households are shared between </w:t>
      </w:r>
      <w:r>
        <w:rPr>
          <w:sz w:val="20"/>
          <w:szCs w:val="20"/>
        </w:rPr>
        <w:t xml:space="preserve">the </w:t>
      </w:r>
      <w:r w:rsidRPr="00872387">
        <w:rPr>
          <w:sz w:val="20"/>
          <w:szCs w:val="20"/>
        </w:rPr>
        <w:t xml:space="preserve">Australian Government and state and territory jurisdictions. These tools include: finance, regulation and tax settings, and planning and zoning policy. More broadly, factors such as housing market performance and labour market conditions are important influences on housing opportunities and outcomes. </w:t>
      </w:r>
      <w:r>
        <w:rPr>
          <w:sz w:val="20"/>
          <w:szCs w:val="20"/>
        </w:rPr>
        <w:t>We</w:t>
      </w:r>
      <w:r w:rsidRPr="00872387">
        <w:rPr>
          <w:sz w:val="20"/>
          <w:szCs w:val="20"/>
        </w:rPr>
        <w:t xml:space="preserve"> work with the Australian Government Treasury and state and territory housing departments, including through the </w:t>
      </w:r>
      <w:r>
        <w:rPr>
          <w:sz w:val="20"/>
          <w:szCs w:val="20"/>
        </w:rPr>
        <w:t>NHHA</w:t>
      </w:r>
      <w:r w:rsidRPr="00872387">
        <w:rPr>
          <w:sz w:val="20"/>
          <w:szCs w:val="20"/>
        </w:rPr>
        <w:t>, to improve housing and homelessness outcomes.</w:t>
      </w:r>
    </w:p>
    <w:p w14:paraId="08ECE4DB" w14:textId="77777777" w:rsidR="00A9105E" w:rsidRPr="008E70EF" w:rsidRDefault="00A9105E" w:rsidP="00A9105E">
      <w:pPr>
        <w:keepNext/>
        <w:spacing w:before="240" w:after="0" w:line="260" w:lineRule="atLeast"/>
        <w:ind w:right="425"/>
        <w:rPr>
          <w:rFonts w:ascii="Arial Narrow" w:eastAsia="Times New Roman" w:hAnsi="Arial Narrow" w:cs="Times New Roman"/>
          <w:b/>
          <w:bCs/>
          <w:spacing w:val="4"/>
          <w:sz w:val="20"/>
          <w:szCs w:val="18"/>
          <w:lang w:eastAsia="en-AU"/>
        </w:rPr>
      </w:pPr>
      <w:r w:rsidRPr="00616DEF">
        <w:rPr>
          <w:rFonts w:ascii="Arial Narrow" w:eastAsia="Times New Roman" w:hAnsi="Arial Narrow" w:cs="Times New Roman"/>
          <w:b/>
          <w:bCs/>
          <w:spacing w:val="4"/>
          <w:sz w:val="20"/>
          <w:szCs w:val="18"/>
          <w:lang w:eastAsia="en-AU"/>
        </w:rPr>
        <w:t xml:space="preserve">Table </w:t>
      </w:r>
      <w:r>
        <w:rPr>
          <w:rFonts w:ascii="Arial Narrow" w:eastAsia="Times New Roman" w:hAnsi="Arial Narrow" w:cs="Times New Roman"/>
          <w:b/>
          <w:bCs/>
          <w:spacing w:val="4"/>
          <w:sz w:val="20"/>
          <w:szCs w:val="18"/>
          <w:lang w:eastAsia="en-AU"/>
        </w:rPr>
        <w:t>2.4.1: Outcome 4 P</w:t>
      </w:r>
      <w:r w:rsidRPr="00616DEF">
        <w:rPr>
          <w:rFonts w:ascii="Arial Narrow" w:eastAsia="Times New Roman" w:hAnsi="Arial Narrow" w:cs="Times New Roman"/>
          <w:b/>
          <w:bCs/>
          <w:spacing w:val="4"/>
          <w:sz w:val="20"/>
          <w:szCs w:val="18"/>
          <w:lang w:eastAsia="en-AU"/>
        </w:rPr>
        <w:t xml:space="preserve">rograms and </w:t>
      </w:r>
      <w:r>
        <w:rPr>
          <w:rFonts w:ascii="Arial Narrow" w:eastAsia="Times New Roman" w:hAnsi="Arial Narrow" w:cs="Times New Roman"/>
          <w:b/>
          <w:bCs/>
          <w:spacing w:val="4"/>
          <w:sz w:val="20"/>
          <w:szCs w:val="18"/>
          <w:lang w:eastAsia="en-AU"/>
        </w:rPr>
        <w:t>Key A</w:t>
      </w:r>
      <w:r w:rsidRPr="00616DEF">
        <w:rPr>
          <w:rFonts w:ascii="Arial Narrow" w:eastAsia="Times New Roman" w:hAnsi="Arial Narrow" w:cs="Times New Roman"/>
          <w:b/>
          <w:bCs/>
          <w:spacing w:val="4"/>
          <w:sz w:val="20"/>
          <w:szCs w:val="18"/>
          <w:lang w:eastAsia="en-AU"/>
        </w:rPr>
        <w:t>ctivities</w:t>
      </w:r>
    </w:p>
    <w:tbl>
      <w:tblPr>
        <w:tblStyle w:val="TableGrid36"/>
        <w:tblW w:w="5000" w:type="pct"/>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Caption w:val="Table 2.4.1: Outcome 4 Programs and Key Activities"/>
        <w:tblDescription w:val="This table outlines the program and key activites for Outcome 4"/>
      </w:tblPr>
      <w:tblGrid>
        <w:gridCol w:w="4513"/>
        <w:gridCol w:w="4513"/>
      </w:tblGrid>
      <w:tr w:rsidR="00A9105E" w:rsidRPr="008E70EF" w14:paraId="3DF927D5" w14:textId="77777777" w:rsidTr="00E117FD">
        <w:trPr>
          <w:tblHeader/>
          <w:jc w:val="center"/>
        </w:trPr>
        <w:tc>
          <w:tcPr>
            <w:tcW w:w="5000" w:type="pct"/>
            <w:gridSpan w:val="2"/>
            <w:shd w:val="clear" w:color="auto" w:fill="005A70"/>
            <w:vAlign w:val="center"/>
          </w:tcPr>
          <w:p w14:paraId="03145478" w14:textId="77777777" w:rsidR="00A9105E" w:rsidRPr="008E70EF" w:rsidRDefault="00A9105E" w:rsidP="00E117FD">
            <w:pPr>
              <w:spacing w:before="120" w:after="120"/>
              <w:jc w:val="center"/>
              <w:rPr>
                <w:rFonts w:asciiTheme="minorHAnsi" w:hAnsiTheme="minorHAnsi" w:cstheme="minorHAnsi"/>
                <w:b/>
                <w:bCs/>
                <w:color w:val="FFFFFF" w:themeColor="background1"/>
                <w:sz w:val="18"/>
                <w:szCs w:val="18"/>
              </w:rPr>
            </w:pPr>
            <w:r>
              <w:rPr>
                <w:rFonts w:asciiTheme="minorHAnsi" w:hAnsiTheme="minorHAnsi" w:cstheme="minorHAnsi"/>
                <w:b/>
                <w:bCs/>
                <w:color w:val="FFFFFF" w:themeColor="background1"/>
                <w:sz w:val="18"/>
                <w:szCs w:val="18"/>
              </w:rPr>
              <w:t>OUTCOME 4 – HOUSING</w:t>
            </w:r>
          </w:p>
        </w:tc>
      </w:tr>
      <w:tr w:rsidR="00A9105E" w:rsidRPr="008E70EF" w14:paraId="505DFB69" w14:textId="77777777" w:rsidTr="00E117FD">
        <w:trPr>
          <w:tblHeader/>
          <w:jc w:val="center"/>
        </w:trPr>
        <w:tc>
          <w:tcPr>
            <w:tcW w:w="5000" w:type="pct"/>
            <w:gridSpan w:val="2"/>
            <w:shd w:val="clear" w:color="auto" w:fill="D9D9D6"/>
            <w:vAlign w:val="center"/>
          </w:tcPr>
          <w:p w14:paraId="1A79DE9D" w14:textId="77777777" w:rsidR="00A9105E" w:rsidRPr="008E70EF" w:rsidRDefault="00A9105E" w:rsidP="00E117FD">
            <w:pPr>
              <w:spacing w:before="120" w:after="120"/>
              <w:jc w:val="center"/>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Refer to Table 2.4</w:t>
            </w:r>
            <w:r w:rsidRPr="008E70EF">
              <w:rPr>
                <w:rFonts w:asciiTheme="minorHAnsi" w:hAnsiTheme="minorHAnsi" w:cstheme="minorHAnsi"/>
                <w:bCs/>
                <w:color w:val="000000" w:themeColor="text1"/>
                <w:sz w:val="18"/>
                <w:szCs w:val="18"/>
              </w:rPr>
              <w:t>.2 for program performance results</w:t>
            </w:r>
          </w:p>
        </w:tc>
      </w:tr>
      <w:tr w:rsidR="00A9105E" w:rsidRPr="008E70EF" w14:paraId="1899B591" w14:textId="77777777" w:rsidTr="00E117FD">
        <w:trPr>
          <w:jc w:val="center"/>
        </w:trPr>
        <w:tc>
          <w:tcPr>
            <w:tcW w:w="2500" w:type="pct"/>
            <w:shd w:val="clear" w:color="auto" w:fill="00B0B9"/>
            <w:vAlign w:val="center"/>
          </w:tcPr>
          <w:p w14:paraId="4082C4D6" w14:textId="77777777" w:rsidR="00A9105E" w:rsidRPr="007F2601" w:rsidRDefault="00A9105E" w:rsidP="00E117FD">
            <w:pPr>
              <w:spacing w:before="120" w:after="120"/>
              <w:jc w:val="center"/>
              <w:rPr>
                <w:rFonts w:asciiTheme="minorHAnsi" w:hAnsiTheme="minorHAnsi" w:cstheme="minorHAnsi"/>
                <w:b/>
                <w:bCs/>
                <w:sz w:val="18"/>
                <w:szCs w:val="18"/>
              </w:rPr>
            </w:pPr>
            <w:r w:rsidRPr="007F2601">
              <w:rPr>
                <w:rFonts w:asciiTheme="minorHAnsi" w:hAnsiTheme="minorHAnsi" w:cstheme="minorHAnsi"/>
                <w:b/>
                <w:bCs/>
                <w:sz w:val="18"/>
                <w:szCs w:val="18"/>
              </w:rPr>
              <w:t>Program 4.1</w:t>
            </w:r>
          </w:p>
          <w:p w14:paraId="73C60979" w14:textId="77777777" w:rsidR="00A9105E" w:rsidRPr="007F2601" w:rsidRDefault="00A9105E" w:rsidP="00E117FD">
            <w:pPr>
              <w:spacing w:before="120" w:after="120"/>
              <w:jc w:val="center"/>
              <w:rPr>
                <w:rFonts w:asciiTheme="minorHAnsi" w:hAnsiTheme="minorHAnsi" w:cstheme="minorHAnsi"/>
                <w:b/>
                <w:bCs/>
                <w:sz w:val="18"/>
                <w:szCs w:val="18"/>
              </w:rPr>
            </w:pPr>
            <w:r w:rsidRPr="007F2601">
              <w:rPr>
                <w:rFonts w:asciiTheme="minorHAnsi" w:hAnsiTheme="minorHAnsi" w:cstheme="minorHAnsi"/>
                <w:b/>
                <w:bCs/>
                <w:sz w:val="18"/>
                <w:szCs w:val="18"/>
              </w:rPr>
              <w:t>Housing and Homelessness</w:t>
            </w:r>
          </w:p>
        </w:tc>
        <w:tc>
          <w:tcPr>
            <w:tcW w:w="2500" w:type="pct"/>
            <w:shd w:val="clear" w:color="auto" w:fill="00B0B9"/>
            <w:vAlign w:val="center"/>
          </w:tcPr>
          <w:p w14:paraId="0F666EF5" w14:textId="77777777" w:rsidR="00A9105E" w:rsidRPr="007F2601" w:rsidRDefault="00A9105E" w:rsidP="00E117FD">
            <w:pPr>
              <w:spacing w:before="120" w:after="120"/>
              <w:jc w:val="center"/>
              <w:rPr>
                <w:rFonts w:asciiTheme="minorHAnsi" w:hAnsiTheme="minorHAnsi" w:cstheme="minorHAnsi"/>
                <w:b/>
                <w:bCs/>
                <w:sz w:val="18"/>
                <w:szCs w:val="18"/>
              </w:rPr>
            </w:pPr>
            <w:r w:rsidRPr="007F2601">
              <w:rPr>
                <w:rFonts w:asciiTheme="minorHAnsi" w:hAnsiTheme="minorHAnsi" w:cstheme="minorHAnsi"/>
                <w:b/>
                <w:bCs/>
                <w:sz w:val="18"/>
                <w:szCs w:val="18"/>
              </w:rPr>
              <w:t>Program 4.2</w:t>
            </w:r>
          </w:p>
          <w:p w14:paraId="67BB5430" w14:textId="77777777" w:rsidR="00A9105E" w:rsidRPr="007F2601" w:rsidRDefault="00A9105E" w:rsidP="00E117FD">
            <w:pPr>
              <w:spacing w:before="120" w:after="120"/>
              <w:jc w:val="center"/>
              <w:rPr>
                <w:rFonts w:asciiTheme="minorHAnsi" w:hAnsiTheme="minorHAnsi" w:cstheme="minorHAnsi"/>
                <w:b/>
                <w:bCs/>
                <w:sz w:val="18"/>
                <w:szCs w:val="18"/>
              </w:rPr>
            </w:pPr>
            <w:r w:rsidRPr="007F2601">
              <w:rPr>
                <w:rFonts w:asciiTheme="minorHAnsi" w:hAnsiTheme="minorHAnsi" w:cstheme="minorHAnsi"/>
                <w:b/>
                <w:bCs/>
                <w:sz w:val="18"/>
                <w:szCs w:val="18"/>
              </w:rPr>
              <w:t>Affordable Housing</w:t>
            </w:r>
          </w:p>
        </w:tc>
      </w:tr>
      <w:tr w:rsidR="00A9105E" w:rsidRPr="008E70EF" w14:paraId="56222ACC" w14:textId="77777777" w:rsidTr="00E117FD">
        <w:trPr>
          <w:jc w:val="center"/>
        </w:trPr>
        <w:tc>
          <w:tcPr>
            <w:tcW w:w="2500" w:type="pct"/>
            <w:shd w:val="clear" w:color="auto" w:fill="B1E4E3"/>
            <w:vAlign w:val="center"/>
          </w:tcPr>
          <w:p w14:paraId="5BD74661" w14:textId="77777777" w:rsidR="00A9105E" w:rsidRPr="008E70EF" w:rsidRDefault="00A9105E" w:rsidP="00E117FD">
            <w:pPr>
              <w:spacing w:before="120" w:after="120"/>
              <w:jc w:val="center"/>
              <w:rPr>
                <w:rFonts w:asciiTheme="minorHAnsi" w:hAnsiTheme="minorHAnsi" w:cstheme="minorHAnsi"/>
                <w:b/>
                <w:bCs/>
                <w:sz w:val="18"/>
                <w:szCs w:val="18"/>
              </w:rPr>
            </w:pPr>
            <w:r w:rsidRPr="008E70EF">
              <w:rPr>
                <w:rFonts w:asciiTheme="minorHAnsi" w:hAnsiTheme="minorHAnsi" w:cstheme="minorHAnsi"/>
                <w:b/>
                <w:bCs/>
                <w:sz w:val="18"/>
                <w:szCs w:val="18"/>
              </w:rPr>
              <w:t>Key activities</w:t>
            </w:r>
          </w:p>
          <w:p w14:paraId="6CB3D4BF" w14:textId="77777777" w:rsidR="00A9105E" w:rsidRPr="008E70EF" w:rsidRDefault="00A9105E" w:rsidP="00E117FD">
            <w:pPr>
              <w:numPr>
                <w:ilvl w:val="0"/>
                <w:numId w:val="83"/>
              </w:numPr>
              <w:spacing w:before="120" w:after="120"/>
              <w:ind w:left="368" w:hanging="283"/>
              <w:rPr>
                <w:rFonts w:asciiTheme="minorHAnsi" w:hAnsiTheme="minorHAnsi" w:cstheme="minorHAnsi"/>
                <w:b/>
                <w:bCs/>
                <w:sz w:val="18"/>
                <w:szCs w:val="18"/>
              </w:rPr>
            </w:pPr>
            <w:r w:rsidRPr="008E70EF">
              <w:rPr>
                <w:rFonts w:asciiTheme="minorHAnsi" w:hAnsiTheme="minorHAnsi" w:cstheme="minorHAnsi"/>
                <w:sz w:val="18"/>
                <w:szCs w:val="18"/>
              </w:rPr>
              <w:t xml:space="preserve">National Housing and Homelessness Agreement </w:t>
            </w:r>
          </w:p>
        </w:tc>
        <w:tc>
          <w:tcPr>
            <w:tcW w:w="2500" w:type="pct"/>
            <w:shd w:val="clear" w:color="auto" w:fill="B1E4E3"/>
            <w:vAlign w:val="center"/>
          </w:tcPr>
          <w:p w14:paraId="49F5979A" w14:textId="77777777" w:rsidR="00A9105E" w:rsidRPr="008E70EF" w:rsidRDefault="00A9105E" w:rsidP="00E117FD">
            <w:pPr>
              <w:spacing w:before="120" w:after="120"/>
              <w:jc w:val="center"/>
              <w:rPr>
                <w:rFonts w:asciiTheme="minorHAnsi" w:hAnsiTheme="minorHAnsi" w:cstheme="minorHAnsi"/>
                <w:sz w:val="18"/>
                <w:szCs w:val="18"/>
              </w:rPr>
            </w:pPr>
            <w:r w:rsidRPr="008E70EF">
              <w:rPr>
                <w:rFonts w:asciiTheme="minorHAnsi" w:hAnsiTheme="minorHAnsi" w:cstheme="minorHAnsi"/>
                <w:b/>
                <w:bCs/>
                <w:sz w:val="18"/>
                <w:szCs w:val="18"/>
              </w:rPr>
              <w:t>Key activities</w:t>
            </w:r>
          </w:p>
          <w:p w14:paraId="6DC5BE4B" w14:textId="14847C8D" w:rsidR="00A9105E" w:rsidRPr="008E70EF" w:rsidRDefault="00A9105E" w:rsidP="00E117FD">
            <w:pPr>
              <w:numPr>
                <w:ilvl w:val="0"/>
                <w:numId w:val="83"/>
              </w:numPr>
              <w:spacing w:before="120" w:after="120"/>
              <w:ind w:left="368" w:hanging="283"/>
              <w:rPr>
                <w:rFonts w:asciiTheme="minorHAnsi" w:hAnsiTheme="minorHAnsi" w:cstheme="minorHAnsi"/>
                <w:sz w:val="18"/>
                <w:szCs w:val="18"/>
              </w:rPr>
            </w:pPr>
            <w:r w:rsidRPr="008E70EF">
              <w:rPr>
                <w:rFonts w:asciiTheme="minorHAnsi" w:hAnsiTheme="minorHAnsi" w:cstheme="minorHAnsi"/>
                <w:sz w:val="18"/>
                <w:szCs w:val="18"/>
              </w:rPr>
              <w:t>National Rental Affordability Scheme</w:t>
            </w:r>
          </w:p>
        </w:tc>
      </w:tr>
      <w:tr w:rsidR="00A9105E" w:rsidRPr="008E70EF" w14:paraId="1BDC12E2" w14:textId="77777777" w:rsidTr="00E117FD">
        <w:trPr>
          <w:jc w:val="center"/>
        </w:trPr>
        <w:tc>
          <w:tcPr>
            <w:tcW w:w="1" w:type="pct"/>
            <w:gridSpan w:val="2"/>
            <w:shd w:val="clear" w:color="auto" w:fill="D9D9D6"/>
            <w:vAlign w:val="center"/>
          </w:tcPr>
          <w:p w14:paraId="77D0AF25" w14:textId="77777777" w:rsidR="00A9105E" w:rsidRPr="008E70EF" w:rsidRDefault="00A9105E" w:rsidP="00E117FD">
            <w:pPr>
              <w:spacing w:before="120" w:after="120"/>
              <w:jc w:val="center"/>
              <w:rPr>
                <w:rFonts w:asciiTheme="minorHAnsi" w:hAnsiTheme="minorHAnsi" w:cstheme="minorHAnsi"/>
                <w:sz w:val="18"/>
                <w:szCs w:val="18"/>
              </w:rPr>
            </w:pPr>
            <w:r>
              <w:rPr>
                <w:rFonts w:asciiTheme="minorHAnsi" w:hAnsiTheme="minorHAnsi" w:cstheme="minorHAnsi"/>
                <w:sz w:val="18"/>
                <w:szCs w:val="18"/>
              </w:rPr>
              <w:t>Refer to Table 2.4</w:t>
            </w:r>
            <w:r w:rsidRPr="008E70EF">
              <w:rPr>
                <w:rFonts w:asciiTheme="minorHAnsi" w:hAnsiTheme="minorHAnsi" w:cstheme="minorHAnsi"/>
                <w:sz w:val="18"/>
                <w:szCs w:val="18"/>
              </w:rPr>
              <w:t>.3 for index of key activities performance results</w:t>
            </w:r>
          </w:p>
        </w:tc>
      </w:tr>
    </w:tbl>
    <w:p w14:paraId="64CD2611" w14:textId="77777777" w:rsidR="00A9105E" w:rsidRDefault="00A9105E" w:rsidP="00A9105E">
      <w:pPr>
        <w:rPr>
          <w:rFonts w:cs="Arial"/>
          <w:sz w:val="20"/>
          <w:szCs w:val="20"/>
        </w:rPr>
      </w:pPr>
    </w:p>
    <w:p w14:paraId="6CDF33EB" w14:textId="77777777" w:rsidR="00715F6F" w:rsidRDefault="00715F6F" w:rsidP="00A9105E">
      <w:pPr>
        <w:rPr>
          <w:rFonts w:cs="Arial"/>
          <w:sz w:val="20"/>
          <w:szCs w:val="20"/>
        </w:rPr>
        <w:sectPr w:rsidR="00715F6F" w:rsidSect="003A047F">
          <w:footnotePr>
            <w:numRestart w:val="eachPage"/>
          </w:footnotePr>
          <w:pgSz w:w="11906" w:h="16838"/>
          <w:pgMar w:top="1440" w:right="1440" w:bottom="1440" w:left="1440" w:header="709" w:footer="709" w:gutter="0"/>
          <w:cols w:space="708"/>
          <w:docGrid w:linePitch="360"/>
        </w:sectPr>
      </w:pPr>
    </w:p>
    <w:p w14:paraId="2E2960C5" w14:textId="77777777" w:rsidR="00A9105E" w:rsidRPr="00054A67" w:rsidRDefault="00A9105E" w:rsidP="00A9105E">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lastRenderedPageBreak/>
        <w:t>Performance Results of Programs</w:t>
      </w:r>
    </w:p>
    <w:p w14:paraId="047241E2" w14:textId="6BF6FD54" w:rsidR="00A9105E" w:rsidRDefault="00A9105E" w:rsidP="00A9105E">
      <w:pPr>
        <w:rPr>
          <w:rFonts w:cs="Arial"/>
          <w:sz w:val="20"/>
          <w:szCs w:val="20"/>
        </w:rPr>
      </w:pPr>
      <w:r w:rsidRPr="00022526">
        <w:rPr>
          <w:rFonts w:cs="Arial"/>
          <w:sz w:val="20"/>
          <w:szCs w:val="20"/>
        </w:rPr>
        <w:t>This section describes the 2019</w:t>
      </w:r>
      <w:r>
        <w:rPr>
          <w:rFonts w:cs="Arial"/>
          <w:sz w:val="20"/>
          <w:szCs w:val="20"/>
        </w:rPr>
        <w:t>–</w:t>
      </w:r>
      <w:r w:rsidRPr="00022526">
        <w:rPr>
          <w:rFonts w:cs="Arial"/>
          <w:sz w:val="20"/>
          <w:szCs w:val="20"/>
        </w:rPr>
        <w:t>20 results of the program performance measured through agreements in place w</w:t>
      </w:r>
      <w:r>
        <w:rPr>
          <w:rFonts w:cs="Arial"/>
          <w:sz w:val="20"/>
          <w:szCs w:val="20"/>
        </w:rPr>
        <w:t>ith relevant service providers</w:t>
      </w:r>
      <w:r w:rsidRPr="00022526">
        <w:rPr>
          <w:rFonts w:cs="Arial"/>
          <w:sz w:val="20"/>
          <w:szCs w:val="20"/>
        </w:rPr>
        <w:t>.</w:t>
      </w:r>
    </w:p>
    <w:p w14:paraId="2E562630" w14:textId="77777777" w:rsidR="00A9105E" w:rsidRPr="006447FF" w:rsidRDefault="00A9105E" w:rsidP="00A9105E">
      <w:pPr>
        <w:keepNext/>
        <w:spacing w:before="360" w:after="240"/>
        <w:outlineLvl w:val="6"/>
        <w:rPr>
          <w:rFonts w:eastAsiaTheme="majorEastAsia" w:cstheme="majorBidi"/>
          <w:b/>
          <w:iCs/>
          <w:sz w:val="26"/>
        </w:rPr>
      </w:pPr>
      <w:r>
        <w:rPr>
          <w:rFonts w:eastAsiaTheme="majorEastAsia" w:cstheme="majorBidi"/>
          <w:b/>
          <w:iCs/>
          <w:sz w:val="26"/>
        </w:rPr>
        <w:t xml:space="preserve">C4.3 </w:t>
      </w:r>
      <w:r w:rsidRPr="006447FF">
        <w:rPr>
          <w:rFonts w:eastAsiaTheme="majorEastAsia" w:cstheme="majorBidi"/>
          <w:b/>
          <w:iCs/>
          <w:sz w:val="26"/>
        </w:rPr>
        <w:t>Extent to which delivery meets program objective</w:t>
      </w:r>
    </w:p>
    <w:p w14:paraId="3A03C3EC" w14:textId="77777777" w:rsidR="00A9105E" w:rsidRPr="00581D54" w:rsidRDefault="00A9105E" w:rsidP="00A9105E">
      <w:pPr>
        <w:rPr>
          <w:sz w:val="20"/>
          <w:szCs w:val="20"/>
        </w:rPr>
      </w:pPr>
      <w:r w:rsidRPr="007D7BA1">
        <w:rPr>
          <w:sz w:val="20"/>
          <w:szCs w:val="20"/>
        </w:rPr>
        <w:t>This criterion assesses whether funds have been spent consistent with the program objective, with a focus on appropriate delivery of the payments.</w:t>
      </w:r>
    </w:p>
    <w:p w14:paraId="3D800F53" w14:textId="77777777" w:rsidR="00A9105E" w:rsidRPr="00A1621A" w:rsidRDefault="00A9105E" w:rsidP="00A9105E">
      <w:pPr>
        <w:spacing w:before="240" w:after="0"/>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t xml:space="preserve">C4.3.1 </w:t>
      </w:r>
      <w:r w:rsidRPr="006447FF">
        <w:rPr>
          <w:rFonts w:eastAsiaTheme="majorEastAsia" w:cstheme="majorBidi"/>
          <w:b/>
          <w:color w:val="595959" w:themeColor="text1" w:themeTint="A6"/>
          <w:sz w:val="24"/>
          <w:szCs w:val="20"/>
        </w:rPr>
        <w:t>Program performance criteria and associated milestones/standards</w:t>
      </w:r>
    </w:p>
    <w:p w14:paraId="74D8ADC7" w14:textId="77777777" w:rsidR="00A9105E" w:rsidRDefault="00A9105E" w:rsidP="00A9105E">
      <w:pPr>
        <w:keepNext/>
        <w:spacing w:before="240" w:after="0" w:line="260" w:lineRule="atLeast"/>
        <w:ind w:right="425"/>
        <w:rPr>
          <w:rFonts w:ascii="Arial Narrow" w:eastAsia="Times New Roman" w:hAnsi="Arial Narrow" w:cs="Times New Roman"/>
          <w:b/>
          <w:bCs/>
          <w:spacing w:val="4"/>
          <w:sz w:val="20"/>
          <w:szCs w:val="18"/>
          <w:lang w:eastAsia="en-AU"/>
        </w:rPr>
      </w:pPr>
      <w:r w:rsidRPr="002C1853">
        <w:rPr>
          <w:rFonts w:ascii="Arial Narrow" w:eastAsia="Times New Roman" w:hAnsi="Arial Narrow" w:cs="Times New Roman"/>
          <w:b/>
          <w:bCs/>
          <w:spacing w:val="4"/>
          <w:sz w:val="20"/>
          <w:szCs w:val="18"/>
          <w:lang w:eastAsia="en-AU"/>
        </w:rPr>
        <w:t>Table 2.</w:t>
      </w:r>
      <w:r>
        <w:rPr>
          <w:rFonts w:ascii="Arial Narrow" w:eastAsia="Times New Roman" w:hAnsi="Arial Narrow" w:cs="Times New Roman"/>
          <w:b/>
          <w:bCs/>
          <w:spacing w:val="4"/>
          <w:sz w:val="20"/>
          <w:szCs w:val="18"/>
          <w:lang w:eastAsia="en-AU"/>
        </w:rPr>
        <w:t>4.2</w:t>
      </w:r>
      <w:r w:rsidRPr="002C1853">
        <w:rPr>
          <w:rFonts w:ascii="Arial Narrow" w:eastAsia="Times New Roman" w:hAnsi="Arial Narrow" w:cs="Times New Roman"/>
          <w:b/>
          <w:bCs/>
          <w:spacing w:val="4"/>
          <w:sz w:val="20"/>
          <w:szCs w:val="18"/>
          <w:lang w:eastAsia="en-AU"/>
        </w:rPr>
        <w:t xml:space="preserve">: </w:t>
      </w:r>
      <w:r w:rsidRPr="00D60AF2">
        <w:rPr>
          <w:rFonts w:ascii="Arial Narrow" w:eastAsia="Times New Roman" w:hAnsi="Arial Narrow" w:cs="Times New Roman"/>
          <w:b/>
          <w:bCs/>
          <w:spacing w:val="4"/>
          <w:sz w:val="20"/>
          <w:szCs w:val="18"/>
          <w:lang w:eastAsia="en-AU"/>
        </w:rPr>
        <w:t>Program performance criteria and associated milestones/standards</w:t>
      </w:r>
    </w:p>
    <w:tbl>
      <w:tblPr>
        <w:tblStyle w:val="HHorizontaltable14"/>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Table 2.4.2: Program performance criteria and associated milestones/standards"/>
        <w:tblDescription w:val="Table 2.4.2: Program performance criteria and associated milestones/standards "/>
      </w:tblPr>
      <w:tblGrid>
        <w:gridCol w:w="3563"/>
        <w:gridCol w:w="2583"/>
        <w:gridCol w:w="933"/>
        <w:gridCol w:w="27"/>
        <w:gridCol w:w="960"/>
        <w:gridCol w:w="960"/>
      </w:tblGrid>
      <w:tr w:rsidR="00A9105E" w:rsidRPr="00D60AF2" w14:paraId="4574AC0E" w14:textId="77777777" w:rsidTr="00E117FD">
        <w:trPr>
          <w:cnfStyle w:val="100000000000" w:firstRow="1" w:lastRow="0" w:firstColumn="0" w:lastColumn="0" w:oddVBand="0" w:evenVBand="0" w:oddHBand="0" w:evenHBand="0" w:firstRowFirstColumn="0" w:firstRowLastColumn="0" w:lastRowFirstColumn="0" w:lastRowLastColumn="0"/>
          <w:trHeight w:val="317"/>
          <w:tblHeader/>
        </w:trPr>
        <w:tc>
          <w:tcPr>
            <w:tcW w:w="1973" w:type="pct"/>
            <w:tcBorders>
              <w:bottom w:val="single" w:sz="18" w:space="0" w:color="FFFFFF" w:themeColor="background1"/>
            </w:tcBorders>
            <w:vAlign w:val="center"/>
            <w:hideMark/>
          </w:tcPr>
          <w:p w14:paraId="378FA833" w14:textId="77777777" w:rsidR="00A9105E" w:rsidRPr="007F2601" w:rsidRDefault="00A9105E" w:rsidP="00E117FD">
            <w:pPr>
              <w:spacing w:before="40" w:after="40"/>
              <w:jc w:val="center"/>
              <w:rPr>
                <w:rFonts w:eastAsia="Times New Roman"/>
                <w:sz w:val="16"/>
                <w:szCs w:val="16"/>
              </w:rPr>
            </w:pPr>
            <w:r w:rsidRPr="007F2601">
              <w:rPr>
                <w:rFonts w:eastAsia="Times New Roman"/>
                <w:sz w:val="16"/>
                <w:szCs w:val="16"/>
              </w:rPr>
              <w:t>Intermediate outcome performance measure</w:t>
            </w:r>
          </w:p>
          <w:p w14:paraId="1D347E94" w14:textId="77777777" w:rsidR="00A9105E" w:rsidRPr="007F2601" w:rsidRDefault="00A9105E" w:rsidP="00E117FD">
            <w:pPr>
              <w:spacing w:before="40" w:after="40"/>
              <w:jc w:val="center"/>
              <w:rPr>
                <w:rFonts w:eastAsia="Times New Roman"/>
                <w:sz w:val="16"/>
                <w:szCs w:val="16"/>
              </w:rPr>
            </w:pPr>
            <w:r w:rsidRPr="007F2601">
              <w:rPr>
                <w:rFonts w:eastAsia="Times New Roman"/>
                <w:sz w:val="16"/>
                <w:szCs w:val="16"/>
              </w:rPr>
              <w:t>PBS performance criteria</w:t>
            </w:r>
          </w:p>
        </w:tc>
        <w:tc>
          <w:tcPr>
            <w:tcW w:w="1431" w:type="pct"/>
            <w:tcBorders>
              <w:bottom w:val="single" w:sz="18" w:space="0" w:color="FFFFFF" w:themeColor="background1"/>
            </w:tcBorders>
            <w:vAlign w:val="center"/>
          </w:tcPr>
          <w:p w14:paraId="01E8A346" w14:textId="77777777" w:rsidR="00A9105E" w:rsidRPr="007F2601" w:rsidRDefault="00A9105E" w:rsidP="00E117FD">
            <w:pPr>
              <w:spacing w:before="40" w:after="40"/>
              <w:jc w:val="center"/>
              <w:rPr>
                <w:rFonts w:eastAsia="Times New Roman"/>
                <w:sz w:val="16"/>
                <w:szCs w:val="16"/>
              </w:rPr>
            </w:pPr>
            <w:r w:rsidRPr="007F2601">
              <w:rPr>
                <w:rFonts w:eastAsia="Times New Roman"/>
                <w:sz w:val="16"/>
                <w:szCs w:val="16"/>
              </w:rPr>
              <w:t>Target</w:t>
            </w:r>
          </w:p>
        </w:tc>
        <w:tc>
          <w:tcPr>
            <w:tcW w:w="517" w:type="pct"/>
            <w:tcBorders>
              <w:bottom w:val="single" w:sz="18" w:space="0" w:color="FFFFFF" w:themeColor="background1"/>
            </w:tcBorders>
            <w:vAlign w:val="center"/>
            <w:hideMark/>
          </w:tcPr>
          <w:p w14:paraId="54CC6E0C" w14:textId="77777777" w:rsidR="00A9105E" w:rsidRPr="007F2601" w:rsidRDefault="00A9105E" w:rsidP="00E117FD">
            <w:pPr>
              <w:spacing w:before="40" w:after="40"/>
              <w:jc w:val="center"/>
              <w:rPr>
                <w:rFonts w:eastAsia="Times New Roman"/>
                <w:sz w:val="16"/>
                <w:szCs w:val="16"/>
              </w:rPr>
            </w:pPr>
            <w:r w:rsidRPr="007F2601">
              <w:rPr>
                <w:rFonts w:eastAsia="Times New Roman"/>
                <w:sz w:val="16"/>
                <w:szCs w:val="16"/>
              </w:rPr>
              <w:t>2019–20</w:t>
            </w:r>
          </w:p>
        </w:tc>
        <w:tc>
          <w:tcPr>
            <w:tcW w:w="547" w:type="pct"/>
            <w:gridSpan w:val="2"/>
            <w:tcBorders>
              <w:bottom w:val="single" w:sz="18" w:space="0" w:color="FFFFFF" w:themeColor="background1"/>
            </w:tcBorders>
            <w:vAlign w:val="center"/>
            <w:hideMark/>
          </w:tcPr>
          <w:p w14:paraId="41A6B65A" w14:textId="77777777" w:rsidR="00A9105E" w:rsidRPr="007F2601" w:rsidRDefault="00A9105E" w:rsidP="00E117FD">
            <w:pPr>
              <w:spacing w:before="40" w:after="40"/>
              <w:jc w:val="center"/>
              <w:rPr>
                <w:rFonts w:eastAsia="Times New Roman"/>
                <w:sz w:val="16"/>
                <w:szCs w:val="16"/>
              </w:rPr>
            </w:pPr>
            <w:r w:rsidRPr="007F2601">
              <w:rPr>
                <w:rFonts w:eastAsia="Times New Roman"/>
                <w:sz w:val="16"/>
                <w:szCs w:val="16"/>
              </w:rPr>
              <w:t>2018–19</w:t>
            </w:r>
          </w:p>
        </w:tc>
        <w:tc>
          <w:tcPr>
            <w:tcW w:w="532" w:type="pct"/>
            <w:tcBorders>
              <w:bottom w:val="single" w:sz="18" w:space="0" w:color="FFFFFF" w:themeColor="background1"/>
            </w:tcBorders>
            <w:vAlign w:val="center"/>
            <w:hideMark/>
          </w:tcPr>
          <w:p w14:paraId="33AE6C12" w14:textId="77777777" w:rsidR="00A9105E" w:rsidRPr="007F2601" w:rsidRDefault="00A9105E" w:rsidP="00E117FD">
            <w:pPr>
              <w:spacing w:before="40" w:after="40"/>
              <w:jc w:val="center"/>
              <w:rPr>
                <w:rFonts w:eastAsia="Times New Roman"/>
                <w:sz w:val="16"/>
                <w:szCs w:val="16"/>
              </w:rPr>
            </w:pPr>
            <w:r w:rsidRPr="007F2601">
              <w:rPr>
                <w:rFonts w:eastAsia="Times New Roman"/>
                <w:sz w:val="16"/>
                <w:szCs w:val="16"/>
              </w:rPr>
              <w:t>2017–18</w:t>
            </w:r>
          </w:p>
        </w:tc>
      </w:tr>
      <w:tr w:rsidR="00A9105E" w:rsidRPr="00D60AF2" w14:paraId="27DC235D" w14:textId="77777777" w:rsidTr="00E117FD">
        <w:trPr>
          <w:cnfStyle w:val="000000100000" w:firstRow="0" w:lastRow="0" w:firstColumn="0" w:lastColumn="0" w:oddVBand="0" w:evenVBand="0" w:oddHBand="1" w:evenHBand="0" w:firstRowFirstColumn="0" w:firstRowLastColumn="0" w:lastRowFirstColumn="0" w:lastRowLastColumn="0"/>
        </w:trPr>
        <w:tc>
          <w:tcPr>
            <w:tcW w:w="5000" w:type="pct"/>
            <w:gridSpan w:val="6"/>
            <w:tcBorders>
              <w:left w:val="nil"/>
              <w:bottom w:val="single" w:sz="18" w:space="0" w:color="00B0B9"/>
              <w:right w:val="nil"/>
            </w:tcBorders>
          </w:tcPr>
          <w:p w14:paraId="27F973CC" w14:textId="77777777" w:rsidR="00A9105E" w:rsidRPr="00D60AF2" w:rsidRDefault="00A9105E" w:rsidP="00E117FD">
            <w:pPr>
              <w:spacing w:before="40" w:after="40"/>
              <w:rPr>
                <w:rFonts w:eastAsia="Times New Roman" w:cs="Arial"/>
                <w:b/>
                <w:color w:val="000000" w:themeColor="text1"/>
                <w:sz w:val="16"/>
                <w:szCs w:val="16"/>
              </w:rPr>
            </w:pPr>
            <w:r w:rsidRPr="00D60AF2">
              <w:rPr>
                <w:rFonts w:eastAsia="Times New Roman" w:cs="Arial"/>
                <w:b/>
                <w:color w:val="000000" w:themeColor="text1"/>
                <w:sz w:val="16"/>
                <w:szCs w:val="16"/>
              </w:rPr>
              <w:t>Program 4.1: Housing and Homelessness</w:t>
            </w:r>
          </w:p>
        </w:tc>
      </w:tr>
      <w:tr w:rsidR="00A9105E" w:rsidRPr="00D60AF2" w14:paraId="151C51DA" w14:textId="77777777" w:rsidTr="00E117FD">
        <w:trPr>
          <w:cnfStyle w:val="000000010000" w:firstRow="0" w:lastRow="0" w:firstColumn="0" w:lastColumn="0" w:oddVBand="0" w:evenVBand="0" w:oddHBand="0" w:evenHBand="1" w:firstRowFirstColumn="0" w:firstRowLastColumn="0" w:lastRowFirstColumn="0" w:lastRowLastColumn="0"/>
        </w:trPr>
        <w:tc>
          <w:tcPr>
            <w:tcW w:w="1973" w:type="pct"/>
            <w:tcBorders>
              <w:top w:val="single" w:sz="8" w:space="0" w:color="B83E3E"/>
              <w:left w:val="nil"/>
              <w:bottom w:val="nil"/>
              <w:right w:val="nil"/>
            </w:tcBorders>
            <w:shd w:val="clear" w:color="auto" w:fill="EAEAEA"/>
          </w:tcPr>
          <w:p w14:paraId="434580D9" w14:textId="77777777" w:rsidR="00A9105E" w:rsidRPr="00D60AF2" w:rsidRDefault="00A9105E" w:rsidP="00E117FD">
            <w:pPr>
              <w:spacing w:before="40" w:after="40"/>
              <w:rPr>
                <w:rFonts w:eastAsia="Times New Roman"/>
                <w:color w:val="000000" w:themeColor="text1"/>
                <w:spacing w:val="4"/>
                <w:sz w:val="16"/>
                <w:szCs w:val="16"/>
                <w:lang w:val="en-GB"/>
              </w:rPr>
            </w:pPr>
            <w:r w:rsidRPr="00D60AF2">
              <w:rPr>
                <w:rFonts w:eastAsia="Times New Roman"/>
                <w:color w:val="000000" w:themeColor="text1"/>
                <w:spacing w:val="4"/>
                <w:sz w:val="16"/>
                <w:szCs w:val="16"/>
                <w:lang w:val="en-GB"/>
              </w:rPr>
              <w:t>Delivery by organisations is in accordance with specified requirements, which may include service level standards, of the contracts and agreements between organisations and the department</w:t>
            </w:r>
          </w:p>
        </w:tc>
        <w:tc>
          <w:tcPr>
            <w:tcW w:w="1431" w:type="pct"/>
            <w:tcBorders>
              <w:top w:val="single" w:sz="8" w:space="0" w:color="B83E3E"/>
              <w:left w:val="nil"/>
              <w:bottom w:val="nil"/>
              <w:right w:val="nil"/>
            </w:tcBorders>
            <w:shd w:val="clear" w:color="auto" w:fill="EAEAEA"/>
          </w:tcPr>
          <w:p w14:paraId="5C6CEB68" w14:textId="77777777" w:rsidR="00A9105E" w:rsidRPr="000711B0" w:rsidRDefault="00A9105E" w:rsidP="00E117FD">
            <w:pPr>
              <w:spacing w:before="40" w:after="40"/>
              <w:rPr>
                <w:rFonts w:eastAsia="Times New Roman"/>
                <w:color w:val="000000" w:themeColor="text1"/>
                <w:spacing w:val="4"/>
                <w:sz w:val="16"/>
                <w:szCs w:val="16"/>
                <w:lang w:val="en-GB"/>
              </w:rPr>
            </w:pPr>
            <w:r w:rsidRPr="00D60AF2">
              <w:rPr>
                <w:rFonts w:eastAsia="Times New Roman"/>
                <w:color w:val="000000" w:themeColor="text1"/>
                <w:spacing w:val="4"/>
                <w:sz w:val="16"/>
                <w:szCs w:val="16"/>
                <w:lang w:val="en-GB"/>
              </w:rPr>
              <w:t>Milestone/standard: Standard of delivery is performed in accordance with the terms and conditions of Homes for Homes’ and Hobart City Deal contracts and agreement with the department</w:t>
            </w:r>
          </w:p>
        </w:tc>
        <w:tc>
          <w:tcPr>
            <w:tcW w:w="532" w:type="pct"/>
            <w:gridSpan w:val="2"/>
            <w:tcBorders>
              <w:top w:val="single" w:sz="18" w:space="0" w:color="00B0B9"/>
            </w:tcBorders>
            <w:vAlign w:val="center"/>
          </w:tcPr>
          <w:p w14:paraId="598FE82B" w14:textId="77777777" w:rsidR="00A9105E" w:rsidRPr="00D60AF2" w:rsidRDefault="00A9105E" w:rsidP="00E117FD">
            <w:pPr>
              <w:spacing w:before="40" w:after="40"/>
              <w:jc w:val="center"/>
              <w:rPr>
                <w:rFonts w:eastAsia="Times New Roman"/>
                <w:spacing w:val="4"/>
                <w:sz w:val="20"/>
                <w:szCs w:val="16"/>
                <w:lang w:val="en-GB"/>
              </w:rPr>
            </w:pPr>
            <w:r w:rsidRPr="00D60AF2">
              <w:rPr>
                <w:rFonts w:eastAsia="Times New Roman"/>
                <w:spacing w:val="4"/>
                <w:sz w:val="20"/>
                <w:szCs w:val="16"/>
                <w:lang w:val="en-GB"/>
              </w:rPr>
              <w:sym w:font="Wingdings" w:char="F0FE"/>
            </w:r>
          </w:p>
        </w:tc>
        <w:tc>
          <w:tcPr>
            <w:tcW w:w="532" w:type="pct"/>
            <w:tcBorders>
              <w:top w:val="single" w:sz="18" w:space="0" w:color="00B0B9"/>
            </w:tcBorders>
            <w:vAlign w:val="center"/>
          </w:tcPr>
          <w:p w14:paraId="00CAAF56" w14:textId="77777777" w:rsidR="00A9105E" w:rsidRPr="00D60AF2" w:rsidRDefault="00A9105E" w:rsidP="00E117FD">
            <w:pPr>
              <w:spacing w:before="40" w:after="40"/>
              <w:jc w:val="center"/>
              <w:rPr>
                <w:rFonts w:eastAsia="Times New Roman"/>
                <w:spacing w:val="4"/>
                <w:sz w:val="20"/>
                <w:szCs w:val="16"/>
                <w:lang w:val="en-GB"/>
              </w:rPr>
            </w:pPr>
            <w:r w:rsidRPr="00D60AF2">
              <w:rPr>
                <w:rFonts w:eastAsia="Times New Roman"/>
                <w:spacing w:val="4"/>
                <w:sz w:val="20"/>
                <w:szCs w:val="16"/>
                <w:lang w:val="en-GB"/>
              </w:rPr>
              <w:sym w:font="Wingdings" w:char="F0FE"/>
            </w:r>
          </w:p>
        </w:tc>
        <w:tc>
          <w:tcPr>
            <w:tcW w:w="532" w:type="pct"/>
            <w:tcBorders>
              <w:top w:val="single" w:sz="18" w:space="0" w:color="00B0B9"/>
              <w:right w:val="nil"/>
            </w:tcBorders>
            <w:vAlign w:val="center"/>
          </w:tcPr>
          <w:p w14:paraId="7AB5376D" w14:textId="77777777" w:rsidR="00A9105E" w:rsidRPr="00D60AF2" w:rsidRDefault="00A9105E" w:rsidP="00E117FD">
            <w:pPr>
              <w:spacing w:before="40" w:after="40"/>
              <w:jc w:val="center"/>
              <w:rPr>
                <w:rFonts w:eastAsia="Times New Roman"/>
                <w:color w:val="000000" w:themeColor="text1"/>
                <w:spacing w:val="4"/>
                <w:sz w:val="20"/>
                <w:szCs w:val="16"/>
                <w:lang w:val="en-GB"/>
              </w:rPr>
            </w:pPr>
            <w:r w:rsidRPr="00D60AF2">
              <w:rPr>
                <w:rFonts w:eastAsia="Times New Roman"/>
                <w:spacing w:val="4"/>
                <w:sz w:val="20"/>
                <w:szCs w:val="16"/>
                <w:lang w:val="en-GB"/>
              </w:rPr>
              <w:sym w:font="Wingdings" w:char="F0FE"/>
            </w:r>
          </w:p>
        </w:tc>
      </w:tr>
      <w:tr w:rsidR="00A9105E" w:rsidRPr="00D60AF2" w14:paraId="2441AD42" w14:textId="77777777" w:rsidTr="00E117FD">
        <w:trPr>
          <w:cnfStyle w:val="000000100000" w:firstRow="0" w:lastRow="0" w:firstColumn="0" w:lastColumn="0" w:oddVBand="0" w:evenVBand="0" w:oddHBand="1" w:evenHBand="0" w:firstRowFirstColumn="0" w:firstRowLastColumn="0" w:lastRowFirstColumn="0" w:lastRowLastColumn="0"/>
          <w:trHeight w:val="25"/>
        </w:trPr>
        <w:tc>
          <w:tcPr>
            <w:tcW w:w="5000" w:type="pct"/>
            <w:gridSpan w:val="6"/>
            <w:tcBorders>
              <w:left w:val="nil"/>
              <w:bottom w:val="single" w:sz="18" w:space="0" w:color="00B0B9"/>
              <w:right w:val="nil"/>
            </w:tcBorders>
          </w:tcPr>
          <w:p w14:paraId="7A7CE3F2" w14:textId="77777777" w:rsidR="00A9105E" w:rsidRPr="00D60AF2" w:rsidRDefault="00A9105E" w:rsidP="00E117FD">
            <w:pPr>
              <w:spacing w:before="40" w:after="40"/>
              <w:rPr>
                <w:rFonts w:eastAsia="Times New Roman" w:cs="Arial"/>
                <w:b/>
                <w:color w:val="000000" w:themeColor="text1"/>
                <w:sz w:val="16"/>
                <w:szCs w:val="16"/>
              </w:rPr>
            </w:pPr>
            <w:r w:rsidRPr="00D60AF2">
              <w:rPr>
                <w:rFonts w:eastAsia="Times New Roman" w:cs="Arial"/>
                <w:b/>
                <w:color w:val="000000" w:themeColor="text1"/>
                <w:sz w:val="16"/>
                <w:szCs w:val="16"/>
              </w:rPr>
              <w:t>Program 4.2: Affordable Housing</w:t>
            </w:r>
          </w:p>
        </w:tc>
      </w:tr>
      <w:tr w:rsidR="00A9105E" w:rsidRPr="00D60AF2" w14:paraId="1A1F07FA" w14:textId="77777777" w:rsidTr="00E117FD">
        <w:trPr>
          <w:cnfStyle w:val="000000010000" w:firstRow="0" w:lastRow="0" w:firstColumn="0" w:lastColumn="0" w:oddVBand="0" w:evenVBand="0" w:oddHBand="0" w:evenHBand="1" w:firstRowFirstColumn="0" w:firstRowLastColumn="0" w:lastRowFirstColumn="0" w:lastRowLastColumn="0"/>
        </w:trPr>
        <w:tc>
          <w:tcPr>
            <w:tcW w:w="1973" w:type="pct"/>
            <w:tcBorders>
              <w:top w:val="single" w:sz="8" w:space="0" w:color="B83E3E"/>
              <w:left w:val="nil"/>
              <w:bottom w:val="nil"/>
              <w:right w:val="nil"/>
            </w:tcBorders>
            <w:shd w:val="clear" w:color="auto" w:fill="EAEAEA"/>
          </w:tcPr>
          <w:p w14:paraId="06A077A6" w14:textId="77777777" w:rsidR="00A9105E" w:rsidRPr="00D60AF2" w:rsidRDefault="00A9105E" w:rsidP="00E117FD">
            <w:pPr>
              <w:spacing w:before="40" w:after="40"/>
              <w:rPr>
                <w:rFonts w:eastAsia="Times New Roman"/>
                <w:color w:val="000000" w:themeColor="text1"/>
                <w:spacing w:val="4"/>
                <w:sz w:val="16"/>
                <w:szCs w:val="16"/>
                <w:highlight w:val="yellow"/>
                <w:lang w:val="en-GB"/>
              </w:rPr>
            </w:pPr>
            <w:r w:rsidRPr="00D60AF2">
              <w:rPr>
                <w:rFonts w:eastAsia="Times New Roman"/>
                <w:color w:val="000000" w:themeColor="text1"/>
                <w:spacing w:val="4"/>
                <w:sz w:val="16"/>
                <w:szCs w:val="16"/>
                <w:lang w:val="en-GB"/>
              </w:rPr>
              <w:t>Delivery complies with relevant legislation to ensure that incentives are issued accurately to approved participants who comply with the regulations, so NRAS dwellings are made available at reduced rents for eligible low and moderate-income households</w:t>
            </w:r>
          </w:p>
        </w:tc>
        <w:tc>
          <w:tcPr>
            <w:tcW w:w="1431" w:type="pct"/>
            <w:tcBorders>
              <w:top w:val="single" w:sz="8" w:space="0" w:color="B83E3E"/>
              <w:left w:val="nil"/>
              <w:bottom w:val="nil"/>
              <w:right w:val="nil"/>
            </w:tcBorders>
            <w:shd w:val="clear" w:color="auto" w:fill="EAEAEA"/>
          </w:tcPr>
          <w:p w14:paraId="551AD765" w14:textId="77777777" w:rsidR="00A9105E" w:rsidRPr="00D60AF2" w:rsidRDefault="00A9105E" w:rsidP="00E117FD">
            <w:pPr>
              <w:spacing w:before="40" w:after="40"/>
              <w:rPr>
                <w:rFonts w:eastAsia="Times New Roman"/>
                <w:spacing w:val="4"/>
                <w:sz w:val="16"/>
                <w:szCs w:val="16"/>
                <w:lang w:val="en-GB"/>
              </w:rPr>
            </w:pPr>
            <w:r w:rsidRPr="00D60AF2">
              <w:rPr>
                <w:rFonts w:eastAsia="Times New Roman"/>
                <w:spacing w:val="4"/>
                <w:sz w:val="16"/>
                <w:szCs w:val="16"/>
                <w:lang w:val="en-GB"/>
              </w:rPr>
              <w:t>Milestone/standard:</w:t>
            </w:r>
          </w:p>
          <w:p w14:paraId="01C63176" w14:textId="77777777" w:rsidR="00A9105E" w:rsidRPr="00D60AF2" w:rsidRDefault="00A9105E" w:rsidP="00E117FD">
            <w:pPr>
              <w:spacing w:before="40" w:after="40"/>
              <w:rPr>
                <w:rFonts w:eastAsia="Times New Roman"/>
                <w:sz w:val="16"/>
                <w:szCs w:val="16"/>
                <w:lang w:val="en-GB"/>
              </w:rPr>
            </w:pPr>
            <w:r w:rsidRPr="00D60AF2">
              <w:rPr>
                <w:rFonts w:eastAsia="Times New Roman"/>
                <w:sz w:val="16"/>
                <w:szCs w:val="16"/>
                <w:lang w:val="en-GB"/>
              </w:rPr>
              <w:t>Incentives are only issued when compliance to the regulations has been adhered to</w:t>
            </w:r>
          </w:p>
          <w:p w14:paraId="2B642155" w14:textId="77777777" w:rsidR="00A9105E" w:rsidRPr="00D60AF2" w:rsidRDefault="00A9105E" w:rsidP="00E117FD">
            <w:pPr>
              <w:spacing w:before="40" w:after="40"/>
              <w:rPr>
                <w:rFonts w:eastAsia="Times New Roman"/>
                <w:color w:val="000000" w:themeColor="text1"/>
                <w:spacing w:val="4"/>
                <w:sz w:val="16"/>
                <w:szCs w:val="16"/>
                <w:lang w:val="en-GB"/>
              </w:rPr>
            </w:pPr>
            <w:r w:rsidRPr="00D60AF2">
              <w:rPr>
                <w:rFonts w:eastAsia="Times New Roman"/>
                <w:sz w:val="16"/>
                <w:szCs w:val="16"/>
                <w:lang w:val="en-GB"/>
              </w:rPr>
              <w:t>Result: 34,509 incentives were issued to approved participants in accordance with the regulations for the 2018–19 NRAS year</w:t>
            </w:r>
          </w:p>
        </w:tc>
        <w:tc>
          <w:tcPr>
            <w:tcW w:w="532" w:type="pct"/>
            <w:gridSpan w:val="2"/>
            <w:vAlign w:val="center"/>
          </w:tcPr>
          <w:p w14:paraId="3B5F8CD4" w14:textId="7D6165F0" w:rsidR="00A9105E" w:rsidRPr="00D60AF2" w:rsidRDefault="00A9105E">
            <w:pPr>
              <w:spacing w:before="40" w:after="40"/>
              <w:jc w:val="center"/>
              <w:rPr>
                <w:rFonts w:eastAsia="Times New Roman"/>
                <w:color w:val="000000" w:themeColor="text1"/>
                <w:spacing w:val="4"/>
                <w:sz w:val="20"/>
                <w:szCs w:val="16"/>
                <w:lang w:val="en-GB"/>
              </w:rPr>
            </w:pPr>
            <w:r w:rsidRPr="00D60AF2">
              <w:rPr>
                <w:rFonts w:eastAsia="Times New Roman"/>
                <w:spacing w:val="4"/>
                <w:sz w:val="20"/>
                <w:szCs w:val="16"/>
                <w:lang w:val="en-GB"/>
              </w:rPr>
              <w:sym w:font="Wingdings" w:char="F0FE"/>
            </w:r>
            <w:r>
              <w:rPr>
                <w:rFonts w:eastAsia="Times New Roman"/>
                <w:spacing w:val="4"/>
                <w:sz w:val="20"/>
                <w:szCs w:val="16"/>
                <w:vertAlign w:val="superscript"/>
                <w:lang w:val="en-GB"/>
              </w:rPr>
              <w:t>a</w:t>
            </w:r>
          </w:p>
        </w:tc>
        <w:tc>
          <w:tcPr>
            <w:tcW w:w="532" w:type="pct"/>
            <w:vAlign w:val="center"/>
          </w:tcPr>
          <w:p w14:paraId="5BAA6E6A" w14:textId="77777777" w:rsidR="00A9105E" w:rsidRPr="00D60AF2" w:rsidRDefault="00A9105E" w:rsidP="00E117FD">
            <w:pPr>
              <w:spacing w:before="40" w:after="40"/>
              <w:jc w:val="center"/>
              <w:rPr>
                <w:rFonts w:eastAsia="Times New Roman"/>
                <w:color w:val="000000" w:themeColor="text1"/>
                <w:spacing w:val="4"/>
                <w:sz w:val="20"/>
                <w:szCs w:val="16"/>
                <w:lang w:val="en-GB"/>
              </w:rPr>
            </w:pPr>
            <w:r w:rsidRPr="00D60AF2">
              <w:rPr>
                <w:rFonts w:eastAsia="Times New Roman"/>
                <w:spacing w:val="4"/>
                <w:sz w:val="20"/>
                <w:szCs w:val="16"/>
                <w:lang w:val="en-GB"/>
              </w:rPr>
              <w:sym w:font="Wingdings" w:char="F0FE"/>
            </w:r>
            <w:r>
              <w:rPr>
                <w:rFonts w:eastAsia="Times New Roman"/>
                <w:spacing w:val="4"/>
                <w:sz w:val="20"/>
                <w:szCs w:val="16"/>
                <w:vertAlign w:val="superscript"/>
                <w:lang w:val="en-GB"/>
              </w:rPr>
              <w:t>b</w:t>
            </w:r>
          </w:p>
        </w:tc>
        <w:tc>
          <w:tcPr>
            <w:tcW w:w="532" w:type="pct"/>
            <w:tcBorders>
              <w:right w:val="nil"/>
            </w:tcBorders>
            <w:vAlign w:val="center"/>
          </w:tcPr>
          <w:p w14:paraId="345ACAB3" w14:textId="77777777" w:rsidR="00A9105E" w:rsidRPr="00D60AF2" w:rsidRDefault="00A9105E" w:rsidP="00E117FD">
            <w:pPr>
              <w:spacing w:before="40" w:after="40"/>
              <w:jc w:val="center"/>
              <w:rPr>
                <w:rFonts w:eastAsia="Times New Roman"/>
                <w:color w:val="000000" w:themeColor="text1"/>
                <w:spacing w:val="4"/>
                <w:sz w:val="20"/>
                <w:szCs w:val="16"/>
                <w:lang w:val="en-GB"/>
              </w:rPr>
            </w:pPr>
            <w:r w:rsidRPr="00D60AF2">
              <w:rPr>
                <w:rFonts w:eastAsia="Times New Roman"/>
                <w:spacing w:val="4"/>
                <w:sz w:val="20"/>
                <w:szCs w:val="16"/>
                <w:lang w:val="en-GB"/>
              </w:rPr>
              <w:sym w:font="Wingdings" w:char="F0FE"/>
            </w:r>
            <w:r>
              <w:rPr>
                <w:rFonts w:eastAsia="Times New Roman"/>
                <w:spacing w:val="4"/>
                <w:sz w:val="20"/>
                <w:szCs w:val="16"/>
                <w:vertAlign w:val="superscript"/>
                <w:lang w:val="en-GB"/>
              </w:rPr>
              <w:t>c</w:t>
            </w:r>
          </w:p>
        </w:tc>
      </w:tr>
      <w:tr w:rsidR="00A9105E" w:rsidRPr="00D60AF2" w14:paraId="1285113E" w14:textId="77777777" w:rsidTr="00E117FD">
        <w:trPr>
          <w:cnfStyle w:val="000000100000" w:firstRow="0" w:lastRow="0" w:firstColumn="0" w:lastColumn="0" w:oddVBand="0" w:evenVBand="0" w:oddHBand="1" w:evenHBand="0" w:firstRowFirstColumn="0" w:firstRowLastColumn="0" w:lastRowFirstColumn="0" w:lastRowLastColumn="0"/>
        </w:trPr>
        <w:tc>
          <w:tcPr>
            <w:tcW w:w="5000" w:type="pct"/>
            <w:gridSpan w:val="6"/>
            <w:tcBorders>
              <w:left w:val="nil"/>
              <w:bottom w:val="single" w:sz="18" w:space="0" w:color="00B0B9"/>
              <w:right w:val="nil"/>
            </w:tcBorders>
          </w:tcPr>
          <w:p w14:paraId="3381B838" w14:textId="77777777" w:rsidR="00A9105E" w:rsidRPr="00D60AF2" w:rsidRDefault="00A9105E" w:rsidP="00E117FD">
            <w:pPr>
              <w:spacing w:before="40" w:after="40"/>
              <w:rPr>
                <w:rFonts w:eastAsia="Times New Roman"/>
                <w:b/>
                <w:color w:val="000000" w:themeColor="text1"/>
                <w:spacing w:val="4"/>
                <w:sz w:val="16"/>
                <w:szCs w:val="16"/>
                <w:lang w:val="en-GB"/>
              </w:rPr>
            </w:pPr>
            <w:r w:rsidRPr="00D60AF2">
              <w:rPr>
                <w:rFonts w:eastAsia="Times New Roman"/>
                <w:b/>
                <w:color w:val="000000" w:themeColor="text1"/>
                <w:spacing w:val="4"/>
                <w:sz w:val="16"/>
                <w:szCs w:val="16"/>
                <w:lang w:val="en-GB"/>
              </w:rPr>
              <w:t xml:space="preserve">Program </w:t>
            </w:r>
            <w:r>
              <w:rPr>
                <w:rFonts w:eastAsia="Times New Roman"/>
                <w:b/>
                <w:color w:val="000000" w:themeColor="text1"/>
                <w:spacing w:val="4"/>
                <w:sz w:val="16"/>
                <w:szCs w:val="16"/>
                <w:lang w:val="en-GB"/>
              </w:rPr>
              <w:t>4</w:t>
            </w:r>
            <w:r w:rsidRPr="00D60AF2">
              <w:rPr>
                <w:rFonts w:eastAsia="Times New Roman"/>
                <w:b/>
                <w:color w:val="000000" w:themeColor="text1"/>
                <w:spacing w:val="4"/>
                <w:sz w:val="16"/>
                <w:szCs w:val="16"/>
                <w:lang w:val="en-GB"/>
              </w:rPr>
              <w:t xml:space="preserve">.3: Program Support for Outcome </w:t>
            </w:r>
            <w:r>
              <w:rPr>
                <w:rFonts w:eastAsia="Times New Roman"/>
                <w:b/>
                <w:color w:val="000000" w:themeColor="text1"/>
                <w:spacing w:val="4"/>
                <w:sz w:val="16"/>
                <w:szCs w:val="16"/>
                <w:lang w:val="en-GB"/>
              </w:rPr>
              <w:t>4</w:t>
            </w:r>
          </w:p>
        </w:tc>
      </w:tr>
      <w:tr w:rsidR="00A9105E" w:rsidRPr="00D60AF2" w14:paraId="7DD92153" w14:textId="77777777" w:rsidTr="00E117FD">
        <w:trPr>
          <w:cnfStyle w:val="000000010000" w:firstRow="0" w:lastRow="0" w:firstColumn="0" w:lastColumn="0" w:oddVBand="0" w:evenVBand="0" w:oddHBand="0" w:evenHBand="1" w:firstRowFirstColumn="0" w:firstRowLastColumn="0" w:lastRowFirstColumn="0" w:lastRowLastColumn="0"/>
        </w:trPr>
        <w:tc>
          <w:tcPr>
            <w:tcW w:w="1973" w:type="pct"/>
            <w:tcBorders>
              <w:top w:val="single" w:sz="18" w:space="0" w:color="00B0B9"/>
              <w:left w:val="nil"/>
              <w:bottom w:val="nil"/>
            </w:tcBorders>
          </w:tcPr>
          <w:p w14:paraId="15F32349" w14:textId="366C3AA4" w:rsidR="00A9105E" w:rsidRPr="00D60AF2" w:rsidRDefault="00A9105E" w:rsidP="00E117FD">
            <w:pPr>
              <w:spacing w:before="40" w:after="40"/>
              <w:rPr>
                <w:rFonts w:eastAsia="Times New Roman"/>
                <w:color w:val="000000" w:themeColor="text1"/>
                <w:spacing w:val="4"/>
                <w:sz w:val="16"/>
                <w:szCs w:val="16"/>
                <w:lang w:val="en-GB"/>
              </w:rPr>
            </w:pPr>
            <w:r w:rsidRPr="00D60AF2">
              <w:rPr>
                <w:rFonts w:eastAsia="Times New Roman"/>
                <w:color w:val="000000" w:themeColor="text1"/>
                <w:spacing w:val="4"/>
                <w:sz w:val="16"/>
                <w:szCs w:val="16"/>
                <w:lang w:val="en-GB"/>
              </w:rPr>
              <w:t>Total de</w:t>
            </w:r>
            <w:r w:rsidR="00E11471">
              <w:rPr>
                <w:rFonts w:eastAsia="Times New Roman"/>
                <w:color w:val="000000" w:themeColor="text1"/>
                <w:spacing w:val="4"/>
                <w:sz w:val="16"/>
                <w:szCs w:val="16"/>
                <w:lang w:val="en-GB"/>
              </w:rPr>
              <w:t>partmental funding for Outcome 4</w:t>
            </w:r>
          </w:p>
          <w:p w14:paraId="2B9D5DFE" w14:textId="77777777" w:rsidR="00A9105E" w:rsidRPr="00D60AF2" w:rsidRDefault="00A9105E" w:rsidP="00E117FD">
            <w:pPr>
              <w:jc w:val="right"/>
              <w:rPr>
                <w:rFonts w:eastAsia="Times New Roman"/>
                <w:sz w:val="16"/>
                <w:szCs w:val="16"/>
                <w:lang w:val="en-GB"/>
              </w:rPr>
            </w:pPr>
          </w:p>
        </w:tc>
        <w:tc>
          <w:tcPr>
            <w:tcW w:w="1431" w:type="pct"/>
            <w:tcBorders>
              <w:top w:val="single" w:sz="18" w:space="0" w:color="00B0B9"/>
              <w:bottom w:val="nil"/>
            </w:tcBorders>
          </w:tcPr>
          <w:p w14:paraId="4F2BB523" w14:textId="77777777" w:rsidR="00A9105E" w:rsidRPr="00D60AF2" w:rsidRDefault="00A9105E" w:rsidP="00E117FD">
            <w:pPr>
              <w:spacing w:before="40" w:after="40"/>
              <w:rPr>
                <w:rFonts w:eastAsia="Times New Roman"/>
                <w:spacing w:val="4"/>
                <w:sz w:val="16"/>
                <w:szCs w:val="16"/>
                <w:lang w:val="en-GB"/>
              </w:rPr>
            </w:pPr>
            <w:r w:rsidRPr="00D60AF2">
              <w:rPr>
                <w:rFonts w:eastAsia="Times New Roman"/>
                <w:spacing w:val="4"/>
                <w:sz w:val="16"/>
                <w:szCs w:val="16"/>
                <w:lang w:val="en-GB"/>
              </w:rPr>
              <w:t>Milestone/standard:</w:t>
            </w:r>
          </w:p>
          <w:p w14:paraId="5AD0CDB7" w14:textId="77777777" w:rsidR="00A9105E" w:rsidRPr="00D60AF2" w:rsidRDefault="00A9105E" w:rsidP="00E117FD">
            <w:pPr>
              <w:spacing w:before="40" w:after="40"/>
              <w:rPr>
                <w:rFonts w:eastAsia="Times New Roman"/>
                <w:spacing w:val="4"/>
                <w:sz w:val="16"/>
                <w:szCs w:val="16"/>
                <w:lang w:val="en-GB"/>
              </w:rPr>
            </w:pPr>
            <w:r w:rsidRPr="00D60AF2">
              <w:rPr>
                <w:rFonts w:eastAsia="Times New Roman"/>
                <w:spacing w:val="4"/>
                <w:sz w:val="16"/>
                <w:szCs w:val="16"/>
                <w:lang w:val="en-GB"/>
              </w:rPr>
              <w:t>Departmental funding is expended to achieve agency outcomes</w:t>
            </w:r>
          </w:p>
        </w:tc>
        <w:tc>
          <w:tcPr>
            <w:tcW w:w="532" w:type="pct"/>
            <w:gridSpan w:val="2"/>
            <w:tcBorders>
              <w:top w:val="single" w:sz="18" w:space="0" w:color="00B0B9"/>
              <w:bottom w:val="nil"/>
            </w:tcBorders>
            <w:vAlign w:val="center"/>
          </w:tcPr>
          <w:p w14:paraId="1770C2B2" w14:textId="77777777" w:rsidR="00A9105E" w:rsidRPr="00D60AF2" w:rsidRDefault="00A9105E" w:rsidP="00E117FD">
            <w:pPr>
              <w:spacing w:before="40" w:after="40"/>
              <w:jc w:val="center"/>
              <w:rPr>
                <w:rFonts w:eastAsia="Times New Roman"/>
                <w:spacing w:val="4"/>
                <w:sz w:val="16"/>
                <w:szCs w:val="16"/>
                <w:lang w:val="en-GB"/>
              </w:rPr>
            </w:pPr>
            <w:r w:rsidRPr="000711B0">
              <w:rPr>
                <w:rFonts w:eastAsia="Times New Roman"/>
                <w:spacing w:val="4"/>
                <w:sz w:val="16"/>
                <w:szCs w:val="16"/>
                <w:lang w:val="en-GB"/>
              </w:rPr>
              <w:t>$22.482m</w:t>
            </w:r>
          </w:p>
        </w:tc>
        <w:tc>
          <w:tcPr>
            <w:tcW w:w="532" w:type="pct"/>
            <w:tcBorders>
              <w:top w:val="single" w:sz="18" w:space="0" w:color="00B0B9"/>
              <w:bottom w:val="nil"/>
            </w:tcBorders>
            <w:vAlign w:val="center"/>
          </w:tcPr>
          <w:p w14:paraId="5BE9D8A4" w14:textId="77777777" w:rsidR="00A9105E" w:rsidRPr="00D60AF2" w:rsidRDefault="00A9105E" w:rsidP="00E117FD">
            <w:pPr>
              <w:spacing w:before="40" w:after="40"/>
              <w:jc w:val="center"/>
              <w:rPr>
                <w:rFonts w:eastAsia="Times New Roman"/>
                <w:spacing w:val="4"/>
                <w:sz w:val="16"/>
                <w:szCs w:val="16"/>
                <w:lang w:val="en-GB"/>
              </w:rPr>
            </w:pPr>
            <w:r w:rsidRPr="000711B0">
              <w:rPr>
                <w:rFonts w:eastAsia="Times New Roman"/>
                <w:spacing w:val="4"/>
                <w:sz w:val="16"/>
                <w:szCs w:val="16"/>
                <w:lang w:val="en-GB"/>
              </w:rPr>
              <w:t>$19.139m</w:t>
            </w:r>
          </w:p>
        </w:tc>
        <w:tc>
          <w:tcPr>
            <w:tcW w:w="532" w:type="pct"/>
            <w:tcBorders>
              <w:top w:val="single" w:sz="18" w:space="0" w:color="00B0B9"/>
              <w:bottom w:val="nil"/>
              <w:right w:val="nil"/>
            </w:tcBorders>
            <w:vAlign w:val="center"/>
          </w:tcPr>
          <w:p w14:paraId="3528EB56" w14:textId="77777777" w:rsidR="00A9105E" w:rsidRPr="00D60AF2" w:rsidRDefault="00A9105E" w:rsidP="00E117FD">
            <w:pPr>
              <w:spacing w:before="40" w:after="40"/>
              <w:jc w:val="center"/>
              <w:rPr>
                <w:rFonts w:eastAsia="Times New Roman"/>
                <w:color w:val="000000" w:themeColor="text1"/>
                <w:spacing w:val="4"/>
                <w:sz w:val="16"/>
                <w:szCs w:val="16"/>
                <w:lang w:val="en-GB"/>
              </w:rPr>
            </w:pPr>
            <w:r w:rsidRPr="000711B0">
              <w:rPr>
                <w:rFonts w:eastAsia="Times New Roman"/>
                <w:color w:val="000000" w:themeColor="text1"/>
                <w:spacing w:val="4"/>
                <w:sz w:val="16"/>
                <w:szCs w:val="16"/>
                <w:lang w:val="en-GB"/>
              </w:rPr>
              <w:t>$18.545m</w:t>
            </w:r>
          </w:p>
        </w:tc>
      </w:tr>
    </w:tbl>
    <w:p w14:paraId="0DE05A40" w14:textId="77777777" w:rsidR="00A9105E" w:rsidRPr="002C1853" w:rsidRDefault="00A9105E" w:rsidP="00A9105E">
      <w:pPr>
        <w:spacing w:before="160" w:after="60" w:line="240" w:lineRule="auto"/>
        <w:ind w:left="284" w:hanging="284"/>
        <w:contextualSpacing/>
        <w:rPr>
          <w:rFonts w:cs="Arial"/>
          <w:sz w:val="16"/>
          <w:szCs w:val="16"/>
        </w:rPr>
      </w:pPr>
      <w:r>
        <w:rPr>
          <w:rFonts w:cs="Arial"/>
          <w:sz w:val="16"/>
          <w:szCs w:val="16"/>
        </w:rPr>
        <w:t>a</w:t>
      </w:r>
      <w:r>
        <w:rPr>
          <w:rFonts w:cs="Arial"/>
          <w:sz w:val="16"/>
          <w:szCs w:val="16"/>
        </w:rPr>
        <w:tab/>
      </w:r>
      <w:r w:rsidRPr="000711B0">
        <w:rPr>
          <w:rFonts w:cs="Arial"/>
          <w:sz w:val="16"/>
          <w:szCs w:val="16"/>
        </w:rPr>
        <w:t>34,509 incentives were issued to approved participants in accordance with the regulations for the 2018–19 NRAS year</w:t>
      </w:r>
      <w:r w:rsidRPr="002C1853">
        <w:rPr>
          <w:rFonts w:cs="Arial"/>
          <w:sz w:val="16"/>
          <w:szCs w:val="16"/>
        </w:rPr>
        <w:t>.</w:t>
      </w:r>
    </w:p>
    <w:p w14:paraId="72F30EB5" w14:textId="77777777" w:rsidR="00A9105E" w:rsidRDefault="00A9105E" w:rsidP="00A9105E">
      <w:pPr>
        <w:spacing w:before="160" w:after="60" w:line="240" w:lineRule="auto"/>
        <w:ind w:left="284" w:hanging="284"/>
        <w:contextualSpacing/>
        <w:rPr>
          <w:rFonts w:cs="Arial"/>
          <w:sz w:val="16"/>
          <w:szCs w:val="16"/>
        </w:rPr>
      </w:pPr>
      <w:r w:rsidRPr="002C1853">
        <w:rPr>
          <w:rFonts w:cs="Arial"/>
          <w:sz w:val="16"/>
          <w:szCs w:val="16"/>
        </w:rPr>
        <w:t>b</w:t>
      </w:r>
      <w:r w:rsidRPr="002C1853">
        <w:rPr>
          <w:rFonts w:cs="Arial"/>
          <w:sz w:val="16"/>
          <w:szCs w:val="16"/>
        </w:rPr>
        <w:tab/>
      </w:r>
      <w:r w:rsidRPr="000711B0">
        <w:rPr>
          <w:rFonts w:cs="Arial"/>
          <w:sz w:val="16"/>
          <w:szCs w:val="16"/>
        </w:rPr>
        <w:t>34,924 incentives were issued to approved participants in accordance with the regulations for the 2017–18 NRAS year</w:t>
      </w:r>
      <w:r w:rsidRPr="002C1853">
        <w:rPr>
          <w:rFonts w:cs="Arial"/>
          <w:sz w:val="16"/>
          <w:szCs w:val="16"/>
        </w:rPr>
        <w:t>.</w:t>
      </w:r>
    </w:p>
    <w:p w14:paraId="71881E34" w14:textId="77777777" w:rsidR="00A9105E" w:rsidRPr="002C1853" w:rsidRDefault="00A9105E" w:rsidP="00A9105E">
      <w:pPr>
        <w:spacing w:before="160" w:after="60" w:line="240" w:lineRule="auto"/>
        <w:ind w:left="284" w:hanging="284"/>
        <w:contextualSpacing/>
        <w:rPr>
          <w:rFonts w:cs="Arial"/>
          <w:sz w:val="16"/>
          <w:szCs w:val="16"/>
        </w:rPr>
      </w:pPr>
      <w:r>
        <w:rPr>
          <w:rFonts w:cs="Arial"/>
          <w:sz w:val="16"/>
          <w:szCs w:val="16"/>
        </w:rPr>
        <w:t>c</w:t>
      </w:r>
      <w:r>
        <w:rPr>
          <w:rFonts w:cs="Arial"/>
          <w:sz w:val="16"/>
          <w:szCs w:val="16"/>
        </w:rPr>
        <w:tab/>
      </w:r>
      <w:r w:rsidRPr="000711B0">
        <w:rPr>
          <w:rFonts w:cs="Arial"/>
          <w:sz w:val="16"/>
          <w:szCs w:val="16"/>
        </w:rPr>
        <w:t>34,061 incentives were issued to approved participants in accordance with the regulations for the 2016–17 NRAS year</w:t>
      </w:r>
      <w:r>
        <w:rPr>
          <w:rFonts w:cs="Arial"/>
          <w:sz w:val="16"/>
          <w:szCs w:val="16"/>
        </w:rPr>
        <w:t>.</w:t>
      </w:r>
    </w:p>
    <w:p w14:paraId="05871C3F" w14:textId="77777777" w:rsidR="00715F6F" w:rsidRDefault="00715F6F" w:rsidP="00A9105E">
      <w:pPr>
        <w:rPr>
          <w:rFonts w:cs="Arial"/>
          <w:sz w:val="20"/>
          <w:szCs w:val="20"/>
        </w:rPr>
        <w:sectPr w:rsidR="00715F6F" w:rsidSect="003A047F">
          <w:footnotePr>
            <w:numRestart w:val="eachPage"/>
          </w:footnotePr>
          <w:pgSz w:w="11906" w:h="16838"/>
          <w:pgMar w:top="1440" w:right="1440" w:bottom="1440" w:left="1440" w:header="709" w:footer="709" w:gutter="0"/>
          <w:cols w:space="708"/>
          <w:docGrid w:linePitch="360"/>
        </w:sectPr>
      </w:pPr>
    </w:p>
    <w:p w14:paraId="073C6BB8" w14:textId="77777777" w:rsidR="00A9105E" w:rsidRPr="00054A67" w:rsidRDefault="00A9105E" w:rsidP="00A9105E">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lastRenderedPageBreak/>
        <w:t>Performance Analysis of Outcome 4 Programs</w:t>
      </w:r>
    </w:p>
    <w:p w14:paraId="33FD14C3" w14:textId="2884CD9B" w:rsidR="00A9105E" w:rsidRPr="00FA0C14" w:rsidRDefault="00A9105E" w:rsidP="00A9105E">
      <w:pPr>
        <w:rPr>
          <w:sz w:val="20"/>
        </w:rPr>
      </w:pPr>
      <w:r w:rsidRPr="00FA0C14">
        <w:rPr>
          <w:sz w:val="20"/>
        </w:rPr>
        <w:t>For Outcome 4 our performance criteria (as outlined in the 2019–20 Portfolio Budget Statement</w:t>
      </w:r>
      <w:r w:rsidR="00715789">
        <w:rPr>
          <w:sz w:val="20"/>
        </w:rPr>
        <w:t>s</w:t>
      </w:r>
      <w:r w:rsidRPr="00FA0C14">
        <w:rPr>
          <w:sz w:val="20"/>
        </w:rPr>
        <w:t xml:space="preserve">) is about delivery in compliance with </w:t>
      </w:r>
      <w:r w:rsidRPr="000D74E9">
        <w:rPr>
          <w:sz w:val="20"/>
          <w:szCs w:val="20"/>
        </w:rPr>
        <w:t xml:space="preserve">contracts, agreements and </w:t>
      </w:r>
      <w:r w:rsidRPr="00FA0C14">
        <w:rPr>
          <w:sz w:val="20"/>
        </w:rPr>
        <w:t>legislation.</w:t>
      </w:r>
    </w:p>
    <w:p w14:paraId="0F12490C" w14:textId="77777777" w:rsidR="00A9105E" w:rsidRPr="00FA0C14" w:rsidRDefault="00A9105E" w:rsidP="00A9105E">
      <w:pPr>
        <w:rPr>
          <w:sz w:val="20"/>
        </w:rPr>
      </w:pPr>
      <w:r w:rsidRPr="00FA0C14">
        <w:rPr>
          <w:sz w:val="20"/>
        </w:rPr>
        <w:t>The</w:t>
      </w:r>
      <w:r w:rsidRPr="000D74E9">
        <w:rPr>
          <w:sz w:val="20"/>
          <w:szCs w:val="20"/>
        </w:rPr>
        <w:t xml:space="preserve"> contracts and</w:t>
      </w:r>
      <w:r w:rsidRPr="00FA0C14">
        <w:rPr>
          <w:sz w:val="20"/>
        </w:rPr>
        <w:t xml:space="preserve"> agreements contain the service level standards and expectations between the department and the organisation delivering the services to best effect the increase of housing supply, improved community housing and assisting individuals experiencing homelessness.</w:t>
      </w:r>
    </w:p>
    <w:p w14:paraId="4B88FA6B" w14:textId="77777777" w:rsidR="00A9105E" w:rsidRPr="00FA0C14" w:rsidRDefault="00A9105E" w:rsidP="00A9105E">
      <w:pPr>
        <w:rPr>
          <w:rFonts w:asciiTheme="minorHAnsi" w:hAnsiTheme="minorHAnsi"/>
          <w:color w:val="1F497D"/>
        </w:rPr>
      </w:pPr>
      <w:r w:rsidRPr="00FA0C14">
        <w:rPr>
          <w:sz w:val="20"/>
        </w:rPr>
        <w:t xml:space="preserve">For 2020–21 there will be a continued focus on this effect with a performance criterion focused on </w:t>
      </w:r>
      <w:r w:rsidRPr="000D74E9">
        <w:rPr>
          <w:sz w:val="20"/>
          <w:szCs w:val="20"/>
        </w:rPr>
        <w:t xml:space="preserve">states </w:t>
      </w:r>
      <w:r w:rsidRPr="00FA0C14">
        <w:rPr>
          <w:sz w:val="20"/>
        </w:rPr>
        <w:t xml:space="preserve">and territories delivering and meeting their requirements under the National Housing and Homelessness Agreement. </w:t>
      </w:r>
    </w:p>
    <w:p w14:paraId="60FBC963" w14:textId="6EAB5FF8" w:rsidR="00A9105E" w:rsidRPr="00FA0C14" w:rsidRDefault="00A9105E" w:rsidP="00A9105E">
      <w:pPr>
        <w:rPr>
          <w:sz w:val="20"/>
        </w:rPr>
      </w:pPr>
      <w:r w:rsidRPr="000D74E9">
        <w:rPr>
          <w:sz w:val="20"/>
          <w:szCs w:val="20"/>
        </w:rPr>
        <w:t xml:space="preserve">There will also be a continued focus on delivering the </w:t>
      </w:r>
      <w:r w:rsidR="008F52A0">
        <w:rPr>
          <w:sz w:val="20"/>
          <w:szCs w:val="20"/>
        </w:rPr>
        <w:t>NRAS</w:t>
      </w:r>
      <w:r w:rsidRPr="000D74E9">
        <w:rPr>
          <w:sz w:val="20"/>
          <w:szCs w:val="20"/>
        </w:rPr>
        <w:t xml:space="preserve"> in compliance with legislation, including processing of compliance statements within 60 days. The </w:t>
      </w:r>
      <w:r w:rsidR="008F52A0">
        <w:rPr>
          <w:sz w:val="20"/>
          <w:szCs w:val="20"/>
        </w:rPr>
        <w:t>NRAS</w:t>
      </w:r>
      <w:r w:rsidRPr="000D74E9">
        <w:rPr>
          <w:sz w:val="20"/>
          <w:szCs w:val="20"/>
        </w:rPr>
        <w:t xml:space="preserve"> makes dwellings available at reduced rents for eligible low and moderate income households by issuing incentives to approved participants. Results provided relate to compliance being met and demand data related to number of incentives issued and percentage of dwellings that were paid an incentive.</w:t>
      </w:r>
    </w:p>
    <w:p w14:paraId="4D410099" w14:textId="77777777" w:rsidR="00715F6F" w:rsidRDefault="00715F6F" w:rsidP="00A9105E">
      <w:pPr>
        <w:rPr>
          <w:rFonts w:cs="Arial"/>
          <w:sz w:val="20"/>
          <w:szCs w:val="20"/>
        </w:rPr>
        <w:sectPr w:rsidR="00715F6F" w:rsidSect="003A047F">
          <w:footnotePr>
            <w:numRestart w:val="eachPage"/>
          </w:footnotePr>
          <w:pgSz w:w="11906" w:h="16838"/>
          <w:pgMar w:top="1440" w:right="1440" w:bottom="1440" w:left="1440" w:header="709" w:footer="709" w:gutter="0"/>
          <w:cols w:space="708"/>
          <w:docGrid w:linePitch="360"/>
        </w:sectPr>
      </w:pPr>
    </w:p>
    <w:p w14:paraId="1593F799" w14:textId="77777777" w:rsidR="00A9105E" w:rsidRPr="00054A67" w:rsidRDefault="00A9105E" w:rsidP="00A9105E">
      <w:pPr>
        <w:spacing w:before="360" w:after="240"/>
        <w:outlineLvl w:val="3"/>
        <w:rPr>
          <w:rFonts w:ascii="Georgia" w:eastAsiaTheme="majorEastAsia" w:hAnsi="Georgia" w:cstheme="majorBidi"/>
          <w:bCs/>
          <w:iCs/>
          <w:color w:val="215868" w:themeColor="accent5" w:themeShade="80"/>
          <w:sz w:val="36"/>
        </w:rPr>
      </w:pPr>
      <w:r w:rsidRPr="00054A67">
        <w:rPr>
          <w:rFonts w:ascii="Georgia" w:eastAsiaTheme="majorEastAsia" w:hAnsi="Georgia" w:cstheme="majorBidi"/>
          <w:bCs/>
          <w:iCs/>
          <w:color w:val="215868" w:themeColor="accent5" w:themeShade="80"/>
          <w:sz w:val="36"/>
        </w:rPr>
        <w:lastRenderedPageBreak/>
        <w:t>Performance Results of Key Activities</w:t>
      </w:r>
    </w:p>
    <w:p w14:paraId="688E6B1E" w14:textId="77777777" w:rsidR="00A9105E" w:rsidRDefault="00A9105E" w:rsidP="00A9105E">
      <w:pPr>
        <w:rPr>
          <w:rFonts w:cs="Arial"/>
          <w:sz w:val="20"/>
          <w:szCs w:val="20"/>
        </w:rPr>
      </w:pPr>
      <w:r w:rsidRPr="00D60AF2">
        <w:rPr>
          <w:rFonts w:cs="Arial"/>
          <w:sz w:val="20"/>
          <w:szCs w:val="20"/>
        </w:rPr>
        <w:t>This section describes the performance of</w:t>
      </w:r>
      <w:r>
        <w:rPr>
          <w:rFonts w:cs="Arial"/>
          <w:sz w:val="20"/>
          <w:szCs w:val="20"/>
        </w:rPr>
        <w:t xml:space="preserve"> the key activities in Outcome 4</w:t>
      </w:r>
      <w:r w:rsidRPr="00D60AF2">
        <w:rPr>
          <w:rFonts w:cs="Arial"/>
          <w:sz w:val="20"/>
          <w:szCs w:val="20"/>
        </w:rPr>
        <w:t>. The table below outlines our Corporate Plan performance crite</w:t>
      </w:r>
      <w:r>
        <w:rPr>
          <w:rFonts w:cs="Arial"/>
          <w:sz w:val="20"/>
          <w:szCs w:val="20"/>
        </w:rPr>
        <w:t>ria and indicators for Outcome 4</w:t>
      </w:r>
      <w:r w:rsidRPr="00D60AF2">
        <w:rPr>
          <w:rFonts w:cs="Arial"/>
          <w:sz w:val="20"/>
          <w:szCs w:val="20"/>
        </w:rPr>
        <w:t>, which show how we intend to measure what we achieved, how well we did, and how much we did. Not all activities report against every performance criterion.</w:t>
      </w:r>
    </w:p>
    <w:p w14:paraId="3AB04321" w14:textId="77777777" w:rsidR="00A9105E" w:rsidRDefault="00A9105E" w:rsidP="00A9105E">
      <w:pPr>
        <w:keepNext/>
        <w:spacing w:before="240" w:after="0" w:line="260" w:lineRule="atLeast"/>
        <w:ind w:right="425"/>
        <w:rPr>
          <w:rFonts w:ascii="Arial Narrow" w:eastAsia="Times New Roman" w:hAnsi="Arial Narrow" w:cs="Times New Roman"/>
          <w:b/>
          <w:bCs/>
          <w:spacing w:val="4"/>
          <w:sz w:val="20"/>
          <w:szCs w:val="18"/>
          <w:lang w:eastAsia="en-AU"/>
        </w:rPr>
      </w:pPr>
      <w:r w:rsidRPr="00DE7858">
        <w:rPr>
          <w:rFonts w:ascii="Arial Narrow" w:eastAsia="Times New Roman" w:hAnsi="Arial Narrow" w:cs="Times New Roman"/>
          <w:b/>
          <w:bCs/>
          <w:spacing w:val="4"/>
          <w:sz w:val="20"/>
          <w:szCs w:val="18"/>
          <w:lang w:eastAsia="en-AU"/>
        </w:rPr>
        <w:t xml:space="preserve">Table </w:t>
      </w:r>
      <w:r>
        <w:rPr>
          <w:rFonts w:ascii="Arial Narrow" w:eastAsia="Times New Roman" w:hAnsi="Arial Narrow" w:cs="Times New Roman"/>
          <w:b/>
          <w:bCs/>
          <w:spacing w:val="4"/>
          <w:sz w:val="20"/>
          <w:szCs w:val="18"/>
          <w:lang w:eastAsia="en-AU"/>
        </w:rPr>
        <w:t>2.4</w:t>
      </w:r>
      <w:r w:rsidRPr="00DE7858">
        <w:rPr>
          <w:rFonts w:ascii="Arial Narrow" w:eastAsia="Times New Roman" w:hAnsi="Arial Narrow" w:cs="Times New Roman"/>
          <w:b/>
          <w:bCs/>
          <w:spacing w:val="4"/>
          <w:sz w:val="20"/>
          <w:szCs w:val="18"/>
          <w:lang w:eastAsia="en-AU"/>
        </w:rPr>
        <w:t>.</w:t>
      </w:r>
      <w:r>
        <w:rPr>
          <w:rFonts w:ascii="Arial Narrow" w:eastAsia="Times New Roman" w:hAnsi="Arial Narrow" w:cs="Times New Roman"/>
          <w:b/>
          <w:bCs/>
          <w:spacing w:val="4"/>
          <w:sz w:val="20"/>
          <w:szCs w:val="18"/>
          <w:lang w:eastAsia="en-AU"/>
        </w:rPr>
        <w:t>3</w:t>
      </w:r>
      <w:r w:rsidRPr="00DE7858">
        <w:rPr>
          <w:rFonts w:ascii="Arial Narrow" w:eastAsia="Times New Roman" w:hAnsi="Arial Narrow" w:cs="Times New Roman"/>
          <w:b/>
          <w:bCs/>
          <w:spacing w:val="4"/>
          <w:sz w:val="20"/>
          <w:szCs w:val="18"/>
          <w:lang w:eastAsia="en-AU"/>
        </w:rPr>
        <w:t>: Cross program pe</w:t>
      </w:r>
      <w:r>
        <w:rPr>
          <w:rFonts w:ascii="Arial Narrow" w:eastAsia="Times New Roman" w:hAnsi="Arial Narrow" w:cs="Times New Roman"/>
          <w:b/>
          <w:bCs/>
          <w:spacing w:val="4"/>
          <w:sz w:val="20"/>
          <w:szCs w:val="18"/>
          <w:lang w:eastAsia="en-AU"/>
        </w:rPr>
        <w:t>rformance criteria for Outcome 4</w:t>
      </w:r>
      <w:r w:rsidRPr="00DE7858">
        <w:rPr>
          <w:rFonts w:ascii="Arial Narrow" w:eastAsia="Times New Roman" w:hAnsi="Arial Narrow" w:cs="Times New Roman"/>
          <w:b/>
          <w:bCs/>
          <w:spacing w:val="4"/>
          <w:sz w:val="20"/>
          <w:szCs w:val="18"/>
          <w:lang w:eastAsia="en-AU"/>
        </w:rPr>
        <w:t xml:space="preserve"> </w:t>
      </w:r>
      <w:r>
        <w:rPr>
          <w:rFonts w:ascii="Arial Narrow" w:eastAsia="Times New Roman" w:hAnsi="Arial Narrow" w:cs="Times New Roman"/>
          <w:b/>
          <w:bCs/>
          <w:spacing w:val="4"/>
          <w:sz w:val="20"/>
          <w:szCs w:val="18"/>
          <w:lang w:eastAsia="en-AU"/>
        </w:rPr>
        <w:t>–</w:t>
      </w:r>
      <w:r w:rsidRPr="00DE7858">
        <w:rPr>
          <w:rFonts w:ascii="Arial Narrow" w:eastAsia="Times New Roman" w:hAnsi="Arial Narrow" w:cs="Times New Roman"/>
          <w:b/>
          <w:bCs/>
          <w:spacing w:val="4"/>
          <w:sz w:val="20"/>
          <w:szCs w:val="18"/>
          <w:lang w:eastAsia="en-AU"/>
        </w:rPr>
        <w:t xml:space="preserve"> </w:t>
      </w:r>
      <w:r>
        <w:rPr>
          <w:rFonts w:ascii="Arial Narrow" w:eastAsia="Times New Roman" w:hAnsi="Arial Narrow" w:cs="Times New Roman"/>
          <w:b/>
          <w:bCs/>
          <w:spacing w:val="4"/>
          <w:sz w:val="20"/>
          <w:szCs w:val="18"/>
          <w:lang w:eastAsia="en-AU"/>
        </w:rPr>
        <w:t>Housing</w:t>
      </w:r>
    </w:p>
    <w:p w14:paraId="4428B8A6" w14:textId="1C90B415" w:rsidR="00A9105E" w:rsidRPr="00A5779D" w:rsidRDefault="00A9105E" w:rsidP="00A9105E">
      <w:pPr>
        <w:keepNext/>
        <w:spacing w:after="0" w:line="260" w:lineRule="atLeast"/>
        <w:ind w:right="425"/>
        <w:rPr>
          <w:rFonts w:cs="Arial"/>
          <w:i/>
          <w:sz w:val="16"/>
          <w:szCs w:val="16"/>
        </w:rPr>
      </w:pPr>
      <w:r w:rsidRPr="00A5779D">
        <w:rPr>
          <w:rFonts w:cs="Arial"/>
          <w:i/>
          <w:sz w:val="16"/>
          <w:szCs w:val="16"/>
        </w:rPr>
        <w:t>Programs:</w:t>
      </w:r>
      <w:r w:rsidR="007476D4">
        <w:rPr>
          <w:rFonts w:cs="Arial"/>
          <w:i/>
          <w:sz w:val="16"/>
          <w:szCs w:val="16"/>
        </w:rPr>
        <w:t xml:space="preserve"> </w:t>
      </w:r>
      <w:r w:rsidRPr="00A5779D">
        <w:rPr>
          <w:rFonts w:cs="Arial"/>
          <w:i/>
          <w:sz w:val="16"/>
          <w:szCs w:val="16"/>
        </w:rPr>
        <w:t>4.1 Housing and Homelessness; 4.2 Affordable Housing</w:t>
      </w:r>
    </w:p>
    <w:tbl>
      <w:tblPr>
        <w:tblStyle w:val="TableGrid11"/>
        <w:tblW w:w="5000" w:type="pct"/>
        <w:tblInd w:w="23" w:type="dxa"/>
        <w:tblLook w:val="04A0" w:firstRow="1" w:lastRow="0" w:firstColumn="1" w:lastColumn="0" w:noHBand="0" w:noVBand="1"/>
        <w:tblCaption w:val="Table 2.4.3: Cross program performance criteria for Outcome 4 - Housing"/>
        <w:tblDescription w:val="Table 2.4.3: Cross program performance criteria for Outcome 4 - Housing"/>
      </w:tblPr>
      <w:tblGrid>
        <w:gridCol w:w="1388"/>
        <w:gridCol w:w="1643"/>
        <w:gridCol w:w="3493"/>
        <w:gridCol w:w="1138"/>
        <w:gridCol w:w="1354"/>
      </w:tblGrid>
      <w:tr w:rsidR="00A9105E" w:rsidRPr="002C1853" w14:paraId="1D526F36" w14:textId="77777777" w:rsidTr="00ED2244">
        <w:trPr>
          <w:trHeight w:val="340"/>
        </w:trPr>
        <w:tc>
          <w:tcPr>
            <w:tcW w:w="769" w:type="pct"/>
            <w:shd w:val="clear" w:color="auto" w:fill="000000" w:themeFill="text1"/>
          </w:tcPr>
          <w:p w14:paraId="6940991C" w14:textId="77777777" w:rsidR="00A9105E" w:rsidRPr="007F2601" w:rsidRDefault="00A9105E" w:rsidP="00E117FD">
            <w:pPr>
              <w:keepNext/>
              <w:keepLines/>
              <w:spacing w:before="40" w:after="40"/>
              <w:jc w:val="center"/>
              <w:rPr>
                <w:color w:val="FFFFFF" w:themeColor="background1"/>
                <w:sz w:val="16"/>
                <w:szCs w:val="16"/>
              </w:rPr>
            </w:pPr>
            <w:r w:rsidRPr="007F2601">
              <w:rPr>
                <w:color w:val="FFFFFF" w:themeColor="background1"/>
                <w:sz w:val="16"/>
                <w:szCs w:val="16"/>
              </w:rPr>
              <w:t>Measure Hierarchy</w:t>
            </w:r>
          </w:p>
        </w:tc>
        <w:tc>
          <w:tcPr>
            <w:tcW w:w="911" w:type="pct"/>
            <w:shd w:val="clear" w:color="auto" w:fill="000000" w:themeFill="text1"/>
            <w:hideMark/>
          </w:tcPr>
          <w:p w14:paraId="6E3EBB15" w14:textId="77777777" w:rsidR="00A9105E" w:rsidRPr="007F2601" w:rsidRDefault="00A9105E" w:rsidP="00E117FD">
            <w:pPr>
              <w:keepNext/>
              <w:keepLines/>
              <w:spacing w:before="40" w:after="40"/>
              <w:jc w:val="center"/>
              <w:rPr>
                <w:color w:val="FFFFFF" w:themeColor="background1"/>
                <w:sz w:val="16"/>
                <w:szCs w:val="16"/>
              </w:rPr>
            </w:pPr>
            <w:r w:rsidRPr="007F2601">
              <w:rPr>
                <w:color w:val="FFFFFF" w:themeColor="background1"/>
                <w:sz w:val="16"/>
                <w:szCs w:val="16"/>
              </w:rPr>
              <w:t>Performance criteria</w:t>
            </w:r>
          </w:p>
        </w:tc>
        <w:tc>
          <w:tcPr>
            <w:tcW w:w="1937" w:type="pct"/>
            <w:shd w:val="clear" w:color="auto" w:fill="000000" w:themeFill="text1"/>
            <w:hideMark/>
          </w:tcPr>
          <w:p w14:paraId="779C14C1" w14:textId="77777777" w:rsidR="00A9105E" w:rsidRPr="007F2601" w:rsidRDefault="00A9105E" w:rsidP="00E117FD">
            <w:pPr>
              <w:keepNext/>
              <w:keepLines/>
              <w:spacing w:before="40" w:after="40"/>
              <w:jc w:val="center"/>
              <w:rPr>
                <w:color w:val="FFFFFF" w:themeColor="background1"/>
                <w:sz w:val="16"/>
                <w:szCs w:val="16"/>
              </w:rPr>
            </w:pPr>
            <w:r w:rsidRPr="007F2601">
              <w:rPr>
                <w:color w:val="FFFFFF" w:themeColor="background1"/>
                <w:sz w:val="16"/>
                <w:szCs w:val="16"/>
              </w:rPr>
              <w:t>Indicator/Output</w:t>
            </w:r>
          </w:p>
        </w:tc>
        <w:tc>
          <w:tcPr>
            <w:tcW w:w="631" w:type="pct"/>
            <w:shd w:val="clear" w:color="auto" w:fill="000000" w:themeFill="text1"/>
          </w:tcPr>
          <w:p w14:paraId="39D52155" w14:textId="77777777" w:rsidR="00A9105E" w:rsidRPr="007F2601" w:rsidRDefault="00A9105E" w:rsidP="00E117FD">
            <w:pPr>
              <w:keepNext/>
              <w:keepLines/>
              <w:spacing w:before="40" w:after="40"/>
              <w:jc w:val="center"/>
              <w:rPr>
                <w:color w:val="FFFFFF" w:themeColor="background1"/>
                <w:sz w:val="16"/>
                <w:szCs w:val="16"/>
              </w:rPr>
            </w:pPr>
            <w:r w:rsidRPr="007F2601">
              <w:rPr>
                <w:color w:val="FFFFFF" w:themeColor="background1"/>
                <w:sz w:val="16"/>
                <w:szCs w:val="16"/>
              </w:rPr>
              <w:t>Program Reference</w:t>
            </w:r>
          </w:p>
        </w:tc>
        <w:tc>
          <w:tcPr>
            <w:tcW w:w="751" w:type="pct"/>
            <w:shd w:val="clear" w:color="auto" w:fill="000000" w:themeFill="text1"/>
          </w:tcPr>
          <w:p w14:paraId="406C7F0A" w14:textId="77777777" w:rsidR="00A9105E" w:rsidRPr="007F2601" w:rsidRDefault="00A9105E" w:rsidP="00E117FD">
            <w:pPr>
              <w:keepNext/>
              <w:keepLines/>
              <w:spacing w:before="40" w:after="40"/>
              <w:jc w:val="center"/>
              <w:rPr>
                <w:color w:val="FFFFFF" w:themeColor="background1"/>
                <w:sz w:val="16"/>
                <w:szCs w:val="16"/>
              </w:rPr>
            </w:pPr>
            <w:r w:rsidRPr="007F2601">
              <w:rPr>
                <w:color w:val="FFFFFF" w:themeColor="background1"/>
                <w:sz w:val="16"/>
                <w:szCs w:val="16"/>
              </w:rPr>
              <w:t>Results Table Index</w:t>
            </w:r>
          </w:p>
        </w:tc>
      </w:tr>
      <w:tr w:rsidR="00A9105E" w:rsidRPr="002C1853" w14:paraId="0B87A4BA" w14:textId="77777777" w:rsidTr="00ED2244">
        <w:trPr>
          <w:trHeight w:val="1200"/>
        </w:trPr>
        <w:tc>
          <w:tcPr>
            <w:tcW w:w="769" w:type="pct"/>
            <w:shd w:val="clear" w:color="auto" w:fill="005A70"/>
            <w:hideMark/>
          </w:tcPr>
          <w:p w14:paraId="7E813684" w14:textId="77777777" w:rsidR="00A9105E" w:rsidRPr="00ED2244" w:rsidRDefault="00A9105E" w:rsidP="00E117FD">
            <w:pPr>
              <w:keepNext/>
              <w:keepLines/>
              <w:spacing w:beforeLines="20" w:before="48" w:afterLines="20" w:after="48"/>
              <w:rPr>
                <w:rFonts w:cs="Arial"/>
                <w:b/>
                <w:color w:val="FFFFFF" w:themeColor="background1"/>
                <w:sz w:val="16"/>
                <w:szCs w:val="16"/>
              </w:rPr>
            </w:pPr>
            <w:r w:rsidRPr="00ED2244">
              <w:rPr>
                <w:rFonts w:cs="Arial"/>
                <w:b/>
                <w:color w:val="FFFFFF" w:themeColor="background1"/>
                <w:sz w:val="16"/>
                <w:szCs w:val="16"/>
              </w:rPr>
              <w:t>Outcome — What did we achieve?</w:t>
            </w:r>
          </w:p>
        </w:tc>
        <w:tc>
          <w:tcPr>
            <w:tcW w:w="911" w:type="pct"/>
            <w:shd w:val="clear" w:color="auto" w:fill="00B0B9"/>
            <w:hideMark/>
          </w:tcPr>
          <w:p w14:paraId="3E15663B" w14:textId="77777777" w:rsidR="00A9105E" w:rsidRPr="007F2601" w:rsidRDefault="00A9105E" w:rsidP="00E117FD">
            <w:pPr>
              <w:keepNext/>
              <w:keepLines/>
              <w:spacing w:beforeLines="20" w:before="48" w:afterLines="20" w:after="48"/>
              <w:rPr>
                <w:rFonts w:cs="Arial"/>
                <w:b/>
                <w:sz w:val="16"/>
                <w:szCs w:val="16"/>
              </w:rPr>
            </w:pPr>
            <w:r w:rsidRPr="007F2601">
              <w:rPr>
                <w:rFonts w:cs="Arial"/>
                <w:b/>
                <w:sz w:val="16"/>
                <w:szCs w:val="16"/>
              </w:rPr>
              <w:t>C4.1 – Extent of improvement in rental affordability for low and moderate-income households</w:t>
            </w:r>
          </w:p>
        </w:tc>
        <w:tc>
          <w:tcPr>
            <w:tcW w:w="1937" w:type="pct"/>
            <w:shd w:val="clear" w:color="auto" w:fill="D9D9D9" w:themeFill="background1" w:themeFillShade="D9"/>
          </w:tcPr>
          <w:p w14:paraId="55FFBE13" w14:textId="77777777" w:rsidR="00A9105E" w:rsidRPr="002C1853" w:rsidRDefault="00A9105E" w:rsidP="00E117FD">
            <w:pPr>
              <w:keepNext/>
              <w:keepLines/>
              <w:spacing w:beforeLines="20" w:before="48" w:afterLines="20" w:after="48"/>
              <w:rPr>
                <w:rFonts w:cs="Arial"/>
                <w:sz w:val="16"/>
                <w:szCs w:val="16"/>
              </w:rPr>
            </w:pPr>
            <w:r w:rsidRPr="002C1853">
              <w:rPr>
                <w:rFonts w:cs="Arial"/>
                <w:sz w:val="16"/>
                <w:szCs w:val="16"/>
              </w:rPr>
              <w:t>C</w:t>
            </w:r>
            <w:r>
              <w:rPr>
                <w:rFonts w:cs="Arial"/>
                <w:sz w:val="16"/>
                <w:szCs w:val="16"/>
              </w:rPr>
              <w:t>4</w:t>
            </w:r>
            <w:r w:rsidRPr="002C1853">
              <w:rPr>
                <w:rFonts w:cs="Arial"/>
                <w:sz w:val="16"/>
                <w:szCs w:val="16"/>
              </w:rPr>
              <w:t xml:space="preserve">.1.1 </w:t>
            </w:r>
            <w:r>
              <w:rPr>
                <w:rFonts w:cs="Arial"/>
                <w:sz w:val="16"/>
                <w:szCs w:val="16"/>
              </w:rPr>
              <w:t>–</w:t>
            </w:r>
            <w:r w:rsidRPr="002C1853">
              <w:rPr>
                <w:rFonts w:cs="Arial"/>
                <w:sz w:val="16"/>
                <w:szCs w:val="16"/>
              </w:rPr>
              <w:t xml:space="preserve"> </w:t>
            </w:r>
            <w:r w:rsidRPr="00FC66A9">
              <w:rPr>
                <w:rFonts w:cs="Arial"/>
                <w:sz w:val="16"/>
                <w:szCs w:val="16"/>
              </w:rPr>
              <w:t>Percentage of National Rental Affordability Scheme (NRAS) households in rental stress before and after NRAS discounted rent</w:t>
            </w:r>
          </w:p>
        </w:tc>
        <w:tc>
          <w:tcPr>
            <w:tcW w:w="631" w:type="pct"/>
            <w:shd w:val="clear" w:color="auto" w:fill="D9D9D9" w:themeFill="background1" w:themeFillShade="D9"/>
          </w:tcPr>
          <w:p w14:paraId="4F2BB42C" w14:textId="77777777" w:rsidR="00A9105E" w:rsidRPr="002C1853" w:rsidRDefault="00A9105E" w:rsidP="00E117FD">
            <w:pPr>
              <w:keepNext/>
              <w:keepLines/>
              <w:spacing w:beforeLines="20" w:before="48" w:afterLines="20" w:after="48"/>
              <w:rPr>
                <w:rFonts w:cs="Arial"/>
                <w:sz w:val="16"/>
                <w:szCs w:val="16"/>
              </w:rPr>
            </w:pPr>
            <w:r>
              <w:rPr>
                <w:rFonts w:cs="Arial"/>
                <w:sz w:val="16"/>
                <w:szCs w:val="16"/>
              </w:rPr>
              <w:t>4.2</w:t>
            </w:r>
          </w:p>
        </w:tc>
        <w:tc>
          <w:tcPr>
            <w:tcW w:w="751" w:type="pct"/>
            <w:shd w:val="clear" w:color="auto" w:fill="D9D9D9" w:themeFill="background1" w:themeFillShade="D9"/>
          </w:tcPr>
          <w:p w14:paraId="5AABCA95" w14:textId="77777777" w:rsidR="00A9105E" w:rsidRPr="002C1853" w:rsidRDefault="00A9105E" w:rsidP="00E117FD">
            <w:pPr>
              <w:keepNext/>
              <w:keepLines/>
              <w:spacing w:beforeLines="20" w:before="48" w:afterLines="20" w:after="48"/>
              <w:rPr>
                <w:rFonts w:cs="Arial"/>
                <w:sz w:val="16"/>
                <w:szCs w:val="16"/>
              </w:rPr>
            </w:pPr>
            <w:r w:rsidRPr="009B69B9">
              <w:rPr>
                <w:rFonts w:cs="Arial"/>
                <w:sz w:val="16"/>
                <w:szCs w:val="16"/>
              </w:rPr>
              <w:t>2.4.4</w:t>
            </w:r>
          </w:p>
        </w:tc>
      </w:tr>
      <w:tr w:rsidR="00A9105E" w:rsidRPr="002C1853" w14:paraId="10EE22BC" w14:textId="77777777" w:rsidTr="00ED2244">
        <w:trPr>
          <w:trHeight w:val="648"/>
        </w:trPr>
        <w:tc>
          <w:tcPr>
            <w:tcW w:w="769" w:type="pct"/>
            <w:vMerge w:val="restart"/>
            <w:shd w:val="clear" w:color="auto" w:fill="005A70"/>
            <w:hideMark/>
          </w:tcPr>
          <w:p w14:paraId="6DC72AF1" w14:textId="77777777" w:rsidR="00A9105E" w:rsidRPr="00ED2244" w:rsidRDefault="00A9105E" w:rsidP="00E117FD">
            <w:pPr>
              <w:keepNext/>
              <w:keepLines/>
              <w:spacing w:beforeLines="20" w:before="48" w:afterLines="20" w:after="48"/>
              <w:rPr>
                <w:color w:val="FFFFFF" w:themeColor="background1"/>
                <w:sz w:val="16"/>
                <w:szCs w:val="16"/>
              </w:rPr>
            </w:pPr>
            <w:r w:rsidRPr="00ED2244">
              <w:rPr>
                <w:b/>
                <w:color w:val="FFFFFF" w:themeColor="background1"/>
                <w:sz w:val="16"/>
                <w:szCs w:val="16"/>
              </w:rPr>
              <w:t>Intermediate Outcome — How well did we do?</w:t>
            </w:r>
          </w:p>
        </w:tc>
        <w:tc>
          <w:tcPr>
            <w:tcW w:w="911" w:type="pct"/>
            <w:shd w:val="clear" w:color="auto" w:fill="00B0B9"/>
            <w:hideMark/>
          </w:tcPr>
          <w:p w14:paraId="0CC7424F" w14:textId="77777777" w:rsidR="00A9105E" w:rsidRPr="00054A67" w:rsidRDefault="00A9105E" w:rsidP="00E117FD">
            <w:pPr>
              <w:keepNext/>
              <w:keepLines/>
              <w:spacing w:beforeLines="20" w:before="48" w:afterLines="20" w:after="48"/>
              <w:rPr>
                <w:b/>
                <w:sz w:val="16"/>
                <w:szCs w:val="16"/>
              </w:rPr>
            </w:pPr>
            <w:r w:rsidRPr="00054A67">
              <w:rPr>
                <w:b/>
                <w:iCs/>
                <w:sz w:val="16"/>
                <w:szCs w:val="16"/>
              </w:rPr>
              <w:t>C4.2 – Extent of contribution to national initiatives</w:t>
            </w:r>
          </w:p>
        </w:tc>
        <w:tc>
          <w:tcPr>
            <w:tcW w:w="1937" w:type="pct"/>
            <w:shd w:val="clear" w:color="auto" w:fill="D9D9D9" w:themeFill="background1" w:themeFillShade="D9"/>
          </w:tcPr>
          <w:p w14:paraId="534793C2" w14:textId="765941E6" w:rsidR="00A9105E" w:rsidRPr="002C1853" w:rsidRDefault="00A9105E">
            <w:pPr>
              <w:keepNext/>
              <w:keepLines/>
              <w:spacing w:beforeLines="20" w:before="48" w:afterLines="20" w:after="48"/>
              <w:rPr>
                <w:sz w:val="16"/>
                <w:szCs w:val="16"/>
              </w:rPr>
            </w:pPr>
            <w:r w:rsidRPr="002C1853">
              <w:rPr>
                <w:sz w:val="16"/>
                <w:szCs w:val="16"/>
              </w:rPr>
              <w:t>C</w:t>
            </w:r>
            <w:r>
              <w:rPr>
                <w:sz w:val="16"/>
                <w:szCs w:val="16"/>
              </w:rPr>
              <w:t>4</w:t>
            </w:r>
            <w:r w:rsidRPr="002C1853">
              <w:rPr>
                <w:sz w:val="16"/>
                <w:szCs w:val="16"/>
              </w:rPr>
              <w:t xml:space="preserve">.2.1 </w:t>
            </w:r>
            <w:r>
              <w:rPr>
                <w:sz w:val="16"/>
                <w:szCs w:val="16"/>
              </w:rPr>
              <w:t>–</w:t>
            </w:r>
            <w:r w:rsidRPr="002C1853">
              <w:rPr>
                <w:sz w:val="16"/>
                <w:szCs w:val="16"/>
              </w:rPr>
              <w:t xml:space="preserve"> </w:t>
            </w:r>
            <w:r w:rsidR="00BA195C">
              <w:rPr>
                <w:sz w:val="16"/>
                <w:szCs w:val="16"/>
              </w:rPr>
              <w:t>the department’s</w:t>
            </w:r>
            <w:r w:rsidRPr="00FC66A9">
              <w:rPr>
                <w:sz w:val="16"/>
                <w:szCs w:val="16"/>
              </w:rPr>
              <w:t xml:space="preserve"> contribution to Commonwealth/State agreements for housing and homelessness</w:t>
            </w:r>
          </w:p>
        </w:tc>
        <w:tc>
          <w:tcPr>
            <w:tcW w:w="631" w:type="pct"/>
            <w:shd w:val="clear" w:color="auto" w:fill="D9D9D9" w:themeFill="background1" w:themeFillShade="D9"/>
          </w:tcPr>
          <w:p w14:paraId="7BFC691E" w14:textId="77777777" w:rsidR="00A9105E" w:rsidRPr="002C1853" w:rsidRDefault="00A9105E" w:rsidP="00E117FD">
            <w:pPr>
              <w:keepNext/>
              <w:keepLines/>
              <w:spacing w:beforeLines="20" w:before="48" w:afterLines="20" w:after="48"/>
              <w:rPr>
                <w:sz w:val="16"/>
                <w:szCs w:val="16"/>
              </w:rPr>
            </w:pPr>
            <w:r>
              <w:rPr>
                <w:sz w:val="16"/>
                <w:szCs w:val="16"/>
              </w:rPr>
              <w:t>4.1, 4.2</w:t>
            </w:r>
          </w:p>
        </w:tc>
        <w:tc>
          <w:tcPr>
            <w:tcW w:w="751" w:type="pct"/>
            <w:shd w:val="clear" w:color="auto" w:fill="D9D9D9" w:themeFill="background1" w:themeFillShade="D9"/>
          </w:tcPr>
          <w:p w14:paraId="1D599677" w14:textId="77777777" w:rsidR="00A9105E" w:rsidRPr="002C1853" w:rsidRDefault="00A9105E" w:rsidP="00E117FD">
            <w:pPr>
              <w:keepNext/>
              <w:keepLines/>
              <w:spacing w:beforeLines="20" w:before="48" w:afterLines="20" w:after="48"/>
              <w:rPr>
                <w:sz w:val="16"/>
                <w:szCs w:val="16"/>
              </w:rPr>
            </w:pPr>
            <w:r w:rsidRPr="009B69B9">
              <w:rPr>
                <w:sz w:val="16"/>
                <w:szCs w:val="16"/>
              </w:rPr>
              <w:t>2.4.5</w:t>
            </w:r>
          </w:p>
        </w:tc>
      </w:tr>
      <w:tr w:rsidR="00A9105E" w:rsidRPr="002C1853" w14:paraId="429C05A5" w14:textId="77777777" w:rsidTr="00ED2244">
        <w:trPr>
          <w:trHeight w:val="435"/>
        </w:trPr>
        <w:tc>
          <w:tcPr>
            <w:tcW w:w="769" w:type="pct"/>
            <w:vMerge/>
            <w:shd w:val="clear" w:color="auto" w:fill="005A70"/>
            <w:hideMark/>
          </w:tcPr>
          <w:p w14:paraId="1AB72F0F" w14:textId="77777777" w:rsidR="00A9105E" w:rsidRPr="00ED2244" w:rsidRDefault="00A9105E" w:rsidP="00E117FD">
            <w:pPr>
              <w:rPr>
                <w:rFonts w:cs="Arial"/>
                <w:color w:val="FFFFFF" w:themeColor="background1"/>
                <w:sz w:val="16"/>
                <w:szCs w:val="16"/>
              </w:rPr>
            </w:pPr>
          </w:p>
        </w:tc>
        <w:tc>
          <w:tcPr>
            <w:tcW w:w="911" w:type="pct"/>
            <w:vMerge w:val="restart"/>
            <w:shd w:val="clear" w:color="auto" w:fill="00B0B9"/>
            <w:hideMark/>
          </w:tcPr>
          <w:p w14:paraId="00952519" w14:textId="77777777" w:rsidR="00A9105E" w:rsidRPr="007F2601" w:rsidRDefault="00A9105E" w:rsidP="00E117FD">
            <w:pPr>
              <w:keepNext/>
              <w:keepLines/>
              <w:spacing w:beforeLines="10" w:before="24" w:afterLines="10" w:after="24"/>
              <w:rPr>
                <w:rFonts w:cs="Arial"/>
                <w:b/>
                <w:sz w:val="16"/>
                <w:szCs w:val="16"/>
              </w:rPr>
            </w:pPr>
            <w:r w:rsidRPr="007F2601">
              <w:rPr>
                <w:b/>
                <w:sz w:val="16"/>
                <w:szCs w:val="16"/>
              </w:rPr>
              <w:t>C4.3 – Extent to which delivery meets program objective</w:t>
            </w:r>
          </w:p>
        </w:tc>
        <w:tc>
          <w:tcPr>
            <w:tcW w:w="1937" w:type="pct"/>
            <w:shd w:val="clear" w:color="auto" w:fill="D9D9D9" w:themeFill="background1" w:themeFillShade="D9"/>
          </w:tcPr>
          <w:p w14:paraId="74BCF0F8" w14:textId="77777777" w:rsidR="00A9105E" w:rsidRPr="002C1853" w:rsidRDefault="00A9105E" w:rsidP="00E117FD">
            <w:pPr>
              <w:keepNext/>
              <w:keepLines/>
              <w:spacing w:beforeLines="10" w:before="24" w:afterLines="10" w:after="24"/>
              <w:rPr>
                <w:sz w:val="16"/>
                <w:szCs w:val="16"/>
              </w:rPr>
            </w:pPr>
            <w:r w:rsidRPr="002C1853">
              <w:rPr>
                <w:sz w:val="16"/>
                <w:szCs w:val="16"/>
              </w:rPr>
              <w:t>C</w:t>
            </w:r>
            <w:r>
              <w:rPr>
                <w:sz w:val="16"/>
                <w:szCs w:val="16"/>
              </w:rPr>
              <w:t>4</w:t>
            </w:r>
            <w:r w:rsidRPr="002C1853">
              <w:rPr>
                <w:sz w:val="16"/>
                <w:szCs w:val="16"/>
              </w:rPr>
              <w:t xml:space="preserve">.3.1 </w:t>
            </w:r>
            <w:r>
              <w:rPr>
                <w:sz w:val="16"/>
                <w:szCs w:val="16"/>
              </w:rPr>
              <w:t>–</w:t>
            </w:r>
            <w:r w:rsidRPr="002C1853">
              <w:rPr>
                <w:sz w:val="16"/>
                <w:szCs w:val="16"/>
              </w:rPr>
              <w:t xml:space="preserve"> </w:t>
            </w:r>
            <w:r w:rsidRPr="00FC66A9">
              <w:rPr>
                <w:sz w:val="16"/>
                <w:szCs w:val="16"/>
              </w:rPr>
              <w:t>Program performance criteria and associated milestones/standards (PBS)</w:t>
            </w:r>
          </w:p>
        </w:tc>
        <w:tc>
          <w:tcPr>
            <w:tcW w:w="631" w:type="pct"/>
            <w:shd w:val="clear" w:color="auto" w:fill="D9D9D9" w:themeFill="background1" w:themeFillShade="D9"/>
          </w:tcPr>
          <w:p w14:paraId="0F753F7A" w14:textId="77777777" w:rsidR="00A9105E" w:rsidRPr="002C1853" w:rsidRDefault="00A9105E" w:rsidP="00E117FD">
            <w:pPr>
              <w:keepNext/>
              <w:keepLines/>
              <w:spacing w:beforeLines="10" w:before="24" w:afterLines="10" w:after="24"/>
              <w:rPr>
                <w:bCs/>
                <w:sz w:val="16"/>
                <w:szCs w:val="16"/>
              </w:rPr>
            </w:pPr>
            <w:r>
              <w:rPr>
                <w:bCs/>
                <w:sz w:val="16"/>
                <w:szCs w:val="16"/>
              </w:rPr>
              <w:t>4.1, 4.2</w:t>
            </w:r>
          </w:p>
        </w:tc>
        <w:tc>
          <w:tcPr>
            <w:tcW w:w="751" w:type="pct"/>
            <w:shd w:val="clear" w:color="auto" w:fill="D9D9D9" w:themeFill="background1" w:themeFillShade="D9"/>
          </w:tcPr>
          <w:p w14:paraId="2010E132" w14:textId="77777777" w:rsidR="00A9105E" w:rsidRPr="002C1853" w:rsidRDefault="00A9105E" w:rsidP="00E117FD">
            <w:pPr>
              <w:keepNext/>
              <w:keepLines/>
              <w:spacing w:beforeLines="10" w:before="24" w:afterLines="10" w:after="24"/>
              <w:rPr>
                <w:bCs/>
                <w:sz w:val="16"/>
                <w:szCs w:val="16"/>
              </w:rPr>
            </w:pPr>
            <w:r w:rsidRPr="00A045CC">
              <w:rPr>
                <w:bCs/>
                <w:sz w:val="16"/>
                <w:szCs w:val="16"/>
              </w:rPr>
              <w:t>2.4.2</w:t>
            </w:r>
          </w:p>
        </w:tc>
      </w:tr>
      <w:tr w:rsidR="00A9105E" w:rsidRPr="002C1853" w14:paraId="240905AE" w14:textId="77777777" w:rsidTr="00ED2244">
        <w:trPr>
          <w:trHeight w:val="70"/>
        </w:trPr>
        <w:tc>
          <w:tcPr>
            <w:tcW w:w="769" w:type="pct"/>
            <w:vMerge/>
            <w:shd w:val="clear" w:color="auto" w:fill="005A70"/>
            <w:hideMark/>
          </w:tcPr>
          <w:p w14:paraId="7691538B" w14:textId="77777777" w:rsidR="00A9105E" w:rsidRPr="00ED2244" w:rsidRDefault="00A9105E" w:rsidP="00E117FD">
            <w:pPr>
              <w:rPr>
                <w:color w:val="FFFFFF" w:themeColor="background1"/>
                <w:sz w:val="16"/>
                <w:szCs w:val="16"/>
              </w:rPr>
            </w:pPr>
          </w:p>
        </w:tc>
        <w:tc>
          <w:tcPr>
            <w:tcW w:w="911" w:type="pct"/>
            <w:vMerge/>
            <w:shd w:val="clear" w:color="auto" w:fill="00B0B9"/>
            <w:hideMark/>
          </w:tcPr>
          <w:p w14:paraId="403EFC13" w14:textId="77777777" w:rsidR="00A9105E" w:rsidRPr="007F2601" w:rsidRDefault="00A9105E" w:rsidP="00E117FD">
            <w:pPr>
              <w:rPr>
                <w:b/>
                <w:sz w:val="16"/>
                <w:szCs w:val="16"/>
              </w:rPr>
            </w:pPr>
          </w:p>
        </w:tc>
        <w:tc>
          <w:tcPr>
            <w:tcW w:w="1937" w:type="pct"/>
            <w:shd w:val="clear" w:color="auto" w:fill="D9D9D9" w:themeFill="background1" w:themeFillShade="D9"/>
          </w:tcPr>
          <w:p w14:paraId="4B59330D" w14:textId="77777777" w:rsidR="00A9105E" w:rsidRPr="002C1853" w:rsidRDefault="00A9105E" w:rsidP="00E117FD">
            <w:pPr>
              <w:keepNext/>
              <w:keepLines/>
              <w:spacing w:beforeLines="10" w:before="24" w:afterLines="10" w:after="24"/>
              <w:rPr>
                <w:sz w:val="16"/>
                <w:szCs w:val="16"/>
              </w:rPr>
            </w:pPr>
            <w:r w:rsidRPr="002C1853">
              <w:rPr>
                <w:sz w:val="16"/>
                <w:szCs w:val="16"/>
              </w:rPr>
              <w:t>C</w:t>
            </w:r>
            <w:r>
              <w:rPr>
                <w:sz w:val="16"/>
                <w:szCs w:val="16"/>
              </w:rPr>
              <w:t>4</w:t>
            </w:r>
            <w:r w:rsidRPr="002C1853">
              <w:rPr>
                <w:sz w:val="16"/>
                <w:szCs w:val="16"/>
              </w:rPr>
              <w:t xml:space="preserve">.3.2 </w:t>
            </w:r>
            <w:r>
              <w:rPr>
                <w:sz w:val="16"/>
                <w:szCs w:val="16"/>
              </w:rPr>
              <w:t>–</w:t>
            </w:r>
            <w:r w:rsidRPr="002C1853">
              <w:rPr>
                <w:sz w:val="16"/>
                <w:szCs w:val="16"/>
              </w:rPr>
              <w:t xml:space="preserve"> </w:t>
            </w:r>
            <w:r w:rsidRPr="00FC66A9">
              <w:rPr>
                <w:sz w:val="16"/>
                <w:szCs w:val="16"/>
              </w:rPr>
              <w:t>Percentage of NRAS dwellings paid an incentive for the relevant NRAS year (PBS)</w:t>
            </w:r>
          </w:p>
        </w:tc>
        <w:tc>
          <w:tcPr>
            <w:tcW w:w="631" w:type="pct"/>
            <w:shd w:val="clear" w:color="auto" w:fill="D9D9D9" w:themeFill="background1" w:themeFillShade="D9"/>
          </w:tcPr>
          <w:p w14:paraId="380864DF" w14:textId="77777777" w:rsidR="00A9105E" w:rsidRPr="002C1853" w:rsidRDefault="00A9105E" w:rsidP="00E117FD">
            <w:pPr>
              <w:keepNext/>
              <w:keepLines/>
              <w:spacing w:beforeLines="10" w:before="24" w:afterLines="10" w:after="24"/>
              <w:rPr>
                <w:bCs/>
                <w:sz w:val="16"/>
                <w:szCs w:val="16"/>
              </w:rPr>
            </w:pPr>
            <w:r>
              <w:rPr>
                <w:bCs/>
                <w:sz w:val="16"/>
                <w:szCs w:val="16"/>
              </w:rPr>
              <w:t>4.2</w:t>
            </w:r>
          </w:p>
        </w:tc>
        <w:tc>
          <w:tcPr>
            <w:tcW w:w="751" w:type="pct"/>
            <w:shd w:val="clear" w:color="auto" w:fill="D9D9D9" w:themeFill="background1" w:themeFillShade="D9"/>
          </w:tcPr>
          <w:p w14:paraId="35128F1C" w14:textId="77777777" w:rsidR="00A9105E" w:rsidRPr="002C1853" w:rsidRDefault="00A9105E" w:rsidP="00E117FD">
            <w:pPr>
              <w:keepNext/>
              <w:keepLines/>
              <w:spacing w:beforeLines="10" w:before="24" w:afterLines="10" w:after="24"/>
              <w:rPr>
                <w:bCs/>
                <w:sz w:val="16"/>
                <w:szCs w:val="16"/>
              </w:rPr>
            </w:pPr>
            <w:r w:rsidRPr="00786177">
              <w:rPr>
                <w:bCs/>
                <w:sz w:val="16"/>
                <w:szCs w:val="16"/>
              </w:rPr>
              <w:t>2.4.6</w:t>
            </w:r>
          </w:p>
        </w:tc>
      </w:tr>
      <w:tr w:rsidR="00A9105E" w:rsidRPr="002C1853" w14:paraId="18F2972E" w14:textId="77777777" w:rsidTr="00ED2244">
        <w:trPr>
          <w:trHeight w:val="264"/>
        </w:trPr>
        <w:tc>
          <w:tcPr>
            <w:tcW w:w="769" w:type="pct"/>
            <w:shd w:val="clear" w:color="auto" w:fill="005A70"/>
            <w:hideMark/>
          </w:tcPr>
          <w:p w14:paraId="092BBC41" w14:textId="77777777" w:rsidR="00A9105E" w:rsidRPr="00ED2244" w:rsidRDefault="00A9105E" w:rsidP="00E117FD">
            <w:pPr>
              <w:keepNext/>
              <w:keepLines/>
              <w:spacing w:beforeLines="10" w:before="24" w:afterLines="10" w:after="24"/>
              <w:rPr>
                <w:b/>
                <w:color w:val="FFFFFF" w:themeColor="background1"/>
                <w:sz w:val="16"/>
                <w:szCs w:val="16"/>
              </w:rPr>
            </w:pPr>
            <w:r w:rsidRPr="00ED2244">
              <w:rPr>
                <w:b/>
                <w:color w:val="FFFFFF" w:themeColor="background1"/>
                <w:sz w:val="16"/>
                <w:szCs w:val="16"/>
              </w:rPr>
              <w:t>Output —</w:t>
            </w:r>
            <w:r w:rsidRPr="00ED2244">
              <w:rPr>
                <w:i/>
                <w:iCs/>
                <w:smallCaps/>
                <w:color w:val="FFFFFF" w:themeColor="background1"/>
                <w:spacing w:val="5"/>
                <w:sz w:val="16"/>
                <w:szCs w:val="16"/>
              </w:rPr>
              <w:t xml:space="preserve"> </w:t>
            </w:r>
            <w:r w:rsidRPr="00ED2244">
              <w:rPr>
                <w:b/>
                <w:color w:val="FFFFFF" w:themeColor="background1"/>
                <w:sz w:val="16"/>
                <w:szCs w:val="16"/>
              </w:rPr>
              <w:t>How much did we do?</w:t>
            </w:r>
          </w:p>
        </w:tc>
        <w:tc>
          <w:tcPr>
            <w:tcW w:w="911" w:type="pct"/>
            <w:shd w:val="clear" w:color="auto" w:fill="00B0B9"/>
            <w:hideMark/>
          </w:tcPr>
          <w:p w14:paraId="6DE1CD7F" w14:textId="77777777" w:rsidR="00A9105E" w:rsidRPr="007F2601" w:rsidRDefault="00A9105E" w:rsidP="00E117FD">
            <w:pPr>
              <w:keepNext/>
              <w:keepLines/>
              <w:spacing w:beforeLines="20" w:before="48" w:afterLines="20" w:after="48"/>
              <w:rPr>
                <w:b/>
                <w:sz w:val="16"/>
                <w:szCs w:val="16"/>
              </w:rPr>
            </w:pPr>
            <w:r w:rsidRPr="007F2601">
              <w:rPr>
                <w:b/>
                <w:sz w:val="16"/>
                <w:szCs w:val="16"/>
              </w:rPr>
              <w:t>C4.4 – Delivery measures</w:t>
            </w:r>
          </w:p>
        </w:tc>
        <w:tc>
          <w:tcPr>
            <w:tcW w:w="1937" w:type="pct"/>
            <w:shd w:val="clear" w:color="auto" w:fill="D9D9D9" w:themeFill="background1" w:themeFillShade="D9"/>
          </w:tcPr>
          <w:p w14:paraId="0A9570B5" w14:textId="77777777" w:rsidR="00A9105E" w:rsidRPr="002C1853" w:rsidRDefault="00A9105E" w:rsidP="00E117FD">
            <w:pPr>
              <w:keepNext/>
              <w:keepLines/>
              <w:spacing w:beforeLines="20" w:before="48" w:afterLines="20" w:after="48"/>
              <w:rPr>
                <w:sz w:val="16"/>
                <w:szCs w:val="16"/>
              </w:rPr>
            </w:pPr>
            <w:r w:rsidRPr="002C1853">
              <w:rPr>
                <w:sz w:val="16"/>
                <w:szCs w:val="16"/>
              </w:rPr>
              <w:t>C</w:t>
            </w:r>
            <w:r>
              <w:rPr>
                <w:sz w:val="16"/>
                <w:szCs w:val="16"/>
              </w:rPr>
              <w:t>4</w:t>
            </w:r>
            <w:r w:rsidRPr="002C1853">
              <w:rPr>
                <w:sz w:val="16"/>
                <w:szCs w:val="16"/>
              </w:rPr>
              <w:t xml:space="preserve">.4.1 </w:t>
            </w:r>
            <w:r>
              <w:rPr>
                <w:sz w:val="16"/>
                <w:szCs w:val="16"/>
              </w:rPr>
              <w:t>–</w:t>
            </w:r>
            <w:r w:rsidRPr="002C1853">
              <w:rPr>
                <w:sz w:val="16"/>
                <w:szCs w:val="16"/>
              </w:rPr>
              <w:t xml:space="preserve"> </w:t>
            </w:r>
            <w:r w:rsidRPr="00FC66A9">
              <w:rPr>
                <w:sz w:val="16"/>
                <w:szCs w:val="16"/>
              </w:rPr>
              <w:t>Number of incentives issued for the relevant NRAS year (Cash and Refundable Tax Offsets (RTO)) (PBS)</w:t>
            </w:r>
          </w:p>
        </w:tc>
        <w:tc>
          <w:tcPr>
            <w:tcW w:w="631" w:type="pct"/>
            <w:shd w:val="clear" w:color="auto" w:fill="D9D9D9" w:themeFill="background1" w:themeFillShade="D9"/>
          </w:tcPr>
          <w:p w14:paraId="22119511" w14:textId="77777777" w:rsidR="00A9105E" w:rsidRPr="002C1853" w:rsidRDefault="00A9105E" w:rsidP="00E117FD">
            <w:pPr>
              <w:keepNext/>
              <w:keepLines/>
              <w:spacing w:beforeLines="20" w:before="48" w:afterLines="20" w:after="48"/>
              <w:rPr>
                <w:sz w:val="16"/>
                <w:szCs w:val="16"/>
              </w:rPr>
            </w:pPr>
            <w:r>
              <w:rPr>
                <w:sz w:val="16"/>
                <w:szCs w:val="16"/>
              </w:rPr>
              <w:t>4.2</w:t>
            </w:r>
          </w:p>
        </w:tc>
        <w:tc>
          <w:tcPr>
            <w:tcW w:w="751" w:type="pct"/>
            <w:shd w:val="clear" w:color="auto" w:fill="D9D9D9" w:themeFill="background1" w:themeFillShade="D9"/>
          </w:tcPr>
          <w:p w14:paraId="17906154" w14:textId="77777777" w:rsidR="00A9105E" w:rsidRPr="002C1853" w:rsidRDefault="00A9105E" w:rsidP="00E117FD">
            <w:pPr>
              <w:keepNext/>
              <w:keepLines/>
              <w:spacing w:beforeLines="20" w:before="48" w:afterLines="20" w:after="48"/>
              <w:rPr>
                <w:sz w:val="16"/>
                <w:szCs w:val="16"/>
              </w:rPr>
            </w:pPr>
            <w:r w:rsidRPr="00786177">
              <w:rPr>
                <w:sz w:val="16"/>
                <w:szCs w:val="16"/>
              </w:rPr>
              <w:t>2.4.7</w:t>
            </w:r>
          </w:p>
        </w:tc>
      </w:tr>
    </w:tbl>
    <w:p w14:paraId="2D9E7403" w14:textId="77777777" w:rsidR="00A9105E" w:rsidRPr="006447FF" w:rsidRDefault="00A9105E" w:rsidP="00A9105E">
      <w:pPr>
        <w:spacing w:before="160" w:after="60" w:line="240" w:lineRule="auto"/>
        <w:ind w:left="170" w:hanging="170"/>
        <w:contextualSpacing/>
        <w:rPr>
          <w:rFonts w:cs="Arial"/>
          <w:sz w:val="16"/>
          <w:szCs w:val="16"/>
        </w:rPr>
      </w:pPr>
      <w:r>
        <w:rPr>
          <w:rFonts w:cs="Arial"/>
          <w:sz w:val="16"/>
          <w:szCs w:val="16"/>
        </w:rPr>
        <w:t>Source</w:t>
      </w:r>
      <w:r w:rsidRPr="003B727C">
        <w:rPr>
          <w:rFonts w:cs="Arial"/>
          <w:sz w:val="16"/>
          <w:szCs w:val="16"/>
        </w:rPr>
        <w:t>: Corporate Plan 2019–</w:t>
      </w:r>
      <w:r>
        <w:rPr>
          <w:rFonts w:cs="Arial"/>
          <w:sz w:val="16"/>
          <w:szCs w:val="16"/>
        </w:rPr>
        <w:t xml:space="preserve">20 and </w:t>
      </w:r>
      <w:r w:rsidRPr="003B727C">
        <w:rPr>
          <w:rFonts w:cs="Arial"/>
          <w:sz w:val="16"/>
          <w:szCs w:val="16"/>
        </w:rPr>
        <w:t>Portfolio Budget Statements 2019–</w:t>
      </w:r>
      <w:r>
        <w:rPr>
          <w:rFonts w:cs="Arial"/>
          <w:sz w:val="16"/>
          <w:szCs w:val="16"/>
        </w:rPr>
        <w:t>20.</w:t>
      </w:r>
    </w:p>
    <w:p w14:paraId="32D568B0" w14:textId="77777777" w:rsidR="00A9105E" w:rsidRPr="00FC66A9" w:rsidRDefault="00A9105E" w:rsidP="00A9105E">
      <w:pPr>
        <w:rPr>
          <w:rFonts w:cs="Arial"/>
          <w:sz w:val="20"/>
          <w:szCs w:val="20"/>
        </w:rPr>
      </w:pPr>
    </w:p>
    <w:p w14:paraId="25397716" w14:textId="77777777" w:rsidR="00715F6F" w:rsidRDefault="00715F6F">
      <w:pPr>
        <w:rPr>
          <w:rFonts w:eastAsiaTheme="majorEastAsia" w:cstheme="majorBidi"/>
          <w:b/>
          <w:iCs/>
          <w:sz w:val="26"/>
        </w:rPr>
        <w:sectPr w:rsidR="00715F6F" w:rsidSect="003A047F">
          <w:footnotePr>
            <w:numRestart w:val="eachPage"/>
          </w:footnotePr>
          <w:pgSz w:w="11906" w:h="16838"/>
          <w:pgMar w:top="1440" w:right="1440" w:bottom="1440" w:left="1440" w:header="709" w:footer="709" w:gutter="0"/>
          <w:cols w:space="708"/>
          <w:docGrid w:linePitch="360"/>
        </w:sectPr>
      </w:pPr>
    </w:p>
    <w:p w14:paraId="401DFA5C" w14:textId="53BEC462" w:rsidR="00A9105E" w:rsidRPr="006447FF" w:rsidRDefault="00A9105E" w:rsidP="00A9105E">
      <w:pPr>
        <w:spacing w:before="240" w:after="240"/>
        <w:outlineLvl w:val="6"/>
        <w:rPr>
          <w:rFonts w:eastAsiaTheme="majorEastAsia" w:cstheme="majorBidi"/>
          <w:b/>
          <w:iCs/>
          <w:sz w:val="26"/>
        </w:rPr>
      </w:pPr>
      <w:r>
        <w:rPr>
          <w:rFonts w:eastAsiaTheme="majorEastAsia" w:cstheme="majorBidi"/>
          <w:b/>
          <w:iCs/>
          <w:sz w:val="26"/>
        </w:rPr>
        <w:lastRenderedPageBreak/>
        <w:t xml:space="preserve">C4.1 </w:t>
      </w:r>
      <w:r w:rsidRPr="006447FF">
        <w:rPr>
          <w:rFonts w:eastAsiaTheme="majorEastAsia" w:cstheme="majorBidi"/>
          <w:b/>
          <w:iCs/>
          <w:sz w:val="26"/>
        </w:rPr>
        <w:t>Extent of improvement in rental affordability for low and</w:t>
      </w:r>
      <w:r w:rsidR="00F111F2">
        <w:rPr>
          <w:rFonts w:eastAsiaTheme="majorEastAsia" w:cstheme="majorBidi"/>
          <w:b/>
          <w:iCs/>
          <w:sz w:val="26"/>
        </w:rPr>
        <w:br/>
      </w:r>
      <w:r w:rsidRPr="006447FF">
        <w:rPr>
          <w:rFonts w:eastAsiaTheme="majorEastAsia" w:cstheme="majorBidi"/>
          <w:b/>
          <w:iCs/>
          <w:sz w:val="26"/>
        </w:rPr>
        <w:t>moderate</w:t>
      </w:r>
      <w:r>
        <w:rPr>
          <w:rFonts w:eastAsiaTheme="majorEastAsia" w:cstheme="majorBidi"/>
          <w:b/>
          <w:iCs/>
          <w:sz w:val="26"/>
        </w:rPr>
        <w:t>-</w:t>
      </w:r>
      <w:r w:rsidRPr="006447FF">
        <w:rPr>
          <w:rFonts w:eastAsiaTheme="majorEastAsia" w:cstheme="majorBidi"/>
          <w:b/>
          <w:iCs/>
          <w:sz w:val="26"/>
        </w:rPr>
        <w:t>income households</w:t>
      </w:r>
    </w:p>
    <w:p w14:paraId="591A6DC4" w14:textId="77777777" w:rsidR="00A9105E" w:rsidRPr="006447FF" w:rsidRDefault="00A9105E" w:rsidP="00A9105E">
      <w:pPr>
        <w:rPr>
          <w:sz w:val="20"/>
          <w:szCs w:val="20"/>
        </w:rPr>
      </w:pPr>
      <w:r w:rsidRPr="007D7BA1">
        <w:rPr>
          <w:sz w:val="20"/>
          <w:szCs w:val="20"/>
        </w:rPr>
        <w:t xml:space="preserve">This criterion comprises </w:t>
      </w:r>
      <w:r>
        <w:rPr>
          <w:sz w:val="20"/>
          <w:szCs w:val="20"/>
        </w:rPr>
        <w:t>one</w:t>
      </w:r>
      <w:r w:rsidRPr="007D7BA1">
        <w:rPr>
          <w:sz w:val="20"/>
          <w:szCs w:val="20"/>
        </w:rPr>
        <w:t xml:space="preserve"> similar indicator for measuring improved rental affordability for low and moderat</w:t>
      </w:r>
      <w:r>
        <w:rPr>
          <w:sz w:val="20"/>
          <w:szCs w:val="20"/>
        </w:rPr>
        <w:t>e-</w:t>
      </w:r>
      <w:r w:rsidRPr="007D7BA1">
        <w:rPr>
          <w:sz w:val="20"/>
          <w:szCs w:val="20"/>
        </w:rPr>
        <w:t>income households. The indicator enable</w:t>
      </w:r>
      <w:r>
        <w:rPr>
          <w:sz w:val="20"/>
          <w:szCs w:val="20"/>
        </w:rPr>
        <w:t>s</w:t>
      </w:r>
      <w:r w:rsidRPr="007D7BA1">
        <w:rPr>
          <w:sz w:val="20"/>
          <w:szCs w:val="20"/>
        </w:rPr>
        <w:t xml:space="preserve"> an assessment of whether the provision of discounted rents through the NRAS improves rental affordability for those assisted. Rental affordability supports individuals and families from becoming homeless and supports those experiencing homelessness to transition into stable housing.</w:t>
      </w:r>
    </w:p>
    <w:p w14:paraId="65F1E9F1" w14:textId="77777777" w:rsidR="00A9105E" w:rsidRPr="006447FF" w:rsidRDefault="00A9105E" w:rsidP="00A9105E">
      <w:pPr>
        <w:spacing w:before="240" w:after="240" w:line="260" w:lineRule="atLeast"/>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t xml:space="preserve">C4.1.1 </w:t>
      </w:r>
      <w:r w:rsidRPr="006447FF">
        <w:rPr>
          <w:rFonts w:eastAsiaTheme="majorEastAsia" w:cstheme="majorBidi"/>
          <w:b/>
          <w:color w:val="595959" w:themeColor="text1" w:themeTint="A6"/>
          <w:sz w:val="24"/>
          <w:szCs w:val="20"/>
        </w:rPr>
        <w:t>Percentage of National Rental Affordability Scheme (NRAS) households in rental stress before and after NRAS discounted rent</w:t>
      </w:r>
    </w:p>
    <w:p w14:paraId="0CA8B86B" w14:textId="0B21A915" w:rsidR="00A9105E" w:rsidRPr="007D7BA1" w:rsidRDefault="00A9105E" w:rsidP="00A9105E">
      <w:pPr>
        <w:rPr>
          <w:sz w:val="20"/>
          <w:szCs w:val="20"/>
        </w:rPr>
      </w:pPr>
      <w:r w:rsidRPr="007D7BA1">
        <w:rPr>
          <w:sz w:val="20"/>
          <w:szCs w:val="20"/>
        </w:rPr>
        <w:t>This indicator reports on the impact of providing dwellings under NRAS at lower than market rents</w:t>
      </w:r>
      <w:r w:rsidR="00F111F2">
        <w:rPr>
          <w:sz w:val="20"/>
          <w:szCs w:val="20"/>
        </w:rPr>
        <w:br/>
      </w:r>
      <w:r w:rsidRPr="007D7BA1">
        <w:rPr>
          <w:sz w:val="20"/>
          <w:szCs w:val="20"/>
        </w:rPr>
        <w:t>(a rate that is at least 20 per cent less than market rent). For the purposes of this indicator, an NRAS household is</w:t>
      </w:r>
      <w:r>
        <w:rPr>
          <w:sz w:val="20"/>
          <w:szCs w:val="20"/>
        </w:rPr>
        <w:t xml:space="preserve"> </w:t>
      </w:r>
      <w:r w:rsidRPr="007D7BA1">
        <w:rPr>
          <w:sz w:val="20"/>
          <w:szCs w:val="20"/>
        </w:rPr>
        <w:t>considered to be in rental stress when rent is more than 30 per cent of gross income.</w:t>
      </w:r>
      <w:r w:rsidRPr="007D7BA1">
        <w:rPr>
          <w:vertAlign w:val="superscript"/>
        </w:rPr>
        <w:footnoteReference w:id="9"/>
      </w:r>
      <w:r w:rsidRPr="007D7BA1">
        <w:rPr>
          <w:sz w:val="20"/>
          <w:szCs w:val="20"/>
        </w:rPr>
        <w:t xml:space="preserve"> This may not reflect actual rental stress.</w:t>
      </w:r>
    </w:p>
    <w:p w14:paraId="3FB789A2" w14:textId="77777777" w:rsidR="00A9105E" w:rsidRPr="00F74F8F" w:rsidRDefault="00A9105E" w:rsidP="00A9105E">
      <w:pPr>
        <w:pStyle w:val="Heading7"/>
      </w:pPr>
      <w:r w:rsidRPr="00F74F8F">
        <w:t>Analysis</w:t>
      </w:r>
    </w:p>
    <w:p w14:paraId="7F27DE7E" w14:textId="77777777" w:rsidR="00A9105E" w:rsidRDefault="00A9105E" w:rsidP="00A9105E">
      <w:pPr>
        <w:rPr>
          <w:sz w:val="20"/>
          <w:szCs w:val="20"/>
        </w:rPr>
      </w:pPr>
      <w:r w:rsidRPr="007D7BA1">
        <w:rPr>
          <w:sz w:val="20"/>
          <w:szCs w:val="20"/>
        </w:rPr>
        <w:t>NRAS has increased the availability of affordable rental housing to low and moderate</w:t>
      </w:r>
      <w:r>
        <w:rPr>
          <w:sz w:val="20"/>
          <w:szCs w:val="20"/>
        </w:rPr>
        <w:t>-</w:t>
      </w:r>
      <w:r w:rsidRPr="007D7BA1">
        <w:rPr>
          <w:sz w:val="20"/>
          <w:szCs w:val="20"/>
        </w:rPr>
        <w:t>income households and has reduced the rent for dwellings in the scheme. As at 30</w:t>
      </w:r>
      <w:r w:rsidRPr="007D7BA1">
        <w:rPr>
          <w:color w:val="FF0000"/>
          <w:sz w:val="20"/>
          <w:szCs w:val="20"/>
        </w:rPr>
        <w:t xml:space="preserve"> </w:t>
      </w:r>
      <w:r w:rsidRPr="007D7BA1">
        <w:rPr>
          <w:sz w:val="20"/>
          <w:szCs w:val="20"/>
        </w:rPr>
        <w:t>April 201</w:t>
      </w:r>
      <w:r>
        <w:rPr>
          <w:sz w:val="20"/>
          <w:szCs w:val="20"/>
        </w:rPr>
        <w:t>9</w:t>
      </w:r>
      <w:r w:rsidRPr="007D7BA1">
        <w:rPr>
          <w:vertAlign w:val="superscript"/>
        </w:rPr>
        <w:footnoteReference w:id="10"/>
      </w:r>
      <w:r>
        <w:rPr>
          <w:sz w:val="20"/>
          <w:szCs w:val="20"/>
        </w:rPr>
        <w:t>,</w:t>
      </w:r>
      <w:r w:rsidRPr="007D7BA1">
        <w:rPr>
          <w:sz w:val="20"/>
          <w:szCs w:val="20"/>
        </w:rPr>
        <w:t xml:space="preserve"> NRAS reduced the proportion of</w:t>
      </w:r>
      <w:r>
        <w:rPr>
          <w:sz w:val="20"/>
          <w:szCs w:val="20"/>
        </w:rPr>
        <w:t xml:space="preserve"> </w:t>
      </w:r>
      <w:r w:rsidRPr="007D7BA1">
        <w:rPr>
          <w:sz w:val="20"/>
          <w:szCs w:val="20"/>
        </w:rPr>
        <w:t>NRAS households in rental stress by over 21 percentage points.</w:t>
      </w:r>
    </w:p>
    <w:p w14:paraId="378F9564" w14:textId="77777777" w:rsidR="00A9105E" w:rsidRPr="00A1621A" w:rsidRDefault="00A9105E" w:rsidP="00A9105E">
      <w:pPr>
        <w:keepNext/>
        <w:spacing w:before="240" w:after="0" w:line="260" w:lineRule="atLeast"/>
        <w:ind w:right="425"/>
        <w:rPr>
          <w:rFonts w:ascii="Arial Narrow" w:eastAsia="Times New Roman" w:hAnsi="Arial Narrow" w:cs="Times New Roman"/>
          <w:b/>
          <w:bCs/>
          <w:spacing w:val="4"/>
          <w:sz w:val="20"/>
          <w:szCs w:val="18"/>
          <w:lang w:eastAsia="en-AU"/>
        </w:rPr>
      </w:pPr>
      <w:r>
        <w:rPr>
          <w:rFonts w:ascii="Arial Narrow" w:eastAsia="Times New Roman" w:hAnsi="Arial Narrow" w:cs="Times New Roman"/>
          <w:b/>
          <w:bCs/>
          <w:spacing w:val="4"/>
          <w:sz w:val="20"/>
          <w:szCs w:val="18"/>
          <w:lang w:eastAsia="en-AU"/>
        </w:rPr>
        <w:t>Table 2.4.4</w:t>
      </w:r>
      <w:r w:rsidRPr="00A1621A">
        <w:rPr>
          <w:rFonts w:ascii="Arial Narrow" w:eastAsia="Times New Roman" w:hAnsi="Arial Narrow" w:cs="Times New Roman"/>
          <w:b/>
          <w:bCs/>
          <w:spacing w:val="4"/>
          <w:sz w:val="20"/>
          <w:szCs w:val="18"/>
          <w:lang w:eastAsia="en-AU"/>
        </w:rPr>
        <w:t>: Percentage of NRAS households in rental stress before and after NRAS discounted rent</w:t>
      </w:r>
    </w:p>
    <w:tbl>
      <w:tblPr>
        <w:tblStyle w:val="HHorizontaltable1"/>
        <w:tblW w:w="4911" w:type="pct"/>
        <w:tblLook w:val="04A0" w:firstRow="1" w:lastRow="0" w:firstColumn="1" w:lastColumn="0" w:noHBand="0" w:noVBand="1"/>
        <w:tblCaption w:val="Table 2.4.4: Percentage of NRAS households in rental stress before and after NRAS discounted rent"/>
        <w:tblDescription w:val="Table 2.4.4: Percentage of NRAS households in rental stress before and after NRAS discounted rent"/>
      </w:tblPr>
      <w:tblGrid>
        <w:gridCol w:w="3624"/>
        <w:gridCol w:w="1745"/>
        <w:gridCol w:w="1746"/>
        <w:gridCol w:w="1750"/>
      </w:tblGrid>
      <w:tr w:rsidR="00A9105E" w:rsidRPr="0022580D" w14:paraId="47C6E671"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2044" w:type="pct"/>
            <w:tcBorders>
              <w:bottom w:val="single" w:sz="4" w:space="0" w:color="FFFFFF" w:themeColor="background1"/>
            </w:tcBorders>
            <w:hideMark/>
          </w:tcPr>
          <w:p w14:paraId="1A62DC7F" w14:textId="77777777" w:rsidR="00A9105E" w:rsidRPr="00054A67" w:rsidRDefault="00A9105E" w:rsidP="00E117FD">
            <w:pPr>
              <w:spacing w:before="40" w:after="40"/>
              <w:rPr>
                <w:rFonts w:eastAsia="Times New Roman"/>
                <w:sz w:val="20"/>
                <w:szCs w:val="18"/>
              </w:rPr>
            </w:pPr>
            <w:r w:rsidRPr="00054A67">
              <w:rPr>
                <w:rFonts w:eastAsia="Times New Roman"/>
                <w:sz w:val="20"/>
                <w:szCs w:val="18"/>
              </w:rPr>
              <w:t>Outcome performance measure</w:t>
            </w:r>
          </w:p>
        </w:tc>
        <w:tc>
          <w:tcPr>
            <w:tcW w:w="984" w:type="pct"/>
            <w:tcBorders>
              <w:bottom w:val="single" w:sz="4" w:space="0" w:color="FFFFFF" w:themeColor="background1"/>
            </w:tcBorders>
            <w:hideMark/>
          </w:tcPr>
          <w:p w14:paraId="5DB1AC55" w14:textId="4D7522C6" w:rsidR="00A9105E" w:rsidRPr="00054A67" w:rsidRDefault="00A9105E" w:rsidP="006938C4">
            <w:pPr>
              <w:spacing w:before="40" w:after="40"/>
              <w:jc w:val="right"/>
              <w:rPr>
                <w:rFonts w:eastAsia="Times New Roman"/>
                <w:sz w:val="20"/>
                <w:szCs w:val="18"/>
              </w:rPr>
            </w:pPr>
            <w:r w:rsidRPr="00054A67">
              <w:rPr>
                <w:rFonts w:eastAsia="Times New Roman"/>
                <w:sz w:val="20"/>
                <w:szCs w:val="18"/>
              </w:rPr>
              <w:t>2018–19</w:t>
            </w:r>
            <w:r w:rsidR="006938C4" w:rsidRPr="00054A67">
              <w:rPr>
                <w:rFonts w:eastAsia="Times New Roman"/>
                <w:sz w:val="20"/>
                <w:szCs w:val="18"/>
              </w:rPr>
              <w:br/>
            </w:r>
            <w:r w:rsidRPr="00054A67">
              <w:rPr>
                <w:rFonts w:eastAsia="Times New Roman"/>
                <w:sz w:val="20"/>
                <w:szCs w:val="18"/>
              </w:rPr>
              <w:t>NRAS year</w:t>
            </w:r>
          </w:p>
        </w:tc>
        <w:tc>
          <w:tcPr>
            <w:tcW w:w="985" w:type="pct"/>
            <w:tcBorders>
              <w:bottom w:val="single" w:sz="4" w:space="0" w:color="FFFFFF" w:themeColor="background1"/>
            </w:tcBorders>
            <w:hideMark/>
          </w:tcPr>
          <w:p w14:paraId="042D1B90" w14:textId="58972564" w:rsidR="00A9105E" w:rsidRPr="00054A67" w:rsidRDefault="00A9105E" w:rsidP="006938C4">
            <w:pPr>
              <w:spacing w:before="40" w:after="40"/>
              <w:jc w:val="right"/>
              <w:rPr>
                <w:rFonts w:eastAsia="Times New Roman"/>
                <w:sz w:val="20"/>
                <w:szCs w:val="18"/>
              </w:rPr>
            </w:pPr>
            <w:r w:rsidRPr="00054A67">
              <w:rPr>
                <w:rFonts w:eastAsia="Times New Roman"/>
                <w:sz w:val="20"/>
                <w:szCs w:val="18"/>
              </w:rPr>
              <w:t xml:space="preserve">2017–18 </w:t>
            </w:r>
            <w:r w:rsidR="006938C4" w:rsidRPr="00054A67">
              <w:rPr>
                <w:rFonts w:eastAsia="Times New Roman"/>
                <w:sz w:val="20"/>
                <w:szCs w:val="18"/>
              </w:rPr>
              <w:br/>
            </w:r>
            <w:r w:rsidRPr="00054A67">
              <w:rPr>
                <w:rFonts w:eastAsia="Times New Roman"/>
                <w:sz w:val="20"/>
                <w:szCs w:val="18"/>
              </w:rPr>
              <w:t>RAS year</w:t>
            </w:r>
          </w:p>
        </w:tc>
        <w:tc>
          <w:tcPr>
            <w:tcW w:w="987" w:type="pct"/>
            <w:tcBorders>
              <w:bottom w:val="single" w:sz="4" w:space="0" w:color="FFFFFF" w:themeColor="background1"/>
            </w:tcBorders>
            <w:hideMark/>
          </w:tcPr>
          <w:p w14:paraId="51871F41" w14:textId="4E2F873D" w:rsidR="00A9105E" w:rsidRPr="00054A67" w:rsidRDefault="00A9105E" w:rsidP="00E117FD">
            <w:pPr>
              <w:spacing w:before="40" w:after="40"/>
              <w:jc w:val="right"/>
              <w:rPr>
                <w:rFonts w:eastAsia="Times New Roman"/>
                <w:sz w:val="20"/>
                <w:szCs w:val="18"/>
              </w:rPr>
            </w:pPr>
            <w:r w:rsidRPr="00054A67">
              <w:rPr>
                <w:rFonts w:eastAsia="Times New Roman"/>
                <w:sz w:val="20"/>
                <w:szCs w:val="18"/>
              </w:rPr>
              <w:t xml:space="preserve">2016–17 </w:t>
            </w:r>
            <w:r w:rsidR="006938C4" w:rsidRPr="00054A67">
              <w:rPr>
                <w:rFonts w:eastAsia="Times New Roman"/>
                <w:sz w:val="20"/>
                <w:szCs w:val="18"/>
              </w:rPr>
              <w:br/>
            </w:r>
            <w:r w:rsidRPr="00054A67">
              <w:rPr>
                <w:rFonts w:eastAsia="Times New Roman"/>
                <w:sz w:val="20"/>
                <w:szCs w:val="18"/>
              </w:rPr>
              <w:t>NRAS year</w:t>
            </w:r>
          </w:p>
        </w:tc>
      </w:tr>
      <w:tr w:rsidR="00A9105E" w:rsidRPr="006447FF" w14:paraId="2CCBE476"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3483511F" w14:textId="77777777" w:rsidR="00A9105E" w:rsidRPr="0022580D" w:rsidRDefault="00A9105E" w:rsidP="00E117FD">
            <w:pPr>
              <w:spacing w:before="40" w:after="40"/>
              <w:rPr>
                <w:rFonts w:eastAsia="Times New Roman"/>
                <w:b/>
                <w:color w:val="000000" w:themeColor="text1"/>
                <w:sz w:val="20"/>
                <w:szCs w:val="20"/>
              </w:rPr>
            </w:pPr>
            <w:r w:rsidRPr="0022580D">
              <w:rPr>
                <w:rFonts w:eastAsia="Times New Roman"/>
                <w:b/>
                <w:color w:val="000000" w:themeColor="text1"/>
                <w:sz w:val="20"/>
                <w:szCs w:val="20"/>
              </w:rPr>
              <w:t>Affordable Housing</w:t>
            </w:r>
          </w:p>
        </w:tc>
      </w:tr>
      <w:tr w:rsidR="00A9105E" w:rsidRPr="006447FF" w14:paraId="4897EE71" w14:textId="77777777" w:rsidTr="00E117FD">
        <w:trPr>
          <w:cnfStyle w:val="000000010000" w:firstRow="0" w:lastRow="0" w:firstColumn="0" w:lastColumn="0" w:oddVBand="0" w:evenVBand="0" w:oddHBand="0" w:evenHBand="1" w:firstRowFirstColumn="0" w:firstRowLastColumn="0" w:lastRowFirstColumn="0" w:lastRowLastColumn="0"/>
        </w:trPr>
        <w:tc>
          <w:tcPr>
            <w:tcW w:w="5000" w:type="pct"/>
            <w:gridSpan w:val="4"/>
            <w:tcBorders>
              <w:top w:val="single" w:sz="18" w:space="0" w:color="00B0B9"/>
            </w:tcBorders>
            <w:hideMark/>
          </w:tcPr>
          <w:p w14:paraId="2508404F" w14:textId="77777777" w:rsidR="00A9105E" w:rsidRPr="006447FF" w:rsidRDefault="00A9105E" w:rsidP="00E117FD">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Percentage of NRAS households in rental stress before and after NRAS discounted rent</w:t>
            </w:r>
          </w:p>
        </w:tc>
      </w:tr>
      <w:tr w:rsidR="00A9105E" w:rsidRPr="006447FF" w14:paraId="4347AB62" w14:textId="77777777" w:rsidTr="00E117FD">
        <w:trPr>
          <w:cnfStyle w:val="000000100000" w:firstRow="0" w:lastRow="0" w:firstColumn="0" w:lastColumn="0" w:oddVBand="0" w:evenVBand="0" w:oddHBand="1" w:evenHBand="0" w:firstRowFirstColumn="0" w:firstRowLastColumn="0" w:lastRowFirstColumn="0" w:lastRowLastColumn="0"/>
        </w:trPr>
        <w:tc>
          <w:tcPr>
            <w:tcW w:w="2044" w:type="pct"/>
            <w:hideMark/>
          </w:tcPr>
          <w:p w14:paraId="07A3336E" w14:textId="77777777" w:rsidR="00A9105E" w:rsidRPr="006447FF" w:rsidRDefault="00A9105E" w:rsidP="00E117FD">
            <w:pPr>
              <w:numPr>
                <w:ilvl w:val="0"/>
                <w:numId w:val="79"/>
              </w:numPr>
              <w:spacing w:before="40" w:after="40"/>
              <w:ind w:left="459"/>
              <w:rPr>
                <w:rFonts w:eastAsia="Times New Roman" w:cs="Arial"/>
                <w:color w:val="000000" w:themeColor="text1"/>
                <w:spacing w:val="4"/>
                <w:sz w:val="20"/>
                <w:szCs w:val="20"/>
                <w:lang w:val="en-GB"/>
              </w:rPr>
            </w:pPr>
            <w:r w:rsidRPr="00061DD3">
              <w:rPr>
                <w:rFonts w:eastAsia="Arial" w:cs="Arial"/>
                <w:color w:val="000000" w:themeColor="text1"/>
                <w:spacing w:val="4"/>
                <w:sz w:val="20"/>
                <w:szCs w:val="20"/>
                <w:lang w:val="en-GB"/>
              </w:rPr>
              <w:t>Before</w:t>
            </w:r>
          </w:p>
        </w:tc>
        <w:tc>
          <w:tcPr>
            <w:tcW w:w="984" w:type="pct"/>
            <w:hideMark/>
          </w:tcPr>
          <w:p w14:paraId="1AF8B64A" w14:textId="77777777" w:rsidR="00A9105E" w:rsidRPr="005B259D" w:rsidRDefault="00A9105E" w:rsidP="00E117FD">
            <w:pPr>
              <w:spacing w:before="40" w:after="40"/>
              <w:jc w:val="right"/>
              <w:rPr>
                <w:rFonts w:eastAsia="Arial" w:cs="Arial"/>
                <w:color w:val="000000" w:themeColor="text1"/>
                <w:spacing w:val="4"/>
                <w:sz w:val="20"/>
                <w:szCs w:val="20"/>
                <w:lang w:val="en-GB"/>
              </w:rPr>
            </w:pPr>
            <w:r w:rsidRPr="005B259D">
              <w:rPr>
                <w:rFonts w:eastAsia="Arial" w:cs="Arial"/>
                <w:color w:val="000000" w:themeColor="text1"/>
                <w:sz w:val="20"/>
                <w:szCs w:val="20"/>
                <w:lang w:val="en-GB"/>
              </w:rPr>
              <w:t>82.2</w:t>
            </w:r>
            <w:r w:rsidRPr="005B259D">
              <w:rPr>
                <w:rFonts w:eastAsia="Arial" w:cs="Arial"/>
                <w:color w:val="000000" w:themeColor="text1"/>
                <w:spacing w:val="4"/>
                <w:sz w:val="20"/>
                <w:szCs w:val="20"/>
                <w:lang w:val="en-GB"/>
              </w:rPr>
              <w:t>%</w:t>
            </w:r>
          </w:p>
        </w:tc>
        <w:tc>
          <w:tcPr>
            <w:tcW w:w="985" w:type="pct"/>
            <w:hideMark/>
          </w:tcPr>
          <w:p w14:paraId="5275F89E" w14:textId="77777777" w:rsidR="00A9105E" w:rsidRPr="00061DD3" w:rsidRDefault="00A9105E" w:rsidP="00E117FD">
            <w:pPr>
              <w:spacing w:before="40" w:after="40"/>
              <w:jc w:val="right"/>
              <w:rPr>
                <w:rFonts w:eastAsia="Arial" w:cs="Arial"/>
                <w:color w:val="000000" w:themeColor="text1"/>
                <w:spacing w:val="4"/>
                <w:sz w:val="20"/>
                <w:szCs w:val="20"/>
                <w:lang w:val="en-GB"/>
              </w:rPr>
            </w:pPr>
            <w:r w:rsidRPr="00061DD3">
              <w:rPr>
                <w:rFonts w:eastAsia="Arial" w:cs="Arial"/>
                <w:color w:val="000000" w:themeColor="text1"/>
                <w:spacing w:val="4"/>
                <w:sz w:val="20"/>
                <w:szCs w:val="20"/>
                <w:lang w:val="en-GB"/>
              </w:rPr>
              <w:t>84.1%</w:t>
            </w:r>
          </w:p>
        </w:tc>
        <w:tc>
          <w:tcPr>
            <w:tcW w:w="986" w:type="pct"/>
            <w:hideMark/>
          </w:tcPr>
          <w:p w14:paraId="12CFA708" w14:textId="3F8D995E" w:rsidR="00A9105E" w:rsidRPr="00287B12" w:rsidRDefault="00A9105E">
            <w:pPr>
              <w:spacing w:before="40" w:after="40"/>
              <w:jc w:val="right"/>
              <w:rPr>
                <w:spacing w:val="4"/>
                <w:sz w:val="20"/>
                <w:szCs w:val="20"/>
                <w:vertAlign w:val="superscript"/>
                <w:lang w:val="en-GB"/>
              </w:rPr>
            </w:pPr>
            <w:r w:rsidRPr="00061DD3">
              <w:rPr>
                <w:rFonts w:eastAsia="Arial" w:cs="Arial"/>
                <w:color w:val="000000" w:themeColor="text1"/>
                <w:spacing w:val="4"/>
                <w:sz w:val="20"/>
                <w:szCs w:val="20"/>
                <w:lang w:val="en-GB"/>
              </w:rPr>
              <w:t>85.7%</w:t>
            </w:r>
          </w:p>
        </w:tc>
      </w:tr>
      <w:tr w:rsidR="00A9105E" w:rsidRPr="006447FF" w14:paraId="0A9A356B" w14:textId="77777777" w:rsidTr="00E117FD">
        <w:trPr>
          <w:cnfStyle w:val="000000010000" w:firstRow="0" w:lastRow="0" w:firstColumn="0" w:lastColumn="0" w:oddVBand="0" w:evenVBand="0" w:oddHBand="0" w:evenHBand="1" w:firstRowFirstColumn="0" w:firstRowLastColumn="0" w:lastRowFirstColumn="0" w:lastRowLastColumn="0"/>
        </w:trPr>
        <w:tc>
          <w:tcPr>
            <w:tcW w:w="2044" w:type="pct"/>
            <w:hideMark/>
          </w:tcPr>
          <w:p w14:paraId="2F86A166" w14:textId="77777777" w:rsidR="00A9105E" w:rsidRPr="006447FF" w:rsidRDefault="00A9105E" w:rsidP="00E117FD">
            <w:pPr>
              <w:numPr>
                <w:ilvl w:val="0"/>
                <w:numId w:val="79"/>
              </w:numPr>
              <w:spacing w:before="40" w:after="40"/>
              <w:ind w:left="459"/>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After</w:t>
            </w:r>
          </w:p>
        </w:tc>
        <w:tc>
          <w:tcPr>
            <w:tcW w:w="984" w:type="pct"/>
            <w:hideMark/>
          </w:tcPr>
          <w:p w14:paraId="5AEA94E1" w14:textId="77777777" w:rsidR="00A9105E" w:rsidRPr="005B259D" w:rsidRDefault="00A9105E" w:rsidP="00E117FD">
            <w:pPr>
              <w:spacing w:before="40" w:after="40"/>
              <w:jc w:val="right"/>
              <w:rPr>
                <w:rFonts w:eastAsia="Times New Roman" w:cs="Arial"/>
                <w:color w:val="000000" w:themeColor="text1"/>
                <w:spacing w:val="4"/>
                <w:sz w:val="20"/>
                <w:szCs w:val="20"/>
                <w:lang w:val="en-GB"/>
              </w:rPr>
            </w:pPr>
            <w:r w:rsidRPr="005B259D">
              <w:rPr>
                <w:rFonts w:eastAsia="Times New Roman" w:cs="Arial"/>
                <w:color w:val="000000" w:themeColor="text1"/>
                <w:spacing w:val="4"/>
                <w:sz w:val="20"/>
                <w:szCs w:val="20"/>
                <w:lang w:val="en-GB"/>
              </w:rPr>
              <w:t>60.5%</w:t>
            </w:r>
          </w:p>
        </w:tc>
        <w:tc>
          <w:tcPr>
            <w:tcW w:w="985" w:type="pct"/>
            <w:hideMark/>
          </w:tcPr>
          <w:p w14:paraId="745E58DF" w14:textId="77777777" w:rsidR="00A9105E" w:rsidRPr="006447FF" w:rsidRDefault="00A9105E" w:rsidP="00E117FD">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61.3%</w:t>
            </w:r>
          </w:p>
        </w:tc>
        <w:tc>
          <w:tcPr>
            <w:tcW w:w="986" w:type="pct"/>
            <w:hideMark/>
          </w:tcPr>
          <w:p w14:paraId="62845ABF" w14:textId="77777777" w:rsidR="00A9105E" w:rsidRPr="00287B12" w:rsidRDefault="00A9105E" w:rsidP="00E117FD">
            <w:pPr>
              <w:spacing w:before="40" w:after="40"/>
              <w:jc w:val="right"/>
              <w:rPr>
                <w:rFonts w:cs="Arial"/>
                <w:sz w:val="20"/>
                <w:szCs w:val="20"/>
                <w:vertAlign w:val="superscript"/>
                <w:lang w:val="en-GB"/>
              </w:rPr>
            </w:pPr>
            <w:r w:rsidRPr="006447FF">
              <w:rPr>
                <w:rFonts w:eastAsia="Times New Roman" w:cs="Arial"/>
                <w:color w:val="000000" w:themeColor="text1"/>
                <w:spacing w:val="4"/>
                <w:sz w:val="20"/>
                <w:szCs w:val="20"/>
                <w:lang w:val="en-GB"/>
              </w:rPr>
              <w:t>62.1%</w:t>
            </w:r>
          </w:p>
        </w:tc>
      </w:tr>
    </w:tbl>
    <w:p w14:paraId="59001027" w14:textId="77777777" w:rsidR="00A9105E" w:rsidRDefault="00A9105E" w:rsidP="00A9105E">
      <w:pPr>
        <w:spacing w:before="160" w:after="60" w:line="240" w:lineRule="auto"/>
        <w:contextualSpacing/>
        <w:rPr>
          <w:rFonts w:eastAsia="Times New Roman" w:cs="Arial"/>
          <w:color w:val="000000" w:themeColor="text1"/>
          <w:spacing w:val="4"/>
          <w:sz w:val="20"/>
          <w:szCs w:val="20"/>
          <w:lang w:val="en-GB"/>
        </w:rPr>
      </w:pPr>
    </w:p>
    <w:p w14:paraId="725E9EAD" w14:textId="77777777" w:rsidR="00715F6F" w:rsidRDefault="00715F6F">
      <w:pPr>
        <w:rPr>
          <w:rFonts w:eastAsiaTheme="majorEastAsia" w:cstheme="majorBidi"/>
          <w:b/>
          <w:iCs/>
          <w:sz w:val="26"/>
        </w:rPr>
        <w:sectPr w:rsidR="00715F6F" w:rsidSect="003A047F">
          <w:pgSz w:w="11906" w:h="16838"/>
          <w:pgMar w:top="1440" w:right="1440" w:bottom="1440" w:left="1440" w:header="709" w:footer="709" w:gutter="0"/>
          <w:cols w:space="708"/>
          <w:docGrid w:linePitch="360"/>
        </w:sectPr>
      </w:pPr>
    </w:p>
    <w:p w14:paraId="7278908A" w14:textId="2A4516C4" w:rsidR="00A9105E" w:rsidRPr="006447FF" w:rsidRDefault="00A9105E" w:rsidP="00A9105E">
      <w:pPr>
        <w:spacing w:before="360" w:after="240"/>
        <w:outlineLvl w:val="6"/>
        <w:rPr>
          <w:rFonts w:eastAsiaTheme="majorEastAsia" w:cstheme="majorBidi"/>
          <w:b/>
          <w:iCs/>
          <w:sz w:val="26"/>
        </w:rPr>
      </w:pPr>
      <w:r>
        <w:rPr>
          <w:rFonts w:eastAsiaTheme="majorEastAsia" w:cstheme="majorBidi"/>
          <w:b/>
          <w:iCs/>
          <w:sz w:val="26"/>
        </w:rPr>
        <w:lastRenderedPageBreak/>
        <w:t xml:space="preserve">C4.2 </w:t>
      </w:r>
      <w:r w:rsidRPr="006447FF">
        <w:rPr>
          <w:rFonts w:eastAsiaTheme="majorEastAsia" w:cstheme="majorBidi"/>
          <w:b/>
          <w:iCs/>
          <w:sz w:val="26"/>
        </w:rPr>
        <w:t>Extent of contribution to national initiatives</w:t>
      </w:r>
    </w:p>
    <w:p w14:paraId="164DFF50" w14:textId="77777777" w:rsidR="00A9105E" w:rsidRPr="006447FF" w:rsidRDefault="00A9105E" w:rsidP="00A9105E">
      <w:pPr>
        <w:spacing w:after="0" w:line="260" w:lineRule="atLeast"/>
        <w:rPr>
          <w:sz w:val="20"/>
          <w:szCs w:val="20"/>
        </w:rPr>
      </w:pPr>
      <w:r w:rsidRPr="007D7BA1">
        <w:rPr>
          <w:sz w:val="20"/>
          <w:szCs w:val="20"/>
        </w:rPr>
        <w:t>This criterion captures the high-level contribution to the larger effort made by state jurisdictions, local communities</w:t>
      </w:r>
      <w:r>
        <w:rPr>
          <w:sz w:val="20"/>
          <w:szCs w:val="20"/>
        </w:rPr>
        <w:t>,</w:t>
      </w:r>
      <w:r w:rsidRPr="007D7BA1">
        <w:rPr>
          <w:sz w:val="20"/>
          <w:szCs w:val="20"/>
        </w:rPr>
        <w:t xml:space="preserve"> and other government agencies.</w:t>
      </w:r>
    </w:p>
    <w:p w14:paraId="4948593C" w14:textId="53C1EF39" w:rsidR="00A9105E" w:rsidRDefault="00A9105E" w:rsidP="00A9105E">
      <w:pPr>
        <w:spacing w:before="240" w:after="240" w:line="260" w:lineRule="atLeast"/>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t xml:space="preserve">C4.2.1 </w:t>
      </w:r>
      <w:r w:rsidR="00BA195C">
        <w:rPr>
          <w:rFonts w:eastAsiaTheme="majorEastAsia" w:cstheme="majorBidi"/>
          <w:b/>
          <w:color w:val="595959" w:themeColor="text1" w:themeTint="A6"/>
          <w:sz w:val="24"/>
          <w:szCs w:val="20"/>
        </w:rPr>
        <w:t>The department’s</w:t>
      </w:r>
      <w:r>
        <w:rPr>
          <w:rFonts w:eastAsiaTheme="majorEastAsia" w:cstheme="majorBidi"/>
          <w:b/>
          <w:color w:val="595959" w:themeColor="text1" w:themeTint="A6"/>
          <w:sz w:val="24"/>
          <w:szCs w:val="20"/>
        </w:rPr>
        <w:t xml:space="preserve"> contribution to Commonwealth/S</w:t>
      </w:r>
      <w:r w:rsidRPr="006447FF">
        <w:rPr>
          <w:rFonts w:eastAsiaTheme="majorEastAsia" w:cstheme="majorBidi"/>
          <w:b/>
          <w:color w:val="595959" w:themeColor="text1" w:themeTint="A6"/>
          <w:sz w:val="24"/>
          <w:szCs w:val="20"/>
        </w:rPr>
        <w:t>tate agreements for housing and homelessness</w:t>
      </w:r>
    </w:p>
    <w:p w14:paraId="77941CF9" w14:textId="77777777" w:rsidR="00A9105E" w:rsidRPr="007D7BA1" w:rsidRDefault="00A9105E" w:rsidP="00A9105E">
      <w:pPr>
        <w:rPr>
          <w:sz w:val="20"/>
          <w:szCs w:val="20"/>
        </w:rPr>
      </w:pPr>
      <w:r w:rsidRPr="007D7BA1">
        <w:rPr>
          <w:sz w:val="20"/>
          <w:szCs w:val="20"/>
        </w:rPr>
        <w:t>We work closely with other government agencies and states and territories to develop policy options to</w:t>
      </w:r>
      <w:r>
        <w:rPr>
          <w:sz w:val="20"/>
          <w:szCs w:val="20"/>
        </w:rPr>
        <w:t xml:space="preserve"> </w:t>
      </w:r>
      <w:r w:rsidRPr="007D7BA1">
        <w:rPr>
          <w:sz w:val="20"/>
          <w:szCs w:val="20"/>
        </w:rPr>
        <w:t>increase housing affordability, increase the supply of social and affordable housing, and reduce the level of homelessness.</w:t>
      </w:r>
    </w:p>
    <w:p w14:paraId="082875EB" w14:textId="77777777" w:rsidR="00A9105E" w:rsidRPr="00DF285B" w:rsidRDefault="00A9105E" w:rsidP="00A9105E">
      <w:pPr>
        <w:pStyle w:val="Heading7"/>
      </w:pPr>
      <w:r w:rsidRPr="00DF285B">
        <w:t>Analysis</w:t>
      </w:r>
    </w:p>
    <w:p w14:paraId="13407CC9" w14:textId="77777777" w:rsidR="00A9105E" w:rsidRPr="007D7BA1" w:rsidRDefault="00A9105E" w:rsidP="00A9105E">
      <w:pPr>
        <w:rPr>
          <w:sz w:val="20"/>
          <w:szCs w:val="20"/>
        </w:rPr>
      </w:pPr>
      <w:r w:rsidRPr="007D7BA1">
        <w:rPr>
          <w:sz w:val="20"/>
          <w:szCs w:val="20"/>
        </w:rPr>
        <w:t>Other mechanisms for cross-jurisdictional housing policy and delivery in 2019</w:t>
      </w:r>
      <w:r>
        <w:rPr>
          <w:sz w:val="20"/>
          <w:szCs w:val="20"/>
        </w:rPr>
        <w:t>–</w:t>
      </w:r>
      <w:r w:rsidRPr="007D7BA1">
        <w:rPr>
          <w:sz w:val="20"/>
          <w:szCs w:val="20"/>
        </w:rPr>
        <w:t>20 include the NHHA, the Review of the National Regulatory System for Community Housing and City Deals, such as the Hobart City Deal. Reporting on performance against the NHHA is managed by the Productivity Commission.</w:t>
      </w:r>
    </w:p>
    <w:p w14:paraId="2BFFD847" w14:textId="28C833BD" w:rsidR="00A9105E" w:rsidRPr="007D7BA1" w:rsidRDefault="00A9105E" w:rsidP="00A9105E">
      <w:pPr>
        <w:rPr>
          <w:sz w:val="20"/>
          <w:szCs w:val="20"/>
        </w:rPr>
      </w:pPr>
      <w:r w:rsidRPr="007D7BA1">
        <w:rPr>
          <w:sz w:val="20"/>
          <w:szCs w:val="20"/>
        </w:rPr>
        <w:t>The</w:t>
      </w:r>
      <w:r w:rsidR="00573214">
        <w:rPr>
          <w:sz w:val="20"/>
          <w:szCs w:val="20"/>
        </w:rPr>
        <w:t xml:space="preserve"> almost</w:t>
      </w:r>
      <w:r w:rsidRPr="007D7BA1">
        <w:rPr>
          <w:sz w:val="20"/>
          <w:szCs w:val="20"/>
        </w:rPr>
        <w:t xml:space="preserve"> $1.6 billion a year NHHA commenced on 1 July 2018. In 2019</w:t>
      </w:r>
      <w:r>
        <w:rPr>
          <w:sz w:val="20"/>
          <w:szCs w:val="20"/>
        </w:rPr>
        <w:t>–</w:t>
      </w:r>
      <w:r w:rsidRPr="007D7BA1">
        <w:rPr>
          <w:sz w:val="20"/>
          <w:szCs w:val="20"/>
        </w:rPr>
        <w:t xml:space="preserve">20, under the NHHA, </w:t>
      </w:r>
      <w:r>
        <w:rPr>
          <w:sz w:val="20"/>
          <w:szCs w:val="20"/>
        </w:rPr>
        <w:t xml:space="preserve">we </w:t>
      </w:r>
      <w:r w:rsidRPr="007D7BA1">
        <w:rPr>
          <w:sz w:val="20"/>
          <w:szCs w:val="20"/>
        </w:rPr>
        <w:t>chaired a Commonwealth–</w:t>
      </w:r>
      <w:r>
        <w:rPr>
          <w:sz w:val="20"/>
          <w:szCs w:val="20"/>
        </w:rPr>
        <w:t>s</w:t>
      </w:r>
      <w:r w:rsidRPr="007D7BA1">
        <w:rPr>
          <w:sz w:val="20"/>
          <w:szCs w:val="20"/>
        </w:rPr>
        <w:t>tate Data Improvement Plan for improved, nationally consistent data on</w:t>
      </w:r>
      <w:r>
        <w:rPr>
          <w:sz w:val="20"/>
          <w:szCs w:val="20"/>
        </w:rPr>
        <w:t xml:space="preserve"> </w:t>
      </w:r>
      <w:r w:rsidRPr="007D7BA1">
        <w:rPr>
          <w:sz w:val="20"/>
          <w:szCs w:val="20"/>
        </w:rPr>
        <w:t>housing and homelessness</w:t>
      </w:r>
      <w:r>
        <w:rPr>
          <w:sz w:val="20"/>
          <w:szCs w:val="20"/>
        </w:rPr>
        <w:t xml:space="preserve"> which was endorsed by housing and homelessness senior officials from the Commonwealth and all states and territories.</w:t>
      </w:r>
    </w:p>
    <w:p w14:paraId="1118EA8C" w14:textId="77777777" w:rsidR="00A9105E" w:rsidRDefault="00A9105E" w:rsidP="00A9105E">
      <w:pPr>
        <w:rPr>
          <w:sz w:val="20"/>
          <w:szCs w:val="20"/>
        </w:rPr>
      </w:pPr>
      <w:r w:rsidRPr="007D7BA1">
        <w:rPr>
          <w:sz w:val="20"/>
          <w:szCs w:val="20"/>
        </w:rPr>
        <w:t xml:space="preserve">As part of the 2017–18 </w:t>
      </w:r>
      <w:r>
        <w:rPr>
          <w:sz w:val="20"/>
          <w:szCs w:val="20"/>
        </w:rPr>
        <w:t xml:space="preserve">Mid-Year Economic and Fiscal Outlook, </w:t>
      </w:r>
      <w:r w:rsidRPr="007D7BA1">
        <w:rPr>
          <w:sz w:val="20"/>
          <w:szCs w:val="20"/>
        </w:rPr>
        <w:t xml:space="preserve">the </w:t>
      </w:r>
      <w:r>
        <w:rPr>
          <w:sz w:val="20"/>
          <w:szCs w:val="20"/>
        </w:rPr>
        <w:t xml:space="preserve">Australian </w:t>
      </w:r>
      <w:r w:rsidRPr="007D7BA1">
        <w:rPr>
          <w:sz w:val="20"/>
          <w:szCs w:val="20"/>
        </w:rPr>
        <w:t xml:space="preserve">Government </w:t>
      </w:r>
      <w:r>
        <w:rPr>
          <w:sz w:val="20"/>
          <w:szCs w:val="20"/>
        </w:rPr>
        <w:t>agreed t</w:t>
      </w:r>
      <w:r w:rsidRPr="007D7BA1">
        <w:rPr>
          <w:sz w:val="20"/>
          <w:szCs w:val="20"/>
        </w:rPr>
        <w:t>o work with state and territory governments to</w:t>
      </w:r>
      <w:r>
        <w:rPr>
          <w:sz w:val="20"/>
          <w:szCs w:val="20"/>
        </w:rPr>
        <w:t xml:space="preserve"> assist the growth of the </w:t>
      </w:r>
      <w:r w:rsidRPr="007D7BA1">
        <w:rPr>
          <w:sz w:val="20"/>
          <w:szCs w:val="20"/>
        </w:rPr>
        <w:t xml:space="preserve">community housing </w:t>
      </w:r>
      <w:r>
        <w:rPr>
          <w:sz w:val="20"/>
          <w:szCs w:val="20"/>
        </w:rPr>
        <w:t>sector through a review of regulation.</w:t>
      </w:r>
    </w:p>
    <w:p w14:paraId="03EAACAB" w14:textId="520351D8" w:rsidR="00A9105E" w:rsidRPr="00A1621A" w:rsidRDefault="00A9105E" w:rsidP="00A9105E">
      <w:pPr>
        <w:keepNext/>
        <w:spacing w:before="240" w:after="0" w:line="260" w:lineRule="atLeast"/>
        <w:ind w:right="425"/>
        <w:rPr>
          <w:rFonts w:ascii="Arial Narrow" w:eastAsia="Times New Roman" w:hAnsi="Arial Narrow" w:cs="Times New Roman"/>
          <w:b/>
          <w:bCs/>
          <w:spacing w:val="4"/>
          <w:sz w:val="20"/>
          <w:szCs w:val="18"/>
          <w:lang w:eastAsia="en-AU"/>
        </w:rPr>
      </w:pPr>
      <w:r>
        <w:rPr>
          <w:rFonts w:ascii="Arial Narrow" w:eastAsia="Times New Roman" w:hAnsi="Arial Narrow" w:cs="Times New Roman"/>
          <w:b/>
          <w:bCs/>
          <w:spacing w:val="4"/>
          <w:sz w:val="20"/>
          <w:szCs w:val="18"/>
          <w:lang w:eastAsia="en-AU"/>
        </w:rPr>
        <w:t>Table 2.4.5</w:t>
      </w:r>
      <w:r w:rsidRPr="00A1621A">
        <w:rPr>
          <w:rFonts w:ascii="Arial Narrow" w:eastAsia="Times New Roman" w:hAnsi="Arial Narrow" w:cs="Times New Roman"/>
          <w:b/>
          <w:bCs/>
          <w:spacing w:val="4"/>
          <w:sz w:val="20"/>
          <w:szCs w:val="18"/>
          <w:lang w:eastAsia="en-AU"/>
        </w:rPr>
        <w:t xml:space="preserve">: </w:t>
      </w:r>
      <w:r w:rsidR="00BA195C">
        <w:rPr>
          <w:rFonts w:ascii="Arial Narrow" w:eastAsia="Times New Roman" w:hAnsi="Arial Narrow" w:cs="Times New Roman"/>
          <w:b/>
          <w:bCs/>
          <w:spacing w:val="4"/>
          <w:sz w:val="20"/>
          <w:szCs w:val="18"/>
          <w:lang w:eastAsia="en-AU"/>
        </w:rPr>
        <w:t>The department’s</w:t>
      </w:r>
      <w:r w:rsidRPr="00A1621A">
        <w:rPr>
          <w:rFonts w:ascii="Arial Narrow" w:eastAsia="Times New Roman" w:hAnsi="Arial Narrow" w:cs="Times New Roman"/>
          <w:b/>
          <w:bCs/>
          <w:spacing w:val="4"/>
          <w:sz w:val="20"/>
          <w:szCs w:val="18"/>
          <w:lang w:eastAsia="en-AU"/>
        </w:rPr>
        <w:t xml:space="preserve"> contribution to Commonwealth/state agreements for housing and homelessness</w:t>
      </w:r>
    </w:p>
    <w:tbl>
      <w:tblPr>
        <w:tblStyle w:val="HHorizontaltable1"/>
        <w:tblW w:w="4985" w:type="pct"/>
        <w:tblLook w:val="04A0" w:firstRow="1" w:lastRow="0" w:firstColumn="1" w:lastColumn="0" w:noHBand="0" w:noVBand="1"/>
        <w:tblCaption w:val="Table 2.4.5: The department's contribution to Commonwealth/State agreements for housing and homelessness"/>
        <w:tblDescription w:val="Table 2.4.5: The department's contribution to Commonwealth/State agreements for housing and homelessness"/>
      </w:tblPr>
      <w:tblGrid>
        <w:gridCol w:w="3696"/>
        <w:gridCol w:w="1577"/>
        <w:gridCol w:w="1910"/>
        <w:gridCol w:w="1816"/>
      </w:tblGrid>
      <w:tr w:rsidR="00A9105E" w:rsidRPr="006447FF" w14:paraId="2C018E35" w14:textId="77777777" w:rsidTr="00E117FD">
        <w:trPr>
          <w:cnfStyle w:val="100000000000" w:firstRow="1" w:lastRow="0" w:firstColumn="0" w:lastColumn="0" w:oddVBand="0" w:evenVBand="0" w:oddHBand="0" w:evenHBand="0" w:firstRowFirstColumn="0" w:firstRowLastColumn="0" w:lastRowFirstColumn="0" w:lastRowLastColumn="0"/>
          <w:trHeight w:val="317"/>
          <w:tblHeader/>
        </w:trPr>
        <w:tc>
          <w:tcPr>
            <w:tcW w:w="2054" w:type="pct"/>
            <w:tcBorders>
              <w:bottom w:val="single" w:sz="4" w:space="0" w:color="FFFFFF" w:themeColor="background1"/>
            </w:tcBorders>
            <w:hideMark/>
          </w:tcPr>
          <w:p w14:paraId="5CEECB40" w14:textId="77777777" w:rsidR="00A9105E" w:rsidRPr="00054A67" w:rsidRDefault="00A9105E" w:rsidP="00E117FD">
            <w:pPr>
              <w:spacing w:before="40" w:after="40"/>
              <w:rPr>
                <w:rFonts w:eastAsia="Times New Roman"/>
                <w:sz w:val="20"/>
                <w:szCs w:val="20"/>
              </w:rPr>
            </w:pPr>
            <w:r w:rsidRPr="00054A67">
              <w:rPr>
                <w:rFonts w:eastAsia="Times New Roman"/>
                <w:sz w:val="20"/>
                <w:szCs w:val="20"/>
              </w:rPr>
              <w:t>Intermediate outcome performance measure</w:t>
            </w:r>
          </w:p>
        </w:tc>
        <w:tc>
          <w:tcPr>
            <w:tcW w:w="876" w:type="pct"/>
            <w:tcBorders>
              <w:bottom w:val="single" w:sz="4" w:space="0" w:color="FFFFFF" w:themeColor="background1"/>
            </w:tcBorders>
            <w:hideMark/>
          </w:tcPr>
          <w:p w14:paraId="4FF839C1" w14:textId="77777777" w:rsidR="00A9105E" w:rsidRPr="00054A67" w:rsidRDefault="00A9105E" w:rsidP="00E117FD">
            <w:pPr>
              <w:spacing w:before="40" w:after="40"/>
              <w:rPr>
                <w:rFonts w:eastAsia="Times New Roman"/>
                <w:sz w:val="20"/>
                <w:szCs w:val="20"/>
              </w:rPr>
            </w:pPr>
            <w:r w:rsidRPr="00054A67">
              <w:rPr>
                <w:rFonts w:eastAsia="Times New Roman"/>
                <w:sz w:val="20"/>
                <w:szCs w:val="20"/>
              </w:rPr>
              <w:t>2019–20</w:t>
            </w:r>
          </w:p>
        </w:tc>
        <w:tc>
          <w:tcPr>
            <w:tcW w:w="1061" w:type="pct"/>
            <w:tcBorders>
              <w:bottom w:val="single" w:sz="4" w:space="0" w:color="FFFFFF" w:themeColor="background1"/>
            </w:tcBorders>
            <w:hideMark/>
          </w:tcPr>
          <w:p w14:paraId="00CC8359" w14:textId="77777777" w:rsidR="00A9105E" w:rsidRPr="00054A67" w:rsidRDefault="00A9105E" w:rsidP="00E117FD">
            <w:pPr>
              <w:spacing w:before="40" w:after="40"/>
              <w:rPr>
                <w:rFonts w:eastAsia="Times New Roman"/>
                <w:sz w:val="20"/>
                <w:szCs w:val="20"/>
              </w:rPr>
            </w:pPr>
            <w:r w:rsidRPr="00054A67">
              <w:rPr>
                <w:rFonts w:eastAsia="Times New Roman"/>
                <w:sz w:val="20"/>
                <w:szCs w:val="20"/>
              </w:rPr>
              <w:t>2018–19</w:t>
            </w:r>
          </w:p>
        </w:tc>
        <w:tc>
          <w:tcPr>
            <w:tcW w:w="1010" w:type="pct"/>
            <w:tcBorders>
              <w:bottom w:val="single" w:sz="4" w:space="0" w:color="FFFFFF" w:themeColor="background1"/>
            </w:tcBorders>
            <w:hideMark/>
          </w:tcPr>
          <w:p w14:paraId="40D7A5D4" w14:textId="77777777" w:rsidR="00A9105E" w:rsidRPr="00054A67" w:rsidRDefault="00A9105E" w:rsidP="00E117FD">
            <w:pPr>
              <w:spacing w:before="40" w:after="40"/>
              <w:rPr>
                <w:rFonts w:eastAsia="Times New Roman"/>
                <w:sz w:val="20"/>
                <w:szCs w:val="20"/>
              </w:rPr>
            </w:pPr>
            <w:r w:rsidRPr="00054A67">
              <w:rPr>
                <w:rFonts w:eastAsia="Times New Roman"/>
                <w:sz w:val="20"/>
                <w:szCs w:val="20"/>
              </w:rPr>
              <w:t>2017–18</w:t>
            </w:r>
          </w:p>
        </w:tc>
      </w:tr>
      <w:tr w:rsidR="00A9105E" w:rsidRPr="0022580D" w14:paraId="2D52E171"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52B9648A" w14:textId="77777777" w:rsidR="00A9105E" w:rsidRPr="0022580D" w:rsidRDefault="00A9105E" w:rsidP="00E117FD">
            <w:pPr>
              <w:spacing w:before="40" w:after="40"/>
              <w:rPr>
                <w:rFonts w:eastAsia="Times New Roman"/>
                <w:b/>
                <w:color w:val="000000" w:themeColor="text1"/>
                <w:sz w:val="20"/>
                <w:szCs w:val="20"/>
              </w:rPr>
            </w:pPr>
            <w:r>
              <w:rPr>
                <w:rFonts w:eastAsia="Times New Roman"/>
                <w:b/>
                <w:color w:val="000000" w:themeColor="text1"/>
                <w:sz w:val="20"/>
                <w:szCs w:val="20"/>
              </w:rPr>
              <w:t>Cross P</w:t>
            </w:r>
            <w:r w:rsidRPr="0022580D">
              <w:rPr>
                <w:rFonts w:eastAsia="Times New Roman"/>
                <w:b/>
                <w:color w:val="000000" w:themeColor="text1"/>
                <w:sz w:val="20"/>
                <w:szCs w:val="20"/>
              </w:rPr>
              <w:t>rogram</w:t>
            </w:r>
          </w:p>
        </w:tc>
      </w:tr>
      <w:tr w:rsidR="00A9105E" w:rsidRPr="006447FF" w14:paraId="0E038AB3" w14:textId="77777777" w:rsidTr="00E117FD">
        <w:trPr>
          <w:cnfStyle w:val="000000010000" w:firstRow="0" w:lastRow="0" w:firstColumn="0" w:lastColumn="0" w:oddVBand="0" w:evenVBand="0" w:oddHBand="0" w:evenHBand="1" w:firstRowFirstColumn="0" w:firstRowLastColumn="0" w:lastRowFirstColumn="0" w:lastRowLastColumn="0"/>
        </w:trPr>
        <w:tc>
          <w:tcPr>
            <w:tcW w:w="2054" w:type="pct"/>
            <w:tcBorders>
              <w:top w:val="single" w:sz="18" w:space="0" w:color="00B0B9"/>
            </w:tcBorders>
            <w:hideMark/>
          </w:tcPr>
          <w:p w14:paraId="5F9F87B0" w14:textId="6467BA23" w:rsidR="00A9105E" w:rsidRPr="006447FF" w:rsidRDefault="00BA195C">
            <w:pPr>
              <w:spacing w:line="260" w:lineRule="atLeast"/>
              <w:rPr>
                <w:rFonts w:eastAsia="Times New Roman" w:cs="Arial"/>
                <w:color w:val="000000" w:themeColor="text1"/>
                <w:spacing w:val="4"/>
                <w:sz w:val="20"/>
                <w:szCs w:val="20"/>
                <w:lang w:val="en-GB"/>
              </w:rPr>
            </w:pPr>
            <w:r>
              <w:rPr>
                <w:rFonts w:eastAsia="Times New Roman" w:cs="Arial"/>
                <w:color w:val="000000" w:themeColor="text1"/>
                <w:spacing w:val="4"/>
                <w:sz w:val="20"/>
                <w:szCs w:val="20"/>
                <w:lang w:val="en-GB"/>
              </w:rPr>
              <w:t>The department’s</w:t>
            </w:r>
            <w:r w:rsidR="00A9105E" w:rsidRPr="006447FF">
              <w:rPr>
                <w:rFonts w:eastAsia="Times New Roman" w:cs="Arial"/>
                <w:color w:val="000000" w:themeColor="text1"/>
                <w:spacing w:val="4"/>
                <w:sz w:val="20"/>
                <w:szCs w:val="20"/>
                <w:lang w:val="en-GB"/>
              </w:rPr>
              <w:t xml:space="preserve"> contribution to Commonwealth/state agreements for housing and homelessness</w:t>
            </w:r>
          </w:p>
        </w:tc>
        <w:tc>
          <w:tcPr>
            <w:tcW w:w="876" w:type="pct"/>
            <w:tcBorders>
              <w:top w:val="single" w:sz="18" w:space="0" w:color="00B0B9"/>
            </w:tcBorders>
            <w:hideMark/>
          </w:tcPr>
          <w:p w14:paraId="06254A66" w14:textId="77777777" w:rsidR="00A9105E" w:rsidRPr="006447FF" w:rsidRDefault="00A9105E" w:rsidP="00E117FD">
            <w:pPr>
              <w:spacing w:line="260" w:lineRule="atLeast"/>
              <w:rPr>
                <w:rFonts w:eastAsia="Times New Roman" w:cs="Arial"/>
                <w:color w:val="000000" w:themeColor="text1"/>
                <w:spacing w:val="4"/>
                <w:sz w:val="20"/>
                <w:szCs w:val="20"/>
                <w:lang w:val="en-GB"/>
              </w:rPr>
            </w:pPr>
            <w:r>
              <w:rPr>
                <w:rFonts w:eastAsia="Times New Roman" w:cs="Arial"/>
                <w:color w:val="000000" w:themeColor="text1"/>
                <w:spacing w:val="4"/>
                <w:sz w:val="20"/>
                <w:szCs w:val="20"/>
                <w:lang w:val="en-GB"/>
              </w:rPr>
              <w:t>Reviewed annual statements of assurance and chaired Data Improvement Plan under the National Housing and Homelessness Agreement</w:t>
            </w:r>
          </w:p>
        </w:tc>
        <w:tc>
          <w:tcPr>
            <w:tcW w:w="1061" w:type="pct"/>
            <w:tcBorders>
              <w:top w:val="single" w:sz="18" w:space="0" w:color="00B0B9"/>
            </w:tcBorders>
            <w:hideMark/>
          </w:tcPr>
          <w:p w14:paraId="5FA3EE44" w14:textId="77777777" w:rsidR="00A9105E" w:rsidRPr="006447FF" w:rsidRDefault="00A9105E" w:rsidP="00E117FD">
            <w:pPr>
              <w:spacing w:line="260" w:lineRule="atLeas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Chaired Data Improvement Plan under the National Housing and Homelessness Agreement</w:t>
            </w:r>
          </w:p>
        </w:tc>
        <w:tc>
          <w:tcPr>
            <w:tcW w:w="1010" w:type="pct"/>
            <w:tcBorders>
              <w:top w:val="single" w:sz="18" w:space="0" w:color="00B0B9"/>
            </w:tcBorders>
            <w:hideMark/>
          </w:tcPr>
          <w:p w14:paraId="2EF87DEC" w14:textId="364170C2" w:rsidR="00A9105E" w:rsidRPr="006447FF" w:rsidRDefault="00A9105E">
            <w:pPr>
              <w:spacing w:line="260" w:lineRule="atLeas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Contributed to development of National Housing and Homelessness Agreement that commenced on</w:t>
            </w:r>
            <w:r w:rsidR="00207309">
              <w:rPr>
                <w:rFonts w:eastAsia="Times New Roman" w:cs="Arial"/>
                <w:color w:val="000000" w:themeColor="text1"/>
                <w:spacing w:val="4"/>
                <w:sz w:val="20"/>
                <w:szCs w:val="20"/>
                <w:lang w:val="en-GB"/>
              </w:rPr>
              <w:br/>
            </w:r>
            <w:r w:rsidRPr="006447FF">
              <w:rPr>
                <w:rFonts w:eastAsia="Times New Roman" w:cs="Arial"/>
                <w:color w:val="000000" w:themeColor="text1"/>
                <w:spacing w:val="4"/>
                <w:sz w:val="20"/>
                <w:szCs w:val="20"/>
                <w:lang w:val="en-GB"/>
              </w:rPr>
              <w:t>1</w:t>
            </w:r>
            <w:r>
              <w:rPr>
                <w:rFonts w:eastAsia="Times New Roman" w:cs="Arial"/>
                <w:color w:val="000000" w:themeColor="text1"/>
                <w:spacing w:val="4"/>
                <w:sz w:val="20"/>
                <w:szCs w:val="20"/>
                <w:lang w:val="en-GB"/>
              </w:rPr>
              <w:t xml:space="preserve"> </w:t>
            </w:r>
            <w:r w:rsidRPr="006447FF">
              <w:rPr>
                <w:rFonts w:eastAsia="Times New Roman" w:cs="Arial"/>
                <w:color w:val="000000" w:themeColor="text1"/>
                <w:spacing w:val="4"/>
                <w:sz w:val="20"/>
                <w:szCs w:val="20"/>
                <w:lang w:val="en-GB"/>
              </w:rPr>
              <w:t>July 2018</w:t>
            </w:r>
          </w:p>
        </w:tc>
      </w:tr>
    </w:tbl>
    <w:p w14:paraId="38EC9ED7" w14:textId="77777777" w:rsidR="00A9105E" w:rsidRPr="00A1621A" w:rsidRDefault="00A9105E" w:rsidP="00A9105E">
      <w:pPr>
        <w:rPr>
          <w:sz w:val="20"/>
          <w:szCs w:val="20"/>
        </w:rPr>
      </w:pPr>
    </w:p>
    <w:p w14:paraId="614A185F" w14:textId="77777777" w:rsidR="00AB6753" w:rsidRDefault="00AB6753" w:rsidP="00A9105E">
      <w:pPr>
        <w:keepNext/>
        <w:spacing w:before="360" w:after="240"/>
        <w:outlineLvl w:val="6"/>
        <w:rPr>
          <w:rFonts w:eastAsiaTheme="majorEastAsia" w:cstheme="majorBidi"/>
          <w:b/>
          <w:iCs/>
          <w:sz w:val="26"/>
        </w:rPr>
        <w:sectPr w:rsidR="00AB6753" w:rsidSect="003A047F">
          <w:footnotePr>
            <w:numRestart w:val="eachPage"/>
          </w:footnotePr>
          <w:pgSz w:w="11906" w:h="16838"/>
          <w:pgMar w:top="1440" w:right="1440" w:bottom="1440" w:left="1440" w:header="709" w:footer="709" w:gutter="0"/>
          <w:cols w:space="708"/>
          <w:docGrid w:linePitch="360"/>
        </w:sectPr>
      </w:pPr>
    </w:p>
    <w:p w14:paraId="68965F37" w14:textId="205468ED" w:rsidR="00A9105E" w:rsidRPr="006447FF" w:rsidRDefault="00A9105E" w:rsidP="00A9105E">
      <w:pPr>
        <w:keepNext/>
        <w:spacing w:before="360" w:after="240"/>
        <w:outlineLvl w:val="6"/>
        <w:rPr>
          <w:rFonts w:eastAsiaTheme="majorEastAsia" w:cstheme="majorBidi"/>
          <w:b/>
          <w:iCs/>
          <w:sz w:val="26"/>
        </w:rPr>
      </w:pPr>
      <w:r>
        <w:rPr>
          <w:rFonts w:eastAsiaTheme="majorEastAsia" w:cstheme="majorBidi"/>
          <w:b/>
          <w:iCs/>
          <w:sz w:val="26"/>
        </w:rPr>
        <w:lastRenderedPageBreak/>
        <w:t xml:space="preserve">C4.3 </w:t>
      </w:r>
      <w:r w:rsidRPr="006447FF">
        <w:rPr>
          <w:rFonts w:eastAsiaTheme="majorEastAsia" w:cstheme="majorBidi"/>
          <w:b/>
          <w:iCs/>
          <w:sz w:val="26"/>
        </w:rPr>
        <w:t>Extent to which delivery meets program objective</w:t>
      </w:r>
    </w:p>
    <w:p w14:paraId="6BCFBB43" w14:textId="77777777" w:rsidR="00A9105E" w:rsidRPr="00581D54" w:rsidRDefault="00A9105E" w:rsidP="00A9105E">
      <w:pPr>
        <w:rPr>
          <w:sz w:val="20"/>
          <w:szCs w:val="20"/>
        </w:rPr>
      </w:pPr>
      <w:r w:rsidRPr="007D7BA1">
        <w:rPr>
          <w:sz w:val="20"/>
          <w:szCs w:val="20"/>
        </w:rPr>
        <w:t>This criterion assesses whether funds have been spent consistent with the program objective, with a focus on appropriate delivery of the payments.</w:t>
      </w:r>
    </w:p>
    <w:p w14:paraId="1B4FE3F7" w14:textId="77777777" w:rsidR="00A9105E" w:rsidRPr="006447FF" w:rsidRDefault="00A9105E" w:rsidP="00A9105E">
      <w:pPr>
        <w:keepNext/>
        <w:spacing w:before="360" w:after="240"/>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t xml:space="preserve">C4.3.2 </w:t>
      </w:r>
      <w:r w:rsidRPr="006447FF">
        <w:rPr>
          <w:rFonts w:eastAsiaTheme="majorEastAsia" w:cstheme="majorBidi"/>
          <w:b/>
          <w:color w:val="595959" w:themeColor="text1" w:themeTint="A6"/>
          <w:sz w:val="24"/>
          <w:szCs w:val="20"/>
        </w:rPr>
        <w:t>Percentage of NRAS dwellings paid an incentive for the relevant NRAS year</w:t>
      </w:r>
    </w:p>
    <w:p w14:paraId="62E9407D" w14:textId="77777777" w:rsidR="00A9105E" w:rsidRDefault="00A9105E" w:rsidP="00A9105E">
      <w:pPr>
        <w:rPr>
          <w:sz w:val="20"/>
          <w:szCs w:val="20"/>
        </w:rPr>
      </w:pPr>
      <w:r w:rsidRPr="007D7BA1">
        <w:rPr>
          <w:sz w:val="20"/>
          <w:szCs w:val="20"/>
        </w:rPr>
        <w:t>This indicator measures the compliance outcomes of approved participants to ensure they meet the regulatory requirements of the scheme.</w:t>
      </w:r>
    </w:p>
    <w:p w14:paraId="295BD95F" w14:textId="77777777" w:rsidR="00A9105E" w:rsidRPr="00A1621A" w:rsidRDefault="00A9105E" w:rsidP="00A9105E">
      <w:pPr>
        <w:keepNext/>
        <w:spacing w:before="240" w:after="0" w:line="260" w:lineRule="atLeast"/>
        <w:ind w:right="425"/>
        <w:rPr>
          <w:rFonts w:ascii="Arial Narrow" w:eastAsia="Times New Roman" w:hAnsi="Arial Narrow" w:cs="Times New Roman"/>
          <w:b/>
          <w:bCs/>
          <w:spacing w:val="4"/>
          <w:sz w:val="20"/>
          <w:szCs w:val="18"/>
          <w:lang w:eastAsia="en-AU"/>
        </w:rPr>
      </w:pPr>
      <w:r>
        <w:rPr>
          <w:rFonts w:ascii="Arial Narrow" w:eastAsia="Times New Roman" w:hAnsi="Arial Narrow" w:cs="Times New Roman"/>
          <w:b/>
          <w:bCs/>
          <w:spacing w:val="4"/>
          <w:sz w:val="20"/>
          <w:szCs w:val="18"/>
          <w:lang w:eastAsia="en-AU"/>
        </w:rPr>
        <w:t>Table 2.4.6</w:t>
      </w:r>
      <w:r w:rsidRPr="00A1621A">
        <w:rPr>
          <w:rFonts w:ascii="Arial Narrow" w:eastAsia="Times New Roman" w:hAnsi="Arial Narrow" w:cs="Times New Roman"/>
          <w:b/>
          <w:bCs/>
          <w:spacing w:val="4"/>
          <w:sz w:val="20"/>
          <w:szCs w:val="18"/>
          <w:lang w:eastAsia="en-AU"/>
        </w:rPr>
        <w:t>: Percentage of NRAS dwellings paid an incentive for the relevant NRAS year</w:t>
      </w:r>
    </w:p>
    <w:tbl>
      <w:tblPr>
        <w:tblStyle w:val="HHorizontaltable1"/>
        <w:tblW w:w="5000" w:type="pct"/>
        <w:tblLook w:val="04A0" w:firstRow="1" w:lastRow="0" w:firstColumn="1" w:lastColumn="0" w:noHBand="0" w:noVBand="1"/>
        <w:tblCaption w:val="Table 2.4.6: Percentage of NRAS dwellings paid an incentive for the relevant NRAS year "/>
        <w:tblDescription w:val="Table 2.4.6: Percentage of NRAS dwellings paid an incentive for the relevant NRAS year "/>
      </w:tblPr>
      <w:tblGrid>
        <w:gridCol w:w="3122"/>
        <w:gridCol w:w="99"/>
        <w:gridCol w:w="1836"/>
        <w:gridCol w:w="99"/>
        <w:gridCol w:w="1935"/>
        <w:gridCol w:w="1928"/>
        <w:gridCol w:w="7"/>
      </w:tblGrid>
      <w:tr w:rsidR="00A9105E" w:rsidRPr="0022580D" w14:paraId="5773C11C" w14:textId="77777777" w:rsidTr="00E117FD">
        <w:trPr>
          <w:cnfStyle w:val="100000000000" w:firstRow="1" w:lastRow="0" w:firstColumn="0" w:lastColumn="0" w:oddVBand="0" w:evenVBand="0" w:oddHBand="0" w:evenHBand="0" w:firstRowFirstColumn="0" w:firstRowLastColumn="0" w:lastRowFirstColumn="0" w:lastRowLastColumn="0"/>
          <w:trHeight w:val="317"/>
        </w:trPr>
        <w:tc>
          <w:tcPr>
            <w:tcW w:w="1784" w:type="pct"/>
            <w:gridSpan w:val="2"/>
            <w:hideMark/>
          </w:tcPr>
          <w:p w14:paraId="43AEE2CF" w14:textId="77777777" w:rsidR="00A9105E" w:rsidRPr="00054A67" w:rsidRDefault="00A9105E" w:rsidP="00E117FD">
            <w:pPr>
              <w:keepNext/>
              <w:keepLines/>
              <w:spacing w:before="40" w:after="40"/>
              <w:rPr>
                <w:rFonts w:eastAsia="Times New Roman"/>
                <w:sz w:val="20"/>
                <w:szCs w:val="18"/>
              </w:rPr>
            </w:pPr>
            <w:r w:rsidRPr="00054A67">
              <w:rPr>
                <w:rFonts w:eastAsia="Times New Roman"/>
                <w:sz w:val="20"/>
                <w:szCs w:val="18"/>
              </w:rPr>
              <w:t>Intermediate outcome performance measure</w:t>
            </w:r>
          </w:p>
        </w:tc>
        <w:tc>
          <w:tcPr>
            <w:tcW w:w="1072" w:type="pct"/>
            <w:gridSpan w:val="2"/>
            <w:hideMark/>
          </w:tcPr>
          <w:p w14:paraId="273FFC1D" w14:textId="14CBCE7D" w:rsidR="00A9105E" w:rsidRPr="00054A67" w:rsidRDefault="00A9105E" w:rsidP="00E117FD">
            <w:pPr>
              <w:keepNext/>
              <w:keepLines/>
              <w:spacing w:before="40" w:after="40"/>
              <w:jc w:val="right"/>
              <w:rPr>
                <w:rFonts w:eastAsia="Times New Roman"/>
                <w:sz w:val="20"/>
                <w:szCs w:val="18"/>
              </w:rPr>
            </w:pPr>
            <w:r w:rsidRPr="00054A67">
              <w:rPr>
                <w:rFonts w:eastAsia="Times New Roman"/>
                <w:sz w:val="20"/>
                <w:szCs w:val="18"/>
              </w:rPr>
              <w:t xml:space="preserve">2018–19 </w:t>
            </w:r>
            <w:r w:rsidR="006938C4" w:rsidRPr="00054A67">
              <w:rPr>
                <w:rFonts w:eastAsia="Times New Roman"/>
                <w:sz w:val="20"/>
                <w:szCs w:val="18"/>
              </w:rPr>
              <w:br/>
            </w:r>
            <w:r w:rsidRPr="00054A67">
              <w:rPr>
                <w:rFonts w:eastAsia="Times New Roman"/>
                <w:sz w:val="20"/>
                <w:szCs w:val="18"/>
              </w:rPr>
              <w:t>NRAS year</w:t>
            </w:r>
          </w:p>
        </w:tc>
        <w:tc>
          <w:tcPr>
            <w:tcW w:w="1072" w:type="pct"/>
            <w:hideMark/>
          </w:tcPr>
          <w:p w14:paraId="5CB7A100" w14:textId="045EF5A8" w:rsidR="00A9105E" w:rsidRPr="00054A67" w:rsidRDefault="00A9105E" w:rsidP="00E117FD">
            <w:pPr>
              <w:keepNext/>
              <w:keepLines/>
              <w:spacing w:before="40" w:after="40"/>
              <w:jc w:val="right"/>
              <w:rPr>
                <w:rFonts w:eastAsia="Times New Roman"/>
                <w:sz w:val="20"/>
                <w:szCs w:val="18"/>
              </w:rPr>
            </w:pPr>
            <w:r w:rsidRPr="00054A67">
              <w:rPr>
                <w:rFonts w:eastAsia="Times New Roman"/>
                <w:sz w:val="20"/>
                <w:szCs w:val="18"/>
              </w:rPr>
              <w:t xml:space="preserve">2017–18 </w:t>
            </w:r>
            <w:r w:rsidR="006938C4" w:rsidRPr="00054A67">
              <w:rPr>
                <w:rFonts w:eastAsia="Times New Roman"/>
                <w:sz w:val="20"/>
                <w:szCs w:val="18"/>
              </w:rPr>
              <w:br/>
            </w:r>
            <w:r w:rsidRPr="00054A67">
              <w:rPr>
                <w:rFonts w:eastAsia="Times New Roman"/>
                <w:sz w:val="20"/>
                <w:szCs w:val="18"/>
              </w:rPr>
              <w:t>NRAS year</w:t>
            </w:r>
          </w:p>
        </w:tc>
        <w:tc>
          <w:tcPr>
            <w:tcW w:w="1072" w:type="pct"/>
            <w:gridSpan w:val="2"/>
            <w:hideMark/>
          </w:tcPr>
          <w:p w14:paraId="0BA86D3F" w14:textId="7FA5A3F0" w:rsidR="00A9105E" w:rsidRPr="00054A67" w:rsidRDefault="00A9105E" w:rsidP="00E117FD">
            <w:pPr>
              <w:keepNext/>
              <w:keepLines/>
              <w:spacing w:before="40" w:after="40"/>
              <w:jc w:val="right"/>
              <w:rPr>
                <w:rFonts w:eastAsia="Times New Roman"/>
                <w:sz w:val="20"/>
                <w:szCs w:val="18"/>
              </w:rPr>
            </w:pPr>
            <w:r w:rsidRPr="00054A67">
              <w:rPr>
                <w:rFonts w:eastAsia="Times New Roman"/>
                <w:sz w:val="20"/>
                <w:szCs w:val="18"/>
              </w:rPr>
              <w:t xml:space="preserve">2016–17 </w:t>
            </w:r>
            <w:r w:rsidR="006938C4" w:rsidRPr="00054A67">
              <w:rPr>
                <w:rFonts w:eastAsia="Times New Roman"/>
                <w:sz w:val="20"/>
                <w:szCs w:val="18"/>
              </w:rPr>
              <w:br/>
            </w:r>
            <w:r w:rsidRPr="00054A67">
              <w:rPr>
                <w:rFonts w:eastAsia="Times New Roman"/>
                <w:sz w:val="20"/>
                <w:szCs w:val="18"/>
              </w:rPr>
              <w:t>NRAS year</w:t>
            </w:r>
          </w:p>
        </w:tc>
      </w:tr>
      <w:tr w:rsidR="00A9105E" w:rsidRPr="006447FF" w14:paraId="15A5926E" w14:textId="77777777" w:rsidTr="00E117FD">
        <w:trPr>
          <w:gridAfter w:val="1"/>
          <w:cnfStyle w:val="000000100000" w:firstRow="0" w:lastRow="0" w:firstColumn="0" w:lastColumn="0" w:oddVBand="0" w:evenVBand="0" w:oddHBand="1" w:evenHBand="0" w:firstRowFirstColumn="0" w:firstRowLastColumn="0" w:lastRowFirstColumn="0" w:lastRowLastColumn="0"/>
          <w:wAfter w:w="7" w:type="dxa"/>
          <w:trHeight w:val="317"/>
        </w:trPr>
        <w:tc>
          <w:tcPr>
            <w:tcW w:w="4996" w:type="pct"/>
            <w:gridSpan w:val="6"/>
            <w:tcBorders>
              <w:top w:val="single" w:sz="4" w:space="0" w:color="FFFFFF" w:themeColor="background1"/>
              <w:bottom w:val="single" w:sz="18" w:space="0" w:color="00B0B9"/>
            </w:tcBorders>
            <w:hideMark/>
          </w:tcPr>
          <w:p w14:paraId="0EC423FE" w14:textId="77777777" w:rsidR="00A9105E" w:rsidRPr="0022580D" w:rsidRDefault="00A9105E" w:rsidP="00E117FD">
            <w:pPr>
              <w:keepNext/>
              <w:keepLines/>
              <w:spacing w:before="40" w:after="40"/>
              <w:rPr>
                <w:rFonts w:eastAsia="Times New Roman"/>
                <w:b/>
                <w:color w:val="000000" w:themeColor="text1"/>
                <w:sz w:val="20"/>
                <w:szCs w:val="20"/>
              </w:rPr>
            </w:pPr>
            <w:r w:rsidRPr="0022580D">
              <w:rPr>
                <w:rFonts w:eastAsia="Times New Roman"/>
                <w:b/>
                <w:color w:val="000000" w:themeColor="text1"/>
                <w:sz w:val="20"/>
                <w:szCs w:val="20"/>
              </w:rPr>
              <w:t>Affordable Housing</w:t>
            </w:r>
          </w:p>
        </w:tc>
      </w:tr>
      <w:tr w:rsidR="00A9105E" w:rsidRPr="006447FF" w14:paraId="7A6E2F30" w14:textId="77777777" w:rsidTr="00E117FD">
        <w:trPr>
          <w:cnfStyle w:val="000000010000" w:firstRow="0" w:lastRow="0" w:firstColumn="0" w:lastColumn="0" w:oddVBand="0" w:evenVBand="0" w:oddHBand="0" w:evenHBand="1" w:firstRowFirstColumn="0" w:firstRowLastColumn="0" w:lastRowFirstColumn="0" w:lastRowLastColumn="0"/>
        </w:trPr>
        <w:tc>
          <w:tcPr>
            <w:tcW w:w="1729" w:type="pct"/>
            <w:hideMark/>
          </w:tcPr>
          <w:p w14:paraId="0BEF408F" w14:textId="77777777" w:rsidR="00A9105E" w:rsidRPr="006447FF" w:rsidRDefault="00A9105E" w:rsidP="00E117FD">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Percentage of dwellings that were paid a full incentive for the relevant NRAS year</w:t>
            </w:r>
          </w:p>
        </w:tc>
        <w:tc>
          <w:tcPr>
            <w:tcW w:w="1072" w:type="pct"/>
            <w:gridSpan w:val="2"/>
            <w:hideMark/>
          </w:tcPr>
          <w:p w14:paraId="748C6312" w14:textId="77777777" w:rsidR="00A9105E" w:rsidRPr="00BE1E26" w:rsidRDefault="00A9105E" w:rsidP="00E117FD">
            <w:pPr>
              <w:spacing w:before="40" w:after="40"/>
              <w:jc w:val="right"/>
              <w:rPr>
                <w:rFonts w:eastAsia="Times New Roman" w:cs="Arial"/>
                <w:color w:val="000000" w:themeColor="text1"/>
                <w:spacing w:val="4"/>
                <w:sz w:val="20"/>
                <w:szCs w:val="20"/>
                <w:lang w:val="en-GB"/>
              </w:rPr>
            </w:pPr>
            <w:r w:rsidRPr="00BE1E26">
              <w:rPr>
                <w:rFonts w:eastAsia="Times New Roman" w:cs="Arial"/>
                <w:color w:val="000000" w:themeColor="text1"/>
                <w:spacing w:val="4"/>
                <w:sz w:val="20"/>
                <w:szCs w:val="20"/>
                <w:lang w:val="en-GB"/>
              </w:rPr>
              <w:t>92.7%</w:t>
            </w:r>
          </w:p>
        </w:tc>
        <w:tc>
          <w:tcPr>
            <w:tcW w:w="1127" w:type="pct"/>
            <w:gridSpan w:val="2"/>
            <w:hideMark/>
          </w:tcPr>
          <w:p w14:paraId="48C1A16D" w14:textId="77777777" w:rsidR="00A9105E" w:rsidRPr="00BE1E26" w:rsidRDefault="00A9105E" w:rsidP="00E117FD">
            <w:pPr>
              <w:spacing w:before="40" w:after="40"/>
              <w:jc w:val="right"/>
              <w:rPr>
                <w:rFonts w:eastAsia="Times New Roman" w:cs="Arial"/>
                <w:color w:val="000000" w:themeColor="text1"/>
                <w:spacing w:val="4"/>
                <w:sz w:val="20"/>
                <w:szCs w:val="20"/>
                <w:lang w:val="en-GB"/>
              </w:rPr>
            </w:pPr>
            <w:r w:rsidRPr="00BE1E26">
              <w:rPr>
                <w:rFonts w:eastAsia="Times New Roman" w:cs="Arial"/>
                <w:color w:val="000000" w:themeColor="text1"/>
                <w:spacing w:val="4"/>
                <w:sz w:val="20"/>
                <w:szCs w:val="20"/>
                <w:lang w:val="en-GB"/>
              </w:rPr>
              <w:t>94.2%</w:t>
            </w:r>
          </w:p>
        </w:tc>
        <w:tc>
          <w:tcPr>
            <w:tcW w:w="1072" w:type="pct"/>
            <w:gridSpan w:val="2"/>
            <w:hideMark/>
          </w:tcPr>
          <w:p w14:paraId="475A9E0D" w14:textId="77777777" w:rsidR="00A9105E" w:rsidRPr="006447FF" w:rsidRDefault="00A9105E" w:rsidP="00E117FD">
            <w:pPr>
              <w:spacing w:before="40" w:after="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95.8%</w:t>
            </w:r>
          </w:p>
        </w:tc>
      </w:tr>
      <w:tr w:rsidR="00A9105E" w:rsidRPr="006447FF" w14:paraId="47FE5B7E" w14:textId="77777777" w:rsidTr="00E117FD">
        <w:trPr>
          <w:cnfStyle w:val="000000100000" w:firstRow="0" w:lastRow="0" w:firstColumn="0" w:lastColumn="0" w:oddVBand="0" w:evenVBand="0" w:oddHBand="1" w:evenHBand="0" w:firstRowFirstColumn="0" w:firstRowLastColumn="0" w:lastRowFirstColumn="0" w:lastRowLastColumn="0"/>
        </w:trPr>
        <w:tc>
          <w:tcPr>
            <w:tcW w:w="1729" w:type="pct"/>
            <w:hideMark/>
          </w:tcPr>
          <w:p w14:paraId="701535CD" w14:textId="078F9281" w:rsidR="00A9105E" w:rsidRPr="006447FF" w:rsidRDefault="00A9105E">
            <w:pPr>
              <w:spacing w:before="40" w:after="40"/>
              <w:rPr>
                <w:rFonts w:eastAsia="Times New Roman" w:cs="Arial"/>
                <w:color w:val="000000" w:themeColor="text1"/>
                <w:spacing w:val="4"/>
                <w:sz w:val="20"/>
                <w:szCs w:val="20"/>
                <w:lang w:val="en-GB"/>
              </w:rPr>
            </w:pPr>
            <w:r w:rsidRPr="006447FF">
              <w:rPr>
                <w:rFonts w:eastAsia="Times New Roman"/>
                <w:color w:val="000000" w:themeColor="text1"/>
                <w:spacing w:val="4"/>
                <w:sz w:val="20"/>
                <w:szCs w:val="20"/>
                <w:lang w:val="en-GB"/>
              </w:rPr>
              <w:t>Percentage of dwellings that were paid a partial incentive for the relevant NRAS year</w:t>
            </w:r>
          </w:p>
        </w:tc>
        <w:tc>
          <w:tcPr>
            <w:tcW w:w="1072" w:type="pct"/>
            <w:gridSpan w:val="2"/>
            <w:hideMark/>
          </w:tcPr>
          <w:p w14:paraId="78BDF2EE" w14:textId="77777777" w:rsidR="00A9105E" w:rsidRPr="00BE1E26" w:rsidRDefault="00A9105E" w:rsidP="00E117FD">
            <w:pPr>
              <w:spacing w:before="40" w:after="40"/>
              <w:jc w:val="right"/>
              <w:rPr>
                <w:rFonts w:eastAsia="Times New Roman"/>
                <w:color w:val="000000" w:themeColor="text1"/>
                <w:spacing w:val="4"/>
                <w:sz w:val="20"/>
                <w:szCs w:val="20"/>
                <w:lang w:val="en-GB"/>
              </w:rPr>
            </w:pPr>
            <w:r w:rsidRPr="00BE1E26">
              <w:rPr>
                <w:rFonts w:eastAsia="Arial" w:cs="Arial"/>
                <w:color w:val="000000" w:themeColor="text1"/>
                <w:spacing w:val="4"/>
                <w:sz w:val="20"/>
                <w:szCs w:val="20"/>
                <w:lang w:val="en-GB"/>
              </w:rPr>
              <w:t>5.0%</w:t>
            </w:r>
          </w:p>
        </w:tc>
        <w:tc>
          <w:tcPr>
            <w:tcW w:w="1127" w:type="pct"/>
            <w:gridSpan w:val="2"/>
            <w:hideMark/>
          </w:tcPr>
          <w:p w14:paraId="2A1D7F3C" w14:textId="77777777" w:rsidR="00A9105E" w:rsidRPr="00BE1E26" w:rsidRDefault="00A9105E" w:rsidP="00E117FD">
            <w:pPr>
              <w:spacing w:before="40" w:after="40"/>
              <w:jc w:val="right"/>
              <w:rPr>
                <w:rFonts w:eastAsia="Times New Roman"/>
                <w:color w:val="000000" w:themeColor="text1"/>
                <w:spacing w:val="4"/>
                <w:sz w:val="20"/>
                <w:szCs w:val="20"/>
                <w:lang w:val="en-GB"/>
              </w:rPr>
            </w:pPr>
            <w:r w:rsidRPr="00BE1E26">
              <w:rPr>
                <w:rFonts w:eastAsia="Times New Roman"/>
                <w:color w:val="000000" w:themeColor="text1"/>
                <w:spacing w:val="4"/>
                <w:sz w:val="20"/>
                <w:szCs w:val="20"/>
                <w:lang w:val="en-GB"/>
              </w:rPr>
              <w:t>3.7%</w:t>
            </w:r>
          </w:p>
        </w:tc>
        <w:tc>
          <w:tcPr>
            <w:tcW w:w="1072" w:type="pct"/>
            <w:gridSpan w:val="2"/>
            <w:hideMark/>
          </w:tcPr>
          <w:p w14:paraId="48A6F47E" w14:textId="77777777" w:rsidR="00A9105E" w:rsidRPr="006447FF" w:rsidRDefault="00A9105E" w:rsidP="00E117FD">
            <w:pPr>
              <w:spacing w:before="40" w:after="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2.8%</w:t>
            </w:r>
          </w:p>
        </w:tc>
      </w:tr>
    </w:tbl>
    <w:p w14:paraId="0408C2D3" w14:textId="77777777" w:rsidR="00A9105E" w:rsidRPr="00A1621A" w:rsidRDefault="00A9105E" w:rsidP="00A9105E">
      <w:pPr>
        <w:rPr>
          <w:sz w:val="20"/>
          <w:szCs w:val="20"/>
        </w:rPr>
      </w:pPr>
    </w:p>
    <w:p w14:paraId="5F26C828" w14:textId="77777777" w:rsidR="00A9105E" w:rsidRPr="006447FF" w:rsidRDefault="00A9105E" w:rsidP="00A9105E">
      <w:pPr>
        <w:keepNext/>
        <w:spacing w:before="360" w:after="240"/>
        <w:outlineLvl w:val="6"/>
        <w:rPr>
          <w:rFonts w:eastAsiaTheme="majorEastAsia" w:cstheme="majorBidi"/>
          <w:b/>
          <w:iCs/>
          <w:sz w:val="26"/>
        </w:rPr>
      </w:pPr>
      <w:r>
        <w:rPr>
          <w:rFonts w:eastAsiaTheme="majorEastAsia" w:cstheme="majorBidi"/>
          <w:b/>
          <w:iCs/>
          <w:sz w:val="26"/>
        </w:rPr>
        <w:t xml:space="preserve">4.4 </w:t>
      </w:r>
      <w:r w:rsidRPr="006447FF">
        <w:rPr>
          <w:rFonts w:eastAsiaTheme="majorEastAsia" w:cstheme="majorBidi"/>
          <w:b/>
          <w:iCs/>
          <w:sz w:val="26"/>
        </w:rPr>
        <w:t>Delivery measures</w:t>
      </w:r>
    </w:p>
    <w:p w14:paraId="6DD98683" w14:textId="77777777" w:rsidR="00A9105E" w:rsidRPr="006447FF" w:rsidRDefault="00A9105E" w:rsidP="00A9105E">
      <w:pPr>
        <w:spacing w:before="240" w:after="240"/>
        <w:outlineLvl w:val="7"/>
        <w:rPr>
          <w:rFonts w:eastAsiaTheme="majorEastAsia" w:cstheme="majorBidi"/>
          <w:b/>
          <w:color w:val="595959" w:themeColor="text1" w:themeTint="A6"/>
          <w:sz w:val="24"/>
          <w:szCs w:val="20"/>
        </w:rPr>
      </w:pPr>
      <w:r>
        <w:rPr>
          <w:rFonts w:eastAsiaTheme="majorEastAsia" w:cstheme="majorBidi"/>
          <w:b/>
          <w:color w:val="595959" w:themeColor="text1" w:themeTint="A6"/>
          <w:sz w:val="24"/>
          <w:szCs w:val="20"/>
        </w:rPr>
        <w:t xml:space="preserve">4.4.1 </w:t>
      </w:r>
      <w:r w:rsidRPr="006447FF">
        <w:rPr>
          <w:rFonts w:eastAsiaTheme="majorEastAsia" w:cstheme="majorBidi"/>
          <w:b/>
          <w:color w:val="595959" w:themeColor="text1" w:themeTint="A6"/>
          <w:sz w:val="24"/>
          <w:szCs w:val="20"/>
        </w:rPr>
        <w:t>Number of incentives issued for the relevant NRAS year (Cash and Refundable Tax Offsets (RTO))</w:t>
      </w:r>
    </w:p>
    <w:p w14:paraId="4D0A4394" w14:textId="77777777" w:rsidR="00A9105E" w:rsidRPr="006447FF" w:rsidRDefault="00A9105E" w:rsidP="00A9105E">
      <w:pPr>
        <w:rPr>
          <w:sz w:val="20"/>
          <w:szCs w:val="20"/>
        </w:rPr>
      </w:pPr>
      <w:r w:rsidRPr="007D7BA1">
        <w:rPr>
          <w:sz w:val="20"/>
          <w:szCs w:val="20"/>
        </w:rPr>
        <w:t>A total of 34,509 incentives were issued for the 2018–19 NRAS year.</w:t>
      </w:r>
    </w:p>
    <w:p w14:paraId="1DCF6580" w14:textId="77777777" w:rsidR="00A9105E" w:rsidRPr="006447FF" w:rsidRDefault="00A9105E" w:rsidP="00A9105E">
      <w:pPr>
        <w:keepNext/>
        <w:spacing w:before="240" w:after="0" w:line="260" w:lineRule="atLeast"/>
        <w:ind w:right="425"/>
        <w:rPr>
          <w:rFonts w:ascii="Arial Narrow" w:eastAsia="Times New Roman" w:hAnsi="Arial Narrow" w:cs="Times New Roman"/>
          <w:b/>
          <w:bCs/>
          <w:spacing w:val="4"/>
          <w:sz w:val="20"/>
          <w:szCs w:val="18"/>
          <w:lang w:eastAsia="en-AU"/>
        </w:rPr>
      </w:pPr>
      <w:r>
        <w:rPr>
          <w:rFonts w:ascii="Arial Narrow" w:eastAsia="Times New Roman" w:hAnsi="Arial Narrow" w:cs="Times New Roman"/>
          <w:b/>
          <w:bCs/>
          <w:spacing w:val="4"/>
          <w:sz w:val="20"/>
          <w:szCs w:val="18"/>
          <w:lang w:eastAsia="en-AU"/>
        </w:rPr>
        <w:t>Table 2.4.7</w:t>
      </w:r>
      <w:r w:rsidRPr="006447FF">
        <w:rPr>
          <w:rFonts w:ascii="Arial Narrow" w:eastAsia="Times New Roman" w:hAnsi="Arial Narrow" w:cs="Times New Roman"/>
          <w:b/>
          <w:bCs/>
          <w:spacing w:val="4"/>
          <w:sz w:val="20"/>
          <w:szCs w:val="18"/>
          <w:lang w:eastAsia="en-AU"/>
        </w:rPr>
        <w:t>: Number of NRAS incentives issued for the relevant NRAS year (Cash and Refundable Tax Offsets (RTO))</w:t>
      </w:r>
    </w:p>
    <w:tbl>
      <w:tblPr>
        <w:tblStyle w:val="HHorizontaltable1"/>
        <w:tblW w:w="4840" w:type="pct"/>
        <w:tblLook w:val="04A0" w:firstRow="1" w:lastRow="0" w:firstColumn="1" w:lastColumn="0" w:noHBand="0" w:noVBand="1"/>
        <w:tblCaption w:val="Table 2.4.7: Number of NRAS incentives issued for the relevant NRAS year (Cash and Refundable Tax Offsets (RTO)) "/>
        <w:tblDescription w:val="Table 2.4.7: Number of NRAS incentives issued for the relevant NRAS year (Cash and Refundable Tax Offsets (RTO)) "/>
      </w:tblPr>
      <w:tblGrid>
        <w:gridCol w:w="3092"/>
        <w:gridCol w:w="1880"/>
        <w:gridCol w:w="1880"/>
        <w:gridCol w:w="1885"/>
      </w:tblGrid>
      <w:tr w:rsidR="00A9105E" w:rsidRPr="006447FF" w14:paraId="6CEA69E4" w14:textId="77777777" w:rsidTr="00E117FD">
        <w:trPr>
          <w:cnfStyle w:val="100000000000" w:firstRow="1" w:lastRow="0" w:firstColumn="0" w:lastColumn="0" w:oddVBand="0" w:evenVBand="0" w:oddHBand="0" w:evenHBand="0" w:firstRowFirstColumn="0" w:firstRowLastColumn="0" w:lastRowFirstColumn="0" w:lastRowLastColumn="0"/>
          <w:trHeight w:val="317"/>
          <w:tblHeader/>
        </w:trPr>
        <w:tc>
          <w:tcPr>
            <w:tcW w:w="1769" w:type="pct"/>
            <w:tcBorders>
              <w:bottom w:val="single" w:sz="4" w:space="0" w:color="FFFFFF" w:themeColor="background1"/>
            </w:tcBorders>
            <w:hideMark/>
          </w:tcPr>
          <w:p w14:paraId="3875A615" w14:textId="77777777" w:rsidR="00A9105E" w:rsidRPr="00054A67" w:rsidRDefault="00A9105E" w:rsidP="00E117FD">
            <w:pPr>
              <w:keepNext/>
              <w:keepLines/>
              <w:spacing w:before="40" w:after="40"/>
              <w:rPr>
                <w:rFonts w:eastAsia="Times New Roman" w:cs="Times New Roman"/>
                <w:sz w:val="20"/>
                <w:szCs w:val="18"/>
              </w:rPr>
            </w:pPr>
            <w:r w:rsidRPr="00054A67">
              <w:rPr>
                <w:rFonts w:eastAsia="Times New Roman" w:cs="Times New Roman"/>
                <w:sz w:val="20"/>
                <w:szCs w:val="18"/>
              </w:rPr>
              <w:t>Output performance measure</w:t>
            </w:r>
          </w:p>
        </w:tc>
        <w:tc>
          <w:tcPr>
            <w:tcW w:w="1076" w:type="pct"/>
            <w:tcBorders>
              <w:bottom w:val="single" w:sz="4" w:space="0" w:color="FFFFFF" w:themeColor="background1"/>
            </w:tcBorders>
            <w:hideMark/>
          </w:tcPr>
          <w:p w14:paraId="14715184" w14:textId="38BED997" w:rsidR="00A9105E" w:rsidRPr="00054A67" w:rsidRDefault="00A9105E" w:rsidP="00E117FD">
            <w:pPr>
              <w:keepNext/>
              <w:keepLines/>
              <w:spacing w:before="40" w:after="40"/>
              <w:jc w:val="right"/>
              <w:rPr>
                <w:rFonts w:eastAsia="Times New Roman" w:cs="Times New Roman"/>
                <w:sz w:val="20"/>
                <w:szCs w:val="18"/>
              </w:rPr>
            </w:pPr>
            <w:r w:rsidRPr="00054A67">
              <w:rPr>
                <w:rFonts w:eastAsia="Times New Roman" w:cs="Times New Roman"/>
                <w:sz w:val="20"/>
                <w:szCs w:val="18"/>
              </w:rPr>
              <w:t xml:space="preserve">2018–19 </w:t>
            </w:r>
            <w:r w:rsidR="006938C4" w:rsidRPr="00054A67">
              <w:rPr>
                <w:rFonts w:eastAsia="Times New Roman" w:cs="Times New Roman"/>
                <w:sz w:val="20"/>
                <w:szCs w:val="18"/>
              </w:rPr>
              <w:br/>
            </w:r>
            <w:r w:rsidRPr="00054A67">
              <w:rPr>
                <w:rFonts w:eastAsia="Times New Roman" w:cs="Times New Roman"/>
                <w:sz w:val="20"/>
                <w:szCs w:val="18"/>
              </w:rPr>
              <w:t>NRAS year</w:t>
            </w:r>
          </w:p>
        </w:tc>
        <w:tc>
          <w:tcPr>
            <w:tcW w:w="1076" w:type="pct"/>
            <w:tcBorders>
              <w:bottom w:val="single" w:sz="4" w:space="0" w:color="FFFFFF" w:themeColor="background1"/>
            </w:tcBorders>
            <w:hideMark/>
          </w:tcPr>
          <w:p w14:paraId="5A50FF48" w14:textId="0EE90A05" w:rsidR="00A9105E" w:rsidRPr="00054A67" w:rsidRDefault="00A9105E" w:rsidP="00E117FD">
            <w:pPr>
              <w:keepNext/>
              <w:keepLines/>
              <w:spacing w:before="40" w:after="40"/>
              <w:jc w:val="right"/>
              <w:rPr>
                <w:rFonts w:eastAsia="Times New Roman" w:cs="Times New Roman"/>
                <w:sz w:val="20"/>
                <w:szCs w:val="18"/>
              </w:rPr>
            </w:pPr>
            <w:r w:rsidRPr="00054A67">
              <w:rPr>
                <w:rFonts w:eastAsia="Times New Roman" w:cs="Times New Roman"/>
                <w:sz w:val="20"/>
                <w:szCs w:val="18"/>
              </w:rPr>
              <w:t xml:space="preserve">2017–18 </w:t>
            </w:r>
            <w:r w:rsidR="006938C4" w:rsidRPr="00054A67">
              <w:rPr>
                <w:rFonts w:eastAsia="Times New Roman" w:cs="Times New Roman"/>
                <w:sz w:val="20"/>
                <w:szCs w:val="18"/>
              </w:rPr>
              <w:br/>
            </w:r>
            <w:r w:rsidRPr="00054A67">
              <w:rPr>
                <w:rFonts w:eastAsia="Times New Roman" w:cs="Times New Roman"/>
                <w:sz w:val="20"/>
                <w:szCs w:val="18"/>
              </w:rPr>
              <w:t>NRAS year</w:t>
            </w:r>
          </w:p>
        </w:tc>
        <w:tc>
          <w:tcPr>
            <w:tcW w:w="1079" w:type="pct"/>
            <w:tcBorders>
              <w:bottom w:val="single" w:sz="4" w:space="0" w:color="FFFFFF" w:themeColor="background1"/>
            </w:tcBorders>
            <w:hideMark/>
          </w:tcPr>
          <w:p w14:paraId="705E4E30" w14:textId="66FE8A43" w:rsidR="00A9105E" w:rsidRPr="00054A67" w:rsidRDefault="00A9105E" w:rsidP="00E117FD">
            <w:pPr>
              <w:keepNext/>
              <w:keepLines/>
              <w:spacing w:before="40" w:after="40"/>
              <w:jc w:val="right"/>
              <w:rPr>
                <w:rFonts w:eastAsia="Times New Roman" w:cs="Times New Roman"/>
                <w:sz w:val="20"/>
                <w:szCs w:val="18"/>
              </w:rPr>
            </w:pPr>
            <w:r w:rsidRPr="00054A67">
              <w:rPr>
                <w:rFonts w:eastAsia="Times New Roman" w:cs="Times New Roman"/>
                <w:sz w:val="20"/>
                <w:szCs w:val="18"/>
              </w:rPr>
              <w:t xml:space="preserve">2016–17 </w:t>
            </w:r>
            <w:r w:rsidR="006938C4" w:rsidRPr="00054A67">
              <w:rPr>
                <w:rFonts w:eastAsia="Times New Roman" w:cs="Times New Roman"/>
                <w:sz w:val="20"/>
                <w:szCs w:val="18"/>
              </w:rPr>
              <w:br/>
            </w:r>
            <w:r w:rsidRPr="00054A67">
              <w:rPr>
                <w:rFonts w:eastAsia="Times New Roman" w:cs="Times New Roman"/>
                <w:sz w:val="20"/>
                <w:szCs w:val="18"/>
              </w:rPr>
              <w:t>NRAS year</w:t>
            </w:r>
          </w:p>
        </w:tc>
      </w:tr>
      <w:tr w:rsidR="00A9105E" w:rsidRPr="006447FF" w14:paraId="644CA9DC" w14:textId="77777777" w:rsidTr="00E117FD">
        <w:trPr>
          <w:cnfStyle w:val="000000100000" w:firstRow="0" w:lastRow="0" w:firstColumn="0" w:lastColumn="0" w:oddVBand="0" w:evenVBand="0" w:oddHBand="1" w:evenHBand="0" w:firstRowFirstColumn="0" w:firstRowLastColumn="0" w:lastRowFirstColumn="0" w:lastRowLastColumn="0"/>
          <w:trHeight w:val="317"/>
        </w:trPr>
        <w:tc>
          <w:tcPr>
            <w:tcW w:w="5000" w:type="pct"/>
            <w:gridSpan w:val="4"/>
            <w:tcBorders>
              <w:top w:val="single" w:sz="4" w:space="0" w:color="FFFFFF" w:themeColor="background1"/>
              <w:bottom w:val="single" w:sz="18" w:space="0" w:color="00B0B9"/>
            </w:tcBorders>
            <w:hideMark/>
          </w:tcPr>
          <w:p w14:paraId="77ED43BD" w14:textId="77777777" w:rsidR="00A9105E" w:rsidRPr="009B69B9" w:rsidRDefault="00A9105E" w:rsidP="00E117FD">
            <w:pPr>
              <w:keepNext/>
              <w:keepLines/>
              <w:spacing w:before="40" w:after="40"/>
              <w:rPr>
                <w:rFonts w:eastAsia="Times New Roman" w:cs="Times New Roman"/>
                <w:b/>
                <w:color w:val="000000" w:themeColor="text1"/>
                <w:sz w:val="20"/>
                <w:szCs w:val="20"/>
              </w:rPr>
            </w:pPr>
            <w:r w:rsidRPr="009B69B9">
              <w:rPr>
                <w:rFonts w:eastAsia="Times New Roman" w:cs="Times New Roman"/>
                <w:b/>
                <w:color w:val="000000" w:themeColor="text1"/>
                <w:sz w:val="20"/>
                <w:szCs w:val="20"/>
              </w:rPr>
              <w:t>Affordable Housing</w:t>
            </w:r>
          </w:p>
        </w:tc>
      </w:tr>
      <w:tr w:rsidR="00A9105E" w:rsidRPr="006447FF" w14:paraId="3C53F444" w14:textId="77777777" w:rsidTr="00E117FD">
        <w:trPr>
          <w:cnfStyle w:val="000000010000" w:firstRow="0" w:lastRow="0" w:firstColumn="0" w:lastColumn="0" w:oddVBand="0" w:evenVBand="0" w:oddHBand="0" w:evenHBand="1" w:firstRowFirstColumn="0" w:firstRowLastColumn="0" w:lastRowFirstColumn="0" w:lastRowLastColumn="0"/>
        </w:trPr>
        <w:tc>
          <w:tcPr>
            <w:tcW w:w="5000" w:type="pct"/>
            <w:gridSpan w:val="4"/>
            <w:tcBorders>
              <w:top w:val="single" w:sz="18" w:space="0" w:color="00B0B9"/>
            </w:tcBorders>
            <w:hideMark/>
          </w:tcPr>
          <w:p w14:paraId="6C1D5508" w14:textId="24F776BB" w:rsidR="00A9105E" w:rsidRPr="006447FF" w:rsidRDefault="00A9105E" w:rsidP="006938C4">
            <w:pPr>
              <w:spacing w:before="40" w:after="40"/>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Number of NRAS incentives issued for the relevant NRAS year</w:t>
            </w:r>
            <w:r w:rsidR="006938C4">
              <w:rPr>
                <w:rFonts w:eastAsia="Times New Roman" w:cs="Arial"/>
                <w:color w:val="000000" w:themeColor="text1"/>
                <w:spacing w:val="4"/>
                <w:sz w:val="20"/>
                <w:szCs w:val="20"/>
                <w:lang w:val="en-GB"/>
              </w:rPr>
              <w:br/>
            </w:r>
            <w:r w:rsidRPr="006447FF">
              <w:rPr>
                <w:rFonts w:eastAsia="Times New Roman" w:cs="Arial"/>
                <w:color w:val="000000" w:themeColor="text1"/>
                <w:spacing w:val="4"/>
                <w:sz w:val="20"/>
                <w:szCs w:val="20"/>
                <w:lang w:val="en-GB"/>
              </w:rPr>
              <w:t>(Cash and Refundable Tax Offsets (RTO)):</w:t>
            </w:r>
          </w:p>
        </w:tc>
      </w:tr>
      <w:tr w:rsidR="00A9105E" w:rsidRPr="006447FF" w14:paraId="7508925B" w14:textId="77777777" w:rsidTr="00E117FD">
        <w:trPr>
          <w:cnfStyle w:val="000000100000" w:firstRow="0" w:lastRow="0" w:firstColumn="0" w:lastColumn="0" w:oddVBand="0" w:evenVBand="0" w:oddHBand="1" w:evenHBand="0" w:firstRowFirstColumn="0" w:firstRowLastColumn="0" w:lastRowFirstColumn="0" w:lastRowLastColumn="0"/>
        </w:trPr>
        <w:tc>
          <w:tcPr>
            <w:tcW w:w="1769" w:type="pct"/>
            <w:hideMark/>
          </w:tcPr>
          <w:p w14:paraId="7BCE9EF4" w14:textId="77777777" w:rsidR="00A9105E" w:rsidRPr="006447FF" w:rsidRDefault="00A9105E" w:rsidP="00E117FD">
            <w:pPr>
              <w:numPr>
                <w:ilvl w:val="0"/>
                <w:numId w:val="22"/>
              </w:numPr>
              <w:tabs>
                <w:tab w:val="num" w:pos="283"/>
                <w:tab w:val="left" w:pos="397"/>
              </w:tabs>
              <w:suppressAutoHyphens/>
              <w:spacing w:line="300" w:lineRule="exact"/>
              <w:ind w:left="283"/>
              <w:rPr>
                <w:rFonts w:eastAsia="Times New Roman" w:cs="Times New Roman"/>
                <w:sz w:val="20"/>
                <w:szCs w:val="20"/>
                <w:lang w:eastAsia="en-AU"/>
              </w:rPr>
            </w:pPr>
            <w:r w:rsidRPr="006447FF">
              <w:rPr>
                <w:rFonts w:eastAsia="Times New Roman" w:cs="Times New Roman"/>
                <w:sz w:val="20"/>
                <w:szCs w:val="20"/>
                <w:lang w:eastAsia="en-AU"/>
              </w:rPr>
              <w:t>Cash</w:t>
            </w:r>
          </w:p>
        </w:tc>
        <w:tc>
          <w:tcPr>
            <w:tcW w:w="1076" w:type="pct"/>
            <w:hideMark/>
          </w:tcPr>
          <w:p w14:paraId="40B4F711" w14:textId="261EE58F" w:rsidR="00A9105E" w:rsidRPr="00BE1E26" w:rsidRDefault="00A9105E" w:rsidP="00E117FD">
            <w:pPr>
              <w:spacing w:before="40"/>
              <w:jc w:val="right"/>
              <w:rPr>
                <w:rFonts w:eastAsia="Times New Roman" w:cs="Arial"/>
                <w:color w:val="000000" w:themeColor="text1"/>
                <w:spacing w:val="4"/>
                <w:sz w:val="20"/>
                <w:szCs w:val="20"/>
                <w:lang w:val="en-GB"/>
              </w:rPr>
            </w:pPr>
            <w:r w:rsidRPr="00BE1E26">
              <w:rPr>
                <w:rFonts w:eastAsia="Times New Roman" w:cs="Arial"/>
                <w:color w:val="000000" w:themeColor="text1"/>
                <w:spacing w:val="4"/>
                <w:sz w:val="20"/>
                <w:szCs w:val="20"/>
                <w:lang w:val="en-GB"/>
              </w:rPr>
              <w:t>12,385</w:t>
            </w:r>
            <w:r w:rsidR="00207309" w:rsidRPr="00BE1E26">
              <w:rPr>
                <w:sz w:val="20"/>
                <w:szCs w:val="20"/>
                <w:vertAlign w:val="superscript"/>
              </w:rPr>
              <w:t xml:space="preserve"> a</w:t>
            </w:r>
          </w:p>
        </w:tc>
        <w:tc>
          <w:tcPr>
            <w:tcW w:w="1076" w:type="pct"/>
            <w:hideMark/>
          </w:tcPr>
          <w:p w14:paraId="79772DE6" w14:textId="29F4120A" w:rsidR="00A9105E" w:rsidRPr="00BE1E26" w:rsidRDefault="00A9105E">
            <w:pPr>
              <w:spacing w:before="40"/>
              <w:jc w:val="right"/>
              <w:rPr>
                <w:rFonts w:eastAsia="Times New Roman" w:cs="Arial"/>
                <w:color w:val="000000" w:themeColor="text1"/>
                <w:spacing w:val="4"/>
                <w:sz w:val="20"/>
                <w:szCs w:val="20"/>
                <w:lang w:val="en-GB"/>
              </w:rPr>
            </w:pPr>
            <w:r w:rsidRPr="00BE1E26">
              <w:rPr>
                <w:rFonts w:eastAsia="Times New Roman"/>
                <w:color w:val="000000" w:themeColor="text1"/>
                <w:spacing w:val="4"/>
                <w:sz w:val="20"/>
                <w:szCs w:val="20"/>
                <w:lang w:val="en-GB"/>
              </w:rPr>
              <w:t>11,773</w:t>
            </w:r>
          </w:p>
        </w:tc>
        <w:tc>
          <w:tcPr>
            <w:tcW w:w="1079" w:type="pct"/>
            <w:hideMark/>
          </w:tcPr>
          <w:p w14:paraId="6C28D1E1" w14:textId="77777777" w:rsidR="00A9105E" w:rsidRPr="006447FF" w:rsidRDefault="00A9105E" w:rsidP="00E117FD">
            <w:pPr>
              <w:spacing w:before="40"/>
              <w:jc w:val="right"/>
              <w:rPr>
                <w:rFonts w:eastAsia="Times New Roman"/>
                <w:color w:val="000000" w:themeColor="text1"/>
                <w:spacing w:val="4"/>
                <w:sz w:val="20"/>
                <w:szCs w:val="20"/>
                <w:lang w:val="en-GB"/>
              </w:rPr>
            </w:pPr>
            <w:r w:rsidRPr="006447FF">
              <w:rPr>
                <w:rFonts w:eastAsia="Times New Roman"/>
                <w:color w:val="000000" w:themeColor="text1"/>
                <w:spacing w:val="4"/>
                <w:sz w:val="20"/>
                <w:szCs w:val="20"/>
                <w:lang w:val="en-GB"/>
              </w:rPr>
              <w:t>9,076</w:t>
            </w:r>
          </w:p>
        </w:tc>
      </w:tr>
      <w:tr w:rsidR="00A9105E" w:rsidRPr="006447FF" w14:paraId="4327FAE4" w14:textId="77777777" w:rsidTr="00E117FD">
        <w:trPr>
          <w:cnfStyle w:val="000000010000" w:firstRow="0" w:lastRow="0" w:firstColumn="0" w:lastColumn="0" w:oddVBand="0" w:evenVBand="0" w:oddHBand="0" w:evenHBand="1" w:firstRowFirstColumn="0" w:firstRowLastColumn="0" w:lastRowFirstColumn="0" w:lastRowLastColumn="0"/>
        </w:trPr>
        <w:tc>
          <w:tcPr>
            <w:tcW w:w="1769" w:type="pct"/>
            <w:hideMark/>
          </w:tcPr>
          <w:p w14:paraId="64E3A35E" w14:textId="77777777" w:rsidR="00A9105E" w:rsidRPr="006447FF" w:rsidRDefault="00A9105E" w:rsidP="00E117FD">
            <w:pPr>
              <w:numPr>
                <w:ilvl w:val="0"/>
                <w:numId w:val="22"/>
              </w:numPr>
              <w:tabs>
                <w:tab w:val="num" w:pos="283"/>
                <w:tab w:val="left" w:pos="397"/>
              </w:tabs>
              <w:suppressAutoHyphens/>
              <w:spacing w:line="300" w:lineRule="exact"/>
              <w:ind w:left="283"/>
              <w:rPr>
                <w:rFonts w:eastAsia="Times New Roman" w:cs="Times New Roman"/>
                <w:sz w:val="20"/>
                <w:szCs w:val="20"/>
                <w:lang w:eastAsia="en-AU"/>
              </w:rPr>
            </w:pPr>
            <w:r w:rsidRPr="006447FF">
              <w:rPr>
                <w:rFonts w:eastAsia="Times New Roman" w:cs="Times New Roman"/>
                <w:sz w:val="20"/>
                <w:szCs w:val="20"/>
                <w:lang w:eastAsia="en-AU"/>
              </w:rPr>
              <w:t>RTO</w:t>
            </w:r>
          </w:p>
        </w:tc>
        <w:tc>
          <w:tcPr>
            <w:tcW w:w="1076" w:type="pct"/>
            <w:hideMark/>
          </w:tcPr>
          <w:p w14:paraId="0BFF4629" w14:textId="59363C75" w:rsidR="00A9105E" w:rsidRPr="00BE1E26" w:rsidRDefault="00A9105E" w:rsidP="00E117FD">
            <w:pPr>
              <w:spacing w:before="40"/>
              <w:jc w:val="right"/>
              <w:rPr>
                <w:rFonts w:eastAsia="Times New Roman" w:cs="Arial"/>
                <w:color w:val="000000" w:themeColor="text1"/>
                <w:spacing w:val="4"/>
                <w:sz w:val="20"/>
                <w:szCs w:val="20"/>
                <w:lang w:val="en-GB"/>
              </w:rPr>
            </w:pPr>
            <w:r w:rsidRPr="00BE1E26">
              <w:rPr>
                <w:rFonts w:eastAsia="Times New Roman" w:cs="Arial"/>
                <w:color w:val="000000" w:themeColor="text1"/>
                <w:spacing w:val="4"/>
                <w:sz w:val="20"/>
                <w:szCs w:val="20"/>
                <w:lang w:val="en-GB"/>
              </w:rPr>
              <w:t>22,124</w:t>
            </w:r>
            <w:r w:rsidR="00207309" w:rsidRPr="00BE1E26">
              <w:rPr>
                <w:sz w:val="20"/>
                <w:szCs w:val="20"/>
                <w:vertAlign w:val="superscript"/>
              </w:rPr>
              <w:t xml:space="preserve"> a</w:t>
            </w:r>
          </w:p>
        </w:tc>
        <w:tc>
          <w:tcPr>
            <w:tcW w:w="1076" w:type="pct"/>
            <w:hideMark/>
          </w:tcPr>
          <w:p w14:paraId="5B3353C8" w14:textId="1364E5CC" w:rsidR="00A9105E" w:rsidRPr="00BE1E26" w:rsidRDefault="00A9105E" w:rsidP="00E117FD">
            <w:pPr>
              <w:spacing w:before="40"/>
              <w:jc w:val="right"/>
              <w:rPr>
                <w:rFonts w:eastAsia="Times New Roman" w:cs="Arial"/>
                <w:color w:val="000000" w:themeColor="text1"/>
                <w:spacing w:val="4"/>
                <w:sz w:val="20"/>
                <w:szCs w:val="20"/>
                <w:lang w:val="en-GB"/>
              </w:rPr>
            </w:pPr>
            <w:r w:rsidRPr="00BE1E26">
              <w:rPr>
                <w:rFonts w:eastAsia="Times New Roman" w:cs="Arial"/>
                <w:color w:val="000000" w:themeColor="text1"/>
                <w:spacing w:val="4"/>
                <w:sz w:val="20"/>
                <w:szCs w:val="20"/>
                <w:lang w:val="en-GB"/>
              </w:rPr>
              <w:t>23,167</w:t>
            </w:r>
          </w:p>
        </w:tc>
        <w:tc>
          <w:tcPr>
            <w:tcW w:w="1079" w:type="pct"/>
            <w:hideMark/>
          </w:tcPr>
          <w:p w14:paraId="5B220508" w14:textId="77777777" w:rsidR="00A9105E" w:rsidRPr="006447FF" w:rsidRDefault="00A9105E" w:rsidP="00E117FD">
            <w:pPr>
              <w:spacing w:before="40"/>
              <w:jc w:val="right"/>
              <w:rPr>
                <w:rFonts w:eastAsia="Times New Roman" w:cs="Arial"/>
                <w:color w:val="000000" w:themeColor="text1"/>
                <w:spacing w:val="4"/>
                <w:sz w:val="20"/>
                <w:szCs w:val="20"/>
                <w:lang w:val="en-GB"/>
              </w:rPr>
            </w:pPr>
            <w:r w:rsidRPr="006447FF">
              <w:rPr>
                <w:rFonts w:eastAsia="Times New Roman" w:cs="Arial"/>
                <w:color w:val="000000" w:themeColor="text1"/>
                <w:spacing w:val="4"/>
                <w:sz w:val="20"/>
                <w:szCs w:val="20"/>
                <w:lang w:val="en-GB"/>
              </w:rPr>
              <w:t>24,985</w:t>
            </w:r>
          </w:p>
        </w:tc>
      </w:tr>
    </w:tbl>
    <w:p w14:paraId="6FD0E7C0" w14:textId="77777777" w:rsidR="00A9105E" w:rsidRPr="00E1430E" w:rsidRDefault="00A9105E" w:rsidP="00A9105E">
      <w:pPr>
        <w:spacing w:before="160" w:after="60" w:line="240" w:lineRule="auto"/>
        <w:ind w:left="284" w:hanging="284"/>
        <w:contextualSpacing/>
        <w:rPr>
          <w:rFonts w:cs="Arial"/>
          <w:sz w:val="16"/>
          <w:szCs w:val="16"/>
        </w:rPr>
      </w:pPr>
      <w:r w:rsidRPr="003A047F">
        <w:rPr>
          <w:sz w:val="16"/>
        </w:rPr>
        <w:t>a</w:t>
      </w:r>
      <w:r w:rsidRPr="003A047F">
        <w:rPr>
          <w:sz w:val="16"/>
        </w:rPr>
        <w:tab/>
        <w:t>Results for the 2018–19 NRAS year (1 May 2018 to 30 April 2019) are reported, as full payment data for 2019–20 were not available at time of publication.</w:t>
      </w:r>
    </w:p>
    <w:p w14:paraId="12764AED" w14:textId="77777777" w:rsidR="0029429F" w:rsidRPr="00771C23" w:rsidRDefault="0029429F" w:rsidP="0029429F">
      <w:pPr>
        <w:rPr>
          <w:sz w:val="20"/>
          <w:szCs w:val="20"/>
        </w:rPr>
      </w:pPr>
    </w:p>
    <w:p w14:paraId="08CDB3CB" w14:textId="77777777" w:rsidR="00AB6753" w:rsidRDefault="00AB6753">
      <w:pPr>
        <w:sectPr w:rsidR="00AB6753" w:rsidSect="003A047F">
          <w:footnotePr>
            <w:numRestart w:val="eachPage"/>
          </w:footnotePr>
          <w:pgSz w:w="11906" w:h="16838"/>
          <w:pgMar w:top="1440" w:right="1440" w:bottom="1440" w:left="1440" w:header="709" w:footer="709" w:gutter="0"/>
          <w:cols w:space="708"/>
          <w:docGrid w:linePitch="360"/>
        </w:sectPr>
      </w:pPr>
      <w:bookmarkStart w:id="6" w:name="Note_AGBTABLE1"/>
      <w:bookmarkStart w:id="7" w:name="_Toc490972399"/>
      <w:bookmarkStart w:id="8" w:name="_Toc491014616"/>
      <w:bookmarkStart w:id="9" w:name="_Toc491014758"/>
      <w:bookmarkStart w:id="10" w:name="_Toc491014938"/>
      <w:bookmarkStart w:id="11" w:name="_Toc491015085"/>
      <w:bookmarkStart w:id="12" w:name="_Toc491029232"/>
      <w:bookmarkStart w:id="13" w:name="_Toc491030321"/>
      <w:bookmarkStart w:id="14" w:name="_Toc491030781"/>
      <w:bookmarkStart w:id="15" w:name="_Toc491031344"/>
      <w:bookmarkStart w:id="16" w:name="_Toc491031931"/>
      <w:bookmarkStart w:id="17" w:name="_Toc491032101"/>
      <w:bookmarkStart w:id="18" w:name="_Toc491032212"/>
      <w:bookmarkStart w:id="19" w:name="_Toc491032319"/>
      <w:bookmarkStart w:id="20" w:name="_Toc491771706"/>
      <w:bookmarkStart w:id="21" w:name="_Toc491773281"/>
      <w:bookmarkStart w:id="22" w:name="_Toc23559340"/>
      <w:bookmarkStart w:id="23" w:name="_Toc23559374"/>
      <w:bookmarkStart w:id="24" w:name="_Toc23559665"/>
      <w:bookmarkStart w:id="25" w:name="_Toc23560128"/>
      <w:bookmarkStart w:id="26" w:name="_Toc23563423"/>
      <w:bookmarkStart w:id="27" w:name="_Toc77998677"/>
      <w:bookmarkStart w:id="28" w:name="_Toc79399716"/>
      <w:bookmarkStart w:id="29" w:name="_Toc112211956"/>
      <w:bookmarkStart w:id="30" w:name="_Toc112212050"/>
      <w:bookmarkStart w:id="31" w:name="_Toc112137868"/>
      <w:bookmarkStart w:id="32" w:name="_Toc112137890"/>
      <w:bookmarkStart w:id="33" w:name="_Toc210646448"/>
      <w:bookmarkStart w:id="34" w:name="_Toc210698427"/>
      <w:bookmarkStart w:id="35" w:name="_Toc210703208"/>
      <w:bookmarkStart w:id="36" w:name="_17AF_(1)(b)_Report"/>
      <w:bookmarkStart w:id="37" w:name="_17AG_(4)(aa)_–"/>
      <w:bookmarkStart w:id="38" w:name="_17AG_(4)(b)_–"/>
      <w:bookmarkStart w:id="39" w:name="_17AG_(4)(c)(i)Employment_Arrangemen"/>
      <w:bookmarkStart w:id="40" w:name="_17AG_(4)_(d)"/>
      <w:bookmarkStart w:id="41" w:name="_Aids_to_Access"/>
      <w:bookmarkEnd w:id="2"/>
      <w:bookmarkEnd w:id="3"/>
      <w:bookmarkEnd w:id="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6E944FE" w14:textId="77777777" w:rsidR="00AB6753" w:rsidRPr="00054A67" w:rsidRDefault="00AB6753" w:rsidP="00AB6753">
      <w:pPr>
        <w:pBdr>
          <w:bottom w:val="single" w:sz="48" w:space="0" w:color="404040" w:themeColor="text1" w:themeTint="BF"/>
        </w:pBdr>
        <w:tabs>
          <w:tab w:val="right" w:pos="8364"/>
        </w:tabs>
        <w:spacing w:before="60" w:after="60"/>
        <w:ind w:left="567" w:right="1133"/>
        <w:rPr>
          <w:rFonts w:ascii="Georgia" w:hAnsi="Georgia" w:cs="Georgia"/>
          <w:color w:val="215868" w:themeColor="accent5" w:themeShade="80"/>
          <w:sz w:val="72"/>
          <w:szCs w:val="72"/>
        </w:rPr>
      </w:pPr>
      <w:r w:rsidRPr="00054A67">
        <w:rPr>
          <w:rFonts w:ascii="Georgia" w:hAnsi="Georgia" w:cs="Georgia"/>
          <w:color w:val="215868" w:themeColor="accent5" w:themeShade="80"/>
          <w:sz w:val="72"/>
          <w:szCs w:val="72"/>
        </w:rPr>
        <w:lastRenderedPageBreak/>
        <w:t>Part 3</w:t>
      </w:r>
    </w:p>
    <w:p w14:paraId="2E0885C3" w14:textId="77777777" w:rsidR="00AB6753" w:rsidRDefault="00AB6753" w:rsidP="00AB6753">
      <w:pPr>
        <w:autoSpaceDE w:val="0"/>
        <w:autoSpaceDN w:val="0"/>
        <w:adjustRightInd w:val="0"/>
        <w:spacing w:before="120" w:after="120" w:line="240" w:lineRule="auto"/>
        <w:ind w:left="567" w:right="1133"/>
        <w:rPr>
          <w:rFonts w:ascii="Georgia" w:hAnsi="Georgia" w:cs="Arial"/>
          <w:color w:val="92CDDC" w:themeColor="accent5" w:themeTint="99"/>
          <w:sz w:val="72"/>
          <w:szCs w:val="72"/>
        </w:rPr>
      </w:pPr>
    </w:p>
    <w:p w14:paraId="18005A3E" w14:textId="77777777" w:rsidR="00AB6753" w:rsidRPr="00054A67" w:rsidRDefault="00AB6753" w:rsidP="00AB6753">
      <w:pPr>
        <w:autoSpaceDE w:val="0"/>
        <w:autoSpaceDN w:val="0"/>
        <w:adjustRightInd w:val="0"/>
        <w:spacing w:before="120" w:after="120" w:line="240" w:lineRule="auto"/>
        <w:ind w:left="567"/>
        <w:rPr>
          <w:rFonts w:ascii="Georgia" w:hAnsi="Georgia" w:cs="Arial"/>
          <w:color w:val="215868" w:themeColor="accent5" w:themeShade="80"/>
          <w:sz w:val="72"/>
          <w:szCs w:val="72"/>
        </w:rPr>
      </w:pPr>
      <w:r w:rsidRPr="00054A67">
        <w:rPr>
          <w:rFonts w:ascii="Georgia" w:hAnsi="Georgia" w:cs="Arial"/>
          <w:color w:val="215868" w:themeColor="accent5" w:themeShade="80"/>
          <w:sz w:val="72"/>
          <w:szCs w:val="72"/>
        </w:rPr>
        <w:t>National Redress Scheme</w:t>
      </w:r>
    </w:p>
    <w:p w14:paraId="6092AC2D" w14:textId="452DA8F5" w:rsidR="00AB6753" w:rsidRPr="00AD2997" w:rsidRDefault="00AB6753" w:rsidP="00AB6753">
      <w:pPr>
        <w:tabs>
          <w:tab w:val="left" w:pos="1418"/>
          <w:tab w:val="left" w:pos="1843"/>
          <w:tab w:val="left" w:pos="2268"/>
          <w:tab w:val="right" w:pos="7938"/>
        </w:tabs>
        <w:ind w:left="567" w:right="566"/>
        <w:rPr>
          <w:rFonts w:cs="Arial"/>
          <w:sz w:val="28"/>
          <w:szCs w:val="28"/>
        </w:rPr>
      </w:pPr>
      <w:r w:rsidRPr="00E42540">
        <w:rPr>
          <w:rFonts w:cs="Arial"/>
          <w:sz w:val="28"/>
          <w:szCs w:val="28"/>
        </w:rPr>
        <w:t>Annual report on operation of the Scheme</w:t>
      </w:r>
      <w:r w:rsidRPr="00AD2997">
        <w:rPr>
          <w:rFonts w:cs="Arial"/>
          <w:sz w:val="28"/>
          <w:szCs w:val="28"/>
        </w:rPr>
        <w:tab/>
      </w:r>
      <w:r w:rsidR="00665647">
        <w:rPr>
          <w:rFonts w:cs="Arial"/>
          <w:sz w:val="28"/>
          <w:szCs w:val="28"/>
        </w:rPr>
        <w:t>94</w:t>
      </w:r>
    </w:p>
    <w:p w14:paraId="7F4A52BE" w14:textId="77777777" w:rsidR="00181A0F" w:rsidRDefault="00181A0F" w:rsidP="00AB6753">
      <w:pPr>
        <w:pStyle w:val="Heading1"/>
        <w:spacing w:before="240" w:after="240"/>
        <w:rPr>
          <w:rFonts w:ascii="Georgia" w:hAnsi="Georgia"/>
          <w:b w:val="0"/>
          <w:color w:val="4BACC6" w:themeColor="accent5"/>
          <w:sz w:val="44"/>
          <w:szCs w:val="44"/>
        </w:rPr>
        <w:sectPr w:rsidR="00181A0F" w:rsidSect="003C69D5">
          <w:headerReference w:type="default" r:id="rId43"/>
          <w:footnotePr>
            <w:numRestart w:val="eachSect"/>
          </w:footnotePr>
          <w:pgSz w:w="11906" w:h="16838"/>
          <w:pgMar w:top="1440" w:right="1440" w:bottom="1440" w:left="1440" w:header="709" w:footer="709" w:gutter="0"/>
          <w:cols w:space="708"/>
          <w:docGrid w:linePitch="360"/>
        </w:sectPr>
      </w:pPr>
    </w:p>
    <w:p w14:paraId="4CE9A473" w14:textId="5EA51CAF" w:rsidR="00AB6753" w:rsidRPr="00054A67" w:rsidRDefault="00AB6753" w:rsidP="00AB6753">
      <w:pPr>
        <w:pStyle w:val="Heading1"/>
        <w:spacing w:before="240" w:after="240"/>
        <w:rPr>
          <w:rFonts w:ascii="Georgia" w:hAnsi="Georgia"/>
          <w:b w:val="0"/>
          <w:color w:val="215868" w:themeColor="accent5" w:themeShade="80"/>
          <w:sz w:val="44"/>
          <w:szCs w:val="44"/>
        </w:rPr>
      </w:pPr>
      <w:r w:rsidRPr="00054A67">
        <w:rPr>
          <w:rFonts w:ascii="Georgia" w:hAnsi="Georgia"/>
          <w:b w:val="0"/>
          <w:color w:val="215868" w:themeColor="accent5" w:themeShade="80"/>
          <w:sz w:val="44"/>
          <w:szCs w:val="44"/>
        </w:rPr>
        <w:lastRenderedPageBreak/>
        <w:t>National Redress Scheme – Annual report on operation of the Scheme</w:t>
      </w:r>
    </w:p>
    <w:p w14:paraId="3A56B169" w14:textId="785C8C21" w:rsidR="00AB6753" w:rsidRPr="00350459" w:rsidRDefault="00AB6753" w:rsidP="00AB6753">
      <w:pPr>
        <w:autoSpaceDE w:val="0"/>
        <w:autoSpaceDN w:val="0"/>
        <w:adjustRightInd w:val="0"/>
        <w:spacing w:before="120" w:after="180" w:line="280" w:lineRule="atLeast"/>
        <w:ind w:right="-164"/>
        <w:rPr>
          <w:rFonts w:cs="Arial"/>
          <w:sz w:val="20"/>
        </w:rPr>
      </w:pPr>
      <w:r w:rsidRPr="00350459">
        <w:rPr>
          <w:rFonts w:cs="Arial"/>
          <w:sz w:val="20"/>
        </w:rPr>
        <w:t xml:space="preserve">The National Redress Scheme (the Scheme) was created in response to the recommendations of the </w:t>
      </w:r>
      <w:r w:rsidRPr="00870367">
        <w:rPr>
          <w:rFonts w:cs="Arial"/>
          <w:i/>
          <w:sz w:val="20"/>
        </w:rPr>
        <w:t>Royal Commission into Institutional Responses to Child Sexual Abuse</w:t>
      </w:r>
      <w:r w:rsidRPr="00350459">
        <w:rPr>
          <w:rFonts w:cs="Arial"/>
          <w:sz w:val="20"/>
        </w:rPr>
        <w:t>. The Scheme commenced on</w:t>
      </w:r>
      <w:r w:rsidR="00F111F2">
        <w:rPr>
          <w:rFonts w:cs="Arial"/>
          <w:sz w:val="20"/>
        </w:rPr>
        <w:br/>
      </w:r>
      <w:r w:rsidRPr="00350459">
        <w:rPr>
          <w:rFonts w:cs="Arial"/>
          <w:sz w:val="20"/>
        </w:rPr>
        <w:t>1</w:t>
      </w:r>
      <w:r>
        <w:rPr>
          <w:rFonts w:cs="Arial"/>
          <w:sz w:val="20"/>
        </w:rPr>
        <w:t xml:space="preserve"> </w:t>
      </w:r>
      <w:r w:rsidRPr="00350459">
        <w:rPr>
          <w:rFonts w:cs="Arial"/>
          <w:sz w:val="20"/>
        </w:rPr>
        <w:t>July 2018 and will operate for 10 years. The Scheme acknowledges that many children were sexually abused in Australian institutions and seeks to hold institutions to account for this abuse and help people who have experienced abuse gain access to redress.</w:t>
      </w:r>
    </w:p>
    <w:p w14:paraId="2AE0D69F" w14:textId="52D62541" w:rsidR="00AB6753" w:rsidRPr="00350459" w:rsidRDefault="00AB6753" w:rsidP="00AB6753">
      <w:pPr>
        <w:autoSpaceDE w:val="0"/>
        <w:autoSpaceDN w:val="0"/>
        <w:adjustRightInd w:val="0"/>
        <w:spacing w:before="120" w:after="180" w:line="280" w:lineRule="atLeast"/>
        <w:ind w:right="-164"/>
        <w:rPr>
          <w:rFonts w:cs="Arial"/>
          <w:sz w:val="20"/>
        </w:rPr>
      </w:pPr>
      <w:r w:rsidRPr="00350459">
        <w:rPr>
          <w:rFonts w:cs="Arial"/>
          <w:sz w:val="20"/>
        </w:rPr>
        <w:t xml:space="preserve">The Scheme operates under the </w:t>
      </w:r>
      <w:r w:rsidRPr="004F5DB7">
        <w:rPr>
          <w:rFonts w:cs="Arial"/>
          <w:i/>
          <w:iCs/>
          <w:sz w:val="20"/>
        </w:rPr>
        <w:t>National Redress Scheme for Institutional Child Sexual Abuse</w:t>
      </w:r>
      <w:r w:rsidR="00F111F2">
        <w:rPr>
          <w:rFonts w:cs="Arial"/>
          <w:i/>
          <w:iCs/>
          <w:sz w:val="20"/>
        </w:rPr>
        <w:br/>
      </w:r>
      <w:r w:rsidRPr="004F5DB7">
        <w:rPr>
          <w:rFonts w:cs="Arial"/>
          <w:i/>
          <w:iCs/>
          <w:sz w:val="20"/>
        </w:rPr>
        <w:t>Act 2018</w:t>
      </w:r>
      <w:r w:rsidRPr="00350459">
        <w:rPr>
          <w:rFonts w:cs="Arial"/>
          <w:sz w:val="20"/>
        </w:rPr>
        <w:t xml:space="preserve"> (the Act). The Act was passed by the Parliament in June 2018 following consultation with state and territory governments, institutions, survivors, support groups</w:t>
      </w:r>
      <w:r>
        <w:rPr>
          <w:rFonts w:cs="Arial"/>
          <w:sz w:val="20"/>
        </w:rPr>
        <w:t>,</w:t>
      </w:r>
      <w:r w:rsidRPr="00350459">
        <w:rPr>
          <w:rFonts w:cs="Arial"/>
          <w:sz w:val="20"/>
        </w:rPr>
        <w:t xml:space="preserve"> and advocates. Under the Act, the Secretary of the department is the Scheme operator. The Act also requires the operator of the Scheme to prepare a report for the Minister on the operation of the Scheme as soon as practicable after the end of each financial year. The matters that the report must include are set out in section 75 of the</w:t>
      </w:r>
      <w:r w:rsidR="00F111F2">
        <w:rPr>
          <w:rFonts w:cs="Arial"/>
          <w:sz w:val="20"/>
        </w:rPr>
        <w:br/>
      </w:r>
      <w:r w:rsidRPr="0093569D">
        <w:rPr>
          <w:rFonts w:cs="Arial"/>
          <w:i/>
          <w:sz w:val="20"/>
        </w:rPr>
        <w:t>National Redress Scheme for Institutional Child Sexual Abuse Rules 2018</w:t>
      </w:r>
      <w:r w:rsidRPr="00350459">
        <w:rPr>
          <w:rFonts w:cs="Arial"/>
          <w:sz w:val="20"/>
        </w:rPr>
        <w:t xml:space="preserve"> (the Rules). The Minister must present the report to the Parliament.</w:t>
      </w:r>
    </w:p>
    <w:p w14:paraId="0E966490" w14:textId="7DFF9F5D" w:rsidR="00AB6753" w:rsidRPr="00CB23C2" w:rsidRDefault="00AB6753" w:rsidP="00AB6753">
      <w:pPr>
        <w:autoSpaceDE w:val="0"/>
        <w:autoSpaceDN w:val="0"/>
        <w:adjustRightInd w:val="0"/>
        <w:spacing w:before="120" w:after="180" w:line="280" w:lineRule="atLeast"/>
        <w:ind w:right="-164"/>
        <w:rPr>
          <w:rFonts w:cs="Arial"/>
          <w:sz w:val="20"/>
        </w:rPr>
      </w:pPr>
      <w:r w:rsidRPr="00350459">
        <w:rPr>
          <w:rFonts w:cs="Arial"/>
          <w:sz w:val="20"/>
        </w:rPr>
        <w:t>This report describes the key operations of the Scheme in its second year of operation</w:t>
      </w:r>
      <w:r w:rsidR="00F111F2">
        <w:rPr>
          <w:rFonts w:cs="Arial"/>
          <w:sz w:val="20"/>
        </w:rPr>
        <w:br/>
      </w:r>
      <w:r w:rsidRPr="00350459">
        <w:rPr>
          <w:rFonts w:cs="Arial"/>
          <w:sz w:val="20"/>
        </w:rPr>
        <w:t>(from 1 July 2019 to 30 June 2020) as required by the Act and the Rules</w:t>
      </w:r>
      <w:r w:rsidRPr="00CB23C2">
        <w:rPr>
          <w:rFonts w:cs="Arial"/>
          <w:sz w:val="20"/>
        </w:rPr>
        <w:t>.</w:t>
      </w:r>
    </w:p>
    <w:p w14:paraId="3A9C90C6" w14:textId="77777777" w:rsidR="00AB6753" w:rsidRPr="004B21B6" w:rsidRDefault="00AB6753" w:rsidP="00AB6753">
      <w:pPr>
        <w:pStyle w:val="Heading3"/>
        <w:spacing w:before="240" w:after="240"/>
        <w:rPr>
          <w:rFonts w:ascii="Georgia" w:hAnsi="Georgia"/>
          <w:b w:val="0"/>
          <w:color w:val="2C2A29"/>
          <w:sz w:val="28"/>
          <w:szCs w:val="28"/>
        </w:rPr>
      </w:pPr>
      <w:r>
        <w:rPr>
          <w:rFonts w:ascii="Georgia" w:hAnsi="Georgia"/>
          <w:b w:val="0"/>
          <w:color w:val="2C2A29"/>
          <w:sz w:val="28"/>
          <w:szCs w:val="28"/>
        </w:rPr>
        <w:t>How the S</w:t>
      </w:r>
      <w:r w:rsidRPr="004B21B6">
        <w:rPr>
          <w:rFonts w:ascii="Georgia" w:hAnsi="Georgia"/>
          <w:b w:val="0"/>
          <w:color w:val="2C2A29"/>
          <w:sz w:val="28"/>
          <w:szCs w:val="28"/>
        </w:rPr>
        <w:t>cheme operates</w:t>
      </w:r>
    </w:p>
    <w:p w14:paraId="236AD911" w14:textId="77777777" w:rsidR="00AB6753" w:rsidRPr="00350459" w:rsidRDefault="00AB6753" w:rsidP="00AB6753">
      <w:pPr>
        <w:autoSpaceDE w:val="0"/>
        <w:autoSpaceDN w:val="0"/>
        <w:adjustRightInd w:val="0"/>
        <w:spacing w:before="200" w:line="221" w:lineRule="atLeast"/>
        <w:ind w:right="-164"/>
        <w:rPr>
          <w:rFonts w:cs="Arial"/>
          <w:sz w:val="20"/>
        </w:rPr>
      </w:pPr>
      <w:r w:rsidRPr="00350459">
        <w:rPr>
          <w:rFonts w:cs="Arial"/>
          <w:sz w:val="20"/>
        </w:rPr>
        <w:t>A person can apply under the Scheme if they:</w:t>
      </w:r>
    </w:p>
    <w:p w14:paraId="5516328C" w14:textId="77777777" w:rsidR="00AB6753" w:rsidRPr="00350459"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350459">
        <w:rPr>
          <w:rFonts w:cs="Arial"/>
          <w:sz w:val="20"/>
        </w:rPr>
        <w:t>experienced institutional child sexual abuse before 1 July 2018, and</w:t>
      </w:r>
    </w:p>
    <w:p w14:paraId="4F9E08BD" w14:textId="77777777" w:rsidR="00AB6753" w:rsidRPr="00350459"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350459">
        <w:rPr>
          <w:rFonts w:cs="Arial"/>
          <w:sz w:val="20"/>
        </w:rPr>
        <w:t>are aged over 18 or will turn 18 before 30 June 2028, and</w:t>
      </w:r>
    </w:p>
    <w:p w14:paraId="7CC2195E" w14:textId="77777777" w:rsidR="00AB6753" w:rsidRPr="00350459"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350459">
        <w:rPr>
          <w:rFonts w:cs="Arial"/>
          <w:sz w:val="20"/>
        </w:rPr>
        <w:t>are an Australian citizen or permanent resident.</w:t>
      </w:r>
    </w:p>
    <w:p w14:paraId="3D541BC4" w14:textId="77777777" w:rsidR="00AB6753" w:rsidRPr="00350459" w:rsidRDefault="00AB6753" w:rsidP="00AB6753">
      <w:pPr>
        <w:autoSpaceDE w:val="0"/>
        <w:autoSpaceDN w:val="0"/>
        <w:adjustRightInd w:val="0"/>
        <w:spacing w:before="200" w:line="221" w:lineRule="atLeast"/>
        <w:ind w:right="-164"/>
        <w:rPr>
          <w:rFonts w:cs="Arial"/>
          <w:sz w:val="20"/>
        </w:rPr>
      </w:pPr>
      <w:r w:rsidRPr="00350459">
        <w:rPr>
          <w:rFonts w:cs="Arial"/>
          <w:sz w:val="20"/>
        </w:rPr>
        <w:t>Under the Scheme, an offer of redress consists of three components:</w:t>
      </w:r>
    </w:p>
    <w:p w14:paraId="5EBA0857" w14:textId="77777777" w:rsidR="00AB6753" w:rsidRPr="00350459"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350459">
        <w:rPr>
          <w:rFonts w:cs="Arial"/>
          <w:sz w:val="20"/>
        </w:rPr>
        <w:t>a counselling and psychological component</w:t>
      </w:r>
    </w:p>
    <w:p w14:paraId="21DEDF27" w14:textId="77777777" w:rsidR="00AB6753" w:rsidRPr="00350459"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350459">
        <w:rPr>
          <w:rFonts w:cs="Arial"/>
          <w:sz w:val="20"/>
        </w:rPr>
        <w:t>a redress payment</w:t>
      </w:r>
    </w:p>
    <w:p w14:paraId="7E23A412" w14:textId="77777777" w:rsidR="00AB6753" w:rsidRPr="00350459"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350459">
        <w:rPr>
          <w:rFonts w:cs="Arial"/>
          <w:sz w:val="20"/>
        </w:rPr>
        <w:t>a direct personal response from each participating institution responsible for the abuse.</w:t>
      </w:r>
    </w:p>
    <w:p w14:paraId="385A3CA0" w14:textId="77777777" w:rsidR="00AB6753" w:rsidRPr="00350459" w:rsidRDefault="00AB6753" w:rsidP="00AB6753">
      <w:pPr>
        <w:autoSpaceDE w:val="0"/>
        <w:autoSpaceDN w:val="0"/>
        <w:adjustRightInd w:val="0"/>
        <w:spacing w:before="120" w:after="180" w:line="280" w:lineRule="atLeast"/>
        <w:ind w:right="-164"/>
        <w:rPr>
          <w:rFonts w:cs="Arial"/>
          <w:sz w:val="20"/>
        </w:rPr>
      </w:pPr>
      <w:r w:rsidRPr="00350459">
        <w:rPr>
          <w:rFonts w:cs="Arial"/>
          <w:sz w:val="20"/>
        </w:rPr>
        <w:t>A redress monetary payment is calculated in accordance with the Scheme’s Assessment Framework</w:t>
      </w:r>
      <w:r>
        <w:rPr>
          <w:rFonts w:cs="Arial"/>
          <w:sz w:val="20"/>
        </w:rPr>
        <w:t xml:space="preserve"> (the Framework)</w:t>
      </w:r>
      <w:r w:rsidRPr="00350459">
        <w:rPr>
          <w:rFonts w:cs="Arial"/>
          <w:sz w:val="20"/>
        </w:rPr>
        <w:t>. This Framework considers the person’s individual circumstances and the kind of abuse they experienced as a child. Under the Scheme, the maximum redress payment a person can receive is $150,000, with any relevant prior payments related to the abuse deducted from this amount.</w:t>
      </w:r>
    </w:p>
    <w:p w14:paraId="78D4AA27" w14:textId="77777777" w:rsidR="00AB6753" w:rsidRPr="00350459" w:rsidRDefault="00AB6753" w:rsidP="00AB6753">
      <w:pPr>
        <w:autoSpaceDE w:val="0"/>
        <w:autoSpaceDN w:val="0"/>
        <w:adjustRightInd w:val="0"/>
        <w:spacing w:before="120" w:after="180" w:line="280" w:lineRule="atLeast"/>
        <w:ind w:right="-164"/>
        <w:rPr>
          <w:rFonts w:cs="Arial"/>
          <w:sz w:val="20"/>
        </w:rPr>
      </w:pPr>
      <w:r w:rsidRPr="00350459">
        <w:rPr>
          <w:rFonts w:cs="Arial"/>
          <w:sz w:val="20"/>
        </w:rPr>
        <w:t>Counselling and psychological services differ depending on where the person lives at the time of applying for redress. In most states and territories</w:t>
      </w:r>
      <w:r>
        <w:rPr>
          <w:rFonts w:cs="Arial"/>
          <w:sz w:val="20"/>
        </w:rPr>
        <w:t>,</w:t>
      </w:r>
      <w:r w:rsidRPr="00350459">
        <w:rPr>
          <w:rFonts w:cs="Arial"/>
          <w:sz w:val="20"/>
        </w:rPr>
        <w:t xml:space="preserve"> they are offered as state based counselling and psychological services. For those residing in South Australia, Western Australia</w:t>
      </w:r>
      <w:r>
        <w:rPr>
          <w:rFonts w:cs="Arial"/>
          <w:sz w:val="20"/>
        </w:rPr>
        <w:t>,</w:t>
      </w:r>
      <w:r w:rsidRPr="00350459">
        <w:rPr>
          <w:rFonts w:cs="Arial"/>
          <w:sz w:val="20"/>
        </w:rPr>
        <w:t xml:space="preserve"> or overseas</w:t>
      </w:r>
      <w:r>
        <w:rPr>
          <w:rFonts w:cs="Arial"/>
          <w:sz w:val="20"/>
        </w:rPr>
        <w:t>,</w:t>
      </w:r>
      <w:r w:rsidRPr="00350459">
        <w:rPr>
          <w:rFonts w:cs="Arial"/>
          <w:sz w:val="20"/>
        </w:rPr>
        <w:t xml:space="preserve"> they are offered as a direct payment to support access to services in the local area.</w:t>
      </w:r>
    </w:p>
    <w:p w14:paraId="119086D1" w14:textId="77777777" w:rsidR="00AB6753" w:rsidRPr="00CB23C2" w:rsidRDefault="00AB6753" w:rsidP="00AB6753">
      <w:pPr>
        <w:autoSpaceDE w:val="0"/>
        <w:autoSpaceDN w:val="0"/>
        <w:adjustRightInd w:val="0"/>
        <w:spacing w:before="120" w:after="180" w:line="280" w:lineRule="atLeast"/>
        <w:ind w:right="-164"/>
        <w:rPr>
          <w:rFonts w:cs="Arial"/>
          <w:sz w:val="20"/>
        </w:rPr>
      </w:pPr>
      <w:r w:rsidRPr="00350459">
        <w:rPr>
          <w:rFonts w:cs="Arial"/>
          <w:sz w:val="20"/>
        </w:rPr>
        <w:t>A direct personal response is an opportunity for survivors to have their experience of abuse and its impacts recognised by the responsible institution(s) in a manner that is meaningful to them. The survivor decides if, how</w:t>
      </w:r>
      <w:r>
        <w:rPr>
          <w:rFonts w:cs="Arial"/>
          <w:sz w:val="20"/>
        </w:rPr>
        <w:t>,</w:t>
      </w:r>
      <w:r w:rsidRPr="00350459">
        <w:rPr>
          <w:rFonts w:cs="Arial"/>
          <w:sz w:val="20"/>
        </w:rPr>
        <w:t xml:space="preserve"> and when their direct personal response will happen. A direct personal response can involve a senior official or representative from the responsible institution(s) listening, </w:t>
      </w:r>
      <w:r w:rsidRPr="00350459">
        <w:rPr>
          <w:rFonts w:cs="Arial"/>
          <w:sz w:val="20"/>
        </w:rPr>
        <w:lastRenderedPageBreak/>
        <w:t>acknowledging, and apologising for the harm they caused. The representative may also outline what steps the institution has taken to prevent future abuse</w:t>
      </w:r>
      <w:r>
        <w:rPr>
          <w:rFonts w:cs="Arial"/>
          <w:sz w:val="20"/>
        </w:rPr>
        <w:t>.</w:t>
      </w:r>
    </w:p>
    <w:p w14:paraId="7090C216" w14:textId="77777777" w:rsidR="00AB6753" w:rsidRPr="00833C50" w:rsidRDefault="00AB6753" w:rsidP="00AB6753">
      <w:pPr>
        <w:pStyle w:val="Heading4"/>
        <w:spacing w:after="200"/>
        <w:rPr>
          <w:rFonts w:ascii="Georgia" w:hAnsi="Georgia"/>
          <w:b w:val="0"/>
          <w:i w:val="0"/>
          <w:sz w:val="36"/>
        </w:rPr>
      </w:pPr>
      <w:r w:rsidRPr="00833C50">
        <w:rPr>
          <w:rFonts w:ascii="Georgia" w:hAnsi="Georgia"/>
          <w:b w:val="0"/>
          <w:i w:val="0"/>
          <w:sz w:val="36"/>
        </w:rPr>
        <w:t>The Scheme’s second year of operation</w:t>
      </w:r>
    </w:p>
    <w:p w14:paraId="7C72AEBD" w14:textId="77777777" w:rsidR="00AB6753" w:rsidRPr="00350459" w:rsidRDefault="00AB6753" w:rsidP="00AB6753">
      <w:pPr>
        <w:autoSpaceDE w:val="0"/>
        <w:autoSpaceDN w:val="0"/>
        <w:adjustRightInd w:val="0"/>
        <w:spacing w:before="120" w:after="180" w:line="280" w:lineRule="atLeast"/>
        <w:ind w:right="-164"/>
        <w:rPr>
          <w:rFonts w:cs="Arial"/>
          <w:sz w:val="20"/>
        </w:rPr>
      </w:pPr>
      <w:r w:rsidRPr="00CB23C2">
        <w:rPr>
          <w:rFonts w:cs="Arial"/>
          <w:sz w:val="20"/>
        </w:rPr>
        <w:t xml:space="preserve">In </w:t>
      </w:r>
      <w:r w:rsidRPr="00350459">
        <w:rPr>
          <w:rFonts w:cs="Arial"/>
          <w:sz w:val="20"/>
        </w:rPr>
        <w:t xml:space="preserve">its second year of operation, the Scheme has continued to deliver on key recommendations of the </w:t>
      </w:r>
      <w:r w:rsidRPr="00870367">
        <w:rPr>
          <w:rFonts w:cs="Arial"/>
          <w:i/>
          <w:sz w:val="20"/>
        </w:rPr>
        <w:t>Royal Commission into Institutional Responses to Child Sexual Abuse</w:t>
      </w:r>
      <w:r w:rsidRPr="00350459">
        <w:rPr>
          <w:rFonts w:cs="Arial"/>
          <w:sz w:val="20"/>
        </w:rPr>
        <w:t xml:space="preserve">. In February 2020, as part of </w:t>
      </w:r>
      <w:r>
        <w:rPr>
          <w:rFonts w:cs="Arial"/>
          <w:sz w:val="20"/>
        </w:rPr>
        <w:t>m</w:t>
      </w:r>
      <w:r w:rsidRPr="00350459">
        <w:rPr>
          <w:rFonts w:cs="Arial"/>
          <w:sz w:val="20"/>
        </w:rPr>
        <w:t xml:space="preserve">achinery of </w:t>
      </w:r>
      <w:r>
        <w:rPr>
          <w:rFonts w:cs="Arial"/>
          <w:sz w:val="20"/>
        </w:rPr>
        <w:t>g</w:t>
      </w:r>
      <w:r w:rsidRPr="00350459">
        <w:rPr>
          <w:rFonts w:cs="Arial"/>
          <w:sz w:val="20"/>
        </w:rPr>
        <w:t>overnment changes, National Redress Scheme Operations moved from Services Australia to become part of the Redress Group, Department of Social Services. This change provided an opportunity to better align the Australian Government’s efforts in delivering the Scheme by bringing all staff working on the Scheme into one organisation.</w:t>
      </w:r>
    </w:p>
    <w:p w14:paraId="56A68677" w14:textId="77777777" w:rsidR="00AB6753" w:rsidRPr="00350459" w:rsidRDefault="00AB6753" w:rsidP="00AB6753">
      <w:pPr>
        <w:autoSpaceDE w:val="0"/>
        <w:autoSpaceDN w:val="0"/>
        <w:adjustRightInd w:val="0"/>
        <w:spacing w:before="200" w:line="221" w:lineRule="atLeast"/>
        <w:ind w:right="-164"/>
        <w:rPr>
          <w:rFonts w:cs="Arial"/>
          <w:sz w:val="20"/>
        </w:rPr>
      </w:pPr>
      <w:r w:rsidRPr="00350459">
        <w:rPr>
          <w:rFonts w:cs="Arial"/>
          <w:sz w:val="20"/>
        </w:rPr>
        <w:t>In the second year of operation (1 July 2019 to 30 June 2020)</w:t>
      </w:r>
      <w:r>
        <w:rPr>
          <w:rStyle w:val="FootnoteReference"/>
          <w:rFonts w:cs="Arial"/>
          <w:sz w:val="20"/>
        </w:rPr>
        <w:footnoteReference w:id="11"/>
      </w:r>
      <w:r w:rsidRPr="00350459">
        <w:rPr>
          <w:rFonts w:cs="Arial"/>
          <w:sz w:val="20"/>
        </w:rPr>
        <w:t>:</w:t>
      </w:r>
    </w:p>
    <w:p w14:paraId="4D815C2B" w14:textId="77777777" w:rsidR="00AB6753" w:rsidRPr="00350459"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350459">
        <w:rPr>
          <w:rFonts w:cs="Arial"/>
          <w:sz w:val="20"/>
        </w:rPr>
        <w:t xml:space="preserve">a further 3,127 people applied for redress through the </w:t>
      </w:r>
      <w:r>
        <w:rPr>
          <w:rFonts w:cs="Arial"/>
          <w:sz w:val="20"/>
        </w:rPr>
        <w:t>S</w:t>
      </w:r>
      <w:r w:rsidRPr="00350459">
        <w:rPr>
          <w:rFonts w:cs="Arial"/>
          <w:sz w:val="20"/>
        </w:rPr>
        <w:t>cheme</w:t>
      </w:r>
      <w:r>
        <w:rPr>
          <w:rStyle w:val="FootnoteReference"/>
          <w:rFonts w:cs="Arial"/>
          <w:sz w:val="20"/>
        </w:rPr>
        <w:footnoteReference w:id="12"/>
      </w:r>
    </w:p>
    <w:p w14:paraId="76B9CEC3" w14:textId="77777777" w:rsidR="00AB6753" w:rsidRPr="00350459"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350459">
        <w:rPr>
          <w:rFonts w:cs="Arial"/>
          <w:sz w:val="20"/>
        </w:rPr>
        <w:t>3,1</w:t>
      </w:r>
      <w:r>
        <w:rPr>
          <w:rFonts w:cs="Arial"/>
          <w:sz w:val="20"/>
        </w:rPr>
        <w:t>95</w:t>
      </w:r>
      <w:r w:rsidRPr="00350459">
        <w:rPr>
          <w:rFonts w:cs="Arial"/>
          <w:sz w:val="20"/>
        </w:rPr>
        <w:t xml:space="preserve"> determinations were made</w:t>
      </w:r>
    </w:p>
    <w:p w14:paraId="513DF351" w14:textId="77777777" w:rsidR="00AB6753" w:rsidRPr="00350459" w:rsidRDefault="00AB6753" w:rsidP="00AB6753">
      <w:pPr>
        <w:pStyle w:val="ListParagraph"/>
        <w:numPr>
          <w:ilvl w:val="1"/>
          <w:numId w:val="6"/>
        </w:numPr>
        <w:autoSpaceDE w:val="0"/>
        <w:autoSpaceDN w:val="0"/>
        <w:adjustRightInd w:val="0"/>
        <w:spacing w:before="120" w:after="180" w:line="280" w:lineRule="atLeast"/>
        <w:ind w:right="-164"/>
        <w:rPr>
          <w:rFonts w:cs="Arial"/>
          <w:sz w:val="20"/>
        </w:rPr>
      </w:pPr>
      <w:r w:rsidRPr="00350459">
        <w:rPr>
          <w:rFonts w:cs="Arial"/>
          <w:sz w:val="20"/>
        </w:rPr>
        <w:t>3,0</w:t>
      </w:r>
      <w:r>
        <w:rPr>
          <w:rFonts w:cs="Arial"/>
          <w:sz w:val="20"/>
        </w:rPr>
        <w:t>59</w:t>
      </w:r>
      <w:r w:rsidRPr="00350459">
        <w:rPr>
          <w:rFonts w:cs="Arial"/>
          <w:sz w:val="20"/>
        </w:rPr>
        <w:t xml:space="preserve"> people were assessed as eligible for redress</w:t>
      </w:r>
    </w:p>
    <w:p w14:paraId="50AC5A98" w14:textId="77777777" w:rsidR="00AB6753" w:rsidRPr="00350459" w:rsidRDefault="00AB6753" w:rsidP="00AB6753">
      <w:pPr>
        <w:pStyle w:val="ListParagraph"/>
        <w:numPr>
          <w:ilvl w:val="1"/>
          <w:numId w:val="6"/>
        </w:numPr>
        <w:autoSpaceDE w:val="0"/>
        <w:autoSpaceDN w:val="0"/>
        <w:adjustRightInd w:val="0"/>
        <w:spacing w:before="120" w:after="180" w:line="280" w:lineRule="atLeast"/>
        <w:ind w:right="-164"/>
        <w:rPr>
          <w:rFonts w:cs="Arial"/>
          <w:sz w:val="20"/>
        </w:rPr>
      </w:pPr>
      <w:r w:rsidRPr="00350459">
        <w:rPr>
          <w:rFonts w:cs="Arial"/>
          <w:sz w:val="20"/>
        </w:rPr>
        <w:t>1</w:t>
      </w:r>
      <w:r>
        <w:rPr>
          <w:rFonts w:cs="Arial"/>
          <w:sz w:val="20"/>
        </w:rPr>
        <w:t>36</w:t>
      </w:r>
      <w:r w:rsidRPr="00350459">
        <w:rPr>
          <w:rFonts w:cs="Arial"/>
          <w:sz w:val="20"/>
        </w:rPr>
        <w:t xml:space="preserve"> applications were assessed as ineligible</w:t>
      </w:r>
      <w:r>
        <w:rPr>
          <w:rFonts w:cs="Arial"/>
          <w:sz w:val="20"/>
        </w:rPr>
        <w:t>.</w:t>
      </w:r>
    </w:p>
    <w:p w14:paraId="7F1C4FD5" w14:textId="77777777" w:rsidR="00AB6753" w:rsidRPr="00350459"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350459">
        <w:rPr>
          <w:rFonts w:cs="Arial"/>
          <w:sz w:val="20"/>
        </w:rPr>
        <w:t>2,</w:t>
      </w:r>
      <w:r>
        <w:rPr>
          <w:rFonts w:cs="Arial"/>
          <w:sz w:val="20"/>
        </w:rPr>
        <w:t>568</w:t>
      </w:r>
      <w:r w:rsidRPr="00350459">
        <w:rPr>
          <w:rFonts w:cs="Arial"/>
          <w:sz w:val="20"/>
        </w:rPr>
        <w:t xml:space="preserve"> people accepted an offer of redress</w:t>
      </w:r>
    </w:p>
    <w:p w14:paraId="7C2F9DAE" w14:textId="77777777" w:rsidR="00AB6753" w:rsidRPr="00350459"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350459">
        <w:rPr>
          <w:rFonts w:cs="Arial"/>
          <w:sz w:val="20"/>
        </w:rPr>
        <w:t>10 people declined an offer of redress</w:t>
      </w:r>
    </w:p>
    <w:p w14:paraId="49C10D6D" w14:textId="77777777" w:rsidR="00AB6753" w:rsidRPr="00350459"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350459">
        <w:rPr>
          <w:rFonts w:cs="Arial"/>
          <w:sz w:val="20"/>
        </w:rPr>
        <w:t>of the applications assessed as eligible for redress, 929 institutions were found to have been responsible across the individual cases of abuse</w:t>
      </w:r>
    </w:p>
    <w:p w14:paraId="0E2CFA20" w14:textId="77777777" w:rsidR="00AB6753" w:rsidRPr="00350459"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350459">
        <w:rPr>
          <w:rFonts w:cs="Arial"/>
          <w:sz w:val="20"/>
        </w:rPr>
        <w:t>2,</w:t>
      </w:r>
      <w:r>
        <w:rPr>
          <w:rFonts w:cs="Arial"/>
          <w:sz w:val="20"/>
        </w:rPr>
        <w:t>537</w:t>
      </w:r>
      <w:r w:rsidRPr="00350459">
        <w:rPr>
          <w:rFonts w:cs="Arial"/>
          <w:sz w:val="20"/>
        </w:rPr>
        <w:t xml:space="preserve"> redress payments were made ranging from less than $10,000 to $150,000, with an average payment of $</w:t>
      </w:r>
      <w:r>
        <w:rPr>
          <w:rFonts w:cs="Arial"/>
          <w:sz w:val="20"/>
        </w:rPr>
        <w:t>81,876</w:t>
      </w:r>
    </w:p>
    <w:p w14:paraId="6E8443D6" w14:textId="77777777" w:rsidR="00AB6753" w:rsidRPr="00350459"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350459">
        <w:rPr>
          <w:rFonts w:cs="Arial"/>
          <w:sz w:val="20"/>
        </w:rPr>
        <w:t>the total value of redress monetary payments was $</w:t>
      </w:r>
      <w:r>
        <w:rPr>
          <w:rFonts w:cs="Arial"/>
          <w:sz w:val="20"/>
        </w:rPr>
        <w:t>205,016,984</w:t>
      </w:r>
    </w:p>
    <w:p w14:paraId="632B5B02" w14:textId="77777777" w:rsidR="00AB6753" w:rsidRPr="00350459"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350459">
        <w:rPr>
          <w:rFonts w:cs="Arial"/>
          <w:sz w:val="20"/>
        </w:rPr>
        <w:t>1,</w:t>
      </w:r>
      <w:r>
        <w:rPr>
          <w:rFonts w:cs="Arial"/>
          <w:sz w:val="20"/>
        </w:rPr>
        <w:t>736</w:t>
      </w:r>
      <w:r w:rsidRPr="00350459">
        <w:rPr>
          <w:rFonts w:cs="Arial"/>
          <w:sz w:val="20"/>
        </w:rPr>
        <w:t xml:space="preserve"> people requested counselling and psychological care as part of their redress outcomes</w:t>
      </w:r>
    </w:p>
    <w:p w14:paraId="114F35B8" w14:textId="77777777" w:rsidR="00AB6753" w:rsidRPr="00350459"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350459">
        <w:rPr>
          <w:rFonts w:cs="Arial"/>
          <w:sz w:val="20"/>
        </w:rPr>
        <w:t>1,</w:t>
      </w:r>
      <w:r>
        <w:rPr>
          <w:rFonts w:cs="Arial"/>
          <w:sz w:val="20"/>
        </w:rPr>
        <w:t>345</w:t>
      </w:r>
      <w:r w:rsidRPr="00350459">
        <w:rPr>
          <w:rFonts w:cs="Arial"/>
          <w:sz w:val="20"/>
        </w:rPr>
        <w:t xml:space="preserve"> people requested a direct personal response from an institution</w:t>
      </w:r>
    </w:p>
    <w:p w14:paraId="26CC8D17" w14:textId="399BA8A5" w:rsidR="00AB6753" w:rsidRPr="00350459"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350459">
        <w:rPr>
          <w:rFonts w:cs="Arial"/>
          <w:sz w:val="20"/>
        </w:rPr>
        <w:t>78.7 per cent of applications name more than one institution in their application and</w:t>
      </w:r>
      <w:r w:rsidR="00F111F2">
        <w:rPr>
          <w:rFonts w:cs="Arial"/>
          <w:sz w:val="20"/>
        </w:rPr>
        <w:br/>
      </w:r>
      <w:r w:rsidRPr="00350459">
        <w:rPr>
          <w:rFonts w:cs="Arial"/>
          <w:sz w:val="20"/>
        </w:rPr>
        <w:t>33.7 per cent of applications name four or more institutions.</w:t>
      </w:r>
    </w:p>
    <w:p w14:paraId="104D7C82" w14:textId="55DD9636" w:rsidR="00AB6753" w:rsidRPr="00350459" w:rsidRDefault="00AB6753" w:rsidP="00AB6753">
      <w:pPr>
        <w:autoSpaceDE w:val="0"/>
        <w:autoSpaceDN w:val="0"/>
        <w:adjustRightInd w:val="0"/>
        <w:spacing w:before="120" w:after="180" w:line="280" w:lineRule="atLeast"/>
        <w:ind w:right="-164"/>
        <w:rPr>
          <w:rFonts w:cs="Arial"/>
          <w:sz w:val="20"/>
        </w:rPr>
      </w:pPr>
      <w:r w:rsidRPr="00350459">
        <w:rPr>
          <w:rFonts w:cs="Arial"/>
          <w:sz w:val="20"/>
        </w:rPr>
        <w:t>As at 30 June 2020, all Commonwealth and state and territory government institutions and</w:t>
      </w:r>
      <w:r w:rsidR="00F111F2">
        <w:rPr>
          <w:rFonts w:cs="Arial"/>
          <w:sz w:val="20"/>
        </w:rPr>
        <w:br/>
      </w:r>
      <w:r w:rsidRPr="00350459">
        <w:rPr>
          <w:rFonts w:cs="Arial"/>
          <w:sz w:val="20"/>
        </w:rPr>
        <w:t xml:space="preserve">224 non-government institutions, or groups of institutions, are now participating in the Scheme. This includes 177 non-government institutions that joined the </w:t>
      </w:r>
      <w:r>
        <w:rPr>
          <w:rFonts w:cs="Arial"/>
          <w:sz w:val="20"/>
        </w:rPr>
        <w:t>S</w:t>
      </w:r>
      <w:r w:rsidRPr="00350459">
        <w:rPr>
          <w:rFonts w:cs="Arial"/>
          <w:sz w:val="20"/>
        </w:rPr>
        <w:t xml:space="preserve">cheme in the second year of the </w:t>
      </w:r>
      <w:r>
        <w:rPr>
          <w:rFonts w:cs="Arial"/>
          <w:sz w:val="20"/>
        </w:rPr>
        <w:t>S</w:t>
      </w:r>
      <w:r w:rsidRPr="00350459">
        <w:rPr>
          <w:rFonts w:cs="Arial"/>
          <w:sz w:val="20"/>
        </w:rPr>
        <w:t>cheme’s operation. This brings the total number of sites (such as churches, schools</w:t>
      </w:r>
      <w:r>
        <w:rPr>
          <w:rFonts w:cs="Arial"/>
          <w:sz w:val="20"/>
        </w:rPr>
        <w:t>,</w:t>
      </w:r>
      <w:r w:rsidRPr="00350459">
        <w:rPr>
          <w:rFonts w:cs="Arial"/>
          <w:sz w:val="20"/>
        </w:rPr>
        <w:t xml:space="preserve"> and community groups) covered by the </w:t>
      </w:r>
      <w:r>
        <w:rPr>
          <w:rFonts w:cs="Arial"/>
          <w:sz w:val="20"/>
        </w:rPr>
        <w:t>S</w:t>
      </w:r>
      <w:r w:rsidRPr="00350459">
        <w:rPr>
          <w:rFonts w:cs="Arial"/>
          <w:sz w:val="20"/>
        </w:rPr>
        <w:t xml:space="preserve">cheme to over 51,000 across Australia, with more institutions (158) notifying their intention to work with the </w:t>
      </w:r>
      <w:r>
        <w:rPr>
          <w:rFonts w:cs="Arial"/>
          <w:sz w:val="20"/>
        </w:rPr>
        <w:t>S</w:t>
      </w:r>
      <w:r w:rsidRPr="00350459">
        <w:rPr>
          <w:rFonts w:cs="Arial"/>
          <w:sz w:val="20"/>
        </w:rPr>
        <w:t>cheme to join in the first six months of</w:t>
      </w:r>
      <w:r>
        <w:rPr>
          <w:rFonts w:cs="Arial"/>
          <w:sz w:val="20"/>
        </w:rPr>
        <w:t xml:space="preserve"> </w:t>
      </w:r>
      <w:r w:rsidRPr="00350459">
        <w:rPr>
          <w:rFonts w:cs="Arial"/>
          <w:sz w:val="20"/>
        </w:rPr>
        <w:t>2020</w:t>
      </w:r>
      <w:r>
        <w:rPr>
          <w:rFonts w:cs="Arial"/>
          <w:sz w:val="20"/>
        </w:rPr>
        <w:t>–</w:t>
      </w:r>
      <w:r w:rsidRPr="00350459">
        <w:rPr>
          <w:rFonts w:cs="Arial"/>
          <w:sz w:val="20"/>
        </w:rPr>
        <w:t xml:space="preserve">21. As at 30 June 2020, the </w:t>
      </w:r>
      <w:r>
        <w:rPr>
          <w:rFonts w:cs="Arial"/>
          <w:sz w:val="20"/>
        </w:rPr>
        <w:t>S</w:t>
      </w:r>
      <w:r w:rsidRPr="00350459">
        <w:rPr>
          <w:rFonts w:cs="Arial"/>
          <w:sz w:val="20"/>
        </w:rPr>
        <w:t>cheme had eight funder of last resort listings for four states, meaning that applications relating to those eight defunct institutions can now progress and the applicants can access redress.</w:t>
      </w:r>
    </w:p>
    <w:p w14:paraId="07AE2FD7" w14:textId="77777777" w:rsidR="00AB6753" w:rsidRPr="00350459" w:rsidRDefault="00AB6753" w:rsidP="00AB6753">
      <w:pPr>
        <w:autoSpaceDE w:val="0"/>
        <w:autoSpaceDN w:val="0"/>
        <w:adjustRightInd w:val="0"/>
        <w:spacing w:before="120" w:after="180" w:line="280" w:lineRule="atLeast"/>
        <w:ind w:right="-164"/>
        <w:rPr>
          <w:rFonts w:cs="Arial"/>
          <w:sz w:val="20"/>
        </w:rPr>
      </w:pPr>
      <w:r w:rsidRPr="00350459">
        <w:rPr>
          <w:rFonts w:cs="Arial"/>
          <w:sz w:val="20"/>
        </w:rPr>
        <w:t>A key achievement of the Scheme in its second year of operation has been that 2,434 applications received in the first year of the Scheme have now been finalised</w:t>
      </w:r>
      <w:r>
        <w:rPr>
          <w:rStyle w:val="FootnoteReference"/>
          <w:rFonts w:cs="Arial"/>
          <w:sz w:val="20"/>
        </w:rPr>
        <w:footnoteReference w:id="13"/>
      </w:r>
      <w:r w:rsidRPr="00350459">
        <w:rPr>
          <w:rFonts w:cs="Arial"/>
          <w:sz w:val="20"/>
        </w:rPr>
        <w:t>.  Many of the remaining applications from this time</w:t>
      </w:r>
      <w:r>
        <w:rPr>
          <w:rFonts w:cs="Arial"/>
          <w:sz w:val="20"/>
        </w:rPr>
        <w:t>-</w:t>
      </w:r>
      <w:r w:rsidRPr="00350459">
        <w:rPr>
          <w:rFonts w:cs="Arial"/>
          <w:sz w:val="20"/>
        </w:rPr>
        <w:t>period cannot be finalised due to a number of reasons – for example, where relevant institutions have not joined the Scheme, or where more information is being sought from an applicant.</w:t>
      </w:r>
    </w:p>
    <w:p w14:paraId="406E0FD1" w14:textId="77777777" w:rsidR="00AB6753" w:rsidRPr="00350459" w:rsidRDefault="00AB6753" w:rsidP="00AB6753">
      <w:pPr>
        <w:autoSpaceDE w:val="0"/>
        <w:autoSpaceDN w:val="0"/>
        <w:adjustRightInd w:val="0"/>
        <w:spacing w:before="120" w:after="180" w:line="280" w:lineRule="atLeast"/>
        <w:ind w:right="-164"/>
        <w:rPr>
          <w:rFonts w:cs="Arial"/>
          <w:sz w:val="20"/>
        </w:rPr>
      </w:pPr>
      <w:r w:rsidRPr="00350459">
        <w:rPr>
          <w:rFonts w:cs="Arial"/>
          <w:sz w:val="20"/>
        </w:rPr>
        <w:lastRenderedPageBreak/>
        <w:t>The outcomes from the Scheme’s second year of operation show a substantial increase from the first year.</w:t>
      </w:r>
    </w:p>
    <w:p w14:paraId="59618E0E" w14:textId="77777777" w:rsidR="00AB6753" w:rsidRPr="00350459" w:rsidRDefault="00AB6753" w:rsidP="00AB6753">
      <w:pPr>
        <w:autoSpaceDE w:val="0"/>
        <w:autoSpaceDN w:val="0"/>
        <w:adjustRightInd w:val="0"/>
        <w:spacing w:before="120" w:after="180" w:line="280" w:lineRule="atLeast"/>
        <w:ind w:right="-164"/>
        <w:rPr>
          <w:rFonts w:cs="Arial"/>
          <w:sz w:val="20"/>
        </w:rPr>
      </w:pPr>
      <w:r w:rsidRPr="00350459">
        <w:rPr>
          <w:rFonts w:cs="Arial"/>
          <w:sz w:val="20"/>
        </w:rPr>
        <w:t>From 1 July 2018 to 30 June 2019, the Scheme finalised a total of 239 applications, giving an average of 20 per month over the period. By comparison, from 1 July 2019 to 30 June 2020, the Scheme finalised a total of 2,510 applications, giving an average of 209 per month over the period.</w:t>
      </w:r>
    </w:p>
    <w:p w14:paraId="0E9393B8" w14:textId="77777777" w:rsidR="00AB6753" w:rsidRPr="00350459" w:rsidRDefault="00AB6753" w:rsidP="00AB6753">
      <w:pPr>
        <w:autoSpaceDE w:val="0"/>
        <w:autoSpaceDN w:val="0"/>
        <w:adjustRightInd w:val="0"/>
        <w:spacing w:before="120" w:after="180" w:line="280" w:lineRule="atLeast"/>
        <w:ind w:right="-164"/>
        <w:rPr>
          <w:rFonts w:cs="Arial"/>
          <w:sz w:val="20"/>
        </w:rPr>
      </w:pPr>
      <w:r w:rsidRPr="00350459">
        <w:rPr>
          <w:rFonts w:cs="Arial"/>
          <w:sz w:val="20"/>
        </w:rPr>
        <w:t>In terms of outcomes</w:t>
      </w:r>
      <w:r>
        <w:rPr>
          <w:rStyle w:val="FootnoteReference"/>
          <w:rFonts w:cs="Arial"/>
          <w:sz w:val="20"/>
        </w:rPr>
        <w:footnoteReference w:id="14"/>
      </w:r>
      <w:r w:rsidRPr="00350459">
        <w:rPr>
          <w:rFonts w:cs="Arial"/>
          <w:sz w:val="20"/>
        </w:rPr>
        <w:t xml:space="preserve"> provided to applicants from November 2019 to April 2020, the Scheme provided an average of around 260 outcomes to applicants per month. In May and June 2020, this increased to around 590 outcomes per month.</w:t>
      </w:r>
    </w:p>
    <w:p w14:paraId="4E96AB25" w14:textId="77777777" w:rsidR="00AB6753" w:rsidRPr="00350459" w:rsidRDefault="00AB6753" w:rsidP="00AB6753">
      <w:pPr>
        <w:autoSpaceDE w:val="0"/>
        <w:autoSpaceDN w:val="0"/>
        <w:adjustRightInd w:val="0"/>
        <w:spacing w:before="120" w:after="180" w:line="280" w:lineRule="atLeast"/>
        <w:ind w:right="-164"/>
        <w:rPr>
          <w:rFonts w:cs="Arial"/>
          <w:sz w:val="20"/>
        </w:rPr>
      </w:pPr>
      <w:r w:rsidRPr="00350459">
        <w:rPr>
          <w:rFonts w:cs="Arial"/>
          <w:sz w:val="20"/>
        </w:rPr>
        <w:t>In 2019</w:t>
      </w:r>
      <w:r>
        <w:rPr>
          <w:rFonts w:cs="Arial"/>
          <w:sz w:val="20"/>
        </w:rPr>
        <w:t>–</w:t>
      </w:r>
      <w:r w:rsidRPr="00350459">
        <w:rPr>
          <w:rFonts w:cs="Arial"/>
          <w:sz w:val="20"/>
        </w:rPr>
        <w:t>20</w:t>
      </w:r>
      <w:r>
        <w:rPr>
          <w:rFonts w:cs="Arial"/>
          <w:sz w:val="20"/>
        </w:rPr>
        <w:t>,</w:t>
      </w:r>
      <w:r w:rsidRPr="00350459">
        <w:rPr>
          <w:rFonts w:cs="Arial"/>
          <w:sz w:val="20"/>
        </w:rPr>
        <w:t xml:space="preserve"> the Government provided an additional $11.7 million in order to increase the number of Independent Decision Makers and to enable redress support services to prioritise outreach and community engagement activities. The funding allowed a particular</w:t>
      </w:r>
      <w:r>
        <w:rPr>
          <w:rFonts w:cs="Arial"/>
          <w:sz w:val="20"/>
        </w:rPr>
        <w:t xml:space="preserve"> </w:t>
      </w:r>
      <w:r w:rsidRPr="00350459">
        <w:rPr>
          <w:rFonts w:cs="Arial"/>
          <w:sz w:val="20"/>
        </w:rPr>
        <w:t>focus on servicing regional areas and reducing service waitlists. The funding also resulted in the employment of dedicated Indigenous engagement workers to better connect with Indigenous clients and their communities.</w:t>
      </w:r>
    </w:p>
    <w:p w14:paraId="05309837" w14:textId="77777777" w:rsidR="00AB6753" w:rsidRPr="00350459" w:rsidRDefault="00AB6753" w:rsidP="00AB6753">
      <w:pPr>
        <w:autoSpaceDE w:val="0"/>
        <w:autoSpaceDN w:val="0"/>
        <w:adjustRightInd w:val="0"/>
        <w:spacing w:before="120" w:after="180" w:line="280" w:lineRule="atLeast"/>
        <w:ind w:right="-164"/>
        <w:rPr>
          <w:rFonts w:cs="Arial"/>
          <w:sz w:val="20"/>
        </w:rPr>
      </w:pPr>
      <w:r w:rsidRPr="00350459">
        <w:rPr>
          <w:rFonts w:cs="Arial"/>
          <w:sz w:val="20"/>
        </w:rPr>
        <w:t xml:space="preserve">As a result, and despite a challenging servicing environment arising from the impacts of </w:t>
      </w:r>
      <w:r>
        <w:rPr>
          <w:rFonts w:cs="Arial"/>
          <w:sz w:val="20"/>
        </w:rPr>
        <w:t>the COVID-19 pandemic</w:t>
      </w:r>
      <w:r w:rsidRPr="00AA130F">
        <w:rPr>
          <w:rFonts w:cs="Arial"/>
          <w:sz w:val="20"/>
        </w:rPr>
        <w:t>,</w:t>
      </w:r>
      <w:r w:rsidRPr="00350459">
        <w:rPr>
          <w:rFonts w:cs="Arial"/>
          <w:sz w:val="20"/>
        </w:rPr>
        <w:t xml:space="preserve"> cumulative figures to</w:t>
      </w:r>
      <w:r>
        <w:rPr>
          <w:rFonts w:cs="Arial"/>
          <w:sz w:val="20"/>
        </w:rPr>
        <w:t xml:space="preserve"> the</w:t>
      </w:r>
      <w:r w:rsidRPr="00350459">
        <w:rPr>
          <w:rFonts w:cs="Arial"/>
          <w:sz w:val="20"/>
        </w:rPr>
        <w:t xml:space="preserve"> end of June 2020 showed that more than half of all applicants to the Scheme are now indicating</w:t>
      </w:r>
      <w:r>
        <w:rPr>
          <w:rFonts w:cs="Arial"/>
          <w:sz w:val="20"/>
        </w:rPr>
        <w:t xml:space="preserve"> t</w:t>
      </w:r>
      <w:r w:rsidRPr="00350459">
        <w:rPr>
          <w:rFonts w:cs="Arial"/>
          <w:sz w:val="20"/>
        </w:rPr>
        <w:t>hey are being supported to apply. Importantly, additional help is being provided to the groups most likely to need it, with around two thirds of people being supported falling into one or more of the following categories: former state wards, people with disability, and Indigenous Australians.</w:t>
      </w:r>
    </w:p>
    <w:p w14:paraId="344C2D6E" w14:textId="3A6DB4DC" w:rsidR="00AB6753" w:rsidRPr="00350459" w:rsidRDefault="00AB6753" w:rsidP="00AB6753">
      <w:pPr>
        <w:autoSpaceDE w:val="0"/>
        <w:autoSpaceDN w:val="0"/>
        <w:adjustRightInd w:val="0"/>
        <w:spacing w:before="120" w:after="180" w:line="280" w:lineRule="atLeast"/>
        <w:ind w:right="-164"/>
        <w:rPr>
          <w:rFonts w:cs="Arial"/>
          <w:sz w:val="20"/>
        </w:rPr>
      </w:pPr>
      <w:r w:rsidRPr="00350459">
        <w:rPr>
          <w:rFonts w:cs="Arial"/>
          <w:sz w:val="20"/>
        </w:rPr>
        <w:t>The</w:t>
      </w:r>
      <w:r>
        <w:rPr>
          <w:rFonts w:cs="Arial"/>
          <w:sz w:val="20"/>
        </w:rPr>
        <w:t xml:space="preserve"> G</w:t>
      </w:r>
      <w:r w:rsidRPr="00350459">
        <w:rPr>
          <w:rFonts w:cs="Arial"/>
          <w:sz w:val="20"/>
        </w:rPr>
        <w:t xml:space="preserve">overnment took action to ensure survivors could continue to apply for, and receive redress, during the </w:t>
      </w:r>
      <w:r>
        <w:rPr>
          <w:rFonts w:cs="Arial"/>
          <w:sz w:val="20"/>
        </w:rPr>
        <w:t>COVID-19</w:t>
      </w:r>
      <w:r w:rsidRPr="00AA130F">
        <w:rPr>
          <w:rFonts w:cs="Arial"/>
          <w:sz w:val="20"/>
        </w:rPr>
        <w:t xml:space="preserve"> pandemic</w:t>
      </w:r>
      <w:r w:rsidRPr="00350459">
        <w:rPr>
          <w:rFonts w:cs="Arial"/>
          <w:sz w:val="20"/>
        </w:rPr>
        <w:t xml:space="preserve">. The Minister for Families and Social Services made the </w:t>
      </w:r>
      <w:r w:rsidRPr="00D43506">
        <w:rPr>
          <w:rFonts w:cs="Arial"/>
          <w:i/>
          <w:sz w:val="20"/>
        </w:rPr>
        <w:t>Coronavirus Economic Response Package (Modifications — National Redress Scheme for Institutional Child Sexual Abuse) Determination 2020</w:t>
      </w:r>
      <w:r w:rsidRPr="00350459">
        <w:rPr>
          <w:rFonts w:cs="Arial"/>
          <w:sz w:val="20"/>
        </w:rPr>
        <w:t xml:space="preserve"> </w:t>
      </w:r>
      <w:r>
        <w:rPr>
          <w:rFonts w:cs="Arial"/>
          <w:sz w:val="20"/>
        </w:rPr>
        <w:t xml:space="preserve">(the Determination) </w:t>
      </w:r>
      <w:r w:rsidRPr="00350459">
        <w:rPr>
          <w:rFonts w:cs="Arial"/>
          <w:sz w:val="20"/>
        </w:rPr>
        <w:t xml:space="preserve">under sub item 1(2) of Schedule 5 to the </w:t>
      </w:r>
      <w:r w:rsidRPr="00544924">
        <w:rPr>
          <w:rFonts w:cs="Arial"/>
          <w:i/>
          <w:iCs/>
          <w:sz w:val="20"/>
        </w:rPr>
        <w:t>Coronavirus Economic Response Package Omnibus (Measures No. 2) Act 2020.</w:t>
      </w:r>
      <w:r w:rsidRPr="00350459">
        <w:rPr>
          <w:rFonts w:cs="Arial"/>
          <w:sz w:val="20"/>
        </w:rPr>
        <w:t xml:space="preserve"> The Determination temporarily allows the Scheme to accept unsigned and unwitnessed statutory declarations for the period of</w:t>
      </w:r>
      <w:r w:rsidR="00F111F2">
        <w:rPr>
          <w:rFonts w:cs="Arial"/>
          <w:sz w:val="20"/>
        </w:rPr>
        <w:br/>
      </w:r>
      <w:r w:rsidRPr="00350459">
        <w:rPr>
          <w:rFonts w:cs="Arial"/>
          <w:sz w:val="20"/>
        </w:rPr>
        <w:t xml:space="preserve">1 March 2020 to 31 December 2020, where an applicant is impacted by </w:t>
      </w:r>
      <w:r>
        <w:rPr>
          <w:rFonts w:cs="Arial"/>
          <w:sz w:val="20"/>
        </w:rPr>
        <w:t>COVID-19</w:t>
      </w:r>
      <w:r w:rsidRPr="00350459">
        <w:rPr>
          <w:rFonts w:cs="Arial"/>
          <w:sz w:val="20"/>
        </w:rPr>
        <w:t xml:space="preserve"> restrictions.</w:t>
      </w:r>
    </w:p>
    <w:p w14:paraId="69779852" w14:textId="77777777" w:rsidR="00AB6753" w:rsidRDefault="00AB6753" w:rsidP="00AB6753">
      <w:pPr>
        <w:pStyle w:val="Heading4"/>
        <w:spacing w:after="200"/>
        <w:rPr>
          <w:rFonts w:ascii="Georgia" w:hAnsi="Georgia"/>
          <w:sz w:val="36"/>
        </w:rPr>
      </w:pPr>
      <w:r w:rsidRPr="00A526BE">
        <w:rPr>
          <w:rFonts w:ascii="Georgia" w:hAnsi="Georgia"/>
          <w:b w:val="0"/>
          <w:i w:val="0"/>
          <w:sz w:val="36"/>
        </w:rPr>
        <w:t>Key statistics</w:t>
      </w:r>
    </w:p>
    <w:p w14:paraId="2C1B66F2" w14:textId="77777777" w:rsidR="00AB6753" w:rsidRPr="00994D22" w:rsidRDefault="00AB6753" w:rsidP="00AB6753">
      <w:pPr>
        <w:rPr>
          <w:rFonts w:ascii="Arial Narrow" w:eastAsia="Calibri" w:hAnsi="Arial Narrow" w:cs="Arial"/>
          <w:b/>
          <w:sz w:val="20"/>
        </w:rPr>
      </w:pPr>
      <w:r w:rsidRPr="00A526BE">
        <w:rPr>
          <w:rFonts w:ascii="Arial Narrow" w:eastAsia="Calibri" w:hAnsi="Arial Narrow" w:cs="Arial"/>
          <w:b/>
          <w:sz w:val="20"/>
        </w:rPr>
        <w:t>Of the applications received for the period 1 June 2019 to 30 June 2020</w:t>
      </w:r>
    </w:p>
    <w:p w14:paraId="32490DA2" w14:textId="77777777" w:rsidR="00AB6753" w:rsidRDefault="00AB6753" w:rsidP="00AB6753">
      <w:pPr>
        <w:rPr>
          <w:rFonts w:ascii="Arial Narrow" w:eastAsia="Calibri" w:hAnsi="Arial Narrow" w:cs="Arial"/>
          <w:b/>
          <w:sz w:val="20"/>
        </w:rPr>
      </w:pPr>
      <w:r>
        <w:rPr>
          <w:noProof/>
          <w:lang w:eastAsia="en-AU"/>
        </w:rPr>
        <w:drawing>
          <wp:inline distT="0" distB="0" distL="0" distR="0" wp14:anchorId="1E7F1B25" wp14:editId="0D410F92">
            <wp:extent cx="3990303" cy="2134347"/>
            <wp:effectExtent l="0" t="0" r="0" b="0"/>
            <wp:docPr id="13" name="Picture 13" descr="This illustration shows, of the applications received, 3 out of 8 applicants identifed as Aboriginal and Torres Strait Islanders, and 3 out of 5 applicants are male." title="Ke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7BB5.E73ED500"/>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4077889" cy="2181195"/>
                    </a:xfrm>
                    <a:prstGeom prst="rect">
                      <a:avLst/>
                    </a:prstGeom>
                    <a:noFill/>
                    <a:ln>
                      <a:noFill/>
                    </a:ln>
                  </pic:spPr>
                </pic:pic>
              </a:graphicData>
            </a:graphic>
          </wp:inline>
        </w:drawing>
      </w:r>
    </w:p>
    <w:p w14:paraId="379CD0C6" w14:textId="77777777" w:rsidR="00AB6753" w:rsidRDefault="00AB6753" w:rsidP="00AB6753">
      <w:pPr>
        <w:rPr>
          <w:rFonts w:ascii="Arial Narrow" w:eastAsia="Calibri" w:hAnsi="Arial Narrow" w:cs="Arial"/>
          <w:b/>
          <w:sz w:val="20"/>
        </w:rPr>
      </w:pPr>
      <w:r w:rsidRPr="00A050FC">
        <w:rPr>
          <w:rFonts w:ascii="Arial Narrow" w:eastAsia="Calibri" w:hAnsi="Arial Narrow" w:cs="Arial"/>
          <w:b/>
          <w:sz w:val="20"/>
        </w:rPr>
        <w:lastRenderedPageBreak/>
        <w:t>Figure 3.1: Applications received by State/ Territory</w:t>
      </w:r>
      <w:r>
        <w:rPr>
          <w:rFonts w:ascii="Arial Narrow" w:eastAsia="Calibri" w:hAnsi="Arial Narrow" w:cs="Arial"/>
          <w:b/>
          <w:sz w:val="20"/>
        </w:rPr>
        <w:t xml:space="preserve"> for the period 1 June 2019 to 30 June 2020</w:t>
      </w:r>
    </w:p>
    <w:p w14:paraId="16021C5E" w14:textId="77777777" w:rsidR="00AB6753" w:rsidRPr="006B5424" w:rsidRDefault="00AB6753" w:rsidP="00AB6753">
      <w:pPr>
        <w:jc w:val="center"/>
        <w:rPr>
          <w:rFonts w:eastAsia="Calibri" w:cs="Arial"/>
          <w:sz w:val="20"/>
        </w:rPr>
      </w:pPr>
      <w:r>
        <w:rPr>
          <w:noProof/>
          <w:lang w:eastAsia="en-AU"/>
        </w:rPr>
        <w:drawing>
          <wp:inline distT="0" distB="0" distL="0" distR="0" wp14:anchorId="13FEFF33" wp14:editId="389112FB">
            <wp:extent cx="4556760" cy="3916680"/>
            <wp:effectExtent l="0" t="0" r="0" b="7620"/>
            <wp:docPr id="14" name="Picture 14" descr="This illustration shows the percentage of applications received. Queensland 29 per cent; New South Wales 17 per cent; Australian Capital Territory 2 per cent; Tasmania 6 per cent; Victoria 17 per cent; South Australia 8 per cent; Western Australia 19 per cent; Overseas 1 per cent." title="Figure 3.1 Applications received by State and Territory for the period 1 June 2019 to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png@01D67BB7.B0B127C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556760" cy="3916680"/>
                    </a:xfrm>
                    <a:prstGeom prst="rect">
                      <a:avLst/>
                    </a:prstGeom>
                    <a:noFill/>
                    <a:ln>
                      <a:noFill/>
                    </a:ln>
                  </pic:spPr>
                </pic:pic>
              </a:graphicData>
            </a:graphic>
          </wp:inline>
        </w:drawing>
      </w:r>
    </w:p>
    <w:p w14:paraId="0B0E1BC8" w14:textId="77777777" w:rsidR="00F024B3" w:rsidRDefault="00F024B3" w:rsidP="00F024B3">
      <w:pPr>
        <w:rPr>
          <w:rFonts w:ascii="Arial Narrow" w:eastAsia="Calibri" w:hAnsi="Arial Narrow" w:cs="Arial"/>
          <w:b/>
          <w:sz w:val="20"/>
        </w:rPr>
      </w:pPr>
      <w:r w:rsidRPr="00A050FC">
        <w:rPr>
          <w:rFonts w:ascii="Arial Narrow" w:eastAsia="Calibri" w:hAnsi="Arial Narrow" w:cs="Arial"/>
          <w:b/>
          <w:sz w:val="20"/>
        </w:rPr>
        <w:t>Figure 3.2: Applications received by gender and age</w:t>
      </w:r>
      <w:r>
        <w:rPr>
          <w:rFonts w:ascii="Arial Narrow" w:eastAsia="Calibri" w:hAnsi="Arial Narrow" w:cs="Arial"/>
          <w:b/>
          <w:sz w:val="20"/>
        </w:rPr>
        <w:t xml:space="preserve"> for the period 1 June 2019 to 30 June 2020</w:t>
      </w:r>
    </w:p>
    <w:p w14:paraId="26B97BEE" w14:textId="5384B0EC" w:rsidR="00AB6753" w:rsidRDefault="00AB6753" w:rsidP="00AB6753">
      <w:pPr>
        <w:rPr>
          <w:rFonts w:ascii="Arial Narrow" w:eastAsia="Calibri" w:hAnsi="Arial Narrow" w:cs="Arial"/>
          <w:b/>
          <w:sz w:val="20"/>
        </w:rPr>
      </w:pPr>
      <w:r w:rsidRPr="005109B6">
        <w:rPr>
          <w:rFonts w:ascii="Arial Narrow" w:eastAsia="Calibri" w:hAnsi="Arial Narrow" w:cs="Arial"/>
          <w:b/>
          <w:noProof/>
          <w:sz w:val="20"/>
          <w:lang w:eastAsia="en-AU"/>
        </w:rPr>
        <w:drawing>
          <wp:inline distT="0" distB="0" distL="0" distR="0" wp14:anchorId="428498B4" wp14:editId="73E2FC8A">
            <wp:extent cx="6120765" cy="3587750"/>
            <wp:effectExtent l="0" t="0" r="0" b="0"/>
            <wp:docPr id="2" name="Picture 2" descr="Figure 3.2 Number of applications recieved by gender with breakdown into age groups. Male 38, Female 26 in 80 years and older group; Male 246, Female 151 in 70-79 age group; Male 550, Female 361 in 60-69 age group; Male 555, Female 370 in 50-59 age group; Male 273, Female 201 in 40-49 age group; Male 150, 111 Female in 30-39 age group; Male 44, 58 Female in 20-29 age group; Male 5, Female 2 in under 20 age group." title="Figure 3.2 Applications received by gender and age for the period 1 June 2019 to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0091\AppData\Local\Microsoft\Windows\INetCache\Content.Outlook\1G6KHF1X\Figure 3.2 Applications received by gender v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3587750"/>
                    </a:xfrm>
                    <a:prstGeom prst="rect">
                      <a:avLst/>
                    </a:prstGeom>
                    <a:noFill/>
                    <a:ln>
                      <a:noFill/>
                    </a:ln>
                  </pic:spPr>
                </pic:pic>
              </a:graphicData>
            </a:graphic>
          </wp:inline>
        </w:drawing>
      </w:r>
    </w:p>
    <w:p w14:paraId="34D4224B" w14:textId="77777777" w:rsidR="00AB6753" w:rsidRPr="00480FFF" w:rsidRDefault="00AB6753" w:rsidP="00AB6753">
      <w:pPr>
        <w:rPr>
          <w:rFonts w:ascii="Arial Narrow" w:eastAsia="Calibri" w:hAnsi="Arial Narrow" w:cs="Arial"/>
          <w:b/>
          <w:sz w:val="20"/>
        </w:rPr>
      </w:pPr>
    </w:p>
    <w:p w14:paraId="49346000" w14:textId="77777777" w:rsidR="00AB6753" w:rsidRPr="00054A67" w:rsidRDefault="00AB6753" w:rsidP="00AB6753">
      <w:pPr>
        <w:pBdr>
          <w:bottom w:val="single" w:sz="48" w:space="0" w:color="404040" w:themeColor="text1" w:themeTint="BF"/>
        </w:pBdr>
        <w:tabs>
          <w:tab w:val="right" w:pos="8364"/>
        </w:tabs>
        <w:spacing w:before="60" w:after="60"/>
        <w:ind w:left="567" w:right="1133"/>
        <w:rPr>
          <w:rFonts w:ascii="Georgia" w:hAnsi="Georgia" w:cs="Georgia"/>
          <w:color w:val="215868" w:themeColor="accent5" w:themeShade="80"/>
          <w:sz w:val="72"/>
          <w:szCs w:val="72"/>
        </w:rPr>
      </w:pPr>
      <w:r w:rsidRPr="00054A67">
        <w:rPr>
          <w:rFonts w:ascii="Georgia" w:hAnsi="Georgia" w:cs="Georgia"/>
          <w:color w:val="215868" w:themeColor="accent5" w:themeShade="80"/>
          <w:sz w:val="72"/>
          <w:szCs w:val="72"/>
        </w:rPr>
        <w:lastRenderedPageBreak/>
        <w:t>Part 4</w:t>
      </w:r>
    </w:p>
    <w:p w14:paraId="7953C826" w14:textId="77777777" w:rsidR="00AB6753" w:rsidRDefault="00AB6753" w:rsidP="00AB6753">
      <w:pPr>
        <w:autoSpaceDE w:val="0"/>
        <w:autoSpaceDN w:val="0"/>
        <w:adjustRightInd w:val="0"/>
        <w:spacing w:before="120" w:after="120" w:line="240" w:lineRule="auto"/>
        <w:ind w:left="567" w:right="1133"/>
        <w:rPr>
          <w:rFonts w:ascii="Georgia" w:hAnsi="Georgia" w:cs="Arial"/>
          <w:color w:val="92CDDC" w:themeColor="accent5" w:themeTint="99"/>
          <w:sz w:val="72"/>
          <w:szCs w:val="72"/>
        </w:rPr>
      </w:pPr>
    </w:p>
    <w:p w14:paraId="1E324614" w14:textId="77777777" w:rsidR="00AB6753" w:rsidRPr="00054A67" w:rsidRDefault="00AB6753" w:rsidP="00AB6753">
      <w:pPr>
        <w:autoSpaceDE w:val="0"/>
        <w:autoSpaceDN w:val="0"/>
        <w:adjustRightInd w:val="0"/>
        <w:spacing w:before="120" w:after="120" w:line="240" w:lineRule="auto"/>
        <w:ind w:left="567" w:right="1133"/>
        <w:rPr>
          <w:rFonts w:ascii="Georgia" w:hAnsi="Georgia" w:cs="Arial"/>
          <w:color w:val="215868" w:themeColor="accent5" w:themeShade="80"/>
          <w:sz w:val="72"/>
          <w:szCs w:val="72"/>
        </w:rPr>
      </w:pPr>
      <w:r w:rsidRPr="00054A67">
        <w:rPr>
          <w:rFonts w:ascii="Georgia" w:hAnsi="Georgia" w:cs="Arial"/>
          <w:color w:val="215868" w:themeColor="accent5" w:themeShade="80"/>
          <w:sz w:val="72"/>
          <w:szCs w:val="72"/>
        </w:rPr>
        <w:t>Management and Accountability</w:t>
      </w:r>
    </w:p>
    <w:p w14:paraId="09B732E1" w14:textId="4B8D86C2" w:rsidR="00AB6753" w:rsidRPr="00481422" w:rsidRDefault="00AB6753" w:rsidP="00AB6753">
      <w:pPr>
        <w:tabs>
          <w:tab w:val="left" w:pos="2268"/>
          <w:tab w:val="right" w:pos="7938"/>
          <w:tab w:val="left" w:pos="8505"/>
        </w:tabs>
        <w:ind w:left="567" w:right="1133"/>
        <w:rPr>
          <w:sz w:val="28"/>
          <w:szCs w:val="28"/>
        </w:rPr>
      </w:pPr>
      <w:r w:rsidRPr="00481422">
        <w:rPr>
          <w:sz w:val="28"/>
          <w:szCs w:val="28"/>
        </w:rPr>
        <w:t>Chapter 4.1 Governance structure</w:t>
      </w:r>
      <w:r w:rsidRPr="00481422">
        <w:rPr>
          <w:sz w:val="28"/>
          <w:szCs w:val="28"/>
        </w:rPr>
        <w:tab/>
      </w:r>
      <w:r w:rsidR="00665647" w:rsidRPr="00481422">
        <w:rPr>
          <w:sz w:val="28"/>
          <w:szCs w:val="28"/>
        </w:rPr>
        <w:t>99</w:t>
      </w:r>
    </w:p>
    <w:p w14:paraId="54278B66" w14:textId="406E6926" w:rsidR="00AB6753" w:rsidRPr="00481422" w:rsidRDefault="00AB6753" w:rsidP="00AB6753">
      <w:pPr>
        <w:tabs>
          <w:tab w:val="left" w:pos="2268"/>
          <w:tab w:val="right" w:pos="7938"/>
          <w:tab w:val="left" w:pos="8505"/>
        </w:tabs>
        <w:ind w:left="567" w:right="1133"/>
        <w:rPr>
          <w:sz w:val="28"/>
          <w:szCs w:val="28"/>
        </w:rPr>
      </w:pPr>
      <w:r w:rsidRPr="00481422">
        <w:rPr>
          <w:sz w:val="28"/>
          <w:szCs w:val="28"/>
        </w:rPr>
        <w:t>Chapter 4.2 External scrutiny</w:t>
      </w:r>
      <w:r w:rsidRPr="00481422">
        <w:rPr>
          <w:sz w:val="28"/>
          <w:szCs w:val="28"/>
        </w:rPr>
        <w:tab/>
      </w:r>
      <w:r w:rsidR="00665647" w:rsidRPr="00481422">
        <w:rPr>
          <w:sz w:val="28"/>
          <w:szCs w:val="28"/>
        </w:rPr>
        <w:t>106</w:t>
      </w:r>
    </w:p>
    <w:p w14:paraId="0C1BA199" w14:textId="2F1AA480" w:rsidR="00AB6753" w:rsidRPr="00481422" w:rsidRDefault="00AB6753" w:rsidP="00AB6753">
      <w:pPr>
        <w:tabs>
          <w:tab w:val="left" w:pos="2268"/>
          <w:tab w:val="right" w:pos="7938"/>
          <w:tab w:val="left" w:pos="8505"/>
        </w:tabs>
        <w:ind w:left="567" w:right="1133"/>
        <w:rPr>
          <w:sz w:val="28"/>
          <w:szCs w:val="28"/>
        </w:rPr>
      </w:pPr>
      <w:r w:rsidRPr="00481422">
        <w:rPr>
          <w:sz w:val="28"/>
          <w:szCs w:val="28"/>
        </w:rPr>
        <w:t>Chapter 4.3 Managing our people</w:t>
      </w:r>
      <w:r w:rsidRPr="00481422">
        <w:rPr>
          <w:sz w:val="28"/>
          <w:szCs w:val="28"/>
        </w:rPr>
        <w:tab/>
      </w:r>
      <w:r w:rsidR="00FD6B57" w:rsidRPr="00481422">
        <w:rPr>
          <w:sz w:val="28"/>
          <w:szCs w:val="28"/>
        </w:rPr>
        <w:t>110</w:t>
      </w:r>
    </w:p>
    <w:p w14:paraId="1B132062" w14:textId="59467F28" w:rsidR="00AB6753" w:rsidRPr="00C25FBF" w:rsidRDefault="00AB6753" w:rsidP="00AB6753">
      <w:pPr>
        <w:tabs>
          <w:tab w:val="left" w:pos="2268"/>
          <w:tab w:val="right" w:pos="7938"/>
          <w:tab w:val="left" w:pos="8505"/>
        </w:tabs>
        <w:ind w:left="567" w:right="1133"/>
        <w:rPr>
          <w:sz w:val="28"/>
          <w:szCs w:val="28"/>
        </w:rPr>
      </w:pPr>
      <w:r w:rsidRPr="00481422">
        <w:rPr>
          <w:sz w:val="28"/>
          <w:szCs w:val="28"/>
        </w:rPr>
        <w:t>Chapter 4.4</w:t>
      </w:r>
      <w:r>
        <w:rPr>
          <w:b/>
          <w:sz w:val="28"/>
          <w:szCs w:val="28"/>
        </w:rPr>
        <w:t xml:space="preserve"> </w:t>
      </w:r>
      <w:r w:rsidRPr="00C25FBF">
        <w:rPr>
          <w:sz w:val="28"/>
          <w:szCs w:val="28"/>
        </w:rPr>
        <w:t>Managing our finances</w:t>
      </w:r>
      <w:r w:rsidRPr="00C25FBF">
        <w:rPr>
          <w:sz w:val="28"/>
          <w:szCs w:val="28"/>
        </w:rPr>
        <w:tab/>
      </w:r>
      <w:r w:rsidR="00FD6B57">
        <w:rPr>
          <w:sz w:val="28"/>
          <w:szCs w:val="28"/>
        </w:rPr>
        <w:t>117</w:t>
      </w:r>
    </w:p>
    <w:p w14:paraId="3D3493AB" w14:textId="77777777" w:rsidR="00AB6753" w:rsidRDefault="00AB6753" w:rsidP="00AB6753">
      <w:pPr>
        <w:rPr>
          <w:rFonts w:ascii="Georgia" w:hAnsi="Georgia"/>
          <w:b/>
          <w:color w:val="2C2A29"/>
          <w:sz w:val="28"/>
          <w:szCs w:val="28"/>
        </w:rPr>
        <w:sectPr w:rsidR="00AB6753" w:rsidSect="003C69D5">
          <w:pgSz w:w="11906" w:h="16838"/>
          <w:pgMar w:top="1440" w:right="1440" w:bottom="1440" w:left="1440" w:header="709" w:footer="709" w:gutter="0"/>
          <w:cols w:space="708"/>
          <w:docGrid w:linePitch="360"/>
        </w:sectPr>
      </w:pPr>
    </w:p>
    <w:p w14:paraId="47C00C43" w14:textId="77777777" w:rsidR="00AB6753" w:rsidRPr="00DC2644" w:rsidRDefault="00AB6753" w:rsidP="00AB6753">
      <w:pPr>
        <w:pStyle w:val="Heading5"/>
        <w:spacing w:after="200"/>
        <w:rPr>
          <w:b w:val="0"/>
          <w:color w:val="auto"/>
          <w:sz w:val="28"/>
        </w:rPr>
      </w:pPr>
      <w:r w:rsidRPr="00DC2644">
        <w:rPr>
          <w:b w:val="0"/>
          <w:color w:val="auto"/>
          <w:sz w:val="28"/>
        </w:rPr>
        <w:lastRenderedPageBreak/>
        <w:t>Chapter 4.</w:t>
      </w:r>
      <w:r>
        <w:rPr>
          <w:b w:val="0"/>
          <w:color w:val="auto"/>
          <w:sz w:val="28"/>
        </w:rPr>
        <w:t>1</w:t>
      </w:r>
    </w:p>
    <w:p w14:paraId="2DA3402E" w14:textId="77777777" w:rsidR="00AB6753" w:rsidRPr="00054A67" w:rsidRDefault="00AB6753" w:rsidP="00AB6753">
      <w:pPr>
        <w:pStyle w:val="Heading1"/>
        <w:spacing w:before="240" w:after="240"/>
        <w:rPr>
          <w:rFonts w:ascii="Georgia" w:hAnsi="Georgia"/>
          <w:b w:val="0"/>
          <w:color w:val="215868" w:themeColor="accent5" w:themeShade="80"/>
          <w:sz w:val="72"/>
        </w:rPr>
      </w:pPr>
      <w:r w:rsidRPr="00054A67">
        <w:rPr>
          <w:rFonts w:ascii="Georgia" w:hAnsi="Georgia"/>
          <w:b w:val="0"/>
          <w:color w:val="215868" w:themeColor="accent5" w:themeShade="80"/>
          <w:sz w:val="72"/>
        </w:rPr>
        <w:t>Governance structure</w:t>
      </w:r>
    </w:p>
    <w:p w14:paraId="6AE1F661" w14:textId="77777777" w:rsidR="00AB6753" w:rsidRPr="007E68AA" w:rsidRDefault="00AB6753" w:rsidP="00AB6753">
      <w:pPr>
        <w:pStyle w:val="Heading4"/>
        <w:spacing w:after="200"/>
        <w:rPr>
          <w:rFonts w:ascii="Georgia" w:hAnsi="Georgia"/>
          <w:b w:val="0"/>
          <w:i w:val="0"/>
          <w:sz w:val="36"/>
        </w:rPr>
      </w:pPr>
      <w:r w:rsidRPr="007E68AA">
        <w:rPr>
          <w:rFonts w:ascii="Georgia" w:hAnsi="Georgia"/>
          <w:b w:val="0"/>
          <w:i w:val="0"/>
          <w:sz w:val="36"/>
        </w:rPr>
        <w:t>Committees supporting our business</w:t>
      </w:r>
    </w:p>
    <w:p w14:paraId="79B5E6FD" w14:textId="77777777" w:rsidR="00AB6753" w:rsidRPr="00C16760" w:rsidRDefault="00AB6753" w:rsidP="00AB6753">
      <w:pPr>
        <w:spacing w:after="0" w:line="240" w:lineRule="auto"/>
        <w:rPr>
          <w:i/>
          <w:sz w:val="26"/>
          <w:szCs w:val="26"/>
        </w:rPr>
      </w:pPr>
      <w:r w:rsidRPr="00C16760">
        <w:rPr>
          <w:b/>
          <w:sz w:val="26"/>
          <w:szCs w:val="26"/>
        </w:rPr>
        <w:t>Committees reporting to the Secretary</w:t>
      </w:r>
    </w:p>
    <w:p w14:paraId="526B6C93"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At 30 June 2020, our governance committee structure included the Executive Management Group and </w:t>
      </w:r>
      <w:r>
        <w:rPr>
          <w:sz w:val="20"/>
          <w:szCs w:val="20"/>
        </w:rPr>
        <w:t>four</w:t>
      </w:r>
      <w:r w:rsidRPr="003A570D">
        <w:rPr>
          <w:sz w:val="20"/>
          <w:szCs w:val="20"/>
        </w:rPr>
        <w:t xml:space="preserve"> supporting committees that provided advice and assurance to the Secretary on the administration and operation of the department.</w:t>
      </w:r>
    </w:p>
    <w:p w14:paraId="7E311632" w14:textId="77777777" w:rsidR="00AB6753" w:rsidRPr="00054A67" w:rsidRDefault="00AB6753" w:rsidP="00AB6753">
      <w:pPr>
        <w:spacing w:after="0" w:line="240" w:lineRule="auto"/>
        <w:rPr>
          <w:b/>
          <w:i/>
          <w:color w:val="215868" w:themeColor="accent5" w:themeShade="80"/>
          <w:sz w:val="24"/>
          <w:szCs w:val="24"/>
        </w:rPr>
      </w:pPr>
      <w:r w:rsidRPr="00054A67">
        <w:rPr>
          <w:b/>
          <w:color w:val="215868" w:themeColor="accent5" w:themeShade="80"/>
          <w:sz w:val="24"/>
          <w:szCs w:val="24"/>
        </w:rPr>
        <w:t xml:space="preserve">Executive Management Group </w:t>
      </w:r>
    </w:p>
    <w:p w14:paraId="3C2D715A"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The Executive Management Group is our most senior governance committee. This group comprises the Secretary as Chair and </w:t>
      </w:r>
      <w:r>
        <w:rPr>
          <w:sz w:val="20"/>
          <w:szCs w:val="20"/>
        </w:rPr>
        <w:t>d</w:t>
      </w:r>
      <w:r w:rsidRPr="003A570D">
        <w:rPr>
          <w:sz w:val="20"/>
          <w:szCs w:val="20"/>
        </w:rPr>
        <w:t xml:space="preserve">eputy </w:t>
      </w:r>
      <w:r>
        <w:rPr>
          <w:sz w:val="20"/>
          <w:szCs w:val="20"/>
        </w:rPr>
        <w:t>s</w:t>
      </w:r>
      <w:r w:rsidRPr="003A570D">
        <w:rPr>
          <w:sz w:val="20"/>
          <w:szCs w:val="20"/>
        </w:rPr>
        <w:t xml:space="preserve">ecretaries as members. It provides the department with guidance on overall strategic </w:t>
      </w:r>
      <w:r w:rsidRPr="00C65959">
        <w:rPr>
          <w:sz w:val="20"/>
          <w:szCs w:val="20"/>
        </w:rPr>
        <w:t>direction</w:t>
      </w:r>
      <w:r w:rsidRPr="003A570D">
        <w:rPr>
          <w:sz w:val="20"/>
          <w:szCs w:val="20"/>
        </w:rPr>
        <w:t>, priorities, management</w:t>
      </w:r>
      <w:r>
        <w:rPr>
          <w:sz w:val="20"/>
          <w:szCs w:val="20"/>
        </w:rPr>
        <w:t>,</w:t>
      </w:r>
      <w:r w:rsidRPr="003A570D">
        <w:rPr>
          <w:sz w:val="20"/>
          <w:szCs w:val="20"/>
        </w:rPr>
        <w:t xml:space="preserve"> and performance; and oversees our financial position by allocating resources, monitoring performance and risks, as well as ensuring our accountability and regulatory requirements are met.</w:t>
      </w:r>
    </w:p>
    <w:p w14:paraId="366266D5" w14:textId="77777777" w:rsidR="00AB6753" w:rsidRPr="00054A67" w:rsidRDefault="00AB6753" w:rsidP="00AB6753">
      <w:pPr>
        <w:spacing w:after="0" w:line="240" w:lineRule="auto"/>
        <w:rPr>
          <w:b/>
          <w:i/>
          <w:color w:val="215868" w:themeColor="accent5" w:themeShade="80"/>
          <w:sz w:val="24"/>
          <w:szCs w:val="24"/>
        </w:rPr>
      </w:pPr>
      <w:r w:rsidRPr="00054A67">
        <w:rPr>
          <w:b/>
          <w:color w:val="215868" w:themeColor="accent5" w:themeShade="80"/>
          <w:sz w:val="24"/>
          <w:szCs w:val="24"/>
        </w:rPr>
        <w:t>Audit and Assurance Committee</w:t>
      </w:r>
    </w:p>
    <w:p w14:paraId="780FCABF" w14:textId="01F37D32" w:rsidR="00AB6753"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This committee provides independent assurance and advice to the Secretary on financial and performance reporting responsibilities, risk oversight and management, and our system of internal control. The </w:t>
      </w:r>
      <w:r w:rsidRPr="00C1729F">
        <w:rPr>
          <w:sz w:val="20"/>
          <w:szCs w:val="20"/>
        </w:rPr>
        <w:t>Audit and Assurance Committee Charter</w:t>
      </w:r>
      <w:r w:rsidRPr="003A570D">
        <w:rPr>
          <w:sz w:val="20"/>
          <w:szCs w:val="20"/>
        </w:rPr>
        <w:t xml:space="preserve"> </w:t>
      </w:r>
      <w:r>
        <w:rPr>
          <w:sz w:val="20"/>
          <w:szCs w:val="20"/>
        </w:rPr>
        <w:t>provides</w:t>
      </w:r>
      <w:r w:rsidRPr="003A570D">
        <w:rPr>
          <w:sz w:val="20"/>
          <w:szCs w:val="20"/>
        </w:rPr>
        <w:t xml:space="preserve"> further information. This committee has an independent Chair, three external experts and three internal members appointed by the Secretary.</w:t>
      </w:r>
      <w:r w:rsidR="00F111F2">
        <w:rPr>
          <w:sz w:val="20"/>
          <w:szCs w:val="20"/>
        </w:rPr>
        <w:br/>
      </w:r>
      <w:r w:rsidRPr="003A570D">
        <w:rPr>
          <w:sz w:val="20"/>
          <w:szCs w:val="20"/>
        </w:rPr>
        <w:t xml:space="preserve">It meets up to six times a year. </w:t>
      </w:r>
    </w:p>
    <w:p w14:paraId="10E20BA2" w14:textId="77777777" w:rsidR="00AB6753" w:rsidRDefault="00AB6753" w:rsidP="00AB6753">
      <w:pPr>
        <w:rPr>
          <w:sz w:val="20"/>
          <w:szCs w:val="20"/>
        </w:rPr>
      </w:pPr>
      <w:r>
        <w:rPr>
          <w:sz w:val="20"/>
          <w:szCs w:val="20"/>
        </w:rPr>
        <w:t>For further information on the Audit and Assurance Committee Charter, go to dss.gov.au</w:t>
      </w:r>
      <w:r>
        <w:rPr>
          <w:sz w:val="20"/>
          <w:szCs w:val="20"/>
        </w:rPr>
        <w:br w:type="page"/>
      </w:r>
    </w:p>
    <w:p w14:paraId="4AE4FE46" w14:textId="77777777" w:rsidR="00AB6753" w:rsidRPr="00CF2BA9" w:rsidRDefault="00AB6753" w:rsidP="00AB6753">
      <w:pPr>
        <w:pStyle w:val="Heading3"/>
        <w:spacing w:before="0" w:line="240" w:lineRule="auto"/>
        <w:rPr>
          <w:rFonts w:ascii="Arial Narrow" w:eastAsiaTheme="minorHAnsi" w:hAnsi="Arial Narrow" w:cs="Arial"/>
          <w:sz w:val="20"/>
          <w:szCs w:val="20"/>
        </w:rPr>
      </w:pPr>
      <w:bookmarkStart w:id="42" w:name="_Toc41039738"/>
      <w:r w:rsidRPr="00A526BE">
        <w:rPr>
          <w:rFonts w:ascii="Arial Narrow" w:hAnsi="Arial Narrow" w:cs="Arial"/>
          <w:sz w:val="20"/>
          <w:szCs w:val="20"/>
        </w:rPr>
        <w:lastRenderedPageBreak/>
        <w:t>Figure 4.1.1 PGPA</w:t>
      </w:r>
      <w:r w:rsidRPr="00A526BE">
        <w:rPr>
          <w:rFonts w:ascii="Arial Narrow" w:eastAsiaTheme="minorHAnsi" w:hAnsi="Arial Narrow" w:cs="Arial"/>
          <w:sz w:val="20"/>
          <w:szCs w:val="20"/>
        </w:rPr>
        <w:t xml:space="preserve"> Rule Section 17AG (2A)(b)-(e) – Audit and Assurance Committee</w:t>
      </w:r>
      <w:bookmarkEnd w:id="42"/>
    </w:p>
    <w:p w14:paraId="4DFB94A7" w14:textId="77777777" w:rsidR="00AB6753" w:rsidRPr="005F1171" w:rsidRDefault="00AB6753" w:rsidP="00AB6753">
      <w:pPr>
        <w:rPr>
          <w:i/>
          <w:color w:val="548DD4" w:themeColor="text2" w:themeTint="99"/>
          <w:sz w:val="20"/>
          <w:szCs w:val="20"/>
        </w:rPr>
      </w:pPr>
    </w:p>
    <w:tbl>
      <w:tblPr>
        <w:tblStyle w:val="GridTable4-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gure 4.1.1 PGPA Rule Section 17AG (2A)(b)-(e) Audit and Assurance Committee"/>
        <w:tblDescription w:val="This table provides the name of the Audit and Assurance Committee members, qualifications, skills and experience, number of meeting attended and total annual remuneration received during the year."/>
      </w:tblPr>
      <w:tblGrid>
        <w:gridCol w:w="1985"/>
        <w:gridCol w:w="5301"/>
        <w:gridCol w:w="1645"/>
        <w:gridCol w:w="1274"/>
      </w:tblGrid>
      <w:tr w:rsidR="00AB6753" w:rsidRPr="006232D4" w14:paraId="3AC40B84" w14:textId="77777777" w:rsidTr="002D1EA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00B0B9"/>
            <w:noWrap/>
            <w:hideMark/>
          </w:tcPr>
          <w:p w14:paraId="4782A09C" w14:textId="77777777" w:rsidR="00AB6753" w:rsidRPr="006232D4" w:rsidRDefault="00AB6753" w:rsidP="002D1EA4">
            <w:pPr>
              <w:spacing w:before="60" w:after="60"/>
              <w:rPr>
                <w:rFonts w:asciiTheme="minorHAnsi" w:eastAsia="Times New Roman" w:hAnsiTheme="minorHAnsi" w:cstheme="minorHAnsi"/>
                <w:b w:val="0"/>
                <w:color w:val="000000"/>
                <w:sz w:val="18"/>
                <w:szCs w:val="18"/>
                <w:lang w:eastAsia="en-AU"/>
              </w:rPr>
            </w:pPr>
            <w:r w:rsidRPr="006232D4">
              <w:rPr>
                <w:rFonts w:asciiTheme="minorHAnsi" w:eastAsia="Times New Roman" w:hAnsiTheme="minorHAnsi" w:cstheme="minorHAnsi"/>
                <w:color w:val="000000"/>
                <w:sz w:val="18"/>
                <w:szCs w:val="18"/>
                <w:lang w:eastAsia="en-AU"/>
              </w:rPr>
              <w:t>Member name</w:t>
            </w:r>
          </w:p>
        </w:tc>
        <w:tc>
          <w:tcPr>
            <w:tcW w:w="5301" w:type="dxa"/>
            <w:tcBorders>
              <w:top w:val="none" w:sz="0" w:space="0" w:color="auto"/>
              <w:left w:val="none" w:sz="0" w:space="0" w:color="auto"/>
              <w:bottom w:val="none" w:sz="0" w:space="0" w:color="auto"/>
              <w:right w:val="none" w:sz="0" w:space="0" w:color="auto"/>
            </w:tcBorders>
            <w:shd w:val="clear" w:color="auto" w:fill="00B0B9"/>
            <w:hideMark/>
          </w:tcPr>
          <w:p w14:paraId="7958679F" w14:textId="77777777" w:rsidR="00AB6753" w:rsidRPr="006232D4" w:rsidRDefault="00AB6753" w:rsidP="002D1EA4">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eastAsia="en-AU"/>
              </w:rPr>
            </w:pPr>
            <w:r w:rsidRPr="006232D4">
              <w:rPr>
                <w:rFonts w:asciiTheme="minorHAnsi" w:eastAsia="Times New Roman" w:hAnsiTheme="minorHAnsi" w:cstheme="minorHAnsi"/>
                <w:color w:val="000000"/>
                <w:sz w:val="18"/>
                <w:szCs w:val="18"/>
                <w:lang w:eastAsia="en-AU"/>
              </w:rPr>
              <w:t>Qualifications, knowledge, skills or experience (include formal and informal as relevant)</w:t>
            </w:r>
          </w:p>
        </w:tc>
        <w:tc>
          <w:tcPr>
            <w:tcW w:w="1645" w:type="dxa"/>
            <w:tcBorders>
              <w:top w:val="none" w:sz="0" w:space="0" w:color="auto"/>
              <w:left w:val="none" w:sz="0" w:space="0" w:color="auto"/>
              <w:bottom w:val="none" w:sz="0" w:space="0" w:color="auto"/>
              <w:right w:val="none" w:sz="0" w:space="0" w:color="auto"/>
            </w:tcBorders>
            <w:shd w:val="clear" w:color="auto" w:fill="00B0B9"/>
            <w:hideMark/>
          </w:tcPr>
          <w:p w14:paraId="4F8C2EA1" w14:textId="77777777" w:rsidR="00AB6753" w:rsidRPr="006232D4" w:rsidRDefault="00AB6753" w:rsidP="002D1EA4">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eastAsia="en-AU"/>
              </w:rPr>
            </w:pPr>
            <w:r w:rsidRPr="006232D4">
              <w:rPr>
                <w:rFonts w:asciiTheme="minorHAnsi" w:eastAsia="Times New Roman" w:hAnsiTheme="minorHAnsi" w:cstheme="minorHAnsi"/>
                <w:color w:val="000000"/>
                <w:sz w:val="18"/>
                <w:szCs w:val="18"/>
                <w:lang w:eastAsia="en-AU"/>
              </w:rPr>
              <w:t xml:space="preserve">Number of meetings attended / total number of meetings </w:t>
            </w:r>
          </w:p>
        </w:tc>
        <w:tc>
          <w:tcPr>
            <w:tcW w:w="1274" w:type="dxa"/>
            <w:tcBorders>
              <w:top w:val="none" w:sz="0" w:space="0" w:color="auto"/>
              <w:left w:val="none" w:sz="0" w:space="0" w:color="auto"/>
              <w:bottom w:val="none" w:sz="0" w:space="0" w:color="auto"/>
              <w:right w:val="none" w:sz="0" w:space="0" w:color="auto"/>
            </w:tcBorders>
            <w:shd w:val="clear" w:color="auto" w:fill="00B0B9"/>
            <w:hideMark/>
          </w:tcPr>
          <w:p w14:paraId="4FE5B7AB" w14:textId="77777777" w:rsidR="00AB6753" w:rsidRPr="006232D4" w:rsidRDefault="00AB6753" w:rsidP="002D1EA4">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eastAsia="en-AU"/>
              </w:rPr>
            </w:pPr>
            <w:r w:rsidRPr="006232D4">
              <w:rPr>
                <w:rFonts w:asciiTheme="minorHAnsi" w:eastAsia="Times New Roman" w:hAnsiTheme="minorHAnsi" w:cstheme="minorHAnsi"/>
                <w:color w:val="000000"/>
                <w:sz w:val="18"/>
                <w:szCs w:val="18"/>
                <w:lang w:eastAsia="en-AU"/>
              </w:rPr>
              <w:t xml:space="preserve">Total annual remuneration </w:t>
            </w:r>
          </w:p>
        </w:tc>
      </w:tr>
      <w:tr w:rsidR="00AB6753" w:rsidRPr="006232D4" w14:paraId="67C06BE4" w14:textId="77777777" w:rsidTr="002D1EA4">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985" w:type="dxa"/>
            <w:shd w:val="clear" w:color="auto" w:fill="B1E4E3"/>
            <w:noWrap/>
            <w:hideMark/>
          </w:tcPr>
          <w:p w14:paraId="0DFA8C1E" w14:textId="77777777" w:rsidR="00AB6753" w:rsidRPr="006232D4" w:rsidRDefault="00AB6753" w:rsidP="002D1EA4">
            <w:pPr>
              <w:spacing w:before="60" w:after="6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Mr Nick Baker</w:t>
            </w:r>
          </w:p>
        </w:tc>
        <w:tc>
          <w:tcPr>
            <w:tcW w:w="5301" w:type="dxa"/>
            <w:shd w:val="clear" w:color="auto" w:fill="B1E4E3"/>
            <w:noWrap/>
            <w:hideMark/>
          </w:tcPr>
          <w:p w14:paraId="5FDE011C"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32D4">
              <w:rPr>
                <w:rFonts w:asciiTheme="minorHAnsi" w:hAnsiTheme="minorHAnsi" w:cstheme="minorHAnsi"/>
                <w:sz w:val="18"/>
                <w:szCs w:val="18"/>
              </w:rPr>
              <w:t>Bachelor of Arts in Computing Studies</w:t>
            </w:r>
          </w:p>
          <w:p w14:paraId="62DD8170"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32D4">
              <w:rPr>
                <w:rFonts w:asciiTheme="minorHAnsi" w:hAnsiTheme="minorHAnsi" w:cstheme="minorHAnsi"/>
                <w:sz w:val="18"/>
                <w:szCs w:val="18"/>
              </w:rPr>
              <w:t>Graduate Diploma in Professional Accounting</w:t>
            </w:r>
          </w:p>
          <w:p w14:paraId="66BB7F99"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32D4">
              <w:rPr>
                <w:rFonts w:asciiTheme="minorHAnsi" w:hAnsiTheme="minorHAnsi" w:cstheme="minorHAnsi"/>
                <w:sz w:val="18"/>
                <w:szCs w:val="18"/>
              </w:rPr>
              <w:t>Certificate IV Commonwealth Fraud Investigations</w:t>
            </w:r>
          </w:p>
          <w:p w14:paraId="421B0F96"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232D4">
              <w:rPr>
                <w:rFonts w:asciiTheme="minorHAnsi" w:hAnsiTheme="minorHAnsi" w:cstheme="minorHAnsi"/>
                <w:sz w:val="18"/>
                <w:szCs w:val="18"/>
              </w:rPr>
              <w:t xml:space="preserve">Fellow Certified Practising Accountant Australia </w:t>
            </w:r>
          </w:p>
          <w:p w14:paraId="2331C2C3"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hAnsiTheme="minorHAnsi" w:cstheme="minorHAnsi"/>
                <w:sz w:val="18"/>
                <w:szCs w:val="18"/>
              </w:rPr>
              <w:t>Member Australian Computer Society</w:t>
            </w:r>
            <w:r w:rsidRPr="006232D4">
              <w:rPr>
                <w:rFonts w:asciiTheme="minorHAnsi" w:eastAsia="Times New Roman" w:hAnsiTheme="minorHAnsi" w:cstheme="minorHAnsi"/>
                <w:color w:val="000000"/>
                <w:sz w:val="18"/>
                <w:szCs w:val="18"/>
                <w:lang w:eastAsia="en-AU"/>
              </w:rPr>
              <w:t xml:space="preserve"> </w:t>
            </w:r>
          </w:p>
        </w:tc>
        <w:tc>
          <w:tcPr>
            <w:tcW w:w="1645" w:type="dxa"/>
            <w:shd w:val="clear" w:color="auto" w:fill="B1E4E3"/>
            <w:noWrap/>
            <w:hideMark/>
          </w:tcPr>
          <w:p w14:paraId="47098171"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Six of six</w:t>
            </w:r>
          </w:p>
        </w:tc>
        <w:tc>
          <w:tcPr>
            <w:tcW w:w="1274" w:type="dxa"/>
            <w:shd w:val="clear" w:color="auto" w:fill="B1E4E3"/>
            <w:noWrap/>
            <w:hideMark/>
          </w:tcPr>
          <w:p w14:paraId="52B79448"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$30,134</w:t>
            </w:r>
          </w:p>
        </w:tc>
      </w:tr>
      <w:tr w:rsidR="00AB6753" w:rsidRPr="006232D4" w14:paraId="2243AD51" w14:textId="77777777" w:rsidTr="002D1EA4">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BF7EC95" w14:textId="77777777" w:rsidR="00AB6753" w:rsidRPr="006232D4" w:rsidRDefault="00AB6753" w:rsidP="002D1EA4">
            <w:pPr>
              <w:spacing w:before="60" w:after="6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Ms Jenny Morrison</w:t>
            </w:r>
          </w:p>
        </w:tc>
        <w:tc>
          <w:tcPr>
            <w:tcW w:w="5301" w:type="dxa"/>
            <w:noWrap/>
            <w:hideMark/>
          </w:tcPr>
          <w:p w14:paraId="513BF967"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32D4">
              <w:rPr>
                <w:rFonts w:asciiTheme="minorHAnsi" w:hAnsiTheme="minorHAnsi" w:cstheme="minorHAnsi"/>
                <w:sz w:val="18"/>
                <w:szCs w:val="18"/>
              </w:rPr>
              <w:t>Bachelor of Economics</w:t>
            </w:r>
          </w:p>
          <w:p w14:paraId="04DBC621"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32D4">
              <w:rPr>
                <w:rFonts w:asciiTheme="minorHAnsi" w:hAnsiTheme="minorHAnsi" w:cstheme="minorHAnsi"/>
                <w:sz w:val="18"/>
                <w:szCs w:val="18"/>
              </w:rPr>
              <w:t>Fellow - Chartered Accountants Australia and New Zealand</w:t>
            </w:r>
          </w:p>
          <w:p w14:paraId="7E4C8E11"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32D4">
              <w:rPr>
                <w:rFonts w:asciiTheme="minorHAnsi" w:hAnsiTheme="minorHAnsi" w:cstheme="minorHAnsi"/>
                <w:sz w:val="18"/>
                <w:szCs w:val="18"/>
              </w:rPr>
              <w:t>Fellow the Australian Institute of Management</w:t>
            </w:r>
          </w:p>
          <w:p w14:paraId="59F31736"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232D4">
              <w:rPr>
                <w:rFonts w:asciiTheme="minorHAnsi" w:hAnsiTheme="minorHAnsi" w:cstheme="minorHAnsi"/>
                <w:sz w:val="18"/>
                <w:szCs w:val="18"/>
              </w:rPr>
              <w:t>Specialist in government financial reforms, governance and consulting</w:t>
            </w:r>
          </w:p>
          <w:p w14:paraId="5DCE6854"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hAnsiTheme="minorHAnsi" w:cstheme="minorHAnsi"/>
                <w:sz w:val="18"/>
                <w:szCs w:val="18"/>
              </w:rPr>
              <w:t>Independent member and chair of Commonwealth audit and risk committees and financial statement sub-committees for large and small government entities</w:t>
            </w:r>
          </w:p>
        </w:tc>
        <w:tc>
          <w:tcPr>
            <w:tcW w:w="1645" w:type="dxa"/>
            <w:noWrap/>
            <w:hideMark/>
          </w:tcPr>
          <w:p w14:paraId="52854611"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 xml:space="preserve">Five of six </w:t>
            </w:r>
          </w:p>
        </w:tc>
        <w:tc>
          <w:tcPr>
            <w:tcW w:w="1274" w:type="dxa"/>
            <w:noWrap/>
            <w:hideMark/>
          </w:tcPr>
          <w:p w14:paraId="5DDDD510"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$18,316</w:t>
            </w:r>
          </w:p>
        </w:tc>
      </w:tr>
      <w:tr w:rsidR="00AB6753" w:rsidRPr="006232D4" w14:paraId="27E90C1C" w14:textId="77777777" w:rsidTr="002D1E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shd w:val="clear" w:color="auto" w:fill="B1E4E3"/>
            <w:noWrap/>
          </w:tcPr>
          <w:p w14:paraId="195CC27D" w14:textId="77777777" w:rsidR="00AB6753" w:rsidRPr="006232D4" w:rsidRDefault="00AB6753" w:rsidP="002D1EA4">
            <w:pPr>
              <w:spacing w:before="60" w:after="6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Mr Ian McPhee</w:t>
            </w:r>
          </w:p>
        </w:tc>
        <w:tc>
          <w:tcPr>
            <w:tcW w:w="5301" w:type="dxa"/>
            <w:shd w:val="clear" w:color="auto" w:fill="B1E4E3"/>
            <w:noWrap/>
          </w:tcPr>
          <w:p w14:paraId="169DE285" w14:textId="77777777" w:rsidR="00AB6753" w:rsidRPr="00A526BE"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A526BE">
              <w:rPr>
                <w:rFonts w:asciiTheme="minorHAnsi" w:eastAsia="Times New Roman" w:hAnsiTheme="minorHAnsi" w:cstheme="minorHAnsi"/>
                <w:color w:val="000000"/>
                <w:sz w:val="18"/>
                <w:szCs w:val="18"/>
                <w:lang w:eastAsia="en-AU"/>
              </w:rPr>
              <w:t>Bachelor of Business </w:t>
            </w:r>
            <w:r w:rsidRPr="008B63B2">
              <w:rPr>
                <w:rFonts w:asciiTheme="minorHAnsi" w:eastAsia="Times New Roman" w:hAnsiTheme="minorHAnsi" w:cstheme="minorHAnsi"/>
                <w:color w:val="000000"/>
                <w:sz w:val="18"/>
                <w:szCs w:val="18"/>
                <w:lang w:eastAsia="en-AU"/>
              </w:rPr>
              <w:br/>
              <w:t>Bachelor of Arts </w:t>
            </w:r>
            <w:r w:rsidRPr="00A526BE">
              <w:rPr>
                <w:rFonts w:asciiTheme="minorHAnsi" w:eastAsia="Times New Roman" w:hAnsiTheme="minorHAnsi" w:cstheme="minorHAnsi"/>
                <w:color w:val="000000"/>
                <w:sz w:val="18"/>
                <w:szCs w:val="18"/>
                <w:lang w:eastAsia="en-AU"/>
              </w:rPr>
              <w:br/>
              <w:t>Financial management and budget ex</w:t>
            </w:r>
            <w:r w:rsidRPr="008B63B2">
              <w:rPr>
                <w:rFonts w:asciiTheme="minorHAnsi" w:eastAsia="Times New Roman" w:hAnsiTheme="minorHAnsi" w:cstheme="minorHAnsi"/>
                <w:color w:val="000000"/>
                <w:sz w:val="18"/>
                <w:szCs w:val="18"/>
                <w:lang w:eastAsia="en-AU"/>
              </w:rPr>
              <w:t>perience, Department of Finance</w:t>
            </w:r>
            <w:r w:rsidRPr="00A526BE">
              <w:rPr>
                <w:rFonts w:asciiTheme="minorHAnsi" w:eastAsia="Times New Roman" w:hAnsiTheme="minorHAnsi" w:cstheme="minorHAnsi"/>
                <w:color w:val="000000"/>
                <w:sz w:val="18"/>
                <w:szCs w:val="18"/>
                <w:lang w:eastAsia="en-AU"/>
              </w:rPr>
              <w:br/>
              <w:t>Fellow of Chartered Accountants Australia and New Zealand</w:t>
            </w:r>
          </w:p>
          <w:p w14:paraId="4207C921" w14:textId="77777777" w:rsidR="00AB6753" w:rsidRPr="00A526BE"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A526BE">
              <w:rPr>
                <w:rFonts w:asciiTheme="minorHAnsi" w:eastAsia="Times New Roman" w:hAnsiTheme="minorHAnsi" w:cstheme="minorHAnsi"/>
                <w:color w:val="000000"/>
                <w:sz w:val="18"/>
                <w:szCs w:val="18"/>
                <w:lang w:eastAsia="en-AU"/>
              </w:rPr>
              <w:t>Fellow CPA Australia, and the Institute of Public Administration Australia</w:t>
            </w:r>
          </w:p>
          <w:p w14:paraId="3FBBD566"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A526BE">
              <w:rPr>
                <w:rFonts w:asciiTheme="minorHAnsi" w:eastAsia="Times New Roman" w:hAnsiTheme="minorHAnsi" w:cstheme="minorHAnsi"/>
                <w:color w:val="000000"/>
                <w:sz w:val="18"/>
                <w:szCs w:val="18"/>
                <w:lang w:eastAsia="en-AU"/>
              </w:rPr>
              <w:t>Financial statement and performance audit experience with Australian National Audit Office</w:t>
            </w:r>
          </w:p>
        </w:tc>
        <w:tc>
          <w:tcPr>
            <w:tcW w:w="1645" w:type="dxa"/>
            <w:shd w:val="clear" w:color="auto" w:fill="B1E4E3"/>
            <w:noWrap/>
          </w:tcPr>
          <w:p w14:paraId="23F67ECD"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Six of six</w:t>
            </w:r>
          </w:p>
        </w:tc>
        <w:tc>
          <w:tcPr>
            <w:tcW w:w="1274" w:type="dxa"/>
            <w:shd w:val="clear" w:color="auto" w:fill="B1E4E3"/>
            <w:noWrap/>
          </w:tcPr>
          <w:p w14:paraId="426B42A8"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$25,210</w:t>
            </w:r>
          </w:p>
        </w:tc>
      </w:tr>
      <w:tr w:rsidR="00AB6753" w:rsidRPr="006232D4" w14:paraId="2901632B" w14:textId="77777777" w:rsidTr="002D1EA4">
        <w:trPr>
          <w:trHeight w:val="300"/>
        </w:trPr>
        <w:tc>
          <w:tcPr>
            <w:cnfStyle w:val="001000000000" w:firstRow="0" w:lastRow="0" w:firstColumn="1" w:lastColumn="0" w:oddVBand="0" w:evenVBand="0" w:oddHBand="0" w:evenHBand="0" w:firstRowFirstColumn="0" w:firstRowLastColumn="0" w:lastRowFirstColumn="0" w:lastRowLastColumn="0"/>
            <w:tcW w:w="1985" w:type="dxa"/>
            <w:noWrap/>
          </w:tcPr>
          <w:p w14:paraId="32826949" w14:textId="77777777" w:rsidR="00AB6753" w:rsidRPr="006232D4" w:rsidRDefault="00AB6753" w:rsidP="002D1EA4">
            <w:pPr>
              <w:spacing w:before="60" w:after="6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Ms Susan Page</w:t>
            </w:r>
          </w:p>
        </w:tc>
        <w:tc>
          <w:tcPr>
            <w:tcW w:w="5301" w:type="dxa"/>
            <w:noWrap/>
          </w:tcPr>
          <w:p w14:paraId="500DEA90"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Former Deputy Secretary for the Department of Infrastructure and the Department of Finance</w:t>
            </w:r>
          </w:p>
          <w:p w14:paraId="40EC765F"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 xml:space="preserve">Five years’ experience with Audit and Assurance Committees </w:t>
            </w:r>
          </w:p>
          <w:p w14:paraId="4A85EF1B"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Member Department of Infrastructure, Transport, Regional Development and Communications Audit and Assurance Committee</w:t>
            </w:r>
          </w:p>
        </w:tc>
        <w:tc>
          <w:tcPr>
            <w:tcW w:w="1645" w:type="dxa"/>
            <w:noWrap/>
          </w:tcPr>
          <w:p w14:paraId="0F32BB6C"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Six of six</w:t>
            </w:r>
          </w:p>
        </w:tc>
        <w:tc>
          <w:tcPr>
            <w:tcW w:w="1274" w:type="dxa"/>
            <w:noWrap/>
          </w:tcPr>
          <w:p w14:paraId="284CE531"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$23,580</w:t>
            </w:r>
          </w:p>
        </w:tc>
      </w:tr>
      <w:tr w:rsidR="00AB6753" w:rsidRPr="006232D4" w14:paraId="47EB9B53" w14:textId="77777777" w:rsidTr="002D1E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shd w:val="clear" w:color="auto" w:fill="B1E4E3"/>
            <w:noWrap/>
          </w:tcPr>
          <w:p w14:paraId="35461E58" w14:textId="77777777" w:rsidR="00AB6753" w:rsidRPr="006232D4" w:rsidRDefault="00AB6753" w:rsidP="002D1EA4">
            <w:pPr>
              <w:spacing w:before="60" w:after="6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Mr Michael Lye</w:t>
            </w:r>
          </w:p>
        </w:tc>
        <w:tc>
          <w:tcPr>
            <w:tcW w:w="5301" w:type="dxa"/>
            <w:shd w:val="clear" w:color="auto" w:fill="B1E4E3"/>
            <w:noWrap/>
          </w:tcPr>
          <w:p w14:paraId="5E06F8DF"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 xml:space="preserve">Bachelor of Arts (Psychology) </w:t>
            </w:r>
          </w:p>
          <w:p w14:paraId="4C867A39"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Master of Social Welfare Administration and Planning</w:t>
            </w:r>
          </w:p>
          <w:p w14:paraId="5E0BB62B"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Former Chief Operating Officer and Deputy Secretary for the Department of Social Services</w:t>
            </w:r>
          </w:p>
        </w:tc>
        <w:tc>
          <w:tcPr>
            <w:tcW w:w="1645" w:type="dxa"/>
            <w:shd w:val="clear" w:color="auto" w:fill="B1E4E3"/>
            <w:noWrap/>
          </w:tcPr>
          <w:p w14:paraId="02588B2F"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Two of three (ceased membership November 2019)</w:t>
            </w:r>
          </w:p>
        </w:tc>
        <w:tc>
          <w:tcPr>
            <w:tcW w:w="1274" w:type="dxa"/>
            <w:shd w:val="clear" w:color="auto" w:fill="B1E4E3"/>
            <w:noWrap/>
          </w:tcPr>
          <w:p w14:paraId="19E02B58"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$0</w:t>
            </w:r>
          </w:p>
        </w:tc>
      </w:tr>
      <w:tr w:rsidR="00AB6753" w:rsidRPr="006232D4" w14:paraId="5AB9C0A5" w14:textId="77777777" w:rsidTr="002D1EA4">
        <w:trPr>
          <w:trHeight w:val="300"/>
        </w:trPr>
        <w:tc>
          <w:tcPr>
            <w:cnfStyle w:val="001000000000" w:firstRow="0" w:lastRow="0" w:firstColumn="1" w:lastColumn="0" w:oddVBand="0" w:evenVBand="0" w:oddHBand="0" w:evenHBand="0" w:firstRowFirstColumn="0" w:firstRowLastColumn="0" w:lastRowFirstColumn="0" w:lastRowLastColumn="0"/>
            <w:tcW w:w="1985" w:type="dxa"/>
            <w:noWrap/>
          </w:tcPr>
          <w:p w14:paraId="34B28D27" w14:textId="77777777" w:rsidR="00AB6753" w:rsidRPr="006232D4" w:rsidRDefault="00AB6753" w:rsidP="002D1EA4">
            <w:pPr>
              <w:spacing w:before="60" w:after="6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 xml:space="preserve">Mr Matt </w:t>
            </w:r>
            <w:proofErr w:type="spellStart"/>
            <w:r w:rsidRPr="006232D4">
              <w:rPr>
                <w:rFonts w:asciiTheme="minorHAnsi" w:eastAsia="Times New Roman" w:hAnsiTheme="minorHAnsi" w:cstheme="minorHAnsi"/>
                <w:color w:val="000000"/>
                <w:sz w:val="18"/>
                <w:szCs w:val="18"/>
                <w:lang w:eastAsia="en-AU"/>
              </w:rPr>
              <w:t>Flavel</w:t>
            </w:r>
            <w:proofErr w:type="spellEnd"/>
          </w:p>
        </w:tc>
        <w:tc>
          <w:tcPr>
            <w:tcW w:w="5301" w:type="dxa"/>
            <w:noWrap/>
          </w:tcPr>
          <w:p w14:paraId="40DDEE61"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 xml:space="preserve">Master of Financial </w:t>
            </w:r>
            <w:r>
              <w:rPr>
                <w:rFonts w:asciiTheme="minorHAnsi" w:eastAsia="Times New Roman" w:hAnsiTheme="minorHAnsi" w:cstheme="minorHAnsi"/>
                <w:color w:val="000000"/>
                <w:sz w:val="18"/>
                <w:szCs w:val="18"/>
                <w:lang w:eastAsia="en-AU"/>
              </w:rPr>
              <w:t>M</w:t>
            </w:r>
            <w:r w:rsidRPr="006232D4">
              <w:rPr>
                <w:rFonts w:asciiTheme="minorHAnsi" w:eastAsia="Times New Roman" w:hAnsiTheme="minorHAnsi" w:cstheme="minorHAnsi"/>
                <w:color w:val="000000"/>
                <w:sz w:val="18"/>
                <w:szCs w:val="18"/>
                <w:lang w:eastAsia="en-AU"/>
              </w:rPr>
              <w:t>anagement</w:t>
            </w:r>
          </w:p>
          <w:p w14:paraId="1D0ED795"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Bachelor of Economics (Hon</w:t>
            </w:r>
            <w:r>
              <w:rPr>
                <w:rFonts w:asciiTheme="minorHAnsi" w:eastAsia="Times New Roman" w:hAnsiTheme="minorHAnsi" w:cstheme="minorHAnsi"/>
                <w:color w:val="000000"/>
                <w:sz w:val="18"/>
                <w:szCs w:val="18"/>
                <w:lang w:eastAsia="en-AU"/>
              </w:rPr>
              <w:t>s</w:t>
            </w:r>
            <w:r w:rsidRPr="006232D4">
              <w:rPr>
                <w:rFonts w:asciiTheme="minorHAnsi" w:eastAsia="Times New Roman" w:hAnsiTheme="minorHAnsi" w:cstheme="minorHAnsi"/>
                <w:color w:val="000000"/>
                <w:sz w:val="18"/>
                <w:szCs w:val="18"/>
                <w:lang w:eastAsia="en-AU"/>
              </w:rPr>
              <w:t>)</w:t>
            </w:r>
          </w:p>
          <w:p w14:paraId="5D712886"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Previous experience as</w:t>
            </w:r>
            <w:r>
              <w:rPr>
                <w:rFonts w:asciiTheme="minorHAnsi" w:eastAsia="Times New Roman" w:hAnsiTheme="minorHAnsi" w:cstheme="minorHAnsi"/>
                <w:color w:val="000000"/>
                <w:sz w:val="18"/>
                <w:szCs w:val="18"/>
                <w:lang w:eastAsia="en-AU"/>
              </w:rPr>
              <w:t xml:space="preserve"> a</w:t>
            </w:r>
            <w:r w:rsidRPr="006232D4">
              <w:rPr>
                <w:rFonts w:asciiTheme="minorHAnsi" w:eastAsia="Times New Roman" w:hAnsiTheme="minorHAnsi" w:cstheme="minorHAnsi"/>
                <w:color w:val="000000"/>
                <w:sz w:val="18"/>
                <w:szCs w:val="18"/>
                <w:lang w:eastAsia="en-AU"/>
              </w:rPr>
              <w:t xml:space="preserve"> Chief Operating Officer managing large complex budgets, audit, IT and security related issues</w:t>
            </w:r>
          </w:p>
        </w:tc>
        <w:tc>
          <w:tcPr>
            <w:tcW w:w="1645" w:type="dxa"/>
            <w:noWrap/>
          </w:tcPr>
          <w:p w14:paraId="592C7BC3"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Two of two (new member March 2020)</w:t>
            </w:r>
          </w:p>
        </w:tc>
        <w:tc>
          <w:tcPr>
            <w:tcW w:w="1274" w:type="dxa"/>
            <w:noWrap/>
          </w:tcPr>
          <w:p w14:paraId="1A94D4F0"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$0</w:t>
            </w:r>
          </w:p>
        </w:tc>
      </w:tr>
      <w:tr w:rsidR="00AB6753" w:rsidRPr="006232D4" w14:paraId="05C414FA" w14:textId="77777777" w:rsidTr="002D1E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shd w:val="clear" w:color="auto" w:fill="B1E4E3"/>
            <w:noWrap/>
          </w:tcPr>
          <w:p w14:paraId="23206265" w14:textId="77777777" w:rsidR="00AB6753" w:rsidRPr="006232D4" w:rsidRDefault="00AB6753" w:rsidP="002D1EA4">
            <w:pPr>
              <w:spacing w:before="60" w:after="6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 xml:space="preserve">Ms Flora </w:t>
            </w:r>
            <w:proofErr w:type="spellStart"/>
            <w:r w:rsidRPr="006232D4">
              <w:rPr>
                <w:rFonts w:asciiTheme="minorHAnsi" w:eastAsia="Times New Roman" w:hAnsiTheme="minorHAnsi" w:cstheme="minorHAnsi"/>
                <w:color w:val="000000"/>
                <w:sz w:val="18"/>
                <w:szCs w:val="18"/>
                <w:lang w:eastAsia="en-AU"/>
              </w:rPr>
              <w:t>Carapellucci</w:t>
            </w:r>
            <w:proofErr w:type="spellEnd"/>
          </w:p>
        </w:tc>
        <w:tc>
          <w:tcPr>
            <w:tcW w:w="5301" w:type="dxa"/>
            <w:shd w:val="clear" w:color="auto" w:fill="B1E4E3"/>
            <w:noWrap/>
          </w:tcPr>
          <w:p w14:paraId="2C6B781C"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 xml:space="preserve">Graduate </w:t>
            </w:r>
            <w:r>
              <w:rPr>
                <w:rFonts w:asciiTheme="minorHAnsi" w:eastAsia="Times New Roman" w:hAnsiTheme="minorHAnsi" w:cstheme="minorHAnsi"/>
                <w:color w:val="000000"/>
                <w:sz w:val="18"/>
                <w:szCs w:val="18"/>
                <w:lang w:eastAsia="en-AU"/>
              </w:rPr>
              <w:t xml:space="preserve">and member </w:t>
            </w:r>
            <w:r w:rsidRPr="006232D4">
              <w:rPr>
                <w:rFonts w:asciiTheme="minorHAnsi" w:eastAsia="Times New Roman" w:hAnsiTheme="minorHAnsi" w:cstheme="minorHAnsi"/>
                <w:color w:val="000000"/>
                <w:sz w:val="18"/>
                <w:szCs w:val="18"/>
                <w:lang w:eastAsia="en-AU"/>
              </w:rPr>
              <w:t>of the Australian Institute of Company Directors</w:t>
            </w:r>
          </w:p>
          <w:p w14:paraId="31EBA596"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Master of Public Policy</w:t>
            </w:r>
          </w:p>
          <w:p w14:paraId="383C360C"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hAnsiTheme="minorHAnsi" w:cstheme="minorHAnsi"/>
                <w:sz w:val="18"/>
                <w:szCs w:val="18"/>
              </w:rPr>
              <w:t xml:space="preserve">Special appropriations management and administered budgets </w:t>
            </w:r>
          </w:p>
        </w:tc>
        <w:tc>
          <w:tcPr>
            <w:tcW w:w="1645" w:type="dxa"/>
            <w:shd w:val="clear" w:color="auto" w:fill="B1E4E3"/>
            <w:noWrap/>
          </w:tcPr>
          <w:p w14:paraId="78F239EE"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Six of six</w:t>
            </w:r>
          </w:p>
        </w:tc>
        <w:tc>
          <w:tcPr>
            <w:tcW w:w="1274" w:type="dxa"/>
            <w:shd w:val="clear" w:color="auto" w:fill="B1E4E3"/>
            <w:noWrap/>
          </w:tcPr>
          <w:p w14:paraId="7FA55BEA" w14:textId="77777777" w:rsidR="00AB6753" w:rsidRPr="006232D4" w:rsidRDefault="00AB6753" w:rsidP="002D1EA4">
            <w:pPr>
              <w:spacing w:before="60" w:after="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$0</w:t>
            </w:r>
          </w:p>
        </w:tc>
      </w:tr>
      <w:tr w:rsidR="00AB6753" w:rsidRPr="006232D4" w14:paraId="0471B943" w14:textId="77777777" w:rsidTr="002D1EA4">
        <w:trPr>
          <w:trHeight w:val="300"/>
        </w:trPr>
        <w:tc>
          <w:tcPr>
            <w:cnfStyle w:val="001000000000" w:firstRow="0" w:lastRow="0" w:firstColumn="1" w:lastColumn="0" w:oddVBand="0" w:evenVBand="0" w:oddHBand="0" w:evenHBand="0" w:firstRowFirstColumn="0" w:firstRowLastColumn="0" w:lastRowFirstColumn="0" w:lastRowLastColumn="0"/>
            <w:tcW w:w="1985" w:type="dxa"/>
            <w:tcBorders>
              <w:bottom w:val="single" w:sz="8" w:space="0" w:color="00B0B9"/>
            </w:tcBorders>
            <w:noWrap/>
          </w:tcPr>
          <w:p w14:paraId="4E655CC3" w14:textId="77777777" w:rsidR="00AB6753" w:rsidRPr="006232D4" w:rsidRDefault="00AB6753" w:rsidP="002D1EA4">
            <w:pPr>
              <w:spacing w:before="60" w:after="6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Ms Chantelle Stratford</w:t>
            </w:r>
          </w:p>
        </w:tc>
        <w:tc>
          <w:tcPr>
            <w:tcW w:w="5301" w:type="dxa"/>
            <w:tcBorders>
              <w:bottom w:val="single" w:sz="8" w:space="0" w:color="00B0B9"/>
            </w:tcBorders>
            <w:noWrap/>
          </w:tcPr>
          <w:p w14:paraId="21A4898C" w14:textId="77777777" w:rsidR="00AB6753"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Pr>
                <w:rFonts w:asciiTheme="minorHAnsi" w:eastAsia="Times New Roman" w:hAnsiTheme="minorHAnsi" w:cstheme="minorHAnsi"/>
                <w:color w:val="000000"/>
                <w:sz w:val="18"/>
                <w:szCs w:val="18"/>
                <w:lang w:eastAsia="en-AU"/>
              </w:rPr>
              <w:t>Master of Public Policy and Leadership</w:t>
            </w:r>
          </w:p>
          <w:p w14:paraId="403D7821"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 xml:space="preserve">Risk management skills through project manager, </w:t>
            </w:r>
            <w:r>
              <w:rPr>
                <w:rFonts w:asciiTheme="minorHAnsi" w:eastAsia="Times New Roman" w:hAnsiTheme="minorHAnsi" w:cstheme="minorHAnsi"/>
                <w:color w:val="000000"/>
                <w:sz w:val="18"/>
                <w:szCs w:val="18"/>
                <w:lang w:eastAsia="en-AU"/>
              </w:rPr>
              <w:t xml:space="preserve">project </w:t>
            </w:r>
            <w:r w:rsidRPr="006232D4">
              <w:rPr>
                <w:rFonts w:asciiTheme="minorHAnsi" w:eastAsia="Times New Roman" w:hAnsiTheme="minorHAnsi" w:cstheme="minorHAnsi"/>
                <w:color w:val="000000"/>
                <w:sz w:val="18"/>
                <w:szCs w:val="18"/>
                <w:lang w:eastAsia="en-AU"/>
              </w:rPr>
              <w:t>sponsor and program management roles</w:t>
            </w:r>
          </w:p>
        </w:tc>
        <w:tc>
          <w:tcPr>
            <w:tcW w:w="1645" w:type="dxa"/>
            <w:tcBorders>
              <w:bottom w:val="single" w:sz="8" w:space="0" w:color="00B0B9"/>
            </w:tcBorders>
            <w:noWrap/>
          </w:tcPr>
          <w:p w14:paraId="113673A4"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One of six (ceased membership June 2020)</w:t>
            </w:r>
          </w:p>
        </w:tc>
        <w:tc>
          <w:tcPr>
            <w:tcW w:w="1274" w:type="dxa"/>
            <w:tcBorders>
              <w:bottom w:val="single" w:sz="8" w:space="0" w:color="00B0B9"/>
            </w:tcBorders>
            <w:noWrap/>
          </w:tcPr>
          <w:p w14:paraId="70FF1266" w14:textId="77777777" w:rsidR="00AB6753" w:rsidRPr="006232D4" w:rsidRDefault="00AB6753" w:rsidP="002D1EA4">
            <w:pPr>
              <w:spacing w:before="60" w:after="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6232D4">
              <w:rPr>
                <w:rFonts w:asciiTheme="minorHAnsi" w:eastAsia="Times New Roman" w:hAnsiTheme="minorHAnsi" w:cstheme="minorHAnsi"/>
                <w:color w:val="000000"/>
                <w:sz w:val="18"/>
                <w:szCs w:val="18"/>
                <w:lang w:eastAsia="en-AU"/>
              </w:rPr>
              <w:t>$0</w:t>
            </w:r>
          </w:p>
        </w:tc>
      </w:tr>
    </w:tbl>
    <w:p w14:paraId="6E81A220" w14:textId="77777777" w:rsidR="00AB6753" w:rsidRDefault="00AB6753" w:rsidP="00AB6753">
      <w:pPr>
        <w:spacing w:after="120" w:line="240" w:lineRule="auto"/>
        <w:rPr>
          <w:b/>
          <w:sz w:val="20"/>
          <w:szCs w:val="20"/>
        </w:rPr>
        <w:sectPr w:rsidR="00AB6753" w:rsidSect="003C69D5">
          <w:footnotePr>
            <w:numRestart w:val="eachSect"/>
          </w:footnotePr>
          <w:pgSz w:w="11906" w:h="16838"/>
          <w:pgMar w:top="1440" w:right="1440" w:bottom="1440" w:left="1440" w:header="709" w:footer="709" w:gutter="0"/>
          <w:cols w:space="708"/>
          <w:docGrid w:linePitch="360"/>
        </w:sectPr>
      </w:pPr>
    </w:p>
    <w:p w14:paraId="4AF79DA2" w14:textId="77777777" w:rsidR="00AB6753" w:rsidRPr="00833C50" w:rsidRDefault="00AB6753" w:rsidP="00AB6753">
      <w:pPr>
        <w:spacing w:after="0" w:line="240" w:lineRule="auto"/>
        <w:rPr>
          <w:b/>
          <w:sz w:val="26"/>
          <w:szCs w:val="26"/>
        </w:rPr>
      </w:pPr>
      <w:r w:rsidRPr="00833C50">
        <w:rPr>
          <w:b/>
          <w:sz w:val="26"/>
          <w:szCs w:val="26"/>
        </w:rPr>
        <w:lastRenderedPageBreak/>
        <w:t>Committees reporting to the Executive Management Group</w:t>
      </w:r>
    </w:p>
    <w:p w14:paraId="18673588" w14:textId="77777777" w:rsidR="00AB6753" w:rsidRDefault="00AB6753" w:rsidP="00AB6753">
      <w:pPr>
        <w:spacing w:after="0" w:line="240" w:lineRule="auto"/>
        <w:rPr>
          <w:b/>
          <w:color w:val="808080" w:themeColor="background1" w:themeShade="80"/>
          <w:sz w:val="20"/>
          <w:szCs w:val="20"/>
        </w:rPr>
      </w:pPr>
    </w:p>
    <w:p w14:paraId="4A7D688A" w14:textId="77777777" w:rsidR="00AB6753" w:rsidRPr="00054A67" w:rsidRDefault="00AB6753" w:rsidP="00AB6753">
      <w:pPr>
        <w:spacing w:after="0" w:line="240" w:lineRule="auto"/>
        <w:rPr>
          <w:b/>
          <w:i/>
          <w:color w:val="215868" w:themeColor="accent5" w:themeShade="80"/>
          <w:sz w:val="24"/>
          <w:szCs w:val="24"/>
        </w:rPr>
      </w:pPr>
      <w:r w:rsidRPr="00054A67">
        <w:rPr>
          <w:b/>
          <w:color w:val="215868" w:themeColor="accent5" w:themeShade="80"/>
          <w:sz w:val="24"/>
          <w:szCs w:val="24"/>
        </w:rPr>
        <w:t>Policy Committee</w:t>
      </w:r>
    </w:p>
    <w:p w14:paraId="48205092"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This committee considers major policy issues, including early stage consideration of strategic issues, specialist advice on significant social </w:t>
      </w:r>
      <w:r w:rsidRPr="00C65959">
        <w:rPr>
          <w:sz w:val="20"/>
          <w:szCs w:val="20"/>
        </w:rPr>
        <w:t>services</w:t>
      </w:r>
      <w:r w:rsidRPr="003A570D">
        <w:rPr>
          <w:sz w:val="20"/>
          <w:szCs w:val="20"/>
        </w:rPr>
        <w:t xml:space="preserve"> initiatives</w:t>
      </w:r>
      <w:r>
        <w:rPr>
          <w:sz w:val="20"/>
          <w:szCs w:val="20"/>
        </w:rPr>
        <w:t>,</w:t>
      </w:r>
      <w:r w:rsidRPr="003A570D">
        <w:rPr>
          <w:sz w:val="20"/>
          <w:szCs w:val="20"/>
        </w:rPr>
        <w:t xml:space="preserve"> and rapidly evolving situations. The </w:t>
      </w:r>
      <w:r>
        <w:rPr>
          <w:sz w:val="20"/>
          <w:szCs w:val="20"/>
        </w:rPr>
        <w:t>c</w:t>
      </w:r>
      <w:r w:rsidRPr="003A570D">
        <w:rPr>
          <w:sz w:val="20"/>
          <w:szCs w:val="20"/>
        </w:rPr>
        <w:t>ommittee is responsible for preliminary discussions of items, during the early policy development phase, that are intended for subsequent consideration by the Executive Management Group. The Deputy Secretary, Social Security chairs the committee.</w:t>
      </w:r>
    </w:p>
    <w:p w14:paraId="1ABFD419" w14:textId="77777777" w:rsidR="00AB6753" w:rsidRPr="00054A67" w:rsidRDefault="00AB6753" w:rsidP="00AB6753">
      <w:pPr>
        <w:spacing w:after="0" w:line="240" w:lineRule="auto"/>
        <w:rPr>
          <w:b/>
          <w:color w:val="215868" w:themeColor="accent5" w:themeShade="80"/>
          <w:sz w:val="24"/>
          <w:szCs w:val="24"/>
        </w:rPr>
      </w:pPr>
      <w:r w:rsidRPr="00054A67">
        <w:rPr>
          <w:b/>
          <w:color w:val="215868" w:themeColor="accent5" w:themeShade="80"/>
          <w:sz w:val="24"/>
          <w:szCs w:val="24"/>
        </w:rPr>
        <w:t>People and Culture Committee</w:t>
      </w:r>
    </w:p>
    <w:p w14:paraId="4C387B81"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This committee provides advice to the Secretary through the Executive Management Group. It is responsible for ensuring delivery of </w:t>
      </w:r>
      <w:r w:rsidRPr="00C65959">
        <w:rPr>
          <w:sz w:val="20"/>
          <w:szCs w:val="20"/>
        </w:rPr>
        <w:t>government</w:t>
      </w:r>
      <w:r w:rsidRPr="003A570D">
        <w:rPr>
          <w:sz w:val="20"/>
          <w:szCs w:val="20"/>
        </w:rPr>
        <w:t xml:space="preserve"> requirements through improved oversight of our workforce. Its remit includes work health and safety, </w:t>
      </w:r>
      <w:r>
        <w:rPr>
          <w:sz w:val="20"/>
          <w:szCs w:val="20"/>
        </w:rPr>
        <w:t>w</w:t>
      </w:r>
      <w:r w:rsidRPr="003A570D">
        <w:rPr>
          <w:sz w:val="20"/>
          <w:szCs w:val="20"/>
        </w:rPr>
        <w:t xml:space="preserve">orkforce </w:t>
      </w:r>
      <w:r>
        <w:rPr>
          <w:sz w:val="20"/>
          <w:szCs w:val="20"/>
        </w:rPr>
        <w:t>s</w:t>
      </w:r>
      <w:r w:rsidRPr="003A570D">
        <w:rPr>
          <w:sz w:val="20"/>
          <w:szCs w:val="20"/>
        </w:rPr>
        <w:t>trategy, diversity and inclusion</w:t>
      </w:r>
      <w:r>
        <w:rPr>
          <w:sz w:val="20"/>
          <w:szCs w:val="20"/>
        </w:rPr>
        <w:t>,</w:t>
      </w:r>
      <w:r w:rsidRPr="003A570D">
        <w:rPr>
          <w:sz w:val="20"/>
          <w:szCs w:val="20"/>
        </w:rPr>
        <w:t xml:space="preserve"> and other priorities as directed by the Executive Management Group. The Deputy Secretary, Families and Communities chairs the committee.</w:t>
      </w:r>
    </w:p>
    <w:p w14:paraId="2DE6D516" w14:textId="77777777" w:rsidR="00AB6753" w:rsidRPr="00054A67" w:rsidRDefault="00AB6753" w:rsidP="00AB6753">
      <w:pPr>
        <w:spacing w:after="0" w:line="240" w:lineRule="auto"/>
        <w:rPr>
          <w:b/>
          <w:color w:val="215868" w:themeColor="accent5" w:themeShade="80"/>
          <w:sz w:val="24"/>
          <w:szCs w:val="24"/>
        </w:rPr>
      </w:pPr>
      <w:r w:rsidRPr="00054A67">
        <w:rPr>
          <w:b/>
          <w:color w:val="215868" w:themeColor="accent5" w:themeShade="80"/>
          <w:sz w:val="24"/>
          <w:szCs w:val="24"/>
        </w:rPr>
        <w:t>Implementation Committee</w:t>
      </w:r>
    </w:p>
    <w:p w14:paraId="0B8982F0"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This committee provides advice to the Secretary through the Executive Management Group. It is responsible for ensuring effective design and delivery of government requirements through improved oversight of the department’s implementation activities. In the context of the Corporate Plan and Portfolio Budget Statements, the </w:t>
      </w:r>
      <w:r>
        <w:rPr>
          <w:sz w:val="20"/>
          <w:szCs w:val="20"/>
        </w:rPr>
        <w:t>c</w:t>
      </w:r>
      <w:r w:rsidRPr="003A570D">
        <w:rPr>
          <w:sz w:val="20"/>
          <w:szCs w:val="20"/>
        </w:rPr>
        <w:t>ommittee’s remit includes performance monitoring and reporting of election commitments, budget measures, enterprise risk management, and other priorities as directed by the Executive Management Group. The Chief Operating Officer chairs the committee.</w:t>
      </w:r>
    </w:p>
    <w:p w14:paraId="3570F1C7" w14:textId="77777777" w:rsidR="00AB6753" w:rsidRDefault="00AB6753" w:rsidP="00AB6753">
      <w:pPr>
        <w:rPr>
          <w:rFonts w:ascii="Arial Narrow" w:eastAsia="Times New Roman" w:hAnsi="Arial Narrow" w:cs="Times New Roman"/>
          <w:b/>
          <w:bCs/>
          <w:sz w:val="20"/>
          <w:szCs w:val="18"/>
        </w:rPr>
      </w:pPr>
      <w:r w:rsidRPr="00AD6A71">
        <w:rPr>
          <w:rFonts w:ascii="Arial Narrow" w:eastAsia="Times New Roman" w:hAnsi="Arial Narrow" w:cs="Times New Roman"/>
          <w:b/>
          <w:bCs/>
          <w:sz w:val="20"/>
          <w:szCs w:val="18"/>
        </w:rPr>
        <w:t>Figure 4.1.2: Our governance structure as at 30 June 2020</w:t>
      </w:r>
    </w:p>
    <w:p w14:paraId="48F828CC" w14:textId="77777777" w:rsidR="00AB6753" w:rsidRDefault="00AB6753" w:rsidP="00AB6753">
      <w:pPr>
        <w:pStyle w:val="Heading4"/>
        <w:spacing w:after="200"/>
        <w:rPr>
          <w:rFonts w:ascii="Georgia" w:hAnsi="Georgia"/>
          <w:b w:val="0"/>
          <w:i w:val="0"/>
          <w:sz w:val="36"/>
        </w:rPr>
      </w:pPr>
      <w:r>
        <w:rPr>
          <w:noProof/>
          <w:lang w:eastAsia="en-AU"/>
        </w:rPr>
        <w:drawing>
          <wp:inline distT="0" distB="0" distL="0" distR="0" wp14:anchorId="42522B81" wp14:editId="655BD797">
            <wp:extent cx="5882640" cy="3108960"/>
            <wp:effectExtent l="0" t="0" r="3810" b="0"/>
            <wp:docPr id="19" name="Picture 19" descr="Figure 4.1.2 The Secretary chairs the Executive Management Group. Four Committees report to the Executive Management Group. Audit and Assurance which has an external chair; Policy Committee, which is chaired by a Deputy Secretary; People and Culture Committee, chaired by a Deputy Secretary; Implementation Committee chaired by the Chief Operating Office. Two sub-committee assist the Audit and Assurance Committee. The Financial Statements and Performance Statements sub-committees both have an external chair." title="Figure 4.1.2 Our governance structure as at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67BBB.C265555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882640" cy="3108960"/>
                    </a:xfrm>
                    <a:prstGeom prst="rect">
                      <a:avLst/>
                    </a:prstGeom>
                    <a:noFill/>
                    <a:ln>
                      <a:noFill/>
                    </a:ln>
                  </pic:spPr>
                </pic:pic>
              </a:graphicData>
            </a:graphic>
          </wp:inline>
        </w:drawing>
      </w:r>
    </w:p>
    <w:p w14:paraId="36664C68" w14:textId="77777777" w:rsidR="00AB6753" w:rsidRDefault="00AB6753" w:rsidP="00AB6753">
      <w:pPr>
        <w:rPr>
          <w:rFonts w:ascii="Georgia" w:hAnsi="Georgia"/>
          <w:b/>
          <w:i/>
          <w:sz w:val="36"/>
        </w:rPr>
        <w:sectPr w:rsidR="00AB6753" w:rsidSect="003C69D5">
          <w:footnotePr>
            <w:numRestart w:val="eachSect"/>
          </w:footnotePr>
          <w:pgSz w:w="11906" w:h="16838"/>
          <w:pgMar w:top="1440" w:right="1440" w:bottom="1440" w:left="1440" w:header="709" w:footer="709" w:gutter="0"/>
          <w:cols w:space="708"/>
          <w:docGrid w:linePitch="360"/>
        </w:sectPr>
      </w:pPr>
    </w:p>
    <w:p w14:paraId="454F5668" w14:textId="77777777" w:rsidR="00AB6753" w:rsidRPr="007E68AA" w:rsidRDefault="00AB6753" w:rsidP="00AB6753">
      <w:pPr>
        <w:pStyle w:val="Heading4"/>
        <w:spacing w:after="200"/>
        <w:rPr>
          <w:rFonts w:ascii="Georgia" w:hAnsi="Georgia"/>
          <w:b w:val="0"/>
          <w:i w:val="0"/>
          <w:sz w:val="36"/>
        </w:rPr>
      </w:pPr>
      <w:r w:rsidRPr="007E68AA">
        <w:rPr>
          <w:rFonts w:ascii="Georgia" w:hAnsi="Georgia"/>
          <w:b w:val="0"/>
          <w:i w:val="0"/>
          <w:sz w:val="36"/>
        </w:rPr>
        <w:lastRenderedPageBreak/>
        <w:t>Business planning and risk management</w:t>
      </w:r>
    </w:p>
    <w:p w14:paraId="0FB29D24" w14:textId="77777777" w:rsidR="00AB6753" w:rsidRPr="00D70386" w:rsidRDefault="00AB6753" w:rsidP="00AB6753">
      <w:pPr>
        <w:spacing w:after="0" w:line="240" w:lineRule="auto"/>
        <w:rPr>
          <w:i/>
          <w:sz w:val="24"/>
          <w:szCs w:val="24"/>
        </w:rPr>
      </w:pPr>
      <w:r w:rsidRPr="00D70386">
        <w:rPr>
          <w:b/>
          <w:sz w:val="24"/>
          <w:szCs w:val="24"/>
        </w:rPr>
        <w:t>Strategic and business planning</w:t>
      </w:r>
    </w:p>
    <w:p w14:paraId="52431AE2" w14:textId="77777777" w:rsidR="00AB6753" w:rsidRPr="00AC7482" w:rsidRDefault="00AB6753" w:rsidP="00AB6753">
      <w:pPr>
        <w:autoSpaceDE w:val="0"/>
        <w:autoSpaceDN w:val="0"/>
        <w:adjustRightInd w:val="0"/>
        <w:spacing w:before="120" w:after="180" w:line="280" w:lineRule="atLeast"/>
        <w:ind w:right="-164"/>
        <w:rPr>
          <w:sz w:val="20"/>
          <w:szCs w:val="20"/>
        </w:rPr>
      </w:pPr>
      <w:r w:rsidRPr="000624D3">
        <w:rPr>
          <w:sz w:val="20"/>
          <w:szCs w:val="20"/>
        </w:rPr>
        <w:t>Our planning process engages staff at</w:t>
      </w:r>
      <w:r w:rsidRPr="00AC7482">
        <w:rPr>
          <w:sz w:val="20"/>
          <w:szCs w:val="20"/>
        </w:rPr>
        <w:t xml:space="preserve"> all levels to understand how they contribute to delivering on required </w:t>
      </w:r>
      <w:r w:rsidRPr="00C65959">
        <w:rPr>
          <w:sz w:val="20"/>
          <w:szCs w:val="20"/>
        </w:rPr>
        <w:t>outcomes</w:t>
      </w:r>
      <w:r w:rsidRPr="00AC7482">
        <w:rPr>
          <w:sz w:val="20"/>
          <w:szCs w:val="20"/>
        </w:rPr>
        <w:t>. There is a clear pathway from our key corporate documents</w:t>
      </w:r>
      <w:r>
        <w:rPr>
          <w:sz w:val="20"/>
          <w:szCs w:val="20"/>
        </w:rPr>
        <w:t xml:space="preserve"> through to each staff member’s individual performance plan</w:t>
      </w:r>
      <w:r w:rsidRPr="00AC7482">
        <w:rPr>
          <w:sz w:val="20"/>
          <w:szCs w:val="20"/>
        </w:rPr>
        <w:t>.</w:t>
      </w:r>
    </w:p>
    <w:p w14:paraId="736B41C4" w14:textId="77777777" w:rsidR="00AB6753" w:rsidRPr="003A570D" w:rsidRDefault="00AB6753" w:rsidP="00AB6753">
      <w:pPr>
        <w:autoSpaceDE w:val="0"/>
        <w:autoSpaceDN w:val="0"/>
        <w:adjustRightInd w:val="0"/>
        <w:spacing w:before="120" w:after="180" w:line="280" w:lineRule="atLeast"/>
        <w:ind w:right="-164"/>
        <w:rPr>
          <w:sz w:val="20"/>
          <w:szCs w:val="20"/>
        </w:rPr>
      </w:pPr>
      <w:r w:rsidRPr="00AC7482">
        <w:rPr>
          <w:sz w:val="20"/>
          <w:szCs w:val="20"/>
        </w:rPr>
        <w:t xml:space="preserve">Our </w:t>
      </w:r>
      <w:r>
        <w:rPr>
          <w:sz w:val="20"/>
          <w:szCs w:val="20"/>
        </w:rPr>
        <w:t>C</w:t>
      </w:r>
      <w:r w:rsidRPr="00AC7482">
        <w:rPr>
          <w:sz w:val="20"/>
          <w:szCs w:val="20"/>
        </w:rPr>
        <w:t xml:space="preserve">orporate </w:t>
      </w:r>
      <w:r>
        <w:rPr>
          <w:sz w:val="20"/>
          <w:szCs w:val="20"/>
        </w:rPr>
        <w:t>P</w:t>
      </w:r>
      <w:r w:rsidRPr="00AC7482">
        <w:rPr>
          <w:sz w:val="20"/>
          <w:szCs w:val="20"/>
        </w:rPr>
        <w:t>lan outlines our purpose, priorities</w:t>
      </w:r>
      <w:r>
        <w:rPr>
          <w:sz w:val="20"/>
          <w:szCs w:val="20"/>
        </w:rPr>
        <w:t>,</w:t>
      </w:r>
      <w:r w:rsidRPr="00AC7482">
        <w:rPr>
          <w:sz w:val="20"/>
          <w:szCs w:val="20"/>
        </w:rPr>
        <w:t xml:space="preserve"> and performance objectives and guides the way in which we achieve results.</w:t>
      </w:r>
      <w:r>
        <w:rPr>
          <w:sz w:val="20"/>
          <w:szCs w:val="20"/>
        </w:rPr>
        <w:t xml:space="preserve"> </w:t>
      </w:r>
      <w:r w:rsidRPr="00AC7482">
        <w:rPr>
          <w:sz w:val="20"/>
          <w:szCs w:val="20"/>
        </w:rPr>
        <w:t xml:space="preserve">For further information on our Corporate Plan, go to </w:t>
      </w:r>
      <w:hyperlink r:id="rId51" w:history="1">
        <w:r w:rsidRPr="00AC7482">
          <w:rPr>
            <w:sz w:val="20"/>
            <w:szCs w:val="20"/>
          </w:rPr>
          <w:t>dss.gov.au</w:t>
        </w:r>
      </w:hyperlink>
    </w:p>
    <w:p w14:paraId="74C6EB18" w14:textId="77777777" w:rsidR="00AB6753" w:rsidRPr="00D70386" w:rsidRDefault="00AB6753" w:rsidP="00AB6753">
      <w:pPr>
        <w:spacing w:after="0" w:line="240" w:lineRule="auto"/>
        <w:rPr>
          <w:i/>
          <w:sz w:val="24"/>
          <w:szCs w:val="24"/>
        </w:rPr>
      </w:pPr>
      <w:r w:rsidRPr="00D70386">
        <w:rPr>
          <w:b/>
          <w:sz w:val="24"/>
          <w:szCs w:val="24"/>
        </w:rPr>
        <w:t>Risk management</w:t>
      </w:r>
    </w:p>
    <w:p w14:paraId="0E35F155" w14:textId="77777777" w:rsidR="00AB6753" w:rsidRPr="00AC7482" w:rsidRDefault="00AB6753" w:rsidP="00AB6753">
      <w:pPr>
        <w:autoSpaceDE w:val="0"/>
        <w:autoSpaceDN w:val="0"/>
        <w:adjustRightInd w:val="0"/>
        <w:spacing w:before="120" w:after="180" w:line="280" w:lineRule="atLeast"/>
        <w:ind w:right="-164"/>
        <w:rPr>
          <w:sz w:val="20"/>
          <w:szCs w:val="20"/>
        </w:rPr>
      </w:pPr>
      <w:r w:rsidRPr="00AC7482">
        <w:rPr>
          <w:sz w:val="20"/>
          <w:szCs w:val="20"/>
        </w:rPr>
        <w:t xml:space="preserve">Effective risk management is fundamental to ensuring we can deliver on government priorities. We base our approach to risk management on the Australian/New Zealand International Standard on Risk Management (AS/NZS ISO 31000:2018). It aligns with the nine elements of the Commonwealth Risk Management Policy 2014, meeting our obligations under the </w:t>
      </w:r>
      <w:r w:rsidRPr="00544924">
        <w:rPr>
          <w:i/>
          <w:iCs/>
          <w:sz w:val="20"/>
          <w:szCs w:val="20"/>
        </w:rPr>
        <w:t>Public Governance, Performance and Accountability Act 2013</w:t>
      </w:r>
      <w:r w:rsidRPr="00AC7482">
        <w:rPr>
          <w:sz w:val="20"/>
          <w:szCs w:val="20"/>
        </w:rPr>
        <w:t>.</w:t>
      </w:r>
    </w:p>
    <w:p w14:paraId="4677F5DD" w14:textId="77777777" w:rsidR="00AB6753" w:rsidRPr="000624D3" w:rsidRDefault="00AB6753" w:rsidP="00AB6753">
      <w:pPr>
        <w:autoSpaceDE w:val="0"/>
        <w:autoSpaceDN w:val="0"/>
        <w:adjustRightInd w:val="0"/>
        <w:spacing w:before="120" w:after="180" w:line="280" w:lineRule="atLeast"/>
        <w:ind w:right="-164"/>
        <w:rPr>
          <w:sz w:val="20"/>
          <w:szCs w:val="20"/>
        </w:rPr>
      </w:pPr>
      <w:r w:rsidRPr="000624D3">
        <w:rPr>
          <w:sz w:val="20"/>
          <w:szCs w:val="20"/>
        </w:rPr>
        <w:t>In 2019</w:t>
      </w:r>
      <w:r>
        <w:rPr>
          <w:sz w:val="20"/>
          <w:szCs w:val="20"/>
        </w:rPr>
        <w:t>–</w:t>
      </w:r>
      <w:r w:rsidRPr="000624D3">
        <w:rPr>
          <w:sz w:val="20"/>
          <w:szCs w:val="20"/>
        </w:rPr>
        <w:t xml:space="preserve">20, to demonstrate our commitment to enterprise risk management, we have continued to mature our risk </w:t>
      </w:r>
      <w:r w:rsidRPr="00057B25">
        <w:rPr>
          <w:rFonts w:cs="Arial"/>
          <w:sz w:val="20"/>
        </w:rPr>
        <w:t>management</w:t>
      </w:r>
      <w:r w:rsidRPr="000624D3">
        <w:rPr>
          <w:sz w:val="20"/>
          <w:szCs w:val="20"/>
        </w:rPr>
        <w:t xml:space="preserve"> culture and capabilities by aligning our risks strategically with our corporate planning and embedding risk management principles into our everyday decision making.</w:t>
      </w:r>
    </w:p>
    <w:p w14:paraId="031FEAAB" w14:textId="77777777" w:rsidR="00AB6753" w:rsidRPr="00D70386" w:rsidRDefault="00AB6753" w:rsidP="00AB6753">
      <w:pPr>
        <w:spacing w:after="0" w:line="240" w:lineRule="auto"/>
        <w:rPr>
          <w:b/>
          <w:i/>
          <w:sz w:val="24"/>
          <w:szCs w:val="24"/>
        </w:rPr>
      </w:pPr>
      <w:r w:rsidRPr="00D70386">
        <w:rPr>
          <w:b/>
          <w:sz w:val="24"/>
          <w:szCs w:val="24"/>
        </w:rPr>
        <w:t xml:space="preserve">Business continuity management </w:t>
      </w:r>
    </w:p>
    <w:p w14:paraId="7A7A4B41"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We are committed to managing </w:t>
      </w:r>
      <w:r w:rsidRPr="00C65959">
        <w:rPr>
          <w:sz w:val="20"/>
          <w:szCs w:val="20"/>
        </w:rPr>
        <w:t>business</w:t>
      </w:r>
      <w:r w:rsidRPr="003A570D">
        <w:rPr>
          <w:sz w:val="20"/>
          <w:szCs w:val="20"/>
        </w:rPr>
        <w:t xml:space="preserve"> interruptions that may affect critical services and assets.</w:t>
      </w:r>
    </w:p>
    <w:p w14:paraId="40A5F21A"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Our Business Continuity Management </w:t>
      </w:r>
      <w:r w:rsidRPr="00C65959">
        <w:rPr>
          <w:sz w:val="20"/>
          <w:szCs w:val="20"/>
        </w:rPr>
        <w:t>Framework</w:t>
      </w:r>
      <w:r w:rsidRPr="003A570D">
        <w:rPr>
          <w:sz w:val="20"/>
          <w:szCs w:val="20"/>
        </w:rPr>
        <w:t xml:space="preserve"> ensures we can deliver our critical work in the event of a disruption.</w:t>
      </w:r>
      <w:r>
        <w:rPr>
          <w:sz w:val="20"/>
          <w:szCs w:val="20"/>
        </w:rPr>
        <w:t xml:space="preserve"> </w:t>
      </w:r>
      <w:r w:rsidRPr="003A570D">
        <w:rPr>
          <w:sz w:val="20"/>
          <w:szCs w:val="20"/>
        </w:rPr>
        <w:t>We review and test business continuity plans to ensure the safety, security</w:t>
      </w:r>
      <w:r>
        <w:rPr>
          <w:sz w:val="20"/>
          <w:szCs w:val="20"/>
        </w:rPr>
        <w:t>,</w:t>
      </w:r>
      <w:r w:rsidRPr="003A570D">
        <w:rPr>
          <w:sz w:val="20"/>
          <w:szCs w:val="20"/>
        </w:rPr>
        <w:t xml:space="preserve"> and wellbeing of staff during the event of an emergency or disaster.</w:t>
      </w:r>
    </w:p>
    <w:p w14:paraId="3945B92B"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In 2019</w:t>
      </w:r>
      <w:r>
        <w:rPr>
          <w:sz w:val="20"/>
          <w:szCs w:val="20"/>
        </w:rPr>
        <w:t>–</w:t>
      </w:r>
      <w:r w:rsidRPr="003A570D">
        <w:rPr>
          <w:sz w:val="20"/>
          <w:szCs w:val="20"/>
        </w:rPr>
        <w:t xml:space="preserve">20, we activated key measures from our </w:t>
      </w:r>
      <w:r>
        <w:rPr>
          <w:sz w:val="20"/>
          <w:szCs w:val="20"/>
        </w:rPr>
        <w:t xml:space="preserve">Business Continuity Plan </w:t>
      </w:r>
      <w:r w:rsidRPr="003A570D">
        <w:rPr>
          <w:sz w:val="20"/>
          <w:szCs w:val="20"/>
        </w:rPr>
        <w:t xml:space="preserve">and Pandemic Action Plan as part of our response to the bushfires and </w:t>
      </w:r>
      <w:r>
        <w:rPr>
          <w:sz w:val="20"/>
          <w:szCs w:val="20"/>
        </w:rPr>
        <w:t xml:space="preserve">the </w:t>
      </w:r>
      <w:r>
        <w:rPr>
          <w:rFonts w:cs="Arial"/>
          <w:sz w:val="20"/>
        </w:rPr>
        <w:t>COVID-19 pandemic.</w:t>
      </w:r>
    </w:p>
    <w:p w14:paraId="42DD8BC6" w14:textId="77777777" w:rsidR="00AB6753" w:rsidRPr="00D70386" w:rsidRDefault="00AB6753" w:rsidP="00AB6753">
      <w:pPr>
        <w:spacing w:after="0" w:line="240" w:lineRule="auto"/>
        <w:rPr>
          <w:b/>
          <w:sz w:val="24"/>
          <w:szCs w:val="24"/>
        </w:rPr>
      </w:pPr>
      <w:r w:rsidRPr="00D70386">
        <w:rPr>
          <w:b/>
          <w:sz w:val="24"/>
          <w:szCs w:val="24"/>
        </w:rPr>
        <w:t>Internal audit assurance activities</w:t>
      </w:r>
    </w:p>
    <w:p w14:paraId="48480D03"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Internal Audit is an important component of our governance arrangements.</w:t>
      </w:r>
    </w:p>
    <w:p w14:paraId="0F27FD04"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Internal Audit provides assurance services, including reasonable assurance engagements as defined in the </w:t>
      </w:r>
      <w:r w:rsidRPr="00544924">
        <w:rPr>
          <w:i/>
          <w:iCs/>
          <w:sz w:val="20"/>
          <w:szCs w:val="20"/>
        </w:rPr>
        <w:t>Public Governance, Performance and Accountability Act 2013</w:t>
      </w:r>
      <w:r w:rsidRPr="003A570D">
        <w:rPr>
          <w:sz w:val="20"/>
          <w:szCs w:val="20"/>
        </w:rPr>
        <w:t>, Resource Management Guide 210.</w:t>
      </w:r>
    </w:p>
    <w:p w14:paraId="0C223C87"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Internal Audit is an independent assurance and advisory function designed to strengthen accountability of the department’s activities and </w:t>
      </w:r>
      <w:r w:rsidRPr="00C65959">
        <w:rPr>
          <w:sz w:val="20"/>
          <w:szCs w:val="20"/>
        </w:rPr>
        <w:t>functions</w:t>
      </w:r>
      <w:r w:rsidRPr="003A570D">
        <w:rPr>
          <w:sz w:val="20"/>
          <w:szCs w:val="20"/>
        </w:rPr>
        <w:t xml:space="preserve"> and improve risk</w:t>
      </w:r>
      <w:r>
        <w:rPr>
          <w:sz w:val="20"/>
          <w:szCs w:val="20"/>
        </w:rPr>
        <w:t>-</w:t>
      </w:r>
      <w:r w:rsidRPr="003A570D">
        <w:rPr>
          <w:sz w:val="20"/>
          <w:szCs w:val="20"/>
        </w:rPr>
        <w:t xml:space="preserve">based, </w:t>
      </w:r>
      <w:r>
        <w:rPr>
          <w:sz w:val="20"/>
          <w:szCs w:val="20"/>
        </w:rPr>
        <w:t>decision-</w:t>
      </w:r>
      <w:r w:rsidRPr="003A570D">
        <w:rPr>
          <w:sz w:val="20"/>
          <w:szCs w:val="20"/>
        </w:rPr>
        <w:t>making across our operations.</w:t>
      </w:r>
    </w:p>
    <w:p w14:paraId="1878B1C1"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The 2019–20 Audit Work Plan considered our risk profile and was approved by the Secretary following consideration by the Audit </w:t>
      </w:r>
      <w:r w:rsidRPr="00C65959">
        <w:rPr>
          <w:sz w:val="20"/>
          <w:szCs w:val="20"/>
        </w:rPr>
        <w:t>and</w:t>
      </w:r>
      <w:r w:rsidRPr="003A570D">
        <w:rPr>
          <w:sz w:val="20"/>
          <w:szCs w:val="20"/>
        </w:rPr>
        <w:t xml:space="preserve"> Assurance Committee. Over the year, 19 audits were undertaken across our policy, program</w:t>
      </w:r>
      <w:r>
        <w:rPr>
          <w:sz w:val="20"/>
          <w:szCs w:val="20"/>
        </w:rPr>
        <w:t>,</w:t>
      </w:r>
      <w:r w:rsidRPr="003A570D">
        <w:rPr>
          <w:sz w:val="20"/>
          <w:szCs w:val="20"/>
        </w:rPr>
        <w:t xml:space="preserve"> and enabling activit</w:t>
      </w:r>
      <w:r>
        <w:rPr>
          <w:sz w:val="20"/>
          <w:szCs w:val="20"/>
        </w:rPr>
        <w:t>ies</w:t>
      </w:r>
      <w:r w:rsidRPr="003A570D">
        <w:rPr>
          <w:sz w:val="20"/>
          <w:szCs w:val="20"/>
        </w:rPr>
        <w:t>.</w:t>
      </w:r>
    </w:p>
    <w:p w14:paraId="6948011E"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The Head of Internal Audit is independent from the department’s policy and program management activities. </w:t>
      </w:r>
      <w:r>
        <w:rPr>
          <w:sz w:val="20"/>
          <w:szCs w:val="20"/>
        </w:rPr>
        <w:t>To strengthen accountability,</w:t>
      </w:r>
      <w:r w:rsidRPr="003A570D">
        <w:rPr>
          <w:sz w:val="20"/>
          <w:szCs w:val="20"/>
        </w:rPr>
        <w:t xml:space="preserve"> the Head of Internal Audit provides the Audit and Assurance Committee </w:t>
      </w:r>
      <w:r w:rsidRPr="00C65959">
        <w:rPr>
          <w:sz w:val="20"/>
          <w:szCs w:val="20"/>
        </w:rPr>
        <w:t>with</w:t>
      </w:r>
      <w:r w:rsidRPr="003A570D">
        <w:rPr>
          <w:sz w:val="20"/>
          <w:szCs w:val="20"/>
        </w:rPr>
        <w:t xml:space="preserve"> all internal audit findings and advises them on progress towards implementing audit recommendations. The independence of the Head of Internal Audit allows the position to provide objective insights into the state of our governance, performance, risk management and internal controls, systems, policies, processes</w:t>
      </w:r>
      <w:r>
        <w:rPr>
          <w:sz w:val="20"/>
          <w:szCs w:val="20"/>
        </w:rPr>
        <w:t>,</w:t>
      </w:r>
      <w:r w:rsidRPr="003A570D">
        <w:rPr>
          <w:sz w:val="20"/>
          <w:szCs w:val="20"/>
        </w:rPr>
        <w:t xml:space="preserve"> and practices.</w:t>
      </w:r>
    </w:p>
    <w:p w14:paraId="0A5FCB18" w14:textId="77777777" w:rsidR="00AB6753" w:rsidRPr="00D70386" w:rsidRDefault="00AB6753" w:rsidP="00AB6753">
      <w:pPr>
        <w:rPr>
          <w:sz w:val="24"/>
          <w:szCs w:val="24"/>
        </w:rPr>
      </w:pPr>
      <w:r w:rsidRPr="00D70386">
        <w:rPr>
          <w:b/>
          <w:sz w:val="24"/>
          <w:szCs w:val="24"/>
        </w:rPr>
        <w:lastRenderedPageBreak/>
        <w:t>Compliance framework</w:t>
      </w:r>
    </w:p>
    <w:p w14:paraId="17FF207A"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We promote a strong compliance culture which enables us to deliver outcomes effectively and achieve high levels of performance.</w:t>
      </w:r>
    </w:p>
    <w:p w14:paraId="318DAA1C"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Our Enterprise Compliance Framework establish</w:t>
      </w:r>
      <w:r>
        <w:rPr>
          <w:sz w:val="20"/>
          <w:szCs w:val="20"/>
        </w:rPr>
        <w:t>es</w:t>
      </w:r>
      <w:r w:rsidRPr="003A570D">
        <w:rPr>
          <w:sz w:val="20"/>
          <w:szCs w:val="20"/>
        </w:rPr>
        <w:t xml:space="preserve"> a foundation for a strong compliance culture enabling us to deliver outcomes effectively and achieve high levels of performance in a manner consistent with relevant legal and policy obligations. It forms part of a broader, coordinated approach to promote good governance underpinned by principles such as accountability, transparency, integrity, efficiency</w:t>
      </w:r>
      <w:r>
        <w:rPr>
          <w:sz w:val="20"/>
          <w:szCs w:val="20"/>
        </w:rPr>
        <w:t>,</w:t>
      </w:r>
      <w:r w:rsidRPr="003A570D">
        <w:rPr>
          <w:sz w:val="20"/>
          <w:szCs w:val="20"/>
        </w:rPr>
        <w:t xml:space="preserve"> and leadership.</w:t>
      </w:r>
    </w:p>
    <w:p w14:paraId="22C3BA15"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This framework complements other key governance frameworks, including those addressing security, risk</w:t>
      </w:r>
      <w:r>
        <w:rPr>
          <w:sz w:val="20"/>
          <w:szCs w:val="20"/>
        </w:rPr>
        <w:t>,</w:t>
      </w:r>
      <w:r w:rsidRPr="003A570D">
        <w:rPr>
          <w:sz w:val="20"/>
          <w:szCs w:val="20"/>
        </w:rPr>
        <w:t xml:space="preserve"> and fraud.</w:t>
      </w:r>
    </w:p>
    <w:p w14:paraId="49C67D29" w14:textId="77777777" w:rsidR="00AB6753" w:rsidRPr="00D70386" w:rsidRDefault="00AB6753" w:rsidP="00AB6753">
      <w:pPr>
        <w:spacing w:after="0" w:line="240" w:lineRule="auto"/>
        <w:rPr>
          <w:sz w:val="24"/>
          <w:szCs w:val="24"/>
        </w:rPr>
      </w:pPr>
      <w:r w:rsidRPr="00D70386">
        <w:rPr>
          <w:b/>
          <w:sz w:val="24"/>
          <w:szCs w:val="24"/>
        </w:rPr>
        <w:t>Fraud and corruption control</w:t>
      </w:r>
    </w:p>
    <w:p w14:paraId="5EBC7D50" w14:textId="1740D440"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Under section 10 of the </w:t>
      </w:r>
      <w:r w:rsidRPr="0093569D">
        <w:rPr>
          <w:i/>
          <w:sz w:val="20"/>
          <w:szCs w:val="20"/>
        </w:rPr>
        <w:t>Public Governance, Performance</w:t>
      </w:r>
      <w:r w:rsidR="004E717C">
        <w:rPr>
          <w:i/>
          <w:sz w:val="20"/>
          <w:szCs w:val="20"/>
        </w:rPr>
        <w:t xml:space="preserve"> and</w:t>
      </w:r>
      <w:r w:rsidRPr="0093569D">
        <w:rPr>
          <w:i/>
          <w:sz w:val="20"/>
          <w:szCs w:val="20"/>
        </w:rPr>
        <w:t xml:space="preserve"> Accountability Rule 2014</w:t>
      </w:r>
      <w:r w:rsidRPr="003A570D">
        <w:rPr>
          <w:sz w:val="20"/>
          <w:szCs w:val="20"/>
        </w:rPr>
        <w:t xml:space="preserve"> </w:t>
      </w:r>
      <w:r w:rsidR="004E717C">
        <w:rPr>
          <w:sz w:val="20"/>
          <w:szCs w:val="20"/>
        </w:rPr>
        <w:t xml:space="preserve">(the Fraud Rule) </w:t>
      </w:r>
      <w:r w:rsidRPr="003A570D">
        <w:rPr>
          <w:sz w:val="20"/>
          <w:szCs w:val="20"/>
        </w:rPr>
        <w:t>we are required to have in place mechanisms to prevent, detect</w:t>
      </w:r>
      <w:r>
        <w:rPr>
          <w:sz w:val="20"/>
          <w:szCs w:val="20"/>
        </w:rPr>
        <w:t>,</w:t>
      </w:r>
      <w:r w:rsidRPr="003A570D">
        <w:rPr>
          <w:sz w:val="20"/>
          <w:szCs w:val="20"/>
        </w:rPr>
        <w:t xml:space="preserve"> and deal with fraud.</w:t>
      </w:r>
    </w:p>
    <w:p w14:paraId="002043BA"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We are committed to preventing fraud against the department, our programs</w:t>
      </w:r>
      <w:r>
        <w:rPr>
          <w:sz w:val="20"/>
          <w:szCs w:val="20"/>
        </w:rPr>
        <w:t>,</w:t>
      </w:r>
      <w:r w:rsidRPr="003A570D">
        <w:rPr>
          <w:sz w:val="20"/>
          <w:szCs w:val="20"/>
        </w:rPr>
        <w:t xml:space="preserve"> and operations.</w:t>
      </w:r>
    </w:p>
    <w:p w14:paraId="70D2EBFE"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We manage fraud through a number of strategies, including:</w:t>
      </w:r>
    </w:p>
    <w:p w14:paraId="66B45CAB"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educating our employees on risk management</w:t>
      </w:r>
    </w:p>
    <w:p w14:paraId="3053FBD7"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identifying and mitigating our fraud, compliance, security, and privacy risks</w:t>
      </w:r>
    </w:p>
    <w:p w14:paraId="20F13A47"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making our employees aware of their fraud control responsibilities</w:t>
      </w:r>
    </w:p>
    <w:p w14:paraId="61558118"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integrating fraud prevention, detection and investigation arrangements and using data analysis to identify trends and issues</w:t>
      </w:r>
    </w:p>
    <w:p w14:paraId="2846649D"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ensuring fraud reporting is transparent and accountable.</w:t>
      </w:r>
    </w:p>
    <w:p w14:paraId="2F8EAE48"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We review our Fraud Control Framework regularly to ensure its continued effectiveness.</w:t>
      </w:r>
    </w:p>
    <w:p w14:paraId="0FC0D26E" w14:textId="77777777" w:rsidR="00AB6753" w:rsidRDefault="00AB6753" w:rsidP="00AB6753">
      <w:pPr>
        <w:autoSpaceDE w:val="0"/>
        <w:autoSpaceDN w:val="0"/>
        <w:adjustRightInd w:val="0"/>
        <w:spacing w:before="120" w:after="180" w:line="280" w:lineRule="atLeast"/>
        <w:ind w:right="-164"/>
        <w:rPr>
          <w:sz w:val="20"/>
          <w:szCs w:val="20"/>
        </w:rPr>
      </w:pPr>
      <w:r w:rsidRPr="003A570D">
        <w:rPr>
          <w:sz w:val="20"/>
          <w:szCs w:val="20"/>
        </w:rPr>
        <w:t>We undertake regular assessment of fraud risks to improve understanding of our fraud exposure. These risk assessments involve identifying areas where fraud could be committed, evaluating existing risk mitigation strategies</w:t>
      </w:r>
      <w:r>
        <w:rPr>
          <w:sz w:val="20"/>
          <w:szCs w:val="20"/>
        </w:rPr>
        <w:t>,</w:t>
      </w:r>
      <w:r w:rsidRPr="003A570D">
        <w:rPr>
          <w:sz w:val="20"/>
          <w:szCs w:val="20"/>
        </w:rPr>
        <w:t xml:space="preserve"> and identifying possible new or emerging risks that may require treatment. These fraud risk assessments form an integral part of our overall risk assessment framework.</w:t>
      </w:r>
    </w:p>
    <w:p w14:paraId="73558A5E" w14:textId="77777777" w:rsidR="00AB6753" w:rsidRPr="00D70386" w:rsidRDefault="00AB6753" w:rsidP="00AB6753">
      <w:pPr>
        <w:spacing w:after="0" w:line="240" w:lineRule="auto"/>
        <w:rPr>
          <w:sz w:val="24"/>
          <w:szCs w:val="24"/>
        </w:rPr>
      </w:pPr>
      <w:r w:rsidRPr="00D70386">
        <w:rPr>
          <w:b/>
          <w:sz w:val="24"/>
          <w:szCs w:val="24"/>
        </w:rPr>
        <w:t>Fraud and compliance awareness</w:t>
      </w:r>
    </w:p>
    <w:p w14:paraId="33AA3222"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In 2019–20, online fraud awareness training was made mandatory for all </w:t>
      </w:r>
      <w:r>
        <w:rPr>
          <w:sz w:val="20"/>
          <w:szCs w:val="20"/>
        </w:rPr>
        <w:t>staff.</w:t>
      </w:r>
      <w:r w:rsidRPr="003A570D">
        <w:rPr>
          <w:sz w:val="20"/>
          <w:szCs w:val="20"/>
        </w:rPr>
        <w:t xml:space="preserve"> Face-to-face fraud and compliance awareness presentations were also </w:t>
      </w:r>
      <w:r>
        <w:rPr>
          <w:sz w:val="20"/>
          <w:szCs w:val="20"/>
        </w:rPr>
        <w:t>facilitated with</w:t>
      </w:r>
      <w:r w:rsidRPr="003A570D">
        <w:rPr>
          <w:sz w:val="20"/>
          <w:szCs w:val="20"/>
        </w:rPr>
        <w:t xml:space="preserve"> staff.</w:t>
      </w:r>
    </w:p>
    <w:p w14:paraId="2352111A" w14:textId="77777777" w:rsidR="00AB6753" w:rsidRPr="002742AF"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Throughout the year, we communicated a series </w:t>
      </w:r>
      <w:r>
        <w:rPr>
          <w:sz w:val="20"/>
          <w:szCs w:val="20"/>
        </w:rPr>
        <w:t xml:space="preserve">of messages on </w:t>
      </w:r>
      <w:r w:rsidRPr="003A570D">
        <w:rPr>
          <w:sz w:val="20"/>
          <w:szCs w:val="20"/>
        </w:rPr>
        <w:t>fraud and corrupti</w:t>
      </w:r>
      <w:r>
        <w:rPr>
          <w:sz w:val="20"/>
          <w:szCs w:val="20"/>
        </w:rPr>
        <w:t>on</w:t>
      </w:r>
      <w:r w:rsidRPr="003A570D">
        <w:rPr>
          <w:sz w:val="20"/>
          <w:szCs w:val="20"/>
        </w:rPr>
        <w:t xml:space="preserve"> to encourage staff to learn about fraud and report suspicious behaviour.</w:t>
      </w:r>
    </w:p>
    <w:p w14:paraId="1E66E89D" w14:textId="77777777" w:rsidR="00AB6753" w:rsidRPr="00D70386" w:rsidRDefault="00AB6753" w:rsidP="00AB6753">
      <w:pPr>
        <w:spacing w:after="0" w:line="240" w:lineRule="auto"/>
        <w:rPr>
          <w:sz w:val="24"/>
          <w:szCs w:val="24"/>
        </w:rPr>
      </w:pPr>
      <w:r w:rsidRPr="00D70386">
        <w:rPr>
          <w:b/>
          <w:sz w:val="24"/>
          <w:szCs w:val="24"/>
        </w:rPr>
        <w:t>Fraud investigation</w:t>
      </w:r>
    </w:p>
    <w:p w14:paraId="6CF6A487" w14:textId="3784AFE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In 2019–20, we assessed 35 suspected internal and external fraud incidents through established referral mechanisms in accordance with paragraph (d) of the </w:t>
      </w:r>
      <w:r w:rsidRPr="004E717C">
        <w:rPr>
          <w:sz w:val="20"/>
          <w:szCs w:val="20"/>
        </w:rPr>
        <w:t>Fraud Rule</w:t>
      </w:r>
      <w:r w:rsidR="004E717C">
        <w:rPr>
          <w:sz w:val="20"/>
          <w:szCs w:val="20"/>
        </w:rPr>
        <w:t>.</w:t>
      </w:r>
      <w:r w:rsidRPr="004E717C">
        <w:rPr>
          <w:sz w:val="20"/>
          <w:szCs w:val="20"/>
        </w:rPr>
        <w:t xml:space="preserve"> </w:t>
      </w:r>
      <w:r w:rsidRPr="003A570D">
        <w:rPr>
          <w:sz w:val="20"/>
          <w:szCs w:val="20"/>
        </w:rPr>
        <w:t>These mechanisms allow officials, clients</w:t>
      </w:r>
      <w:r>
        <w:rPr>
          <w:sz w:val="20"/>
          <w:szCs w:val="20"/>
        </w:rPr>
        <w:t>,</w:t>
      </w:r>
      <w:r w:rsidRPr="003A570D">
        <w:rPr>
          <w:sz w:val="20"/>
          <w:szCs w:val="20"/>
        </w:rPr>
        <w:t xml:space="preserve"> and members of the public to </w:t>
      </w:r>
      <w:r>
        <w:rPr>
          <w:sz w:val="20"/>
          <w:szCs w:val="20"/>
        </w:rPr>
        <w:t xml:space="preserve">confidentially </w:t>
      </w:r>
      <w:r w:rsidRPr="003A570D">
        <w:rPr>
          <w:sz w:val="20"/>
          <w:szCs w:val="20"/>
        </w:rPr>
        <w:t>report incidents of suspected fraud</w:t>
      </w:r>
      <w:r>
        <w:rPr>
          <w:sz w:val="20"/>
          <w:szCs w:val="20"/>
        </w:rPr>
        <w:t xml:space="preserve">. </w:t>
      </w:r>
      <w:r w:rsidRPr="003A570D">
        <w:rPr>
          <w:sz w:val="20"/>
          <w:szCs w:val="20"/>
        </w:rPr>
        <w:t>Nine briefs of evidence were submitted to the Commonwealth Director of Public Prosecutions for consideration. Following an investigation, we also referred seven matters of criminal offending to a state law enforcement body.</w:t>
      </w:r>
    </w:p>
    <w:p w14:paraId="4D12B28C"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lastRenderedPageBreak/>
        <w:t>In circumstances where there was not sufficient evidence of criminal offending, there were appropriate referrals to relevant entities or programs for consideration of compliance and/or other preventive actions.</w:t>
      </w:r>
    </w:p>
    <w:p w14:paraId="61588717"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In 2019–20, we worked in partnership with other agencies to initiate information sharing to improve inter-agency responses to fraud. The development of these partnerships aligns with the aims of managing risk and incidents of fraud across the department and the Commonwealth.</w:t>
      </w:r>
    </w:p>
    <w:p w14:paraId="1C435C38" w14:textId="77777777" w:rsidR="00AB6753" w:rsidRDefault="00AB6753" w:rsidP="00AB6753">
      <w:pPr>
        <w:autoSpaceDE w:val="0"/>
        <w:autoSpaceDN w:val="0"/>
        <w:adjustRightInd w:val="0"/>
        <w:spacing w:before="120" w:after="180" w:line="280" w:lineRule="atLeast"/>
        <w:ind w:right="-164"/>
        <w:rPr>
          <w:sz w:val="20"/>
          <w:szCs w:val="20"/>
        </w:rPr>
      </w:pPr>
      <w:r w:rsidRPr="003A570D">
        <w:rPr>
          <w:sz w:val="20"/>
          <w:szCs w:val="20"/>
        </w:rPr>
        <w:t>We undertake all criminal investigations in accordance with the Australian Government Investigation Standards and all departmental investigators have at least the minimum qualifications stipulated in the standards.</w:t>
      </w:r>
    </w:p>
    <w:p w14:paraId="5F35822B" w14:textId="77777777" w:rsidR="00AB6753" w:rsidRPr="003A570D" w:rsidRDefault="00AB6753" w:rsidP="00AB6753">
      <w:pPr>
        <w:autoSpaceDE w:val="0"/>
        <w:autoSpaceDN w:val="0"/>
        <w:adjustRightInd w:val="0"/>
        <w:spacing w:before="120" w:after="180" w:line="280" w:lineRule="atLeast"/>
        <w:ind w:right="-164"/>
        <w:rPr>
          <w:sz w:val="20"/>
          <w:szCs w:val="20"/>
        </w:rPr>
      </w:pPr>
      <w:r w:rsidRPr="00C65959">
        <w:rPr>
          <w:sz w:val="20"/>
          <w:szCs w:val="20"/>
        </w:rPr>
        <w:t>In 2019</w:t>
      </w:r>
      <w:r>
        <w:rPr>
          <w:sz w:val="20"/>
          <w:szCs w:val="20"/>
        </w:rPr>
        <w:t>–</w:t>
      </w:r>
      <w:r w:rsidRPr="00C65959">
        <w:rPr>
          <w:sz w:val="20"/>
          <w:szCs w:val="20"/>
        </w:rPr>
        <w:t xml:space="preserve">20, we became a participating member of the Australian Federal Police hosted Operation </w:t>
      </w:r>
      <w:proofErr w:type="spellStart"/>
      <w:r w:rsidRPr="00C65959">
        <w:rPr>
          <w:sz w:val="20"/>
          <w:szCs w:val="20"/>
        </w:rPr>
        <w:t>Ashiba</w:t>
      </w:r>
      <w:proofErr w:type="spellEnd"/>
      <w:r w:rsidRPr="00C65959">
        <w:rPr>
          <w:sz w:val="20"/>
          <w:szCs w:val="20"/>
        </w:rPr>
        <w:t>, which was formed following the closure of the Fraud and Anti-Corruption Centre.</w:t>
      </w:r>
    </w:p>
    <w:p w14:paraId="22CFA3CF" w14:textId="77777777" w:rsidR="00AB6753" w:rsidRPr="00474C62" w:rsidRDefault="00AB6753" w:rsidP="00AB6753">
      <w:pPr>
        <w:pStyle w:val="Heading4"/>
        <w:spacing w:after="200"/>
        <w:rPr>
          <w:rFonts w:ascii="Georgia" w:hAnsi="Georgia"/>
          <w:b w:val="0"/>
          <w:i w:val="0"/>
          <w:sz w:val="36"/>
        </w:rPr>
      </w:pPr>
      <w:r w:rsidRPr="00474C62">
        <w:rPr>
          <w:rFonts w:ascii="Georgia" w:hAnsi="Georgia"/>
          <w:b w:val="0"/>
          <w:i w:val="0"/>
          <w:sz w:val="36"/>
        </w:rPr>
        <w:t>Agreements with third parties</w:t>
      </w:r>
    </w:p>
    <w:p w14:paraId="12CBFD2A" w14:textId="77777777" w:rsidR="00AB6753" w:rsidRPr="00652218" w:rsidRDefault="00AB6753" w:rsidP="00AB6753">
      <w:pPr>
        <w:autoSpaceDE w:val="0"/>
        <w:autoSpaceDN w:val="0"/>
        <w:adjustRightInd w:val="0"/>
        <w:spacing w:before="120" w:after="180" w:line="280" w:lineRule="atLeast"/>
        <w:ind w:right="-164"/>
        <w:rPr>
          <w:sz w:val="20"/>
          <w:szCs w:val="20"/>
        </w:rPr>
      </w:pPr>
      <w:r w:rsidRPr="00652218">
        <w:rPr>
          <w:sz w:val="20"/>
          <w:szCs w:val="20"/>
        </w:rPr>
        <w:t xml:space="preserve">To enable effective delivery of outcomes, the department enters into a range of agreements with third parties, including other Australian Government entities, state and territory government entities and external </w:t>
      </w:r>
      <w:r>
        <w:rPr>
          <w:sz w:val="20"/>
          <w:szCs w:val="20"/>
        </w:rPr>
        <w:t>organisations</w:t>
      </w:r>
      <w:r w:rsidRPr="00652218">
        <w:rPr>
          <w:sz w:val="20"/>
          <w:szCs w:val="20"/>
        </w:rPr>
        <w:t>. These agreements govern the way in which one party delivers programs, payments</w:t>
      </w:r>
      <w:r>
        <w:rPr>
          <w:sz w:val="20"/>
          <w:szCs w:val="20"/>
        </w:rPr>
        <w:t>,</w:t>
      </w:r>
      <w:r w:rsidRPr="00652218">
        <w:rPr>
          <w:sz w:val="20"/>
          <w:szCs w:val="20"/>
        </w:rPr>
        <w:t xml:space="preserve"> and services on behalf of the other.</w:t>
      </w:r>
    </w:p>
    <w:p w14:paraId="36BBFA3E" w14:textId="77777777" w:rsidR="00AB6753" w:rsidRPr="001B65AF" w:rsidRDefault="00AB6753" w:rsidP="00AB6753">
      <w:pPr>
        <w:pStyle w:val="Heading4"/>
        <w:spacing w:after="200"/>
        <w:rPr>
          <w:rFonts w:ascii="Georgia" w:hAnsi="Georgia"/>
          <w:b w:val="0"/>
          <w:i w:val="0"/>
          <w:sz w:val="36"/>
        </w:rPr>
      </w:pPr>
      <w:r w:rsidRPr="001B65AF">
        <w:rPr>
          <w:rFonts w:ascii="Georgia" w:hAnsi="Georgia"/>
          <w:b w:val="0"/>
          <w:i w:val="0"/>
          <w:sz w:val="36"/>
        </w:rPr>
        <w:t>Ethical standards</w:t>
      </w:r>
    </w:p>
    <w:p w14:paraId="647BE906" w14:textId="77777777" w:rsidR="00AB6753" w:rsidRPr="00057B25" w:rsidRDefault="00AB6753" w:rsidP="00AB6753">
      <w:pPr>
        <w:autoSpaceDE w:val="0"/>
        <w:autoSpaceDN w:val="0"/>
        <w:adjustRightInd w:val="0"/>
        <w:spacing w:before="120" w:after="180" w:line="280" w:lineRule="atLeast"/>
        <w:ind w:right="-164"/>
        <w:rPr>
          <w:sz w:val="20"/>
          <w:szCs w:val="20"/>
        </w:rPr>
      </w:pPr>
      <w:r w:rsidRPr="003A570D">
        <w:rPr>
          <w:sz w:val="20"/>
          <w:szCs w:val="20"/>
        </w:rPr>
        <w:t>We promote ethical standards and behaviours relating to our workplace and employment, including:</w:t>
      </w:r>
    </w:p>
    <w:p w14:paraId="00A7767B"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the APS Code of Conduct</w:t>
      </w:r>
      <w:r>
        <w:rPr>
          <w:rFonts w:cs="Arial"/>
          <w:sz w:val="20"/>
        </w:rPr>
        <w:t>,</w:t>
      </w:r>
      <w:r w:rsidRPr="00214B7D">
        <w:rPr>
          <w:rFonts w:cs="Arial"/>
          <w:sz w:val="20"/>
        </w:rPr>
        <w:t xml:space="preserve"> the APS Values, and the APS Employment Principles</w:t>
      </w:r>
    </w:p>
    <w:p w14:paraId="3379045B"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information on bullying and harassment</w:t>
      </w:r>
    </w:p>
    <w:p w14:paraId="44A8EF53"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guidance on acceptance of gifts and benefits</w:t>
      </w:r>
    </w:p>
    <w:p w14:paraId="1FF22772"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information on conflict of interest and outside employment</w:t>
      </w:r>
    </w:p>
    <w:p w14:paraId="27E00BF2"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guidance on ethical behaviour in practice</w:t>
      </w:r>
      <w:r>
        <w:rPr>
          <w:rFonts w:cs="Arial"/>
          <w:sz w:val="20"/>
        </w:rPr>
        <w:t>.</w:t>
      </w:r>
    </w:p>
    <w:p w14:paraId="5936F9FC" w14:textId="77777777" w:rsidR="00AB6753" w:rsidRPr="00C65959" w:rsidRDefault="00AB6753" w:rsidP="00AB6753">
      <w:pPr>
        <w:autoSpaceDE w:val="0"/>
        <w:autoSpaceDN w:val="0"/>
        <w:adjustRightInd w:val="0"/>
        <w:spacing w:before="120" w:after="180" w:line="280" w:lineRule="atLeast"/>
        <w:ind w:right="-164"/>
        <w:rPr>
          <w:sz w:val="20"/>
          <w:szCs w:val="20"/>
        </w:rPr>
      </w:pPr>
      <w:r>
        <w:rPr>
          <w:sz w:val="20"/>
          <w:szCs w:val="20"/>
        </w:rPr>
        <w:t xml:space="preserve">We </w:t>
      </w:r>
      <w:r w:rsidRPr="003A570D">
        <w:rPr>
          <w:sz w:val="20"/>
          <w:szCs w:val="20"/>
        </w:rPr>
        <w:t xml:space="preserve">incorporate the APS Code of Conduct and the APS Values in each employee’s individual performance agreement. Staff are able to access a range of courses relating to ethical and respectful behaviours through </w:t>
      </w:r>
      <w:r>
        <w:rPr>
          <w:sz w:val="20"/>
          <w:szCs w:val="20"/>
        </w:rPr>
        <w:t xml:space="preserve">our </w:t>
      </w:r>
      <w:r w:rsidRPr="003A570D">
        <w:rPr>
          <w:sz w:val="20"/>
          <w:szCs w:val="20"/>
        </w:rPr>
        <w:t>learning management system.</w:t>
      </w:r>
    </w:p>
    <w:p w14:paraId="2D2125CB" w14:textId="77777777" w:rsidR="00AB6753" w:rsidRPr="001B65AF" w:rsidRDefault="00AB6753" w:rsidP="00AB6753">
      <w:pPr>
        <w:pStyle w:val="Heading4"/>
        <w:spacing w:after="200"/>
        <w:rPr>
          <w:rFonts w:ascii="Georgia" w:hAnsi="Georgia"/>
          <w:b w:val="0"/>
          <w:i w:val="0"/>
          <w:sz w:val="36"/>
        </w:rPr>
      </w:pPr>
      <w:r w:rsidRPr="001B65AF">
        <w:rPr>
          <w:rFonts w:ascii="Georgia" w:hAnsi="Georgia"/>
          <w:b w:val="0"/>
          <w:i w:val="0"/>
          <w:sz w:val="36"/>
        </w:rPr>
        <w:t>Service Charter</w:t>
      </w:r>
    </w:p>
    <w:p w14:paraId="6BB3B024" w14:textId="77777777" w:rsidR="00AB6753" w:rsidRPr="00C65959" w:rsidRDefault="00AB6753" w:rsidP="00AB6753">
      <w:pPr>
        <w:autoSpaceDE w:val="0"/>
        <w:autoSpaceDN w:val="0"/>
        <w:adjustRightInd w:val="0"/>
        <w:spacing w:before="120" w:after="180" w:line="280" w:lineRule="atLeast"/>
        <w:ind w:right="-164"/>
        <w:rPr>
          <w:sz w:val="20"/>
          <w:szCs w:val="20"/>
        </w:rPr>
      </w:pPr>
      <w:r w:rsidRPr="00C65959">
        <w:rPr>
          <w:sz w:val="20"/>
          <w:szCs w:val="20"/>
        </w:rPr>
        <w:t>Our Service Charter sets out the standards of service our clients can expect and ways to help us</w:t>
      </w:r>
      <w:r>
        <w:rPr>
          <w:sz w:val="20"/>
          <w:szCs w:val="20"/>
        </w:rPr>
        <w:t xml:space="preserve"> </w:t>
      </w:r>
      <w:r w:rsidRPr="00C65959">
        <w:rPr>
          <w:sz w:val="20"/>
          <w:szCs w:val="20"/>
        </w:rPr>
        <w:t>improve our customer service. The Charter also helps our staff understand their roles and responsibilities.</w:t>
      </w:r>
    </w:p>
    <w:p w14:paraId="67793549" w14:textId="77777777" w:rsidR="00AB6753" w:rsidRPr="00C65959" w:rsidRDefault="00AB6753" w:rsidP="00AB6753">
      <w:pPr>
        <w:autoSpaceDE w:val="0"/>
        <w:autoSpaceDN w:val="0"/>
        <w:adjustRightInd w:val="0"/>
        <w:spacing w:before="120" w:after="180" w:line="280" w:lineRule="atLeast"/>
        <w:ind w:right="-164"/>
        <w:rPr>
          <w:sz w:val="20"/>
          <w:szCs w:val="20"/>
        </w:rPr>
      </w:pPr>
      <w:r w:rsidRPr="00C65959">
        <w:rPr>
          <w:sz w:val="20"/>
          <w:szCs w:val="20"/>
        </w:rPr>
        <w:t>For further information on our Service Charter, go to dss.gov.au</w:t>
      </w:r>
    </w:p>
    <w:p w14:paraId="2FFE140D" w14:textId="77777777" w:rsidR="00AB6753" w:rsidRPr="001B65AF" w:rsidRDefault="00AB6753" w:rsidP="00AB6753">
      <w:pPr>
        <w:pStyle w:val="Heading4"/>
        <w:spacing w:after="200"/>
        <w:rPr>
          <w:rFonts w:ascii="Georgia" w:hAnsi="Georgia"/>
          <w:b w:val="0"/>
          <w:i w:val="0"/>
          <w:sz w:val="36"/>
        </w:rPr>
      </w:pPr>
      <w:r w:rsidRPr="001B65AF">
        <w:rPr>
          <w:rFonts w:ascii="Georgia" w:hAnsi="Georgia"/>
          <w:b w:val="0"/>
          <w:i w:val="0"/>
          <w:sz w:val="36"/>
        </w:rPr>
        <w:t>Complaints management</w:t>
      </w:r>
    </w:p>
    <w:p w14:paraId="41540B18"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We value feedback on the experiences the public has with our department or department</w:t>
      </w:r>
      <w:r>
        <w:rPr>
          <w:sz w:val="20"/>
          <w:szCs w:val="20"/>
        </w:rPr>
        <w:t>-</w:t>
      </w:r>
      <w:r w:rsidRPr="003A570D">
        <w:rPr>
          <w:sz w:val="20"/>
          <w:szCs w:val="20"/>
        </w:rPr>
        <w:t>funded service providers. This enables us to improve our quality of service to all Australians.</w:t>
      </w:r>
    </w:p>
    <w:p w14:paraId="503A5F6D"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In 2019</w:t>
      </w:r>
      <w:r>
        <w:rPr>
          <w:sz w:val="20"/>
          <w:szCs w:val="20"/>
        </w:rPr>
        <w:t>–</w:t>
      </w:r>
      <w:r w:rsidRPr="003A570D">
        <w:rPr>
          <w:sz w:val="20"/>
          <w:szCs w:val="20"/>
        </w:rPr>
        <w:t>20, 1,197 formal complaints were received through our Feedback Management System.</w:t>
      </w:r>
    </w:p>
    <w:p w14:paraId="673356D0" w14:textId="77777777" w:rsidR="00F111F2" w:rsidRDefault="00F111F2" w:rsidP="00AB6753">
      <w:pPr>
        <w:autoSpaceDE w:val="0"/>
        <w:autoSpaceDN w:val="0"/>
        <w:adjustRightInd w:val="0"/>
        <w:spacing w:before="120" w:after="180" w:line="280" w:lineRule="atLeast"/>
        <w:ind w:right="-164"/>
        <w:rPr>
          <w:sz w:val="20"/>
          <w:szCs w:val="20"/>
        </w:rPr>
      </w:pPr>
    </w:p>
    <w:p w14:paraId="6A6BABEA" w14:textId="649C9CAC"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lastRenderedPageBreak/>
        <w:t>The top three areas of complaint were</w:t>
      </w:r>
      <w:r>
        <w:rPr>
          <w:sz w:val="20"/>
          <w:szCs w:val="20"/>
        </w:rPr>
        <w:t xml:space="preserve"> about</w:t>
      </w:r>
      <w:r w:rsidRPr="003A570D">
        <w:rPr>
          <w:sz w:val="20"/>
          <w:szCs w:val="20"/>
        </w:rPr>
        <w:t>:</w:t>
      </w:r>
    </w:p>
    <w:p w14:paraId="3FAF2F9C"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Social Security Payments</w:t>
      </w:r>
    </w:p>
    <w:p w14:paraId="3EC25A53"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the National Redress Scheme</w:t>
      </w:r>
    </w:p>
    <w:p w14:paraId="410FF626" w14:textId="77777777" w:rsidR="00AB6753" w:rsidRPr="000D64B1" w:rsidRDefault="00AB6753" w:rsidP="00AB6753">
      <w:pPr>
        <w:pStyle w:val="ListParagraph"/>
        <w:numPr>
          <w:ilvl w:val="0"/>
          <w:numId w:val="6"/>
        </w:numPr>
        <w:autoSpaceDE w:val="0"/>
        <w:autoSpaceDN w:val="0"/>
        <w:adjustRightInd w:val="0"/>
        <w:spacing w:before="120" w:after="180" w:line="280" w:lineRule="atLeast"/>
        <w:ind w:right="-164" w:hanging="357"/>
        <w:rPr>
          <w:rFonts w:ascii="Georgia" w:eastAsiaTheme="majorEastAsia" w:hAnsi="Georgia" w:cstheme="majorBidi"/>
          <w:bCs/>
          <w:iCs/>
          <w:sz w:val="36"/>
        </w:rPr>
      </w:pPr>
      <w:r w:rsidRPr="00E7305D">
        <w:rPr>
          <w:rFonts w:cs="Arial"/>
          <w:sz w:val="20"/>
        </w:rPr>
        <w:t xml:space="preserve">the </w:t>
      </w:r>
      <w:r w:rsidRPr="000D64B1">
        <w:rPr>
          <w:rFonts w:cs="Arial"/>
          <w:sz w:val="20"/>
        </w:rPr>
        <w:t>National Rental Affordability Scheme.</w:t>
      </w:r>
    </w:p>
    <w:p w14:paraId="1C62DB09" w14:textId="77777777" w:rsidR="00AB6753" w:rsidRPr="00103BFF" w:rsidRDefault="00AB6753" w:rsidP="00AB6753">
      <w:pPr>
        <w:pStyle w:val="Heading4"/>
        <w:spacing w:after="200"/>
        <w:rPr>
          <w:rFonts w:ascii="Georgia" w:hAnsi="Georgia"/>
          <w:b w:val="0"/>
          <w:i w:val="0"/>
          <w:sz w:val="36"/>
        </w:rPr>
      </w:pPr>
      <w:r w:rsidRPr="00103BFF">
        <w:rPr>
          <w:rFonts w:ascii="Georgia" w:hAnsi="Georgia"/>
          <w:b w:val="0"/>
          <w:i w:val="0"/>
          <w:sz w:val="36"/>
        </w:rPr>
        <w:t>Freedom of Information</w:t>
      </w:r>
    </w:p>
    <w:p w14:paraId="1779A9D6" w14:textId="77777777" w:rsidR="00AB6753" w:rsidRPr="00057B25" w:rsidRDefault="00AB6753" w:rsidP="00AB6753">
      <w:pPr>
        <w:autoSpaceDE w:val="0"/>
        <w:autoSpaceDN w:val="0"/>
        <w:adjustRightInd w:val="0"/>
        <w:spacing w:before="120" w:after="180" w:line="280" w:lineRule="atLeast"/>
        <w:ind w:right="-164"/>
        <w:rPr>
          <w:sz w:val="20"/>
          <w:szCs w:val="20"/>
        </w:rPr>
      </w:pPr>
      <w:r>
        <w:rPr>
          <w:sz w:val="20"/>
          <w:szCs w:val="20"/>
        </w:rPr>
        <w:t xml:space="preserve">We are </w:t>
      </w:r>
      <w:r w:rsidRPr="00057B25">
        <w:rPr>
          <w:sz w:val="20"/>
          <w:szCs w:val="20"/>
        </w:rPr>
        <w:t xml:space="preserve">subject to the </w:t>
      </w:r>
      <w:r w:rsidRPr="00544924">
        <w:rPr>
          <w:i/>
          <w:iCs/>
          <w:sz w:val="20"/>
          <w:szCs w:val="20"/>
        </w:rPr>
        <w:t>Freedom of Information Act 1982</w:t>
      </w:r>
      <w:r w:rsidRPr="00057B25">
        <w:rPr>
          <w:sz w:val="20"/>
          <w:szCs w:val="20"/>
        </w:rPr>
        <w:t xml:space="preserve"> (FOI Act) and </w:t>
      </w:r>
      <w:r>
        <w:rPr>
          <w:sz w:val="20"/>
          <w:szCs w:val="20"/>
        </w:rPr>
        <w:t>we c</w:t>
      </w:r>
      <w:r w:rsidRPr="00057B25">
        <w:rPr>
          <w:sz w:val="20"/>
          <w:szCs w:val="20"/>
        </w:rPr>
        <w:t>ompl</w:t>
      </w:r>
      <w:r>
        <w:rPr>
          <w:sz w:val="20"/>
          <w:szCs w:val="20"/>
        </w:rPr>
        <w:t>y</w:t>
      </w:r>
      <w:r w:rsidRPr="00057B25">
        <w:rPr>
          <w:sz w:val="20"/>
          <w:szCs w:val="20"/>
        </w:rPr>
        <w:t xml:space="preserve"> with the requirement to publish information to the public as part of the Information Publication Scheme (IPS). This requirement is in Part II of the FOI Act and has replaced the former requirement to publish a section 8 statement in an annual report. </w:t>
      </w:r>
      <w:r>
        <w:rPr>
          <w:sz w:val="20"/>
          <w:szCs w:val="20"/>
        </w:rPr>
        <w:t>To view the</w:t>
      </w:r>
      <w:r w:rsidRPr="00057B25">
        <w:rPr>
          <w:sz w:val="20"/>
          <w:szCs w:val="20"/>
        </w:rPr>
        <w:t xml:space="preserve"> department prepared</w:t>
      </w:r>
      <w:r>
        <w:rPr>
          <w:sz w:val="20"/>
          <w:szCs w:val="20"/>
        </w:rPr>
        <w:t xml:space="preserve"> </w:t>
      </w:r>
      <w:r w:rsidRPr="00057B25">
        <w:rPr>
          <w:sz w:val="20"/>
          <w:szCs w:val="20"/>
        </w:rPr>
        <w:t>IPS agency plan</w:t>
      </w:r>
      <w:r>
        <w:rPr>
          <w:sz w:val="20"/>
          <w:szCs w:val="20"/>
        </w:rPr>
        <w:t xml:space="preserve">, </w:t>
      </w:r>
      <w:r w:rsidRPr="00057B25">
        <w:rPr>
          <w:bCs/>
          <w:sz w:val="20"/>
          <w:szCs w:val="20"/>
        </w:rPr>
        <w:t>go to dss.gov.au</w:t>
      </w:r>
    </w:p>
    <w:p w14:paraId="317527BF" w14:textId="77777777" w:rsidR="00AB6753" w:rsidRPr="00833C50" w:rsidRDefault="00AB6753" w:rsidP="00AB6753">
      <w:pPr>
        <w:pStyle w:val="Heading4"/>
        <w:spacing w:after="200"/>
        <w:rPr>
          <w:rFonts w:ascii="Georgia" w:hAnsi="Georgia"/>
          <w:b w:val="0"/>
          <w:i w:val="0"/>
          <w:sz w:val="36"/>
        </w:rPr>
      </w:pPr>
      <w:r w:rsidRPr="00057B25">
        <w:rPr>
          <w:rFonts w:ascii="Georgia" w:hAnsi="Georgia"/>
          <w:b w:val="0"/>
          <w:i w:val="0"/>
          <w:sz w:val="36"/>
        </w:rPr>
        <w:t>Privacy</w:t>
      </w:r>
    </w:p>
    <w:p w14:paraId="76829C48" w14:textId="77777777" w:rsidR="00AB6753" w:rsidRPr="00357FBA" w:rsidRDefault="00AB6753" w:rsidP="00AB6753">
      <w:pPr>
        <w:autoSpaceDE w:val="0"/>
        <w:autoSpaceDN w:val="0"/>
        <w:adjustRightInd w:val="0"/>
        <w:spacing w:before="120" w:after="180" w:line="280" w:lineRule="atLeast"/>
        <w:ind w:right="-164"/>
        <w:rPr>
          <w:sz w:val="20"/>
          <w:szCs w:val="20"/>
        </w:rPr>
      </w:pPr>
      <w:r>
        <w:rPr>
          <w:sz w:val="20"/>
          <w:szCs w:val="20"/>
        </w:rPr>
        <w:t xml:space="preserve">Our </w:t>
      </w:r>
      <w:r w:rsidRPr="00357FBA">
        <w:rPr>
          <w:sz w:val="20"/>
          <w:szCs w:val="20"/>
        </w:rPr>
        <w:t>privacy</w:t>
      </w:r>
      <w:r>
        <w:rPr>
          <w:sz w:val="20"/>
          <w:szCs w:val="20"/>
        </w:rPr>
        <w:t xml:space="preserve"> framework is guided by our privacy</w:t>
      </w:r>
      <w:r w:rsidRPr="00357FBA">
        <w:rPr>
          <w:sz w:val="20"/>
          <w:szCs w:val="20"/>
        </w:rPr>
        <w:t xml:space="preserve"> policy</w:t>
      </w:r>
      <w:r>
        <w:rPr>
          <w:sz w:val="20"/>
          <w:szCs w:val="20"/>
        </w:rPr>
        <w:t xml:space="preserve">. The privacy policy guides how we deal with personal </w:t>
      </w:r>
      <w:r w:rsidRPr="00357FBA">
        <w:rPr>
          <w:sz w:val="20"/>
          <w:szCs w:val="20"/>
        </w:rPr>
        <w:t xml:space="preserve">information in respect of our functions and activities. </w:t>
      </w:r>
      <w:r w:rsidRPr="00057B25">
        <w:rPr>
          <w:sz w:val="20"/>
          <w:szCs w:val="20"/>
        </w:rPr>
        <w:t>For further information on our privacy policy, go to dss.gov.au</w:t>
      </w:r>
    </w:p>
    <w:p w14:paraId="0BB26474" w14:textId="77777777" w:rsidR="00AB6753" w:rsidRPr="00357FBA" w:rsidRDefault="00AB6753" w:rsidP="00AB6753">
      <w:pPr>
        <w:autoSpaceDE w:val="0"/>
        <w:autoSpaceDN w:val="0"/>
        <w:adjustRightInd w:val="0"/>
        <w:spacing w:before="120" w:after="180" w:line="280" w:lineRule="atLeast"/>
        <w:ind w:right="-164"/>
        <w:rPr>
          <w:sz w:val="20"/>
          <w:szCs w:val="20"/>
        </w:rPr>
      </w:pPr>
      <w:r w:rsidRPr="00357FBA">
        <w:rPr>
          <w:sz w:val="20"/>
          <w:szCs w:val="20"/>
        </w:rPr>
        <w:t xml:space="preserve">The Privacy Commissioner may investigate a </w:t>
      </w:r>
      <w:r>
        <w:rPr>
          <w:sz w:val="20"/>
          <w:szCs w:val="20"/>
        </w:rPr>
        <w:t xml:space="preserve">privacy issue, including breach </w:t>
      </w:r>
      <w:r w:rsidRPr="00357FBA">
        <w:rPr>
          <w:sz w:val="20"/>
          <w:szCs w:val="20"/>
        </w:rPr>
        <w:t>notifications and complaints, and issue a report or determination.</w:t>
      </w:r>
    </w:p>
    <w:p w14:paraId="55C47800" w14:textId="77777777" w:rsidR="00AB6753" w:rsidRPr="00B16148" w:rsidRDefault="00AB6753" w:rsidP="00AB6753">
      <w:pPr>
        <w:autoSpaceDE w:val="0"/>
        <w:autoSpaceDN w:val="0"/>
        <w:adjustRightInd w:val="0"/>
        <w:spacing w:before="120" w:after="180" w:line="280" w:lineRule="atLeast"/>
        <w:ind w:right="-164"/>
        <w:rPr>
          <w:sz w:val="20"/>
          <w:szCs w:val="20"/>
        </w:rPr>
      </w:pPr>
      <w:r w:rsidRPr="00B16148">
        <w:rPr>
          <w:sz w:val="20"/>
          <w:szCs w:val="20"/>
        </w:rPr>
        <w:t xml:space="preserve">The Privacy Commissioner made inquiries in relation to one privacy breach and one privacy complaint </w:t>
      </w:r>
      <w:r>
        <w:rPr>
          <w:sz w:val="20"/>
          <w:szCs w:val="20"/>
        </w:rPr>
        <w:t xml:space="preserve">in 2019–20. </w:t>
      </w:r>
      <w:r w:rsidRPr="00B16148">
        <w:rPr>
          <w:sz w:val="20"/>
          <w:szCs w:val="20"/>
        </w:rPr>
        <w:t>No reports or determinations relating to these matters were made.</w:t>
      </w:r>
    </w:p>
    <w:p w14:paraId="6D3C8B3D" w14:textId="77777777" w:rsidR="00AB6753" w:rsidRDefault="00AB6753" w:rsidP="00AB6753">
      <w:pPr>
        <w:rPr>
          <w:rFonts w:eastAsiaTheme="majorEastAsia" w:cstheme="majorBidi"/>
          <w:bCs/>
          <w:sz w:val="28"/>
        </w:rPr>
      </w:pPr>
      <w:r>
        <w:rPr>
          <w:b/>
          <w:sz w:val="28"/>
        </w:rPr>
        <w:br w:type="page"/>
      </w:r>
    </w:p>
    <w:p w14:paraId="46B68AF0" w14:textId="77777777" w:rsidR="00AB6753" w:rsidRPr="00DC2644" w:rsidRDefault="00AB6753" w:rsidP="00AB6753">
      <w:pPr>
        <w:pStyle w:val="Heading5"/>
        <w:spacing w:after="200"/>
        <w:rPr>
          <w:b w:val="0"/>
          <w:color w:val="auto"/>
          <w:sz w:val="28"/>
        </w:rPr>
      </w:pPr>
      <w:r w:rsidRPr="00DC2644">
        <w:rPr>
          <w:b w:val="0"/>
          <w:color w:val="auto"/>
          <w:sz w:val="28"/>
        </w:rPr>
        <w:lastRenderedPageBreak/>
        <w:t>Chapter 4.2</w:t>
      </w:r>
    </w:p>
    <w:p w14:paraId="63FCE2B1" w14:textId="77777777" w:rsidR="00AB6753" w:rsidRPr="00054A67" w:rsidRDefault="00AB6753" w:rsidP="00AB6753">
      <w:pPr>
        <w:pStyle w:val="Heading1"/>
        <w:spacing w:before="240" w:after="240"/>
        <w:rPr>
          <w:rFonts w:ascii="Georgia" w:hAnsi="Georgia"/>
          <w:b w:val="0"/>
          <w:color w:val="215868" w:themeColor="accent5" w:themeShade="80"/>
          <w:sz w:val="72"/>
        </w:rPr>
      </w:pPr>
      <w:r w:rsidRPr="00054A67">
        <w:rPr>
          <w:rFonts w:ascii="Georgia" w:hAnsi="Georgia"/>
          <w:b w:val="0"/>
          <w:color w:val="215868" w:themeColor="accent5" w:themeShade="80"/>
          <w:sz w:val="72"/>
        </w:rPr>
        <w:t>External scrutiny</w:t>
      </w:r>
    </w:p>
    <w:p w14:paraId="77918168" w14:textId="77777777" w:rsidR="00AB6753" w:rsidRDefault="00AB6753" w:rsidP="00AB6753">
      <w:pPr>
        <w:autoSpaceDE w:val="0"/>
        <w:autoSpaceDN w:val="0"/>
        <w:adjustRightInd w:val="0"/>
        <w:spacing w:before="120" w:after="180" w:line="280" w:lineRule="atLeast"/>
        <w:ind w:right="-164"/>
      </w:pPr>
      <w:r w:rsidRPr="003A570D">
        <w:rPr>
          <w:sz w:val="20"/>
          <w:szCs w:val="20"/>
        </w:rPr>
        <w:t>Our operations are scrutinised by external entities such as the Australian National Audit Office (ANAO), the Commonwealth Ombudsman</w:t>
      </w:r>
      <w:r>
        <w:rPr>
          <w:sz w:val="20"/>
          <w:szCs w:val="20"/>
        </w:rPr>
        <w:t>,</w:t>
      </w:r>
      <w:r w:rsidRPr="003A570D">
        <w:rPr>
          <w:sz w:val="20"/>
          <w:szCs w:val="20"/>
        </w:rPr>
        <w:t xml:space="preserve"> and committees of the Australian Parliament</w:t>
      </w:r>
      <w:r>
        <w:t>.</w:t>
      </w:r>
    </w:p>
    <w:p w14:paraId="241E5C35" w14:textId="77777777" w:rsidR="00AB6753" w:rsidRPr="003A570D" w:rsidRDefault="00AB6753" w:rsidP="00AB6753">
      <w:pPr>
        <w:pStyle w:val="Heading4"/>
        <w:spacing w:after="200"/>
        <w:rPr>
          <w:rFonts w:ascii="Georgia" w:hAnsi="Georgia"/>
          <w:b w:val="0"/>
          <w:i w:val="0"/>
          <w:sz w:val="36"/>
        </w:rPr>
      </w:pPr>
      <w:r w:rsidRPr="003A570D">
        <w:rPr>
          <w:rFonts w:ascii="Georgia" w:hAnsi="Georgia"/>
          <w:b w:val="0"/>
          <w:i w:val="0"/>
          <w:sz w:val="36"/>
        </w:rPr>
        <w:t>Reports by the Australian National Audit Office</w:t>
      </w:r>
    </w:p>
    <w:p w14:paraId="3BC4269C" w14:textId="77777777" w:rsidR="00AB6753" w:rsidRPr="005F1171" w:rsidRDefault="00AB6753" w:rsidP="00AB6753">
      <w:pPr>
        <w:autoSpaceDE w:val="0"/>
        <w:autoSpaceDN w:val="0"/>
        <w:adjustRightInd w:val="0"/>
        <w:spacing w:before="120" w:after="180" w:line="280" w:lineRule="atLeast"/>
        <w:ind w:right="-164"/>
        <w:rPr>
          <w:i/>
          <w:color w:val="548DD4" w:themeColor="text2" w:themeTint="99"/>
          <w:sz w:val="20"/>
          <w:szCs w:val="20"/>
        </w:rPr>
      </w:pPr>
      <w:r w:rsidRPr="003A570D">
        <w:rPr>
          <w:sz w:val="20"/>
          <w:szCs w:val="20"/>
        </w:rPr>
        <w:t>In 2019</w:t>
      </w:r>
      <w:r>
        <w:rPr>
          <w:sz w:val="20"/>
          <w:szCs w:val="20"/>
        </w:rPr>
        <w:t>–</w:t>
      </w:r>
      <w:r w:rsidRPr="003A570D">
        <w:rPr>
          <w:sz w:val="20"/>
          <w:szCs w:val="20"/>
        </w:rPr>
        <w:t>20</w:t>
      </w:r>
      <w:r>
        <w:rPr>
          <w:sz w:val="20"/>
          <w:szCs w:val="20"/>
        </w:rPr>
        <w:t>,</w:t>
      </w:r>
      <w:r w:rsidRPr="003A570D">
        <w:rPr>
          <w:sz w:val="20"/>
          <w:szCs w:val="20"/>
        </w:rPr>
        <w:t xml:space="preserve"> the ANAO tabled </w:t>
      </w:r>
      <w:r>
        <w:rPr>
          <w:sz w:val="20"/>
          <w:szCs w:val="20"/>
        </w:rPr>
        <w:t>a</w:t>
      </w:r>
      <w:r w:rsidRPr="003A570D">
        <w:rPr>
          <w:sz w:val="20"/>
          <w:szCs w:val="20"/>
        </w:rPr>
        <w:t xml:space="preserve"> cross agency performance audit report involving</w:t>
      </w:r>
      <w:r>
        <w:rPr>
          <w:sz w:val="20"/>
          <w:szCs w:val="20"/>
        </w:rPr>
        <w:t xml:space="preserve"> the department on the d</w:t>
      </w:r>
      <w:r w:rsidRPr="000073DF">
        <w:rPr>
          <w:sz w:val="20"/>
          <w:szCs w:val="20"/>
        </w:rPr>
        <w:t>elivery of the Humanitarian Settlement Program</w:t>
      </w:r>
      <w:r>
        <w:rPr>
          <w:sz w:val="20"/>
          <w:szCs w:val="20"/>
        </w:rPr>
        <w:t>.</w:t>
      </w:r>
    </w:p>
    <w:p w14:paraId="6F0A01D7"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The ANAO also completed two performance audits focussed on the department:</w:t>
      </w:r>
    </w:p>
    <w:p w14:paraId="6DF586C5"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Management of Agreements for Disability Employment Services</w:t>
      </w:r>
    </w:p>
    <w:p w14:paraId="7F402288"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Fraud Control Arrangements in the Department of Social Services.</w:t>
      </w:r>
    </w:p>
    <w:p w14:paraId="5A79BC0F"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The following ANAO reports are in the preparation stage:</w:t>
      </w:r>
    </w:p>
    <w:p w14:paraId="0B3060A5"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Financial Statements of Australian Government Entities for the Period Ended 30 June 2020</w:t>
      </w:r>
    </w:p>
    <w:p w14:paraId="59F86192"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Decision-making controls for NDIS participant plans.</w:t>
      </w:r>
    </w:p>
    <w:p w14:paraId="28C410C2" w14:textId="77777777" w:rsidR="00AB6753" w:rsidRPr="000073DF" w:rsidRDefault="00AB6753" w:rsidP="00AB6753">
      <w:pPr>
        <w:autoSpaceDE w:val="0"/>
        <w:autoSpaceDN w:val="0"/>
        <w:adjustRightInd w:val="0"/>
        <w:spacing w:before="120" w:after="180" w:line="280" w:lineRule="atLeast"/>
        <w:ind w:right="-164"/>
        <w:rPr>
          <w:sz w:val="20"/>
          <w:szCs w:val="20"/>
        </w:rPr>
      </w:pPr>
      <w:r w:rsidRPr="003A570D">
        <w:rPr>
          <w:sz w:val="20"/>
          <w:szCs w:val="20"/>
        </w:rPr>
        <w:t>Completed audits can be found on the ANAO website</w:t>
      </w:r>
      <w:r>
        <w:rPr>
          <w:sz w:val="20"/>
          <w:szCs w:val="20"/>
        </w:rPr>
        <w:t>. To view the completed audits</w:t>
      </w:r>
      <w:r w:rsidRPr="003A570D">
        <w:rPr>
          <w:sz w:val="20"/>
          <w:szCs w:val="20"/>
        </w:rPr>
        <w:t>, go to anao.gov.au</w:t>
      </w:r>
    </w:p>
    <w:p w14:paraId="04C3997A" w14:textId="77777777" w:rsidR="00AB6753" w:rsidRPr="003A570D" w:rsidRDefault="00AB6753" w:rsidP="00AB6753">
      <w:pPr>
        <w:pStyle w:val="Heading4"/>
        <w:spacing w:after="200"/>
        <w:rPr>
          <w:rFonts w:ascii="Georgia" w:hAnsi="Georgia"/>
          <w:b w:val="0"/>
          <w:i w:val="0"/>
          <w:sz w:val="36"/>
        </w:rPr>
      </w:pPr>
      <w:r w:rsidRPr="003A570D">
        <w:rPr>
          <w:rFonts w:ascii="Georgia" w:hAnsi="Georgia"/>
          <w:b w:val="0"/>
          <w:i w:val="0"/>
          <w:sz w:val="36"/>
        </w:rPr>
        <w:t>Reports by the Commonwealth Ombudsman</w:t>
      </w:r>
    </w:p>
    <w:p w14:paraId="5EE39D3C" w14:textId="77777777" w:rsidR="00AB6753" w:rsidRPr="000073DF" w:rsidRDefault="00AB6753" w:rsidP="00AB6753">
      <w:pPr>
        <w:autoSpaceDE w:val="0"/>
        <w:autoSpaceDN w:val="0"/>
        <w:adjustRightInd w:val="0"/>
        <w:spacing w:before="120" w:after="180" w:line="280" w:lineRule="atLeast"/>
        <w:ind w:right="-164"/>
        <w:rPr>
          <w:sz w:val="20"/>
          <w:szCs w:val="20"/>
        </w:rPr>
      </w:pPr>
      <w:r w:rsidRPr="000073DF">
        <w:rPr>
          <w:sz w:val="20"/>
          <w:szCs w:val="20"/>
        </w:rPr>
        <w:t>In 2019</w:t>
      </w:r>
      <w:r>
        <w:rPr>
          <w:sz w:val="20"/>
          <w:szCs w:val="20"/>
        </w:rPr>
        <w:t>–</w:t>
      </w:r>
      <w:r w:rsidRPr="000073DF">
        <w:rPr>
          <w:sz w:val="20"/>
          <w:szCs w:val="20"/>
        </w:rPr>
        <w:t>20, the Commonwealth Ombudsman released one report related to the department:</w:t>
      </w:r>
    </w:p>
    <w:p w14:paraId="5D13DE50"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Lessons in good complaint handling.</w:t>
      </w:r>
    </w:p>
    <w:p w14:paraId="5E4482E5" w14:textId="77777777" w:rsidR="00AB6753" w:rsidRPr="000073DF" w:rsidRDefault="00AB6753" w:rsidP="00AB6753">
      <w:pPr>
        <w:autoSpaceDE w:val="0"/>
        <w:autoSpaceDN w:val="0"/>
        <w:adjustRightInd w:val="0"/>
        <w:spacing w:before="120" w:after="180" w:line="280" w:lineRule="atLeast"/>
        <w:ind w:right="-164"/>
        <w:rPr>
          <w:sz w:val="20"/>
          <w:szCs w:val="20"/>
        </w:rPr>
      </w:pPr>
      <w:r>
        <w:rPr>
          <w:sz w:val="20"/>
          <w:szCs w:val="20"/>
        </w:rPr>
        <w:t xml:space="preserve">For further information, go to </w:t>
      </w:r>
      <w:r w:rsidRPr="000073DF">
        <w:rPr>
          <w:sz w:val="20"/>
          <w:szCs w:val="20"/>
        </w:rPr>
        <w:t>ombudsman.gov.au</w:t>
      </w:r>
    </w:p>
    <w:p w14:paraId="055E713F" w14:textId="77777777" w:rsidR="00AB6753" w:rsidRPr="009674A4" w:rsidRDefault="00AB6753" w:rsidP="00AB6753">
      <w:pPr>
        <w:pStyle w:val="Heading4"/>
        <w:spacing w:after="200"/>
        <w:rPr>
          <w:rFonts w:ascii="Georgia" w:hAnsi="Georgia"/>
          <w:b w:val="0"/>
          <w:i w:val="0"/>
          <w:sz w:val="36"/>
        </w:rPr>
      </w:pPr>
      <w:r w:rsidRPr="009674A4">
        <w:rPr>
          <w:rFonts w:ascii="Georgia" w:hAnsi="Georgia"/>
          <w:b w:val="0"/>
          <w:i w:val="0"/>
          <w:sz w:val="36"/>
        </w:rPr>
        <w:t>Judicial decisions</w:t>
      </w:r>
    </w:p>
    <w:p w14:paraId="132B4080" w14:textId="77777777" w:rsidR="00AB6753" w:rsidRPr="0067554D" w:rsidRDefault="00AB6753" w:rsidP="00AB6753">
      <w:pPr>
        <w:autoSpaceDE w:val="0"/>
        <w:autoSpaceDN w:val="0"/>
        <w:adjustRightInd w:val="0"/>
        <w:spacing w:before="120" w:after="180" w:line="280" w:lineRule="atLeast"/>
        <w:ind w:right="-164"/>
        <w:rPr>
          <w:sz w:val="20"/>
          <w:szCs w:val="20"/>
        </w:rPr>
      </w:pPr>
      <w:r w:rsidRPr="009414EF">
        <w:rPr>
          <w:sz w:val="20"/>
          <w:szCs w:val="20"/>
        </w:rPr>
        <w:t>No jud</w:t>
      </w:r>
      <w:r w:rsidRPr="00FA643D">
        <w:rPr>
          <w:sz w:val="20"/>
          <w:szCs w:val="20"/>
        </w:rPr>
        <w:t xml:space="preserve">icial </w:t>
      </w:r>
      <w:r w:rsidRPr="0067554D">
        <w:rPr>
          <w:sz w:val="20"/>
          <w:szCs w:val="20"/>
        </w:rPr>
        <w:t xml:space="preserve">decisions </w:t>
      </w:r>
      <w:r>
        <w:rPr>
          <w:sz w:val="20"/>
          <w:szCs w:val="20"/>
        </w:rPr>
        <w:t xml:space="preserve">significantly </w:t>
      </w:r>
      <w:r w:rsidRPr="0067554D">
        <w:rPr>
          <w:sz w:val="20"/>
          <w:szCs w:val="20"/>
        </w:rPr>
        <w:t>impacted our operations during the year.</w:t>
      </w:r>
    </w:p>
    <w:p w14:paraId="7D563454" w14:textId="77777777" w:rsidR="00AB6753" w:rsidRPr="009674A4" w:rsidRDefault="00AB6753" w:rsidP="00AB6753">
      <w:pPr>
        <w:pStyle w:val="Heading4"/>
        <w:spacing w:after="200"/>
        <w:rPr>
          <w:rFonts w:ascii="Georgia" w:hAnsi="Georgia"/>
          <w:b w:val="0"/>
          <w:i w:val="0"/>
          <w:sz w:val="36"/>
        </w:rPr>
      </w:pPr>
      <w:r w:rsidRPr="009674A4">
        <w:rPr>
          <w:rFonts w:ascii="Georgia" w:hAnsi="Georgia"/>
          <w:b w:val="0"/>
          <w:i w:val="0"/>
          <w:sz w:val="36"/>
        </w:rPr>
        <w:t>Administrative tribunal decisions</w:t>
      </w:r>
    </w:p>
    <w:p w14:paraId="6F2285CE" w14:textId="77777777" w:rsidR="00AB6753" w:rsidRPr="0067554D" w:rsidRDefault="00AB6753" w:rsidP="00AB6753">
      <w:pPr>
        <w:autoSpaceDE w:val="0"/>
        <w:autoSpaceDN w:val="0"/>
        <w:adjustRightInd w:val="0"/>
        <w:spacing w:before="120" w:after="180" w:line="280" w:lineRule="atLeast"/>
        <w:ind w:right="-164"/>
        <w:rPr>
          <w:sz w:val="20"/>
          <w:szCs w:val="20"/>
        </w:rPr>
      </w:pPr>
      <w:r w:rsidRPr="009414EF">
        <w:rPr>
          <w:sz w:val="20"/>
          <w:szCs w:val="20"/>
        </w:rPr>
        <w:t>No</w:t>
      </w:r>
      <w:r w:rsidRPr="000073DF">
        <w:rPr>
          <w:sz w:val="20"/>
          <w:szCs w:val="20"/>
        </w:rPr>
        <w:t xml:space="preserve"> </w:t>
      </w:r>
      <w:r w:rsidRPr="009414EF">
        <w:rPr>
          <w:sz w:val="20"/>
          <w:szCs w:val="20"/>
        </w:rPr>
        <w:t>decisions</w:t>
      </w:r>
      <w:r w:rsidRPr="0067554D">
        <w:rPr>
          <w:sz w:val="20"/>
          <w:szCs w:val="20"/>
        </w:rPr>
        <w:t xml:space="preserve"> of an administrative tribunal significantly impacted our operations</w:t>
      </w:r>
      <w:r>
        <w:rPr>
          <w:sz w:val="20"/>
          <w:szCs w:val="20"/>
        </w:rPr>
        <w:t xml:space="preserve"> during the year</w:t>
      </w:r>
      <w:r w:rsidRPr="0067554D">
        <w:rPr>
          <w:sz w:val="20"/>
          <w:szCs w:val="20"/>
        </w:rPr>
        <w:t>.</w:t>
      </w:r>
    </w:p>
    <w:p w14:paraId="1A742374" w14:textId="77777777" w:rsidR="00AB6753" w:rsidRDefault="00AB6753" w:rsidP="00AB6753">
      <w:pPr>
        <w:rPr>
          <w:rFonts w:ascii="Georgia" w:eastAsiaTheme="majorEastAsia" w:hAnsi="Georgia" w:cstheme="majorBidi"/>
          <w:bCs/>
          <w:iCs/>
          <w:sz w:val="36"/>
        </w:rPr>
      </w:pPr>
      <w:r>
        <w:rPr>
          <w:rFonts w:ascii="Georgia" w:hAnsi="Georgia"/>
          <w:b/>
          <w:i/>
          <w:sz w:val="36"/>
        </w:rPr>
        <w:br w:type="page"/>
      </w:r>
    </w:p>
    <w:p w14:paraId="7480D71A" w14:textId="77777777" w:rsidR="00AB6753" w:rsidRPr="009674A4" w:rsidRDefault="00AB6753" w:rsidP="00AB6753">
      <w:pPr>
        <w:pStyle w:val="Heading4"/>
        <w:spacing w:after="200"/>
        <w:rPr>
          <w:rFonts w:ascii="Georgia" w:hAnsi="Georgia"/>
          <w:b w:val="0"/>
          <w:i w:val="0"/>
          <w:sz w:val="36"/>
        </w:rPr>
      </w:pPr>
      <w:r w:rsidRPr="009674A4">
        <w:rPr>
          <w:rFonts w:ascii="Georgia" w:hAnsi="Georgia"/>
          <w:b w:val="0"/>
          <w:i w:val="0"/>
          <w:sz w:val="36"/>
        </w:rPr>
        <w:lastRenderedPageBreak/>
        <w:t>Reports by parliamentary committees</w:t>
      </w:r>
    </w:p>
    <w:p w14:paraId="0DC908F8" w14:textId="77777777" w:rsidR="00AB6753" w:rsidRPr="00D70386" w:rsidRDefault="00AB6753" w:rsidP="00AB6753">
      <w:pPr>
        <w:spacing w:after="0" w:line="240" w:lineRule="auto"/>
        <w:rPr>
          <w:b/>
          <w:sz w:val="24"/>
          <w:szCs w:val="24"/>
        </w:rPr>
      </w:pPr>
      <w:r w:rsidRPr="00D70386">
        <w:rPr>
          <w:b/>
          <w:sz w:val="24"/>
          <w:szCs w:val="24"/>
        </w:rPr>
        <w:t>The Senate Standing Committees on Community Affairs</w:t>
      </w:r>
    </w:p>
    <w:p w14:paraId="7469C3C5" w14:textId="77777777" w:rsidR="00AB6753" w:rsidRPr="000073DF" w:rsidRDefault="00AB6753" w:rsidP="00AB6753">
      <w:pPr>
        <w:autoSpaceDE w:val="0"/>
        <w:autoSpaceDN w:val="0"/>
        <w:adjustRightInd w:val="0"/>
        <w:spacing w:before="120" w:after="180" w:line="280" w:lineRule="atLeast"/>
        <w:ind w:right="-164"/>
        <w:rPr>
          <w:sz w:val="20"/>
          <w:szCs w:val="20"/>
        </w:rPr>
      </w:pPr>
      <w:r w:rsidRPr="000073DF">
        <w:rPr>
          <w:sz w:val="20"/>
          <w:szCs w:val="20"/>
        </w:rPr>
        <w:t xml:space="preserve">The </w:t>
      </w:r>
      <w:r w:rsidRPr="00E9431C">
        <w:rPr>
          <w:sz w:val="20"/>
          <w:szCs w:val="20"/>
        </w:rPr>
        <w:t>Senate</w:t>
      </w:r>
      <w:r w:rsidRPr="000073DF">
        <w:rPr>
          <w:sz w:val="20"/>
          <w:szCs w:val="20"/>
        </w:rPr>
        <w:t xml:space="preserve"> Standing Committees on Community Affairs covers the Health and Social Services Portfolios. Its work is divided between two committees – the Legislation Committee and the References Committee. During 2019–20, </w:t>
      </w:r>
      <w:r>
        <w:rPr>
          <w:sz w:val="20"/>
          <w:szCs w:val="20"/>
        </w:rPr>
        <w:t xml:space="preserve">we </w:t>
      </w:r>
      <w:r w:rsidRPr="000073DF">
        <w:rPr>
          <w:sz w:val="20"/>
          <w:szCs w:val="20"/>
        </w:rPr>
        <w:t>had the following engagement with the Committees:</w:t>
      </w:r>
    </w:p>
    <w:p w14:paraId="188846D1" w14:textId="77777777" w:rsidR="00AB6753" w:rsidRPr="00D70386" w:rsidRDefault="00AB6753" w:rsidP="00AB6753">
      <w:pPr>
        <w:spacing w:after="0" w:line="240" w:lineRule="auto"/>
        <w:rPr>
          <w:b/>
          <w:sz w:val="24"/>
          <w:szCs w:val="24"/>
        </w:rPr>
      </w:pPr>
      <w:r w:rsidRPr="00D70386">
        <w:rPr>
          <w:b/>
          <w:sz w:val="24"/>
          <w:szCs w:val="24"/>
        </w:rPr>
        <w:t>The Legislation Committee</w:t>
      </w:r>
    </w:p>
    <w:p w14:paraId="3F118948"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19 August 2019, we provided a submission to the inquiry into the Family Assistance Legislation Amendment (Extend Family Assistance to ABSTUDY Secondary School Boarding Students Aged 16 and Over) Bill 2019. We attended a hearing on 30 August 2019. The Committee tabled its final report on</w:t>
      </w:r>
      <w:r>
        <w:rPr>
          <w:rFonts w:cs="Arial"/>
          <w:sz w:val="20"/>
        </w:rPr>
        <w:t xml:space="preserve"> </w:t>
      </w:r>
      <w:r w:rsidRPr="00214B7D">
        <w:rPr>
          <w:rFonts w:cs="Arial"/>
          <w:sz w:val="20"/>
        </w:rPr>
        <w:t>5 September 2019. We tabled the Government response on 17 February 2020</w:t>
      </w:r>
    </w:p>
    <w:p w14:paraId="1ECC6254"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27 September 2019, we provided a submission to the inquiry into the Social Services Legislation Amendment (Drug Test Trial) Bill 2019. We attended a hearing on 2 October 2019. The Committee tabled its final report on 10 October 2019</w:t>
      </w:r>
    </w:p>
    <w:p w14:paraId="21E4FBD2" w14:textId="638BBF42"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14 October 2019, we provided a submission to the inquiry into Social Security (Administration) Amendment (Income Management to Cashless Debit Card Transition) Bill 2019. We attended a hearing on 14 October 2019. The Committee tabled its final report</w:t>
      </w:r>
      <w:r w:rsidR="00F111F2">
        <w:rPr>
          <w:rFonts w:cs="Arial"/>
          <w:sz w:val="20"/>
        </w:rPr>
        <w:br/>
      </w:r>
      <w:r w:rsidRPr="00214B7D">
        <w:rPr>
          <w:rFonts w:cs="Arial"/>
          <w:sz w:val="20"/>
        </w:rPr>
        <w:t>on 7 November 2019. We tabled the Government response on 2 December 2019</w:t>
      </w:r>
    </w:p>
    <w:p w14:paraId="689D6FD1" w14:textId="54502EA1"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14 February 2020, we provided a submission to the inquiry into the Social Services and Other Legislation Amendment (Simplifying Income Reporting and Other Measures) Bill 2020. We attended a hearing on</w:t>
      </w:r>
      <w:r>
        <w:rPr>
          <w:rFonts w:cs="Arial"/>
          <w:sz w:val="20"/>
        </w:rPr>
        <w:t xml:space="preserve"> </w:t>
      </w:r>
      <w:r w:rsidRPr="00214B7D">
        <w:rPr>
          <w:rFonts w:cs="Arial"/>
          <w:sz w:val="20"/>
        </w:rPr>
        <w:t>17 February 2020. The Committee tabled its final report</w:t>
      </w:r>
      <w:r w:rsidR="00F111F2">
        <w:rPr>
          <w:rFonts w:cs="Arial"/>
          <w:sz w:val="20"/>
        </w:rPr>
        <w:br/>
      </w:r>
      <w:r w:rsidRPr="00214B7D">
        <w:rPr>
          <w:rFonts w:cs="Arial"/>
          <w:sz w:val="20"/>
        </w:rPr>
        <w:t>on 20 February 2020. We tabled the Government response on 26 February 2020</w:t>
      </w:r>
    </w:p>
    <w:p w14:paraId="7AD79E88" w14:textId="2CF2D35B"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6 March 2020, we provided a submission to the inquiry into Paid Parental Leave Amendment (Flexibility Measures) Bill 2020. The Committee tabled its final report</w:t>
      </w:r>
      <w:r w:rsidR="00F111F2">
        <w:rPr>
          <w:rFonts w:cs="Arial"/>
          <w:sz w:val="20"/>
        </w:rPr>
        <w:br/>
      </w:r>
      <w:r w:rsidRPr="00214B7D">
        <w:rPr>
          <w:rFonts w:cs="Arial"/>
          <w:sz w:val="20"/>
        </w:rPr>
        <w:t>on 19 March 2020.</w:t>
      </w:r>
    </w:p>
    <w:p w14:paraId="3CE9C00B" w14:textId="77777777" w:rsidR="00AB6753" w:rsidRPr="00D70386" w:rsidRDefault="00AB6753" w:rsidP="00AB6753">
      <w:pPr>
        <w:spacing w:after="0" w:line="240" w:lineRule="auto"/>
        <w:rPr>
          <w:b/>
          <w:sz w:val="24"/>
          <w:szCs w:val="24"/>
        </w:rPr>
      </w:pPr>
      <w:r w:rsidRPr="00D70386">
        <w:rPr>
          <w:b/>
          <w:sz w:val="24"/>
          <w:szCs w:val="24"/>
        </w:rPr>
        <w:t>The References Committee</w:t>
      </w:r>
    </w:p>
    <w:p w14:paraId="6E792A8E"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 xml:space="preserve">On 30 September 2019, we provided a submission to the inquiry into the adequacy of </w:t>
      </w:r>
      <w:proofErr w:type="spellStart"/>
      <w:r w:rsidRPr="00214B7D">
        <w:rPr>
          <w:rFonts w:cs="Arial"/>
          <w:sz w:val="20"/>
        </w:rPr>
        <w:t>Newstart</w:t>
      </w:r>
      <w:proofErr w:type="spellEnd"/>
      <w:r w:rsidRPr="00214B7D">
        <w:rPr>
          <w:rFonts w:cs="Arial"/>
          <w:sz w:val="20"/>
        </w:rPr>
        <w:t xml:space="preserve"> and related payments and alternative mechanisms to determine the level of income support payments in Australia. We attended hearings on 10 October 2019 and 14 February 2020. The Committee tabled its final report on</w:t>
      </w:r>
      <w:r>
        <w:rPr>
          <w:rFonts w:cs="Arial"/>
          <w:sz w:val="20"/>
        </w:rPr>
        <w:t xml:space="preserve"> </w:t>
      </w:r>
      <w:r w:rsidRPr="00214B7D">
        <w:rPr>
          <w:rFonts w:cs="Arial"/>
          <w:sz w:val="20"/>
        </w:rPr>
        <w:t>30 April 2020</w:t>
      </w:r>
    </w:p>
    <w:p w14:paraId="39626B25"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3 October 2019 and 16 December 2019, we attended hearings for the inquiry into Centrelink’s compliance program.</w:t>
      </w:r>
    </w:p>
    <w:p w14:paraId="0FB5311A" w14:textId="77777777" w:rsidR="00AB6753" w:rsidRPr="00D70386" w:rsidRDefault="00AB6753" w:rsidP="00AB6753">
      <w:pPr>
        <w:spacing w:after="0" w:line="240" w:lineRule="auto"/>
        <w:rPr>
          <w:b/>
          <w:sz w:val="24"/>
          <w:szCs w:val="24"/>
        </w:rPr>
      </w:pPr>
      <w:r w:rsidRPr="00D70386">
        <w:rPr>
          <w:b/>
          <w:sz w:val="24"/>
          <w:szCs w:val="24"/>
        </w:rPr>
        <w:t>House of Representatives Standing Committee on Social Policy and Legal Affairs</w:t>
      </w:r>
    </w:p>
    <w:p w14:paraId="352970F0" w14:textId="77777777" w:rsidR="00AB6753" w:rsidRPr="00E9431C" w:rsidRDefault="00AB6753" w:rsidP="00AB6753">
      <w:pPr>
        <w:autoSpaceDE w:val="0"/>
        <w:autoSpaceDN w:val="0"/>
        <w:adjustRightInd w:val="0"/>
        <w:spacing w:before="120" w:after="180" w:line="280" w:lineRule="atLeast"/>
        <w:ind w:right="-164"/>
        <w:rPr>
          <w:sz w:val="20"/>
          <w:szCs w:val="20"/>
        </w:rPr>
      </w:pPr>
      <w:r w:rsidRPr="00E9431C">
        <w:rPr>
          <w:sz w:val="20"/>
          <w:szCs w:val="20"/>
        </w:rPr>
        <w:t>The House of Representatives Standing Committee on Social Policy and Legal Affairs may inquire into and report on any matter referred to it by either the House</w:t>
      </w:r>
      <w:r>
        <w:rPr>
          <w:sz w:val="20"/>
          <w:szCs w:val="20"/>
        </w:rPr>
        <w:t xml:space="preserve"> of Representatives</w:t>
      </w:r>
      <w:r w:rsidRPr="00E9431C">
        <w:rPr>
          <w:sz w:val="20"/>
          <w:szCs w:val="20"/>
        </w:rPr>
        <w:t xml:space="preserve"> or a </w:t>
      </w:r>
      <w:r>
        <w:rPr>
          <w:sz w:val="20"/>
          <w:szCs w:val="20"/>
        </w:rPr>
        <w:t>M</w:t>
      </w:r>
      <w:r w:rsidRPr="00E9431C">
        <w:rPr>
          <w:sz w:val="20"/>
          <w:szCs w:val="20"/>
        </w:rPr>
        <w:t>inister, including any</w:t>
      </w:r>
      <w:r>
        <w:rPr>
          <w:sz w:val="20"/>
          <w:szCs w:val="20"/>
        </w:rPr>
        <w:t xml:space="preserve"> </w:t>
      </w:r>
      <w:r w:rsidRPr="00E9431C">
        <w:rPr>
          <w:sz w:val="20"/>
          <w:szCs w:val="20"/>
        </w:rPr>
        <w:t>pre-legislation proposal, bill, motion, petition, vote or expenditure, other financial matter, report</w:t>
      </w:r>
      <w:r>
        <w:rPr>
          <w:sz w:val="20"/>
          <w:szCs w:val="20"/>
        </w:rPr>
        <w:t xml:space="preserve"> </w:t>
      </w:r>
      <w:r w:rsidRPr="00E9431C">
        <w:rPr>
          <w:sz w:val="20"/>
          <w:szCs w:val="20"/>
        </w:rPr>
        <w:t>or document. During 2019</w:t>
      </w:r>
      <w:r>
        <w:rPr>
          <w:sz w:val="20"/>
          <w:szCs w:val="20"/>
        </w:rPr>
        <w:t>–</w:t>
      </w:r>
      <w:r w:rsidRPr="00E9431C">
        <w:rPr>
          <w:sz w:val="20"/>
          <w:szCs w:val="20"/>
        </w:rPr>
        <w:t xml:space="preserve">20, </w:t>
      </w:r>
      <w:r>
        <w:rPr>
          <w:sz w:val="20"/>
          <w:szCs w:val="20"/>
        </w:rPr>
        <w:t xml:space="preserve">we </w:t>
      </w:r>
      <w:r w:rsidRPr="00E9431C">
        <w:rPr>
          <w:sz w:val="20"/>
          <w:szCs w:val="20"/>
        </w:rPr>
        <w:t>had the following engagement with the</w:t>
      </w:r>
      <w:r>
        <w:rPr>
          <w:sz w:val="20"/>
          <w:szCs w:val="20"/>
        </w:rPr>
        <w:t xml:space="preserve"> </w:t>
      </w:r>
      <w:r w:rsidRPr="00E9431C">
        <w:rPr>
          <w:sz w:val="20"/>
          <w:szCs w:val="20"/>
        </w:rPr>
        <w:t>Committee:</w:t>
      </w:r>
    </w:p>
    <w:p w14:paraId="11DE6D66"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12 September 2019, we tabled the Government response to the inquiry into Local Adoption</w:t>
      </w:r>
    </w:p>
    <w:p w14:paraId="1D179D1A"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24 October 2019, we provided a submission to the inquiry into age verification for online wagering and online pornography. We attended a hearing on 6 December 2019. The Committee tabled its final report on</w:t>
      </w:r>
      <w:r>
        <w:rPr>
          <w:rFonts w:cs="Arial"/>
          <w:sz w:val="20"/>
        </w:rPr>
        <w:t xml:space="preserve"> </w:t>
      </w:r>
      <w:r w:rsidRPr="00214B7D">
        <w:rPr>
          <w:rFonts w:cs="Arial"/>
          <w:sz w:val="20"/>
        </w:rPr>
        <w:t>5 March 2020</w:t>
      </w:r>
    </w:p>
    <w:p w14:paraId="2DF2A705"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11 June 2020, we provided a submission to the inquiry into homelessness in Australia.</w:t>
      </w:r>
    </w:p>
    <w:p w14:paraId="50FE239D" w14:textId="77777777" w:rsidR="00AB6753" w:rsidRPr="00D70386" w:rsidRDefault="00AB6753" w:rsidP="00AB6753">
      <w:pPr>
        <w:rPr>
          <w:b/>
          <w:sz w:val="24"/>
          <w:szCs w:val="24"/>
        </w:rPr>
      </w:pPr>
      <w:r w:rsidRPr="00D70386">
        <w:rPr>
          <w:b/>
          <w:sz w:val="24"/>
          <w:szCs w:val="24"/>
        </w:rPr>
        <w:lastRenderedPageBreak/>
        <w:t>The Joint Standing Committee on the National Disability Insurance Scheme</w:t>
      </w:r>
    </w:p>
    <w:p w14:paraId="40A90BBC" w14:textId="7055B9D0" w:rsidR="00AB6753" w:rsidRPr="000073DF" w:rsidRDefault="00AB6753" w:rsidP="00AB6753">
      <w:pPr>
        <w:autoSpaceDE w:val="0"/>
        <w:autoSpaceDN w:val="0"/>
        <w:adjustRightInd w:val="0"/>
        <w:spacing w:before="120" w:after="180" w:line="280" w:lineRule="atLeast"/>
        <w:ind w:right="-164"/>
        <w:rPr>
          <w:sz w:val="20"/>
          <w:szCs w:val="20"/>
        </w:rPr>
      </w:pPr>
      <w:r w:rsidRPr="000073DF">
        <w:rPr>
          <w:sz w:val="20"/>
          <w:szCs w:val="20"/>
        </w:rPr>
        <w:t>The Joint Standing Committee on the National Disability Insurance Scheme</w:t>
      </w:r>
      <w:r>
        <w:rPr>
          <w:sz w:val="20"/>
          <w:szCs w:val="20"/>
        </w:rPr>
        <w:t xml:space="preserve"> (NDIS)</w:t>
      </w:r>
      <w:r w:rsidRPr="000073DF">
        <w:rPr>
          <w:sz w:val="20"/>
          <w:szCs w:val="20"/>
        </w:rPr>
        <w:t xml:space="preserve"> initiates inquiries into various aspects of the </w:t>
      </w:r>
      <w:r>
        <w:rPr>
          <w:sz w:val="20"/>
          <w:szCs w:val="20"/>
        </w:rPr>
        <w:t xml:space="preserve">NDIS, </w:t>
      </w:r>
      <w:r w:rsidRPr="000073DF">
        <w:rPr>
          <w:sz w:val="20"/>
          <w:szCs w:val="20"/>
        </w:rPr>
        <w:t xml:space="preserve">including the </w:t>
      </w:r>
      <w:r>
        <w:rPr>
          <w:sz w:val="20"/>
          <w:szCs w:val="20"/>
        </w:rPr>
        <w:t>S</w:t>
      </w:r>
      <w:r w:rsidRPr="000073DF">
        <w:rPr>
          <w:sz w:val="20"/>
          <w:szCs w:val="20"/>
        </w:rPr>
        <w:t>cheme’s operation and performance. During 2019</w:t>
      </w:r>
      <w:r>
        <w:rPr>
          <w:sz w:val="20"/>
          <w:szCs w:val="20"/>
        </w:rPr>
        <w:t>–</w:t>
      </w:r>
      <w:r w:rsidRPr="000073DF">
        <w:rPr>
          <w:sz w:val="20"/>
          <w:szCs w:val="20"/>
        </w:rPr>
        <w:t xml:space="preserve">20, </w:t>
      </w:r>
      <w:r>
        <w:rPr>
          <w:sz w:val="20"/>
          <w:szCs w:val="20"/>
        </w:rPr>
        <w:t xml:space="preserve">we </w:t>
      </w:r>
      <w:r w:rsidRPr="000073DF">
        <w:rPr>
          <w:sz w:val="20"/>
          <w:szCs w:val="20"/>
        </w:rPr>
        <w:t>had the following engagement with the Committee:</w:t>
      </w:r>
    </w:p>
    <w:p w14:paraId="30341300"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 xml:space="preserve">On 19 September 2019 and 21 November 2019, we attended hearings for the inquiry into NDIS planning and the inquiry into Supported </w:t>
      </w:r>
      <w:r>
        <w:rPr>
          <w:rFonts w:cs="Arial"/>
          <w:sz w:val="20"/>
        </w:rPr>
        <w:t>I</w:t>
      </w:r>
      <w:r w:rsidRPr="00214B7D">
        <w:rPr>
          <w:rFonts w:cs="Arial"/>
          <w:sz w:val="20"/>
        </w:rPr>
        <w:t xml:space="preserve">ndependent </w:t>
      </w:r>
      <w:r>
        <w:rPr>
          <w:rFonts w:cs="Arial"/>
          <w:sz w:val="20"/>
        </w:rPr>
        <w:t>L</w:t>
      </w:r>
      <w:r w:rsidRPr="00214B7D">
        <w:rPr>
          <w:rFonts w:cs="Arial"/>
          <w:sz w:val="20"/>
        </w:rPr>
        <w:t xml:space="preserve">iving. The Committee tabled its final report for the inquiry into </w:t>
      </w:r>
      <w:r>
        <w:rPr>
          <w:rFonts w:cs="Arial"/>
          <w:sz w:val="20"/>
        </w:rPr>
        <w:t>S</w:t>
      </w:r>
      <w:r w:rsidRPr="00214B7D">
        <w:rPr>
          <w:rFonts w:cs="Arial"/>
          <w:sz w:val="20"/>
        </w:rPr>
        <w:t xml:space="preserve">upported </w:t>
      </w:r>
      <w:r>
        <w:rPr>
          <w:rFonts w:cs="Arial"/>
          <w:sz w:val="20"/>
        </w:rPr>
        <w:t>I</w:t>
      </w:r>
      <w:r w:rsidRPr="00214B7D">
        <w:rPr>
          <w:rFonts w:cs="Arial"/>
          <w:sz w:val="20"/>
        </w:rPr>
        <w:t xml:space="preserve">ndependent </w:t>
      </w:r>
      <w:r>
        <w:rPr>
          <w:rFonts w:cs="Arial"/>
          <w:sz w:val="20"/>
        </w:rPr>
        <w:t>L</w:t>
      </w:r>
      <w:r w:rsidRPr="00214B7D">
        <w:rPr>
          <w:rFonts w:cs="Arial"/>
          <w:sz w:val="20"/>
        </w:rPr>
        <w:t>iving on 13 May 2020</w:t>
      </w:r>
    </w:p>
    <w:p w14:paraId="58C9A976"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21 November 2019, we attended a hearing for the inquiry into General issues around the implementation and performance of the Scheme</w:t>
      </w:r>
    </w:p>
    <w:p w14:paraId="4B76F220"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13 February 2020, 17 April 2020, and 8 May 2020, we attended hearings for the Joint Standing Committee on the National Disability Insurance Scheme</w:t>
      </w:r>
    </w:p>
    <w:p w14:paraId="2D33A2CC"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3 March 2020, we tabled the Government response in the House of Representatives for the inquiry into NDIS planning. The response was tabled in the Senate on 24 March 2020.</w:t>
      </w:r>
      <w:r>
        <w:rPr>
          <w:rFonts w:cs="Arial"/>
          <w:sz w:val="20"/>
        </w:rPr>
        <w:t xml:space="preserve"> </w:t>
      </w:r>
      <w:r w:rsidRPr="00214B7D">
        <w:rPr>
          <w:rFonts w:cs="Arial"/>
          <w:sz w:val="20"/>
        </w:rPr>
        <w:t>The Committee tabled its interim report on 3 December 2019</w:t>
      </w:r>
    </w:p>
    <w:p w14:paraId="30F9388A"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3 March 2020, we tabled the Government response in the House of Representatives for the inquiry into General issues around the implementation and performance of the Scheme. The response was tabled in the Senate on 24 March 2020. The Committee tabled its progress report on 29 March 2019</w:t>
      </w:r>
    </w:p>
    <w:p w14:paraId="63FAC419"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3 March 2020, we tabled the Government response in the House of Representatives for the inquiry into Market Readiness. The response was tabled in the Senate on 24 March 2020</w:t>
      </w:r>
    </w:p>
    <w:p w14:paraId="2641D53D"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11 June 2020, we provided a submission to the inquiry into the Scheme’s workforce.</w:t>
      </w:r>
    </w:p>
    <w:p w14:paraId="469E5D0D" w14:textId="77777777" w:rsidR="00AB6753" w:rsidRPr="00D70386" w:rsidRDefault="00AB6753" w:rsidP="00AB6753">
      <w:pPr>
        <w:spacing w:after="0" w:line="240" w:lineRule="auto"/>
        <w:rPr>
          <w:b/>
          <w:sz w:val="24"/>
          <w:szCs w:val="24"/>
        </w:rPr>
      </w:pPr>
      <w:r w:rsidRPr="00D70386">
        <w:rPr>
          <w:b/>
          <w:sz w:val="24"/>
          <w:szCs w:val="24"/>
        </w:rPr>
        <w:t xml:space="preserve">The Joint Select Committee on Implementation of the National Redress Scheme </w:t>
      </w:r>
    </w:p>
    <w:p w14:paraId="44649809"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7 February 2020, 26 February 2020, 19 March 2020, 15 April 2020, and 29 May 2020, we attended hearings for the inquiry into the implementation of the National Redress Scheme</w:t>
      </w:r>
    </w:p>
    <w:p w14:paraId="622962B7"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The Committee tabled its interim report on 30 April 2020.</w:t>
      </w:r>
    </w:p>
    <w:p w14:paraId="68BCF153" w14:textId="77777777" w:rsidR="00AB6753" w:rsidRPr="00D70386" w:rsidRDefault="00AB6753" w:rsidP="00AB6753">
      <w:pPr>
        <w:spacing w:after="0" w:line="240" w:lineRule="auto"/>
        <w:rPr>
          <w:b/>
          <w:sz w:val="24"/>
          <w:szCs w:val="24"/>
        </w:rPr>
      </w:pPr>
      <w:r w:rsidRPr="00D70386">
        <w:rPr>
          <w:b/>
          <w:sz w:val="24"/>
          <w:szCs w:val="24"/>
        </w:rPr>
        <w:t>Other Parliamentary Inquiries</w:t>
      </w:r>
    </w:p>
    <w:p w14:paraId="3382FE1B"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6 September 2019, we provided a submission to the Senate Select Committee inquiry into Jobs for the Future in Regional Areas. The Committee tabled its final report on 4 December 2019</w:t>
      </w:r>
    </w:p>
    <w:p w14:paraId="435B1C70"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30 October 2019, we provided a submission to the Joint Committee of Public Accounts and Audit inquiry into Efficiency and Effectiveness. We attended a hearing on 15 November 2019</w:t>
      </w:r>
    </w:p>
    <w:p w14:paraId="195ECB3B"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18 December 2019, we provided a submission to the Joint Select Committee inquiry into Australia’s Family Law System. We attended a hearing on 14 February 2020</w:t>
      </w:r>
    </w:p>
    <w:p w14:paraId="64A76867" w14:textId="42F8EF6A"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18 February 2020, we tabled the Government response in the Senate for the former</w:t>
      </w:r>
      <w:r w:rsidR="00F111F2">
        <w:rPr>
          <w:rFonts w:cs="Arial"/>
          <w:sz w:val="20"/>
        </w:rPr>
        <w:br/>
      </w:r>
      <w:r w:rsidRPr="00214B7D">
        <w:rPr>
          <w:rFonts w:cs="Arial"/>
          <w:sz w:val="20"/>
        </w:rPr>
        <w:t xml:space="preserve">Joint Standing Committee inquiry into the oversight of the implementation of redress related recommendations of the </w:t>
      </w:r>
      <w:r w:rsidRPr="00870367">
        <w:rPr>
          <w:rFonts w:cs="Arial"/>
          <w:i/>
          <w:sz w:val="20"/>
        </w:rPr>
        <w:t>Royal Commission into Institutional Response to Child Sexual Abuse</w:t>
      </w:r>
      <w:r w:rsidRPr="00214B7D">
        <w:rPr>
          <w:rFonts w:cs="Arial"/>
          <w:sz w:val="20"/>
        </w:rPr>
        <w:t>. The tabling of the Government response in the House of Representatives occurred</w:t>
      </w:r>
      <w:r w:rsidR="00F111F2">
        <w:rPr>
          <w:rFonts w:cs="Arial"/>
          <w:sz w:val="20"/>
        </w:rPr>
        <w:br/>
      </w:r>
      <w:r w:rsidRPr="00214B7D">
        <w:rPr>
          <w:rFonts w:cs="Arial"/>
          <w:sz w:val="20"/>
        </w:rPr>
        <w:t>on 24 February 2020</w:t>
      </w:r>
    </w:p>
    <w:p w14:paraId="055D2CAF"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5 March 2020, we tabled the Government response for the House of Representatives Select Committee inquiry into Intergenerational Welfare Dependence</w:t>
      </w:r>
    </w:p>
    <w:p w14:paraId="6287F350"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13 March 2020, we attended a hearing for the Senate Economics Legislative Committee inquiry into the National Consumer Credit Protection Amendment (Small Amount Credit)</w:t>
      </w:r>
    </w:p>
    <w:p w14:paraId="148E37AE" w14:textId="0A8BEB0D"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On 30 April 2020 and 2 June 2020, we attended hearings for the Senate Select Committee</w:t>
      </w:r>
      <w:r w:rsidR="00F111F2">
        <w:rPr>
          <w:rFonts w:cs="Arial"/>
          <w:sz w:val="20"/>
        </w:rPr>
        <w:br/>
      </w:r>
      <w:r w:rsidRPr="00214B7D">
        <w:rPr>
          <w:rFonts w:cs="Arial"/>
          <w:sz w:val="20"/>
        </w:rPr>
        <w:t>on COVID-19 inquiry. We provided a submission to the inquiry on 12 May 2020</w:t>
      </w:r>
    </w:p>
    <w:p w14:paraId="2EFACC1A"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lastRenderedPageBreak/>
        <w:t xml:space="preserve">On 30 June 2020, we provided a submission to the House Standing Committee on Indigenous Affairs inquiry into food prices and food security in remote communities. </w:t>
      </w:r>
    </w:p>
    <w:p w14:paraId="6674DCA2" w14:textId="77777777" w:rsidR="00AB6753" w:rsidRPr="00C65959" w:rsidRDefault="00AB6753" w:rsidP="00AB6753">
      <w:pPr>
        <w:autoSpaceDE w:val="0"/>
        <w:autoSpaceDN w:val="0"/>
        <w:adjustRightInd w:val="0"/>
        <w:spacing w:before="120" w:after="180" w:line="280" w:lineRule="atLeast"/>
        <w:ind w:right="-164"/>
        <w:rPr>
          <w:sz w:val="20"/>
          <w:szCs w:val="20"/>
        </w:rPr>
      </w:pPr>
      <w:r>
        <w:rPr>
          <w:sz w:val="20"/>
          <w:szCs w:val="20"/>
        </w:rPr>
        <w:t>For further information on t</w:t>
      </w:r>
      <w:r w:rsidRPr="00E9431C">
        <w:rPr>
          <w:sz w:val="20"/>
          <w:szCs w:val="20"/>
        </w:rPr>
        <w:t>he department’s submissions, responses to questions on notice, and transcripts of the hearings</w:t>
      </w:r>
      <w:r>
        <w:rPr>
          <w:sz w:val="20"/>
          <w:szCs w:val="20"/>
        </w:rPr>
        <w:t>, go to aph.gov.au</w:t>
      </w:r>
      <w:r w:rsidRPr="00C65959">
        <w:rPr>
          <w:sz w:val="20"/>
          <w:szCs w:val="20"/>
        </w:rPr>
        <w:br w:type="page"/>
      </w:r>
    </w:p>
    <w:p w14:paraId="2C410EDD" w14:textId="77777777" w:rsidR="00AB6753" w:rsidRPr="00DC2644" w:rsidRDefault="00AB6753" w:rsidP="00AB6753">
      <w:pPr>
        <w:pStyle w:val="Heading5"/>
        <w:spacing w:after="200"/>
        <w:rPr>
          <w:b w:val="0"/>
          <w:color w:val="auto"/>
          <w:sz w:val="28"/>
        </w:rPr>
      </w:pPr>
      <w:r w:rsidRPr="00DC2644">
        <w:rPr>
          <w:b w:val="0"/>
          <w:color w:val="auto"/>
          <w:sz w:val="28"/>
        </w:rPr>
        <w:lastRenderedPageBreak/>
        <w:t>Chapter 4.3</w:t>
      </w:r>
    </w:p>
    <w:p w14:paraId="56E41039" w14:textId="77777777" w:rsidR="00AB6753" w:rsidRPr="00054A67" w:rsidRDefault="00AB6753" w:rsidP="00AB6753">
      <w:pPr>
        <w:pStyle w:val="Heading1"/>
        <w:spacing w:before="240" w:after="240"/>
        <w:rPr>
          <w:rFonts w:ascii="Georgia" w:hAnsi="Georgia"/>
          <w:b w:val="0"/>
          <w:color w:val="215868" w:themeColor="accent5" w:themeShade="80"/>
          <w:sz w:val="72"/>
        </w:rPr>
      </w:pPr>
      <w:r w:rsidRPr="00054A67">
        <w:rPr>
          <w:rFonts w:ascii="Georgia" w:hAnsi="Georgia"/>
          <w:b w:val="0"/>
          <w:color w:val="215868" w:themeColor="accent5" w:themeShade="80"/>
          <w:sz w:val="72"/>
        </w:rPr>
        <w:t>Managing our people</w:t>
      </w:r>
    </w:p>
    <w:p w14:paraId="064F2FAE" w14:textId="77777777" w:rsidR="00AB6753" w:rsidRPr="00833C50" w:rsidRDefault="00AB6753" w:rsidP="00AB6753">
      <w:pPr>
        <w:pStyle w:val="Heading4"/>
        <w:spacing w:after="200"/>
        <w:rPr>
          <w:rFonts w:ascii="Georgia" w:hAnsi="Georgia"/>
          <w:b w:val="0"/>
          <w:i w:val="0"/>
          <w:sz w:val="36"/>
        </w:rPr>
      </w:pPr>
      <w:r w:rsidRPr="00833C50">
        <w:rPr>
          <w:rFonts w:ascii="Georgia" w:hAnsi="Georgia"/>
          <w:b w:val="0"/>
          <w:i w:val="0"/>
          <w:sz w:val="36"/>
        </w:rPr>
        <w:t>Overview</w:t>
      </w:r>
    </w:p>
    <w:p w14:paraId="26E4D8F0" w14:textId="77777777" w:rsidR="00AB6753" w:rsidRPr="000073DF" w:rsidRDefault="00AB6753" w:rsidP="00AB6753">
      <w:pPr>
        <w:autoSpaceDE w:val="0"/>
        <w:autoSpaceDN w:val="0"/>
        <w:adjustRightInd w:val="0"/>
        <w:spacing w:before="120" w:after="180" w:line="280" w:lineRule="atLeast"/>
        <w:ind w:right="-164"/>
        <w:rPr>
          <w:sz w:val="20"/>
          <w:szCs w:val="20"/>
        </w:rPr>
      </w:pPr>
      <w:r w:rsidRPr="000073DF">
        <w:rPr>
          <w:sz w:val="20"/>
          <w:szCs w:val="20"/>
        </w:rPr>
        <w:t>We implemented a range of strategies and initiatives in 2019</w:t>
      </w:r>
      <w:r>
        <w:rPr>
          <w:sz w:val="20"/>
          <w:szCs w:val="20"/>
        </w:rPr>
        <w:t>–</w:t>
      </w:r>
      <w:r w:rsidRPr="000073DF">
        <w:rPr>
          <w:sz w:val="20"/>
          <w:szCs w:val="20"/>
        </w:rPr>
        <w:t>20 to continue to develop our workforce capability in line with current and emerging Government priorities, and to foster an inclusive culture that reflects the diversity of the Australian community.</w:t>
      </w:r>
    </w:p>
    <w:p w14:paraId="346347E7" w14:textId="77777777" w:rsidR="00AB6753" w:rsidRPr="000073DF" w:rsidRDefault="00AB6753" w:rsidP="00AB6753">
      <w:pPr>
        <w:autoSpaceDE w:val="0"/>
        <w:autoSpaceDN w:val="0"/>
        <w:adjustRightInd w:val="0"/>
        <w:spacing w:before="120" w:after="180" w:line="280" w:lineRule="atLeast"/>
        <w:ind w:right="-164"/>
        <w:rPr>
          <w:sz w:val="20"/>
          <w:szCs w:val="20"/>
        </w:rPr>
      </w:pPr>
      <w:r>
        <w:rPr>
          <w:sz w:val="20"/>
          <w:szCs w:val="20"/>
        </w:rPr>
        <w:t xml:space="preserve">We </w:t>
      </w:r>
      <w:r w:rsidRPr="000073DF">
        <w:rPr>
          <w:sz w:val="20"/>
          <w:szCs w:val="20"/>
        </w:rPr>
        <w:t xml:space="preserve">adapted quickly to support our people through the response to </w:t>
      </w:r>
      <w:r>
        <w:rPr>
          <w:rFonts w:cs="Arial"/>
          <w:sz w:val="20"/>
        </w:rPr>
        <w:t>COVID-19</w:t>
      </w:r>
      <w:r w:rsidRPr="000073DF">
        <w:rPr>
          <w:sz w:val="20"/>
          <w:szCs w:val="20"/>
        </w:rPr>
        <w:t xml:space="preserve">. Key actions </w:t>
      </w:r>
      <w:r>
        <w:rPr>
          <w:sz w:val="20"/>
          <w:szCs w:val="20"/>
        </w:rPr>
        <w:t>undertaken</w:t>
      </w:r>
      <w:r w:rsidRPr="000073DF">
        <w:rPr>
          <w:sz w:val="20"/>
          <w:szCs w:val="20"/>
        </w:rPr>
        <w:t xml:space="preserve"> included:</w:t>
      </w:r>
    </w:p>
    <w:p w14:paraId="5FCA4527"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ensuring all departmental workplaces were compliant with physical distancing requirements</w:t>
      </w:r>
    </w:p>
    <w:p w14:paraId="6DCBDA02"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establishing a new contact centre for Services Australia within the Enid Lyons Building at Tuggeranong</w:t>
      </w:r>
      <w:r>
        <w:rPr>
          <w:rFonts w:cs="Arial"/>
          <w:sz w:val="20"/>
        </w:rPr>
        <w:t>, Canberra</w:t>
      </w:r>
    </w:p>
    <w:p w14:paraId="40776DB2"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 xml:space="preserve">redeploying staff as part of the whole of APS response to </w:t>
      </w:r>
      <w:r>
        <w:rPr>
          <w:rFonts w:cs="Arial"/>
          <w:sz w:val="20"/>
        </w:rPr>
        <w:t>COVID-19</w:t>
      </w:r>
    </w:p>
    <w:p w14:paraId="40B81FF4"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acquiring IT equipment to support remote working and designing targeted advice for managers to support employee health and wellbeing</w:t>
      </w:r>
    </w:p>
    <w:p w14:paraId="72AEA8C2"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facilitating home-based work arrangements, including ongoing support for employees who were health vulnerable or who live with someone who was health vulnerable.</w:t>
      </w:r>
    </w:p>
    <w:p w14:paraId="318D0181" w14:textId="77777777" w:rsidR="00AB6753" w:rsidRPr="00833C50" w:rsidRDefault="00AB6753" w:rsidP="00AB6753">
      <w:pPr>
        <w:pStyle w:val="Heading4"/>
        <w:spacing w:after="200"/>
        <w:rPr>
          <w:rFonts w:ascii="Georgia" w:hAnsi="Georgia"/>
          <w:b w:val="0"/>
          <w:i w:val="0"/>
          <w:sz w:val="36"/>
        </w:rPr>
      </w:pPr>
      <w:r w:rsidRPr="00833C50">
        <w:rPr>
          <w:rFonts w:ascii="Georgia" w:hAnsi="Georgia"/>
          <w:b w:val="0"/>
          <w:i w:val="0"/>
          <w:sz w:val="36"/>
        </w:rPr>
        <w:t>Effectiveness in managing and developing staff</w:t>
      </w:r>
    </w:p>
    <w:p w14:paraId="097F826A" w14:textId="77777777" w:rsidR="00AB6753" w:rsidRPr="00D70386" w:rsidRDefault="00AB6753" w:rsidP="00AB6753">
      <w:pPr>
        <w:spacing w:after="0" w:line="240" w:lineRule="auto"/>
        <w:rPr>
          <w:b/>
          <w:sz w:val="24"/>
          <w:szCs w:val="24"/>
        </w:rPr>
      </w:pPr>
      <w:r w:rsidRPr="00D70386">
        <w:rPr>
          <w:b/>
          <w:sz w:val="24"/>
          <w:szCs w:val="24"/>
        </w:rPr>
        <w:t>Workforce planning</w:t>
      </w:r>
    </w:p>
    <w:p w14:paraId="7BBADA18" w14:textId="77777777" w:rsidR="00AB6753" w:rsidRDefault="00AB6753" w:rsidP="00AB6753">
      <w:pPr>
        <w:autoSpaceDE w:val="0"/>
        <w:autoSpaceDN w:val="0"/>
        <w:adjustRightInd w:val="0"/>
        <w:spacing w:before="120" w:after="180" w:line="280" w:lineRule="atLeast"/>
        <w:ind w:right="-164"/>
        <w:rPr>
          <w:sz w:val="20"/>
          <w:szCs w:val="20"/>
        </w:rPr>
      </w:pPr>
      <w:r>
        <w:rPr>
          <w:sz w:val="20"/>
          <w:szCs w:val="20"/>
        </w:rPr>
        <w:t xml:space="preserve">Our </w:t>
      </w:r>
      <w:r w:rsidRPr="008738B6">
        <w:rPr>
          <w:i/>
          <w:iCs/>
          <w:sz w:val="20"/>
          <w:szCs w:val="20"/>
        </w:rPr>
        <w:t>Workforce Strategy 2019–22</w:t>
      </w:r>
      <w:r w:rsidRPr="000073DF">
        <w:rPr>
          <w:sz w:val="20"/>
          <w:szCs w:val="20"/>
        </w:rPr>
        <w:t xml:space="preserve"> (the Workforce Strategy) </w:t>
      </w:r>
      <w:r>
        <w:rPr>
          <w:sz w:val="20"/>
          <w:szCs w:val="20"/>
        </w:rPr>
        <w:t>is a core element of our planning framework. The Workforce Strategy identifies the overarching principles which guide how we manage our current and future workforce capability and culture, and incorporates our workplace behaviours (action orientated, builders of cooperative relationships, curious, and decisive). Each year, the Workforce Strategy is reviewed, and priority initiatives are adjusted. For 2019–20, thirteen priority initiatives were identified under five key themes: capability, leadership, inclusion, adaptability and wellbeing.</w:t>
      </w:r>
    </w:p>
    <w:p w14:paraId="4A4DD6C2" w14:textId="77777777" w:rsidR="00AB6753" w:rsidRDefault="00AB6753" w:rsidP="00AB6753">
      <w:pPr>
        <w:autoSpaceDE w:val="0"/>
        <w:autoSpaceDN w:val="0"/>
        <w:adjustRightInd w:val="0"/>
        <w:spacing w:before="120" w:after="180" w:line="280" w:lineRule="atLeast"/>
        <w:ind w:right="-164"/>
        <w:rPr>
          <w:sz w:val="20"/>
          <w:szCs w:val="20"/>
        </w:rPr>
      </w:pPr>
      <w:r>
        <w:rPr>
          <w:sz w:val="20"/>
          <w:szCs w:val="20"/>
        </w:rPr>
        <w:t>The senior executive used regular workforce reporting and analysis, including the 2019 APS Employee Census results, workforce trend analysis, and workforce data (provided through an online Executive Dashboard) as evidence to inform workforce decisions.</w:t>
      </w:r>
    </w:p>
    <w:p w14:paraId="2734BD0D" w14:textId="77777777" w:rsidR="00AB6753" w:rsidRPr="00D70386" w:rsidRDefault="00AB6753" w:rsidP="00AB6753">
      <w:pPr>
        <w:spacing w:after="0" w:line="240" w:lineRule="auto"/>
        <w:rPr>
          <w:b/>
          <w:sz w:val="24"/>
          <w:szCs w:val="24"/>
        </w:rPr>
      </w:pPr>
      <w:r w:rsidRPr="00D70386">
        <w:rPr>
          <w:b/>
          <w:sz w:val="24"/>
          <w:szCs w:val="24"/>
        </w:rPr>
        <w:t>Leadership and capability development</w:t>
      </w:r>
    </w:p>
    <w:p w14:paraId="2D4556C5" w14:textId="77777777" w:rsidR="00AB6753" w:rsidRPr="000073DF" w:rsidRDefault="00AB6753" w:rsidP="00AB6753">
      <w:pPr>
        <w:autoSpaceDE w:val="0"/>
        <w:autoSpaceDN w:val="0"/>
        <w:adjustRightInd w:val="0"/>
        <w:spacing w:before="120" w:after="180" w:line="280" w:lineRule="atLeast"/>
        <w:ind w:right="-164"/>
        <w:rPr>
          <w:sz w:val="20"/>
          <w:szCs w:val="20"/>
        </w:rPr>
      </w:pPr>
      <w:r w:rsidRPr="000073DF">
        <w:rPr>
          <w:sz w:val="20"/>
          <w:szCs w:val="20"/>
        </w:rPr>
        <w:t xml:space="preserve">In response to physical distancing requirements, </w:t>
      </w:r>
      <w:r>
        <w:rPr>
          <w:sz w:val="20"/>
          <w:szCs w:val="20"/>
        </w:rPr>
        <w:t>our</w:t>
      </w:r>
      <w:r w:rsidRPr="000073DF">
        <w:rPr>
          <w:sz w:val="20"/>
          <w:szCs w:val="20"/>
        </w:rPr>
        <w:t xml:space="preserve"> face-to-face </w:t>
      </w:r>
      <w:r>
        <w:rPr>
          <w:sz w:val="20"/>
          <w:szCs w:val="20"/>
        </w:rPr>
        <w:t xml:space="preserve">learning and development </w:t>
      </w:r>
      <w:r w:rsidRPr="000073DF">
        <w:rPr>
          <w:sz w:val="20"/>
          <w:szCs w:val="20"/>
        </w:rPr>
        <w:t xml:space="preserve">programs </w:t>
      </w:r>
      <w:r>
        <w:rPr>
          <w:sz w:val="20"/>
          <w:szCs w:val="20"/>
        </w:rPr>
        <w:t>were</w:t>
      </w:r>
      <w:r w:rsidRPr="00C65959">
        <w:rPr>
          <w:sz w:val="20"/>
          <w:szCs w:val="20"/>
        </w:rPr>
        <w:t xml:space="preserve"> </w:t>
      </w:r>
      <w:r w:rsidRPr="000073DF">
        <w:rPr>
          <w:sz w:val="20"/>
          <w:szCs w:val="20"/>
        </w:rPr>
        <w:t>adapted to suit self-paced online learning where possible</w:t>
      </w:r>
      <w:r>
        <w:rPr>
          <w:sz w:val="20"/>
          <w:szCs w:val="20"/>
        </w:rPr>
        <w:t>, resulting in an increase of eLearning programs from</w:t>
      </w:r>
      <w:r w:rsidRPr="000073DF">
        <w:rPr>
          <w:sz w:val="20"/>
          <w:szCs w:val="20"/>
        </w:rPr>
        <w:t xml:space="preserve"> 69 to 100 between</w:t>
      </w:r>
      <w:r>
        <w:rPr>
          <w:sz w:val="20"/>
          <w:szCs w:val="20"/>
        </w:rPr>
        <w:t xml:space="preserve"> </w:t>
      </w:r>
      <w:r w:rsidRPr="000073DF">
        <w:rPr>
          <w:sz w:val="20"/>
          <w:szCs w:val="20"/>
        </w:rPr>
        <w:t>1 April and 30 June 2020.</w:t>
      </w:r>
    </w:p>
    <w:p w14:paraId="581E7C23" w14:textId="77777777" w:rsidR="00AB6753" w:rsidRPr="000073DF" w:rsidRDefault="00AB6753" w:rsidP="00AB6753">
      <w:pPr>
        <w:autoSpaceDE w:val="0"/>
        <w:autoSpaceDN w:val="0"/>
        <w:adjustRightInd w:val="0"/>
        <w:spacing w:before="120" w:after="180" w:line="280" w:lineRule="atLeast"/>
        <w:ind w:right="-164"/>
        <w:rPr>
          <w:sz w:val="20"/>
          <w:szCs w:val="20"/>
        </w:rPr>
      </w:pPr>
      <w:r w:rsidRPr="000073DF">
        <w:rPr>
          <w:sz w:val="20"/>
          <w:szCs w:val="20"/>
        </w:rPr>
        <w:t>Staff completed a total of 7,942 eLearning courses in 2019</w:t>
      </w:r>
      <w:r>
        <w:rPr>
          <w:sz w:val="20"/>
          <w:szCs w:val="20"/>
        </w:rPr>
        <w:t>–</w:t>
      </w:r>
      <w:r w:rsidRPr="000073DF">
        <w:rPr>
          <w:sz w:val="20"/>
          <w:szCs w:val="20"/>
        </w:rPr>
        <w:t>20. Additionally, staff accessed 45,335 high</w:t>
      </w:r>
      <w:r>
        <w:rPr>
          <w:sz w:val="20"/>
          <w:szCs w:val="20"/>
        </w:rPr>
        <w:t>-</w:t>
      </w:r>
      <w:r w:rsidRPr="000073DF">
        <w:rPr>
          <w:sz w:val="20"/>
          <w:szCs w:val="20"/>
        </w:rPr>
        <w:t xml:space="preserve">quality, video tutorials through LinkedIn Learning. Staff have demonstrated </w:t>
      </w:r>
      <w:r>
        <w:rPr>
          <w:sz w:val="20"/>
          <w:szCs w:val="20"/>
        </w:rPr>
        <w:t xml:space="preserve">a </w:t>
      </w:r>
      <w:r w:rsidRPr="000073DF">
        <w:rPr>
          <w:sz w:val="20"/>
          <w:szCs w:val="20"/>
        </w:rPr>
        <w:t xml:space="preserve">willingness to adapt </w:t>
      </w:r>
      <w:r>
        <w:rPr>
          <w:sz w:val="20"/>
          <w:szCs w:val="20"/>
        </w:rPr>
        <w:t xml:space="preserve">their learning </w:t>
      </w:r>
      <w:r w:rsidRPr="000073DF">
        <w:rPr>
          <w:sz w:val="20"/>
          <w:szCs w:val="20"/>
        </w:rPr>
        <w:t xml:space="preserve">to different delivery models and </w:t>
      </w:r>
      <w:r>
        <w:rPr>
          <w:sz w:val="20"/>
          <w:szCs w:val="20"/>
        </w:rPr>
        <w:t xml:space="preserve">we </w:t>
      </w:r>
      <w:r w:rsidRPr="000073DF">
        <w:rPr>
          <w:sz w:val="20"/>
          <w:szCs w:val="20"/>
        </w:rPr>
        <w:t>continue to develop flexible learning options to meet current and emerging needs.</w:t>
      </w:r>
    </w:p>
    <w:p w14:paraId="248D29E0" w14:textId="77777777" w:rsidR="00AB6753" w:rsidRPr="000073DF" w:rsidRDefault="00AB6753" w:rsidP="00AB6753">
      <w:pPr>
        <w:autoSpaceDE w:val="0"/>
        <w:autoSpaceDN w:val="0"/>
        <w:adjustRightInd w:val="0"/>
        <w:spacing w:before="120" w:after="180" w:line="280" w:lineRule="atLeast"/>
        <w:ind w:right="-164"/>
        <w:rPr>
          <w:sz w:val="20"/>
          <w:szCs w:val="20"/>
        </w:rPr>
      </w:pPr>
      <w:r w:rsidRPr="000073DF">
        <w:rPr>
          <w:sz w:val="20"/>
          <w:szCs w:val="20"/>
        </w:rPr>
        <w:t>We continued to invest in growing capable leaders and provided high</w:t>
      </w:r>
      <w:r>
        <w:rPr>
          <w:sz w:val="20"/>
          <w:szCs w:val="20"/>
        </w:rPr>
        <w:t>-v</w:t>
      </w:r>
      <w:r w:rsidRPr="000073DF">
        <w:rPr>
          <w:sz w:val="20"/>
          <w:szCs w:val="20"/>
        </w:rPr>
        <w:t xml:space="preserve">alue learning opportunities to </w:t>
      </w:r>
      <w:r>
        <w:rPr>
          <w:sz w:val="20"/>
          <w:szCs w:val="20"/>
        </w:rPr>
        <w:t>our</w:t>
      </w:r>
      <w:r w:rsidRPr="000073DF">
        <w:rPr>
          <w:sz w:val="20"/>
          <w:szCs w:val="20"/>
        </w:rPr>
        <w:t xml:space="preserve"> APS staff. In 2019</w:t>
      </w:r>
      <w:r>
        <w:rPr>
          <w:sz w:val="20"/>
          <w:szCs w:val="20"/>
        </w:rPr>
        <w:t>–</w:t>
      </w:r>
      <w:r w:rsidRPr="000073DF">
        <w:rPr>
          <w:sz w:val="20"/>
          <w:szCs w:val="20"/>
        </w:rPr>
        <w:t xml:space="preserve">20, </w:t>
      </w:r>
      <w:r>
        <w:rPr>
          <w:sz w:val="20"/>
          <w:szCs w:val="20"/>
        </w:rPr>
        <w:t>26</w:t>
      </w:r>
      <w:r w:rsidRPr="000073DF">
        <w:rPr>
          <w:sz w:val="20"/>
          <w:szCs w:val="20"/>
        </w:rPr>
        <w:t xml:space="preserve"> staff </w:t>
      </w:r>
      <w:r>
        <w:rPr>
          <w:sz w:val="20"/>
          <w:szCs w:val="20"/>
        </w:rPr>
        <w:t>participated</w:t>
      </w:r>
      <w:r w:rsidRPr="000073DF">
        <w:rPr>
          <w:sz w:val="20"/>
          <w:szCs w:val="20"/>
        </w:rPr>
        <w:t xml:space="preserve"> in a range of highly regarded leadership and management </w:t>
      </w:r>
      <w:r w:rsidRPr="000073DF">
        <w:rPr>
          <w:sz w:val="20"/>
          <w:szCs w:val="20"/>
        </w:rPr>
        <w:lastRenderedPageBreak/>
        <w:t>programs including the Jawun APS Secondment Program, the Sir Roland Wilson and Pat Turner Scholarships, and the Australian and New Zealand School of Government (ANZSOG) Executive Masters of Public Administration Program.</w:t>
      </w:r>
    </w:p>
    <w:p w14:paraId="568C4413" w14:textId="1FF73D1A" w:rsidR="00AB6753" w:rsidRPr="000073DF" w:rsidRDefault="00AB6753" w:rsidP="00AB6753">
      <w:pPr>
        <w:autoSpaceDE w:val="0"/>
        <w:autoSpaceDN w:val="0"/>
        <w:adjustRightInd w:val="0"/>
        <w:spacing w:before="120" w:after="180" w:line="280" w:lineRule="atLeast"/>
        <w:ind w:right="-164"/>
        <w:rPr>
          <w:sz w:val="20"/>
          <w:szCs w:val="20"/>
        </w:rPr>
      </w:pPr>
      <w:r w:rsidRPr="000073DF">
        <w:rPr>
          <w:sz w:val="20"/>
          <w:szCs w:val="20"/>
        </w:rPr>
        <w:t xml:space="preserve">Senior </w:t>
      </w:r>
      <w:r>
        <w:rPr>
          <w:sz w:val="20"/>
          <w:szCs w:val="20"/>
        </w:rPr>
        <w:t>Executive</w:t>
      </w:r>
      <w:r w:rsidR="004E717C">
        <w:rPr>
          <w:sz w:val="20"/>
          <w:szCs w:val="20"/>
        </w:rPr>
        <w:t xml:space="preserve"> Service</w:t>
      </w:r>
      <w:r>
        <w:rPr>
          <w:sz w:val="20"/>
          <w:szCs w:val="20"/>
        </w:rPr>
        <w:t xml:space="preserve"> (SES) employees</w:t>
      </w:r>
      <w:r w:rsidRPr="000073DF">
        <w:rPr>
          <w:sz w:val="20"/>
          <w:szCs w:val="20"/>
        </w:rPr>
        <w:t xml:space="preserve"> attended targeted SES development programs including Indigenous Cultural Awareness Training, </w:t>
      </w:r>
      <w:r w:rsidR="004E717C">
        <w:rPr>
          <w:sz w:val="20"/>
          <w:szCs w:val="20"/>
        </w:rPr>
        <w:t>Australian Public Service Commission (</w:t>
      </w:r>
      <w:r w:rsidRPr="000073DF">
        <w:rPr>
          <w:sz w:val="20"/>
          <w:szCs w:val="20"/>
        </w:rPr>
        <w:t>APSC</w:t>
      </w:r>
      <w:r w:rsidR="004E717C">
        <w:rPr>
          <w:sz w:val="20"/>
          <w:szCs w:val="20"/>
        </w:rPr>
        <w:t>)</w:t>
      </w:r>
      <w:r w:rsidRPr="000073DF">
        <w:rPr>
          <w:sz w:val="20"/>
          <w:szCs w:val="20"/>
        </w:rPr>
        <w:t xml:space="preserve"> SES Leadership Development</w:t>
      </w:r>
      <w:r>
        <w:rPr>
          <w:sz w:val="20"/>
          <w:szCs w:val="20"/>
        </w:rPr>
        <w:t xml:space="preserve"> and</w:t>
      </w:r>
      <w:r w:rsidRPr="000073DF">
        <w:rPr>
          <w:sz w:val="20"/>
          <w:szCs w:val="20"/>
        </w:rPr>
        <w:t xml:space="preserve">, SES Orientation, the ANZSOG Executive Fellows Program, the ANZSOG Executive Masters of Public Administration, and the Australian Institute of Company Directors </w:t>
      </w:r>
      <w:r>
        <w:rPr>
          <w:sz w:val="20"/>
          <w:szCs w:val="20"/>
        </w:rPr>
        <w:t>c</w:t>
      </w:r>
      <w:r w:rsidRPr="000073DF">
        <w:rPr>
          <w:sz w:val="20"/>
          <w:szCs w:val="20"/>
        </w:rPr>
        <w:t xml:space="preserve">ourse. </w:t>
      </w:r>
      <w:r>
        <w:rPr>
          <w:sz w:val="20"/>
          <w:szCs w:val="20"/>
        </w:rPr>
        <w:t>Senior leaders also</w:t>
      </w:r>
      <w:r w:rsidRPr="000073DF">
        <w:rPr>
          <w:sz w:val="20"/>
          <w:szCs w:val="20"/>
        </w:rPr>
        <w:t xml:space="preserve"> participated in a 360-degree feedback assessment process where they were assessed against SES leadership capabilities.</w:t>
      </w:r>
    </w:p>
    <w:p w14:paraId="5E1C749A" w14:textId="77777777" w:rsidR="00AB6753" w:rsidRPr="000073DF" w:rsidRDefault="00AB6753" w:rsidP="00AB6753">
      <w:pPr>
        <w:autoSpaceDE w:val="0"/>
        <w:autoSpaceDN w:val="0"/>
        <w:adjustRightInd w:val="0"/>
        <w:spacing w:before="120" w:after="180" w:line="280" w:lineRule="atLeast"/>
        <w:ind w:right="-164"/>
        <w:rPr>
          <w:sz w:val="20"/>
          <w:szCs w:val="20"/>
        </w:rPr>
      </w:pPr>
      <w:r w:rsidRPr="000073DF">
        <w:rPr>
          <w:sz w:val="20"/>
          <w:szCs w:val="20"/>
        </w:rPr>
        <w:t xml:space="preserve">We continue to acknowledge and recognise outstanding staff performance and contribution through our </w:t>
      </w:r>
      <w:r>
        <w:rPr>
          <w:sz w:val="20"/>
          <w:szCs w:val="20"/>
        </w:rPr>
        <w:t xml:space="preserve">annual </w:t>
      </w:r>
      <w:r w:rsidRPr="000073DF">
        <w:rPr>
          <w:sz w:val="20"/>
          <w:szCs w:val="20"/>
        </w:rPr>
        <w:t>Secretary’s Excellence Awards and NAIDOC Awards</w:t>
      </w:r>
      <w:r>
        <w:rPr>
          <w:sz w:val="20"/>
          <w:szCs w:val="20"/>
        </w:rPr>
        <w:t xml:space="preserve"> programs</w:t>
      </w:r>
      <w:r w:rsidRPr="000073DF">
        <w:rPr>
          <w:sz w:val="20"/>
          <w:szCs w:val="20"/>
        </w:rPr>
        <w:t>.</w:t>
      </w:r>
    </w:p>
    <w:p w14:paraId="04B220C6" w14:textId="77777777" w:rsidR="00AB6753" w:rsidRPr="00833C50" w:rsidRDefault="00AB6753" w:rsidP="00AB6753">
      <w:pPr>
        <w:pStyle w:val="Heading4"/>
        <w:spacing w:after="200"/>
        <w:rPr>
          <w:rFonts w:ascii="Georgia" w:hAnsi="Georgia"/>
          <w:b w:val="0"/>
          <w:i w:val="0"/>
          <w:sz w:val="36"/>
        </w:rPr>
      </w:pPr>
      <w:r w:rsidRPr="00833C50">
        <w:rPr>
          <w:rFonts w:ascii="Georgia" w:hAnsi="Georgia"/>
          <w:b w:val="0"/>
          <w:i w:val="0"/>
          <w:sz w:val="36"/>
        </w:rPr>
        <w:t>Workplace diversity</w:t>
      </w:r>
    </w:p>
    <w:p w14:paraId="40A003D4" w14:textId="605955DA"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We continue to support a diverse and inclusive workplace. Our</w:t>
      </w:r>
      <w:r w:rsidR="00F111F2">
        <w:rPr>
          <w:sz w:val="20"/>
          <w:szCs w:val="20"/>
        </w:rPr>
        <w:br/>
      </w:r>
      <w:r w:rsidRPr="003E70DF">
        <w:rPr>
          <w:i/>
          <w:sz w:val="20"/>
          <w:szCs w:val="20"/>
        </w:rPr>
        <w:t>Diversity and Inclusion Strategy 2019</w:t>
      </w:r>
      <w:r>
        <w:rPr>
          <w:i/>
          <w:sz w:val="20"/>
          <w:szCs w:val="20"/>
        </w:rPr>
        <w:t>–</w:t>
      </w:r>
      <w:r w:rsidRPr="003E70DF">
        <w:rPr>
          <w:i/>
          <w:sz w:val="20"/>
          <w:szCs w:val="20"/>
        </w:rPr>
        <w:t>2021</w:t>
      </w:r>
      <w:r>
        <w:rPr>
          <w:sz w:val="20"/>
          <w:szCs w:val="20"/>
        </w:rPr>
        <w:t xml:space="preserve"> outlines how we </w:t>
      </w:r>
      <w:r w:rsidRPr="003A570D">
        <w:rPr>
          <w:sz w:val="20"/>
          <w:szCs w:val="20"/>
        </w:rPr>
        <w:t xml:space="preserve">will foster inclusion across </w:t>
      </w:r>
      <w:r>
        <w:rPr>
          <w:sz w:val="20"/>
          <w:szCs w:val="20"/>
        </w:rPr>
        <w:t>the department</w:t>
      </w:r>
      <w:r w:rsidRPr="003A570D">
        <w:rPr>
          <w:sz w:val="20"/>
          <w:szCs w:val="20"/>
        </w:rPr>
        <w:t xml:space="preserve"> to ensure all employees are </w:t>
      </w:r>
      <w:r>
        <w:rPr>
          <w:sz w:val="20"/>
          <w:szCs w:val="20"/>
        </w:rPr>
        <w:t xml:space="preserve">treated </w:t>
      </w:r>
      <w:r w:rsidRPr="003A570D">
        <w:rPr>
          <w:sz w:val="20"/>
          <w:szCs w:val="20"/>
        </w:rPr>
        <w:t>equitably and respectfully.</w:t>
      </w:r>
    </w:p>
    <w:p w14:paraId="55BFA2D2" w14:textId="77777777" w:rsidR="00AB6753" w:rsidRDefault="00AB6753" w:rsidP="00AB6753">
      <w:pPr>
        <w:rPr>
          <w:rFonts w:ascii="Calibri" w:hAnsi="Calibri"/>
          <w:color w:val="000000"/>
          <w:sz w:val="20"/>
          <w:szCs w:val="20"/>
        </w:rPr>
      </w:pPr>
      <w:r w:rsidRPr="00852527">
        <w:rPr>
          <w:color w:val="000000"/>
          <w:sz w:val="20"/>
          <w:szCs w:val="20"/>
        </w:rPr>
        <w:t xml:space="preserve">The </w:t>
      </w:r>
      <w:r w:rsidRPr="003E70DF">
        <w:rPr>
          <w:i/>
          <w:sz w:val="20"/>
          <w:szCs w:val="20"/>
        </w:rPr>
        <w:t>Diversity and Inclusion Strategy 2019</w:t>
      </w:r>
      <w:r>
        <w:rPr>
          <w:i/>
          <w:sz w:val="20"/>
          <w:szCs w:val="20"/>
        </w:rPr>
        <w:t>–</w:t>
      </w:r>
      <w:r w:rsidRPr="003E70DF">
        <w:rPr>
          <w:i/>
          <w:sz w:val="20"/>
          <w:szCs w:val="20"/>
        </w:rPr>
        <w:t>2021</w:t>
      </w:r>
      <w:r>
        <w:rPr>
          <w:sz w:val="20"/>
          <w:szCs w:val="20"/>
        </w:rPr>
        <w:t xml:space="preserve"> </w:t>
      </w:r>
      <w:r w:rsidRPr="00852527">
        <w:rPr>
          <w:color w:val="000000"/>
          <w:sz w:val="20"/>
          <w:szCs w:val="20"/>
        </w:rPr>
        <w:t>guides the development of key diver</w:t>
      </w:r>
      <w:r>
        <w:rPr>
          <w:color w:val="000000"/>
          <w:sz w:val="20"/>
          <w:szCs w:val="20"/>
        </w:rPr>
        <w:t>sity and inclusion action plans</w:t>
      </w:r>
      <w:r w:rsidRPr="00852527">
        <w:rPr>
          <w:color w:val="000000"/>
          <w:sz w:val="20"/>
          <w:szCs w:val="20"/>
        </w:rPr>
        <w:t xml:space="preserve"> within the department that build on our existing framework and commitment to diversity and inclusion.</w:t>
      </w:r>
    </w:p>
    <w:p w14:paraId="33D64515" w14:textId="77777777" w:rsidR="00AB6753" w:rsidRPr="000073DF" w:rsidRDefault="00AB6753" w:rsidP="00AB6753">
      <w:pPr>
        <w:autoSpaceDE w:val="0"/>
        <w:autoSpaceDN w:val="0"/>
        <w:adjustRightInd w:val="0"/>
        <w:spacing w:before="120" w:after="180" w:line="280" w:lineRule="atLeast"/>
        <w:ind w:right="-164"/>
        <w:rPr>
          <w:sz w:val="20"/>
          <w:szCs w:val="20"/>
        </w:rPr>
      </w:pPr>
      <w:r>
        <w:rPr>
          <w:sz w:val="20"/>
          <w:szCs w:val="20"/>
        </w:rPr>
        <w:t>W</w:t>
      </w:r>
      <w:r w:rsidRPr="000073DF">
        <w:rPr>
          <w:sz w:val="20"/>
          <w:szCs w:val="20"/>
        </w:rPr>
        <w:t>e strive to provide a work environment for all staff to thrive and succeed through the following objectives</w:t>
      </w:r>
      <w:r>
        <w:rPr>
          <w:sz w:val="20"/>
          <w:szCs w:val="20"/>
        </w:rPr>
        <w:t>:</w:t>
      </w:r>
    </w:p>
    <w:p w14:paraId="3E24F498"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inclusive culture that celebrates diversity</w:t>
      </w:r>
    </w:p>
    <w:p w14:paraId="2AC84D60"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engage diversity through our people</w:t>
      </w:r>
    </w:p>
    <w:p w14:paraId="614D33C4"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improved capability</w:t>
      </w:r>
    </w:p>
    <w:p w14:paraId="69C7C283"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leadership that drives cultural change</w:t>
      </w:r>
      <w:r>
        <w:rPr>
          <w:rFonts w:cs="Arial"/>
          <w:sz w:val="20"/>
        </w:rPr>
        <w:t>.</w:t>
      </w:r>
    </w:p>
    <w:p w14:paraId="2F7E1367" w14:textId="77777777" w:rsidR="00AB6753" w:rsidRDefault="00AB6753" w:rsidP="00AB6753">
      <w:pPr>
        <w:rPr>
          <w:sz w:val="20"/>
          <w:szCs w:val="20"/>
        </w:rPr>
      </w:pPr>
      <w:r>
        <w:rPr>
          <w:sz w:val="20"/>
          <w:szCs w:val="20"/>
        </w:rPr>
        <w:t>To support our staff and ensure ongoing engagement with internal and external programs and policies, we have established the following staff diversity committees, each supported by executive diversity champions and a diversity network:</w:t>
      </w:r>
    </w:p>
    <w:p w14:paraId="12BB1AE8"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Culturally and Linguistically Diverse (CALD) Network Committee</w:t>
      </w:r>
    </w:p>
    <w:p w14:paraId="2F03EA82"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Aboriginal and Torres Strait Islander Staff National Committee</w:t>
      </w:r>
    </w:p>
    <w:p w14:paraId="444847DB"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Disability and Carers Committee</w:t>
      </w:r>
    </w:p>
    <w:p w14:paraId="23F9731A"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Pride Committee (LG</w:t>
      </w:r>
      <w:r>
        <w:rPr>
          <w:rFonts w:cs="Arial"/>
          <w:sz w:val="20"/>
        </w:rPr>
        <w:t>BT</w:t>
      </w:r>
      <w:r w:rsidRPr="00214B7D">
        <w:rPr>
          <w:rFonts w:cs="Arial"/>
          <w:sz w:val="20"/>
        </w:rPr>
        <w:t>IQ).</w:t>
      </w:r>
    </w:p>
    <w:p w14:paraId="33C17E6B" w14:textId="77777777" w:rsidR="00AB6753" w:rsidRPr="00F9600E" w:rsidRDefault="00AB6753" w:rsidP="00AB6753">
      <w:pPr>
        <w:rPr>
          <w:sz w:val="20"/>
          <w:szCs w:val="20"/>
        </w:rPr>
      </w:pPr>
      <w:r>
        <w:rPr>
          <w:sz w:val="20"/>
          <w:szCs w:val="20"/>
        </w:rPr>
        <w:t>Diversity committees regularly collaborate to ensure inclusion and representation of all staff, including those who experience intersectional diversity.</w:t>
      </w:r>
    </w:p>
    <w:p w14:paraId="211B9DC6" w14:textId="77777777" w:rsidR="00AB6753" w:rsidRPr="001B4403" w:rsidRDefault="00AB6753" w:rsidP="00AB6753">
      <w:pPr>
        <w:rPr>
          <w:sz w:val="20"/>
          <w:szCs w:val="20"/>
        </w:rPr>
      </w:pPr>
      <w:r>
        <w:rPr>
          <w:sz w:val="20"/>
          <w:szCs w:val="20"/>
        </w:rPr>
        <w:t>We also</w:t>
      </w:r>
      <w:r w:rsidRPr="001B4403">
        <w:rPr>
          <w:sz w:val="20"/>
          <w:szCs w:val="20"/>
        </w:rPr>
        <w:t xml:space="preserve"> </w:t>
      </w:r>
      <w:r>
        <w:rPr>
          <w:sz w:val="20"/>
          <w:szCs w:val="20"/>
        </w:rPr>
        <w:t>maintain</w:t>
      </w:r>
      <w:r w:rsidRPr="001B4403">
        <w:rPr>
          <w:sz w:val="20"/>
          <w:szCs w:val="20"/>
        </w:rPr>
        <w:t xml:space="preserve"> memberships with</w:t>
      </w:r>
      <w:r>
        <w:rPr>
          <w:sz w:val="20"/>
          <w:szCs w:val="20"/>
        </w:rPr>
        <w:t xml:space="preserve"> the following diversity organisations:</w:t>
      </w:r>
    </w:p>
    <w:p w14:paraId="3B8072AC" w14:textId="05D596AB"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Australian Network on Disability (G</w:t>
      </w:r>
      <w:r w:rsidR="0000078A">
        <w:rPr>
          <w:rFonts w:cs="Arial"/>
          <w:sz w:val="20"/>
        </w:rPr>
        <w:t>old membership</w:t>
      </w:r>
      <w:r w:rsidRPr="00214B7D">
        <w:rPr>
          <w:rFonts w:cs="Arial"/>
          <w:sz w:val="20"/>
        </w:rPr>
        <w:t>)</w:t>
      </w:r>
    </w:p>
    <w:p w14:paraId="49BBFDBC"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Diversity Council of Australia</w:t>
      </w:r>
    </w:p>
    <w:p w14:paraId="4C01F98D"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Pride in Diversity.</w:t>
      </w:r>
    </w:p>
    <w:p w14:paraId="02CF716A" w14:textId="77777777" w:rsidR="00AB6753" w:rsidRPr="00515F05" w:rsidRDefault="00AB6753" w:rsidP="00AB6753">
      <w:pPr>
        <w:rPr>
          <w:sz w:val="20"/>
          <w:szCs w:val="20"/>
        </w:rPr>
      </w:pPr>
      <w:r w:rsidRPr="00F9600E">
        <w:rPr>
          <w:sz w:val="20"/>
          <w:szCs w:val="20"/>
        </w:rPr>
        <w:t>In 2019</w:t>
      </w:r>
      <w:r>
        <w:rPr>
          <w:sz w:val="20"/>
          <w:szCs w:val="20"/>
        </w:rPr>
        <w:t>–</w:t>
      </w:r>
      <w:r w:rsidRPr="00F9600E">
        <w:rPr>
          <w:sz w:val="20"/>
          <w:szCs w:val="20"/>
        </w:rPr>
        <w:t>20</w:t>
      </w:r>
      <w:r>
        <w:rPr>
          <w:sz w:val="20"/>
          <w:szCs w:val="20"/>
        </w:rPr>
        <w:t>,</w:t>
      </w:r>
      <w:r w:rsidRPr="00F9600E">
        <w:rPr>
          <w:sz w:val="20"/>
          <w:szCs w:val="20"/>
        </w:rPr>
        <w:t xml:space="preserve"> our staff participated in International Day of People with Disability, Hearing Awareness Week, NAIDOC Week, National Reconciliation Week, Carers Week, Harmony Day, Wear it Purple </w:t>
      </w:r>
      <w:r w:rsidRPr="00F9600E">
        <w:rPr>
          <w:sz w:val="20"/>
          <w:szCs w:val="20"/>
        </w:rPr>
        <w:lastRenderedPageBreak/>
        <w:t xml:space="preserve">Day, Mental Health Week, International Day Against Homophobia, Biphobia, </w:t>
      </w:r>
      <w:proofErr w:type="spellStart"/>
      <w:r w:rsidRPr="00F9600E">
        <w:rPr>
          <w:sz w:val="20"/>
          <w:szCs w:val="20"/>
        </w:rPr>
        <w:t>Intersexism</w:t>
      </w:r>
      <w:proofErr w:type="spellEnd"/>
      <w:r w:rsidRPr="00F9600E">
        <w:rPr>
          <w:sz w:val="20"/>
          <w:szCs w:val="20"/>
        </w:rPr>
        <w:t xml:space="preserve"> and Transphobia</w:t>
      </w:r>
      <w:r>
        <w:rPr>
          <w:sz w:val="20"/>
          <w:szCs w:val="20"/>
        </w:rPr>
        <w:t>,</w:t>
      </w:r>
      <w:r w:rsidRPr="00F9600E">
        <w:rPr>
          <w:sz w:val="20"/>
          <w:szCs w:val="20"/>
        </w:rPr>
        <w:t xml:space="preserve"> and National Families Week.</w:t>
      </w:r>
    </w:p>
    <w:p w14:paraId="6B3EA527" w14:textId="77777777" w:rsidR="00AB6753" w:rsidRPr="00D70386" w:rsidRDefault="00AB6753" w:rsidP="00AB6753">
      <w:pPr>
        <w:spacing w:after="0" w:line="240" w:lineRule="auto"/>
        <w:rPr>
          <w:b/>
          <w:sz w:val="24"/>
          <w:szCs w:val="24"/>
        </w:rPr>
      </w:pPr>
      <w:r w:rsidRPr="00D70386">
        <w:rPr>
          <w:b/>
          <w:sz w:val="24"/>
          <w:szCs w:val="24"/>
        </w:rPr>
        <w:t>Culturally and Linguistically Diverse</w:t>
      </w:r>
    </w:p>
    <w:p w14:paraId="5D52CB78" w14:textId="52CDC572" w:rsidR="00AB6753" w:rsidRPr="000073DF" w:rsidRDefault="00AB6753" w:rsidP="00AB6753">
      <w:pPr>
        <w:autoSpaceDE w:val="0"/>
        <w:autoSpaceDN w:val="0"/>
        <w:adjustRightInd w:val="0"/>
        <w:spacing w:before="120" w:after="180" w:line="280" w:lineRule="atLeast"/>
        <w:ind w:right="-164"/>
        <w:rPr>
          <w:sz w:val="20"/>
          <w:szCs w:val="20"/>
        </w:rPr>
      </w:pPr>
      <w:r w:rsidRPr="000073DF">
        <w:rPr>
          <w:sz w:val="20"/>
          <w:szCs w:val="20"/>
        </w:rPr>
        <w:t xml:space="preserve">The CALD Network and CALD Network </w:t>
      </w:r>
      <w:r>
        <w:rPr>
          <w:sz w:val="20"/>
          <w:szCs w:val="20"/>
        </w:rPr>
        <w:t>Committee has</w:t>
      </w:r>
      <w:r w:rsidRPr="000073DF">
        <w:rPr>
          <w:sz w:val="20"/>
          <w:szCs w:val="20"/>
        </w:rPr>
        <w:t xml:space="preserve"> been established as part of </w:t>
      </w:r>
      <w:r>
        <w:rPr>
          <w:sz w:val="20"/>
          <w:szCs w:val="20"/>
        </w:rPr>
        <w:t xml:space="preserve">our </w:t>
      </w:r>
      <w:r w:rsidRPr="002937F5">
        <w:rPr>
          <w:i/>
          <w:sz w:val="20"/>
          <w:szCs w:val="20"/>
        </w:rPr>
        <w:t>Diversity and Inclusion Strategy 2019</w:t>
      </w:r>
      <w:r>
        <w:rPr>
          <w:i/>
          <w:sz w:val="20"/>
          <w:szCs w:val="20"/>
        </w:rPr>
        <w:t>–</w:t>
      </w:r>
      <w:r w:rsidRPr="002937F5">
        <w:rPr>
          <w:i/>
          <w:sz w:val="20"/>
          <w:szCs w:val="20"/>
        </w:rPr>
        <w:t>2021</w:t>
      </w:r>
      <w:r>
        <w:rPr>
          <w:sz w:val="20"/>
          <w:szCs w:val="20"/>
        </w:rPr>
        <w:t xml:space="preserve"> to support staff</w:t>
      </w:r>
      <w:r w:rsidRPr="000073DF">
        <w:rPr>
          <w:sz w:val="20"/>
          <w:szCs w:val="20"/>
        </w:rPr>
        <w:t xml:space="preserve"> from CALD backgrounds</w:t>
      </w:r>
      <w:r>
        <w:rPr>
          <w:sz w:val="20"/>
          <w:szCs w:val="20"/>
        </w:rPr>
        <w:t xml:space="preserve"> by representing their</w:t>
      </w:r>
      <w:r w:rsidRPr="000073DF">
        <w:rPr>
          <w:sz w:val="20"/>
          <w:szCs w:val="20"/>
        </w:rPr>
        <w:t xml:space="preserve"> interests, perspectives</w:t>
      </w:r>
      <w:r>
        <w:rPr>
          <w:sz w:val="20"/>
          <w:szCs w:val="20"/>
        </w:rPr>
        <w:t>,</w:t>
      </w:r>
      <w:r w:rsidRPr="000073DF">
        <w:rPr>
          <w:sz w:val="20"/>
          <w:szCs w:val="20"/>
        </w:rPr>
        <w:t xml:space="preserve"> and concerns. The Committee also provides strategic advice to the department to enable, encourage</w:t>
      </w:r>
      <w:r>
        <w:rPr>
          <w:sz w:val="20"/>
          <w:szCs w:val="20"/>
        </w:rPr>
        <w:t>,</w:t>
      </w:r>
      <w:r w:rsidRPr="000073DF">
        <w:rPr>
          <w:sz w:val="20"/>
          <w:szCs w:val="20"/>
        </w:rPr>
        <w:t xml:space="preserve"> and </w:t>
      </w:r>
      <w:r>
        <w:rPr>
          <w:sz w:val="20"/>
          <w:szCs w:val="20"/>
        </w:rPr>
        <w:t>deploy</w:t>
      </w:r>
      <w:r w:rsidRPr="000073DF">
        <w:rPr>
          <w:sz w:val="20"/>
          <w:szCs w:val="20"/>
        </w:rPr>
        <w:t xml:space="preserve"> diverse experience</w:t>
      </w:r>
      <w:r>
        <w:rPr>
          <w:sz w:val="20"/>
          <w:szCs w:val="20"/>
        </w:rPr>
        <w:t>s</w:t>
      </w:r>
      <w:r w:rsidRPr="000073DF">
        <w:rPr>
          <w:sz w:val="20"/>
          <w:szCs w:val="20"/>
        </w:rPr>
        <w:t xml:space="preserve"> to our work environment.</w:t>
      </w:r>
    </w:p>
    <w:p w14:paraId="4C54A691" w14:textId="77777777" w:rsidR="00AB6753" w:rsidRPr="00D70386" w:rsidRDefault="00AB6753" w:rsidP="00AB6753">
      <w:pPr>
        <w:spacing w:after="0" w:line="240" w:lineRule="auto"/>
        <w:rPr>
          <w:b/>
          <w:sz w:val="24"/>
          <w:szCs w:val="24"/>
        </w:rPr>
      </w:pPr>
      <w:r w:rsidRPr="00D70386">
        <w:rPr>
          <w:b/>
          <w:sz w:val="24"/>
          <w:szCs w:val="24"/>
        </w:rPr>
        <w:t>Employment of Aboriginal and Torres Strait Islander peoples</w:t>
      </w:r>
    </w:p>
    <w:p w14:paraId="6686D8B2"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We value, acknowledge</w:t>
      </w:r>
      <w:r>
        <w:rPr>
          <w:sz w:val="20"/>
          <w:szCs w:val="20"/>
        </w:rPr>
        <w:t>,</w:t>
      </w:r>
      <w:r w:rsidRPr="003A570D">
        <w:rPr>
          <w:sz w:val="20"/>
          <w:szCs w:val="20"/>
        </w:rPr>
        <w:t xml:space="preserve"> and respect diversity and actively use life experiences, skills</w:t>
      </w:r>
      <w:r>
        <w:rPr>
          <w:sz w:val="20"/>
          <w:szCs w:val="20"/>
        </w:rPr>
        <w:t>,</w:t>
      </w:r>
      <w:r w:rsidRPr="003A570D">
        <w:rPr>
          <w:sz w:val="20"/>
          <w:szCs w:val="20"/>
        </w:rPr>
        <w:t xml:space="preserve"> and knowledge of Aboriginal and Torres Strait Islander peoples as a source of advice on policy, service delivery</w:t>
      </w:r>
      <w:r>
        <w:rPr>
          <w:sz w:val="20"/>
          <w:szCs w:val="20"/>
        </w:rPr>
        <w:t>,</w:t>
      </w:r>
      <w:r w:rsidRPr="003A570D">
        <w:rPr>
          <w:sz w:val="20"/>
          <w:szCs w:val="20"/>
        </w:rPr>
        <w:t xml:space="preserve"> and capability development.</w:t>
      </w:r>
    </w:p>
    <w:p w14:paraId="5E342491"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As at 30 June 2020, </w:t>
      </w:r>
      <w:r>
        <w:rPr>
          <w:sz w:val="20"/>
          <w:szCs w:val="20"/>
        </w:rPr>
        <w:t>six</w:t>
      </w:r>
      <w:r w:rsidRPr="003A570D">
        <w:rPr>
          <w:sz w:val="20"/>
          <w:szCs w:val="20"/>
        </w:rPr>
        <w:t xml:space="preserve"> per cent of our employees (143 staff) identified as being Aboriginal and/or Torres Strait Islander.</w:t>
      </w:r>
    </w:p>
    <w:p w14:paraId="116BAAD7"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Our </w:t>
      </w:r>
      <w:r w:rsidRPr="00130D01">
        <w:rPr>
          <w:i/>
          <w:iCs/>
          <w:sz w:val="20"/>
          <w:szCs w:val="20"/>
        </w:rPr>
        <w:t>Reconciliation Action Plan 2017–2020</w:t>
      </w:r>
      <w:r w:rsidRPr="003A570D">
        <w:rPr>
          <w:sz w:val="20"/>
          <w:szCs w:val="20"/>
        </w:rPr>
        <w:t xml:space="preserve"> and our </w:t>
      </w:r>
      <w:r w:rsidRPr="00130D01">
        <w:rPr>
          <w:i/>
          <w:iCs/>
          <w:sz w:val="20"/>
          <w:szCs w:val="20"/>
        </w:rPr>
        <w:t>Aboriginal and Torres Strait Islander Workforce Strategy</w:t>
      </w:r>
      <w:r w:rsidRPr="003A570D">
        <w:rPr>
          <w:sz w:val="20"/>
          <w:szCs w:val="20"/>
        </w:rPr>
        <w:t xml:space="preserve"> guide our commitment to the recruitment, retention</w:t>
      </w:r>
      <w:r>
        <w:rPr>
          <w:sz w:val="20"/>
          <w:szCs w:val="20"/>
        </w:rPr>
        <w:t>,</w:t>
      </w:r>
      <w:r w:rsidRPr="003A570D">
        <w:rPr>
          <w:sz w:val="20"/>
          <w:szCs w:val="20"/>
        </w:rPr>
        <w:t xml:space="preserve"> and career development of Aboriginal and Torres Strait Islander staff across all policy and program areas.</w:t>
      </w:r>
    </w:p>
    <w:p w14:paraId="6A85BD9D"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We continue to participate in entry-level recruitment programs to provide employment pathways for Aboriginal and Torres Strait I</w:t>
      </w:r>
      <w:r>
        <w:rPr>
          <w:sz w:val="20"/>
          <w:szCs w:val="20"/>
        </w:rPr>
        <w:t>slander peoples. This includes</w:t>
      </w:r>
      <w:r w:rsidRPr="003A570D">
        <w:rPr>
          <w:sz w:val="20"/>
          <w:szCs w:val="20"/>
        </w:rPr>
        <w:t xml:space="preserve"> 10 participants in the Indigenous Apprenticeships Program, coordinated by Services Australia and our department</w:t>
      </w:r>
      <w:r>
        <w:rPr>
          <w:sz w:val="20"/>
          <w:szCs w:val="20"/>
        </w:rPr>
        <w:t>-</w:t>
      </w:r>
      <w:r w:rsidRPr="003A570D">
        <w:rPr>
          <w:sz w:val="20"/>
          <w:szCs w:val="20"/>
        </w:rPr>
        <w:t>specific Indigenous Internship Program.</w:t>
      </w:r>
    </w:p>
    <w:p w14:paraId="27C82320" w14:textId="77777777" w:rsidR="00AB6753" w:rsidRPr="00130D01" w:rsidRDefault="00AB6753" w:rsidP="00AB6753">
      <w:pPr>
        <w:autoSpaceDE w:val="0"/>
        <w:autoSpaceDN w:val="0"/>
        <w:adjustRightInd w:val="0"/>
        <w:spacing w:before="120" w:after="180" w:line="280" w:lineRule="atLeast"/>
        <w:ind w:right="-164"/>
        <w:rPr>
          <w:i/>
          <w:iCs/>
          <w:sz w:val="20"/>
          <w:szCs w:val="20"/>
        </w:rPr>
      </w:pPr>
      <w:r w:rsidRPr="003A570D">
        <w:rPr>
          <w:sz w:val="20"/>
          <w:szCs w:val="20"/>
        </w:rPr>
        <w:t xml:space="preserve">Support for Aboriginal and Torres Strait Islander staff and </w:t>
      </w:r>
      <w:r>
        <w:rPr>
          <w:sz w:val="20"/>
          <w:szCs w:val="20"/>
        </w:rPr>
        <w:t xml:space="preserve">their </w:t>
      </w:r>
      <w:r w:rsidRPr="003A570D">
        <w:rPr>
          <w:sz w:val="20"/>
          <w:szCs w:val="20"/>
        </w:rPr>
        <w:t xml:space="preserve">supervisors is provided through our Indigenous Liaison Officer, who coordinates initiatives </w:t>
      </w:r>
      <w:r>
        <w:rPr>
          <w:sz w:val="20"/>
          <w:szCs w:val="20"/>
        </w:rPr>
        <w:t>from</w:t>
      </w:r>
      <w:r w:rsidRPr="003A570D">
        <w:rPr>
          <w:sz w:val="20"/>
          <w:szCs w:val="20"/>
        </w:rPr>
        <w:t xml:space="preserve"> our </w:t>
      </w:r>
      <w:r w:rsidRPr="00AE6667">
        <w:rPr>
          <w:i/>
          <w:sz w:val="20"/>
          <w:szCs w:val="20"/>
        </w:rPr>
        <w:t>Reconciliation Action Plan 2017-</w:t>
      </w:r>
      <w:r>
        <w:rPr>
          <w:i/>
          <w:sz w:val="20"/>
          <w:szCs w:val="20"/>
        </w:rPr>
        <w:t>20</w:t>
      </w:r>
      <w:r w:rsidRPr="00AE6667">
        <w:rPr>
          <w:i/>
          <w:sz w:val="20"/>
          <w:szCs w:val="20"/>
        </w:rPr>
        <w:t>20</w:t>
      </w:r>
      <w:r>
        <w:rPr>
          <w:sz w:val="20"/>
          <w:szCs w:val="20"/>
        </w:rPr>
        <w:t xml:space="preserve"> </w:t>
      </w:r>
      <w:r w:rsidRPr="003A570D">
        <w:rPr>
          <w:sz w:val="20"/>
          <w:szCs w:val="20"/>
        </w:rPr>
        <w:t xml:space="preserve">and </w:t>
      </w:r>
      <w:r w:rsidRPr="00130D01">
        <w:rPr>
          <w:i/>
          <w:iCs/>
          <w:sz w:val="20"/>
          <w:szCs w:val="20"/>
        </w:rPr>
        <w:t>Aboriginal and Torres Strait Islander Workforce Strategy.</w:t>
      </w:r>
    </w:p>
    <w:p w14:paraId="43F85C77" w14:textId="77777777" w:rsidR="00AB6753"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Our Indigenous Champion, a role performed at the </w:t>
      </w:r>
      <w:r>
        <w:rPr>
          <w:sz w:val="20"/>
          <w:szCs w:val="20"/>
        </w:rPr>
        <w:t>d</w:t>
      </w:r>
      <w:r w:rsidRPr="003A570D">
        <w:rPr>
          <w:sz w:val="20"/>
          <w:szCs w:val="20"/>
        </w:rPr>
        <w:t xml:space="preserve">eputy </w:t>
      </w:r>
      <w:r>
        <w:rPr>
          <w:sz w:val="20"/>
          <w:szCs w:val="20"/>
        </w:rPr>
        <w:t>s</w:t>
      </w:r>
      <w:r w:rsidRPr="003A570D">
        <w:rPr>
          <w:sz w:val="20"/>
          <w:szCs w:val="20"/>
        </w:rPr>
        <w:t xml:space="preserve">ecretary level, </w:t>
      </w:r>
      <w:r>
        <w:rPr>
          <w:sz w:val="20"/>
          <w:szCs w:val="20"/>
        </w:rPr>
        <w:t>provides senior</w:t>
      </w:r>
      <w:r w:rsidRPr="003A570D">
        <w:rPr>
          <w:sz w:val="20"/>
          <w:szCs w:val="20"/>
        </w:rPr>
        <w:t xml:space="preserve"> leadership support to implement our Indigenous employment strategies. Our champion also works with the Aboriginal and Torres Strait Islander Staff National Committee to provide strategic advice on workforce initiatives for Indigenous employees.</w:t>
      </w:r>
    </w:p>
    <w:p w14:paraId="2A0012E7" w14:textId="77777777" w:rsidR="00AB6753" w:rsidRDefault="00AB6753" w:rsidP="00AB6753">
      <w:pPr>
        <w:rPr>
          <w:rFonts w:eastAsiaTheme="majorEastAsia" w:cstheme="majorBidi"/>
          <w:bCs/>
          <w:sz w:val="28"/>
        </w:rPr>
      </w:pPr>
      <w:r>
        <w:rPr>
          <w:sz w:val="20"/>
          <w:szCs w:val="20"/>
        </w:rPr>
        <w:t xml:space="preserve">The Aboriginal and Torres Strait Islander Staff National Committee represents the interests, perspectives, and concerns of Aboriginal and Torres Strait Islander Staff through, advocacy and engagement and by providing advice on </w:t>
      </w:r>
      <w:r w:rsidRPr="00CA1A67">
        <w:rPr>
          <w:rFonts w:cs="Arial"/>
          <w:sz w:val="20"/>
          <w:szCs w:val="20"/>
        </w:rPr>
        <w:t>issues that impact staff. The Aboriginal and Torres Strait Islander Staff National Committee provide</w:t>
      </w:r>
      <w:r>
        <w:rPr>
          <w:rFonts w:cs="Arial"/>
          <w:sz w:val="20"/>
          <w:szCs w:val="20"/>
        </w:rPr>
        <w:t>s</w:t>
      </w:r>
      <w:r w:rsidRPr="00CA1A67">
        <w:rPr>
          <w:rFonts w:cs="Arial"/>
          <w:sz w:val="20"/>
          <w:szCs w:val="20"/>
        </w:rPr>
        <w:t xml:space="preserve"> input into </w:t>
      </w:r>
      <w:r>
        <w:rPr>
          <w:rFonts w:cs="Arial"/>
          <w:sz w:val="20"/>
          <w:szCs w:val="20"/>
        </w:rPr>
        <w:t>o</w:t>
      </w:r>
      <w:r w:rsidRPr="00CA1A67">
        <w:rPr>
          <w:rFonts w:cs="Arial"/>
          <w:sz w:val="20"/>
          <w:szCs w:val="20"/>
        </w:rPr>
        <w:t xml:space="preserve">ur </w:t>
      </w:r>
      <w:r w:rsidRPr="00CA1A67">
        <w:rPr>
          <w:rFonts w:cs="Arial"/>
          <w:i/>
          <w:sz w:val="20"/>
          <w:szCs w:val="20"/>
        </w:rPr>
        <w:t>Reconciliation Action Plan 2017</w:t>
      </w:r>
      <w:r>
        <w:rPr>
          <w:rFonts w:cs="Arial"/>
          <w:i/>
          <w:sz w:val="20"/>
          <w:szCs w:val="20"/>
        </w:rPr>
        <w:t>–</w:t>
      </w:r>
      <w:r w:rsidRPr="00CA1A67">
        <w:rPr>
          <w:rFonts w:cs="Arial"/>
          <w:i/>
          <w:sz w:val="20"/>
          <w:szCs w:val="20"/>
        </w:rPr>
        <w:t>2020</w:t>
      </w:r>
      <w:r w:rsidRPr="00CA1A67">
        <w:rPr>
          <w:rFonts w:cs="Arial"/>
          <w:sz w:val="20"/>
          <w:szCs w:val="20"/>
        </w:rPr>
        <w:t xml:space="preserve"> and our </w:t>
      </w:r>
      <w:r w:rsidRPr="00CA1A67">
        <w:rPr>
          <w:rFonts w:cs="Arial"/>
          <w:i/>
          <w:sz w:val="20"/>
          <w:szCs w:val="20"/>
        </w:rPr>
        <w:t>Aboriginal and Torres Strait Islander Workforce Strategy.</w:t>
      </w:r>
    </w:p>
    <w:p w14:paraId="5FE2014E" w14:textId="77777777" w:rsidR="00AB6753" w:rsidRPr="00D70386" w:rsidRDefault="00AB6753" w:rsidP="00AB6753">
      <w:pPr>
        <w:spacing w:after="0" w:line="240" w:lineRule="auto"/>
        <w:rPr>
          <w:b/>
          <w:sz w:val="24"/>
          <w:szCs w:val="24"/>
        </w:rPr>
      </w:pPr>
      <w:r w:rsidRPr="00D70386">
        <w:rPr>
          <w:b/>
          <w:sz w:val="24"/>
          <w:szCs w:val="24"/>
        </w:rPr>
        <w:t xml:space="preserve">Employment of people with disability </w:t>
      </w:r>
    </w:p>
    <w:p w14:paraId="7C5901EC" w14:textId="6D9D9AD9"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Increasing employment outcomes for people with disability continues to be a priority. In total,</w:t>
      </w:r>
      <w:r w:rsidR="00F111F2">
        <w:rPr>
          <w:sz w:val="20"/>
          <w:szCs w:val="20"/>
        </w:rPr>
        <w:br/>
      </w:r>
      <w:r w:rsidRPr="003A570D">
        <w:rPr>
          <w:sz w:val="20"/>
          <w:szCs w:val="20"/>
        </w:rPr>
        <w:t>6.8 per cent of our staff identified as a person with disability as at 30 June 2020</w:t>
      </w:r>
      <w:r>
        <w:rPr>
          <w:sz w:val="20"/>
          <w:szCs w:val="20"/>
        </w:rPr>
        <w:t xml:space="preserve"> (160 staff).</w:t>
      </w:r>
    </w:p>
    <w:p w14:paraId="7DABACD9"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Our </w:t>
      </w:r>
      <w:r w:rsidRPr="00130D01">
        <w:rPr>
          <w:i/>
          <w:iCs/>
          <w:sz w:val="20"/>
          <w:szCs w:val="20"/>
        </w:rPr>
        <w:t>Diversity and Inclusion Strategy 2019–2021</w:t>
      </w:r>
      <w:r w:rsidRPr="003A570D">
        <w:rPr>
          <w:sz w:val="20"/>
          <w:szCs w:val="20"/>
        </w:rPr>
        <w:t xml:space="preserve"> guides our approach to recruiting, developing</w:t>
      </w:r>
      <w:r>
        <w:rPr>
          <w:sz w:val="20"/>
          <w:szCs w:val="20"/>
        </w:rPr>
        <w:t>,</w:t>
      </w:r>
      <w:r w:rsidRPr="003A570D">
        <w:rPr>
          <w:sz w:val="20"/>
          <w:szCs w:val="20"/>
        </w:rPr>
        <w:t xml:space="preserve"> and retaining people with disability.</w:t>
      </w:r>
    </w:p>
    <w:p w14:paraId="3E12F33F" w14:textId="0DBC44A8"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We provide entry-level employment pathways for people with disability through participation in the Australian Network on Disability’s Stepping Into Internship Program in which we had four interns.</w:t>
      </w:r>
      <w:r w:rsidR="00F111F2">
        <w:rPr>
          <w:sz w:val="20"/>
          <w:szCs w:val="20"/>
        </w:rPr>
        <w:br/>
      </w:r>
      <w:r w:rsidRPr="003A570D">
        <w:rPr>
          <w:sz w:val="20"/>
          <w:szCs w:val="20"/>
        </w:rPr>
        <w:t xml:space="preserve">We also apply APS </w:t>
      </w:r>
      <w:proofErr w:type="spellStart"/>
      <w:r w:rsidRPr="003A570D">
        <w:rPr>
          <w:sz w:val="20"/>
          <w:szCs w:val="20"/>
        </w:rPr>
        <w:t>RecruitAbility</w:t>
      </w:r>
      <w:proofErr w:type="spellEnd"/>
      <w:r w:rsidRPr="003A570D">
        <w:rPr>
          <w:sz w:val="20"/>
          <w:szCs w:val="20"/>
        </w:rPr>
        <w:t xml:space="preserve"> to all our recruitment processes.</w:t>
      </w:r>
    </w:p>
    <w:p w14:paraId="780A9FCF" w14:textId="77777777" w:rsidR="00AB6753" w:rsidRDefault="00AB6753" w:rsidP="00AB6753">
      <w:pPr>
        <w:autoSpaceDE w:val="0"/>
        <w:autoSpaceDN w:val="0"/>
        <w:adjustRightInd w:val="0"/>
        <w:spacing w:before="120" w:after="180" w:line="280" w:lineRule="atLeast"/>
        <w:ind w:right="-164"/>
        <w:rPr>
          <w:sz w:val="20"/>
          <w:szCs w:val="20"/>
        </w:rPr>
      </w:pPr>
      <w:r w:rsidRPr="003A570D">
        <w:rPr>
          <w:sz w:val="20"/>
          <w:szCs w:val="20"/>
        </w:rPr>
        <w:lastRenderedPageBreak/>
        <w:t xml:space="preserve">In July 2019, </w:t>
      </w:r>
      <w:r>
        <w:rPr>
          <w:sz w:val="20"/>
          <w:szCs w:val="20"/>
        </w:rPr>
        <w:t xml:space="preserve">we </w:t>
      </w:r>
      <w:r w:rsidRPr="003A570D">
        <w:rPr>
          <w:sz w:val="20"/>
          <w:szCs w:val="20"/>
        </w:rPr>
        <w:t xml:space="preserve">recruited six data analyst trainees through our </w:t>
      </w:r>
      <w:proofErr w:type="spellStart"/>
      <w:r w:rsidRPr="003A570D">
        <w:rPr>
          <w:sz w:val="20"/>
          <w:szCs w:val="20"/>
        </w:rPr>
        <w:t>Autism@Work</w:t>
      </w:r>
      <w:proofErr w:type="spellEnd"/>
      <w:r w:rsidRPr="003A570D">
        <w:rPr>
          <w:sz w:val="20"/>
          <w:szCs w:val="20"/>
        </w:rPr>
        <w:t xml:space="preserve"> program in partnership with Dandelion.</w:t>
      </w:r>
    </w:p>
    <w:p w14:paraId="4AA1C5EE" w14:textId="77777777" w:rsidR="00AB6753" w:rsidRPr="003A570D" w:rsidRDefault="00AB6753" w:rsidP="00AB6753">
      <w:pPr>
        <w:autoSpaceDE w:val="0"/>
        <w:autoSpaceDN w:val="0"/>
        <w:adjustRightInd w:val="0"/>
        <w:spacing w:before="120" w:after="180" w:line="280" w:lineRule="atLeast"/>
        <w:ind w:right="-164"/>
        <w:rPr>
          <w:sz w:val="20"/>
          <w:szCs w:val="20"/>
        </w:rPr>
      </w:pPr>
      <w:r>
        <w:rPr>
          <w:sz w:val="20"/>
          <w:szCs w:val="20"/>
        </w:rPr>
        <w:t xml:space="preserve">Having the right supports in place to help people with disability enter the workforce and develop their careers is a key element of our mission to improve the wellbeing of individuals and families in Australian communities. </w:t>
      </w:r>
      <w:r w:rsidRPr="003A570D">
        <w:rPr>
          <w:sz w:val="20"/>
          <w:szCs w:val="20"/>
        </w:rPr>
        <w:t>We provide support and guidance to employees with disability and their managers through:</w:t>
      </w:r>
    </w:p>
    <w:p w14:paraId="3B330D82"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dedicated Disability and Inclusion Advisers</w:t>
      </w:r>
    </w:p>
    <w:p w14:paraId="309A0A18"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centralised funding to provide reasonable adjustment for employees with disability</w:t>
      </w:r>
    </w:p>
    <w:p w14:paraId="20821AB4" w14:textId="77777777" w:rsidR="00AB6753" w:rsidRPr="00214B7D"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14B7D">
        <w:rPr>
          <w:rFonts w:cs="Arial"/>
          <w:sz w:val="20"/>
        </w:rPr>
        <w:t>specialised training for managers of staff with disability, including those with intellectual disability.</w:t>
      </w:r>
    </w:p>
    <w:p w14:paraId="3A473904" w14:textId="7D6B812E"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Our Disability and Carers Committee represents the interests, perspectives</w:t>
      </w:r>
      <w:r>
        <w:rPr>
          <w:sz w:val="20"/>
          <w:szCs w:val="20"/>
        </w:rPr>
        <w:t>,</w:t>
      </w:r>
      <w:r w:rsidRPr="003A570D">
        <w:rPr>
          <w:sz w:val="20"/>
          <w:szCs w:val="20"/>
        </w:rPr>
        <w:t xml:space="preserve"> and concerns of </w:t>
      </w:r>
      <w:r>
        <w:rPr>
          <w:sz w:val="20"/>
          <w:szCs w:val="20"/>
        </w:rPr>
        <w:t>staff with</w:t>
      </w:r>
      <w:r w:rsidRPr="003A570D">
        <w:rPr>
          <w:sz w:val="20"/>
          <w:szCs w:val="20"/>
        </w:rPr>
        <w:t xml:space="preserve"> disability and </w:t>
      </w:r>
      <w:r>
        <w:rPr>
          <w:sz w:val="20"/>
          <w:szCs w:val="20"/>
        </w:rPr>
        <w:t xml:space="preserve">those that are </w:t>
      </w:r>
      <w:r w:rsidRPr="003A570D">
        <w:rPr>
          <w:sz w:val="20"/>
          <w:szCs w:val="20"/>
        </w:rPr>
        <w:t>carers. The Disability and Carers Network is open to anyone interested in disability issues and provide</w:t>
      </w:r>
      <w:r>
        <w:rPr>
          <w:sz w:val="20"/>
          <w:szCs w:val="20"/>
        </w:rPr>
        <w:t>s</w:t>
      </w:r>
      <w:r w:rsidRPr="003A570D">
        <w:rPr>
          <w:sz w:val="20"/>
          <w:szCs w:val="20"/>
        </w:rPr>
        <w:t xml:space="preserve"> input and recommendations to the</w:t>
      </w:r>
      <w:r w:rsidR="0000078A">
        <w:rPr>
          <w:sz w:val="20"/>
          <w:szCs w:val="20"/>
        </w:rPr>
        <w:t xml:space="preserve"> Disability and Carers</w:t>
      </w:r>
      <w:r w:rsidRPr="003A570D">
        <w:rPr>
          <w:sz w:val="20"/>
          <w:szCs w:val="20"/>
        </w:rPr>
        <w:t xml:space="preserve"> Committee.</w:t>
      </w:r>
    </w:p>
    <w:p w14:paraId="59632F2F"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Our Disability Champion, a role performed at the </w:t>
      </w:r>
      <w:r>
        <w:rPr>
          <w:sz w:val="20"/>
          <w:szCs w:val="20"/>
        </w:rPr>
        <w:t>d</w:t>
      </w:r>
      <w:r w:rsidRPr="003A570D">
        <w:rPr>
          <w:sz w:val="20"/>
          <w:szCs w:val="20"/>
        </w:rPr>
        <w:t xml:space="preserve">eputy </w:t>
      </w:r>
      <w:r>
        <w:rPr>
          <w:sz w:val="20"/>
          <w:szCs w:val="20"/>
        </w:rPr>
        <w:t>s</w:t>
      </w:r>
      <w:r w:rsidRPr="003A570D">
        <w:rPr>
          <w:sz w:val="20"/>
          <w:szCs w:val="20"/>
        </w:rPr>
        <w:t>ecretary level, drives workforce initiatives for employees with disability. Our Disability Champion is a member of the APS Disability Champions Network and the Australian Network on Disability.</w:t>
      </w:r>
    </w:p>
    <w:p w14:paraId="4D160B05" w14:textId="77777777" w:rsidR="00AB6753" w:rsidRPr="00D70386" w:rsidRDefault="00AB6753" w:rsidP="00AB6753">
      <w:pPr>
        <w:spacing w:after="0" w:line="240" w:lineRule="auto"/>
        <w:rPr>
          <w:b/>
          <w:sz w:val="24"/>
          <w:szCs w:val="24"/>
        </w:rPr>
      </w:pPr>
      <w:r w:rsidRPr="00D70386">
        <w:rPr>
          <w:b/>
          <w:sz w:val="24"/>
          <w:szCs w:val="24"/>
        </w:rPr>
        <w:t xml:space="preserve">Support for </w:t>
      </w:r>
      <w:r>
        <w:rPr>
          <w:b/>
          <w:sz w:val="24"/>
          <w:szCs w:val="24"/>
        </w:rPr>
        <w:t>l</w:t>
      </w:r>
      <w:r w:rsidRPr="00D70386">
        <w:rPr>
          <w:b/>
          <w:sz w:val="24"/>
          <w:szCs w:val="24"/>
        </w:rPr>
        <w:t xml:space="preserve">esbian, </w:t>
      </w:r>
      <w:r>
        <w:rPr>
          <w:b/>
          <w:sz w:val="24"/>
          <w:szCs w:val="24"/>
        </w:rPr>
        <w:t>g</w:t>
      </w:r>
      <w:r w:rsidRPr="00D70386">
        <w:rPr>
          <w:b/>
          <w:sz w:val="24"/>
          <w:szCs w:val="24"/>
        </w:rPr>
        <w:t xml:space="preserve">ay, </w:t>
      </w:r>
      <w:r>
        <w:rPr>
          <w:b/>
          <w:sz w:val="24"/>
          <w:szCs w:val="24"/>
        </w:rPr>
        <w:t>b</w:t>
      </w:r>
      <w:r w:rsidRPr="00D70386">
        <w:rPr>
          <w:b/>
          <w:sz w:val="24"/>
          <w:szCs w:val="24"/>
        </w:rPr>
        <w:t xml:space="preserve">isexual, </w:t>
      </w:r>
      <w:r>
        <w:rPr>
          <w:b/>
          <w:sz w:val="24"/>
          <w:szCs w:val="24"/>
        </w:rPr>
        <w:t>t</w:t>
      </w:r>
      <w:r w:rsidRPr="00D70386">
        <w:rPr>
          <w:b/>
          <w:sz w:val="24"/>
          <w:szCs w:val="24"/>
        </w:rPr>
        <w:t xml:space="preserve">ransgender, </w:t>
      </w:r>
      <w:r>
        <w:rPr>
          <w:b/>
          <w:sz w:val="24"/>
          <w:szCs w:val="24"/>
        </w:rPr>
        <w:t>i</w:t>
      </w:r>
      <w:r w:rsidRPr="00D70386">
        <w:rPr>
          <w:b/>
          <w:sz w:val="24"/>
          <w:szCs w:val="24"/>
        </w:rPr>
        <w:t xml:space="preserve">ntersex and </w:t>
      </w:r>
      <w:r>
        <w:rPr>
          <w:b/>
          <w:sz w:val="24"/>
          <w:szCs w:val="24"/>
        </w:rPr>
        <w:t>q</w:t>
      </w:r>
      <w:r w:rsidRPr="00D70386">
        <w:rPr>
          <w:b/>
          <w:sz w:val="24"/>
          <w:szCs w:val="24"/>
        </w:rPr>
        <w:t>ueer staff</w:t>
      </w:r>
    </w:p>
    <w:p w14:paraId="61B19CB3"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In the 2019 APS Employee Census, 5.7 per cent </w:t>
      </w:r>
      <w:r>
        <w:rPr>
          <w:sz w:val="20"/>
          <w:szCs w:val="20"/>
        </w:rPr>
        <w:t>(118) of respondents</w:t>
      </w:r>
      <w:r w:rsidRPr="003A570D">
        <w:rPr>
          <w:sz w:val="20"/>
          <w:szCs w:val="20"/>
        </w:rPr>
        <w:t xml:space="preserve"> identified as lesbian, gay, bisexual, transgender, </w:t>
      </w:r>
      <w:r>
        <w:rPr>
          <w:sz w:val="20"/>
          <w:szCs w:val="20"/>
        </w:rPr>
        <w:t>intersex and/or queer (LGBTIQ).</w:t>
      </w:r>
      <w:r w:rsidRPr="003A570D">
        <w:rPr>
          <w:sz w:val="20"/>
          <w:szCs w:val="20"/>
        </w:rPr>
        <w:t xml:space="preserve"> We have an established Pride Committee and </w:t>
      </w:r>
      <w:r>
        <w:rPr>
          <w:sz w:val="20"/>
          <w:szCs w:val="20"/>
        </w:rPr>
        <w:t>N</w:t>
      </w:r>
      <w:r w:rsidRPr="003A570D">
        <w:rPr>
          <w:sz w:val="20"/>
          <w:szCs w:val="20"/>
        </w:rPr>
        <w:t xml:space="preserve">etwork, as well as champions to support </w:t>
      </w:r>
      <w:r>
        <w:rPr>
          <w:sz w:val="20"/>
          <w:szCs w:val="20"/>
        </w:rPr>
        <w:t>LGBTIQ staff</w:t>
      </w:r>
      <w:r w:rsidRPr="003A570D">
        <w:rPr>
          <w:sz w:val="20"/>
          <w:szCs w:val="20"/>
        </w:rPr>
        <w:t xml:space="preserve"> and </w:t>
      </w:r>
      <w:r>
        <w:rPr>
          <w:sz w:val="20"/>
          <w:szCs w:val="20"/>
        </w:rPr>
        <w:t xml:space="preserve">their </w:t>
      </w:r>
      <w:r w:rsidRPr="003A570D">
        <w:rPr>
          <w:sz w:val="20"/>
          <w:szCs w:val="20"/>
        </w:rPr>
        <w:t>allies at work.</w:t>
      </w:r>
    </w:p>
    <w:p w14:paraId="75D56FB7" w14:textId="77777777" w:rsidR="00AB6753"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We participate in the Australian Workplace Equality Index, a national benchmark for </w:t>
      </w:r>
      <w:r>
        <w:rPr>
          <w:sz w:val="20"/>
          <w:szCs w:val="20"/>
        </w:rPr>
        <w:t>LGBTIQ</w:t>
      </w:r>
      <w:r w:rsidRPr="003A570D">
        <w:rPr>
          <w:sz w:val="20"/>
          <w:szCs w:val="20"/>
        </w:rPr>
        <w:t xml:space="preserve"> workplace inclusion. In 2019</w:t>
      </w:r>
      <w:r>
        <w:rPr>
          <w:sz w:val="20"/>
          <w:szCs w:val="20"/>
        </w:rPr>
        <w:t>–</w:t>
      </w:r>
      <w:r w:rsidRPr="003A570D">
        <w:rPr>
          <w:sz w:val="20"/>
          <w:szCs w:val="20"/>
        </w:rPr>
        <w:t>20, we achieved Silver employer status.</w:t>
      </w:r>
    </w:p>
    <w:p w14:paraId="182BC6E1" w14:textId="77777777" w:rsidR="00AB6753" w:rsidRDefault="00AB6753" w:rsidP="00AB6753">
      <w:pPr>
        <w:rPr>
          <w:sz w:val="20"/>
          <w:szCs w:val="20"/>
        </w:rPr>
      </w:pPr>
      <w:r w:rsidRPr="0010554F">
        <w:rPr>
          <w:sz w:val="20"/>
          <w:szCs w:val="20"/>
        </w:rPr>
        <w:t>Our Pride Committee</w:t>
      </w:r>
      <w:r>
        <w:rPr>
          <w:sz w:val="20"/>
          <w:szCs w:val="20"/>
        </w:rPr>
        <w:t xml:space="preserve"> works to ensure</w:t>
      </w:r>
      <w:r w:rsidRPr="00F9600E">
        <w:rPr>
          <w:sz w:val="20"/>
          <w:szCs w:val="20"/>
        </w:rPr>
        <w:t xml:space="preserve"> all employees </w:t>
      </w:r>
      <w:r>
        <w:rPr>
          <w:sz w:val="20"/>
          <w:szCs w:val="20"/>
        </w:rPr>
        <w:t>are</w:t>
      </w:r>
      <w:r w:rsidRPr="00F9600E">
        <w:rPr>
          <w:sz w:val="20"/>
          <w:szCs w:val="20"/>
        </w:rPr>
        <w:t xml:space="preserve"> valued for their differences, all policy and programs created by the department </w:t>
      </w:r>
      <w:r>
        <w:rPr>
          <w:sz w:val="20"/>
          <w:szCs w:val="20"/>
        </w:rPr>
        <w:t>are</w:t>
      </w:r>
      <w:r w:rsidRPr="00F9600E">
        <w:rPr>
          <w:sz w:val="20"/>
          <w:szCs w:val="20"/>
        </w:rPr>
        <w:t xml:space="preserve"> inclusive of </w:t>
      </w:r>
      <w:r>
        <w:rPr>
          <w:sz w:val="20"/>
          <w:szCs w:val="20"/>
        </w:rPr>
        <w:t xml:space="preserve">LGBTIQ </w:t>
      </w:r>
      <w:r w:rsidRPr="00F9600E">
        <w:rPr>
          <w:sz w:val="20"/>
          <w:szCs w:val="20"/>
        </w:rPr>
        <w:t xml:space="preserve">people in Australia, and </w:t>
      </w:r>
      <w:r>
        <w:rPr>
          <w:sz w:val="20"/>
          <w:szCs w:val="20"/>
        </w:rPr>
        <w:t>we strive to</w:t>
      </w:r>
      <w:r w:rsidRPr="00F9600E">
        <w:rPr>
          <w:sz w:val="20"/>
          <w:szCs w:val="20"/>
        </w:rPr>
        <w:t xml:space="preserve"> lead the APS in LGBTIQ social policy. While the </w:t>
      </w:r>
      <w:r>
        <w:rPr>
          <w:sz w:val="20"/>
          <w:szCs w:val="20"/>
        </w:rPr>
        <w:t xml:space="preserve">Pride </w:t>
      </w:r>
      <w:r w:rsidRPr="00F9600E">
        <w:rPr>
          <w:sz w:val="20"/>
          <w:szCs w:val="20"/>
        </w:rPr>
        <w:t xml:space="preserve">Committee and departmental documentation may refer specifically to LGBTIQ, the </w:t>
      </w:r>
      <w:r>
        <w:rPr>
          <w:sz w:val="20"/>
          <w:szCs w:val="20"/>
        </w:rPr>
        <w:t xml:space="preserve">Pride </w:t>
      </w:r>
      <w:r w:rsidRPr="00F9600E">
        <w:rPr>
          <w:sz w:val="20"/>
          <w:szCs w:val="20"/>
        </w:rPr>
        <w:t xml:space="preserve">Committee </w:t>
      </w:r>
      <w:r>
        <w:rPr>
          <w:sz w:val="20"/>
          <w:szCs w:val="20"/>
        </w:rPr>
        <w:t xml:space="preserve">represents </w:t>
      </w:r>
      <w:r w:rsidRPr="00F9600E">
        <w:rPr>
          <w:sz w:val="20"/>
          <w:szCs w:val="20"/>
        </w:rPr>
        <w:t xml:space="preserve">all people of diverse sexualities and gender </w:t>
      </w:r>
      <w:r>
        <w:rPr>
          <w:sz w:val="20"/>
          <w:szCs w:val="20"/>
        </w:rPr>
        <w:t>even if they a</w:t>
      </w:r>
      <w:r w:rsidRPr="00F9600E">
        <w:rPr>
          <w:sz w:val="20"/>
          <w:szCs w:val="20"/>
        </w:rPr>
        <w:t>re not specifically identified in the LGBTIQ acronym.</w:t>
      </w:r>
    </w:p>
    <w:p w14:paraId="627961E7" w14:textId="29A3DDB9" w:rsidR="00AB6753" w:rsidRPr="0010554F" w:rsidRDefault="00AB6753" w:rsidP="00AB6753">
      <w:pPr>
        <w:rPr>
          <w:sz w:val="20"/>
          <w:szCs w:val="20"/>
        </w:rPr>
      </w:pPr>
      <w:r w:rsidRPr="0010554F">
        <w:rPr>
          <w:sz w:val="20"/>
          <w:szCs w:val="20"/>
        </w:rPr>
        <w:t xml:space="preserve">The Pride </w:t>
      </w:r>
      <w:r>
        <w:rPr>
          <w:sz w:val="20"/>
          <w:szCs w:val="20"/>
        </w:rPr>
        <w:t>N</w:t>
      </w:r>
      <w:r w:rsidRPr="0010554F">
        <w:rPr>
          <w:sz w:val="20"/>
          <w:szCs w:val="20"/>
        </w:rPr>
        <w:t>etwork is open to all staff, inc</w:t>
      </w:r>
      <w:r>
        <w:rPr>
          <w:sz w:val="20"/>
          <w:szCs w:val="20"/>
        </w:rPr>
        <w:t>luding allies of LGBTIQ staff. T</w:t>
      </w:r>
      <w:r w:rsidRPr="0010554F">
        <w:rPr>
          <w:sz w:val="20"/>
          <w:szCs w:val="20"/>
        </w:rPr>
        <w:t>he</w:t>
      </w:r>
      <w:r>
        <w:rPr>
          <w:sz w:val="20"/>
          <w:szCs w:val="20"/>
        </w:rPr>
        <w:t xml:space="preserve"> Pride</w:t>
      </w:r>
      <w:r w:rsidRPr="0010554F">
        <w:rPr>
          <w:sz w:val="20"/>
          <w:szCs w:val="20"/>
        </w:rPr>
        <w:t xml:space="preserve"> </w:t>
      </w:r>
      <w:r>
        <w:rPr>
          <w:sz w:val="20"/>
          <w:szCs w:val="20"/>
        </w:rPr>
        <w:t>N</w:t>
      </w:r>
      <w:r w:rsidRPr="0010554F">
        <w:rPr>
          <w:sz w:val="20"/>
          <w:szCs w:val="20"/>
        </w:rPr>
        <w:t xml:space="preserve">etwork </w:t>
      </w:r>
      <w:r>
        <w:rPr>
          <w:sz w:val="20"/>
          <w:szCs w:val="20"/>
        </w:rPr>
        <w:t xml:space="preserve">receives </w:t>
      </w:r>
      <w:r w:rsidRPr="0010554F">
        <w:rPr>
          <w:sz w:val="20"/>
          <w:szCs w:val="20"/>
        </w:rPr>
        <w:t>regular information about issues relevant to gender and sexual orientation. Membership of the</w:t>
      </w:r>
      <w:r w:rsidR="00F111F2">
        <w:rPr>
          <w:sz w:val="20"/>
          <w:szCs w:val="20"/>
        </w:rPr>
        <w:br/>
      </w:r>
      <w:r>
        <w:rPr>
          <w:sz w:val="20"/>
          <w:szCs w:val="20"/>
        </w:rPr>
        <w:t>Pride N</w:t>
      </w:r>
      <w:r w:rsidRPr="0010554F">
        <w:rPr>
          <w:sz w:val="20"/>
          <w:szCs w:val="20"/>
        </w:rPr>
        <w:t>etwork is confidential</w:t>
      </w:r>
      <w:r>
        <w:rPr>
          <w:sz w:val="20"/>
          <w:szCs w:val="20"/>
        </w:rPr>
        <w:t xml:space="preserve"> </w:t>
      </w:r>
      <w:r w:rsidRPr="0010554F">
        <w:rPr>
          <w:sz w:val="20"/>
          <w:szCs w:val="20"/>
        </w:rPr>
        <w:t>and open to both Allies and LGBTIQ staff.</w:t>
      </w:r>
    </w:p>
    <w:p w14:paraId="65ADD5A6" w14:textId="77777777" w:rsidR="00AB6753" w:rsidRDefault="00AB6753" w:rsidP="00AB6753">
      <w:pPr>
        <w:spacing w:before="240" w:after="240" w:line="260" w:lineRule="atLeast"/>
        <w:rPr>
          <w:rFonts w:ascii="Arial Narrow" w:hAnsi="Arial Narrow"/>
          <w:b/>
          <w:sz w:val="20"/>
          <w:szCs w:val="20"/>
        </w:rPr>
      </w:pPr>
      <w:r w:rsidRPr="00480FFF">
        <w:rPr>
          <w:rFonts w:ascii="Arial Narrow" w:hAnsi="Arial Narrow"/>
          <w:b/>
          <w:sz w:val="20"/>
          <w:szCs w:val="20"/>
        </w:rPr>
        <w:t>Figure 4.3.1 Diversity in our people</w:t>
      </w:r>
    </w:p>
    <w:p w14:paraId="58EA2F60" w14:textId="77777777" w:rsidR="00AB6753" w:rsidRDefault="00AB6753" w:rsidP="00AB6753">
      <w:pPr>
        <w:rPr>
          <w:rFonts w:ascii="Arial Narrow" w:hAnsi="Arial Narrow"/>
          <w:b/>
          <w:sz w:val="20"/>
          <w:szCs w:val="20"/>
        </w:rPr>
      </w:pPr>
      <w:r>
        <w:rPr>
          <w:rFonts w:ascii="Arial Narrow" w:hAnsi="Arial Narrow"/>
          <w:b/>
          <w:noProof/>
          <w:sz w:val="20"/>
          <w:szCs w:val="20"/>
          <w:lang w:eastAsia="en-AU"/>
        </w:rPr>
        <w:drawing>
          <wp:inline distT="0" distB="0" distL="0" distR="0" wp14:anchorId="0F6AB2FF" wp14:editId="6711A4D0">
            <wp:extent cx="2993893" cy="1978090"/>
            <wp:effectExtent l="0" t="0" r="0" b="3175"/>
            <wp:docPr id="7616" name="Picture 7616" descr="This illustration identifies the diversity of our people.&#10;Disability Employment Levels DSS 6.8 per cent APS 4 per cent.&#10;Female SES DSS 56.5 percent APS 47.2 per cent.&#10;Indigenous Employment Levels DSS 6 per cent APS 3.5 per cent.&#10;Employment ages over 55 DSS 18.3 per cent APS 19.5 per cent." title="Figure 4.3.1 Diversity in ou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8642" cy="1987835"/>
                    </a:xfrm>
                    <a:prstGeom prst="rect">
                      <a:avLst/>
                    </a:prstGeom>
                    <a:noFill/>
                    <a:ln>
                      <a:noFill/>
                    </a:ln>
                  </pic:spPr>
                </pic:pic>
              </a:graphicData>
            </a:graphic>
          </wp:inline>
        </w:drawing>
      </w:r>
    </w:p>
    <w:p w14:paraId="2B284932" w14:textId="77777777" w:rsidR="00AB6753" w:rsidRDefault="00AB6753" w:rsidP="00AB6753">
      <w:pPr>
        <w:spacing w:before="240" w:after="240" w:line="260" w:lineRule="atLeast"/>
        <w:rPr>
          <w:rFonts w:ascii="Arial Narrow" w:hAnsi="Arial Narrow"/>
          <w:b/>
          <w:sz w:val="20"/>
          <w:szCs w:val="20"/>
        </w:rPr>
      </w:pPr>
      <w:r>
        <w:rPr>
          <w:rFonts w:ascii="Arial Narrow" w:hAnsi="Arial Narrow"/>
          <w:b/>
          <w:sz w:val="20"/>
          <w:szCs w:val="20"/>
        </w:rPr>
        <w:lastRenderedPageBreak/>
        <w:t>Department of Social Services figures as at 30 June 2020.</w:t>
      </w:r>
      <w:r>
        <w:rPr>
          <w:rFonts w:ascii="Arial Narrow" w:hAnsi="Arial Narrow"/>
          <w:b/>
          <w:sz w:val="20"/>
          <w:szCs w:val="20"/>
        </w:rPr>
        <w:br/>
        <w:t>APS figures as at 31 December 2019 (sourced from the Australian Public Service Employment Database).</w:t>
      </w:r>
    </w:p>
    <w:p w14:paraId="438CDC67" w14:textId="77777777" w:rsidR="00AB6753" w:rsidRPr="00833C50" w:rsidRDefault="00AB6753" w:rsidP="00AB6753">
      <w:pPr>
        <w:pStyle w:val="Heading4"/>
        <w:spacing w:after="200"/>
        <w:rPr>
          <w:rFonts w:ascii="Georgia" w:hAnsi="Georgia"/>
          <w:b w:val="0"/>
          <w:i w:val="0"/>
          <w:sz w:val="36"/>
        </w:rPr>
      </w:pPr>
      <w:r w:rsidRPr="00833C50">
        <w:rPr>
          <w:rFonts w:ascii="Georgia" w:hAnsi="Georgia"/>
          <w:b w:val="0"/>
          <w:i w:val="0"/>
          <w:sz w:val="36"/>
        </w:rPr>
        <w:t>Graduate Development Program</w:t>
      </w:r>
    </w:p>
    <w:p w14:paraId="0DF04213"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Our </w:t>
      </w:r>
      <w:r>
        <w:rPr>
          <w:sz w:val="20"/>
          <w:szCs w:val="20"/>
        </w:rPr>
        <w:t>Graduate Development Program participants</w:t>
      </w:r>
      <w:r w:rsidRPr="003A570D">
        <w:rPr>
          <w:sz w:val="20"/>
          <w:szCs w:val="20"/>
        </w:rPr>
        <w:t xml:space="preserve"> undertake a 10-month program that offers comprehensive internal and external training, networking opportunities, and broad opportunities for career development.</w:t>
      </w:r>
    </w:p>
    <w:p w14:paraId="55238088"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In 2020, we recruited a cohort of 74 graduates. The program exposes participants to social policy development and programs that improve the wellbeing of people and families in Australia. Graduates are provided with opportunities to formulate and support government initiatives and influence the social policy agenda.</w:t>
      </w:r>
    </w:p>
    <w:p w14:paraId="4E06D2FF"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In 2020, members of the graduate cohort were seconded to Services Australia as part of the response to </w:t>
      </w:r>
      <w:r>
        <w:rPr>
          <w:rFonts w:cs="Arial"/>
          <w:sz w:val="20"/>
        </w:rPr>
        <w:t>COVID-19</w:t>
      </w:r>
      <w:r w:rsidRPr="003A570D">
        <w:rPr>
          <w:sz w:val="20"/>
          <w:szCs w:val="20"/>
        </w:rPr>
        <w:t xml:space="preserve"> enabling them to experience direct service delivery </w:t>
      </w:r>
      <w:r>
        <w:rPr>
          <w:sz w:val="20"/>
          <w:szCs w:val="20"/>
        </w:rPr>
        <w:t>to</w:t>
      </w:r>
      <w:r w:rsidRPr="003A570D">
        <w:rPr>
          <w:sz w:val="20"/>
          <w:szCs w:val="20"/>
        </w:rPr>
        <w:t xml:space="preserve"> Australian</w:t>
      </w:r>
      <w:r>
        <w:rPr>
          <w:sz w:val="20"/>
          <w:szCs w:val="20"/>
        </w:rPr>
        <w:t>s</w:t>
      </w:r>
      <w:r w:rsidRPr="003A570D">
        <w:rPr>
          <w:sz w:val="20"/>
          <w:szCs w:val="20"/>
        </w:rPr>
        <w:t>.</w:t>
      </w:r>
    </w:p>
    <w:p w14:paraId="76D9688F" w14:textId="77777777" w:rsidR="00AB6753" w:rsidRPr="00833C50" w:rsidRDefault="00AB6753" w:rsidP="00AB6753">
      <w:pPr>
        <w:pStyle w:val="Heading4"/>
        <w:spacing w:after="200"/>
        <w:rPr>
          <w:rFonts w:ascii="Georgia" w:hAnsi="Georgia"/>
          <w:b w:val="0"/>
          <w:i w:val="0"/>
          <w:sz w:val="36"/>
        </w:rPr>
      </w:pPr>
      <w:r w:rsidRPr="00833C50">
        <w:rPr>
          <w:rFonts w:ascii="Georgia" w:hAnsi="Georgia"/>
          <w:b w:val="0"/>
          <w:i w:val="0"/>
          <w:sz w:val="36"/>
        </w:rPr>
        <w:t>Workplace arrangements</w:t>
      </w:r>
    </w:p>
    <w:p w14:paraId="0D8D33AF" w14:textId="77777777" w:rsidR="00AB6753" w:rsidRPr="00D70386" w:rsidRDefault="00AB6753" w:rsidP="00AB6753">
      <w:pPr>
        <w:spacing w:after="0" w:line="240" w:lineRule="auto"/>
        <w:rPr>
          <w:b/>
          <w:sz w:val="24"/>
          <w:szCs w:val="24"/>
        </w:rPr>
      </w:pPr>
      <w:r w:rsidRPr="00D70386">
        <w:rPr>
          <w:b/>
          <w:sz w:val="24"/>
          <w:szCs w:val="24"/>
        </w:rPr>
        <w:t>Enterprise agreement</w:t>
      </w:r>
    </w:p>
    <w:p w14:paraId="7D046C41" w14:textId="1B7E64E2"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The </w:t>
      </w:r>
      <w:r w:rsidRPr="00870367">
        <w:rPr>
          <w:i/>
          <w:sz w:val="20"/>
          <w:szCs w:val="20"/>
        </w:rPr>
        <w:t>Department of Social Services Enterprise Agreement 2018 to 2021</w:t>
      </w:r>
      <w:r w:rsidRPr="003A570D">
        <w:rPr>
          <w:sz w:val="20"/>
          <w:szCs w:val="20"/>
        </w:rPr>
        <w:t xml:space="preserve"> commenced </w:t>
      </w:r>
      <w:r>
        <w:rPr>
          <w:sz w:val="20"/>
          <w:szCs w:val="20"/>
        </w:rPr>
        <w:t>on</w:t>
      </w:r>
      <w:r w:rsidR="00F111F2">
        <w:rPr>
          <w:sz w:val="20"/>
          <w:szCs w:val="20"/>
        </w:rPr>
        <w:br/>
      </w:r>
      <w:r w:rsidRPr="003A570D">
        <w:rPr>
          <w:sz w:val="20"/>
          <w:szCs w:val="20"/>
        </w:rPr>
        <w:t>21 January 2019 and covers non-SES employees. The agreement has a nominal expiry date</w:t>
      </w:r>
      <w:r w:rsidR="00F111F2">
        <w:rPr>
          <w:sz w:val="20"/>
          <w:szCs w:val="20"/>
        </w:rPr>
        <w:br/>
      </w:r>
      <w:r w:rsidRPr="003A570D">
        <w:rPr>
          <w:sz w:val="20"/>
          <w:szCs w:val="20"/>
        </w:rPr>
        <w:t>of 21 January 2022.</w:t>
      </w:r>
    </w:p>
    <w:p w14:paraId="2DB9F5D9" w14:textId="77777777" w:rsidR="00AB6753" w:rsidRPr="00D70386" w:rsidRDefault="00AB6753" w:rsidP="00AB6753">
      <w:pPr>
        <w:spacing w:after="0" w:line="240" w:lineRule="auto"/>
        <w:rPr>
          <w:b/>
          <w:sz w:val="24"/>
          <w:szCs w:val="24"/>
        </w:rPr>
      </w:pPr>
      <w:r w:rsidRPr="00D70386">
        <w:rPr>
          <w:b/>
          <w:sz w:val="24"/>
          <w:szCs w:val="24"/>
        </w:rPr>
        <w:t>Individual Flexibility Arrangements for non-Senior Executive Services (SES) employees</w:t>
      </w:r>
    </w:p>
    <w:p w14:paraId="52193F9A"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In accordance with the </w:t>
      </w:r>
      <w:r w:rsidRPr="00130D01">
        <w:rPr>
          <w:i/>
          <w:iCs/>
          <w:sz w:val="20"/>
          <w:szCs w:val="20"/>
        </w:rPr>
        <w:t>Fair Work Act 2009</w:t>
      </w:r>
      <w:r w:rsidRPr="003A570D">
        <w:rPr>
          <w:sz w:val="20"/>
          <w:szCs w:val="20"/>
        </w:rPr>
        <w:t>, Individual Flexibility Arrangements can be used to provide varied terms and conditions for non-SES employees. We also use Individual Flexibility Arrangements to attract and retain staff, to recognise highly valued skills and critical roles.</w:t>
      </w:r>
    </w:p>
    <w:p w14:paraId="2DA9D282"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As at 30 June 2020, we had 21 Individual Flexibility Arrangements in place.</w:t>
      </w:r>
    </w:p>
    <w:p w14:paraId="66FD9DB7" w14:textId="77777777" w:rsidR="00AB6753" w:rsidRPr="00D70386" w:rsidRDefault="00AB6753" w:rsidP="00AB6753">
      <w:pPr>
        <w:spacing w:after="0" w:line="240" w:lineRule="auto"/>
        <w:rPr>
          <w:b/>
          <w:sz w:val="24"/>
          <w:szCs w:val="24"/>
        </w:rPr>
      </w:pPr>
      <w:r w:rsidRPr="00D70386">
        <w:rPr>
          <w:b/>
          <w:sz w:val="24"/>
          <w:szCs w:val="24"/>
        </w:rPr>
        <w:t>Performance pay</w:t>
      </w:r>
    </w:p>
    <w:p w14:paraId="2A98632D"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Performance payments were not made to departmental employees in 2019</w:t>
      </w:r>
      <w:r>
        <w:rPr>
          <w:sz w:val="20"/>
          <w:szCs w:val="20"/>
        </w:rPr>
        <w:t>–</w:t>
      </w:r>
      <w:r w:rsidRPr="003A570D">
        <w:rPr>
          <w:sz w:val="20"/>
          <w:szCs w:val="20"/>
        </w:rPr>
        <w:t>20.</w:t>
      </w:r>
    </w:p>
    <w:p w14:paraId="33218C31" w14:textId="77777777" w:rsidR="00AB6753" w:rsidRPr="00D70386" w:rsidRDefault="00AB6753" w:rsidP="00AB6753">
      <w:pPr>
        <w:spacing w:after="0" w:line="240" w:lineRule="auto"/>
        <w:rPr>
          <w:b/>
          <w:sz w:val="24"/>
          <w:szCs w:val="24"/>
        </w:rPr>
      </w:pPr>
      <w:r w:rsidRPr="00D70386">
        <w:rPr>
          <w:b/>
          <w:sz w:val="24"/>
          <w:szCs w:val="24"/>
        </w:rPr>
        <w:t>Secretary remuneration</w:t>
      </w:r>
    </w:p>
    <w:p w14:paraId="290BFB49" w14:textId="5785B8C5" w:rsidR="00AB6753" w:rsidRPr="00130D01" w:rsidRDefault="00AB6753" w:rsidP="00AB6753">
      <w:pPr>
        <w:autoSpaceDE w:val="0"/>
        <w:autoSpaceDN w:val="0"/>
        <w:adjustRightInd w:val="0"/>
        <w:spacing w:before="120" w:after="180" w:line="280" w:lineRule="atLeast"/>
        <w:ind w:right="-164"/>
        <w:rPr>
          <w:i/>
          <w:iCs/>
          <w:sz w:val="20"/>
          <w:szCs w:val="20"/>
        </w:rPr>
      </w:pPr>
      <w:r w:rsidRPr="003A570D">
        <w:rPr>
          <w:sz w:val="20"/>
          <w:szCs w:val="20"/>
        </w:rPr>
        <w:t xml:space="preserve">The Secretary is remunerated under the </w:t>
      </w:r>
      <w:r w:rsidRPr="00842E96">
        <w:rPr>
          <w:i/>
          <w:sz w:val="20"/>
          <w:szCs w:val="20"/>
        </w:rPr>
        <w:t>Remuneration Tribunal</w:t>
      </w:r>
      <w:r w:rsidR="00F111F2">
        <w:rPr>
          <w:i/>
          <w:sz w:val="20"/>
          <w:szCs w:val="20"/>
        </w:rPr>
        <w:br/>
      </w:r>
      <w:r w:rsidRPr="00842E96">
        <w:rPr>
          <w:i/>
          <w:sz w:val="20"/>
          <w:szCs w:val="20"/>
        </w:rPr>
        <w:t>(Departmental Secretaries – Classification Structure and Terms and Conditions) Determination 2020</w:t>
      </w:r>
      <w:r w:rsidRPr="003A570D">
        <w:rPr>
          <w:sz w:val="20"/>
          <w:szCs w:val="20"/>
        </w:rPr>
        <w:t xml:space="preserve">, which is made under Division 4 of Part II of the </w:t>
      </w:r>
      <w:r w:rsidRPr="00130D01">
        <w:rPr>
          <w:i/>
          <w:iCs/>
          <w:sz w:val="20"/>
          <w:szCs w:val="20"/>
        </w:rPr>
        <w:t>Remuneration Tribunal Act 1973.</w:t>
      </w:r>
    </w:p>
    <w:p w14:paraId="4BB3DDEF" w14:textId="77777777" w:rsidR="00AB6753" w:rsidRPr="00D70386" w:rsidRDefault="00AB6753" w:rsidP="00AB6753">
      <w:pPr>
        <w:spacing w:after="0" w:line="240" w:lineRule="auto"/>
        <w:rPr>
          <w:b/>
          <w:sz w:val="24"/>
          <w:szCs w:val="24"/>
        </w:rPr>
      </w:pPr>
      <w:r w:rsidRPr="00D70386">
        <w:rPr>
          <w:b/>
          <w:sz w:val="24"/>
          <w:szCs w:val="24"/>
        </w:rPr>
        <w:t>Senior Executive Service remuneration</w:t>
      </w:r>
    </w:p>
    <w:p w14:paraId="4E55FF6D"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The Secretary reviews SES remuneration annually, after completion of the annual performance cycle. When determining salary progression outcomes for an individual SES employee’s performance, the Secretary considers factors including organisational performance, relevant remuneration data</w:t>
      </w:r>
      <w:r>
        <w:rPr>
          <w:sz w:val="20"/>
          <w:szCs w:val="20"/>
        </w:rPr>
        <w:t>,</w:t>
      </w:r>
      <w:r w:rsidRPr="003A570D">
        <w:rPr>
          <w:sz w:val="20"/>
          <w:szCs w:val="20"/>
        </w:rPr>
        <w:t xml:space="preserve"> and the size and complexity of the role.</w:t>
      </w:r>
    </w:p>
    <w:p w14:paraId="5434DE20" w14:textId="77777777" w:rsidR="00AB6753" w:rsidRPr="00105031"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As at 30 June 2020, 70 SES employees were remunerated through a </w:t>
      </w:r>
      <w:r>
        <w:rPr>
          <w:sz w:val="20"/>
          <w:szCs w:val="20"/>
        </w:rPr>
        <w:t>s</w:t>
      </w:r>
      <w:r w:rsidRPr="003A570D">
        <w:rPr>
          <w:sz w:val="20"/>
          <w:szCs w:val="20"/>
        </w:rPr>
        <w:t>ection 24(1) determination. This includes SES employees on temporary transfer, secondment</w:t>
      </w:r>
      <w:r>
        <w:rPr>
          <w:sz w:val="20"/>
          <w:szCs w:val="20"/>
        </w:rPr>
        <w:t>,</w:t>
      </w:r>
      <w:r w:rsidRPr="003A570D">
        <w:rPr>
          <w:sz w:val="20"/>
          <w:szCs w:val="20"/>
        </w:rPr>
        <w:t xml:space="preserve"> or leave.</w:t>
      </w:r>
    </w:p>
    <w:p w14:paraId="1F3AD851" w14:textId="77777777" w:rsidR="00F111F2" w:rsidRDefault="00F111F2" w:rsidP="00AB6753">
      <w:pPr>
        <w:spacing w:after="0" w:line="240" w:lineRule="auto"/>
        <w:rPr>
          <w:b/>
          <w:sz w:val="24"/>
          <w:szCs w:val="24"/>
        </w:rPr>
      </w:pPr>
    </w:p>
    <w:p w14:paraId="0B3A5030" w14:textId="6115DFE2" w:rsidR="00AB6753" w:rsidRPr="00D70386" w:rsidRDefault="00AB6753" w:rsidP="00AB6753">
      <w:pPr>
        <w:spacing w:after="0" w:line="240" w:lineRule="auto"/>
        <w:rPr>
          <w:b/>
          <w:sz w:val="24"/>
          <w:szCs w:val="24"/>
        </w:rPr>
      </w:pPr>
      <w:r w:rsidRPr="00D70386">
        <w:rPr>
          <w:b/>
          <w:sz w:val="24"/>
          <w:szCs w:val="24"/>
        </w:rPr>
        <w:lastRenderedPageBreak/>
        <w:t>Common law contracts</w:t>
      </w:r>
    </w:p>
    <w:p w14:paraId="5722FDC1" w14:textId="77777777" w:rsidR="00AB6753" w:rsidRPr="003A570D" w:rsidRDefault="00AB6753" w:rsidP="00AB6753">
      <w:pPr>
        <w:autoSpaceDE w:val="0"/>
        <w:autoSpaceDN w:val="0"/>
        <w:adjustRightInd w:val="0"/>
        <w:spacing w:before="120" w:after="180" w:line="280" w:lineRule="atLeast"/>
        <w:ind w:right="-164"/>
        <w:rPr>
          <w:sz w:val="20"/>
          <w:szCs w:val="20"/>
        </w:rPr>
      </w:pPr>
      <w:r>
        <w:rPr>
          <w:sz w:val="20"/>
          <w:szCs w:val="20"/>
        </w:rPr>
        <w:t xml:space="preserve">The department does </w:t>
      </w:r>
      <w:r w:rsidRPr="003A570D">
        <w:rPr>
          <w:sz w:val="20"/>
          <w:szCs w:val="20"/>
        </w:rPr>
        <w:t>not use common law contracts to employ staff.</w:t>
      </w:r>
    </w:p>
    <w:p w14:paraId="746DB76B" w14:textId="77777777" w:rsidR="00AB6753" w:rsidRPr="00D70386" w:rsidRDefault="00AB6753" w:rsidP="00AB6753">
      <w:pPr>
        <w:spacing w:after="0" w:line="240" w:lineRule="auto"/>
        <w:rPr>
          <w:b/>
          <w:sz w:val="24"/>
          <w:szCs w:val="24"/>
        </w:rPr>
      </w:pPr>
      <w:r w:rsidRPr="00D70386">
        <w:rPr>
          <w:b/>
          <w:sz w:val="24"/>
          <w:szCs w:val="24"/>
        </w:rPr>
        <w:t>Non-salary benefits to employees</w:t>
      </w:r>
    </w:p>
    <w:p w14:paraId="302269B3"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The </w:t>
      </w:r>
      <w:r w:rsidRPr="00E42540">
        <w:rPr>
          <w:i/>
          <w:sz w:val="20"/>
          <w:szCs w:val="20"/>
        </w:rPr>
        <w:t>Department of Social Services Enterprise Agreement 2018 to 2021</w:t>
      </w:r>
      <w:r w:rsidRPr="003A570D">
        <w:rPr>
          <w:sz w:val="20"/>
          <w:szCs w:val="20"/>
        </w:rPr>
        <w:t xml:space="preserve"> offers a range of non-salary benefits to our people, including leave, flexible working arrangements, access to salary packaging</w:t>
      </w:r>
      <w:r>
        <w:rPr>
          <w:sz w:val="20"/>
          <w:szCs w:val="20"/>
        </w:rPr>
        <w:t>,</w:t>
      </w:r>
      <w:r w:rsidRPr="003A570D">
        <w:rPr>
          <w:sz w:val="20"/>
          <w:szCs w:val="20"/>
        </w:rPr>
        <w:t xml:space="preserve"> and remote locality assistance.</w:t>
      </w:r>
    </w:p>
    <w:p w14:paraId="333DCC2C" w14:textId="77777777" w:rsidR="00AB6753" w:rsidRPr="00833C50" w:rsidRDefault="00AB6753" w:rsidP="00AB6753">
      <w:pPr>
        <w:pStyle w:val="Heading4"/>
        <w:spacing w:after="200"/>
        <w:rPr>
          <w:rFonts w:ascii="Georgia" w:hAnsi="Georgia"/>
          <w:b w:val="0"/>
          <w:i w:val="0"/>
          <w:sz w:val="36"/>
        </w:rPr>
      </w:pPr>
      <w:r w:rsidRPr="00833C50">
        <w:rPr>
          <w:rFonts w:ascii="Georgia" w:hAnsi="Georgia"/>
          <w:b w:val="0"/>
          <w:i w:val="0"/>
          <w:sz w:val="36"/>
        </w:rPr>
        <w:t>Work health and safety</w:t>
      </w:r>
    </w:p>
    <w:p w14:paraId="64CE8D26"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We acknowledge and are committed to fulfilling our responsibilities under the </w:t>
      </w:r>
      <w:r w:rsidRPr="00C65959">
        <w:rPr>
          <w:i/>
          <w:sz w:val="20"/>
          <w:szCs w:val="20"/>
        </w:rPr>
        <w:t>Work Health and Safety Act 2011</w:t>
      </w:r>
      <w:r w:rsidRPr="003A570D">
        <w:rPr>
          <w:sz w:val="20"/>
          <w:szCs w:val="20"/>
        </w:rPr>
        <w:t xml:space="preserve">, </w:t>
      </w:r>
      <w:r w:rsidRPr="00105031">
        <w:rPr>
          <w:sz w:val="20"/>
          <w:szCs w:val="20"/>
        </w:rPr>
        <w:t xml:space="preserve">the </w:t>
      </w:r>
      <w:r w:rsidRPr="00A526BE">
        <w:rPr>
          <w:i/>
          <w:sz w:val="20"/>
          <w:szCs w:val="20"/>
        </w:rPr>
        <w:t>Work Health and Safety Regulations 2011</w:t>
      </w:r>
      <w:r w:rsidRPr="003A570D">
        <w:rPr>
          <w:sz w:val="20"/>
          <w:szCs w:val="20"/>
        </w:rPr>
        <w:t xml:space="preserve"> and the </w:t>
      </w:r>
      <w:r w:rsidRPr="00130D01">
        <w:rPr>
          <w:i/>
          <w:iCs/>
          <w:sz w:val="20"/>
          <w:szCs w:val="20"/>
        </w:rPr>
        <w:t>Safety, Rehabilitation and Compensation Act 1988</w:t>
      </w:r>
      <w:r w:rsidRPr="003A570D">
        <w:rPr>
          <w:sz w:val="20"/>
          <w:szCs w:val="20"/>
        </w:rPr>
        <w:t>.</w:t>
      </w:r>
    </w:p>
    <w:p w14:paraId="6309CA7C" w14:textId="77777777" w:rsidR="00AB6753"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Our strong focus on work health and safety and early intervention has resulted in sustainable reductions in workers’ compensation claims. </w:t>
      </w:r>
    </w:p>
    <w:p w14:paraId="09A9F588"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Our achievements include:</w:t>
      </w:r>
    </w:p>
    <w:p w14:paraId="583D06E5"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sustaining a low number of workers’ compensation claims submitted in 2019–20</w:t>
      </w:r>
    </w:p>
    <w:p w14:paraId="383E6AA4"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maintaining a low number of accepted workers’ compensation claims in 2019–20</w:t>
      </w:r>
    </w:p>
    <w:p w14:paraId="4D8DDB30"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no psychological injury claims accepted in 2019–20</w:t>
      </w:r>
    </w:p>
    <w:p w14:paraId="561E9076"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 xml:space="preserve">maintaining a decrease in our </w:t>
      </w:r>
      <w:proofErr w:type="spellStart"/>
      <w:r w:rsidRPr="002013B1">
        <w:rPr>
          <w:rFonts w:cs="Arial"/>
          <w:sz w:val="20"/>
        </w:rPr>
        <w:t>Comcare</w:t>
      </w:r>
      <w:proofErr w:type="spellEnd"/>
      <w:r w:rsidRPr="002013B1">
        <w:rPr>
          <w:rFonts w:cs="Arial"/>
          <w:sz w:val="20"/>
        </w:rPr>
        <w:t xml:space="preserve"> workers’ compensation premium rate for a fifth consecutive year from 2.1 per cent of payroll in 2015–16 to 0.47 per cent for 2020–21.</w:t>
      </w:r>
    </w:p>
    <w:p w14:paraId="6D98D867"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We will continue to focus on encouraging early identification, reporting</w:t>
      </w:r>
      <w:r>
        <w:rPr>
          <w:sz w:val="20"/>
          <w:szCs w:val="20"/>
        </w:rPr>
        <w:t>,</w:t>
      </w:r>
      <w:r w:rsidRPr="003A570D">
        <w:rPr>
          <w:sz w:val="20"/>
          <w:szCs w:val="20"/>
        </w:rPr>
        <w:t xml:space="preserve"> and response to workplace hazards and injuries to further improve work health and safety and return to work performance.</w:t>
      </w:r>
    </w:p>
    <w:p w14:paraId="1BB2E9F2"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Other initiatives implemented in 2019</w:t>
      </w:r>
      <w:r>
        <w:rPr>
          <w:sz w:val="20"/>
          <w:szCs w:val="20"/>
        </w:rPr>
        <w:t>–</w:t>
      </w:r>
      <w:r w:rsidRPr="003A570D">
        <w:rPr>
          <w:sz w:val="20"/>
          <w:szCs w:val="20"/>
        </w:rPr>
        <w:t>20 to ensure the health, safety</w:t>
      </w:r>
      <w:r>
        <w:rPr>
          <w:sz w:val="20"/>
          <w:szCs w:val="20"/>
        </w:rPr>
        <w:t>,</w:t>
      </w:r>
      <w:r w:rsidRPr="003A570D">
        <w:rPr>
          <w:sz w:val="20"/>
          <w:szCs w:val="20"/>
        </w:rPr>
        <w:t xml:space="preserve"> and welfare of our workers include:</w:t>
      </w:r>
    </w:p>
    <w:p w14:paraId="39C5AC93"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working with our managers to support ill or injured employees through our early intervention program, to help them remain at work or return to work safely</w:t>
      </w:r>
    </w:p>
    <w:p w14:paraId="6F7A5E10"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refreshing our Work Health and Safety Management Arrangements which provide a framework for reducing the risk and incidence of workplace injury, illness, and bullying</w:t>
      </w:r>
    </w:p>
    <w:p w14:paraId="447783C6"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promoting and encouraging employees to access the services of our Employee Assistance Program to support positive physical and mental health and wellbeing</w:t>
      </w:r>
    </w:p>
    <w:p w14:paraId="3807156D"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delivering mental health e-learning and promoting additional external mental health resources</w:t>
      </w:r>
    </w:p>
    <w:p w14:paraId="02CDCFEB"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promoting tailored mental and physical wellbeing messages through the launch of ‘Mental Health and Wellness Mondays’</w:t>
      </w:r>
    </w:p>
    <w:p w14:paraId="2CAE0B44"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delivering targeted mental health training for managers through Lifeline’s ‘The Working Mind for Managers’ program</w:t>
      </w:r>
    </w:p>
    <w:p w14:paraId="2BF2FF95"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 xml:space="preserve">participating in APS working groups to provide input into the ongoing management of the </w:t>
      </w:r>
      <w:proofErr w:type="spellStart"/>
      <w:r w:rsidRPr="002013B1">
        <w:rPr>
          <w:rFonts w:cs="Arial"/>
          <w:sz w:val="20"/>
        </w:rPr>
        <w:t>Comcare</w:t>
      </w:r>
      <w:proofErr w:type="spellEnd"/>
      <w:r w:rsidRPr="002013B1">
        <w:rPr>
          <w:rFonts w:cs="Arial"/>
          <w:sz w:val="20"/>
        </w:rPr>
        <w:t xml:space="preserve"> Scheme, which provides all scheme employers with an integrated safety, rehabilitation, and compensation system</w:t>
      </w:r>
    </w:p>
    <w:p w14:paraId="2443B360"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inviting our employees to participate in the annual influenza vaccination program.</w:t>
      </w:r>
    </w:p>
    <w:p w14:paraId="54451ED9" w14:textId="77777777"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 xml:space="preserve">As a result of </w:t>
      </w:r>
      <w:r>
        <w:rPr>
          <w:rFonts w:cs="Arial"/>
          <w:sz w:val="20"/>
        </w:rPr>
        <w:t>COVID-19</w:t>
      </w:r>
      <w:r w:rsidRPr="003A570D">
        <w:rPr>
          <w:sz w:val="20"/>
          <w:szCs w:val="20"/>
        </w:rPr>
        <w:t xml:space="preserve">, </w:t>
      </w:r>
      <w:r>
        <w:rPr>
          <w:sz w:val="20"/>
          <w:szCs w:val="20"/>
        </w:rPr>
        <w:t xml:space="preserve">we </w:t>
      </w:r>
      <w:r w:rsidRPr="003A570D">
        <w:rPr>
          <w:sz w:val="20"/>
          <w:szCs w:val="20"/>
        </w:rPr>
        <w:t>also:</w:t>
      </w:r>
    </w:p>
    <w:p w14:paraId="7ABD54C7"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established a dedicated intranet page to provide up-to-date guidance and information for staff</w:t>
      </w:r>
    </w:p>
    <w:p w14:paraId="4C6A505A"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lastRenderedPageBreak/>
        <w:t>increased the frequency of cleaning at all sites, including a focus on high touch point areas such as kitchens, door handles and hand-rails, meeting rooms, tables, and printers</w:t>
      </w:r>
    </w:p>
    <w:p w14:paraId="2599627D"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implemented physical distancing measures by reconfiguring workstations and placing signage on all meeting/training/conference rooms and offices mandating reduced maximum capacity to achieve both the 1.5m and 4m</w:t>
      </w:r>
      <w:r w:rsidRPr="00A526BE">
        <w:rPr>
          <w:rFonts w:cs="Arial"/>
          <w:sz w:val="20"/>
          <w:vertAlign w:val="superscript"/>
        </w:rPr>
        <w:t>2</w:t>
      </w:r>
      <w:r w:rsidRPr="002013B1">
        <w:rPr>
          <w:rFonts w:cs="Arial"/>
          <w:sz w:val="20"/>
        </w:rPr>
        <w:t xml:space="preserve"> requirements</w:t>
      </w:r>
    </w:p>
    <w:p w14:paraId="08642E6E"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removed excess furniture from meeting rooms, breakout, and common areas</w:t>
      </w:r>
    </w:p>
    <w:p w14:paraId="0655DD59"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displayed digital signage throughout the office to promote how staff can exercise physical distancing and hygiene practices</w:t>
      </w:r>
    </w:p>
    <w:p w14:paraId="27195954"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installed hand sanitiser stations at main entry and exit points and distributed hygiene packs throughout work areas</w:t>
      </w:r>
    </w:p>
    <w:p w14:paraId="1284B59F"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Pr>
          <w:rFonts w:cs="Arial"/>
          <w:sz w:val="20"/>
        </w:rPr>
        <w:t xml:space="preserve">provided services through the </w:t>
      </w:r>
      <w:r w:rsidRPr="002013B1">
        <w:rPr>
          <w:rFonts w:cs="Arial"/>
          <w:sz w:val="20"/>
        </w:rPr>
        <w:t>Employee Assistance Program</w:t>
      </w:r>
      <w:r>
        <w:rPr>
          <w:rFonts w:cs="Arial"/>
          <w:sz w:val="20"/>
        </w:rPr>
        <w:t>,</w:t>
      </w:r>
      <w:r w:rsidRPr="002013B1">
        <w:rPr>
          <w:rFonts w:cs="Arial"/>
          <w:sz w:val="20"/>
        </w:rPr>
        <w:t xml:space="preserve"> provided mental health resources to staff and implemented a dedicated mental health first aid information line for staff.</w:t>
      </w:r>
    </w:p>
    <w:p w14:paraId="083860E5" w14:textId="77777777" w:rsidR="00AB6753" w:rsidRPr="00D70386" w:rsidRDefault="00AB6753" w:rsidP="00AB6753">
      <w:pPr>
        <w:spacing w:after="0" w:line="240" w:lineRule="auto"/>
        <w:rPr>
          <w:b/>
          <w:sz w:val="24"/>
          <w:szCs w:val="24"/>
        </w:rPr>
      </w:pPr>
      <w:r w:rsidRPr="00D70386">
        <w:rPr>
          <w:b/>
          <w:sz w:val="24"/>
          <w:szCs w:val="24"/>
        </w:rPr>
        <w:t>Notifiable incidents</w:t>
      </w:r>
    </w:p>
    <w:p w14:paraId="75E9D348" w14:textId="03FEF1E4" w:rsidR="00AB6753" w:rsidRPr="003A570D" w:rsidRDefault="00AB6753" w:rsidP="00AB6753">
      <w:pPr>
        <w:autoSpaceDE w:val="0"/>
        <w:autoSpaceDN w:val="0"/>
        <w:adjustRightInd w:val="0"/>
        <w:spacing w:before="120" w:after="180" w:line="280" w:lineRule="atLeast"/>
        <w:ind w:right="-164"/>
        <w:rPr>
          <w:sz w:val="20"/>
          <w:szCs w:val="20"/>
        </w:rPr>
      </w:pPr>
      <w:r w:rsidRPr="003A570D">
        <w:rPr>
          <w:sz w:val="20"/>
          <w:szCs w:val="20"/>
        </w:rPr>
        <w:t>In 2019</w:t>
      </w:r>
      <w:r>
        <w:rPr>
          <w:sz w:val="20"/>
          <w:szCs w:val="20"/>
        </w:rPr>
        <w:t>–</w:t>
      </w:r>
      <w:r w:rsidRPr="003A570D">
        <w:rPr>
          <w:sz w:val="20"/>
          <w:szCs w:val="20"/>
        </w:rPr>
        <w:t>20, there were three notifiable incidents in relation to a serious injury of a person.</w:t>
      </w:r>
      <w:r w:rsidR="00F111F2">
        <w:rPr>
          <w:sz w:val="20"/>
          <w:szCs w:val="20"/>
        </w:rPr>
        <w:br/>
      </w:r>
      <w:r w:rsidRPr="003A570D">
        <w:rPr>
          <w:sz w:val="20"/>
          <w:szCs w:val="20"/>
        </w:rPr>
        <w:t xml:space="preserve">No investigations were carried out under part 10 of the </w:t>
      </w:r>
      <w:r w:rsidRPr="00130D01">
        <w:rPr>
          <w:i/>
          <w:iCs/>
          <w:sz w:val="20"/>
          <w:szCs w:val="20"/>
        </w:rPr>
        <w:t>Work Health and Safety Act 2011</w:t>
      </w:r>
      <w:r w:rsidRPr="003A570D">
        <w:rPr>
          <w:sz w:val="20"/>
          <w:szCs w:val="20"/>
        </w:rPr>
        <w:t>.</w:t>
      </w:r>
    </w:p>
    <w:p w14:paraId="265B63CC" w14:textId="77777777" w:rsidR="00AB6753" w:rsidRDefault="00AB6753" w:rsidP="00AB6753">
      <w:pPr>
        <w:autoSpaceDE w:val="0"/>
        <w:autoSpaceDN w:val="0"/>
        <w:adjustRightInd w:val="0"/>
        <w:spacing w:before="120" w:after="180" w:line="280" w:lineRule="atLeast"/>
        <w:ind w:right="-164"/>
        <w:rPr>
          <w:rFonts w:ascii="Georgia" w:eastAsiaTheme="majorEastAsia" w:hAnsi="Georgia" w:cstheme="majorBidi"/>
          <w:bCs/>
          <w:iCs/>
          <w:sz w:val="36"/>
        </w:rPr>
      </w:pPr>
      <w:r>
        <w:rPr>
          <w:rFonts w:ascii="Georgia" w:hAnsi="Georgia"/>
          <w:b/>
          <w:i/>
          <w:sz w:val="36"/>
        </w:rPr>
        <w:br w:type="page"/>
      </w:r>
    </w:p>
    <w:p w14:paraId="1B105FA7" w14:textId="77777777" w:rsidR="00AB6753" w:rsidRPr="00064F60" w:rsidRDefault="00AB6753" w:rsidP="00AB6753">
      <w:pPr>
        <w:pStyle w:val="Heading5"/>
        <w:spacing w:after="200"/>
        <w:rPr>
          <w:b w:val="0"/>
          <w:color w:val="auto"/>
          <w:sz w:val="28"/>
        </w:rPr>
      </w:pPr>
      <w:r w:rsidRPr="00064F60">
        <w:rPr>
          <w:b w:val="0"/>
          <w:color w:val="auto"/>
          <w:sz w:val="28"/>
        </w:rPr>
        <w:lastRenderedPageBreak/>
        <w:t>Chapter 4.4</w:t>
      </w:r>
    </w:p>
    <w:p w14:paraId="5E325BA3" w14:textId="77777777" w:rsidR="00AB6753" w:rsidRPr="00054A67" w:rsidRDefault="00AB6753" w:rsidP="00AB6753">
      <w:pPr>
        <w:pStyle w:val="Heading1"/>
        <w:spacing w:before="240" w:after="240"/>
        <w:rPr>
          <w:rFonts w:ascii="Georgia" w:hAnsi="Georgia"/>
          <w:b w:val="0"/>
          <w:color w:val="215868" w:themeColor="accent5" w:themeShade="80"/>
          <w:sz w:val="72"/>
        </w:rPr>
      </w:pPr>
      <w:r w:rsidRPr="00054A67">
        <w:rPr>
          <w:rFonts w:ascii="Georgia" w:hAnsi="Georgia"/>
          <w:b w:val="0"/>
          <w:color w:val="215868" w:themeColor="accent5" w:themeShade="80"/>
          <w:sz w:val="72"/>
        </w:rPr>
        <w:t>Managing our finances</w:t>
      </w:r>
    </w:p>
    <w:p w14:paraId="4CF2717A" w14:textId="77777777" w:rsidR="00AB6753" w:rsidRPr="00833C50" w:rsidRDefault="00AB6753" w:rsidP="00AB6753">
      <w:pPr>
        <w:pStyle w:val="Heading4"/>
        <w:spacing w:after="200"/>
        <w:rPr>
          <w:rFonts w:ascii="Georgia" w:hAnsi="Georgia"/>
          <w:b w:val="0"/>
          <w:i w:val="0"/>
          <w:sz w:val="36"/>
        </w:rPr>
      </w:pPr>
      <w:r w:rsidRPr="00833C50">
        <w:rPr>
          <w:rFonts w:ascii="Georgia" w:hAnsi="Georgia"/>
          <w:b w:val="0"/>
          <w:i w:val="0"/>
          <w:sz w:val="36"/>
        </w:rPr>
        <w:t>How we are funded</w:t>
      </w:r>
    </w:p>
    <w:p w14:paraId="0BF8396E" w14:textId="77777777" w:rsidR="00AB6753" w:rsidRDefault="00AB6753" w:rsidP="00AB6753">
      <w:pPr>
        <w:autoSpaceDE w:val="0"/>
        <w:autoSpaceDN w:val="0"/>
        <w:adjustRightInd w:val="0"/>
        <w:spacing w:before="120" w:after="180" w:line="280" w:lineRule="atLeast"/>
        <w:ind w:right="-164"/>
        <w:rPr>
          <w:sz w:val="20"/>
          <w:szCs w:val="20"/>
        </w:rPr>
      </w:pPr>
      <w:r>
        <w:rPr>
          <w:sz w:val="20"/>
          <w:szCs w:val="20"/>
        </w:rPr>
        <w:t>The Australian Parliament, via the Appropriation Acts, provides the department with two types of funding: departmental and administered.</w:t>
      </w:r>
    </w:p>
    <w:p w14:paraId="4CBFD7D9" w14:textId="77777777" w:rsidR="00AB6753" w:rsidRDefault="00AB6753" w:rsidP="00AB6753">
      <w:pPr>
        <w:autoSpaceDE w:val="0"/>
        <w:autoSpaceDN w:val="0"/>
        <w:adjustRightInd w:val="0"/>
        <w:spacing w:before="120" w:after="180" w:line="280" w:lineRule="atLeast"/>
        <w:ind w:right="-164"/>
        <w:rPr>
          <w:sz w:val="20"/>
          <w:szCs w:val="20"/>
        </w:rPr>
      </w:pPr>
      <w:r>
        <w:rPr>
          <w:sz w:val="20"/>
          <w:szCs w:val="20"/>
        </w:rPr>
        <w:t>Departmental resources are used to develop and implement policies and deliver services (programs).</w:t>
      </w:r>
    </w:p>
    <w:p w14:paraId="76C88415" w14:textId="1E878FD1" w:rsidR="00AB6753" w:rsidRDefault="00AB6753" w:rsidP="00AB6753">
      <w:pPr>
        <w:autoSpaceDE w:val="0"/>
        <w:autoSpaceDN w:val="0"/>
        <w:adjustRightInd w:val="0"/>
        <w:spacing w:before="120" w:after="180" w:line="280" w:lineRule="atLeast"/>
        <w:ind w:right="-164"/>
        <w:rPr>
          <w:sz w:val="20"/>
          <w:szCs w:val="20"/>
        </w:rPr>
      </w:pPr>
      <w:r>
        <w:rPr>
          <w:sz w:val="20"/>
          <w:szCs w:val="20"/>
        </w:rPr>
        <w:t>We also administer payments, subsidies, revenues, and other resources on behalf of the Australian Government. A shaded background in our Financial Statements indicates information that relates</w:t>
      </w:r>
      <w:r w:rsidR="00F111F2">
        <w:rPr>
          <w:sz w:val="20"/>
          <w:szCs w:val="20"/>
        </w:rPr>
        <w:br/>
      </w:r>
      <w:r>
        <w:rPr>
          <w:sz w:val="20"/>
          <w:szCs w:val="20"/>
        </w:rPr>
        <w:t>to an administered resource (see</w:t>
      </w:r>
      <w:r w:rsidRPr="00EE7232">
        <w:rPr>
          <w:sz w:val="20"/>
          <w:szCs w:val="20"/>
        </w:rPr>
        <w:t xml:space="preserve"> </w:t>
      </w:r>
      <w:r>
        <w:rPr>
          <w:sz w:val="20"/>
          <w:szCs w:val="20"/>
        </w:rPr>
        <w:t>Part 5).</w:t>
      </w:r>
    </w:p>
    <w:p w14:paraId="05801B2F" w14:textId="77777777" w:rsidR="00AB6753" w:rsidRPr="0067554D" w:rsidRDefault="00AB6753" w:rsidP="00AB6753">
      <w:pPr>
        <w:rPr>
          <w:rFonts w:ascii="Arial Narrow" w:eastAsia="Times New Roman" w:hAnsi="Arial Narrow" w:cs="Times New Roman"/>
          <w:b/>
          <w:bCs/>
          <w:sz w:val="20"/>
          <w:szCs w:val="18"/>
        </w:rPr>
      </w:pPr>
      <w:bookmarkStart w:id="43" w:name="Table3_4_1"/>
      <w:r w:rsidRPr="0067554D">
        <w:rPr>
          <w:rFonts w:ascii="Arial Narrow" w:eastAsia="Times New Roman" w:hAnsi="Arial Narrow" w:cs="Times New Roman"/>
          <w:b/>
          <w:bCs/>
          <w:sz w:val="20"/>
          <w:szCs w:val="18"/>
        </w:rPr>
        <w:t xml:space="preserve">Table </w:t>
      </w:r>
      <w:r>
        <w:rPr>
          <w:rFonts w:ascii="Arial Narrow" w:eastAsia="Times New Roman" w:hAnsi="Arial Narrow" w:cs="Times New Roman"/>
          <w:b/>
          <w:bCs/>
          <w:sz w:val="20"/>
          <w:szCs w:val="18"/>
        </w:rPr>
        <w:t>4</w:t>
      </w:r>
      <w:r w:rsidRPr="0067554D">
        <w:rPr>
          <w:rFonts w:ascii="Arial Narrow" w:eastAsia="Times New Roman" w:hAnsi="Arial Narrow" w:cs="Times New Roman"/>
          <w:b/>
          <w:bCs/>
          <w:sz w:val="20"/>
          <w:szCs w:val="18"/>
        </w:rPr>
        <w:t>.4.1: Trends in departmental finances</w:t>
      </w:r>
      <w:bookmarkEnd w:id="43"/>
    </w:p>
    <w:tbl>
      <w:tblPr>
        <w:tblStyle w:val="Verticaltable"/>
        <w:tblW w:w="5000" w:type="pct"/>
        <w:tblLook w:val="04A0" w:firstRow="1" w:lastRow="0" w:firstColumn="1" w:lastColumn="0" w:noHBand="0" w:noVBand="1"/>
        <w:tblCaption w:val="Table 4.4.1: Trends in departmental finances"/>
        <w:tblDescription w:val="Table 4.4.1: Trends in departmental finances"/>
      </w:tblPr>
      <w:tblGrid>
        <w:gridCol w:w="4829"/>
        <w:gridCol w:w="1399"/>
        <w:gridCol w:w="1399"/>
        <w:gridCol w:w="1399"/>
      </w:tblGrid>
      <w:tr w:rsidR="00AB6753" w14:paraId="47A43112" w14:textId="77777777" w:rsidTr="002D1EA4">
        <w:trPr>
          <w:cnfStyle w:val="100000000000" w:firstRow="1" w:lastRow="0" w:firstColumn="0" w:lastColumn="0" w:oddVBand="0" w:evenVBand="0" w:oddHBand="0" w:evenHBand="0" w:firstRowFirstColumn="0" w:firstRowLastColumn="0" w:lastRowFirstColumn="0" w:lastRowLastColumn="0"/>
        </w:trPr>
        <w:tc>
          <w:tcPr>
            <w:tcW w:w="2675" w:type="pct"/>
          </w:tcPr>
          <w:p w14:paraId="1E9F8FCD" w14:textId="77777777" w:rsidR="00AB6753" w:rsidRDefault="00AB6753" w:rsidP="002D1EA4">
            <w:pPr>
              <w:keepNext/>
              <w:keepLines/>
              <w:spacing w:before="40" w:after="40"/>
              <w:rPr>
                <w:rFonts w:eastAsia="Times New Roman" w:cs="Times New Roman"/>
                <w:b w:val="0"/>
                <w:color w:val="FFFFFF" w:themeColor="background1"/>
                <w:sz w:val="20"/>
                <w:szCs w:val="20"/>
              </w:rPr>
            </w:pPr>
            <w:bookmarkStart w:id="44" w:name="Table3_4_2"/>
            <w:bookmarkStart w:id="45" w:name="_Toc457747543"/>
          </w:p>
        </w:tc>
        <w:tc>
          <w:tcPr>
            <w:tcW w:w="775" w:type="pct"/>
          </w:tcPr>
          <w:p w14:paraId="6A5C6803" w14:textId="77777777" w:rsidR="00AB6753" w:rsidRPr="006938C4" w:rsidRDefault="00AB6753" w:rsidP="002D1EA4">
            <w:pPr>
              <w:keepNext/>
              <w:keepLines/>
              <w:spacing w:before="40" w:after="40"/>
              <w:jc w:val="right"/>
              <w:rPr>
                <w:rFonts w:eastAsia="Times New Roman"/>
                <w:sz w:val="20"/>
                <w:szCs w:val="20"/>
              </w:rPr>
            </w:pPr>
            <w:r w:rsidRPr="006938C4">
              <w:rPr>
                <w:rFonts w:eastAsia="Times New Roman"/>
                <w:sz w:val="20"/>
                <w:szCs w:val="20"/>
              </w:rPr>
              <w:t>2019</w:t>
            </w:r>
            <w:r w:rsidRPr="006938C4">
              <w:rPr>
                <w:rFonts w:eastAsia="Times New Roman" w:cstheme="minorBidi"/>
                <w:bCs/>
                <w:sz w:val="20"/>
                <w:szCs w:val="18"/>
              </w:rPr>
              <w:t>–20</w:t>
            </w:r>
            <w:r w:rsidRPr="006938C4">
              <w:rPr>
                <w:rFonts w:eastAsia="Times New Roman"/>
                <w:sz w:val="20"/>
                <w:szCs w:val="20"/>
              </w:rPr>
              <w:t xml:space="preserve"> </w:t>
            </w:r>
          </w:p>
          <w:p w14:paraId="760F324C" w14:textId="77777777" w:rsidR="00AB6753" w:rsidRPr="006938C4" w:rsidRDefault="00AB6753" w:rsidP="002D1EA4">
            <w:pPr>
              <w:keepNext/>
              <w:keepLines/>
              <w:spacing w:before="40" w:after="40"/>
              <w:jc w:val="right"/>
              <w:rPr>
                <w:rFonts w:eastAsia="Times New Roman"/>
                <w:color w:val="FF0000"/>
                <w:sz w:val="20"/>
                <w:szCs w:val="20"/>
              </w:rPr>
            </w:pPr>
            <w:r w:rsidRPr="006938C4">
              <w:rPr>
                <w:rFonts w:eastAsia="Times New Roman"/>
                <w:sz w:val="20"/>
                <w:szCs w:val="20"/>
              </w:rPr>
              <w:t>$ million</w:t>
            </w:r>
          </w:p>
        </w:tc>
        <w:tc>
          <w:tcPr>
            <w:tcW w:w="775" w:type="pct"/>
          </w:tcPr>
          <w:p w14:paraId="40098D70" w14:textId="77777777" w:rsidR="00AB6753" w:rsidRPr="006938C4" w:rsidRDefault="00AB6753" w:rsidP="002D1EA4">
            <w:pPr>
              <w:keepNext/>
              <w:keepLines/>
              <w:spacing w:before="40" w:after="40"/>
              <w:jc w:val="right"/>
              <w:rPr>
                <w:rFonts w:eastAsia="Times New Roman"/>
                <w:sz w:val="20"/>
                <w:szCs w:val="20"/>
              </w:rPr>
            </w:pPr>
            <w:r w:rsidRPr="006938C4">
              <w:rPr>
                <w:rFonts w:eastAsia="Times New Roman"/>
                <w:sz w:val="20"/>
                <w:szCs w:val="20"/>
              </w:rPr>
              <w:t>2018</w:t>
            </w:r>
            <w:r w:rsidRPr="006938C4">
              <w:rPr>
                <w:rFonts w:eastAsia="Times New Roman" w:cstheme="minorBidi"/>
                <w:bCs/>
                <w:sz w:val="20"/>
                <w:szCs w:val="18"/>
              </w:rPr>
              <w:t>–</w:t>
            </w:r>
            <w:r w:rsidRPr="006938C4">
              <w:rPr>
                <w:rFonts w:eastAsia="Times New Roman"/>
                <w:sz w:val="20"/>
                <w:szCs w:val="20"/>
              </w:rPr>
              <w:t xml:space="preserve">19 </w:t>
            </w:r>
          </w:p>
          <w:p w14:paraId="4983D708" w14:textId="77777777" w:rsidR="00AB6753" w:rsidRPr="006938C4" w:rsidRDefault="00AB6753" w:rsidP="002D1EA4">
            <w:pPr>
              <w:keepNext/>
              <w:keepLines/>
              <w:spacing w:before="40" w:after="40"/>
              <w:jc w:val="right"/>
              <w:rPr>
                <w:rFonts w:eastAsia="Times New Roman"/>
                <w:color w:val="FF0000"/>
                <w:sz w:val="20"/>
                <w:szCs w:val="20"/>
              </w:rPr>
            </w:pPr>
            <w:r w:rsidRPr="006938C4">
              <w:rPr>
                <w:rFonts w:eastAsia="Times New Roman"/>
                <w:sz w:val="20"/>
                <w:szCs w:val="20"/>
              </w:rPr>
              <w:t>$ million</w:t>
            </w:r>
          </w:p>
        </w:tc>
        <w:tc>
          <w:tcPr>
            <w:tcW w:w="775" w:type="pct"/>
            <w:hideMark/>
          </w:tcPr>
          <w:p w14:paraId="61DD2379" w14:textId="77777777" w:rsidR="00AB6753" w:rsidRPr="006938C4" w:rsidRDefault="00AB6753" w:rsidP="002D1EA4">
            <w:pPr>
              <w:keepNext/>
              <w:keepLines/>
              <w:spacing w:before="40" w:after="40"/>
              <w:jc w:val="right"/>
              <w:rPr>
                <w:rFonts w:eastAsia="Times New Roman" w:cs="Times New Roman"/>
                <w:sz w:val="20"/>
                <w:szCs w:val="20"/>
              </w:rPr>
            </w:pPr>
            <w:r w:rsidRPr="006938C4">
              <w:rPr>
                <w:rFonts w:eastAsia="Times New Roman" w:cs="Times New Roman"/>
                <w:sz w:val="20"/>
                <w:szCs w:val="20"/>
              </w:rPr>
              <w:t>Change</w:t>
            </w:r>
          </w:p>
          <w:p w14:paraId="7BA6C36D" w14:textId="77777777" w:rsidR="00AB6753" w:rsidRPr="006938C4" w:rsidRDefault="00AB6753" w:rsidP="002D1EA4">
            <w:pPr>
              <w:keepNext/>
              <w:keepLines/>
              <w:spacing w:before="40" w:after="40"/>
              <w:jc w:val="right"/>
              <w:rPr>
                <w:rFonts w:eastAsia="Times New Roman" w:cs="Times New Roman"/>
                <w:color w:val="FFFFFF" w:themeColor="background1"/>
                <w:sz w:val="20"/>
                <w:szCs w:val="20"/>
              </w:rPr>
            </w:pPr>
            <w:r w:rsidRPr="006938C4">
              <w:rPr>
                <w:rFonts w:eastAsia="Times New Roman" w:cs="Times New Roman"/>
                <w:sz w:val="20"/>
                <w:szCs w:val="20"/>
              </w:rPr>
              <w:t>$ million</w:t>
            </w:r>
          </w:p>
        </w:tc>
      </w:tr>
      <w:tr w:rsidR="00AB6753" w14:paraId="6212ACAB" w14:textId="77777777" w:rsidTr="002D1EA4">
        <w:trPr>
          <w:cnfStyle w:val="000000100000" w:firstRow="0" w:lastRow="0" w:firstColumn="0" w:lastColumn="0" w:oddVBand="0" w:evenVBand="0" w:oddHBand="1" w:evenHBand="0" w:firstRowFirstColumn="0" w:firstRowLastColumn="0" w:lastRowFirstColumn="0" w:lastRowLastColumn="0"/>
          <w:trHeight w:val="317"/>
        </w:trPr>
        <w:tc>
          <w:tcPr>
            <w:tcW w:w="2675" w:type="pct"/>
            <w:hideMark/>
          </w:tcPr>
          <w:p w14:paraId="00FB5EC7" w14:textId="77777777" w:rsidR="00AB6753" w:rsidRDefault="00AB6753" w:rsidP="002D1EA4">
            <w:pPr>
              <w:spacing w:before="40" w:after="40"/>
              <w:rPr>
                <w:rFonts w:eastAsia="Times New Roman"/>
                <w:spacing w:val="4"/>
                <w:sz w:val="20"/>
                <w:szCs w:val="20"/>
                <w:lang w:val="en-GB"/>
              </w:rPr>
            </w:pPr>
            <w:r>
              <w:rPr>
                <w:rFonts w:eastAsia="Times New Roman"/>
                <w:spacing w:val="4"/>
                <w:sz w:val="20"/>
                <w:szCs w:val="20"/>
                <w:lang w:val="en-GB"/>
              </w:rPr>
              <w:t>Revenue from the Australian Government</w:t>
            </w:r>
          </w:p>
        </w:tc>
        <w:tc>
          <w:tcPr>
            <w:tcW w:w="775" w:type="pct"/>
          </w:tcPr>
          <w:p w14:paraId="466FA699" w14:textId="77777777" w:rsidR="00AB6753" w:rsidRDefault="00AB6753" w:rsidP="002D1EA4">
            <w:pPr>
              <w:spacing w:before="40" w:after="40"/>
              <w:jc w:val="right"/>
              <w:rPr>
                <w:rFonts w:eastAsia="Cambria"/>
                <w:spacing w:val="4"/>
                <w:sz w:val="20"/>
                <w:szCs w:val="20"/>
                <w:lang w:val="en-GB"/>
              </w:rPr>
            </w:pPr>
            <w:r w:rsidRPr="00E6137C">
              <w:rPr>
                <w:rFonts w:eastAsia="Cambria"/>
                <w:spacing w:val="4"/>
                <w:sz w:val="20"/>
                <w:szCs w:val="20"/>
                <w:lang w:val="en-GB"/>
              </w:rPr>
              <w:t>411.9</w:t>
            </w:r>
          </w:p>
        </w:tc>
        <w:tc>
          <w:tcPr>
            <w:tcW w:w="775" w:type="pct"/>
          </w:tcPr>
          <w:p w14:paraId="44571F2A" w14:textId="77777777" w:rsidR="00AB6753" w:rsidRDefault="00AB6753" w:rsidP="002D1EA4">
            <w:pPr>
              <w:spacing w:before="40" w:after="40"/>
              <w:jc w:val="right"/>
              <w:rPr>
                <w:rFonts w:eastAsia="Cambria"/>
                <w:spacing w:val="4"/>
                <w:sz w:val="20"/>
                <w:szCs w:val="20"/>
                <w:lang w:val="en-GB"/>
              </w:rPr>
            </w:pPr>
            <w:r>
              <w:rPr>
                <w:rFonts w:eastAsia="Cambria"/>
                <w:spacing w:val="4"/>
                <w:sz w:val="20"/>
                <w:szCs w:val="20"/>
                <w:lang w:val="en-GB"/>
              </w:rPr>
              <w:t>420.5</w:t>
            </w:r>
          </w:p>
        </w:tc>
        <w:tc>
          <w:tcPr>
            <w:tcW w:w="775" w:type="pct"/>
          </w:tcPr>
          <w:p w14:paraId="5D535C8E" w14:textId="77777777" w:rsidR="00AB6753" w:rsidRDefault="00AB6753" w:rsidP="002D1EA4">
            <w:pPr>
              <w:spacing w:before="40" w:after="40"/>
              <w:jc w:val="right"/>
              <w:rPr>
                <w:rFonts w:eastAsia="Cambria"/>
                <w:spacing w:val="4"/>
                <w:sz w:val="20"/>
                <w:szCs w:val="20"/>
                <w:lang w:val="en-GB"/>
              </w:rPr>
            </w:pPr>
            <w:r w:rsidRPr="00E6137C">
              <w:rPr>
                <w:rFonts w:eastAsia="Cambria"/>
                <w:spacing w:val="4"/>
                <w:sz w:val="20"/>
                <w:szCs w:val="20"/>
                <w:lang w:val="en-GB"/>
              </w:rPr>
              <w:t xml:space="preserve"> (8.6)</w:t>
            </w:r>
          </w:p>
        </w:tc>
      </w:tr>
      <w:tr w:rsidR="00AB6753" w14:paraId="05C5B71E" w14:textId="77777777" w:rsidTr="002D1EA4">
        <w:trPr>
          <w:trHeight w:val="317"/>
        </w:trPr>
        <w:tc>
          <w:tcPr>
            <w:tcW w:w="2675" w:type="pct"/>
            <w:hideMark/>
          </w:tcPr>
          <w:p w14:paraId="01770A58" w14:textId="77777777" w:rsidR="00AB6753" w:rsidRDefault="00AB6753" w:rsidP="002D1EA4">
            <w:pPr>
              <w:spacing w:before="40" w:after="40"/>
              <w:rPr>
                <w:rFonts w:eastAsia="Times New Roman" w:cs="Arial"/>
                <w:spacing w:val="4"/>
                <w:sz w:val="20"/>
                <w:szCs w:val="20"/>
                <w:lang w:val="en-GB"/>
              </w:rPr>
            </w:pPr>
            <w:r>
              <w:rPr>
                <w:rFonts w:eastAsia="Times New Roman" w:cs="Arial"/>
                <w:spacing w:val="4"/>
                <w:sz w:val="20"/>
                <w:szCs w:val="20"/>
                <w:lang w:val="en-GB"/>
              </w:rPr>
              <w:t>Other revenue</w:t>
            </w:r>
          </w:p>
        </w:tc>
        <w:tc>
          <w:tcPr>
            <w:tcW w:w="775" w:type="pct"/>
          </w:tcPr>
          <w:p w14:paraId="4ED48CDD" w14:textId="77777777" w:rsidR="00AB6753" w:rsidRDefault="00AB6753" w:rsidP="002D1EA4">
            <w:pPr>
              <w:spacing w:before="40" w:after="40"/>
              <w:jc w:val="right"/>
              <w:rPr>
                <w:rFonts w:eastAsia="Cambria" w:cs="Arial"/>
                <w:spacing w:val="4"/>
                <w:sz w:val="20"/>
                <w:szCs w:val="20"/>
                <w:lang w:val="en-GB"/>
              </w:rPr>
            </w:pPr>
            <w:r w:rsidRPr="00E6137C">
              <w:rPr>
                <w:rFonts w:eastAsia="Cambria" w:cs="Arial"/>
                <w:spacing w:val="4"/>
                <w:sz w:val="20"/>
                <w:szCs w:val="20"/>
                <w:lang w:val="en-GB"/>
              </w:rPr>
              <w:t>54.2</w:t>
            </w:r>
          </w:p>
        </w:tc>
        <w:tc>
          <w:tcPr>
            <w:tcW w:w="775" w:type="pct"/>
          </w:tcPr>
          <w:p w14:paraId="4B2CCB49" w14:textId="77777777" w:rsidR="00AB6753" w:rsidRDefault="00AB6753" w:rsidP="002D1EA4">
            <w:pPr>
              <w:spacing w:before="40" w:after="40"/>
              <w:jc w:val="right"/>
              <w:rPr>
                <w:rFonts w:eastAsia="Cambria" w:cs="Arial"/>
                <w:spacing w:val="4"/>
                <w:sz w:val="20"/>
                <w:szCs w:val="20"/>
                <w:lang w:val="en-GB"/>
              </w:rPr>
            </w:pPr>
            <w:r>
              <w:rPr>
                <w:rFonts w:eastAsia="Cambria" w:cs="Arial"/>
                <w:spacing w:val="4"/>
                <w:sz w:val="20"/>
                <w:szCs w:val="20"/>
                <w:lang w:val="en-GB"/>
              </w:rPr>
              <w:t>77.8</w:t>
            </w:r>
          </w:p>
        </w:tc>
        <w:tc>
          <w:tcPr>
            <w:tcW w:w="775" w:type="pct"/>
          </w:tcPr>
          <w:p w14:paraId="107F7C06" w14:textId="77777777" w:rsidR="00AB6753" w:rsidRDefault="00AB6753" w:rsidP="002D1EA4">
            <w:pPr>
              <w:spacing w:before="40" w:after="40"/>
              <w:jc w:val="right"/>
              <w:rPr>
                <w:rFonts w:eastAsia="Cambria" w:cs="Arial"/>
                <w:spacing w:val="4"/>
                <w:sz w:val="20"/>
                <w:szCs w:val="20"/>
                <w:lang w:val="en-GB"/>
              </w:rPr>
            </w:pPr>
            <w:r w:rsidRPr="00E6137C">
              <w:rPr>
                <w:rFonts w:eastAsia="Cambria" w:cs="Arial"/>
                <w:spacing w:val="4"/>
                <w:sz w:val="20"/>
                <w:szCs w:val="20"/>
                <w:lang w:val="en-GB"/>
              </w:rPr>
              <w:t xml:space="preserve"> (23.6)</w:t>
            </w:r>
          </w:p>
        </w:tc>
      </w:tr>
      <w:tr w:rsidR="00AB6753" w14:paraId="004096BE" w14:textId="77777777" w:rsidTr="002D1EA4">
        <w:trPr>
          <w:cnfStyle w:val="000000100000" w:firstRow="0" w:lastRow="0" w:firstColumn="0" w:lastColumn="0" w:oddVBand="0" w:evenVBand="0" w:oddHBand="1" w:evenHBand="0" w:firstRowFirstColumn="0" w:firstRowLastColumn="0" w:lastRowFirstColumn="0" w:lastRowLastColumn="0"/>
          <w:trHeight w:val="317"/>
        </w:trPr>
        <w:tc>
          <w:tcPr>
            <w:tcW w:w="2675" w:type="pct"/>
            <w:shd w:val="clear" w:color="auto" w:fill="BFBFBF" w:themeFill="background1" w:themeFillShade="BF"/>
            <w:hideMark/>
          </w:tcPr>
          <w:p w14:paraId="0D0EB193" w14:textId="77777777" w:rsidR="00AB6753" w:rsidRDefault="00AB6753" w:rsidP="002D1EA4">
            <w:pPr>
              <w:keepNext/>
              <w:keepLines/>
              <w:spacing w:before="40" w:after="40"/>
              <w:rPr>
                <w:rFonts w:eastAsia="Times New Roman" w:cs="Times New Roman"/>
                <w:b/>
                <w:sz w:val="20"/>
                <w:szCs w:val="20"/>
              </w:rPr>
            </w:pPr>
            <w:r>
              <w:rPr>
                <w:rFonts w:eastAsia="Times New Roman" w:cs="Times New Roman"/>
                <w:b/>
                <w:sz w:val="20"/>
                <w:szCs w:val="20"/>
              </w:rPr>
              <w:t>Total income</w:t>
            </w:r>
          </w:p>
        </w:tc>
        <w:tc>
          <w:tcPr>
            <w:tcW w:w="775" w:type="pct"/>
            <w:shd w:val="clear" w:color="auto" w:fill="BFBFBF" w:themeFill="background1" w:themeFillShade="BF"/>
          </w:tcPr>
          <w:p w14:paraId="07BF064F" w14:textId="77777777" w:rsidR="00AB6753" w:rsidRDefault="00AB6753" w:rsidP="002D1EA4">
            <w:pPr>
              <w:keepNext/>
              <w:keepLines/>
              <w:spacing w:before="40" w:after="40"/>
              <w:jc w:val="right"/>
              <w:rPr>
                <w:rFonts w:eastAsia="Times New Roman" w:cs="Times New Roman"/>
                <w:b/>
                <w:sz w:val="20"/>
                <w:szCs w:val="20"/>
              </w:rPr>
            </w:pPr>
            <w:r w:rsidRPr="00E6137C">
              <w:rPr>
                <w:rFonts w:eastAsia="Cambria"/>
                <w:b/>
                <w:spacing w:val="4"/>
                <w:sz w:val="20"/>
                <w:szCs w:val="20"/>
                <w:lang w:val="en-GB"/>
              </w:rPr>
              <w:t>466.1</w:t>
            </w:r>
          </w:p>
        </w:tc>
        <w:tc>
          <w:tcPr>
            <w:tcW w:w="775" w:type="pct"/>
            <w:shd w:val="clear" w:color="auto" w:fill="BFBFBF" w:themeFill="background1" w:themeFillShade="BF"/>
          </w:tcPr>
          <w:p w14:paraId="4661B720" w14:textId="77777777" w:rsidR="00AB6753" w:rsidRDefault="00AB6753" w:rsidP="002D1EA4">
            <w:pPr>
              <w:keepNext/>
              <w:keepLines/>
              <w:spacing w:before="40" w:after="40"/>
              <w:jc w:val="right"/>
              <w:rPr>
                <w:rFonts w:eastAsia="Times New Roman" w:cs="Times New Roman"/>
                <w:b/>
                <w:sz w:val="20"/>
                <w:szCs w:val="20"/>
              </w:rPr>
            </w:pPr>
            <w:r>
              <w:rPr>
                <w:rFonts w:eastAsia="Times New Roman" w:cs="Times New Roman"/>
                <w:b/>
                <w:sz w:val="20"/>
                <w:szCs w:val="20"/>
              </w:rPr>
              <w:t>498.3</w:t>
            </w:r>
          </w:p>
        </w:tc>
        <w:tc>
          <w:tcPr>
            <w:tcW w:w="775" w:type="pct"/>
            <w:shd w:val="clear" w:color="auto" w:fill="BFBFBF" w:themeFill="background1" w:themeFillShade="BF"/>
          </w:tcPr>
          <w:p w14:paraId="2DBB29D5" w14:textId="77777777" w:rsidR="00AB6753" w:rsidRDefault="00AB6753" w:rsidP="002D1EA4">
            <w:pPr>
              <w:keepNext/>
              <w:keepLines/>
              <w:spacing w:before="40" w:after="40"/>
              <w:jc w:val="right"/>
              <w:rPr>
                <w:rFonts w:eastAsia="Times New Roman" w:cs="Times New Roman"/>
                <w:b/>
                <w:sz w:val="20"/>
                <w:szCs w:val="20"/>
              </w:rPr>
            </w:pPr>
            <w:r w:rsidRPr="00E6137C">
              <w:rPr>
                <w:rFonts w:eastAsia="Cambria"/>
                <w:spacing w:val="4"/>
                <w:sz w:val="20"/>
                <w:szCs w:val="20"/>
                <w:lang w:val="en-GB"/>
              </w:rPr>
              <w:t xml:space="preserve"> </w:t>
            </w:r>
            <w:r w:rsidRPr="00E6137C">
              <w:rPr>
                <w:rFonts w:eastAsia="Cambria"/>
                <w:b/>
                <w:spacing w:val="4"/>
                <w:sz w:val="20"/>
                <w:szCs w:val="20"/>
                <w:lang w:val="en-GB"/>
              </w:rPr>
              <w:t>(32.2)</w:t>
            </w:r>
          </w:p>
        </w:tc>
      </w:tr>
      <w:tr w:rsidR="00AB6753" w14:paraId="2D3E2242" w14:textId="77777777" w:rsidTr="002D1EA4">
        <w:trPr>
          <w:trHeight w:val="317"/>
        </w:trPr>
        <w:tc>
          <w:tcPr>
            <w:tcW w:w="2675" w:type="pct"/>
            <w:hideMark/>
          </w:tcPr>
          <w:p w14:paraId="48E399A4" w14:textId="77777777" w:rsidR="00AB6753" w:rsidRDefault="00AB6753" w:rsidP="002D1EA4">
            <w:pPr>
              <w:spacing w:before="40" w:after="40"/>
              <w:rPr>
                <w:rFonts w:eastAsia="Times New Roman" w:cs="Arial"/>
                <w:spacing w:val="4"/>
                <w:sz w:val="20"/>
                <w:szCs w:val="20"/>
                <w:lang w:val="en-GB"/>
              </w:rPr>
            </w:pPr>
            <w:r>
              <w:rPr>
                <w:rFonts w:eastAsia="Times New Roman" w:cs="Arial"/>
                <w:spacing w:val="4"/>
                <w:sz w:val="20"/>
                <w:szCs w:val="20"/>
                <w:lang w:val="en-GB"/>
              </w:rPr>
              <w:t>Employee benefits</w:t>
            </w:r>
          </w:p>
        </w:tc>
        <w:tc>
          <w:tcPr>
            <w:tcW w:w="775" w:type="pct"/>
          </w:tcPr>
          <w:p w14:paraId="5E89FF45" w14:textId="77777777" w:rsidR="00AB6753" w:rsidRDefault="00AB6753" w:rsidP="002D1EA4">
            <w:pPr>
              <w:spacing w:before="40" w:after="40"/>
              <w:jc w:val="right"/>
              <w:rPr>
                <w:rFonts w:eastAsia="Cambria" w:cs="Arial"/>
                <w:spacing w:val="4"/>
                <w:sz w:val="20"/>
                <w:szCs w:val="20"/>
                <w:lang w:val="en-GB"/>
              </w:rPr>
            </w:pPr>
            <w:r w:rsidRPr="00E6137C">
              <w:rPr>
                <w:rFonts w:eastAsia="Cambria" w:cs="Arial"/>
                <w:spacing w:val="4"/>
                <w:sz w:val="20"/>
                <w:szCs w:val="20"/>
                <w:lang w:val="en-GB"/>
              </w:rPr>
              <w:t>288.5</w:t>
            </w:r>
          </w:p>
        </w:tc>
        <w:tc>
          <w:tcPr>
            <w:tcW w:w="775" w:type="pct"/>
          </w:tcPr>
          <w:p w14:paraId="6F12E85C" w14:textId="77777777" w:rsidR="00AB6753" w:rsidRDefault="00AB6753" w:rsidP="002D1EA4">
            <w:pPr>
              <w:spacing w:before="40" w:after="40"/>
              <w:jc w:val="right"/>
              <w:rPr>
                <w:rFonts w:eastAsia="Cambria" w:cs="Arial"/>
                <w:spacing w:val="4"/>
                <w:sz w:val="20"/>
                <w:szCs w:val="20"/>
                <w:lang w:val="en-GB"/>
              </w:rPr>
            </w:pPr>
            <w:r>
              <w:rPr>
                <w:rFonts w:eastAsia="Cambria" w:cs="Arial"/>
                <w:spacing w:val="4"/>
                <w:sz w:val="20"/>
                <w:szCs w:val="20"/>
                <w:lang w:val="en-GB"/>
              </w:rPr>
              <w:t>287.8</w:t>
            </w:r>
          </w:p>
        </w:tc>
        <w:tc>
          <w:tcPr>
            <w:tcW w:w="775" w:type="pct"/>
          </w:tcPr>
          <w:p w14:paraId="4368F9A6" w14:textId="77777777" w:rsidR="00AB6753" w:rsidRDefault="00AB6753" w:rsidP="002D1EA4">
            <w:pPr>
              <w:spacing w:before="40" w:after="40"/>
              <w:jc w:val="right"/>
              <w:rPr>
                <w:rFonts w:eastAsia="Cambria" w:cs="Arial"/>
                <w:spacing w:val="4"/>
                <w:sz w:val="20"/>
                <w:szCs w:val="20"/>
                <w:lang w:val="en-GB"/>
              </w:rPr>
            </w:pPr>
            <w:r w:rsidRPr="00E6137C">
              <w:rPr>
                <w:rFonts w:eastAsia="Cambria" w:cs="Arial"/>
                <w:spacing w:val="4"/>
                <w:sz w:val="20"/>
                <w:szCs w:val="20"/>
                <w:lang w:val="en-GB"/>
              </w:rPr>
              <w:t xml:space="preserve"> 0.7 </w:t>
            </w:r>
          </w:p>
        </w:tc>
      </w:tr>
      <w:tr w:rsidR="00AB6753" w14:paraId="35FDD25A" w14:textId="77777777" w:rsidTr="002D1EA4">
        <w:trPr>
          <w:cnfStyle w:val="000000100000" w:firstRow="0" w:lastRow="0" w:firstColumn="0" w:lastColumn="0" w:oddVBand="0" w:evenVBand="0" w:oddHBand="1" w:evenHBand="0" w:firstRowFirstColumn="0" w:firstRowLastColumn="0" w:lastRowFirstColumn="0" w:lastRowLastColumn="0"/>
          <w:trHeight w:val="317"/>
        </w:trPr>
        <w:tc>
          <w:tcPr>
            <w:tcW w:w="2675" w:type="pct"/>
            <w:hideMark/>
          </w:tcPr>
          <w:p w14:paraId="43B5065B" w14:textId="77777777" w:rsidR="00AB6753" w:rsidRDefault="00AB6753" w:rsidP="002D1EA4">
            <w:pPr>
              <w:spacing w:before="40" w:after="40"/>
              <w:rPr>
                <w:rFonts w:eastAsia="Times New Roman"/>
                <w:spacing w:val="4"/>
                <w:sz w:val="20"/>
                <w:szCs w:val="20"/>
                <w:lang w:val="en-GB"/>
              </w:rPr>
            </w:pPr>
            <w:r>
              <w:rPr>
                <w:rFonts w:eastAsia="Times New Roman"/>
                <w:spacing w:val="4"/>
                <w:sz w:val="20"/>
                <w:szCs w:val="20"/>
                <w:lang w:val="en-GB"/>
              </w:rPr>
              <w:t>Suppliers</w:t>
            </w:r>
          </w:p>
        </w:tc>
        <w:tc>
          <w:tcPr>
            <w:tcW w:w="775" w:type="pct"/>
          </w:tcPr>
          <w:p w14:paraId="12C1BCBC" w14:textId="77777777" w:rsidR="00AB6753" w:rsidRDefault="00AB6753" w:rsidP="002D1EA4">
            <w:pPr>
              <w:spacing w:before="40" w:after="40"/>
              <w:jc w:val="right"/>
              <w:rPr>
                <w:rFonts w:eastAsia="Cambria"/>
                <w:spacing w:val="4"/>
                <w:sz w:val="20"/>
                <w:szCs w:val="20"/>
                <w:lang w:val="en-GB"/>
              </w:rPr>
            </w:pPr>
            <w:r w:rsidRPr="00E6137C">
              <w:rPr>
                <w:rFonts w:eastAsia="Cambria"/>
                <w:spacing w:val="4"/>
                <w:sz w:val="20"/>
                <w:szCs w:val="20"/>
                <w:lang w:val="en-GB"/>
              </w:rPr>
              <w:t>146.3</w:t>
            </w:r>
          </w:p>
        </w:tc>
        <w:tc>
          <w:tcPr>
            <w:tcW w:w="775" w:type="pct"/>
          </w:tcPr>
          <w:p w14:paraId="2D722C73" w14:textId="77777777" w:rsidR="00AB6753" w:rsidRDefault="00AB6753" w:rsidP="002D1EA4">
            <w:pPr>
              <w:spacing w:before="40" w:after="40"/>
              <w:jc w:val="right"/>
              <w:rPr>
                <w:rFonts w:eastAsia="Cambria"/>
                <w:spacing w:val="4"/>
                <w:sz w:val="20"/>
                <w:szCs w:val="20"/>
                <w:lang w:val="en-GB"/>
              </w:rPr>
            </w:pPr>
            <w:r>
              <w:rPr>
                <w:rFonts w:eastAsia="Cambria"/>
                <w:spacing w:val="4"/>
                <w:sz w:val="20"/>
                <w:szCs w:val="20"/>
                <w:lang w:val="en-GB"/>
              </w:rPr>
              <w:t>188.4</w:t>
            </w:r>
          </w:p>
        </w:tc>
        <w:tc>
          <w:tcPr>
            <w:tcW w:w="775" w:type="pct"/>
          </w:tcPr>
          <w:p w14:paraId="101FFB71" w14:textId="77777777" w:rsidR="00AB6753" w:rsidRDefault="00AB6753" w:rsidP="002D1EA4">
            <w:pPr>
              <w:spacing w:before="40" w:after="40"/>
              <w:jc w:val="right"/>
              <w:rPr>
                <w:rFonts w:eastAsia="Cambria"/>
                <w:spacing w:val="4"/>
                <w:sz w:val="20"/>
                <w:szCs w:val="20"/>
                <w:lang w:val="en-GB"/>
              </w:rPr>
            </w:pPr>
            <w:r w:rsidRPr="00E6137C">
              <w:rPr>
                <w:rFonts w:eastAsia="Cambria"/>
                <w:spacing w:val="4"/>
                <w:sz w:val="20"/>
                <w:szCs w:val="20"/>
                <w:lang w:val="en-GB"/>
              </w:rPr>
              <w:t xml:space="preserve"> (42.1)</w:t>
            </w:r>
          </w:p>
        </w:tc>
      </w:tr>
      <w:tr w:rsidR="00AB6753" w14:paraId="0C5CF2F6" w14:textId="77777777" w:rsidTr="002D1EA4">
        <w:trPr>
          <w:trHeight w:val="317"/>
        </w:trPr>
        <w:tc>
          <w:tcPr>
            <w:tcW w:w="2675" w:type="pct"/>
            <w:hideMark/>
          </w:tcPr>
          <w:p w14:paraId="657B984A" w14:textId="77777777" w:rsidR="00AB6753" w:rsidRDefault="00AB6753" w:rsidP="002D1EA4">
            <w:pPr>
              <w:spacing w:before="40" w:after="40"/>
              <w:rPr>
                <w:rFonts w:eastAsia="Times New Roman" w:cs="Arial"/>
                <w:spacing w:val="4"/>
                <w:sz w:val="20"/>
                <w:szCs w:val="20"/>
                <w:lang w:val="en-GB"/>
              </w:rPr>
            </w:pPr>
            <w:r>
              <w:rPr>
                <w:rFonts w:eastAsia="Times New Roman" w:cs="Arial"/>
                <w:spacing w:val="4"/>
                <w:sz w:val="20"/>
                <w:szCs w:val="20"/>
                <w:lang w:val="en-GB"/>
              </w:rPr>
              <w:t>Other expenses</w:t>
            </w:r>
          </w:p>
        </w:tc>
        <w:tc>
          <w:tcPr>
            <w:tcW w:w="775" w:type="pct"/>
          </w:tcPr>
          <w:p w14:paraId="518E47AB" w14:textId="77777777" w:rsidR="00AB6753" w:rsidRDefault="00AB6753" w:rsidP="002D1EA4">
            <w:pPr>
              <w:spacing w:before="40" w:after="40"/>
              <w:jc w:val="right"/>
              <w:rPr>
                <w:rFonts w:eastAsia="Cambria" w:cs="Arial"/>
                <w:spacing w:val="4"/>
                <w:sz w:val="20"/>
                <w:szCs w:val="20"/>
                <w:lang w:val="en-GB"/>
              </w:rPr>
            </w:pPr>
            <w:r w:rsidRPr="00E6137C">
              <w:rPr>
                <w:rFonts w:eastAsia="Cambria" w:cs="Arial"/>
                <w:spacing w:val="4"/>
                <w:sz w:val="20"/>
                <w:szCs w:val="20"/>
                <w:lang w:val="en-GB"/>
              </w:rPr>
              <w:t>88.0</w:t>
            </w:r>
          </w:p>
        </w:tc>
        <w:tc>
          <w:tcPr>
            <w:tcW w:w="775" w:type="pct"/>
          </w:tcPr>
          <w:p w14:paraId="5A603D77" w14:textId="77777777" w:rsidR="00AB6753" w:rsidRDefault="00AB6753" w:rsidP="002D1EA4">
            <w:pPr>
              <w:spacing w:before="40" w:after="40"/>
              <w:jc w:val="right"/>
              <w:rPr>
                <w:rFonts w:eastAsia="Cambria" w:cs="Arial"/>
                <w:spacing w:val="4"/>
                <w:sz w:val="20"/>
                <w:szCs w:val="20"/>
                <w:lang w:val="en-GB"/>
              </w:rPr>
            </w:pPr>
            <w:r>
              <w:rPr>
                <w:rFonts w:eastAsia="Cambria" w:cs="Arial"/>
                <w:spacing w:val="4"/>
                <w:sz w:val="20"/>
                <w:szCs w:val="20"/>
                <w:lang w:val="en-GB"/>
              </w:rPr>
              <w:t>98.2</w:t>
            </w:r>
          </w:p>
        </w:tc>
        <w:tc>
          <w:tcPr>
            <w:tcW w:w="775" w:type="pct"/>
          </w:tcPr>
          <w:p w14:paraId="3922EFF9" w14:textId="77777777" w:rsidR="00AB6753" w:rsidRDefault="00AB6753" w:rsidP="002D1EA4">
            <w:pPr>
              <w:spacing w:before="40" w:after="40"/>
              <w:jc w:val="right"/>
              <w:rPr>
                <w:rFonts w:eastAsia="Cambria" w:cs="Arial"/>
                <w:spacing w:val="4"/>
                <w:sz w:val="20"/>
                <w:szCs w:val="20"/>
                <w:lang w:val="en-GB"/>
              </w:rPr>
            </w:pPr>
            <w:r w:rsidRPr="00E6137C">
              <w:rPr>
                <w:rFonts w:eastAsia="Cambria" w:cs="Arial"/>
                <w:spacing w:val="4"/>
                <w:sz w:val="20"/>
                <w:szCs w:val="20"/>
                <w:lang w:val="en-GB"/>
              </w:rPr>
              <w:t xml:space="preserve"> (10.2)</w:t>
            </w:r>
          </w:p>
        </w:tc>
      </w:tr>
      <w:tr w:rsidR="00AB6753" w14:paraId="07FE3347" w14:textId="77777777" w:rsidTr="002D1EA4">
        <w:trPr>
          <w:cnfStyle w:val="000000100000" w:firstRow="0" w:lastRow="0" w:firstColumn="0" w:lastColumn="0" w:oddVBand="0" w:evenVBand="0" w:oddHBand="1" w:evenHBand="0" w:firstRowFirstColumn="0" w:firstRowLastColumn="0" w:lastRowFirstColumn="0" w:lastRowLastColumn="0"/>
          <w:trHeight w:val="317"/>
        </w:trPr>
        <w:tc>
          <w:tcPr>
            <w:tcW w:w="2675" w:type="pct"/>
            <w:shd w:val="clear" w:color="auto" w:fill="BFBFBF" w:themeFill="background1" w:themeFillShade="BF"/>
            <w:hideMark/>
          </w:tcPr>
          <w:p w14:paraId="64E17020" w14:textId="77777777" w:rsidR="00AB6753" w:rsidRDefault="00AB6753" w:rsidP="002D1EA4">
            <w:pPr>
              <w:spacing w:before="40" w:after="40"/>
              <w:rPr>
                <w:rFonts w:eastAsia="Times New Roman"/>
                <w:b/>
                <w:spacing w:val="4"/>
                <w:sz w:val="20"/>
                <w:szCs w:val="20"/>
                <w:lang w:val="en-GB"/>
              </w:rPr>
            </w:pPr>
            <w:r>
              <w:rPr>
                <w:rFonts w:eastAsia="Times New Roman"/>
                <w:b/>
                <w:spacing w:val="4"/>
                <w:sz w:val="20"/>
                <w:szCs w:val="20"/>
                <w:lang w:val="en-GB"/>
              </w:rPr>
              <w:t>Total expenses</w:t>
            </w:r>
          </w:p>
        </w:tc>
        <w:tc>
          <w:tcPr>
            <w:tcW w:w="775" w:type="pct"/>
            <w:shd w:val="clear" w:color="auto" w:fill="BFBFBF" w:themeFill="background1" w:themeFillShade="BF"/>
          </w:tcPr>
          <w:p w14:paraId="379774A3" w14:textId="77777777" w:rsidR="00AB6753" w:rsidRDefault="00AB6753" w:rsidP="002D1EA4">
            <w:pPr>
              <w:keepNext/>
              <w:keepLines/>
              <w:spacing w:before="40" w:after="40"/>
              <w:jc w:val="right"/>
              <w:rPr>
                <w:rFonts w:eastAsia="Times New Roman" w:cs="Times New Roman"/>
                <w:b/>
                <w:sz w:val="20"/>
                <w:szCs w:val="20"/>
              </w:rPr>
            </w:pPr>
            <w:r w:rsidRPr="00E6137C">
              <w:rPr>
                <w:rFonts w:eastAsia="Cambria"/>
                <w:b/>
                <w:spacing w:val="4"/>
                <w:sz w:val="20"/>
                <w:szCs w:val="20"/>
                <w:lang w:val="en-GB"/>
              </w:rPr>
              <w:t>522.8</w:t>
            </w:r>
          </w:p>
        </w:tc>
        <w:tc>
          <w:tcPr>
            <w:tcW w:w="775" w:type="pct"/>
            <w:shd w:val="clear" w:color="auto" w:fill="BFBFBF" w:themeFill="background1" w:themeFillShade="BF"/>
          </w:tcPr>
          <w:p w14:paraId="4862521A" w14:textId="77777777" w:rsidR="00AB6753" w:rsidRDefault="00AB6753" w:rsidP="002D1EA4">
            <w:pPr>
              <w:keepNext/>
              <w:keepLines/>
              <w:spacing w:before="40" w:after="40"/>
              <w:jc w:val="right"/>
              <w:rPr>
                <w:rFonts w:eastAsia="Times New Roman" w:cs="Times New Roman"/>
                <w:b/>
                <w:sz w:val="20"/>
                <w:szCs w:val="20"/>
              </w:rPr>
            </w:pPr>
            <w:r>
              <w:rPr>
                <w:rFonts w:eastAsia="Times New Roman" w:cs="Times New Roman"/>
                <w:b/>
                <w:sz w:val="20"/>
                <w:szCs w:val="20"/>
              </w:rPr>
              <w:t>574.4</w:t>
            </w:r>
          </w:p>
        </w:tc>
        <w:tc>
          <w:tcPr>
            <w:tcW w:w="775" w:type="pct"/>
            <w:shd w:val="clear" w:color="auto" w:fill="BFBFBF" w:themeFill="background1" w:themeFillShade="BF"/>
          </w:tcPr>
          <w:p w14:paraId="7EF494D2" w14:textId="77777777" w:rsidR="00AB6753" w:rsidRDefault="00AB6753" w:rsidP="002D1EA4">
            <w:pPr>
              <w:keepNext/>
              <w:keepLines/>
              <w:spacing w:before="40" w:after="40"/>
              <w:jc w:val="right"/>
              <w:rPr>
                <w:rFonts w:eastAsia="Times New Roman" w:cs="Times New Roman"/>
                <w:b/>
                <w:sz w:val="20"/>
                <w:szCs w:val="20"/>
              </w:rPr>
            </w:pPr>
            <w:r w:rsidRPr="00E6137C">
              <w:rPr>
                <w:rFonts w:eastAsia="Cambria"/>
                <w:b/>
                <w:spacing w:val="4"/>
                <w:sz w:val="20"/>
                <w:szCs w:val="20"/>
                <w:lang w:val="en-GB"/>
              </w:rPr>
              <w:t xml:space="preserve"> (51.6)</w:t>
            </w:r>
          </w:p>
        </w:tc>
      </w:tr>
      <w:tr w:rsidR="00AB6753" w14:paraId="4AAB3808" w14:textId="77777777" w:rsidTr="002D1EA4">
        <w:tc>
          <w:tcPr>
            <w:tcW w:w="2675" w:type="pct"/>
            <w:shd w:val="clear" w:color="auto" w:fill="BFBFBF" w:themeFill="background1" w:themeFillShade="BF"/>
            <w:hideMark/>
          </w:tcPr>
          <w:p w14:paraId="3E01EF5A" w14:textId="77777777" w:rsidR="00AB6753" w:rsidRDefault="00AB6753" w:rsidP="002D1EA4">
            <w:pPr>
              <w:keepNext/>
              <w:keepLines/>
              <w:spacing w:before="40" w:after="40"/>
              <w:rPr>
                <w:rFonts w:eastAsia="Times New Roman" w:cs="Times New Roman"/>
                <w:b/>
                <w:sz w:val="20"/>
                <w:szCs w:val="20"/>
              </w:rPr>
            </w:pPr>
            <w:r>
              <w:rPr>
                <w:rFonts w:eastAsia="Times New Roman" w:cs="Times New Roman"/>
                <w:b/>
                <w:sz w:val="20"/>
                <w:szCs w:val="20"/>
              </w:rPr>
              <w:t>Deficit attributed to the Australian Government</w:t>
            </w:r>
          </w:p>
        </w:tc>
        <w:tc>
          <w:tcPr>
            <w:tcW w:w="775" w:type="pct"/>
            <w:shd w:val="clear" w:color="auto" w:fill="BFBFBF" w:themeFill="background1" w:themeFillShade="BF"/>
          </w:tcPr>
          <w:p w14:paraId="6B483140" w14:textId="77777777" w:rsidR="00AB6753" w:rsidRDefault="00AB6753" w:rsidP="002D1EA4">
            <w:pPr>
              <w:keepNext/>
              <w:keepLines/>
              <w:spacing w:before="40" w:after="40"/>
              <w:jc w:val="right"/>
              <w:rPr>
                <w:rFonts w:eastAsia="Times New Roman" w:cs="Times New Roman"/>
                <w:b/>
                <w:sz w:val="20"/>
                <w:szCs w:val="20"/>
              </w:rPr>
            </w:pPr>
            <w:r w:rsidRPr="00E6137C">
              <w:rPr>
                <w:rFonts w:eastAsia="Cambria" w:cs="Arial"/>
                <w:b/>
                <w:spacing w:val="4"/>
                <w:sz w:val="20"/>
                <w:szCs w:val="20"/>
                <w:lang w:val="en-GB"/>
              </w:rPr>
              <w:t>(56.7)</w:t>
            </w:r>
          </w:p>
        </w:tc>
        <w:tc>
          <w:tcPr>
            <w:tcW w:w="775" w:type="pct"/>
            <w:shd w:val="clear" w:color="auto" w:fill="BFBFBF" w:themeFill="background1" w:themeFillShade="BF"/>
          </w:tcPr>
          <w:p w14:paraId="4B96511F" w14:textId="77777777" w:rsidR="00AB6753" w:rsidRDefault="00AB6753" w:rsidP="002D1EA4">
            <w:pPr>
              <w:keepNext/>
              <w:keepLines/>
              <w:spacing w:before="40" w:after="40"/>
              <w:jc w:val="right"/>
              <w:rPr>
                <w:rFonts w:eastAsia="Times New Roman" w:cs="Times New Roman"/>
                <w:b/>
                <w:sz w:val="20"/>
                <w:szCs w:val="20"/>
              </w:rPr>
            </w:pPr>
            <w:r>
              <w:rPr>
                <w:rFonts w:eastAsia="Times New Roman" w:cs="Times New Roman"/>
                <w:b/>
                <w:sz w:val="20"/>
                <w:szCs w:val="20"/>
              </w:rPr>
              <w:t>(76.1)</w:t>
            </w:r>
          </w:p>
        </w:tc>
        <w:tc>
          <w:tcPr>
            <w:tcW w:w="775" w:type="pct"/>
            <w:shd w:val="clear" w:color="auto" w:fill="BFBFBF" w:themeFill="background1" w:themeFillShade="BF"/>
          </w:tcPr>
          <w:p w14:paraId="60B2E940" w14:textId="77777777" w:rsidR="00AB6753" w:rsidRDefault="00AB6753" w:rsidP="002D1EA4">
            <w:pPr>
              <w:keepNext/>
              <w:keepLines/>
              <w:spacing w:before="40" w:after="40"/>
              <w:jc w:val="right"/>
              <w:rPr>
                <w:rFonts w:eastAsia="Times New Roman" w:cs="Times New Roman"/>
                <w:b/>
                <w:sz w:val="20"/>
                <w:szCs w:val="20"/>
              </w:rPr>
            </w:pPr>
            <w:r w:rsidRPr="00E6137C">
              <w:rPr>
                <w:rFonts w:eastAsia="Cambria" w:cs="Arial"/>
                <w:b/>
                <w:spacing w:val="4"/>
                <w:sz w:val="20"/>
                <w:szCs w:val="20"/>
                <w:lang w:val="en-GB"/>
              </w:rPr>
              <w:t xml:space="preserve"> 19.4 </w:t>
            </w:r>
          </w:p>
        </w:tc>
      </w:tr>
      <w:tr w:rsidR="00AB6753" w14:paraId="198EB0EB" w14:textId="77777777" w:rsidTr="002D1EA4">
        <w:trPr>
          <w:cnfStyle w:val="000000100000" w:firstRow="0" w:lastRow="0" w:firstColumn="0" w:lastColumn="0" w:oddVBand="0" w:evenVBand="0" w:oddHBand="1" w:evenHBand="0" w:firstRowFirstColumn="0" w:firstRowLastColumn="0" w:lastRowFirstColumn="0" w:lastRowLastColumn="0"/>
        </w:trPr>
        <w:tc>
          <w:tcPr>
            <w:tcW w:w="2675" w:type="pct"/>
            <w:hideMark/>
          </w:tcPr>
          <w:p w14:paraId="25916772" w14:textId="77777777" w:rsidR="00AB6753" w:rsidRDefault="00AB6753" w:rsidP="002D1EA4">
            <w:pPr>
              <w:spacing w:before="40" w:after="40"/>
              <w:rPr>
                <w:rFonts w:eastAsia="Times New Roman"/>
                <w:spacing w:val="4"/>
                <w:sz w:val="20"/>
                <w:szCs w:val="20"/>
                <w:lang w:val="en-GB"/>
              </w:rPr>
            </w:pPr>
            <w:r>
              <w:rPr>
                <w:rFonts w:eastAsia="Times New Roman"/>
                <w:spacing w:val="4"/>
                <w:sz w:val="20"/>
                <w:szCs w:val="20"/>
                <w:lang w:val="en-GB"/>
              </w:rPr>
              <w:t>Add back non-appropriated depreciation and amortisation expense</w:t>
            </w:r>
          </w:p>
        </w:tc>
        <w:tc>
          <w:tcPr>
            <w:tcW w:w="775" w:type="pct"/>
          </w:tcPr>
          <w:p w14:paraId="563A4067" w14:textId="77777777" w:rsidR="00AB6753" w:rsidRDefault="00AB6753" w:rsidP="002D1EA4">
            <w:pPr>
              <w:spacing w:before="40" w:after="40"/>
              <w:jc w:val="right"/>
              <w:rPr>
                <w:rFonts w:eastAsia="Cambria"/>
                <w:spacing w:val="4"/>
                <w:sz w:val="20"/>
                <w:szCs w:val="20"/>
                <w:lang w:val="en-GB"/>
              </w:rPr>
            </w:pPr>
            <w:r w:rsidRPr="00E6137C">
              <w:rPr>
                <w:rFonts w:eastAsia="Cambria"/>
                <w:spacing w:val="4"/>
                <w:sz w:val="20"/>
                <w:szCs w:val="20"/>
                <w:lang w:val="en-GB"/>
              </w:rPr>
              <w:t>73.2</w:t>
            </w:r>
          </w:p>
        </w:tc>
        <w:tc>
          <w:tcPr>
            <w:tcW w:w="775" w:type="pct"/>
          </w:tcPr>
          <w:p w14:paraId="13C58DE8" w14:textId="77777777" w:rsidR="00AB6753" w:rsidRDefault="00AB6753" w:rsidP="002D1EA4">
            <w:pPr>
              <w:spacing w:before="40" w:after="40"/>
              <w:jc w:val="right"/>
              <w:rPr>
                <w:rFonts w:eastAsia="Cambria"/>
                <w:spacing w:val="4"/>
                <w:sz w:val="20"/>
                <w:szCs w:val="20"/>
                <w:lang w:val="en-GB"/>
              </w:rPr>
            </w:pPr>
            <w:r>
              <w:rPr>
                <w:rFonts w:eastAsia="Cambria"/>
                <w:spacing w:val="4"/>
                <w:sz w:val="20"/>
                <w:szCs w:val="20"/>
                <w:lang w:val="en-GB"/>
              </w:rPr>
              <w:t>95.9</w:t>
            </w:r>
          </w:p>
        </w:tc>
        <w:tc>
          <w:tcPr>
            <w:tcW w:w="775" w:type="pct"/>
          </w:tcPr>
          <w:p w14:paraId="1CE1B2A2" w14:textId="77777777" w:rsidR="00AB6753" w:rsidRDefault="00AB6753" w:rsidP="002D1EA4">
            <w:pPr>
              <w:spacing w:before="40" w:after="40"/>
              <w:jc w:val="right"/>
              <w:rPr>
                <w:rFonts w:eastAsia="Cambria"/>
                <w:spacing w:val="4"/>
                <w:sz w:val="20"/>
                <w:szCs w:val="20"/>
                <w:lang w:val="en-GB"/>
              </w:rPr>
            </w:pPr>
            <w:r w:rsidRPr="00E6137C">
              <w:rPr>
                <w:rFonts w:eastAsia="Cambria"/>
                <w:spacing w:val="4"/>
                <w:sz w:val="20"/>
                <w:szCs w:val="20"/>
                <w:lang w:val="en-GB"/>
              </w:rPr>
              <w:t xml:space="preserve"> (22.7)</w:t>
            </w:r>
          </w:p>
        </w:tc>
      </w:tr>
      <w:tr w:rsidR="00AB6753" w14:paraId="4F4BAF0D" w14:textId="77777777" w:rsidTr="002D1EA4">
        <w:tc>
          <w:tcPr>
            <w:tcW w:w="2675" w:type="pct"/>
          </w:tcPr>
          <w:p w14:paraId="1225E677" w14:textId="77777777" w:rsidR="00AB6753" w:rsidRDefault="00AB6753" w:rsidP="002D1EA4">
            <w:pPr>
              <w:spacing w:before="40" w:after="40"/>
              <w:rPr>
                <w:rFonts w:eastAsia="Times New Roman" w:cs="Arial"/>
                <w:spacing w:val="4"/>
                <w:sz w:val="20"/>
                <w:szCs w:val="20"/>
                <w:lang w:val="en-GB"/>
              </w:rPr>
            </w:pPr>
            <w:r>
              <w:rPr>
                <w:rFonts w:eastAsia="Times New Roman" w:cs="Arial"/>
                <w:spacing w:val="4"/>
                <w:sz w:val="20"/>
                <w:szCs w:val="20"/>
                <w:lang w:val="en-GB"/>
              </w:rPr>
              <w:t>Less principal repayments – leased assets</w:t>
            </w:r>
          </w:p>
        </w:tc>
        <w:tc>
          <w:tcPr>
            <w:tcW w:w="775" w:type="pct"/>
          </w:tcPr>
          <w:p w14:paraId="53071475" w14:textId="77777777" w:rsidR="00AB6753" w:rsidRPr="00AB5C94" w:rsidRDefault="00AB6753" w:rsidP="002D1EA4">
            <w:pPr>
              <w:spacing w:before="40" w:after="40"/>
              <w:jc w:val="right"/>
              <w:rPr>
                <w:rFonts w:eastAsia="Cambria" w:cs="Arial"/>
                <w:spacing w:val="4"/>
                <w:sz w:val="20"/>
                <w:szCs w:val="20"/>
                <w:highlight w:val="yellow"/>
                <w:lang w:val="en-GB"/>
              </w:rPr>
            </w:pPr>
            <w:r>
              <w:rPr>
                <w:rFonts w:eastAsia="Times New Roman" w:cs="Arial"/>
                <w:spacing w:val="4"/>
                <w:sz w:val="20"/>
                <w:szCs w:val="20"/>
                <w:lang w:val="en-GB"/>
              </w:rPr>
              <w:t>(20.8)</w:t>
            </w:r>
          </w:p>
        </w:tc>
        <w:tc>
          <w:tcPr>
            <w:tcW w:w="775" w:type="pct"/>
          </w:tcPr>
          <w:p w14:paraId="51A8B34E" w14:textId="77777777" w:rsidR="00AB6753" w:rsidRDefault="00AB6753" w:rsidP="002D1EA4">
            <w:pPr>
              <w:spacing w:before="40" w:after="40"/>
              <w:jc w:val="right"/>
              <w:rPr>
                <w:rFonts w:eastAsia="Cambria" w:cs="Arial"/>
                <w:spacing w:val="4"/>
                <w:sz w:val="20"/>
                <w:szCs w:val="20"/>
                <w:lang w:val="en-GB"/>
              </w:rPr>
            </w:pPr>
            <w:r>
              <w:rPr>
                <w:rFonts w:eastAsia="Cambria" w:cs="Arial"/>
                <w:spacing w:val="4"/>
                <w:sz w:val="20"/>
                <w:szCs w:val="20"/>
                <w:lang w:val="en-GB"/>
              </w:rPr>
              <w:t>-</w:t>
            </w:r>
          </w:p>
        </w:tc>
        <w:tc>
          <w:tcPr>
            <w:tcW w:w="775" w:type="pct"/>
          </w:tcPr>
          <w:p w14:paraId="4FF39944" w14:textId="77777777" w:rsidR="00AB6753" w:rsidRPr="00AB5C94" w:rsidRDefault="00AB6753" w:rsidP="002D1EA4">
            <w:pPr>
              <w:spacing w:before="40" w:after="40"/>
              <w:jc w:val="right"/>
              <w:rPr>
                <w:rFonts w:eastAsia="Cambria" w:cs="Arial"/>
                <w:spacing w:val="4"/>
                <w:sz w:val="20"/>
                <w:szCs w:val="20"/>
                <w:highlight w:val="yellow"/>
                <w:lang w:val="en-GB"/>
              </w:rPr>
            </w:pPr>
            <w:r>
              <w:rPr>
                <w:rFonts w:eastAsia="Times New Roman" w:cs="Arial"/>
                <w:spacing w:val="4"/>
                <w:sz w:val="20"/>
                <w:szCs w:val="20"/>
                <w:lang w:val="en-GB"/>
              </w:rPr>
              <w:t>(20.8)</w:t>
            </w:r>
          </w:p>
        </w:tc>
      </w:tr>
      <w:tr w:rsidR="00AB6753" w14:paraId="15B2D653" w14:textId="77777777" w:rsidTr="002D1EA4">
        <w:trPr>
          <w:cnfStyle w:val="000000100000" w:firstRow="0" w:lastRow="0" w:firstColumn="0" w:lastColumn="0" w:oddVBand="0" w:evenVBand="0" w:oddHBand="1" w:evenHBand="0" w:firstRowFirstColumn="0" w:firstRowLastColumn="0" w:lastRowFirstColumn="0" w:lastRowLastColumn="0"/>
        </w:trPr>
        <w:tc>
          <w:tcPr>
            <w:tcW w:w="2675" w:type="pct"/>
            <w:shd w:val="clear" w:color="auto" w:fill="BFBFBF" w:themeFill="background1" w:themeFillShade="BF"/>
            <w:hideMark/>
          </w:tcPr>
          <w:p w14:paraId="25876E66" w14:textId="77777777" w:rsidR="00AB6753" w:rsidRDefault="00AB6753" w:rsidP="002D1EA4">
            <w:pPr>
              <w:keepNext/>
              <w:keepLines/>
              <w:spacing w:before="40" w:after="40"/>
              <w:rPr>
                <w:rFonts w:eastAsia="Times New Roman" w:cs="Times New Roman"/>
                <w:b/>
                <w:sz w:val="20"/>
                <w:szCs w:val="20"/>
              </w:rPr>
            </w:pPr>
            <w:r>
              <w:rPr>
                <w:rFonts w:eastAsia="Times New Roman" w:cs="Times New Roman"/>
                <w:b/>
                <w:sz w:val="20"/>
                <w:szCs w:val="20"/>
              </w:rPr>
              <w:t>Surplus attributed to the department</w:t>
            </w:r>
          </w:p>
        </w:tc>
        <w:tc>
          <w:tcPr>
            <w:tcW w:w="775" w:type="pct"/>
            <w:shd w:val="clear" w:color="auto" w:fill="BFBFBF" w:themeFill="background1" w:themeFillShade="BF"/>
          </w:tcPr>
          <w:p w14:paraId="57A30F60" w14:textId="77777777" w:rsidR="00AB6753" w:rsidRDefault="00AB6753" w:rsidP="002D1EA4">
            <w:pPr>
              <w:keepNext/>
              <w:keepLines/>
              <w:spacing w:before="40" w:after="40"/>
              <w:jc w:val="right"/>
              <w:rPr>
                <w:rFonts w:eastAsia="Times New Roman" w:cs="Times New Roman"/>
                <w:b/>
                <w:sz w:val="20"/>
                <w:szCs w:val="20"/>
              </w:rPr>
            </w:pPr>
            <w:r>
              <w:rPr>
                <w:rFonts w:eastAsia="Cambria"/>
                <w:b/>
                <w:spacing w:val="4"/>
                <w:sz w:val="20"/>
                <w:szCs w:val="20"/>
                <w:lang w:val="en-GB"/>
              </w:rPr>
              <w:t>(4.3)</w:t>
            </w:r>
          </w:p>
        </w:tc>
        <w:tc>
          <w:tcPr>
            <w:tcW w:w="775" w:type="pct"/>
            <w:shd w:val="clear" w:color="auto" w:fill="BFBFBF" w:themeFill="background1" w:themeFillShade="BF"/>
          </w:tcPr>
          <w:p w14:paraId="2591CB4A" w14:textId="77777777" w:rsidR="00AB6753" w:rsidRDefault="00AB6753" w:rsidP="002D1EA4">
            <w:pPr>
              <w:keepNext/>
              <w:keepLines/>
              <w:spacing w:before="40" w:after="40"/>
              <w:jc w:val="right"/>
              <w:rPr>
                <w:rFonts w:eastAsia="Times New Roman" w:cs="Times New Roman"/>
                <w:b/>
                <w:sz w:val="20"/>
                <w:szCs w:val="20"/>
              </w:rPr>
            </w:pPr>
            <w:r>
              <w:rPr>
                <w:rFonts w:eastAsia="Times New Roman" w:cs="Times New Roman"/>
                <w:b/>
                <w:sz w:val="20"/>
                <w:szCs w:val="20"/>
              </w:rPr>
              <w:t>19.8</w:t>
            </w:r>
          </w:p>
        </w:tc>
        <w:tc>
          <w:tcPr>
            <w:tcW w:w="775" w:type="pct"/>
            <w:shd w:val="clear" w:color="auto" w:fill="BFBFBF" w:themeFill="background1" w:themeFillShade="BF"/>
          </w:tcPr>
          <w:p w14:paraId="6530A18F" w14:textId="77777777" w:rsidR="00AB6753" w:rsidRDefault="00AB6753" w:rsidP="002D1EA4">
            <w:pPr>
              <w:keepNext/>
              <w:keepLines/>
              <w:spacing w:before="40" w:after="40"/>
              <w:jc w:val="right"/>
              <w:rPr>
                <w:rFonts w:eastAsia="Times New Roman" w:cs="Times New Roman"/>
                <w:b/>
                <w:sz w:val="20"/>
                <w:szCs w:val="20"/>
              </w:rPr>
            </w:pPr>
            <w:r w:rsidRPr="00E6137C">
              <w:rPr>
                <w:rFonts w:eastAsia="Cambria"/>
                <w:spacing w:val="4"/>
                <w:sz w:val="20"/>
                <w:szCs w:val="20"/>
                <w:lang w:val="en-GB"/>
              </w:rPr>
              <w:t xml:space="preserve"> </w:t>
            </w:r>
            <w:r w:rsidRPr="00E6137C">
              <w:rPr>
                <w:rFonts w:eastAsia="Cambria"/>
                <w:b/>
                <w:spacing w:val="4"/>
                <w:sz w:val="20"/>
                <w:szCs w:val="20"/>
                <w:lang w:val="en-GB"/>
              </w:rPr>
              <w:t>(</w:t>
            </w:r>
            <w:r>
              <w:rPr>
                <w:rFonts w:eastAsia="Cambria"/>
                <w:b/>
                <w:spacing w:val="4"/>
                <w:sz w:val="20"/>
                <w:szCs w:val="20"/>
                <w:lang w:val="en-GB"/>
              </w:rPr>
              <w:t>24.1)</w:t>
            </w:r>
          </w:p>
        </w:tc>
      </w:tr>
      <w:tr w:rsidR="00AB6753" w14:paraId="752B63DC" w14:textId="77777777" w:rsidTr="002D1EA4">
        <w:tc>
          <w:tcPr>
            <w:tcW w:w="2675" w:type="pct"/>
            <w:hideMark/>
          </w:tcPr>
          <w:p w14:paraId="08D4ECCC" w14:textId="77777777" w:rsidR="00AB6753" w:rsidRDefault="00AB6753" w:rsidP="002D1EA4">
            <w:pPr>
              <w:tabs>
                <w:tab w:val="right" w:pos="3431"/>
              </w:tabs>
              <w:spacing w:before="40" w:after="40"/>
              <w:rPr>
                <w:rFonts w:eastAsia="Times New Roman" w:cs="Arial"/>
                <w:spacing w:val="4"/>
                <w:sz w:val="20"/>
                <w:szCs w:val="20"/>
                <w:lang w:val="en-GB"/>
              </w:rPr>
            </w:pPr>
            <w:r>
              <w:rPr>
                <w:rFonts w:eastAsia="Times New Roman" w:cs="Arial"/>
                <w:spacing w:val="4"/>
                <w:sz w:val="20"/>
                <w:szCs w:val="20"/>
                <w:lang w:val="en-GB"/>
              </w:rPr>
              <w:t>Financial assets</w:t>
            </w:r>
            <w:r>
              <w:rPr>
                <w:rFonts w:eastAsia="Times New Roman" w:cs="Arial"/>
                <w:spacing w:val="4"/>
                <w:sz w:val="20"/>
                <w:szCs w:val="20"/>
                <w:lang w:val="en-GB"/>
              </w:rPr>
              <w:tab/>
              <w:t>A</w:t>
            </w:r>
          </w:p>
        </w:tc>
        <w:tc>
          <w:tcPr>
            <w:tcW w:w="775" w:type="pct"/>
          </w:tcPr>
          <w:p w14:paraId="6B8CFBE3" w14:textId="77777777" w:rsidR="00AB6753" w:rsidRDefault="00AB6753" w:rsidP="002D1EA4">
            <w:pPr>
              <w:spacing w:before="40" w:after="40"/>
              <w:jc w:val="right"/>
              <w:rPr>
                <w:rFonts w:eastAsia="Cambria" w:cs="Arial"/>
                <w:spacing w:val="4"/>
                <w:sz w:val="20"/>
                <w:szCs w:val="20"/>
                <w:lang w:val="en-GB"/>
              </w:rPr>
            </w:pPr>
            <w:r w:rsidRPr="00E6137C">
              <w:rPr>
                <w:rFonts w:eastAsia="Cambria" w:cs="Arial"/>
                <w:spacing w:val="4"/>
                <w:sz w:val="20"/>
                <w:szCs w:val="20"/>
                <w:lang w:val="en-GB"/>
              </w:rPr>
              <w:t>91.0</w:t>
            </w:r>
          </w:p>
        </w:tc>
        <w:tc>
          <w:tcPr>
            <w:tcW w:w="775" w:type="pct"/>
          </w:tcPr>
          <w:p w14:paraId="1AA832FF" w14:textId="77777777" w:rsidR="00AB6753" w:rsidRDefault="00AB6753" w:rsidP="002D1EA4">
            <w:pPr>
              <w:spacing w:before="40" w:after="40"/>
              <w:jc w:val="right"/>
              <w:rPr>
                <w:rFonts w:eastAsia="Cambria" w:cs="Arial"/>
                <w:spacing w:val="4"/>
                <w:sz w:val="20"/>
                <w:szCs w:val="20"/>
                <w:lang w:val="en-GB"/>
              </w:rPr>
            </w:pPr>
            <w:r>
              <w:rPr>
                <w:rFonts w:eastAsia="Cambria" w:cs="Arial"/>
                <w:spacing w:val="4"/>
                <w:sz w:val="20"/>
                <w:szCs w:val="20"/>
                <w:lang w:val="en-GB"/>
              </w:rPr>
              <w:t>99.5</w:t>
            </w:r>
          </w:p>
        </w:tc>
        <w:tc>
          <w:tcPr>
            <w:tcW w:w="775" w:type="pct"/>
          </w:tcPr>
          <w:p w14:paraId="41B91A1B" w14:textId="77777777" w:rsidR="00AB6753" w:rsidRDefault="00AB6753" w:rsidP="002D1EA4">
            <w:pPr>
              <w:spacing w:before="40" w:after="40"/>
              <w:jc w:val="right"/>
              <w:rPr>
                <w:rFonts w:eastAsia="Cambria" w:cs="Arial"/>
                <w:spacing w:val="4"/>
                <w:sz w:val="20"/>
                <w:szCs w:val="20"/>
                <w:lang w:val="en-GB"/>
              </w:rPr>
            </w:pPr>
            <w:r w:rsidRPr="00E6137C">
              <w:rPr>
                <w:rFonts w:eastAsia="Cambria" w:cs="Arial"/>
                <w:spacing w:val="4"/>
                <w:sz w:val="20"/>
                <w:szCs w:val="20"/>
                <w:lang w:val="en-GB"/>
              </w:rPr>
              <w:t xml:space="preserve"> (8.5)</w:t>
            </w:r>
          </w:p>
        </w:tc>
      </w:tr>
      <w:tr w:rsidR="00AB6753" w14:paraId="0016EBA4" w14:textId="77777777" w:rsidTr="002D1EA4">
        <w:trPr>
          <w:cnfStyle w:val="000000100000" w:firstRow="0" w:lastRow="0" w:firstColumn="0" w:lastColumn="0" w:oddVBand="0" w:evenVBand="0" w:oddHBand="1" w:evenHBand="0" w:firstRowFirstColumn="0" w:firstRowLastColumn="0" w:lastRowFirstColumn="0" w:lastRowLastColumn="0"/>
        </w:trPr>
        <w:tc>
          <w:tcPr>
            <w:tcW w:w="2675" w:type="pct"/>
            <w:hideMark/>
          </w:tcPr>
          <w:p w14:paraId="1CA2D7E6" w14:textId="77777777" w:rsidR="00AB6753" w:rsidRDefault="00AB6753" w:rsidP="002D1EA4">
            <w:pPr>
              <w:tabs>
                <w:tab w:val="right" w:pos="3431"/>
              </w:tabs>
              <w:spacing w:before="40" w:after="40"/>
              <w:rPr>
                <w:rFonts w:eastAsia="Times New Roman"/>
                <w:spacing w:val="4"/>
                <w:sz w:val="20"/>
                <w:szCs w:val="20"/>
                <w:lang w:val="en-GB"/>
              </w:rPr>
            </w:pPr>
            <w:r>
              <w:rPr>
                <w:rFonts w:eastAsia="Times New Roman"/>
                <w:spacing w:val="4"/>
                <w:sz w:val="20"/>
                <w:szCs w:val="20"/>
                <w:lang w:val="en-GB"/>
              </w:rPr>
              <w:t>Non-financial assets</w:t>
            </w:r>
            <w:r>
              <w:rPr>
                <w:rFonts w:eastAsia="Times New Roman"/>
                <w:spacing w:val="4"/>
                <w:sz w:val="20"/>
                <w:szCs w:val="20"/>
                <w:lang w:val="en-GB"/>
              </w:rPr>
              <w:tab/>
              <w:t>B</w:t>
            </w:r>
          </w:p>
        </w:tc>
        <w:tc>
          <w:tcPr>
            <w:tcW w:w="775" w:type="pct"/>
          </w:tcPr>
          <w:p w14:paraId="2E415877" w14:textId="77777777" w:rsidR="00AB6753" w:rsidRDefault="00AB6753" w:rsidP="002D1EA4">
            <w:pPr>
              <w:spacing w:before="40" w:after="40"/>
              <w:jc w:val="right"/>
              <w:rPr>
                <w:rFonts w:eastAsia="Cambria"/>
                <w:spacing w:val="4"/>
                <w:sz w:val="20"/>
                <w:szCs w:val="20"/>
                <w:lang w:val="en-GB"/>
              </w:rPr>
            </w:pPr>
            <w:r w:rsidRPr="00E6137C">
              <w:rPr>
                <w:rFonts w:eastAsia="Cambria"/>
                <w:spacing w:val="4"/>
                <w:sz w:val="20"/>
                <w:szCs w:val="20"/>
                <w:lang w:val="en-GB"/>
              </w:rPr>
              <w:t>583.9</w:t>
            </w:r>
          </w:p>
        </w:tc>
        <w:tc>
          <w:tcPr>
            <w:tcW w:w="775" w:type="pct"/>
          </w:tcPr>
          <w:p w14:paraId="1BEB92C4" w14:textId="77777777" w:rsidR="00AB6753" w:rsidRDefault="00AB6753" w:rsidP="002D1EA4">
            <w:pPr>
              <w:spacing w:before="40" w:after="40"/>
              <w:jc w:val="right"/>
              <w:rPr>
                <w:rFonts w:eastAsia="Cambria"/>
                <w:spacing w:val="4"/>
                <w:sz w:val="20"/>
                <w:szCs w:val="20"/>
                <w:lang w:val="en-GB"/>
              </w:rPr>
            </w:pPr>
            <w:r>
              <w:rPr>
                <w:rFonts w:eastAsia="Cambria"/>
                <w:spacing w:val="4"/>
                <w:sz w:val="20"/>
                <w:szCs w:val="20"/>
                <w:lang w:val="en-GB"/>
              </w:rPr>
              <w:t>229.8</w:t>
            </w:r>
          </w:p>
        </w:tc>
        <w:tc>
          <w:tcPr>
            <w:tcW w:w="775" w:type="pct"/>
          </w:tcPr>
          <w:p w14:paraId="376A3242" w14:textId="77777777" w:rsidR="00AB6753" w:rsidRDefault="00AB6753" w:rsidP="002D1EA4">
            <w:pPr>
              <w:spacing w:before="40" w:after="40"/>
              <w:jc w:val="right"/>
              <w:rPr>
                <w:rFonts w:eastAsia="Cambria"/>
                <w:spacing w:val="4"/>
                <w:sz w:val="20"/>
                <w:szCs w:val="20"/>
                <w:lang w:val="en-GB"/>
              </w:rPr>
            </w:pPr>
            <w:r w:rsidRPr="00E6137C">
              <w:rPr>
                <w:rFonts w:eastAsia="Cambria"/>
                <w:spacing w:val="4"/>
                <w:sz w:val="20"/>
                <w:szCs w:val="20"/>
                <w:lang w:val="en-GB"/>
              </w:rPr>
              <w:t xml:space="preserve"> 354.1 </w:t>
            </w:r>
          </w:p>
        </w:tc>
      </w:tr>
      <w:tr w:rsidR="00AB6753" w14:paraId="53DB8C54" w14:textId="77777777" w:rsidTr="002D1EA4">
        <w:tc>
          <w:tcPr>
            <w:tcW w:w="2675" w:type="pct"/>
            <w:hideMark/>
          </w:tcPr>
          <w:p w14:paraId="0A5AA801" w14:textId="77777777" w:rsidR="00AB6753" w:rsidRDefault="00AB6753" w:rsidP="002D1EA4">
            <w:pPr>
              <w:tabs>
                <w:tab w:val="right" w:pos="3431"/>
              </w:tabs>
              <w:spacing w:before="40" w:after="40"/>
              <w:rPr>
                <w:rFonts w:eastAsia="Times New Roman" w:cs="Arial"/>
                <w:spacing w:val="4"/>
                <w:sz w:val="20"/>
                <w:szCs w:val="20"/>
                <w:lang w:val="en-GB"/>
              </w:rPr>
            </w:pPr>
            <w:r>
              <w:rPr>
                <w:rFonts w:eastAsia="Times New Roman" w:cs="Arial"/>
                <w:spacing w:val="4"/>
                <w:sz w:val="20"/>
                <w:szCs w:val="20"/>
                <w:lang w:val="en-GB"/>
              </w:rPr>
              <w:t>Liabilities</w:t>
            </w:r>
            <w:r>
              <w:rPr>
                <w:rFonts w:eastAsia="Times New Roman" w:cs="Arial"/>
                <w:spacing w:val="4"/>
                <w:sz w:val="20"/>
                <w:szCs w:val="20"/>
                <w:lang w:val="en-GB"/>
              </w:rPr>
              <w:tab/>
              <w:t>C</w:t>
            </w:r>
          </w:p>
        </w:tc>
        <w:tc>
          <w:tcPr>
            <w:tcW w:w="775" w:type="pct"/>
          </w:tcPr>
          <w:p w14:paraId="52EBF565" w14:textId="77777777" w:rsidR="00AB6753" w:rsidRDefault="00AB6753" w:rsidP="002D1EA4">
            <w:pPr>
              <w:spacing w:before="40" w:after="40"/>
              <w:jc w:val="right"/>
              <w:rPr>
                <w:rFonts w:eastAsia="Cambria" w:cs="Arial"/>
                <w:spacing w:val="4"/>
                <w:sz w:val="20"/>
                <w:szCs w:val="20"/>
                <w:lang w:val="en-GB"/>
              </w:rPr>
            </w:pPr>
            <w:r w:rsidRPr="00E6137C">
              <w:rPr>
                <w:rFonts w:eastAsia="Cambria" w:cs="Arial"/>
                <w:spacing w:val="4"/>
                <w:sz w:val="20"/>
                <w:szCs w:val="20"/>
                <w:lang w:val="en-GB"/>
              </w:rPr>
              <w:t>668.5</w:t>
            </w:r>
          </w:p>
        </w:tc>
        <w:tc>
          <w:tcPr>
            <w:tcW w:w="775" w:type="pct"/>
          </w:tcPr>
          <w:p w14:paraId="413212AE" w14:textId="77777777" w:rsidR="00AB6753" w:rsidRDefault="00AB6753" w:rsidP="002D1EA4">
            <w:pPr>
              <w:spacing w:before="40" w:after="40"/>
              <w:jc w:val="right"/>
              <w:rPr>
                <w:rFonts w:eastAsia="Cambria" w:cs="Arial"/>
                <w:spacing w:val="4"/>
                <w:sz w:val="20"/>
                <w:szCs w:val="20"/>
                <w:lang w:val="en-GB"/>
              </w:rPr>
            </w:pPr>
            <w:r>
              <w:rPr>
                <w:rFonts w:eastAsia="Cambria" w:cs="Arial"/>
                <w:spacing w:val="4"/>
                <w:sz w:val="20"/>
                <w:szCs w:val="20"/>
                <w:lang w:val="en-GB"/>
              </w:rPr>
              <w:t>166.2</w:t>
            </w:r>
          </w:p>
        </w:tc>
        <w:tc>
          <w:tcPr>
            <w:tcW w:w="775" w:type="pct"/>
          </w:tcPr>
          <w:p w14:paraId="39036F8F" w14:textId="77777777" w:rsidR="00AB6753" w:rsidRDefault="00AB6753" w:rsidP="002D1EA4">
            <w:pPr>
              <w:spacing w:before="40" w:after="40"/>
              <w:jc w:val="right"/>
              <w:rPr>
                <w:rFonts w:eastAsia="Cambria" w:cs="Arial"/>
                <w:spacing w:val="4"/>
                <w:sz w:val="20"/>
                <w:szCs w:val="20"/>
                <w:lang w:val="en-GB"/>
              </w:rPr>
            </w:pPr>
            <w:r w:rsidRPr="00E6137C">
              <w:rPr>
                <w:rFonts w:eastAsia="Cambria" w:cs="Arial"/>
                <w:spacing w:val="4"/>
                <w:sz w:val="20"/>
                <w:szCs w:val="20"/>
                <w:lang w:val="en-GB"/>
              </w:rPr>
              <w:t xml:space="preserve"> 502.3 </w:t>
            </w:r>
          </w:p>
        </w:tc>
      </w:tr>
      <w:tr w:rsidR="00AB6753" w14:paraId="2F8A2912" w14:textId="77777777" w:rsidTr="002D1EA4">
        <w:trPr>
          <w:cnfStyle w:val="000000100000" w:firstRow="0" w:lastRow="0" w:firstColumn="0" w:lastColumn="0" w:oddVBand="0" w:evenVBand="0" w:oddHBand="1" w:evenHBand="0" w:firstRowFirstColumn="0" w:firstRowLastColumn="0" w:lastRowFirstColumn="0" w:lastRowLastColumn="0"/>
        </w:trPr>
        <w:tc>
          <w:tcPr>
            <w:tcW w:w="2675" w:type="pct"/>
            <w:shd w:val="clear" w:color="auto" w:fill="BFBFBF" w:themeFill="background1" w:themeFillShade="BF"/>
            <w:hideMark/>
          </w:tcPr>
          <w:p w14:paraId="28A34204" w14:textId="77777777" w:rsidR="00AB6753" w:rsidRDefault="00AB6753" w:rsidP="002D1EA4">
            <w:pPr>
              <w:keepNext/>
              <w:keepLines/>
              <w:spacing w:before="40" w:after="40"/>
              <w:rPr>
                <w:rFonts w:eastAsia="Times New Roman" w:cs="Times New Roman"/>
                <w:b/>
                <w:sz w:val="20"/>
                <w:szCs w:val="20"/>
              </w:rPr>
            </w:pPr>
            <w:r>
              <w:rPr>
                <w:rFonts w:eastAsia="Times New Roman" w:cs="Times New Roman"/>
                <w:b/>
                <w:sz w:val="20"/>
                <w:szCs w:val="20"/>
              </w:rPr>
              <w:t>Net assets (A+B-C)</w:t>
            </w:r>
          </w:p>
        </w:tc>
        <w:tc>
          <w:tcPr>
            <w:tcW w:w="775" w:type="pct"/>
            <w:shd w:val="clear" w:color="auto" w:fill="BFBFBF" w:themeFill="background1" w:themeFillShade="BF"/>
          </w:tcPr>
          <w:p w14:paraId="1A286294" w14:textId="77777777" w:rsidR="00AB6753" w:rsidRDefault="00AB6753" w:rsidP="002D1EA4">
            <w:pPr>
              <w:keepNext/>
              <w:keepLines/>
              <w:spacing w:before="40" w:after="40"/>
              <w:jc w:val="right"/>
              <w:rPr>
                <w:rFonts w:eastAsia="Times New Roman" w:cs="Times New Roman"/>
                <w:b/>
                <w:sz w:val="20"/>
                <w:szCs w:val="20"/>
              </w:rPr>
            </w:pPr>
            <w:r w:rsidRPr="00E6137C">
              <w:rPr>
                <w:rFonts w:eastAsia="Cambria"/>
                <w:b/>
                <w:spacing w:val="4"/>
                <w:sz w:val="20"/>
                <w:szCs w:val="20"/>
                <w:lang w:val="en-GB"/>
              </w:rPr>
              <w:t>6.4</w:t>
            </w:r>
          </w:p>
        </w:tc>
        <w:tc>
          <w:tcPr>
            <w:tcW w:w="775" w:type="pct"/>
            <w:shd w:val="clear" w:color="auto" w:fill="BFBFBF" w:themeFill="background1" w:themeFillShade="BF"/>
          </w:tcPr>
          <w:p w14:paraId="1A5A9A6A" w14:textId="77777777" w:rsidR="00AB6753" w:rsidRDefault="00AB6753" w:rsidP="002D1EA4">
            <w:pPr>
              <w:keepNext/>
              <w:keepLines/>
              <w:spacing w:before="40" w:after="40"/>
              <w:jc w:val="right"/>
              <w:rPr>
                <w:rFonts w:eastAsia="Times New Roman" w:cs="Times New Roman"/>
                <w:b/>
                <w:sz w:val="20"/>
                <w:szCs w:val="20"/>
              </w:rPr>
            </w:pPr>
            <w:r>
              <w:rPr>
                <w:rFonts w:eastAsia="Times New Roman" w:cs="Times New Roman"/>
                <w:b/>
                <w:sz w:val="20"/>
                <w:szCs w:val="20"/>
              </w:rPr>
              <w:t>163.1</w:t>
            </w:r>
          </w:p>
        </w:tc>
        <w:tc>
          <w:tcPr>
            <w:tcW w:w="775" w:type="pct"/>
            <w:shd w:val="clear" w:color="auto" w:fill="BFBFBF" w:themeFill="background1" w:themeFillShade="BF"/>
          </w:tcPr>
          <w:p w14:paraId="20E29566" w14:textId="77777777" w:rsidR="00AB6753" w:rsidRDefault="00AB6753" w:rsidP="002D1EA4">
            <w:pPr>
              <w:keepNext/>
              <w:keepLines/>
              <w:spacing w:before="40" w:after="40"/>
              <w:jc w:val="right"/>
              <w:rPr>
                <w:rFonts w:eastAsia="Times New Roman" w:cs="Times New Roman"/>
                <w:b/>
                <w:sz w:val="20"/>
                <w:szCs w:val="20"/>
              </w:rPr>
            </w:pPr>
            <w:r w:rsidRPr="00E6137C">
              <w:rPr>
                <w:rFonts w:eastAsia="Cambria"/>
                <w:spacing w:val="4"/>
                <w:sz w:val="20"/>
                <w:szCs w:val="20"/>
                <w:lang w:val="en-GB"/>
              </w:rPr>
              <w:t xml:space="preserve"> </w:t>
            </w:r>
            <w:r w:rsidRPr="00E6137C">
              <w:rPr>
                <w:rFonts w:eastAsia="Cambria"/>
                <w:b/>
                <w:spacing w:val="4"/>
                <w:sz w:val="20"/>
                <w:szCs w:val="20"/>
                <w:lang w:val="en-GB"/>
              </w:rPr>
              <w:t>(156.7)</w:t>
            </w:r>
          </w:p>
        </w:tc>
      </w:tr>
    </w:tbl>
    <w:p w14:paraId="62566829" w14:textId="77777777" w:rsidR="00AB6753" w:rsidRPr="0067554D" w:rsidRDefault="00AB6753" w:rsidP="00AB6753">
      <w:pPr>
        <w:spacing w:after="0" w:line="240" w:lineRule="auto"/>
        <w:rPr>
          <w:rFonts w:ascii="Arial Narrow" w:eastAsia="Times New Roman" w:hAnsi="Arial Narrow" w:cs="Times New Roman"/>
          <w:b/>
          <w:bCs/>
          <w:sz w:val="20"/>
          <w:szCs w:val="18"/>
        </w:rPr>
      </w:pPr>
    </w:p>
    <w:p w14:paraId="27E6D7D2" w14:textId="77777777" w:rsidR="00AB6753" w:rsidRPr="0067554D" w:rsidRDefault="00AB6753" w:rsidP="00AB6753">
      <w:pPr>
        <w:spacing w:after="0" w:line="240" w:lineRule="auto"/>
        <w:rPr>
          <w:rFonts w:ascii="Arial Narrow" w:eastAsia="Times New Roman" w:hAnsi="Arial Narrow" w:cs="Times New Roman"/>
          <w:b/>
          <w:bCs/>
          <w:sz w:val="20"/>
          <w:szCs w:val="18"/>
        </w:rPr>
      </w:pPr>
    </w:p>
    <w:p w14:paraId="5DF24E7B" w14:textId="77777777" w:rsidR="00AB6753" w:rsidRDefault="00AB6753" w:rsidP="00AB6753">
      <w:pPr>
        <w:rPr>
          <w:rFonts w:ascii="Arial Narrow" w:eastAsia="Times New Roman" w:hAnsi="Arial Narrow" w:cs="Times New Roman"/>
          <w:b/>
          <w:bCs/>
          <w:sz w:val="20"/>
          <w:szCs w:val="18"/>
        </w:rPr>
      </w:pPr>
      <w:r>
        <w:rPr>
          <w:rFonts w:ascii="Arial Narrow" w:eastAsia="Times New Roman" w:hAnsi="Arial Narrow" w:cs="Times New Roman"/>
          <w:b/>
          <w:bCs/>
          <w:sz w:val="20"/>
          <w:szCs w:val="18"/>
        </w:rPr>
        <w:br w:type="page"/>
      </w:r>
    </w:p>
    <w:p w14:paraId="33B9B18E" w14:textId="4699179F" w:rsidR="00AB6753" w:rsidRPr="0067554D" w:rsidRDefault="00AB6753" w:rsidP="00AB6753">
      <w:pPr>
        <w:spacing w:after="0" w:line="240" w:lineRule="auto"/>
        <w:rPr>
          <w:rFonts w:ascii="Arial Narrow" w:eastAsia="Times New Roman" w:hAnsi="Arial Narrow" w:cs="Times New Roman"/>
          <w:b/>
          <w:bCs/>
          <w:sz w:val="20"/>
          <w:szCs w:val="18"/>
        </w:rPr>
      </w:pPr>
      <w:r w:rsidRPr="0067554D">
        <w:rPr>
          <w:rFonts w:ascii="Arial Narrow" w:eastAsia="Times New Roman" w:hAnsi="Arial Narrow" w:cs="Times New Roman"/>
          <w:b/>
          <w:bCs/>
          <w:sz w:val="20"/>
          <w:szCs w:val="18"/>
        </w:rPr>
        <w:lastRenderedPageBreak/>
        <w:t xml:space="preserve">Table </w:t>
      </w:r>
      <w:r>
        <w:rPr>
          <w:rFonts w:ascii="Arial Narrow" w:eastAsia="Times New Roman" w:hAnsi="Arial Narrow" w:cs="Times New Roman"/>
          <w:b/>
          <w:bCs/>
          <w:sz w:val="20"/>
          <w:szCs w:val="18"/>
        </w:rPr>
        <w:t>4</w:t>
      </w:r>
      <w:r w:rsidRPr="0067554D">
        <w:rPr>
          <w:rFonts w:ascii="Arial Narrow" w:eastAsia="Times New Roman" w:hAnsi="Arial Narrow" w:cs="Times New Roman"/>
          <w:b/>
          <w:bCs/>
          <w:sz w:val="20"/>
          <w:szCs w:val="18"/>
        </w:rPr>
        <w:t>.4.2: Trends in administered finances</w:t>
      </w:r>
      <w:bookmarkEnd w:id="44"/>
      <w:bookmarkEnd w:id="45"/>
    </w:p>
    <w:p w14:paraId="75DD6B80" w14:textId="77777777" w:rsidR="00AB6753" w:rsidRPr="0067554D" w:rsidRDefault="00AB6753" w:rsidP="00AB6753">
      <w:pPr>
        <w:spacing w:after="0" w:line="240" w:lineRule="auto"/>
        <w:rPr>
          <w:rFonts w:ascii="Arial Narrow" w:eastAsia="Times New Roman" w:hAnsi="Arial Narrow" w:cs="Times New Roman"/>
          <w:b/>
          <w:bCs/>
          <w:sz w:val="20"/>
          <w:szCs w:val="18"/>
        </w:rPr>
      </w:pPr>
    </w:p>
    <w:tbl>
      <w:tblPr>
        <w:tblStyle w:val="Verticaltable"/>
        <w:tblW w:w="5000" w:type="pct"/>
        <w:tblLayout w:type="fixed"/>
        <w:tblLook w:val="04A0" w:firstRow="1" w:lastRow="0" w:firstColumn="1" w:lastColumn="0" w:noHBand="0" w:noVBand="1"/>
        <w:tblCaption w:val="Table 4.4.2: Trends in administered finances"/>
        <w:tblDescription w:val="Table 4.4.2: Trends in administered finances"/>
      </w:tblPr>
      <w:tblGrid>
        <w:gridCol w:w="4357"/>
        <w:gridCol w:w="1401"/>
        <w:gridCol w:w="1401"/>
        <w:gridCol w:w="1867"/>
      </w:tblGrid>
      <w:tr w:rsidR="00AB6753" w14:paraId="4F415AC4" w14:textId="77777777" w:rsidTr="002D1EA4">
        <w:trPr>
          <w:cnfStyle w:val="100000000000" w:firstRow="1" w:lastRow="0" w:firstColumn="0" w:lastColumn="0" w:oddVBand="0" w:evenVBand="0" w:oddHBand="0" w:evenHBand="0" w:firstRowFirstColumn="0" w:firstRowLastColumn="0" w:lastRowFirstColumn="0" w:lastRowLastColumn="0"/>
        </w:trPr>
        <w:tc>
          <w:tcPr>
            <w:tcW w:w="2414" w:type="pct"/>
          </w:tcPr>
          <w:p w14:paraId="4A720250" w14:textId="77777777" w:rsidR="00AB6753" w:rsidRDefault="00AB6753" w:rsidP="002D1EA4">
            <w:pPr>
              <w:keepNext/>
              <w:keepLines/>
              <w:spacing w:before="40" w:after="40"/>
              <w:rPr>
                <w:rFonts w:eastAsia="Times New Roman" w:cs="Times New Roman"/>
                <w:b w:val="0"/>
                <w:color w:val="FFFFFF" w:themeColor="background1"/>
                <w:sz w:val="20"/>
                <w:szCs w:val="20"/>
              </w:rPr>
            </w:pPr>
          </w:p>
        </w:tc>
        <w:tc>
          <w:tcPr>
            <w:tcW w:w="776" w:type="pct"/>
            <w:hideMark/>
          </w:tcPr>
          <w:p w14:paraId="12CF97CC" w14:textId="77777777" w:rsidR="00AB6753" w:rsidRPr="006938C4" w:rsidRDefault="00AB6753" w:rsidP="002D1EA4">
            <w:pPr>
              <w:keepNext/>
              <w:keepLines/>
              <w:spacing w:before="40" w:after="40"/>
              <w:jc w:val="right"/>
              <w:rPr>
                <w:rFonts w:eastAsia="Times New Roman" w:cs="Times New Roman"/>
                <w:color w:val="FF0000"/>
                <w:sz w:val="20"/>
                <w:szCs w:val="20"/>
              </w:rPr>
            </w:pPr>
            <w:r w:rsidRPr="006938C4">
              <w:rPr>
                <w:rFonts w:eastAsia="Times New Roman" w:cs="Times New Roman"/>
                <w:sz w:val="20"/>
                <w:szCs w:val="20"/>
              </w:rPr>
              <w:t>2019–20</w:t>
            </w:r>
            <w:r w:rsidRPr="006938C4">
              <w:rPr>
                <w:rFonts w:eastAsia="Times New Roman" w:cs="Times New Roman"/>
                <w:sz w:val="20"/>
                <w:szCs w:val="20"/>
              </w:rPr>
              <w:br/>
              <w:t>$ million</w:t>
            </w:r>
          </w:p>
        </w:tc>
        <w:tc>
          <w:tcPr>
            <w:tcW w:w="776" w:type="pct"/>
            <w:hideMark/>
          </w:tcPr>
          <w:p w14:paraId="40FF33B1" w14:textId="77777777" w:rsidR="00AB6753" w:rsidRPr="006938C4" w:rsidRDefault="00AB6753" w:rsidP="002D1EA4">
            <w:pPr>
              <w:keepNext/>
              <w:keepLines/>
              <w:spacing w:before="40" w:after="40"/>
              <w:jc w:val="right"/>
              <w:rPr>
                <w:rFonts w:eastAsia="Times New Roman" w:cs="Times New Roman"/>
                <w:sz w:val="20"/>
                <w:szCs w:val="20"/>
              </w:rPr>
            </w:pPr>
            <w:r w:rsidRPr="006938C4">
              <w:rPr>
                <w:rFonts w:eastAsia="Times New Roman" w:cs="Times New Roman"/>
                <w:sz w:val="20"/>
                <w:szCs w:val="20"/>
              </w:rPr>
              <w:t>2018–19</w:t>
            </w:r>
            <w:r w:rsidRPr="006938C4">
              <w:rPr>
                <w:rFonts w:eastAsia="Times New Roman" w:cs="Times New Roman"/>
                <w:sz w:val="20"/>
                <w:szCs w:val="20"/>
              </w:rPr>
              <w:br/>
              <w:t>$ million</w:t>
            </w:r>
          </w:p>
        </w:tc>
        <w:tc>
          <w:tcPr>
            <w:tcW w:w="1034" w:type="pct"/>
            <w:hideMark/>
          </w:tcPr>
          <w:p w14:paraId="196EEB30" w14:textId="77777777" w:rsidR="00AB6753" w:rsidRPr="006938C4" w:rsidRDefault="00AB6753" w:rsidP="002D1EA4">
            <w:pPr>
              <w:keepNext/>
              <w:keepLines/>
              <w:spacing w:before="40" w:after="40"/>
              <w:jc w:val="right"/>
              <w:rPr>
                <w:rFonts w:eastAsia="Times New Roman" w:cs="Times New Roman"/>
                <w:color w:val="FFFFFF" w:themeColor="background1"/>
                <w:sz w:val="20"/>
                <w:szCs w:val="20"/>
              </w:rPr>
            </w:pPr>
            <w:r w:rsidRPr="006938C4">
              <w:rPr>
                <w:rFonts w:eastAsia="Times New Roman" w:cs="Times New Roman"/>
                <w:sz w:val="20"/>
                <w:szCs w:val="20"/>
              </w:rPr>
              <w:t>Change</w:t>
            </w:r>
            <w:r w:rsidRPr="006938C4">
              <w:rPr>
                <w:rFonts w:eastAsia="Times New Roman" w:cs="Times New Roman"/>
                <w:sz w:val="20"/>
                <w:szCs w:val="20"/>
              </w:rPr>
              <w:br/>
              <w:t>$ million</w:t>
            </w:r>
          </w:p>
        </w:tc>
      </w:tr>
      <w:tr w:rsidR="00AB6753" w14:paraId="7F896319" w14:textId="77777777" w:rsidTr="002D1EA4">
        <w:trPr>
          <w:cnfStyle w:val="000000100000" w:firstRow="0" w:lastRow="0" w:firstColumn="0" w:lastColumn="0" w:oddVBand="0" w:evenVBand="0" w:oddHBand="1" w:evenHBand="0" w:firstRowFirstColumn="0" w:firstRowLastColumn="0" w:lastRowFirstColumn="0" w:lastRowLastColumn="0"/>
        </w:trPr>
        <w:tc>
          <w:tcPr>
            <w:tcW w:w="2414" w:type="pct"/>
            <w:hideMark/>
          </w:tcPr>
          <w:p w14:paraId="1943F23D" w14:textId="77777777" w:rsidR="00AB6753" w:rsidRDefault="00AB6753" w:rsidP="002D1EA4">
            <w:pPr>
              <w:spacing w:before="40" w:after="40"/>
              <w:rPr>
                <w:rFonts w:eastAsia="Times New Roman"/>
                <w:color w:val="000000" w:themeColor="text1"/>
                <w:spacing w:val="4"/>
                <w:sz w:val="20"/>
                <w:szCs w:val="20"/>
                <w:lang w:val="en-GB"/>
              </w:rPr>
            </w:pPr>
            <w:r>
              <w:rPr>
                <w:rFonts w:eastAsia="Times New Roman"/>
                <w:color w:val="000000" w:themeColor="text1"/>
                <w:spacing w:val="4"/>
                <w:sz w:val="20"/>
                <w:szCs w:val="20"/>
                <w:lang w:val="en-GB"/>
              </w:rPr>
              <w:t>Recoveries</w:t>
            </w:r>
          </w:p>
        </w:tc>
        <w:tc>
          <w:tcPr>
            <w:tcW w:w="776" w:type="pct"/>
          </w:tcPr>
          <w:p w14:paraId="5EB0CA40" w14:textId="77777777" w:rsidR="00AB6753" w:rsidRDefault="00AB6753" w:rsidP="002D1EA4">
            <w:pPr>
              <w:spacing w:before="40" w:after="40"/>
              <w:jc w:val="right"/>
              <w:rPr>
                <w:rFonts w:eastAsia="Cambria"/>
                <w:spacing w:val="4"/>
                <w:sz w:val="20"/>
                <w:szCs w:val="20"/>
                <w:lang w:val="en-GB"/>
              </w:rPr>
            </w:pPr>
            <w:r w:rsidRPr="00673DB4">
              <w:rPr>
                <w:rFonts w:eastAsia="Cambria"/>
                <w:spacing w:val="4"/>
                <w:sz w:val="20"/>
                <w:szCs w:val="20"/>
                <w:lang w:val="en-GB"/>
              </w:rPr>
              <w:t>226.4</w:t>
            </w:r>
          </w:p>
        </w:tc>
        <w:tc>
          <w:tcPr>
            <w:tcW w:w="776" w:type="pct"/>
            <w:hideMark/>
          </w:tcPr>
          <w:p w14:paraId="3F4BED04" w14:textId="77777777" w:rsidR="00AB6753" w:rsidRDefault="00AB6753" w:rsidP="002D1EA4">
            <w:pPr>
              <w:spacing w:before="40" w:after="40"/>
              <w:jc w:val="right"/>
              <w:rPr>
                <w:rFonts w:eastAsia="Cambria"/>
                <w:spacing w:val="4"/>
                <w:sz w:val="20"/>
                <w:szCs w:val="20"/>
                <w:lang w:val="en-GB"/>
              </w:rPr>
            </w:pPr>
            <w:r>
              <w:rPr>
                <w:rFonts w:eastAsia="Cambria"/>
                <w:spacing w:val="4"/>
                <w:sz w:val="20"/>
                <w:szCs w:val="20"/>
                <w:lang w:val="en-GB"/>
              </w:rPr>
              <w:t>54.2</w:t>
            </w:r>
          </w:p>
        </w:tc>
        <w:tc>
          <w:tcPr>
            <w:tcW w:w="1034" w:type="pct"/>
          </w:tcPr>
          <w:p w14:paraId="5ED07E47" w14:textId="77777777" w:rsidR="00AB6753" w:rsidRDefault="00AB6753" w:rsidP="002D1EA4">
            <w:pPr>
              <w:spacing w:before="40" w:after="40"/>
              <w:jc w:val="right"/>
              <w:rPr>
                <w:rFonts w:eastAsia="Cambria"/>
                <w:spacing w:val="4"/>
                <w:sz w:val="20"/>
                <w:szCs w:val="20"/>
                <w:lang w:val="en-GB"/>
              </w:rPr>
            </w:pPr>
            <w:r w:rsidRPr="00673DB4">
              <w:rPr>
                <w:rFonts w:eastAsia="Cambria"/>
                <w:spacing w:val="4"/>
                <w:sz w:val="20"/>
                <w:szCs w:val="20"/>
                <w:lang w:val="en-GB"/>
              </w:rPr>
              <w:t>172.2</w:t>
            </w:r>
          </w:p>
        </w:tc>
      </w:tr>
      <w:tr w:rsidR="00AB6753" w14:paraId="2594EF18" w14:textId="77777777" w:rsidTr="002D1EA4">
        <w:tc>
          <w:tcPr>
            <w:tcW w:w="2414" w:type="pct"/>
            <w:hideMark/>
          </w:tcPr>
          <w:p w14:paraId="54ABB935" w14:textId="77777777" w:rsidR="00AB6753" w:rsidRDefault="00AB6753" w:rsidP="002D1EA4">
            <w:pPr>
              <w:spacing w:before="40" w:after="40"/>
              <w:rPr>
                <w:rFonts w:eastAsia="Times New Roman" w:cs="Arial"/>
                <w:color w:val="000000" w:themeColor="text1"/>
                <w:spacing w:val="4"/>
                <w:sz w:val="20"/>
                <w:szCs w:val="20"/>
                <w:lang w:val="en-GB"/>
              </w:rPr>
            </w:pPr>
            <w:r>
              <w:rPr>
                <w:rFonts w:eastAsia="Times New Roman" w:cs="Arial"/>
                <w:color w:val="000000" w:themeColor="text1"/>
                <w:spacing w:val="4"/>
                <w:sz w:val="20"/>
                <w:szCs w:val="20"/>
                <w:lang w:val="en-GB"/>
              </w:rPr>
              <w:t>Interest</w:t>
            </w:r>
          </w:p>
        </w:tc>
        <w:tc>
          <w:tcPr>
            <w:tcW w:w="776" w:type="pct"/>
          </w:tcPr>
          <w:p w14:paraId="5AECFB4C" w14:textId="77777777" w:rsidR="00AB6753" w:rsidRDefault="00AB6753" w:rsidP="002D1EA4">
            <w:pPr>
              <w:spacing w:before="40" w:after="40"/>
              <w:jc w:val="right"/>
              <w:rPr>
                <w:rFonts w:eastAsia="Cambria" w:cs="Arial"/>
                <w:spacing w:val="4"/>
                <w:sz w:val="20"/>
                <w:szCs w:val="20"/>
                <w:lang w:val="en-GB"/>
              </w:rPr>
            </w:pPr>
            <w:r w:rsidRPr="00673DB4">
              <w:rPr>
                <w:rFonts w:eastAsia="Cambria" w:cs="Arial"/>
                <w:spacing w:val="4"/>
                <w:sz w:val="20"/>
                <w:szCs w:val="20"/>
                <w:lang w:val="en-GB"/>
              </w:rPr>
              <w:t>53.5</w:t>
            </w:r>
          </w:p>
        </w:tc>
        <w:tc>
          <w:tcPr>
            <w:tcW w:w="776" w:type="pct"/>
            <w:hideMark/>
          </w:tcPr>
          <w:p w14:paraId="507172AB" w14:textId="77777777" w:rsidR="00AB6753" w:rsidRDefault="00AB6753" w:rsidP="002D1EA4">
            <w:pPr>
              <w:spacing w:before="40" w:after="40"/>
              <w:jc w:val="right"/>
              <w:rPr>
                <w:rFonts w:eastAsia="Cambria" w:cs="Arial"/>
                <w:spacing w:val="4"/>
                <w:sz w:val="20"/>
                <w:szCs w:val="20"/>
                <w:lang w:val="en-GB"/>
              </w:rPr>
            </w:pPr>
            <w:r>
              <w:rPr>
                <w:rFonts w:eastAsia="Cambria" w:cs="Arial"/>
                <w:spacing w:val="4"/>
                <w:sz w:val="20"/>
                <w:szCs w:val="20"/>
                <w:lang w:val="en-GB"/>
              </w:rPr>
              <w:t>71.8</w:t>
            </w:r>
          </w:p>
        </w:tc>
        <w:tc>
          <w:tcPr>
            <w:tcW w:w="1034" w:type="pct"/>
          </w:tcPr>
          <w:p w14:paraId="2B48DEB7" w14:textId="77777777" w:rsidR="00AB6753" w:rsidRDefault="00AB6753" w:rsidP="002D1EA4">
            <w:pPr>
              <w:spacing w:before="40" w:after="40"/>
              <w:jc w:val="right"/>
              <w:rPr>
                <w:rFonts w:eastAsia="Cambria" w:cs="Arial"/>
                <w:spacing w:val="4"/>
                <w:sz w:val="20"/>
                <w:szCs w:val="20"/>
                <w:lang w:val="en-GB"/>
              </w:rPr>
            </w:pPr>
            <w:r w:rsidRPr="00673DB4">
              <w:rPr>
                <w:rFonts w:eastAsia="Cambria" w:cs="Arial"/>
                <w:spacing w:val="4"/>
                <w:sz w:val="20"/>
                <w:szCs w:val="20"/>
                <w:lang w:val="en-GB"/>
              </w:rPr>
              <w:t>(18.3)</w:t>
            </w:r>
          </w:p>
        </w:tc>
      </w:tr>
      <w:tr w:rsidR="00AB6753" w14:paraId="6E4AA074" w14:textId="77777777" w:rsidTr="002D1EA4">
        <w:trPr>
          <w:cnfStyle w:val="000000100000" w:firstRow="0" w:lastRow="0" w:firstColumn="0" w:lastColumn="0" w:oddVBand="0" w:evenVBand="0" w:oddHBand="1" w:evenHBand="0" w:firstRowFirstColumn="0" w:firstRowLastColumn="0" w:lastRowFirstColumn="0" w:lastRowLastColumn="0"/>
        </w:trPr>
        <w:tc>
          <w:tcPr>
            <w:tcW w:w="2414" w:type="pct"/>
            <w:hideMark/>
          </w:tcPr>
          <w:p w14:paraId="5DA532AD" w14:textId="77777777" w:rsidR="00AB6753" w:rsidRDefault="00AB6753" w:rsidP="002D1EA4">
            <w:pPr>
              <w:spacing w:before="40" w:after="40"/>
              <w:rPr>
                <w:rFonts w:eastAsia="Times New Roman"/>
                <w:color w:val="000000" w:themeColor="text1"/>
                <w:spacing w:val="4"/>
                <w:sz w:val="20"/>
                <w:szCs w:val="20"/>
                <w:lang w:val="en-GB"/>
              </w:rPr>
            </w:pPr>
            <w:r>
              <w:rPr>
                <w:rFonts w:eastAsia="Times New Roman"/>
                <w:color w:val="000000" w:themeColor="text1"/>
                <w:spacing w:val="4"/>
                <w:sz w:val="20"/>
                <w:szCs w:val="20"/>
                <w:lang w:val="en-GB"/>
              </w:rPr>
              <w:t>Other revenue</w:t>
            </w:r>
          </w:p>
        </w:tc>
        <w:tc>
          <w:tcPr>
            <w:tcW w:w="776" w:type="pct"/>
          </w:tcPr>
          <w:p w14:paraId="2595F137" w14:textId="77777777" w:rsidR="00AB6753" w:rsidRDefault="00AB6753" w:rsidP="002D1EA4">
            <w:pPr>
              <w:spacing w:before="40" w:after="40"/>
              <w:jc w:val="right"/>
              <w:rPr>
                <w:rFonts w:eastAsia="Times New Roman"/>
                <w:color w:val="000000" w:themeColor="text1"/>
                <w:spacing w:val="4"/>
                <w:sz w:val="20"/>
                <w:szCs w:val="20"/>
                <w:lang w:val="en-GB"/>
              </w:rPr>
            </w:pPr>
            <w:r w:rsidRPr="00673DB4">
              <w:rPr>
                <w:rFonts w:eastAsia="Cambria"/>
                <w:spacing w:val="4"/>
                <w:sz w:val="20"/>
                <w:szCs w:val="20"/>
                <w:lang w:val="en-GB"/>
              </w:rPr>
              <w:t>76.0</w:t>
            </w:r>
          </w:p>
        </w:tc>
        <w:tc>
          <w:tcPr>
            <w:tcW w:w="776" w:type="pct"/>
            <w:hideMark/>
          </w:tcPr>
          <w:p w14:paraId="045380B5" w14:textId="77777777" w:rsidR="00AB6753" w:rsidRDefault="00AB6753" w:rsidP="002D1EA4">
            <w:pPr>
              <w:spacing w:before="40" w:after="40"/>
              <w:jc w:val="right"/>
              <w:rPr>
                <w:rFonts w:eastAsia="Times New Roman"/>
                <w:color w:val="000000" w:themeColor="text1"/>
                <w:spacing w:val="4"/>
                <w:sz w:val="20"/>
                <w:szCs w:val="20"/>
                <w:lang w:val="en-GB"/>
              </w:rPr>
            </w:pPr>
            <w:r>
              <w:rPr>
                <w:rFonts w:eastAsia="Times New Roman"/>
                <w:color w:val="000000" w:themeColor="text1"/>
                <w:spacing w:val="4"/>
                <w:sz w:val="20"/>
                <w:szCs w:val="20"/>
                <w:lang w:val="en-GB"/>
              </w:rPr>
              <w:t>9.9</w:t>
            </w:r>
          </w:p>
        </w:tc>
        <w:tc>
          <w:tcPr>
            <w:tcW w:w="1034" w:type="pct"/>
          </w:tcPr>
          <w:p w14:paraId="127D5C4D" w14:textId="77777777" w:rsidR="00AB6753" w:rsidRDefault="00AB6753" w:rsidP="002D1EA4">
            <w:pPr>
              <w:spacing w:before="40" w:after="40"/>
              <w:jc w:val="right"/>
              <w:rPr>
                <w:rFonts w:eastAsia="Cambria"/>
                <w:spacing w:val="4"/>
                <w:sz w:val="20"/>
                <w:szCs w:val="20"/>
                <w:lang w:val="en-GB"/>
              </w:rPr>
            </w:pPr>
            <w:r w:rsidRPr="00673DB4">
              <w:rPr>
                <w:rFonts w:eastAsia="Cambria"/>
                <w:spacing w:val="4"/>
                <w:sz w:val="20"/>
                <w:szCs w:val="20"/>
                <w:lang w:val="en-GB"/>
              </w:rPr>
              <w:t>66.1</w:t>
            </w:r>
          </w:p>
        </w:tc>
      </w:tr>
      <w:tr w:rsidR="00AB6753" w14:paraId="42BE8C1A" w14:textId="77777777" w:rsidTr="002D1EA4">
        <w:tc>
          <w:tcPr>
            <w:tcW w:w="2414" w:type="pct"/>
            <w:shd w:val="clear" w:color="auto" w:fill="BFBFBF" w:themeFill="background1" w:themeFillShade="BF"/>
            <w:hideMark/>
          </w:tcPr>
          <w:p w14:paraId="3FFA81F8" w14:textId="77777777" w:rsidR="00AB6753" w:rsidRDefault="00AB6753" w:rsidP="002D1EA4">
            <w:pPr>
              <w:keepNext/>
              <w:keepLines/>
              <w:spacing w:before="40" w:after="40"/>
              <w:rPr>
                <w:rFonts w:eastAsia="Times New Roman" w:cs="Times New Roman"/>
                <w:b/>
                <w:color w:val="000000" w:themeColor="text1"/>
                <w:sz w:val="20"/>
                <w:szCs w:val="20"/>
                <w:lang w:val="en-GB"/>
              </w:rPr>
            </w:pPr>
            <w:r>
              <w:rPr>
                <w:rFonts w:eastAsia="Times New Roman" w:cs="Times New Roman"/>
                <w:b/>
                <w:color w:val="000000" w:themeColor="text1"/>
                <w:sz w:val="20"/>
                <w:szCs w:val="20"/>
                <w:lang w:val="en-GB"/>
              </w:rPr>
              <w:t>Total revenue</w:t>
            </w:r>
          </w:p>
        </w:tc>
        <w:tc>
          <w:tcPr>
            <w:tcW w:w="776" w:type="pct"/>
            <w:shd w:val="clear" w:color="auto" w:fill="BFBFBF" w:themeFill="background1" w:themeFillShade="BF"/>
          </w:tcPr>
          <w:p w14:paraId="0858DC71" w14:textId="77777777" w:rsidR="00AB6753" w:rsidRDefault="00AB6753" w:rsidP="002D1EA4">
            <w:pPr>
              <w:keepNext/>
              <w:keepLines/>
              <w:spacing w:before="40" w:after="40"/>
              <w:jc w:val="right"/>
              <w:rPr>
                <w:rFonts w:eastAsia="Times New Roman" w:cs="Times New Roman"/>
                <w:b/>
                <w:sz w:val="20"/>
                <w:szCs w:val="20"/>
                <w:lang w:val="en-GB"/>
              </w:rPr>
            </w:pPr>
            <w:r w:rsidRPr="00673DB4">
              <w:rPr>
                <w:rFonts w:eastAsia="Cambria" w:cs="Arial"/>
                <w:b/>
                <w:spacing w:val="4"/>
                <w:sz w:val="20"/>
                <w:szCs w:val="20"/>
                <w:lang w:val="en-GB"/>
              </w:rPr>
              <w:t>355.9</w:t>
            </w:r>
          </w:p>
        </w:tc>
        <w:tc>
          <w:tcPr>
            <w:tcW w:w="776" w:type="pct"/>
            <w:shd w:val="clear" w:color="auto" w:fill="BFBFBF" w:themeFill="background1" w:themeFillShade="BF"/>
            <w:hideMark/>
          </w:tcPr>
          <w:p w14:paraId="540D8A41" w14:textId="77777777" w:rsidR="00AB6753" w:rsidRDefault="00AB6753" w:rsidP="002D1EA4">
            <w:pPr>
              <w:keepNext/>
              <w:keepLines/>
              <w:spacing w:before="40" w:after="40"/>
              <w:jc w:val="right"/>
              <w:rPr>
                <w:rFonts w:eastAsia="Times New Roman" w:cs="Times New Roman"/>
                <w:b/>
                <w:sz w:val="20"/>
                <w:szCs w:val="20"/>
                <w:lang w:val="en-GB"/>
              </w:rPr>
            </w:pPr>
            <w:r>
              <w:rPr>
                <w:rFonts w:eastAsia="Times New Roman" w:cs="Times New Roman"/>
                <w:b/>
                <w:sz w:val="20"/>
                <w:szCs w:val="20"/>
                <w:lang w:val="en-GB"/>
              </w:rPr>
              <w:t>135.9</w:t>
            </w:r>
          </w:p>
        </w:tc>
        <w:tc>
          <w:tcPr>
            <w:tcW w:w="1034" w:type="pct"/>
            <w:shd w:val="clear" w:color="auto" w:fill="BFBFBF" w:themeFill="background1" w:themeFillShade="BF"/>
          </w:tcPr>
          <w:p w14:paraId="267DCA17" w14:textId="77777777" w:rsidR="00AB6753" w:rsidRDefault="00AB6753" w:rsidP="002D1EA4">
            <w:pPr>
              <w:keepNext/>
              <w:keepLines/>
              <w:spacing w:before="40" w:after="40"/>
              <w:jc w:val="right"/>
              <w:rPr>
                <w:rFonts w:eastAsia="Cambria" w:cs="Arial"/>
                <w:b/>
                <w:spacing w:val="4"/>
                <w:sz w:val="20"/>
                <w:szCs w:val="20"/>
                <w:lang w:val="en-GB"/>
              </w:rPr>
            </w:pPr>
            <w:r w:rsidRPr="00673DB4">
              <w:rPr>
                <w:rFonts w:eastAsia="Cambria" w:cs="Arial"/>
                <w:b/>
                <w:spacing w:val="4"/>
                <w:sz w:val="20"/>
                <w:szCs w:val="20"/>
                <w:lang w:val="en-GB"/>
              </w:rPr>
              <w:t>220.0</w:t>
            </w:r>
          </w:p>
        </w:tc>
      </w:tr>
      <w:tr w:rsidR="00AB6753" w14:paraId="1A0DE6BD" w14:textId="77777777" w:rsidTr="002D1EA4">
        <w:trPr>
          <w:cnfStyle w:val="000000100000" w:firstRow="0" w:lastRow="0" w:firstColumn="0" w:lastColumn="0" w:oddVBand="0" w:evenVBand="0" w:oddHBand="1" w:evenHBand="0" w:firstRowFirstColumn="0" w:firstRowLastColumn="0" w:lastRowFirstColumn="0" w:lastRowLastColumn="0"/>
        </w:trPr>
        <w:tc>
          <w:tcPr>
            <w:tcW w:w="2414" w:type="pct"/>
            <w:hideMark/>
          </w:tcPr>
          <w:p w14:paraId="2311A0AE" w14:textId="77777777" w:rsidR="00AB6753" w:rsidRDefault="00AB6753" w:rsidP="002D1EA4">
            <w:pPr>
              <w:spacing w:before="40" w:after="40"/>
              <w:rPr>
                <w:rFonts w:eastAsia="Times New Roman"/>
                <w:color w:val="000000" w:themeColor="text1"/>
                <w:spacing w:val="4"/>
                <w:sz w:val="20"/>
                <w:szCs w:val="20"/>
                <w:lang w:val="en-GB"/>
              </w:rPr>
            </w:pPr>
            <w:r>
              <w:rPr>
                <w:rFonts w:eastAsia="Times New Roman"/>
                <w:color w:val="000000" w:themeColor="text1"/>
                <w:spacing w:val="4"/>
                <w:sz w:val="20"/>
                <w:szCs w:val="20"/>
                <w:lang w:val="en-GB"/>
              </w:rPr>
              <w:t>Suppliers</w:t>
            </w:r>
          </w:p>
        </w:tc>
        <w:tc>
          <w:tcPr>
            <w:tcW w:w="776" w:type="pct"/>
          </w:tcPr>
          <w:p w14:paraId="764E07E0" w14:textId="77777777" w:rsidR="00AB6753" w:rsidRDefault="00AB6753" w:rsidP="002D1EA4">
            <w:pPr>
              <w:spacing w:before="40" w:after="40"/>
              <w:jc w:val="right"/>
              <w:rPr>
                <w:rFonts w:eastAsia="Cambria"/>
                <w:spacing w:val="4"/>
                <w:sz w:val="20"/>
                <w:szCs w:val="20"/>
                <w:lang w:val="en-GB"/>
              </w:rPr>
            </w:pPr>
            <w:r w:rsidRPr="00673DB4">
              <w:rPr>
                <w:rFonts w:eastAsia="Cambria"/>
                <w:spacing w:val="4"/>
                <w:sz w:val="20"/>
                <w:szCs w:val="20"/>
                <w:lang w:val="en-GB"/>
              </w:rPr>
              <w:t>128.2</w:t>
            </w:r>
          </w:p>
        </w:tc>
        <w:tc>
          <w:tcPr>
            <w:tcW w:w="776" w:type="pct"/>
            <w:hideMark/>
          </w:tcPr>
          <w:p w14:paraId="2A912652" w14:textId="77777777" w:rsidR="00AB6753" w:rsidRDefault="00AB6753" w:rsidP="002D1EA4">
            <w:pPr>
              <w:spacing w:before="40" w:after="40"/>
              <w:jc w:val="right"/>
              <w:rPr>
                <w:rFonts w:eastAsia="Cambria"/>
                <w:spacing w:val="4"/>
                <w:sz w:val="20"/>
                <w:szCs w:val="20"/>
                <w:lang w:val="en-GB"/>
              </w:rPr>
            </w:pPr>
            <w:r>
              <w:rPr>
                <w:rFonts w:eastAsia="Cambria"/>
                <w:spacing w:val="4"/>
                <w:sz w:val="20"/>
                <w:szCs w:val="20"/>
                <w:lang w:val="en-GB"/>
              </w:rPr>
              <w:t>229.4</w:t>
            </w:r>
          </w:p>
        </w:tc>
        <w:tc>
          <w:tcPr>
            <w:tcW w:w="1034" w:type="pct"/>
          </w:tcPr>
          <w:p w14:paraId="1D77DAB4" w14:textId="77777777" w:rsidR="00AB6753" w:rsidRDefault="00AB6753" w:rsidP="002D1EA4">
            <w:pPr>
              <w:spacing w:before="40" w:after="40"/>
              <w:jc w:val="right"/>
              <w:rPr>
                <w:rFonts w:eastAsia="Cambria"/>
                <w:spacing w:val="4"/>
                <w:sz w:val="20"/>
                <w:szCs w:val="20"/>
                <w:lang w:val="en-GB"/>
              </w:rPr>
            </w:pPr>
            <w:r w:rsidRPr="00673DB4">
              <w:rPr>
                <w:rFonts w:eastAsia="Cambria"/>
                <w:spacing w:val="4"/>
                <w:sz w:val="20"/>
                <w:szCs w:val="20"/>
                <w:lang w:val="en-GB"/>
              </w:rPr>
              <w:t>(101.2)</w:t>
            </w:r>
          </w:p>
        </w:tc>
      </w:tr>
      <w:tr w:rsidR="00AB6753" w14:paraId="36B3C1B5" w14:textId="77777777" w:rsidTr="002D1EA4">
        <w:tc>
          <w:tcPr>
            <w:tcW w:w="2414" w:type="pct"/>
            <w:hideMark/>
          </w:tcPr>
          <w:p w14:paraId="22598EBE" w14:textId="77777777" w:rsidR="00AB6753" w:rsidRDefault="00AB6753" w:rsidP="002D1EA4">
            <w:pPr>
              <w:spacing w:before="40" w:after="40"/>
              <w:rPr>
                <w:rFonts w:eastAsia="Times New Roman" w:cs="Arial"/>
                <w:color w:val="000000" w:themeColor="text1"/>
                <w:spacing w:val="4"/>
                <w:sz w:val="20"/>
                <w:szCs w:val="20"/>
                <w:lang w:val="en-GB"/>
              </w:rPr>
            </w:pPr>
            <w:r>
              <w:rPr>
                <w:rFonts w:eastAsia="Times New Roman" w:cs="Arial"/>
                <w:color w:val="000000" w:themeColor="text1"/>
                <w:spacing w:val="4"/>
                <w:sz w:val="20"/>
                <w:szCs w:val="20"/>
                <w:lang w:val="en-GB"/>
              </w:rPr>
              <w:t>Subsidies</w:t>
            </w:r>
          </w:p>
        </w:tc>
        <w:tc>
          <w:tcPr>
            <w:tcW w:w="776" w:type="pct"/>
          </w:tcPr>
          <w:p w14:paraId="60C5DDB2" w14:textId="77777777" w:rsidR="00AB6753" w:rsidRDefault="00AB6753" w:rsidP="002D1EA4">
            <w:pPr>
              <w:spacing w:before="40" w:after="40"/>
              <w:jc w:val="right"/>
              <w:rPr>
                <w:rFonts w:eastAsia="Cambria" w:cs="Arial"/>
                <w:spacing w:val="4"/>
                <w:sz w:val="20"/>
                <w:szCs w:val="20"/>
                <w:lang w:val="en-GB"/>
              </w:rPr>
            </w:pPr>
            <w:r w:rsidRPr="00673DB4">
              <w:rPr>
                <w:rFonts w:eastAsia="Cambria" w:cs="Arial"/>
                <w:spacing w:val="4"/>
                <w:sz w:val="20"/>
                <w:szCs w:val="20"/>
                <w:lang w:val="en-GB"/>
              </w:rPr>
              <w:t>118.2</w:t>
            </w:r>
          </w:p>
        </w:tc>
        <w:tc>
          <w:tcPr>
            <w:tcW w:w="776" w:type="pct"/>
            <w:hideMark/>
          </w:tcPr>
          <w:p w14:paraId="21D6EB3B" w14:textId="77777777" w:rsidR="00AB6753" w:rsidRDefault="00AB6753" w:rsidP="002D1EA4">
            <w:pPr>
              <w:spacing w:before="40" w:after="40"/>
              <w:jc w:val="right"/>
              <w:rPr>
                <w:rFonts w:eastAsia="Cambria" w:cs="Arial"/>
                <w:spacing w:val="4"/>
                <w:sz w:val="20"/>
                <w:szCs w:val="20"/>
                <w:lang w:val="en-GB"/>
              </w:rPr>
            </w:pPr>
            <w:r>
              <w:rPr>
                <w:rFonts w:eastAsia="Cambria" w:cs="Arial"/>
                <w:spacing w:val="4"/>
                <w:sz w:val="20"/>
                <w:szCs w:val="20"/>
                <w:lang w:val="en-GB"/>
              </w:rPr>
              <w:t>126.4</w:t>
            </w:r>
          </w:p>
        </w:tc>
        <w:tc>
          <w:tcPr>
            <w:tcW w:w="1034" w:type="pct"/>
          </w:tcPr>
          <w:p w14:paraId="4D0AE9AF" w14:textId="77777777" w:rsidR="00AB6753" w:rsidRDefault="00AB6753" w:rsidP="002D1EA4">
            <w:pPr>
              <w:spacing w:before="40" w:after="40"/>
              <w:jc w:val="right"/>
              <w:rPr>
                <w:rFonts w:eastAsia="Cambria" w:cs="Arial"/>
                <w:spacing w:val="4"/>
                <w:sz w:val="20"/>
                <w:szCs w:val="20"/>
                <w:lang w:val="en-GB"/>
              </w:rPr>
            </w:pPr>
            <w:r w:rsidRPr="00673DB4">
              <w:rPr>
                <w:rFonts w:eastAsia="Cambria" w:cs="Arial"/>
                <w:spacing w:val="4"/>
                <w:sz w:val="20"/>
                <w:szCs w:val="20"/>
                <w:lang w:val="en-GB"/>
              </w:rPr>
              <w:t>(8.2)</w:t>
            </w:r>
          </w:p>
        </w:tc>
      </w:tr>
      <w:tr w:rsidR="00AB6753" w14:paraId="50BFEF89" w14:textId="77777777" w:rsidTr="002D1EA4">
        <w:trPr>
          <w:cnfStyle w:val="000000100000" w:firstRow="0" w:lastRow="0" w:firstColumn="0" w:lastColumn="0" w:oddVBand="0" w:evenVBand="0" w:oddHBand="1" w:evenHBand="0" w:firstRowFirstColumn="0" w:firstRowLastColumn="0" w:lastRowFirstColumn="0" w:lastRowLastColumn="0"/>
        </w:trPr>
        <w:tc>
          <w:tcPr>
            <w:tcW w:w="2414" w:type="pct"/>
            <w:hideMark/>
          </w:tcPr>
          <w:p w14:paraId="291AFC25" w14:textId="77777777" w:rsidR="00AB6753" w:rsidRDefault="00AB6753" w:rsidP="002D1EA4">
            <w:pPr>
              <w:spacing w:before="40" w:after="40"/>
              <w:rPr>
                <w:rFonts w:eastAsia="Times New Roman"/>
                <w:color w:val="000000" w:themeColor="text1"/>
                <w:spacing w:val="4"/>
                <w:sz w:val="20"/>
                <w:szCs w:val="20"/>
                <w:lang w:val="en-GB"/>
              </w:rPr>
            </w:pPr>
            <w:r>
              <w:rPr>
                <w:rFonts w:eastAsia="Times New Roman"/>
                <w:color w:val="000000" w:themeColor="text1"/>
                <w:spacing w:val="4"/>
                <w:sz w:val="20"/>
                <w:szCs w:val="20"/>
                <w:lang w:val="en-GB"/>
              </w:rPr>
              <w:t>Personal benefits</w:t>
            </w:r>
          </w:p>
        </w:tc>
        <w:tc>
          <w:tcPr>
            <w:tcW w:w="776" w:type="pct"/>
          </w:tcPr>
          <w:p w14:paraId="0B47E48C" w14:textId="77777777" w:rsidR="00AB6753" w:rsidRDefault="00AB6753" w:rsidP="002D1EA4">
            <w:pPr>
              <w:spacing w:before="40" w:after="40"/>
              <w:jc w:val="right"/>
              <w:rPr>
                <w:rFonts w:eastAsia="Cambria"/>
                <w:spacing w:val="4"/>
                <w:sz w:val="20"/>
                <w:szCs w:val="20"/>
                <w:lang w:val="en-GB"/>
              </w:rPr>
            </w:pPr>
            <w:r w:rsidRPr="00673DB4">
              <w:rPr>
                <w:rFonts w:eastAsia="Cambria"/>
                <w:spacing w:val="4"/>
                <w:sz w:val="20"/>
                <w:szCs w:val="20"/>
                <w:lang w:val="en-GB"/>
              </w:rPr>
              <w:t>129,233.0</w:t>
            </w:r>
          </w:p>
        </w:tc>
        <w:tc>
          <w:tcPr>
            <w:tcW w:w="776" w:type="pct"/>
            <w:hideMark/>
          </w:tcPr>
          <w:p w14:paraId="60177ED0" w14:textId="77777777" w:rsidR="00AB6753" w:rsidRDefault="00AB6753" w:rsidP="002D1EA4">
            <w:pPr>
              <w:spacing w:before="40" w:after="40"/>
              <w:jc w:val="right"/>
              <w:rPr>
                <w:rFonts w:eastAsia="Cambria"/>
                <w:spacing w:val="4"/>
                <w:sz w:val="20"/>
                <w:szCs w:val="20"/>
                <w:lang w:val="en-GB"/>
              </w:rPr>
            </w:pPr>
            <w:r>
              <w:rPr>
                <w:rFonts w:eastAsia="Cambria"/>
                <w:spacing w:val="4"/>
                <w:sz w:val="20"/>
                <w:szCs w:val="20"/>
                <w:lang w:val="en-GB"/>
              </w:rPr>
              <w:t>110,804.4</w:t>
            </w:r>
          </w:p>
        </w:tc>
        <w:tc>
          <w:tcPr>
            <w:tcW w:w="1034" w:type="pct"/>
          </w:tcPr>
          <w:p w14:paraId="0068D4FF" w14:textId="77777777" w:rsidR="00AB6753" w:rsidRDefault="00AB6753" w:rsidP="002D1EA4">
            <w:pPr>
              <w:spacing w:before="40" w:after="40"/>
              <w:jc w:val="right"/>
              <w:rPr>
                <w:rFonts w:eastAsia="Cambria"/>
                <w:spacing w:val="4"/>
                <w:sz w:val="20"/>
                <w:szCs w:val="20"/>
                <w:lang w:val="en-GB"/>
              </w:rPr>
            </w:pPr>
            <w:r w:rsidRPr="00673DB4">
              <w:rPr>
                <w:rFonts w:eastAsia="Cambria"/>
                <w:spacing w:val="4"/>
                <w:sz w:val="20"/>
                <w:szCs w:val="20"/>
                <w:lang w:val="en-GB"/>
              </w:rPr>
              <w:t>18,428.6</w:t>
            </w:r>
          </w:p>
        </w:tc>
      </w:tr>
      <w:tr w:rsidR="00AB6753" w14:paraId="1F71D002" w14:textId="77777777" w:rsidTr="002D1EA4">
        <w:tc>
          <w:tcPr>
            <w:tcW w:w="2414" w:type="pct"/>
            <w:hideMark/>
          </w:tcPr>
          <w:p w14:paraId="6E553DC0" w14:textId="77777777" w:rsidR="00AB6753" w:rsidRDefault="00AB6753" w:rsidP="002D1EA4">
            <w:pPr>
              <w:spacing w:before="40" w:after="40"/>
              <w:rPr>
                <w:rFonts w:eastAsia="Times New Roman" w:cs="Arial"/>
                <w:color w:val="000000" w:themeColor="text1"/>
                <w:spacing w:val="4"/>
                <w:sz w:val="20"/>
                <w:szCs w:val="20"/>
                <w:lang w:val="en-GB"/>
              </w:rPr>
            </w:pPr>
            <w:r>
              <w:rPr>
                <w:rFonts w:eastAsia="Times New Roman" w:cs="Arial"/>
                <w:color w:val="000000" w:themeColor="text1"/>
                <w:spacing w:val="4"/>
                <w:sz w:val="20"/>
                <w:szCs w:val="20"/>
                <w:lang w:val="en-GB"/>
              </w:rPr>
              <w:t>Grants</w:t>
            </w:r>
          </w:p>
        </w:tc>
        <w:tc>
          <w:tcPr>
            <w:tcW w:w="776" w:type="pct"/>
          </w:tcPr>
          <w:p w14:paraId="572ED4F3" w14:textId="77777777" w:rsidR="00AB6753" w:rsidRDefault="00AB6753" w:rsidP="002D1EA4">
            <w:pPr>
              <w:spacing w:before="40" w:after="40"/>
              <w:jc w:val="right"/>
              <w:rPr>
                <w:rFonts w:eastAsia="Cambria" w:cs="Arial"/>
                <w:spacing w:val="4"/>
                <w:sz w:val="20"/>
                <w:szCs w:val="20"/>
                <w:lang w:val="en-GB"/>
              </w:rPr>
            </w:pPr>
            <w:r w:rsidRPr="00673DB4">
              <w:rPr>
                <w:rFonts w:eastAsia="Cambria" w:cs="Arial"/>
                <w:spacing w:val="4"/>
                <w:sz w:val="20"/>
                <w:szCs w:val="20"/>
                <w:lang w:val="en-GB"/>
              </w:rPr>
              <w:t>2,723.5</w:t>
            </w:r>
          </w:p>
        </w:tc>
        <w:tc>
          <w:tcPr>
            <w:tcW w:w="776" w:type="pct"/>
            <w:hideMark/>
          </w:tcPr>
          <w:p w14:paraId="3AAC6530" w14:textId="77777777" w:rsidR="00AB6753" w:rsidRDefault="00AB6753" w:rsidP="002D1EA4">
            <w:pPr>
              <w:spacing w:before="40" w:after="40"/>
              <w:jc w:val="right"/>
              <w:rPr>
                <w:rFonts w:eastAsia="Cambria" w:cs="Arial"/>
                <w:spacing w:val="4"/>
                <w:sz w:val="20"/>
                <w:szCs w:val="20"/>
                <w:lang w:val="en-GB"/>
              </w:rPr>
            </w:pPr>
            <w:r>
              <w:rPr>
                <w:rFonts w:eastAsia="Cambria" w:cs="Arial"/>
                <w:spacing w:val="4"/>
                <w:sz w:val="20"/>
                <w:szCs w:val="20"/>
                <w:lang w:val="en-GB"/>
              </w:rPr>
              <w:t>2,425.8</w:t>
            </w:r>
          </w:p>
        </w:tc>
        <w:tc>
          <w:tcPr>
            <w:tcW w:w="1034" w:type="pct"/>
          </w:tcPr>
          <w:p w14:paraId="02B2C665" w14:textId="77777777" w:rsidR="00AB6753" w:rsidRDefault="00AB6753" w:rsidP="002D1EA4">
            <w:pPr>
              <w:spacing w:before="40" w:after="40"/>
              <w:jc w:val="right"/>
              <w:rPr>
                <w:rFonts w:eastAsia="Cambria" w:cs="Arial"/>
                <w:spacing w:val="4"/>
                <w:sz w:val="20"/>
                <w:szCs w:val="20"/>
                <w:lang w:val="en-GB"/>
              </w:rPr>
            </w:pPr>
            <w:r w:rsidRPr="00673DB4">
              <w:rPr>
                <w:rFonts w:eastAsia="Cambria" w:cs="Arial"/>
                <w:spacing w:val="4"/>
                <w:sz w:val="20"/>
                <w:szCs w:val="20"/>
                <w:lang w:val="en-GB"/>
              </w:rPr>
              <w:t>297.7</w:t>
            </w:r>
          </w:p>
        </w:tc>
      </w:tr>
      <w:tr w:rsidR="00AB6753" w14:paraId="46267210" w14:textId="77777777" w:rsidTr="002D1EA4">
        <w:trPr>
          <w:cnfStyle w:val="000000100000" w:firstRow="0" w:lastRow="0" w:firstColumn="0" w:lastColumn="0" w:oddVBand="0" w:evenVBand="0" w:oddHBand="1" w:evenHBand="0" w:firstRowFirstColumn="0" w:firstRowLastColumn="0" w:lastRowFirstColumn="0" w:lastRowLastColumn="0"/>
        </w:trPr>
        <w:tc>
          <w:tcPr>
            <w:tcW w:w="2414" w:type="pct"/>
            <w:hideMark/>
          </w:tcPr>
          <w:p w14:paraId="6C45A2DC" w14:textId="77777777" w:rsidR="00AB6753" w:rsidRDefault="00AB6753" w:rsidP="002D1EA4">
            <w:pPr>
              <w:spacing w:before="40" w:after="40"/>
              <w:rPr>
                <w:rFonts w:eastAsia="Times New Roman"/>
                <w:color w:val="000000" w:themeColor="text1"/>
                <w:spacing w:val="4"/>
                <w:sz w:val="20"/>
                <w:szCs w:val="20"/>
                <w:lang w:val="en-GB"/>
              </w:rPr>
            </w:pPr>
            <w:r>
              <w:rPr>
                <w:rFonts w:eastAsia="Times New Roman"/>
                <w:color w:val="000000" w:themeColor="text1"/>
                <w:spacing w:val="4"/>
                <w:sz w:val="20"/>
                <w:szCs w:val="20"/>
                <w:lang w:val="en-GB"/>
              </w:rPr>
              <w:t>Payments to corporate Commonwealth entities</w:t>
            </w:r>
          </w:p>
        </w:tc>
        <w:tc>
          <w:tcPr>
            <w:tcW w:w="776" w:type="pct"/>
          </w:tcPr>
          <w:p w14:paraId="4685C35D" w14:textId="77777777" w:rsidR="00AB6753" w:rsidRDefault="00AB6753" w:rsidP="002D1EA4">
            <w:pPr>
              <w:spacing w:before="40" w:after="40"/>
              <w:jc w:val="right"/>
              <w:rPr>
                <w:rFonts w:eastAsia="Cambria"/>
                <w:spacing w:val="4"/>
                <w:sz w:val="20"/>
                <w:szCs w:val="20"/>
                <w:lang w:val="en-GB"/>
              </w:rPr>
            </w:pPr>
            <w:r>
              <w:rPr>
                <w:rFonts w:eastAsia="Cambria"/>
                <w:spacing w:val="4"/>
                <w:sz w:val="20"/>
                <w:szCs w:val="20"/>
                <w:lang w:val="en-GB"/>
              </w:rPr>
              <w:t>8</w:t>
            </w:r>
            <w:r w:rsidRPr="00673DB4">
              <w:rPr>
                <w:rFonts w:eastAsia="Cambria"/>
                <w:spacing w:val="4"/>
                <w:sz w:val="20"/>
                <w:szCs w:val="20"/>
                <w:lang w:val="en-GB"/>
              </w:rPr>
              <w:t>,302.7</w:t>
            </w:r>
          </w:p>
        </w:tc>
        <w:tc>
          <w:tcPr>
            <w:tcW w:w="776" w:type="pct"/>
            <w:hideMark/>
          </w:tcPr>
          <w:p w14:paraId="14A4A0ED" w14:textId="77777777" w:rsidR="00AB6753" w:rsidRDefault="00AB6753" w:rsidP="002D1EA4">
            <w:pPr>
              <w:spacing w:before="40" w:after="40"/>
              <w:jc w:val="right"/>
              <w:rPr>
                <w:rFonts w:eastAsia="Cambria"/>
                <w:spacing w:val="4"/>
                <w:sz w:val="20"/>
                <w:szCs w:val="20"/>
                <w:lang w:val="en-GB"/>
              </w:rPr>
            </w:pPr>
            <w:r>
              <w:rPr>
                <w:rFonts w:eastAsia="Cambria"/>
                <w:spacing w:val="4"/>
                <w:sz w:val="20"/>
                <w:szCs w:val="20"/>
                <w:lang w:val="en-GB"/>
              </w:rPr>
              <w:t>5,305.0</w:t>
            </w:r>
          </w:p>
        </w:tc>
        <w:tc>
          <w:tcPr>
            <w:tcW w:w="1034" w:type="pct"/>
          </w:tcPr>
          <w:p w14:paraId="0ABE6B48" w14:textId="77777777" w:rsidR="00AB6753" w:rsidRDefault="00AB6753" w:rsidP="002D1EA4">
            <w:pPr>
              <w:spacing w:before="40" w:after="40"/>
              <w:jc w:val="right"/>
              <w:rPr>
                <w:rFonts w:eastAsia="Cambria"/>
                <w:spacing w:val="4"/>
                <w:sz w:val="20"/>
                <w:szCs w:val="20"/>
                <w:lang w:val="en-GB"/>
              </w:rPr>
            </w:pPr>
            <w:r>
              <w:rPr>
                <w:rFonts w:eastAsia="Cambria"/>
                <w:spacing w:val="4"/>
                <w:sz w:val="20"/>
                <w:szCs w:val="20"/>
                <w:lang w:val="en-GB"/>
              </w:rPr>
              <w:t>2,997.7</w:t>
            </w:r>
          </w:p>
        </w:tc>
      </w:tr>
      <w:tr w:rsidR="00AB6753" w14:paraId="75416E38" w14:textId="77777777" w:rsidTr="002D1EA4">
        <w:tc>
          <w:tcPr>
            <w:tcW w:w="2414" w:type="pct"/>
            <w:hideMark/>
          </w:tcPr>
          <w:p w14:paraId="4BF29F89" w14:textId="77777777" w:rsidR="00AB6753" w:rsidRDefault="00AB6753" w:rsidP="002D1EA4">
            <w:pPr>
              <w:spacing w:before="40" w:after="40"/>
              <w:rPr>
                <w:rFonts w:eastAsia="Times New Roman" w:cs="Arial"/>
                <w:color w:val="000000" w:themeColor="text1"/>
                <w:spacing w:val="4"/>
                <w:sz w:val="20"/>
                <w:szCs w:val="20"/>
                <w:lang w:val="en-GB"/>
              </w:rPr>
            </w:pPr>
            <w:r>
              <w:rPr>
                <w:rFonts w:eastAsia="Times New Roman" w:cs="Arial"/>
                <w:color w:val="000000" w:themeColor="text1"/>
                <w:spacing w:val="4"/>
                <w:sz w:val="20"/>
                <w:szCs w:val="20"/>
                <w:lang w:val="en-GB"/>
              </w:rPr>
              <w:t>Other expenses</w:t>
            </w:r>
          </w:p>
        </w:tc>
        <w:tc>
          <w:tcPr>
            <w:tcW w:w="776" w:type="pct"/>
          </w:tcPr>
          <w:p w14:paraId="35DF2ECD" w14:textId="77777777" w:rsidR="00AB6753" w:rsidRDefault="00AB6753" w:rsidP="002D1EA4">
            <w:pPr>
              <w:spacing w:before="40" w:after="40"/>
              <w:jc w:val="right"/>
              <w:rPr>
                <w:rFonts w:eastAsia="Cambria" w:cs="Arial"/>
                <w:spacing w:val="4"/>
                <w:sz w:val="20"/>
                <w:szCs w:val="20"/>
                <w:lang w:val="en-GB"/>
              </w:rPr>
            </w:pPr>
            <w:r w:rsidRPr="00673DB4">
              <w:rPr>
                <w:rFonts w:eastAsia="Cambria" w:cs="Arial"/>
                <w:spacing w:val="4"/>
                <w:sz w:val="20"/>
                <w:szCs w:val="20"/>
                <w:lang w:val="en-GB"/>
              </w:rPr>
              <w:t>463.9</w:t>
            </w:r>
          </w:p>
        </w:tc>
        <w:tc>
          <w:tcPr>
            <w:tcW w:w="776" w:type="pct"/>
            <w:hideMark/>
          </w:tcPr>
          <w:p w14:paraId="4E1334C1" w14:textId="77777777" w:rsidR="00AB6753" w:rsidRDefault="00AB6753" w:rsidP="002D1EA4">
            <w:pPr>
              <w:spacing w:before="40" w:after="40"/>
              <w:jc w:val="right"/>
              <w:rPr>
                <w:rFonts w:eastAsia="Cambria" w:cs="Arial"/>
                <w:spacing w:val="4"/>
                <w:sz w:val="20"/>
                <w:szCs w:val="20"/>
                <w:lang w:val="en-GB"/>
              </w:rPr>
            </w:pPr>
            <w:r>
              <w:rPr>
                <w:rFonts w:eastAsia="Cambria" w:cs="Arial"/>
                <w:spacing w:val="4"/>
                <w:sz w:val="20"/>
                <w:szCs w:val="20"/>
                <w:lang w:val="en-GB"/>
              </w:rPr>
              <w:t>248.2</w:t>
            </w:r>
          </w:p>
        </w:tc>
        <w:tc>
          <w:tcPr>
            <w:tcW w:w="1034" w:type="pct"/>
          </w:tcPr>
          <w:p w14:paraId="51DBB87D" w14:textId="77777777" w:rsidR="00AB6753" w:rsidRDefault="00AB6753" w:rsidP="002D1EA4">
            <w:pPr>
              <w:spacing w:before="40" w:after="40"/>
              <w:jc w:val="right"/>
              <w:rPr>
                <w:rFonts w:eastAsia="Cambria" w:cs="Arial"/>
                <w:spacing w:val="4"/>
                <w:sz w:val="20"/>
                <w:szCs w:val="20"/>
                <w:lang w:val="en-GB"/>
              </w:rPr>
            </w:pPr>
            <w:r w:rsidRPr="00673DB4">
              <w:rPr>
                <w:rFonts w:eastAsia="Cambria" w:cs="Arial"/>
                <w:spacing w:val="4"/>
                <w:sz w:val="20"/>
                <w:szCs w:val="20"/>
                <w:lang w:val="en-GB"/>
              </w:rPr>
              <w:t>215.7</w:t>
            </w:r>
          </w:p>
        </w:tc>
      </w:tr>
      <w:tr w:rsidR="00AB6753" w14:paraId="2926CF51" w14:textId="77777777" w:rsidTr="002D1EA4">
        <w:trPr>
          <w:cnfStyle w:val="000000100000" w:firstRow="0" w:lastRow="0" w:firstColumn="0" w:lastColumn="0" w:oddVBand="0" w:evenVBand="0" w:oddHBand="1" w:evenHBand="0" w:firstRowFirstColumn="0" w:firstRowLastColumn="0" w:lastRowFirstColumn="0" w:lastRowLastColumn="0"/>
          <w:trHeight w:val="187"/>
        </w:trPr>
        <w:tc>
          <w:tcPr>
            <w:tcW w:w="2414" w:type="pct"/>
            <w:shd w:val="clear" w:color="auto" w:fill="BFBFBF" w:themeFill="background1" w:themeFillShade="BF"/>
            <w:hideMark/>
          </w:tcPr>
          <w:p w14:paraId="6A2E603D" w14:textId="77777777" w:rsidR="00AB6753" w:rsidRDefault="00AB6753" w:rsidP="002D1EA4">
            <w:pPr>
              <w:keepNext/>
              <w:keepLines/>
              <w:spacing w:before="40" w:after="40"/>
              <w:rPr>
                <w:rFonts w:eastAsia="Times New Roman" w:cs="Times New Roman"/>
                <w:b/>
                <w:color w:val="000000" w:themeColor="text1"/>
                <w:sz w:val="20"/>
                <w:szCs w:val="20"/>
                <w:lang w:val="en-GB"/>
              </w:rPr>
            </w:pPr>
            <w:r>
              <w:rPr>
                <w:rFonts w:eastAsia="Times New Roman" w:cs="Times New Roman"/>
                <w:b/>
                <w:color w:val="000000" w:themeColor="text1"/>
                <w:sz w:val="20"/>
                <w:szCs w:val="20"/>
                <w:lang w:val="en-GB"/>
              </w:rPr>
              <w:t>Total expenses</w:t>
            </w:r>
          </w:p>
        </w:tc>
        <w:tc>
          <w:tcPr>
            <w:tcW w:w="776" w:type="pct"/>
            <w:shd w:val="clear" w:color="auto" w:fill="BFBFBF" w:themeFill="background1" w:themeFillShade="BF"/>
          </w:tcPr>
          <w:p w14:paraId="102EF4C8" w14:textId="77777777" w:rsidR="00AB6753" w:rsidRDefault="00AB6753" w:rsidP="002D1EA4">
            <w:pPr>
              <w:keepNext/>
              <w:keepLines/>
              <w:spacing w:before="40" w:after="40"/>
              <w:jc w:val="right"/>
              <w:rPr>
                <w:rFonts w:eastAsia="Times New Roman" w:cs="Times New Roman"/>
                <w:b/>
                <w:sz w:val="20"/>
                <w:szCs w:val="20"/>
                <w:lang w:val="en-GB"/>
              </w:rPr>
            </w:pPr>
            <w:r w:rsidRPr="00673DB4">
              <w:rPr>
                <w:rFonts w:eastAsia="Cambria"/>
                <w:b/>
                <w:spacing w:val="4"/>
                <w:sz w:val="20"/>
                <w:szCs w:val="20"/>
                <w:lang w:val="en-GB"/>
              </w:rPr>
              <w:t>140,969.5</w:t>
            </w:r>
          </w:p>
        </w:tc>
        <w:tc>
          <w:tcPr>
            <w:tcW w:w="776" w:type="pct"/>
            <w:shd w:val="clear" w:color="auto" w:fill="BFBFBF" w:themeFill="background1" w:themeFillShade="BF"/>
            <w:hideMark/>
          </w:tcPr>
          <w:p w14:paraId="7471505B" w14:textId="77777777" w:rsidR="00AB6753" w:rsidRDefault="00AB6753" w:rsidP="002D1EA4">
            <w:pPr>
              <w:keepNext/>
              <w:keepLines/>
              <w:spacing w:before="40" w:after="40"/>
              <w:jc w:val="right"/>
              <w:rPr>
                <w:rFonts w:eastAsia="Times New Roman" w:cs="Times New Roman"/>
                <w:b/>
                <w:sz w:val="20"/>
                <w:szCs w:val="20"/>
                <w:lang w:val="en-GB"/>
              </w:rPr>
            </w:pPr>
            <w:r>
              <w:rPr>
                <w:rFonts w:eastAsia="Times New Roman" w:cs="Times New Roman"/>
                <w:b/>
                <w:sz w:val="20"/>
                <w:szCs w:val="20"/>
                <w:lang w:val="en-GB"/>
              </w:rPr>
              <w:t>119,139.2</w:t>
            </w:r>
          </w:p>
        </w:tc>
        <w:tc>
          <w:tcPr>
            <w:tcW w:w="1034" w:type="pct"/>
            <w:shd w:val="clear" w:color="auto" w:fill="BFBFBF" w:themeFill="background1" w:themeFillShade="BF"/>
          </w:tcPr>
          <w:p w14:paraId="3A2499A3" w14:textId="77777777" w:rsidR="00AB6753" w:rsidRDefault="00AB6753" w:rsidP="002D1EA4">
            <w:pPr>
              <w:keepNext/>
              <w:keepLines/>
              <w:spacing w:before="40" w:after="40"/>
              <w:jc w:val="right"/>
              <w:rPr>
                <w:rFonts w:eastAsia="Cambria"/>
                <w:b/>
                <w:spacing w:val="4"/>
                <w:sz w:val="20"/>
                <w:szCs w:val="20"/>
                <w:lang w:val="en-GB"/>
              </w:rPr>
            </w:pPr>
            <w:r w:rsidRPr="00673DB4">
              <w:rPr>
                <w:rFonts w:eastAsia="Cambria"/>
                <w:b/>
                <w:spacing w:val="4"/>
                <w:sz w:val="20"/>
                <w:szCs w:val="20"/>
                <w:lang w:val="en-GB"/>
              </w:rPr>
              <w:t>21,830.3</w:t>
            </w:r>
          </w:p>
        </w:tc>
      </w:tr>
      <w:tr w:rsidR="00AB6753" w14:paraId="0B8B87E0" w14:textId="77777777" w:rsidTr="002D1EA4">
        <w:tc>
          <w:tcPr>
            <w:tcW w:w="2414" w:type="pct"/>
            <w:hideMark/>
          </w:tcPr>
          <w:p w14:paraId="50EC2CBE" w14:textId="77777777" w:rsidR="00AB6753" w:rsidRDefault="00AB6753" w:rsidP="002D1EA4">
            <w:pPr>
              <w:spacing w:before="40" w:after="40"/>
              <w:rPr>
                <w:rFonts w:eastAsia="Times New Roman" w:cs="Arial"/>
                <w:color w:val="000000" w:themeColor="text1"/>
                <w:spacing w:val="4"/>
                <w:sz w:val="20"/>
                <w:szCs w:val="20"/>
                <w:lang w:val="en-GB"/>
              </w:rPr>
            </w:pPr>
            <w:r>
              <w:rPr>
                <w:rFonts w:eastAsia="Times New Roman" w:cs="Arial"/>
                <w:color w:val="000000" w:themeColor="text1"/>
                <w:spacing w:val="4"/>
                <w:sz w:val="20"/>
                <w:szCs w:val="20"/>
                <w:lang w:val="en-GB"/>
              </w:rPr>
              <w:t>Financial assets</w:t>
            </w:r>
          </w:p>
        </w:tc>
        <w:tc>
          <w:tcPr>
            <w:tcW w:w="776" w:type="pct"/>
          </w:tcPr>
          <w:p w14:paraId="0F7D5875" w14:textId="77777777" w:rsidR="00AB6753" w:rsidRDefault="00AB6753" w:rsidP="002D1EA4">
            <w:pPr>
              <w:spacing w:before="40" w:after="40"/>
              <w:jc w:val="right"/>
              <w:rPr>
                <w:rFonts w:eastAsia="Cambria" w:cs="Arial"/>
                <w:spacing w:val="4"/>
                <w:sz w:val="20"/>
                <w:szCs w:val="20"/>
                <w:lang w:val="en-GB"/>
              </w:rPr>
            </w:pPr>
            <w:r w:rsidRPr="00673DB4">
              <w:rPr>
                <w:rFonts w:eastAsia="Cambria" w:cs="Arial"/>
                <w:spacing w:val="4"/>
                <w:sz w:val="20"/>
                <w:szCs w:val="20"/>
                <w:lang w:val="en-GB"/>
              </w:rPr>
              <w:t>6,398.4</w:t>
            </w:r>
          </w:p>
        </w:tc>
        <w:tc>
          <w:tcPr>
            <w:tcW w:w="776" w:type="pct"/>
            <w:hideMark/>
          </w:tcPr>
          <w:p w14:paraId="56B73567" w14:textId="77777777" w:rsidR="00AB6753" w:rsidRDefault="00AB6753" w:rsidP="002D1EA4">
            <w:pPr>
              <w:spacing w:before="40" w:after="40"/>
              <w:jc w:val="right"/>
              <w:rPr>
                <w:rFonts w:eastAsia="Cambria" w:cs="Arial"/>
                <w:spacing w:val="4"/>
                <w:sz w:val="20"/>
                <w:szCs w:val="20"/>
                <w:lang w:val="en-GB"/>
              </w:rPr>
            </w:pPr>
            <w:r>
              <w:rPr>
                <w:rFonts w:eastAsia="Cambria" w:cs="Arial"/>
                <w:spacing w:val="4"/>
                <w:sz w:val="20"/>
                <w:szCs w:val="20"/>
                <w:lang w:val="en-GB"/>
              </w:rPr>
              <w:t>7,495.6</w:t>
            </w:r>
          </w:p>
        </w:tc>
        <w:tc>
          <w:tcPr>
            <w:tcW w:w="1034" w:type="pct"/>
          </w:tcPr>
          <w:p w14:paraId="4D889366" w14:textId="77777777" w:rsidR="00AB6753" w:rsidRDefault="00AB6753" w:rsidP="002D1EA4">
            <w:pPr>
              <w:spacing w:before="40" w:after="40"/>
              <w:jc w:val="right"/>
              <w:rPr>
                <w:rFonts w:eastAsia="Cambria" w:cs="Arial"/>
                <w:spacing w:val="4"/>
                <w:sz w:val="20"/>
                <w:szCs w:val="20"/>
                <w:lang w:val="en-GB"/>
              </w:rPr>
            </w:pPr>
            <w:r w:rsidRPr="00673DB4">
              <w:rPr>
                <w:rFonts w:eastAsia="Cambria" w:cs="Arial"/>
                <w:spacing w:val="4"/>
                <w:sz w:val="20"/>
                <w:szCs w:val="20"/>
                <w:lang w:val="en-GB"/>
              </w:rPr>
              <w:t>(1,097.2)</w:t>
            </w:r>
          </w:p>
        </w:tc>
      </w:tr>
      <w:tr w:rsidR="00AB6753" w14:paraId="461E33D5" w14:textId="77777777" w:rsidTr="002D1EA4">
        <w:trPr>
          <w:cnfStyle w:val="000000100000" w:firstRow="0" w:lastRow="0" w:firstColumn="0" w:lastColumn="0" w:oddVBand="0" w:evenVBand="0" w:oddHBand="1" w:evenHBand="0" w:firstRowFirstColumn="0" w:firstRowLastColumn="0" w:lastRowFirstColumn="0" w:lastRowLastColumn="0"/>
        </w:trPr>
        <w:tc>
          <w:tcPr>
            <w:tcW w:w="2414" w:type="pct"/>
            <w:hideMark/>
          </w:tcPr>
          <w:p w14:paraId="02E84B5C" w14:textId="77777777" w:rsidR="00AB6753" w:rsidRDefault="00AB6753" w:rsidP="002D1EA4">
            <w:pPr>
              <w:spacing w:before="40" w:after="40"/>
              <w:rPr>
                <w:rFonts w:eastAsia="Times New Roman"/>
                <w:color w:val="000000" w:themeColor="text1"/>
                <w:spacing w:val="4"/>
                <w:sz w:val="20"/>
                <w:szCs w:val="20"/>
                <w:lang w:val="en-GB"/>
              </w:rPr>
            </w:pPr>
            <w:r>
              <w:rPr>
                <w:rFonts w:eastAsia="Times New Roman"/>
                <w:color w:val="000000" w:themeColor="text1"/>
                <w:spacing w:val="4"/>
                <w:sz w:val="20"/>
                <w:szCs w:val="20"/>
                <w:lang w:val="en-GB"/>
              </w:rPr>
              <w:t>Liabilities</w:t>
            </w:r>
          </w:p>
        </w:tc>
        <w:tc>
          <w:tcPr>
            <w:tcW w:w="776" w:type="pct"/>
          </w:tcPr>
          <w:p w14:paraId="249FB7A1" w14:textId="77777777" w:rsidR="00AB6753" w:rsidRDefault="00AB6753" w:rsidP="002D1EA4">
            <w:pPr>
              <w:spacing w:before="40" w:after="40"/>
              <w:jc w:val="right"/>
              <w:rPr>
                <w:rFonts w:eastAsia="Cambria"/>
                <w:spacing w:val="4"/>
                <w:sz w:val="20"/>
                <w:szCs w:val="20"/>
                <w:lang w:val="en-GB"/>
              </w:rPr>
            </w:pPr>
            <w:r>
              <w:rPr>
                <w:rFonts w:eastAsia="Cambria"/>
                <w:spacing w:val="4"/>
                <w:sz w:val="20"/>
                <w:szCs w:val="20"/>
                <w:lang w:val="en-GB"/>
              </w:rPr>
              <w:t>8,866</w:t>
            </w:r>
            <w:r w:rsidRPr="00673DB4">
              <w:rPr>
                <w:rFonts w:eastAsia="Cambria"/>
                <w:spacing w:val="4"/>
                <w:sz w:val="20"/>
                <w:szCs w:val="20"/>
                <w:lang w:val="en-GB"/>
              </w:rPr>
              <w:t>.1</w:t>
            </w:r>
          </w:p>
        </w:tc>
        <w:tc>
          <w:tcPr>
            <w:tcW w:w="776" w:type="pct"/>
            <w:hideMark/>
          </w:tcPr>
          <w:p w14:paraId="1E545F9A" w14:textId="77777777" w:rsidR="00AB6753" w:rsidRDefault="00AB6753" w:rsidP="002D1EA4">
            <w:pPr>
              <w:spacing w:before="40" w:after="40"/>
              <w:jc w:val="right"/>
              <w:rPr>
                <w:rFonts w:eastAsia="Cambria"/>
                <w:spacing w:val="4"/>
                <w:sz w:val="20"/>
                <w:szCs w:val="20"/>
                <w:lang w:val="en-GB"/>
              </w:rPr>
            </w:pPr>
            <w:r>
              <w:rPr>
                <w:rFonts w:eastAsia="Cambria"/>
                <w:spacing w:val="4"/>
                <w:sz w:val="20"/>
                <w:szCs w:val="20"/>
                <w:lang w:val="en-GB"/>
              </w:rPr>
              <w:t>6,632.6</w:t>
            </w:r>
          </w:p>
        </w:tc>
        <w:tc>
          <w:tcPr>
            <w:tcW w:w="1034" w:type="pct"/>
          </w:tcPr>
          <w:p w14:paraId="25E465B2" w14:textId="77777777" w:rsidR="00AB6753" w:rsidRDefault="00AB6753" w:rsidP="002D1EA4">
            <w:pPr>
              <w:tabs>
                <w:tab w:val="left" w:pos="1245"/>
              </w:tabs>
              <w:spacing w:before="40" w:after="40"/>
              <w:jc w:val="right"/>
              <w:rPr>
                <w:rFonts w:eastAsia="Cambria"/>
                <w:spacing w:val="4"/>
                <w:sz w:val="20"/>
                <w:szCs w:val="20"/>
                <w:lang w:val="en-GB"/>
              </w:rPr>
            </w:pPr>
            <w:r>
              <w:rPr>
                <w:rFonts w:eastAsia="Cambria"/>
                <w:spacing w:val="4"/>
                <w:sz w:val="20"/>
                <w:szCs w:val="20"/>
                <w:lang w:val="en-GB"/>
              </w:rPr>
              <w:t>2,233</w:t>
            </w:r>
            <w:r w:rsidRPr="00673DB4">
              <w:rPr>
                <w:rFonts w:eastAsia="Cambria"/>
                <w:spacing w:val="4"/>
                <w:sz w:val="20"/>
                <w:szCs w:val="20"/>
                <w:lang w:val="en-GB"/>
              </w:rPr>
              <w:t>.5</w:t>
            </w:r>
          </w:p>
        </w:tc>
      </w:tr>
    </w:tbl>
    <w:p w14:paraId="0FB747E0" w14:textId="77777777" w:rsidR="00AB6753" w:rsidRPr="00AB5C94" w:rsidRDefault="00AB6753" w:rsidP="00AB6753">
      <w:pPr>
        <w:rPr>
          <w:b/>
          <w:highlight w:val="yellow"/>
        </w:rPr>
      </w:pPr>
      <w:r>
        <w:rPr>
          <w:rFonts w:ascii="Georgia" w:eastAsiaTheme="majorEastAsia" w:hAnsi="Georgia" w:cstheme="majorBidi"/>
          <w:sz w:val="36"/>
        </w:rPr>
        <w:br/>
      </w:r>
    </w:p>
    <w:p w14:paraId="054D1985" w14:textId="77777777" w:rsidR="00AB6753" w:rsidRPr="00833C50" w:rsidRDefault="00AB6753" w:rsidP="00AB6753">
      <w:pPr>
        <w:pStyle w:val="Heading4"/>
        <w:spacing w:after="200"/>
        <w:rPr>
          <w:rFonts w:ascii="Georgia" w:hAnsi="Georgia"/>
          <w:b w:val="0"/>
          <w:i w:val="0"/>
          <w:sz w:val="36"/>
        </w:rPr>
      </w:pPr>
      <w:r w:rsidRPr="00833C50">
        <w:rPr>
          <w:rFonts w:ascii="Georgia" w:hAnsi="Georgia"/>
          <w:b w:val="0"/>
          <w:i w:val="0"/>
          <w:sz w:val="36"/>
        </w:rPr>
        <w:t>Assets management</w:t>
      </w:r>
    </w:p>
    <w:p w14:paraId="79D8BF2E" w14:textId="77777777" w:rsidR="00AB6753" w:rsidRPr="00EE7232" w:rsidRDefault="00AB6753" w:rsidP="00AB6753">
      <w:pPr>
        <w:autoSpaceDE w:val="0"/>
        <w:autoSpaceDN w:val="0"/>
        <w:adjustRightInd w:val="0"/>
        <w:spacing w:before="120" w:after="180" w:line="280" w:lineRule="atLeast"/>
        <w:ind w:right="-164"/>
        <w:rPr>
          <w:sz w:val="20"/>
          <w:szCs w:val="20"/>
        </w:rPr>
      </w:pPr>
      <w:r w:rsidRPr="00EE7232">
        <w:rPr>
          <w:sz w:val="20"/>
          <w:szCs w:val="20"/>
        </w:rPr>
        <w:t>Our assets are managed under the authority of section 20A of the PGPA Act, relevant accounting standards and Department of Finance requirements.</w:t>
      </w:r>
    </w:p>
    <w:p w14:paraId="0B2B4CF0" w14:textId="77777777" w:rsidR="00AB6753" w:rsidRPr="00EE7232" w:rsidRDefault="00AB6753" w:rsidP="00AB6753">
      <w:pPr>
        <w:autoSpaceDE w:val="0"/>
        <w:autoSpaceDN w:val="0"/>
        <w:adjustRightInd w:val="0"/>
        <w:spacing w:before="120" w:after="180" w:line="280" w:lineRule="atLeast"/>
        <w:ind w:right="-164"/>
        <w:rPr>
          <w:sz w:val="20"/>
          <w:szCs w:val="20"/>
        </w:rPr>
      </w:pPr>
      <w:r w:rsidRPr="00EE7232">
        <w:rPr>
          <w:sz w:val="20"/>
          <w:szCs w:val="20"/>
        </w:rPr>
        <w:t>We invest in new assets to improve our systems and processes. We manage capital investment through an annual capital plan that reflects both government priorities and ongoing business needs.</w:t>
      </w:r>
    </w:p>
    <w:p w14:paraId="1733452B" w14:textId="77777777" w:rsidR="00AB6753" w:rsidRPr="00833C50" w:rsidRDefault="00AB6753" w:rsidP="00AB6753">
      <w:pPr>
        <w:pStyle w:val="Heading4"/>
        <w:spacing w:after="200"/>
        <w:rPr>
          <w:rFonts w:ascii="Georgia" w:hAnsi="Georgia"/>
          <w:b w:val="0"/>
          <w:i w:val="0"/>
          <w:sz w:val="36"/>
        </w:rPr>
      </w:pPr>
      <w:r w:rsidRPr="00833C50">
        <w:rPr>
          <w:rFonts w:ascii="Georgia" w:hAnsi="Georgia"/>
          <w:b w:val="0"/>
          <w:i w:val="0"/>
          <w:sz w:val="36"/>
        </w:rPr>
        <w:t>Consultants</w:t>
      </w:r>
    </w:p>
    <w:p w14:paraId="24F13C05" w14:textId="77777777" w:rsidR="00AB6753" w:rsidRDefault="00AB6753" w:rsidP="00AB6753">
      <w:pPr>
        <w:autoSpaceDE w:val="0"/>
        <w:autoSpaceDN w:val="0"/>
        <w:adjustRightInd w:val="0"/>
        <w:spacing w:before="120" w:after="180" w:line="280" w:lineRule="atLeast"/>
        <w:ind w:right="-164"/>
        <w:rPr>
          <w:sz w:val="20"/>
          <w:szCs w:val="20"/>
        </w:rPr>
      </w:pPr>
      <w:bookmarkStart w:id="46" w:name="_Ref456700396"/>
      <w:bookmarkStart w:id="47" w:name="_Toc457747544"/>
      <w:bookmarkStart w:id="48" w:name="Table3_4_3"/>
      <w:r>
        <w:rPr>
          <w:sz w:val="20"/>
          <w:szCs w:val="20"/>
        </w:rPr>
        <w:t>During 2019–20</w:t>
      </w:r>
      <w:r w:rsidRPr="002A5764">
        <w:rPr>
          <w:sz w:val="20"/>
          <w:szCs w:val="20"/>
        </w:rPr>
        <w:t xml:space="preserve">, </w:t>
      </w:r>
      <w:r>
        <w:rPr>
          <w:sz w:val="20"/>
          <w:szCs w:val="20"/>
        </w:rPr>
        <w:t>88</w:t>
      </w:r>
      <w:r w:rsidRPr="002A5764">
        <w:rPr>
          <w:sz w:val="20"/>
          <w:szCs w:val="20"/>
        </w:rPr>
        <w:t xml:space="preserve"> new consultancy contracts were entered into involving total actual expenditure of $</w:t>
      </w:r>
      <w:r>
        <w:rPr>
          <w:sz w:val="20"/>
          <w:szCs w:val="20"/>
        </w:rPr>
        <w:t>26.6</w:t>
      </w:r>
      <w:r w:rsidRPr="002A5764">
        <w:rPr>
          <w:sz w:val="20"/>
          <w:szCs w:val="20"/>
        </w:rPr>
        <w:t xml:space="preserve"> million. In addition, </w:t>
      </w:r>
      <w:r>
        <w:rPr>
          <w:sz w:val="20"/>
          <w:szCs w:val="20"/>
        </w:rPr>
        <w:t>51</w:t>
      </w:r>
      <w:r w:rsidRPr="002A5764">
        <w:rPr>
          <w:sz w:val="20"/>
          <w:szCs w:val="20"/>
        </w:rPr>
        <w:t xml:space="preserve"> ongoing consultancy contracts were active during the period, involving total actual expenditure of $</w:t>
      </w:r>
      <w:r>
        <w:rPr>
          <w:sz w:val="20"/>
          <w:szCs w:val="20"/>
        </w:rPr>
        <w:t>9.7</w:t>
      </w:r>
      <w:r w:rsidRPr="002A5764">
        <w:rPr>
          <w:sz w:val="20"/>
          <w:szCs w:val="20"/>
        </w:rPr>
        <w:t xml:space="preserve"> million.</w:t>
      </w:r>
    </w:p>
    <w:p w14:paraId="55984489" w14:textId="1E8F78EF" w:rsidR="00AB6753" w:rsidRDefault="00AB6753" w:rsidP="00AB6753">
      <w:pPr>
        <w:autoSpaceDE w:val="0"/>
        <w:autoSpaceDN w:val="0"/>
        <w:adjustRightInd w:val="0"/>
        <w:spacing w:before="120" w:after="180" w:line="280" w:lineRule="atLeast"/>
        <w:ind w:right="-164"/>
        <w:rPr>
          <w:sz w:val="20"/>
          <w:szCs w:val="20"/>
        </w:rPr>
      </w:pPr>
      <w:r>
        <w:rPr>
          <w:sz w:val="20"/>
          <w:szCs w:val="20"/>
        </w:rPr>
        <w:t>We contract providers for specialist expertise or when independent research, review, or assessment</w:t>
      </w:r>
      <w:r w:rsidR="00F111F2">
        <w:rPr>
          <w:sz w:val="20"/>
          <w:szCs w:val="20"/>
        </w:rPr>
        <w:br/>
      </w:r>
      <w:r>
        <w:rPr>
          <w:sz w:val="20"/>
          <w:szCs w:val="20"/>
        </w:rPr>
        <w:t>is required. Decisions to engage consultants were made after considering the skills and resources required for the task, internal capacity, and the cost effectiveness of contracting an external service provider. Consultants were engaged in line with the PGPA Act and related regulations.</w:t>
      </w:r>
    </w:p>
    <w:p w14:paraId="4D8A28DD" w14:textId="77777777" w:rsidR="00AB6753" w:rsidRPr="00EE7232" w:rsidRDefault="00AB6753" w:rsidP="00AB6753">
      <w:pPr>
        <w:autoSpaceDE w:val="0"/>
        <w:autoSpaceDN w:val="0"/>
        <w:adjustRightInd w:val="0"/>
        <w:spacing w:before="120" w:after="180" w:line="280" w:lineRule="atLeast"/>
        <w:ind w:right="-164"/>
        <w:rPr>
          <w:sz w:val="20"/>
          <w:szCs w:val="20"/>
        </w:rPr>
      </w:pPr>
      <w:r w:rsidRPr="00EE7232">
        <w:rPr>
          <w:sz w:val="20"/>
          <w:szCs w:val="20"/>
        </w:rPr>
        <w:t xml:space="preserve">Annual </w:t>
      </w:r>
      <w:r>
        <w:rPr>
          <w:sz w:val="20"/>
          <w:szCs w:val="20"/>
        </w:rPr>
        <w:t>r</w:t>
      </w:r>
      <w:r w:rsidRPr="00EE7232">
        <w:rPr>
          <w:sz w:val="20"/>
          <w:szCs w:val="20"/>
        </w:rPr>
        <w:t>eports contain information about actual expenditure on contracts for consultancies.</w:t>
      </w:r>
      <w:r>
        <w:rPr>
          <w:sz w:val="20"/>
          <w:szCs w:val="20"/>
        </w:rPr>
        <w:t xml:space="preserve"> Further i</w:t>
      </w:r>
      <w:r w:rsidRPr="00EE7232">
        <w:rPr>
          <w:sz w:val="20"/>
          <w:szCs w:val="20"/>
        </w:rPr>
        <w:t xml:space="preserve">nformation on the value of contracts and consultancies </w:t>
      </w:r>
      <w:r>
        <w:rPr>
          <w:sz w:val="20"/>
          <w:szCs w:val="20"/>
        </w:rPr>
        <w:t xml:space="preserve">is </w:t>
      </w:r>
      <w:r w:rsidRPr="00EE7232">
        <w:rPr>
          <w:sz w:val="20"/>
          <w:szCs w:val="20"/>
        </w:rPr>
        <w:t xml:space="preserve">available on the </w:t>
      </w:r>
      <w:proofErr w:type="spellStart"/>
      <w:r w:rsidRPr="00EE7232">
        <w:rPr>
          <w:sz w:val="20"/>
          <w:szCs w:val="20"/>
        </w:rPr>
        <w:t>AusTender</w:t>
      </w:r>
      <w:proofErr w:type="spellEnd"/>
      <w:r w:rsidRPr="00EE7232">
        <w:rPr>
          <w:sz w:val="20"/>
          <w:szCs w:val="20"/>
        </w:rPr>
        <w:t xml:space="preserve"> website</w:t>
      </w:r>
      <w:r>
        <w:rPr>
          <w:sz w:val="20"/>
          <w:szCs w:val="20"/>
        </w:rPr>
        <w:t>. To view the value of contracts and consultancies, go to</w:t>
      </w:r>
      <w:r w:rsidRPr="00EE7232">
        <w:rPr>
          <w:sz w:val="20"/>
          <w:szCs w:val="20"/>
        </w:rPr>
        <w:t xml:space="preserve"> tenders.gov.au</w:t>
      </w:r>
    </w:p>
    <w:p w14:paraId="484E921B" w14:textId="77777777" w:rsidR="00AB6753" w:rsidRDefault="00AB6753" w:rsidP="00AB6753">
      <w:pPr>
        <w:autoSpaceDE w:val="0"/>
        <w:autoSpaceDN w:val="0"/>
        <w:adjustRightInd w:val="0"/>
        <w:spacing w:before="120" w:after="180" w:line="280" w:lineRule="atLeast"/>
        <w:ind w:right="-164"/>
        <w:rPr>
          <w:sz w:val="20"/>
          <w:szCs w:val="20"/>
        </w:rPr>
      </w:pPr>
      <w:r>
        <w:rPr>
          <w:sz w:val="20"/>
          <w:szCs w:val="20"/>
        </w:rPr>
        <w:t>Summary information on consultancy services is set out in Tables 4.4.3 and 4.4.4.</w:t>
      </w:r>
    </w:p>
    <w:p w14:paraId="0947FE43" w14:textId="77777777" w:rsidR="00AB6753" w:rsidRDefault="00AB6753" w:rsidP="00AB6753">
      <w:pPr>
        <w:rPr>
          <w:rFonts w:ascii="Arial Narrow" w:eastAsia="Times New Roman" w:hAnsi="Arial Narrow" w:cs="Times New Roman"/>
          <w:b/>
          <w:bCs/>
          <w:sz w:val="20"/>
          <w:szCs w:val="18"/>
        </w:rPr>
      </w:pPr>
      <w:r>
        <w:rPr>
          <w:rFonts w:ascii="Arial Narrow" w:eastAsia="Times New Roman" w:hAnsi="Arial Narrow" w:cs="Times New Roman"/>
          <w:b/>
          <w:bCs/>
          <w:sz w:val="20"/>
          <w:szCs w:val="18"/>
        </w:rPr>
        <w:br w:type="page"/>
      </w:r>
    </w:p>
    <w:p w14:paraId="29F20BC2" w14:textId="77777777" w:rsidR="00AB6753" w:rsidRDefault="00AB6753" w:rsidP="00AB6753">
      <w:pPr>
        <w:spacing w:after="0" w:line="240" w:lineRule="auto"/>
        <w:rPr>
          <w:rFonts w:ascii="Arial Narrow" w:eastAsia="Times New Roman" w:hAnsi="Arial Narrow" w:cs="Times New Roman"/>
          <w:b/>
          <w:bCs/>
          <w:sz w:val="20"/>
          <w:szCs w:val="18"/>
        </w:rPr>
      </w:pPr>
    </w:p>
    <w:bookmarkEnd w:id="46"/>
    <w:bookmarkEnd w:id="47"/>
    <w:bookmarkEnd w:id="48"/>
    <w:p w14:paraId="45B9ECE4" w14:textId="77777777" w:rsidR="00AB6753" w:rsidRPr="0067554D" w:rsidRDefault="00AB6753" w:rsidP="00AB6753">
      <w:pPr>
        <w:spacing w:after="0" w:line="240" w:lineRule="auto"/>
        <w:rPr>
          <w:rFonts w:ascii="Arial Narrow" w:eastAsia="Times New Roman" w:hAnsi="Arial Narrow" w:cs="Times New Roman"/>
          <w:b/>
          <w:bCs/>
          <w:color w:val="FF0000"/>
          <w:sz w:val="20"/>
          <w:szCs w:val="18"/>
        </w:rPr>
      </w:pPr>
      <w:r w:rsidRPr="0067554D">
        <w:rPr>
          <w:rFonts w:ascii="Arial Narrow" w:eastAsia="Times New Roman" w:hAnsi="Arial Narrow" w:cs="Times New Roman"/>
          <w:b/>
          <w:bCs/>
          <w:sz w:val="20"/>
          <w:szCs w:val="18"/>
        </w:rPr>
        <w:t xml:space="preserve">Table </w:t>
      </w:r>
      <w:r>
        <w:rPr>
          <w:rFonts w:ascii="Arial Narrow" w:eastAsia="Times New Roman" w:hAnsi="Arial Narrow" w:cs="Times New Roman"/>
          <w:b/>
          <w:bCs/>
          <w:sz w:val="20"/>
          <w:szCs w:val="18"/>
        </w:rPr>
        <w:t>4.4.3: Consultancies in 2019</w:t>
      </w:r>
      <w:r w:rsidRPr="0067554D">
        <w:rPr>
          <w:rFonts w:ascii="Arial Narrow" w:eastAsia="Times New Roman" w:hAnsi="Arial Narrow" w:cs="Times New Roman"/>
          <w:b/>
          <w:bCs/>
          <w:sz w:val="20"/>
          <w:szCs w:val="18"/>
        </w:rPr>
        <w:t>–</w:t>
      </w:r>
      <w:r>
        <w:rPr>
          <w:rFonts w:ascii="Arial Narrow" w:eastAsia="Times New Roman" w:hAnsi="Arial Narrow" w:cs="Times New Roman"/>
          <w:b/>
          <w:bCs/>
          <w:sz w:val="20"/>
          <w:szCs w:val="18"/>
        </w:rPr>
        <w:t>20</w:t>
      </w:r>
    </w:p>
    <w:p w14:paraId="08C1B163" w14:textId="77777777" w:rsidR="00AB6753" w:rsidRPr="0067554D" w:rsidRDefault="00AB6753" w:rsidP="00AB6753">
      <w:pPr>
        <w:spacing w:after="0" w:line="240" w:lineRule="auto"/>
        <w:rPr>
          <w:rFonts w:ascii="Arial Narrow" w:eastAsia="Times New Roman" w:hAnsi="Arial Narrow" w:cs="Times New Roman"/>
          <w:b/>
          <w:bCs/>
          <w:color w:val="FF0000"/>
          <w:sz w:val="20"/>
          <w:szCs w:val="18"/>
        </w:rPr>
      </w:pPr>
    </w:p>
    <w:tbl>
      <w:tblPr>
        <w:tblStyle w:val="Verticaltable"/>
        <w:tblW w:w="5000" w:type="pct"/>
        <w:tblLayout w:type="fixed"/>
        <w:tblLook w:val="04A0" w:firstRow="1" w:lastRow="0" w:firstColumn="1" w:lastColumn="0" w:noHBand="0" w:noVBand="1"/>
        <w:tblCaption w:val="Table 4.4.3: Consultancies in 2018–19"/>
        <w:tblDescription w:val="New consultancies let in 2019-20 88 expenditure GST inclusive $26.6 million. Ongoing consultancies active 51 expenditure GST inclusive $9.7 million."/>
      </w:tblPr>
      <w:tblGrid>
        <w:gridCol w:w="4849"/>
        <w:gridCol w:w="1484"/>
        <w:gridCol w:w="2693"/>
      </w:tblGrid>
      <w:tr w:rsidR="00AB6753" w14:paraId="6FF59666" w14:textId="77777777" w:rsidTr="002D1EA4">
        <w:trPr>
          <w:cnfStyle w:val="100000000000" w:firstRow="1" w:lastRow="0" w:firstColumn="0" w:lastColumn="0" w:oddVBand="0" w:evenVBand="0" w:oddHBand="0" w:evenHBand="0" w:firstRowFirstColumn="0" w:firstRowLastColumn="0" w:lastRowFirstColumn="0" w:lastRowLastColumn="0"/>
        </w:trPr>
        <w:tc>
          <w:tcPr>
            <w:tcW w:w="2686" w:type="pct"/>
          </w:tcPr>
          <w:p w14:paraId="09BECC2E" w14:textId="77777777" w:rsidR="00AB6753" w:rsidRPr="00F903A2" w:rsidRDefault="00AB6753" w:rsidP="002D1EA4">
            <w:pPr>
              <w:keepNext/>
              <w:keepLines/>
              <w:spacing w:before="40" w:after="40"/>
              <w:ind w:right="-4361"/>
              <w:jc w:val="right"/>
              <w:rPr>
                <w:rFonts w:eastAsia="Cambria" w:cs="Times New Roman"/>
                <w:b w:val="0"/>
                <w:sz w:val="20"/>
                <w:szCs w:val="20"/>
                <w:lang w:val="en-GB"/>
              </w:rPr>
            </w:pPr>
            <w:bookmarkStart w:id="49" w:name="_Ref456700402"/>
            <w:bookmarkStart w:id="50" w:name="_Ref456700448"/>
            <w:bookmarkStart w:id="51" w:name="_Toc457747545"/>
            <w:bookmarkStart w:id="52" w:name="Figure3_4_4"/>
            <w:bookmarkStart w:id="53" w:name="Table3_4_4"/>
          </w:p>
        </w:tc>
        <w:tc>
          <w:tcPr>
            <w:tcW w:w="822" w:type="pct"/>
          </w:tcPr>
          <w:p w14:paraId="77ABB070" w14:textId="77777777" w:rsidR="00AB6753" w:rsidRPr="00F903A2" w:rsidRDefault="00AB6753" w:rsidP="002D1EA4">
            <w:pPr>
              <w:keepNext/>
              <w:keepLines/>
              <w:tabs>
                <w:tab w:val="left" w:pos="1350"/>
                <w:tab w:val="left" w:pos="1545"/>
                <w:tab w:val="left" w:pos="1599"/>
                <w:tab w:val="left" w:pos="1741"/>
              </w:tabs>
              <w:spacing w:before="40" w:after="40"/>
              <w:ind w:right="-1954"/>
              <w:rPr>
                <w:rFonts w:eastAsia="Cambria" w:cs="Times New Roman"/>
                <w:b w:val="0"/>
                <w:sz w:val="20"/>
                <w:szCs w:val="20"/>
                <w:lang w:val="en-GB"/>
              </w:rPr>
            </w:pPr>
            <w:r w:rsidRPr="00F903A2">
              <w:rPr>
                <w:rFonts w:eastAsia="Cambria" w:cs="Times New Roman"/>
                <w:sz w:val="20"/>
                <w:szCs w:val="20"/>
                <w:lang w:val="en-GB"/>
              </w:rPr>
              <w:t>Number</w:t>
            </w:r>
          </w:p>
        </w:tc>
        <w:tc>
          <w:tcPr>
            <w:tcW w:w="1492" w:type="pct"/>
          </w:tcPr>
          <w:p w14:paraId="109CAD94" w14:textId="77777777" w:rsidR="00AB6753" w:rsidRPr="00F903A2" w:rsidRDefault="00AB6753" w:rsidP="002D1EA4">
            <w:pPr>
              <w:keepNext/>
              <w:keepLines/>
              <w:spacing w:before="40" w:after="40"/>
              <w:ind w:hanging="816"/>
              <w:jc w:val="right"/>
              <w:rPr>
                <w:rFonts w:eastAsia="Cambria" w:cs="Times New Roman"/>
                <w:b w:val="0"/>
                <w:sz w:val="20"/>
                <w:szCs w:val="20"/>
                <w:lang w:val="en-GB"/>
              </w:rPr>
            </w:pPr>
            <w:r w:rsidRPr="00F903A2">
              <w:rPr>
                <w:rFonts w:eastAsia="Cambria" w:cs="Times New Roman"/>
                <w:sz w:val="20"/>
                <w:szCs w:val="20"/>
                <w:lang w:val="en-GB"/>
              </w:rPr>
              <w:t>Expenditure</w:t>
            </w:r>
          </w:p>
          <w:p w14:paraId="65BBC807" w14:textId="77777777" w:rsidR="00AB6753" w:rsidRPr="00F903A2" w:rsidRDefault="00AB6753" w:rsidP="002D1EA4">
            <w:pPr>
              <w:keepNext/>
              <w:keepLines/>
              <w:spacing w:before="40" w:after="40"/>
              <w:ind w:hanging="816"/>
              <w:jc w:val="right"/>
              <w:rPr>
                <w:rFonts w:eastAsia="Cambria" w:cs="Times New Roman"/>
                <w:b w:val="0"/>
                <w:sz w:val="20"/>
                <w:szCs w:val="20"/>
                <w:lang w:val="en-GB"/>
              </w:rPr>
            </w:pPr>
            <w:r w:rsidRPr="00F903A2">
              <w:rPr>
                <w:rFonts w:eastAsia="Cambria" w:cs="Times New Roman"/>
                <w:sz w:val="20"/>
                <w:szCs w:val="20"/>
                <w:lang w:val="en-GB"/>
              </w:rPr>
              <w:t>($ million, GST incl.)</w:t>
            </w:r>
          </w:p>
        </w:tc>
      </w:tr>
      <w:tr w:rsidR="00AB6753" w14:paraId="34D76914" w14:textId="77777777" w:rsidTr="002D1EA4">
        <w:trPr>
          <w:cnfStyle w:val="000000100000" w:firstRow="0" w:lastRow="0" w:firstColumn="0" w:lastColumn="0" w:oddVBand="0" w:evenVBand="0" w:oddHBand="1" w:evenHBand="0" w:firstRowFirstColumn="0" w:firstRowLastColumn="0" w:lastRowFirstColumn="0" w:lastRowLastColumn="0"/>
        </w:trPr>
        <w:tc>
          <w:tcPr>
            <w:tcW w:w="2686" w:type="pct"/>
          </w:tcPr>
          <w:p w14:paraId="3B97A970" w14:textId="77777777" w:rsidR="00AB6753" w:rsidRDefault="00AB6753" w:rsidP="002D1EA4">
            <w:pPr>
              <w:spacing w:before="40" w:after="40"/>
              <w:rPr>
                <w:rFonts w:eastAsia="Cambria"/>
                <w:spacing w:val="4"/>
                <w:sz w:val="20"/>
                <w:szCs w:val="20"/>
                <w:lang w:val="en-GB"/>
              </w:rPr>
            </w:pPr>
            <w:r>
              <w:rPr>
                <w:rFonts w:eastAsia="Cambria"/>
                <w:spacing w:val="4"/>
                <w:sz w:val="20"/>
                <w:szCs w:val="20"/>
                <w:lang w:val="en-GB"/>
              </w:rPr>
              <w:t>New consultancies let</w:t>
            </w:r>
          </w:p>
        </w:tc>
        <w:tc>
          <w:tcPr>
            <w:tcW w:w="822" w:type="pct"/>
          </w:tcPr>
          <w:p w14:paraId="444BF432" w14:textId="77777777" w:rsidR="00AB6753" w:rsidRDefault="00AB6753" w:rsidP="002D1EA4">
            <w:pPr>
              <w:spacing w:before="40" w:after="40"/>
              <w:ind w:right="815"/>
              <w:jc w:val="right"/>
              <w:rPr>
                <w:rFonts w:eastAsia="Cambria"/>
                <w:spacing w:val="4"/>
                <w:sz w:val="20"/>
                <w:szCs w:val="20"/>
                <w:lang w:val="en-GB"/>
              </w:rPr>
            </w:pPr>
            <w:r>
              <w:rPr>
                <w:rFonts w:eastAsia="Cambria"/>
                <w:spacing w:val="4"/>
                <w:sz w:val="20"/>
                <w:szCs w:val="20"/>
                <w:lang w:val="en-GB"/>
              </w:rPr>
              <w:t>88</w:t>
            </w:r>
          </w:p>
        </w:tc>
        <w:tc>
          <w:tcPr>
            <w:tcW w:w="1492" w:type="pct"/>
          </w:tcPr>
          <w:p w14:paraId="30E3F915" w14:textId="77777777" w:rsidR="00AB6753" w:rsidRDefault="00AB6753" w:rsidP="002D1EA4">
            <w:pPr>
              <w:spacing w:before="40" w:after="40"/>
              <w:jc w:val="right"/>
              <w:rPr>
                <w:rFonts w:eastAsia="Cambria"/>
                <w:spacing w:val="4"/>
                <w:sz w:val="20"/>
                <w:szCs w:val="20"/>
                <w:lang w:val="en-GB"/>
              </w:rPr>
            </w:pPr>
            <w:r w:rsidRPr="00E135D5">
              <w:rPr>
                <w:rFonts w:eastAsia="Cambria"/>
                <w:spacing w:val="4"/>
                <w:sz w:val="20"/>
                <w:szCs w:val="20"/>
                <w:lang w:val="en-GB"/>
              </w:rPr>
              <w:t>26.6</w:t>
            </w:r>
          </w:p>
        </w:tc>
      </w:tr>
      <w:tr w:rsidR="00AB6753" w14:paraId="0F96CC95" w14:textId="77777777" w:rsidTr="002D1EA4">
        <w:tc>
          <w:tcPr>
            <w:tcW w:w="2686" w:type="pct"/>
          </w:tcPr>
          <w:p w14:paraId="46E704EC" w14:textId="77777777" w:rsidR="00AB6753" w:rsidRDefault="00AB6753" w:rsidP="002D1EA4">
            <w:pPr>
              <w:spacing w:before="40" w:after="40"/>
              <w:rPr>
                <w:rFonts w:eastAsia="Cambria" w:cs="Arial"/>
                <w:spacing w:val="4"/>
                <w:sz w:val="20"/>
                <w:szCs w:val="20"/>
                <w:lang w:val="en-GB"/>
              </w:rPr>
            </w:pPr>
            <w:r>
              <w:rPr>
                <w:rFonts w:eastAsia="Cambria" w:cs="Arial"/>
                <w:spacing w:val="4"/>
                <w:sz w:val="20"/>
                <w:szCs w:val="20"/>
                <w:lang w:val="en-GB"/>
              </w:rPr>
              <w:t>Ongoing consultancies active</w:t>
            </w:r>
          </w:p>
        </w:tc>
        <w:tc>
          <w:tcPr>
            <w:tcW w:w="822" w:type="pct"/>
          </w:tcPr>
          <w:p w14:paraId="27B4B7B7" w14:textId="77777777" w:rsidR="00AB6753" w:rsidRDefault="00AB6753" w:rsidP="002D1EA4">
            <w:pPr>
              <w:spacing w:before="40" w:after="40"/>
              <w:ind w:right="815"/>
              <w:jc w:val="right"/>
              <w:rPr>
                <w:rFonts w:eastAsia="Cambria" w:cs="Arial"/>
                <w:spacing w:val="4"/>
                <w:sz w:val="20"/>
                <w:szCs w:val="20"/>
                <w:lang w:val="en-GB"/>
              </w:rPr>
            </w:pPr>
            <w:r w:rsidRPr="00E135D5">
              <w:rPr>
                <w:rFonts w:eastAsia="Cambria" w:cs="Arial"/>
                <w:spacing w:val="4"/>
                <w:sz w:val="20"/>
                <w:szCs w:val="20"/>
                <w:lang w:val="en-GB"/>
              </w:rPr>
              <w:t>51</w:t>
            </w:r>
          </w:p>
        </w:tc>
        <w:tc>
          <w:tcPr>
            <w:tcW w:w="1492" w:type="pct"/>
          </w:tcPr>
          <w:p w14:paraId="5AF8A31F" w14:textId="77777777" w:rsidR="00AB6753" w:rsidRDefault="00AB6753" w:rsidP="002D1EA4">
            <w:pPr>
              <w:spacing w:before="40" w:after="40"/>
              <w:jc w:val="right"/>
              <w:rPr>
                <w:rFonts w:eastAsia="Cambria" w:cs="Arial"/>
                <w:spacing w:val="4"/>
                <w:sz w:val="20"/>
                <w:szCs w:val="20"/>
                <w:lang w:val="en-GB"/>
              </w:rPr>
            </w:pPr>
            <w:r>
              <w:rPr>
                <w:rFonts w:eastAsia="Cambria" w:cs="Arial"/>
                <w:spacing w:val="4"/>
                <w:sz w:val="20"/>
                <w:szCs w:val="20"/>
                <w:lang w:val="en-GB"/>
              </w:rPr>
              <w:t>9.7</w:t>
            </w:r>
          </w:p>
        </w:tc>
      </w:tr>
      <w:tr w:rsidR="00AB6753" w14:paraId="025FD2A1" w14:textId="77777777" w:rsidTr="002D1EA4">
        <w:trPr>
          <w:cnfStyle w:val="000000100000" w:firstRow="0" w:lastRow="0" w:firstColumn="0" w:lastColumn="0" w:oddVBand="0" w:evenVBand="0" w:oddHBand="1" w:evenHBand="0" w:firstRowFirstColumn="0" w:firstRowLastColumn="0" w:lastRowFirstColumn="0" w:lastRowLastColumn="0"/>
        </w:trPr>
        <w:tc>
          <w:tcPr>
            <w:tcW w:w="2686" w:type="pct"/>
            <w:shd w:val="clear" w:color="auto" w:fill="BFBFBF" w:themeFill="background1" w:themeFillShade="BF"/>
          </w:tcPr>
          <w:p w14:paraId="27332E52" w14:textId="77777777" w:rsidR="00AB6753" w:rsidRDefault="00AB6753" w:rsidP="002D1EA4">
            <w:pPr>
              <w:spacing w:before="40" w:after="40"/>
              <w:rPr>
                <w:rFonts w:eastAsia="Cambria"/>
                <w:b/>
                <w:spacing w:val="4"/>
                <w:sz w:val="20"/>
                <w:szCs w:val="20"/>
                <w:lang w:val="en-GB"/>
              </w:rPr>
            </w:pPr>
            <w:r>
              <w:rPr>
                <w:rFonts w:eastAsia="Cambria"/>
                <w:b/>
                <w:spacing w:val="4"/>
                <w:sz w:val="20"/>
                <w:szCs w:val="20"/>
                <w:lang w:val="en-GB"/>
              </w:rPr>
              <w:t>Total</w:t>
            </w:r>
          </w:p>
        </w:tc>
        <w:tc>
          <w:tcPr>
            <w:tcW w:w="822" w:type="pct"/>
            <w:shd w:val="clear" w:color="auto" w:fill="BFBFBF" w:themeFill="background1" w:themeFillShade="BF"/>
          </w:tcPr>
          <w:p w14:paraId="7184D07C" w14:textId="77777777" w:rsidR="00AB6753" w:rsidRDefault="00AB6753" w:rsidP="002D1EA4">
            <w:pPr>
              <w:tabs>
                <w:tab w:val="left" w:pos="182"/>
                <w:tab w:val="left" w:pos="324"/>
                <w:tab w:val="left" w:pos="749"/>
              </w:tabs>
              <w:spacing w:before="40" w:after="40"/>
              <w:ind w:right="815"/>
              <w:jc w:val="right"/>
              <w:rPr>
                <w:rFonts w:eastAsia="Cambria"/>
                <w:b/>
                <w:spacing w:val="4"/>
                <w:sz w:val="20"/>
                <w:szCs w:val="20"/>
                <w:lang w:val="en-GB"/>
              </w:rPr>
            </w:pPr>
            <w:r w:rsidRPr="00E135D5">
              <w:rPr>
                <w:rFonts w:eastAsia="Cambria"/>
                <w:b/>
                <w:spacing w:val="4"/>
                <w:sz w:val="20"/>
                <w:szCs w:val="20"/>
                <w:lang w:val="en-GB"/>
              </w:rPr>
              <w:t>1</w:t>
            </w:r>
            <w:r>
              <w:rPr>
                <w:rFonts w:eastAsia="Cambria"/>
                <w:b/>
                <w:spacing w:val="4"/>
                <w:sz w:val="20"/>
                <w:szCs w:val="20"/>
                <w:lang w:val="en-GB"/>
              </w:rPr>
              <w:t>39</w:t>
            </w:r>
          </w:p>
        </w:tc>
        <w:tc>
          <w:tcPr>
            <w:tcW w:w="1492" w:type="pct"/>
            <w:shd w:val="clear" w:color="auto" w:fill="BFBFBF" w:themeFill="background1" w:themeFillShade="BF"/>
          </w:tcPr>
          <w:p w14:paraId="0F3F16F1" w14:textId="77777777" w:rsidR="00AB6753" w:rsidRDefault="00AB6753" w:rsidP="002D1EA4">
            <w:pPr>
              <w:spacing w:before="40" w:after="40"/>
              <w:jc w:val="right"/>
              <w:rPr>
                <w:rFonts w:eastAsia="Cambria"/>
                <w:b/>
                <w:spacing w:val="4"/>
                <w:sz w:val="20"/>
                <w:szCs w:val="20"/>
                <w:lang w:val="en-GB"/>
              </w:rPr>
            </w:pPr>
            <w:r>
              <w:rPr>
                <w:rFonts w:eastAsia="Cambria"/>
                <w:b/>
                <w:spacing w:val="4"/>
                <w:sz w:val="20"/>
                <w:szCs w:val="20"/>
                <w:lang w:val="en-GB"/>
              </w:rPr>
              <w:t>36.3</w:t>
            </w:r>
          </w:p>
        </w:tc>
      </w:tr>
    </w:tbl>
    <w:p w14:paraId="31200B02" w14:textId="72F8860D" w:rsidR="00AB6753" w:rsidRDefault="00AB6753" w:rsidP="00AB6753">
      <w:pPr>
        <w:spacing w:after="0" w:line="240" w:lineRule="auto"/>
        <w:rPr>
          <w:rFonts w:ascii="Arial Narrow" w:eastAsia="Times New Roman" w:hAnsi="Arial Narrow" w:cs="Times New Roman"/>
          <w:b/>
          <w:bCs/>
          <w:sz w:val="20"/>
          <w:szCs w:val="18"/>
        </w:rPr>
      </w:pPr>
      <w:r>
        <w:rPr>
          <w:rFonts w:ascii="Arial Narrow" w:eastAsia="Times New Roman" w:hAnsi="Arial Narrow" w:cs="Times New Roman"/>
          <w:b/>
          <w:bCs/>
          <w:sz w:val="20"/>
          <w:szCs w:val="18"/>
        </w:rPr>
        <w:br/>
      </w:r>
      <w:r w:rsidRPr="0067554D">
        <w:rPr>
          <w:rFonts w:ascii="Arial Narrow" w:eastAsia="Times New Roman" w:hAnsi="Arial Narrow" w:cs="Times New Roman"/>
          <w:b/>
          <w:bCs/>
          <w:sz w:val="20"/>
          <w:szCs w:val="18"/>
        </w:rPr>
        <w:t xml:space="preserve">Table </w:t>
      </w:r>
      <w:bookmarkEnd w:id="49"/>
      <w:r>
        <w:rPr>
          <w:rFonts w:ascii="Arial Narrow" w:eastAsia="Times New Roman" w:hAnsi="Arial Narrow" w:cs="Times New Roman"/>
          <w:b/>
          <w:bCs/>
          <w:sz w:val="20"/>
          <w:szCs w:val="18"/>
        </w:rPr>
        <w:t>4</w:t>
      </w:r>
      <w:r w:rsidRPr="0067554D">
        <w:rPr>
          <w:rFonts w:ascii="Arial Narrow" w:eastAsia="Times New Roman" w:hAnsi="Arial Narrow" w:cs="Times New Roman"/>
          <w:b/>
          <w:bCs/>
          <w:sz w:val="20"/>
          <w:szCs w:val="18"/>
        </w:rPr>
        <w:t>.4.4: Total expenditure on new and ongo</w:t>
      </w:r>
      <w:r>
        <w:rPr>
          <w:rFonts w:ascii="Arial Narrow" w:eastAsia="Times New Roman" w:hAnsi="Arial Narrow" w:cs="Times New Roman"/>
          <w:b/>
          <w:bCs/>
          <w:sz w:val="20"/>
          <w:szCs w:val="18"/>
        </w:rPr>
        <w:t>ing consultancy contracts</w:t>
      </w:r>
      <w:r w:rsidRPr="002A5764">
        <w:rPr>
          <w:rFonts w:ascii="Arial Narrow" w:eastAsia="Times New Roman" w:hAnsi="Arial Narrow" w:cs="Times New Roman"/>
          <w:b/>
          <w:bCs/>
          <w:sz w:val="20"/>
          <w:szCs w:val="18"/>
        </w:rPr>
        <w:t xml:space="preserve"> </w:t>
      </w:r>
      <w:r>
        <w:rPr>
          <w:rFonts w:ascii="Arial Narrow" w:eastAsia="Times New Roman" w:hAnsi="Arial Narrow" w:cs="Times New Roman"/>
          <w:b/>
          <w:bCs/>
          <w:sz w:val="20"/>
          <w:szCs w:val="18"/>
        </w:rPr>
        <w:t>2017–18 to 2019</w:t>
      </w:r>
      <w:r w:rsidRPr="0067554D">
        <w:rPr>
          <w:rFonts w:ascii="Arial Narrow" w:eastAsia="Times New Roman" w:hAnsi="Arial Narrow" w:cs="Times New Roman"/>
          <w:b/>
          <w:bCs/>
          <w:sz w:val="20"/>
          <w:szCs w:val="18"/>
        </w:rPr>
        <w:t>–</w:t>
      </w:r>
      <w:bookmarkEnd w:id="50"/>
      <w:bookmarkEnd w:id="51"/>
      <w:bookmarkEnd w:id="52"/>
      <w:bookmarkEnd w:id="53"/>
      <w:r>
        <w:rPr>
          <w:rFonts w:ascii="Arial Narrow" w:eastAsia="Times New Roman" w:hAnsi="Arial Narrow" w:cs="Times New Roman"/>
          <w:b/>
          <w:bCs/>
          <w:sz w:val="20"/>
          <w:szCs w:val="18"/>
        </w:rPr>
        <w:t>20</w:t>
      </w:r>
    </w:p>
    <w:p w14:paraId="35531F20" w14:textId="77777777" w:rsidR="00AB6753" w:rsidRPr="0067554D" w:rsidRDefault="00AB6753" w:rsidP="00AB6753">
      <w:pPr>
        <w:spacing w:after="0" w:line="240" w:lineRule="auto"/>
        <w:rPr>
          <w:rFonts w:ascii="Arial Narrow" w:eastAsia="Times New Roman" w:hAnsi="Arial Narrow" w:cs="Times New Roman"/>
          <w:b/>
          <w:bCs/>
          <w:sz w:val="20"/>
          <w:szCs w:val="18"/>
        </w:rPr>
      </w:pPr>
    </w:p>
    <w:tbl>
      <w:tblPr>
        <w:tblStyle w:val="Verticaltable"/>
        <w:tblW w:w="9072" w:type="dxa"/>
        <w:jc w:val="center"/>
        <w:tblLayout w:type="fixed"/>
        <w:tblLook w:val="04A0" w:firstRow="1" w:lastRow="0" w:firstColumn="1" w:lastColumn="0" w:noHBand="0" w:noVBand="1"/>
        <w:tblCaption w:val="Table 4.4.4: Total expenditure on new and ongoing consultancy contracts from 2016–17 to 2018–19"/>
        <w:tblDescription w:val="Table 4.4.4: Total expenditure on new and ongoing consultancy contracts from 2016–17 to 2018–19. 2019-20 $36.3 million including GST; 2018-19 $24.1 million including GST; 2017-18 $21.0 million including GST."/>
      </w:tblPr>
      <w:tblGrid>
        <w:gridCol w:w="2268"/>
        <w:gridCol w:w="3402"/>
        <w:gridCol w:w="3402"/>
      </w:tblGrid>
      <w:tr w:rsidR="00AB6753" w14:paraId="6AD2FE6B" w14:textId="77777777" w:rsidTr="002D1EA4">
        <w:trPr>
          <w:cnfStyle w:val="100000000000" w:firstRow="1" w:lastRow="0" w:firstColumn="0" w:lastColumn="0" w:oddVBand="0" w:evenVBand="0" w:oddHBand="0" w:evenHBand="0" w:firstRowFirstColumn="0" w:firstRowLastColumn="0" w:lastRowFirstColumn="0" w:lastRowLastColumn="0"/>
          <w:trHeight w:val="317"/>
          <w:jc w:val="center"/>
        </w:trPr>
        <w:tc>
          <w:tcPr>
            <w:tcW w:w="9072" w:type="dxa"/>
            <w:gridSpan w:val="3"/>
            <w:tcBorders>
              <w:bottom w:val="single" w:sz="4" w:space="0" w:color="FFFFFF" w:themeColor="background1"/>
            </w:tcBorders>
            <w:hideMark/>
          </w:tcPr>
          <w:p w14:paraId="50DDDF79" w14:textId="77777777" w:rsidR="00AB6753" w:rsidRPr="00F903A2" w:rsidRDefault="00AB6753" w:rsidP="002D1EA4">
            <w:pPr>
              <w:keepNext/>
              <w:keepLines/>
              <w:spacing w:before="40" w:after="40"/>
              <w:jc w:val="center"/>
              <w:rPr>
                <w:rFonts w:eastAsia="Cambria" w:cs="Times New Roman"/>
                <w:b w:val="0"/>
                <w:sz w:val="20"/>
                <w:szCs w:val="20"/>
                <w:lang w:val="en-GB"/>
              </w:rPr>
            </w:pPr>
            <w:r w:rsidRPr="00F903A2">
              <w:rPr>
                <w:rFonts w:eastAsia="Cambria" w:cs="Times New Roman"/>
                <w:sz w:val="20"/>
                <w:szCs w:val="20"/>
                <w:lang w:val="en-GB"/>
              </w:rPr>
              <w:t>Expenditure ($ million, GST incl.)</w:t>
            </w:r>
          </w:p>
        </w:tc>
      </w:tr>
      <w:tr w:rsidR="00AB6753" w14:paraId="67BC9C4A" w14:textId="77777777" w:rsidTr="002D1EA4">
        <w:trPr>
          <w:cnfStyle w:val="000000100000" w:firstRow="0" w:lastRow="0" w:firstColumn="0" w:lastColumn="0" w:oddVBand="0" w:evenVBand="0" w:oddHBand="1" w:evenHBand="0" w:firstRowFirstColumn="0" w:firstRowLastColumn="0" w:lastRowFirstColumn="0" w:lastRowLastColumn="0"/>
          <w:trHeight w:val="317"/>
          <w:jc w:val="center"/>
        </w:trPr>
        <w:tc>
          <w:tcPr>
            <w:tcW w:w="2268" w:type="dxa"/>
            <w:tcBorders>
              <w:top w:val="single" w:sz="4" w:space="0" w:color="FFFFFF" w:themeColor="background1"/>
              <w:bottom w:val="single" w:sz="4" w:space="0" w:color="FFFFFF" w:themeColor="background1"/>
            </w:tcBorders>
            <w:shd w:val="clear" w:color="auto" w:fill="00B0B9"/>
            <w:hideMark/>
          </w:tcPr>
          <w:p w14:paraId="3B774A6E" w14:textId="77777777" w:rsidR="00AB6753" w:rsidRPr="00F903A2" w:rsidRDefault="00AB6753" w:rsidP="002D1EA4">
            <w:pPr>
              <w:keepNext/>
              <w:keepLines/>
              <w:spacing w:before="40" w:after="40"/>
              <w:jc w:val="center"/>
              <w:rPr>
                <w:rFonts w:eastAsia="Cambria" w:cs="Times New Roman"/>
                <w:sz w:val="20"/>
                <w:szCs w:val="20"/>
                <w:lang w:val="en-GB"/>
              </w:rPr>
            </w:pPr>
            <w:r w:rsidRPr="00F903A2">
              <w:rPr>
                <w:rFonts w:eastAsia="Cambria" w:cs="Times New Roman"/>
                <w:sz w:val="20"/>
                <w:szCs w:val="20"/>
                <w:lang w:val="en-GB"/>
              </w:rPr>
              <w:t>2019–20</w:t>
            </w:r>
          </w:p>
        </w:tc>
        <w:tc>
          <w:tcPr>
            <w:tcW w:w="3402" w:type="dxa"/>
            <w:tcBorders>
              <w:top w:val="single" w:sz="4" w:space="0" w:color="FFFFFF" w:themeColor="background1"/>
              <w:bottom w:val="single" w:sz="4" w:space="0" w:color="FFFFFF" w:themeColor="background1"/>
            </w:tcBorders>
            <w:shd w:val="clear" w:color="auto" w:fill="00B0B9"/>
            <w:hideMark/>
          </w:tcPr>
          <w:p w14:paraId="6A6F25AA" w14:textId="77777777" w:rsidR="00AB6753" w:rsidRPr="00F903A2" w:rsidRDefault="00AB6753" w:rsidP="002D1EA4">
            <w:pPr>
              <w:keepNext/>
              <w:keepLines/>
              <w:spacing w:before="40" w:after="40"/>
              <w:jc w:val="center"/>
              <w:rPr>
                <w:rFonts w:eastAsia="Cambria" w:cs="Times New Roman"/>
                <w:sz w:val="20"/>
                <w:szCs w:val="20"/>
                <w:lang w:val="en-GB"/>
              </w:rPr>
            </w:pPr>
            <w:r w:rsidRPr="00F903A2">
              <w:rPr>
                <w:rFonts w:eastAsia="Cambria" w:cs="Times New Roman"/>
                <w:sz w:val="20"/>
                <w:szCs w:val="20"/>
                <w:lang w:val="en-GB"/>
              </w:rPr>
              <w:t>2018–19</w:t>
            </w:r>
          </w:p>
        </w:tc>
        <w:tc>
          <w:tcPr>
            <w:tcW w:w="3402" w:type="dxa"/>
            <w:tcBorders>
              <w:top w:val="single" w:sz="4" w:space="0" w:color="FFFFFF" w:themeColor="background1"/>
              <w:bottom w:val="single" w:sz="4" w:space="0" w:color="FFFFFF" w:themeColor="background1"/>
            </w:tcBorders>
            <w:shd w:val="clear" w:color="auto" w:fill="00B0B9"/>
            <w:hideMark/>
          </w:tcPr>
          <w:p w14:paraId="4504E471" w14:textId="77777777" w:rsidR="00AB6753" w:rsidRPr="00F903A2" w:rsidRDefault="00AB6753" w:rsidP="002D1EA4">
            <w:pPr>
              <w:keepNext/>
              <w:keepLines/>
              <w:spacing w:before="40" w:after="40"/>
              <w:jc w:val="center"/>
              <w:rPr>
                <w:rFonts w:eastAsia="Cambria" w:cs="Times New Roman"/>
                <w:sz w:val="20"/>
                <w:szCs w:val="20"/>
                <w:lang w:val="en-GB"/>
              </w:rPr>
            </w:pPr>
            <w:r w:rsidRPr="00F903A2">
              <w:rPr>
                <w:rFonts w:eastAsia="Cambria" w:cs="Times New Roman"/>
                <w:sz w:val="20"/>
                <w:szCs w:val="20"/>
                <w:lang w:val="en-GB"/>
              </w:rPr>
              <w:t>2017–18</w:t>
            </w:r>
          </w:p>
        </w:tc>
      </w:tr>
      <w:tr w:rsidR="00AB6753" w14:paraId="6DE965E2" w14:textId="77777777" w:rsidTr="002D1EA4">
        <w:trPr>
          <w:trHeight w:val="113"/>
          <w:jc w:val="center"/>
        </w:trPr>
        <w:tc>
          <w:tcPr>
            <w:tcW w:w="2268" w:type="dxa"/>
            <w:tcBorders>
              <w:top w:val="single" w:sz="4" w:space="0" w:color="FFFFFF" w:themeColor="background1"/>
            </w:tcBorders>
            <w:vAlign w:val="top"/>
            <w:hideMark/>
          </w:tcPr>
          <w:p w14:paraId="49C4A989" w14:textId="77777777" w:rsidR="00AB6753" w:rsidRDefault="00AB6753" w:rsidP="002D1EA4">
            <w:pPr>
              <w:spacing w:before="40" w:after="40"/>
              <w:jc w:val="center"/>
              <w:rPr>
                <w:rFonts w:eastAsia="Cambria" w:cs="Arial"/>
                <w:spacing w:val="4"/>
                <w:sz w:val="20"/>
                <w:szCs w:val="20"/>
                <w:lang w:val="en-GB"/>
              </w:rPr>
            </w:pPr>
            <w:r>
              <w:rPr>
                <w:rFonts w:eastAsia="Cambria" w:cs="Arial"/>
                <w:spacing w:val="4"/>
                <w:sz w:val="20"/>
                <w:szCs w:val="20"/>
                <w:lang w:val="en-GB"/>
              </w:rPr>
              <w:t>36.3</w:t>
            </w:r>
          </w:p>
        </w:tc>
        <w:tc>
          <w:tcPr>
            <w:tcW w:w="3402" w:type="dxa"/>
            <w:tcBorders>
              <w:top w:val="single" w:sz="4" w:space="0" w:color="FFFFFF" w:themeColor="background1"/>
            </w:tcBorders>
            <w:hideMark/>
          </w:tcPr>
          <w:p w14:paraId="18A8C0C4" w14:textId="77777777" w:rsidR="00AB6753" w:rsidRDefault="00AB6753" w:rsidP="002D1EA4">
            <w:pPr>
              <w:spacing w:before="40" w:after="40"/>
              <w:jc w:val="center"/>
              <w:rPr>
                <w:rFonts w:eastAsia="Cambria" w:cs="Arial"/>
                <w:spacing w:val="4"/>
                <w:sz w:val="20"/>
                <w:szCs w:val="20"/>
                <w:lang w:val="en-GB"/>
              </w:rPr>
            </w:pPr>
            <w:r>
              <w:rPr>
                <w:rFonts w:eastAsia="Cambria" w:cs="Arial"/>
                <w:spacing w:val="4"/>
                <w:sz w:val="20"/>
                <w:szCs w:val="20"/>
                <w:lang w:val="en-GB"/>
              </w:rPr>
              <w:t>24.1</w:t>
            </w:r>
          </w:p>
        </w:tc>
        <w:tc>
          <w:tcPr>
            <w:tcW w:w="3402" w:type="dxa"/>
            <w:tcBorders>
              <w:top w:val="single" w:sz="4" w:space="0" w:color="FFFFFF" w:themeColor="background1"/>
            </w:tcBorders>
            <w:hideMark/>
          </w:tcPr>
          <w:p w14:paraId="1CF7EA6F" w14:textId="77777777" w:rsidR="00AB6753" w:rsidRDefault="00AB6753" w:rsidP="002D1EA4">
            <w:pPr>
              <w:spacing w:before="40" w:after="40"/>
              <w:jc w:val="center"/>
              <w:rPr>
                <w:rFonts w:eastAsia="Cambria" w:cs="Arial"/>
                <w:spacing w:val="4"/>
                <w:sz w:val="20"/>
                <w:szCs w:val="20"/>
                <w:lang w:val="en-GB"/>
              </w:rPr>
            </w:pPr>
            <w:r>
              <w:rPr>
                <w:rFonts w:eastAsia="Cambria" w:cs="Arial"/>
                <w:spacing w:val="4"/>
                <w:sz w:val="20"/>
                <w:szCs w:val="20"/>
                <w:lang w:val="en-GB"/>
              </w:rPr>
              <w:t>21.0</w:t>
            </w:r>
          </w:p>
        </w:tc>
      </w:tr>
    </w:tbl>
    <w:p w14:paraId="2DF68CD5" w14:textId="77777777" w:rsidR="00AB6753" w:rsidRPr="009D25AD" w:rsidRDefault="00AB6753" w:rsidP="00AB6753">
      <w:pPr>
        <w:rPr>
          <w:sz w:val="20"/>
          <w:szCs w:val="20"/>
        </w:rPr>
      </w:pPr>
      <w:r>
        <w:rPr>
          <w:b/>
          <w:highlight w:val="yellow"/>
        </w:rPr>
        <w:br/>
      </w:r>
      <w:r w:rsidRPr="00833C50">
        <w:rPr>
          <w:rFonts w:ascii="Georgia" w:eastAsiaTheme="majorEastAsia" w:hAnsi="Georgia" w:cstheme="majorBidi"/>
          <w:bCs/>
          <w:iCs/>
          <w:sz w:val="36"/>
        </w:rPr>
        <w:t>Australian National Audit Office access clauses</w:t>
      </w:r>
    </w:p>
    <w:p w14:paraId="6685996C" w14:textId="77777777" w:rsidR="00AB6753" w:rsidRPr="00652218" w:rsidRDefault="00AB6753" w:rsidP="00AB6753">
      <w:pPr>
        <w:autoSpaceDE w:val="0"/>
        <w:autoSpaceDN w:val="0"/>
        <w:adjustRightInd w:val="0"/>
        <w:spacing w:before="120" w:after="180" w:line="280" w:lineRule="atLeast"/>
        <w:ind w:right="-164"/>
        <w:rPr>
          <w:sz w:val="20"/>
          <w:szCs w:val="20"/>
        </w:rPr>
      </w:pPr>
      <w:r w:rsidRPr="00652218">
        <w:rPr>
          <w:sz w:val="20"/>
          <w:szCs w:val="20"/>
        </w:rPr>
        <w:t>All departmental contracts let in the past year required the Auditor-General to have access to the contractor’s premises.</w:t>
      </w:r>
    </w:p>
    <w:p w14:paraId="2E5BC078" w14:textId="77777777" w:rsidR="00AB6753" w:rsidRPr="00474C62" w:rsidRDefault="00AB6753" w:rsidP="00AB6753">
      <w:pPr>
        <w:pStyle w:val="Heading4"/>
        <w:spacing w:after="200"/>
        <w:rPr>
          <w:rFonts w:ascii="Georgia" w:hAnsi="Georgia"/>
          <w:b w:val="0"/>
          <w:i w:val="0"/>
          <w:sz w:val="36"/>
        </w:rPr>
      </w:pPr>
      <w:r w:rsidRPr="00474C62">
        <w:rPr>
          <w:rFonts w:ascii="Georgia" w:hAnsi="Georgia"/>
          <w:b w:val="0"/>
          <w:i w:val="0"/>
          <w:sz w:val="36"/>
        </w:rPr>
        <w:t>Exempt contracts</w:t>
      </w:r>
    </w:p>
    <w:p w14:paraId="10F37538" w14:textId="77777777" w:rsidR="00AB6753" w:rsidRPr="0089508F" w:rsidRDefault="00AB6753" w:rsidP="00AB6753">
      <w:pPr>
        <w:autoSpaceDE w:val="0"/>
        <w:autoSpaceDN w:val="0"/>
        <w:adjustRightInd w:val="0"/>
        <w:spacing w:before="120" w:after="180" w:line="280" w:lineRule="atLeast"/>
        <w:ind w:right="-164"/>
        <w:rPr>
          <w:sz w:val="20"/>
          <w:szCs w:val="20"/>
        </w:rPr>
      </w:pPr>
      <w:r>
        <w:rPr>
          <w:sz w:val="20"/>
          <w:szCs w:val="20"/>
        </w:rPr>
        <w:t>In 2019</w:t>
      </w:r>
      <w:r w:rsidRPr="00EE7232">
        <w:rPr>
          <w:sz w:val="20"/>
          <w:szCs w:val="20"/>
        </w:rPr>
        <w:t>–</w:t>
      </w:r>
      <w:r>
        <w:rPr>
          <w:sz w:val="20"/>
          <w:szCs w:val="20"/>
        </w:rPr>
        <w:t>20,</w:t>
      </w:r>
      <w:r w:rsidRPr="00652218">
        <w:rPr>
          <w:sz w:val="20"/>
          <w:szCs w:val="20"/>
        </w:rPr>
        <w:t xml:space="preserve"> no </w:t>
      </w:r>
      <w:r w:rsidRPr="0067554D">
        <w:rPr>
          <w:sz w:val="20"/>
          <w:szCs w:val="20"/>
        </w:rPr>
        <w:t>contracts were exempt</w:t>
      </w:r>
      <w:r>
        <w:rPr>
          <w:sz w:val="20"/>
          <w:szCs w:val="20"/>
        </w:rPr>
        <w:t xml:space="preserve">ed from reporting on </w:t>
      </w:r>
      <w:r w:rsidRPr="00EE7232">
        <w:rPr>
          <w:sz w:val="20"/>
          <w:szCs w:val="20"/>
        </w:rPr>
        <w:t>tenders.gov.au</w:t>
      </w:r>
    </w:p>
    <w:p w14:paraId="66E48C9B" w14:textId="77777777" w:rsidR="00AB6753" w:rsidRPr="00474C62" w:rsidRDefault="00AB6753" w:rsidP="00AB6753">
      <w:pPr>
        <w:pStyle w:val="Heading4"/>
        <w:spacing w:after="200"/>
        <w:rPr>
          <w:rFonts w:ascii="Georgia" w:hAnsi="Georgia"/>
          <w:b w:val="0"/>
          <w:i w:val="0"/>
          <w:sz w:val="36"/>
        </w:rPr>
      </w:pPr>
      <w:r w:rsidRPr="00474C62">
        <w:rPr>
          <w:rFonts w:ascii="Georgia" w:hAnsi="Georgia"/>
          <w:b w:val="0"/>
          <w:i w:val="0"/>
          <w:sz w:val="36"/>
        </w:rPr>
        <w:t>Purchasing</w:t>
      </w:r>
    </w:p>
    <w:p w14:paraId="68F2F70A" w14:textId="77777777" w:rsidR="00AB6753" w:rsidRPr="00652218" w:rsidRDefault="00AB6753" w:rsidP="00AB6753">
      <w:pPr>
        <w:autoSpaceDE w:val="0"/>
        <w:autoSpaceDN w:val="0"/>
        <w:adjustRightInd w:val="0"/>
        <w:spacing w:before="120" w:after="180" w:line="280" w:lineRule="atLeast"/>
        <w:ind w:right="-164"/>
        <w:rPr>
          <w:sz w:val="20"/>
          <w:szCs w:val="20"/>
        </w:rPr>
      </w:pPr>
      <w:r>
        <w:rPr>
          <w:sz w:val="20"/>
          <w:szCs w:val="20"/>
        </w:rPr>
        <w:t>O</w:t>
      </w:r>
      <w:r w:rsidRPr="00652218">
        <w:rPr>
          <w:sz w:val="20"/>
          <w:szCs w:val="20"/>
        </w:rPr>
        <w:t xml:space="preserve">ur purchasing activities are consistent with the Secretary’s </w:t>
      </w:r>
      <w:r>
        <w:rPr>
          <w:sz w:val="20"/>
          <w:szCs w:val="20"/>
        </w:rPr>
        <w:t>I</w:t>
      </w:r>
      <w:r w:rsidRPr="00652218">
        <w:rPr>
          <w:sz w:val="20"/>
          <w:szCs w:val="20"/>
        </w:rPr>
        <w:t xml:space="preserve">nstructions and internal procurement </w:t>
      </w:r>
      <w:r w:rsidRPr="00F96A92">
        <w:rPr>
          <w:sz w:val="20"/>
          <w:szCs w:val="20"/>
        </w:rPr>
        <w:t>guidelines</w:t>
      </w:r>
      <w:r>
        <w:rPr>
          <w:sz w:val="20"/>
          <w:szCs w:val="20"/>
        </w:rPr>
        <w:t>,</w:t>
      </w:r>
      <w:r w:rsidRPr="00F96A92">
        <w:rPr>
          <w:sz w:val="20"/>
          <w:szCs w:val="20"/>
        </w:rPr>
        <w:t xml:space="preserve"> which are in accordance with the </w:t>
      </w:r>
      <w:r w:rsidRPr="0093569D">
        <w:rPr>
          <w:i/>
          <w:sz w:val="20"/>
          <w:szCs w:val="20"/>
        </w:rPr>
        <w:t>Commonwealth Procurement Rules 2019</w:t>
      </w:r>
      <w:r w:rsidRPr="00F96A92">
        <w:rPr>
          <w:sz w:val="20"/>
          <w:szCs w:val="20"/>
        </w:rPr>
        <w:t>.</w:t>
      </w:r>
    </w:p>
    <w:p w14:paraId="4BFC2794" w14:textId="77777777" w:rsidR="00AB6753" w:rsidRPr="00652218" w:rsidRDefault="00AB6753" w:rsidP="00AB6753">
      <w:pPr>
        <w:autoSpaceDE w:val="0"/>
        <w:autoSpaceDN w:val="0"/>
        <w:adjustRightInd w:val="0"/>
        <w:spacing w:before="120" w:after="180" w:line="280" w:lineRule="atLeast"/>
        <w:ind w:right="-164"/>
        <w:rPr>
          <w:sz w:val="20"/>
          <w:szCs w:val="20"/>
        </w:rPr>
      </w:pPr>
      <w:r w:rsidRPr="00652218">
        <w:rPr>
          <w:sz w:val="20"/>
          <w:szCs w:val="20"/>
        </w:rPr>
        <w:t>Purchasing is made in an accountable and transparent manner, complying with Australian Government policies</w:t>
      </w:r>
      <w:r>
        <w:rPr>
          <w:sz w:val="20"/>
          <w:szCs w:val="20"/>
        </w:rPr>
        <w:t>,</w:t>
      </w:r>
      <w:r w:rsidRPr="00652218">
        <w:rPr>
          <w:sz w:val="20"/>
          <w:szCs w:val="20"/>
        </w:rPr>
        <w:t xml:space="preserve"> and meeting relevant international obligations.</w:t>
      </w:r>
    </w:p>
    <w:p w14:paraId="238736A7" w14:textId="77777777" w:rsidR="00AB6753" w:rsidRPr="00652218" w:rsidRDefault="00AB6753" w:rsidP="00AB6753">
      <w:pPr>
        <w:autoSpaceDE w:val="0"/>
        <w:autoSpaceDN w:val="0"/>
        <w:adjustRightInd w:val="0"/>
        <w:spacing w:before="120" w:after="180" w:line="280" w:lineRule="atLeast"/>
        <w:ind w:right="-164"/>
        <w:rPr>
          <w:sz w:val="20"/>
          <w:szCs w:val="20"/>
        </w:rPr>
      </w:pPr>
      <w:r w:rsidRPr="00EC4034">
        <w:rPr>
          <w:sz w:val="20"/>
          <w:szCs w:val="20"/>
        </w:rPr>
        <w:t>In 2019</w:t>
      </w:r>
      <w:r w:rsidRPr="00EE7232">
        <w:rPr>
          <w:sz w:val="20"/>
          <w:szCs w:val="20"/>
        </w:rPr>
        <w:t>–</w:t>
      </w:r>
      <w:r w:rsidRPr="00EC4034">
        <w:rPr>
          <w:sz w:val="20"/>
          <w:szCs w:val="20"/>
        </w:rPr>
        <w:t xml:space="preserve">20, we exceeded our targets under the Indigenous Procurement Policy by awarding more than </w:t>
      </w:r>
      <w:r>
        <w:rPr>
          <w:sz w:val="20"/>
          <w:szCs w:val="20"/>
        </w:rPr>
        <w:t>three</w:t>
      </w:r>
      <w:r w:rsidRPr="00EC4034">
        <w:rPr>
          <w:sz w:val="20"/>
          <w:szCs w:val="20"/>
        </w:rPr>
        <w:t xml:space="preserve"> per cent of contracts to Indigenous businesses.</w:t>
      </w:r>
    </w:p>
    <w:p w14:paraId="15486F00" w14:textId="77777777" w:rsidR="00AB6753" w:rsidRPr="00474C62" w:rsidRDefault="00AB6753" w:rsidP="00AB6753">
      <w:pPr>
        <w:pStyle w:val="Heading4"/>
        <w:spacing w:after="200"/>
        <w:rPr>
          <w:rFonts w:ascii="Georgia" w:hAnsi="Georgia"/>
          <w:b w:val="0"/>
          <w:i w:val="0"/>
          <w:sz w:val="36"/>
        </w:rPr>
      </w:pPr>
      <w:r w:rsidRPr="00474C62">
        <w:rPr>
          <w:rFonts w:ascii="Georgia" w:hAnsi="Georgia"/>
          <w:b w:val="0"/>
          <w:i w:val="0"/>
          <w:sz w:val="36"/>
        </w:rPr>
        <w:t>Procurement initiatives to support small business</w:t>
      </w:r>
    </w:p>
    <w:p w14:paraId="16D70DAC" w14:textId="77777777" w:rsidR="00AB6753" w:rsidRPr="0067554D" w:rsidRDefault="00AB6753" w:rsidP="00AB6753">
      <w:pPr>
        <w:autoSpaceDE w:val="0"/>
        <w:autoSpaceDN w:val="0"/>
        <w:adjustRightInd w:val="0"/>
        <w:spacing w:before="120" w:after="180" w:line="280" w:lineRule="atLeast"/>
        <w:ind w:right="-164"/>
        <w:rPr>
          <w:sz w:val="20"/>
          <w:szCs w:val="20"/>
        </w:rPr>
      </w:pPr>
      <w:r>
        <w:rPr>
          <w:sz w:val="20"/>
          <w:szCs w:val="20"/>
        </w:rPr>
        <w:t xml:space="preserve">We </w:t>
      </w:r>
      <w:r w:rsidRPr="008F5B38">
        <w:rPr>
          <w:sz w:val="20"/>
          <w:szCs w:val="20"/>
        </w:rPr>
        <w:t xml:space="preserve">support small business participation in the Commonwealth Government procurement market. </w:t>
      </w:r>
      <w:r>
        <w:rPr>
          <w:sz w:val="20"/>
          <w:szCs w:val="20"/>
        </w:rPr>
        <w:t xml:space="preserve">Further information on </w:t>
      </w:r>
      <w:r w:rsidRPr="008F5B38">
        <w:rPr>
          <w:sz w:val="20"/>
          <w:szCs w:val="20"/>
        </w:rPr>
        <w:t>Small and Medium Enterprises (SMEs) and Small Enterprise participation statistics</w:t>
      </w:r>
      <w:r>
        <w:rPr>
          <w:sz w:val="20"/>
          <w:szCs w:val="20"/>
        </w:rPr>
        <w:t xml:space="preserve"> is </w:t>
      </w:r>
      <w:r w:rsidRPr="008F5B38">
        <w:rPr>
          <w:sz w:val="20"/>
          <w:szCs w:val="20"/>
        </w:rPr>
        <w:t>available on the Department of Finance’s website</w:t>
      </w:r>
      <w:r>
        <w:rPr>
          <w:sz w:val="20"/>
          <w:szCs w:val="20"/>
        </w:rPr>
        <w:t>. To view SME and Small Enterprise participation statistics,</w:t>
      </w:r>
      <w:r w:rsidRPr="008F5B38">
        <w:rPr>
          <w:sz w:val="20"/>
          <w:szCs w:val="20"/>
        </w:rPr>
        <w:t xml:space="preserve"> </w:t>
      </w:r>
      <w:r>
        <w:rPr>
          <w:sz w:val="20"/>
          <w:szCs w:val="20"/>
        </w:rPr>
        <w:t>go to</w:t>
      </w:r>
      <w:r w:rsidRPr="008F5B38">
        <w:rPr>
          <w:sz w:val="20"/>
          <w:szCs w:val="20"/>
        </w:rPr>
        <w:t xml:space="preserve"> finance.gov.au</w:t>
      </w:r>
    </w:p>
    <w:p w14:paraId="53343B93" w14:textId="77777777" w:rsidR="00AB6753" w:rsidRPr="0067554D" w:rsidRDefault="00AB6753" w:rsidP="00AB6753">
      <w:pPr>
        <w:autoSpaceDE w:val="0"/>
        <w:autoSpaceDN w:val="0"/>
        <w:adjustRightInd w:val="0"/>
        <w:spacing w:before="120" w:after="180" w:line="280" w:lineRule="atLeast"/>
        <w:ind w:right="-164"/>
        <w:rPr>
          <w:sz w:val="20"/>
          <w:szCs w:val="20"/>
        </w:rPr>
      </w:pPr>
      <w:r w:rsidRPr="0067554D">
        <w:rPr>
          <w:sz w:val="20"/>
          <w:szCs w:val="20"/>
        </w:rPr>
        <w:t>We support the use of SMEs through various means including:</w:t>
      </w:r>
    </w:p>
    <w:p w14:paraId="15DE6A2B" w14:textId="77777777" w:rsidR="00AB6753" w:rsidRPr="00EE7232" w:rsidRDefault="00AB6753" w:rsidP="00AB6753">
      <w:pPr>
        <w:pStyle w:val="ListParagraph"/>
        <w:numPr>
          <w:ilvl w:val="0"/>
          <w:numId w:val="7"/>
        </w:numPr>
        <w:autoSpaceDE w:val="0"/>
        <w:autoSpaceDN w:val="0"/>
        <w:adjustRightInd w:val="0"/>
        <w:spacing w:before="120" w:after="180" w:line="280" w:lineRule="atLeast"/>
        <w:ind w:left="714" w:right="-164" w:hanging="357"/>
        <w:rPr>
          <w:sz w:val="20"/>
          <w:szCs w:val="20"/>
        </w:rPr>
      </w:pPr>
      <w:r w:rsidRPr="00EE7232">
        <w:rPr>
          <w:sz w:val="20"/>
          <w:szCs w:val="20"/>
        </w:rPr>
        <w:t>using standardised contracts for low-risk procurements valued under $200,000</w:t>
      </w:r>
    </w:p>
    <w:p w14:paraId="109BBF74" w14:textId="77777777" w:rsidR="00AB6753" w:rsidRPr="00EE7232" w:rsidRDefault="00AB6753" w:rsidP="00AB6753">
      <w:pPr>
        <w:pStyle w:val="ListParagraph"/>
        <w:numPr>
          <w:ilvl w:val="0"/>
          <w:numId w:val="7"/>
        </w:numPr>
        <w:autoSpaceDE w:val="0"/>
        <w:autoSpaceDN w:val="0"/>
        <w:adjustRightInd w:val="0"/>
        <w:spacing w:before="120" w:after="180" w:line="280" w:lineRule="atLeast"/>
        <w:ind w:left="714" w:right="-164" w:hanging="357"/>
        <w:rPr>
          <w:sz w:val="20"/>
          <w:szCs w:val="20"/>
        </w:rPr>
      </w:pPr>
      <w:r w:rsidRPr="00EE7232">
        <w:rPr>
          <w:sz w:val="20"/>
          <w:szCs w:val="20"/>
        </w:rPr>
        <w:t>using an electronic invoice processing system</w:t>
      </w:r>
    </w:p>
    <w:p w14:paraId="420C71B9" w14:textId="77777777" w:rsidR="00AB6753" w:rsidRPr="00EE7232" w:rsidRDefault="00AB6753" w:rsidP="00AB6753">
      <w:pPr>
        <w:pStyle w:val="ListParagraph"/>
        <w:numPr>
          <w:ilvl w:val="0"/>
          <w:numId w:val="7"/>
        </w:numPr>
        <w:autoSpaceDE w:val="0"/>
        <w:autoSpaceDN w:val="0"/>
        <w:adjustRightInd w:val="0"/>
        <w:spacing w:before="120" w:after="180" w:line="280" w:lineRule="atLeast"/>
        <w:ind w:left="714" w:right="-164" w:hanging="357"/>
        <w:rPr>
          <w:sz w:val="20"/>
          <w:szCs w:val="20"/>
        </w:rPr>
      </w:pPr>
      <w:r w:rsidRPr="00EE7232">
        <w:rPr>
          <w:sz w:val="20"/>
          <w:szCs w:val="20"/>
        </w:rPr>
        <w:t>incorporating Australian Industry Participation Plans in procurement where applicable.</w:t>
      </w:r>
    </w:p>
    <w:p w14:paraId="7273A2F7" w14:textId="77777777" w:rsidR="00AB6753" w:rsidRDefault="00AB6753" w:rsidP="00AB6753">
      <w:pPr>
        <w:autoSpaceDE w:val="0"/>
        <w:autoSpaceDN w:val="0"/>
        <w:adjustRightInd w:val="0"/>
        <w:spacing w:before="120" w:after="180" w:line="280" w:lineRule="atLeast"/>
        <w:ind w:right="-164"/>
        <w:rPr>
          <w:sz w:val="20"/>
          <w:szCs w:val="20"/>
        </w:rPr>
      </w:pPr>
      <w:r>
        <w:rPr>
          <w:sz w:val="20"/>
          <w:szCs w:val="20"/>
        </w:rPr>
        <w:t xml:space="preserve">We </w:t>
      </w:r>
      <w:r w:rsidRPr="008F5B38">
        <w:rPr>
          <w:sz w:val="20"/>
          <w:szCs w:val="20"/>
        </w:rPr>
        <w:t>recognise the importance of ensuring small businesses are paid on time.</w:t>
      </w:r>
    </w:p>
    <w:p w14:paraId="593FD8FC" w14:textId="77777777" w:rsidR="00AB6753" w:rsidRPr="00E53F63" w:rsidRDefault="00AB6753" w:rsidP="00AB6753">
      <w:pPr>
        <w:autoSpaceDE w:val="0"/>
        <w:autoSpaceDN w:val="0"/>
        <w:adjustRightInd w:val="0"/>
        <w:spacing w:before="120" w:after="180" w:line="280" w:lineRule="atLeast"/>
        <w:ind w:right="-164"/>
        <w:rPr>
          <w:sz w:val="20"/>
          <w:szCs w:val="20"/>
        </w:rPr>
      </w:pPr>
      <w:r w:rsidRPr="008F5B38">
        <w:rPr>
          <w:sz w:val="20"/>
          <w:szCs w:val="20"/>
        </w:rPr>
        <w:lastRenderedPageBreak/>
        <w:t>The results of the Survey of Australian Government Payments to Small Business are available on the Treasury’s website</w:t>
      </w:r>
      <w:r>
        <w:rPr>
          <w:sz w:val="20"/>
          <w:szCs w:val="20"/>
        </w:rPr>
        <w:t>. To view the results, go to treasury.gov.au</w:t>
      </w:r>
    </w:p>
    <w:p w14:paraId="0174341C" w14:textId="77777777" w:rsidR="00AB6753" w:rsidRPr="002E1CC3" w:rsidRDefault="00AB6753" w:rsidP="00AB6753">
      <w:pPr>
        <w:pStyle w:val="Heading4"/>
        <w:spacing w:after="200"/>
        <w:rPr>
          <w:rFonts w:ascii="Georgia" w:hAnsi="Georgia"/>
          <w:b w:val="0"/>
          <w:i w:val="0"/>
          <w:sz w:val="36"/>
        </w:rPr>
      </w:pPr>
      <w:r w:rsidRPr="002E1CC3">
        <w:rPr>
          <w:rFonts w:ascii="Georgia" w:hAnsi="Georgia"/>
          <w:b w:val="0"/>
          <w:i w:val="0"/>
          <w:sz w:val="36"/>
        </w:rPr>
        <w:t>Grants administration</w:t>
      </w:r>
    </w:p>
    <w:p w14:paraId="61FFD39D" w14:textId="77777777" w:rsidR="00AB6753" w:rsidRPr="00EE7232" w:rsidRDefault="00AB6753" w:rsidP="00AB6753">
      <w:pPr>
        <w:autoSpaceDE w:val="0"/>
        <w:autoSpaceDN w:val="0"/>
        <w:adjustRightInd w:val="0"/>
        <w:spacing w:before="120" w:after="180" w:line="280" w:lineRule="atLeast"/>
        <w:ind w:right="-164"/>
        <w:rPr>
          <w:sz w:val="20"/>
          <w:szCs w:val="20"/>
        </w:rPr>
      </w:pPr>
      <w:r>
        <w:rPr>
          <w:sz w:val="20"/>
          <w:szCs w:val="20"/>
        </w:rPr>
        <w:t xml:space="preserve">We </w:t>
      </w:r>
      <w:r w:rsidRPr="00EE7232">
        <w:rPr>
          <w:sz w:val="20"/>
          <w:szCs w:val="20"/>
        </w:rPr>
        <w:t>manage programs through effective design, implementation, ongoing monitoring</w:t>
      </w:r>
      <w:r>
        <w:rPr>
          <w:sz w:val="20"/>
          <w:szCs w:val="20"/>
        </w:rPr>
        <w:t>,</w:t>
      </w:r>
      <w:r w:rsidRPr="00EE7232">
        <w:rPr>
          <w:sz w:val="20"/>
          <w:szCs w:val="20"/>
        </w:rPr>
        <w:t xml:space="preserve"> and evaluation to support achieving intended outcomes for the Australian community. This is supported by </w:t>
      </w:r>
      <w:r>
        <w:rPr>
          <w:sz w:val="20"/>
          <w:szCs w:val="20"/>
        </w:rPr>
        <w:t>our</w:t>
      </w:r>
      <w:r w:rsidRPr="00EE7232">
        <w:rPr>
          <w:sz w:val="20"/>
          <w:szCs w:val="20"/>
        </w:rPr>
        <w:t xml:space="preserve"> Grants Management Office </w:t>
      </w:r>
      <w:r>
        <w:rPr>
          <w:sz w:val="20"/>
          <w:szCs w:val="20"/>
        </w:rPr>
        <w:t xml:space="preserve">which works </w:t>
      </w:r>
      <w:r w:rsidRPr="00EE7232">
        <w:rPr>
          <w:sz w:val="20"/>
          <w:szCs w:val="20"/>
        </w:rPr>
        <w:t>in partnership with policy areas to support best practice in planning, designing</w:t>
      </w:r>
      <w:r>
        <w:rPr>
          <w:sz w:val="20"/>
          <w:szCs w:val="20"/>
        </w:rPr>
        <w:t>,</w:t>
      </w:r>
      <w:r w:rsidRPr="00EE7232">
        <w:rPr>
          <w:sz w:val="20"/>
          <w:szCs w:val="20"/>
        </w:rPr>
        <w:t xml:space="preserve"> and selecting grant recipients. In the 2019</w:t>
      </w:r>
      <w:r>
        <w:rPr>
          <w:sz w:val="20"/>
          <w:szCs w:val="20"/>
        </w:rPr>
        <w:t>–</w:t>
      </w:r>
      <w:r w:rsidRPr="00EE7232">
        <w:rPr>
          <w:sz w:val="20"/>
          <w:szCs w:val="20"/>
        </w:rPr>
        <w:t>20 financial year, 10,163 grants were administered specific to the department, across 136 programs to a value of $997.7 million (excluding fee for service arrangements).</w:t>
      </w:r>
    </w:p>
    <w:p w14:paraId="2E6605C7" w14:textId="77777777" w:rsidR="00AB6753" w:rsidRPr="00EE7232" w:rsidRDefault="00AB6753" w:rsidP="00AB6753">
      <w:pPr>
        <w:autoSpaceDE w:val="0"/>
        <w:autoSpaceDN w:val="0"/>
        <w:adjustRightInd w:val="0"/>
        <w:spacing w:before="120" w:after="180" w:line="280" w:lineRule="atLeast"/>
        <w:ind w:right="-164"/>
        <w:rPr>
          <w:sz w:val="20"/>
          <w:szCs w:val="20"/>
        </w:rPr>
      </w:pPr>
      <w:r w:rsidRPr="00EE7232">
        <w:rPr>
          <w:sz w:val="20"/>
          <w:szCs w:val="20"/>
        </w:rPr>
        <w:t>The Community Grants Hub (the Hub) administers grants for the</w:t>
      </w:r>
      <w:r>
        <w:rPr>
          <w:sz w:val="20"/>
          <w:szCs w:val="20"/>
        </w:rPr>
        <w:t xml:space="preserve"> department</w:t>
      </w:r>
      <w:r w:rsidRPr="00EE7232">
        <w:rPr>
          <w:sz w:val="20"/>
          <w:szCs w:val="20"/>
        </w:rPr>
        <w:t>, as well as providing shared services grants administration for nine external client agencies.</w:t>
      </w:r>
    </w:p>
    <w:p w14:paraId="1AF87D22"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Department of Health</w:t>
      </w:r>
    </w:p>
    <w:p w14:paraId="49E55306"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Department of Agriculture, Water and the Environment</w:t>
      </w:r>
    </w:p>
    <w:p w14:paraId="7DAEE691"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Department of Veterans' Affairs</w:t>
      </w:r>
    </w:p>
    <w:p w14:paraId="39D03D44"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Department of the Prime Minister and Cabinet</w:t>
      </w:r>
    </w:p>
    <w:p w14:paraId="04CB2576"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National Indigenous Australians Agency</w:t>
      </w:r>
    </w:p>
    <w:p w14:paraId="0068C57C"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Attorney-General's Department</w:t>
      </w:r>
    </w:p>
    <w:p w14:paraId="4E6CE091"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Department of Education, Skills and Employment</w:t>
      </w:r>
    </w:p>
    <w:p w14:paraId="41EFEF32"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National Disability Insurance Agency</w:t>
      </w:r>
    </w:p>
    <w:p w14:paraId="2CB83532"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Department of Home Affairs.</w:t>
      </w:r>
    </w:p>
    <w:p w14:paraId="31DD8573" w14:textId="1A66426D" w:rsidR="00AB6753" w:rsidRPr="00EE7232" w:rsidRDefault="00AB6753" w:rsidP="00AB6753">
      <w:pPr>
        <w:autoSpaceDE w:val="0"/>
        <w:autoSpaceDN w:val="0"/>
        <w:adjustRightInd w:val="0"/>
        <w:spacing w:before="120" w:after="180" w:line="280" w:lineRule="atLeast"/>
        <w:ind w:right="-164"/>
        <w:rPr>
          <w:sz w:val="20"/>
          <w:szCs w:val="20"/>
        </w:rPr>
      </w:pPr>
      <w:r w:rsidRPr="00EE7232">
        <w:rPr>
          <w:sz w:val="20"/>
          <w:szCs w:val="20"/>
        </w:rPr>
        <w:t>In the 2019</w:t>
      </w:r>
      <w:r>
        <w:rPr>
          <w:sz w:val="20"/>
          <w:szCs w:val="20"/>
        </w:rPr>
        <w:t>–</w:t>
      </w:r>
      <w:r w:rsidRPr="00EE7232">
        <w:rPr>
          <w:sz w:val="20"/>
          <w:szCs w:val="20"/>
        </w:rPr>
        <w:t>20 financial year, the Hub administered 44,141 funding arrangements across</w:t>
      </w:r>
      <w:r w:rsidR="00AB0A29">
        <w:rPr>
          <w:sz w:val="20"/>
          <w:szCs w:val="20"/>
        </w:rPr>
        <w:br/>
      </w:r>
      <w:r w:rsidRPr="00EE7232">
        <w:rPr>
          <w:sz w:val="20"/>
          <w:szCs w:val="20"/>
        </w:rPr>
        <w:t>715 programs, totalling $10.3 billion (excluding fee for service funding arrangements) for these agencies and the department.</w:t>
      </w:r>
    </w:p>
    <w:p w14:paraId="1A554ECB" w14:textId="37444F22" w:rsidR="00AB6753" w:rsidRPr="00EE7232" w:rsidRDefault="00AB6753" w:rsidP="00AB6753">
      <w:pPr>
        <w:autoSpaceDE w:val="0"/>
        <w:autoSpaceDN w:val="0"/>
        <w:adjustRightInd w:val="0"/>
        <w:spacing w:before="120" w:after="180" w:line="280" w:lineRule="atLeast"/>
        <w:ind w:right="-164"/>
        <w:rPr>
          <w:sz w:val="20"/>
          <w:szCs w:val="20"/>
        </w:rPr>
      </w:pPr>
      <w:r w:rsidRPr="008F5B38">
        <w:rPr>
          <w:sz w:val="20"/>
          <w:szCs w:val="20"/>
        </w:rPr>
        <w:t>Information on grants awarded by the Department of Social Services during 201</w:t>
      </w:r>
      <w:r>
        <w:rPr>
          <w:sz w:val="20"/>
          <w:szCs w:val="20"/>
        </w:rPr>
        <w:t>9</w:t>
      </w:r>
      <w:r w:rsidRPr="008F5B38">
        <w:rPr>
          <w:sz w:val="20"/>
          <w:szCs w:val="20"/>
        </w:rPr>
        <w:t>–</w:t>
      </w:r>
      <w:r>
        <w:rPr>
          <w:sz w:val="20"/>
          <w:szCs w:val="20"/>
        </w:rPr>
        <w:t>20</w:t>
      </w:r>
      <w:r w:rsidRPr="008F5B38">
        <w:rPr>
          <w:sz w:val="20"/>
          <w:szCs w:val="20"/>
        </w:rPr>
        <w:t>, is available</w:t>
      </w:r>
      <w:r w:rsidR="00AB0A29">
        <w:rPr>
          <w:sz w:val="20"/>
          <w:szCs w:val="20"/>
        </w:rPr>
        <w:br/>
      </w:r>
      <w:r w:rsidRPr="008F5B38">
        <w:rPr>
          <w:sz w:val="20"/>
          <w:szCs w:val="20"/>
        </w:rPr>
        <w:t xml:space="preserve">at </w:t>
      </w:r>
      <w:hyperlink r:id="rId53" w:history="1">
        <w:r w:rsidRPr="00EE7232">
          <w:rPr>
            <w:sz w:val="20"/>
            <w:szCs w:val="20"/>
          </w:rPr>
          <w:t>grants.gov.au</w:t>
        </w:r>
      </w:hyperlink>
      <w:r w:rsidRPr="008F5B38">
        <w:rPr>
          <w:sz w:val="20"/>
          <w:szCs w:val="20"/>
        </w:rPr>
        <w:t xml:space="preserve"> </w:t>
      </w:r>
      <w:r>
        <w:rPr>
          <w:sz w:val="20"/>
          <w:szCs w:val="20"/>
        </w:rPr>
        <w:t>–</w:t>
      </w:r>
      <w:r w:rsidRPr="008F5B38">
        <w:rPr>
          <w:sz w:val="20"/>
          <w:szCs w:val="20"/>
        </w:rPr>
        <w:t xml:space="preserve"> Australia’s whole-of-government grants information system.</w:t>
      </w:r>
      <w:r>
        <w:rPr>
          <w:sz w:val="20"/>
          <w:szCs w:val="20"/>
        </w:rPr>
        <w:t xml:space="preserve"> Information on grants awarded up to 31 December 2017 is available at dss.</w:t>
      </w:r>
      <w:r w:rsidRPr="00061F7D">
        <w:rPr>
          <w:sz w:val="20"/>
          <w:szCs w:val="20"/>
        </w:rPr>
        <w:t>gov.au</w:t>
      </w:r>
    </w:p>
    <w:p w14:paraId="55BC7632" w14:textId="77777777" w:rsidR="00AB6753" w:rsidRDefault="00AB6753" w:rsidP="00AB6753">
      <w:pPr>
        <w:rPr>
          <w:rFonts w:cs="Arial"/>
          <w:sz w:val="24"/>
          <w:szCs w:val="24"/>
        </w:rPr>
        <w:sectPr w:rsidR="00AB6753" w:rsidSect="003C69D5">
          <w:footnotePr>
            <w:numRestart w:val="eachSect"/>
          </w:footnotePr>
          <w:pgSz w:w="11906" w:h="16838"/>
          <w:pgMar w:top="1440" w:right="1440" w:bottom="1440" w:left="1440" w:header="709" w:footer="709" w:gutter="0"/>
          <w:cols w:space="708"/>
          <w:docGrid w:linePitch="360"/>
        </w:sectPr>
      </w:pPr>
    </w:p>
    <w:p w14:paraId="3A0F3BB3" w14:textId="77777777" w:rsidR="00AB6753" w:rsidRDefault="00AB6753" w:rsidP="00AB6753">
      <w:pPr>
        <w:rPr>
          <w:rFonts w:cs="Arial"/>
          <w:sz w:val="24"/>
          <w:szCs w:val="24"/>
        </w:rPr>
      </w:pPr>
    </w:p>
    <w:p w14:paraId="75720C34" w14:textId="77777777" w:rsidR="00AB6753" w:rsidRPr="00054A67" w:rsidRDefault="00AB6753" w:rsidP="00AB6753">
      <w:pPr>
        <w:pBdr>
          <w:bottom w:val="single" w:sz="48" w:space="0" w:color="404040" w:themeColor="text1" w:themeTint="BF"/>
        </w:pBdr>
        <w:tabs>
          <w:tab w:val="right" w:pos="8364"/>
        </w:tabs>
        <w:spacing w:before="60" w:after="60"/>
        <w:ind w:left="567" w:right="1133"/>
        <w:rPr>
          <w:rFonts w:ascii="Georgia" w:hAnsi="Georgia" w:cs="HelveticaNeueLTStd-Bd"/>
          <w:color w:val="215868" w:themeColor="accent5" w:themeShade="80"/>
          <w:sz w:val="72"/>
          <w:szCs w:val="72"/>
        </w:rPr>
      </w:pPr>
      <w:r w:rsidRPr="00054A67">
        <w:rPr>
          <w:rFonts w:ascii="Georgia" w:hAnsi="Georgia" w:cs="HelveticaNeueLTStd-Bd"/>
          <w:color w:val="215868" w:themeColor="accent5" w:themeShade="80"/>
          <w:sz w:val="72"/>
          <w:szCs w:val="72"/>
        </w:rPr>
        <w:t>Part 5</w:t>
      </w:r>
    </w:p>
    <w:p w14:paraId="334B205A" w14:textId="77777777" w:rsidR="00AB6753" w:rsidRDefault="00AB6753" w:rsidP="00AB6753">
      <w:pPr>
        <w:autoSpaceDE w:val="0"/>
        <w:autoSpaceDN w:val="0"/>
        <w:adjustRightInd w:val="0"/>
        <w:spacing w:before="120" w:after="120" w:line="240" w:lineRule="auto"/>
        <w:ind w:left="567" w:right="1133"/>
        <w:rPr>
          <w:rFonts w:ascii="Georgia" w:hAnsi="Georgia" w:cs="Arial"/>
          <w:color w:val="92CDDC" w:themeColor="accent5" w:themeTint="99"/>
          <w:sz w:val="72"/>
          <w:szCs w:val="72"/>
        </w:rPr>
      </w:pPr>
    </w:p>
    <w:p w14:paraId="6424E11A" w14:textId="77777777" w:rsidR="00AB6753" w:rsidRPr="00054A67" w:rsidRDefault="00AB6753" w:rsidP="00AB6753">
      <w:pPr>
        <w:autoSpaceDE w:val="0"/>
        <w:autoSpaceDN w:val="0"/>
        <w:adjustRightInd w:val="0"/>
        <w:spacing w:before="120" w:after="120" w:line="240" w:lineRule="auto"/>
        <w:ind w:left="567" w:right="1133"/>
        <w:rPr>
          <w:rFonts w:ascii="Georgia" w:hAnsi="Georgia" w:cs="Arial"/>
          <w:color w:val="215868" w:themeColor="accent5" w:themeShade="80"/>
          <w:sz w:val="72"/>
          <w:szCs w:val="72"/>
        </w:rPr>
      </w:pPr>
      <w:r w:rsidRPr="00054A67">
        <w:rPr>
          <w:rFonts w:ascii="Georgia" w:hAnsi="Georgia" w:cs="Arial"/>
          <w:color w:val="215868" w:themeColor="accent5" w:themeShade="80"/>
          <w:sz w:val="72"/>
          <w:szCs w:val="72"/>
        </w:rPr>
        <w:t>Financial Statements</w:t>
      </w:r>
    </w:p>
    <w:p w14:paraId="75DC9C6D" w14:textId="311C3DCB" w:rsidR="00AB6753" w:rsidRPr="00C25FBF" w:rsidRDefault="00AB6753" w:rsidP="00AB6753">
      <w:pPr>
        <w:tabs>
          <w:tab w:val="left" w:pos="2268"/>
          <w:tab w:val="right" w:pos="7938"/>
          <w:tab w:val="left" w:pos="8505"/>
        </w:tabs>
        <w:ind w:left="567" w:right="1133"/>
        <w:rPr>
          <w:sz w:val="28"/>
          <w:szCs w:val="28"/>
        </w:rPr>
      </w:pPr>
      <w:r w:rsidRPr="00481422">
        <w:rPr>
          <w:sz w:val="28"/>
          <w:szCs w:val="28"/>
        </w:rPr>
        <w:t>Chapter 5.1</w:t>
      </w:r>
      <w:r>
        <w:rPr>
          <w:b/>
          <w:sz w:val="28"/>
          <w:szCs w:val="28"/>
        </w:rPr>
        <w:t xml:space="preserve"> </w:t>
      </w:r>
      <w:r w:rsidRPr="00C25FBF">
        <w:rPr>
          <w:sz w:val="28"/>
          <w:szCs w:val="28"/>
        </w:rPr>
        <w:t>Financial statements</w:t>
      </w:r>
      <w:r w:rsidRPr="00C25FBF">
        <w:rPr>
          <w:sz w:val="28"/>
          <w:szCs w:val="28"/>
        </w:rPr>
        <w:tab/>
      </w:r>
      <w:r w:rsidR="00FD6B57">
        <w:rPr>
          <w:sz w:val="28"/>
          <w:szCs w:val="28"/>
        </w:rPr>
        <w:t>122</w:t>
      </w:r>
    </w:p>
    <w:p w14:paraId="2B69F6B6" w14:textId="77777777" w:rsidR="00AB6753" w:rsidRDefault="00AB6753" w:rsidP="00AB6753">
      <w:pPr>
        <w:rPr>
          <w:rFonts w:cs="Arial"/>
          <w:b/>
          <w:color w:val="2C2A29"/>
          <w:sz w:val="24"/>
          <w:szCs w:val="24"/>
        </w:rPr>
      </w:pPr>
    </w:p>
    <w:p w14:paraId="1B2A7A5D" w14:textId="77777777" w:rsidR="00AB6753" w:rsidRDefault="00AB6753" w:rsidP="00AB6753">
      <w:pPr>
        <w:rPr>
          <w:rFonts w:cs="Arial"/>
          <w:color w:val="2C2A29"/>
          <w:sz w:val="24"/>
          <w:szCs w:val="24"/>
          <w:highlight w:val="yellow"/>
        </w:rPr>
        <w:sectPr w:rsidR="00AB6753" w:rsidSect="003C69D5">
          <w:pgSz w:w="11906" w:h="16838"/>
          <w:pgMar w:top="568" w:right="1440" w:bottom="1440" w:left="1440" w:header="426" w:footer="709" w:gutter="0"/>
          <w:cols w:space="708"/>
          <w:docGrid w:linePitch="360"/>
        </w:sectPr>
      </w:pPr>
    </w:p>
    <w:p w14:paraId="47A4F7E2" w14:textId="77777777" w:rsidR="00AB6753" w:rsidRPr="00EF2B10" w:rsidRDefault="00AB6753" w:rsidP="00AB6753">
      <w:pPr>
        <w:pStyle w:val="Heading1"/>
        <w:ind w:left="-5"/>
        <w:rPr>
          <w:sz w:val="20"/>
          <w:szCs w:val="20"/>
        </w:rPr>
      </w:pPr>
      <w:r w:rsidRPr="00EF2B10">
        <w:rPr>
          <w:sz w:val="20"/>
          <w:szCs w:val="20"/>
        </w:rPr>
        <w:lastRenderedPageBreak/>
        <w:t>INDEPENDENT AUDITOR’S REPORT</w:t>
      </w:r>
    </w:p>
    <w:p w14:paraId="1EC6787D" w14:textId="77777777" w:rsidR="00AB6753" w:rsidRPr="00EF2B10" w:rsidRDefault="00AB6753" w:rsidP="00AB6753">
      <w:pPr>
        <w:pStyle w:val="Heading1"/>
        <w:ind w:left="-5"/>
        <w:rPr>
          <w:sz w:val="20"/>
          <w:szCs w:val="20"/>
        </w:rPr>
      </w:pPr>
      <w:r w:rsidRPr="00EF2B10">
        <w:rPr>
          <w:sz w:val="20"/>
          <w:szCs w:val="20"/>
        </w:rPr>
        <w:t xml:space="preserve">To the Minister for Families and Social Services Opinion </w:t>
      </w:r>
      <w:r w:rsidRPr="00EF2B10">
        <w:rPr>
          <w:b w:val="0"/>
          <w:sz w:val="20"/>
          <w:szCs w:val="20"/>
        </w:rPr>
        <w:t xml:space="preserve"> </w:t>
      </w:r>
    </w:p>
    <w:p w14:paraId="3F090FA7" w14:textId="77777777" w:rsidR="00AB6753" w:rsidRPr="00EF2B10" w:rsidRDefault="00AB6753" w:rsidP="00AB6753">
      <w:pPr>
        <w:spacing w:after="141"/>
        <w:ind w:left="-5"/>
        <w:rPr>
          <w:rFonts w:asciiTheme="minorHAnsi" w:hAnsiTheme="minorHAnsi" w:cstheme="minorHAnsi"/>
          <w:sz w:val="20"/>
          <w:szCs w:val="20"/>
        </w:rPr>
      </w:pPr>
      <w:r w:rsidRPr="00EF2B10">
        <w:rPr>
          <w:rFonts w:asciiTheme="minorHAnsi" w:hAnsiTheme="minorHAnsi" w:cstheme="minorHAnsi"/>
          <w:sz w:val="20"/>
          <w:szCs w:val="20"/>
        </w:rPr>
        <w:t>In my opinion, the financial statements of the Department of Social Services (the Entity) for the year ended</w:t>
      </w:r>
      <w:r w:rsidRPr="00EF2B10">
        <w:rPr>
          <w:rFonts w:asciiTheme="minorHAnsi" w:hAnsiTheme="minorHAnsi" w:cstheme="minorHAnsi"/>
          <w:sz w:val="20"/>
          <w:szCs w:val="20"/>
        </w:rPr>
        <w:br/>
        <w:t xml:space="preserve">30 June 2020:  </w:t>
      </w:r>
    </w:p>
    <w:p w14:paraId="59AA5501" w14:textId="77777777" w:rsidR="00AB6753" w:rsidRPr="00EF2B10" w:rsidRDefault="00AB6753" w:rsidP="00AB6753">
      <w:pPr>
        <w:numPr>
          <w:ilvl w:val="0"/>
          <w:numId w:val="61"/>
        </w:numPr>
        <w:spacing w:after="143" w:line="25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comply with Australian Accounting Standards – Reduced Disclosure Requirements and the </w:t>
      </w:r>
      <w:r w:rsidRPr="00EF2B10">
        <w:rPr>
          <w:rFonts w:asciiTheme="minorHAnsi" w:hAnsiTheme="minorHAnsi" w:cstheme="minorHAnsi"/>
          <w:i/>
          <w:sz w:val="20"/>
          <w:szCs w:val="20"/>
        </w:rPr>
        <w:t>Public Governance, Performance and Accountability (Financial Reporting) Rule 2015</w:t>
      </w:r>
      <w:r w:rsidRPr="00EF2B10">
        <w:rPr>
          <w:rFonts w:asciiTheme="minorHAnsi" w:hAnsiTheme="minorHAnsi" w:cstheme="minorHAnsi"/>
          <w:sz w:val="20"/>
          <w:szCs w:val="20"/>
        </w:rPr>
        <w:t xml:space="preserve">; and </w:t>
      </w:r>
    </w:p>
    <w:p w14:paraId="768BF14F" w14:textId="77777777" w:rsidR="00AB6753" w:rsidRPr="00EF2B10" w:rsidRDefault="00AB6753" w:rsidP="00AB6753">
      <w:pPr>
        <w:numPr>
          <w:ilvl w:val="0"/>
          <w:numId w:val="61"/>
        </w:numPr>
        <w:spacing w:after="110" w:line="25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present fairly the financial position of the Entity as at 30 June 2020 and its financial performance and cash flows for the year then ended. </w:t>
      </w:r>
    </w:p>
    <w:p w14:paraId="71B55DC1" w14:textId="77777777" w:rsidR="00AB6753" w:rsidRPr="00EF2B10" w:rsidRDefault="00AB6753" w:rsidP="00AB6753">
      <w:pPr>
        <w:spacing w:after="153"/>
        <w:ind w:left="-5"/>
        <w:rPr>
          <w:rFonts w:asciiTheme="minorHAnsi" w:hAnsiTheme="minorHAnsi" w:cstheme="minorHAnsi"/>
          <w:sz w:val="20"/>
          <w:szCs w:val="20"/>
        </w:rPr>
      </w:pPr>
      <w:r w:rsidRPr="00EF2B10">
        <w:rPr>
          <w:rFonts w:asciiTheme="minorHAnsi" w:hAnsiTheme="minorHAnsi" w:cstheme="minorHAnsi"/>
          <w:sz w:val="20"/>
          <w:szCs w:val="20"/>
        </w:rPr>
        <w:t xml:space="preserve">The financial statements of the Entity, which I have audited, comprise the following as at 30 June 2020 and for the year then ended:  </w:t>
      </w:r>
    </w:p>
    <w:p w14:paraId="55DAB145" w14:textId="77777777" w:rsidR="00AB6753" w:rsidRPr="00EF2B10" w:rsidRDefault="00AB6753" w:rsidP="00AB6753">
      <w:pPr>
        <w:numPr>
          <w:ilvl w:val="0"/>
          <w:numId w:val="62"/>
        </w:numPr>
        <w:spacing w:after="8" w:line="25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Statement by the Secretary and Chief Finance Officer;  </w:t>
      </w:r>
    </w:p>
    <w:p w14:paraId="41CF7D28" w14:textId="77777777" w:rsidR="00AB6753" w:rsidRPr="00EF2B10" w:rsidRDefault="00AB6753" w:rsidP="00AB6753">
      <w:pPr>
        <w:numPr>
          <w:ilvl w:val="0"/>
          <w:numId w:val="62"/>
        </w:numPr>
        <w:spacing w:after="8" w:line="25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Statement of Comprehensive Income;  </w:t>
      </w:r>
    </w:p>
    <w:p w14:paraId="5001403F" w14:textId="77777777" w:rsidR="00AB6753" w:rsidRPr="00EF2B10" w:rsidRDefault="00AB6753" w:rsidP="00AB6753">
      <w:pPr>
        <w:numPr>
          <w:ilvl w:val="0"/>
          <w:numId w:val="62"/>
        </w:numPr>
        <w:spacing w:after="8" w:line="25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Statement of Financial Position;  </w:t>
      </w:r>
    </w:p>
    <w:p w14:paraId="5B0A8D1F" w14:textId="77777777" w:rsidR="00AB6753" w:rsidRPr="00EF2B10" w:rsidRDefault="00AB6753" w:rsidP="00AB6753">
      <w:pPr>
        <w:numPr>
          <w:ilvl w:val="0"/>
          <w:numId w:val="62"/>
        </w:numPr>
        <w:spacing w:after="8" w:line="25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Statement of Changes in Equity;  </w:t>
      </w:r>
    </w:p>
    <w:p w14:paraId="3ED4CF1B" w14:textId="77777777" w:rsidR="00AB6753" w:rsidRPr="00EF2B10" w:rsidRDefault="00AB6753" w:rsidP="00AB6753">
      <w:pPr>
        <w:numPr>
          <w:ilvl w:val="0"/>
          <w:numId w:val="62"/>
        </w:numPr>
        <w:spacing w:after="8" w:line="25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Cash Flow Statement;  </w:t>
      </w:r>
    </w:p>
    <w:p w14:paraId="051A076B" w14:textId="77777777" w:rsidR="00AB6753" w:rsidRPr="00EF2B10" w:rsidRDefault="00AB6753" w:rsidP="00AB6753">
      <w:pPr>
        <w:numPr>
          <w:ilvl w:val="0"/>
          <w:numId w:val="62"/>
        </w:numPr>
        <w:spacing w:after="9" w:line="25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Administered Schedule of Comprehensive Income;  </w:t>
      </w:r>
    </w:p>
    <w:p w14:paraId="529B47B8" w14:textId="77777777" w:rsidR="00AB6753" w:rsidRPr="00EF2B10" w:rsidRDefault="00AB6753" w:rsidP="00AB6753">
      <w:pPr>
        <w:numPr>
          <w:ilvl w:val="0"/>
          <w:numId w:val="62"/>
        </w:numPr>
        <w:spacing w:after="8" w:line="25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Administered Schedule of Assets and Liabilities;  </w:t>
      </w:r>
    </w:p>
    <w:p w14:paraId="2A1B525C" w14:textId="77777777" w:rsidR="00AB6753" w:rsidRPr="00EF2B10" w:rsidRDefault="00AB6753" w:rsidP="00AB6753">
      <w:pPr>
        <w:numPr>
          <w:ilvl w:val="0"/>
          <w:numId w:val="62"/>
        </w:numPr>
        <w:spacing w:after="8" w:line="25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Administered Reconciliation Schedule;  </w:t>
      </w:r>
    </w:p>
    <w:p w14:paraId="75335834" w14:textId="77777777" w:rsidR="00AB6753" w:rsidRPr="00EF2B10" w:rsidRDefault="00AB6753" w:rsidP="00AB6753">
      <w:pPr>
        <w:numPr>
          <w:ilvl w:val="0"/>
          <w:numId w:val="62"/>
        </w:numPr>
        <w:spacing w:after="8" w:line="25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Administered Cash Flow Statement; and  </w:t>
      </w:r>
    </w:p>
    <w:p w14:paraId="4DCBB95A" w14:textId="77777777" w:rsidR="00AB6753" w:rsidRPr="00EF2B10" w:rsidRDefault="00AB6753" w:rsidP="00AB6753">
      <w:pPr>
        <w:numPr>
          <w:ilvl w:val="0"/>
          <w:numId w:val="62"/>
        </w:numPr>
        <w:spacing w:after="110" w:line="250" w:lineRule="auto"/>
        <w:ind w:hanging="360"/>
        <w:jc w:val="both"/>
        <w:rPr>
          <w:rFonts w:asciiTheme="minorHAnsi" w:hAnsiTheme="minorHAnsi" w:cstheme="minorHAnsi"/>
          <w:sz w:val="20"/>
          <w:szCs w:val="20"/>
        </w:rPr>
      </w:pPr>
      <w:r w:rsidRPr="00EF2B10">
        <w:rPr>
          <w:rFonts w:asciiTheme="minorHAnsi" w:hAnsiTheme="minorHAnsi" w:cstheme="minorHAnsi"/>
          <w:noProof/>
          <w:sz w:val="20"/>
          <w:szCs w:val="20"/>
          <w:lang w:eastAsia="en-AU"/>
        </w:rPr>
        <mc:AlternateContent>
          <mc:Choice Requires="wpg">
            <w:drawing>
              <wp:anchor distT="0" distB="0" distL="114300" distR="114300" simplePos="0" relativeHeight="251680768" behindDoc="0" locked="0" layoutInCell="1" allowOverlap="1" wp14:anchorId="38623AE2" wp14:editId="0147824C">
                <wp:simplePos x="0" y="0"/>
                <wp:positionH relativeFrom="page">
                  <wp:posOffset>87629</wp:posOffset>
                </wp:positionH>
                <wp:positionV relativeFrom="page">
                  <wp:posOffset>73025</wp:posOffset>
                </wp:positionV>
                <wp:extent cx="7472934" cy="1904363"/>
                <wp:effectExtent l="0" t="0" r="0" b="1270"/>
                <wp:wrapTopAndBottom/>
                <wp:docPr id="6033" name="Group 6033" descr="Letter head for Australian National Audit Office&#10;"/>
                <wp:cNvGraphicFramePr/>
                <a:graphic xmlns:a="http://schemas.openxmlformats.org/drawingml/2006/main">
                  <a:graphicData uri="http://schemas.microsoft.com/office/word/2010/wordprocessingGroup">
                    <wpg:wgp>
                      <wpg:cNvGrpSpPr/>
                      <wpg:grpSpPr>
                        <a:xfrm>
                          <a:off x="0" y="0"/>
                          <a:ext cx="7472934" cy="1904363"/>
                          <a:chOff x="0" y="0"/>
                          <a:chExt cx="7472934" cy="1904363"/>
                        </a:xfrm>
                      </wpg:grpSpPr>
                      <pic:pic xmlns:pic="http://schemas.openxmlformats.org/drawingml/2006/picture">
                        <pic:nvPicPr>
                          <pic:cNvPr id="7475" name="Picture 7475" descr="Letter head for Australian National Audit Office&#10;"/>
                          <pic:cNvPicPr/>
                        </pic:nvPicPr>
                        <pic:blipFill>
                          <a:blip r:embed="rId54"/>
                          <a:stretch>
                            <a:fillRect/>
                          </a:stretch>
                        </pic:blipFill>
                        <pic:spPr>
                          <a:xfrm>
                            <a:off x="-2284" y="-2920"/>
                            <a:ext cx="7458457" cy="1908048"/>
                          </a:xfrm>
                          <a:prstGeom prst="rect">
                            <a:avLst/>
                          </a:prstGeom>
                        </pic:spPr>
                      </pic:pic>
                      <wps:wsp>
                        <wps:cNvPr id="26" name="Rectangle 26"/>
                        <wps:cNvSpPr/>
                        <wps:spPr>
                          <a:xfrm>
                            <a:off x="1828293" y="897610"/>
                            <a:ext cx="630576" cy="224380"/>
                          </a:xfrm>
                          <a:prstGeom prst="rect">
                            <a:avLst/>
                          </a:prstGeom>
                          <a:ln>
                            <a:noFill/>
                          </a:ln>
                        </wps:spPr>
                        <wps:txbx>
                          <w:txbxContent>
                            <w:p w14:paraId="68D5575B" w14:textId="77777777" w:rsidR="00EB552B" w:rsidRDefault="00EB552B" w:rsidP="00AB6753">
                              <w:pPr>
                                <w:spacing w:after="160" w:line="259" w:lineRule="auto"/>
                              </w:pPr>
                              <w:r>
                                <w:rPr>
                                  <w:rFonts w:ascii="Times New Roman" w:eastAsia="Times New Roman" w:hAnsi="Times New Roman" w:cs="Times New Roman"/>
                                  <w:sz w:val="24"/>
                                </w:rPr>
                                <w:t>Auditor</w:t>
                              </w:r>
                            </w:p>
                          </w:txbxContent>
                        </wps:txbx>
                        <wps:bodyPr horzOverflow="overflow" vert="horz" lIns="0" tIns="0" rIns="0" bIns="0" rtlCol="0">
                          <a:noAutofit/>
                        </wps:bodyPr>
                      </wps:wsp>
                      <wps:wsp>
                        <wps:cNvPr id="27" name="Rectangle 27"/>
                        <wps:cNvSpPr/>
                        <wps:spPr>
                          <a:xfrm>
                            <a:off x="2302257" y="897610"/>
                            <a:ext cx="67498" cy="224380"/>
                          </a:xfrm>
                          <a:prstGeom prst="rect">
                            <a:avLst/>
                          </a:prstGeom>
                          <a:ln>
                            <a:noFill/>
                          </a:ln>
                        </wps:spPr>
                        <wps:txbx>
                          <w:txbxContent>
                            <w:p w14:paraId="1F28BF3E" w14:textId="77777777" w:rsidR="00EB552B" w:rsidRDefault="00EB552B" w:rsidP="00AB6753">
                              <w:pPr>
                                <w:spacing w:after="160" w:line="259" w:lineRule="auto"/>
                              </w:pPr>
                              <w:r>
                                <w:rPr>
                                  <w:rFonts w:ascii="Times New Roman" w:eastAsia="Times New Roman" w:hAnsi="Times New Roman" w:cs="Times New Roman"/>
                                  <w:sz w:val="24"/>
                                </w:rPr>
                                <w:t>-</w:t>
                              </w:r>
                            </w:p>
                          </w:txbxContent>
                        </wps:txbx>
                        <wps:bodyPr horzOverflow="overflow" vert="horz" lIns="0" tIns="0" rIns="0" bIns="0" rtlCol="0">
                          <a:noAutofit/>
                        </wps:bodyPr>
                      </wps:wsp>
                      <wps:wsp>
                        <wps:cNvPr id="28" name="Rectangle 28" descr="Australian coat of arms &#10;"/>
                        <wps:cNvSpPr/>
                        <wps:spPr>
                          <a:xfrm>
                            <a:off x="2352549" y="897610"/>
                            <a:ext cx="1721027" cy="224380"/>
                          </a:xfrm>
                          <a:prstGeom prst="rect">
                            <a:avLst/>
                          </a:prstGeom>
                          <a:ln>
                            <a:noFill/>
                          </a:ln>
                        </wps:spPr>
                        <wps:txbx>
                          <w:txbxContent>
                            <w:p w14:paraId="4445FD15" w14:textId="77777777" w:rsidR="00EB552B" w:rsidRDefault="00EB552B" w:rsidP="00AB6753">
                              <w:pPr>
                                <w:spacing w:after="160" w:line="259" w:lineRule="auto"/>
                              </w:pPr>
                              <w:r>
                                <w:rPr>
                                  <w:rFonts w:ascii="Times New Roman" w:eastAsia="Times New Roman" w:hAnsi="Times New Roman" w:cs="Times New Roman"/>
                                  <w:sz w:val="24"/>
                                </w:rPr>
                                <w:t>General for Australia</w:t>
                              </w:r>
                            </w:p>
                          </w:txbxContent>
                        </wps:txbx>
                        <wps:bodyPr horzOverflow="overflow" vert="horz" lIns="0" tIns="0" rIns="0" bIns="0" rtlCol="0">
                          <a:noAutofit/>
                        </wps:bodyPr>
                      </wps:wsp>
                      <wps:wsp>
                        <wps:cNvPr id="29" name="Rectangle 29"/>
                        <wps:cNvSpPr/>
                        <wps:spPr>
                          <a:xfrm>
                            <a:off x="3648331" y="897610"/>
                            <a:ext cx="50673" cy="224380"/>
                          </a:xfrm>
                          <a:prstGeom prst="rect">
                            <a:avLst/>
                          </a:prstGeom>
                          <a:ln>
                            <a:noFill/>
                          </a:ln>
                        </wps:spPr>
                        <wps:txbx>
                          <w:txbxContent>
                            <w:p w14:paraId="5BB87BEB" w14:textId="77777777" w:rsidR="00EB552B" w:rsidRDefault="00EB552B" w:rsidP="00AB6753">
                              <w:pPr>
                                <w:spacing w:after="160" w:line="259" w:lineRule="auto"/>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38623AE2" id="Group 6033" o:spid="_x0000_s1026" alt="Letter head for Australian National Audit Office&#10;" style="position:absolute;left:0;text-align:left;margin-left:6.9pt;margin-top:5.75pt;width:588.4pt;height:149.95pt;z-index:251680768;mso-position-horizontal-relative:page;mso-position-vertical-relative:page" coordsize="74729,19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75" o:spid="_x0000_s1027" type="#_x0000_t75" alt="Letter head for Australian National Audit Office&#10;" style="position:absolute;left:-22;top:-29;width:74583;height:1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">
                  <v:imagedata r:id="rId55" o:title="Letter head for Australian National Audit Office&#10;"/>
                </v:shape>
                <v:rect id="Rectangle 26" o:spid="_x0000_s1028" style="position:absolute;left:18282;top:8976;width:63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8D5575B" w14:textId="77777777" w:rsidR="00EB552B" w:rsidRDefault="00EB552B" w:rsidP="00AB6753">
                        <w:pPr>
                          <w:spacing w:after="160" w:line="259" w:lineRule="auto"/>
                        </w:pPr>
                        <w:r>
                          <w:rPr>
                            <w:rFonts w:ascii="Times New Roman" w:eastAsia="Times New Roman" w:hAnsi="Times New Roman" w:cs="Times New Roman"/>
                            <w:sz w:val="24"/>
                          </w:rPr>
                          <w:t>Auditor</w:t>
                        </w:r>
                      </w:p>
                    </w:txbxContent>
                  </v:textbox>
                </v:rect>
                <v:rect id="Rectangle 27" o:spid="_x0000_s1029" style="position:absolute;left:23022;top:8976;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F28BF3E" w14:textId="77777777" w:rsidR="00EB552B" w:rsidRDefault="00EB552B" w:rsidP="00AB6753">
                        <w:pPr>
                          <w:spacing w:after="160" w:line="259" w:lineRule="auto"/>
                        </w:pPr>
                        <w:r>
                          <w:rPr>
                            <w:rFonts w:ascii="Times New Roman" w:eastAsia="Times New Roman" w:hAnsi="Times New Roman" w:cs="Times New Roman"/>
                            <w:sz w:val="24"/>
                          </w:rPr>
                          <w:t>-</w:t>
                        </w:r>
                      </w:p>
                    </w:txbxContent>
                  </v:textbox>
                </v:rect>
                <v:rect id="Rectangle 28" o:spid="_x0000_s1030" alt="Australian coat of arms &#10;" style="position:absolute;left:23525;top:8976;width:1721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445FD15" w14:textId="77777777" w:rsidR="00EB552B" w:rsidRDefault="00EB552B" w:rsidP="00AB6753">
                        <w:pPr>
                          <w:spacing w:after="160" w:line="259" w:lineRule="auto"/>
                        </w:pPr>
                        <w:r>
                          <w:rPr>
                            <w:rFonts w:ascii="Times New Roman" w:eastAsia="Times New Roman" w:hAnsi="Times New Roman" w:cs="Times New Roman"/>
                            <w:sz w:val="24"/>
                          </w:rPr>
                          <w:t>General for Australia</w:t>
                        </w:r>
                      </w:p>
                    </w:txbxContent>
                  </v:textbox>
                </v:rect>
                <v:rect id="Rectangle 29" o:spid="_x0000_s1031" style="position:absolute;left:36483;top:897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BB87BEB" w14:textId="77777777" w:rsidR="00EB552B" w:rsidRDefault="00EB552B" w:rsidP="00AB6753">
                        <w:pPr>
                          <w:spacing w:after="160" w:line="259" w:lineRule="auto"/>
                        </w:pPr>
                        <w:r>
                          <w:rPr>
                            <w:rFonts w:ascii="Times New Roman" w:eastAsia="Times New Roman" w:hAnsi="Times New Roman" w:cs="Times New Roman"/>
                            <w:sz w:val="24"/>
                          </w:rPr>
                          <w:t xml:space="preserve"> </w:t>
                        </w:r>
                      </w:p>
                    </w:txbxContent>
                  </v:textbox>
                </v:rect>
                <w10:wrap type="topAndBottom" anchorx="page" anchory="page"/>
              </v:group>
            </w:pict>
          </mc:Fallback>
        </mc:AlternateContent>
      </w:r>
      <w:r w:rsidRPr="00EF2B10">
        <w:rPr>
          <w:rFonts w:asciiTheme="minorHAnsi" w:hAnsiTheme="minorHAnsi" w:cstheme="minorHAnsi"/>
          <w:sz w:val="20"/>
          <w:szCs w:val="20"/>
        </w:rPr>
        <w:t xml:space="preserve">Notes to and forming part of the financial statements, comprising a summary of significant accounting policies and other explanatory information. </w:t>
      </w:r>
    </w:p>
    <w:p w14:paraId="1B929248" w14:textId="77777777" w:rsidR="00AB6753" w:rsidRPr="00EF2B10" w:rsidRDefault="00AB6753" w:rsidP="00AB6753">
      <w:pPr>
        <w:pStyle w:val="Heading1"/>
        <w:spacing w:before="120"/>
        <w:ind w:left="-6"/>
        <w:rPr>
          <w:sz w:val="20"/>
          <w:szCs w:val="20"/>
        </w:rPr>
      </w:pPr>
      <w:r w:rsidRPr="00EF2B10">
        <w:rPr>
          <w:sz w:val="20"/>
          <w:szCs w:val="20"/>
        </w:rPr>
        <w:t>Basis for opinion</w:t>
      </w:r>
      <w:r w:rsidRPr="00EF2B10">
        <w:rPr>
          <w:color w:val="FF0000"/>
          <w:sz w:val="20"/>
          <w:szCs w:val="20"/>
        </w:rPr>
        <w:t xml:space="preserve"> </w:t>
      </w:r>
      <w:r w:rsidRPr="00EF2B10">
        <w:rPr>
          <w:b w:val="0"/>
          <w:color w:val="FF0000"/>
          <w:sz w:val="20"/>
          <w:szCs w:val="20"/>
        </w:rPr>
        <w:t xml:space="preserve"> </w:t>
      </w:r>
    </w:p>
    <w:p w14:paraId="61028CCD" w14:textId="77777777" w:rsidR="00AB6753" w:rsidRPr="00EF2B10" w:rsidRDefault="00AB6753" w:rsidP="00AB6753">
      <w:pPr>
        <w:ind w:left="-5"/>
        <w:rPr>
          <w:rFonts w:asciiTheme="minorHAnsi" w:hAnsiTheme="minorHAnsi" w:cstheme="minorHAnsi"/>
          <w:sz w:val="20"/>
          <w:szCs w:val="20"/>
        </w:rPr>
      </w:pPr>
      <w:r w:rsidRPr="00EF2B10">
        <w:rPr>
          <w:rFonts w:asciiTheme="minorHAnsi" w:hAnsiTheme="minorHAnsi" w:cstheme="minorHAnsi"/>
          <w:sz w:val="20"/>
          <w:szCs w:val="20"/>
        </w:rPr>
        <w:t xml:space="preserve">I conducted my audit in accordance with the Australian National Audit Office Auditing Standards, which incorporate the Australian Auditing Standards. My responsibilities under those standards are further described in the </w:t>
      </w:r>
      <w:r w:rsidRPr="00EF2B10">
        <w:rPr>
          <w:rFonts w:asciiTheme="minorHAnsi" w:hAnsiTheme="minorHAnsi" w:cstheme="minorHAnsi"/>
          <w:i/>
          <w:sz w:val="20"/>
          <w:szCs w:val="20"/>
        </w:rPr>
        <w:t xml:space="preserve">Auditor’s Responsibilities for the Audit of the Financial Statements </w:t>
      </w:r>
      <w:r w:rsidRPr="00EF2B10">
        <w:rPr>
          <w:rFonts w:asciiTheme="minorHAnsi" w:hAnsiTheme="minorHAnsi" w:cstheme="minorHAnsi"/>
          <w:sz w:val="20"/>
          <w:szCs w:val="20"/>
        </w:rPr>
        <w:t xml:space="preserve">section of my report. I am independent of the Entity in accordance with the relevant ethical requirements for financial statement audits conducted by me. These include the relevant independence requirements of the Accounting Professional and Ethical Standards Board’s APES 110 </w:t>
      </w:r>
      <w:r w:rsidRPr="00EF2B10">
        <w:rPr>
          <w:rFonts w:asciiTheme="minorHAnsi" w:hAnsiTheme="minorHAnsi" w:cstheme="minorHAnsi"/>
          <w:i/>
          <w:sz w:val="20"/>
          <w:szCs w:val="20"/>
        </w:rPr>
        <w:t xml:space="preserve">Code of Ethics for Professional Accountants (including Independence Standards) </w:t>
      </w:r>
      <w:r w:rsidRPr="00EF2B10">
        <w:rPr>
          <w:rFonts w:asciiTheme="minorHAnsi" w:hAnsiTheme="minorHAnsi" w:cstheme="minorHAnsi"/>
          <w:sz w:val="20"/>
          <w:szCs w:val="20"/>
        </w:rPr>
        <w:t xml:space="preserve">(the Code) to the extent that they are not in conflict with the </w:t>
      </w:r>
      <w:r w:rsidRPr="00EF2B10">
        <w:rPr>
          <w:rFonts w:asciiTheme="minorHAnsi" w:hAnsiTheme="minorHAnsi" w:cstheme="minorHAnsi"/>
          <w:i/>
          <w:sz w:val="20"/>
          <w:szCs w:val="20"/>
        </w:rPr>
        <w:t>Auditor-General Act 1997</w:t>
      </w:r>
      <w:r w:rsidRPr="00EF2B10">
        <w:rPr>
          <w:rFonts w:asciiTheme="minorHAnsi" w:hAnsiTheme="minorHAnsi" w:cstheme="minorHAnsi"/>
          <w:sz w:val="20"/>
          <w:szCs w:val="20"/>
        </w:rPr>
        <w:t>. I have also fulfilled my other responsibilities in accordance with the Code. I believe that the audit evidence I have obtained is sufficient and appropriate to provide a basis for my opinion.</w:t>
      </w:r>
    </w:p>
    <w:p w14:paraId="39E07A9A" w14:textId="77777777" w:rsidR="00AB6753" w:rsidRPr="00EF2B10" w:rsidRDefault="00AB6753" w:rsidP="00AB6753">
      <w:pPr>
        <w:spacing w:before="120" w:after="0"/>
        <w:ind w:left="-6"/>
        <w:rPr>
          <w:sz w:val="20"/>
          <w:szCs w:val="20"/>
        </w:rPr>
      </w:pPr>
      <w:r w:rsidRPr="00EF2B10">
        <w:rPr>
          <w:rFonts w:eastAsia="Arial" w:cs="Arial"/>
          <w:b/>
          <w:sz w:val="20"/>
          <w:szCs w:val="20"/>
        </w:rPr>
        <w:t xml:space="preserve">Key audit matters </w:t>
      </w:r>
    </w:p>
    <w:p w14:paraId="73CC2F86" w14:textId="77777777" w:rsidR="00AB6753" w:rsidRPr="00EF2B10" w:rsidRDefault="00AB6753" w:rsidP="00AB6753">
      <w:pPr>
        <w:ind w:left="-5"/>
        <w:rPr>
          <w:rFonts w:asciiTheme="minorHAnsi" w:hAnsiTheme="minorHAnsi" w:cstheme="minorHAnsi"/>
          <w:sz w:val="20"/>
          <w:szCs w:val="20"/>
        </w:rPr>
      </w:pPr>
      <w:r w:rsidRPr="00EF2B10">
        <w:rPr>
          <w:rFonts w:asciiTheme="minorHAnsi" w:hAnsiTheme="minorHAnsi" w:cstheme="minorHAnsi"/>
          <w:sz w:val="20"/>
          <w:szCs w:val="20"/>
        </w:rPr>
        <w:t xml:space="preserve">Key audit matters are those matters that, in my professional judgement, were of most significance in my audit of the financial statements of the current period. These matters were addressed in the context of my audit of the financial statements as a whole, and in forming my opinion thereon, and I do not provide a separate opinion on these matters. </w:t>
      </w:r>
    </w:p>
    <w:p w14:paraId="7B480FC0" w14:textId="0EFC8F11" w:rsidR="00AB6753" w:rsidRDefault="00AB6753" w:rsidP="00AB6753">
      <w:pPr>
        <w:spacing w:after="102" w:line="259" w:lineRule="auto"/>
      </w:pPr>
    </w:p>
    <w:p w14:paraId="1691447E" w14:textId="77777777" w:rsidR="00AB6753" w:rsidRPr="00EF2B10" w:rsidRDefault="00AB6753" w:rsidP="00AB6753">
      <w:pPr>
        <w:spacing w:after="3" w:line="259" w:lineRule="auto"/>
        <w:ind w:right="607"/>
        <w:jc w:val="right"/>
        <w:rPr>
          <w:rFonts w:eastAsia="Arial" w:cs="Arial"/>
          <w:sz w:val="14"/>
        </w:rPr>
      </w:pPr>
      <w:r>
        <w:rPr>
          <w:rFonts w:eastAsia="Arial" w:cs="Arial"/>
          <w:sz w:val="14"/>
        </w:rPr>
        <w:t xml:space="preserve">GPO Box 707 CANBERRA ACT 2601 </w:t>
      </w:r>
    </w:p>
    <w:p w14:paraId="5DFD6678" w14:textId="77777777" w:rsidR="00AB6753" w:rsidRDefault="00AB6753" w:rsidP="00AB6753">
      <w:pPr>
        <w:spacing w:after="3" w:line="259" w:lineRule="auto"/>
        <w:ind w:right="607"/>
        <w:jc w:val="right"/>
      </w:pPr>
      <w:r>
        <w:rPr>
          <w:rFonts w:eastAsia="Arial" w:cs="Arial"/>
          <w:sz w:val="14"/>
        </w:rPr>
        <w:t xml:space="preserve">38 Sydney Avenue  FORREST  ACT  2603 </w:t>
      </w:r>
    </w:p>
    <w:p w14:paraId="5D50FB7C" w14:textId="77777777" w:rsidR="00AB6753" w:rsidRDefault="00AB6753" w:rsidP="00AB6753">
      <w:pPr>
        <w:spacing w:after="3" w:line="259" w:lineRule="auto"/>
        <w:ind w:right="607"/>
        <w:jc w:val="right"/>
      </w:pPr>
      <w:r>
        <w:rPr>
          <w:rFonts w:eastAsia="Arial" w:cs="Arial"/>
          <w:sz w:val="14"/>
        </w:rPr>
        <w:t xml:space="preserve">Phone (02) 6203 7300   Fax (02) 6203 7777 </w:t>
      </w:r>
    </w:p>
    <w:p w14:paraId="06CCA17C" w14:textId="77777777" w:rsidR="00AB6753" w:rsidRDefault="00AB6753" w:rsidP="00AB6753"/>
    <w:p w14:paraId="735BD8ED" w14:textId="77777777" w:rsidR="00AB6753" w:rsidRDefault="00AB6753" w:rsidP="00AB6753">
      <w:pPr>
        <w:sectPr w:rsidR="00AB6753">
          <w:pgSz w:w="11906" w:h="16838"/>
          <w:pgMar w:top="1440" w:right="1463" w:bottom="1440" w:left="1419" w:header="720" w:footer="720" w:gutter="0"/>
          <w:cols w:space="720"/>
        </w:sectPr>
      </w:pPr>
    </w:p>
    <w:p w14:paraId="259DF5DC" w14:textId="77777777" w:rsidR="00AB6753" w:rsidRPr="00EF2B10" w:rsidRDefault="00AB6753" w:rsidP="00AB6753">
      <w:pPr>
        <w:pStyle w:val="Heading1"/>
        <w:spacing w:before="120" w:after="120" w:line="240" w:lineRule="auto"/>
        <w:ind w:left="-6" w:hanging="11"/>
        <w:rPr>
          <w:rFonts w:cs="Arial"/>
          <w:sz w:val="20"/>
          <w:szCs w:val="20"/>
        </w:rPr>
      </w:pPr>
      <w:r w:rsidRPr="00EF2B10">
        <w:rPr>
          <w:rFonts w:eastAsia="Calibri" w:cs="Arial"/>
          <w:noProof/>
          <w:sz w:val="20"/>
          <w:szCs w:val="20"/>
          <w:lang w:eastAsia="en-AU"/>
        </w:rPr>
        <w:lastRenderedPageBreak/>
        <mc:AlternateContent>
          <mc:Choice Requires="wpg">
            <w:drawing>
              <wp:anchor distT="0" distB="0" distL="114300" distR="114300" simplePos="0" relativeHeight="251681792" behindDoc="0" locked="0" layoutInCell="1" allowOverlap="1" wp14:anchorId="777C144B" wp14:editId="339DFF49">
                <wp:simplePos x="0" y="0"/>
                <wp:positionH relativeFrom="margin">
                  <wp:posOffset>-68579</wp:posOffset>
                </wp:positionH>
                <wp:positionV relativeFrom="paragraph">
                  <wp:posOffset>-85167</wp:posOffset>
                </wp:positionV>
                <wp:extent cx="5729681" cy="6096"/>
                <wp:effectExtent l="0" t="0" r="0" b="0"/>
                <wp:wrapTopAndBottom/>
                <wp:docPr id="6672" name="Group 6672" descr="Decorative"/>
                <wp:cNvGraphicFramePr/>
                <a:graphic xmlns:a="http://schemas.openxmlformats.org/drawingml/2006/main">
                  <a:graphicData uri="http://schemas.microsoft.com/office/word/2010/wordprocessingGroup">
                    <wpg:wgp>
                      <wpg:cNvGrpSpPr/>
                      <wpg:grpSpPr>
                        <a:xfrm>
                          <a:off x="0" y="0"/>
                          <a:ext cx="5729681" cy="6096"/>
                          <a:chOff x="0" y="0"/>
                          <a:chExt cx="5729681" cy="6096"/>
                        </a:xfrm>
                      </wpg:grpSpPr>
                      <wps:wsp>
                        <wps:cNvPr id="7599" name="Shape 7599"/>
                        <wps:cNvSpPr/>
                        <wps:spPr>
                          <a:xfrm>
                            <a:off x="0" y="0"/>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00" name="Shape 7600"/>
                        <wps:cNvSpPr/>
                        <wps:spPr>
                          <a:xfrm>
                            <a:off x="27008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01" name="Shape 7601"/>
                        <wps:cNvSpPr/>
                        <wps:spPr>
                          <a:xfrm>
                            <a:off x="2706954" y="0"/>
                            <a:ext cx="3022727" cy="9144"/>
                          </a:xfrm>
                          <a:custGeom>
                            <a:avLst/>
                            <a:gdLst/>
                            <a:ahLst/>
                            <a:cxnLst/>
                            <a:rect l="0" t="0" r="0" b="0"/>
                            <a:pathLst>
                              <a:path w="3022727" h="9144">
                                <a:moveTo>
                                  <a:pt x="0" y="0"/>
                                </a:moveTo>
                                <a:lnTo>
                                  <a:pt x="3022727" y="0"/>
                                </a:lnTo>
                                <a:lnTo>
                                  <a:pt x="30227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6C849B" id="Group 6672" o:spid="_x0000_s1026" alt="Decorative" style="position:absolute;margin-left:-5.4pt;margin-top:-6.7pt;width:451.15pt;height:.5pt;z-index:251681792;mso-position-horizontal-relative:margin" coordsize="572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">
                <v:shape id="Shape 7599" o:spid="_x0000_s1027" style="position:absolute;width:27007;height:91;visibility:visible;mso-wrap-style:square;v-text-anchor:top" coordsize="2700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" path="m,l2700782,r,9144l,9144,,e" fillcolor="black" stroked="f" strokeweight="0">
                  <v:stroke miterlimit="83231f" joinstyle="miter"/>
                  <v:path arrowok="t" textboxrect="0,0,2700782,9144"/>
                </v:shape>
                <v:shape id="Shape 7600" o:spid="_x0000_s1028" style="position:absolute;left:270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" path="m,l9144,r,9144l,9144,,e" fillcolor="black" stroked="f" strokeweight="0">
                  <v:stroke miterlimit="83231f" joinstyle="miter"/>
                  <v:path arrowok="t" textboxrect="0,0,9144,9144"/>
                </v:shape>
                <v:shape id="Shape 7601" o:spid="_x0000_s1029" style="position:absolute;left:27069;width:30227;height:91;visibility:visible;mso-wrap-style:square;v-text-anchor:top" coordsize="30227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" path="m,l3022727,r,9144l,9144,,e" fillcolor="black" stroked="f" strokeweight="0">
                  <v:stroke miterlimit="83231f" joinstyle="miter"/>
                  <v:path arrowok="t" textboxrect="0,0,3022727,9144"/>
                </v:shape>
                <w10:wrap type="topAndBottom" anchorx="margin"/>
              </v:group>
            </w:pict>
          </mc:Fallback>
        </mc:AlternateContent>
      </w:r>
      <w:r w:rsidRPr="00EF2B10">
        <w:rPr>
          <w:rFonts w:cs="Arial"/>
          <w:sz w:val="20"/>
          <w:szCs w:val="20"/>
        </w:rPr>
        <w:t xml:space="preserve">Key audit matter Validity of grants expenses </w:t>
      </w:r>
    </w:p>
    <w:p w14:paraId="37EDB2D8" w14:textId="77777777" w:rsidR="00AB6753" w:rsidRPr="00EF2B10" w:rsidRDefault="00AB6753" w:rsidP="00AB6753">
      <w:pPr>
        <w:pStyle w:val="Heading2"/>
        <w:spacing w:before="120" w:after="120" w:line="240" w:lineRule="auto"/>
        <w:ind w:left="-5"/>
        <w:rPr>
          <w:rFonts w:cs="Arial"/>
          <w:b w:val="0"/>
          <w:i/>
          <w:sz w:val="20"/>
          <w:szCs w:val="20"/>
        </w:rPr>
      </w:pPr>
      <w:r w:rsidRPr="00EF2B10">
        <w:rPr>
          <w:rFonts w:cs="Arial"/>
          <w:b w:val="0"/>
          <w:i/>
          <w:sz w:val="20"/>
          <w:szCs w:val="20"/>
        </w:rPr>
        <w:t xml:space="preserve">Refer to Note 2.1B ‘Grants’ </w:t>
      </w:r>
    </w:p>
    <w:p w14:paraId="34F2CB9B" w14:textId="77777777" w:rsidR="00AB6753" w:rsidRDefault="00AB6753" w:rsidP="00AB6753">
      <w:pPr>
        <w:spacing w:before="120" w:after="120" w:line="240" w:lineRule="auto"/>
        <w:ind w:left="-5"/>
        <w:rPr>
          <w:rFonts w:asciiTheme="minorHAnsi" w:hAnsiTheme="minorHAnsi" w:cstheme="minorHAnsi"/>
          <w:sz w:val="20"/>
          <w:szCs w:val="20"/>
        </w:rPr>
      </w:pPr>
      <w:r w:rsidRPr="00EF2B10">
        <w:rPr>
          <w:rFonts w:asciiTheme="minorHAnsi" w:hAnsiTheme="minorHAnsi" w:cstheme="minorHAnsi"/>
          <w:noProof/>
          <w:sz w:val="20"/>
          <w:szCs w:val="20"/>
          <w:lang w:eastAsia="en-AU"/>
        </w:rPr>
        <mc:AlternateContent>
          <mc:Choice Requires="wpg">
            <w:drawing>
              <wp:anchor distT="0" distB="0" distL="114300" distR="114300" simplePos="0" relativeHeight="251682816" behindDoc="0" locked="0" layoutInCell="1" allowOverlap="1" wp14:anchorId="6107C318" wp14:editId="09B7DD00">
                <wp:simplePos x="0" y="0"/>
                <wp:positionH relativeFrom="margin">
                  <wp:posOffset>-67945</wp:posOffset>
                </wp:positionH>
                <wp:positionV relativeFrom="paragraph">
                  <wp:posOffset>2324558</wp:posOffset>
                </wp:positionV>
                <wp:extent cx="5729681" cy="6096"/>
                <wp:effectExtent l="0" t="0" r="0" b="0"/>
                <wp:wrapTopAndBottom/>
                <wp:docPr id="6673" name="Group 6673" descr="decorative"/>
                <wp:cNvGraphicFramePr/>
                <a:graphic xmlns:a="http://schemas.openxmlformats.org/drawingml/2006/main">
                  <a:graphicData uri="http://schemas.microsoft.com/office/word/2010/wordprocessingGroup">
                    <wpg:wgp>
                      <wpg:cNvGrpSpPr/>
                      <wpg:grpSpPr>
                        <a:xfrm>
                          <a:off x="0" y="0"/>
                          <a:ext cx="5729681" cy="6096"/>
                          <a:chOff x="0" y="0"/>
                          <a:chExt cx="5729681" cy="6096"/>
                        </a:xfrm>
                      </wpg:grpSpPr>
                      <wps:wsp>
                        <wps:cNvPr id="7605" name="Shape 7605"/>
                        <wps:cNvSpPr/>
                        <wps:spPr>
                          <a:xfrm>
                            <a:off x="0" y="0"/>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06" name="Shape 7606"/>
                        <wps:cNvSpPr/>
                        <wps:spPr>
                          <a:xfrm>
                            <a:off x="27008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07" name="Shape 7607"/>
                        <wps:cNvSpPr/>
                        <wps:spPr>
                          <a:xfrm>
                            <a:off x="2706954" y="0"/>
                            <a:ext cx="3022727" cy="9144"/>
                          </a:xfrm>
                          <a:custGeom>
                            <a:avLst/>
                            <a:gdLst/>
                            <a:ahLst/>
                            <a:cxnLst/>
                            <a:rect l="0" t="0" r="0" b="0"/>
                            <a:pathLst>
                              <a:path w="3022727" h="9144">
                                <a:moveTo>
                                  <a:pt x="0" y="0"/>
                                </a:moveTo>
                                <a:lnTo>
                                  <a:pt x="3022727" y="0"/>
                                </a:lnTo>
                                <a:lnTo>
                                  <a:pt x="30227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BE396E" id="Group 6673" o:spid="_x0000_s1026" alt="decorative" style="position:absolute;margin-left:-5.35pt;margin-top:183.05pt;width:451.15pt;height:.5pt;z-index:251682816;mso-position-horizontal-relative:margin" coordsize="572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">
                <v:shape id="Shape 7605" o:spid="_x0000_s1027" style="position:absolute;width:27007;height:91;visibility:visible;mso-wrap-style:square;v-text-anchor:top" coordsize="2700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" path="m,l2700782,r,9144l,9144,,e" fillcolor="black" stroked="f" strokeweight="0">
                  <v:stroke miterlimit="83231f" joinstyle="miter"/>
                  <v:path arrowok="t" textboxrect="0,0,2700782,9144"/>
                </v:shape>
                <v:shape id="Shape 7606" o:spid="_x0000_s1028" style="position:absolute;left:270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" path="m,l9144,r,9144l,9144,,e" fillcolor="black" stroked="f" strokeweight="0">
                  <v:stroke miterlimit="83231f" joinstyle="miter"/>
                  <v:path arrowok="t" textboxrect="0,0,9144,9144"/>
                </v:shape>
                <v:shape id="Shape 7607" o:spid="_x0000_s1029" style="position:absolute;left:27069;width:30227;height:91;visibility:visible;mso-wrap-style:square;v-text-anchor:top" coordsize="30227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" path="m,l3022727,r,9144l,9144,,e" fillcolor="black" stroked="f" strokeweight="0">
                  <v:stroke miterlimit="83231f" joinstyle="miter"/>
                  <v:path arrowok="t" textboxrect="0,0,3022727,9144"/>
                </v:shape>
                <w10:wrap type="topAndBottom" anchorx="margin"/>
              </v:group>
            </w:pict>
          </mc:Fallback>
        </mc:AlternateContent>
      </w:r>
      <w:r w:rsidRPr="00EF2B10">
        <w:rPr>
          <w:rFonts w:asciiTheme="minorHAnsi" w:hAnsiTheme="minorHAnsi" w:cstheme="minorHAnsi"/>
          <w:sz w:val="20"/>
          <w:szCs w:val="20"/>
        </w:rPr>
        <w:t>I focused on this area as there are a large number of grants programs with differing legislative and policy requirements which make the management of grant processes complex. This has the potential to impact the validity of grant expenses. Further, to manage the grants program and depending on the type of grant, the Entity has implemented manual compliance processes including risk management processes at the commencement and during the life</w:t>
      </w:r>
      <w:r>
        <w:rPr>
          <w:rFonts w:asciiTheme="minorHAnsi" w:hAnsiTheme="minorHAnsi" w:cstheme="minorHAnsi"/>
          <w:sz w:val="20"/>
          <w:szCs w:val="20"/>
        </w:rPr>
        <w:t xml:space="preserve"> cycle of the grants program.</w:t>
      </w:r>
    </w:p>
    <w:p w14:paraId="6179C98E" w14:textId="77777777" w:rsidR="00AB6753" w:rsidRPr="00EF2B10" w:rsidRDefault="00AB6753" w:rsidP="00AB6753">
      <w:pPr>
        <w:spacing w:before="120" w:after="120" w:line="240" w:lineRule="auto"/>
        <w:ind w:left="-5"/>
        <w:rPr>
          <w:rFonts w:asciiTheme="minorHAnsi" w:hAnsiTheme="minorHAnsi" w:cstheme="minorHAnsi"/>
          <w:sz w:val="20"/>
          <w:szCs w:val="20"/>
        </w:rPr>
      </w:pPr>
      <w:r w:rsidRPr="00EF2B10">
        <w:rPr>
          <w:rFonts w:asciiTheme="minorHAnsi" w:hAnsiTheme="minorHAnsi" w:cstheme="minorHAnsi"/>
          <w:sz w:val="20"/>
          <w:szCs w:val="20"/>
        </w:rPr>
        <w:t xml:space="preserve">For the year ended 30 June 2020 the grants expenses were $2.7 billion. </w:t>
      </w:r>
    </w:p>
    <w:p w14:paraId="18363B08" w14:textId="77777777" w:rsidR="00AB6753" w:rsidRPr="00EF2B10" w:rsidRDefault="00AB6753" w:rsidP="00AB6753">
      <w:pPr>
        <w:pStyle w:val="Heading1"/>
        <w:spacing w:before="120" w:after="120" w:line="240" w:lineRule="auto"/>
        <w:ind w:left="284" w:hanging="11"/>
        <w:rPr>
          <w:rFonts w:cs="Arial"/>
          <w:sz w:val="20"/>
          <w:szCs w:val="20"/>
        </w:rPr>
      </w:pPr>
      <w:r w:rsidRPr="00EF2B10">
        <w:rPr>
          <w:rFonts w:cs="Arial"/>
          <w:sz w:val="20"/>
          <w:szCs w:val="20"/>
        </w:rPr>
        <w:t xml:space="preserve">How the audit addressed the matter </w:t>
      </w:r>
    </w:p>
    <w:p w14:paraId="738371B4" w14:textId="77777777" w:rsidR="00AB6753" w:rsidRPr="00EF2B10" w:rsidRDefault="00AB6753" w:rsidP="00AB6753">
      <w:pPr>
        <w:spacing w:before="120" w:after="120" w:line="240" w:lineRule="auto"/>
        <w:ind w:left="284"/>
        <w:rPr>
          <w:rFonts w:asciiTheme="minorHAnsi" w:hAnsiTheme="minorHAnsi" w:cstheme="minorHAnsi"/>
          <w:sz w:val="20"/>
          <w:szCs w:val="20"/>
        </w:rPr>
      </w:pPr>
      <w:r w:rsidRPr="00EF2B10">
        <w:rPr>
          <w:rFonts w:asciiTheme="minorHAnsi" w:hAnsiTheme="minorHAnsi" w:cstheme="minorHAnsi"/>
          <w:sz w:val="20"/>
          <w:szCs w:val="20"/>
        </w:rPr>
        <w:t xml:space="preserve">The audit procedures undertaken to address this matter included: </w:t>
      </w:r>
    </w:p>
    <w:p w14:paraId="14ADF164" w14:textId="77777777" w:rsidR="00AB6753" w:rsidRPr="00EF2B10" w:rsidRDefault="00AB6753" w:rsidP="00AB6753">
      <w:pPr>
        <w:numPr>
          <w:ilvl w:val="0"/>
          <w:numId w:val="63"/>
        </w:numPr>
        <w:spacing w:before="120" w:after="120" w:line="240" w:lineRule="auto"/>
        <w:ind w:left="709"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evaluating the information technology controls specifically access controls, change management, approvals and delegations for grants and payment processing; </w:t>
      </w:r>
    </w:p>
    <w:p w14:paraId="70124B7D" w14:textId="77777777" w:rsidR="00AB6753" w:rsidRPr="00EF2B10" w:rsidRDefault="00AB6753" w:rsidP="00AB6753">
      <w:pPr>
        <w:numPr>
          <w:ilvl w:val="0"/>
          <w:numId w:val="63"/>
        </w:numPr>
        <w:spacing w:before="120" w:after="120" w:line="240" w:lineRule="auto"/>
        <w:ind w:left="709"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assessing manual controls supporting grants management, focusing on risk management and compliance processes; and </w:t>
      </w:r>
    </w:p>
    <w:p w14:paraId="08E6E32A" w14:textId="77777777" w:rsidR="00AB6753" w:rsidRPr="00EF2B10" w:rsidRDefault="00AB6753" w:rsidP="00AB6753">
      <w:pPr>
        <w:numPr>
          <w:ilvl w:val="0"/>
          <w:numId w:val="63"/>
        </w:numPr>
        <w:spacing w:before="120" w:after="120" w:line="240" w:lineRule="auto"/>
        <w:ind w:left="709"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examining supporting documentation for a sample of grant agreements to assess the validity of expenditure amounts. </w:t>
      </w:r>
    </w:p>
    <w:p w14:paraId="1CA57357" w14:textId="77777777" w:rsidR="00AB6753" w:rsidRPr="00EF2B10" w:rsidRDefault="00AB6753" w:rsidP="00AB6753">
      <w:pPr>
        <w:spacing w:before="120" w:after="120" w:line="240" w:lineRule="auto"/>
        <w:rPr>
          <w:rFonts w:asciiTheme="minorHAnsi" w:hAnsiTheme="minorHAnsi" w:cstheme="minorHAnsi"/>
          <w:sz w:val="20"/>
          <w:szCs w:val="20"/>
        </w:rPr>
        <w:sectPr w:rsidR="00AB6753" w:rsidRPr="00EF2B10">
          <w:type w:val="continuous"/>
          <w:pgSz w:w="11906" w:h="16838"/>
          <w:pgMar w:top="1440" w:right="1572" w:bottom="1440" w:left="1527" w:header="720" w:footer="720" w:gutter="0"/>
          <w:cols w:num="2" w:space="720" w:equalWidth="0">
            <w:col w:w="4061" w:space="171"/>
            <w:col w:w="4576"/>
          </w:cols>
        </w:sectPr>
      </w:pPr>
    </w:p>
    <w:p w14:paraId="1246831C" w14:textId="77777777" w:rsidR="00AB6753" w:rsidRPr="00EF2B10" w:rsidRDefault="00AB6753" w:rsidP="00AB6753">
      <w:pPr>
        <w:pStyle w:val="Heading1"/>
        <w:spacing w:before="120" w:after="120" w:line="240" w:lineRule="auto"/>
        <w:ind w:left="-6" w:hanging="11"/>
        <w:rPr>
          <w:rFonts w:cs="Arial"/>
          <w:sz w:val="20"/>
          <w:szCs w:val="20"/>
        </w:rPr>
      </w:pPr>
      <w:r w:rsidRPr="00EF2B10">
        <w:rPr>
          <w:rFonts w:cs="Arial"/>
          <w:sz w:val="20"/>
          <w:szCs w:val="20"/>
        </w:rPr>
        <w:t>Key audit matter</w:t>
      </w:r>
    </w:p>
    <w:p w14:paraId="36208CFC" w14:textId="77777777" w:rsidR="00AB6753" w:rsidRPr="00EF2B10" w:rsidRDefault="00AB6753" w:rsidP="00AB6753">
      <w:pPr>
        <w:pStyle w:val="Heading1"/>
        <w:spacing w:before="120" w:after="120" w:line="240" w:lineRule="auto"/>
        <w:ind w:left="-5"/>
        <w:rPr>
          <w:rFonts w:cs="Arial"/>
          <w:sz w:val="20"/>
          <w:szCs w:val="20"/>
        </w:rPr>
      </w:pPr>
      <w:r w:rsidRPr="00EF2B10">
        <w:rPr>
          <w:rFonts w:cs="Arial"/>
          <w:sz w:val="20"/>
          <w:szCs w:val="20"/>
        </w:rPr>
        <w:t xml:space="preserve">Accuracy and occurrence of personal benefits expense </w:t>
      </w:r>
    </w:p>
    <w:p w14:paraId="19CD61C9" w14:textId="77777777" w:rsidR="00AB6753" w:rsidRPr="00853300" w:rsidRDefault="00AB6753" w:rsidP="00AB6753">
      <w:pPr>
        <w:pStyle w:val="Heading2"/>
        <w:spacing w:before="120" w:after="120" w:line="240" w:lineRule="auto"/>
        <w:ind w:left="-5"/>
        <w:rPr>
          <w:rFonts w:cs="Arial"/>
          <w:b w:val="0"/>
          <w:i/>
          <w:sz w:val="20"/>
          <w:szCs w:val="20"/>
        </w:rPr>
      </w:pPr>
      <w:r w:rsidRPr="00853300">
        <w:rPr>
          <w:rFonts w:cs="Arial"/>
          <w:b w:val="0"/>
          <w:i/>
          <w:sz w:val="20"/>
          <w:szCs w:val="20"/>
        </w:rPr>
        <w:t xml:space="preserve">Refer to Note 2.1C ‘Personal Benefits’ </w:t>
      </w:r>
    </w:p>
    <w:p w14:paraId="772D255F" w14:textId="77777777" w:rsidR="00AB6753" w:rsidRPr="00EF2B10" w:rsidRDefault="00AB6753" w:rsidP="00AB6753">
      <w:pPr>
        <w:spacing w:before="120" w:after="120" w:line="240" w:lineRule="auto"/>
        <w:ind w:left="-5"/>
        <w:rPr>
          <w:rFonts w:asciiTheme="minorHAnsi" w:hAnsiTheme="minorHAnsi" w:cstheme="minorHAnsi"/>
          <w:sz w:val="20"/>
          <w:szCs w:val="20"/>
        </w:rPr>
      </w:pPr>
      <w:r w:rsidRPr="00EF2B10">
        <w:rPr>
          <w:rFonts w:asciiTheme="minorHAnsi" w:hAnsiTheme="minorHAnsi" w:cstheme="minorHAnsi"/>
          <w:sz w:val="20"/>
          <w:szCs w:val="20"/>
        </w:rPr>
        <w:t xml:space="preserve">I focused on this area as the accuracy and occurrence of personal benefits expense is dependent on the correct self-disclosure of personal circumstances by a large number of diverse recipients. The accuracy of personal benefits expense is also reliant on a complex information technology system for the processing of a high volume of payments across numerous personal benefit types with varying conditions for determining payment amount. </w:t>
      </w:r>
    </w:p>
    <w:p w14:paraId="19FFA70C" w14:textId="77777777" w:rsidR="00AB6753" w:rsidRPr="00EF2B10" w:rsidRDefault="00AB6753" w:rsidP="00AB6753">
      <w:pPr>
        <w:spacing w:before="120" w:after="120" w:line="240" w:lineRule="auto"/>
        <w:ind w:left="-5"/>
        <w:rPr>
          <w:rFonts w:asciiTheme="minorHAnsi" w:hAnsiTheme="minorHAnsi" w:cstheme="minorHAnsi"/>
          <w:sz w:val="20"/>
          <w:szCs w:val="20"/>
        </w:rPr>
      </w:pPr>
      <w:r w:rsidRPr="00EF2B10">
        <w:rPr>
          <w:rFonts w:asciiTheme="minorHAnsi" w:hAnsiTheme="minorHAnsi" w:cstheme="minorHAnsi"/>
          <w:sz w:val="20"/>
          <w:szCs w:val="20"/>
        </w:rPr>
        <w:t xml:space="preserve">The complexity of the personal benefits expense was increased due to the rapid implementation of stimulus measures in response to the COVID-19 pandemic where a range of normal payment eligibility requirements were either expanded, relaxed or waived. The additional measures comprised the coronavirus supplement, economic support payments, and a range of related initiatives.  </w:t>
      </w:r>
    </w:p>
    <w:tbl>
      <w:tblPr>
        <w:tblStyle w:val="TableGrid0"/>
        <w:tblpPr w:vertAnchor="text" w:horzAnchor="margin" w:tblpY="1189"/>
        <w:tblOverlap w:val="never"/>
        <w:tblW w:w="8850" w:type="dxa"/>
        <w:tblInd w:w="0" w:type="dxa"/>
        <w:tblLook w:val="04A0" w:firstRow="1" w:lastRow="0" w:firstColumn="1" w:lastColumn="0" w:noHBand="0" w:noVBand="1"/>
        <w:tblDescription w:val="Key audit matter"/>
      </w:tblPr>
      <w:tblGrid>
        <w:gridCol w:w="4253"/>
        <w:gridCol w:w="4597"/>
      </w:tblGrid>
      <w:tr w:rsidR="00AB6753" w:rsidRPr="00EF2B10" w14:paraId="5DB104C6" w14:textId="77777777" w:rsidTr="002D1EA4">
        <w:trPr>
          <w:trHeight w:val="1942"/>
        </w:trPr>
        <w:tc>
          <w:tcPr>
            <w:tcW w:w="4253" w:type="dxa"/>
            <w:tcBorders>
              <w:top w:val="nil"/>
              <w:left w:val="nil"/>
              <w:bottom w:val="nil"/>
              <w:right w:val="nil"/>
            </w:tcBorders>
          </w:tcPr>
          <w:p w14:paraId="7FB842CF" w14:textId="77777777" w:rsidR="00AB6753" w:rsidRPr="00EF2B10" w:rsidRDefault="00AB6753" w:rsidP="002D1EA4">
            <w:pPr>
              <w:spacing w:before="120" w:after="120"/>
              <w:rPr>
                <w:rFonts w:cs="Arial"/>
                <w:sz w:val="20"/>
                <w:szCs w:val="20"/>
              </w:rPr>
            </w:pPr>
            <w:r w:rsidRPr="00EF2B10">
              <w:rPr>
                <w:rFonts w:eastAsia="Arial" w:cs="Arial"/>
                <w:b/>
                <w:sz w:val="20"/>
                <w:szCs w:val="20"/>
              </w:rPr>
              <w:t xml:space="preserve">Key audit matter </w:t>
            </w:r>
          </w:p>
          <w:p w14:paraId="5AE7FC07" w14:textId="77777777" w:rsidR="00AB6753" w:rsidRPr="00EF2B10" w:rsidRDefault="00AB6753" w:rsidP="002D1EA4">
            <w:pPr>
              <w:pStyle w:val="Heading1"/>
              <w:spacing w:before="120" w:after="120"/>
              <w:ind w:left="-5"/>
              <w:outlineLvl w:val="0"/>
              <w:rPr>
                <w:rFonts w:cs="Arial"/>
                <w:sz w:val="20"/>
                <w:szCs w:val="20"/>
              </w:rPr>
            </w:pPr>
            <w:r w:rsidRPr="00EF2B10">
              <w:rPr>
                <w:rFonts w:cs="Arial"/>
                <w:sz w:val="20"/>
                <w:szCs w:val="20"/>
              </w:rPr>
              <w:t xml:space="preserve">Valuation of personal benefits provisions, personal benefits receivables and contingent liabilities  </w:t>
            </w:r>
          </w:p>
          <w:p w14:paraId="10BC8A10" w14:textId="77777777" w:rsidR="00AB6753" w:rsidRPr="00EF2B10" w:rsidRDefault="00AB6753" w:rsidP="002D1EA4">
            <w:pPr>
              <w:spacing w:before="120"/>
              <w:rPr>
                <w:rFonts w:asciiTheme="minorHAnsi" w:hAnsiTheme="minorHAnsi" w:cstheme="minorHAnsi"/>
                <w:sz w:val="20"/>
                <w:szCs w:val="20"/>
              </w:rPr>
            </w:pPr>
            <w:r w:rsidRPr="00EF2B10">
              <w:rPr>
                <w:rFonts w:asciiTheme="minorHAnsi" w:hAnsiTheme="minorHAnsi" w:cstheme="minorHAnsi"/>
                <w:i/>
                <w:sz w:val="20"/>
                <w:szCs w:val="20"/>
              </w:rPr>
              <w:t xml:space="preserve">Refer to Overview, Note 4.3A ‘Personal Benefits and Other Provisions’, Note 4.1B ‘Receivables’ and </w:t>
            </w:r>
          </w:p>
          <w:p w14:paraId="2C094268" w14:textId="77777777" w:rsidR="00AB6753" w:rsidRPr="00EF2B10" w:rsidRDefault="00AB6753" w:rsidP="002D1EA4">
            <w:pPr>
              <w:spacing w:after="120"/>
              <w:rPr>
                <w:rFonts w:asciiTheme="minorHAnsi" w:hAnsiTheme="minorHAnsi" w:cstheme="minorHAnsi"/>
                <w:sz w:val="20"/>
                <w:szCs w:val="20"/>
              </w:rPr>
            </w:pPr>
            <w:r w:rsidRPr="00EF2B10">
              <w:rPr>
                <w:rFonts w:asciiTheme="minorHAnsi" w:hAnsiTheme="minorHAnsi" w:cstheme="minorHAnsi"/>
                <w:i/>
                <w:sz w:val="20"/>
                <w:szCs w:val="20"/>
              </w:rPr>
              <w:t xml:space="preserve">Note 7.1 ‘Contingent Assets and Liabilities’ </w:t>
            </w:r>
          </w:p>
        </w:tc>
        <w:tc>
          <w:tcPr>
            <w:tcW w:w="4597" w:type="dxa"/>
            <w:tcBorders>
              <w:top w:val="nil"/>
              <w:left w:val="nil"/>
              <w:bottom w:val="nil"/>
              <w:right w:val="nil"/>
            </w:tcBorders>
          </w:tcPr>
          <w:p w14:paraId="7A456B44" w14:textId="77777777" w:rsidR="00AB6753" w:rsidRPr="00EF2B10" w:rsidRDefault="00AB6753" w:rsidP="002D1EA4">
            <w:pPr>
              <w:spacing w:before="120" w:after="120"/>
              <w:ind w:left="289"/>
              <w:rPr>
                <w:rFonts w:cs="Arial"/>
                <w:sz w:val="20"/>
                <w:szCs w:val="20"/>
              </w:rPr>
            </w:pPr>
            <w:r w:rsidRPr="00EF2B10">
              <w:rPr>
                <w:rFonts w:eastAsia="Arial" w:cs="Arial"/>
                <w:b/>
                <w:sz w:val="20"/>
                <w:szCs w:val="20"/>
              </w:rPr>
              <w:t xml:space="preserve">How the audit addressed the matter </w:t>
            </w:r>
          </w:p>
          <w:p w14:paraId="54310796" w14:textId="77777777" w:rsidR="00AB6753" w:rsidRPr="00EF2B10" w:rsidRDefault="00AB6753" w:rsidP="002D1EA4">
            <w:pPr>
              <w:spacing w:before="120" w:after="120"/>
              <w:ind w:left="289"/>
              <w:rPr>
                <w:rFonts w:asciiTheme="minorHAnsi" w:hAnsiTheme="minorHAnsi" w:cstheme="minorHAnsi"/>
                <w:sz w:val="20"/>
                <w:szCs w:val="20"/>
              </w:rPr>
            </w:pPr>
            <w:r w:rsidRPr="00EF2B10">
              <w:rPr>
                <w:rFonts w:asciiTheme="minorHAnsi" w:hAnsiTheme="minorHAnsi" w:cstheme="minorHAnsi"/>
                <w:sz w:val="20"/>
                <w:szCs w:val="20"/>
              </w:rPr>
              <w:t xml:space="preserve">The audit procedures undertaken to address this matter included: </w:t>
            </w:r>
          </w:p>
          <w:p w14:paraId="77FCF74E" w14:textId="77777777" w:rsidR="00AB6753" w:rsidRDefault="00AB6753" w:rsidP="002D1EA4">
            <w:pPr>
              <w:numPr>
                <w:ilvl w:val="0"/>
                <w:numId w:val="64"/>
              </w:numPr>
              <w:spacing w:before="120" w:after="120"/>
              <w:ind w:left="715"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evaluating the appropriateness of management’s processes to assess whether judgements and assumptions used in the estimation models remain appropriate; </w:t>
            </w:r>
          </w:p>
          <w:p w14:paraId="3EA8682B" w14:textId="77777777" w:rsidR="00AB6753" w:rsidRPr="00EF2B10" w:rsidRDefault="00AB6753" w:rsidP="002D1EA4">
            <w:pPr>
              <w:spacing w:before="120" w:after="120"/>
              <w:ind w:left="355"/>
              <w:jc w:val="both"/>
              <w:rPr>
                <w:rFonts w:asciiTheme="minorHAnsi" w:hAnsiTheme="minorHAnsi" w:cstheme="minorHAnsi"/>
                <w:sz w:val="20"/>
                <w:szCs w:val="20"/>
              </w:rPr>
            </w:pPr>
          </w:p>
        </w:tc>
      </w:tr>
    </w:tbl>
    <w:p w14:paraId="6B1100E2" w14:textId="52A6D637" w:rsidR="00AB6753" w:rsidRPr="00EF2B10" w:rsidRDefault="00AB6753" w:rsidP="00AB6753">
      <w:pPr>
        <w:spacing w:before="120" w:after="120" w:line="240" w:lineRule="auto"/>
        <w:ind w:left="-5"/>
        <w:rPr>
          <w:rFonts w:asciiTheme="minorHAnsi" w:hAnsiTheme="minorHAnsi" w:cstheme="minorHAnsi"/>
          <w:sz w:val="20"/>
          <w:szCs w:val="20"/>
        </w:rPr>
      </w:pPr>
      <w:r w:rsidRPr="00EF2B10">
        <w:rPr>
          <w:rFonts w:asciiTheme="minorHAnsi" w:hAnsiTheme="minorHAnsi" w:cstheme="minorHAnsi"/>
          <w:noProof/>
          <w:sz w:val="20"/>
          <w:szCs w:val="20"/>
          <w:lang w:eastAsia="en-AU"/>
        </w:rPr>
        <mc:AlternateContent>
          <mc:Choice Requires="wpg">
            <w:drawing>
              <wp:anchor distT="0" distB="0" distL="114300" distR="114300" simplePos="0" relativeHeight="251683840" behindDoc="0" locked="0" layoutInCell="1" allowOverlap="1" wp14:anchorId="4B6F5E15" wp14:editId="4892EF93">
                <wp:simplePos x="0" y="0"/>
                <wp:positionH relativeFrom="page">
                  <wp:posOffset>914400</wp:posOffset>
                </wp:positionH>
                <wp:positionV relativeFrom="page">
                  <wp:posOffset>9482310</wp:posOffset>
                </wp:positionV>
                <wp:extent cx="5738825" cy="6097"/>
                <wp:effectExtent l="0" t="0" r="0" b="0"/>
                <wp:wrapTopAndBottom/>
                <wp:docPr id="6675" name="Group 6675" descr="decorative&#10;"/>
                <wp:cNvGraphicFramePr/>
                <a:graphic xmlns:a="http://schemas.openxmlformats.org/drawingml/2006/main">
                  <a:graphicData uri="http://schemas.microsoft.com/office/word/2010/wordprocessingGroup">
                    <wpg:wgp>
                      <wpg:cNvGrpSpPr/>
                      <wpg:grpSpPr>
                        <a:xfrm>
                          <a:off x="0" y="0"/>
                          <a:ext cx="5738825" cy="6097"/>
                          <a:chOff x="0" y="0"/>
                          <a:chExt cx="5738825" cy="6097"/>
                        </a:xfrm>
                      </wpg:grpSpPr>
                      <wps:wsp>
                        <wps:cNvPr id="7611" name="Shape 7611"/>
                        <wps:cNvSpPr/>
                        <wps:spPr>
                          <a:xfrm>
                            <a:off x="0" y="0"/>
                            <a:ext cx="2709926" cy="9144"/>
                          </a:xfrm>
                          <a:custGeom>
                            <a:avLst/>
                            <a:gdLst/>
                            <a:ahLst/>
                            <a:cxnLst/>
                            <a:rect l="0" t="0" r="0" b="0"/>
                            <a:pathLst>
                              <a:path w="2709926" h="9144">
                                <a:moveTo>
                                  <a:pt x="0" y="0"/>
                                </a:moveTo>
                                <a:lnTo>
                                  <a:pt x="2709926" y="0"/>
                                </a:lnTo>
                                <a:lnTo>
                                  <a:pt x="27099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2" name="Shape 7612"/>
                        <wps:cNvSpPr/>
                        <wps:spPr>
                          <a:xfrm>
                            <a:off x="27008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3" name="Shape 7613"/>
                        <wps:cNvSpPr/>
                        <wps:spPr>
                          <a:xfrm>
                            <a:off x="2706954" y="0"/>
                            <a:ext cx="3031871" cy="9144"/>
                          </a:xfrm>
                          <a:custGeom>
                            <a:avLst/>
                            <a:gdLst/>
                            <a:ahLst/>
                            <a:cxnLst/>
                            <a:rect l="0" t="0" r="0" b="0"/>
                            <a:pathLst>
                              <a:path w="3031871" h="9144">
                                <a:moveTo>
                                  <a:pt x="0" y="0"/>
                                </a:moveTo>
                                <a:lnTo>
                                  <a:pt x="3031871" y="0"/>
                                </a:lnTo>
                                <a:lnTo>
                                  <a:pt x="30318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E7DBE2" id="Group 6675" o:spid="_x0000_s1026" alt="decorative&#10;" style="position:absolute;margin-left:1in;margin-top:746.65pt;width:451.9pt;height:.5pt;z-index:251683840;mso-position-horizontal-relative:page;mso-position-vertical-relative:page" coordsize="573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">
                <v:shape id="Shape 7611" o:spid="_x0000_s1027" style="position:absolute;width:27099;height:91;visibility:visible;mso-wrap-style:square;v-text-anchor:top" coordsize="27099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" path="m,l2709926,r,9144l,9144,,e" fillcolor="black" stroked="f" strokeweight="0">
                  <v:stroke miterlimit="83231f" joinstyle="miter"/>
                  <v:path arrowok="t" textboxrect="0,0,2709926,9144"/>
                </v:shape>
                <v:shape id="Shape 7612" o:spid="_x0000_s1028" style="position:absolute;left:270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" path="m,l9144,r,9144l,9144,,e" fillcolor="black" stroked="f" strokeweight="0">
                  <v:stroke miterlimit="83231f" joinstyle="miter"/>
                  <v:path arrowok="t" textboxrect="0,0,9144,9144"/>
                </v:shape>
                <v:shape id="Shape 7613" o:spid="_x0000_s1029" style="position:absolute;left:27069;width:30319;height:91;visibility:visible;mso-wrap-style:square;v-text-anchor:top" coordsize="30318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" path="m,l3031871,r,9144l,9144,,e" fillcolor="black" stroked="f" strokeweight="0">
                  <v:stroke miterlimit="83231f" joinstyle="miter"/>
                  <v:path arrowok="t" textboxrect="0,0,3031871,9144"/>
                </v:shape>
                <w10:wrap type="topAndBottom" anchorx="page" anchory="page"/>
              </v:group>
            </w:pict>
          </mc:Fallback>
        </mc:AlternateContent>
      </w:r>
      <w:r w:rsidRPr="00EF2B10">
        <w:rPr>
          <w:rFonts w:asciiTheme="minorHAnsi" w:hAnsiTheme="minorHAnsi" w:cstheme="minorHAnsi"/>
          <w:noProof/>
          <w:sz w:val="20"/>
          <w:szCs w:val="20"/>
          <w:lang w:eastAsia="en-AU"/>
        </w:rPr>
        <mc:AlternateContent>
          <mc:Choice Requires="wpg">
            <w:drawing>
              <wp:anchor distT="0" distB="0" distL="114300" distR="114300" simplePos="0" relativeHeight="251684864" behindDoc="0" locked="0" layoutInCell="1" allowOverlap="1" wp14:anchorId="647CD6D2" wp14:editId="1640086A">
                <wp:simplePos x="0" y="0"/>
                <wp:positionH relativeFrom="margin">
                  <wp:posOffset>-59055</wp:posOffset>
                </wp:positionH>
                <wp:positionV relativeFrom="paragraph">
                  <wp:posOffset>738738</wp:posOffset>
                </wp:positionV>
                <wp:extent cx="5729681" cy="6096"/>
                <wp:effectExtent l="0" t="0" r="0" b="0"/>
                <wp:wrapTopAndBottom/>
                <wp:docPr id="6674" name="Group 6674" descr="decorative"/>
                <wp:cNvGraphicFramePr/>
                <a:graphic xmlns:a="http://schemas.openxmlformats.org/drawingml/2006/main">
                  <a:graphicData uri="http://schemas.microsoft.com/office/word/2010/wordprocessingGroup">
                    <wpg:wgp>
                      <wpg:cNvGrpSpPr/>
                      <wpg:grpSpPr>
                        <a:xfrm>
                          <a:off x="0" y="0"/>
                          <a:ext cx="5729681" cy="6096"/>
                          <a:chOff x="0" y="0"/>
                          <a:chExt cx="5729681" cy="6096"/>
                        </a:xfrm>
                      </wpg:grpSpPr>
                      <wps:wsp>
                        <wps:cNvPr id="7617" name="Shape 7617"/>
                        <wps:cNvSpPr/>
                        <wps:spPr>
                          <a:xfrm>
                            <a:off x="0" y="0"/>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8" name="Shape 7618"/>
                        <wps:cNvSpPr/>
                        <wps:spPr>
                          <a:xfrm>
                            <a:off x="27008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9" name="Shape 7619"/>
                        <wps:cNvSpPr/>
                        <wps:spPr>
                          <a:xfrm>
                            <a:off x="2706954" y="0"/>
                            <a:ext cx="3022727" cy="9144"/>
                          </a:xfrm>
                          <a:custGeom>
                            <a:avLst/>
                            <a:gdLst/>
                            <a:ahLst/>
                            <a:cxnLst/>
                            <a:rect l="0" t="0" r="0" b="0"/>
                            <a:pathLst>
                              <a:path w="3022727" h="9144">
                                <a:moveTo>
                                  <a:pt x="0" y="0"/>
                                </a:moveTo>
                                <a:lnTo>
                                  <a:pt x="3022727" y="0"/>
                                </a:lnTo>
                                <a:lnTo>
                                  <a:pt x="30227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7A91B2" id="Group 6674" o:spid="_x0000_s1026" alt="decorative" style="position:absolute;margin-left:-4.65pt;margin-top:58.15pt;width:451.15pt;height:.5pt;z-index:251684864;mso-position-horizontal-relative:margin" coordsize="572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">
                <v:shape id="Shape 7617" o:spid="_x0000_s1027" style="position:absolute;width:27007;height:91;visibility:visible;mso-wrap-style:square;v-text-anchor:top" coordsize="2700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" path="m,l2700782,r,9144l,9144,,e" fillcolor="black" stroked="f" strokeweight="0">
                  <v:stroke miterlimit="83231f" joinstyle="miter"/>
                  <v:path arrowok="t" textboxrect="0,0,2700782,9144"/>
                </v:shape>
                <v:shape id="Shape 7618" o:spid="_x0000_s1028" style="position:absolute;left:270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" path="m,l9144,r,9144l,9144,,e" fillcolor="black" stroked="f" strokeweight="0">
                  <v:stroke miterlimit="83231f" joinstyle="miter"/>
                  <v:path arrowok="t" textboxrect="0,0,9144,9144"/>
                </v:shape>
                <v:shape id="Shape 7619" o:spid="_x0000_s1029" style="position:absolute;left:27069;width:30227;height:91;visibility:visible;mso-wrap-style:square;v-text-anchor:top" coordsize="30227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" path="m,l3022727,r,9144l,9144,,e" fillcolor="black" stroked="f" strokeweight="0">
                  <v:stroke miterlimit="83231f" joinstyle="miter"/>
                  <v:path arrowok="t" textboxrect="0,0,3022727,9144"/>
                </v:shape>
                <w10:wrap type="topAndBottom" anchorx="margin"/>
              </v:group>
            </w:pict>
          </mc:Fallback>
        </mc:AlternateContent>
      </w:r>
      <w:r w:rsidRPr="00EF2B10">
        <w:rPr>
          <w:rFonts w:asciiTheme="minorHAnsi" w:hAnsiTheme="minorHAnsi" w:cstheme="minorHAnsi"/>
          <w:sz w:val="20"/>
          <w:szCs w:val="20"/>
        </w:rPr>
        <w:t>Personal benefits expense increased by $18 billion from the previous year to $129.2 billion for the year 30 June 2020 and this was mainly due to the COVID-19 stimulus measures.</w:t>
      </w:r>
      <w:r w:rsidR="00F97A67">
        <w:rPr>
          <w:rFonts w:asciiTheme="minorHAnsi" w:hAnsiTheme="minorHAnsi" w:cstheme="minorHAnsi"/>
          <w:sz w:val="20"/>
          <w:szCs w:val="20"/>
        </w:rPr>
        <w:t xml:space="preserve"> </w:t>
      </w:r>
    </w:p>
    <w:p w14:paraId="065BDFF5" w14:textId="77777777" w:rsidR="00AB6753" w:rsidRDefault="00AB6753" w:rsidP="00AB6753">
      <w:pPr>
        <w:pStyle w:val="Heading1"/>
        <w:spacing w:before="120" w:after="120" w:line="240" w:lineRule="auto"/>
        <w:ind w:hanging="11"/>
        <w:rPr>
          <w:rFonts w:cs="Arial"/>
          <w:sz w:val="20"/>
          <w:szCs w:val="20"/>
        </w:rPr>
      </w:pPr>
    </w:p>
    <w:p w14:paraId="0DAB653E" w14:textId="77777777" w:rsidR="00AB6753" w:rsidRPr="00EF2B10" w:rsidRDefault="00AB6753" w:rsidP="00AB6753">
      <w:pPr>
        <w:pStyle w:val="Heading1"/>
        <w:spacing w:before="120" w:after="120" w:line="240" w:lineRule="auto"/>
        <w:ind w:hanging="11"/>
        <w:rPr>
          <w:rFonts w:cs="Arial"/>
          <w:sz w:val="20"/>
          <w:szCs w:val="20"/>
        </w:rPr>
      </w:pPr>
      <w:r w:rsidRPr="00EF2B10">
        <w:rPr>
          <w:rFonts w:cs="Arial"/>
          <w:sz w:val="20"/>
          <w:szCs w:val="20"/>
        </w:rPr>
        <w:t xml:space="preserve">How the audit addressed the matter </w:t>
      </w:r>
    </w:p>
    <w:p w14:paraId="0357A796" w14:textId="77777777" w:rsidR="00AB6753" w:rsidRPr="00EF2B10" w:rsidRDefault="00AB6753" w:rsidP="00AB6753">
      <w:pPr>
        <w:spacing w:before="120" w:after="120" w:line="240" w:lineRule="auto"/>
        <w:rPr>
          <w:rFonts w:asciiTheme="minorHAnsi" w:hAnsiTheme="minorHAnsi" w:cstheme="minorHAnsi"/>
          <w:sz w:val="20"/>
          <w:szCs w:val="20"/>
        </w:rPr>
      </w:pPr>
      <w:r w:rsidRPr="00EF2B10">
        <w:rPr>
          <w:rFonts w:asciiTheme="minorHAnsi" w:hAnsiTheme="minorHAnsi" w:cstheme="minorHAnsi"/>
          <w:sz w:val="20"/>
          <w:szCs w:val="20"/>
        </w:rPr>
        <w:t xml:space="preserve">The audit procedures undertaken to address this matter included: </w:t>
      </w:r>
    </w:p>
    <w:p w14:paraId="54C4D179" w14:textId="77777777" w:rsidR="00AB6753" w:rsidRPr="00EF2B10" w:rsidRDefault="00AB6753" w:rsidP="00AB6753">
      <w:pPr>
        <w:numPr>
          <w:ilvl w:val="0"/>
          <w:numId w:val="64"/>
        </w:numPr>
        <w:spacing w:before="120" w:after="120" w:line="240" w:lineRule="auto"/>
        <w:ind w:left="426"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assessing the internal controls in place over the personal benefits payments, focusing on processes for monitoring compliance with requirements to disclose accurate personal information; </w:t>
      </w:r>
    </w:p>
    <w:p w14:paraId="1DA500B3" w14:textId="77777777" w:rsidR="00AB6753" w:rsidRPr="00EF2B10" w:rsidRDefault="00AB6753" w:rsidP="00AB6753">
      <w:pPr>
        <w:numPr>
          <w:ilvl w:val="0"/>
          <w:numId w:val="64"/>
        </w:numPr>
        <w:spacing w:before="120" w:after="120" w:line="240" w:lineRule="auto"/>
        <w:ind w:left="426"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assessing the information technology controls, specifically access controls to personal circumstances data and controls designed to prevent and detect unauthorised changes to the information technology environment; and </w:t>
      </w:r>
    </w:p>
    <w:p w14:paraId="5E18A286" w14:textId="77777777" w:rsidR="00AB6753" w:rsidRPr="00EF2B10" w:rsidRDefault="00AB6753" w:rsidP="00AB6753">
      <w:pPr>
        <w:numPr>
          <w:ilvl w:val="0"/>
          <w:numId w:val="64"/>
        </w:numPr>
        <w:spacing w:before="120" w:after="120" w:line="240" w:lineRule="auto"/>
        <w:ind w:left="426"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recalculating a sample of personal benefits payments made to recipients, based on relevant legislation and personal circumstances data held by the Australian Government. </w:t>
      </w:r>
    </w:p>
    <w:p w14:paraId="721FE42A" w14:textId="77777777" w:rsidR="00AB6753" w:rsidRPr="00EF2B10" w:rsidRDefault="00AB6753" w:rsidP="00AB6753">
      <w:pPr>
        <w:spacing w:before="120" w:after="120" w:line="240" w:lineRule="auto"/>
        <w:ind w:left="-5"/>
        <w:rPr>
          <w:rFonts w:asciiTheme="minorHAnsi" w:hAnsiTheme="minorHAnsi" w:cstheme="minorHAnsi"/>
          <w:sz w:val="20"/>
          <w:szCs w:val="20"/>
          <w:highlight w:val="yellow"/>
        </w:rPr>
        <w:sectPr w:rsidR="00AB6753" w:rsidRPr="00EF2B10" w:rsidSect="008B279E">
          <w:type w:val="continuous"/>
          <w:pgSz w:w="11906" w:h="16838"/>
          <w:pgMar w:top="1492" w:right="1569" w:bottom="1557" w:left="1527" w:header="720" w:footer="720" w:gutter="0"/>
          <w:cols w:num="2" w:space="165"/>
        </w:sectPr>
      </w:pPr>
    </w:p>
    <w:p w14:paraId="4C811844" w14:textId="77777777" w:rsidR="00AB6753" w:rsidRPr="00EF2B10" w:rsidRDefault="00AB6753" w:rsidP="00AB6753">
      <w:pPr>
        <w:spacing w:before="120" w:after="120" w:line="240" w:lineRule="auto"/>
        <w:ind w:left="-5"/>
        <w:rPr>
          <w:rFonts w:asciiTheme="minorHAnsi" w:hAnsiTheme="minorHAnsi" w:cstheme="minorHAnsi"/>
          <w:sz w:val="20"/>
          <w:szCs w:val="20"/>
        </w:rPr>
      </w:pPr>
      <w:r w:rsidRPr="00EF2B10">
        <w:rPr>
          <w:rFonts w:asciiTheme="minorHAnsi" w:hAnsiTheme="minorHAnsi" w:cstheme="minorHAnsi"/>
          <w:noProof/>
          <w:sz w:val="20"/>
          <w:szCs w:val="20"/>
          <w:lang w:eastAsia="en-AU"/>
        </w:rPr>
        <w:lastRenderedPageBreak/>
        <mc:AlternateContent>
          <mc:Choice Requires="wpg">
            <w:drawing>
              <wp:anchor distT="0" distB="0" distL="114300" distR="114300" simplePos="0" relativeHeight="251685888" behindDoc="0" locked="0" layoutInCell="1" allowOverlap="1" wp14:anchorId="4895F0F2" wp14:editId="62AB7BFA">
                <wp:simplePos x="0" y="0"/>
                <wp:positionH relativeFrom="margin">
                  <wp:posOffset>1503</wp:posOffset>
                </wp:positionH>
                <wp:positionV relativeFrom="paragraph">
                  <wp:posOffset>258</wp:posOffset>
                </wp:positionV>
                <wp:extent cx="5729681" cy="6096"/>
                <wp:effectExtent l="0" t="0" r="0" b="0"/>
                <wp:wrapTopAndBottom/>
                <wp:docPr id="7" name="Group 7" descr="decorative"/>
                <wp:cNvGraphicFramePr/>
                <a:graphic xmlns:a="http://schemas.openxmlformats.org/drawingml/2006/main">
                  <a:graphicData uri="http://schemas.microsoft.com/office/word/2010/wordprocessingGroup">
                    <wpg:wgp>
                      <wpg:cNvGrpSpPr/>
                      <wpg:grpSpPr>
                        <a:xfrm>
                          <a:off x="0" y="0"/>
                          <a:ext cx="5729681" cy="6096"/>
                          <a:chOff x="0" y="0"/>
                          <a:chExt cx="5729681" cy="6096"/>
                        </a:xfrm>
                      </wpg:grpSpPr>
                      <wps:wsp>
                        <wps:cNvPr id="8" name="Shape 7599"/>
                        <wps:cNvSpPr/>
                        <wps:spPr>
                          <a:xfrm>
                            <a:off x="0" y="0"/>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7600"/>
                        <wps:cNvSpPr/>
                        <wps:spPr>
                          <a:xfrm>
                            <a:off x="27008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7601"/>
                        <wps:cNvSpPr/>
                        <wps:spPr>
                          <a:xfrm>
                            <a:off x="2706954" y="0"/>
                            <a:ext cx="3022727" cy="9144"/>
                          </a:xfrm>
                          <a:custGeom>
                            <a:avLst/>
                            <a:gdLst/>
                            <a:ahLst/>
                            <a:cxnLst/>
                            <a:rect l="0" t="0" r="0" b="0"/>
                            <a:pathLst>
                              <a:path w="3022727" h="9144">
                                <a:moveTo>
                                  <a:pt x="0" y="0"/>
                                </a:moveTo>
                                <a:lnTo>
                                  <a:pt x="3022727" y="0"/>
                                </a:lnTo>
                                <a:lnTo>
                                  <a:pt x="30227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C88A42" id="Group 7" o:spid="_x0000_s1026" alt="decorative" style="position:absolute;margin-left:.1pt;margin-top:0;width:451.15pt;height:.5pt;z-index:251685888;mso-position-horizontal-relative:margin" coordsize="572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">
                <v:shape id="Shape 7599" o:spid="_x0000_s1027" style="position:absolute;width:27007;height:91;visibility:visible;mso-wrap-style:square;v-text-anchor:top" coordsize="2700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" path="m,l2700782,r,9144l,9144,,e" fillcolor="black" stroked="f" strokeweight="0">
                  <v:stroke miterlimit="83231f" joinstyle="miter"/>
                  <v:path arrowok="t" textboxrect="0,0,2700782,9144"/>
                </v:shape>
                <v:shape id="Shape 7600" o:spid="_x0000_s1028" style="position:absolute;left:270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" path="m,l9144,r,9144l,9144,,e" fillcolor="black" stroked="f" strokeweight="0">
                  <v:stroke miterlimit="83231f" joinstyle="miter"/>
                  <v:path arrowok="t" textboxrect="0,0,9144,9144"/>
                </v:shape>
                <v:shape id="Shape 7601" o:spid="_x0000_s1029" style="position:absolute;left:27069;width:30227;height:91;visibility:visible;mso-wrap-style:square;v-text-anchor:top" coordsize="30227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" path="m,l3022727,r,9144l,9144,,e" fillcolor="black" stroked="f" strokeweight="0">
                  <v:stroke miterlimit="83231f" joinstyle="miter"/>
                  <v:path arrowok="t" textboxrect="0,0,3022727,9144"/>
                </v:shape>
                <w10:wrap type="topAndBottom" anchorx="margin"/>
              </v:group>
            </w:pict>
          </mc:Fallback>
        </mc:AlternateContent>
      </w:r>
      <w:r w:rsidRPr="00EF2B10">
        <w:rPr>
          <w:rFonts w:asciiTheme="minorHAnsi" w:hAnsiTheme="minorHAnsi" w:cstheme="minorHAnsi"/>
          <w:sz w:val="20"/>
          <w:szCs w:val="20"/>
        </w:rPr>
        <w:t xml:space="preserve">I focused on this area as the valuation of the provisions and receivables involve estimation models which require significant judgements and assumptions including, but not limited to: new budget measures affecting benefit programs timing of payments; personal circumstances of recipients; and the economic environment.  The accuracy and completeness of the source data used by the actuary in developing the estimation of the provisions and receivables is also a key component of the valuation process. </w:t>
      </w:r>
    </w:p>
    <w:p w14:paraId="0F8CD008" w14:textId="77777777" w:rsidR="00AB6753" w:rsidRPr="00EF2B10" w:rsidRDefault="00AB6753" w:rsidP="00AB6753">
      <w:pPr>
        <w:spacing w:before="120" w:after="120" w:line="240" w:lineRule="auto"/>
        <w:ind w:left="-5"/>
        <w:rPr>
          <w:rFonts w:asciiTheme="minorHAnsi" w:hAnsiTheme="minorHAnsi" w:cstheme="minorHAnsi"/>
          <w:sz w:val="20"/>
          <w:szCs w:val="20"/>
        </w:rPr>
      </w:pPr>
      <w:r w:rsidRPr="00EF2B10">
        <w:rPr>
          <w:rFonts w:asciiTheme="minorHAnsi" w:hAnsiTheme="minorHAnsi" w:cstheme="minorHAnsi"/>
          <w:sz w:val="20"/>
          <w:szCs w:val="20"/>
        </w:rPr>
        <w:t xml:space="preserve">The complexity of these valuations was increased due to uncertainty associated with estimating the impact of the COVID-19 pandemic on future cash flow estimates used in the Entity’s valuation models. </w:t>
      </w:r>
    </w:p>
    <w:p w14:paraId="281588E4" w14:textId="77777777" w:rsidR="00AB6753" w:rsidRPr="00EF2B10" w:rsidRDefault="00AB6753" w:rsidP="00AB6753">
      <w:pPr>
        <w:spacing w:before="120" w:after="120" w:line="240" w:lineRule="auto"/>
        <w:ind w:left="-5"/>
        <w:rPr>
          <w:rFonts w:asciiTheme="minorHAnsi" w:hAnsiTheme="minorHAnsi" w:cstheme="minorHAnsi"/>
          <w:sz w:val="20"/>
          <w:szCs w:val="20"/>
        </w:rPr>
      </w:pPr>
      <w:r w:rsidRPr="00EF2B10">
        <w:rPr>
          <w:rFonts w:asciiTheme="minorHAnsi" w:hAnsiTheme="minorHAnsi" w:cstheme="minorHAnsi"/>
          <w:sz w:val="20"/>
          <w:szCs w:val="20"/>
        </w:rPr>
        <w:t xml:space="preserve">I also focused on the appropriate accounting and disclosure of the impacts of the Income Compliance Program in view of the Government’s decision relating to the program which used averaged income data to calculate an individual’s personal benefits debt that was then included in personal benefits receivables. The Government made a decision to refund $741.6 million and zeroed $1.013 billion of debts owing at year-end relating to this program. The Government decision to repay or zero debts covered debts raised using income averaging since 1 July 2015. Debts raised prior to 1 July 2015 using income averaging can be reviewed and assessed on a case by case basis if requested by the individual. I therefore focused on whether these potential debt repayments and zeroing had been appropriately accounted for and disclosed by the Entity. </w:t>
      </w:r>
    </w:p>
    <w:p w14:paraId="5D315F54" w14:textId="77777777" w:rsidR="00AB6753" w:rsidRPr="00EF2B10" w:rsidRDefault="00AB6753" w:rsidP="00AB6753">
      <w:pPr>
        <w:spacing w:before="120" w:after="120" w:line="240" w:lineRule="auto"/>
        <w:ind w:left="-5"/>
        <w:rPr>
          <w:rFonts w:asciiTheme="minorHAnsi" w:hAnsiTheme="minorHAnsi" w:cstheme="minorHAnsi"/>
          <w:sz w:val="20"/>
          <w:szCs w:val="20"/>
        </w:rPr>
      </w:pPr>
      <w:r w:rsidRPr="00EF2B10">
        <w:rPr>
          <w:rFonts w:asciiTheme="minorHAnsi" w:hAnsiTheme="minorHAnsi" w:cstheme="minorHAnsi"/>
          <w:sz w:val="20"/>
          <w:szCs w:val="20"/>
        </w:rPr>
        <w:t>As at 30 June 2020 the provisions totalled $4.7 billion and the receivables totalled $4.7 billion</w:t>
      </w:r>
    </w:p>
    <w:p w14:paraId="4A2304D0" w14:textId="77777777" w:rsidR="00AB6753" w:rsidRPr="00EF2B10" w:rsidRDefault="00AB6753" w:rsidP="00AB6753">
      <w:pPr>
        <w:spacing w:before="120" w:after="120" w:line="240" w:lineRule="auto"/>
        <w:ind w:left="350"/>
        <w:rPr>
          <w:rFonts w:asciiTheme="minorHAnsi" w:hAnsiTheme="minorHAnsi" w:cstheme="minorHAnsi"/>
          <w:sz w:val="20"/>
          <w:szCs w:val="20"/>
        </w:rPr>
      </w:pPr>
      <w:r w:rsidRPr="00EF2B10">
        <w:rPr>
          <w:rFonts w:asciiTheme="minorHAnsi" w:hAnsiTheme="minorHAnsi" w:cstheme="minorHAnsi"/>
          <w:noProof/>
          <w:sz w:val="20"/>
          <w:szCs w:val="20"/>
          <w:lang w:eastAsia="en-AU"/>
        </w:rPr>
        <mc:AlternateContent>
          <mc:Choice Requires="wpg">
            <w:drawing>
              <wp:anchor distT="0" distB="0" distL="114300" distR="114300" simplePos="0" relativeHeight="251686912" behindDoc="0" locked="0" layoutInCell="1" allowOverlap="1" wp14:anchorId="04AEE882" wp14:editId="7DFA79D4">
                <wp:simplePos x="0" y="0"/>
                <wp:positionH relativeFrom="margin">
                  <wp:posOffset>4044</wp:posOffset>
                </wp:positionH>
                <wp:positionV relativeFrom="paragraph">
                  <wp:posOffset>77470</wp:posOffset>
                </wp:positionV>
                <wp:extent cx="5729681" cy="6096"/>
                <wp:effectExtent l="0" t="0" r="0" b="0"/>
                <wp:wrapTopAndBottom/>
                <wp:docPr id="18" name="Group 18" descr="decorative"/>
                <wp:cNvGraphicFramePr/>
                <a:graphic xmlns:a="http://schemas.openxmlformats.org/drawingml/2006/main">
                  <a:graphicData uri="http://schemas.microsoft.com/office/word/2010/wordprocessingGroup">
                    <wpg:wgp>
                      <wpg:cNvGrpSpPr/>
                      <wpg:grpSpPr>
                        <a:xfrm>
                          <a:off x="0" y="0"/>
                          <a:ext cx="5729681" cy="6096"/>
                          <a:chOff x="0" y="0"/>
                          <a:chExt cx="5729681" cy="6096"/>
                        </a:xfrm>
                      </wpg:grpSpPr>
                      <wps:wsp>
                        <wps:cNvPr id="20" name="Shape 7599"/>
                        <wps:cNvSpPr/>
                        <wps:spPr>
                          <a:xfrm>
                            <a:off x="0" y="0"/>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7600"/>
                        <wps:cNvSpPr/>
                        <wps:spPr>
                          <a:xfrm>
                            <a:off x="27008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7601"/>
                        <wps:cNvSpPr/>
                        <wps:spPr>
                          <a:xfrm>
                            <a:off x="2706954" y="0"/>
                            <a:ext cx="3022727" cy="9144"/>
                          </a:xfrm>
                          <a:custGeom>
                            <a:avLst/>
                            <a:gdLst/>
                            <a:ahLst/>
                            <a:cxnLst/>
                            <a:rect l="0" t="0" r="0" b="0"/>
                            <a:pathLst>
                              <a:path w="3022727" h="9144">
                                <a:moveTo>
                                  <a:pt x="0" y="0"/>
                                </a:moveTo>
                                <a:lnTo>
                                  <a:pt x="3022727" y="0"/>
                                </a:lnTo>
                                <a:lnTo>
                                  <a:pt x="30227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19E5D6" id="Group 18" o:spid="_x0000_s1026" alt="decorative" style="position:absolute;margin-left:.3pt;margin-top:6.1pt;width:451.15pt;height:.5pt;z-index:251686912;mso-position-horizontal-relative:margin" coordsize="572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">
                <v:shape id="Shape 7599" o:spid="_x0000_s1027" style="position:absolute;width:27007;height:91;visibility:visible;mso-wrap-style:square;v-text-anchor:top" coordsize="2700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" path="m,l2700782,r,9144l,9144,,e" fillcolor="black" stroked="f" strokeweight="0">
                  <v:stroke miterlimit="83231f" joinstyle="miter"/>
                  <v:path arrowok="t" textboxrect="0,0,2700782,9144"/>
                </v:shape>
                <v:shape id="Shape 7600" o:spid="_x0000_s1028" style="position:absolute;left:270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" path="m,l9144,r,9144l,9144,,e" fillcolor="black" stroked="f" strokeweight="0">
                  <v:stroke miterlimit="83231f" joinstyle="miter"/>
                  <v:path arrowok="t" textboxrect="0,0,9144,9144"/>
                </v:shape>
                <v:shape id="Shape 7601" o:spid="_x0000_s1029" style="position:absolute;left:27069;width:30227;height:91;visibility:visible;mso-wrap-style:square;v-text-anchor:top" coordsize="30227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" path="m,l3022727,r,9144l,9144,,e" fillcolor="black" stroked="f" strokeweight="0">
                  <v:stroke miterlimit="83231f" joinstyle="miter"/>
                  <v:path arrowok="t" textboxrect="0,0,3022727,9144"/>
                </v:shape>
                <w10:wrap type="topAndBottom" anchorx="margin"/>
              </v:group>
            </w:pict>
          </mc:Fallback>
        </mc:AlternateContent>
      </w:r>
      <w:r w:rsidRPr="00EF2B10">
        <w:rPr>
          <w:rFonts w:asciiTheme="minorHAnsi" w:hAnsiTheme="minorHAnsi" w:cstheme="minorHAnsi"/>
          <w:sz w:val="20"/>
          <w:szCs w:val="20"/>
        </w:rPr>
        <w:br w:type="column"/>
      </w:r>
    </w:p>
    <w:p w14:paraId="3C7C7D99" w14:textId="77777777" w:rsidR="00AB6753" w:rsidRPr="00EF2B10" w:rsidRDefault="00AB6753" w:rsidP="00AB6753">
      <w:pPr>
        <w:numPr>
          <w:ilvl w:val="0"/>
          <w:numId w:val="65"/>
        </w:numPr>
        <w:spacing w:before="120" w:after="120" w:line="24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assessing the work undertaken by the Entity’s actuary;  </w:t>
      </w:r>
    </w:p>
    <w:p w14:paraId="0EEB2EDA" w14:textId="77777777" w:rsidR="00AB6753" w:rsidRPr="00EF2B10" w:rsidRDefault="00AB6753" w:rsidP="00AB6753">
      <w:pPr>
        <w:numPr>
          <w:ilvl w:val="0"/>
          <w:numId w:val="65"/>
        </w:numPr>
        <w:spacing w:before="120" w:after="120" w:line="24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assessing the accuracy and completeness of data used in the estimation models;  </w:t>
      </w:r>
    </w:p>
    <w:p w14:paraId="6F71139F" w14:textId="77777777" w:rsidR="00AB6753" w:rsidRPr="00EF2B10" w:rsidRDefault="00AB6753" w:rsidP="00AB6753">
      <w:pPr>
        <w:numPr>
          <w:ilvl w:val="0"/>
          <w:numId w:val="65"/>
        </w:numPr>
        <w:spacing w:before="120" w:after="120" w:line="24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evaluating the accounting and disclosures relating to the Income Compliance Program for consistency with data extracted from the debt management system, and the Government’s decision to refund debt paid and zero unpaid debt at year-end by raising a personal benefits payable and impairment allowance for the full debt; and </w:t>
      </w:r>
    </w:p>
    <w:p w14:paraId="600A9DF7" w14:textId="77777777" w:rsidR="00AB6753" w:rsidRPr="005655D8" w:rsidRDefault="00AB6753" w:rsidP="00AB6753">
      <w:pPr>
        <w:numPr>
          <w:ilvl w:val="0"/>
          <w:numId w:val="65"/>
        </w:numPr>
        <w:spacing w:before="120" w:after="120" w:line="240" w:lineRule="auto"/>
        <w:jc w:val="both"/>
        <w:rPr>
          <w:rFonts w:cs="Arial"/>
          <w:sz w:val="20"/>
          <w:szCs w:val="20"/>
        </w:rPr>
      </w:pPr>
      <w:r w:rsidRPr="005655D8">
        <w:rPr>
          <w:rFonts w:asciiTheme="minorHAnsi" w:hAnsiTheme="minorHAnsi" w:cstheme="minorHAnsi"/>
          <w:sz w:val="20"/>
          <w:szCs w:val="20"/>
        </w:rPr>
        <w:t>evaluating the Entity’s assessment that an unquantifiable contingency existed as 30 June 2020 and the appropriateness of the associated disclosure</w:t>
      </w:r>
      <w:r>
        <w:rPr>
          <w:rFonts w:asciiTheme="minorHAnsi" w:hAnsiTheme="minorHAnsi" w:cstheme="minorHAnsi"/>
          <w:sz w:val="20"/>
          <w:szCs w:val="20"/>
        </w:rPr>
        <w:t>.</w:t>
      </w:r>
      <w:r w:rsidRPr="005655D8">
        <w:rPr>
          <w:rFonts w:cs="Arial"/>
          <w:sz w:val="20"/>
          <w:szCs w:val="20"/>
        </w:rPr>
        <w:t xml:space="preserve"> </w:t>
      </w:r>
    </w:p>
    <w:p w14:paraId="125AF974" w14:textId="77777777" w:rsidR="00AB6753" w:rsidRDefault="00AB6753" w:rsidP="00AB6753">
      <w:pPr>
        <w:ind w:left="-5"/>
        <w:rPr>
          <w:rFonts w:asciiTheme="minorHAnsi" w:hAnsiTheme="minorHAnsi" w:cstheme="minorHAnsi"/>
          <w:sz w:val="20"/>
          <w:szCs w:val="20"/>
        </w:rPr>
        <w:sectPr w:rsidR="00AB6753" w:rsidSect="005655D8">
          <w:headerReference w:type="default" r:id="rId56"/>
          <w:pgSz w:w="11906" w:h="16838"/>
          <w:pgMar w:top="284" w:right="1440" w:bottom="1276" w:left="1440" w:header="709" w:footer="709" w:gutter="0"/>
          <w:cols w:num="2" w:space="708"/>
          <w:docGrid w:linePitch="360"/>
        </w:sectPr>
      </w:pPr>
    </w:p>
    <w:p w14:paraId="4720A01F" w14:textId="77777777" w:rsidR="00AB6753" w:rsidRPr="005655D8" w:rsidRDefault="00AB6753" w:rsidP="00AB6753">
      <w:pPr>
        <w:ind w:left="-5"/>
        <w:rPr>
          <w:rFonts w:asciiTheme="minorHAnsi" w:hAnsiTheme="minorHAnsi" w:cstheme="minorHAnsi"/>
          <w:b/>
          <w:sz w:val="20"/>
          <w:szCs w:val="20"/>
        </w:rPr>
      </w:pPr>
      <w:r w:rsidRPr="005655D8">
        <w:rPr>
          <w:rFonts w:cs="Arial"/>
          <w:b/>
          <w:sz w:val="20"/>
          <w:szCs w:val="20"/>
        </w:rPr>
        <w:t>Accountable Authority’s responsibility for the financial statements</w:t>
      </w:r>
    </w:p>
    <w:p w14:paraId="49AB9BF4" w14:textId="77777777" w:rsidR="00AB6753" w:rsidRPr="00EF2B10" w:rsidRDefault="00AB6753" w:rsidP="00AB6753">
      <w:pPr>
        <w:ind w:left="-5"/>
        <w:rPr>
          <w:rFonts w:asciiTheme="minorHAnsi" w:hAnsiTheme="minorHAnsi" w:cstheme="minorHAnsi"/>
          <w:sz w:val="20"/>
          <w:szCs w:val="20"/>
        </w:rPr>
      </w:pPr>
      <w:r w:rsidRPr="00EF2B10">
        <w:rPr>
          <w:rFonts w:asciiTheme="minorHAnsi" w:hAnsiTheme="minorHAnsi" w:cstheme="minorHAnsi"/>
          <w:sz w:val="20"/>
          <w:szCs w:val="20"/>
        </w:rPr>
        <w:t xml:space="preserve">As the Accountable Authority of the Entity, the Secretary is responsible under the </w:t>
      </w:r>
      <w:r w:rsidRPr="00EF2B10">
        <w:rPr>
          <w:rFonts w:asciiTheme="minorHAnsi" w:hAnsiTheme="minorHAnsi" w:cstheme="minorHAnsi"/>
          <w:i/>
          <w:sz w:val="20"/>
          <w:szCs w:val="20"/>
        </w:rPr>
        <w:t xml:space="preserve">Public Governance, Performance and Accountability Act 2013 </w:t>
      </w:r>
      <w:r w:rsidRPr="00EF2B10">
        <w:rPr>
          <w:rFonts w:asciiTheme="minorHAnsi" w:hAnsiTheme="minorHAnsi" w:cstheme="minorHAnsi"/>
          <w:sz w:val="20"/>
          <w:szCs w:val="20"/>
        </w:rPr>
        <w:t>(the Act)</w:t>
      </w:r>
      <w:r w:rsidRPr="00EF2B10">
        <w:rPr>
          <w:rFonts w:asciiTheme="minorHAnsi" w:hAnsiTheme="minorHAnsi" w:cstheme="minorHAnsi"/>
          <w:i/>
          <w:sz w:val="20"/>
          <w:szCs w:val="20"/>
        </w:rPr>
        <w:t xml:space="preserve"> </w:t>
      </w:r>
      <w:r w:rsidRPr="00EF2B10">
        <w:rPr>
          <w:rFonts w:asciiTheme="minorHAnsi" w:hAnsiTheme="minorHAnsi" w:cstheme="minorHAnsi"/>
          <w:sz w:val="20"/>
          <w:szCs w:val="20"/>
        </w:rPr>
        <w:t>for the preparation and fair presentation of annual financial statements that comply with Australian Accounting Standards – Reduced Disclosure Requirements</w:t>
      </w:r>
      <w:r w:rsidRPr="00EF2B10">
        <w:rPr>
          <w:rFonts w:asciiTheme="minorHAnsi" w:hAnsiTheme="minorHAnsi" w:cstheme="minorHAnsi"/>
          <w:color w:val="0033CC"/>
          <w:sz w:val="20"/>
          <w:szCs w:val="20"/>
        </w:rPr>
        <w:t xml:space="preserve"> </w:t>
      </w:r>
      <w:r w:rsidRPr="00EF2B10">
        <w:rPr>
          <w:rFonts w:asciiTheme="minorHAnsi" w:hAnsiTheme="minorHAnsi" w:cstheme="minorHAnsi"/>
          <w:sz w:val="20"/>
          <w:szCs w:val="20"/>
        </w:rPr>
        <w:t>and the rules made under the Act. The Secretary is also responsible for such internal control as the Secretary</w:t>
      </w:r>
      <w:r w:rsidRPr="00EF2B10">
        <w:rPr>
          <w:rFonts w:asciiTheme="minorHAnsi" w:hAnsiTheme="minorHAnsi" w:cstheme="minorHAnsi"/>
          <w:b/>
          <w:i/>
          <w:color w:val="0033CC"/>
          <w:sz w:val="20"/>
          <w:szCs w:val="20"/>
        </w:rPr>
        <w:t xml:space="preserve"> </w:t>
      </w:r>
      <w:r w:rsidRPr="00EF2B10">
        <w:rPr>
          <w:rFonts w:asciiTheme="minorHAnsi" w:hAnsiTheme="minorHAnsi" w:cstheme="minorHAnsi"/>
          <w:sz w:val="20"/>
          <w:szCs w:val="20"/>
        </w:rPr>
        <w:t xml:space="preserve">determines is necessary to enable the preparation of financial statements that are free from material misstatement, whether due to fraud or error.  </w:t>
      </w:r>
    </w:p>
    <w:p w14:paraId="578ABF8C" w14:textId="77777777" w:rsidR="00AB6753" w:rsidRPr="00EF2B10" w:rsidRDefault="00AB6753" w:rsidP="00AB6753">
      <w:pPr>
        <w:ind w:left="-5"/>
        <w:rPr>
          <w:rFonts w:asciiTheme="minorHAnsi" w:hAnsiTheme="minorHAnsi" w:cstheme="minorHAnsi"/>
          <w:b/>
          <w:sz w:val="20"/>
          <w:szCs w:val="20"/>
        </w:rPr>
      </w:pPr>
      <w:r w:rsidRPr="00EF2B10">
        <w:rPr>
          <w:rFonts w:asciiTheme="minorHAnsi" w:hAnsiTheme="minorHAnsi" w:cstheme="minorHAnsi"/>
          <w:sz w:val="20"/>
          <w:szCs w:val="20"/>
        </w:rPr>
        <w:t>In preparing the financial statements, the Secretary</w:t>
      </w:r>
      <w:r w:rsidRPr="00EF2B10">
        <w:rPr>
          <w:rFonts w:asciiTheme="minorHAnsi" w:hAnsiTheme="minorHAnsi" w:cstheme="minorHAnsi"/>
          <w:b/>
          <w:i/>
          <w:color w:val="0033CC"/>
          <w:sz w:val="20"/>
          <w:szCs w:val="20"/>
        </w:rPr>
        <w:t xml:space="preserve"> </w:t>
      </w:r>
      <w:r w:rsidRPr="00EF2B10">
        <w:rPr>
          <w:rFonts w:asciiTheme="minorHAnsi" w:hAnsiTheme="minorHAnsi" w:cstheme="minorHAnsi"/>
          <w:sz w:val="20"/>
          <w:szCs w:val="20"/>
        </w:rPr>
        <w:t>is responsible for assessing the ability of the Entity to continue as a going concern, taking into account whether the Entity’s operations will cease as a result of an administrative restructure or for any other reason. The Secretary is also responsible for disclosing, as applicable, matters related to going concern and using the going concern basis of accounting unless the assessment indicates that it is not appropriate.</w:t>
      </w:r>
      <w:r w:rsidRPr="00EF2B10">
        <w:rPr>
          <w:rFonts w:asciiTheme="minorHAnsi" w:hAnsiTheme="minorHAnsi" w:cstheme="minorHAnsi"/>
          <w:b/>
          <w:sz w:val="20"/>
          <w:szCs w:val="20"/>
        </w:rPr>
        <w:t xml:space="preserve"> </w:t>
      </w:r>
    </w:p>
    <w:p w14:paraId="00E34AE2" w14:textId="77777777" w:rsidR="00AB6753" w:rsidRDefault="00AB6753" w:rsidP="00AB6753">
      <w:pPr>
        <w:rPr>
          <w:rFonts w:eastAsiaTheme="majorEastAsia" w:cs="Arial"/>
          <w:b/>
          <w:bCs/>
          <w:sz w:val="20"/>
          <w:szCs w:val="20"/>
        </w:rPr>
      </w:pPr>
      <w:r>
        <w:rPr>
          <w:rFonts w:cs="Arial"/>
          <w:sz w:val="20"/>
          <w:szCs w:val="20"/>
        </w:rPr>
        <w:br w:type="page"/>
      </w:r>
    </w:p>
    <w:p w14:paraId="2ABC7E98" w14:textId="77777777" w:rsidR="00AB6753" w:rsidRPr="00EF2B10" w:rsidRDefault="00AB6753" w:rsidP="00AB6753">
      <w:pPr>
        <w:pStyle w:val="Heading1"/>
        <w:rPr>
          <w:rFonts w:cs="Arial"/>
          <w:sz w:val="20"/>
          <w:szCs w:val="20"/>
        </w:rPr>
      </w:pPr>
      <w:r w:rsidRPr="00EF2B10">
        <w:rPr>
          <w:rFonts w:cs="Arial"/>
          <w:sz w:val="20"/>
          <w:szCs w:val="20"/>
        </w:rPr>
        <w:lastRenderedPageBreak/>
        <w:t xml:space="preserve">Auditor’s responsibilities for the audit of the financial statements </w:t>
      </w:r>
      <w:r w:rsidRPr="00EF2B10">
        <w:rPr>
          <w:rFonts w:cs="Arial"/>
          <w:b w:val="0"/>
          <w:sz w:val="20"/>
          <w:szCs w:val="20"/>
        </w:rPr>
        <w:t xml:space="preserve"> </w:t>
      </w:r>
    </w:p>
    <w:p w14:paraId="1C51536E" w14:textId="77777777" w:rsidR="00AB6753" w:rsidRPr="00EF2B10" w:rsidRDefault="00AB6753" w:rsidP="00AB6753">
      <w:pPr>
        <w:ind w:left="-5"/>
        <w:rPr>
          <w:rFonts w:asciiTheme="minorHAnsi" w:hAnsiTheme="minorHAnsi" w:cstheme="minorHAnsi"/>
          <w:sz w:val="20"/>
          <w:szCs w:val="20"/>
        </w:rPr>
      </w:pPr>
      <w:r w:rsidRPr="00EF2B10">
        <w:rPr>
          <w:rFonts w:asciiTheme="minorHAnsi" w:hAnsiTheme="minorHAnsi" w:cstheme="minorHAnsi"/>
          <w:sz w:val="20"/>
          <w:szCs w:val="20"/>
        </w:rPr>
        <w:t xml:space="preserve">My objective is to obtain reasonable assurance about whether the financial statements as a whole are free from material misstatement, whether due to fraud or error, and to issue an auditor’s report that includes my opinion. </w:t>
      </w:r>
    </w:p>
    <w:p w14:paraId="76FA6981" w14:textId="77777777" w:rsidR="00AB6753" w:rsidRPr="00EF2B10" w:rsidRDefault="00AB6753" w:rsidP="00AB6753">
      <w:pPr>
        <w:ind w:left="-5"/>
        <w:rPr>
          <w:rFonts w:asciiTheme="minorHAnsi" w:hAnsiTheme="minorHAnsi" w:cstheme="minorHAnsi"/>
          <w:sz w:val="20"/>
          <w:szCs w:val="20"/>
        </w:rPr>
      </w:pPr>
      <w:r w:rsidRPr="00EF2B10">
        <w:rPr>
          <w:rFonts w:asciiTheme="minorHAnsi" w:hAnsiTheme="minorHAnsi" w:cstheme="minorHAnsi"/>
          <w:sz w:val="20"/>
          <w:szCs w:val="20"/>
        </w:rPr>
        <w:t xml:space="preserve">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 </w:t>
      </w:r>
    </w:p>
    <w:p w14:paraId="7FAE6771" w14:textId="77777777" w:rsidR="00AB6753" w:rsidRPr="00EF2B10" w:rsidRDefault="00AB6753" w:rsidP="00AB6753">
      <w:pPr>
        <w:spacing w:after="153"/>
        <w:ind w:left="-5"/>
        <w:rPr>
          <w:rFonts w:asciiTheme="minorHAnsi" w:hAnsiTheme="minorHAnsi" w:cstheme="minorHAnsi"/>
          <w:sz w:val="20"/>
          <w:szCs w:val="20"/>
        </w:rPr>
      </w:pPr>
      <w:r w:rsidRPr="00EF2B10">
        <w:rPr>
          <w:rFonts w:asciiTheme="minorHAnsi" w:hAnsiTheme="minorHAnsi" w:cstheme="minorHAnsi"/>
          <w:sz w:val="20"/>
          <w:szCs w:val="20"/>
        </w:rPr>
        <w:t xml:space="preserve">As part of an audit in accordance with the Australian National Audit Office Auditing Standards, I exercise professional judgement and maintain professional scepticism throughout the audit. I also:  </w:t>
      </w:r>
    </w:p>
    <w:p w14:paraId="60C36019" w14:textId="77777777" w:rsidR="00AB6753" w:rsidRPr="00EF2B10" w:rsidRDefault="00AB6753" w:rsidP="00AB6753">
      <w:pPr>
        <w:numPr>
          <w:ilvl w:val="0"/>
          <w:numId w:val="66"/>
        </w:numPr>
        <w:spacing w:after="34" w:line="25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w:t>
      </w:r>
    </w:p>
    <w:p w14:paraId="424A7746" w14:textId="77777777" w:rsidR="00AB6753" w:rsidRPr="00EF2B10" w:rsidRDefault="00AB6753" w:rsidP="00AB6753">
      <w:pPr>
        <w:numPr>
          <w:ilvl w:val="0"/>
          <w:numId w:val="66"/>
        </w:numPr>
        <w:spacing w:after="33" w:line="25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obtain an understanding of internal control relevant to the audit in order to design audit procedures that are appropriate in the circumstances, but not for the purpose of expressing an opinion on the effectiveness of the Entity’s internal control; </w:t>
      </w:r>
    </w:p>
    <w:p w14:paraId="3DCE8A40" w14:textId="77777777" w:rsidR="00AB6753" w:rsidRPr="00EF2B10" w:rsidRDefault="00AB6753" w:rsidP="00AB6753">
      <w:pPr>
        <w:numPr>
          <w:ilvl w:val="0"/>
          <w:numId w:val="66"/>
        </w:numPr>
        <w:spacing w:after="33" w:line="25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evaluate the appropriateness of accounting policies used and the reasonableness of accounting estimates and related disclosures made by the Accountable Authority;  </w:t>
      </w:r>
    </w:p>
    <w:p w14:paraId="379AA094" w14:textId="77777777" w:rsidR="00AB6753" w:rsidRPr="00EF2B10" w:rsidRDefault="00AB6753" w:rsidP="00AB6753">
      <w:pPr>
        <w:numPr>
          <w:ilvl w:val="0"/>
          <w:numId w:val="66"/>
        </w:numPr>
        <w:spacing w:after="34" w:line="25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  </w:t>
      </w:r>
    </w:p>
    <w:p w14:paraId="420F13C0" w14:textId="77777777" w:rsidR="00AB6753" w:rsidRPr="00EF2B10" w:rsidRDefault="00AB6753" w:rsidP="00AB6753">
      <w:pPr>
        <w:numPr>
          <w:ilvl w:val="0"/>
          <w:numId w:val="66"/>
        </w:numPr>
        <w:spacing w:after="110" w:line="250" w:lineRule="auto"/>
        <w:ind w:hanging="360"/>
        <w:jc w:val="both"/>
        <w:rPr>
          <w:rFonts w:asciiTheme="minorHAnsi" w:hAnsiTheme="minorHAnsi" w:cstheme="minorHAnsi"/>
          <w:sz w:val="20"/>
          <w:szCs w:val="20"/>
        </w:rPr>
      </w:pPr>
      <w:r w:rsidRPr="00EF2B10">
        <w:rPr>
          <w:rFonts w:asciiTheme="minorHAnsi" w:hAnsiTheme="minorHAnsi" w:cstheme="minorHAnsi"/>
          <w:sz w:val="20"/>
          <w:szCs w:val="20"/>
        </w:rPr>
        <w:t xml:space="preserve">evaluate the overall presentation, structure and content of the financial statements, including the disclosures, and whether the financial statements represent the underlying transactions and events in a manner that achieves fair presentation.  </w:t>
      </w:r>
    </w:p>
    <w:p w14:paraId="57757940" w14:textId="77777777" w:rsidR="00AB6753" w:rsidRPr="00EF2B10" w:rsidRDefault="00AB6753" w:rsidP="00AB6753">
      <w:pPr>
        <w:ind w:left="-5"/>
        <w:rPr>
          <w:rFonts w:asciiTheme="minorHAnsi" w:hAnsiTheme="minorHAnsi" w:cstheme="minorHAnsi"/>
          <w:sz w:val="20"/>
          <w:szCs w:val="20"/>
        </w:rPr>
      </w:pPr>
      <w:r w:rsidRPr="00EF2B10">
        <w:rPr>
          <w:rFonts w:asciiTheme="minorHAnsi" w:hAnsiTheme="minorHAnsi" w:cstheme="minorHAnsi"/>
          <w:sz w:val="20"/>
          <w:szCs w:val="20"/>
        </w:rPr>
        <w:t xml:space="preserve">I communicate with the Accountable Authority regarding, among other matters, the planned scope and timing of the audit and significant audit findings, including any significant deficiencies in internal control that I identify during my audit. </w:t>
      </w:r>
    </w:p>
    <w:p w14:paraId="50B9778C" w14:textId="77777777" w:rsidR="00AB6753" w:rsidRPr="00EF2B10" w:rsidRDefault="00AB6753" w:rsidP="00AB6753">
      <w:pPr>
        <w:ind w:left="-5"/>
        <w:rPr>
          <w:rFonts w:asciiTheme="minorHAnsi" w:hAnsiTheme="minorHAnsi" w:cstheme="minorHAnsi"/>
          <w:sz w:val="20"/>
          <w:szCs w:val="20"/>
        </w:rPr>
      </w:pPr>
      <w:r w:rsidRPr="00EF2B10">
        <w:rPr>
          <w:rFonts w:asciiTheme="minorHAnsi" w:hAnsiTheme="minorHAnsi" w:cstheme="minorHAnsi"/>
          <w:sz w:val="20"/>
          <w:szCs w:val="20"/>
        </w:rPr>
        <w:t xml:space="preserve">From the matters communicated with the Accountable Authority, I determine those matters that were of most significance in the audit of the financial statements of the current period and are therefore the key audit matters. I describe these matters in my auditor’s report unless law or regulation precludes public disclosure about the matter or when, in extremely rare circumstances, I determine that a matter should not be communicated in my report because the adverse consequences of doing so would reasonably be expected to outweigh the public interest benefits of such communication. </w:t>
      </w:r>
    </w:p>
    <w:p w14:paraId="762C13E4" w14:textId="77777777" w:rsidR="00AB6753" w:rsidRPr="005655D8" w:rsidRDefault="00AB6753" w:rsidP="00AB6753">
      <w:pPr>
        <w:ind w:left="-5"/>
        <w:rPr>
          <w:rFonts w:asciiTheme="minorHAnsi" w:hAnsiTheme="minorHAnsi" w:cstheme="minorHAnsi"/>
          <w:sz w:val="20"/>
          <w:szCs w:val="20"/>
        </w:rPr>
      </w:pPr>
      <w:r w:rsidRPr="00EF2B10">
        <w:rPr>
          <w:rFonts w:asciiTheme="minorHAnsi" w:hAnsiTheme="minorHAnsi" w:cstheme="minorHAnsi"/>
          <w:sz w:val="20"/>
          <w:szCs w:val="20"/>
        </w:rPr>
        <w:t xml:space="preserve">Australian National Audit Office </w:t>
      </w:r>
    </w:p>
    <w:p w14:paraId="14041076" w14:textId="77777777" w:rsidR="00AB6753" w:rsidRDefault="00AB6753" w:rsidP="00AB6753">
      <w:pPr>
        <w:spacing w:after="49" w:line="259" w:lineRule="auto"/>
        <w:ind w:left="-1"/>
      </w:pPr>
      <w:r>
        <w:rPr>
          <w:noProof/>
          <w:lang w:eastAsia="en-AU"/>
        </w:rPr>
        <w:drawing>
          <wp:inline distT="0" distB="0" distL="0" distR="0" wp14:anchorId="21969C98" wp14:editId="1F87ECAC">
            <wp:extent cx="1395603" cy="291465"/>
            <wp:effectExtent l="0" t="0" r="0" b="0"/>
            <wp:docPr id="836" name="Picture 836" descr="Copy of signature, Grant Heir Auditor-General"/>
            <wp:cNvGraphicFramePr/>
            <a:graphic xmlns:a="http://schemas.openxmlformats.org/drawingml/2006/main">
              <a:graphicData uri="http://schemas.openxmlformats.org/drawingml/2006/picture">
                <pic:pic xmlns:pic="http://schemas.openxmlformats.org/drawingml/2006/picture">
                  <pic:nvPicPr>
                    <pic:cNvPr id="836" name="Picture 836"/>
                    <pic:cNvPicPr/>
                  </pic:nvPicPr>
                  <pic:blipFill>
                    <a:blip r:embed="rId57"/>
                    <a:stretch>
                      <a:fillRect/>
                    </a:stretch>
                  </pic:blipFill>
                  <pic:spPr>
                    <a:xfrm>
                      <a:off x="0" y="0"/>
                      <a:ext cx="1395603" cy="291465"/>
                    </a:xfrm>
                    <a:prstGeom prst="rect">
                      <a:avLst/>
                    </a:prstGeom>
                  </pic:spPr>
                </pic:pic>
              </a:graphicData>
            </a:graphic>
          </wp:inline>
        </w:drawing>
      </w:r>
      <w:r>
        <w:rPr>
          <w:i/>
        </w:rPr>
        <w:t xml:space="preserve"> </w:t>
      </w:r>
    </w:p>
    <w:p w14:paraId="7AF83171" w14:textId="77777777" w:rsidR="00AB6753" w:rsidRDefault="00AB6753" w:rsidP="00AB6753">
      <w:pPr>
        <w:spacing w:after="0"/>
        <w:ind w:left="-6"/>
      </w:pPr>
      <w:r>
        <w:t>Grant Heir</w:t>
      </w:r>
    </w:p>
    <w:p w14:paraId="1E8DAD32" w14:textId="77777777" w:rsidR="00AB6753" w:rsidRDefault="00AB6753" w:rsidP="00AB6753">
      <w:pPr>
        <w:spacing w:after="0"/>
        <w:ind w:left="-6"/>
      </w:pPr>
      <w:r>
        <w:t>Auditor-General</w:t>
      </w:r>
    </w:p>
    <w:p w14:paraId="3C3A156E" w14:textId="77777777" w:rsidR="00AB6753" w:rsidRDefault="00AB6753" w:rsidP="00AB6753">
      <w:pPr>
        <w:spacing w:after="0"/>
        <w:ind w:left="-6"/>
      </w:pPr>
      <w:r>
        <w:t>Canberra</w:t>
      </w:r>
    </w:p>
    <w:p w14:paraId="1B54F4A1" w14:textId="77777777" w:rsidR="00AB6753" w:rsidRDefault="00AB6753" w:rsidP="00AB6753">
      <w:pPr>
        <w:spacing w:after="0"/>
        <w:ind w:left="-6"/>
      </w:pPr>
      <w:r>
        <w:t>18 September 2020</w:t>
      </w:r>
    </w:p>
    <w:p w14:paraId="25398BE6" w14:textId="77777777" w:rsidR="00AB6753" w:rsidRDefault="00AB6753" w:rsidP="00AB6753">
      <w:pPr>
        <w:rPr>
          <w:rFonts w:cs="Arial"/>
          <w:color w:val="2C2A29"/>
          <w:sz w:val="24"/>
          <w:szCs w:val="24"/>
          <w:highlight w:val="yellow"/>
        </w:rPr>
      </w:pPr>
    </w:p>
    <w:p w14:paraId="2BB8AE01" w14:textId="77777777" w:rsidR="00AB6753" w:rsidRDefault="00AB6753" w:rsidP="00AB6753">
      <w:pPr>
        <w:rPr>
          <w:rFonts w:cs="Arial"/>
          <w:color w:val="2C2A29"/>
          <w:sz w:val="24"/>
          <w:szCs w:val="24"/>
          <w:highlight w:val="yellow"/>
        </w:rPr>
        <w:sectPr w:rsidR="00AB6753" w:rsidSect="005655D8">
          <w:type w:val="continuous"/>
          <w:pgSz w:w="11906" w:h="16838"/>
          <w:pgMar w:top="284" w:right="1440" w:bottom="1276" w:left="1440" w:header="709" w:footer="709" w:gutter="0"/>
          <w:cols w:space="708"/>
          <w:docGrid w:linePitch="360"/>
        </w:sectPr>
      </w:pPr>
    </w:p>
    <w:p w14:paraId="66F81FB9" w14:textId="77777777" w:rsidR="00AB6753" w:rsidRPr="00395347" w:rsidRDefault="00AB6753" w:rsidP="00AB6753">
      <w:pPr>
        <w:pStyle w:val="StatementHeading"/>
        <w:ind w:right="284"/>
        <w:rPr>
          <w:rFonts w:ascii="HelveticaNeueLT-Light" w:hAnsi="HelveticaNeueLT-Light" w:cs="HelveticaNeueLT-Light"/>
          <w:b w:val="0"/>
          <w:sz w:val="32"/>
          <w:szCs w:val="32"/>
          <w:lang w:eastAsia="en-AU"/>
        </w:rPr>
      </w:pPr>
      <w:r w:rsidRPr="00395347">
        <w:rPr>
          <w:rFonts w:ascii="HelveticaNeueLT-Light" w:hAnsi="HelveticaNeueLT-Light" w:cs="HelveticaNeueLT-Light"/>
          <w:b w:val="0"/>
          <w:sz w:val="32"/>
          <w:szCs w:val="32"/>
          <w:lang w:eastAsia="en-AU"/>
        </w:rPr>
        <w:lastRenderedPageBreak/>
        <w:fldChar w:fldCharType="begin"/>
      </w:r>
      <w:r w:rsidRPr="00395347">
        <w:rPr>
          <w:rFonts w:ascii="HelveticaNeueLT-Light" w:hAnsi="HelveticaNeueLT-Light" w:cs="HelveticaNeueLT-Light"/>
          <w:b w:val="0"/>
          <w:sz w:val="32"/>
          <w:szCs w:val="32"/>
          <w:lang w:eastAsia="en-AU"/>
        </w:rPr>
        <w:instrText xml:space="preserve"> DOCPROPERTY  longName  \* MERGEFORMAT </w:instrText>
      </w:r>
      <w:r w:rsidRPr="00395347">
        <w:rPr>
          <w:rFonts w:ascii="HelveticaNeueLT-Light" w:hAnsi="HelveticaNeueLT-Light" w:cs="HelveticaNeueLT-Light"/>
          <w:b w:val="0"/>
          <w:sz w:val="32"/>
          <w:szCs w:val="32"/>
          <w:lang w:eastAsia="en-AU"/>
        </w:rPr>
        <w:fldChar w:fldCharType="separate"/>
      </w:r>
      <w:r>
        <w:rPr>
          <w:rFonts w:ascii="HelveticaNeueLT-Light" w:hAnsi="HelveticaNeueLT-Light" w:cs="HelveticaNeueLT-Light"/>
          <w:b w:val="0"/>
          <w:sz w:val="32"/>
          <w:szCs w:val="32"/>
          <w:lang w:eastAsia="en-AU"/>
        </w:rPr>
        <w:t>Department of Social Services</w:t>
      </w:r>
      <w:r w:rsidRPr="00395347">
        <w:rPr>
          <w:rFonts w:ascii="HelveticaNeueLT-Light" w:hAnsi="HelveticaNeueLT-Light" w:cs="HelveticaNeueLT-Light"/>
          <w:b w:val="0"/>
          <w:sz w:val="32"/>
          <w:szCs w:val="32"/>
          <w:lang w:eastAsia="en-AU"/>
        </w:rPr>
        <w:fldChar w:fldCharType="end"/>
      </w:r>
    </w:p>
    <w:p w14:paraId="57E5E15C" w14:textId="77777777" w:rsidR="00AB6753" w:rsidRDefault="00AB6753" w:rsidP="00AB6753">
      <w:pPr>
        <w:rPr>
          <w:rFonts w:cs="Arial"/>
          <w:b/>
          <w:color w:val="2C2A29"/>
          <w:sz w:val="24"/>
          <w:szCs w:val="24"/>
        </w:rPr>
      </w:pPr>
    </w:p>
    <w:p w14:paraId="29036881" w14:textId="77777777" w:rsidR="00AB6753" w:rsidRDefault="00AB6753" w:rsidP="00AB6753">
      <w:pPr>
        <w:rPr>
          <w:rFonts w:cs="Arial"/>
          <w:b/>
          <w:color w:val="2C2A29"/>
          <w:sz w:val="24"/>
          <w:szCs w:val="24"/>
        </w:rPr>
      </w:pPr>
    </w:p>
    <w:p w14:paraId="02CCEDCA" w14:textId="77777777" w:rsidR="00AB6753" w:rsidRPr="00346549" w:rsidRDefault="00AB6753" w:rsidP="00AB6753">
      <w:pPr>
        <w:pStyle w:val="PolicytextDept"/>
        <w:pBdr>
          <w:top w:val="none" w:sz="0" w:space="0" w:color="auto"/>
          <w:left w:val="none" w:sz="0" w:space="0" w:color="auto"/>
          <w:bottom w:val="none" w:sz="0" w:space="0" w:color="auto"/>
          <w:right w:val="none" w:sz="0" w:space="0" w:color="auto"/>
        </w:pBdr>
        <w:rPr>
          <w:b/>
          <w:sz w:val="24"/>
          <w:szCs w:val="24"/>
        </w:rPr>
      </w:pPr>
      <w:r w:rsidRPr="00346549">
        <w:rPr>
          <w:b/>
          <w:sz w:val="24"/>
          <w:szCs w:val="24"/>
        </w:rPr>
        <w:t>Statement by the Secretary and Chief Finance Officer</w:t>
      </w:r>
    </w:p>
    <w:p w14:paraId="0ACB1875" w14:textId="77777777" w:rsidR="00AB6753" w:rsidRDefault="00AB6753" w:rsidP="00AB6753">
      <w:pPr>
        <w:pStyle w:val="PolicytextDept"/>
        <w:pBdr>
          <w:top w:val="none" w:sz="0" w:space="0" w:color="auto"/>
          <w:left w:val="none" w:sz="0" w:space="0" w:color="auto"/>
          <w:bottom w:val="none" w:sz="0" w:space="0" w:color="auto"/>
          <w:right w:val="none" w:sz="0" w:space="0" w:color="auto"/>
        </w:pBdr>
        <w:rPr>
          <w:sz w:val="24"/>
          <w:szCs w:val="24"/>
        </w:rPr>
      </w:pPr>
    </w:p>
    <w:p w14:paraId="2C75EB38" w14:textId="77777777" w:rsidR="00AB6753" w:rsidRPr="00346549" w:rsidRDefault="00AB6753" w:rsidP="00AB6753">
      <w:pPr>
        <w:pStyle w:val="PolicytextDept"/>
        <w:pBdr>
          <w:top w:val="none" w:sz="0" w:space="0" w:color="auto"/>
          <w:left w:val="none" w:sz="0" w:space="0" w:color="auto"/>
          <w:bottom w:val="none" w:sz="0" w:space="0" w:color="auto"/>
          <w:right w:val="none" w:sz="0" w:space="0" w:color="auto"/>
        </w:pBdr>
        <w:rPr>
          <w:sz w:val="24"/>
          <w:szCs w:val="24"/>
        </w:rPr>
      </w:pPr>
      <w:r w:rsidRPr="00346549">
        <w:rPr>
          <w:sz w:val="24"/>
          <w:szCs w:val="24"/>
        </w:rPr>
        <w:t xml:space="preserve">In our opinion, the financial statements for the year ended 30 June </w:t>
      </w:r>
      <w:r w:rsidRPr="00346549">
        <w:rPr>
          <w:sz w:val="24"/>
          <w:szCs w:val="24"/>
        </w:rPr>
        <w:fldChar w:fldCharType="begin"/>
      </w:r>
      <w:r w:rsidRPr="00346549">
        <w:rPr>
          <w:sz w:val="24"/>
          <w:szCs w:val="24"/>
        </w:rPr>
        <w:instrText xml:space="preserve"> DOCPROPERTY  crYear  \* MERGEFORMAT </w:instrText>
      </w:r>
      <w:r w:rsidRPr="00346549">
        <w:rPr>
          <w:sz w:val="24"/>
          <w:szCs w:val="24"/>
        </w:rPr>
        <w:fldChar w:fldCharType="separate"/>
      </w:r>
      <w:r w:rsidRPr="00346549">
        <w:rPr>
          <w:sz w:val="24"/>
          <w:szCs w:val="24"/>
        </w:rPr>
        <w:t>2020</w:t>
      </w:r>
      <w:r w:rsidRPr="00346549">
        <w:rPr>
          <w:sz w:val="24"/>
          <w:szCs w:val="24"/>
        </w:rPr>
        <w:fldChar w:fldCharType="end"/>
      </w:r>
      <w:r w:rsidRPr="00346549">
        <w:rPr>
          <w:sz w:val="24"/>
          <w:szCs w:val="24"/>
        </w:rPr>
        <w:t xml:space="preserve"> comply with subsection 42(2) of the </w:t>
      </w:r>
      <w:r w:rsidRPr="00346549">
        <w:rPr>
          <w:i/>
          <w:sz w:val="24"/>
          <w:szCs w:val="24"/>
        </w:rPr>
        <w:t>Public Governance, Performance and Accountability Act 2013</w:t>
      </w:r>
      <w:r w:rsidRPr="00346549">
        <w:rPr>
          <w:sz w:val="24"/>
          <w:szCs w:val="24"/>
        </w:rPr>
        <w:t xml:space="preserve"> (PGPA Act), and are based on properly maintained financial records as per subsection 41(2) of the PGPA Act.</w:t>
      </w:r>
    </w:p>
    <w:p w14:paraId="42CD7BFB" w14:textId="77777777" w:rsidR="00AB6753" w:rsidRPr="00346549" w:rsidRDefault="00AB6753" w:rsidP="00AB6753">
      <w:pPr>
        <w:pStyle w:val="PolicytextDept"/>
        <w:pBdr>
          <w:top w:val="none" w:sz="0" w:space="0" w:color="auto"/>
          <w:left w:val="none" w:sz="0" w:space="0" w:color="auto"/>
          <w:bottom w:val="none" w:sz="0" w:space="0" w:color="auto"/>
          <w:right w:val="none" w:sz="0" w:space="0" w:color="auto"/>
        </w:pBdr>
        <w:rPr>
          <w:sz w:val="24"/>
          <w:szCs w:val="24"/>
        </w:rPr>
      </w:pPr>
      <w:r w:rsidRPr="00346549">
        <w:rPr>
          <w:sz w:val="24"/>
          <w:szCs w:val="24"/>
        </w:rPr>
        <w:t>In our opinion, at the date of this statement, there are reasonable grounds to believe that the Department of Social Services (</w:t>
      </w:r>
      <w:r w:rsidRPr="00346549">
        <w:rPr>
          <w:sz w:val="24"/>
          <w:szCs w:val="24"/>
        </w:rPr>
        <w:fldChar w:fldCharType="begin"/>
      </w:r>
      <w:r w:rsidRPr="00346549">
        <w:rPr>
          <w:sz w:val="24"/>
          <w:szCs w:val="24"/>
        </w:rPr>
        <w:instrText xml:space="preserve"> DOCPROPERTY  ShortName  \* MERGEFORMAT </w:instrText>
      </w:r>
      <w:r w:rsidRPr="00346549">
        <w:rPr>
          <w:sz w:val="24"/>
          <w:szCs w:val="24"/>
        </w:rPr>
        <w:fldChar w:fldCharType="separate"/>
      </w:r>
      <w:r w:rsidRPr="00346549">
        <w:rPr>
          <w:sz w:val="24"/>
          <w:szCs w:val="24"/>
        </w:rPr>
        <w:t>the department</w:t>
      </w:r>
      <w:r w:rsidRPr="00346549">
        <w:rPr>
          <w:sz w:val="24"/>
          <w:szCs w:val="24"/>
        </w:rPr>
        <w:fldChar w:fldCharType="end"/>
      </w:r>
      <w:r w:rsidRPr="00346549">
        <w:rPr>
          <w:sz w:val="24"/>
          <w:szCs w:val="24"/>
        </w:rPr>
        <w:t>) will be able to pay its debts as and when they fall due.</w:t>
      </w:r>
    </w:p>
    <w:p w14:paraId="65BFFAEC" w14:textId="0539E674" w:rsidR="00AB6753" w:rsidRDefault="00B75119" w:rsidP="00AB6753">
      <w:pPr>
        <w:rPr>
          <w:rFonts w:cs="Arial"/>
          <w:b/>
          <w:color w:val="2C2A29"/>
          <w:sz w:val="24"/>
          <w:szCs w:val="24"/>
        </w:rPr>
      </w:pPr>
      <w:r>
        <w:rPr>
          <w:rFonts w:cs="Arial"/>
          <w:b/>
          <w:noProof/>
          <w:color w:val="2C2A29"/>
          <w:sz w:val="24"/>
          <w:szCs w:val="24"/>
          <w:lang w:eastAsia="en-AU"/>
        </w:rPr>
        <w:drawing>
          <wp:inline distT="0" distB="0" distL="0" distR="0" wp14:anchorId="05E4C8FD" wp14:editId="3D55697F">
            <wp:extent cx="4312271" cy="648182"/>
            <wp:effectExtent l="0" t="0" r="0" b="0"/>
            <wp:docPr id="3" name="Picture 3" descr="Signature of Kathryn Campbell, Secretary and Andrew Harvey, Chief Finan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13963" cy="678499"/>
                    </a:xfrm>
                    <a:prstGeom prst="rect">
                      <a:avLst/>
                    </a:prstGeom>
                    <a:noFill/>
                  </pic:spPr>
                </pic:pic>
              </a:graphicData>
            </a:graphic>
          </wp:inline>
        </w:drawing>
      </w:r>
    </w:p>
    <w:tbl>
      <w:tblPr>
        <w:tblStyle w:val="TableGrid"/>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Kathryn Campbell, AO CSC, Secretary and Andrew Harvey, Chief Finance Officer"/>
      </w:tblPr>
      <w:tblGrid>
        <w:gridCol w:w="4723"/>
        <w:gridCol w:w="4633"/>
      </w:tblGrid>
      <w:tr w:rsidR="00AB6753" w:rsidRPr="00346549" w14:paraId="0A242C12" w14:textId="77777777" w:rsidTr="002D1EA4">
        <w:trPr>
          <w:trHeight w:val="1473"/>
        </w:trPr>
        <w:tc>
          <w:tcPr>
            <w:tcW w:w="4723" w:type="dxa"/>
          </w:tcPr>
          <w:p w14:paraId="2742606C" w14:textId="77777777" w:rsidR="00AB6753" w:rsidRPr="00346549" w:rsidRDefault="00AB6753" w:rsidP="002D1EA4">
            <w:pPr>
              <w:rPr>
                <w:rFonts w:cs="Arial"/>
                <w:sz w:val="24"/>
                <w:szCs w:val="18"/>
              </w:rPr>
            </w:pPr>
          </w:p>
          <w:p w14:paraId="3879D212" w14:textId="77777777" w:rsidR="00AB6753" w:rsidRPr="00346549" w:rsidRDefault="00AB6753" w:rsidP="002D1EA4">
            <w:pPr>
              <w:rPr>
                <w:rFonts w:cs="Arial"/>
                <w:sz w:val="24"/>
                <w:szCs w:val="18"/>
              </w:rPr>
            </w:pPr>
            <w:r w:rsidRPr="00346549">
              <w:rPr>
                <w:rFonts w:cs="Arial"/>
                <w:sz w:val="24"/>
                <w:szCs w:val="18"/>
              </w:rPr>
              <w:t>Kathryn Campbell AO CSC</w:t>
            </w:r>
          </w:p>
          <w:p w14:paraId="347CD747" w14:textId="77777777" w:rsidR="00AB6753" w:rsidRPr="00346549" w:rsidRDefault="00AB6753" w:rsidP="002D1EA4">
            <w:pPr>
              <w:rPr>
                <w:rFonts w:cs="Arial"/>
                <w:sz w:val="24"/>
                <w:szCs w:val="18"/>
              </w:rPr>
            </w:pPr>
            <w:r w:rsidRPr="00346549">
              <w:rPr>
                <w:rFonts w:cs="Arial"/>
                <w:sz w:val="24"/>
                <w:szCs w:val="18"/>
              </w:rPr>
              <w:t>Secretary</w:t>
            </w:r>
          </w:p>
          <w:p w14:paraId="345B975C" w14:textId="77777777" w:rsidR="00AB6753" w:rsidRPr="00346549" w:rsidRDefault="00AB6753" w:rsidP="002D1EA4">
            <w:pPr>
              <w:rPr>
                <w:rFonts w:cs="Arial"/>
                <w:sz w:val="24"/>
                <w:szCs w:val="18"/>
              </w:rPr>
            </w:pPr>
            <w:r w:rsidRPr="00346549">
              <w:rPr>
                <w:rFonts w:cs="Arial"/>
                <w:sz w:val="24"/>
                <w:szCs w:val="18"/>
              </w:rPr>
              <w:t xml:space="preserve">18 September </w:t>
            </w:r>
            <w:r w:rsidRPr="00346549">
              <w:rPr>
                <w:rFonts w:cs="Arial"/>
                <w:sz w:val="24"/>
                <w:szCs w:val="18"/>
              </w:rPr>
              <w:fldChar w:fldCharType="begin"/>
            </w:r>
            <w:r w:rsidRPr="00346549">
              <w:rPr>
                <w:rFonts w:cs="Arial"/>
                <w:sz w:val="24"/>
                <w:szCs w:val="18"/>
              </w:rPr>
              <w:instrText xml:space="preserve"> DOCPROPERTY  crYear  \* MERGEFORMAT </w:instrText>
            </w:r>
            <w:r w:rsidRPr="00346549">
              <w:rPr>
                <w:rFonts w:cs="Arial"/>
                <w:sz w:val="24"/>
                <w:szCs w:val="18"/>
              </w:rPr>
              <w:fldChar w:fldCharType="separate"/>
            </w:r>
            <w:r w:rsidRPr="00346549">
              <w:rPr>
                <w:rFonts w:cs="Arial"/>
                <w:sz w:val="24"/>
                <w:szCs w:val="18"/>
              </w:rPr>
              <w:t>2020</w:t>
            </w:r>
            <w:r w:rsidRPr="00346549">
              <w:rPr>
                <w:rFonts w:cs="Arial"/>
                <w:sz w:val="24"/>
                <w:szCs w:val="18"/>
              </w:rPr>
              <w:fldChar w:fldCharType="end"/>
            </w:r>
          </w:p>
          <w:p w14:paraId="499FF5ED" w14:textId="77777777" w:rsidR="00AB6753" w:rsidRPr="00346549" w:rsidRDefault="00AB6753" w:rsidP="002D1EA4">
            <w:pPr>
              <w:rPr>
                <w:rFonts w:cs="Arial"/>
                <w:sz w:val="24"/>
                <w:szCs w:val="18"/>
              </w:rPr>
            </w:pPr>
          </w:p>
        </w:tc>
        <w:tc>
          <w:tcPr>
            <w:tcW w:w="4633" w:type="dxa"/>
          </w:tcPr>
          <w:p w14:paraId="5E16CBAE" w14:textId="77777777" w:rsidR="00AB6753" w:rsidRDefault="00AB6753" w:rsidP="002D1EA4">
            <w:pPr>
              <w:rPr>
                <w:rFonts w:cs="Arial"/>
                <w:sz w:val="24"/>
                <w:szCs w:val="18"/>
              </w:rPr>
            </w:pPr>
          </w:p>
          <w:p w14:paraId="2B90C993" w14:textId="77777777" w:rsidR="00AB6753" w:rsidRPr="00346549" w:rsidRDefault="00AB6753" w:rsidP="002D1EA4">
            <w:pPr>
              <w:rPr>
                <w:rFonts w:cs="Arial"/>
                <w:sz w:val="24"/>
                <w:szCs w:val="18"/>
              </w:rPr>
            </w:pPr>
            <w:r w:rsidRPr="00346549">
              <w:rPr>
                <w:rFonts w:cs="Arial"/>
                <w:sz w:val="24"/>
                <w:szCs w:val="18"/>
              </w:rPr>
              <w:t>Andrew Harvey</w:t>
            </w:r>
          </w:p>
          <w:p w14:paraId="6C91CD70" w14:textId="77777777" w:rsidR="00AB6753" w:rsidRPr="00346549" w:rsidRDefault="00AB6753" w:rsidP="002D1EA4">
            <w:pPr>
              <w:rPr>
                <w:rFonts w:cs="Arial"/>
                <w:sz w:val="24"/>
                <w:szCs w:val="18"/>
              </w:rPr>
            </w:pPr>
            <w:r w:rsidRPr="00346549">
              <w:rPr>
                <w:rFonts w:cs="Arial"/>
                <w:sz w:val="24"/>
                <w:szCs w:val="18"/>
              </w:rPr>
              <w:t>Chief Finance Officer</w:t>
            </w:r>
          </w:p>
          <w:p w14:paraId="30833501" w14:textId="77777777" w:rsidR="00AB6753" w:rsidRPr="00346549" w:rsidRDefault="00AB6753" w:rsidP="002D1EA4">
            <w:pPr>
              <w:rPr>
                <w:rFonts w:cs="Arial"/>
                <w:sz w:val="24"/>
                <w:szCs w:val="18"/>
              </w:rPr>
            </w:pPr>
            <w:r w:rsidRPr="00346549">
              <w:rPr>
                <w:rFonts w:cs="Arial"/>
                <w:sz w:val="24"/>
                <w:szCs w:val="18"/>
              </w:rPr>
              <w:t xml:space="preserve">18 September </w:t>
            </w:r>
            <w:r w:rsidRPr="00346549">
              <w:rPr>
                <w:rFonts w:cs="Arial"/>
                <w:sz w:val="24"/>
                <w:szCs w:val="18"/>
              </w:rPr>
              <w:fldChar w:fldCharType="begin"/>
            </w:r>
            <w:r w:rsidRPr="00346549">
              <w:rPr>
                <w:rFonts w:cs="Arial"/>
                <w:sz w:val="24"/>
                <w:szCs w:val="18"/>
              </w:rPr>
              <w:instrText xml:space="preserve"> DOCPROPERTY  crYear  \* MERGEFORMAT </w:instrText>
            </w:r>
            <w:r w:rsidRPr="00346549">
              <w:rPr>
                <w:rFonts w:cs="Arial"/>
                <w:sz w:val="24"/>
                <w:szCs w:val="18"/>
              </w:rPr>
              <w:fldChar w:fldCharType="separate"/>
            </w:r>
            <w:r w:rsidRPr="00346549">
              <w:rPr>
                <w:rFonts w:cs="Arial"/>
                <w:sz w:val="24"/>
                <w:szCs w:val="18"/>
              </w:rPr>
              <w:t>2020</w:t>
            </w:r>
            <w:r w:rsidRPr="00346549">
              <w:rPr>
                <w:rFonts w:cs="Arial"/>
                <w:sz w:val="24"/>
                <w:szCs w:val="18"/>
              </w:rPr>
              <w:fldChar w:fldCharType="end"/>
            </w:r>
          </w:p>
          <w:p w14:paraId="5A585791" w14:textId="77777777" w:rsidR="00AB6753" w:rsidRPr="00346549" w:rsidRDefault="00AB6753" w:rsidP="002D1EA4">
            <w:pPr>
              <w:rPr>
                <w:rFonts w:cs="Arial"/>
                <w:sz w:val="24"/>
                <w:szCs w:val="18"/>
              </w:rPr>
            </w:pPr>
          </w:p>
        </w:tc>
      </w:tr>
    </w:tbl>
    <w:p w14:paraId="28BB7293" w14:textId="77777777" w:rsidR="00AB6753" w:rsidRDefault="00AB6753" w:rsidP="00AB6753">
      <w:pPr>
        <w:rPr>
          <w:rFonts w:cs="Arial"/>
          <w:b/>
          <w:color w:val="2C2A29"/>
          <w:sz w:val="24"/>
          <w:szCs w:val="24"/>
        </w:rPr>
      </w:pPr>
    </w:p>
    <w:p w14:paraId="3A27488B" w14:textId="77777777" w:rsidR="00AB6753" w:rsidRPr="00346549" w:rsidRDefault="00AB6753" w:rsidP="00AB6753">
      <w:pPr>
        <w:rPr>
          <w:rFonts w:cs="Arial"/>
          <w:b/>
          <w:color w:val="2C2A29"/>
          <w:sz w:val="24"/>
          <w:szCs w:val="24"/>
        </w:rPr>
        <w:sectPr w:rsidR="00AB6753" w:rsidRPr="00346549" w:rsidSect="003C69D5">
          <w:headerReference w:type="default" r:id="rId59"/>
          <w:pgSz w:w="11906" w:h="16838"/>
          <w:pgMar w:top="1440" w:right="1440" w:bottom="1440" w:left="1440" w:header="709" w:footer="709" w:gutter="0"/>
          <w:cols w:space="708"/>
          <w:docGrid w:linePitch="360"/>
        </w:sectPr>
      </w:pPr>
    </w:p>
    <w:tbl>
      <w:tblPr>
        <w:tblW w:w="9411" w:type="dxa"/>
        <w:tblInd w:w="80" w:type="dxa"/>
        <w:tblLayout w:type="fixed"/>
        <w:tblLook w:val="04A0" w:firstRow="1" w:lastRow="0" w:firstColumn="1" w:lastColumn="0" w:noHBand="0" w:noVBand="1"/>
        <w:tblCaption w:val="Statement of comprehensive income for the period ended 30 June 2020"/>
        <w:tblDescription w:val="Statement of comprehensive income for the period ended 30 June 2020"/>
      </w:tblPr>
      <w:tblGrid>
        <w:gridCol w:w="3952"/>
        <w:gridCol w:w="1261"/>
        <w:gridCol w:w="1261"/>
        <w:gridCol w:w="268"/>
        <w:gridCol w:w="1261"/>
        <w:gridCol w:w="268"/>
        <w:gridCol w:w="1140"/>
      </w:tblGrid>
      <w:tr w:rsidR="00AB6753" w14:paraId="65BB15B1" w14:textId="77777777" w:rsidTr="002D1EA4">
        <w:trPr>
          <w:trHeight w:val="765"/>
        </w:trPr>
        <w:tc>
          <w:tcPr>
            <w:tcW w:w="3952" w:type="dxa"/>
            <w:tcBorders>
              <w:top w:val="single" w:sz="8" w:space="0" w:color="auto"/>
              <w:left w:val="nil"/>
              <w:bottom w:val="nil"/>
              <w:right w:val="nil"/>
            </w:tcBorders>
            <w:shd w:val="clear" w:color="FFFFFF" w:fill="FFFFFF"/>
            <w:noWrap/>
            <w:vAlign w:val="bottom"/>
            <w:hideMark/>
          </w:tcPr>
          <w:p w14:paraId="1016DFDB" w14:textId="77777777" w:rsidR="00AB6753" w:rsidRDefault="00AB6753" w:rsidP="002D1EA4">
            <w:pPr>
              <w:spacing w:after="0"/>
              <w:rPr>
                <w:rFonts w:cs="Arial"/>
                <w:sz w:val="18"/>
                <w:szCs w:val="18"/>
              </w:rPr>
            </w:pPr>
            <w:bookmarkStart w:id="54" w:name="Note_DPLTABLE1" w:colFirst="0" w:colLast="0"/>
            <w:r>
              <w:rPr>
                <w:rFonts w:cs="Arial"/>
                <w:sz w:val="18"/>
                <w:szCs w:val="18"/>
              </w:rPr>
              <w:lastRenderedPageBreak/>
              <w:t> </w:t>
            </w:r>
          </w:p>
        </w:tc>
        <w:tc>
          <w:tcPr>
            <w:tcW w:w="1261" w:type="dxa"/>
            <w:tcBorders>
              <w:top w:val="single" w:sz="8" w:space="0" w:color="auto"/>
              <w:left w:val="nil"/>
              <w:bottom w:val="nil"/>
              <w:right w:val="nil"/>
            </w:tcBorders>
            <w:shd w:val="clear" w:color="FFFFFF" w:fill="FFFFFF"/>
            <w:noWrap/>
            <w:vAlign w:val="bottom"/>
            <w:hideMark/>
          </w:tcPr>
          <w:p w14:paraId="5896827D" w14:textId="77777777" w:rsidR="00AB6753" w:rsidRDefault="00AB6753" w:rsidP="002D1EA4">
            <w:pPr>
              <w:spacing w:after="0"/>
              <w:rPr>
                <w:rFonts w:cs="Arial"/>
                <w:sz w:val="18"/>
                <w:szCs w:val="18"/>
              </w:rPr>
            </w:pPr>
            <w:r>
              <w:rPr>
                <w:rFonts w:cs="Arial"/>
                <w:sz w:val="18"/>
                <w:szCs w:val="18"/>
              </w:rPr>
              <w:t> </w:t>
            </w:r>
          </w:p>
        </w:tc>
        <w:tc>
          <w:tcPr>
            <w:tcW w:w="1261" w:type="dxa"/>
            <w:tcBorders>
              <w:top w:val="single" w:sz="8" w:space="0" w:color="auto"/>
              <w:left w:val="nil"/>
              <w:bottom w:val="nil"/>
              <w:right w:val="nil"/>
            </w:tcBorders>
            <w:shd w:val="clear" w:color="FFFFFF" w:fill="FFFFFF"/>
            <w:vAlign w:val="bottom"/>
            <w:hideMark/>
          </w:tcPr>
          <w:p w14:paraId="2118DC84" w14:textId="77777777" w:rsidR="00AB6753" w:rsidRDefault="00AB6753" w:rsidP="002D1EA4">
            <w:pPr>
              <w:spacing w:after="0"/>
              <w:jc w:val="right"/>
              <w:rPr>
                <w:rFonts w:cs="Arial"/>
                <w:b/>
                <w:bCs/>
                <w:sz w:val="18"/>
                <w:szCs w:val="18"/>
              </w:rPr>
            </w:pPr>
            <w:r>
              <w:rPr>
                <w:rFonts w:cs="Arial"/>
                <w:b/>
                <w:bCs/>
                <w:sz w:val="18"/>
                <w:szCs w:val="18"/>
              </w:rPr>
              <w:t>2020</w:t>
            </w:r>
          </w:p>
        </w:tc>
        <w:tc>
          <w:tcPr>
            <w:tcW w:w="268" w:type="dxa"/>
            <w:tcBorders>
              <w:top w:val="single" w:sz="8" w:space="0" w:color="auto"/>
              <w:left w:val="nil"/>
              <w:bottom w:val="nil"/>
              <w:right w:val="nil"/>
            </w:tcBorders>
            <w:shd w:val="clear" w:color="FFFFFF" w:fill="FFFFFF"/>
            <w:noWrap/>
            <w:vAlign w:val="bottom"/>
            <w:hideMark/>
          </w:tcPr>
          <w:p w14:paraId="51D06508" w14:textId="77777777" w:rsidR="00AB6753" w:rsidRDefault="00AB6753" w:rsidP="002D1EA4">
            <w:pPr>
              <w:spacing w:after="0"/>
              <w:rPr>
                <w:rFonts w:cs="Arial"/>
                <w:sz w:val="18"/>
                <w:szCs w:val="18"/>
              </w:rPr>
            </w:pPr>
            <w:r>
              <w:rPr>
                <w:rFonts w:cs="Arial"/>
                <w:sz w:val="18"/>
                <w:szCs w:val="18"/>
              </w:rPr>
              <w:t> </w:t>
            </w:r>
          </w:p>
        </w:tc>
        <w:tc>
          <w:tcPr>
            <w:tcW w:w="1261" w:type="dxa"/>
            <w:tcBorders>
              <w:top w:val="single" w:sz="8" w:space="0" w:color="auto"/>
              <w:left w:val="nil"/>
              <w:bottom w:val="nil"/>
              <w:right w:val="nil"/>
            </w:tcBorders>
            <w:shd w:val="clear" w:color="FFFFFF" w:fill="FFFFFF"/>
            <w:vAlign w:val="bottom"/>
            <w:hideMark/>
          </w:tcPr>
          <w:p w14:paraId="42C0BCC5" w14:textId="77777777" w:rsidR="00AB6753" w:rsidRDefault="00AB6753" w:rsidP="002D1EA4">
            <w:pPr>
              <w:spacing w:after="0"/>
              <w:jc w:val="right"/>
              <w:rPr>
                <w:rFonts w:cs="Arial"/>
                <w:sz w:val="18"/>
                <w:szCs w:val="18"/>
              </w:rPr>
            </w:pPr>
            <w:r>
              <w:rPr>
                <w:rFonts w:cs="Arial"/>
                <w:sz w:val="18"/>
                <w:szCs w:val="18"/>
              </w:rPr>
              <w:t>2019</w:t>
            </w:r>
          </w:p>
        </w:tc>
        <w:tc>
          <w:tcPr>
            <w:tcW w:w="268" w:type="dxa"/>
            <w:tcBorders>
              <w:top w:val="single" w:sz="8" w:space="0" w:color="auto"/>
              <w:left w:val="nil"/>
              <w:bottom w:val="nil"/>
              <w:right w:val="nil"/>
            </w:tcBorders>
            <w:shd w:val="clear" w:color="FFFFFF" w:fill="FFFFFF"/>
            <w:noWrap/>
            <w:vAlign w:val="bottom"/>
            <w:hideMark/>
          </w:tcPr>
          <w:p w14:paraId="7716BBBD" w14:textId="77777777" w:rsidR="00AB6753" w:rsidRDefault="00AB6753" w:rsidP="002D1EA4">
            <w:pPr>
              <w:spacing w:after="0"/>
              <w:rPr>
                <w:rFonts w:cs="Arial"/>
                <w:sz w:val="18"/>
                <w:szCs w:val="18"/>
              </w:rPr>
            </w:pPr>
            <w:r>
              <w:rPr>
                <w:rFonts w:cs="Arial"/>
                <w:sz w:val="18"/>
                <w:szCs w:val="18"/>
              </w:rPr>
              <w:t> </w:t>
            </w:r>
          </w:p>
        </w:tc>
        <w:tc>
          <w:tcPr>
            <w:tcW w:w="1140" w:type="dxa"/>
            <w:tcBorders>
              <w:top w:val="single" w:sz="8" w:space="0" w:color="auto"/>
              <w:left w:val="nil"/>
              <w:bottom w:val="nil"/>
              <w:right w:val="nil"/>
            </w:tcBorders>
            <w:shd w:val="clear" w:color="FFFFFF" w:fill="FFFFFF"/>
            <w:vAlign w:val="bottom"/>
            <w:hideMark/>
          </w:tcPr>
          <w:p w14:paraId="3E2D2A43" w14:textId="77777777" w:rsidR="00AB6753" w:rsidRDefault="00AB6753" w:rsidP="002D1EA4">
            <w:pPr>
              <w:spacing w:after="0"/>
              <w:jc w:val="right"/>
              <w:rPr>
                <w:rFonts w:cs="Arial"/>
                <w:sz w:val="18"/>
                <w:szCs w:val="18"/>
              </w:rPr>
            </w:pPr>
            <w:r>
              <w:rPr>
                <w:rFonts w:cs="Arial"/>
                <w:sz w:val="18"/>
                <w:szCs w:val="18"/>
              </w:rPr>
              <w:t>Original Budget</w:t>
            </w:r>
            <w:r>
              <w:rPr>
                <w:rFonts w:cs="Arial"/>
                <w:sz w:val="18"/>
                <w:szCs w:val="18"/>
              </w:rPr>
              <w:br/>
              <w:t>2020</w:t>
            </w:r>
          </w:p>
        </w:tc>
      </w:tr>
      <w:bookmarkEnd w:id="54"/>
      <w:tr w:rsidR="00AB6753" w14:paraId="15A9EF9E" w14:textId="77777777" w:rsidTr="002D1EA4">
        <w:trPr>
          <w:trHeight w:val="255"/>
        </w:trPr>
        <w:tc>
          <w:tcPr>
            <w:tcW w:w="3952" w:type="dxa"/>
            <w:tcBorders>
              <w:top w:val="nil"/>
              <w:left w:val="nil"/>
              <w:bottom w:val="nil"/>
              <w:right w:val="nil"/>
            </w:tcBorders>
            <w:shd w:val="clear" w:color="FFFFFF" w:fill="FFFFFF"/>
            <w:noWrap/>
            <w:vAlign w:val="bottom"/>
            <w:hideMark/>
          </w:tcPr>
          <w:p w14:paraId="553C20D5"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vAlign w:val="bottom"/>
            <w:hideMark/>
          </w:tcPr>
          <w:p w14:paraId="7EC47D0B" w14:textId="77777777" w:rsidR="00AB6753" w:rsidRDefault="00AB6753" w:rsidP="002D1EA4">
            <w:pPr>
              <w:spacing w:after="0"/>
              <w:jc w:val="center"/>
              <w:rPr>
                <w:rFonts w:cs="Arial"/>
                <w:b/>
                <w:bCs/>
                <w:sz w:val="18"/>
                <w:szCs w:val="18"/>
              </w:rPr>
            </w:pPr>
            <w:r>
              <w:rPr>
                <w:rFonts w:cs="Arial"/>
                <w:b/>
                <w:bCs/>
                <w:sz w:val="18"/>
                <w:szCs w:val="18"/>
              </w:rPr>
              <w:t>Notes</w:t>
            </w:r>
          </w:p>
        </w:tc>
        <w:tc>
          <w:tcPr>
            <w:tcW w:w="1261" w:type="dxa"/>
            <w:tcBorders>
              <w:top w:val="nil"/>
              <w:left w:val="nil"/>
              <w:bottom w:val="single" w:sz="4" w:space="0" w:color="auto"/>
              <w:right w:val="nil"/>
            </w:tcBorders>
            <w:shd w:val="clear" w:color="FFFFFF" w:fill="FFFFFF"/>
            <w:vAlign w:val="bottom"/>
            <w:hideMark/>
          </w:tcPr>
          <w:p w14:paraId="52FDFDE4" w14:textId="77777777" w:rsidR="00AB6753" w:rsidRDefault="00AB6753" w:rsidP="002D1EA4">
            <w:pPr>
              <w:spacing w:after="0"/>
              <w:jc w:val="right"/>
              <w:rPr>
                <w:rFonts w:cs="Arial"/>
                <w:b/>
                <w:bCs/>
                <w:sz w:val="18"/>
                <w:szCs w:val="18"/>
              </w:rPr>
            </w:pPr>
            <w:r>
              <w:rPr>
                <w:rFonts w:cs="Arial"/>
                <w:b/>
                <w:bCs/>
                <w:sz w:val="18"/>
                <w:szCs w:val="18"/>
              </w:rPr>
              <w:t>$'000</w:t>
            </w:r>
          </w:p>
        </w:tc>
        <w:tc>
          <w:tcPr>
            <w:tcW w:w="268" w:type="dxa"/>
            <w:tcBorders>
              <w:top w:val="nil"/>
              <w:left w:val="nil"/>
              <w:bottom w:val="single" w:sz="4" w:space="0" w:color="auto"/>
              <w:right w:val="nil"/>
            </w:tcBorders>
            <w:shd w:val="clear" w:color="FFFFFF" w:fill="FFFFFF"/>
            <w:noWrap/>
            <w:vAlign w:val="bottom"/>
            <w:hideMark/>
          </w:tcPr>
          <w:p w14:paraId="7501E712"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single" w:sz="4" w:space="0" w:color="auto"/>
              <w:right w:val="nil"/>
            </w:tcBorders>
            <w:shd w:val="clear" w:color="FFFFFF" w:fill="FFFFFF"/>
            <w:vAlign w:val="bottom"/>
            <w:hideMark/>
          </w:tcPr>
          <w:p w14:paraId="650A962C" w14:textId="77777777" w:rsidR="00AB6753" w:rsidRDefault="00AB6753" w:rsidP="002D1EA4">
            <w:pPr>
              <w:spacing w:after="0"/>
              <w:jc w:val="right"/>
              <w:rPr>
                <w:rFonts w:cs="Arial"/>
                <w:sz w:val="18"/>
                <w:szCs w:val="18"/>
              </w:rPr>
            </w:pPr>
            <w:r>
              <w:rPr>
                <w:rFonts w:cs="Arial"/>
                <w:sz w:val="18"/>
                <w:szCs w:val="18"/>
              </w:rPr>
              <w:t>$'000</w:t>
            </w:r>
          </w:p>
        </w:tc>
        <w:tc>
          <w:tcPr>
            <w:tcW w:w="268" w:type="dxa"/>
            <w:tcBorders>
              <w:top w:val="nil"/>
              <w:left w:val="nil"/>
              <w:bottom w:val="nil"/>
              <w:right w:val="nil"/>
            </w:tcBorders>
            <w:shd w:val="clear" w:color="FFFFFF" w:fill="FFFFFF"/>
            <w:noWrap/>
            <w:vAlign w:val="bottom"/>
            <w:hideMark/>
          </w:tcPr>
          <w:p w14:paraId="623000E8"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single" w:sz="4" w:space="0" w:color="auto"/>
              <w:right w:val="nil"/>
            </w:tcBorders>
            <w:shd w:val="clear" w:color="FFFFFF" w:fill="FFFFFF"/>
            <w:vAlign w:val="bottom"/>
            <w:hideMark/>
          </w:tcPr>
          <w:p w14:paraId="669FA5D6" w14:textId="77777777" w:rsidR="00AB6753" w:rsidRDefault="00AB6753" w:rsidP="002D1EA4">
            <w:pPr>
              <w:spacing w:after="0"/>
              <w:jc w:val="right"/>
              <w:rPr>
                <w:rFonts w:cs="Arial"/>
                <w:sz w:val="18"/>
                <w:szCs w:val="18"/>
              </w:rPr>
            </w:pPr>
            <w:r>
              <w:rPr>
                <w:rFonts w:cs="Arial"/>
                <w:sz w:val="18"/>
                <w:szCs w:val="18"/>
              </w:rPr>
              <w:t>$'000</w:t>
            </w:r>
          </w:p>
        </w:tc>
      </w:tr>
      <w:tr w:rsidR="00AB6753" w14:paraId="46F536C8" w14:textId="77777777" w:rsidTr="002D1EA4">
        <w:trPr>
          <w:trHeight w:val="255"/>
        </w:trPr>
        <w:tc>
          <w:tcPr>
            <w:tcW w:w="3952" w:type="dxa"/>
            <w:tcBorders>
              <w:top w:val="nil"/>
              <w:left w:val="nil"/>
              <w:bottom w:val="nil"/>
              <w:right w:val="nil"/>
            </w:tcBorders>
            <w:shd w:val="clear" w:color="FFFFFF" w:fill="FFFFFF"/>
            <w:vAlign w:val="bottom"/>
            <w:hideMark/>
          </w:tcPr>
          <w:p w14:paraId="335A30F4" w14:textId="77777777" w:rsidR="00AB6753" w:rsidRDefault="00AB6753" w:rsidP="002D1EA4">
            <w:pPr>
              <w:spacing w:after="0"/>
              <w:rPr>
                <w:rFonts w:cs="Arial"/>
                <w:b/>
                <w:bCs/>
                <w:sz w:val="18"/>
                <w:szCs w:val="18"/>
              </w:rPr>
            </w:pPr>
            <w:r>
              <w:rPr>
                <w:rFonts w:cs="Arial"/>
                <w:b/>
                <w:bCs/>
                <w:sz w:val="18"/>
                <w:szCs w:val="18"/>
              </w:rPr>
              <w:t>NET COST OF SERVICES</w:t>
            </w:r>
          </w:p>
        </w:tc>
        <w:tc>
          <w:tcPr>
            <w:tcW w:w="1261" w:type="dxa"/>
            <w:tcBorders>
              <w:top w:val="nil"/>
              <w:left w:val="nil"/>
              <w:bottom w:val="nil"/>
              <w:right w:val="nil"/>
            </w:tcBorders>
            <w:shd w:val="clear" w:color="FFFFFF" w:fill="FFFFFF"/>
            <w:vAlign w:val="bottom"/>
            <w:hideMark/>
          </w:tcPr>
          <w:p w14:paraId="2614CF18" w14:textId="77777777" w:rsidR="00AB6753" w:rsidRDefault="00AB6753" w:rsidP="002D1EA4">
            <w:pPr>
              <w:spacing w:after="0"/>
              <w:jc w:val="center"/>
              <w:rPr>
                <w:rFonts w:cs="Arial"/>
                <w:b/>
                <w:bCs/>
                <w:sz w:val="18"/>
                <w:szCs w:val="18"/>
              </w:rPr>
            </w:pPr>
            <w:r>
              <w:rPr>
                <w:rFonts w:cs="Arial"/>
                <w:b/>
                <w:bCs/>
                <w:sz w:val="18"/>
                <w:szCs w:val="18"/>
              </w:rPr>
              <w:t> </w:t>
            </w:r>
          </w:p>
        </w:tc>
        <w:tc>
          <w:tcPr>
            <w:tcW w:w="1261" w:type="dxa"/>
            <w:tcBorders>
              <w:top w:val="nil"/>
              <w:left w:val="nil"/>
              <w:bottom w:val="nil"/>
              <w:right w:val="nil"/>
            </w:tcBorders>
            <w:shd w:val="clear" w:color="FFFFFF" w:fill="FFFFFF"/>
            <w:noWrap/>
            <w:vAlign w:val="bottom"/>
            <w:hideMark/>
          </w:tcPr>
          <w:p w14:paraId="07598604" w14:textId="77777777" w:rsidR="00AB6753" w:rsidRDefault="00AB6753" w:rsidP="002D1EA4">
            <w:pPr>
              <w:spacing w:after="0"/>
              <w:rPr>
                <w:rFonts w:cs="Arial"/>
                <w:sz w:val="18"/>
                <w:szCs w:val="18"/>
              </w:rPr>
            </w:pPr>
            <w:r>
              <w:rPr>
                <w:rFonts w:cs="Arial"/>
                <w:sz w:val="18"/>
                <w:szCs w:val="18"/>
              </w:rPr>
              <w:t> </w:t>
            </w:r>
          </w:p>
        </w:tc>
        <w:tc>
          <w:tcPr>
            <w:tcW w:w="268" w:type="dxa"/>
            <w:tcBorders>
              <w:top w:val="nil"/>
              <w:left w:val="nil"/>
              <w:bottom w:val="nil"/>
              <w:right w:val="nil"/>
            </w:tcBorders>
            <w:shd w:val="clear" w:color="FFFFFF" w:fill="FFFFFF"/>
            <w:noWrap/>
            <w:vAlign w:val="bottom"/>
            <w:hideMark/>
          </w:tcPr>
          <w:p w14:paraId="10770712"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4156F92F" w14:textId="77777777" w:rsidR="00AB6753" w:rsidRDefault="00AB6753" w:rsidP="002D1EA4">
            <w:pPr>
              <w:spacing w:after="0"/>
              <w:rPr>
                <w:rFonts w:cs="Arial"/>
                <w:sz w:val="18"/>
                <w:szCs w:val="18"/>
              </w:rPr>
            </w:pPr>
            <w:r>
              <w:rPr>
                <w:rFonts w:cs="Arial"/>
                <w:sz w:val="18"/>
                <w:szCs w:val="18"/>
              </w:rPr>
              <w:t> </w:t>
            </w:r>
          </w:p>
        </w:tc>
        <w:tc>
          <w:tcPr>
            <w:tcW w:w="268" w:type="dxa"/>
            <w:tcBorders>
              <w:top w:val="nil"/>
              <w:left w:val="nil"/>
              <w:bottom w:val="nil"/>
              <w:right w:val="nil"/>
            </w:tcBorders>
            <w:shd w:val="clear" w:color="FFFFFF" w:fill="FFFFFF"/>
            <w:noWrap/>
            <w:vAlign w:val="bottom"/>
            <w:hideMark/>
          </w:tcPr>
          <w:p w14:paraId="40A24A07"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2CFED319" w14:textId="77777777" w:rsidR="00AB6753" w:rsidRDefault="00AB6753" w:rsidP="002D1EA4">
            <w:pPr>
              <w:spacing w:after="0"/>
              <w:rPr>
                <w:rFonts w:cs="Arial"/>
                <w:sz w:val="18"/>
                <w:szCs w:val="18"/>
              </w:rPr>
            </w:pPr>
            <w:r>
              <w:rPr>
                <w:rFonts w:cs="Arial"/>
                <w:sz w:val="18"/>
                <w:szCs w:val="18"/>
              </w:rPr>
              <w:t> </w:t>
            </w:r>
          </w:p>
        </w:tc>
      </w:tr>
      <w:tr w:rsidR="00AB6753" w14:paraId="130CDC9D" w14:textId="77777777" w:rsidTr="002D1EA4">
        <w:trPr>
          <w:trHeight w:val="255"/>
        </w:trPr>
        <w:tc>
          <w:tcPr>
            <w:tcW w:w="3952" w:type="dxa"/>
            <w:tcBorders>
              <w:top w:val="nil"/>
              <w:left w:val="nil"/>
              <w:bottom w:val="nil"/>
              <w:right w:val="nil"/>
            </w:tcBorders>
            <w:shd w:val="clear" w:color="FFFFFF" w:fill="FFFFFF"/>
            <w:vAlign w:val="bottom"/>
            <w:hideMark/>
          </w:tcPr>
          <w:p w14:paraId="4843622F" w14:textId="77777777" w:rsidR="00AB6753" w:rsidRDefault="00AB6753" w:rsidP="002D1EA4">
            <w:pPr>
              <w:spacing w:after="0"/>
              <w:rPr>
                <w:rFonts w:cs="Arial"/>
                <w:b/>
                <w:bCs/>
                <w:sz w:val="18"/>
                <w:szCs w:val="18"/>
              </w:rPr>
            </w:pPr>
            <w:r>
              <w:rPr>
                <w:rFonts w:cs="Arial"/>
                <w:b/>
                <w:bCs/>
                <w:sz w:val="18"/>
                <w:szCs w:val="18"/>
              </w:rPr>
              <w:t>Expenses</w:t>
            </w:r>
          </w:p>
        </w:tc>
        <w:tc>
          <w:tcPr>
            <w:tcW w:w="1261" w:type="dxa"/>
            <w:tcBorders>
              <w:top w:val="nil"/>
              <w:left w:val="nil"/>
              <w:bottom w:val="nil"/>
              <w:right w:val="nil"/>
            </w:tcBorders>
            <w:shd w:val="clear" w:color="FFFFFF" w:fill="FFFFFF"/>
            <w:noWrap/>
            <w:vAlign w:val="bottom"/>
            <w:hideMark/>
          </w:tcPr>
          <w:p w14:paraId="5C1A8282"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000DA27A" w14:textId="77777777" w:rsidR="00AB6753" w:rsidRDefault="00AB6753" w:rsidP="002D1EA4">
            <w:pPr>
              <w:spacing w:after="0"/>
              <w:rPr>
                <w:rFonts w:cs="Arial"/>
                <w:sz w:val="18"/>
                <w:szCs w:val="18"/>
              </w:rPr>
            </w:pPr>
            <w:r>
              <w:rPr>
                <w:rFonts w:cs="Arial"/>
                <w:sz w:val="18"/>
                <w:szCs w:val="18"/>
              </w:rPr>
              <w:t> </w:t>
            </w:r>
          </w:p>
        </w:tc>
        <w:tc>
          <w:tcPr>
            <w:tcW w:w="268" w:type="dxa"/>
            <w:tcBorders>
              <w:top w:val="nil"/>
              <w:left w:val="nil"/>
              <w:bottom w:val="nil"/>
              <w:right w:val="nil"/>
            </w:tcBorders>
            <w:shd w:val="clear" w:color="FFFFFF" w:fill="FFFFFF"/>
            <w:noWrap/>
            <w:vAlign w:val="bottom"/>
            <w:hideMark/>
          </w:tcPr>
          <w:p w14:paraId="261ECF5B"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07058FE9" w14:textId="77777777" w:rsidR="00AB6753" w:rsidRDefault="00AB6753" w:rsidP="002D1EA4">
            <w:pPr>
              <w:spacing w:after="0"/>
              <w:rPr>
                <w:rFonts w:cs="Arial"/>
                <w:sz w:val="18"/>
                <w:szCs w:val="18"/>
              </w:rPr>
            </w:pPr>
            <w:r>
              <w:rPr>
                <w:rFonts w:cs="Arial"/>
                <w:sz w:val="18"/>
                <w:szCs w:val="18"/>
              </w:rPr>
              <w:t> </w:t>
            </w:r>
          </w:p>
        </w:tc>
        <w:tc>
          <w:tcPr>
            <w:tcW w:w="268" w:type="dxa"/>
            <w:tcBorders>
              <w:top w:val="nil"/>
              <w:left w:val="nil"/>
              <w:bottom w:val="nil"/>
              <w:right w:val="nil"/>
            </w:tcBorders>
            <w:shd w:val="clear" w:color="FFFFFF" w:fill="FFFFFF"/>
            <w:noWrap/>
            <w:vAlign w:val="bottom"/>
            <w:hideMark/>
          </w:tcPr>
          <w:p w14:paraId="7B6E8115"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595AFF9C" w14:textId="77777777" w:rsidR="00AB6753" w:rsidRDefault="00AB6753" w:rsidP="002D1EA4">
            <w:pPr>
              <w:spacing w:after="0"/>
              <w:rPr>
                <w:rFonts w:cs="Arial"/>
                <w:sz w:val="18"/>
                <w:szCs w:val="18"/>
              </w:rPr>
            </w:pPr>
            <w:r>
              <w:rPr>
                <w:rFonts w:cs="Arial"/>
                <w:sz w:val="18"/>
                <w:szCs w:val="18"/>
              </w:rPr>
              <w:t> </w:t>
            </w:r>
          </w:p>
        </w:tc>
      </w:tr>
      <w:tr w:rsidR="00AB6753" w14:paraId="4E3FF083" w14:textId="77777777" w:rsidTr="002D1EA4">
        <w:trPr>
          <w:trHeight w:val="255"/>
        </w:trPr>
        <w:tc>
          <w:tcPr>
            <w:tcW w:w="3952" w:type="dxa"/>
            <w:tcBorders>
              <w:top w:val="nil"/>
              <w:left w:val="nil"/>
              <w:bottom w:val="nil"/>
              <w:right w:val="nil"/>
            </w:tcBorders>
            <w:shd w:val="clear" w:color="FFFFFF" w:fill="FFFFFF"/>
            <w:vAlign w:val="bottom"/>
            <w:hideMark/>
          </w:tcPr>
          <w:p w14:paraId="6F783DD0" w14:textId="77777777" w:rsidR="00AB6753" w:rsidRDefault="00AB6753" w:rsidP="002D1EA4">
            <w:pPr>
              <w:spacing w:after="0"/>
              <w:rPr>
                <w:rFonts w:cs="Arial"/>
                <w:sz w:val="18"/>
                <w:szCs w:val="18"/>
              </w:rPr>
            </w:pPr>
            <w:r>
              <w:rPr>
                <w:rFonts w:cs="Arial"/>
                <w:sz w:val="18"/>
                <w:szCs w:val="18"/>
              </w:rPr>
              <w:t>Employee benefits</w:t>
            </w:r>
          </w:p>
        </w:tc>
        <w:tc>
          <w:tcPr>
            <w:tcW w:w="1261" w:type="dxa"/>
            <w:tcBorders>
              <w:top w:val="nil"/>
              <w:left w:val="nil"/>
              <w:bottom w:val="nil"/>
              <w:right w:val="nil"/>
            </w:tcBorders>
            <w:shd w:val="clear" w:color="FFFFFF" w:fill="FFFFFF"/>
            <w:noWrap/>
            <w:vAlign w:val="bottom"/>
            <w:hideMark/>
          </w:tcPr>
          <w:p w14:paraId="72E8390A" w14:textId="77777777" w:rsidR="00AB6753" w:rsidRDefault="00AB6753" w:rsidP="002D1EA4">
            <w:pPr>
              <w:spacing w:after="0"/>
              <w:jc w:val="center"/>
              <w:rPr>
                <w:rFonts w:cs="Arial"/>
                <w:sz w:val="18"/>
                <w:szCs w:val="18"/>
              </w:rPr>
            </w:pPr>
            <w:r>
              <w:rPr>
                <w:rFonts w:cs="Arial"/>
                <w:sz w:val="18"/>
                <w:szCs w:val="18"/>
              </w:rPr>
              <w:t>1.1A</w:t>
            </w:r>
          </w:p>
        </w:tc>
        <w:tc>
          <w:tcPr>
            <w:tcW w:w="1261" w:type="dxa"/>
            <w:tcBorders>
              <w:top w:val="nil"/>
              <w:left w:val="nil"/>
              <w:bottom w:val="nil"/>
              <w:right w:val="nil"/>
            </w:tcBorders>
            <w:shd w:val="clear" w:color="FFFFFF" w:fill="FFFFFF"/>
            <w:noWrap/>
            <w:vAlign w:val="bottom"/>
            <w:hideMark/>
          </w:tcPr>
          <w:p w14:paraId="51E124CD" w14:textId="77777777" w:rsidR="00AB6753" w:rsidRDefault="00AB6753" w:rsidP="002D1EA4">
            <w:pPr>
              <w:spacing w:after="0"/>
              <w:jc w:val="right"/>
              <w:rPr>
                <w:rFonts w:cs="Arial"/>
                <w:b/>
                <w:bCs/>
                <w:sz w:val="18"/>
                <w:szCs w:val="18"/>
              </w:rPr>
            </w:pPr>
            <w:r>
              <w:rPr>
                <w:rFonts w:cs="Arial"/>
                <w:b/>
                <w:bCs/>
                <w:sz w:val="18"/>
                <w:szCs w:val="18"/>
              </w:rPr>
              <w:t>288,486</w:t>
            </w:r>
          </w:p>
        </w:tc>
        <w:tc>
          <w:tcPr>
            <w:tcW w:w="268" w:type="dxa"/>
            <w:tcBorders>
              <w:top w:val="nil"/>
              <w:left w:val="nil"/>
              <w:bottom w:val="nil"/>
              <w:right w:val="nil"/>
            </w:tcBorders>
            <w:shd w:val="clear" w:color="FFFFFF" w:fill="FFFFFF"/>
            <w:noWrap/>
            <w:vAlign w:val="bottom"/>
            <w:hideMark/>
          </w:tcPr>
          <w:p w14:paraId="454DA32A"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4E79622A" w14:textId="77777777" w:rsidR="00AB6753" w:rsidRDefault="00AB6753" w:rsidP="002D1EA4">
            <w:pPr>
              <w:spacing w:after="0"/>
              <w:jc w:val="right"/>
              <w:rPr>
                <w:rFonts w:cs="Arial"/>
                <w:sz w:val="18"/>
                <w:szCs w:val="18"/>
              </w:rPr>
            </w:pPr>
            <w:r>
              <w:rPr>
                <w:rFonts w:cs="Arial"/>
                <w:sz w:val="18"/>
                <w:szCs w:val="18"/>
              </w:rPr>
              <w:t>287,835</w:t>
            </w:r>
          </w:p>
        </w:tc>
        <w:tc>
          <w:tcPr>
            <w:tcW w:w="268" w:type="dxa"/>
            <w:tcBorders>
              <w:top w:val="nil"/>
              <w:left w:val="nil"/>
              <w:bottom w:val="nil"/>
              <w:right w:val="nil"/>
            </w:tcBorders>
            <w:shd w:val="clear" w:color="FFFFFF" w:fill="FFFFFF"/>
            <w:noWrap/>
            <w:vAlign w:val="bottom"/>
            <w:hideMark/>
          </w:tcPr>
          <w:p w14:paraId="21B7D248"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240AD2A6" w14:textId="77777777" w:rsidR="00AB6753" w:rsidRDefault="00AB6753" w:rsidP="002D1EA4">
            <w:pPr>
              <w:spacing w:after="0"/>
              <w:jc w:val="right"/>
              <w:rPr>
                <w:rFonts w:cs="Arial"/>
                <w:sz w:val="18"/>
                <w:szCs w:val="18"/>
              </w:rPr>
            </w:pPr>
            <w:r>
              <w:rPr>
                <w:rFonts w:cs="Arial"/>
                <w:sz w:val="18"/>
                <w:szCs w:val="18"/>
              </w:rPr>
              <w:t xml:space="preserve">280,634 </w:t>
            </w:r>
          </w:p>
        </w:tc>
      </w:tr>
      <w:tr w:rsidR="00AB6753" w14:paraId="31DAF746" w14:textId="77777777" w:rsidTr="002D1EA4">
        <w:trPr>
          <w:trHeight w:val="255"/>
        </w:trPr>
        <w:tc>
          <w:tcPr>
            <w:tcW w:w="3952" w:type="dxa"/>
            <w:tcBorders>
              <w:top w:val="nil"/>
              <w:left w:val="nil"/>
              <w:bottom w:val="nil"/>
              <w:right w:val="nil"/>
            </w:tcBorders>
            <w:shd w:val="clear" w:color="FFFFFF" w:fill="FFFFFF"/>
            <w:vAlign w:val="bottom"/>
            <w:hideMark/>
          </w:tcPr>
          <w:p w14:paraId="05FAB300" w14:textId="77777777" w:rsidR="00AB6753" w:rsidRDefault="00AB6753" w:rsidP="002D1EA4">
            <w:pPr>
              <w:spacing w:after="0"/>
              <w:rPr>
                <w:rFonts w:cs="Arial"/>
                <w:sz w:val="18"/>
                <w:szCs w:val="18"/>
              </w:rPr>
            </w:pPr>
            <w:r>
              <w:rPr>
                <w:rFonts w:cs="Arial"/>
                <w:sz w:val="18"/>
                <w:szCs w:val="18"/>
              </w:rPr>
              <w:t>Suppliers</w:t>
            </w:r>
          </w:p>
        </w:tc>
        <w:tc>
          <w:tcPr>
            <w:tcW w:w="1261" w:type="dxa"/>
            <w:tcBorders>
              <w:top w:val="nil"/>
              <w:left w:val="nil"/>
              <w:bottom w:val="nil"/>
              <w:right w:val="nil"/>
            </w:tcBorders>
            <w:shd w:val="clear" w:color="FFFFFF" w:fill="FFFFFF"/>
            <w:noWrap/>
            <w:vAlign w:val="bottom"/>
            <w:hideMark/>
          </w:tcPr>
          <w:p w14:paraId="7DB1BF91" w14:textId="77777777" w:rsidR="00AB6753" w:rsidRDefault="00AB6753" w:rsidP="002D1EA4">
            <w:pPr>
              <w:spacing w:after="0"/>
              <w:jc w:val="center"/>
              <w:rPr>
                <w:rFonts w:cs="Arial"/>
                <w:sz w:val="18"/>
                <w:szCs w:val="18"/>
              </w:rPr>
            </w:pPr>
            <w:r>
              <w:rPr>
                <w:rFonts w:cs="Arial"/>
                <w:sz w:val="18"/>
                <w:szCs w:val="18"/>
              </w:rPr>
              <w:t>1.1B</w:t>
            </w:r>
          </w:p>
        </w:tc>
        <w:tc>
          <w:tcPr>
            <w:tcW w:w="1261" w:type="dxa"/>
            <w:tcBorders>
              <w:top w:val="nil"/>
              <w:left w:val="nil"/>
              <w:bottom w:val="nil"/>
              <w:right w:val="nil"/>
            </w:tcBorders>
            <w:shd w:val="clear" w:color="FFFFFF" w:fill="FFFFFF"/>
            <w:noWrap/>
            <w:vAlign w:val="bottom"/>
            <w:hideMark/>
          </w:tcPr>
          <w:p w14:paraId="270F2333" w14:textId="77777777" w:rsidR="00AB6753" w:rsidRDefault="00AB6753" w:rsidP="002D1EA4">
            <w:pPr>
              <w:spacing w:after="0"/>
              <w:jc w:val="right"/>
              <w:rPr>
                <w:rFonts w:cs="Arial"/>
                <w:b/>
                <w:bCs/>
                <w:sz w:val="18"/>
                <w:szCs w:val="18"/>
              </w:rPr>
            </w:pPr>
            <w:r>
              <w:rPr>
                <w:rFonts w:cs="Arial"/>
                <w:b/>
                <w:bCs/>
                <w:sz w:val="18"/>
                <w:szCs w:val="18"/>
              </w:rPr>
              <w:t>146,343</w:t>
            </w:r>
          </w:p>
        </w:tc>
        <w:tc>
          <w:tcPr>
            <w:tcW w:w="268" w:type="dxa"/>
            <w:tcBorders>
              <w:top w:val="nil"/>
              <w:left w:val="nil"/>
              <w:bottom w:val="nil"/>
              <w:right w:val="nil"/>
            </w:tcBorders>
            <w:shd w:val="clear" w:color="FFFFFF" w:fill="FFFFFF"/>
            <w:noWrap/>
            <w:vAlign w:val="bottom"/>
            <w:hideMark/>
          </w:tcPr>
          <w:p w14:paraId="0AC62962"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6F2E3D83" w14:textId="77777777" w:rsidR="00AB6753" w:rsidRDefault="00AB6753" w:rsidP="002D1EA4">
            <w:pPr>
              <w:spacing w:after="0"/>
              <w:jc w:val="right"/>
              <w:rPr>
                <w:rFonts w:cs="Arial"/>
                <w:sz w:val="18"/>
                <w:szCs w:val="18"/>
              </w:rPr>
            </w:pPr>
            <w:r>
              <w:rPr>
                <w:rFonts w:cs="Arial"/>
                <w:sz w:val="18"/>
                <w:szCs w:val="18"/>
              </w:rPr>
              <w:t>188,363</w:t>
            </w:r>
          </w:p>
        </w:tc>
        <w:tc>
          <w:tcPr>
            <w:tcW w:w="268" w:type="dxa"/>
            <w:tcBorders>
              <w:top w:val="nil"/>
              <w:left w:val="nil"/>
              <w:bottom w:val="nil"/>
              <w:right w:val="nil"/>
            </w:tcBorders>
            <w:shd w:val="clear" w:color="FFFFFF" w:fill="FFFFFF"/>
            <w:noWrap/>
            <w:vAlign w:val="bottom"/>
            <w:hideMark/>
          </w:tcPr>
          <w:p w14:paraId="5BFAAB2C"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3A859612" w14:textId="77777777" w:rsidR="00AB6753" w:rsidRDefault="00AB6753" w:rsidP="002D1EA4">
            <w:pPr>
              <w:spacing w:after="0"/>
              <w:jc w:val="right"/>
              <w:rPr>
                <w:rFonts w:cs="Arial"/>
                <w:sz w:val="18"/>
                <w:szCs w:val="18"/>
              </w:rPr>
            </w:pPr>
            <w:r>
              <w:rPr>
                <w:rFonts w:cs="Arial"/>
                <w:sz w:val="18"/>
                <w:szCs w:val="18"/>
              </w:rPr>
              <w:t xml:space="preserve">183,015 </w:t>
            </w:r>
          </w:p>
        </w:tc>
      </w:tr>
      <w:tr w:rsidR="00AB6753" w14:paraId="3661F439" w14:textId="77777777" w:rsidTr="002D1EA4">
        <w:trPr>
          <w:trHeight w:val="255"/>
        </w:trPr>
        <w:tc>
          <w:tcPr>
            <w:tcW w:w="3952" w:type="dxa"/>
            <w:tcBorders>
              <w:top w:val="nil"/>
              <w:left w:val="nil"/>
              <w:bottom w:val="nil"/>
              <w:right w:val="nil"/>
            </w:tcBorders>
            <w:shd w:val="clear" w:color="FFFFFF" w:fill="FFFFFF"/>
            <w:vAlign w:val="bottom"/>
            <w:hideMark/>
          </w:tcPr>
          <w:p w14:paraId="384CFDE4" w14:textId="77777777" w:rsidR="00AB6753" w:rsidRDefault="00AB6753" w:rsidP="002D1EA4">
            <w:pPr>
              <w:spacing w:after="0"/>
              <w:rPr>
                <w:rFonts w:cs="Arial"/>
                <w:sz w:val="18"/>
                <w:szCs w:val="18"/>
              </w:rPr>
            </w:pPr>
            <w:r>
              <w:rPr>
                <w:rFonts w:cs="Arial"/>
                <w:sz w:val="18"/>
                <w:szCs w:val="18"/>
              </w:rPr>
              <w:t>Depreciation and amortisation</w:t>
            </w:r>
          </w:p>
        </w:tc>
        <w:tc>
          <w:tcPr>
            <w:tcW w:w="1261" w:type="dxa"/>
            <w:tcBorders>
              <w:top w:val="nil"/>
              <w:left w:val="nil"/>
              <w:bottom w:val="nil"/>
              <w:right w:val="nil"/>
            </w:tcBorders>
            <w:shd w:val="clear" w:color="FFFFFF" w:fill="FFFFFF"/>
            <w:noWrap/>
            <w:vAlign w:val="bottom"/>
            <w:hideMark/>
          </w:tcPr>
          <w:p w14:paraId="7CB4D5E9" w14:textId="77777777" w:rsidR="00AB6753" w:rsidRDefault="00AB6753" w:rsidP="002D1EA4">
            <w:pPr>
              <w:spacing w:after="0"/>
              <w:jc w:val="center"/>
              <w:rPr>
                <w:rFonts w:cs="Arial"/>
                <w:sz w:val="18"/>
                <w:szCs w:val="18"/>
              </w:rPr>
            </w:pPr>
            <w:r>
              <w:rPr>
                <w:rFonts w:cs="Arial"/>
                <w:sz w:val="18"/>
                <w:szCs w:val="18"/>
              </w:rPr>
              <w:t>3.2A</w:t>
            </w:r>
          </w:p>
        </w:tc>
        <w:tc>
          <w:tcPr>
            <w:tcW w:w="1261" w:type="dxa"/>
            <w:tcBorders>
              <w:top w:val="nil"/>
              <w:left w:val="nil"/>
              <w:bottom w:val="nil"/>
              <w:right w:val="nil"/>
            </w:tcBorders>
            <w:shd w:val="clear" w:color="FFFFFF" w:fill="FFFFFF"/>
            <w:noWrap/>
            <w:vAlign w:val="bottom"/>
            <w:hideMark/>
          </w:tcPr>
          <w:p w14:paraId="407F53CA" w14:textId="77777777" w:rsidR="00AB6753" w:rsidRDefault="00AB6753" w:rsidP="002D1EA4">
            <w:pPr>
              <w:spacing w:after="0"/>
              <w:jc w:val="right"/>
              <w:rPr>
                <w:rFonts w:cs="Arial"/>
                <w:b/>
                <w:bCs/>
                <w:sz w:val="18"/>
                <w:szCs w:val="18"/>
              </w:rPr>
            </w:pPr>
            <w:r>
              <w:rPr>
                <w:rFonts w:cs="Arial"/>
                <w:b/>
                <w:bCs/>
                <w:sz w:val="18"/>
                <w:szCs w:val="18"/>
              </w:rPr>
              <w:t>73,225</w:t>
            </w:r>
          </w:p>
        </w:tc>
        <w:tc>
          <w:tcPr>
            <w:tcW w:w="268" w:type="dxa"/>
            <w:tcBorders>
              <w:top w:val="nil"/>
              <w:left w:val="nil"/>
              <w:bottom w:val="nil"/>
              <w:right w:val="nil"/>
            </w:tcBorders>
            <w:shd w:val="clear" w:color="FFFFFF" w:fill="FFFFFF"/>
            <w:noWrap/>
            <w:vAlign w:val="bottom"/>
            <w:hideMark/>
          </w:tcPr>
          <w:p w14:paraId="6FBE47DE"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71D80788" w14:textId="77777777" w:rsidR="00AB6753" w:rsidRDefault="00AB6753" w:rsidP="002D1EA4">
            <w:pPr>
              <w:spacing w:after="0"/>
              <w:jc w:val="right"/>
              <w:rPr>
                <w:rFonts w:cs="Arial"/>
                <w:sz w:val="18"/>
                <w:szCs w:val="18"/>
              </w:rPr>
            </w:pPr>
            <w:r>
              <w:rPr>
                <w:rFonts w:cs="Arial"/>
                <w:sz w:val="18"/>
                <w:szCs w:val="18"/>
              </w:rPr>
              <w:t>95,906</w:t>
            </w:r>
          </w:p>
        </w:tc>
        <w:tc>
          <w:tcPr>
            <w:tcW w:w="268" w:type="dxa"/>
            <w:tcBorders>
              <w:top w:val="nil"/>
              <w:left w:val="nil"/>
              <w:bottom w:val="nil"/>
              <w:right w:val="nil"/>
            </w:tcBorders>
            <w:shd w:val="clear" w:color="FFFFFF" w:fill="FFFFFF"/>
            <w:noWrap/>
            <w:vAlign w:val="bottom"/>
            <w:hideMark/>
          </w:tcPr>
          <w:p w14:paraId="07A5DE3A"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014B0741" w14:textId="77777777" w:rsidR="00AB6753" w:rsidRDefault="00AB6753" w:rsidP="002D1EA4">
            <w:pPr>
              <w:spacing w:after="0"/>
              <w:jc w:val="right"/>
              <w:rPr>
                <w:rFonts w:cs="Arial"/>
                <w:sz w:val="18"/>
                <w:szCs w:val="18"/>
              </w:rPr>
            </w:pPr>
            <w:r>
              <w:rPr>
                <w:rFonts w:cs="Arial"/>
                <w:sz w:val="18"/>
                <w:szCs w:val="18"/>
              </w:rPr>
              <w:t xml:space="preserve">78,883 </w:t>
            </w:r>
          </w:p>
        </w:tc>
      </w:tr>
      <w:tr w:rsidR="00AB6753" w14:paraId="4FF59DF4" w14:textId="77777777" w:rsidTr="002D1EA4">
        <w:trPr>
          <w:trHeight w:val="255"/>
        </w:trPr>
        <w:tc>
          <w:tcPr>
            <w:tcW w:w="3952" w:type="dxa"/>
            <w:tcBorders>
              <w:top w:val="nil"/>
              <w:left w:val="nil"/>
              <w:bottom w:val="nil"/>
              <w:right w:val="nil"/>
            </w:tcBorders>
            <w:shd w:val="clear" w:color="FFFFFF" w:fill="FFFFFF"/>
            <w:vAlign w:val="bottom"/>
            <w:hideMark/>
          </w:tcPr>
          <w:p w14:paraId="66E2FD9B" w14:textId="77777777" w:rsidR="00AB6753" w:rsidRDefault="00AB6753" w:rsidP="002D1EA4">
            <w:pPr>
              <w:spacing w:after="0"/>
              <w:rPr>
                <w:rFonts w:cs="Arial"/>
                <w:sz w:val="18"/>
                <w:szCs w:val="18"/>
              </w:rPr>
            </w:pPr>
            <w:r>
              <w:rPr>
                <w:rFonts w:cs="Arial"/>
                <w:sz w:val="18"/>
                <w:szCs w:val="18"/>
              </w:rPr>
              <w:t>Finance costs</w:t>
            </w:r>
          </w:p>
        </w:tc>
        <w:tc>
          <w:tcPr>
            <w:tcW w:w="1261" w:type="dxa"/>
            <w:tcBorders>
              <w:top w:val="nil"/>
              <w:left w:val="nil"/>
              <w:bottom w:val="nil"/>
              <w:right w:val="nil"/>
            </w:tcBorders>
            <w:shd w:val="clear" w:color="FFFFFF" w:fill="FFFFFF"/>
            <w:noWrap/>
            <w:vAlign w:val="bottom"/>
            <w:hideMark/>
          </w:tcPr>
          <w:p w14:paraId="2D2812E1" w14:textId="77777777" w:rsidR="00AB6753" w:rsidRDefault="00AB6753" w:rsidP="002D1EA4">
            <w:pPr>
              <w:spacing w:after="0"/>
              <w:jc w:val="center"/>
              <w:rPr>
                <w:rFonts w:cs="Arial"/>
                <w:sz w:val="18"/>
                <w:szCs w:val="18"/>
              </w:rPr>
            </w:pPr>
            <w:r>
              <w:rPr>
                <w:rFonts w:cs="Arial"/>
                <w:sz w:val="18"/>
                <w:szCs w:val="18"/>
              </w:rPr>
              <w:t>1.1C</w:t>
            </w:r>
          </w:p>
        </w:tc>
        <w:tc>
          <w:tcPr>
            <w:tcW w:w="1261" w:type="dxa"/>
            <w:tcBorders>
              <w:top w:val="nil"/>
              <w:left w:val="nil"/>
              <w:bottom w:val="nil"/>
              <w:right w:val="nil"/>
            </w:tcBorders>
            <w:shd w:val="clear" w:color="FFFFFF" w:fill="FFFFFF"/>
            <w:noWrap/>
            <w:vAlign w:val="bottom"/>
            <w:hideMark/>
          </w:tcPr>
          <w:p w14:paraId="756906F8" w14:textId="77777777" w:rsidR="00AB6753" w:rsidRDefault="00AB6753" w:rsidP="002D1EA4">
            <w:pPr>
              <w:spacing w:after="0"/>
              <w:jc w:val="right"/>
              <w:rPr>
                <w:rFonts w:cs="Arial"/>
                <w:b/>
                <w:bCs/>
                <w:sz w:val="18"/>
                <w:szCs w:val="18"/>
              </w:rPr>
            </w:pPr>
            <w:r>
              <w:rPr>
                <w:rFonts w:cs="Arial"/>
                <w:b/>
                <w:bCs/>
                <w:sz w:val="18"/>
                <w:szCs w:val="18"/>
              </w:rPr>
              <w:t>8,487</w:t>
            </w:r>
          </w:p>
        </w:tc>
        <w:tc>
          <w:tcPr>
            <w:tcW w:w="268" w:type="dxa"/>
            <w:tcBorders>
              <w:top w:val="nil"/>
              <w:left w:val="nil"/>
              <w:bottom w:val="nil"/>
              <w:right w:val="nil"/>
            </w:tcBorders>
            <w:shd w:val="clear" w:color="FFFFFF" w:fill="FFFFFF"/>
            <w:noWrap/>
            <w:vAlign w:val="bottom"/>
            <w:hideMark/>
          </w:tcPr>
          <w:p w14:paraId="593D5200"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207FB839" w14:textId="77777777" w:rsidR="00AB6753" w:rsidRDefault="00AB6753" w:rsidP="002D1EA4">
            <w:pPr>
              <w:spacing w:after="0"/>
              <w:jc w:val="right"/>
              <w:rPr>
                <w:rFonts w:cs="Arial"/>
                <w:sz w:val="18"/>
                <w:szCs w:val="18"/>
              </w:rPr>
            </w:pPr>
            <w:r>
              <w:rPr>
                <w:rFonts w:cs="Arial"/>
                <w:sz w:val="18"/>
                <w:szCs w:val="18"/>
              </w:rPr>
              <w:t>17</w:t>
            </w:r>
          </w:p>
        </w:tc>
        <w:tc>
          <w:tcPr>
            <w:tcW w:w="268" w:type="dxa"/>
            <w:tcBorders>
              <w:top w:val="nil"/>
              <w:left w:val="nil"/>
              <w:bottom w:val="nil"/>
              <w:right w:val="nil"/>
            </w:tcBorders>
            <w:shd w:val="clear" w:color="FFFFFF" w:fill="FFFFFF"/>
            <w:noWrap/>
            <w:vAlign w:val="bottom"/>
            <w:hideMark/>
          </w:tcPr>
          <w:p w14:paraId="5ECB1D99"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313B6DF2" w14:textId="77777777" w:rsidR="00AB6753" w:rsidRDefault="00AB6753" w:rsidP="002D1EA4">
            <w:pPr>
              <w:spacing w:after="0"/>
              <w:jc w:val="right"/>
              <w:rPr>
                <w:rFonts w:cs="Arial"/>
                <w:sz w:val="18"/>
                <w:szCs w:val="18"/>
              </w:rPr>
            </w:pPr>
            <w:r>
              <w:rPr>
                <w:rFonts w:cs="Arial"/>
                <w:sz w:val="18"/>
                <w:szCs w:val="18"/>
              </w:rPr>
              <w:t xml:space="preserve">8,647 </w:t>
            </w:r>
          </w:p>
        </w:tc>
      </w:tr>
      <w:tr w:rsidR="00AB6753" w14:paraId="7536C4E3" w14:textId="77777777" w:rsidTr="002D1EA4">
        <w:trPr>
          <w:trHeight w:val="293"/>
        </w:trPr>
        <w:tc>
          <w:tcPr>
            <w:tcW w:w="3952" w:type="dxa"/>
            <w:tcBorders>
              <w:top w:val="nil"/>
              <w:left w:val="nil"/>
              <w:bottom w:val="nil"/>
              <w:right w:val="nil"/>
            </w:tcBorders>
            <w:shd w:val="clear" w:color="FFFFFF" w:fill="FFFFFF"/>
            <w:vAlign w:val="bottom"/>
            <w:hideMark/>
          </w:tcPr>
          <w:p w14:paraId="1CB96698" w14:textId="77777777" w:rsidR="00AB6753" w:rsidRDefault="00AB6753" w:rsidP="002D1EA4">
            <w:pPr>
              <w:spacing w:after="0"/>
              <w:rPr>
                <w:rFonts w:cs="Arial"/>
                <w:sz w:val="18"/>
                <w:szCs w:val="18"/>
              </w:rPr>
            </w:pPr>
            <w:r>
              <w:rPr>
                <w:rFonts w:cs="Arial"/>
                <w:sz w:val="18"/>
                <w:szCs w:val="18"/>
              </w:rPr>
              <w:t>Impairment loss on financial instruments</w:t>
            </w:r>
          </w:p>
        </w:tc>
        <w:tc>
          <w:tcPr>
            <w:tcW w:w="1261" w:type="dxa"/>
            <w:tcBorders>
              <w:top w:val="nil"/>
              <w:left w:val="nil"/>
              <w:bottom w:val="nil"/>
              <w:right w:val="nil"/>
            </w:tcBorders>
            <w:shd w:val="clear" w:color="FFFFFF" w:fill="FFFFFF"/>
            <w:noWrap/>
            <w:vAlign w:val="bottom"/>
            <w:hideMark/>
          </w:tcPr>
          <w:p w14:paraId="0FA19D9A"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4627E241" w14:textId="77777777" w:rsidR="00AB6753" w:rsidRDefault="00AB6753" w:rsidP="002D1EA4">
            <w:pPr>
              <w:spacing w:after="0"/>
              <w:jc w:val="right"/>
              <w:rPr>
                <w:rFonts w:cs="Arial"/>
                <w:b/>
                <w:bCs/>
                <w:sz w:val="18"/>
                <w:szCs w:val="18"/>
              </w:rPr>
            </w:pPr>
            <w:r>
              <w:rPr>
                <w:rFonts w:cs="Arial"/>
                <w:b/>
                <w:bCs/>
                <w:sz w:val="18"/>
                <w:szCs w:val="18"/>
              </w:rPr>
              <w:t>41</w:t>
            </w:r>
          </w:p>
        </w:tc>
        <w:tc>
          <w:tcPr>
            <w:tcW w:w="268" w:type="dxa"/>
            <w:tcBorders>
              <w:top w:val="nil"/>
              <w:left w:val="nil"/>
              <w:bottom w:val="nil"/>
              <w:right w:val="nil"/>
            </w:tcBorders>
            <w:shd w:val="clear" w:color="FFFFFF" w:fill="FFFFFF"/>
            <w:noWrap/>
            <w:vAlign w:val="bottom"/>
            <w:hideMark/>
          </w:tcPr>
          <w:p w14:paraId="031FB221"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72015FA5" w14:textId="77777777" w:rsidR="00AB6753" w:rsidRDefault="00AB6753" w:rsidP="002D1EA4">
            <w:pPr>
              <w:spacing w:after="0"/>
              <w:jc w:val="right"/>
              <w:rPr>
                <w:rFonts w:cs="Arial"/>
                <w:sz w:val="18"/>
                <w:szCs w:val="18"/>
              </w:rPr>
            </w:pPr>
            <w:r>
              <w:rPr>
                <w:rFonts w:cs="Arial"/>
                <w:sz w:val="18"/>
                <w:szCs w:val="18"/>
              </w:rPr>
              <w:t>24</w:t>
            </w:r>
          </w:p>
        </w:tc>
        <w:tc>
          <w:tcPr>
            <w:tcW w:w="268" w:type="dxa"/>
            <w:tcBorders>
              <w:top w:val="nil"/>
              <w:left w:val="nil"/>
              <w:bottom w:val="nil"/>
              <w:right w:val="nil"/>
            </w:tcBorders>
            <w:shd w:val="clear" w:color="FFFFFF" w:fill="FFFFFF"/>
            <w:noWrap/>
            <w:vAlign w:val="bottom"/>
            <w:hideMark/>
          </w:tcPr>
          <w:p w14:paraId="39BF3DF9"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78B93BC4"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22D3F389" w14:textId="77777777" w:rsidTr="002D1EA4">
        <w:trPr>
          <w:trHeight w:val="255"/>
        </w:trPr>
        <w:tc>
          <w:tcPr>
            <w:tcW w:w="3952" w:type="dxa"/>
            <w:tcBorders>
              <w:top w:val="nil"/>
              <w:left w:val="nil"/>
              <w:bottom w:val="nil"/>
              <w:right w:val="nil"/>
            </w:tcBorders>
            <w:shd w:val="clear" w:color="FFFFFF" w:fill="FFFFFF"/>
            <w:vAlign w:val="bottom"/>
            <w:hideMark/>
          </w:tcPr>
          <w:p w14:paraId="512C2DE0" w14:textId="77777777" w:rsidR="00AB6753" w:rsidRDefault="00AB6753" w:rsidP="002D1EA4">
            <w:pPr>
              <w:spacing w:after="0"/>
              <w:rPr>
                <w:rFonts w:cs="Arial"/>
                <w:sz w:val="18"/>
                <w:szCs w:val="18"/>
              </w:rPr>
            </w:pPr>
            <w:r>
              <w:rPr>
                <w:rFonts w:cs="Arial"/>
                <w:sz w:val="18"/>
                <w:szCs w:val="18"/>
              </w:rPr>
              <w:t>Write-down and impairment of other assets</w:t>
            </w:r>
          </w:p>
        </w:tc>
        <w:tc>
          <w:tcPr>
            <w:tcW w:w="1261" w:type="dxa"/>
            <w:tcBorders>
              <w:top w:val="nil"/>
              <w:left w:val="nil"/>
              <w:bottom w:val="nil"/>
              <w:right w:val="nil"/>
            </w:tcBorders>
            <w:shd w:val="clear" w:color="FFFFFF" w:fill="FFFFFF"/>
            <w:noWrap/>
            <w:vAlign w:val="bottom"/>
            <w:hideMark/>
          </w:tcPr>
          <w:p w14:paraId="26E8DC7E" w14:textId="77777777" w:rsidR="00AB6753" w:rsidRDefault="00AB6753" w:rsidP="002D1EA4">
            <w:pPr>
              <w:spacing w:after="0"/>
              <w:jc w:val="center"/>
              <w:rPr>
                <w:rFonts w:cs="Arial"/>
                <w:sz w:val="18"/>
                <w:szCs w:val="18"/>
              </w:rPr>
            </w:pPr>
            <w:r>
              <w:rPr>
                <w:rFonts w:cs="Arial"/>
                <w:sz w:val="18"/>
                <w:szCs w:val="18"/>
              </w:rPr>
              <w:t>3.2A</w:t>
            </w:r>
          </w:p>
        </w:tc>
        <w:tc>
          <w:tcPr>
            <w:tcW w:w="1261" w:type="dxa"/>
            <w:tcBorders>
              <w:top w:val="nil"/>
              <w:left w:val="nil"/>
              <w:bottom w:val="nil"/>
              <w:right w:val="nil"/>
            </w:tcBorders>
            <w:shd w:val="clear" w:color="FFFFFF" w:fill="FFFFFF"/>
            <w:noWrap/>
            <w:vAlign w:val="bottom"/>
            <w:hideMark/>
          </w:tcPr>
          <w:p w14:paraId="4E5F99C0" w14:textId="77777777" w:rsidR="00AB6753" w:rsidRDefault="00AB6753" w:rsidP="002D1EA4">
            <w:pPr>
              <w:spacing w:after="0"/>
              <w:jc w:val="right"/>
              <w:rPr>
                <w:rFonts w:cs="Arial"/>
                <w:b/>
                <w:bCs/>
                <w:sz w:val="18"/>
                <w:szCs w:val="18"/>
              </w:rPr>
            </w:pPr>
            <w:r>
              <w:rPr>
                <w:rFonts w:cs="Arial"/>
                <w:b/>
                <w:bCs/>
                <w:sz w:val="18"/>
                <w:szCs w:val="18"/>
              </w:rPr>
              <w:t>1,083</w:t>
            </w:r>
          </w:p>
        </w:tc>
        <w:tc>
          <w:tcPr>
            <w:tcW w:w="268" w:type="dxa"/>
            <w:tcBorders>
              <w:top w:val="nil"/>
              <w:left w:val="nil"/>
              <w:bottom w:val="nil"/>
              <w:right w:val="nil"/>
            </w:tcBorders>
            <w:shd w:val="clear" w:color="FFFFFF" w:fill="FFFFFF"/>
            <w:noWrap/>
            <w:vAlign w:val="bottom"/>
            <w:hideMark/>
          </w:tcPr>
          <w:p w14:paraId="449A3BA2"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6BEE8A5E" w14:textId="77777777" w:rsidR="00AB6753" w:rsidRDefault="00AB6753" w:rsidP="002D1EA4">
            <w:pPr>
              <w:spacing w:after="0"/>
              <w:jc w:val="right"/>
              <w:rPr>
                <w:rFonts w:cs="Arial"/>
                <w:sz w:val="18"/>
                <w:szCs w:val="18"/>
              </w:rPr>
            </w:pPr>
            <w:r>
              <w:rPr>
                <w:rFonts w:cs="Arial"/>
                <w:sz w:val="18"/>
                <w:szCs w:val="18"/>
              </w:rPr>
              <w:t>1,837</w:t>
            </w:r>
          </w:p>
        </w:tc>
        <w:tc>
          <w:tcPr>
            <w:tcW w:w="268" w:type="dxa"/>
            <w:tcBorders>
              <w:top w:val="nil"/>
              <w:left w:val="nil"/>
              <w:bottom w:val="nil"/>
              <w:right w:val="nil"/>
            </w:tcBorders>
            <w:shd w:val="clear" w:color="FFFFFF" w:fill="FFFFFF"/>
            <w:noWrap/>
            <w:vAlign w:val="bottom"/>
            <w:hideMark/>
          </w:tcPr>
          <w:p w14:paraId="393F3428"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48C0ADAF"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246593C6" w14:textId="77777777" w:rsidTr="002D1EA4">
        <w:trPr>
          <w:trHeight w:val="255"/>
        </w:trPr>
        <w:tc>
          <w:tcPr>
            <w:tcW w:w="3952" w:type="dxa"/>
            <w:tcBorders>
              <w:top w:val="nil"/>
              <w:left w:val="nil"/>
              <w:bottom w:val="nil"/>
              <w:right w:val="nil"/>
            </w:tcBorders>
            <w:shd w:val="clear" w:color="FFFFFF" w:fill="FFFFFF"/>
            <w:vAlign w:val="bottom"/>
            <w:hideMark/>
          </w:tcPr>
          <w:p w14:paraId="383283E5" w14:textId="77777777" w:rsidR="00AB6753" w:rsidRDefault="00AB6753" w:rsidP="002D1EA4">
            <w:pPr>
              <w:spacing w:after="0"/>
              <w:rPr>
                <w:rFonts w:cs="Arial"/>
                <w:sz w:val="18"/>
                <w:szCs w:val="18"/>
              </w:rPr>
            </w:pPr>
            <w:r>
              <w:rPr>
                <w:rFonts w:cs="Arial"/>
                <w:sz w:val="18"/>
                <w:szCs w:val="18"/>
              </w:rPr>
              <w:t>Payments for service delivery</w:t>
            </w:r>
          </w:p>
        </w:tc>
        <w:tc>
          <w:tcPr>
            <w:tcW w:w="1261" w:type="dxa"/>
            <w:tcBorders>
              <w:top w:val="nil"/>
              <w:left w:val="nil"/>
              <w:bottom w:val="nil"/>
              <w:right w:val="nil"/>
            </w:tcBorders>
            <w:shd w:val="clear" w:color="FFFFFF" w:fill="FFFFFF"/>
            <w:noWrap/>
            <w:vAlign w:val="bottom"/>
            <w:hideMark/>
          </w:tcPr>
          <w:p w14:paraId="04FAB9B8"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21B36CEF" w14:textId="77777777" w:rsidR="00AB6753" w:rsidRDefault="00AB6753" w:rsidP="002D1EA4">
            <w:pPr>
              <w:spacing w:after="0"/>
              <w:jc w:val="right"/>
              <w:rPr>
                <w:rFonts w:cs="Arial"/>
                <w:b/>
                <w:bCs/>
                <w:sz w:val="18"/>
                <w:szCs w:val="18"/>
              </w:rPr>
            </w:pPr>
            <w:r>
              <w:rPr>
                <w:rFonts w:cs="Arial"/>
                <w:b/>
                <w:bCs/>
                <w:sz w:val="18"/>
                <w:szCs w:val="18"/>
              </w:rPr>
              <w:t>152</w:t>
            </w:r>
          </w:p>
        </w:tc>
        <w:tc>
          <w:tcPr>
            <w:tcW w:w="268" w:type="dxa"/>
            <w:tcBorders>
              <w:top w:val="nil"/>
              <w:left w:val="nil"/>
              <w:bottom w:val="nil"/>
              <w:right w:val="nil"/>
            </w:tcBorders>
            <w:shd w:val="clear" w:color="FFFFFF" w:fill="FFFFFF"/>
            <w:noWrap/>
            <w:vAlign w:val="bottom"/>
            <w:hideMark/>
          </w:tcPr>
          <w:p w14:paraId="7B66E34A"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352A7F40" w14:textId="77777777" w:rsidR="00AB6753" w:rsidRDefault="00AB6753" w:rsidP="002D1EA4">
            <w:pPr>
              <w:spacing w:after="0"/>
              <w:jc w:val="right"/>
              <w:rPr>
                <w:rFonts w:cs="Arial"/>
                <w:sz w:val="18"/>
                <w:szCs w:val="18"/>
              </w:rPr>
            </w:pPr>
            <w:r>
              <w:rPr>
                <w:rFonts w:cs="Arial"/>
                <w:sz w:val="18"/>
                <w:szCs w:val="18"/>
              </w:rPr>
              <w:t>151</w:t>
            </w:r>
          </w:p>
        </w:tc>
        <w:tc>
          <w:tcPr>
            <w:tcW w:w="268" w:type="dxa"/>
            <w:tcBorders>
              <w:top w:val="nil"/>
              <w:left w:val="nil"/>
              <w:bottom w:val="nil"/>
              <w:right w:val="nil"/>
            </w:tcBorders>
            <w:shd w:val="clear" w:color="FFFFFF" w:fill="FFFFFF"/>
            <w:noWrap/>
            <w:vAlign w:val="bottom"/>
            <w:hideMark/>
          </w:tcPr>
          <w:p w14:paraId="3A608D59"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251B53AB"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116C92B8" w14:textId="77777777" w:rsidTr="002D1EA4">
        <w:trPr>
          <w:trHeight w:val="255"/>
        </w:trPr>
        <w:tc>
          <w:tcPr>
            <w:tcW w:w="3952" w:type="dxa"/>
            <w:tcBorders>
              <w:top w:val="nil"/>
              <w:left w:val="nil"/>
              <w:bottom w:val="nil"/>
              <w:right w:val="nil"/>
            </w:tcBorders>
            <w:shd w:val="clear" w:color="FFFFFF" w:fill="FFFFFF"/>
            <w:vAlign w:val="bottom"/>
            <w:hideMark/>
          </w:tcPr>
          <w:p w14:paraId="67E2E5CC" w14:textId="77777777" w:rsidR="00AB6753" w:rsidRDefault="00AB6753" w:rsidP="002D1EA4">
            <w:pPr>
              <w:spacing w:after="0"/>
              <w:rPr>
                <w:rFonts w:cs="Arial"/>
                <w:sz w:val="18"/>
                <w:szCs w:val="18"/>
              </w:rPr>
            </w:pPr>
            <w:r>
              <w:rPr>
                <w:rFonts w:cs="Arial"/>
                <w:sz w:val="18"/>
                <w:szCs w:val="18"/>
              </w:rPr>
              <w:t>Other expenses</w:t>
            </w:r>
          </w:p>
        </w:tc>
        <w:tc>
          <w:tcPr>
            <w:tcW w:w="1261" w:type="dxa"/>
            <w:tcBorders>
              <w:top w:val="nil"/>
              <w:left w:val="nil"/>
              <w:bottom w:val="nil"/>
              <w:right w:val="nil"/>
            </w:tcBorders>
            <w:shd w:val="clear" w:color="FFFFFF" w:fill="FFFFFF"/>
            <w:noWrap/>
            <w:vAlign w:val="bottom"/>
            <w:hideMark/>
          </w:tcPr>
          <w:p w14:paraId="0696BF45"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60346CB7" w14:textId="77777777" w:rsidR="00AB6753" w:rsidRDefault="00AB6753" w:rsidP="002D1EA4">
            <w:pPr>
              <w:spacing w:after="0"/>
              <w:jc w:val="right"/>
              <w:rPr>
                <w:rFonts w:cs="Arial"/>
                <w:b/>
                <w:bCs/>
                <w:sz w:val="18"/>
                <w:szCs w:val="18"/>
              </w:rPr>
            </w:pPr>
            <w:r>
              <w:rPr>
                <w:rFonts w:cs="Arial"/>
                <w:b/>
                <w:bCs/>
                <w:sz w:val="18"/>
                <w:szCs w:val="18"/>
              </w:rPr>
              <w:t>5,041</w:t>
            </w:r>
          </w:p>
        </w:tc>
        <w:tc>
          <w:tcPr>
            <w:tcW w:w="268" w:type="dxa"/>
            <w:tcBorders>
              <w:top w:val="nil"/>
              <w:left w:val="nil"/>
              <w:bottom w:val="nil"/>
              <w:right w:val="nil"/>
            </w:tcBorders>
            <w:shd w:val="clear" w:color="FFFFFF" w:fill="FFFFFF"/>
            <w:noWrap/>
            <w:vAlign w:val="bottom"/>
            <w:hideMark/>
          </w:tcPr>
          <w:p w14:paraId="563BA097"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488CA137" w14:textId="77777777" w:rsidR="00AB6753" w:rsidRDefault="00AB6753" w:rsidP="002D1EA4">
            <w:pPr>
              <w:spacing w:after="0"/>
              <w:jc w:val="right"/>
              <w:rPr>
                <w:rFonts w:cs="Arial"/>
                <w:sz w:val="18"/>
                <w:szCs w:val="18"/>
              </w:rPr>
            </w:pPr>
            <w:r>
              <w:rPr>
                <w:rFonts w:cs="Arial"/>
                <w:sz w:val="18"/>
                <w:szCs w:val="18"/>
              </w:rPr>
              <w:t>239</w:t>
            </w:r>
          </w:p>
        </w:tc>
        <w:tc>
          <w:tcPr>
            <w:tcW w:w="268" w:type="dxa"/>
            <w:tcBorders>
              <w:top w:val="nil"/>
              <w:left w:val="nil"/>
              <w:bottom w:val="nil"/>
              <w:right w:val="nil"/>
            </w:tcBorders>
            <w:shd w:val="clear" w:color="FFFFFF" w:fill="FFFFFF"/>
            <w:noWrap/>
            <w:vAlign w:val="bottom"/>
            <w:hideMark/>
          </w:tcPr>
          <w:p w14:paraId="56118515"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792B691E" w14:textId="77777777" w:rsidR="00AB6753" w:rsidRDefault="00AB6753" w:rsidP="002D1EA4">
            <w:pPr>
              <w:spacing w:after="0"/>
              <w:jc w:val="right"/>
              <w:rPr>
                <w:rFonts w:cs="Arial"/>
                <w:sz w:val="18"/>
                <w:szCs w:val="18"/>
              </w:rPr>
            </w:pPr>
            <w:r>
              <w:rPr>
                <w:rFonts w:cs="Arial"/>
                <w:sz w:val="18"/>
                <w:szCs w:val="18"/>
              </w:rPr>
              <w:t xml:space="preserve">500 </w:t>
            </w:r>
          </w:p>
        </w:tc>
      </w:tr>
      <w:tr w:rsidR="00AB6753" w14:paraId="77BD549A" w14:textId="77777777" w:rsidTr="002D1EA4">
        <w:trPr>
          <w:trHeight w:val="77"/>
        </w:trPr>
        <w:tc>
          <w:tcPr>
            <w:tcW w:w="3952" w:type="dxa"/>
            <w:tcBorders>
              <w:top w:val="nil"/>
              <w:left w:val="nil"/>
              <w:bottom w:val="nil"/>
              <w:right w:val="nil"/>
            </w:tcBorders>
            <w:shd w:val="clear" w:color="FFFFFF" w:fill="FFFFFF"/>
            <w:vAlign w:val="bottom"/>
            <w:hideMark/>
          </w:tcPr>
          <w:p w14:paraId="0D456933" w14:textId="77777777" w:rsidR="00AB6753" w:rsidRDefault="00AB6753" w:rsidP="002D1EA4">
            <w:pPr>
              <w:spacing w:after="0"/>
              <w:rPr>
                <w:rFonts w:cs="Arial"/>
                <w:b/>
                <w:bCs/>
                <w:sz w:val="18"/>
                <w:szCs w:val="18"/>
              </w:rPr>
            </w:pPr>
            <w:r>
              <w:rPr>
                <w:rFonts w:cs="Arial"/>
                <w:b/>
                <w:bCs/>
                <w:sz w:val="18"/>
                <w:szCs w:val="18"/>
              </w:rPr>
              <w:t>Total expenses</w:t>
            </w:r>
          </w:p>
        </w:tc>
        <w:tc>
          <w:tcPr>
            <w:tcW w:w="1261" w:type="dxa"/>
            <w:tcBorders>
              <w:top w:val="nil"/>
              <w:left w:val="nil"/>
              <w:bottom w:val="nil"/>
              <w:right w:val="nil"/>
            </w:tcBorders>
            <w:shd w:val="clear" w:color="FFFFFF" w:fill="FFFFFF"/>
            <w:noWrap/>
            <w:vAlign w:val="bottom"/>
            <w:hideMark/>
          </w:tcPr>
          <w:p w14:paraId="3AE18086"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single" w:sz="4" w:space="0" w:color="auto"/>
              <w:left w:val="nil"/>
              <w:bottom w:val="single" w:sz="4" w:space="0" w:color="auto"/>
              <w:right w:val="nil"/>
            </w:tcBorders>
            <w:shd w:val="clear" w:color="FFFFFF" w:fill="FFFFFF"/>
            <w:noWrap/>
            <w:vAlign w:val="bottom"/>
            <w:hideMark/>
          </w:tcPr>
          <w:p w14:paraId="780C7AF4" w14:textId="77777777" w:rsidR="00AB6753" w:rsidRDefault="00AB6753" w:rsidP="002D1EA4">
            <w:pPr>
              <w:spacing w:after="0"/>
              <w:jc w:val="right"/>
              <w:rPr>
                <w:rFonts w:cs="Arial"/>
                <w:b/>
                <w:bCs/>
                <w:sz w:val="18"/>
                <w:szCs w:val="18"/>
              </w:rPr>
            </w:pPr>
            <w:r>
              <w:rPr>
                <w:rFonts w:cs="Arial"/>
                <w:b/>
                <w:bCs/>
                <w:sz w:val="18"/>
                <w:szCs w:val="18"/>
              </w:rPr>
              <w:t>522,858</w:t>
            </w:r>
          </w:p>
        </w:tc>
        <w:tc>
          <w:tcPr>
            <w:tcW w:w="268" w:type="dxa"/>
            <w:tcBorders>
              <w:top w:val="nil"/>
              <w:left w:val="nil"/>
              <w:bottom w:val="nil"/>
              <w:right w:val="nil"/>
            </w:tcBorders>
            <w:shd w:val="clear" w:color="FFFFFF" w:fill="FFFFFF"/>
            <w:noWrap/>
            <w:vAlign w:val="bottom"/>
            <w:hideMark/>
          </w:tcPr>
          <w:p w14:paraId="11D5E086" w14:textId="77777777" w:rsidR="00AB6753" w:rsidRDefault="00AB6753" w:rsidP="002D1EA4">
            <w:pPr>
              <w:spacing w:after="0"/>
              <w:rPr>
                <w:rFonts w:cs="Arial"/>
                <w:sz w:val="18"/>
                <w:szCs w:val="18"/>
              </w:rPr>
            </w:pPr>
            <w:r>
              <w:rPr>
                <w:rFonts w:cs="Arial"/>
                <w:sz w:val="18"/>
                <w:szCs w:val="18"/>
              </w:rPr>
              <w:t> </w:t>
            </w:r>
          </w:p>
        </w:tc>
        <w:tc>
          <w:tcPr>
            <w:tcW w:w="1261" w:type="dxa"/>
            <w:tcBorders>
              <w:top w:val="single" w:sz="4" w:space="0" w:color="auto"/>
              <w:left w:val="nil"/>
              <w:bottom w:val="single" w:sz="4" w:space="0" w:color="auto"/>
              <w:right w:val="nil"/>
            </w:tcBorders>
            <w:shd w:val="clear" w:color="FFFFFF" w:fill="FFFFFF"/>
            <w:noWrap/>
            <w:vAlign w:val="bottom"/>
            <w:hideMark/>
          </w:tcPr>
          <w:p w14:paraId="55132E26" w14:textId="77777777" w:rsidR="00AB6753" w:rsidRDefault="00AB6753" w:rsidP="002D1EA4">
            <w:pPr>
              <w:spacing w:after="0"/>
              <w:jc w:val="right"/>
              <w:rPr>
                <w:rFonts w:cs="Arial"/>
                <w:sz w:val="18"/>
                <w:szCs w:val="18"/>
              </w:rPr>
            </w:pPr>
            <w:r>
              <w:rPr>
                <w:rFonts w:cs="Arial"/>
                <w:sz w:val="18"/>
                <w:szCs w:val="18"/>
              </w:rPr>
              <w:t>574,372</w:t>
            </w:r>
          </w:p>
        </w:tc>
        <w:tc>
          <w:tcPr>
            <w:tcW w:w="268" w:type="dxa"/>
            <w:tcBorders>
              <w:top w:val="nil"/>
              <w:left w:val="nil"/>
              <w:bottom w:val="nil"/>
              <w:right w:val="nil"/>
            </w:tcBorders>
            <w:shd w:val="clear" w:color="FFFFFF" w:fill="FFFFFF"/>
            <w:noWrap/>
            <w:vAlign w:val="bottom"/>
            <w:hideMark/>
          </w:tcPr>
          <w:p w14:paraId="5BDE4DDB" w14:textId="77777777" w:rsidR="00AB6753" w:rsidRDefault="00AB6753" w:rsidP="002D1EA4">
            <w:pPr>
              <w:spacing w:after="0"/>
              <w:rPr>
                <w:rFonts w:cs="Arial"/>
                <w:sz w:val="18"/>
                <w:szCs w:val="18"/>
              </w:rPr>
            </w:pPr>
            <w:r>
              <w:rPr>
                <w:rFonts w:cs="Arial"/>
                <w:sz w:val="18"/>
                <w:szCs w:val="18"/>
              </w:rPr>
              <w:t> </w:t>
            </w:r>
          </w:p>
        </w:tc>
        <w:tc>
          <w:tcPr>
            <w:tcW w:w="1140" w:type="dxa"/>
            <w:tcBorders>
              <w:top w:val="single" w:sz="4" w:space="0" w:color="auto"/>
              <w:left w:val="nil"/>
              <w:bottom w:val="single" w:sz="4" w:space="0" w:color="auto"/>
              <w:right w:val="nil"/>
            </w:tcBorders>
            <w:shd w:val="clear" w:color="FFFFFF" w:fill="FFFFFF"/>
            <w:noWrap/>
            <w:vAlign w:val="bottom"/>
            <w:hideMark/>
          </w:tcPr>
          <w:p w14:paraId="7A5DB388" w14:textId="77777777" w:rsidR="00AB6753" w:rsidRDefault="00AB6753" w:rsidP="002D1EA4">
            <w:pPr>
              <w:spacing w:after="0"/>
              <w:jc w:val="right"/>
              <w:rPr>
                <w:rFonts w:cs="Arial"/>
                <w:sz w:val="18"/>
                <w:szCs w:val="18"/>
              </w:rPr>
            </w:pPr>
            <w:r>
              <w:rPr>
                <w:rFonts w:cs="Arial"/>
                <w:sz w:val="18"/>
                <w:szCs w:val="18"/>
              </w:rPr>
              <w:t>551,679</w:t>
            </w:r>
          </w:p>
        </w:tc>
      </w:tr>
      <w:tr w:rsidR="00AB6753" w14:paraId="60DA42AB" w14:textId="77777777" w:rsidTr="002D1EA4">
        <w:trPr>
          <w:trHeight w:val="255"/>
        </w:trPr>
        <w:tc>
          <w:tcPr>
            <w:tcW w:w="3952" w:type="dxa"/>
            <w:tcBorders>
              <w:top w:val="nil"/>
              <w:left w:val="nil"/>
              <w:bottom w:val="nil"/>
              <w:right w:val="nil"/>
            </w:tcBorders>
            <w:shd w:val="clear" w:color="FFFFFF" w:fill="FFFFFF"/>
            <w:vAlign w:val="bottom"/>
            <w:hideMark/>
          </w:tcPr>
          <w:p w14:paraId="35637CE0"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44BA6AA0"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3E996061" w14:textId="77777777" w:rsidR="00AB6753" w:rsidRDefault="00AB6753" w:rsidP="002D1EA4">
            <w:pPr>
              <w:spacing w:after="0"/>
              <w:jc w:val="right"/>
              <w:rPr>
                <w:rFonts w:cs="Arial"/>
                <w:b/>
                <w:bCs/>
                <w:sz w:val="18"/>
                <w:szCs w:val="18"/>
              </w:rPr>
            </w:pPr>
            <w:r>
              <w:rPr>
                <w:rFonts w:cs="Arial"/>
                <w:b/>
                <w:bCs/>
                <w:sz w:val="18"/>
                <w:szCs w:val="18"/>
              </w:rPr>
              <w:t> </w:t>
            </w:r>
          </w:p>
        </w:tc>
        <w:tc>
          <w:tcPr>
            <w:tcW w:w="268" w:type="dxa"/>
            <w:tcBorders>
              <w:top w:val="nil"/>
              <w:left w:val="nil"/>
              <w:bottom w:val="nil"/>
              <w:right w:val="nil"/>
            </w:tcBorders>
            <w:shd w:val="clear" w:color="FFFFFF" w:fill="FFFFFF"/>
            <w:noWrap/>
            <w:vAlign w:val="bottom"/>
            <w:hideMark/>
          </w:tcPr>
          <w:p w14:paraId="1D13446E"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0734E59D" w14:textId="77777777" w:rsidR="00AB6753" w:rsidRDefault="00AB6753" w:rsidP="002D1EA4">
            <w:pPr>
              <w:spacing w:after="0"/>
              <w:rPr>
                <w:rFonts w:cs="Arial"/>
                <w:sz w:val="18"/>
                <w:szCs w:val="18"/>
              </w:rPr>
            </w:pPr>
            <w:r>
              <w:rPr>
                <w:rFonts w:cs="Arial"/>
                <w:sz w:val="18"/>
                <w:szCs w:val="18"/>
              </w:rPr>
              <w:t> </w:t>
            </w:r>
          </w:p>
        </w:tc>
        <w:tc>
          <w:tcPr>
            <w:tcW w:w="268" w:type="dxa"/>
            <w:tcBorders>
              <w:top w:val="nil"/>
              <w:left w:val="nil"/>
              <w:bottom w:val="nil"/>
              <w:right w:val="nil"/>
            </w:tcBorders>
            <w:shd w:val="clear" w:color="FFFFFF" w:fill="FFFFFF"/>
            <w:noWrap/>
            <w:vAlign w:val="bottom"/>
            <w:hideMark/>
          </w:tcPr>
          <w:p w14:paraId="13596D9D"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68CECEA3" w14:textId="77777777" w:rsidR="00AB6753" w:rsidRDefault="00AB6753" w:rsidP="002D1EA4">
            <w:pPr>
              <w:spacing w:after="0"/>
              <w:rPr>
                <w:rFonts w:cs="Arial"/>
                <w:sz w:val="18"/>
                <w:szCs w:val="18"/>
              </w:rPr>
            </w:pPr>
            <w:r>
              <w:rPr>
                <w:rFonts w:cs="Arial"/>
                <w:sz w:val="18"/>
                <w:szCs w:val="18"/>
              </w:rPr>
              <w:t> </w:t>
            </w:r>
          </w:p>
        </w:tc>
      </w:tr>
      <w:tr w:rsidR="00AB6753" w14:paraId="71C658AF" w14:textId="77777777" w:rsidTr="002D1EA4">
        <w:trPr>
          <w:trHeight w:val="255"/>
        </w:trPr>
        <w:tc>
          <w:tcPr>
            <w:tcW w:w="3952" w:type="dxa"/>
            <w:tcBorders>
              <w:top w:val="nil"/>
              <w:left w:val="nil"/>
              <w:bottom w:val="nil"/>
              <w:right w:val="nil"/>
            </w:tcBorders>
            <w:shd w:val="clear" w:color="FFFFFF" w:fill="FFFFFF"/>
            <w:vAlign w:val="bottom"/>
            <w:hideMark/>
          </w:tcPr>
          <w:p w14:paraId="303C72D6" w14:textId="77777777" w:rsidR="00AB6753" w:rsidRDefault="00AB6753" w:rsidP="002D1EA4">
            <w:pPr>
              <w:spacing w:after="0"/>
              <w:rPr>
                <w:rFonts w:cs="Arial"/>
                <w:b/>
                <w:bCs/>
                <w:sz w:val="18"/>
                <w:szCs w:val="18"/>
              </w:rPr>
            </w:pPr>
            <w:r>
              <w:rPr>
                <w:rFonts w:cs="Arial"/>
                <w:b/>
                <w:bCs/>
                <w:sz w:val="18"/>
                <w:szCs w:val="18"/>
              </w:rPr>
              <w:t>Own-Source Income</w:t>
            </w:r>
          </w:p>
        </w:tc>
        <w:tc>
          <w:tcPr>
            <w:tcW w:w="1261" w:type="dxa"/>
            <w:tcBorders>
              <w:top w:val="nil"/>
              <w:left w:val="nil"/>
              <w:bottom w:val="nil"/>
              <w:right w:val="nil"/>
            </w:tcBorders>
            <w:shd w:val="clear" w:color="FFFFFF" w:fill="FFFFFF"/>
            <w:noWrap/>
            <w:vAlign w:val="bottom"/>
            <w:hideMark/>
          </w:tcPr>
          <w:p w14:paraId="1A0E57FB"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335202AA" w14:textId="77777777" w:rsidR="00AB6753" w:rsidRDefault="00AB6753" w:rsidP="002D1EA4">
            <w:pPr>
              <w:spacing w:after="0"/>
              <w:jc w:val="right"/>
              <w:rPr>
                <w:rFonts w:cs="Arial"/>
                <w:b/>
                <w:bCs/>
                <w:sz w:val="18"/>
                <w:szCs w:val="18"/>
              </w:rPr>
            </w:pPr>
            <w:r>
              <w:rPr>
                <w:rFonts w:cs="Arial"/>
                <w:b/>
                <w:bCs/>
                <w:sz w:val="18"/>
                <w:szCs w:val="18"/>
              </w:rPr>
              <w:t> </w:t>
            </w:r>
          </w:p>
        </w:tc>
        <w:tc>
          <w:tcPr>
            <w:tcW w:w="268" w:type="dxa"/>
            <w:tcBorders>
              <w:top w:val="nil"/>
              <w:left w:val="nil"/>
              <w:bottom w:val="nil"/>
              <w:right w:val="nil"/>
            </w:tcBorders>
            <w:shd w:val="clear" w:color="FFFFFF" w:fill="FFFFFF"/>
            <w:noWrap/>
            <w:vAlign w:val="bottom"/>
            <w:hideMark/>
          </w:tcPr>
          <w:p w14:paraId="6C3CFC5C"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7AAA55FF" w14:textId="77777777" w:rsidR="00AB6753" w:rsidRDefault="00AB6753" w:rsidP="002D1EA4">
            <w:pPr>
              <w:spacing w:after="0"/>
              <w:rPr>
                <w:rFonts w:cs="Arial"/>
                <w:sz w:val="18"/>
                <w:szCs w:val="18"/>
              </w:rPr>
            </w:pPr>
            <w:r>
              <w:rPr>
                <w:rFonts w:cs="Arial"/>
                <w:sz w:val="18"/>
                <w:szCs w:val="18"/>
              </w:rPr>
              <w:t> </w:t>
            </w:r>
          </w:p>
        </w:tc>
        <w:tc>
          <w:tcPr>
            <w:tcW w:w="268" w:type="dxa"/>
            <w:tcBorders>
              <w:top w:val="nil"/>
              <w:left w:val="nil"/>
              <w:bottom w:val="nil"/>
              <w:right w:val="nil"/>
            </w:tcBorders>
            <w:shd w:val="clear" w:color="FFFFFF" w:fill="FFFFFF"/>
            <w:noWrap/>
            <w:vAlign w:val="bottom"/>
            <w:hideMark/>
          </w:tcPr>
          <w:p w14:paraId="73B20C26"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1088F908" w14:textId="77777777" w:rsidR="00AB6753" w:rsidRDefault="00AB6753" w:rsidP="002D1EA4">
            <w:pPr>
              <w:spacing w:after="0"/>
              <w:rPr>
                <w:rFonts w:cs="Arial"/>
                <w:sz w:val="18"/>
                <w:szCs w:val="18"/>
              </w:rPr>
            </w:pPr>
            <w:r>
              <w:rPr>
                <w:rFonts w:cs="Arial"/>
                <w:sz w:val="18"/>
                <w:szCs w:val="18"/>
              </w:rPr>
              <w:t> </w:t>
            </w:r>
          </w:p>
        </w:tc>
      </w:tr>
      <w:tr w:rsidR="00AB6753" w14:paraId="085C6CDA" w14:textId="77777777" w:rsidTr="002D1EA4">
        <w:trPr>
          <w:trHeight w:val="255"/>
        </w:trPr>
        <w:tc>
          <w:tcPr>
            <w:tcW w:w="3952" w:type="dxa"/>
            <w:tcBorders>
              <w:top w:val="nil"/>
              <w:left w:val="nil"/>
              <w:bottom w:val="nil"/>
              <w:right w:val="nil"/>
            </w:tcBorders>
            <w:shd w:val="clear" w:color="FFFFFF" w:fill="FFFFFF"/>
            <w:vAlign w:val="bottom"/>
            <w:hideMark/>
          </w:tcPr>
          <w:p w14:paraId="614514ED" w14:textId="77777777" w:rsidR="00AB6753" w:rsidRDefault="00AB6753" w:rsidP="002D1EA4">
            <w:pPr>
              <w:spacing w:after="0"/>
              <w:rPr>
                <w:rFonts w:cs="Arial"/>
                <w:b/>
                <w:bCs/>
                <w:sz w:val="18"/>
                <w:szCs w:val="18"/>
              </w:rPr>
            </w:pPr>
            <w:r>
              <w:rPr>
                <w:rFonts w:cs="Arial"/>
                <w:b/>
                <w:bCs/>
                <w:sz w:val="18"/>
                <w:szCs w:val="18"/>
              </w:rPr>
              <w:t>Own-source revenue</w:t>
            </w:r>
          </w:p>
        </w:tc>
        <w:tc>
          <w:tcPr>
            <w:tcW w:w="1261" w:type="dxa"/>
            <w:tcBorders>
              <w:top w:val="nil"/>
              <w:left w:val="nil"/>
              <w:bottom w:val="nil"/>
              <w:right w:val="nil"/>
            </w:tcBorders>
            <w:shd w:val="clear" w:color="FFFFFF" w:fill="FFFFFF"/>
            <w:noWrap/>
            <w:vAlign w:val="bottom"/>
            <w:hideMark/>
          </w:tcPr>
          <w:p w14:paraId="3240C2E8"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79820CF4" w14:textId="77777777" w:rsidR="00AB6753" w:rsidRDefault="00AB6753" w:rsidP="002D1EA4">
            <w:pPr>
              <w:spacing w:after="0"/>
              <w:jc w:val="right"/>
              <w:rPr>
                <w:rFonts w:cs="Arial"/>
                <w:b/>
                <w:bCs/>
                <w:sz w:val="18"/>
                <w:szCs w:val="18"/>
              </w:rPr>
            </w:pPr>
            <w:r>
              <w:rPr>
                <w:rFonts w:cs="Arial"/>
                <w:b/>
                <w:bCs/>
                <w:sz w:val="18"/>
                <w:szCs w:val="18"/>
              </w:rPr>
              <w:t> </w:t>
            </w:r>
          </w:p>
        </w:tc>
        <w:tc>
          <w:tcPr>
            <w:tcW w:w="268" w:type="dxa"/>
            <w:tcBorders>
              <w:top w:val="nil"/>
              <w:left w:val="nil"/>
              <w:bottom w:val="nil"/>
              <w:right w:val="nil"/>
            </w:tcBorders>
            <w:shd w:val="clear" w:color="FFFFFF" w:fill="FFFFFF"/>
            <w:noWrap/>
            <w:vAlign w:val="bottom"/>
            <w:hideMark/>
          </w:tcPr>
          <w:p w14:paraId="0D37E235"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33EDBE95" w14:textId="77777777" w:rsidR="00AB6753" w:rsidRDefault="00AB6753" w:rsidP="002D1EA4">
            <w:pPr>
              <w:spacing w:after="0"/>
              <w:rPr>
                <w:rFonts w:cs="Arial"/>
                <w:sz w:val="18"/>
                <w:szCs w:val="18"/>
              </w:rPr>
            </w:pPr>
            <w:r>
              <w:rPr>
                <w:rFonts w:cs="Arial"/>
                <w:sz w:val="18"/>
                <w:szCs w:val="18"/>
              </w:rPr>
              <w:t> </w:t>
            </w:r>
          </w:p>
        </w:tc>
        <w:tc>
          <w:tcPr>
            <w:tcW w:w="268" w:type="dxa"/>
            <w:tcBorders>
              <w:top w:val="nil"/>
              <w:left w:val="nil"/>
              <w:bottom w:val="nil"/>
              <w:right w:val="nil"/>
            </w:tcBorders>
            <w:shd w:val="clear" w:color="FFFFFF" w:fill="FFFFFF"/>
            <w:noWrap/>
            <w:vAlign w:val="bottom"/>
            <w:hideMark/>
          </w:tcPr>
          <w:p w14:paraId="42B51DDD"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394788EB" w14:textId="77777777" w:rsidR="00AB6753" w:rsidRDefault="00AB6753" w:rsidP="002D1EA4">
            <w:pPr>
              <w:spacing w:after="0"/>
              <w:rPr>
                <w:rFonts w:cs="Arial"/>
                <w:sz w:val="18"/>
                <w:szCs w:val="18"/>
              </w:rPr>
            </w:pPr>
            <w:r>
              <w:rPr>
                <w:rFonts w:cs="Arial"/>
                <w:sz w:val="18"/>
                <w:szCs w:val="18"/>
              </w:rPr>
              <w:t> </w:t>
            </w:r>
          </w:p>
        </w:tc>
      </w:tr>
      <w:tr w:rsidR="00AB6753" w14:paraId="305E72BF" w14:textId="77777777" w:rsidTr="002D1EA4">
        <w:trPr>
          <w:trHeight w:val="255"/>
        </w:trPr>
        <w:tc>
          <w:tcPr>
            <w:tcW w:w="3952" w:type="dxa"/>
            <w:tcBorders>
              <w:top w:val="nil"/>
              <w:left w:val="nil"/>
              <w:bottom w:val="nil"/>
              <w:right w:val="nil"/>
            </w:tcBorders>
            <w:shd w:val="clear" w:color="FFFFFF" w:fill="FFFFFF"/>
            <w:vAlign w:val="bottom"/>
            <w:hideMark/>
          </w:tcPr>
          <w:p w14:paraId="5CC893A0" w14:textId="77777777" w:rsidR="00AB6753" w:rsidRDefault="00AB6753" w:rsidP="002D1EA4">
            <w:pPr>
              <w:spacing w:after="0"/>
              <w:rPr>
                <w:rFonts w:cs="Arial"/>
                <w:sz w:val="18"/>
                <w:szCs w:val="18"/>
              </w:rPr>
            </w:pPr>
            <w:r>
              <w:rPr>
                <w:rFonts w:cs="Arial"/>
                <w:sz w:val="18"/>
                <w:szCs w:val="18"/>
              </w:rPr>
              <w:t>Revenue from contracts with customers</w:t>
            </w:r>
          </w:p>
        </w:tc>
        <w:tc>
          <w:tcPr>
            <w:tcW w:w="1261" w:type="dxa"/>
            <w:tcBorders>
              <w:top w:val="nil"/>
              <w:left w:val="nil"/>
              <w:bottom w:val="nil"/>
              <w:right w:val="nil"/>
            </w:tcBorders>
            <w:shd w:val="clear" w:color="FFFFFF" w:fill="FFFFFF"/>
            <w:noWrap/>
            <w:vAlign w:val="bottom"/>
            <w:hideMark/>
          </w:tcPr>
          <w:p w14:paraId="15D45651" w14:textId="77777777" w:rsidR="00AB6753" w:rsidRDefault="00AB6753" w:rsidP="002D1EA4">
            <w:pPr>
              <w:spacing w:after="0"/>
              <w:jc w:val="center"/>
              <w:rPr>
                <w:rFonts w:cs="Arial"/>
                <w:sz w:val="18"/>
                <w:szCs w:val="18"/>
              </w:rPr>
            </w:pPr>
            <w:r>
              <w:rPr>
                <w:rFonts w:cs="Arial"/>
                <w:sz w:val="18"/>
                <w:szCs w:val="18"/>
              </w:rPr>
              <w:t>1.2A</w:t>
            </w:r>
          </w:p>
        </w:tc>
        <w:tc>
          <w:tcPr>
            <w:tcW w:w="1261" w:type="dxa"/>
            <w:tcBorders>
              <w:top w:val="nil"/>
              <w:left w:val="nil"/>
              <w:bottom w:val="nil"/>
              <w:right w:val="nil"/>
            </w:tcBorders>
            <w:shd w:val="clear" w:color="FFFFFF" w:fill="FFFFFF"/>
            <w:noWrap/>
            <w:vAlign w:val="bottom"/>
            <w:hideMark/>
          </w:tcPr>
          <w:p w14:paraId="0E001834" w14:textId="77777777" w:rsidR="00AB6753" w:rsidRDefault="00AB6753" w:rsidP="002D1EA4">
            <w:pPr>
              <w:spacing w:after="0"/>
              <w:jc w:val="right"/>
              <w:rPr>
                <w:rFonts w:cs="Arial"/>
                <w:b/>
                <w:bCs/>
                <w:sz w:val="18"/>
                <w:szCs w:val="18"/>
              </w:rPr>
            </w:pPr>
            <w:r>
              <w:rPr>
                <w:rFonts w:cs="Arial"/>
                <w:b/>
                <w:bCs/>
                <w:sz w:val="18"/>
                <w:szCs w:val="18"/>
              </w:rPr>
              <w:t>49,598</w:t>
            </w:r>
          </w:p>
        </w:tc>
        <w:tc>
          <w:tcPr>
            <w:tcW w:w="268" w:type="dxa"/>
            <w:tcBorders>
              <w:top w:val="nil"/>
              <w:left w:val="nil"/>
              <w:bottom w:val="nil"/>
              <w:right w:val="nil"/>
            </w:tcBorders>
            <w:shd w:val="clear" w:color="FFFFFF" w:fill="FFFFFF"/>
            <w:noWrap/>
            <w:vAlign w:val="bottom"/>
            <w:hideMark/>
          </w:tcPr>
          <w:p w14:paraId="34AD2DE7"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72C6B46E" w14:textId="77777777" w:rsidR="00AB6753" w:rsidRDefault="00AB6753" w:rsidP="002D1EA4">
            <w:pPr>
              <w:spacing w:after="0"/>
              <w:jc w:val="right"/>
              <w:rPr>
                <w:rFonts w:cs="Arial"/>
                <w:sz w:val="18"/>
                <w:szCs w:val="18"/>
              </w:rPr>
            </w:pPr>
            <w:r>
              <w:rPr>
                <w:rFonts w:cs="Arial"/>
                <w:sz w:val="18"/>
                <w:szCs w:val="18"/>
              </w:rPr>
              <w:t>56,570</w:t>
            </w:r>
          </w:p>
        </w:tc>
        <w:tc>
          <w:tcPr>
            <w:tcW w:w="268" w:type="dxa"/>
            <w:tcBorders>
              <w:top w:val="nil"/>
              <w:left w:val="nil"/>
              <w:bottom w:val="nil"/>
              <w:right w:val="nil"/>
            </w:tcBorders>
            <w:shd w:val="clear" w:color="FFFFFF" w:fill="FFFFFF"/>
            <w:noWrap/>
            <w:vAlign w:val="bottom"/>
            <w:hideMark/>
          </w:tcPr>
          <w:p w14:paraId="4C04E508"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72D35485" w14:textId="77777777" w:rsidR="00AB6753" w:rsidRDefault="00AB6753" w:rsidP="002D1EA4">
            <w:pPr>
              <w:spacing w:after="0"/>
              <w:jc w:val="right"/>
              <w:rPr>
                <w:rFonts w:cs="Arial"/>
                <w:sz w:val="18"/>
                <w:szCs w:val="18"/>
              </w:rPr>
            </w:pPr>
            <w:r>
              <w:rPr>
                <w:rFonts w:cs="Arial"/>
                <w:sz w:val="18"/>
                <w:szCs w:val="18"/>
              </w:rPr>
              <w:t xml:space="preserve">37,569 </w:t>
            </w:r>
          </w:p>
        </w:tc>
      </w:tr>
      <w:tr w:rsidR="00AB6753" w14:paraId="54842450" w14:textId="77777777" w:rsidTr="002D1EA4">
        <w:trPr>
          <w:trHeight w:val="255"/>
        </w:trPr>
        <w:tc>
          <w:tcPr>
            <w:tcW w:w="3952" w:type="dxa"/>
            <w:tcBorders>
              <w:top w:val="nil"/>
              <w:left w:val="nil"/>
              <w:bottom w:val="nil"/>
              <w:right w:val="nil"/>
            </w:tcBorders>
            <w:shd w:val="clear" w:color="FFFFFF" w:fill="FFFFFF"/>
            <w:vAlign w:val="bottom"/>
            <w:hideMark/>
          </w:tcPr>
          <w:p w14:paraId="3264C9C0" w14:textId="77777777" w:rsidR="00AB6753" w:rsidRDefault="00AB6753" w:rsidP="002D1EA4">
            <w:pPr>
              <w:spacing w:after="0"/>
              <w:rPr>
                <w:rFonts w:cs="Arial"/>
                <w:sz w:val="18"/>
                <w:szCs w:val="18"/>
              </w:rPr>
            </w:pPr>
            <w:r>
              <w:rPr>
                <w:rFonts w:cs="Arial"/>
                <w:sz w:val="18"/>
                <w:szCs w:val="18"/>
              </w:rPr>
              <w:t>Resources received free of charge</w:t>
            </w:r>
          </w:p>
        </w:tc>
        <w:tc>
          <w:tcPr>
            <w:tcW w:w="1261" w:type="dxa"/>
            <w:tcBorders>
              <w:top w:val="nil"/>
              <w:left w:val="nil"/>
              <w:bottom w:val="nil"/>
              <w:right w:val="nil"/>
            </w:tcBorders>
            <w:shd w:val="clear" w:color="FFFFFF" w:fill="FFFFFF"/>
            <w:noWrap/>
            <w:vAlign w:val="bottom"/>
            <w:hideMark/>
          </w:tcPr>
          <w:p w14:paraId="5F9CA5B6" w14:textId="77777777" w:rsidR="00AB6753" w:rsidRDefault="00AB6753" w:rsidP="002D1EA4">
            <w:pPr>
              <w:spacing w:after="0"/>
              <w:jc w:val="center"/>
              <w:rPr>
                <w:rFonts w:cs="Arial"/>
                <w:sz w:val="18"/>
                <w:szCs w:val="18"/>
              </w:rPr>
            </w:pPr>
            <w:r>
              <w:rPr>
                <w:rFonts w:cs="Arial"/>
                <w:sz w:val="18"/>
                <w:szCs w:val="18"/>
              </w:rPr>
              <w:t>1.2B</w:t>
            </w:r>
          </w:p>
        </w:tc>
        <w:tc>
          <w:tcPr>
            <w:tcW w:w="1261" w:type="dxa"/>
            <w:tcBorders>
              <w:top w:val="nil"/>
              <w:left w:val="nil"/>
              <w:bottom w:val="nil"/>
              <w:right w:val="nil"/>
            </w:tcBorders>
            <w:shd w:val="clear" w:color="FFFFFF" w:fill="FFFFFF"/>
            <w:noWrap/>
            <w:vAlign w:val="bottom"/>
            <w:hideMark/>
          </w:tcPr>
          <w:p w14:paraId="178E2497" w14:textId="77777777" w:rsidR="00AB6753" w:rsidRDefault="00AB6753" w:rsidP="002D1EA4">
            <w:pPr>
              <w:spacing w:after="0"/>
              <w:jc w:val="right"/>
              <w:rPr>
                <w:rFonts w:cs="Arial"/>
                <w:b/>
                <w:bCs/>
                <w:sz w:val="18"/>
                <w:szCs w:val="18"/>
              </w:rPr>
            </w:pPr>
            <w:r>
              <w:rPr>
                <w:rFonts w:cs="Arial"/>
                <w:b/>
                <w:bCs/>
                <w:sz w:val="18"/>
                <w:szCs w:val="18"/>
              </w:rPr>
              <w:t>1,612</w:t>
            </w:r>
          </w:p>
        </w:tc>
        <w:tc>
          <w:tcPr>
            <w:tcW w:w="268" w:type="dxa"/>
            <w:tcBorders>
              <w:top w:val="nil"/>
              <w:left w:val="nil"/>
              <w:bottom w:val="nil"/>
              <w:right w:val="nil"/>
            </w:tcBorders>
            <w:shd w:val="clear" w:color="FFFFFF" w:fill="FFFFFF"/>
            <w:noWrap/>
            <w:vAlign w:val="bottom"/>
            <w:hideMark/>
          </w:tcPr>
          <w:p w14:paraId="431E76CB"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02C01D98" w14:textId="77777777" w:rsidR="00AB6753" w:rsidRDefault="00AB6753" w:rsidP="002D1EA4">
            <w:pPr>
              <w:spacing w:after="0"/>
              <w:jc w:val="right"/>
              <w:rPr>
                <w:rFonts w:cs="Arial"/>
                <w:sz w:val="18"/>
                <w:szCs w:val="18"/>
              </w:rPr>
            </w:pPr>
            <w:r>
              <w:rPr>
                <w:rFonts w:cs="Arial"/>
                <w:sz w:val="18"/>
                <w:szCs w:val="18"/>
              </w:rPr>
              <w:t>18,576</w:t>
            </w:r>
          </w:p>
        </w:tc>
        <w:tc>
          <w:tcPr>
            <w:tcW w:w="268" w:type="dxa"/>
            <w:tcBorders>
              <w:top w:val="nil"/>
              <w:left w:val="nil"/>
              <w:bottom w:val="nil"/>
              <w:right w:val="nil"/>
            </w:tcBorders>
            <w:shd w:val="clear" w:color="FFFFFF" w:fill="FFFFFF"/>
            <w:noWrap/>
            <w:vAlign w:val="bottom"/>
            <w:hideMark/>
          </w:tcPr>
          <w:p w14:paraId="1F3C0D83"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5DDF2465" w14:textId="77777777" w:rsidR="00AB6753" w:rsidRDefault="00AB6753" w:rsidP="002D1EA4">
            <w:pPr>
              <w:spacing w:after="0"/>
              <w:jc w:val="right"/>
              <w:rPr>
                <w:rFonts w:cs="Arial"/>
                <w:sz w:val="18"/>
                <w:szCs w:val="18"/>
              </w:rPr>
            </w:pPr>
            <w:r>
              <w:rPr>
                <w:rFonts w:cs="Arial"/>
                <w:sz w:val="18"/>
                <w:szCs w:val="18"/>
              </w:rPr>
              <w:t xml:space="preserve">1,470 </w:t>
            </w:r>
          </w:p>
        </w:tc>
      </w:tr>
      <w:tr w:rsidR="00AB6753" w14:paraId="228CE73B" w14:textId="77777777" w:rsidTr="002D1EA4">
        <w:trPr>
          <w:trHeight w:val="255"/>
        </w:trPr>
        <w:tc>
          <w:tcPr>
            <w:tcW w:w="3952" w:type="dxa"/>
            <w:tcBorders>
              <w:top w:val="nil"/>
              <w:left w:val="nil"/>
              <w:bottom w:val="nil"/>
              <w:right w:val="nil"/>
            </w:tcBorders>
            <w:shd w:val="clear" w:color="FFFFFF" w:fill="FFFFFF"/>
            <w:vAlign w:val="bottom"/>
            <w:hideMark/>
          </w:tcPr>
          <w:p w14:paraId="6C71E0EF" w14:textId="77777777" w:rsidR="00AB6753" w:rsidRDefault="00AB6753" w:rsidP="002D1EA4">
            <w:pPr>
              <w:spacing w:after="0"/>
              <w:rPr>
                <w:rFonts w:cs="Arial"/>
                <w:sz w:val="18"/>
                <w:szCs w:val="18"/>
              </w:rPr>
            </w:pPr>
            <w:r>
              <w:rPr>
                <w:rFonts w:cs="Arial"/>
                <w:sz w:val="18"/>
                <w:szCs w:val="18"/>
              </w:rPr>
              <w:t>Rental income</w:t>
            </w:r>
          </w:p>
        </w:tc>
        <w:tc>
          <w:tcPr>
            <w:tcW w:w="1261" w:type="dxa"/>
            <w:tcBorders>
              <w:top w:val="nil"/>
              <w:left w:val="nil"/>
              <w:bottom w:val="nil"/>
              <w:right w:val="nil"/>
            </w:tcBorders>
            <w:shd w:val="clear" w:color="FFFFFF" w:fill="FFFFFF"/>
            <w:noWrap/>
            <w:vAlign w:val="bottom"/>
            <w:hideMark/>
          </w:tcPr>
          <w:p w14:paraId="67CF22CA" w14:textId="77777777" w:rsidR="00AB6753" w:rsidRDefault="00AB6753" w:rsidP="002D1EA4">
            <w:pPr>
              <w:spacing w:after="0"/>
              <w:jc w:val="center"/>
              <w:rPr>
                <w:rFonts w:cs="Arial"/>
                <w:sz w:val="18"/>
                <w:szCs w:val="18"/>
              </w:rPr>
            </w:pPr>
            <w:r>
              <w:rPr>
                <w:rFonts w:cs="Arial"/>
                <w:sz w:val="18"/>
                <w:szCs w:val="18"/>
              </w:rPr>
              <w:t>1.2C</w:t>
            </w:r>
          </w:p>
        </w:tc>
        <w:tc>
          <w:tcPr>
            <w:tcW w:w="1261" w:type="dxa"/>
            <w:tcBorders>
              <w:top w:val="nil"/>
              <w:left w:val="nil"/>
              <w:bottom w:val="nil"/>
              <w:right w:val="nil"/>
            </w:tcBorders>
            <w:shd w:val="clear" w:color="FFFFFF" w:fill="FFFFFF"/>
            <w:noWrap/>
            <w:vAlign w:val="bottom"/>
            <w:hideMark/>
          </w:tcPr>
          <w:p w14:paraId="107683DD" w14:textId="77777777" w:rsidR="00AB6753" w:rsidRDefault="00AB6753" w:rsidP="002D1EA4">
            <w:pPr>
              <w:spacing w:after="0"/>
              <w:jc w:val="right"/>
              <w:rPr>
                <w:rFonts w:cs="Arial"/>
                <w:b/>
                <w:bCs/>
                <w:sz w:val="18"/>
                <w:szCs w:val="18"/>
              </w:rPr>
            </w:pPr>
            <w:r>
              <w:rPr>
                <w:rFonts w:cs="Arial"/>
                <w:b/>
                <w:bCs/>
                <w:sz w:val="18"/>
                <w:szCs w:val="18"/>
              </w:rPr>
              <w:t>2,198</w:t>
            </w:r>
          </w:p>
        </w:tc>
        <w:tc>
          <w:tcPr>
            <w:tcW w:w="268" w:type="dxa"/>
            <w:tcBorders>
              <w:top w:val="nil"/>
              <w:left w:val="nil"/>
              <w:bottom w:val="nil"/>
              <w:right w:val="nil"/>
            </w:tcBorders>
            <w:shd w:val="clear" w:color="FFFFFF" w:fill="FFFFFF"/>
            <w:noWrap/>
            <w:vAlign w:val="bottom"/>
            <w:hideMark/>
          </w:tcPr>
          <w:p w14:paraId="2DAD7F04"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73EE8C19" w14:textId="77777777" w:rsidR="00AB6753" w:rsidRDefault="00AB6753" w:rsidP="002D1EA4">
            <w:pPr>
              <w:spacing w:after="0"/>
              <w:jc w:val="right"/>
              <w:rPr>
                <w:rFonts w:cs="Arial"/>
                <w:sz w:val="18"/>
                <w:szCs w:val="18"/>
              </w:rPr>
            </w:pPr>
            <w:r>
              <w:rPr>
                <w:rFonts w:cs="Arial"/>
                <w:sz w:val="18"/>
                <w:szCs w:val="18"/>
              </w:rPr>
              <w:t>1,948</w:t>
            </w:r>
          </w:p>
        </w:tc>
        <w:tc>
          <w:tcPr>
            <w:tcW w:w="268" w:type="dxa"/>
            <w:tcBorders>
              <w:top w:val="nil"/>
              <w:left w:val="nil"/>
              <w:bottom w:val="nil"/>
              <w:right w:val="nil"/>
            </w:tcBorders>
            <w:shd w:val="clear" w:color="FFFFFF" w:fill="FFFFFF"/>
            <w:noWrap/>
            <w:vAlign w:val="bottom"/>
            <w:hideMark/>
          </w:tcPr>
          <w:p w14:paraId="21819E82"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04AAABC9"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60E1D2FE" w14:textId="77777777" w:rsidTr="002D1EA4">
        <w:trPr>
          <w:trHeight w:val="255"/>
        </w:trPr>
        <w:tc>
          <w:tcPr>
            <w:tcW w:w="3952" w:type="dxa"/>
            <w:tcBorders>
              <w:top w:val="nil"/>
              <w:left w:val="nil"/>
              <w:bottom w:val="nil"/>
              <w:right w:val="nil"/>
            </w:tcBorders>
            <w:shd w:val="clear" w:color="FFFFFF" w:fill="FFFFFF"/>
            <w:vAlign w:val="bottom"/>
            <w:hideMark/>
          </w:tcPr>
          <w:p w14:paraId="128F9888" w14:textId="77777777" w:rsidR="00AB6753" w:rsidRDefault="00AB6753" w:rsidP="002D1EA4">
            <w:pPr>
              <w:spacing w:after="0"/>
              <w:rPr>
                <w:rFonts w:cs="Arial"/>
                <w:sz w:val="18"/>
                <w:szCs w:val="18"/>
              </w:rPr>
            </w:pPr>
            <w:r>
              <w:rPr>
                <w:rFonts w:cs="Arial"/>
                <w:sz w:val="18"/>
                <w:szCs w:val="18"/>
              </w:rPr>
              <w:t>Other revenue</w:t>
            </w:r>
          </w:p>
        </w:tc>
        <w:tc>
          <w:tcPr>
            <w:tcW w:w="1261" w:type="dxa"/>
            <w:tcBorders>
              <w:top w:val="nil"/>
              <w:left w:val="nil"/>
              <w:bottom w:val="nil"/>
              <w:right w:val="nil"/>
            </w:tcBorders>
            <w:shd w:val="clear" w:color="FFFFFF" w:fill="FFFFFF"/>
            <w:noWrap/>
            <w:vAlign w:val="bottom"/>
            <w:hideMark/>
          </w:tcPr>
          <w:p w14:paraId="29DB4192"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5B6F3F4D" w14:textId="77777777" w:rsidR="00AB6753" w:rsidRDefault="00AB6753" w:rsidP="002D1EA4">
            <w:pPr>
              <w:spacing w:after="0"/>
              <w:jc w:val="right"/>
              <w:rPr>
                <w:rFonts w:cs="Arial"/>
                <w:b/>
                <w:bCs/>
                <w:sz w:val="18"/>
                <w:szCs w:val="18"/>
              </w:rPr>
            </w:pPr>
            <w:r>
              <w:rPr>
                <w:rFonts w:cs="Arial"/>
                <w:b/>
                <w:bCs/>
                <w:sz w:val="18"/>
                <w:szCs w:val="18"/>
              </w:rPr>
              <w:t>101</w:t>
            </w:r>
          </w:p>
        </w:tc>
        <w:tc>
          <w:tcPr>
            <w:tcW w:w="268" w:type="dxa"/>
            <w:tcBorders>
              <w:top w:val="nil"/>
              <w:left w:val="nil"/>
              <w:bottom w:val="nil"/>
              <w:right w:val="nil"/>
            </w:tcBorders>
            <w:shd w:val="clear" w:color="FFFFFF" w:fill="FFFFFF"/>
            <w:noWrap/>
            <w:vAlign w:val="bottom"/>
            <w:hideMark/>
          </w:tcPr>
          <w:p w14:paraId="55DC4ED4"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7FC8FD65" w14:textId="77777777" w:rsidR="00AB6753" w:rsidRDefault="00AB6753" w:rsidP="002D1EA4">
            <w:pPr>
              <w:spacing w:after="0"/>
              <w:jc w:val="right"/>
              <w:rPr>
                <w:rFonts w:cs="Arial"/>
                <w:sz w:val="18"/>
                <w:szCs w:val="18"/>
              </w:rPr>
            </w:pPr>
            <w:r>
              <w:rPr>
                <w:rFonts w:cs="Arial"/>
                <w:sz w:val="18"/>
                <w:szCs w:val="18"/>
              </w:rPr>
              <w:t>15</w:t>
            </w:r>
          </w:p>
        </w:tc>
        <w:tc>
          <w:tcPr>
            <w:tcW w:w="268" w:type="dxa"/>
            <w:tcBorders>
              <w:top w:val="nil"/>
              <w:left w:val="nil"/>
              <w:bottom w:val="nil"/>
              <w:right w:val="nil"/>
            </w:tcBorders>
            <w:shd w:val="clear" w:color="FFFFFF" w:fill="FFFFFF"/>
            <w:noWrap/>
            <w:vAlign w:val="bottom"/>
            <w:hideMark/>
          </w:tcPr>
          <w:p w14:paraId="5CADF87C"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1922A35D"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35EE1E94" w14:textId="77777777" w:rsidTr="002D1EA4">
        <w:trPr>
          <w:trHeight w:val="255"/>
        </w:trPr>
        <w:tc>
          <w:tcPr>
            <w:tcW w:w="3952" w:type="dxa"/>
            <w:tcBorders>
              <w:top w:val="nil"/>
              <w:left w:val="nil"/>
              <w:bottom w:val="nil"/>
              <w:right w:val="nil"/>
            </w:tcBorders>
            <w:shd w:val="clear" w:color="FFFFFF" w:fill="FFFFFF"/>
            <w:vAlign w:val="bottom"/>
            <w:hideMark/>
          </w:tcPr>
          <w:p w14:paraId="52683A8E" w14:textId="77777777" w:rsidR="00AB6753" w:rsidRDefault="00AB6753" w:rsidP="002D1EA4">
            <w:pPr>
              <w:spacing w:after="0"/>
              <w:rPr>
                <w:rFonts w:cs="Arial"/>
                <w:b/>
                <w:bCs/>
                <w:sz w:val="18"/>
                <w:szCs w:val="18"/>
              </w:rPr>
            </w:pPr>
            <w:r>
              <w:rPr>
                <w:rFonts w:cs="Arial"/>
                <w:b/>
                <w:bCs/>
                <w:sz w:val="18"/>
                <w:szCs w:val="18"/>
              </w:rPr>
              <w:t>Total own-source revenue</w:t>
            </w:r>
          </w:p>
        </w:tc>
        <w:tc>
          <w:tcPr>
            <w:tcW w:w="1261" w:type="dxa"/>
            <w:tcBorders>
              <w:top w:val="nil"/>
              <w:left w:val="nil"/>
              <w:bottom w:val="nil"/>
              <w:right w:val="nil"/>
            </w:tcBorders>
            <w:shd w:val="clear" w:color="FFFFFF" w:fill="FFFFFF"/>
            <w:noWrap/>
            <w:vAlign w:val="bottom"/>
            <w:hideMark/>
          </w:tcPr>
          <w:p w14:paraId="039B4317"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single" w:sz="4" w:space="0" w:color="auto"/>
              <w:left w:val="nil"/>
              <w:bottom w:val="single" w:sz="4" w:space="0" w:color="auto"/>
              <w:right w:val="nil"/>
            </w:tcBorders>
            <w:shd w:val="clear" w:color="FFFFFF" w:fill="FFFFFF"/>
            <w:noWrap/>
            <w:vAlign w:val="bottom"/>
            <w:hideMark/>
          </w:tcPr>
          <w:p w14:paraId="7669733D" w14:textId="77777777" w:rsidR="00AB6753" w:rsidRDefault="00AB6753" w:rsidP="002D1EA4">
            <w:pPr>
              <w:spacing w:after="0"/>
              <w:jc w:val="right"/>
              <w:rPr>
                <w:rFonts w:cs="Arial"/>
                <w:b/>
                <w:bCs/>
                <w:sz w:val="18"/>
                <w:szCs w:val="18"/>
              </w:rPr>
            </w:pPr>
            <w:r>
              <w:rPr>
                <w:rFonts w:cs="Arial"/>
                <w:b/>
                <w:bCs/>
                <w:sz w:val="18"/>
                <w:szCs w:val="18"/>
              </w:rPr>
              <w:t>53,509</w:t>
            </w:r>
          </w:p>
        </w:tc>
        <w:tc>
          <w:tcPr>
            <w:tcW w:w="268" w:type="dxa"/>
            <w:tcBorders>
              <w:top w:val="nil"/>
              <w:left w:val="nil"/>
              <w:bottom w:val="nil"/>
              <w:right w:val="nil"/>
            </w:tcBorders>
            <w:shd w:val="clear" w:color="FFFFFF" w:fill="FFFFFF"/>
            <w:noWrap/>
            <w:vAlign w:val="bottom"/>
            <w:hideMark/>
          </w:tcPr>
          <w:p w14:paraId="4676D99B" w14:textId="77777777" w:rsidR="00AB6753" w:rsidRDefault="00AB6753" w:rsidP="002D1EA4">
            <w:pPr>
              <w:spacing w:after="0"/>
              <w:rPr>
                <w:rFonts w:cs="Arial"/>
                <w:sz w:val="18"/>
                <w:szCs w:val="18"/>
              </w:rPr>
            </w:pPr>
            <w:r>
              <w:rPr>
                <w:rFonts w:cs="Arial"/>
                <w:sz w:val="18"/>
                <w:szCs w:val="18"/>
              </w:rPr>
              <w:t> </w:t>
            </w:r>
          </w:p>
        </w:tc>
        <w:tc>
          <w:tcPr>
            <w:tcW w:w="1261" w:type="dxa"/>
            <w:tcBorders>
              <w:top w:val="single" w:sz="4" w:space="0" w:color="auto"/>
              <w:left w:val="nil"/>
              <w:bottom w:val="single" w:sz="4" w:space="0" w:color="auto"/>
              <w:right w:val="nil"/>
            </w:tcBorders>
            <w:shd w:val="clear" w:color="FFFFFF" w:fill="FFFFFF"/>
            <w:noWrap/>
            <w:vAlign w:val="bottom"/>
            <w:hideMark/>
          </w:tcPr>
          <w:p w14:paraId="5886DF42" w14:textId="77777777" w:rsidR="00AB6753" w:rsidRDefault="00AB6753" w:rsidP="002D1EA4">
            <w:pPr>
              <w:spacing w:after="0"/>
              <w:jc w:val="right"/>
              <w:rPr>
                <w:rFonts w:cs="Arial"/>
                <w:sz w:val="18"/>
                <w:szCs w:val="18"/>
              </w:rPr>
            </w:pPr>
            <w:r>
              <w:rPr>
                <w:rFonts w:cs="Arial"/>
                <w:sz w:val="18"/>
                <w:szCs w:val="18"/>
              </w:rPr>
              <w:t>77,109</w:t>
            </w:r>
          </w:p>
        </w:tc>
        <w:tc>
          <w:tcPr>
            <w:tcW w:w="268" w:type="dxa"/>
            <w:tcBorders>
              <w:top w:val="nil"/>
              <w:left w:val="nil"/>
              <w:bottom w:val="nil"/>
              <w:right w:val="nil"/>
            </w:tcBorders>
            <w:shd w:val="clear" w:color="FFFFFF" w:fill="FFFFFF"/>
            <w:noWrap/>
            <w:vAlign w:val="bottom"/>
            <w:hideMark/>
          </w:tcPr>
          <w:p w14:paraId="492FB98C" w14:textId="77777777" w:rsidR="00AB6753" w:rsidRDefault="00AB6753" w:rsidP="002D1EA4">
            <w:pPr>
              <w:spacing w:after="0"/>
              <w:rPr>
                <w:rFonts w:cs="Arial"/>
                <w:sz w:val="18"/>
                <w:szCs w:val="18"/>
              </w:rPr>
            </w:pPr>
            <w:r>
              <w:rPr>
                <w:rFonts w:cs="Arial"/>
                <w:sz w:val="18"/>
                <w:szCs w:val="18"/>
              </w:rPr>
              <w:t> </w:t>
            </w:r>
          </w:p>
        </w:tc>
        <w:tc>
          <w:tcPr>
            <w:tcW w:w="1140" w:type="dxa"/>
            <w:tcBorders>
              <w:top w:val="single" w:sz="4" w:space="0" w:color="auto"/>
              <w:left w:val="nil"/>
              <w:bottom w:val="single" w:sz="4" w:space="0" w:color="auto"/>
              <w:right w:val="nil"/>
            </w:tcBorders>
            <w:shd w:val="clear" w:color="FFFFFF" w:fill="FFFFFF"/>
            <w:noWrap/>
            <w:vAlign w:val="bottom"/>
            <w:hideMark/>
          </w:tcPr>
          <w:p w14:paraId="46EE1024" w14:textId="77777777" w:rsidR="00AB6753" w:rsidRDefault="00AB6753" w:rsidP="002D1EA4">
            <w:pPr>
              <w:spacing w:after="0"/>
              <w:jc w:val="right"/>
              <w:rPr>
                <w:rFonts w:cs="Arial"/>
                <w:sz w:val="18"/>
                <w:szCs w:val="18"/>
              </w:rPr>
            </w:pPr>
            <w:r>
              <w:rPr>
                <w:rFonts w:cs="Arial"/>
                <w:sz w:val="18"/>
                <w:szCs w:val="18"/>
              </w:rPr>
              <w:t>39,039</w:t>
            </w:r>
          </w:p>
        </w:tc>
      </w:tr>
      <w:tr w:rsidR="00AB6753" w14:paraId="3DE309F7" w14:textId="77777777" w:rsidTr="002D1EA4">
        <w:trPr>
          <w:trHeight w:val="255"/>
        </w:trPr>
        <w:tc>
          <w:tcPr>
            <w:tcW w:w="3952" w:type="dxa"/>
            <w:tcBorders>
              <w:top w:val="nil"/>
              <w:left w:val="nil"/>
              <w:bottom w:val="nil"/>
              <w:right w:val="nil"/>
            </w:tcBorders>
            <w:shd w:val="clear" w:color="FFFFFF" w:fill="FFFFFF"/>
            <w:vAlign w:val="bottom"/>
            <w:hideMark/>
          </w:tcPr>
          <w:p w14:paraId="0B17E404"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2E933589"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60799891" w14:textId="77777777" w:rsidR="00AB6753" w:rsidRDefault="00AB6753" w:rsidP="002D1EA4">
            <w:pPr>
              <w:spacing w:after="0"/>
              <w:jc w:val="right"/>
              <w:rPr>
                <w:rFonts w:cs="Arial"/>
                <w:b/>
                <w:bCs/>
                <w:sz w:val="18"/>
                <w:szCs w:val="18"/>
              </w:rPr>
            </w:pPr>
            <w:r>
              <w:rPr>
                <w:rFonts w:cs="Arial"/>
                <w:b/>
                <w:bCs/>
                <w:sz w:val="18"/>
                <w:szCs w:val="18"/>
              </w:rPr>
              <w:t> </w:t>
            </w:r>
          </w:p>
        </w:tc>
        <w:tc>
          <w:tcPr>
            <w:tcW w:w="268" w:type="dxa"/>
            <w:tcBorders>
              <w:top w:val="nil"/>
              <w:left w:val="nil"/>
              <w:bottom w:val="nil"/>
              <w:right w:val="nil"/>
            </w:tcBorders>
            <w:shd w:val="clear" w:color="FFFFFF" w:fill="FFFFFF"/>
            <w:noWrap/>
            <w:vAlign w:val="bottom"/>
            <w:hideMark/>
          </w:tcPr>
          <w:p w14:paraId="33DEDDAD"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07EAF803" w14:textId="77777777" w:rsidR="00AB6753" w:rsidRDefault="00AB6753" w:rsidP="002D1EA4">
            <w:pPr>
              <w:spacing w:after="0"/>
              <w:rPr>
                <w:rFonts w:cs="Arial"/>
                <w:sz w:val="18"/>
                <w:szCs w:val="18"/>
              </w:rPr>
            </w:pPr>
            <w:r>
              <w:rPr>
                <w:rFonts w:cs="Arial"/>
                <w:sz w:val="18"/>
                <w:szCs w:val="18"/>
              </w:rPr>
              <w:t> </w:t>
            </w:r>
          </w:p>
        </w:tc>
        <w:tc>
          <w:tcPr>
            <w:tcW w:w="268" w:type="dxa"/>
            <w:tcBorders>
              <w:top w:val="nil"/>
              <w:left w:val="nil"/>
              <w:bottom w:val="nil"/>
              <w:right w:val="nil"/>
            </w:tcBorders>
            <w:shd w:val="clear" w:color="FFFFFF" w:fill="FFFFFF"/>
            <w:noWrap/>
            <w:vAlign w:val="bottom"/>
            <w:hideMark/>
          </w:tcPr>
          <w:p w14:paraId="5C394D7A"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1D5E189D" w14:textId="77777777" w:rsidR="00AB6753" w:rsidRDefault="00AB6753" w:rsidP="002D1EA4">
            <w:pPr>
              <w:spacing w:after="0"/>
              <w:rPr>
                <w:rFonts w:cs="Arial"/>
                <w:sz w:val="18"/>
                <w:szCs w:val="18"/>
              </w:rPr>
            </w:pPr>
            <w:r>
              <w:rPr>
                <w:rFonts w:cs="Arial"/>
                <w:sz w:val="18"/>
                <w:szCs w:val="18"/>
              </w:rPr>
              <w:t> </w:t>
            </w:r>
          </w:p>
        </w:tc>
      </w:tr>
      <w:tr w:rsidR="00AB6753" w14:paraId="4C898759" w14:textId="77777777" w:rsidTr="002D1EA4">
        <w:trPr>
          <w:trHeight w:val="255"/>
        </w:trPr>
        <w:tc>
          <w:tcPr>
            <w:tcW w:w="3952" w:type="dxa"/>
            <w:tcBorders>
              <w:top w:val="nil"/>
              <w:left w:val="nil"/>
              <w:bottom w:val="nil"/>
              <w:right w:val="nil"/>
            </w:tcBorders>
            <w:shd w:val="clear" w:color="FFFFFF" w:fill="FFFFFF"/>
            <w:vAlign w:val="bottom"/>
            <w:hideMark/>
          </w:tcPr>
          <w:p w14:paraId="4A0214C8" w14:textId="77777777" w:rsidR="00AB6753" w:rsidRDefault="00AB6753" w:rsidP="002D1EA4">
            <w:pPr>
              <w:spacing w:after="0"/>
              <w:rPr>
                <w:rFonts w:cs="Arial"/>
                <w:b/>
                <w:bCs/>
                <w:sz w:val="18"/>
                <w:szCs w:val="18"/>
              </w:rPr>
            </w:pPr>
            <w:r>
              <w:rPr>
                <w:rFonts w:cs="Arial"/>
                <w:b/>
                <w:bCs/>
                <w:sz w:val="18"/>
                <w:szCs w:val="18"/>
              </w:rPr>
              <w:t>Gains</w:t>
            </w:r>
          </w:p>
        </w:tc>
        <w:tc>
          <w:tcPr>
            <w:tcW w:w="1261" w:type="dxa"/>
            <w:tcBorders>
              <w:top w:val="nil"/>
              <w:left w:val="nil"/>
              <w:bottom w:val="nil"/>
              <w:right w:val="nil"/>
            </w:tcBorders>
            <w:shd w:val="clear" w:color="FFFFFF" w:fill="FFFFFF"/>
            <w:noWrap/>
            <w:vAlign w:val="bottom"/>
            <w:hideMark/>
          </w:tcPr>
          <w:p w14:paraId="4CE42482"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67595F9F" w14:textId="77777777" w:rsidR="00AB6753" w:rsidRDefault="00AB6753" w:rsidP="002D1EA4">
            <w:pPr>
              <w:spacing w:after="0"/>
              <w:jc w:val="right"/>
              <w:rPr>
                <w:rFonts w:cs="Arial"/>
                <w:b/>
                <w:bCs/>
                <w:sz w:val="18"/>
                <w:szCs w:val="18"/>
              </w:rPr>
            </w:pPr>
            <w:r>
              <w:rPr>
                <w:rFonts w:cs="Arial"/>
                <w:b/>
                <w:bCs/>
                <w:sz w:val="18"/>
                <w:szCs w:val="18"/>
              </w:rPr>
              <w:t> </w:t>
            </w:r>
          </w:p>
        </w:tc>
        <w:tc>
          <w:tcPr>
            <w:tcW w:w="268" w:type="dxa"/>
            <w:tcBorders>
              <w:top w:val="nil"/>
              <w:left w:val="nil"/>
              <w:bottom w:val="nil"/>
              <w:right w:val="nil"/>
            </w:tcBorders>
            <w:shd w:val="clear" w:color="FFFFFF" w:fill="FFFFFF"/>
            <w:noWrap/>
            <w:vAlign w:val="bottom"/>
            <w:hideMark/>
          </w:tcPr>
          <w:p w14:paraId="6AB65324"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6FA079FF" w14:textId="77777777" w:rsidR="00AB6753" w:rsidRDefault="00AB6753" w:rsidP="002D1EA4">
            <w:pPr>
              <w:spacing w:after="0"/>
              <w:rPr>
                <w:rFonts w:cs="Arial"/>
                <w:sz w:val="18"/>
                <w:szCs w:val="18"/>
              </w:rPr>
            </w:pPr>
            <w:r>
              <w:rPr>
                <w:rFonts w:cs="Arial"/>
                <w:sz w:val="18"/>
                <w:szCs w:val="18"/>
              </w:rPr>
              <w:t> </w:t>
            </w:r>
          </w:p>
        </w:tc>
        <w:tc>
          <w:tcPr>
            <w:tcW w:w="268" w:type="dxa"/>
            <w:tcBorders>
              <w:top w:val="nil"/>
              <w:left w:val="nil"/>
              <w:bottom w:val="nil"/>
              <w:right w:val="nil"/>
            </w:tcBorders>
            <w:shd w:val="clear" w:color="FFFFFF" w:fill="FFFFFF"/>
            <w:noWrap/>
            <w:vAlign w:val="bottom"/>
            <w:hideMark/>
          </w:tcPr>
          <w:p w14:paraId="7A751761"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790EEC3B" w14:textId="77777777" w:rsidR="00AB6753" w:rsidRDefault="00AB6753" w:rsidP="002D1EA4">
            <w:pPr>
              <w:spacing w:after="0"/>
              <w:rPr>
                <w:rFonts w:cs="Arial"/>
                <w:sz w:val="18"/>
                <w:szCs w:val="18"/>
              </w:rPr>
            </w:pPr>
            <w:r>
              <w:rPr>
                <w:rFonts w:cs="Arial"/>
                <w:sz w:val="18"/>
                <w:szCs w:val="18"/>
              </w:rPr>
              <w:t> </w:t>
            </w:r>
          </w:p>
        </w:tc>
      </w:tr>
      <w:tr w:rsidR="00AB6753" w14:paraId="65599C17" w14:textId="77777777" w:rsidTr="002D1EA4">
        <w:trPr>
          <w:trHeight w:val="255"/>
        </w:trPr>
        <w:tc>
          <w:tcPr>
            <w:tcW w:w="3952" w:type="dxa"/>
            <w:tcBorders>
              <w:top w:val="nil"/>
              <w:left w:val="nil"/>
              <w:bottom w:val="nil"/>
              <w:right w:val="nil"/>
            </w:tcBorders>
            <w:shd w:val="clear" w:color="FFFFFF" w:fill="FFFFFF"/>
            <w:vAlign w:val="bottom"/>
            <w:hideMark/>
          </w:tcPr>
          <w:p w14:paraId="531A3B2C" w14:textId="77777777" w:rsidR="00AB6753" w:rsidRDefault="00AB6753" w:rsidP="002D1EA4">
            <w:pPr>
              <w:spacing w:after="0"/>
              <w:rPr>
                <w:rFonts w:cs="Arial"/>
                <w:sz w:val="18"/>
                <w:szCs w:val="18"/>
              </w:rPr>
            </w:pPr>
            <w:r>
              <w:rPr>
                <w:rFonts w:cs="Arial"/>
                <w:sz w:val="18"/>
                <w:szCs w:val="18"/>
              </w:rPr>
              <w:t>Gains from sale of assets</w:t>
            </w:r>
          </w:p>
        </w:tc>
        <w:tc>
          <w:tcPr>
            <w:tcW w:w="1261" w:type="dxa"/>
            <w:tcBorders>
              <w:top w:val="nil"/>
              <w:left w:val="nil"/>
              <w:bottom w:val="nil"/>
              <w:right w:val="nil"/>
            </w:tcBorders>
            <w:shd w:val="clear" w:color="FFFFFF" w:fill="FFFFFF"/>
            <w:noWrap/>
            <w:vAlign w:val="bottom"/>
            <w:hideMark/>
          </w:tcPr>
          <w:p w14:paraId="305CD8A8" w14:textId="77777777" w:rsidR="00AB6753" w:rsidRDefault="00AB6753" w:rsidP="002D1EA4">
            <w:pPr>
              <w:spacing w:after="0"/>
              <w:jc w:val="center"/>
              <w:rPr>
                <w:rFonts w:cs="Arial"/>
                <w:sz w:val="18"/>
                <w:szCs w:val="18"/>
              </w:rPr>
            </w:pPr>
            <w:r>
              <w:rPr>
                <w:rFonts w:cs="Arial"/>
                <w:sz w:val="18"/>
                <w:szCs w:val="18"/>
              </w:rPr>
              <w:t>1.2D</w:t>
            </w:r>
          </w:p>
        </w:tc>
        <w:tc>
          <w:tcPr>
            <w:tcW w:w="1261" w:type="dxa"/>
            <w:tcBorders>
              <w:top w:val="nil"/>
              <w:left w:val="nil"/>
              <w:bottom w:val="nil"/>
              <w:right w:val="nil"/>
            </w:tcBorders>
            <w:shd w:val="clear" w:color="FFFFFF" w:fill="FFFFFF"/>
            <w:noWrap/>
            <w:vAlign w:val="bottom"/>
            <w:hideMark/>
          </w:tcPr>
          <w:p w14:paraId="74F07E6B" w14:textId="77777777" w:rsidR="00AB6753" w:rsidRDefault="00AB6753" w:rsidP="002D1EA4">
            <w:pPr>
              <w:spacing w:after="0"/>
              <w:jc w:val="right"/>
              <w:rPr>
                <w:rFonts w:cs="Arial"/>
                <w:b/>
                <w:bCs/>
                <w:sz w:val="18"/>
                <w:szCs w:val="18"/>
              </w:rPr>
            </w:pPr>
            <w:r>
              <w:rPr>
                <w:rFonts w:cs="Arial"/>
                <w:b/>
                <w:bCs/>
                <w:sz w:val="18"/>
                <w:szCs w:val="18"/>
              </w:rPr>
              <w:t>2</w:t>
            </w:r>
          </w:p>
        </w:tc>
        <w:tc>
          <w:tcPr>
            <w:tcW w:w="268" w:type="dxa"/>
            <w:tcBorders>
              <w:top w:val="nil"/>
              <w:left w:val="nil"/>
              <w:bottom w:val="nil"/>
              <w:right w:val="nil"/>
            </w:tcBorders>
            <w:shd w:val="clear" w:color="FFFFFF" w:fill="FFFFFF"/>
            <w:noWrap/>
            <w:vAlign w:val="bottom"/>
            <w:hideMark/>
          </w:tcPr>
          <w:p w14:paraId="492EC376"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220D519F" w14:textId="77777777" w:rsidR="00AB6753" w:rsidRDefault="00AB6753" w:rsidP="002D1EA4">
            <w:pPr>
              <w:spacing w:after="0"/>
              <w:jc w:val="right"/>
              <w:rPr>
                <w:rFonts w:cs="Arial"/>
                <w:sz w:val="18"/>
                <w:szCs w:val="18"/>
              </w:rPr>
            </w:pPr>
            <w:r>
              <w:rPr>
                <w:rFonts w:cs="Arial"/>
                <w:sz w:val="18"/>
                <w:szCs w:val="18"/>
              </w:rPr>
              <w:t>172</w:t>
            </w:r>
          </w:p>
        </w:tc>
        <w:tc>
          <w:tcPr>
            <w:tcW w:w="268" w:type="dxa"/>
            <w:tcBorders>
              <w:top w:val="nil"/>
              <w:left w:val="nil"/>
              <w:bottom w:val="nil"/>
              <w:right w:val="nil"/>
            </w:tcBorders>
            <w:shd w:val="clear" w:color="FFFFFF" w:fill="FFFFFF"/>
            <w:noWrap/>
            <w:vAlign w:val="bottom"/>
            <w:hideMark/>
          </w:tcPr>
          <w:p w14:paraId="74010CBC"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67528F8A"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3396F4AE" w14:textId="77777777" w:rsidTr="002D1EA4">
        <w:trPr>
          <w:trHeight w:val="255"/>
        </w:trPr>
        <w:tc>
          <w:tcPr>
            <w:tcW w:w="3952" w:type="dxa"/>
            <w:tcBorders>
              <w:top w:val="nil"/>
              <w:left w:val="nil"/>
              <w:bottom w:val="nil"/>
              <w:right w:val="nil"/>
            </w:tcBorders>
            <w:shd w:val="clear" w:color="FFFFFF" w:fill="FFFFFF"/>
            <w:vAlign w:val="bottom"/>
            <w:hideMark/>
          </w:tcPr>
          <w:p w14:paraId="39C5FAF8" w14:textId="77777777" w:rsidR="00AB6753" w:rsidRDefault="00AB6753" w:rsidP="002D1EA4">
            <w:pPr>
              <w:spacing w:after="0"/>
              <w:rPr>
                <w:rFonts w:cs="Arial"/>
                <w:sz w:val="18"/>
                <w:szCs w:val="18"/>
              </w:rPr>
            </w:pPr>
            <w:r>
              <w:rPr>
                <w:rFonts w:cs="Arial"/>
                <w:sz w:val="18"/>
                <w:szCs w:val="18"/>
              </w:rPr>
              <w:t>Other gains</w:t>
            </w:r>
          </w:p>
        </w:tc>
        <w:tc>
          <w:tcPr>
            <w:tcW w:w="1261" w:type="dxa"/>
            <w:tcBorders>
              <w:top w:val="nil"/>
              <w:left w:val="nil"/>
              <w:bottom w:val="nil"/>
              <w:right w:val="nil"/>
            </w:tcBorders>
            <w:shd w:val="clear" w:color="FFFFFF" w:fill="FFFFFF"/>
            <w:noWrap/>
            <w:vAlign w:val="bottom"/>
            <w:hideMark/>
          </w:tcPr>
          <w:p w14:paraId="7B39C30C" w14:textId="77777777" w:rsidR="00AB6753" w:rsidRDefault="00AB6753" w:rsidP="002D1EA4">
            <w:pPr>
              <w:spacing w:after="0"/>
              <w:jc w:val="center"/>
              <w:rPr>
                <w:rFonts w:cs="Arial"/>
                <w:sz w:val="18"/>
                <w:szCs w:val="18"/>
              </w:rPr>
            </w:pPr>
            <w:r>
              <w:rPr>
                <w:rFonts w:cs="Arial"/>
                <w:sz w:val="18"/>
                <w:szCs w:val="18"/>
              </w:rPr>
              <w:t>1.2E</w:t>
            </w:r>
          </w:p>
        </w:tc>
        <w:tc>
          <w:tcPr>
            <w:tcW w:w="1261" w:type="dxa"/>
            <w:tcBorders>
              <w:top w:val="nil"/>
              <w:left w:val="nil"/>
              <w:bottom w:val="nil"/>
              <w:right w:val="nil"/>
            </w:tcBorders>
            <w:shd w:val="clear" w:color="FFFFFF" w:fill="FFFFFF"/>
            <w:noWrap/>
            <w:vAlign w:val="bottom"/>
            <w:hideMark/>
          </w:tcPr>
          <w:p w14:paraId="71FCA415" w14:textId="77777777" w:rsidR="00AB6753" w:rsidRDefault="00AB6753" w:rsidP="002D1EA4">
            <w:pPr>
              <w:spacing w:after="0"/>
              <w:jc w:val="right"/>
              <w:rPr>
                <w:rFonts w:cs="Arial"/>
                <w:b/>
                <w:bCs/>
                <w:sz w:val="18"/>
                <w:szCs w:val="18"/>
              </w:rPr>
            </w:pPr>
            <w:r>
              <w:rPr>
                <w:rFonts w:cs="Arial"/>
                <w:b/>
                <w:bCs/>
                <w:sz w:val="18"/>
                <w:szCs w:val="18"/>
              </w:rPr>
              <w:t>697</w:t>
            </w:r>
          </w:p>
        </w:tc>
        <w:tc>
          <w:tcPr>
            <w:tcW w:w="268" w:type="dxa"/>
            <w:tcBorders>
              <w:top w:val="nil"/>
              <w:left w:val="nil"/>
              <w:bottom w:val="nil"/>
              <w:right w:val="nil"/>
            </w:tcBorders>
            <w:shd w:val="clear" w:color="FFFFFF" w:fill="FFFFFF"/>
            <w:noWrap/>
            <w:vAlign w:val="bottom"/>
            <w:hideMark/>
          </w:tcPr>
          <w:p w14:paraId="042FBC3C"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3654EDFD" w14:textId="77777777" w:rsidR="00AB6753" w:rsidRDefault="00AB6753" w:rsidP="002D1EA4">
            <w:pPr>
              <w:spacing w:after="0"/>
              <w:jc w:val="right"/>
              <w:rPr>
                <w:rFonts w:cs="Arial"/>
                <w:sz w:val="18"/>
                <w:szCs w:val="18"/>
              </w:rPr>
            </w:pPr>
            <w:r>
              <w:rPr>
                <w:rFonts w:cs="Arial"/>
                <w:sz w:val="18"/>
                <w:szCs w:val="18"/>
              </w:rPr>
              <w:t>511</w:t>
            </w:r>
          </w:p>
        </w:tc>
        <w:tc>
          <w:tcPr>
            <w:tcW w:w="268" w:type="dxa"/>
            <w:tcBorders>
              <w:top w:val="nil"/>
              <w:left w:val="nil"/>
              <w:bottom w:val="nil"/>
              <w:right w:val="nil"/>
            </w:tcBorders>
            <w:shd w:val="clear" w:color="FFFFFF" w:fill="FFFFFF"/>
            <w:noWrap/>
            <w:vAlign w:val="bottom"/>
            <w:hideMark/>
          </w:tcPr>
          <w:p w14:paraId="733AD27B"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32A9B524"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6F34598B" w14:textId="77777777" w:rsidTr="002D1EA4">
        <w:trPr>
          <w:trHeight w:val="255"/>
        </w:trPr>
        <w:tc>
          <w:tcPr>
            <w:tcW w:w="3952" w:type="dxa"/>
            <w:tcBorders>
              <w:top w:val="nil"/>
              <w:left w:val="nil"/>
              <w:bottom w:val="nil"/>
              <w:right w:val="nil"/>
            </w:tcBorders>
            <w:shd w:val="clear" w:color="FFFFFF" w:fill="FFFFFF"/>
            <w:vAlign w:val="bottom"/>
            <w:hideMark/>
          </w:tcPr>
          <w:p w14:paraId="41357F71" w14:textId="77777777" w:rsidR="00AB6753" w:rsidRDefault="00AB6753" w:rsidP="002D1EA4">
            <w:pPr>
              <w:spacing w:after="0"/>
              <w:rPr>
                <w:rFonts w:cs="Arial"/>
                <w:b/>
                <w:bCs/>
                <w:sz w:val="18"/>
                <w:szCs w:val="18"/>
              </w:rPr>
            </w:pPr>
            <w:r>
              <w:rPr>
                <w:rFonts w:cs="Arial"/>
                <w:b/>
                <w:bCs/>
                <w:sz w:val="18"/>
                <w:szCs w:val="18"/>
              </w:rPr>
              <w:t>Total gains</w:t>
            </w:r>
          </w:p>
        </w:tc>
        <w:tc>
          <w:tcPr>
            <w:tcW w:w="1261" w:type="dxa"/>
            <w:tcBorders>
              <w:top w:val="nil"/>
              <w:left w:val="nil"/>
              <w:bottom w:val="nil"/>
              <w:right w:val="nil"/>
            </w:tcBorders>
            <w:shd w:val="clear" w:color="FFFFFF" w:fill="FFFFFF"/>
            <w:noWrap/>
            <w:vAlign w:val="bottom"/>
            <w:hideMark/>
          </w:tcPr>
          <w:p w14:paraId="3C66EFC9"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single" w:sz="4" w:space="0" w:color="auto"/>
              <w:left w:val="nil"/>
              <w:bottom w:val="single" w:sz="4" w:space="0" w:color="auto"/>
              <w:right w:val="nil"/>
            </w:tcBorders>
            <w:shd w:val="clear" w:color="FFFFFF" w:fill="FFFFFF"/>
            <w:noWrap/>
            <w:vAlign w:val="bottom"/>
            <w:hideMark/>
          </w:tcPr>
          <w:p w14:paraId="5409D4C6" w14:textId="77777777" w:rsidR="00AB6753" w:rsidRDefault="00AB6753" w:rsidP="002D1EA4">
            <w:pPr>
              <w:spacing w:after="0"/>
              <w:jc w:val="right"/>
              <w:rPr>
                <w:rFonts w:cs="Arial"/>
                <w:b/>
                <w:bCs/>
                <w:sz w:val="18"/>
                <w:szCs w:val="18"/>
              </w:rPr>
            </w:pPr>
            <w:r>
              <w:rPr>
                <w:rFonts w:cs="Arial"/>
                <w:b/>
                <w:bCs/>
                <w:sz w:val="18"/>
                <w:szCs w:val="18"/>
              </w:rPr>
              <w:t>699</w:t>
            </w:r>
          </w:p>
        </w:tc>
        <w:tc>
          <w:tcPr>
            <w:tcW w:w="268" w:type="dxa"/>
            <w:tcBorders>
              <w:top w:val="nil"/>
              <w:left w:val="nil"/>
              <w:bottom w:val="nil"/>
              <w:right w:val="nil"/>
            </w:tcBorders>
            <w:shd w:val="clear" w:color="FFFFFF" w:fill="FFFFFF"/>
            <w:noWrap/>
            <w:vAlign w:val="bottom"/>
            <w:hideMark/>
          </w:tcPr>
          <w:p w14:paraId="18349935" w14:textId="77777777" w:rsidR="00AB6753" w:rsidRDefault="00AB6753" w:rsidP="002D1EA4">
            <w:pPr>
              <w:spacing w:after="0"/>
              <w:rPr>
                <w:rFonts w:cs="Arial"/>
                <w:sz w:val="18"/>
                <w:szCs w:val="18"/>
              </w:rPr>
            </w:pPr>
            <w:r>
              <w:rPr>
                <w:rFonts w:cs="Arial"/>
                <w:sz w:val="18"/>
                <w:szCs w:val="18"/>
              </w:rPr>
              <w:t> </w:t>
            </w:r>
          </w:p>
        </w:tc>
        <w:tc>
          <w:tcPr>
            <w:tcW w:w="1261" w:type="dxa"/>
            <w:tcBorders>
              <w:top w:val="single" w:sz="4" w:space="0" w:color="auto"/>
              <w:left w:val="nil"/>
              <w:bottom w:val="single" w:sz="4" w:space="0" w:color="auto"/>
              <w:right w:val="nil"/>
            </w:tcBorders>
            <w:shd w:val="clear" w:color="FFFFFF" w:fill="FFFFFF"/>
            <w:noWrap/>
            <w:vAlign w:val="bottom"/>
            <w:hideMark/>
          </w:tcPr>
          <w:p w14:paraId="34E64199" w14:textId="77777777" w:rsidR="00AB6753" w:rsidRDefault="00AB6753" w:rsidP="002D1EA4">
            <w:pPr>
              <w:spacing w:after="0"/>
              <w:jc w:val="right"/>
              <w:rPr>
                <w:rFonts w:cs="Arial"/>
                <w:sz w:val="18"/>
                <w:szCs w:val="18"/>
              </w:rPr>
            </w:pPr>
            <w:r>
              <w:rPr>
                <w:rFonts w:cs="Arial"/>
                <w:sz w:val="18"/>
                <w:szCs w:val="18"/>
              </w:rPr>
              <w:t>683</w:t>
            </w:r>
          </w:p>
        </w:tc>
        <w:tc>
          <w:tcPr>
            <w:tcW w:w="268" w:type="dxa"/>
            <w:tcBorders>
              <w:top w:val="nil"/>
              <w:left w:val="nil"/>
              <w:bottom w:val="nil"/>
              <w:right w:val="nil"/>
            </w:tcBorders>
            <w:shd w:val="clear" w:color="FFFFFF" w:fill="FFFFFF"/>
            <w:noWrap/>
            <w:vAlign w:val="bottom"/>
            <w:hideMark/>
          </w:tcPr>
          <w:p w14:paraId="006F5F08" w14:textId="77777777" w:rsidR="00AB6753" w:rsidRDefault="00AB6753" w:rsidP="002D1EA4">
            <w:pPr>
              <w:spacing w:after="0"/>
              <w:rPr>
                <w:rFonts w:cs="Arial"/>
                <w:sz w:val="18"/>
                <w:szCs w:val="18"/>
              </w:rPr>
            </w:pPr>
            <w:r>
              <w:rPr>
                <w:rFonts w:cs="Arial"/>
                <w:sz w:val="18"/>
                <w:szCs w:val="18"/>
              </w:rPr>
              <w:t> </w:t>
            </w:r>
          </w:p>
        </w:tc>
        <w:tc>
          <w:tcPr>
            <w:tcW w:w="1140" w:type="dxa"/>
            <w:tcBorders>
              <w:top w:val="single" w:sz="4" w:space="0" w:color="auto"/>
              <w:left w:val="nil"/>
              <w:bottom w:val="single" w:sz="4" w:space="0" w:color="auto"/>
              <w:right w:val="nil"/>
            </w:tcBorders>
            <w:shd w:val="clear" w:color="FFFFFF" w:fill="FFFFFF"/>
            <w:noWrap/>
            <w:vAlign w:val="bottom"/>
            <w:hideMark/>
          </w:tcPr>
          <w:p w14:paraId="4B9D5E38" w14:textId="77777777" w:rsidR="00AB6753" w:rsidRDefault="00AB6753" w:rsidP="002D1EA4">
            <w:pPr>
              <w:spacing w:after="0"/>
              <w:jc w:val="right"/>
              <w:rPr>
                <w:rFonts w:cs="Arial"/>
                <w:sz w:val="18"/>
                <w:szCs w:val="18"/>
              </w:rPr>
            </w:pPr>
            <w:r>
              <w:rPr>
                <w:rFonts w:cs="Arial"/>
                <w:sz w:val="18"/>
                <w:szCs w:val="18"/>
              </w:rPr>
              <w:t>-</w:t>
            </w:r>
          </w:p>
        </w:tc>
      </w:tr>
      <w:tr w:rsidR="00AB6753" w14:paraId="6BC81014" w14:textId="77777777" w:rsidTr="002D1EA4">
        <w:trPr>
          <w:trHeight w:val="255"/>
        </w:trPr>
        <w:tc>
          <w:tcPr>
            <w:tcW w:w="3952" w:type="dxa"/>
            <w:tcBorders>
              <w:top w:val="nil"/>
              <w:left w:val="nil"/>
              <w:bottom w:val="nil"/>
              <w:right w:val="nil"/>
            </w:tcBorders>
            <w:shd w:val="clear" w:color="FFFFFF" w:fill="FFFFFF"/>
            <w:vAlign w:val="bottom"/>
            <w:hideMark/>
          </w:tcPr>
          <w:p w14:paraId="465C0E93" w14:textId="77777777" w:rsidR="00AB6753" w:rsidRDefault="00AB6753" w:rsidP="002D1EA4">
            <w:pPr>
              <w:spacing w:after="0"/>
              <w:rPr>
                <w:rFonts w:cs="Arial"/>
                <w:b/>
                <w:bCs/>
                <w:sz w:val="18"/>
                <w:szCs w:val="18"/>
              </w:rPr>
            </w:pPr>
            <w:r>
              <w:rPr>
                <w:rFonts w:cs="Arial"/>
                <w:b/>
                <w:bCs/>
                <w:sz w:val="18"/>
                <w:szCs w:val="18"/>
              </w:rPr>
              <w:t>Total own-source income</w:t>
            </w:r>
          </w:p>
        </w:tc>
        <w:tc>
          <w:tcPr>
            <w:tcW w:w="1261" w:type="dxa"/>
            <w:tcBorders>
              <w:top w:val="nil"/>
              <w:left w:val="nil"/>
              <w:bottom w:val="nil"/>
              <w:right w:val="nil"/>
            </w:tcBorders>
            <w:shd w:val="clear" w:color="FFFFFF" w:fill="FFFFFF"/>
            <w:noWrap/>
            <w:vAlign w:val="bottom"/>
            <w:hideMark/>
          </w:tcPr>
          <w:p w14:paraId="54A7F897"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single" w:sz="4" w:space="0" w:color="auto"/>
              <w:right w:val="nil"/>
            </w:tcBorders>
            <w:shd w:val="clear" w:color="FFFFFF" w:fill="FFFFFF"/>
            <w:noWrap/>
            <w:vAlign w:val="bottom"/>
            <w:hideMark/>
          </w:tcPr>
          <w:p w14:paraId="4AF894DE" w14:textId="77777777" w:rsidR="00AB6753" w:rsidRDefault="00AB6753" w:rsidP="002D1EA4">
            <w:pPr>
              <w:spacing w:after="0"/>
              <w:jc w:val="right"/>
              <w:rPr>
                <w:rFonts w:cs="Arial"/>
                <w:b/>
                <w:bCs/>
                <w:sz w:val="18"/>
                <w:szCs w:val="18"/>
              </w:rPr>
            </w:pPr>
            <w:r>
              <w:rPr>
                <w:rFonts w:cs="Arial"/>
                <w:b/>
                <w:bCs/>
                <w:sz w:val="18"/>
                <w:szCs w:val="18"/>
              </w:rPr>
              <w:t>54,208</w:t>
            </w:r>
          </w:p>
        </w:tc>
        <w:tc>
          <w:tcPr>
            <w:tcW w:w="268" w:type="dxa"/>
            <w:tcBorders>
              <w:top w:val="nil"/>
              <w:left w:val="nil"/>
              <w:bottom w:val="nil"/>
              <w:right w:val="nil"/>
            </w:tcBorders>
            <w:shd w:val="clear" w:color="FFFFFF" w:fill="FFFFFF"/>
            <w:noWrap/>
            <w:vAlign w:val="bottom"/>
            <w:hideMark/>
          </w:tcPr>
          <w:p w14:paraId="3D73E496"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single" w:sz="4" w:space="0" w:color="auto"/>
              <w:right w:val="nil"/>
            </w:tcBorders>
            <w:shd w:val="clear" w:color="FFFFFF" w:fill="FFFFFF"/>
            <w:noWrap/>
            <w:vAlign w:val="bottom"/>
            <w:hideMark/>
          </w:tcPr>
          <w:p w14:paraId="22152377" w14:textId="77777777" w:rsidR="00AB6753" w:rsidRDefault="00AB6753" w:rsidP="002D1EA4">
            <w:pPr>
              <w:spacing w:after="0"/>
              <w:jc w:val="right"/>
              <w:rPr>
                <w:rFonts w:cs="Arial"/>
                <w:sz w:val="18"/>
                <w:szCs w:val="18"/>
              </w:rPr>
            </w:pPr>
            <w:r>
              <w:rPr>
                <w:rFonts w:cs="Arial"/>
                <w:sz w:val="18"/>
                <w:szCs w:val="18"/>
              </w:rPr>
              <w:t>77,792</w:t>
            </w:r>
          </w:p>
        </w:tc>
        <w:tc>
          <w:tcPr>
            <w:tcW w:w="268" w:type="dxa"/>
            <w:tcBorders>
              <w:top w:val="nil"/>
              <w:left w:val="nil"/>
              <w:bottom w:val="nil"/>
              <w:right w:val="nil"/>
            </w:tcBorders>
            <w:shd w:val="clear" w:color="FFFFFF" w:fill="FFFFFF"/>
            <w:noWrap/>
            <w:vAlign w:val="bottom"/>
            <w:hideMark/>
          </w:tcPr>
          <w:p w14:paraId="1FFE3EF6"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single" w:sz="4" w:space="0" w:color="auto"/>
              <w:right w:val="nil"/>
            </w:tcBorders>
            <w:shd w:val="clear" w:color="FFFFFF" w:fill="FFFFFF"/>
            <w:noWrap/>
            <w:vAlign w:val="bottom"/>
            <w:hideMark/>
          </w:tcPr>
          <w:p w14:paraId="77C215B7" w14:textId="77777777" w:rsidR="00AB6753" w:rsidRDefault="00AB6753" w:rsidP="002D1EA4">
            <w:pPr>
              <w:spacing w:after="0"/>
              <w:jc w:val="right"/>
              <w:rPr>
                <w:rFonts w:cs="Arial"/>
                <w:sz w:val="18"/>
                <w:szCs w:val="18"/>
              </w:rPr>
            </w:pPr>
            <w:r>
              <w:rPr>
                <w:rFonts w:cs="Arial"/>
                <w:sz w:val="18"/>
                <w:szCs w:val="18"/>
              </w:rPr>
              <w:t>39,039</w:t>
            </w:r>
          </w:p>
        </w:tc>
      </w:tr>
      <w:tr w:rsidR="00AB6753" w14:paraId="0F657101" w14:textId="77777777" w:rsidTr="002D1EA4">
        <w:trPr>
          <w:trHeight w:val="255"/>
        </w:trPr>
        <w:tc>
          <w:tcPr>
            <w:tcW w:w="3952" w:type="dxa"/>
            <w:tcBorders>
              <w:top w:val="nil"/>
              <w:left w:val="nil"/>
              <w:bottom w:val="nil"/>
              <w:right w:val="nil"/>
            </w:tcBorders>
            <w:shd w:val="clear" w:color="FFFFFF" w:fill="FFFFFF"/>
            <w:vAlign w:val="bottom"/>
            <w:hideMark/>
          </w:tcPr>
          <w:p w14:paraId="751DC02E" w14:textId="77777777" w:rsidR="00AB6753" w:rsidRDefault="00AB6753" w:rsidP="002D1EA4">
            <w:pPr>
              <w:spacing w:after="0"/>
              <w:rPr>
                <w:rFonts w:cs="Arial"/>
                <w:b/>
                <w:bCs/>
                <w:sz w:val="18"/>
                <w:szCs w:val="18"/>
              </w:rPr>
            </w:pPr>
            <w:r>
              <w:rPr>
                <w:rFonts w:cs="Arial"/>
                <w:b/>
                <w:bCs/>
                <w:sz w:val="18"/>
                <w:szCs w:val="18"/>
              </w:rPr>
              <w:t> </w:t>
            </w:r>
          </w:p>
        </w:tc>
        <w:tc>
          <w:tcPr>
            <w:tcW w:w="1261" w:type="dxa"/>
            <w:tcBorders>
              <w:top w:val="nil"/>
              <w:left w:val="nil"/>
              <w:bottom w:val="nil"/>
              <w:right w:val="nil"/>
            </w:tcBorders>
            <w:shd w:val="clear" w:color="FFFFFF" w:fill="FFFFFF"/>
            <w:noWrap/>
            <w:vAlign w:val="bottom"/>
            <w:hideMark/>
          </w:tcPr>
          <w:p w14:paraId="11629ABA"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single" w:sz="4" w:space="0" w:color="auto"/>
              <w:right w:val="nil"/>
            </w:tcBorders>
            <w:shd w:val="clear" w:color="FFFFFF" w:fill="FFFFFF"/>
            <w:noWrap/>
            <w:vAlign w:val="bottom"/>
            <w:hideMark/>
          </w:tcPr>
          <w:p w14:paraId="0ED68859" w14:textId="77777777" w:rsidR="00AB6753" w:rsidRDefault="00AB6753" w:rsidP="002D1EA4">
            <w:pPr>
              <w:spacing w:after="0"/>
              <w:jc w:val="right"/>
              <w:rPr>
                <w:rFonts w:cs="Arial"/>
                <w:b/>
                <w:bCs/>
                <w:sz w:val="18"/>
                <w:szCs w:val="18"/>
              </w:rPr>
            </w:pPr>
            <w:r>
              <w:rPr>
                <w:rFonts w:cs="Arial"/>
                <w:b/>
                <w:bCs/>
                <w:sz w:val="18"/>
                <w:szCs w:val="18"/>
              </w:rPr>
              <w:t> </w:t>
            </w:r>
          </w:p>
        </w:tc>
        <w:tc>
          <w:tcPr>
            <w:tcW w:w="268" w:type="dxa"/>
            <w:tcBorders>
              <w:top w:val="nil"/>
              <w:left w:val="nil"/>
              <w:bottom w:val="nil"/>
              <w:right w:val="nil"/>
            </w:tcBorders>
            <w:shd w:val="clear" w:color="FFFFFF" w:fill="FFFFFF"/>
            <w:noWrap/>
            <w:vAlign w:val="bottom"/>
            <w:hideMark/>
          </w:tcPr>
          <w:p w14:paraId="57396957"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single" w:sz="4" w:space="0" w:color="auto"/>
              <w:right w:val="nil"/>
            </w:tcBorders>
            <w:shd w:val="clear" w:color="FFFFFF" w:fill="FFFFFF"/>
            <w:noWrap/>
            <w:vAlign w:val="bottom"/>
            <w:hideMark/>
          </w:tcPr>
          <w:p w14:paraId="508B127C" w14:textId="77777777" w:rsidR="00AB6753" w:rsidRDefault="00AB6753" w:rsidP="002D1EA4">
            <w:pPr>
              <w:spacing w:after="0"/>
              <w:jc w:val="right"/>
              <w:rPr>
                <w:rFonts w:cs="Arial"/>
                <w:sz w:val="18"/>
                <w:szCs w:val="18"/>
              </w:rPr>
            </w:pPr>
            <w:r>
              <w:rPr>
                <w:rFonts w:cs="Arial"/>
                <w:sz w:val="18"/>
                <w:szCs w:val="18"/>
              </w:rPr>
              <w:t> </w:t>
            </w:r>
          </w:p>
        </w:tc>
        <w:tc>
          <w:tcPr>
            <w:tcW w:w="268" w:type="dxa"/>
            <w:tcBorders>
              <w:top w:val="nil"/>
              <w:left w:val="nil"/>
              <w:bottom w:val="nil"/>
              <w:right w:val="nil"/>
            </w:tcBorders>
            <w:shd w:val="clear" w:color="FFFFFF" w:fill="FFFFFF"/>
            <w:noWrap/>
            <w:vAlign w:val="bottom"/>
            <w:hideMark/>
          </w:tcPr>
          <w:p w14:paraId="0250FDC3"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single" w:sz="4" w:space="0" w:color="auto"/>
              <w:right w:val="nil"/>
            </w:tcBorders>
            <w:shd w:val="clear" w:color="FFFFFF" w:fill="FFFFFF"/>
            <w:noWrap/>
            <w:vAlign w:val="bottom"/>
            <w:hideMark/>
          </w:tcPr>
          <w:p w14:paraId="7823C5BA" w14:textId="77777777" w:rsidR="00AB6753" w:rsidRDefault="00AB6753" w:rsidP="002D1EA4">
            <w:pPr>
              <w:spacing w:after="0"/>
              <w:jc w:val="right"/>
              <w:rPr>
                <w:rFonts w:cs="Arial"/>
                <w:sz w:val="18"/>
                <w:szCs w:val="18"/>
              </w:rPr>
            </w:pPr>
            <w:r>
              <w:rPr>
                <w:rFonts w:cs="Arial"/>
                <w:sz w:val="18"/>
                <w:szCs w:val="18"/>
              </w:rPr>
              <w:t> </w:t>
            </w:r>
          </w:p>
        </w:tc>
      </w:tr>
      <w:tr w:rsidR="00AB6753" w14:paraId="7AC67EA7" w14:textId="77777777" w:rsidTr="002D1EA4">
        <w:trPr>
          <w:trHeight w:val="255"/>
        </w:trPr>
        <w:tc>
          <w:tcPr>
            <w:tcW w:w="3952" w:type="dxa"/>
            <w:tcBorders>
              <w:top w:val="nil"/>
              <w:left w:val="nil"/>
              <w:bottom w:val="nil"/>
              <w:right w:val="nil"/>
            </w:tcBorders>
            <w:shd w:val="clear" w:color="FFFFFF" w:fill="FFFFFF"/>
            <w:vAlign w:val="bottom"/>
            <w:hideMark/>
          </w:tcPr>
          <w:p w14:paraId="41ACE44B" w14:textId="77777777" w:rsidR="00AB6753" w:rsidRDefault="00AB6753" w:rsidP="002D1EA4">
            <w:pPr>
              <w:spacing w:after="0"/>
              <w:rPr>
                <w:rFonts w:cs="Arial"/>
                <w:b/>
                <w:bCs/>
                <w:sz w:val="18"/>
                <w:szCs w:val="18"/>
              </w:rPr>
            </w:pPr>
            <w:r>
              <w:rPr>
                <w:rFonts w:cs="Arial"/>
                <w:b/>
                <w:bCs/>
                <w:sz w:val="18"/>
                <w:szCs w:val="18"/>
              </w:rPr>
              <w:t xml:space="preserve">Net cost of services </w:t>
            </w:r>
          </w:p>
        </w:tc>
        <w:tc>
          <w:tcPr>
            <w:tcW w:w="1261" w:type="dxa"/>
            <w:tcBorders>
              <w:top w:val="nil"/>
              <w:left w:val="nil"/>
              <w:bottom w:val="nil"/>
              <w:right w:val="nil"/>
            </w:tcBorders>
            <w:shd w:val="clear" w:color="FFFFFF" w:fill="FFFFFF"/>
            <w:noWrap/>
            <w:vAlign w:val="bottom"/>
            <w:hideMark/>
          </w:tcPr>
          <w:p w14:paraId="20BEDC2D"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single" w:sz="4" w:space="0" w:color="auto"/>
              <w:right w:val="nil"/>
            </w:tcBorders>
            <w:shd w:val="clear" w:color="FFFFFF" w:fill="FFFFFF"/>
            <w:noWrap/>
            <w:vAlign w:val="bottom"/>
            <w:hideMark/>
          </w:tcPr>
          <w:p w14:paraId="55117666" w14:textId="77777777" w:rsidR="00AB6753" w:rsidRDefault="00AB6753" w:rsidP="002D1EA4">
            <w:pPr>
              <w:spacing w:after="0"/>
              <w:jc w:val="right"/>
              <w:rPr>
                <w:rFonts w:cs="Arial"/>
                <w:b/>
                <w:bCs/>
                <w:sz w:val="18"/>
                <w:szCs w:val="18"/>
              </w:rPr>
            </w:pPr>
            <w:r>
              <w:rPr>
                <w:rFonts w:cs="Arial"/>
                <w:b/>
                <w:bCs/>
                <w:sz w:val="18"/>
                <w:szCs w:val="18"/>
              </w:rPr>
              <w:t>(468,650)</w:t>
            </w:r>
          </w:p>
        </w:tc>
        <w:tc>
          <w:tcPr>
            <w:tcW w:w="268" w:type="dxa"/>
            <w:tcBorders>
              <w:top w:val="nil"/>
              <w:left w:val="nil"/>
              <w:bottom w:val="nil"/>
              <w:right w:val="nil"/>
            </w:tcBorders>
            <w:shd w:val="clear" w:color="FFFFFF" w:fill="FFFFFF"/>
            <w:noWrap/>
            <w:vAlign w:val="bottom"/>
            <w:hideMark/>
          </w:tcPr>
          <w:p w14:paraId="19F80EE8"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single" w:sz="4" w:space="0" w:color="auto"/>
              <w:right w:val="nil"/>
            </w:tcBorders>
            <w:shd w:val="clear" w:color="FFFFFF" w:fill="FFFFFF"/>
            <w:noWrap/>
            <w:vAlign w:val="bottom"/>
            <w:hideMark/>
          </w:tcPr>
          <w:p w14:paraId="5C60AAAE" w14:textId="77777777" w:rsidR="00AB6753" w:rsidRDefault="00AB6753" w:rsidP="002D1EA4">
            <w:pPr>
              <w:spacing w:after="0"/>
              <w:jc w:val="right"/>
              <w:rPr>
                <w:rFonts w:cs="Arial"/>
                <w:sz w:val="18"/>
                <w:szCs w:val="18"/>
              </w:rPr>
            </w:pPr>
            <w:r>
              <w:rPr>
                <w:rFonts w:cs="Arial"/>
                <w:sz w:val="18"/>
                <w:szCs w:val="18"/>
              </w:rPr>
              <w:t>(496,580)</w:t>
            </w:r>
          </w:p>
        </w:tc>
        <w:tc>
          <w:tcPr>
            <w:tcW w:w="268" w:type="dxa"/>
            <w:tcBorders>
              <w:top w:val="nil"/>
              <w:left w:val="nil"/>
              <w:bottom w:val="nil"/>
              <w:right w:val="nil"/>
            </w:tcBorders>
            <w:shd w:val="clear" w:color="FFFFFF" w:fill="FFFFFF"/>
            <w:noWrap/>
            <w:vAlign w:val="bottom"/>
            <w:hideMark/>
          </w:tcPr>
          <w:p w14:paraId="0380AB3C"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single" w:sz="4" w:space="0" w:color="auto"/>
              <w:right w:val="nil"/>
            </w:tcBorders>
            <w:shd w:val="clear" w:color="FFFFFF" w:fill="FFFFFF"/>
            <w:noWrap/>
            <w:vAlign w:val="bottom"/>
            <w:hideMark/>
          </w:tcPr>
          <w:p w14:paraId="7A35BDFD" w14:textId="77777777" w:rsidR="00AB6753" w:rsidRDefault="00AB6753" w:rsidP="002D1EA4">
            <w:pPr>
              <w:spacing w:after="0"/>
              <w:jc w:val="right"/>
              <w:rPr>
                <w:rFonts w:cs="Arial"/>
                <w:sz w:val="18"/>
                <w:szCs w:val="18"/>
              </w:rPr>
            </w:pPr>
            <w:r>
              <w:rPr>
                <w:rFonts w:cs="Arial"/>
                <w:sz w:val="18"/>
                <w:szCs w:val="18"/>
              </w:rPr>
              <w:t>(512,640)</w:t>
            </w:r>
          </w:p>
        </w:tc>
      </w:tr>
      <w:tr w:rsidR="00AB6753" w14:paraId="6F45CCDA" w14:textId="77777777" w:rsidTr="002D1EA4">
        <w:trPr>
          <w:trHeight w:val="255"/>
        </w:trPr>
        <w:tc>
          <w:tcPr>
            <w:tcW w:w="3952" w:type="dxa"/>
            <w:tcBorders>
              <w:top w:val="nil"/>
              <w:left w:val="nil"/>
              <w:bottom w:val="nil"/>
              <w:right w:val="nil"/>
            </w:tcBorders>
            <w:shd w:val="clear" w:color="FFFFFF" w:fill="FFFFFF"/>
            <w:vAlign w:val="bottom"/>
            <w:hideMark/>
          </w:tcPr>
          <w:p w14:paraId="2BF5D4AA"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10EC4B50"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5411EF76" w14:textId="77777777" w:rsidR="00AB6753" w:rsidRDefault="00AB6753" w:rsidP="002D1EA4">
            <w:pPr>
              <w:spacing w:after="0"/>
              <w:jc w:val="right"/>
              <w:rPr>
                <w:rFonts w:cs="Arial"/>
                <w:b/>
                <w:bCs/>
                <w:sz w:val="18"/>
                <w:szCs w:val="18"/>
              </w:rPr>
            </w:pPr>
            <w:r>
              <w:rPr>
                <w:rFonts w:cs="Arial"/>
                <w:b/>
                <w:bCs/>
                <w:sz w:val="18"/>
                <w:szCs w:val="18"/>
              </w:rPr>
              <w:t> </w:t>
            </w:r>
          </w:p>
        </w:tc>
        <w:tc>
          <w:tcPr>
            <w:tcW w:w="268" w:type="dxa"/>
            <w:tcBorders>
              <w:top w:val="nil"/>
              <w:left w:val="nil"/>
              <w:bottom w:val="nil"/>
              <w:right w:val="nil"/>
            </w:tcBorders>
            <w:shd w:val="clear" w:color="FFFFFF" w:fill="FFFFFF"/>
            <w:noWrap/>
            <w:vAlign w:val="bottom"/>
            <w:hideMark/>
          </w:tcPr>
          <w:p w14:paraId="4F1C72EF"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11721857" w14:textId="77777777" w:rsidR="00AB6753" w:rsidRDefault="00AB6753" w:rsidP="002D1EA4">
            <w:pPr>
              <w:spacing w:after="0"/>
              <w:rPr>
                <w:rFonts w:cs="Arial"/>
                <w:sz w:val="18"/>
                <w:szCs w:val="18"/>
              </w:rPr>
            </w:pPr>
            <w:r>
              <w:rPr>
                <w:rFonts w:cs="Arial"/>
                <w:sz w:val="18"/>
                <w:szCs w:val="18"/>
              </w:rPr>
              <w:t> </w:t>
            </w:r>
          </w:p>
        </w:tc>
        <w:tc>
          <w:tcPr>
            <w:tcW w:w="268" w:type="dxa"/>
            <w:tcBorders>
              <w:top w:val="nil"/>
              <w:left w:val="nil"/>
              <w:bottom w:val="nil"/>
              <w:right w:val="nil"/>
            </w:tcBorders>
            <w:shd w:val="clear" w:color="FFFFFF" w:fill="FFFFFF"/>
            <w:noWrap/>
            <w:vAlign w:val="bottom"/>
            <w:hideMark/>
          </w:tcPr>
          <w:p w14:paraId="611C6917"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19F88CFF" w14:textId="77777777" w:rsidR="00AB6753" w:rsidRDefault="00AB6753" w:rsidP="002D1EA4">
            <w:pPr>
              <w:spacing w:after="0"/>
              <w:rPr>
                <w:rFonts w:cs="Arial"/>
                <w:sz w:val="18"/>
                <w:szCs w:val="18"/>
              </w:rPr>
            </w:pPr>
            <w:r>
              <w:rPr>
                <w:rFonts w:cs="Arial"/>
                <w:sz w:val="18"/>
                <w:szCs w:val="18"/>
              </w:rPr>
              <w:t> </w:t>
            </w:r>
          </w:p>
        </w:tc>
      </w:tr>
      <w:tr w:rsidR="00AB6753" w14:paraId="3BD29E78" w14:textId="77777777" w:rsidTr="002D1EA4">
        <w:trPr>
          <w:trHeight w:val="255"/>
        </w:trPr>
        <w:tc>
          <w:tcPr>
            <w:tcW w:w="3952" w:type="dxa"/>
            <w:tcBorders>
              <w:top w:val="nil"/>
              <w:left w:val="nil"/>
              <w:bottom w:val="nil"/>
              <w:right w:val="nil"/>
            </w:tcBorders>
            <w:shd w:val="clear" w:color="FFFFFF" w:fill="FFFFFF"/>
            <w:vAlign w:val="bottom"/>
            <w:hideMark/>
          </w:tcPr>
          <w:p w14:paraId="63D0CC91" w14:textId="77777777" w:rsidR="00AB6753" w:rsidRDefault="00AB6753" w:rsidP="002D1EA4">
            <w:pPr>
              <w:spacing w:after="0"/>
              <w:rPr>
                <w:rFonts w:cs="Arial"/>
                <w:sz w:val="18"/>
                <w:szCs w:val="18"/>
              </w:rPr>
            </w:pPr>
            <w:r>
              <w:rPr>
                <w:rFonts w:cs="Arial"/>
                <w:sz w:val="18"/>
                <w:szCs w:val="18"/>
              </w:rPr>
              <w:t>Revenue from Government</w:t>
            </w:r>
          </w:p>
        </w:tc>
        <w:tc>
          <w:tcPr>
            <w:tcW w:w="1261" w:type="dxa"/>
            <w:tcBorders>
              <w:top w:val="nil"/>
              <w:left w:val="nil"/>
              <w:bottom w:val="nil"/>
              <w:right w:val="nil"/>
            </w:tcBorders>
            <w:shd w:val="clear" w:color="FFFFFF" w:fill="FFFFFF"/>
            <w:noWrap/>
            <w:vAlign w:val="bottom"/>
            <w:hideMark/>
          </w:tcPr>
          <w:p w14:paraId="5C44BCCD"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540BF46A" w14:textId="77777777" w:rsidR="00AB6753" w:rsidRDefault="00AB6753" w:rsidP="002D1EA4">
            <w:pPr>
              <w:spacing w:after="0"/>
              <w:jc w:val="right"/>
              <w:rPr>
                <w:rFonts w:cs="Arial"/>
                <w:b/>
                <w:bCs/>
                <w:sz w:val="18"/>
                <w:szCs w:val="18"/>
              </w:rPr>
            </w:pPr>
            <w:r>
              <w:rPr>
                <w:rFonts w:cs="Arial"/>
                <w:b/>
                <w:bCs/>
                <w:sz w:val="18"/>
                <w:szCs w:val="18"/>
              </w:rPr>
              <w:t>411,945</w:t>
            </w:r>
          </w:p>
        </w:tc>
        <w:tc>
          <w:tcPr>
            <w:tcW w:w="268" w:type="dxa"/>
            <w:tcBorders>
              <w:top w:val="nil"/>
              <w:left w:val="nil"/>
              <w:bottom w:val="nil"/>
              <w:right w:val="nil"/>
            </w:tcBorders>
            <w:shd w:val="clear" w:color="FFFFFF" w:fill="FFFFFF"/>
            <w:noWrap/>
            <w:vAlign w:val="bottom"/>
            <w:hideMark/>
          </w:tcPr>
          <w:p w14:paraId="69AC6E95"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171B2F6F" w14:textId="77777777" w:rsidR="00AB6753" w:rsidRDefault="00AB6753" w:rsidP="002D1EA4">
            <w:pPr>
              <w:spacing w:after="0"/>
              <w:jc w:val="right"/>
              <w:rPr>
                <w:rFonts w:cs="Arial"/>
                <w:sz w:val="18"/>
                <w:szCs w:val="18"/>
              </w:rPr>
            </w:pPr>
            <w:r>
              <w:rPr>
                <w:rFonts w:cs="Arial"/>
                <w:sz w:val="18"/>
                <w:szCs w:val="18"/>
              </w:rPr>
              <w:t>420,522</w:t>
            </w:r>
          </w:p>
        </w:tc>
        <w:tc>
          <w:tcPr>
            <w:tcW w:w="268" w:type="dxa"/>
            <w:tcBorders>
              <w:top w:val="nil"/>
              <w:left w:val="nil"/>
              <w:bottom w:val="nil"/>
              <w:right w:val="nil"/>
            </w:tcBorders>
            <w:shd w:val="clear" w:color="FFFFFF" w:fill="FFFFFF"/>
            <w:noWrap/>
            <w:vAlign w:val="bottom"/>
            <w:hideMark/>
          </w:tcPr>
          <w:p w14:paraId="08F77EFB"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19CF2BDE" w14:textId="77777777" w:rsidR="00AB6753" w:rsidRDefault="00AB6753" w:rsidP="002D1EA4">
            <w:pPr>
              <w:spacing w:after="0"/>
              <w:jc w:val="right"/>
              <w:rPr>
                <w:rFonts w:cs="Arial"/>
                <w:sz w:val="18"/>
                <w:szCs w:val="18"/>
              </w:rPr>
            </w:pPr>
            <w:r>
              <w:rPr>
                <w:rFonts w:cs="Arial"/>
                <w:sz w:val="18"/>
                <w:szCs w:val="18"/>
              </w:rPr>
              <w:t xml:space="preserve">433,757 </w:t>
            </w:r>
          </w:p>
        </w:tc>
      </w:tr>
      <w:tr w:rsidR="00AB6753" w14:paraId="7AB1A79B" w14:textId="77777777" w:rsidTr="002D1EA4">
        <w:trPr>
          <w:trHeight w:val="255"/>
        </w:trPr>
        <w:tc>
          <w:tcPr>
            <w:tcW w:w="3952" w:type="dxa"/>
            <w:tcBorders>
              <w:top w:val="nil"/>
              <w:left w:val="nil"/>
              <w:bottom w:val="nil"/>
              <w:right w:val="nil"/>
            </w:tcBorders>
            <w:shd w:val="clear" w:color="FFFFFF" w:fill="FFFFFF"/>
            <w:vAlign w:val="bottom"/>
            <w:hideMark/>
          </w:tcPr>
          <w:p w14:paraId="1A162BA0" w14:textId="77777777" w:rsidR="00AB6753" w:rsidRDefault="00AB6753" w:rsidP="002D1EA4">
            <w:pPr>
              <w:spacing w:after="0"/>
              <w:rPr>
                <w:rFonts w:cs="Arial"/>
                <w:b/>
                <w:bCs/>
                <w:sz w:val="18"/>
                <w:szCs w:val="18"/>
              </w:rPr>
            </w:pPr>
            <w:r>
              <w:rPr>
                <w:rFonts w:cs="Arial"/>
                <w:b/>
                <w:bCs/>
                <w:sz w:val="18"/>
                <w:szCs w:val="18"/>
              </w:rPr>
              <w:t xml:space="preserve">Deficit </w:t>
            </w:r>
          </w:p>
        </w:tc>
        <w:tc>
          <w:tcPr>
            <w:tcW w:w="1261" w:type="dxa"/>
            <w:tcBorders>
              <w:top w:val="nil"/>
              <w:left w:val="nil"/>
              <w:bottom w:val="nil"/>
              <w:right w:val="nil"/>
            </w:tcBorders>
            <w:shd w:val="clear" w:color="FFFFFF" w:fill="FFFFFF"/>
            <w:noWrap/>
            <w:vAlign w:val="bottom"/>
            <w:hideMark/>
          </w:tcPr>
          <w:p w14:paraId="5F945E48"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single" w:sz="4" w:space="0" w:color="auto"/>
              <w:left w:val="nil"/>
              <w:bottom w:val="single" w:sz="4" w:space="0" w:color="auto"/>
              <w:right w:val="nil"/>
            </w:tcBorders>
            <w:shd w:val="clear" w:color="FFFFFF" w:fill="FFFFFF"/>
            <w:noWrap/>
            <w:vAlign w:val="bottom"/>
            <w:hideMark/>
          </w:tcPr>
          <w:p w14:paraId="59F1E318" w14:textId="77777777" w:rsidR="00AB6753" w:rsidRDefault="00AB6753" w:rsidP="002D1EA4">
            <w:pPr>
              <w:spacing w:after="0"/>
              <w:jc w:val="right"/>
              <w:rPr>
                <w:rFonts w:cs="Arial"/>
                <w:b/>
                <w:bCs/>
                <w:sz w:val="18"/>
                <w:szCs w:val="18"/>
              </w:rPr>
            </w:pPr>
            <w:r>
              <w:rPr>
                <w:rFonts w:cs="Arial"/>
                <w:b/>
                <w:bCs/>
                <w:sz w:val="18"/>
                <w:szCs w:val="18"/>
              </w:rPr>
              <w:t>(56,705)</w:t>
            </w:r>
          </w:p>
        </w:tc>
        <w:tc>
          <w:tcPr>
            <w:tcW w:w="268" w:type="dxa"/>
            <w:tcBorders>
              <w:top w:val="nil"/>
              <w:left w:val="nil"/>
              <w:bottom w:val="nil"/>
              <w:right w:val="nil"/>
            </w:tcBorders>
            <w:shd w:val="clear" w:color="FFFFFF" w:fill="FFFFFF"/>
            <w:noWrap/>
            <w:vAlign w:val="bottom"/>
            <w:hideMark/>
          </w:tcPr>
          <w:p w14:paraId="2FA201FC" w14:textId="77777777" w:rsidR="00AB6753" w:rsidRDefault="00AB6753" w:rsidP="002D1EA4">
            <w:pPr>
              <w:spacing w:after="0"/>
              <w:rPr>
                <w:rFonts w:cs="Arial"/>
                <w:sz w:val="18"/>
                <w:szCs w:val="18"/>
              </w:rPr>
            </w:pPr>
            <w:r>
              <w:rPr>
                <w:rFonts w:cs="Arial"/>
                <w:sz w:val="18"/>
                <w:szCs w:val="18"/>
              </w:rPr>
              <w:t> </w:t>
            </w:r>
          </w:p>
        </w:tc>
        <w:tc>
          <w:tcPr>
            <w:tcW w:w="1261" w:type="dxa"/>
            <w:tcBorders>
              <w:top w:val="single" w:sz="4" w:space="0" w:color="auto"/>
              <w:left w:val="nil"/>
              <w:bottom w:val="single" w:sz="4" w:space="0" w:color="auto"/>
              <w:right w:val="nil"/>
            </w:tcBorders>
            <w:shd w:val="clear" w:color="FFFFFF" w:fill="FFFFFF"/>
            <w:noWrap/>
            <w:vAlign w:val="bottom"/>
            <w:hideMark/>
          </w:tcPr>
          <w:p w14:paraId="7532FA75" w14:textId="77777777" w:rsidR="00AB6753" w:rsidRDefault="00AB6753" w:rsidP="002D1EA4">
            <w:pPr>
              <w:spacing w:after="0"/>
              <w:jc w:val="right"/>
              <w:rPr>
                <w:rFonts w:cs="Arial"/>
                <w:sz w:val="18"/>
                <w:szCs w:val="18"/>
              </w:rPr>
            </w:pPr>
            <w:r>
              <w:rPr>
                <w:rFonts w:cs="Arial"/>
                <w:sz w:val="18"/>
                <w:szCs w:val="18"/>
              </w:rPr>
              <w:t>(76,058)</w:t>
            </w:r>
          </w:p>
        </w:tc>
        <w:tc>
          <w:tcPr>
            <w:tcW w:w="268" w:type="dxa"/>
            <w:tcBorders>
              <w:top w:val="nil"/>
              <w:left w:val="nil"/>
              <w:bottom w:val="nil"/>
              <w:right w:val="nil"/>
            </w:tcBorders>
            <w:shd w:val="clear" w:color="FFFFFF" w:fill="FFFFFF"/>
            <w:noWrap/>
            <w:vAlign w:val="bottom"/>
            <w:hideMark/>
          </w:tcPr>
          <w:p w14:paraId="3FBF5982" w14:textId="77777777" w:rsidR="00AB6753" w:rsidRDefault="00AB6753" w:rsidP="002D1EA4">
            <w:pPr>
              <w:spacing w:after="0"/>
              <w:rPr>
                <w:rFonts w:cs="Arial"/>
                <w:sz w:val="18"/>
                <w:szCs w:val="18"/>
              </w:rPr>
            </w:pPr>
            <w:r>
              <w:rPr>
                <w:rFonts w:cs="Arial"/>
                <w:sz w:val="18"/>
                <w:szCs w:val="18"/>
              </w:rPr>
              <w:t> </w:t>
            </w:r>
          </w:p>
        </w:tc>
        <w:tc>
          <w:tcPr>
            <w:tcW w:w="1140" w:type="dxa"/>
            <w:tcBorders>
              <w:top w:val="single" w:sz="4" w:space="0" w:color="auto"/>
              <w:left w:val="nil"/>
              <w:bottom w:val="single" w:sz="4" w:space="0" w:color="auto"/>
              <w:right w:val="nil"/>
            </w:tcBorders>
            <w:shd w:val="clear" w:color="FFFFFF" w:fill="FFFFFF"/>
            <w:noWrap/>
            <w:vAlign w:val="bottom"/>
            <w:hideMark/>
          </w:tcPr>
          <w:p w14:paraId="2AD9A592" w14:textId="77777777" w:rsidR="00AB6753" w:rsidRDefault="00AB6753" w:rsidP="002D1EA4">
            <w:pPr>
              <w:spacing w:after="0"/>
              <w:jc w:val="right"/>
              <w:rPr>
                <w:rFonts w:cs="Arial"/>
                <w:sz w:val="18"/>
                <w:szCs w:val="18"/>
              </w:rPr>
            </w:pPr>
            <w:r>
              <w:rPr>
                <w:rFonts w:cs="Arial"/>
                <w:sz w:val="18"/>
                <w:szCs w:val="18"/>
              </w:rPr>
              <w:t>(78,883)</w:t>
            </w:r>
          </w:p>
        </w:tc>
      </w:tr>
      <w:tr w:rsidR="00AB6753" w14:paraId="0F6C4A9C" w14:textId="77777777" w:rsidTr="002D1EA4">
        <w:trPr>
          <w:trHeight w:val="255"/>
        </w:trPr>
        <w:tc>
          <w:tcPr>
            <w:tcW w:w="3952" w:type="dxa"/>
            <w:tcBorders>
              <w:top w:val="nil"/>
              <w:left w:val="nil"/>
              <w:bottom w:val="nil"/>
              <w:right w:val="nil"/>
            </w:tcBorders>
            <w:shd w:val="clear" w:color="FFFFFF" w:fill="FFFFFF"/>
            <w:vAlign w:val="bottom"/>
            <w:hideMark/>
          </w:tcPr>
          <w:p w14:paraId="0C77CFC9"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6B6B09D7"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04656350" w14:textId="77777777" w:rsidR="00AB6753" w:rsidRDefault="00AB6753" w:rsidP="002D1EA4">
            <w:pPr>
              <w:spacing w:after="0"/>
              <w:jc w:val="right"/>
              <w:rPr>
                <w:rFonts w:cs="Arial"/>
                <w:b/>
                <w:bCs/>
                <w:sz w:val="18"/>
                <w:szCs w:val="18"/>
              </w:rPr>
            </w:pPr>
            <w:r>
              <w:rPr>
                <w:rFonts w:cs="Arial"/>
                <w:b/>
                <w:bCs/>
                <w:sz w:val="18"/>
                <w:szCs w:val="18"/>
              </w:rPr>
              <w:t> </w:t>
            </w:r>
          </w:p>
        </w:tc>
        <w:tc>
          <w:tcPr>
            <w:tcW w:w="268" w:type="dxa"/>
            <w:tcBorders>
              <w:top w:val="nil"/>
              <w:left w:val="nil"/>
              <w:bottom w:val="nil"/>
              <w:right w:val="nil"/>
            </w:tcBorders>
            <w:shd w:val="clear" w:color="FFFFFF" w:fill="FFFFFF"/>
            <w:noWrap/>
            <w:vAlign w:val="bottom"/>
            <w:hideMark/>
          </w:tcPr>
          <w:p w14:paraId="409F9E3F"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4686BAD7" w14:textId="77777777" w:rsidR="00AB6753" w:rsidRDefault="00AB6753" w:rsidP="002D1EA4">
            <w:pPr>
              <w:spacing w:after="0"/>
              <w:rPr>
                <w:rFonts w:cs="Arial"/>
                <w:sz w:val="18"/>
                <w:szCs w:val="18"/>
              </w:rPr>
            </w:pPr>
            <w:r>
              <w:rPr>
                <w:rFonts w:cs="Arial"/>
                <w:sz w:val="18"/>
                <w:szCs w:val="18"/>
              </w:rPr>
              <w:t> </w:t>
            </w:r>
          </w:p>
        </w:tc>
        <w:tc>
          <w:tcPr>
            <w:tcW w:w="268" w:type="dxa"/>
            <w:tcBorders>
              <w:top w:val="nil"/>
              <w:left w:val="nil"/>
              <w:bottom w:val="nil"/>
              <w:right w:val="nil"/>
            </w:tcBorders>
            <w:shd w:val="clear" w:color="FFFFFF" w:fill="FFFFFF"/>
            <w:noWrap/>
            <w:vAlign w:val="bottom"/>
            <w:hideMark/>
          </w:tcPr>
          <w:p w14:paraId="39BAAFC9"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49F67827" w14:textId="77777777" w:rsidR="00AB6753" w:rsidRDefault="00AB6753" w:rsidP="002D1EA4">
            <w:pPr>
              <w:spacing w:after="0"/>
              <w:rPr>
                <w:rFonts w:cs="Arial"/>
                <w:sz w:val="18"/>
                <w:szCs w:val="18"/>
              </w:rPr>
            </w:pPr>
            <w:r>
              <w:rPr>
                <w:rFonts w:cs="Arial"/>
                <w:sz w:val="18"/>
                <w:szCs w:val="18"/>
              </w:rPr>
              <w:t> </w:t>
            </w:r>
          </w:p>
        </w:tc>
      </w:tr>
      <w:tr w:rsidR="00AB6753" w14:paraId="2CC2E829" w14:textId="77777777" w:rsidTr="002D1EA4">
        <w:trPr>
          <w:trHeight w:val="255"/>
        </w:trPr>
        <w:tc>
          <w:tcPr>
            <w:tcW w:w="3952" w:type="dxa"/>
            <w:tcBorders>
              <w:top w:val="nil"/>
              <w:left w:val="nil"/>
              <w:bottom w:val="nil"/>
              <w:right w:val="nil"/>
            </w:tcBorders>
            <w:shd w:val="clear" w:color="FFFFFF" w:fill="FFFFFF"/>
            <w:vAlign w:val="bottom"/>
            <w:hideMark/>
          </w:tcPr>
          <w:p w14:paraId="4876FF5D" w14:textId="77777777" w:rsidR="00AB6753" w:rsidRDefault="00AB6753" w:rsidP="002D1EA4">
            <w:pPr>
              <w:spacing w:after="0"/>
              <w:rPr>
                <w:rFonts w:cs="Arial"/>
                <w:b/>
                <w:bCs/>
                <w:sz w:val="18"/>
                <w:szCs w:val="18"/>
              </w:rPr>
            </w:pPr>
            <w:r>
              <w:rPr>
                <w:rFonts w:cs="Arial"/>
                <w:b/>
                <w:bCs/>
                <w:sz w:val="18"/>
                <w:szCs w:val="18"/>
              </w:rPr>
              <w:t>OTHER COMPREHENSIVE (LOSS) / INCOME</w:t>
            </w:r>
          </w:p>
        </w:tc>
        <w:tc>
          <w:tcPr>
            <w:tcW w:w="1261" w:type="dxa"/>
            <w:tcBorders>
              <w:top w:val="nil"/>
              <w:left w:val="nil"/>
              <w:bottom w:val="nil"/>
              <w:right w:val="nil"/>
            </w:tcBorders>
            <w:shd w:val="clear" w:color="FFFFFF" w:fill="FFFFFF"/>
            <w:noWrap/>
            <w:vAlign w:val="bottom"/>
            <w:hideMark/>
          </w:tcPr>
          <w:p w14:paraId="182F7192"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6F24BF42" w14:textId="77777777" w:rsidR="00AB6753" w:rsidRDefault="00AB6753" w:rsidP="002D1EA4">
            <w:pPr>
              <w:spacing w:after="0"/>
              <w:jc w:val="right"/>
              <w:rPr>
                <w:rFonts w:cs="Arial"/>
                <w:b/>
                <w:bCs/>
                <w:sz w:val="18"/>
                <w:szCs w:val="18"/>
              </w:rPr>
            </w:pPr>
            <w:r>
              <w:rPr>
                <w:rFonts w:cs="Arial"/>
                <w:b/>
                <w:bCs/>
                <w:sz w:val="18"/>
                <w:szCs w:val="18"/>
              </w:rPr>
              <w:t> </w:t>
            </w:r>
          </w:p>
        </w:tc>
        <w:tc>
          <w:tcPr>
            <w:tcW w:w="268" w:type="dxa"/>
            <w:tcBorders>
              <w:top w:val="nil"/>
              <w:left w:val="nil"/>
              <w:bottom w:val="nil"/>
              <w:right w:val="nil"/>
            </w:tcBorders>
            <w:shd w:val="clear" w:color="FFFFFF" w:fill="FFFFFF"/>
            <w:noWrap/>
            <w:vAlign w:val="bottom"/>
            <w:hideMark/>
          </w:tcPr>
          <w:p w14:paraId="6FCA4348"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3D84082F" w14:textId="77777777" w:rsidR="00AB6753" w:rsidRDefault="00AB6753" w:rsidP="002D1EA4">
            <w:pPr>
              <w:spacing w:after="0"/>
              <w:rPr>
                <w:rFonts w:cs="Arial"/>
                <w:sz w:val="18"/>
                <w:szCs w:val="18"/>
              </w:rPr>
            </w:pPr>
            <w:r>
              <w:rPr>
                <w:rFonts w:cs="Arial"/>
                <w:sz w:val="18"/>
                <w:szCs w:val="18"/>
              </w:rPr>
              <w:t> </w:t>
            </w:r>
          </w:p>
        </w:tc>
        <w:tc>
          <w:tcPr>
            <w:tcW w:w="268" w:type="dxa"/>
            <w:tcBorders>
              <w:top w:val="nil"/>
              <w:left w:val="nil"/>
              <w:bottom w:val="nil"/>
              <w:right w:val="nil"/>
            </w:tcBorders>
            <w:shd w:val="clear" w:color="FFFFFF" w:fill="FFFFFF"/>
            <w:noWrap/>
            <w:vAlign w:val="bottom"/>
            <w:hideMark/>
          </w:tcPr>
          <w:p w14:paraId="0D3AC3A0"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226F8EB8" w14:textId="77777777" w:rsidR="00AB6753" w:rsidRDefault="00AB6753" w:rsidP="002D1EA4">
            <w:pPr>
              <w:spacing w:after="0"/>
              <w:rPr>
                <w:rFonts w:cs="Arial"/>
                <w:sz w:val="18"/>
                <w:szCs w:val="18"/>
              </w:rPr>
            </w:pPr>
            <w:r>
              <w:rPr>
                <w:rFonts w:cs="Arial"/>
                <w:sz w:val="18"/>
                <w:szCs w:val="18"/>
              </w:rPr>
              <w:t> </w:t>
            </w:r>
          </w:p>
        </w:tc>
      </w:tr>
      <w:tr w:rsidR="00AB6753" w14:paraId="11A0A842" w14:textId="77777777" w:rsidTr="002D1EA4">
        <w:trPr>
          <w:trHeight w:val="570"/>
        </w:trPr>
        <w:tc>
          <w:tcPr>
            <w:tcW w:w="3952" w:type="dxa"/>
            <w:tcBorders>
              <w:top w:val="nil"/>
              <w:left w:val="nil"/>
              <w:bottom w:val="nil"/>
              <w:right w:val="nil"/>
            </w:tcBorders>
            <w:shd w:val="clear" w:color="FFFFFF" w:fill="FFFFFF"/>
            <w:hideMark/>
          </w:tcPr>
          <w:p w14:paraId="4C513307" w14:textId="77777777" w:rsidR="00AB6753" w:rsidRDefault="00AB6753" w:rsidP="002D1EA4">
            <w:pPr>
              <w:spacing w:after="0"/>
              <w:rPr>
                <w:rFonts w:cs="Arial"/>
                <w:b/>
                <w:bCs/>
                <w:sz w:val="18"/>
                <w:szCs w:val="18"/>
              </w:rPr>
            </w:pPr>
            <w:r>
              <w:rPr>
                <w:rFonts w:cs="Arial"/>
                <w:b/>
                <w:bCs/>
                <w:sz w:val="18"/>
                <w:szCs w:val="18"/>
              </w:rPr>
              <w:t xml:space="preserve">Items not subject to subsequent </w:t>
            </w:r>
            <w:r>
              <w:rPr>
                <w:rFonts w:cs="Arial"/>
                <w:b/>
                <w:bCs/>
                <w:sz w:val="18"/>
                <w:szCs w:val="18"/>
              </w:rPr>
              <w:br/>
              <w:t>reclassification to net cost of services</w:t>
            </w:r>
          </w:p>
        </w:tc>
        <w:tc>
          <w:tcPr>
            <w:tcW w:w="1261" w:type="dxa"/>
            <w:tcBorders>
              <w:top w:val="nil"/>
              <w:left w:val="nil"/>
              <w:bottom w:val="nil"/>
              <w:right w:val="nil"/>
            </w:tcBorders>
            <w:shd w:val="clear" w:color="FFFFFF" w:fill="FFFFFF"/>
            <w:noWrap/>
            <w:hideMark/>
          </w:tcPr>
          <w:p w14:paraId="621F6DFB" w14:textId="77777777" w:rsidR="00AB6753" w:rsidRDefault="00AB6753" w:rsidP="002D1EA4">
            <w:pPr>
              <w:spacing w:after="0"/>
              <w:rPr>
                <w:rFonts w:cs="Arial"/>
                <w:b/>
                <w:bCs/>
                <w:sz w:val="18"/>
                <w:szCs w:val="18"/>
              </w:rPr>
            </w:pPr>
            <w:r>
              <w:rPr>
                <w:rFonts w:cs="Arial"/>
                <w:b/>
                <w:bCs/>
                <w:sz w:val="18"/>
                <w:szCs w:val="18"/>
              </w:rPr>
              <w:t> </w:t>
            </w:r>
          </w:p>
        </w:tc>
        <w:tc>
          <w:tcPr>
            <w:tcW w:w="1261" w:type="dxa"/>
            <w:tcBorders>
              <w:top w:val="nil"/>
              <w:left w:val="nil"/>
              <w:bottom w:val="nil"/>
              <w:right w:val="nil"/>
            </w:tcBorders>
            <w:shd w:val="clear" w:color="FFFFFF" w:fill="FFFFFF"/>
            <w:vAlign w:val="bottom"/>
            <w:hideMark/>
          </w:tcPr>
          <w:p w14:paraId="6ACB193D" w14:textId="77777777" w:rsidR="00AB6753" w:rsidRDefault="00AB6753" w:rsidP="002D1EA4">
            <w:pPr>
              <w:spacing w:after="0"/>
              <w:rPr>
                <w:rFonts w:cs="Arial"/>
                <w:b/>
                <w:bCs/>
                <w:sz w:val="18"/>
                <w:szCs w:val="18"/>
              </w:rPr>
            </w:pPr>
            <w:r>
              <w:rPr>
                <w:rFonts w:cs="Arial"/>
                <w:b/>
                <w:bCs/>
                <w:sz w:val="18"/>
                <w:szCs w:val="18"/>
              </w:rPr>
              <w:t> </w:t>
            </w:r>
          </w:p>
        </w:tc>
        <w:tc>
          <w:tcPr>
            <w:tcW w:w="268" w:type="dxa"/>
            <w:tcBorders>
              <w:top w:val="nil"/>
              <w:left w:val="nil"/>
              <w:bottom w:val="nil"/>
              <w:right w:val="nil"/>
            </w:tcBorders>
            <w:shd w:val="clear" w:color="FFFFFF" w:fill="FFFFFF"/>
            <w:vAlign w:val="bottom"/>
            <w:hideMark/>
          </w:tcPr>
          <w:p w14:paraId="0C9417F3" w14:textId="77777777" w:rsidR="00AB6753" w:rsidRDefault="00AB6753" w:rsidP="002D1EA4">
            <w:pPr>
              <w:spacing w:after="0"/>
              <w:rPr>
                <w:rFonts w:cs="Arial"/>
                <w:b/>
                <w:bCs/>
                <w:sz w:val="18"/>
                <w:szCs w:val="18"/>
              </w:rPr>
            </w:pPr>
            <w:r>
              <w:rPr>
                <w:rFonts w:cs="Arial"/>
                <w:b/>
                <w:bCs/>
                <w:sz w:val="18"/>
                <w:szCs w:val="18"/>
              </w:rPr>
              <w:t> </w:t>
            </w:r>
          </w:p>
        </w:tc>
        <w:tc>
          <w:tcPr>
            <w:tcW w:w="1261" w:type="dxa"/>
            <w:tcBorders>
              <w:top w:val="nil"/>
              <w:left w:val="nil"/>
              <w:bottom w:val="nil"/>
              <w:right w:val="nil"/>
            </w:tcBorders>
            <w:shd w:val="clear" w:color="FFFFFF" w:fill="FFFFFF"/>
            <w:vAlign w:val="bottom"/>
            <w:hideMark/>
          </w:tcPr>
          <w:p w14:paraId="28677037" w14:textId="77777777" w:rsidR="00AB6753" w:rsidRDefault="00AB6753" w:rsidP="002D1EA4">
            <w:pPr>
              <w:spacing w:after="0"/>
              <w:rPr>
                <w:rFonts w:cs="Arial"/>
                <w:b/>
                <w:bCs/>
                <w:sz w:val="18"/>
                <w:szCs w:val="18"/>
              </w:rPr>
            </w:pPr>
            <w:r>
              <w:rPr>
                <w:rFonts w:cs="Arial"/>
                <w:b/>
                <w:bCs/>
                <w:sz w:val="18"/>
                <w:szCs w:val="18"/>
              </w:rPr>
              <w:t> </w:t>
            </w:r>
          </w:p>
        </w:tc>
        <w:tc>
          <w:tcPr>
            <w:tcW w:w="268" w:type="dxa"/>
            <w:tcBorders>
              <w:top w:val="nil"/>
              <w:left w:val="nil"/>
              <w:bottom w:val="nil"/>
              <w:right w:val="nil"/>
            </w:tcBorders>
            <w:shd w:val="clear" w:color="FFFFFF" w:fill="FFFFFF"/>
            <w:vAlign w:val="bottom"/>
            <w:hideMark/>
          </w:tcPr>
          <w:p w14:paraId="2348A488" w14:textId="77777777" w:rsidR="00AB6753" w:rsidRDefault="00AB6753" w:rsidP="002D1EA4">
            <w:pPr>
              <w:spacing w:after="0"/>
              <w:rPr>
                <w:rFonts w:cs="Arial"/>
                <w:b/>
                <w:bCs/>
                <w:sz w:val="18"/>
                <w:szCs w:val="18"/>
              </w:rPr>
            </w:pPr>
            <w:r>
              <w:rPr>
                <w:rFonts w:cs="Arial"/>
                <w:b/>
                <w:bCs/>
                <w:sz w:val="18"/>
                <w:szCs w:val="18"/>
              </w:rPr>
              <w:t> </w:t>
            </w:r>
          </w:p>
        </w:tc>
        <w:tc>
          <w:tcPr>
            <w:tcW w:w="1140" w:type="dxa"/>
            <w:tcBorders>
              <w:top w:val="nil"/>
              <w:left w:val="nil"/>
              <w:bottom w:val="nil"/>
              <w:right w:val="nil"/>
            </w:tcBorders>
            <w:shd w:val="clear" w:color="FFFFFF" w:fill="FFFFFF"/>
            <w:vAlign w:val="bottom"/>
            <w:hideMark/>
          </w:tcPr>
          <w:p w14:paraId="34DCB1E0" w14:textId="77777777" w:rsidR="00AB6753" w:rsidRDefault="00AB6753" w:rsidP="002D1EA4">
            <w:pPr>
              <w:spacing w:after="0"/>
              <w:rPr>
                <w:rFonts w:cs="Arial"/>
                <w:b/>
                <w:bCs/>
                <w:sz w:val="18"/>
                <w:szCs w:val="18"/>
              </w:rPr>
            </w:pPr>
            <w:r>
              <w:rPr>
                <w:rFonts w:cs="Arial"/>
                <w:b/>
                <w:bCs/>
                <w:sz w:val="18"/>
                <w:szCs w:val="18"/>
              </w:rPr>
              <w:t> </w:t>
            </w:r>
          </w:p>
        </w:tc>
      </w:tr>
      <w:tr w:rsidR="00AB6753" w14:paraId="7CA73DF7" w14:textId="77777777" w:rsidTr="002D1EA4">
        <w:trPr>
          <w:trHeight w:val="255"/>
        </w:trPr>
        <w:tc>
          <w:tcPr>
            <w:tcW w:w="3952" w:type="dxa"/>
            <w:tcBorders>
              <w:top w:val="nil"/>
              <w:left w:val="nil"/>
              <w:bottom w:val="nil"/>
              <w:right w:val="nil"/>
            </w:tcBorders>
            <w:shd w:val="clear" w:color="FFFFFF" w:fill="FFFFFF"/>
            <w:vAlign w:val="bottom"/>
            <w:hideMark/>
          </w:tcPr>
          <w:p w14:paraId="5B63A333" w14:textId="77777777" w:rsidR="00AB6753" w:rsidRDefault="00AB6753" w:rsidP="002D1EA4">
            <w:pPr>
              <w:spacing w:after="0"/>
              <w:rPr>
                <w:rFonts w:cs="Arial"/>
                <w:sz w:val="18"/>
                <w:szCs w:val="18"/>
              </w:rPr>
            </w:pPr>
            <w:r>
              <w:rPr>
                <w:rFonts w:cs="Arial"/>
                <w:sz w:val="18"/>
                <w:szCs w:val="18"/>
              </w:rPr>
              <w:t>Changes in asset revaluation reserve</w:t>
            </w:r>
          </w:p>
        </w:tc>
        <w:tc>
          <w:tcPr>
            <w:tcW w:w="1261" w:type="dxa"/>
            <w:tcBorders>
              <w:top w:val="nil"/>
              <w:left w:val="nil"/>
              <w:bottom w:val="nil"/>
              <w:right w:val="nil"/>
            </w:tcBorders>
            <w:shd w:val="clear" w:color="FFFFFF" w:fill="FFFFFF"/>
            <w:noWrap/>
            <w:vAlign w:val="bottom"/>
            <w:hideMark/>
          </w:tcPr>
          <w:p w14:paraId="1878B059"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6912117C" w14:textId="77777777" w:rsidR="00AB6753" w:rsidRDefault="00AB6753" w:rsidP="002D1EA4">
            <w:pPr>
              <w:spacing w:after="0"/>
              <w:jc w:val="right"/>
              <w:rPr>
                <w:rFonts w:cs="Arial"/>
                <w:b/>
                <w:bCs/>
                <w:sz w:val="18"/>
                <w:szCs w:val="18"/>
              </w:rPr>
            </w:pPr>
            <w:r>
              <w:rPr>
                <w:rFonts w:cs="Arial"/>
                <w:b/>
                <w:bCs/>
                <w:sz w:val="18"/>
                <w:szCs w:val="18"/>
              </w:rPr>
              <w:t>(8)</w:t>
            </w:r>
          </w:p>
        </w:tc>
        <w:tc>
          <w:tcPr>
            <w:tcW w:w="268" w:type="dxa"/>
            <w:tcBorders>
              <w:top w:val="nil"/>
              <w:left w:val="nil"/>
              <w:bottom w:val="nil"/>
              <w:right w:val="nil"/>
            </w:tcBorders>
            <w:shd w:val="clear" w:color="FFFFFF" w:fill="FFFFFF"/>
            <w:noWrap/>
            <w:vAlign w:val="bottom"/>
            <w:hideMark/>
          </w:tcPr>
          <w:p w14:paraId="7535A300"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25BB38DA" w14:textId="77777777" w:rsidR="00AB6753" w:rsidRDefault="00AB6753" w:rsidP="002D1EA4">
            <w:pPr>
              <w:spacing w:after="0"/>
              <w:jc w:val="right"/>
              <w:rPr>
                <w:rFonts w:cs="Arial"/>
                <w:sz w:val="18"/>
                <w:szCs w:val="18"/>
              </w:rPr>
            </w:pPr>
            <w:r>
              <w:rPr>
                <w:rFonts w:cs="Arial"/>
                <w:sz w:val="18"/>
                <w:szCs w:val="18"/>
              </w:rPr>
              <w:t>3,221</w:t>
            </w:r>
          </w:p>
        </w:tc>
        <w:tc>
          <w:tcPr>
            <w:tcW w:w="268" w:type="dxa"/>
            <w:tcBorders>
              <w:top w:val="nil"/>
              <w:left w:val="nil"/>
              <w:bottom w:val="nil"/>
              <w:right w:val="nil"/>
            </w:tcBorders>
            <w:shd w:val="clear" w:color="FFFFFF" w:fill="FFFFFF"/>
            <w:noWrap/>
            <w:vAlign w:val="bottom"/>
            <w:hideMark/>
          </w:tcPr>
          <w:p w14:paraId="1A80D4CB"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5B70422A"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49517A41" w14:textId="77777777" w:rsidTr="002D1EA4">
        <w:trPr>
          <w:trHeight w:val="255"/>
        </w:trPr>
        <w:tc>
          <w:tcPr>
            <w:tcW w:w="3952" w:type="dxa"/>
            <w:tcBorders>
              <w:top w:val="nil"/>
              <w:left w:val="nil"/>
              <w:bottom w:val="nil"/>
              <w:right w:val="nil"/>
            </w:tcBorders>
            <w:shd w:val="clear" w:color="FFFFFF" w:fill="FFFFFF"/>
            <w:vAlign w:val="bottom"/>
            <w:hideMark/>
          </w:tcPr>
          <w:p w14:paraId="37011E79" w14:textId="77777777" w:rsidR="00AB6753" w:rsidRDefault="00AB6753" w:rsidP="002D1EA4">
            <w:pPr>
              <w:spacing w:after="0"/>
              <w:rPr>
                <w:rFonts w:cs="Arial"/>
                <w:b/>
                <w:bCs/>
                <w:sz w:val="18"/>
                <w:szCs w:val="18"/>
              </w:rPr>
            </w:pPr>
            <w:r>
              <w:rPr>
                <w:rFonts w:cs="Arial"/>
                <w:b/>
                <w:bCs/>
                <w:sz w:val="18"/>
                <w:szCs w:val="18"/>
              </w:rPr>
              <w:t>Total other comprehensive (loss) / income</w:t>
            </w:r>
          </w:p>
        </w:tc>
        <w:tc>
          <w:tcPr>
            <w:tcW w:w="1261" w:type="dxa"/>
            <w:tcBorders>
              <w:top w:val="nil"/>
              <w:left w:val="nil"/>
              <w:bottom w:val="nil"/>
              <w:right w:val="nil"/>
            </w:tcBorders>
            <w:shd w:val="clear" w:color="FFFFFF" w:fill="FFFFFF"/>
            <w:noWrap/>
            <w:vAlign w:val="bottom"/>
            <w:hideMark/>
          </w:tcPr>
          <w:p w14:paraId="40FAD79B"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single" w:sz="4" w:space="0" w:color="auto"/>
              <w:left w:val="nil"/>
              <w:bottom w:val="single" w:sz="4" w:space="0" w:color="auto"/>
              <w:right w:val="nil"/>
            </w:tcBorders>
            <w:shd w:val="clear" w:color="FFFFFF" w:fill="FFFFFF"/>
            <w:noWrap/>
            <w:vAlign w:val="bottom"/>
            <w:hideMark/>
          </w:tcPr>
          <w:p w14:paraId="722E325E" w14:textId="77777777" w:rsidR="00AB6753" w:rsidRDefault="00AB6753" w:rsidP="002D1EA4">
            <w:pPr>
              <w:spacing w:after="0"/>
              <w:jc w:val="right"/>
              <w:rPr>
                <w:rFonts w:cs="Arial"/>
                <w:b/>
                <w:bCs/>
                <w:sz w:val="18"/>
                <w:szCs w:val="18"/>
              </w:rPr>
            </w:pPr>
            <w:r>
              <w:rPr>
                <w:rFonts w:cs="Arial"/>
                <w:b/>
                <w:bCs/>
                <w:sz w:val="18"/>
                <w:szCs w:val="18"/>
              </w:rPr>
              <w:t>(8)</w:t>
            </w:r>
          </w:p>
        </w:tc>
        <w:tc>
          <w:tcPr>
            <w:tcW w:w="268" w:type="dxa"/>
            <w:tcBorders>
              <w:top w:val="nil"/>
              <w:left w:val="nil"/>
              <w:bottom w:val="nil"/>
              <w:right w:val="nil"/>
            </w:tcBorders>
            <w:shd w:val="clear" w:color="FFFFFF" w:fill="FFFFFF"/>
            <w:noWrap/>
            <w:vAlign w:val="bottom"/>
            <w:hideMark/>
          </w:tcPr>
          <w:p w14:paraId="714F30EA" w14:textId="77777777" w:rsidR="00AB6753" w:rsidRDefault="00AB6753" w:rsidP="002D1EA4">
            <w:pPr>
              <w:spacing w:after="0"/>
              <w:rPr>
                <w:rFonts w:cs="Arial"/>
                <w:sz w:val="18"/>
                <w:szCs w:val="18"/>
              </w:rPr>
            </w:pPr>
            <w:r>
              <w:rPr>
                <w:rFonts w:cs="Arial"/>
                <w:sz w:val="18"/>
                <w:szCs w:val="18"/>
              </w:rPr>
              <w:t> </w:t>
            </w:r>
          </w:p>
        </w:tc>
        <w:tc>
          <w:tcPr>
            <w:tcW w:w="1261" w:type="dxa"/>
            <w:tcBorders>
              <w:top w:val="single" w:sz="4" w:space="0" w:color="auto"/>
              <w:left w:val="nil"/>
              <w:bottom w:val="single" w:sz="4" w:space="0" w:color="auto"/>
              <w:right w:val="nil"/>
            </w:tcBorders>
            <w:shd w:val="clear" w:color="FFFFFF" w:fill="FFFFFF"/>
            <w:noWrap/>
            <w:vAlign w:val="bottom"/>
            <w:hideMark/>
          </w:tcPr>
          <w:p w14:paraId="06146916" w14:textId="77777777" w:rsidR="00AB6753" w:rsidRDefault="00AB6753" w:rsidP="002D1EA4">
            <w:pPr>
              <w:spacing w:after="0"/>
              <w:jc w:val="right"/>
              <w:rPr>
                <w:rFonts w:cs="Arial"/>
                <w:sz w:val="18"/>
                <w:szCs w:val="18"/>
              </w:rPr>
            </w:pPr>
            <w:r>
              <w:rPr>
                <w:rFonts w:cs="Arial"/>
                <w:sz w:val="18"/>
                <w:szCs w:val="18"/>
              </w:rPr>
              <w:t>3,221</w:t>
            </w:r>
          </w:p>
        </w:tc>
        <w:tc>
          <w:tcPr>
            <w:tcW w:w="268" w:type="dxa"/>
            <w:tcBorders>
              <w:top w:val="nil"/>
              <w:left w:val="nil"/>
              <w:bottom w:val="nil"/>
              <w:right w:val="nil"/>
            </w:tcBorders>
            <w:shd w:val="clear" w:color="FFFFFF" w:fill="FFFFFF"/>
            <w:noWrap/>
            <w:vAlign w:val="bottom"/>
            <w:hideMark/>
          </w:tcPr>
          <w:p w14:paraId="58103001" w14:textId="77777777" w:rsidR="00AB6753" w:rsidRDefault="00AB6753" w:rsidP="002D1EA4">
            <w:pPr>
              <w:spacing w:after="0"/>
              <w:rPr>
                <w:rFonts w:cs="Arial"/>
                <w:sz w:val="18"/>
                <w:szCs w:val="18"/>
              </w:rPr>
            </w:pPr>
            <w:r>
              <w:rPr>
                <w:rFonts w:cs="Arial"/>
                <w:sz w:val="18"/>
                <w:szCs w:val="18"/>
              </w:rPr>
              <w:t> </w:t>
            </w:r>
          </w:p>
        </w:tc>
        <w:tc>
          <w:tcPr>
            <w:tcW w:w="1140" w:type="dxa"/>
            <w:tcBorders>
              <w:top w:val="single" w:sz="4" w:space="0" w:color="auto"/>
              <w:left w:val="nil"/>
              <w:bottom w:val="single" w:sz="4" w:space="0" w:color="auto"/>
              <w:right w:val="nil"/>
            </w:tcBorders>
            <w:shd w:val="clear" w:color="FFFFFF" w:fill="FFFFFF"/>
            <w:noWrap/>
            <w:vAlign w:val="bottom"/>
            <w:hideMark/>
          </w:tcPr>
          <w:p w14:paraId="000E8D5B" w14:textId="77777777" w:rsidR="00AB6753" w:rsidRDefault="00AB6753" w:rsidP="002D1EA4">
            <w:pPr>
              <w:spacing w:after="0"/>
              <w:jc w:val="right"/>
              <w:rPr>
                <w:rFonts w:cs="Arial"/>
                <w:sz w:val="18"/>
                <w:szCs w:val="18"/>
              </w:rPr>
            </w:pPr>
            <w:r>
              <w:rPr>
                <w:rFonts w:cs="Arial"/>
                <w:sz w:val="18"/>
                <w:szCs w:val="18"/>
              </w:rPr>
              <w:t>-</w:t>
            </w:r>
          </w:p>
        </w:tc>
      </w:tr>
      <w:tr w:rsidR="00AB6753" w14:paraId="52C4661C" w14:textId="77777777" w:rsidTr="002D1EA4">
        <w:trPr>
          <w:trHeight w:val="255"/>
        </w:trPr>
        <w:tc>
          <w:tcPr>
            <w:tcW w:w="3952" w:type="dxa"/>
            <w:tcBorders>
              <w:top w:val="nil"/>
              <w:left w:val="nil"/>
              <w:bottom w:val="nil"/>
              <w:right w:val="nil"/>
            </w:tcBorders>
            <w:shd w:val="clear" w:color="FFFFFF" w:fill="FFFFFF"/>
            <w:vAlign w:val="bottom"/>
            <w:hideMark/>
          </w:tcPr>
          <w:p w14:paraId="55CBF12C"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0BEFF922" w14:textId="77777777" w:rsidR="00AB6753" w:rsidRDefault="00AB6753" w:rsidP="002D1EA4">
            <w:pPr>
              <w:spacing w:after="0"/>
              <w:jc w:val="center"/>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10354028" w14:textId="77777777" w:rsidR="00AB6753" w:rsidRDefault="00AB6753" w:rsidP="002D1EA4">
            <w:pPr>
              <w:spacing w:after="0"/>
              <w:jc w:val="right"/>
              <w:rPr>
                <w:rFonts w:cs="Arial"/>
                <w:b/>
                <w:bCs/>
                <w:sz w:val="18"/>
                <w:szCs w:val="18"/>
              </w:rPr>
            </w:pPr>
            <w:r>
              <w:rPr>
                <w:rFonts w:cs="Arial"/>
                <w:b/>
                <w:bCs/>
                <w:sz w:val="18"/>
                <w:szCs w:val="18"/>
              </w:rPr>
              <w:t> </w:t>
            </w:r>
          </w:p>
        </w:tc>
        <w:tc>
          <w:tcPr>
            <w:tcW w:w="268" w:type="dxa"/>
            <w:tcBorders>
              <w:top w:val="nil"/>
              <w:left w:val="nil"/>
              <w:bottom w:val="nil"/>
              <w:right w:val="nil"/>
            </w:tcBorders>
            <w:shd w:val="clear" w:color="FFFFFF" w:fill="FFFFFF"/>
            <w:noWrap/>
            <w:vAlign w:val="bottom"/>
            <w:hideMark/>
          </w:tcPr>
          <w:p w14:paraId="65EAF7D9" w14:textId="77777777" w:rsidR="00AB6753" w:rsidRDefault="00AB6753" w:rsidP="002D1EA4">
            <w:pPr>
              <w:spacing w:after="0"/>
              <w:rPr>
                <w:rFonts w:cs="Arial"/>
                <w:sz w:val="18"/>
                <w:szCs w:val="18"/>
              </w:rPr>
            </w:pPr>
            <w:r>
              <w:rPr>
                <w:rFonts w:cs="Arial"/>
                <w:sz w:val="18"/>
                <w:szCs w:val="18"/>
              </w:rPr>
              <w:t> </w:t>
            </w:r>
          </w:p>
        </w:tc>
        <w:tc>
          <w:tcPr>
            <w:tcW w:w="1261" w:type="dxa"/>
            <w:tcBorders>
              <w:top w:val="nil"/>
              <w:left w:val="nil"/>
              <w:bottom w:val="nil"/>
              <w:right w:val="nil"/>
            </w:tcBorders>
            <w:shd w:val="clear" w:color="FFFFFF" w:fill="FFFFFF"/>
            <w:noWrap/>
            <w:vAlign w:val="bottom"/>
            <w:hideMark/>
          </w:tcPr>
          <w:p w14:paraId="02333E51" w14:textId="77777777" w:rsidR="00AB6753" w:rsidRDefault="00AB6753" w:rsidP="002D1EA4">
            <w:pPr>
              <w:spacing w:after="0"/>
              <w:rPr>
                <w:rFonts w:cs="Arial"/>
                <w:sz w:val="18"/>
                <w:szCs w:val="18"/>
              </w:rPr>
            </w:pPr>
            <w:r>
              <w:rPr>
                <w:rFonts w:cs="Arial"/>
                <w:sz w:val="18"/>
                <w:szCs w:val="18"/>
              </w:rPr>
              <w:t> </w:t>
            </w:r>
          </w:p>
        </w:tc>
        <w:tc>
          <w:tcPr>
            <w:tcW w:w="268" w:type="dxa"/>
            <w:tcBorders>
              <w:top w:val="nil"/>
              <w:left w:val="nil"/>
              <w:bottom w:val="nil"/>
              <w:right w:val="nil"/>
            </w:tcBorders>
            <w:shd w:val="clear" w:color="FFFFFF" w:fill="FFFFFF"/>
            <w:noWrap/>
            <w:vAlign w:val="bottom"/>
            <w:hideMark/>
          </w:tcPr>
          <w:p w14:paraId="02EA4DEB" w14:textId="77777777" w:rsidR="00AB6753" w:rsidRDefault="00AB6753" w:rsidP="002D1EA4">
            <w:pPr>
              <w:spacing w:after="0"/>
              <w:rPr>
                <w:rFonts w:cs="Arial"/>
                <w:sz w:val="18"/>
                <w:szCs w:val="18"/>
              </w:rPr>
            </w:pPr>
            <w:r>
              <w:rPr>
                <w:rFonts w:cs="Arial"/>
                <w:sz w:val="18"/>
                <w:szCs w:val="18"/>
              </w:rPr>
              <w:t> </w:t>
            </w:r>
          </w:p>
        </w:tc>
        <w:tc>
          <w:tcPr>
            <w:tcW w:w="1140" w:type="dxa"/>
            <w:tcBorders>
              <w:top w:val="nil"/>
              <w:left w:val="nil"/>
              <w:bottom w:val="nil"/>
              <w:right w:val="nil"/>
            </w:tcBorders>
            <w:shd w:val="clear" w:color="FFFFFF" w:fill="FFFFFF"/>
            <w:noWrap/>
            <w:vAlign w:val="bottom"/>
            <w:hideMark/>
          </w:tcPr>
          <w:p w14:paraId="71BBF574" w14:textId="77777777" w:rsidR="00AB6753" w:rsidRDefault="00AB6753" w:rsidP="002D1EA4">
            <w:pPr>
              <w:spacing w:after="0"/>
              <w:rPr>
                <w:rFonts w:cs="Arial"/>
                <w:sz w:val="18"/>
                <w:szCs w:val="18"/>
              </w:rPr>
            </w:pPr>
            <w:r>
              <w:rPr>
                <w:rFonts w:cs="Arial"/>
                <w:sz w:val="18"/>
                <w:szCs w:val="18"/>
              </w:rPr>
              <w:t> </w:t>
            </w:r>
          </w:p>
        </w:tc>
      </w:tr>
      <w:tr w:rsidR="00AB6753" w14:paraId="74EB5058" w14:textId="77777777" w:rsidTr="002D1EA4">
        <w:trPr>
          <w:trHeight w:val="255"/>
        </w:trPr>
        <w:tc>
          <w:tcPr>
            <w:tcW w:w="3952" w:type="dxa"/>
            <w:tcBorders>
              <w:top w:val="nil"/>
              <w:left w:val="nil"/>
              <w:bottom w:val="nil"/>
              <w:right w:val="nil"/>
            </w:tcBorders>
            <w:shd w:val="clear" w:color="FFFFFF" w:fill="FFFFFF"/>
            <w:vAlign w:val="bottom"/>
            <w:hideMark/>
          </w:tcPr>
          <w:p w14:paraId="538E2600" w14:textId="77777777" w:rsidR="00AB6753" w:rsidRDefault="00AB6753" w:rsidP="002D1EA4">
            <w:pPr>
              <w:spacing w:after="0"/>
              <w:rPr>
                <w:rFonts w:cs="Arial"/>
                <w:b/>
                <w:bCs/>
                <w:sz w:val="18"/>
                <w:szCs w:val="18"/>
              </w:rPr>
            </w:pPr>
            <w:r>
              <w:rPr>
                <w:rFonts w:cs="Arial"/>
                <w:b/>
                <w:bCs/>
                <w:sz w:val="18"/>
                <w:szCs w:val="18"/>
              </w:rPr>
              <w:t>Total comprehensive loss</w:t>
            </w:r>
          </w:p>
        </w:tc>
        <w:tc>
          <w:tcPr>
            <w:tcW w:w="1261" w:type="dxa"/>
            <w:tcBorders>
              <w:top w:val="nil"/>
              <w:left w:val="nil"/>
              <w:bottom w:val="nil"/>
              <w:right w:val="nil"/>
            </w:tcBorders>
            <w:shd w:val="clear" w:color="FFFFFF" w:fill="FFFFFF"/>
            <w:noWrap/>
            <w:vAlign w:val="bottom"/>
            <w:hideMark/>
          </w:tcPr>
          <w:p w14:paraId="0F54A213" w14:textId="77777777" w:rsidR="00AB6753" w:rsidRDefault="00AB6753" w:rsidP="002D1EA4">
            <w:pPr>
              <w:spacing w:after="0"/>
              <w:jc w:val="center"/>
              <w:rPr>
                <w:rFonts w:cs="Arial"/>
                <w:sz w:val="18"/>
                <w:szCs w:val="18"/>
              </w:rPr>
            </w:pPr>
            <w:r>
              <w:rPr>
                <w:rFonts w:cs="Arial"/>
                <w:sz w:val="18"/>
                <w:szCs w:val="18"/>
              </w:rPr>
              <w:t>5.3</w:t>
            </w:r>
          </w:p>
        </w:tc>
        <w:tc>
          <w:tcPr>
            <w:tcW w:w="1261" w:type="dxa"/>
            <w:tcBorders>
              <w:top w:val="single" w:sz="4" w:space="0" w:color="auto"/>
              <w:left w:val="nil"/>
              <w:bottom w:val="single" w:sz="4" w:space="0" w:color="auto"/>
              <w:right w:val="nil"/>
            </w:tcBorders>
            <w:shd w:val="clear" w:color="FFFFFF" w:fill="FFFFFF"/>
            <w:noWrap/>
            <w:vAlign w:val="bottom"/>
            <w:hideMark/>
          </w:tcPr>
          <w:p w14:paraId="3CDA5EBC" w14:textId="77777777" w:rsidR="00AB6753" w:rsidRDefault="00AB6753" w:rsidP="002D1EA4">
            <w:pPr>
              <w:spacing w:after="0"/>
              <w:jc w:val="right"/>
              <w:rPr>
                <w:rFonts w:cs="Arial"/>
                <w:b/>
                <w:bCs/>
                <w:sz w:val="18"/>
                <w:szCs w:val="18"/>
              </w:rPr>
            </w:pPr>
            <w:r>
              <w:rPr>
                <w:rFonts w:cs="Arial"/>
                <w:b/>
                <w:bCs/>
                <w:sz w:val="18"/>
                <w:szCs w:val="18"/>
              </w:rPr>
              <w:t>(56,713)</w:t>
            </w:r>
          </w:p>
        </w:tc>
        <w:tc>
          <w:tcPr>
            <w:tcW w:w="268" w:type="dxa"/>
            <w:tcBorders>
              <w:top w:val="nil"/>
              <w:left w:val="nil"/>
              <w:bottom w:val="nil"/>
              <w:right w:val="nil"/>
            </w:tcBorders>
            <w:shd w:val="clear" w:color="FFFFFF" w:fill="FFFFFF"/>
            <w:noWrap/>
            <w:vAlign w:val="bottom"/>
            <w:hideMark/>
          </w:tcPr>
          <w:p w14:paraId="2071361B" w14:textId="77777777" w:rsidR="00AB6753" w:rsidRDefault="00AB6753" w:rsidP="002D1EA4">
            <w:pPr>
              <w:spacing w:after="0"/>
              <w:rPr>
                <w:rFonts w:cs="Arial"/>
                <w:sz w:val="18"/>
                <w:szCs w:val="18"/>
              </w:rPr>
            </w:pPr>
            <w:r>
              <w:rPr>
                <w:rFonts w:cs="Arial"/>
                <w:sz w:val="18"/>
                <w:szCs w:val="18"/>
              </w:rPr>
              <w:t> </w:t>
            </w:r>
          </w:p>
        </w:tc>
        <w:tc>
          <w:tcPr>
            <w:tcW w:w="1261" w:type="dxa"/>
            <w:tcBorders>
              <w:top w:val="single" w:sz="4" w:space="0" w:color="auto"/>
              <w:left w:val="nil"/>
              <w:bottom w:val="single" w:sz="4" w:space="0" w:color="auto"/>
              <w:right w:val="nil"/>
            </w:tcBorders>
            <w:shd w:val="clear" w:color="FFFFFF" w:fill="FFFFFF"/>
            <w:noWrap/>
            <w:vAlign w:val="bottom"/>
            <w:hideMark/>
          </w:tcPr>
          <w:p w14:paraId="32355B30" w14:textId="77777777" w:rsidR="00AB6753" w:rsidRDefault="00AB6753" w:rsidP="002D1EA4">
            <w:pPr>
              <w:spacing w:after="0"/>
              <w:jc w:val="right"/>
              <w:rPr>
                <w:rFonts w:cs="Arial"/>
                <w:sz w:val="18"/>
                <w:szCs w:val="18"/>
              </w:rPr>
            </w:pPr>
            <w:r>
              <w:rPr>
                <w:rFonts w:cs="Arial"/>
                <w:sz w:val="18"/>
                <w:szCs w:val="18"/>
              </w:rPr>
              <w:t>(72,837)</w:t>
            </w:r>
          </w:p>
        </w:tc>
        <w:tc>
          <w:tcPr>
            <w:tcW w:w="268" w:type="dxa"/>
            <w:tcBorders>
              <w:top w:val="nil"/>
              <w:left w:val="nil"/>
              <w:bottom w:val="nil"/>
              <w:right w:val="nil"/>
            </w:tcBorders>
            <w:shd w:val="clear" w:color="FFFFFF" w:fill="FFFFFF"/>
            <w:noWrap/>
            <w:vAlign w:val="bottom"/>
            <w:hideMark/>
          </w:tcPr>
          <w:p w14:paraId="43F80ED0" w14:textId="77777777" w:rsidR="00AB6753" w:rsidRDefault="00AB6753" w:rsidP="002D1EA4">
            <w:pPr>
              <w:spacing w:after="0"/>
              <w:rPr>
                <w:rFonts w:cs="Arial"/>
                <w:sz w:val="18"/>
                <w:szCs w:val="18"/>
              </w:rPr>
            </w:pPr>
            <w:r>
              <w:rPr>
                <w:rFonts w:cs="Arial"/>
                <w:sz w:val="18"/>
                <w:szCs w:val="18"/>
              </w:rPr>
              <w:t> </w:t>
            </w:r>
          </w:p>
        </w:tc>
        <w:tc>
          <w:tcPr>
            <w:tcW w:w="1140" w:type="dxa"/>
            <w:tcBorders>
              <w:top w:val="single" w:sz="4" w:space="0" w:color="auto"/>
              <w:left w:val="nil"/>
              <w:bottom w:val="single" w:sz="4" w:space="0" w:color="auto"/>
              <w:right w:val="nil"/>
            </w:tcBorders>
            <w:shd w:val="clear" w:color="FFFFFF" w:fill="FFFFFF"/>
            <w:noWrap/>
            <w:vAlign w:val="bottom"/>
            <w:hideMark/>
          </w:tcPr>
          <w:p w14:paraId="1E5D1B41" w14:textId="77777777" w:rsidR="00AB6753" w:rsidRDefault="00AB6753" w:rsidP="002D1EA4">
            <w:pPr>
              <w:spacing w:after="0"/>
              <w:jc w:val="right"/>
              <w:rPr>
                <w:rFonts w:cs="Arial"/>
                <w:sz w:val="18"/>
                <w:szCs w:val="18"/>
              </w:rPr>
            </w:pPr>
            <w:r>
              <w:rPr>
                <w:rFonts w:cs="Arial"/>
                <w:sz w:val="18"/>
                <w:szCs w:val="18"/>
              </w:rPr>
              <w:t>(78,883)</w:t>
            </w:r>
          </w:p>
        </w:tc>
      </w:tr>
    </w:tbl>
    <w:p w14:paraId="027647F8" w14:textId="77777777" w:rsidR="00AB6753" w:rsidRDefault="00AB6753" w:rsidP="00AB6753"/>
    <w:p w14:paraId="0EB39C49" w14:textId="77777777" w:rsidR="00AB6753" w:rsidRDefault="00AB6753" w:rsidP="00AB6753">
      <w:pPr>
        <w:pStyle w:val="NotesText0"/>
      </w:pPr>
      <w:r>
        <w:t xml:space="preserve">The above statement should be read in conjunction with the accompanying notes. </w:t>
      </w:r>
    </w:p>
    <w:p w14:paraId="1B7F4FED" w14:textId="77777777" w:rsidR="00AB6753" w:rsidRDefault="00AB6753" w:rsidP="00AB6753">
      <w:pPr>
        <w:autoSpaceDE w:val="0"/>
        <w:autoSpaceDN w:val="0"/>
        <w:adjustRightInd w:val="0"/>
        <w:spacing w:line="240" w:lineRule="auto"/>
        <w:sectPr w:rsidR="00AB6753" w:rsidSect="00C63A3F">
          <w:headerReference w:type="default" r:id="rId60"/>
          <w:pgSz w:w="11906" w:h="16838" w:code="9"/>
          <w:pgMar w:top="1134" w:right="1134" w:bottom="1134" w:left="1134" w:header="958" w:footer="737" w:gutter="0"/>
          <w:cols w:space="708"/>
          <w:docGrid w:linePitch="360"/>
        </w:sectPr>
      </w:pPr>
      <w:r>
        <w:rPr>
          <w:sz w:val="18"/>
          <w:lang w:eastAsia="en-AU"/>
        </w:rPr>
        <w:t xml:space="preserve">Refer to Note 8.4A for explanations of major variances to the Original Budget. Where necessary, the Original Budget </w:t>
      </w:r>
      <w:r w:rsidRPr="009662DC">
        <w:rPr>
          <w:sz w:val="18"/>
          <w:lang w:eastAsia="en-AU"/>
        </w:rPr>
        <w:t>has been reclassified and presented on a consistent basis with the corresponding financial statement</w:t>
      </w:r>
      <w:r>
        <w:rPr>
          <w:sz w:val="18"/>
          <w:lang w:eastAsia="en-AU"/>
        </w:rPr>
        <w:t xml:space="preserve"> item</w:t>
      </w:r>
      <w:r w:rsidRPr="009662DC">
        <w:rPr>
          <w:sz w:val="18"/>
          <w:lang w:eastAsia="en-AU"/>
        </w:rPr>
        <w:t>.</w:t>
      </w:r>
    </w:p>
    <w:tbl>
      <w:tblPr>
        <w:tblW w:w="9411" w:type="dxa"/>
        <w:tblInd w:w="80" w:type="dxa"/>
        <w:tblLayout w:type="fixed"/>
        <w:tblLook w:val="04A0" w:firstRow="1" w:lastRow="0" w:firstColumn="1" w:lastColumn="0" w:noHBand="0" w:noVBand="1"/>
        <w:tblCaption w:val="Statement of financial position as at 30 June 2020"/>
        <w:tblDescription w:val="Statement of financial position as at 30 June 2020"/>
      </w:tblPr>
      <w:tblGrid>
        <w:gridCol w:w="4423"/>
        <w:gridCol w:w="1164"/>
        <w:gridCol w:w="1155"/>
        <w:gridCol w:w="238"/>
        <w:gridCol w:w="1150"/>
        <w:gridCol w:w="238"/>
        <w:gridCol w:w="1043"/>
      </w:tblGrid>
      <w:tr w:rsidR="00AB6753" w14:paraId="0FB098B5" w14:textId="77777777" w:rsidTr="002D1EA4">
        <w:trPr>
          <w:trHeight w:val="720"/>
        </w:trPr>
        <w:tc>
          <w:tcPr>
            <w:tcW w:w="4378" w:type="dxa"/>
            <w:tcBorders>
              <w:top w:val="single" w:sz="8" w:space="0" w:color="auto"/>
              <w:left w:val="nil"/>
              <w:bottom w:val="nil"/>
              <w:right w:val="nil"/>
            </w:tcBorders>
            <w:shd w:val="clear" w:color="FFFFFF" w:fill="FFFFFF"/>
            <w:noWrap/>
            <w:vAlign w:val="bottom"/>
            <w:hideMark/>
          </w:tcPr>
          <w:p w14:paraId="7E29F270" w14:textId="77777777" w:rsidR="00AB6753" w:rsidRDefault="00AB6753" w:rsidP="002D1EA4">
            <w:pPr>
              <w:spacing w:after="0"/>
              <w:rPr>
                <w:rFonts w:cs="Arial"/>
                <w:sz w:val="18"/>
                <w:szCs w:val="18"/>
              </w:rPr>
            </w:pPr>
            <w:bookmarkStart w:id="55" w:name="Note_DBSTABLE1" w:colFirst="0" w:colLast="0"/>
            <w:r>
              <w:rPr>
                <w:rFonts w:cs="Arial"/>
                <w:sz w:val="18"/>
                <w:szCs w:val="18"/>
              </w:rPr>
              <w:lastRenderedPageBreak/>
              <w:t> </w:t>
            </w:r>
          </w:p>
        </w:tc>
        <w:tc>
          <w:tcPr>
            <w:tcW w:w="1152" w:type="dxa"/>
            <w:tcBorders>
              <w:top w:val="single" w:sz="8" w:space="0" w:color="auto"/>
              <w:left w:val="nil"/>
              <w:bottom w:val="nil"/>
              <w:right w:val="nil"/>
            </w:tcBorders>
            <w:shd w:val="clear" w:color="FFFFFF" w:fill="FFFFFF"/>
            <w:noWrap/>
            <w:vAlign w:val="bottom"/>
            <w:hideMark/>
          </w:tcPr>
          <w:p w14:paraId="2A46AD7F" w14:textId="77777777" w:rsidR="00AB6753" w:rsidRDefault="00AB6753" w:rsidP="002D1EA4">
            <w:pPr>
              <w:spacing w:after="0"/>
              <w:rPr>
                <w:rFonts w:cs="Arial"/>
                <w:sz w:val="18"/>
                <w:szCs w:val="18"/>
              </w:rPr>
            </w:pPr>
            <w:r>
              <w:rPr>
                <w:rFonts w:cs="Arial"/>
                <w:sz w:val="18"/>
                <w:szCs w:val="18"/>
              </w:rPr>
              <w:t> </w:t>
            </w:r>
          </w:p>
        </w:tc>
        <w:tc>
          <w:tcPr>
            <w:tcW w:w="1143" w:type="dxa"/>
            <w:tcBorders>
              <w:top w:val="single" w:sz="8" w:space="0" w:color="auto"/>
              <w:left w:val="nil"/>
              <w:bottom w:val="nil"/>
              <w:right w:val="nil"/>
            </w:tcBorders>
            <w:shd w:val="clear" w:color="FFFFFF" w:fill="FFFFFF"/>
            <w:vAlign w:val="bottom"/>
            <w:hideMark/>
          </w:tcPr>
          <w:p w14:paraId="747AAFE2" w14:textId="77777777" w:rsidR="00AB6753" w:rsidRDefault="00AB6753" w:rsidP="002D1EA4">
            <w:pPr>
              <w:spacing w:after="0"/>
              <w:jc w:val="right"/>
              <w:rPr>
                <w:rFonts w:cs="Arial"/>
                <w:b/>
                <w:bCs/>
                <w:sz w:val="18"/>
                <w:szCs w:val="18"/>
              </w:rPr>
            </w:pPr>
            <w:r>
              <w:rPr>
                <w:rFonts w:cs="Arial"/>
                <w:b/>
                <w:bCs/>
                <w:sz w:val="18"/>
                <w:szCs w:val="18"/>
              </w:rPr>
              <w:t>2020</w:t>
            </w:r>
          </w:p>
        </w:tc>
        <w:tc>
          <w:tcPr>
            <w:tcW w:w="236" w:type="dxa"/>
            <w:tcBorders>
              <w:top w:val="single" w:sz="8" w:space="0" w:color="auto"/>
              <w:left w:val="nil"/>
              <w:bottom w:val="nil"/>
              <w:right w:val="nil"/>
            </w:tcBorders>
            <w:shd w:val="clear" w:color="FFFFFF" w:fill="FFFFFF"/>
            <w:noWrap/>
            <w:vAlign w:val="bottom"/>
            <w:hideMark/>
          </w:tcPr>
          <w:p w14:paraId="21BA6DA2" w14:textId="77777777" w:rsidR="00AB6753" w:rsidRDefault="00AB6753" w:rsidP="002D1EA4">
            <w:pPr>
              <w:spacing w:after="0"/>
              <w:rPr>
                <w:rFonts w:cs="Arial"/>
                <w:sz w:val="18"/>
                <w:szCs w:val="18"/>
              </w:rPr>
            </w:pPr>
            <w:r>
              <w:rPr>
                <w:rFonts w:cs="Arial"/>
                <w:sz w:val="18"/>
                <w:szCs w:val="18"/>
              </w:rPr>
              <w:t> </w:t>
            </w:r>
          </w:p>
        </w:tc>
        <w:tc>
          <w:tcPr>
            <w:tcW w:w="1138" w:type="dxa"/>
            <w:tcBorders>
              <w:top w:val="single" w:sz="8" w:space="0" w:color="auto"/>
              <w:left w:val="nil"/>
              <w:bottom w:val="nil"/>
              <w:right w:val="nil"/>
            </w:tcBorders>
            <w:shd w:val="clear" w:color="FFFFFF" w:fill="FFFFFF"/>
            <w:vAlign w:val="bottom"/>
            <w:hideMark/>
          </w:tcPr>
          <w:p w14:paraId="080CB580" w14:textId="77777777" w:rsidR="00AB6753" w:rsidRDefault="00AB6753" w:rsidP="002D1EA4">
            <w:pPr>
              <w:spacing w:after="0"/>
              <w:jc w:val="right"/>
              <w:rPr>
                <w:rFonts w:cs="Arial"/>
                <w:sz w:val="18"/>
                <w:szCs w:val="18"/>
              </w:rPr>
            </w:pPr>
            <w:r>
              <w:rPr>
                <w:rFonts w:cs="Arial"/>
                <w:sz w:val="18"/>
                <w:szCs w:val="18"/>
              </w:rPr>
              <w:t>2019</w:t>
            </w:r>
          </w:p>
        </w:tc>
        <w:tc>
          <w:tcPr>
            <w:tcW w:w="236" w:type="dxa"/>
            <w:tcBorders>
              <w:top w:val="single" w:sz="8" w:space="0" w:color="auto"/>
              <w:left w:val="nil"/>
              <w:bottom w:val="nil"/>
              <w:right w:val="nil"/>
            </w:tcBorders>
            <w:shd w:val="clear" w:color="FFFFFF" w:fill="FFFFFF"/>
            <w:noWrap/>
            <w:vAlign w:val="bottom"/>
            <w:hideMark/>
          </w:tcPr>
          <w:p w14:paraId="6A9B9436" w14:textId="77777777" w:rsidR="00AB6753" w:rsidRDefault="00AB6753" w:rsidP="002D1EA4">
            <w:pPr>
              <w:spacing w:after="0"/>
              <w:rPr>
                <w:rFonts w:cs="Arial"/>
                <w:sz w:val="18"/>
                <w:szCs w:val="18"/>
              </w:rPr>
            </w:pPr>
            <w:r>
              <w:rPr>
                <w:rFonts w:cs="Arial"/>
                <w:sz w:val="18"/>
                <w:szCs w:val="18"/>
              </w:rPr>
              <w:t> </w:t>
            </w:r>
          </w:p>
        </w:tc>
        <w:tc>
          <w:tcPr>
            <w:tcW w:w="1032" w:type="dxa"/>
            <w:tcBorders>
              <w:top w:val="single" w:sz="8" w:space="0" w:color="auto"/>
              <w:left w:val="nil"/>
              <w:bottom w:val="nil"/>
              <w:right w:val="nil"/>
            </w:tcBorders>
            <w:shd w:val="clear" w:color="FFFFFF" w:fill="FFFFFF"/>
            <w:vAlign w:val="bottom"/>
            <w:hideMark/>
          </w:tcPr>
          <w:p w14:paraId="6D91DBF8" w14:textId="77777777" w:rsidR="00AB6753" w:rsidRDefault="00AB6753" w:rsidP="002D1EA4">
            <w:pPr>
              <w:spacing w:after="0"/>
              <w:jc w:val="right"/>
              <w:rPr>
                <w:rFonts w:cs="Arial"/>
                <w:sz w:val="18"/>
                <w:szCs w:val="18"/>
              </w:rPr>
            </w:pPr>
            <w:r>
              <w:rPr>
                <w:rFonts w:cs="Arial"/>
                <w:sz w:val="18"/>
                <w:szCs w:val="18"/>
              </w:rPr>
              <w:t>Original Budget</w:t>
            </w:r>
            <w:r>
              <w:rPr>
                <w:rFonts w:cs="Arial"/>
                <w:sz w:val="18"/>
                <w:szCs w:val="18"/>
              </w:rPr>
              <w:br/>
              <w:t>2020</w:t>
            </w:r>
          </w:p>
        </w:tc>
      </w:tr>
      <w:bookmarkEnd w:id="55"/>
      <w:tr w:rsidR="00AB6753" w14:paraId="28B9CA89" w14:textId="77777777" w:rsidTr="002D1EA4">
        <w:trPr>
          <w:trHeight w:val="255"/>
        </w:trPr>
        <w:tc>
          <w:tcPr>
            <w:tcW w:w="4378" w:type="dxa"/>
            <w:tcBorders>
              <w:top w:val="nil"/>
              <w:left w:val="nil"/>
              <w:bottom w:val="nil"/>
              <w:right w:val="nil"/>
            </w:tcBorders>
            <w:shd w:val="clear" w:color="FFFFFF" w:fill="FFFFFF"/>
            <w:noWrap/>
            <w:vAlign w:val="bottom"/>
            <w:hideMark/>
          </w:tcPr>
          <w:p w14:paraId="04DF028B" w14:textId="77777777" w:rsidR="00AB6753" w:rsidRDefault="00AB6753" w:rsidP="002D1EA4">
            <w:pPr>
              <w:spacing w:after="0"/>
              <w:rPr>
                <w:rFonts w:cs="Arial"/>
                <w:sz w:val="18"/>
                <w:szCs w:val="18"/>
              </w:rPr>
            </w:pPr>
            <w:r>
              <w:rPr>
                <w:rFonts w:cs="Arial"/>
                <w:sz w:val="18"/>
                <w:szCs w:val="18"/>
              </w:rPr>
              <w:t> </w:t>
            </w:r>
          </w:p>
        </w:tc>
        <w:tc>
          <w:tcPr>
            <w:tcW w:w="1152" w:type="dxa"/>
            <w:tcBorders>
              <w:top w:val="nil"/>
              <w:left w:val="nil"/>
              <w:bottom w:val="nil"/>
              <w:right w:val="nil"/>
            </w:tcBorders>
            <w:shd w:val="clear" w:color="FFFFFF" w:fill="FFFFFF"/>
            <w:vAlign w:val="bottom"/>
            <w:hideMark/>
          </w:tcPr>
          <w:p w14:paraId="7A71371B" w14:textId="77777777" w:rsidR="00AB6753" w:rsidRDefault="00AB6753" w:rsidP="002D1EA4">
            <w:pPr>
              <w:spacing w:after="0"/>
              <w:jc w:val="center"/>
              <w:rPr>
                <w:rFonts w:cs="Arial"/>
                <w:b/>
                <w:bCs/>
                <w:sz w:val="18"/>
                <w:szCs w:val="18"/>
              </w:rPr>
            </w:pPr>
            <w:r>
              <w:rPr>
                <w:rFonts w:cs="Arial"/>
                <w:b/>
                <w:bCs/>
                <w:sz w:val="18"/>
                <w:szCs w:val="18"/>
              </w:rPr>
              <w:t>Notes</w:t>
            </w:r>
          </w:p>
        </w:tc>
        <w:tc>
          <w:tcPr>
            <w:tcW w:w="1143" w:type="dxa"/>
            <w:tcBorders>
              <w:top w:val="nil"/>
              <w:left w:val="nil"/>
              <w:bottom w:val="single" w:sz="4" w:space="0" w:color="auto"/>
              <w:right w:val="nil"/>
            </w:tcBorders>
            <w:shd w:val="clear" w:color="FFFFFF" w:fill="FFFFFF"/>
            <w:vAlign w:val="bottom"/>
            <w:hideMark/>
          </w:tcPr>
          <w:p w14:paraId="645BF1E1" w14:textId="77777777" w:rsidR="00AB6753" w:rsidRDefault="00AB6753" w:rsidP="002D1EA4">
            <w:pPr>
              <w:spacing w:after="0"/>
              <w:jc w:val="right"/>
              <w:rPr>
                <w:rFonts w:cs="Arial"/>
                <w:b/>
                <w:bCs/>
                <w:sz w:val="18"/>
                <w:szCs w:val="18"/>
              </w:rPr>
            </w:pPr>
            <w:r>
              <w:rPr>
                <w:rFonts w:cs="Arial"/>
                <w:b/>
                <w:bCs/>
                <w:sz w:val="18"/>
                <w:szCs w:val="18"/>
              </w:rPr>
              <w:t>$'000</w:t>
            </w:r>
          </w:p>
        </w:tc>
        <w:tc>
          <w:tcPr>
            <w:tcW w:w="236" w:type="dxa"/>
            <w:tcBorders>
              <w:top w:val="nil"/>
              <w:left w:val="nil"/>
              <w:bottom w:val="single" w:sz="4" w:space="0" w:color="auto"/>
              <w:right w:val="nil"/>
            </w:tcBorders>
            <w:shd w:val="clear" w:color="FFFFFF" w:fill="FFFFFF"/>
            <w:noWrap/>
            <w:vAlign w:val="bottom"/>
            <w:hideMark/>
          </w:tcPr>
          <w:p w14:paraId="365B344F"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single" w:sz="4" w:space="0" w:color="auto"/>
              <w:right w:val="nil"/>
            </w:tcBorders>
            <w:shd w:val="clear" w:color="FFFFFF" w:fill="FFFFFF"/>
            <w:vAlign w:val="bottom"/>
            <w:hideMark/>
          </w:tcPr>
          <w:p w14:paraId="63F27FEE" w14:textId="77777777" w:rsidR="00AB6753" w:rsidRDefault="00AB6753" w:rsidP="002D1EA4">
            <w:pPr>
              <w:spacing w:after="0"/>
              <w:jc w:val="right"/>
              <w:rPr>
                <w:rFonts w:cs="Arial"/>
                <w:sz w:val="18"/>
                <w:szCs w:val="18"/>
              </w:rPr>
            </w:pPr>
            <w:r>
              <w:rPr>
                <w:rFonts w:cs="Arial"/>
                <w:sz w:val="18"/>
                <w:szCs w:val="18"/>
              </w:rPr>
              <w:t>$'000</w:t>
            </w:r>
          </w:p>
        </w:tc>
        <w:tc>
          <w:tcPr>
            <w:tcW w:w="236" w:type="dxa"/>
            <w:tcBorders>
              <w:top w:val="nil"/>
              <w:left w:val="nil"/>
              <w:bottom w:val="nil"/>
              <w:right w:val="nil"/>
            </w:tcBorders>
            <w:shd w:val="clear" w:color="FFFFFF" w:fill="FFFFFF"/>
            <w:noWrap/>
            <w:vAlign w:val="bottom"/>
            <w:hideMark/>
          </w:tcPr>
          <w:p w14:paraId="6922C75E"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single" w:sz="4" w:space="0" w:color="auto"/>
              <w:right w:val="nil"/>
            </w:tcBorders>
            <w:shd w:val="clear" w:color="FFFFFF" w:fill="FFFFFF"/>
            <w:vAlign w:val="bottom"/>
            <w:hideMark/>
          </w:tcPr>
          <w:p w14:paraId="76474F4A" w14:textId="77777777" w:rsidR="00AB6753" w:rsidRDefault="00AB6753" w:rsidP="002D1EA4">
            <w:pPr>
              <w:spacing w:after="0"/>
              <w:jc w:val="right"/>
              <w:rPr>
                <w:rFonts w:cs="Arial"/>
                <w:sz w:val="18"/>
                <w:szCs w:val="18"/>
              </w:rPr>
            </w:pPr>
            <w:r>
              <w:rPr>
                <w:rFonts w:cs="Arial"/>
                <w:sz w:val="18"/>
                <w:szCs w:val="18"/>
              </w:rPr>
              <w:t>$'000</w:t>
            </w:r>
          </w:p>
        </w:tc>
      </w:tr>
      <w:tr w:rsidR="00AB6753" w14:paraId="16487BF9" w14:textId="77777777" w:rsidTr="002D1EA4">
        <w:trPr>
          <w:trHeight w:val="255"/>
        </w:trPr>
        <w:tc>
          <w:tcPr>
            <w:tcW w:w="4378" w:type="dxa"/>
            <w:tcBorders>
              <w:top w:val="nil"/>
              <w:left w:val="nil"/>
              <w:bottom w:val="nil"/>
              <w:right w:val="nil"/>
            </w:tcBorders>
            <w:shd w:val="clear" w:color="FFFFFF" w:fill="FFFFFF"/>
            <w:vAlign w:val="bottom"/>
            <w:hideMark/>
          </w:tcPr>
          <w:p w14:paraId="7A9BBEF6" w14:textId="77777777" w:rsidR="00AB6753" w:rsidRDefault="00AB6753" w:rsidP="002D1EA4">
            <w:pPr>
              <w:spacing w:after="0"/>
              <w:rPr>
                <w:rFonts w:cs="Arial"/>
                <w:b/>
                <w:bCs/>
                <w:sz w:val="18"/>
                <w:szCs w:val="18"/>
              </w:rPr>
            </w:pPr>
            <w:r>
              <w:rPr>
                <w:rFonts w:cs="Arial"/>
                <w:b/>
                <w:bCs/>
                <w:sz w:val="18"/>
                <w:szCs w:val="18"/>
              </w:rPr>
              <w:t>ASSETS</w:t>
            </w:r>
          </w:p>
        </w:tc>
        <w:tc>
          <w:tcPr>
            <w:tcW w:w="1152" w:type="dxa"/>
            <w:tcBorders>
              <w:top w:val="nil"/>
              <w:left w:val="nil"/>
              <w:bottom w:val="nil"/>
              <w:right w:val="nil"/>
            </w:tcBorders>
            <w:shd w:val="clear" w:color="FFFFFF" w:fill="FFFFFF"/>
            <w:noWrap/>
            <w:vAlign w:val="bottom"/>
            <w:hideMark/>
          </w:tcPr>
          <w:p w14:paraId="43F9D15D"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61E1A923"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29228114"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2BBE9C2E" w14:textId="77777777" w:rsidR="00AB6753" w:rsidRDefault="00AB6753" w:rsidP="002D1EA4">
            <w:pPr>
              <w:spacing w:after="0"/>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4A7A683A"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54FD58E7" w14:textId="77777777" w:rsidR="00AB6753" w:rsidRDefault="00AB6753" w:rsidP="002D1EA4">
            <w:pPr>
              <w:spacing w:after="0"/>
              <w:jc w:val="right"/>
              <w:rPr>
                <w:rFonts w:cs="Arial"/>
                <w:sz w:val="18"/>
                <w:szCs w:val="18"/>
              </w:rPr>
            </w:pPr>
            <w:r>
              <w:rPr>
                <w:rFonts w:cs="Arial"/>
                <w:sz w:val="18"/>
                <w:szCs w:val="18"/>
              </w:rPr>
              <w:t> </w:t>
            </w:r>
          </w:p>
        </w:tc>
      </w:tr>
      <w:tr w:rsidR="00AB6753" w14:paraId="6B7D19F1" w14:textId="77777777" w:rsidTr="002D1EA4">
        <w:trPr>
          <w:trHeight w:val="255"/>
        </w:trPr>
        <w:tc>
          <w:tcPr>
            <w:tcW w:w="4378" w:type="dxa"/>
            <w:tcBorders>
              <w:top w:val="nil"/>
              <w:left w:val="nil"/>
              <w:bottom w:val="nil"/>
              <w:right w:val="nil"/>
            </w:tcBorders>
            <w:shd w:val="clear" w:color="FFFFFF" w:fill="FFFFFF"/>
            <w:vAlign w:val="bottom"/>
            <w:hideMark/>
          </w:tcPr>
          <w:p w14:paraId="75C8C211" w14:textId="77777777" w:rsidR="00AB6753" w:rsidRDefault="00AB6753" w:rsidP="002D1EA4">
            <w:pPr>
              <w:spacing w:after="0"/>
              <w:rPr>
                <w:rFonts w:cs="Arial"/>
                <w:b/>
                <w:bCs/>
                <w:sz w:val="18"/>
                <w:szCs w:val="18"/>
              </w:rPr>
            </w:pPr>
            <w:r>
              <w:rPr>
                <w:rFonts w:cs="Arial"/>
                <w:b/>
                <w:bCs/>
                <w:sz w:val="18"/>
                <w:szCs w:val="18"/>
              </w:rPr>
              <w:t>Financial Assets</w:t>
            </w:r>
          </w:p>
        </w:tc>
        <w:tc>
          <w:tcPr>
            <w:tcW w:w="1152" w:type="dxa"/>
            <w:tcBorders>
              <w:top w:val="nil"/>
              <w:left w:val="nil"/>
              <w:bottom w:val="nil"/>
              <w:right w:val="nil"/>
            </w:tcBorders>
            <w:shd w:val="clear" w:color="FFFFFF" w:fill="FFFFFF"/>
            <w:noWrap/>
            <w:vAlign w:val="bottom"/>
            <w:hideMark/>
          </w:tcPr>
          <w:p w14:paraId="31C9F260"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2B640B71"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3817BB3A"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01767D5C" w14:textId="77777777" w:rsidR="00AB6753" w:rsidRDefault="00AB6753" w:rsidP="002D1EA4">
            <w:pPr>
              <w:spacing w:after="0"/>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39B3EB5E"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465950C9" w14:textId="77777777" w:rsidR="00AB6753" w:rsidRDefault="00AB6753" w:rsidP="002D1EA4">
            <w:pPr>
              <w:spacing w:after="0"/>
              <w:jc w:val="right"/>
              <w:rPr>
                <w:rFonts w:cs="Arial"/>
                <w:sz w:val="18"/>
                <w:szCs w:val="18"/>
              </w:rPr>
            </w:pPr>
            <w:r>
              <w:rPr>
                <w:rFonts w:cs="Arial"/>
                <w:sz w:val="18"/>
                <w:szCs w:val="18"/>
              </w:rPr>
              <w:t> </w:t>
            </w:r>
          </w:p>
        </w:tc>
      </w:tr>
      <w:tr w:rsidR="00AB6753" w14:paraId="688920FF" w14:textId="77777777" w:rsidTr="002D1EA4">
        <w:trPr>
          <w:trHeight w:val="255"/>
        </w:trPr>
        <w:tc>
          <w:tcPr>
            <w:tcW w:w="4378" w:type="dxa"/>
            <w:tcBorders>
              <w:top w:val="nil"/>
              <w:left w:val="nil"/>
              <w:bottom w:val="nil"/>
              <w:right w:val="nil"/>
            </w:tcBorders>
            <w:shd w:val="clear" w:color="FFFFFF" w:fill="FFFFFF"/>
            <w:vAlign w:val="bottom"/>
            <w:hideMark/>
          </w:tcPr>
          <w:p w14:paraId="3959141C" w14:textId="77777777" w:rsidR="00AB6753" w:rsidRDefault="00AB6753" w:rsidP="002D1EA4">
            <w:pPr>
              <w:spacing w:after="0"/>
              <w:rPr>
                <w:rFonts w:cs="Arial"/>
                <w:sz w:val="18"/>
                <w:szCs w:val="18"/>
              </w:rPr>
            </w:pPr>
            <w:r>
              <w:rPr>
                <w:rFonts w:cs="Arial"/>
                <w:sz w:val="18"/>
                <w:szCs w:val="18"/>
              </w:rPr>
              <w:t>Cash and cash equivalents</w:t>
            </w:r>
          </w:p>
        </w:tc>
        <w:tc>
          <w:tcPr>
            <w:tcW w:w="1152" w:type="dxa"/>
            <w:tcBorders>
              <w:top w:val="nil"/>
              <w:left w:val="nil"/>
              <w:bottom w:val="nil"/>
              <w:right w:val="nil"/>
            </w:tcBorders>
            <w:shd w:val="clear" w:color="FFFFFF" w:fill="FFFFFF"/>
            <w:noWrap/>
            <w:vAlign w:val="bottom"/>
            <w:hideMark/>
          </w:tcPr>
          <w:p w14:paraId="29653CD5"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2BDB75DF" w14:textId="77777777" w:rsidR="00AB6753" w:rsidRDefault="00AB6753" w:rsidP="002D1EA4">
            <w:pPr>
              <w:spacing w:after="0"/>
              <w:jc w:val="right"/>
              <w:rPr>
                <w:rFonts w:cs="Arial"/>
                <w:b/>
                <w:bCs/>
                <w:sz w:val="18"/>
                <w:szCs w:val="18"/>
              </w:rPr>
            </w:pPr>
            <w:r>
              <w:rPr>
                <w:rFonts w:cs="Arial"/>
                <w:b/>
                <w:bCs/>
                <w:sz w:val="18"/>
                <w:szCs w:val="18"/>
              </w:rPr>
              <w:t>5,334</w:t>
            </w:r>
          </w:p>
        </w:tc>
        <w:tc>
          <w:tcPr>
            <w:tcW w:w="236" w:type="dxa"/>
            <w:tcBorders>
              <w:top w:val="nil"/>
              <w:left w:val="nil"/>
              <w:bottom w:val="nil"/>
              <w:right w:val="nil"/>
            </w:tcBorders>
            <w:shd w:val="clear" w:color="FFFFFF" w:fill="FFFFFF"/>
            <w:noWrap/>
            <w:vAlign w:val="bottom"/>
            <w:hideMark/>
          </w:tcPr>
          <w:p w14:paraId="1D45B239"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15D2EFC1" w14:textId="77777777" w:rsidR="00AB6753" w:rsidRDefault="00AB6753" w:rsidP="002D1EA4">
            <w:pPr>
              <w:spacing w:after="0"/>
              <w:jc w:val="right"/>
              <w:rPr>
                <w:rFonts w:cs="Arial"/>
                <w:sz w:val="18"/>
                <w:szCs w:val="18"/>
              </w:rPr>
            </w:pPr>
            <w:r>
              <w:rPr>
                <w:rFonts w:cs="Arial"/>
                <w:sz w:val="18"/>
                <w:szCs w:val="18"/>
              </w:rPr>
              <w:t>9,313</w:t>
            </w:r>
          </w:p>
        </w:tc>
        <w:tc>
          <w:tcPr>
            <w:tcW w:w="236" w:type="dxa"/>
            <w:tcBorders>
              <w:top w:val="nil"/>
              <w:left w:val="nil"/>
              <w:bottom w:val="nil"/>
              <w:right w:val="nil"/>
            </w:tcBorders>
            <w:shd w:val="clear" w:color="FFFFFF" w:fill="FFFFFF"/>
            <w:noWrap/>
            <w:vAlign w:val="bottom"/>
            <w:hideMark/>
          </w:tcPr>
          <w:p w14:paraId="584477AF"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55B053BB" w14:textId="77777777" w:rsidR="00AB6753" w:rsidRDefault="00AB6753" w:rsidP="002D1EA4">
            <w:pPr>
              <w:spacing w:after="0"/>
              <w:jc w:val="right"/>
              <w:rPr>
                <w:rFonts w:cs="Arial"/>
                <w:sz w:val="18"/>
                <w:szCs w:val="18"/>
              </w:rPr>
            </w:pPr>
            <w:r>
              <w:rPr>
                <w:rFonts w:cs="Arial"/>
                <w:sz w:val="18"/>
                <w:szCs w:val="18"/>
              </w:rPr>
              <w:t xml:space="preserve">6,602 </w:t>
            </w:r>
          </w:p>
        </w:tc>
      </w:tr>
      <w:tr w:rsidR="00AB6753" w14:paraId="2473F0FD" w14:textId="77777777" w:rsidTr="002D1EA4">
        <w:trPr>
          <w:trHeight w:val="255"/>
        </w:trPr>
        <w:tc>
          <w:tcPr>
            <w:tcW w:w="4378" w:type="dxa"/>
            <w:tcBorders>
              <w:top w:val="nil"/>
              <w:left w:val="nil"/>
              <w:bottom w:val="nil"/>
              <w:right w:val="nil"/>
            </w:tcBorders>
            <w:shd w:val="clear" w:color="FFFFFF" w:fill="FFFFFF"/>
            <w:vAlign w:val="bottom"/>
            <w:hideMark/>
          </w:tcPr>
          <w:p w14:paraId="6FC3BE56" w14:textId="77777777" w:rsidR="00AB6753" w:rsidRDefault="00AB6753" w:rsidP="002D1EA4">
            <w:pPr>
              <w:spacing w:after="0"/>
              <w:rPr>
                <w:rFonts w:cs="Arial"/>
                <w:sz w:val="18"/>
                <w:szCs w:val="18"/>
              </w:rPr>
            </w:pPr>
            <w:r>
              <w:rPr>
                <w:rFonts w:cs="Arial"/>
                <w:sz w:val="18"/>
                <w:szCs w:val="18"/>
              </w:rPr>
              <w:t>Trade and other receivables</w:t>
            </w:r>
          </w:p>
        </w:tc>
        <w:tc>
          <w:tcPr>
            <w:tcW w:w="1152" w:type="dxa"/>
            <w:tcBorders>
              <w:top w:val="nil"/>
              <w:left w:val="nil"/>
              <w:bottom w:val="nil"/>
              <w:right w:val="nil"/>
            </w:tcBorders>
            <w:shd w:val="clear" w:color="FFFFFF" w:fill="FFFFFF"/>
            <w:noWrap/>
            <w:vAlign w:val="bottom"/>
            <w:hideMark/>
          </w:tcPr>
          <w:p w14:paraId="4369D211" w14:textId="77777777" w:rsidR="00AB6753" w:rsidRDefault="00AB6753" w:rsidP="002D1EA4">
            <w:pPr>
              <w:spacing w:after="0"/>
              <w:jc w:val="center"/>
              <w:rPr>
                <w:rFonts w:cs="Arial"/>
                <w:sz w:val="18"/>
                <w:szCs w:val="18"/>
              </w:rPr>
            </w:pPr>
            <w:r>
              <w:rPr>
                <w:rFonts w:cs="Arial"/>
                <w:sz w:val="18"/>
                <w:szCs w:val="18"/>
              </w:rPr>
              <w:t>3.1A</w:t>
            </w:r>
          </w:p>
        </w:tc>
        <w:tc>
          <w:tcPr>
            <w:tcW w:w="1143" w:type="dxa"/>
            <w:tcBorders>
              <w:top w:val="nil"/>
              <w:left w:val="nil"/>
              <w:bottom w:val="nil"/>
              <w:right w:val="nil"/>
            </w:tcBorders>
            <w:shd w:val="clear" w:color="FFFFFF" w:fill="FFFFFF"/>
            <w:noWrap/>
            <w:vAlign w:val="bottom"/>
            <w:hideMark/>
          </w:tcPr>
          <w:p w14:paraId="4DACB483" w14:textId="77777777" w:rsidR="00AB6753" w:rsidRDefault="00AB6753" w:rsidP="002D1EA4">
            <w:pPr>
              <w:spacing w:after="0"/>
              <w:jc w:val="right"/>
              <w:rPr>
                <w:rFonts w:cs="Arial"/>
                <w:b/>
                <w:bCs/>
                <w:sz w:val="18"/>
                <w:szCs w:val="18"/>
              </w:rPr>
            </w:pPr>
            <w:r>
              <w:rPr>
                <w:rFonts w:cs="Arial"/>
                <w:b/>
                <w:bCs/>
                <w:sz w:val="18"/>
                <w:szCs w:val="18"/>
              </w:rPr>
              <w:t>85,636</w:t>
            </w:r>
          </w:p>
        </w:tc>
        <w:tc>
          <w:tcPr>
            <w:tcW w:w="236" w:type="dxa"/>
            <w:tcBorders>
              <w:top w:val="nil"/>
              <w:left w:val="nil"/>
              <w:bottom w:val="nil"/>
              <w:right w:val="nil"/>
            </w:tcBorders>
            <w:shd w:val="clear" w:color="FFFFFF" w:fill="FFFFFF"/>
            <w:noWrap/>
            <w:vAlign w:val="bottom"/>
            <w:hideMark/>
          </w:tcPr>
          <w:p w14:paraId="7595D35D"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0FDA8575" w14:textId="77777777" w:rsidR="00AB6753" w:rsidRDefault="00AB6753" w:rsidP="002D1EA4">
            <w:pPr>
              <w:spacing w:after="0"/>
              <w:jc w:val="right"/>
              <w:rPr>
                <w:rFonts w:cs="Arial"/>
                <w:sz w:val="18"/>
                <w:szCs w:val="18"/>
              </w:rPr>
            </w:pPr>
            <w:r>
              <w:rPr>
                <w:rFonts w:cs="Arial"/>
                <w:sz w:val="18"/>
                <w:szCs w:val="18"/>
              </w:rPr>
              <w:t>90,225</w:t>
            </w:r>
          </w:p>
        </w:tc>
        <w:tc>
          <w:tcPr>
            <w:tcW w:w="236" w:type="dxa"/>
            <w:tcBorders>
              <w:top w:val="nil"/>
              <w:left w:val="nil"/>
              <w:bottom w:val="nil"/>
              <w:right w:val="nil"/>
            </w:tcBorders>
            <w:shd w:val="clear" w:color="FFFFFF" w:fill="FFFFFF"/>
            <w:noWrap/>
            <w:vAlign w:val="bottom"/>
            <w:hideMark/>
          </w:tcPr>
          <w:p w14:paraId="4D3E97EB"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7556F7F9" w14:textId="77777777" w:rsidR="00AB6753" w:rsidRDefault="00AB6753" w:rsidP="002D1EA4">
            <w:pPr>
              <w:spacing w:after="0"/>
              <w:jc w:val="right"/>
              <w:rPr>
                <w:rFonts w:cs="Arial"/>
                <w:sz w:val="18"/>
                <w:szCs w:val="18"/>
              </w:rPr>
            </w:pPr>
            <w:r>
              <w:rPr>
                <w:rFonts w:cs="Arial"/>
                <w:sz w:val="18"/>
                <w:szCs w:val="18"/>
              </w:rPr>
              <w:t xml:space="preserve">69,086 </w:t>
            </w:r>
          </w:p>
        </w:tc>
      </w:tr>
      <w:tr w:rsidR="00AB6753" w14:paraId="3536DCC9" w14:textId="77777777" w:rsidTr="002D1EA4">
        <w:trPr>
          <w:trHeight w:val="255"/>
        </w:trPr>
        <w:tc>
          <w:tcPr>
            <w:tcW w:w="4378" w:type="dxa"/>
            <w:tcBorders>
              <w:top w:val="nil"/>
              <w:left w:val="nil"/>
              <w:bottom w:val="nil"/>
              <w:right w:val="nil"/>
            </w:tcBorders>
            <w:shd w:val="clear" w:color="FFFFFF" w:fill="FFFFFF"/>
            <w:vAlign w:val="bottom"/>
            <w:hideMark/>
          </w:tcPr>
          <w:p w14:paraId="0EF0D22F" w14:textId="77777777" w:rsidR="00AB6753" w:rsidRDefault="00AB6753" w:rsidP="002D1EA4">
            <w:pPr>
              <w:spacing w:after="0"/>
              <w:rPr>
                <w:rFonts w:cs="Arial"/>
                <w:b/>
                <w:bCs/>
                <w:sz w:val="18"/>
                <w:szCs w:val="18"/>
              </w:rPr>
            </w:pPr>
            <w:r>
              <w:rPr>
                <w:rFonts w:cs="Arial"/>
                <w:b/>
                <w:bCs/>
                <w:sz w:val="18"/>
                <w:szCs w:val="18"/>
              </w:rPr>
              <w:t>Total financial assets</w:t>
            </w:r>
          </w:p>
        </w:tc>
        <w:tc>
          <w:tcPr>
            <w:tcW w:w="1152" w:type="dxa"/>
            <w:tcBorders>
              <w:top w:val="nil"/>
              <w:left w:val="nil"/>
              <w:bottom w:val="nil"/>
              <w:right w:val="nil"/>
            </w:tcBorders>
            <w:shd w:val="clear" w:color="FFFFFF" w:fill="FFFFFF"/>
            <w:noWrap/>
            <w:vAlign w:val="bottom"/>
            <w:hideMark/>
          </w:tcPr>
          <w:p w14:paraId="47BC185C"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single" w:sz="4" w:space="0" w:color="auto"/>
              <w:left w:val="nil"/>
              <w:bottom w:val="single" w:sz="4" w:space="0" w:color="auto"/>
              <w:right w:val="nil"/>
            </w:tcBorders>
            <w:shd w:val="clear" w:color="FFFFFF" w:fill="FFFFFF"/>
            <w:noWrap/>
            <w:vAlign w:val="bottom"/>
            <w:hideMark/>
          </w:tcPr>
          <w:p w14:paraId="15FF5F9C" w14:textId="77777777" w:rsidR="00AB6753" w:rsidRDefault="00AB6753" w:rsidP="002D1EA4">
            <w:pPr>
              <w:spacing w:after="0"/>
              <w:jc w:val="right"/>
              <w:rPr>
                <w:rFonts w:cs="Arial"/>
                <w:b/>
                <w:bCs/>
                <w:sz w:val="18"/>
                <w:szCs w:val="18"/>
              </w:rPr>
            </w:pPr>
            <w:r>
              <w:rPr>
                <w:rFonts w:cs="Arial"/>
                <w:b/>
                <w:bCs/>
                <w:sz w:val="18"/>
                <w:szCs w:val="18"/>
              </w:rPr>
              <w:t>90,970</w:t>
            </w:r>
          </w:p>
        </w:tc>
        <w:tc>
          <w:tcPr>
            <w:tcW w:w="236" w:type="dxa"/>
            <w:tcBorders>
              <w:top w:val="nil"/>
              <w:left w:val="nil"/>
              <w:bottom w:val="nil"/>
              <w:right w:val="nil"/>
            </w:tcBorders>
            <w:shd w:val="clear" w:color="FFFFFF" w:fill="FFFFFF"/>
            <w:noWrap/>
            <w:vAlign w:val="bottom"/>
            <w:hideMark/>
          </w:tcPr>
          <w:p w14:paraId="0103A384" w14:textId="77777777" w:rsidR="00AB6753" w:rsidRDefault="00AB6753" w:rsidP="002D1EA4">
            <w:pPr>
              <w:spacing w:after="0"/>
              <w:rPr>
                <w:rFonts w:cs="Arial"/>
                <w:sz w:val="18"/>
                <w:szCs w:val="18"/>
              </w:rPr>
            </w:pPr>
            <w:r>
              <w:rPr>
                <w:rFonts w:cs="Arial"/>
                <w:sz w:val="18"/>
                <w:szCs w:val="18"/>
              </w:rPr>
              <w:t> </w:t>
            </w:r>
          </w:p>
        </w:tc>
        <w:tc>
          <w:tcPr>
            <w:tcW w:w="1138" w:type="dxa"/>
            <w:tcBorders>
              <w:top w:val="single" w:sz="4" w:space="0" w:color="auto"/>
              <w:left w:val="nil"/>
              <w:bottom w:val="single" w:sz="4" w:space="0" w:color="auto"/>
              <w:right w:val="nil"/>
            </w:tcBorders>
            <w:shd w:val="clear" w:color="FFFFFF" w:fill="FFFFFF"/>
            <w:noWrap/>
            <w:vAlign w:val="bottom"/>
            <w:hideMark/>
          </w:tcPr>
          <w:p w14:paraId="03A4A924" w14:textId="77777777" w:rsidR="00AB6753" w:rsidRDefault="00AB6753" w:rsidP="002D1EA4">
            <w:pPr>
              <w:spacing w:after="0"/>
              <w:jc w:val="right"/>
              <w:rPr>
                <w:rFonts w:cs="Arial"/>
                <w:sz w:val="18"/>
                <w:szCs w:val="18"/>
              </w:rPr>
            </w:pPr>
            <w:r>
              <w:rPr>
                <w:rFonts w:cs="Arial"/>
                <w:sz w:val="18"/>
                <w:szCs w:val="18"/>
              </w:rPr>
              <w:t>99,538</w:t>
            </w:r>
          </w:p>
        </w:tc>
        <w:tc>
          <w:tcPr>
            <w:tcW w:w="236" w:type="dxa"/>
            <w:tcBorders>
              <w:top w:val="nil"/>
              <w:left w:val="nil"/>
              <w:bottom w:val="nil"/>
              <w:right w:val="nil"/>
            </w:tcBorders>
            <w:shd w:val="clear" w:color="FFFFFF" w:fill="FFFFFF"/>
            <w:noWrap/>
            <w:vAlign w:val="bottom"/>
            <w:hideMark/>
          </w:tcPr>
          <w:p w14:paraId="5EF987AB" w14:textId="77777777" w:rsidR="00AB6753" w:rsidRDefault="00AB6753" w:rsidP="002D1EA4">
            <w:pPr>
              <w:spacing w:after="0"/>
              <w:rPr>
                <w:rFonts w:cs="Arial"/>
                <w:sz w:val="18"/>
                <w:szCs w:val="18"/>
              </w:rPr>
            </w:pPr>
            <w:r>
              <w:rPr>
                <w:rFonts w:cs="Arial"/>
                <w:sz w:val="18"/>
                <w:szCs w:val="18"/>
              </w:rPr>
              <w:t> </w:t>
            </w:r>
          </w:p>
        </w:tc>
        <w:tc>
          <w:tcPr>
            <w:tcW w:w="1032" w:type="dxa"/>
            <w:tcBorders>
              <w:top w:val="single" w:sz="4" w:space="0" w:color="auto"/>
              <w:left w:val="nil"/>
              <w:bottom w:val="single" w:sz="4" w:space="0" w:color="auto"/>
              <w:right w:val="nil"/>
            </w:tcBorders>
            <w:shd w:val="clear" w:color="FFFFFF" w:fill="FFFFFF"/>
            <w:noWrap/>
            <w:vAlign w:val="bottom"/>
            <w:hideMark/>
          </w:tcPr>
          <w:p w14:paraId="25D69C4C" w14:textId="77777777" w:rsidR="00AB6753" w:rsidRDefault="00AB6753" w:rsidP="002D1EA4">
            <w:pPr>
              <w:spacing w:after="0"/>
              <w:jc w:val="right"/>
              <w:rPr>
                <w:rFonts w:cs="Arial"/>
                <w:sz w:val="18"/>
                <w:szCs w:val="18"/>
              </w:rPr>
            </w:pPr>
            <w:r>
              <w:rPr>
                <w:rFonts w:cs="Arial"/>
                <w:sz w:val="18"/>
                <w:szCs w:val="18"/>
              </w:rPr>
              <w:t>75,688</w:t>
            </w:r>
          </w:p>
        </w:tc>
      </w:tr>
      <w:tr w:rsidR="00AB6753" w14:paraId="297A53CF" w14:textId="77777777" w:rsidTr="002D1EA4">
        <w:trPr>
          <w:trHeight w:val="255"/>
        </w:trPr>
        <w:tc>
          <w:tcPr>
            <w:tcW w:w="4378" w:type="dxa"/>
            <w:tcBorders>
              <w:top w:val="nil"/>
              <w:left w:val="nil"/>
              <w:bottom w:val="nil"/>
              <w:right w:val="nil"/>
            </w:tcBorders>
            <w:shd w:val="clear" w:color="FFFFFF" w:fill="FFFFFF"/>
            <w:noWrap/>
            <w:vAlign w:val="bottom"/>
            <w:hideMark/>
          </w:tcPr>
          <w:p w14:paraId="14C0E84F" w14:textId="77777777" w:rsidR="00AB6753" w:rsidRDefault="00AB6753" w:rsidP="002D1EA4">
            <w:pPr>
              <w:spacing w:after="0"/>
              <w:rPr>
                <w:rFonts w:cs="Arial"/>
                <w:sz w:val="18"/>
                <w:szCs w:val="18"/>
              </w:rPr>
            </w:pPr>
            <w:r>
              <w:rPr>
                <w:rFonts w:cs="Arial"/>
                <w:sz w:val="18"/>
                <w:szCs w:val="18"/>
              </w:rPr>
              <w:t> </w:t>
            </w:r>
          </w:p>
        </w:tc>
        <w:tc>
          <w:tcPr>
            <w:tcW w:w="1152" w:type="dxa"/>
            <w:tcBorders>
              <w:top w:val="nil"/>
              <w:left w:val="nil"/>
              <w:bottom w:val="nil"/>
              <w:right w:val="nil"/>
            </w:tcBorders>
            <w:shd w:val="clear" w:color="FFFFFF" w:fill="FFFFFF"/>
            <w:noWrap/>
            <w:vAlign w:val="bottom"/>
            <w:hideMark/>
          </w:tcPr>
          <w:p w14:paraId="479CD7A5"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6709B094"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79C7FD39"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084A5D49" w14:textId="77777777" w:rsidR="00AB6753" w:rsidRDefault="00AB6753" w:rsidP="002D1EA4">
            <w:pPr>
              <w:spacing w:after="0"/>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27E96A73"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40A588B5" w14:textId="77777777" w:rsidR="00AB6753" w:rsidRDefault="00AB6753" w:rsidP="002D1EA4">
            <w:pPr>
              <w:spacing w:after="0"/>
              <w:jc w:val="right"/>
              <w:rPr>
                <w:rFonts w:cs="Arial"/>
                <w:sz w:val="18"/>
                <w:szCs w:val="18"/>
              </w:rPr>
            </w:pPr>
            <w:r>
              <w:rPr>
                <w:rFonts w:cs="Arial"/>
                <w:sz w:val="18"/>
                <w:szCs w:val="18"/>
              </w:rPr>
              <w:t> </w:t>
            </w:r>
          </w:p>
        </w:tc>
      </w:tr>
      <w:tr w:rsidR="00AB6753" w14:paraId="1CB98A6C" w14:textId="77777777" w:rsidTr="002D1EA4">
        <w:trPr>
          <w:trHeight w:val="270"/>
        </w:trPr>
        <w:tc>
          <w:tcPr>
            <w:tcW w:w="4378" w:type="dxa"/>
            <w:tcBorders>
              <w:top w:val="nil"/>
              <w:left w:val="nil"/>
              <w:bottom w:val="nil"/>
              <w:right w:val="nil"/>
            </w:tcBorders>
            <w:shd w:val="clear" w:color="FFFFFF" w:fill="FFFFFF"/>
            <w:vAlign w:val="bottom"/>
            <w:hideMark/>
          </w:tcPr>
          <w:p w14:paraId="54EDEDB0" w14:textId="77777777" w:rsidR="00AB6753" w:rsidRDefault="00AB6753" w:rsidP="002D1EA4">
            <w:pPr>
              <w:spacing w:after="0"/>
              <w:rPr>
                <w:rFonts w:cs="Arial"/>
                <w:b/>
                <w:bCs/>
                <w:sz w:val="18"/>
                <w:szCs w:val="18"/>
              </w:rPr>
            </w:pPr>
            <w:r>
              <w:rPr>
                <w:rFonts w:cs="Arial"/>
                <w:b/>
                <w:bCs/>
                <w:sz w:val="18"/>
                <w:szCs w:val="18"/>
              </w:rPr>
              <w:t>Non-Financial Assets</w:t>
            </w:r>
            <w:r>
              <w:rPr>
                <w:rFonts w:cs="Arial"/>
                <w:b/>
                <w:bCs/>
                <w:sz w:val="18"/>
                <w:szCs w:val="18"/>
                <w:vertAlign w:val="superscript"/>
              </w:rPr>
              <w:t>1</w:t>
            </w:r>
          </w:p>
        </w:tc>
        <w:tc>
          <w:tcPr>
            <w:tcW w:w="1152" w:type="dxa"/>
            <w:tcBorders>
              <w:top w:val="nil"/>
              <w:left w:val="nil"/>
              <w:bottom w:val="nil"/>
              <w:right w:val="nil"/>
            </w:tcBorders>
            <w:shd w:val="clear" w:color="FFFFFF" w:fill="FFFFFF"/>
            <w:noWrap/>
            <w:vAlign w:val="bottom"/>
            <w:hideMark/>
          </w:tcPr>
          <w:p w14:paraId="46C44956"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733E3E42"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35E757E6"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0723D804" w14:textId="77777777" w:rsidR="00AB6753" w:rsidRDefault="00AB6753" w:rsidP="002D1EA4">
            <w:pPr>
              <w:spacing w:after="0"/>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0522D38B"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241A36EB" w14:textId="77777777" w:rsidR="00AB6753" w:rsidRDefault="00AB6753" w:rsidP="002D1EA4">
            <w:pPr>
              <w:spacing w:after="0"/>
              <w:jc w:val="right"/>
              <w:rPr>
                <w:rFonts w:cs="Arial"/>
                <w:sz w:val="18"/>
                <w:szCs w:val="18"/>
              </w:rPr>
            </w:pPr>
            <w:r>
              <w:rPr>
                <w:rFonts w:cs="Arial"/>
                <w:sz w:val="18"/>
                <w:szCs w:val="18"/>
              </w:rPr>
              <w:t> </w:t>
            </w:r>
          </w:p>
        </w:tc>
      </w:tr>
      <w:tr w:rsidR="00AB6753" w14:paraId="6440C6A6" w14:textId="77777777" w:rsidTr="002D1EA4">
        <w:trPr>
          <w:trHeight w:val="255"/>
        </w:trPr>
        <w:tc>
          <w:tcPr>
            <w:tcW w:w="4378" w:type="dxa"/>
            <w:tcBorders>
              <w:top w:val="nil"/>
              <w:left w:val="nil"/>
              <w:bottom w:val="nil"/>
              <w:right w:val="nil"/>
            </w:tcBorders>
            <w:shd w:val="clear" w:color="FFFFFF" w:fill="FFFFFF"/>
            <w:vAlign w:val="bottom"/>
            <w:hideMark/>
          </w:tcPr>
          <w:p w14:paraId="15001BCA" w14:textId="77777777" w:rsidR="00AB6753" w:rsidRDefault="00AB6753" w:rsidP="002D1EA4">
            <w:pPr>
              <w:spacing w:after="0"/>
              <w:rPr>
                <w:rFonts w:cs="Arial"/>
                <w:sz w:val="18"/>
                <w:szCs w:val="18"/>
              </w:rPr>
            </w:pPr>
            <w:r>
              <w:rPr>
                <w:rFonts w:cs="Arial"/>
                <w:sz w:val="18"/>
                <w:szCs w:val="18"/>
              </w:rPr>
              <w:t>Leasehold improvements</w:t>
            </w:r>
          </w:p>
        </w:tc>
        <w:tc>
          <w:tcPr>
            <w:tcW w:w="1152" w:type="dxa"/>
            <w:tcBorders>
              <w:top w:val="nil"/>
              <w:left w:val="nil"/>
              <w:bottom w:val="nil"/>
              <w:right w:val="nil"/>
            </w:tcBorders>
            <w:shd w:val="clear" w:color="FFFFFF" w:fill="FFFFFF"/>
            <w:noWrap/>
            <w:vAlign w:val="bottom"/>
            <w:hideMark/>
          </w:tcPr>
          <w:p w14:paraId="4036E3F5" w14:textId="77777777" w:rsidR="00AB6753" w:rsidRDefault="00AB6753" w:rsidP="002D1EA4">
            <w:pPr>
              <w:spacing w:after="0"/>
              <w:jc w:val="center"/>
              <w:rPr>
                <w:rFonts w:cs="Arial"/>
                <w:sz w:val="18"/>
                <w:szCs w:val="18"/>
              </w:rPr>
            </w:pPr>
            <w:r>
              <w:rPr>
                <w:rFonts w:cs="Arial"/>
                <w:sz w:val="18"/>
                <w:szCs w:val="18"/>
              </w:rPr>
              <w:t>3.2A</w:t>
            </w:r>
          </w:p>
        </w:tc>
        <w:tc>
          <w:tcPr>
            <w:tcW w:w="1143" w:type="dxa"/>
            <w:tcBorders>
              <w:top w:val="nil"/>
              <w:left w:val="nil"/>
              <w:bottom w:val="nil"/>
              <w:right w:val="nil"/>
            </w:tcBorders>
            <w:shd w:val="clear" w:color="FFFFFF" w:fill="FFFFFF"/>
            <w:noWrap/>
            <w:vAlign w:val="bottom"/>
            <w:hideMark/>
          </w:tcPr>
          <w:p w14:paraId="14D40419" w14:textId="77777777" w:rsidR="00AB6753" w:rsidRDefault="00AB6753" w:rsidP="002D1EA4">
            <w:pPr>
              <w:spacing w:after="0"/>
              <w:jc w:val="right"/>
              <w:rPr>
                <w:rFonts w:cs="Arial"/>
                <w:b/>
                <w:bCs/>
                <w:sz w:val="18"/>
                <w:szCs w:val="18"/>
              </w:rPr>
            </w:pPr>
            <w:r>
              <w:rPr>
                <w:rFonts w:cs="Arial"/>
                <w:b/>
                <w:bCs/>
                <w:sz w:val="18"/>
                <w:szCs w:val="18"/>
              </w:rPr>
              <w:t>581,359</w:t>
            </w:r>
          </w:p>
        </w:tc>
        <w:tc>
          <w:tcPr>
            <w:tcW w:w="236" w:type="dxa"/>
            <w:tcBorders>
              <w:top w:val="nil"/>
              <w:left w:val="nil"/>
              <w:bottom w:val="nil"/>
              <w:right w:val="nil"/>
            </w:tcBorders>
            <w:shd w:val="clear" w:color="FFFFFF" w:fill="FFFFFF"/>
            <w:noWrap/>
            <w:vAlign w:val="bottom"/>
            <w:hideMark/>
          </w:tcPr>
          <w:p w14:paraId="24AE019C"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42807EEF" w14:textId="77777777" w:rsidR="00AB6753" w:rsidRDefault="00AB6753" w:rsidP="002D1EA4">
            <w:pPr>
              <w:spacing w:after="0"/>
              <w:jc w:val="right"/>
              <w:rPr>
                <w:rFonts w:cs="Arial"/>
                <w:sz w:val="18"/>
                <w:szCs w:val="18"/>
              </w:rPr>
            </w:pPr>
            <w:r>
              <w:rPr>
                <w:rFonts w:cs="Arial"/>
                <w:sz w:val="18"/>
                <w:szCs w:val="18"/>
              </w:rPr>
              <w:t>52,265</w:t>
            </w:r>
          </w:p>
        </w:tc>
        <w:tc>
          <w:tcPr>
            <w:tcW w:w="236" w:type="dxa"/>
            <w:tcBorders>
              <w:top w:val="nil"/>
              <w:left w:val="nil"/>
              <w:bottom w:val="nil"/>
              <w:right w:val="nil"/>
            </w:tcBorders>
            <w:shd w:val="clear" w:color="FFFFFF" w:fill="FFFFFF"/>
            <w:noWrap/>
            <w:vAlign w:val="bottom"/>
            <w:hideMark/>
          </w:tcPr>
          <w:p w14:paraId="569278AE"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4C2C8D97" w14:textId="77777777" w:rsidR="00AB6753" w:rsidRDefault="00AB6753" w:rsidP="002D1EA4">
            <w:pPr>
              <w:spacing w:after="0"/>
              <w:jc w:val="right"/>
              <w:rPr>
                <w:rFonts w:cs="Arial"/>
                <w:sz w:val="18"/>
                <w:szCs w:val="18"/>
              </w:rPr>
            </w:pPr>
            <w:r>
              <w:rPr>
                <w:rFonts w:cs="Arial"/>
                <w:sz w:val="18"/>
                <w:szCs w:val="18"/>
              </w:rPr>
              <w:t xml:space="preserve">44,349 </w:t>
            </w:r>
          </w:p>
        </w:tc>
      </w:tr>
      <w:tr w:rsidR="00AB6753" w14:paraId="2D0B1239" w14:textId="77777777" w:rsidTr="002D1EA4">
        <w:trPr>
          <w:trHeight w:val="255"/>
        </w:trPr>
        <w:tc>
          <w:tcPr>
            <w:tcW w:w="4378" w:type="dxa"/>
            <w:tcBorders>
              <w:top w:val="nil"/>
              <w:left w:val="nil"/>
              <w:bottom w:val="nil"/>
              <w:right w:val="nil"/>
            </w:tcBorders>
            <w:shd w:val="clear" w:color="FFFFFF" w:fill="FFFFFF"/>
            <w:vAlign w:val="bottom"/>
            <w:hideMark/>
          </w:tcPr>
          <w:p w14:paraId="2411C49E" w14:textId="77777777" w:rsidR="00AB6753" w:rsidRDefault="00AB6753" w:rsidP="002D1EA4">
            <w:pPr>
              <w:spacing w:after="0"/>
              <w:rPr>
                <w:rFonts w:cs="Arial"/>
                <w:sz w:val="18"/>
                <w:szCs w:val="18"/>
              </w:rPr>
            </w:pPr>
            <w:r>
              <w:rPr>
                <w:rFonts w:cs="Arial"/>
                <w:sz w:val="18"/>
                <w:szCs w:val="18"/>
              </w:rPr>
              <w:t>Property, plant and equipment</w:t>
            </w:r>
          </w:p>
        </w:tc>
        <w:tc>
          <w:tcPr>
            <w:tcW w:w="1152" w:type="dxa"/>
            <w:tcBorders>
              <w:top w:val="nil"/>
              <w:left w:val="nil"/>
              <w:bottom w:val="nil"/>
              <w:right w:val="nil"/>
            </w:tcBorders>
            <w:shd w:val="clear" w:color="FFFFFF" w:fill="FFFFFF"/>
            <w:noWrap/>
            <w:vAlign w:val="bottom"/>
            <w:hideMark/>
          </w:tcPr>
          <w:p w14:paraId="58B0B3F8" w14:textId="77777777" w:rsidR="00AB6753" w:rsidRDefault="00AB6753" w:rsidP="002D1EA4">
            <w:pPr>
              <w:spacing w:after="0"/>
              <w:jc w:val="center"/>
              <w:rPr>
                <w:rFonts w:cs="Arial"/>
                <w:sz w:val="18"/>
                <w:szCs w:val="18"/>
              </w:rPr>
            </w:pPr>
            <w:r>
              <w:rPr>
                <w:rFonts w:cs="Arial"/>
                <w:sz w:val="18"/>
                <w:szCs w:val="18"/>
              </w:rPr>
              <w:t>3.2A</w:t>
            </w:r>
          </w:p>
        </w:tc>
        <w:tc>
          <w:tcPr>
            <w:tcW w:w="1143" w:type="dxa"/>
            <w:tcBorders>
              <w:top w:val="nil"/>
              <w:left w:val="nil"/>
              <w:bottom w:val="nil"/>
              <w:right w:val="nil"/>
            </w:tcBorders>
            <w:shd w:val="clear" w:color="FFFFFF" w:fill="FFFFFF"/>
            <w:noWrap/>
            <w:vAlign w:val="bottom"/>
            <w:hideMark/>
          </w:tcPr>
          <w:p w14:paraId="0DF51161" w14:textId="77777777" w:rsidR="00AB6753" w:rsidRDefault="00AB6753" w:rsidP="002D1EA4">
            <w:pPr>
              <w:spacing w:after="0"/>
              <w:jc w:val="right"/>
              <w:rPr>
                <w:rFonts w:cs="Arial"/>
                <w:b/>
                <w:bCs/>
                <w:sz w:val="18"/>
                <w:szCs w:val="18"/>
              </w:rPr>
            </w:pPr>
            <w:r>
              <w:rPr>
                <w:rFonts w:cs="Arial"/>
                <w:b/>
                <w:bCs/>
                <w:sz w:val="18"/>
                <w:szCs w:val="18"/>
              </w:rPr>
              <w:t>1,485</w:t>
            </w:r>
          </w:p>
        </w:tc>
        <w:tc>
          <w:tcPr>
            <w:tcW w:w="236" w:type="dxa"/>
            <w:tcBorders>
              <w:top w:val="nil"/>
              <w:left w:val="nil"/>
              <w:bottom w:val="nil"/>
              <w:right w:val="nil"/>
            </w:tcBorders>
            <w:shd w:val="clear" w:color="FFFFFF" w:fill="FFFFFF"/>
            <w:noWrap/>
            <w:vAlign w:val="bottom"/>
            <w:hideMark/>
          </w:tcPr>
          <w:p w14:paraId="0DA87961"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13452820" w14:textId="77777777" w:rsidR="00AB6753" w:rsidRDefault="00AB6753" w:rsidP="002D1EA4">
            <w:pPr>
              <w:spacing w:after="0"/>
              <w:jc w:val="right"/>
              <w:rPr>
                <w:rFonts w:cs="Arial"/>
                <w:sz w:val="18"/>
                <w:szCs w:val="18"/>
              </w:rPr>
            </w:pPr>
            <w:r>
              <w:rPr>
                <w:rFonts w:cs="Arial"/>
                <w:sz w:val="18"/>
                <w:szCs w:val="18"/>
              </w:rPr>
              <w:t>27,711</w:t>
            </w:r>
          </w:p>
        </w:tc>
        <w:tc>
          <w:tcPr>
            <w:tcW w:w="236" w:type="dxa"/>
            <w:tcBorders>
              <w:top w:val="nil"/>
              <w:left w:val="nil"/>
              <w:bottom w:val="nil"/>
              <w:right w:val="nil"/>
            </w:tcBorders>
            <w:shd w:val="clear" w:color="FFFFFF" w:fill="FFFFFF"/>
            <w:noWrap/>
            <w:vAlign w:val="bottom"/>
            <w:hideMark/>
          </w:tcPr>
          <w:p w14:paraId="5F211BB4"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1430BE8E" w14:textId="77777777" w:rsidR="00AB6753" w:rsidRDefault="00AB6753" w:rsidP="002D1EA4">
            <w:pPr>
              <w:spacing w:after="0"/>
              <w:jc w:val="right"/>
              <w:rPr>
                <w:rFonts w:cs="Arial"/>
                <w:sz w:val="18"/>
                <w:szCs w:val="18"/>
              </w:rPr>
            </w:pPr>
            <w:r>
              <w:rPr>
                <w:rFonts w:cs="Arial"/>
                <w:sz w:val="18"/>
                <w:szCs w:val="18"/>
              </w:rPr>
              <w:t xml:space="preserve">22,123 </w:t>
            </w:r>
          </w:p>
        </w:tc>
      </w:tr>
      <w:tr w:rsidR="00AB6753" w14:paraId="12CBE915" w14:textId="77777777" w:rsidTr="002D1EA4">
        <w:trPr>
          <w:trHeight w:val="255"/>
        </w:trPr>
        <w:tc>
          <w:tcPr>
            <w:tcW w:w="4378" w:type="dxa"/>
            <w:tcBorders>
              <w:top w:val="nil"/>
              <w:left w:val="nil"/>
              <w:bottom w:val="nil"/>
              <w:right w:val="nil"/>
            </w:tcBorders>
            <w:shd w:val="clear" w:color="FFFFFF" w:fill="FFFFFF"/>
            <w:vAlign w:val="bottom"/>
            <w:hideMark/>
          </w:tcPr>
          <w:p w14:paraId="1CC6D6DF" w14:textId="77777777" w:rsidR="00AB6753" w:rsidRDefault="00AB6753" w:rsidP="002D1EA4">
            <w:pPr>
              <w:spacing w:after="0"/>
              <w:rPr>
                <w:rFonts w:cs="Arial"/>
                <w:sz w:val="18"/>
                <w:szCs w:val="18"/>
              </w:rPr>
            </w:pPr>
            <w:r>
              <w:rPr>
                <w:rFonts w:cs="Arial"/>
                <w:sz w:val="18"/>
                <w:szCs w:val="18"/>
              </w:rPr>
              <w:t>Intangibles</w:t>
            </w:r>
          </w:p>
        </w:tc>
        <w:tc>
          <w:tcPr>
            <w:tcW w:w="1152" w:type="dxa"/>
            <w:tcBorders>
              <w:top w:val="nil"/>
              <w:left w:val="nil"/>
              <w:bottom w:val="nil"/>
              <w:right w:val="nil"/>
            </w:tcBorders>
            <w:shd w:val="clear" w:color="FFFFFF" w:fill="FFFFFF"/>
            <w:noWrap/>
            <w:vAlign w:val="bottom"/>
            <w:hideMark/>
          </w:tcPr>
          <w:p w14:paraId="132DEB67" w14:textId="77777777" w:rsidR="00AB6753" w:rsidRDefault="00AB6753" w:rsidP="002D1EA4">
            <w:pPr>
              <w:spacing w:after="0"/>
              <w:jc w:val="center"/>
              <w:rPr>
                <w:rFonts w:cs="Arial"/>
                <w:sz w:val="18"/>
                <w:szCs w:val="18"/>
              </w:rPr>
            </w:pPr>
            <w:r>
              <w:rPr>
                <w:rFonts w:cs="Arial"/>
                <w:sz w:val="18"/>
                <w:szCs w:val="18"/>
              </w:rPr>
              <w:t>3.2A</w:t>
            </w:r>
          </w:p>
        </w:tc>
        <w:tc>
          <w:tcPr>
            <w:tcW w:w="1143" w:type="dxa"/>
            <w:tcBorders>
              <w:top w:val="nil"/>
              <w:left w:val="nil"/>
              <w:bottom w:val="nil"/>
              <w:right w:val="nil"/>
            </w:tcBorders>
            <w:shd w:val="clear" w:color="FFFFFF" w:fill="FFFFFF"/>
            <w:noWrap/>
            <w:vAlign w:val="bottom"/>
            <w:hideMark/>
          </w:tcPr>
          <w:p w14:paraId="63AC7F58" w14:textId="77777777" w:rsidR="00AB6753" w:rsidRDefault="00AB6753" w:rsidP="002D1EA4">
            <w:pPr>
              <w:spacing w:after="0"/>
              <w:jc w:val="right"/>
              <w:rPr>
                <w:rFonts w:cs="Arial"/>
                <w:b/>
                <w:bCs/>
                <w:sz w:val="18"/>
                <w:szCs w:val="18"/>
              </w:rPr>
            </w:pPr>
            <w:r>
              <w:rPr>
                <w:rFonts w:cs="Arial"/>
                <w:b/>
                <w:bCs/>
                <w:sz w:val="18"/>
                <w:szCs w:val="18"/>
              </w:rPr>
              <w:t>62</w:t>
            </w:r>
          </w:p>
        </w:tc>
        <w:tc>
          <w:tcPr>
            <w:tcW w:w="236" w:type="dxa"/>
            <w:tcBorders>
              <w:top w:val="nil"/>
              <w:left w:val="nil"/>
              <w:bottom w:val="nil"/>
              <w:right w:val="nil"/>
            </w:tcBorders>
            <w:shd w:val="clear" w:color="FFFFFF" w:fill="FFFFFF"/>
            <w:noWrap/>
            <w:vAlign w:val="bottom"/>
            <w:hideMark/>
          </w:tcPr>
          <w:p w14:paraId="6B9E4442"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31AD8A65" w14:textId="77777777" w:rsidR="00AB6753" w:rsidRDefault="00AB6753" w:rsidP="002D1EA4">
            <w:pPr>
              <w:spacing w:after="0"/>
              <w:jc w:val="right"/>
              <w:rPr>
                <w:rFonts w:cs="Arial"/>
                <w:sz w:val="18"/>
                <w:szCs w:val="18"/>
              </w:rPr>
            </w:pPr>
            <w:r>
              <w:rPr>
                <w:rFonts w:cs="Arial"/>
                <w:sz w:val="18"/>
                <w:szCs w:val="18"/>
              </w:rPr>
              <w:t>123,980</w:t>
            </w:r>
          </w:p>
        </w:tc>
        <w:tc>
          <w:tcPr>
            <w:tcW w:w="236" w:type="dxa"/>
            <w:tcBorders>
              <w:top w:val="nil"/>
              <w:left w:val="nil"/>
              <w:bottom w:val="nil"/>
              <w:right w:val="nil"/>
            </w:tcBorders>
            <w:shd w:val="clear" w:color="FFFFFF" w:fill="FFFFFF"/>
            <w:noWrap/>
            <w:vAlign w:val="bottom"/>
            <w:hideMark/>
          </w:tcPr>
          <w:p w14:paraId="69A30640"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2E33C2FB" w14:textId="77777777" w:rsidR="00AB6753" w:rsidRDefault="00AB6753" w:rsidP="002D1EA4">
            <w:pPr>
              <w:spacing w:after="0"/>
              <w:jc w:val="right"/>
              <w:rPr>
                <w:rFonts w:cs="Arial"/>
                <w:sz w:val="18"/>
                <w:szCs w:val="18"/>
              </w:rPr>
            </w:pPr>
            <w:r>
              <w:rPr>
                <w:rFonts w:cs="Arial"/>
                <w:sz w:val="18"/>
                <w:szCs w:val="18"/>
              </w:rPr>
              <w:t xml:space="preserve">83,707 </w:t>
            </w:r>
          </w:p>
        </w:tc>
      </w:tr>
      <w:tr w:rsidR="00AB6753" w14:paraId="2C17C526" w14:textId="77777777" w:rsidTr="002D1EA4">
        <w:trPr>
          <w:trHeight w:val="255"/>
        </w:trPr>
        <w:tc>
          <w:tcPr>
            <w:tcW w:w="4378" w:type="dxa"/>
            <w:tcBorders>
              <w:top w:val="nil"/>
              <w:left w:val="nil"/>
              <w:bottom w:val="nil"/>
              <w:right w:val="nil"/>
            </w:tcBorders>
            <w:shd w:val="clear" w:color="FFFFFF" w:fill="FFFFFF"/>
            <w:vAlign w:val="bottom"/>
            <w:hideMark/>
          </w:tcPr>
          <w:p w14:paraId="33B99290" w14:textId="77777777" w:rsidR="00AB6753" w:rsidRDefault="00AB6753" w:rsidP="002D1EA4">
            <w:pPr>
              <w:spacing w:after="0"/>
              <w:rPr>
                <w:rFonts w:cs="Arial"/>
                <w:sz w:val="18"/>
                <w:szCs w:val="18"/>
              </w:rPr>
            </w:pPr>
            <w:r>
              <w:rPr>
                <w:rFonts w:cs="Arial"/>
                <w:sz w:val="18"/>
                <w:szCs w:val="18"/>
              </w:rPr>
              <w:t>Prepayments</w:t>
            </w:r>
          </w:p>
        </w:tc>
        <w:tc>
          <w:tcPr>
            <w:tcW w:w="1152" w:type="dxa"/>
            <w:tcBorders>
              <w:top w:val="nil"/>
              <w:left w:val="nil"/>
              <w:bottom w:val="nil"/>
              <w:right w:val="nil"/>
            </w:tcBorders>
            <w:shd w:val="clear" w:color="FFFFFF" w:fill="FFFFFF"/>
            <w:noWrap/>
            <w:vAlign w:val="bottom"/>
            <w:hideMark/>
          </w:tcPr>
          <w:p w14:paraId="7138602C"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1ACE6B3A" w14:textId="77777777" w:rsidR="00AB6753" w:rsidRDefault="00AB6753" w:rsidP="002D1EA4">
            <w:pPr>
              <w:spacing w:after="0"/>
              <w:jc w:val="right"/>
              <w:rPr>
                <w:rFonts w:cs="Arial"/>
                <w:b/>
                <w:bCs/>
                <w:sz w:val="18"/>
                <w:szCs w:val="18"/>
              </w:rPr>
            </w:pPr>
            <w:r>
              <w:rPr>
                <w:rFonts w:cs="Arial"/>
                <w:b/>
                <w:bCs/>
                <w:sz w:val="18"/>
                <w:szCs w:val="18"/>
              </w:rPr>
              <w:t>1,042</w:t>
            </w:r>
          </w:p>
        </w:tc>
        <w:tc>
          <w:tcPr>
            <w:tcW w:w="236" w:type="dxa"/>
            <w:tcBorders>
              <w:top w:val="nil"/>
              <w:left w:val="nil"/>
              <w:bottom w:val="nil"/>
              <w:right w:val="nil"/>
            </w:tcBorders>
            <w:shd w:val="clear" w:color="FFFFFF" w:fill="FFFFFF"/>
            <w:noWrap/>
            <w:vAlign w:val="bottom"/>
            <w:hideMark/>
          </w:tcPr>
          <w:p w14:paraId="7BF451A1"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66EC8B37" w14:textId="77777777" w:rsidR="00AB6753" w:rsidRDefault="00AB6753" w:rsidP="002D1EA4">
            <w:pPr>
              <w:spacing w:after="0"/>
              <w:jc w:val="right"/>
              <w:rPr>
                <w:rFonts w:cs="Arial"/>
                <w:sz w:val="18"/>
                <w:szCs w:val="18"/>
              </w:rPr>
            </w:pPr>
            <w:r>
              <w:rPr>
                <w:rFonts w:cs="Arial"/>
                <w:sz w:val="18"/>
                <w:szCs w:val="18"/>
              </w:rPr>
              <w:t>25,819</w:t>
            </w:r>
          </w:p>
        </w:tc>
        <w:tc>
          <w:tcPr>
            <w:tcW w:w="236" w:type="dxa"/>
            <w:tcBorders>
              <w:top w:val="nil"/>
              <w:left w:val="nil"/>
              <w:bottom w:val="nil"/>
              <w:right w:val="nil"/>
            </w:tcBorders>
            <w:shd w:val="clear" w:color="FFFFFF" w:fill="FFFFFF"/>
            <w:noWrap/>
            <w:vAlign w:val="bottom"/>
            <w:hideMark/>
          </w:tcPr>
          <w:p w14:paraId="1BA5B565"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3F2C9332" w14:textId="77777777" w:rsidR="00AB6753" w:rsidRDefault="00AB6753" w:rsidP="002D1EA4">
            <w:pPr>
              <w:spacing w:after="0"/>
              <w:jc w:val="right"/>
              <w:rPr>
                <w:rFonts w:cs="Arial"/>
                <w:sz w:val="18"/>
                <w:szCs w:val="18"/>
              </w:rPr>
            </w:pPr>
            <w:r>
              <w:rPr>
                <w:rFonts w:cs="Arial"/>
                <w:sz w:val="18"/>
                <w:szCs w:val="18"/>
              </w:rPr>
              <w:t xml:space="preserve">28,149 </w:t>
            </w:r>
          </w:p>
        </w:tc>
      </w:tr>
      <w:tr w:rsidR="00AB6753" w14:paraId="063D577B" w14:textId="77777777" w:rsidTr="002D1EA4">
        <w:trPr>
          <w:trHeight w:val="255"/>
        </w:trPr>
        <w:tc>
          <w:tcPr>
            <w:tcW w:w="4378" w:type="dxa"/>
            <w:tcBorders>
              <w:top w:val="nil"/>
              <w:left w:val="nil"/>
              <w:bottom w:val="nil"/>
              <w:right w:val="nil"/>
            </w:tcBorders>
            <w:shd w:val="clear" w:color="FFFFFF" w:fill="FFFFFF"/>
            <w:vAlign w:val="bottom"/>
            <w:hideMark/>
          </w:tcPr>
          <w:p w14:paraId="26F3106F" w14:textId="77777777" w:rsidR="00AB6753" w:rsidRDefault="00AB6753" w:rsidP="002D1EA4">
            <w:pPr>
              <w:spacing w:after="0"/>
              <w:rPr>
                <w:rFonts w:cs="Arial"/>
                <w:b/>
                <w:bCs/>
                <w:sz w:val="18"/>
                <w:szCs w:val="18"/>
              </w:rPr>
            </w:pPr>
            <w:r>
              <w:rPr>
                <w:rFonts w:cs="Arial"/>
                <w:b/>
                <w:bCs/>
                <w:sz w:val="18"/>
                <w:szCs w:val="18"/>
              </w:rPr>
              <w:t>Total non-financial assets</w:t>
            </w:r>
          </w:p>
        </w:tc>
        <w:tc>
          <w:tcPr>
            <w:tcW w:w="1152" w:type="dxa"/>
            <w:tcBorders>
              <w:top w:val="nil"/>
              <w:left w:val="nil"/>
              <w:bottom w:val="nil"/>
              <w:right w:val="nil"/>
            </w:tcBorders>
            <w:shd w:val="clear" w:color="FFFFFF" w:fill="FFFFFF"/>
            <w:noWrap/>
            <w:vAlign w:val="bottom"/>
            <w:hideMark/>
          </w:tcPr>
          <w:p w14:paraId="55CA2CB1"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single" w:sz="4" w:space="0" w:color="auto"/>
              <w:left w:val="nil"/>
              <w:bottom w:val="single" w:sz="4" w:space="0" w:color="auto"/>
              <w:right w:val="nil"/>
            </w:tcBorders>
            <w:shd w:val="clear" w:color="FFFFFF" w:fill="FFFFFF"/>
            <w:noWrap/>
            <w:vAlign w:val="bottom"/>
            <w:hideMark/>
          </w:tcPr>
          <w:p w14:paraId="48216F3F" w14:textId="77777777" w:rsidR="00AB6753" w:rsidRDefault="00AB6753" w:rsidP="002D1EA4">
            <w:pPr>
              <w:spacing w:after="0"/>
              <w:jc w:val="right"/>
              <w:rPr>
                <w:rFonts w:cs="Arial"/>
                <w:b/>
                <w:bCs/>
                <w:sz w:val="18"/>
                <w:szCs w:val="18"/>
              </w:rPr>
            </w:pPr>
            <w:r>
              <w:rPr>
                <w:rFonts w:cs="Arial"/>
                <w:b/>
                <w:bCs/>
                <w:sz w:val="18"/>
                <w:szCs w:val="18"/>
              </w:rPr>
              <w:t>583,948</w:t>
            </w:r>
          </w:p>
        </w:tc>
        <w:tc>
          <w:tcPr>
            <w:tcW w:w="236" w:type="dxa"/>
            <w:tcBorders>
              <w:top w:val="nil"/>
              <w:left w:val="nil"/>
              <w:bottom w:val="nil"/>
              <w:right w:val="nil"/>
            </w:tcBorders>
            <w:shd w:val="clear" w:color="FFFFFF" w:fill="FFFFFF"/>
            <w:noWrap/>
            <w:vAlign w:val="bottom"/>
            <w:hideMark/>
          </w:tcPr>
          <w:p w14:paraId="45B5A1C6" w14:textId="77777777" w:rsidR="00AB6753" w:rsidRDefault="00AB6753" w:rsidP="002D1EA4">
            <w:pPr>
              <w:spacing w:after="0"/>
              <w:rPr>
                <w:rFonts w:cs="Arial"/>
                <w:sz w:val="18"/>
                <w:szCs w:val="18"/>
              </w:rPr>
            </w:pPr>
            <w:r>
              <w:rPr>
                <w:rFonts w:cs="Arial"/>
                <w:sz w:val="18"/>
                <w:szCs w:val="18"/>
              </w:rPr>
              <w:t> </w:t>
            </w:r>
          </w:p>
        </w:tc>
        <w:tc>
          <w:tcPr>
            <w:tcW w:w="1138" w:type="dxa"/>
            <w:tcBorders>
              <w:top w:val="single" w:sz="4" w:space="0" w:color="auto"/>
              <w:left w:val="nil"/>
              <w:bottom w:val="single" w:sz="4" w:space="0" w:color="auto"/>
              <w:right w:val="nil"/>
            </w:tcBorders>
            <w:shd w:val="clear" w:color="FFFFFF" w:fill="FFFFFF"/>
            <w:noWrap/>
            <w:vAlign w:val="bottom"/>
            <w:hideMark/>
          </w:tcPr>
          <w:p w14:paraId="640BF342" w14:textId="77777777" w:rsidR="00AB6753" w:rsidRDefault="00AB6753" w:rsidP="002D1EA4">
            <w:pPr>
              <w:spacing w:after="0"/>
              <w:jc w:val="right"/>
              <w:rPr>
                <w:rFonts w:cs="Arial"/>
                <w:sz w:val="18"/>
                <w:szCs w:val="18"/>
              </w:rPr>
            </w:pPr>
            <w:r>
              <w:rPr>
                <w:rFonts w:cs="Arial"/>
                <w:sz w:val="18"/>
                <w:szCs w:val="18"/>
              </w:rPr>
              <w:t>229,775</w:t>
            </w:r>
          </w:p>
        </w:tc>
        <w:tc>
          <w:tcPr>
            <w:tcW w:w="236" w:type="dxa"/>
            <w:tcBorders>
              <w:top w:val="nil"/>
              <w:left w:val="nil"/>
              <w:bottom w:val="nil"/>
              <w:right w:val="nil"/>
            </w:tcBorders>
            <w:shd w:val="clear" w:color="FFFFFF" w:fill="FFFFFF"/>
            <w:noWrap/>
            <w:vAlign w:val="bottom"/>
            <w:hideMark/>
          </w:tcPr>
          <w:p w14:paraId="39800C02" w14:textId="77777777" w:rsidR="00AB6753" w:rsidRDefault="00AB6753" w:rsidP="002D1EA4">
            <w:pPr>
              <w:spacing w:after="0"/>
              <w:rPr>
                <w:rFonts w:cs="Arial"/>
                <w:sz w:val="18"/>
                <w:szCs w:val="18"/>
              </w:rPr>
            </w:pPr>
            <w:r>
              <w:rPr>
                <w:rFonts w:cs="Arial"/>
                <w:sz w:val="18"/>
                <w:szCs w:val="18"/>
              </w:rPr>
              <w:t> </w:t>
            </w:r>
          </w:p>
        </w:tc>
        <w:tc>
          <w:tcPr>
            <w:tcW w:w="1032" w:type="dxa"/>
            <w:tcBorders>
              <w:top w:val="single" w:sz="4" w:space="0" w:color="auto"/>
              <w:left w:val="nil"/>
              <w:bottom w:val="single" w:sz="4" w:space="0" w:color="auto"/>
              <w:right w:val="nil"/>
            </w:tcBorders>
            <w:shd w:val="clear" w:color="FFFFFF" w:fill="FFFFFF"/>
            <w:noWrap/>
            <w:vAlign w:val="bottom"/>
            <w:hideMark/>
          </w:tcPr>
          <w:p w14:paraId="00598B30" w14:textId="77777777" w:rsidR="00AB6753" w:rsidRDefault="00AB6753" w:rsidP="002D1EA4">
            <w:pPr>
              <w:spacing w:after="0"/>
              <w:jc w:val="right"/>
              <w:rPr>
                <w:rFonts w:cs="Arial"/>
                <w:sz w:val="18"/>
                <w:szCs w:val="18"/>
              </w:rPr>
            </w:pPr>
            <w:r>
              <w:rPr>
                <w:rFonts w:cs="Arial"/>
                <w:sz w:val="18"/>
                <w:szCs w:val="18"/>
              </w:rPr>
              <w:t>178,328</w:t>
            </w:r>
          </w:p>
        </w:tc>
      </w:tr>
      <w:tr w:rsidR="00AB6753" w14:paraId="1539FF20" w14:textId="77777777" w:rsidTr="002D1EA4">
        <w:trPr>
          <w:trHeight w:val="255"/>
        </w:trPr>
        <w:tc>
          <w:tcPr>
            <w:tcW w:w="4378" w:type="dxa"/>
            <w:tcBorders>
              <w:top w:val="nil"/>
              <w:left w:val="nil"/>
              <w:bottom w:val="nil"/>
              <w:right w:val="nil"/>
            </w:tcBorders>
            <w:shd w:val="clear" w:color="FFFFFF" w:fill="FFFFFF"/>
            <w:vAlign w:val="bottom"/>
            <w:hideMark/>
          </w:tcPr>
          <w:p w14:paraId="7A51AF25" w14:textId="77777777" w:rsidR="00AB6753" w:rsidRDefault="00AB6753" w:rsidP="002D1EA4">
            <w:pPr>
              <w:spacing w:after="0"/>
              <w:rPr>
                <w:rFonts w:cs="Arial"/>
                <w:b/>
                <w:bCs/>
                <w:sz w:val="18"/>
                <w:szCs w:val="18"/>
              </w:rPr>
            </w:pPr>
            <w:r>
              <w:rPr>
                <w:rFonts w:cs="Arial"/>
                <w:b/>
                <w:bCs/>
                <w:sz w:val="18"/>
                <w:szCs w:val="18"/>
              </w:rPr>
              <w:t> </w:t>
            </w:r>
          </w:p>
        </w:tc>
        <w:tc>
          <w:tcPr>
            <w:tcW w:w="1152" w:type="dxa"/>
            <w:tcBorders>
              <w:top w:val="nil"/>
              <w:left w:val="nil"/>
              <w:bottom w:val="nil"/>
              <w:right w:val="nil"/>
            </w:tcBorders>
            <w:shd w:val="clear" w:color="FFFFFF" w:fill="FFFFFF"/>
            <w:noWrap/>
            <w:vAlign w:val="bottom"/>
            <w:hideMark/>
          </w:tcPr>
          <w:p w14:paraId="2AB92620"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1BF85ABD" w14:textId="77777777" w:rsidR="00AB6753" w:rsidRDefault="00AB6753" w:rsidP="002D1EA4">
            <w:pPr>
              <w:spacing w:after="0"/>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21BDD895"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0B2A9064" w14:textId="77777777" w:rsidR="00AB6753" w:rsidRDefault="00AB6753" w:rsidP="002D1EA4">
            <w:pPr>
              <w:spacing w:after="0"/>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7AF21202"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33A9D415" w14:textId="77777777" w:rsidR="00AB6753" w:rsidRDefault="00AB6753" w:rsidP="002D1EA4">
            <w:pPr>
              <w:spacing w:after="0"/>
              <w:jc w:val="right"/>
              <w:rPr>
                <w:rFonts w:cs="Arial"/>
                <w:sz w:val="18"/>
                <w:szCs w:val="18"/>
              </w:rPr>
            </w:pPr>
            <w:r>
              <w:rPr>
                <w:rFonts w:cs="Arial"/>
                <w:sz w:val="18"/>
                <w:szCs w:val="18"/>
              </w:rPr>
              <w:t> </w:t>
            </w:r>
          </w:p>
        </w:tc>
      </w:tr>
      <w:tr w:rsidR="00AB6753" w14:paraId="3A86659A" w14:textId="77777777" w:rsidTr="002D1EA4">
        <w:trPr>
          <w:trHeight w:val="255"/>
        </w:trPr>
        <w:tc>
          <w:tcPr>
            <w:tcW w:w="4378" w:type="dxa"/>
            <w:tcBorders>
              <w:top w:val="nil"/>
              <w:left w:val="nil"/>
              <w:bottom w:val="nil"/>
              <w:right w:val="nil"/>
            </w:tcBorders>
            <w:shd w:val="clear" w:color="FFFFFF" w:fill="FFFFFF"/>
            <w:vAlign w:val="bottom"/>
            <w:hideMark/>
          </w:tcPr>
          <w:p w14:paraId="6CFD2BC4" w14:textId="77777777" w:rsidR="00AB6753" w:rsidRDefault="00AB6753" w:rsidP="002D1EA4">
            <w:pPr>
              <w:spacing w:after="0"/>
              <w:rPr>
                <w:rFonts w:cs="Arial"/>
                <w:sz w:val="18"/>
                <w:szCs w:val="18"/>
              </w:rPr>
            </w:pPr>
            <w:r>
              <w:rPr>
                <w:rFonts w:cs="Arial"/>
                <w:sz w:val="18"/>
                <w:szCs w:val="18"/>
              </w:rPr>
              <w:t>Assets held for sale</w:t>
            </w:r>
          </w:p>
        </w:tc>
        <w:tc>
          <w:tcPr>
            <w:tcW w:w="1152" w:type="dxa"/>
            <w:tcBorders>
              <w:top w:val="nil"/>
              <w:left w:val="nil"/>
              <w:bottom w:val="nil"/>
              <w:right w:val="nil"/>
            </w:tcBorders>
            <w:shd w:val="clear" w:color="FFFFFF" w:fill="FFFFFF"/>
            <w:noWrap/>
            <w:vAlign w:val="bottom"/>
            <w:hideMark/>
          </w:tcPr>
          <w:p w14:paraId="4784E06F" w14:textId="77777777" w:rsidR="00AB6753" w:rsidRDefault="00AB6753" w:rsidP="002D1EA4">
            <w:pPr>
              <w:spacing w:after="0"/>
              <w:jc w:val="center"/>
              <w:rPr>
                <w:rFonts w:cs="Arial"/>
                <w:sz w:val="18"/>
                <w:szCs w:val="18"/>
              </w:rPr>
            </w:pPr>
            <w:r>
              <w:rPr>
                <w:rFonts w:cs="Arial"/>
                <w:sz w:val="18"/>
                <w:szCs w:val="18"/>
              </w:rPr>
              <w:t>3.2A</w:t>
            </w:r>
          </w:p>
        </w:tc>
        <w:tc>
          <w:tcPr>
            <w:tcW w:w="1143" w:type="dxa"/>
            <w:tcBorders>
              <w:top w:val="nil"/>
              <w:left w:val="nil"/>
              <w:bottom w:val="nil"/>
              <w:right w:val="nil"/>
            </w:tcBorders>
            <w:shd w:val="clear" w:color="FFFFFF" w:fill="FFFFFF"/>
            <w:noWrap/>
            <w:vAlign w:val="bottom"/>
            <w:hideMark/>
          </w:tcPr>
          <w:p w14:paraId="4FA2E142" w14:textId="77777777" w:rsidR="00AB6753" w:rsidRDefault="00AB6753" w:rsidP="002D1EA4">
            <w:pPr>
              <w:spacing w:after="0"/>
              <w:jc w:val="right"/>
              <w:rPr>
                <w:rFonts w:cs="Arial"/>
                <w:b/>
                <w:bCs/>
                <w:sz w:val="18"/>
                <w:szCs w:val="18"/>
              </w:rPr>
            </w:pPr>
            <w:r>
              <w:rPr>
                <w:rFonts w:cs="Arial"/>
                <w:b/>
                <w:bCs/>
                <w:sz w:val="18"/>
                <w:szCs w:val="18"/>
              </w:rPr>
              <w:t>-</w:t>
            </w:r>
          </w:p>
        </w:tc>
        <w:tc>
          <w:tcPr>
            <w:tcW w:w="236" w:type="dxa"/>
            <w:tcBorders>
              <w:top w:val="nil"/>
              <w:left w:val="nil"/>
              <w:bottom w:val="nil"/>
              <w:right w:val="nil"/>
            </w:tcBorders>
            <w:shd w:val="clear" w:color="FFFFFF" w:fill="FFFFFF"/>
            <w:noWrap/>
            <w:vAlign w:val="bottom"/>
            <w:hideMark/>
          </w:tcPr>
          <w:p w14:paraId="36A88023"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79488C6A" w14:textId="77777777" w:rsidR="00AB6753" w:rsidRDefault="00AB6753" w:rsidP="002D1EA4">
            <w:pPr>
              <w:spacing w:after="0"/>
              <w:jc w:val="right"/>
              <w:rPr>
                <w:rFonts w:cs="Arial"/>
                <w:sz w:val="18"/>
                <w:szCs w:val="18"/>
              </w:rPr>
            </w:pPr>
            <w:r>
              <w:rPr>
                <w:rFonts w:cs="Arial"/>
                <w:sz w:val="18"/>
                <w:szCs w:val="18"/>
              </w:rPr>
              <w:t>50</w:t>
            </w:r>
          </w:p>
        </w:tc>
        <w:tc>
          <w:tcPr>
            <w:tcW w:w="236" w:type="dxa"/>
            <w:tcBorders>
              <w:top w:val="nil"/>
              <w:left w:val="nil"/>
              <w:bottom w:val="nil"/>
              <w:right w:val="nil"/>
            </w:tcBorders>
            <w:shd w:val="clear" w:color="FFFFFF" w:fill="FFFFFF"/>
            <w:noWrap/>
            <w:vAlign w:val="bottom"/>
            <w:hideMark/>
          </w:tcPr>
          <w:p w14:paraId="6F3FA635"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77D82813"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26B52733" w14:textId="77777777" w:rsidTr="002D1EA4">
        <w:trPr>
          <w:trHeight w:val="255"/>
        </w:trPr>
        <w:tc>
          <w:tcPr>
            <w:tcW w:w="4378" w:type="dxa"/>
            <w:tcBorders>
              <w:top w:val="nil"/>
              <w:left w:val="nil"/>
              <w:bottom w:val="nil"/>
              <w:right w:val="nil"/>
            </w:tcBorders>
            <w:shd w:val="clear" w:color="FFFFFF" w:fill="FFFFFF"/>
            <w:vAlign w:val="bottom"/>
            <w:hideMark/>
          </w:tcPr>
          <w:p w14:paraId="50F492CC" w14:textId="77777777" w:rsidR="00AB6753" w:rsidRDefault="00AB6753" w:rsidP="002D1EA4">
            <w:pPr>
              <w:spacing w:after="0"/>
              <w:rPr>
                <w:rFonts w:cs="Arial"/>
                <w:b/>
                <w:bCs/>
                <w:sz w:val="18"/>
                <w:szCs w:val="18"/>
              </w:rPr>
            </w:pPr>
            <w:r>
              <w:rPr>
                <w:rFonts w:cs="Arial"/>
                <w:b/>
                <w:bCs/>
                <w:sz w:val="18"/>
                <w:szCs w:val="18"/>
              </w:rPr>
              <w:t>Total assets</w:t>
            </w:r>
          </w:p>
        </w:tc>
        <w:tc>
          <w:tcPr>
            <w:tcW w:w="1152" w:type="dxa"/>
            <w:tcBorders>
              <w:top w:val="nil"/>
              <w:left w:val="nil"/>
              <w:bottom w:val="nil"/>
              <w:right w:val="nil"/>
            </w:tcBorders>
            <w:shd w:val="clear" w:color="FFFFFF" w:fill="FFFFFF"/>
            <w:noWrap/>
            <w:vAlign w:val="bottom"/>
            <w:hideMark/>
          </w:tcPr>
          <w:p w14:paraId="51B06B62"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single" w:sz="4" w:space="0" w:color="auto"/>
              <w:left w:val="nil"/>
              <w:bottom w:val="single" w:sz="4" w:space="0" w:color="auto"/>
              <w:right w:val="nil"/>
            </w:tcBorders>
            <w:shd w:val="clear" w:color="FFFFFF" w:fill="FFFFFF"/>
            <w:noWrap/>
            <w:vAlign w:val="bottom"/>
            <w:hideMark/>
          </w:tcPr>
          <w:p w14:paraId="78146F2E" w14:textId="77777777" w:rsidR="00AB6753" w:rsidRDefault="00AB6753" w:rsidP="002D1EA4">
            <w:pPr>
              <w:spacing w:after="0"/>
              <w:jc w:val="right"/>
              <w:rPr>
                <w:rFonts w:cs="Arial"/>
                <w:b/>
                <w:bCs/>
                <w:sz w:val="18"/>
                <w:szCs w:val="18"/>
              </w:rPr>
            </w:pPr>
            <w:r>
              <w:rPr>
                <w:rFonts w:cs="Arial"/>
                <w:b/>
                <w:bCs/>
                <w:sz w:val="18"/>
                <w:szCs w:val="18"/>
              </w:rPr>
              <w:t>674,918</w:t>
            </w:r>
          </w:p>
        </w:tc>
        <w:tc>
          <w:tcPr>
            <w:tcW w:w="236" w:type="dxa"/>
            <w:tcBorders>
              <w:top w:val="nil"/>
              <w:left w:val="nil"/>
              <w:bottom w:val="nil"/>
              <w:right w:val="nil"/>
            </w:tcBorders>
            <w:shd w:val="clear" w:color="FFFFFF" w:fill="FFFFFF"/>
            <w:noWrap/>
            <w:vAlign w:val="bottom"/>
            <w:hideMark/>
          </w:tcPr>
          <w:p w14:paraId="42FA3D15" w14:textId="77777777" w:rsidR="00AB6753" w:rsidRDefault="00AB6753" w:rsidP="002D1EA4">
            <w:pPr>
              <w:spacing w:after="0"/>
              <w:rPr>
                <w:rFonts w:cs="Arial"/>
                <w:sz w:val="18"/>
                <w:szCs w:val="18"/>
              </w:rPr>
            </w:pPr>
            <w:r>
              <w:rPr>
                <w:rFonts w:cs="Arial"/>
                <w:sz w:val="18"/>
                <w:szCs w:val="18"/>
              </w:rPr>
              <w:t> </w:t>
            </w:r>
          </w:p>
        </w:tc>
        <w:tc>
          <w:tcPr>
            <w:tcW w:w="1138" w:type="dxa"/>
            <w:tcBorders>
              <w:top w:val="single" w:sz="4" w:space="0" w:color="auto"/>
              <w:left w:val="nil"/>
              <w:bottom w:val="single" w:sz="4" w:space="0" w:color="auto"/>
              <w:right w:val="nil"/>
            </w:tcBorders>
            <w:shd w:val="clear" w:color="FFFFFF" w:fill="FFFFFF"/>
            <w:noWrap/>
            <w:vAlign w:val="bottom"/>
            <w:hideMark/>
          </w:tcPr>
          <w:p w14:paraId="150634C2" w14:textId="77777777" w:rsidR="00AB6753" w:rsidRDefault="00AB6753" w:rsidP="002D1EA4">
            <w:pPr>
              <w:spacing w:after="0"/>
              <w:jc w:val="right"/>
              <w:rPr>
                <w:rFonts w:cs="Arial"/>
                <w:sz w:val="18"/>
                <w:szCs w:val="18"/>
              </w:rPr>
            </w:pPr>
            <w:r>
              <w:rPr>
                <w:rFonts w:cs="Arial"/>
                <w:sz w:val="18"/>
                <w:szCs w:val="18"/>
              </w:rPr>
              <w:t>329,363</w:t>
            </w:r>
          </w:p>
        </w:tc>
        <w:tc>
          <w:tcPr>
            <w:tcW w:w="236" w:type="dxa"/>
            <w:tcBorders>
              <w:top w:val="nil"/>
              <w:left w:val="nil"/>
              <w:bottom w:val="nil"/>
              <w:right w:val="nil"/>
            </w:tcBorders>
            <w:shd w:val="clear" w:color="FFFFFF" w:fill="FFFFFF"/>
            <w:noWrap/>
            <w:vAlign w:val="bottom"/>
            <w:hideMark/>
          </w:tcPr>
          <w:p w14:paraId="2A22C00F" w14:textId="77777777" w:rsidR="00AB6753" w:rsidRDefault="00AB6753" w:rsidP="002D1EA4">
            <w:pPr>
              <w:spacing w:after="0"/>
              <w:rPr>
                <w:rFonts w:cs="Arial"/>
                <w:sz w:val="18"/>
                <w:szCs w:val="18"/>
              </w:rPr>
            </w:pPr>
            <w:r>
              <w:rPr>
                <w:rFonts w:cs="Arial"/>
                <w:sz w:val="18"/>
                <w:szCs w:val="18"/>
              </w:rPr>
              <w:t> </w:t>
            </w:r>
          </w:p>
        </w:tc>
        <w:tc>
          <w:tcPr>
            <w:tcW w:w="1032" w:type="dxa"/>
            <w:tcBorders>
              <w:top w:val="single" w:sz="4" w:space="0" w:color="auto"/>
              <w:left w:val="nil"/>
              <w:bottom w:val="single" w:sz="4" w:space="0" w:color="auto"/>
              <w:right w:val="nil"/>
            </w:tcBorders>
            <w:shd w:val="clear" w:color="FFFFFF" w:fill="FFFFFF"/>
            <w:noWrap/>
            <w:vAlign w:val="bottom"/>
            <w:hideMark/>
          </w:tcPr>
          <w:p w14:paraId="122EC12A" w14:textId="77777777" w:rsidR="00AB6753" w:rsidRDefault="00AB6753" w:rsidP="002D1EA4">
            <w:pPr>
              <w:spacing w:after="0"/>
              <w:jc w:val="right"/>
              <w:rPr>
                <w:rFonts w:cs="Arial"/>
                <w:sz w:val="18"/>
                <w:szCs w:val="18"/>
              </w:rPr>
            </w:pPr>
            <w:r>
              <w:rPr>
                <w:rFonts w:cs="Arial"/>
                <w:sz w:val="18"/>
                <w:szCs w:val="18"/>
              </w:rPr>
              <w:t>254,016</w:t>
            </w:r>
          </w:p>
        </w:tc>
      </w:tr>
      <w:tr w:rsidR="00AB6753" w14:paraId="0D392CBB" w14:textId="77777777" w:rsidTr="002D1EA4">
        <w:trPr>
          <w:trHeight w:val="255"/>
        </w:trPr>
        <w:tc>
          <w:tcPr>
            <w:tcW w:w="4378" w:type="dxa"/>
            <w:tcBorders>
              <w:top w:val="nil"/>
              <w:left w:val="nil"/>
              <w:bottom w:val="nil"/>
              <w:right w:val="nil"/>
            </w:tcBorders>
            <w:shd w:val="clear" w:color="FFFFFF" w:fill="FFFFFF"/>
            <w:vAlign w:val="bottom"/>
            <w:hideMark/>
          </w:tcPr>
          <w:p w14:paraId="0EAD992F" w14:textId="77777777" w:rsidR="00AB6753" w:rsidRDefault="00AB6753" w:rsidP="002D1EA4">
            <w:pPr>
              <w:spacing w:after="0"/>
              <w:rPr>
                <w:rFonts w:cs="Arial"/>
                <w:sz w:val="18"/>
                <w:szCs w:val="18"/>
              </w:rPr>
            </w:pPr>
            <w:r>
              <w:rPr>
                <w:rFonts w:cs="Arial"/>
                <w:sz w:val="18"/>
                <w:szCs w:val="18"/>
              </w:rPr>
              <w:t> </w:t>
            </w:r>
          </w:p>
        </w:tc>
        <w:tc>
          <w:tcPr>
            <w:tcW w:w="1152" w:type="dxa"/>
            <w:tcBorders>
              <w:top w:val="nil"/>
              <w:left w:val="nil"/>
              <w:bottom w:val="nil"/>
              <w:right w:val="nil"/>
            </w:tcBorders>
            <w:shd w:val="clear" w:color="FFFFFF" w:fill="FFFFFF"/>
            <w:noWrap/>
            <w:vAlign w:val="bottom"/>
            <w:hideMark/>
          </w:tcPr>
          <w:p w14:paraId="34DA68C1"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39F1954C" w14:textId="77777777" w:rsidR="00AB6753" w:rsidRDefault="00AB6753" w:rsidP="002D1EA4">
            <w:pPr>
              <w:spacing w:after="0"/>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03F94EA4"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0E4AAEBE" w14:textId="77777777" w:rsidR="00AB6753" w:rsidRDefault="00AB6753" w:rsidP="002D1EA4">
            <w:pPr>
              <w:spacing w:after="0"/>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621E553C"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40B8D110" w14:textId="77777777" w:rsidR="00AB6753" w:rsidRDefault="00AB6753" w:rsidP="002D1EA4">
            <w:pPr>
              <w:spacing w:after="0"/>
              <w:jc w:val="right"/>
              <w:rPr>
                <w:rFonts w:cs="Arial"/>
                <w:sz w:val="18"/>
                <w:szCs w:val="18"/>
              </w:rPr>
            </w:pPr>
            <w:r>
              <w:rPr>
                <w:rFonts w:cs="Arial"/>
                <w:sz w:val="18"/>
                <w:szCs w:val="18"/>
              </w:rPr>
              <w:t> </w:t>
            </w:r>
          </w:p>
        </w:tc>
      </w:tr>
      <w:tr w:rsidR="00AB6753" w14:paraId="5AB97E9E" w14:textId="77777777" w:rsidTr="002D1EA4">
        <w:trPr>
          <w:trHeight w:val="255"/>
        </w:trPr>
        <w:tc>
          <w:tcPr>
            <w:tcW w:w="4378" w:type="dxa"/>
            <w:tcBorders>
              <w:top w:val="nil"/>
              <w:left w:val="nil"/>
              <w:bottom w:val="nil"/>
              <w:right w:val="nil"/>
            </w:tcBorders>
            <w:shd w:val="clear" w:color="FFFFFF" w:fill="FFFFFF"/>
            <w:vAlign w:val="bottom"/>
            <w:hideMark/>
          </w:tcPr>
          <w:p w14:paraId="6575B435" w14:textId="77777777" w:rsidR="00AB6753" w:rsidRDefault="00AB6753" w:rsidP="002D1EA4">
            <w:pPr>
              <w:spacing w:after="0"/>
              <w:rPr>
                <w:rFonts w:cs="Arial"/>
                <w:b/>
                <w:bCs/>
                <w:sz w:val="18"/>
                <w:szCs w:val="18"/>
              </w:rPr>
            </w:pPr>
            <w:r>
              <w:rPr>
                <w:rFonts w:cs="Arial"/>
                <w:b/>
                <w:bCs/>
                <w:sz w:val="18"/>
                <w:szCs w:val="18"/>
              </w:rPr>
              <w:t>LIABILITIES</w:t>
            </w:r>
          </w:p>
        </w:tc>
        <w:tc>
          <w:tcPr>
            <w:tcW w:w="1152" w:type="dxa"/>
            <w:tcBorders>
              <w:top w:val="nil"/>
              <w:left w:val="nil"/>
              <w:bottom w:val="nil"/>
              <w:right w:val="nil"/>
            </w:tcBorders>
            <w:shd w:val="clear" w:color="FFFFFF" w:fill="FFFFFF"/>
            <w:noWrap/>
            <w:vAlign w:val="bottom"/>
            <w:hideMark/>
          </w:tcPr>
          <w:p w14:paraId="6F8F50E2"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681EE310" w14:textId="77777777" w:rsidR="00AB6753" w:rsidRDefault="00AB6753" w:rsidP="002D1EA4">
            <w:pPr>
              <w:spacing w:after="0"/>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03F9CB7C"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21001264" w14:textId="77777777" w:rsidR="00AB6753" w:rsidRDefault="00AB6753" w:rsidP="002D1EA4">
            <w:pPr>
              <w:spacing w:after="0"/>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1ACE3E9A"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75445D3A" w14:textId="77777777" w:rsidR="00AB6753" w:rsidRDefault="00AB6753" w:rsidP="002D1EA4">
            <w:pPr>
              <w:spacing w:after="0"/>
              <w:jc w:val="right"/>
              <w:rPr>
                <w:rFonts w:cs="Arial"/>
                <w:sz w:val="18"/>
                <w:szCs w:val="18"/>
              </w:rPr>
            </w:pPr>
            <w:r>
              <w:rPr>
                <w:rFonts w:cs="Arial"/>
                <w:sz w:val="18"/>
                <w:szCs w:val="18"/>
              </w:rPr>
              <w:t> </w:t>
            </w:r>
          </w:p>
        </w:tc>
      </w:tr>
      <w:tr w:rsidR="00AB6753" w14:paraId="484D77A5" w14:textId="77777777" w:rsidTr="002D1EA4">
        <w:trPr>
          <w:trHeight w:val="255"/>
        </w:trPr>
        <w:tc>
          <w:tcPr>
            <w:tcW w:w="4378" w:type="dxa"/>
            <w:tcBorders>
              <w:top w:val="nil"/>
              <w:left w:val="nil"/>
              <w:bottom w:val="nil"/>
              <w:right w:val="nil"/>
            </w:tcBorders>
            <w:shd w:val="clear" w:color="FFFFFF" w:fill="FFFFFF"/>
            <w:vAlign w:val="bottom"/>
            <w:hideMark/>
          </w:tcPr>
          <w:p w14:paraId="193B59AE" w14:textId="77777777" w:rsidR="00AB6753" w:rsidRDefault="00AB6753" w:rsidP="002D1EA4">
            <w:pPr>
              <w:spacing w:after="0"/>
              <w:rPr>
                <w:rFonts w:cs="Arial"/>
                <w:b/>
                <w:bCs/>
                <w:sz w:val="18"/>
                <w:szCs w:val="18"/>
              </w:rPr>
            </w:pPr>
            <w:r>
              <w:rPr>
                <w:rFonts w:cs="Arial"/>
                <w:b/>
                <w:bCs/>
                <w:sz w:val="18"/>
                <w:szCs w:val="18"/>
              </w:rPr>
              <w:t>Payables</w:t>
            </w:r>
          </w:p>
        </w:tc>
        <w:tc>
          <w:tcPr>
            <w:tcW w:w="1152" w:type="dxa"/>
            <w:tcBorders>
              <w:top w:val="nil"/>
              <w:left w:val="nil"/>
              <w:bottom w:val="nil"/>
              <w:right w:val="nil"/>
            </w:tcBorders>
            <w:shd w:val="clear" w:color="FFFFFF" w:fill="FFFFFF"/>
            <w:noWrap/>
            <w:vAlign w:val="bottom"/>
            <w:hideMark/>
          </w:tcPr>
          <w:p w14:paraId="14EC195E"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4095E49E" w14:textId="77777777" w:rsidR="00AB6753" w:rsidRDefault="00AB6753" w:rsidP="002D1EA4">
            <w:pPr>
              <w:spacing w:after="0"/>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51706773"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603D8FC0" w14:textId="77777777" w:rsidR="00AB6753" w:rsidRDefault="00AB6753" w:rsidP="002D1EA4">
            <w:pPr>
              <w:spacing w:after="0"/>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34C0A4F3"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5D84BCD7" w14:textId="77777777" w:rsidR="00AB6753" w:rsidRDefault="00AB6753" w:rsidP="002D1EA4">
            <w:pPr>
              <w:spacing w:after="0"/>
              <w:jc w:val="right"/>
              <w:rPr>
                <w:rFonts w:cs="Arial"/>
                <w:sz w:val="18"/>
                <w:szCs w:val="18"/>
              </w:rPr>
            </w:pPr>
            <w:r>
              <w:rPr>
                <w:rFonts w:cs="Arial"/>
                <w:sz w:val="18"/>
                <w:szCs w:val="18"/>
              </w:rPr>
              <w:t> </w:t>
            </w:r>
          </w:p>
        </w:tc>
      </w:tr>
      <w:tr w:rsidR="00AB6753" w14:paraId="4990EE46" w14:textId="77777777" w:rsidTr="002D1EA4">
        <w:trPr>
          <w:trHeight w:val="255"/>
        </w:trPr>
        <w:tc>
          <w:tcPr>
            <w:tcW w:w="4378" w:type="dxa"/>
            <w:tcBorders>
              <w:top w:val="nil"/>
              <w:left w:val="nil"/>
              <w:bottom w:val="nil"/>
              <w:right w:val="nil"/>
            </w:tcBorders>
            <w:shd w:val="clear" w:color="FFFFFF" w:fill="FFFFFF"/>
            <w:vAlign w:val="bottom"/>
            <w:hideMark/>
          </w:tcPr>
          <w:p w14:paraId="5EF3D23A" w14:textId="77777777" w:rsidR="00AB6753" w:rsidRDefault="00AB6753" w:rsidP="002D1EA4">
            <w:pPr>
              <w:spacing w:after="0"/>
              <w:rPr>
                <w:rFonts w:cs="Arial"/>
                <w:sz w:val="18"/>
                <w:szCs w:val="18"/>
              </w:rPr>
            </w:pPr>
            <w:r>
              <w:rPr>
                <w:rFonts w:cs="Arial"/>
                <w:sz w:val="18"/>
                <w:szCs w:val="18"/>
              </w:rPr>
              <w:t>Suppliers</w:t>
            </w:r>
          </w:p>
        </w:tc>
        <w:tc>
          <w:tcPr>
            <w:tcW w:w="1152" w:type="dxa"/>
            <w:tcBorders>
              <w:top w:val="nil"/>
              <w:left w:val="nil"/>
              <w:bottom w:val="nil"/>
              <w:right w:val="nil"/>
            </w:tcBorders>
            <w:shd w:val="clear" w:color="FFFFFF" w:fill="FFFFFF"/>
            <w:noWrap/>
            <w:vAlign w:val="bottom"/>
            <w:hideMark/>
          </w:tcPr>
          <w:p w14:paraId="4AD4DA61" w14:textId="77777777" w:rsidR="00AB6753" w:rsidRDefault="00AB6753" w:rsidP="002D1EA4">
            <w:pPr>
              <w:spacing w:after="0"/>
              <w:jc w:val="center"/>
              <w:rPr>
                <w:rFonts w:cs="Arial"/>
                <w:sz w:val="18"/>
                <w:szCs w:val="18"/>
              </w:rPr>
            </w:pPr>
            <w:r>
              <w:rPr>
                <w:rFonts w:cs="Arial"/>
                <w:sz w:val="18"/>
                <w:szCs w:val="18"/>
              </w:rPr>
              <w:t>3.3A</w:t>
            </w:r>
          </w:p>
        </w:tc>
        <w:tc>
          <w:tcPr>
            <w:tcW w:w="1143" w:type="dxa"/>
            <w:tcBorders>
              <w:top w:val="nil"/>
              <w:left w:val="nil"/>
              <w:bottom w:val="nil"/>
              <w:right w:val="nil"/>
            </w:tcBorders>
            <w:shd w:val="clear" w:color="FFFFFF" w:fill="FFFFFF"/>
            <w:noWrap/>
            <w:vAlign w:val="bottom"/>
            <w:hideMark/>
          </w:tcPr>
          <w:p w14:paraId="62CA96E0" w14:textId="77777777" w:rsidR="00AB6753" w:rsidRDefault="00AB6753" w:rsidP="002D1EA4">
            <w:pPr>
              <w:spacing w:after="0"/>
              <w:jc w:val="right"/>
              <w:rPr>
                <w:rFonts w:cs="Arial"/>
                <w:b/>
                <w:bCs/>
                <w:sz w:val="18"/>
                <w:szCs w:val="18"/>
              </w:rPr>
            </w:pPr>
            <w:r>
              <w:rPr>
                <w:rFonts w:cs="Arial"/>
                <w:b/>
                <w:bCs/>
                <w:sz w:val="18"/>
                <w:szCs w:val="18"/>
              </w:rPr>
              <w:t>20,406</w:t>
            </w:r>
          </w:p>
        </w:tc>
        <w:tc>
          <w:tcPr>
            <w:tcW w:w="236" w:type="dxa"/>
            <w:tcBorders>
              <w:top w:val="nil"/>
              <w:left w:val="nil"/>
              <w:bottom w:val="nil"/>
              <w:right w:val="nil"/>
            </w:tcBorders>
            <w:shd w:val="clear" w:color="FFFFFF" w:fill="FFFFFF"/>
            <w:noWrap/>
            <w:vAlign w:val="bottom"/>
            <w:hideMark/>
          </w:tcPr>
          <w:p w14:paraId="110AEED6"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6B794AF3" w14:textId="77777777" w:rsidR="00AB6753" w:rsidRDefault="00AB6753" w:rsidP="002D1EA4">
            <w:pPr>
              <w:spacing w:after="0"/>
              <w:jc w:val="right"/>
              <w:rPr>
                <w:rFonts w:cs="Arial"/>
                <w:sz w:val="18"/>
                <w:szCs w:val="18"/>
              </w:rPr>
            </w:pPr>
            <w:r>
              <w:rPr>
                <w:rFonts w:cs="Arial"/>
                <w:sz w:val="18"/>
                <w:szCs w:val="18"/>
              </w:rPr>
              <w:t>23,707</w:t>
            </w:r>
          </w:p>
        </w:tc>
        <w:tc>
          <w:tcPr>
            <w:tcW w:w="236" w:type="dxa"/>
            <w:tcBorders>
              <w:top w:val="nil"/>
              <w:left w:val="nil"/>
              <w:bottom w:val="nil"/>
              <w:right w:val="nil"/>
            </w:tcBorders>
            <w:shd w:val="clear" w:color="FFFFFF" w:fill="FFFFFF"/>
            <w:noWrap/>
            <w:vAlign w:val="bottom"/>
            <w:hideMark/>
          </w:tcPr>
          <w:p w14:paraId="273D49DC"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754740E1" w14:textId="77777777" w:rsidR="00AB6753" w:rsidRDefault="00AB6753" w:rsidP="002D1EA4">
            <w:pPr>
              <w:spacing w:after="0"/>
              <w:jc w:val="right"/>
              <w:rPr>
                <w:rFonts w:cs="Arial"/>
                <w:sz w:val="18"/>
                <w:szCs w:val="18"/>
              </w:rPr>
            </w:pPr>
            <w:r>
              <w:rPr>
                <w:rFonts w:cs="Arial"/>
                <w:sz w:val="18"/>
                <w:szCs w:val="18"/>
              </w:rPr>
              <w:t xml:space="preserve">30,086 </w:t>
            </w:r>
          </w:p>
        </w:tc>
      </w:tr>
      <w:tr w:rsidR="00AB6753" w14:paraId="348298EB" w14:textId="77777777" w:rsidTr="002D1EA4">
        <w:trPr>
          <w:trHeight w:val="255"/>
        </w:trPr>
        <w:tc>
          <w:tcPr>
            <w:tcW w:w="4378" w:type="dxa"/>
            <w:tcBorders>
              <w:top w:val="nil"/>
              <w:left w:val="nil"/>
              <w:bottom w:val="nil"/>
              <w:right w:val="nil"/>
            </w:tcBorders>
            <w:shd w:val="clear" w:color="FFFFFF" w:fill="FFFFFF"/>
            <w:vAlign w:val="bottom"/>
            <w:hideMark/>
          </w:tcPr>
          <w:p w14:paraId="5811DB0E" w14:textId="77777777" w:rsidR="00AB6753" w:rsidRDefault="00AB6753" w:rsidP="002D1EA4">
            <w:pPr>
              <w:spacing w:after="0"/>
              <w:rPr>
                <w:rFonts w:cs="Arial"/>
                <w:sz w:val="18"/>
                <w:szCs w:val="18"/>
              </w:rPr>
            </w:pPr>
            <w:r>
              <w:rPr>
                <w:rFonts w:cs="Arial"/>
                <w:sz w:val="18"/>
                <w:szCs w:val="18"/>
              </w:rPr>
              <w:t>Other payables</w:t>
            </w:r>
          </w:p>
        </w:tc>
        <w:tc>
          <w:tcPr>
            <w:tcW w:w="1152" w:type="dxa"/>
            <w:tcBorders>
              <w:top w:val="nil"/>
              <w:left w:val="nil"/>
              <w:bottom w:val="nil"/>
              <w:right w:val="nil"/>
            </w:tcBorders>
            <w:shd w:val="clear" w:color="FFFFFF" w:fill="FFFFFF"/>
            <w:noWrap/>
            <w:vAlign w:val="bottom"/>
            <w:hideMark/>
          </w:tcPr>
          <w:p w14:paraId="400D89F1" w14:textId="77777777" w:rsidR="00AB6753" w:rsidRDefault="00AB6753" w:rsidP="002D1EA4">
            <w:pPr>
              <w:spacing w:after="0"/>
              <w:jc w:val="center"/>
              <w:rPr>
                <w:rFonts w:cs="Arial"/>
                <w:sz w:val="18"/>
                <w:szCs w:val="18"/>
              </w:rPr>
            </w:pPr>
            <w:r>
              <w:rPr>
                <w:rFonts w:cs="Arial"/>
                <w:sz w:val="18"/>
                <w:szCs w:val="18"/>
              </w:rPr>
              <w:t>3.3B</w:t>
            </w:r>
          </w:p>
        </w:tc>
        <w:tc>
          <w:tcPr>
            <w:tcW w:w="1143" w:type="dxa"/>
            <w:tcBorders>
              <w:top w:val="nil"/>
              <w:left w:val="nil"/>
              <w:bottom w:val="nil"/>
              <w:right w:val="nil"/>
            </w:tcBorders>
            <w:shd w:val="clear" w:color="FFFFFF" w:fill="FFFFFF"/>
            <w:noWrap/>
            <w:vAlign w:val="bottom"/>
            <w:hideMark/>
          </w:tcPr>
          <w:p w14:paraId="6271C4EE" w14:textId="77777777" w:rsidR="00AB6753" w:rsidRDefault="00AB6753" w:rsidP="002D1EA4">
            <w:pPr>
              <w:spacing w:after="0"/>
              <w:jc w:val="right"/>
              <w:rPr>
                <w:rFonts w:cs="Arial"/>
                <w:b/>
                <w:bCs/>
                <w:sz w:val="18"/>
                <w:szCs w:val="18"/>
              </w:rPr>
            </w:pPr>
            <w:r>
              <w:rPr>
                <w:rFonts w:cs="Arial"/>
                <w:b/>
                <w:bCs/>
                <w:sz w:val="18"/>
                <w:szCs w:val="18"/>
              </w:rPr>
              <w:t>7,255</w:t>
            </w:r>
          </w:p>
        </w:tc>
        <w:tc>
          <w:tcPr>
            <w:tcW w:w="236" w:type="dxa"/>
            <w:tcBorders>
              <w:top w:val="nil"/>
              <w:left w:val="nil"/>
              <w:bottom w:val="nil"/>
              <w:right w:val="nil"/>
            </w:tcBorders>
            <w:shd w:val="clear" w:color="FFFFFF" w:fill="FFFFFF"/>
            <w:noWrap/>
            <w:vAlign w:val="bottom"/>
            <w:hideMark/>
          </w:tcPr>
          <w:p w14:paraId="419CCB42"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372E72ED" w14:textId="77777777" w:rsidR="00AB6753" w:rsidRDefault="00AB6753" w:rsidP="002D1EA4">
            <w:pPr>
              <w:spacing w:after="0"/>
              <w:jc w:val="right"/>
              <w:rPr>
                <w:rFonts w:cs="Arial"/>
                <w:sz w:val="18"/>
                <w:szCs w:val="18"/>
              </w:rPr>
            </w:pPr>
            <w:r>
              <w:rPr>
                <w:rFonts w:cs="Arial"/>
                <w:sz w:val="18"/>
                <w:szCs w:val="18"/>
              </w:rPr>
              <w:t>45,574</w:t>
            </w:r>
          </w:p>
        </w:tc>
        <w:tc>
          <w:tcPr>
            <w:tcW w:w="236" w:type="dxa"/>
            <w:tcBorders>
              <w:top w:val="nil"/>
              <w:left w:val="nil"/>
              <w:bottom w:val="nil"/>
              <w:right w:val="nil"/>
            </w:tcBorders>
            <w:shd w:val="clear" w:color="FFFFFF" w:fill="FFFFFF"/>
            <w:noWrap/>
            <w:vAlign w:val="bottom"/>
            <w:hideMark/>
          </w:tcPr>
          <w:p w14:paraId="0BFBC0AC"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541B4067" w14:textId="77777777" w:rsidR="00AB6753" w:rsidRDefault="00AB6753" w:rsidP="002D1EA4">
            <w:pPr>
              <w:spacing w:after="0"/>
              <w:jc w:val="right"/>
              <w:rPr>
                <w:rFonts w:cs="Arial"/>
                <w:sz w:val="18"/>
                <w:szCs w:val="18"/>
              </w:rPr>
            </w:pPr>
            <w:r>
              <w:rPr>
                <w:rFonts w:cs="Arial"/>
                <w:sz w:val="18"/>
                <w:szCs w:val="18"/>
              </w:rPr>
              <w:t xml:space="preserve">32,593 </w:t>
            </w:r>
          </w:p>
        </w:tc>
      </w:tr>
      <w:tr w:rsidR="00AB6753" w14:paraId="31C2226C" w14:textId="77777777" w:rsidTr="002D1EA4">
        <w:trPr>
          <w:trHeight w:val="255"/>
        </w:trPr>
        <w:tc>
          <w:tcPr>
            <w:tcW w:w="4378" w:type="dxa"/>
            <w:tcBorders>
              <w:top w:val="nil"/>
              <w:left w:val="nil"/>
              <w:bottom w:val="nil"/>
              <w:right w:val="nil"/>
            </w:tcBorders>
            <w:shd w:val="clear" w:color="FFFFFF" w:fill="FFFFFF"/>
            <w:vAlign w:val="bottom"/>
            <w:hideMark/>
          </w:tcPr>
          <w:p w14:paraId="11313F9F" w14:textId="77777777" w:rsidR="00AB6753" w:rsidRDefault="00AB6753" w:rsidP="002D1EA4">
            <w:pPr>
              <w:spacing w:after="0"/>
              <w:rPr>
                <w:rFonts w:cs="Arial"/>
                <w:b/>
                <w:bCs/>
                <w:sz w:val="18"/>
                <w:szCs w:val="18"/>
              </w:rPr>
            </w:pPr>
            <w:r>
              <w:rPr>
                <w:rFonts w:cs="Arial"/>
                <w:b/>
                <w:bCs/>
                <w:sz w:val="18"/>
                <w:szCs w:val="18"/>
              </w:rPr>
              <w:t>Total payables</w:t>
            </w:r>
          </w:p>
        </w:tc>
        <w:tc>
          <w:tcPr>
            <w:tcW w:w="1152" w:type="dxa"/>
            <w:tcBorders>
              <w:top w:val="nil"/>
              <w:left w:val="nil"/>
              <w:bottom w:val="nil"/>
              <w:right w:val="nil"/>
            </w:tcBorders>
            <w:shd w:val="clear" w:color="FFFFFF" w:fill="FFFFFF"/>
            <w:noWrap/>
            <w:vAlign w:val="bottom"/>
            <w:hideMark/>
          </w:tcPr>
          <w:p w14:paraId="29627ED8"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single" w:sz="4" w:space="0" w:color="auto"/>
              <w:left w:val="nil"/>
              <w:bottom w:val="single" w:sz="4" w:space="0" w:color="auto"/>
              <w:right w:val="nil"/>
            </w:tcBorders>
            <w:shd w:val="clear" w:color="FFFFFF" w:fill="FFFFFF"/>
            <w:noWrap/>
            <w:vAlign w:val="bottom"/>
            <w:hideMark/>
          </w:tcPr>
          <w:p w14:paraId="42A8F444" w14:textId="77777777" w:rsidR="00AB6753" w:rsidRDefault="00AB6753" w:rsidP="002D1EA4">
            <w:pPr>
              <w:spacing w:after="0"/>
              <w:jc w:val="right"/>
              <w:rPr>
                <w:rFonts w:cs="Arial"/>
                <w:b/>
                <w:bCs/>
                <w:sz w:val="18"/>
                <w:szCs w:val="18"/>
              </w:rPr>
            </w:pPr>
            <w:r>
              <w:rPr>
                <w:rFonts w:cs="Arial"/>
                <w:b/>
                <w:bCs/>
                <w:sz w:val="18"/>
                <w:szCs w:val="18"/>
              </w:rPr>
              <w:t>27,661</w:t>
            </w:r>
          </w:p>
        </w:tc>
        <w:tc>
          <w:tcPr>
            <w:tcW w:w="236" w:type="dxa"/>
            <w:tcBorders>
              <w:top w:val="nil"/>
              <w:left w:val="nil"/>
              <w:bottom w:val="nil"/>
              <w:right w:val="nil"/>
            </w:tcBorders>
            <w:shd w:val="clear" w:color="FFFFFF" w:fill="FFFFFF"/>
            <w:noWrap/>
            <w:vAlign w:val="bottom"/>
            <w:hideMark/>
          </w:tcPr>
          <w:p w14:paraId="66AFBFB3" w14:textId="77777777" w:rsidR="00AB6753" w:rsidRDefault="00AB6753" w:rsidP="002D1EA4">
            <w:pPr>
              <w:spacing w:after="0"/>
              <w:rPr>
                <w:rFonts w:cs="Arial"/>
                <w:sz w:val="18"/>
                <w:szCs w:val="18"/>
              </w:rPr>
            </w:pPr>
            <w:r>
              <w:rPr>
                <w:rFonts w:cs="Arial"/>
                <w:sz w:val="18"/>
                <w:szCs w:val="18"/>
              </w:rPr>
              <w:t> </w:t>
            </w:r>
          </w:p>
        </w:tc>
        <w:tc>
          <w:tcPr>
            <w:tcW w:w="1138" w:type="dxa"/>
            <w:tcBorders>
              <w:top w:val="single" w:sz="4" w:space="0" w:color="auto"/>
              <w:left w:val="nil"/>
              <w:bottom w:val="single" w:sz="4" w:space="0" w:color="auto"/>
              <w:right w:val="nil"/>
            </w:tcBorders>
            <w:shd w:val="clear" w:color="FFFFFF" w:fill="FFFFFF"/>
            <w:noWrap/>
            <w:vAlign w:val="bottom"/>
            <w:hideMark/>
          </w:tcPr>
          <w:p w14:paraId="7F5A1E8C" w14:textId="77777777" w:rsidR="00AB6753" w:rsidRDefault="00AB6753" w:rsidP="002D1EA4">
            <w:pPr>
              <w:spacing w:after="0"/>
              <w:jc w:val="right"/>
              <w:rPr>
                <w:rFonts w:cs="Arial"/>
                <w:sz w:val="18"/>
                <w:szCs w:val="18"/>
              </w:rPr>
            </w:pPr>
            <w:r>
              <w:rPr>
                <w:rFonts w:cs="Arial"/>
                <w:sz w:val="18"/>
                <w:szCs w:val="18"/>
              </w:rPr>
              <w:t>69,281</w:t>
            </w:r>
          </w:p>
        </w:tc>
        <w:tc>
          <w:tcPr>
            <w:tcW w:w="236" w:type="dxa"/>
            <w:tcBorders>
              <w:top w:val="nil"/>
              <w:left w:val="nil"/>
              <w:bottom w:val="nil"/>
              <w:right w:val="nil"/>
            </w:tcBorders>
            <w:shd w:val="clear" w:color="FFFFFF" w:fill="FFFFFF"/>
            <w:noWrap/>
            <w:vAlign w:val="bottom"/>
            <w:hideMark/>
          </w:tcPr>
          <w:p w14:paraId="3F52EFF9" w14:textId="77777777" w:rsidR="00AB6753" w:rsidRDefault="00AB6753" w:rsidP="002D1EA4">
            <w:pPr>
              <w:spacing w:after="0"/>
              <w:rPr>
                <w:rFonts w:cs="Arial"/>
                <w:sz w:val="18"/>
                <w:szCs w:val="18"/>
              </w:rPr>
            </w:pPr>
            <w:r>
              <w:rPr>
                <w:rFonts w:cs="Arial"/>
                <w:sz w:val="18"/>
                <w:szCs w:val="18"/>
              </w:rPr>
              <w:t> </w:t>
            </w:r>
          </w:p>
        </w:tc>
        <w:tc>
          <w:tcPr>
            <w:tcW w:w="1032" w:type="dxa"/>
            <w:tcBorders>
              <w:top w:val="single" w:sz="4" w:space="0" w:color="auto"/>
              <w:left w:val="nil"/>
              <w:bottom w:val="single" w:sz="4" w:space="0" w:color="auto"/>
              <w:right w:val="nil"/>
            </w:tcBorders>
            <w:shd w:val="clear" w:color="FFFFFF" w:fill="FFFFFF"/>
            <w:noWrap/>
            <w:vAlign w:val="bottom"/>
            <w:hideMark/>
          </w:tcPr>
          <w:p w14:paraId="6BCCFAE5" w14:textId="77777777" w:rsidR="00AB6753" w:rsidRDefault="00AB6753" w:rsidP="002D1EA4">
            <w:pPr>
              <w:spacing w:after="0"/>
              <w:jc w:val="right"/>
              <w:rPr>
                <w:rFonts w:cs="Arial"/>
                <w:sz w:val="18"/>
                <w:szCs w:val="18"/>
              </w:rPr>
            </w:pPr>
            <w:r>
              <w:rPr>
                <w:rFonts w:cs="Arial"/>
                <w:sz w:val="18"/>
                <w:szCs w:val="18"/>
              </w:rPr>
              <w:t>62,679</w:t>
            </w:r>
          </w:p>
        </w:tc>
      </w:tr>
      <w:tr w:rsidR="00AB6753" w14:paraId="6ED8816C" w14:textId="77777777" w:rsidTr="002D1EA4">
        <w:trPr>
          <w:trHeight w:val="255"/>
        </w:trPr>
        <w:tc>
          <w:tcPr>
            <w:tcW w:w="4378" w:type="dxa"/>
            <w:tcBorders>
              <w:top w:val="nil"/>
              <w:left w:val="nil"/>
              <w:bottom w:val="nil"/>
              <w:right w:val="nil"/>
            </w:tcBorders>
            <w:shd w:val="clear" w:color="FFFFFF" w:fill="FFFFFF"/>
            <w:vAlign w:val="bottom"/>
            <w:hideMark/>
          </w:tcPr>
          <w:p w14:paraId="7FAF4D31" w14:textId="77777777" w:rsidR="00AB6753" w:rsidRDefault="00AB6753" w:rsidP="002D1EA4">
            <w:pPr>
              <w:spacing w:after="0"/>
              <w:rPr>
                <w:rFonts w:cs="Arial"/>
                <w:sz w:val="18"/>
                <w:szCs w:val="18"/>
              </w:rPr>
            </w:pPr>
            <w:r>
              <w:rPr>
                <w:rFonts w:cs="Arial"/>
                <w:sz w:val="18"/>
                <w:szCs w:val="18"/>
              </w:rPr>
              <w:t> </w:t>
            </w:r>
          </w:p>
        </w:tc>
        <w:tc>
          <w:tcPr>
            <w:tcW w:w="1152" w:type="dxa"/>
            <w:tcBorders>
              <w:top w:val="nil"/>
              <w:left w:val="nil"/>
              <w:bottom w:val="nil"/>
              <w:right w:val="nil"/>
            </w:tcBorders>
            <w:shd w:val="clear" w:color="FFFFFF" w:fill="FFFFFF"/>
            <w:noWrap/>
            <w:vAlign w:val="bottom"/>
            <w:hideMark/>
          </w:tcPr>
          <w:p w14:paraId="03314757"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148A95DF" w14:textId="77777777" w:rsidR="00AB6753" w:rsidRDefault="00AB6753" w:rsidP="002D1EA4">
            <w:pPr>
              <w:spacing w:after="0"/>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23A44782"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7058193F" w14:textId="77777777" w:rsidR="00AB6753" w:rsidRDefault="00AB6753" w:rsidP="002D1EA4">
            <w:pPr>
              <w:spacing w:after="0"/>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7ECD699D"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2959A33F" w14:textId="77777777" w:rsidR="00AB6753" w:rsidRDefault="00AB6753" w:rsidP="002D1EA4">
            <w:pPr>
              <w:spacing w:after="0"/>
              <w:jc w:val="right"/>
              <w:rPr>
                <w:rFonts w:cs="Arial"/>
                <w:sz w:val="18"/>
                <w:szCs w:val="18"/>
              </w:rPr>
            </w:pPr>
            <w:r>
              <w:rPr>
                <w:rFonts w:cs="Arial"/>
                <w:sz w:val="18"/>
                <w:szCs w:val="18"/>
              </w:rPr>
              <w:t> </w:t>
            </w:r>
          </w:p>
        </w:tc>
      </w:tr>
      <w:tr w:rsidR="00AB6753" w14:paraId="7AA34603" w14:textId="77777777" w:rsidTr="002D1EA4">
        <w:trPr>
          <w:trHeight w:val="270"/>
        </w:trPr>
        <w:tc>
          <w:tcPr>
            <w:tcW w:w="4378" w:type="dxa"/>
            <w:tcBorders>
              <w:top w:val="nil"/>
              <w:left w:val="nil"/>
              <w:bottom w:val="nil"/>
              <w:right w:val="nil"/>
            </w:tcBorders>
            <w:shd w:val="clear" w:color="FFFFFF" w:fill="FFFFFF"/>
            <w:vAlign w:val="bottom"/>
            <w:hideMark/>
          </w:tcPr>
          <w:p w14:paraId="02EA0EC3" w14:textId="77777777" w:rsidR="00AB6753" w:rsidRDefault="00AB6753" w:rsidP="002D1EA4">
            <w:pPr>
              <w:spacing w:after="0"/>
              <w:rPr>
                <w:rFonts w:cs="Arial"/>
                <w:b/>
                <w:bCs/>
                <w:sz w:val="18"/>
                <w:szCs w:val="18"/>
              </w:rPr>
            </w:pPr>
            <w:r>
              <w:rPr>
                <w:rFonts w:cs="Arial"/>
                <w:b/>
                <w:bCs/>
                <w:sz w:val="18"/>
                <w:szCs w:val="18"/>
              </w:rPr>
              <w:t>Interest Bearing Liabilities</w:t>
            </w:r>
            <w:r>
              <w:rPr>
                <w:rFonts w:cs="Arial"/>
                <w:b/>
                <w:bCs/>
                <w:sz w:val="18"/>
                <w:szCs w:val="18"/>
                <w:vertAlign w:val="superscript"/>
              </w:rPr>
              <w:t>1</w:t>
            </w:r>
          </w:p>
        </w:tc>
        <w:tc>
          <w:tcPr>
            <w:tcW w:w="1152" w:type="dxa"/>
            <w:tcBorders>
              <w:top w:val="nil"/>
              <w:left w:val="nil"/>
              <w:bottom w:val="nil"/>
              <w:right w:val="nil"/>
            </w:tcBorders>
            <w:shd w:val="clear" w:color="FFFFFF" w:fill="FFFFFF"/>
            <w:noWrap/>
            <w:vAlign w:val="bottom"/>
            <w:hideMark/>
          </w:tcPr>
          <w:p w14:paraId="6845127F"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3CE3932B" w14:textId="77777777" w:rsidR="00AB6753" w:rsidRDefault="00AB6753" w:rsidP="002D1EA4">
            <w:pPr>
              <w:spacing w:after="0"/>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01919ADD"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49EEB347" w14:textId="77777777" w:rsidR="00AB6753" w:rsidRDefault="00AB6753" w:rsidP="002D1EA4">
            <w:pPr>
              <w:spacing w:after="0"/>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65607DF6"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41CD437F" w14:textId="77777777" w:rsidR="00AB6753" w:rsidRDefault="00AB6753" w:rsidP="002D1EA4">
            <w:pPr>
              <w:spacing w:after="0"/>
              <w:jc w:val="right"/>
              <w:rPr>
                <w:rFonts w:cs="Arial"/>
                <w:sz w:val="18"/>
                <w:szCs w:val="18"/>
              </w:rPr>
            </w:pPr>
            <w:r>
              <w:rPr>
                <w:rFonts w:cs="Arial"/>
                <w:sz w:val="18"/>
                <w:szCs w:val="18"/>
              </w:rPr>
              <w:t> </w:t>
            </w:r>
          </w:p>
        </w:tc>
      </w:tr>
      <w:tr w:rsidR="00AB6753" w14:paraId="54A13CFE" w14:textId="77777777" w:rsidTr="002D1EA4">
        <w:trPr>
          <w:trHeight w:val="255"/>
        </w:trPr>
        <w:tc>
          <w:tcPr>
            <w:tcW w:w="4378" w:type="dxa"/>
            <w:tcBorders>
              <w:top w:val="nil"/>
              <w:left w:val="nil"/>
              <w:bottom w:val="nil"/>
              <w:right w:val="nil"/>
            </w:tcBorders>
            <w:shd w:val="clear" w:color="FFFFFF" w:fill="FFFFFF"/>
            <w:vAlign w:val="bottom"/>
            <w:hideMark/>
          </w:tcPr>
          <w:p w14:paraId="64C1C9FD" w14:textId="77777777" w:rsidR="00AB6753" w:rsidRDefault="00AB6753" w:rsidP="002D1EA4">
            <w:pPr>
              <w:spacing w:after="0"/>
              <w:rPr>
                <w:rFonts w:cs="Arial"/>
                <w:sz w:val="18"/>
                <w:szCs w:val="18"/>
              </w:rPr>
            </w:pPr>
            <w:r>
              <w:rPr>
                <w:rFonts w:cs="Arial"/>
                <w:sz w:val="18"/>
                <w:szCs w:val="18"/>
              </w:rPr>
              <w:t>Leases</w:t>
            </w:r>
          </w:p>
        </w:tc>
        <w:tc>
          <w:tcPr>
            <w:tcW w:w="1152" w:type="dxa"/>
            <w:tcBorders>
              <w:top w:val="nil"/>
              <w:left w:val="nil"/>
              <w:bottom w:val="nil"/>
              <w:right w:val="nil"/>
            </w:tcBorders>
            <w:shd w:val="clear" w:color="FFFFFF" w:fill="FFFFFF"/>
            <w:noWrap/>
            <w:vAlign w:val="bottom"/>
            <w:hideMark/>
          </w:tcPr>
          <w:p w14:paraId="796ED423" w14:textId="77777777" w:rsidR="00AB6753" w:rsidRDefault="00AB6753" w:rsidP="002D1EA4">
            <w:pPr>
              <w:spacing w:after="0"/>
              <w:jc w:val="center"/>
              <w:rPr>
                <w:rFonts w:cs="Arial"/>
                <w:sz w:val="18"/>
                <w:szCs w:val="18"/>
              </w:rPr>
            </w:pPr>
            <w:r>
              <w:rPr>
                <w:rFonts w:cs="Arial"/>
                <w:sz w:val="18"/>
                <w:szCs w:val="18"/>
              </w:rPr>
              <w:t>3.4A</w:t>
            </w:r>
          </w:p>
        </w:tc>
        <w:tc>
          <w:tcPr>
            <w:tcW w:w="1143" w:type="dxa"/>
            <w:tcBorders>
              <w:top w:val="nil"/>
              <w:left w:val="nil"/>
              <w:bottom w:val="single" w:sz="4" w:space="0" w:color="auto"/>
              <w:right w:val="nil"/>
            </w:tcBorders>
            <w:shd w:val="clear" w:color="FFFFFF" w:fill="FFFFFF"/>
            <w:noWrap/>
            <w:vAlign w:val="bottom"/>
            <w:hideMark/>
          </w:tcPr>
          <w:p w14:paraId="2BCD2BC4" w14:textId="77777777" w:rsidR="00AB6753" w:rsidRDefault="00AB6753" w:rsidP="002D1EA4">
            <w:pPr>
              <w:spacing w:after="0"/>
              <w:jc w:val="right"/>
              <w:rPr>
                <w:rFonts w:cs="Arial"/>
                <w:b/>
                <w:bCs/>
                <w:sz w:val="18"/>
                <w:szCs w:val="18"/>
              </w:rPr>
            </w:pPr>
            <w:r>
              <w:rPr>
                <w:rFonts w:cs="Arial"/>
                <w:b/>
                <w:bCs/>
                <w:sz w:val="18"/>
                <w:szCs w:val="18"/>
              </w:rPr>
              <w:t>548,847</w:t>
            </w:r>
          </w:p>
        </w:tc>
        <w:tc>
          <w:tcPr>
            <w:tcW w:w="236" w:type="dxa"/>
            <w:tcBorders>
              <w:top w:val="nil"/>
              <w:left w:val="nil"/>
              <w:bottom w:val="nil"/>
              <w:right w:val="nil"/>
            </w:tcBorders>
            <w:shd w:val="clear" w:color="FFFFFF" w:fill="FFFFFF"/>
            <w:noWrap/>
            <w:vAlign w:val="bottom"/>
            <w:hideMark/>
          </w:tcPr>
          <w:p w14:paraId="7914CB27"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single" w:sz="4" w:space="0" w:color="auto"/>
              <w:right w:val="nil"/>
            </w:tcBorders>
            <w:shd w:val="clear" w:color="FFFFFF" w:fill="FFFFFF"/>
            <w:noWrap/>
            <w:vAlign w:val="bottom"/>
            <w:hideMark/>
          </w:tcPr>
          <w:p w14:paraId="2DC285EA" w14:textId="77777777" w:rsidR="00AB6753" w:rsidRDefault="00AB6753" w:rsidP="002D1EA4">
            <w:pPr>
              <w:spacing w:after="0"/>
              <w:jc w:val="right"/>
              <w:rPr>
                <w:rFonts w:cs="Arial"/>
                <w:sz w:val="18"/>
                <w:szCs w:val="18"/>
              </w:rPr>
            </w:pPr>
            <w:r>
              <w:rPr>
                <w:rFonts w:cs="Arial"/>
                <w:sz w:val="18"/>
                <w:szCs w:val="18"/>
              </w:rPr>
              <w:t>-</w:t>
            </w:r>
          </w:p>
        </w:tc>
        <w:tc>
          <w:tcPr>
            <w:tcW w:w="236" w:type="dxa"/>
            <w:tcBorders>
              <w:top w:val="nil"/>
              <w:left w:val="nil"/>
              <w:bottom w:val="nil"/>
              <w:right w:val="nil"/>
            </w:tcBorders>
            <w:shd w:val="clear" w:color="FFFFFF" w:fill="FFFFFF"/>
            <w:noWrap/>
            <w:vAlign w:val="bottom"/>
            <w:hideMark/>
          </w:tcPr>
          <w:p w14:paraId="1A982778"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single" w:sz="4" w:space="0" w:color="auto"/>
              <w:right w:val="nil"/>
            </w:tcBorders>
            <w:shd w:val="clear" w:color="FFFFFF" w:fill="FFFFFF"/>
            <w:noWrap/>
            <w:vAlign w:val="bottom"/>
            <w:hideMark/>
          </w:tcPr>
          <w:p w14:paraId="5A2EE8AE"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472F200A" w14:textId="77777777" w:rsidTr="002D1EA4">
        <w:trPr>
          <w:trHeight w:val="255"/>
        </w:trPr>
        <w:tc>
          <w:tcPr>
            <w:tcW w:w="4378" w:type="dxa"/>
            <w:tcBorders>
              <w:top w:val="nil"/>
              <w:left w:val="nil"/>
              <w:bottom w:val="nil"/>
              <w:right w:val="nil"/>
            </w:tcBorders>
            <w:shd w:val="clear" w:color="FFFFFF" w:fill="FFFFFF"/>
            <w:vAlign w:val="bottom"/>
            <w:hideMark/>
          </w:tcPr>
          <w:p w14:paraId="48ADB7B0" w14:textId="77777777" w:rsidR="00AB6753" w:rsidRDefault="00AB6753" w:rsidP="002D1EA4">
            <w:pPr>
              <w:spacing w:after="0"/>
              <w:rPr>
                <w:rFonts w:cs="Arial"/>
                <w:b/>
                <w:bCs/>
                <w:sz w:val="18"/>
                <w:szCs w:val="18"/>
              </w:rPr>
            </w:pPr>
            <w:r>
              <w:rPr>
                <w:rFonts w:cs="Arial"/>
                <w:b/>
                <w:bCs/>
                <w:sz w:val="18"/>
                <w:szCs w:val="18"/>
              </w:rPr>
              <w:t> </w:t>
            </w:r>
          </w:p>
        </w:tc>
        <w:tc>
          <w:tcPr>
            <w:tcW w:w="1152" w:type="dxa"/>
            <w:tcBorders>
              <w:top w:val="nil"/>
              <w:left w:val="nil"/>
              <w:bottom w:val="nil"/>
              <w:right w:val="nil"/>
            </w:tcBorders>
            <w:shd w:val="clear" w:color="FFFFFF" w:fill="FFFFFF"/>
            <w:noWrap/>
            <w:vAlign w:val="bottom"/>
            <w:hideMark/>
          </w:tcPr>
          <w:p w14:paraId="4B6CA57E"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2215A259" w14:textId="77777777" w:rsidR="00AB6753" w:rsidRDefault="00AB6753" w:rsidP="002D1EA4">
            <w:pPr>
              <w:spacing w:after="0"/>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3302066D"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6FBD521F"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4D0456E3"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3A862466" w14:textId="77777777" w:rsidR="00AB6753" w:rsidRDefault="00AB6753" w:rsidP="002D1EA4">
            <w:pPr>
              <w:spacing w:after="0"/>
              <w:rPr>
                <w:rFonts w:cs="Arial"/>
                <w:sz w:val="18"/>
                <w:szCs w:val="18"/>
              </w:rPr>
            </w:pPr>
            <w:r>
              <w:rPr>
                <w:rFonts w:cs="Arial"/>
                <w:sz w:val="18"/>
                <w:szCs w:val="18"/>
              </w:rPr>
              <w:t> </w:t>
            </w:r>
          </w:p>
        </w:tc>
      </w:tr>
      <w:tr w:rsidR="00AB6753" w14:paraId="52FCBA1B" w14:textId="77777777" w:rsidTr="002D1EA4">
        <w:trPr>
          <w:trHeight w:val="255"/>
        </w:trPr>
        <w:tc>
          <w:tcPr>
            <w:tcW w:w="4378" w:type="dxa"/>
            <w:tcBorders>
              <w:top w:val="nil"/>
              <w:left w:val="nil"/>
              <w:bottom w:val="nil"/>
              <w:right w:val="nil"/>
            </w:tcBorders>
            <w:shd w:val="clear" w:color="FFFFFF" w:fill="FFFFFF"/>
            <w:vAlign w:val="bottom"/>
            <w:hideMark/>
          </w:tcPr>
          <w:p w14:paraId="75ED084E" w14:textId="77777777" w:rsidR="00AB6753" w:rsidRDefault="00AB6753" w:rsidP="002D1EA4">
            <w:pPr>
              <w:spacing w:after="0"/>
              <w:rPr>
                <w:rFonts w:cs="Arial"/>
                <w:b/>
                <w:bCs/>
                <w:sz w:val="18"/>
                <w:szCs w:val="18"/>
              </w:rPr>
            </w:pPr>
            <w:r>
              <w:rPr>
                <w:rFonts w:cs="Arial"/>
                <w:b/>
                <w:bCs/>
                <w:sz w:val="18"/>
                <w:szCs w:val="18"/>
              </w:rPr>
              <w:t>Provisions</w:t>
            </w:r>
          </w:p>
        </w:tc>
        <w:tc>
          <w:tcPr>
            <w:tcW w:w="1152" w:type="dxa"/>
            <w:tcBorders>
              <w:top w:val="nil"/>
              <w:left w:val="nil"/>
              <w:bottom w:val="nil"/>
              <w:right w:val="nil"/>
            </w:tcBorders>
            <w:shd w:val="clear" w:color="FFFFFF" w:fill="FFFFFF"/>
            <w:noWrap/>
            <w:vAlign w:val="bottom"/>
            <w:hideMark/>
          </w:tcPr>
          <w:p w14:paraId="21648F06"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29CFA83B" w14:textId="77777777" w:rsidR="00AB6753" w:rsidRDefault="00AB6753" w:rsidP="002D1EA4">
            <w:pPr>
              <w:spacing w:after="0"/>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1E75AB1D"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23323C8C" w14:textId="77777777" w:rsidR="00AB6753" w:rsidRDefault="00AB6753" w:rsidP="002D1EA4">
            <w:pPr>
              <w:spacing w:after="0"/>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59498580"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749353A4" w14:textId="77777777" w:rsidR="00AB6753" w:rsidRDefault="00AB6753" w:rsidP="002D1EA4">
            <w:pPr>
              <w:spacing w:after="0"/>
              <w:jc w:val="right"/>
              <w:rPr>
                <w:rFonts w:cs="Arial"/>
                <w:sz w:val="18"/>
                <w:szCs w:val="18"/>
              </w:rPr>
            </w:pPr>
            <w:r>
              <w:rPr>
                <w:rFonts w:cs="Arial"/>
                <w:sz w:val="18"/>
                <w:szCs w:val="18"/>
              </w:rPr>
              <w:t> </w:t>
            </w:r>
          </w:p>
        </w:tc>
      </w:tr>
      <w:tr w:rsidR="00AB6753" w14:paraId="48E56971" w14:textId="77777777" w:rsidTr="002D1EA4">
        <w:trPr>
          <w:trHeight w:val="255"/>
        </w:trPr>
        <w:tc>
          <w:tcPr>
            <w:tcW w:w="4378" w:type="dxa"/>
            <w:tcBorders>
              <w:top w:val="nil"/>
              <w:left w:val="nil"/>
              <w:bottom w:val="nil"/>
              <w:right w:val="nil"/>
            </w:tcBorders>
            <w:shd w:val="clear" w:color="FFFFFF" w:fill="FFFFFF"/>
            <w:vAlign w:val="bottom"/>
            <w:hideMark/>
          </w:tcPr>
          <w:p w14:paraId="447C7DA4" w14:textId="77777777" w:rsidR="00AB6753" w:rsidRDefault="00AB6753" w:rsidP="002D1EA4">
            <w:pPr>
              <w:spacing w:after="0"/>
              <w:rPr>
                <w:rFonts w:cs="Arial"/>
                <w:sz w:val="18"/>
                <w:szCs w:val="18"/>
              </w:rPr>
            </w:pPr>
            <w:r>
              <w:rPr>
                <w:rFonts w:cs="Arial"/>
                <w:sz w:val="18"/>
                <w:szCs w:val="18"/>
              </w:rPr>
              <w:t>Employee provisions</w:t>
            </w:r>
          </w:p>
        </w:tc>
        <w:tc>
          <w:tcPr>
            <w:tcW w:w="1152" w:type="dxa"/>
            <w:tcBorders>
              <w:top w:val="nil"/>
              <w:left w:val="nil"/>
              <w:bottom w:val="nil"/>
              <w:right w:val="nil"/>
            </w:tcBorders>
            <w:shd w:val="clear" w:color="FFFFFF" w:fill="FFFFFF"/>
            <w:noWrap/>
            <w:vAlign w:val="bottom"/>
            <w:hideMark/>
          </w:tcPr>
          <w:p w14:paraId="76ECE2A1" w14:textId="77777777" w:rsidR="00AB6753" w:rsidRDefault="00AB6753" w:rsidP="002D1EA4">
            <w:pPr>
              <w:spacing w:after="0"/>
              <w:jc w:val="center"/>
              <w:rPr>
                <w:rFonts w:cs="Arial"/>
                <w:sz w:val="18"/>
                <w:szCs w:val="18"/>
              </w:rPr>
            </w:pPr>
            <w:r>
              <w:rPr>
                <w:rFonts w:cs="Arial"/>
                <w:sz w:val="18"/>
                <w:szCs w:val="18"/>
              </w:rPr>
              <w:t>6.1A</w:t>
            </w:r>
          </w:p>
        </w:tc>
        <w:tc>
          <w:tcPr>
            <w:tcW w:w="1143" w:type="dxa"/>
            <w:tcBorders>
              <w:top w:val="nil"/>
              <w:left w:val="nil"/>
              <w:bottom w:val="nil"/>
              <w:right w:val="nil"/>
            </w:tcBorders>
            <w:shd w:val="clear" w:color="FFFFFF" w:fill="FFFFFF"/>
            <w:noWrap/>
            <w:vAlign w:val="bottom"/>
            <w:hideMark/>
          </w:tcPr>
          <w:p w14:paraId="78BF2376" w14:textId="77777777" w:rsidR="00AB6753" w:rsidRDefault="00AB6753" w:rsidP="002D1EA4">
            <w:pPr>
              <w:spacing w:after="0"/>
              <w:jc w:val="right"/>
              <w:rPr>
                <w:rFonts w:cs="Arial"/>
                <w:b/>
                <w:bCs/>
                <w:sz w:val="18"/>
                <w:szCs w:val="18"/>
              </w:rPr>
            </w:pPr>
            <w:r>
              <w:rPr>
                <w:rFonts w:cs="Arial"/>
                <w:b/>
                <w:bCs/>
                <w:sz w:val="18"/>
                <w:szCs w:val="18"/>
              </w:rPr>
              <w:t>91,691</w:t>
            </w:r>
          </w:p>
        </w:tc>
        <w:tc>
          <w:tcPr>
            <w:tcW w:w="236" w:type="dxa"/>
            <w:tcBorders>
              <w:top w:val="nil"/>
              <w:left w:val="nil"/>
              <w:bottom w:val="nil"/>
              <w:right w:val="nil"/>
            </w:tcBorders>
            <w:shd w:val="clear" w:color="FFFFFF" w:fill="FFFFFF"/>
            <w:noWrap/>
            <w:vAlign w:val="bottom"/>
            <w:hideMark/>
          </w:tcPr>
          <w:p w14:paraId="57C05223"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081BF4B1" w14:textId="77777777" w:rsidR="00AB6753" w:rsidRDefault="00AB6753" w:rsidP="002D1EA4">
            <w:pPr>
              <w:spacing w:after="0"/>
              <w:jc w:val="right"/>
              <w:rPr>
                <w:rFonts w:cs="Arial"/>
                <w:sz w:val="18"/>
                <w:szCs w:val="18"/>
              </w:rPr>
            </w:pPr>
            <w:r>
              <w:rPr>
                <w:rFonts w:cs="Arial"/>
                <w:sz w:val="18"/>
                <w:szCs w:val="18"/>
              </w:rPr>
              <w:t>96,172</w:t>
            </w:r>
          </w:p>
        </w:tc>
        <w:tc>
          <w:tcPr>
            <w:tcW w:w="236" w:type="dxa"/>
            <w:tcBorders>
              <w:top w:val="nil"/>
              <w:left w:val="nil"/>
              <w:bottom w:val="nil"/>
              <w:right w:val="nil"/>
            </w:tcBorders>
            <w:shd w:val="clear" w:color="FFFFFF" w:fill="FFFFFF"/>
            <w:noWrap/>
            <w:vAlign w:val="bottom"/>
            <w:hideMark/>
          </w:tcPr>
          <w:p w14:paraId="3386D3F6"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567E5DE8" w14:textId="77777777" w:rsidR="00AB6753" w:rsidRDefault="00AB6753" w:rsidP="002D1EA4">
            <w:pPr>
              <w:spacing w:after="0"/>
              <w:jc w:val="right"/>
              <w:rPr>
                <w:rFonts w:cs="Arial"/>
                <w:sz w:val="18"/>
                <w:szCs w:val="18"/>
              </w:rPr>
            </w:pPr>
            <w:r>
              <w:rPr>
                <w:rFonts w:cs="Arial"/>
                <w:sz w:val="18"/>
                <w:szCs w:val="18"/>
              </w:rPr>
              <w:t xml:space="preserve">90,203 </w:t>
            </w:r>
          </w:p>
        </w:tc>
      </w:tr>
      <w:tr w:rsidR="00AB6753" w14:paraId="63599AA7" w14:textId="77777777" w:rsidTr="002D1EA4">
        <w:trPr>
          <w:trHeight w:val="255"/>
        </w:trPr>
        <w:tc>
          <w:tcPr>
            <w:tcW w:w="4378" w:type="dxa"/>
            <w:tcBorders>
              <w:top w:val="nil"/>
              <w:left w:val="nil"/>
              <w:bottom w:val="nil"/>
              <w:right w:val="nil"/>
            </w:tcBorders>
            <w:shd w:val="clear" w:color="FFFFFF" w:fill="FFFFFF"/>
            <w:vAlign w:val="bottom"/>
            <w:hideMark/>
          </w:tcPr>
          <w:p w14:paraId="240AFDED" w14:textId="77777777" w:rsidR="00AB6753" w:rsidRDefault="00AB6753" w:rsidP="002D1EA4">
            <w:pPr>
              <w:spacing w:after="0"/>
              <w:rPr>
                <w:rFonts w:cs="Arial"/>
                <w:sz w:val="18"/>
                <w:szCs w:val="18"/>
              </w:rPr>
            </w:pPr>
            <w:r>
              <w:rPr>
                <w:rFonts w:cs="Arial"/>
                <w:sz w:val="18"/>
                <w:szCs w:val="18"/>
              </w:rPr>
              <w:t>Other provisions</w:t>
            </w:r>
          </w:p>
        </w:tc>
        <w:tc>
          <w:tcPr>
            <w:tcW w:w="1152" w:type="dxa"/>
            <w:tcBorders>
              <w:top w:val="nil"/>
              <w:left w:val="nil"/>
              <w:bottom w:val="nil"/>
              <w:right w:val="nil"/>
            </w:tcBorders>
            <w:shd w:val="clear" w:color="FFFFFF" w:fill="FFFFFF"/>
            <w:noWrap/>
            <w:vAlign w:val="bottom"/>
            <w:hideMark/>
          </w:tcPr>
          <w:p w14:paraId="54BC39D3" w14:textId="77777777" w:rsidR="00AB6753" w:rsidRDefault="00AB6753" w:rsidP="002D1EA4">
            <w:pPr>
              <w:spacing w:after="0"/>
              <w:jc w:val="center"/>
              <w:rPr>
                <w:rFonts w:cs="Arial"/>
                <w:sz w:val="18"/>
                <w:szCs w:val="18"/>
              </w:rPr>
            </w:pPr>
            <w:r>
              <w:rPr>
                <w:rFonts w:cs="Arial"/>
                <w:sz w:val="18"/>
                <w:szCs w:val="18"/>
              </w:rPr>
              <w:t>3.5A</w:t>
            </w:r>
          </w:p>
        </w:tc>
        <w:tc>
          <w:tcPr>
            <w:tcW w:w="1143" w:type="dxa"/>
            <w:tcBorders>
              <w:top w:val="nil"/>
              <w:left w:val="nil"/>
              <w:bottom w:val="nil"/>
              <w:right w:val="nil"/>
            </w:tcBorders>
            <w:shd w:val="clear" w:color="FFFFFF" w:fill="FFFFFF"/>
            <w:noWrap/>
            <w:vAlign w:val="bottom"/>
            <w:hideMark/>
          </w:tcPr>
          <w:p w14:paraId="54032D7E" w14:textId="77777777" w:rsidR="00AB6753" w:rsidRDefault="00AB6753" w:rsidP="002D1EA4">
            <w:pPr>
              <w:spacing w:after="0"/>
              <w:jc w:val="right"/>
              <w:rPr>
                <w:rFonts w:cs="Arial"/>
                <w:b/>
                <w:bCs/>
                <w:sz w:val="18"/>
                <w:szCs w:val="18"/>
              </w:rPr>
            </w:pPr>
            <w:r>
              <w:rPr>
                <w:rFonts w:cs="Arial"/>
                <w:b/>
                <w:bCs/>
                <w:sz w:val="18"/>
                <w:szCs w:val="18"/>
              </w:rPr>
              <w:t>273</w:t>
            </w:r>
          </w:p>
        </w:tc>
        <w:tc>
          <w:tcPr>
            <w:tcW w:w="236" w:type="dxa"/>
            <w:tcBorders>
              <w:top w:val="nil"/>
              <w:left w:val="nil"/>
              <w:bottom w:val="nil"/>
              <w:right w:val="nil"/>
            </w:tcBorders>
            <w:shd w:val="clear" w:color="FFFFFF" w:fill="FFFFFF"/>
            <w:noWrap/>
            <w:vAlign w:val="bottom"/>
            <w:hideMark/>
          </w:tcPr>
          <w:p w14:paraId="18F50C73"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0BEB4ACF" w14:textId="77777777" w:rsidR="00AB6753" w:rsidRDefault="00AB6753" w:rsidP="002D1EA4">
            <w:pPr>
              <w:spacing w:after="0"/>
              <w:jc w:val="right"/>
              <w:rPr>
                <w:rFonts w:cs="Arial"/>
                <w:sz w:val="18"/>
                <w:szCs w:val="18"/>
              </w:rPr>
            </w:pPr>
            <w:r>
              <w:rPr>
                <w:rFonts w:cs="Arial"/>
                <w:sz w:val="18"/>
                <w:szCs w:val="18"/>
              </w:rPr>
              <w:t>743</w:t>
            </w:r>
          </w:p>
        </w:tc>
        <w:tc>
          <w:tcPr>
            <w:tcW w:w="236" w:type="dxa"/>
            <w:tcBorders>
              <w:top w:val="nil"/>
              <w:left w:val="nil"/>
              <w:bottom w:val="nil"/>
              <w:right w:val="nil"/>
            </w:tcBorders>
            <w:shd w:val="clear" w:color="FFFFFF" w:fill="FFFFFF"/>
            <w:noWrap/>
            <w:vAlign w:val="bottom"/>
            <w:hideMark/>
          </w:tcPr>
          <w:p w14:paraId="5CA18F0F"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3CFA2491" w14:textId="77777777" w:rsidR="00AB6753" w:rsidRDefault="00AB6753" w:rsidP="002D1EA4">
            <w:pPr>
              <w:spacing w:after="0"/>
              <w:jc w:val="right"/>
              <w:rPr>
                <w:rFonts w:cs="Arial"/>
                <w:sz w:val="18"/>
                <w:szCs w:val="18"/>
              </w:rPr>
            </w:pPr>
            <w:r>
              <w:rPr>
                <w:rFonts w:cs="Arial"/>
                <w:sz w:val="18"/>
                <w:szCs w:val="18"/>
              </w:rPr>
              <w:t xml:space="preserve">1,087 </w:t>
            </w:r>
          </w:p>
        </w:tc>
      </w:tr>
      <w:tr w:rsidR="00AB6753" w14:paraId="065F0ED9" w14:textId="77777777" w:rsidTr="002D1EA4">
        <w:trPr>
          <w:trHeight w:val="255"/>
        </w:trPr>
        <w:tc>
          <w:tcPr>
            <w:tcW w:w="4378" w:type="dxa"/>
            <w:tcBorders>
              <w:top w:val="nil"/>
              <w:left w:val="nil"/>
              <w:bottom w:val="nil"/>
              <w:right w:val="nil"/>
            </w:tcBorders>
            <w:shd w:val="clear" w:color="FFFFFF" w:fill="FFFFFF"/>
            <w:vAlign w:val="bottom"/>
            <w:hideMark/>
          </w:tcPr>
          <w:p w14:paraId="7F8ED98C" w14:textId="77777777" w:rsidR="00AB6753" w:rsidRDefault="00AB6753" w:rsidP="002D1EA4">
            <w:pPr>
              <w:spacing w:after="0"/>
              <w:rPr>
                <w:rFonts w:cs="Arial"/>
                <w:b/>
                <w:bCs/>
                <w:sz w:val="18"/>
                <w:szCs w:val="18"/>
              </w:rPr>
            </w:pPr>
            <w:r>
              <w:rPr>
                <w:rFonts w:cs="Arial"/>
                <w:b/>
                <w:bCs/>
                <w:sz w:val="18"/>
                <w:szCs w:val="18"/>
              </w:rPr>
              <w:t>Total provisions</w:t>
            </w:r>
          </w:p>
        </w:tc>
        <w:tc>
          <w:tcPr>
            <w:tcW w:w="1152" w:type="dxa"/>
            <w:tcBorders>
              <w:top w:val="nil"/>
              <w:left w:val="nil"/>
              <w:bottom w:val="nil"/>
              <w:right w:val="nil"/>
            </w:tcBorders>
            <w:shd w:val="clear" w:color="FFFFFF" w:fill="FFFFFF"/>
            <w:noWrap/>
            <w:vAlign w:val="bottom"/>
            <w:hideMark/>
          </w:tcPr>
          <w:p w14:paraId="263CCABE"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single" w:sz="4" w:space="0" w:color="auto"/>
              <w:left w:val="nil"/>
              <w:bottom w:val="single" w:sz="4" w:space="0" w:color="auto"/>
              <w:right w:val="nil"/>
            </w:tcBorders>
            <w:shd w:val="clear" w:color="FFFFFF" w:fill="FFFFFF"/>
            <w:noWrap/>
            <w:vAlign w:val="bottom"/>
            <w:hideMark/>
          </w:tcPr>
          <w:p w14:paraId="053AB0AC" w14:textId="77777777" w:rsidR="00AB6753" w:rsidRDefault="00AB6753" w:rsidP="002D1EA4">
            <w:pPr>
              <w:spacing w:after="0"/>
              <w:jc w:val="right"/>
              <w:rPr>
                <w:rFonts w:cs="Arial"/>
                <w:b/>
                <w:bCs/>
                <w:sz w:val="18"/>
                <w:szCs w:val="18"/>
              </w:rPr>
            </w:pPr>
            <w:r>
              <w:rPr>
                <w:rFonts w:cs="Arial"/>
                <w:b/>
                <w:bCs/>
                <w:sz w:val="18"/>
                <w:szCs w:val="18"/>
              </w:rPr>
              <w:t>91,964</w:t>
            </w:r>
          </w:p>
        </w:tc>
        <w:tc>
          <w:tcPr>
            <w:tcW w:w="236" w:type="dxa"/>
            <w:tcBorders>
              <w:top w:val="nil"/>
              <w:left w:val="nil"/>
              <w:bottom w:val="nil"/>
              <w:right w:val="nil"/>
            </w:tcBorders>
            <w:shd w:val="clear" w:color="FFFFFF" w:fill="FFFFFF"/>
            <w:noWrap/>
            <w:vAlign w:val="bottom"/>
            <w:hideMark/>
          </w:tcPr>
          <w:p w14:paraId="37985B33" w14:textId="77777777" w:rsidR="00AB6753" w:rsidRDefault="00AB6753" w:rsidP="002D1EA4">
            <w:pPr>
              <w:spacing w:after="0"/>
              <w:rPr>
                <w:rFonts w:cs="Arial"/>
                <w:sz w:val="18"/>
                <w:szCs w:val="18"/>
              </w:rPr>
            </w:pPr>
            <w:r>
              <w:rPr>
                <w:rFonts w:cs="Arial"/>
                <w:sz w:val="18"/>
                <w:szCs w:val="18"/>
              </w:rPr>
              <w:t> </w:t>
            </w:r>
          </w:p>
        </w:tc>
        <w:tc>
          <w:tcPr>
            <w:tcW w:w="1138" w:type="dxa"/>
            <w:tcBorders>
              <w:top w:val="single" w:sz="4" w:space="0" w:color="auto"/>
              <w:left w:val="nil"/>
              <w:bottom w:val="single" w:sz="4" w:space="0" w:color="auto"/>
              <w:right w:val="nil"/>
            </w:tcBorders>
            <w:shd w:val="clear" w:color="FFFFFF" w:fill="FFFFFF"/>
            <w:noWrap/>
            <w:vAlign w:val="bottom"/>
            <w:hideMark/>
          </w:tcPr>
          <w:p w14:paraId="6AEF8D84" w14:textId="77777777" w:rsidR="00AB6753" w:rsidRDefault="00AB6753" w:rsidP="002D1EA4">
            <w:pPr>
              <w:spacing w:after="0"/>
              <w:jc w:val="right"/>
              <w:rPr>
                <w:rFonts w:cs="Arial"/>
                <w:sz w:val="18"/>
                <w:szCs w:val="18"/>
              </w:rPr>
            </w:pPr>
            <w:r>
              <w:rPr>
                <w:rFonts w:cs="Arial"/>
                <w:sz w:val="18"/>
                <w:szCs w:val="18"/>
              </w:rPr>
              <w:t>96,915</w:t>
            </w:r>
          </w:p>
        </w:tc>
        <w:tc>
          <w:tcPr>
            <w:tcW w:w="236" w:type="dxa"/>
            <w:tcBorders>
              <w:top w:val="nil"/>
              <w:left w:val="nil"/>
              <w:bottom w:val="nil"/>
              <w:right w:val="nil"/>
            </w:tcBorders>
            <w:shd w:val="clear" w:color="FFFFFF" w:fill="FFFFFF"/>
            <w:noWrap/>
            <w:vAlign w:val="bottom"/>
            <w:hideMark/>
          </w:tcPr>
          <w:p w14:paraId="0314E091" w14:textId="77777777" w:rsidR="00AB6753" w:rsidRDefault="00AB6753" w:rsidP="002D1EA4">
            <w:pPr>
              <w:spacing w:after="0"/>
              <w:rPr>
                <w:rFonts w:cs="Arial"/>
                <w:sz w:val="18"/>
                <w:szCs w:val="18"/>
              </w:rPr>
            </w:pPr>
            <w:r>
              <w:rPr>
                <w:rFonts w:cs="Arial"/>
                <w:sz w:val="18"/>
                <w:szCs w:val="18"/>
              </w:rPr>
              <w:t> </w:t>
            </w:r>
          </w:p>
        </w:tc>
        <w:tc>
          <w:tcPr>
            <w:tcW w:w="1032" w:type="dxa"/>
            <w:tcBorders>
              <w:top w:val="single" w:sz="4" w:space="0" w:color="auto"/>
              <w:left w:val="nil"/>
              <w:bottom w:val="single" w:sz="4" w:space="0" w:color="auto"/>
              <w:right w:val="nil"/>
            </w:tcBorders>
            <w:shd w:val="clear" w:color="FFFFFF" w:fill="FFFFFF"/>
            <w:noWrap/>
            <w:vAlign w:val="bottom"/>
            <w:hideMark/>
          </w:tcPr>
          <w:p w14:paraId="52F7C576" w14:textId="77777777" w:rsidR="00AB6753" w:rsidRDefault="00AB6753" w:rsidP="002D1EA4">
            <w:pPr>
              <w:spacing w:after="0"/>
              <w:jc w:val="right"/>
              <w:rPr>
                <w:rFonts w:cs="Arial"/>
                <w:sz w:val="18"/>
                <w:szCs w:val="18"/>
              </w:rPr>
            </w:pPr>
            <w:r>
              <w:rPr>
                <w:rFonts w:cs="Arial"/>
                <w:sz w:val="18"/>
                <w:szCs w:val="18"/>
              </w:rPr>
              <w:t>91,290</w:t>
            </w:r>
          </w:p>
        </w:tc>
      </w:tr>
      <w:tr w:rsidR="00AB6753" w14:paraId="3FA8BDD6" w14:textId="77777777" w:rsidTr="002D1EA4">
        <w:trPr>
          <w:trHeight w:val="255"/>
        </w:trPr>
        <w:tc>
          <w:tcPr>
            <w:tcW w:w="4378" w:type="dxa"/>
            <w:tcBorders>
              <w:top w:val="nil"/>
              <w:left w:val="nil"/>
              <w:bottom w:val="nil"/>
              <w:right w:val="nil"/>
            </w:tcBorders>
            <w:shd w:val="clear" w:color="FFFFFF" w:fill="FFFFFF"/>
            <w:vAlign w:val="bottom"/>
            <w:hideMark/>
          </w:tcPr>
          <w:p w14:paraId="07C9502F" w14:textId="77777777" w:rsidR="00AB6753" w:rsidRDefault="00AB6753" w:rsidP="002D1EA4">
            <w:pPr>
              <w:spacing w:after="0"/>
              <w:rPr>
                <w:rFonts w:cs="Arial"/>
                <w:b/>
                <w:bCs/>
                <w:sz w:val="18"/>
                <w:szCs w:val="18"/>
              </w:rPr>
            </w:pPr>
            <w:r>
              <w:rPr>
                <w:rFonts w:cs="Arial"/>
                <w:b/>
                <w:bCs/>
                <w:sz w:val="18"/>
                <w:szCs w:val="18"/>
              </w:rPr>
              <w:t>Total liabilities</w:t>
            </w:r>
          </w:p>
        </w:tc>
        <w:tc>
          <w:tcPr>
            <w:tcW w:w="1152" w:type="dxa"/>
            <w:tcBorders>
              <w:top w:val="nil"/>
              <w:left w:val="nil"/>
              <w:bottom w:val="nil"/>
              <w:right w:val="nil"/>
            </w:tcBorders>
            <w:shd w:val="clear" w:color="FFFFFF" w:fill="FFFFFF"/>
            <w:noWrap/>
            <w:vAlign w:val="bottom"/>
            <w:hideMark/>
          </w:tcPr>
          <w:p w14:paraId="5115DB23"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single" w:sz="4" w:space="0" w:color="auto"/>
              <w:right w:val="nil"/>
            </w:tcBorders>
            <w:shd w:val="clear" w:color="FFFFFF" w:fill="FFFFFF"/>
            <w:noWrap/>
            <w:vAlign w:val="bottom"/>
            <w:hideMark/>
          </w:tcPr>
          <w:p w14:paraId="4E84B32B" w14:textId="77777777" w:rsidR="00AB6753" w:rsidRDefault="00AB6753" w:rsidP="002D1EA4">
            <w:pPr>
              <w:spacing w:after="0"/>
              <w:jc w:val="right"/>
              <w:rPr>
                <w:rFonts w:cs="Arial"/>
                <w:b/>
                <w:bCs/>
                <w:sz w:val="18"/>
                <w:szCs w:val="18"/>
              </w:rPr>
            </w:pPr>
            <w:r>
              <w:rPr>
                <w:rFonts w:cs="Arial"/>
                <w:b/>
                <w:bCs/>
                <w:sz w:val="18"/>
                <w:szCs w:val="18"/>
              </w:rPr>
              <w:t>668,472</w:t>
            </w:r>
          </w:p>
        </w:tc>
        <w:tc>
          <w:tcPr>
            <w:tcW w:w="236" w:type="dxa"/>
            <w:tcBorders>
              <w:top w:val="nil"/>
              <w:left w:val="nil"/>
              <w:bottom w:val="nil"/>
              <w:right w:val="nil"/>
            </w:tcBorders>
            <w:shd w:val="clear" w:color="FFFFFF" w:fill="FFFFFF"/>
            <w:noWrap/>
            <w:vAlign w:val="bottom"/>
            <w:hideMark/>
          </w:tcPr>
          <w:p w14:paraId="53DA5036"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single" w:sz="4" w:space="0" w:color="auto"/>
              <w:right w:val="nil"/>
            </w:tcBorders>
            <w:shd w:val="clear" w:color="FFFFFF" w:fill="FFFFFF"/>
            <w:noWrap/>
            <w:vAlign w:val="bottom"/>
            <w:hideMark/>
          </w:tcPr>
          <w:p w14:paraId="79440E6A" w14:textId="77777777" w:rsidR="00AB6753" w:rsidRDefault="00AB6753" w:rsidP="002D1EA4">
            <w:pPr>
              <w:spacing w:after="0"/>
              <w:jc w:val="right"/>
              <w:rPr>
                <w:rFonts w:cs="Arial"/>
                <w:sz w:val="18"/>
                <w:szCs w:val="18"/>
              </w:rPr>
            </w:pPr>
            <w:r>
              <w:rPr>
                <w:rFonts w:cs="Arial"/>
                <w:sz w:val="18"/>
                <w:szCs w:val="18"/>
              </w:rPr>
              <w:t>166,196</w:t>
            </w:r>
          </w:p>
        </w:tc>
        <w:tc>
          <w:tcPr>
            <w:tcW w:w="236" w:type="dxa"/>
            <w:tcBorders>
              <w:top w:val="nil"/>
              <w:left w:val="nil"/>
              <w:bottom w:val="nil"/>
              <w:right w:val="nil"/>
            </w:tcBorders>
            <w:shd w:val="clear" w:color="FFFFFF" w:fill="FFFFFF"/>
            <w:noWrap/>
            <w:vAlign w:val="bottom"/>
            <w:hideMark/>
          </w:tcPr>
          <w:p w14:paraId="42EA00CD"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single" w:sz="4" w:space="0" w:color="auto"/>
              <w:right w:val="nil"/>
            </w:tcBorders>
            <w:shd w:val="clear" w:color="FFFFFF" w:fill="FFFFFF"/>
            <w:noWrap/>
            <w:vAlign w:val="bottom"/>
            <w:hideMark/>
          </w:tcPr>
          <w:p w14:paraId="262DA1E6" w14:textId="77777777" w:rsidR="00AB6753" w:rsidRDefault="00AB6753" w:rsidP="002D1EA4">
            <w:pPr>
              <w:spacing w:after="0"/>
              <w:jc w:val="right"/>
              <w:rPr>
                <w:rFonts w:cs="Arial"/>
                <w:sz w:val="18"/>
                <w:szCs w:val="18"/>
              </w:rPr>
            </w:pPr>
            <w:r>
              <w:rPr>
                <w:rFonts w:cs="Arial"/>
                <w:sz w:val="18"/>
                <w:szCs w:val="18"/>
              </w:rPr>
              <w:t>153,969</w:t>
            </w:r>
          </w:p>
        </w:tc>
      </w:tr>
      <w:tr w:rsidR="00AB6753" w14:paraId="5FDD0907" w14:textId="77777777" w:rsidTr="002D1EA4">
        <w:trPr>
          <w:trHeight w:val="255"/>
        </w:trPr>
        <w:tc>
          <w:tcPr>
            <w:tcW w:w="4378" w:type="dxa"/>
            <w:tcBorders>
              <w:top w:val="nil"/>
              <w:left w:val="nil"/>
              <w:bottom w:val="nil"/>
              <w:right w:val="nil"/>
            </w:tcBorders>
            <w:shd w:val="clear" w:color="FFFFFF" w:fill="FFFFFF"/>
            <w:vAlign w:val="bottom"/>
            <w:hideMark/>
          </w:tcPr>
          <w:p w14:paraId="478786F2" w14:textId="77777777" w:rsidR="00AB6753" w:rsidRDefault="00AB6753" w:rsidP="002D1EA4">
            <w:pPr>
              <w:spacing w:after="0"/>
              <w:rPr>
                <w:rFonts w:cs="Arial"/>
                <w:b/>
                <w:bCs/>
                <w:sz w:val="18"/>
                <w:szCs w:val="18"/>
              </w:rPr>
            </w:pPr>
            <w:r>
              <w:rPr>
                <w:rFonts w:cs="Arial"/>
                <w:b/>
                <w:bCs/>
                <w:sz w:val="18"/>
                <w:szCs w:val="18"/>
              </w:rPr>
              <w:t>Net assets</w:t>
            </w:r>
          </w:p>
        </w:tc>
        <w:tc>
          <w:tcPr>
            <w:tcW w:w="1152" w:type="dxa"/>
            <w:tcBorders>
              <w:top w:val="nil"/>
              <w:left w:val="nil"/>
              <w:bottom w:val="nil"/>
              <w:right w:val="nil"/>
            </w:tcBorders>
            <w:shd w:val="clear" w:color="FFFFFF" w:fill="FFFFFF"/>
            <w:noWrap/>
            <w:vAlign w:val="bottom"/>
            <w:hideMark/>
          </w:tcPr>
          <w:p w14:paraId="3550C157"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single" w:sz="4" w:space="0" w:color="auto"/>
              <w:right w:val="nil"/>
            </w:tcBorders>
            <w:shd w:val="clear" w:color="FFFFFF" w:fill="FFFFFF"/>
            <w:noWrap/>
            <w:vAlign w:val="bottom"/>
            <w:hideMark/>
          </w:tcPr>
          <w:p w14:paraId="7615EEC2" w14:textId="77777777" w:rsidR="00AB6753" w:rsidRDefault="00AB6753" w:rsidP="002D1EA4">
            <w:pPr>
              <w:spacing w:after="0"/>
              <w:jc w:val="right"/>
              <w:rPr>
                <w:rFonts w:cs="Arial"/>
                <w:b/>
                <w:bCs/>
                <w:sz w:val="18"/>
                <w:szCs w:val="18"/>
              </w:rPr>
            </w:pPr>
            <w:r>
              <w:rPr>
                <w:rFonts w:cs="Arial"/>
                <w:b/>
                <w:bCs/>
                <w:sz w:val="18"/>
                <w:szCs w:val="18"/>
              </w:rPr>
              <w:t>6,446</w:t>
            </w:r>
          </w:p>
        </w:tc>
        <w:tc>
          <w:tcPr>
            <w:tcW w:w="236" w:type="dxa"/>
            <w:tcBorders>
              <w:top w:val="nil"/>
              <w:left w:val="nil"/>
              <w:bottom w:val="nil"/>
              <w:right w:val="nil"/>
            </w:tcBorders>
            <w:shd w:val="clear" w:color="FFFFFF" w:fill="FFFFFF"/>
            <w:noWrap/>
            <w:vAlign w:val="bottom"/>
            <w:hideMark/>
          </w:tcPr>
          <w:p w14:paraId="4275859B"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single" w:sz="4" w:space="0" w:color="auto"/>
              <w:right w:val="nil"/>
            </w:tcBorders>
            <w:shd w:val="clear" w:color="FFFFFF" w:fill="FFFFFF"/>
            <w:noWrap/>
            <w:vAlign w:val="bottom"/>
            <w:hideMark/>
          </w:tcPr>
          <w:p w14:paraId="31937256" w14:textId="77777777" w:rsidR="00AB6753" w:rsidRDefault="00AB6753" w:rsidP="002D1EA4">
            <w:pPr>
              <w:spacing w:after="0"/>
              <w:jc w:val="right"/>
              <w:rPr>
                <w:rFonts w:cs="Arial"/>
                <w:sz w:val="18"/>
                <w:szCs w:val="18"/>
              </w:rPr>
            </w:pPr>
            <w:r>
              <w:rPr>
                <w:rFonts w:cs="Arial"/>
                <w:sz w:val="18"/>
                <w:szCs w:val="18"/>
              </w:rPr>
              <w:t>163,167</w:t>
            </w:r>
          </w:p>
        </w:tc>
        <w:tc>
          <w:tcPr>
            <w:tcW w:w="236" w:type="dxa"/>
            <w:tcBorders>
              <w:top w:val="nil"/>
              <w:left w:val="nil"/>
              <w:bottom w:val="nil"/>
              <w:right w:val="nil"/>
            </w:tcBorders>
            <w:shd w:val="clear" w:color="FFFFFF" w:fill="FFFFFF"/>
            <w:noWrap/>
            <w:vAlign w:val="bottom"/>
            <w:hideMark/>
          </w:tcPr>
          <w:p w14:paraId="00961DB8"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single" w:sz="4" w:space="0" w:color="auto"/>
              <w:right w:val="nil"/>
            </w:tcBorders>
            <w:shd w:val="clear" w:color="FFFFFF" w:fill="FFFFFF"/>
            <w:noWrap/>
            <w:vAlign w:val="bottom"/>
            <w:hideMark/>
          </w:tcPr>
          <w:p w14:paraId="19FED278" w14:textId="77777777" w:rsidR="00AB6753" w:rsidRDefault="00AB6753" w:rsidP="002D1EA4">
            <w:pPr>
              <w:spacing w:after="0"/>
              <w:jc w:val="right"/>
              <w:rPr>
                <w:rFonts w:cs="Arial"/>
                <w:sz w:val="18"/>
                <w:szCs w:val="18"/>
              </w:rPr>
            </w:pPr>
            <w:r>
              <w:rPr>
                <w:rFonts w:cs="Arial"/>
                <w:sz w:val="18"/>
                <w:szCs w:val="18"/>
              </w:rPr>
              <w:t>100,047</w:t>
            </w:r>
          </w:p>
        </w:tc>
      </w:tr>
      <w:tr w:rsidR="00AB6753" w14:paraId="34285B75" w14:textId="77777777" w:rsidTr="002D1EA4">
        <w:trPr>
          <w:trHeight w:val="255"/>
        </w:trPr>
        <w:tc>
          <w:tcPr>
            <w:tcW w:w="4378" w:type="dxa"/>
            <w:tcBorders>
              <w:top w:val="nil"/>
              <w:left w:val="nil"/>
              <w:bottom w:val="nil"/>
              <w:right w:val="nil"/>
            </w:tcBorders>
            <w:shd w:val="clear" w:color="FFFFFF" w:fill="FFFFFF"/>
            <w:vAlign w:val="bottom"/>
            <w:hideMark/>
          </w:tcPr>
          <w:p w14:paraId="3DB0492B" w14:textId="77777777" w:rsidR="00AB6753" w:rsidRDefault="00AB6753" w:rsidP="002D1EA4">
            <w:pPr>
              <w:spacing w:after="0"/>
              <w:rPr>
                <w:rFonts w:cs="Arial"/>
                <w:sz w:val="18"/>
                <w:szCs w:val="18"/>
              </w:rPr>
            </w:pPr>
            <w:r>
              <w:rPr>
                <w:rFonts w:cs="Arial"/>
                <w:sz w:val="18"/>
                <w:szCs w:val="18"/>
              </w:rPr>
              <w:t> </w:t>
            </w:r>
          </w:p>
        </w:tc>
        <w:tc>
          <w:tcPr>
            <w:tcW w:w="1152" w:type="dxa"/>
            <w:tcBorders>
              <w:top w:val="nil"/>
              <w:left w:val="nil"/>
              <w:bottom w:val="nil"/>
              <w:right w:val="nil"/>
            </w:tcBorders>
            <w:shd w:val="clear" w:color="FFFFFF" w:fill="FFFFFF"/>
            <w:noWrap/>
            <w:vAlign w:val="bottom"/>
            <w:hideMark/>
          </w:tcPr>
          <w:p w14:paraId="2EF3BCE8"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57A2D24B" w14:textId="77777777" w:rsidR="00AB6753" w:rsidRDefault="00AB6753" w:rsidP="002D1EA4">
            <w:pPr>
              <w:spacing w:after="0"/>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1C6A6210"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3840B8FC" w14:textId="77777777" w:rsidR="00AB6753" w:rsidRDefault="00AB6753" w:rsidP="002D1EA4">
            <w:pPr>
              <w:spacing w:after="0"/>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260565BA"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381C63AB" w14:textId="77777777" w:rsidR="00AB6753" w:rsidRDefault="00AB6753" w:rsidP="002D1EA4">
            <w:pPr>
              <w:spacing w:after="0"/>
              <w:jc w:val="right"/>
              <w:rPr>
                <w:rFonts w:cs="Arial"/>
                <w:sz w:val="18"/>
                <w:szCs w:val="18"/>
              </w:rPr>
            </w:pPr>
            <w:r>
              <w:rPr>
                <w:rFonts w:cs="Arial"/>
                <w:sz w:val="18"/>
                <w:szCs w:val="18"/>
              </w:rPr>
              <w:t> </w:t>
            </w:r>
          </w:p>
        </w:tc>
      </w:tr>
      <w:tr w:rsidR="00AB6753" w14:paraId="1A2F7EE7" w14:textId="77777777" w:rsidTr="002D1EA4">
        <w:trPr>
          <w:trHeight w:val="255"/>
        </w:trPr>
        <w:tc>
          <w:tcPr>
            <w:tcW w:w="4378" w:type="dxa"/>
            <w:tcBorders>
              <w:top w:val="nil"/>
              <w:left w:val="nil"/>
              <w:bottom w:val="nil"/>
              <w:right w:val="nil"/>
            </w:tcBorders>
            <w:shd w:val="clear" w:color="FFFFFF" w:fill="FFFFFF"/>
            <w:vAlign w:val="bottom"/>
            <w:hideMark/>
          </w:tcPr>
          <w:p w14:paraId="0B496429" w14:textId="77777777" w:rsidR="00AB6753" w:rsidRDefault="00AB6753" w:rsidP="002D1EA4">
            <w:pPr>
              <w:spacing w:after="0"/>
              <w:rPr>
                <w:rFonts w:cs="Arial"/>
                <w:b/>
                <w:bCs/>
                <w:sz w:val="18"/>
                <w:szCs w:val="18"/>
              </w:rPr>
            </w:pPr>
            <w:r>
              <w:rPr>
                <w:rFonts w:cs="Arial"/>
                <w:b/>
                <w:bCs/>
                <w:sz w:val="18"/>
                <w:szCs w:val="18"/>
              </w:rPr>
              <w:t>EQUITY</w:t>
            </w:r>
          </w:p>
        </w:tc>
        <w:tc>
          <w:tcPr>
            <w:tcW w:w="1152" w:type="dxa"/>
            <w:tcBorders>
              <w:top w:val="nil"/>
              <w:left w:val="nil"/>
              <w:bottom w:val="nil"/>
              <w:right w:val="nil"/>
            </w:tcBorders>
            <w:shd w:val="clear" w:color="FFFFFF" w:fill="FFFFFF"/>
            <w:noWrap/>
            <w:vAlign w:val="bottom"/>
            <w:hideMark/>
          </w:tcPr>
          <w:p w14:paraId="19942568"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636BB636" w14:textId="77777777" w:rsidR="00AB6753" w:rsidRDefault="00AB6753" w:rsidP="002D1EA4">
            <w:pPr>
              <w:spacing w:after="0"/>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363A0EA2"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6C502E99" w14:textId="77777777" w:rsidR="00AB6753" w:rsidRDefault="00AB6753" w:rsidP="002D1EA4">
            <w:pPr>
              <w:spacing w:after="0"/>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5B1883F0"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568A7ECE" w14:textId="77777777" w:rsidR="00AB6753" w:rsidRDefault="00AB6753" w:rsidP="002D1EA4">
            <w:pPr>
              <w:spacing w:after="0"/>
              <w:jc w:val="right"/>
              <w:rPr>
                <w:rFonts w:cs="Arial"/>
                <w:sz w:val="18"/>
                <w:szCs w:val="18"/>
              </w:rPr>
            </w:pPr>
            <w:r>
              <w:rPr>
                <w:rFonts w:cs="Arial"/>
                <w:sz w:val="18"/>
                <w:szCs w:val="18"/>
              </w:rPr>
              <w:t> </w:t>
            </w:r>
          </w:p>
        </w:tc>
      </w:tr>
      <w:tr w:rsidR="00AB6753" w14:paraId="7D781533" w14:textId="77777777" w:rsidTr="002D1EA4">
        <w:trPr>
          <w:trHeight w:val="255"/>
        </w:trPr>
        <w:tc>
          <w:tcPr>
            <w:tcW w:w="4378" w:type="dxa"/>
            <w:tcBorders>
              <w:top w:val="nil"/>
              <w:left w:val="nil"/>
              <w:bottom w:val="nil"/>
              <w:right w:val="nil"/>
            </w:tcBorders>
            <w:shd w:val="clear" w:color="FFFFFF" w:fill="FFFFFF"/>
            <w:vAlign w:val="bottom"/>
            <w:hideMark/>
          </w:tcPr>
          <w:p w14:paraId="2B242422" w14:textId="77777777" w:rsidR="00AB6753" w:rsidRDefault="00AB6753" w:rsidP="002D1EA4">
            <w:pPr>
              <w:spacing w:after="0"/>
              <w:rPr>
                <w:rFonts w:cs="Arial"/>
                <w:sz w:val="18"/>
                <w:szCs w:val="18"/>
              </w:rPr>
            </w:pPr>
            <w:r>
              <w:rPr>
                <w:rFonts w:cs="Arial"/>
                <w:sz w:val="18"/>
                <w:szCs w:val="18"/>
              </w:rPr>
              <w:t>Contributed equity</w:t>
            </w:r>
          </w:p>
        </w:tc>
        <w:tc>
          <w:tcPr>
            <w:tcW w:w="1152" w:type="dxa"/>
            <w:tcBorders>
              <w:top w:val="nil"/>
              <w:left w:val="nil"/>
              <w:bottom w:val="nil"/>
              <w:right w:val="nil"/>
            </w:tcBorders>
            <w:shd w:val="clear" w:color="FFFFFF" w:fill="FFFFFF"/>
            <w:noWrap/>
            <w:vAlign w:val="bottom"/>
            <w:hideMark/>
          </w:tcPr>
          <w:p w14:paraId="248AF961"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028DCD97" w14:textId="77777777" w:rsidR="00AB6753" w:rsidRDefault="00AB6753" w:rsidP="002D1EA4">
            <w:pPr>
              <w:spacing w:after="0"/>
              <w:jc w:val="right"/>
              <w:rPr>
                <w:rFonts w:cs="Arial"/>
                <w:b/>
                <w:bCs/>
                <w:sz w:val="18"/>
                <w:szCs w:val="18"/>
              </w:rPr>
            </w:pPr>
            <w:r>
              <w:rPr>
                <w:rFonts w:cs="Arial"/>
                <w:b/>
                <w:bCs/>
                <w:sz w:val="18"/>
                <w:szCs w:val="18"/>
              </w:rPr>
              <w:t>331,165</w:t>
            </w:r>
          </w:p>
        </w:tc>
        <w:tc>
          <w:tcPr>
            <w:tcW w:w="236" w:type="dxa"/>
            <w:tcBorders>
              <w:top w:val="nil"/>
              <w:left w:val="nil"/>
              <w:bottom w:val="nil"/>
              <w:right w:val="nil"/>
            </w:tcBorders>
            <w:shd w:val="clear" w:color="FFFFFF" w:fill="FFFFFF"/>
            <w:noWrap/>
            <w:vAlign w:val="bottom"/>
            <w:hideMark/>
          </w:tcPr>
          <w:p w14:paraId="1514DB0C"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5C240FE3" w14:textId="77777777" w:rsidR="00AB6753" w:rsidRDefault="00AB6753" w:rsidP="002D1EA4">
            <w:pPr>
              <w:spacing w:after="0"/>
              <w:jc w:val="right"/>
              <w:rPr>
                <w:rFonts w:cs="Arial"/>
                <w:sz w:val="18"/>
                <w:szCs w:val="18"/>
              </w:rPr>
            </w:pPr>
            <w:r>
              <w:rPr>
                <w:rFonts w:cs="Arial"/>
                <w:sz w:val="18"/>
                <w:szCs w:val="18"/>
              </w:rPr>
              <w:t>467,376</w:t>
            </w:r>
          </w:p>
        </w:tc>
        <w:tc>
          <w:tcPr>
            <w:tcW w:w="236" w:type="dxa"/>
            <w:tcBorders>
              <w:top w:val="nil"/>
              <w:left w:val="nil"/>
              <w:bottom w:val="nil"/>
              <w:right w:val="nil"/>
            </w:tcBorders>
            <w:shd w:val="clear" w:color="FFFFFF" w:fill="FFFFFF"/>
            <w:noWrap/>
            <w:vAlign w:val="bottom"/>
            <w:hideMark/>
          </w:tcPr>
          <w:p w14:paraId="6E824E9B"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180E73AB" w14:textId="77777777" w:rsidR="00AB6753" w:rsidRDefault="00AB6753" w:rsidP="002D1EA4">
            <w:pPr>
              <w:spacing w:after="0"/>
              <w:jc w:val="right"/>
              <w:rPr>
                <w:rFonts w:cs="Arial"/>
                <w:sz w:val="18"/>
                <w:szCs w:val="18"/>
              </w:rPr>
            </w:pPr>
            <w:r>
              <w:rPr>
                <w:rFonts w:cs="Arial"/>
                <w:sz w:val="18"/>
                <w:szCs w:val="18"/>
              </w:rPr>
              <w:t xml:space="preserve">500,849 </w:t>
            </w:r>
          </w:p>
        </w:tc>
      </w:tr>
      <w:tr w:rsidR="00AB6753" w14:paraId="0220BBDF" w14:textId="77777777" w:rsidTr="002D1EA4">
        <w:trPr>
          <w:trHeight w:val="255"/>
        </w:trPr>
        <w:tc>
          <w:tcPr>
            <w:tcW w:w="4378" w:type="dxa"/>
            <w:tcBorders>
              <w:top w:val="nil"/>
              <w:left w:val="nil"/>
              <w:bottom w:val="nil"/>
              <w:right w:val="nil"/>
            </w:tcBorders>
            <w:shd w:val="clear" w:color="FFFFFF" w:fill="FFFFFF"/>
            <w:vAlign w:val="bottom"/>
            <w:hideMark/>
          </w:tcPr>
          <w:p w14:paraId="02D23A92" w14:textId="77777777" w:rsidR="00AB6753" w:rsidRDefault="00AB6753" w:rsidP="002D1EA4">
            <w:pPr>
              <w:spacing w:after="0"/>
              <w:rPr>
                <w:rFonts w:cs="Arial"/>
                <w:sz w:val="18"/>
                <w:szCs w:val="18"/>
              </w:rPr>
            </w:pPr>
            <w:r>
              <w:rPr>
                <w:rFonts w:cs="Arial"/>
                <w:sz w:val="18"/>
                <w:szCs w:val="18"/>
              </w:rPr>
              <w:t>Asset revaluation reserve</w:t>
            </w:r>
          </w:p>
        </w:tc>
        <w:tc>
          <w:tcPr>
            <w:tcW w:w="1152" w:type="dxa"/>
            <w:tcBorders>
              <w:top w:val="nil"/>
              <w:left w:val="nil"/>
              <w:bottom w:val="nil"/>
              <w:right w:val="nil"/>
            </w:tcBorders>
            <w:shd w:val="clear" w:color="FFFFFF" w:fill="FFFFFF"/>
            <w:noWrap/>
            <w:vAlign w:val="bottom"/>
            <w:hideMark/>
          </w:tcPr>
          <w:p w14:paraId="561D9C06"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48F779BC" w14:textId="77777777" w:rsidR="00AB6753" w:rsidRDefault="00AB6753" w:rsidP="002D1EA4">
            <w:pPr>
              <w:spacing w:after="0"/>
              <w:jc w:val="right"/>
              <w:rPr>
                <w:rFonts w:cs="Arial"/>
                <w:b/>
                <w:bCs/>
                <w:sz w:val="18"/>
                <w:szCs w:val="18"/>
              </w:rPr>
            </w:pPr>
            <w:r>
              <w:rPr>
                <w:rFonts w:cs="Arial"/>
                <w:b/>
                <w:bCs/>
                <w:sz w:val="18"/>
                <w:szCs w:val="18"/>
              </w:rPr>
              <w:t>75,605</w:t>
            </w:r>
          </w:p>
        </w:tc>
        <w:tc>
          <w:tcPr>
            <w:tcW w:w="236" w:type="dxa"/>
            <w:tcBorders>
              <w:top w:val="nil"/>
              <w:left w:val="nil"/>
              <w:bottom w:val="nil"/>
              <w:right w:val="nil"/>
            </w:tcBorders>
            <w:shd w:val="clear" w:color="FFFFFF" w:fill="FFFFFF"/>
            <w:noWrap/>
            <w:vAlign w:val="bottom"/>
            <w:hideMark/>
          </w:tcPr>
          <w:p w14:paraId="5905ECD3"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535B3816" w14:textId="77777777" w:rsidR="00AB6753" w:rsidRDefault="00AB6753" w:rsidP="002D1EA4">
            <w:pPr>
              <w:spacing w:after="0"/>
              <w:jc w:val="right"/>
              <w:rPr>
                <w:rFonts w:cs="Arial"/>
                <w:sz w:val="18"/>
                <w:szCs w:val="18"/>
              </w:rPr>
            </w:pPr>
            <w:r>
              <w:rPr>
                <w:rFonts w:cs="Arial"/>
                <w:sz w:val="18"/>
                <w:szCs w:val="18"/>
              </w:rPr>
              <w:t>75,613</w:t>
            </w:r>
          </w:p>
        </w:tc>
        <w:tc>
          <w:tcPr>
            <w:tcW w:w="236" w:type="dxa"/>
            <w:tcBorders>
              <w:top w:val="nil"/>
              <w:left w:val="nil"/>
              <w:bottom w:val="nil"/>
              <w:right w:val="nil"/>
            </w:tcBorders>
            <w:shd w:val="clear" w:color="FFFFFF" w:fill="FFFFFF"/>
            <w:noWrap/>
            <w:vAlign w:val="bottom"/>
            <w:hideMark/>
          </w:tcPr>
          <w:p w14:paraId="6D83913C"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6B67A48E" w14:textId="77777777" w:rsidR="00AB6753" w:rsidRDefault="00AB6753" w:rsidP="002D1EA4">
            <w:pPr>
              <w:spacing w:after="0"/>
              <w:jc w:val="right"/>
              <w:rPr>
                <w:rFonts w:cs="Arial"/>
                <w:sz w:val="18"/>
                <w:szCs w:val="18"/>
              </w:rPr>
            </w:pPr>
            <w:r>
              <w:rPr>
                <w:rFonts w:cs="Arial"/>
                <w:sz w:val="18"/>
                <w:szCs w:val="18"/>
              </w:rPr>
              <w:t xml:space="preserve">72,393 </w:t>
            </w:r>
          </w:p>
        </w:tc>
      </w:tr>
      <w:tr w:rsidR="00AB6753" w14:paraId="707FD1A8" w14:textId="77777777" w:rsidTr="002D1EA4">
        <w:trPr>
          <w:trHeight w:val="255"/>
        </w:trPr>
        <w:tc>
          <w:tcPr>
            <w:tcW w:w="4378" w:type="dxa"/>
            <w:tcBorders>
              <w:top w:val="nil"/>
              <w:left w:val="nil"/>
              <w:bottom w:val="nil"/>
              <w:right w:val="nil"/>
            </w:tcBorders>
            <w:shd w:val="clear" w:color="FFFFFF" w:fill="FFFFFF"/>
            <w:vAlign w:val="bottom"/>
            <w:hideMark/>
          </w:tcPr>
          <w:p w14:paraId="3CD41D39" w14:textId="77777777" w:rsidR="00AB6753" w:rsidRDefault="00AB6753" w:rsidP="002D1EA4">
            <w:pPr>
              <w:spacing w:after="0"/>
              <w:rPr>
                <w:rFonts w:cs="Arial"/>
                <w:sz w:val="18"/>
                <w:szCs w:val="18"/>
              </w:rPr>
            </w:pPr>
            <w:r>
              <w:rPr>
                <w:rFonts w:cs="Arial"/>
                <w:sz w:val="18"/>
                <w:szCs w:val="18"/>
              </w:rPr>
              <w:t>Accumulated deficit</w:t>
            </w:r>
          </w:p>
        </w:tc>
        <w:tc>
          <w:tcPr>
            <w:tcW w:w="1152" w:type="dxa"/>
            <w:tcBorders>
              <w:top w:val="nil"/>
              <w:left w:val="nil"/>
              <w:bottom w:val="nil"/>
              <w:right w:val="nil"/>
            </w:tcBorders>
            <w:shd w:val="clear" w:color="FFFFFF" w:fill="FFFFFF"/>
            <w:noWrap/>
            <w:vAlign w:val="bottom"/>
            <w:hideMark/>
          </w:tcPr>
          <w:p w14:paraId="3071EAED"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nil"/>
              <w:left w:val="nil"/>
              <w:bottom w:val="nil"/>
              <w:right w:val="nil"/>
            </w:tcBorders>
            <w:shd w:val="clear" w:color="FFFFFF" w:fill="FFFFFF"/>
            <w:noWrap/>
            <w:vAlign w:val="bottom"/>
            <w:hideMark/>
          </w:tcPr>
          <w:p w14:paraId="1D4E6110" w14:textId="77777777" w:rsidR="00AB6753" w:rsidRDefault="00AB6753" w:rsidP="002D1EA4">
            <w:pPr>
              <w:spacing w:after="0"/>
              <w:jc w:val="right"/>
              <w:rPr>
                <w:rFonts w:cs="Arial"/>
                <w:b/>
                <w:bCs/>
                <w:sz w:val="18"/>
                <w:szCs w:val="18"/>
              </w:rPr>
            </w:pPr>
            <w:r>
              <w:rPr>
                <w:rFonts w:cs="Arial"/>
                <w:b/>
                <w:bCs/>
                <w:sz w:val="18"/>
                <w:szCs w:val="18"/>
              </w:rPr>
              <w:t>(400,324)</w:t>
            </w:r>
          </w:p>
        </w:tc>
        <w:tc>
          <w:tcPr>
            <w:tcW w:w="236" w:type="dxa"/>
            <w:tcBorders>
              <w:top w:val="nil"/>
              <w:left w:val="nil"/>
              <w:bottom w:val="nil"/>
              <w:right w:val="nil"/>
            </w:tcBorders>
            <w:shd w:val="clear" w:color="FFFFFF" w:fill="FFFFFF"/>
            <w:noWrap/>
            <w:vAlign w:val="bottom"/>
            <w:hideMark/>
          </w:tcPr>
          <w:p w14:paraId="62EE69EB" w14:textId="77777777" w:rsidR="00AB6753" w:rsidRDefault="00AB6753" w:rsidP="002D1EA4">
            <w:pPr>
              <w:spacing w:after="0"/>
              <w:rPr>
                <w:rFonts w:cs="Arial"/>
                <w:sz w:val="18"/>
                <w:szCs w:val="18"/>
              </w:rPr>
            </w:pPr>
            <w:r>
              <w:rPr>
                <w:rFonts w:cs="Arial"/>
                <w:sz w:val="18"/>
                <w:szCs w:val="18"/>
              </w:rPr>
              <w:t> </w:t>
            </w:r>
          </w:p>
        </w:tc>
        <w:tc>
          <w:tcPr>
            <w:tcW w:w="1138" w:type="dxa"/>
            <w:tcBorders>
              <w:top w:val="nil"/>
              <w:left w:val="nil"/>
              <w:bottom w:val="nil"/>
              <w:right w:val="nil"/>
            </w:tcBorders>
            <w:shd w:val="clear" w:color="FFFFFF" w:fill="FFFFFF"/>
            <w:noWrap/>
            <w:vAlign w:val="bottom"/>
            <w:hideMark/>
          </w:tcPr>
          <w:p w14:paraId="6F6244AB" w14:textId="77777777" w:rsidR="00AB6753" w:rsidRDefault="00AB6753" w:rsidP="002D1EA4">
            <w:pPr>
              <w:spacing w:after="0"/>
              <w:jc w:val="right"/>
              <w:rPr>
                <w:rFonts w:cs="Arial"/>
                <w:sz w:val="18"/>
                <w:szCs w:val="18"/>
              </w:rPr>
            </w:pPr>
            <w:r>
              <w:rPr>
                <w:rFonts w:cs="Arial"/>
                <w:sz w:val="18"/>
                <w:szCs w:val="18"/>
              </w:rPr>
              <w:t>(379,822)</w:t>
            </w:r>
          </w:p>
        </w:tc>
        <w:tc>
          <w:tcPr>
            <w:tcW w:w="236" w:type="dxa"/>
            <w:tcBorders>
              <w:top w:val="nil"/>
              <w:left w:val="nil"/>
              <w:bottom w:val="nil"/>
              <w:right w:val="nil"/>
            </w:tcBorders>
            <w:shd w:val="clear" w:color="FFFFFF" w:fill="FFFFFF"/>
            <w:noWrap/>
            <w:vAlign w:val="bottom"/>
            <w:hideMark/>
          </w:tcPr>
          <w:p w14:paraId="27F14E55" w14:textId="77777777" w:rsidR="00AB6753" w:rsidRDefault="00AB6753" w:rsidP="002D1EA4">
            <w:pPr>
              <w:spacing w:after="0"/>
              <w:rPr>
                <w:rFonts w:cs="Arial"/>
                <w:sz w:val="18"/>
                <w:szCs w:val="18"/>
              </w:rPr>
            </w:pPr>
            <w:r>
              <w:rPr>
                <w:rFonts w:cs="Arial"/>
                <w:sz w:val="18"/>
                <w:szCs w:val="18"/>
              </w:rPr>
              <w:t> </w:t>
            </w:r>
          </w:p>
        </w:tc>
        <w:tc>
          <w:tcPr>
            <w:tcW w:w="1032" w:type="dxa"/>
            <w:tcBorders>
              <w:top w:val="nil"/>
              <w:left w:val="nil"/>
              <w:bottom w:val="nil"/>
              <w:right w:val="nil"/>
            </w:tcBorders>
            <w:shd w:val="clear" w:color="FFFFFF" w:fill="FFFFFF"/>
            <w:noWrap/>
            <w:vAlign w:val="bottom"/>
            <w:hideMark/>
          </w:tcPr>
          <w:p w14:paraId="6F56D03E" w14:textId="77777777" w:rsidR="00AB6753" w:rsidRDefault="00AB6753" w:rsidP="002D1EA4">
            <w:pPr>
              <w:spacing w:after="0"/>
              <w:jc w:val="right"/>
              <w:rPr>
                <w:rFonts w:cs="Arial"/>
                <w:sz w:val="18"/>
                <w:szCs w:val="18"/>
              </w:rPr>
            </w:pPr>
            <w:r>
              <w:rPr>
                <w:rFonts w:cs="Arial"/>
                <w:sz w:val="18"/>
                <w:szCs w:val="18"/>
              </w:rPr>
              <w:t>(473,195)</w:t>
            </w:r>
          </w:p>
        </w:tc>
      </w:tr>
      <w:tr w:rsidR="00AB6753" w14:paraId="755C02C5" w14:textId="77777777" w:rsidTr="002D1EA4">
        <w:trPr>
          <w:trHeight w:val="255"/>
        </w:trPr>
        <w:tc>
          <w:tcPr>
            <w:tcW w:w="4378" w:type="dxa"/>
            <w:tcBorders>
              <w:top w:val="nil"/>
              <w:left w:val="nil"/>
              <w:bottom w:val="nil"/>
              <w:right w:val="nil"/>
            </w:tcBorders>
            <w:shd w:val="clear" w:color="FFFFFF" w:fill="FFFFFF"/>
            <w:vAlign w:val="bottom"/>
            <w:hideMark/>
          </w:tcPr>
          <w:p w14:paraId="729B130A" w14:textId="77777777" w:rsidR="00AB6753" w:rsidRDefault="00AB6753" w:rsidP="002D1EA4">
            <w:pPr>
              <w:spacing w:after="0"/>
              <w:rPr>
                <w:rFonts w:cs="Arial"/>
                <w:b/>
                <w:bCs/>
                <w:sz w:val="18"/>
                <w:szCs w:val="18"/>
              </w:rPr>
            </w:pPr>
            <w:r>
              <w:rPr>
                <w:rFonts w:cs="Arial"/>
                <w:b/>
                <w:bCs/>
                <w:sz w:val="18"/>
                <w:szCs w:val="18"/>
              </w:rPr>
              <w:t>Total equity</w:t>
            </w:r>
          </w:p>
        </w:tc>
        <w:tc>
          <w:tcPr>
            <w:tcW w:w="1152" w:type="dxa"/>
            <w:tcBorders>
              <w:top w:val="nil"/>
              <w:left w:val="nil"/>
              <w:bottom w:val="nil"/>
              <w:right w:val="nil"/>
            </w:tcBorders>
            <w:shd w:val="clear" w:color="FFFFFF" w:fill="FFFFFF"/>
            <w:noWrap/>
            <w:vAlign w:val="bottom"/>
            <w:hideMark/>
          </w:tcPr>
          <w:p w14:paraId="42364DF6" w14:textId="77777777" w:rsidR="00AB6753" w:rsidRDefault="00AB6753" w:rsidP="002D1EA4">
            <w:pPr>
              <w:spacing w:after="0"/>
              <w:jc w:val="center"/>
              <w:rPr>
                <w:rFonts w:cs="Arial"/>
                <w:sz w:val="18"/>
                <w:szCs w:val="18"/>
              </w:rPr>
            </w:pPr>
            <w:r>
              <w:rPr>
                <w:rFonts w:cs="Arial"/>
                <w:sz w:val="18"/>
                <w:szCs w:val="18"/>
              </w:rPr>
              <w:t> </w:t>
            </w:r>
          </w:p>
        </w:tc>
        <w:tc>
          <w:tcPr>
            <w:tcW w:w="1143" w:type="dxa"/>
            <w:tcBorders>
              <w:top w:val="single" w:sz="4" w:space="0" w:color="auto"/>
              <w:left w:val="nil"/>
              <w:bottom w:val="single" w:sz="4" w:space="0" w:color="auto"/>
              <w:right w:val="nil"/>
            </w:tcBorders>
            <w:shd w:val="clear" w:color="FFFFFF" w:fill="FFFFFF"/>
            <w:noWrap/>
            <w:vAlign w:val="bottom"/>
            <w:hideMark/>
          </w:tcPr>
          <w:p w14:paraId="38599C6D" w14:textId="77777777" w:rsidR="00AB6753" w:rsidRDefault="00AB6753" w:rsidP="002D1EA4">
            <w:pPr>
              <w:spacing w:after="0"/>
              <w:jc w:val="right"/>
              <w:rPr>
                <w:rFonts w:cs="Arial"/>
                <w:b/>
                <w:bCs/>
                <w:sz w:val="18"/>
                <w:szCs w:val="18"/>
              </w:rPr>
            </w:pPr>
            <w:r>
              <w:rPr>
                <w:rFonts w:cs="Arial"/>
                <w:b/>
                <w:bCs/>
                <w:sz w:val="18"/>
                <w:szCs w:val="18"/>
              </w:rPr>
              <w:t>6,446</w:t>
            </w:r>
          </w:p>
        </w:tc>
        <w:tc>
          <w:tcPr>
            <w:tcW w:w="236" w:type="dxa"/>
            <w:tcBorders>
              <w:top w:val="nil"/>
              <w:left w:val="nil"/>
              <w:bottom w:val="nil"/>
              <w:right w:val="nil"/>
            </w:tcBorders>
            <w:shd w:val="clear" w:color="FFFFFF" w:fill="FFFFFF"/>
            <w:noWrap/>
            <w:vAlign w:val="bottom"/>
            <w:hideMark/>
          </w:tcPr>
          <w:p w14:paraId="60D2D511" w14:textId="77777777" w:rsidR="00AB6753" w:rsidRDefault="00AB6753" w:rsidP="002D1EA4">
            <w:pPr>
              <w:spacing w:after="0"/>
              <w:rPr>
                <w:rFonts w:cs="Arial"/>
                <w:sz w:val="18"/>
                <w:szCs w:val="18"/>
              </w:rPr>
            </w:pPr>
            <w:r>
              <w:rPr>
                <w:rFonts w:cs="Arial"/>
                <w:sz w:val="18"/>
                <w:szCs w:val="18"/>
              </w:rPr>
              <w:t> </w:t>
            </w:r>
          </w:p>
        </w:tc>
        <w:tc>
          <w:tcPr>
            <w:tcW w:w="1138" w:type="dxa"/>
            <w:tcBorders>
              <w:top w:val="single" w:sz="4" w:space="0" w:color="auto"/>
              <w:left w:val="nil"/>
              <w:bottom w:val="single" w:sz="4" w:space="0" w:color="auto"/>
              <w:right w:val="nil"/>
            </w:tcBorders>
            <w:shd w:val="clear" w:color="FFFFFF" w:fill="FFFFFF"/>
            <w:noWrap/>
            <w:vAlign w:val="bottom"/>
            <w:hideMark/>
          </w:tcPr>
          <w:p w14:paraId="1344D45B" w14:textId="77777777" w:rsidR="00AB6753" w:rsidRDefault="00AB6753" w:rsidP="002D1EA4">
            <w:pPr>
              <w:spacing w:after="0"/>
              <w:jc w:val="right"/>
              <w:rPr>
                <w:rFonts w:cs="Arial"/>
                <w:sz w:val="18"/>
                <w:szCs w:val="18"/>
              </w:rPr>
            </w:pPr>
            <w:r>
              <w:rPr>
                <w:rFonts w:cs="Arial"/>
                <w:sz w:val="18"/>
                <w:szCs w:val="18"/>
              </w:rPr>
              <w:t>163,167</w:t>
            </w:r>
          </w:p>
        </w:tc>
        <w:tc>
          <w:tcPr>
            <w:tcW w:w="236" w:type="dxa"/>
            <w:tcBorders>
              <w:top w:val="nil"/>
              <w:left w:val="nil"/>
              <w:bottom w:val="nil"/>
              <w:right w:val="nil"/>
            </w:tcBorders>
            <w:shd w:val="clear" w:color="FFFFFF" w:fill="FFFFFF"/>
            <w:noWrap/>
            <w:vAlign w:val="bottom"/>
            <w:hideMark/>
          </w:tcPr>
          <w:p w14:paraId="52935F1B" w14:textId="77777777" w:rsidR="00AB6753" w:rsidRDefault="00AB6753" w:rsidP="002D1EA4">
            <w:pPr>
              <w:spacing w:after="0"/>
              <w:rPr>
                <w:rFonts w:cs="Arial"/>
                <w:sz w:val="18"/>
                <w:szCs w:val="18"/>
              </w:rPr>
            </w:pPr>
            <w:r>
              <w:rPr>
                <w:rFonts w:cs="Arial"/>
                <w:sz w:val="18"/>
                <w:szCs w:val="18"/>
              </w:rPr>
              <w:t> </w:t>
            </w:r>
          </w:p>
        </w:tc>
        <w:tc>
          <w:tcPr>
            <w:tcW w:w="1032" w:type="dxa"/>
            <w:tcBorders>
              <w:top w:val="single" w:sz="4" w:space="0" w:color="auto"/>
              <w:left w:val="nil"/>
              <w:bottom w:val="single" w:sz="4" w:space="0" w:color="auto"/>
              <w:right w:val="nil"/>
            </w:tcBorders>
            <w:shd w:val="clear" w:color="FFFFFF" w:fill="FFFFFF"/>
            <w:noWrap/>
            <w:vAlign w:val="bottom"/>
            <w:hideMark/>
          </w:tcPr>
          <w:p w14:paraId="7AB4638D" w14:textId="77777777" w:rsidR="00AB6753" w:rsidRDefault="00AB6753" w:rsidP="002D1EA4">
            <w:pPr>
              <w:spacing w:after="0"/>
              <w:jc w:val="right"/>
              <w:rPr>
                <w:rFonts w:cs="Arial"/>
                <w:sz w:val="18"/>
                <w:szCs w:val="18"/>
              </w:rPr>
            </w:pPr>
            <w:r>
              <w:rPr>
                <w:rFonts w:cs="Arial"/>
                <w:sz w:val="18"/>
                <w:szCs w:val="18"/>
              </w:rPr>
              <w:t>100,047</w:t>
            </w:r>
          </w:p>
        </w:tc>
      </w:tr>
    </w:tbl>
    <w:p w14:paraId="65E324CB" w14:textId="77777777" w:rsidR="00AB6753" w:rsidRDefault="00AB6753" w:rsidP="00AB6753"/>
    <w:p w14:paraId="560768DF" w14:textId="77777777" w:rsidR="00AB6753" w:rsidRDefault="00AB6753" w:rsidP="00AB6753">
      <w:pPr>
        <w:pStyle w:val="NotesText0"/>
      </w:pPr>
      <w:r>
        <w:t xml:space="preserve">The above statement should be read in conjunction with the accompanying notes. </w:t>
      </w:r>
    </w:p>
    <w:p w14:paraId="754F06C7" w14:textId="77777777" w:rsidR="00AB6753" w:rsidRDefault="00AB6753" w:rsidP="00AB6753">
      <w:pPr>
        <w:pStyle w:val="NotesText0"/>
      </w:pPr>
      <w:r>
        <w:t>Refer to Note 8.4A for explanations of major variances to the Original Budget.</w:t>
      </w:r>
    </w:p>
    <w:p w14:paraId="01AEA78D" w14:textId="26705DBD" w:rsidR="00AB6753" w:rsidRDefault="00AB6753" w:rsidP="002F776C">
      <w:pPr>
        <w:pStyle w:val="NotesText0"/>
        <w:spacing w:before="120"/>
        <w:ind w:left="142" w:hanging="142"/>
      </w:pPr>
      <w:r>
        <w:rPr>
          <w:vertAlign w:val="superscript"/>
        </w:rPr>
        <w:t xml:space="preserve">1. </w:t>
      </w:r>
      <w:r>
        <w:t>From 1 July 2019, r</w:t>
      </w:r>
      <w:r w:rsidRPr="00B05762">
        <w:t>ight-of-use assets are included in</w:t>
      </w:r>
      <w:r>
        <w:t xml:space="preserve"> the</w:t>
      </w:r>
      <w:r w:rsidRPr="00B05762">
        <w:t xml:space="preserve"> Leasehold improvements and Property,</w:t>
      </w:r>
      <w:r>
        <w:t xml:space="preserve"> plant and equipment line items and lease liabilities are included in the Leases line item in accordance with AASB 16 </w:t>
      </w:r>
      <w:r w:rsidRPr="00E817A8">
        <w:rPr>
          <w:i/>
        </w:rPr>
        <w:t>Leases</w:t>
      </w:r>
      <w:r>
        <w:t xml:space="preserve"> (refer to Overview).</w:t>
      </w:r>
    </w:p>
    <w:p w14:paraId="245E8180" w14:textId="77777777" w:rsidR="00AB6753" w:rsidRDefault="00AB6753" w:rsidP="00AB6753">
      <w:pPr>
        <w:sectPr w:rsidR="00AB6753" w:rsidSect="00C63A3F">
          <w:headerReference w:type="default" r:id="rId61"/>
          <w:pgSz w:w="11906" w:h="16838" w:code="9"/>
          <w:pgMar w:top="1134" w:right="1134" w:bottom="1134" w:left="1134" w:header="958" w:footer="737" w:gutter="0"/>
          <w:cols w:space="708"/>
          <w:docGrid w:linePitch="360"/>
        </w:sectPr>
      </w:pPr>
    </w:p>
    <w:tbl>
      <w:tblPr>
        <w:tblW w:w="9411" w:type="dxa"/>
        <w:tblInd w:w="80" w:type="dxa"/>
        <w:tblLayout w:type="fixed"/>
        <w:tblCellMar>
          <w:left w:w="6" w:type="dxa"/>
          <w:right w:w="6" w:type="dxa"/>
        </w:tblCellMar>
        <w:tblLook w:val="04A0" w:firstRow="1" w:lastRow="0" w:firstColumn="1" w:lastColumn="0" w:noHBand="0" w:noVBand="1"/>
        <w:tblCaption w:val="Statement of changes in equity"/>
        <w:tblDescription w:val="Statement of changes in equity"/>
      </w:tblPr>
      <w:tblGrid>
        <w:gridCol w:w="4075"/>
        <w:gridCol w:w="1235"/>
        <w:gridCol w:w="1236"/>
        <w:gridCol w:w="236"/>
        <w:gridCol w:w="1236"/>
        <w:gridCol w:w="236"/>
        <w:gridCol w:w="1157"/>
      </w:tblGrid>
      <w:tr w:rsidR="00AB6753" w14:paraId="7E0B16A3" w14:textId="77777777" w:rsidTr="002D1EA4">
        <w:trPr>
          <w:trHeight w:val="244"/>
        </w:trPr>
        <w:tc>
          <w:tcPr>
            <w:tcW w:w="4073" w:type="dxa"/>
            <w:tcBorders>
              <w:top w:val="single" w:sz="8" w:space="0" w:color="auto"/>
              <w:left w:val="nil"/>
              <w:bottom w:val="nil"/>
              <w:right w:val="nil"/>
            </w:tcBorders>
            <w:shd w:val="clear" w:color="FFFFFF" w:fill="FFFFFF"/>
            <w:noWrap/>
            <w:vAlign w:val="bottom"/>
            <w:hideMark/>
          </w:tcPr>
          <w:p w14:paraId="589AC499" w14:textId="77777777" w:rsidR="00AB6753" w:rsidRDefault="00AB6753" w:rsidP="002D1EA4">
            <w:pPr>
              <w:spacing w:after="0" w:line="240" w:lineRule="auto"/>
              <w:rPr>
                <w:rFonts w:cs="Arial"/>
                <w:sz w:val="18"/>
                <w:szCs w:val="18"/>
              </w:rPr>
            </w:pPr>
            <w:bookmarkStart w:id="56" w:name="Note_CEQTABLE1" w:colFirst="0" w:colLast="0"/>
            <w:r>
              <w:rPr>
                <w:rFonts w:cs="Arial"/>
                <w:sz w:val="18"/>
                <w:szCs w:val="18"/>
              </w:rPr>
              <w:lastRenderedPageBreak/>
              <w:t> </w:t>
            </w:r>
          </w:p>
        </w:tc>
        <w:tc>
          <w:tcPr>
            <w:tcW w:w="1234" w:type="dxa"/>
            <w:tcBorders>
              <w:top w:val="single" w:sz="8" w:space="0" w:color="auto"/>
              <w:left w:val="nil"/>
              <w:bottom w:val="nil"/>
              <w:right w:val="nil"/>
            </w:tcBorders>
            <w:shd w:val="clear" w:color="FFFFFF" w:fill="FFFFFF"/>
            <w:noWrap/>
            <w:vAlign w:val="bottom"/>
            <w:hideMark/>
          </w:tcPr>
          <w:p w14:paraId="4474FBCC" w14:textId="77777777" w:rsidR="00AB6753" w:rsidRDefault="00AB6753" w:rsidP="002D1EA4">
            <w:pPr>
              <w:spacing w:after="0" w:line="240" w:lineRule="auto"/>
              <w:rPr>
                <w:rFonts w:cs="Arial"/>
                <w:sz w:val="18"/>
                <w:szCs w:val="18"/>
              </w:rPr>
            </w:pPr>
            <w:r>
              <w:rPr>
                <w:rFonts w:cs="Arial"/>
                <w:sz w:val="18"/>
                <w:szCs w:val="18"/>
              </w:rPr>
              <w:t> </w:t>
            </w:r>
          </w:p>
        </w:tc>
        <w:tc>
          <w:tcPr>
            <w:tcW w:w="1235" w:type="dxa"/>
            <w:tcBorders>
              <w:top w:val="single" w:sz="8" w:space="0" w:color="auto"/>
              <w:left w:val="nil"/>
              <w:bottom w:val="nil"/>
              <w:right w:val="nil"/>
            </w:tcBorders>
            <w:shd w:val="clear" w:color="FFFFFF" w:fill="FFFFFF"/>
            <w:vAlign w:val="bottom"/>
            <w:hideMark/>
          </w:tcPr>
          <w:p w14:paraId="56EC8F42" w14:textId="77777777" w:rsidR="00AB6753" w:rsidRDefault="00AB6753" w:rsidP="002D1EA4">
            <w:pPr>
              <w:spacing w:after="0" w:line="240" w:lineRule="auto"/>
              <w:jc w:val="right"/>
              <w:rPr>
                <w:rFonts w:cs="Arial"/>
                <w:b/>
                <w:bCs/>
                <w:sz w:val="18"/>
                <w:szCs w:val="18"/>
              </w:rPr>
            </w:pPr>
            <w:r>
              <w:rPr>
                <w:rFonts w:cs="Arial"/>
                <w:b/>
                <w:bCs/>
                <w:sz w:val="18"/>
                <w:szCs w:val="18"/>
              </w:rPr>
              <w:t>2020</w:t>
            </w:r>
          </w:p>
        </w:tc>
        <w:tc>
          <w:tcPr>
            <w:tcW w:w="236" w:type="dxa"/>
            <w:tcBorders>
              <w:top w:val="single" w:sz="8" w:space="0" w:color="auto"/>
              <w:left w:val="nil"/>
              <w:bottom w:val="nil"/>
              <w:right w:val="nil"/>
            </w:tcBorders>
            <w:shd w:val="clear" w:color="FFFFFF" w:fill="FFFFFF"/>
            <w:vAlign w:val="bottom"/>
            <w:hideMark/>
          </w:tcPr>
          <w:p w14:paraId="4C40C220"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235" w:type="dxa"/>
            <w:tcBorders>
              <w:top w:val="single" w:sz="8" w:space="0" w:color="auto"/>
              <w:left w:val="nil"/>
              <w:bottom w:val="nil"/>
              <w:right w:val="nil"/>
            </w:tcBorders>
            <w:shd w:val="clear" w:color="FFFFFF" w:fill="FFFFFF"/>
            <w:vAlign w:val="bottom"/>
            <w:hideMark/>
          </w:tcPr>
          <w:p w14:paraId="6B6415B9" w14:textId="77777777" w:rsidR="00AB6753" w:rsidRDefault="00AB6753" w:rsidP="002D1EA4">
            <w:pPr>
              <w:spacing w:after="0" w:line="240" w:lineRule="auto"/>
              <w:jc w:val="right"/>
              <w:rPr>
                <w:rFonts w:cs="Arial"/>
                <w:sz w:val="18"/>
                <w:szCs w:val="18"/>
              </w:rPr>
            </w:pPr>
            <w:r>
              <w:rPr>
                <w:rFonts w:cs="Arial"/>
                <w:sz w:val="18"/>
                <w:szCs w:val="18"/>
              </w:rPr>
              <w:t>2019</w:t>
            </w:r>
          </w:p>
        </w:tc>
        <w:tc>
          <w:tcPr>
            <w:tcW w:w="236" w:type="dxa"/>
            <w:tcBorders>
              <w:top w:val="single" w:sz="8" w:space="0" w:color="auto"/>
              <w:left w:val="nil"/>
              <w:bottom w:val="nil"/>
              <w:right w:val="nil"/>
            </w:tcBorders>
            <w:shd w:val="clear" w:color="FFFFFF" w:fill="FFFFFF"/>
            <w:vAlign w:val="bottom"/>
            <w:hideMark/>
          </w:tcPr>
          <w:p w14:paraId="79A23AB6"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single" w:sz="8" w:space="0" w:color="auto"/>
              <w:left w:val="nil"/>
              <w:bottom w:val="nil"/>
              <w:right w:val="nil"/>
            </w:tcBorders>
            <w:shd w:val="clear" w:color="FFFFFF" w:fill="FFFFFF"/>
            <w:vAlign w:val="bottom"/>
            <w:hideMark/>
          </w:tcPr>
          <w:p w14:paraId="5FB35685" w14:textId="77777777" w:rsidR="00AB6753" w:rsidRDefault="00AB6753" w:rsidP="002D1EA4">
            <w:pPr>
              <w:spacing w:after="0" w:line="240" w:lineRule="auto"/>
              <w:jc w:val="right"/>
              <w:rPr>
                <w:rFonts w:cs="Arial"/>
                <w:sz w:val="18"/>
                <w:szCs w:val="18"/>
              </w:rPr>
            </w:pPr>
            <w:r>
              <w:rPr>
                <w:rFonts w:cs="Arial"/>
                <w:sz w:val="18"/>
                <w:szCs w:val="18"/>
              </w:rPr>
              <w:t>Original Budget</w:t>
            </w:r>
            <w:r>
              <w:rPr>
                <w:rFonts w:cs="Arial"/>
                <w:sz w:val="18"/>
                <w:szCs w:val="18"/>
              </w:rPr>
              <w:br/>
              <w:t>2020</w:t>
            </w:r>
          </w:p>
        </w:tc>
      </w:tr>
      <w:bookmarkEnd w:id="56"/>
      <w:tr w:rsidR="00AB6753" w14:paraId="62125F69" w14:textId="77777777" w:rsidTr="002D1EA4">
        <w:trPr>
          <w:trHeight w:val="244"/>
        </w:trPr>
        <w:tc>
          <w:tcPr>
            <w:tcW w:w="4073" w:type="dxa"/>
            <w:tcBorders>
              <w:top w:val="nil"/>
              <w:left w:val="nil"/>
              <w:bottom w:val="nil"/>
              <w:right w:val="nil"/>
            </w:tcBorders>
            <w:shd w:val="clear" w:color="FFFFFF" w:fill="FFFFFF"/>
            <w:vAlign w:val="bottom"/>
            <w:hideMark/>
          </w:tcPr>
          <w:p w14:paraId="0A7061C1" w14:textId="77777777" w:rsidR="00AB6753" w:rsidRDefault="00AB6753" w:rsidP="002D1EA4">
            <w:pPr>
              <w:spacing w:after="0" w:line="240" w:lineRule="auto"/>
              <w:rPr>
                <w:rFonts w:cs="Arial"/>
                <w:b/>
                <w:bCs/>
                <w:sz w:val="18"/>
                <w:szCs w:val="18"/>
              </w:rPr>
            </w:pPr>
            <w:r>
              <w:rPr>
                <w:rFonts w:cs="Arial"/>
                <w:b/>
                <w:bCs/>
                <w:sz w:val="18"/>
                <w:szCs w:val="18"/>
              </w:rPr>
              <w:t>CONTRIBUTED EQUITY</w:t>
            </w:r>
          </w:p>
        </w:tc>
        <w:tc>
          <w:tcPr>
            <w:tcW w:w="1234" w:type="dxa"/>
            <w:tcBorders>
              <w:top w:val="nil"/>
              <w:left w:val="nil"/>
              <w:bottom w:val="nil"/>
              <w:right w:val="nil"/>
            </w:tcBorders>
            <w:shd w:val="clear" w:color="FFFFFF" w:fill="FFFFFF"/>
            <w:noWrap/>
            <w:vAlign w:val="bottom"/>
            <w:hideMark/>
          </w:tcPr>
          <w:p w14:paraId="1462EA61" w14:textId="77777777" w:rsidR="00AB6753" w:rsidRDefault="00AB6753" w:rsidP="002D1EA4">
            <w:pPr>
              <w:spacing w:after="0" w:line="240" w:lineRule="auto"/>
              <w:jc w:val="center"/>
              <w:rPr>
                <w:rFonts w:cs="Arial"/>
                <w:b/>
                <w:bCs/>
                <w:sz w:val="18"/>
                <w:szCs w:val="18"/>
              </w:rPr>
            </w:pPr>
            <w:r>
              <w:rPr>
                <w:rFonts w:cs="Arial"/>
                <w:b/>
                <w:bCs/>
                <w:sz w:val="18"/>
                <w:szCs w:val="18"/>
              </w:rPr>
              <w:t>Notes</w:t>
            </w:r>
          </w:p>
        </w:tc>
        <w:tc>
          <w:tcPr>
            <w:tcW w:w="1235" w:type="dxa"/>
            <w:tcBorders>
              <w:top w:val="nil"/>
              <w:left w:val="nil"/>
              <w:bottom w:val="single" w:sz="4" w:space="0" w:color="auto"/>
              <w:right w:val="nil"/>
            </w:tcBorders>
            <w:shd w:val="clear" w:color="FFFFFF" w:fill="FFFFFF"/>
            <w:vAlign w:val="bottom"/>
            <w:hideMark/>
          </w:tcPr>
          <w:p w14:paraId="31C646BC" w14:textId="77777777" w:rsidR="00AB6753" w:rsidRDefault="00AB6753" w:rsidP="002D1EA4">
            <w:pPr>
              <w:spacing w:after="0" w:line="240" w:lineRule="auto"/>
              <w:jc w:val="right"/>
              <w:rPr>
                <w:rFonts w:cs="Arial"/>
                <w:b/>
                <w:bCs/>
                <w:sz w:val="18"/>
                <w:szCs w:val="18"/>
              </w:rPr>
            </w:pPr>
            <w:r>
              <w:rPr>
                <w:rFonts w:cs="Arial"/>
                <w:b/>
                <w:bCs/>
                <w:sz w:val="18"/>
                <w:szCs w:val="18"/>
              </w:rPr>
              <w:t>$'000</w:t>
            </w:r>
          </w:p>
        </w:tc>
        <w:tc>
          <w:tcPr>
            <w:tcW w:w="236" w:type="dxa"/>
            <w:tcBorders>
              <w:top w:val="nil"/>
              <w:left w:val="nil"/>
              <w:bottom w:val="single" w:sz="4" w:space="0" w:color="auto"/>
              <w:right w:val="nil"/>
            </w:tcBorders>
            <w:shd w:val="clear" w:color="FFFFFF" w:fill="FFFFFF"/>
            <w:vAlign w:val="bottom"/>
            <w:hideMark/>
          </w:tcPr>
          <w:p w14:paraId="1E945651"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235" w:type="dxa"/>
            <w:tcBorders>
              <w:top w:val="nil"/>
              <w:left w:val="nil"/>
              <w:bottom w:val="single" w:sz="4" w:space="0" w:color="auto"/>
              <w:right w:val="nil"/>
            </w:tcBorders>
            <w:shd w:val="clear" w:color="FFFFFF" w:fill="FFFFFF"/>
            <w:vAlign w:val="bottom"/>
            <w:hideMark/>
          </w:tcPr>
          <w:p w14:paraId="3BC027DC" w14:textId="77777777" w:rsidR="00AB6753" w:rsidRDefault="00AB6753" w:rsidP="002D1EA4">
            <w:pPr>
              <w:spacing w:after="0" w:line="240" w:lineRule="auto"/>
              <w:jc w:val="right"/>
              <w:rPr>
                <w:rFonts w:cs="Arial"/>
                <w:sz w:val="18"/>
                <w:szCs w:val="18"/>
              </w:rPr>
            </w:pPr>
            <w:r>
              <w:rPr>
                <w:rFonts w:cs="Arial"/>
                <w:sz w:val="18"/>
                <w:szCs w:val="18"/>
              </w:rPr>
              <w:t>$'000</w:t>
            </w:r>
          </w:p>
        </w:tc>
        <w:tc>
          <w:tcPr>
            <w:tcW w:w="236" w:type="dxa"/>
            <w:tcBorders>
              <w:top w:val="nil"/>
              <w:left w:val="nil"/>
              <w:bottom w:val="nil"/>
              <w:right w:val="nil"/>
            </w:tcBorders>
            <w:shd w:val="clear" w:color="FFFFFF" w:fill="FFFFFF"/>
            <w:vAlign w:val="bottom"/>
            <w:hideMark/>
          </w:tcPr>
          <w:p w14:paraId="55C5F2DF"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single" w:sz="4" w:space="0" w:color="auto"/>
              <w:right w:val="nil"/>
            </w:tcBorders>
            <w:shd w:val="clear" w:color="FFFFFF" w:fill="FFFFFF"/>
            <w:vAlign w:val="bottom"/>
            <w:hideMark/>
          </w:tcPr>
          <w:p w14:paraId="26032796" w14:textId="77777777" w:rsidR="00AB6753" w:rsidRDefault="00AB6753" w:rsidP="002D1EA4">
            <w:pPr>
              <w:spacing w:after="0" w:line="240" w:lineRule="auto"/>
              <w:jc w:val="right"/>
              <w:rPr>
                <w:rFonts w:cs="Arial"/>
                <w:sz w:val="18"/>
                <w:szCs w:val="18"/>
              </w:rPr>
            </w:pPr>
            <w:r>
              <w:rPr>
                <w:rFonts w:cs="Arial"/>
                <w:sz w:val="18"/>
                <w:szCs w:val="18"/>
              </w:rPr>
              <w:t>$'000</w:t>
            </w:r>
          </w:p>
        </w:tc>
      </w:tr>
      <w:tr w:rsidR="00AB6753" w14:paraId="04796DEB" w14:textId="77777777" w:rsidTr="002D1EA4">
        <w:trPr>
          <w:trHeight w:val="244"/>
        </w:trPr>
        <w:tc>
          <w:tcPr>
            <w:tcW w:w="4073" w:type="dxa"/>
            <w:tcBorders>
              <w:top w:val="nil"/>
              <w:left w:val="nil"/>
              <w:bottom w:val="nil"/>
              <w:right w:val="nil"/>
            </w:tcBorders>
            <w:shd w:val="clear" w:color="FFFFFF" w:fill="FFFFFF"/>
            <w:vAlign w:val="bottom"/>
            <w:hideMark/>
          </w:tcPr>
          <w:p w14:paraId="75E328A4" w14:textId="77777777" w:rsidR="00AB6753" w:rsidRDefault="00AB6753" w:rsidP="002D1EA4">
            <w:pPr>
              <w:spacing w:after="0" w:line="240" w:lineRule="auto"/>
              <w:rPr>
                <w:rFonts w:cs="Arial"/>
                <w:b/>
                <w:bCs/>
                <w:sz w:val="18"/>
                <w:szCs w:val="18"/>
              </w:rPr>
            </w:pPr>
            <w:r>
              <w:rPr>
                <w:rFonts w:cs="Arial"/>
                <w:b/>
                <w:bCs/>
                <w:sz w:val="18"/>
                <w:szCs w:val="18"/>
              </w:rPr>
              <w:t>Opening balance</w:t>
            </w:r>
          </w:p>
        </w:tc>
        <w:tc>
          <w:tcPr>
            <w:tcW w:w="1234" w:type="dxa"/>
            <w:tcBorders>
              <w:top w:val="nil"/>
              <w:left w:val="nil"/>
              <w:bottom w:val="nil"/>
              <w:right w:val="nil"/>
            </w:tcBorders>
            <w:shd w:val="clear" w:color="FFFFFF" w:fill="FFFFFF"/>
            <w:vAlign w:val="bottom"/>
            <w:hideMark/>
          </w:tcPr>
          <w:p w14:paraId="269B1231"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2615A9F5" w14:textId="77777777" w:rsidR="00AB6753" w:rsidRDefault="00AB6753" w:rsidP="002D1EA4">
            <w:pPr>
              <w:spacing w:after="0" w:line="240" w:lineRule="auto"/>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2825F2C6"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52DF5671" w14:textId="77777777" w:rsidR="00AB6753" w:rsidRDefault="00AB6753" w:rsidP="002D1EA4">
            <w:pPr>
              <w:spacing w:after="0" w:line="240" w:lineRule="auto"/>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5D0415F3"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00CAF082"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7C654D31" w14:textId="77777777" w:rsidTr="002D1EA4">
        <w:trPr>
          <w:trHeight w:val="244"/>
        </w:trPr>
        <w:tc>
          <w:tcPr>
            <w:tcW w:w="4073" w:type="dxa"/>
            <w:tcBorders>
              <w:top w:val="nil"/>
              <w:left w:val="nil"/>
              <w:bottom w:val="nil"/>
              <w:right w:val="nil"/>
            </w:tcBorders>
            <w:shd w:val="clear" w:color="FFFFFF" w:fill="FFFFFF"/>
            <w:vAlign w:val="bottom"/>
            <w:hideMark/>
          </w:tcPr>
          <w:p w14:paraId="417A76D0" w14:textId="77777777" w:rsidR="00AB6753" w:rsidRDefault="00AB6753" w:rsidP="002D1EA4">
            <w:pPr>
              <w:spacing w:after="0" w:line="240" w:lineRule="auto"/>
              <w:rPr>
                <w:rFonts w:cs="Arial"/>
                <w:sz w:val="18"/>
                <w:szCs w:val="18"/>
              </w:rPr>
            </w:pPr>
            <w:r>
              <w:rPr>
                <w:rFonts w:cs="Arial"/>
                <w:sz w:val="18"/>
                <w:szCs w:val="18"/>
              </w:rPr>
              <w:t>Balance carried forward from previous period</w:t>
            </w:r>
          </w:p>
        </w:tc>
        <w:tc>
          <w:tcPr>
            <w:tcW w:w="1234" w:type="dxa"/>
            <w:tcBorders>
              <w:top w:val="nil"/>
              <w:left w:val="nil"/>
              <w:bottom w:val="nil"/>
              <w:right w:val="nil"/>
            </w:tcBorders>
            <w:shd w:val="clear" w:color="FFFFFF" w:fill="FFFFFF"/>
            <w:vAlign w:val="bottom"/>
            <w:hideMark/>
          </w:tcPr>
          <w:p w14:paraId="122CCF82" w14:textId="77777777" w:rsidR="00AB6753" w:rsidRDefault="00AB6753" w:rsidP="002D1EA4">
            <w:pPr>
              <w:spacing w:after="0" w:line="240" w:lineRule="auto"/>
              <w:rPr>
                <w:rFonts w:cs="Arial"/>
                <w:sz w:val="18"/>
                <w:szCs w:val="18"/>
              </w:rPr>
            </w:pPr>
            <w:r>
              <w:rPr>
                <w:rFonts w:cs="Arial"/>
                <w:sz w:val="18"/>
                <w:szCs w:val="18"/>
              </w:rPr>
              <w:t> </w:t>
            </w:r>
          </w:p>
        </w:tc>
        <w:tc>
          <w:tcPr>
            <w:tcW w:w="1235" w:type="dxa"/>
            <w:tcBorders>
              <w:top w:val="nil"/>
              <w:left w:val="nil"/>
              <w:bottom w:val="nil"/>
              <w:right w:val="nil"/>
            </w:tcBorders>
            <w:shd w:val="clear" w:color="FFFFFF" w:fill="FFFFFF"/>
            <w:noWrap/>
            <w:vAlign w:val="bottom"/>
            <w:hideMark/>
          </w:tcPr>
          <w:p w14:paraId="5C215C75" w14:textId="77777777" w:rsidR="00AB6753" w:rsidRDefault="00AB6753" w:rsidP="002D1EA4">
            <w:pPr>
              <w:spacing w:after="0" w:line="240" w:lineRule="auto"/>
              <w:jc w:val="right"/>
              <w:rPr>
                <w:rFonts w:cs="Arial"/>
                <w:b/>
                <w:bCs/>
                <w:sz w:val="18"/>
                <w:szCs w:val="18"/>
              </w:rPr>
            </w:pPr>
            <w:r>
              <w:rPr>
                <w:rFonts w:cs="Arial"/>
                <w:b/>
                <w:bCs/>
                <w:sz w:val="18"/>
                <w:szCs w:val="18"/>
              </w:rPr>
              <w:t>467,376</w:t>
            </w:r>
          </w:p>
        </w:tc>
        <w:tc>
          <w:tcPr>
            <w:tcW w:w="236" w:type="dxa"/>
            <w:tcBorders>
              <w:top w:val="nil"/>
              <w:left w:val="nil"/>
              <w:bottom w:val="nil"/>
              <w:right w:val="nil"/>
            </w:tcBorders>
            <w:shd w:val="clear" w:color="FFFFFF" w:fill="FFFFFF"/>
            <w:noWrap/>
            <w:vAlign w:val="bottom"/>
            <w:hideMark/>
          </w:tcPr>
          <w:p w14:paraId="06E4D11E"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133732DC" w14:textId="77777777" w:rsidR="00AB6753" w:rsidRDefault="00AB6753" w:rsidP="002D1EA4">
            <w:pPr>
              <w:spacing w:after="0" w:line="240" w:lineRule="auto"/>
              <w:jc w:val="right"/>
              <w:rPr>
                <w:rFonts w:cs="Arial"/>
                <w:sz w:val="18"/>
                <w:szCs w:val="18"/>
              </w:rPr>
            </w:pPr>
            <w:r>
              <w:rPr>
                <w:rFonts w:cs="Arial"/>
                <w:sz w:val="18"/>
                <w:szCs w:val="18"/>
              </w:rPr>
              <w:t xml:space="preserve">433,961 </w:t>
            </w:r>
          </w:p>
        </w:tc>
        <w:tc>
          <w:tcPr>
            <w:tcW w:w="236" w:type="dxa"/>
            <w:tcBorders>
              <w:top w:val="nil"/>
              <w:left w:val="nil"/>
              <w:bottom w:val="nil"/>
              <w:right w:val="nil"/>
            </w:tcBorders>
            <w:shd w:val="clear" w:color="FFFFFF" w:fill="FFFFFF"/>
            <w:noWrap/>
            <w:vAlign w:val="bottom"/>
            <w:hideMark/>
          </w:tcPr>
          <w:p w14:paraId="47A6D5EC"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66699AD2" w14:textId="77777777" w:rsidR="00AB6753" w:rsidRDefault="00AB6753" w:rsidP="002D1EA4">
            <w:pPr>
              <w:spacing w:after="0" w:line="240" w:lineRule="auto"/>
              <w:jc w:val="right"/>
              <w:rPr>
                <w:rFonts w:cs="Arial"/>
                <w:sz w:val="18"/>
                <w:szCs w:val="18"/>
              </w:rPr>
            </w:pPr>
            <w:r>
              <w:rPr>
                <w:rFonts w:cs="Arial"/>
                <w:sz w:val="18"/>
                <w:szCs w:val="18"/>
              </w:rPr>
              <w:t xml:space="preserve">472,491 </w:t>
            </w:r>
          </w:p>
        </w:tc>
      </w:tr>
      <w:tr w:rsidR="00AB6753" w14:paraId="48ACD305" w14:textId="77777777" w:rsidTr="002D1EA4">
        <w:trPr>
          <w:trHeight w:val="244"/>
        </w:trPr>
        <w:tc>
          <w:tcPr>
            <w:tcW w:w="4073" w:type="dxa"/>
            <w:tcBorders>
              <w:top w:val="nil"/>
              <w:left w:val="nil"/>
              <w:bottom w:val="nil"/>
              <w:right w:val="nil"/>
            </w:tcBorders>
            <w:shd w:val="clear" w:color="FFFFFF" w:fill="FFFFFF"/>
            <w:vAlign w:val="bottom"/>
            <w:hideMark/>
          </w:tcPr>
          <w:p w14:paraId="554F4803" w14:textId="77777777" w:rsidR="00AB6753" w:rsidRDefault="00AB6753" w:rsidP="002D1EA4">
            <w:pPr>
              <w:spacing w:after="0" w:line="240" w:lineRule="auto"/>
              <w:rPr>
                <w:rFonts w:cs="Arial"/>
                <w:b/>
                <w:bCs/>
                <w:sz w:val="18"/>
                <w:szCs w:val="18"/>
              </w:rPr>
            </w:pPr>
            <w:r>
              <w:rPr>
                <w:rFonts w:cs="Arial"/>
                <w:b/>
                <w:bCs/>
                <w:sz w:val="18"/>
                <w:szCs w:val="18"/>
              </w:rPr>
              <w:t>Transactions with owners</w:t>
            </w:r>
          </w:p>
        </w:tc>
        <w:tc>
          <w:tcPr>
            <w:tcW w:w="1234" w:type="dxa"/>
            <w:tcBorders>
              <w:top w:val="nil"/>
              <w:left w:val="nil"/>
              <w:bottom w:val="nil"/>
              <w:right w:val="nil"/>
            </w:tcBorders>
            <w:shd w:val="clear" w:color="FFFFFF" w:fill="FFFFFF"/>
            <w:vAlign w:val="bottom"/>
            <w:hideMark/>
          </w:tcPr>
          <w:p w14:paraId="5D8A74A1"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23A920A7" w14:textId="77777777" w:rsidR="00AB6753" w:rsidRDefault="00AB6753" w:rsidP="002D1EA4">
            <w:pPr>
              <w:spacing w:after="0" w:line="240" w:lineRule="auto"/>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2A566A2E"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50343370" w14:textId="77777777" w:rsidR="00AB6753" w:rsidRDefault="00AB6753" w:rsidP="002D1EA4">
            <w:pPr>
              <w:spacing w:after="0" w:line="240" w:lineRule="auto"/>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7DA62986"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6A93F1B6"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791743CD" w14:textId="77777777" w:rsidTr="002D1EA4">
        <w:trPr>
          <w:trHeight w:val="244"/>
        </w:trPr>
        <w:tc>
          <w:tcPr>
            <w:tcW w:w="4073" w:type="dxa"/>
            <w:tcBorders>
              <w:top w:val="nil"/>
              <w:left w:val="nil"/>
              <w:bottom w:val="nil"/>
              <w:right w:val="nil"/>
            </w:tcBorders>
            <w:shd w:val="clear" w:color="FFFFFF" w:fill="FFFFFF"/>
            <w:vAlign w:val="bottom"/>
            <w:hideMark/>
          </w:tcPr>
          <w:p w14:paraId="292842FB" w14:textId="77777777" w:rsidR="00AB6753" w:rsidRDefault="00AB6753" w:rsidP="002D1EA4">
            <w:pPr>
              <w:spacing w:after="0" w:line="240" w:lineRule="auto"/>
              <w:rPr>
                <w:rFonts w:cs="Arial"/>
                <w:sz w:val="18"/>
                <w:szCs w:val="18"/>
              </w:rPr>
            </w:pPr>
            <w:r>
              <w:rPr>
                <w:rFonts w:cs="Arial"/>
                <w:sz w:val="18"/>
                <w:szCs w:val="18"/>
              </w:rPr>
              <w:t>Equity injection - Appropriations</w:t>
            </w:r>
          </w:p>
        </w:tc>
        <w:tc>
          <w:tcPr>
            <w:tcW w:w="1234" w:type="dxa"/>
            <w:tcBorders>
              <w:top w:val="nil"/>
              <w:left w:val="nil"/>
              <w:bottom w:val="nil"/>
              <w:right w:val="nil"/>
            </w:tcBorders>
            <w:shd w:val="clear" w:color="FFFFFF" w:fill="FFFFFF"/>
            <w:vAlign w:val="bottom"/>
            <w:hideMark/>
          </w:tcPr>
          <w:p w14:paraId="089E5AB3" w14:textId="77777777" w:rsidR="00AB6753" w:rsidRDefault="00AB6753" w:rsidP="002D1EA4">
            <w:pPr>
              <w:spacing w:after="0" w:line="240" w:lineRule="auto"/>
              <w:rPr>
                <w:rFonts w:cs="Arial"/>
                <w:sz w:val="18"/>
                <w:szCs w:val="18"/>
              </w:rPr>
            </w:pPr>
            <w:r>
              <w:rPr>
                <w:rFonts w:cs="Arial"/>
                <w:sz w:val="18"/>
                <w:szCs w:val="18"/>
              </w:rPr>
              <w:t> </w:t>
            </w:r>
          </w:p>
        </w:tc>
        <w:tc>
          <w:tcPr>
            <w:tcW w:w="1235" w:type="dxa"/>
            <w:tcBorders>
              <w:top w:val="nil"/>
              <w:left w:val="nil"/>
              <w:bottom w:val="nil"/>
              <w:right w:val="nil"/>
            </w:tcBorders>
            <w:shd w:val="clear" w:color="FFFFFF" w:fill="FFFFFF"/>
            <w:noWrap/>
            <w:vAlign w:val="bottom"/>
            <w:hideMark/>
          </w:tcPr>
          <w:p w14:paraId="3E0A2B64" w14:textId="77777777" w:rsidR="00AB6753" w:rsidRDefault="00AB6753" w:rsidP="002D1EA4">
            <w:pPr>
              <w:spacing w:after="0" w:line="240" w:lineRule="auto"/>
              <w:jc w:val="right"/>
              <w:rPr>
                <w:rFonts w:cs="Arial"/>
                <w:b/>
                <w:bCs/>
                <w:sz w:val="18"/>
                <w:szCs w:val="18"/>
              </w:rPr>
            </w:pPr>
            <w:r>
              <w:rPr>
                <w:rFonts w:cs="Arial"/>
                <w:b/>
                <w:bCs/>
                <w:sz w:val="18"/>
                <w:szCs w:val="18"/>
              </w:rPr>
              <w:t xml:space="preserve">5,764 </w:t>
            </w:r>
          </w:p>
        </w:tc>
        <w:tc>
          <w:tcPr>
            <w:tcW w:w="236" w:type="dxa"/>
            <w:tcBorders>
              <w:top w:val="nil"/>
              <w:left w:val="nil"/>
              <w:bottom w:val="nil"/>
              <w:right w:val="nil"/>
            </w:tcBorders>
            <w:shd w:val="clear" w:color="FFFFFF" w:fill="FFFFFF"/>
            <w:noWrap/>
            <w:vAlign w:val="bottom"/>
            <w:hideMark/>
          </w:tcPr>
          <w:p w14:paraId="272F752B"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62AEC44B" w14:textId="77777777" w:rsidR="00AB6753" w:rsidRDefault="00AB6753" w:rsidP="002D1EA4">
            <w:pPr>
              <w:spacing w:after="0" w:line="240" w:lineRule="auto"/>
              <w:jc w:val="right"/>
              <w:rPr>
                <w:rFonts w:cs="Arial"/>
                <w:sz w:val="18"/>
                <w:szCs w:val="18"/>
              </w:rPr>
            </w:pPr>
            <w:r>
              <w:rPr>
                <w:rFonts w:cs="Arial"/>
                <w:sz w:val="18"/>
                <w:szCs w:val="18"/>
              </w:rPr>
              <w:t xml:space="preserve">21,469 </w:t>
            </w:r>
          </w:p>
        </w:tc>
        <w:tc>
          <w:tcPr>
            <w:tcW w:w="236" w:type="dxa"/>
            <w:tcBorders>
              <w:top w:val="nil"/>
              <w:left w:val="nil"/>
              <w:bottom w:val="nil"/>
              <w:right w:val="nil"/>
            </w:tcBorders>
            <w:shd w:val="clear" w:color="FFFFFF" w:fill="FFFFFF"/>
            <w:noWrap/>
            <w:vAlign w:val="bottom"/>
            <w:hideMark/>
          </w:tcPr>
          <w:p w14:paraId="65AD4AA2"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44151D71" w14:textId="77777777" w:rsidR="00AB6753" w:rsidRDefault="00AB6753" w:rsidP="002D1EA4">
            <w:pPr>
              <w:spacing w:after="0" w:line="240" w:lineRule="auto"/>
              <w:jc w:val="right"/>
              <w:rPr>
                <w:rFonts w:cs="Arial"/>
                <w:sz w:val="18"/>
                <w:szCs w:val="18"/>
              </w:rPr>
            </w:pPr>
            <w:r>
              <w:rPr>
                <w:rFonts w:cs="Arial"/>
                <w:sz w:val="18"/>
                <w:szCs w:val="18"/>
              </w:rPr>
              <w:t xml:space="preserve">10,845 </w:t>
            </w:r>
          </w:p>
        </w:tc>
      </w:tr>
      <w:tr w:rsidR="00AB6753" w14:paraId="69026E98" w14:textId="77777777" w:rsidTr="002D1EA4">
        <w:trPr>
          <w:trHeight w:val="244"/>
        </w:trPr>
        <w:tc>
          <w:tcPr>
            <w:tcW w:w="4073" w:type="dxa"/>
            <w:tcBorders>
              <w:top w:val="nil"/>
              <w:left w:val="nil"/>
              <w:bottom w:val="nil"/>
              <w:right w:val="nil"/>
            </w:tcBorders>
            <w:shd w:val="clear" w:color="FFFFFF" w:fill="FFFFFF"/>
            <w:vAlign w:val="bottom"/>
            <w:hideMark/>
          </w:tcPr>
          <w:p w14:paraId="0C9101D1" w14:textId="77777777" w:rsidR="00AB6753" w:rsidRDefault="00AB6753" w:rsidP="002D1EA4">
            <w:pPr>
              <w:spacing w:after="0" w:line="240" w:lineRule="auto"/>
              <w:rPr>
                <w:rFonts w:cs="Arial"/>
                <w:sz w:val="18"/>
                <w:szCs w:val="18"/>
              </w:rPr>
            </w:pPr>
            <w:r>
              <w:rPr>
                <w:rFonts w:cs="Arial"/>
                <w:sz w:val="18"/>
                <w:szCs w:val="18"/>
              </w:rPr>
              <w:t>Departmental capital budget</w:t>
            </w:r>
          </w:p>
        </w:tc>
        <w:tc>
          <w:tcPr>
            <w:tcW w:w="1234" w:type="dxa"/>
            <w:tcBorders>
              <w:top w:val="nil"/>
              <w:left w:val="nil"/>
              <w:bottom w:val="nil"/>
              <w:right w:val="nil"/>
            </w:tcBorders>
            <w:shd w:val="clear" w:color="FFFFFF" w:fill="FFFFFF"/>
            <w:vAlign w:val="bottom"/>
            <w:hideMark/>
          </w:tcPr>
          <w:p w14:paraId="31FF6999" w14:textId="77777777" w:rsidR="00AB6753" w:rsidRDefault="00AB6753" w:rsidP="002D1EA4">
            <w:pPr>
              <w:spacing w:after="0" w:line="240" w:lineRule="auto"/>
              <w:rPr>
                <w:rFonts w:cs="Arial"/>
                <w:sz w:val="18"/>
                <w:szCs w:val="18"/>
              </w:rPr>
            </w:pPr>
            <w:r>
              <w:rPr>
                <w:rFonts w:cs="Arial"/>
                <w:sz w:val="18"/>
                <w:szCs w:val="18"/>
              </w:rPr>
              <w:t> </w:t>
            </w:r>
          </w:p>
        </w:tc>
        <w:tc>
          <w:tcPr>
            <w:tcW w:w="1235" w:type="dxa"/>
            <w:tcBorders>
              <w:top w:val="nil"/>
              <w:left w:val="nil"/>
              <w:bottom w:val="nil"/>
              <w:right w:val="nil"/>
            </w:tcBorders>
            <w:shd w:val="clear" w:color="FFFFFF" w:fill="FFFFFF"/>
            <w:noWrap/>
            <w:vAlign w:val="bottom"/>
            <w:hideMark/>
          </w:tcPr>
          <w:p w14:paraId="2E82CEAD" w14:textId="77777777" w:rsidR="00AB6753" w:rsidRDefault="00AB6753" w:rsidP="002D1EA4">
            <w:pPr>
              <w:spacing w:after="0" w:line="240" w:lineRule="auto"/>
              <w:jc w:val="right"/>
              <w:rPr>
                <w:rFonts w:cs="Arial"/>
                <w:b/>
                <w:bCs/>
                <w:sz w:val="18"/>
                <w:szCs w:val="18"/>
              </w:rPr>
            </w:pPr>
            <w:r>
              <w:rPr>
                <w:rFonts w:cs="Arial"/>
                <w:b/>
                <w:bCs/>
                <w:sz w:val="18"/>
                <w:szCs w:val="18"/>
              </w:rPr>
              <w:t xml:space="preserve">2,664 </w:t>
            </w:r>
          </w:p>
        </w:tc>
        <w:tc>
          <w:tcPr>
            <w:tcW w:w="236" w:type="dxa"/>
            <w:tcBorders>
              <w:top w:val="nil"/>
              <w:left w:val="nil"/>
              <w:bottom w:val="nil"/>
              <w:right w:val="nil"/>
            </w:tcBorders>
            <w:shd w:val="clear" w:color="FFFFFF" w:fill="FFFFFF"/>
            <w:noWrap/>
            <w:vAlign w:val="bottom"/>
            <w:hideMark/>
          </w:tcPr>
          <w:p w14:paraId="6B3F903F"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008DB315" w14:textId="77777777" w:rsidR="00AB6753" w:rsidRDefault="00AB6753" w:rsidP="002D1EA4">
            <w:pPr>
              <w:spacing w:after="0" w:line="240" w:lineRule="auto"/>
              <w:jc w:val="right"/>
              <w:rPr>
                <w:rFonts w:cs="Arial"/>
                <w:sz w:val="18"/>
                <w:szCs w:val="18"/>
              </w:rPr>
            </w:pPr>
            <w:r>
              <w:rPr>
                <w:rFonts w:cs="Arial"/>
                <w:sz w:val="18"/>
                <w:szCs w:val="18"/>
              </w:rPr>
              <w:t xml:space="preserve">17,063 </w:t>
            </w:r>
          </w:p>
        </w:tc>
        <w:tc>
          <w:tcPr>
            <w:tcW w:w="236" w:type="dxa"/>
            <w:tcBorders>
              <w:top w:val="nil"/>
              <w:left w:val="nil"/>
              <w:bottom w:val="nil"/>
              <w:right w:val="nil"/>
            </w:tcBorders>
            <w:shd w:val="clear" w:color="FFFFFF" w:fill="FFFFFF"/>
            <w:noWrap/>
            <w:vAlign w:val="bottom"/>
            <w:hideMark/>
          </w:tcPr>
          <w:p w14:paraId="571BD936"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6268C961" w14:textId="77777777" w:rsidR="00AB6753" w:rsidRDefault="00AB6753" w:rsidP="002D1EA4">
            <w:pPr>
              <w:spacing w:after="0" w:line="240" w:lineRule="auto"/>
              <w:jc w:val="right"/>
              <w:rPr>
                <w:rFonts w:cs="Arial"/>
                <w:sz w:val="18"/>
                <w:szCs w:val="18"/>
              </w:rPr>
            </w:pPr>
            <w:r>
              <w:rPr>
                <w:rFonts w:cs="Arial"/>
                <w:sz w:val="18"/>
                <w:szCs w:val="18"/>
              </w:rPr>
              <w:t xml:space="preserve">17,513 </w:t>
            </w:r>
          </w:p>
        </w:tc>
      </w:tr>
      <w:tr w:rsidR="00AB6753" w14:paraId="650D1895" w14:textId="77777777" w:rsidTr="002D1EA4">
        <w:trPr>
          <w:trHeight w:val="244"/>
        </w:trPr>
        <w:tc>
          <w:tcPr>
            <w:tcW w:w="4073" w:type="dxa"/>
            <w:tcBorders>
              <w:top w:val="nil"/>
              <w:left w:val="nil"/>
              <w:bottom w:val="nil"/>
              <w:right w:val="nil"/>
            </w:tcBorders>
            <w:shd w:val="clear" w:color="FFFFFF" w:fill="FFFFFF"/>
            <w:vAlign w:val="bottom"/>
            <w:hideMark/>
          </w:tcPr>
          <w:p w14:paraId="1D59ADB0" w14:textId="77777777" w:rsidR="00AB6753" w:rsidRDefault="00AB6753" w:rsidP="002D1EA4">
            <w:pPr>
              <w:spacing w:after="0" w:line="240" w:lineRule="auto"/>
              <w:rPr>
                <w:rFonts w:cs="Arial"/>
                <w:sz w:val="18"/>
                <w:szCs w:val="18"/>
              </w:rPr>
            </w:pPr>
            <w:r>
              <w:rPr>
                <w:rFonts w:cs="Arial"/>
                <w:sz w:val="18"/>
                <w:szCs w:val="18"/>
              </w:rPr>
              <w:t xml:space="preserve">Restructuring </w:t>
            </w:r>
          </w:p>
        </w:tc>
        <w:tc>
          <w:tcPr>
            <w:tcW w:w="1234" w:type="dxa"/>
            <w:tcBorders>
              <w:top w:val="nil"/>
              <w:left w:val="nil"/>
              <w:bottom w:val="nil"/>
              <w:right w:val="nil"/>
            </w:tcBorders>
            <w:shd w:val="clear" w:color="FFFFFF" w:fill="FFFFFF"/>
            <w:noWrap/>
            <w:vAlign w:val="bottom"/>
            <w:hideMark/>
          </w:tcPr>
          <w:p w14:paraId="14690511" w14:textId="77777777" w:rsidR="00AB6753" w:rsidRDefault="00AB6753" w:rsidP="002D1EA4">
            <w:pPr>
              <w:spacing w:after="0" w:line="240" w:lineRule="auto"/>
              <w:jc w:val="center"/>
              <w:rPr>
                <w:rFonts w:cs="Arial"/>
                <w:sz w:val="18"/>
                <w:szCs w:val="18"/>
              </w:rPr>
            </w:pPr>
            <w:r>
              <w:rPr>
                <w:rFonts w:cs="Arial"/>
                <w:sz w:val="18"/>
                <w:szCs w:val="18"/>
              </w:rPr>
              <w:t>8.2A</w:t>
            </w:r>
          </w:p>
        </w:tc>
        <w:tc>
          <w:tcPr>
            <w:tcW w:w="1235" w:type="dxa"/>
            <w:tcBorders>
              <w:top w:val="nil"/>
              <w:left w:val="nil"/>
              <w:bottom w:val="nil"/>
              <w:right w:val="nil"/>
            </w:tcBorders>
            <w:shd w:val="clear" w:color="FFFFFF" w:fill="FFFFFF"/>
            <w:noWrap/>
            <w:vAlign w:val="bottom"/>
            <w:hideMark/>
          </w:tcPr>
          <w:p w14:paraId="1BF425A2" w14:textId="77777777" w:rsidR="00AB6753" w:rsidRDefault="00AB6753" w:rsidP="002D1EA4">
            <w:pPr>
              <w:spacing w:after="0" w:line="240" w:lineRule="auto"/>
              <w:jc w:val="right"/>
              <w:rPr>
                <w:rFonts w:cs="Arial"/>
                <w:b/>
                <w:bCs/>
                <w:sz w:val="18"/>
                <w:szCs w:val="18"/>
              </w:rPr>
            </w:pPr>
            <w:r>
              <w:rPr>
                <w:rFonts w:cs="Arial"/>
                <w:b/>
                <w:bCs/>
                <w:sz w:val="18"/>
                <w:szCs w:val="18"/>
              </w:rPr>
              <w:t>(144,639)</w:t>
            </w:r>
          </w:p>
        </w:tc>
        <w:tc>
          <w:tcPr>
            <w:tcW w:w="236" w:type="dxa"/>
            <w:tcBorders>
              <w:top w:val="nil"/>
              <w:left w:val="nil"/>
              <w:bottom w:val="nil"/>
              <w:right w:val="nil"/>
            </w:tcBorders>
            <w:shd w:val="clear" w:color="FFFFFF" w:fill="FFFFFF"/>
            <w:noWrap/>
            <w:vAlign w:val="bottom"/>
            <w:hideMark/>
          </w:tcPr>
          <w:p w14:paraId="00548422"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455DBC61" w14:textId="77777777" w:rsidR="00AB6753" w:rsidRDefault="00AB6753" w:rsidP="002D1EA4">
            <w:pPr>
              <w:spacing w:after="0" w:line="240" w:lineRule="auto"/>
              <w:jc w:val="right"/>
              <w:rPr>
                <w:rFonts w:cs="Arial"/>
                <w:sz w:val="18"/>
                <w:szCs w:val="18"/>
              </w:rPr>
            </w:pPr>
            <w:r>
              <w:rPr>
                <w:rFonts w:cs="Arial"/>
                <w:sz w:val="18"/>
                <w:szCs w:val="18"/>
              </w:rPr>
              <w:t>(5,117)</w:t>
            </w:r>
          </w:p>
        </w:tc>
        <w:tc>
          <w:tcPr>
            <w:tcW w:w="236" w:type="dxa"/>
            <w:tcBorders>
              <w:top w:val="nil"/>
              <w:left w:val="nil"/>
              <w:bottom w:val="nil"/>
              <w:right w:val="nil"/>
            </w:tcBorders>
            <w:shd w:val="clear" w:color="FFFFFF" w:fill="FFFFFF"/>
            <w:noWrap/>
            <w:vAlign w:val="bottom"/>
            <w:hideMark/>
          </w:tcPr>
          <w:p w14:paraId="3810BFA4"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7594B5BD" w14:textId="77777777" w:rsidR="00AB6753" w:rsidRDefault="00AB6753" w:rsidP="002D1EA4">
            <w:pPr>
              <w:spacing w:after="0" w:line="240" w:lineRule="auto"/>
              <w:jc w:val="right"/>
              <w:rPr>
                <w:rFonts w:cs="Arial"/>
                <w:sz w:val="18"/>
                <w:szCs w:val="18"/>
              </w:rPr>
            </w:pPr>
            <w:r>
              <w:rPr>
                <w:rFonts w:cs="Arial"/>
                <w:sz w:val="18"/>
                <w:szCs w:val="18"/>
              </w:rPr>
              <w:t xml:space="preserve"> -</w:t>
            </w:r>
          </w:p>
        </w:tc>
      </w:tr>
      <w:tr w:rsidR="00AB6753" w14:paraId="43D7AD23" w14:textId="77777777" w:rsidTr="002D1EA4">
        <w:trPr>
          <w:trHeight w:val="244"/>
        </w:trPr>
        <w:tc>
          <w:tcPr>
            <w:tcW w:w="4073" w:type="dxa"/>
            <w:tcBorders>
              <w:top w:val="nil"/>
              <w:left w:val="nil"/>
              <w:bottom w:val="nil"/>
              <w:right w:val="nil"/>
            </w:tcBorders>
            <w:shd w:val="clear" w:color="FFFFFF" w:fill="FFFFFF"/>
            <w:vAlign w:val="bottom"/>
            <w:hideMark/>
          </w:tcPr>
          <w:p w14:paraId="4274EEF6" w14:textId="77777777" w:rsidR="00AB6753" w:rsidRDefault="00AB6753" w:rsidP="002D1EA4">
            <w:pPr>
              <w:spacing w:after="0" w:line="240" w:lineRule="auto"/>
              <w:rPr>
                <w:rFonts w:cs="Arial"/>
                <w:b/>
                <w:bCs/>
                <w:sz w:val="18"/>
                <w:szCs w:val="18"/>
              </w:rPr>
            </w:pPr>
            <w:r>
              <w:rPr>
                <w:rFonts w:cs="Arial"/>
                <w:b/>
                <w:bCs/>
                <w:sz w:val="18"/>
                <w:szCs w:val="18"/>
              </w:rPr>
              <w:t>Total transactions with owners</w:t>
            </w:r>
          </w:p>
        </w:tc>
        <w:tc>
          <w:tcPr>
            <w:tcW w:w="1234" w:type="dxa"/>
            <w:tcBorders>
              <w:top w:val="nil"/>
              <w:left w:val="nil"/>
              <w:bottom w:val="nil"/>
              <w:right w:val="nil"/>
            </w:tcBorders>
            <w:shd w:val="clear" w:color="FFFFFF" w:fill="FFFFFF"/>
            <w:noWrap/>
            <w:vAlign w:val="bottom"/>
            <w:hideMark/>
          </w:tcPr>
          <w:p w14:paraId="1B001D40"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235" w:type="dxa"/>
            <w:tcBorders>
              <w:top w:val="single" w:sz="4" w:space="0" w:color="auto"/>
              <w:left w:val="nil"/>
              <w:bottom w:val="single" w:sz="4" w:space="0" w:color="auto"/>
              <w:right w:val="nil"/>
            </w:tcBorders>
            <w:shd w:val="clear" w:color="FFFFFF" w:fill="FFFFFF"/>
            <w:noWrap/>
            <w:vAlign w:val="bottom"/>
            <w:hideMark/>
          </w:tcPr>
          <w:p w14:paraId="6E6ED778" w14:textId="77777777" w:rsidR="00AB6753" w:rsidRDefault="00AB6753" w:rsidP="002D1EA4">
            <w:pPr>
              <w:spacing w:after="0" w:line="240" w:lineRule="auto"/>
              <w:jc w:val="right"/>
              <w:rPr>
                <w:rFonts w:cs="Arial"/>
                <w:b/>
                <w:bCs/>
                <w:sz w:val="18"/>
                <w:szCs w:val="18"/>
              </w:rPr>
            </w:pPr>
            <w:r>
              <w:rPr>
                <w:rFonts w:cs="Arial"/>
                <w:b/>
                <w:bCs/>
                <w:sz w:val="18"/>
                <w:szCs w:val="18"/>
              </w:rPr>
              <w:t>(136,211)</w:t>
            </w:r>
          </w:p>
        </w:tc>
        <w:tc>
          <w:tcPr>
            <w:tcW w:w="236" w:type="dxa"/>
            <w:tcBorders>
              <w:top w:val="nil"/>
              <w:left w:val="nil"/>
              <w:bottom w:val="nil"/>
              <w:right w:val="nil"/>
            </w:tcBorders>
            <w:shd w:val="clear" w:color="FFFFFF" w:fill="FFFFFF"/>
            <w:noWrap/>
            <w:vAlign w:val="bottom"/>
            <w:hideMark/>
          </w:tcPr>
          <w:p w14:paraId="2D4D11C7"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single" w:sz="4" w:space="0" w:color="auto"/>
              <w:left w:val="nil"/>
              <w:bottom w:val="single" w:sz="4" w:space="0" w:color="auto"/>
              <w:right w:val="nil"/>
            </w:tcBorders>
            <w:shd w:val="clear" w:color="FFFFFF" w:fill="FFFFFF"/>
            <w:noWrap/>
            <w:vAlign w:val="bottom"/>
            <w:hideMark/>
          </w:tcPr>
          <w:p w14:paraId="00AFCA73" w14:textId="77777777" w:rsidR="00AB6753" w:rsidRDefault="00AB6753" w:rsidP="002D1EA4">
            <w:pPr>
              <w:spacing w:after="0" w:line="240" w:lineRule="auto"/>
              <w:jc w:val="right"/>
              <w:rPr>
                <w:rFonts w:cs="Arial"/>
                <w:sz w:val="18"/>
                <w:szCs w:val="18"/>
              </w:rPr>
            </w:pPr>
            <w:r>
              <w:rPr>
                <w:rFonts w:cs="Arial"/>
                <w:sz w:val="18"/>
                <w:szCs w:val="18"/>
              </w:rPr>
              <w:t>33,415</w:t>
            </w:r>
          </w:p>
        </w:tc>
        <w:tc>
          <w:tcPr>
            <w:tcW w:w="236" w:type="dxa"/>
            <w:tcBorders>
              <w:top w:val="nil"/>
              <w:left w:val="nil"/>
              <w:bottom w:val="nil"/>
              <w:right w:val="nil"/>
            </w:tcBorders>
            <w:shd w:val="clear" w:color="FFFFFF" w:fill="FFFFFF"/>
            <w:noWrap/>
            <w:vAlign w:val="bottom"/>
            <w:hideMark/>
          </w:tcPr>
          <w:p w14:paraId="72F6585E"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single" w:sz="4" w:space="0" w:color="auto"/>
              <w:left w:val="nil"/>
              <w:bottom w:val="single" w:sz="4" w:space="0" w:color="auto"/>
              <w:right w:val="nil"/>
            </w:tcBorders>
            <w:shd w:val="clear" w:color="FFFFFF" w:fill="FFFFFF"/>
            <w:noWrap/>
            <w:vAlign w:val="bottom"/>
            <w:hideMark/>
          </w:tcPr>
          <w:p w14:paraId="6FA90FFF" w14:textId="77777777" w:rsidR="00AB6753" w:rsidRDefault="00AB6753" w:rsidP="002D1EA4">
            <w:pPr>
              <w:spacing w:after="0" w:line="240" w:lineRule="auto"/>
              <w:jc w:val="right"/>
              <w:rPr>
                <w:rFonts w:cs="Arial"/>
                <w:sz w:val="18"/>
                <w:szCs w:val="18"/>
              </w:rPr>
            </w:pPr>
            <w:r>
              <w:rPr>
                <w:rFonts w:cs="Arial"/>
                <w:sz w:val="18"/>
                <w:szCs w:val="18"/>
              </w:rPr>
              <w:t>28,358</w:t>
            </w:r>
          </w:p>
        </w:tc>
      </w:tr>
      <w:tr w:rsidR="00AB6753" w14:paraId="1FC028AB" w14:textId="77777777" w:rsidTr="002D1EA4">
        <w:trPr>
          <w:trHeight w:val="244"/>
        </w:trPr>
        <w:tc>
          <w:tcPr>
            <w:tcW w:w="4073" w:type="dxa"/>
            <w:tcBorders>
              <w:top w:val="nil"/>
              <w:left w:val="nil"/>
              <w:bottom w:val="nil"/>
              <w:right w:val="nil"/>
            </w:tcBorders>
            <w:shd w:val="clear" w:color="FFFFFF" w:fill="FFFFFF"/>
            <w:vAlign w:val="bottom"/>
            <w:hideMark/>
          </w:tcPr>
          <w:p w14:paraId="4419E929" w14:textId="77777777" w:rsidR="00AB6753" w:rsidRDefault="00AB6753" w:rsidP="002D1EA4">
            <w:pPr>
              <w:spacing w:after="0" w:line="240" w:lineRule="auto"/>
              <w:rPr>
                <w:rFonts w:cs="Arial"/>
                <w:b/>
                <w:bCs/>
                <w:sz w:val="18"/>
                <w:szCs w:val="18"/>
              </w:rPr>
            </w:pPr>
            <w:r>
              <w:rPr>
                <w:rFonts w:cs="Arial"/>
                <w:b/>
                <w:bCs/>
                <w:sz w:val="18"/>
                <w:szCs w:val="18"/>
              </w:rPr>
              <w:t>Closing balance as at 30 June</w:t>
            </w:r>
          </w:p>
        </w:tc>
        <w:tc>
          <w:tcPr>
            <w:tcW w:w="1234" w:type="dxa"/>
            <w:tcBorders>
              <w:top w:val="nil"/>
              <w:left w:val="nil"/>
              <w:bottom w:val="nil"/>
              <w:right w:val="nil"/>
            </w:tcBorders>
            <w:shd w:val="clear" w:color="FFFFFF" w:fill="FFFFFF"/>
            <w:noWrap/>
            <w:vAlign w:val="bottom"/>
            <w:hideMark/>
          </w:tcPr>
          <w:p w14:paraId="3112B4BE"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235" w:type="dxa"/>
            <w:tcBorders>
              <w:top w:val="nil"/>
              <w:left w:val="nil"/>
              <w:bottom w:val="single" w:sz="4" w:space="0" w:color="auto"/>
              <w:right w:val="nil"/>
            </w:tcBorders>
            <w:shd w:val="clear" w:color="FFFFFF" w:fill="FFFFFF"/>
            <w:noWrap/>
            <w:vAlign w:val="bottom"/>
            <w:hideMark/>
          </w:tcPr>
          <w:p w14:paraId="35ACB79D" w14:textId="77777777" w:rsidR="00AB6753" w:rsidRDefault="00AB6753" w:rsidP="002D1EA4">
            <w:pPr>
              <w:spacing w:after="0" w:line="240" w:lineRule="auto"/>
              <w:jc w:val="right"/>
              <w:rPr>
                <w:rFonts w:cs="Arial"/>
                <w:b/>
                <w:bCs/>
                <w:sz w:val="18"/>
                <w:szCs w:val="18"/>
              </w:rPr>
            </w:pPr>
            <w:r>
              <w:rPr>
                <w:rFonts w:cs="Arial"/>
                <w:b/>
                <w:bCs/>
                <w:sz w:val="18"/>
                <w:szCs w:val="18"/>
              </w:rPr>
              <w:t>331,165</w:t>
            </w:r>
          </w:p>
        </w:tc>
        <w:tc>
          <w:tcPr>
            <w:tcW w:w="236" w:type="dxa"/>
            <w:tcBorders>
              <w:top w:val="nil"/>
              <w:left w:val="nil"/>
              <w:bottom w:val="nil"/>
              <w:right w:val="nil"/>
            </w:tcBorders>
            <w:shd w:val="clear" w:color="FFFFFF" w:fill="FFFFFF"/>
            <w:noWrap/>
            <w:vAlign w:val="bottom"/>
            <w:hideMark/>
          </w:tcPr>
          <w:p w14:paraId="3E0CCCAA"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single" w:sz="4" w:space="0" w:color="auto"/>
              <w:right w:val="nil"/>
            </w:tcBorders>
            <w:shd w:val="clear" w:color="FFFFFF" w:fill="FFFFFF"/>
            <w:noWrap/>
            <w:vAlign w:val="bottom"/>
            <w:hideMark/>
          </w:tcPr>
          <w:p w14:paraId="0C146C4E" w14:textId="77777777" w:rsidR="00AB6753" w:rsidRDefault="00AB6753" w:rsidP="002D1EA4">
            <w:pPr>
              <w:spacing w:after="0" w:line="240" w:lineRule="auto"/>
              <w:jc w:val="right"/>
              <w:rPr>
                <w:rFonts w:cs="Arial"/>
                <w:sz w:val="18"/>
                <w:szCs w:val="18"/>
              </w:rPr>
            </w:pPr>
            <w:r>
              <w:rPr>
                <w:rFonts w:cs="Arial"/>
                <w:sz w:val="18"/>
                <w:szCs w:val="18"/>
              </w:rPr>
              <w:t>467,376</w:t>
            </w:r>
          </w:p>
        </w:tc>
        <w:tc>
          <w:tcPr>
            <w:tcW w:w="236" w:type="dxa"/>
            <w:tcBorders>
              <w:top w:val="nil"/>
              <w:left w:val="nil"/>
              <w:bottom w:val="nil"/>
              <w:right w:val="nil"/>
            </w:tcBorders>
            <w:shd w:val="clear" w:color="FFFFFF" w:fill="FFFFFF"/>
            <w:noWrap/>
            <w:vAlign w:val="bottom"/>
            <w:hideMark/>
          </w:tcPr>
          <w:p w14:paraId="068B97F3"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single" w:sz="4" w:space="0" w:color="auto"/>
              <w:right w:val="nil"/>
            </w:tcBorders>
            <w:shd w:val="clear" w:color="FFFFFF" w:fill="FFFFFF"/>
            <w:noWrap/>
            <w:vAlign w:val="bottom"/>
            <w:hideMark/>
          </w:tcPr>
          <w:p w14:paraId="3450EDD1" w14:textId="77777777" w:rsidR="00AB6753" w:rsidRDefault="00AB6753" w:rsidP="002D1EA4">
            <w:pPr>
              <w:spacing w:after="0" w:line="240" w:lineRule="auto"/>
              <w:jc w:val="right"/>
              <w:rPr>
                <w:rFonts w:cs="Arial"/>
                <w:sz w:val="18"/>
                <w:szCs w:val="18"/>
              </w:rPr>
            </w:pPr>
            <w:r>
              <w:rPr>
                <w:rFonts w:cs="Arial"/>
                <w:sz w:val="18"/>
                <w:szCs w:val="18"/>
              </w:rPr>
              <w:t>500,849</w:t>
            </w:r>
          </w:p>
        </w:tc>
      </w:tr>
      <w:tr w:rsidR="00AB6753" w14:paraId="140AC582" w14:textId="77777777" w:rsidTr="002D1EA4">
        <w:trPr>
          <w:trHeight w:val="244"/>
        </w:trPr>
        <w:tc>
          <w:tcPr>
            <w:tcW w:w="4073" w:type="dxa"/>
            <w:tcBorders>
              <w:top w:val="nil"/>
              <w:left w:val="nil"/>
              <w:bottom w:val="nil"/>
              <w:right w:val="nil"/>
            </w:tcBorders>
            <w:shd w:val="clear" w:color="FFFFFF" w:fill="FFFFFF"/>
            <w:vAlign w:val="bottom"/>
            <w:hideMark/>
          </w:tcPr>
          <w:p w14:paraId="29E4F560" w14:textId="77777777" w:rsidR="00AB6753" w:rsidRDefault="00AB6753" w:rsidP="002D1EA4">
            <w:pPr>
              <w:spacing w:after="0" w:line="240" w:lineRule="auto"/>
              <w:rPr>
                <w:rFonts w:cs="Arial"/>
                <w:b/>
                <w:bCs/>
                <w:sz w:val="18"/>
                <w:szCs w:val="18"/>
              </w:rPr>
            </w:pPr>
            <w:r>
              <w:rPr>
                <w:rFonts w:cs="Arial"/>
                <w:b/>
                <w:bCs/>
                <w:sz w:val="18"/>
                <w:szCs w:val="18"/>
              </w:rPr>
              <w:t> </w:t>
            </w:r>
          </w:p>
        </w:tc>
        <w:tc>
          <w:tcPr>
            <w:tcW w:w="1234" w:type="dxa"/>
            <w:tcBorders>
              <w:top w:val="nil"/>
              <w:left w:val="nil"/>
              <w:bottom w:val="nil"/>
              <w:right w:val="nil"/>
            </w:tcBorders>
            <w:shd w:val="clear" w:color="FFFFFF" w:fill="FFFFFF"/>
            <w:noWrap/>
            <w:vAlign w:val="bottom"/>
            <w:hideMark/>
          </w:tcPr>
          <w:p w14:paraId="4FA621C4"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336A3764"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0CDBD358"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68478C8A" w14:textId="77777777" w:rsidR="00AB6753" w:rsidRDefault="00AB6753" w:rsidP="002D1EA4">
            <w:pPr>
              <w:spacing w:after="0" w:line="240" w:lineRule="auto"/>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1BE78578"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1BF7FF53"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50BD9686" w14:textId="77777777" w:rsidTr="002D1EA4">
        <w:trPr>
          <w:trHeight w:val="244"/>
        </w:trPr>
        <w:tc>
          <w:tcPr>
            <w:tcW w:w="4073" w:type="dxa"/>
            <w:tcBorders>
              <w:top w:val="nil"/>
              <w:left w:val="nil"/>
              <w:bottom w:val="nil"/>
              <w:right w:val="nil"/>
            </w:tcBorders>
            <w:shd w:val="clear" w:color="FFFFFF" w:fill="FFFFFF"/>
            <w:vAlign w:val="bottom"/>
            <w:hideMark/>
          </w:tcPr>
          <w:p w14:paraId="7C47C219" w14:textId="77777777" w:rsidR="00AB6753" w:rsidRDefault="00AB6753" w:rsidP="002D1EA4">
            <w:pPr>
              <w:spacing w:after="0" w:line="240" w:lineRule="auto"/>
              <w:rPr>
                <w:rFonts w:cs="Arial"/>
                <w:b/>
                <w:bCs/>
                <w:sz w:val="18"/>
                <w:szCs w:val="18"/>
              </w:rPr>
            </w:pPr>
            <w:r>
              <w:rPr>
                <w:rFonts w:cs="Arial"/>
                <w:b/>
                <w:bCs/>
                <w:sz w:val="18"/>
                <w:szCs w:val="18"/>
              </w:rPr>
              <w:t>ASSET REVALUATION RESERVE</w:t>
            </w:r>
          </w:p>
        </w:tc>
        <w:tc>
          <w:tcPr>
            <w:tcW w:w="1234" w:type="dxa"/>
            <w:tcBorders>
              <w:top w:val="nil"/>
              <w:left w:val="nil"/>
              <w:bottom w:val="nil"/>
              <w:right w:val="nil"/>
            </w:tcBorders>
            <w:shd w:val="clear" w:color="FFFFFF" w:fill="FFFFFF"/>
            <w:noWrap/>
            <w:vAlign w:val="bottom"/>
            <w:hideMark/>
          </w:tcPr>
          <w:p w14:paraId="67EE29EC" w14:textId="77777777" w:rsidR="00AB6753" w:rsidRDefault="00AB6753" w:rsidP="002D1EA4">
            <w:pPr>
              <w:spacing w:after="0" w:line="240" w:lineRule="auto"/>
              <w:jc w:val="center"/>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vAlign w:val="bottom"/>
            <w:hideMark/>
          </w:tcPr>
          <w:p w14:paraId="36CB31DB"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2C446059"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vAlign w:val="bottom"/>
            <w:hideMark/>
          </w:tcPr>
          <w:p w14:paraId="5630FC3D" w14:textId="77777777" w:rsidR="00AB6753" w:rsidRDefault="00AB6753" w:rsidP="002D1EA4">
            <w:pPr>
              <w:spacing w:after="0" w:line="240" w:lineRule="auto"/>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vAlign w:val="bottom"/>
            <w:hideMark/>
          </w:tcPr>
          <w:p w14:paraId="30499C0F"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vAlign w:val="bottom"/>
            <w:hideMark/>
          </w:tcPr>
          <w:p w14:paraId="12F4B482"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5021AF51" w14:textId="77777777" w:rsidTr="002D1EA4">
        <w:trPr>
          <w:trHeight w:val="244"/>
        </w:trPr>
        <w:tc>
          <w:tcPr>
            <w:tcW w:w="4073" w:type="dxa"/>
            <w:tcBorders>
              <w:top w:val="nil"/>
              <w:left w:val="nil"/>
              <w:bottom w:val="nil"/>
              <w:right w:val="nil"/>
            </w:tcBorders>
            <w:shd w:val="clear" w:color="FFFFFF" w:fill="FFFFFF"/>
            <w:vAlign w:val="bottom"/>
            <w:hideMark/>
          </w:tcPr>
          <w:p w14:paraId="14446E78" w14:textId="77777777" w:rsidR="00AB6753" w:rsidRDefault="00AB6753" w:rsidP="002D1EA4">
            <w:pPr>
              <w:spacing w:after="0" w:line="240" w:lineRule="auto"/>
              <w:rPr>
                <w:rFonts w:cs="Arial"/>
                <w:b/>
                <w:bCs/>
                <w:sz w:val="18"/>
                <w:szCs w:val="18"/>
              </w:rPr>
            </w:pPr>
            <w:r>
              <w:rPr>
                <w:rFonts w:cs="Arial"/>
                <w:b/>
                <w:bCs/>
                <w:sz w:val="18"/>
                <w:szCs w:val="18"/>
              </w:rPr>
              <w:t>Opening balance</w:t>
            </w:r>
          </w:p>
        </w:tc>
        <w:tc>
          <w:tcPr>
            <w:tcW w:w="1234" w:type="dxa"/>
            <w:tcBorders>
              <w:top w:val="nil"/>
              <w:left w:val="nil"/>
              <w:bottom w:val="nil"/>
              <w:right w:val="nil"/>
            </w:tcBorders>
            <w:shd w:val="clear" w:color="FFFFFF" w:fill="FFFFFF"/>
            <w:vAlign w:val="bottom"/>
            <w:hideMark/>
          </w:tcPr>
          <w:p w14:paraId="204EB8A1"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070DB376" w14:textId="77777777" w:rsidR="00AB6753" w:rsidRDefault="00AB6753" w:rsidP="002D1EA4">
            <w:pPr>
              <w:spacing w:after="0" w:line="240" w:lineRule="auto"/>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33AA6779"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2B5049E0" w14:textId="77777777" w:rsidR="00AB6753" w:rsidRDefault="00AB6753" w:rsidP="002D1EA4">
            <w:pPr>
              <w:spacing w:after="0" w:line="240" w:lineRule="auto"/>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422EE3B4"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1BE23541"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639524C4" w14:textId="77777777" w:rsidTr="002D1EA4">
        <w:trPr>
          <w:trHeight w:val="244"/>
        </w:trPr>
        <w:tc>
          <w:tcPr>
            <w:tcW w:w="4073" w:type="dxa"/>
            <w:tcBorders>
              <w:top w:val="nil"/>
              <w:left w:val="nil"/>
              <w:bottom w:val="nil"/>
              <w:right w:val="nil"/>
            </w:tcBorders>
            <w:shd w:val="clear" w:color="FFFFFF" w:fill="FFFFFF"/>
            <w:vAlign w:val="bottom"/>
            <w:hideMark/>
          </w:tcPr>
          <w:p w14:paraId="374F92D0" w14:textId="77777777" w:rsidR="00AB6753" w:rsidRDefault="00AB6753" w:rsidP="002D1EA4">
            <w:pPr>
              <w:spacing w:after="0" w:line="240" w:lineRule="auto"/>
              <w:rPr>
                <w:rFonts w:cs="Arial"/>
                <w:sz w:val="18"/>
                <w:szCs w:val="18"/>
              </w:rPr>
            </w:pPr>
            <w:r>
              <w:rPr>
                <w:rFonts w:cs="Arial"/>
                <w:sz w:val="18"/>
                <w:szCs w:val="18"/>
              </w:rPr>
              <w:t>Balance carried forward from previous period</w:t>
            </w:r>
          </w:p>
        </w:tc>
        <w:tc>
          <w:tcPr>
            <w:tcW w:w="1234" w:type="dxa"/>
            <w:tcBorders>
              <w:top w:val="nil"/>
              <w:left w:val="nil"/>
              <w:bottom w:val="nil"/>
              <w:right w:val="nil"/>
            </w:tcBorders>
            <w:shd w:val="clear" w:color="FFFFFF" w:fill="FFFFFF"/>
            <w:vAlign w:val="bottom"/>
            <w:hideMark/>
          </w:tcPr>
          <w:p w14:paraId="02C00DFB" w14:textId="77777777" w:rsidR="00AB6753" w:rsidRDefault="00AB6753" w:rsidP="002D1EA4">
            <w:pPr>
              <w:spacing w:after="0" w:line="240" w:lineRule="auto"/>
              <w:rPr>
                <w:rFonts w:cs="Arial"/>
                <w:sz w:val="18"/>
                <w:szCs w:val="18"/>
              </w:rPr>
            </w:pPr>
            <w:r>
              <w:rPr>
                <w:rFonts w:cs="Arial"/>
                <w:sz w:val="18"/>
                <w:szCs w:val="18"/>
              </w:rPr>
              <w:t> </w:t>
            </w:r>
          </w:p>
        </w:tc>
        <w:tc>
          <w:tcPr>
            <w:tcW w:w="1235" w:type="dxa"/>
            <w:tcBorders>
              <w:top w:val="nil"/>
              <w:left w:val="nil"/>
              <w:bottom w:val="nil"/>
              <w:right w:val="nil"/>
            </w:tcBorders>
            <w:shd w:val="clear" w:color="FFFFFF" w:fill="FFFFFF"/>
            <w:noWrap/>
            <w:vAlign w:val="bottom"/>
            <w:hideMark/>
          </w:tcPr>
          <w:p w14:paraId="1CE5168D" w14:textId="77777777" w:rsidR="00AB6753" w:rsidRDefault="00AB6753" w:rsidP="002D1EA4">
            <w:pPr>
              <w:spacing w:after="0" w:line="240" w:lineRule="auto"/>
              <w:jc w:val="right"/>
              <w:rPr>
                <w:rFonts w:cs="Arial"/>
                <w:b/>
                <w:bCs/>
                <w:sz w:val="18"/>
                <w:szCs w:val="18"/>
              </w:rPr>
            </w:pPr>
            <w:r>
              <w:rPr>
                <w:rFonts w:cs="Arial"/>
                <w:b/>
                <w:bCs/>
                <w:sz w:val="18"/>
                <w:szCs w:val="18"/>
              </w:rPr>
              <w:t>75,613</w:t>
            </w:r>
          </w:p>
        </w:tc>
        <w:tc>
          <w:tcPr>
            <w:tcW w:w="236" w:type="dxa"/>
            <w:tcBorders>
              <w:top w:val="nil"/>
              <w:left w:val="nil"/>
              <w:bottom w:val="nil"/>
              <w:right w:val="nil"/>
            </w:tcBorders>
            <w:shd w:val="clear" w:color="FFFFFF" w:fill="FFFFFF"/>
            <w:noWrap/>
            <w:vAlign w:val="bottom"/>
            <w:hideMark/>
          </w:tcPr>
          <w:p w14:paraId="1B9ED3D4"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373123C3" w14:textId="77777777" w:rsidR="00AB6753" w:rsidRDefault="00AB6753" w:rsidP="002D1EA4">
            <w:pPr>
              <w:spacing w:after="0" w:line="240" w:lineRule="auto"/>
              <w:jc w:val="right"/>
              <w:rPr>
                <w:rFonts w:cs="Arial"/>
                <w:sz w:val="18"/>
                <w:szCs w:val="18"/>
              </w:rPr>
            </w:pPr>
            <w:r>
              <w:rPr>
                <w:rFonts w:cs="Arial"/>
                <w:sz w:val="18"/>
                <w:szCs w:val="18"/>
              </w:rPr>
              <w:t xml:space="preserve">72,392 </w:t>
            </w:r>
          </w:p>
        </w:tc>
        <w:tc>
          <w:tcPr>
            <w:tcW w:w="236" w:type="dxa"/>
            <w:tcBorders>
              <w:top w:val="nil"/>
              <w:left w:val="nil"/>
              <w:bottom w:val="nil"/>
              <w:right w:val="nil"/>
            </w:tcBorders>
            <w:shd w:val="clear" w:color="FFFFFF" w:fill="FFFFFF"/>
            <w:noWrap/>
            <w:vAlign w:val="bottom"/>
            <w:hideMark/>
          </w:tcPr>
          <w:p w14:paraId="7335CF12"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7255E092" w14:textId="77777777" w:rsidR="00AB6753" w:rsidRDefault="00AB6753" w:rsidP="002D1EA4">
            <w:pPr>
              <w:spacing w:after="0" w:line="240" w:lineRule="auto"/>
              <w:jc w:val="right"/>
              <w:rPr>
                <w:rFonts w:cs="Arial"/>
                <w:sz w:val="18"/>
                <w:szCs w:val="18"/>
              </w:rPr>
            </w:pPr>
            <w:r>
              <w:rPr>
                <w:rFonts w:cs="Arial"/>
                <w:sz w:val="18"/>
                <w:szCs w:val="18"/>
              </w:rPr>
              <w:t xml:space="preserve">72,393 </w:t>
            </w:r>
          </w:p>
        </w:tc>
      </w:tr>
      <w:tr w:rsidR="00AB6753" w14:paraId="607A33FA" w14:textId="77777777" w:rsidTr="002D1EA4">
        <w:trPr>
          <w:trHeight w:val="244"/>
        </w:trPr>
        <w:tc>
          <w:tcPr>
            <w:tcW w:w="4073" w:type="dxa"/>
            <w:tcBorders>
              <w:top w:val="nil"/>
              <w:left w:val="nil"/>
              <w:bottom w:val="nil"/>
              <w:right w:val="nil"/>
            </w:tcBorders>
            <w:shd w:val="clear" w:color="FFFFFF" w:fill="FFFFFF"/>
            <w:vAlign w:val="bottom"/>
            <w:hideMark/>
          </w:tcPr>
          <w:p w14:paraId="6BB06A69" w14:textId="77777777" w:rsidR="00AB6753" w:rsidRDefault="00AB6753" w:rsidP="002D1EA4">
            <w:pPr>
              <w:spacing w:after="0" w:line="240" w:lineRule="auto"/>
              <w:rPr>
                <w:rFonts w:cs="Arial"/>
                <w:b/>
                <w:bCs/>
                <w:sz w:val="18"/>
                <w:szCs w:val="18"/>
              </w:rPr>
            </w:pPr>
            <w:r>
              <w:rPr>
                <w:rFonts w:cs="Arial"/>
                <w:b/>
                <w:bCs/>
                <w:sz w:val="18"/>
                <w:szCs w:val="18"/>
              </w:rPr>
              <w:t>Comprehensive (loss) / income</w:t>
            </w:r>
          </w:p>
        </w:tc>
        <w:tc>
          <w:tcPr>
            <w:tcW w:w="1234" w:type="dxa"/>
            <w:tcBorders>
              <w:top w:val="nil"/>
              <w:left w:val="nil"/>
              <w:bottom w:val="nil"/>
              <w:right w:val="nil"/>
            </w:tcBorders>
            <w:shd w:val="clear" w:color="FFFFFF" w:fill="FFFFFF"/>
            <w:vAlign w:val="bottom"/>
            <w:hideMark/>
          </w:tcPr>
          <w:p w14:paraId="69EF3DF8"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1A294ECE" w14:textId="77777777" w:rsidR="00AB6753" w:rsidRDefault="00AB6753" w:rsidP="002D1EA4">
            <w:pPr>
              <w:spacing w:after="0" w:line="240" w:lineRule="auto"/>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3DC0E40B"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2BF93E1C" w14:textId="77777777" w:rsidR="00AB6753" w:rsidRDefault="00AB6753" w:rsidP="002D1EA4">
            <w:pPr>
              <w:spacing w:after="0" w:line="240" w:lineRule="auto"/>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13D06FEC"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3E62699B"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28EDACA5" w14:textId="77777777" w:rsidTr="002D1EA4">
        <w:trPr>
          <w:trHeight w:val="244"/>
        </w:trPr>
        <w:tc>
          <w:tcPr>
            <w:tcW w:w="4073" w:type="dxa"/>
            <w:tcBorders>
              <w:top w:val="nil"/>
              <w:left w:val="nil"/>
              <w:bottom w:val="nil"/>
              <w:right w:val="nil"/>
            </w:tcBorders>
            <w:shd w:val="clear" w:color="FFFFFF" w:fill="FFFFFF"/>
            <w:vAlign w:val="bottom"/>
            <w:hideMark/>
          </w:tcPr>
          <w:p w14:paraId="4B28E166" w14:textId="77777777" w:rsidR="00AB6753" w:rsidRDefault="00AB6753" w:rsidP="002D1EA4">
            <w:pPr>
              <w:spacing w:after="0" w:line="240" w:lineRule="auto"/>
              <w:rPr>
                <w:rFonts w:cs="Arial"/>
                <w:sz w:val="18"/>
                <w:szCs w:val="18"/>
              </w:rPr>
            </w:pPr>
            <w:r>
              <w:rPr>
                <w:rFonts w:cs="Arial"/>
                <w:sz w:val="18"/>
                <w:szCs w:val="18"/>
              </w:rPr>
              <w:t>Other comprehensive (loss) / income</w:t>
            </w:r>
          </w:p>
        </w:tc>
        <w:tc>
          <w:tcPr>
            <w:tcW w:w="1234" w:type="dxa"/>
            <w:tcBorders>
              <w:top w:val="nil"/>
              <w:left w:val="nil"/>
              <w:bottom w:val="nil"/>
              <w:right w:val="nil"/>
            </w:tcBorders>
            <w:shd w:val="clear" w:color="FFFFFF" w:fill="FFFFFF"/>
            <w:vAlign w:val="bottom"/>
            <w:hideMark/>
          </w:tcPr>
          <w:p w14:paraId="7A5BEF40" w14:textId="77777777" w:rsidR="00AB6753" w:rsidRDefault="00AB6753" w:rsidP="002D1EA4">
            <w:pPr>
              <w:spacing w:after="0" w:line="240" w:lineRule="auto"/>
              <w:rPr>
                <w:rFonts w:cs="Arial"/>
                <w:sz w:val="18"/>
                <w:szCs w:val="18"/>
              </w:rPr>
            </w:pPr>
            <w:r>
              <w:rPr>
                <w:rFonts w:cs="Arial"/>
                <w:sz w:val="18"/>
                <w:szCs w:val="18"/>
              </w:rPr>
              <w:t> </w:t>
            </w:r>
          </w:p>
        </w:tc>
        <w:tc>
          <w:tcPr>
            <w:tcW w:w="1235" w:type="dxa"/>
            <w:tcBorders>
              <w:top w:val="nil"/>
              <w:left w:val="nil"/>
              <w:bottom w:val="nil"/>
              <w:right w:val="nil"/>
            </w:tcBorders>
            <w:shd w:val="clear" w:color="FFFFFF" w:fill="FFFFFF"/>
            <w:noWrap/>
            <w:vAlign w:val="bottom"/>
            <w:hideMark/>
          </w:tcPr>
          <w:p w14:paraId="33F66B5A" w14:textId="77777777" w:rsidR="00AB6753" w:rsidRDefault="00AB6753" w:rsidP="002D1EA4">
            <w:pPr>
              <w:spacing w:after="0" w:line="240" w:lineRule="auto"/>
              <w:jc w:val="right"/>
              <w:rPr>
                <w:rFonts w:cs="Arial"/>
                <w:b/>
                <w:bCs/>
                <w:sz w:val="18"/>
                <w:szCs w:val="18"/>
              </w:rPr>
            </w:pPr>
            <w:r>
              <w:rPr>
                <w:rFonts w:cs="Arial"/>
                <w:b/>
                <w:bCs/>
                <w:sz w:val="18"/>
                <w:szCs w:val="18"/>
              </w:rPr>
              <w:t>(8)</w:t>
            </w:r>
          </w:p>
        </w:tc>
        <w:tc>
          <w:tcPr>
            <w:tcW w:w="236" w:type="dxa"/>
            <w:tcBorders>
              <w:top w:val="nil"/>
              <w:left w:val="nil"/>
              <w:bottom w:val="nil"/>
              <w:right w:val="nil"/>
            </w:tcBorders>
            <w:shd w:val="clear" w:color="FFFFFF" w:fill="FFFFFF"/>
            <w:noWrap/>
            <w:vAlign w:val="bottom"/>
            <w:hideMark/>
          </w:tcPr>
          <w:p w14:paraId="0F813457"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6AC19C82" w14:textId="77777777" w:rsidR="00AB6753" w:rsidRDefault="00AB6753" w:rsidP="002D1EA4">
            <w:pPr>
              <w:spacing w:after="0" w:line="240" w:lineRule="auto"/>
              <w:jc w:val="right"/>
              <w:rPr>
                <w:rFonts w:cs="Arial"/>
                <w:sz w:val="18"/>
                <w:szCs w:val="18"/>
              </w:rPr>
            </w:pPr>
            <w:r>
              <w:rPr>
                <w:rFonts w:cs="Arial"/>
                <w:sz w:val="18"/>
                <w:szCs w:val="18"/>
              </w:rPr>
              <w:t xml:space="preserve">3,221 </w:t>
            </w:r>
          </w:p>
        </w:tc>
        <w:tc>
          <w:tcPr>
            <w:tcW w:w="236" w:type="dxa"/>
            <w:tcBorders>
              <w:top w:val="nil"/>
              <w:left w:val="nil"/>
              <w:bottom w:val="nil"/>
              <w:right w:val="nil"/>
            </w:tcBorders>
            <w:shd w:val="clear" w:color="FFFFFF" w:fill="FFFFFF"/>
            <w:noWrap/>
            <w:vAlign w:val="bottom"/>
            <w:hideMark/>
          </w:tcPr>
          <w:p w14:paraId="209E1C31"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6CAC4C07" w14:textId="77777777" w:rsidR="00AB6753" w:rsidRDefault="00AB6753" w:rsidP="002D1EA4">
            <w:pPr>
              <w:spacing w:after="0" w:line="240" w:lineRule="auto"/>
              <w:jc w:val="right"/>
              <w:rPr>
                <w:rFonts w:cs="Arial"/>
                <w:sz w:val="18"/>
                <w:szCs w:val="18"/>
              </w:rPr>
            </w:pPr>
            <w:r>
              <w:rPr>
                <w:rFonts w:cs="Arial"/>
                <w:sz w:val="18"/>
                <w:szCs w:val="18"/>
              </w:rPr>
              <w:t xml:space="preserve"> -</w:t>
            </w:r>
          </w:p>
        </w:tc>
      </w:tr>
      <w:tr w:rsidR="00AB6753" w14:paraId="45258E87" w14:textId="77777777" w:rsidTr="002D1EA4">
        <w:trPr>
          <w:trHeight w:val="244"/>
        </w:trPr>
        <w:tc>
          <w:tcPr>
            <w:tcW w:w="4073" w:type="dxa"/>
            <w:tcBorders>
              <w:top w:val="nil"/>
              <w:left w:val="nil"/>
              <w:bottom w:val="nil"/>
              <w:right w:val="nil"/>
            </w:tcBorders>
            <w:shd w:val="clear" w:color="FFFFFF" w:fill="FFFFFF"/>
            <w:vAlign w:val="bottom"/>
            <w:hideMark/>
          </w:tcPr>
          <w:p w14:paraId="4104F269" w14:textId="77777777" w:rsidR="00AB6753" w:rsidRDefault="00AB6753" w:rsidP="002D1EA4">
            <w:pPr>
              <w:spacing w:after="0" w:line="240" w:lineRule="auto"/>
              <w:rPr>
                <w:rFonts w:cs="Arial"/>
                <w:b/>
                <w:bCs/>
                <w:sz w:val="18"/>
                <w:szCs w:val="18"/>
              </w:rPr>
            </w:pPr>
            <w:r>
              <w:rPr>
                <w:rFonts w:cs="Arial"/>
                <w:b/>
                <w:bCs/>
                <w:sz w:val="18"/>
                <w:szCs w:val="18"/>
              </w:rPr>
              <w:t>Total comprehensive (loss) / income</w:t>
            </w:r>
          </w:p>
        </w:tc>
        <w:tc>
          <w:tcPr>
            <w:tcW w:w="1234" w:type="dxa"/>
            <w:tcBorders>
              <w:top w:val="nil"/>
              <w:left w:val="nil"/>
              <w:bottom w:val="nil"/>
              <w:right w:val="nil"/>
            </w:tcBorders>
            <w:shd w:val="clear" w:color="FFFFFF" w:fill="FFFFFF"/>
            <w:noWrap/>
            <w:vAlign w:val="bottom"/>
            <w:hideMark/>
          </w:tcPr>
          <w:p w14:paraId="75D47005" w14:textId="77777777" w:rsidR="00AB6753" w:rsidRDefault="00AB6753" w:rsidP="002D1EA4">
            <w:pPr>
              <w:spacing w:after="0" w:line="240" w:lineRule="auto"/>
              <w:jc w:val="right"/>
              <w:rPr>
                <w:rFonts w:cs="Arial"/>
                <w:sz w:val="18"/>
                <w:szCs w:val="18"/>
              </w:rPr>
            </w:pPr>
            <w:r>
              <w:rPr>
                <w:rFonts w:cs="Arial"/>
                <w:sz w:val="18"/>
                <w:szCs w:val="18"/>
              </w:rPr>
              <w:t> </w:t>
            </w:r>
          </w:p>
        </w:tc>
        <w:tc>
          <w:tcPr>
            <w:tcW w:w="1235" w:type="dxa"/>
            <w:tcBorders>
              <w:top w:val="single" w:sz="4" w:space="0" w:color="auto"/>
              <w:left w:val="nil"/>
              <w:bottom w:val="single" w:sz="4" w:space="0" w:color="auto"/>
              <w:right w:val="nil"/>
            </w:tcBorders>
            <w:shd w:val="clear" w:color="FFFFFF" w:fill="FFFFFF"/>
            <w:noWrap/>
            <w:vAlign w:val="bottom"/>
            <w:hideMark/>
          </w:tcPr>
          <w:p w14:paraId="71DA73C3" w14:textId="77777777" w:rsidR="00AB6753" w:rsidRDefault="00AB6753" w:rsidP="002D1EA4">
            <w:pPr>
              <w:spacing w:after="0" w:line="240" w:lineRule="auto"/>
              <w:jc w:val="right"/>
              <w:rPr>
                <w:rFonts w:cs="Arial"/>
                <w:b/>
                <w:bCs/>
                <w:sz w:val="18"/>
                <w:szCs w:val="18"/>
              </w:rPr>
            </w:pPr>
            <w:r>
              <w:rPr>
                <w:rFonts w:cs="Arial"/>
                <w:b/>
                <w:bCs/>
                <w:sz w:val="18"/>
                <w:szCs w:val="18"/>
              </w:rPr>
              <w:t>(8)</w:t>
            </w:r>
          </w:p>
        </w:tc>
        <w:tc>
          <w:tcPr>
            <w:tcW w:w="236" w:type="dxa"/>
            <w:tcBorders>
              <w:top w:val="nil"/>
              <w:left w:val="nil"/>
              <w:bottom w:val="nil"/>
              <w:right w:val="nil"/>
            </w:tcBorders>
            <w:shd w:val="clear" w:color="FFFFFF" w:fill="FFFFFF"/>
            <w:noWrap/>
            <w:vAlign w:val="bottom"/>
            <w:hideMark/>
          </w:tcPr>
          <w:p w14:paraId="6497FB18"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single" w:sz="4" w:space="0" w:color="auto"/>
              <w:left w:val="nil"/>
              <w:bottom w:val="single" w:sz="4" w:space="0" w:color="auto"/>
              <w:right w:val="nil"/>
            </w:tcBorders>
            <w:shd w:val="clear" w:color="FFFFFF" w:fill="FFFFFF"/>
            <w:noWrap/>
            <w:vAlign w:val="bottom"/>
            <w:hideMark/>
          </w:tcPr>
          <w:p w14:paraId="3588C048" w14:textId="77777777" w:rsidR="00AB6753" w:rsidRDefault="00AB6753" w:rsidP="002D1EA4">
            <w:pPr>
              <w:spacing w:after="0" w:line="240" w:lineRule="auto"/>
              <w:jc w:val="right"/>
              <w:rPr>
                <w:rFonts w:cs="Arial"/>
                <w:sz w:val="18"/>
                <w:szCs w:val="18"/>
              </w:rPr>
            </w:pPr>
            <w:r>
              <w:rPr>
                <w:rFonts w:cs="Arial"/>
                <w:sz w:val="18"/>
                <w:szCs w:val="18"/>
              </w:rPr>
              <w:t>3,221</w:t>
            </w:r>
          </w:p>
        </w:tc>
        <w:tc>
          <w:tcPr>
            <w:tcW w:w="236" w:type="dxa"/>
            <w:tcBorders>
              <w:top w:val="nil"/>
              <w:left w:val="nil"/>
              <w:bottom w:val="nil"/>
              <w:right w:val="nil"/>
            </w:tcBorders>
            <w:shd w:val="clear" w:color="FFFFFF" w:fill="FFFFFF"/>
            <w:noWrap/>
            <w:vAlign w:val="bottom"/>
            <w:hideMark/>
          </w:tcPr>
          <w:p w14:paraId="5A454799"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single" w:sz="4" w:space="0" w:color="auto"/>
              <w:left w:val="nil"/>
              <w:bottom w:val="single" w:sz="4" w:space="0" w:color="auto"/>
              <w:right w:val="nil"/>
            </w:tcBorders>
            <w:shd w:val="clear" w:color="FFFFFF" w:fill="FFFFFF"/>
            <w:noWrap/>
            <w:vAlign w:val="bottom"/>
            <w:hideMark/>
          </w:tcPr>
          <w:p w14:paraId="2ED89053" w14:textId="77777777" w:rsidR="00AB6753" w:rsidRDefault="00AB6753" w:rsidP="002D1EA4">
            <w:pPr>
              <w:spacing w:after="0" w:line="240" w:lineRule="auto"/>
              <w:jc w:val="right"/>
              <w:rPr>
                <w:rFonts w:cs="Arial"/>
                <w:sz w:val="18"/>
                <w:szCs w:val="18"/>
              </w:rPr>
            </w:pPr>
            <w:r>
              <w:rPr>
                <w:rFonts w:cs="Arial"/>
                <w:sz w:val="18"/>
                <w:szCs w:val="18"/>
              </w:rPr>
              <w:t>-</w:t>
            </w:r>
          </w:p>
        </w:tc>
      </w:tr>
      <w:tr w:rsidR="00AB6753" w14:paraId="67003681" w14:textId="77777777" w:rsidTr="002D1EA4">
        <w:trPr>
          <w:trHeight w:val="244"/>
        </w:trPr>
        <w:tc>
          <w:tcPr>
            <w:tcW w:w="4073" w:type="dxa"/>
            <w:tcBorders>
              <w:top w:val="nil"/>
              <w:left w:val="nil"/>
              <w:bottom w:val="nil"/>
              <w:right w:val="nil"/>
            </w:tcBorders>
            <w:shd w:val="clear" w:color="FFFFFF" w:fill="FFFFFF"/>
            <w:vAlign w:val="bottom"/>
            <w:hideMark/>
          </w:tcPr>
          <w:p w14:paraId="4CD9AABB" w14:textId="77777777" w:rsidR="00AB6753" w:rsidRDefault="00AB6753" w:rsidP="002D1EA4">
            <w:pPr>
              <w:spacing w:after="0" w:line="240" w:lineRule="auto"/>
              <w:rPr>
                <w:rFonts w:cs="Arial"/>
                <w:b/>
                <w:bCs/>
                <w:sz w:val="18"/>
                <w:szCs w:val="18"/>
              </w:rPr>
            </w:pPr>
            <w:r>
              <w:rPr>
                <w:rFonts w:cs="Arial"/>
                <w:b/>
                <w:bCs/>
                <w:sz w:val="18"/>
                <w:szCs w:val="18"/>
              </w:rPr>
              <w:t>Closing balance as at 30 June</w:t>
            </w:r>
          </w:p>
        </w:tc>
        <w:tc>
          <w:tcPr>
            <w:tcW w:w="1234" w:type="dxa"/>
            <w:tcBorders>
              <w:top w:val="nil"/>
              <w:left w:val="nil"/>
              <w:bottom w:val="nil"/>
              <w:right w:val="nil"/>
            </w:tcBorders>
            <w:shd w:val="clear" w:color="FFFFFF" w:fill="FFFFFF"/>
            <w:noWrap/>
            <w:vAlign w:val="bottom"/>
            <w:hideMark/>
          </w:tcPr>
          <w:p w14:paraId="5577B208" w14:textId="77777777" w:rsidR="00AB6753" w:rsidRDefault="00AB6753" w:rsidP="002D1EA4">
            <w:pPr>
              <w:spacing w:after="0" w:line="240" w:lineRule="auto"/>
              <w:jc w:val="right"/>
              <w:rPr>
                <w:rFonts w:cs="Arial"/>
                <w:sz w:val="18"/>
                <w:szCs w:val="18"/>
              </w:rPr>
            </w:pPr>
            <w:r>
              <w:rPr>
                <w:rFonts w:cs="Arial"/>
                <w:sz w:val="18"/>
                <w:szCs w:val="18"/>
              </w:rPr>
              <w:t> </w:t>
            </w:r>
          </w:p>
        </w:tc>
        <w:tc>
          <w:tcPr>
            <w:tcW w:w="1235" w:type="dxa"/>
            <w:tcBorders>
              <w:top w:val="nil"/>
              <w:left w:val="nil"/>
              <w:bottom w:val="single" w:sz="4" w:space="0" w:color="auto"/>
              <w:right w:val="nil"/>
            </w:tcBorders>
            <w:shd w:val="clear" w:color="FFFFFF" w:fill="FFFFFF"/>
            <w:noWrap/>
            <w:vAlign w:val="bottom"/>
            <w:hideMark/>
          </w:tcPr>
          <w:p w14:paraId="6BF5BE89" w14:textId="77777777" w:rsidR="00AB6753" w:rsidRDefault="00AB6753" w:rsidP="002D1EA4">
            <w:pPr>
              <w:spacing w:after="0" w:line="240" w:lineRule="auto"/>
              <w:jc w:val="right"/>
              <w:rPr>
                <w:rFonts w:cs="Arial"/>
                <w:b/>
                <w:bCs/>
                <w:sz w:val="18"/>
                <w:szCs w:val="18"/>
              </w:rPr>
            </w:pPr>
            <w:r>
              <w:rPr>
                <w:rFonts w:cs="Arial"/>
                <w:b/>
                <w:bCs/>
                <w:sz w:val="18"/>
                <w:szCs w:val="18"/>
              </w:rPr>
              <w:t>75,605</w:t>
            </w:r>
          </w:p>
        </w:tc>
        <w:tc>
          <w:tcPr>
            <w:tcW w:w="236" w:type="dxa"/>
            <w:tcBorders>
              <w:top w:val="nil"/>
              <w:left w:val="nil"/>
              <w:bottom w:val="nil"/>
              <w:right w:val="nil"/>
            </w:tcBorders>
            <w:shd w:val="clear" w:color="FFFFFF" w:fill="FFFFFF"/>
            <w:noWrap/>
            <w:vAlign w:val="bottom"/>
            <w:hideMark/>
          </w:tcPr>
          <w:p w14:paraId="4D9B819C"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single" w:sz="4" w:space="0" w:color="auto"/>
              <w:right w:val="nil"/>
            </w:tcBorders>
            <w:shd w:val="clear" w:color="FFFFFF" w:fill="FFFFFF"/>
            <w:noWrap/>
            <w:vAlign w:val="bottom"/>
            <w:hideMark/>
          </w:tcPr>
          <w:p w14:paraId="61C8109E" w14:textId="77777777" w:rsidR="00AB6753" w:rsidRDefault="00AB6753" w:rsidP="002D1EA4">
            <w:pPr>
              <w:spacing w:after="0" w:line="240" w:lineRule="auto"/>
              <w:jc w:val="right"/>
              <w:rPr>
                <w:rFonts w:cs="Arial"/>
                <w:sz w:val="18"/>
                <w:szCs w:val="18"/>
              </w:rPr>
            </w:pPr>
            <w:r>
              <w:rPr>
                <w:rFonts w:cs="Arial"/>
                <w:sz w:val="18"/>
                <w:szCs w:val="18"/>
              </w:rPr>
              <w:t>75,613</w:t>
            </w:r>
          </w:p>
        </w:tc>
        <w:tc>
          <w:tcPr>
            <w:tcW w:w="236" w:type="dxa"/>
            <w:tcBorders>
              <w:top w:val="nil"/>
              <w:left w:val="nil"/>
              <w:bottom w:val="nil"/>
              <w:right w:val="nil"/>
            </w:tcBorders>
            <w:shd w:val="clear" w:color="FFFFFF" w:fill="FFFFFF"/>
            <w:noWrap/>
            <w:vAlign w:val="bottom"/>
            <w:hideMark/>
          </w:tcPr>
          <w:p w14:paraId="53325A29"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single" w:sz="4" w:space="0" w:color="auto"/>
              <w:right w:val="nil"/>
            </w:tcBorders>
            <w:shd w:val="clear" w:color="FFFFFF" w:fill="FFFFFF"/>
            <w:noWrap/>
            <w:vAlign w:val="bottom"/>
            <w:hideMark/>
          </w:tcPr>
          <w:p w14:paraId="4DB9ABCA" w14:textId="77777777" w:rsidR="00AB6753" w:rsidRDefault="00AB6753" w:rsidP="002D1EA4">
            <w:pPr>
              <w:spacing w:after="0" w:line="240" w:lineRule="auto"/>
              <w:jc w:val="right"/>
              <w:rPr>
                <w:rFonts w:cs="Arial"/>
                <w:sz w:val="18"/>
                <w:szCs w:val="18"/>
              </w:rPr>
            </w:pPr>
            <w:r>
              <w:rPr>
                <w:rFonts w:cs="Arial"/>
                <w:sz w:val="18"/>
                <w:szCs w:val="18"/>
              </w:rPr>
              <w:t>72,393</w:t>
            </w:r>
          </w:p>
        </w:tc>
      </w:tr>
      <w:tr w:rsidR="00AB6753" w14:paraId="25228919" w14:textId="77777777" w:rsidTr="002D1EA4">
        <w:trPr>
          <w:trHeight w:val="244"/>
        </w:trPr>
        <w:tc>
          <w:tcPr>
            <w:tcW w:w="4073" w:type="dxa"/>
            <w:tcBorders>
              <w:top w:val="nil"/>
              <w:left w:val="nil"/>
              <w:bottom w:val="nil"/>
              <w:right w:val="nil"/>
            </w:tcBorders>
            <w:shd w:val="clear" w:color="FFFFFF" w:fill="FFFFFF"/>
            <w:vAlign w:val="bottom"/>
            <w:hideMark/>
          </w:tcPr>
          <w:p w14:paraId="0E37CFB4" w14:textId="77777777" w:rsidR="00AB6753" w:rsidRDefault="00AB6753" w:rsidP="002D1EA4">
            <w:pPr>
              <w:spacing w:after="0" w:line="240" w:lineRule="auto"/>
              <w:rPr>
                <w:rFonts w:cs="Arial"/>
                <w:b/>
                <w:bCs/>
                <w:sz w:val="18"/>
                <w:szCs w:val="18"/>
              </w:rPr>
            </w:pPr>
            <w:r>
              <w:rPr>
                <w:rFonts w:cs="Arial"/>
                <w:b/>
                <w:bCs/>
                <w:sz w:val="18"/>
                <w:szCs w:val="18"/>
              </w:rPr>
              <w:t> </w:t>
            </w:r>
          </w:p>
        </w:tc>
        <w:tc>
          <w:tcPr>
            <w:tcW w:w="1234" w:type="dxa"/>
            <w:tcBorders>
              <w:top w:val="nil"/>
              <w:left w:val="nil"/>
              <w:bottom w:val="nil"/>
              <w:right w:val="nil"/>
            </w:tcBorders>
            <w:shd w:val="clear" w:color="FFFFFF" w:fill="FFFFFF"/>
            <w:noWrap/>
            <w:vAlign w:val="bottom"/>
            <w:hideMark/>
          </w:tcPr>
          <w:p w14:paraId="0E27E1E5" w14:textId="77777777" w:rsidR="00AB6753" w:rsidRDefault="00AB6753" w:rsidP="002D1EA4">
            <w:pPr>
              <w:spacing w:after="0" w:line="240" w:lineRule="auto"/>
              <w:jc w:val="center"/>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vAlign w:val="bottom"/>
            <w:hideMark/>
          </w:tcPr>
          <w:p w14:paraId="2B11B5D5"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6179633A"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vAlign w:val="bottom"/>
            <w:hideMark/>
          </w:tcPr>
          <w:p w14:paraId="08E0806A" w14:textId="77777777" w:rsidR="00AB6753" w:rsidRDefault="00AB6753" w:rsidP="002D1EA4">
            <w:pPr>
              <w:spacing w:after="0" w:line="240" w:lineRule="auto"/>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vAlign w:val="bottom"/>
            <w:hideMark/>
          </w:tcPr>
          <w:p w14:paraId="27AB1BE8"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vAlign w:val="bottom"/>
            <w:hideMark/>
          </w:tcPr>
          <w:p w14:paraId="6A5A4C00"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5225FAAE" w14:textId="77777777" w:rsidTr="002D1EA4">
        <w:trPr>
          <w:trHeight w:val="244"/>
        </w:trPr>
        <w:tc>
          <w:tcPr>
            <w:tcW w:w="4073" w:type="dxa"/>
            <w:tcBorders>
              <w:top w:val="nil"/>
              <w:left w:val="nil"/>
              <w:bottom w:val="nil"/>
              <w:right w:val="nil"/>
            </w:tcBorders>
            <w:shd w:val="clear" w:color="FFFFFF" w:fill="FFFFFF"/>
            <w:vAlign w:val="bottom"/>
            <w:hideMark/>
          </w:tcPr>
          <w:p w14:paraId="38F2498B" w14:textId="77777777" w:rsidR="00AB6753" w:rsidRDefault="00AB6753" w:rsidP="002D1EA4">
            <w:pPr>
              <w:spacing w:after="0" w:line="240" w:lineRule="auto"/>
              <w:rPr>
                <w:rFonts w:cs="Arial"/>
                <w:b/>
                <w:bCs/>
                <w:sz w:val="18"/>
                <w:szCs w:val="18"/>
              </w:rPr>
            </w:pPr>
            <w:r>
              <w:rPr>
                <w:rFonts w:cs="Arial"/>
                <w:b/>
                <w:bCs/>
                <w:sz w:val="18"/>
                <w:szCs w:val="18"/>
              </w:rPr>
              <w:t>ACCUMULATED DEFICIT</w:t>
            </w:r>
          </w:p>
        </w:tc>
        <w:tc>
          <w:tcPr>
            <w:tcW w:w="1234" w:type="dxa"/>
            <w:tcBorders>
              <w:top w:val="nil"/>
              <w:left w:val="nil"/>
              <w:bottom w:val="nil"/>
              <w:right w:val="nil"/>
            </w:tcBorders>
            <w:shd w:val="clear" w:color="FFFFFF" w:fill="FFFFFF"/>
            <w:noWrap/>
            <w:vAlign w:val="bottom"/>
            <w:hideMark/>
          </w:tcPr>
          <w:p w14:paraId="41FC1B95" w14:textId="77777777" w:rsidR="00AB6753" w:rsidRDefault="00AB6753" w:rsidP="002D1EA4">
            <w:pPr>
              <w:spacing w:after="0" w:line="240" w:lineRule="auto"/>
              <w:jc w:val="center"/>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vAlign w:val="bottom"/>
            <w:hideMark/>
          </w:tcPr>
          <w:p w14:paraId="7FBB04E8"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vAlign w:val="bottom"/>
            <w:hideMark/>
          </w:tcPr>
          <w:p w14:paraId="44B83A0F"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vAlign w:val="bottom"/>
            <w:hideMark/>
          </w:tcPr>
          <w:p w14:paraId="6A981C00" w14:textId="77777777" w:rsidR="00AB6753" w:rsidRDefault="00AB6753" w:rsidP="002D1EA4">
            <w:pPr>
              <w:spacing w:after="0" w:line="240" w:lineRule="auto"/>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vAlign w:val="bottom"/>
            <w:hideMark/>
          </w:tcPr>
          <w:p w14:paraId="687721EF"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vAlign w:val="bottom"/>
            <w:hideMark/>
          </w:tcPr>
          <w:p w14:paraId="3D5DCA48"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44E4E611" w14:textId="77777777" w:rsidTr="002D1EA4">
        <w:trPr>
          <w:trHeight w:val="244"/>
        </w:trPr>
        <w:tc>
          <w:tcPr>
            <w:tcW w:w="4073" w:type="dxa"/>
            <w:tcBorders>
              <w:top w:val="nil"/>
              <w:left w:val="nil"/>
              <w:bottom w:val="nil"/>
              <w:right w:val="nil"/>
            </w:tcBorders>
            <w:shd w:val="clear" w:color="FFFFFF" w:fill="FFFFFF"/>
            <w:vAlign w:val="bottom"/>
            <w:hideMark/>
          </w:tcPr>
          <w:p w14:paraId="160ECCD7" w14:textId="77777777" w:rsidR="00AB6753" w:rsidRDefault="00AB6753" w:rsidP="002D1EA4">
            <w:pPr>
              <w:spacing w:after="0" w:line="240" w:lineRule="auto"/>
              <w:rPr>
                <w:rFonts w:cs="Arial"/>
                <w:b/>
                <w:bCs/>
                <w:sz w:val="18"/>
                <w:szCs w:val="18"/>
              </w:rPr>
            </w:pPr>
            <w:r>
              <w:rPr>
                <w:rFonts w:cs="Arial"/>
                <w:b/>
                <w:bCs/>
                <w:sz w:val="18"/>
                <w:szCs w:val="18"/>
              </w:rPr>
              <w:t>Opening balance</w:t>
            </w:r>
          </w:p>
        </w:tc>
        <w:tc>
          <w:tcPr>
            <w:tcW w:w="1234" w:type="dxa"/>
            <w:tcBorders>
              <w:top w:val="nil"/>
              <w:left w:val="nil"/>
              <w:bottom w:val="nil"/>
              <w:right w:val="nil"/>
            </w:tcBorders>
            <w:shd w:val="clear" w:color="FFFFFF" w:fill="FFFFFF"/>
            <w:vAlign w:val="bottom"/>
            <w:hideMark/>
          </w:tcPr>
          <w:p w14:paraId="50D50F99"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18C442F7" w14:textId="77777777" w:rsidR="00AB6753" w:rsidRDefault="00AB6753" w:rsidP="002D1EA4">
            <w:pPr>
              <w:spacing w:after="0" w:line="240" w:lineRule="auto"/>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3C49C42A" w14:textId="77777777" w:rsidR="00AB6753" w:rsidRDefault="00AB6753" w:rsidP="002D1EA4">
            <w:pPr>
              <w:spacing w:after="0" w:line="240" w:lineRule="auto"/>
              <w:rPr>
                <w:rFonts w:cs="Arial"/>
                <w:sz w:val="18"/>
                <w:szCs w:val="18"/>
              </w:rPr>
            </w:pPr>
            <w:r>
              <w:rPr>
                <w:rFonts w:cs="Arial"/>
                <w:sz w:val="18"/>
                <w:szCs w:val="18"/>
              </w:rPr>
              <w:t> </w:t>
            </w:r>
          </w:p>
        </w:tc>
        <w:tc>
          <w:tcPr>
            <w:tcW w:w="1235" w:type="dxa"/>
            <w:tcBorders>
              <w:top w:val="nil"/>
              <w:left w:val="nil"/>
              <w:bottom w:val="nil"/>
              <w:right w:val="nil"/>
            </w:tcBorders>
            <w:shd w:val="clear" w:color="FFFFFF" w:fill="FFFFFF"/>
            <w:noWrap/>
            <w:vAlign w:val="bottom"/>
            <w:hideMark/>
          </w:tcPr>
          <w:p w14:paraId="74F74F34" w14:textId="77777777" w:rsidR="00AB6753" w:rsidRDefault="00AB6753" w:rsidP="002D1EA4">
            <w:pPr>
              <w:spacing w:after="0" w:line="240" w:lineRule="auto"/>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4EA676D3"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63295D15"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1C20AA1D" w14:textId="77777777" w:rsidTr="002D1EA4">
        <w:trPr>
          <w:trHeight w:val="244"/>
        </w:trPr>
        <w:tc>
          <w:tcPr>
            <w:tcW w:w="4073" w:type="dxa"/>
            <w:tcBorders>
              <w:top w:val="nil"/>
              <w:left w:val="nil"/>
              <w:bottom w:val="nil"/>
              <w:right w:val="nil"/>
            </w:tcBorders>
            <w:shd w:val="clear" w:color="FFFFFF" w:fill="FFFFFF"/>
            <w:vAlign w:val="bottom"/>
            <w:hideMark/>
          </w:tcPr>
          <w:p w14:paraId="1C5AE22F" w14:textId="77777777" w:rsidR="00AB6753" w:rsidRDefault="00AB6753" w:rsidP="002D1EA4">
            <w:pPr>
              <w:spacing w:after="0" w:line="240" w:lineRule="auto"/>
              <w:rPr>
                <w:rFonts w:cs="Arial"/>
                <w:sz w:val="18"/>
                <w:szCs w:val="18"/>
              </w:rPr>
            </w:pPr>
            <w:r>
              <w:rPr>
                <w:rFonts w:cs="Arial"/>
                <w:sz w:val="18"/>
                <w:szCs w:val="18"/>
              </w:rPr>
              <w:t>Balance carried forward from previous period</w:t>
            </w:r>
          </w:p>
        </w:tc>
        <w:tc>
          <w:tcPr>
            <w:tcW w:w="1234" w:type="dxa"/>
            <w:tcBorders>
              <w:top w:val="nil"/>
              <w:left w:val="nil"/>
              <w:bottom w:val="nil"/>
              <w:right w:val="nil"/>
            </w:tcBorders>
            <w:shd w:val="clear" w:color="FFFFFF" w:fill="FFFFFF"/>
            <w:vAlign w:val="bottom"/>
            <w:hideMark/>
          </w:tcPr>
          <w:p w14:paraId="65A3EDE7" w14:textId="77777777" w:rsidR="00AB6753" w:rsidRDefault="00AB6753" w:rsidP="002D1EA4">
            <w:pPr>
              <w:spacing w:after="0" w:line="240" w:lineRule="auto"/>
              <w:rPr>
                <w:rFonts w:cs="Arial"/>
                <w:sz w:val="18"/>
                <w:szCs w:val="18"/>
              </w:rPr>
            </w:pPr>
            <w:r>
              <w:rPr>
                <w:rFonts w:cs="Arial"/>
                <w:sz w:val="18"/>
                <w:szCs w:val="18"/>
              </w:rPr>
              <w:t> </w:t>
            </w:r>
          </w:p>
        </w:tc>
        <w:tc>
          <w:tcPr>
            <w:tcW w:w="1235" w:type="dxa"/>
            <w:tcBorders>
              <w:top w:val="nil"/>
              <w:left w:val="nil"/>
              <w:bottom w:val="nil"/>
              <w:right w:val="nil"/>
            </w:tcBorders>
            <w:shd w:val="clear" w:color="FFFFFF" w:fill="FFFFFF"/>
            <w:noWrap/>
            <w:vAlign w:val="bottom"/>
            <w:hideMark/>
          </w:tcPr>
          <w:p w14:paraId="5CEAA609" w14:textId="77777777" w:rsidR="00AB6753" w:rsidRDefault="00AB6753" w:rsidP="002D1EA4">
            <w:pPr>
              <w:spacing w:after="0" w:line="240" w:lineRule="auto"/>
              <w:jc w:val="right"/>
              <w:rPr>
                <w:rFonts w:cs="Arial"/>
                <w:b/>
                <w:bCs/>
                <w:sz w:val="18"/>
                <w:szCs w:val="18"/>
              </w:rPr>
            </w:pPr>
            <w:r>
              <w:rPr>
                <w:rFonts w:cs="Arial"/>
                <w:b/>
                <w:bCs/>
                <w:sz w:val="18"/>
                <w:szCs w:val="18"/>
              </w:rPr>
              <w:t>(379,822)</w:t>
            </w:r>
          </w:p>
        </w:tc>
        <w:tc>
          <w:tcPr>
            <w:tcW w:w="236" w:type="dxa"/>
            <w:tcBorders>
              <w:top w:val="nil"/>
              <w:left w:val="nil"/>
              <w:bottom w:val="nil"/>
              <w:right w:val="nil"/>
            </w:tcBorders>
            <w:shd w:val="clear" w:color="FFFFFF" w:fill="FFFFFF"/>
            <w:noWrap/>
            <w:vAlign w:val="bottom"/>
            <w:hideMark/>
          </w:tcPr>
          <w:p w14:paraId="30F08F6C"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17BAE825" w14:textId="77777777" w:rsidR="00AB6753" w:rsidRDefault="00AB6753" w:rsidP="002D1EA4">
            <w:pPr>
              <w:spacing w:after="0" w:line="240" w:lineRule="auto"/>
              <w:jc w:val="right"/>
              <w:rPr>
                <w:rFonts w:cs="Arial"/>
                <w:sz w:val="18"/>
                <w:szCs w:val="18"/>
              </w:rPr>
            </w:pPr>
            <w:r>
              <w:rPr>
                <w:rFonts w:cs="Arial"/>
                <w:sz w:val="18"/>
                <w:szCs w:val="18"/>
              </w:rPr>
              <w:t>(303,764)</w:t>
            </w:r>
          </w:p>
        </w:tc>
        <w:tc>
          <w:tcPr>
            <w:tcW w:w="236" w:type="dxa"/>
            <w:tcBorders>
              <w:top w:val="nil"/>
              <w:left w:val="nil"/>
              <w:bottom w:val="nil"/>
              <w:right w:val="nil"/>
            </w:tcBorders>
            <w:shd w:val="clear" w:color="FFFFFF" w:fill="FFFFFF"/>
            <w:noWrap/>
            <w:vAlign w:val="bottom"/>
            <w:hideMark/>
          </w:tcPr>
          <w:p w14:paraId="786898F9"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5FC177E0" w14:textId="77777777" w:rsidR="00AB6753" w:rsidRDefault="00AB6753" w:rsidP="002D1EA4">
            <w:pPr>
              <w:spacing w:after="0" w:line="240" w:lineRule="auto"/>
              <w:jc w:val="right"/>
              <w:rPr>
                <w:rFonts w:cs="Arial"/>
                <w:sz w:val="18"/>
                <w:szCs w:val="18"/>
              </w:rPr>
            </w:pPr>
            <w:r>
              <w:rPr>
                <w:rFonts w:cs="Arial"/>
                <w:sz w:val="18"/>
                <w:szCs w:val="18"/>
              </w:rPr>
              <w:t>(394,312)</w:t>
            </w:r>
          </w:p>
        </w:tc>
      </w:tr>
      <w:tr w:rsidR="00AB6753" w14:paraId="045390C1" w14:textId="77777777" w:rsidTr="002D1EA4">
        <w:trPr>
          <w:trHeight w:val="244"/>
        </w:trPr>
        <w:tc>
          <w:tcPr>
            <w:tcW w:w="4073" w:type="dxa"/>
            <w:tcBorders>
              <w:top w:val="nil"/>
              <w:left w:val="nil"/>
              <w:bottom w:val="nil"/>
              <w:right w:val="nil"/>
            </w:tcBorders>
            <w:shd w:val="clear" w:color="FFFFFF" w:fill="FFFFFF"/>
            <w:vAlign w:val="bottom"/>
            <w:hideMark/>
          </w:tcPr>
          <w:p w14:paraId="2C2AD6EE" w14:textId="77777777" w:rsidR="00AB6753" w:rsidRDefault="00AB6753" w:rsidP="002D1EA4">
            <w:pPr>
              <w:spacing w:after="0" w:line="240" w:lineRule="auto"/>
              <w:rPr>
                <w:rFonts w:cs="Arial"/>
                <w:sz w:val="18"/>
                <w:szCs w:val="18"/>
              </w:rPr>
            </w:pPr>
            <w:r>
              <w:rPr>
                <w:rFonts w:cs="Arial"/>
                <w:sz w:val="18"/>
                <w:szCs w:val="18"/>
              </w:rPr>
              <w:t>Adjustment on initial application of AASB 16</w:t>
            </w:r>
          </w:p>
        </w:tc>
        <w:tc>
          <w:tcPr>
            <w:tcW w:w="1234" w:type="dxa"/>
            <w:tcBorders>
              <w:top w:val="nil"/>
              <w:left w:val="nil"/>
              <w:bottom w:val="nil"/>
              <w:right w:val="nil"/>
            </w:tcBorders>
            <w:shd w:val="clear" w:color="FFFFFF" w:fill="FFFFFF"/>
            <w:vAlign w:val="bottom"/>
            <w:hideMark/>
          </w:tcPr>
          <w:p w14:paraId="02842B60" w14:textId="77777777" w:rsidR="00AB6753" w:rsidRDefault="00AB6753" w:rsidP="002D1EA4">
            <w:pPr>
              <w:spacing w:after="0" w:line="240" w:lineRule="auto"/>
              <w:rPr>
                <w:rFonts w:cs="Arial"/>
                <w:sz w:val="18"/>
                <w:szCs w:val="18"/>
              </w:rPr>
            </w:pPr>
            <w:r>
              <w:rPr>
                <w:rFonts w:cs="Arial"/>
                <w:sz w:val="18"/>
                <w:szCs w:val="18"/>
              </w:rPr>
              <w:t> </w:t>
            </w:r>
          </w:p>
        </w:tc>
        <w:tc>
          <w:tcPr>
            <w:tcW w:w="1235" w:type="dxa"/>
            <w:tcBorders>
              <w:top w:val="nil"/>
              <w:left w:val="nil"/>
              <w:bottom w:val="nil"/>
              <w:right w:val="nil"/>
            </w:tcBorders>
            <w:shd w:val="clear" w:color="FFFFFF" w:fill="FFFFFF"/>
            <w:noWrap/>
            <w:vAlign w:val="bottom"/>
            <w:hideMark/>
          </w:tcPr>
          <w:p w14:paraId="2380BD38" w14:textId="77777777" w:rsidR="00AB6753" w:rsidRDefault="00AB6753" w:rsidP="002D1EA4">
            <w:pPr>
              <w:spacing w:after="0" w:line="240" w:lineRule="auto"/>
              <w:jc w:val="right"/>
              <w:rPr>
                <w:rFonts w:cs="Arial"/>
                <w:b/>
                <w:bCs/>
                <w:sz w:val="18"/>
                <w:szCs w:val="18"/>
              </w:rPr>
            </w:pPr>
            <w:r>
              <w:rPr>
                <w:rFonts w:cs="Arial"/>
                <w:b/>
                <w:bCs/>
                <w:sz w:val="18"/>
                <w:szCs w:val="18"/>
              </w:rPr>
              <w:t xml:space="preserve">36,203 </w:t>
            </w:r>
          </w:p>
        </w:tc>
        <w:tc>
          <w:tcPr>
            <w:tcW w:w="236" w:type="dxa"/>
            <w:tcBorders>
              <w:top w:val="nil"/>
              <w:left w:val="nil"/>
              <w:bottom w:val="nil"/>
              <w:right w:val="nil"/>
            </w:tcBorders>
            <w:shd w:val="clear" w:color="FFFFFF" w:fill="FFFFFF"/>
            <w:noWrap/>
            <w:vAlign w:val="bottom"/>
            <w:hideMark/>
          </w:tcPr>
          <w:p w14:paraId="1CE7E1CB"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06CDE810" w14:textId="77777777" w:rsidR="00AB6753" w:rsidRDefault="00AB6753" w:rsidP="002D1EA4">
            <w:pPr>
              <w:spacing w:after="0" w:line="240" w:lineRule="auto"/>
              <w:jc w:val="right"/>
              <w:rPr>
                <w:rFonts w:cs="Arial"/>
                <w:sz w:val="18"/>
                <w:szCs w:val="18"/>
              </w:rPr>
            </w:pPr>
            <w:r>
              <w:rPr>
                <w:rFonts w:cs="Arial"/>
                <w:sz w:val="18"/>
                <w:szCs w:val="18"/>
              </w:rPr>
              <w:t xml:space="preserve"> -</w:t>
            </w:r>
          </w:p>
        </w:tc>
        <w:tc>
          <w:tcPr>
            <w:tcW w:w="236" w:type="dxa"/>
            <w:tcBorders>
              <w:top w:val="nil"/>
              <w:left w:val="nil"/>
              <w:bottom w:val="nil"/>
              <w:right w:val="nil"/>
            </w:tcBorders>
            <w:shd w:val="clear" w:color="FFFFFF" w:fill="FFFFFF"/>
            <w:noWrap/>
            <w:vAlign w:val="bottom"/>
            <w:hideMark/>
          </w:tcPr>
          <w:p w14:paraId="244C73F3"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2408E55B" w14:textId="77777777" w:rsidR="00AB6753" w:rsidRDefault="00AB6753" w:rsidP="002D1EA4">
            <w:pPr>
              <w:spacing w:after="0" w:line="240" w:lineRule="auto"/>
              <w:jc w:val="right"/>
              <w:rPr>
                <w:rFonts w:cs="Arial"/>
                <w:sz w:val="18"/>
                <w:szCs w:val="18"/>
              </w:rPr>
            </w:pPr>
            <w:r>
              <w:rPr>
                <w:rFonts w:cs="Arial"/>
                <w:sz w:val="18"/>
                <w:szCs w:val="18"/>
              </w:rPr>
              <w:t xml:space="preserve"> -</w:t>
            </w:r>
          </w:p>
        </w:tc>
      </w:tr>
      <w:tr w:rsidR="00AB6753" w14:paraId="0CE9CEEF" w14:textId="77777777" w:rsidTr="002D1EA4">
        <w:trPr>
          <w:trHeight w:val="244"/>
        </w:trPr>
        <w:tc>
          <w:tcPr>
            <w:tcW w:w="4073" w:type="dxa"/>
            <w:tcBorders>
              <w:top w:val="nil"/>
              <w:left w:val="nil"/>
              <w:bottom w:val="nil"/>
              <w:right w:val="nil"/>
            </w:tcBorders>
            <w:shd w:val="clear" w:color="FFFFFF" w:fill="FFFFFF"/>
            <w:vAlign w:val="bottom"/>
            <w:hideMark/>
          </w:tcPr>
          <w:p w14:paraId="14E4F48A" w14:textId="77777777" w:rsidR="00AB6753" w:rsidRDefault="00AB6753" w:rsidP="002D1EA4">
            <w:pPr>
              <w:spacing w:after="0" w:line="240" w:lineRule="auto"/>
              <w:rPr>
                <w:rFonts w:cs="Arial"/>
                <w:b/>
                <w:bCs/>
                <w:sz w:val="18"/>
                <w:szCs w:val="18"/>
              </w:rPr>
            </w:pPr>
            <w:r>
              <w:rPr>
                <w:rFonts w:cs="Arial"/>
                <w:b/>
                <w:bCs/>
                <w:sz w:val="18"/>
                <w:szCs w:val="18"/>
              </w:rPr>
              <w:t>Adjusted opening balance</w:t>
            </w:r>
          </w:p>
        </w:tc>
        <w:tc>
          <w:tcPr>
            <w:tcW w:w="1234" w:type="dxa"/>
            <w:tcBorders>
              <w:top w:val="nil"/>
              <w:left w:val="nil"/>
              <w:bottom w:val="nil"/>
              <w:right w:val="nil"/>
            </w:tcBorders>
            <w:shd w:val="clear" w:color="FFFFFF" w:fill="FFFFFF"/>
            <w:vAlign w:val="bottom"/>
            <w:hideMark/>
          </w:tcPr>
          <w:p w14:paraId="2E85FCFE" w14:textId="77777777" w:rsidR="00AB6753" w:rsidRDefault="00AB6753" w:rsidP="002D1EA4">
            <w:pPr>
              <w:spacing w:after="0" w:line="240" w:lineRule="auto"/>
              <w:rPr>
                <w:rFonts w:cs="Arial"/>
                <w:sz w:val="18"/>
                <w:szCs w:val="18"/>
              </w:rPr>
            </w:pPr>
            <w:r>
              <w:rPr>
                <w:rFonts w:cs="Arial"/>
                <w:sz w:val="18"/>
                <w:szCs w:val="18"/>
              </w:rPr>
              <w:t> </w:t>
            </w:r>
          </w:p>
        </w:tc>
        <w:tc>
          <w:tcPr>
            <w:tcW w:w="1235" w:type="dxa"/>
            <w:tcBorders>
              <w:top w:val="single" w:sz="4" w:space="0" w:color="auto"/>
              <w:left w:val="nil"/>
              <w:bottom w:val="single" w:sz="4" w:space="0" w:color="auto"/>
              <w:right w:val="nil"/>
            </w:tcBorders>
            <w:shd w:val="clear" w:color="FFFFFF" w:fill="FFFFFF"/>
            <w:noWrap/>
            <w:vAlign w:val="bottom"/>
            <w:hideMark/>
          </w:tcPr>
          <w:p w14:paraId="65477237" w14:textId="77777777" w:rsidR="00AB6753" w:rsidRDefault="00AB6753" w:rsidP="002D1EA4">
            <w:pPr>
              <w:spacing w:after="0" w:line="240" w:lineRule="auto"/>
              <w:jc w:val="right"/>
              <w:rPr>
                <w:rFonts w:cs="Arial"/>
                <w:b/>
                <w:bCs/>
                <w:sz w:val="18"/>
                <w:szCs w:val="18"/>
              </w:rPr>
            </w:pPr>
            <w:r>
              <w:rPr>
                <w:rFonts w:cs="Arial"/>
                <w:b/>
                <w:bCs/>
                <w:sz w:val="18"/>
                <w:szCs w:val="18"/>
              </w:rPr>
              <w:t>(343,619)</w:t>
            </w:r>
          </w:p>
        </w:tc>
        <w:tc>
          <w:tcPr>
            <w:tcW w:w="236" w:type="dxa"/>
            <w:tcBorders>
              <w:top w:val="nil"/>
              <w:left w:val="nil"/>
              <w:bottom w:val="nil"/>
              <w:right w:val="nil"/>
            </w:tcBorders>
            <w:shd w:val="clear" w:color="FFFFFF" w:fill="FFFFFF"/>
            <w:noWrap/>
            <w:vAlign w:val="bottom"/>
            <w:hideMark/>
          </w:tcPr>
          <w:p w14:paraId="00F58EF0"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235" w:type="dxa"/>
            <w:tcBorders>
              <w:top w:val="single" w:sz="4" w:space="0" w:color="auto"/>
              <w:left w:val="nil"/>
              <w:bottom w:val="single" w:sz="4" w:space="0" w:color="auto"/>
              <w:right w:val="nil"/>
            </w:tcBorders>
            <w:shd w:val="clear" w:color="FFFFFF" w:fill="FFFFFF"/>
            <w:noWrap/>
            <w:vAlign w:val="bottom"/>
            <w:hideMark/>
          </w:tcPr>
          <w:p w14:paraId="67793054" w14:textId="77777777" w:rsidR="00AB6753" w:rsidRDefault="00AB6753" w:rsidP="002D1EA4">
            <w:pPr>
              <w:spacing w:after="0" w:line="240" w:lineRule="auto"/>
              <w:jc w:val="right"/>
              <w:rPr>
                <w:rFonts w:cs="Arial"/>
                <w:sz w:val="18"/>
                <w:szCs w:val="18"/>
              </w:rPr>
            </w:pPr>
            <w:r>
              <w:rPr>
                <w:rFonts w:cs="Arial"/>
                <w:sz w:val="18"/>
                <w:szCs w:val="18"/>
              </w:rPr>
              <w:t>(303,764)</w:t>
            </w:r>
          </w:p>
        </w:tc>
        <w:tc>
          <w:tcPr>
            <w:tcW w:w="236" w:type="dxa"/>
            <w:tcBorders>
              <w:top w:val="nil"/>
              <w:left w:val="nil"/>
              <w:bottom w:val="nil"/>
              <w:right w:val="nil"/>
            </w:tcBorders>
            <w:shd w:val="clear" w:color="FFFFFF" w:fill="FFFFFF"/>
            <w:noWrap/>
            <w:vAlign w:val="bottom"/>
            <w:hideMark/>
          </w:tcPr>
          <w:p w14:paraId="2F3FE7A0"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single" w:sz="4" w:space="0" w:color="auto"/>
              <w:left w:val="nil"/>
              <w:bottom w:val="single" w:sz="4" w:space="0" w:color="auto"/>
              <w:right w:val="nil"/>
            </w:tcBorders>
            <w:shd w:val="clear" w:color="FFFFFF" w:fill="FFFFFF"/>
            <w:noWrap/>
            <w:vAlign w:val="bottom"/>
            <w:hideMark/>
          </w:tcPr>
          <w:p w14:paraId="41A5B3A6" w14:textId="77777777" w:rsidR="00AB6753" w:rsidRDefault="00AB6753" w:rsidP="002D1EA4">
            <w:pPr>
              <w:spacing w:after="0" w:line="240" w:lineRule="auto"/>
              <w:jc w:val="right"/>
              <w:rPr>
                <w:rFonts w:cs="Arial"/>
                <w:sz w:val="18"/>
                <w:szCs w:val="18"/>
              </w:rPr>
            </w:pPr>
            <w:r>
              <w:rPr>
                <w:rFonts w:cs="Arial"/>
                <w:sz w:val="18"/>
                <w:szCs w:val="18"/>
              </w:rPr>
              <w:t>(394,312)</w:t>
            </w:r>
          </w:p>
        </w:tc>
      </w:tr>
      <w:tr w:rsidR="00AB6753" w14:paraId="2388BF1C" w14:textId="77777777" w:rsidTr="002D1EA4">
        <w:trPr>
          <w:trHeight w:val="244"/>
        </w:trPr>
        <w:tc>
          <w:tcPr>
            <w:tcW w:w="4073" w:type="dxa"/>
            <w:tcBorders>
              <w:top w:val="nil"/>
              <w:left w:val="nil"/>
              <w:bottom w:val="nil"/>
              <w:right w:val="nil"/>
            </w:tcBorders>
            <w:shd w:val="clear" w:color="FFFFFF" w:fill="FFFFFF"/>
            <w:vAlign w:val="bottom"/>
            <w:hideMark/>
          </w:tcPr>
          <w:p w14:paraId="00B46252" w14:textId="77777777" w:rsidR="00AB6753" w:rsidRDefault="00AB6753" w:rsidP="002D1EA4">
            <w:pPr>
              <w:spacing w:after="0" w:line="240" w:lineRule="auto"/>
              <w:rPr>
                <w:rFonts w:cs="Arial"/>
                <w:b/>
                <w:bCs/>
                <w:sz w:val="18"/>
                <w:szCs w:val="18"/>
              </w:rPr>
            </w:pPr>
            <w:r>
              <w:rPr>
                <w:rFonts w:cs="Arial"/>
                <w:b/>
                <w:bCs/>
                <w:sz w:val="18"/>
                <w:szCs w:val="18"/>
              </w:rPr>
              <w:t>Comprehensive loss</w:t>
            </w:r>
          </w:p>
        </w:tc>
        <w:tc>
          <w:tcPr>
            <w:tcW w:w="1234" w:type="dxa"/>
            <w:tcBorders>
              <w:top w:val="nil"/>
              <w:left w:val="nil"/>
              <w:bottom w:val="nil"/>
              <w:right w:val="nil"/>
            </w:tcBorders>
            <w:shd w:val="clear" w:color="FFFFFF" w:fill="FFFFFF"/>
            <w:vAlign w:val="bottom"/>
            <w:hideMark/>
          </w:tcPr>
          <w:p w14:paraId="232C9FCF"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01FB8EA3" w14:textId="77777777" w:rsidR="00AB6753" w:rsidRDefault="00AB6753" w:rsidP="002D1EA4">
            <w:pPr>
              <w:spacing w:after="0" w:line="240" w:lineRule="auto"/>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2A9BB84E"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32FA4332" w14:textId="77777777" w:rsidR="00AB6753" w:rsidRDefault="00AB6753" w:rsidP="002D1EA4">
            <w:pPr>
              <w:spacing w:after="0" w:line="240" w:lineRule="auto"/>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45F0A680"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3C3049B7"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4CFB81F3" w14:textId="77777777" w:rsidTr="002D1EA4">
        <w:trPr>
          <w:trHeight w:val="244"/>
        </w:trPr>
        <w:tc>
          <w:tcPr>
            <w:tcW w:w="4073" w:type="dxa"/>
            <w:tcBorders>
              <w:top w:val="nil"/>
              <w:left w:val="nil"/>
              <w:bottom w:val="nil"/>
              <w:right w:val="nil"/>
            </w:tcBorders>
            <w:shd w:val="clear" w:color="FFFFFF" w:fill="FFFFFF"/>
            <w:vAlign w:val="bottom"/>
            <w:hideMark/>
          </w:tcPr>
          <w:p w14:paraId="50184F8A" w14:textId="77777777" w:rsidR="00AB6753" w:rsidRDefault="00AB6753" w:rsidP="002D1EA4">
            <w:pPr>
              <w:spacing w:after="0" w:line="240" w:lineRule="auto"/>
              <w:rPr>
                <w:rFonts w:cs="Arial"/>
                <w:sz w:val="18"/>
                <w:szCs w:val="18"/>
              </w:rPr>
            </w:pPr>
            <w:r>
              <w:rPr>
                <w:rFonts w:cs="Arial"/>
                <w:sz w:val="18"/>
                <w:szCs w:val="18"/>
              </w:rPr>
              <w:t>Deficit for the period</w:t>
            </w:r>
          </w:p>
        </w:tc>
        <w:tc>
          <w:tcPr>
            <w:tcW w:w="1234" w:type="dxa"/>
            <w:tcBorders>
              <w:top w:val="nil"/>
              <w:left w:val="nil"/>
              <w:bottom w:val="nil"/>
              <w:right w:val="nil"/>
            </w:tcBorders>
            <w:shd w:val="clear" w:color="FFFFFF" w:fill="FFFFFF"/>
            <w:vAlign w:val="bottom"/>
            <w:hideMark/>
          </w:tcPr>
          <w:p w14:paraId="4FB04E14" w14:textId="77777777" w:rsidR="00AB6753" w:rsidRDefault="00AB6753" w:rsidP="002D1EA4">
            <w:pPr>
              <w:spacing w:after="0" w:line="240" w:lineRule="auto"/>
              <w:rPr>
                <w:rFonts w:cs="Arial"/>
                <w:sz w:val="18"/>
                <w:szCs w:val="18"/>
              </w:rPr>
            </w:pPr>
            <w:r>
              <w:rPr>
                <w:rFonts w:cs="Arial"/>
                <w:sz w:val="18"/>
                <w:szCs w:val="18"/>
              </w:rPr>
              <w:t> </w:t>
            </w:r>
          </w:p>
        </w:tc>
        <w:tc>
          <w:tcPr>
            <w:tcW w:w="1235" w:type="dxa"/>
            <w:tcBorders>
              <w:top w:val="nil"/>
              <w:left w:val="nil"/>
              <w:bottom w:val="nil"/>
              <w:right w:val="nil"/>
            </w:tcBorders>
            <w:shd w:val="clear" w:color="FFFFFF" w:fill="FFFFFF"/>
            <w:noWrap/>
            <w:vAlign w:val="bottom"/>
            <w:hideMark/>
          </w:tcPr>
          <w:p w14:paraId="39B03327" w14:textId="77777777" w:rsidR="00AB6753" w:rsidRDefault="00AB6753" w:rsidP="002D1EA4">
            <w:pPr>
              <w:spacing w:after="0" w:line="240" w:lineRule="auto"/>
              <w:jc w:val="right"/>
              <w:rPr>
                <w:rFonts w:cs="Arial"/>
                <w:b/>
                <w:bCs/>
                <w:sz w:val="18"/>
                <w:szCs w:val="18"/>
              </w:rPr>
            </w:pPr>
            <w:r>
              <w:rPr>
                <w:rFonts w:cs="Arial"/>
                <w:b/>
                <w:bCs/>
                <w:sz w:val="18"/>
                <w:szCs w:val="18"/>
              </w:rPr>
              <w:t>(56,705)</w:t>
            </w:r>
          </w:p>
        </w:tc>
        <w:tc>
          <w:tcPr>
            <w:tcW w:w="236" w:type="dxa"/>
            <w:tcBorders>
              <w:top w:val="nil"/>
              <w:left w:val="nil"/>
              <w:bottom w:val="nil"/>
              <w:right w:val="nil"/>
            </w:tcBorders>
            <w:shd w:val="clear" w:color="FFFFFF" w:fill="FFFFFF"/>
            <w:noWrap/>
            <w:vAlign w:val="bottom"/>
            <w:hideMark/>
          </w:tcPr>
          <w:p w14:paraId="37A7297F"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22EFCE2C" w14:textId="77777777" w:rsidR="00AB6753" w:rsidRDefault="00AB6753" w:rsidP="002D1EA4">
            <w:pPr>
              <w:spacing w:after="0" w:line="240" w:lineRule="auto"/>
              <w:jc w:val="right"/>
              <w:rPr>
                <w:rFonts w:cs="Arial"/>
                <w:sz w:val="18"/>
                <w:szCs w:val="18"/>
              </w:rPr>
            </w:pPr>
            <w:r>
              <w:rPr>
                <w:rFonts w:cs="Arial"/>
                <w:sz w:val="18"/>
                <w:szCs w:val="18"/>
              </w:rPr>
              <w:t>(76,058)</w:t>
            </w:r>
          </w:p>
        </w:tc>
        <w:tc>
          <w:tcPr>
            <w:tcW w:w="236" w:type="dxa"/>
            <w:tcBorders>
              <w:top w:val="nil"/>
              <w:left w:val="nil"/>
              <w:bottom w:val="nil"/>
              <w:right w:val="nil"/>
            </w:tcBorders>
            <w:shd w:val="clear" w:color="FFFFFF" w:fill="FFFFFF"/>
            <w:noWrap/>
            <w:vAlign w:val="bottom"/>
            <w:hideMark/>
          </w:tcPr>
          <w:p w14:paraId="64C52A13"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7AEC0EAA" w14:textId="77777777" w:rsidR="00AB6753" w:rsidRDefault="00AB6753" w:rsidP="002D1EA4">
            <w:pPr>
              <w:spacing w:after="0" w:line="240" w:lineRule="auto"/>
              <w:jc w:val="right"/>
              <w:rPr>
                <w:rFonts w:cs="Arial"/>
                <w:sz w:val="18"/>
                <w:szCs w:val="18"/>
              </w:rPr>
            </w:pPr>
            <w:r>
              <w:rPr>
                <w:rFonts w:cs="Arial"/>
                <w:sz w:val="18"/>
                <w:szCs w:val="18"/>
              </w:rPr>
              <w:t>(78,883)</w:t>
            </w:r>
          </w:p>
        </w:tc>
      </w:tr>
      <w:tr w:rsidR="00AB6753" w14:paraId="246201F2" w14:textId="77777777" w:rsidTr="002D1EA4">
        <w:trPr>
          <w:trHeight w:val="244"/>
        </w:trPr>
        <w:tc>
          <w:tcPr>
            <w:tcW w:w="4073" w:type="dxa"/>
            <w:tcBorders>
              <w:top w:val="nil"/>
              <w:left w:val="nil"/>
              <w:bottom w:val="nil"/>
              <w:right w:val="nil"/>
            </w:tcBorders>
            <w:shd w:val="clear" w:color="FFFFFF" w:fill="FFFFFF"/>
            <w:vAlign w:val="bottom"/>
            <w:hideMark/>
          </w:tcPr>
          <w:p w14:paraId="67B51A39" w14:textId="77777777" w:rsidR="00AB6753" w:rsidRDefault="00AB6753" w:rsidP="002D1EA4">
            <w:pPr>
              <w:spacing w:after="0" w:line="240" w:lineRule="auto"/>
              <w:rPr>
                <w:rFonts w:cs="Arial"/>
                <w:b/>
                <w:bCs/>
                <w:sz w:val="18"/>
                <w:szCs w:val="18"/>
              </w:rPr>
            </w:pPr>
            <w:r>
              <w:rPr>
                <w:rFonts w:cs="Arial"/>
                <w:b/>
                <w:bCs/>
                <w:sz w:val="18"/>
                <w:szCs w:val="18"/>
              </w:rPr>
              <w:t>Total comprehensive loss</w:t>
            </w:r>
          </w:p>
        </w:tc>
        <w:tc>
          <w:tcPr>
            <w:tcW w:w="1234" w:type="dxa"/>
            <w:tcBorders>
              <w:top w:val="nil"/>
              <w:left w:val="nil"/>
              <w:bottom w:val="nil"/>
              <w:right w:val="nil"/>
            </w:tcBorders>
            <w:shd w:val="clear" w:color="FFFFFF" w:fill="FFFFFF"/>
            <w:noWrap/>
            <w:vAlign w:val="bottom"/>
            <w:hideMark/>
          </w:tcPr>
          <w:p w14:paraId="29BBD978" w14:textId="77777777" w:rsidR="00AB6753" w:rsidRDefault="00AB6753" w:rsidP="002D1EA4">
            <w:pPr>
              <w:spacing w:after="0" w:line="240" w:lineRule="auto"/>
              <w:jc w:val="right"/>
              <w:rPr>
                <w:rFonts w:cs="Arial"/>
                <w:sz w:val="18"/>
                <w:szCs w:val="18"/>
              </w:rPr>
            </w:pPr>
            <w:r>
              <w:rPr>
                <w:rFonts w:cs="Arial"/>
                <w:sz w:val="18"/>
                <w:szCs w:val="18"/>
              </w:rPr>
              <w:t> </w:t>
            </w:r>
          </w:p>
        </w:tc>
        <w:tc>
          <w:tcPr>
            <w:tcW w:w="1235" w:type="dxa"/>
            <w:tcBorders>
              <w:top w:val="single" w:sz="4" w:space="0" w:color="auto"/>
              <w:left w:val="nil"/>
              <w:bottom w:val="single" w:sz="4" w:space="0" w:color="auto"/>
              <w:right w:val="nil"/>
            </w:tcBorders>
            <w:shd w:val="clear" w:color="FFFFFF" w:fill="FFFFFF"/>
            <w:noWrap/>
            <w:vAlign w:val="bottom"/>
            <w:hideMark/>
          </w:tcPr>
          <w:p w14:paraId="2692A57D" w14:textId="77777777" w:rsidR="00AB6753" w:rsidRDefault="00AB6753" w:rsidP="002D1EA4">
            <w:pPr>
              <w:spacing w:after="0" w:line="240" w:lineRule="auto"/>
              <w:jc w:val="right"/>
              <w:rPr>
                <w:rFonts w:cs="Arial"/>
                <w:b/>
                <w:bCs/>
                <w:sz w:val="18"/>
                <w:szCs w:val="18"/>
              </w:rPr>
            </w:pPr>
            <w:r>
              <w:rPr>
                <w:rFonts w:cs="Arial"/>
                <w:b/>
                <w:bCs/>
                <w:sz w:val="18"/>
                <w:szCs w:val="18"/>
              </w:rPr>
              <w:t>(56,705)</w:t>
            </w:r>
          </w:p>
        </w:tc>
        <w:tc>
          <w:tcPr>
            <w:tcW w:w="236" w:type="dxa"/>
            <w:tcBorders>
              <w:top w:val="nil"/>
              <w:left w:val="nil"/>
              <w:bottom w:val="nil"/>
              <w:right w:val="nil"/>
            </w:tcBorders>
            <w:shd w:val="clear" w:color="FFFFFF" w:fill="FFFFFF"/>
            <w:noWrap/>
            <w:vAlign w:val="bottom"/>
            <w:hideMark/>
          </w:tcPr>
          <w:p w14:paraId="62E37E88"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single" w:sz="4" w:space="0" w:color="auto"/>
              <w:left w:val="nil"/>
              <w:bottom w:val="single" w:sz="4" w:space="0" w:color="auto"/>
              <w:right w:val="nil"/>
            </w:tcBorders>
            <w:shd w:val="clear" w:color="FFFFFF" w:fill="FFFFFF"/>
            <w:noWrap/>
            <w:vAlign w:val="bottom"/>
            <w:hideMark/>
          </w:tcPr>
          <w:p w14:paraId="4C7A043E" w14:textId="77777777" w:rsidR="00AB6753" w:rsidRDefault="00AB6753" w:rsidP="002D1EA4">
            <w:pPr>
              <w:spacing w:after="0" w:line="240" w:lineRule="auto"/>
              <w:jc w:val="right"/>
              <w:rPr>
                <w:rFonts w:cs="Arial"/>
                <w:sz w:val="18"/>
                <w:szCs w:val="18"/>
              </w:rPr>
            </w:pPr>
            <w:r>
              <w:rPr>
                <w:rFonts w:cs="Arial"/>
                <w:sz w:val="18"/>
                <w:szCs w:val="18"/>
              </w:rPr>
              <w:t>(76,058)</w:t>
            </w:r>
          </w:p>
        </w:tc>
        <w:tc>
          <w:tcPr>
            <w:tcW w:w="236" w:type="dxa"/>
            <w:tcBorders>
              <w:top w:val="nil"/>
              <w:left w:val="nil"/>
              <w:bottom w:val="nil"/>
              <w:right w:val="nil"/>
            </w:tcBorders>
            <w:shd w:val="clear" w:color="FFFFFF" w:fill="FFFFFF"/>
            <w:noWrap/>
            <w:vAlign w:val="bottom"/>
            <w:hideMark/>
          </w:tcPr>
          <w:p w14:paraId="00019A64"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single" w:sz="4" w:space="0" w:color="auto"/>
              <w:left w:val="nil"/>
              <w:bottom w:val="single" w:sz="4" w:space="0" w:color="auto"/>
              <w:right w:val="nil"/>
            </w:tcBorders>
            <w:shd w:val="clear" w:color="FFFFFF" w:fill="FFFFFF"/>
            <w:noWrap/>
            <w:vAlign w:val="bottom"/>
            <w:hideMark/>
          </w:tcPr>
          <w:p w14:paraId="588C95F7" w14:textId="77777777" w:rsidR="00AB6753" w:rsidRDefault="00AB6753" w:rsidP="002D1EA4">
            <w:pPr>
              <w:spacing w:after="0" w:line="240" w:lineRule="auto"/>
              <w:jc w:val="right"/>
              <w:rPr>
                <w:rFonts w:cs="Arial"/>
                <w:sz w:val="18"/>
                <w:szCs w:val="18"/>
              </w:rPr>
            </w:pPr>
            <w:r>
              <w:rPr>
                <w:rFonts w:cs="Arial"/>
                <w:sz w:val="18"/>
                <w:szCs w:val="18"/>
              </w:rPr>
              <w:t>(78,883)</w:t>
            </w:r>
          </w:p>
        </w:tc>
      </w:tr>
      <w:tr w:rsidR="00AB6753" w14:paraId="412318A9" w14:textId="77777777" w:rsidTr="002D1EA4">
        <w:trPr>
          <w:trHeight w:val="244"/>
        </w:trPr>
        <w:tc>
          <w:tcPr>
            <w:tcW w:w="4073" w:type="dxa"/>
            <w:tcBorders>
              <w:top w:val="nil"/>
              <w:left w:val="nil"/>
              <w:bottom w:val="nil"/>
              <w:right w:val="nil"/>
            </w:tcBorders>
            <w:shd w:val="clear" w:color="FFFFFF" w:fill="FFFFFF"/>
            <w:vAlign w:val="bottom"/>
            <w:hideMark/>
          </w:tcPr>
          <w:p w14:paraId="5EF160C0" w14:textId="77777777" w:rsidR="00AB6753" w:rsidRDefault="00AB6753" w:rsidP="002D1EA4">
            <w:pPr>
              <w:spacing w:after="0" w:line="240" w:lineRule="auto"/>
              <w:rPr>
                <w:rFonts w:cs="Arial"/>
                <w:b/>
                <w:bCs/>
                <w:sz w:val="18"/>
                <w:szCs w:val="18"/>
              </w:rPr>
            </w:pPr>
            <w:r>
              <w:rPr>
                <w:rFonts w:cs="Arial"/>
                <w:b/>
                <w:bCs/>
                <w:sz w:val="18"/>
                <w:szCs w:val="18"/>
              </w:rPr>
              <w:t>Closing balance as at 30 June</w:t>
            </w:r>
          </w:p>
        </w:tc>
        <w:tc>
          <w:tcPr>
            <w:tcW w:w="1234" w:type="dxa"/>
            <w:tcBorders>
              <w:top w:val="nil"/>
              <w:left w:val="nil"/>
              <w:bottom w:val="nil"/>
              <w:right w:val="nil"/>
            </w:tcBorders>
            <w:shd w:val="clear" w:color="FFFFFF" w:fill="FFFFFF"/>
            <w:noWrap/>
            <w:vAlign w:val="bottom"/>
            <w:hideMark/>
          </w:tcPr>
          <w:p w14:paraId="6D199CA9" w14:textId="77777777" w:rsidR="00AB6753" w:rsidRDefault="00AB6753" w:rsidP="002D1EA4">
            <w:pPr>
              <w:spacing w:after="0" w:line="240" w:lineRule="auto"/>
              <w:jc w:val="right"/>
              <w:rPr>
                <w:rFonts w:cs="Arial"/>
                <w:sz w:val="18"/>
                <w:szCs w:val="18"/>
              </w:rPr>
            </w:pPr>
            <w:r>
              <w:rPr>
                <w:rFonts w:cs="Arial"/>
                <w:sz w:val="18"/>
                <w:szCs w:val="18"/>
              </w:rPr>
              <w:t> </w:t>
            </w:r>
          </w:p>
        </w:tc>
        <w:tc>
          <w:tcPr>
            <w:tcW w:w="1235" w:type="dxa"/>
            <w:tcBorders>
              <w:top w:val="nil"/>
              <w:left w:val="nil"/>
              <w:bottom w:val="single" w:sz="4" w:space="0" w:color="auto"/>
              <w:right w:val="nil"/>
            </w:tcBorders>
            <w:shd w:val="clear" w:color="FFFFFF" w:fill="FFFFFF"/>
            <w:noWrap/>
            <w:vAlign w:val="bottom"/>
            <w:hideMark/>
          </w:tcPr>
          <w:p w14:paraId="0A9BE35A" w14:textId="77777777" w:rsidR="00AB6753" w:rsidRDefault="00AB6753" w:rsidP="002D1EA4">
            <w:pPr>
              <w:spacing w:after="0" w:line="240" w:lineRule="auto"/>
              <w:jc w:val="right"/>
              <w:rPr>
                <w:rFonts w:cs="Arial"/>
                <w:b/>
                <w:bCs/>
                <w:sz w:val="18"/>
                <w:szCs w:val="18"/>
              </w:rPr>
            </w:pPr>
            <w:r>
              <w:rPr>
                <w:rFonts w:cs="Arial"/>
                <w:b/>
                <w:bCs/>
                <w:sz w:val="18"/>
                <w:szCs w:val="18"/>
              </w:rPr>
              <w:t>(400,324)</w:t>
            </w:r>
          </w:p>
        </w:tc>
        <w:tc>
          <w:tcPr>
            <w:tcW w:w="236" w:type="dxa"/>
            <w:tcBorders>
              <w:top w:val="nil"/>
              <w:left w:val="nil"/>
              <w:bottom w:val="nil"/>
              <w:right w:val="nil"/>
            </w:tcBorders>
            <w:shd w:val="clear" w:color="FFFFFF" w:fill="FFFFFF"/>
            <w:noWrap/>
            <w:vAlign w:val="bottom"/>
            <w:hideMark/>
          </w:tcPr>
          <w:p w14:paraId="196DB32A"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single" w:sz="4" w:space="0" w:color="auto"/>
              <w:right w:val="nil"/>
            </w:tcBorders>
            <w:shd w:val="clear" w:color="FFFFFF" w:fill="FFFFFF"/>
            <w:noWrap/>
            <w:vAlign w:val="bottom"/>
            <w:hideMark/>
          </w:tcPr>
          <w:p w14:paraId="207EFFF7" w14:textId="77777777" w:rsidR="00AB6753" w:rsidRDefault="00AB6753" w:rsidP="002D1EA4">
            <w:pPr>
              <w:spacing w:after="0" w:line="240" w:lineRule="auto"/>
              <w:jc w:val="right"/>
              <w:rPr>
                <w:rFonts w:cs="Arial"/>
                <w:sz w:val="18"/>
                <w:szCs w:val="18"/>
              </w:rPr>
            </w:pPr>
            <w:r>
              <w:rPr>
                <w:rFonts w:cs="Arial"/>
                <w:sz w:val="18"/>
                <w:szCs w:val="18"/>
              </w:rPr>
              <w:t>(379,822)</w:t>
            </w:r>
          </w:p>
        </w:tc>
        <w:tc>
          <w:tcPr>
            <w:tcW w:w="236" w:type="dxa"/>
            <w:tcBorders>
              <w:top w:val="nil"/>
              <w:left w:val="nil"/>
              <w:bottom w:val="nil"/>
              <w:right w:val="nil"/>
            </w:tcBorders>
            <w:shd w:val="clear" w:color="FFFFFF" w:fill="FFFFFF"/>
            <w:noWrap/>
            <w:vAlign w:val="bottom"/>
            <w:hideMark/>
          </w:tcPr>
          <w:p w14:paraId="432E78ED"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single" w:sz="4" w:space="0" w:color="auto"/>
              <w:right w:val="nil"/>
            </w:tcBorders>
            <w:shd w:val="clear" w:color="FFFFFF" w:fill="FFFFFF"/>
            <w:noWrap/>
            <w:vAlign w:val="bottom"/>
            <w:hideMark/>
          </w:tcPr>
          <w:p w14:paraId="68E1FFE6" w14:textId="77777777" w:rsidR="00AB6753" w:rsidRDefault="00AB6753" w:rsidP="002D1EA4">
            <w:pPr>
              <w:spacing w:after="0" w:line="240" w:lineRule="auto"/>
              <w:jc w:val="right"/>
              <w:rPr>
                <w:rFonts w:cs="Arial"/>
                <w:sz w:val="18"/>
                <w:szCs w:val="18"/>
              </w:rPr>
            </w:pPr>
            <w:r>
              <w:rPr>
                <w:rFonts w:cs="Arial"/>
                <w:sz w:val="18"/>
                <w:szCs w:val="18"/>
              </w:rPr>
              <w:t>(473,195)</w:t>
            </w:r>
          </w:p>
        </w:tc>
      </w:tr>
      <w:tr w:rsidR="00AB6753" w14:paraId="6D6168FF" w14:textId="77777777" w:rsidTr="002D1EA4">
        <w:trPr>
          <w:trHeight w:val="244"/>
        </w:trPr>
        <w:tc>
          <w:tcPr>
            <w:tcW w:w="4073" w:type="dxa"/>
            <w:tcBorders>
              <w:top w:val="nil"/>
              <w:left w:val="nil"/>
              <w:bottom w:val="nil"/>
              <w:right w:val="nil"/>
            </w:tcBorders>
            <w:shd w:val="clear" w:color="FFFFFF" w:fill="FFFFFF"/>
            <w:vAlign w:val="bottom"/>
            <w:hideMark/>
          </w:tcPr>
          <w:p w14:paraId="7A75D9C4" w14:textId="77777777" w:rsidR="00AB6753" w:rsidRDefault="00AB6753" w:rsidP="002D1EA4">
            <w:pPr>
              <w:spacing w:after="0" w:line="240" w:lineRule="auto"/>
              <w:rPr>
                <w:rFonts w:cs="Arial"/>
                <w:b/>
                <w:bCs/>
                <w:sz w:val="18"/>
                <w:szCs w:val="18"/>
              </w:rPr>
            </w:pPr>
            <w:r>
              <w:rPr>
                <w:rFonts w:cs="Arial"/>
                <w:b/>
                <w:bCs/>
                <w:sz w:val="18"/>
                <w:szCs w:val="18"/>
              </w:rPr>
              <w:t> </w:t>
            </w:r>
          </w:p>
        </w:tc>
        <w:tc>
          <w:tcPr>
            <w:tcW w:w="1234" w:type="dxa"/>
            <w:tcBorders>
              <w:top w:val="nil"/>
              <w:left w:val="nil"/>
              <w:bottom w:val="nil"/>
              <w:right w:val="nil"/>
            </w:tcBorders>
            <w:shd w:val="clear" w:color="FFFFFF" w:fill="FFFFFF"/>
            <w:noWrap/>
            <w:vAlign w:val="bottom"/>
            <w:hideMark/>
          </w:tcPr>
          <w:p w14:paraId="16303442" w14:textId="77777777" w:rsidR="00AB6753" w:rsidRDefault="00AB6753" w:rsidP="002D1EA4">
            <w:pPr>
              <w:spacing w:after="0" w:line="240" w:lineRule="auto"/>
              <w:jc w:val="right"/>
              <w:rPr>
                <w:rFonts w:cs="Arial"/>
                <w:sz w:val="18"/>
                <w:szCs w:val="18"/>
              </w:rPr>
            </w:pPr>
            <w:r>
              <w:rPr>
                <w:rFonts w:cs="Arial"/>
                <w:sz w:val="18"/>
                <w:szCs w:val="18"/>
              </w:rPr>
              <w:t> </w:t>
            </w:r>
          </w:p>
        </w:tc>
        <w:tc>
          <w:tcPr>
            <w:tcW w:w="1235" w:type="dxa"/>
            <w:tcBorders>
              <w:top w:val="nil"/>
              <w:left w:val="nil"/>
              <w:bottom w:val="nil"/>
              <w:right w:val="nil"/>
            </w:tcBorders>
            <w:shd w:val="clear" w:color="FFFFFF" w:fill="FFFFFF"/>
            <w:noWrap/>
            <w:vAlign w:val="bottom"/>
            <w:hideMark/>
          </w:tcPr>
          <w:p w14:paraId="52518BC9"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1D6C869F"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67754B1D" w14:textId="77777777" w:rsidR="00AB6753" w:rsidRDefault="00AB6753" w:rsidP="002D1EA4">
            <w:pPr>
              <w:spacing w:after="0" w:line="240" w:lineRule="auto"/>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19CF9112"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4AFD2AD7"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77123F7B" w14:textId="77777777" w:rsidTr="002D1EA4">
        <w:trPr>
          <w:trHeight w:val="244"/>
        </w:trPr>
        <w:tc>
          <w:tcPr>
            <w:tcW w:w="4073" w:type="dxa"/>
            <w:tcBorders>
              <w:top w:val="nil"/>
              <w:left w:val="nil"/>
              <w:bottom w:val="nil"/>
              <w:right w:val="nil"/>
            </w:tcBorders>
            <w:shd w:val="clear" w:color="FFFFFF" w:fill="FFFFFF"/>
            <w:vAlign w:val="bottom"/>
            <w:hideMark/>
          </w:tcPr>
          <w:p w14:paraId="4D05F83F" w14:textId="77777777" w:rsidR="00AB6753" w:rsidRDefault="00AB6753" w:rsidP="002D1EA4">
            <w:pPr>
              <w:spacing w:after="0" w:line="240" w:lineRule="auto"/>
              <w:rPr>
                <w:rFonts w:cs="Arial"/>
                <w:b/>
                <w:bCs/>
                <w:sz w:val="18"/>
                <w:szCs w:val="18"/>
              </w:rPr>
            </w:pPr>
            <w:r>
              <w:rPr>
                <w:rFonts w:cs="Arial"/>
                <w:b/>
                <w:bCs/>
                <w:sz w:val="18"/>
                <w:szCs w:val="18"/>
              </w:rPr>
              <w:t>TOTAL EQUITY</w:t>
            </w:r>
          </w:p>
        </w:tc>
        <w:tc>
          <w:tcPr>
            <w:tcW w:w="1234" w:type="dxa"/>
            <w:tcBorders>
              <w:top w:val="nil"/>
              <w:left w:val="nil"/>
              <w:bottom w:val="nil"/>
              <w:right w:val="nil"/>
            </w:tcBorders>
            <w:shd w:val="clear" w:color="FFFFFF" w:fill="FFFFFF"/>
            <w:noWrap/>
            <w:vAlign w:val="bottom"/>
            <w:hideMark/>
          </w:tcPr>
          <w:p w14:paraId="79115B3B" w14:textId="77777777" w:rsidR="00AB6753" w:rsidRDefault="00AB6753" w:rsidP="002D1EA4">
            <w:pPr>
              <w:spacing w:after="0" w:line="240" w:lineRule="auto"/>
              <w:jc w:val="right"/>
              <w:rPr>
                <w:rFonts w:cs="Arial"/>
                <w:sz w:val="18"/>
                <w:szCs w:val="18"/>
              </w:rPr>
            </w:pPr>
            <w:r>
              <w:rPr>
                <w:rFonts w:cs="Arial"/>
                <w:sz w:val="18"/>
                <w:szCs w:val="18"/>
              </w:rPr>
              <w:t> </w:t>
            </w:r>
          </w:p>
        </w:tc>
        <w:tc>
          <w:tcPr>
            <w:tcW w:w="1235" w:type="dxa"/>
            <w:tcBorders>
              <w:top w:val="nil"/>
              <w:left w:val="nil"/>
              <w:bottom w:val="nil"/>
              <w:right w:val="nil"/>
            </w:tcBorders>
            <w:shd w:val="clear" w:color="FFFFFF" w:fill="FFFFFF"/>
            <w:noWrap/>
            <w:vAlign w:val="bottom"/>
            <w:hideMark/>
          </w:tcPr>
          <w:p w14:paraId="29E5D82D"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71A305FE"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1629E4B3" w14:textId="77777777" w:rsidR="00AB6753" w:rsidRDefault="00AB6753" w:rsidP="002D1EA4">
            <w:pPr>
              <w:spacing w:after="0" w:line="240" w:lineRule="auto"/>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60377194"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4A0D30B4"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6D31ACBB" w14:textId="77777777" w:rsidTr="002D1EA4">
        <w:trPr>
          <w:trHeight w:val="244"/>
        </w:trPr>
        <w:tc>
          <w:tcPr>
            <w:tcW w:w="4073" w:type="dxa"/>
            <w:tcBorders>
              <w:top w:val="nil"/>
              <w:left w:val="nil"/>
              <w:bottom w:val="nil"/>
              <w:right w:val="nil"/>
            </w:tcBorders>
            <w:shd w:val="clear" w:color="FFFFFF" w:fill="FFFFFF"/>
            <w:vAlign w:val="bottom"/>
            <w:hideMark/>
          </w:tcPr>
          <w:p w14:paraId="121A4693" w14:textId="77777777" w:rsidR="00AB6753" w:rsidRDefault="00AB6753" w:rsidP="002D1EA4">
            <w:pPr>
              <w:spacing w:after="0" w:line="240" w:lineRule="auto"/>
              <w:rPr>
                <w:rFonts w:cs="Arial"/>
                <w:b/>
                <w:bCs/>
                <w:sz w:val="18"/>
                <w:szCs w:val="18"/>
              </w:rPr>
            </w:pPr>
            <w:r>
              <w:rPr>
                <w:rFonts w:cs="Arial"/>
                <w:b/>
                <w:bCs/>
                <w:sz w:val="18"/>
                <w:szCs w:val="18"/>
              </w:rPr>
              <w:t>Opening balance</w:t>
            </w:r>
          </w:p>
        </w:tc>
        <w:tc>
          <w:tcPr>
            <w:tcW w:w="1234" w:type="dxa"/>
            <w:tcBorders>
              <w:top w:val="nil"/>
              <w:left w:val="nil"/>
              <w:bottom w:val="nil"/>
              <w:right w:val="nil"/>
            </w:tcBorders>
            <w:shd w:val="clear" w:color="FFFFFF" w:fill="FFFFFF"/>
            <w:noWrap/>
            <w:vAlign w:val="bottom"/>
            <w:hideMark/>
          </w:tcPr>
          <w:p w14:paraId="151236AB" w14:textId="77777777" w:rsidR="00AB6753" w:rsidRDefault="00AB6753" w:rsidP="002D1EA4">
            <w:pPr>
              <w:spacing w:after="0" w:line="240" w:lineRule="auto"/>
              <w:jc w:val="right"/>
              <w:rPr>
                <w:rFonts w:cs="Arial"/>
                <w:sz w:val="18"/>
                <w:szCs w:val="18"/>
              </w:rPr>
            </w:pPr>
            <w:r>
              <w:rPr>
                <w:rFonts w:cs="Arial"/>
                <w:sz w:val="18"/>
                <w:szCs w:val="18"/>
              </w:rPr>
              <w:t> </w:t>
            </w:r>
          </w:p>
        </w:tc>
        <w:tc>
          <w:tcPr>
            <w:tcW w:w="1235" w:type="dxa"/>
            <w:tcBorders>
              <w:top w:val="nil"/>
              <w:left w:val="nil"/>
              <w:bottom w:val="nil"/>
              <w:right w:val="nil"/>
            </w:tcBorders>
            <w:shd w:val="clear" w:color="FFFFFF" w:fill="FFFFFF"/>
            <w:noWrap/>
            <w:vAlign w:val="bottom"/>
            <w:hideMark/>
          </w:tcPr>
          <w:p w14:paraId="76C7F99C"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70BFDE6A"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0BC47562" w14:textId="77777777" w:rsidR="00AB6753" w:rsidRDefault="00AB6753" w:rsidP="002D1EA4">
            <w:pPr>
              <w:spacing w:after="0" w:line="240" w:lineRule="auto"/>
              <w:jc w:val="right"/>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0AD7E13C"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16E869DB"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191BFCFD" w14:textId="77777777" w:rsidTr="002D1EA4">
        <w:trPr>
          <w:trHeight w:val="244"/>
        </w:trPr>
        <w:tc>
          <w:tcPr>
            <w:tcW w:w="4073" w:type="dxa"/>
            <w:tcBorders>
              <w:top w:val="nil"/>
              <w:left w:val="nil"/>
              <w:bottom w:val="nil"/>
              <w:right w:val="nil"/>
            </w:tcBorders>
            <w:shd w:val="clear" w:color="FFFFFF" w:fill="FFFFFF"/>
            <w:vAlign w:val="bottom"/>
            <w:hideMark/>
          </w:tcPr>
          <w:p w14:paraId="25BC684A" w14:textId="77777777" w:rsidR="00AB6753" w:rsidRDefault="00AB6753" w:rsidP="002D1EA4">
            <w:pPr>
              <w:spacing w:after="0" w:line="240" w:lineRule="auto"/>
              <w:rPr>
                <w:rFonts w:cs="Arial"/>
                <w:sz w:val="18"/>
                <w:szCs w:val="18"/>
              </w:rPr>
            </w:pPr>
            <w:r>
              <w:rPr>
                <w:rFonts w:cs="Arial"/>
                <w:sz w:val="18"/>
                <w:szCs w:val="18"/>
              </w:rPr>
              <w:t>Balance carried forward from the previous period</w:t>
            </w:r>
          </w:p>
        </w:tc>
        <w:tc>
          <w:tcPr>
            <w:tcW w:w="1234" w:type="dxa"/>
            <w:tcBorders>
              <w:top w:val="nil"/>
              <w:left w:val="nil"/>
              <w:bottom w:val="nil"/>
              <w:right w:val="nil"/>
            </w:tcBorders>
            <w:shd w:val="clear" w:color="FFFFFF" w:fill="FFFFFF"/>
            <w:noWrap/>
            <w:vAlign w:val="bottom"/>
            <w:hideMark/>
          </w:tcPr>
          <w:p w14:paraId="47F99727" w14:textId="77777777" w:rsidR="00AB6753" w:rsidRDefault="00AB6753" w:rsidP="002D1EA4">
            <w:pPr>
              <w:spacing w:after="0" w:line="240" w:lineRule="auto"/>
              <w:jc w:val="right"/>
              <w:rPr>
                <w:rFonts w:cs="Arial"/>
                <w:sz w:val="18"/>
                <w:szCs w:val="18"/>
              </w:rPr>
            </w:pPr>
            <w:r>
              <w:rPr>
                <w:rFonts w:cs="Arial"/>
                <w:sz w:val="18"/>
                <w:szCs w:val="18"/>
              </w:rPr>
              <w:t> </w:t>
            </w:r>
          </w:p>
        </w:tc>
        <w:tc>
          <w:tcPr>
            <w:tcW w:w="1235" w:type="dxa"/>
            <w:tcBorders>
              <w:top w:val="nil"/>
              <w:left w:val="nil"/>
              <w:bottom w:val="nil"/>
              <w:right w:val="nil"/>
            </w:tcBorders>
            <w:shd w:val="clear" w:color="FFFFFF" w:fill="FFFFFF"/>
            <w:noWrap/>
            <w:vAlign w:val="bottom"/>
            <w:hideMark/>
          </w:tcPr>
          <w:p w14:paraId="4D289CD1" w14:textId="77777777" w:rsidR="00AB6753" w:rsidRDefault="00AB6753" w:rsidP="002D1EA4">
            <w:pPr>
              <w:spacing w:after="0" w:line="240" w:lineRule="auto"/>
              <w:jc w:val="right"/>
              <w:rPr>
                <w:rFonts w:cs="Arial"/>
                <w:b/>
                <w:bCs/>
                <w:sz w:val="18"/>
                <w:szCs w:val="18"/>
              </w:rPr>
            </w:pPr>
            <w:r>
              <w:rPr>
                <w:rFonts w:cs="Arial"/>
                <w:b/>
                <w:bCs/>
                <w:sz w:val="18"/>
                <w:szCs w:val="18"/>
              </w:rPr>
              <w:t>163,167</w:t>
            </w:r>
          </w:p>
        </w:tc>
        <w:tc>
          <w:tcPr>
            <w:tcW w:w="236" w:type="dxa"/>
            <w:tcBorders>
              <w:top w:val="nil"/>
              <w:left w:val="nil"/>
              <w:bottom w:val="nil"/>
              <w:right w:val="nil"/>
            </w:tcBorders>
            <w:shd w:val="clear" w:color="FFFFFF" w:fill="FFFFFF"/>
            <w:noWrap/>
            <w:vAlign w:val="bottom"/>
            <w:hideMark/>
          </w:tcPr>
          <w:p w14:paraId="2A14DC1D"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7D4D045F" w14:textId="77777777" w:rsidR="00AB6753" w:rsidRDefault="00AB6753" w:rsidP="002D1EA4">
            <w:pPr>
              <w:spacing w:after="0" w:line="240" w:lineRule="auto"/>
              <w:jc w:val="right"/>
              <w:rPr>
                <w:rFonts w:cs="Arial"/>
                <w:sz w:val="18"/>
                <w:szCs w:val="18"/>
              </w:rPr>
            </w:pPr>
            <w:r>
              <w:rPr>
                <w:rFonts w:cs="Arial"/>
                <w:sz w:val="18"/>
                <w:szCs w:val="18"/>
              </w:rPr>
              <w:t>202,589</w:t>
            </w:r>
          </w:p>
        </w:tc>
        <w:tc>
          <w:tcPr>
            <w:tcW w:w="236" w:type="dxa"/>
            <w:tcBorders>
              <w:top w:val="nil"/>
              <w:left w:val="nil"/>
              <w:bottom w:val="nil"/>
              <w:right w:val="nil"/>
            </w:tcBorders>
            <w:shd w:val="clear" w:color="FFFFFF" w:fill="FFFFFF"/>
            <w:noWrap/>
            <w:vAlign w:val="bottom"/>
            <w:hideMark/>
          </w:tcPr>
          <w:p w14:paraId="0EADA76D"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36FCBE44" w14:textId="77777777" w:rsidR="00AB6753" w:rsidRDefault="00AB6753" w:rsidP="002D1EA4">
            <w:pPr>
              <w:spacing w:after="0" w:line="240" w:lineRule="auto"/>
              <w:jc w:val="right"/>
              <w:rPr>
                <w:rFonts w:cs="Arial"/>
                <w:sz w:val="18"/>
                <w:szCs w:val="18"/>
              </w:rPr>
            </w:pPr>
            <w:r>
              <w:rPr>
                <w:rFonts w:cs="Arial"/>
                <w:sz w:val="18"/>
                <w:szCs w:val="18"/>
              </w:rPr>
              <w:t>150,572</w:t>
            </w:r>
          </w:p>
        </w:tc>
      </w:tr>
      <w:tr w:rsidR="00AB6753" w14:paraId="25432A9C" w14:textId="77777777" w:rsidTr="002D1EA4">
        <w:trPr>
          <w:trHeight w:val="244"/>
        </w:trPr>
        <w:tc>
          <w:tcPr>
            <w:tcW w:w="4073" w:type="dxa"/>
            <w:tcBorders>
              <w:top w:val="nil"/>
              <w:left w:val="nil"/>
              <w:bottom w:val="nil"/>
              <w:right w:val="nil"/>
            </w:tcBorders>
            <w:shd w:val="clear" w:color="FFFFFF" w:fill="FFFFFF"/>
            <w:vAlign w:val="bottom"/>
            <w:hideMark/>
          </w:tcPr>
          <w:p w14:paraId="61C537EC" w14:textId="77777777" w:rsidR="00AB6753" w:rsidRDefault="00AB6753" w:rsidP="002D1EA4">
            <w:pPr>
              <w:spacing w:after="0" w:line="240" w:lineRule="auto"/>
              <w:rPr>
                <w:rFonts w:cs="Arial"/>
                <w:sz w:val="18"/>
                <w:szCs w:val="18"/>
              </w:rPr>
            </w:pPr>
            <w:r>
              <w:rPr>
                <w:rFonts w:cs="Arial"/>
                <w:sz w:val="18"/>
                <w:szCs w:val="18"/>
              </w:rPr>
              <w:t>Adjustment on initial application of AASB 16</w:t>
            </w:r>
          </w:p>
        </w:tc>
        <w:tc>
          <w:tcPr>
            <w:tcW w:w="1234" w:type="dxa"/>
            <w:tcBorders>
              <w:top w:val="nil"/>
              <w:left w:val="nil"/>
              <w:bottom w:val="nil"/>
              <w:right w:val="nil"/>
            </w:tcBorders>
            <w:shd w:val="clear" w:color="FFFFFF" w:fill="FFFFFF"/>
            <w:noWrap/>
            <w:vAlign w:val="bottom"/>
            <w:hideMark/>
          </w:tcPr>
          <w:p w14:paraId="65FF338C" w14:textId="77777777" w:rsidR="00AB6753" w:rsidRDefault="00AB6753" w:rsidP="002D1EA4">
            <w:pPr>
              <w:spacing w:after="0" w:line="240" w:lineRule="auto"/>
              <w:jc w:val="right"/>
              <w:rPr>
                <w:rFonts w:cs="Arial"/>
                <w:sz w:val="18"/>
                <w:szCs w:val="18"/>
              </w:rPr>
            </w:pPr>
            <w:r>
              <w:rPr>
                <w:rFonts w:cs="Arial"/>
                <w:sz w:val="18"/>
                <w:szCs w:val="18"/>
              </w:rPr>
              <w:t> </w:t>
            </w:r>
          </w:p>
        </w:tc>
        <w:tc>
          <w:tcPr>
            <w:tcW w:w="1235" w:type="dxa"/>
            <w:tcBorders>
              <w:top w:val="nil"/>
              <w:left w:val="nil"/>
              <w:bottom w:val="nil"/>
              <w:right w:val="nil"/>
            </w:tcBorders>
            <w:shd w:val="clear" w:color="FFFFFF" w:fill="FFFFFF"/>
            <w:noWrap/>
            <w:vAlign w:val="bottom"/>
            <w:hideMark/>
          </w:tcPr>
          <w:p w14:paraId="0A696166" w14:textId="77777777" w:rsidR="00AB6753" w:rsidRDefault="00AB6753" w:rsidP="002D1EA4">
            <w:pPr>
              <w:spacing w:after="0" w:line="240" w:lineRule="auto"/>
              <w:jc w:val="right"/>
              <w:rPr>
                <w:rFonts w:cs="Arial"/>
                <w:b/>
                <w:bCs/>
                <w:sz w:val="18"/>
                <w:szCs w:val="18"/>
              </w:rPr>
            </w:pPr>
            <w:r>
              <w:rPr>
                <w:rFonts w:cs="Arial"/>
                <w:b/>
                <w:bCs/>
                <w:sz w:val="18"/>
                <w:szCs w:val="18"/>
              </w:rPr>
              <w:t>36,203</w:t>
            </w:r>
          </w:p>
        </w:tc>
        <w:tc>
          <w:tcPr>
            <w:tcW w:w="236" w:type="dxa"/>
            <w:tcBorders>
              <w:top w:val="nil"/>
              <w:left w:val="nil"/>
              <w:bottom w:val="nil"/>
              <w:right w:val="nil"/>
            </w:tcBorders>
            <w:shd w:val="clear" w:color="FFFFFF" w:fill="FFFFFF"/>
            <w:noWrap/>
            <w:vAlign w:val="bottom"/>
            <w:hideMark/>
          </w:tcPr>
          <w:p w14:paraId="07CA29E0"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71B5231B" w14:textId="77777777" w:rsidR="00AB6753" w:rsidRDefault="00AB6753" w:rsidP="002D1EA4">
            <w:pPr>
              <w:spacing w:after="0" w:line="240" w:lineRule="auto"/>
              <w:jc w:val="right"/>
              <w:rPr>
                <w:rFonts w:cs="Arial"/>
                <w:sz w:val="18"/>
                <w:szCs w:val="18"/>
              </w:rPr>
            </w:pPr>
            <w:r>
              <w:rPr>
                <w:rFonts w:cs="Arial"/>
                <w:sz w:val="18"/>
                <w:szCs w:val="18"/>
              </w:rPr>
              <w:t>-</w:t>
            </w:r>
          </w:p>
        </w:tc>
        <w:tc>
          <w:tcPr>
            <w:tcW w:w="236" w:type="dxa"/>
            <w:tcBorders>
              <w:top w:val="nil"/>
              <w:left w:val="nil"/>
              <w:bottom w:val="nil"/>
              <w:right w:val="nil"/>
            </w:tcBorders>
            <w:shd w:val="clear" w:color="FFFFFF" w:fill="FFFFFF"/>
            <w:noWrap/>
            <w:vAlign w:val="bottom"/>
            <w:hideMark/>
          </w:tcPr>
          <w:p w14:paraId="4D10AD82"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13DD20E2" w14:textId="77777777" w:rsidR="00AB6753" w:rsidRDefault="00AB6753" w:rsidP="002D1EA4">
            <w:pPr>
              <w:spacing w:after="0" w:line="240" w:lineRule="auto"/>
              <w:jc w:val="right"/>
              <w:rPr>
                <w:rFonts w:cs="Arial"/>
                <w:sz w:val="18"/>
                <w:szCs w:val="18"/>
              </w:rPr>
            </w:pPr>
            <w:r>
              <w:rPr>
                <w:rFonts w:cs="Arial"/>
                <w:sz w:val="18"/>
                <w:szCs w:val="18"/>
              </w:rPr>
              <w:t>-</w:t>
            </w:r>
          </w:p>
        </w:tc>
      </w:tr>
      <w:tr w:rsidR="00AB6753" w14:paraId="5DD6574E" w14:textId="77777777" w:rsidTr="002D1EA4">
        <w:trPr>
          <w:trHeight w:val="244"/>
        </w:trPr>
        <w:tc>
          <w:tcPr>
            <w:tcW w:w="4073" w:type="dxa"/>
            <w:tcBorders>
              <w:top w:val="nil"/>
              <w:left w:val="nil"/>
              <w:bottom w:val="nil"/>
              <w:right w:val="nil"/>
            </w:tcBorders>
            <w:shd w:val="clear" w:color="FFFFFF" w:fill="FFFFFF"/>
            <w:vAlign w:val="bottom"/>
            <w:hideMark/>
          </w:tcPr>
          <w:p w14:paraId="1CC67878" w14:textId="77777777" w:rsidR="00AB6753" w:rsidRDefault="00AB6753" w:rsidP="002D1EA4">
            <w:pPr>
              <w:spacing w:after="0" w:line="240" w:lineRule="auto"/>
              <w:rPr>
                <w:rFonts w:cs="Arial"/>
                <w:sz w:val="18"/>
                <w:szCs w:val="18"/>
              </w:rPr>
            </w:pPr>
            <w:r>
              <w:rPr>
                <w:rFonts w:cs="Arial"/>
                <w:sz w:val="18"/>
                <w:szCs w:val="18"/>
              </w:rPr>
              <w:t>Comprehensive loss for the period</w:t>
            </w:r>
          </w:p>
        </w:tc>
        <w:tc>
          <w:tcPr>
            <w:tcW w:w="1234" w:type="dxa"/>
            <w:tcBorders>
              <w:top w:val="nil"/>
              <w:left w:val="nil"/>
              <w:bottom w:val="nil"/>
              <w:right w:val="nil"/>
            </w:tcBorders>
            <w:shd w:val="clear" w:color="FFFFFF" w:fill="FFFFFF"/>
            <w:noWrap/>
            <w:vAlign w:val="bottom"/>
            <w:hideMark/>
          </w:tcPr>
          <w:p w14:paraId="05084640" w14:textId="77777777" w:rsidR="00AB6753" w:rsidRDefault="00AB6753" w:rsidP="002D1EA4">
            <w:pPr>
              <w:spacing w:after="0" w:line="240" w:lineRule="auto"/>
              <w:jc w:val="right"/>
              <w:rPr>
                <w:rFonts w:cs="Arial"/>
                <w:sz w:val="18"/>
                <w:szCs w:val="18"/>
              </w:rPr>
            </w:pPr>
            <w:r>
              <w:rPr>
                <w:rFonts w:cs="Arial"/>
                <w:sz w:val="18"/>
                <w:szCs w:val="18"/>
              </w:rPr>
              <w:t> </w:t>
            </w:r>
          </w:p>
        </w:tc>
        <w:tc>
          <w:tcPr>
            <w:tcW w:w="1235" w:type="dxa"/>
            <w:tcBorders>
              <w:top w:val="nil"/>
              <w:left w:val="nil"/>
              <w:bottom w:val="nil"/>
              <w:right w:val="nil"/>
            </w:tcBorders>
            <w:shd w:val="clear" w:color="FFFFFF" w:fill="FFFFFF"/>
            <w:noWrap/>
            <w:vAlign w:val="bottom"/>
            <w:hideMark/>
          </w:tcPr>
          <w:p w14:paraId="297BB0A3" w14:textId="77777777" w:rsidR="00AB6753" w:rsidRDefault="00AB6753" w:rsidP="002D1EA4">
            <w:pPr>
              <w:spacing w:after="0" w:line="240" w:lineRule="auto"/>
              <w:jc w:val="right"/>
              <w:rPr>
                <w:rFonts w:cs="Arial"/>
                <w:b/>
                <w:bCs/>
                <w:sz w:val="18"/>
                <w:szCs w:val="18"/>
              </w:rPr>
            </w:pPr>
            <w:r>
              <w:rPr>
                <w:rFonts w:cs="Arial"/>
                <w:b/>
                <w:bCs/>
                <w:sz w:val="18"/>
                <w:szCs w:val="18"/>
              </w:rPr>
              <w:t>(56,713)</w:t>
            </w:r>
          </w:p>
        </w:tc>
        <w:tc>
          <w:tcPr>
            <w:tcW w:w="236" w:type="dxa"/>
            <w:tcBorders>
              <w:top w:val="nil"/>
              <w:left w:val="nil"/>
              <w:bottom w:val="nil"/>
              <w:right w:val="nil"/>
            </w:tcBorders>
            <w:shd w:val="clear" w:color="FFFFFF" w:fill="FFFFFF"/>
            <w:noWrap/>
            <w:vAlign w:val="bottom"/>
            <w:hideMark/>
          </w:tcPr>
          <w:p w14:paraId="09341737"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2E6B3CB9" w14:textId="77777777" w:rsidR="00AB6753" w:rsidRDefault="00AB6753" w:rsidP="002D1EA4">
            <w:pPr>
              <w:spacing w:after="0" w:line="240" w:lineRule="auto"/>
              <w:jc w:val="right"/>
              <w:rPr>
                <w:rFonts w:cs="Arial"/>
                <w:sz w:val="18"/>
                <w:szCs w:val="18"/>
              </w:rPr>
            </w:pPr>
            <w:r>
              <w:rPr>
                <w:rFonts w:cs="Arial"/>
                <w:sz w:val="18"/>
                <w:szCs w:val="18"/>
              </w:rPr>
              <w:t>(72,837)</w:t>
            </w:r>
          </w:p>
        </w:tc>
        <w:tc>
          <w:tcPr>
            <w:tcW w:w="236" w:type="dxa"/>
            <w:tcBorders>
              <w:top w:val="nil"/>
              <w:left w:val="nil"/>
              <w:bottom w:val="nil"/>
              <w:right w:val="nil"/>
            </w:tcBorders>
            <w:shd w:val="clear" w:color="FFFFFF" w:fill="FFFFFF"/>
            <w:noWrap/>
            <w:vAlign w:val="bottom"/>
            <w:hideMark/>
          </w:tcPr>
          <w:p w14:paraId="63055155"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5E0E18B2" w14:textId="77777777" w:rsidR="00AB6753" w:rsidRDefault="00AB6753" w:rsidP="002D1EA4">
            <w:pPr>
              <w:spacing w:after="0" w:line="240" w:lineRule="auto"/>
              <w:jc w:val="right"/>
              <w:rPr>
                <w:rFonts w:cs="Arial"/>
                <w:sz w:val="18"/>
                <w:szCs w:val="18"/>
              </w:rPr>
            </w:pPr>
            <w:r>
              <w:rPr>
                <w:rFonts w:cs="Arial"/>
                <w:sz w:val="18"/>
                <w:szCs w:val="18"/>
              </w:rPr>
              <w:t>(78,883)</w:t>
            </w:r>
          </w:p>
        </w:tc>
      </w:tr>
      <w:tr w:rsidR="00AB6753" w14:paraId="036030CA" w14:textId="77777777" w:rsidTr="002D1EA4">
        <w:trPr>
          <w:trHeight w:val="244"/>
        </w:trPr>
        <w:tc>
          <w:tcPr>
            <w:tcW w:w="4073" w:type="dxa"/>
            <w:tcBorders>
              <w:top w:val="nil"/>
              <w:left w:val="nil"/>
              <w:bottom w:val="nil"/>
              <w:right w:val="nil"/>
            </w:tcBorders>
            <w:shd w:val="clear" w:color="FFFFFF" w:fill="FFFFFF"/>
            <w:vAlign w:val="bottom"/>
            <w:hideMark/>
          </w:tcPr>
          <w:p w14:paraId="02E021BB" w14:textId="77777777" w:rsidR="00AB6753" w:rsidRDefault="00AB6753" w:rsidP="002D1EA4">
            <w:pPr>
              <w:spacing w:after="0" w:line="240" w:lineRule="auto"/>
              <w:rPr>
                <w:rFonts w:cs="Arial"/>
                <w:sz w:val="18"/>
                <w:szCs w:val="18"/>
              </w:rPr>
            </w:pPr>
            <w:r>
              <w:rPr>
                <w:rFonts w:cs="Arial"/>
                <w:sz w:val="18"/>
                <w:szCs w:val="18"/>
              </w:rPr>
              <w:t>Transactions with owners</w:t>
            </w:r>
          </w:p>
        </w:tc>
        <w:tc>
          <w:tcPr>
            <w:tcW w:w="1234" w:type="dxa"/>
            <w:tcBorders>
              <w:top w:val="nil"/>
              <w:left w:val="nil"/>
              <w:bottom w:val="nil"/>
              <w:right w:val="nil"/>
            </w:tcBorders>
            <w:shd w:val="clear" w:color="FFFFFF" w:fill="FFFFFF"/>
            <w:noWrap/>
            <w:vAlign w:val="bottom"/>
            <w:hideMark/>
          </w:tcPr>
          <w:p w14:paraId="6B7AC6F7" w14:textId="77777777" w:rsidR="00AB6753" w:rsidRDefault="00AB6753" w:rsidP="002D1EA4">
            <w:pPr>
              <w:spacing w:after="0" w:line="240" w:lineRule="auto"/>
              <w:jc w:val="right"/>
              <w:rPr>
                <w:rFonts w:cs="Arial"/>
                <w:sz w:val="18"/>
                <w:szCs w:val="18"/>
              </w:rPr>
            </w:pPr>
            <w:r>
              <w:rPr>
                <w:rFonts w:cs="Arial"/>
                <w:sz w:val="18"/>
                <w:szCs w:val="18"/>
              </w:rPr>
              <w:t> </w:t>
            </w:r>
          </w:p>
        </w:tc>
        <w:tc>
          <w:tcPr>
            <w:tcW w:w="1235" w:type="dxa"/>
            <w:tcBorders>
              <w:top w:val="nil"/>
              <w:left w:val="nil"/>
              <w:bottom w:val="nil"/>
              <w:right w:val="nil"/>
            </w:tcBorders>
            <w:shd w:val="clear" w:color="FFFFFF" w:fill="FFFFFF"/>
            <w:noWrap/>
            <w:vAlign w:val="bottom"/>
            <w:hideMark/>
          </w:tcPr>
          <w:p w14:paraId="602FEF3C" w14:textId="77777777" w:rsidR="00AB6753" w:rsidRDefault="00AB6753" w:rsidP="002D1EA4">
            <w:pPr>
              <w:spacing w:after="0" w:line="240" w:lineRule="auto"/>
              <w:jc w:val="right"/>
              <w:rPr>
                <w:rFonts w:cs="Arial"/>
                <w:b/>
                <w:bCs/>
                <w:sz w:val="18"/>
                <w:szCs w:val="18"/>
              </w:rPr>
            </w:pPr>
            <w:r>
              <w:rPr>
                <w:rFonts w:cs="Arial"/>
                <w:b/>
                <w:bCs/>
                <w:sz w:val="18"/>
                <w:szCs w:val="18"/>
              </w:rPr>
              <w:t>(136,211)</w:t>
            </w:r>
          </w:p>
        </w:tc>
        <w:tc>
          <w:tcPr>
            <w:tcW w:w="236" w:type="dxa"/>
            <w:tcBorders>
              <w:top w:val="nil"/>
              <w:left w:val="nil"/>
              <w:bottom w:val="nil"/>
              <w:right w:val="nil"/>
            </w:tcBorders>
            <w:shd w:val="clear" w:color="FFFFFF" w:fill="FFFFFF"/>
            <w:noWrap/>
            <w:vAlign w:val="bottom"/>
            <w:hideMark/>
          </w:tcPr>
          <w:p w14:paraId="29F9CB28"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nil"/>
              <w:left w:val="nil"/>
              <w:bottom w:val="nil"/>
              <w:right w:val="nil"/>
            </w:tcBorders>
            <w:shd w:val="clear" w:color="FFFFFF" w:fill="FFFFFF"/>
            <w:noWrap/>
            <w:vAlign w:val="bottom"/>
            <w:hideMark/>
          </w:tcPr>
          <w:p w14:paraId="6EF388C2" w14:textId="77777777" w:rsidR="00AB6753" w:rsidRDefault="00AB6753" w:rsidP="002D1EA4">
            <w:pPr>
              <w:spacing w:after="0" w:line="240" w:lineRule="auto"/>
              <w:jc w:val="right"/>
              <w:rPr>
                <w:rFonts w:cs="Arial"/>
                <w:sz w:val="18"/>
                <w:szCs w:val="18"/>
              </w:rPr>
            </w:pPr>
            <w:r>
              <w:rPr>
                <w:rFonts w:cs="Arial"/>
                <w:sz w:val="18"/>
                <w:szCs w:val="18"/>
              </w:rPr>
              <w:t>33,415</w:t>
            </w:r>
          </w:p>
        </w:tc>
        <w:tc>
          <w:tcPr>
            <w:tcW w:w="236" w:type="dxa"/>
            <w:tcBorders>
              <w:top w:val="nil"/>
              <w:left w:val="nil"/>
              <w:bottom w:val="nil"/>
              <w:right w:val="nil"/>
            </w:tcBorders>
            <w:shd w:val="clear" w:color="FFFFFF" w:fill="FFFFFF"/>
            <w:noWrap/>
            <w:vAlign w:val="bottom"/>
            <w:hideMark/>
          </w:tcPr>
          <w:p w14:paraId="0FD26268"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nil"/>
              <w:left w:val="nil"/>
              <w:bottom w:val="nil"/>
              <w:right w:val="nil"/>
            </w:tcBorders>
            <w:shd w:val="clear" w:color="FFFFFF" w:fill="FFFFFF"/>
            <w:noWrap/>
            <w:vAlign w:val="bottom"/>
            <w:hideMark/>
          </w:tcPr>
          <w:p w14:paraId="1515E0DD" w14:textId="77777777" w:rsidR="00AB6753" w:rsidRDefault="00AB6753" w:rsidP="002D1EA4">
            <w:pPr>
              <w:spacing w:after="0" w:line="240" w:lineRule="auto"/>
              <w:jc w:val="right"/>
              <w:rPr>
                <w:rFonts w:cs="Arial"/>
                <w:sz w:val="18"/>
                <w:szCs w:val="18"/>
              </w:rPr>
            </w:pPr>
            <w:r>
              <w:rPr>
                <w:rFonts w:cs="Arial"/>
                <w:sz w:val="18"/>
                <w:szCs w:val="18"/>
              </w:rPr>
              <w:t>28,358</w:t>
            </w:r>
          </w:p>
        </w:tc>
      </w:tr>
      <w:tr w:rsidR="00AB6753" w14:paraId="6499ECB0" w14:textId="77777777" w:rsidTr="002D1EA4">
        <w:trPr>
          <w:trHeight w:val="244"/>
        </w:trPr>
        <w:tc>
          <w:tcPr>
            <w:tcW w:w="4073" w:type="dxa"/>
            <w:tcBorders>
              <w:top w:val="nil"/>
              <w:left w:val="nil"/>
              <w:bottom w:val="nil"/>
              <w:right w:val="nil"/>
            </w:tcBorders>
            <w:shd w:val="clear" w:color="FFFFFF" w:fill="FFFFFF"/>
            <w:vAlign w:val="bottom"/>
            <w:hideMark/>
          </w:tcPr>
          <w:p w14:paraId="1C3C7932" w14:textId="77777777" w:rsidR="00AB6753" w:rsidRDefault="00AB6753" w:rsidP="002D1EA4">
            <w:pPr>
              <w:spacing w:after="0" w:line="240" w:lineRule="auto"/>
              <w:rPr>
                <w:rFonts w:cs="Arial"/>
                <w:b/>
                <w:bCs/>
                <w:sz w:val="18"/>
                <w:szCs w:val="18"/>
              </w:rPr>
            </w:pPr>
            <w:r>
              <w:rPr>
                <w:rFonts w:cs="Arial"/>
                <w:b/>
                <w:bCs/>
                <w:sz w:val="18"/>
                <w:szCs w:val="18"/>
              </w:rPr>
              <w:t>Closing balance as at 30 June</w:t>
            </w:r>
          </w:p>
        </w:tc>
        <w:tc>
          <w:tcPr>
            <w:tcW w:w="1234" w:type="dxa"/>
            <w:tcBorders>
              <w:top w:val="nil"/>
              <w:left w:val="nil"/>
              <w:bottom w:val="nil"/>
              <w:right w:val="nil"/>
            </w:tcBorders>
            <w:shd w:val="clear" w:color="FFFFFF" w:fill="FFFFFF"/>
            <w:noWrap/>
            <w:vAlign w:val="bottom"/>
            <w:hideMark/>
          </w:tcPr>
          <w:p w14:paraId="57023566" w14:textId="77777777" w:rsidR="00AB6753" w:rsidRDefault="00AB6753" w:rsidP="002D1EA4">
            <w:pPr>
              <w:spacing w:after="0" w:line="240" w:lineRule="auto"/>
              <w:jc w:val="right"/>
              <w:rPr>
                <w:rFonts w:cs="Arial"/>
                <w:sz w:val="18"/>
                <w:szCs w:val="18"/>
              </w:rPr>
            </w:pPr>
            <w:r>
              <w:rPr>
                <w:rFonts w:cs="Arial"/>
                <w:sz w:val="18"/>
                <w:szCs w:val="18"/>
              </w:rPr>
              <w:t> </w:t>
            </w:r>
          </w:p>
        </w:tc>
        <w:tc>
          <w:tcPr>
            <w:tcW w:w="1235" w:type="dxa"/>
            <w:tcBorders>
              <w:top w:val="single" w:sz="4" w:space="0" w:color="auto"/>
              <w:left w:val="nil"/>
              <w:bottom w:val="single" w:sz="4" w:space="0" w:color="auto"/>
              <w:right w:val="nil"/>
            </w:tcBorders>
            <w:shd w:val="clear" w:color="FFFFFF" w:fill="FFFFFF"/>
            <w:noWrap/>
            <w:vAlign w:val="bottom"/>
            <w:hideMark/>
          </w:tcPr>
          <w:p w14:paraId="0AC779C7" w14:textId="77777777" w:rsidR="00AB6753" w:rsidRDefault="00AB6753" w:rsidP="002D1EA4">
            <w:pPr>
              <w:spacing w:after="0" w:line="240" w:lineRule="auto"/>
              <w:jc w:val="right"/>
              <w:rPr>
                <w:rFonts w:cs="Arial"/>
                <w:b/>
                <w:bCs/>
                <w:sz w:val="18"/>
                <w:szCs w:val="18"/>
              </w:rPr>
            </w:pPr>
            <w:r>
              <w:rPr>
                <w:rFonts w:cs="Arial"/>
                <w:b/>
                <w:bCs/>
                <w:sz w:val="18"/>
                <w:szCs w:val="18"/>
              </w:rPr>
              <w:t>6,446</w:t>
            </w:r>
          </w:p>
        </w:tc>
        <w:tc>
          <w:tcPr>
            <w:tcW w:w="236" w:type="dxa"/>
            <w:tcBorders>
              <w:top w:val="nil"/>
              <w:left w:val="nil"/>
              <w:bottom w:val="nil"/>
              <w:right w:val="nil"/>
            </w:tcBorders>
            <w:shd w:val="clear" w:color="FFFFFF" w:fill="FFFFFF"/>
            <w:noWrap/>
            <w:vAlign w:val="bottom"/>
            <w:hideMark/>
          </w:tcPr>
          <w:p w14:paraId="2197741A" w14:textId="77777777" w:rsidR="00AB6753" w:rsidRDefault="00AB6753" w:rsidP="002D1EA4">
            <w:pPr>
              <w:spacing w:after="0" w:line="240" w:lineRule="auto"/>
              <w:rPr>
                <w:rFonts w:cs="Arial"/>
                <w:b/>
                <w:bCs/>
                <w:sz w:val="18"/>
                <w:szCs w:val="18"/>
              </w:rPr>
            </w:pPr>
            <w:r>
              <w:rPr>
                <w:rFonts w:cs="Arial"/>
                <w:b/>
                <w:bCs/>
                <w:sz w:val="18"/>
                <w:szCs w:val="18"/>
              </w:rPr>
              <w:t> </w:t>
            </w:r>
          </w:p>
        </w:tc>
        <w:tc>
          <w:tcPr>
            <w:tcW w:w="1235" w:type="dxa"/>
            <w:tcBorders>
              <w:top w:val="single" w:sz="4" w:space="0" w:color="auto"/>
              <w:left w:val="nil"/>
              <w:bottom w:val="single" w:sz="4" w:space="0" w:color="auto"/>
              <w:right w:val="nil"/>
            </w:tcBorders>
            <w:shd w:val="clear" w:color="FFFFFF" w:fill="FFFFFF"/>
            <w:noWrap/>
            <w:vAlign w:val="bottom"/>
            <w:hideMark/>
          </w:tcPr>
          <w:p w14:paraId="4A4DD4BF" w14:textId="77777777" w:rsidR="00AB6753" w:rsidRDefault="00AB6753" w:rsidP="002D1EA4">
            <w:pPr>
              <w:spacing w:after="0" w:line="240" w:lineRule="auto"/>
              <w:jc w:val="right"/>
              <w:rPr>
                <w:rFonts w:cs="Arial"/>
                <w:sz w:val="18"/>
                <w:szCs w:val="18"/>
              </w:rPr>
            </w:pPr>
            <w:r>
              <w:rPr>
                <w:rFonts w:cs="Arial"/>
                <w:sz w:val="18"/>
                <w:szCs w:val="18"/>
              </w:rPr>
              <w:t>163,167</w:t>
            </w:r>
          </w:p>
        </w:tc>
        <w:tc>
          <w:tcPr>
            <w:tcW w:w="236" w:type="dxa"/>
            <w:tcBorders>
              <w:top w:val="nil"/>
              <w:left w:val="nil"/>
              <w:bottom w:val="nil"/>
              <w:right w:val="nil"/>
            </w:tcBorders>
            <w:shd w:val="clear" w:color="FFFFFF" w:fill="FFFFFF"/>
            <w:noWrap/>
            <w:vAlign w:val="bottom"/>
            <w:hideMark/>
          </w:tcPr>
          <w:p w14:paraId="26E79248" w14:textId="77777777" w:rsidR="00AB6753" w:rsidRDefault="00AB6753" w:rsidP="002D1EA4">
            <w:pPr>
              <w:spacing w:after="0" w:line="240" w:lineRule="auto"/>
              <w:jc w:val="right"/>
              <w:rPr>
                <w:rFonts w:cs="Arial"/>
                <w:sz w:val="18"/>
                <w:szCs w:val="18"/>
              </w:rPr>
            </w:pPr>
            <w:r>
              <w:rPr>
                <w:rFonts w:cs="Arial"/>
                <w:sz w:val="18"/>
                <w:szCs w:val="18"/>
              </w:rPr>
              <w:t> </w:t>
            </w:r>
          </w:p>
        </w:tc>
        <w:tc>
          <w:tcPr>
            <w:tcW w:w="1156" w:type="dxa"/>
            <w:tcBorders>
              <w:top w:val="single" w:sz="4" w:space="0" w:color="auto"/>
              <w:left w:val="nil"/>
              <w:bottom w:val="single" w:sz="4" w:space="0" w:color="auto"/>
              <w:right w:val="nil"/>
            </w:tcBorders>
            <w:shd w:val="clear" w:color="FFFFFF" w:fill="FFFFFF"/>
            <w:noWrap/>
            <w:vAlign w:val="bottom"/>
            <w:hideMark/>
          </w:tcPr>
          <w:p w14:paraId="1CE3A767" w14:textId="77777777" w:rsidR="00AB6753" w:rsidRDefault="00AB6753" w:rsidP="002D1EA4">
            <w:pPr>
              <w:spacing w:after="0" w:line="240" w:lineRule="auto"/>
              <w:jc w:val="right"/>
              <w:rPr>
                <w:rFonts w:cs="Arial"/>
                <w:sz w:val="18"/>
                <w:szCs w:val="18"/>
              </w:rPr>
            </w:pPr>
            <w:r>
              <w:rPr>
                <w:rFonts w:cs="Arial"/>
                <w:sz w:val="18"/>
                <w:szCs w:val="18"/>
              </w:rPr>
              <w:t>100,047</w:t>
            </w:r>
          </w:p>
        </w:tc>
      </w:tr>
    </w:tbl>
    <w:p w14:paraId="001A06B7" w14:textId="77777777" w:rsidR="00AB6753" w:rsidRDefault="00AB6753" w:rsidP="00AB6753"/>
    <w:p w14:paraId="018047BE" w14:textId="77777777" w:rsidR="00AB6753" w:rsidRDefault="00AB6753" w:rsidP="00AB6753">
      <w:pPr>
        <w:pStyle w:val="NotesText0"/>
      </w:pPr>
      <w:r>
        <w:t xml:space="preserve">The above statement should be read in conjunction with the accompanying notes. </w:t>
      </w:r>
    </w:p>
    <w:p w14:paraId="314CEC6A" w14:textId="77777777" w:rsidR="00AB6753" w:rsidRDefault="00AB6753" w:rsidP="00AB6753">
      <w:pPr>
        <w:pStyle w:val="NotesText0"/>
      </w:pPr>
      <w:r>
        <w:t>Refer to Note 8.4A for explanations of major variances to the Original Budget.</w:t>
      </w:r>
      <w:r w:rsidRPr="00740CA1">
        <w:t xml:space="preserve"> </w:t>
      </w:r>
    </w:p>
    <w:p w14:paraId="6F165CAF" w14:textId="77777777" w:rsidR="00AB6753" w:rsidRDefault="00AB6753" w:rsidP="00AB6753">
      <w:pPr>
        <w:pStyle w:val="PolicyheadingDept"/>
        <w:pBdr>
          <w:top w:val="single" w:sz="4" w:space="1" w:color="00B2BA"/>
          <w:left w:val="single" w:sz="4" w:space="0" w:color="00B2BA"/>
          <w:bottom w:val="single" w:sz="4" w:space="1" w:color="00B2BA"/>
          <w:right w:val="single" w:sz="4" w:space="12" w:color="00B2BA"/>
        </w:pBdr>
      </w:pPr>
      <w:r>
        <w:t>Accounting Policy</w:t>
      </w:r>
    </w:p>
    <w:p w14:paraId="47EE913F" w14:textId="77777777" w:rsidR="00AB6753" w:rsidRPr="00AD36A9" w:rsidRDefault="00AB6753" w:rsidP="00AB6753">
      <w:pPr>
        <w:pStyle w:val="Policytextdeptunderline"/>
        <w:pBdr>
          <w:top w:val="single" w:sz="4" w:space="1" w:color="00B2BA"/>
          <w:left w:val="single" w:sz="4" w:space="0" w:color="00B2BA"/>
          <w:bottom w:val="single" w:sz="4" w:space="1" w:color="00B2BA"/>
          <w:right w:val="single" w:sz="4" w:space="12" w:color="00B2BA"/>
        </w:pBdr>
      </w:pPr>
      <w:r w:rsidRPr="00AD36A9">
        <w:t>Equity Injections</w:t>
      </w:r>
    </w:p>
    <w:p w14:paraId="2646F87A"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rsidRPr="00AD36A9">
        <w:t xml:space="preserve">Amounts appropriated </w:t>
      </w:r>
      <w:r>
        <w:t xml:space="preserve">and </w:t>
      </w:r>
      <w:r w:rsidRPr="00AD36A9">
        <w:t>designated as 'equity injections' for a</w:t>
      </w:r>
      <w:r>
        <w:t xml:space="preserve"> financial</w:t>
      </w:r>
      <w:r w:rsidRPr="00AD36A9">
        <w:t xml:space="preserve"> year (less any formal reductions) and Departmental Capital Budgets are recognised directly in </w:t>
      </w:r>
      <w:r>
        <w:t>Contributed E</w:t>
      </w:r>
      <w:r w:rsidRPr="00AD36A9">
        <w:t>quity in that</w:t>
      </w:r>
      <w:r>
        <w:t xml:space="preserve"> financial</w:t>
      </w:r>
      <w:r w:rsidRPr="00AD36A9">
        <w:t xml:space="preserve"> year.</w:t>
      </w:r>
    </w:p>
    <w:p w14:paraId="0BB72AF4" w14:textId="77777777" w:rsidR="00AB6753" w:rsidRPr="00AD36A9" w:rsidRDefault="00AB6753" w:rsidP="00AB6753">
      <w:pPr>
        <w:pStyle w:val="Policytextdeptunderline"/>
        <w:pBdr>
          <w:top w:val="single" w:sz="4" w:space="1" w:color="00B2BA"/>
          <w:left w:val="single" w:sz="4" w:space="0" w:color="00B2BA"/>
          <w:bottom w:val="single" w:sz="4" w:space="1" w:color="00B2BA"/>
          <w:right w:val="single" w:sz="4" w:space="12" w:color="00B2BA"/>
        </w:pBdr>
      </w:pPr>
      <w:r w:rsidRPr="00AD36A9">
        <w:t>Restructuring of Administrative Arrangements</w:t>
      </w:r>
    </w:p>
    <w:p w14:paraId="0CF782D3"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rPr>
          <w:sz w:val="16"/>
          <w:szCs w:val="16"/>
        </w:rPr>
        <w:sectPr w:rsidR="00AB6753" w:rsidSect="00C63A3F">
          <w:headerReference w:type="default" r:id="rId62"/>
          <w:pgSz w:w="11906" w:h="16838" w:code="9"/>
          <w:pgMar w:top="1134" w:right="1134" w:bottom="1134" w:left="1134" w:header="958" w:footer="737" w:gutter="0"/>
          <w:cols w:space="708"/>
          <w:docGrid w:linePitch="360"/>
        </w:sectPr>
      </w:pPr>
      <w:r w:rsidRPr="00AD36A9">
        <w:t xml:space="preserve">Net assets received from or relinquished to another </w:t>
      </w:r>
      <w:r>
        <w:t xml:space="preserve">Australian </w:t>
      </w:r>
      <w:r w:rsidRPr="00AD36A9">
        <w:t>Governm</w:t>
      </w:r>
      <w:r>
        <w:t>ent entity under a restructure</w:t>
      </w:r>
      <w:r w:rsidRPr="00AD36A9">
        <w:t xml:space="preserve"> of administrative arrangements are adjusted at the</w:t>
      </w:r>
      <w:r>
        <w:t>ir book value directly against Contributed E</w:t>
      </w:r>
      <w:r w:rsidRPr="00AD36A9">
        <w:t>quity.</w:t>
      </w:r>
      <w:r>
        <w:br w:type="page"/>
      </w:r>
    </w:p>
    <w:tbl>
      <w:tblPr>
        <w:tblW w:w="9411" w:type="dxa"/>
        <w:tblInd w:w="80" w:type="dxa"/>
        <w:tblLayout w:type="fixed"/>
        <w:tblLook w:val="04A0" w:firstRow="1" w:lastRow="0" w:firstColumn="1" w:lastColumn="0" w:noHBand="0" w:noVBand="1"/>
        <w:tblCaption w:val="Cash flow statement for the period ended 30 June 2020"/>
        <w:tblDescription w:val="Cash flow statement for the period ended 30 June 2020"/>
      </w:tblPr>
      <w:tblGrid>
        <w:gridCol w:w="4857"/>
        <w:gridCol w:w="811"/>
        <w:gridCol w:w="1091"/>
        <w:gridCol w:w="239"/>
        <w:gridCol w:w="1087"/>
        <w:gridCol w:w="239"/>
        <w:gridCol w:w="1087"/>
      </w:tblGrid>
      <w:tr w:rsidR="00AB6753" w14:paraId="0158CE23" w14:textId="77777777" w:rsidTr="002D1EA4">
        <w:trPr>
          <w:trHeight w:val="720"/>
        </w:trPr>
        <w:tc>
          <w:tcPr>
            <w:tcW w:w="4805" w:type="dxa"/>
            <w:tcBorders>
              <w:top w:val="single" w:sz="8" w:space="0" w:color="auto"/>
              <w:left w:val="nil"/>
              <w:bottom w:val="nil"/>
              <w:right w:val="nil"/>
            </w:tcBorders>
            <w:shd w:val="clear" w:color="FFFFFF" w:fill="FFFFFF"/>
            <w:noWrap/>
            <w:vAlign w:val="bottom"/>
            <w:hideMark/>
          </w:tcPr>
          <w:p w14:paraId="0E628444" w14:textId="77777777" w:rsidR="00AB6753" w:rsidRDefault="00AB6753" w:rsidP="002D1EA4">
            <w:pPr>
              <w:spacing w:after="0"/>
              <w:rPr>
                <w:rFonts w:cs="Arial"/>
                <w:sz w:val="18"/>
                <w:szCs w:val="18"/>
              </w:rPr>
            </w:pPr>
            <w:bookmarkStart w:id="57" w:name="Note_DCFTABLE1" w:colFirst="0" w:colLast="0"/>
            <w:r>
              <w:rPr>
                <w:rFonts w:cs="Arial"/>
                <w:sz w:val="18"/>
                <w:szCs w:val="18"/>
              </w:rPr>
              <w:lastRenderedPageBreak/>
              <w:t> </w:t>
            </w:r>
          </w:p>
        </w:tc>
        <w:tc>
          <w:tcPr>
            <w:tcW w:w="803" w:type="dxa"/>
            <w:tcBorders>
              <w:top w:val="single" w:sz="8" w:space="0" w:color="auto"/>
              <w:left w:val="nil"/>
              <w:bottom w:val="nil"/>
              <w:right w:val="nil"/>
            </w:tcBorders>
            <w:shd w:val="clear" w:color="FFFFFF" w:fill="FFFFFF"/>
            <w:noWrap/>
            <w:vAlign w:val="bottom"/>
            <w:hideMark/>
          </w:tcPr>
          <w:p w14:paraId="7478CD3D" w14:textId="77777777" w:rsidR="00AB6753" w:rsidRDefault="00AB6753" w:rsidP="002D1EA4">
            <w:pPr>
              <w:spacing w:after="0"/>
              <w:rPr>
                <w:rFonts w:cs="Arial"/>
                <w:sz w:val="18"/>
                <w:szCs w:val="18"/>
              </w:rPr>
            </w:pPr>
            <w:r>
              <w:rPr>
                <w:rFonts w:cs="Arial"/>
                <w:sz w:val="18"/>
                <w:szCs w:val="18"/>
              </w:rPr>
              <w:t> </w:t>
            </w:r>
          </w:p>
        </w:tc>
        <w:tc>
          <w:tcPr>
            <w:tcW w:w="1079" w:type="dxa"/>
            <w:tcBorders>
              <w:top w:val="single" w:sz="8" w:space="0" w:color="auto"/>
              <w:left w:val="nil"/>
              <w:bottom w:val="nil"/>
              <w:right w:val="nil"/>
            </w:tcBorders>
            <w:shd w:val="clear" w:color="FFFFFF" w:fill="FFFFFF"/>
            <w:vAlign w:val="bottom"/>
            <w:hideMark/>
          </w:tcPr>
          <w:p w14:paraId="59668143" w14:textId="77777777" w:rsidR="00AB6753" w:rsidRDefault="00AB6753" w:rsidP="002D1EA4">
            <w:pPr>
              <w:spacing w:after="0"/>
              <w:jc w:val="right"/>
              <w:rPr>
                <w:rFonts w:cs="Arial"/>
                <w:b/>
                <w:bCs/>
                <w:sz w:val="18"/>
                <w:szCs w:val="18"/>
              </w:rPr>
            </w:pPr>
            <w:r>
              <w:rPr>
                <w:rFonts w:cs="Arial"/>
                <w:b/>
                <w:bCs/>
                <w:sz w:val="18"/>
                <w:szCs w:val="18"/>
              </w:rPr>
              <w:t>2020</w:t>
            </w:r>
          </w:p>
        </w:tc>
        <w:tc>
          <w:tcPr>
            <w:tcW w:w="236" w:type="dxa"/>
            <w:tcBorders>
              <w:top w:val="single" w:sz="8" w:space="0" w:color="auto"/>
              <w:left w:val="nil"/>
              <w:bottom w:val="nil"/>
              <w:right w:val="nil"/>
            </w:tcBorders>
            <w:shd w:val="clear" w:color="FFFFFF" w:fill="FFFFFF"/>
            <w:noWrap/>
            <w:vAlign w:val="bottom"/>
            <w:hideMark/>
          </w:tcPr>
          <w:p w14:paraId="4C79DAF4" w14:textId="77777777" w:rsidR="00AB6753" w:rsidRDefault="00AB6753" w:rsidP="002D1EA4">
            <w:pPr>
              <w:spacing w:after="0"/>
              <w:rPr>
                <w:rFonts w:cs="Arial"/>
                <w:sz w:val="18"/>
                <w:szCs w:val="18"/>
              </w:rPr>
            </w:pPr>
            <w:r>
              <w:rPr>
                <w:rFonts w:cs="Arial"/>
                <w:sz w:val="18"/>
                <w:szCs w:val="18"/>
              </w:rPr>
              <w:t> </w:t>
            </w:r>
          </w:p>
        </w:tc>
        <w:tc>
          <w:tcPr>
            <w:tcW w:w="1075" w:type="dxa"/>
            <w:tcBorders>
              <w:top w:val="single" w:sz="8" w:space="0" w:color="auto"/>
              <w:left w:val="nil"/>
              <w:bottom w:val="nil"/>
              <w:right w:val="nil"/>
            </w:tcBorders>
            <w:shd w:val="clear" w:color="FFFFFF" w:fill="FFFFFF"/>
            <w:vAlign w:val="bottom"/>
            <w:hideMark/>
          </w:tcPr>
          <w:p w14:paraId="79D1A6E4" w14:textId="77777777" w:rsidR="00AB6753" w:rsidRDefault="00AB6753" w:rsidP="002D1EA4">
            <w:pPr>
              <w:spacing w:after="0"/>
              <w:jc w:val="right"/>
              <w:rPr>
                <w:rFonts w:cs="Arial"/>
                <w:sz w:val="18"/>
                <w:szCs w:val="18"/>
              </w:rPr>
            </w:pPr>
            <w:r>
              <w:rPr>
                <w:rFonts w:cs="Arial"/>
                <w:sz w:val="18"/>
                <w:szCs w:val="18"/>
              </w:rPr>
              <w:t>2019</w:t>
            </w:r>
          </w:p>
        </w:tc>
        <w:tc>
          <w:tcPr>
            <w:tcW w:w="236" w:type="dxa"/>
            <w:tcBorders>
              <w:top w:val="single" w:sz="8" w:space="0" w:color="auto"/>
              <w:left w:val="nil"/>
              <w:bottom w:val="nil"/>
              <w:right w:val="nil"/>
            </w:tcBorders>
            <w:shd w:val="clear" w:color="FFFFFF" w:fill="FFFFFF"/>
            <w:noWrap/>
            <w:vAlign w:val="bottom"/>
            <w:hideMark/>
          </w:tcPr>
          <w:p w14:paraId="7AFC7A60" w14:textId="77777777" w:rsidR="00AB6753" w:rsidRDefault="00AB6753" w:rsidP="002D1EA4">
            <w:pPr>
              <w:spacing w:after="0"/>
              <w:rPr>
                <w:rFonts w:cs="Arial"/>
                <w:sz w:val="18"/>
                <w:szCs w:val="18"/>
              </w:rPr>
            </w:pPr>
            <w:r>
              <w:rPr>
                <w:rFonts w:cs="Arial"/>
                <w:sz w:val="18"/>
                <w:szCs w:val="18"/>
              </w:rPr>
              <w:t> </w:t>
            </w:r>
          </w:p>
        </w:tc>
        <w:tc>
          <w:tcPr>
            <w:tcW w:w="1075" w:type="dxa"/>
            <w:tcBorders>
              <w:top w:val="single" w:sz="8" w:space="0" w:color="auto"/>
              <w:left w:val="nil"/>
              <w:bottom w:val="nil"/>
              <w:right w:val="nil"/>
            </w:tcBorders>
            <w:shd w:val="clear" w:color="FFFFFF" w:fill="FFFFFF"/>
            <w:vAlign w:val="bottom"/>
            <w:hideMark/>
          </w:tcPr>
          <w:p w14:paraId="42EFB753" w14:textId="77777777" w:rsidR="00AB6753" w:rsidRDefault="00AB6753" w:rsidP="002D1EA4">
            <w:pPr>
              <w:spacing w:after="0"/>
              <w:jc w:val="right"/>
              <w:rPr>
                <w:rFonts w:cs="Arial"/>
                <w:sz w:val="18"/>
                <w:szCs w:val="18"/>
              </w:rPr>
            </w:pPr>
            <w:r>
              <w:rPr>
                <w:rFonts w:cs="Arial"/>
                <w:sz w:val="18"/>
                <w:szCs w:val="18"/>
              </w:rPr>
              <w:t>Original Budget</w:t>
            </w:r>
            <w:r>
              <w:rPr>
                <w:rFonts w:cs="Arial"/>
                <w:sz w:val="18"/>
                <w:szCs w:val="18"/>
              </w:rPr>
              <w:br/>
              <w:t>2020</w:t>
            </w:r>
          </w:p>
        </w:tc>
      </w:tr>
      <w:bookmarkEnd w:id="57"/>
      <w:tr w:rsidR="00AB6753" w14:paraId="53674F8E" w14:textId="77777777" w:rsidTr="002D1EA4">
        <w:trPr>
          <w:trHeight w:val="255"/>
        </w:trPr>
        <w:tc>
          <w:tcPr>
            <w:tcW w:w="4805" w:type="dxa"/>
            <w:tcBorders>
              <w:top w:val="nil"/>
              <w:left w:val="nil"/>
              <w:bottom w:val="nil"/>
              <w:right w:val="nil"/>
            </w:tcBorders>
            <w:shd w:val="clear" w:color="FFFFFF" w:fill="FFFFFF"/>
            <w:noWrap/>
            <w:vAlign w:val="bottom"/>
            <w:hideMark/>
          </w:tcPr>
          <w:p w14:paraId="46E8C62B" w14:textId="77777777" w:rsidR="00AB6753" w:rsidRDefault="00AB6753" w:rsidP="002D1EA4">
            <w:pPr>
              <w:spacing w:after="0"/>
              <w:rPr>
                <w:rFonts w:cs="Arial"/>
                <w:sz w:val="18"/>
                <w:szCs w:val="18"/>
              </w:rPr>
            </w:pPr>
            <w:r>
              <w:rPr>
                <w:rFonts w:cs="Arial"/>
                <w:sz w:val="18"/>
                <w:szCs w:val="18"/>
              </w:rPr>
              <w:t> </w:t>
            </w:r>
          </w:p>
        </w:tc>
        <w:tc>
          <w:tcPr>
            <w:tcW w:w="803" w:type="dxa"/>
            <w:tcBorders>
              <w:top w:val="nil"/>
              <w:left w:val="nil"/>
              <w:bottom w:val="nil"/>
              <w:right w:val="nil"/>
            </w:tcBorders>
            <w:shd w:val="clear" w:color="FFFFFF" w:fill="FFFFFF"/>
            <w:vAlign w:val="bottom"/>
            <w:hideMark/>
          </w:tcPr>
          <w:p w14:paraId="6B0734F7" w14:textId="77777777" w:rsidR="00AB6753" w:rsidRDefault="00AB6753" w:rsidP="002D1EA4">
            <w:pPr>
              <w:spacing w:after="0"/>
              <w:rPr>
                <w:rFonts w:cs="Arial"/>
                <w:b/>
                <w:bCs/>
                <w:sz w:val="18"/>
                <w:szCs w:val="18"/>
              </w:rPr>
            </w:pPr>
            <w:r>
              <w:rPr>
                <w:rFonts w:cs="Arial"/>
                <w:b/>
                <w:bCs/>
                <w:sz w:val="18"/>
                <w:szCs w:val="18"/>
              </w:rPr>
              <w:t> </w:t>
            </w:r>
          </w:p>
        </w:tc>
        <w:tc>
          <w:tcPr>
            <w:tcW w:w="1079" w:type="dxa"/>
            <w:tcBorders>
              <w:top w:val="nil"/>
              <w:left w:val="nil"/>
              <w:bottom w:val="single" w:sz="4" w:space="0" w:color="auto"/>
              <w:right w:val="nil"/>
            </w:tcBorders>
            <w:shd w:val="clear" w:color="FFFFFF" w:fill="FFFFFF"/>
            <w:vAlign w:val="bottom"/>
            <w:hideMark/>
          </w:tcPr>
          <w:p w14:paraId="0E87C8C4" w14:textId="77777777" w:rsidR="00AB6753" w:rsidRDefault="00AB6753" w:rsidP="002D1EA4">
            <w:pPr>
              <w:spacing w:after="0"/>
              <w:jc w:val="right"/>
              <w:rPr>
                <w:rFonts w:cs="Arial"/>
                <w:b/>
                <w:bCs/>
                <w:sz w:val="18"/>
                <w:szCs w:val="18"/>
              </w:rPr>
            </w:pPr>
            <w:r>
              <w:rPr>
                <w:rFonts w:cs="Arial"/>
                <w:b/>
                <w:bCs/>
                <w:sz w:val="18"/>
                <w:szCs w:val="18"/>
              </w:rPr>
              <w:t>$'000</w:t>
            </w:r>
          </w:p>
        </w:tc>
        <w:tc>
          <w:tcPr>
            <w:tcW w:w="236" w:type="dxa"/>
            <w:tcBorders>
              <w:top w:val="nil"/>
              <w:left w:val="nil"/>
              <w:bottom w:val="single" w:sz="4" w:space="0" w:color="auto"/>
              <w:right w:val="nil"/>
            </w:tcBorders>
            <w:shd w:val="clear" w:color="FFFFFF" w:fill="FFFFFF"/>
            <w:noWrap/>
            <w:vAlign w:val="bottom"/>
            <w:hideMark/>
          </w:tcPr>
          <w:p w14:paraId="0A2DC360"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single" w:sz="4" w:space="0" w:color="auto"/>
              <w:right w:val="nil"/>
            </w:tcBorders>
            <w:shd w:val="clear" w:color="FFFFFF" w:fill="FFFFFF"/>
            <w:vAlign w:val="bottom"/>
            <w:hideMark/>
          </w:tcPr>
          <w:p w14:paraId="18ACE7E2" w14:textId="77777777" w:rsidR="00AB6753" w:rsidRDefault="00AB6753" w:rsidP="002D1EA4">
            <w:pPr>
              <w:spacing w:after="0"/>
              <w:jc w:val="right"/>
              <w:rPr>
                <w:rFonts w:cs="Arial"/>
                <w:sz w:val="18"/>
                <w:szCs w:val="18"/>
              </w:rPr>
            </w:pPr>
            <w:r>
              <w:rPr>
                <w:rFonts w:cs="Arial"/>
                <w:sz w:val="18"/>
                <w:szCs w:val="18"/>
              </w:rPr>
              <w:t>$'000</w:t>
            </w:r>
          </w:p>
        </w:tc>
        <w:tc>
          <w:tcPr>
            <w:tcW w:w="236" w:type="dxa"/>
            <w:tcBorders>
              <w:top w:val="nil"/>
              <w:left w:val="nil"/>
              <w:bottom w:val="nil"/>
              <w:right w:val="nil"/>
            </w:tcBorders>
            <w:shd w:val="clear" w:color="FFFFFF" w:fill="FFFFFF"/>
            <w:noWrap/>
            <w:vAlign w:val="bottom"/>
            <w:hideMark/>
          </w:tcPr>
          <w:p w14:paraId="3C4890CF"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single" w:sz="4" w:space="0" w:color="auto"/>
              <w:right w:val="nil"/>
            </w:tcBorders>
            <w:shd w:val="clear" w:color="FFFFFF" w:fill="FFFFFF"/>
            <w:vAlign w:val="bottom"/>
            <w:hideMark/>
          </w:tcPr>
          <w:p w14:paraId="46E82885" w14:textId="77777777" w:rsidR="00AB6753" w:rsidRDefault="00AB6753" w:rsidP="002D1EA4">
            <w:pPr>
              <w:spacing w:after="0"/>
              <w:jc w:val="right"/>
              <w:rPr>
                <w:rFonts w:cs="Arial"/>
                <w:sz w:val="18"/>
                <w:szCs w:val="18"/>
              </w:rPr>
            </w:pPr>
            <w:r>
              <w:rPr>
                <w:rFonts w:cs="Arial"/>
                <w:sz w:val="18"/>
                <w:szCs w:val="18"/>
              </w:rPr>
              <w:t>$'000</w:t>
            </w:r>
          </w:p>
        </w:tc>
      </w:tr>
      <w:tr w:rsidR="00AB6753" w14:paraId="5D339321" w14:textId="77777777" w:rsidTr="002D1EA4">
        <w:trPr>
          <w:trHeight w:val="255"/>
        </w:trPr>
        <w:tc>
          <w:tcPr>
            <w:tcW w:w="4805" w:type="dxa"/>
            <w:tcBorders>
              <w:top w:val="nil"/>
              <w:left w:val="nil"/>
              <w:bottom w:val="nil"/>
              <w:right w:val="nil"/>
            </w:tcBorders>
            <w:shd w:val="clear" w:color="FFFFFF" w:fill="FFFFFF"/>
            <w:vAlign w:val="bottom"/>
            <w:hideMark/>
          </w:tcPr>
          <w:p w14:paraId="3D63E13D" w14:textId="77777777" w:rsidR="00AB6753" w:rsidRDefault="00AB6753" w:rsidP="002D1EA4">
            <w:pPr>
              <w:spacing w:after="0"/>
              <w:rPr>
                <w:rFonts w:cs="Arial"/>
                <w:b/>
                <w:bCs/>
                <w:sz w:val="18"/>
                <w:szCs w:val="18"/>
              </w:rPr>
            </w:pPr>
            <w:r>
              <w:rPr>
                <w:rFonts w:cs="Arial"/>
                <w:b/>
                <w:bCs/>
                <w:sz w:val="18"/>
                <w:szCs w:val="18"/>
              </w:rPr>
              <w:t>OPERATING ACTIVITIES</w:t>
            </w:r>
          </w:p>
        </w:tc>
        <w:tc>
          <w:tcPr>
            <w:tcW w:w="803" w:type="dxa"/>
            <w:tcBorders>
              <w:top w:val="nil"/>
              <w:left w:val="nil"/>
              <w:bottom w:val="nil"/>
              <w:right w:val="nil"/>
            </w:tcBorders>
            <w:shd w:val="clear" w:color="FFFFFF" w:fill="FFFFFF"/>
            <w:noWrap/>
            <w:vAlign w:val="bottom"/>
            <w:hideMark/>
          </w:tcPr>
          <w:p w14:paraId="3BC4B528"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04668AC3"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6CE61C66"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52DC72C9"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6E2C5B10"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36AE710B" w14:textId="77777777" w:rsidR="00AB6753" w:rsidRDefault="00AB6753" w:rsidP="002D1EA4">
            <w:pPr>
              <w:spacing w:after="0"/>
              <w:rPr>
                <w:rFonts w:cs="Arial"/>
                <w:sz w:val="18"/>
                <w:szCs w:val="18"/>
              </w:rPr>
            </w:pPr>
            <w:r>
              <w:rPr>
                <w:rFonts w:cs="Arial"/>
                <w:sz w:val="18"/>
                <w:szCs w:val="18"/>
              </w:rPr>
              <w:t> </w:t>
            </w:r>
          </w:p>
        </w:tc>
      </w:tr>
      <w:tr w:rsidR="00AB6753" w14:paraId="5DB07C47" w14:textId="77777777" w:rsidTr="002D1EA4">
        <w:trPr>
          <w:trHeight w:val="255"/>
        </w:trPr>
        <w:tc>
          <w:tcPr>
            <w:tcW w:w="4805" w:type="dxa"/>
            <w:tcBorders>
              <w:top w:val="nil"/>
              <w:left w:val="nil"/>
              <w:bottom w:val="nil"/>
              <w:right w:val="nil"/>
            </w:tcBorders>
            <w:shd w:val="clear" w:color="FFFFFF" w:fill="FFFFFF"/>
            <w:vAlign w:val="bottom"/>
            <w:hideMark/>
          </w:tcPr>
          <w:p w14:paraId="1EA0348E" w14:textId="77777777" w:rsidR="00AB6753" w:rsidRDefault="00AB6753" w:rsidP="002D1EA4">
            <w:pPr>
              <w:spacing w:after="0"/>
              <w:rPr>
                <w:rFonts w:cs="Arial"/>
                <w:b/>
                <w:bCs/>
                <w:sz w:val="18"/>
                <w:szCs w:val="18"/>
              </w:rPr>
            </w:pPr>
            <w:r>
              <w:rPr>
                <w:rFonts w:cs="Arial"/>
                <w:b/>
                <w:bCs/>
                <w:sz w:val="18"/>
                <w:szCs w:val="18"/>
              </w:rPr>
              <w:t>Cash received</w:t>
            </w:r>
          </w:p>
        </w:tc>
        <w:tc>
          <w:tcPr>
            <w:tcW w:w="803" w:type="dxa"/>
            <w:tcBorders>
              <w:top w:val="nil"/>
              <w:left w:val="nil"/>
              <w:bottom w:val="nil"/>
              <w:right w:val="nil"/>
            </w:tcBorders>
            <w:shd w:val="clear" w:color="FFFFFF" w:fill="FFFFFF"/>
            <w:noWrap/>
            <w:vAlign w:val="bottom"/>
            <w:hideMark/>
          </w:tcPr>
          <w:p w14:paraId="030CDDB8"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1FA27CD1"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379B0E68"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52848A44"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41B92E6A"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78367EEF" w14:textId="77777777" w:rsidR="00AB6753" w:rsidRDefault="00AB6753" w:rsidP="002D1EA4">
            <w:pPr>
              <w:spacing w:after="0"/>
              <w:rPr>
                <w:rFonts w:cs="Arial"/>
                <w:sz w:val="18"/>
                <w:szCs w:val="18"/>
              </w:rPr>
            </w:pPr>
            <w:r>
              <w:rPr>
                <w:rFonts w:cs="Arial"/>
                <w:sz w:val="18"/>
                <w:szCs w:val="18"/>
              </w:rPr>
              <w:t> </w:t>
            </w:r>
          </w:p>
        </w:tc>
      </w:tr>
      <w:tr w:rsidR="00AB6753" w14:paraId="3ECFF5BD" w14:textId="77777777" w:rsidTr="002D1EA4">
        <w:trPr>
          <w:trHeight w:val="255"/>
        </w:trPr>
        <w:tc>
          <w:tcPr>
            <w:tcW w:w="4805" w:type="dxa"/>
            <w:tcBorders>
              <w:top w:val="nil"/>
              <w:left w:val="nil"/>
              <w:bottom w:val="nil"/>
              <w:right w:val="nil"/>
            </w:tcBorders>
            <w:shd w:val="clear" w:color="FFFFFF" w:fill="FFFFFF"/>
            <w:vAlign w:val="bottom"/>
            <w:hideMark/>
          </w:tcPr>
          <w:p w14:paraId="569C8788" w14:textId="77777777" w:rsidR="00AB6753" w:rsidRDefault="00AB6753" w:rsidP="002D1EA4">
            <w:pPr>
              <w:spacing w:after="0"/>
              <w:rPr>
                <w:rFonts w:cs="Arial"/>
                <w:sz w:val="18"/>
                <w:szCs w:val="18"/>
              </w:rPr>
            </w:pPr>
            <w:r>
              <w:rPr>
                <w:rFonts w:cs="Arial"/>
                <w:sz w:val="18"/>
                <w:szCs w:val="18"/>
              </w:rPr>
              <w:t>Appropriations</w:t>
            </w:r>
          </w:p>
        </w:tc>
        <w:tc>
          <w:tcPr>
            <w:tcW w:w="803" w:type="dxa"/>
            <w:tcBorders>
              <w:top w:val="nil"/>
              <w:left w:val="nil"/>
              <w:bottom w:val="nil"/>
              <w:right w:val="nil"/>
            </w:tcBorders>
            <w:shd w:val="clear" w:color="FFFFFF" w:fill="FFFFFF"/>
            <w:noWrap/>
            <w:vAlign w:val="bottom"/>
            <w:hideMark/>
          </w:tcPr>
          <w:p w14:paraId="4E086125"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3283A222" w14:textId="77777777" w:rsidR="00AB6753" w:rsidRDefault="00AB6753" w:rsidP="002D1EA4">
            <w:pPr>
              <w:spacing w:after="0"/>
              <w:jc w:val="right"/>
              <w:rPr>
                <w:rFonts w:cs="Arial"/>
                <w:b/>
                <w:bCs/>
                <w:sz w:val="18"/>
                <w:szCs w:val="18"/>
              </w:rPr>
            </w:pPr>
            <w:r>
              <w:rPr>
                <w:rFonts w:cs="Arial"/>
                <w:b/>
                <w:bCs/>
                <w:sz w:val="18"/>
                <w:szCs w:val="18"/>
              </w:rPr>
              <w:t xml:space="preserve">469,833 </w:t>
            </w:r>
          </w:p>
        </w:tc>
        <w:tc>
          <w:tcPr>
            <w:tcW w:w="236" w:type="dxa"/>
            <w:tcBorders>
              <w:top w:val="nil"/>
              <w:left w:val="nil"/>
              <w:bottom w:val="nil"/>
              <w:right w:val="nil"/>
            </w:tcBorders>
            <w:shd w:val="clear" w:color="FFFFFF" w:fill="FFFFFF"/>
            <w:noWrap/>
            <w:vAlign w:val="bottom"/>
            <w:hideMark/>
          </w:tcPr>
          <w:p w14:paraId="7EEFB615"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4D294BA0" w14:textId="77777777" w:rsidR="00AB6753" w:rsidRDefault="00AB6753" w:rsidP="002D1EA4">
            <w:pPr>
              <w:spacing w:after="0"/>
              <w:jc w:val="right"/>
              <w:rPr>
                <w:rFonts w:cs="Arial"/>
                <w:sz w:val="18"/>
                <w:szCs w:val="18"/>
              </w:rPr>
            </w:pPr>
            <w:r>
              <w:rPr>
                <w:rFonts w:cs="Arial"/>
                <w:sz w:val="18"/>
                <w:szCs w:val="18"/>
              </w:rPr>
              <w:t xml:space="preserve">479,809 </w:t>
            </w:r>
          </w:p>
        </w:tc>
        <w:tc>
          <w:tcPr>
            <w:tcW w:w="236" w:type="dxa"/>
            <w:tcBorders>
              <w:top w:val="nil"/>
              <w:left w:val="nil"/>
              <w:bottom w:val="nil"/>
              <w:right w:val="nil"/>
            </w:tcBorders>
            <w:shd w:val="clear" w:color="FFFFFF" w:fill="FFFFFF"/>
            <w:noWrap/>
            <w:vAlign w:val="bottom"/>
            <w:hideMark/>
          </w:tcPr>
          <w:p w14:paraId="444706AD"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73D7F49C" w14:textId="77777777" w:rsidR="00AB6753" w:rsidRDefault="00AB6753" w:rsidP="002D1EA4">
            <w:pPr>
              <w:spacing w:after="0"/>
              <w:jc w:val="right"/>
              <w:rPr>
                <w:rFonts w:cs="Arial"/>
                <w:sz w:val="18"/>
                <w:szCs w:val="18"/>
              </w:rPr>
            </w:pPr>
            <w:r>
              <w:rPr>
                <w:rFonts w:cs="Arial"/>
                <w:sz w:val="18"/>
                <w:szCs w:val="18"/>
              </w:rPr>
              <w:t xml:space="preserve">435,579 </w:t>
            </w:r>
          </w:p>
        </w:tc>
      </w:tr>
      <w:tr w:rsidR="00AB6753" w14:paraId="4B7C395B" w14:textId="77777777" w:rsidTr="002D1EA4">
        <w:trPr>
          <w:trHeight w:val="255"/>
        </w:trPr>
        <w:tc>
          <w:tcPr>
            <w:tcW w:w="4805" w:type="dxa"/>
            <w:tcBorders>
              <w:top w:val="nil"/>
              <w:left w:val="nil"/>
              <w:bottom w:val="nil"/>
              <w:right w:val="nil"/>
            </w:tcBorders>
            <w:shd w:val="clear" w:color="FFFFFF" w:fill="FFFFFF"/>
            <w:vAlign w:val="bottom"/>
            <w:hideMark/>
          </w:tcPr>
          <w:p w14:paraId="4B13313F" w14:textId="77777777" w:rsidR="00AB6753" w:rsidRDefault="00AB6753" w:rsidP="002D1EA4">
            <w:pPr>
              <w:spacing w:after="0"/>
              <w:rPr>
                <w:rFonts w:cs="Arial"/>
                <w:sz w:val="18"/>
                <w:szCs w:val="18"/>
              </w:rPr>
            </w:pPr>
            <w:r>
              <w:rPr>
                <w:rFonts w:cs="Arial"/>
                <w:sz w:val="18"/>
                <w:szCs w:val="18"/>
              </w:rPr>
              <w:t>Rendering of services</w:t>
            </w:r>
          </w:p>
        </w:tc>
        <w:tc>
          <w:tcPr>
            <w:tcW w:w="803" w:type="dxa"/>
            <w:tcBorders>
              <w:top w:val="nil"/>
              <w:left w:val="nil"/>
              <w:bottom w:val="nil"/>
              <w:right w:val="nil"/>
            </w:tcBorders>
            <w:shd w:val="clear" w:color="FFFFFF" w:fill="FFFFFF"/>
            <w:noWrap/>
            <w:vAlign w:val="bottom"/>
            <w:hideMark/>
          </w:tcPr>
          <w:p w14:paraId="3A5512B5"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6CBB74E8" w14:textId="77777777" w:rsidR="00AB6753" w:rsidRDefault="00AB6753" w:rsidP="002D1EA4">
            <w:pPr>
              <w:spacing w:after="0"/>
              <w:jc w:val="right"/>
              <w:rPr>
                <w:rFonts w:cs="Arial"/>
                <w:b/>
                <w:bCs/>
                <w:sz w:val="18"/>
                <w:szCs w:val="18"/>
              </w:rPr>
            </w:pPr>
            <w:r>
              <w:rPr>
                <w:rFonts w:cs="Arial"/>
                <w:b/>
                <w:bCs/>
                <w:sz w:val="18"/>
                <w:szCs w:val="18"/>
              </w:rPr>
              <w:t xml:space="preserve">54,716 </w:t>
            </w:r>
          </w:p>
        </w:tc>
        <w:tc>
          <w:tcPr>
            <w:tcW w:w="236" w:type="dxa"/>
            <w:tcBorders>
              <w:top w:val="nil"/>
              <w:left w:val="nil"/>
              <w:bottom w:val="nil"/>
              <w:right w:val="nil"/>
            </w:tcBorders>
            <w:shd w:val="clear" w:color="FFFFFF" w:fill="FFFFFF"/>
            <w:noWrap/>
            <w:vAlign w:val="bottom"/>
            <w:hideMark/>
          </w:tcPr>
          <w:p w14:paraId="6E80C93C"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5DB504CC" w14:textId="77777777" w:rsidR="00AB6753" w:rsidRDefault="00AB6753" w:rsidP="002D1EA4">
            <w:pPr>
              <w:spacing w:after="0"/>
              <w:jc w:val="right"/>
              <w:rPr>
                <w:rFonts w:cs="Arial"/>
                <w:sz w:val="18"/>
                <w:szCs w:val="18"/>
              </w:rPr>
            </w:pPr>
            <w:r>
              <w:rPr>
                <w:rFonts w:cs="Arial"/>
                <w:sz w:val="18"/>
                <w:szCs w:val="18"/>
              </w:rPr>
              <w:t xml:space="preserve">57,870 </w:t>
            </w:r>
          </w:p>
        </w:tc>
        <w:tc>
          <w:tcPr>
            <w:tcW w:w="236" w:type="dxa"/>
            <w:tcBorders>
              <w:top w:val="nil"/>
              <w:left w:val="nil"/>
              <w:bottom w:val="nil"/>
              <w:right w:val="nil"/>
            </w:tcBorders>
            <w:shd w:val="clear" w:color="FFFFFF" w:fill="FFFFFF"/>
            <w:noWrap/>
            <w:vAlign w:val="bottom"/>
            <w:hideMark/>
          </w:tcPr>
          <w:p w14:paraId="0485E5A6"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1FC7B51F" w14:textId="77777777" w:rsidR="00AB6753" w:rsidRDefault="00AB6753" w:rsidP="002D1EA4">
            <w:pPr>
              <w:spacing w:after="0"/>
              <w:jc w:val="right"/>
              <w:rPr>
                <w:rFonts w:cs="Arial"/>
                <w:sz w:val="18"/>
                <w:szCs w:val="18"/>
              </w:rPr>
            </w:pPr>
            <w:r>
              <w:rPr>
                <w:rFonts w:cs="Arial"/>
                <w:sz w:val="18"/>
                <w:szCs w:val="18"/>
              </w:rPr>
              <w:t xml:space="preserve">37,569 </w:t>
            </w:r>
          </w:p>
        </w:tc>
      </w:tr>
      <w:tr w:rsidR="00AB6753" w14:paraId="640C7DE0" w14:textId="77777777" w:rsidTr="002D1EA4">
        <w:trPr>
          <w:trHeight w:val="255"/>
        </w:trPr>
        <w:tc>
          <w:tcPr>
            <w:tcW w:w="4805" w:type="dxa"/>
            <w:tcBorders>
              <w:top w:val="nil"/>
              <w:left w:val="nil"/>
              <w:bottom w:val="nil"/>
              <w:right w:val="nil"/>
            </w:tcBorders>
            <w:shd w:val="clear" w:color="FFFFFF" w:fill="FFFFFF"/>
            <w:vAlign w:val="bottom"/>
            <w:hideMark/>
          </w:tcPr>
          <w:p w14:paraId="77B142C1" w14:textId="77777777" w:rsidR="00AB6753" w:rsidRDefault="00AB6753" w:rsidP="002D1EA4">
            <w:pPr>
              <w:spacing w:after="0"/>
              <w:rPr>
                <w:rFonts w:cs="Arial"/>
                <w:sz w:val="18"/>
                <w:szCs w:val="18"/>
              </w:rPr>
            </w:pPr>
            <w:r>
              <w:rPr>
                <w:rFonts w:cs="Arial"/>
                <w:sz w:val="18"/>
                <w:szCs w:val="18"/>
              </w:rPr>
              <w:t>GST received</w:t>
            </w:r>
          </w:p>
        </w:tc>
        <w:tc>
          <w:tcPr>
            <w:tcW w:w="803" w:type="dxa"/>
            <w:tcBorders>
              <w:top w:val="nil"/>
              <w:left w:val="nil"/>
              <w:bottom w:val="nil"/>
              <w:right w:val="nil"/>
            </w:tcBorders>
            <w:shd w:val="clear" w:color="FFFFFF" w:fill="FFFFFF"/>
            <w:noWrap/>
            <w:vAlign w:val="bottom"/>
            <w:hideMark/>
          </w:tcPr>
          <w:p w14:paraId="665AD920"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464899EF" w14:textId="77777777" w:rsidR="00AB6753" w:rsidRDefault="00AB6753" w:rsidP="002D1EA4">
            <w:pPr>
              <w:spacing w:after="0"/>
              <w:jc w:val="right"/>
              <w:rPr>
                <w:rFonts w:cs="Arial"/>
                <w:b/>
                <w:bCs/>
                <w:sz w:val="18"/>
                <w:szCs w:val="18"/>
              </w:rPr>
            </w:pPr>
            <w:r>
              <w:rPr>
                <w:rFonts w:cs="Arial"/>
                <w:b/>
                <w:bCs/>
                <w:sz w:val="18"/>
                <w:szCs w:val="18"/>
              </w:rPr>
              <w:t xml:space="preserve">17,947 </w:t>
            </w:r>
          </w:p>
        </w:tc>
        <w:tc>
          <w:tcPr>
            <w:tcW w:w="236" w:type="dxa"/>
            <w:tcBorders>
              <w:top w:val="nil"/>
              <w:left w:val="nil"/>
              <w:bottom w:val="nil"/>
              <w:right w:val="nil"/>
            </w:tcBorders>
            <w:shd w:val="clear" w:color="FFFFFF" w:fill="FFFFFF"/>
            <w:noWrap/>
            <w:vAlign w:val="bottom"/>
            <w:hideMark/>
          </w:tcPr>
          <w:p w14:paraId="6A464295"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24754963" w14:textId="77777777" w:rsidR="00AB6753" w:rsidRDefault="00AB6753" w:rsidP="002D1EA4">
            <w:pPr>
              <w:spacing w:after="0"/>
              <w:jc w:val="right"/>
              <w:rPr>
                <w:rFonts w:cs="Arial"/>
                <w:sz w:val="18"/>
                <w:szCs w:val="18"/>
              </w:rPr>
            </w:pPr>
            <w:r>
              <w:rPr>
                <w:rFonts w:cs="Arial"/>
                <w:sz w:val="18"/>
                <w:szCs w:val="18"/>
              </w:rPr>
              <w:t xml:space="preserve">20,297 </w:t>
            </w:r>
          </w:p>
        </w:tc>
        <w:tc>
          <w:tcPr>
            <w:tcW w:w="236" w:type="dxa"/>
            <w:tcBorders>
              <w:top w:val="nil"/>
              <w:left w:val="nil"/>
              <w:bottom w:val="nil"/>
              <w:right w:val="nil"/>
            </w:tcBorders>
            <w:shd w:val="clear" w:color="FFFFFF" w:fill="FFFFFF"/>
            <w:noWrap/>
            <w:vAlign w:val="bottom"/>
            <w:hideMark/>
          </w:tcPr>
          <w:p w14:paraId="428D2D16"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3D0781D4"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6B8258D8" w14:textId="77777777" w:rsidTr="002D1EA4">
        <w:trPr>
          <w:trHeight w:val="255"/>
        </w:trPr>
        <w:tc>
          <w:tcPr>
            <w:tcW w:w="4805" w:type="dxa"/>
            <w:tcBorders>
              <w:top w:val="nil"/>
              <w:left w:val="nil"/>
              <w:bottom w:val="nil"/>
              <w:right w:val="nil"/>
            </w:tcBorders>
            <w:shd w:val="clear" w:color="FFFFFF" w:fill="FFFFFF"/>
            <w:vAlign w:val="bottom"/>
            <w:hideMark/>
          </w:tcPr>
          <w:p w14:paraId="4E45EEBD" w14:textId="77777777" w:rsidR="00AB6753" w:rsidRDefault="00AB6753" w:rsidP="002D1EA4">
            <w:pPr>
              <w:spacing w:after="0"/>
              <w:rPr>
                <w:rFonts w:cs="Arial"/>
                <w:sz w:val="18"/>
                <w:szCs w:val="18"/>
              </w:rPr>
            </w:pPr>
            <w:r>
              <w:rPr>
                <w:rFonts w:cs="Arial"/>
                <w:sz w:val="18"/>
                <w:szCs w:val="18"/>
              </w:rPr>
              <w:t>Other</w:t>
            </w:r>
          </w:p>
        </w:tc>
        <w:tc>
          <w:tcPr>
            <w:tcW w:w="803" w:type="dxa"/>
            <w:tcBorders>
              <w:top w:val="nil"/>
              <w:left w:val="nil"/>
              <w:bottom w:val="nil"/>
              <w:right w:val="nil"/>
            </w:tcBorders>
            <w:shd w:val="clear" w:color="FFFFFF" w:fill="FFFFFF"/>
            <w:noWrap/>
            <w:vAlign w:val="bottom"/>
            <w:hideMark/>
          </w:tcPr>
          <w:p w14:paraId="6BE4A5DE"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3DBC345A" w14:textId="77777777" w:rsidR="00AB6753" w:rsidRDefault="00AB6753" w:rsidP="002D1EA4">
            <w:pPr>
              <w:spacing w:after="0"/>
              <w:jc w:val="right"/>
              <w:rPr>
                <w:rFonts w:cs="Arial"/>
                <w:b/>
                <w:bCs/>
                <w:sz w:val="18"/>
                <w:szCs w:val="18"/>
              </w:rPr>
            </w:pPr>
            <w:r>
              <w:rPr>
                <w:rFonts w:cs="Arial"/>
                <w:b/>
                <w:bCs/>
                <w:sz w:val="18"/>
                <w:szCs w:val="18"/>
              </w:rPr>
              <w:t xml:space="preserve">11,976 </w:t>
            </w:r>
          </w:p>
        </w:tc>
        <w:tc>
          <w:tcPr>
            <w:tcW w:w="236" w:type="dxa"/>
            <w:tcBorders>
              <w:top w:val="nil"/>
              <w:left w:val="nil"/>
              <w:bottom w:val="nil"/>
              <w:right w:val="nil"/>
            </w:tcBorders>
            <w:shd w:val="clear" w:color="FFFFFF" w:fill="FFFFFF"/>
            <w:noWrap/>
            <w:vAlign w:val="bottom"/>
            <w:hideMark/>
          </w:tcPr>
          <w:p w14:paraId="78314087"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14856119" w14:textId="77777777" w:rsidR="00AB6753" w:rsidRDefault="00AB6753" w:rsidP="002D1EA4">
            <w:pPr>
              <w:spacing w:after="0"/>
              <w:jc w:val="right"/>
              <w:rPr>
                <w:rFonts w:cs="Arial"/>
                <w:sz w:val="18"/>
                <w:szCs w:val="18"/>
              </w:rPr>
            </w:pPr>
            <w:r>
              <w:rPr>
                <w:rFonts w:cs="Arial"/>
                <w:sz w:val="18"/>
                <w:szCs w:val="18"/>
              </w:rPr>
              <w:t xml:space="preserve">11,739 </w:t>
            </w:r>
          </w:p>
        </w:tc>
        <w:tc>
          <w:tcPr>
            <w:tcW w:w="236" w:type="dxa"/>
            <w:tcBorders>
              <w:top w:val="nil"/>
              <w:left w:val="nil"/>
              <w:bottom w:val="nil"/>
              <w:right w:val="nil"/>
            </w:tcBorders>
            <w:shd w:val="clear" w:color="FFFFFF" w:fill="FFFFFF"/>
            <w:noWrap/>
            <w:vAlign w:val="bottom"/>
            <w:hideMark/>
          </w:tcPr>
          <w:p w14:paraId="5BEABED7"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57A8383D"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56F63956" w14:textId="77777777" w:rsidTr="002D1EA4">
        <w:trPr>
          <w:trHeight w:val="255"/>
        </w:trPr>
        <w:tc>
          <w:tcPr>
            <w:tcW w:w="4805" w:type="dxa"/>
            <w:tcBorders>
              <w:top w:val="nil"/>
              <w:left w:val="nil"/>
              <w:bottom w:val="nil"/>
              <w:right w:val="nil"/>
            </w:tcBorders>
            <w:shd w:val="clear" w:color="FFFFFF" w:fill="FFFFFF"/>
            <w:vAlign w:val="bottom"/>
            <w:hideMark/>
          </w:tcPr>
          <w:p w14:paraId="02974AC3" w14:textId="77777777" w:rsidR="00AB6753" w:rsidRDefault="00AB6753" w:rsidP="002D1EA4">
            <w:pPr>
              <w:spacing w:after="0"/>
              <w:rPr>
                <w:rFonts w:cs="Arial"/>
                <w:b/>
                <w:bCs/>
                <w:sz w:val="18"/>
                <w:szCs w:val="18"/>
              </w:rPr>
            </w:pPr>
            <w:r>
              <w:rPr>
                <w:rFonts w:cs="Arial"/>
                <w:b/>
                <w:bCs/>
                <w:sz w:val="18"/>
                <w:szCs w:val="18"/>
              </w:rPr>
              <w:t>Total cash received</w:t>
            </w:r>
          </w:p>
        </w:tc>
        <w:tc>
          <w:tcPr>
            <w:tcW w:w="803" w:type="dxa"/>
            <w:tcBorders>
              <w:top w:val="nil"/>
              <w:left w:val="nil"/>
              <w:bottom w:val="nil"/>
              <w:right w:val="nil"/>
            </w:tcBorders>
            <w:shd w:val="clear" w:color="FFFFFF" w:fill="FFFFFF"/>
            <w:noWrap/>
            <w:vAlign w:val="bottom"/>
            <w:hideMark/>
          </w:tcPr>
          <w:p w14:paraId="011BCAB9"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single" w:sz="4" w:space="0" w:color="auto"/>
              <w:left w:val="nil"/>
              <w:bottom w:val="single" w:sz="4" w:space="0" w:color="auto"/>
              <w:right w:val="nil"/>
            </w:tcBorders>
            <w:shd w:val="clear" w:color="FFFFFF" w:fill="FFFFFF"/>
            <w:noWrap/>
            <w:vAlign w:val="bottom"/>
            <w:hideMark/>
          </w:tcPr>
          <w:p w14:paraId="223CD14F" w14:textId="77777777" w:rsidR="00AB6753" w:rsidRDefault="00AB6753" w:rsidP="002D1EA4">
            <w:pPr>
              <w:spacing w:after="0"/>
              <w:jc w:val="right"/>
              <w:rPr>
                <w:rFonts w:cs="Arial"/>
                <w:b/>
                <w:bCs/>
                <w:sz w:val="18"/>
                <w:szCs w:val="18"/>
              </w:rPr>
            </w:pPr>
            <w:r>
              <w:rPr>
                <w:rFonts w:cs="Arial"/>
                <w:b/>
                <w:bCs/>
                <w:sz w:val="18"/>
                <w:szCs w:val="18"/>
              </w:rPr>
              <w:t>554,472</w:t>
            </w:r>
          </w:p>
        </w:tc>
        <w:tc>
          <w:tcPr>
            <w:tcW w:w="236" w:type="dxa"/>
            <w:tcBorders>
              <w:top w:val="nil"/>
              <w:left w:val="nil"/>
              <w:bottom w:val="nil"/>
              <w:right w:val="nil"/>
            </w:tcBorders>
            <w:shd w:val="clear" w:color="FFFFFF" w:fill="FFFFFF"/>
            <w:noWrap/>
            <w:vAlign w:val="bottom"/>
            <w:hideMark/>
          </w:tcPr>
          <w:p w14:paraId="123693B8" w14:textId="77777777" w:rsidR="00AB6753" w:rsidRDefault="00AB6753" w:rsidP="002D1EA4">
            <w:pPr>
              <w:spacing w:after="0"/>
              <w:rPr>
                <w:rFonts w:cs="Arial"/>
                <w:sz w:val="18"/>
                <w:szCs w:val="18"/>
              </w:rPr>
            </w:pPr>
            <w:r>
              <w:rPr>
                <w:rFonts w:cs="Arial"/>
                <w:sz w:val="18"/>
                <w:szCs w:val="18"/>
              </w:rPr>
              <w:t> </w:t>
            </w:r>
          </w:p>
        </w:tc>
        <w:tc>
          <w:tcPr>
            <w:tcW w:w="1075" w:type="dxa"/>
            <w:tcBorders>
              <w:top w:val="single" w:sz="4" w:space="0" w:color="auto"/>
              <w:left w:val="nil"/>
              <w:bottom w:val="single" w:sz="4" w:space="0" w:color="auto"/>
              <w:right w:val="nil"/>
            </w:tcBorders>
            <w:shd w:val="clear" w:color="FFFFFF" w:fill="FFFFFF"/>
            <w:noWrap/>
            <w:vAlign w:val="bottom"/>
            <w:hideMark/>
          </w:tcPr>
          <w:p w14:paraId="52CDC03D" w14:textId="77777777" w:rsidR="00AB6753" w:rsidRDefault="00AB6753" w:rsidP="002D1EA4">
            <w:pPr>
              <w:spacing w:after="0"/>
              <w:jc w:val="right"/>
              <w:rPr>
                <w:rFonts w:cs="Arial"/>
                <w:sz w:val="18"/>
                <w:szCs w:val="18"/>
              </w:rPr>
            </w:pPr>
            <w:r>
              <w:rPr>
                <w:rFonts w:cs="Arial"/>
                <w:sz w:val="18"/>
                <w:szCs w:val="18"/>
              </w:rPr>
              <w:t>569,715</w:t>
            </w:r>
          </w:p>
        </w:tc>
        <w:tc>
          <w:tcPr>
            <w:tcW w:w="236" w:type="dxa"/>
            <w:tcBorders>
              <w:top w:val="nil"/>
              <w:left w:val="nil"/>
              <w:bottom w:val="nil"/>
              <w:right w:val="nil"/>
            </w:tcBorders>
            <w:shd w:val="clear" w:color="FFFFFF" w:fill="FFFFFF"/>
            <w:noWrap/>
            <w:vAlign w:val="bottom"/>
            <w:hideMark/>
          </w:tcPr>
          <w:p w14:paraId="3A54C3CF" w14:textId="77777777" w:rsidR="00AB6753" w:rsidRDefault="00AB6753" w:rsidP="002D1EA4">
            <w:pPr>
              <w:spacing w:after="0"/>
              <w:rPr>
                <w:rFonts w:cs="Arial"/>
                <w:sz w:val="18"/>
                <w:szCs w:val="18"/>
              </w:rPr>
            </w:pPr>
            <w:r>
              <w:rPr>
                <w:rFonts w:cs="Arial"/>
                <w:sz w:val="18"/>
                <w:szCs w:val="18"/>
              </w:rPr>
              <w:t> </w:t>
            </w:r>
          </w:p>
        </w:tc>
        <w:tc>
          <w:tcPr>
            <w:tcW w:w="1075" w:type="dxa"/>
            <w:tcBorders>
              <w:top w:val="single" w:sz="4" w:space="0" w:color="auto"/>
              <w:left w:val="nil"/>
              <w:bottom w:val="single" w:sz="4" w:space="0" w:color="auto"/>
              <w:right w:val="nil"/>
            </w:tcBorders>
            <w:shd w:val="clear" w:color="FFFFFF" w:fill="FFFFFF"/>
            <w:noWrap/>
            <w:vAlign w:val="bottom"/>
            <w:hideMark/>
          </w:tcPr>
          <w:p w14:paraId="60E89DAF" w14:textId="77777777" w:rsidR="00AB6753" w:rsidRDefault="00AB6753" w:rsidP="002D1EA4">
            <w:pPr>
              <w:spacing w:after="0"/>
              <w:jc w:val="right"/>
              <w:rPr>
                <w:rFonts w:cs="Arial"/>
                <w:sz w:val="18"/>
                <w:szCs w:val="18"/>
              </w:rPr>
            </w:pPr>
            <w:r>
              <w:rPr>
                <w:rFonts w:cs="Arial"/>
                <w:sz w:val="18"/>
                <w:szCs w:val="18"/>
              </w:rPr>
              <w:t>473,148</w:t>
            </w:r>
          </w:p>
        </w:tc>
      </w:tr>
      <w:tr w:rsidR="00AB6753" w14:paraId="39B89F70" w14:textId="77777777" w:rsidTr="002D1EA4">
        <w:trPr>
          <w:trHeight w:val="255"/>
        </w:trPr>
        <w:tc>
          <w:tcPr>
            <w:tcW w:w="4805" w:type="dxa"/>
            <w:tcBorders>
              <w:top w:val="nil"/>
              <w:left w:val="nil"/>
              <w:bottom w:val="nil"/>
              <w:right w:val="nil"/>
            </w:tcBorders>
            <w:shd w:val="clear" w:color="FFFFFF" w:fill="FFFFFF"/>
            <w:noWrap/>
            <w:vAlign w:val="bottom"/>
            <w:hideMark/>
          </w:tcPr>
          <w:p w14:paraId="3F026E43" w14:textId="77777777" w:rsidR="00AB6753" w:rsidRDefault="00AB6753" w:rsidP="002D1EA4">
            <w:pPr>
              <w:spacing w:after="0"/>
              <w:rPr>
                <w:rFonts w:cs="Arial"/>
                <w:sz w:val="18"/>
                <w:szCs w:val="18"/>
              </w:rPr>
            </w:pPr>
            <w:r>
              <w:rPr>
                <w:rFonts w:cs="Arial"/>
                <w:sz w:val="18"/>
                <w:szCs w:val="18"/>
              </w:rPr>
              <w:t> </w:t>
            </w:r>
          </w:p>
        </w:tc>
        <w:tc>
          <w:tcPr>
            <w:tcW w:w="803" w:type="dxa"/>
            <w:tcBorders>
              <w:top w:val="nil"/>
              <w:left w:val="nil"/>
              <w:bottom w:val="nil"/>
              <w:right w:val="nil"/>
            </w:tcBorders>
            <w:shd w:val="clear" w:color="FFFFFF" w:fill="FFFFFF"/>
            <w:noWrap/>
            <w:vAlign w:val="bottom"/>
            <w:hideMark/>
          </w:tcPr>
          <w:p w14:paraId="5B4CC7E5"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2B9D87F1"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5574E3AB"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004EFD07"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714DAA37"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4B87F46C" w14:textId="77777777" w:rsidR="00AB6753" w:rsidRDefault="00AB6753" w:rsidP="002D1EA4">
            <w:pPr>
              <w:spacing w:after="0"/>
              <w:rPr>
                <w:rFonts w:cs="Arial"/>
                <w:sz w:val="18"/>
                <w:szCs w:val="18"/>
              </w:rPr>
            </w:pPr>
            <w:r>
              <w:rPr>
                <w:rFonts w:cs="Arial"/>
                <w:sz w:val="18"/>
                <w:szCs w:val="18"/>
              </w:rPr>
              <w:t> </w:t>
            </w:r>
          </w:p>
        </w:tc>
      </w:tr>
      <w:tr w:rsidR="00AB6753" w14:paraId="02C6298F" w14:textId="77777777" w:rsidTr="002D1EA4">
        <w:trPr>
          <w:trHeight w:val="255"/>
        </w:trPr>
        <w:tc>
          <w:tcPr>
            <w:tcW w:w="4805" w:type="dxa"/>
            <w:tcBorders>
              <w:top w:val="nil"/>
              <w:left w:val="nil"/>
              <w:bottom w:val="nil"/>
              <w:right w:val="nil"/>
            </w:tcBorders>
            <w:shd w:val="clear" w:color="FFFFFF" w:fill="FFFFFF"/>
            <w:vAlign w:val="bottom"/>
            <w:hideMark/>
          </w:tcPr>
          <w:p w14:paraId="7AC95B1C" w14:textId="77777777" w:rsidR="00AB6753" w:rsidRDefault="00AB6753" w:rsidP="002D1EA4">
            <w:pPr>
              <w:spacing w:after="0"/>
              <w:rPr>
                <w:rFonts w:cs="Arial"/>
                <w:b/>
                <w:bCs/>
                <w:sz w:val="18"/>
                <w:szCs w:val="18"/>
              </w:rPr>
            </w:pPr>
            <w:r>
              <w:rPr>
                <w:rFonts w:cs="Arial"/>
                <w:b/>
                <w:bCs/>
                <w:sz w:val="18"/>
                <w:szCs w:val="18"/>
              </w:rPr>
              <w:t>Cash used</w:t>
            </w:r>
          </w:p>
        </w:tc>
        <w:tc>
          <w:tcPr>
            <w:tcW w:w="803" w:type="dxa"/>
            <w:tcBorders>
              <w:top w:val="nil"/>
              <w:left w:val="nil"/>
              <w:bottom w:val="nil"/>
              <w:right w:val="nil"/>
            </w:tcBorders>
            <w:shd w:val="clear" w:color="FFFFFF" w:fill="FFFFFF"/>
            <w:noWrap/>
            <w:vAlign w:val="bottom"/>
            <w:hideMark/>
          </w:tcPr>
          <w:p w14:paraId="19B92FB2"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70677024"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4B4602EC"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57EAFCA9"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6CEBD2EE"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2E07F81D" w14:textId="77777777" w:rsidR="00AB6753" w:rsidRDefault="00AB6753" w:rsidP="002D1EA4">
            <w:pPr>
              <w:spacing w:after="0"/>
              <w:rPr>
                <w:rFonts w:cs="Arial"/>
                <w:sz w:val="18"/>
                <w:szCs w:val="18"/>
              </w:rPr>
            </w:pPr>
            <w:r>
              <w:rPr>
                <w:rFonts w:cs="Arial"/>
                <w:sz w:val="18"/>
                <w:szCs w:val="18"/>
              </w:rPr>
              <w:t> </w:t>
            </w:r>
          </w:p>
        </w:tc>
      </w:tr>
      <w:tr w:rsidR="00AB6753" w14:paraId="174B667E" w14:textId="77777777" w:rsidTr="002D1EA4">
        <w:trPr>
          <w:trHeight w:val="240"/>
        </w:trPr>
        <w:tc>
          <w:tcPr>
            <w:tcW w:w="4805" w:type="dxa"/>
            <w:tcBorders>
              <w:top w:val="nil"/>
              <w:left w:val="nil"/>
              <w:bottom w:val="nil"/>
              <w:right w:val="nil"/>
            </w:tcBorders>
            <w:shd w:val="clear" w:color="FFFFFF" w:fill="FFFFFF"/>
            <w:vAlign w:val="bottom"/>
            <w:hideMark/>
          </w:tcPr>
          <w:p w14:paraId="07350F32" w14:textId="77777777" w:rsidR="00AB6753" w:rsidRDefault="00AB6753" w:rsidP="002D1EA4">
            <w:pPr>
              <w:spacing w:after="0"/>
              <w:rPr>
                <w:rFonts w:cs="Arial"/>
                <w:sz w:val="18"/>
                <w:szCs w:val="18"/>
              </w:rPr>
            </w:pPr>
            <w:r>
              <w:rPr>
                <w:rFonts w:cs="Arial"/>
                <w:sz w:val="18"/>
                <w:szCs w:val="18"/>
              </w:rPr>
              <w:t>Employees</w:t>
            </w:r>
          </w:p>
        </w:tc>
        <w:tc>
          <w:tcPr>
            <w:tcW w:w="803" w:type="dxa"/>
            <w:tcBorders>
              <w:top w:val="nil"/>
              <w:left w:val="nil"/>
              <w:bottom w:val="nil"/>
              <w:right w:val="nil"/>
            </w:tcBorders>
            <w:shd w:val="clear" w:color="FFFFFF" w:fill="FFFFFF"/>
            <w:noWrap/>
            <w:vAlign w:val="bottom"/>
            <w:hideMark/>
          </w:tcPr>
          <w:p w14:paraId="1994A625"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76B68DA7" w14:textId="77777777" w:rsidR="00AB6753" w:rsidRDefault="00AB6753" w:rsidP="002D1EA4">
            <w:pPr>
              <w:spacing w:after="0"/>
              <w:jc w:val="right"/>
              <w:rPr>
                <w:rFonts w:cs="Arial"/>
                <w:b/>
                <w:bCs/>
                <w:sz w:val="18"/>
                <w:szCs w:val="18"/>
              </w:rPr>
            </w:pPr>
            <w:r>
              <w:rPr>
                <w:rFonts w:cs="Arial"/>
                <w:b/>
                <w:bCs/>
                <w:sz w:val="18"/>
                <w:szCs w:val="18"/>
              </w:rPr>
              <w:t xml:space="preserve">292,953 </w:t>
            </w:r>
          </w:p>
        </w:tc>
        <w:tc>
          <w:tcPr>
            <w:tcW w:w="236" w:type="dxa"/>
            <w:tcBorders>
              <w:top w:val="nil"/>
              <w:left w:val="nil"/>
              <w:bottom w:val="nil"/>
              <w:right w:val="nil"/>
            </w:tcBorders>
            <w:shd w:val="clear" w:color="FFFFFF" w:fill="FFFFFF"/>
            <w:noWrap/>
            <w:vAlign w:val="bottom"/>
            <w:hideMark/>
          </w:tcPr>
          <w:p w14:paraId="546547C6"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4C7F6227" w14:textId="77777777" w:rsidR="00AB6753" w:rsidRDefault="00AB6753" w:rsidP="002D1EA4">
            <w:pPr>
              <w:spacing w:after="0"/>
              <w:jc w:val="right"/>
              <w:rPr>
                <w:rFonts w:cs="Arial"/>
                <w:sz w:val="18"/>
                <w:szCs w:val="18"/>
              </w:rPr>
            </w:pPr>
            <w:r>
              <w:rPr>
                <w:rFonts w:cs="Arial"/>
                <w:sz w:val="18"/>
                <w:szCs w:val="18"/>
              </w:rPr>
              <w:t xml:space="preserve">288,883 </w:t>
            </w:r>
          </w:p>
        </w:tc>
        <w:tc>
          <w:tcPr>
            <w:tcW w:w="236" w:type="dxa"/>
            <w:tcBorders>
              <w:top w:val="nil"/>
              <w:left w:val="nil"/>
              <w:bottom w:val="nil"/>
              <w:right w:val="nil"/>
            </w:tcBorders>
            <w:shd w:val="clear" w:color="FFFFFF" w:fill="FFFFFF"/>
            <w:noWrap/>
            <w:vAlign w:val="bottom"/>
            <w:hideMark/>
          </w:tcPr>
          <w:p w14:paraId="4DE5493C"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70375F2E" w14:textId="77777777" w:rsidR="00AB6753" w:rsidRDefault="00AB6753" w:rsidP="002D1EA4">
            <w:pPr>
              <w:spacing w:after="0"/>
              <w:jc w:val="right"/>
              <w:rPr>
                <w:rFonts w:cs="Arial"/>
                <w:sz w:val="18"/>
                <w:szCs w:val="18"/>
              </w:rPr>
            </w:pPr>
            <w:r>
              <w:rPr>
                <w:rFonts w:cs="Arial"/>
                <w:sz w:val="18"/>
                <w:szCs w:val="18"/>
              </w:rPr>
              <w:t xml:space="preserve">284,784 </w:t>
            </w:r>
          </w:p>
        </w:tc>
      </w:tr>
      <w:tr w:rsidR="00AB6753" w14:paraId="5B9F402B" w14:textId="77777777" w:rsidTr="002D1EA4">
        <w:trPr>
          <w:trHeight w:val="255"/>
        </w:trPr>
        <w:tc>
          <w:tcPr>
            <w:tcW w:w="4805" w:type="dxa"/>
            <w:tcBorders>
              <w:top w:val="nil"/>
              <w:left w:val="nil"/>
              <w:bottom w:val="nil"/>
              <w:right w:val="nil"/>
            </w:tcBorders>
            <w:shd w:val="clear" w:color="FFFFFF" w:fill="FFFFFF"/>
            <w:vAlign w:val="bottom"/>
            <w:hideMark/>
          </w:tcPr>
          <w:p w14:paraId="42A7B023" w14:textId="77777777" w:rsidR="00AB6753" w:rsidRDefault="00AB6753" w:rsidP="002D1EA4">
            <w:pPr>
              <w:spacing w:after="0"/>
              <w:rPr>
                <w:rFonts w:cs="Arial"/>
                <w:sz w:val="18"/>
                <w:szCs w:val="18"/>
              </w:rPr>
            </w:pPr>
            <w:r>
              <w:rPr>
                <w:rFonts w:cs="Arial"/>
                <w:sz w:val="18"/>
                <w:szCs w:val="18"/>
              </w:rPr>
              <w:t>Suppliers</w:t>
            </w:r>
          </w:p>
        </w:tc>
        <w:tc>
          <w:tcPr>
            <w:tcW w:w="803" w:type="dxa"/>
            <w:tcBorders>
              <w:top w:val="nil"/>
              <w:left w:val="nil"/>
              <w:bottom w:val="nil"/>
              <w:right w:val="nil"/>
            </w:tcBorders>
            <w:shd w:val="clear" w:color="FFFFFF" w:fill="FFFFFF"/>
            <w:noWrap/>
            <w:vAlign w:val="bottom"/>
            <w:hideMark/>
          </w:tcPr>
          <w:p w14:paraId="361D09AE"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13091F52" w14:textId="77777777" w:rsidR="00AB6753" w:rsidRDefault="00AB6753" w:rsidP="002D1EA4">
            <w:pPr>
              <w:spacing w:after="0"/>
              <w:jc w:val="right"/>
              <w:rPr>
                <w:rFonts w:cs="Arial"/>
                <w:b/>
                <w:bCs/>
                <w:sz w:val="18"/>
                <w:szCs w:val="18"/>
              </w:rPr>
            </w:pPr>
            <w:r>
              <w:rPr>
                <w:rFonts w:cs="Arial"/>
                <w:b/>
                <w:bCs/>
                <w:sz w:val="18"/>
                <w:szCs w:val="18"/>
              </w:rPr>
              <w:t xml:space="preserve">158,612 </w:t>
            </w:r>
          </w:p>
        </w:tc>
        <w:tc>
          <w:tcPr>
            <w:tcW w:w="236" w:type="dxa"/>
            <w:tcBorders>
              <w:top w:val="nil"/>
              <w:left w:val="nil"/>
              <w:bottom w:val="nil"/>
              <w:right w:val="nil"/>
            </w:tcBorders>
            <w:shd w:val="clear" w:color="FFFFFF" w:fill="FFFFFF"/>
            <w:noWrap/>
            <w:vAlign w:val="bottom"/>
            <w:hideMark/>
          </w:tcPr>
          <w:p w14:paraId="60034EB9"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79F00969" w14:textId="77777777" w:rsidR="00AB6753" w:rsidRDefault="00AB6753" w:rsidP="002D1EA4">
            <w:pPr>
              <w:spacing w:after="0"/>
              <w:jc w:val="right"/>
              <w:rPr>
                <w:rFonts w:cs="Arial"/>
                <w:sz w:val="18"/>
                <w:szCs w:val="18"/>
              </w:rPr>
            </w:pPr>
            <w:r>
              <w:rPr>
                <w:rFonts w:cs="Arial"/>
                <w:sz w:val="18"/>
                <w:szCs w:val="18"/>
              </w:rPr>
              <w:t xml:space="preserve">209,879 </w:t>
            </w:r>
          </w:p>
        </w:tc>
        <w:tc>
          <w:tcPr>
            <w:tcW w:w="236" w:type="dxa"/>
            <w:tcBorders>
              <w:top w:val="nil"/>
              <w:left w:val="nil"/>
              <w:bottom w:val="nil"/>
              <w:right w:val="nil"/>
            </w:tcBorders>
            <w:shd w:val="clear" w:color="FFFFFF" w:fill="FFFFFF"/>
            <w:noWrap/>
            <w:vAlign w:val="bottom"/>
            <w:hideMark/>
          </w:tcPr>
          <w:p w14:paraId="08A60B2B"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65071436" w14:textId="77777777" w:rsidR="00AB6753" w:rsidRDefault="00AB6753" w:rsidP="002D1EA4">
            <w:pPr>
              <w:spacing w:after="0"/>
              <w:jc w:val="right"/>
              <w:rPr>
                <w:rFonts w:cs="Arial"/>
                <w:sz w:val="18"/>
                <w:szCs w:val="18"/>
              </w:rPr>
            </w:pPr>
            <w:r>
              <w:rPr>
                <w:rFonts w:cs="Arial"/>
                <w:sz w:val="18"/>
                <w:szCs w:val="18"/>
              </w:rPr>
              <w:t xml:space="preserve">188,364 </w:t>
            </w:r>
          </w:p>
        </w:tc>
      </w:tr>
      <w:tr w:rsidR="00AB6753" w14:paraId="3ED77819" w14:textId="77777777" w:rsidTr="002D1EA4">
        <w:trPr>
          <w:trHeight w:val="255"/>
        </w:trPr>
        <w:tc>
          <w:tcPr>
            <w:tcW w:w="4805" w:type="dxa"/>
            <w:tcBorders>
              <w:top w:val="nil"/>
              <w:left w:val="nil"/>
              <w:bottom w:val="nil"/>
              <w:right w:val="nil"/>
            </w:tcBorders>
            <w:shd w:val="clear" w:color="FFFFFF" w:fill="FFFFFF"/>
            <w:vAlign w:val="bottom"/>
            <w:hideMark/>
          </w:tcPr>
          <w:p w14:paraId="076DA8B0" w14:textId="77777777" w:rsidR="00AB6753" w:rsidRDefault="00AB6753" w:rsidP="002D1EA4">
            <w:pPr>
              <w:spacing w:after="0"/>
              <w:rPr>
                <w:rFonts w:cs="Arial"/>
                <w:sz w:val="18"/>
                <w:szCs w:val="18"/>
              </w:rPr>
            </w:pPr>
            <w:r>
              <w:rPr>
                <w:rFonts w:cs="Arial"/>
                <w:sz w:val="18"/>
                <w:szCs w:val="18"/>
              </w:rPr>
              <w:t>Interest payments on lease liabilities</w:t>
            </w:r>
          </w:p>
        </w:tc>
        <w:tc>
          <w:tcPr>
            <w:tcW w:w="803" w:type="dxa"/>
            <w:tcBorders>
              <w:top w:val="nil"/>
              <w:left w:val="nil"/>
              <w:bottom w:val="nil"/>
              <w:right w:val="nil"/>
            </w:tcBorders>
            <w:shd w:val="clear" w:color="FFFFFF" w:fill="FFFFFF"/>
            <w:noWrap/>
            <w:vAlign w:val="bottom"/>
            <w:hideMark/>
          </w:tcPr>
          <w:p w14:paraId="14ED0D1B"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651C7BE1" w14:textId="77777777" w:rsidR="00AB6753" w:rsidRDefault="00AB6753" w:rsidP="002D1EA4">
            <w:pPr>
              <w:spacing w:after="0"/>
              <w:jc w:val="right"/>
              <w:rPr>
                <w:rFonts w:cs="Arial"/>
                <w:b/>
                <w:bCs/>
                <w:sz w:val="18"/>
                <w:szCs w:val="18"/>
              </w:rPr>
            </w:pPr>
            <w:r>
              <w:rPr>
                <w:rFonts w:cs="Arial"/>
                <w:b/>
                <w:bCs/>
                <w:sz w:val="18"/>
                <w:szCs w:val="18"/>
              </w:rPr>
              <w:t xml:space="preserve">8,484 </w:t>
            </w:r>
          </w:p>
        </w:tc>
        <w:tc>
          <w:tcPr>
            <w:tcW w:w="236" w:type="dxa"/>
            <w:tcBorders>
              <w:top w:val="nil"/>
              <w:left w:val="nil"/>
              <w:bottom w:val="nil"/>
              <w:right w:val="nil"/>
            </w:tcBorders>
            <w:shd w:val="clear" w:color="FFFFFF" w:fill="FFFFFF"/>
            <w:noWrap/>
            <w:vAlign w:val="bottom"/>
            <w:hideMark/>
          </w:tcPr>
          <w:p w14:paraId="10C953FD"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16A7BDF2" w14:textId="77777777" w:rsidR="00AB6753" w:rsidRDefault="00AB6753" w:rsidP="002D1EA4">
            <w:pPr>
              <w:spacing w:after="0"/>
              <w:jc w:val="right"/>
              <w:rPr>
                <w:rFonts w:cs="Arial"/>
                <w:sz w:val="18"/>
                <w:szCs w:val="18"/>
              </w:rPr>
            </w:pPr>
            <w:r>
              <w:rPr>
                <w:rFonts w:cs="Arial"/>
                <w:sz w:val="18"/>
                <w:szCs w:val="18"/>
              </w:rPr>
              <w:t xml:space="preserve"> -</w:t>
            </w:r>
          </w:p>
        </w:tc>
        <w:tc>
          <w:tcPr>
            <w:tcW w:w="236" w:type="dxa"/>
            <w:tcBorders>
              <w:top w:val="nil"/>
              <w:left w:val="nil"/>
              <w:bottom w:val="nil"/>
              <w:right w:val="nil"/>
            </w:tcBorders>
            <w:shd w:val="clear" w:color="FFFFFF" w:fill="FFFFFF"/>
            <w:noWrap/>
            <w:vAlign w:val="bottom"/>
            <w:hideMark/>
          </w:tcPr>
          <w:p w14:paraId="3C2EA6C2"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64C04301"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096E8D61" w14:textId="77777777" w:rsidTr="002D1EA4">
        <w:trPr>
          <w:trHeight w:val="255"/>
        </w:trPr>
        <w:tc>
          <w:tcPr>
            <w:tcW w:w="4805" w:type="dxa"/>
            <w:tcBorders>
              <w:top w:val="nil"/>
              <w:left w:val="nil"/>
              <w:bottom w:val="nil"/>
              <w:right w:val="nil"/>
            </w:tcBorders>
            <w:shd w:val="clear" w:color="FFFFFF" w:fill="FFFFFF"/>
            <w:vAlign w:val="bottom"/>
            <w:hideMark/>
          </w:tcPr>
          <w:p w14:paraId="6B271EC9" w14:textId="77777777" w:rsidR="00AB6753" w:rsidRDefault="00AB6753" w:rsidP="002D1EA4">
            <w:pPr>
              <w:spacing w:after="0"/>
              <w:rPr>
                <w:rFonts w:cs="Arial"/>
                <w:sz w:val="18"/>
                <w:szCs w:val="18"/>
              </w:rPr>
            </w:pPr>
            <w:r>
              <w:rPr>
                <w:rFonts w:cs="Arial"/>
                <w:sz w:val="18"/>
                <w:szCs w:val="18"/>
              </w:rPr>
              <w:t>Payments for service delivery</w:t>
            </w:r>
          </w:p>
        </w:tc>
        <w:tc>
          <w:tcPr>
            <w:tcW w:w="803" w:type="dxa"/>
            <w:tcBorders>
              <w:top w:val="nil"/>
              <w:left w:val="nil"/>
              <w:bottom w:val="nil"/>
              <w:right w:val="nil"/>
            </w:tcBorders>
            <w:shd w:val="clear" w:color="FFFFFF" w:fill="FFFFFF"/>
            <w:noWrap/>
            <w:vAlign w:val="bottom"/>
            <w:hideMark/>
          </w:tcPr>
          <w:p w14:paraId="56D4FEB4"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443C18A1" w14:textId="77777777" w:rsidR="00AB6753" w:rsidRDefault="00AB6753" w:rsidP="002D1EA4">
            <w:pPr>
              <w:spacing w:after="0"/>
              <w:jc w:val="right"/>
              <w:rPr>
                <w:rFonts w:cs="Arial"/>
                <w:b/>
                <w:bCs/>
                <w:sz w:val="18"/>
                <w:szCs w:val="18"/>
              </w:rPr>
            </w:pPr>
            <w:r>
              <w:rPr>
                <w:rFonts w:cs="Arial"/>
                <w:b/>
                <w:bCs/>
                <w:sz w:val="18"/>
                <w:szCs w:val="18"/>
              </w:rPr>
              <w:t xml:space="preserve">152 </w:t>
            </w:r>
          </w:p>
        </w:tc>
        <w:tc>
          <w:tcPr>
            <w:tcW w:w="236" w:type="dxa"/>
            <w:tcBorders>
              <w:top w:val="nil"/>
              <w:left w:val="nil"/>
              <w:bottom w:val="nil"/>
              <w:right w:val="nil"/>
            </w:tcBorders>
            <w:shd w:val="clear" w:color="FFFFFF" w:fill="FFFFFF"/>
            <w:noWrap/>
            <w:vAlign w:val="bottom"/>
            <w:hideMark/>
          </w:tcPr>
          <w:p w14:paraId="5089BF24"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4F769C12" w14:textId="77777777" w:rsidR="00AB6753" w:rsidRDefault="00AB6753" w:rsidP="002D1EA4">
            <w:pPr>
              <w:spacing w:after="0"/>
              <w:jc w:val="right"/>
              <w:rPr>
                <w:rFonts w:cs="Arial"/>
                <w:sz w:val="18"/>
                <w:szCs w:val="18"/>
              </w:rPr>
            </w:pPr>
            <w:r>
              <w:rPr>
                <w:rFonts w:cs="Arial"/>
                <w:sz w:val="18"/>
                <w:szCs w:val="18"/>
              </w:rPr>
              <w:t xml:space="preserve">151 </w:t>
            </w:r>
          </w:p>
        </w:tc>
        <w:tc>
          <w:tcPr>
            <w:tcW w:w="236" w:type="dxa"/>
            <w:tcBorders>
              <w:top w:val="nil"/>
              <w:left w:val="nil"/>
              <w:bottom w:val="nil"/>
              <w:right w:val="nil"/>
            </w:tcBorders>
            <w:shd w:val="clear" w:color="FFFFFF" w:fill="FFFFFF"/>
            <w:noWrap/>
            <w:vAlign w:val="bottom"/>
            <w:hideMark/>
          </w:tcPr>
          <w:p w14:paraId="144E5022"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1B64E9EB"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4B69B491" w14:textId="77777777" w:rsidTr="002D1EA4">
        <w:trPr>
          <w:trHeight w:val="255"/>
        </w:trPr>
        <w:tc>
          <w:tcPr>
            <w:tcW w:w="4805" w:type="dxa"/>
            <w:tcBorders>
              <w:top w:val="nil"/>
              <w:left w:val="nil"/>
              <w:bottom w:val="nil"/>
              <w:right w:val="nil"/>
            </w:tcBorders>
            <w:shd w:val="clear" w:color="FFFFFF" w:fill="FFFFFF"/>
            <w:vAlign w:val="bottom"/>
            <w:hideMark/>
          </w:tcPr>
          <w:p w14:paraId="71326DC5" w14:textId="77777777" w:rsidR="00AB6753" w:rsidRDefault="00AB6753" w:rsidP="002D1EA4">
            <w:pPr>
              <w:spacing w:after="0"/>
              <w:rPr>
                <w:rFonts w:cs="Arial"/>
                <w:sz w:val="18"/>
                <w:szCs w:val="18"/>
              </w:rPr>
            </w:pPr>
            <w:r>
              <w:rPr>
                <w:rFonts w:cs="Arial"/>
                <w:sz w:val="18"/>
                <w:szCs w:val="18"/>
              </w:rPr>
              <w:t>Other cash expense</w:t>
            </w:r>
          </w:p>
        </w:tc>
        <w:tc>
          <w:tcPr>
            <w:tcW w:w="803" w:type="dxa"/>
            <w:tcBorders>
              <w:top w:val="nil"/>
              <w:left w:val="nil"/>
              <w:bottom w:val="nil"/>
              <w:right w:val="nil"/>
            </w:tcBorders>
            <w:shd w:val="clear" w:color="FFFFFF" w:fill="FFFFFF"/>
            <w:noWrap/>
            <w:vAlign w:val="bottom"/>
            <w:hideMark/>
          </w:tcPr>
          <w:p w14:paraId="36AA0CDD"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34BC3C26" w14:textId="77777777" w:rsidR="00AB6753" w:rsidRDefault="00AB6753" w:rsidP="002D1EA4">
            <w:pPr>
              <w:spacing w:after="0"/>
              <w:jc w:val="right"/>
              <w:rPr>
                <w:rFonts w:cs="Arial"/>
                <w:b/>
                <w:bCs/>
                <w:sz w:val="18"/>
                <w:szCs w:val="18"/>
              </w:rPr>
            </w:pPr>
            <w:r>
              <w:rPr>
                <w:rFonts w:cs="Arial"/>
                <w:b/>
                <w:bCs/>
                <w:sz w:val="18"/>
                <w:szCs w:val="18"/>
              </w:rPr>
              <w:t xml:space="preserve">5,000 </w:t>
            </w:r>
          </w:p>
        </w:tc>
        <w:tc>
          <w:tcPr>
            <w:tcW w:w="236" w:type="dxa"/>
            <w:tcBorders>
              <w:top w:val="nil"/>
              <w:left w:val="nil"/>
              <w:bottom w:val="nil"/>
              <w:right w:val="nil"/>
            </w:tcBorders>
            <w:shd w:val="clear" w:color="FFFFFF" w:fill="FFFFFF"/>
            <w:noWrap/>
            <w:vAlign w:val="bottom"/>
            <w:hideMark/>
          </w:tcPr>
          <w:p w14:paraId="345C4AAF"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53A9DCFC" w14:textId="77777777" w:rsidR="00AB6753" w:rsidRDefault="00AB6753" w:rsidP="002D1EA4">
            <w:pPr>
              <w:spacing w:after="0"/>
              <w:jc w:val="right"/>
              <w:rPr>
                <w:rFonts w:cs="Arial"/>
                <w:sz w:val="18"/>
                <w:szCs w:val="18"/>
              </w:rPr>
            </w:pPr>
            <w:r>
              <w:rPr>
                <w:rFonts w:cs="Arial"/>
                <w:sz w:val="18"/>
                <w:szCs w:val="18"/>
              </w:rPr>
              <w:t xml:space="preserve"> -</w:t>
            </w:r>
          </w:p>
        </w:tc>
        <w:tc>
          <w:tcPr>
            <w:tcW w:w="236" w:type="dxa"/>
            <w:tcBorders>
              <w:top w:val="nil"/>
              <w:left w:val="nil"/>
              <w:bottom w:val="nil"/>
              <w:right w:val="nil"/>
            </w:tcBorders>
            <w:shd w:val="clear" w:color="FFFFFF" w:fill="FFFFFF"/>
            <w:noWrap/>
            <w:vAlign w:val="bottom"/>
            <w:hideMark/>
          </w:tcPr>
          <w:p w14:paraId="368F9F57"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3EE0A6BF"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32787C51" w14:textId="77777777" w:rsidTr="002D1EA4">
        <w:trPr>
          <w:trHeight w:val="255"/>
        </w:trPr>
        <w:tc>
          <w:tcPr>
            <w:tcW w:w="4805" w:type="dxa"/>
            <w:tcBorders>
              <w:top w:val="nil"/>
              <w:left w:val="nil"/>
              <w:bottom w:val="nil"/>
              <w:right w:val="nil"/>
            </w:tcBorders>
            <w:shd w:val="clear" w:color="FFFFFF" w:fill="FFFFFF"/>
            <w:vAlign w:val="bottom"/>
            <w:hideMark/>
          </w:tcPr>
          <w:p w14:paraId="31410DF2" w14:textId="77777777" w:rsidR="00AB6753" w:rsidRDefault="00AB6753" w:rsidP="002D1EA4">
            <w:pPr>
              <w:spacing w:after="0"/>
              <w:rPr>
                <w:rFonts w:cs="Arial"/>
                <w:sz w:val="18"/>
                <w:szCs w:val="18"/>
              </w:rPr>
            </w:pPr>
            <w:r>
              <w:rPr>
                <w:rFonts w:cs="Arial"/>
                <w:sz w:val="18"/>
                <w:szCs w:val="18"/>
              </w:rPr>
              <w:t>Section 74 receipts transferred to Official Public Account</w:t>
            </w:r>
          </w:p>
        </w:tc>
        <w:tc>
          <w:tcPr>
            <w:tcW w:w="803" w:type="dxa"/>
            <w:tcBorders>
              <w:top w:val="nil"/>
              <w:left w:val="nil"/>
              <w:bottom w:val="nil"/>
              <w:right w:val="nil"/>
            </w:tcBorders>
            <w:shd w:val="clear" w:color="FFFFFF" w:fill="FFFFFF"/>
            <w:noWrap/>
            <w:vAlign w:val="bottom"/>
            <w:hideMark/>
          </w:tcPr>
          <w:p w14:paraId="27C0CCA4"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2A776D3F" w14:textId="77777777" w:rsidR="00AB6753" w:rsidRDefault="00AB6753" w:rsidP="002D1EA4">
            <w:pPr>
              <w:spacing w:after="0"/>
              <w:jc w:val="right"/>
              <w:rPr>
                <w:rFonts w:cs="Arial"/>
                <w:b/>
                <w:bCs/>
                <w:sz w:val="18"/>
                <w:szCs w:val="18"/>
              </w:rPr>
            </w:pPr>
            <w:r>
              <w:rPr>
                <w:rFonts w:cs="Arial"/>
                <w:b/>
                <w:bCs/>
                <w:sz w:val="18"/>
                <w:szCs w:val="18"/>
              </w:rPr>
              <w:t xml:space="preserve">70,578 </w:t>
            </w:r>
          </w:p>
        </w:tc>
        <w:tc>
          <w:tcPr>
            <w:tcW w:w="236" w:type="dxa"/>
            <w:tcBorders>
              <w:top w:val="nil"/>
              <w:left w:val="nil"/>
              <w:bottom w:val="nil"/>
              <w:right w:val="nil"/>
            </w:tcBorders>
            <w:shd w:val="clear" w:color="FFFFFF" w:fill="FFFFFF"/>
            <w:noWrap/>
            <w:vAlign w:val="bottom"/>
            <w:hideMark/>
          </w:tcPr>
          <w:p w14:paraId="42A6D02B"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148CEA00" w14:textId="77777777" w:rsidR="00AB6753" w:rsidRDefault="00AB6753" w:rsidP="002D1EA4">
            <w:pPr>
              <w:spacing w:after="0"/>
              <w:jc w:val="right"/>
              <w:rPr>
                <w:rFonts w:cs="Arial"/>
                <w:sz w:val="18"/>
                <w:szCs w:val="18"/>
              </w:rPr>
            </w:pPr>
            <w:r>
              <w:rPr>
                <w:rFonts w:cs="Arial"/>
                <w:sz w:val="18"/>
                <w:szCs w:val="18"/>
              </w:rPr>
              <w:t xml:space="preserve">66,990 </w:t>
            </w:r>
          </w:p>
        </w:tc>
        <w:tc>
          <w:tcPr>
            <w:tcW w:w="236" w:type="dxa"/>
            <w:tcBorders>
              <w:top w:val="nil"/>
              <w:left w:val="nil"/>
              <w:bottom w:val="nil"/>
              <w:right w:val="nil"/>
            </w:tcBorders>
            <w:shd w:val="clear" w:color="FFFFFF" w:fill="FFFFFF"/>
            <w:noWrap/>
            <w:vAlign w:val="bottom"/>
            <w:hideMark/>
          </w:tcPr>
          <w:p w14:paraId="7CF9B672"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12D93950"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360642F5" w14:textId="77777777" w:rsidTr="002D1EA4">
        <w:trPr>
          <w:trHeight w:val="255"/>
        </w:trPr>
        <w:tc>
          <w:tcPr>
            <w:tcW w:w="4805" w:type="dxa"/>
            <w:tcBorders>
              <w:top w:val="nil"/>
              <w:left w:val="nil"/>
              <w:bottom w:val="nil"/>
              <w:right w:val="nil"/>
            </w:tcBorders>
            <w:shd w:val="clear" w:color="FFFFFF" w:fill="FFFFFF"/>
            <w:vAlign w:val="bottom"/>
            <w:hideMark/>
          </w:tcPr>
          <w:p w14:paraId="5346097D" w14:textId="77777777" w:rsidR="00AB6753" w:rsidRDefault="00AB6753" w:rsidP="002D1EA4">
            <w:pPr>
              <w:spacing w:after="0"/>
              <w:rPr>
                <w:rFonts w:cs="Arial"/>
                <w:b/>
                <w:bCs/>
                <w:sz w:val="18"/>
                <w:szCs w:val="18"/>
              </w:rPr>
            </w:pPr>
            <w:r>
              <w:rPr>
                <w:rFonts w:cs="Arial"/>
                <w:b/>
                <w:bCs/>
                <w:sz w:val="18"/>
                <w:szCs w:val="18"/>
              </w:rPr>
              <w:t>Total cash used</w:t>
            </w:r>
          </w:p>
        </w:tc>
        <w:tc>
          <w:tcPr>
            <w:tcW w:w="803" w:type="dxa"/>
            <w:tcBorders>
              <w:top w:val="nil"/>
              <w:left w:val="nil"/>
              <w:bottom w:val="nil"/>
              <w:right w:val="nil"/>
            </w:tcBorders>
            <w:shd w:val="clear" w:color="FFFFFF" w:fill="FFFFFF"/>
            <w:noWrap/>
            <w:vAlign w:val="bottom"/>
            <w:hideMark/>
          </w:tcPr>
          <w:p w14:paraId="40E6E6FD"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single" w:sz="4" w:space="0" w:color="auto"/>
              <w:left w:val="nil"/>
              <w:bottom w:val="single" w:sz="4" w:space="0" w:color="auto"/>
              <w:right w:val="nil"/>
            </w:tcBorders>
            <w:shd w:val="clear" w:color="FFFFFF" w:fill="FFFFFF"/>
            <w:noWrap/>
            <w:vAlign w:val="bottom"/>
            <w:hideMark/>
          </w:tcPr>
          <w:p w14:paraId="753844EF" w14:textId="77777777" w:rsidR="00AB6753" w:rsidRDefault="00AB6753" w:rsidP="002D1EA4">
            <w:pPr>
              <w:spacing w:after="0"/>
              <w:jc w:val="right"/>
              <w:rPr>
                <w:rFonts w:cs="Arial"/>
                <w:b/>
                <w:bCs/>
                <w:sz w:val="18"/>
                <w:szCs w:val="18"/>
              </w:rPr>
            </w:pPr>
            <w:r>
              <w:rPr>
                <w:rFonts w:cs="Arial"/>
                <w:b/>
                <w:bCs/>
                <w:sz w:val="18"/>
                <w:szCs w:val="18"/>
              </w:rPr>
              <w:t>535,779</w:t>
            </w:r>
          </w:p>
        </w:tc>
        <w:tc>
          <w:tcPr>
            <w:tcW w:w="236" w:type="dxa"/>
            <w:tcBorders>
              <w:top w:val="nil"/>
              <w:left w:val="nil"/>
              <w:bottom w:val="nil"/>
              <w:right w:val="nil"/>
            </w:tcBorders>
            <w:shd w:val="clear" w:color="FFFFFF" w:fill="FFFFFF"/>
            <w:noWrap/>
            <w:vAlign w:val="bottom"/>
            <w:hideMark/>
          </w:tcPr>
          <w:p w14:paraId="0AB97A8A" w14:textId="77777777" w:rsidR="00AB6753" w:rsidRDefault="00AB6753" w:rsidP="002D1EA4">
            <w:pPr>
              <w:spacing w:after="0"/>
              <w:rPr>
                <w:rFonts w:cs="Arial"/>
                <w:sz w:val="18"/>
                <w:szCs w:val="18"/>
              </w:rPr>
            </w:pPr>
            <w:r>
              <w:rPr>
                <w:rFonts w:cs="Arial"/>
                <w:sz w:val="18"/>
                <w:szCs w:val="18"/>
              </w:rPr>
              <w:t> </w:t>
            </w:r>
          </w:p>
        </w:tc>
        <w:tc>
          <w:tcPr>
            <w:tcW w:w="1075" w:type="dxa"/>
            <w:tcBorders>
              <w:top w:val="single" w:sz="4" w:space="0" w:color="auto"/>
              <w:left w:val="nil"/>
              <w:bottom w:val="single" w:sz="4" w:space="0" w:color="auto"/>
              <w:right w:val="nil"/>
            </w:tcBorders>
            <w:shd w:val="clear" w:color="FFFFFF" w:fill="FFFFFF"/>
            <w:noWrap/>
            <w:vAlign w:val="bottom"/>
            <w:hideMark/>
          </w:tcPr>
          <w:p w14:paraId="089EC166" w14:textId="77777777" w:rsidR="00AB6753" w:rsidRDefault="00AB6753" w:rsidP="002D1EA4">
            <w:pPr>
              <w:spacing w:after="0"/>
              <w:jc w:val="right"/>
              <w:rPr>
                <w:rFonts w:cs="Arial"/>
                <w:sz w:val="18"/>
                <w:szCs w:val="18"/>
              </w:rPr>
            </w:pPr>
            <w:r>
              <w:rPr>
                <w:rFonts w:cs="Arial"/>
                <w:sz w:val="18"/>
                <w:szCs w:val="18"/>
              </w:rPr>
              <w:t>565,903</w:t>
            </w:r>
          </w:p>
        </w:tc>
        <w:tc>
          <w:tcPr>
            <w:tcW w:w="236" w:type="dxa"/>
            <w:tcBorders>
              <w:top w:val="nil"/>
              <w:left w:val="nil"/>
              <w:bottom w:val="nil"/>
              <w:right w:val="nil"/>
            </w:tcBorders>
            <w:shd w:val="clear" w:color="FFFFFF" w:fill="FFFFFF"/>
            <w:noWrap/>
            <w:vAlign w:val="bottom"/>
            <w:hideMark/>
          </w:tcPr>
          <w:p w14:paraId="4D6E218C" w14:textId="77777777" w:rsidR="00AB6753" w:rsidRDefault="00AB6753" w:rsidP="002D1EA4">
            <w:pPr>
              <w:spacing w:after="0"/>
              <w:rPr>
                <w:rFonts w:cs="Arial"/>
                <w:sz w:val="18"/>
                <w:szCs w:val="18"/>
              </w:rPr>
            </w:pPr>
            <w:r>
              <w:rPr>
                <w:rFonts w:cs="Arial"/>
                <w:sz w:val="18"/>
                <w:szCs w:val="18"/>
              </w:rPr>
              <w:t> </w:t>
            </w:r>
          </w:p>
        </w:tc>
        <w:tc>
          <w:tcPr>
            <w:tcW w:w="1075" w:type="dxa"/>
            <w:tcBorders>
              <w:top w:val="single" w:sz="4" w:space="0" w:color="auto"/>
              <w:left w:val="nil"/>
              <w:bottom w:val="single" w:sz="4" w:space="0" w:color="auto"/>
              <w:right w:val="nil"/>
            </w:tcBorders>
            <w:shd w:val="clear" w:color="FFFFFF" w:fill="FFFFFF"/>
            <w:noWrap/>
            <w:vAlign w:val="bottom"/>
            <w:hideMark/>
          </w:tcPr>
          <w:p w14:paraId="1509DA3E" w14:textId="77777777" w:rsidR="00AB6753" w:rsidRDefault="00AB6753" w:rsidP="002D1EA4">
            <w:pPr>
              <w:spacing w:after="0"/>
              <w:jc w:val="right"/>
              <w:rPr>
                <w:rFonts w:cs="Arial"/>
                <w:sz w:val="18"/>
                <w:szCs w:val="18"/>
              </w:rPr>
            </w:pPr>
            <w:r>
              <w:rPr>
                <w:rFonts w:cs="Arial"/>
                <w:sz w:val="18"/>
                <w:szCs w:val="18"/>
              </w:rPr>
              <w:t>473,148</w:t>
            </w:r>
          </w:p>
        </w:tc>
      </w:tr>
      <w:tr w:rsidR="00AB6753" w14:paraId="643E0F46" w14:textId="77777777" w:rsidTr="002D1EA4">
        <w:trPr>
          <w:trHeight w:val="255"/>
        </w:trPr>
        <w:tc>
          <w:tcPr>
            <w:tcW w:w="4805" w:type="dxa"/>
            <w:tcBorders>
              <w:top w:val="nil"/>
              <w:left w:val="nil"/>
              <w:bottom w:val="nil"/>
              <w:right w:val="nil"/>
            </w:tcBorders>
            <w:shd w:val="clear" w:color="FFFFFF" w:fill="FFFFFF"/>
            <w:vAlign w:val="bottom"/>
            <w:hideMark/>
          </w:tcPr>
          <w:p w14:paraId="294380F4" w14:textId="77777777" w:rsidR="00AB6753" w:rsidRDefault="00AB6753" w:rsidP="002D1EA4">
            <w:pPr>
              <w:spacing w:after="0"/>
              <w:rPr>
                <w:rFonts w:cs="Arial"/>
                <w:b/>
                <w:bCs/>
                <w:sz w:val="18"/>
                <w:szCs w:val="18"/>
              </w:rPr>
            </w:pPr>
            <w:r>
              <w:rPr>
                <w:rFonts w:cs="Arial"/>
                <w:b/>
                <w:bCs/>
                <w:sz w:val="18"/>
                <w:szCs w:val="18"/>
              </w:rPr>
              <w:t>Net cash from operating activities</w:t>
            </w:r>
          </w:p>
        </w:tc>
        <w:tc>
          <w:tcPr>
            <w:tcW w:w="803" w:type="dxa"/>
            <w:tcBorders>
              <w:top w:val="nil"/>
              <w:left w:val="nil"/>
              <w:bottom w:val="nil"/>
              <w:right w:val="nil"/>
            </w:tcBorders>
            <w:shd w:val="clear" w:color="FFFFFF" w:fill="FFFFFF"/>
            <w:noWrap/>
            <w:vAlign w:val="bottom"/>
            <w:hideMark/>
          </w:tcPr>
          <w:p w14:paraId="1DB6E337"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single" w:sz="4" w:space="0" w:color="auto"/>
              <w:right w:val="nil"/>
            </w:tcBorders>
            <w:shd w:val="clear" w:color="FFFFFF" w:fill="FFFFFF"/>
            <w:noWrap/>
            <w:vAlign w:val="bottom"/>
            <w:hideMark/>
          </w:tcPr>
          <w:p w14:paraId="0C376EE7" w14:textId="77777777" w:rsidR="00AB6753" w:rsidRDefault="00AB6753" w:rsidP="002D1EA4">
            <w:pPr>
              <w:spacing w:after="0"/>
              <w:jc w:val="right"/>
              <w:rPr>
                <w:rFonts w:cs="Arial"/>
                <w:b/>
                <w:bCs/>
                <w:sz w:val="18"/>
                <w:szCs w:val="18"/>
              </w:rPr>
            </w:pPr>
            <w:r>
              <w:rPr>
                <w:rFonts w:cs="Arial"/>
                <w:b/>
                <w:bCs/>
                <w:sz w:val="18"/>
                <w:szCs w:val="18"/>
              </w:rPr>
              <w:t>18,693</w:t>
            </w:r>
          </w:p>
        </w:tc>
        <w:tc>
          <w:tcPr>
            <w:tcW w:w="236" w:type="dxa"/>
            <w:tcBorders>
              <w:top w:val="nil"/>
              <w:left w:val="nil"/>
              <w:bottom w:val="nil"/>
              <w:right w:val="nil"/>
            </w:tcBorders>
            <w:shd w:val="clear" w:color="FFFFFF" w:fill="FFFFFF"/>
            <w:noWrap/>
            <w:vAlign w:val="bottom"/>
            <w:hideMark/>
          </w:tcPr>
          <w:p w14:paraId="45A6570E"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single" w:sz="4" w:space="0" w:color="auto"/>
              <w:right w:val="nil"/>
            </w:tcBorders>
            <w:shd w:val="clear" w:color="FFFFFF" w:fill="FFFFFF"/>
            <w:noWrap/>
            <w:vAlign w:val="bottom"/>
            <w:hideMark/>
          </w:tcPr>
          <w:p w14:paraId="19668456" w14:textId="77777777" w:rsidR="00AB6753" w:rsidRDefault="00AB6753" w:rsidP="002D1EA4">
            <w:pPr>
              <w:spacing w:after="0"/>
              <w:jc w:val="right"/>
              <w:rPr>
                <w:rFonts w:cs="Arial"/>
                <w:sz w:val="18"/>
                <w:szCs w:val="18"/>
              </w:rPr>
            </w:pPr>
            <w:r>
              <w:rPr>
                <w:rFonts w:cs="Arial"/>
                <w:sz w:val="18"/>
                <w:szCs w:val="18"/>
              </w:rPr>
              <w:t>3,812</w:t>
            </w:r>
          </w:p>
        </w:tc>
        <w:tc>
          <w:tcPr>
            <w:tcW w:w="236" w:type="dxa"/>
            <w:tcBorders>
              <w:top w:val="nil"/>
              <w:left w:val="nil"/>
              <w:bottom w:val="nil"/>
              <w:right w:val="nil"/>
            </w:tcBorders>
            <w:shd w:val="clear" w:color="FFFFFF" w:fill="FFFFFF"/>
            <w:noWrap/>
            <w:vAlign w:val="bottom"/>
            <w:hideMark/>
          </w:tcPr>
          <w:p w14:paraId="0CEF9F54"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single" w:sz="4" w:space="0" w:color="auto"/>
              <w:right w:val="nil"/>
            </w:tcBorders>
            <w:shd w:val="clear" w:color="FFFFFF" w:fill="FFFFFF"/>
            <w:noWrap/>
            <w:vAlign w:val="bottom"/>
            <w:hideMark/>
          </w:tcPr>
          <w:p w14:paraId="5FC002F3" w14:textId="77777777" w:rsidR="00AB6753" w:rsidRDefault="00AB6753" w:rsidP="002D1EA4">
            <w:pPr>
              <w:spacing w:after="0"/>
              <w:jc w:val="right"/>
              <w:rPr>
                <w:rFonts w:cs="Arial"/>
                <w:sz w:val="18"/>
                <w:szCs w:val="18"/>
              </w:rPr>
            </w:pPr>
            <w:r>
              <w:rPr>
                <w:rFonts w:cs="Arial"/>
                <w:sz w:val="18"/>
                <w:szCs w:val="18"/>
              </w:rPr>
              <w:t>-</w:t>
            </w:r>
          </w:p>
        </w:tc>
      </w:tr>
      <w:tr w:rsidR="00AB6753" w14:paraId="7B3EDEE2" w14:textId="77777777" w:rsidTr="002D1EA4">
        <w:trPr>
          <w:trHeight w:val="255"/>
        </w:trPr>
        <w:tc>
          <w:tcPr>
            <w:tcW w:w="4805" w:type="dxa"/>
            <w:tcBorders>
              <w:top w:val="nil"/>
              <w:left w:val="nil"/>
              <w:bottom w:val="nil"/>
              <w:right w:val="nil"/>
            </w:tcBorders>
            <w:shd w:val="clear" w:color="FFFFFF" w:fill="FFFFFF"/>
            <w:noWrap/>
            <w:vAlign w:val="bottom"/>
            <w:hideMark/>
          </w:tcPr>
          <w:p w14:paraId="3BDCD8F5" w14:textId="77777777" w:rsidR="00AB6753" w:rsidRDefault="00AB6753" w:rsidP="002D1EA4">
            <w:pPr>
              <w:spacing w:after="0"/>
              <w:rPr>
                <w:rFonts w:cs="Arial"/>
                <w:sz w:val="18"/>
                <w:szCs w:val="18"/>
              </w:rPr>
            </w:pPr>
            <w:r>
              <w:rPr>
                <w:rFonts w:cs="Arial"/>
                <w:sz w:val="18"/>
                <w:szCs w:val="18"/>
              </w:rPr>
              <w:t> </w:t>
            </w:r>
          </w:p>
        </w:tc>
        <w:tc>
          <w:tcPr>
            <w:tcW w:w="803" w:type="dxa"/>
            <w:tcBorders>
              <w:top w:val="nil"/>
              <w:left w:val="nil"/>
              <w:bottom w:val="nil"/>
              <w:right w:val="nil"/>
            </w:tcBorders>
            <w:shd w:val="clear" w:color="FFFFFF" w:fill="FFFFFF"/>
            <w:noWrap/>
            <w:vAlign w:val="bottom"/>
            <w:hideMark/>
          </w:tcPr>
          <w:p w14:paraId="227BF164"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07E860A0"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78CF7EB0"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4B3C185A"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5B7F1C9F"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3679D721" w14:textId="77777777" w:rsidR="00AB6753" w:rsidRDefault="00AB6753" w:rsidP="002D1EA4">
            <w:pPr>
              <w:spacing w:after="0"/>
              <w:rPr>
                <w:rFonts w:cs="Arial"/>
                <w:sz w:val="18"/>
                <w:szCs w:val="18"/>
              </w:rPr>
            </w:pPr>
            <w:r>
              <w:rPr>
                <w:rFonts w:cs="Arial"/>
                <w:sz w:val="18"/>
                <w:szCs w:val="18"/>
              </w:rPr>
              <w:t> </w:t>
            </w:r>
          </w:p>
        </w:tc>
      </w:tr>
      <w:tr w:rsidR="00AB6753" w14:paraId="5899A92E" w14:textId="77777777" w:rsidTr="002D1EA4">
        <w:trPr>
          <w:trHeight w:val="255"/>
        </w:trPr>
        <w:tc>
          <w:tcPr>
            <w:tcW w:w="4805" w:type="dxa"/>
            <w:tcBorders>
              <w:top w:val="nil"/>
              <w:left w:val="nil"/>
              <w:bottom w:val="nil"/>
              <w:right w:val="nil"/>
            </w:tcBorders>
            <w:shd w:val="clear" w:color="FFFFFF" w:fill="FFFFFF"/>
            <w:vAlign w:val="bottom"/>
            <w:hideMark/>
          </w:tcPr>
          <w:p w14:paraId="35F97266" w14:textId="77777777" w:rsidR="00AB6753" w:rsidRDefault="00AB6753" w:rsidP="002D1EA4">
            <w:pPr>
              <w:spacing w:after="0"/>
              <w:rPr>
                <w:rFonts w:cs="Arial"/>
                <w:b/>
                <w:bCs/>
                <w:sz w:val="18"/>
                <w:szCs w:val="18"/>
              </w:rPr>
            </w:pPr>
            <w:r>
              <w:rPr>
                <w:rFonts w:cs="Arial"/>
                <w:b/>
                <w:bCs/>
                <w:sz w:val="18"/>
                <w:szCs w:val="18"/>
              </w:rPr>
              <w:t>INVESTING ACTIVITIES</w:t>
            </w:r>
          </w:p>
        </w:tc>
        <w:tc>
          <w:tcPr>
            <w:tcW w:w="803" w:type="dxa"/>
            <w:tcBorders>
              <w:top w:val="nil"/>
              <w:left w:val="nil"/>
              <w:bottom w:val="nil"/>
              <w:right w:val="nil"/>
            </w:tcBorders>
            <w:shd w:val="clear" w:color="FFFFFF" w:fill="FFFFFF"/>
            <w:noWrap/>
            <w:vAlign w:val="bottom"/>
            <w:hideMark/>
          </w:tcPr>
          <w:p w14:paraId="3DA674EB"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35E02840"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7374E0A9"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65DBA330"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36104294"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28D6EEF3" w14:textId="77777777" w:rsidR="00AB6753" w:rsidRDefault="00AB6753" w:rsidP="002D1EA4">
            <w:pPr>
              <w:spacing w:after="0"/>
              <w:rPr>
                <w:rFonts w:cs="Arial"/>
                <w:sz w:val="18"/>
                <w:szCs w:val="18"/>
              </w:rPr>
            </w:pPr>
            <w:r>
              <w:rPr>
                <w:rFonts w:cs="Arial"/>
                <w:sz w:val="18"/>
                <w:szCs w:val="18"/>
              </w:rPr>
              <w:t> </w:t>
            </w:r>
          </w:p>
        </w:tc>
      </w:tr>
      <w:tr w:rsidR="00AB6753" w14:paraId="3D71D197" w14:textId="77777777" w:rsidTr="002D1EA4">
        <w:trPr>
          <w:trHeight w:val="255"/>
        </w:trPr>
        <w:tc>
          <w:tcPr>
            <w:tcW w:w="4805" w:type="dxa"/>
            <w:tcBorders>
              <w:top w:val="nil"/>
              <w:left w:val="nil"/>
              <w:bottom w:val="nil"/>
              <w:right w:val="nil"/>
            </w:tcBorders>
            <w:shd w:val="clear" w:color="FFFFFF" w:fill="FFFFFF"/>
            <w:vAlign w:val="bottom"/>
            <w:hideMark/>
          </w:tcPr>
          <w:p w14:paraId="19FC3FCD" w14:textId="77777777" w:rsidR="00AB6753" w:rsidRDefault="00AB6753" w:rsidP="002D1EA4">
            <w:pPr>
              <w:spacing w:after="0"/>
              <w:rPr>
                <w:rFonts w:cs="Arial"/>
                <w:b/>
                <w:bCs/>
                <w:sz w:val="18"/>
                <w:szCs w:val="18"/>
              </w:rPr>
            </w:pPr>
            <w:r>
              <w:rPr>
                <w:rFonts w:cs="Arial"/>
                <w:b/>
                <w:bCs/>
                <w:sz w:val="18"/>
                <w:szCs w:val="18"/>
              </w:rPr>
              <w:t>Cash received</w:t>
            </w:r>
          </w:p>
        </w:tc>
        <w:tc>
          <w:tcPr>
            <w:tcW w:w="803" w:type="dxa"/>
            <w:tcBorders>
              <w:top w:val="nil"/>
              <w:left w:val="nil"/>
              <w:bottom w:val="nil"/>
              <w:right w:val="nil"/>
            </w:tcBorders>
            <w:shd w:val="clear" w:color="FFFFFF" w:fill="FFFFFF"/>
            <w:noWrap/>
            <w:vAlign w:val="bottom"/>
            <w:hideMark/>
          </w:tcPr>
          <w:p w14:paraId="7D285923"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0FF0805D"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187931F3"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7C7DF9A9"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07DFC60E"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2EBDABBA" w14:textId="77777777" w:rsidR="00AB6753" w:rsidRDefault="00AB6753" w:rsidP="002D1EA4">
            <w:pPr>
              <w:spacing w:after="0"/>
              <w:rPr>
                <w:rFonts w:cs="Arial"/>
                <w:sz w:val="18"/>
                <w:szCs w:val="18"/>
              </w:rPr>
            </w:pPr>
            <w:r>
              <w:rPr>
                <w:rFonts w:cs="Arial"/>
                <w:sz w:val="18"/>
                <w:szCs w:val="18"/>
              </w:rPr>
              <w:t> </w:t>
            </w:r>
          </w:p>
        </w:tc>
      </w:tr>
      <w:tr w:rsidR="00AB6753" w14:paraId="72589E60" w14:textId="77777777" w:rsidTr="002D1EA4">
        <w:trPr>
          <w:trHeight w:val="255"/>
        </w:trPr>
        <w:tc>
          <w:tcPr>
            <w:tcW w:w="4805" w:type="dxa"/>
            <w:tcBorders>
              <w:top w:val="nil"/>
              <w:left w:val="nil"/>
              <w:bottom w:val="nil"/>
              <w:right w:val="nil"/>
            </w:tcBorders>
            <w:shd w:val="clear" w:color="FFFFFF" w:fill="FFFFFF"/>
            <w:vAlign w:val="bottom"/>
            <w:hideMark/>
          </w:tcPr>
          <w:p w14:paraId="52827196" w14:textId="77777777" w:rsidR="00AB6753" w:rsidRDefault="00AB6753" w:rsidP="002D1EA4">
            <w:pPr>
              <w:spacing w:after="0"/>
              <w:rPr>
                <w:rFonts w:cs="Arial"/>
                <w:sz w:val="18"/>
                <w:szCs w:val="18"/>
              </w:rPr>
            </w:pPr>
            <w:r>
              <w:rPr>
                <w:rFonts w:cs="Arial"/>
                <w:sz w:val="18"/>
                <w:szCs w:val="18"/>
              </w:rPr>
              <w:t>Proceeds from sales of property, plant and equipment</w:t>
            </w:r>
          </w:p>
        </w:tc>
        <w:tc>
          <w:tcPr>
            <w:tcW w:w="803" w:type="dxa"/>
            <w:tcBorders>
              <w:top w:val="nil"/>
              <w:left w:val="nil"/>
              <w:bottom w:val="nil"/>
              <w:right w:val="nil"/>
            </w:tcBorders>
            <w:shd w:val="clear" w:color="FFFFFF" w:fill="FFFFFF"/>
            <w:noWrap/>
            <w:vAlign w:val="bottom"/>
            <w:hideMark/>
          </w:tcPr>
          <w:p w14:paraId="714C5843"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single" w:sz="4" w:space="0" w:color="auto"/>
              <w:right w:val="nil"/>
            </w:tcBorders>
            <w:shd w:val="clear" w:color="FFFFFF" w:fill="FFFFFF"/>
            <w:noWrap/>
            <w:vAlign w:val="bottom"/>
            <w:hideMark/>
          </w:tcPr>
          <w:p w14:paraId="18E2FB34" w14:textId="77777777" w:rsidR="00AB6753" w:rsidRDefault="00AB6753" w:rsidP="002D1EA4">
            <w:pPr>
              <w:spacing w:after="0"/>
              <w:jc w:val="right"/>
              <w:rPr>
                <w:rFonts w:cs="Arial"/>
                <w:b/>
                <w:bCs/>
                <w:sz w:val="18"/>
                <w:szCs w:val="18"/>
              </w:rPr>
            </w:pPr>
            <w:r>
              <w:rPr>
                <w:rFonts w:cs="Arial"/>
                <w:b/>
                <w:bCs/>
                <w:sz w:val="18"/>
                <w:szCs w:val="18"/>
              </w:rPr>
              <w:t xml:space="preserve">3 </w:t>
            </w:r>
          </w:p>
        </w:tc>
        <w:tc>
          <w:tcPr>
            <w:tcW w:w="236" w:type="dxa"/>
            <w:tcBorders>
              <w:top w:val="nil"/>
              <w:left w:val="nil"/>
              <w:bottom w:val="nil"/>
              <w:right w:val="nil"/>
            </w:tcBorders>
            <w:shd w:val="clear" w:color="FFFFFF" w:fill="FFFFFF"/>
            <w:noWrap/>
            <w:vAlign w:val="bottom"/>
            <w:hideMark/>
          </w:tcPr>
          <w:p w14:paraId="56CBACEA"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single" w:sz="4" w:space="0" w:color="auto"/>
              <w:right w:val="nil"/>
            </w:tcBorders>
            <w:shd w:val="clear" w:color="FFFFFF" w:fill="FFFFFF"/>
            <w:noWrap/>
            <w:vAlign w:val="bottom"/>
            <w:hideMark/>
          </w:tcPr>
          <w:p w14:paraId="5EB58198" w14:textId="77777777" w:rsidR="00AB6753" w:rsidRDefault="00AB6753" w:rsidP="002D1EA4">
            <w:pPr>
              <w:spacing w:after="0"/>
              <w:jc w:val="right"/>
              <w:rPr>
                <w:rFonts w:cs="Arial"/>
                <w:sz w:val="18"/>
                <w:szCs w:val="18"/>
              </w:rPr>
            </w:pPr>
            <w:r>
              <w:rPr>
                <w:rFonts w:cs="Arial"/>
                <w:sz w:val="18"/>
                <w:szCs w:val="18"/>
              </w:rPr>
              <w:t xml:space="preserve">299 </w:t>
            </w:r>
          </w:p>
        </w:tc>
        <w:tc>
          <w:tcPr>
            <w:tcW w:w="236" w:type="dxa"/>
            <w:tcBorders>
              <w:top w:val="nil"/>
              <w:left w:val="nil"/>
              <w:bottom w:val="nil"/>
              <w:right w:val="nil"/>
            </w:tcBorders>
            <w:shd w:val="clear" w:color="FFFFFF" w:fill="FFFFFF"/>
            <w:noWrap/>
            <w:vAlign w:val="bottom"/>
            <w:hideMark/>
          </w:tcPr>
          <w:p w14:paraId="74399655"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single" w:sz="4" w:space="0" w:color="auto"/>
              <w:right w:val="nil"/>
            </w:tcBorders>
            <w:shd w:val="clear" w:color="FFFFFF" w:fill="FFFFFF"/>
            <w:noWrap/>
            <w:vAlign w:val="bottom"/>
            <w:hideMark/>
          </w:tcPr>
          <w:p w14:paraId="60492D38"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70A82DE1" w14:textId="77777777" w:rsidTr="002D1EA4">
        <w:trPr>
          <w:trHeight w:val="255"/>
        </w:trPr>
        <w:tc>
          <w:tcPr>
            <w:tcW w:w="4805" w:type="dxa"/>
            <w:tcBorders>
              <w:top w:val="nil"/>
              <w:left w:val="nil"/>
              <w:bottom w:val="nil"/>
              <w:right w:val="nil"/>
            </w:tcBorders>
            <w:shd w:val="clear" w:color="FFFFFF" w:fill="FFFFFF"/>
            <w:noWrap/>
            <w:vAlign w:val="bottom"/>
            <w:hideMark/>
          </w:tcPr>
          <w:p w14:paraId="4CC0AB55" w14:textId="77777777" w:rsidR="00AB6753" w:rsidRDefault="00AB6753" w:rsidP="002D1EA4">
            <w:pPr>
              <w:spacing w:after="0"/>
              <w:rPr>
                <w:rFonts w:cs="Arial"/>
                <w:sz w:val="18"/>
                <w:szCs w:val="18"/>
              </w:rPr>
            </w:pPr>
            <w:r>
              <w:rPr>
                <w:rFonts w:cs="Arial"/>
                <w:sz w:val="18"/>
                <w:szCs w:val="18"/>
              </w:rPr>
              <w:t> </w:t>
            </w:r>
          </w:p>
        </w:tc>
        <w:tc>
          <w:tcPr>
            <w:tcW w:w="803" w:type="dxa"/>
            <w:tcBorders>
              <w:top w:val="nil"/>
              <w:left w:val="nil"/>
              <w:bottom w:val="nil"/>
              <w:right w:val="nil"/>
            </w:tcBorders>
            <w:shd w:val="clear" w:color="FFFFFF" w:fill="FFFFFF"/>
            <w:noWrap/>
            <w:vAlign w:val="bottom"/>
            <w:hideMark/>
          </w:tcPr>
          <w:p w14:paraId="1679A96F"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5465BAB9"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5DB93C46"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264A26F1"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05C4B968"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670973B1" w14:textId="77777777" w:rsidR="00AB6753" w:rsidRDefault="00AB6753" w:rsidP="002D1EA4">
            <w:pPr>
              <w:spacing w:after="0"/>
              <w:rPr>
                <w:rFonts w:cs="Arial"/>
                <w:sz w:val="18"/>
                <w:szCs w:val="18"/>
              </w:rPr>
            </w:pPr>
            <w:r>
              <w:rPr>
                <w:rFonts w:cs="Arial"/>
                <w:sz w:val="18"/>
                <w:szCs w:val="18"/>
              </w:rPr>
              <w:t> </w:t>
            </w:r>
          </w:p>
        </w:tc>
      </w:tr>
      <w:tr w:rsidR="00AB6753" w14:paraId="67AB38AA" w14:textId="77777777" w:rsidTr="002D1EA4">
        <w:trPr>
          <w:trHeight w:val="255"/>
        </w:trPr>
        <w:tc>
          <w:tcPr>
            <w:tcW w:w="4805" w:type="dxa"/>
            <w:tcBorders>
              <w:top w:val="nil"/>
              <w:left w:val="nil"/>
              <w:bottom w:val="nil"/>
              <w:right w:val="nil"/>
            </w:tcBorders>
            <w:shd w:val="clear" w:color="FFFFFF" w:fill="FFFFFF"/>
            <w:vAlign w:val="bottom"/>
            <w:hideMark/>
          </w:tcPr>
          <w:p w14:paraId="7EF5161B" w14:textId="77777777" w:rsidR="00AB6753" w:rsidRDefault="00AB6753" w:rsidP="002D1EA4">
            <w:pPr>
              <w:spacing w:after="0"/>
              <w:rPr>
                <w:rFonts w:cs="Arial"/>
                <w:b/>
                <w:bCs/>
                <w:sz w:val="18"/>
                <w:szCs w:val="18"/>
              </w:rPr>
            </w:pPr>
            <w:r>
              <w:rPr>
                <w:rFonts w:cs="Arial"/>
                <w:b/>
                <w:bCs/>
                <w:sz w:val="18"/>
                <w:szCs w:val="18"/>
              </w:rPr>
              <w:t>Cash used</w:t>
            </w:r>
          </w:p>
        </w:tc>
        <w:tc>
          <w:tcPr>
            <w:tcW w:w="803" w:type="dxa"/>
            <w:tcBorders>
              <w:top w:val="nil"/>
              <w:left w:val="nil"/>
              <w:bottom w:val="nil"/>
              <w:right w:val="nil"/>
            </w:tcBorders>
            <w:shd w:val="clear" w:color="FFFFFF" w:fill="FFFFFF"/>
            <w:noWrap/>
            <w:vAlign w:val="bottom"/>
            <w:hideMark/>
          </w:tcPr>
          <w:p w14:paraId="1B5E164D"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038A51A2"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6C6A562B"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467890CE"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1A57F8F1"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3BF601AE" w14:textId="77777777" w:rsidR="00AB6753" w:rsidRDefault="00AB6753" w:rsidP="002D1EA4">
            <w:pPr>
              <w:spacing w:after="0"/>
              <w:rPr>
                <w:rFonts w:cs="Arial"/>
                <w:sz w:val="18"/>
                <w:szCs w:val="18"/>
              </w:rPr>
            </w:pPr>
            <w:r>
              <w:rPr>
                <w:rFonts w:cs="Arial"/>
                <w:sz w:val="18"/>
                <w:szCs w:val="18"/>
              </w:rPr>
              <w:t> </w:t>
            </w:r>
          </w:p>
        </w:tc>
      </w:tr>
      <w:tr w:rsidR="00AB6753" w14:paraId="64940D80" w14:textId="77777777" w:rsidTr="002D1EA4">
        <w:trPr>
          <w:trHeight w:val="255"/>
        </w:trPr>
        <w:tc>
          <w:tcPr>
            <w:tcW w:w="4805" w:type="dxa"/>
            <w:tcBorders>
              <w:top w:val="nil"/>
              <w:left w:val="nil"/>
              <w:bottom w:val="nil"/>
              <w:right w:val="nil"/>
            </w:tcBorders>
            <w:shd w:val="clear" w:color="FFFFFF" w:fill="FFFFFF"/>
            <w:vAlign w:val="bottom"/>
            <w:hideMark/>
          </w:tcPr>
          <w:p w14:paraId="2EA9C466" w14:textId="77777777" w:rsidR="00AB6753" w:rsidRDefault="00AB6753" w:rsidP="002D1EA4">
            <w:pPr>
              <w:spacing w:after="0"/>
              <w:rPr>
                <w:rFonts w:cs="Arial"/>
                <w:sz w:val="18"/>
                <w:szCs w:val="18"/>
              </w:rPr>
            </w:pPr>
            <w:r>
              <w:rPr>
                <w:rFonts w:cs="Arial"/>
                <w:sz w:val="18"/>
                <w:szCs w:val="18"/>
              </w:rPr>
              <w:t>Purchase of property, plant and equipment</w:t>
            </w:r>
          </w:p>
        </w:tc>
        <w:tc>
          <w:tcPr>
            <w:tcW w:w="803" w:type="dxa"/>
            <w:tcBorders>
              <w:top w:val="nil"/>
              <w:left w:val="nil"/>
              <w:bottom w:val="nil"/>
              <w:right w:val="nil"/>
            </w:tcBorders>
            <w:shd w:val="clear" w:color="FFFFFF" w:fill="FFFFFF"/>
            <w:noWrap/>
            <w:vAlign w:val="bottom"/>
            <w:hideMark/>
          </w:tcPr>
          <w:p w14:paraId="41E05372"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55EE26D0" w14:textId="77777777" w:rsidR="00AB6753" w:rsidRDefault="00AB6753" w:rsidP="002D1EA4">
            <w:pPr>
              <w:spacing w:after="0"/>
              <w:jc w:val="right"/>
              <w:rPr>
                <w:rFonts w:cs="Arial"/>
                <w:b/>
                <w:bCs/>
                <w:sz w:val="18"/>
                <w:szCs w:val="18"/>
              </w:rPr>
            </w:pPr>
            <w:r>
              <w:rPr>
                <w:rFonts w:cs="Arial"/>
                <w:b/>
                <w:bCs/>
                <w:sz w:val="18"/>
                <w:szCs w:val="18"/>
              </w:rPr>
              <w:t xml:space="preserve">1,607 </w:t>
            </w:r>
          </w:p>
        </w:tc>
        <w:tc>
          <w:tcPr>
            <w:tcW w:w="236" w:type="dxa"/>
            <w:tcBorders>
              <w:top w:val="nil"/>
              <w:left w:val="nil"/>
              <w:bottom w:val="nil"/>
              <w:right w:val="nil"/>
            </w:tcBorders>
            <w:shd w:val="clear" w:color="FFFFFF" w:fill="FFFFFF"/>
            <w:noWrap/>
            <w:vAlign w:val="bottom"/>
            <w:hideMark/>
          </w:tcPr>
          <w:p w14:paraId="2C53D0B5"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267A6CBF" w14:textId="77777777" w:rsidR="00AB6753" w:rsidRDefault="00AB6753" w:rsidP="002D1EA4">
            <w:pPr>
              <w:spacing w:after="0"/>
              <w:jc w:val="right"/>
              <w:rPr>
                <w:rFonts w:cs="Arial"/>
                <w:sz w:val="18"/>
                <w:szCs w:val="18"/>
              </w:rPr>
            </w:pPr>
            <w:r>
              <w:rPr>
                <w:rFonts w:cs="Arial"/>
                <w:sz w:val="18"/>
                <w:szCs w:val="18"/>
              </w:rPr>
              <w:t xml:space="preserve">14,590 </w:t>
            </w:r>
          </w:p>
        </w:tc>
        <w:tc>
          <w:tcPr>
            <w:tcW w:w="236" w:type="dxa"/>
            <w:tcBorders>
              <w:top w:val="nil"/>
              <w:left w:val="nil"/>
              <w:bottom w:val="nil"/>
              <w:right w:val="nil"/>
            </w:tcBorders>
            <w:shd w:val="clear" w:color="FFFFFF" w:fill="FFFFFF"/>
            <w:noWrap/>
            <w:vAlign w:val="bottom"/>
            <w:hideMark/>
          </w:tcPr>
          <w:p w14:paraId="41AAAFAE"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4C228D50" w14:textId="77777777" w:rsidR="00AB6753" w:rsidRDefault="00AB6753" w:rsidP="002D1EA4">
            <w:pPr>
              <w:spacing w:after="0"/>
              <w:jc w:val="right"/>
              <w:rPr>
                <w:rFonts w:cs="Arial"/>
                <w:sz w:val="18"/>
                <w:szCs w:val="18"/>
              </w:rPr>
            </w:pPr>
            <w:r>
              <w:rPr>
                <w:rFonts w:cs="Arial"/>
                <w:sz w:val="18"/>
                <w:szCs w:val="18"/>
              </w:rPr>
              <w:t xml:space="preserve">11,694 </w:t>
            </w:r>
          </w:p>
        </w:tc>
      </w:tr>
      <w:tr w:rsidR="00AB6753" w14:paraId="14924360" w14:textId="77777777" w:rsidTr="002D1EA4">
        <w:trPr>
          <w:trHeight w:val="255"/>
        </w:trPr>
        <w:tc>
          <w:tcPr>
            <w:tcW w:w="4805" w:type="dxa"/>
            <w:tcBorders>
              <w:top w:val="nil"/>
              <w:left w:val="nil"/>
              <w:bottom w:val="nil"/>
              <w:right w:val="nil"/>
            </w:tcBorders>
            <w:shd w:val="clear" w:color="FFFFFF" w:fill="FFFFFF"/>
            <w:vAlign w:val="bottom"/>
            <w:hideMark/>
          </w:tcPr>
          <w:p w14:paraId="1ED6E6BB" w14:textId="77777777" w:rsidR="00AB6753" w:rsidRDefault="00AB6753" w:rsidP="002D1EA4">
            <w:pPr>
              <w:spacing w:after="0"/>
              <w:rPr>
                <w:rFonts w:cs="Arial"/>
                <w:sz w:val="18"/>
                <w:szCs w:val="18"/>
              </w:rPr>
            </w:pPr>
            <w:r>
              <w:rPr>
                <w:rFonts w:cs="Arial"/>
                <w:sz w:val="18"/>
                <w:szCs w:val="18"/>
              </w:rPr>
              <w:t>Purchase of intangibles</w:t>
            </w:r>
          </w:p>
        </w:tc>
        <w:tc>
          <w:tcPr>
            <w:tcW w:w="803" w:type="dxa"/>
            <w:tcBorders>
              <w:top w:val="nil"/>
              <w:left w:val="nil"/>
              <w:bottom w:val="nil"/>
              <w:right w:val="nil"/>
            </w:tcBorders>
            <w:shd w:val="clear" w:color="FFFFFF" w:fill="FFFFFF"/>
            <w:noWrap/>
            <w:vAlign w:val="bottom"/>
            <w:hideMark/>
          </w:tcPr>
          <w:p w14:paraId="355E57BF"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7F58FC9F" w14:textId="77777777" w:rsidR="00AB6753" w:rsidRDefault="00AB6753" w:rsidP="002D1EA4">
            <w:pPr>
              <w:spacing w:after="0"/>
              <w:jc w:val="right"/>
              <w:rPr>
                <w:rFonts w:cs="Arial"/>
                <w:b/>
                <w:bCs/>
                <w:sz w:val="18"/>
                <w:szCs w:val="18"/>
              </w:rPr>
            </w:pPr>
            <w:r>
              <w:rPr>
                <w:rFonts w:cs="Arial"/>
                <w:b/>
                <w:bCs/>
                <w:sz w:val="18"/>
                <w:szCs w:val="18"/>
              </w:rPr>
              <w:t xml:space="preserve">10,750 </w:t>
            </w:r>
          </w:p>
        </w:tc>
        <w:tc>
          <w:tcPr>
            <w:tcW w:w="236" w:type="dxa"/>
            <w:tcBorders>
              <w:top w:val="nil"/>
              <w:left w:val="nil"/>
              <w:bottom w:val="nil"/>
              <w:right w:val="nil"/>
            </w:tcBorders>
            <w:shd w:val="clear" w:color="FFFFFF" w:fill="FFFFFF"/>
            <w:noWrap/>
            <w:vAlign w:val="bottom"/>
            <w:hideMark/>
          </w:tcPr>
          <w:p w14:paraId="13E04F7C"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1F55F4EE" w14:textId="77777777" w:rsidR="00AB6753" w:rsidRDefault="00AB6753" w:rsidP="002D1EA4">
            <w:pPr>
              <w:spacing w:after="0"/>
              <w:jc w:val="right"/>
              <w:rPr>
                <w:rFonts w:cs="Arial"/>
                <w:sz w:val="18"/>
                <w:szCs w:val="18"/>
              </w:rPr>
            </w:pPr>
            <w:r>
              <w:rPr>
                <w:rFonts w:cs="Arial"/>
                <w:sz w:val="18"/>
                <w:szCs w:val="18"/>
              </w:rPr>
              <w:t xml:space="preserve">25,558 </w:t>
            </w:r>
          </w:p>
        </w:tc>
        <w:tc>
          <w:tcPr>
            <w:tcW w:w="236" w:type="dxa"/>
            <w:tcBorders>
              <w:top w:val="nil"/>
              <w:left w:val="nil"/>
              <w:bottom w:val="nil"/>
              <w:right w:val="nil"/>
            </w:tcBorders>
            <w:shd w:val="clear" w:color="FFFFFF" w:fill="FFFFFF"/>
            <w:noWrap/>
            <w:vAlign w:val="bottom"/>
            <w:hideMark/>
          </w:tcPr>
          <w:p w14:paraId="3FA220BC"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49CE90B5" w14:textId="77777777" w:rsidR="00AB6753" w:rsidRDefault="00AB6753" w:rsidP="002D1EA4">
            <w:pPr>
              <w:spacing w:after="0"/>
              <w:jc w:val="right"/>
              <w:rPr>
                <w:rFonts w:cs="Arial"/>
                <w:sz w:val="18"/>
                <w:szCs w:val="18"/>
              </w:rPr>
            </w:pPr>
            <w:r>
              <w:rPr>
                <w:rFonts w:cs="Arial"/>
                <w:sz w:val="18"/>
                <w:szCs w:val="18"/>
              </w:rPr>
              <w:t xml:space="preserve">16,664 </w:t>
            </w:r>
          </w:p>
        </w:tc>
      </w:tr>
      <w:tr w:rsidR="00AB6753" w14:paraId="63E28B9D" w14:textId="77777777" w:rsidTr="002D1EA4">
        <w:trPr>
          <w:trHeight w:val="255"/>
        </w:trPr>
        <w:tc>
          <w:tcPr>
            <w:tcW w:w="4805" w:type="dxa"/>
            <w:tcBorders>
              <w:top w:val="nil"/>
              <w:left w:val="nil"/>
              <w:bottom w:val="nil"/>
              <w:right w:val="nil"/>
            </w:tcBorders>
            <w:shd w:val="clear" w:color="FFFFFF" w:fill="FFFFFF"/>
            <w:vAlign w:val="bottom"/>
            <w:hideMark/>
          </w:tcPr>
          <w:p w14:paraId="4A2F88A0" w14:textId="77777777" w:rsidR="00AB6753" w:rsidRDefault="00AB6753" w:rsidP="002D1EA4">
            <w:pPr>
              <w:spacing w:after="0"/>
              <w:rPr>
                <w:rFonts w:cs="Arial"/>
                <w:b/>
                <w:bCs/>
                <w:sz w:val="18"/>
                <w:szCs w:val="18"/>
              </w:rPr>
            </w:pPr>
            <w:r>
              <w:rPr>
                <w:rFonts w:cs="Arial"/>
                <w:b/>
                <w:bCs/>
                <w:sz w:val="18"/>
                <w:szCs w:val="18"/>
              </w:rPr>
              <w:t>Total cash used</w:t>
            </w:r>
          </w:p>
        </w:tc>
        <w:tc>
          <w:tcPr>
            <w:tcW w:w="803" w:type="dxa"/>
            <w:tcBorders>
              <w:top w:val="nil"/>
              <w:left w:val="nil"/>
              <w:bottom w:val="nil"/>
              <w:right w:val="nil"/>
            </w:tcBorders>
            <w:shd w:val="clear" w:color="FFFFFF" w:fill="FFFFFF"/>
            <w:noWrap/>
            <w:vAlign w:val="bottom"/>
            <w:hideMark/>
          </w:tcPr>
          <w:p w14:paraId="1C99384C"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single" w:sz="4" w:space="0" w:color="auto"/>
              <w:left w:val="nil"/>
              <w:bottom w:val="single" w:sz="4" w:space="0" w:color="auto"/>
              <w:right w:val="nil"/>
            </w:tcBorders>
            <w:shd w:val="clear" w:color="FFFFFF" w:fill="FFFFFF"/>
            <w:noWrap/>
            <w:vAlign w:val="bottom"/>
            <w:hideMark/>
          </w:tcPr>
          <w:p w14:paraId="3D116ABD" w14:textId="77777777" w:rsidR="00AB6753" w:rsidRDefault="00AB6753" w:rsidP="002D1EA4">
            <w:pPr>
              <w:spacing w:after="0"/>
              <w:jc w:val="right"/>
              <w:rPr>
                <w:rFonts w:cs="Arial"/>
                <w:b/>
                <w:bCs/>
                <w:sz w:val="18"/>
                <w:szCs w:val="18"/>
              </w:rPr>
            </w:pPr>
            <w:r>
              <w:rPr>
                <w:rFonts w:cs="Arial"/>
                <w:b/>
                <w:bCs/>
                <w:sz w:val="18"/>
                <w:szCs w:val="18"/>
              </w:rPr>
              <w:t>12,357</w:t>
            </w:r>
          </w:p>
        </w:tc>
        <w:tc>
          <w:tcPr>
            <w:tcW w:w="236" w:type="dxa"/>
            <w:tcBorders>
              <w:top w:val="nil"/>
              <w:left w:val="nil"/>
              <w:bottom w:val="nil"/>
              <w:right w:val="nil"/>
            </w:tcBorders>
            <w:shd w:val="clear" w:color="FFFFFF" w:fill="FFFFFF"/>
            <w:noWrap/>
            <w:vAlign w:val="bottom"/>
            <w:hideMark/>
          </w:tcPr>
          <w:p w14:paraId="6038B82A" w14:textId="77777777" w:rsidR="00AB6753" w:rsidRDefault="00AB6753" w:rsidP="002D1EA4">
            <w:pPr>
              <w:spacing w:after="0"/>
              <w:rPr>
                <w:rFonts w:cs="Arial"/>
                <w:sz w:val="18"/>
                <w:szCs w:val="18"/>
              </w:rPr>
            </w:pPr>
            <w:r>
              <w:rPr>
                <w:rFonts w:cs="Arial"/>
                <w:sz w:val="18"/>
                <w:szCs w:val="18"/>
              </w:rPr>
              <w:t> </w:t>
            </w:r>
          </w:p>
        </w:tc>
        <w:tc>
          <w:tcPr>
            <w:tcW w:w="1075" w:type="dxa"/>
            <w:tcBorders>
              <w:top w:val="single" w:sz="4" w:space="0" w:color="auto"/>
              <w:left w:val="nil"/>
              <w:bottom w:val="single" w:sz="4" w:space="0" w:color="auto"/>
              <w:right w:val="nil"/>
            </w:tcBorders>
            <w:shd w:val="clear" w:color="FFFFFF" w:fill="FFFFFF"/>
            <w:noWrap/>
            <w:vAlign w:val="bottom"/>
            <w:hideMark/>
          </w:tcPr>
          <w:p w14:paraId="7AFE057C" w14:textId="77777777" w:rsidR="00AB6753" w:rsidRDefault="00AB6753" w:rsidP="002D1EA4">
            <w:pPr>
              <w:spacing w:after="0"/>
              <w:jc w:val="right"/>
              <w:rPr>
                <w:rFonts w:cs="Arial"/>
                <w:sz w:val="18"/>
                <w:szCs w:val="18"/>
              </w:rPr>
            </w:pPr>
            <w:r>
              <w:rPr>
                <w:rFonts w:cs="Arial"/>
                <w:sz w:val="18"/>
                <w:szCs w:val="18"/>
              </w:rPr>
              <w:t>40,148</w:t>
            </w:r>
          </w:p>
        </w:tc>
        <w:tc>
          <w:tcPr>
            <w:tcW w:w="236" w:type="dxa"/>
            <w:tcBorders>
              <w:top w:val="nil"/>
              <w:left w:val="nil"/>
              <w:bottom w:val="nil"/>
              <w:right w:val="nil"/>
            </w:tcBorders>
            <w:shd w:val="clear" w:color="FFFFFF" w:fill="FFFFFF"/>
            <w:noWrap/>
            <w:vAlign w:val="bottom"/>
            <w:hideMark/>
          </w:tcPr>
          <w:p w14:paraId="7E256B44" w14:textId="77777777" w:rsidR="00AB6753" w:rsidRDefault="00AB6753" w:rsidP="002D1EA4">
            <w:pPr>
              <w:spacing w:after="0"/>
              <w:rPr>
                <w:rFonts w:cs="Arial"/>
                <w:sz w:val="18"/>
                <w:szCs w:val="18"/>
              </w:rPr>
            </w:pPr>
            <w:r>
              <w:rPr>
                <w:rFonts w:cs="Arial"/>
                <w:sz w:val="18"/>
                <w:szCs w:val="18"/>
              </w:rPr>
              <w:t> </w:t>
            </w:r>
          </w:p>
        </w:tc>
        <w:tc>
          <w:tcPr>
            <w:tcW w:w="1075" w:type="dxa"/>
            <w:tcBorders>
              <w:top w:val="single" w:sz="4" w:space="0" w:color="auto"/>
              <w:left w:val="nil"/>
              <w:bottom w:val="single" w:sz="4" w:space="0" w:color="auto"/>
              <w:right w:val="nil"/>
            </w:tcBorders>
            <w:shd w:val="clear" w:color="FFFFFF" w:fill="FFFFFF"/>
            <w:noWrap/>
            <w:vAlign w:val="bottom"/>
            <w:hideMark/>
          </w:tcPr>
          <w:p w14:paraId="7C910E67" w14:textId="77777777" w:rsidR="00AB6753" w:rsidRDefault="00AB6753" w:rsidP="002D1EA4">
            <w:pPr>
              <w:spacing w:after="0"/>
              <w:jc w:val="right"/>
              <w:rPr>
                <w:rFonts w:cs="Arial"/>
                <w:sz w:val="18"/>
                <w:szCs w:val="18"/>
              </w:rPr>
            </w:pPr>
            <w:r>
              <w:rPr>
                <w:rFonts w:cs="Arial"/>
                <w:sz w:val="18"/>
                <w:szCs w:val="18"/>
              </w:rPr>
              <w:t>28,358</w:t>
            </w:r>
          </w:p>
        </w:tc>
      </w:tr>
      <w:tr w:rsidR="00AB6753" w14:paraId="7D9D722B" w14:textId="77777777" w:rsidTr="002D1EA4">
        <w:trPr>
          <w:trHeight w:val="255"/>
        </w:trPr>
        <w:tc>
          <w:tcPr>
            <w:tcW w:w="4805" w:type="dxa"/>
            <w:tcBorders>
              <w:top w:val="nil"/>
              <w:left w:val="nil"/>
              <w:bottom w:val="nil"/>
              <w:right w:val="nil"/>
            </w:tcBorders>
            <w:shd w:val="clear" w:color="FFFFFF" w:fill="FFFFFF"/>
            <w:vAlign w:val="bottom"/>
            <w:hideMark/>
          </w:tcPr>
          <w:p w14:paraId="0512EC2B" w14:textId="77777777" w:rsidR="00AB6753" w:rsidRDefault="00AB6753" w:rsidP="002D1EA4">
            <w:pPr>
              <w:spacing w:after="0"/>
              <w:rPr>
                <w:rFonts w:cs="Arial"/>
                <w:b/>
                <w:bCs/>
                <w:sz w:val="18"/>
                <w:szCs w:val="18"/>
              </w:rPr>
            </w:pPr>
            <w:r>
              <w:rPr>
                <w:rFonts w:cs="Arial"/>
                <w:b/>
                <w:bCs/>
                <w:sz w:val="18"/>
                <w:szCs w:val="18"/>
              </w:rPr>
              <w:t>Net cash used by investing activities</w:t>
            </w:r>
          </w:p>
        </w:tc>
        <w:tc>
          <w:tcPr>
            <w:tcW w:w="803" w:type="dxa"/>
            <w:tcBorders>
              <w:top w:val="nil"/>
              <w:left w:val="nil"/>
              <w:bottom w:val="nil"/>
              <w:right w:val="nil"/>
            </w:tcBorders>
            <w:shd w:val="clear" w:color="FFFFFF" w:fill="FFFFFF"/>
            <w:noWrap/>
            <w:vAlign w:val="bottom"/>
            <w:hideMark/>
          </w:tcPr>
          <w:p w14:paraId="41FAD0D6"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single" w:sz="4" w:space="0" w:color="auto"/>
              <w:right w:val="nil"/>
            </w:tcBorders>
            <w:shd w:val="clear" w:color="FFFFFF" w:fill="FFFFFF"/>
            <w:noWrap/>
            <w:vAlign w:val="bottom"/>
            <w:hideMark/>
          </w:tcPr>
          <w:p w14:paraId="4E2A89D1" w14:textId="77777777" w:rsidR="00AB6753" w:rsidRDefault="00AB6753" w:rsidP="002D1EA4">
            <w:pPr>
              <w:spacing w:after="0"/>
              <w:jc w:val="right"/>
              <w:rPr>
                <w:rFonts w:cs="Arial"/>
                <w:b/>
                <w:bCs/>
                <w:sz w:val="18"/>
                <w:szCs w:val="18"/>
              </w:rPr>
            </w:pPr>
            <w:r>
              <w:rPr>
                <w:rFonts w:cs="Arial"/>
                <w:b/>
                <w:bCs/>
                <w:sz w:val="18"/>
                <w:szCs w:val="18"/>
              </w:rPr>
              <w:t>(12,354)</w:t>
            </w:r>
          </w:p>
        </w:tc>
        <w:tc>
          <w:tcPr>
            <w:tcW w:w="236" w:type="dxa"/>
            <w:tcBorders>
              <w:top w:val="nil"/>
              <w:left w:val="nil"/>
              <w:bottom w:val="nil"/>
              <w:right w:val="nil"/>
            </w:tcBorders>
            <w:shd w:val="clear" w:color="FFFFFF" w:fill="FFFFFF"/>
            <w:noWrap/>
            <w:vAlign w:val="bottom"/>
            <w:hideMark/>
          </w:tcPr>
          <w:p w14:paraId="50F5FC3A"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single" w:sz="4" w:space="0" w:color="auto"/>
              <w:right w:val="nil"/>
            </w:tcBorders>
            <w:shd w:val="clear" w:color="FFFFFF" w:fill="FFFFFF"/>
            <w:noWrap/>
            <w:vAlign w:val="bottom"/>
            <w:hideMark/>
          </w:tcPr>
          <w:p w14:paraId="07DA2D18" w14:textId="77777777" w:rsidR="00AB6753" w:rsidRDefault="00AB6753" w:rsidP="002D1EA4">
            <w:pPr>
              <w:spacing w:after="0"/>
              <w:jc w:val="right"/>
              <w:rPr>
                <w:rFonts w:cs="Arial"/>
                <w:sz w:val="18"/>
                <w:szCs w:val="18"/>
              </w:rPr>
            </w:pPr>
            <w:r>
              <w:rPr>
                <w:rFonts w:cs="Arial"/>
                <w:sz w:val="18"/>
                <w:szCs w:val="18"/>
              </w:rPr>
              <w:t>(39,849)</w:t>
            </w:r>
          </w:p>
        </w:tc>
        <w:tc>
          <w:tcPr>
            <w:tcW w:w="236" w:type="dxa"/>
            <w:tcBorders>
              <w:top w:val="nil"/>
              <w:left w:val="nil"/>
              <w:bottom w:val="nil"/>
              <w:right w:val="nil"/>
            </w:tcBorders>
            <w:shd w:val="clear" w:color="FFFFFF" w:fill="FFFFFF"/>
            <w:noWrap/>
            <w:vAlign w:val="bottom"/>
            <w:hideMark/>
          </w:tcPr>
          <w:p w14:paraId="58009409"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single" w:sz="4" w:space="0" w:color="auto"/>
              <w:right w:val="nil"/>
            </w:tcBorders>
            <w:shd w:val="clear" w:color="FFFFFF" w:fill="FFFFFF"/>
            <w:noWrap/>
            <w:vAlign w:val="bottom"/>
            <w:hideMark/>
          </w:tcPr>
          <w:p w14:paraId="293BFE74" w14:textId="77777777" w:rsidR="00AB6753" w:rsidRDefault="00AB6753" w:rsidP="002D1EA4">
            <w:pPr>
              <w:spacing w:after="0"/>
              <w:jc w:val="right"/>
              <w:rPr>
                <w:rFonts w:cs="Arial"/>
                <w:sz w:val="18"/>
                <w:szCs w:val="18"/>
              </w:rPr>
            </w:pPr>
            <w:r>
              <w:rPr>
                <w:rFonts w:cs="Arial"/>
                <w:sz w:val="18"/>
                <w:szCs w:val="18"/>
              </w:rPr>
              <w:t>(28,358)</w:t>
            </w:r>
          </w:p>
        </w:tc>
      </w:tr>
      <w:tr w:rsidR="00AB6753" w14:paraId="4F8BA417" w14:textId="77777777" w:rsidTr="002D1EA4">
        <w:trPr>
          <w:trHeight w:val="255"/>
        </w:trPr>
        <w:tc>
          <w:tcPr>
            <w:tcW w:w="4805" w:type="dxa"/>
            <w:tcBorders>
              <w:top w:val="nil"/>
              <w:left w:val="nil"/>
              <w:bottom w:val="nil"/>
              <w:right w:val="nil"/>
            </w:tcBorders>
            <w:shd w:val="clear" w:color="FFFFFF" w:fill="FFFFFF"/>
            <w:noWrap/>
            <w:vAlign w:val="bottom"/>
            <w:hideMark/>
          </w:tcPr>
          <w:p w14:paraId="1C31C725" w14:textId="77777777" w:rsidR="00AB6753" w:rsidRDefault="00AB6753" w:rsidP="002D1EA4">
            <w:pPr>
              <w:spacing w:after="0"/>
              <w:rPr>
                <w:rFonts w:cs="Arial"/>
                <w:sz w:val="18"/>
                <w:szCs w:val="18"/>
              </w:rPr>
            </w:pPr>
            <w:r>
              <w:rPr>
                <w:rFonts w:cs="Arial"/>
                <w:sz w:val="18"/>
                <w:szCs w:val="18"/>
              </w:rPr>
              <w:t> </w:t>
            </w:r>
          </w:p>
        </w:tc>
        <w:tc>
          <w:tcPr>
            <w:tcW w:w="803" w:type="dxa"/>
            <w:tcBorders>
              <w:top w:val="nil"/>
              <w:left w:val="nil"/>
              <w:bottom w:val="nil"/>
              <w:right w:val="nil"/>
            </w:tcBorders>
            <w:shd w:val="clear" w:color="FFFFFF" w:fill="FFFFFF"/>
            <w:noWrap/>
            <w:vAlign w:val="bottom"/>
            <w:hideMark/>
          </w:tcPr>
          <w:p w14:paraId="3CB1A318"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05CAA298"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49CC50A6"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3E3EC952"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09BE208A"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5DF30820" w14:textId="77777777" w:rsidR="00AB6753" w:rsidRDefault="00AB6753" w:rsidP="002D1EA4">
            <w:pPr>
              <w:spacing w:after="0"/>
              <w:rPr>
                <w:rFonts w:cs="Arial"/>
                <w:sz w:val="18"/>
                <w:szCs w:val="18"/>
              </w:rPr>
            </w:pPr>
            <w:r>
              <w:rPr>
                <w:rFonts w:cs="Arial"/>
                <w:sz w:val="18"/>
                <w:szCs w:val="18"/>
              </w:rPr>
              <w:t> </w:t>
            </w:r>
          </w:p>
        </w:tc>
      </w:tr>
      <w:tr w:rsidR="00AB6753" w14:paraId="0C6D8B6A" w14:textId="77777777" w:rsidTr="002D1EA4">
        <w:trPr>
          <w:trHeight w:val="255"/>
        </w:trPr>
        <w:tc>
          <w:tcPr>
            <w:tcW w:w="4805" w:type="dxa"/>
            <w:tcBorders>
              <w:top w:val="nil"/>
              <w:left w:val="nil"/>
              <w:bottom w:val="nil"/>
              <w:right w:val="nil"/>
            </w:tcBorders>
            <w:shd w:val="clear" w:color="FFFFFF" w:fill="FFFFFF"/>
            <w:vAlign w:val="bottom"/>
            <w:hideMark/>
          </w:tcPr>
          <w:p w14:paraId="3B22F8D9" w14:textId="77777777" w:rsidR="00AB6753" w:rsidRDefault="00AB6753" w:rsidP="002D1EA4">
            <w:pPr>
              <w:spacing w:after="0"/>
              <w:rPr>
                <w:rFonts w:cs="Arial"/>
                <w:b/>
                <w:bCs/>
                <w:sz w:val="18"/>
                <w:szCs w:val="18"/>
              </w:rPr>
            </w:pPr>
            <w:r>
              <w:rPr>
                <w:rFonts w:cs="Arial"/>
                <w:b/>
                <w:bCs/>
                <w:sz w:val="18"/>
                <w:szCs w:val="18"/>
              </w:rPr>
              <w:t>FINANCING ACTIVITIES</w:t>
            </w:r>
          </w:p>
        </w:tc>
        <w:tc>
          <w:tcPr>
            <w:tcW w:w="803" w:type="dxa"/>
            <w:tcBorders>
              <w:top w:val="nil"/>
              <w:left w:val="nil"/>
              <w:bottom w:val="nil"/>
              <w:right w:val="nil"/>
            </w:tcBorders>
            <w:shd w:val="clear" w:color="FFFFFF" w:fill="FFFFFF"/>
            <w:noWrap/>
            <w:vAlign w:val="bottom"/>
            <w:hideMark/>
          </w:tcPr>
          <w:p w14:paraId="47B1654A"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7B879428"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1B4BBF4A"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43F63DFE"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58B51762"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364EE9D6" w14:textId="77777777" w:rsidR="00AB6753" w:rsidRDefault="00AB6753" w:rsidP="002D1EA4">
            <w:pPr>
              <w:spacing w:after="0"/>
              <w:rPr>
                <w:rFonts w:cs="Arial"/>
                <w:sz w:val="18"/>
                <w:szCs w:val="18"/>
              </w:rPr>
            </w:pPr>
            <w:r>
              <w:rPr>
                <w:rFonts w:cs="Arial"/>
                <w:sz w:val="18"/>
                <w:szCs w:val="18"/>
              </w:rPr>
              <w:t> </w:t>
            </w:r>
          </w:p>
        </w:tc>
      </w:tr>
      <w:tr w:rsidR="00AB6753" w14:paraId="7551DA3A" w14:textId="77777777" w:rsidTr="002D1EA4">
        <w:trPr>
          <w:trHeight w:val="255"/>
        </w:trPr>
        <w:tc>
          <w:tcPr>
            <w:tcW w:w="4805" w:type="dxa"/>
            <w:tcBorders>
              <w:top w:val="nil"/>
              <w:left w:val="nil"/>
              <w:bottom w:val="nil"/>
              <w:right w:val="nil"/>
            </w:tcBorders>
            <w:shd w:val="clear" w:color="FFFFFF" w:fill="FFFFFF"/>
            <w:vAlign w:val="bottom"/>
            <w:hideMark/>
          </w:tcPr>
          <w:p w14:paraId="618A1EB9" w14:textId="77777777" w:rsidR="00AB6753" w:rsidRDefault="00AB6753" w:rsidP="002D1EA4">
            <w:pPr>
              <w:spacing w:after="0"/>
              <w:rPr>
                <w:rFonts w:cs="Arial"/>
                <w:b/>
                <w:bCs/>
                <w:sz w:val="18"/>
                <w:szCs w:val="18"/>
              </w:rPr>
            </w:pPr>
            <w:r>
              <w:rPr>
                <w:rFonts w:cs="Arial"/>
                <w:b/>
                <w:bCs/>
                <w:sz w:val="18"/>
                <w:szCs w:val="18"/>
              </w:rPr>
              <w:t>Cash received</w:t>
            </w:r>
          </w:p>
        </w:tc>
        <w:tc>
          <w:tcPr>
            <w:tcW w:w="803" w:type="dxa"/>
            <w:tcBorders>
              <w:top w:val="nil"/>
              <w:left w:val="nil"/>
              <w:bottom w:val="nil"/>
              <w:right w:val="nil"/>
            </w:tcBorders>
            <w:shd w:val="clear" w:color="FFFFFF" w:fill="FFFFFF"/>
            <w:noWrap/>
            <w:vAlign w:val="bottom"/>
            <w:hideMark/>
          </w:tcPr>
          <w:p w14:paraId="0AC98869"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7082D884"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66B93EE1"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6BAE328D"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14D62BE2"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775E3CDD" w14:textId="77777777" w:rsidR="00AB6753" w:rsidRDefault="00AB6753" w:rsidP="002D1EA4">
            <w:pPr>
              <w:spacing w:after="0"/>
              <w:rPr>
                <w:rFonts w:cs="Arial"/>
                <w:sz w:val="18"/>
                <w:szCs w:val="18"/>
              </w:rPr>
            </w:pPr>
            <w:r>
              <w:rPr>
                <w:rFonts w:cs="Arial"/>
                <w:sz w:val="18"/>
                <w:szCs w:val="18"/>
              </w:rPr>
              <w:t> </w:t>
            </w:r>
          </w:p>
        </w:tc>
      </w:tr>
      <w:tr w:rsidR="00AB6753" w14:paraId="6755E4C7" w14:textId="77777777" w:rsidTr="002D1EA4">
        <w:trPr>
          <w:trHeight w:val="255"/>
        </w:trPr>
        <w:tc>
          <w:tcPr>
            <w:tcW w:w="4805" w:type="dxa"/>
            <w:tcBorders>
              <w:top w:val="nil"/>
              <w:left w:val="nil"/>
              <w:bottom w:val="nil"/>
              <w:right w:val="nil"/>
            </w:tcBorders>
            <w:shd w:val="clear" w:color="FFFFFF" w:fill="FFFFFF"/>
            <w:vAlign w:val="bottom"/>
            <w:hideMark/>
          </w:tcPr>
          <w:p w14:paraId="602DCB4B" w14:textId="77777777" w:rsidR="00AB6753" w:rsidRDefault="00AB6753" w:rsidP="002D1EA4">
            <w:pPr>
              <w:spacing w:after="0"/>
              <w:rPr>
                <w:rFonts w:cs="Arial"/>
                <w:sz w:val="18"/>
                <w:szCs w:val="18"/>
              </w:rPr>
            </w:pPr>
            <w:r>
              <w:rPr>
                <w:rFonts w:cs="Arial"/>
                <w:sz w:val="18"/>
                <w:szCs w:val="18"/>
              </w:rPr>
              <w:t>Appropriations - Equity injections</w:t>
            </w:r>
          </w:p>
        </w:tc>
        <w:tc>
          <w:tcPr>
            <w:tcW w:w="803" w:type="dxa"/>
            <w:tcBorders>
              <w:top w:val="nil"/>
              <w:left w:val="nil"/>
              <w:bottom w:val="nil"/>
              <w:right w:val="nil"/>
            </w:tcBorders>
            <w:shd w:val="clear" w:color="FFFFFF" w:fill="FFFFFF"/>
            <w:noWrap/>
            <w:vAlign w:val="bottom"/>
            <w:hideMark/>
          </w:tcPr>
          <w:p w14:paraId="57DCEF8F"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51DF2FB1" w14:textId="77777777" w:rsidR="00AB6753" w:rsidRDefault="00AB6753" w:rsidP="002D1EA4">
            <w:pPr>
              <w:spacing w:after="0"/>
              <w:jc w:val="right"/>
              <w:rPr>
                <w:rFonts w:cs="Arial"/>
                <w:b/>
                <w:bCs/>
                <w:sz w:val="18"/>
                <w:szCs w:val="18"/>
              </w:rPr>
            </w:pPr>
            <w:r>
              <w:rPr>
                <w:rFonts w:cs="Arial"/>
                <w:b/>
                <w:bCs/>
                <w:sz w:val="18"/>
                <w:szCs w:val="18"/>
              </w:rPr>
              <w:t xml:space="preserve">6,894 </w:t>
            </w:r>
          </w:p>
        </w:tc>
        <w:tc>
          <w:tcPr>
            <w:tcW w:w="236" w:type="dxa"/>
            <w:tcBorders>
              <w:top w:val="nil"/>
              <w:left w:val="nil"/>
              <w:bottom w:val="nil"/>
              <w:right w:val="nil"/>
            </w:tcBorders>
            <w:shd w:val="clear" w:color="FFFFFF" w:fill="FFFFFF"/>
            <w:noWrap/>
            <w:vAlign w:val="bottom"/>
            <w:hideMark/>
          </w:tcPr>
          <w:p w14:paraId="7A3584F8"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723B1EF8" w14:textId="77777777" w:rsidR="00AB6753" w:rsidRDefault="00AB6753" w:rsidP="002D1EA4">
            <w:pPr>
              <w:spacing w:after="0"/>
              <w:jc w:val="right"/>
              <w:rPr>
                <w:rFonts w:cs="Arial"/>
                <w:sz w:val="18"/>
                <w:szCs w:val="18"/>
              </w:rPr>
            </w:pPr>
            <w:r>
              <w:rPr>
                <w:rFonts w:cs="Arial"/>
                <w:sz w:val="18"/>
                <w:szCs w:val="18"/>
              </w:rPr>
              <w:t xml:space="preserve">24,021 </w:t>
            </w:r>
          </w:p>
        </w:tc>
        <w:tc>
          <w:tcPr>
            <w:tcW w:w="236" w:type="dxa"/>
            <w:tcBorders>
              <w:top w:val="nil"/>
              <w:left w:val="nil"/>
              <w:bottom w:val="nil"/>
              <w:right w:val="nil"/>
            </w:tcBorders>
            <w:shd w:val="clear" w:color="FFFFFF" w:fill="FFFFFF"/>
            <w:noWrap/>
            <w:vAlign w:val="bottom"/>
            <w:hideMark/>
          </w:tcPr>
          <w:p w14:paraId="611FFA1E"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22CB2BA4" w14:textId="77777777" w:rsidR="00AB6753" w:rsidRDefault="00AB6753" w:rsidP="002D1EA4">
            <w:pPr>
              <w:spacing w:after="0"/>
              <w:jc w:val="right"/>
              <w:rPr>
                <w:rFonts w:cs="Arial"/>
                <w:sz w:val="18"/>
                <w:szCs w:val="18"/>
              </w:rPr>
            </w:pPr>
            <w:r>
              <w:rPr>
                <w:rFonts w:cs="Arial"/>
                <w:sz w:val="18"/>
                <w:szCs w:val="18"/>
              </w:rPr>
              <w:t xml:space="preserve">10,845 </w:t>
            </w:r>
          </w:p>
        </w:tc>
      </w:tr>
      <w:tr w:rsidR="00AB6753" w14:paraId="7A7FD808" w14:textId="77777777" w:rsidTr="002D1EA4">
        <w:trPr>
          <w:trHeight w:val="255"/>
        </w:trPr>
        <w:tc>
          <w:tcPr>
            <w:tcW w:w="4805" w:type="dxa"/>
            <w:tcBorders>
              <w:top w:val="nil"/>
              <w:left w:val="nil"/>
              <w:bottom w:val="nil"/>
              <w:right w:val="nil"/>
            </w:tcBorders>
            <w:shd w:val="clear" w:color="FFFFFF" w:fill="FFFFFF"/>
            <w:vAlign w:val="bottom"/>
            <w:hideMark/>
          </w:tcPr>
          <w:p w14:paraId="65369AF4" w14:textId="77777777" w:rsidR="00AB6753" w:rsidRDefault="00AB6753" w:rsidP="002D1EA4">
            <w:pPr>
              <w:spacing w:after="0"/>
              <w:rPr>
                <w:rFonts w:cs="Arial"/>
                <w:sz w:val="18"/>
                <w:szCs w:val="18"/>
              </w:rPr>
            </w:pPr>
            <w:r>
              <w:rPr>
                <w:rFonts w:cs="Arial"/>
                <w:sz w:val="18"/>
                <w:szCs w:val="18"/>
              </w:rPr>
              <w:t>Appropriations - Departmental capital budget</w:t>
            </w:r>
          </w:p>
        </w:tc>
        <w:tc>
          <w:tcPr>
            <w:tcW w:w="803" w:type="dxa"/>
            <w:tcBorders>
              <w:top w:val="nil"/>
              <w:left w:val="nil"/>
              <w:bottom w:val="nil"/>
              <w:right w:val="nil"/>
            </w:tcBorders>
            <w:shd w:val="clear" w:color="FFFFFF" w:fill="FFFFFF"/>
            <w:noWrap/>
            <w:vAlign w:val="bottom"/>
            <w:hideMark/>
          </w:tcPr>
          <w:p w14:paraId="7AE37BB9"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040E566E" w14:textId="77777777" w:rsidR="00AB6753" w:rsidRDefault="00AB6753" w:rsidP="002D1EA4">
            <w:pPr>
              <w:spacing w:after="0"/>
              <w:jc w:val="right"/>
              <w:rPr>
                <w:rFonts w:cs="Arial"/>
                <w:b/>
                <w:bCs/>
                <w:sz w:val="18"/>
                <w:szCs w:val="18"/>
              </w:rPr>
            </w:pPr>
            <w:r>
              <w:rPr>
                <w:rFonts w:cs="Arial"/>
                <w:b/>
                <w:bCs/>
                <w:sz w:val="18"/>
                <w:szCs w:val="18"/>
              </w:rPr>
              <w:t xml:space="preserve">3,576 </w:t>
            </w:r>
          </w:p>
        </w:tc>
        <w:tc>
          <w:tcPr>
            <w:tcW w:w="236" w:type="dxa"/>
            <w:tcBorders>
              <w:top w:val="nil"/>
              <w:left w:val="nil"/>
              <w:bottom w:val="nil"/>
              <w:right w:val="nil"/>
            </w:tcBorders>
            <w:shd w:val="clear" w:color="FFFFFF" w:fill="FFFFFF"/>
            <w:noWrap/>
            <w:vAlign w:val="bottom"/>
            <w:hideMark/>
          </w:tcPr>
          <w:p w14:paraId="351674EE"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3990A66D" w14:textId="77777777" w:rsidR="00AB6753" w:rsidRDefault="00AB6753" w:rsidP="002D1EA4">
            <w:pPr>
              <w:spacing w:after="0"/>
              <w:jc w:val="right"/>
              <w:rPr>
                <w:rFonts w:cs="Arial"/>
                <w:sz w:val="18"/>
                <w:szCs w:val="18"/>
              </w:rPr>
            </w:pPr>
            <w:r>
              <w:rPr>
                <w:rFonts w:cs="Arial"/>
                <w:sz w:val="18"/>
                <w:szCs w:val="18"/>
              </w:rPr>
              <w:t xml:space="preserve">14,727 </w:t>
            </w:r>
          </w:p>
        </w:tc>
        <w:tc>
          <w:tcPr>
            <w:tcW w:w="236" w:type="dxa"/>
            <w:tcBorders>
              <w:top w:val="nil"/>
              <w:left w:val="nil"/>
              <w:bottom w:val="nil"/>
              <w:right w:val="nil"/>
            </w:tcBorders>
            <w:shd w:val="clear" w:color="FFFFFF" w:fill="FFFFFF"/>
            <w:noWrap/>
            <w:vAlign w:val="bottom"/>
            <w:hideMark/>
          </w:tcPr>
          <w:p w14:paraId="7D4D86E0"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223C3311" w14:textId="77777777" w:rsidR="00AB6753" w:rsidRDefault="00AB6753" w:rsidP="002D1EA4">
            <w:pPr>
              <w:spacing w:after="0"/>
              <w:jc w:val="right"/>
              <w:rPr>
                <w:rFonts w:cs="Arial"/>
                <w:sz w:val="18"/>
                <w:szCs w:val="18"/>
              </w:rPr>
            </w:pPr>
            <w:r>
              <w:rPr>
                <w:rFonts w:cs="Arial"/>
                <w:sz w:val="18"/>
                <w:szCs w:val="18"/>
              </w:rPr>
              <w:t xml:space="preserve">17,513 </w:t>
            </w:r>
          </w:p>
        </w:tc>
      </w:tr>
      <w:tr w:rsidR="00AB6753" w14:paraId="1B6C5CDC" w14:textId="77777777" w:rsidTr="002D1EA4">
        <w:trPr>
          <w:trHeight w:val="255"/>
        </w:trPr>
        <w:tc>
          <w:tcPr>
            <w:tcW w:w="4805" w:type="dxa"/>
            <w:tcBorders>
              <w:top w:val="nil"/>
              <w:left w:val="nil"/>
              <w:bottom w:val="nil"/>
              <w:right w:val="nil"/>
            </w:tcBorders>
            <w:shd w:val="clear" w:color="FFFFFF" w:fill="FFFFFF"/>
            <w:vAlign w:val="bottom"/>
            <w:hideMark/>
          </w:tcPr>
          <w:p w14:paraId="158FA857" w14:textId="77777777" w:rsidR="00AB6753" w:rsidRDefault="00AB6753" w:rsidP="002D1EA4">
            <w:pPr>
              <w:spacing w:after="0"/>
              <w:rPr>
                <w:rFonts w:cs="Arial"/>
                <w:b/>
                <w:bCs/>
                <w:sz w:val="18"/>
                <w:szCs w:val="18"/>
              </w:rPr>
            </w:pPr>
            <w:r>
              <w:rPr>
                <w:rFonts w:cs="Arial"/>
                <w:b/>
                <w:bCs/>
                <w:sz w:val="18"/>
                <w:szCs w:val="18"/>
              </w:rPr>
              <w:t>Total cash received</w:t>
            </w:r>
          </w:p>
        </w:tc>
        <w:tc>
          <w:tcPr>
            <w:tcW w:w="803" w:type="dxa"/>
            <w:tcBorders>
              <w:top w:val="nil"/>
              <w:left w:val="nil"/>
              <w:bottom w:val="nil"/>
              <w:right w:val="nil"/>
            </w:tcBorders>
            <w:shd w:val="clear" w:color="FFFFFF" w:fill="FFFFFF"/>
            <w:noWrap/>
            <w:vAlign w:val="bottom"/>
            <w:hideMark/>
          </w:tcPr>
          <w:p w14:paraId="4339C7C7"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single" w:sz="4" w:space="0" w:color="auto"/>
              <w:left w:val="nil"/>
              <w:bottom w:val="single" w:sz="4" w:space="0" w:color="auto"/>
              <w:right w:val="nil"/>
            </w:tcBorders>
            <w:shd w:val="clear" w:color="FFFFFF" w:fill="FFFFFF"/>
            <w:noWrap/>
            <w:vAlign w:val="bottom"/>
            <w:hideMark/>
          </w:tcPr>
          <w:p w14:paraId="1AB203A6" w14:textId="77777777" w:rsidR="00AB6753" w:rsidRDefault="00AB6753" w:rsidP="002D1EA4">
            <w:pPr>
              <w:spacing w:after="0"/>
              <w:jc w:val="right"/>
              <w:rPr>
                <w:rFonts w:cs="Arial"/>
                <w:b/>
                <w:bCs/>
                <w:sz w:val="18"/>
                <w:szCs w:val="18"/>
              </w:rPr>
            </w:pPr>
            <w:r>
              <w:rPr>
                <w:rFonts w:cs="Arial"/>
                <w:b/>
                <w:bCs/>
                <w:sz w:val="18"/>
                <w:szCs w:val="18"/>
              </w:rPr>
              <w:t>10,470</w:t>
            </w:r>
          </w:p>
        </w:tc>
        <w:tc>
          <w:tcPr>
            <w:tcW w:w="236" w:type="dxa"/>
            <w:tcBorders>
              <w:top w:val="nil"/>
              <w:left w:val="nil"/>
              <w:bottom w:val="nil"/>
              <w:right w:val="nil"/>
            </w:tcBorders>
            <w:shd w:val="clear" w:color="FFFFFF" w:fill="FFFFFF"/>
            <w:noWrap/>
            <w:vAlign w:val="bottom"/>
            <w:hideMark/>
          </w:tcPr>
          <w:p w14:paraId="3A42AF6D" w14:textId="77777777" w:rsidR="00AB6753" w:rsidRDefault="00AB6753" w:rsidP="002D1EA4">
            <w:pPr>
              <w:spacing w:after="0"/>
              <w:rPr>
                <w:rFonts w:cs="Arial"/>
                <w:sz w:val="18"/>
                <w:szCs w:val="18"/>
              </w:rPr>
            </w:pPr>
            <w:r>
              <w:rPr>
                <w:rFonts w:cs="Arial"/>
                <w:sz w:val="18"/>
                <w:szCs w:val="18"/>
              </w:rPr>
              <w:t> </w:t>
            </w:r>
          </w:p>
        </w:tc>
        <w:tc>
          <w:tcPr>
            <w:tcW w:w="1075" w:type="dxa"/>
            <w:tcBorders>
              <w:top w:val="single" w:sz="4" w:space="0" w:color="auto"/>
              <w:left w:val="nil"/>
              <w:bottom w:val="single" w:sz="4" w:space="0" w:color="auto"/>
              <w:right w:val="nil"/>
            </w:tcBorders>
            <w:shd w:val="clear" w:color="FFFFFF" w:fill="FFFFFF"/>
            <w:noWrap/>
            <w:vAlign w:val="bottom"/>
            <w:hideMark/>
          </w:tcPr>
          <w:p w14:paraId="2B50C450" w14:textId="77777777" w:rsidR="00AB6753" w:rsidRDefault="00AB6753" w:rsidP="002D1EA4">
            <w:pPr>
              <w:spacing w:after="0"/>
              <w:jc w:val="right"/>
              <w:rPr>
                <w:rFonts w:cs="Arial"/>
                <w:sz w:val="18"/>
                <w:szCs w:val="18"/>
              </w:rPr>
            </w:pPr>
            <w:r>
              <w:rPr>
                <w:rFonts w:cs="Arial"/>
                <w:sz w:val="18"/>
                <w:szCs w:val="18"/>
              </w:rPr>
              <w:t>38,748</w:t>
            </w:r>
          </w:p>
        </w:tc>
        <w:tc>
          <w:tcPr>
            <w:tcW w:w="236" w:type="dxa"/>
            <w:tcBorders>
              <w:top w:val="nil"/>
              <w:left w:val="nil"/>
              <w:bottom w:val="nil"/>
              <w:right w:val="nil"/>
            </w:tcBorders>
            <w:shd w:val="clear" w:color="FFFFFF" w:fill="FFFFFF"/>
            <w:noWrap/>
            <w:vAlign w:val="bottom"/>
            <w:hideMark/>
          </w:tcPr>
          <w:p w14:paraId="5487F120" w14:textId="77777777" w:rsidR="00AB6753" w:rsidRDefault="00AB6753" w:rsidP="002D1EA4">
            <w:pPr>
              <w:spacing w:after="0"/>
              <w:rPr>
                <w:rFonts w:cs="Arial"/>
                <w:sz w:val="18"/>
                <w:szCs w:val="18"/>
              </w:rPr>
            </w:pPr>
            <w:r>
              <w:rPr>
                <w:rFonts w:cs="Arial"/>
                <w:sz w:val="18"/>
                <w:szCs w:val="18"/>
              </w:rPr>
              <w:t> </w:t>
            </w:r>
          </w:p>
        </w:tc>
        <w:tc>
          <w:tcPr>
            <w:tcW w:w="1075" w:type="dxa"/>
            <w:tcBorders>
              <w:top w:val="single" w:sz="4" w:space="0" w:color="auto"/>
              <w:left w:val="nil"/>
              <w:bottom w:val="single" w:sz="4" w:space="0" w:color="auto"/>
              <w:right w:val="nil"/>
            </w:tcBorders>
            <w:shd w:val="clear" w:color="FFFFFF" w:fill="FFFFFF"/>
            <w:noWrap/>
            <w:vAlign w:val="bottom"/>
            <w:hideMark/>
          </w:tcPr>
          <w:p w14:paraId="7E3A3E13" w14:textId="77777777" w:rsidR="00AB6753" w:rsidRDefault="00AB6753" w:rsidP="002D1EA4">
            <w:pPr>
              <w:spacing w:after="0"/>
              <w:jc w:val="right"/>
              <w:rPr>
                <w:rFonts w:cs="Arial"/>
                <w:sz w:val="18"/>
                <w:szCs w:val="18"/>
              </w:rPr>
            </w:pPr>
            <w:r>
              <w:rPr>
                <w:rFonts w:cs="Arial"/>
                <w:sz w:val="18"/>
                <w:szCs w:val="18"/>
              </w:rPr>
              <w:t>28,358</w:t>
            </w:r>
          </w:p>
        </w:tc>
      </w:tr>
      <w:tr w:rsidR="00AB6753" w14:paraId="69A1F2C3" w14:textId="77777777" w:rsidTr="002D1EA4">
        <w:trPr>
          <w:trHeight w:val="255"/>
        </w:trPr>
        <w:tc>
          <w:tcPr>
            <w:tcW w:w="4805" w:type="dxa"/>
            <w:tcBorders>
              <w:top w:val="nil"/>
              <w:left w:val="nil"/>
              <w:bottom w:val="nil"/>
              <w:right w:val="nil"/>
            </w:tcBorders>
            <w:shd w:val="clear" w:color="FFFFFF" w:fill="FFFFFF"/>
            <w:vAlign w:val="bottom"/>
            <w:hideMark/>
          </w:tcPr>
          <w:p w14:paraId="27332470" w14:textId="77777777" w:rsidR="00AB6753" w:rsidRDefault="00AB6753" w:rsidP="002D1EA4">
            <w:pPr>
              <w:spacing w:after="0"/>
              <w:rPr>
                <w:rFonts w:cs="Arial"/>
                <w:b/>
                <w:bCs/>
                <w:sz w:val="18"/>
                <w:szCs w:val="18"/>
              </w:rPr>
            </w:pPr>
            <w:r>
              <w:rPr>
                <w:rFonts w:cs="Arial"/>
                <w:b/>
                <w:bCs/>
                <w:sz w:val="18"/>
                <w:szCs w:val="18"/>
              </w:rPr>
              <w:t> </w:t>
            </w:r>
          </w:p>
        </w:tc>
        <w:tc>
          <w:tcPr>
            <w:tcW w:w="803" w:type="dxa"/>
            <w:tcBorders>
              <w:top w:val="nil"/>
              <w:left w:val="nil"/>
              <w:bottom w:val="nil"/>
              <w:right w:val="nil"/>
            </w:tcBorders>
            <w:shd w:val="clear" w:color="FFFFFF" w:fill="FFFFFF"/>
            <w:noWrap/>
            <w:vAlign w:val="bottom"/>
            <w:hideMark/>
          </w:tcPr>
          <w:p w14:paraId="70099F39"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3C2E32F0" w14:textId="77777777" w:rsidR="00AB6753" w:rsidRDefault="00AB6753" w:rsidP="002D1EA4">
            <w:pPr>
              <w:spacing w:after="0"/>
              <w:jc w:val="right"/>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5364E3F3"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6089B50C"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1DF36A0C"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1E381C4A" w14:textId="77777777" w:rsidR="00AB6753" w:rsidRDefault="00AB6753" w:rsidP="002D1EA4">
            <w:pPr>
              <w:spacing w:after="0"/>
              <w:rPr>
                <w:rFonts w:cs="Arial"/>
                <w:sz w:val="18"/>
                <w:szCs w:val="18"/>
              </w:rPr>
            </w:pPr>
            <w:r>
              <w:rPr>
                <w:rFonts w:cs="Arial"/>
                <w:sz w:val="18"/>
                <w:szCs w:val="18"/>
              </w:rPr>
              <w:t> </w:t>
            </w:r>
          </w:p>
        </w:tc>
      </w:tr>
      <w:tr w:rsidR="00AB6753" w14:paraId="3D553DFD" w14:textId="77777777" w:rsidTr="002D1EA4">
        <w:trPr>
          <w:trHeight w:val="255"/>
        </w:trPr>
        <w:tc>
          <w:tcPr>
            <w:tcW w:w="4805" w:type="dxa"/>
            <w:tcBorders>
              <w:top w:val="nil"/>
              <w:left w:val="nil"/>
              <w:bottom w:val="nil"/>
              <w:right w:val="nil"/>
            </w:tcBorders>
            <w:shd w:val="clear" w:color="FFFFFF" w:fill="FFFFFF"/>
            <w:vAlign w:val="bottom"/>
            <w:hideMark/>
          </w:tcPr>
          <w:p w14:paraId="04EAFF4E" w14:textId="77777777" w:rsidR="00AB6753" w:rsidRDefault="00AB6753" w:rsidP="002D1EA4">
            <w:pPr>
              <w:spacing w:after="0"/>
              <w:rPr>
                <w:rFonts w:cs="Arial"/>
                <w:b/>
                <w:bCs/>
                <w:sz w:val="18"/>
                <w:szCs w:val="18"/>
              </w:rPr>
            </w:pPr>
            <w:r>
              <w:rPr>
                <w:rFonts w:cs="Arial"/>
                <w:b/>
                <w:bCs/>
                <w:sz w:val="18"/>
                <w:szCs w:val="18"/>
              </w:rPr>
              <w:t>Cash used</w:t>
            </w:r>
          </w:p>
        </w:tc>
        <w:tc>
          <w:tcPr>
            <w:tcW w:w="803" w:type="dxa"/>
            <w:tcBorders>
              <w:top w:val="nil"/>
              <w:left w:val="nil"/>
              <w:bottom w:val="nil"/>
              <w:right w:val="nil"/>
            </w:tcBorders>
            <w:shd w:val="clear" w:color="FFFFFF" w:fill="FFFFFF"/>
            <w:noWrap/>
            <w:vAlign w:val="bottom"/>
            <w:hideMark/>
          </w:tcPr>
          <w:p w14:paraId="46510C5B"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2E53E1AA"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63051218"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54940CAB"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4EB6CFD1"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564F5AA5" w14:textId="77777777" w:rsidR="00AB6753" w:rsidRDefault="00AB6753" w:rsidP="002D1EA4">
            <w:pPr>
              <w:spacing w:after="0"/>
              <w:rPr>
                <w:rFonts w:cs="Arial"/>
                <w:sz w:val="18"/>
                <w:szCs w:val="18"/>
              </w:rPr>
            </w:pPr>
            <w:r>
              <w:rPr>
                <w:rFonts w:cs="Arial"/>
                <w:sz w:val="18"/>
                <w:szCs w:val="18"/>
              </w:rPr>
              <w:t> </w:t>
            </w:r>
          </w:p>
        </w:tc>
      </w:tr>
      <w:tr w:rsidR="00AB6753" w14:paraId="08570C3C" w14:textId="77777777" w:rsidTr="002D1EA4">
        <w:trPr>
          <w:trHeight w:val="255"/>
        </w:trPr>
        <w:tc>
          <w:tcPr>
            <w:tcW w:w="4805" w:type="dxa"/>
            <w:tcBorders>
              <w:top w:val="nil"/>
              <w:left w:val="nil"/>
              <w:bottom w:val="nil"/>
              <w:right w:val="nil"/>
            </w:tcBorders>
            <w:shd w:val="clear" w:color="FFFFFF" w:fill="FFFFFF"/>
            <w:vAlign w:val="bottom"/>
            <w:hideMark/>
          </w:tcPr>
          <w:p w14:paraId="0A37E8C8" w14:textId="77777777" w:rsidR="00AB6753" w:rsidRDefault="00AB6753" w:rsidP="002D1EA4">
            <w:pPr>
              <w:spacing w:after="0"/>
              <w:rPr>
                <w:rFonts w:cs="Arial"/>
                <w:sz w:val="18"/>
                <w:szCs w:val="18"/>
              </w:rPr>
            </w:pPr>
            <w:r>
              <w:rPr>
                <w:rFonts w:cs="Arial"/>
                <w:sz w:val="18"/>
                <w:szCs w:val="18"/>
              </w:rPr>
              <w:t>Principal payments of lease liabilities</w:t>
            </w:r>
          </w:p>
        </w:tc>
        <w:tc>
          <w:tcPr>
            <w:tcW w:w="803" w:type="dxa"/>
            <w:tcBorders>
              <w:top w:val="nil"/>
              <w:left w:val="nil"/>
              <w:bottom w:val="nil"/>
              <w:right w:val="nil"/>
            </w:tcBorders>
            <w:shd w:val="clear" w:color="FFFFFF" w:fill="FFFFFF"/>
            <w:noWrap/>
            <w:vAlign w:val="bottom"/>
            <w:hideMark/>
          </w:tcPr>
          <w:p w14:paraId="1DE9FA47"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single" w:sz="4" w:space="0" w:color="auto"/>
              <w:right w:val="nil"/>
            </w:tcBorders>
            <w:shd w:val="clear" w:color="FFFFFF" w:fill="FFFFFF"/>
            <w:noWrap/>
            <w:vAlign w:val="bottom"/>
            <w:hideMark/>
          </w:tcPr>
          <w:p w14:paraId="3433436B" w14:textId="77777777" w:rsidR="00AB6753" w:rsidRDefault="00AB6753" w:rsidP="002D1EA4">
            <w:pPr>
              <w:spacing w:after="0"/>
              <w:jc w:val="right"/>
              <w:rPr>
                <w:rFonts w:cs="Arial"/>
                <w:b/>
                <w:bCs/>
                <w:sz w:val="18"/>
                <w:szCs w:val="18"/>
              </w:rPr>
            </w:pPr>
            <w:r>
              <w:rPr>
                <w:rFonts w:cs="Arial"/>
                <w:b/>
                <w:bCs/>
                <w:sz w:val="18"/>
                <w:szCs w:val="18"/>
              </w:rPr>
              <w:t xml:space="preserve">20,788 </w:t>
            </w:r>
          </w:p>
        </w:tc>
        <w:tc>
          <w:tcPr>
            <w:tcW w:w="236" w:type="dxa"/>
            <w:tcBorders>
              <w:top w:val="nil"/>
              <w:left w:val="nil"/>
              <w:bottom w:val="nil"/>
              <w:right w:val="nil"/>
            </w:tcBorders>
            <w:shd w:val="clear" w:color="FFFFFF" w:fill="FFFFFF"/>
            <w:noWrap/>
            <w:vAlign w:val="bottom"/>
            <w:hideMark/>
          </w:tcPr>
          <w:p w14:paraId="2DAE409B"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single" w:sz="4" w:space="0" w:color="auto"/>
              <w:right w:val="nil"/>
            </w:tcBorders>
            <w:shd w:val="clear" w:color="FFFFFF" w:fill="FFFFFF"/>
            <w:noWrap/>
            <w:vAlign w:val="bottom"/>
            <w:hideMark/>
          </w:tcPr>
          <w:p w14:paraId="10F140E5" w14:textId="77777777" w:rsidR="00AB6753" w:rsidRDefault="00AB6753" w:rsidP="002D1EA4">
            <w:pPr>
              <w:spacing w:after="0"/>
              <w:jc w:val="right"/>
              <w:rPr>
                <w:rFonts w:cs="Arial"/>
                <w:sz w:val="18"/>
                <w:szCs w:val="18"/>
              </w:rPr>
            </w:pPr>
            <w:r>
              <w:rPr>
                <w:rFonts w:cs="Arial"/>
                <w:sz w:val="18"/>
                <w:szCs w:val="18"/>
              </w:rPr>
              <w:t xml:space="preserve"> -</w:t>
            </w:r>
          </w:p>
        </w:tc>
        <w:tc>
          <w:tcPr>
            <w:tcW w:w="236" w:type="dxa"/>
            <w:tcBorders>
              <w:top w:val="nil"/>
              <w:left w:val="nil"/>
              <w:bottom w:val="nil"/>
              <w:right w:val="nil"/>
            </w:tcBorders>
            <w:shd w:val="clear" w:color="FFFFFF" w:fill="FFFFFF"/>
            <w:noWrap/>
            <w:vAlign w:val="bottom"/>
            <w:hideMark/>
          </w:tcPr>
          <w:p w14:paraId="125348B7"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single" w:sz="4" w:space="0" w:color="auto"/>
              <w:right w:val="nil"/>
            </w:tcBorders>
            <w:shd w:val="clear" w:color="FFFFFF" w:fill="FFFFFF"/>
            <w:noWrap/>
            <w:vAlign w:val="bottom"/>
            <w:hideMark/>
          </w:tcPr>
          <w:p w14:paraId="20195ED0"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32558C4E" w14:textId="77777777" w:rsidTr="002D1EA4">
        <w:trPr>
          <w:trHeight w:val="255"/>
        </w:trPr>
        <w:tc>
          <w:tcPr>
            <w:tcW w:w="4805" w:type="dxa"/>
            <w:tcBorders>
              <w:top w:val="nil"/>
              <w:left w:val="nil"/>
              <w:bottom w:val="nil"/>
              <w:right w:val="nil"/>
            </w:tcBorders>
            <w:shd w:val="clear" w:color="FFFFFF" w:fill="FFFFFF"/>
            <w:vAlign w:val="bottom"/>
            <w:hideMark/>
          </w:tcPr>
          <w:p w14:paraId="0E7D15E5" w14:textId="77777777" w:rsidR="00AB6753" w:rsidRDefault="00AB6753" w:rsidP="002D1EA4">
            <w:pPr>
              <w:spacing w:after="0"/>
              <w:rPr>
                <w:rFonts w:cs="Arial"/>
                <w:b/>
                <w:bCs/>
                <w:sz w:val="18"/>
                <w:szCs w:val="18"/>
              </w:rPr>
            </w:pPr>
            <w:r>
              <w:rPr>
                <w:rFonts w:cs="Arial"/>
                <w:b/>
                <w:bCs/>
                <w:sz w:val="18"/>
                <w:szCs w:val="18"/>
              </w:rPr>
              <w:t>Net cash used by financing activities</w:t>
            </w:r>
          </w:p>
        </w:tc>
        <w:tc>
          <w:tcPr>
            <w:tcW w:w="803" w:type="dxa"/>
            <w:tcBorders>
              <w:top w:val="nil"/>
              <w:left w:val="nil"/>
              <w:bottom w:val="nil"/>
              <w:right w:val="nil"/>
            </w:tcBorders>
            <w:shd w:val="clear" w:color="FFFFFF" w:fill="FFFFFF"/>
            <w:noWrap/>
            <w:vAlign w:val="bottom"/>
            <w:hideMark/>
          </w:tcPr>
          <w:p w14:paraId="6FBD993A"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single" w:sz="4" w:space="0" w:color="auto"/>
              <w:left w:val="nil"/>
              <w:bottom w:val="single" w:sz="4" w:space="0" w:color="auto"/>
              <w:right w:val="nil"/>
            </w:tcBorders>
            <w:shd w:val="clear" w:color="FFFFFF" w:fill="FFFFFF"/>
            <w:noWrap/>
            <w:vAlign w:val="bottom"/>
            <w:hideMark/>
          </w:tcPr>
          <w:p w14:paraId="57AC3843" w14:textId="77777777" w:rsidR="00AB6753" w:rsidRDefault="00AB6753" w:rsidP="002D1EA4">
            <w:pPr>
              <w:spacing w:after="0"/>
              <w:jc w:val="right"/>
              <w:rPr>
                <w:rFonts w:cs="Arial"/>
                <w:b/>
                <w:bCs/>
                <w:sz w:val="18"/>
                <w:szCs w:val="18"/>
              </w:rPr>
            </w:pPr>
            <w:r>
              <w:rPr>
                <w:rFonts w:cs="Arial"/>
                <w:b/>
                <w:bCs/>
                <w:sz w:val="18"/>
                <w:szCs w:val="18"/>
              </w:rPr>
              <w:t>(10,318)</w:t>
            </w:r>
          </w:p>
        </w:tc>
        <w:tc>
          <w:tcPr>
            <w:tcW w:w="236" w:type="dxa"/>
            <w:tcBorders>
              <w:top w:val="nil"/>
              <w:left w:val="nil"/>
              <w:bottom w:val="nil"/>
              <w:right w:val="nil"/>
            </w:tcBorders>
            <w:shd w:val="clear" w:color="FFFFFF" w:fill="FFFFFF"/>
            <w:noWrap/>
            <w:vAlign w:val="bottom"/>
            <w:hideMark/>
          </w:tcPr>
          <w:p w14:paraId="04F7354A" w14:textId="77777777" w:rsidR="00AB6753" w:rsidRDefault="00AB6753" w:rsidP="002D1EA4">
            <w:pPr>
              <w:spacing w:after="0"/>
              <w:rPr>
                <w:rFonts w:cs="Arial"/>
                <w:sz w:val="18"/>
                <w:szCs w:val="18"/>
              </w:rPr>
            </w:pPr>
            <w:r>
              <w:rPr>
                <w:rFonts w:cs="Arial"/>
                <w:sz w:val="18"/>
                <w:szCs w:val="18"/>
              </w:rPr>
              <w:t> </w:t>
            </w:r>
          </w:p>
        </w:tc>
        <w:tc>
          <w:tcPr>
            <w:tcW w:w="1075" w:type="dxa"/>
            <w:tcBorders>
              <w:top w:val="single" w:sz="4" w:space="0" w:color="auto"/>
              <w:left w:val="nil"/>
              <w:bottom w:val="single" w:sz="4" w:space="0" w:color="auto"/>
              <w:right w:val="nil"/>
            </w:tcBorders>
            <w:shd w:val="clear" w:color="FFFFFF" w:fill="FFFFFF"/>
            <w:noWrap/>
            <w:vAlign w:val="bottom"/>
            <w:hideMark/>
          </w:tcPr>
          <w:p w14:paraId="1AC40E49" w14:textId="77777777" w:rsidR="00AB6753" w:rsidRDefault="00AB6753" w:rsidP="002D1EA4">
            <w:pPr>
              <w:spacing w:after="0"/>
              <w:jc w:val="right"/>
              <w:rPr>
                <w:rFonts w:cs="Arial"/>
                <w:sz w:val="18"/>
                <w:szCs w:val="18"/>
              </w:rPr>
            </w:pPr>
            <w:r>
              <w:rPr>
                <w:rFonts w:cs="Arial"/>
                <w:sz w:val="18"/>
                <w:szCs w:val="18"/>
              </w:rPr>
              <w:t>38,748</w:t>
            </w:r>
          </w:p>
        </w:tc>
        <w:tc>
          <w:tcPr>
            <w:tcW w:w="236" w:type="dxa"/>
            <w:tcBorders>
              <w:top w:val="nil"/>
              <w:left w:val="nil"/>
              <w:bottom w:val="nil"/>
              <w:right w:val="nil"/>
            </w:tcBorders>
            <w:shd w:val="clear" w:color="FFFFFF" w:fill="FFFFFF"/>
            <w:noWrap/>
            <w:vAlign w:val="bottom"/>
            <w:hideMark/>
          </w:tcPr>
          <w:p w14:paraId="6E64B50C" w14:textId="77777777" w:rsidR="00AB6753" w:rsidRDefault="00AB6753" w:rsidP="002D1EA4">
            <w:pPr>
              <w:spacing w:after="0"/>
              <w:rPr>
                <w:rFonts w:cs="Arial"/>
                <w:sz w:val="18"/>
                <w:szCs w:val="18"/>
              </w:rPr>
            </w:pPr>
            <w:r>
              <w:rPr>
                <w:rFonts w:cs="Arial"/>
                <w:sz w:val="18"/>
                <w:szCs w:val="18"/>
              </w:rPr>
              <w:t> </w:t>
            </w:r>
          </w:p>
        </w:tc>
        <w:tc>
          <w:tcPr>
            <w:tcW w:w="1075" w:type="dxa"/>
            <w:tcBorders>
              <w:top w:val="single" w:sz="4" w:space="0" w:color="auto"/>
              <w:left w:val="nil"/>
              <w:bottom w:val="single" w:sz="4" w:space="0" w:color="auto"/>
              <w:right w:val="nil"/>
            </w:tcBorders>
            <w:shd w:val="clear" w:color="FFFFFF" w:fill="FFFFFF"/>
            <w:noWrap/>
            <w:vAlign w:val="bottom"/>
            <w:hideMark/>
          </w:tcPr>
          <w:p w14:paraId="288285D9" w14:textId="77777777" w:rsidR="00AB6753" w:rsidRDefault="00AB6753" w:rsidP="002D1EA4">
            <w:pPr>
              <w:spacing w:after="0"/>
              <w:jc w:val="right"/>
              <w:rPr>
                <w:rFonts w:cs="Arial"/>
                <w:sz w:val="18"/>
                <w:szCs w:val="18"/>
              </w:rPr>
            </w:pPr>
            <w:r>
              <w:rPr>
                <w:rFonts w:cs="Arial"/>
                <w:sz w:val="18"/>
                <w:szCs w:val="18"/>
              </w:rPr>
              <w:t>28,358</w:t>
            </w:r>
          </w:p>
        </w:tc>
      </w:tr>
      <w:tr w:rsidR="00AB6753" w14:paraId="5DAE8EE4" w14:textId="77777777" w:rsidTr="002D1EA4">
        <w:trPr>
          <w:trHeight w:val="255"/>
        </w:trPr>
        <w:tc>
          <w:tcPr>
            <w:tcW w:w="4805" w:type="dxa"/>
            <w:tcBorders>
              <w:top w:val="nil"/>
              <w:left w:val="nil"/>
              <w:bottom w:val="nil"/>
              <w:right w:val="nil"/>
            </w:tcBorders>
            <w:shd w:val="clear" w:color="FFFFFF" w:fill="FFFFFF"/>
            <w:noWrap/>
            <w:vAlign w:val="bottom"/>
            <w:hideMark/>
          </w:tcPr>
          <w:p w14:paraId="16F46833" w14:textId="77777777" w:rsidR="00AB6753" w:rsidRDefault="00AB6753" w:rsidP="002D1EA4">
            <w:pPr>
              <w:spacing w:after="0"/>
              <w:rPr>
                <w:rFonts w:cs="Arial"/>
                <w:sz w:val="18"/>
                <w:szCs w:val="18"/>
              </w:rPr>
            </w:pPr>
            <w:r>
              <w:rPr>
                <w:rFonts w:cs="Arial"/>
                <w:sz w:val="18"/>
                <w:szCs w:val="18"/>
              </w:rPr>
              <w:t> </w:t>
            </w:r>
          </w:p>
        </w:tc>
        <w:tc>
          <w:tcPr>
            <w:tcW w:w="803" w:type="dxa"/>
            <w:tcBorders>
              <w:top w:val="nil"/>
              <w:left w:val="nil"/>
              <w:bottom w:val="nil"/>
              <w:right w:val="nil"/>
            </w:tcBorders>
            <w:shd w:val="clear" w:color="FFFFFF" w:fill="FFFFFF"/>
            <w:noWrap/>
            <w:vAlign w:val="bottom"/>
            <w:hideMark/>
          </w:tcPr>
          <w:p w14:paraId="394E3A87"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09282A42"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FFFFFF" w:fill="FFFFFF"/>
            <w:noWrap/>
            <w:vAlign w:val="bottom"/>
            <w:hideMark/>
          </w:tcPr>
          <w:p w14:paraId="64E9D7F4"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7A0E8B65"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1B06A724"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6946D6E2" w14:textId="77777777" w:rsidR="00AB6753" w:rsidRDefault="00AB6753" w:rsidP="002D1EA4">
            <w:pPr>
              <w:spacing w:after="0"/>
              <w:rPr>
                <w:rFonts w:cs="Arial"/>
                <w:sz w:val="18"/>
                <w:szCs w:val="18"/>
              </w:rPr>
            </w:pPr>
            <w:r>
              <w:rPr>
                <w:rFonts w:cs="Arial"/>
                <w:sz w:val="18"/>
                <w:szCs w:val="18"/>
              </w:rPr>
              <w:t> </w:t>
            </w:r>
          </w:p>
        </w:tc>
      </w:tr>
      <w:tr w:rsidR="00AB6753" w14:paraId="6CE633BD" w14:textId="77777777" w:rsidTr="002D1EA4">
        <w:trPr>
          <w:trHeight w:val="255"/>
        </w:trPr>
        <w:tc>
          <w:tcPr>
            <w:tcW w:w="4805" w:type="dxa"/>
            <w:tcBorders>
              <w:top w:val="nil"/>
              <w:left w:val="nil"/>
              <w:bottom w:val="nil"/>
              <w:right w:val="nil"/>
            </w:tcBorders>
            <w:shd w:val="clear" w:color="FFFFFF" w:fill="FFFFFF"/>
            <w:vAlign w:val="bottom"/>
            <w:hideMark/>
          </w:tcPr>
          <w:p w14:paraId="0CACA529" w14:textId="77777777" w:rsidR="00AB6753" w:rsidRDefault="00AB6753" w:rsidP="002D1EA4">
            <w:pPr>
              <w:spacing w:after="0"/>
              <w:rPr>
                <w:rFonts w:cs="Arial"/>
                <w:b/>
                <w:bCs/>
                <w:sz w:val="18"/>
                <w:szCs w:val="18"/>
              </w:rPr>
            </w:pPr>
            <w:r>
              <w:rPr>
                <w:rFonts w:cs="Arial"/>
                <w:b/>
                <w:bCs/>
                <w:sz w:val="18"/>
                <w:szCs w:val="18"/>
              </w:rPr>
              <w:t>Net (decrease) / increase in cash held</w:t>
            </w:r>
          </w:p>
        </w:tc>
        <w:tc>
          <w:tcPr>
            <w:tcW w:w="803" w:type="dxa"/>
            <w:tcBorders>
              <w:top w:val="nil"/>
              <w:left w:val="nil"/>
              <w:bottom w:val="nil"/>
              <w:right w:val="nil"/>
            </w:tcBorders>
            <w:shd w:val="clear" w:color="FFFFFF" w:fill="FFFFFF"/>
            <w:noWrap/>
            <w:vAlign w:val="bottom"/>
            <w:hideMark/>
          </w:tcPr>
          <w:p w14:paraId="5648D1B0"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single" w:sz="4" w:space="0" w:color="auto"/>
              <w:left w:val="nil"/>
              <w:bottom w:val="single" w:sz="4" w:space="0" w:color="auto"/>
              <w:right w:val="nil"/>
            </w:tcBorders>
            <w:shd w:val="clear" w:color="FFFFFF" w:fill="FFFFFF"/>
            <w:noWrap/>
            <w:vAlign w:val="bottom"/>
            <w:hideMark/>
          </w:tcPr>
          <w:p w14:paraId="42A124D4" w14:textId="77777777" w:rsidR="00AB6753" w:rsidRDefault="00AB6753" w:rsidP="002D1EA4">
            <w:pPr>
              <w:spacing w:after="0"/>
              <w:jc w:val="right"/>
              <w:rPr>
                <w:rFonts w:cs="Arial"/>
                <w:b/>
                <w:bCs/>
                <w:sz w:val="18"/>
                <w:szCs w:val="18"/>
              </w:rPr>
            </w:pPr>
            <w:r>
              <w:rPr>
                <w:rFonts w:cs="Arial"/>
                <w:b/>
                <w:bCs/>
                <w:sz w:val="18"/>
                <w:szCs w:val="18"/>
              </w:rPr>
              <w:t>(3,979)</w:t>
            </w:r>
          </w:p>
        </w:tc>
        <w:tc>
          <w:tcPr>
            <w:tcW w:w="236" w:type="dxa"/>
            <w:tcBorders>
              <w:top w:val="nil"/>
              <w:left w:val="nil"/>
              <w:bottom w:val="nil"/>
              <w:right w:val="nil"/>
            </w:tcBorders>
            <w:shd w:val="clear" w:color="FFFFFF" w:fill="FFFFFF"/>
            <w:noWrap/>
            <w:vAlign w:val="bottom"/>
            <w:hideMark/>
          </w:tcPr>
          <w:p w14:paraId="3B0EB554" w14:textId="77777777" w:rsidR="00AB6753" w:rsidRDefault="00AB6753" w:rsidP="002D1EA4">
            <w:pPr>
              <w:spacing w:after="0"/>
              <w:rPr>
                <w:rFonts w:cs="Arial"/>
                <w:sz w:val="18"/>
                <w:szCs w:val="18"/>
              </w:rPr>
            </w:pPr>
            <w:r>
              <w:rPr>
                <w:rFonts w:cs="Arial"/>
                <w:sz w:val="18"/>
                <w:szCs w:val="18"/>
              </w:rPr>
              <w:t> </w:t>
            </w:r>
          </w:p>
        </w:tc>
        <w:tc>
          <w:tcPr>
            <w:tcW w:w="1075" w:type="dxa"/>
            <w:tcBorders>
              <w:top w:val="single" w:sz="4" w:space="0" w:color="auto"/>
              <w:left w:val="nil"/>
              <w:bottom w:val="single" w:sz="4" w:space="0" w:color="auto"/>
              <w:right w:val="nil"/>
            </w:tcBorders>
            <w:shd w:val="clear" w:color="FFFFFF" w:fill="FFFFFF"/>
            <w:noWrap/>
            <w:vAlign w:val="bottom"/>
            <w:hideMark/>
          </w:tcPr>
          <w:p w14:paraId="3E4F28F7" w14:textId="77777777" w:rsidR="00AB6753" w:rsidRDefault="00AB6753" w:rsidP="002D1EA4">
            <w:pPr>
              <w:spacing w:after="0"/>
              <w:jc w:val="right"/>
              <w:rPr>
                <w:rFonts w:cs="Arial"/>
                <w:sz w:val="18"/>
                <w:szCs w:val="18"/>
              </w:rPr>
            </w:pPr>
            <w:r>
              <w:rPr>
                <w:rFonts w:cs="Arial"/>
                <w:sz w:val="18"/>
                <w:szCs w:val="18"/>
              </w:rPr>
              <w:t>2,711</w:t>
            </w:r>
          </w:p>
        </w:tc>
        <w:tc>
          <w:tcPr>
            <w:tcW w:w="236" w:type="dxa"/>
            <w:tcBorders>
              <w:top w:val="nil"/>
              <w:left w:val="nil"/>
              <w:bottom w:val="nil"/>
              <w:right w:val="nil"/>
            </w:tcBorders>
            <w:shd w:val="clear" w:color="FFFFFF" w:fill="FFFFFF"/>
            <w:noWrap/>
            <w:vAlign w:val="bottom"/>
            <w:hideMark/>
          </w:tcPr>
          <w:p w14:paraId="7DE35036" w14:textId="77777777" w:rsidR="00AB6753" w:rsidRDefault="00AB6753" w:rsidP="002D1EA4">
            <w:pPr>
              <w:spacing w:after="0"/>
              <w:rPr>
                <w:rFonts w:cs="Arial"/>
                <w:sz w:val="18"/>
                <w:szCs w:val="18"/>
              </w:rPr>
            </w:pPr>
            <w:r>
              <w:rPr>
                <w:rFonts w:cs="Arial"/>
                <w:sz w:val="18"/>
                <w:szCs w:val="18"/>
              </w:rPr>
              <w:t> </w:t>
            </w:r>
          </w:p>
        </w:tc>
        <w:tc>
          <w:tcPr>
            <w:tcW w:w="1075" w:type="dxa"/>
            <w:tcBorders>
              <w:top w:val="single" w:sz="4" w:space="0" w:color="auto"/>
              <w:left w:val="nil"/>
              <w:bottom w:val="single" w:sz="4" w:space="0" w:color="auto"/>
              <w:right w:val="nil"/>
            </w:tcBorders>
            <w:shd w:val="clear" w:color="FFFFFF" w:fill="FFFFFF"/>
            <w:noWrap/>
            <w:vAlign w:val="bottom"/>
            <w:hideMark/>
          </w:tcPr>
          <w:p w14:paraId="14892892" w14:textId="77777777" w:rsidR="00AB6753" w:rsidRDefault="00AB6753" w:rsidP="002D1EA4">
            <w:pPr>
              <w:spacing w:after="0"/>
              <w:jc w:val="right"/>
              <w:rPr>
                <w:rFonts w:cs="Arial"/>
                <w:sz w:val="18"/>
                <w:szCs w:val="18"/>
              </w:rPr>
            </w:pPr>
            <w:r>
              <w:rPr>
                <w:rFonts w:cs="Arial"/>
                <w:sz w:val="18"/>
                <w:szCs w:val="18"/>
              </w:rPr>
              <w:t>-</w:t>
            </w:r>
          </w:p>
        </w:tc>
      </w:tr>
      <w:tr w:rsidR="00AB6753" w14:paraId="7C80A8F7" w14:textId="77777777" w:rsidTr="002D1EA4">
        <w:trPr>
          <w:trHeight w:val="480"/>
        </w:trPr>
        <w:tc>
          <w:tcPr>
            <w:tcW w:w="4805" w:type="dxa"/>
            <w:tcBorders>
              <w:top w:val="nil"/>
              <w:left w:val="nil"/>
              <w:bottom w:val="nil"/>
              <w:right w:val="nil"/>
            </w:tcBorders>
            <w:shd w:val="clear" w:color="FFFFFF" w:fill="FFFFFF"/>
            <w:vAlign w:val="bottom"/>
            <w:hideMark/>
          </w:tcPr>
          <w:p w14:paraId="565BDD88" w14:textId="77777777" w:rsidR="00AB6753" w:rsidRDefault="00AB6753" w:rsidP="002D1EA4">
            <w:pPr>
              <w:spacing w:after="0"/>
              <w:rPr>
                <w:rFonts w:cs="Arial"/>
                <w:sz w:val="18"/>
                <w:szCs w:val="18"/>
              </w:rPr>
            </w:pPr>
            <w:r>
              <w:rPr>
                <w:rFonts w:cs="Arial"/>
                <w:sz w:val="18"/>
                <w:szCs w:val="18"/>
              </w:rPr>
              <w:t>Cash and cash equivalents at the beginning of the reporting period</w:t>
            </w:r>
          </w:p>
        </w:tc>
        <w:tc>
          <w:tcPr>
            <w:tcW w:w="803" w:type="dxa"/>
            <w:tcBorders>
              <w:top w:val="nil"/>
              <w:left w:val="nil"/>
              <w:bottom w:val="nil"/>
              <w:right w:val="nil"/>
            </w:tcBorders>
            <w:shd w:val="clear" w:color="FFFFFF" w:fill="FFFFFF"/>
            <w:noWrap/>
            <w:vAlign w:val="bottom"/>
            <w:hideMark/>
          </w:tcPr>
          <w:p w14:paraId="1D4E9E9F"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nil"/>
              <w:left w:val="nil"/>
              <w:bottom w:val="nil"/>
              <w:right w:val="nil"/>
            </w:tcBorders>
            <w:shd w:val="clear" w:color="FFFFFF" w:fill="FFFFFF"/>
            <w:noWrap/>
            <w:vAlign w:val="bottom"/>
            <w:hideMark/>
          </w:tcPr>
          <w:p w14:paraId="6C280909" w14:textId="77777777" w:rsidR="00AB6753" w:rsidRDefault="00AB6753" w:rsidP="002D1EA4">
            <w:pPr>
              <w:spacing w:after="0"/>
              <w:jc w:val="right"/>
              <w:rPr>
                <w:rFonts w:cs="Arial"/>
                <w:b/>
                <w:bCs/>
                <w:sz w:val="18"/>
                <w:szCs w:val="18"/>
              </w:rPr>
            </w:pPr>
            <w:r>
              <w:rPr>
                <w:rFonts w:cs="Arial"/>
                <w:b/>
                <w:bCs/>
                <w:sz w:val="18"/>
                <w:szCs w:val="18"/>
              </w:rPr>
              <w:t>9,313</w:t>
            </w:r>
          </w:p>
        </w:tc>
        <w:tc>
          <w:tcPr>
            <w:tcW w:w="236" w:type="dxa"/>
            <w:tcBorders>
              <w:top w:val="nil"/>
              <w:left w:val="nil"/>
              <w:bottom w:val="nil"/>
              <w:right w:val="nil"/>
            </w:tcBorders>
            <w:shd w:val="clear" w:color="FFFFFF" w:fill="FFFFFF"/>
            <w:noWrap/>
            <w:vAlign w:val="bottom"/>
            <w:hideMark/>
          </w:tcPr>
          <w:p w14:paraId="56EF7EDA"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3CE25048" w14:textId="77777777" w:rsidR="00AB6753" w:rsidRDefault="00AB6753" w:rsidP="002D1EA4">
            <w:pPr>
              <w:spacing w:after="0"/>
              <w:jc w:val="right"/>
              <w:rPr>
                <w:rFonts w:cs="Arial"/>
                <w:sz w:val="18"/>
                <w:szCs w:val="18"/>
              </w:rPr>
            </w:pPr>
            <w:r>
              <w:rPr>
                <w:rFonts w:cs="Arial"/>
                <w:sz w:val="18"/>
                <w:szCs w:val="18"/>
              </w:rPr>
              <w:t xml:space="preserve">6,602 </w:t>
            </w:r>
          </w:p>
        </w:tc>
        <w:tc>
          <w:tcPr>
            <w:tcW w:w="236" w:type="dxa"/>
            <w:tcBorders>
              <w:top w:val="nil"/>
              <w:left w:val="nil"/>
              <w:bottom w:val="nil"/>
              <w:right w:val="nil"/>
            </w:tcBorders>
            <w:shd w:val="clear" w:color="FFFFFF" w:fill="FFFFFF"/>
            <w:noWrap/>
            <w:vAlign w:val="bottom"/>
            <w:hideMark/>
          </w:tcPr>
          <w:p w14:paraId="512EA0E3" w14:textId="77777777" w:rsidR="00AB6753" w:rsidRDefault="00AB6753" w:rsidP="002D1EA4">
            <w:pPr>
              <w:spacing w:after="0"/>
              <w:rPr>
                <w:rFonts w:cs="Arial"/>
                <w:sz w:val="18"/>
                <w:szCs w:val="18"/>
              </w:rPr>
            </w:pPr>
            <w:r>
              <w:rPr>
                <w:rFonts w:cs="Arial"/>
                <w:sz w:val="18"/>
                <w:szCs w:val="18"/>
              </w:rPr>
              <w:t> </w:t>
            </w:r>
          </w:p>
        </w:tc>
        <w:tc>
          <w:tcPr>
            <w:tcW w:w="1075" w:type="dxa"/>
            <w:tcBorders>
              <w:top w:val="nil"/>
              <w:left w:val="nil"/>
              <w:bottom w:val="nil"/>
              <w:right w:val="nil"/>
            </w:tcBorders>
            <w:shd w:val="clear" w:color="FFFFFF" w:fill="FFFFFF"/>
            <w:noWrap/>
            <w:vAlign w:val="bottom"/>
            <w:hideMark/>
          </w:tcPr>
          <w:p w14:paraId="04DF104A" w14:textId="77777777" w:rsidR="00AB6753" w:rsidRDefault="00AB6753" w:rsidP="002D1EA4">
            <w:pPr>
              <w:spacing w:after="0"/>
              <w:jc w:val="right"/>
              <w:rPr>
                <w:rFonts w:cs="Arial"/>
                <w:sz w:val="18"/>
                <w:szCs w:val="18"/>
              </w:rPr>
            </w:pPr>
            <w:r>
              <w:rPr>
                <w:rFonts w:cs="Arial"/>
                <w:sz w:val="18"/>
                <w:szCs w:val="18"/>
              </w:rPr>
              <w:t xml:space="preserve">6,602 </w:t>
            </w:r>
          </w:p>
        </w:tc>
      </w:tr>
      <w:tr w:rsidR="00AB6753" w14:paraId="64073D29" w14:textId="77777777" w:rsidTr="002D1EA4">
        <w:trPr>
          <w:trHeight w:val="480"/>
        </w:trPr>
        <w:tc>
          <w:tcPr>
            <w:tcW w:w="4805" w:type="dxa"/>
            <w:tcBorders>
              <w:top w:val="nil"/>
              <w:left w:val="nil"/>
              <w:bottom w:val="nil"/>
              <w:right w:val="nil"/>
            </w:tcBorders>
            <w:shd w:val="clear" w:color="FFFFFF" w:fill="FFFFFF"/>
            <w:vAlign w:val="bottom"/>
            <w:hideMark/>
          </w:tcPr>
          <w:p w14:paraId="6EDF13DF" w14:textId="77777777" w:rsidR="00AB6753" w:rsidRDefault="00AB6753" w:rsidP="002D1EA4">
            <w:pPr>
              <w:spacing w:after="0"/>
              <w:rPr>
                <w:rFonts w:cs="Arial"/>
                <w:b/>
                <w:bCs/>
                <w:sz w:val="18"/>
                <w:szCs w:val="18"/>
              </w:rPr>
            </w:pPr>
            <w:r>
              <w:rPr>
                <w:rFonts w:cs="Arial"/>
                <w:b/>
                <w:bCs/>
                <w:sz w:val="18"/>
                <w:szCs w:val="18"/>
              </w:rPr>
              <w:t>Cash and cash equivalents at the end of the reporting period</w:t>
            </w:r>
          </w:p>
        </w:tc>
        <w:tc>
          <w:tcPr>
            <w:tcW w:w="803" w:type="dxa"/>
            <w:tcBorders>
              <w:top w:val="nil"/>
              <w:left w:val="nil"/>
              <w:bottom w:val="nil"/>
              <w:right w:val="nil"/>
            </w:tcBorders>
            <w:shd w:val="clear" w:color="FFFFFF" w:fill="FFFFFF"/>
            <w:noWrap/>
            <w:vAlign w:val="bottom"/>
            <w:hideMark/>
          </w:tcPr>
          <w:p w14:paraId="7F0A53DC" w14:textId="77777777" w:rsidR="00AB6753" w:rsidRDefault="00AB6753" w:rsidP="002D1EA4">
            <w:pPr>
              <w:spacing w:after="0"/>
              <w:jc w:val="center"/>
              <w:rPr>
                <w:rFonts w:cs="Arial"/>
                <w:sz w:val="18"/>
                <w:szCs w:val="18"/>
              </w:rPr>
            </w:pPr>
            <w:r>
              <w:rPr>
                <w:rFonts w:cs="Arial"/>
                <w:sz w:val="18"/>
                <w:szCs w:val="18"/>
              </w:rPr>
              <w:t> </w:t>
            </w:r>
          </w:p>
        </w:tc>
        <w:tc>
          <w:tcPr>
            <w:tcW w:w="1079" w:type="dxa"/>
            <w:tcBorders>
              <w:top w:val="single" w:sz="4" w:space="0" w:color="auto"/>
              <w:left w:val="nil"/>
              <w:bottom w:val="single" w:sz="4" w:space="0" w:color="auto"/>
              <w:right w:val="nil"/>
            </w:tcBorders>
            <w:shd w:val="clear" w:color="FFFFFF" w:fill="FFFFFF"/>
            <w:noWrap/>
            <w:vAlign w:val="bottom"/>
            <w:hideMark/>
          </w:tcPr>
          <w:p w14:paraId="4A4016E2" w14:textId="77777777" w:rsidR="00AB6753" w:rsidRDefault="00AB6753" w:rsidP="002D1EA4">
            <w:pPr>
              <w:spacing w:after="0"/>
              <w:jc w:val="right"/>
              <w:rPr>
                <w:rFonts w:cs="Arial"/>
                <w:b/>
                <w:bCs/>
                <w:sz w:val="18"/>
                <w:szCs w:val="18"/>
              </w:rPr>
            </w:pPr>
            <w:r>
              <w:rPr>
                <w:rFonts w:cs="Arial"/>
                <w:b/>
                <w:bCs/>
                <w:sz w:val="18"/>
                <w:szCs w:val="18"/>
              </w:rPr>
              <w:t>5,334</w:t>
            </w:r>
          </w:p>
        </w:tc>
        <w:tc>
          <w:tcPr>
            <w:tcW w:w="236" w:type="dxa"/>
            <w:tcBorders>
              <w:top w:val="nil"/>
              <w:left w:val="nil"/>
              <w:bottom w:val="nil"/>
              <w:right w:val="nil"/>
            </w:tcBorders>
            <w:shd w:val="clear" w:color="FFFFFF" w:fill="FFFFFF"/>
            <w:noWrap/>
            <w:vAlign w:val="bottom"/>
            <w:hideMark/>
          </w:tcPr>
          <w:p w14:paraId="17BAAE9A" w14:textId="77777777" w:rsidR="00AB6753" w:rsidRDefault="00AB6753" w:rsidP="002D1EA4">
            <w:pPr>
              <w:spacing w:after="0"/>
              <w:rPr>
                <w:rFonts w:cs="Arial"/>
                <w:sz w:val="18"/>
                <w:szCs w:val="18"/>
              </w:rPr>
            </w:pPr>
            <w:r>
              <w:rPr>
                <w:rFonts w:cs="Arial"/>
                <w:sz w:val="18"/>
                <w:szCs w:val="18"/>
              </w:rPr>
              <w:t> </w:t>
            </w:r>
          </w:p>
        </w:tc>
        <w:tc>
          <w:tcPr>
            <w:tcW w:w="1075" w:type="dxa"/>
            <w:tcBorders>
              <w:top w:val="single" w:sz="4" w:space="0" w:color="auto"/>
              <w:left w:val="nil"/>
              <w:bottom w:val="single" w:sz="4" w:space="0" w:color="auto"/>
              <w:right w:val="nil"/>
            </w:tcBorders>
            <w:shd w:val="clear" w:color="FFFFFF" w:fill="FFFFFF"/>
            <w:noWrap/>
            <w:vAlign w:val="bottom"/>
            <w:hideMark/>
          </w:tcPr>
          <w:p w14:paraId="6FC8FCE5" w14:textId="77777777" w:rsidR="00AB6753" w:rsidRDefault="00AB6753" w:rsidP="002D1EA4">
            <w:pPr>
              <w:spacing w:after="0"/>
              <w:jc w:val="right"/>
              <w:rPr>
                <w:rFonts w:cs="Arial"/>
                <w:sz w:val="18"/>
                <w:szCs w:val="18"/>
              </w:rPr>
            </w:pPr>
            <w:r>
              <w:rPr>
                <w:rFonts w:cs="Arial"/>
                <w:sz w:val="18"/>
                <w:szCs w:val="18"/>
              </w:rPr>
              <w:t>9,313</w:t>
            </w:r>
          </w:p>
        </w:tc>
        <w:tc>
          <w:tcPr>
            <w:tcW w:w="236" w:type="dxa"/>
            <w:tcBorders>
              <w:top w:val="nil"/>
              <w:left w:val="nil"/>
              <w:bottom w:val="nil"/>
              <w:right w:val="nil"/>
            </w:tcBorders>
            <w:shd w:val="clear" w:color="FFFFFF" w:fill="FFFFFF"/>
            <w:noWrap/>
            <w:vAlign w:val="bottom"/>
            <w:hideMark/>
          </w:tcPr>
          <w:p w14:paraId="0C9ACAD1" w14:textId="77777777" w:rsidR="00AB6753" w:rsidRDefault="00AB6753" w:rsidP="002D1EA4">
            <w:pPr>
              <w:spacing w:after="0"/>
              <w:rPr>
                <w:rFonts w:cs="Arial"/>
                <w:sz w:val="18"/>
                <w:szCs w:val="18"/>
              </w:rPr>
            </w:pPr>
            <w:r>
              <w:rPr>
                <w:rFonts w:cs="Arial"/>
                <w:sz w:val="18"/>
                <w:szCs w:val="18"/>
              </w:rPr>
              <w:t> </w:t>
            </w:r>
          </w:p>
        </w:tc>
        <w:tc>
          <w:tcPr>
            <w:tcW w:w="1075" w:type="dxa"/>
            <w:tcBorders>
              <w:top w:val="single" w:sz="4" w:space="0" w:color="auto"/>
              <w:left w:val="nil"/>
              <w:bottom w:val="single" w:sz="4" w:space="0" w:color="auto"/>
              <w:right w:val="nil"/>
            </w:tcBorders>
            <w:shd w:val="clear" w:color="FFFFFF" w:fill="FFFFFF"/>
            <w:noWrap/>
            <w:vAlign w:val="bottom"/>
            <w:hideMark/>
          </w:tcPr>
          <w:p w14:paraId="29635D83" w14:textId="77777777" w:rsidR="00AB6753" w:rsidRDefault="00AB6753" w:rsidP="002D1EA4">
            <w:pPr>
              <w:spacing w:after="0"/>
              <w:jc w:val="right"/>
              <w:rPr>
                <w:rFonts w:cs="Arial"/>
                <w:sz w:val="18"/>
                <w:szCs w:val="18"/>
              </w:rPr>
            </w:pPr>
            <w:r>
              <w:rPr>
                <w:rFonts w:cs="Arial"/>
                <w:sz w:val="18"/>
                <w:szCs w:val="18"/>
              </w:rPr>
              <w:t>6,602</w:t>
            </w:r>
          </w:p>
        </w:tc>
      </w:tr>
    </w:tbl>
    <w:p w14:paraId="04C22E2E" w14:textId="77777777" w:rsidR="00AB6753" w:rsidRDefault="00AB6753" w:rsidP="00AB6753">
      <w:pPr>
        <w:pStyle w:val="NotesText0"/>
        <w:ind w:left="142"/>
      </w:pPr>
      <w:r>
        <w:t>The above statement should be read in conjunction with the accompanying notes.</w:t>
      </w:r>
    </w:p>
    <w:p w14:paraId="28725DD9" w14:textId="77777777" w:rsidR="00AB6753" w:rsidRDefault="00AB6753" w:rsidP="00AB6753">
      <w:pPr>
        <w:pStyle w:val="NotesText0"/>
        <w:ind w:left="142"/>
      </w:pPr>
      <w:r>
        <w:t>Refer to Note 8.4A for explanations of major variances to the Original Budget. Where necessary, the Original Budget information has been reclassified and presented on a consistent basis with the corresponding financial statement item.</w:t>
      </w:r>
    </w:p>
    <w:p w14:paraId="46871E15" w14:textId="77777777" w:rsidR="00AB6753" w:rsidRPr="00B85AFC" w:rsidRDefault="00AB6753" w:rsidP="00AB6753">
      <w:pPr>
        <w:pStyle w:val="NotesText0"/>
        <w:spacing w:after="240"/>
        <w:ind w:left="142"/>
        <w:rPr>
          <w:rFonts w:eastAsiaTheme="minorHAnsi" w:cstheme="minorBidi"/>
          <w:szCs w:val="18"/>
          <w:lang w:eastAsia="en-US"/>
        </w:rPr>
        <w:sectPr w:rsidR="00AB6753" w:rsidRPr="00B85AFC" w:rsidSect="00C63A3F">
          <w:headerReference w:type="default" r:id="rId63"/>
          <w:pgSz w:w="11906" w:h="16838" w:code="9"/>
          <w:pgMar w:top="1134" w:right="1134" w:bottom="1134" w:left="1134" w:header="958" w:footer="737" w:gutter="0"/>
          <w:cols w:space="708"/>
          <w:docGrid w:linePitch="360"/>
        </w:sectPr>
      </w:pPr>
    </w:p>
    <w:tbl>
      <w:tblPr>
        <w:tblW w:w="9371" w:type="dxa"/>
        <w:tblInd w:w="80" w:type="dxa"/>
        <w:tblLayout w:type="fixed"/>
        <w:tblCellMar>
          <w:left w:w="57" w:type="dxa"/>
          <w:right w:w="57" w:type="dxa"/>
        </w:tblCellMar>
        <w:tblLook w:val="04A0" w:firstRow="1" w:lastRow="0" w:firstColumn="1" w:lastColumn="0" w:noHBand="0" w:noVBand="1"/>
        <w:tblCaption w:val="Administered schedule of comprehensive income for the period ended 30 June 2020"/>
        <w:tblDescription w:val="Administered schedule of comprehensive income for the period ended 30 June 2020"/>
      </w:tblPr>
      <w:tblGrid>
        <w:gridCol w:w="3979"/>
        <w:gridCol w:w="813"/>
        <w:gridCol w:w="1347"/>
        <w:gridCol w:w="269"/>
        <w:gridCol w:w="1347"/>
        <w:gridCol w:w="269"/>
        <w:gridCol w:w="1347"/>
      </w:tblGrid>
      <w:tr w:rsidR="00AB6753" w14:paraId="42DCF17A" w14:textId="77777777" w:rsidTr="002D1EA4">
        <w:trPr>
          <w:trHeight w:val="720"/>
        </w:trPr>
        <w:tc>
          <w:tcPr>
            <w:tcW w:w="3950" w:type="dxa"/>
            <w:tcBorders>
              <w:top w:val="single" w:sz="8" w:space="0" w:color="auto"/>
              <w:left w:val="nil"/>
              <w:bottom w:val="nil"/>
              <w:right w:val="nil"/>
            </w:tcBorders>
            <w:shd w:val="clear" w:color="000000" w:fill="D9D9D9"/>
            <w:noWrap/>
            <w:vAlign w:val="bottom"/>
            <w:hideMark/>
          </w:tcPr>
          <w:p w14:paraId="4899D3B6" w14:textId="77777777" w:rsidR="00AB6753" w:rsidRDefault="00AB6753" w:rsidP="002D1EA4">
            <w:pPr>
              <w:spacing w:after="0"/>
              <w:rPr>
                <w:rFonts w:cs="Arial"/>
                <w:sz w:val="16"/>
                <w:szCs w:val="16"/>
              </w:rPr>
            </w:pPr>
            <w:bookmarkStart w:id="58" w:name="Note_APLTABLE1" w:colFirst="0" w:colLast="0"/>
            <w:r>
              <w:rPr>
                <w:rFonts w:cs="Arial"/>
                <w:sz w:val="16"/>
                <w:szCs w:val="16"/>
              </w:rPr>
              <w:lastRenderedPageBreak/>
              <w:t> </w:t>
            </w:r>
          </w:p>
        </w:tc>
        <w:tc>
          <w:tcPr>
            <w:tcW w:w="807" w:type="dxa"/>
            <w:tcBorders>
              <w:top w:val="single" w:sz="8" w:space="0" w:color="auto"/>
              <w:left w:val="nil"/>
              <w:bottom w:val="nil"/>
              <w:right w:val="nil"/>
            </w:tcBorders>
            <w:shd w:val="clear" w:color="000000" w:fill="D9D9D9"/>
            <w:noWrap/>
            <w:vAlign w:val="bottom"/>
            <w:hideMark/>
          </w:tcPr>
          <w:p w14:paraId="505BBCEA" w14:textId="77777777" w:rsidR="00AB6753" w:rsidRDefault="00AB6753" w:rsidP="002D1EA4">
            <w:pPr>
              <w:spacing w:after="0"/>
              <w:jc w:val="center"/>
              <w:rPr>
                <w:rFonts w:cs="Arial"/>
                <w:sz w:val="16"/>
                <w:szCs w:val="16"/>
              </w:rPr>
            </w:pPr>
            <w:r>
              <w:rPr>
                <w:rFonts w:cs="Arial"/>
                <w:sz w:val="16"/>
                <w:szCs w:val="16"/>
              </w:rPr>
              <w:t> </w:t>
            </w:r>
          </w:p>
        </w:tc>
        <w:tc>
          <w:tcPr>
            <w:tcW w:w="1337" w:type="dxa"/>
            <w:tcBorders>
              <w:top w:val="single" w:sz="8" w:space="0" w:color="auto"/>
              <w:left w:val="nil"/>
              <w:bottom w:val="nil"/>
              <w:right w:val="nil"/>
            </w:tcBorders>
            <w:shd w:val="clear" w:color="000000" w:fill="D9D9D9"/>
            <w:noWrap/>
            <w:vAlign w:val="bottom"/>
            <w:hideMark/>
          </w:tcPr>
          <w:p w14:paraId="6A6B4801" w14:textId="77777777" w:rsidR="00AB6753" w:rsidRDefault="00AB6753" w:rsidP="002D1EA4">
            <w:pPr>
              <w:spacing w:after="0"/>
              <w:jc w:val="right"/>
              <w:rPr>
                <w:rFonts w:cs="Arial"/>
                <w:b/>
                <w:bCs/>
                <w:sz w:val="18"/>
                <w:szCs w:val="18"/>
              </w:rPr>
            </w:pPr>
            <w:r>
              <w:rPr>
                <w:rFonts w:cs="Arial"/>
                <w:b/>
                <w:bCs/>
                <w:sz w:val="18"/>
                <w:szCs w:val="18"/>
              </w:rPr>
              <w:t>2020</w:t>
            </w:r>
          </w:p>
        </w:tc>
        <w:tc>
          <w:tcPr>
            <w:tcW w:w="267" w:type="dxa"/>
            <w:tcBorders>
              <w:top w:val="single" w:sz="8" w:space="0" w:color="auto"/>
              <w:left w:val="nil"/>
              <w:bottom w:val="nil"/>
              <w:right w:val="nil"/>
            </w:tcBorders>
            <w:shd w:val="clear" w:color="000000" w:fill="D9D9D9"/>
            <w:noWrap/>
            <w:vAlign w:val="bottom"/>
            <w:hideMark/>
          </w:tcPr>
          <w:p w14:paraId="30B636E4" w14:textId="77777777" w:rsidR="00AB6753" w:rsidRDefault="00AB6753" w:rsidP="002D1EA4">
            <w:pPr>
              <w:spacing w:after="0"/>
              <w:rPr>
                <w:rFonts w:cs="Arial"/>
                <w:sz w:val="16"/>
                <w:szCs w:val="16"/>
              </w:rPr>
            </w:pPr>
            <w:r>
              <w:rPr>
                <w:rFonts w:cs="Arial"/>
                <w:sz w:val="16"/>
                <w:szCs w:val="16"/>
              </w:rPr>
              <w:t> </w:t>
            </w:r>
          </w:p>
        </w:tc>
        <w:tc>
          <w:tcPr>
            <w:tcW w:w="1337" w:type="dxa"/>
            <w:tcBorders>
              <w:top w:val="single" w:sz="8" w:space="0" w:color="auto"/>
              <w:left w:val="nil"/>
              <w:bottom w:val="nil"/>
              <w:right w:val="nil"/>
            </w:tcBorders>
            <w:shd w:val="clear" w:color="000000" w:fill="D9D9D9"/>
            <w:noWrap/>
            <w:vAlign w:val="bottom"/>
            <w:hideMark/>
          </w:tcPr>
          <w:p w14:paraId="59648B37" w14:textId="77777777" w:rsidR="00AB6753" w:rsidRDefault="00AB6753" w:rsidP="002D1EA4">
            <w:pPr>
              <w:spacing w:after="0"/>
              <w:jc w:val="right"/>
              <w:rPr>
                <w:rFonts w:cs="Arial"/>
                <w:sz w:val="18"/>
                <w:szCs w:val="18"/>
              </w:rPr>
            </w:pPr>
            <w:r>
              <w:rPr>
                <w:rFonts w:cs="Arial"/>
                <w:sz w:val="18"/>
                <w:szCs w:val="18"/>
              </w:rPr>
              <w:t>2019</w:t>
            </w:r>
          </w:p>
        </w:tc>
        <w:tc>
          <w:tcPr>
            <w:tcW w:w="267" w:type="dxa"/>
            <w:tcBorders>
              <w:top w:val="single" w:sz="8" w:space="0" w:color="auto"/>
              <w:left w:val="nil"/>
              <w:bottom w:val="nil"/>
              <w:right w:val="nil"/>
            </w:tcBorders>
            <w:shd w:val="clear" w:color="000000" w:fill="D9D9D9"/>
            <w:noWrap/>
            <w:vAlign w:val="bottom"/>
            <w:hideMark/>
          </w:tcPr>
          <w:p w14:paraId="013D9447" w14:textId="77777777" w:rsidR="00AB6753" w:rsidRDefault="00AB6753" w:rsidP="002D1EA4">
            <w:pPr>
              <w:spacing w:after="0"/>
              <w:rPr>
                <w:rFonts w:cs="Arial"/>
                <w:sz w:val="16"/>
                <w:szCs w:val="16"/>
              </w:rPr>
            </w:pPr>
            <w:r>
              <w:rPr>
                <w:rFonts w:cs="Arial"/>
                <w:sz w:val="16"/>
                <w:szCs w:val="16"/>
              </w:rPr>
              <w:t> </w:t>
            </w:r>
          </w:p>
        </w:tc>
        <w:tc>
          <w:tcPr>
            <w:tcW w:w="1337" w:type="dxa"/>
            <w:tcBorders>
              <w:top w:val="single" w:sz="8" w:space="0" w:color="auto"/>
              <w:left w:val="nil"/>
              <w:bottom w:val="nil"/>
              <w:right w:val="nil"/>
            </w:tcBorders>
            <w:shd w:val="clear" w:color="000000" w:fill="D9D9D9"/>
            <w:vAlign w:val="bottom"/>
            <w:hideMark/>
          </w:tcPr>
          <w:p w14:paraId="326E0C5C" w14:textId="77777777" w:rsidR="00AB6753" w:rsidRDefault="00AB6753" w:rsidP="002D1EA4">
            <w:pPr>
              <w:spacing w:after="0"/>
              <w:jc w:val="right"/>
              <w:rPr>
                <w:rFonts w:cs="Arial"/>
                <w:sz w:val="18"/>
                <w:szCs w:val="18"/>
              </w:rPr>
            </w:pPr>
            <w:r>
              <w:rPr>
                <w:rFonts w:cs="Arial"/>
                <w:sz w:val="18"/>
                <w:szCs w:val="18"/>
              </w:rPr>
              <w:t>Original Budget</w:t>
            </w:r>
            <w:r>
              <w:rPr>
                <w:rFonts w:cs="Arial"/>
                <w:sz w:val="18"/>
                <w:szCs w:val="18"/>
              </w:rPr>
              <w:br/>
              <w:t>2020</w:t>
            </w:r>
          </w:p>
        </w:tc>
      </w:tr>
      <w:bookmarkEnd w:id="58"/>
      <w:tr w:rsidR="00AB6753" w14:paraId="55EA51BF" w14:textId="77777777" w:rsidTr="002D1EA4">
        <w:trPr>
          <w:trHeight w:val="255"/>
        </w:trPr>
        <w:tc>
          <w:tcPr>
            <w:tcW w:w="3950" w:type="dxa"/>
            <w:tcBorders>
              <w:top w:val="nil"/>
              <w:left w:val="nil"/>
              <w:bottom w:val="nil"/>
              <w:right w:val="nil"/>
            </w:tcBorders>
            <w:shd w:val="clear" w:color="000000" w:fill="D9D9D9"/>
            <w:noWrap/>
            <w:vAlign w:val="bottom"/>
            <w:hideMark/>
          </w:tcPr>
          <w:p w14:paraId="3128A24F" w14:textId="77777777" w:rsidR="00AB6753" w:rsidRDefault="00AB6753" w:rsidP="002D1EA4">
            <w:pPr>
              <w:spacing w:after="0"/>
              <w:rPr>
                <w:rFonts w:cs="Arial"/>
                <w:sz w:val="16"/>
                <w:szCs w:val="16"/>
              </w:rPr>
            </w:pPr>
            <w:r>
              <w:rPr>
                <w:rFonts w:cs="Arial"/>
                <w:sz w:val="16"/>
                <w:szCs w:val="16"/>
              </w:rPr>
              <w:t> </w:t>
            </w:r>
          </w:p>
        </w:tc>
        <w:tc>
          <w:tcPr>
            <w:tcW w:w="807" w:type="dxa"/>
            <w:tcBorders>
              <w:top w:val="nil"/>
              <w:left w:val="nil"/>
              <w:bottom w:val="nil"/>
              <w:right w:val="nil"/>
            </w:tcBorders>
            <w:shd w:val="clear" w:color="000000" w:fill="D9D9D9"/>
            <w:noWrap/>
            <w:vAlign w:val="bottom"/>
            <w:hideMark/>
          </w:tcPr>
          <w:p w14:paraId="7EE78FB4" w14:textId="77777777" w:rsidR="00AB6753" w:rsidRDefault="00AB6753" w:rsidP="002D1EA4">
            <w:pPr>
              <w:spacing w:after="0"/>
              <w:jc w:val="center"/>
              <w:rPr>
                <w:rFonts w:cs="Arial"/>
                <w:b/>
                <w:bCs/>
                <w:sz w:val="18"/>
                <w:szCs w:val="18"/>
              </w:rPr>
            </w:pPr>
            <w:r>
              <w:rPr>
                <w:rFonts w:cs="Arial"/>
                <w:b/>
                <w:bCs/>
                <w:sz w:val="18"/>
                <w:szCs w:val="18"/>
              </w:rPr>
              <w:t>Notes</w:t>
            </w:r>
          </w:p>
        </w:tc>
        <w:tc>
          <w:tcPr>
            <w:tcW w:w="1337" w:type="dxa"/>
            <w:tcBorders>
              <w:top w:val="nil"/>
              <w:left w:val="nil"/>
              <w:bottom w:val="single" w:sz="4" w:space="0" w:color="auto"/>
              <w:right w:val="nil"/>
            </w:tcBorders>
            <w:shd w:val="clear" w:color="000000" w:fill="D9D9D9"/>
            <w:noWrap/>
            <w:vAlign w:val="bottom"/>
            <w:hideMark/>
          </w:tcPr>
          <w:p w14:paraId="1480F8E2" w14:textId="77777777" w:rsidR="00AB6753" w:rsidRDefault="00AB6753" w:rsidP="002D1EA4">
            <w:pPr>
              <w:spacing w:after="0"/>
              <w:jc w:val="right"/>
              <w:rPr>
                <w:rFonts w:cs="Arial"/>
                <w:b/>
                <w:bCs/>
                <w:sz w:val="18"/>
                <w:szCs w:val="18"/>
              </w:rPr>
            </w:pPr>
            <w:r>
              <w:rPr>
                <w:rFonts w:cs="Arial"/>
                <w:b/>
                <w:bCs/>
                <w:sz w:val="18"/>
                <w:szCs w:val="18"/>
              </w:rPr>
              <w:t>$'000</w:t>
            </w:r>
          </w:p>
        </w:tc>
        <w:tc>
          <w:tcPr>
            <w:tcW w:w="267" w:type="dxa"/>
            <w:tcBorders>
              <w:top w:val="nil"/>
              <w:left w:val="nil"/>
              <w:bottom w:val="single" w:sz="4" w:space="0" w:color="auto"/>
              <w:right w:val="nil"/>
            </w:tcBorders>
            <w:shd w:val="clear" w:color="000000" w:fill="D9D9D9"/>
            <w:noWrap/>
            <w:vAlign w:val="bottom"/>
            <w:hideMark/>
          </w:tcPr>
          <w:p w14:paraId="32D8BFC2"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single" w:sz="4" w:space="0" w:color="auto"/>
              <w:right w:val="nil"/>
            </w:tcBorders>
            <w:shd w:val="clear" w:color="000000" w:fill="D9D9D9"/>
            <w:noWrap/>
            <w:vAlign w:val="bottom"/>
            <w:hideMark/>
          </w:tcPr>
          <w:p w14:paraId="40413E28" w14:textId="77777777" w:rsidR="00AB6753" w:rsidRDefault="00AB6753" w:rsidP="002D1EA4">
            <w:pPr>
              <w:spacing w:after="0"/>
              <w:jc w:val="right"/>
              <w:rPr>
                <w:rFonts w:cs="Arial"/>
                <w:sz w:val="18"/>
                <w:szCs w:val="18"/>
              </w:rPr>
            </w:pPr>
            <w:r>
              <w:rPr>
                <w:rFonts w:cs="Arial"/>
                <w:sz w:val="18"/>
                <w:szCs w:val="18"/>
              </w:rPr>
              <w:t>$'000</w:t>
            </w:r>
          </w:p>
        </w:tc>
        <w:tc>
          <w:tcPr>
            <w:tcW w:w="267" w:type="dxa"/>
            <w:tcBorders>
              <w:top w:val="nil"/>
              <w:left w:val="nil"/>
              <w:bottom w:val="nil"/>
              <w:right w:val="nil"/>
            </w:tcBorders>
            <w:shd w:val="clear" w:color="000000" w:fill="D9D9D9"/>
            <w:noWrap/>
            <w:vAlign w:val="bottom"/>
            <w:hideMark/>
          </w:tcPr>
          <w:p w14:paraId="21FA65B7"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single" w:sz="4" w:space="0" w:color="auto"/>
              <w:right w:val="nil"/>
            </w:tcBorders>
            <w:shd w:val="clear" w:color="000000" w:fill="D9D9D9"/>
            <w:noWrap/>
            <w:vAlign w:val="bottom"/>
            <w:hideMark/>
          </w:tcPr>
          <w:p w14:paraId="1E1CE783" w14:textId="77777777" w:rsidR="00AB6753" w:rsidRDefault="00AB6753" w:rsidP="002D1EA4">
            <w:pPr>
              <w:spacing w:after="0"/>
              <w:jc w:val="right"/>
              <w:rPr>
                <w:rFonts w:cs="Arial"/>
                <w:sz w:val="18"/>
                <w:szCs w:val="18"/>
              </w:rPr>
            </w:pPr>
            <w:r>
              <w:rPr>
                <w:rFonts w:cs="Arial"/>
                <w:sz w:val="18"/>
                <w:szCs w:val="18"/>
              </w:rPr>
              <w:t>$'000</w:t>
            </w:r>
          </w:p>
        </w:tc>
      </w:tr>
      <w:tr w:rsidR="00AB6753" w14:paraId="66F83F67" w14:textId="77777777" w:rsidTr="002D1EA4">
        <w:trPr>
          <w:trHeight w:val="255"/>
        </w:trPr>
        <w:tc>
          <w:tcPr>
            <w:tcW w:w="3950" w:type="dxa"/>
            <w:tcBorders>
              <w:top w:val="nil"/>
              <w:left w:val="nil"/>
              <w:bottom w:val="nil"/>
              <w:right w:val="nil"/>
            </w:tcBorders>
            <w:shd w:val="clear" w:color="000000" w:fill="D9D9D9"/>
            <w:vAlign w:val="bottom"/>
            <w:hideMark/>
          </w:tcPr>
          <w:p w14:paraId="194EFF54" w14:textId="77777777" w:rsidR="00AB6753" w:rsidRDefault="00AB6753" w:rsidP="002D1EA4">
            <w:pPr>
              <w:spacing w:after="0"/>
              <w:rPr>
                <w:rFonts w:cs="Arial"/>
                <w:b/>
                <w:bCs/>
                <w:sz w:val="18"/>
                <w:szCs w:val="18"/>
              </w:rPr>
            </w:pPr>
            <w:r>
              <w:rPr>
                <w:rFonts w:cs="Arial"/>
                <w:b/>
                <w:bCs/>
                <w:sz w:val="18"/>
                <w:szCs w:val="18"/>
              </w:rPr>
              <w:t>NET COST OF SERVICES</w:t>
            </w:r>
          </w:p>
        </w:tc>
        <w:tc>
          <w:tcPr>
            <w:tcW w:w="807" w:type="dxa"/>
            <w:tcBorders>
              <w:top w:val="nil"/>
              <w:left w:val="nil"/>
              <w:bottom w:val="nil"/>
              <w:right w:val="nil"/>
            </w:tcBorders>
            <w:shd w:val="clear" w:color="000000" w:fill="D9D9D9"/>
            <w:noWrap/>
            <w:vAlign w:val="bottom"/>
            <w:hideMark/>
          </w:tcPr>
          <w:p w14:paraId="06A6056C" w14:textId="77777777" w:rsidR="00AB6753" w:rsidRDefault="00AB6753" w:rsidP="002D1EA4">
            <w:pPr>
              <w:spacing w:after="0"/>
              <w:jc w:val="center"/>
              <w:rPr>
                <w:rFonts w:cs="Arial"/>
                <w:b/>
                <w:bCs/>
                <w:sz w:val="18"/>
                <w:szCs w:val="18"/>
              </w:rPr>
            </w:pPr>
            <w:r>
              <w:rPr>
                <w:rFonts w:cs="Arial"/>
                <w:b/>
                <w:bCs/>
                <w:sz w:val="18"/>
                <w:szCs w:val="18"/>
              </w:rPr>
              <w:t> </w:t>
            </w:r>
          </w:p>
        </w:tc>
        <w:tc>
          <w:tcPr>
            <w:tcW w:w="1337" w:type="dxa"/>
            <w:tcBorders>
              <w:top w:val="nil"/>
              <w:left w:val="nil"/>
              <w:bottom w:val="nil"/>
              <w:right w:val="nil"/>
            </w:tcBorders>
            <w:shd w:val="clear" w:color="000000" w:fill="D9D9D9"/>
            <w:noWrap/>
            <w:vAlign w:val="bottom"/>
            <w:hideMark/>
          </w:tcPr>
          <w:p w14:paraId="2A2AB3C9" w14:textId="77777777" w:rsidR="00AB6753" w:rsidRDefault="00AB6753" w:rsidP="002D1EA4">
            <w:pPr>
              <w:spacing w:after="0"/>
              <w:jc w:val="right"/>
              <w:rPr>
                <w:rFonts w:cs="Arial"/>
                <w:b/>
                <w:bCs/>
                <w:sz w:val="18"/>
                <w:szCs w:val="18"/>
              </w:rPr>
            </w:pPr>
            <w:r>
              <w:rPr>
                <w:rFonts w:cs="Arial"/>
                <w:b/>
                <w:bCs/>
                <w:sz w:val="18"/>
                <w:szCs w:val="18"/>
              </w:rPr>
              <w:t> </w:t>
            </w:r>
          </w:p>
        </w:tc>
        <w:tc>
          <w:tcPr>
            <w:tcW w:w="267" w:type="dxa"/>
            <w:tcBorders>
              <w:top w:val="nil"/>
              <w:left w:val="nil"/>
              <w:bottom w:val="nil"/>
              <w:right w:val="nil"/>
            </w:tcBorders>
            <w:shd w:val="clear" w:color="000000" w:fill="D9D9D9"/>
            <w:noWrap/>
            <w:vAlign w:val="bottom"/>
            <w:hideMark/>
          </w:tcPr>
          <w:p w14:paraId="433FFEA9"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09196EAB" w14:textId="77777777" w:rsidR="00AB6753" w:rsidRDefault="00AB6753" w:rsidP="002D1EA4">
            <w:pPr>
              <w:spacing w:after="0"/>
              <w:jc w:val="right"/>
              <w:rPr>
                <w:rFonts w:cs="Arial"/>
                <w:sz w:val="18"/>
                <w:szCs w:val="18"/>
              </w:rPr>
            </w:pPr>
            <w:r>
              <w:rPr>
                <w:rFonts w:cs="Arial"/>
                <w:sz w:val="18"/>
                <w:szCs w:val="18"/>
              </w:rPr>
              <w:t> </w:t>
            </w:r>
          </w:p>
        </w:tc>
        <w:tc>
          <w:tcPr>
            <w:tcW w:w="267" w:type="dxa"/>
            <w:tcBorders>
              <w:top w:val="nil"/>
              <w:left w:val="nil"/>
              <w:bottom w:val="nil"/>
              <w:right w:val="nil"/>
            </w:tcBorders>
            <w:shd w:val="clear" w:color="000000" w:fill="D9D9D9"/>
            <w:noWrap/>
            <w:vAlign w:val="bottom"/>
            <w:hideMark/>
          </w:tcPr>
          <w:p w14:paraId="2FB73E5C"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23E017A8" w14:textId="77777777" w:rsidR="00AB6753" w:rsidRDefault="00AB6753" w:rsidP="002D1EA4">
            <w:pPr>
              <w:spacing w:after="0"/>
              <w:jc w:val="right"/>
              <w:rPr>
                <w:rFonts w:cs="Arial"/>
                <w:sz w:val="18"/>
                <w:szCs w:val="18"/>
              </w:rPr>
            </w:pPr>
            <w:r>
              <w:rPr>
                <w:rFonts w:cs="Arial"/>
                <w:sz w:val="18"/>
                <w:szCs w:val="18"/>
              </w:rPr>
              <w:t> </w:t>
            </w:r>
          </w:p>
        </w:tc>
      </w:tr>
      <w:tr w:rsidR="00AB6753" w14:paraId="036E8EAC" w14:textId="77777777" w:rsidTr="002D1EA4">
        <w:trPr>
          <w:trHeight w:val="255"/>
        </w:trPr>
        <w:tc>
          <w:tcPr>
            <w:tcW w:w="3950" w:type="dxa"/>
            <w:tcBorders>
              <w:top w:val="nil"/>
              <w:left w:val="nil"/>
              <w:bottom w:val="nil"/>
              <w:right w:val="nil"/>
            </w:tcBorders>
            <w:shd w:val="clear" w:color="000000" w:fill="D9D9D9"/>
            <w:vAlign w:val="bottom"/>
            <w:hideMark/>
          </w:tcPr>
          <w:p w14:paraId="5CA5352C" w14:textId="77777777" w:rsidR="00AB6753" w:rsidRDefault="00AB6753" w:rsidP="002D1EA4">
            <w:pPr>
              <w:spacing w:after="0"/>
              <w:rPr>
                <w:rFonts w:cs="Arial"/>
                <w:b/>
                <w:bCs/>
                <w:sz w:val="18"/>
                <w:szCs w:val="18"/>
              </w:rPr>
            </w:pPr>
            <w:r>
              <w:rPr>
                <w:rFonts w:cs="Arial"/>
                <w:b/>
                <w:bCs/>
                <w:sz w:val="18"/>
                <w:szCs w:val="18"/>
              </w:rPr>
              <w:t>Expenses</w:t>
            </w:r>
          </w:p>
        </w:tc>
        <w:tc>
          <w:tcPr>
            <w:tcW w:w="807" w:type="dxa"/>
            <w:tcBorders>
              <w:top w:val="nil"/>
              <w:left w:val="nil"/>
              <w:bottom w:val="single" w:sz="4" w:space="0" w:color="D9D9D9"/>
              <w:right w:val="nil"/>
            </w:tcBorders>
            <w:shd w:val="clear" w:color="000000" w:fill="D9D9D9"/>
            <w:vAlign w:val="bottom"/>
            <w:hideMark/>
          </w:tcPr>
          <w:p w14:paraId="48F5C242"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nil"/>
              <w:right w:val="nil"/>
            </w:tcBorders>
            <w:shd w:val="clear" w:color="000000" w:fill="D9D9D9"/>
            <w:noWrap/>
            <w:vAlign w:val="bottom"/>
            <w:hideMark/>
          </w:tcPr>
          <w:p w14:paraId="172A3FB0"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4AD9F105"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26001B7E"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6D2B7FF8"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38D94D12" w14:textId="77777777" w:rsidR="00AB6753" w:rsidRDefault="00AB6753" w:rsidP="002D1EA4">
            <w:pPr>
              <w:spacing w:after="0"/>
              <w:rPr>
                <w:rFonts w:cs="Arial"/>
                <w:sz w:val="16"/>
                <w:szCs w:val="16"/>
              </w:rPr>
            </w:pPr>
            <w:r>
              <w:rPr>
                <w:rFonts w:cs="Arial"/>
                <w:sz w:val="16"/>
                <w:szCs w:val="16"/>
              </w:rPr>
              <w:t> </w:t>
            </w:r>
          </w:p>
        </w:tc>
      </w:tr>
      <w:tr w:rsidR="00AB6753" w14:paraId="41CECD5C" w14:textId="77777777" w:rsidTr="002D1EA4">
        <w:trPr>
          <w:trHeight w:val="255"/>
        </w:trPr>
        <w:tc>
          <w:tcPr>
            <w:tcW w:w="3950" w:type="dxa"/>
            <w:tcBorders>
              <w:top w:val="nil"/>
              <w:left w:val="nil"/>
              <w:bottom w:val="nil"/>
              <w:right w:val="nil"/>
            </w:tcBorders>
            <w:shd w:val="clear" w:color="000000" w:fill="D9D9D9"/>
            <w:vAlign w:val="bottom"/>
            <w:hideMark/>
          </w:tcPr>
          <w:p w14:paraId="43641BE0" w14:textId="77777777" w:rsidR="00AB6753" w:rsidRDefault="00AB6753" w:rsidP="002D1EA4">
            <w:pPr>
              <w:spacing w:after="0"/>
              <w:rPr>
                <w:rFonts w:cs="Arial"/>
                <w:sz w:val="18"/>
                <w:szCs w:val="18"/>
              </w:rPr>
            </w:pPr>
            <w:r>
              <w:rPr>
                <w:rFonts w:cs="Arial"/>
                <w:sz w:val="18"/>
                <w:szCs w:val="18"/>
              </w:rPr>
              <w:t>Suppliers</w:t>
            </w:r>
          </w:p>
        </w:tc>
        <w:tc>
          <w:tcPr>
            <w:tcW w:w="807" w:type="dxa"/>
            <w:tcBorders>
              <w:top w:val="nil"/>
              <w:left w:val="nil"/>
              <w:bottom w:val="single" w:sz="4" w:space="0" w:color="D9D9D9"/>
              <w:right w:val="nil"/>
            </w:tcBorders>
            <w:shd w:val="clear" w:color="000000" w:fill="D9D9D9"/>
            <w:vAlign w:val="bottom"/>
            <w:hideMark/>
          </w:tcPr>
          <w:p w14:paraId="728E2D79" w14:textId="77777777" w:rsidR="00AB6753" w:rsidRDefault="00AB6753" w:rsidP="002D1EA4">
            <w:pPr>
              <w:spacing w:after="0"/>
              <w:jc w:val="center"/>
              <w:rPr>
                <w:rFonts w:cs="Arial"/>
                <w:sz w:val="18"/>
                <w:szCs w:val="18"/>
              </w:rPr>
            </w:pPr>
            <w:r>
              <w:rPr>
                <w:rFonts w:cs="Arial"/>
                <w:sz w:val="18"/>
                <w:szCs w:val="18"/>
              </w:rPr>
              <w:t>2.1A</w:t>
            </w:r>
          </w:p>
        </w:tc>
        <w:tc>
          <w:tcPr>
            <w:tcW w:w="1337" w:type="dxa"/>
            <w:tcBorders>
              <w:top w:val="nil"/>
              <w:left w:val="nil"/>
              <w:bottom w:val="nil"/>
              <w:right w:val="nil"/>
            </w:tcBorders>
            <w:shd w:val="clear" w:color="000000" w:fill="D9D9D9"/>
            <w:noWrap/>
            <w:vAlign w:val="bottom"/>
            <w:hideMark/>
          </w:tcPr>
          <w:p w14:paraId="537377A3" w14:textId="77777777" w:rsidR="00AB6753" w:rsidRDefault="00AB6753" w:rsidP="002D1EA4">
            <w:pPr>
              <w:spacing w:after="0"/>
              <w:jc w:val="right"/>
              <w:rPr>
                <w:rFonts w:cs="Arial"/>
                <w:b/>
                <w:bCs/>
                <w:sz w:val="18"/>
                <w:szCs w:val="18"/>
              </w:rPr>
            </w:pPr>
            <w:r>
              <w:rPr>
                <w:rFonts w:cs="Arial"/>
                <w:b/>
                <w:bCs/>
                <w:sz w:val="18"/>
                <w:szCs w:val="18"/>
              </w:rPr>
              <w:t>128,156</w:t>
            </w:r>
          </w:p>
        </w:tc>
        <w:tc>
          <w:tcPr>
            <w:tcW w:w="267" w:type="dxa"/>
            <w:tcBorders>
              <w:top w:val="nil"/>
              <w:left w:val="nil"/>
              <w:bottom w:val="nil"/>
              <w:right w:val="nil"/>
            </w:tcBorders>
            <w:shd w:val="clear" w:color="000000" w:fill="D9D9D9"/>
            <w:noWrap/>
            <w:vAlign w:val="bottom"/>
            <w:hideMark/>
          </w:tcPr>
          <w:p w14:paraId="0FC18BA6"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0F171435" w14:textId="77777777" w:rsidR="00AB6753" w:rsidRDefault="00AB6753" w:rsidP="002D1EA4">
            <w:pPr>
              <w:spacing w:after="0"/>
              <w:jc w:val="right"/>
              <w:rPr>
                <w:rFonts w:cs="Arial"/>
                <w:sz w:val="18"/>
                <w:szCs w:val="18"/>
              </w:rPr>
            </w:pPr>
            <w:r>
              <w:rPr>
                <w:rFonts w:cs="Arial"/>
                <w:sz w:val="18"/>
                <w:szCs w:val="18"/>
              </w:rPr>
              <w:t>229,419</w:t>
            </w:r>
          </w:p>
        </w:tc>
        <w:tc>
          <w:tcPr>
            <w:tcW w:w="267" w:type="dxa"/>
            <w:tcBorders>
              <w:top w:val="nil"/>
              <w:left w:val="nil"/>
              <w:bottom w:val="nil"/>
              <w:right w:val="nil"/>
            </w:tcBorders>
            <w:shd w:val="clear" w:color="000000" w:fill="D9D9D9"/>
            <w:noWrap/>
            <w:vAlign w:val="bottom"/>
            <w:hideMark/>
          </w:tcPr>
          <w:p w14:paraId="036EF1E0"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5241CFD4" w14:textId="77777777" w:rsidR="00AB6753" w:rsidRDefault="00AB6753" w:rsidP="002D1EA4">
            <w:pPr>
              <w:spacing w:after="0"/>
              <w:jc w:val="right"/>
              <w:rPr>
                <w:rFonts w:cs="Arial"/>
                <w:sz w:val="18"/>
                <w:szCs w:val="18"/>
              </w:rPr>
            </w:pPr>
            <w:r>
              <w:rPr>
                <w:rFonts w:cs="Arial"/>
                <w:sz w:val="18"/>
                <w:szCs w:val="18"/>
              </w:rPr>
              <w:t xml:space="preserve">471,303 </w:t>
            </w:r>
          </w:p>
        </w:tc>
      </w:tr>
      <w:tr w:rsidR="00AB6753" w14:paraId="168D8B29" w14:textId="77777777" w:rsidTr="002D1EA4">
        <w:trPr>
          <w:trHeight w:val="255"/>
        </w:trPr>
        <w:tc>
          <w:tcPr>
            <w:tcW w:w="3950" w:type="dxa"/>
            <w:tcBorders>
              <w:top w:val="nil"/>
              <w:left w:val="nil"/>
              <w:bottom w:val="nil"/>
              <w:right w:val="nil"/>
            </w:tcBorders>
            <w:shd w:val="clear" w:color="000000" w:fill="D9D9D9"/>
            <w:vAlign w:val="bottom"/>
            <w:hideMark/>
          </w:tcPr>
          <w:p w14:paraId="35A917FE" w14:textId="77777777" w:rsidR="00AB6753" w:rsidRDefault="00AB6753" w:rsidP="002D1EA4">
            <w:pPr>
              <w:spacing w:after="0"/>
              <w:rPr>
                <w:rFonts w:cs="Arial"/>
                <w:sz w:val="18"/>
                <w:szCs w:val="18"/>
              </w:rPr>
            </w:pPr>
            <w:r>
              <w:rPr>
                <w:rFonts w:cs="Arial"/>
                <w:sz w:val="18"/>
                <w:szCs w:val="18"/>
              </w:rPr>
              <w:t>Subsidies</w:t>
            </w:r>
          </w:p>
        </w:tc>
        <w:tc>
          <w:tcPr>
            <w:tcW w:w="807" w:type="dxa"/>
            <w:tcBorders>
              <w:top w:val="nil"/>
              <w:left w:val="nil"/>
              <w:bottom w:val="single" w:sz="4" w:space="0" w:color="D9D9D9"/>
              <w:right w:val="nil"/>
            </w:tcBorders>
            <w:shd w:val="clear" w:color="000000" w:fill="D9D9D9"/>
            <w:vAlign w:val="bottom"/>
            <w:hideMark/>
          </w:tcPr>
          <w:p w14:paraId="330A2F62"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nil"/>
              <w:right w:val="nil"/>
            </w:tcBorders>
            <w:shd w:val="clear" w:color="000000" w:fill="D9D9D9"/>
            <w:noWrap/>
            <w:vAlign w:val="bottom"/>
            <w:hideMark/>
          </w:tcPr>
          <w:p w14:paraId="28C8A0B7" w14:textId="77777777" w:rsidR="00AB6753" w:rsidRDefault="00AB6753" w:rsidP="002D1EA4">
            <w:pPr>
              <w:spacing w:after="0"/>
              <w:jc w:val="right"/>
              <w:rPr>
                <w:rFonts w:cs="Arial"/>
                <w:b/>
                <w:bCs/>
                <w:sz w:val="18"/>
                <w:szCs w:val="18"/>
              </w:rPr>
            </w:pPr>
            <w:r>
              <w:rPr>
                <w:rFonts w:cs="Arial"/>
                <w:b/>
                <w:bCs/>
                <w:sz w:val="18"/>
                <w:szCs w:val="18"/>
              </w:rPr>
              <w:t>118,229</w:t>
            </w:r>
          </w:p>
        </w:tc>
        <w:tc>
          <w:tcPr>
            <w:tcW w:w="267" w:type="dxa"/>
            <w:tcBorders>
              <w:top w:val="nil"/>
              <w:left w:val="nil"/>
              <w:bottom w:val="nil"/>
              <w:right w:val="nil"/>
            </w:tcBorders>
            <w:shd w:val="clear" w:color="000000" w:fill="D9D9D9"/>
            <w:noWrap/>
            <w:vAlign w:val="bottom"/>
            <w:hideMark/>
          </w:tcPr>
          <w:p w14:paraId="33CA455A"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71D3625D" w14:textId="77777777" w:rsidR="00AB6753" w:rsidRDefault="00AB6753" w:rsidP="002D1EA4">
            <w:pPr>
              <w:spacing w:after="0"/>
              <w:jc w:val="right"/>
              <w:rPr>
                <w:rFonts w:cs="Arial"/>
                <w:sz w:val="18"/>
                <w:szCs w:val="18"/>
              </w:rPr>
            </w:pPr>
            <w:r>
              <w:rPr>
                <w:rFonts w:cs="Arial"/>
                <w:sz w:val="18"/>
                <w:szCs w:val="18"/>
              </w:rPr>
              <w:t>126,378</w:t>
            </w:r>
          </w:p>
        </w:tc>
        <w:tc>
          <w:tcPr>
            <w:tcW w:w="267" w:type="dxa"/>
            <w:tcBorders>
              <w:top w:val="nil"/>
              <w:left w:val="nil"/>
              <w:bottom w:val="nil"/>
              <w:right w:val="nil"/>
            </w:tcBorders>
            <w:shd w:val="clear" w:color="000000" w:fill="D9D9D9"/>
            <w:noWrap/>
            <w:vAlign w:val="bottom"/>
            <w:hideMark/>
          </w:tcPr>
          <w:p w14:paraId="55716D5D"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7B7D720E" w14:textId="77777777" w:rsidR="00AB6753" w:rsidRDefault="00AB6753" w:rsidP="002D1EA4">
            <w:pPr>
              <w:spacing w:after="0"/>
              <w:jc w:val="right"/>
              <w:rPr>
                <w:rFonts w:cs="Arial"/>
                <w:sz w:val="18"/>
                <w:szCs w:val="18"/>
              </w:rPr>
            </w:pPr>
            <w:r>
              <w:rPr>
                <w:rFonts w:cs="Arial"/>
                <w:sz w:val="18"/>
                <w:szCs w:val="18"/>
              </w:rPr>
              <w:t xml:space="preserve">119,427 </w:t>
            </w:r>
          </w:p>
        </w:tc>
      </w:tr>
      <w:tr w:rsidR="00AB6753" w14:paraId="1CA506BD" w14:textId="77777777" w:rsidTr="002D1EA4">
        <w:trPr>
          <w:trHeight w:val="255"/>
        </w:trPr>
        <w:tc>
          <w:tcPr>
            <w:tcW w:w="3950" w:type="dxa"/>
            <w:tcBorders>
              <w:top w:val="nil"/>
              <w:left w:val="nil"/>
              <w:bottom w:val="nil"/>
              <w:right w:val="nil"/>
            </w:tcBorders>
            <w:shd w:val="clear" w:color="000000" w:fill="D9D9D9"/>
            <w:vAlign w:val="bottom"/>
            <w:hideMark/>
          </w:tcPr>
          <w:p w14:paraId="4F2051FA" w14:textId="77777777" w:rsidR="00AB6753" w:rsidRDefault="00AB6753" w:rsidP="002D1EA4">
            <w:pPr>
              <w:spacing w:after="0"/>
              <w:rPr>
                <w:rFonts w:cs="Arial"/>
                <w:sz w:val="18"/>
                <w:szCs w:val="18"/>
              </w:rPr>
            </w:pPr>
            <w:r>
              <w:rPr>
                <w:rFonts w:cs="Arial"/>
                <w:sz w:val="18"/>
                <w:szCs w:val="18"/>
              </w:rPr>
              <w:t xml:space="preserve">Grants </w:t>
            </w:r>
          </w:p>
        </w:tc>
        <w:tc>
          <w:tcPr>
            <w:tcW w:w="807" w:type="dxa"/>
            <w:tcBorders>
              <w:top w:val="nil"/>
              <w:left w:val="nil"/>
              <w:bottom w:val="single" w:sz="4" w:space="0" w:color="D9D9D9"/>
              <w:right w:val="nil"/>
            </w:tcBorders>
            <w:shd w:val="clear" w:color="000000" w:fill="D9D9D9"/>
            <w:vAlign w:val="bottom"/>
            <w:hideMark/>
          </w:tcPr>
          <w:p w14:paraId="25F5B27F" w14:textId="77777777" w:rsidR="00AB6753" w:rsidRDefault="00AB6753" w:rsidP="002D1EA4">
            <w:pPr>
              <w:spacing w:after="0"/>
              <w:jc w:val="center"/>
              <w:rPr>
                <w:rFonts w:cs="Arial"/>
                <w:sz w:val="18"/>
                <w:szCs w:val="18"/>
              </w:rPr>
            </w:pPr>
            <w:r>
              <w:rPr>
                <w:rFonts w:cs="Arial"/>
                <w:sz w:val="18"/>
                <w:szCs w:val="18"/>
              </w:rPr>
              <w:t>2.1B</w:t>
            </w:r>
          </w:p>
        </w:tc>
        <w:tc>
          <w:tcPr>
            <w:tcW w:w="1337" w:type="dxa"/>
            <w:tcBorders>
              <w:top w:val="nil"/>
              <w:left w:val="nil"/>
              <w:bottom w:val="nil"/>
              <w:right w:val="nil"/>
            </w:tcBorders>
            <w:shd w:val="clear" w:color="000000" w:fill="D9D9D9"/>
            <w:noWrap/>
            <w:vAlign w:val="bottom"/>
            <w:hideMark/>
          </w:tcPr>
          <w:p w14:paraId="5DCD8156" w14:textId="77777777" w:rsidR="00AB6753" w:rsidRDefault="00AB6753" w:rsidP="002D1EA4">
            <w:pPr>
              <w:spacing w:after="0"/>
              <w:jc w:val="right"/>
              <w:rPr>
                <w:rFonts w:cs="Arial"/>
                <w:b/>
                <w:bCs/>
                <w:sz w:val="18"/>
                <w:szCs w:val="18"/>
              </w:rPr>
            </w:pPr>
            <w:r>
              <w:rPr>
                <w:rFonts w:cs="Arial"/>
                <w:b/>
                <w:bCs/>
                <w:sz w:val="18"/>
                <w:szCs w:val="18"/>
              </w:rPr>
              <w:t>2,723,514</w:t>
            </w:r>
          </w:p>
        </w:tc>
        <w:tc>
          <w:tcPr>
            <w:tcW w:w="267" w:type="dxa"/>
            <w:tcBorders>
              <w:top w:val="nil"/>
              <w:left w:val="nil"/>
              <w:bottom w:val="nil"/>
              <w:right w:val="nil"/>
            </w:tcBorders>
            <w:shd w:val="clear" w:color="000000" w:fill="D9D9D9"/>
            <w:noWrap/>
            <w:vAlign w:val="bottom"/>
            <w:hideMark/>
          </w:tcPr>
          <w:p w14:paraId="2FE799DC"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630649B0" w14:textId="77777777" w:rsidR="00AB6753" w:rsidRDefault="00AB6753" w:rsidP="002D1EA4">
            <w:pPr>
              <w:spacing w:after="0"/>
              <w:jc w:val="right"/>
              <w:rPr>
                <w:rFonts w:cs="Arial"/>
                <w:sz w:val="18"/>
                <w:szCs w:val="18"/>
              </w:rPr>
            </w:pPr>
            <w:r>
              <w:rPr>
                <w:rFonts w:cs="Arial"/>
                <w:sz w:val="18"/>
                <w:szCs w:val="18"/>
              </w:rPr>
              <w:t>2,425,806</w:t>
            </w:r>
          </w:p>
        </w:tc>
        <w:tc>
          <w:tcPr>
            <w:tcW w:w="267" w:type="dxa"/>
            <w:tcBorders>
              <w:top w:val="nil"/>
              <w:left w:val="nil"/>
              <w:bottom w:val="nil"/>
              <w:right w:val="nil"/>
            </w:tcBorders>
            <w:shd w:val="clear" w:color="000000" w:fill="D9D9D9"/>
            <w:noWrap/>
            <w:vAlign w:val="bottom"/>
            <w:hideMark/>
          </w:tcPr>
          <w:p w14:paraId="0345CAB2"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277DB567" w14:textId="77777777" w:rsidR="00AB6753" w:rsidRDefault="00AB6753" w:rsidP="002D1EA4">
            <w:pPr>
              <w:spacing w:after="0"/>
              <w:jc w:val="right"/>
              <w:rPr>
                <w:rFonts w:cs="Arial"/>
                <w:sz w:val="18"/>
                <w:szCs w:val="18"/>
              </w:rPr>
            </w:pPr>
            <w:r>
              <w:rPr>
                <w:rFonts w:cs="Arial"/>
                <w:sz w:val="18"/>
                <w:szCs w:val="18"/>
              </w:rPr>
              <w:t xml:space="preserve">1,827,956 </w:t>
            </w:r>
          </w:p>
        </w:tc>
      </w:tr>
      <w:tr w:rsidR="00AB6753" w14:paraId="3F105D2F" w14:textId="77777777" w:rsidTr="002D1EA4">
        <w:trPr>
          <w:trHeight w:val="255"/>
        </w:trPr>
        <w:tc>
          <w:tcPr>
            <w:tcW w:w="3950" w:type="dxa"/>
            <w:tcBorders>
              <w:top w:val="nil"/>
              <w:left w:val="nil"/>
              <w:bottom w:val="nil"/>
              <w:right w:val="nil"/>
            </w:tcBorders>
            <w:shd w:val="clear" w:color="000000" w:fill="D9D9D9"/>
            <w:vAlign w:val="bottom"/>
            <w:hideMark/>
          </w:tcPr>
          <w:p w14:paraId="020054BC" w14:textId="77777777" w:rsidR="00AB6753" w:rsidRDefault="00AB6753" w:rsidP="002D1EA4">
            <w:pPr>
              <w:spacing w:after="0"/>
              <w:rPr>
                <w:rFonts w:cs="Arial"/>
                <w:sz w:val="18"/>
                <w:szCs w:val="18"/>
              </w:rPr>
            </w:pPr>
            <w:r>
              <w:rPr>
                <w:rFonts w:cs="Arial"/>
                <w:sz w:val="18"/>
                <w:szCs w:val="18"/>
              </w:rPr>
              <w:t>Personal benefits</w:t>
            </w:r>
          </w:p>
        </w:tc>
        <w:tc>
          <w:tcPr>
            <w:tcW w:w="807" w:type="dxa"/>
            <w:tcBorders>
              <w:top w:val="nil"/>
              <w:left w:val="nil"/>
              <w:bottom w:val="single" w:sz="4" w:space="0" w:color="D9D9D9"/>
              <w:right w:val="nil"/>
            </w:tcBorders>
            <w:shd w:val="clear" w:color="000000" w:fill="D9D9D9"/>
            <w:vAlign w:val="bottom"/>
            <w:hideMark/>
          </w:tcPr>
          <w:p w14:paraId="61BF5C21" w14:textId="77777777" w:rsidR="00AB6753" w:rsidRDefault="00AB6753" w:rsidP="002D1EA4">
            <w:pPr>
              <w:spacing w:after="0"/>
              <w:jc w:val="center"/>
              <w:rPr>
                <w:rFonts w:cs="Arial"/>
                <w:sz w:val="18"/>
                <w:szCs w:val="18"/>
              </w:rPr>
            </w:pPr>
            <w:r>
              <w:rPr>
                <w:rFonts w:cs="Arial"/>
                <w:sz w:val="18"/>
                <w:szCs w:val="18"/>
              </w:rPr>
              <w:t>2.1C</w:t>
            </w:r>
          </w:p>
        </w:tc>
        <w:tc>
          <w:tcPr>
            <w:tcW w:w="1337" w:type="dxa"/>
            <w:tcBorders>
              <w:top w:val="nil"/>
              <w:left w:val="nil"/>
              <w:bottom w:val="nil"/>
              <w:right w:val="nil"/>
            </w:tcBorders>
            <w:shd w:val="clear" w:color="000000" w:fill="D9D9D9"/>
            <w:noWrap/>
            <w:vAlign w:val="bottom"/>
            <w:hideMark/>
          </w:tcPr>
          <w:p w14:paraId="053E41CD" w14:textId="77777777" w:rsidR="00AB6753" w:rsidRDefault="00AB6753" w:rsidP="002D1EA4">
            <w:pPr>
              <w:spacing w:after="0"/>
              <w:jc w:val="right"/>
              <w:rPr>
                <w:rFonts w:cs="Arial"/>
                <w:b/>
                <w:bCs/>
                <w:sz w:val="18"/>
                <w:szCs w:val="18"/>
              </w:rPr>
            </w:pPr>
            <w:r>
              <w:rPr>
                <w:rFonts w:cs="Arial"/>
                <w:b/>
                <w:bCs/>
                <w:sz w:val="18"/>
                <w:szCs w:val="18"/>
              </w:rPr>
              <w:t>129,233,013</w:t>
            </w:r>
          </w:p>
        </w:tc>
        <w:tc>
          <w:tcPr>
            <w:tcW w:w="267" w:type="dxa"/>
            <w:tcBorders>
              <w:top w:val="nil"/>
              <w:left w:val="nil"/>
              <w:bottom w:val="nil"/>
              <w:right w:val="nil"/>
            </w:tcBorders>
            <w:shd w:val="clear" w:color="000000" w:fill="D9D9D9"/>
            <w:noWrap/>
            <w:vAlign w:val="bottom"/>
            <w:hideMark/>
          </w:tcPr>
          <w:p w14:paraId="406EF77E"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7C196214" w14:textId="77777777" w:rsidR="00AB6753" w:rsidRDefault="00AB6753" w:rsidP="002D1EA4">
            <w:pPr>
              <w:spacing w:after="0"/>
              <w:jc w:val="right"/>
              <w:rPr>
                <w:rFonts w:cs="Arial"/>
                <w:sz w:val="18"/>
                <w:szCs w:val="18"/>
              </w:rPr>
            </w:pPr>
            <w:r>
              <w:rPr>
                <w:rFonts w:cs="Arial"/>
                <w:sz w:val="18"/>
                <w:szCs w:val="18"/>
              </w:rPr>
              <w:t>110,804,402</w:t>
            </w:r>
          </w:p>
        </w:tc>
        <w:tc>
          <w:tcPr>
            <w:tcW w:w="267" w:type="dxa"/>
            <w:tcBorders>
              <w:top w:val="nil"/>
              <w:left w:val="nil"/>
              <w:bottom w:val="nil"/>
              <w:right w:val="nil"/>
            </w:tcBorders>
            <w:shd w:val="clear" w:color="000000" w:fill="D9D9D9"/>
            <w:noWrap/>
            <w:vAlign w:val="bottom"/>
            <w:hideMark/>
          </w:tcPr>
          <w:p w14:paraId="74D49A24"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1B2A411B" w14:textId="77777777" w:rsidR="00AB6753" w:rsidRDefault="00AB6753" w:rsidP="002D1EA4">
            <w:pPr>
              <w:spacing w:after="0"/>
              <w:jc w:val="right"/>
              <w:rPr>
                <w:rFonts w:cs="Arial"/>
                <w:sz w:val="18"/>
                <w:szCs w:val="18"/>
              </w:rPr>
            </w:pPr>
            <w:r>
              <w:rPr>
                <w:rFonts w:cs="Arial"/>
                <w:sz w:val="18"/>
                <w:szCs w:val="18"/>
              </w:rPr>
              <w:t xml:space="preserve">114,528,360 </w:t>
            </w:r>
          </w:p>
        </w:tc>
      </w:tr>
      <w:tr w:rsidR="00AB6753" w14:paraId="3E546ED1" w14:textId="77777777" w:rsidTr="002D1EA4">
        <w:trPr>
          <w:trHeight w:val="255"/>
        </w:trPr>
        <w:tc>
          <w:tcPr>
            <w:tcW w:w="3950" w:type="dxa"/>
            <w:tcBorders>
              <w:top w:val="nil"/>
              <w:left w:val="nil"/>
              <w:bottom w:val="nil"/>
              <w:right w:val="nil"/>
            </w:tcBorders>
            <w:shd w:val="clear" w:color="000000" w:fill="D9D9D9"/>
            <w:vAlign w:val="bottom"/>
            <w:hideMark/>
          </w:tcPr>
          <w:p w14:paraId="71D3ACA3" w14:textId="77777777" w:rsidR="00AB6753" w:rsidRDefault="00AB6753" w:rsidP="002D1EA4">
            <w:pPr>
              <w:spacing w:after="0"/>
              <w:rPr>
                <w:rFonts w:cs="Arial"/>
                <w:sz w:val="18"/>
                <w:szCs w:val="18"/>
              </w:rPr>
            </w:pPr>
            <w:r>
              <w:rPr>
                <w:rFonts w:cs="Arial"/>
                <w:sz w:val="18"/>
                <w:szCs w:val="18"/>
              </w:rPr>
              <w:t>Write-down and impairment of other assets</w:t>
            </w:r>
          </w:p>
        </w:tc>
        <w:tc>
          <w:tcPr>
            <w:tcW w:w="807" w:type="dxa"/>
            <w:tcBorders>
              <w:top w:val="nil"/>
              <w:left w:val="nil"/>
              <w:bottom w:val="single" w:sz="4" w:space="0" w:color="D9D9D9"/>
              <w:right w:val="nil"/>
            </w:tcBorders>
            <w:shd w:val="clear" w:color="000000" w:fill="D9D9D9"/>
            <w:vAlign w:val="bottom"/>
            <w:hideMark/>
          </w:tcPr>
          <w:p w14:paraId="6092DDE0" w14:textId="77777777" w:rsidR="00AB6753" w:rsidRDefault="00AB6753" w:rsidP="002D1EA4">
            <w:pPr>
              <w:spacing w:after="0"/>
              <w:jc w:val="center"/>
              <w:rPr>
                <w:rFonts w:cs="Arial"/>
                <w:sz w:val="18"/>
                <w:szCs w:val="18"/>
              </w:rPr>
            </w:pPr>
            <w:r>
              <w:rPr>
                <w:rFonts w:cs="Arial"/>
                <w:sz w:val="18"/>
                <w:szCs w:val="18"/>
              </w:rPr>
              <w:t>2.1D</w:t>
            </w:r>
          </w:p>
        </w:tc>
        <w:tc>
          <w:tcPr>
            <w:tcW w:w="1337" w:type="dxa"/>
            <w:tcBorders>
              <w:top w:val="nil"/>
              <w:left w:val="nil"/>
              <w:bottom w:val="nil"/>
              <w:right w:val="nil"/>
            </w:tcBorders>
            <w:shd w:val="clear" w:color="000000" w:fill="D9D9D9"/>
            <w:noWrap/>
            <w:vAlign w:val="bottom"/>
            <w:hideMark/>
          </w:tcPr>
          <w:p w14:paraId="7D56D388" w14:textId="77777777" w:rsidR="00AB6753" w:rsidRDefault="00AB6753" w:rsidP="002D1EA4">
            <w:pPr>
              <w:spacing w:after="0"/>
              <w:jc w:val="right"/>
              <w:rPr>
                <w:rFonts w:cs="Arial"/>
                <w:b/>
                <w:bCs/>
                <w:sz w:val="18"/>
                <w:szCs w:val="18"/>
              </w:rPr>
            </w:pPr>
            <w:r>
              <w:rPr>
                <w:rFonts w:cs="Arial"/>
                <w:b/>
                <w:bCs/>
                <w:sz w:val="18"/>
                <w:szCs w:val="18"/>
              </w:rPr>
              <w:t>447,102</w:t>
            </w:r>
          </w:p>
        </w:tc>
        <w:tc>
          <w:tcPr>
            <w:tcW w:w="267" w:type="dxa"/>
            <w:tcBorders>
              <w:top w:val="nil"/>
              <w:left w:val="nil"/>
              <w:bottom w:val="nil"/>
              <w:right w:val="nil"/>
            </w:tcBorders>
            <w:shd w:val="clear" w:color="000000" w:fill="D9D9D9"/>
            <w:noWrap/>
            <w:vAlign w:val="bottom"/>
            <w:hideMark/>
          </w:tcPr>
          <w:p w14:paraId="06FDFD99"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58F68D5A" w14:textId="77777777" w:rsidR="00AB6753" w:rsidRDefault="00AB6753" w:rsidP="002D1EA4">
            <w:pPr>
              <w:spacing w:after="0"/>
              <w:jc w:val="right"/>
              <w:rPr>
                <w:rFonts w:cs="Arial"/>
                <w:sz w:val="18"/>
                <w:szCs w:val="18"/>
              </w:rPr>
            </w:pPr>
            <w:r>
              <w:rPr>
                <w:rFonts w:cs="Arial"/>
                <w:sz w:val="18"/>
                <w:szCs w:val="18"/>
              </w:rPr>
              <w:t>241,755</w:t>
            </w:r>
          </w:p>
        </w:tc>
        <w:tc>
          <w:tcPr>
            <w:tcW w:w="267" w:type="dxa"/>
            <w:tcBorders>
              <w:top w:val="nil"/>
              <w:left w:val="nil"/>
              <w:bottom w:val="nil"/>
              <w:right w:val="nil"/>
            </w:tcBorders>
            <w:shd w:val="clear" w:color="000000" w:fill="D9D9D9"/>
            <w:noWrap/>
            <w:vAlign w:val="bottom"/>
            <w:hideMark/>
          </w:tcPr>
          <w:p w14:paraId="0599AD6F"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739F38D6" w14:textId="77777777" w:rsidR="00AB6753" w:rsidRDefault="00AB6753" w:rsidP="002D1EA4">
            <w:pPr>
              <w:spacing w:after="0"/>
              <w:jc w:val="right"/>
              <w:rPr>
                <w:rFonts w:cs="Arial"/>
                <w:sz w:val="18"/>
                <w:szCs w:val="18"/>
              </w:rPr>
            </w:pPr>
            <w:r>
              <w:rPr>
                <w:rFonts w:cs="Arial"/>
                <w:sz w:val="18"/>
                <w:szCs w:val="18"/>
              </w:rPr>
              <w:t xml:space="preserve">688,889 </w:t>
            </w:r>
          </w:p>
        </w:tc>
      </w:tr>
      <w:tr w:rsidR="00AB6753" w14:paraId="4C74FCC2" w14:textId="77777777" w:rsidTr="002D1EA4">
        <w:trPr>
          <w:trHeight w:val="480"/>
        </w:trPr>
        <w:tc>
          <w:tcPr>
            <w:tcW w:w="3950" w:type="dxa"/>
            <w:tcBorders>
              <w:top w:val="nil"/>
              <w:left w:val="nil"/>
              <w:bottom w:val="single" w:sz="4" w:space="0" w:color="D9D9D9"/>
              <w:right w:val="single" w:sz="12" w:space="0" w:color="D9D9D9"/>
            </w:tcBorders>
            <w:shd w:val="clear" w:color="000000" w:fill="D9D9D9"/>
            <w:vAlign w:val="bottom"/>
            <w:hideMark/>
          </w:tcPr>
          <w:p w14:paraId="482C122E" w14:textId="77777777" w:rsidR="00AB6753" w:rsidRDefault="00AB6753" w:rsidP="002D1EA4">
            <w:pPr>
              <w:spacing w:after="0"/>
              <w:rPr>
                <w:rFonts w:cs="Arial"/>
                <w:sz w:val="18"/>
                <w:szCs w:val="18"/>
              </w:rPr>
            </w:pPr>
            <w:r>
              <w:rPr>
                <w:rFonts w:cs="Arial"/>
                <w:sz w:val="18"/>
                <w:szCs w:val="18"/>
              </w:rPr>
              <w:t>Payments to National Disability Insurance Agency</w:t>
            </w:r>
          </w:p>
        </w:tc>
        <w:tc>
          <w:tcPr>
            <w:tcW w:w="807" w:type="dxa"/>
            <w:tcBorders>
              <w:top w:val="nil"/>
              <w:left w:val="nil"/>
              <w:bottom w:val="single" w:sz="4" w:space="0" w:color="D9D9D9"/>
              <w:right w:val="nil"/>
            </w:tcBorders>
            <w:shd w:val="clear" w:color="000000" w:fill="D9D9D9"/>
            <w:vAlign w:val="bottom"/>
            <w:hideMark/>
          </w:tcPr>
          <w:p w14:paraId="5DC248C6"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single" w:sz="4" w:space="0" w:color="D9D9D9"/>
              <w:right w:val="nil"/>
            </w:tcBorders>
            <w:shd w:val="clear" w:color="000000" w:fill="D9D9D9"/>
            <w:noWrap/>
            <w:vAlign w:val="bottom"/>
            <w:hideMark/>
          </w:tcPr>
          <w:p w14:paraId="016EBA83" w14:textId="77777777" w:rsidR="00AB6753" w:rsidRDefault="00AB6753" w:rsidP="002D1EA4">
            <w:pPr>
              <w:spacing w:after="0"/>
              <w:jc w:val="right"/>
              <w:rPr>
                <w:rFonts w:cs="Arial"/>
                <w:b/>
                <w:bCs/>
                <w:sz w:val="18"/>
                <w:szCs w:val="18"/>
              </w:rPr>
            </w:pPr>
            <w:r>
              <w:rPr>
                <w:rFonts w:cs="Arial"/>
                <w:b/>
                <w:bCs/>
                <w:sz w:val="18"/>
                <w:szCs w:val="18"/>
              </w:rPr>
              <w:t>8,302,651</w:t>
            </w:r>
          </w:p>
        </w:tc>
        <w:tc>
          <w:tcPr>
            <w:tcW w:w="267" w:type="dxa"/>
            <w:tcBorders>
              <w:top w:val="nil"/>
              <w:left w:val="nil"/>
              <w:bottom w:val="single" w:sz="4" w:space="0" w:color="D9D9D9"/>
              <w:right w:val="nil"/>
            </w:tcBorders>
            <w:shd w:val="clear" w:color="000000" w:fill="D9D9D9"/>
            <w:noWrap/>
            <w:vAlign w:val="bottom"/>
            <w:hideMark/>
          </w:tcPr>
          <w:p w14:paraId="0FF5DA42"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single" w:sz="4" w:space="0" w:color="D9D9D9"/>
              <w:right w:val="nil"/>
            </w:tcBorders>
            <w:shd w:val="clear" w:color="000000" w:fill="D9D9D9"/>
            <w:noWrap/>
            <w:vAlign w:val="bottom"/>
            <w:hideMark/>
          </w:tcPr>
          <w:p w14:paraId="65C2BEF6" w14:textId="77777777" w:rsidR="00AB6753" w:rsidRDefault="00AB6753" w:rsidP="002D1EA4">
            <w:pPr>
              <w:spacing w:after="0"/>
              <w:jc w:val="right"/>
              <w:rPr>
                <w:rFonts w:cs="Arial"/>
                <w:sz w:val="18"/>
                <w:szCs w:val="18"/>
              </w:rPr>
            </w:pPr>
            <w:r>
              <w:rPr>
                <w:rFonts w:cs="Arial"/>
                <w:sz w:val="18"/>
                <w:szCs w:val="18"/>
              </w:rPr>
              <w:t>5,304,982</w:t>
            </w:r>
          </w:p>
        </w:tc>
        <w:tc>
          <w:tcPr>
            <w:tcW w:w="267" w:type="dxa"/>
            <w:tcBorders>
              <w:top w:val="nil"/>
              <w:left w:val="nil"/>
              <w:bottom w:val="single" w:sz="4" w:space="0" w:color="D9D9D9"/>
              <w:right w:val="nil"/>
            </w:tcBorders>
            <w:shd w:val="clear" w:color="000000" w:fill="D9D9D9"/>
            <w:noWrap/>
            <w:vAlign w:val="bottom"/>
            <w:hideMark/>
          </w:tcPr>
          <w:p w14:paraId="7B24D66B"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4F42B05F" w14:textId="77777777" w:rsidR="00AB6753" w:rsidRDefault="00AB6753" w:rsidP="002D1EA4">
            <w:pPr>
              <w:spacing w:after="0"/>
              <w:jc w:val="right"/>
              <w:rPr>
                <w:rFonts w:cs="Arial"/>
                <w:sz w:val="18"/>
                <w:szCs w:val="18"/>
              </w:rPr>
            </w:pPr>
            <w:r>
              <w:rPr>
                <w:rFonts w:cs="Arial"/>
                <w:sz w:val="18"/>
                <w:szCs w:val="18"/>
              </w:rPr>
              <w:t xml:space="preserve">8,385,691 </w:t>
            </w:r>
          </w:p>
        </w:tc>
      </w:tr>
      <w:tr w:rsidR="00AB6753" w14:paraId="2DD6CCE8" w14:textId="77777777" w:rsidTr="002D1EA4">
        <w:trPr>
          <w:trHeight w:val="255"/>
        </w:trPr>
        <w:tc>
          <w:tcPr>
            <w:tcW w:w="3950" w:type="dxa"/>
            <w:tcBorders>
              <w:top w:val="nil"/>
              <w:left w:val="nil"/>
              <w:bottom w:val="nil"/>
              <w:right w:val="nil"/>
            </w:tcBorders>
            <w:shd w:val="clear" w:color="000000" w:fill="D9D9D9"/>
            <w:vAlign w:val="bottom"/>
            <w:hideMark/>
          </w:tcPr>
          <w:p w14:paraId="3F118CEC" w14:textId="77777777" w:rsidR="00AB6753" w:rsidRDefault="00AB6753" w:rsidP="002D1EA4">
            <w:pPr>
              <w:spacing w:after="0"/>
              <w:rPr>
                <w:rFonts w:cs="Arial"/>
                <w:sz w:val="18"/>
                <w:szCs w:val="18"/>
              </w:rPr>
            </w:pPr>
            <w:r>
              <w:rPr>
                <w:rFonts w:cs="Arial"/>
                <w:sz w:val="18"/>
                <w:szCs w:val="18"/>
              </w:rPr>
              <w:t>Fair value loss</w:t>
            </w:r>
          </w:p>
        </w:tc>
        <w:tc>
          <w:tcPr>
            <w:tcW w:w="807" w:type="dxa"/>
            <w:tcBorders>
              <w:top w:val="nil"/>
              <w:left w:val="nil"/>
              <w:bottom w:val="single" w:sz="4" w:space="0" w:color="D9D9D9"/>
              <w:right w:val="nil"/>
            </w:tcBorders>
            <w:shd w:val="clear" w:color="000000" w:fill="D9D9D9"/>
            <w:vAlign w:val="bottom"/>
            <w:hideMark/>
          </w:tcPr>
          <w:p w14:paraId="1F580989"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nil"/>
              <w:right w:val="nil"/>
            </w:tcBorders>
            <w:shd w:val="clear" w:color="000000" w:fill="D9D9D9"/>
            <w:noWrap/>
            <w:vAlign w:val="bottom"/>
            <w:hideMark/>
          </w:tcPr>
          <w:p w14:paraId="0F729168" w14:textId="77777777" w:rsidR="00AB6753" w:rsidRDefault="00AB6753" w:rsidP="002D1EA4">
            <w:pPr>
              <w:spacing w:after="0"/>
              <w:jc w:val="right"/>
              <w:rPr>
                <w:rFonts w:cs="Arial"/>
                <w:b/>
                <w:bCs/>
                <w:sz w:val="18"/>
                <w:szCs w:val="18"/>
              </w:rPr>
            </w:pPr>
            <w:r>
              <w:rPr>
                <w:rFonts w:cs="Arial"/>
                <w:b/>
                <w:bCs/>
                <w:sz w:val="18"/>
                <w:szCs w:val="18"/>
              </w:rPr>
              <w:t>8,302</w:t>
            </w:r>
          </w:p>
        </w:tc>
        <w:tc>
          <w:tcPr>
            <w:tcW w:w="267" w:type="dxa"/>
            <w:tcBorders>
              <w:top w:val="nil"/>
              <w:left w:val="nil"/>
              <w:bottom w:val="nil"/>
              <w:right w:val="nil"/>
            </w:tcBorders>
            <w:shd w:val="clear" w:color="000000" w:fill="D9D9D9"/>
            <w:noWrap/>
            <w:vAlign w:val="bottom"/>
            <w:hideMark/>
          </w:tcPr>
          <w:p w14:paraId="394104F2"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0E677A4E" w14:textId="77777777" w:rsidR="00AB6753" w:rsidRDefault="00AB6753" w:rsidP="002D1EA4">
            <w:pPr>
              <w:spacing w:after="0"/>
              <w:jc w:val="right"/>
              <w:rPr>
                <w:rFonts w:cs="Arial"/>
                <w:sz w:val="18"/>
                <w:szCs w:val="18"/>
              </w:rPr>
            </w:pPr>
            <w:r>
              <w:rPr>
                <w:rFonts w:cs="Arial"/>
                <w:sz w:val="18"/>
                <w:szCs w:val="18"/>
              </w:rPr>
              <w:t>-</w:t>
            </w:r>
          </w:p>
        </w:tc>
        <w:tc>
          <w:tcPr>
            <w:tcW w:w="267" w:type="dxa"/>
            <w:tcBorders>
              <w:top w:val="nil"/>
              <w:left w:val="nil"/>
              <w:bottom w:val="nil"/>
              <w:right w:val="nil"/>
            </w:tcBorders>
            <w:shd w:val="clear" w:color="000000" w:fill="D9D9D9"/>
            <w:noWrap/>
            <w:vAlign w:val="bottom"/>
            <w:hideMark/>
          </w:tcPr>
          <w:p w14:paraId="32CBB344"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4BA902A2"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01E5F33E" w14:textId="77777777" w:rsidTr="002D1EA4">
        <w:trPr>
          <w:trHeight w:val="255"/>
        </w:trPr>
        <w:tc>
          <w:tcPr>
            <w:tcW w:w="3950" w:type="dxa"/>
            <w:tcBorders>
              <w:top w:val="nil"/>
              <w:left w:val="nil"/>
              <w:bottom w:val="nil"/>
              <w:right w:val="nil"/>
            </w:tcBorders>
            <w:shd w:val="clear" w:color="000000" w:fill="D9D9D9"/>
            <w:vAlign w:val="bottom"/>
            <w:hideMark/>
          </w:tcPr>
          <w:p w14:paraId="247FA1C5" w14:textId="77777777" w:rsidR="00AB6753" w:rsidRDefault="00AB6753" w:rsidP="002D1EA4">
            <w:pPr>
              <w:spacing w:after="0"/>
              <w:rPr>
                <w:rFonts w:cs="Arial"/>
                <w:sz w:val="18"/>
                <w:szCs w:val="18"/>
              </w:rPr>
            </w:pPr>
            <w:r>
              <w:rPr>
                <w:rFonts w:cs="Arial"/>
                <w:sz w:val="18"/>
                <w:szCs w:val="18"/>
              </w:rPr>
              <w:t>Other expenses</w:t>
            </w:r>
          </w:p>
        </w:tc>
        <w:tc>
          <w:tcPr>
            <w:tcW w:w="807" w:type="dxa"/>
            <w:tcBorders>
              <w:top w:val="nil"/>
              <w:left w:val="nil"/>
              <w:bottom w:val="single" w:sz="4" w:space="0" w:color="D9D9D9"/>
              <w:right w:val="nil"/>
            </w:tcBorders>
            <w:shd w:val="clear" w:color="000000" w:fill="D9D9D9"/>
            <w:vAlign w:val="bottom"/>
            <w:hideMark/>
          </w:tcPr>
          <w:p w14:paraId="4F6DD2F7" w14:textId="77777777" w:rsidR="00AB6753" w:rsidRDefault="00AB6753" w:rsidP="002D1EA4">
            <w:pPr>
              <w:spacing w:after="0"/>
              <w:jc w:val="center"/>
              <w:rPr>
                <w:rFonts w:cs="Arial"/>
                <w:sz w:val="18"/>
                <w:szCs w:val="18"/>
              </w:rPr>
            </w:pPr>
            <w:r>
              <w:rPr>
                <w:rFonts w:cs="Arial"/>
                <w:sz w:val="18"/>
                <w:szCs w:val="18"/>
              </w:rPr>
              <w:t>2.1E</w:t>
            </w:r>
          </w:p>
        </w:tc>
        <w:tc>
          <w:tcPr>
            <w:tcW w:w="1337" w:type="dxa"/>
            <w:tcBorders>
              <w:top w:val="nil"/>
              <w:left w:val="nil"/>
              <w:bottom w:val="nil"/>
              <w:right w:val="nil"/>
            </w:tcBorders>
            <w:shd w:val="clear" w:color="000000" w:fill="D9D9D9"/>
            <w:noWrap/>
            <w:vAlign w:val="bottom"/>
            <w:hideMark/>
          </w:tcPr>
          <w:p w14:paraId="434323C0" w14:textId="77777777" w:rsidR="00AB6753" w:rsidRDefault="00AB6753" w:rsidP="002D1EA4">
            <w:pPr>
              <w:spacing w:after="0"/>
              <w:jc w:val="right"/>
              <w:rPr>
                <w:rFonts w:cs="Arial"/>
                <w:b/>
                <w:bCs/>
                <w:sz w:val="18"/>
                <w:szCs w:val="18"/>
              </w:rPr>
            </w:pPr>
            <w:r>
              <w:rPr>
                <w:rFonts w:cs="Arial"/>
                <w:b/>
                <w:bCs/>
                <w:sz w:val="18"/>
                <w:szCs w:val="18"/>
              </w:rPr>
              <w:t>8,546</w:t>
            </w:r>
          </w:p>
        </w:tc>
        <w:tc>
          <w:tcPr>
            <w:tcW w:w="267" w:type="dxa"/>
            <w:tcBorders>
              <w:top w:val="nil"/>
              <w:left w:val="nil"/>
              <w:bottom w:val="nil"/>
              <w:right w:val="nil"/>
            </w:tcBorders>
            <w:shd w:val="clear" w:color="000000" w:fill="D9D9D9"/>
            <w:noWrap/>
            <w:vAlign w:val="bottom"/>
            <w:hideMark/>
          </w:tcPr>
          <w:p w14:paraId="01BF4450"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21AC5016" w14:textId="77777777" w:rsidR="00AB6753" w:rsidRDefault="00AB6753" w:rsidP="002D1EA4">
            <w:pPr>
              <w:spacing w:after="0"/>
              <w:jc w:val="right"/>
              <w:rPr>
                <w:rFonts w:cs="Arial"/>
                <w:sz w:val="18"/>
                <w:szCs w:val="18"/>
              </w:rPr>
            </w:pPr>
            <w:r>
              <w:rPr>
                <w:rFonts w:cs="Arial"/>
                <w:sz w:val="18"/>
                <w:szCs w:val="18"/>
              </w:rPr>
              <w:t>6,377</w:t>
            </w:r>
          </w:p>
        </w:tc>
        <w:tc>
          <w:tcPr>
            <w:tcW w:w="267" w:type="dxa"/>
            <w:tcBorders>
              <w:top w:val="nil"/>
              <w:left w:val="nil"/>
              <w:bottom w:val="nil"/>
              <w:right w:val="nil"/>
            </w:tcBorders>
            <w:shd w:val="clear" w:color="000000" w:fill="D9D9D9"/>
            <w:noWrap/>
            <w:vAlign w:val="bottom"/>
            <w:hideMark/>
          </w:tcPr>
          <w:p w14:paraId="6A89171C"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28488A14" w14:textId="77777777" w:rsidR="00AB6753" w:rsidRDefault="00AB6753" w:rsidP="002D1EA4">
            <w:pPr>
              <w:spacing w:after="0"/>
              <w:jc w:val="right"/>
              <w:rPr>
                <w:rFonts w:cs="Arial"/>
                <w:sz w:val="18"/>
                <w:szCs w:val="18"/>
              </w:rPr>
            </w:pPr>
            <w:r>
              <w:rPr>
                <w:rFonts w:cs="Arial"/>
                <w:sz w:val="18"/>
                <w:szCs w:val="18"/>
              </w:rPr>
              <w:t xml:space="preserve">253,790 </w:t>
            </w:r>
          </w:p>
        </w:tc>
      </w:tr>
      <w:tr w:rsidR="00AB6753" w14:paraId="4EBCC11D" w14:textId="77777777" w:rsidTr="002D1EA4">
        <w:trPr>
          <w:trHeight w:val="255"/>
        </w:trPr>
        <w:tc>
          <w:tcPr>
            <w:tcW w:w="3950" w:type="dxa"/>
            <w:tcBorders>
              <w:top w:val="single" w:sz="4" w:space="0" w:color="D9D9D9"/>
              <w:left w:val="nil"/>
              <w:bottom w:val="single" w:sz="4" w:space="0" w:color="D9D9D9"/>
              <w:right w:val="nil"/>
            </w:tcBorders>
            <w:shd w:val="clear" w:color="000000" w:fill="D9D9D9"/>
            <w:vAlign w:val="bottom"/>
            <w:hideMark/>
          </w:tcPr>
          <w:p w14:paraId="6DB13A0F" w14:textId="77777777" w:rsidR="00AB6753" w:rsidRDefault="00AB6753" w:rsidP="002D1EA4">
            <w:pPr>
              <w:spacing w:after="0"/>
              <w:rPr>
                <w:rFonts w:cs="Arial"/>
                <w:b/>
                <w:bCs/>
                <w:sz w:val="18"/>
                <w:szCs w:val="18"/>
              </w:rPr>
            </w:pPr>
            <w:r>
              <w:rPr>
                <w:rFonts w:cs="Arial"/>
                <w:b/>
                <w:bCs/>
                <w:sz w:val="18"/>
                <w:szCs w:val="18"/>
              </w:rPr>
              <w:t>Total expenses</w:t>
            </w:r>
          </w:p>
        </w:tc>
        <w:tc>
          <w:tcPr>
            <w:tcW w:w="807" w:type="dxa"/>
            <w:tcBorders>
              <w:top w:val="nil"/>
              <w:left w:val="nil"/>
              <w:bottom w:val="single" w:sz="4" w:space="0" w:color="D9D9D9"/>
              <w:right w:val="nil"/>
            </w:tcBorders>
            <w:shd w:val="clear" w:color="000000" w:fill="D9D9D9"/>
            <w:vAlign w:val="bottom"/>
            <w:hideMark/>
          </w:tcPr>
          <w:p w14:paraId="430D358E"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6CCC6CEA" w14:textId="77777777" w:rsidR="00AB6753" w:rsidRDefault="00AB6753" w:rsidP="002D1EA4">
            <w:pPr>
              <w:spacing w:after="0"/>
              <w:jc w:val="right"/>
              <w:rPr>
                <w:rFonts w:cs="Arial"/>
                <w:b/>
                <w:bCs/>
                <w:sz w:val="18"/>
                <w:szCs w:val="18"/>
              </w:rPr>
            </w:pPr>
            <w:r>
              <w:rPr>
                <w:rFonts w:cs="Arial"/>
                <w:b/>
                <w:bCs/>
                <w:sz w:val="18"/>
                <w:szCs w:val="18"/>
              </w:rPr>
              <w:t>140,969,513</w:t>
            </w:r>
          </w:p>
        </w:tc>
        <w:tc>
          <w:tcPr>
            <w:tcW w:w="267" w:type="dxa"/>
            <w:tcBorders>
              <w:top w:val="single" w:sz="4" w:space="0" w:color="D9D9D9"/>
              <w:left w:val="nil"/>
              <w:bottom w:val="single" w:sz="4" w:space="0" w:color="D9D9D9"/>
              <w:right w:val="nil"/>
            </w:tcBorders>
            <w:shd w:val="clear" w:color="000000" w:fill="D9D9D9"/>
            <w:vAlign w:val="bottom"/>
            <w:hideMark/>
          </w:tcPr>
          <w:p w14:paraId="797B2F29" w14:textId="77777777" w:rsidR="00AB6753" w:rsidRDefault="00AB6753" w:rsidP="002D1EA4">
            <w:pPr>
              <w:spacing w:after="0"/>
              <w:rPr>
                <w:rFonts w:cs="Arial"/>
                <w:sz w:val="16"/>
                <w:szCs w:val="16"/>
              </w:rPr>
            </w:pPr>
            <w:r>
              <w:rPr>
                <w:rFonts w:cs="Arial"/>
                <w:sz w:val="16"/>
                <w:szCs w:val="16"/>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05CD364D" w14:textId="77777777" w:rsidR="00AB6753" w:rsidRDefault="00AB6753" w:rsidP="002D1EA4">
            <w:pPr>
              <w:spacing w:after="0"/>
              <w:jc w:val="right"/>
              <w:rPr>
                <w:rFonts w:cs="Arial"/>
                <w:sz w:val="18"/>
                <w:szCs w:val="18"/>
              </w:rPr>
            </w:pPr>
            <w:r>
              <w:rPr>
                <w:rFonts w:cs="Arial"/>
                <w:sz w:val="18"/>
                <w:szCs w:val="18"/>
              </w:rPr>
              <w:t>119,139,119</w:t>
            </w:r>
          </w:p>
        </w:tc>
        <w:tc>
          <w:tcPr>
            <w:tcW w:w="267" w:type="dxa"/>
            <w:tcBorders>
              <w:top w:val="single" w:sz="4" w:space="0" w:color="D9D9D9"/>
              <w:left w:val="nil"/>
              <w:bottom w:val="single" w:sz="4" w:space="0" w:color="D9D9D9"/>
              <w:right w:val="nil"/>
            </w:tcBorders>
            <w:shd w:val="clear" w:color="000000" w:fill="D9D9D9"/>
            <w:vAlign w:val="bottom"/>
            <w:hideMark/>
          </w:tcPr>
          <w:p w14:paraId="2CA8EBEF" w14:textId="77777777" w:rsidR="00AB6753" w:rsidRDefault="00AB6753" w:rsidP="002D1EA4">
            <w:pPr>
              <w:spacing w:after="0"/>
              <w:rPr>
                <w:rFonts w:cs="Arial"/>
                <w:sz w:val="16"/>
                <w:szCs w:val="16"/>
              </w:rPr>
            </w:pPr>
            <w:r>
              <w:rPr>
                <w:rFonts w:cs="Arial"/>
                <w:sz w:val="16"/>
                <w:szCs w:val="16"/>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676FFFFF" w14:textId="77777777" w:rsidR="00AB6753" w:rsidRDefault="00AB6753" w:rsidP="002D1EA4">
            <w:pPr>
              <w:spacing w:after="0"/>
              <w:jc w:val="right"/>
              <w:rPr>
                <w:rFonts w:cs="Arial"/>
                <w:sz w:val="18"/>
                <w:szCs w:val="18"/>
              </w:rPr>
            </w:pPr>
            <w:r>
              <w:rPr>
                <w:rFonts w:cs="Arial"/>
                <w:sz w:val="18"/>
                <w:szCs w:val="18"/>
              </w:rPr>
              <w:t>126,275,416</w:t>
            </w:r>
          </w:p>
        </w:tc>
      </w:tr>
      <w:tr w:rsidR="00AB6753" w14:paraId="279BF35C" w14:textId="77777777" w:rsidTr="002D1EA4">
        <w:trPr>
          <w:trHeight w:val="225"/>
        </w:trPr>
        <w:tc>
          <w:tcPr>
            <w:tcW w:w="3950" w:type="dxa"/>
            <w:tcBorders>
              <w:top w:val="nil"/>
              <w:left w:val="nil"/>
              <w:bottom w:val="nil"/>
              <w:right w:val="nil"/>
            </w:tcBorders>
            <w:shd w:val="clear" w:color="000000" w:fill="D9D9D9"/>
            <w:noWrap/>
            <w:vAlign w:val="bottom"/>
            <w:hideMark/>
          </w:tcPr>
          <w:p w14:paraId="3A494975" w14:textId="77777777" w:rsidR="00AB6753" w:rsidRDefault="00AB6753" w:rsidP="002D1EA4">
            <w:pPr>
              <w:spacing w:after="0"/>
              <w:rPr>
                <w:rFonts w:cs="Arial"/>
                <w:sz w:val="16"/>
                <w:szCs w:val="16"/>
              </w:rPr>
            </w:pPr>
            <w:r>
              <w:rPr>
                <w:rFonts w:cs="Arial"/>
                <w:sz w:val="16"/>
                <w:szCs w:val="16"/>
              </w:rPr>
              <w:t> </w:t>
            </w:r>
          </w:p>
        </w:tc>
        <w:tc>
          <w:tcPr>
            <w:tcW w:w="807" w:type="dxa"/>
            <w:tcBorders>
              <w:top w:val="nil"/>
              <w:left w:val="nil"/>
              <w:bottom w:val="single" w:sz="4" w:space="0" w:color="D9D9D9"/>
              <w:right w:val="nil"/>
            </w:tcBorders>
            <w:shd w:val="clear" w:color="000000" w:fill="D9D9D9"/>
            <w:vAlign w:val="bottom"/>
            <w:hideMark/>
          </w:tcPr>
          <w:p w14:paraId="2893D1C4"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nil"/>
              <w:right w:val="nil"/>
            </w:tcBorders>
            <w:shd w:val="clear" w:color="000000" w:fill="D9D9D9"/>
            <w:noWrap/>
            <w:vAlign w:val="bottom"/>
            <w:hideMark/>
          </w:tcPr>
          <w:p w14:paraId="49E311E3"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27320875"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457B45EC"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25364B46"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2EF27C6B" w14:textId="77777777" w:rsidR="00AB6753" w:rsidRDefault="00AB6753" w:rsidP="002D1EA4">
            <w:pPr>
              <w:spacing w:after="0"/>
              <w:rPr>
                <w:rFonts w:cs="Arial"/>
                <w:sz w:val="16"/>
                <w:szCs w:val="16"/>
              </w:rPr>
            </w:pPr>
            <w:r>
              <w:rPr>
                <w:rFonts w:cs="Arial"/>
                <w:sz w:val="16"/>
                <w:szCs w:val="16"/>
              </w:rPr>
              <w:t> </w:t>
            </w:r>
          </w:p>
        </w:tc>
      </w:tr>
      <w:tr w:rsidR="00AB6753" w14:paraId="21FDC799" w14:textId="77777777" w:rsidTr="002D1EA4">
        <w:trPr>
          <w:trHeight w:val="255"/>
        </w:trPr>
        <w:tc>
          <w:tcPr>
            <w:tcW w:w="3950" w:type="dxa"/>
            <w:tcBorders>
              <w:top w:val="nil"/>
              <w:left w:val="nil"/>
              <w:bottom w:val="nil"/>
              <w:right w:val="nil"/>
            </w:tcBorders>
            <w:shd w:val="clear" w:color="000000" w:fill="D9D9D9"/>
            <w:vAlign w:val="bottom"/>
            <w:hideMark/>
          </w:tcPr>
          <w:p w14:paraId="24D3C5C6" w14:textId="77777777" w:rsidR="00AB6753" w:rsidRDefault="00AB6753" w:rsidP="002D1EA4">
            <w:pPr>
              <w:spacing w:after="0"/>
              <w:rPr>
                <w:rFonts w:cs="Arial"/>
                <w:b/>
                <w:bCs/>
                <w:sz w:val="18"/>
                <w:szCs w:val="18"/>
              </w:rPr>
            </w:pPr>
            <w:r>
              <w:rPr>
                <w:rFonts w:cs="Arial"/>
                <w:b/>
                <w:bCs/>
                <w:sz w:val="18"/>
                <w:szCs w:val="18"/>
              </w:rPr>
              <w:t>Income</w:t>
            </w:r>
          </w:p>
        </w:tc>
        <w:tc>
          <w:tcPr>
            <w:tcW w:w="807" w:type="dxa"/>
            <w:tcBorders>
              <w:top w:val="nil"/>
              <w:left w:val="nil"/>
              <w:bottom w:val="single" w:sz="4" w:space="0" w:color="D9D9D9"/>
              <w:right w:val="nil"/>
            </w:tcBorders>
            <w:shd w:val="clear" w:color="000000" w:fill="D9D9D9"/>
            <w:vAlign w:val="bottom"/>
            <w:hideMark/>
          </w:tcPr>
          <w:p w14:paraId="6B56FCFE"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nil"/>
              <w:right w:val="nil"/>
            </w:tcBorders>
            <w:shd w:val="clear" w:color="000000" w:fill="D9D9D9"/>
            <w:noWrap/>
            <w:vAlign w:val="bottom"/>
            <w:hideMark/>
          </w:tcPr>
          <w:p w14:paraId="033481BB"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10619451"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0A838F72"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7422AC60"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713BE645" w14:textId="77777777" w:rsidR="00AB6753" w:rsidRDefault="00AB6753" w:rsidP="002D1EA4">
            <w:pPr>
              <w:spacing w:after="0"/>
              <w:rPr>
                <w:rFonts w:cs="Arial"/>
                <w:sz w:val="16"/>
                <w:szCs w:val="16"/>
              </w:rPr>
            </w:pPr>
            <w:r>
              <w:rPr>
                <w:rFonts w:cs="Arial"/>
                <w:sz w:val="16"/>
                <w:szCs w:val="16"/>
              </w:rPr>
              <w:t> </w:t>
            </w:r>
          </w:p>
        </w:tc>
      </w:tr>
      <w:tr w:rsidR="00AB6753" w14:paraId="338361CE" w14:textId="77777777" w:rsidTr="002D1EA4">
        <w:trPr>
          <w:trHeight w:val="255"/>
        </w:trPr>
        <w:tc>
          <w:tcPr>
            <w:tcW w:w="3950" w:type="dxa"/>
            <w:tcBorders>
              <w:top w:val="nil"/>
              <w:left w:val="nil"/>
              <w:bottom w:val="nil"/>
              <w:right w:val="nil"/>
            </w:tcBorders>
            <w:shd w:val="clear" w:color="000000" w:fill="D9D9D9"/>
            <w:vAlign w:val="bottom"/>
            <w:hideMark/>
          </w:tcPr>
          <w:p w14:paraId="1FDF0D07" w14:textId="77777777" w:rsidR="00AB6753" w:rsidRDefault="00AB6753" w:rsidP="002D1EA4">
            <w:pPr>
              <w:spacing w:after="0"/>
              <w:rPr>
                <w:rFonts w:cs="Arial"/>
                <w:b/>
                <w:bCs/>
                <w:sz w:val="18"/>
                <w:szCs w:val="18"/>
              </w:rPr>
            </w:pPr>
            <w:r>
              <w:rPr>
                <w:rFonts w:cs="Arial"/>
                <w:b/>
                <w:bCs/>
                <w:sz w:val="18"/>
                <w:szCs w:val="18"/>
              </w:rPr>
              <w:t>Revenue</w:t>
            </w:r>
          </w:p>
        </w:tc>
        <w:tc>
          <w:tcPr>
            <w:tcW w:w="807" w:type="dxa"/>
            <w:tcBorders>
              <w:top w:val="nil"/>
              <w:left w:val="nil"/>
              <w:bottom w:val="single" w:sz="4" w:space="0" w:color="D9D9D9"/>
              <w:right w:val="nil"/>
            </w:tcBorders>
            <w:shd w:val="clear" w:color="000000" w:fill="D9D9D9"/>
            <w:vAlign w:val="bottom"/>
            <w:hideMark/>
          </w:tcPr>
          <w:p w14:paraId="4B039438"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nil"/>
              <w:right w:val="nil"/>
            </w:tcBorders>
            <w:shd w:val="clear" w:color="000000" w:fill="D9D9D9"/>
            <w:noWrap/>
            <w:vAlign w:val="bottom"/>
            <w:hideMark/>
          </w:tcPr>
          <w:p w14:paraId="6359F78B" w14:textId="77777777" w:rsidR="00AB6753" w:rsidRDefault="00AB6753" w:rsidP="002D1EA4">
            <w:pPr>
              <w:spacing w:after="0"/>
              <w:rPr>
                <w:rFonts w:cs="Arial"/>
                <w:b/>
                <w:bCs/>
                <w:sz w:val="18"/>
                <w:szCs w:val="18"/>
              </w:rPr>
            </w:pPr>
            <w:r>
              <w:rPr>
                <w:rFonts w:cs="Arial"/>
                <w:b/>
                <w:bCs/>
                <w:sz w:val="18"/>
                <w:szCs w:val="18"/>
              </w:rPr>
              <w:t> </w:t>
            </w:r>
          </w:p>
        </w:tc>
        <w:tc>
          <w:tcPr>
            <w:tcW w:w="267" w:type="dxa"/>
            <w:tcBorders>
              <w:top w:val="nil"/>
              <w:left w:val="nil"/>
              <w:bottom w:val="nil"/>
              <w:right w:val="nil"/>
            </w:tcBorders>
            <w:shd w:val="clear" w:color="000000" w:fill="D9D9D9"/>
            <w:noWrap/>
            <w:vAlign w:val="bottom"/>
            <w:hideMark/>
          </w:tcPr>
          <w:p w14:paraId="0D7A691D"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2C1F3A4E"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000000" w:fill="D9D9D9"/>
            <w:noWrap/>
            <w:vAlign w:val="bottom"/>
            <w:hideMark/>
          </w:tcPr>
          <w:p w14:paraId="450C81BA"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0BD989AD" w14:textId="77777777" w:rsidR="00AB6753" w:rsidRDefault="00AB6753" w:rsidP="002D1EA4">
            <w:pPr>
              <w:spacing w:after="0"/>
              <w:rPr>
                <w:rFonts w:cs="Arial"/>
                <w:sz w:val="18"/>
                <w:szCs w:val="18"/>
              </w:rPr>
            </w:pPr>
            <w:r>
              <w:rPr>
                <w:rFonts w:cs="Arial"/>
                <w:sz w:val="18"/>
                <w:szCs w:val="18"/>
              </w:rPr>
              <w:t> </w:t>
            </w:r>
          </w:p>
        </w:tc>
      </w:tr>
      <w:tr w:rsidR="00AB6753" w14:paraId="6D3EBF04" w14:textId="77777777" w:rsidTr="002D1EA4">
        <w:trPr>
          <w:trHeight w:val="255"/>
        </w:trPr>
        <w:tc>
          <w:tcPr>
            <w:tcW w:w="3950" w:type="dxa"/>
            <w:tcBorders>
              <w:top w:val="nil"/>
              <w:left w:val="nil"/>
              <w:bottom w:val="nil"/>
              <w:right w:val="nil"/>
            </w:tcBorders>
            <w:shd w:val="clear" w:color="000000" w:fill="D9D9D9"/>
            <w:vAlign w:val="bottom"/>
            <w:hideMark/>
          </w:tcPr>
          <w:p w14:paraId="524BD8E7" w14:textId="77777777" w:rsidR="00AB6753" w:rsidRDefault="00AB6753" w:rsidP="002D1EA4">
            <w:pPr>
              <w:spacing w:after="0"/>
              <w:rPr>
                <w:rFonts w:cs="Arial"/>
                <w:b/>
                <w:bCs/>
                <w:sz w:val="18"/>
                <w:szCs w:val="18"/>
              </w:rPr>
            </w:pPr>
            <w:r>
              <w:rPr>
                <w:rFonts w:cs="Arial"/>
                <w:b/>
                <w:bCs/>
                <w:sz w:val="18"/>
                <w:szCs w:val="18"/>
              </w:rPr>
              <w:t>Non-taxation revenue</w:t>
            </w:r>
          </w:p>
        </w:tc>
        <w:tc>
          <w:tcPr>
            <w:tcW w:w="807" w:type="dxa"/>
            <w:tcBorders>
              <w:top w:val="nil"/>
              <w:left w:val="nil"/>
              <w:bottom w:val="single" w:sz="4" w:space="0" w:color="D9D9D9"/>
              <w:right w:val="nil"/>
            </w:tcBorders>
            <w:shd w:val="clear" w:color="000000" w:fill="D9D9D9"/>
            <w:vAlign w:val="bottom"/>
            <w:hideMark/>
          </w:tcPr>
          <w:p w14:paraId="42CCF12E"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nil"/>
              <w:right w:val="nil"/>
            </w:tcBorders>
            <w:shd w:val="clear" w:color="000000" w:fill="D9D9D9"/>
            <w:noWrap/>
            <w:vAlign w:val="bottom"/>
            <w:hideMark/>
          </w:tcPr>
          <w:p w14:paraId="4B4D54B1" w14:textId="77777777" w:rsidR="00AB6753" w:rsidRDefault="00AB6753" w:rsidP="002D1EA4">
            <w:pPr>
              <w:spacing w:after="0"/>
              <w:rPr>
                <w:rFonts w:cs="Arial"/>
                <w:b/>
                <w:bCs/>
                <w:sz w:val="18"/>
                <w:szCs w:val="18"/>
              </w:rPr>
            </w:pPr>
            <w:r>
              <w:rPr>
                <w:rFonts w:cs="Arial"/>
                <w:b/>
                <w:bCs/>
                <w:sz w:val="18"/>
                <w:szCs w:val="18"/>
              </w:rPr>
              <w:t> </w:t>
            </w:r>
          </w:p>
        </w:tc>
        <w:tc>
          <w:tcPr>
            <w:tcW w:w="267" w:type="dxa"/>
            <w:tcBorders>
              <w:top w:val="nil"/>
              <w:left w:val="nil"/>
              <w:bottom w:val="nil"/>
              <w:right w:val="nil"/>
            </w:tcBorders>
            <w:shd w:val="clear" w:color="000000" w:fill="D9D9D9"/>
            <w:noWrap/>
            <w:vAlign w:val="bottom"/>
            <w:hideMark/>
          </w:tcPr>
          <w:p w14:paraId="70B6E21D"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330D6E3E"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000000" w:fill="D9D9D9"/>
            <w:noWrap/>
            <w:vAlign w:val="bottom"/>
            <w:hideMark/>
          </w:tcPr>
          <w:p w14:paraId="254B162B"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4C9E3AB3" w14:textId="77777777" w:rsidR="00AB6753" w:rsidRDefault="00AB6753" w:rsidP="002D1EA4">
            <w:pPr>
              <w:spacing w:after="0"/>
              <w:rPr>
                <w:rFonts w:cs="Arial"/>
                <w:sz w:val="18"/>
                <w:szCs w:val="18"/>
              </w:rPr>
            </w:pPr>
            <w:r>
              <w:rPr>
                <w:rFonts w:cs="Arial"/>
                <w:sz w:val="18"/>
                <w:szCs w:val="18"/>
              </w:rPr>
              <w:t> </w:t>
            </w:r>
          </w:p>
        </w:tc>
      </w:tr>
      <w:tr w:rsidR="00AB6753" w14:paraId="0173E9A4" w14:textId="77777777" w:rsidTr="002D1EA4">
        <w:trPr>
          <w:trHeight w:val="255"/>
        </w:trPr>
        <w:tc>
          <w:tcPr>
            <w:tcW w:w="3950" w:type="dxa"/>
            <w:tcBorders>
              <w:top w:val="nil"/>
              <w:left w:val="nil"/>
              <w:bottom w:val="nil"/>
              <w:right w:val="nil"/>
            </w:tcBorders>
            <w:shd w:val="clear" w:color="000000" w:fill="D9D9D9"/>
            <w:vAlign w:val="bottom"/>
            <w:hideMark/>
          </w:tcPr>
          <w:p w14:paraId="1B32DC10" w14:textId="77777777" w:rsidR="00AB6753" w:rsidRDefault="00AB6753" w:rsidP="002D1EA4">
            <w:pPr>
              <w:spacing w:after="0"/>
              <w:rPr>
                <w:rFonts w:cs="Arial"/>
                <w:sz w:val="18"/>
                <w:szCs w:val="18"/>
              </w:rPr>
            </w:pPr>
            <w:r>
              <w:rPr>
                <w:rFonts w:cs="Arial"/>
                <w:sz w:val="18"/>
                <w:szCs w:val="18"/>
              </w:rPr>
              <w:t>Recoveries</w:t>
            </w:r>
          </w:p>
        </w:tc>
        <w:tc>
          <w:tcPr>
            <w:tcW w:w="807" w:type="dxa"/>
            <w:tcBorders>
              <w:top w:val="nil"/>
              <w:left w:val="nil"/>
              <w:bottom w:val="single" w:sz="4" w:space="0" w:color="D9D9D9"/>
              <w:right w:val="nil"/>
            </w:tcBorders>
            <w:shd w:val="clear" w:color="000000" w:fill="D9D9D9"/>
            <w:vAlign w:val="bottom"/>
            <w:hideMark/>
          </w:tcPr>
          <w:p w14:paraId="093122F7" w14:textId="77777777" w:rsidR="00AB6753" w:rsidRDefault="00AB6753" w:rsidP="002D1EA4">
            <w:pPr>
              <w:spacing w:after="0"/>
              <w:jc w:val="center"/>
              <w:rPr>
                <w:rFonts w:cs="Arial"/>
                <w:sz w:val="18"/>
                <w:szCs w:val="18"/>
              </w:rPr>
            </w:pPr>
            <w:r>
              <w:rPr>
                <w:rFonts w:cs="Arial"/>
                <w:sz w:val="18"/>
                <w:szCs w:val="18"/>
              </w:rPr>
              <w:t>2.2A</w:t>
            </w:r>
          </w:p>
        </w:tc>
        <w:tc>
          <w:tcPr>
            <w:tcW w:w="1337" w:type="dxa"/>
            <w:tcBorders>
              <w:top w:val="nil"/>
              <w:left w:val="nil"/>
              <w:bottom w:val="nil"/>
              <w:right w:val="nil"/>
            </w:tcBorders>
            <w:shd w:val="clear" w:color="000000" w:fill="D9D9D9"/>
            <w:noWrap/>
            <w:vAlign w:val="bottom"/>
            <w:hideMark/>
          </w:tcPr>
          <w:p w14:paraId="3D170658" w14:textId="77777777" w:rsidR="00AB6753" w:rsidRDefault="00AB6753" w:rsidP="002D1EA4">
            <w:pPr>
              <w:spacing w:after="0"/>
              <w:jc w:val="right"/>
              <w:rPr>
                <w:rFonts w:cs="Arial"/>
                <w:b/>
                <w:bCs/>
                <w:sz w:val="18"/>
                <w:szCs w:val="18"/>
              </w:rPr>
            </w:pPr>
            <w:r>
              <w:rPr>
                <w:rFonts w:cs="Arial"/>
                <w:b/>
                <w:bCs/>
                <w:sz w:val="18"/>
                <w:szCs w:val="18"/>
              </w:rPr>
              <w:t>226,408</w:t>
            </w:r>
          </w:p>
        </w:tc>
        <w:tc>
          <w:tcPr>
            <w:tcW w:w="267" w:type="dxa"/>
            <w:tcBorders>
              <w:top w:val="nil"/>
              <w:left w:val="nil"/>
              <w:bottom w:val="nil"/>
              <w:right w:val="nil"/>
            </w:tcBorders>
            <w:shd w:val="clear" w:color="000000" w:fill="D9D9D9"/>
            <w:noWrap/>
            <w:vAlign w:val="bottom"/>
            <w:hideMark/>
          </w:tcPr>
          <w:p w14:paraId="375B22AE"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3E4E3657" w14:textId="77777777" w:rsidR="00AB6753" w:rsidRDefault="00AB6753" w:rsidP="002D1EA4">
            <w:pPr>
              <w:spacing w:after="0"/>
              <w:jc w:val="right"/>
              <w:rPr>
                <w:rFonts w:cs="Arial"/>
                <w:sz w:val="18"/>
                <w:szCs w:val="18"/>
              </w:rPr>
            </w:pPr>
            <w:r>
              <w:rPr>
                <w:rFonts w:cs="Arial"/>
                <w:sz w:val="18"/>
                <w:szCs w:val="18"/>
              </w:rPr>
              <w:t>54,195</w:t>
            </w:r>
          </w:p>
        </w:tc>
        <w:tc>
          <w:tcPr>
            <w:tcW w:w="267" w:type="dxa"/>
            <w:tcBorders>
              <w:top w:val="nil"/>
              <w:left w:val="nil"/>
              <w:bottom w:val="nil"/>
              <w:right w:val="nil"/>
            </w:tcBorders>
            <w:shd w:val="clear" w:color="000000" w:fill="D9D9D9"/>
            <w:noWrap/>
            <w:vAlign w:val="bottom"/>
            <w:hideMark/>
          </w:tcPr>
          <w:p w14:paraId="59878C3C"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401BB177"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60C6A62A" w14:textId="77777777" w:rsidTr="002D1EA4">
        <w:trPr>
          <w:trHeight w:val="255"/>
        </w:trPr>
        <w:tc>
          <w:tcPr>
            <w:tcW w:w="3950" w:type="dxa"/>
            <w:tcBorders>
              <w:top w:val="nil"/>
              <w:left w:val="nil"/>
              <w:bottom w:val="nil"/>
              <w:right w:val="nil"/>
            </w:tcBorders>
            <w:shd w:val="clear" w:color="000000" w:fill="D9D9D9"/>
            <w:vAlign w:val="bottom"/>
            <w:hideMark/>
          </w:tcPr>
          <w:p w14:paraId="56D6F006" w14:textId="77777777" w:rsidR="00AB6753" w:rsidRDefault="00AB6753" w:rsidP="002D1EA4">
            <w:pPr>
              <w:spacing w:after="0"/>
              <w:rPr>
                <w:rFonts w:cs="Arial"/>
                <w:sz w:val="18"/>
                <w:szCs w:val="18"/>
              </w:rPr>
            </w:pPr>
            <w:r>
              <w:rPr>
                <w:rFonts w:cs="Arial"/>
                <w:sz w:val="18"/>
                <w:szCs w:val="18"/>
              </w:rPr>
              <w:t>Interest</w:t>
            </w:r>
          </w:p>
        </w:tc>
        <w:tc>
          <w:tcPr>
            <w:tcW w:w="807" w:type="dxa"/>
            <w:tcBorders>
              <w:top w:val="nil"/>
              <w:left w:val="nil"/>
              <w:bottom w:val="single" w:sz="4" w:space="0" w:color="D9D9D9"/>
              <w:right w:val="nil"/>
            </w:tcBorders>
            <w:shd w:val="clear" w:color="000000" w:fill="D9D9D9"/>
            <w:vAlign w:val="bottom"/>
            <w:hideMark/>
          </w:tcPr>
          <w:p w14:paraId="0EC2FFE8"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nil"/>
              <w:right w:val="nil"/>
            </w:tcBorders>
            <w:shd w:val="clear" w:color="000000" w:fill="D9D9D9"/>
            <w:noWrap/>
            <w:vAlign w:val="bottom"/>
            <w:hideMark/>
          </w:tcPr>
          <w:p w14:paraId="69E03188" w14:textId="77777777" w:rsidR="00AB6753" w:rsidRDefault="00AB6753" w:rsidP="002D1EA4">
            <w:pPr>
              <w:spacing w:after="0"/>
              <w:jc w:val="right"/>
              <w:rPr>
                <w:rFonts w:cs="Arial"/>
                <w:b/>
                <w:bCs/>
                <w:sz w:val="18"/>
                <w:szCs w:val="18"/>
              </w:rPr>
            </w:pPr>
            <w:r>
              <w:rPr>
                <w:rFonts w:cs="Arial"/>
                <w:b/>
                <w:bCs/>
                <w:sz w:val="18"/>
                <w:szCs w:val="18"/>
              </w:rPr>
              <w:t>53,454</w:t>
            </w:r>
          </w:p>
        </w:tc>
        <w:tc>
          <w:tcPr>
            <w:tcW w:w="267" w:type="dxa"/>
            <w:tcBorders>
              <w:top w:val="nil"/>
              <w:left w:val="nil"/>
              <w:bottom w:val="nil"/>
              <w:right w:val="nil"/>
            </w:tcBorders>
            <w:shd w:val="clear" w:color="000000" w:fill="D9D9D9"/>
            <w:noWrap/>
            <w:vAlign w:val="bottom"/>
            <w:hideMark/>
          </w:tcPr>
          <w:p w14:paraId="58D92ED5"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1EE687F5" w14:textId="77777777" w:rsidR="00AB6753" w:rsidRDefault="00AB6753" w:rsidP="002D1EA4">
            <w:pPr>
              <w:spacing w:after="0"/>
              <w:jc w:val="right"/>
              <w:rPr>
                <w:rFonts w:cs="Arial"/>
                <w:sz w:val="18"/>
                <w:szCs w:val="18"/>
              </w:rPr>
            </w:pPr>
            <w:r>
              <w:rPr>
                <w:rFonts w:cs="Arial"/>
                <w:sz w:val="18"/>
                <w:szCs w:val="18"/>
              </w:rPr>
              <w:t>71,780</w:t>
            </w:r>
          </w:p>
        </w:tc>
        <w:tc>
          <w:tcPr>
            <w:tcW w:w="267" w:type="dxa"/>
            <w:tcBorders>
              <w:top w:val="nil"/>
              <w:left w:val="nil"/>
              <w:bottom w:val="nil"/>
              <w:right w:val="nil"/>
            </w:tcBorders>
            <w:shd w:val="clear" w:color="000000" w:fill="D9D9D9"/>
            <w:noWrap/>
            <w:vAlign w:val="bottom"/>
            <w:hideMark/>
          </w:tcPr>
          <w:p w14:paraId="0CFA8F09"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034DF542" w14:textId="77777777" w:rsidR="00AB6753" w:rsidRDefault="00AB6753" w:rsidP="002D1EA4">
            <w:pPr>
              <w:spacing w:after="0"/>
              <w:jc w:val="right"/>
              <w:rPr>
                <w:rFonts w:cs="Arial"/>
                <w:sz w:val="18"/>
                <w:szCs w:val="18"/>
              </w:rPr>
            </w:pPr>
            <w:r>
              <w:rPr>
                <w:rFonts w:cs="Arial"/>
                <w:sz w:val="18"/>
                <w:szCs w:val="18"/>
              </w:rPr>
              <w:t xml:space="preserve">48,237 </w:t>
            </w:r>
          </w:p>
        </w:tc>
      </w:tr>
      <w:tr w:rsidR="00AB6753" w14:paraId="6C3139CC" w14:textId="77777777" w:rsidTr="002D1EA4">
        <w:trPr>
          <w:trHeight w:val="255"/>
        </w:trPr>
        <w:tc>
          <w:tcPr>
            <w:tcW w:w="3950" w:type="dxa"/>
            <w:tcBorders>
              <w:top w:val="nil"/>
              <w:left w:val="nil"/>
              <w:bottom w:val="nil"/>
              <w:right w:val="nil"/>
            </w:tcBorders>
            <w:shd w:val="clear" w:color="000000" w:fill="D9D9D9"/>
            <w:vAlign w:val="bottom"/>
            <w:hideMark/>
          </w:tcPr>
          <w:p w14:paraId="3FE17426" w14:textId="77777777" w:rsidR="00AB6753" w:rsidRDefault="00AB6753" w:rsidP="002D1EA4">
            <w:pPr>
              <w:spacing w:after="0"/>
              <w:rPr>
                <w:rFonts w:cs="Arial"/>
                <w:sz w:val="18"/>
                <w:szCs w:val="18"/>
              </w:rPr>
            </w:pPr>
            <w:r>
              <w:rPr>
                <w:rFonts w:cs="Arial"/>
                <w:sz w:val="18"/>
                <w:szCs w:val="18"/>
              </w:rPr>
              <w:t>Rendering of services</w:t>
            </w:r>
          </w:p>
        </w:tc>
        <w:tc>
          <w:tcPr>
            <w:tcW w:w="807" w:type="dxa"/>
            <w:tcBorders>
              <w:top w:val="nil"/>
              <w:left w:val="nil"/>
              <w:bottom w:val="single" w:sz="4" w:space="0" w:color="D9D9D9"/>
              <w:right w:val="nil"/>
            </w:tcBorders>
            <w:shd w:val="clear" w:color="000000" w:fill="D9D9D9"/>
            <w:vAlign w:val="bottom"/>
            <w:hideMark/>
          </w:tcPr>
          <w:p w14:paraId="4731ACF2"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nil"/>
              <w:right w:val="nil"/>
            </w:tcBorders>
            <w:shd w:val="clear" w:color="000000" w:fill="D9D9D9"/>
            <w:noWrap/>
            <w:vAlign w:val="bottom"/>
            <w:hideMark/>
          </w:tcPr>
          <w:p w14:paraId="57C4A345" w14:textId="77777777" w:rsidR="00AB6753" w:rsidRDefault="00AB6753" w:rsidP="002D1EA4">
            <w:pPr>
              <w:spacing w:after="0"/>
              <w:jc w:val="right"/>
              <w:rPr>
                <w:rFonts w:cs="Arial"/>
                <w:b/>
                <w:bCs/>
                <w:sz w:val="18"/>
                <w:szCs w:val="18"/>
              </w:rPr>
            </w:pPr>
            <w:r>
              <w:rPr>
                <w:rFonts w:cs="Arial"/>
                <w:b/>
                <w:bCs/>
                <w:sz w:val="18"/>
                <w:szCs w:val="18"/>
              </w:rPr>
              <w:t>17,539</w:t>
            </w:r>
          </w:p>
        </w:tc>
        <w:tc>
          <w:tcPr>
            <w:tcW w:w="267" w:type="dxa"/>
            <w:tcBorders>
              <w:top w:val="nil"/>
              <w:left w:val="nil"/>
              <w:bottom w:val="nil"/>
              <w:right w:val="nil"/>
            </w:tcBorders>
            <w:shd w:val="clear" w:color="000000" w:fill="D9D9D9"/>
            <w:noWrap/>
            <w:vAlign w:val="bottom"/>
            <w:hideMark/>
          </w:tcPr>
          <w:p w14:paraId="2DB8625D"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15A24A87" w14:textId="77777777" w:rsidR="00AB6753" w:rsidRDefault="00AB6753" w:rsidP="002D1EA4">
            <w:pPr>
              <w:spacing w:after="0"/>
              <w:jc w:val="right"/>
              <w:rPr>
                <w:rFonts w:cs="Arial"/>
                <w:sz w:val="18"/>
                <w:szCs w:val="18"/>
              </w:rPr>
            </w:pPr>
            <w:r>
              <w:rPr>
                <w:rFonts w:cs="Arial"/>
                <w:sz w:val="18"/>
                <w:szCs w:val="18"/>
              </w:rPr>
              <w:t>-</w:t>
            </w:r>
          </w:p>
        </w:tc>
        <w:tc>
          <w:tcPr>
            <w:tcW w:w="267" w:type="dxa"/>
            <w:tcBorders>
              <w:top w:val="nil"/>
              <w:left w:val="nil"/>
              <w:bottom w:val="nil"/>
              <w:right w:val="nil"/>
            </w:tcBorders>
            <w:shd w:val="clear" w:color="000000" w:fill="D9D9D9"/>
            <w:noWrap/>
            <w:vAlign w:val="bottom"/>
            <w:hideMark/>
          </w:tcPr>
          <w:p w14:paraId="0E11CE20"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5C1D5420"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77FFAA48" w14:textId="77777777" w:rsidTr="002D1EA4">
        <w:trPr>
          <w:trHeight w:val="255"/>
        </w:trPr>
        <w:tc>
          <w:tcPr>
            <w:tcW w:w="3950" w:type="dxa"/>
            <w:tcBorders>
              <w:top w:val="nil"/>
              <w:left w:val="nil"/>
              <w:bottom w:val="nil"/>
              <w:right w:val="nil"/>
            </w:tcBorders>
            <w:shd w:val="clear" w:color="000000" w:fill="D9D9D9"/>
            <w:vAlign w:val="bottom"/>
            <w:hideMark/>
          </w:tcPr>
          <w:p w14:paraId="37832FB6" w14:textId="77777777" w:rsidR="00AB6753" w:rsidRDefault="00AB6753" w:rsidP="002D1EA4">
            <w:pPr>
              <w:spacing w:after="0"/>
              <w:rPr>
                <w:rFonts w:cs="Arial"/>
                <w:sz w:val="18"/>
                <w:szCs w:val="18"/>
              </w:rPr>
            </w:pPr>
            <w:r>
              <w:rPr>
                <w:rFonts w:cs="Arial"/>
                <w:sz w:val="18"/>
                <w:szCs w:val="18"/>
              </w:rPr>
              <w:t>Special accounts revenue</w:t>
            </w:r>
          </w:p>
        </w:tc>
        <w:tc>
          <w:tcPr>
            <w:tcW w:w="807" w:type="dxa"/>
            <w:tcBorders>
              <w:top w:val="nil"/>
              <w:left w:val="nil"/>
              <w:bottom w:val="single" w:sz="4" w:space="0" w:color="D9D9D9"/>
              <w:right w:val="nil"/>
            </w:tcBorders>
            <w:shd w:val="clear" w:color="000000" w:fill="D9D9D9"/>
            <w:vAlign w:val="bottom"/>
            <w:hideMark/>
          </w:tcPr>
          <w:p w14:paraId="3ECA2279"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nil"/>
              <w:right w:val="nil"/>
            </w:tcBorders>
            <w:shd w:val="clear" w:color="000000" w:fill="D9D9D9"/>
            <w:noWrap/>
            <w:vAlign w:val="bottom"/>
            <w:hideMark/>
          </w:tcPr>
          <w:p w14:paraId="6B994F20" w14:textId="77777777" w:rsidR="00AB6753" w:rsidRDefault="00AB6753" w:rsidP="002D1EA4">
            <w:pPr>
              <w:spacing w:after="0"/>
              <w:jc w:val="right"/>
              <w:rPr>
                <w:rFonts w:cs="Arial"/>
                <w:b/>
                <w:bCs/>
                <w:sz w:val="18"/>
                <w:szCs w:val="18"/>
              </w:rPr>
            </w:pPr>
            <w:r>
              <w:rPr>
                <w:rFonts w:cs="Arial"/>
                <w:b/>
                <w:bCs/>
                <w:sz w:val="18"/>
                <w:szCs w:val="18"/>
              </w:rPr>
              <w:t>12,091</w:t>
            </w:r>
          </w:p>
        </w:tc>
        <w:tc>
          <w:tcPr>
            <w:tcW w:w="267" w:type="dxa"/>
            <w:tcBorders>
              <w:top w:val="nil"/>
              <w:left w:val="nil"/>
              <w:bottom w:val="nil"/>
              <w:right w:val="nil"/>
            </w:tcBorders>
            <w:shd w:val="clear" w:color="000000" w:fill="D9D9D9"/>
            <w:noWrap/>
            <w:vAlign w:val="bottom"/>
            <w:hideMark/>
          </w:tcPr>
          <w:p w14:paraId="737D704A"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2E49B5DA" w14:textId="77777777" w:rsidR="00AB6753" w:rsidRDefault="00AB6753" w:rsidP="002D1EA4">
            <w:pPr>
              <w:spacing w:after="0"/>
              <w:jc w:val="right"/>
              <w:rPr>
                <w:rFonts w:cs="Arial"/>
                <w:sz w:val="18"/>
                <w:szCs w:val="18"/>
              </w:rPr>
            </w:pPr>
            <w:r>
              <w:rPr>
                <w:rFonts w:cs="Arial"/>
                <w:sz w:val="18"/>
                <w:szCs w:val="18"/>
              </w:rPr>
              <w:t>8,190</w:t>
            </w:r>
          </w:p>
        </w:tc>
        <w:tc>
          <w:tcPr>
            <w:tcW w:w="267" w:type="dxa"/>
            <w:tcBorders>
              <w:top w:val="nil"/>
              <w:left w:val="nil"/>
              <w:bottom w:val="nil"/>
              <w:right w:val="nil"/>
            </w:tcBorders>
            <w:shd w:val="clear" w:color="000000" w:fill="D9D9D9"/>
            <w:noWrap/>
            <w:vAlign w:val="bottom"/>
            <w:hideMark/>
          </w:tcPr>
          <w:p w14:paraId="5CD2467C"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09E6D82B"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6D1225DF" w14:textId="77777777" w:rsidTr="002D1EA4">
        <w:trPr>
          <w:trHeight w:val="255"/>
        </w:trPr>
        <w:tc>
          <w:tcPr>
            <w:tcW w:w="3950" w:type="dxa"/>
            <w:tcBorders>
              <w:top w:val="nil"/>
              <w:left w:val="nil"/>
              <w:bottom w:val="nil"/>
              <w:right w:val="nil"/>
            </w:tcBorders>
            <w:shd w:val="clear" w:color="000000" w:fill="D9D9D9"/>
            <w:vAlign w:val="bottom"/>
            <w:hideMark/>
          </w:tcPr>
          <w:p w14:paraId="263482FF" w14:textId="77777777" w:rsidR="00AB6753" w:rsidRDefault="00AB6753" w:rsidP="002D1EA4">
            <w:pPr>
              <w:spacing w:after="0"/>
              <w:rPr>
                <w:rFonts w:cs="Arial"/>
                <w:sz w:val="18"/>
                <w:szCs w:val="18"/>
              </w:rPr>
            </w:pPr>
            <w:r>
              <w:rPr>
                <w:rFonts w:cs="Arial"/>
                <w:sz w:val="18"/>
                <w:szCs w:val="18"/>
              </w:rPr>
              <w:t>Dividends</w:t>
            </w:r>
          </w:p>
        </w:tc>
        <w:tc>
          <w:tcPr>
            <w:tcW w:w="807" w:type="dxa"/>
            <w:tcBorders>
              <w:top w:val="nil"/>
              <w:left w:val="nil"/>
              <w:bottom w:val="single" w:sz="4" w:space="0" w:color="D9D9D9"/>
              <w:right w:val="nil"/>
            </w:tcBorders>
            <w:shd w:val="clear" w:color="000000" w:fill="D9D9D9"/>
            <w:vAlign w:val="bottom"/>
            <w:hideMark/>
          </w:tcPr>
          <w:p w14:paraId="47922769"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nil"/>
              <w:right w:val="nil"/>
            </w:tcBorders>
            <w:shd w:val="clear" w:color="000000" w:fill="D9D9D9"/>
            <w:noWrap/>
            <w:vAlign w:val="bottom"/>
            <w:hideMark/>
          </w:tcPr>
          <w:p w14:paraId="4CFEB884" w14:textId="77777777" w:rsidR="00AB6753" w:rsidRDefault="00AB6753" w:rsidP="002D1EA4">
            <w:pPr>
              <w:spacing w:after="0"/>
              <w:jc w:val="right"/>
              <w:rPr>
                <w:rFonts w:cs="Arial"/>
                <w:b/>
                <w:bCs/>
                <w:sz w:val="18"/>
                <w:szCs w:val="18"/>
              </w:rPr>
            </w:pPr>
            <w:r>
              <w:rPr>
                <w:rFonts w:cs="Arial"/>
                <w:b/>
                <w:bCs/>
                <w:sz w:val="18"/>
                <w:szCs w:val="18"/>
              </w:rPr>
              <w:t>3,775</w:t>
            </w:r>
          </w:p>
        </w:tc>
        <w:tc>
          <w:tcPr>
            <w:tcW w:w="267" w:type="dxa"/>
            <w:tcBorders>
              <w:top w:val="nil"/>
              <w:left w:val="nil"/>
              <w:bottom w:val="nil"/>
              <w:right w:val="nil"/>
            </w:tcBorders>
            <w:shd w:val="clear" w:color="000000" w:fill="D9D9D9"/>
            <w:noWrap/>
            <w:vAlign w:val="bottom"/>
            <w:hideMark/>
          </w:tcPr>
          <w:p w14:paraId="62F983D5"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19436117" w14:textId="77777777" w:rsidR="00AB6753" w:rsidRDefault="00AB6753" w:rsidP="002D1EA4">
            <w:pPr>
              <w:spacing w:after="0"/>
              <w:jc w:val="right"/>
              <w:rPr>
                <w:rFonts w:cs="Arial"/>
                <w:sz w:val="18"/>
                <w:szCs w:val="18"/>
              </w:rPr>
            </w:pPr>
            <w:r>
              <w:rPr>
                <w:rFonts w:cs="Arial"/>
                <w:sz w:val="18"/>
                <w:szCs w:val="18"/>
              </w:rPr>
              <w:t>-</w:t>
            </w:r>
          </w:p>
        </w:tc>
        <w:tc>
          <w:tcPr>
            <w:tcW w:w="267" w:type="dxa"/>
            <w:tcBorders>
              <w:top w:val="nil"/>
              <w:left w:val="nil"/>
              <w:bottom w:val="nil"/>
              <w:right w:val="nil"/>
            </w:tcBorders>
            <w:shd w:val="clear" w:color="000000" w:fill="D9D9D9"/>
            <w:noWrap/>
            <w:vAlign w:val="bottom"/>
            <w:hideMark/>
          </w:tcPr>
          <w:p w14:paraId="48F0799C"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4C762FBC"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2D49440B" w14:textId="77777777" w:rsidTr="002D1EA4">
        <w:trPr>
          <w:trHeight w:val="255"/>
        </w:trPr>
        <w:tc>
          <w:tcPr>
            <w:tcW w:w="3950" w:type="dxa"/>
            <w:tcBorders>
              <w:top w:val="nil"/>
              <w:left w:val="nil"/>
              <w:bottom w:val="nil"/>
              <w:right w:val="nil"/>
            </w:tcBorders>
            <w:shd w:val="clear" w:color="000000" w:fill="D9D9D9"/>
            <w:vAlign w:val="bottom"/>
            <w:hideMark/>
          </w:tcPr>
          <w:p w14:paraId="6C43CF66" w14:textId="77777777" w:rsidR="00AB6753" w:rsidRDefault="00AB6753" w:rsidP="002D1EA4">
            <w:pPr>
              <w:spacing w:after="0"/>
              <w:rPr>
                <w:rFonts w:cs="Arial"/>
                <w:sz w:val="18"/>
                <w:szCs w:val="18"/>
              </w:rPr>
            </w:pPr>
            <w:r>
              <w:rPr>
                <w:rFonts w:cs="Arial"/>
                <w:sz w:val="18"/>
                <w:szCs w:val="18"/>
              </w:rPr>
              <w:t>Competitive neutrality revenue</w:t>
            </w:r>
          </w:p>
        </w:tc>
        <w:tc>
          <w:tcPr>
            <w:tcW w:w="807" w:type="dxa"/>
            <w:tcBorders>
              <w:top w:val="nil"/>
              <w:left w:val="nil"/>
              <w:bottom w:val="single" w:sz="4" w:space="0" w:color="D9D9D9"/>
              <w:right w:val="nil"/>
            </w:tcBorders>
            <w:shd w:val="clear" w:color="000000" w:fill="D9D9D9"/>
            <w:vAlign w:val="bottom"/>
            <w:hideMark/>
          </w:tcPr>
          <w:p w14:paraId="007871C5"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nil"/>
              <w:right w:val="nil"/>
            </w:tcBorders>
            <w:shd w:val="clear" w:color="000000" w:fill="D9D9D9"/>
            <w:noWrap/>
            <w:vAlign w:val="bottom"/>
            <w:hideMark/>
          </w:tcPr>
          <w:p w14:paraId="27B153D5" w14:textId="77777777" w:rsidR="00AB6753" w:rsidRDefault="00AB6753" w:rsidP="002D1EA4">
            <w:pPr>
              <w:spacing w:after="0"/>
              <w:jc w:val="right"/>
              <w:rPr>
                <w:rFonts w:cs="Arial"/>
                <w:b/>
                <w:bCs/>
                <w:sz w:val="18"/>
                <w:szCs w:val="18"/>
              </w:rPr>
            </w:pPr>
            <w:r>
              <w:rPr>
                <w:rFonts w:cs="Arial"/>
                <w:b/>
                <w:bCs/>
                <w:sz w:val="18"/>
                <w:szCs w:val="18"/>
              </w:rPr>
              <w:t>1,998</w:t>
            </w:r>
          </w:p>
        </w:tc>
        <w:tc>
          <w:tcPr>
            <w:tcW w:w="267" w:type="dxa"/>
            <w:tcBorders>
              <w:top w:val="nil"/>
              <w:left w:val="nil"/>
              <w:bottom w:val="nil"/>
              <w:right w:val="nil"/>
            </w:tcBorders>
            <w:shd w:val="clear" w:color="000000" w:fill="D9D9D9"/>
            <w:noWrap/>
            <w:vAlign w:val="bottom"/>
            <w:hideMark/>
          </w:tcPr>
          <w:p w14:paraId="58E9CDDF"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1C8BD1E6" w14:textId="77777777" w:rsidR="00AB6753" w:rsidRDefault="00AB6753" w:rsidP="002D1EA4">
            <w:pPr>
              <w:spacing w:after="0"/>
              <w:jc w:val="right"/>
              <w:rPr>
                <w:rFonts w:cs="Arial"/>
                <w:sz w:val="18"/>
                <w:szCs w:val="18"/>
              </w:rPr>
            </w:pPr>
            <w:r>
              <w:rPr>
                <w:rFonts w:cs="Arial"/>
                <w:sz w:val="18"/>
                <w:szCs w:val="18"/>
              </w:rPr>
              <w:t>-</w:t>
            </w:r>
          </w:p>
        </w:tc>
        <w:tc>
          <w:tcPr>
            <w:tcW w:w="267" w:type="dxa"/>
            <w:tcBorders>
              <w:top w:val="nil"/>
              <w:left w:val="nil"/>
              <w:bottom w:val="nil"/>
              <w:right w:val="nil"/>
            </w:tcBorders>
            <w:shd w:val="clear" w:color="000000" w:fill="D9D9D9"/>
            <w:noWrap/>
            <w:vAlign w:val="bottom"/>
            <w:hideMark/>
          </w:tcPr>
          <w:p w14:paraId="3B001350"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0CF1A4BB"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043AAE1B" w14:textId="77777777" w:rsidTr="002D1EA4">
        <w:trPr>
          <w:trHeight w:val="255"/>
        </w:trPr>
        <w:tc>
          <w:tcPr>
            <w:tcW w:w="3950" w:type="dxa"/>
            <w:tcBorders>
              <w:top w:val="nil"/>
              <w:left w:val="nil"/>
              <w:bottom w:val="nil"/>
              <w:right w:val="nil"/>
            </w:tcBorders>
            <w:shd w:val="clear" w:color="000000" w:fill="D9D9D9"/>
            <w:vAlign w:val="bottom"/>
            <w:hideMark/>
          </w:tcPr>
          <w:p w14:paraId="6EC436FB" w14:textId="77777777" w:rsidR="00AB6753" w:rsidRDefault="00AB6753" w:rsidP="002D1EA4">
            <w:pPr>
              <w:spacing w:after="0"/>
              <w:rPr>
                <w:rFonts w:cs="Arial"/>
                <w:sz w:val="18"/>
                <w:szCs w:val="18"/>
              </w:rPr>
            </w:pPr>
            <w:r>
              <w:rPr>
                <w:rFonts w:cs="Arial"/>
                <w:sz w:val="18"/>
                <w:szCs w:val="18"/>
              </w:rPr>
              <w:t>Other revenue</w:t>
            </w:r>
          </w:p>
        </w:tc>
        <w:tc>
          <w:tcPr>
            <w:tcW w:w="807" w:type="dxa"/>
            <w:tcBorders>
              <w:top w:val="nil"/>
              <w:left w:val="nil"/>
              <w:bottom w:val="single" w:sz="4" w:space="0" w:color="D9D9D9"/>
              <w:right w:val="nil"/>
            </w:tcBorders>
            <w:shd w:val="clear" w:color="000000" w:fill="D9D9D9"/>
            <w:vAlign w:val="bottom"/>
            <w:hideMark/>
          </w:tcPr>
          <w:p w14:paraId="787E24FB"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nil"/>
              <w:right w:val="nil"/>
            </w:tcBorders>
            <w:shd w:val="clear" w:color="000000" w:fill="D9D9D9"/>
            <w:noWrap/>
            <w:vAlign w:val="bottom"/>
            <w:hideMark/>
          </w:tcPr>
          <w:p w14:paraId="1A5D9D4F" w14:textId="77777777" w:rsidR="00AB6753" w:rsidRDefault="00AB6753" w:rsidP="002D1EA4">
            <w:pPr>
              <w:spacing w:after="0"/>
              <w:jc w:val="right"/>
              <w:rPr>
                <w:rFonts w:cs="Arial"/>
                <w:b/>
                <w:bCs/>
                <w:sz w:val="18"/>
                <w:szCs w:val="18"/>
              </w:rPr>
            </w:pPr>
            <w:r>
              <w:rPr>
                <w:rFonts w:cs="Arial"/>
                <w:b/>
                <w:bCs/>
                <w:sz w:val="18"/>
                <w:szCs w:val="18"/>
              </w:rPr>
              <w:t>40,591</w:t>
            </w:r>
          </w:p>
        </w:tc>
        <w:tc>
          <w:tcPr>
            <w:tcW w:w="267" w:type="dxa"/>
            <w:tcBorders>
              <w:top w:val="nil"/>
              <w:left w:val="nil"/>
              <w:bottom w:val="nil"/>
              <w:right w:val="nil"/>
            </w:tcBorders>
            <w:shd w:val="clear" w:color="000000" w:fill="D9D9D9"/>
            <w:noWrap/>
            <w:vAlign w:val="bottom"/>
            <w:hideMark/>
          </w:tcPr>
          <w:p w14:paraId="14689760"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0B83EFC8" w14:textId="77777777" w:rsidR="00AB6753" w:rsidRDefault="00AB6753" w:rsidP="002D1EA4">
            <w:pPr>
              <w:spacing w:after="0"/>
              <w:jc w:val="right"/>
              <w:rPr>
                <w:rFonts w:cs="Arial"/>
                <w:sz w:val="18"/>
                <w:szCs w:val="18"/>
              </w:rPr>
            </w:pPr>
            <w:r>
              <w:rPr>
                <w:rFonts w:cs="Arial"/>
                <w:sz w:val="18"/>
                <w:szCs w:val="18"/>
              </w:rPr>
              <w:t>1,751</w:t>
            </w:r>
          </w:p>
        </w:tc>
        <w:tc>
          <w:tcPr>
            <w:tcW w:w="267" w:type="dxa"/>
            <w:tcBorders>
              <w:top w:val="nil"/>
              <w:left w:val="nil"/>
              <w:bottom w:val="nil"/>
              <w:right w:val="nil"/>
            </w:tcBorders>
            <w:shd w:val="clear" w:color="000000" w:fill="D9D9D9"/>
            <w:noWrap/>
            <w:vAlign w:val="bottom"/>
            <w:hideMark/>
          </w:tcPr>
          <w:p w14:paraId="5F927E15"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11FBCED6" w14:textId="77777777" w:rsidR="00AB6753" w:rsidRDefault="00AB6753" w:rsidP="002D1EA4">
            <w:pPr>
              <w:spacing w:after="0"/>
              <w:jc w:val="right"/>
              <w:rPr>
                <w:rFonts w:cs="Arial"/>
                <w:sz w:val="18"/>
                <w:szCs w:val="18"/>
              </w:rPr>
            </w:pPr>
            <w:r>
              <w:rPr>
                <w:rFonts w:cs="Arial"/>
                <w:sz w:val="18"/>
                <w:szCs w:val="18"/>
              </w:rPr>
              <w:t xml:space="preserve">730,335 </w:t>
            </w:r>
          </w:p>
        </w:tc>
      </w:tr>
      <w:tr w:rsidR="00AB6753" w14:paraId="707F3E04" w14:textId="77777777" w:rsidTr="002D1EA4">
        <w:trPr>
          <w:trHeight w:val="255"/>
        </w:trPr>
        <w:tc>
          <w:tcPr>
            <w:tcW w:w="3950" w:type="dxa"/>
            <w:tcBorders>
              <w:top w:val="single" w:sz="4" w:space="0" w:color="D9D9D9"/>
              <w:left w:val="nil"/>
              <w:bottom w:val="single" w:sz="4" w:space="0" w:color="D9D9D9"/>
              <w:right w:val="nil"/>
            </w:tcBorders>
            <w:shd w:val="clear" w:color="000000" w:fill="D9D9D9"/>
            <w:vAlign w:val="bottom"/>
            <w:hideMark/>
          </w:tcPr>
          <w:p w14:paraId="5A35E46D" w14:textId="77777777" w:rsidR="00AB6753" w:rsidRDefault="00AB6753" w:rsidP="002D1EA4">
            <w:pPr>
              <w:spacing w:after="0"/>
              <w:rPr>
                <w:rFonts w:cs="Arial"/>
                <w:b/>
                <w:bCs/>
                <w:sz w:val="18"/>
                <w:szCs w:val="18"/>
              </w:rPr>
            </w:pPr>
            <w:r>
              <w:rPr>
                <w:rFonts w:cs="Arial"/>
                <w:b/>
                <w:bCs/>
                <w:sz w:val="18"/>
                <w:szCs w:val="18"/>
              </w:rPr>
              <w:t>Total non-taxation revenue</w:t>
            </w:r>
          </w:p>
        </w:tc>
        <w:tc>
          <w:tcPr>
            <w:tcW w:w="807" w:type="dxa"/>
            <w:tcBorders>
              <w:top w:val="nil"/>
              <w:left w:val="nil"/>
              <w:bottom w:val="single" w:sz="4" w:space="0" w:color="D9D9D9"/>
              <w:right w:val="nil"/>
            </w:tcBorders>
            <w:shd w:val="clear" w:color="000000" w:fill="D9D9D9"/>
            <w:vAlign w:val="bottom"/>
            <w:hideMark/>
          </w:tcPr>
          <w:p w14:paraId="6089004A"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02DCF6CC" w14:textId="77777777" w:rsidR="00AB6753" w:rsidRDefault="00AB6753" w:rsidP="002D1EA4">
            <w:pPr>
              <w:spacing w:after="0"/>
              <w:jc w:val="right"/>
              <w:rPr>
                <w:rFonts w:cs="Arial"/>
                <w:b/>
                <w:bCs/>
                <w:sz w:val="18"/>
                <w:szCs w:val="18"/>
              </w:rPr>
            </w:pPr>
            <w:r>
              <w:rPr>
                <w:rFonts w:cs="Arial"/>
                <w:b/>
                <w:bCs/>
                <w:sz w:val="18"/>
                <w:szCs w:val="18"/>
              </w:rPr>
              <w:t>355,856</w:t>
            </w:r>
          </w:p>
        </w:tc>
        <w:tc>
          <w:tcPr>
            <w:tcW w:w="267" w:type="dxa"/>
            <w:tcBorders>
              <w:top w:val="single" w:sz="4" w:space="0" w:color="D9D9D9"/>
              <w:left w:val="nil"/>
              <w:bottom w:val="single" w:sz="4" w:space="0" w:color="D9D9D9"/>
              <w:right w:val="nil"/>
            </w:tcBorders>
            <w:shd w:val="clear" w:color="000000" w:fill="D9D9D9"/>
            <w:vAlign w:val="bottom"/>
            <w:hideMark/>
          </w:tcPr>
          <w:p w14:paraId="71F49067" w14:textId="77777777" w:rsidR="00AB6753" w:rsidRDefault="00AB6753" w:rsidP="002D1EA4">
            <w:pPr>
              <w:spacing w:after="0"/>
              <w:rPr>
                <w:rFonts w:cs="Arial"/>
                <w:sz w:val="16"/>
                <w:szCs w:val="16"/>
              </w:rPr>
            </w:pPr>
            <w:r>
              <w:rPr>
                <w:rFonts w:cs="Arial"/>
                <w:sz w:val="16"/>
                <w:szCs w:val="16"/>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4E54A446" w14:textId="77777777" w:rsidR="00AB6753" w:rsidRDefault="00AB6753" w:rsidP="002D1EA4">
            <w:pPr>
              <w:spacing w:after="0"/>
              <w:jc w:val="right"/>
              <w:rPr>
                <w:rFonts w:cs="Arial"/>
                <w:sz w:val="18"/>
                <w:szCs w:val="18"/>
              </w:rPr>
            </w:pPr>
            <w:r>
              <w:rPr>
                <w:rFonts w:cs="Arial"/>
                <w:sz w:val="18"/>
                <w:szCs w:val="18"/>
              </w:rPr>
              <w:t>135,916</w:t>
            </w:r>
          </w:p>
        </w:tc>
        <w:tc>
          <w:tcPr>
            <w:tcW w:w="267" w:type="dxa"/>
            <w:tcBorders>
              <w:top w:val="single" w:sz="4" w:space="0" w:color="D9D9D9"/>
              <w:left w:val="nil"/>
              <w:bottom w:val="single" w:sz="4" w:space="0" w:color="D9D9D9"/>
              <w:right w:val="nil"/>
            </w:tcBorders>
            <w:shd w:val="clear" w:color="000000" w:fill="D9D9D9"/>
            <w:vAlign w:val="bottom"/>
            <w:hideMark/>
          </w:tcPr>
          <w:p w14:paraId="202EEEB8" w14:textId="77777777" w:rsidR="00AB6753" w:rsidRDefault="00AB6753" w:rsidP="002D1EA4">
            <w:pPr>
              <w:spacing w:after="0"/>
              <w:rPr>
                <w:rFonts w:cs="Arial"/>
                <w:sz w:val="16"/>
                <w:szCs w:val="16"/>
              </w:rPr>
            </w:pPr>
            <w:r>
              <w:rPr>
                <w:rFonts w:cs="Arial"/>
                <w:sz w:val="16"/>
                <w:szCs w:val="16"/>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4388C1CA" w14:textId="77777777" w:rsidR="00AB6753" w:rsidRDefault="00AB6753" w:rsidP="002D1EA4">
            <w:pPr>
              <w:spacing w:after="0"/>
              <w:jc w:val="right"/>
              <w:rPr>
                <w:rFonts w:cs="Arial"/>
                <w:sz w:val="18"/>
                <w:szCs w:val="18"/>
              </w:rPr>
            </w:pPr>
            <w:r>
              <w:rPr>
                <w:rFonts w:cs="Arial"/>
                <w:sz w:val="18"/>
                <w:szCs w:val="18"/>
              </w:rPr>
              <w:t>778,572</w:t>
            </w:r>
          </w:p>
        </w:tc>
      </w:tr>
      <w:tr w:rsidR="00AB6753" w14:paraId="2BD17678" w14:textId="77777777" w:rsidTr="002D1EA4">
        <w:trPr>
          <w:trHeight w:val="255"/>
        </w:trPr>
        <w:tc>
          <w:tcPr>
            <w:tcW w:w="3950" w:type="dxa"/>
            <w:tcBorders>
              <w:top w:val="nil"/>
              <w:left w:val="nil"/>
              <w:bottom w:val="single" w:sz="4" w:space="0" w:color="D9D9D9"/>
              <w:right w:val="nil"/>
            </w:tcBorders>
            <w:shd w:val="clear" w:color="000000" w:fill="D9D9D9"/>
            <w:vAlign w:val="bottom"/>
            <w:hideMark/>
          </w:tcPr>
          <w:p w14:paraId="5C7B2546" w14:textId="77777777" w:rsidR="00AB6753" w:rsidRDefault="00AB6753" w:rsidP="002D1EA4">
            <w:pPr>
              <w:spacing w:after="0"/>
              <w:rPr>
                <w:rFonts w:cs="Arial"/>
                <w:b/>
                <w:bCs/>
                <w:sz w:val="18"/>
                <w:szCs w:val="18"/>
              </w:rPr>
            </w:pPr>
            <w:r>
              <w:rPr>
                <w:rFonts w:cs="Arial"/>
                <w:b/>
                <w:bCs/>
                <w:sz w:val="18"/>
                <w:szCs w:val="18"/>
              </w:rPr>
              <w:t>Total revenue</w:t>
            </w:r>
          </w:p>
        </w:tc>
        <w:tc>
          <w:tcPr>
            <w:tcW w:w="807" w:type="dxa"/>
            <w:tcBorders>
              <w:top w:val="nil"/>
              <w:left w:val="nil"/>
              <w:bottom w:val="single" w:sz="4" w:space="0" w:color="D9D9D9"/>
              <w:right w:val="nil"/>
            </w:tcBorders>
            <w:shd w:val="clear" w:color="000000" w:fill="D9D9D9"/>
            <w:vAlign w:val="bottom"/>
            <w:hideMark/>
          </w:tcPr>
          <w:p w14:paraId="7B51D826"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single" w:sz="4" w:space="0" w:color="auto"/>
              <w:right w:val="nil"/>
            </w:tcBorders>
            <w:shd w:val="clear" w:color="000000" w:fill="D9D9D9"/>
            <w:noWrap/>
            <w:vAlign w:val="bottom"/>
            <w:hideMark/>
          </w:tcPr>
          <w:p w14:paraId="0DDE3553" w14:textId="77777777" w:rsidR="00AB6753" w:rsidRDefault="00AB6753" w:rsidP="002D1EA4">
            <w:pPr>
              <w:spacing w:after="0"/>
              <w:jc w:val="right"/>
              <w:rPr>
                <w:rFonts w:cs="Arial"/>
                <w:b/>
                <w:bCs/>
                <w:sz w:val="18"/>
                <w:szCs w:val="18"/>
              </w:rPr>
            </w:pPr>
            <w:r>
              <w:rPr>
                <w:rFonts w:cs="Arial"/>
                <w:b/>
                <w:bCs/>
                <w:sz w:val="18"/>
                <w:szCs w:val="18"/>
              </w:rPr>
              <w:t>355,856</w:t>
            </w:r>
          </w:p>
        </w:tc>
        <w:tc>
          <w:tcPr>
            <w:tcW w:w="267" w:type="dxa"/>
            <w:tcBorders>
              <w:top w:val="nil"/>
              <w:left w:val="nil"/>
              <w:bottom w:val="single" w:sz="4" w:space="0" w:color="D9D9D9"/>
              <w:right w:val="nil"/>
            </w:tcBorders>
            <w:shd w:val="clear" w:color="000000" w:fill="D9D9D9"/>
            <w:vAlign w:val="bottom"/>
            <w:hideMark/>
          </w:tcPr>
          <w:p w14:paraId="20B06D06"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single" w:sz="4" w:space="0" w:color="auto"/>
              <w:right w:val="nil"/>
            </w:tcBorders>
            <w:shd w:val="clear" w:color="000000" w:fill="D9D9D9"/>
            <w:noWrap/>
            <w:vAlign w:val="bottom"/>
            <w:hideMark/>
          </w:tcPr>
          <w:p w14:paraId="2B5337AD" w14:textId="77777777" w:rsidR="00AB6753" w:rsidRDefault="00AB6753" w:rsidP="002D1EA4">
            <w:pPr>
              <w:spacing w:after="0"/>
              <w:jc w:val="right"/>
              <w:rPr>
                <w:rFonts w:cs="Arial"/>
                <w:sz w:val="18"/>
                <w:szCs w:val="18"/>
              </w:rPr>
            </w:pPr>
            <w:r>
              <w:rPr>
                <w:rFonts w:cs="Arial"/>
                <w:sz w:val="18"/>
                <w:szCs w:val="18"/>
              </w:rPr>
              <w:t>135,916</w:t>
            </w:r>
          </w:p>
        </w:tc>
        <w:tc>
          <w:tcPr>
            <w:tcW w:w="267" w:type="dxa"/>
            <w:tcBorders>
              <w:top w:val="nil"/>
              <w:left w:val="nil"/>
              <w:bottom w:val="single" w:sz="4" w:space="0" w:color="D9D9D9"/>
              <w:right w:val="nil"/>
            </w:tcBorders>
            <w:shd w:val="clear" w:color="000000" w:fill="D9D9D9"/>
            <w:vAlign w:val="bottom"/>
            <w:hideMark/>
          </w:tcPr>
          <w:p w14:paraId="328BC00A"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single" w:sz="4" w:space="0" w:color="auto"/>
              <w:right w:val="nil"/>
            </w:tcBorders>
            <w:shd w:val="clear" w:color="000000" w:fill="D9D9D9"/>
            <w:noWrap/>
            <w:vAlign w:val="bottom"/>
            <w:hideMark/>
          </w:tcPr>
          <w:p w14:paraId="36531175" w14:textId="77777777" w:rsidR="00AB6753" w:rsidRDefault="00AB6753" w:rsidP="002D1EA4">
            <w:pPr>
              <w:spacing w:after="0"/>
              <w:jc w:val="right"/>
              <w:rPr>
                <w:rFonts w:cs="Arial"/>
                <w:sz w:val="18"/>
                <w:szCs w:val="18"/>
              </w:rPr>
            </w:pPr>
            <w:r>
              <w:rPr>
                <w:rFonts w:cs="Arial"/>
                <w:sz w:val="18"/>
                <w:szCs w:val="18"/>
              </w:rPr>
              <w:t>778,572</w:t>
            </w:r>
          </w:p>
        </w:tc>
      </w:tr>
      <w:tr w:rsidR="00AB6753" w14:paraId="0F72F9AC" w14:textId="77777777" w:rsidTr="002D1EA4">
        <w:trPr>
          <w:trHeight w:val="255"/>
        </w:trPr>
        <w:tc>
          <w:tcPr>
            <w:tcW w:w="3950" w:type="dxa"/>
            <w:tcBorders>
              <w:top w:val="nil"/>
              <w:left w:val="nil"/>
              <w:bottom w:val="nil"/>
              <w:right w:val="nil"/>
            </w:tcBorders>
            <w:shd w:val="clear" w:color="000000" w:fill="D9D9D9"/>
            <w:noWrap/>
            <w:vAlign w:val="bottom"/>
            <w:hideMark/>
          </w:tcPr>
          <w:p w14:paraId="1DBA9F94" w14:textId="77777777" w:rsidR="00AB6753" w:rsidRDefault="00AB6753" w:rsidP="002D1EA4">
            <w:pPr>
              <w:spacing w:after="0"/>
              <w:rPr>
                <w:rFonts w:cs="Arial"/>
                <w:sz w:val="16"/>
                <w:szCs w:val="16"/>
              </w:rPr>
            </w:pPr>
            <w:r>
              <w:rPr>
                <w:rFonts w:cs="Arial"/>
                <w:sz w:val="16"/>
                <w:szCs w:val="16"/>
              </w:rPr>
              <w:t> </w:t>
            </w:r>
          </w:p>
        </w:tc>
        <w:tc>
          <w:tcPr>
            <w:tcW w:w="807" w:type="dxa"/>
            <w:tcBorders>
              <w:top w:val="nil"/>
              <w:left w:val="nil"/>
              <w:bottom w:val="single" w:sz="4" w:space="0" w:color="D9D9D9"/>
              <w:right w:val="nil"/>
            </w:tcBorders>
            <w:shd w:val="clear" w:color="000000" w:fill="D9D9D9"/>
            <w:vAlign w:val="bottom"/>
            <w:hideMark/>
          </w:tcPr>
          <w:p w14:paraId="1B88BD45"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nil"/>
              <w:right w:val="nil"/>
            </w:tcBorders>
            <w:shd w:val="clear" w:color="000000" w:fill="D9D9D9"/>
            <w:noWrap/>
            <w:vAlign w:val="bottom"/>
            <w:hideMark/>
          </w:tcPr>
          <w:p w14:paraId="67D1C500"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757F6F08"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34D38489"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319054B6"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090E94E6" w14:textId="77777777" w:rsidR="00AB6753" w:rsidRDefault="00AB6753" w:rsidP="002D1EA4">
            <w:pPr>
              <w:spacing w:after="0"/>
              <w:rPr>
                <w:rFonts w:cs="Arial"/>
                <w:sz w:val="16"/>
                <w:szCs w:val="16"/>
              </w:rPr>
            </w:pPr>
            <w:r>
              <w:rPr>
                <w:rFonts w:cs="Arial"/>
                <w:sz w:val="16"/>
                <w:szCs w:val="16"/>
              </w:rPr>
              <w:t> </w:t>
            </w:r>
          </w:p>
        </w:tc>
      </w:tr>
      <w:tr w:rsidR="00AB6753" w14:paraId="4192FE7C" w14:textId="77777777" w:rsidTr="002D1EA4">
        <w:trPr>
          <w:trHeight w:val="255"/>
        </w:trPr>
        <w:tc>
          <w:tcPr>
            <w:tcW w:w="3950" w:type="dxa"/>
            <w:tcBorders>
              <w:top w:val="nil"/>
              <w:left w:val="nil"/>
              <w:bottom w:val="nil"/>
              <w:right w:val="nil"/>
            </w:tcBorders>
            <w:shd w:val="clear" w:color="000000" w:fill="D9D9D9"/>
            <w:vAlign w:val="bottom"/>
            <w:hideMark/>
          </w:tcPr>
          <w:p w14:paraId="48E10537" w14:textId="77777777" w:rsidR="00AB6753" w:rsidRDefault="00AB6753" w:rsidP="002D1EA4">
            <w:pPr>
              <w:spacing w:after="0"/>
              <w:rPr>
                <w:rFonts w:cs="Arial"/>
                <w:b/>
                <w:bCs/>
                <w:sz w:val="18"/>
                <w:szCs w:val="18"/>
              </w:rPr>
            </w:pPr>
            <w:r>
              <w:rPr>
                <w:rFonts w:cs="Arial"/>
                <w:b/>
                <w:bCs/>
                <w:sz w:val="18"/>
                <w:szCs w:val="18"/>
              </w:rPr>
              <w:t>Gains</w:t>
            </w:r>
          </w:p>
        </w:tc>
        <w:tc>
          <w:tcPr>
            <w:tcW w:w="807" w:type="dxa"/>
            <w:tcBorders>
              <w:top w:val="nil"/>
              <w:left w:val="nil"/>
              <w:bottom w:val="single" w:sz="4" w:space="0" w:color="D9D9D9"/>
              <w:right w:val="nil"/>
            </w:tcBorders>
            <w:shd w:val="clear" w:color="000000" w:fill="D9D9D9"/>
            <w:vAlign w:val="bottom"/>
            <w:hideMark/>
          </w:tcPr>
          <w:p w14:paraId="7B91DEA0"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nil"/>
              <w:right w:val="nil"/>
            </w:tcBorders>
            <w:shd w:val="clear" w:color="000000" w:fill="D9D9D9"/>
            <w:noWrap/>
            <w:vAlign w:val="bottom"/>
            <w:hideMark/>
          </w:tcPr>
          <w:p w14:paraId="2616A38D"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4D8D22C7"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3A7BFBDE"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417A49BE"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0B6BCC8D" w14:textId="77777777" w:rsidR="00AB6753" w:rsidRDefault="00AB6753" w:rsidP="002D1EA4">
            <w:pPr>
              <w:spacing w:after="0"/>
              <w:rPr>
                <w:rFonts w:cs="Arial"/>
                <w:sz w:val="16"/>
                <w:szCs w:val="16"/>
              </w:rPr>
            </w:pPr>
            <w:r>
              <w:rPr>
                <w:rFonts w:cs="Arial"/>
                <w:sz w:val="16"/>
                <w:szCs w:val="16"/>
              </w:rPr>
              <w:t> </w:t>
            </w:r>
          </w:p>
        </w:tc>
      </w:tr>
      <w:tr w:rsidR="00AB6753" w14:paraId="048B57CE" w14:textId="77777777" w:rsidTr="002D1EA4">
        <w:trPr>
          <w:trHeight w:val="255"/>
        </w:trPr>
        <w:tc>
          <w:tcPr>
            <w:tcW w:w="3950" w:type="dxa"/>
            <w:tcBorders>
              <w:top w:val="nil"/>
              <w:left w:val="nil"/>
              <w:bottom w:val="nil"/>
              <w:right w:val="nil"/>
            </w:tcBorders>
            <w:shd w:val="clear" w:color="000000" w:fill="D9D9D9"/>
            <w:vAlign w:val="bottom"/>
            <w:hideMark/>
          </w:tcPr>
          <w:p w14:paraId="3F39BCE7" w14:textId="77777777" w:rsidR="00AB6753" w:rsidRDefault="00AB6753" w:rsidP="002D1EA4">
            <w:pPr>
              <w:spacing w:after="0"/>
              <w:rPr>
                <w:rFonts w:cs="Arial"/>
                <w:sz w:val="18"/>
                <w:szCs w:val="18"/>
              </w:rPr>
            </w:pPr>
            <w:r>
              <w:rPr>
                <w:rFonts w:cs="Arial"/>
                <w:sz w:val="18"/>
                <w:szCs w:val="18"/>
              </w:rPr>
              <w:t>Write back of impairment allowance</w:t>
            </w:r>
          </w:p>
        </w:tc>
        <w:tc>
          <w:tcPr>
            <w:tcW w:w="807" w:type="dxa"/>
            <w:tcBorders>
              <w:top w:val="nil"/>
              <w:left w:val="nil"/>
              <w:bottom w:val="single" w:sz="4" w:space="0" w:color="D9D9D9"/>
              <w:right w:val="nil"/>
            </w:tcBorders>
            <w:shd w:val="clear" w:color="000000" w:fill="D9D9D9"/>
            <w:vAlign w:val="bottom"/>
            <w:hideMark/>
          </w:tcPr>
          <w:p w14:paraId="2510CC4D" w14:textId="77777777" w:rsidR="00AB6753" w:rsidRDefault="00AB6753" w:rsidP="002D1EA4">
            <w:pPr>
              <w:spacing w:after="0"/>
              <w:jc w:val="center"/>
              <w:rPr>
                <w:rFonts w:cs="Arial"/>
                <w:sz w:val="18"/>
                <w:szCs w:val="18"/>
              </w:rPr>
            </w:pPr>
            <w:r>
              <w:rPr>
                <w:rFonts w:cs="Arial"/>
                <w:sz w:val="18"/>
                <w:szCs w:val="18"/>
              </w:rPr>
              <w:t>2.2B</w:t>
            </w:r>
          </w:p>
        </w:tc>
        <w:tc>
          <w:tcPr>
            <w:tcW w:w="1337" w:type="dxa"/>
            <w:tcBorders>
              <w:top w:val="nil"/>
              <w:left w:val="nil"/>
              <w:bottom w:val="nil"/>
              <w:right w:val="nil"/>
            </w:tcBorders>
            <w:shd w:val="clear" w:color="000000" w:fill="D9D9D9"/>
            <w:noWrap/>
            <w:vAlign w:val="bottom"/>
            <w:hideMark/>
          </w:tcPr>
          <w:p w14:paraId="107A6C69" w14:textId="77777777" w:rsidR="00AB6753" w:rsidRDefault="00AB6753" w:rsidP="002D1EA4">
            <w:pPr>
              <w:spacing w:after="0"/>
              <w:jc w:val="right"/>
              <w:rPr>
                <w:rFonts w:cs="Arial"/>
                <w:b/>
                <w:bCs/>
                <w:sz w:val="18"/>
                <w:szCs w:val="18"/>
              </w:rPr>
            </w:pPr>
            <w:r>
              <w:rPr>
                <w:rFonts w:cs="Arial"/>
                <w:b/>
                <w:bCs/>
                <w:sz w:val="18"/>
                <w:szCs w:val="18"/>
              </w:rPr>
              <w:t>58</w:t>
            </w:r>
          </w:p>
        </w:tc>
        <w:tc>
          <w:tcPr>
            <w:tcW w:w="267" w:type="dxa"/>
            <w:tcBorders>
              <w:top w:val="nil"/>
              <w:left w:val="nil"/>
              <w:bottom w:val="nil"/>
              <w:right w:val="nil"/>
            </w:tcBorders>
            <w:shd w:val="clear" w:color="000000" w:fill="D9D9D9"/>
            <w:noWrap/>
            <w:vAlign w:val="bottom"/>
            <w:hideMark/>
          </w:tcPr>
          <w:p w14:paraId="439DA1BB"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11525582" w14:textId="77777777" w:rsidR="00AB6753" w:rsidRDefault="00AB6753" w:rsidP="002D1EA4">
            <w:pPr>
              <w:spacing w:after="0"/>
              <w:jc w:val="right"/>
              <w:rPr>
                <w:rFonts w:cs="Arial"/>
                <w:sz w:val="18"/>
                <w:szCs w:val="18"/>
              </w:rPr>
            </w:pPr>
            <w:r>
              <w:rPr>
                <w:rFonts w:cs="Arial"/>
                <w:sz w:val="18"/>
                <w:szCs w:val="18"/>
              </w:rPr>
              <w:t>304,800</w:t>
            </w:r>
          </w:p>
        </w:tc>
        <w:tc>
          <w:tcPr>
            <w:tcW w:w="267" w:type="dxa"/>
            <w:tcBorders>
              <w:top w:val="nil"/>
              <w:left w:val="nil"/>
              <w:bottom w:val="nil"/>
              <w:right w:val="nil"/>
            </w:tcBorders>
            <w:shd w:val="clear" w:color="000000" w:fill="D9D9D9"/>
            <w:noWrap/>
            <w:vAlign w:val="bottom"/>
            <w:hideMark/>
          </w:tcPr>
          <w:p w14:paraId="1EA71626"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0B0972F2"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7596C119" w14:textId="77777777" w:rsidTr="002D1EA4">
        <w:trPr>
          <w:trHeight w:val="255"/>
        </w:trPr>
        <w:tc>
          <w:tcPr>
            <w:tcW w:w="3950" w:type="dxa"/>
            <w:tcBorders>
              <w:top w:val="nil"/>
              <w:left w:val="nil"/>
              <w:bottom w:val="nil"/>
              <w:right w:val="nil"/>
            </w:tcBorders>
            <w:shd w:val="clear" w:color="000000" w:fill="D9D9D9"/>
            <w:vAlign w:val="bottom"/>
            <w:hideMark/>
          </w:tcPr>
          <w:p w14:paraId="70B41B8D" w14:textId="77777777" w:rsidR="00AB6753" w:rsidRDefault="00AB6753" w:rsidP="002D1EA4">
            <w:pPr>
              <w:spacing w:after="0"/>
              <w:rPr>
                <w:rFonts w:cs="Arial"/>
                <w:sz w:val="18"/>
                <w:szCs w:val="18"/>
              </w:rPr>
            </w:pPr>
            <w:r>
              <w:rPr>
                <w:rFonts w:cs="Arial"/>
                <w:sz w:val="18"/>
                <w:szCs w:val="18"/>
              </w:rPr>
              <w:t>Fair value gains</w:t>
            </w:r>
          </w:p>
        </w:tc>
        <w:tc>
          <w:tcPr>
            <w:tcW w:w="807" w:type="dxa"/>
            <w:tcBorders>
              <w:top w:val="nil"/>
              <w:left w:val="nil"/>
              <w:bottom w:val="single" w:sz="4" w:space="0" w:color="D9D9D9"/>
              <w:right w:val="nil"/>
            </w:tcBorders>
            <w:shd w:val="clear" w:color="000000" w:fill="D9D9D9"/>
            <w:vAlign w:val="bottom"/>
            <w:hideMark/>
          </w:tcPr>
          <w:p w14:paraId="4891E662" w14:textId="77777777" w:rsidR="00AB6753" w:rsidRDefault="00AB6753" w:rsidP="002D1EA4">
            <w:pPr>
              <w:spacing w:after="0"/>
              <w:jc w:val="center"/>
              <w:rPr>
                <w:rFonts w:cs="Arial"/>
                <w:sz w:val="18"/>
                <w:szCs w:val="18"/>
              </w:rPr>
            </w:pPr>
            <w:r>
              <w:rPr>
                <w:rFonts w:cs="Arial"/>
                <w:sz w:val="18"/>
                <w:szCs w:val="18"/>
              </w:rPr>
              <w:t>2.2C</w:t>
            </w:r>
          </w:p>
        </w:tc>
        <w:tc>
          <w:tcPr>
            <w:tcW w:w="1337" w:type="dxa"/>
            <w:tcBorders>
              <w:top w:val="nil"/>
              <w:left w:val="nil"/>
              <w:bottom w:val="nil"/>
              <w:right w:val="nil"/>
            </w:tcBorders>
            <w:shd w:val="clear" w:color="000000" w:fill="D9D9D9"/>
            <w:noWrap/>
            <w:vAlign w:val="bottom"/>
            <w:hideMark/>
          </w:tcPr>
          <w:p w14:paraId="204028AD" w14:textId="77777777" w:rsidR="00AB6753" w:rsidRDefault="00AB6753" w:rsidP="002D1EA4">
            <w:pPr>
              <w:spacing w:after="0"/>
              <w:jc w:val="right"/>
              <w:rPr>
                <w:rFonts w:cs="Arial"/>
                <w:b/>
                <w:bCs/>
                <w:sz w:val="18"/>
                <w:szCs w:val="18"/>
              </w:rPr>
            </w:pPr>
            <w:r>
              <w:rPr>
                <w:rFonts w:cs="Arial"/>
                <w:b/>
                <w:bCs/>
                <w:sz w:val="18"/>
                <w:szCs w:val="18"/>
              </w:rPr>
              <w:t>220,612</w:t>
            </w:r>
          </w:p>
        </w:tc>
        <w:tc>
          <w:tcPr>
            <w:tcW w:w="267" w:type="dxa"/>
            <w:tcBorders>
              <w:top w:val="nil"/>
              <w:left w:val="nil"/>
              <w:bottom w:val="nil"/>
              <w:right w:val="nil"/>
            </w:tcBorders>
            <w:shd w:val="clear" w:color="000000" w:fill="D9D9D9"/>
            <w:noWrap/>
            <w:vAlign w:val="bottom"/>
            <w:hideMark/>
          </w:tcPr>
          <w:p w14:paraId="58653DFA"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3F078473" w14:textId="77777777" w:rsidR="00AB6753" w:rsidRDefault="00AB6753" w:rsidP="002D1EA4">
            <w:pPr>
              <w:spacing w:after="0"/>
              <w:jc w:val="right"/>
              <w:rPr>
                <w:rFonts w:cs="Arial"/>
                <w:sz w:val="18"/>
                <w:szCs w:val="18"/>
              </w:rPr>
            </w:pPr>
            <w:r>
              <w:rPr>
                <w:rFonts w:cs="Arial"/>
                <w:sz w:val="18"/>
                <w:szCs w:val="18"/>
              </w:rPr>
              <w:t>74,146</w:t>
            </w:r>
          </w:p>
        </w:tc>
        <w:tc>
          <w:tcPr>
            <w:tcW w:w="267" w:type="dxa"/>
            <w:tcBorders>
              <w:top w:val="nil"/>
              <w:left w:val="nil"/>
              <w:bottom w:val="nil"/>
              <w:right w:val="nil"/>
            </w:tcBorders>
            <w:shd w:val="clear" w:color="000000" w:fill="D9D9D9"/>
            <w:noWrap/>
            <w:vAlign w:val="bottom"/>
            <w:hideMark/>
          </w:tcPr>
          <w:p w14:paraId="1E710772"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713767D1"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15A5DE0E" w14:textId="77777777" w:rsidTr="002D1EA4">
        <w:trPr>
          <w:trHeight w:val="255"/>
        </w:trPr>
        <w:tc>
          <w:tcPr>
            <w:tcW w:w="3950" w:type="dxa"/>
            <w:tcBorders>
              <w:top w:val="single" w:sz="4" w:space="0" w:color="D9D9D9"/>
              <w:left w:val="nil"/>
              <w:bottom w:val="single" w:sz="4" w:space="0" w:color="D9D9D9"/>
              <w:right w:val="nil"/>
            </w:tcBorders>
            <w:shd w:val="clear" w:color="000000" w:fill="D9D9D9"/>
            <w:vAlign w:val="bottom"/>
            <w:hideMark/>
          </w:tcPr>
          <w:p w14:paraId="337AC5CF" w14:textId="77777777" w:rsidR="00AB6753" w:rsidRDefault="00AB6753" w:rsidP="002D1EA4">
            <w:pPr>
              <w:spacing w:after="0"/>
              <w:rPr>
                <w:rFonts w:cs="Arial"/>
                <w:b/>
                <w:bCs/>
                <w:sz w:val="18"/>
                <w:szCs w:val="18"/>
              </w:rPr>
            </w:pPr>
            <w:r>
              <w:rPr>
                <w:rFonts w:cs="Arial"/>
                <w:b/>
                <w:bCs/>
                <w:sz w:val="18"/>
                <w:szCs w:val="18"/>
              </w:rPr>
              <w:t>Total gains</w:t>
            </w:r>
          </w:p>
        </w:tc>
        <w:tc>
          <w:tcPr>
            <w:tcW w:w="807" w:type="dxa"/>
            <w:tcBorders>
              <w:top w:val="nil"/>
              <w:left w:val="nil"/>
              <w:bottom w:val="single" w:sz="4" w:space="0" w:color="D9D9D9"/>
              <w:right w:val="nil"/>
            </w:tcBorders>
            <w:shd w:val="clear" w:color="000000" w:fill="D9D9D9"/>
            <w:vAlign w:val="bottom"/>
            <w:hideMark/>
          </w:tcPr>
          <w:p w14:paraId="08035511"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02E32FDE" w14:textId="77777777" w:rsidR="00AB6753" w:rsidRDefault="00AB6753" w:rsidP="002D1EA4">
            <w:pPr>
              <w:spacing w:after="0"/>
              <w:jc w:val="right"/>
              <w:rPr>
                <w:rFonts w:cs="Arial"/>
                <w:b/>
                <w:bCs/>
                <w:sz w:val="18"/>
                <w:szCs w:val="18"/>
              </w:rPr>
            </w:pPr>
            <w:r>
              <w:rPr>
                <w:rFonts w:cs="Arial"/>
                <w:b/>
                <w:bCs/>
                <w:sz w:val="18"/>
                <w:szCs w:val="18"/>
              </w:rPr>
              <w:t>220,670</w:t>
            </w:r>
          </w:p>
        </w:tc>
        <w:tc>
          <w:tcPr>
            <w:tcW w:w="267" w:type="dxa"/>
            <w:tcBorders>
              <w:top w:val="single" w:sz="4" w:space="0" w:color="D9D9D9"/>
              <w:left w:val="nil"/>
              <w:bottom w:val="single" w:sz="4" w:space="0" w:color="D9D9D9"/>
              <w:right w:val="nil"/>
            </w:tcBorders>
            <w:shd w:val="clear" w:color="000000" w:fill="D9D9D9"/>
            <w:vAlign w:val="bottom"/>
            <w:hideMark/>
          </w:tcPr>
          <w:p w14:paraId="60AFFE16" w14:textId="77777777" w:rsidR="00AB6753" w:rsidRDefault="00AB6753" w:rsidP="002D1EA4">
            <w:pPr>
              <w:spacing w:after="0"/>
              <w:rPr>
                <w:rFonts w:cs="Arial"/>
                <w:sz w:val="16"/>
                <w:szCs w:val="16"/>
              </w:rPr>
            </w:pPr>
            <w:r>
              <w:rPr>
                <w:rFonts w:cs="Arial"/>
                <w:sz w:val="16"/>
                <w:szCs w:val="16"/>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5AB372CD" w14:textId="77777777" w:rsidR="00AB6753" w:rsidRDefault="00AB6753" w:rsidP="002D1EA4">
            <w:pPr>
              <w:spacing w:after="0"/>
              <w:jc w:val="right"/>
              <w:rPr>
                <w:rFonts w:cs="Arial"/>
                <w:sz w:val="18"/>
                <w:szCs w:val="18"/>
              </w:rPr>
            </w:pPr>
            <w:r>
              <w:rPr>
                <w:rFonts w:cs="Arial"/>
                <w:sz w:val="18"/>
                <w:szCs w:val="18"/>
              </w:rPr>
              <w:t>378,946</w:t>
            </w:r>
          </w:p>
        </w:tc>
        <w:tc>
          <w:tcPr>
            <w:tcW w:w="267" w:type="dxa"/>
            <w:tcBorders>
              <w:top w:val="single" w:sz="4" w:space="0" w:color="D9D9D9"/>
              <w:left w:val="nil"/>
              <w:bottom w:val="single" w:sz="4" w:space="0" w:color="D9D9D9"/>
              <w:right w:val="nil"/>
            </w:tcBorders>
            <w:shd w:val="clear" w:color="000000" w:fill="D9D9D9"/>
            <w:vAlign w:val="bottom"/>
            <w:hideMark/>
          </w:tcPr>
          <w:p w14:paraId="31480707" w14:textId="77777777" w:rsidR="00AB6753" w:rsidRDefault="00AB6753" w:rsidP="002D1EA4">
            <w:pPr>
              <w:spacing w:after="0"/>
              <w:rPr>
                <w:rFonts w:cs="Arial"/>
                <w:sz w:val="16"/>
                <w:szCs w:val="16"/>
              </w:rPr>
            </w:pPr>
            <w:r>
              <w:rPr>
                <w:rFonts w:cs="Arial"/>
                <w:sz w:val="16"/>
                <w:szCs w:val="16"/>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3342683E" w14:textId="77777777" w:rsidR="00AB6753" w:rsidRDefault="00AB6753" w:rsidP="002D1EA4">
            <w:pPr>
              <w:spacing w:after="0"/>
              <w:jc w:val="right"/>
              <w:rPr>
                <w:rFonts w:cs="Arial"/>
                <w:sz w:val="18"/>
                <w:szCs w:val="18"/>
              </w:rPr>
            </w:pPr>
            <w:r>
              <w:rPr>
                <w:rFonts w:cs="Arial"/>
                <w:sz w:val="18"/>
                <w:szCs w:val="18"/>
              </w:rPr>
              <w:t>-</w:t>
            </w:r>
          </w:p>
        </w:tc>
      </w:tr>
      <w:tr w:rsidR="00AB6753" w14:paraId="4CD87B07" w14:textId="77777777" w:rsidTr="002D1EA4">
        <w:trPr>
          <w:trHeight w:val="255"/>
        </w:trPr>
        <w:tc>
          <w:tcPr>
            <w:tcW w:w="3950" w:type="dxa"/>
            <w:tcBorders>
              <w:top w:val="nil"/>
              <w:left w:val="nil"/>
              <w:bottom w:val="single" w:sz="4" w:space="0" w:color="D9D9D9"/>
              <w:right w:val="nil"/>
            </w:tcBorders>
            <w:shd w:val="clear" w:color="000000" w:fill="D9D9D9"/>
            <w:vAlign w:val="bottom"/>
            <w:hideMark/>
          </w:tcPr>
          <w:p w14:paraId="17447629" w14:textId="77777777" w:rsidR="00AB6753" w:rsidRDefault="00AB6753" w:rsidP="002D1EA4">
            <w:pPr>
              <w:spacing w:after="0"/>
              <w:rPr>
                <w:rFonts w:cs="Arial"/>
                <w:b/>
                <w:bCs/>
                <w:sz w:val="18"/>
                <w:szCs w:val="18"/>
              </w:rPr>
            </w:pPr>
            <w:r>
              <w:rPr>
                <w:rFonts w:cs="Arial"/>
                <w:b/>
                <w:bCs/>
                <w:sz w:val="18"/>
                <w:szCs w:val="18"/>
              </w:rPr>
              <w:t>Total income</w:t>
            </w:r>
          </w:p>
        </w:tc>
        <w:tc>
          <w:tcPr>
            <w:tcW w:w="807" w:type="dxa"/>
            <w:tcBorders>
              <w:top w:val="nil"/>
              <w:left w:val="nil"/>
              <w:bottom w:val="single" w:sz="4" w:space="0" w:color="D9D9D9"/>
              <w:right w:val="nil"/>
            </w:tcBorders>
            <w:shd w:val="clear" w:color="000000" w:fill="D9D9D9"/>
            <w:vAlign w:val="bottom"/>
            <w:hideMark/>
          </w:tcPr>
          <w:p w14:paraId="3875C9C7"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single" w:sz="4" w:space="0" w:color="auto"/>
              <w:right w:val="nil"/>
            </w:tcBorders>
            <w:shd w:val="clear" w:color="000000" w:fill="D9D9D9"/>
            <w:noWrap/>
            <w:vAlign w:val="bottom"/>
            <w:hideMark/>
          </w:tcPr>
          <w:p w14:paraId="19CAAAB1" w14:textId="77777777" w:rsidR="00AB6753" w:rsidRDefault="00AB6753" w:rsidP="002D1EA4">
            <w:pPr>
              <w:spacing w:after="0"/>
              <w:jc w:val="right"/>
              <w:rPr>
                <w:rFonts w:cs="Arial"/>
                <w:b/>
                <w:bCs/>
                <w:sz w:val="18"/>
                <w:szCs w:val="18"/>
              </w:rPr>
            </w:pPr>
            <w:r>
              <w:rPr>
                <w:rFonts w:cs="Arial"/>
                <w:b/>
                <w:bCs/>
                <w:sz w:val="18"/>
                <w:szCs w:val="18"/>
              </w:rPr>
              <w:t>576,526</w:t>
            </w:r>
          </w:p>
        </w:tc>
        <w:tc>
          <w:tcPr>
            <w:tcW w:w="267" w:type="dxa"/>
            <w:tcBorders>
              <w:top w:val="nil"/>
              <w:left w:val="nil"/>
              <w:bottom w:val="single" w:sz="4" w:space="0" w:color="D9D9D9"/>
              <w:right w:val="nil"/>
            </w:tcBorders>
            <w:shd w:val="clear" w:color="000000" w:fill="D9D9D9"/>
            <w:vAlign w:val="bottom"/>
            <w:hideMark/>
          </w:tcPr>
          <w:p w14:paraId="0F030226"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single" w:sz="4" w:space="0" w:color="auto"/>
              <w:right w:val="nil"/>
            </w:tcBorders>
            <w:shd w:val="clear" w:color="000000" w:fill="D9D9D9"/>
            <w:noWrap/>
            <w:vAlign w:val="bottom"/>
            <w:hideMark/>
          </w:tcPr>
          <w:p w14:paraId="017627FA" w14:textId="77777777" w:rsidR="00AB6753" w:rsidRDefault="00AB6753" w:rsidP="002D1EA4">
            <w:pPr>
              <w:spacing w:after="0"/>
              <w:jc w:val="right"/>
              <w:rPr>
                <w:rFonts w:cs="Arial"/>
                <w:sz w:val="18"/>
                <w:szCs w:val="18"/>
              </w:rPr>
            </w:pPr>
            <w:r>
              <w:rPr>
                <w:rFonts w:cs="Arial"/>
                <w:sz w:val="18"/>
                <w:szCs w:val="18"/>
              </w:rPr>
              <w:t>514,862</w:t>
            </w:r>
          </w:p>
        </w:tc>
        <w:tc>
          <w:tcPr>
            <w:tcW w:w="267" w:type="dxa"/>
            <w:tcBorders>
              <w:top w:val="nil"/>
              <w:left w:val="nil"/>
              <w:bottom w:val="single" w:sz="4" w:space="0" w:color="D9D9D9"/>
              <w:right w:val="nil"/>
            </w:tcBorders>
            <w:shd w:val="clear" w:color="000000" w:fill="D9D9D9"/>
            <w:vAlign w:val="bottom"/>
            <w:hideMark/>
          </w:tcPr>
          <w:p w14:paraId="2CE84FD4"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single" w:sz="4" w:space="0" w:color="auto"/>
              <w:right w:val="nil"/>
            </w:tcBorders>
            <w:shd w:val="clear" w:color="000000" w:fill="D9D9D9"/>
            <w:noWrap/>
            <w:vAlign w:val="bottom"/>
            <w:hideMark/>
          </w:tcPr>
          <w:p w14:paraId="674B3FB9" w14:textId="77777777" w:rsidR="00AB6753" w:rsidRDefault="00AB6753" w:rsidP="002D1EA4">
            <w:pPr>
              <w:spacing w:after="0"/>
              <w:jc w:val="right"/>
              <w:rPr>
                <w:rFonts w:cs="Arial"/>
                <w:sz w:val="18"/>
                <w:szCs w:val="18"/>
              </w:rPr>
            </w:pPr>
            <w:r>
              <w:rPr>
                <w:rFonts w:cs="Arial"/>
                <w:sz w:val="18"/>
                <w:szCs w:val="18"/>
              </w:rPr>
              <w:t>778,572</w:t>
            </w:r>
          </w:p>
        </w:tc>
      </w:tr>
      <w:tr w:rsidR="00AB6753" w14:paraId="528CFD10" w14:textId="77777777" w:rsidTr="002D1EA4">
        <w:trPr>
          <w:trHeight w:val="255"/>
        </w:trPr>
        <w:tc>
          <w:tcPr>
            <w:tcW w:w="3950" w:type="dxa"/>
            <w:tcBorders>
              <w:top w:val="nil"/>
              <w:left w:val="nil"/>
              <w:bottom w:val="single" w:sz="4" w:space="0" w:color="D9D9D9"/>
              <w:right w:val="nil"/>
            </w:tcBorders>
            <w:shd w:val="clear" w:color="000000" w:fill="D9D9D9"/>
            <w:vAlign w:val="bottom"/>
            <w:hideMark/>
          </w:tcPr>
          <w:p w14:paraId="27F4A365" w14:textId="77777777" w:rsidR="00AB6753" w:rsidRDefault="00AB6753" w:rsidP="002D1EA4">
            <w:pPr>
              <w:spacing w:after="0"/>
              <w:rPr>
                <w:rFonts w:cs="Arial"/>
                <w:sz w:val="18"/>
                <w:szCs w:val="18"/>
              </w:rPr>
            </w:pPr>
            <w:r>
              <w:rPr>
                <w:rFonts w:cs="Arial"/>
                <w:sz w:val="18"/>
                <w:szCs w:val="18"/>
              </w:rPr>
              <w:t> </w:t>
            </w:r>
          </w:p>
        </w:tc>
        <w:tc>
          <w:tcPr>
            <w:tcW w:w="807" w:type="dxa"/>
            <w:tcBorders>
              <w:top w:val="nil"/>
              <w:left w:val="nil"/>
              <w:bottom w:val="single" w:sz="4" w:space="0" w:color="D9D9D9"/>
              <w:right w:val="nil"/>
            </w:tcBorders>
            <w:shd w:val="clear" w:color="000000" w:fill="D9D9D9"/>
            <w:vAlign w:val="bottom"/>
            <w:hideMark/>
          </w:tcPr>
          <w:p w14:paraId="6F2D2A16"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single" w:sz="4" w:space="0" w:color="D9D9D9"/>
              <w:right w:val="nil"/>
            </w:tcBorders>
            <w:shd w:val="clear" w:color="000000" w:fill="D9D9D9"/>
            <w:noWrap/>
            <w:vAlign w:val="bottom"/>
            <w:hideMark/>
          </w:tcPr>
          <w:p w14:paraId="32B48A60"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single" w:sz="4" w:space="0" w:color="D9D9D9"/>
              <w:right w:val="nil"/>
            </w:tcBorders>
            <w:shd w:val="clear" w:color="000000" w:fill="D9D9D9"/>
            <w:vAlign w:val="bottom"/>
            <w:hideMark/>
          </w:tcPr>
          <w:p w14:paraId="532D4C6E"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single" w:sz="4" w:space="0" w:color="D9D9D9"/>
              <w:right w:val="nil"/>
            </w:tcBorders>
            <w:shd w:val="clear" w:color="000000" w:fill="D9D9D9"/>
            <w:noWrap/>
            <w:vAlign w:val="bottom"/>
            <w:hideMark/>
          </w:tcPr>
          <w:p w14:paraId="0BDA03B6"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single" w:sz="4" w:space="0" w:color="D9D9D9"/>
              <w:right w:val="nil"/>
            </w:tcBorders>
            <w:shd w:val="clear" w:color="000000" w:fill="D9D9D9"/>
            <w:vAlign w:val="bottom"/>
            <w:hideMark/>
          </w:tcPr>
          <w:p w14:paraId="45CD183C"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single" w:sz="4" w:space="0" w:color="D9D9D9"/>
              <w:right w:val="nil"/>
            </w:tcBorders>
            <w:shd w:val="clear" w:color="000000" w:fill="D9D9D9"/>
            <w:noWrap/>
            <w:vAlign w:val="bottom"/>
            <w:hideMark/>
          </w:tcPr>
          <w:p w14:paraId="68279BB2" w14:textId="77777777" w:rsidR="00AB6753" w:rsidRDefault="00AB6753" w:rsidP="002D1EA4">
            <w:pPr>
              <w:spacing w:after="0"/>
              <w:rPr>
                <w:rFonts w:cs="Arial"/>
                <w:sz w:val="16"/>
                <w:szCs w:val="16"/>
              </w:rPr>
            </w:pPr>
            <w:r>
              <w:rPr>
                <w:rFonts w:cs="Arial"/>
                <w:sz w:val="16"/>
                <w:szCs w:val="16"/>
              </w:rPr>
              <w:t> </w:t>
            </w:r>
          </w:p>
        </w:tc>
      </w:tr>
      <w:tr w:rsidR="00AB6753" w14:paraId="4534D7CF" w14:textId="77777777" w:rsidTr="002D1EA4">
        <w:trPr>
          <w:trHeight w:val="255"/>
        </w:trPr>
        <w:tc>
          <w:tcPr>
            <w:tcW w:w="3950" w:type="dxa"/>
            <w:tcBorders>
              <w:top w:val="nil"/>
              <w:left w:val="nil"/>
              <w:bottom w:val="single" w:sz="4" w:space="0" w:color="D9D9D9"/>
              <w:right w:val="nil"/>
            </w:tcBorders>
            <w:shd w:val="clear" w:color="000000" w:fill="D9D9D9"/>
            <w:vAlign w:val="bottom"/>
            <w:hideMark/>
          </w:tcPr>
          <w:p w14:paraId="05D54341" w14:textId="77777777" w:rsidR="00AB6753" w:rsidRDefault="00AB6753" w:rsidP="002D1EA4">
            <w:pPr>
              <w:spacing w:after="0"/>
              <w:rPr>
                <w:rFonts w:cs="Arial"/>
                <w:b/>
                <w:bCs/>
                <w:sz w:val="18"/>
                <w:szCs w:val="18"/>
              </w:rPr>
            </w:pPr>
            <w:r>
              <w:rPr>
                <w:rFonts w:cs="Arial"/>
                <w:b/>
                <w:bCs/>
                <w:sz w:val="18"/>
                <w:szCs w:val="18"/>
              </w:rPr>
              <w:t xml:space="preserve">Net cost of services </w:t>
            </w:r>
          </w:p>
        </w:tc>
        <w:tc>
          <w:tcPr>
            <w:tcW w:w="807" w:type="dxa"/>
            <w:tcBorders>
              <w:top w:val="nil"/>
              <w:left w:val="nil"/>
              <w:bottom w:val="single" w:sz="4" w:space="0" w:color="D9D9D9"/>
              <w:right w:val="nil"/>
            </w:tcBorders>
            <w:shd w:val="clear" w:color="000000" w:fill="D9D9D9"/>
            <w:vAlign w:val="bottom"/>
            <w:hideMark/>
          </w:tcPr>
          <w:p w14:paraId="6181D26D"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4C729A2E" w14:textId="77777777" w:rsidR="00AB6753" w:rsidRDefault="00AB6753" w:rsidP="002D1EA4">
            <w:pPr>
              <w:spacing w:after="0"/>
              <w:jc w:val="right"/>
              <w:rPr>
                <w:rFonts w:cs="Arial"/>
                <w:b/>
                <w:bCs/>
                <w:sz w:val="18"/>
                <w:szCs w:val="18"/>
              </w:rPr>
            </w:pPr>
            <w:r>
              <w:rPr>
                <w:rFonts w:cs="Arial"/>
                <w:b/>
                <w:bCs/>
                <w:sz w:val="18"/>
                <w:szCs w:val="18"/>
              </w:rPr>
              <w:t>(140,392,987)</w:t>
            </w:r>
          </w:p>
        </w:tc>
        <w:tc>
          <w:tcPr>
            <w:tcW w:w="267" w:type="dxa"/>
            <w:tcBorders>
              <w:top w:val="nil"/>
              <w:left w:val="nil"/>
              <w:bottom w:val="single" w:sz="4" w:space="0" w:color="D9D9D9"/>
              <w:right w:val="nil"/>
            </w:tcBorders>
            <w:shd w:val="clear" w:color="000000" w:fill="D9D9D9"/>
            <w:vAlign w:val="bottom"/>
            <w:hideMark/>
          </w:tcPr>
          <w:p w14:paraId="6391B6D8" w14:textId="77777777" w:rsidR="00AB6753" w:rsidRDefault="00AB6753" w:rsidP="002D1EA4">
            <w:pPr>
              <w:spacing w:after="0"/>
              <w:rPr>
                <w:rFonts w:cs="Arial"/>
                <w:sz w:val="16"/>
                <w:szCs w:val="16"/>
              </w:rPr>
            </w:pPr>
            <w:r>
              <w:rPr>
                <w:rFonts w:cs="Arial"/>
                <w:sz w:val="16"/>
                <w:szCs w:val="16"/>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68205807" w14:textId="77777777" w:rsidR="00AB6753" w:rsidRDefault="00AB6753" w:rsidP="002D1EA4">
            <w:pPr>
              <w:spacing w:after="0"/>
              <w:jc w:val="right"/>
              <w:rPr>
                <w:rFonts w:cs="Arial"/>
                <w:sz w:val="18"/>
                <w:szCs w:val="18"/>
              </w:rPr>
            </w:pPr>
            <w:r>
              <w:rPr>
                <w:rFonts w:cs="Arial"/>
                <w:sz w:val="18"/>
                <w:szCs w:val="18"/>
              </w:rPr>
              <w:t>(118,624,257)</w:t>
            </w:r>
          </w:p>
        </w:tc>
        <w:tc>
          <w:tcPr>
            <w:tcW w:w="267" w:type="dxa"/>
            <w:tcBorders>
              <w:top w:val="nil"/>
              <w:left w:val="nil"/>
              <w:bottom w:val="single" w:sz="4" w:space="0" w:color="D9D9D9"/>
              <w:right w:val="nil"/>
            </w:tcBorders>
            <w:shd w:val="clear" w:color="000000" w:fill="D9D9D9"/>
            <w:vAlign w:val="bottom"/>
            <w:hideMark/>
          </w:tcPr>
          <w:p w14:paraId="3BDE0366" w14:textId="77777777" w:rsidR="00AB6753" w:rsidRDefault="00AB6753" w:rsidP="002D1EA4">
            <w:pPr>
              <w:spacing w:after="0"/>
              <w:rPr>
                <w:rFonts w:cs="Arial"/>
                <w:sz w:val="16"/>
                <w:szCs w:val="16"/>
              </w:rPr>
            </w:pPr>
            <w:r>
              <w:rPr>
                <w:rFonts w:cs="Arial"/>
                <w:sz w:val="16"/>
                <w:szCs w:val="16"/>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4F352763" w14:textId="77777777" w:rsidR="00AB6753" w:rsidRDefault="00AB6753" w:rsidP="002D1EA4">
            <w:pPr>
              <w:spacing w:after="0"/>
              <w:jc w:val="right"/>
              <w:rPr>
                <w:rFonts w:cs="Arial"/>
                <w:sz w:val="18"/>
                <w:szCs w:val="18"/>
              </w:rPr>
            </w:pPr>
            <w:r>
              <w:rPr>
                <w:rFonts w:cs="Arial"/>
                <w:sz w:val="18"/>
                <w:szCs w:val="18"/>
              </w:rPr>
              <w:t>(125,496,844)</w:t>
            </w:r>
          </w:p>
        </w:tc>
      </w:tr>
      <w:tr w:rsidR="00AB6753" w14:paraId="3395E21B" w14:textId="77777777" w:rsidTr="002D1EA4">
        <w:trPr>
          <w:trHeight w:val="255"/>
        </w:trPr>
        <w:tc>
          <w:tcPr>
            <w:tcW w:w="3950" w:type="dxa"/>
            <w:tcBorders>
              <w:top w:val="nil"/>
              <w:left w:val="nil"/>
              <w:bottom w:val="single" w:sz="4" w:space="0" w:color="D9D9D9"/>
              <w:right w:val="nil"/>
            </w:tcBorders>
            <w:shd w:val="clear" w:color="000000" w:fill="D9D9D9"/>
            <w:vAlign w:val="bottom"/>
            <w:hideMark/>
          </w:tcPr>
          <w:p w14:paraId="1747E7AF" w14:textId="77777777" w:rsidR="00AB6753" w:rsidRDefault="00AB6753" w:rsidP="002D1EA4">
            <w:pPr>
              <w:spacing w:after="0"/>
              <w:rPr>
                <w:rFonts w:cs="Arial"/>
                <w:sz w:val="18"/>
                <w:szCs w:val="18"/>
              </w:rPr>
            </w:pPr>
            <w:r>
              <w:rPr>
                <w:rFonts w:cs="Arial"/>
                <w:sz w:val="18"/>
                <w:szCs w:val="18"/>
              </w:rPr>
              <w:t> </w:t>
            </w:r>
          </w:p>
        </w:tc>
        <w:tc>
          <w:tcPr>
            <w:tcW w:w="807" w:type="dxa"/>
            <w:tcBorders>
              <w:top w:val="nil"/>
              <w:left w:val="nil"/>
              <w:bottom w:val="single" w:sz="4" w:space="0" w:color="D9D9D9"/>
              <w:right w:val="nil"/>
            </w:tcBorders>
            <w:shd w:val="clear" w:color="000000" w:fill="D9D9D9"/>
            <w:vAlign w:val="bottom"/>
            <w:hideMark/>
          </w:tcPr>
          <w:p w14:paraId="3C8FE2FD"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single" w:sz="4" w:space="0" w:color="D9D9D9"/>
              <w:right w:val="nil"/>
            </w:tcBorders>
            <w:shd w:val="clear" w:color="000000" w:fill="D9D9D9"/>
            <w:noWrap/>
            <w:vAlign w:val="bottom"/>
            <w:hideMark/>
          </w:tcPr>
          <w:p w14:paraId="7703E983"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single" w:sz="4" w:space="0" w:color="D9D9D9"/>
              <w:right w:val="nil"/>
            </w:tcBorders>
            <w:shd w:val="clear" w:color="000000" w:fill="D9D9D9"/>
            <w:vAlign w:val="bottom"/>
            <w:hideMark/>
          </w:tcPr>
          <w:p w14:paraId="6C222C1E"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single" w:sz="4" w:space="0" w:color="D9D9D9"/>
              <w:right w:val="nil"/>
            </w:tcBorders>
            <w:shd w:val="clear" w:color="000000" w:fill="D9D9D9"/>
            <w:noWrap/>
            <w:vAlign w:val="bottom"/>
            <w:hideMark/>
          </w:tcPr>
          <w:p w14:paraId="76035988"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single" w:sz="4" w:space="0" w:color="D9D9D9"/>
              <w:right w:val="nil"/>
            </w:tcBorders>
            <w:shd w:val="clear" w:color="000000" w:fill="D9D9D9"/>
            <w:vAlign w:val="bottom"/>
            <w:hideMark/>
          </w:tcPr>
          <w:p w14:paraId="798EA020"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single" w:sz="4" w:space="0" w:color="D9D9D9"/>
              <w:right w:val="nil"/>
            </w:tcBorders>
            <w:shd w:val="clear" w:color="000000" w:fill="D9D9D9"/>
            <w:noWrap/>
            <w:vAlign w:val="bottom"/>
            <w:hideMark/>
          </w:tcPr>
          <w:p w14:paraId="6FA1F737" w14:textId="77777777" w:rsidR="00AB6753" w:rsidRDefault="00AB6753" w:rsidP="002D1EA4">
            <w:pPr>
              <w:spacing w:after="0"/>
              <w:rPr>
                <w:rFonts w:cs="Arial"/>
                <w:sz w:val="16"/>
                <w:szCs w:val="16"/>
              </w:rPr>
            </w:pPr>
            <w:r>
              <w:rPr>
                <w:rFonts w:cs="Arial"/>
                <w:sz w:val="16"/>
                <w:szCs w:val="16"/>
              </w:rPr>
              <w:t> </w:t>
            </w:r>
          </w:p>
        </w:tc>
      </w:tr>
      <w:tr w:rsidR="00AB6753" w14:paraId="374415EB" w14:textId="77777777" w:rsidTr="002D1EA4">
        <w:trPr>
          <w:trHeight w:val="255"/>
        </w:trPr>
        <w:tc>
          <w:tcPr>
            <w:tcW w:w="3950" w:type="dxa"/>
            <w:tcBorders>
              <w:top w:val="nil"/>
              <w:left w:val="nil"/>
              <w:bottom w:val="single" w:sz="4" w:space="0" w:color="D9D9D9"/>
              <w:right w:val="nil"/>
            </w:tcBorders>
            <w:shd w:val="clear" w:color="000000" w:fill="D9D9D9"/>
            <w:vAlign w:val="bottom"/>
            <w:hideMark/>
          </w:tcPr>
          <w:p w14:paraId="180FF9A8" w14:textId="77777777" w:rsidR="00AB6753" w:rsidRDefault="00AB6753" w:rsidP="002D1EA4">
            <w:pPr>
              <w:spacing w:after="0"/>
              <w:rPr>
                <w:rFonts w:cs="Arial"/>
                <w:b/>
                <w:bCs/>
                <w:sz w:val="18"/>
                <w:szCs w:val="18"/>
              </w:rPr>
            </w:pPr>
            <w:r>
              <w:rPr>
                <w:rFonts w:cs="Arial"/>
                <w:b/>
                <w:bCs/>
                <w:sz w:val="18"/>
                <w:szCs w:val="18"/>
              </w:rPr>
              <w:t>Deficit</w:t>
            </w:r>
          </w:p>
        </w:tc>
        <w:tc>
          <w:tcPr>
            <w:tcW w:w="807" w:type="dxa"/>
            <w:tcBorders>
              <w:top w:val="nil"/>
              <w:left w:val="nil"/>
              <w:bottom w:val="single" w:sz="4" w:space="0" w:color="D9D9D9"/>
              <w:right w:val="nil"/>
            </w:tcBorders>
            <w:shd w:val="clear" w:color="000000" w:fill="D9D9D9"/>
            <w:vAlign w:val="bottom"/>
            <w:hideMark/>
          </w:tcPr>
          <w:p w14:paraId="37E95F53"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0EFABCF6" w14:textId="77777777" w:rsidR="00AB6753" w:rsidRDefault="00AB6753" w:rsidP="002D1EA4">
            <w:pPr>
              <w:spacing w:after="0"/>
              <w:jc w:val="right"/>
              <w:rPr>
                <w:rFonts w:cs="Arial"/>
                <w:b/>
                <w:bCs/>
                <w:sz w:val="18"/>
                <w:szCs w:val="18"/>
              </w:rPr>
            </w:pPr>
            <w:r>
              <w:rPr>
                <w:rFonts w:cs="Arial"/>
                <w:b/>
                <w:bCs/>
                <w:sz w:val="18"/>
                <w:szCs w:val="18"/>
              </w:rPr>
              <w:t>(140,392,987)</w:t>
            </w:r>
          </w:p>
        </w:tc>
        <w:tc>
          <w:tcPr>
            <w:tcW w:w="267" w:type="dxa"/>
            <w:tcBorders>
              <w:top w:val="nil"/>
              <w:left w:val="nil"/>
              <w:bottom w:val="single" w:sz="4" w:space="0" w:color="D9D9D9"/>
              <w:right w:val="nil"/>
            </w:tcBorders>
            <w:shd w:val="clear" w:color="000000" w:fill="D9D9D9"/>
            <w:vAlign w:val="bottom"/>
            <w:hideMark/>
          </w:tcPr>
          <w:p w14:paraId="442FD99F" w14:textId="77777777" w:rsidR="00AB6753" w:rsidRDefault="00AB6753" w:rsidP="002D1EA4">
            <w:pPr>
              <w:spacing w:after="0"/>
              <w:rPr>
                <w:rFonts w:cs="Arial"/>
                <w:sz w:val="16"/>
                <w:szCs w:val="16"/>
              </w:rPr>
            </w:pPr>
            <w:r>
              <w:rPr>
                <w:rFonts w:cs="Arial"/>
                <w:sz w:val="16"/>
                <w:szCs w:val="16"/>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7ABC81B3" w14:textId="77777777" w:rsidR="00AB6753" w:rsidRDefault="00AB6753" w:rsidP="002D1EA4">
            <w:pPr>
              <w:spacing w:after="0"/>
              <w:jc w:val="right"/>
              <w:rPr>
                <w:rFonts w:cs="Arial"/>
                <w:sz w:val="18"/>
                <w:szCs w:val="18"/>
              </w:rPr>
            </w:pPr>
            <w:r>
              <w:rPr>
                <w:rFonts w:cs="Arial"/>
                <w:sz w:val="18"/>
                <w:szCs w:val="18"/>
              </w:rPr>
              <w:t>(118,624,257)</w:t>
            </w:r>
          </w:p>
        </w:tc>
        <w:tc>
          <w:tcPr>
            <w:tcW w:w="267" w:type="dxa"/>
            <w:tcBorders>
              <w:top w:val="nil"/>
              <w:left w:val="nil"/>
              <w:bottom w:val="single" w:sz="4" w:space="0" w:color="D9D9D9"/>
              <w:right w:val="nil"/>
            </w:tcBorders>
            <w:shd w:val="clear" w:color="000000" w:fill="D9D9D9"/>
            <w:vAlign w:val="bottom"/>
            <w:hideMark/>
          </w:tcPr>
          <w:p w14:paraId="2CC8A12C" w14:textId="77777777" w:rsidR="00AB6753" w:rsidRDefault="00AB6753" w:rsidP="002D1EA4">
            <w:pPr>
              <w:spacing w:after="0"/>
              <w:rPr>
                <w:rFonts w:cs="Arial"/>
                <w:sz w:val="16"/>
                <w:szCs w:val="16"/>
              </w:rPr>
            </w:pPr>
            <w:r>
              <w:rPr>
                <w:rFonts w:cs="Arial"/>
                <w:sz w:val="16"/>
                <w:szCs w:val="16"/>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27DBD340" w14:textId="77777777" w:rsidR="00AB6753" w:rsidRDefault="00AB6753" w:rsidP="002D1EA4">
            <w:pPr>
              <w:spacing w:after="0"/>
              <w:jc w:val="right"/>
              <w:rPr>
                <w:rFonts w:cs="Arial"/>
                <w:sz w:val="18"/>
                <w:szCs w:val="18"/>
              </w:rPr>
            </w:pPr>
            <w:r>
              <w:rPr>
                <w:rFonts w:cs="Arial"/>
                <w:sz w:val="18"/>
                <w:szCs w:val="18"/>
              </w:rPr>
              <w:t>(125,496,844)</w:t>
            </w:r>
          </w:p>
        </w:tc>
      </w:tr>
      <w:tr w:rsidR="00AB6753" w14:paraId="114B2220" w14:textId="77777777" w:rsidTr="002D1EA4">
        <w:trPr>
          <w:trHeight w:val="255"/>
        </w:trPr>
        <w:tc>
          <w:tcPr>
            <w:tcW w:w="3950" w:type="dxa"/>
            <w:tcBorders>
              <w:top w:val="nil"/>
              <w:left w:val="nil"/>
              <w:bottom w:val="nil"/>
              <w:right w:val="nil"/>
            </w:tcBorders>
            <w:shd w:val="clear" w:color="000000" w:fill="D9D9D9"/>
            <w:noWrap/>
            <w:vAlign w:val="bottom"/>
            <w:hideMark/>
          </w:tcPr>
          <w:p w14:paraId="4A099FC7" w14:textId="77777777" w:rsidR="00AB6753" w:rsidRDefault="00AB6753" w:rsidP="002D1EA4">
            <w:pPr>
              <w:spacing w:after="0"/>
              <w:rPr>
                <w:rFonts w:cs="Arial"/>
                <w:sz w:val="16"/>
                <w:szCs w:val="16"/>
              </w:rPr>
            </w:pPr>
            <w:r>
              <w:rPr>
                <w:rFonts w:cs="Arial"/>
                <w:sz w:val="16"/>
                <w:szCs w:val="16"/>
              </w:rPr>
              <w:t> </w:t>
            </w:r>
          </w:p>
        </w:tc>
        <w:tc>
          <w:tcPr>
            <w:tcW w:w="807" w:type="dxa"/>
            <w:tcBorders>
              <w:top w:val="nil"/>
              <w:left w:val="nil"/>
              <w:bottom w:val="single" w:sz="4" w:space="0" w:color="D9D9D9"/>
              <w:right w:val="nil"/>
            </w:tcBorders>
            <w:shd w:val="clear" w:color="000000" w:fill="D9D9D9"/>
            <w:vAlign w:val="bottom"/>
            <w:hideMark/>
          </w:tcPr>
          <w:p w14:paraId="6E43731A"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nil"/>
              <w:right w:val="nil"/>
            </w:tcBorders>
            <w:shd w:val="clear" w:color="000000" w:fill="D9D9D9"/>
            <w:noWrap/>
            <w:vAlign w:val="bottom"/>
            <w:hideMark/>
          </w:tcPr>
          <w:p w14:paraId="2CA3962C"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1AC4D4DA"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0C2671E3"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39EBB7E7"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22FAF9BA" w14:textId="77777777" w:rsidR="00AB6753" w:rsidRDefault="00AB6753" w:rsidP="002D1EA4">
            <w:pPr>
              <w:spacing w:after="0"/>
              <w:rPr>
                <w:rFonts w:cs="Arial"/>
                <w:sz w:val="16"/>
                <w:szCs w:val="16"/>
              </w:rPr>
            </w:pPr>
            <w:r>
              <w:rPr>
                <w:rFonts w:cs="Arial"/>
                <w:sz w:val="16"/>
                <w:szCs w:val="16"/>
              </w:rPr>
              <w:t> </w:t>
            </w:r>
          </w:p>
        </w:tc>
      </w:tr>
      <w:tr w:rsidR="00AB6753" w14:paraId="7EC5A5D1" w14:textId="77777777" w:rsidTr="002D1EA4">
        <w:trPr>
          <w:trHeight w:val="255"/>
        </w:trPr>
        <w:tc>
          <w:tcPr>
            <w:tcW w:w="3950" w:type="dxa"/>
            <w:tcBorders>
              <w:top w:val="nil"/>
              <w:left w:val="nil"/>
              <w:bottom w:val="nil"/>
              <w:right w:val="nil"/>
            </w:tcBorders>
            <w:shd w:val="clear" w:color="000000" w:fill="D9D9D9"/>
            <w:vAlign w:val="bottom"/>
            <w:hideMark/>
          </w:tcPr>
          <w:p w14:paraId="0A68D908" w14:textId="77777777" w:rsidR="00AB6753" w:rsidRDefault="00AB6753" w:rsidP="002D1EA4">
            <w:pPr>
              <w:spacing w:after="0"/>
              <w:rPr>
                <w:rFonts w:cs="Arial"/>
                <w:b/>
                <w:bCs/>
                <w:sz w:val="18"/>
                <w:szCs w:val="18"/>
              </w:rPr>
            </w:pPr>
            <w:r>
              <w:rPr>
                <w:rFonts w:cs="Arial"/>
                <w:b/>
                <w:bCs/>
                <w:sz w:val="18"/>
                <w:szCs w:val="18"/>
              </w:rPr>
              <w:t>OTHER COMPREHENSIVE INCOME</w:t>
            </w:r>
          </w:p>
        </w:tc>
        <w:tc>
          <w:tcPr>
            <w:tcW w:w="807" w:type="dxa"/>
            <w:tcBorders>
              <w:top w:val="nil"/>
              <w:left w:val="nil"/>
              <w:bottom w:val="single" w:sz="4" w:space="0" w:color="D9D9D9"/>
              <w:right w:val="nil"/>
            </w:tcBorders>
            <w:shd w:val="clear" w:color="000000" w:fill="D9D9D9"/>
            <w:vAlign w:val="bottom"/>
            <w:hideMark/>
          </w:tcPr>
          <w:p w14:paraId="735AAC3E"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nil"/>
              <w:right w:val="nil"/>
            </w:tcBorders>
            <w:shd w:val="clear" w:color="000000" w:fill="D9D9D9"/>
            <w:noWrap/>
            <w:vAlign w:val="bottom"/>
            <w:hideMark/>
          </w:tcPr>
          <w:p w14:paraId="788ECA65"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18F778E8"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68E62BA1"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6124A70A"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56290585" w14:textId="77777777" w:rsidR="00AB6753" w:rsidRDefault="00AB6753" w:rsidP="002D1EA4">
            <w:pPr>
              <w:spacing w:after="0"/>
              <w:rPr>
                <w:rFonts w:cs="Arial"/>
                <w:sz w:val="16"/>
                <w:szCs w:val="16"/>
              </w:rPr>
            </w:pPr>
            <w:r>
              <w:rPr>
                <w:rFonts w:cs="Arial"/>
                <w:sz w:val="16"/>
                <w:szCs w:val="16"/>
              </w:rPr>
              <w:t> </w:t>
            </w:r>
          </w:p>
        </w:tc>
      </w:tr>
      <w:tr w:rsidR="00AB6753" w14:paraId="6F562BBF" w14:textId="77777777" w:rsidTr="002D1EA4">
        <w:trPr>
          <w:trHeight w:val="510"/>
        </w:trPr>
        <w:tc>
          <w:tcPr>
            <w:tcW w:w="4757" w:type="dxa"/>
            <w:gridSpan w:val="2"/>
            <w:tcBorders>
              <w:top w:val="nil"/>
              <w:left w:val="nil"/>
              <w:bottom w:val="nil"/>
              <w:right w:val="nil"/>
            </w:tcBorders>
            <w:shd w:val="clear" w:color="000000" w:fill="D9D9D9"/>
            <w:vAlign w:val="bottom"/>
            <w:hideMark/>
          </w:tcPr>
          <w:p w14:paraId="7F772F58" w14:textId="77777777" w:rsidR="00AB6753" w:rsidRDefault="00AB6753" w:rsidP="002D1EA4">
            <w:pPr>
              <w:spacing w:after="0"/>
              <w:rPr>
                <w:rFonts w:cs="Arial"/>
                <w:b/>
                <w:bCs/>
                <w:sz w:val="18"/>
                <w:szCs w:val="18"/>
              </w:rPr>
            </w:pPr>
            <w:r>
              <w:rPr>
                <w:rFonts w:cs="Arial"/>
                <w:b/>
                <w:bCs/>
                <w:sz w:val="18"/>
                <w:szCs w:val="18"/>
              </w:rPr>
              <w:t>Items not subject to subsequent reclassification to net cost of services</w:t>
            </w:r>
          </w:p>
        </w:tc>
        <w:tc>
          <w:tcPr>
            <w:tcW w:w="1337" w:type="dxa"/>
            <w:tcBorders>
              <w:top w:val="nil"/>
              <w:left w:val="nil"/>
              <w:bottom w:val="nil"/>
              <w:right w:val="nil"/>
            </w:tcBorders>
            <w:shd w:val="clear" w:color="000000" w:fill="D9D9D9"/>
            <w:noWrap/>
            <w:vAlign w:val="bottom"/>
            <w:hideMark/>
          </w:tcPr>
          <w:p w14:paraId="1A603CE1" w14:textId="77777777" w:rsidR="00AB6753" w:rsidRDefault="00AB6753" w:rsidP="002D1EA4">
            <w:pPr>
              <w:spacing w:after="0"/>
              <w:rPr>
                <w:rFonts w:cs="Arial"/>
                <w:b/>
                <w:bCs/>
                <w:sz w:val="18"/>
                <w:szCs w:val="18"/>
              </w:rPr>
            </w:pPr>
            <w:r>
              <w:rPr>
                <w:rFonts w:cs="Arial"/>
                <w:b/>
                <w:bCs/>
                <w:sz w:val="18"/>
                <w:szCs w:val="18"/>
              </w:rPr>
              <w:t> </w:t>
            </w:r>
          </w:p>
        </w:tc>
        <w:tc>
          <w:tcPr>
            <w:tcW w:w="267" w:type="dxa"/>
            <w:tcBorders>
              <w:top w:val="nil"/>
              <w:left w:val="nil"/>
              <w:bottom w:val="nil"/>
              <w:right w:val="nil"/>
            </w:tcBorders>
            <w:shd w:val="clear" w:color="000000" w:fill="D9D9D9"/>
            <w:noWrap/>
            <w:vAlign w:val="bottom"/>
            <w:hideMark/>
          </w:tcPr>
          <w:p w14:paraId="790C4B97" w14:textId="77777777" w:rsidR="00AB6753" w:rsidRDefault="00AB6753" w:rsidP="002D1EA4">
            <w:pPr>
              <w:spacing w:after="0"/>
              <w:rPr>
                <w:rFonts w:cs="Arial"/>
                <w:b/>
                <w:bCs/>
                <w:sz w:val="18"/>
                <w:szCs w:val="18"/>
              </w:rPr>
            </w:pPr>
            <w:r>
              <w:rPr>
                <w:rFonts w:cs="Arial"/>
                <w:b/>
                <w:bCs/>
                <w:sz w:val="18"/>
                <w:szCs w:val="18"/>
              </w:rPr>
              <w:t> </w:t>
            </w:r>
          </w:p>
        </w:tc>
        <w:tc>
          <w:tcPr>
            <w:tcW w:w="1337" w:type="dxa"/>
            <w:tcBorders>
              <w:top w:val="nil"/>
              <w:left w:val="nil"/>
              <w:bottom w:val="nil"/>
              <w:right w:val="nil"/>
            </w:tcBorders>
            <w:shd w:val="clear" w:color="000000" w:fill="D9D9D9"/>
            <w:noWrap/>
            <w:vAlign w:val="bottom"/>
            <w:hideMark/>
          </w:tcPr>
          <w:p w14:paraId="67BCE779" w14:textId="77777777" w:rsidR="00AB6753" w:rsidRDefault="00AB6753" w:rsidP="002D1EA4">
            <w:pPr>
              <w:spacing w:after="0"/>
              <w:rPr>
                <w:rFonts w:cs="Arial"/>
                <w:b/>
                <w:bCs/>
                <w:sz w:val="18"/>
                <w:szCs w:val="18"/>
              </w:rPr>
            </w:pPr>
            <w:r>
              <w:rPr>
                <w:rFonts w:cs="Arial"/>
                <w:b/>
                <w:bCs/>
                <w:sz w:val="18"/>
                <w:szCs w:val="18"/>
              </w:rPr>
              <w:t> </w:t>
            </w:r>
          </w:p>
        </w:tc>
        <w:tc>
          <w:tcPr>
            <w:tcW w:w="267" w:type="dxa"/>
            <w:tcBorders>
              <w:top w:val="nil"/>
              <w:left w:val="nil"/>
              <w:bottom w:val="nil"/>
              <w:right w:val="nil"/>
            </w:tcBorders>
            <w:shd w:val="clear" w:color="000000" w:fill="D9D9D9"/>
            <w:noWrap/>
            <w:vAlign w:val="bottom"/>
            <w:hideMark/>
          </w:tcPr>
          <w:p w14:paraId="55090477" w14:textId="77777777" w:rsidR="00AB6753" w:rsidRDefault="00AB6753" w:rsidP="002D1EA4">
            <w:pPr>
              <w:spacing w:after="0"/>
              <w:rPr>
                <w:rFonts w:cs="Arial"/>
                <w:b/>
                <w:bCs/>
                <w:sz w:val="18"/>
                <w:szCs w:val="18"/>
              </w:rPr>
            </w:pPr>
            <w:r>
              <w:rPr>
                <w:rFonts w:cs="Arial"/>
                <w:b/>
                <w:bCs/>
                <w:sz w:val="18"/>
                <w:szCs w:val="18"/>
              </w:rPr>
              <w:t> </w:t>
            </w:r>
          </w:p>
        </w:tc>
        <w:tc>
          <w:tcPr>
            <w:tcW w:w="1337" w:type="dxa"/>
            <w:tcBorders>
              <w:top w:val="nil"/>
              <w:left w:val="nil"/>
              <w:bottom w:val="nil"/>
              <w:right w:val="nil"/>
            </w:tcBorders>
            <w:shd w:val="clear" w:color="000000" w:fill="D9D9D9"/>
            <w:noWrap/>
            <w:vAlign w:val="bottom"/>
            <w:hideMark/>
          </w:tcPr>
          <w:p w14:paraId="55FD3E91" w14:textId="77777777" w:rsidR="00AB6753" w:rsidRDefault="00AB6753" w:rsidP="002D1EA4">
            <w:pPr>
              <w:spacing w:after="0"/>
              <w:rPr>
                <w:rFonts w:cs="Arial"/>
                <w:b/>
                <w:bCs/>
                <w:sz w:val="18"/>
                <w:szCs w:val="18"/>
              </w:rPr>
            </w:pPr>
            <w:r>
              <w:rPr>
                <w:rFonts w:cs="Arial"/>
                <w:b/>
                <w:bCs/>
                <w:sz w:val="18"/>
                <w:szCs w:val="18"/>
              </w:rPr>
              <w:t> </w:t>
            </w:r>
          </w:p>
        </w:tc>
      </w:tr>
      <w:tr w:rsidR="00AB6753" w14:paraId="30EB46F1" w14:textId="77777777" w:rsidTr="002D1EA4">
        <w:trPr>
          <w:trHeight w:val="255"/>
        </w:trPr>
        <w:tc>
          <w:tcPr>
            <w:tcW w:w="3950" w:type="dxa"/>
            <w:tcBorders>
              <w:top w:val="nil"/>
              <w:left w:val="nil"/>
              <w:bottom w:val="nil"/>
              <w:right w:val="nil"/>
            </w:tcBorders>
            <w:shd w:val="clear" w:color="000000" w:fill="D9D9D9"/>
            <w:vAlign w:val="bottom"/>
            <w:hideMark/>
          </w:tcPr>
          <w:p w14:paraId="57D92DE1" w14:textId="77777777" w:rsidR="00AB6753" w:rsidRDefault="00AB6753" w:rsidP="002D1EA4">
            <w:pPr>
              <w:spacing w:after="0"/>
              <w:rPr>
                <w:rFonts w:cs="Arial"/>
                <w:sz w:val="18"/>
                <w:szCs w:val="18"/>
              </w:rPr>
            </w:pPr>
            <w:r>
              <w:rPr>
                <w:rFonts w:cs="Arial"/>
                <w:sz w:val="18"/>
                <w:szCs w:val="18"/>
              </w:rPr>
              <w:t>Changes in asset revaluation reserve</w:t>
            </w:r>
          </w:p>
        </w:tc>
        <w:tc>
          <w:tcPr>
            <w:tcW w:w="807" w:type="dxa"/>
            <w:tcBorders>
              <w:top w:val="nil"/>
              <w:left w:val="nil"/>
              <w:bottom w:val="single" w:sz="4" w:space="0" w:color="D9D9D9"/>
              <w:right w:val="nil"/>
            </w:tcBorders>
            <w:shd w:val="clear" w:color="000000" w:fill="D9D9D9"/>
            <w:vAlign w:val="bottom"/>
            <w:hideMark/>
          </w:tcPr>
          <w:p w14:paraId="41C1F55E"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nil"/>
              <w:left w:val="nil"/>
              <w:bottom w:val="single" w:sz="4" w:space="0" w:color="D9D9D9"/>
              <w:right w:val="nil"/>
            </w:tcBorders>
            <w:shd w:val="clear" w:color="000000" w:fill="D9D9D9"/>
            <w:noWrap/>
            <w:vAlign w:val="bottom"/>
            <w:hideMark/>
          </w:tcPr>
          <w:p w14:paraId="48EEEED0" w14:textId="77777777" w:rsidR="00AB6753" w:rsidRDefault="00AB6753" w:rsidP="002D1EA4">
            <w:pPr>
              <w:spacing w:after="0"/>
              <w:jc w:val="right"/>
              <w:rPr>
                <w:rFonts w:cs="Arial"/>
                <w:b/>
                <w:bCs/>
                <w:sz w:val="18"/>
                <w:szCs w:val="18"/>
              </w:rPr>
            </w:pPr>
            <w:r>
              <w:rPr>
                <w:rFonts w:cs="Arial"/>
                <w:b/>
                <w:bCs/>
                <w:sz w:val="18"/>
                <w:szCs w:val="18"/>
              </w:rPr>
              <w:t>(1,437,928)</w:t>
            </w:r>
          </w:p>
        </w:tc>
        <w:tc>
          <w:tcPr>
            <w:tcW w:w="267" w:type="dxa"/>
            <w:tcBorders>
              <w:top w:val="nil"/>
              <w:left w:val="nil"/>
              <w:bottom w:val="nil"/>
              <w:right w:val="nil"/>
            </w:tcBorders>
            <w:shd w:val="clear" w:color="000000" w:fill="D9D9D9"/>
            <w:noWrap/>
            <w:vAlign w:val="bottom"/>
            <w:hideMark/>
          </w:tcPr>
          <w:p w14:paraId="114C8F56"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single" w:sz="4" w:space="0" w:color="D9D9D9"/>
              <w:right w:val="nil"/>
            </w:tcBorders>
            <w:shd w:val="clear" w:color="000000" w:fill="D9D9D9"/>
            <w:noWrap/>
            <w:vAlign w:val="bottom"/>
            <w:hideMark/>
          </w:tcPr>
          <w:p w14:paraId="41238DB0" w14:textId="77777777" w:rsidR="00AB6753" w:rsidRDefault="00AB6753" w:rsidP="002D1EA4">
            <w:pPr>
              <w:spacing w:after="0"/>
              <w:jc w:val="right"/>
              <w:rPr>
                <w:rFonts w:cs="Arial"/>
                <w:sz w:val="18"/>
                <w:szCs w:val="18"/>
              </w:rPr>
            </w:pPr>
            <w:r>
              <w:rPr>
                <w:rFonts w:cs="Arial"/>
                <w:sz w:val="18"/>
                <w:szCs w:val="18"/>
              </w:rPr>
              <w:t>700,142</w:t>
            </w:r>
          </w:p>
        </w:tc>
        <w:tc>
          <w:tcPr>
            <w:tcW w:w="267" w:type="dxa"/>
            <w:tcBorders>
              <w:top w:val="nil"/>
              <w:left w:val="nil"/>
              <w:bottom w:val="nil"/>
              <w:right w:val="nil"/>
            </w:tcBorders>
            <w:shd w:val="clear" w:color="000000" w:fill="D9D9D9"/>
            <w:noWrap/>
            <w:vAlign w:val="bottom"/>
            <w:hideMark/>
          </w:tcPr>
          <w:p w14:paraId="0BFF82AA"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nil"/>
              <w:right w:val="nil"/>
            </w:tcBorders>
            <w:shd w:val="clear" w:color="000000" w:fill="D9D9D9"/>
            <w:noWrap/>
            <w:vAlign w:val="bottom"/>
            <w:hideMark/>
          </w:tcPr>
          <w:p w14:paraId="6444728C"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2009F8C3" w14:textId="77777777" w:rsidTr="002D1EA4">
        <w:trPr>
          <w:trHeight w:val="255"/>
        </w:trPr>
        <w:tc>
          <w:tcPr>
            <w:tcW w:w="3950" w:type="dxa"/>
            <w:tcBorders>
              <w:top w:val="single" w:sz="4" w:space="0" w:color="D9D9D9"/>
              <w:left w:val="nil"/>
              <w:bottom w:val="single" w:sz="4" w:space="0" w:color="D9D9D9"/>
              <w:right w:val="nil"/>
            </w:tcBorders>
            <w:shd w:val="clear" w:color="000000" w:fill="D9D9D9"/>
            <w:noWrap/>
            <w:vAlign w:val="bottom"/>
            <w:hideMark/>
          </w:tcPr>
          <w:p w14:paraId="4D0D5C79" w14:textId="77777777" w:rsidR="00AB6753" w:rsidRDefault="00AB6753" w:rsidP="002D1EA4">
            <w:pPr>
              <w:spacing w:after="0"/>
              <w:rPr>
                <w:rFonts w:cs="Arial"/>
                <w:b/>
                <w:bCs/>
                <w:sz w:val="18"/>
                <w:szCs w:val="18"/>
              </w:rPr>
            </w:pPr>
            <w:r>
              <w:rPr>
                <w:rFonts w:cs="Arial"/>
                <w:b/>
                <w:bCs/>
                <w:sz w:val="18"/>
                <w:szCs w:val="18"/>
              </w:rPr>
              <w:t xml:space="preserve">Total other comprehensive income </w:t>
            </w:r>
          </w:p>
        </w:tc>
        <w:tc>
          <w:tcPr>
            <w:tcW w:w="807" w:type="dxa"/>
            <w:tcBorders>
              <w:top w:val="nil"/>
              <w:left w:val="nil"/>
              <w:bottom w:val="single" w:sz="4" w:space="0" w:color="D9D9D9"/>
              <w:right w:val="nil"/>
            </w:tcBorders>
            <w:shd w:val="clear" w:color="000000" w:fill="D9D9D9"/>
            <w:vAlign w:val="bottom"/>
            <w:hideMark/>
          </w:tcPr>
          <w:p w14:paraId="14A16E65" w14:textId="77777777" w:rsidR="00AB6753" w:rsidRDefault="00AB6753" w:rsidP="002D1EA4">
            <w:pPr>
              <w:spacing w:after="0"/>
              <w:jc w:val="center"/>
              <w:rPr>
                <w:rFonts w:cs="Arial"/>
                <w:sz w:val="18"/>
                <w:szCs w:val="18"/>
              </w:rPr>
            </w:pPr>
            <w:r>
              <w:rPr>
                <w:rFonts w:cs="Arial"/>
                <w:sz w:val="18"/>
                <w:szCs w:val="18"/>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1014C367" w14:textId="77777777" w:rsidR="00AB6753" w:rsidRDefault="00AB6753" w:rsidP="002D1EA4">
            <w:pPr>
              <w:spacing w:after="0"/>
              <w:jc w:val="right"/>
              <w:rPr>
                <w:rFonts w:cs="Arial"/>
                <w:b/>
                <w:bCs/>
                <w:sz w:val="18"/>
                <w:szCs w:val="18"/>
              </w:rPr>
            </w:pPr>
            <w:r>
              <w:rPr>
                <w:rFonts w:cs="Arial"/>
                <w:b/>
                <w:bCs/>
                <w:sz w:val="18"/>
                <w:szCs w:val="18"/>
              </w:rPr>
              <w:t>(1,437,928)</w:t>
            </w:r>
          </w:p>
        </w:tc>
        <w:tc>
          <w:tcPr>
            <w:tcW w:w="267" w:type="dxa"/>
            <w:tcBorders>
              <w:top w:val="single" w:sz="4" w:space="0" w:color="D9D9D9"/>
              <w:left w:val="nil"/>
              <w:bottom w:val="single" w:sz="4" w:space="0" w:color="D9D9D9"/>
              <w:right w:val="nil"/>
            </w:tcBorders>
            <w:shd w:val="clear" w:color="000000" w:fill="D9D9D9"/>
            <w:vAlign w:val="bottom"/>
            <w:hideMark/>
          </w:tcPr>
          <w:p w14:paraId="07990E6E" w14:textId="77777777" w:rsidR="00AB6753" w:rsidRDefault="00AB6753" w:rsidP="002D1EA4">
            <w:pPr>
              <w:spacing w:after="0"/>
              <w:rPr>
                <w:rFonts w:cs="Arial"/>
                <w:sz w:val="16"/>
                <w:szCs w:val="16"/>
              </w:rPr>
            </w:pPr>
            <w:r>
              <w:rPr>
                <w:rFonts w:cs="Arial"/>
                <w:sz w:val="16"/>
                <w:szCs w:val="16"/>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15CB346E" w14:textId="77777777" w:rsidR="00AB6753" w:rsidRDefault="00AB6753" w:rsidP="002D1EA4">
            <w:pPr>
              <w:spacing w:after="0"/>
              <w:jc w:val="right"/>
              <w:rPr>
                <w:rFonts w:cs="Arial"/>
                <w:sz w:val="18"/>
                <w:szCs w:val="18"/>
              </w:rPr>
            </w:pPr>
            <w:r>
              <w:rPr>
                <w:rFonts w:cs="Arial"/>
                <w:sz w:val="18"/>
                <w:szCs w:val="18"/>
              </w:rPr>
              <w:t>700,142</w:t>
            </w:r>
          </w:p>
        </w:tc>
        <w:tc>
          <w:tcPr>
            <w:tcW w:w="267" w:type="dxa"/>
            <w:tcBorders>
              <w:top w:val="single" w:sz="4" w:space="0" w:color="D9D9D9"/>
              <w:left w:val="nil"/>
              <w:bottom w:val="single" w:sz="4" w:space="0" w:color="D9D9D9"/>
              <w:right w:val="nil"/>
            </w:tcBorders>
            <w:shd w:val="clear" w:color="000000" w:fill="D9D9D9"/>
            <w:vAlign w:val="bottom"/>
            <w:hideMark/>
          </w:tcPr>
          <w:p w14:paraId="2FA728B8" w14:textId="77777777" w:rsidR="00AB6753" w:rsidRDefault="00AB6753" w:rsidP="002D1EA4">
            <w:pPr>
              <w:spacing w:after="0"/>
              <w:rPr>
                <w:rFonts w:cs="Arial"/>
                <w:sz w:val="16"/>
                <w:szCs w:val="16"/>
              </w:rPr>
            </w:pPr>
            <w:r>
              <w:rPr>
                <w:rFonts w:cs="Arial"/>
                <w:sz w:val="16"/>
                <w:szCs w:val="16"/>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3AD1DCA2" w14:textId="77777777" w:rsidR="00AB6753" w:rsidRDefault="00AB6753" w:rsidP="002D1EA4">
            <w:pPr>
              <w:spacing w:after="0"/>
              <w:jc w:val="right"/>
              <w:rPr>
                <w:rFonts w:cs="Arial"/>
                <w:sz w:val="18"/>
                <w:szCs w:val="18"/>
              </w:rPr>
            </w:pPr>
            <w:r>
              <w:rPr>
                <w:rFonts w:cs="Arial"/>
                <w:sz w:val="18"/>
                <w:szCs w:val="18"/>
              </w:rPr>
              <w:t>-</w:t>
            </w:r>
          </w:p>
        </w:tc>
      </w:tr>
      <w:tr w:rsidR="00AB6753" w14:paraId="17145185" w14:textId="77777777" w:rsidTr="002D1EA4">
        <w:trPr>
          <w:trHeight w:val="255"/>
        </w:trPr>
        <w:tc>
          <w:tcPr>
            <w:tcW w:w="3950" w:type="dxa"/>
            <w:tcBorders>
              <w:top w:val="nil"/>
              <w:left w:val="nil"/>
              <w:bottom w:val="single" w:sz="4" w:space="0" w:color="D9D9D9"/>
              <w:right w:val="nil"/>
            </w:tcBorders>
            <w:shd w:val="clear" w:color="000000" w:fill="D9D9D9"/>
            <w:noWrap/>
            <w:vAlign w:val="bottom"/>
            <w:hideMark/>
          </w:tcPr>
          <w:p w14:paraId="39991660" w14:textId="77777777" w:rsidR="00AB6753" w:rsidRDefault="00AB6753" w:rsidP="002D1EA4">
            <w:pPr>
              <w:spacing w:after="0"/>
              <w:rPr>
                <w:rFonts w:cs="Arial"/>
                <w:sz w:val="16"/>
                <w:szCs w:val="16"/>
              </w:rPr>
            </w:pPr>
            <w:r>
              <w:rPr>
                <w:rFonts w:cs="Arial"/>
                <w:sz w:val="16"/>
                <w:szCs w:val="16"/>
              </w:rPr>
              <w:t> </w:t>
            </w:r>
          </w:p>
        </w:tc>
        <w:tc>
          <w:tcPr>
            <w:tcW w:w="807" w:type="dxa"/>
            <w:tcBorders>
              <w:top w:val="nil"/>
              <w:left w:val="nil"/>
              <w:bottom w:val="single" w:sz="4" w:space="0" w:color="D9D9D9"/>
              <w:right w:val="nil"/>
            </w:tcBorders>
            <w:shd w:val="clear" w:color="000000" w:fill="D9D9D9"/>
            <w:noWrap/>
            <w:vAlign w:val="bottom"/>
            <w:hideMark/>
          </w:tcPr>
          <w:p w14:paraId="40FC29EE" w14:textId="77777777" w:rsidR="00AB6753" w:rsidRDefault="00AB6753" w:rsidP="002D1EA4">
            <w:pPr>
              <w:spacing w:after="0"/>
              <w:jc w:val="center"/>
              <w:rPr>
                <w:rFonts w:cs="Arial"/>
                <w:sz w:val="16"/>
                <w:szCs w:val="16"/>
              </w:rPr>
            </w:pPr>
            <w:r>
              <w:rPr>
                <w:rFonts w:cs="Arial"/>
                <w:sz w:val="16"/>
                <w:szCs w:val="16"/>
              </w:rPr>
              <w:t> </w:t>
            </w:r>
          </w:p>
        </w:tc>
        <w:tc>
          <w:tcPr>
            <w:tcW w:w="1337" w:type="dxa"/>
            <w:tcBorders>
              <w:top w:val="nil"/>
              <w:left w:val="nil"/>
              <w:bottom w:val="single" w:sz="4" w:space="0" w:color="D9D9D9"/>
              <w:right w:val="nil"/>
            </w:tcBorders>
            <w:shd w:val="clear" w:color="000000" w:fill="D9D9D9"/>
            <w:noWrap/>
            <w:vAlign w:val="bottom"/>
            <w:hideMark/>
          </w:tcPr>
          <w:p w14:paraId="24E16D20"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single" w:sz="4" w:space="0" w:color="D9D9D9"/>
              <w:right w:val="nil"/>
            </w:tcBorders>
            <w:shd w:val="clear" w:color="000000" w:fill="D9D9D9"/>
            <w:vAlign w:val="bottom"/>
            <w:hideMark/>
          </w:tcPr>
          <w:p w14:paraId="77241A0C"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single" w:sz="4" w:space="0" w:color="D9D9D9"/>
              <w:right w:val="nil"/>
            </w:tcBorders>
            <w:shd w:val="clear" w:color="000000" w:fill="D9D9D9"/>
            <w:noWrap/>
            <w:vAlign w:val="bottom"/>
            <w:hideMark/>
          </w:tcPr>
          <w:p w14:paraId="3F082BC1"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single" w:sz="4" w:space="0" w:color="D9D9D9"/>
              <w:right w:val="nil"/>
            </w:tcBorders>
            <w:shd w:val="clear" w:color="000000" w:fill="D9D9D9"/>
            <w:vAlign w:val="bottom"/>
            <w:hideMark/>
          </w:tcPr>
          <w:p w14:paraId="37836C72" w14:textId="77777777" w:rsidR="00AB6753" w:rsidRDefault="00AB6753" w:rsidP="002D1EA4">
            <w:pPr>
              <w:spacing w:after="0"/>
              <w:rPr>
                <w:rFonts w:cs="Arial"/>
                <w:sz w:val="16"/>
                <w:szCs w:val="16"/>
              </w:rPr>
            </w:pPr>
            <w:r>
              <w:rPr>
                <w:rFonts w:cs="Arial"/>
                <w:sz w:val="16"/>
                <w:szCs w:val="16"/>
              </w:rPr>
              <w:t> </w:t>
            </w:r>
          </w:p>
        </w:tc>
        <w:tc>
          <w:tcPr>
            <w:tcW w:w="1337" w:type="dxa"/>
            <w:tcBorders>
              <w:top w:val="nil"/>
              <w:left w:val="nil"/>
              <w:bottom w:val="single" w:sz="4" w:space="0" w:color="D9D9D9"/>
              <w:right w:val="nil"/>
            </w:tcBorders>
            <w:shd w:val="clear" w:color="000000" w:fill="D9D9D9"/>
            <w:noWrap/>
            <w:vAlign w:val="bottom"/>
            <w:hideMark/>
          </w:tcPr>
          <w:p w14:paraId="47E42961" w14:textId="77777777" w:rsidR="00AB6753" w:rsidRDefault="00AB6753" w:rsidP="002D1EA4">
            <w:pPr>
              <w:spacing w:after="0"/>
              <w:rPr>
                <w:rFonts w:cs="Arial"/>
                <w:sz w:val="16"/>
                <w:szCs w:val="16"/>
              </w:rPr>
            </w:pPr>
            <w:r>
              <w:rPr>
                <w:rFonts w:cs="Arial"/>
                <w:sz w:val="16"/>
                <w:szCs w:val="16"/>
              </w:rPr>
              <w:t> </w:t>
            </w:r>
          </w:p>
        </w:tc>
      </w:tr>
      <w:tr w:rsidR="00AB6753" w14:paraId="7D6ACAFB" w14:textId="77777777" w:rsidTr="002D1EA4">
        <w:trPr>
          <w:trHeight w:val="255"/>
        </w:trPr>
        <w:tc>
          <w:tcPr>
            <w:tcW w:w="3950" w:type="dxa"/>
            <w:tcBorders>
              <w:top w:val="nil"/>
              <w:left w:val="nil"/>
              <w:bottom w:val="single" w:sz="4" w:space="0" w:color="D9D9D9"/>
              <w:right w:val="nil"/>
            </w:tcBorders>
            <w:shd w:val="clear" w:color="000000" w:fill="D9D9D9"/>
            <w:vAlign w:val="bottom"/>
            <w:hideMark/>
          </w:tcPr>
          <w:p w14:paraId="018828A6" w14:textId="77777777" w:rsidR="00AB6753" w:rsidRDefault="00AB6753" w:rsidP="002D1EA4">
            <w:pPr>
              <w:spacing w:after="0"/>
              <w:rPr>
                <w:rFonts w:cs="Arial"/>
                <w:b/>
                <w:bCs/>
                <w:sz w:val="18"/>
                <w:szCs w:val="18"/>
              </w:rPr>
            </w:pPr>
            <w:r>
              <w:rPr>
                <w:rFonts w:cs="Arial"/>
                <w:b/>
                <w:bCs/>
                <w:sz w:val="18"/>
                <w:szCs w:val="18"/>
              </w:rPr>
              <w:t>Total comprehensive loss</w:t>
            </w:r>
          </w:p>
        </w:tc>
        <w:tc>
          <w:tcPr>
            <w:tcW w:w="807" w:type="dxa"/>
            <w:tcBorders>
              <w:top w:val="nil"/>
              <w:left w:val="nil"/>
              <w:bottom w:val="single" w:sz="4" w:space="0" w:color="D9D9D9"/>
              <w:right w:val="nil"/>
            </w:tcBorders>
            <w:shd w:val="clear" w:color="000000" w:fill="D9D9D9"/>
            <w:vAlign w:val="bottom"/>
            <w:hideMark/>
          </w:tcPr>
          <w:p w14:paraId="5F8C06CD" w14:textId="77777777" w:rsidR="00AB6753" w:rsidRDefault="00AB6753" w:rsidP="002D1EA4">
            <w:pPr>
              <w:spacing w:after="0"/>
              <w:jc w:val="center"/>
              <w:rPr>
                <w:rFonts w:cs="Arial"/>
                <w:sz w:val="16"/>
                <w:szCs w:val="16"/>
              </w:rPr>
            </w:pPr>
            <w:r>
              <w:rPr>
                <w:rFonts w:cs="Arial"/>
                <w:sz w:val="16"/>
                <w:szCs w:val="16"/>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19EDBD8B" w14:textId="77777777" w:rsidR="00AB6753" w:rsidRDefault="00AB6753" w:rsidP="002D1EA4">
            <w:pPr>
              <w:spacing w:after="0"/>
              <w:jc w:val="right"/>
              <w:rPr>
                <w:rFonts w:cs="Arial"/>
                <w:b/>
                <w:bCs/>
                <w:sz w:val="18"/>
                <w:szCs w:val="18"/>
              </w:rPr>
            </w:pPr>
            <w:r>
              <w:rPr>
                <w:rFonts w:cs="Arial"/>
                <w:b/>
                <w:bCs/>
                <w:sz w:val="18"/>
                <w:szCs w:val="18"/>
              </w:rPr>
              <w:t>(141,830,915)</w:t>
            </w:r>
          </w:p>
        </w:tc>
        <w:tc>
          <w:tcPr>
            <w:tcW w:w="267" w:type="dxa"/>
            <w:tcBorders>
              <w:top w:val="nil"/>
              <w:left w:val="nil"/>
              <w:bottom w:val="single" w:sz="4" w:space="0" w:color="D9D9D9"/>
              <w:right w:val="nil"/>
            </w:tcBorders>
            <w:shd w:val="clear" w:color="000000" w:fill="D9D9D9"/>
            <w:vAlign w:val="bottom"/>
            <w:hideMark/>
          </w:tcPr>
          <w:p w14:paraId="508D3EFC" w14:textId="77777777" w:rsidR="00AB6753" w:rsidRDefault="00AB6753" w:rsidP="002D1EA4">
            <w:pPr>
              <w:spacing w:after="0"/>
              <w:rPr>
                <w:rFonts w:cs="Arial"/>
                <w:sz w:val="16"/>
                <w:szCs w:val="16"/>
              </w:rPr>
            </w:pPr>
            <w:r>
              <w:rPr>
                <w:rFonts w:cs="Arial"/>
                <w:sz w:val="16"/>
                <w:szCs w:val="16"/>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55B619F2" w14:textId="77777777" w:rsidR="00AB6753" w:rsidRDefault="00AB6753" w:rsidP="002D1EA4">
            <w:pPr>
              <w:spacing w:after="0"/>
              <w:jc w:val="right"/>
              <w:rPr>
                <w:rFonts w:cs="Arial"/>
                <w:sz w:val="18"/>
                <w:szCs w:val="18"/>
              </w:rPr>
            </w:pPr>
            <w:r>
              <w:rPr>
                <w:rFonts w:cs="Arial"/>
                <w:sz w:val="18"/>
                <w:szCs w:val="18"/>
              </w:rPr>
              <w:t>(117,924,115)</w:t>
            </w:r>
          </w:p>
        </w:tc>
        <w:tc>
          <w:tcPr>
            <w:tcW w:w="267" w:type="dxa"/>
            <w:tcBorders>
              <w:top w:val="nil"/>
              <w:left w:val="nil"/>
              <w:bottom w:val="single" w:sz="4" w:space="0" w:color="D9D9D9"/>
              <w:right w:val="nil"/>
            </w:tcBorders>
            <w:shd w:val="clear" w:color="000000" w:fill="D9D9D9"/>
            <w:vAlign w:val="bottom"/>
            <w:hideMark/>
          </w:tcPr>
          <w:p w14:paraId="460E2EEF" w14:textId="77777777" w:rsidR="00AB6753" w:rsidRDefault="00AB6753" w:rsidP="002D1EA4">
            <w:pPr>
              <w:spacing w:after="0"/>
              <w:rPr>
                <w:rFonts w:cs="Arial"/>
                <w:sz w:val="16"/>
                <w:szCs w:val="16"/>
              </w:rPr>
            </w:pPr>
            <w:r>
              <w:rPr>
                <w:rFonts w:cs="Arial"/>
                <w:sz w:val="16"/>
                <w:szCs w:val="16"/>
              </w:rPr>
              <w:t> </w:t>
            </w:r>
          </w:p>
        </w:tc>
        <w:tc>
          <w:tcPr>
            <w:tcW w:w="1337" w:type="dxa"/>
            <w:tcBorders>
              <w:top w:val="single" w:sz="4" w:space="0" w:color="auto"/>
              <w:left w:val="nil"/>
              <w:bottom w:val="single" w:sz="4" w:space="0" w:color="auto"/>
              <w:right w:val="nil"/>
            </w:tcBorders>
            <w:shd w:val="clear" w:color="000000" w:fill="D9D9D9"/>
            <w:noWrap/>
            <w:vAlign w:val="bottom"/>
            <w:hideMark/>
          </w:tcPr>
          <w:p w14:paraId="292B4E62" w14:textId="77777777" w:rsidR="00AB6753" w:rsidRDefault="00AB6753" w:rsidP="002D1EA4">
            <w:pPr>
              <w:spacing w:after="0"/>
              <w:jc w:val="right"/>
              <w:rPr>
                <w:rFonts w:cs="Arial"/>
                <w:sz w:val="18"/>
                <w:szCs w:val="18"/>
              </w:rPr>
            </w:pPr>
            <w:r>
              <w:rPr>
                <w:rFonts w:cs="Arial"/>
                <w:sz w:val="18"/>
                <w:szCs w:val="18"/>
              </w:rPr>
              <w:t>(125,496,844)</w:t>
            </w:r>
          </w:p>
        </w:tc>
      </w:tr>
    </w:tbl>
    <w:p w14:paraId="04FA0708" w14:textId="77777777" w:rsidR="00AB6753" w:rsidRPr="007A42BA" w:rsidRDefault="00AB6753" w:rsidP="00AB6753">
      <w:pPr>
        <w:pStyle w:val="NotesTextGreyShade"/>
        <w:ind w:left="113" w:right="227"/>
        <w:rPr>
          <w:rFonts w:ascii="Arial" w:hAnsi="Arial" w:cs="Arial"/>
          <w:sz w:val="18"/>
          <w:szCs w:val="18"/>
        </w:rPr>
      </w:pPr>
    </w:p>
    <w:p w14:paraId="06EC7D86" w14:textId="77777777" w:rsidR="00AB6753" w:rsidRPr="007A42BA" w:rsidRDefault="00AB6753" w:rsidP="00AB6753">
      <w:pPr>
        <w:pStyle w:val="NotesTextGreyShade"/>
        <w:ind w:left="113" w:right="227"/>
        <w:rPr>
          <w:rFonts w:ascii="Arial" w:hAnsi="Arial" w:cs="Arial"/>
          <w:sz w:val="18"/>
          <w:szCs w:val="18"/>
        </w:rPr>
      </w:pPr>
      <w:r w:rsidRPr="007A42BA">
        <w:rPr>
          <w:rFonts w:ascii="Arial" w:hAnsi="Arial" w:cs="Arial"/>
          <w:sz w:val="18"/>
          <w:szCs w:val="18"/>
        </w:rPr>
        <w:t>The above schedule should be read in conjunction with the accompanying notes.</w:t>
      </w:r>
    </w:p>
    <w:p w14:paraId="39983953" w14:textId="77777777" w:rsidR="00AB6753" w:rsidRPr="007A42BA" w:rsidRDefault="00AB6753" w:rsidP="00AB6753">
      <w:pPr>
        <w:pStyle w:val="NotesTextGreyShade"/>
        <w:ind w:left="113" w:right="227"/>
        <w:rPr>
          <w:rFonts w:ascii="Arial" w:hAnsi="Arial" w:cs="Arial"/>
          <w:sz w:val="18"/>
          <w:szCs w:val="18"/>
        </w:rPr>
        <w:sectPr w:rsidR="00AB6753" w:rsidRPr="007A42BA" w:rsidSect="00C63A3F">
          <w:headerReference w:type="default" r:id="rId64"/>
          <w:pgSz w:w="11906" w:h="16838" w:code="9"/>
          <w:pgMar w:top="1134" w:right="1134" w:bottom="964" w:left="1134" w:header="958" w:footer="737" w:gutter="0"/>
          <w:cols w:space="708"/>
          <w:docGrid w:linePitch="360"/>
        </w:sectPr>
      </w:pPr>
      <w:r w:rsidRPr="007A42BA">
        <w:rPr>
          <w:rFonts w:ascii="Arial" w:hAnsi="Arial" w:cs="Arial"/>
          <w:sz w:val="18"/>
          <w:szCs w:val="18"/>
        </w:rPr>
        <w:t>Refer to Note 8.4B for explanations of major variances to the Original Budget.</w:t>
      </w:r>
    </w:p>
    <w:tbl>
      <w:tblPr>
        <w:tblW w:w="9371" w:type="dxa"/>
        <w:tblInd w:w="80" w:type="dxa"/>
        <w:tblLayout w:type="fixed"/>
        <w:tblLook w:val="04A0" w:firstRow="1" w:lastRow="0" w:firstColumn="1" w:lastColumn="0" w:noHBand="0" w:noVBand="1"/>
        <w:tblCaption w:val="Administered schedule of assets and liabilities as at 30 June 2020"/>
        <w:tblDescription w:val="Administered schedule of assets and liabilities as at 30 June 2020"/>
      </w:tblPr>
      <w:tblGrid>
        <w:gridCol w:w="4277"/>
        <w:gridCol w:w="1074"/>
        <w:gridCol w:w="1198"/>
        <w:gridCol w:w="238"/>
        <w:gridCol w:w="1181"/>
        <w:gridCol w:w="238"/>
        <w:gridCol w:w="1165"/>
      </w:tblGrid>
      <w:tr w:rsidR="00AB6753" w14:paraId="5EB1468B" w14:textId="77777777" w:rsidTr="002D1EA4">
        <w:trPr>
          <w:trHeight w:val="720"/>
        </w:trPr>
        <w:tc>
          <w:tcPr>
            <w:tcW w:w="4236" w:type="dxa"/>
            <w:tcBorders>
              <w:top w:val="single" w:sz="8" w:space="0" w:color="auto"/>
              <w:left w:val="nil"/>
              <w:bottom w:val="nil"/>
              <w:right w:val="nil"/>
            </w:tcBorders>
            <w:shd w:val="clear" w:color="000000" w:fill="D9D9D9"/>
            <w:noWrap/>
            <w:vAlign w:val="bottom"/>
            <w:hideMark/>
          </w:tcPr>
          <w:p w14:paraId="1FDBEF1C" w14:textId="77777777" w:rsidR="00AB6753" w:rsidRDefault="00AB6753" w:rsidP="002D1EA4">
            <w:pPr>
              <w:spacing w:after="0"/>
              <w:rPr>
                <w:rFonts w:cs="Arial"/>
                <w:sz w:val="16"/>
                <w:szCs w:val="16"/>
              </w:rPr>
            </w:pPr>
            <w:bookmarkStart w:id="59" w:name="Note_ABSTABLE1" w:colFirst="0" w:colLast="0"/>
            <w:r>
              <w:rPr>
                <w:rFonts w:cs="Arial"/>
                <w:sz w:val="16"/>
                <w:szCs w:val="16"/>
              </w:rPr>
              <w:lastRenderedPageBreak/>
              <w:t> </w:t>
            </w:r>
          </w:p>
        </w:tc>
        <w:tc>
          <w:tcPr>
            <w:tcW w:w="1064" w:type="dxa"/>
            <w:tcBorders>
              <w:top w:val="single" w:sz="8" w:space="0" w:color="auto"/>
              <w:left w:val="nil"/>
              <w:bottom w:val="nil"/>
              <w:right w:val="nil"/>
            </w:tcBorders>
            <w:shd w:val="clear" w:color="000000" w:fill="D9D9D9"/>
            <w:noWrap/>
            <w:vAlign w:val="bottom"/>
            <w:hideMark/>
          </w:tcPr>
          <w:p w14:paraId="5370C35D" w14:textId="77777777" w:rsidR="00AB6753" w:rsidRDefault="00AB6753" w:rsidP="002D1EA4">
            <w:pPr>
              <w:spacing w:after="0"/>
              <w:rPr>
                <w:rFonts w:cs="Arial"/>
                <w:sz w:val="16"/>
                <w:szCs w:val="16"/>
              </w:rPr>
            </w:pPr>
            <w:r>
              <w:rPr>
                <w:rFonts w:cs="Arial"/>
                <w:sz w:val="16"/>
                <w:szCs w:val="16"/>
              </w:rPr>
              <w:t> </w:t>
            </w:r>
          </w:p>
        </w:tc>
        <w:tc>
          <w:tcPr>
            <w:tcW w:w="1187" w:type="dxa"/>
            <w:tcBorders>
              <w:top w:val="single" w:sz="8" w:space="0" w:color="auto"/>
              <w:left w:val="nil"/>
              <w:bottom w:val="nil"/>
              <w:right w:val="nil"/>
            </w:tcBorders>
            <w:shd w:val="clear" w:color="000000" w:fill="D9D9D9"/>
            <w:noWrap/>
            <w:vAlign w:val="bottom"/>
            <w:hideMark/>
          </w:tcPr>
          <w:p w14:paraId="2803977C" w14:textId="77777777" w:rsidR="00AB6753" w:rsidRDefault="00AB6753" w:rsidP="002D1EA4">
            <w:pPr>
              <w:spacing w:after="0"/>
              <w:jc w:val="right"/>
              <w:rPr>
                <w:rFonts w:cs="Arial"/>
                <w:b/>
                <w:bCs/>
                <w:sz w:val="18"/>
                <w:szCs w:val="18"/>
              </w:rPr>
            </w:pPr>
            <w:r>
              <w:rPr>
                <w:rFonts w:cs="Arial"/>
                <w:b/>
                <w:bCs/>
                <w:sz w:val="18"/>
                <w:szCs w:val="18"/>
              </w:rPr>
              <w:t>2020</w:t>
            </w:r>
          </w:p>
        </w:tc>
        <w:tc>
          <w:tcPr>
            <w:tcW w:w="236" w:type="dxa"/>
            <w:tcBorders>
              <w:top w:val="single" w:sz="8" w:space="0" w:color="auto"/>
              <w:left w:val="nil"/>
              <w:bottom w:val="nil"/>
              <w:right w:val="nil"/>
            </w:tcBorders>
            <w:shd w:val="clear" w:color="000000" w:fill="D9D9D9"/>
            <w:noWrap/>
            <w:vAlign w:val="bottom"/>
            <w:hideMark/>
          </w:tcPr>
          <w:p w14:paraId="2CD73B93" w14:textId="77777777" w:rsidR="00AB6753" w:rsidRDefault="00AB6753" w:rsidP="002D1EA4">
            <w:pPr>
              <w:spacing w:after="0"/>
              <w:rPr>
                <w:rFonts w:cs="Arial"/>
                <w:sz w:val="16"/>
                <w:szCs w:val="16"/>
              </w:rPr>
            </w:pPr>
            <w:r>
              <w:rPr>
                <w:rFonts w:cs="Arial"/>
                <w:sz w:val="16"/>
                <w:szCs w:val="16"/>
              </w:rPr>
              <w:t> </w:t>
            </w:r>
          </w:p>
        </w:tc>
        <w:tc>
          <w:tcPr>
            <w:tcW w:w="1170" w:type="dxa"/>
            <w:tcBorders>
              <w:top w:val="single" w:sz="8" w:space="0" w:color="auto"/>
              <w:left w:val="nil"/>
              <w:bottom w:val="nil"/>
              <w:right w:val="nil"/>
            </w:tcBorders>
            <w:shd w:val="clear" w:color="000000" w:fill="D9D9D9"/>
            <w:noWrap/>
            <w:vAlign w:val="bottom"/>
            <w:hideMark/>
          </w:tcPr>
          <w:p w14:paraId="581553D6" w14:textId="77777777" w:rsidR="00AB6753" w:rsidRDefault="00AB6753" w:rsidP="002D1EA4">
            <w:pPr>
              <w:spacing w:after="0"/>
              <w:jc w:val="right"/>
              <w:rPr>
                <w:rFonts w:cs="Arial"/>
                <w:sz w:val="18"/>
                <w:szCs w:val="18"/>
              </w:rPr>
            </w:pPr>
            <w:r>
              <w:rPr>
                <w:rFonts w:cs="Arial"/>
                <w:sz w:val="18"/>
                <w:szCs w:val="18"/>
              </w:rPr>
              <w:t>2019</w:t>
            </w:r>
          </w:p>
        </w:tc>
        <w:tc>
          <w:tcPr>
            <w:tcW w:w="236" w:type="dxa"/>
            <w:tcBorders>
              <w:top w:val="single" w:sz="8" w:space="0" w:color="auto"/>
              <w:left w:val="nil"/>
              <w:bottom w:val="nil"/>
              <w:right w:val="nil"/>
            </w:tcBorders>
            <w:shd w:val="clear" w:color="000000" w:fill="D9D9D9"/>
            <w:noWrap/>
            <w:vAlign w:val="bottom"/>
            <w:hideMark/>
          </w:tcPr>
          <w:p w14:paraId="453E25FD" w14:textId="77777777" w:rsidR="00AB6753" w:rsidRDefault="00AB6753" w:rsidP="002D1EA4">
            <w:pPr>
              <w:spacing w:after="0"/>
              <w:rPr>
                <w:rFonts w:cs="Arial"/>
                <w:sz w:val="16"/>
                <w:szCs w:val="16"/>
              </w:rPr>
            </w:pPr>
            <w:r>
              <w:rPr>
                <w:rFonts w:cs="Arial"/>
                <w:sz w:val="16"/>
                <w:szCs w:val="16"/>
              </w:rPr>
              <w:t> </w:t>
            </w:r>
          </w:p>
        </w:tc>
        <w:tc>
          <w:tcPr>
            <w:tcW w:w="1154" w:type="dxa"/>
            <w:tcBorders>
              <w:top w:val="single" w:sz="8" w:space="0" w:color="auto"/>
              <w:left w:val="nil"/>
              <w:bottom w:val="single" w:sz="4" w:space="0" w:color="D9D9D9"/>
              <w:right w:val="nil"/>
            </w:tcBorders>
            <w:shd w:val="clear" w:color="000000" w:fill="D9D9D9"/>
            <w:vAlign w:val="bottom"/>
            <w:hideMark/>
          </w:tcPr>
          <w:p w14:paraId="7C442E4D" w14:textId="77777777" w:rsidR="00AB6753" w:rsidRDefault="00AB6753" w:rsidP="002D1EA4">
            <w:pPr>
              <w:spacing w:after="0"/>
              <w:jc w:val="right"/>
              <w:rPr>
                <w:rFonts w:cs="Arial"/>
                <w:sz w:val="18"/>
                <w:szCs w:val="18"/>
              </w:rPr>
            </w:pPr>
            <w:r>
              <w:rPr>
                <w:rFonts w:cs="Arial"/>
                <w:sz w:val="18"/>
                <w:szCs w:val="18"/>
              </w:rPr>
              <w:t>Original Budget</w:t>
            </w:r>
            <w:r>
              <w:rPr>
                <w:rFonts w:cs="Arial"/>
                <w:sz w:val="18"/>
                <w:szCs w:val="18"/>
              </w:rPr>
              <w:br/>
              <w:t>2020</w:t>
            </w:r>
          </w:p>
        </w:tc>
      </w:tr>
      <w:bookmarkEnd w:id="59"/>
      <w:tr w:rsidR="00AB6753" w14:paraId="69C83D0F" w14:textId="77777777" w:rsidTr="002D1EA4">
        <w:trPr>
          <w:trHeight w:val="255"/>
        </w:trPr>
        <w:tc>
          <w:tcPr>
            <w:tcW w:w="4236" w:type="dxa"/>
            <w:tcBorders>
              <w:top w:val="nil"/>
              <w:left w:val="nil"/>
              <w:bottom w:val="nil"/>
              <w:right w:val="nil"/>
            </w:tcBorders>
            <w:shd w:val="clear" w:color="000000" w:fill="D9D9D9"/>
            <w:noWrap/>
            <w:vAlign w:val="bottom"/>
            <w:hideMark/>
          </w:tcPr>
          <w:p w14:paraId="51EC2507" w14:textId="77777777" w:rsidR="00AB6753" w:rsidRDefault="00AB6753" w:rsidP="002D1EA4">
            <w:pPr>
              <w:spacing w:after="0"/>
              <w:rPr>
                <w:rFonts w:cs="Arial"/>
                <w:sz w:val="16"/>
                <w:szCs w:val="16"/>
              </w:rPr>
            </w:pPr>
            <w:r>
              <w:rPr>
                <w:rFonts w:cs="Arial"/>
                <w:sz w:val="16"/>
                <w:szCs w:val="16"/>
              </w:rPr>
              <w:t> </w:t>
            </w:r>
          </w:p>
        </w:tc>
        <w:tc>
          <w:tcPr>
            <w:tcW w:w="1064" w:type="dxa"/>
            <w:tcBorders>
              <w:top w:val="nil"/>
              <w:left w:val="nil"/>
              <w:bottom w:val="nil"/>
              <w:right w:val="nil"/>
            </w:tcBorders>
            <w:shd w:val="clear" w:color="000000" w:fill="D9D9D9"/>
            <w:noWrap/>
            <w:vAlign w:val="bottom"/>
            <w:hideMark/>
          </w:tcPr>
          <w:p w14:paraId="6B5551E9" w14:textId="77777777" w:rsidR="00AB6753" w:rsidRDefault="00AB6753" w:rsidP="002D1EA4">
            <w:pPr>
              <w:spacing w:after="0"/>
              <w:jc w:val="center"/>
              <w:rPr>
                <w:rFonts w:cs="Arial"/>
                <w:b/>
                <w:bCs/>
                <w:sz w:val="18"/>
                <w:szCs w:val="18"/>
              </w:rPr>
            </w:pPr>
            <w:r>
              <w:rPr>
                <w:rFonts w:cs="Arial"/>
                <w:b/>
                <w:bCs/>
                <w:sz w:val="18"/>
                <w:szCs w:val="18"/>
              </w:rPr>
              <w:t>Notes</w:t>
            </w:r>
          </w:p>
        </w:tc>
        <w:tc>
          <w:tcPr>
            <w:tcW w:w="1187" w:type="dxa"/>
            <w:tcBorders>
              <w:top w:val="nil"/>
              <w:left w:val="nil"/>
              <w:bottom w:val="single" w:sz="4" w:space="0" w:color="auto"/>
              <w:right w:val="nil"/>
            </w:tcBorders>
            <w:shd w:val="clear" w:color="000000" w:fill="D9D9D9"/>
            <w:noWrap/>
            <w:vAlign w:val="bottom"/>
            <w:hideMark/>
          </w:tcPr>
          <w:p w14:paraId="433445B7" w14:textId="77777777" w:rsidR="00AB6753" w:rsidRDefault="00AB6753" w:rsidP="002D1EA4">
            <w:pPr>
              <w:spacing w:after="0"/>
              <w:jc w:val="right"/>
              <w:rPr>
                <w:rFonts w:cs="Arial"/>
                <w:b/>
                <w:bCs/>
                <w:sz w:val="18"/>
                <w:szCs w:val="18"/>
              </w:rPr>
            </w:pPr>
            <w:r>
              <w:rPr>
                <w:rFonts w:cs="Arial"/>
                <w:b/>
                <w:bCs/>
                <w:sz w:val="18"/>
                <w:szCs w:val="18"/>
              </w:rPr>
              <w:t>$'000</w:t>
            </w:r>
          </w:p>
        </w:tc>
        <w:tc>
          <w:tcPr>
            <w:tcW w:w="236" w:type="dxa"/>
            <w:tcBorders>
              <w:top w:val="nil"/>
              <w:left w:val="nil"/>
              <w:bottom w:val="single" w:sz="4" w:space="0" w:color="auto"/>
              <w:right w:val="nil"/>
            </w:tcBorders>
            <w:shd w:val="clear" w:color="000000" w:fill="D9D9D9"/>
            <w:noWrap/>
            <w:vAlign w:val="bottom"/>
            <w:hideMark/>
          </w:tcPr>
          <w:p w14:paraId="476350E0"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single" w:sz="4" w:space="0" w:color="auto"/>
              <w:right w:val="nil"/>
            </w:tcBorders>
            <w:shd w:val="clear" w:color="000000" w:fill="D9D9D9"/>
            <w:noWrap/>
            <w:vAlign w:val="bottom"/>
            <w:hideMark/>
          </w:tcPr>
          <w:p w14:paraId="48228195" w14:textId="77777777" w:rsidR="00AB6753" w:rsidRDefault="00AB6753" w:rsidP="002D1EA4">
            <w:pPr>
              <w:spacing w:after="0"/>
              <w:jc w:val="right"/>
              <w:rPr>
                <w:rFonts w:cs="Arial"/>
                <w:sz w:val="18"/>
                <w:szCs w:val="18"/>
              </w:rPr>
            </w:pPr>
            <w:r>
              <w:rPr>
                <w:rFonts w:cs="Arial"/>
                <w:sz w:val="18"/>
                <w:szCs w:val="18"/>
              </w:rPr>
              <w:t>$'000</w:t>
            </w:r>
          </w:p>
        </w:tc>
        <w:tc>
          <w:tcPr>
            <w:tcW w:w="236" w:type="dxa"/>
            <w:tcBorders>
              <w:top w:val="nil"/>
              <w:left w:val="nil"/>
              <w:bottom w:val="nil"/>
              <w:right w:val="nil"/>
            </w:tcBorders>
            <w:shd w:val="clear" w:color="000000" w:fill="D9D9D9"/>
            <w:noWrap/>
            <w:vAlign w:val="bottom"/>
            <w:hideMark/>
          </w:tcPr>
          <w:p w14:paraId="6ED213A8"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single" w:sz="4" w:space="0" w:color="auto"/>
              <w:right w:val="nil"/>
            </w:tcBorders>
            <w:shd w:val="clear" w:color="000000" w:fill="D9D9D9"/>
            <w:noWrap/>
            <w:vAlign w:val="bottom"/>
            <w:hideMark/>
          </w:tcPr>
          <w:p w14:paraId="0C490EC4" w14:textId="77777777" w:rsidR="00AB6753" w:rsidRDefault="00AB6753" w:rsidP="002D1EA4">
            <w:pPr>
              <w:spacing w:after="0"/>
              <w:jc w:val="right"/>
              <w:rPr>
                <w:rFonts w:cs="Arial"/>
                <w:sz w:val="18"/>
                <w:szCs w:val="18"/>
              </w:rPr>
            </w:pPr>
            <w:r>
              <w:rPr>
                <w:rFonts w:cs="Arial"/>
                <w:sz w:val="18"/>
                <w:szCs w:val="18"/>
              </w:rPr>
              <w:t>$'000</w:t>
            </w:r>
          </w:p>
        </w:tc>
      </w:tr>
      <w:tr w:rsidR="00AB6753" w14:paraId="73BDA310" w14:textId="77777777" w:rsidTr="002D1EA4">
        <w:trPr>
          <w:trHeight w:val="255"/>
        </w:trPr>
        <w:tc>
          <w:tcPr>
            <w:tcW w:w="4236" w:type="dxa"/>
            <w:tcBorders>
              <w:top w:val="nil"/>
              <w:left w:val="nil"/>
              <w:bottom w:val="nil"/>
              <w:right w:val="nil"/>
            </w:tcBorders>
            <w:shd w:val="clear" w:color="000000" w:fill="D9D9D9"/>
            <w:vAlign w:val="bottom"/>
            <w:hideMark/>
          </w:tcPr>
          <w:p w14:paraId="41DB49B5" w14:textId="77777777" w:rsidR="00AB6753" w:rsidRDefault="00AB6753" w:rsidP="002D1EA4">
            <w:pPr>
              <w:spacing w:after="0"/>
              <w:rPr>
                <w:rFonts w:cs="Arial"/>
                <w:b/>
                <w:bCs/>
                <w:sz w:val="18"/>
                <w:szCs w:val="18"/>
              </w:rPr>
            </w:pPr>
            <w:r>
              <w:rPr>
                <w:rFonts w:cs="Arial"/>
                <w:b/>
                <w:bCs/>
                <w:sz w:val="18"/>
                <w:szCs w:val="18"/>
              </w:rPr>
              <w:t>ASSETS</w:t>
            </w:r>
          </w:p>
        </w:tc>
        <w:tc>
          <w:tcPr>
            <w:tcW w:w="1064" w:type="dxa"/>
            <w:tcBorders>
              <w:top w:val="nil"/>
              <w:left w:val="nil"/>
              <w:bottom w:val="nil"/>
              <w:right w:val="nil"/>
            </w:tcBorders>
            <w:shd w:val="clear" w:color="000000" w:fill="D9D9D9"/>
            <w:noWrap/>
            <w:vAlign w:val="bottom"/>
            <w:hideMark/>
          </w:tcPr>
          <w:p w14:paraId="14A775C1" w14:textId="77777777" w:rsidR="00AB6753" w:rsidRDefault="00AB6753" w:rsidP="002D1EA4">
            <w:pPr>
              <w:spacing w:after="0"/>
              <w:rPr>
                <w:rFonts w:cs="Arial"/>
                <w:sz w:val="20"/>
              </w:rPr>
            </w:pPr>
            <w:r>
              <w:rPr>
                <w:rFonts w:cs="Arial"/>
                <w:sz w:val="20"/>
              </w:rPr>
              <w:t> </w:t>
            </w:r>
          </w:p>
        </w:tc>
        <w:tc>
          <w:tcPr>
            <w:tcW w:w="1187" w:type="dxa"/>
            <w:tcBorders>
              <w:top w:val="nil"/>
              <w:left w:val="nil"/>
              <w:bottom w:val="nil"/>
              <w:right w:val="nil"/>
            </w:tcBorders>
            <w:shd w:val="clear" w:color="000000" w:fill="D9D9D9"/>
            <w:noWrap/>
            <w:vAlign w:val="bottom"/>
            <w:hideMark/>
          </w:tcPr>
          <w:p w14:paraId="775D2E26" w14:textId="77777777" w:rsidR="00AB6753" w:rsidRDefault="00AB6753" w:rsidP="002D1EA4">
            <w:pPr>
              <w:spacing w:after="0"/>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4CC05B1E"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nil"/>
              <w:right w:val="nil"/>
            </w:tcBorders>
            <w:shd w:val="clear" w:color="000000" w:fill="D9D9D9"/>
            <w:noWrap/>
            <w:vAlign w:val="bottom"/>
            <w:hideMark/>
          </w:tcPr>
          <w:p w14:paraId="0A747CB9" w14:textId="77777777" w:rsidR="00AB6753" w:rsidRDefault="00AB6753" w:rsidP="002D1EA4">
            <w:pPr>
              <w:spacing w:after="0"/>
              <w:rPr>
                <w:rFonts w:cs="Arial"/>
                <w:sz w:val="16"/>
                <w:szCs w:val="16"/>
              </w:rPr>
            </w:pPr>
            <w:r>
              <w:rPr>
                <w:rFonts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14:paraId="31E16B1F"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single" w:sz="4" w:space="0" w:color="D9D9D9"/>
              <w:right w:val="nil"/>
            </w:tcBorders>
            <w:shd w:val="clear" w:color="000000" w:fill="D9D9D9"/>
            <w:noWrap/>
            <w:vAlign w:val="bottom"/>
            <w:hideMark/>
          </w:tcPr>
          <w:p w14:paraId="2FD75AA8" w14:textId="77777777" w:rsidR="00AB6753" w:rsidRDefault="00AB6753" w:rsidP="002D1EA4">
            <w:pPr>
              <w:spacing w:after="0"/>
              <w:rPr>
                <w:rFonts w:cs="Arial"/>
                <w:sz w:val="16"/>
                <w:szCs w:val="16"/>
              </w:rPr>
            </w:pPr>
            <w:r>
              <w:rPr>
                <w:rFonts w:cs="Arial"/>
                <w:sz w:val="16"/>
                <w:szCs w:val="16"/>
              </w:rPr>
              <w:t> </w:t>
            </w:r>
          </w:p>
        </w:tc>
      </w:tr>
      <w:tr w:rsidR="00AB6753" w14:paraId="5C5AB9CE" w14:textId="77777777" w:rsidTr="002D1EA4">
        <w:trPr>
          <w:trHeight w:val="255"/>
        </w:trPr>
        <w:tc>
          <w:tcPr>
            <w:tcW w:w="4236" w:type="dxa"/>
            <w:tcBorders>
              <w:top w:val="nil"/>
              <w:left w:val="nil"/>
              <w:bottom w:val="nil"/>
              <w:right w:val="nil"/>
            </w:tcBorders>
            <w:shd w:val="clear" w:color="000000" w:fill="D9D9D9"/>
            <w:vAlign w:val="bottom"/>
            <w:hideMark/>
          </w:tcPr>
          <w:p w14:paraId="4D259A51" w14:textId="77777777" w:rsidR="00AB6753" w:rsidRDefault="00AB6753" w:rsidP="002D1EA4">
            <w:pPr>
              <w:spacing w:after="0"/>
              <w:rPr>
                <w:rFonts w:cs="Arial"/>
                <w:b/>
                <w:bCs/>
                <w:sz w:val="18"/>
                <w:szCs w:val="18"/>
              </w:rPr>
            </w:pPr>
            <w:r>
              <w:rPr>
                <w:rFonts w:cs="Arial"/>
                <w:b/>
                <w:bCs/>
                <w:sz w:val="18"/>
                <w:szCs w:val="18"/>
              </w:rPr>
              <w:t>Financial Assets</w:t>
            </w:r>
          </w:p>
        </w:tc>
        <w:tc>
          <w:tcPr>
            <w:tcW w:w="1064" w:type="dxa"/>
            <w:tcBorders>
              <w:top w:val="single" w:sz="4" w:space="0" w:color="D9D9D9"/>
              <w:left w:val="nil"/>
              <w:bottom w:val="single" w:sz="4" w:space="0" w:color="D9D9D9"/>
              <w:right w:val="nil"/>
            </w:tcBorders>
            <w:shd w:val="clear" w:color="000000" w:fill="D9D9D9"/>
            <w:vAlign w:val="bottom"/>
            <w:hideMark/>
          </w:tcPr>
          <w:p w14:paraId="369DF8DB" w14:textId="77777777" w:rsidR="00AB6753" w:rsidRDefault="00AB6753" w:rsidP="002D1EA4">
            <w:pPr>
              <w:spacing w:after="0"/>
              <w:rPr>
                <w:rFonts w:cs="Arial"/>
                <w:sz w:val="18"/>
                <w:szCs w:val="18"/>
              </w:rPr>
            </w:pPr>
            <w:r>
              <w:rPr>
                <w:rFonts w:cs="Arial"/>
                <w:sz w:val="18"/>
                <w:szCs w:val="18"/>
              </w:rPr>
              <w:t> </w:t>
            </w:r>
          </w:p>
        </w:tc>
        <w:tc>
          <w:tcPr>
            <w:tcW w:w="1187" w:type="dxa"/>
            <w:tcBorders>
              <w:top w:val="nil"/>
              <w:left w:val="nil"/>
              <w:bottom w:val="nil"/>
              <w:right w:val="nil"/>
            </w:tcBorders>
            <w:shd w:val="clear" w:color="000000" w:fill="D9D9D9"/>
            <w:noWrap/>
            <w:vAlign w:val="bottom"/>
            <w:hideMark/>
          </w:tcPr>
          <w:p w14:paraId="6560C4D2" w14:textId="77777777" w:rsidR="00AB6753" w:rsidRDefault="00AB6753" w:rsidP="002D1EA4">
            <w:pPr>
              <w:spacing w:after="0"/>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4C6B8F45"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nil"/>
              <w:right w:val="nil"/>
            </w:tcBorders>
            <w:shd w:val="clear" w:color="000000" w:fill="D9D9D9"/>
            <w:noWrap/>
            <w:vAlign w:val="bottom"/>
            <w:hideMark/>
          </w:tcPr>
          <w:p w14:paraId="556421E2" w14:textId="77777777" w:rsidR="00AB6753" w:rsidRDefault="00AB6753" w:rsidP="002D1EA4">
            <w:pPr>
              <w:spacing w:after="0"/>
              <w:rPr>
                <w:rFonts w:cs="Arial"/>
                <w:sz w:val="16"/>
                <w:szCs w:val="16"/>
              </w:rPr>
            </w:pPr>
            <w:r>
              <w:rPr>
                <w:rFonts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14:paraId="7D74B071"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single" w:sz="4" w:space="0" w:color="D9D9D9"/>
              <w:right w:val="nil"/>
            </w:tcBorders>
            <w:shd w:val="clear" w:color="000000" w:fill="D9D9D9"/>
            <w:noWrap/>
            <w:vAlign w:val="bottom"/>
            <w:hideMark/>
          </w:tcPr>
          <w:p w14:paraId="00A1DAFD" w14:textId="77777777" w:rsidR="00AB6753" w:rsidRDefault="00AB6753" w:rsidP="002D1EA4">
            <w:pPr>
              <w:spacing w:after="0"/>
              <w:rPr>
                <w:rFonts w:cs="Arial"/>
                <w:sz w:val="16"/>
                <w:szCs w:val="16"/>
              </w:rPr>
            </w:pPr>
            <w:r>
              <w:rPr>
                <w:rFonts w:cs="Arial"/>
                <w:sz w:val="16"/>
                <w:szCs w:val="16"/>
              </w:rPr>
              <w:t> </w:t>
            </w:r>
          </w:p>
        </w:tc>
      </w:tr>
      <w:tr w:rsidR="00AB6753" w14:paraId="695F331D" w14:textId="77777777" w:rsidTr="002D1EA4">
        <w:trPr>
          <w:trHeight w:val="255"/>
        </w:trPr>
        <w:tc>
          <w:tcPr>
            <w:tcW w:w="4236" w:type="dxa"/>
            <w:tcBorders>
              <w:top w:val="nil"/>
              <w:left w:val="nil"/>
              <w:bottom w:val="nil"/>
              <w:right w:val="nil"/>
            </w:tcBorders>
            <w:shd w:val="clear" w:color="000000" w:fill="D9D9D9"/>
            <w:vAlign w:val="bottom"/>
            <w:hideMark/>
          </w:tcPr>
          <w:p w14:paraId="1F96FFE3" w14:textId="77777777" w:rsidR="00AB6753" w:rsidRDefault="00AB6753" w:rsidP="002D1EA4">
            <w:pPr>
              <w:spacing w:after="0"/>
              <w:rPr>
                <w:rFonts w:cs="Arial"/>
                <w:sz w:val="18"/>
                <w:szCs w:val="18"/>
              </w:rPr>
            </w:pPr>
            <w:r>
              <w:rPr>
                <w:rFonts w:cs="Arial"/>
                <w:sz w:val="18"/>
                <w:szCs w:val="18"/>
              </w:rPr>
              <w:t>Cash and cash equivalents</w:t>
            </w:r>
          </w:p>
        </w:tc>
        <w:tc>
          <w:tcPr>
            <w:tcW w:w="1064" w:type="dxa"/>
            <w:tcBorders>
              <w:top w:val="nil"/>
              <w:left w:val="nil"/>
              <w:bottom w:val="single" w:sz="4" w:space="0" w:color="D9D9D9"/>
              <w:right w:val="nil"/>
            </w:tcBorders>
            <w:shd w:val="clear" w:color="000000" w:fill="D9D9D9"/>
            <w:vAlign w:val="bottom"/>
            <w:hideMark/>
          </w:tcPr>
          <w:p w14:paraId="7EE3638E" w14:textId="77777777" w:rsidR="00AB6753" w:rsidRDefault="00AB6753" w:rsidP="002D1EA4">
            <w:pPr>
              <w:spacing w:after="0"/>
              <w:jc w:val="center"/>
              <w:rPr>
                <w:rFonts w:cs="Arial"/>
                <w:sz w:val="18"/>
                <w:szCs w:val="18"/>
              </w:rPr>
            </w:pPr>
            <w:r>
              <w:rPr>
                <w:rFonts w:cs="Arial"/>
                <w:sz w:val="18"/>
                <w:szCs w:val="18"/>
              </w:rPr>
              <w:t>4.1A</w:t>
            </w:r>
          </w:p>
        </w:tc>
        <w:tc>
          <w:tcPr>
            <w:tcW w:w="1187" w:type="dxa"/>
            <w:tcBorders>
              <w:top w:val="nil"/>
              <w:left w:val="nil"/>
              <w:bottom w:val="nil"/>
              <w:right w:val="nil"/>
            </w:tcBorders>
            <w:shd w:val="clear" w:color="000000" w:fill="D9D9D9"/>
            <w:noWrap/>
            <w:vAlign w:val="bottom"/>
            <w:hideMark/>
          </w:tcPr>
          <w:p w14:paraId="746F3259" w14:textId="77777777" w:rsidR="00AB6753" w:rsidRDefault="00AB6753" w:rsidP="002D1EA4">
            <w:pPr>
              <w:spacing w:after="0"/>
              <w:jc w:val="right"/>
              <w:rPr>
                <w:rFonts w:cs="Arial"/>
                <w:b/>
                <w:bCs/>
                <w:sz w:val="18"/>
                <w:szCs w:val="18"/>
              </w:rPr>
            </w:pPr>
            <w:r>
              <w:rPr>
                <w:rFonts w:cs="Arial"/>
                <w:b/>
                <w:bCs/>
                <w:sz w:val="18"/>
                <w:szCs w:val="18"/>
              </w:rPr>
              <w:t>518,528</w:t>
            </w:r>
          </w:p>
        </w:tc>
        <w:tc>
          <w:tcPr>
            <w:tcW w:w="236" w:type="dxa"/>
            <w:tcBorders>
              <w:top w:val="nil"/>
              <w:left w:val="nil"/>
              <w:bottom w:val="nil"/>
              <w:right w:val="nil"/>
            </w:tcBorders>
            <w:shd w:val="clear" w:color="000000" w:fill="D9D9D9"/>
            <w:noWrap/>
            <w:vAlign w:val="bottom"/>
            <w:hideMark/>
          </w:tcPr>
          <w:p w14:paraId="68EB7298"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nil"/>
              <w:right w:val="nil"/>
            </w:tcBorders>
            <w:shd w:val="clear" w:color="000000" w:fill="D9D9D9"/>
            <w:noWrap/>
            <w:vAlign w:val="bottom"/>
            <w:hideMark/>
          </w:tcPr>
          <w:p w14:paraId="2B983193" w14:textId="77777777" w:rsidR="00AB6753" w:rsidRDefault="00AB6753" w:rsidP="002D1EA4">
            <w:pPr>
              <w:spacing w:after="0"/>
              <w:jc w:val="right"/>
              <w:rPr>
                <w:rFonts w:cs="Arial"/>
                <w:sz w:val="18"/>
                <w:szCs w:val="18"/>
              </w:rPr>
            </w:pPr>
            <w:r>
              <w:rPr>
                <w:rFonts w:cs="Arial"/>
                <w:sz w:val="18"/>
                <w:szCs w:val="18"/>
              </w:rPr>
              <w:t>412,483</w:t>
            </w:r>
          </w:p>
        </w:tc>
        <w:tc>
          <w:tcPr>
            <w:tcW w:w="236" w:type="dxa"/>
            <w:tcBorders>
              <w:top w:val="nil"/>
              <w:left w:val="nil"/>
              <w:bottom w:val="single" w:sz="4" w:space="0" w:color="D9D9D9"/>
              <w:right w:val="nil"/>
            </w:tcBorders>
            <w:shd w:val="clear" w:color="000000" w:fill="D9D9D9"/>
            <w:noWrap/>
            <w:vAlign w:val="bottom"/>
            <w:hideMark/>
          </w:tcPr>
          <w:p w14:paraId="08B28DA7"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nil"/>
              <w:right w:val="nil"/>
            </w:tcBorders>
            <w:shd w:val="clear" w:color="000000" w:fill="D9D9D9"/>
            <w:noWrap/>
            <w:vAlign w:val="bottom"/>
            <w:hideMark/>
          </w:tcPr>
          <w:p w14:paraId="44F0EA74" w14:textId="77777777" w:rsidR="00AB6753" w:rsidRDefault="00AB6753" w:rsidP="002D1EA4">
            <w:pPr>
              <w:spacing w:after="0"/>
              <w:jc w:val="right"/>
              <w:rPr>
                <w:rFonts w:cs="Arial"/>
                <w:sz w:val="18"/>
                <w:szCs w:val="18"/>
              </w:rPr>
            </w:pPr>
            <w:r>
              <w:rPr>
                <w:rFonts w:cs="Arial"/>
                <w:sz w:val="18"/>
                <w:szCs w:val="18"/>
              </w:rPr>
              <w:t xml:space="preserve">401,515 </w:t>
            </w:r>
          </w:p>
        </w:tc>
      </w:tr>
      <w:tr w:rsidR="00AB6753" w14:paraId="2227C87D" w14:textId="77777777" w:rsidTr="002D1EA4">
        <w:trPr>
          <w:trHeight w:val="255"/>
        </w:trPr>
        <w:tc>
          <w:tcPr>
            <w:tcW w:w="4236" w:type="dxa"/>
            <w:tcBorders>
              <w:top w:val="nil"/>
              <w:left w:val="nil"/>
              <w:bottom w:val="nil"/>
              <w:right w:val="nil"/>
            </w:tcBorders>
            <w:shd w:val="clear" w:color="000000" w:fill="D9D9D9"/>
            <w:vAlign w:val="bottom"/>
            <w:hideMark/>
          </w:tcPr>
          <w:p w14:paraId="0438CA9D" w14:textId="77777777" w:rsidR="00AB6753" w:rsidRDefault="00AB6753" w:rsidP="002D1EA4">
            <w:pPr>
              <w:spacing w:after="0"/>
              <w:rPr>
                <w:rFonts w:cs="Arial"/>
                <w:sz w:val="18"/>
                <w:szCs w:val="18"/>
              </w:rPr>
            </w:pPr>
            <w:r>
              <w:rPr>
                <w:rFonts w:cs="Arial"/>
                <w:sz w:val="18"/>
                <w:szCs w:val="18"/>
              </w:rPr>
              <w:t>Receivables</w:t>
            </w:r>
          </w:p>
        </w:tc>
        <w:tc>
          <w:tcPr>
            <w:tcW w:w="1064" w:type="dxa"/>
            <w:tcBorders>
              <w:top w:val="nil"/>
              <w:left w:val="nil"/>
              <w:bottom w:val="single" w:sz="4" w:space="0" w:color="D9D9D9"/>
              <w:right w:val="nil"/>
            </w:tcBorders>
            <w:shd w:val="clear" w:color="000000" w:fill="D9D9D9"/>
            <w:vAlign w:val="bottom"/>
            <w:hideMark/>
          </w:tcPr>
          <w:p w14:paraId="11C18BCE" w14:textId="77777777" w:rsidR="00AB6753" w:rsidRDefault="00AB6753" w:rsidP="002D1EA4">
            <w:pPr>
              <w:spacing w:after="0"/>
              <w:jc w:val="center"/>
              <w:rPr>
                <w:rFonts w:cs="Arial"/>
                <w:sz w:val="18"/>
                <w:szCs w:val="18"/>
              </w:rPr>
            </w:pPr>
            <w:r>
              <w:rPr>
                <w:rFonts w:cs="Arial"/>
                <w:sz w:val="18"/>
                <w:szCs w:val="18"/>
              </w:rPr>
              <w:t>4.1B</w:t>
            </w:r>
          </w:p>
        </w:tc>
        <w:tc>
          <w:tcPr>
            <w:tcW w:w="1187" w:type="dxa"/>
            <w:tcBorders>
              <w:top w:val="nil"/>
              <w:left w:val="nil"/>
              <w:bottom w:val="nil"/>
              <w:right w:val="nil"/>
            </w:tcBorders>
            <w:shd w:val="clear" w:color="000000" w:fill="D9D9D9"/>
            <w:noWrap/>
            <w:vAlign w:val="bottom"/>
            <w:hideMark/>
          </w:tcPr>
          <w:p w14:paraId="491D1C1A" w14:textId="77777777" w:rsidR="00AB6753" w:rsidRDefault="00AB6753" w:rsidP="002D1EA4">
            <w:pPr>
              <w:spacing w:after="0"/>
              <w:jc w:val="right"/>
              <w:rPr>
                <w:rFonts w:cs="Arial"/>
                <w:b/>
                <w:bCs/>
                <w:sz w:val="18"/>
                <w:szCs w:val="18"/>
              </w:rPr>
            </w:pPr>
            <w:r>
              <w:rPr>
                <w:rFonts w:cs="Arial"/>
                <w:b/>
                <w:bCs/>
                <w:sz w:val="18"/>
                <w:szCs w:val="18"/>
              </w:rPr>
              <w:t>4,706,346</w:t>
            </w:r>
          </w:p>
        </w:tc>
        <w:tc>
          <w:tcPr>
            <w:tcW w:w="236" w:type="dxa"/>
            <w:tcBorders>
              <w:top w:val="nil"/>
              <w:left w:val="nil"/>
              <w:bottom w:val="nil"/>
              <w:right w:val="nil"/>
            </w:tcBorders>
            <w:shd w:val="clear" w:color="000000" w:fill="D9D9D9"/>
            <w:noWrap/>
            <w:vAlign w:val="bottom"/>
            <w:hideMark/>
          </w:tcPr>
          <w:p w14:paraId="7CCBE91C"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nil"/>
              <w:right w:val="nil"/>
            </w:tcBorders>
            <w:shd w:val="clear" w:color="000000" w:fill="D9D9D9"/>
            <w:noWrap/>
            <w:vAlign w:val="bottom"/>
            <w:hideMark/>
          </w:tcPr>
          <w:p w14:paraId="35BAC4F1" w14:textId="77777777" w:rsidR="00AB6753" w:rsidRDefault="00AB6753" w:rsidP="002D1EA4">
            <w:pPr>
              <w:spacing w:after="0"/>
              <w:jc w:val="right"/>
              <w:rPr>
                <w:rFonts w:cs="Arial"/>
                <w:sz w:val="18"/>
                <w:szCs w:val="18"/>
              </w:rPr>
            </w:pPr>
            <w:r>
              <w:rPr>
                <w:rFonts w:cs="Arial"/>
                <w:sz w:val="18"/>
                <w:szCs w:val="18"/>
              </w:rPr>
              <w:t>4,550,616</w:t>
            </w:r>
          </w:p>
        </w:tc>
        <w:tc>
          <w:tcPr>
            <w:tcW w:w="236" w:type="dxa"/>
            <w:tcBorders>
              <w:top w:val="nil"/>
              <w:left w:val="nil"/>
              <w:bottom w:val="single" w:sz="4" w:space="0" w:color="D9D9D9"/>
              <w:right w:val="nil"/>
            </w:tcBorders>
            <w:shd w:val="clear" w:color="000000" w:fill="D9D9D9"/>
            <w:noWrap/>
            <w:vAlign w:val="bottom"/>
            <w:hideMark/>
          </w:tcPr>
          <w:p w14:paraId="59222F6F"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nil"/>
              <w:right w:val="nil"/>
            </w:tcBorders>
            <w:shd w:val="clear" w:color="000000" w:fill="D9D9D9"/>
            <w:noWrap/>
            <w:vAlign w:val="bottom"/>
            <w:hideMark/>
          </w:tcPr>
          <w:p w14:paraId="0F82A605" w14:textId="77777777" w:rsidR="00AB6753" w:rsidRDefault="00AB6753" w:rsidP="002D1EA4">
            <w:pPr>
              <w:spacing w:after="0"/>
              <w:jc w:val="right"/>
              <w:rPr>
                <w:rFonts w:cs="Arial"/>
                <w:sz w:val="18"/>
                <w:szCs w:val="18"/>
              </w:rPr>
            </w:pPr>
            <w:r>
              <w:rPr>
                <w:rFonts w:cs="Arial"/>
                <w:sz w:val="18"/>
                <w:szCs w:val="18"/>
              </w:rPr>
              <w:t xml:space="preserve">4,354,800 </w:t>
            </w:r>
          </w:p>
        </w:tc>
      </w:tr>
      <w:tr w:rsidR="00AB6753" w14:paraId="27720C18" w14:textId="77777777" w:rsidTr="002D1EA4">
        <w:trPr>
          <w:trHeight w:val="255"/>
        </w:trPr>
        <w:tc>
          <w:tcPr>
            <w:tcW w:w="4236" w:type="dxa"/>
            <w:tcBorders>
              <w:top w:val="nil"/>
              <w:left w:val="nil"/>
              <w:bottom w:val="nil"/>
              <w:right w:val="nil"/>
            </w:tcBorders>
            <w:shd w:val="clear" w:color="000000" w:fill="D9D9D9"/>
            <w:vAlign w:val="bottom"/>
            <w:hideMark/>
          </w:tcPr>
          <w:p w14:paraId="6B431F80" w14:textId="77777777" w:rsidR="00AB6753" w:rsidRDefault="00AB6753" w:rsidP="002D1EA4">
            <w:pPr>
              <w:spacing w:after="0"/>
              <w:rPr>
                <w:rFonts w:cs="Arial"/>
                <w:sz w:val="18"/>
                <w:szCs w:val="18"/>
              </w:rPr>
            </w:pPr>
            <w:r>
              <w:rPr>
                <w:rFonts w:cs="Arial"/>
                <w:sz w:val="18"/>
                <w:szCs w:val="18"/>
              </w:rPr>
              <w:t xml:space="preserve">Investments </w:t>
            </w:r>
          </w:p>
        </w:tc>
        <w:tc>
          <w:tcPr>
            <w:tcW w:w="1064" w:type="dxa"/>
            <w:tcBorders>
              <w:top w:val="nil"/>
              <w:left w:val="nil"/>
              <w:bottom w:val="single" w:sz="4" w:space="0" w:color="D9D9D9"/>
              <w:right w:val="nil"/>
            </w:tcBorders>
            <w:shd w:val="clear" w:color="000000" w:fill="D9D9D9"/>
            <w:vAlign w:val="bottom"/>
            <w:hideMark/>
          </w:tcPr>
          <w:p w14:paraId="091C6545" w14:textId="77777777" w:rsidR="00AB6753" w:rsidRDefault="00AB6753" w:rsidP="002D1EA4">
            <w:pPr>
              <w:spacing w:after="0"/>
              <w:jc w:val="center"/>
              <w:rPr>
                <w:rFonts w:cs="Arial"/>
                <w:sz w:val="18"/>
                <w:szCs w:val="18"/>
              </w:rPr>
            </w:pPr>
            <w:r>
              <w:rPr>
                <w:rFonts w:cs="Arial"/>
                <w:sz w:val="18"/>
                <w:szCs w:val="18"/>
              </w:rPr>
              <w:t>4.1C</w:t>
            </w:r>
          </w:p>
        </w:tc>
        <w:tc>
          <w:tcPr>
            <w:tcW w:w="1187" w:type="dxa"/>
            <w:tcBorders>
              <w:top w:val="nil"/>
              <w:left w:val="nil"/>
              <w:bottom w:val="nil"/>
              <w:right w:val="nil"/>
            </w:tcBorders>
            <w:shd w:val="clear" w:color="000000" w:fill="D9D9D9"/>
            <w:noWrap/>
            <w:vAlign w:val="bottom"/>
            <w:hideMark/>
          </w:tcPr>
          <w:p w14:paraId="2165AD9C" w14:textId="77777777" w:rsidR="00AB6753" w:rsidRDefault="00AB6753" w:rsidP="002D1EA4">
            <w:pPr>
              <w:spacing w:after="0"/>
              <w:jc w:val="right"/>
              <w:rPr>
                <w:rFonts w:cs="Arial"/>
                <w:b/>
                <w:bCs/>
                <w:sz w:val="18"/>
                <w:szCs w:val="18"/>
              </w:rPr>
            </w:pPr>
            <w:r>
              <w:rPr>
                <w:rFonts w:cs="Arial"/>
                <w:b/>
                <w:bCs/>
                <w:sz w:val="18"/>
                <w:szCs w:val="18"/>
              </w:rPr>
              <w:t>1,173,527</w:t>
            </w:r>
          </w:p>
        </w:tc>
        <w:tc>
          <w:tcPr>
            <w:tcW w:w="236" w:type="dxa"/>
            <w:tcBorders>
              <w:top w:val="nil"/>
              <w:left w:val="nil"/>
              <w:bottom w:val="nil"/>
              <w:right w:val="nil"/>
            </w:tcBorders>
            <w:shd w:val="clear" w:color="000000" w:fill="D9D9D9"/>
            <w:noWrap/>
            <w:vAlign w:val="bottom"/>
            <w:hideMark/>
          </w:tcPr>
          <w:p w14:paraId="54C1ED39"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nil"/>
              <w:right w:val="nil"/>
            </w:tcBorders>
            <w:shd w:val="clear" w:color="000000" w:fill="D9D9D9"/>
            <w:noWrap/>
            <w:vAlign w:val="bottom"/>
            <w:hideMark/>
          </w:tcPr>
          <w:p w14:paraId="2EB67C59" w14:textId="77777777" w:rsidR="00AB6753" w:rsidRDefault="00AB6753" w:rsidP="002D1EA4">
            <w:pPr>
              <w:spacing w:after="0"/>
              <w:jc w:val="right"/>
              <w:rPr>
                <w:rFonts w:cs="Arial"/>
                <w:sz w:val="18"/>
                <w:szCs w:val="18"/>
              </w:rPr>
            </w:pPr>
            <w:r>
              <w:rPr>
                <w:rFonts w:cs="Arial"/>
                <w:sz w:val="18"/>
                <w:szCs w:val="18"/>
              </w:rPr>
              <w:t>2,532,466</w:t>
            </w:r>
          </w:p>
        </w:tc>
        <w:tc>
          <w:tcPr>
            <w:tcW w:w="236" w:type="dxa"/>
            <w:tcBorders>
              <w:top w:val="nil"/>
              <w:left w:val="nil"/>
              <w:bottom w:val="single" w:sz="4" w:space="0" w:color="D9D9D9"/>
              <w:right w:val="nil"/>
            </w:tcBorders>
            <w:shd w:val="clear" w:color="000000" w:fill="D9D9D9"/>
            <w:noWrap/>
            <w:vAlign w:val="bottom"/>
            <w:hideMark/>
          </w:tcPr>
          <w:p w14:paraId="29CD379A"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nil"/>
              <w:right w:val="nil"/>
            </w:tcBorders>
            <w:shd w:val="clear" w:color="000000" w:fill="D9D9D9"/>
            <w:noWrap/>
            <w:vAlign w:val="bottom"/>
            <w:hideMark/>
          </w:tcPr>
          <w:p w14:paraId="40DADD8C" w14:textId="77777777" w:rsidR="00AB6753" w:rsidRDefault="00AB6753" w:rsidP="002D1EA4">
            <w:pPr>
              <w:spacing w:after="0"/>
              <w:jc w:val="right"/>
              <w:rPr>
                <w:rFonts w:cs="Arial"/>
                <w:sz w:val="18"/>
                <w:szCs w:val="18"/>
              </w:rPr>
            </w:pPr>
            <w:r>
              <w:rPr>
                <w:rFonts w:cs="Arial"/>
                <w:sz w:val="18"/>
                <w:szCs w:val="18"/>
              </w:rPr>
              <w:t xml:space="preserve">1,875,897 </w:t>
            </w:r>
          </w:p>
        </w:tc>
      </w:tr>
      <w:tr w:rsidR="00AB6753" w14:paraId="312B2B18" w14:textId="77777777" w:rsidTr="002D1EA4">
        <w:trPr>
          <w:trHeight w:val="255"/>
        </w:trPr>
        <w:tc>
          <w:tcPr>
            <w:tcW w:w="4236" w:type="dxa"/>
            <w:tcBorders>
              <w:top w:val="single" w:sz="4" w:space="0" w:color="D9D9D9"/>
              <w:left w:val="nil"/>
              <w:bottom w:val="single" w:sz="4" w:space="0" w:color="D9D9D9"/>
              <w:right w:val="nil"/>
            </w:tcBorders>
            <w:shd w:val="clear" w:color="000000" w:fill="D9D9D9"/>
            <w:vAlign w:val="bottom"/>
            <w:hideMark/>
          </w:tcPr>
          <w:p w14:paraId="5D46AC17" w14:textId="77777777" w:rsidR="00AB6753" w:rsidRDefault="00AB6753" w:rsidP="002D1EA4">
            <w:pPr>
              <w:spacing w:after="0"/>
              <w:rPr>
                <w:rFonts w:cs="Arial"/>
                <w:b/>
                <w:bCs/>
                <w:sz w:val="18"/>
                <w:szCs w:val="18"/>
              </w:rPr>
            </w:pPr>
            <w:r>
              <w:rPr>
                <w:rFonts w:cs="Arial"/>
                <w:b/>
                <w:bCs/>
                <w:sz w:val="18"/>
                <w:szCs w:val="18"/>
              </w:rPr>
              <w:t>Total financial assets</w:t>
            </w:r>
          </w:p>
        </w:tc>
        <w:tc>
          <w:tcPr>
            <w:tcW w:w="1064" w:type="dxa"/>
            <w:tcBorders>
              <w:top w:val="nil"/>
              <w:left w:val="nil"/>
              <w:bottom w:val="single" w:sz="4" w:space="0" w:color="D9D9D9"/>
              <w:right w:val="nil"/>
            </w:tcBorders>
            <w:shd w:val="clear" w:color="000000" w:fill="D9D9D9"/>
            <w:vAlign w:val="bottom"/>
            <w:hideMark/>
          </w:tcPr>
          <w:p w14:paraId="7B44D11C" w14:textId="77777777" w:rsidR="00AB6753" w:rsidRDefault="00AB6753" w:rsidP="002D1EA4">
            <w:pPr>
              <w:spacing w:after="0"/>
              <w:jc w:val="center"/>
              <w:rPr>
                <w:rFonts w:cs="Arial"/>
                <w:sz w:val="18"/>
                <w:szCs w:val="18"/>
              </w:rPr>
            </w:pPr>
            <w:r>
              <w:rPr>
                <w:rFonts w:cs="Arial"/>
                <w:sz w:val="18"/>
                <w:szCs w:val="18"/>
              </w:rPr>
              <w:t> </w:t>
            </w:r>
          </w:p>
        </w:tc>
        <w:tc>
          <w:tcPr>
            <w:tcW w:w="1187" w:type="dxa"/>
            <w:tcBorders>
              <w:top w:val="single" w:sz="4" w:space="0" w:color="auto"/>
              <w:left w:val="nil"/>
              <w:bottom w:val="single" w:sz="4" w:space="0" w:color="auto"/>
              <w:right w:val="nil"/>
            </w:tcBorders>
            <w:shd w:val="clear" w:color="000000" w:fill="D9D9D9"/>
            <w:noWrap/>
            <w:vAlign w:val="bottom"/>
            <w:hideMark/>
          </w:tcPr>
          <w:p w14:paraId="1A170873" w14:textId="77777777" w:rsidR="00AB6753" w:rsidRDefault="00AB6753" w:rsidP="002D1EA4">
            <w:pPr>
              <w:spacing w:after="0"/>
              <w:jc w:val="right"/>
              <w:rPr>
                <w:rFonts w:cs="Arial"/>
                <w:b/>
                <w:bCs/>
                <w:sz w:val="18"/>
                <w:szCs w:val="18"/>
              </w:rPr>
            </w:pPr>
            <w:r>
              <w:rPr>
                <w:rFonts w:cs="Arial"/>
                <w:b/>
                <w:bCs/>
                <w:sz w:val="18"/>
                <w:szCs w:val="18"/>
              </w:rPr>
              <w:t>6,398,401</w:t>
            </w:r>
          </w:p>
        </w:tc>
        <w:tc>
          <w:tcPr>
            <w:tcW w:w="236" w:type="dxa"/>
            <w:tcBorders>
              <w:top w:val="single" w:sz="4" w:space="0" w:color="D9D9D9"/>
              <w:left w:val="nil"/>
              <w:bottom w:val="single" w:sz="4" w:space="0" w:color="D9D9D9"/>
              <w:right w:val="nil"/>
            </w:tcBorders>
            <w:shd w:val="clear" w:color="000000" w:fill="D9D9D9"/>
            <w:noWrap/>
            <w:vAlign w:val="bottom"/>
            <w:hideMark/>
          </w:tcPr>
          <w:p w14:paraId="00ABDF33" w14:textId="77777777" w:rsidR="00AB6753" w:rsidRDefault="00AB6753" w:rsidP="002D1EA4">
            <w:pPr>
              <w:spacing w:after="0"/>
              <w:rPr>
                <w:rFonts w:cs="Arial"/>
                <w:sz w:val="16"/>
                <w:szCs w:val="16"/>
              </w:rPr>
            </w:pPr>
            <w:r>
              <w:rPr>
                <w:rFonts w:cs="Arial"/>
                <w:sz w:val="16"/>
                <w:szCs w:val="16"/>
              </w:rPr>
              <w:t> </w:t>
            </w:r>
          </w:p>
        </w:tc>
        <w:tc>
          <w:tcPr>
            <w:tcW w:w="1170" w:type="dxa"/>
            <w:tcBorders>
              <w:top w:val="single" w:sz="4" w:space="0" w:color="auto"/>
              <w:left w:val="nil"/>
              <w:bottom w:val="single" w:sz="4" w:space="0" w:color="auto"/>
              <w:right w:val="nil"/>
            </w:tcBorders>
            <w:shd w:val="clear" w:color="000000" w:fill="D9D9D9"/>
            <w:noWrap/>
            <w:vAlign w:val="bottom"/>
            <w:hideMark/>
          </w:tcPr>
          <w:p w14:paraId="5C9E5C93" w14:textId="77777777" w:rsidR="00AB6753" w:rsidRDefault="00AB6753" w:rsidP="002D1EA4">
            <w:pPr>
              <w:spacing w:after="0"/>
              <w:jc w:val="right"/>
              <w:rPr>
                <w:rFonts w:cs="Arial"/>
                <w:sz w:val="18"/>
                <w:szCs w:val="18"/>
              </w:rPr>
            </w:pPr>
            <w:r>
              <w:rPr>
                <w:rFonts w:cs="Arial"/>
                <w:sz w:val="18"/>
                <w:szCs w:val="18"/>
              </w:rPr>
              <w:t>7,495,565</w:t>
            </w:r>
          </w:p>
        </w:tc>
        <w:tc>
          <w:tcPr>
            <w:tcW w:w="236" w:type="dxa"/>
            <w:tcBorders>
              <w:top w:val="nil"/>
              <w:left w:val="nil"/>
              <w:bottom w:val="single" w:sz="4" w:space="0" w:color="D9D9D9"/>
              <w:right w:val="nil"/>
            </w:tcBorders>
            <w:shd w:val="clear" w:color="000000" w:fill="D9D9D9"/>
            <w:noWrap/>
            <w:vAlign w:val="bottom"/>
            <w:hideMark/>
          </w:tcPr>
          <w:p w14:paraId="42526452" w14:textId="77777777" w:rsidR="00AB6753" w:rsidRDefault="00AB6753" w:rsidP="002D1EA4">
            <w:pPr>
              <w:spacing w:after="0"/>
              <w:rPr>
                <w:rFonts w:cs="Arial"/>
                <w:sz w:val="16"/>
                <w:szCs w:val="16"/>
              </w:rPr>
            </w:pPr>
            <w:r>
              <w:rPr>
                <w:rFonts w:cs="Arial"/>
                <w:sz w:val="16"/>
                <w:szCs w:val="16"/>
              </w:rPr>
              <w:t> </w:t>
            </w:r>
          </w:p>
        </w:tc>
        <w:tc>
          <w:tcPr>
            <w:tcW w:w="1154" w:type="dxa"/>
            <w:tcBorders>
              <w:top w:val="single" w:sz="4" w:space="0" w:color="auto"/>
              <w:left w:val="nil"/>
              <w:bottom w:val="single" w:sz="4" w:space="0" w:color="auto"/>
              <w:right w:val="nil"/>
            </w:tcBorders>
            <w:shd w:val="clear" w:color="000000" w:fill="D9D9D9"/>
            <w:noWrap/>
            <w:vAlign w:val="bottom"/>
            <w:hideMark/>
          </w:tcPr>
          <w:p w14:paraId="6DDF78D3" w14:textId="77777777" w:rsidR="00AB6753" w:rsidRDefault="00AB6753" w:rsidP="002D1EA4">
            <w:pPr>
              <w:spacing w:after="0"/>
              <w:jc w:val="right"/>
              <w:rPr>
                <w:rFonts w:cs="Arial"/>
                <w:sz w:val="18"/>
                <w:szCs w:val="18"/>
              </w:rPr>
            </w:pPr>
            <w:r>
              <w:rPr>
                <w:rFonts w:cs="Arial"/>
                <w:sz w:val="18"/>
                <w:szCs w:val="18"/>
              </w:rPr>
              <w:t>6,632,212</w:t>
            </w:r>
          </w:p>
        </w:tc>
      </w:tr>
      <w:tr w:rsidR="00AB6753" w14:paraId="136B4F1D" w14:textId="77777777" w:rsidTr="002D1EA4">
        <w:trPr>
          <w:trHeight w:val="255"/>
        </w:trPr>
        <w:tc>
          <w:tcPr>
            <w:tcW w:w="4236" w:type="dxa"/>
            <w:tcBorders>
              <w:top w:val="nil"/>
              <w:left w:val="nil"/>
              <w:bottom w:val="nil"/>
              <w:right w:val="nil"/>
            </w:tcBorders>
            <w:shd w:val="clear" w:color="000000" w:fill="D9D9D9"/>
            <w:noWrap/>
            <w:vAlign w:val="bottom"/>
            <w:hideMark/>
          </w:tcPr>
          <w:p w14:paraId="6020F5AF" w14:textId="77777777" w:rsidR="00AB6753" w:rsidRDefault="00AB6753" w:rsidP="002D1EA4">
            <w:pPr>
              <w:spacing w:after="0"/>
              <w:rPr>
                <w:rFonts w:cs="Arial"/>
                <w:sz w:val="16"/>
                <w:szCs w:val="16"/>
              </w:rPr>
            </w:pPr>
            <w:r>
              <w:rPr>
                <w:rFonts w:cs="Arial"/>
                <w:sz w:val="16"/>
                <w:szCs w:val="16"/>
              </w:rPr>
              <w:t> </w:t>
            </w:r>
          </w:p>
        </w:tc>
        <w:tc>
          <w:tcPr>
            <w:tcW w:w="1064" w:type="dxa"/>
            <w:tcBorders>
              <w:top w:val="nil"/>
              <w:left w:val="nil"/>
              <w:bottom w:val="single" w:sz="4" w:space="0" w:color="D9D9D9"/>
              <w:right w:val="nil"/>
            </w:tcBorders>
            <w:shd w:val="clear" w:color="000000" w:fill="D9D9D9"/>
            <w:vAlign w:val="bottom"/>
            <w:hideMark/>
          </w:tcPr>
          <w:p w14:paraId="6B7E1CBA" w14:textId="77777777" w:rsidR="00AB6753" w:rsidRDefault="00AB6753" w:rsidP="002D1EA4">
            <w:pPr>
              <w:spacing w:after="0"/>
              <w:jc w:val="center"/>
              <w:rPr>
                <w:rFonts w:cs="Arial"/>
                <w:sz w:val="18"/>
                <w:szCs w:val="18"/>
              </w:rPr>
            </w:pPr>
            <w:r>
              <w:rPr>
                <w:rFonts w:cs="Arial"/>
                <w:sz w:val="18"/>
                <w:szCs w:val="18"/>
              </w:rPr>
              <w:t> </w:t>
            </w:r>
          </w:p>
        </w:tc>
        <w:tc>
          <w:tcPr>
            <w:tcW w:w="1187" w:type="dxa"/>
            <w:tcBorders>
              <w:top w:val="nil"/>
              <w:left w:val="nil"/>
              <w:bottom w:val="nil"/>
              <w:right w:val="nil"/>
            </w:tcBorders>
            <w:shd w:val="clear" w:color="000000" w:fill="D9D9D9"/>
            <w:noWrap/>
            <w:vAlign w:val="bottom"/>
            <w:hideMark/>
          </w:tcPr>
          <w:p w14:paraId="602109D3" w14:textId="77777777" w:rsidR="00AB6753" w:rsidRDefault="00AB6753" w:rsidP="002D1EA4">
            <w:pPr>
              <w:spacing w:after="0"/>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6E82C009"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nil"/>
              <w:right w:val="nil"/>
            </w:tcBorders>
            <w:shd w:val="clear" w:color="000000" w:fill="D9D9D9"/>
            <w:noWrap/>
            <w:vAlign w:val="bottom"/>
            <w:hideMark/>
          </w:tcPr>
          <w:p w14:paraId="290E180D" w14:textId="77777777" w:rsidR="00AB6753" w:rsidRDefault="00AB6753" w:rsidP="002D1EA4">
            <w:pPr>
              <w:spacing w:after="0"/>
              <w:rPr>
                <w:rFonts w:cs="Arial"/>
                <w:sz w:val="16"/>
                <w:szCs w:val="16"/>
              </w:rPr>
            </w:pPr>
            <w:r>
              <w:rPr>
                <w:rFonts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14:paraId="1CBD6B17"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single" w:sz="4" w:space="0" w:color="D9D9D9"/>
              <w:right w:val="nil"/>
            </w:tcBorders>
            <w:shd w:val="clear" w:color="000000" w:fill="D9D9D9"/>
            <w:noWrap/>
            <w:vAlign w:val="bottom"/>
            <w:hideMark/>
          </w:tcPr>
          <w:p w14:paraId="29C205F5" w14:textId="77777777" w:rsidR="00AB6753" w:rsidRDefault="00AB6753" w:rsidP="002D1EA4">
            <w:pPr>
              <w:spacing w:after="0"/>
              <w:rPr>
                <w:rFonts w:cs="Arial"/>
                <w:sz w:val="16"/>
                <w:szCs w:val="16"/>
              </w:rPr>
            </w:pPr>
            <w:r>
              <w:rPr>
                <w:rFonts w:cs="Arial"/>
                <w:sz w:val="16"/>
                <w:szCs w:val="16"/>
              </w:rPr>
              <w:t> </w:t>
            </w:r>
          </w:p>
        </w:tc>
      </w:tr>
      <w:tr w:rsidR="00AB6753" w14:paraId="208123D0" w14:textId="77777777" w:rsidTr="002D1EA4">
        <w:trPr>
          <w:trHeight w:val="255"/>
        </w:trPr>
        <w:tc>
          <w:tcPr>
            <w:tcW w:w="4236" w:type="dxa"/>
            <w:tcBorders>
              <w:top w:val="nil"/>
              <w:left w:val="nil"/>
              <w:bottom w:val="single" w:sz="4" w:space="0" w:color="D9D9D9"/>
              <w:right w:val="nil"/>
            </w:tcBorders>
            <w:shd w:val="clear" w:color="000000" w:fill="D9D9D9"/>
            <w:vAlign w:val="bottom"/>
            <w:hideMark/>
          </w:tcPr>
          <w:p w14:paraId="16C6CD7A" w14:textId="77777777" w:rsidR="00AB6753" w:rsidRDefault="00AB6753" w:rsidP="002D1EA4">
            <w:pPr>
              <w:spacing w:after="0"/>
              <w:rPr>
                <w:rFonts w:cs="Arial"/>
                <w:b/>
                <w:bCs/>
                <w:sz w:val="18"/>
                <w:szCs w:val="18"/>
              </w:rPr>
            </w:pPr>
            <w:r>
              <w:rPr>
                <w:rFonts w:cs="Arial"/>
                <w:b/>
                <w:bCs/>
                <w:sz w:val="18"/>
                <w:szCs w:val="18"/>
              </w:rPr>
              <w:t>Total assets administered on behalf of Government</w:t>
            </w:r>
          </w:p>
        </w:tc>
        <w:tc>
          <w:tcPr>
            <w:tcW w:w="1064" w:type="dxa"/>
            <w:tcBorders>
              <w:top w:val="nil"/>
              <w:left w:val="nil"/>
              <w:bottom w:val="single" w:sz="4" w:space="0" w:color="D9D9D9"/>
              <w:right w:val="nil"/>
            </w:tcBorders>
            <w:shd w:val="clear" w:color="000000" w:fill="D9D9D9"/>
            <w:vAlign w:val="bottom"/>
            <w:hideMark/>
          </w:tcPr>
          <w:p w14:paraId="63C56ECD" w14:textId="77777777" w:rsidR="00AB6753" w:rsidRDefault="00AB6753" w:rsidP="002D1EA4">
            <w:pPr>
              <w:spacing w:after="0"/>
              <w:jc w:val="center"/>
              <w:rPr>
                <w:rFonts w:cs="Arial"/>
                <w:sz w:val="18"/>
                <w:szCs w:val="18"/>
              </w:rPr>
            </w:pPr>
            <w:r>
              <w:rPr>
                <w:rFonts w:cs="Arial"/>
                <w:sz w:val="18"/>
                <w:szCs w:val="18"/>
              </w:rPr>
              <w:t> </w:t>
            </w:r>
          </w:p>
        </w:tc>
        <w:tc>
          <w:tcPr>
            <w:tcW w:w="1187" w:type="dxa"/>
            <w:tcBorders>
              <w:top w:val="single" w:sz="4" w:space="0" w:color="auto"/>
              <w:left w:val="nil"/>
              <w:bottom w:val="single" w:sz="4" w:space="0" w:color="auto"/>
              <w:right w:val="nil"/>
            </w:tcBorders>
            <w:shd w:val="clear" w:color="000000" w:fill="D9D9D9"/>
            <w:noWrap/>
            <w:vAlign w:val="bottom"/>
            <w:hideMark/>
          </w:tcPr>
          <w:p w14:paraId="28389221" w14:textId="77777777" w:rsidR="00AB6753" w:rsidRDefault="00AB6753" w:rsidP="002D1EA4">
            <w:pPr>
              <w:spacing w:after="0"/>
              <w:jc w:val="right"/>
              <w:rPr>
                <w:rFonts w:cs="Arial"/>
                <w:b/>
                <w:bCs/>
                <w:sz w:val="18"/>
                <w:szCs w:val="18"/>
              </w:rPr>
            </w:pPr>
            <w:r>
              <w:rPr>
                <w:rFonts w:cs="Arial"/>
                <w:b/>
                <w:bCs/>
                <w:sz w:val="18"/>
                <w:szCs w:val="18"/>
              </w:rPr>
              <w:t>6,398,401</w:t>
            </w:r>
          </w:p>
        </w:tc>
        <w:tc>
          <w:tcPr>
            <w:tcW w:w="236" w:type="dxa"/>
            <w:tcBorders>
              <w:top w:val="nil"/>
              <w:left w:val="nil"/>
              <w:bottom w:val="single" w:sz="4" w:space="0" w:color="D9D9D9"/>
              <w:right w:val="nil"/>
            </w:tcBorders>
            <w:shd w:val="clear" w:color="000000" w:fill="D9D9D9"/>
            <w:noWrap/>
            <w:vAlign w:val="bottom"/>
            <w:hideMark/>
          </w:tcPr>
          <w:p w14:paraId="1D4AC5CC" w14:textId="77777777" w:rsidR="00AB6753" w:rsidRDefault="00AB6753" w:rsidP="002D1EA4">
            <w:pPr>
              <w:spacing w:after="0"/>
              <w:rPr>
                <w:rFonts w:cs="Arial"/>
                <w:sz w:val="16"/>
                <w:szCs w:val="16"/>
              </w:rPr>
            </w:pPr>
            <w:r>
              <w:rPr>
                <w:rFonts w:cs="Arial"/>
                <w:sz w:val="16"/>
                <w:szCs w:val="16"/>
              </w:rPr>
              <w:t> </w:t>
            </w:r>
          </w:p>
        </w:tc>
        <w:tc>
          <w:tcPr>
            <w:tcW w:w="1170" w:type="dxa"/>
            <w:tcBorders>
              <w:top w:val="single" w:sz="4" w:space="0" w:color="auto"/>
              <w:left w:val="nil"/>
              <w:bottom w:val="single" w:sz="4" w:space="0" w:color="auto"/>
              <w:right w:val="nil"/>
            </w:tcBorders>
            <w:shd w:val="clear" w:color="000000" w:fill="D9D9D9"/>
            <w:noWrap/>
            <w:vAlign w:val="bottom"/>
            <w:hideMark/>
          </w:tcPr>
          <w:p w14:paraId="5892D35D" w14:textId="77777777" w:rsidR="00AB6753" w:rsidRDefault="00AB6753" w:rsidP="002D1EA4">
            <w:pPr>
              <w:spacing w:after="0"/>
              <w:jc w:val="right"/>
              <w:rPr>
                <w:rFonts w:cs="Arial"/>
                <w:sz w:val="18"/>
                <w:szCs w:val="18"/>
              </w:rPr>
            </w:pPr>
            <w:r>
              <w:rPr>
                <w:rFonts w:cs="Arial"/>
                <w:sz w:val="18"/>
                <w:szCs w:val="18"/>
              </w:rPr>
              <w:t>7,495,565</w:t>
            </w:r>
          </w:p>
        </w:tc>
        <w:tc>
          <w:tcPr>
            <w:tcW w:w="236" w:type="dxa"/>
            <w:tcBorders>
              <w:top w:val="nil"/>
              <w:left w:val="nil"/>
              <w:bottom w:val="single" w:sz="4" w:space="0" w:color="D9D9D9"/>
              <w:right w:val="nil"/>
            </w:tcBorders>
            <w:shd w:val="clear" w:color="000000" w:fill="D9D9D9"/>
            <w:noWrap/>
            <w:vAlign w:val="bottom"/>
            <w:hideMark/>
          </w:tcPr>
          <w:p w14:paraId="13C36FBA" w14:textId="77777777" w:rsidR="00AB6753" w:rsidRDefault="00AB6753" w:rsidP="002D1EA4">
            <w:pPr>
              <w:spacing w:after="0"/>
              <w:rPr>
                <w:rFonts w:cs="Arial"/>
                <w:sz w:val="16"/>
                <w:szCs w:val="16"/>
              </w:rPr>
            </w:pPr>
            <w:r>
              <w:rPr>
                <w:rFonts w:cs="Arial"/>
                <w:sz w:val="16"/>
                <w:szCs w:val="16"/>
              </w:rPr>
              <w:t> </w:t>
            </w:r>
          </w:p>
        </w:tc>
        <w:tc>
          <w:tcPr>
            <w:tcW w:w="1154" w:type="dxa"/>
            <w:tcBorders>
              <w:top w:val="single" w:sz="4" w:space="0" w:color="auto"/>
              <w:left w:val="nil"/>
              <w:bottom w:val="single" w:sz="4" w:space="0" w:color="auto"/>
              <w:right w:val="nil"/>
            </w:tcBorders>
            <w:shd w:val="clear" w:color="000000" w:fill="D9D9D9"/>
            <w:noWrap/>
            <w:vAlign w:val="bottom"/>
            <w:hideMark/>
          </w:tcPr>
          <w:p w14:paraId="4BA1FD59" w14:textId="77777777" w:rsidR="00AB6753" w:rsidRDefault="00AB6753" w:rsidP="002D1EA4">
            <w:pPr>
              <w:spacing w:after="0"/>
              <w:jc w:val="right"/>
              <w:rPr>
                <w:rFonts w:cs="Arial"/>
                <w:sz w:val="18"/>
                <w:szCs w:val="18"/>
              </w:rPr>
            </w:pPr>
            <w:r>
              <w:rPr>
                <w:rFonts w:cs="Arial"/>
                <w:sz w:val="18"/>
                <w:szCs w:val="18"/>
              </w:rPr>
              <w:t>6,632,212</w:t>
            </w:r>
          </w:p>
        </w:tc>
      </w:tr>
      <w:tr w:rsidR="00AB6753" w14:paraId="74DA2F54" w14:textId="77777777" w:rsidTr="002D1EA4">
        <w:trPr>
          <w:trHeight w:val="255"/>
        </w:trPr>
        <w:tc>
          <w:tcPr>
            <w:tcW w:w="4236" w:type="dxa"/>
            <w:tcBorders>
              <w:top w:val="nil"/>
              <w:left w:val="nil"/>
              <w:bottom w:val="nil"/>
              <w:right w:val="nil"/>
            </w:tcBorders>
            <w:shd w:val="clear" w:color="000000" w:fill="D9D9D9"/>
            <w:vAlign w:val="bottom"/>
            <w:hideMark/>
          </w:tcPr>
          <w:p w14:paraId="1547AC4B" w14:textId="77777777" w:rsidR="00AB6753" w:rsidRDefault="00AB6753" w:rsidP="002D1EA4">
            <w:pPr>
              <w:spacing w:after="0"/>
              <w:rPr>
                <w:rFonts w:cs="Arial"/>
                <w:sz w:val="18"/>
                <w:szCs w:val="18"/>
              </w:rPr>
            </w:pPr>
            <w:r>
              <w:rPr>
                <w:rFonts w:cs="Arial"/>
                <w:sz w:val="18"/>
                <w:szCs w:val="18"/>
              </w:rPr>
              <w:t> </w:t>
            </w:r>
          </w:p>
        </w:tc>
        <w:tc>
          <w:tcPr>
            <w:tcW w:w="1064" w:type="dxa"/>
            <w:tcBorders>
              <w:top w:val="nil"/>
              <w:left w:val="nil"/>
              <w:bottom w:val="single" w:sz="4" w:space="0" w:color="D9D9D9"/>
              <w:right w:val="nil"/>
            </w:tcBorders>
            <w:shd w:val="clear" w:color="000000" w:fill="D9D9D9"/>
            <w:vAlign w:val="bottom"/>
            <w:hideMark/>
          </w:tcPr>
          <w:p w14:paraId="79A988E4" w14:textId="77777777" w:rsidR="00AB6753" w:rsidRDefault="00AB6753" w:rsidP="002D1EA4">
            <w:pPr>
              <w:spacing w:after="0"/>
              <w:jc w:val="center"/>
              <w:rPr>
                <w:rFonts w:cs="Arial"/>
                <w:sz w:val="18"/>
                <w:szCs w:val="18"/>
              </w:rPr>
            </w:pPr>
            <w:r>
              <w:rPr>
                <w:rFonts w:cs="Arial"/>
                <w:sz w:val="18"/>
                <w:szCs w:val="18"/>
              </w:rPr>
              <w:t> </w:t>
            </w:r>
          </w:p>
        </w:tc>
        <w:tc>
          <w:tcPr>
            <w:tcW w:w="1187" w:type="dxa"/>
            <w:tcBorders>
              <w:top w:val="nil"/>
              <w:left w:val="nil"/>
              <w:bottom w:val="nil"/>
              <w:right w:val="nil"/>
            </w:tcBorders>
            <w:shd w:val="clear" w:color="000000" w:fill="D9D9D9"/>
            <w:noWrap/>
            <w:vAlign w:val="bottom"/>
            <w:hideMark/>
          </w:tcPr>
          <w:p w14:paraId="77F59640"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000000" w:fill="D9D9D9"/>
            <w:noWrap/>
            <w:vAlign w:val="bottom"/>
            <w:hideMark/>
          </w:tcPr>
          <w:p w14:paraId="2392062B"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nil"/>
              <w:right w:val="nil"/>
            </w:tcBorders>
            <w:shd w:val="clear" w:color="000000" w:fill="D9D9D9"/>
            <w:noWrap/>
            <w:vAlign w:val="bottom"/>
            <w:hideMark/>
          </w:tcPr>
          <w:p w14:paraId="34036F45"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single" w:sz="4" w:space="0" w:color="D9D9D9"/>
              <w:right w:val="nil"/>
            </w:tcBorders>
            <w:shd w:val="clear" w:color="000000" w:fill="D9D9D9"/>
            <w:noWrap/>
            <w:vAlign w:val="bottom"/>
            <w:hideMark/>
          </w:tcPr>
          <w:p w14:paraId="02D08722"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single" w:sz="4" w:space="0" w:color="D9D9D9"/>
              <w:right w:val="nil"/>
            </w:tcBorders>
            <w:shd w:val="clear" w:color="000000" w:fill="D9D9D9"/>
            <w:noWrap/>
            <w:vAlign w:val="bottom"/>
            <w:hideMark/>
          </w:tcPr>
          <w:p w14:paraId="14DCC765" w14:textId="77777777" w:rsidR="00AB6753" w:rsidRDefault="00AB6753" w:rsidP="002D1EA4">
            <w:pPr>
              <w:spacing w:after="0"/>
              <w:rPr>
                <w:rFonts w:cs="Arial"/>
                <w:sz w:val="18"/>
                <w:szCs w:val="18"/>
              </w:rPr>
            </w:pPr>
            <w:r>
              <w:rPr>
                <w:rFonts w:cs="Arial"/>
                <w:sz w:val="18"/>
                <w:szCs w:val="18"/>
              </w:rPr>
              <w:t> </w:t>
            </w:r>
          </w:p>
        </w:tc>
      </w:tr>
      <w:tr w:rsidR="00AB6753" w14:paraId="731AB2DD" w14:textId="77777777" w:rsidTr="002D1EA4">
        <w:trPr>
          <w:trHeight w:val="255"/>
        </w:trPr>
        <w:tc>
          <w:tcPr>
            <w:tcW w:w="4236" w:type="dxa"/>
            <w:tcBorders>
              <w:top w:val="nil"/>
              <w:left w:val="nil"/>
              <w:bottom w:val="nil"/>
              <w:right w:val="nil"/>
            </w:tcBorders>
            <w:shd w:val="clear" w:color="000000" w:fill="D9D9D9"/>
            <w:vAlign w:val="bottom"/>
            <w:hideMark/>
          </w:tcPr>
          <w:p w14:paraId="71569EDA" w14:textId="77777777" w:rsidR="00AB6753" w:rsidRDefault="00AB6753" w:rsidP="002D1EA4">
            <w:pPr>
              <w:spacing w:after="0"/>
              <w:rPr>
                <w:rFonts w:cs="Arial"/>
                <w:b/>
                <w:bCs/>
                <w:sz w:val="18"/>
                <w:szCs w:val="18"/>
              </w:rPr>
            </w:pPr>
            <w:r>
              <w:rPr>
                <w:rFonts w:cs="Arial"/>
                <w:b/>
                <w:bCs/>
                <w:sz w:val="18"/>
                <w:szCs w:val="18"/>
              </w:rPr>
              <w:t>LIABILITIES</w:t>
            </w:r>
          </w:p>
        </w:tc>
        <w:tc>
          <w:tcPr>
            <w:tcW w:w="1064" w:type="dxa"/>
            <w:tcBorders>
              <w:top w:val="nil"/>
              <w:left w:val="nil"/>
              <w:bottom w:val="single" w:sz="4" w:space="0" w:color="D9D9D9"/>
              <w:right w:val="nil"/>
            </w:tcBorders>
            <w:shd w:val="clear" w:color="000000" w:fill="D9D9D9"/>
            <w:vAlign w:val="bottom"/>
            <w:hideMark/>
          </w:tcPr>
          <w:p w14:paraId="2318FC6B" w14:textId="77777777" w:rsidR="00AB6753" w:rsidRDefault="00AB6753" w:rsidP="002D1EA4">
            <w:pPr>
              <w:spacing w:after="0"/>
              <w:jc w:val="center"/>
              <w:rPr>
                <w:rFonts w:cs="Arial"/>
                <w:sz w:val="18"/>
                <w:szCs w:val="18"/>
              </w:rPr>
            </w:pPr>
            <w:r>
              <w:rPr>
                <w:rFonts w:cs="Arial"/>
                <w:sz w:val="18"/>
                <w:szCs w:val="18"/>
              </w:rPr>
              <w:t> </w:t>
            </w:r>
          </w:p>
        </w:tc>
        <w:tc>
          <w:tcPr>
            <w:tcW w:w="1187" w:type="dxa"/>
            <w:tcBorders>
              <w:top w:val="nil"/>
              <w:left w:val="nil"/>
              <w:bottom w:val="nil"/>
              <w:right w:val="nil"/>
            </w:tcBorders>
            <w:shd w:val="clear" w:color="000000" w:fill="D9D9D9"/>
            <w:noWrap/>
            <w:vAlign w:val="bottom"/>
            <w:hideMark/>
          </w:tcPr>
          <w:p w14:paraId="10986C04"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000000" w:fill="D9D9D9"/>
            <w:noWrap/>
            <w:vAlign w:val="bottom"/>
            <w:hideMark/>
          </w:tcPr>
          <w:p w14:paraId="42749272"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nil"/>
              <w:right w:val="nil"/>
            </w:tcBorders>
            <w:shd w:val="clear" w:color="000000" w:fill="D9D9D9"/>
            <w:noWrap/>
            <w:vAlign w:val="bottom"/>
            <w:hideMark/>
          </w:tcPr>
          <w:p w14:paraId="0D22F3B6"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single" w:sz="4" w:space="0" w:color="D9D9D9"/>
              <w:right w:val="nil"/>
            </w:tcBorders>
            <w:shd w:val="clear" w:color="000000" w:fill="D9D9D9"/>
            <w:noWrap/>
            <w:vAlign w:val="bottom"/>
            <w:hideMark/>
          </w:tcPr>
          <w:p w14:paraId="10EC4DDC"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single" w:sz="4" w:space="0" w:color="D9D9D9"/>
              <w:right w:val="nil"/>
            </w:tcBorders>
            <w:shd w:val="clear" w:color="000000" w:fill="D9D9D9"/>
            <w:noWrap/>
            <w:vAlign w:val="bottom"/>
            <w:hideMark/>
          </w:tcPr>
          <w:p w14:paraId="5473A200" w14:textId="77777777" w:rsidR="00AB6753" w:rsidRDefault="00AB6753" w:rsidP="002D1EA4">
            <w:pPr>
              <w:spacing w:after="0"/>
              <w:rPr>
                <w:rFonts w:cs="Arial"/>
                <w:sz w:val="18"/>
                <w:szCs w:val="18"/>
              </w:rPr>
            </w:pPr>
            <w:r>
              <w:rPr>
                <w:rFonts w:cs="Arial"/>
                <w:sz w:val="18"/>
                <w:szCs w:val="18"/>
              </w:rPr>
              <w:t> </w:t>
            </w:r>
          </w:p>
        </w:tc>
      </w:tr>
      <w:tr w:rsidR="00AB6753" w14:paraId="033C2F35" w14:textId="77777777" w:rsidTr="002D1EA4">
        <w:trPr>
          <w:trHeight w:val="255"/>
        </w:trPr>
        <w:tc>
          <w:tcPr>
            <w:tcW w:w="4236" w:type="dxa"/>
            <w:tcBorders>
              <w:top w:val="nil"/>
              <w:left w:val="nil"/>
              <w:bottom w:val="nil"/>
              <w:right w:val="nil"/>
            </w:tcBorders>
            <w:shd w:val="clear" w:color="000000" w:fill="D9D9D9"/>
            <w:vAlign w:val="bottom"/>
            <w:hideMark/>
          </w:tcPr>
          <w:p w14:paraId="624CB275" w14:textId="77777777" w:rsidR="00AB6753" w:rsidRDefault="00AB6753" w:rsidP="002D1EA4">
            <w:pPr>
              <w:spacing w:after="0"/>
              <w:rPr>
                <w:rFonts w:cs="Arial"/>
                <w:b/>
                <w:bCs/>
                <w:sz w:val="18"/>
                <w:szCs w:val="18"/>
              </w:rPr>
            </w:pPr>
            <w:r>
              <w:rPr>
                <w:rFonts w:cs="Arial"/>
                <w:b/>
                <w:bCs/>
                <w:sz w:val="18"/>
                <w:szCs w:val="18"/>
              </w:rPr>
              <w:t>Payables</w:t>
            </w:r>
          </w:p>
        </w:tc>
        <w:tc>
          <w:tcPr>
            <w:tcW w:w="1064" w:type="dxa"/>
            <w:tcBorders>
              <w:top w:val="nil"/>
              <w:left w:val="nil"/>
              <w:bottom w:val="single" w:sz="4" w:space="0" w:color="D9D9D9"/>
              <w:right w:val="nil"/>
            </w:tcBorders>
            <w:shd w:val="clear" w:color="000000" w:fill="D9D9D9"/>
            <w:vAlign w:val="bottom"/>
            <w:hideMark/>
          </w:tcPr>
          <w:p w14:paraId="33671B2E" w14:textId="77777777" w:rsidR="00AB6753" w:rsidRDefault="00AB6753" w:rsidP="002D1EA4">
            <w:pPr>
              <w:spacing w:after="0"/>
              <w:jc w:val="center"/>
              <w:rPr>
                <w:rFonts w:cs="Arial"/>
                <w:sz w:val="18"/>
                <w:szCs w:val="18"/>
              </w:rPr>
            </w:pPr>
            <w:r>
              <w:rPr>
                <w:rFonts w:cs="Arial"/>
                <w:sz w:val="18"/>
                <w:szCs w:val="18"/>
              </w:rPr>
              <w:t> </w:t>
            </w:r>
          </w:p>
        </w:tc>
        <w:tc>
          <w:tcPr>
            <w:tcW w:w="1187" w:type="dxa"/>
            <w:tcBorders>
              <w:top w:val="nil"/>
              <w:left w:val="nil"/>
              <w:bottom w:val="nil"/>
              <w:right w:val="nil"/>
            </w:tcBorders>
            <w:shd w:val="clear" w:color="000000" w:fill="D9D9D9"/>
            <w:noWrap/>
            <w:vAlign w:val="bottom"/>
            <w:hideMark/>
          </w:tcPr>
          <w:p w14:paraId="158A8409"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000000" w:fill="D9D9D9"/>
            <w:noWrap/>
            <w:vAlign w:val="bottom"/>
            <w:hideMark/>
          </w:tcPr>
          <w:p w14:paraId="7DF81C51"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nil"/>
              <w:right w:val="nil"/>
            </w:tcBorders>
            <w:shd w:val="clear" w:color="000000" w:fill="D9D9D9"/>
            <w:noWrap/>
            <w:vAlign w:val="bottom"/>
            <w:hideMark/>
          </w:tcPr>
          <w:p w14:paraId="32634178"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single" w:sz="4" w:space="0" w:color="D9D9D9"/>
              <w:right w:val="nil"/>
            </w:tcBorders>
            <w:shd w:val="clear" w:color="000000" w:fill="D9D9D9"/>
            <w:noWrap/>
            <w:vAlign w:val="bottom"/>
            <w:hideMark/>
          </w:tcPr>
          <w:p w14:paraId="24D35DC1"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single" w:sz="4" w:space="0" w:color="D9D9D9"/>
              <w:right w:val="nil"/>
            </w:tcBorders>
            <w:shd w:val="clear" w:color="000000" w:fill="D9D9D9"/>
            <w:noWrap/>
            <w:vAlign w:val="bottom"/>
            <w:hideMark/>
          </w:tcPr>
          <w:p w14:paraId="5BC081B0" w14:textId="77777777" w:rsidR="00AB6753" w:rsidRDefault="00AB6753" w:rsidP="002D1EA4">
            <w:pPr>
              <w:spacing w:after="0"/>
              <w:rPr>
                <w:rFonts w:cs="Arial"/>
                <w:sz w:val="18"/>
                <w:szCs w:val="18"/>
              </w:rPr>
            </w:pPr>
            <w:r>
              <w:rPr>
                <w:rFonts w:cs="Arial"/>
                <w:sz w:val="18"/>
                <w:szCs w:val="18"/>
              </w:rPr>
              <w:t> </w:t>
            </w:r>
          </w:p>
        </w:tc>
      </w:tr>
      <w:tr w:rsidR="00AB6753" w14:paraId="07309DB1" w14:textId="77777777" w:rsidTr="002D1EA4">
        <w:trPr>
          <w:trHeight w:val="255"/>
        </w:trPr>
        <w:tc>
          <w:tcPr>
            <w:tcW w:w="4236" w:type="dxa"/>
            <w:tcBorders>
              <w:top w:val="nil"/>
              <w:left w:val="nil"/>
              <w:bottom w:val="nil"/>
              <w:right w:val="nil"/>
            </w:tcBorders>
            <w:shd w:val="clear" w:color="000000" w:fill="D9D9D9"/>
            <w:vAlign w:val="bottom"/>
            <w:hideMark/>
          </w:tcPr>
          <w:p w14:paraId="36EBB7CE" w14:textId="77777777" w:rsidR="00AB6753" w:rsidRDefault="00AB6753" w:rsidP="002D1EA4">
            <w:pPr>
              <w:spacing w:after="0"/>
              <w:rPr>
                <w:rFonts w:cs="Arial"/>
                <w:sz w:val="18"/>
                <w:szCs w:val="18"/>
              </w:rPr>
            </w:pPr>
            <w:r>
              <w:rPr>
                <w:rFonts w:cs="Arial"/>
                <w:sz w:val="18"/>
                <w:szCs w:val="18"/>
              </w:rPr>
              <w:t>Suppliers</w:t>
            </w:r>
          </w:p>
        </w:tc>
        <w:tc>
          <w:tcPr>
            <w:tcW w:w="1064" w:type="dxa"/>
            <w:tcBorders>
              <w:top w:val="nil"/>
              <w:left w:val="nil"/>
              <w:bottom w:val="single" w:sz="4" w:space="0" w:color="D9D9D9"/>
              <w:right w:val="nil"/>
            </w:tcBorders>
            <w:shd w:val="clear" w:color="000000" w:fill="D9D9D9"/>
            <w:vAlign w:val="bottom"/>
            <w:hideMark/>
          </w:tcPr>
          <w:p w14:paraId="0BF7327B" w14:textId="77777777" w:rsidR="00AB6753" w:rsidRDefault="00AB6753" w:rsidP="002D1EA4">
            <w:pPr>
              <w:spacing w:after="0"/>
              <w:jc w:val="center"/>
              <w:rPr>
                <w:rFonts w:cs="Arial"/>
                <w:sz w:val="18"/>
                <w:szCs w:val="18"/>
              </w:rPr>
            </w:pPr>
            <w:r>
              <w:rPr>
                <w:rFonts w:cs="Arial"/>
                <w:sz w:val="18"/>
                <w:szCs w:val="18"/>
              </w:rPr>
              <w:t> </w:t>
            </w:r>
          </w:p>
        </w:tc>
        <w:tc>
          <w:tcPr>
            <w:tcW w:w="1187" w:type="dxa"/>
            <w:tcBorders>
              <w:top w:val="nil"/>
              <w:left w:val="nil"/>
              <w:bottom w:val="nil"/>
              <w:right w:val="nil"/>
            </w:tcBorders>
            <w:shd w:val="clear" w:color="000000" w:fill="D9D9D9"/>
            <w:noWrap/>
            <w:vAlign w:val="bottom"/>
            <w:hideMark/>
          </w:tcPr>
          <w:p w14:paraId="25585E98" w14:textId="77777777" w:rsidR="00AB6753" w:rsidRDefault="00AB6753" w:rsidP="002D1EA4">
            <w:pPr>
              <w:spacing w:after="0"/>
              <w:jc w:val="right"/>
              <w:rPr>
                <w:rFonts w:cs="Arial"/>
                <w:b/>
                <w:bCs/>
                <w:sz w:val="18"/>
                <w:szCs w:val="18"/>
              </w:rPr>
            </w:pPr>
            <w:r>
              <w:rPr>
                <w:rFonts w:cs="Arial"/>
                <w:b/>
                <w:bCs/>
                <w:sz w:val="18"/>
                <w:szCs w:val="18"/>
              </w:rPr>
              <w:t>98,706</w:t>
            </w:r>
          </w:p>
        </w:tc>
        <w:tc>
          <w:tcPr>
            <w:tcW w:w="236" w:type="dxa"/>
            <w:tcBorders>
              <w:top w:val="nil"/>
              <w:left w:val="nil"/>
              <w:bottom w:val="nil"/>
              <w:right w:val="nil"/>
            </w:tcBorders>
            <w:shd w:val="clear" w:color="000000" w:fill="D9D9D9"/>
            <w:noWrap/>
            <w:vAlign w:val="bottom"/>
            <w:hideMark/>
          </w:tcPr>
          <w:p w14:paraId="4A31B2C0"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nil"/>
              <w:right w:val="nil"/>
            </w:tcBorders>
            <w:shd w:val="clear" w:color="000000" w:fill="D9D9D9"/>
            <w:noWrap/>
            <w:vAlign w:val="bottom"/>
            <w:hideMark/>
          </w:tcPr>
          <w:p w14:paraId="6FA35F2A" w14:textId="77777777" w:rsidR="00AB6753" w:rsidRDefault="00AB6753" w:rsidP="002D1EA4">
            <w:pPr>
              <w:spacing w:after="0"/>
              <w:jc w:val="right"/>
              <w:rPr>
                <w:rFonts w:cs="Arial"/>
                <w:sz w:val="18"/>
                <w:szCs w:val="18"/>
              </w:rPr>
            </w:pPr>
            <w:r>
              <w:rPr>
                <w:rFonts w:cs="Arial"/>
                <w:sz w:val="18"/>
                <w:szCs w:val="18"/>
              </w:rPr>
              <w:t>185,120</w:t>
            </w:r>
          </w:p>
        </w:tc>
        <w:tc>
          <w:tcPr>
            <w:tcW w:w="236" w:type="dxa"/>
            <w:tcBorders>
              <w:top w:val="nil"/>
              <w:left w:val="nil"/>
              <w:bottom w:val="single" w:sz="4" w:space="0" w:color="D9D9D9"/>
              <w:right w:val="nil"/>
            </w:tcBorders>
            <w:shd w:val="clear" w:color="000000" w:fill="D9D9D9"/>
            <w:noWrap/>
            <w:vAlign w:val="bottom"/>
            <w:hideMark/>
          </w:tcPr>
          <w:p w14:paraId="6986D247"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nil"/>
              <w:right w:val="nil"/>
            </w:tcBorders>
            <w:shd w:val="clear" w:color="000000" w:fill="D9D9D9"/>
            <w:noWrap/>
            <w:vAlign w:val="bottom"/>
            <w:hideMark/>
          </w:tcPr>
          <w:p w14:paraId="743DF017" w14:textId="77777777" w:rsidR="00AB6753" w:rsidRDefault="00AB6753" w:rsidP="002D1EA4">
            <w:pPr>
              <w:spacing w:after="0"/>
              <w:jc w:val="right"/>
              <w:rPr>
                <w:rFonts w:cs="Arial"/>
                <w:sz w:val="18"/>
                <w:szCs w:val="18"/>
              </w:rPr>
            </w:pPr>
            <w:r>
              <w:rPr>
                <w:rFonts w:cs="Arial"/>
                <w:sz w:val="18"/>
                <w:szCs w:val="18"/>
              </w:rPr>
              <w:t xml:space="preserve">44,154 </w:t>
            </w:r>
          </w:p>
        </w:tc>
      </w:tr>
      <w:tr w:rsidR="00AB6753" w14:paraId="4F770687" w14:textId="77777777" w:rsidTr="002D1EA4">
        <w:trPr>
          <w:trHeight w:val="255"/>
        </w:trPr>
        <w:tc>
          <w:tcPr>
            <w:tcW w:w="4236" w:type="dxa"/>
            <w:tcBorders>
              <w:top w:val="nil"/>
              <w:left w:val="nil"/>
              <w:bottom w:val="single" w:sz="4" w:space="0" w:color="D9D9D9"/>
              <w:right w:val="single" w:sz="12" w:space="0" w:color="D9D9D9"/>
            </w:tcBorders>
            <w:shd w:val="clear" w:color="000000" w:fill="D9D9D9"/>
            <w:vAlign w:val="bottom"/>
            <w:hideMark/>
          </w:tcPr>
          <w:p w14:paraId="6F1E422D" w14:textId="77777777" w:rsidR="00AB6753" w:rsidRDefault="00AB6753" w:rsidP="002D1EA4">
            <w:pPr>
              <w:spacing w:after="0"/>
              <w:rPr>
                <w:rFonts w:cs="Arial"/>
                <w:sz w:val="18"/>
                <w:szCs w:val="18"/>
              </w:rPr>
            </w:pPr>
            <w:r>
              <w:rPr>
                <w:rFonts w:cs="Arial"/>
                <w:sz w:val="18"/>
                <w:szCs w:val="18"/>
              </w:rPr>
              <w:t>Subsidies</w:t>
            </w:r>
          </w:p>
        </w:tc>
        <w:tc>
          <w:tcPr>
            <w:tcW w:w="1064" w:type="dxa"/>
            <w:tcBorders>
              <w:top w:val="nil"/>
              <w:left w:val="nil"/>
              <w:bottom w:val="single" w:sz="4" w:space="0" w:color="D9D9D9"/>
              <w:right w:val="nil"/>
            </w:tcBorders>
            <w:shd w:val="clear" w:color="000000" w:fill="D9D9D9"/>
            <w:vAlign w:val="bottom"/>
            <w:hideMark/>
          </w:tcPr>
          <w:p w14:paraId="76DD9EFF" w14:textId="77777777" w:rsidR="00AB6753" w:rsidRDefault="00AB6753" w:rsidP="002D1EA4">
            <w:pPr>
              <w:spacing w:after="0"/>
              <w:jc w:val="center"/>
              <w:rPr>
                <w:rFonts w:cs="Arial"/>
                <w:sz w:val="18"/>
                <w:szCs w:val="18"/>
              </w:rPr>
            </w:pPr>
            <w:r>
              <w:rPr>
                <w:rFonts w:cs="Arial"/>
                <w:sz w:val="18"/>
                <w:szCs w:val="18"/>
              </w:rPr>
              <w:t> </w:t>
            </w:r>
          </w:p>
        </w:tc>
        <w:tc>
          <w:tcPr>
            <w:tcW w:w="1187" w:type="dxa"/>
            <w:tcBorders>
              <w:top w:val="nil"/>
              <w:left w:val="nil"/>
              <w:bottom w:val="single" w:sz="4" w:space="0" w:color="D9D9D9"/>
              <w:right w:val="nil"/>
            </w:tcBorders>
            <w:shd w:val="clear" w:color="000000" w:fill="D9D9D9"/>
            <w:noWrap/>
            <w:vAlign w:val="bottom"/>
            <w:hideMark/>
          </w:tcPr>
          <w:p w14:paraId="2F299725" w14:textId="77777777" w:rsidR="00AB6753" w:rsidRDefault="00AB6753" w:rsidP="002D1EA4">
            <w:pPr>
              <w:spacing w:after="0"/>
              <w:jc w:val="right"/>
              <w:rPr>
                <w:rFonts w:cs="Arial"/>
                <w:b/>
                <w:bCs/>
                <w:sz w:val="18"/>
                <w:szCs w:val="18"/>
              </w:rPr>
            </w:pPr>
            <w:r>
              <w:rPr>
                <w:rFonts w:cs="Arial"/>
                <w:b/>
                <w:bCs/>
                <w:sz w:val="18"/>
                <w:szCs w:val="18"/>
              </w:rPr>
              <w:t>88,621</w:t>
            </w:r>
          </w:p>
        </w:tc>
        <w:tc>
          <w:tcPr>
            <w:tcW w:w="236" w:type="dxa"/>
            <w:tcBorders>
              <w:top w:val="nil"/>
              <w:left w:val="nil"/>
              <w:bottom w:val="single" w:sz="4" w:space="0" w:color="D9D9D9"/>
              <w:right w:val="nil"/>
            </w:tcBorders>
            <w:shd w:val="clear" w:color="000000" w:fill="D9D9D9"/>
            <w:noWrap/>
            <w:vAlign w:val="bottom"/>
            <w:hideMark/>
          </w:tcPr>
          <w:p w14:paraId="69983FAE"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single" w:sz="4" w:space="0" w:color="D9D9D9"/>
              <w:right w:val="nil"/>
            </w:tcBorders>
            <w:shd w:val="clear" w:color="000000" w:fill="D9D9D9"/>
            <w:noWrap/>
            <w:vAlign w:val="bottom"/>
            <w:hideMark/>
          </w:tcPr>
          <w:p w14:paraId="10CFDCDE" w14:textId="77777777" w:rsidR="00AB6753" w:rsidRDefault="00AB6753" w:rsidP="002D1EA4">
            <w:pPr>
              <w:spacing w:after="0"/>
              <w:jc w:val="right"/>
              <w:rPr>
                <w:rFonts w:cs="Arial"/>
                <w:sz w:val="18"/>
                <w:szCs w:val="18"/>
              </w:rPr>
            </w:pPr>
            <w:r>
              <w:rPr>
                <w:rFonts w:cs="Arial"/>
                <w:sz w:val="18"/>
                <w:szCs w:val="18"/>
              </w:rPr>
              <w:t>86,512</w:t>
            </w:r>
          </w:p>
        </w:tc>
        <w:tc>
          <w:tcPr>
            <w:tcW w:w="236" w:type="dxa"/>
            <w:tcBorders>
              <w:top w:val="nil"/>
              <w:left w:val="nil"/>
              <w:bottom w:val="single" w:sz="4" w:space="0" w:color="D9D9D9"/>
              <w:right w:val="nil"/>
            </w:tcBorders>
            <w:shd w:val="clear" w:color="000000" w:fill="D9D9D9"/>
            <w:noWrap/>
            <w:vAlign w:val="bottom"/>
            <w:hideMark/>
          </w:tcPr>
          <w:p w14:paraId="1158DE48"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nil"/>
              <w:right w:val="nil"/>
            </w:tcBorders>
            <w:shd w:val="clear" w:color="000000" w:fill="D9D9D9"/>
            <w:noWrap/>
            <w:vAlign w:val="bottom"/>
            <w:hideMark/>
          </w:tcPr>
          <w:p w14:paraId="19543B63" w14:textId="77777777" w:rsidR="00AB6753" w:rsidRDefault="00AB6753" w:rsidP="002D1EA4">
            <w:pPr>
              <w:spacing w:after="0"/>
              <w:jc w:val="right"/>
              <w:rPr>
                <w:rFonts w:cs="Arial"/>
                <w:sz w:val="18"/>
                <w:szCs w:val="18"/>
              </w:rPr>
            </w:pPr>
            <w:r>
              <w:rPr>
                <w:rFonts w:cs="Arial"/>
                <w:sz w:val="18"/>
                <w:szCs w:val="18"/>
              </w:rPr>
              <w:t xml:space="preserve">51,588 </w:t>
            </w:r>
          </w:p>
        </w:tc>
      </w:tr>
      <w:tr w:rsidR="00AB6753" w14:paraId="3BFE1D7C" w14:textId="77777777" w:rsidTr="002D1EA4">
        <w:trPr>
          <w:trHeight w:val="255"/>
        </w:trPr>
        <w:tc>
          <w:tcPr>
            <w:tcW w:w="4236" w:type="dxa"/>
            <w:tcBorders>
              <w:top w:val="nil"/>
              <w:left w:val="nil"/>
              <w:bottom w:val="nil"/>
              <w:right w:val="nil"/>
            </w:tcBorders>
            <w:shd w:val="clear" w:color="000000" w:fill="D9D9D9"/>
            <w:vAlign w:val="bottom"/>
            <w:hideMark/>
          </w:tcPr>
          <w:p w14:paraId="24424069" w14:textId="77777777" w:rsidR="00AB6753" w:rsidRDefault="00AB6753" w:rsidP="002D1EA4">
            <w:pPr>
              <w:spacing w:after="0"/>
              <w:rPr>
                <w:rFonts w:cs="Arial"/>
                <w:sz w:val="18"/>
                <w:szCs w:val="18"/>
              </w:rPr>
            </w:pPr>
            <w:r>
              <w:rPr>
                <w:rFonts w:cs="Arial"/>
                <w:sz w:val="18"/>
                <w:szCs w:val="18"/>
              </w:rPr>
              <w:t>Personal benefits</w:t>
            </w:r>
          </w:p>
        </w:tc>
        <w:tc>
          <w:tcPr>
            <w:tcW w:w="1064" w:type="dxa"/>
            <w:tcBorders>
              <w:top w:val="nil"/>
              <w:left w:val="nil"/>
              <w:bottom w:val="single" w:sz="4" w:space="0" w:color="D9D9D9"/>
              <w:right w:val="nil"/>
            </w:tcBorders>
            <w:shd w:val="clear" w:color="000000" w:fill="D9D9D9"/>
            <w:vAlign w:val="bottom"/>
            <w:hideMark/>
          </w:tcPr>
          <w:p w14:paraId="1CADCE0B" w14:textId="77777777" w:rsidR="00AB6753" w:rsidRDefault="00AB6753" w:rsidP="002D1EA4">
            <w:pPr>
              <w:spacing w:after="0"/>
              <w:jc w:val="center"/>
              <w:rPr>
                <w:rFonts w:cs="Arial"/>
                <w:sz w:val="18"/>
                <w:szCs w:val="18"/>
              </w:rPr>
            </w:pPr>
            <w:r>
              <w:rPr>
                <w:rFonts w:cs="Arial"/>
                <w:sz w:val="18"/>
                <w:szCs w:val="18"/>
              </w:rPr>
              <w:t>4.2A</w:t>
            </w:r>
          </w:p>
        </w:tc>
        <w:tc>
          <w:tcPr>
            <w:tcW w:w="1187" w:type="dxa"/>
            <w:tcBorders>
              <w:top w:val="nil"/>
              <w:left w:val="nil"/>
              <w:bottom w:val="nil"/>
              <w:right w:val="nil"/>
            </w:tcBorders>
            <w:shd w:val="clear" w:color="000000" w:fill="D9D9D9"/>
            <w:noWrap/>
            <w:vAlign w:val="bottom"/>
            <w:hideMark/>
          </w:tcPr>
          <w:p w14:paraId="52C643ED" w14:textId="77777777" w:rsidR="00AB6753" w:rsidRDefault="00AB6753" w:rsidP="002D1EA4">
            <w:pPr>
              <w:spacing w:after="0"/>
              <w:jc w:val="right"/>
              <w:rPr>
                <w:rFonts w:cs="Arial"/>
                <w:b/>
                <w:bCs/>
                <w:sz w:val="18"/>
                <w:szCs w:val="18"/>
              </w:rPr>
            </w:pPr>
            <w:r>
              <w:rPr>
                <w:rFonts w:cs="Arial"/>
                <w:b/>
                <w:bCs/>
                <w:sz w:val="18"/>
                <w:szCs w:val="18"/>
              </w:rPr>
              <w:t>3,886,824</w:t>
            </w:r>
          </w:p>
        </w:tc>
        <w:tc>
          <w:tcPr>
            <w:tcW w:w="236" w:type="dxa"/>
            <w:tcBorders>
              <w:top w:val="nil"/>
              <w:left w:val="nil"/>
              <w:bottom w:val="nil"/>
              <w:right w:val="nil"/>
            </w:tcBorders>
            <w:shd w:val="clear" w:color="000000" w:fill="D9D9D9"/>
            <w:noWrap/>
            <w:vAlign w:val="bottom"/>
            <w:hideMark/>
          </w:tcPr>
          <w:p w14:paraId="1B28C353"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nil"/>
              <w:right w:val="nil"/>
            </w:tcBorders>
            <w:shd w:val="clear" w:color="000000" w:fill="D9D9D9"/>
            <w:noWrap/>
            <w:vAlign w:val="bottom"/>
            <w:hideMark/>
          </w:tcPr>
          <w:p w14:paraId="05DA1408" w14:textId="77777777" w:rsidR="00AB6753" w:rsidRDefault="00AB6753" w:rsidP="002D1EA4">
            <w:pPr>
              <w:spacing w:after="0"/>
              <w:jc w:val="right"/>
              <w:rPr>
                <w:rFonts w:cs="Arial"/>
                <w:sz w:val="18"/>
                <w:szCs w:val="18"/>
              </w:rPr>
            </w:pPr>
            <w:r>
              <w:rPr>
                <w:rFonts w:cs="Arial"/>
                <w:sz w:val="18"/>
                <w:szCs w:val="18"/>
              </w:rPr>
              <w:t>2,262,729</w:t>
            </w:r>
          </w:p>
        </w:tc>
        <w:tc>
          <w:tcPr>
            <w:tcW w:w="236" w:type="dxa"/>
            <w:tcBorders>
              <w:top w:val="nil"/>
              <w:left w:val="nil"/>
              <w:bottom w:val="single" w:sz="4" w:space="0" w:color="D9D9D9"/>
              <w:right w:val="nil"/>
            </w:tcBorders>
            <w:shd w:val="clear" w:color="000000" w:fill="D9D9D9"/>
            <w:noWrap/>
            <w:vAlign w:val="bottom"/>
            <w:hideMark/>
          </w:tcPr>
          <w:p w14:paraId="1A3F3852"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nil"/>
              <w:right w:val="nil"/>
            </w:tcBorders>
            <w:shd w:val="clear" w:color="000000" w:fill="D9D9D9"/>
            <w:noWrap/>
            <w:vAlign w:val="bottom"/>
            <w:hideMark/>
          </w:tcPr>
          <w:p w14:paraId="06606B39" w14:textId="77777777" w:rsidR="00AB6753" w:rsidRDefault="00AB6753" w:rsidP="002D1EA4">
            <w:pPr>
              <w:spacing w:after="0"/>
              <w:jc w:val="right"/>
              <w:rPr>
                <w:rFonts w:cs="Arial"/>
                <w:sz w:val="18"/>
                <w:szCs w:val="18"/>
              </w:rPr>
            </w:pPr>
            <w:r>
              <w:rPr>
                <w:rFonts w:cs="Arial"/>
                <w:sz w:val="18"/>
                <w:szCs w:val="18"/>
              </w:rPr>
              <w:t xml:space="preserve">2,482,241 </w:t>
            </w:r>
          </w:p>
        </w:tc>
      </w:tr>
      <w:tr w:rsidR="00AB6753" w14:paraId="49483E0B" w14:textId="77777777" w:rsidTr="002D1EA4">
        <w:trPr>
          <w:trHeight w:val="255"/>
        </w:trPr>
        <w:tc>
          <w:tcPr>
            <w:tcW w:w="4236" w:type="dxa"/>
            <w:tcBorders>
              <w:top w:val="nil"/>
              <w:left w:val="nil"/>
              <w:bottom w:val="nil"/>
              <w:right w:val="nil"/>
            </w:tcBorders>
            <w:shd w:val="clear" w:color="000000" w:fill="D9D9D9"/>
            <w:vAlign w:val="bottom"/>
            <w:hideMark/>
          </w:tcPr>
          <w:p w14:paraId="1EBDE53B" w14:textId="77777777" w:rsidR="00AB6753" w:rsidRDefault="00AB6753" w:rsidP="002D1EA4">
            <w:pPr>
              <w:spacing w:after="0"/>
              <w:rPr>
                <w:rFonts w:cs="Arial"/>
                <w:sz w:val="18"/>
                <w:szCs w:val="18"/>
              </w:rPr>
            </w:pPr>
            <w:r>
              <w:rPr>
                <w:rFonts w:cs="Arial"/>
                <w:sz w:val="18"/>
                <w:szCs w:val="18"/>
              </w:rPr>
              <w:t>Grants</w:t>
            </w:r>
          </w:p>
        </w:tc>
        <w:tc>
          <w:tcPr>
            <w:tcW w:w="1064" w:type="dxa"/>
            <w:tcBorders>
              <w:top w:val="nil"/>
              <w:left w:val="nil"/>
              <w:bottom w:val="single" w:sz="4" w:space="0" w:color="D9D9D9"/>
              <w:right w:val="nil"/>
            </w:tcBorders>
            <w:shd w:val="clear" w:color="000000" w:fill="D9D9D9"/>
            <w:vAlign w:val="bottom"/>
            <w:hideMark/>
          </w:tcPr>
          <w:p w14:paraId="760FD156" w14:textId="77777777" w:rsidR="00AB6753" w:rsidRDefault="00AB6753" w:rsidP="002D1EA4">
            <w:pPr>
              <w:spacing w:after="0"/>
              <w:jc w:val="center"/>
              <w:rPr>
                <w:rFonts w:cs="Arial"/>
                <w:sz w:val="18"/>
                <w:szCs w:val="18"/>
              </w:rPr>
            </w:pPr>
            <w:r>
              <w:rPr>
                <w:rFonts w:cs="Arial"/>
                <w:sz w:val="18"/>
                <w:szCs w:val="18"/>
              </w:rPr>
              <w:t>4.2B</w:t>
            </w:r>
          </w:p>
        </w:tc>
        <w:tc>
          <w:tcPr>
            <w:tcW w:w="1187" w:type="dxa"/>
            <w:tcBorders>
              <w:top w:val="nil"/>
              <w:left w:val="nil"/>
              <w:bottom w:val="single" w:sz="4" w:space="0" w:color="D9D9D9"/>
              <w:right w:val="nil"/>
            </w:tcBorders>
            <w:shd w:val="clear" w:color="000000" w:fill="D9D9D9"/>
            <w:noWrap/>
            <w:vAlign w:val="bottom"/>
            <w:hideMark/>
          </w:tcPr>
          <w:p w14:paraId="57DEC654" w14:textId="77777777" w:rsidR="00AB6753" w:rsidRDefault="00AB6753" w:rsidP="002D1EA4">
            <w:pPr>
              <w:spacing w:after="0"/>
              <w:jc w:val="right"/>
              <w:rPr>
                <w:rFonts w:cs="Arial"/>
                <w:b/>
                <w:bCs/>
                <w:sz w:val="18"/>
                <w:szCs w:val="18"/>
              </w:rPr>
            </w:pPr>
            <w:r>
              <w:rPr>
                <w:rFonts w:cs="Arial"/>
                <w:b/>
                <w:bCs/>
                <w:sz w:val="18"/>
                <w:szCs w:val="18"/>
              </w:rPr>
              <w:t>53,174</w:t>
            </w:r>
          </w:p>
        </w:tc>
        <w:tc>
          <w:tcPr>
            <w:tcW w:w="236" w:type="dxa"/>
            <w:tcBorders>
              <w:top w:val="nil"/>
              <w:left w:val="nil"/>
              <w:bottom w:val="nil"/>
              <w:right w:val="nil"/>
            </w:tcBorders>
            <w:shd w:val="clear" w:color="000000" w:fill="D9D9D9"/>
            <w:noWrap/>
            <w:vAlign w:val="bottom"/>
            <w:hideMark/>
          </w:tcPr>
          <w:p w14:paraId="186B688C"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single" w:sz="4" w:space="0" w:color="D9D9D9"/>
              <w:right w:val="nil"/>
            </w:tcBorders>
            <w:shd w:val="clear" w:color="000000" w:fill="D9D9D9"/>
            <w:noWrap/>
            <w:vAlign w:val="bottom"/>
            <w:hideMark/>
          </w:tcPr>
          <w:p w14:paraId="6B968924" w14:textId="77777777" w:rsidR="00AB6753" w:rsidRDefault="00AB6753" w:rsidP="002D1EA4">
            <w:pPr>
              <w:spacing w:after="0"/>
              <w:jc w:val="right"/>
              <w:rPr>
                <w:rFonts w:cs="Arial"/>
                <w:sz w:val="18"/>
                <w:szCs w:val="18"/>
              </w:rPr>
            </w:pPr>
            <w:r>
              <w:rPr>
                <w:rFonts w:cs="Arial"/>
                <w:sz w:val="18"/>
                <w:szCs w:val="18"/>
              </w:rPr>
              <w:t>44,249</w:t>
            </w:r>
          </w:p>
        </w:tc>
        <w:tc>
          <w:tcPr>
            <w:tcW w:w="236" w:type="dxa"/>
            <w:tcBorders>
              <w:top w:val="nil"/>
              <w:left w:val="nil"/>
              <w:bottom w:val="single" w:sz="4" w:space="0" w:color="D9D9D9"/>
              <w:right w:val="nil"/>
            </w:tcBorders>
            <w:shd w:val="clear" w:color="000000" w:fill="D9D9D9"/>
            <w:noWrap/>
            <w:vAlign w:val="bottom"/>
            <w:hideMark/>
          </w:tcPr>
          <w:p w14:paraId="09181275"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nil"/>
              <w:right w:val="nil"/>
            </w:tcBorders>
            <w:shd w:val="clear" w:color="000000" w:fill="D9D9D9"/>
            <w:noWrap/>
            <w:vAlign w:val="bottom"/>
            <w:hideMark/>
          </w:tcPr>
          <w:p w14:paraId="7B88C706" w14:textId="77777777" w:rsidR="00AB6753" w:rsidRDefault="00AB6753" w:rsidP="002D1EA4">
            <w:pPr>
              <w:spacing w:after="0"/>
              <w:jc w:val="right"/>
              <w:rPr>
                <w:rFonts w:cs="Arial"/>
                <w:sz w:val="18"/>
                <w:szCs w:val="18"/>
              </w:rPr>
            </w:pPr>
            <w:r>
              <w:rPr>
                <w:rFonts w:cs="Arial"/>
                <w:sz w:val="18"/>
                <w:szCs w:val="18"/>
              </w:rPr>
              <w:t xml:space="preserve">34,623 </w:t>
            </w:r>
          </w:p>
        </w:tc>
      </w:tr>
      <w:tr w:rsidR="00AB6753" w14:paraId="0B952699" w14:textId="77777777" w:rsidTr="002D1EA4">
        <w:trPr>
          <w:trHeight w:val="255"/>
        </w:trPr>
        <w:tc>
          <w:tcPr>
            <w:tcW w:w="4236" w:type="dxa"/>
            <w:tcBorders>
              <w:top w:val="nil"/>
              <w:left w:val="nil"/>
              <w:bottom w:val="single" w:sz="4" w:space="0" w:color="D9D9D9"/>
              <w:right w:val="single" w:sz="12" w:space="0" w:color="D9D9D9"/>
            </w:tcBorders>
            <w:shd w:val="clear" w:color="000000" w:fill="D9D9D9"/>
            <w:vAlign w:val="bottom"/>
            <w:hideMark/>
          </w:tcPr>
          <w:p w14:paraId="7381186A" w14:textId="77777777" w:rsidR="00AB6753" w:rsidRDefault="00AB6753" w:rsidP="002D1EA4">
            <w:pPr>
              <w:spacing w:after="0"/>
              <w:rPr>
                <w:rFonts w:cs="Arial"/>
                <w:sz w:val="18"/>
                <w:szCs w:val="18"/>
              </w:rPr>
            </w:pPr>
            <w:r>
              <w:rPr>
                <w:rFonts w:cs="Arial"/>
                <w:sz w:val="18"/>
                <w:szCs w:val="18"/>
              </w:rPr>
              <w:t>Other payables</w:t>
            </w:r>
          </w:p>
        </w:tc>
        <w:tc>
          <w:tcPr>
            <w:tcW w:w="1064" w:type="dxa"/>
            <w:tcBorders>
              <w:top w:val="nil"/>
              <w:left w:val="nil"/>
              <w:bottom w:val="single" w:sz="4" w:space="0" w:color="D9D9D9"/>
              <w:right w:val="nil"/>
            </w:tcBorders>
            <w:shd w:val="clear" w:color="000000" w:fill="D9D9D9"/>
            <w:vAlign w:val="bottom"/>
            <w:hideMark/>
          </w:tcPr>
          <w:p w14:paraId="3A929458" w14:textId="77777777" w:rsidR="00AB6753" w:rsidRDefault="00AB6753" w:rsidP="002D1EA4">
            <w:pPr>
              <w:spacing w:after="0"/>
              <w:jc w:val="center"/>
              <w:rPr>
                <w:rFonts w:cs="Arial"/>
                <w:sz w:val="18"/>
                <w:szCs w:val="18"/>
              </w:rPr>
            </w:pPr>
            <w:r>
              <w:rPr>
                <w:rFonts w:cs="Arial"/>
                <w:sz w:val="18"/>
                <w:szCs w:val="18"/>
              </w:rPr>
              <w:t> </w:t>
            </w:r>
          </w:p>
        </w:tc>
        <w:tc>
          <w:tcPr>
            <w:tcW w:w="1187" w:type="dxa"/>
            <w:tcBorders>
              <w:top w:val="nil"/>
              <w:left w:val="nil"/>
              <w:bottom w:val="single" w:sz="4" w:space="0" w:color="D9D9D9"/>
              <w:right w:val="nil"/>
            </w:tcBorders>
            <w:shd w:val="clear" w:color="000000" w:fill="D9D9D9"/>
            <w:noWrap/>
            <w:vAlign w:val="bottom"/>
            <w:hideMark/>
          </w:tcPr>
          <w:p w14:paraId="2451B4EF" w14:textId="77777777" w:rsidR="00AB6753" w:rsidRDefault="00AB6753" w:rsidP="002D1EA4">
            <w:pPr>
              <w:spacing w:after="0"/>
              <w:jc w:val="right"/>
              <w:rPr>
                <w:rFonts w:cs="Arial"/>
                <w:b/>
                <w:bCs/>
                <w:sz w:val="18"/>
                <w:szCs w:val="18"/>
              </w:rPr>
            </w:pPr>
            <w:r>
              <w:rPr>
                <w:rFonts w:cs="Arial"/>
                <w:b/>
                <w:bCs/>
                <w:sz w:val="18"/>
                <w:szCs w:val="18"/>
              </w:rPr>
              <w:t>6,000</w:t>
            </w:r>
          </w:p>
        </w:tc>
        <w:tc>
          <w:tcPr>
            <w:tcW w:w="236" w:type="dxa"/>
            <w:tcBorders>
              <w:top w:val="nil"/>
              <w:left w:val="nil"/>
              <w:bottom w:val="single" w:sz="4" w:space="0" w:color="D9D9D9"/>
              <w:right w:val="nil"/>
            </w:tcBorders>
            <w:shd w:val="clear" w:color="000000" w:fill="D9D9D9"/>
            <w:noWrap/>
            <w:vAlign w:val="bottom"/>
            <w:hideMark/>
          </w:tcPr>
          <w:p w14:paraId="6D96FACE"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single" w:sz="4" w:space="0" w:color="D9D9D9"/>
              <w:right w:val="nil"/>
            </w:tcBorders>
            <w:shd w:val="clear" w:color="000000" w:fill="D9D9D9"/>
            <w:noWrap/>
            <w:vAlign w:val="bottom"/>
            <w:hideMark/>
          </w:tcPr>
          <w:p w14:paraId="5420A3B3" w14:textId="77777777" w:rsidR="00AB6753" w:rsidRDefault="00AB6753" w:rsidP="002D1EA4">
            <w:pPr>
              <w:spacing w:after="0"/>
              <w:jc w:val="right"/>
              <w:rPr>
                <w:rFonts w:cs="Arial"/>
                <w:sz w:val="18"/>
                <w:szCs w:val="18"/>
              </w:rPr>
            </w:pPr>
            <w:r>
              <w:rPr>
                <w:rFonts w:cs="Arial"/>
                <w:sz w:val="18"/>
                <w:szCs w:val="18"/>
              </w:rPr>
              <w:t>3,695</w:t>
            </w:r>
          </w:p>
        </w:tc>
        <w:tc>
          <w:tcPr>
            <w:tcW w:w="236" w:type="dxa"/>
            <w:tcBorders>
              <w:top w:val="nil"/>
              <w:left w:val="nil"/>
              <w:bottom w:val="single" w:sz="4" w:space="0" w:color="D9D9D9"/>
              <w:right w:val="nil"/>
            </w:tcBorders>
            <w:shd w:val="clear" w:color="000000" w:fill="D9D9D9"/>
            <w:noWrap/>
            <w:vAlign w:val="bottom"/>
            <w:hideMark/>
          </w:tcPr>
          <w:p w14:paraId="0334F567"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nil"/>
              <w:right w:val="nil"/>
            </w:tcBorders>
            <w:shd w:val="clear" w:color="000000" w:fill="D9D9D9"/>
            <w:noWrap/>
            <w:vAlign w:val="bottom"/>
            <w:hideMark/>
          </w:tcPr>
          <w:p w14:paraId="21B72F0F" w14:textId="77777777" w:rsidR="00AB6753" w:rsidRDefault="00AB6753" w:rsidP="002D1EA4">
            <w:pPr>
              <w:spacing w:after="0"/>
              <w:jc w:val="right"/>
              <w:rPr>
                <w:rFonts w:cs="Arial"/>
                <w:sz w:val="18"/>
                <w:szCs w:val="18"/>
              </w:rPr>
            </w:pPr>
            <w:r>
              <w:rPr>
                <w:rFonts w:cs="Arial"/>
                <w:sz w:val="18"/>
                <w:szCs w:val="18"/>
              </w:rPr>
              <w:t xml:space="preserve">81,085 </w:t>
            </w:r>
          </w:p>
        </w:tc>
      </w:tr>
      <w:tr w:rsidR="00AB6753" w14:paraId="382C35B9" w14:textId="77777777" w:rsidTr="002D1EA4">
        <w:trPr>
          <w:trHeight w:val="255"/>
        </w:trPr>
        <w:tc>
          <w:tcPr>
            <w:tcW w:w="4236" w:type="dxa"/>
            <w:tcBorders>
              <w:top w:val="nil"/>
              <w:left w:val="nil"/>
              <w:bottom w:val="single" w:sz="4" w:space="0" w:color="D9D9D9"/>
              <w:right w:val="nil"/>
            </w:tcBorders>
            <w:shd w:val="clear" w:color="000000" w:fill="D9D9D9"/>
            <w:vAlign w:val="bottom"/>
            <w:hideMark/>
          </w:tcPr>
          <w:p w14:paraId="73F68562" w14:textId="77777777" w:rsidR="00AB6753" w:rsidRDefault="00AB6753" w:rsidP="002D1EA4">
            <w:pPr>
              <w:spacing w:after="0"/>
              <w:rPr>
                <w:rFonts w:cs="Arial"/>
                <w:b/>
                <w:bCs/>
                <w:sz w:val="18"/>
                <w:szCs w:val="18"/>
              </w:rPr>
            </w:pPr>
            <w:r>
              <w:rPr>
                <w:rFonts w:cs="Arial"/>
                <w:b/>
                <w:bCs/>
                <w:sz w:val="18"/>
                <w:szCs w:val="18"/>
              </w:rPr>
              <w:t>Total payables</w:t>
            </w:r>
          </w:p>
        </w:tc>
        <w:tc>
          <w:tcPr>
            <w:tcW w:w="1064" w:type="dxa"/>
            <w:tcBorders>
              <w:top w:val="nil"/>
              <w:left w:val="nil"/>
              <w:bottom w:val="single" w:sz="4" w:space="0" w:color="D9D9D9"/>
              <w:right w:val="nil"/>
            </w:tcBorders>
            <w:shd w:val="clear" w:color="000000" w:fill="D9D9D9"/>
            <w:vAlign w:val="bottom"/>
            <w:hideMark/>
          </w:tcPr>
          <w:p w14:paraId="5367FD95" w14:textId="77777777" w:rsidR="00AB6753" w:rsidRDefault="00AB6753" w:rsidP="002D1EA4">
            <w:pPr>
              <w:spacing w:after="0"/>
              <w:jc w:val="center"/>
              <w:rPr>
                <w:rFonts w:cs="Arial"/>
                <w:sz w:val="18"/>
                <w:szCs w:val="18"/>
              </w:rPr>
            </w:pPr>
            <w:r>
              <w:rPr>
                <w:rFonts w:cs="Arial"/>
                <w:sz w:val="18"/>
                <w:szCs w:val="18"/>
              </w:rPr>
              <w:t> </w:t>
            </w:r>
          </w:p>
        </w:tc>
        <w:tc>
          <w:tcPr>
            <w:tcW w:w="1187" w:type="dxa"/>
            <w:tcBorders>
              <w:top w:val="single" w:sz="4" w:space="0" w:color="auto"/>
              <w:left w:val="nil"/>
              <w:bottom w:val="single" w:sz="4" w:space="0" w:color="auto"/>
              <w:right w:val="nil"/>
            </w:tcBorders>
            <w:shd w:val="clear" w:color="000000" w:fill="D9D9D9"/>
            <w:noWrap/>
            <w:vAlign w:val="bottom"/>
            <w:hideMark/>
          </w:tcPr>
          <w:p w14:paraId="57781611" w14:textId="77777777" w:rsidR="00AB6753" w:rsidRDefault="00AB6753" w:rsidP="002D1EA4">
            <w:pPr>
              <w:spacing w:after="0"/>
              <w:jc w:val="right"/>
              <w:rPr>
                <w:rFonts w:cs="Arial"/>
                <w:b/>
                <w:bCs/>
                <w:sz w:val="18"/>
                <w:szCs w:val="18"/>
              </w:rPr>
            </w:pPr>
            <w:r>
              <w:rPr>
                <w:rFonts w:cs="Arial"/>
                <w:b/>
                <w:bCs/>
                <w:sz w:val="18"/>
                <w:szCs w:val="18"/>
              </w:rPr>
              <w:t>4,133,325</w:t>
            </w:r>
          </w:p>
        </w:tc>
        <w:tc>
          <w:tcPr>
            <w:tcW w:w="236" w:type="dxa"/>
            <w:tcBorders>
              <w:top w:val="nil"/>
              <w:left w:val="nil"/>
              <w:bottom w:val="single" w:sz="4" w:space="0" w:color="D9D9D9"/>
              <w:right w:val="nil"/>
            </w:tcBorders>
            <w:shd w:val="clear" w:color="000000" w:fill="D9D9D9"/>
            <w:noWrap/>
            <w:vAlign w:val="bottom"/>
            <w:hideMark/>
          </w:tcPr>
          <w:p w14:paraId="34F37B52" w14:textId="77777777" w:rsidR="00AB6753" w:rsidRDefault="00AB6753" w:rsidP="002D1EA4">
            <w:pPr>
              <w:spacing w:after="0"/>
              <w:rPr>
                <w:rFonts w:cs="Arial"/>
                <w:sz w:val="16"/>
                <w:szCs w:val="16"/>
              </w:rPr>
            </w:pPr>
            <w:r>
              <w:rPr>
                <w:rFonts w:cs="Arial"/>
                <w:sz w:val="16"/>
                <w:szCs w:val="16"/>
              </w:rPr>
              <w:t> </w:t>
            </w:r>
          </w:p>
        </w:tc>
        <w:tc>
          <w:tcPr>
            <w:tcW w:w="1170" w:type="dxa"/>
            <w:tcBorders>
              <w:top w:val="single" w:sz="4" w:space="0" w:color="auto"/>
              <w:left w:val="nil"/>
              <w:bottom w:val="single" w:sz="4" w:space="0" w:color="auto"/>
              <w:right w:val="nil"/>
            </w:tcBorders>
            <w:shd w:val="clear" w:color="000000" w:fill="D9D9D9"/>
            <w:noWrap/>
            <w:vAlign w:val="bottom"/>
            <w:hideMark/>
          </w:tcPr>
          <w:p w14:paraId="7BCEB6E7" w14:textId="77777777" w:rsidR="00AB6753" w:rsidRDefault="00AB6753" w:rsidP="002D1EA4">
            <w:pPr>
              <w:spacing w:after="0"/>
              <w:jc w:val="right"/>
              <w:rPr>
                <w:rFonts w:cs="Arial"/>
                <w:sz w:val="18"/>
                <w:szCs w:val="18"/>
              </w:rPr>
            </w:pPr>
            <w:r>
              <w:rPr>
                <w:rFonts w:cs="Arial"/>
                <w:sz w:val="18"/>
                <w:szCs w:val="18"/>
              </w:rPr>
              <w:t>2,582,305</w:t>
            </w:r>
          </w:p>
        </w:tc>
        <w:tc>
          <w:tcPr>
            <w:tcW w:w="236" w:type="dxa"/>
            <w:tcBorders>
              <w:top w:val="nil"/>
              <w:left w:val="nil"/>
              <w:bottom w:val="single" w:sz="4" w:space="0" w:color="D9D9D9"/>
              <w:right w:val="nil"/>
            </w:tcBorders>
            <w:shd w:val="clear" w:color="000000" w:fill="D9D9D9"/>
            <w:noWrap/>
            <w:vAlign w:val="bottom"/>
            <w:hideMark/>
          </w:tcPr>
          <w:p w14:paraId="444BAC03" w14:textId="77777777" w:rsidR="00AB6753" w:rsidRDefault="00AB6753" w:rsidP="002D1EA4">
            <w:pPr>
              <w:spacing w:after="0"/>
              <w:rPr>
                <w:rFonts w:cs="Arial"/>
                <w:sz w:val="16"/>
                <w:szCs w:val="16"/>
              </w:rPr>
            </w:pPr>
            <w:r>
              <w:rPr>
                <w:rFonts w:cs="Arial"/>
                <w:sz w:val="16"/>
                <w:szCs w:val="16"/>
              </w:rPr>
              <w:t> </w:t>
            </w:r>
          </w:p>
        </w:tc>
        <w:tc>
          <w:tcPr>
            <w:tcW w:w="1154" w:type="dxa"/>
            <w:tcBorders>
              <w:top w:val="single" w:sz="4" w:space="0" w:color="auto"/>
              <w:left w:val="nil"/>
              <w:bottom w:val="single" w:sz="4" w:space="0" w:color="auto"/>
              <w:right w:val="nil"/>
            </w:tcBorders>
            <w:shd w:val="clear" w:color="000000" w:fill="D9D9D9"/>
            <w:noWrap/>
            <w:vAlign w:val="bottom"/>
            <w:hideMark/>
          </w:tcPr>
          <w:p w14:paraId="2612BEBE" w14:textId="77777777" w:rsidR="00AB6753" w:rsidRDefault="00AB6753" w:rsidP="002D1EA4">
            <w:pPr>
              <w:spacing w:after="0"/>
              <w:jc w:val="right"/>
              <w:rPr>
                <w:rFonts w:cs="Arial"/>
                <w:sz w:val="18"/>
                <w:szCs w:val="18"/>
              </w:rPr>
            </w:pPr>
            <w:r>
              <w:rPr>
                <w:rFonts w:cs="Arial"/>
                <w:sz w:val="18"/>
                <w:szCs w:val="18"/>
              </w:rPr>
              <w:t>2,693,691</w:t>
            </w:r>
          </w:p>
        </w:tc>
      </w:tr>
      <w:tr w:rsidR="00AB6753" w14:paraId="20D38A20" w14:textId="77777777" w:rsidTr="002D1EA4">
        <w:trPr>
          <w:trHeight w:val="255"/>
        </w:trPr>
        <w:tc>
          <w:tcPr>
            <w:tcW w:w="4236" w:type="dxa"/>
            <w:tcBorders>
              <w:top w:val="nil"/>
              <w:left w:val="nil"/>
              <w:bottom w:val="nil"/>
              <w:right w:val="nil"/>
            </w:tcBorders>
            <w:shd w:val="clear" w:color="000000" w:fill="D9D9D9"/>
            <w:vAlign w:val="bottom"/>
            <w:hideMark/>
          </w:tcPr>
          <w:p w14:paraId="1315C49D" w14:textId="77777777" w:rsidR="00AB6753" w:rsidRDefault="00AB6753" w:rsidP="002D1EA4">
            <w:pPr>
              <w:spacing w:after="0"/>
              <w:rPr>
                <w:rFonts w:cs="Arial"/>
                <w:sz w:val="18"/>
                <w:szCs w:val="18"/>
              </w:rPr>
            </w:pPr>
            <w:r>
              <w:rPr>
                <w:rFonts w:cs="Arial"/>
                <w:sz w:val="18"/>
                <w:szCs w:val="18"/>
              </w:rPr>
              <w:t> </w:t>
            </w:r>
          </w:p>
        </w:tc>
        <w:tc>
          <w:tcPr>
            <w:tcW w:w="1064" w:type="dxa"/>
            <w:tcBorders>
              <w:top w:val="nil"/>
              <w:left w:val="nil"/>
              <w:bottom w:val="single" w:sz="4" w:space="0" w:color="D9D9D9"/>
              <w:right w:val="nil"/>
            </w:tcBorders>
            <w:shd w:val="clear" w:color="000000" w:fill="D9D9D9"/>
            <w:vAlign w:val="bottom"/>
            <w:hideMark/>
          </w:tcPr>
          <w:p w14:paraId="45247CAC" w14:textId="77777777" w:rsidR="00AB6753" w:rsidRDefault="00AB6753" w:rsidP="002D1EA4">
            <w:pPr>
              <w:spacing w:after="0"/>
              <w:jc w:val="center"/>
              <w:rPr>
                <w:rFonts w:cs="Arial"/>
                <w:sz w:val="18"/>
                <w:szCs w:val="18"/>
              </w:rPr>
            </w:pPr>
            <w:r>
              <w:rPr>
                <w:rFonts w:cs="Arial"/>
                <w:sz w:val="18"/>
                <w:szCs w:val="18"/>
              </w:rPr>
              <w:t> </w:t>
            </w:r>
          </w:p>
        </w:tc>
        <w:tc>
          <w:tcPr>
            <w:tcW w:w="1187" w:type="dxa"/>
            <w:tcBorders>
              <w:top w:val="nil"/>
              <w:left w:val="nil"/>
              <w:bottom w:val="nil"/>
              <w:right w:val="nil"/>
            </w:tcBorders>
            <w:shd w:val="clear" w:color="000000" w:fill="D9D9D9"/>
            <w:noWrap/>
            <w:vAlign w:val="bottom"/>
            <w:hideMark/>
          </w:tcPr>
          <w:p w14:paraId="23CFB0D2"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000000" w:fill="D9D9D9"/>
            <w:noWrap/>
            <w:vAlign w:val="bottom"/>
            <w:hideMark/>
          </w:tcPr>
          <w:p w14:paraId="71BF3610"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nil"/>
              <w:right w:val="nil"/>
            </w:tcBorders>
            <w:shd w:val="clear" w:color="000000" w:fill="D9D9D9"/>
            <w:noWrap/>
            <w:vAlign w:val="bottom"/>
            <w:hideMark/>
          </w:tcPr>
          <w:p w14:paraId="4F89F27B"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single" w:sz="4" w:space="0" w:color="D9D9D9"/>
              <w:right w:val="nil"/>
            </w:tcBorders>
            <w:shd w:val="clear" w:color="000000" w:fill="D9D9D9"/>
            <w:noWrap/>
            <w:vAlign w:val="bottom"/>
            <w:hideMark/>
          </w:tcPr>
          <w:p w14:paraId="7A283D75"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single" w:sz="4" w:space="0" w:color="D9D9D9"/>
              <w:right w:val="nil"/>
            </w:tcBorders>
            <w:shd w:val="clear" w:color="000000" w:fill="D9D9D9"/>
            <w:noWrap/>
            <w:vAlign w:val="bottom"/>
            <w:hideMark/>
          </w:tcPr>
          <w:p w14:paraId="74CABD78" w14:textId="77777777" w:rsidR="00AB6753" w:rsidRDefault="00AB6753" w:rsidP="002D1EA4">
            <w:pPr>
              <w:spacing w:after="0"/>
              <w:rPr>
                <w:rFonts w:cs="Arial"/>
                <w:sz w:val="18"/>
                <w:szCs w:val="18"/>
              </w:rPr>
            </w:pPr>
            <w:r>
              <w:rPr>
                <w:rFonts w:cs="Arial"/>
                <w:sz w:val="18"/>
                <w:szCs w:val="18"/>
              </w:rPr>
              <w:t> </w:t>
            </w:r>
          </w:p>
        </w:tc>
      </w:tr>
      <w:tr w:rsidR="00AB6753" w14:paraId="02F7D696" w14:textId="77777777" w:rsidTr="002D1EA4">
        <w:trPr>
          <w:trHeight w:val="255"/>
        </w:trPr>
        <w:tc>
          <w:tcPr>
            <w:tcW w:w="4236" w:type="dxa"/>
            <w:tcBorders>
              <w:top w:val="nil"/>
              <w:left w:val="nil"/>
              <w:bottom w:val="nil"/>
              <w:right w:val="nil"/>
            </w:tcBorders>
            <w:shd w:val="clear" w:color="000000" w:fill="D9D9D9"/>
            <w:vAlign w:val="bottom"/>
            <w:hideMark/>
          </w:tcPr>
          <w:p w14:paraId="6E66A5E5" w14:textId="77777777" w:rsidR="00AB6753" w:rsidRDefault="00AB6753" w:rsidP="002D1EA4">
            <w:pPr>
              <w:spacing w:after="0"/>
              <w:rPr>
                <w:rFonts w:cs="Arial"/>
                <w:b/>
                <w:bCs/>
                <w:sz w:val="18"/>
                <w:szCs w:val="18"/>
              </w:rPr>
            </w:pPr>
            <w:r>
              <w:rPr>
                <w:rFonts w:cs="Arial"/>
                <w:b/>
                <w:bCs/>
                <w:sz w:val="18"/>
                <w:szCs w:val="18"/>
              </w:rPr>
              <w:t>Provisions</w:t>
            </w:r>
          </w:p>
        </w:tc>
        <w:tc>
          <w:tcPr>
            <w:tcW w:w="1064" w:type="dxa"/>
            <w:tcBorders>
              <w:top w:val="nil"/>
              <w:left w:val="nil"/>
              <w:bottom w:val="single" w:sz="4" w:space="0" w:color="D9D9D9"/>
              <w:right w:val="nil"/>
            </w:tcBorders>
            <w:shd w:val="clear" w:color="000000" w:fill="D9D9D9"/>
            <w:vAlign w:val="bottom"/>
            <w:hideMark/>
          </w:tcPr>
          <w:p w14:paraId="72F72BD6" w14:textId="77777777" w:rsidR="00AB6753" w:rsidRDefault="00AB6753" w:rsidP="002D1EA4">
            <w:pPr>
              <w:spacing w:after="0"/>
              <w:jc w:val="center"/>
              <w:rPr>
                <w:rFonts w:cs="Arial"/>
                <w:sz w:val="18"/>
                <w:szCs w:val="18"/>
              </w:rPr>
            </w:pPr>
            <w:r>
              <w:rPr>
                <w:rFonts w:cs="Arial"/>
                <w:sz w:val="18"/>
                <w:szCs w:val="18"/>
              </w:rPr>
              <w:t> </w:t>
            </w:r>
          </w:p>
        </w:tc>
        <w:tc>
          <w:tcPr>
            <w:tcW w:w="1187" w:type="dxa"/>
            <w:tcBorders>
              <w:top w:val="nil"/>
              <w:left w:val="nil"/>
              <w:bottom w:val="nil"/>
              <w:right w:val="nil"/>
            </w:tcBorders>
            <w:shd w:val="clear" w:color="000000" w:fill="D9D9D9"/>
            <w:noWrap/>
            <w:vAlign w:val="bottom"/>
            <w:hideMark/>
          </w:tcPr>
          <w:p w14:paraId="0F59B572"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nil"/>
              <w:right w:val="nil"/>
            </w:tcBorders>
            <w:shd w:val="clear" w:color="000000" w:fill="D9D9D9"/>
            <w:noWrap/>
            <w:vAlign w:val="bottom"/>
            <w:hideMark/>
          </w:tcPr>
          <w:p w14:paraId="7F927DE6"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nil"/>
              <w:right w:val="nil"/>
            </w:tcBorders>
            <w:shd w:val="clear" w:color="000000" w:fill="D9D9D9"/>
            <w:noWrap/>
            <w:vAlign w:val="bottom"/>
            <w:hideMark/>
          </w:tcPr>
          <w:p w14:paraId="31F4D631"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single" w:sz="4" w:space="0" w:color="D9D9D9"/>
              <w:right w:val="nil"/>
            </w:tcBorders>
            <w:shd w:val="clear" w:color="000000" w:fill="D9D9D9"/>
            <w:noWrap/>
            <w:vAlign w:val="bottom"/>
            <w:hideMark/>
          </w:tcPr>
          <w:p w14:paraId="18C9F689"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single" w:sz="4" w:space="0" w:color="D9D9D9"/>
              <w:right w:val="nil"/>
            </w:tcBorders>
            <w:shd w:val="clear" w:color="000000" w:fill="D9D9D9"/>
            <w:noWrap/>
            <w:vAlign w:val="bottom"/>
            <w:hideMark/>
          </w:tcPr>
          <w:p w14:paraId="1703AC5B" w14:textId="77777777" w:rsidR="00AB6753" w:rsidRDefault="00AB6753" w:rsidP="002D1EA4">
            <w:pPr>
              <w:spacing w:after="0"/>
              <w:rPr>
                <w:rFonts w:cs="Arial"/>
                <w:sz w:val="18"/>
                <w:szCs w:val="18"/>
              </w:rPr>
            </w:pPr>
            <w:r>
              <w:rPr>
                <w:rFonts w:cs="Arial"/>
                <w:sz w:val="18"/>
                <w:szCs w:val="18"/>
              </w:rPr>
              <w:t> </w:t>
            </w:r>
          </w:p>
        </w:tc>
      </w:tr>
      <w:tr w:rsidR="00AB6753" w14:paraId="24658569" w14:textId="77777777" w:rsidTr="002D1EA4">
        <w:trPr>
          <w:trHeight w:val="255"/>
        </w:trPr>
        <w:tc>
          <w:tcPr>
            <w:tcW w:w="4236" w:type="dxa"/>
            <w:tcBorders>
              <w:top w:val="nil"/>
              <w:left w:val="nil"/>
              <w:bottom w:val="nil"/>
              <w:right w:val="nil"/>
            </w:tcBorders>
            <w:shd w:val="clear" w:color="000000" w:fill="D9D9D9"/>
            <w:vAlign w:val="bottom"/>
            <w:hideMark/>
          </w:tcPr>
          <w:p w14:paraId="78EFDC74" w14:textId="77777777" w:rsidR="00AB6753" w:rsidRDefault="00AB6753" w:rsidP="002D1EA4">
            <w:pPr>
              <w:spacing w:after="0"/>
              <w:rPr>
                <w:rFonts w:cs="Arial"/>
                <w:sz w:val="18"/>
                <w:szCs w:val="18"/>
              </w:rPr>
            </w:pPr>
            <w:r>
              <w:rPr>
                <w:rFonts w:cs="Arial"/>
                <w:sz w:val="18"/>
                <w:szCs w:val="18"/>
              </w:rPr>
              <w:t>Personal benefits and other provisions</w:t>
            </w:r>
          </w:p>
        </w:tc>
        <w:tc>
          <w:tcPr>
            <w:tcW w:w="1064" w:type="dxa"/>
            <w:tcBorders>
              <w:top w:val="nil"/>
              <w:left w:val="nil"/>
              <w:bottom w:val="single" w:sz="4" w:space="0" w:color="D9D9D9"/>
              <w:right w:val="nil"/>
            </w:tcBorders>
            <w:shd w:val="clear" w:color="000000" w:fill="D9D9D9"/>
            <w:vAlign w:val="bottom"/>
            <w:hideMark/>
          </w:tcPr>
          <w:p w14:paraId="24E9558A" w14:textId="77777777" w:rsidR="00AB6753" w:rsidRDefault="00AB6753" w:rsidP="002D1EA4">
            <w:pPr>
              <w:spacing w:after="0"/>
              <w:jc w:val="center"/>
              <w:rPr>
                <w:rFonts w:cs="Arial"/>
                <w:sz w:val="18"/>
                <w:szCs w:val="18"/>
              </w:rPr>
            </w:pPr>
            <w:r>
              <w:rPr>
                <w:rFonts w:cs="Arial"/>
                <w:sz w:val="18"/>
                <w:szCs w:val="18"/>
              </w:rPr>
              <w:t>4.3A</w:t>
            </w:r>
          </w:p>
        </w:tc>
        <w:tc>
          <w:tcPr>
            <w:tcW w:w="1187" w:type="dxa"/>
            <w:tcBorders>
              <w:top w:val="nil"/>
              <w:left w:val="nil"/>
              <w:bottom w:val="single" w:sz="4" w:space="0" w:color="D9D9D9"/>
              <w:right w:val="nil"/>
            </w:tcBorders>
            <w:shd w:val="clear" w:color="000000" w:fill="D9D9D9"/>
            <w:noWrap/>
            <w:vAlign w:val="bottom"/>
            <w:hideMark/>
          </w:tcPr>
          <w:p w14:paraId="2683623B" w14:textId="77777777" w:rsidR="00AB6753" w:rsidRDefault="00AB6753" w:rsidP="002D1EA4">
            <w:pPr>
              <w:spacing w:after="0"/>
              <w:jc w:val="right"/>
              <w:rPr>
                <w:rFonts w:cs="Arial"/>
                <w:b/>
                <w:bCs/>
                <w:sz w:val="18"/>
                <w:szCs w:val="18"/>
              </w:rPr>
            </w:pPr>
            <w:r>
              <w:rPr>
                <w:rFonts w:cs="Arial"/>
                <w:b/>
                <w:bCs/>
                <w:sz w:val="18"/>
                <w:szCs w:val="18"/>
              </w:rPr>
              <w:t>4,732,782</w:t>
            </w:r>
          </w:p>
        </w:tc>
        <w:tc>
          <w:tcPr>
            <w:tcW w:w="236" w:type="dxa"/>
            <w:tcBorders>
              <w:top w:val="nil"/>
              <w:left w:val="nil"/>
              <w:bottom w:val="nil"/>
              <w:right w:val="nil"/>
            </w:tcBorders>
            <w:shd w:val="clear" w:color="000000" w:fill="D9D9D9"/>
            <w:noWrap/>
            <w:vAlign w:val="bottom"/>
            <w:hideMark/>
          </w:tcPr>
          <w:p w14:paraId="195C35C5"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single" w:sz="4" w:space="0" w:color="D9D9D9"/>
              <w:right w:val="nil"/>
            </w:tcBorders>
            <w:shd w:val="clear" w:color="000000" w:fill="D9D9D9"/>
            <w:noWrap/>
            <w:vAlign w:val="bottom"/>
            <w:hideMark/>
          </w:tcPr>
          <w:p w14:paraId="01879339" w14:textId="77777777" w:rsidR="00AB6753" w:rsidRDefault="00AB6753" w:rsidP="002D1EA4">
            <w:pPr>
              <w:spacing w:after="0"/>
              <w:jc w:val="right"/>
              <w:rPr>
                <w:rFonts w:cs="Arial"/>
                <w:sz w:val="18"/>
                <w:szCs w:val="18"/>
              </w:rPr>
            </w:pPr>
            <w:r>
              <w:rPr>
                <w:rFonts w:cs="Arial"/>
                <w:sz w:val="18"/>
                <w:szCs w:val="18"/>
              </w:rPr>
              <w:t>4,050,253</w:t>
            </w:r>
          </w:p>
        </w:tc>
        <w:tc>
          <w:tcPr>
            <w:tcW w:w="236" w:type="dxa"/>
            <w:tcBorders>
              <w:top w:val="nil"/>
              <w:left w:val="nil"/>
              <w:bottom w:val="single" w:sz="4" w:space="0" w:color="D9D9D9"/>
              <w:right w:val="nil"/>
            </w:tcBorders>
            <w:shd w:val="clear" w:color="000000" w:fill="D9D9D9"/>
            <w:noWrap/>
            <w:vAlign w:val="bottom"/>
            <w:hideMark/>
          </w:tcPr>
          <w:p w14:paraId="49279E37"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nil"/>
              <w:right w:val="nil"/>
            </w:tcBorders>
            <w:shd w:val="clear" w:color="000000" w:fill="D9D9D9"/>
            <w:noWrap/>
            <w:vAlign w:val="bottom"/>
            <w:hideMark/>
          </w:tcPr>
          <w:p w14:paraId="0FED79C7" w14:textId="77777777" w:rsidR="00AB6753" w:rsidRDefault="00AB6753" w:rsidP="002D1EA4">
            <w:pPr>
              <w:spacing w:after="0"/>
              <w:jc w:val="right"/>
              <w:rPr>
                <w:rFonts w:cs="Arial"/>
                <w:sz w:val="18"/>
                <w:szCs w:val="18"/>
              </w:rPr>
            </w:pPr>
            <w:r>
              <w:rPr>
                <w:rFonts w:cs="Arial"/>
                <w:sz w:val="18"/>
                <w:szCs w:val="18"/>
              </w:rPr>
              <w:t xml:space="preserve">4,097,920 </w:t>
            </w:r>
          </w:p>
        </w:tc>
      </w:tr>
      <w:tr w:rsidR="00AB6753" w14:paraId="0BB9585A" w14:textId="77777777" w:rsidTr="002D1EA4">
        <w:trPr>
          <w:trHeight w:val="255"/>
        </w:trPr>
        <w:tc>
          <w:tcPr>
            <w:tcW w:w="4236" w:type="dxa"/>
            <w:tcBorders>
              <w:top w:val="single" w:sz="4" w:space="0" w:color="D9D9D9"/>
              <w:left w:val="nil"/>
              <w:bottom w:val="single" w:sz="4" w:space="0" w:color="D9D9D9"/>
              <w:right w:val="nil"/>
            </w:tcBorders>
            <w:shd w:val="clear" w:color="000000" w:fill="D9D9D9"/>
            <w:vAlign w:val="bottom"/>
            <w:hideMark/>
          </w:tcPr>
          <w:p w14:paraId="65BBD6DF" w14:textId="77777777" w:rsidR="00AB6753" w:rsidRDefault="00AB6753" w:rsidP="002D1EA4">
            <w:pPr>
              <w:spacing w:after="0"/>
              <w:rPr>
                <w:rFonts w:cs="Arial"/>
                <w:b/>
                <w:bCs/>
                <w:sz w:val="18"/>
                <w:szCs w:val="18"/>
              </w:rPr>
            </w:pPr>
            <w:r>
              <w:rPr>
                <w:rFonts w:cs="Arial"/>
                <w:b/>
                <w:bCs/>
                <w:sz w:val="18"/>
                <w:szCs w:val="18"/>
              </w:rPr>
              <w:t>Total provisions</w:t>
            </w:r>
          </w:p>
        </w:tc>
        <w:tc>
          <w:tcPr>
            <w:tcW w:w="1064" w:type="dxa"/>
            <w:tcBorders>
              <w:top w:val="nil"/>
              <w:left w:val="nil"/>
              <w:bottom w:val="single" w:sz="4" w:space="0" w:color="D9D9D9"/>
              <w:right w:val="nil"/>
            </w:tcBorders>
            <w:shd w:val="clear" w:color="000000" w:fill="D9D9D9"/>
            <w:noWrap/>
            <w:vAlign w:val="bottom"/>
            <w:hideMark/>
          </w:tcPr>
          <w:p w14:paraId="722F1F05" w14:textId="77777777" w:rsidR="00AB6753" w:rsidRDefault="00AB6753" w:rsidP="002D1EA4">
            <w:pPr>
              <w:spacing w:after="0"/>
              <w:rPr>
                <w:rFonts w:cs="Arial"/>
                <w:sz w:val="20"/>
              </w:rPr>
            </w:pPr>
            <w:r>
              <w:rPr>
                <w:rFonts w:cs="Arial"/>
                <w:sz w:val="20"/>
              </w:rPr>
              <w:t> </w:t>
            </w:r>
          </w:p>
        </w:tc>
        <w:tc>
          <w:tcPr>
            <w:tcW w:w="1187" w:type="dxa"/>
            <w:tcBorders>
              <w:top w:val="single" w:sz="4" w:space="0" w:color="auto"/>
              <w:left w:val="nil"/>
              <w:bottom w:val="single" w:sz="4" w:space="0" w:color="auto"/>
              <w:right w:val="nil"/>
            </w:tcBorders>
            <w:shd w:val="clear" w:color="000000" w:fill="D9D9D9"/>
            <w:noWrap/>
            <w:vAlign w:val="bottom"/>
            <w:hideMark/>
          </w:tcPr>
          <w:p w14:paraId="14C6063E" w14:textId="77777777" w:rsidR="00AB6753" w:rsidRDefault="00AB6753" w:rsidP="002D1EA4">
            <w:pPr>
              <w:spacing w:after="0"/>
              <w:jc w:val="right"/>
              <w:rPr>
                <w:rFonts w:cs="Arial"/>
                <w:b/>
                <w:bCs/>
                <w:sz w:val="18"/>
                <w:szCs w:val="18"/>
              </w:rPr>
            </w:pPr>
            <w:r>
              <w:rPr>
                <w:rFonts w:cs="Arial"/>
                <w:b/>
                <w:bCs/>
                <w:sz w:val="18"/>
                <w:szCs w:val="18"/>
              </w:rPr>
              <w:t>4,732,782</w:t>
            </w:r>
          </w:p>
        </w:tc>
        <w:tc>
          <w:tcPr>
            <w:tcW w:w="236" w:type="dxa"/>
            <w:tcBorders>
              <w:top w:val="single" w:sz="4" w:space="0" w:color="D9D9D9"/>
              <w:left w:val="nil"/>
              <w:bottom w:val="single" w:sz="4" w:space="0" w:color="D9D9D9"/>
              <w:right w:val="nil"/>
            </w:tcBorders>
            <w:shd w:val="clear" w:color="000000" w:fill="D9D9D9"/>
            <w:noWrap/>
            <w:vAlign w:val="bottom"/>
            <w:hideMark/>
          </w:tcPr>
          <w:p w14:paraId="0BEA4315" w14:textId="77777777" w:rsidR="00AB6753" w:rsidRDefault="00AB6753" w:rsidP="002D1EA4">
            <w:pPr>
              <w:spacing w:after="0"/>
              <w:rPr>
                <w:rFonts w:cs="Arial"/>
                <w:sz w:val="16"/>
                <w:szCs w:val="16"/>
              </w:rPr>
            </w:pPr>
            <w:r>
              <w:rPr>
                <w:rFonts w:cs="Arial"/>
                <w:sz w:val="16"/>
                <w:szCs w:val="16"/>
              </w:rPr>
              <w:t> </w:t>
            </w:r>
          </w:p>
        </w:tc>
        <w:tc>
          <w:tcPr>
            <w:tcW w:w="1170" w:type="dxa"/>
            <w:tcBorders>
              <w:top w:val="single" w:sz="4" w:space="0" w:color="auto"/>
              <w:left w:val="nil"/>
              <w:bottom w:val="single" w:sz="4" w:space="0" w:color="auto"/>
              <w:right w:val="nil"/>
            </w:tcBorders>
            <w:shd w:val="clear" w:color="000000" w:fill="D9D9D9"/>
            <w:noWrap/>
            <w:vAlign w:val="bottom"/>
            <w:hideMark/>
          </w:tcPr>
          <w:p w14:paraId="351C25D7" w14:textId="77777777" w:rsidR="00AB6753" w:rsidRDefault="00AB6753" w:rsidP="002D1EA4">
            <w:pPr>
              <w:spacing w:after="0"/>
              <w:jc w:val="right"/>
              <w:rPr>
                <w:rFonts w:cs="Arial"/>
                <w:sz w:val="18"/>
                <w:szCs w:val="18"/>
              </w:rPr>
            </w:pPr>
            <w:r>
              <w:rPr>
                <w:rFonts w:cs="Arial"/>
                <w:sz w:val="18"/>
                <w:szCs w:val="18"/>
              </w:rPr>
              <w:t>4,050,253</w:t>
            </w:r>
          </w:p>
        </w:tc>
        <w:tc>
          <w:tcPr>
            <w:tcW w:w="236" w:type="dxa"/>
            <w:tcBorders>
              <w:top w:val="nil"/>
              <w:left w:val="nil"/>
              <w:bottom w:val="single" w:sz="4" w:space="0" w:color="D9D9D9"/>
              <w:right w:val="nil"/>
            </w:tcBorders>
            <w:shd w:val="clear" w:color="000000" w:fill="D9D9D9"/>
            <w:noWrap/>
            <w:vAlign w:val="bottom"/>
            <w:hideMark/>
          </w:tcPr>
          <w:p w14:paraId="13E47F33" w14:textId="77777777" w:rsidR="00AB6753" w:rsidRDefault="00AB6753" w:rsidP="002D1EA4">
            <w:pPr>
              <w:spacing w:after="0"/>
              <w:rPr>
                <w:rFonts w:cs="Arial"/>
                <w:sz w:val="16"/>
                <w:szCs w:val="16"/>
              </w:rPr>
            </w:pPr>
            <w:r>
              <w:rPr>
                <w:rFonts w:cs="Arial"/>
                <w:sz w:val="16"/>
                <w:szCs w:val="16"/>
              </w:rPr>
              <w:t> </w:t>
            </w:r>
          </w:p>
        </w:tc>
        <w:tc>
          <w:tcPr>
            <w:tcW w:w="1154" w:type="dxa"/>
            <w:tcBorders>
              <w:top w:val="single" w:sz="4" w:space="0" w:color="auto"/>
              <w:left w:val="nil"/>
              <w:bottom w:val="single" w:sz="4" w:space="0" w:color="auto"/>
              <w:right w:val="nil"/>
            </w:tcBorders>
            <w:shd w:val="clear" w:color="000000" w:fill="D9D9D9"/>
            <w:noWrap/>
            <w:vAlign w:val="bottom"/>
            <w:hideMark/>
          </w:tcPr>
          <w:p w14:paraId="3FF0960D" w14:textId="77777777" w:rsidR="00AB6753" w:rsidRDefault="00AB6753" w:rsidP="002D1EA4">
            <w:pPr>
              <w:spacing w:after="0"/>
              <w:jc w:val="right"/>
              <w:rPr>
                <w:rFonts w:cs="Arial"/>
                <w:sz w:val="18"/>
                <w:szCs w:val="18"/>
              </w:rPr>
            </w:pPr>
            <w:r>
              <w:rPr>
                <w:rFonts w:cs="Arial"/>
                <w:sz w:val="18"/>
                <w:szCs w:val="18"/>
              </w:rPr>
              <w:t>4,097,920</w:t>
            </w:r>
          </w:p>
        </w:tc>
      </w:tr>
      <w:tr w:rsidR="00AB6753" w14:paraId="035153CB" w14:textId="77777777" w:rsidTr="002D1EA4">
        <w:trPr>
          <w:trHeight w:val="255"/>
        </w:trPr>
        <w:tc>
          <w:tcPr>
            <w:tcW w:w="4236" w:type="dxa"/>
            <w:tcBorders>
              <w:top w:val="nil"/>
              <w:left w:val="nil"/>
              <w:bottom w:val="single" w:sz="4" w:space="0" w:color="D9D9D9"/>
              <w:right w:val="nil"/>
            </w:tcBorders>
            <w:shd w:val="clear" w:color="000000" w:fill="D9D9D9"/>
            <w:vAlign w:val="bottom"/>
            <w:hideMark/>
          </w:tcPr>
          <w:p w14:paraId="607F3030" w14:textId="77777777" w:rsidR="00AB6753" w:rsidRDefault="00AB6753" w:rsidP="002D1EA4">
            <w:pPr>
              <w:spacing w:after="0"/>
              <w:rPr>
                <w:rFonts w:cs="Arial"/>
                <w:sz w:val="18"/>
                <w:szCs w:val="18"/>
              </w:rPr>
            </w:pPr>
            <w:r>
              <w:rPr>
                <w:rFonts w:cs="Arial"/>
                <w:sz w:val="18"/>
                <w:szCs w:val="18"/>
              </w:rPr>
              <w:t> </w:t>
            </w:r>
          </w:p>
        </w:tc>
        <w:tc>
          <w:tcPr>
            <w:tcW w:w="1064" w:type="dxa"/>
            <w:tcBorders>
              <w:top w:val="nil"/>
              <w:left w:val="nil"/>
              <w:bottom w:val="single" w:sz="4" w:space="0" w:color="D9D9D9"/>
              <w:right w:val="nil"/>
            </w:tcBorders>
            <w:shd w:val="clear" w:color="000000" w:fill="D9D9D9"/>
            <w:noWrap/>
            <w:vAlign w:val="bottom"/>
            <w:hideMark/>
          </w:tcPr>
          <w:p w14:paraId="0A6883D2" w14:textId="77777777" w:rsidR="00AB6753" w:rsidRDefault="00AB6753" w:rsidP="002D1EA4">
            <w:pPr>
              <w:spacing w:after="0"/>
              <w:rPr>
                <w:rFonts w:cs="Arial"/>
                <w:sz w:val="20"/>
              </w:rPr>
            </w:pPr>
            <w:r>
              <w:rPr>
                <w:rFonts w:cs="Arial"/>
                <w:sz w:val="20"/>
              </w:rPr>
              <w:t> </w:t>
            </w:r>
          </w:p>
        </w:tc>
        <w:tc>
          <w:tcPr>
            <w:tcW w:w="1187" w:type="dxa"/>
            <w:tcBorders>
              <w:top w:val="nil"/>
              <w:left w:val="nil"/>
              <w:bottom w:val="single" w:sz="4" w:space="0" w:color="D9D9D9"/>
              <w:right w:val="nil"/>
            </w:tcBorders>
            <w:shd w:val="clear" w:color="000000" w:fill="D9D9D9"/>
            <w:noWrap/>
            <w:vAlign w:val="bottom"/>
            <w:hideMark/>
          </w:tcPr>
          <w:p w14:paraId="6695D5B8"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single" w:sz="4" w:space="0" w:color="D9D9D9"/>
              <w:right w:val="nil"/>
            </w:tcBorders>
            <w:shd w:val="clear" w:color="000000" w:fill="D9D9D9"/>
            <w:noWrap/>
            <w:vAlign w:val="bottom"/>
            <w:hideMark/>
          </w:tcPr>
          <w:p w14:paraId="1D34EA28"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single" w:sz="4" w:space="0" w:color="D9D9D9"/>
              <w:right w:val="nil"/>
            </w:tcBorders>
            <w:shd w:val="clear" w:color="000000" w:fill="D9D9D9"/>
            <w:noWrap/>
            <w:vAlign w:val="bottom"/>
            <w:hideMark/>
          </w:tcPr>
          <w:p w14:paraId="1207D31B"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single" w:sz="4" w:space="0" w:color="D9D9D9"/>
              <w:right w:val="nil"/>
            </w:tcBorders>
            <w:shd w:val="clear" w:color="000000" w:fill="D9D9D9"/>
            <w:noWrap/>
            <w:vAlign w:val="bottom"/>
            <w:hideMark/>
          </w:tcPr>
          <w:p w14:paraId="513A6CBA"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single" w:sz="4" w:space="0" w:color="D9D9D9"/>
              <w:right w:val="nil"/>
            </w:tcBorders>
            <w:shd w:val="clear" w:color="000000" w:fill="D9D9D9"/>
            <w:noWrap/>
            <w:vAlign w:val="bottom"/>
            <w:hideMark/>
          </w:tcPr>
          <w:p w14:paraId="496A0512" w14:textId="77777777" w:rsidR="00AB6753" w:rsidRDefault="00AB6753" w:rsidP="002D1EA4">
            <w:pPr>
              <w:spacing w:after="0"/>
              <w:rPr>
                <w:rFonts w:cs="Arial"/>
                <w:sz w:val="18"/>
                <w:szCs w:val="18"/>
              </w:rPr>
            </w:pPr>
            <w:r>
              <w:rPr>
                <w:rFonts w:cs="Arial"/>
                <w:sz w:val="18"/>
                <w:szCs w:val="18"/>
              </w:rPr>
              <w:t> </w:t>
            </w:r>
          </w:p>
        </w:tc>
      </w:tr>
      <w:tr w:rsidR="00AB6753" w14:paraId="0B8983F5" w14:textId="77777777" w:rsidTr="002D1EA4">
        <w:trPr>
          <w:trHeight w:val="255"/>
        </w:trPr>
        <w:tc>
          <w:tcPr>
            <w:tcW w:w="4236" w:type="dxa"/>
            <w:tcBorders>
              <w:top w:val="nil"/>
              <w:left w:val="nil"/>
              <w:bottom w:val="single" w:sz="4" w:space="0" w:color="D9D9D9"/>
              <w:right w:val="nil"/>
            </w:tcBorders>
            <w:shd w:val="clear" w:color="000000" w:fill="D9D9D9"/>
            <w:vAlign w:val="bottom"/>
            <w:hideMark/>
          </w:tcPr>
          <w:p w14:paraId="62083476" w14:textId="77777777" w:rsidR="00AB6753" w:rsidRDefault="00AB6753" w:rsidP="002D1EA4">
            <w:pPr>
              <w:spacing w:after="0"/>
              <w:rPr>
                <w:rFonts w:cs="Arial"/>
                <w:b/>
                <w:bCs/>
                <w:sz w:val="18"/>
                <w:szCs w:val="18"/>
              </w:rPr>
            </w:pPr>
            <w:r>
              <w:rPr>
                <w:rFonts w:cs="Arial"/>
                <w:b/>
                <w:bCs/>
                <w:sz w:val="18"/>
                <w:szCs w:val="18"/>
              </w:rPr>
              <w:t>Total liabilities administered on behalf of Government</w:t>
            </w:r>
          </w:p>
        </w:tc>
        <w:tc>
          <w:tcPr>
            <w:tcW w:w="1064" w:type="dxa"/>
            <w:tcBorders>
              <w:top w:val="nil"/>
              <w:left w:val="nil"/>
              <w:bottom w:val="single" w:sz="4" w:space="0" w:color="D9D9D9"/>
              <w:right w:val="nil"/>
            </w:tcBorders>
            <w:shd w:val="clear" w:color="000000" w:fill="D9D9D9"/>
            <w:vAlign w:val="bottom"/>
            <w:hideMark/>
          </w:tcPr>
          <w:p w14:paraId="6FD18907" w14:textId="77777777" w:rsidR="00AB6753" w:rsidRDefault="00AB6753" w:rsidP="002D1EA4">
            <w:pPr>
              <w:spacing w:after="0"/>
              <w:jc w:val="center"/>
              <w:rPr>
                <w:rFonts w:cs="Arial"/>
                <w:sz w:val="18"/>
                <w:szCs w:val="18"/>
              </w:rPr>
            </w:pPr>
            <w:r>
              <w:rPr>
                <w:rFonts w:cs="Arial"/>
                <w:sz w:val="18"/>
                <w:szCs w:val="18"/>
              </w:rPr>
              <w:t> </w:t>
            </w:r>
          </w:p>
        </w:tc>
        <w:tc>
          <w:tcPr>
            <w:tcW w:w="1187" w:type="dxa"/>
            <w:tcBorders>
              <w:top w:val="single" w:sz="4" w:space="0" w:color="auto"/>
              <w:left w:val="nil"/>
              <w:bottom w:val="single" w:sz="4" w:space="0" w:color="auto"/>
              <w:right w:val="nil"/>
            </w:tcBorders>
            <w:shd w:val="clear" w:color="000000" w:fill="D9D9D9"/>
            <w:noWrap/>
            <w:vAlign w:val="bottom"/>
            <w:hideMark/>
          </w:tcPr>
          <w:p w14:paraId="5482D38B" w14:textId="77777777" w:rsidR="00AB6753" w:rsidRDefault="00AB6753" w:rsidP="002D1EA4">
            <w:pPr>
              <w:spacing w:after="0"/>
              <w:jc w:val="right"/>
              <w:rPr>
                <w:rFonts w:cs="Arial"/>
                <w:b/>
                <w:bCs/>
                <w:sz w:val="18"/>
                <w:szCs w:val="18"/>
              </w:rPr>
            </w:pPr>
            <w:r>
              <w:rPr>
                <w:rFonts w:cs="Arial"/>
                <w:b/>
                <w:bCs/>
                <w:sz w:val="18"/>
                <w:szCs w:val="18"/>
              </w:rPr>
              <w:t>8,866,107</w:t>
            </w:r>
          </w:p>
        </w:tc>
        <w:tc>
          <w:tcPr>
            <w:tcW w:w="236" w:type="dxa"/>
            <w:tcBorders>
              <w:top w:val="nil"/>
              <w:left w:val="nil"/>
              <w:bottom w:val="single" w:sz="4" w:space="0" w:color="D9D9D9"/>
              <w:right w:val="nil"/>
            </w:tcBorders>
            <w:shd w:val="clear" w:color="000000" w:fill="D9D9D9"/>
            <w:noWrap/>
            <w:vAlign w:val="bottom"/>
            <w:hideMark/>
          </w:tcPr>
          <w:p w14:paraId="39FA5B08" w14:textId="77777777" w:rsidR="00AB6753" w:rsidRDefault="00AB6753" w:rsidP="002D1EA4">
            <w:pPr>
              <w:spacing w:after="0"/>
              <w:rPr>
                <w:rFonts w:cs="Arial"/>
                <w:sz w:val="16"/>
                <w:szCs w:val="16"/>
              </w:rPr>
            </w:pPr>
            <w:r>
              <w:rPr>
                <w:rFonts w:cs="Arial"/>
                <w:sz w:val="16"/>
                <w:szCs w:val="16"/>
              </w:rPr>
              <w:t> </w:t>
            </w:r>
          </w:p>
        </w:tc>
        <w:tc>
          <w:tcPr>
            <w:tcW w:w="1170" w:type="dxa"/>
            <w:tcBorders>
              <w:top w:val="single" w:sz="4" w:space="0" w:color="auto"/>
              <w:left w:val="nil"/>
              <w:bottom w:val="single" w:sz="4" w:space="0" w:color="auto"/>
              <w:right w:val="nil"/>
            </w:tcBorders>
            <w:shd w:val="clear" w:color="000000" w:fill="D9D9D9"/>
            <w:noWrap/>
            <w:vAlign w:val="bottom"/>
            <w:hideMark/>
          </w:tcPr>
          <w:p w14:paraId="54830C16" w14:textId="77777777" w:rsidR="00AB6753" w:rsidRDefault="00AB6753" w:rsidP="002D1EA4">
            <w:pPr>
              <w:spacing w:after="0"/>
              <w:jc w:val="right"/>
              <w:rPr>
                <w:rFonts w:cs="Arial"/>
                <w:sz w:val="18"/>
                <w:szCs w:val="18"/>
              </w:rPr>
            </w:pPr>
            <w:r>
              <w:rPr>
                <w:rFonts w:cs="Arial"/>
                <w:sz w:val="18"/>
                <w:szCs w:val="18"/>
              </w:rPr>
              <w:t>6,632,558</w:t>
            </w:r>
          </w:p>
        </w:tc>
        <w:tc>
          <w:tcPr>
            <w:tcW w:w="236" w:type="dxa"/>
            <w:tcBorders>
              <w:top w:val="nil"/>
              <w:left w:val="nil"/>
              <w:bottom w:val="single" w:sz="4" w:space="0" w:color="D9D9D9"/>
              <w:right w:val="nil"/>
            </w:tcBorders>
            <w:shd w:val="clear" w:color="000000" w:fill="D9D9D9"/>
            <w:noWrap/>
            <w:vAlign w:val="bottom"/>
            <w:hideMark/>
          </w:tcPr>
          <w:p w14:paraId="42737B16" w14:textId="77777777" w:rsidR="00AB6753" w:rsidRDefault="00AB6753" w:rsidP="002D1EA4">
            <w:pPr>
              <w:spacing w:after="0"/>
              <w:rPr>
                <w:rFonts w:cs="Arial"/>
                <w:sz w:val="16"/>
                <w:szCs w:val="16"/>
              </w:rPr>
            </w:pPr>
            <w:r>
              <w:rPr>
                <w:rFonts w:cs="Arial"/>
                <w:sz w:val="16"/>
                <w:szCs w:val="16"/>
              </w:rPr>
              <w:t> </w:t>
            </w:r>
          </w:p>
        </w:tc>
        <w:tc>
          <w:tcPr>
            <w:tcW w:w="1154" w:type="dxa"/>
            <w:tcBorders>
              <w:top w:val="single" w:sz="4" w:space="0" w:color="auto"/>
              <w:left w:val="nil"/>
              <w:bottom w:val="single" w:sz="4" w:space="0" w:color="auto"/>
              <w:right w:val="nil"/>
            </w:tcBorders>
            <w:shd w:val="clear" w:color="000000" w:fill="D9D9D9"/>
            <w:noWrap/>
            <w:vAlign w:val="bottom"/>
            <w:hideMark/>
          </w:tcPr>
          <w:p w14:paraId="6345E5B0" w14:textId="77777777" w:rsidR="00AB6753" w:rsidRDefault="00AB6753" w:rsidP="002D1EA4">
            <w:pPr>
              <w:spacing w:after="0"/>
              <w:jc w:val="right"/>
              <w:rPr>
                <w:rFonts w:cs="Arial"/>
                <w:sz w:val="18"/>
                <w:szCs w:val="18"/>
              </w:rPr>
            </w:pPr>
            <w:r>
              <w:rPr>
                <w:rFonts w:cs="Arial"/>
                <w:sz w:val="18"/>
                <w:szCs w:val="18"/>
              </w:rPr>
              <w:t>6,791,611</w:t>
            </w:r>
          </w:p>
        </w:tc>
      </w:tr>
      <w:tr w:rsidR="00AB6753" w14:paraId="3038436E" w14:textId="77777777" w:rsidTr="002D1EA4">
        <w:trPr>
          <w:trHeight w:val="255"/>
        </w:trPr>
        <w:tc>
          <w:tcPr>
            <w:tcW w:w="4236" w:type="dxa"/>
            <w:tcBorders>
              <w:top w:val="nil"/>
              <w:left w:val="nil"/>
              <w:bottom w:val="single" w:sz="4" w:space="0" w:color="D9D9D9"/>
              <w:right w:val="nil"/>
            </w:tcBorders>
            <w:shd w:val="clear" w:color="000000" w:fill="D9D9D9"/>
            <w:vAlign w:val="bottom"/>
            <w:hideMark/>
          </w:tcPr>
          <w:p w14:paraId="3597FA83" w14:textId="77777777" w:rsidR="00AB6753" w:rsidRDefault="00AB6753" w:rsidP="002D1EA4">
            <w:pPr>
              <w:spacing w:after="0"/>
              <w:rPr>
                <w:rFonts w:cs="Arial"/>
                <w:sz w:val="18"/>
                <w:szCs w:val="18"/>
              </w:rPr>
            </w:pPr>
            <w:r>
              <w:rPr>
                <w:rFonts w:cs="Arial"/>
                <w:sz w:val="18"/>
                <w:szCs w:val="18"/>
              </w:rPr>
              <w:t> </w:t>
            </w:r>
          </w:p>
        </w:tc>
        <w:tc>
          <w:tcPr>
            <w:tcW w:w="1064" w:type="dxa"/>
            <w:tcBorders>
              <w:top w:val="nil"/>
              <w:left w:val="nil"/>
              <w:bottom w:val="single" w:sz="4" w:space="0" w:color="D9D9D9"/>
              <w:right w:val="nil"/>
            </w:tcBorders>
            <w:shd w:val="clear" w:color="000000" w:fill="D9D9D9"/>
            <w:noWrap/>
            <w:vAlign w:val="bottom"/>
            <w:hideMark/>
          </w:tcPr>
          <w:p w14:paraId="22724963" w14:textId="77777777" w:rsidR="00AB6753" w:rsidRDefault="00AB6753" w:rsidP="002D1EA4">
            <w:pPr>
              <w:spacing w:after="0"/>
              <w:rPr>
                <w:rFonts w:cs="Arial"/>
                <w:sz w:val="20"/>
              </w:rPr>
            </w:pPr>
            <w:r>
              <w:rPr>
                <w:rFonts w:cs="Arial"/>
                <w:sz w:val="20"/>
              </w:rPr>
              <w:t> </w:t>
            </w:r>
          </w:p>
        </w:tc>
        <w:tc>
          <w:tcPr>
            <w:tcW w:w="1187" w:type="dxa"/>
            <w:tcBorders>
              <w:top w:val="nil"/>
              <w:left w:val="nil"/>
              <w:bottom w:val="single" w:sz="4" w:space="0" w:color="D9D9D9"/>
              <w:right w:val="nil"/>
            </w:tcBorders>
            <w:shd w:val="clear" w:color="000000" w:fill="D9D9D9"/>
            <w:noWrap/>
            <w:vAlign w:val="bottom"/>
            <w:hideMark/>
          </w:tcPr>
          <w:p w14:paraId="15760D9F" w14:textId="77777777" w:rsidR="00AB6753" w:rsidRDefault="00AB6753" w:rsidP="002D1EA4">
            <w:pPr>
              <w:spacing w:after="0"/>
              <w:rPr>
                <w:rFonts w:cs="Arial"/>
                <w:b/>
                <w:bCs/>
                <w:sz w:val="18"/>
                <w:szCs w:val="18"/>
              </w:rPr>
            </w:pPr>
            <w:r>
              <w:rPr>
                <w:rFonts w:cs="Arial"/>
                <w:b/>
                <w:bCs/>
                <w:sz w:val="18"/>
                <w:szCs w:val="18"/>
              </w:rPr>
              <w:t> </w:t>
            </w:r>
          </w:p>
        </w:tc>
        <w:tc>
          <w:tcPr>
            <w:tcW w:w="236" w:type="dxa"/>
            <w:tcBorders>
              <w:top w:val="nil"/>
              <w:left w:val="nil"/>
              <w:bottom w:val="single" w:sz="4" w:space="0" w:color="D9D9D9"/>
              <w:right w:val="nil"/>
            </w:tcBorders>
            <w:shd w:val="clear" w:color="000000" w:fill="D9D9D9"/>
            <w:noWrap/>
            <w:vAlign w:val="bottom"/>
            <w:hideMark/>
          </w:tcPr>
          <w:p w14:paraId="6CF53825" w14:textId="77777777" w:rsidR="00AB6753" w:rsidRDefault="00AB6753" w:rsidP="002D1EA4">
            <w:pPr>
              <w:spacing w:after="0"/>
              <w:rPr>
                <w:rFonts w:cs="Arial"/>
                <w:sz w:val="16"/>
                <w:szCs w:val="16"/>
              </w:rPr>
            </w:pPr>
            <w:r>
              <w:rPr>
                <w:rFonts w:cs="Arial"/>
                <w:sz w:val="16"/>
                <w:szCs w:val="16"/>
              </w:rPr>
              <w:t> </w:t>
            </w:r>
          </w:p>
        </w:tc>
        <w:tc>
          <w:tcPr>
            <w:tcW w:w="1170" w:type="dxa"/>
            <w:tcBorders>
              <w:top w:val="nil"/>
              <w:left w:val="nil"/>
              <w:bottom w:val="single" w:sz="4" w:space="0" w:color="D9D9D9"/>
              <w:right w:val="nil"/>
            </w:tcBorders>
            <w:shd w:val="clear" w:color="000000" w:fill="D9D9D9"/>
            <w:noWrap/>
            <w:vAlign w:val="bottom"/>
            <w:hideMark/>
          </w:tcPr>
          <w:p w14:paraId="1677C3CD"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single" w:sz="4" w:space="0" w:color="D9D9D9"/>
              <w:right w:val="nil"/>
            </w:tcBorders>
            <w:shd w:val="clear" w:color="000000" w:fill="D9D9D9"/>
            <w:noWrap/>
            <w:vAlign w:val="bottom"/>
            <w:hideMark/>
          </w:tcPr>
          <w:p w14:paraId="0B9F59BB" w14:textId="77777777" w:rsidR="00AB6753" w:rsidRDefault="00AB6753" w:rsidP="002D1EA4">
            <w:pPr>
              <w:spacing w:after="0"/>
              <w:rPr>
                <w:rFonts w:cs="Arial"/>
                <w:sz w:val="16"/>
                <w:szCs w:val="16"/>
              </w:rPr>
            </w:pPr>
            <w:r>
              <w:rPr>
                <w:rFonts w:cs="Arial"/>
                <w:sz w:val="16"/>
                <w:szCs w:val="16"/>
              </w:rPr>
              <w:t> </w:t>
            </w:r>
          </w:p>
        </w:tc>
        <w:tc>
          <w:tcPr>
            <w:tcW w:w="1154" w:type="dxa"/>
            <w:tcBorders>
              <w:top w:val="nil"/>
              <w:left w:val="nil"/>
              <w:bottom w:val="single" w:sz="4" w:space="0" w:color="D9D9D9"/>
              <w:right w:val="nil"/>
            </w:tcBorders>
            <w:shd w:val="clear" w:color="000000" w:fill="D9D9D9"/>
            <w:noWrap/>
            <w:vAlign w:val="bottom"/>
            <w:hideMark/>
          </w:tcPr>
          <w:p w14:paraId="7B420EA1" w14:textId="77777777" w:rsidR="00AB6753" w:rsidRDefault="00AB6753" w:rsidP="002D1EA4">
            <w:pPr>
              <w:spacing w:after="0"/>
              <w:rPr>
                <w:rFonts w:cs="Arial"/>
                <w:sz w:val="18"/>
                <w:szCs w:val="18"/>
              </w:rPr>
            </w:pPr>
            <w:r>
              <w:rPr>
                <w:rFonts w:cs="Arial"/>
                <w:sz w:val="18"/>
                <w:szCs w:val="18"/>
              </w:rPr>
              <w:t> </w:t>
            </w:r>
          </w:p>
        </w:tc>
      </w:tr>
      <w:tr w:rsidR="00AB6753" w14:paraId="1AD3D3CC" w14:textId="77777777" w:rsidTr="002D1EA4">
        <w:trPr>
          <w:trHeight w:val="255"/>
        </w:trPr>
        <w:tc>
          <w:tcPr>
            <w:tcW w:w="4236" w:type="dxa"/>
            <w:tcBorders>
              <w:top w:val="nil"/>
              <w:left w:val="nil"/>
              <w:bottom w:val="single" w:sz="4" w:space="0" w:color="D9D9D9"/>
              <w:right w:val="nil"/>
            </w:tcBorders>
            <w:shd w:val="clear" w:color="000000" w:fill="D9D9D9"/>
            <w:vAlign w:val="bottom"/>
            <w:hideMark/>
          </w:tcPr>
          <w:p w14:paraId="797FA00F" w14:textId="77777777" w:rsidR="00AB6753" w:rsidRDefault="00AB6753" w:rsidP="002D1EA4">
            <w:pPr>
              <w:spacing w:after="0"/>
              <w:rPr>
                <w:rFonts w:cs="Arial"/>
                <w:b/>
                <w:bCs/>
                <w:sz w:val="18"/>
                <w:szCs w:val="18"/>
              </w:rPr>
            </w:pPr>
            <w:r>
              <w:rPr>
                <w:rFonts w:cs="Arial"/>
                <w:b/>
                <w:bCs/>
                <w:sz w:val="18"/>
                <w:szCs w:val="18"/>
              </w:rPr>
              <w:t>Net (liabilities) / assets</w:t>
            </w:r>
          </w:p>
        </w:tc>
        <w:tc>
          <w:tcPr>
            <w:tcW w:w="1064" w:type="dxa"/>
            <w:tcBorders>
              <w:top w:val="nil"/>
              <w:left w:val="nil"/>
              <w:bottom w:val="single" w:sz="4" w:space="0" w:color="D9D9D9"/>
              <w:right w:val="nil"/>
            </w:tcBorders>
            <w:shd w:val="clear" w:color="000000" w:fill="D9D9D9"/>
            <w:noWrap/>
            <w:vAlign w:val="bottom"/>
            <w:hideMark/>
          </w:tcPr>
          <w:p w14:paraId="302C5C22" w14:textId="77777777" w:rsidR="00AB6753" w:rsidRDefault="00AB6753" w:rsidP="002D1EA4">
            <w:pPr>
              <w:spacing w:after="0"/>
              <w:rPr>
                <w:rFonts w:cs="Arial"/>
                <w:sz w:val="20"/>
              </w:rPr>
            </w:pPr>
            <w:r>
              <w:rPr>
                <w:rFonts w:cs="Arial"/>
                <w:sz w:val="20"/>
              </w:rPr>
              <w:t> </w:t>
            </w:r>
          </w:p>
        </w:tc>
        <w:tc>
          <w:tcPr>
            <w:tcW w:w="1187" w:type="dxa"/>
            <w:tcBorders>
              <w:top w:val="single" w:sz="4" w:space="0" w:color="auto"/>
              <w:left w:val="nil"/>
              <w:bottom w:val="single" w:sz="4" w:space="0" w:color="auto"/>
              <w:right w:val="nil"/>
            </w:tcBorders>
            <w:shd w:val="clear" w:color="000000" w:fill="D9D9D9"/>
            <w:noWrap/>
            <w:vAlign w:val="bottom"/>
            <w:hideMark/>
          </w:tcPr>
          <w:p w14:paraId="30D7416B" w14:textId="77777777" w:rsidR="00AB6753" w:rsidRDefault="00AB6753" w:rsidP="002D1EA4">
            <w:pPr>
              <w:spacing w:after="0"/>
              <w:jc w:val="right"/>
              <w:rPr>
                <w:rFonts w:cs="Arial"/>
                <w:b/>
                <w:bCs/>
                <w:sz w:val="18"/>
                <w:szCs w:val="18"/>
              </w:rPr>
            </w:pPr>
            <w:r>
              <w:rPr>
                <w:rFonts w:cs="Arial"/>
                <w:b/>
                <w:bCs/>
                <w:sz w:val="18"/>
                <w:szCs w:val="18"/>
              </w:rPr>
              <w:t>(2,467,706)</w:t>
            </w:r>
          </w:p>
        </w:tc>
        <w:tc>
          <w:tcPr>
            <w:tcW w:w="236" w:type="dxa"/>
            <w:tcBorders>
              <w:top w:val="nil"/>
              <w:left w:val="nil"/>
              <w:bottom w:val="single" w:sz="4" w:space="0" w:color="D9D9D9"/>
              <w:right w:val="nil"/>
            </w:tcBorders>
            <w:shd w:val="clear" w:color="000000" w:fill="D9D9D9"/>
            <w:noWrap/>
            <w:vAlign w:val="bottom"/>
            <w:hideMark/>
          </w:tcPr>
          <w:p w14:paraId="4CF58122" w14:textId="77777777" w:rsidR="00AB6753" w:rsidRDefault="00AB6753" w:rsidP="002D1EA4">
            <w:pPr>
              <w:spacing w:after="0"/>
              <w:rPr>
                <w:rFonts w:cs="Arial"/>
                <w:sz w:val="16"/>
                <w:szCs w:val="16"/>
              </w:rPr>
            </w:pPr>
            <w:r>
              <w:rPr>
                <w:rFonts w:cs="Arial"/>
                <w:sz w:val="16"/>
                <w:szCs w:val="16"/>
              </w:rPr>
              <w:t> </w:t>
            </w:r>
          </w:p>
        </w:tc>
        <w:tc>
          <w:tcPr>
            <w:tcW w:w="1170" w:type="dxa"/>
            <w:tcBorders>
              <w:top w:val="single" w:sz="4" w:space="0" w:color="auto"/>
              <w:left w:val="nil"/>
              <w:bottom w:val="single" w:sz="4" w:space="0" w:color="auto"/>
              <w:right w:val="nil"/>
            </w:tcBorders>
            <w:shd w:val="clear" w:color="000000" w:fill="D9D9D9"/>
            <w:noWrap/>
            <w:vAlign w:val="bottom"/>
            <w:hideMark/>
          </w:tcPr>
          <w:p w14:paraId="0167D856" w14:textId="77777777" w:rsidR="00AB6753" w:rsidRDefault="00AB6753" w:rsidP="002D1EA4">
            <w:pPr>
              <w:spacing w:after="0"/>
              <w:jc w:val="right"/>
              <w:rPr>
                <w:rFonts w:cs="Arial"/>
                <w:sz w:val="18"/>
                <w:szCs w:val="18"/>
              </w:rPr>
            </w:pPr>
            <w:r>
              <w:rPr>
                <w:rFonts w:cs="Arial"/>
                <w:sz w:val="18"/>
                <w:szCs w:val="18"/>
              </w:rPr>
              <w:t>863,007</w:t>
            </w:r>
          </w:p>
        </w:tc>
        <w:tc>
          <w:tcPr>
            <w:tcW w:w="236" w:type="dxa"/>
            <w:tcBorders>
              <w:top w:val="nil"/>
              <w:left w:val="nil"/>
              <w:bottom w:val="single" w:sz="4" w:space="0" w:color="D9D9D9"/>
              <w:right w:val="nil"/>
            </w:tcBorders>
            <w:shd w:val="clear" w:color="000000" w:fill="D9D9D9"/>
            <w:noWrap/>
            <w:vAlign w:val="bottom"/>
            <w:hideMark/>
          </w:tcPr>
          <w:p w14:paraId="07E30CB3" w14:textId="77777777" w:rsidR="00AB6753" w:rsidRDefault="00AB6753" w:rsidP="002D1EA4">
            <w:pPr>
              <w:spacing w:after="0"/>
              <w:rPr>
                <w:rFonts w:cs="Arial"/>
                <w:sz w:val="16"/>
                <w:szCs w:val="16"/>
              </w:rPr>
            </w:pPr>
            <w:r>
              <w:rPr>
                <w:rFonts w:cs="Arial"/>
                <w:sz w:val="16"/>
                <w:szCs w:val="16"/>
              </w:rPr>
              <w:t> </w:t>
            </w:r>
          </w:p>
        </w:tc>
        <w:tc>
          <w:tcPr>
            <w:tcW w:w="1154" w:type="dxa"/>
            <w:tcBorders>
              <w:top w:val="single" w:sz="4" w:space="0" w:color="auto"/>
              <w:left w:val="nil"/>
              <w:bottom w:val="single" w:sz="4" w:space="0" w:color="auto"/>
              <w:right w:val="nil"/>
            </w:tcBorders>
            <w:shd w:val="clear" w:color="000000" w:fill="D9D9D9"/>
            <w:noWrap/>
            <w:vAlign w:val="bottom"/>
            <w:hideMark/>
          </w:tcPr>
          <w:p w14:paraId="2C6ADE03" w14:textId="77777777" w:rsidR="00AB6753" w:rsidRDefault="00AB6753" w:rsidP="002D1EA4">
            <w:pPr>
              <w:spacing w:after="0"/>
              <w:jc w:val="right"/>
              <w:rPr>
                <w:rFonts w:cs="Arial"/>
                <w:sz w:val="18"/>
                <w:szCs w:val="18"/>
              </w:rPr>
            </w:pPr>
            <w:r>
              <w:rPr>
                <w:rFonts w:cs="Arial"/>
                <w:sz w:val="18"/>
                <w:szCs w:val="18"/>
              </w:rPr>
              <w:t>(159,399)</w:t>
            </w:r>
          </w:p>
        </w:tc>
      </w:tr>
    </w:tbl>
    <w:p w14:paraId="4B710BDE" w14:textId="77777777" w:rsidR="00AB6753" w:rsidRDefault="00AB6753" w:rsidP="00AB6753">
      <w:pPr>
        <w:pStyle w:val="NotesTextGreyShade"/>
        <w:ind w:left="113" w:right="340" w:firstLine="142"/>
      </w:pPr>
    </w:p>
    <w:p w14:paraId="4AE1222C" w14:textId="77777777" w:rsidR="00AB6753" w:rsidRPr="007A42BA" w:rsidRDefault="00AB6753" w:rsidP="00AB6753">
      <w:pPr>
        <w:pStyle w:val="NotesTextGreyShade"/>
        <w:ind w:left="113" w:right="340"/>
        <w:rPr>
          <w:rFonts w:ascii="Arial" w:hAnsi="Arial" w:cs="Arial"/>
          <w:sz w:val="18"/>
          <w:szCs w:val="18"/>
        </w:rPr>
      </w:pPr>
      <w:r w:rsidRPr="007A42BA">
        <w:rPr>
          <w:rFonts w:ascii="Arial" w:hAnsi="Arial" w:cs="Arial"/>
          <w:sz w:val="18"/>
          <w:szCs w:val="18"/>
        </w:rPr>
        <w:t>The above schedule should be read in conjunction with the accompanying notes.</w:t>
      </w:r>
    </w:p>
    <w:p w14:paraId="39E8BDF6" w14:textId="77777777" w:rsidR="00AB6753" w:rsidRPr="007A42BA" w:rsidRDefault="00AB6753" w:rsidP="00AB6753">
      <w:pPr>
        <w:pStyle w:val="NotesTextGreyShade"/>
        <w:ind w:left="113" w:right="340"/>
        <w:rPr>
          <w:rFonts w:ascii="Arial" w:hAnsi="Arial" w:cs="Arial"/>
          <w:sz w:val="18"/>
          <w:szCs w:val="18"/>
        </w:rPr>
        <w:sectPr w:rsidR="00AB6753" w:rsidRPr="007A42BA" w:rsidSect="00D22AC6">
          <w:headerReference w:type="default" r:id="rId65"/>
          <w:pgSz w:w="11906" w:h="16838" w:code="9"/>
          <w:pgMar w:top="1134" w:right="991" w:bottom="964" w:left="1134" w:header="958" w:footer="737" w:gutter="0"/>
          <w:cols w:space="708"/>
          <w:docGrid w:linePitch="360"/>
        </w:sectPr>
      </w:pPr>
      <w:r w:rsidRPr="007A42BA">
        <w:rPr>
          <w:rFonts w:ascii="Arial" w:hAnsi="Arial" w:cs="Arial"/>
          <w:sz w:val="18"/>
          <w:szCs w:val="18"/>
        </w:rPr>
        <w:t>Refer to Note 8.4B for explanations of major variances to the Original Budget. Where necessary, the Original Budget information has been reclassified and presented on a consistent basis with the corresponding financial statement item.</w:t>
      </w:r>
    </w:p>
    <w:tbl>
      <w:tblPr>
        <w:tblW w:w="9369" w:type="dxa"/>
        <w:tblInd w:w="142" w:type="dxa"/>
        <w:tblLayout w:type="fixed"/>
        <w:tblLook w:val="04A0" w:firstRow="1" w:lastRow="0" w:firstColumn="1" w:lastColumn="0" w:noHBand="0" w:noVBand="1"/>
        <w:tblCaption w:val="Administered reconcilation schedule for the period ended 30 June 2020"/>
        <w:tblDescription w:val="Administered reconcilation schedule for the period ended 30 June 2020"/>
      </w:tblPr>
      <w:tblGrid>
        <w:gridCol w:w="6328"/>
        <w:gridCol w:w="1387"/>
        <w:gridCol w:w="269"/>
        <w:gridCol w:w="1385"/>
      </w:tblGrid>
      <w:tr w:rsidR="00AB6753" w14:paraId="3A1341A7" w14:textId="77777777" w:rsidTr="002D1EA4">
        <w:trPr>
          <w:trHeight w:val="255"/>
        </w:trPr>
        <w:tc>
          <w:tcPr>
            <w:tcW w:w="6328" w:type="dxa"/>
            <w:tcBorders>
              <w:top w:val="single" w:sz="8" w:space="0" w:color="auto"/>
              <w:left w:val="nil"/>
              <w:bottom w:val="nil"/>
              <w:right w:val="nil"/>
            </w:tcBorders>
            <w:shd w:val="clear" w:color="000000" w:fill="D9D9D9"/>
            <w:noWrap/>
            <w:vAlign w:val="bottom"/>
            <w:hideMark/>
          </w:tcPr>
          <w:p w14:paraId="30CC6740" w14:textId="77777777" w:rsidR="00AB6753" w:rsidRDefault="00AB6753" w:rsidP="002D1EA4">
            <w:pPr>
              <w:spacing w:after="0"/>
              <w:rPr>
                <w:rFonts w:cs="Arial"/>
                <w:sz w:val="16"/>
                <w:szCs w:val="16"/>
              </w:rPr>
            </w:pPr>
            <w:bookmarkStart w:id="60" w:name="Note_AEQTABLE1" w:colFirst="0" w:colLast="0"/>
            <w:r>
              <w:rPr>
                <w:rFonts w:cs="Arial"/>
                <w:sz w:val="16"/>
                <w:szCs w:val="16"/>
              </w:rPr>
              <w:lastRenderedPageBreak/>
              <w:t> </w:t>
            </w:r>
          </w:p>
        </w:tc>
        <w:tc>
          <w:tcPr>
            <w:tcW w:w="1387" w:type="dxa"/>
            <w:tcBorders>
              <w:top w:val="single" w:sz="8" w:space="0" w:color="auto"/>
              <w:left w:val="nil"/>
              <w:bottom w:val="nil"/>
              <w:right w:val="nil"/>
            </w:tcBorders>
            <w:shd w:val="clear" w:color="000000" w:fill="D9D9D9"/>
            <w:noWrap/>
            <w:vAlign w:val="bottom"/>
            <w:hideMark/>
          </w:tcPr>
          <w:p w14:paraId="2CA1D6C5" w14:textId="77777777" w:rsidR="00AB6753" w:rsidRDefault="00AB6753" w:rsidP="002D1EA4">
            <w:pPr>
              <w:spacing w:after="0"/>
              <w:jc w:val="right"/>
              <w:rPr>
                <w:rFonts w:cs="Arial"/>
                <w:b/>
                <w:bCs/>
                <w:sz w:val="18"/>
                <w:szCs w:val="18"/>
              </w:rPr>
            </w:pPr>
            <w:r>
              <w:rPr>
                <w:rFonts w:cs="Arial"/>
                <w:b/>
                <w:bCs/>
                <w:sz w:val="18"/>
                <w:szCs w:val="18"/>
              </w:rPr>
              <w:t>2020</w:t>
            </w:r>
          </w:p>
        </w:tc>
        <w:tc>
          <w:tcPr>
            <w:tcW w:w="269" w:type="dxa"/>
            <w:tcBorders>
              <w:top w:val="single" w:sz="8" w:space="0" w:color="auto"/>
              <w:left w:val="nil"/>
              <w:bottom w:val="nil"/>
              <w:right w:val="nil"/>
            </w:tcBorders>
            <w:shd w:val="clear" w:color="000000" w:fill="D9D9D9"/>
            <w:noWrap/>
            <w:vAlign w:val="bottom"/>
            <w:hideMark/>
          </w:tcPr>
          <w:p w14:paraId="57B91935"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single" w:sz="8" w:space="0" w:color="auto"/>
              <w:left w:val="nil"/>
              <w:bottom w:val="nil"/>
              <w:right w:val="nil"/>
            </w:tcBorders>
            <w:shd w:val="clear" w:color="000000" w:fill="D9D9D9"/>
            <w:noWrap/>
            <w:vAlign w:val="bottom"/>
            <w:hideMark/>
          </w:tcPr>
          <w:p w14:paraId="7308F7B1" w14:textId="77777777" w:rsidR="00AB6753" w:rsidRDefault="00AB6753" w:rsidP="002D1EA4">
            <w:pPr>
              <w:spacing w:after="0"/>
              <w:jc w:val="right"/>
              <w:rPr>
                <w:rFonts w:cs="Arial"/>
                <w:sz w:val="18"/>
                <w:szCs w:val="18"/>
              </w:rPr>
            </w:pPr>
            <w:r>
              <w:rPr>
                <w:rFonts w:cs="Arial"/>
                <w:sz w:val="18"/>
                <w:szCs w:val="18"/>
              </w:rPr>
              <w:t>2019</w:t>
            </w:r>
          </w:p>
        </w:tc>
      </w:tr>
      <w:bookmarkEnd w:id="60"/>
      <w:tr w:rsidR="00AB6753" w14:paraId="2365B29E" w14:textId="77777777" w:rsidTr="002D1EA4">
        <w:trPr>
          <w:trHeight w:val="255"/>
        </w:trPr>
        <w:tc>
          <w:tcPr>
            <w:tcW w:w="6328" w:type="dxa"/>
            <w:tcBorders>
              <w:top w:val="nil"/>
              <w:left w:val="nil"/>
              <w:bottom w:val="nil"/>
              <w:right w:val="nil"/>
            </w:tcBorders>
            <w:shd w:val="clear" w:color="000000" w:fill="D9D9D9"/>
            <w:noWrap/>
            <w:vAlign w:val="bottom"/>
            <w:hideMark/>
          </w:tcPr>
          <w:p w14:paraId="0FCA835B" w14:textId="77777777" w:rsidR="00AB6753" w:rsidRDefault="00AB6753" w:rsidP="002D1EA4">
            <w:pPr>
              <w:spacing w:after="0"/>
              <w:rPr>
                <w:rFonts w:cs="Arial"/>
                <w:sz w:val="16"/>
                <w:szCs w:val="16"/>
              </w:rPr>
            </w:pPr>
            <w:r>
              <w:rPr>
                <w:rFonts w:cs="Arial"/>
                <w:sz w:val="16"/>
                <w:szCs w:val="16"/>
              </w:rPr>
              <w:t> </w:t>
            </w:r>
          </w:p>
        </w:tc>
        <w:tc>
          <w:tcPr>
            <w:tcW w:w="1387" w:type="dxa"/>
            <w:tcBorders>
              <w:top w:val="nil"/>
              <w:left w:val="nil"/>
              <w:bottom w:val="single" w:sz="4" w:space="0" w:color="auto"/>
              <w:right w:val="nil"/>
            </w:tcBorders>
            <w:shd w:val="clear" w:color="000000" w:fill="D9D9D9"/>
            <w:noWrap/>
            <w:vAlign w:val="bottom"/>
            <w:hideMark/>
          </w:tcPr>
          <w:p w14:paraId="671DEBCF" w14:textId="77777777" w:rsidR="00AB6753" w:rsidRDefault="00AB6753" w:rsidP="002D1EA4">
            <w:pPr>
              <w:spacing w:after="0"/>
              <w:jc w:val="right"/>
              <w:rPr>
                <w:rFonts w:cs="Arial"/>
                <w:b/>
                <w:bCs/>
                <w:sz w:val="18"/>
                <w:szCs w:val="18"/>
              </w:rPr>
            </w:pPr>
            <w:r>
              <w:rPr>
                <w:rFonts w:cs="Arial"/>
                <w:b/>
                <w:bCs/>
                <w:sz w:val="18"/>
                <w:szCs w:val="18"/>
              </w:rPr>
              <w:t>$'000</w:t>
            </w:r>
          </w:p>
        </w:tc>
        <w:tc>
          <w:tcPr>
            <w:tcW w:w="269" w:type="dxa"/>
            <w:tcBorders>
              <w:top w:val="nil"/>
              <w:left w:val="nil"/>
              <w:bottom w:val="nil"/>
              <w:right w:val="nil"/>
            </w:tcBorders>
            <w:shd w:val="clear" w:color="000000" w:fill="D9D9D9"/>
            <w:noWrap/>
            <w:vAlign w:val="bottom"/>
            <w:hideMark/>
          </w:tcPr>
          <w:p w14:paraId="01EC556C"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single" w:sz="4" w:space="0" w:color="auto"/>
              <w:right w:val="nil"/>
            </w:tcBorders>
            <w:shd w:val="clear" w:color="000000" w:fill="D9D9D9"/>
            <w:noWrap/>
            <w:vAlign w:val="bottom"/>
            <w:hideMark/>
          </w:tcPr>
          <w:p w14:paraId="6295AEF4" w14:textId="77777777" w:rsidR="00AB6753" w:rsidRDefault="00AB6753" w:rsidP="002D1EA4">
            <w:pPr>
              <w:spacing w:after="0"/>
              <w:jc w:val="right"/>
              <w:rPr>
                <w:rFonts w:cs="Arial"/>
                <w:sz w:val="18"/>
                <w:szCs w:val="18"/>
              </w:rPr>
            </w:pPr>
            <w:r>
              <w:rPr>
                <w:rFonts w:cs="Arial"/>
                <w:sz w:val="18"/>
                <w:szCs w:val="18"/>
              </w:rPr>
              <w:t>$'000</w:t>
            </w:r>
          </w:p>
        </w:tc>
      </w:tr>
      <w:tr w:rsidR="00AB6753" w14:paraId="76736083" w14:textId="77777777" w:rsidTr="002D1EA4">
        <w:trPr>
          <w:trHeight w:val="255"/>
        </w:trPr>
        <w:tc>
          <w:tcPr>
            <w:tcW w:w="6328" w:type="dxa"/>
            <w:tcBorders>
              <w:top w:val="nil"/>
              <w:left w:val="nil"/>
              <w:bottom w:val="nil"/>
              <w:right w:val="nil"/>
            </w:tcBorders>
            <w:shd w:val="clear" w:color="000000" w:fill="D9D9D9"/>
            <w:noWrap/>
            <w:vAlign w:val="bottom"/>
            <w:hideMark/>
          </w:tcPr>
          <w:p w14:paraId="0F821811" w14:textId="77777777" w:rsidR="00AB6753" w:rsidRDefault="00AB6753" w:rsidP="002D1EA4">
            <w:pPr>
              <w:spacing w:after="0"/>
              <w:rPr>
                <w:rFonts w:cs="Arial"/>
                <w:sz w:val="16"/>
                <w:szCs w:val="16"/>
              </w:rPr>
            </w:pPr>
            <w:r>
              <w:rPr>
                <w:rFonts w:cs="Arial"/>
                <w:sz w:val="16"/>
                <w:szCs w:val="16"/>
              </w:rPr>
              <w:t> </w:t>
            </w:r>
          </w:p>
        </w:tc>
        <w:tc>
          <w:tcPr>
            <w:tcW w:w="1387" w:type="dxa"/>
            <w:tcBorders>
              <w:top w:val="nil"/>
              <w:left w:val="nil"/>
              <w:bottom w:val="nil"/>
              <w:right w:val="nil"/>
            </w:tcBorders>
            <w:shd w:val="clear" w:color="000000" w:fill="D9D9D9"/>
            <w:noWrap/>
            <w:vAlign w:val="bottom"/>
            <w:hideMark/>
          </w:tcPr>
          <w:p w14:paraId="0CE1EE4A" w14:textId="77777777" w:rsidR="00AB6753" w:rsidRDefault="00AB6753" w:rsidP="002D1EA4">
            <w:pPr>
              <w:spacing w:after="0"/>
              <w:jc w:val="right"/>
              <w:rPr>
                <w:rFonts w:cs="Arial"/>
                <w:b/>
                <w:bCs/>
                <w:sz w:val="18"/>
                <w:szCs w:val="18"/>
              </w:rPr>
            </w:pPr>
            <w:r>
              <w:rPr>
                <w:rFonts w:cs="Arial"/>
                <w:b/>
                <w:bCs/>
                <w:sz w:val="18"/>
                <w:szCs w:val="18"/>
              </w:rPr>
              <w:t> </w:t>
            </w:r>
          </w:p>
        </w:tc>
        <w:tc>
          <w:tcPr>
            <w:tcW w:w="269" w:type="dxa"/>
            <w:tcBorders>
              <w:top w:val="nil"/>
              <w:left w:val="nil"/>
              <w:bottom w:val="nil"/>
              <w:right w:val="nil"/>
            </w:tcBorders>
            <w:shd w:val="clear" w:color="000000" w:fill="D9D9D9"/>
            <w:noWrap/>
            <w:vAlign w:val="bottom"/>
            <w:hideMark/>
          </w:tcPr>
          <w:p w14:paraId="527F4381"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774D95A9" w14:textId="77777777" w:rsidR="00AB6753" w:rsidRDefault="00AB6753" w:rsidP="002D1EA4">
            <w:pPr>
              <w:spacing w:after="0"/>
              <w:jc w:val="right"/>
              <w:rPr>
                <w:rFonts w:cs="Arial"/>
                <w:sz w:val="18"/>
                <w:szCs w:val="18"/>
              </w:rPr>
            </w:pPr>
            <w:r>
              <w:rPr>
                <w:rFonts w:cs="Arial"/>
                <w:sz w:val="18"/>
                <w:szCs w:val="18"/>
              </w:rPr>
              <w:t> </w:t>
            </w:r>
          </w:p>
        </w:tc>
      </w:tr>
      <w:tr w:rsidR="00AB6753" w14:paraId="27BC5F4C" w14:textId="77777777" w:rsidTr="002D1EA4">
        <w:trPr>
          <w:trHeight w:val="255"/>
        </w:trPr>
        <w:tc>
          <w:tcPr>
            <w:tcW w:w="6328" w:type="dxa"/>
            <w:tcBorders>
              <w:top w:val="nil"/>
              <w:left w:val="nil"/>
              <w:bottom w:val="nil"/>
              <w:right w:val="nil"/>
            </w:tcBorders>
            <w:shd w:val="clear" w:color="000000" w:fill="D9D9D9"/>
            <w:noWrap/>
            <w:vAlign w:val="bottom"/>
            <w:hideMark/>
          </w:tcPr>
          <w:p w14:paraId="434A85FD" w14:textId="77777777" w:rsidR="00AB6753" w:rsidRDefault="00AB6753" w:rsidP="002D1EA4">
            <w:pPr>
              <w:spacing w:after="0"/>
              <w:rPr>
                <w:rFonts w:cs="Arial"/>
                <w:b/>
                <w:bCs/>
                <w:sz w:val="18"/>
                <w:szCs w:val="18"/>
              </w:rPr>
            </w:pPr>
            <w:r>
              <w:rPr>
                <w:rFonts w:cs="Arial"/>
                <w:b/>
                <w:bCs/>
                <w:sz w:val="18"/>
                <w:szCs w:val="18"/>
              </w:rPr>
              <w:t>Opening assets less liabilities as at 1 July</w:t>
            </w:r>
          </w:p>
        </w:tc>
        <w:tc>
          <w:tcPr>
            <w:tcW w:w="1387" w:type="dxa"/>
            <w:tcBorders>
              <w:top w:val="nil"/>
              <w:left w:val="nil"/>
              <w:bottom w:val="nil"/>
              <w:right w:val="nil"/>
            </w:tcBorders>
            <w:shd w:val="clear" w:color="000000" w:fill="D9D9D9"/>
            <w:noWrap/>
            <w:vAlign w:val="bottom"/>
            <w:hideMark/>
          </w:tcPr>
          <w:p w14:paraId="1D031341" w14:textId="77777777" w:rsidR="00AB6753" w:rsidRDefault="00AB6753" w:rsidP="002D1EA4">
            <w:pPr>
              <w:spacing w:after="0"/>
              <w:jc w:val="right"/>
              <w:rPr>
                <w:rFonts w:cs="Arial"/>
                <w:b/>
                <w:bCs/>
                <w:sz w:val="18"/>
                <w:szCs w:val="18"/>
              </w:rPr>
            </w:pPr>
            <w:r>
              <w:rPr>
                <w:rFonts w:cs="Arial"/>
                <w:b/>
                <w:bCs/>
                <w:sz w:val="18"/>
                <w:szCs w:val="18"/>
              </w:rPr>
              <w:t>863,007</w:t>
            </w:r>
          </w:p>
        </w:tc>
        <w:tc>
          <w:tcPr>
            <w:tcW w:w="269" w:type="dxa"/>
            <w:tcBorders>
              <w:top w:val="nil"/>
              <w:left w:val="nil"/>
              <w:bottom w:val="nil"/>
              <w:right w:val="nil"/>
            </w:tcBorders>
            <w:shd w:val="clear" w:color="000000" w:fill="D9D9D9"/>
            <w:noWrap/>
            <w:vAlign w:val="bottom"/>
            <w:hideMark/>
          </w:tcPr>
          <w:p w14:paraId="1A065E03"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015151D1" w14:textId="77777777" w:rsidR="00AB6753" w:rsidRDefault="00AB6753" w:rsidP="002D1EA4">
            <w:pPr>
              <w:spacing w:after="0"/>
              <w:jc w:val="right"/>
              <w:rPr>
                <w:rFonts w:cs="Arial"/>
                <w:sz w:val="18"/>
                <w:szCs w:val="18"/>
              </w:rPr>
            </w:pPr>
            <w:r>
              <w:rPr>
                <w:rFonts w:cs="Arial"/>
                <w:sz w:val="18"/>
                <w:szCs w:val="18"/>
              </w:rPr>
              <w:t>(162,306)</w:t>
            </w:r>
          </w:p>
        </w:tc>
      </w:tr>
      <w:tr w:rsidR="00AB6753" w14:paraId="11F6307E" w14:textId="77777777" w:rsidTr="002D1EA4">
        <w:trPr>
          <w:trHeight w:val="255"/>
        </w:trPr>
        <w:tc>
          <w:tcPr>
            <w:tcW w:w="6328" w:type="dxa"/>
            <w:tcBorders>
              <w:top w:val="nil"/>
              <w:left w:val="nil"/>
              <w:bottom w:val="nil"/>
              <w:right w:val="nil"/>
            </w:tcBorders>
            <w:shd w:val="clear" w:color="000000" w:fill="D9D9D9"/>
            <w:noWrap/>
            <w:vAlign w:val="bottom"/>
            <w:hideMark/>
          </w:tcPr>
          <w:p w14:paraId="00A0AC13" w14:textId="77777777" w:rsidR="00AB6753" w:rsidRDefault="00AB6753" w:rsidP="002D1EA4">
            <w:pPr>
              <w:spacing w:after="0"/>
              <w:rPr>
                <w:rFonts w:cs="Arial"/>
                <w:sz w:val="18"/>
                <w:szCs w:val="18"/>
              </w:rPr>
            </w:pPr>
            <w:r>
              <w:rPr>
                <w:rFonts w:cs="Arial"/>
                <w:sz w:val="18"/>
                <w:szCs w:val="18"/>
              </w:rPr>
              <w:t>Adjustment for initial application of AASB 9</w:t>
            </w:r>
          </w:p>
        </w:tc>
        <w:tc>
          <w:tcPr>
            <w:tcW w:w="1387" w:type="dxa"/>
            <w:tcBorders>
              <w:top w:val="nil"/>
              <w:left w:val="nil"/>
              <w:bottom w:val="nil"/>
              <w:right w:val="nil"/>
            </w:tcBorders>
            <w:shd w:val="clear" w:color="000000" w:fill="D9D9D9"/>
            <w:noWrap/>
            <w:vAlign w:val="bottom"/>
            <w:hideMark/>
          </w:tcPr>
          <w:p w14:paraId="2EF5FC21" w14:textId="77777777" w:rsidR="00AB6753" w:rsidRDefault="00AB6753" w:rsidP="002D1EA4">
            <w:pPr>
              <w:spacing w:after="0"/>
              <w:jc w:val="right"/>
              <w:rPr>
                <w:rFonts w:cs="Arial"/>
                <w:b/>
                <w:bCs/>
                <w:sz w:val="18"/>
                <w:szCs w:val="18"/>
              </w:rPr>
            </w:pPr>
            <w:r>
              <w:rPr>
                <w:rFonts w:cs="Arial"/>
                <w:b/>
                <w:bCs/>
                <w:sz w:val="18"/>
                <w:szCs w:val="18"/>
              </w:rPr>
              <w:t xml:space="preserve"> -</w:t>
            </w:r>
          </w:p>
        </w:tc>
        <w:tc>
          <w:tcPr>
            <w:tcW w:w="269" w:type="dxa"/>
            <w:tcBorders>
              <w:top w:val="nil"/>
              <w:left w:val="nil"/>
              <w:bottom w:val="nil"/>
              <w:right w:val="nil"/>
            </w:tcBorders>
            <w:shd w:val="clear" w:color="000000" w:fill="D9D9D9"/>
            <w:noWrap/>
            <w:vAlign w:val="bottom"/>
            <w:hideMark/>
          </w:tcPr>
          <w:p w14:paraId="2DD6480F"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1097286A" w14:textId="77777777" w:rsidR="00AB6753" w:rsidRDefault="00AB6753" w:rsidP="002D1EA4">
            <w:pPr>
              <w:spacing w:after="0"/>
              <w:jc w:val="right"/>
              <w:rPr>
                <w:rFonts w:cs="Arial"/>
                <w:sz w:val="18"/>
                <w:szCs w:val="18"/>
              </w:rPr>
            </w:pPr>
            <w:r>
              <w:rPr>
                <w:rFonts w:cs="Arial"/>
                <w:sz w:val="18"/>
                <w:szCs w:val="18"/>
              </w:rPr>
              <w:t>(4,479)</w:t>
            </w:r>
          </w:p>
        </w:tc>
      </w:tr>
      <w:tr w:rsidR="00AB6753" w14:paraId="742D5531" w14:textId="77777777" w:rsidTr="002D1EA4">
        <w:trPr>
          <w:trHeight w:val="255"/>
        </w:trPr>
        <w:tc>
          <w:tcPr>
            <w:tcW w:w="6328" w:type="dxa"/>
            <w:tcBorders>
              <w:top w:val="nil"/>
              <w:left w:val="nil"/>
              <w:bottom w:val="nil"/>
              <w:right w:val="nil"/>
            </w:tcBorders>
            <w:shd w:val="clear" w:color="000000" w:fill="D9D9D9"/>
            <w:noWrap/>
            <w:vAlign w:val="bottom"/>
            <w:hideMark/>
          </w:tcPr>
          <w:p w14:paraId="2CAF1E47" w14:textId="77777777" w:rsidR="00AB6753" w:rsidRDefault="00AB6753" w:rsidP="002D1EA4">
            <w:pPr>
              <w:spacing w:after="0"/>
              <w:rPr>
                <w:rFonts w:cs="Arial"/>
                <w:b/>
                <w:bCs/>
                <w:sz w:val="18"/>
                <w:szCs w:val="18"/>
              </w:rPr>
            </w:pPr>
            <w:r>
              <w:rPr>
                <w:rFonts w:cs="Arial"/>
                <w:b/>
                <w:bCs/>
                <w:sz w:val="18"/>
                <w:szCs w:val="18"/>
              </w:rPr>
              <w:t>Adjusted opening balance</w:t>
            </w:r>
          </w:p>
        </w:tc>
        <w:tc>
          <w:tcPr>
            <w:tcW w:w="1387" w:type="dxa"/>
            <w:tcBorders>
              <w:top w:val="single" w:sz="4" w:space="0" w:color="auto"/>
              <w:left w:val="nil"/>
              <w:bottom w:val="single" w:sz="4" w:space="0" w:color="auto"/>
              <w:right w:val="nil"/>
            </w:tcBorders>
            <w:shd w:val="clear" w:color="000000" w:fill="D9D9D9"/>
            <w:noWrap/>
            <w:vAlign w:val="bottom"/>
            <w:hideMark/>
          </w:tcPr>
          <w:p w14:paraId="55294EBA" w14:textId="77777777" w:rsidR="00AB6753" w:rsidRDefault="00AB6753" w:rsidP="002D1EA4">
            <w:pPr>
              <w:spacing w:after="0"/>
              <w:jc w:val="right"/>
              <w:rPr>
                <w:rFonts w:cs="Arial"/>
                <w:b/>
                <w:bCs/>
                <w:sz w:val="18"/>
                <w:szCs w:val="18"/>
              </w:rPr>
            </w:pPr>
            <w:r>
              <w:rPr>
                <w:rFonts w:cs="Arial"/>
                <w:b/>
                <w:bCs/>
                <w:sz w:val="18"/>
                <w:szCs w:val="18"/>
              </w:rPr>
              <w:t>863,007</w:t>
            </w:r>
          </w:p>
        </w:tc>
        <w:tc>
          <w:tcPr>
            <w:tcW w:w="269" w:type="dxa"/>
            <w:tcBorders>
              <w:top w:val="single" w:sz="4" w:space="0" w:color="D9D9D9"/>
              <w:left w:val="nil"/>
              <w:bottom w:val="single" w:sz="4" w:space="0" w:color="D9D9D9"/>
              <w:right w:val="nil"/>
            </w:tcBorders>
            <w:shd w:val="clear" w:color="000000" w:fill="D9D9D9"/>
            <w:noWrap/>
            <w:vAlign w:val="bottom"/>
            <w:hideMark/>
          </w:tcPr>
          <w:p w14:paraId="2CBE139B"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single" w:sz="4" w:space="0" w:color="auto"/>
              <w:left w:val="nil"/>
              <w:bottom w:val="single" w:sz="4" w:space="0" w:color="auto"/>
              <w:right w:val="nil"/>
            </w:tcBorders>
            <w:shd w:val="clear" w:color="000000" w:fill="D9D9D9"/>
            <w:noWrap/>
            <w:vAlign w:val="bottom"/>
            <w:hideMark/>
          </w:tcPr>
          <w:p w14:paraId="1302F994" w14:textId="77777777" w:rsidR="00AB6753" w:rsidRDefault="00AB6753" w:rsidP="002D1EA4">
            <w:pPr>
              <w:spacing w:after="0"/>
              <w:jc w:val="right"/>
              <w:rPr>
                <w:rFonts w:cs="Arial"/>
                <w:sz w:val="18"/>
                <w:szCs w:val="18"/>
              </w:rPr>
            </w:pPr>
            <w:r>
              <w:rPr>
                <w:rFonts w:cs="Arial"/>
                <w:sz w:val="18"/>
                <w:szCs w:val="18"/>
              </w:rPr>
              <w:t>(166,785)</w:t>
            </w:r>
          </w:p>
        </w:tc>
      </w:tr>
      <w:tr w:rsidR="00AB6753" w14:paraId="1D36ABB7" w14:textId="77777777" w:rsidTr="002D1EA4">
        <w:trPr>
          <w:trHeight w:val="255"/>
        </w:trPr>
        <w:tc>
          <w:tcPr>
            <w:tcW w:w="6328" w:type="dxa"/>
            <w:tcBorders>
              <w:top w:val="nil"/>
              <w:left w:val="nil"/>
              <w:bottom w:val="nil"/>
              <w:right w:val="nil"/>
            </w:tcBorders>
            <w:shd w:val="clear" w:color="000000" w:fill="D9D9D9"/>
            <w:noWrap/>
            <w:vAlign w:val="bottom"/>
            <w:hideMark/>
          </w:tcPr>
          <w:p w14:paraId="0A2A1C02" w14:textId="77777777" w:rsidR="00AB6753" w:rsidRDefault="00AB6753" w:rsidP="002D1EA4">
            <w:pPr>
              <w:spacing w:after="0"/>
              <w:rPr>
                <w:rFonts w:cs="Arial"/>
                <w:sz w:val="18"/>
                <w:szCs w:val="18"/>
              </w:rPr>
            </w:pPr>
            <w:r>
              <w:rPr>
                <w:rFonts w:cs="Arial"/>
                <w:sz w:val="18"/>
                <w:szCs w:val="18"/>
              </w:rPr>
              <w:t> </w:t>
            </w:r>
          </w:p>
        </w:tc>
        <w:tc>
          <w:tcPr>
            <w:tcW w:w="1387" w:type="dxa"/>
            <w:tcBorders>
              <w:top w:val="nil"/>
              <w:left w:val="nil"/>
              <w:bottom w:val="nil"/>
              <w:right w:val="nil"/>
            </w:tcBorders>
            <w:shd w:val="clear" w:color="000000" w:fill="D9D9D9"/>
            <w:noWrap/>
            <w:vAlign w:val="bottom"/>
            <w:hideMark/>
          </w:tcPr>
          <w:p w14:paraId="0C813F16" w14:textId="77777777" w:rsidR="00AB6753" w:rsidRDefault="00AB6753" w:rsidP="002D1EA4">
            <w:pPr>
              <w:spacing w:after="0"/>
              <w:rPr>
                <w:rFonts w:cs="Arial"/>
                <w:sz w:val="16"/>
                <w:szCs w:val="16"/>
              </w:rPr>
            </w:pPr>
            <w:r>
              <w:rPr>
                <w:rFonts w:cs="Arial"/>
                <w:sz w:val="16"/>
                <w:szCs w:val="16"/>
              </w:rPr>
              <w:t> </w:t>
            </w:r>
          </w:p>
        </w:tc>
        <w:tc>
          <w:tcPr>
            <w:tcW w:w="269" w:type="dxa"/>
            <w:tcBorders>
              <w:top w:val="nil"/>
              <w:left w:val="nil"/>
              <w:bottom w:val="nil"/>
              <w:right w:val="nil"/>
            </w:tcBorders>
            <w:shd w:val="clear" w:color="000000" w:fill="D9D9D9"/>
            <w:noWrap/>
            <w:vAlign w:val="bottom"/>
            <w:hideMark/>
          </w:tcPr>
          <w:p w14:paraId="555DF7F9"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10FEE227" w14:textId="77777777" w:rsidR="00AB6753" w:rsidRDefault="00AB6753" w:rsidP="002D1EA4">
            <w:pPr>
              <w:spacing w:after="0"/>
              <w:rPr>
                <w:rFonts w:cs="Arial"/>
                <w:sz w:val="16"/>
                <w:szCs w:val="16"/>
              </w:rPr>
            </w:pPr>
            <w:r>
              <w:rPr>
                <w:rFonts w:cs="Arial"/>
                <w:sz w:val="16"/>
                <w:szCs w:val="16"/>
              </w:rPr>
              <w:t> </w:t>
            </w:r>
          </w:p>
        </w:tc>
      </w:tr>
      <w:tr w:rsidR="00AB6753" w14:paraId="6E19A62E" w14:textId="77777777" w:rsidTr="002D1EA4">
        <w:trPr>
          <w:trHeight w:val="255"/>
        </w:trPr>
        <w:tc>
          <w:tcPr>
            <w:tcW w:w="6328" w:type="dxa"/>
            <w:tcBorders>
              <w:top w:val="nil"/>
              <w:left w:val="nil"/>
              <w:bottom w:val="nil"/>
              <w:right w:val="nil"/>
            </w:tcBorders>
            <w:shd w:val="clear" w:color="000000" w:fill="D9D9D9"/>
            <w:noWrap/>
            <w:vAlign w:val="bottom"/>
            <w:hideMark/>
          </w:tcPr>
          <w:p w14:paraId="55665223" w14:textId="77777777" w:rsidR="00AB6753" w:rsidRDefault="00AB6753" w:rsidP="002D1EA4">
            <w:pPr>
              <w:spacing w:after="0"/>
              <w:rPr>
                <w:rFonts w:cs="Arial"/>
                <w:b/>
                <w:bCs/>
                <w:sz w:val="18"/>
                <w:szCs w:val="18"/>
              </w:rPr>
            </w:pPr>
            <w:r>
              <w:rPr>
                <w:rFonts w:cs="Arial"/>
                <w:b/>
                <w:bCs/>
                <w:sz w:val="18"/>
                <w:szCs w:val="18"/>
              </w:rPr>
              <w:t>Net cost of services</w:t>
            </w:r>
          </w:p>
        </w:tc>
        <w:tc>
          <w:tcPr>
            <w:tcW w:w="1387" w:type="dxa"/>
            <w:tcBorders>
              <w:top w:val="nil"/>
              <w:left w:val="nil"/>
              <w:bottom w:val="nil"/>
              <w:right w:val="nil"/>
            </w:tcBorders>
            <w:shd w:val="clear" w:color="000000" w:fill="D9D9D9"/>
            <w:noWrap/>
            <w:vAlign w:val="bottom"/>
            <w:hideMark/>
          </w:tcPr>
          <w:p w14:paraId="5169ED91" w14:textId="77777777" w:rsidR="00AB6753" w:rsidRDefault="00AB6753" w:rsidP="002D1EA4">
            <w:pPr>
              <w:spacing w:after="0"/>
              <w:rPr>
                <w:rFonts w:cs="Arial"/>
                <w:sz w:val="16"/>
                <w:szCs w:val="16"/>
              </w:rPr>
            </w:pPr>
            <w:r>
              <w:rPr>
                <w:rFonts w:cs="Arial"/>
                <w:sz w:val="16"/>
                <w:szCs w:val="16"/>
              </w:rPr>
              <w:t> </w:t>
            </w:r>
          </w:p>
        </w:tc>
        <w:tc>
          <w:tcPr>
            <w:tcW w:w="269" w:type="dxa"/>
            <w:tcBorders>
              <w:top w:val="nil"/>
              <w:left w:val="nil"/>
              <w:bottom w:val="nil"/>
              <w:right w:val="nil"/>
            </w:tcBorders>
            <w:shd w:val="clear" w:color="000000" w:fill="D9D9D9"/>
            <w:noWrap/>
            <w:vAlign w:val="bottom"/>
            <w:hideMark/>
          </w:tcPr>
          <w:p w14:paraId="67CBC03F"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0E9B124C" w14:textId="77777777" w:rsidR="00AB6753" w:rsidRDefault="00AB6753" w:rsidP="002D1EA4">
            <w:pPr>
              <w:spacing w:after="0"/>
              <w:rPr>
                <w:rFonts w:cs="Arial"/>
                <w:sz w:val="16"/>
                <w:szCs w:val="16"/>
              </w:rPr>
            </w:pPr>
            <w:r>
              <w:rPr>
                <w:rFonts w:cs="Arial"/>
                <w:sz w:val="16"/>
                <w:szCs w:val="16"/>
              </w:rPr>
              <w:t> </w:t>
            </w:r>
          </w:p>
        </w:tc>
      </w:tr>
      <w:tr w:rsidR="00AB6753" w14:paraId="7218A46A" w14:textId="77777777" w:rsidTr="002D1EA4">
        <w:trPr>
          <w:trHeight w:val="255"/>
        </w:trPr>
        <w:tc>
          <w:tcPr>
            <w:tcW w:w="6328" w:type="dxa"/>
            <w:tcBorders>
              <w:top w:val="nil"/>
              <w:left w:val="nil"/>
              <w:bottom w:val="single" w:sz="4" w:space="0" w:color="D9D9D9"/>
              <w:right w:val="nil"/>
            </w:tcBorders>
            <w:shd w:val="clear" w:color="000000" w:fill="D9D9D9"/>
            <w:vAlign w:val="bottom"/>
            <w:hideMark/>
          </w:tcPr>
          <w:p w14:paraId="690911DE" w14:textId="77777777" w:rsidR="00AB6753" w:rsidRDefault="00AB6753" w:rsidP="002D1EA4">
            <w:pPr>
              <w:spacing w:after="0"/>
              <w:rPr>
                <w:rFonts w:cs="Arial"/>
                <w:sz w:val="18"/>
                <w:szCs w:val="18"/>
              </w:rPr>
            </w:pPr>
            <w:r>
              <w:rPr>
                <w:rFonts w:cs="Arial"/>
                <w:sz w:val="18"/>
                <w:szCs w:val="18"/>
              </w:rPr>
              <w:t>Income</w:t>
            </w:r>
          </w:p>
        </w:tc>
        <w:tc>
          <w:tcPr>
            <w:tcW w:w="1387" w:type="dxa"/>
            <w:tcBorders>
              <w:top w:val="nil"/>
              <w:left w:val="nil"/>
              <w:bottom w:val="nil"/>
              <w:right w:val="nil"/>
            </w:tcBorders>
            <w:shd w:val="clear" w:color="000000" w:fill="D9D9D9"/>
            <w:noWrap/>
            <w:vAlign w:val="bottom"/>
            <w:hideMark/>
          </w:tcPr>
          <w:p w14:paraId="1BFF65DD" w14:textId="77777777" w:rsidR="00AB6753" w:rsidRDefault="00AB6753" w:rsidP="002D1EA4">
            <w:pPr>
              <w:spacing w:after="0"/>
              <w:jc w:val="right"/>
              <w:rPr>
                <w:rFonts w:cs="Arial"/>
                <w:b/>
                <w:bCs/>
                <w:sz w:val="18"/>
                <w:szCs w:val="18"/>
              </w:rPr>
            </w:pPr>
            <w:r>
              <w:rPr>
                <w:rFonts w:cs="Arial"/>
                <w:b/>
                <w:bCs/>
                <w:sz w:val="18"/>
                <w:szCs w:val="18"/>
              </w:rPr>
              <w:t>576,526</w:t>
            </w:r>
          </w:p>
        </w:tc>
        <w:tc>
          <w:tcPr>
            <w:tcW w:w="269" w:type="dxa"/>
            <w:tcBorders>
              <w:top w:val="nil"/>
              <w:left w:val="nil"/>
              <w:bottom w:val="nil"/>
              <w:right w:val="nil"/>
            </w:tcBorders>
            <w:shd w:val="clear" w:color="000000" w:fill="D9D9D9"/>
            <w:noWrap/>
            <w:vAlign w:val="bottom"/>
            <w:hideMark/>
          </w:tcPr>
          <w:p w14:paraId="2FF39E90"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3016B488" w14:textId="77777777" w:rsidR="00AB6753" w:rsidRDefault="00AB6753" w:rsidP="002D1EA4">
            <w:pPr>
              <w:spacing w:after="0"/>
              <w:jc w:val="right"/>
              <w:rPr>
                <w:rFonts w:cs="Arial"/>
                <w:sz w:val="18"/>
                <w:szCs w:val="18"/>
              </w:rPr>
            </w:pPr>
            <w:r>
              <w:rPr>
                <w:rFonts w:cs="Arial"/>
                <w:sz w:val="18"/>
                <w:szCs w:val="18"/>
              </w:rPr>
              <w:t>514,862</w:t>
            </w:r>
          </w:p>
        </w:tc>
      </w:tr>
      <w:tr w:rsidR="00AB6753" w14:paraId="55C7FF13" w14:textId="77777777" w:rsidTr="002D1EA4">
        <w:trPr>
          <w:trHeight w:val="255"/>
        </w:trPr>
        <w:tc>
          <w:tcPr>
            <w:tcW w:w="6328" w:type="dxa"/>
            <w:tcBorders>
              <w:top w:val="nil"/>
              <w:left w:val="nil"/>
              <w:bottom w:val="single" w:sz="4" w:space="0" w:color="D9D9D9"/>
              <w:right w:val="nil"/>
            </w:tcBorders>
            <w:shd w:val="clear" w:color="000000" w:fill="D9D9D9"/>
            <w:vAlign w:val="bottom"/>
            <w:hideMark/>
          </w:tcPr>
          <w:p w14:paraId="36685CA3" w14:textId="77777777" w:rsidR="00AB6753" w:rsidRDefault="00AB6753" w:rsidP="002D1EA4">
            <w:pPr>
              <w:spacing w:after="0"/>
              <w:rPr>
                <w:rFonts w:cs="Arial"/>
                <w:sz w:val="18"/>
                <w:szCs w:val="18"/>
              </w:rPr>
            </w:pPr>
            <w:r>
              <w:rPr>
                <w:rFonts w:cs="Arial"/>
                <w:sz w:val="18"/>
                <w:szCs w:val="18"/>
              </w:rPr>
              <w:t>Expenses</w:t>
            </w:r>
          </w:p>
        </w:tc>
        <w:tc>
          <w:tcPr>
            <w:tcW w:w="1387" w:type="dxa"/>
            <w:tcBorders>
              <w:top w:val="nil"/>
              <w:left w:val="nil"/>
              <w:bottom w:val="nil"/>
              <w:right w:val="nil"/>
            </w:tcBorders>
            <w:shd w:val="clear" w:color="000000" w:fill="D9D9D9"/>
            <w:noWrap/>
            <w:vAlign w:val="bottom"/>
            <w:hideMark/>
          </w:tcPr>
          <w:p w14:paraId="5CB6A2DE" w14:textId="77777777" w:rsidR="00AB6753" w:rsidRDefault="00AB6753" w:rsidP="002D1EA4">
            <w:pPr>
              <w:spacing w:after="0"/>
              <w:rPr>
                <w:rFonts w:cs="Arial"/>
                <w:b/>
                <w:bCs/>
                <w:sz w:val="18"/>
                <w:szCs w:val="18"/>
              </w:rPr>
            </w:pPr>
            <w:r>
              <w:rPr>
                <w:rFonts w:cs="Arial"/>
                <w:b/>
                <w:bCs/>
                <w:sz w:val="18"/>
                <w:szCs w:val="18"/>
              </w:rPr>
              <w:t> </w:t>
            </w:r>
          </w:p>
        </w:tc>
        <w:tc>
          <w:tcPr>
            <w:tcW w:w="269" w:type="dxa"/>
            <w:tcBorders>
              <w:top w:val="nil"/>
              <w:left w:val="nil"/>
              <w:bottom w:val="nil"/>
              <w:right w:val="nil"/>
            </w:tcBorders>
            <w:shd w:val="clear" w:color="000000" w:fill="D9D9D9"/>
            <w:noWrap/>
            <w:vAlign w:val="bottom"/>
            <w:hideMark/>
          </w:tcPr>
          <w:p w14:paraId="65930DB1"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5581207B" w14:textId="77777777" w:rsidR="00AB6753" w:rsidRDefault="00AB6753" w:rsidP="002D1EA4">
            <w:pPr>
              <w:spacing w:after="0"/>
              <w:rPr>
                <w:rFonts w:cs="Arial"/>
                <w:sz w:val="18"/>
                <w:szCs w:val="18"/>
              </w:rPr>
            </w:pPr>
            <w:r>
              <w:rPr>
                <w:rFonts w:cs="Arial"/>
                <w:sz w:val="18"/>
                <w:szCs w:val="18"/>
              </w:rPr>
              <w:t> </w:t>
            </w:r>
          </w:p>
        </w:tc>
      </w:tr>
      <w:tr w:rsidR="00AB6753" w14:paraId="240E1FD5" w14:textId="77777777" w:rsidTr="002D1EA4">
        <w:trPr>
          <w:trHeight w:val="255"/>
        </w:trPr>
        <w:tc>
          <w:tcPr>
            <w:tcW w:w="6328" w:type="dxa"/>
            <w:tcBorders>
              <w:top w:val="nil"/>
              <w:left w:val="nil"/>
              <w:bottom w:val="single" w:sz="4" w:space="0" w:color="D9D9D9"/>
              <w:right w:val="nil"/>
            </w:tcBorders>
            <w:shd w:val="clear" w:color="000000" w:fill="D9D9D9"/>
            <w:noWrap/>
            <w:vAlign w:val="bottom"/>
            <w:hideMark/>
          </w:tcPr>
          <w:p w14:paraId="7491676C" w14:textId="77777777" w:rsidR="00AB6753" w:rsidRDefault="00AB6753" w:rsidP="002D1EA4">
            <w:pPr>
              <w:spacing w:after="0"/>
              <w:ind w:firstLineChars="100" w:firstLine="180"/>
              <w:rPr>
                <w:rFonts w:cs="Arial"/>
                <w:sz w:val="18"/>
                <w:szCs w:val="18"/>
              </w:rPr>
            </w:pPr>
            <w:r>
              <w:rPr>
                <w:rFonts w:cs="Arial"/>
                <w:sz w:val="18"/>
                <w:szCs w:val="18"/>
              </w:rPr>
              <w:t>Payments to entities other than corporate Commonwealth entities</w:t>
            </w:r>
          </w:p>
        </w:tc>
        <w:tc>
          <w:tcPr>
            <w:tcW w:w="1387" w:type="dxa"/>
            <w:tcBorders>
              <w:top w:val="nil"/>
              <w:left w:val="nil"/>
              <w:bottom w:val="nil"/>
              <w:right w:val="nil"/>
            </w:tcBorders>
            <w:shd w:val="clear" w:color="000000" w:fill="D9D9D9"/>
            <w:noWrap/>
            <w:vAlign w:val="bottom"/>
            <w:hideMark/>
          </w:tcPr>
          <w:p w14:paraId="09398D2E" w14:textId="77777777" w:rsidR="00AB6753" w:rsidRDefault="00AB6753" w:rsidP="002D1EA4">
            <w:pPr>
              <w:spacing w:after="0"/>
              <w:jc w:val="right"/>
              <w:rPr>
                <w:rFonts w:cs="Arial"/>
                <w:b/>
                <w:bCs/>
                <w:sz w:val="18"/>
                <w:szCs w:val="18"/>
              </w:rPr>
            </w:pPr>
            <w:r>
              <w:rPr>
                <w:rFonts w:cs="Arial"/>
                <w:b/>
                <w:bCs/>
                <w:sz w:val="18"/>
                <w:szCs w:val="18"/>
              </w:rPr>
              <w:t>(132,666,862)</w:t>
            </w:r>
          </w:p>
        </w:tc>
        <w:tc>
          <w:tcPr>
            <w:tcW w:w="269" w:type="dxa"/>
            <w:tcBorders>
              <w:top w:val="nil"/>
              <w:left w:val="nil"/>
              <w:bottom w:val="nil"/>
              <w:right w:val="nil"/>
            </w:tcBorders>
            <w:shd w:val="clear" w:color="000000" w:fill="D9D9D9"/>
            <w:noWrap/>
            <w:vAlign w:val="bottom"/>
            <w:hideMark/>
          </w:tcPr>
          <w:p w14:paraId="7FE9C365"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45FA07E8" w14:textId="77777777" w:rsidR="00AB6753" w:rsidRDefault="00AB6753" w:rsidP="002D1EA4">
            <w:pPr>
              <w:spacing w:after="0"/>
              <w:jc w:val="right"/>
              <w:rPr>
                <w:rFonts w:cs="Arial"/>
                <w:sz w:val="18"/>
                <w:szCs w:val="18"/>
              </w:rPr>
            </w:pPr>
            <w:r>
              <w:rPr>
                <w:rFonts w:cs="Arial"/>
                <w:sz w:val="18"/>
                <w:szCs w:val="18"/>
              </w:rPr>
              <w:t>(113,834,137)</w:t>
            </w:r>
          </w:p>
        </w:tc>
      </w:tr>
      <w:tr w:rsidR="00AB6753" w14:paraId="6534624E" w14:textId="77777777" w:rsidTr="002D1EA4">
        <w:trPr>
          <w:trHeight w:val="255"/>
        </w:trPr>
        <w:tc>
          <w:tcPr>
            <w:tcW w:w="6328" w:type="dxa"/>
            <w:tcBorders>
              <w:top w:val="nil"/>
              <w:left w:val="nil"/>
              <w:bottom w:val="single" w:sz="4" w:space="0" w:color="D9D9D9"/>
              <w:right w:val="nil"/>
            </w:tcBorders>
            <w:shd w:val="clear" w:color="000000" w:fill="D9D9D9"/>
            <w:noWrap/>
            <w:vAlign w:val="bottom"/>
            <w:hideMark/>
          </w:tcPr>
          <w:p w14:paraId="4CE7EBF8" w14:textId="77777777" w:rsidR="00AB6753" w:rsidRDefault="00AB6753" w:rsidP="002D1EA4">
            <w:pPr>
              <w:spacing w:after="0"/>
              <w:ind w:firstLineChars="100" w:firstLine="180"/>
              <w:rPr>
                <w:rFonts w:cs="Arial"/>
                <w:sz w:val="18"/>
                <w:szCs w:val="18"/>
              </w:rPr>
            </w:pPr>
            <w:r>
              <w:rPr>
                <w:rFonts w:cs="Arial"/>
                <w:sz w:val="18"/>
                <w:szCs w:val="18"/>
              </w:rPr>
              <w:t>Payments to corporate Commonwealth entities</w:t>
            </w:r>
          </w:p>
        </w:tc>
        <w:tc>
          <w:tcPr>
            <w:tcW w:w="1387" w:type="dxa"/>
            <w:tcBorders>
              <w:top w:val="nil"/>
              <w:left w:val="nil"/>
              <w:bottom w:val="nil"/>
              <w:right w:val="nil"/>
            </w:tcBorders>
            <w:shd w:val="clear" w:color="000000" w:fill="D9D9D9"/>
            <w:noWrap/>
            <w:vAlign w:val="bottom"/>
            <w:hideMark/>
          </w:tcPr>
          <w:p w14:paraId="78546EC5" w14:textId="77777777" w:rsidR="00AB6753" w:rsidRDefault="00AB6753" w:rsidP="002D1EA4">
            <w:pPr>
              <w:spacing w:after="0"/>
              <w:jc w:val="right"/>
              <w:rPr>
                <w:rFonts w:cs="Arial"/>
                <w:b/>
                <w:bCs/>
                <w:sz w:val="18"/>
                <w:szCs w:val="18"/>
              </w:rPr>
            </w:pPr>
            <w:r>
              <w:rPr>
                <w:rFonts w:cs="Arial"/>
                <w:b/>
                <w:bCs/>
                <w:sz w:val="18"/>
                <w:szCs w:val="18"/>
              </w:rPr>
              <w:t>(8,302,651)</w:t>
            </w:r>
          </w:p>
        </w:tc>
        <w:tc>
          <w:tcPr>
            <w:tcW w:w="269" w:type="dxa"/>
            <w:tcBorders>
              <w:top w:val="nil"/>
              <w:left w:val="nil"/>
              <w:bottom w:val="nil"/>
              <w:right w:val="nil"/>
            </w:tcBorders>
            <w:shd w:val="clear" w:color="000000" w:fill="D9D9D9"/>
            <w:noWrap/>
            <w:vAlign w:val="bottom"/>
            <w:hideMark/>
          </w:tcPr>
          <w:p w14:paraId="5A2A6810"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27E70841" w14:textId="77777777" w:rsidR="00AB6753" w:rsidRDefault="00AB6753" w:rsidP="002D1EA4">
            <w:pPr>
              <w:spacing w:after="0"/>
              <w:jc w:val="right"/>
              <w:rPr>
                <w:rFonts w:cs="Arial"/>
                <w:sz w:val="18"/>
                <w:szCs w:val="18"/>
              </w:rPr>
            </w:pPr>
            <w:r>
              <w:rPr>
                <w:rFonts w:cs="Arial"/>
                <w:sz w:val="18"/>
                <w:szCs w:val="18"/>
              </w:rPr>
              <w:t>(5,304,982)</w:t>
            </w:r>
          </w:p>
        </w:tc>
      </w:tr>
      <w:tr w:rsidR="00AB6753" w14:paraId="2E0378CB" w14:textId="77777777" w:rsidTr="002D1EA4">
        <w:trPr>
          <w:trHeight w:val="255"/>
        </w:trPr>
        <w:tc>
          <w:tcPr>
            <w:tcW w:w="6328" w:type="dxa"/>
            <w:tcBorders>
              <w:top w:val="nil"/>
              <w:left w:val="nil"/>
              <w:bottom w:val="single" w:sz="4" w:space="0" w:color="D9D9D9"/>
              <w:right w:val="nil"/>
            </w:tcBorders>
            <w:shd w:val="clear" w:color="000000" w:fill="D9D9D9"/>
            <w:vAlign w:val="bottom"/>
            <w:hideMark/>
          </w:tcPr>
          <w:p w14:paraId="25AC291F" w14:textId="77777777" w:rsidR="00AB6753" w:rsidRDefault="00AB6753" w:rsidP="002D1EA4">
            <w:pPr>
              <w:spacing w:after="0"/>
              <w:rPr>
                <w:rFonts w:cs="Arial"/>
                <w:sz w:val="18"/>
                <w:szCs w:val="18"/>
              </w:rPr>
            </w:pPr>
            <w:r>
              <w:rPr>
                <w:rFonts w:cs="Arial"/>
                <w:sz w:val="18"/>
                <w:szCs w:val="18"/>
              </w:rPr>
              <w:t> </w:t>
            </w:r>
          </w:p>
        </w:tc>
        <w:tc>
          <w:tcPr>
            <w:tcW w:w="1387" w:type="dxa"/>
            <w:tcBorders>
              <w:top w:val="nil"/>
              <w:left w:val="nil"/>
              <w:bottom w:val="nil"/>
              <w:right w:val="nil"/>
            </w:tcBorders>
            <w:shd w:val="clear" w:color="000000" w:fill="D9D9D9"/>
            <w:noWrap/>
            <w:vAlign w:val="bottom"/>
            <w:hideMark/>
          </w:tcPr>
          <w:p w14:paraId="58B25B7C" w14:textId="77777777" w:rsidR="00AB6753" w:rsidRDefault="00AB6753" w:rsidP="002D1EA4">
            <w:pPr>
              <w:spacing w:after="0"/>
              <w:rPr>
                <w:rFonts w:cs="Arial"/>
                <w:b/>
                <w:bCs/>
                <w:sz w:val="18"/>
                <w:szCs w:val="18"/>
              </w:rPr>
            </w:pPr>
            <w:r>
              <w:rPr>
                <w:rFonts w:cs="Arial"/>
                <w:b/>
                <w:bCs/>
                <w:sz w:val="18"/>
                <w:szCs w:val="18"/>
              </w:rPr>
              <w:t> </w:t>
            </w:r>
          </w:p>
        </w:tc>
        <w:tc>
          <w:tcPr>
            <w:tcW w:w="269" w:type="dxa"/>
            <w:tcBorders>
              <w:top w:val="nil"/>
              <w:left w:val="nil"/>
              <w:bottom w:val="nil"/>
              <w:right w:val="nil"/>
            </w:tcBorders>
            <w:shd w:val="clear" w:color="000000" w:fill="D9D9D9"/>
            <w:noWrap/>
            <w:vAlign w:val="bottom"/>
            <w:hideMark/>
          </w:tcPr>
          <w:p w14:paraId="4D6C79FD"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5590C5DC" w14:textId="77777777" w:rsidR="00AB6753" w:rsidRDefault="00AB6753" w:rsidP="002D1EA4">
            <w:pPr>
              <w:spacing w:after="0"/>
              <w:rPr>
                <w:rFonts w:cs="Arial"/>
                <w:sz w:val="18"/>
                <w:szCs w:val="18"/>
              </w:rPr>
            </w:pPr>
            <w:r>
              <w:rPr>
                <w:rFonts w:cs="Arial"/>
                <w:sz w:val="18"/>
                <w:szCs w:val="18"/>
              </w:rPr>
              <w:t> </w:t>
            </w:r>
          </w:p>
        </w:tc>
      </w:tr>
      <w:tr w:rsidR="00AB6753" w14:paraId="3C006E07" w14:textId="77777777" w:rsidTr="002D1EA4">
        <w:trPr>
          <w:trHeight w:val="255"/>
        </w:trPr>
        <w:tc>
          <w:tcPr>
            <w:tcW w:w="6328" w:type="dxa"/>
            <w:tcBorders>
              <w:top w:val="nil"/>
              <w:left w:val="nil"/>
              <w:bottom w:val="nil"/>
              <w:right w:val="nil"/>
            </w:tcBorders>
            <w:shd w:val="clear" w:color="000000" w:fill="D9D9D9"/>
            <w:noWrap/>
            <w:vAlign w:val="bottom"/>
            <w:hideMark/>
          </w:tcPr>
          <w:p w14:paraId="563DBE7D" w14:textId="77777777" w:rsidR="00AB6753" w:rsidRDefault="00AB6753" w:rsidP="002D1EA4">
            <w:pPr>
              <w:spacing w:after="0"/>
              <w:rPr>
                <w:rFonts w:cs="Arial"/>
                <w:b/>
                <w:bCs/>
                <w:sz w:val="18"/>
                <w:szCs w:val="18"/>
              </w:rPr>
            </w:pPr>
            <w:r>
              <w:rPr>
                <w:rFonts w:cs="Arial"/>
                <w:b/>
                <w:bCs/>
                <w:sz w:val="18"/>
                <w:szCs w:val="18"/>
              </w:rPr>
              <w:t>Other comprehensive income</w:t>
            </w:r>
          </w:p>
        </w:tc>
        <w:tc>
          <w:tcPr>
            <w:tcW w:w="1387" w:type="dxa"/>
            <w:tcBorders>
              <w:top w:val="nil"/>
              <w:left w:val="nil"/>
              <w:bottom w:val="nil"/>
              <w:right w:val="nil"/>
            </w:tcBorders>
            <w:shd w:val="clear" w:color="000000" w:fill="D9D9D9"/>
            <w:noWrap/>
            <w:vAlign w:val="bottom"/>
            <w:hideMark/>
          </w:tcPr>
          <w:p w14:paraId="19C1AAD6" w14:textId="77777777" w:rsidR="00AB6753" w:rsidRDefault="00AB6753" w:rsidP="002D1EA4">
            <w:pPr>
              <w:spacing w:after="0"/>
              <w:rPr>
                <w:rFonts w:cs="Arial"/>
                <w:b/>
                <w:bCs/>
                <w:sz w:val="18"/>
                <w:szCs w:val="18"/>
              </w:rPr>
            </w:pPr>
            <w:r>
              <w:rPr>
                <w:rFonts w:cs="Arial"/>
                <w:b/>
                <w:bCs/>
                <w:sz w:val="18"/>
                <w:szCs w:val="18"/>
              </w:rPr>
              <w:t> </w:t>
            </w:r>
          </w:p>
        </w:tc>
        <w:tc>
          <w:tcPr>
            <w:tcW w:w="269" w:type="dxa"/>
            <w:tcBorders>
              <w:top w:val="nil"/>
              <w:left w:val="nil"/>
              <w:bottom w:val="nil"/>
              <w:right w:val="nil"/>
            </w:tcBorders>
            <w:shd w:val="clear" w:color="000000" w:fill="D9D9D9"/>
            <w:noWrap/>
            <w:vAlign w:val="bottom"/>
            <w:hideMark/>
          </w:tcPr>
          <w:p w14:paraId="35C39D06"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2C6BBB62" w14:textId="77777777" w:rsidR="00AB6753" w:rsidRDefault="00AB6753" w:rsidP="002D1EA4">
            <w:pPr>
              <w:spacing w:after="0"/>
              <w:rPr>
                <w:rFonts w:cs="Arial"/>
                <w:sz w:val="18"/>
                <w:szCs w:val="18"/>
              </w:rPr>
            </w:pPr>
            <w:r>
              <w:rPr>
                <w:rFonts w:cs="Arial"/>
                <w:sz w:val="18"/>
                <w:szCs w:val="18"/>
              </w:rPr>
              <w:t> </w:t>
            </w:r>
          </w:p>
        </w:tc>
      </w:tr>
      <w:tr w:rsidR="00AB6753" w14:paraId="5D15D146" w14:textId="77777777" w:rsidTr="002D1EA4">
        <w:trPr>
          <w:trHeight w:val="255"/>
        </w:trPr>
        <w:tc>
          <w:tcPr>
            <w:tcW w:w="6328" w:type="dxa"/>
            <w:tcBorders>
              <w:top w:val="nil"/>
              <w:left w:val="nil"/>
              <w:bottom w:val="single" w:sz="4" w:space="0" w:color="D9D9D9"/>
              <w:right w:val="nil"/>
            </w:tcBorders>
            <w:shd w:val="clear" w:color="000000" w:fill="D9D9D9"/>
            <w:vAlign w:val="bottom"/>
            <w:hideMark/>
          </w:tcPr>
          <w:p w14:paraId="7789CAB2" w14:textId="77777777" w:rsidR="00AB6753" w:rsidRDefault="00AB6753" w:rsidP="002D1EA4">
            <w:pPr>
              <w:spacing w:after="0"/>
              <w:rPr>
                <w:rFonts w:cs="Arial"/>
                <w:sz w:val="18"/>
                <w:szCs w:val="18"/>
              </w:rPr>
            </w:pPr>
            <w:r>
              <w:rPr>
                <w:rFonts w:cs="Arial"/>
                <w:sz w:val="18"/>
                <w:szCs w:val="18"/>
              </w:rPr>
              <w:t>Revaluations transferred to reserves</w:t>
            </w:r>
          </w:p>
        </w:tc>
        <w:tc>
          <w:tcPr>
            <w:tcW w:w="1387" w:type="dxa"/>
            <w:tcBorders>
              <w:top w:val="nil"/>
              <w:left w:val="nil"/>
              <w:bottom w:val="nil"/>
              <w:right w:val="nil"/>
            </w:tcBorders>
            <w:shd w:val="clear" w:color="000000" w:fill="D9D9D9"/>
            <w:noWrap/>
            <w:vAlign w:val="bottom"/>
            <w:hideMark/>
          </w:tcPr>
          <w:p w14:paraId="7C320BCA" w14:textId="77777777" w:rsidR="00AB6753" w:rsidRDefault="00AB6753" w:rsidP="002D1EA4">
            <w:pPr>
              <w:spacing w:after="0"/>
              <w:jc w:val="right"/>
              <w:rPr>
                <w:rFonts w:cs="Arial"/>
                <w:b/>
                <w:bCs/>
                <w:sz w:val="18"/>
                <w:szCs w:val="18"/>
              </w:rPr>
            </w:pPr>
            <w:r>
              <w:rPr>
                <w:rFonts w:cs="Arial"/>
                <w:b/>
                <w:bCs/>
                <w:sz w:val="18"/>
                <w:szCs w:val="18"/>
              </w:rPr>
              <w:t>(1,437,928)</w:t>
            </w:r>
          </w:p>
        </w:tc>
        <w:tc>
          <w:tcPr>
            <w:tcW w:w="269" w:type="dxa"/>
            <w:tcBorders>
              <w:top w:val="nil"/>
              <w:left w:val="nil"/>
              <w:bottom w:val="nil"/>
              <w:right w:val="nil"/>
            </w:tcBorders>
            <w:shd w:val="clear" w:color="000000" w:fill="D9D9D9"/>
            <w:noWrap/>
            <w:vAlign w:val="bottom"/>
            <w:hideMark/>
          </w:tcPr>
          <w:p w14:paraId="26FB51C6"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127CE97B" w14:textId="77777777" w:rsidR="00AB6753" w:rsidRDefault="00AB6753" w:rsidP="002D1EA4">
            <w:pPr>
              <w:spacing w:after="0"/>
              <w:jc w:val="right"/>
              <w:rPr>
                <w:rFonts w:cs="Arial"/>
                <w:sz w:val="18"/>
                <w:szCs w:val="18"/>
              </w:rPr>
            </w:pPr>
            <w:r>
              <w:rPr>
                <w:rFonts w:cs="Arial"/>
                <w:sz w:val="18"/>
                <w:szCs w:val="18"/>
              </w:rPr>
              <w:t>700,142</w:t>
            </w:r>
          </w:p>
        </w:tc>
      </w:tr>
      <w:tr w:rsidR="00AB6753" w14:paraId="7D92BA7A" w14:textId="77777777" w:rsidTr="002D1EA4">
        <w:trPr>
          <w:trHeight w:val="255"/>
        </w:trPr>
        <w:tc>
          <w:tcPr>
            <w:tcW w:w="6328" w:type="dxa"/>
            <w:tcBorders>
              <w:top w:val="nil"/>
              <w:left w:val="nil"/>
              <w:bottom w:val="single" w:sz="4" w:space="0" w:color="D9D9D9"/>
              <w:right w:val="nil"/>
            </w:tcBorders>
            <w:shd w:val="clear" w:color="000000" w:fill="D9D9D9"/>
            <w:vAlign w:val="bottom"/>
            <w:hideMark/>
          </w:tcPr>
          <w:p w14:paraId="290A501C" w14:textId="77777777" w:rsidR="00AB6753" w:rsidRDefault="00AB6753" w:rsidP="002D1EA4">
            <w:pPr>
              <w:spacing w:after="0"/>
              <w:rPr>
                <w:rFonts w:cs="Arial"/>
                <w:sz w:val="18"/>
                <w:szCs w:val="18"/>
              </w:rPr>
            </w:pPr>
            <w:r>
              <w:rPr>
                <w:rFonts w:cs="Arial"/>
                <w:sz w:val="18"/>
                <w:szCs w:val="18"/>
              </w:rPr>
              <w:t> </w:t>
            </w:r>
          </w:p>
        </w:tc>
        <w:tc>
          <w:tcPr>
            <w:tcW w:w="1387" w:type="dxa"/>
            <w:tcBorders>
              <w:top w:val="nil"/>
              <w:left w:val="nil"/>
              <w:bottom w:val="nil"/>
              <w:right w:val="nil"/>
            </w:tcBorders>
            <w:shd w:val="clear" w:color="000000" w:fill="D9D9D9"/>
            <w:noWrap/>
            <w:vAlign w:val="bottom"/>
            <w:hideMark/>
          </w:tcPr>
          <w:p w14:paraId="0BB0084F" w14:textId="77777777" w:rsidR="00AB6753" w:rsidRDefault="00AB6753" w:rsidP="002D1EA4">
            <w:pPr>
              <w:spacing w:after="0"/>
              <w:rPr>
                <w:rFonts w:cs="Arial"/>
                <w:sz w:val="16"/>
                <w:szCs w:val="16"/>
              </w:rPr>
            </w:pPr>
            <w:r>
              <w:rPr>
                <w:rFonts w:cs="Arial"/>
                <w:sz w:val="16"/>
                <w:szCs w:val="16"/>
              </w:rPr>
              <w:t> </w:t>
            </w:r>
          </w:p>
        </w:tc>
        <w:tc>
          <w:tcPr>
            <w:tcW w:w="269" w:type="dxa"/>
            <w:tcBorders>
              <w:top w:val="nil"/>
              <w:left w:val="nil"/>
              <w:bottom w:val="nil"/>
              <w:right w:val="nil"/>
            </w:tcBorders>
            <w:shd w:val="clear" w:color="000000" w:fill="D9D9D9"/>
            <w:noWrap/>
            <w:vAlign w:val="bottom"/>
            <w:hideMark/>
          </w:tcPr>
          <w:p w14:paraId="7B3B72C5"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32AEF8FC" w14:textId="77777777" w:rsidR="00AB6753" w:rsidRDefault="00AB6753" w:rsidP="002D1EA4">
            <w:pPr>
              <w:spacing w:after="0"/>
              <w:rPr>
                <w:rFonts w:cs="Arial"/>
                <w:sz w:val="16"/>
                <w:szCs w:val="16"/>
              </w:rPr>
            </w:pPr>
            <w:r>
              <w:rPr>
                <w:rFonts w:cs="Arial"/>
                <w:sz w:val="16"/>
                <w:szCs w:val="16"/>
              </w:rPr>
              <w:t> </w:t>
            </w:r>
          </w:p>
        </w:tc>
      </w:tr>
      <w:tr w:rsidR="00AB6753" w14:paraId="0B26C811" w14:textId="77777777" w:rsidTr="002D1EA4">
        <w:trPr>
          <w:trHeight w:val="255"/>
        </w:trPr>
        <w:tc>
          <w:tcPr>
            <w:tcW w:w="6328" w:type="dxa"/>
            <w:tcBorders>
              <w:top w:val="nil"/>
              <w:left w:val="nil"/>
              <w:bottom w:val="nil"/>
              <w:right w:val="nil"/>
            </w:tcBorders>
            <w:shd w:val="clear" w:color="000000" w:fill="D9D9D9"/>
            <w:noWrap/>
            <w:vAlign w:val="bottom"/>
            <w:hideMark/>
          </w:tcPr>
          <w:p w14:paraId="0108DFD9" w14:textId="77777777" w:rsidR="00AB6753" w:rsidRDefault="00AB6753" w:rsidP="002D1EA4">
            <w:pPr>
              <w:spacing w:after="0"/>
              <w:rPr>
                <w:rFonts w:cs="Arial"/>
                <w:b/>
                <w:bCs/>
                <w:sz w:val="18"/>
                <w:szCs w:val="18"/>
              </w:rPr>
            </w:pPr>
            <w:r>
              <w:rPr>
                <w:rFonts w:cs="Arial"/>
                <w:b/>
                <w:bCs/>
                <w:sz w:val="18"/>
                <w:szCs w:val="18"/>
              </w:rPr>
              <w:t>Transfers (to) / from the Australian Government</w:t>
            </w:r>
          </w:p>
        </w:tc>
        <w:tc>
          <w:tcPr>
            <w:tcW w:w="1387" w:type="dxa"/>
            <w:tcBorders>
              <w:top w:val="nil"/>
              <w:left w:val="nil"/>
              <w:bottom w:val="nil"/>
              <w:right w:val="nil"/>
            </w:tcBorders>
            <w:shd w:val="clear" w:color="000000" w:fill="D9D9D9"/>
            <w:noWrap/>
            <w:vAlign w:val="bottom"/>
            <w:hideMark/>
          </w:tcPr>
          <w:p w14:paraId="4C802F52" w14:textId="77777777" w:rsidR="00AB6753" w:rsidRDefault="00AB6753" w:rsidP="002D1EA4">
            <w:pPr>
              <w:spacing w:after="0"/>
              <w:rPr>
                <w:rFonts w:cs="Arial"/>
                <w:sz w:val="16"/>
                <w:szCs w:val="16"/>
              </w:rPr>
            </w:pPr>
            <w:r>
              <w:rPr>
                <w:rFonts w:cs="Arial"/>
                <w:sz w:val="16"/>
                <w:szCs w:val="16"/>
              </w:rPr>
              <w:t> </w:t>
            </w:r>
          </w:p>
        </w:tc>
        <w:tc>
          <w:tcPr>
            <w:tcW w:w="269" w:type="dxa"/>
            <w:tcBorders>
              <w:top w:val="nil"/>
              <w:left w:val="nil"/>
              <w:bottom w:val="nil"/>
              <w:right w:val="nil"/>
            </w:tcBorders>
            <w:shd w:val="clear" w:color="000000" w:fill="D9D9D9"/>
            <w:noWrap/>
            <w:vAlign w:val="bottom"/>
            <w:hideMark/>
          </w:tcPr>
          <w:p w14:paraId="6CA42C10"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713B4DDB" w14:textId="77777777" w:rsidR="00AB6753" w:rsidRDefault="00AB6753" w:rsidP="002D1EA4">
            <w:pPr>
              <w:spacing w:after="0"/>
              <w:rPr>
                <w:rFonts w:cs="Arial"/>
                <w:sz w:val="16"/>
                <w:szCs w:val="16"/>
              </w:rPr>
            </w:pPr>
            <w:r>
              <w:rPr>
                <w:rFonts w:cs="Arial"/>
                <w:sz w:val="16"/>
                <w:szCs w:val="16"/>
              </w:rPr>
              <w:t> </w:t>
            </w:r>
          </w:p>
        </w:tc>
      </w:tr>
      <w:tr w:rsidR="00AB6753" w14:paraId="58F64E45" w14:textId="77777777" w:rsidTr="002D1EA4">
        <w:trPr>
          <w:trHeight w:val="255"/>
        </w:trPr>
        <w:tc>
          <w:tcPr>
            <w:tcW w:w="6328" w:type="dxa"/>
            <w:tcBorders>
              <w:top w:val="nil"/>
              <w:left w:val="nil"/>
              <w:bottom w:val="single" w:sz="4" w:space="0" w:color="D9D9D9"/>
              <w:right w:val="nil"/>
            </w:tcBorders>
            <w:shd w:val="clear" w:color="000000" w:fill="D9D9D9"/>
            <w:vAlign w:val="bottom"/>
            <w:hideMark/>
          </w:tcPr>
          <w:p w14:paraId="69D5F13D" w14:textId="77777777" w:rsidR="00AB6753" w:rsidRDefault="00AB6753" w:rsidP="002D1EA4">
            <w:pPr>
              <w:spacing w:after="0"/>
              <w:rPr>
                <w:rFonts w:cs="Arial"/>
                <w:sz w:val="18"/>
                <w:szCs w:val="18"/>
              </w:rPr>
            </w:pPr>
            <w:r>
              <w:rPr>
                <w:rFonts w:cs="Arial"/>
                <w:sz w:val="18"/>
                <w:szCs w:val="18"/>
              </w:rPr>
              <w:t>Appropriation transfers from Official Public Account</w:t>
            </w:r>
          </w:p>
        </w:tc>
        <w:tc>
          <w:tcPr>
            <w:tcW w:w="1387" w:type="dxa"/>
            <w:tcBorders>
              <w:top w:val="nil"/>
              <w:left w:val="nil"/>
              <w:bottom w:val="nil"/>
              <w:right w:val="nil"/>
            </w:tcBorders>
            <w:shd w:val="clear" w:color="000000" w:fill="D9D9D9"/>
            <w:noWrap/>
            <w:vAlign w:val="bottom"/>
            <w:hideMark/>
          </w:tcPr>
          <w:p w14:paraId="4F94B2C9" w14:textId="77777777" w:rsidR="00AB6753" w:rsidRDefault="00AB6753" w:rsidP="002D1EA4">
            <w:pPr>
              <w:spacing w:after="0"/>
              <w:rPr>
                <w:rFonts w:cs="Arial"/>
                <w:sz w:val="16"/>
                <w:szCs w:val="16"/>
              </w:rPr>
            </w:pPr>
            <w:r>
              <w:rPr>
                <w:rFonts w:cs="Arial"/>
                <w:sz w:val="16"/>
                <w:szCs w:val="16"/>
              </w:rPr>
              <w:t> </w:t>
            </w:r>
          </w:p>
        </w:tc>
        <w:tc>
          <w:tcPr>
            <w:tcW w:w="269" w:type="dxa"/>
            <w:tcBorders>
              <w:top w:val="nil"/>
              <w:left w:val="nil"/>
              <w:bottom w:val="nil"/>
              <w:right w:val="nil"/>
            </w:tcBorders>
            <w:shd w:val="clear" w:color="000000" w:fill="D9D9D9"/>
            <w:noWrap/>
            <w:vAlign w:val="bottom"/>
            <w:hideMark/>
          </w:tcPr>
          <w:p w14:paraId="169BAC01"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6D2253D0" w14:textId="77777777" w:rsidR="00AB6753" w:rsidRDefault="00AB6753" w:rsidP="002D1EA4">
            <w:pPr>
              <w:spacing w:after="0"/>
              <w:rPr>
                <w:rFonts w:cs="Arial"/>
                <w:sz w:val="16"/>
                <w:szCs w:val="16"/>
              </w:rPr>
            </w:pPr>
            <w:r>
              <w:rPr>
                <w:rFonts w:cs="Arial"/>
                <w:sz w:val="16"/>
                <w:szCs w:val="16"/>
              </w:rPr>
              <w:t> </w:t>
            </w:r>
          </w:p>
        </w:tc>
      </w:tr>
      <w:tr w:rsidR="00AB6753" w14:paraId="0E9C813A" w14:textId="77777777" w:rsidTr="002D1EA4">
        <w:trPr>
          <w:trHeight w:val="255"/>
        </w:trPr>
        <w:tc>
          <w:tcPr>
            <w:tcW w:w="6328" w:type="dxa"/>
            <w:tcBorders>
              <w:top w:val="nil"/>
              <w:left w:val="nil"/>
              <w:bottom w:val="single" w:sz="4" w:space="0" w:color="D9D9D9"/>
              <w:right w:val="nil"/>
            </w:tcBorders>
            <w:shd w:val="clear" w:color="000000" w:fill="D9D9D9"/>
            <w:noWrap/>
            <w:vAlign w:val="bottom"/>
            <w:hideMark/>
          </w:tcPr>
          <w:p w14:paraId="7C2582B5" w14:textId="77777777" w:rsidR="00AB6753" w:rsidRDefault="00AB6753" w:rsidP="002D1EA4">
            <w:pPr>
              <w:spacing w:after="0"/>
              <w:ind w:firstLineChars="100" w:firstLine="180"/>
              <w:rPr>
                <w:rFonts w:cs="Arial"/>
                <w:sz w:val="18"/>
                <w:szCs w:val="18"/>
              </w:rPr>
            </w:pPr>
            <w:r>
              <w:rPr>
                <w:rFonts w:cs="Arial"/>
                <w:sz w:val="18"/>
                <w:szCs w:val="18"/>
              </w:rPr>
              <w:t>Annual appropriations</w:t>
            </w:r>
          </w:p>
        </w:tc>
        <w:tc>
          <w:tcPr>
            <w:tcW w:w="1387" w:type="dxa"/>
            <w:tcBorders>
              <w:top w:val="nil"/>
              <w:left w:val="nil"/>
              <w:bottom w:val="nil"/>
              <w:right w:val="nil"/>
            </w:tcBorders>
            <w:shd w:val="clear" w:color="000000" w:fill="D9D9D9"/>
            <w:noWrap/>
            <w:vAlign w:val="bottom"/>
            <w:hideMark/>
          </w:tcPr>
          <w:p w14:paraId="46144B32" w14:textId="77777777" w:rsidR="00AB6753" w:rsidRDefault="00AB6753" w:rsidP="002D1EA4">
            <w:pPr>
              <w:spacing w:after="0"/>
              <w:rPr>
                <w:rFonts w:cs="Arial"/>
                <w:sz w:val="16"/>
                <w:szCs w:val="16"/>
              </w:rPr>
            </w:pPr>
            <w:r>
              <w:rPr>
                <w:rFonts w:cs="Arial"/>
                <w:sz w:val="16"/>
                <w:szCs w:val="16"/>
              </w:rPr>
              <w:t> </w:t>
            </w:r>
          </w:p>
        </w:tc>
        <w:tc>
          <w:tcPr>
            <w:tcW w:w="269" w:type="dxa"/>
            <w:tcBorders>
              <w:top w:val="nil"/>
              <w:left w:val="nil"/>
              <w:bottom w:val="nil"/>
              <w:right w:val="nil"/>
            </w:tcBorders>
            <w:shd w:val="clear" w:color="000000" w:fill="D9D9D9"/>
            <w:noWrap/>
            <w:vAlign w:val="bottom"/>
            <w:hideMark/>
          </w:tcPr>
          <w:p w14:paraId="1395974E"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6CDA5284" w14:textId="77777777" w:rsidR="00AB6753" w:rsidRDefault="00AB6753" w:rsidP="002D1EA4">
            <w:pPr>
              <w:spacing w:after="0"/>
              <w:rPr>
                <w:rFonts w:cs="Arial"/>
                <w:sz w:val="16"/>
                <w:szCs w:val="16"/>
              </w:rPr>
            </w:pPr>
            <w:r>
              <w:rPr>
                <w:rFonts w:cs="Arial"/>
                <w:sz w:val="16"/>
                <w:szCs w:val="16"/>
              </w:rPr>
              <w:t> </w:t>
            </w:r>
          </w:p>
        </w:tc>
      </w:tr>
      <w:tr w:rsidR="00AB6753" w14:paraId="7B2E6A8C" w14:textId="77777777" w:rsidTr="002D1EA4">
        <w:trPr>
          <w:trHeight w:val="255"/>
        </w:trPr>
        <w:tc>
          <w:tcPr>
            <w:tcW w:w="6328" w:type="dxa"/>
            <w:tcBorders>
              <w:top w:val="nil"/>
              <w:left w:val="nil"/>
              <w:bottom w:val="single" w:sz="4" w:space="0" w:color="D9D9D9"/>
              <w:right w:val="nil"/>
            </w:tcBorders>
            <w:shd w:val="clear" w:color="000000" w:fill="D9D9D9"/>
            <w:noWrap/>
            <w:vAlign w:val="bottom"/>
            <w:hideMark/>
          </w:tcPr>
          <w:p w14:paraId="25163782" w14:textId="1CD78E49" w:rsidR="00AB6753" w:rsidRDefault="00AB6753" w:rsidP="002F776C">
            <w:pPr>
              <w:spacing w:after="0"/>
              <w:ind w:firstLineChars="173" w:firstLine="311"/>
              <w:rPr>
                <w:rFonts w:cs="Arial"/>
                <w:sz w:val="18"/>
                <w:szCs w:val="18"/>
              </w:rPr>
            </w:pPr>
            <w:r>
              <w:rPr>
                <w:rFonts w:cs="Arial"/>
                <w:sz w:val="18"/>
                <w:szCs w:val="18"/>
              </w:rPr>
              <w:t>Payments to entities other than corporate Commonwealth entities</w:t>
            </w:r>
          </w:p>
        </w:tc>
        <w:tc>
          <w:tcPr>
            <w:tcW w:w="1387" w:type="dxa"/>
            <w:tcBorders>
              <w:top w:val="nil"/>
              <w:left w:val="nil"/>
              <w:bottom w:val="nil"/>
              <w:right w:val="nil"/>
            </w:tcBorders>
            <w:shd w:val="clear" w:color="000000" w:fill="D9D9D9"/>
            <w:noWrap/>
            <w:vAlign w:val="bottom"/>
            <w:hideMark/>
          </w:tcPr>
          <w:p w14:paraId="605C3ADC" w14:textId="77777777" w:rsidR="00AB6753" w:rsidRDefault="00AB6753" w:rsidP="002D1EA4">
            <w:pPr>
              <w:spacing w:after="0"/>
              <w:jc w:val="right"/>
              <w:rPr>
                <w:rFonts w:cs="Arial"/>
                <w:b/>
                <w:bCs/>
                <w:sz w:val="18"/>
                <w:szCs w:val="18"/>
              </w:rPr>
            </w:pPr>
            <w:r>
              <w:rPr>
                <w:rFonts w:cs="Arial"/>
                <w:b/>
                <w:bCs/>
                <w:sz w:val="18"/>
                <w:szCs w:val="18"/>
              </w:rPr>
              <w:t>2,794,019</w:t>
            </w:r>
          </w:p>
        </w:tc>
        <w:tc>
          <w:tcPr>
            <w:tcW w:w="269" w:type="dxa"/>
            <w:tcBorders>
              <w:top w:val="nil"/>
              <w:left w:val="nil"/>
              <w:bottom w:val="nil"/>
              <w:right w:val="nil"/>
            </w:tcBorders>
            <w:shd w:val="clear" w:color="000000" w:fill="D9D9D9"/>
            <w:noWrap/>
            <w:vAlign w:val="bottom"/>
            <w:hideMark/>
          </w:tcPr>
          <w:p w14:paraId="4D4AF272"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4F43E82A" w14:textId="77777777" w:rsidR="00AB6753" w:rsidRDefault="00AB6753" w:rsidP="002D1EA4">
            <w:pPr>
              <w:spacing w:after="0"/>
              <w:jc w:val="right"/>
              <w:rPr>
                <w:rFonts w:cs="Arial"/>
                <w:sz w:val="18"/>
                <w:szCs w:val="18"/>
              </w:rPr>
            </w:pPr>
            <w:r>
              <w:rPr>
                <w:rFonts w:cs="Arial"/>
                <w:sz w:val="18"/>
                <w:szCs w:val="18"/>
              </w:rPr>
              <w:t>2,593,676</w:t>
            </w:r>
          </w:p>
        </w:tc>
      </w:tr>
      <w:tr w:rsidR="00AB6753" w14:paraId="61DE6E54" w14:textId="77777777" w:rsidTr="002D1EA4">
        <w:trPr>
          <w:trHeight w:val="255"/>
        </w:trPr>
        <w:tc>
          <w:tcPr>
            <w:tcW w:w="6328" w:type="dxa"/>
            <w:tcBorders>
              <w:top w:val="nil"/>
              <w:left w:val="nil"/>
              <w:bottom w:val="single" w:sz="4" w:space="0" w:color="D9D9D9"/>
              <w:right w:val="nil"/>
            </w:tcBorders>
            <w:shd w:val="clear" w:color="000000" w:fill="D9D9D9"/>
            <w:noWrap/>
            <w:vAlign w:val="bottom"/>
            <w:hideMark/>
          </w:tcPr>
          <w:p w14:paraId="3EBA6E27" w14:textId="170369DB" w:rsidR="00AB6753" w:rsidRDefault="00AB6753" w:rsidP="002F776C">
            <w:pPr>
              <w:spacing w:after="0"/>
              <w:ind w:firstLineChars="173" w:firstLine="311"/>
              <w:rPr>
                <w:rFonts w:cs="Arial"/>
                <w:sz w:val="18"/>
                <w:szCs w:val="18"/>
              </w:rPr>
            </w:pPr>
            <w:r>
              <w:rPr>
                <w:rFonts w:cs="Arial"/>
                <w:sz w:val="18"/>
                <w:szCs w:val="18"/>
              </w:rPr>
              <w:t>Payments to National Disability Insurance Agency</w:t>
            </w:r>
          </w:p>
        </w:tc>
        <w:tc>
          <w:tcPr>
            <w:tcW w:w="1387" w:type="dxa"/>
            <w:tcBorders>
              <w:top w:val="nil"/>
              <w:left w:val="nil"/>
              <w:bottom w:val="nil"/>
              <w:right w:val="nil"/>
            </w:tcBorders>
            <w:shd w:val="clear" w:color="000000" w:fill="D9D9D9"/>
            <w:noWrap/>
            <w:vAlign w:val="bottom"/>
            <w:hideMark/>
          </w:tcPr>
          <w:p w14:paraId="11209A39" w14:textId="77777777" w:rsidR="00AB6753" w:rsidRDefault="00AB6753" w:rsidP="002D1EA4">
            <w:pPr>
              <w:spacing w:after="0"/>
              <w:jc w:val="right"/>
              <w:rPr>
                <w:rFonts w:cs="Arial"/>
                <w:b/>
                <w:bCs/>
                <w:sz w:val="18"/>
                <w:szCs w:val="18"/>
              </w:rPr>
            </w:pPr>
            <w:r>
              <w:rPr>
                <w:rFonts w:cs="Arial"/>
                <w:b/>
                <w:bCs/>
                <w:sz w:val="18"/>
                <w:szCs w:val="18"/>
              </w:rPr>
              <w:t>1,413,257</w:t>
            </w:r>
          </w:p>
        </w:tc>
        <w:tc>
          <w:tcPr>
            <w:tcW w:w="269" w:type="dxa"/>
            <w:tcBorders>
              <w:top w:val="nil"/>
              <w:left w:val="nil"/>
              <w:bottom w:val="nil"/>
              <w:right w:val="nil"/>
            </w:tcBorders>
            <w:shd w:val="clear" w:color="000000" w:fill="D9D9D9"/>
            <w:noWrap/>
            <w:vAlign w:val="bottom"/>
            <w:hideMark/>
          </w:tcPr>
          <w:p w14:paraId="2AC93E32"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0563D491" w14:textId="77777777" w:rsidR="00AB6753" w:rsidRDefault="00AB6753" w:rsidP="002D1EA4">
            <w:pPr>
              <w:spacing w:after="0"/>
              <w:jc w:val="right"/>
              <w:rPr>
                <w:rFonts w:cs="Arial"/>
                <w:sz w:val="18"/>
                <w:szCs w:val="18"/>
              </w:rPr>
            </w:pPr>
            <w:r>
              <w:rPr>
                <w:rFonts w:cs="Arial"/>
                <w:sz w:val="18"/>
                <w:szCs w:val="18"/>
              </w:rPr>
              <w:t>1,477,674</w:t>
            </w:r>
          </w:p>
        </w:tc>
      </w:tr>
      <w:tr w:rsidR="00AB6753" w14:paraId="6542F2E1" w14:textId="77777777" w:rsidTr="002D1EA4">
        <w:trPr>
          <w:trHeight w:val="255"/>
        </w:trPr>
        <w:tc>
          <w:tcPr>
            <w:tcW w:w="6328" w:type="dxa"/>
            <w:tcBorders>
              <w:top w:val="nil"/>
              <w:left w:val="nil"/>
              <w:bottom w:val="single" w:sz="4" w:space="0" w:color="D9D9D9"/>
              <w:right w:val="nil"/>
            </w:tcBorders>
            <w:shd w:val="clear" w:color="000000" w:fill="D9D9D9"/>
            <w:vAlign w:val="bottom"/>
            <w:hideMark/>
          </w:tcPr>
          <w:p w14:paraId="2D3B7A70" w14:textId="02D0BDBC" w:rsidR="00AB6753" w:rsidRDefault="00AB6753" w:rsidP="002F776C">
            <w:pPr>
              <w:spacing w:after="0"/>
              <w:ind w:firstLineChars="173" w:firstLine="311"/>
              <w:rPr>
                <w:rFonts w:cs="Arial"/>
                <w:sz w:val="18"/>
                <w:szCs w:val="18"/>
              </w:rPr>
            </w:pPr>
            <w:r>
              <w:rPr>
                <w:rFonts w:cs="Arial"/>
                <w:sz w:val="18"/>
                <w:szCs w:val="18"/>
              </w:rPr>
              <w:t>Payments to National Disability Insurance Agency for reimbursement</w:t>
            </w:r>
          </w:p>
        </w:tc>
        <w:tc>
          <w:tcPr>
            <w:tcW w:w="1387" w:type="dxa"/>
            <w:tcBorders>
              <w:top w:val="nil"/>
              <w:left w:val="nil"/>
              <w:bottom w:val="nil"/>
              <w:right w:val="nil"/>
            </w:tcBorders>
            <w:shd w:val="clear" w:color="000000" w:fill="D9D9D9"/>
            <w:noWrap/>
            <w:vAlign w:val="bottom"/>
            <w:hideMark/>
          </w:tcPr>
          <w:p w14:paraId="5DD4E012" w14:textId="77777777" w:rsidR="00AB6753" w:rsidRDefault="00AB6753" w:rsidP="002D1EA4">
            <w:pPr>
              <w:spacing w:after="0"/>
              <w:jc w:val="right"/>
              <w:rPr>
                <w:rFonts w:cs="Arial"/>
                <w:b/>
                <w:bCs/>
                <w:sz w:val="18"/>
                <w:szCs w:val="18"/>
              </w:rPr>
            </w:pPr>
            <w:r>
              <w:rPr>
                <w:rFonts w:cs="Arial"/>
                <w:b/>
                <w:bCs/>
                <w:sz w:val="18"/>
                <w:szCs w:val="18"/>
              </w:rPr>
              <w:t> </w:t>
            </w:r>
          </w:p>
        </w:tc>
        <w:tc>
          <w:tcPr>
            <w:tcW w:w="269" w:type="dxa"/>
            <w:tcBorders>
              <w:top w:val="nil"/>
              <w:left w:val="nil"/>
              <w:bottom w:val="nil"/>
              <w:right w:val="nil"/>
            </w:tcBorders>
            <w:shd w:val="clear" w:color="000000" w:fill="D9D9D9"/>
            <w:noWrap/>
            <w:vAlign w:val="bottom"/>
            <w:hideMark/>
          </w:tcPr>
          <w:p w14:paraId="4AA4F405"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353249B8" w14:textId="77777777" w:rsidR="00AB6753" w:rsidRDefault="00AB6753" w:rsidP="002D1EA4">
            <w:pPr>
              <w:spacing w:after="0"/>
              <w:jc w:val="right"/>
              <w:rPr>
                <w:rFonts w:cs="Arial"/>
                <w:sz w:val="18"/>
                <w:szCs w:val="18"/>
              </w:rPr>
            </w:pPr>
            <w:r>
              <w:rPr>
                <w:rFonts w:cs="Arial"/>
                <w:sz w:val="18"/>
                <w:szCs w:val="18"/>
              </w:rPr>
              <w:t> </w:t>
            </w:r>
          </w:p>
        </w:tc>
      </w:tr>
      <w:tr w:rsidR="00AB6753" w14:paraId="00286686" w14:textId="77777777" w:rsidTr="002D1EA4">
        <w:trPr>
          <w:trHeight w:val="255"/>
        </w:trPr>
        <w:tc>
          <w:tcPr>
            <w:tcW w:w="6328" w:type="dxa"/>
            <w:tcBorders>
              <w:top w:val="nil"/>
              <w:left w:val="nil"/>
              <w:bottom w:val="single" w:sz="4" w:space="0" w:color="D9D9D9"/>
              <w:right w:val="nil"/>
            </w:tcBorders>
            <w:shd w:val="clear" w:color="000000" w:fill="D9D9D9"/>
            <w:vAlign w:val="bottom"/>
            <w:hideMark/>
          </w:tcPr>
          <w:p w14:paraId="546C962D" w14:textId="6EA6CD0B" w:rsidR="00AB6753" w:rsidRDefault="00AB6753" w:rsidP="002F776C">
            <w:pPr>
              <w:spacing w:after="0"/>
              <w:ind w:firstLineChars="173" w:firstLine="311"/>
              <w:rPr>
                <w:rFonts w:cs="Arial"/>
                <w:sz w:val="18"/>
                <w:szCs w:val="18"/>
              </w:rPr>
            </w:pPr>
            <w:r>
              <w:rPr>
                <w:rFonts w:cs="Arial"/>
                <w:sz w:val="18"/>
                <w:szCs w:val="18"/>
              </w:rPr>
              <w:t>of goods and services</w:t>
            </w:r>
          </w:p>
        </w:tc>
        <w:tc>
          <w:tcPr>
            <w:tcW w:w="1387" w:type="dxa"/>
            <w:tcBorders>
              <w:top w:val="nil"/>
              <w:left w:val="nil"/>
              <w:bottom w:val="nil"/>
              <w:right w:val="nil"/>
            </w:tcBorders>
            <w:shd w:val="clear" w:color="000000" w:fill="D9D9D9"/>
            <w:noWrap/>
            <w:vAlign w:val="bottom"/>
            <w:hideMark/>
          </w:tcPr>
          <w:p w14:paraId="64CA2086" w14:textId="77777777" w:rsidR="00AB6753" w:rsidRDefault="00AB6753" w:rsidP="002D1EA4">
            <w:pPr>
              <w:spacing w:after="0"/>
              <w:jc w:val="right"/>
              <w:rPr>
                <w:rFonts w:cs="Arial"/>
                <w:b/>
                <w:bCs/>
                <w:sz w:val="18"/>
                <w:szCs w:val="18"/>
              </w:rPr>
            </w:pPr>
            <w:r>
              <w:rPr>
                <w:rFonts w:cs="Arial"/>
                <w:b/>
                <w:bCs/>
                <w:sz w:val="18"/>
                <w:szCs w:val="18"/>
              </w:rPr>
              <w:t>6,968,250</w:t>
            </w:r>
          </w:p>
        </w:tc>
        <w:tc>
          <w:tcPr>
            <w:tcW w:w="269" w:type="dxa"/>
            <w:tcBorders>
              <w:top w:val="nil"/>
              <w:left w:val="nil"/>
              <w:bottom w:val="nil"/>
              <w:right w:val="nil"/>
            </w:tcBorders>
            <w:shd w:val="clear" w:color="000000" w:fill="D9D9D9"/>
            <w:noWrap/>
            <w:vAlign w:val="bottom"/>
            <w:hideMark/>
          </w:tcPr>
          <w:p w14:paraId="394EAF43"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1AA67D7A" w14:textId="77777777" w:rsidR="00AB6753" w:rsidRDefault="00AB6753" w:rsidP="002D1EA4">
            <w:pPr>
              <w:spacing w:after="0"/>
              <w:jc w:val="right"/>
              <w:rPr>
                <w:rFonts w:cs="Arial"/>
                <w:sz w:val="18"/>
                <w:szCs w:val="18"/>
              </w:rPr>
            </w:pPr>
            <w:r>
              <w:rPr>
                <w:rFonts w:cs="Arial"/>
                <w:sz w:val="18"/>
                <w:szCs w:val="18"/>
              </w:rPr>
              <w:t>3,735,082</w:t>
            </w:r>
          </w:p>
        </w:tc>
      </w:tr>
      <w:tr w:rsidR="00AB6753" w14:paraId="316E83B8" w14:textId="77777777" w:rsidTr="002D1EA4">
        <w:trPr>
          <w:trHeight w:val="255"/>
        </w:trPr>
        <w:tc>
          <w:tcPr>
            <w:tcW w:w="6328" w:type="dxa"/>
            <w:tcBorders>
              <w:top w:val="nil"/>
              <w:left w:val="nil"/>
              <w:bottom w:val="single" w:sz="4" w:space="0" w:color="D9D9D9"/>
              <w:right w:val="nil"/>
            </w:tcBorders>
            <w:shd w:val="clear" w:color="000000" w:fill="D9D9D9"/>
            <w:noWrap/>
            <w:vAlign w:val="bottom"/>
            <w:hideMark/>
          </w:tcPr>
          <w:p w14:paraId="28F1D4CF" w14:textId="77777777" w:rsidR="00AB6753" w:rsidRDefault="00AB6753" w:rsidP="002D1EA4">
            <w:pPr>
              <w:spacing w:after="0"/>
              <w:ind w:firstLineChars="100" w:firstLine="180"/>
              <w:rPr>
                <w:rFonts w:cs="Arial"/>
                <w:sz w:val="18"/>
                <w:szCs w:val="18"/>
              </w:rPr>
            </w:pPr>
            <w:r>
              <w:rPr>
                <w:rFonts w:cs="Arial"/>
                <w:sz w:val="18"/>
                <w:szCs w:val="18"/>
              </w:rPr>
              <w:t>Special appropriations</w:t>
            </w:r>
          </w:p>
        </w:tc>
        <w:tc>
          <w:tcPr>
            <w:tcW w:w="1387" w:type="dxa"/>
            <w:tcBorders>
              <w:top w:val="nil"/>
              <w:left w:val="nil"/>
              <w:bottom w:val="nil"/>
              <w:right w:val="nil"/>
            </w:tcBorders>
            <w:shd w:val="clear" w:color="000000" w:fill="D9D9D9"/>
            <w:noWrap/>
            <w:vAlign w:val="bottom"/>
            <w:hideMark/>
          </w:tcPr>
          <w:p w14:paraId="607DD088" w14:textId="77777777" w:rsidR="00AB6753" w:rsidRDefault="00AB6753" w:rsidP="002D1EA4">
            <w:pPr>
              <w:spacing w:after="0"/>
              <w:rPr>
                <w:rFonts w:cs="Arial"/>
                <w:sz w:val="16"/>
                <w:szCs w:val="16"/>
              </w:rPr>
            </w:pPr>
            <w:r>
              <w:rPr>
                <w:rFonts w:cs="Arial"/>
                <w:sz w:val="16"/>
                <w:szCs w:val="16"/>
              </w:rPr>
              <w:t> </w:t>
            </w:r>
          </w:p>
        </w:tc>
        <w:tc>
          <w:tcPr>
            <w:tcW w:w="269" w:type="dxa"/>
            <w:tcBorders>
              <w:top w:val="nil"/>
              <w:left w:val="nil"/>
              <w:bottom w:val="nil"/>
              <w:right w:val="nil"/>
            </w:tcBorders>
            <w:shd w:val="clear" w:color="000000" w:fill="D9D9D9"/>
            <w:noWrap/>
            <w:vAlign w:val="bottom"/>
            <w:hideMark/>
          </w:tcPr>
          <w:p w14:paraId="55B5D6A2"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3BF7EDE7" w14:textId="77777777" w:rsidR="00AB6753" w:rsidRDefault="00AB6753" w:rsidP="002D1EA4">
            <w:pPr>
              <w:spacing w:after="0"/>
              <w:rPr>
                <w:rFonts w:cs="Arial"/>
                <w:sz w:val="16"/>
                <w:szCs w:val="16"/>
              </w:rPr>
            </w:pPr>
            <w:r>
              <w:rPr>
                <w:rFonts w:cs="Arial"/>
                <w:sz w:val="16"/>
                <w:szCs w:val="16"/>
              </w:rPr>
              <w:t> </w:t>
            </w:r>
          </w:p>
        </w:tc>
      </w:tr>
      <w:tr w:rsidR="00AB6753" w14:paraId="31A760C7" w14:textId="77777777" w:rsidTr="002D1EA4">
        <w:trPr>
          <w:trHeight w:val="255"/>
        </w:trPr>
        <w:tc>
          <w:tcPr>
            <w:tcW w:w="6328" w:type="dxa"/>
            <w:tcBorders>
              <w:top w:val="nil"/>
              <w:left w:val="nil"/>
              <w:bottom w:val="single" w:sz="4" w:space="0" w:color="D9D9D9"/>
              <w:right w:val="nil"/>
            </w:tcBorders>
            <w:shd w:val="clear" w:color="000000" w:fill="D9D9D9"/>
            <w:noWrap/>
            <w:vAlign w:val="bottom"/>
            <w:hideMark/>
          </w:tcPr>
          <w:p w14:paraId="77C00AA6" w14:textId="06714D6F" w:rsidR="00AB6753" w:rsidRDefault="00AB6753" w:rsidP="002F776C">
            <w:pPr>
              <w:spacing w:after="0"/>
              <w:ind w:firstLineChars="173" w:firstLine="311"/>
              <w:rPr>
                <w:rFonts w:cs="Arial"/>
                <w:sz w:val="18"/>
                <w:szCs w:val="18"/>
              </w:rPr>
            </w:pPr>
            <w:r>
              <w:rPr>
                <w:rFonts w:cs="Arial"/>
                <w:sz w:val="18"/>
                <w:szCs w:val="18"/>
              </w:rPr>
              <w:t xml:space="preserve">Payments to individuals and entities other than corporate </w:t>
            </w:r>
          </w:p>
        </w:tc>
        <w:tc>
          <w:tcPr>
            <w:tcW w:w="1387" w:type="dxa"/>
            <w:tcBorders>
              <w:top w:val="nil"/>
              <w:left w:val="nil"/>
              <w:bottom w:val="nil"/>
              <w:right w:val="nil"/>
            </w:tcBorders>
            <w:shd w:val="clear" w:color="000000" w:fill="D9D9D9"/>
            <w:noWrap/>
            <w:vAlign w:val="bottom"/>
            <w:hideMark/>
          </w:tcPr>
          <w:p w14:paraId="1D657639" w14:textId="77777777" w:rsidR="00AB6753" w:rsidRDefault="00AB6753" w:rsidP="002D1EA4">
            <w:pPr>
              <w:spacing w:after="0"/>
              <w:rPr>
                <w:rFonts w:cs="Arial"/>
                <w:sz w:val="16"/>
                <w:szCs w:val="16"/>
              </w:rPr>
            </w:pPr>
            <w:r>
              <w:rPr>
                <w:rFonts w:cs="Arial"/>
                <w:sz w:val="16"/>
                <w:szCs w:val="16"/>
              </w:rPr>
              <w:t> </w:t>
            </w:r>
          </w:p>
        </w:tc>
        <w:tc>
          <w:tcPr>
            <w:tcW w:w="269" w:type="dxa"/>
            <w:tcBorders>
              <w:top w:val="nil"/>
              <w:left w:val="nil"/>
              <w:bottom w:val="nil"/>
              <w:right w:val="nil"/>
            </w:tcBorders>
            <w:shd w:val="clear" w:color="000000" w:fill="D9D9D9"/>
            <w:noWrap/>
            <w:vAlign w:val="bottom"/>
            <w:hideMark/>
          </w:tcPr>
          <w:p w14:paraId="58751C2E"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1FC708C0" w14:textId="77777777" w:rsidR="00AB6753" w:rsidRDefault="00AB6753" w:rsidP="002D1EA4">
            <w:pPr>
              <w:spacing w:after="0"/>
              <w:rPr>
                <w:rFonts w:cs="Arial"/>
                <w:sz w:val="16"/>
                <w:szCs w:val="16"/>
              </w:rPr>
            </w:pPr>
            <w:r>
              <w:rPr>
                <w:rFonts w:cs="Arial"/>
                <w:sz w:val="16"/>
                <w:szCs w:val="16"/>
              </w:rPr>
              <w:t> </w:t>
            </w:r>
          </w:p>
        </w:tc>
      </w:tr>
      <w:tr w:rsidR="00AB6753" w14:paraId="4C074806" w14:textId="77777777" w:rsidTr="002D1EA4">
        <w:trPr>
          <w:trHeight w:val="270"/>
        </w:trPr>
        <w:tc>
          <w:tcPr>
            <w:tcW w:w="6328" w:type="dxa"/>
            <w:tcBorders>
              <w:top w:val="nil"/>
              <w:left w:val="nil"/>
              <w:bottom w:val="single" w:sz="4" w:space="0" w:color="D9D9D9"/>
              <w:right w:val="nil"/>
            </w:tcBorders>
            <w:shd w:val="clear" w:color="000000" w:fill="D9D9D9"/>
            <w:noWrap/>
            <w:vAlign w:val="bottom"/>
            <w:hideMark/>
          </w:tcPr>
          <w:p w14:paraId="7D388084" w14:textId="59AB5123" w:rsidR="00AB6753" w:rsidRDefault="00AB6753" w:rsidP="002F776C">
            <w:pPr>
              <w:spacing w:after="0"/>
              <w:ind w:firstLineChars="173" w:firstLine="311"/>
              <w:rPr>
                <w:rFonts w:cs="Arial"/>
                <w:sz w:val="18"/>
                <w:szCs w:val="18"/>
              </w:rPr>
            </w:pPr>
            <w:r>
              <w:rPr>
                <w:rFonts w:cs="Arial"/>
                <w:sz w:val="18"/>
                <w:szCs w:val="18"/>
              </w:rPr>
              <w:t>Commonwealth entities</w:t>
            </w:r>
            <w:r>
              <w:rPr>
                <w:rFonts w:cs="Arial"/>
                <w:sz w:val="18"/>
                <w:szCs w:val="18"/>
                <w:vertAlign w:val="superscript"/>
              </w:rPr>
              <w:t>1</w:t>
            </w:r>
          </w:p>
        </w:tc>
        <w:tc>
          <w:tcPr>
            <w:tcW w:w="1387" w:type="dxa"/>
            <w:tcBorders>
              <w:top w:val="nil"/>
              <w:left w:val="nil"/>
              <w:bottom w:val="nil"/>
              <w:right w:val="nil"/>
            </w:tcBorders>
            <w:shd w:val="clear" w:color="000000" w:fill="D9D9D9"/>
            <w:noWrap/>
            <w:vAlign w:val="bottom"/>
            <w:hideMark/>
          </w:tcPr>
          <w:p w14:paraId="7BA73A11" w14:textId="77777777" w:rsidR="00AB6753" w:rsidRDefault="00AB6753" w:rsidP="002D1EA4">
            <w:pPr>
              <w:spacing w:after="0"/>
              <w:jc w:val="right"/>
              <w:rPr>
                <w:rFonts w:cs="Arial"/>
                <w:b/>
                <w:bCs/>
                <w:sz w:val="18"/>
                <w:szCs w:val="18"/>
              </w:rPr>
            </w:pPr>
            <w:r>
              <w:rPr>
                <w:rFonts w:cs="Arial"/>
                <w:b/>
                <w:bCs/>
                <w:sz w:val="18"/>
                <w:szCs w:val="18"/>
              </w:rPr>
              <w:t>127,336,468</w:t>
            </w:r>
          </w:p>
        </w:tc>
        <w:tc>
          <w:tcPr>
            <w:tcW w:w="269" w:type="dxa"/>
            <w:tcBorders>
              <w:top w:val="nil"/>
              <w:left w:val="nil"/>
              <w:bottom w:val="nil"/>
              <w:right w:val="nil"/>
            </w:tcBorders>
            <w:shd w:val="clear" w:color="000000" w:fill="D9D9D9"/>
            <w:noWrap/>
            <w:vAlign w:val="bottom"/>
            <w:hideMark/>
          </w:tcPr>
          <w:p w14:paraId="596B9097"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0E96D8C9" w14:textId="77777777" w:rsidR="00AB6753" w:rsidRDefault="00AB6753" w:rsidP="002D1EA4">
            <w:pPr>
              <w:spacing w:after="0"/>
              <w:jc w:val="right"/>
              <w:rPr>
                <w:rFonts w:cs="Arial"/>
                <w:sz w:val="18"/>
                <w:szCs w:val="18"/>
              </w:rPr>
            </w:pPr>
            <w:r>
              <w:rPr>
                <w:rFonts w:cs="Arial"/>
                <w:sz w:val="18"/>
                <w:szCs w:val="18"/>
              </w:rPr>
              <w:t>111,140,429</w:t>
            </w:r>
          </w:p>
        </w:tc>
      </w:tr>
      <w:tr w:rsidR="00AB6753" w14:paraId="26F490D1" w14:textId="77777777" w:rsidTr="002D1EA4">
        <w:trPr>
          <w:trHeight w:val="255"/>
        </w:trPr>
        <w:tc>
          <w:tcPr>
            <w:tcW w:w="6328" w:type="dxa"/>
            <w:tcBorders>
              <w:top w:val="nil"/>
              <w:left w:val="nil"/>
              <w:bottom w:val="nil"/>
              <w:right w:val="nil"/>
            </w:tcBorders>
            <w:shd w:val="clear" w:color="000000" w:fill="D9D9D9"/>
            <w:noWrap/>
            <w:vAlign w:val="bottom"/>
            <w:hideMark/>
          </w:tcPr>
          <w:p w14:paraId="4E62E013" w14:textId="77777777" w:rsidR="00AB6753" w:rsidRDefault="00AB6753" w:rsidP="002D1EA4">
            <w:pPr>
              <w:spacing w:after="0"/>
              <w:ind w:firstLineChars="100" w:firstLine="180"/>
              <w:rPr>
                <w:rFonts w:cs="Arial"/>
                <w:sz w:val="18"/>
                <w:szCs w:val="18"/>
              </w:rPr>
            </w:pPr>
            <w:r>
              <w:rPr>
                <w:rFonts w:cs="Arial"/>
                <w:sz w:val="18"/>
                <w:szCs w:val="18"/>
              </w:rPr>
              <w:t>Special accounts</w:t>
            </w:r>
          </w:p>
        </w:tc>
        <w:tc>
          <w:tcPr>
            <w:tcW w:w="1387" w:type="dxa"/>
            <w:tcBorders>
              <w:top w:val="nil"/>
              <w:left w:val="nil"/>
              <w:bottom w:val="nil"/>
              <w:right w:val="nil"/>
            </w:tcBorders>
            <w:shd w:val="clear" w:color="000000" w:fill="D9D9D9"/>
            <w:noWrap/>
            <w:vAlign w:val="bottom"/>
            <w:hideMark/>
          </w:tcPr>
          <w:p w14:paraId="423B2732" w14:textId="77777777" w:rsidR="00AB6753" w:rsidRDefault="00AB6753" w:rsidP="002D1EA4">
            <w:pPr>
              <w:spacing w:after="0"/>
              <w:jc w:val="right"/>
              <w:rPr>
                <w:rFonts w:cs="Arial"/>
                <w:b/>
                <w:bCs/>
                <w:sz w:val="18"/>
                <w:szCs w:val="18"/>
              </w:rPr>
            </w:pPr>
            <w:r>
              <w:rPr>
                <w:rFonts w:cs="Arial"/>
                <w:b/>
                <w:bCs/>
                <w:sz w:val="18"/>
                <w:szCs w:val="18"/>
              </w:rPr>
              <w:t> </w:t>
            </w:r>
          </w:p>
        </w:tc>
        <w:tc>
          <w:tcPr>
            <w:tcW w:w="269" w:type="dxa"/>
            <w:tcBorders>
              <w:top w:val="nil"/>
              <w:left w:val="nil"/>
              <w:bottom w:val="nil"/>
              <w:right w:val="nil"/>
            </w:tcBorders>
            <w:shd w:val="clear" w:color="000000" w:fill="D9D9D9"/>
            <w:noWrap/>
            <w:vAlign w:val="bottom"/>
            <w:hideMark/>
          </w:tcPr>
          <w:p w14:paraId="725B9163"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3DE57634" w14:textId="77777777" w:rsidR="00AB6753" w:rsidRDefault="00AB6753" w:rsidP="002D1EA4">
            <w:pPr>
              <w:spacing w:after="0"/>
              <w:jc w:val="right"/>
              <w:rPr>
                <w:rFonts w:cs="Arial"/>
                <w:sz w:val="18"/>
                <w:szCs w:val="18"/>
              </w:rPr>
            </w:pPr>
            <w:r>
              <w:rPr>
                <w:rFonts w:cs="Arial"/>
                <w:sz w:val="18"/>
                <w:szCs w:val="18"/>
              </w:rPr>
              <w:t> </w:t>
            </w:r>
          </w:p>
        </w:tc>
      </w:tr>
      <w:tr w:rsidR="00AB6753" w14:paraId="7EED7288" w14:textId="77777777" w:rsidTr="002D1EA4">
        <w:trPr>
          <w:trHeight w:val="255"/>
        </w:trPr>
        <w:tc>
          <w:tcPr>
            <w:tcW w:w="6328" w:type="dxa"/>
            <w:tcBorders>
              <w:top w:val="nil"/>
              <w:left w:val="nil"/>
              <w:bottom w:val="nil"/>
              <w:right w:val="nil"/>
            </w:tcBorders>
            <w:shd w:val="clear" w:color="000000" w:fill="D9D9D9"/>
            <w:noWrap/>
            <w:vAlign w:val="center"/>
            <w:hideMark/>
          </w:tcPr>
          <w:p w14:paraId="0F64794C" w14:textId="6DDB2E24" w:rsidR="00AB6753" w:rsidRDefault="00AB6753" w:rsidP="002F776C">
            <w:pPr>
              <w:spacing w:after="0"/>
              <w:ind w:firstLineChars="173" w:firstLine="311"/>
              <w:rPr>
                <w:rFonts w:cs="Arial"/>
                <w:color w:val="000000"/>
                <w:sz w:val="18"/>
                <w:szCs w:val="18"/>
              </w:rPr>
            </w:pPr>
            <w:r>
              <w:rPr>
                <w:rFonts w:cs="Arial"/>
                <w:color w:val="000000"/>
                <w:sz w:val="18"/>
                <w:szCs w:val="18"/>
              </w:rPr>
              <w:t xml:space="preserve">Payments to individuals and entities other than corporate </w:t>
            </w:r>
          </w:p>
        </w:tc>
        <w:tc>
          <w:tcPr>
            <w:tcW w:w="1387" w:type="dxa"/>
            <w:tcBorders>
              <w:top w:val="nil"/>
              <w:left w:val="nil"/>
              <w:bottom w:val="nil"/>
              <w:right w:val="nil"/>
            </w:tcBorders>
            <w:shd w:val="clear" w:color="000000" w:fill="D9D9D9"/>
            <w:noWrap/>
            <w:vAlign w:val="bottom"/>
            <w:hideMark/>
          </w:tcPr>
          <w:p w14:paraId="1C8E0425" w14:textId="77777777" w:rsidR="00AB6753" w:rsidRDefault="00AB6753" w:rsidP="002D1EA4">
            <w:pPr>
              <w:spacing w:after="0"/>
              <w:jc w:val="right"/>
              <w:rPr>
                <w:rFonts w:cs="Arial"/>
                <w:b/>
                <w:bCs/>
                <w:sz w:val="18"/>
                <w:szCs w:val="18"/>
              </w:rPr>
            </w:pPr>
            <w:r>
              <w:rPr>
                <w:rFonts w:cs="Arial"/>
                <w:b/>
                <w:bCs/>
                <w:sz w:val="18"/>
                <w:szCs w:val="18"/>
              </w:rPr>
              <w:t> </w:t>
            </w:r>
          </w:p>
        </w:tc>
        <w:tc>
          <w:tcPr>
            <w:tcW w:w="269" w:type="dxa"/>
            <w:tcBorders>
              <w:top w:val="nil"/>
              <w:left w:val="nil"/>
              <w:bottom w:val="nil"/>
              <w:right w:val="nil"/>
            </w:tcBorders>
            <w:shd w:val="clear" w:color="000000" w:fill="D9D9D9"/>
            <w:noWrap/>
            <w:vAlign w:val="bottom"/>
            <w:hideMark/>
          </w:tcPr>
          <w:p w14:paraId="0F41C760"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698A6FBC" w14:textId="77777777" w:rsidR="00AB6753" w:rsidRDefault="00AB6753" w:rsidP="002D1EA4">
            <w:pPr>
              <w:spacing w:after="0"/>
              <w:jc w:val="right"/>
              <w:rPr>
                <w:rFonts w:cs="Arial"/>
                <w:sz w:val="18"/>
                <w:szCs w:val="18"/>
              </w:rPr>
            </w:pPr>
            <w:r>
              <w:rPr>
                <w:rFonts w:cs="Arial"/>
                <w:sz w:val="18"/>
                <w:szCs w:val="18"/>
              </w:rPr>
              <w:t> </w:t>
            </w:r>
          </w:p>
        </w:tc>
      </w:tr>
      <w:tr w:rsidR="00AB6753" w14:paraId="765761A7" w14:textId="77777777" w:rsidTr="002D1EA4">
        <w:trPr>
          <w:trHeight w:val="270"/>
        </w:trPr>
        <w:tc>
          <w:tcPr>
            <w:tcW w:w="6328" w:type="dxa"/>
            <w:tcBorders>
              <w:top w:val="nil"/>
              <w:left w:val="nil"/>
              <w:bottom w:val="single" w:sz="4" w:space="0" w:color="D9D9D9"/>
              <w:right w:val="nil"/>
            </w:tcBorders>
            <w:shd w:val="clear" w:color="000000" w:fill="D9D9D9"/>
            <w:noWrap/>
            <w:vAlign w:val="bottom"/>
            <w:hideMark/>
          </w:tcPr>
          <w:p w14:paraId="764FD98B" w14:textId="468C8754" w:rsidR="00AB6753" w:rsidRDefault="00AB6753" w:rsidP="002F776C">
            <w:pPr>
              <w:spacing w:after="0"/>
              <w:ind w:firstLineChars="173" w:firstLine="311"/>
              <w:rPr>
                <w:rFonts w:cs="Arial"/>
                <w:sz w:val="18"/>
                <w:szCs w:val="18"/>
              </w:rPr>
            </w:pPr>
            <w:r>
              <w:rPr>
                <w:rFonts w:cs="Arial"/>
                <w:sz w:val="18"/>
                <w:szCs w:val="18"/>
              </w:rPr>
              <w:t>Commonwealth entities</w:t>
            </w:r>
            <w:r>
              <w:rPr>
                <w:rFonts w:cs="Arial"/>
                <w:sz w:val="18"/>
                <w:szCs w:val="18"/>
                <w:vertAlign w:val="superscript"/>
              </w:rPr>
              <w:t>1, 2</w:t>
            </w:r>
          </w:p>
        </w:tc>
        <w:tc>
          <w:tcPr>
            <w:tcW w:w="1387" w:type="dxa"/>
            <w:tcBorders>
              <w:top w:val="nil"/>
              <w:left w:val="nil"/>
              <w:bottom w:val="nil"/>
              <w:right w:val="nil"/>
            </w:tcBorders>
            <w:shd w:val="clear" w:color="000000" w:fill="D9D9D9"/>
            <w:noWrap/>
            <w:vAlign w:val="bottom"/>
            <w:hideMark/>
          </w:tcPr>
          <w:p w14:paraId="7059995D" w14:textId="77777777" w:rsidR="00AB6753" w:rsidRDefault="00AB6753" w:rsidP="002D1EA4">
            <w:pPr>
              <w:spacing w:after="0"/>
              <w:jc w:val="right"/>
              <w:rPr>
                <w:rFonts w:cs="Arial"/>
                <w:b/>
                <w:bCs/>
                <w:sz w:val="18"/>
                <w:szCs w:val="18"/>
              </w:rPr>
            </w:pPr>
            <w:r>
              <w:rPr>
                <w:rFonts w:cs="Arial"/>
                <w:b/>
                <w:bCs/>
                <w:sz w:val="18"/>
                <w:szCs w:val="18"/>
              </w:rPr>
              <w:t>509,900</w:t>
            </w:r>
          </w:p>
        </w:tc>
        <w:tc>
          <w:tcPr>
            <w:tcW w:w="269" w:type="dxa"/>
            <w:tcBorders>
              <w:top w:val="nil"/>
              <w:left w:val="nil"/>
              <w:bottom w:val="nil"/>
              <w:right w:val="nil"/>
            </w:tcBorders>
            <w:shd w:val="clear" w:color="000000" w:fill="D9D9D9"/>
            <w:noWrap/>
            <w:vAlign w:val="bottom"/>
            <w:hideMark/>
          </w:tcPr>
          <w:p w14:paraId="385D65F8"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721DA532" w14:textId="77777777" w:rsidR="00AB6753" w:rsidRDefault="00AB6753" w:rsidP="002D1EA4">
            <w:pPr>
              <w:spacing w:after="0"/>
              <w:jc w:val="right"/>
              <w:rPr>
                <w:rFonts w:cs="Arial"/>
                <w:sz w:val="18"/>
                <w:szCs w:val="18"/>
              </w:rPr>
            </w:pPr>
            <w:r>
              <w:rPr>
                <w:rFonts w:cs="Arial"/>
                <w:sz w:val="18"/>
                <w:szCs w:val="18"/>
              </w:rPr>
              <w:t>447,168</w:t>
            </w:r>
          </w:p>
        </w:tc>
      </w:tr>
      <w:tr w:rsidR="00AB6753" w14:paraId="742D9359" w14:textId="77777777" w:rsidTr="002D1EA4">
        <w:trPr>
          <w:trHeight w:val="255"/>
        </w:trPr>
        <w:tc>
          <w:tcPr>
            <w:tcW w:w="6328" w:type="dxa"/>
            <w:tcBorders>
              <w:top w:val="nil"/>
              <w:left w:val="nil"/>
              <w:bottom w:val="single" w:sz="4" w:space="0" w:color="D9D9D9"/>
              <w:right w:val="nil"/>
            </w:tcBorders>
            <w:shd w:val="clear" w:color="000000" w:fill="D9D9D9"/>
            <w:vAlign w:val="bottom"/>
            <w:hideMark/>
          </w:tcPr>
          <w:p w14:paraId="114A327D" w14:textId="77777777" w:rsidR="00AB6753" w:rsidRDefault="00AB6753" w:rsidP="002D1EA4">
            <w:pPr>
              <w:spacing w:after="0"/>
              <w:rPr>
                <w:rFonts w:cs="Arial"/>
                <w:sz w:val="18"/>
                <w:szCs w:val="18"/>
              </w:rPr>
            </w:pPr>
            <w:r>
              <w:rPr>
                <w:rFonts w:cs="Arial"/>
                <w:sz w:val="18"/>
                <w:szCs w:val="18"/>
              </w:rPr>
              <w:t> </w:t>
            </w:r>
          </w:p>
        </w:tc>
        <w:tc>
          <w:tcPr>
            <w:tcW w:w="1387" w:type="dxa"/>
            <w:tcBorders>
              <w:top w:val="nil"/>
              <w:left w:val="nil"/>
              <w:bottom w:val="nil"/>
              <w:right w:val="nil"/>
            </w:tcBorders>
            <w:shd w:val="clear" w:color="000000" w:fill="D9D9D9"/>
            <w:noWrap/>
            <w:vAlign w:val="bottom"/>
            <w:hideMark/>
          </w:tcPr>
          <w:p w14:paraId="667FB1C3" w14:textId="77777777" w:rsidR="00AB6753" w:rsidRDefault="00AB6753" w:rsidP="002D1EA4">
            <w:pPr>
              <w:spacing w:after="0"/>
              <w:rPr>
                <w:rFonts w:cs="Arial"/>
                <w:sz w:val="16"/>
                <w:szCs w:val="16"/>
              </w:rPr>
            </w:pPr>
            <w:r>
              <w:rPr>
                <w:rFonts w:cs="Arial"/>
                <w:sz w:val="16"/>
                <w:szCs w:val="16"/>
              </w:rPr>
              <w:t> </w:t>
            </w:r>
          </w:p>
        </w:tc>
        <w:tc>
          <w:tcPr>
            <w:tcW w:w="269" w:type="dxa"/>
            <w:tcBorders>
              <w:top w:val="nil"/>
              <w:left w:val="nil"/>
              <w:bottom w:val="nil"/>
              <w:right w:val="nil"/>
            </w:tcBorders>
            <w:shd w:val="clear" w:color="000000" w:fill="D9D9D9"/>
            <w:noWrap/>
            <w:vAlign w:val="bottom"/>
            <w:hideMark/>
          </w:tcPr>
          <w:p w14:paraId="4BD36333"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079181CF" w14:textId="77777777" w:rsidR="00AB6753" w:rsidRDefault="00AB6753" w:rsidP="002D1EA4">
            <w:pPr>
              <w:spacing w:after="0"/>
              <w:rPr>
                <w:rFonts w:cs="Arial"/>
                <w:sz w:val="16"/>
                <w:szCs w:val="16"/>
              </w:rPr>
            </w:pPr>
            <w:r>
              <w:rPr>
                <w:rFonts w:cs="Arial"/>
                <w:sz w:val="16"/>
                <w:szCs w:val="16"/>
              </w:rPr>
              <w:t> </w:t>
            </w:r>
          </w:p>
        </w:tc>
      </w:tr>
      <w:tr w:rsidR="00AB6753" w14:paraId="4CFAC844" w14:textId="77777777" w:rsidTr="002D1EA4">
        <w:trPr>
          <w:trHeight w:val="255"/>
        </w:trPr>
        <w:tc>
          <w:tcPr>
            <w:tcW w:w="6328" w:type="dxa"/>
            <w:tcBorders>
              <w:top w:val="nil"/>
              <w:left w:val="nil"/>
              <w:bottom w:val="single" w:sz="4" w:space="0" w:color="D9D9D9"/>
              <w:right w:val="nil"/>
            </w:tcBorders>
            <w:shd w:val="clear" w:color="000000" w:fill="D9D9D9"/>
            <w:vAlign w:val="bottom"/>
            <w:hideMark/>
          </w:tcPr>
          <w:p w14:paraId="137AC388" w14:textId="77777777" w:rsidR="00AB6753" w:rsidRDefault="00AB6753" w:rsidP="002D1EA4">
            <w:pPr>
              <w:spacing w:after="0"/>
              <w:rPr>
                <w:rFonts w:cs="Arial"/>
                <w:sz w:val="18"/>
                <w:szCs w:val="18"/>
              </w:rPr>
            </w:pPr>
            <w:r>
              <w:rPr>
                <w:rFonts w:cs="Arial"/>
                <w:sz w:val="18"/>
                <w:szCs w:val="18"/>
              </w:rPr>
              <w:t>Appropriation transfers to Official Public Account</w:t>
            </w:r>
          </w:p>
        </w:tc>
        <w:tc>
          <w:tcPr>
            <w:tcW w:w="1387" w:type="dxa"/>
            <w:tcBorders>
              <w:top w:val="nil"/>
              <w:left w:val="nil"/>
              <w:bottom w:val="nil"/>
              <w:right w:val="nil"/>
            </w:tcBorders>
            <w:shd w:val="clear" w:color="000000" w:fill="D9D9D9"/>
            <w:noWrap/>
            <w:vAlign w:val="bottom"/>
            <w:hideMark/>
          </w:tcPr>
          <w:p w14:paraId="67ABF82B" w14:textId="77777777" w:rsidR="00AB6753" w:rsidRDefault="00AB6753" w:rsidP="002D1EA4">
            <w:pPr>
              <w:spacing w:after="0"/>
              <w:rPr>
                <w:rFonts w:cs="Arial"/>
                <w:sz w:val="16"/>
                <w:szCs w:val="16"/>
              </w:rPr>
            </w:pPr>
            <w:r>
              <w:rPr>
                <w:rFonts w:cs="Arial"/>
                <w:sz w:val="16"/>
                <w:szCs w:val="16"/>
              </w:rPr>
              <w:t> </w:t>
            </w:r>
          </w:p>
        </w:tc>
        <w:tc>
          <w:tcPr>
            <w:tcW w:w="269" w:type="dxa"/>
            <w:tcBorders>
              <w:top w:val="nil"/>
              <w:left w:val="nil"/>
              <w:bottom w:val="nil"/>
              <w:right w:val="nil"/>
            </w:tcBorders>
            <w:shd w:val="clear" w:color="000000" w:fill="D9D9D9"/>
            <w:noWrap/>
            <w:vAlign w:val="bottom"/>
            <w:hideMark/>
          </w:tcPr>
          <w:p w14:paraId="4B5C7990"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35B07164" w14:textId="77777777" w:rsidR="00AB6753" w:rsidRDefault="00AB6753" w:rsidP="002D1EA4">
            <w:pPr>
              <w:spacing w:after="0"/>
              <w:rPr>
                <w:rFonts w:cs="Arial"/>
                <w:sz w:val="16"/>
                <w:szCs w:val="16"/>
              </w:rPr>
            </w:pPr>
            <w:r>
              <w:rPr>
                <w:rFonts w:cs="Arial"/>
                <w:sz w:val="16"/>
                <w:szCs w:val="16"/>
              </w:rPr>
              <w:t> </w:t>
            </w:r>
          </w:p>
        </w:tc>
      </w:tr>
      <w:tr w:rsidR="00AB6753" w14:paraId="2B460467" w14:textId="77777777" w:rsidTr="002D1EA4">
        <w:trPr>
          <w:trHeight w:val="255"/>
        </w:trPr>
        <w:tc>
          <w:tcPr>
            <w:tcW w:w="6328" w:type="dxa"/>
            <w:tcBorders>
              <w:top w:val="nil"/>
              <w:left w:val="nil"/>
              <w:bottom w:val="single" w:sz="4" w:space="0" w:color="D9D9D9"/>
              <w:right w:val="nil"/>
            </w:tcBorders>
            <w:shd w:val="clear" w:color="000000" w:fill="D9D9D9"/>
            <w:noWrap/>
            <w:vAlign w:val="bottom"/>
            <w:hideMark/>
          </w:tcPr>
          <w:p w14:paraId="4BE1C8B8" w14:textId="77777777" w:rsidR="00AB6753" w:rsidRDefault="00AB6753" w:rsidP="002D1EA4">
            <w:pPr>
              <w:spacing w:after="0"/>
              <w:ind w:firstLineChars="100" w:firstLine="180"/>
              <w:rPr>
                <w:rFonts w:cs="Arial"/>
                <w:sz w:val="18"/>
                <w:szCs w:val="18"/>
              </w:rPr>
            </w:pPr>
            <w:r>
              <w:rPr>
                <w:rFonts w:cs="Arial"/>
                <w:sz w:val="18"/>
                <w:szCs w:val="18"/>
              </w:rPr>
              <w:t>Transfers to Official Public Account</w:t>
            </w:r>
          </w:p>
        </w:tc>
        <w:tc>
          <w:tcPr>
            <w:tcW w:w="1387" w:type="dxa"/>
            <w:tcBorders>
              <w:top w:val="nil"/>
              <w:left w:val="nil"/>
              <w:bottom w:val="nil"/>
              <w:right w:val="nil"/>
            </w:tcBorders>
            <w:shd w:val="clear" w:color="000000" w:fill="D9D9D9"/>
            <w:noWrap/>
            <w:vAlign w:val="bottom"/>
            <w:hideMark/>
          </w:tcPr>
          <w:p w14:paraId="2FDE29E4" w14:textId="77777777" w:rsidR="00AB6753" w:rsidRDefault="00AB6753" w:rsidP="002D1EA4">
            <w:pPr>
              <w:spacing w:after="0"/>
              <w:jc w:val="right"/>
              <w:rPr>
                <w:rFonts w:cs="Arial"/>
                <w:b/>
                <w:bCs/>
                <w:sz w:val="18"/>
                <w:szCs w:val="18"/>
              </w:rPr>
            </w:pPr>
            <w:r>
              <w:rPr>
                <w:rFonts w:cs="Arial"/>
                <w:b/>
                <w:bCs/>
                <w:sz w:val="18"/>
                <w:szCs w:val="18"/>
              </w:rPr>
              <w:t>(463,808)</w:t>
            </w:r>
          </w:p>
        </w:tc>
        <w:tc>
          <w:tcPr>
            <w:tcW w:w="269" w:type="dxa"/>
            <w:tcBorders>
              <w:top w:val="nil"/>
              <w:left w:val="nil"/>
              <w:bottom w:val="nil"/>
              <w:right w:val="nil"/>
            </w:tcBorders>
            <w:shd w:val="clear" w:color="000000" w:fill="D9D9D9"/>
            <w:noWrap/>
            <w:vAlign w:val="bottom"/>
            <w:hideMark/>
          </w:tcPr>
          <w:p w14:paraId="78F9CAA5"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21E00C56" w14:textId="77777777" w:rsidR="00AB6753" w:rsidRDefault="00AB6753" w:rsidP="002D1EA4">
            <w:pPr>
              <w:spacing w:after="0"/>
              <w:jc w:val="right"/>
              <w:rPr>
                <w:rFonts w:cs="Arial"/>
                <w:sz w:val="18"/>
                <w:szCs w:val="18"/>
              </w:rPr>
            </w:pPr>
            <w:r>
              <w:rPr>
                <w:rFonts w:cs="Arial"/>
                <w:sz w:val="18"/>
                <w:szCs w:val="18"/>
              </w:rPr>
              <w:t>(292,156)</w:t>
            </w:r>
          </w:p>
        </w:tc>
      </w:tr>
      <w:tr w:rsidR="00AB6753" w14:paraId="3AB27745" w14:textId="77777777" w:rsidTr="002D1EA4">
        <w:trPr>
          <w:trHeight w:val="255"/>
        </w:trPr>
        <w:tc>
          <w:tcPr>
            <w:tcW w:w="6328" w:type="dxa"/>
            <w:tcBorders>
              <w:top w:val="nil"/>
              <w:left w:val="nil"/>
              <w:bottom w:val="single" w:sz="4" w:space="0" w:color="D9D9D9"/>
              <w:right w:val="nil"/>
            </w:tcBorders>
            <w:shd w:val="clear" w:color="000000" w:fill="D9D9D9"/>
            <w:vAlign w:val="bottom"/>
            <w:hideMark/>
          </w:tcPr>
          <w:p w14:paraId="3823AFFF" w14:textId="77777777" w:rsidR="00AB6753" w:rsidRDefault="00AB6753" w:rsidP="002D1EA4">
            <w:pPr>
              <w:spacing w:after="0"/>
              <w:rPr>
                <w:rFonts w:cs="Arial"/>
                <w:sz w:val="18"/>
                <w:szCs w:val="18"/>
              </w:rPr>
            </w:pPr>
            <w:r>
              <w:rPr>
                <w:rFonts w:cs="Arial"/>
                <w:sz w:val="18"/>
                <w:szCs w:val="18"/>
              </w:rPr>
              <w:t> </w:t>
            </w:r>
          </w:p>
        </w:tc>
        <w:tc>
          <w:tcPr>
            <w:tcW w:w="1387" w:type="dxa"/>
            <w:tcBorders>
              <w:top w:val="nil"/>
              <w:left w:val="nil"/>
              <w:bottom w:val="nil"/>
              <w:right w:val="nil"/>
            </w:tcBorders>
            <w:shd w:val="clear" w:color="000000" w:fill="D9D9D9"/>
            <w:noWrap/>
            <w:vAlign w:val="bottom"/>
            <w:hideMark/>
          </w:tcPr>
          <w:p w14:paraId="4C23958A" w14:textId="77777777" w:rsidR="00AB6753" w:rsidRDefault="00AB6753" w:rsidP="002D1EA4">
            <w:pPr>
              <w:spacing w:after="0"/>
              <w:rPr>
                <w:rFonts w:cs="Arial"/>
                <w:sz w:val="16"/>
                <w:szCs w:val="16"/>
              </w:rPr>
            </w:pPr>
            <w:r>
              <w:rPr>
                <w:rFonts w:cs="Arial"/>
                <w:sz w:val="16"/>
                <w:szCs w:val="16"/>
              </w:rPr>
              <w:t> </w:t>
            </w:r>
          </w:p>
        </w:tc>
        <w:tc>
          <w:tcPr>
            <w:tcW w:w="269" w:type="dxa"/>
            <w:tcBorders>
              <w:top w:val="nil"/>
              <w:left w:val="nil"/>
              <w:bottom w:val="nil"/>
              <w:right w:val="nil"/>
            </w:tcBorders>
            <w:shd w:val="clear" w:color="000000" w:fill="D9D9D9"/>
            <w:noWrap/>
            <w:vAlign w:val="bottom"/>
            <w:hideMark/>
          </w:tcPr>
          <w:p w14:paraId="0C2CA90D"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285E0A00" w14:textId="77777777" w:rsidR="00AB6753" w:rsidRDefault="00AB6753" w:rsidP="002D1EA4">
            <w:pPr>
              <w:spacing w:after="0"/>
              <w:rPr>
                <w:rFonts w:cs="Arial"/>
                <w:sz w:val="16"/>
                <w:szCs w:val="16"/>
              </w:rPr>
            </w:pPr>
            <w:r>
              <w:rPr>
                <w:rFonts w:cs="Arial"/>
                <w:sz w:val="16"/>
                <w:szCs w:val="16"/>
              </w:rPr>
              <w:t> </w:t>
            </w:r>
          </w:p>
        </w:tc>
      </w:tr>
      <w:tr w:rsidR="00AB6753" w14:paraId="4A4EA4C2" w14:textId="77777777" w:rsidTr="002D1EA4">
        <w:trPr>
          <w:trHeight w:val="255"/>
        </w:trPr>
        <w:tc>
          <w:tcPr>
            <w:tcW w:w="6328" w:type="dxa"/>
            <w:tcBorders>
              <w:top w:val="nil"/>
              <w:left w:val="nil"/>
              <w:bottom w:val="single" w:sz="4" w:space="0" w:color="D9D9D9"/>
              <w:right w:val="nil"/>
            </w:tcBorders>
            <w:shd w:val="clear" w:color="000000" w:fill="D9D9D9"/>
            <w:vAlign w:val="bottom"/>
            <w:hideMark/>
          </w:tcPr>
          <w:p w14:paraId="6B9660AA" w14:textId="77777777" w:rsidR="00AB6753" w:rsidRDefault="00AB6753" w:rsidP="002D1EA4">
            <w:pPr>
              <w:spacing w:after="0"/>
              <w:rPr>
                <w:rFonts w:cs="Arial"/>
                <w:sz w:val="18"/>
                <w:szCs w:val="18"/>
              </w:rPr>
            </w:pPr>
            <w:r>
              <w:rPr>
                <w:rFonts w:cs="Arial"/>
                <w:sz w:val="18"/>
                <w:szCs w:val="18"/>
              </w:rPr>
              <w:t>Restructuring (net)</w:t>
            </w:r>
          </w:p>
        </w:tc>
        <w:tc>
          <w:tcPr>
            <w:tcW w:w="1387" w:type="dxa"/>
            <w:tcBorders>
              <w:top w:val="nil"/>
              <w:left w:val="nil"/>
              <w:bottom w:val="nil"/>
              <w:right w:val="nil"/>
            </w:tcBorders>
            <w:shd w:val="clear" w:color="000000" w:fill="D9D9D9"/>
            <w:noWrap/>
            <w:vAlign w:val="bottom"/>
            <w:hideMark/>
          </w:tcPr>
          <w:p w14:paraId="0307485B" w14:textId="77777777" w:rsidR="00AB6753" w:rsidRDefault="00AB6753" w:rsidP="002D1EA4">
            <w:pPr>
              <w:spacing w:after="0"/>
              <w:jc w:val="right"/>
              <w:rPr>
                <w:rFonts w:cs="Arial"/>
                <w:b/>
                <w:bCs/>
                <w:sz w:val="18"/>
                <w:szCs w:val="18"/>
              </w:rPr>
            </w:pPr>
            <w:r>
              <w:rPr>
                <w:rFonts w:cs="Arial"/>
                <w:b/>
                <w:bCs/>
                <w:sz w:val="18"/>
                <w:szCs w:val="18"/>
              </w:rPr>
              <w:t>84,104</w:t>
            </w:r>
          </w:p>
        </w:tc>
        <w:tc>
          <w:tcPr>
            <w:tcW w:w="269" w:type="dxa"/>
            <w:tcBorders>
              <w:top w:val="nil"/>
              <w:left w:val="nil"/>
              <w:bottom w:val="nil"/>
              <w:right w:val="nil"/>
            </w:tcBorders>
            <w:shd w:val="clear" w:color="000000" w:fill="D9D9D9"/>
            <w:noWrap/>
            <w:vAlign w:val="bottom"/>
            <w:hideMark/>
          </w:tcPr>
          <w:p w14:paraId="496F826E"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55EB98B8"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0F7611CC" w14:textId="77777777" w:rsidTr="002D1EA4">
        <w:trPr>
          <w:trHeight w:val="255"/>
        </w:trPr>
        <w:tc>
          <w:tcPr>
            <w:tcW w:w="6328" w:type="dxa"/>
            <w:tcBorders>
              <w:top w:val="nil"/>
              <w:left w:val="nil"/>
              <w:bottom w:val="single" w:sz="4" w:space="0" w:color="D9D9D9"/>
              <w:right w:val="nil"/>
            </w:tcBorders>
            <w:shd w:val="clear" w:color="000000" w:fill="D9D9D9"/>
            <w:vAlign w:val="bottom"/>
            <w:hideMark/>
          </w:tcPr>
          <w:p w14:paraId="46137F1E" w14:textId="77777777" w:rsidR="00AB6753" w:rsidRDefault="00AB6753" w:rsidP="002D1EA4">
            <w:pPr>
              <w:spacing w:after="0"/>
              <w:rPr>
                <w:rFonts w:cs="Arial"/>
                <w:sz w:val="18"/>
                <w:szCs w:val="18"/>
              </w:rPr>
            </w:pPr>
            <w:r>
              <w:rPr>
                <w:rFonts w:cs="Arial"/>
                <w:sz w:val="18"/>
                <w:szCs w:val="18"/>
              </w:rPr>
              <w:t>Net withholdings of personal benefit overpayments through equity</w:t>
            </w:r>
          </w:p>
        </w:tc>
        <w:tc>
          <w:tcPr>
            <w:tcW w:w="1387" w:type="dxa"/>
            <w:tcBorders>
              <w:top w:val="nil"/>
              <w:left w:val="nil"/>
              <w:bottom w:val="nil"/>
              <w:right w:val="nil"/>
            </w:tcBorders>
            <w:shd w:val="clear" w:color="000000" w:fill="D9D9D9"/>
            <w:noWrap/>
            <w:vAlign w:val="bottom"/>
            <w:hideMark/>
          </w:tcPr>
          <w:p w14:paraId="7500772A" w14:textId="77777777" w:rsidR="00AB6753" w:rsidRDefault="00AB6753" w:rsidP="002D1EA4">
            <w:pPr>
              <w:spacing w:after="0"/>
              <w:jc w:val="right"/>
              <w:rPr>
                <w:rFonts w:cs="Arial"/>
                <w:b/>
                <w:bCs/>
                <w:sz w:val="18"/>
                <w:szCs w:val="18"/>
              </w:rPr>
            </w:pPr>
            <w:r>
              <w:rPr>
                <w:rFonts w:cs="Arial"/>
                <w:b/>
                <w:bCs/>
                <w:sz w:val="18"/>
                <w:szCs w:val="18"/>
              </w:rPr>
              <w:t>(146,048)</w:t>
            </w:r>
          </w:p>
        </w:tc>
        <w:tc>
          <w:tcPr>
            <w:tcW w:w="269" w:type="dxa"/>
            <w:tcBorders>
              <w:top w:val="nil"/>
              <w:left w:val="nil"/>
              <w:bottom w:val="nil"/>
              <w:right w:val="nil"/>
            </w:tcBorders>
            <w:shd w:val="clear" w:color="000000" w:fill="D9D9D9"/>
            <w:noWrap/>
            <w:vAlign w:val="bottom"/>
            <w:hideMark/>
          </w:tcPr>
          <w:p w14:paraId="2DE87B39"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4ACC0203" w14:textId="77777777" w:rsidR="00AB6753" w:rsidRDefault="00AB6753" w:rsidP="002D1EA4">
            <w:pPr>
              <w:spacing w:after="0"/>
              <w:jc w:val="right"/>
              <w:rPr>
                <w:rFonts w:cs="Arial"/>
                <w:sz w:val="18"/>
                <w:szCs w:val="18"/>
              </w:rPr>
            </w:pPr>
            <w:r>
              <w:rPr>
                <w:rFonts w:cs="Arial"/>
                <w:sz w:val="18"/>
                <w:szCs w:val="18"/>
              </w:rPr>
              <w:t>(147,988)</w:t>
            </w:r>
          </w:p>
        </w:tc>
      </w:tr>
      <w:tr w:rsidR="00AB6753" w14:paraId="00670CC7" w14:textId="77777777" w:rsidTr="002D1EA4">
        <w:trPr>
          <w:trHeight w:val="255"/>
        </w:trPr>
        <w:tc>
          <w:tcPr>
            <w:tcW w:w="6328" w:type="dxa"/>
            <w:tcBorders>
              <w:top w:val="nil"/>
              <w:left w:val="nil"/>
              <w:bottom w:val="single" w:sz="4" w:space="0" w:color="D9D9D9"/>
              <w:right w:val="nil"/>
            </w:tcBorders>
            <w:shd w:val="clear" w:color="000000" w:fill="D9D9D9"/>
            <w:vAlign w:val="bottom"/>
            <w:hideMark/>
          </w:tcPr>
          <w:p w14:paraId="3F957762" w14:textId="77777777" w:rsidR="00AB6753" w:rsidRDefault="00AB6753" w:rsidP="002D1EA4">
            <w:pPr>
              <w:spacing w:after="0"/>
              <w:rPr>
                <w:rFonts w:cs="Arial"/>
                <w:sz w:val="18"/>
                <w:szCs w:val="18"/>
              </w:rPr>
            </w:pPr>
            <w:r>
              <w:rPr>
                <w:rFonts w:cs="Arial"/>
                <w:sz w:val="18"/>
                <w:szCs w:val="18"/>
              </w:rPr>
              <w:t>Other non-reportable items recognised</w:t>
            </w:r>
          </w:p>
        </w:tc>
        <w:tc>
          <w:tcPr>
            <w:tcW w:w="1387" w:type="dxa"/>
            <w:tcBorders>
              <w:top w:val="nil"/>
              <w:left w:val="nil"/>
              <w:bottom w:val="nil"/>
              <w:right w:val="nil"/>
            </w:tcBorders>
            <w:shd w:val="clear" w:color="000000" w:fill="D9D9D9"/>
            <w:noWrap/>
            <w:vAlign w:val="bottom"/>
            <w:hideMark/>
          </w:tcPr>
          <w:p w14:paraId="6411ADE3" w14:textId="77777777" w:rsidR="00AB6753" w:rsidRDefault="00AB6753" w:rsidP="002D1EA4">
            <w:pPr>
              <w:spacing w:after="0"/>
              <w:jc w:val="right"/>
              <w:rPr>
                <w:rFonts w:cs="Arial"/>
                <w:b/>
                <w:bCs/>
                <w:sz w:val="18"/>
                <w:szCs w:val="18"/>
              </w:rPr>
            </w:pPr>
            <w:r>
              <w:rPr>
                <w:rFonts w:cs="Arial"/>
                <w:b/>
                <w:bCs/>
                <w:sz w:val="18"/>
                <w:szCs w:val="18"/>
              </w:rPr>
              <w:t>4,060</w:t>
            </w:r>
          </w:p>
        </w:tc>
        <w:tc>
          <w:tcPr>
            <w:tcW w:w="269" w:type="dxa"/>
            <w:tcBorders>
              <w:top w:val="nil"/>
              <w:left w:val="nil"/>
              <w:bottom w:val="nil"/>
              <w:right w:val="nil"/>
            </w:tcBorders>
            <w:shd w:val="clear" w:color="000000" w:fill="D9D9D9"/>
            <w:noWrap/>
            <w:vAlign w:val="bottom"/>
            <w:hideMark/>
          </w:tcPr>
          <w:p w14:paraId="1548BBA7"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nil"/>
              <w:left w:val="nil"/>
              <w:bottom w:val="nil"/>
              <w:right w:val="nil"/>
            </w:tcBorders>
            <w:shd w:val="clear" w:color="000000" w:fill="D9D9D9"/>
            <w:noWrap/>
            <w:vAlign w:val="bottom"/>
            <w:hideMark/>
          </w:tcPr>
          <w:p w14:paraId="2253B582" w14:textId="77777777" w:rsidR="00AB6753" w:rsidRDefault="00AB6753" w:rsidP="002D1EA4">
            <w:pPr>
              <w:spacing w:after="0"/>
              <w:jc w:val="right"/>
              <w:rPr>
                <w:rFonts w:cs="Arial"/>
                <w:sz w:val="18"/>
                <w:szCs w:val="18"/>
              </w:rPr>
            </w:pPr>
            <w:r>
              <w:rPr>
                <w:rFonts w:cs="Arial"/>
                <w:sz w:val="18"/>
                <w:szCs w:val="18"/>
              </w:rPr>
              <w:t>22</w:t>
            </w:r>
          </w:p>
        </w:tc>
      </w:tr>
      <w:tr w:rsidR="00AB6753" w14:paraId="570C700F" w14:textId="77777777" w:rsidTr="002D1EA4">
        <w:trPr>
          <w:trHeight w:val="255"/>
        </w:trPr>
        <w:tc>
          <w:tcPr>
            <w:tcW w:w="6328" w:type="dxa"/>
            <w:tcBorders>
              <w:top w:val="nil"/>
              <w:left w:val="nil"/>
              <w:bottom w:val="single" w:sz="4" w:space="0" w:color="D9D9D9"/>
              <w:right w:val="nil"/>
            </w:tcBorders>
            <w:shd w:val="clear" w:color="000000" w:fill="D9D9D9"/>
            <w:noWrap/>
            <w:vAlign w:val="bottom"/>
            <w:hideMark/>
          </w:tcPr>
          <w:p w14:paraId="0C61EBE3" w14:textId="77777777" w:rsidR="00AB6753" w:rsidRDefault="00AB6753" w:rsidP="002D1EA4">
            <w:pPr>
              <w:spacing w:after="0"/>
              <w:rPr>
                <w:rFonts w:cs="Arial"/>
                <w:b/>
                <w:bCs/>
                <w:sz w:val="18"/>
                <w:szCs w:val="18"/>
              </w:rPr>
            </w:pPr>
            <w:r>
              <w:rPr>
                <w:rFonts w:cs="Arial"/>
                <w:b/>
                <w:bCs/>
                <w:sz w:val="18"/>
                <w:szCs w:val="18"/>
              </w:rPr>
              <w:t>Closing assets less liabilities as at 30 June</w:t>
            </w:r>
          </w:p>
        </w:tc>
        <w:tc>
          <w:tcPr>
            <w:tcW w:w="1387" w:type="dxa"/>
            <w:tcBorders>
              <w:top w:val="single" w:sz="4" w:space="0" w:color="auto"/>
              <w:left w:val="nil"/>
              <w:bottom w:val="single" w:sz="4" w:space="0" w:color="auto"/>
              <w:right w:val="nil"/>
            </w:tcBorders>
            <w:shd w:val="clear" w:color="000000" w:fill="D9D9D9"/>
            <w:noWrap/>
            <w:vAlign w:val="bottom"/>
            <w:hideMark/>
          </w:tcPr>
          <w:p w14:paraId="23A322C8" w14:textId="77777777" w:rsidR="00AB6753" w:rsidRDefault="00AB6753" w:rsidP="002D1EA4">
            <w:pPr>
              <w:spacing w:after="0"/>
              <w:jc w:val="right"/>
              <w:rPr>
                <w:rFonts w:cs="Arial"/>
                <w:b/>
                <w:bCs/>
                <w:sz w:val="18"/>
                <w:szCs w:val="18"/>
              </w:rPr>
            </w:pPr>
            <w:r>
              <w:rPr>
                <w:rFonts w:cs="Arial"/>
                <w:b/>
                <w:bCs/>
                <w:sz w:val="18"/>
                <w:szCs w:val="18"/>
              </w:rPr>
              <w:t>(2,467,706)</w:t>
            </w:r>
          </w:p>
        </w:tc>
        <w:tc>
          <w:tcPr>
            <w:tcW w:w="269" w:type="dxa"/>
            <w:tcBorders>
              <w:top w:val="single" w:sz="4" w:space="0" w:color="D9D9D9"/>
              <w:left w:val="nil"/>
              <w:bottom w:val="single" w:sz="4" w:space="0" w:color="D9D9D9"/>
              <w:right w:val="nil"/>
            </w:tcBorders>
            <w:shd w:val="clear" w:color="000000" w:fill="D9D9D9"/>
            <w:noWrap/>
            <w:vAlign w:val="bottom"/>
            <w:hideMark/>
          </w:tcPr>
          <w:p w14:paraId="447A272B" w14:textId="77777777" w:rsidR="00AB6753" w:rsidRDefault="00AB6753" w:rsidP="002D1EA4">
            <w:pPr>
              <w:spacing w:after="0"/>
              <w:jc w:val="right"/>
              <w:rPr>
                <w:rFonts w:cs="Arial"/>
                <w:b/>
                <w:bCs/>
                <w:sz w:val="18"/>
                <w:szCs w:val="18"/>
              </w:rPr>
            </w:pPr>
            <w:r>
              <w:rPr>
                <w:rFonts w:cs="Arial"/>
                <w:b/>
                <w:bCs/>
                <w:sz w:val="18"/>
                <w:szCs w:val="18"/>
              </w:rPr>
              <w:t> </w:t>
            </w:r>
          </w:p>
        </w:tc>
        <w:tc>
          <w:tcPr>
            <w:tcW w:w="1385" w:type="dxa"/>
            <w:tcBorders>
              <w:top w:val="single" w:sz="4" w:space="0" w:color="auto"/>
              <w:left w:val="nil"/>
              <w:bottom w:val="single" w:sz="4" w:space="0" w:color="auto"/>
              <w:right w:val="nil"/>
            </w:tcBorders>
            <w:shd w:val="clear" w:color="000000" w:fill="D9D9D9"/>
            <w:noWrap/>
            <w:vAlign w:val="bottom"/>
            <w:hideMark/>
          </w:tcPr>
          <w:p w14:paraId="1D3D6305" w14:textId="77777777" w:rsidR="00AB6753" w:rsidRDefault="00AB6753" w:rsidP="002D1EA4">
            <w:pPr>
              <w:spacing w:after="0"/>
              <w:jc w:val="right"/>
              <w:rPr>
                <w:rFonts w:cs="Arial"/>
                <w:sz w:val="18"/>
                <w:szCs w:val="18"/>
              </w:rPr>
            </w:pPr>
            <w:r>
              <w:rPr>
                <w:rFonts w:cs="Arial"/>
                <w:sz w:val="18"/>
                <w:szCs w:val="18"/>
              </w:rPr>
              <w:t>863,007</w:t>
            </w:r>
          </w:p>
        </w:tc>
      </w:tr>
    </w:tbl>
    <w:p w14:paraId="1333E6F7" w14:textId="77777777" w:rsidR="00AB6753" w:rsidRPr="007A42BA" w:rsidRDefault="00AB6753" w:rsidP="00AB6753">
      <w:pPr>
        <w:pStyle w:val="GreyShadeTableBreaknon-Standard"/>
        <w:ind w:left="284" w:right="28" w:hanging="142"/>
        <w:rPr>
          <w:rFonts w:ascii="Arial" w:hAnsi="Arial" w:cs="Arial"/>
          <w:color w:val="000000"/>
          <w:sz w:val="18"/>
          <w:szCs w:val="18"/>
          <w14:textFill>
            <w14:solidFill>
              <w14:srgbClr w14:val="000000"/>
            </w14:solidFill>
          </w14:textFill>
        </w:rPr>
      </w:pPr>
    </w:p>
    <w:p w14:paraId="49303A57" w14:textId="77777777" w:rsidR="00AB6753" w:rsidRPr="007A42BA" w:rsidRDefault="00AB6753" w:rsidP="00AB6753">
      <w:pPr>
        <w:pStyle w:val="GreyShadeTableBreaknon-Standard"/>
        <w:ind w:left="142" w:right="28"/>
        <w:rPr>
          <w:rFonts w:ascii="Arial" w:hAnsi="Arial" w:cs="Arial"/>
          <w:color w:val="000000"/>
          <w:sz w:val="18"/>
          <w:szCs w:val="18"/>
          <w14:textFill>
            <w14:solidFill>
              <w14:srgbClr w14:val="000000"/>
            </w14:solidFill>
          </w14:textFill>
        </w:rPr>
      </w:pPr>
      <w:r w:rsidRPr="007A42BA">
        <w:rPr>
          <w:rFonts w:ascii="Arial" w:hAnsi="Arial" w:cs="Arial"/>
          <w:color w:val="000000"/>
          <w:sz w:val="18"/>
          <w:szCs w:val="18"/>
          <w14:textFill>
            <w14:solidFill>
              <w14:srgbClr w14:val="000000"/>
            </w14:solidFill>
          </w14:textFill>
        </w:rPr>
        <w:t>The above schedule should be read in conjunction with the accompanying notes.</w:t>
      </w:r>
    </w:p>
    <w:p w14:paraId="5A3B06AD" w14:textId="77777777" w:rsidR="00AB6753" w:rsidRPr="007A42BA" w:rsidRDefault="00AB6753" w:rsidP="00AB6753">
      <w:pPr>
        <w:pStyle w:val="GreyShadeTableBreaknon-Standard"/>
        <w:ind w:left="284" w:right="28" w:hanging="142"/>
        <w:rPr>
          <w:rFonts w:ascii="Arial" w:hAnsi="Arial" w:cs="Arial"/>
          <w:color w:val="000000"/>
          <w:sz w:val="18"/>
          <w:szCs w:val="18"/>
          <w14:textFill>
            <w14:solidFill>
              <w14:srgbClr w14:val="000000"/>
            </w14:solidFill>
          </w14:textFill>
        </w:rPr>
      </w:pPr>
      <w:r w:rsidRPr="007A42BA">
        <w:rPr>
          <w:rFonts w:ascii="Arial" w:hAnsi="Arial" w:cs="Arial"/>
          <w:color w:val="000000"/>
          <w:sz w:val="18"/>
          <w:szCs w:val="18"/>
          <w:vertAlign w:val="superscript"/>
          <w14:textFill>
            <w14:solidFill>
              <w14:srgbClr w14:val="000000"/>
            </w14:solidFill>
          </w14:textFill>
        </w:rPr>
        <w:t>1.</w:t>
      </w:r>
      <w:r w:rsidRPr="007A42BA">
        <w:rPr>
          <w:rFonts w:ascii="Arial" w:hAnsi="Arial" w:cs="Arial"/>
          <w:color w:val="000000"/>
          <w:sz w:val="18"/>
          <w:szCs w:val="18"/>
          <w14:textFill>
            <w14:solidFill>
              <w14:srgbClr w14:val="000000"/>
            </w14:solidFill>
          </w14:textFill>
        </w:rPr>
        <w:t xml:space="preserve"> The department made a voluntary accounting policy change in accordance with AASB 108.29 in relation to the presentation of the annual credit to the Social and Community Services Pay Equity Special Account with the annual credit disclosed separately from other special appropriations. The change is applied retrospectively.</w:t>
      </w:r>
    </w:p>
    <w:p w14:paraId="257C0A58" w14:textId="77777777" w:rsidR="00AB6753" w:rsidRPr="007A42BA" w:rsidRDefault="00AB6753" w:rsidP="00AB6753">
      <w:pPr>
        <w:pStyle w:val="GreyShadeTableBreaknon-Standard"/>
        <w:ind w:left="284" w:right="28" w:hanging="142"/>
        <w:rPr>
          <w:color w:val="000000"/>
          <w14:textFill>
            <w14:solidFill>
              <w14:srgbClr w14:val="000000"/>
            </w14:solidFill>
          </w14:textFill>
        </w:rPr>
      </w:pPr>
      <w:r w:rsidRPr="007A42BA">
        <w:rPr>
          <w:rFonts w:ascii="Arial" w:hAnsi="Arial" w:cs="Arial"/>
          <w:color w:val="000000"/>
          <w:sz w:val="18"/>
          <w:szCs w:val="18"/>
          <w:vertAlign w:val="superscript"/>
          <w14:textFill>
            <w14:solidFill>
              <w14:srgbClr w14:val="000000"/>
            </w14:solidFill>
          </w14:textFill>
        </w:rPr>
        <w:t>2.</w:t>
      </w:r>
      <w:r w:rsidRPr="007A42BA">
        <w:rPr>
          <w:rFonts w:ascii="Arial" w:hAnsi="Arial" w:cs="Arial"/>
          <w:color w:val="000000"/>
          <w:sz w:val="18"/>
          <w:szCs w:val="18"/>
          <w14:textFill>
            <w14:solidFill>
              <w14:srgbClr w14:val="000000"/>
            </w14:solidFill>
          </w14:textFill>
        </w:rPr>
        <w:t xml:space="preserve"> Amounts relate to section 6 of the </w:t>
      </w:r>
      <w:r w:rsidRPr="007A42BA">
        <w:rPr>
          <w:rFonts w:ascii="Arial" w:hAnsi="Arial" w:cs="Arial"/>
          <w:i/>
          <w:color w:val="000000"/>
          <w:sz w:val="18"/>
          <w:szCs w:val="18"/>
          <w14:textFill>
            <w14:solidFill>
              <w14:srgbClr w14:val="000000"/>
            </w14:solidFill>
          </w14:textFill>
        </w:rPr>
        <w:t>Social and Community Services Pay Equity Special Account Act 2012</w:t>
      </w:r>
      <w:r w:rsidRPr="007A42BA">
        <w:rPr>
          <w:rFonts w:ascii="Arial" w:hAnsi="Arial" w:cs="Arial"/>
          <w:color w:val="000000"/>
          <w:sz w:val="18"/>
          <w:szCs w:val="18"/>
          <w14:textFill>
            <w14:solidFill>
              <w14:srgbClr w14:val="000000"/>
            </w14:solidFill>
          </w14:textFill>
        </w:rPr>
        <w:t xml:space="preserve"> credited directly to the Social and Community Services Pay Equity Special Account.</w:t>
      </w:r>
    </w:p>
    <w:p w14:paraId="22A5903C" w14:textId="77777777" w:rsidR="00AB6753" w:rsidRPr="007A42BA" w:rsidRDefault="00AB6753" w:rsidP="00AB6753">
      <w:pPr>
        <w:pStyle w:val="Policyheadingadmin0"/>
        <w:pBdr>
          <w:top w:val="single" w:sz="4" w:space="1" w:color="00B2BA"/>
          <w:left w:val="single" w:sz="4" w:space="0" w:color="00B2BA"/>
          <w:bottom w:val="single" w:sz="4" w:space="1" w:color="00B2BA"/>
          <w:right w:val="single" w:sz="4" w:space="0" w:color="00B2BA"/>
        </w:pBdr>
        <w:shd w:val="clear" w:color="auto" w:fill="CCF0F1"/>
        <w:ind w:left="284" w:right="40" w:hanging="142"/>
        <w:rPr>
          <w:rFonts w:ascii="Arial" w:hAnsi="Arial" w:cs="Arial"/>
        </w:rPr>
      </w:pPr>
      <w:r w:rsidRPr="007A42BA">
        <w:rPr>
          <w:rFonts w:ascii="Arial" w:hAnsi="Arial" w:cs="Arial"/>
        </w:rPr>
        <w:t>Accounting Policy</w:t>
      </w:r>
    </w:p>
    <w:p w14:paraId="449B2577" w14:textId="77777777" w:rsidR="00AB6753" w:rsidRPr="007A42BA" w:rsidRDefault="00AB6753" w:rsidP="00AB6753">
      <w:pPr>
        <w:pStyle w:val="PolicyTextAdmin"/>
        <w:pBdr>
          <w:top w:val="single" w:sz="4" w:space="1" w:color="00B2BA"/>
          <w:left w:val="single" w:sz="4" w:space="0" w:color="00B2BA"/>
          <w:bottom w:val="single" w:sz="4" w:space="1" w:color="00B2BA"/>
          <w:right w:val="single" w:sz="4" w:space="0" w:color="00B2BA"/>
        </w:pBdr>
        <w:shd w:val="clear" w:color="auto" w:fill="CCF0F1"/>
        <w:spacing w:after="120"/>
        <w:ind w:left="142" w:right="40"/>
        <w:rPr>
          <w:rFonts w:ascii="Arial" w:hAnsi="Arial" w:cs="Arial"/>
          <w:i/>
          <w:u w:val="single"/>
        </w:rPr>
      </w:pPr>
      <w:r w:rsidRPr="007A42BA">
        <w:rPr>
          <w:rFonts w:ascii="Arial" w:hAnsi="Arial" w:cs="Arial"/>
          <w:i/>
          <w:u w:val="single"/>
        </w:rPr>
        <w:t xml:space="preserve">Administered Cash Transfers to and from the Official Public Account </w:t>
      </w:r>
    </w:p>
    <w:p w14:paraId="0EF90DA4" w14:textId="77777777" w:rsidR="00AB6753" w:rsidRPr="007A42BA" w:rsidRDefault="00AB6753" w:rsidP="00AB6753">
      <w:pPr>
        <w:pStyle w:val="PolicyTextAdmin"/>
        <w:pBdr>
          <w:top w:val="single" w:sz="4" w:space="1" w:color="00B2BA"/>
          <w:left w:val="single" w:sz="4" w:space="0" w:color="00B2BA"/>
          <w:bottom w:val="single" w:sz="4" w:space="1" w:color="00B2BA"/>
          <w:right w:val="single" w:sz="4" w:space="0" w:color="00B2BA"/>
        </w:pBdr>
        <w:shd w:val="clear" w:color="auto" w:fill="CCF0F1"/>
        <w:spacing w:after="120"/>
        <w:ind w:left="142" w:right="40"/>
        <w:rPr>
          <w:rFonts w:ascii="Arial" w:hAnsi="Arial" w:cs="Arial"/>
          <w:lang w:eastAsia="en-AU"/>
        </w:rPr>
      </w:pPr>
      <w:r w:rsidRPr="007A42BA">
        <w:rPr>
          <w:rFonts w:ascii="Arial" w:hAnsi="Arial" w:cs="Arial"/>
        </w:rPr>
        <w:t xml:space="preserve">Revenue collected by </w:t>
      </w:r>
      <w:r w:rsidRPr="007A42BA">
        <w:rPr>
          <w:rFonts w:ascii="Arial" w:hAnsi="Arial" w:cs="Arial"/>
        </w:rPr>
        <w:fldChar w:fldCharType="begin"/>
      </w:r>
      <w:r w:rsidRPr="007A42BA">
        <w:rPr>
          <w:rFonts w:ascii="Arial" w:hAnsi="Arial" w:cs="Arial"/>
        </w:rPr>
        <w:instrText xml:space="preserve"> DOCPROPERTY  ShortName  \* MERGEFORMAT </w:instrText>
      </w:r>
      <w:r w:rsidRPr="007A42BA">
        <w:rPr>
          <w:rFonts w:ascii="Arial" w:hAnsi="Arial" w:cs="Arial"/>
        </w:rPr>
        <w:fldChar w:fldCharType="separate"/>
      </w:r>
      <w:r w:rsidRPr="007A42BA">
        <w:rPr>
          <w:rFonts w:ascii="Arial" w:hAnsi="Arial" w:cs="Arial"/>
        </w:rPr>
        <w:t>the department</w:t>
      </w:r>
      <w:r w:rsidRPr="007A42BA">
        <w:rPr>
          <w:rFonts w:ascii="Arial" w:hAnsi="Arial" w:cs="Arial"/>
        </w:rPr>
        <w:fldChar w:fldCharType="end"/>
      </w:r>
      <w:r w:rsidRPr="007A42BA">
        <w:rPr>
          <w:rFonts w:ascii="Arial" w:hAnsi="Arial" w:cs="Arial"/>
        </w:rPr>
        <w:t xml:space="preserve"> for use by the Australian Government rather than </w:t>
      </w:r>
      <w:r w:rsidRPr="007A42BA">
        <w:rPr>
          <w:rFonts w:ascii="Arial" w:hAnsi="Arial" w:cs="Arial"/>
        </w:rPr>
        <w:fldChar w:fldCharType="begin"/>
      </w:r>
      <w:r w:rsidRPr="007A42BA">
        <w:rPr>
          <w:rFonts w:ascii="Arial" w:hAnsi="Arial" w:cs="Arial"/>
        </w:rPr>
        <w:instrText xml:space="preserve"> DOCPROPERTY  ShortName  \* MERGEFORMAT </w:instrText>
      </w:r>
      <w:r w:rsidRPr="007A42BA">
        <w:rPr>
          <w:rFonts w:ascii="Arial" w:hAnsi="Arial" w:cs="Arial"/>
        </w:rPr>
        <w:fldChar w:fldCharType="separate"/>
      </w:r>
      <w:r w:rsidRPr="007A42BA">
        <w:rPr>
          <w:rFonts w:ascii="Arial" w:hAnsi="Arial" w:cs="Arial"/>
        </w:rPr>
        <w:t>the department</w:t>
      </w:r>
      <w:r w:rsidRPr="007A42BA">
        <w:rPr>
          <w:rFonts w:ascii="Arial" w:hAnsi="Arial" w:cs="Arial"/>
        </w:rPr>
        <w:fldChar w:fldCharType="end"/>
      </w:r>
      <w:r w:rsidRPr="007A42BA">
        <w:rPr>
          <w:rFonts w:ascii="Arial" w:hAnsi="Arial" w:cs="Arial"/>
        </w:rPr>
        <w:t xml:space="preserve"> is reported as administered revenue. Collections are transferred to the Official Public Account which is maintained by the Department of Finance. Cash is drawn from the Official Public Account by </w:t>
      </w:r>
      <w:r w:rsidRPr="007A42BA">
        <w:rPr>
          <w:rFonts w:ascii="Arial" w:hAnsi="Arial" w:cs="Arial"/>
        </w:rPr>
        <w:fldChar w:fldCharType="begin"/>
      </w:r>
      <w:r w:rsidRPr="007A42BA">
        <w:rPr>
          <w:rFonts w:ascii="Arial" w:hAnsi="Arial" w:cs="Arial"/>
        </w:rPr>
        <w:instrText xml:space="preserve"> DOCPROPERTY  ShortName  \* MERGEFORMAT </w:instrText>
      </w:r>
      <w:r w:rsidRPr="007A42BA">
        <w:rPr>
          <w:rFonts w:ascii="Arial" w:hAnsi="Arial" w:cs="Arial"/>
        </w:rPr>
        <w:fldChar w:fldCharType="separate"/>
      </w:r>
      <w:r w:rsidRPr="007A42BA">
        <w:rPr>
          <w:rFonts w:ascii="Arial" w:hAnsi="Arial" w:cs="Arial"/>
        </w:rPr>
        <w:t>the department</w:t>
      </w:r>
      <w:r w:rsidRPr="007A42BA">
        <w:rPr>
          <w:rFonts w:ascii="Arial" w:hAnsi="Arial" w:cs="Arial"/>
        </w:rPr>
        <w:fldChar w:fldCharType="end"/>
      </w:r>
      <w:r w:rsidRPr="007A42BA">
        <w:rPr>
          <w:rFonts w:ascii="Arial" w:hAnsi="Arial" w:cs="Arial"/>
        </w:rPr>
        <w:t xml:space="preserve"> to make payments under Parliamentary appropriation on behalf of the Australian Government. These transfers to and from the Official Public Account are adjustments to the administered cash held by </w:t>
      </w:r>
      <w:r w:rsidRPr="007A42BA">
        <w:rPr>
          <w:rFonts w:ascii="Arial" w:hAnsi="Arial" w:cs="Arial"/>
        </w:rPr>
        <w:fldChar w:fldCharType="begin"/>
      </w:r>
      <w:r w:rsidRPr="007A42BA">
        <w:rPr>
          <w:rFonts w:ascii="Arial" w:hAnsi="Arial" w:cs="Arial"/>
        </w:rPr>
        <w:instrText xml:space="preserve"> DOCPROPERTY  ShortName  \* MERGEFORMAT </w:instrText>
      </w:r>
      <w:r w:rsidRPr="007A42BA">
        <w:rPr>
          <w:rFonts w:ascii="Arial" w:hAnsi="Arial" w:cs="Arial"/>
        </w:rPr>
        <w:fldChar w:fldCharType="separate"/>
      </w:r>
      <w:r w:rsidRPr="007A42BA">
        <w:rPr>
          <w:rFonts w:ascii="Arial" w:hAnsi="Arial" w:cs="Arial"/>
        </w:rPr>
        <w:t>the department</w:t>
      </w:r>
      <w:r w:rsidRPr="007A42BA">
        <w:rPr>
          <w:rFonts w:ascii="Arial" w:hAnsi="Arial" w:cs="Arial"/>
        </w:rPr>
        <w:fldChar w:fldCharType="end"/>
      </w:r>
      <w:r w:rsidRPr="007A42BA">
        <w:rPr>
          <w:rFonts w:ascii="Arial" w:hAnsi="Arial" w:cs="Arial"/>
        </w:rPr>
        <w:t xml:space="preserve"> on behalf of the Australian Government and reported as such in the administered cash flow statement and in the administered reconciliation schedule. </w:t>
      </w:r>
    </w:p>
    <w:p w14:paraId="038D0407" w14:textId="77777777" w:rsidR="00AB6753" w:rsidRPr="000349E2" w:rsidRDefault="00AB6753" w:rsidP="00AB6753">
      <w:pPr>
        <w:rPr>
          <w:lang w:eastAsia="en-AU"/>
        </w:rPr>
        <w:sectPr w:rsidR="00AB6753" w:rsidRPr="000349E2" w:rsidSect="007A42BA">
          <w:headerReference w:type="default" r:id="rId66"/>
          <w:pgSz w:w="11906" w:h="16838" w:code="9"/>
          <w:pgMar w:top="582" w:right="1274" w:bottom="1134" w:left="1134" w:header="958" w:footer="737" w:gutter="0"/>
          <w:cols w:space="708"/>
          <w:docGrid w:linePitch="360"/>
        </w:sectPr>
      </w:pPr>
    </w:p>
    <w:tbl>
      <w:tblPr>
        <w:tblW w:w="9371" w:type="dxa"/>
        <w:tblInd w:w="80" w:type="dxa"/>
        <w:tblLayout w:type="fixed"/>
        <w:tblLook w:val="04A0" w:firstRow="1" w:lastRow="0" w:firstColumn="1" w:lastColumn="0" w:noHBand="0" w:noVBand="1"/>
        <w:tblCaption w:val="Administered cash flow statement for the period ended 30 June 2020"/>
        <w:tblDescription w:val="Administered cash flow statement for the period ended 30 June 2020"/>
      </w:tblPr>
      <w:tblGrid>
        <w:gridCol w:w="5089"/>
        <w:gridCol w:w="1211"/>
        <w:gridCol w:w="1419"/>
        <w:gridCol w:w="239"/>
        <w:gridCol w:w="1413"/>
      </w:tblGrid>
      <w:tr w:rsidR="00AB6753" w14:paraId="3F3531E0" w14:textId="77777777" w:rsidTr="002D1EA4">
        <w:trPr>
          <w:trHeight w:val="227"/>
        </w:trPr>
        <w:tc>
          <w:tcPr>
            <w:tcW w:w="5033" w:type="dxa"/>
            <w:tcBorders>
              <w:top w:val="single" w:sz="8" w:space="0" w:color="auto"/>
              <w:left w:val="nil"/>
              <w:bottom w:val="nil"/>
              <w:right w:val="nil"/>
            </w:tcBorders>
            <w:shd w:val="clear" w:color="000000" w:fill="D9D9D9"/>
            <w:noWrap/>
            <w:vAlign w:val="bottom"/>
            <w:hideMark/>
          </w:tcPr>
          <w:p w14:paraId="53E043E7" w14:textId="77777777" w:rsidR="00AB6753" w:rsidRDefault="00AB6753" w:rsidP="002D1EA4">
            <w:pPr>
              <w:spacing w:after="0" w:line="240" w:lineRule="auto"/>
              <w:rPr>
                <w:rFonts w:cs="Arial"/>
                <w:sz w:val="16"/>
                <w:szCs w:val="16"/>
              </w:rPr>
            </w:pPr>
            <w:bookmarkStart w:id="61" w:name="Note_ACFTABLE1" w:colFirst="0" w:colLast="0"/>
            <w:r>
              <w:rPr>
                <w:rFonts w:cs="Arial"/>
                <w:sz w:val="16"/>
                <w:szCs w:val="16"/>
              </w:rPr>
              <w:lastRenderedPageBreak/>
              <w:t> </w:t>
            </w:r>
          </w:p>
        </w:tc>
        <w:tc>
          <w:tcPr>
            <w:tcW w:w="1198" w:type="dxa"/>
            <w:tcBorders>
              <w:top w:val="single" w:sz="8" w:space="0" w:color="auto"/>
              <w:left w:val="nil"/>
              <w:bottom w:val="nil"/>
              <w:right w:val="nil"/>
            </w:tcBorders>
            <w:shd w:val="clear" w:color="000000" w:fill="D9D9D9"/>
            <w:noWrap/>
            <w:vAlign w:val="bottom"/>
            <w:hideMark/>
          </w:tcPr>
          <w:p w14:paraId="5D99DA12" w14:textId="77777777" w:rsidR="00AB6753" w:rsidRDefault="00AB6753" w:rsidP="002D1EA4">
            <w:pPr>
              <w:spacing w:after="0" w:line="240" w:lineRule="auto"/>
              <w:jc w:val="center"/>
              <w:rPr>
                <w:rFonts w:cs="Arial"/>
                <w:b/>
                <w:bCs/>
                <w:sz w:val="18"/>
                <w:szCs w:val="18"/>
              </w:rPr>
            </w:pPr>
            <w:r>
              <w:rPr>
                <w:rFonts w:cs="Arial"/>
                <w:b/>
                <w:bCs/>
                <w:sz w:val="18"/>
                <w:szCs w:val="18"/>
              </w:rPr>
              <w:t> </w:t>
            </w:r>
          </w:p>
        </w:tc>
        <w:tc>
          <w:tcPr>
            <w:tcW w:w="1404" w:type="dxa"/>
            <w:tcBorders>
              <w:top w:val="single" w:sz="8" w:space="0" w:color="auto"/>
              <w:left w:val="nil"/>
              <w:bottom w:val="nil"/>
              <w:right w:val="nil"/>
            </w:tcBorders>
            <w:shd w:val="clear" w:color="000000" w:fill="D9D9D9"/>
            <w:noWrap/>
            <w:vAlign w:val="bottom"/>
            <w:hideMark/>
          </w:tcPr>
          <w:p w14:paraId="724FC69E" w14:textId="77777777" w:rsidR="00AB6753" w:rsidRDefault="00AB6753" w:rsidP="002D1EA4">
            <w:pPr>
              <w:spacing w:after="0" w:line="240" w:lineRule="auto"/>
              <w:jc w:val="right"/>
              <w:rPr>
                <w:rFonts w:cs="Arial"/>
                <w:b/>
                <w:bCs/>
                <w:sz w:val="18"/>
                <w:szCs w:val="18"/>
              </w:rPr>
            </w:pPr>
            <w:r>
              <w:rPr>
                <w:rFonts w:cs="Arial"/>
                <w:b/>
                <w:bCs/>
                <w:sz w:val="18"/>
                <w:szCs w:val="18"/>
              </w:rPr>
              <w:t>2020</w:t>
            </w:r>
          </w:p>
        </w:tc>
        <w:tc>
          <w:tcPr>
            <w:tcW w:w="236" w:type="dxa"/>
            <w:tcBorders>
              <w:top w:val="single" w:sz="8" w:space="0" w:color="auto"/>
              <w:left w:val="nil"/>
              <w:bottom w:val="nil"/>
              <w:right w:val="nil"/>
            </w:tcBorders>
            <w:shd w:val="clear" w:color="000000" w:fill="D9D9D9"/>
            <w:noWrap/>
            <w:vAlign w:val="bottom"/>
            <w:hideMark/>
          </w:tcPr>
          <w:p w14:paraId="798392AE"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single" w:sz="8" w:space="0" w:color="auto"/>
              <w:left w:val="nil"/>
              <w:bottom w:val="nil"/>
              <w:right w:val="nil"/>
            </w:tcBorders>
            <w:shd w:val="clear" w:color="000000" w:fill="D9D9D9"/>
            <w:noWrap/>
            <w:vAlign w:val="bottom"/>
            <w:hideMark/>
          </w:tcPr>
          <w:p w14:paraId="479F2402" w14:textId="77777777" w:rsidR="00AB6753" w:rsidRDefault="00AB6753" w:rsidP="002D1EA4">
            <w:pPr>
              <w:spacing w:after="0" w:line="240" w:lineRule="auto"/>
              <w:jc w:val="right"/>
              <w:rPr>
                <w:rFonts w:cs="Arial"/>
                <w:sz w:val="18"/>
                <w:szCs w:val="18"/>
              </w:rPr>
            </w:pPr>
            <w:r>
              <w:rPr>
                <w:rFonts w:cs="Arial"/>
                <w:sz w:val="18"/>
                <w:szCs w:val="18"/>
              </w:rPr>
              <w:t>2019</w:t>
            </w:r>
          </w:p>
        </w:tc>
      </w:tr>
      <w:bookmarkEnd w:id="61"/>
      <w:tr w:rsidR="00AB6753" w14:paraId="4ED5CEB1" w14:textId="77777777" w:rsidTr="002D1EA4">
        <w:trPr>
          <w:trHeight w:val="227"/>
        </w:trPr>
        <w:tc>
          <w:tcPr>
            <w:tcW w:w="5033" w:type="dxa"/>
            <w:tcBorders>
              <w:top w:val="nil"/>
              <w:left w:val="nil"/>
              <w:bottom w:val="nil"/>
              <w:right w:val="nil"/>
            </w:tcBorders>
            <w:shd w:val="clear" w:color="000000" w:fill="D9D9D9"/>
            <w:noWrap/>
            <w:vAlign w:val="bottom"/>
            <w:hideMark/>
          </w:tcPr>
          <w:p w14:paraId="76C72D59" w14:textId="77777777" w:rsidR="00AB6753" w:rsidRDefault="00AB6753" w:rsidP="002D1EA4">
            <w:pPr>
              <w:spacing w:after="0" w:line="240" w:lineRule="auto"/>
              <w:rPr>
                <w:rFonts w:cs="Arial"/>
                <w:sz w:val="16"/>
                <w:szCs w:val="16"/>
              </w:rPr>
            </w:pPr>
            <w:r>
              <w:rPr>
                <w:rFonts w:cs="Arial"/>
                <w:sz w:val="16"/>
                <w:szCs w:val="16"/>
              </w:rPr>
              <w:t> </w:t>
            </w:r>
          </w:p>
        </w:tc>
        <w:tc>
          <w:tcPr>
            <w:tcW w:w="1198" w:type="dxa"/>
            <w:tcBorders>
              <w:top w:val="nil"/>
              <w:left w:val="nil"/>
              <w:bottom w:val="nil"/>
              <w:right w:val="nil"/>
            </w:tcBorders>
            <w:shd w:val="clear" w:color="000000" w:fill="D9D9D9"/>
            <w:noWrap/>
            <w:vAlign w:val="bottom"/>
            <w:hideMark/>
          </w:tcPr>
          <w:p w14:paraId="52239A67" w14:textId="77777777" w:rsidR="00AB6753" w:rsidRDefault="00AB6753" w:rsidP="002D1EA4">
            <w:pPr>
              <w:spacing w:after="0" w:line="240" w:lineRule="auto"/>
              <w:jc w:val="center"/>
              <w:rPr>
                <w:rFonts w:cs="Arial"/>
                <w:b/>
                <w:bCs/>
                <w:sz w:val="18"/>
                <w:szCs w:val="18"/>
              </w:rPr>
            </w:pPr>
            <w:r>
              <w:rPr>
                <w:rFonts w:cs="Arial"/>
                <w:b/>
                <w:bCs/>
                <w:sz w:val="18"/>
                <w:szCs w:val="18"/>
              </w:rPr>
              <w:t>Notes </w:t>
            </w:r>
          </w:p>
        </w:tc>
        <w:tc>
          <w:tcPr>
            <w:tcW w:w="1404" w:type="dxa"/>
            <w:tcBorders>
              <w:top w:val="nil"/>
              <w:left w:val="nil"/>
              <w:bottom w:val="single" w:sz="4" w:space="0" w:color="auto"/>
              <w:right w:val="nil"/>
            </w:tcBorders>
            <w:shd w:val="clear" w:color="000000" w:fill="D9D9D9"/>
            <w:noWrap/>
            <w:vAlign w:val="bottom"/>
            <w:hideMark/>
          </w:tcPr>
          <w:p w14:paraId="3AE750FD" w14:textId="77777777" w:rsidR="00AB6753" w:rsidRDefault="00AB6753" w:rsidP="002D1EA4">
            <w:pPr>
              <w:spacing w:after="0" w:line="240" w:lineRule="auto"/>
              <w:jc w:val="right"/>
              <w:rPr>
                <w:rFonts w:cs="Arial"/>
                <w:b/>
                <w:bCs/>
                <w:sz w:val="18"/>
                <w:szCs w:val="18"/>
              </w:rPr>
            </w:pPr>
            <w:r>
              <w:rPr>
                <w:rFonts w:cs="Arial"/>
                <w:b/>
                <w:bCs/>
                <w:sz w:val="18"/>
                <w:szCs w:val="18"/>
              </w:rPr>
              <w:t>$'000</w:t>
            </w:r>
          </w:p>
        </w:tc>
        <w:tc>
          <w:tcPr>
            <w:tcW w:w="236" w:type="dxa"/>
            <w:tcBorders>
              <w:top w:val="nil"/>
              <w:left w:val="nil"/>
              <w:bottom w:val="nil"/>
              <w:right w:val="nil"/>
            </w:tcBorders>
            <w:shd w:val="clear" w:color="000000" w:fill="D9D9D9"/>
            <w:noWrap/>
            <w:vAlign w:val="bottom"/>
            <w:hideMark/>
          </w:tcPr>
          <w:p w14:paraId="571ABF25"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single" w:sz="4" w:space="0" w:color="auto"/>
              <w:right w:val="nil"/>
            </w:tcBorders>
            <w:shd w:val="clear" w:color="000000" w:fill="D9D9D9"/>
            <w:noWrap/>
            <w:vAlign w:val="bottom"/>
            <w:hideMark/>
          </w:tcPr>
          <w:p w14:paraId="3823C1FD" w14:textId="77777777" w:rsidR="00AB6753" w:rsidRDefault="00AB6753" w:rsidP="002D1EA4">
            <w:pPr>
              <w:spacing w:after="0" w:line="240" w:lineRule="auto"/>
              <w:jc w:val="right"/>
              <w:rPr>
                <w:rFonts w:cs="Arial"/>
                <w:sz w:val="18"/>
                <w:szCs w:val="18"/>
              </w:rPr>
            </w:pPr>
            <w:r>
              <w:rPr>
                <w:rFonts w:cs="Arial"/>
                <w:sz w:val="18"/>
                <w:szCs w:val="18"/>
              </w:rPr>
              <w:t>$'000</w:t>
            </w:r>
          </w:p>
        </w:tc>
      </w:tr>
      <w:tr w:rsidR="00AB6753" w14:paraId="0A8915C6" w14:textId="77777777" w:rsidTr="002D1EA4">
        <w:trPr>
          <w:trHeight w:val="227"/>
        </w:trPr>
        <w:tc>
          <w:tcPr>
            <w:tcW w:w="5033" w:type="dxa"/>
            <w:tcBorders>
              <w:top w:val="nil"/>
              <w:left w:val="nil"/>
              <w:bottom w:val="nil"/>
              <w:right w:val="nil"/>
            </w:tcBorders>
            <w:shd w:val="clear" w:color="000000" w:fill="D9D9D9"/>
            <w:vAlign w:val="bottom"/>
            <w:hideMark/>
          </w:tcPr>
          <w:p w14:paraId="7B673696" w14:textId="77777777" w:rsidR="00AB6753" w:rsidRDefault="00AB6753" w:rsidP="002D1EA4">
            <w:pPr>
              <w:spacing w:after="0" w:line="240" w:lineRule="auto"/>
              <w:rPr>
                <w:rFonts w:cs="Arial"/>
                <w:b/>
                <w:bCs/>
                <w:sz w:val="18"/>
                <w:szCs w:val="18"/>
              </w:rPr>
            </w:pPr>
            <w:r>
              <w:rPr>
                <w:rFonts w:cs="Arial"/>
                <w:b/>
                <w:bCs/>
                <w:sz w:val="18"/>
                <w:szCs w:val="18"/>
              </w:rPr>
              <w:t>OPERATING ACTIVITIES</w:t>
            </w:r>
          </w:p>
        </w:tc>
        <w:tc>
          <w:tcPr>
            <w:tcW w:w="1198" w:type="dxa"/>
            <w:tcBorders>
              <w:top w:val="nil"/>
              <w:left w:val="nil"/>
              <w:bottom w:val="nil"/>
              <w:right w:val="nil"/>
            </w:tcBorders>
            <w:shd w:val="clear" w:color="000000" w:fill="D9D9D9"/>
            <w:noWrap/>
            <w:vAlign w:val="bottom"/>
            <w:hideMark/>
          </w:tcPr>
          <w:p w14:paraId="41A613F9" w14:textId="77777777" w:rsidR="00AB6753" w:rsidRDefault="00AB6753" w:rsidP="002D1EA4">
            <w:pPr>
              <w:spacing w:after="0" w:line="240" w:lineRule="auto"/>
              <w:jc w:val="center"/>
              <w:rPr>
                <w:rFonts w:cs="Arial"/>
                <w:b/>
                <w:bCs/>
                <w:sz w:val="18"/>
                <w:szCs w:val="18"/>
              </w:rPr>
            </w:pPr>
            <w:r>
              <w:rPr>
                <w:rFonts w:cs="Arial"/>
                <w:b/>
                <w:bCs/>
                <w:sz w:val="18"/>
                <w:szCs w:val="18"/>
              </w:rPr>
              <w:t> </w:t>
            </w:r>
          </w:p>
        </w:tc>
        <w:tc>
          <w:tcPr>
            <w:tcW w:w="1404" w:type="dxa"/>
            <w:tcBorders>
              <w:top w:val="nil"/>
              <w:left w:val="nil"/>
              <w:bottom w:val="nil"/>
              <w:right w:val="nil"/>
            </w:tcBorders>
            <w:shd w:val="clear" w:color="000000" w:fill="D9D9D9"/>
            <w:noWrap/>
            <w:vAlign w:val="bottom"/>
            <w:hideMark/>
          </w:tcPr>
          <w:p w14:paraId="1B591E7C" w14:textId="77777777" w:rsidR="00AB6753" w:rsidRDefault="00AB6753" w:rsidP="002D1EA4">
            <w:pPr>
              <w:spacing w:after="0" w:line="240" w:lineRule="auto"/>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44F34B85"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nil"/>
              <w:right w:val="nil"/>
            </w:tcBorders>
            <w:shd w:val="clear" w:color="000000" w:fill="D9D9D9"/>
            <w:noWrap/>
            <w:vAlign w:val="bottom"/>
            <w:hideMark/>
          </w:tcPr>
          <w:p w14:paraId="44A50A4D" w14:textId="77777777" w:rsidR="00AB6753" w:rsidRDefault="00AB6753" w:rsidP="002D1EA4">
            <w:pPr>
              <w:spacing w:after="0" w:line="240" w:lineRule="auto"/>
              <w:rPr>
                <w:rFonts w:cs="Arial"/>
                <w:sz w:val="16"/>
                <w:szCs w:val="16"/>
              </w:rPr>
            </w:pPr>
            <w:r>
              <w:rPr>
                <w:rFonts w:cs="Arial"/>
                <w:sz w:val="16"/>
                <w:szCs w:val="16"/>
              </w:rPr>
              <w:t> </w:t>
            </w:r>
          </w:p>
        </w:tc>
      </w:tr>
      <w:tr w:rsidR="00AB6753" w14:paraId="2387E45A" w14:textId="77777777" w:rsidTr="002D1EA4">
        <w:trPr>
          <w:trHeight w:val="227"/>
        </w:trPr>
        <w:tc>
          <w:tcPr>
            <w:tcW w:w="5033" w:type="dxa"/>
            <w:tcBorders>
              <w:top w:val="nil"/>
              <w:left w:val="nil"/>
              <w:bottom w:val="nil"/>
              <w:right w:val="nil"/>
            </w:tcBorders>
            <w:shd w:val="clear" w:color="000000" w:fill="D9D9D9"/>
            <w:vAlign w:val="bottom"/>
            <w:hideMark/>
          </w:tcPr>
          <w:p w14:paraId="481512B0" w14:textId="77777777" w:rsidR="00AB6753" w:rsidRDefault="00AB6753" w:rsidP="002D1EA4">
            <w:pPr>
              <w:spacing w:after="0" w:line="240" w:lineRule="auto"/>
              <w:rPr>
                <w:rFonts w:cs="Arial"/>
                <w:b/>
                <w:bCs/>
                <w:sz w:val="18"/>
                <w:szCs w:val="18"/>
              </w:rPr>
            </w:pPr>
            <w:r>
              <w:rPr>
                <w:rFonts w:cs="Arial"/>
                <w:b/>
                <w:bCs/>
                <w:sz w:val="18"/>
                <w:szCs w:val="18"/>
              </w:rPr>
              <w:t>Cash received</w:t>
            </w:r>
          </w:p>
        </w:tc>
        <w:tc>
          <w:tcPr>
            <w:tcW w:w="1198" w:type="dxa"/>
            <w:tcBorders>
              <w:top w:val="nil"/>
              <w:left w:val="nil"/>
              <w:bottom w:val="nil"/>
              <w:right w:val="nil"/>
            </w:tcBorders>
            <w:shd w:val="clear" w:color="000000" w:fill="D9D9D9"/>
            <w:noWrap/>
            <w:vAlign w:val="bottom"/>
            <w:hideMark/>
          </w:tcPr>
          <w:p w14:paraId="6B7AC7E5" w14:textId="77777777" w:rsidR="00AB6753" w:rsidRDefault="00AB6753" w:rsidP="002D1EA4">
            <w:pPr>
              <w:spacing w:after="0" w:line="240" w:lineRule="auto"/>
              <w:rPr>
                <w:rFonts w:cs="Arial"/>
                <w:sz w:val="16"/>
                <w:szCs w:val="16"/>
              </w:rPr>
            </w:pPr>
            <w:r>
              <w:rPr>
                <w:rFonts w:cs="Arial"/>
                <w:sz w:val="16"/>
                <w:szCs w:val="16"/>
              </w:rPr>
              <w:t> </w:t>
            </w:r>
          </w:p>
        </w:tc>
        <w:tc>
          <w:tcPr>
            <w:tcW w:w="1404" w:type="dxa"/>
            <w:tcBorders>
              <w:top w:val="nil"/>
              <w:left w:val="nil"/>
              <w:bottom w:val="nil"/>
              <w:right w:val="nil"/>
            </w:tcBorders>
            <w:shd w:val="clear" w:color="000000" w:fill="D9D9D9"/>
            <w:noWrap/>
            <w:vAlign w:val="bottom"/>
            <w:hideMark/>
          </w:tcPr>
          <w:p w14:paraId="605393DA" w14:textId="77777777" w:rsidR="00AB6753" w:rsidRDefault="00AB6753" w:rsidP="002D1EA4">
            <w:pPr>
              <w:spacing w:after="0" w:line="240" w:lineRule="auto"/>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015BEF2F"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nil"/>
              <w:right w:val="nil"/>
            </w:tcBorders>
            <w:shd w:val="clear" w:color="000000" w:fill="D9D9D9"/>
            <w:noWrap/>
            <w:vAlign w:val="bottom"/>
            <w:hideMark/>
          </w:tcPr>
          <w:p w14:paraId="3EF3A183" w14:textId="77777777" w:rsidR="00AB6753" w:rsidRDefault="00AB6753" w:rsidP="002D1EA4">
            <w:pPr>
              <w:spacing w:after="0" w:line="240" w:lineRule="auto"/>
              <w:rPr>
                <w:rFonts w:cs="Arial"/>
                <w:sz w:val="16"/>
                <w:szCs w:val="16"/>
              </w:rPr>
            </w:pPr>
            <w:r>
              <w:rPr>
                <w:rFonts w:cs="Arial"/>
                <w:sz w:val="16"/>
                <w:szCs w:val="16"/>
              </w:rPr>
              <w:t> </w:t>
            </w:r>
          </w:p>
        </w:tc>
      </w:tr>
      <w:tr w:rsidR="00AB6753" w14:paraId="427E7E5B" w14:textId="77777777" w:rsidTr="002D1EA4">
        <w:trPr>
          <w:trHeight w:val="227"/>
        </w:trPr>
        <w:tc>
          <w:tcPr>
            <w:tcW w:w="5033" w:type="dxa"/>
            <w:tcBorders>
              <w:top w:val="nil"/>
              <w:left w:val="nil"/>
              <w:bottom w:val="nil"/>
              <w:right w:val="nil"/>
            </w:tcBorders>
            <w:shd w:val="clear" w:color="000000" w:fill="D9D9D9"/>
            <w:vAlign w:val="bottom"/>
            <w:hideMark/>
          </w:tcPr>
          <w:p w14:paraId="2F5013C2" w14:textId="77777777" w:rsidR="00AB6753" w:rsidRDefault="00AB6753" w:rsidP="002D1EA4">
            <w:pPr>
              <w:spacing w:after="0" w:line="240" w:lineRule="auto"/>
              <w:rPr>
                <w:rFonts w:cs="Arial"/>
                <w:sz w:val="18"/>
                <w:szCs w:val="18"/>
              </w:rPr>
            </w:pPr>
            <w:r>
              <w:rPr>
                <w:rFonts w:cs="Arial"/>
                <w:sz w:val="18"/>
                <w:szCs w:val="18"/>
              </w:rPr>
              <w:t>Interest</w:t>
            </w:r>
          </w:p>
        </w:tc>
        <w:tc>
          <w:tcPr>
            <w:tcW w:w="1198" w:type="dxa"/>
            <w:tcBorders>
              <w:top w:val="single" w:sz="4" w:space="0" w:color="D9D9D9"/>
              <w:left w:val="nil"/>
              <w:bottom w:val="single" w:sz="4" w:space="0" w:color="D9D9D9"/>
              <w:right w:val="nil"/>
            </w:tcBorders>
            <w:shd w:val="clear" w:color="000000" w:fill="D9D9D9"/>
            <w:vAlign w:val="bottom"/>
            <w:hideMark/>
          </w:tcPr>
          <w:p w14:paraId="2E12C2C2"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20C658AE" w14:textId="77777777" w:rsidR="00AB6753" w:rsidRDefault="00AB6753" w:rsidP="002D1EA4">
            <w:pPr>
              <w:spacing w:after="0" w:line="240" w:lineRule="auto"/>
              <w:jc w:val="right"/>
              <w:rPr>
                <w:rFonts w:cs="Arial"/>
                <w:b/>
                <w:bCs/>
                <w:sz w:val="18"/>
                <w:szCs w:val="18"/>
              </w:rPr>
            </w:pPr>
            <w:r>
              <w:rPr>
                <w:rFonts w:cs="Arial"/>
                <w:b/>
                <w:bCs/>
                <w:sz w:val="18"/>
                <w:szCs w:val="18"/>
              </w:rPr>
              <w:t>2,562</w:t>
            </w:r>
          </w:p>
        </w:tc>
        <w:tc>
          <w:tcPr>
            <w:tcW w:w="236" w:type="dxa"/>
            <w:tcBorders>
              <w:top w:val="nil"/>
              <w:left w:val="nil"/>
              <w:bottom w:val="nil"/>
              <w:right w:val="nil"/>
            </w:tcBorders>
            <w:shd w:val="clear" w:color="000000" w:fill="D9D9D9"/>
            <w:noWrap/>
            <w:vAlign w:val="bottom"/>
            <w:hideMark/>
          </w:tcPr>
          <w:p w14:paraId="7444DAA2"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398" w:type="dxa"/>
            <w:tcBorders>
              <w:top w:val="nil"/>
              <w:left w:val="nil"/>
              <w:bottom w:val="nil"/>
              <w:right w:val="nil"/>
            </w:tcBorders>
            <w:shd w:val="clear" w:color="000000" w:fill="D9D9D9"/>
            <w:noWrap/>
            <w:vAlign w:val="bottom"/>
            <w:hideMark/>
          </w:tcPr>
          <w:p w14:paraId="10846760" w14:textId="77777777" w:rsidR="00AB6753" w:rsidRDefault="00AB6753" w:rsidP="002D1EA4">
            <w:pPr>
              <w:spacing w:after="0" w:line="240" w:lineRule="auto"/>
              <w:jc w:val="right"/>
              <w:rPr>
                <w:rFonts w:cs="Arial"/>
                <w:sz w:val="18"/>
                <w:szCs w:val="18"/>
              </w:rPr>
            </w:pPr>
            <w:r>
              <w:rPr>
                <w:rFonts w:cs="Arial"/>
                <w:sz w:val="18"/>
                <w:szCs w:val="18"/>
              </w:rPr>
              <w:t>1,620</w:t>
            </w:r>
          </w:p>
        </w:tc>
      </w:tr>
      <w:tr w:rsidR="00AB6753" w14:paraId="23CAC3DC" w14:textId="77777777" w:rsidTr="002D1EA4">
        <w:trPr>
          <w:trHeight w:val="227"/>
        </w:trPr>
        <w:tc>
          <w:tcPr>
            <w:tcW w:w="5033" w:type="dxa"/>
            <w:tcBorders>
              <w:top w:val="nil"/>
              <w:left w:val="nil"/>
              <w:bottom w:val="nil"/>
              <w:right w:val="nil"/>
            </w:tcBorders>
            <w:shd w:val="clear" w:color="000000" w:fill="D9D9D9"/>
            <w:vAlign w:val="bottom"/>
            <w:hideMark/>
          </w:tcPr>
          <w:p w14:paraId="09C2308B" w14:textId="77777777" w:rsidR="00AB6753" w:rsidRDefault="00AB6753" w:rsidP="002D1EA4">
            <w:pPr>
              <w:spacing w:after="0" w:line="240" w:lineRule="auto"/>
              <w:rPr>
                <w:rFonts w:cs="Arial"/>
                <w:sz w:val="18"/>
                <w:szCs w:val="18"/>
              </w:rPr>
            </w:pPr>
            <w:r>
              <w:rPr>
                <w:rFonts w:cs="Arial"/>
                <w:sz w:val="18"/>
                <w:szCs w:val="18"/>
              </w:rPr>
              <w:t>Special accounts</w:t>
            </w:r>
          </w:p>
        </w:tc>
        <w:tc>
          <w:tcPr>
            <w:tcW w:w="1198" w:type="dxa"/>
            <w:tcBorders>
              <w:top w:val="nil"/>
              <w:left w:val="nil"/>
              <w:bottom w:val="single" w:sz="4" w:space="0" w:color="D9D9D9"/>
              <w:right w:val="nil"/>
            </w:tcBorders>
            <w:shd w:val="clear" w:color="000000" w:fill="D9D9D9"/>
            <w:vAlign w:val="bottom"/>
            <w:hideMark/>
          </w:tcPr>
          <w:p w14:paraId="79CD02E8"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48F58A3F" w14:textId="77777777" w:rsidR="00AB6753" w:rsidRDefault="00AB6753" w:rsidP="002D1EA4">
            <w:pPr>
              <w:spacing w:after="0" w:line="240" w:lineRule="auto"/>
              <w:jc w:val="right"/>
              <w:rPr>
                <w:rFonts w:cs="Arial"/>
                <w:b/>
                <w:bCs/>
                <w:sz w:val="18"/>
                <w:szCs w:val="18"/>
              </w:rPr>
            </w:pPr>
            <w:r>
              <w:rPr>
                <w:rFonts w:cs="Arial"/>
                <w:b/>
                <w:bCs/>
                <w:sz w:val="18"/>
                <w:szCs w:val="18"/>
              </w:rPr>
              <w:t>11,694</w:t>
            </w:r>
          </w:p>
        </w:tc>
        <w:tc>
          <w:tcPr>
            <w:tcW w:w="236" w:type="dxa"/>
            <w:tcBorders>
              <w:top w:val="nil"/>
              <w:left w:val="nil"/>
              <w:bottom w:val="nil"/>
              <w:right w:val="nil"/>
            </w:tcBorders>
            <w:shd w:val="clear" w:color="000000" w:fill="D9D9D9"/>
            <w:noWrap/>
            <w:vAlign w:val="bottom"/>
            <w:hideMark/>
          </w:tcPr>
          <w:p w14:paraId="0EC5786B"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398" w:type="dxa"/>
            <w:tcBorders>
              <w:top w:val="nil"/>
              <w:left w:val="nil"/>
              <w:bottom w:val="nil"/>
              <w:right w:val="nil"/>
            </w:tcBorders>
            <w:shd w:val="clear" w:color="000000" w:fill="D9D9D9"/>
            <w:noWrap/>
            <w:vAlign w:val="bottom"/>
            <w:hideMark/>
          </w:tcPr>
          <w:p w14:paraId="48A95911" w14:textId="77777777" w:rsidR="00AB6753" w:rsidRDefault="00AB6753" w:rsidP="002D1EA4">
            <w:pPr>
              <w:spacing w:after="0" w:line="240" w:lineRule="auto"/>
              <w:jc w:val="right"/>
              <w:rPr>
                <w:rFonts w:cs="Arial"/>
                <w:sz w:val="18"/>
                <w:szCs w:val="18"/>
              </w:rPr>
            </w:pPr>
            <w:r>
              <w:rPr>
                <w:rFonts w:cs="Arial"/>
                <w:sz w:val="18"/>
                <w:szCs w:val="18"/>
              </w:rPr>
              <w:t>7,538</w:t>
            </w:r>
          </w:p>
        </w:tc>
      </w:tr>
      <w:tr w:rsidR="00AB6753" w14:paraId="77371DDC" w14:textId="77777777" w:rsidTr="002D1EA4">
        <w:trPr>
          <w:trHeight w:val="227"/>
        </w:trPr>
        <w:tc>
          <w:tcPr>
            <w:tcW w:w="5033" w:type="dxa"/>
            <w:tcBorders>
              <w:top w:val="nil"/>
              <w:left w:val="nil"/>
              <w:bottom w:val="nil"/>
              <w:right w:val="nil"/>
            </w:tcBorders>
            <w:shd w:val="clear" w:color="000000" w:fill="D9D9D9"/>
            <w:vAlign w:val="bottom"/>
            <w:hideMark/>
          </w:tcPr>
          <w:p w14:paraId="34C88ADE" w14:textId="77777777" w:rsidR="00AB6753" w:rsidRDefault="00AB6753" w:rsidP="002D1EA4">
            <w:pPr>
              <w:spacing w:after="0" w:line="240" w:lineRule="auto"/>
              <w:rPr>
                <w:rFonts w:cs="Arial"/>
                <w:sz w:val="18"/>
                <w:szCs w:val="18"/>
              </w:rPr>
            </w:pPr>
            <w:r>
              <w:rPr>
                <w:rFonts w:cs="Arial"/>
                <w:sz w:val="18"/>
                <w:szCs w:val="18"/>
              </w:rPr>
              <w:t>GST received</w:t>
            </w:r>
          </w:p>
        </w:tc>
        <w:tc>
          <w:tcPr>
            <w:tcW w:w="1198" w:type="dxa"/>
            <w:tcBorders>
              <w:top w:val="nil"/>
              <w:left w:val="nil"/>
              <w:bottom w:val="single" w:sz="4" w:space="0" w:color="D9D9D9"/>
              <w:right w:val="nil"/>
            </w:tcBorders>
            <w:shd w:val="clear" w:color="000000" w:fill="D9D9D9"/>
            <w:vAlign w:val="bottom"/>
            <w:hideMark/>
          </w:tcPr>
          <w:p w14:paraId="0C84261E"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44B6FA9B" w14:textId="77777777" w:rsidR="00AB6753" w:rsidRDefault="00AB6753" w:rsidP="002D1EA4">
            <w:pPr>
              <w:spacing w:after="0" w:line="240" w:lineRule="auto"/>
              <w:jc w:val="right"/>
              <w:rPr>
                <w:rFonts w:cs="Arial"/>
                <w:b/>
                <w:bCs/>
                <w:sz w:val="18"/>
                <w:szCs w:val="18"/>
              </w:rPr>
            </w:pPr>
            <w:r>
              <w:rPr>
                <w:rFonts w:cs="Arial"/>
                <w:b/>
                <w:bCs/>
                <w:sz w:val="18"/>
                <w:szCs w:val="18"/>
              </w:rPr>
              <w:t>237,233</w:t>
            </w:r>
          </w:p>
        </w:tc>
        <w:tc>
          <w:tcPr>
            <w:tcW w:w="236" w:type="dxa"/>
            <w:tcBorders>
              <w:top w:val="nil"/>
              <w:left w:val="nil"/>
              <w:bottom w:val="nil"/>
              <w:right w:val="nil"/>
            </w:tcBorders>
            <w:shd w:val="clear" w:color="000000" w:fill="D9D9D9"/>
            <w:noWrap/>
            <w:vAlign w:val="bottom"/>
            <w:hideMark/>
          </w:tcPr>
          <w:p w14:paraId="3AB8DE81"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398" w:type="dxa"/>
            <w:tcBorders>
              <w:top w:val="nil"/>
              <w:left w:val="nil"/>
              <w:bottom w:val="nil"/>
              <w:right w:val="nil"/>
            </w:tcBorders>
            <w:shd w:val="clear" w:color="000000" w:fill="D9D9D9"/>
            <w:noWrap/>
            <w:vAlign w:val="bottom"/>
            <w:hideMark/>
          </w:tcPr>
          <w:p w14:paraId="613CDEAB" w14:textId="77777777" w:rsidR="00AB6753" w:rsidRDefault="00AB6753" w:rsidP="002D1EA4">
            <w:pPr>
              <w:spacing w:after="0" w:line="240" w:lineRule="auto"/>
              <w:jc w:val="right"/>
              <w:rPr>
                <w:rFonts w:cs="Arial"/>
                <w:sz w:val="18"/>
                <w:szCs w:val="18"/>
              </w:rPr>
            </w:pPr>
            <w:r>
              <w:rPr>
                <w:rFonts w:cs="Arial"/>
                <w:sz w:val="18"/>
                <w:szCs w:val="18"/>
              </w:rPr>
              <w:t>212,851</w:t>
            </w:r>
          </w:p>
        </w:tc>
      </w:tr>
      <w:tr w:rsidR="00AB6753" w14:paraId="53F7B1AE" w14:textId="77777777" w:rsidTr="002D1EA4">
        <w:trPr>
          <w:trHeight w:val="227"/>
        </w:trPr>
        <w:tc>
          <w:tcPr>
            <w:tcW w:w="5033" w:type="dxa"/>
            <w:tcBorders>
              <w:top w:val="nil"/>
              <w:left w:val="nil"/>
              <w:bottom w:val="nil"/>
              <w:right w:val="nil"/>
            </w:tcBorders>
            <w:shd w:val="clear" w:color="000000" w:fill="D9D9D9"/>
            <w:vAlign w:val="bottom"/>
            <w:hideMark/>
          </w:tcPr>
          <w:p w14:paraId="188175AA" w14:textId="77777777" w:rsidR="00AB6753" w:rsidRDefault="00AB6753" w:rsidP="002D1EA4">
            <w:pPr>
              <w:spacing w:after="0" w:line="240" w:lineRule="auto"/>
              <w:rPr>
                <w:rFonts w:cs="Arial"/>
                <w:sz w:val="18"/>
                <w:szCs w:val="18"/>
              </w:rPr>
            </w:pPr>
            <w:r>
              <w:rPr>
                <w:rFonts w:cs="Arial"/>
                <w:sz w:val="18"/>
                <w:szCs w:val="18"/>
              </w:rPr>
              <w:t>Personal benefits recoveries</w:t>
            </w:r>
          </w:p>
        </w:tc>
        <w:tc>
          <w:tcPr>
            <w:tcW w:w="1198" w:type="dxa"/>
            <w:tcBorders>
              <w:top w:val="nil"/>
              <w:left w:val="nil"/>
              <w:bottom w:val="single" w:sz="4" w:space="0" w:color="D9D9D9"/>
              <w:right w:val="nil"/>
            </w:tcBorders>
            <w:shd w:val="clear" w:color="000000" w:fill="D9D9D9"/>
            <w:vAlign w:val="bottom"/>
            <w:hideMark/>
          </w:tcPr>
          <w:p w14:paraId="398BAE3C"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3EA80578" w14:textId="77777777" w:rsidR="00AB6753" w:rsidRDefault="00AB6753" w:rsidP="002D1EA4">
            <w:pPr>
              <w:spacing w:after="0" w:line="240" w:lineRule="auto"/>
              <w:jc w:val="right"/>
              <w:rPr>
                <w:rFonts w:cs="Arial"/>
                <w:b/>
                <w:bCs/>
                <w:sz w:val="18"/>
                <w:szCs w:val="18"/>
              </w:rPr>
            </w:pPr>
            <w:r>
              <w:rPr>
                <w:rFonts w:cs="Arial"/>
                <w:b/>
                <w:bCs/>
                <w:sz w:val="18"/>
                <w:szCs w:val="18"/>
              </w:rPr>
              <w:t>699,248</w:t>
            </w:r>
          </w:p>
        </w:tc>
        <w:tc>
          <w:tcPr>
            <w:tcW w:w="236" w:type="dxa"/>
            <w:tcBorders>
              <w:top w:val="nil"/>
              <w:left w:val="nil"/>
              <w:bottom w:val="nil"/>
              <w:right w:val="nil"/>
            </w:tcBorders>
            <w:shd w:val="clear" w:color="000000" w:fill="D9D9D9"/>
            <w:noWrap/>
            <w:vAlign w:val="bottom"/>
            <w:hideMark/>
          </w:tcPr>
          <w:p w14:paraId="4EE6A5FC"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398" w:type="dxa"/>
            <w:tcBorders>
              <w:top w:val="nil"/>
              <w:left w:val="nil"/>
              <w:bottom w:val="nil"/>
              <w:right w:val="nil"/>
            </w:tcBorders>
            <w:shd w:val="clear" w:color="000000" w:fill="D9D9D9"/>
            <w:noWrap/>
            <w:vAlign w:val="bottom"/>
            <w:hideMark/>
          </w:tcPr>
          <w:p w14:paraId="017A82C7" w14:textId="77777777" w:rsidR="00AB6753" w:rsidRDefault="00AB6753" w:rsidP="002D1EA4">
            <w:pPr>
              <w:spacing w:after="0" w:line="240" w:lineRule="auto"/>
              <w:jc w:val="right"/>
              <w:rPr>
                <w:rFonts w:cs="Arial"/>
                <w:sz w:val="18"/>
                <w:szCs w:val="18"/>
              </w:rPr>
            </w:pPr>
            <w:r>
              <w:rPr>
                <w:rFonts w:cs="Arial"/>
                <w:sz w:val="18"/>
                <w:szCs w:val="18"/>
              </w:rPr>
              <w:t>798,904</w:t>
            </w:r>
          </w:p>
        </w:tc>
      </w:tr>
      <w:tr w:rsidR="00AB6753" w14:paraId="5B116CE7" w14:textId="77777777" w:rsidTr="002D1EA4">
        <w:trPr>
          <w:trHeight w:val="227"/>
        </w:trPr>
        <w:tc>
          <w:tcPr>
            <w:tcW w:w="5033" w:type="dxa"/>
            <w:tcBorders>
              <w:top w:val="nil"/>
              <w:left w:val="nil"/>
              <w:bottom w:val="nil"/>
              <w:right w:val="nil"/>
            </w:tcBorders>
            <w:shd w:val="clear" w:color="000000" w:fill="D9D9D9"/>
            <w:vAlign w:val="bottom"/>
            <w:hideMark/>
          </w:tcPr>
          <w:p w14:paraId="6068528D" w14:textId="77777777" w:rsidR="00AB6753" w:rsidRDefault="00AB6753" w:rsidP="002D1EA4">
            <w:pPr>
              <w:spacing w:after="0" w:line="240" w:lineRule="auto"/>
              <w:rPr>
                <w:rFonts w:cs="Arial"/>
                <w:sz w:val="18"/>
                <w:szCs w:val="18"/>
              </w:rPr>
            </w:pPr>
            <w:r>
              <w:rPr>
                <w:rFonts w:cs="Arial"/>
                <w:sz w:val="18"/>
                <w:szCs w:val="18"/>
              </w:rPr>
              <w:t>Rendering of services</w:t>
            </w:r>
          </w:p>
        </w:tc>
        <w:tc>
          <w:tcPr>
            <w:tcW w:w="1198" w:type="dxa"/>
            <w:tcBorders>
              <w:top w:val="nil"/>
              <w:left w:val="nil"/>
              <w:bottom w:val="single" w:sz="4" w:space="0" w:color="D9D9D9"/>
              <w:right w:val="nil"/>
            </w:tcBorders>
            <w:shd w:val="clear" w:color="000000" w:fill="D9D9D9"/>
            <w:vAlign w:val="bottom"/>
            <w:hideMark/>
          </w:tcPr>
          <w:p w14:paraId="1D33D792"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68E1C88A" w14:textId="77777777" w:rsidR="00AB6753" w:rsidRDefault="00AB6753" w:rsidP="002D1EA4">
            <w:pPr>
              <w:spacing w:after="0" w:line="240" w:lineRule="auto"/>
              <w:jc w:val="right"/>
              <w:rPr>
                <w:rFonts w:cs="Arial"/>
                <w:b/>
                <w:bCs/>
                <w:sz w:val="18"/>
                <w:szCs w:val="18"/>
              </w:rPr>
            </w:pPr>
            <w:r>
              <w:rPr>
                <w:rFonts w:cs="Arial"/>
                <w:b/>
                <w:bCs/>
                <w:sz w:val="18"/>
                <w:szCs w:val="18"/>
              </w:rPr>
              <w:t>9,595</w:t>
            </w:r>
          </w:p>
        </w:tc>
        <w:tc>
          <w:tcPr>
            <w:tcW w:w="236" w:type="dxa"/>
            <w:tcBorders>
              <w:top w:val="nil"/>
              <w:left w:val="nil"/>
              <w:bottom w:val="nil"/>
              <w:right w:val="nil"/>
            </w:tcBorders>
            <w:shd w:val="clear" w:color="000000" w:fill="D9D9D9"/>
            <w:noWrap/>
            <w:vAlign w:val="bottom"/>
            <w:hideMark/>
          </w:tcPr>
          <w:p w14:paraId="38D7416E"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398" w:type="dxa"/>
            <w:tcBorders>
              <w:top w:val="nil"/>
              <w:left w:val="nil"/>
              <w:bottom w:val="nil"/>
              <w:right w:val="nil"/>
            </w:tcBorders>
            <w:shd w:val="clear" w:color="000000" w:fill="D9D9D9"/>
            <w:noWrap/>
            <w:vAlign w:val="bottom"/>
            <w:hideMark/>
          </w:tcPr>
          <w:p w14:paraId="34F5F6FF" w14:textId="77777777" w:rsidR="00AB6753" w:rsidRDefault="00AB6753" w:rsidP="002D1EA4">
            <w:pPr>
              <w:spacing w:after="0" w:line="240" w:lineRule="auto"/>
              <w:jc w:val="right"/>
              <w:rPr>
                <w:rFonts w:cs="Arial"/>
                <w:sz w:val="18"/>
                <w:szCs w:val="18"/>
              </w:rPr>
            </w:pPr>
            <w:r>
              <w:rPr>
                <w:rFonts w:cs="Arial"/>
                <w:sz w:val="18"/>
                <w:szCs w:val="18"/>
              </w:rPr>
              <w:t xml:space="preserve"> -</w:t>
            </w:r>
          </w:p>
        </w:tc>
      </w:tr>
      <w:tr w:rsidR="00AB6753" w14:paraId="2D3E98F5" w14:textId="77777777" w:rsidTr="002D1EA4">
        <w:trPr>
          <w:trHeight w:val="227"/>
        </w:trPr>
        <w:tc>
          <w:tcPr>
            <w:tcW w:w="5033" w:type="dxa"/>
            <w:tcBorders>
              <w:top w:val="nil"/>
              <w:left w:val="nil"/>
              <w:bottom w:val="nil"/>
              <w:right w:val="nil"/>
            </w:tcBorders>
            <w:shd w:val="clear" w:color="000000" w:fill="D9D9D9"/>
            <w:vAlign w:val="bottom"/>
            <w:hideMark/>
          </w:tcPr>
          <w:p w14:paraId="468BB2B5" w14:textId="77777777" w:rsidR="00AB6753" w:rsidRDefault="00AB6753" w:rsidP="002D1EA4">
            <w:pPr>
              <w:spacing w:after="0" w:line="240" w:lineRule="auto"/>
              <w:rPr>
                <w:rFonts w:cs="Arial"/>
                <w:sz w:val="18"/>
                <w:szCs w:val="18"/>
              </w:rPr>
            </w:pPr>
            <w:r>
              <w:rPr>
                <w:rFonts w:cs="Arial"/>
                <w:sz w:val="18"/>
                <w:szCs w:val="18"/>
              </w:rPr>
              <w:t>Other</w:t>
            </w:r>
          </w:p>
        </w:tc>
        <w:tc>
          <w:tcPr>
            <w:tcW w:w="1198" w:type="dxa"/>
            <w:tcBorders>
              <w:top w:val="nil"/>
              <w:left w:val="nil"/>
              <w:bottom w:val="single" w:sz="4" w:space="0" w:color="D9D9D9"/>
              <w:right w:val="nil"/>
            </w:tcBorders>
            <w:shd w:val="clear" w:color="000000" w:fill="D9D9D9"/>
            <w:vAlign w:val="bottom"/>
            <w:hideMark/>
          </w:tcPr>
          <w:p w14:paraId="7853ACF5"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3D1F1FBA" w14:textId="77777777" w:rsidR="00AB6753" w:rsidRDefault="00AB6753" w:rsidP="002D1EA4">
            <w:pPr>
              <w:spacing w:after="0" w:line="240" w:lineRule="auto"/>
              <w:jc w:val="right"/>
              <w:rPr>
                <w:rFonts w:cs="Arial"/>
                <w:b/>
                <w:bCs/>
                <w:sz w:val="18"/>
                <w:szCs w:val="18"/>
              </w:rPr>
            </w:pPr>
            <w:r>
              <w:rPr>
                <w:rFonts w:cs="Arial"/>
                <w:b/>
                <w:bCs/>
                <w:sz w:val="18"/>
                <w:szCs w:val="18"/>
              </w:rPr>
              <w:t>143,050</w:t>
            </w:r>
          </w:p>
        </w:tc>
        <w:tc>
          <w:tcPr>
            <w:tcW w:w="236" w:type="dxa"/>
            <w:tcBorders>
              <w:top w:val="nil"/>
              <w:left w:val="nil"/>
              <w:bottom w:val="nil"/>
              <w:right w:val="nil"/>
            </w:tcBorders>
            <w:shd w:val="clear" w:color="000000" w:fill="D9D9D9"/>
            <w:noWrap/>
            <w:vAlign w:val="bottom"/>
            <w:hideMark/>
          </w:tcPr>
          <w:p w14:paraId="6E10EB9F"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398" w:type="dxa"/>
            <w:tcBorders>
              <w:top w:val="nil"/>
              <w:left w:val="nil"/>
              <w:bottom w:val="nil"/>
              <w:right w:val="nil"/>
            </w:tcBorders>
            <w:shd w:val="clear" w:color="000000" w:fill="D9D9D9"/>
            <w:noWrap/>
            <w:vAlign w:val="bottom"/>
            <w:hideMark/>
          </w:tcPr>
          <w:p w14:paraId="1A2C36CA" w14:textId="77777777" w:rsidR="00AB6753" w:rsidRDefault="00AB6753" w:rsidP="002D1EA4">
            <w:pPr>
              <w:spacing w:after="0" w:line="240" w:lineRule="auto"/>
              <w:jc w:val="right"/>
              <w:rPr>
                <w:rFonts w:cs="Arial"/>
                <w:sz w:val="18"/>
                <w:szCs w:val="18"/>
              </w:rPr>
            </w:pPr>
            <w:r>
              <w:rPr>
                <w:rFonts w:cs="Arial"/>
                <w:sz w:val="18"/>
                <w:szCs w:val="18"/>
              </w:rPr>
              <w:t>21,113</w:t>
            </w:r>
          </w:p>
        </w:tc>
      </w:tr>
      <w:tr w:rsidR="00AB6753" w14:paraId="1813880F" w14:textId="77777777" w:rsidTr="002D1EA4">
        <w:trPr>
          <w:trHeight w:val="227"/>
        </w:trPr>
        <w:tc>
          <w:tcPr>
            <w:tcW w:w="5033" w:type="dxa"/>
            <w:tcBorders>
              <w:top w:val="single" w:sz="4" w:space="0" w:color="D9D9D9"/>
              <w:left w:val="nil"/>
              <w:bottom w:val="single" w:sz="4" w:space="0" w:color="D9D9D9"/>
              <w:right w:val="nil"/>
            </w:tcBorders>
            <w:shd w:val="clear" w:color="000000" w:fill="D9D9D9"/>
            <w:noWrap/>
            <w:vAlign w:val="bottom"/>
            <w:hideMark/>
          </w:tcPr>
          <w:p w14:paraId="557EC3F9" w14:textId="77777777" w:rsidR="00AB6753" w:rsidRDefault="00AB6753" w:rsidP="002D1EA4">
            <w:pPr>
              <w:spacing w:after="0" w:line="240" w:lineRule="auto"/>
              <w:rPr>
                <w:rFonts w:cs="Arial"/>
                <w:b/>
                <w:bCs/>
                <w:sz w:val="18"/>
                <w:szCs w:val="18"/>
              </w:rPr>
            </w:pPr>
            <w:r>
              <w:rPr>
                <w:rFonts w:cs="Arial"/>
                <w:b/>
                <w:bCs/>
                <w:sz w:val="18"/>
                <w:szCs w:val="18"/>
              </w:rPr>
              <w:t>Total cash received</w:t>
            </w:r>
          </w:p>
        </w:tc>
        <w:tc>
          <w:tcPr>
            <w:tcW w:w="1198" w:type="dxa"/>
            <w:tcBorders>
              <w:top w:val="nil"/>
              <w:left w:val="nil"/>
              <w:bottom w:val="single" w:sz="4" w:space="0" w:color="D9D9D9"/>
              <w:right w:val="nil"/>
            </w:tcBorders>
            <w:shd w:val="clear" w:color="000000" w:fill="D9D9D9"/>
            <w:vAlign w:val="bottom"/>
            <w:hideMark/>
          </w:tcPr>
          <w:p w14:paraId="7B31008B"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single" w:sz="4" w:space="0" w:color="auto"/>
              <w:left w:val="nil"/>
              <w:bottom w:val="single" w:sz="4" w:space="0" w:color="auto"/>
              <w:right w:val="nil"/>
            </w:tcBorders>
            <w:shd w:val="clear" w:color="000000" w:fill="D9D9D9"/>
            <w:noWrap/>
            <w:vAlign w:val="bottom"/>
            <w:hideMark/>
          </w:tcPr>
          <w:p w14:paraId="21EED394" w14:textId="77777777" w:rsidR="00AB6753" w:rsidRDefault="00AB6753" w:rsidP="002D1EA4">
            <w:pPr>
              <w:spacing w:after="0" w:line="240" w:lineRule="auto"/>
              <w:jc w:val="right"/>
              <w:rPr>
                <w:rFonts w:cs="Arial"/>
                <w:b/>
                <w:bCs/>
                <w:sz w:val="18"/>
                <w:szCs w:val="18"/>
              </w:rPr>
            </w:pPr>
            <w:r>
              <w:rPr>
                <w:rFonts w:cs="Arial"/>
                <w:b/>
                <w:bCs/>
                <w:sz w:val="18"/>
                <w:szCs w:val="18"/>
              </w:rPr>
              <w:t>1,103,382</w:t>
            </w:r>
          </w:p>
        </w:tc>
        <w:tc>
          <w:tcPr>
            <w:tcW w:w="236" w:type="dxa"/>
            <w:tcBorders>
              <w:top w:val="single" w:sz="4" w:space="0" w:color="D9D9D9"/>
              <w:left w:val="nil"/>
              <w:bottom w:val="single" w:sz="4" w:space="0" w:color="D9D9D9"/>
              <w:right w:val="nil"/>
            </w:tcBorders>
            <w:shd w:val="clear" w:color="000000" w:fill="D9D9D9"/>
            <w:noWrap/>
            <w:vAlign w:val="bottom"/>
            <w:hideMark/>
          </w:tcPr>
          <w:p w14:paraId="62378AA3"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single" w:sz="4" w:space="0" w:color="auto"/>
              <w:left w:val="nil"/>
              <w:bottom w:val="single" w:sz="4" w:space="0" w:color="auto"/>
              <w:right w:val="nil"/>
            </w:tcBorders>
            <w:shd w:val="clear" w:color="000000" w:fill="D9D9D9"/>
            <w:noWrap/>
            <w:vAlign w:val="bottom"/>
            <w:hideMark/>
          </w:tcPr>
          <w:p w14:paraId="07CE8010" w14:textId="77777777" w:rsidR="00AB6753" w:rsidRDefault="00AB6753" w:rsidP="002D1EA4">
            <w:pPr>
              <w:spacing w:after="0" w:line="240" w:lineRule="auto"/>
              <w:jc w:val="right"/>
              <w:rPr>
                <w:rFonts w:cs="Arial"/>
                <w:sz w:val="18"/>
                <w:szCs w:val="18"/>
              </w:rPr>
            </w:pPr>
            <w:r>
              <w:rPr>
                <w:rFonts w:cs="Arial"/>
                <w:sz w:val="18"/>
                <w:szCs w:val="18"/>
              </w:rPr>
              <w:t>1,042,026</w:t>
            </w:r>
          </w:p>
        </w:tc>
      </w:tr>
      <w:tr w:rsidR="00AB6753" w14:paraId="55A630AC" w14:textId="77777777" w:rsidTr="002D1EA4">
        <w:trPr>
          <w:trHeight w:val="227"/>
        </w:trPr>
        <w:tc>
          <w:tcPr>
            <w:tcW w:w="5033" w:type="dxa"/>
            <w:tcBorders>
              <w:top w:val="nil"/>
              <w:left w:val="nil"/>
              <w:bottom w:val="nil"/>
              <w:right w:val="nil"/>
            </w:tcBorders>
            <w:shd w:val="clear" w:color="000000" w:fill="D9D9D9"/>
            <w:noWrap/>
            <w:vAlign w:val="bottom"/>
            <w:hideMark/>
          </w:tcPr>
          <w:p w14:paraId="40575B4D" w14:textId="77777777" w:rsidR="00AB6753" w:rsidRDefault="00AB6753" w:rsidP="002D1EA4">
            <w:pPr>
              <w:spacing w:after="0" w:line="240" w:lineRule="auto"/>
              <w:rPr>
                <w:rFonts w:cs="Arial"/>
                <w:sz w:val="16"/>
                <w:szCs w:val="16"/>
              </w:rPr>
            </w:pPr>
            <w:r>
              <w:rPr>
                <w:rFonts w:cs="Arial"/>
                <w:sz w:val="16"/>
                <w:szCs w:val="16"/>
              </w:rPr>
              <w:t> </w:t>
            </w:r>
          </w:p>
        </w:tc>
        <w:tc>
          <w:tcPr>
            <w:tcW w:w="1198" w:type="dxa"/>
            <w:tcBorders>
              <w:top w:val="nil"/>
              <w:left w:val="nil"/>
              <w:bottom w:val="single" w:sz="4" w:space="0" w:color="D9D9D9"/>
              <w:right w:val="nil"/>
            </w:tcBorders>
            <w:shd w:val="clear" w:color="000000" w:fill="D9D9D9"/>
            <w:vAlign w:val="bottom"/>
            <w:hideMark/>
          </w:tcPr>
          <w:p w14:paraId="7256671F"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77BEFB68" w14:textId="77777777" w:rsidR="00AB6753" w:rsidRDefault="00AB6753" w:rsidP="002D1EA4">
            <w:pPr>
              <w:spacing w:after="0" w:line="240" w:lineRule="auto"/>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74BFBB64"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nil"/>
              <w:right w:val="nil"/>
            </w:tcBorders>
            <w:shd w:val="clear" w:color="000000" w:fill="D9D9D9"/>
            <w:noWrap/>
            <w:vAlign w:val="bottom"/>
            <w:hideMark/>
          </w:tcPr>
          <w:p w14:paraId="7A84D9D8" w14:textId="77777777" w:rsidR="00AB6753" w:rsidRDefault="00AB6753" w:rsidP="002D1EA4">
            <w:pPr>
              <w:spacing w:after="0" w:line="240" w:lineRule="auto"/>
              <w:rPr>
                <w:rFonts w:cs="Arial"/>
                <w:sz w:val="16"/>
                <w:szCs w:val="16"/>
              </w:rPr>
            </w:pPr>
            <w:r>
              <w:rPr>
                <w:rFonts w:cs="Arial"/>
                <w:sz w:val="16"/>
                <w:szCs w:val="16"/>
              </w:rPr>
              <w:t> </w:t>
            </w:r>
          </w:p>
        </w:tc>
      </w:tr>
      <w:tr w:rsidR="00AB6753" w14:paraId="76D75A87" w14:textId="77777777" w:rsidTr="002D1EA4">
        <w:trPr>
          <w:trHeight w:val="227"/>
        </w:trPr>
        <w:tc>
          <w:tcPr>
            <w:tcW w:w="5033" w:type="dxa"/>
            <w:tcBorders>
              <w:top w:val="nil"/>
              <w:left w:val="nil"/>
              <w:bottom w:val="nil"/>
              <w:right w:val="nil"/>
            </w:tcBorders>
            <w:shd w:val="clear" w:color="000000" w:fill="D9D9D9"/>
            <w:vAlign w:val="bottom"/>
            <w:hideMark/>
          </w:tcPr>
          <w:p w14:paraId="63A62467" w14:textId="77777777" w:rsidR="00AB6753" w:rsidRDefault="00AB6753" w:rsidP="002D1EA4">
            <w:pPr>
              <w:spacing w:after="0" w:line="240" w:lineRule="auto"/>
              <w:rPr>
                <w:rFonts w:cs="Arial"/>
                <w:b/>
                <w:bCs/>
                <w:sz w:val="18"/>
                <w:szCs w:val="18"/>
              </w:rPr>
            </w:pPr>
            <w:r>
              <w:rPr>
                <w:rFonts w:cs="Arial"/>
                <w:b/>
                <w:bCs/>
                <w:sz w:val="18"/>
                <w:szCs w:val="18"/>
              </w:rPr>
              <w:t>Cash used</w:t>
            </w:r>
          </w:p>
        </w:tc>
        <w:tc>
          <w:tcPr>
            <w:tcW w:w="1198" w:type="dxa"/>
            <w:tcBorders>
              <w:top w:val="nil"/>
              <w:left w:val="nil"/>
              <w:bottom w:val="single" w:sz="4" w:space="0" w:color="D9D9D9"/>
              <w:right w:val="nil"/>
            </w:tcBorders>
            <w:shd w:val="clear" w:color="000000" w:fill="D9D9D9"/>
            <w:vAlign w:val="bottom"/>
            <w:hideMark/>
          </w:tcPr>
          <w:p w14:paraId="77CF6F29"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6BE87FBD" w14:textId="77777777" w:rsidR="00AB6753" w:rsidRDefault="00AB6753" w:rsidP="002D1EA4">
            <w:pPr>
              <w:spacing w:after="0" w:line="240" w:lineRule="auto"/>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51795BA3"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nil"/>
              <w:right w:val="nil"/>
            </w:tcBorders>
            <w:shd w:val="clear" w:color="000000" w:fill="D9D9D9"/>
            <w:noWrap/>
            <w:vAlign w:val="bottom"/>
            <w:hideMark/>
          </w:tcPr>
          <w:p w14:paraId="37BD5E4C" w14:textId="77777777" w:rsidR="00AB6753" w:rsidRDefault="00AB6753" w:rsidP="002D1EA4">
            <w:pPr>
              <w:spacing w:after="0" w:line="240" w:lineRule="auto"/>
              <w:rPr>
                <w:rFonts w:cs="Arial"/>
                <w:sz w:val="16"/>
                <w:szCs w:val="16"/>
              </w:rPr>
            </w:pPr>
            <w:r>
              <w:rPr>
                <w:rFonts w:cs="Arial"/>
                <w:sz w:val="16"/>
                <w:szCs w:val="16"/>
              </w:rPr>
              <w:t> </w:t>
            </w:r>
          </w:p>
        </w:tc>
      </w:tr>
      <w:tr w:rsidR="00AB6753" w14:paraId="6663B376" w14:textId="77777777" w:rsidTr="002D1EA4">
        <w:trPr>
          <w:trHeight w:val="227"/>
        </w:trPr>
        <w:tc>
          <w:tcPr>
            <w:tcW w:w="5033" w:type="dxa"/>
            <w:tcBorders>
              <w:top w:val="nil"/>
              <w:left w:val="nil"/>
              <w:bottom w:val="nil"/>
              <w:right w:val="nil"/>
            </w:tcBorders>
            <w:shd w:val="clear" w:color="000000" w:fill="D9D9D9"/>
            <w:vAlign w:val="bottom"/>
            <w:hideMark/>
          </w:tcPr>
          <w:p w14:paraId="3EB8F3D7" w14:textId="77777777" w:rsidR="00AB6753" w:rsidRDefault="00AB6753" w:rsidP="002D1EA4">
            <w:pPr>
              <w:spacing w:after="0" w:line="240" w:lineRule="auto"/>
              <w:rPr>
                <w:rFonts w:cs="Arial"/>
                <w:sz w:val="18"/>
                <w:szCs w:val="18"/>
              </w:rPr>
            </w:pPr>
            <w:r>
              <w:rPr>
                <w:rFonts w:cs="Arial"/>
                <w:sz w:val="18"/>
                <w:szCs w:val="18"/>
              </w:rPr>
              <w:t>Grants</w:t>
            </w:r>
          </w:p>
        </w:tc>
        <w:tc>
          <w:tcPr>
            <w:tcW w:w="1198" w:type="dxa"/>
            <w:tcBorders>
              <w:top w:val="nil"/>
              <w:left w:val="nil"/>
              <w:bottom w:val="single" w:sz="4" w:space="0" w:color="D9D9D9"/>
              <w:right w:val="nil"/>
            </w:tcBorders>
            <w:shd w:val="clear" w:color="000000" w:fill="D9D9D9"/>
            <w:vAlign w:val="bottom"/>
            <w:hideMark/>
          </w:tcPr>
          <w:p w14:paraId="586F5040"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41669C97" w14:textId="77777777" w:rsidR="00AB6753" w:rsidRDefault="00AB6753" w:rsidP="002D1EA4">
            <w:pPr>
              <w:spacing w:after="0" w:line="240" w:lineRule="auto"/>
              <w:jc w:val="right"/>
              <w:rPr>
                <w:rFonts w:cs="Arial"/>
                <w:b/>
                <w:bCs/>
                <w:sz w:val="18"/>
                <w:szCs w:val="18"/>
              </w:rPr>
            </w:pPr>
            <w:r>
              <w:rPr>
                <w:rFonts w:cs="Arial"/>
                <w:b/>
                <w:bCs/>
                <w:sz w:val="18"/>
                <w:szCs w:val="18"/>
              </w:rPr>
              <w:t>2,932,726</w:t>
            </w:r>
          </w:p>
        </w:tc>
        <w:tc>
          <w:tcPr>
            <w:tcW w:w="236" w:type="dxa"/>
            <w:tcBorders>
              <w:top w:val="nil"/>
              <w:left w:val="nil"/>
              <w:bottom w:val="nil"/>
              <w:right w:val="nil"/>
            </w:tcBorders>
            <w:shd w:val="clear" w:color="000000" w:fill="D9D9D9"/>
            <w:noWrap/>
            <w:vAlign w:val="bottom"/>
            <w:hideMark/>
          </w:tcPr>
          <w:p w14:paraId="18921191"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398" w:type="dxa"/>
            <w:tcBorders>
              <w:top w:val="nil"/>
              <w:left w:val="nil"/>
              <w:bottom w:val="nil"/>
              <w:right w:val="nil"/>
            </w:tcBorders>
            <w:shd w:val="clear" w:color="000000" w:fill="D9D9D9"/>
            <w:noWrap/>
            <w:vAlign w:val="bottom"/>
            <w:hideMark/>
          </w:tcPr>
          <w:p w14:paraId="36B8B0CF" w14:textId="77777777" w:rsidR="00AB6753" w:rsidRDefault="00AB6753" w:rsidP="002D1EA4">
            <w:pPr>
              <w:spacing w:after="0" w:line="240" w:lineRule="auto"/>
              <w:jc w:val="right"/>
              <w:rPr>
                <w:rFonts w:cs="Arial"/>
                <w:sz w:val="18"/>
                <w:szCs w:val="18"/>
              </w:rPr>
            </w:pPr>
            <w:r>
              <w:rPr>
                <w:rFonts w:cs="Arial"/>
                <w:sz w:val="18"/>
                <w:szCs w:val="18"/>
              </w:rPr>
              <w:t>2,684,786</w:t>
            </w:r>
          </w:p>
        </w:tc>
      </w:tr>
      <w:tr w:rsidR="00AB6753" w14:paraId="5E282761" w14:textId="77777777" w:rsidTr="002D1EA4">
        <w:trPr>
          <w:trHeight w:val="227"/>
        </w:trPr>
        <w:tc>
          <w:tcPr>
            <w:tcW w:w="5033" w:type="dxa"/>
            <w:tcBorders>
              <w:top w:val="nil"/>
              <w:left w:val="nil"/>
              <w:bottom w:val="nil"/>
              <w:right w:val="nil"/>
            </w:tcBorders>
            <w:shd w:val="clear" w:color="000000" w:fill="D9D9D9"/>
            <w:vAlign w:val="bottom"/>
            <w:hideMark/>
          </w:tcPr>
          <w:p w14:paraId="19E8B3E6" w14:textId="77777777" w:rsidR="00AB6753" w:rsidRDefault="00AB6753" w:rsidP="002D1EA4">
            <w:pPr>
              <w:spacing w:after="0" w:line="240" w:lineRule="auto"/>
              <w:rPr>
                <w:rFonts w:cs="Arial"/>
                <w:sz w:val="18"/>
                <w:szCs w:val="18"/>
              </w:rPr>
            </w:pPr>
            <w:r>
              <w:rPr>
                <w:rFonts w:cs="Arial"/>
                <w:sz w:val="18"/>
                <w:szCs w:val="18"/>
              </w:rPr>
              <w:t>Subsidies</w:t>
            </w:r>
          </w:p>
        </w:tc>
        <w:tc>
          <w:tcPr>
            <w:tcW w:w="1198" w:type="dxa"/>
            <w:tcBorders>
              <w:top w:val="nil"/>
              <w:left w:val="nil"/>
              <w:bottom w:val="single" w:sz="4" w:space="0" w:color="D9D9D9"/>
              <w:right w:val="nil"/>
            </w:tcBorders>
            <w:shd w:val="clear" w:color="000000" w:fill="D9D9D9"/>
            <w:vAlign w:val="bottom"/>
            <w:hideMark/>
          </w:tcPr>
          <w:p w14:paraId="0F4A45F7"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2F6ACC2E" w14:textId="77777777" w:rsidR="00AB6753" w:rsidRDefault="00AB6753" w:rsidP="002D1EA4">
            <w:pPr>
              <w:spacing w:after="0" w:line="240" w:lineRule="auto"/>
              <w:jc w:val="right"/>
              <w:rPr>
                <w:rFonts w:cs="Arial"/>
                <w:b/>
                <w:bCs/>
                <w:sz w:val="18"/>
                <w:szCs w:val="18"/>
              </w:rPr>
            </w:pPr>
            <w:r>
              <w:rPr>
                <w:rFonts w:cs="Arial"/>
                <w:b/>
                <w:bCs/>
                <w:sz w:val="18"/>
                <w:szCs w:val="18"/>
              </w:rPr>
              <w:t>116,120</w:t>
            </w:r>
          </w:p>
        </w:tc>
        <w:tc>
          <w:tcPr>
            <w:tcW w:w="236" w:type="dxa"/>
            <w:tcBorders>
              <w:top w:val="nil"/>
              <w:left w:val="nil"/>
              <w:bottom w:val="nil"/>
              <w:right w:val="nil"/>
            </w:tcBorders>
            <w:shd w:val="clear" w:color="000000" w:fill="D9D9D9"/>
            <w:noWrap/>
            <w:vAlign w:val="bottom"/>
            <w:hideMark/>
          </w:tcPr>
          <w:p w14:paraId="2F27C413"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398" w:type="dxa"/>
            <w:tcBorders>
              <w:top w:val="nil"/>
              <w:left w:val="nil"/>
              <w:bottom w:val="nil"/>
              <w:right w:val="nil"/>
            </w:tcBorders>
            <w:shd w:val="clear" w:color="000000" w:fill="D9D9D9"/>
            <w:noWrap/>
            <w:vAlign w:val="bottom"/>
            <w:hideMark/>
          </w:tcPr>
          <w:p w14:paraId="2399CBB2" w14:textId="77777777" w:rsidR="00AB6753" w:rsidRDefault="00AB6753" w:rsidP="002D1EA4">
            <w:pPr>
              <w:spacing w:after="0" w:line="240" w:lineRule="auto"/>
              <w:jc w:val="right"/>
              <w:rPr>
                <w:rFonts w:cs="Arial"/>
                <w:sz w:val="18"/>
                <w:szCs w:val="18"/>
              </w:rPr>
            </w:pPr>
            <w:r>
              <w:rPr>
                <w:rFonts w:cs="Arial"/>
                <w:sz w:val="18"/>
                <w:szCs w:val="18"/>
              </w:rPr>
              <w:t>78,764</w:t>
            </w:r>
          </w:p>
        </w:tc>
      </w:tr>
      <w:tr w:rsidR="00AB6753" w14:paraId="37A9E3C1" w14:textId="77777777" w:rsidTr="002D1EA4">
        <w:trPr>
          <w:trHeight w:val="227"/>
        </w:trPr>
        <w:tc>
          <w:tcPr>
            <w:tcW w:w="5033" w:type="dxa"/>
            <w:tcBorders>
              <w:top w:val="nil"/>
              <w:left w:val="nil"/>
              <w:bottom w:val="nil"/>
              <w:right w:val="nil"/>
            </w:tcBorders>
            <w:shd w:val="clear" w:color="000000" w:fill="D9D9D9"/>
            <w:vAlign w:val="bottom"/>
            <w:hideMark/>
          </w:tcPr>
          <w:p w14:paraId="457BAB86" w14:textId="77777777" w:rsidR="00AB6753" w:rsidRDefault="00AB6753" w:rsidP="002D1EA4">
            <w:pPr>
              <w:spacing w:after="0" w:line="240" w:lineRule="auto"/>
              <w:rPr>
                <w:rFonts w:cs="Arial"/>
                <w:sz w:val="18"/>
                <w:szCs w:val="18"/>
              </w:rPr>
            </w:pPr>
            <w:r>
              <w:rPr>
                <w:rFonts w:cs="Arial"/>
                <w:sz w:val="18"/>
                <w:szCs w:val="18"/>
              </w:rPr>
              <w:t>Personal benefits</w:t>
            </w:r>
          </w:p>
        </w:tc>
        <w:tc>
          <w:tcPr>
            <w:tcW w:w="1198" w:type="dxa"/>
            <w:tcBorders>
              <w:top w:val="nil"/>
              <w:left w:val="nil"/>
              <w:bottom w:val="single" w:sz="4" w:space="0" w:color="D9D9D9"/>
              <w:right w:val="nil"/>
            </w:tcBorders>
            <w:shd w:val="clear" w:color="000000" w:fill="D9D9D9"/>
            <w:vAlign w:val="bottom"/>
            <w:hideMark/>
          </w:tcPr>
          <w:p w14:paraId="3470141D"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4AC06D9B" w14:textId="77777777" w:rsidR="00AB6753" w:rsidRDefault="00AB6753" w:rsidP="002D1EA4">
            <w:pPr>
              <w:spacing w:after="0" w:line="240" w:lineRule="auto"/>
              <w:jc w:val="right"/>
              <w:rPr>
                <w:rFonts w:cs="Arial"/>
                <w:b/>
                <w:bCs/>
                <w:sz w:val="18"/>
                <w:szCs w:val="18"/>
              </w:rPr>
            </w:pPr>
            <w:r>
              <w:rPr>
                <w:rFonts w:cs="Arial"/>
                <w:b/>
                <w:bCs/>
                <w:sz w:val="18"/>
                <w:szCs w:val="18"/>
              </w:rPr>
              <w:t>127,825,558</w:t>
            </w:r>
          </w:p>
        </w:tc>
        <w:tc>
          <w:tcPr>
            <w:tcW w:w="236" w:type="dxa"/>
            <w:tcBorders>
              <w:top w:val="nil"/>
              <w:left w:val="nil"/>
              <w:bottom w:val="nil"/>
              <w:right w:val="nil"/>
            </w:tcBorders>
            <w:shd w:val="clear" w:color="000000" w:fill="D9D9D9"/>
            <w:noWrap/>
            <w:vAlign w:val="bottom"/>
            <w:hideMark/>
          </w:tcPr>
          <w:p w14:paraId="5339C1AD"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398" w:type="dxa"/>
            <w:tcBorders>
              <w:top w:val="nil"/>
              <w:left w:val="nil"/>
              <w:bottom w:val="nil"/>
              <w:right w:val="nil"/>
            </w:tcBorders>
            <w:shd w:val="clear" w:color="000000" w:fill="D9D9D9"/>
            <w:noWrap/>
            <w:vAlign w:val="bottom"/>
            <w:hideMark/>
          </w:tcPr>
          <w:p w14:paraId="69C7F90A" w14:textId="77777777" w:rsidR="00AB6753" w:rsidRDefault="00AB6753" w:rsidP="002D1EA4">
            <w:pPr>
              <w:spacing w:after="0" w:line="240" w:lineRule="auto"/>
              <w:jc w:val="right"/>
              <w:rPr>
                <w:rFonts w:cs="Arial"/>
                <w:sz w:val="18"/>
                <w:szCs w:val="18"/>
              </w:rPr>
            </w:pPr>
            <w:r>
              <w:rPr>
                <w:rFonts w:cs="Arial"/>
                <w:sz w:val="18"/>
                <w:szCs w:val="18"/>
              </w:rPr>
              <w:t>111,700,745</w:t>
            </w:r>
          </w:p>
        </w:tc>
      </w:tr>
      <w:tr w:rsidR="00AB6753" w14:paraId="4F0CADED" w14:textId="77777777" w:rsidTr="002D1EA4">
        <w:trPr>
          <w:trHeight w:val="227"/>
        </w:trPr>
        <w:tc>
          <w:tcPr>
            <w:tcW w:w="5033" w:type="dxa"/>
            <w:tcBorders>
              <w:top w:val="nil"/>
              <w:left w:val="nil"/>
              <w:bottom w:val="nil"/>
              <w:right w:val="nil"/>
            </w:tcBorders>
            <w:shd w:val="clear" w:color="000000" w:fill="D9D9D9"/>
            <w:vAlign w:val="bottom"/>
            <w:hideMark/>
          </w:tcPr>
          <w:p w14:paraId="0B9324E7" w14:textId="77777777" w:rsidR="00AB6753" w:rsidRDefault="00AB6753" w:rsidP="002D1EA4">
            <w:pPr>
              <w:spacing w:after="0" w:line="240" w:lineRule="auto"/>
              <w:rPr>
                <w:rFonts w:cs="Arial"/>
                <w:sz w:val="18"/>
                <w:szCs w:val="18"/>
              </w:rPr>
            </w:pPr>
            <w:r>
              <w:rPr>
                <w:rFonts w:cs="Arial"/>
                <w:sz w:val="18"/>
                <w:szCs w:val="18"/>
              </w:rPr>
              <w:t>Suppliers</w:t>
            </w:r>
          </w:p>
        </w:tc>
        <w:tc>
          <w:tcPr>
            <w:tcW w:w="1198" w:type="dxa"/>
            <w:tcBorders>
              <w:top w:val="nil"/>
              <w:left w:val="nil"/>
              <w:bottom w:val="single" w:sz="4" w:space="0" w:color="D9D9D9"/>
              <w:right w:val="nil"/>
            </w:tcBorders>
            <w:shd w:val="clear" w:color="000000" w:fill="D9D9D9"/>
            <w:vAlign w:val="bottom"/>
            <w:hideMark/>
          </w:tcPr>
          <w:p w14:paraId="26FB77D4"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1830C58D" w14:textId="77777777" w:rsidR="00AB6753" w:rsidRDefault="00AB6753" w:rsidP="002D1EA4">
            <w:pPr>
              <w:spacing w:after="0" w:line="240" w:lineRule="auto"/>
              <w:jc w:val="right"/>
              <w:rPr>
                <w:rFonts w:cs="Arial"/>
                <w:b/>
                <w:bCs/>
                <w:sz w:val="18"/>
                <w:szCs w:val="18"/>
              </w:rPr>
            </w:pPr>
            <w:r>
              <w:rPr>
                <w:rFonts w:cs="Arial"/>
                <w:b/>
                <w:bCs/>
                <w:sz w:val="18"/>
                <w:szCs w:val="18"/>
              </w:rPr>
              <w:t>146,968</w:t>
            </w:r>
          </w:p>
        </w:tc>
        <w:tc>
          <w:tcPr>
            <w:tcW w:w="236" w:type="dxa"/>
            <w:tcBorders>
              <w:top w:val="nil"/>
              <w:left w:val="nil"/>
              <w:bottom w:val="nil"/>
              <w:right w:val="nil"/>
            </w:tcBorders>
            <w:shd w:val="clear" w:color="000000" w:fill="D9D9D9"/>
            <w:noWrap/>
            <w:vAlign w:val="bottom"/>
            <w:hideMark/>
          </w:tcPr>
          <w:p w14:paraId="22177B48"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398" w:type="dxa"/>
            <w:tcBorders>
              <w:top w:val="nil"/>
              <w:left w:val="nil"/>
              <w:bottom w:val="nil"/>
              <w:right w:val="nil"/>
            </w:tcBorders>
            <w:shd w:val="clear" w:color="000000" w:fill="D9D9D9"/>
            <w:noWrap/>
            <w:vAlign w:val="bottom"/>
            <w:hideMark/>
          </w:tcPr>
          <w:p w14:paraId="79E13073" w14:textId="77777777" w:rsidR="00AB6753" w:rsidRDefault="00AB6753" w:rsidP="002D1EA4">
            <w:pPr>
              <w:spacing w:after="0" w:line="240" w:lineRule="auto"/>
              <w:jc w:val="right"/>
              <w:rPr>
                <w:rFonts w:cs="Arial"/>
                <w:sz w:val="18"/>
                <w:szCs w:val="18"/>
              </w:rPr>
            </w:pPr>
            <w:r>
              <w:rPr>
                <w:rFonts w:cs="Arial"/>
                <w:sz w:val="18"/>
                <w:szCs w:val="18"/>
              </w:rPr>
              <w:t>224,996</w:t>
            </w:r>
          </w:p>
        </w:tc>
      </w:tr>
      <w:tr w:rsidR="00AB6753" w14:paraId="55B48AC1" w14:textId="77777777" w:rsidTr="002D1EA4">
        <w:trPr>
          <w:trHeight w:val="227"/>
        </w:trPr>
        <w:tc>
          <w:tcPr>
            <w:tcW w:w="5033" w:type="dxa"/>
            <w:tcBorders>
              <w:top w:val="nil"/>
              <w:left w:val="nil"/>
              <w:bottom w:val="nil"/>
              <w:right w:val="nil"/>
            </w:tcBorders>
            <w:shd w:val="clear" w:color="000000" w:fill="D9D9D9"/>
            <w:vAlign w:val="bottom"/>
            <w:hideMark/>
          </w:tcPr>
          <w:p w14:paraId="34794A92" w14:textId="77777777" w:rsidR="00AB6753" w:rsidRDefault="00AB6753" w:rsidP="002D1EA4">
            <w:pPr>
              <w:spacing w:after="0" w:line="240" w:lineRule="auto"/>
              <w:rPr>
                <w:rFonts w:cs="Arial"/>
                <w:sz w:val="18"/>
                <w:szCs w:val="18"/>
              </w:rPr>
            </w:pPr>
            <w:r>
              <w:rPr>
                <w:rFonts w:cs="Arial"/>
                <w:sz w:val="18"/>
                <w:szCs w:val="18"/>
              </w:rPr>
              <w:t>Payments to National Disability Insurance Agency</w:t>
            </w:r>
          </w:p>
        </w:tc>
        <w:tc>
          <w:tcPr>
            <w:tcW w:w="1198" w:type="dxa"/>
            <w:tcBorders>
              <w:top w:val="nil"/>
              <w:left w:val="nil"/>
              <w:bottom w:val="single" w:sz="4" w:space="0" w:color="D9D9D9"/>
              <w:right w:val="nil"/>
            </w:tcBorders>
            <w:shd w:val="clear" w:color="000000" w:fill="D9D9D9"/>
            <w:vAlign w:val="bottom"/>
            <w:hideMark/>
          </w:tcPr>
          <w:p w14:paraId="2C2E84FA"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0FB03EAB" w14:textId="77777777" w:rsidR="00AB6753" w:rsidRDefault="00AB6753" w:rsidP="002D1EA4">
            <w:pPr>
              <w:spacing w:after="0" w:line="240" w:lineRule="auto"/>
              <w:jc w:val="right"/>
              <w:rPr>
                <w:rFonts w:cs="Arial"/>
                <w:b/>
                <w:bCs/>
                <w:sz w:val="18"/>
                <w:szCs w:val="18"/>
              </w:rPr>
            </w:pPr>
            <w:r>
              <w:rPr>
                <w:rFonts w:cs="Arial"/>
                <w:b/>
                <w:bCs/>
                <w:sz w:val="18"/>
                <w:szCs w:val="18"/>
              </w:rPr>
              <w:t>8,381,805</w:t>
            </w:r>
          </w:p>
        </w:tc>
        <w:tc>
          <w:tcPr>
            <w:tcW w:w="236" w:type="dxa"/>
            <w:tcBorders>
              <w:top w:val="nil"/>
              <w:left w:val="nil"/>
              <w:bottom w:val="nil"/>
              <w:right w:val="nil"/>
            </w:tcBorders>
            <w:shd w:val="clear" w:color="000000" w:fill="D9D9D9"/>
            <w:noWrap/>
            <w:vAlign w:val="bottom"/>
            <w:hideMark/>
          </w:tcPr>
          <w:p w14:paraId="7760E369"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398" w:type="dxa"/>
            <w:tcBorders>
              <w:top w:val="nil"/>
              <w:left w:val="nil"/>
              <w:bottom w:val="nil"/>
              <w:right w:val="nil"/>
            </w:tcBorders>
            <w:shd w:val="clear" w:color="000000" w:fill="D9D9D9"/>
            <w:noWrap/>
            <w:vAlign w:val="bottom"/>
            <w:hideMark/>
          </w:tcPr>
          <w:p w14:paraId="5B012350" w14:textId="77777777" w:rsidR="00AB6753" w:rsidRDefault="00AB6753" w:rsidP="002D1EA4">
            <w:pPr>
              <w:spacing w:after="0" w:line="240" w:lineRule="auto"/>
              <w:jc w:val="right"/>
              <w:rPr>
                <w:rFonts w:cs="Arial"/>
                <w:sz w:val="18"/>
                <w:szCs w:val="18"/>
              </w:rPr>
            </w:pPr>
            <w:r>
              <w:rPr>
                <w:rFonts w:cs="Arial"/>
                <w:sz w:val="18"/>
                <w:szCs w:val="18"/>
              </w:rPr>
              <w:t>5,212,756</w:t>
            </w:r>
          </w:p>
        </w:tc>
      </w:tr>
      <w:tr w:rsidR="00AB6753" w14:paraId="595C0D51" w14:textId="77777777" w:rsidTr="002D1EA4">
        <w:trPr>
          <w:trHeight w:val="227"/>
        </w:trPr>
        <w:tc>
          <w:tcPr>
            <w:tcW w:w="5033" w:type="dxa"/>
            <w:tcBorders>
              <w:top w:val="nil"/>
              <w:left w:val="nil"/>
              <w:bottom w:val="nil"/>
              <w:right w:val="nil"/>
            </w:tcBorders>
            <w:shd w:val="clear" w:color="000000" w:fill="D9D9D9"/>
            <w:vAlign w:val="bottom"/>
            <w:hideMark/>
          </w:tcPr>
          <w:p w14:paraId="0A3BEE06" w14:textId="77777777" w:rsidR="00AB6753" w:rsidRDefault="00AB6753" w:rsidP="002D1EA4">
            <w:pPr>
              <w:spacing w:after="0" w:line="240" w:lineRule="auto"/>
              <w:rPr>
                <w:rFonts w:cs="Arial"/>
                <w:sz w:val="18"/>
                <w:szCs w:val="18"/>
              </w:rPr>
            </w:pPr>
            <w:r>
              <w:rPr>
                <w:rFonts w:cs="Arial"/>
                <w:sz w:val="18"/>
                <w:szCs w:val="18"/>
              </w:rPr>
              <w:t>Other</w:t>
            </w:r>
          </w:p>
        </w:tc>
        <w:tc>
          <w:tcPr>
            <w:tcW w:w="1198" w:type="dxa"/>
            <w:tcBorders>
              <w:top w:val="nil"/>
              <w:left w:val="nil"/>
              <w:bottom w:val="single" w:sz="4" w:space="0" w:color="D9D9D9"/>
              <w:right w:val="nil"/>
            </w:tcBorders>
            <w:shd w:val="clear" w:color="000000" w:fill="D9D9D9"/>
            <w:vAlign w:val="bottom"/>
            <w:hideMark/>
          </w:tcPr>
          <w:p w14:paraId="382722D6"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50705098" w14:textId="77777777" w:rsidR="00AB6753" w:rsidRDefault="00AB6753" w:rsidP="002D1EA4">
            <w:pPr>
              <w:spacing w:after="0" w:line="240" w:lineRule="auto"/>
              <w:jc w:val="right"/>
              <w:rPr>
                <w:rFonts w:cs="Arial"/>
                <w:b/>
                <w:bCs/>
                <w:sz w:val="18"/>
                <w:szCs w:val="18"/>
              </w:rPr>
            </w:pPr>
            <w:r>
              <w:rPr>
                <w:rFonts w:cs="Arial"/>
                <w:b/>
                <w:bCs/>
                <w:sz w:val="18"/>
                <w:szCs w:val="18"/>
              </w:rPr>
              <w:t>8,542</w:t>
            </w:r>
          </w:p>
        </w:tc>
        <w:tc>
          <w:tcPr>
            <w:tcW w:w="236" w:type="dxa"/>
            <w:tcBorders>
              <w:top w:val="nil"/>
              <w:left w:val="nil"/>
              <w:bottom w:val="nil"/>
              <w:right w:val="nil"/>
            </w:tcBorders>
            <w:shd w:val="clear" w:color="000000" w:fill="D9D9D9"/>
            <w:noWrap/>
            <w:vAlign w:val="bottom"/>
            <w:hideMark/>
          </w:tcPr>
          <w:p w14:paraId="7FD0C3C9"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398" w:type="dxa"/>
            <w:tcBorders>
              <w:top w:val="nil"/>
              <w:left w:val="nil"/>
              <w:bottom w:val="nil"/>
              <w:right w:val="nil"/>
            </w:tcBorders>
            <w:shd w:val="clear" w:color="000000" w:fill="D9D9D9"/>
            <w:noWrap/>
            <w:vAlign w:val="bottom"/>
            <w:hideMark/>
          </w:tcPr>
          <w:p w14:paraId="06F3FDCB" w14:textId="77777777" w:rsidR="00AB6753" w:rsidRDefault="00AB6753" w:rsidP="002D1EA4">
            <w:pPr>
              <w:spacing w:after="0" w:line="240" w:lineRule="auto"/>
              <w:jc w:val="right"/>
              <w:rPr>
                <w:rFonts w:cs="Arial"/>
                <w:sz w:val="18"/>
                <w:szCs w:val="18"/>
              </w:rPr>
            </w:pPr>
            <w:r>
              <w:rPr>
                <w:rFonts w:cs="Arial"/>
                <w:sz w:val="18"/>
                <w:szCs w:val="18"/>
              </w:rPr>
              <w:t>23,032</w:t>
            </w:r>
          </w:p>
        </w:tc>
      </w:tr>
      <w:tr w:rsidR="00AB6753" w14:paraId="0F9E3051" w14:textId="77777777" w:rsidTr="002D1EA4">
        <w:trPr>
          <w:trHeight w:val="227"/>
        </w:trPr>
        <w:tc>
          <w:tcPr>
            <w:tcW w:w="5033" w:type="dxa"/>
            <w:tcBorders>
              <w:top w:val="single" w:sz="4" w:space="0" w:color="D9D9D9"/>
              <w:left w:val="nil"/>
              <w:bottom w:val="single" w:sz="4" w:space="0" w:color="D9D9D9"/>
              <w:right w:val="nil"/>
            </w:tcBorders>
            <w:shd w:val="clear" w:color="000000" w:fill="D9D9D9"/>
            <w:noWrap/>
            <w:vAlign w:val="bottom"/>
            <w:hideMark/>
          </w:tcPr>
          <w:p w14:paraId="3B77BB96" w14:textId="77777777" w:rsidR="00AB6753" w:rsidRDefault="00AB6753" w:rsidP="002D1EA4">
            <w:pPr>
              <w:spacing w:after="0" w:line="240" w:lineRule="auto"/>
              <w:rPr>
                <w:rFonts w:cs="Arial"/>
                <w:b/>
                <w:bCs/>
                <w:sz w:val="18"/>
                <w:szCs w:val="18"/>
              </w:rPr>
            </w:pPr>
            <w:r>
              <w:rPr>
                <w:rFonts w:cs="Arial"/>
                <w:b/>
                <w:bCs/>
                <w:sz w:val="18"/>
                <w:szCs w:val="18"/>
              </w:rPr>
              <w:t>Total cash used</w:t>
            </w:r>
          </w:p>
        </w:tc>
        <w:tc>
          <w:tcPr>
            <w:tcW w:w="1198" w:type="dxa"/>
            <w:tcBorders>
              <w:top w:val="nil"/>
              <w:left w:val="nil"/>
              <w:bottom w:val="single" w:sz="4" w:space="0" w:color="D9D9D9"/>
              <w:right w:val="nil"/>
            </w:tcBorders>
            <w:shd w:val="clear" w:color="000000" w:fill="D9D9D9"/>
            <w:vAlign w:val="bottom"/>
            <w:hideMark/>
          </w:tcPr>
          <w:p w14:paraId="7B643731"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single" w:sz="4" w:space="0" w:color="auto"/>
              <w:left w:val="nil"/>
              <w:bottom w:val="single" w:sz="4" w:space="0" w:color="auto"/>
              <w:right w:val="nil"/>
            </w:tcBorders>
            <w:shd w:val="clear" w:color="000000" w:fill="D9D9D9"/>
            <w:noWrap/>
            <w:vAlign w:val="bottom"/>
            <w:hideMark/>
          </w:tcPr>
          <w:p w14:paraId="4EA63A80" w14:textId="77777777" w:rsidR="00AB6753" w:rsidRDefault="00AB6753" w:rsidP="002D1EA4">
            <w:pPr>
              <w:spacing w:after="0" w:line="240" w:lineRule="auto"/>
              <w:jc w:val="right"/>
              <w:rPr>
                <w:rFonts w:cs="Arial"/>
                <w:b/>
                <w:bCs/>
                <w:sz w:val="18"/>
                <w:szCs w:val="18"/>
              </w:rPr>
            </w:pPr>
            <w:r>
              <w:rPr>
                <w:rFonts w:cs="Arial"/>
                <w:b/>
                <w:bCs/>
                <w:sz w:val="18"/>
                <w:szCs w:val="18"/>
              </w:rPr>
              <w:t>139,411,719</w:t>
            </w:r>
          </w:p>
        </w:tc>
        <w:tc>
          <w:tcPr>
            <w:tcW w:w="236" w:type="dxa"/>
            <w:tcBorders>
              <w:top w:val="single" w:sz="4" w:space="0" w:color="D9D9D9"/>
              <w:left w:val="nil"/>
              <w:bottom w:val="single" w:sz="4" w:space="0" w:color="D9D9D9"/>
              <w:right w:val="nil"/>
            </w:tcBorders>
            <w:shd w:val="clear" w:color="000000" w:fill="D9D9D9"/>
            <w:noWrap/>
            <w:vAlign w:val="bottom"/>
            <w:hideMark/>
          </w:tcPr>
          <w:p w14:paraId="5A1F2953"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single" w:sz="4" w:space="0" w:color="auto"/>
              <w:left w:val="nil"/>
              <w:bottom w:val="single" w:sz="4" w:space="0" w:color="auto"/>
              <w:right w:val="nil"/>
            </w:tcBorders>
            <w:shd w:val="clear" w:color="000000" w:fill="D9D9D9"/>
            <w:noWrap/>
            <w:vAlign w:val="bottom"/>
            <w:hideMark/>
          </w:tcPr>
          <w:p w14:paraId="78813369" w14:textId="77777777" w:rsidR="00AB6753" w:rsidRDefault="00AB6753" w:rsidP="002D1EA4">
            <w:pPr>
              <w:spacing w:after="0" w:line="240" w:lineRule="auto"/>
              <w:jc w:val="right"/>
              <w:rPr>
                <w:rFonts w:cs="Arial"/>
                <w:sz w:val="18"/>
                <w:szCs w:val="18"/>
              </w:rPr>
            </w:pPr>
            <w:r>
              <w:rPr>
                <w:rFonts w:cs="Arial"/>
                <w:sz w:val="18"/>
                <w:szCs w:val="18"/>
              </w:rPr>
              <w:t>119,925,079</w:t>
            </w:r>
          </w:p>
        </w:tc>
      </w:tr>
      <w:tr w:rsidR="00AB6753" w14:paraId="5C0C87AF" w14:textId="77777777" w:rsidTr="002D1EA4">
        <w:trPr>
          <w:trHeight w:val="227"/>
        </w:trPr>
        <w:tc>
          <w:tcPr>
            <w:tcW w:w="5033" w:type="dxa"/>
            <w:tcBorders>
              <w:top w:val="nil"/>
              <w:left w:val="nil"/>
              <w:bottom w:val="single" w:sz="4" w:space="0" w:color="D9D9D9"/>
              <w:right w:val="nil"/>
            </w:tcBorders>
            <w:shd w:val="clear" w:color="000000" w:fill="D9D9D9"/>
            <w:noWrap/>
            <w:vAlign w:val="bottom"/>
            <w:hideMark/>
          </w:tcPr>
          <w:p w14:paraId="42B05FED" w14:textId="77777777" w:rsidR="00AB6753" w:rsidRDefault="00AB6753" w:rsidP="002D1EA4">
            <w:pPr>
              <w:spacing w:after="0" w:line="240" w:lineRule="auto"/>
              <w:rPr>
                <w:rFonts w:cs="Arial"/>
                <w:b/>
                <w:bCs/>
                <w:sz w:val="18"/>
                <w:szCs w:val="18"/>
              </w:rPr>
            </w:pPr>
            <w:r>
              <w:rPr>
                <w:rFonts w:cs="Arial"/>
                <w:b/>
                <w:bCs/>
                <w:sz w:val="18"/>
                <w:szCs w:val="18"/>
              </w:rPr>
              <w:t>Net cash used by operating activities</w:t>
            </w:r>
          </w:p>
        </w:tc>
        <w:tc>
          <w:tcPr>
            <w:tcW w:w="1198" w:type="dxa"/>
            <w:tcBorders>
              <w:top w:val="nil"/>
              <w:left w:val="nil"/>
              <w:bottom w:val="single" w:sz="4" w:space="0" w:color="D9D9D9"/>
              <w:right w:val="nil"/>
            </w:tcBorders>
            <w:shd w:val="clear" w:color="000000" w:fill="D9D9D9"/>
            <w:vAlign w:val="bottom"/>
            <w:hideMark/>
          </w:tcPr>
          <w:p w14:paraId="035CF266"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single" w:sz="4" w:space="0" w:color="auto"/>
              <w:right w:val="nil"/>
            </w:tcBorders>
            <w:shd w:val="clear" w:color="000000" w:fill="D9D9D9"/>
            <w:noWrap/>
            <w:vAlign w:val="bottom"/>
            <w:hideMark/>
          </w:tcPr>
          <w:p w14:paraId="1FCBEABB" w14:textId="77777777" w:rsidR="00AB6753" w:rsidRDefault="00AB6753" w:rsidP="002D1EA4">
            <w:pPr>
              <w:spacing w:after="0" w:line="240" w:lineRule="auto"/>
              <w:jc w:val="right"/>
              <w:rPr>
                <w:rFonts w:cs="Arial"/>
                <w:b/>
                <w:bCs/>
                <w:sz w:val="18"/>
                <w:szCs w:val="18"/>
              </w:rPr>
            </w:pPr>
            <w:r>
              <w:rPr>
                <w:rFonts w:cs="Arial"/>
                <w:b/>
                <w:bCs/>
                <w:sz w:val="18"/>
                <w:szCs w:val="18"/>
              </w:rPr>
              <w:t>(138,308,337)</w:t>
            </w:r>
          </w:p>
        </w:tc>
        <w:tc>
          <w:tcPr>
            <w:tcW w:w="236" w:type="dxa"/>
            <w:tcBorders>
              <w:top w:val="nil"/>
              <w:left w:val="nil"/>
              <w:bottom w:val="single" w:sz="4" w:space="0" w:color="D9D9D9"/>
              <w:right w:val="nil"/>
            </w:tcBorders>
            <w:shd w:val="clear" w:color="000000" w:fill="D9D9D9"/>
            <w:noWrap/>
            <w:vAlign w:val="bottom"/>
            <w:hideMark/>
          </w:tcPr>
          <w:p w14:paraId="6CF8B9D5"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single" w:sz="4" w:space="0" w:color="auto"/>
              <w:right w:val="nil"/>
            </w:tcBorders>
            <w:shd w:val="clear" w:color="000000" w:fill="D9D9D9"/>
            <w:noWrap/>
            <w:vAlign w:val="bottom"/>
            <w:hideMark/>
          </w:tcPr>
          <w:p w14:paraId="1CFE1F89" w14:textId="77777777" w:rsidR="00AB6753" w:rsidRDefault="00AB6753" w:rsidP="002D1EA4">
            <w:pPr>
              <w:spacing w:after="0" w:line="240" w:lineRule="auto"/>
              <w:jc w:val="right"/>
              <w:rPr>
                <w:rFonts w:cs="Arial"/>
                <w:sz w:val="18"/>
                <w:szCs w:val="18"/>
              </w:rPr>
            </w:pPr>
            <w:r>
              <w:rPr>
                <w:rFonts w:cs="Arial"/>
                <w:sz w:val="18"/>
                <w:szCs w:val="18"/>
              </w:rPr>
              <w:t>(118,883,053)</w:t>
            </w:r>
          </w:p>
        </w:tc>
      </w:tr>
      <w:tr w:rsidR="00AB6753" w14:paraId="2E901FDC" w14:textId="77777777" w:rsidTr="002D1EA4">
        <w:trPr>
          <w:trHeight w:val="227"/>
        </w:trPr>
        <w:tc>
          <w:tcPr>
            <w:tcW w:w="5033" w:type="dxa"/>
            <w:tcBorders>
              <w:top w:val="nil"/>
              <w:left w:val="nil"/>
              <w:bottom w:val="nil"/>
              <w:right w:val="nil"/>
            </w:tcBorders>
            <w:shd w:val="clear" w:color="000000" w:fill="D9D9D9"/>
            <w:noWrap/>
            <w:vAlign w:val="bottom"/>
            <w:hideMark/>
          </w:tcPr>
          <w:p w14:paraId="67BE3843" w14:textId="77777777" w:rsidR="00AB6753" w:rsidRDefault="00AB6753" w:rsidP="002D1EA4">
            <w:pPr>
              <w:spacing w:after="0" w:line="240" w:lineRule="auto"/>
              <w:rPr>
                <w:rFonts w:cs="Arial"/>
                <w:sz w:val="16"/>
                <w:szCs w:val="16"/>
              </w:rPr>
            </w:pPr>
            <w:r>
              <w:rPr>
                <w:rFonts w:cs="Arial"/>
                <w:sz w:val="16"/>
                <w:szCs w:val="16"/>
              </w:rPr>
              <w:t> </w:t>
            </w:r>
          </w:p>
        </w:tc>
        <w:tc>
          <w:tcPr>
            <w:tcW w:w="1198" w:type="dxa"/>
            <w:tcBorders>
              <w:top w:val="nil"/>
              <w:left w:val="nil"/>
              <w:bottom w:val="nil"/>
              <w:right w:val="nil"/>
            </w:tcBorders>
            <w:shd w:val="clear" w:color="000000" w:fill="D9D9D9"/>
            <w:noWrap/>
            <w:vAlign w:val="bottom"/>
            <w:hideMark/>
          </w:tcPr>
          <w:p w14:paraId="07814D91" w14:textId="77777777" w:rsidR="00AB6753" w:rsidRDefault="00AB6753" w:rsidP="002D1EA4">
            <w:pPr>
              <w:spacing w:after="0" w:line="240" w:lineRule="auto"/>
              <w:rPr>
                <w:rFonts w:cs="Arial"/>
                <w:sz w:val="16"/>
                <w:szCs w:val="16"/>
              </w:rPr>
            </w:pPr>
            <w:r>
              <w:rPr>
                <w:rFonts w:cs="Arial"/>
                <w:sz w:val="16"/>
                <w:szCs w:val="16"/>
              </w:rPr>
              <w:t> </w:t>
            </w:r>
          </w:p>
        </w:tc>
        <w:tc>
          <w:tcPr>
            <w:tcW w:w="1404" w:type="dxa"/>
            <w:tcBorders>
              <w:top w:val="nil"/>
              <w:left w:val="nil"/>
              <w:bottom w:val="nil"/>
              <w:right w:val="nil"/>
            </w:tcBorders>
            <w:shd w:val="clear" w:color="000000" w:fill="D9D9D9"/>
            <w:noWrap/>
            <w:vAlign w:val="bottom"/>
            <w:hideMark/>
          </w:tcPr>
          <w:p w14:paraId="06896462" w14:textId="77777777" w:rsidR="00AB6753" w:rsidRDefault="00AB6753" w:rsidP="002D1EA4">
            <w:pPr>
              <w:spacing w:after="0" w:line="240" w:lineRule="auto"/>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5FDCB9A0"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nil"/>
              <w:right w:val="nil"/>
            </w:tcBorders>
            <w:shd w:val="clear" w:color="000000" w:fill="D9D9D9"/>
            <w:noWrap/>
            <w:vAlign w:val="bottom"/>
            <w:hideMark/>
          </w:tcPr>
          <w:p w14:paraId="31CA078B" w14:textId="77777777" w:rsidR="00AB6753" w:rsidRDefault="00AB6753" w:rsidP="002D1EA4">
            <w:pPr>
              <w:spacing w:after="0" w:line="240" w:lineRule="auto"/>
              <w:rPr>
                <w:rFonts w:cs="Arial"/>
                <w:sz w:val="16"/>
                <w:szCs w:val="16"/>
              </w:rPr>
            </w:pPr>
            <w:r>
              <w:rPr>
                <w:rFonts w:cs="Arial"/>
                <w:sz w:val="16"/>
                <w:szCs w:val="16"/>
              </w:rPr>
              <w:t> </w:t>
            </w:r>
          </w:p>
        </w:tc>
      </w:tr>
      <w:tr w:rsidR="00AB6753" w14:paraId="409D4D21" w14:textId="77777777" w:rsidTr="002D1EA4">
        <w:trPr>
          <w:trHeight w:val="227"/>
        </w:trPr>
        <w:tc>
          <w:tcPr>
            <w:tcW w:w="5033" w:type="dxa"/>
            <w:tcBorders>
              <w:top w:val="nil"/>
              <w:left w:val="nil"/>
              <w:bottom w:val="nil"/>
              <w:right w:val="nil"/>
            </w:tcBorders>
            <w:shd w:val="clear" w:color="000000" w:fill="D9D9D9"/>
            <w:vAlign w:val="bottom"/>
            <w:hideMark/>
          </w:tcPr>
          <w:p w14:paraId="6A2315E2" w14:textId="77777777" w:rsidR="00AB6753" w:rsidRDefault="00AB6753" w:rsidP="002D1EA4">
            <w:pPr>
              <w:spacing w:after="0" w:line="240" w:lineRule="auto"/>
              <w:rPr>
                <w:rFonts w:cs="Arial"/>
                <w:b/>
                <w:bCs/>
                <w:sz w:val="18"/>
                <w:szCs w:val="18"/>
              </w:rPr>
            </w:pPr>
            <w:r>
              <w:rPr>
                <w:rFonts w:cs="Arial"/>
                <w:b/>
                <w:bCs/>
                <w:sz w:val="18"/>
                <w:szCs w:val="18"/>
              </w:rPr>
              <w:t>INVESTING ACTIVITIES</w:t>
            </w:r>
          </w:p>
        </w:tc>
        <w:tc>
          <w:tcPr>
            <w:tcW w:w="1198" w:type="dxa"/>
            <w:tcBorders>
              <w:top w:val="nil"/>
              <w:left w:val="nil"/>
              <w:bottom w:val="nil"/>
              <w:right w:val="nil"/>
            </w:tcBorders>
            <w:shd w:val="clear" w:color="000000" w:fill="D9D9D9"/>
            <w:noWrap/>
            <w:vAlign w:val="bottom"/>
            <w:hideMark/>
          </w:tcPr>
          <w:p w14:paraId="5F0B6C92" w14:textId="77777777" w:rsidR="00AB6753" w:rsidRDefault="00AB6753" w:rsidP="002D1EA4">
            <w:pPr>
              <w:spacing w:after="0" w:line="240" w:lineRule="auto"/>
              <w:rPr>
                <w:rFonts w:cs="Arial"/>
                <w:sz w:val="16"/>
                <w:szCs w:val="16"/>
              </w:rPr>
            </w:pPr>
            <w:r>
              <w:rPr>
                <w:rFonts w:cs="Arial"/>
                <w:sz w:val="16"/>
                <w:szCs w:val="16"/>
              </w:rPr>
              <w:t> </w:t>
            </w:r>
          </w:p>
        </w:tc>
        <w:tc>
          <w:tcPr>
            <w:tcW w:w="1404" w:type="dxa"/>
            <w:tcBorders>
              <w:top w:val="nil"/>
              <w:left w:val="nil"/>
              <w:bottom w:val="nil"/>
              <w:right w:val="nil"/>
            </w:tcBorders>
            <w:shd w:val="clear" w:color="000000" w:fill="D9D9D9"/>
            <w:noWrap/>
            <w:vAlign w:val="bottom"/>
            <w:hideMark/>
          </w:tcPr>
          <w:p w14:paraId="54510557" w14:textId="77777777" w:rsidR="00AB6753" w:rsidRDefault="00AB6753" w:rsidP="002D1EA4">
            <w:pPr>
              <w:spacing w:after="0" w:line="240" w:lineRule="auto"/>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4346AE73"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nil"/>
              <w:right w:val="nil"/>
            </w:tcBorders>
            <w:shd w:val="clear" w:color="000000" w:fill="D9D9D9"/>
            <w:noWrap/>
            <w:vAlign w:val="bottom"/>
            <w:hideMark/>
          </w:tcPr>
          <w:p w14:paraId="099F5570" w14:textId="77777777" w:rsidR="00AB6753" w:rsidRDefault="00AB6753" w:rsidP="002D1EA4">
            <w:pPr>
              <w:spacing w:after="0" w:line="240" w:lineRule="auto"/>
              <w:rPr>
                <w:rFonts w:cs="Arial"/>
                <w:sz w:val="16"/>
                <w:szCs w:val="16"/>
              </w:rPr>
            </w:pPr>
            <w:r>
              <w:rPr>
                <w:rFonts w:cs="Arial"/>
                <w:sz w:val="16"/>
                <w:szCs w:val="16"/>
              </w:rPr>
              <w:t> </w:t>
            </w:r>
          </w:p>
        </w:tc>
      </w:tr>
      <w:tr w:rsidR="00AB6753" w14:paraId="55A8F07F" w14:textId="77777777" w:rsidTr="002D1EA4">
        <w:trPr>
          <w:trHeight w:val="227"/>
        </w:trPr>
        <w:tc>
          <w:tcPr>
            <w:tcW w:w="5033" w:type="dxa"/>
            <w:tcBorders>
              <w:top w:val="nil"/>
              <w:left w:val="nil"/>
              <w:bottom w:val="nil"/>
              <w:right w:val="nil"/>
            </w:tcBorders>
            <w:shd w:val="clear" w:color="000000" w:fill="D9D9D9"/>
            <w:vAlign w:val="bottom"/>
            <w:hideMark/>
          </w:tcPr>
          <w:p w14:paraId="6DA4C19A" w14:textId="77777777" w:rsidR="00AB6753" w:rsidRDefault="00AB6753" w:rsidP="002D1EA4">
            <w:pPr>
              <w:spacing w:after="0" w:line="240" w:lineRule="auto"/>
              <w:rPr>
                <w:rFonts w:cs="Arial"/>
                <w:b/>
                <w:bCs/>
                <w:sz w:val="18"/>
                <w:szCs w:val="18"/>
              </w:rPr>
            </w:pPr>
            <w:r>
              <w:rPr>
                <w:rFonts w:cs="Arial"/>
                <w:b/>
                <w:bCs/>
                <w:sz w:val="18"/>
                <w:szCs w:val="18"/>
              </w:rPr>
              <w:t>Cash received</w:t>
            </w:r>
          </w:p>
        </w:tc>
        <w:tc>
          <w:tcPr>
            <w:tcW w:w="1198" w:type="dxa"/>
            <w:tcBorders>
              <w:top w:val="nil"/>
              <w:left w:val="nil"/>
              <w:bottom w:val="nil"/>
              <w:right w:val="nil"/>
            </w:tcBorders>
            <w:shd w:val="clear" w:color="000000" w:fill="D9D9D9"/>
            <w:noWrap/>
            <w:vAlign w:val="bottom"/>
            <w:hideMark/>
          </w:tcPr>
          <w:p w14:paraId="64A4303F" w14:textId="77777777" w:rsidR="00AB6753" w:rsidRDefault="00AB6753" w:rsidP="002D1EA4">
            <w:pPr>
              <w:spacing w:after="0" w:line="240" w:lineRule="auto"/>
              <w:rPr>
                <w:rFonts w:cs="Arial"/>
                <w:sz w:val="16"/>
                <w:szCs w:val="16"/>
              </w:rPr>
            </w:pPr>
            <w:r>
              <w:rPr>
                <w:rFonts w:cs="Arial"/>
                <w:sz w:val="16"/>
                <w:szCs w:val="16"/>
              </w:rPr>
              <w:t> </w:t>
            </w:r>
          </w:p>
        </w:tc>
        <w:tc>
          <w:tcPr>
            <w:tcW w:w="1404" w:type="dxa"/>
            <w:tcBorders>
              <w:top w:val="nil"/>
              <w:left w:val="nil"/>
              <w:bottom w:val="nil"/>
              <w:right w:val="nil"/>
            </w:tcBorders>
            <w:shd w:val="clear" w:color="000000" w:fill="D9D9D9"/>
            <w:noWrap/>
            <w:vAlign w:val="bottom"/>
            <w:hideMark/>
          </w:tcPr>
          <w:p w14:paraId="09DBD21B" w14:textId="77777777" w:rsidR="00AB6753" w:rsidRDefault="00AB6753" w:rsidP="002D1EA4">
            <w:pPr>
              <w:spacing w:after="0" w:line="240" w:lineRule="auto"/>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51181AE4"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nil"/>
              <w:right w:val="nil"/>
            </w:tcBorders>
            <w:shd w:val="clear" w:color="000000" w:fill="D9D9D9"/>
            <w:noWrap/>
            <w:vAlign w:val="bottom"/>
            <w:hideMark/>
          </w:tcPr>
          <w:p w14:paraId="24CC88CD" w14:textId="77777777" w:rsidR="00AB6753" w:rsidRDefault="00AB6753" w:rsidP="002D1EA4">
            <w:pPr>
              <w:spacing w:after="0" w:line="240" w:lineRule="auto"/>
              <w:rPr>
                <w:rFonts w:cs="Arial"/>
                <w:sz w:val="16"/>
                <w:szCs w:val="16"/>
              </w:rPr>
            </w:pPr>
            <w:r>
              <w:rPr>
                <w:rFonts w:cs="Arial"/>
                <w:sz w:val="16"/>
                <w:szCs w:val="16"/>
              </w:rPr>
              <w:t> </w:t>
            </w:r>
          </w:p>
        </w:tc>
      </w:tr>
      <w:tr w:rsidR="00AB6753" w14:paraId="24A625D4" w14:textId="77777777" w:rsidTr="002D1EA4">
        <w:trPr>
          <w:trHeight w:val="227"/>
        </w:trPr>
        <w:tc>
          <w:tcPr>
            <w:tcW w:w="5033" w:type="dxa"/>
            <w:tcBorders>
              <w:top w:val="nil"/>
              <w:left w:val="nil"/>
              <w:bottom w:val="nil"/>
              <w:right w:val="nil"/>
            </w:tcBorders>
            <w:shd w:val="clear" w:color="000000" w:fill="D9D9D9"/>
            <w:vAlign w:val="bottom"/>
            <w:hideMark/>
          </w:tcPr>
          <w:p w14:paraId="4D1F11AD" w14:textId="77777777" w:rsidR="00AB6753" w:rsidRDefault="00AB6753" w:rsidP="002D1EA4">
            <w:pPr>
              <w:spacing w:after="0" w:line="240" w:lineRule="auto"/>
              <w:rPr>
                <w:rFonts w:cs="Arial"/>
                <w:sz w:val="18"/>
                <w:szCs w:val="18"/>
              </w:rPr>
            </w:pPr>
            <w:r>
              <w:rPr>
                <w:rFonts w:cs="Arial"/>
                <w:sz w:val="18"/>
                <w:szCs w:val="18"/>
              </w:rPr>
              <w:t>Repayments of advances and loans</w:t>
            </w:r>
          </w:p>
        </w:tc>
        <w:tc>
          <w:tcPr>
            <w:tcW w:w="1198" w:type="dxa"/>
            <w:tcBorders>
              <w:top w:val="nil"/>
              <w:left w:val="nil"/>
              <w:bottom w:val="nil"/>
              <w:right w:val="nil"/>
            </w:tcBorders>
            <w:shd w:val="clear" w:color="000000" w:fill="D9D9D9"/>
            <w:noWrap/>
            <w:vAlign w:val="bottom"/>
            <w:hideMark/>
          </w:tcPr>
          <w:p w14:paraId="3BF5F603" w14:textId="77777777" w:rsidR="00AB6753" w:rsidRDefault="00AB6753" w:rsidP="002D1EA4">
            <w:pPr>
              <w:spacing w:after="0" w:line="240" w:lineRule="auto"/>
              <w:rPr>
                <w:rFonts w:cs="Arial"/>
                <w:sz w:val="16"/>
                <w:szCs w:val="16"/>
              </w:rPr>
            </w:pPr>
            <w:r>
              <w:rPr>
                <w:rFonts w:cs="Arial"/>
                <w:sz w:val="16"/>
                <w:szCs w:val="16"/>
              </w:rPr>
              <w:t> </w:t>
            </w:r>
          </w:p>
        </w:tc>
        <w:tc>
          <w:tcPr>
            <w:tcW w:w="1404" w:type="dxa"/>
            <w:tcBorders>
              <w:top w:val="nil"/>
              <w:left w:val="nil"/>
              <w:bottom w:val="nil"/>
              <w:right w:val="nil"/>
            </w:tcBorders>
            <w:shd w:val="clear" w:color="000000" w:fill="D9D9D9"/>
            <w:noWrap/>
            <w:vAlign w:val="bottom"/>
            <w:hideMark/>
          </w:tcPr>
          <w:p w14:paraId="65EB9499" w14:textId="77777777" w:rsidR="00AB6753" w:rsidRDefault="00AB6753" w:rsidP="002D1EA4">
            <w:pPr>
              <w:spacing w:after="0" w:line="240" w:lineRule="auto"/>
              <w:jc w:val="right"/>
              <w:rPr>
                <w:rFonts w:cs="Arial"/>
                <w:b/>
                <w:bCs/>
                <w:sz w:val="18"/>
                <w:szCs w:val="18"/>
              </w:rPr>
            </w:pPr>
            <w:r>
              <w:rPr>
                <w:rFonts w:cs="Arial"/>
                <w:b/>
                <w:bCs/>
                <w:sz w:val="18"/>
                <w:szCs w:val="18"/>
              </w:rPr>
              <w:t>67,252</w:t>
            </w:r>
          </w:p>
        </w:tc>
        <w:tc>
          <w:tcPr>
            <w:tcW w:w="236" w:type="dxa"/>
            <w:tcBorders>
              <w:top w:val="nil"/>
              <w:left w:val="nil"/>
              <w:bottom w:val="nil"/>
              <w:right w:val="nil"/>
            </w:tcBorders>
            <w:shd w:val="clear" w:color="000000" w:fill="D9D9D9"/>
            <w:noWrap/>
            <w:vAlign w:val="bottom"/>
            <w:hideMark/>
          </w:tcPr>
          <w:p w14:paraId="19B0A4AD"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398" w:type="dxa"/>
            <w:tcBorders>
              <w:top w:val="nil"/>
              <w:left w:val="nil"/>
              <w:bottom w:val="nil"/>
              <w:right w:val="nil"/>
            </w:tcBorders>
            <w:shd w:val="clear" w:color="000000" w:fill="D9D9D9"/>
            <w:noWrap/>
            <w:vAlign w:val="bottom"/>
            <w:hideMark/>
          </w:tcPr>
          <w:p w14:paraId="28AA3453" w14:textId="77777777" w:rsidR="00AB6753" w:rsidRDefault="00AB6753" w:rsidP="002D1EA4">
            <w:pPr>
              <w:spacing w:after="0" w:line="240" w:lineRule="auto"/>
              <w:jc w:val="right"/>
              <w:rPr>
                <w:rFonts w:cs="Arial"/>
                <w:sz w:val="18"/>
                <w:szCs w:val="18"/>
              </w:rPr>
            </w:pPr>
            <w:r>
              <w:rPr>
                <w:rFonts w:cs="Arial"/>
                <w:sz w:val="18"/>
                <w:szCs w:val="18"/>
              </w:rPr>
              <w:t>57,473</w:t>
            </w:r>
          </w:p>
        </w:tc>
      </w:tr>
      <w:tr w:rsidR="00AB6753" w14:paraId="2A8C1537" w14:textId="77777777" w:rsidTr="002D1EA4">
        <w:trPr>
          <w:trHeight w:val="227"/>
        </w:trPr>
        <w:tc>
          <w:tcPr>
            <w:tcW w:w="5033" w:type="dxa"/>
            <w:tcBorders>
              <w:top w:val="single" w:sz="4" w:space="0" w:color="D9D9D9"/>
              <w:left w:val="nil"/>
              <w:bottom w:val="single" w:sz="4" w:space="0" w:color="D9D9D9"/>
              <w:right w:val="nil"/>
            </w:tcBorders>
            <w:shd w:val="clear" w:color="000000" w:fill="D9D9D9"/>
            <w:noWrap/>
            <w:vAlign w:val="bottom"/>
            <w:hideMark/>
          </w:tcPr>
          <w:p w14:paraId="1505E90B" w14:textId="77777777" w:rsidR="00AB6753" w:rsidRDefault="00AB6753" w:rsidP="002D1EA4">
            <w:pPr>
              <w:spacing w:after="0" w:line="240" w:lineRule="auto"/>
              <w:rPr>
                <w:rFonts w:cs="Arial"/>
                <w:b/>
                <w:bCs/>
                <w:sz w:val="18"/>
                <w:szCs w:val="18"/>
              </w:rPr>
            </w:pPr>
            <w:r>
              <w:rPr>
                <w:rFonts w:cs="Arial"/>
                <w:b/>
                <w:bCs/>
                <w:sz w:val="18"/>
                <w:szCs w:val="18"/>
              </w:rPr>
              <w:t>Total cash received</w:t>
            </w:r>
          </w:p>
        </w:tc>
        <w:tc>
          <w:tcPr>
            <w:tcW w:w="1198" w:type="dxa"/>
            <w:tcBorders>
              <w:top w:val="nil"/>
              <w:left w:val="nil"/>
              <w:bottom w:val="nil"/>
              <w:right w:val="nil"/>
            </w:tcBorders>
            <w:shd w:val="clear" w:color="000000" w:fill="D9D9D9"/>
            <w:noWrap/>
            <w:vAlign w:val="bottom"/>
            <w:hideMark/>
          </w:tcPr>
          <w:p w14:paraId="1ECA1939" w14:textId="77777777" w:rsidR="00AB6753" w:rsidRDefault="00AB6753" w:rsidP="002D1EA4">
            <w:pPr>
              <w:spacing w:after="0" w:line="240" w:lineRule="auto"/>
              <w:rPr>
                <w:rFonts w:cs="Arial"/>
                <w:sz w:val="16"/>
                <w:szCs w:val="16"/>
              </w:rPr>
            </w:pPr>
            <w:r>
              <w:rPr>
                <w:rFonts w:cs="Arial"/>
                <w:sz w:val="16"/>
                <w:szCs w:val="16"/>
              </w:rPr>
              <w:t> </w:t>
            </w:r>
          </w:p>
        </w:tc>
        <w:tc>
          <w:tcPr>
            <w:tcW w:w="1404" w:type="dxa"/>
            <w:tcBorders>
              <w:top w:val="single" w:sz="4" w:space="0" w:color="auto"/>
              <w:left w:val="nil"/>
              <w:bottom w:val="single" w:sz="4" w:space="0" w:color="auto"/>
              <w:right w:val="nil"/>
            </w:tcBorders>
            <w:shd w:val="clear" w:color="000000" w:fill="D9D9D9"/>
            <w:noWrap/>
            <w:vAlign w:val="bottom"/>
            <w:hideMark/>
          </w:tcPr>
          <w:p w14:paraId="4A366B76" w14:textId="77777777" w:rsidR="00AB6753" w:rsidRDefault="00AB6753" w:rsidP="002D1EA4">
            <w:pPr>
              <w:spacing w:after="0" w:line="240" w:lineRule="auto"/>
              <w:jc w:val="right"/>
              <w:rPr>
                <w:rFonts w:cs="Arial"/>
                <w:b/>
                <w:bCs/>
                <w:sz w:val="18"/>
                <w:szCs w:val="18"/>
              </w:rPr>
            </w:pPr>
            <w:r>
              <w:rPr>
                <w:rFonts w:cs="Arial"/>
                <w:b/>
                <w:bCs/>
                <w:sz w:val="18"/>
                <w:szCs w:val="18"/>
              </w:rPr>
              <w:t>67,252</w:t>
            </w:r>
          </w:p>
        </w:tc>
        <w:tc>
          <w:tcPr>
            <w:tcW w:w="236" w:type="dxa"/>
            <w:tcBorders>
              <w:top w:val="single" w:sz="4" w:space="0" w:color="D9D9D9"/>
              <w:left w:val="nil"/>
              <w:bottom w:val="single" w:sz="4" w:space="0" w:color="D9D9D9"/>
              <w:right w:val="nil"/>
            </w:tcBorders>
            <w:shd w:val="clear" w:color="000000" w:fill="D9D9D9"/>
            <w:noWrap/>
            <w:vAlign w:val="bottom"/>
            <w:hideMark/>
          </w:tcPr>
          <w:p w14:paraId="24C559D9"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single" w:sz="4" w:space="0" w:color="auto"/>
              <w:left w:val="nil"/>
              <w:bottom w:val="single" w:sz="4" w:space="0" w:color="auto"/>
              <w:right w:val="nil"/>
            </w:tcBorders>
            <w:shd w:val="clear" w:color="000000" w:fill="D9D9D9"/>
            <w:noWrap/>
            <w:vAlign w:val="bottom"/>
            <w:hideMark/>
          </w:tcPr>
          <w:p w14:paraId="4214945A" w14:textId="77777777" w:rsidR="00AB6753" w:rsidRDefault="00AB6753" w:rsidP="002D1EA4">
            <w:pPr>
              <w:spacing w:after="0" w:line="240" w:lineRule="auto"/>
              <w:jc w:val="right"/>
              <w:rPr>
                <w:rFonts w:cs="Arial"/>
                <w:sz w:val="18"/>
                <w:szCs w:val="18"/>
              </w:rPr>
            </w:pPr>
            <w:r>
              <w:rPr>
                <w:rFonts w:cs="Arial"/>
                <w:sz w:val="18"/>
                <w:szCs w:val="18"/>
              </w:rPr>
              <w:t>57,473</w:t>
            </w:r>
          </w:p>
        </w:tc>
      </w:tr>
      <w:tr w:rsidR="00AB6753" w14:paraId="7B7CB30A" w14:textId="77777777" w:rsidTr="002D1EA4">
        <w:trPr>
          <w:trHeight w:val="227"/>
        </w:trPr>
        <w:tc>
          <w:tcPr>
            <w:tcW w:w="5033" w:type="dxa"/>
            <w:tcBorders>
              <w:top w:val="nil"/>
              <w:left w:val="nil"/>
              <w:bottom w:val="nil"/>
              <w:right w:val="nil"/>
            </w:tcBorders>
            <w:shd w:val="clear" w:color="000000" w:fill="D9D9D9"/>
            <w:noWrap/>
            <w:vAlign w:val="bottom"/>
            <w:hideMark/>
          </w:tcPr>
          <w:p w14:paraId="5B16B49F" w14:textId="77777777" w:rsidR="00AB6753" w:rsidRDefault="00AB6753" w:rsidP="002D1EA4">
            <w:pPr>
              <w:spacing w:after="0" w:line="240" w:lineRule="auto"/>
              <w:rPr>
                <w:rFonts w:cs="Arial"/>
                <w:sz w:val="16"/>
                <w:szCs w:val="16"/>
              </w:rPr>
            </w:pPr>
            <w:r>
              <w:rPr>
                <w:rFonts w:cs="Arial"/>
                <w:sz w:val="16"/>
                <w:szCs w:val="16"/>
              </w:rPr>
              <w:t> </w:t>
            </w:r>
          </w:p>
        </w:tc>
        <w:tc>
          <w:tcPr>
            <w:tcW w:w="1198" w:type="dxa"/>
            <w:tcBorders>
              <w:top w:val="nil"/>
              <w:left w:val="nil"/>
              <w:bottom w:val="nil"/>
              <w:right w:val="nil"/>
            </w:tcBorders>
            <w:shd w:val="clear" w:color="000000" w:fill="D9D9D9"/>
            <w:noWrap/>
            <w:vAlign w:val="bottom"/>
            <w:hideMark/>
          </w:tcPr>
          <w:p w14:paraId="111C2935" w14:textId="77777777" w:rsidR="00AB6753" w:rsidRDefault="00AB6753" w:rsidP="002D1EA4">
            <w:pPr>
              <w:spacing w:after="0" w:line="240" w:lineRule="auto"/>
              <w:rPr>
                <w:rFonts w:cs="Arial"/>
                <w:sz w:val="16"/>
                <w:szCs w:val="16"/>
              </w:rPr>
            </w:pPr>
            <w:r>
              <w:rPr>
                <w:rFonts w:cs="Arial"/>
                <w:sz w:val="16"/>
                <w:szCs w:val="16"/>
              </w:rPr>
              <w:t> </w:t>
            </w:r>
          </w:p>
        </w:tc>
        <w:tc>
          <w:tcPr>
            <w:tcW w:w="1404" w:type="dxa"/>
            <w:tcBorders>
              <w:top w:val="nil"/>
              <w:left w:val="nil"/>
              <w:bottom w:val="nil"/>
              <w:right w:val="nil"/>
            </w:tcBorders>
            <w:shd w:val="clear" w:color="000000" w:fill="D9D9D9"/>
            <w:noWrap/>
            <w:vAlign w:val="bottom"/>
            <w:hideMark/>
          </w:tcPr>
          <w:p w14:paraId="006589E2" w14:textId="77777777" w:rsidR="00AB6753" w:rsidRDefault="00AB6753" w:rsidP="002D1EA4">
            <w:pPr>
              <w:spacing w:after="0" w:line="240" w:lineRule="auto"/>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52675C59"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nil"/>
              <w:right w:val="nil"/>
            </w:tcBorders>
            <w:shd w:val="clear" w:color="000000" w:fill="D9D9D9"/>
            <w:noWrap/>
            <w:vAlign w:val="bottom"/>
            <w:hideMark/>
          </w:tcPr>
          <w:p w14:paraId="624E937B" w14:textId="77777777" w:rsidR="00AB6753" w:rsidRDefault="00AB6753" w:rsidP="002D1EA4">
            <w:pPr>
              <w:spacing w:after="0" w:line="240" w:lineRule="auto"/>
              <w:rPr>
                <w:rFonts w:cs="Arial"/>
                <w:sz w:val="16"/>
                <w:szCs w:val="16"/>
              </w:rPr>
            </w:pPr>
            <w:r>
              <w:rPr>
                <w:rFonts w:cs="Arial"/>
                <w:sz w:val="16"/>
                <w:szCs w:val="16"/>
              </w:rPr>
              <w:t> </w:t>
            </w:r>
          </w:p>
        </w:tc>
      </w:tr>
      <w:tr w:rsidR="00AB6753" w14:paraId="24F77B2A" w14:textId="77777777" w:rsidTr="002D1EA4">
        <w:trPr>
          <w:trHeight w:val="227"/>
        </w:trPr>
        <w:tc>
          <w:tcPr>
            <w:tcW w:w="5033" w:type="dxa"/>
            <w:tcBorders>
              <w:top w:val="nil"/>
              <w:left w:val="nil"/>
              <w:bottom w:val="nil"/>
              <w:right w:val="nil"/>
            </w:tcBorders>
            <w:shd w:val="clear" w:color="000000" w:fill="D9D9D9"/>
            <w:vAlign w:val="bottom"/>
            <w:hideMark/>
          </w:tcPr>
          <w:p w14:paraId="79ED9345" w14:textId="77777777" w:rsidR="00AB6753" w:rsidRDefault="00AB6753" w:rsidP="002D1EA4">
            <w:pPr>
              <w:spacing w:after="0" w:line="240" w:lineRule="auto"/>
              <w:rPr>
                <w:rFonts w:cs="Arial"/>
                <w:b/>
                <w:bCs/>
                <w:sz w:val="18"/>
                <w:szCs w:val="18"/>
              </w:rPr>
            </w:pPr>
            <w:r>
              <w:rPr>
                <w:rFonts w:cs="Arial"/>
                <w:b/>
                <w:bCs/>
                <w:sz w:val="18"/>
                <w:szCs w:val="18"/>
              </w:rPr>
              <w:t>Cash used</w:t>
            </w:r>
          </w:p>
        </w:tc>
        <w:tc>
          <w:tcPr>
            <w:tcW w:w="1198" w:type="dxa"/>
            <w:tcBorders>
              <w:top w:val="nil"/>
              <w:left w:val="nil"/>
              <w:bottom w:val="nil"/>
              <w:right w:val="nil"/>
            </w:tcBorders>
            <w:shd w:val="clear" w:color="000000" w:fill="D9D9D9"/>
            <w:noWrap/>
            <w:vAlign w:val="bottom"/>
            <w:hideMark/>
          </w:tcPr>
          <w:p w14:paraId="2A37BC06" w14:textId="77777777" w:rsidR="00AB6753" w:rsidRDefault="00AB6753" w:rsidP="002D1EA4">
            <w:pPr>
              <w:spacing w:after="0" w:line="240" w:lineRule="auto"/>
              <w:rPr>
                <w:rFonts w:cs="Arial"/>
                <w:sz w:val="16"/>
                <w:szCs w:val="16"/>
              </w:rPr>
            </w:pPr>
            <w:r>
              <w:rPr>
                <w:rFonts w:cs="Arial"/>
                <w:sz w:val="16"/>
                <w:szCs w:val="16"/>
              </w:rPr>
              <w:t> </w:t>
            </w:r>
          </w:p>
        </w:tc>
        <w:tc>
          <w:tcPr>
            <w:tcW w:w="1404" w:type="dxa"/>
            <w:tcBorders>
              <w:top w:val="nil"/>
              <w:left w:val="nil"/>
              <w:bottom w:val="nil"/>
              <w:right w:val="nil"/>
            </w:tcBorders>
            <w:shd w:val="clear" w:color="000000" w:fill="D9D9D9"/>
            <w:noWrap/>
            <w:vAlign w:val="bottom"/>
            <w:hideMark/>
          </w:tcPr>
          <w:p w14:paraId="3734F2B2" w14:textId="77777777" w:rsidR="00AB6753" w:rsidRDefault="00AB6753" w:rsidP="002D1EA4">
            <w:pPr>
              <w:spacing w:after="0" w:line="240" w:lineRule="auto"/>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054F5934"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nil"/>
              <w:right w:val="nil"/>
            </w:tcBorders>
            <w:shd w:val="clear" w:color="000000" w:fill="D9D9D9"/>
            <w:noWrap/>
            <w:vAlign w:val="bottom"/>
            <w:hideMark/>
          </w:tcPr>
          <w:p w14:paraId="501DDEC1" w14:textId="77777777" w:rsidR="00AB6753" w:rsidRDefault="00AB6753" w:rsidP="002D1EA4">
            <w:pPr>
              <w:spacing w:after="0" w:line="240" w:lineRule="auto"/>
              <w:rPr>
                <w:rFonts w:cs="Arial"/>
                <w:sz w:val="16"/>
                <w:szCs w:val="16"/>
              </w:rPr>
            </w:pPr>
            <w:r>
              <w:rPr>
                <w:rFonts w:cs="Arial"/>
                <w:sz w:val="16"/>
                <w:szCs w:val="16"/>
              </w:rPr>
              <w:t> </w:t>
            </w:r>
          </w:p>
        </w:tc>
      </w:tr>
      <w:tr w:rsidR="00AB6753" w14:paraId="6EEB3280" w14:textId="77777777" w:rsidTr="002D1EA4">
        <w:trPr>
          <w:trHeight w:val="227"/>
        </w:trPr>
        <w:tc>
          <w:tcPr>
            <w:tcW w:w="5033" w:type="dxa"/>
            <w:tcBorders>
              <w:top w:val="nil"/>
              <w:left w:val="nil"/>
              <w:bottom w:val="nil"/>
              <w:right w:val="nil"/>
            </w:tcBorders>
            <w:shd w:val="clear" w:color="000000" w:fill="D9D9D9"/>
            <w:vAlign w:val="bottom"/>
            <w:hideMark/>
          </w:tcPr>
          <w:p w14:paraId="453CC70F" w14:textId="77777777" w:rsidR="00AB6753" w:rsidRDefault="00AB6753" w:rsidP="002D1EA4">
            <w:pPr>
              <w:spacing w:after="0" w:line="240" w:lineRule="auto"/>
              <w:rPr>
                <w:rFonts w:cs="Arial"/>
                <w:sz w:val="18"/>
                <w:szCs w:val="18"/>
              </w:rPr>
            </w:pPr>
            <w:r>
              <w:rPr>
                <w:rFonts w:cs="Arial"/>
                <w:sz w:val="18"/>
                <w:szCs w:val="18"/>
              </w:rPr>
              <w:t>Advances and loans made</w:t>
            </w:r>
          </w:p>
        </w:tc>
        <w:tc>
          <w:tcPr>
            <w:tcW w:w="1198" w:type="dxa"/>
            <w:tcBorders>
              <w:top w:val="nil"/>
              <w:left w:val="nil"/>
              <w:bottom w:val="nil"/>
              <w:right w:val="nil"/>
            </w:tcBorders>
            <w:shd w:val="clear" w:color="000000" w:fill="D9D9D9"/>
            <w:noWrap/>
            <w:vAlign w:val="bottom"/>
            <w:hideMark/>
          </w:tcPr>
          <w:p w14:paraId="47AD6B42" w14:textId="77777777" w:rsidR="00AB6753" w:rsidRDefault="00AB6753" w:rsidP="002D1EA4">
            <w:pPr>
              <w:spacing w:after="0" w:line="240" w:lineRule="auto"/>
              <w:rPr>
                <w:rFonts w:cs="Arial"/>
                <w:sz w:val="16"/>
                <w:szCs w:val="16"/>
              </w:rPr>
            </w:pPr>
            <w:r>
              <w:rPr>
                <w:rFonts w:cs="Arial"/>
                <w:sz w:val="16"/>
                <w:szCs w:val="16"/>
              </w:rPr>
              <w:t> </w:t>
            </w:r>
          </w:p>
        </w:tc>
        <w:tc>
          <w:tcPr>
            <w:tcW w:w="1404" w:type="dxa"/>
            <w:tcBorders>
              <w:top w:val="nil"/>
              <w:left w:val="nil"/>
              <w:bottom w:val="nil"/>
              <w:right w:val="nil"/>
            </w:tcBorders>
            <w:shd w:val="clear" w:color="000000" w:fill="D9D9D9"/>
            <w:noWrap/>
            <w:vAlign w:val="bottom"/>
            <w:hideMark/>
          </w:tcPr>
          <w:p w14:paraId="62F89087" w14:textId="77777777" w:rsidR="00AB6753" w:rsidRDefault="00AB6753" w:rsidP="002D1EA4">
            <w:pPr>
              <w:spacing w:after="0" w:line="240" w:lineRule="auto"/>
              <w:jc w:val="right"/>
              <w:rPr>
                <w:rFonts w:cs="Arial"/>
                <w:b/>
                <w:bCs/>
                <w:sz w:val="18"/>
                <w:szCs w:val="18"/>
              </w:rPr>
            </w:pPr>
            <w:r>
              <w:rPr>
                <w:rFonts w:cs="Arial"/>
                <w:b/>
                <w:bCs/>
                <w:sz w:val="18"/>
                <w:szCs w:val="18"/>
              </w:rPr>
              <w:t>210,956</w:t>
            </w:r>
          </w:p>
        </w:tc>
        <w:tc>
          <w:tcPr>
            <w:tcW w:w="236" w:type="dxa"/>
            <w:tcBorders>
              <w:top w:val="nil"/>
              <w:left w:val="nil"/>
              <w:bottom w:val="nil"/>
              <w:right w:val="nil"/>
            </w:tcBorders>
            <w:shd w:val="clear" w:color="000000" w:fill="D9D9D9"/>
            <w:noWrap/>
            <w:vAlign w:val="bottom"/>
            <w:hideMark/>
          </w:tcPr>
          <w:p w14:paraId="74CD64CE"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398" w:type="dxa"/>
            <w:tcBorders>
              <w:top w:val="nil"/>
              <w:left w:val="nil"/>
              <w:bottom w:val="nil"/>
              <w:right w:val="nil"/>
            </w:tcBorders>
            <w:shd w:val="clear" w:color="000000" w:fill="D9D9D9"/>
            <w:noWrap/>
            <w:vAlign w:val="bottom"/>
            <w:hideMark/>
          </w:tcPr>
          <w:p w14:paraId="06A123E8" w14:textId="77777777" w:rsidR="00AB6753" w:rsidRDefault="00AB6753" w:rsidP="002D1EA4">
            <w:pPr>
              <w:spacing w:after="0" w:line="240" w:lineRule="auto"/>
              <w:jc w:val="right"/>
              <w:rPr>
                <w:rFonts w:cs="Arial"/>
                <w:sz w:val="18"/>
                <w:szCs w:val="18"/>
              </w:rPr>
            </w:pPr>
            <w:r>
              <w:rPr>
                <w:rFonts w:cs="Arial"/>
                <w:sz w:val="18"/>
                <w:szCs w:val="18"/>
              </w:rPr>
              <w:t>208,121</w:t>
            </w:r>
          </w:p>
        </w:tc>
      </w:tr>
      <w:tr w:rsidR="00AB6753" w14:paraId="039FC0EC" w14:textId="77777777" w:rsidTr="002D1EA4">
        <w:trPr>
          <w:trHeight w:val="227"/>
        </w:trPr>
        <w:tc>
          <w:tcPr>
            <w:tcW w:w="5033" w:type="dxa"/>
            <w:tcBorders>
              <w:top w:val="single" w:sz="4" w:space="0" w:color="D9D9D9"/>
              <w:left w:val="nil"/>
              <w:bottom w:val="single" w:sz="4" w:space="0" w:color="D9D9D9"/>
              <w:right w:val="nil"/>
            </w:tcBorders>
            <w:shd w:val="clear" w:color="000000" w:fill="D9D9D9"/>
            <w:noWrap/>
            <w:vAlign w:val="bottom"/>
            <w:hideMark/>
          </w:tcPr>
          <w:p w14:paraId="4FFD53AE" w14:textId="77777777" w:rsidR="00AB6753" w:rsidRDefault="00AB6753" w:rsidP="002D1EA4">
            <w:pPr>
              <w:spacing w:after="0" w:line="240" w:lineRule="auto"/>
              <w:rPr>
                <w:rFonts w:cs="Arial"/>
                <w:b/>
                <w:bCs/>
                <w:sz w:val="18"/>
                <w:szCs w:val="18"/>
              </w:rPr>
            </w:pPr>
            <w:r>
              <w:rPr>
                <w:rFonts w:cs="Arial"/>
                <w:b/>
                <w:bCs/>
                <w:sz w:val="18"/>
                <w:szCs w:val="18"/>
              </w:rPr>
              <w:t>Total cash used</w:t>
            </w:r>
          </w:p>
        </w:tc>
        <w:tc>
          <w:tcPr>
            <w:tcW w:w="1198" w:type="dxa"/>
            <w:tcBorders>
              <w:top w:val="single" w:sz="4" w:space="0" w:color="D9D9D9"/>
              <w:left w:val="nil"/>
              <w:bottom w:val="single" w:sz="4" w:space="0" w:color="D9D9D9"/>
              <w:right w:val="nil"/>
            </w:tcBorders>
            <w:shd w:val="clear" w:color="000000" w:fill="D9D9D9"/>
            <w:noWrap/>
            <w:vAlign w:val="bottom"/>
            <w:hideMark/>
          </w:tcPr>
          <w:p w14:paraId="44802BBA" w14:textId="77777777" w:rsidR="00AB6753" w:rsidRDefault="00AB6753" w:rsidP="002D1EA4">
            <w:pPr>
              <w:spacing w:after="0" w:line="240" w:lineRule="auto"/>
              <w:rPr>
                <w:rFonts w:cs="Arial"/>
                <w:b/>
                <w:bCs/>
                <w:sz w:val="18"/>
                <w:szCs w:val="18"/>
              </w:rPr>
            </w:pPr>
            <w:r>
              <w:rPr>
                <w:rFonts w:cs="Arial"/>
                <w:b/>
                <w:bCs/>
                <w:sz w:val="18"/>
                <w:szCs w:val="18"/>
              </w:rPr>
              <w:t> </w:t>
            </w:r>
          </w:p>
        </w:tc>
        <w:tc>
          <w:tcPr>
            <w:tcW w:w="1404" w:type="dxa"/>
            <w:tcBorders>
              <w:top w:val="single" w:sz="4" w:space="0" w:color="auto"/>
              <w:left w:val="nil"/>
              <w:bottom w:val="single" w:sz="4" w:space="0" w:color="auto"/>
              <w:right w:val="nil"/>
            </w:tcBorders>
            <w:shd w:val="clear" w:color="000000" w:fill="D9D9D9"/>
            <w:noWrap/>
            <w:vAlign w:val="bottom"/>
            <w:hideMark/>
          </w:tcPr>
          <w:p w14:paraId="041A5F88" w14:textId="77777777" w:rsidR="00AB6753" w:rsidRDefault="00AB6753" w:rsidP="002D1EA4">
            <w:pPr>
              <w:spacing w:after="0" w:line="240" w:lineRule="auto"/>
              <w:jc w:val="right"/>
              <w:rPr>
                <w:rFonts w:cs="Arial"/>
                <w:b/>
                <w:bCs/>
                <w:sz w:val="18"/>
                <w:szCs w:val="18"/>
              </w:rPr>
            </w:pPr>
            <w:r>
              <w:rPr>
                <w:rFonts w:cs="Arial"/>
                <w:b/>
                <w:bCs/>
                <w:sz w:val="18"/>
                <w:szCs w:val="18"/>
              </w:rPr>
              <w:t>210,956</w:t>
            </w:r>
          </w:p>
        </w:tc>
        <w:tc>
          <w:tcPr>
            <w:tcW w:w="236" w:type="dxa"/>
            <w:tcBorders>
              <w:top w:val="single" w:sz="4" w:space="0" w:color="D9D9D9"/>
              <w:left w:val="nil"/>
              <w:bottom w:val="single" w:sz="4" w:space="0" w:color="D9D9D9"/>
              <w:right w:val="nil"/>
            </w:tcBorders>
            <w:shd w:val="clear" w:color="000000" w:fill="D9D9D9"/>
            <w:noWrap/>
            <w:vAlign w:val="bottom"/>
            <w:hideMark/>
          </w:tcPr>
          <w:p w14:paraId="02CF9989"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single" w:sz="4" w:space="0" w:color="auto"/>
              <w:left w:val="nil"/>
              <w:bottom w:val="single" w:sz="4" w:space="0" w:color="auto"/>
              <w:right w:val="nil"/>
            </w:tcBorders>
            <w:shd w:val="clear" w:color="000000" w:fill="D9D9D9"/>
            <w:noWrap/>
            <w:vAlign w:val="bottom"/>
            <w:hideMark/>
          </w:tcPr>
          <w:p w14:paraId="7141C7ED" w14:textId="77777777" w:rsidR="00AB6753" w:rsidRDefault="00AB6753" w:rsidP="002D1EA4">
            <w:pPr>
              <w:spacing w:after="0" w:line="240" w:lineRule="auto"/>
              <w:jc w:val="right"/>
              <w:rPr>
                <w:rFonts w:cs="Arial"/>
                <w:sz w:val="18"/>
                <w:szCs w:val="18"/>
              </w:rPr>
            </w:pPr>
            <w:r>
              <w:rPr>
                <w:rFonts w:cs="Arial"/>
                <w:sz w:val="18"/>
                <w:szCs w:val="18"/>
              </w:rPr>
              <w:t>208,121</w:t>
            </w:r>
          </w:p>
        </w:tc>
      </w:tr>
      <w:tr w:rsidR="00AB6753" w14:paraId="70F5B520" w14:textId="77777777" w:rsidTr="002D1EA4">
        <w:trPr>
          <w:trHeight w:val="227"/>
        </w:trPr>
        <w:tc>
          <w:tcPr>
            <w:tcW w:w="5033" w:type="dxa"/>
            <w:tcBorders>
              <w:top w:val="nil"/>
              <w:left w:val="nil"/>
              <w:bottom w:val="single" w:sz="4" w:space="0" w:color="D9D9D9"/>
              <w:right w:val="nil"/>
            </w:tcBorders>
            <w:shd w:val="clear" w:color="000000" w:fill="D9D9D9"/>
            <w:noWrap/>
            <w:vAlign w:val="bottom"/>
            <w:hideMark/>
          </w:tcPr>
          <w:p w14:paraId="22B8BE7B" w14:textId="77777777" w:rsidR="00AB6753" w:rsidRDefault="00AB6753" w:rsidP="002D1EA4">
            <w:pPr>
              <w:spacing w:after="0" w:line="240" w:lineRule="auto"/>
              <w:rPr>
                <w:rFonts w:cs="Arial"/>
                <w:b/>
                <w:bCs/>
                <w:sz w:val="18"/>
                <w:szCs w:val="18"/>
              </w:rPr>
            </w:pPr>
            <w:r>
              <w:rPr>
                <w:rFonts w:cs="Arial"/>
                <w:b/>
                <w:bCs/>
                <w:sz w:val="18"/>
                <w:szCs w:val="18"/>
              </w:rPr>
              <w:t>Net cash used by investing activities</w:t>
            </w:r>
          </w:p>
        </w:tc>
        <w:tc>
          <w:tcPr>
            <w:tcW w:w="1198" w:type="dxa"/>
            <w:tcBorders>
              <w:top w:val="nil"/>
              <w:left w:val="nil"/>
              <w:bottom w:val="single" w:sz="4" w:space="0" w:color="D9D9D9"/>
              <w:right w:val="nil"/>
            </w:tcBorders>
            <w:shd w:val="clear" w:color="000000" w:fill="D9D9D9"/>
            <w:noWrap/>
            <w:vAlign w:val="bottom"/>
            <w:hideMark/>
          </w:tcPr>
          <w:p w14:paraId="2470369F" w14:textId="77777777" w:rsidR="00AB6753" w:rsidRDefault="00AB6753" w:rsidP="002D1EA4">
            <w:pPr>
              <w:spacing w:after="0" w:line="240" w:lineRule="auto"/>
              <w:rPr>
                <w:rFonts w:cs="Arial"/>
                <w:b/>
                <w:bCs/>
                <w:sz w:val="18"/>
                <w:szCs w:val="18"/>
              </w:rPr>
            </w:pPr>
            <w:r>
              <w:rPr>
                <w:rFonts w:cs="Arial"/>
                <w:b/>
                <w:bCs/>
                <w:sz w:val="18"/>
                <w:szCs w:val="18"/>
              </w:rPr>
              <w:t> </w:t>
            </w:r>
          </w:p>
        </w:tc>
        <w:tc>
          <w:tcPr>
            <w:tcW w:w="1404" w:type="dxa"/>
            <w:tcBorders>
              <w:top w:val="nil"/>
              <w:left w:val="nil"/>
              <w:bottom w:val="single" w:sz="4" w:space="0" w:color="auto"/>
              <w:right w:val="nil"/>
            </w:tcBorders>
            <w:shd w:val="clear" w:color="000000" w:fill="D9D9D9"/>
            <w:noWrap/>
            <w:vAlign w:val="bottom"/>
            <w:hideMark/>
          </w:tcPr>
          <w:p w14:paraId="7FEC459A" w14:textId="77777777" w:rsidR="00AB6753" w:rsidRDefault="00AB6753" w:rsidP="002D1EA4">
            <w:pPr>
              <w:spacing w:after="0" w:line="240" w:lineRule="auto"/>
              <w:jc w:val="right"/>
              <w:rPr>
                <w:rFonts w:cs="Arial"/>
                <w:b/>
                <w:bCs/>
                <w:sz w:val="18"/>
                <w:szCs w:val="18"/>
              </w:rPr>
            </w:pPr>
            <w:r>
              <w:rPr>
                <w:rFonts w:cs="Arial"/>
                <w:b/>
                <w:bCs/>
                <w:sz w:val="18"/>
                <w:szCs w:val="18"/>
              </w:rPr>
              <w:t>(143,704)</w:t>
            </w:r>
          </w:p>
        </w:tc>
        <w:tc>
          <w:tcPr>
            <w:tcW w:w="236" w:type="dxa"/>
            <w:tcBorders>
              <w:top w:val="nil"/>
              <w:left w:val="nil"/>
              <w:bottom w:val="single" w:sz="4" w:space="0" w:color="D9D9D9"/>
              <w:right w:val="nil"/>
            </w:tcBorders>
            <w:shd w:val="clear" w:color="000000" w:fill="D9D9D9"/>
            <w:noWrap/>
            <w:vAlign w:val="bottom"/>
            <w:hideMark/>
          </w:tcPr>
          <w:p w14:paraId="26372EF7"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single" w:sz="4" w:space="0" w:color="auto"/>
              <w:right w:val="nil"/>
            </w:tcBorders>
            <w:shd w:val="clear" w:color="000000" w:fill="D9D9D9"/>
            <w:noWrap/>
            <w:vAlign w:val="bottom"/>
            <w:hideMark/>
          </w:tcPr>
          <w:p w14:paraId="2E1183B0" w14:textId="77777777" w:rsidR="00AB6753" w:rsidRDefault="00AB6753" w:rsidP="002D1EA4">
            <w:pPr>
              <w:spacing w:after="0" w:line="240" w:lineRule="auto"/>
              <w:jc w:val="right"/>
              <w:rPr>
                <w:rFonts w:cs="Arial"/>
                <w:sz w:val="18"/>
                <w:szCs w:val="18"/>
              </w:rPr>
            </w:pPr>
            <w:r>
              <w:rPr>
                <w:rFonts w:cs="Arial"/>
                <w:sz w:val="18"/>
                <w:szCs w:val="18"/>
              </w:rPr>
              <w:t>(150,648)</w:t>
            </w:r>
          </w:p>
        </w:tc>
      </w:tr>
      <w:tr w:rsidR="00AB6753" w14:paraId="1690FA0E" w14:textId="77777777" w:rsidTr="002D1EA4">
        <w:trPr>
          <w:trHeight w:val="227"/>
        </w:trPr>
        <w:tc>
          <w:tcPr>
            <w:tcW w:w="5033" w:type="dxa"/>
            <w:tcBorders>
              <w:top w:val="nil"/>
              <w:left w:val="nil"/>
              <w:bottom w:val="single" w:sz="4" w:space="0" w:color="D9D9D9"/>
              <w:right w:val="nil"/>
            </w:tcBorders>
            <w:shd w:val="clear" w:color="000000" w:fill="D9D9D9"/>
            <w:noWrap/>
            <w:vAlign w:val="bottom"/>
            <w:hideMark/>
          </w:tcPr>
          <w:p w14:paraId="1D3283B0" w14:textId="77777777" w:rsidR="00AB6753" w:rsidRDefault="00AB6753" w:rsidP="002D1EA4">
            <w:pPr>
              <w:spacing w:after="0" w:line="240" w:lineRule="auto"/>
              <w:rPr>
                <w:rFonts w:cs="Arial"/>
                <w:b/>
                <w:bCs/>
                <w:sz w:val="18"/>
                <w:szCs w:val="18"/>
              </w:rPr>
            </w:pPr>
            <w:r>
              <w:rPr>
                <w:rFonts w:cs="Arial"/>
                <w:b/>
                <w:bCs/>
                <w:sz w:val="18"/>
                <w:szCs w:val="18"/>
              </w:rPr>
              <w:t> </w:t>
            </w:r>
          </w:p>
        </w:tc>
        <w:tc>
          <w:tcPr>
            <w:tcW w:w="1198" w:type="dxa"/>
            <w:tcBorders>
              <w:top w:val="nil"/>
              <w:left w:val="nil"/>
              <w:bottom w:val="single" w:sz="4" w:space="0" w:color="D9D9D9"/>
              <w:right w:val="nil"/>
            </w:tcBorders>
            <w:shd w:val="clear" w:color="000000" w:fill="D9D9D9"/>
            <w:noWrap/>
            <w:vAlign w:val="bottom"/>
            <w:hideMark/>
          </w:tcPr>
          <w:p w14:paraId="35F2C28B" w14:textId="77777777" w:rsidR="00AB6753" w:rsidRDefault="00AB6753" w:rsidP="002D1EA4">
            <w:pPr>
              <w:spacing w:after="0" w:line="240" w:lineRule="auto"/>
              <w:rPr>
                <w:rFonts w:cs="Arial"/>
                <w:b/>
                <w:bCs/>
                <w:sz w:val="18"/>
                <w:szCs w:val="18"/>
              </w:rPr>
            </w:pPr>
            <w:r>
              <w:rPr>
                <w:rFonts w:cs="Arial"/>
                <w:b/>
                <w:bCs/>
                <w:sz w:val="18"/>
                <w:szCs w:val="18"/>
              </w:rPr>
              <w:t> </w:t>
            </w:r>
          </w:p>
        </w:tc>
        <w:tc>
          <w:tcPr>
            <w:tcW w:w="1404" w:type="dxa"/>
            <w:tcBorders>
              <w:top w:val="nil"/>
              <w:left w:val="nil"/>
              <w:bottom w:val="single" w:sz="4" w:space="0" w:color="D9D9D9"/>
              <w:right w:val="nil"/>
            </w:tcBorders>
            <w:shd w:val="clear" w:color="000000" w:fill="D9D9D9"/>
            <w:noWrap/>
            <w:vAlign w:val="bottom"/>
            <w:hideMark/>
          </w:tcPr>
          <w:p w14:paraId="3D1E0C8A" w14:textId="77777777" w:rsidR="00AB6753" w:rsidRDefault="00AB6753" w:rsidP="002D1EA4">
            <w:pPr>
              <w:spacing w:after="0" w:line="240" w:lineRule="auto"/>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44D3CCE5"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single" w:sz="4" w:space="0" w:color="D9D9D9"/>
              <w:right w:val="nil"/>
            </w:tcBorders>
            <w:shd w:val="clear" w:color="000000" w:fill="D9D9D9"/>
            <w:noWrap/>
            <w:vAlign w:val="bottom"/>
            <w:hideMark/>
          </w:tcPr>
          <w:p w14:paraId="0C6840F7" w14:textId="77777777" w:rsidR="00AB6753" w:rsidRDefault="00AB6753" w:rsidP="002D1EA4">
            <w:pPr>
              <w:spacing w:after="0" w:line="240" w:lineRule="auto"/>
              <w:rPr>
                <w:rFonts w:cs="Arial"/>
                <w:sz w:val="16"/>
                <w:szCs w:val="16"/>
              </w:rPr>
            </w:pPr>
            <w:r>
              <w:rPr>
                <w:rFonts w:cs="Arial"/>
                <w:sz w:val="16"/>
                <w:szCs w:val="16"/>
              </w:rPr>
              <w:t> </w:t>
            </w:r>
          </w:p>
        </w:tc>
      </w:tr>
      <w:tr w:rsidR="00AB6753" w14:paraId="75009612" w14:textId="77777777" w:rsidTr="002D1EA4">
        <w:trPr>
          <w:trHeight w:val="227"/>
        </w:trPr>
        <w:tc>
          <w:tcPr>
            <w:tcW w:w="5033" w:type="dxa"/>
            <w:tcBorders>
              <w:top w:val="nil"/>
              <w:left w:val="nil"/>
              <w:bottom w:val="single" w:sz="4" w:space="0" w:color="D9D9D9"/>
              <w:right w:val="nil"/>
            </w:tcBorders>
            <w:shd w:val="clear" w:color="000000" w:fill="D9D9D9"/>
            <w:noWrap/>
            <w:vAlign w:val="bottom"/>
            <w:hideMark/>
          </w:tcPr>
          <w:p w14:paraId="52D5B903" w14:textId="77777777" w:rsidR="00AB6753" w:rsidRDefault="00AB6753" w:rsidP="002D1EA4">
            <w:pPr>
              <w:spacing w:after="0" w:line="240" w:lineRule="auto"/>
              <w:rPr>
                <w:rFonts w:cs="Arial"/>
                <w:b/>
                <w:bCs/>
                <w:sz w:val="18"/>
                <w:szCs w:val="18"/>
              </w:rPr>
            </w:pPr>
            <w:r>
              <w:rPr>
                <w:rFonts w:cs="Arial"/>
                <w:b/>
                <w:bCs/>
                <w:sz w:val="18"/>
                <w:szCs w:val="18"/>
              </w:rPr>
              <w:t>Net decrease in cash held</w:t>
            </w:r>
          </w:p>
        </w:tc>
        <w:tc>
          <w:tcPr>
            <w:tcW w:w="1198" w:type="dxa"/>
            <w:tcBorders>
              <w:top w:val="single" w:sz="4" w:space="0" w:color="D9D9D9"/>
              <w:left w:val="nil"/>
              <w:bottom w:val="single" w:sz="4" w:space="0" w:color="D9D9D9"/>
              <w:right w:val="nil"/>
            </w:tcBorders>
            <w:shd w:val="clear" w:color="000000" w:fill="D9D9D9"/>
            <w:vAlign w:val="bottom"/>
            <w:hideMark/>
          </w:tcPr>
          <w:p w14:paraId="6C277E54"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single" w:sz="4" w:space="0" w:color="auto"/>
              <w:right w:val="nil"/>
            </w:tcBorders>
            <w:shd w:val="clear" w:color="000000" w:fill="D9D9D9"/>
            <w:noWrap/>
            <w:vAlign w:val="bottom"/>
            <w:hideMark/>
          </w:tcPr>
          <w:p w14:paraId="42265F57" w14:textId="77777777" w:rsidR="00AB6753" w:rsidRDefault="00AB6753" w:rsidP="002D1EA4">
            <w:pPr>
              <w:spacing w:after="0" w:line="240" w:lineRule="auto"/>
              <w:jc w:val="right"/>
              <w:rPr>
                <w:rFonts w:cs="Arial"/>
                <w:b/>
                <w:bCs/>
                <w:sz w:val="18"/>
                <w:szCs w:val="18"/>
              </w:rPr>
            </w:pPr>
            <w:r>
              <w:rPr>
                <w:rFonts w:cs="Arial"/>
                <w:b/>
                <w:bCs/>
                <w:sz w:val="18"/>
                <w:szCs w:val="18"/>
              </w:rPr>
              <w:t>(138,452,041)</w:t>
            </w:r>
          </w:p>
        </w:tc>
        <w:tc>
          <w:tcPr>
            <w:tcW w:w="236" w:type="dxa"/>
            <w:tcBorders>
              <w:top w:val="nil"/>
              <w:left w:val="nil"/>
              <w:bottom w:val="single" w:sz="4" w:space="0" w:color="D9D9D9"/>
              <w:right w:val="nil"/>
            </w:tcBorders>
            <w:shd w:val="clear" w:color="000000" w:fill="D9D9D9"/>
            <w:noWrap/>
            <w:vAlign w:val="bottom"/>
            <w:hideMark/>
          </w:tcPr>
          <w:p w14:paraId="55246C23"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single" w:sz="4" w:space="0" w:color="auto"/>
              <w:right w:val="nil"/>
            </w:tcBorders>
            <w:shd w:val="clear" w:color="000000" w:fill="D9D9D9"/>
            <w:noWrap/>
            <w:vAlign w:val="bottom"/>
            <w:hideMark/>
          </w:tcPr>
          <w:p w14:paraId="71556B41" w14:textId="77777777" w:rsidR="00AB6753" w:rsidRDefault="00AB6753" w:rsidP="002D1EA4">
            <w:pPr>
              <w:spacing w:after="0" w:line="240" w:lineRule="auto"/>
              <w:jc w:val="right"/>
              <w:rPr>
                <w:rFonts w:cs="Arial"/>
                <w:sz w:val="18"/>
                <w:szCs w:val="18"/>
              </w:rPr>
            </w:pPr>
            <w:r>
              <w:rPr>
                <w:rFonts w:cs="Arial"/>
                <w:sz w:val="18"/>
                <w:szCs w:val="18"/>
              </w:rPr>
              <w:t>(119,033,701)</w:t>
            </w:r>
          </w:p>
        </w:tc>
      </w:tr>
      <w:tr w:rsidR="00AB6753" w14:paraId="269F94E7" w14:textId="77777777" w:rsidTr="002D1EA4">
        <w:trPr>
          <w:trHeight w:val="227"/>
        </w:trPr>
        <w:tc>
          <w:tcPr>
            <w:tcW w:w="5033" w:type="dxa"/>
            <w:tcBorders>
              <w:top w:val="nil"/>
              <w:left w:val="nil"/>
              <w:bottom w:val="nil"/>
              <w:right w:val="nil"/>
            </w:tcBorders>
            <w:shd w:val="clear" w:color="000000" w:fill="D9D9D9"/>
            <w:vAlign w:val="bottom"/>
            <w:hideMark/>
          </w:tcPr>
          <w:p w14:paraId="328A1B50" w14:textId="77777777" w:rsidR="00AB6753" w:rsidRDefault="00AB6753" w:rsidP="002D1EA4">
            <w:pPr>
              <w:spacing w:after="0" w:line="240" w:lineRule="auto"/>
              <w:rPr>
                <w:rFonts w:cs="Arial"/>
                <w:b/>
                <w:bCs/>
                <w:sz w:val="18"/>
                <w:szCs w:val="18"/>
              </w:rPr>
            </w:pPr>
            <w:r>
              <w:rPr>
                <w:rFonts w:cs="Arial"/>
                <w:b/>
                <w:bCs/>
                <w:sz w:val="18"/>
                <w:szCs w:val="18"/>
              </w:rPr>
              <w:t> </w:t>
            </w:r>
          </w:p>
        </w:tc>
        <w:tc>
          <w:tcPr>
            <w:tcW w:w="1198" w:type="dxa"/>
            <w:tcBorders>
              <w:top w:val="nil"/>
              <w:left w:val="nil"/>
              <w:bottom w:val="single" w:sz="4" w:space="0" w:color="D9D9D9"/>
              <w:right w:val="nil"/>
            </w:tcBorders>
            <w:shd w:val="clear" w:color="000000" w:fill="D9D9D9"/>
            <w:vAlign w:val="bottom"/>
            <w:hideMark/>
          </w:tcPr>
          <w:p w14:paraId="77469FC1"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6B6BAB31" w14:textId="77777777" w:rsidR="00AB6753" w:rsidRDefault="00AB6753" w:rsidP="002D1EA4">
            <w:pPr>
              <w:spacing w:after="0" w:line="240" w:lineRule="auto"/>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1C936F37"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nil"/>
              <w:right w:val="nil"/>
            </w:tcBorders>
            <w:shd w:val="clear" w:color="000000" w:fill="D9D9D9"/>
            <w:noWrap/>
            <w:vAlign w:val="bottom"/>
            <w:hideMark/>
          </w:tcPr>
          <w:p w14:paraId="5F1E408F" w14:textId="77777777" w:rsidR="00AB6753" w:rsidRDefault="00AB6753" w:rsidP="002D1EA4">
            <w:pPr>
              <w:spacing w:after="0" w:line="240" w:lineRule="auto"/>
              <w:rPr>
                <w:rFonts w:cs="Arial"/>
                <w:sz w:val="18"/>
                <w:szCs w:val="18"/>
              </w:rPr>
            </w:pPr>
            <w:r>
              <w:rPr>
                <w:rFonts w:cs="Arial"/>
                <w:sz w:val="18"/>
                <w:szCs w:val="18"/>
              </w:rPr>
              <w:t> </w:t>
            </w:r>
          </w:p>
        </w:tc>
      </w:tr>
      <w:tr w:rsidR="00AB6753" w14:paraId="36DCC601" w14:textId="77777777" w:rsidTr="002D1EA4">
        <w:trPr>
          <w:trHeight w:val="227"/>
        </w:trPr>
        <w:tc>
          <w:tcPr>
            <w:tcW w:w="5033" w:type="dxa"/>
            <w:tcBorders>
              <w:top w:val="nil"/>
              <w:left w:val="nil"/>
              <w:bottom w:val="nil"/>
              <w:right w:val="nil"/>
            </w:tcBorders>
            <w:shd w:val="clear" w:color="000000" w:fill="D9D9D9"/>
            <w:noWrap/>
            <w:vAlign w:val="bottom"/>
            <w:hideMark/>
          </w:tcPr>
          <w:p w14:paraId="53202B6C" w14:textId="77777777" w:rsidR="00AB6753" w:rsidRDefault="00AB6753" w:rsidP="002D1EA4">
            <w:pPr>
              <w:spacing w:after="0" w:line="240" w:lineRule="auto"/>
              <w:rPr>
                <w:rFonts w:cs="Arial"/>
                <w:b/>
                <w:bCs/>
                <w:sz w:val="18"/>
                <w:szCs w:val="18"/>
              </w:rPr>
            </w:pPr>
            <w:r>
              <w:rPr>
                <w:rFonts w:cs="Arial"/>
                <w:b/>
                <w:bCs/>
                <w:sz w:val="18"/>
                <w:szCs w:val="18"/>
              </w:rPr>
              <w:t>Cash from Official Public Account:</w:t>
            </w:r>
          </w:p>
        </w:tc>
        <w:tc>
          <w:tcPr>
            <w:tcW w:w="1198" w:type="dxa"/>
            <w:tcBorders>
              <w:top w:val="nil"/>
              <w:left w:val="nil"/>
              <w:bottom w:val="single" w:sz="4" w:space="0" w:color="D9D9D9"/>
              <w:right w:val="nil"/>
            </w:tcBorders>
            <w:shd w:val="clear" w:color="000000" w:fill="D9D9D9"/>
            <w:vAlign w:val="bottom"/>
            <w:hideMark/>
          </w:tcPr>
          <w:p w14:paraId="142EAF58"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5E098607" w14:textId="77777777" w:rsidR="00AB6753" w:rsidRDefault="00AB6753" w:rsidP="002D1EA4">
            <w:pPr>
              <w:spacing w:after="0" w:line="240" w:lineRule="auto"/>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2E67AA30"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nil"/>
              <w:right w:val="nil"/>
            </w:tcBorders>
            <w:shd w:val="clear" w:color="000000" w:fill="D9D9D9"/>
            <w:noWrap/>
            <w:vAlign w:val="bottom"/>
            <w:hideMark/>
          </w:tcPr>
          <w:p w14:paraId="59F8BFA3" w14:textId="77777777" w:rsidR="00AB6753" w:rsidRDefault="00AB6753" w:rsidP="002D1EA4">
            <w:pPr>
              <w:spacing w:after="0" w:line="240" w:lineRule="auto"/>
              <w:rPr>
                <w:rFonts w:cs="Arial"/>
                <w:sz w:val="18"/>
                <w:szCs w:val="18"/>
              </w:rPr>
            </w:pPr>
            <w:r>
              <w:rPr>
                <w:rFonts w:cs="Arial"/>
                <w:sz w:val="18"/>
                <w:szCs w:val="18"/>
              </w:rPr>
              <w:t> </w:t>
            </w:r>
          </w:p>
        </w:tc>
      </w:tr>
      <w:tr w:rsidR="00AB6753" w14:paraId="280CFD4D" w14:textId="77777777" w:rsidTr="002D1EA4">
        <w:trPr>
          <w:trHeight w:val="227"/>
        </w:trPr>
        <w:tc>
          <w:tcPr>
            <w:tcW w:w="5033" w:type="dxa"/>
            <w:tcBorders>
              <w:top w:val="nil"/>
              <w:left w:val="nil"/>
              <w:bottom w:val="nil"/>
              <w:right w:val="nil"/>
            </w:tcBorders>
            <w:shd w:val="clear" w:color="000000" w:fill="D9D9D9"/>
            <w:noWrap/>
            <w:vAlign w:val="bottom"/>
            <w:hideMark/>
          </w:tcPr>
          <w:p w14:paraId="4EA4DC85" w14:textId="77777777" w:rsidR="00AB6753" w:rsidRDefault="00AB6753" w:rsidP="002D1EA4">
            <w:pPr>
              <w:spacing w:after="0" w:line="240" w:lineRule="auto"/>
              <w:ind w:firstLineChars="100" w:firstLine="180"/>
              <w:rPr>
                <w:rFonts w:cs="Arial"/>
                <w:sz w:val="18"/>
                <w:szCs w:val="18"/>
              </w:rPr>
            </w:pPr>
            <w:r>
              <w:rPr>
                <w:rFonts w:cs="Arial"/>
                <w:sz w:val="18"/>
                <w:szCs w:val="18"/>
              </w:rPr>
              <w:t>Appropriations</w:t>
            </w:r>
          </w:p>
        </w:tc>
        <w:tc>
          <w:tcPr>
            <w:tcW w:w="1198" w:type="dxa"/>
            <w:tcBorders>
              <w:top w:val="nil"/>
              <w:left w:val="nil"/>
              <w:bottom w:val="single" w:sz="4" w:space="0" w:color="D9D9D9"/>
              <w:right w:val="nil"/>
            </w:tcBorders>
            <w:shd w:val="clear" w:color="000000" w:fill="D9D9D9"/>
            <w:vAlign w:val="bottom"/>
            <w:hideMark/>
          </w:tcPr>
          <w:p w14:paraId="25ACB116"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6D125981" w14:textId="77777777" w:rsidR="00AB6753" w:rsidRDefault="00AB6753" w:rsidP="002D1EA4">
            <w:pPr>
              <w:spacing w:after="0" w:line="240" w:lineRule="auto"/>
              <w:jc w:val="right"/>
              <w:rPr>
                <w:rFonts w:cs="Arial"/>
                <w:b/>
                <w:bCs/>
                <w:sz w:val="18"/>
                <w:szCs w:val="18"/>
              </w:rPr>
            </w:pPr>
            <w:r>
              <w:rPr>
                <w:rFonts w:cs="Arial"/>
                <w:b/>
                <w:bCs/>
                <w:sz w:val="18"/>
                <w:szCs w:val="18"/>
              </w:rPr>
              <w:t>139,021,894</w:t>
            </w:r>
          </w:p>
        </w:tc>
        <w:tc>
          <w:tcPr>
            <w:tcW w:w="236" w:type="dxa"/>
            <w:tcBorders>
              <w:top w:val="nil"/>
              <w:left w:val="nil"/>
              <w:bottom w:val="nil"/>
              <w:right w:val="nil"/>
            </w:tcBorders>
            <w:shd w:val="clear" w:color="000000" w:fill="D9D9D9"/>
            <w:noWrap/>
            <w:vAlign w:val="bottom"/>
            <w:hideMark/>
          </w:tcPr>
          <w:p w14:paraId="740092C3"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398" w:type="dxa"/>
            <w:tcBorders>
              <w:top w:val="nil"/>
              <w:left w:val="nil"/>
              <w:bottom w:val="nil"/>
              <w:right w:val="nil"/>
            </w:tcBorders>
            <w:shd w:val="clear" w:color="000000" w:fill="D9D9D9"/>
            <w:noWrap/>
            <w:vAlign w:val="bottom"/>
            <w:hideMark/>
          </w:tcPr>
          <w:p w14:paraId="550B2811" w14:textId="77777777" w:rsidR="00AB6753" w:rsidRDefault="00AB6753" w:rsidP="002D1EA4">
            <w:pPr>
              <w:spacing w:after="0" w:line="240" w:lineRule="auto"/>
              <w:jc w:val="right"/>
              <w:rPr>
                <w:rFonts w:cs="Arial"/>
                <w:sz w:val="18"/>
                <w:szCs w:val="18"/>
              </w:rPr>
            </w:pPr>
            <w:r>
              <w:rPr>
                <w:rFonts w:cs="Arial"/>
                <w:sz w:val="18"/>
                <w:szCs w:val="18"/>
              </w:rPr>
              <w:t>119,394,029</w:t>
            </w:r>
          </w:p>
        </w:tc>
      </w:tr>
      <w:tr w:rsidR="00AB6753" w14:paraId="0316A64D" w14:textId="77777777" w:rsidTr="002D1EA4">
        <w:trPr>
          <w:trHeight w:val="227"/>
        </w:trPr>
        <w:tc>
          <w:tcPr>
            <w:tcW w:w="5033" w:type="dxa"/>
            <w:tcBorders>
              <w:top w:val="single" w:sz="4" w:space="0" w:color="D9D9D9"/>
              <w:left w:val="nil"/>
              <w:bottom w:val="single" w:sz="4" w:space="0" w:color="D9D9D9"/>
              <w:right w:val="nil"/>
            </w:tcBorders>
            <w:shd w:val="clear" w:color="000000" w:fill="D9D9D9"/>
            <w:noWrap/>
            <w:vAlign w:val="bottom"/>
            <w:hideMark/>
          </w:tcPr>
          <w:p w14:paraId="155E46BF" w14:textId="77777777" w:rsidR="00AB6753" w:rsidRDefault="00AB6753" w:rsidP="002D1EA4">
            <w:pPr>
              <w:spacing w:after="0" w:line="240" w:lineRule="auto"/>
              <w:rPr>
                <w:rFonts w:cs="Arial"/>
                <w:b/>
                <w:bCs/>
                <w:sz w:val="18"/>
                <w:szCs w:val="18"/>
              </w:rPr>
            </w:pPr>
            <w:r>
              <w:rPr>
                <w:rFonts w:cs="Arial"/>
                <w:b/>
                <w:bCs/>
                <w:sz w:val="18"/>
                <w:szCs w:val="18"/>
              </w:rPr>
              <w:t>Total cash from official public account</w:t>
            </w:r>
          </w:p>
        </w:tc>
        <w:tc>
          <w:tcPr>
            <w:tcW w:w="1198" w:type="dxa"/>
            <w:tcBorders>
              <w:top w:val="nil"/>
              <w:left w:val="nil"/>
              <w:bottom w:val="single" w:sz="4" w:space="0" w:color="D9D9D9"/>
              <w:right w:val="nil"/>
            </w:tcBorders>
            <w:shd w:val="clear" w:color="000000" w:fill="D9D9D9"/>
            <w:vAlign w:val="bottom"/>
            <w:hideMark/>
          </w:tcPr>
          <w:p w14:paraId="5CCCC3B5"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single" w:sz="4" w:space="0" w:color="auto"/>
              <w:left w:val="nil"/>
              <w:bottom w:val="single" w:sz="4" w:space="0" w:color="auto"/>
              <w:right w:val="nil"/>
            </w:tcBorders>
            <w:shd w:val="clear" w:color="000000" w:fill="D9D9D9"/>
            <w:noWrap/>
            <w:vAlign w:val="bottom"/>
            <w:hideMark/>
          </w:tcPr>
          <w:p w14:paraId="367CEB0B" w14:textId="77777777" w:rsidR="00AB6753" w:rsidRDefault="00AB6753" w:rsidP="002D1EA4">
            <w:pPr>
              <w:spacing w:after="0" w:line="240" w:lineRule="auto"/>
              <w:jc w:val="right"/>
              <w:rPr>
                <w:rFonts w:cs="Arial"/>
                <w:b/>
                <w:bCs/>
                <w:sz w:val="18"/>
                <w:szCs w:val="18"/>
              </w:rPr>
            </w:pPr>
            <w:r>
              <w:rPr>
                <w:rFonts w:cs="Arial"/>
                <w:b/>
                <w:bCs/>
                <w:sz w:val="18"/>
                <w:szCs w:val="18"/>
              </w:rPr>
              <w:t>139,021,894</w:t>
            </w:r>
          </w:p>
        </w:tc>
        <w:tc>
          <w:tcPr>
            <w:tcW w:w="236" w:type="dxa"/>
            <w:tcBorders>
              <w:top w:val="single" w:sz="4" w:space="0" w:color="D9D9D9"/>
              <w:left w:val="nil"/>
              <w:bottom w:val="single" w:sz="4" w:space="0" w:color="D9D9D9"/>
              <w:right w:val="nil"/>
            </w:tcBorders>
            <w:shd w:val="clear" w:color="000000" w:fill="D9D9D9"/>
            <w:noWrap/>
            <w:vAlign w:val="bottom"/>
            <w:hideMark/>
          </w:tcPr>
          <w:p w14:paraId="7151DB3C"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single" w:sz="4" w:space="0" w:color="auto"/>
              <w:left w:val="nil"/>
              <w:bottom w:val="single" w:sz="4" w:space="0" w:color="auto"/>
              <w:right w:val="nil"/>
            </w:tcBorders>
            <w:shd w:val="clear" w:color="000000" w:fill="D9D9D9"/>
            <w:noWrap/>
            <w:vAlign w:val="bottom"/>
            <w:hideMark/>
          </w:tcPr>
          <w:p w14:paraId="6C548F9F" w14:textId="77777777" w:rsidR="00AB6753" w:rsidRDefault="00AB6753" w:rsidP="002D1EA4">
            <w:pPr>
              <w:spacing w:after="0" w:line="240" w:lineRule="auto"/>
              <w:jc w:val="right"/>
              <w:rPr>
                <w:rFonts w:cs="Arial"/>
                <w:sz w:val="18"/>
                <w:szCs w:val="18"/>
              </w:rPr>
            </w:pPr>
            <w:r>
              <w:rPr>
                <w:rFonts w:cs="Arial"/>
                <w:sz w:val="18"/>
                <w:szCs w:val="18"/>
              </w:rPr>
              <w:t>119,394,029</w:t>
            </w:r>
          </w:p>
        </w:tc>
      </w:tr>
      <w:tr w:rsidR="00AB6753" w14:paraId="4A9B542E" w14:textId="77777777" w:rsidTr="002D1EA4">
        <w:trPr>
          <w:trHeight w:val="227"/>
        </w:trPr>
        <w:tc>
          <w:tcPr>
            <w:tcW w:w="5033" w:type="dxa"/>
            <w:tcBorders>
              <w:top w:val="nil"/>
              <w:left w:val="nil"/>
              <w:bottom w:val="nil"/>
              <w:right w:val="nil"/>
            </w:tcBorders>
            <w:shd w:val="clear" w:color="000000" w:fill="D9D9D9"/>
            <w:noWrap/>
            <w:vAlign w:val="bottom"/>
            <w:hideMark/>
          </w:tcPr>
          <w:p w14:paraId="16F67BDE" w14:textId="77777777" w:rsidR="00AB6753" w:rsidRDefault="00AB6753" w:rsidP="002D1EA4">
            <w:pPr>
              <w:spacing w:after="0" w:line="240" w:lineRule="auto"/>
              <w:rPr>
                <w:rFonts w:cs="Arial"/>
                <w:b/>
                <w:bCs/>
                <w:sz w:val="18"/>
                <w:szCs w:val="18"/>
              </w:rPr>
            </w:pPr>
            <w:r>
              <w:rPr>
                <w:rFonts w:cs="Arial"/>
                <w:b/>
                <w:bCs/>
                <w:sz w:val="18"/>
                <w:szCs w:val="18"/>
              </w:rPr>
              <w:t> </w:t>
            </w:r>
          </w:p>
        </w:tc>
        <w:tc>
          <w:tcPr>
            <w:tcW w:w="1198" w:type="dxa"/>
            <w:tcBorders>
              <w:top w:val="nil"/>
              <w:left w:val="nil"/>
              <w:bottom w:val="single" w:sz="4" w:space="0" w:color="D9D9D9"/>
              <w:right w:val="nil"/>
            </w:tcBorders>
            <w:shd w:val="clear" w:color="000000" w:fill="D9D9D9"/>
            <w:vAlign w:val="bottom"/>
            <w:hideMark/>
          </w:tcPr>
          <w:p w14:paraId="08FAA75B"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12F2FEEA" w14:textId="77777777" w:rsidR="00AB6753" w:rsidRDefault="00AB6753" w:rsidP="002D1EA4">
            <w:pPr>
              <w:spacing w:after="0" w:line="240" w:lineRule="auto"/>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0F2A1AF9"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nil"/>
              <w:right w:val="nil"/>
            </w:tcBorders>
            <w:shd w:val="clear" w:color="000000" w:fill="D9D9D9"/>
            <w:noWrap/>
            <w:vAlign w:val="bottom"/>
            <w:hideMark/>
          </w:tcPr>
          <w:p w14:paraId="5D596C44" w14:textId="77777777" w:rsidR="00AB6753" w:rsidRDefault="00AB6753" w:rsidP="002D1EA4">
            <w:pPr>
              <w:spacing w:after="0" w:line="240" w:lineRule="auto"/>
              <w:rPr>
                <w:rFonts w:cs="Arial"/>
                <w:sz w:val="18"/>
                <w:szCs w:val="18"/>
              </w:rPr>
            </w:pPr>
            <w:r>
              <w:rPr>
                <w:rFonts w:cs="Arial"/>
                <w:sz w:val="18"/>
                <w:szCs w:val="18"/>
              </w:rPr>
              <w:t> </w:t>
            </w:r>
          </w:p>
        </w:tc>
      </w:tr>
      <w:tr w:rsidR="00AB6753" w14:paraId="094577EF" w14:textId="77777777" w:rsidTr="002D1EA4">
        <w:trPr>
          <w:trHeight w:val="227"/>
        </w:trPr>
        <w:tc>
          <w:tcPr>
            <w:tcW w:w="5033" w:type="dxa"/>
            <w:tcBorders>
              <w:top w:val="nil"/>
              <w:left w:val="nil"/>
              <w:bottom w:val="nil"/>
              <w:right w:val="nil"/>
            </w:tcBorders>
            <w:shd w:val="clear" w:color="000000" w:fill="D9D9D9"/>
            <w:noWrap/>
            <w:vAlign w:val="bottom"/>
            <w:hideMark/>
          </w:tcPr>
          <w:p w14:paraId="43F93CA1" w14:textId="77777777" w:rsidR="00AB6753" w:rsidRDefault="00AB6753" w:rsidP="002D1EA4">
            <w:pPr>
              <w:spacing w:after="0" w:line="240" w:lineRule="auto"/>
              <w:rPr>
                <w:rFonts w:cs="Arial"/>
                <w:b/>
                <w:bCs/>
                <w:sz w:val="18"/>
                <w:szCs w:val="18"/>
              </w:rPr>
            </w:pPr>
            <w:r>
              <w:rPr>
                <w:rFonts w:cs="Arial"/>
                <w:b/>
                <w:bCs/>
                <w:sz w:val="18"/>
                <w:szCs w:val="18"/>
              </w:rPr>
              <w:t>Cash to Official Public Account:</w:t>
            </w:r>
          </w:p>
        </w:tc>
        <w:tc>
          <w:tcPr>
            <w:tcW w:w="1198" w:type="dxa"/>
            <w:tcBorders>
              <w:top w:val="nil"/>
              <w:left w:val="nil"/>
              <w:bottom w:val="single" w:sz="4" w:space="0" w:color="D9D9D9"/>
              <w:right w:val="nil"/>
            </w:tcBorders>
            <w:shd w:val="clear" w:color="000000" w:fill="D9D9D9"/>
            <w:vAlign w:val="bottom"/>
            <w:hideMark/>
          </w:tcPr>
          <w:p w14:paraId="4B97D71C"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1B243939" w14:textId="77777777" w:rsidR="00AB6753" w:rsidRDefault="00AB6753" w:rsidP="002D1EA4">
            <w:pPr>
              <w:spacing w:after="0" w:line="240" w:lineRule="auto"/>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57B3F056"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nil"/>
              <w:right w:val="nil"/>
            </w:tcBorders>
            <w:shd w:val="clear" w:color="000000" w:fill="D9D9D9"/>
            <w:noWrap/>
            <w:vAlign w:val="bottom"/>
            <w:hideMark/>
          </w:tcPr>
          <w:p w14:paraId="2D17E8A9" w14:textId="77777777" w:rsidR="00AB6753" w:rsidRDefault="00AB6753" w:rsidP="002D1EA4">
            <w:pPr>
              <w:spacing w:after="0" w:line="240" w:lineRule="auto"/>
              <w:rPr>
                <w:rFonts w:cs="Arial"/>
                <w:sz w:val="18"/>
                <w:szCs w:val="18"/>
              </w:rPr>
            </w:pPr>
            <w:r>
              <w:rPr>
                <w:rFonts w:cs="Arial"/>
                <w:sz w:val="18"/>
                <w:szCs w:val="18"/>
              </w:rPr>
              <w:t> </w:t>
            </w:r>
          </w:p>
        </w:tc>
      </w:tr>
      <w:tr w:rsidR="00AB6753" w14:paraId="09F340D2" w14:textId="77777777" w:rsidTr="002D1EA4">
        <w:trPr>
          <w:trHeight w:val="227"/>
        </w:trPr>
        <w:tc>
          <w:tcPr>
            <w:tcW w:w="5033" w:type="dxa"/>
            <w:tcBorders>
              <w:top w:val="nil"/>
              <w:left w:val="nil"/>
              <w:bottom w:val="nil"/>
              <w:right w:val="nil"/>
            </w:tcBorders>
            <w:shd w:val="clear" w:color="000000" w:fill="D9D9D9"/>
            <w:noWrap/>
            <w:vAlign w:val="bottom"/>
            <w:hideMark/>
          </w:tcPr>
          <w:p w14:paraId="4916CBD0" w14:textId="77777777" w:rsidR="00AB6753" w:rsidRDefault="00AB6753" w:rsidP="002D1EA4">
            <w:pPr>
              <w:spacing w:after="0" w:line="240" w:lineRule="auto"/>
              <w:ind w:firstLineChars="100" w:firstLine="180"/>
              <w:rPr>
                <w:rFonts w:cs="Arial"/>
                <w:sz w:val="18"/>
                <w:szCs w:val="18"/>
              </w:rPr>
            </w:pPr>
            <w:r>
              <w:rPr>
                <w:rFonts w:cs="Arial"/>
                <w:sz w:val="18"/>
                <w:szCs w:val="18"/>
              </w:rPr>
              <w:t>Appropriations</w:t>
            </w:r>
          </w:p>
        </w:tc>
        <w:tc>
          <w:tcPr>
            <w:tcW w:w="1198" w:type="dxa"/>
            <w:tcBorders>
              <w:top w:val="nil"/>
              <w:left w:val="nil"/>
              <w:bottom w:val="single" w:sz="4" w:space="0" w:color="D9D9D9"/>
              <w:right w:val="nil"/>
            </w:tcBorders>
            <w:shd w:val="clear" w:color="000000" w:fill="D9D9D9"/>
            <w:vAlign w:val="bottom"/>
            <w:hideMark/>
          </w:tcPr>
          <w:p w14:paraId="0A95C90D"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2F4EAD13" w14:textId="77777777" w:rsidR="00AB6753" w:rsidRDefault="00AB6753" w:rsidP="002D1EA4">
            <w:pPr>
              <w:spacing w:after="0" w:line="240" w:lineRule="auto"/>
              <w:jc w:val="right"/>
              <w:rPr>
                <w:rFonts w:cs="Arial"/>
                <w:b/>
                <w:bCs/>
                <w:sz w:val="18"/>
                <w:szCs w:val="18"/>
              </w:rPr>
            </w:pPr>
            <w:r>
              <w:rPr>
                <w:rFonts w:cs="Arial"/>
                <w:b/>
                <w:bCs/>
                <w:sz w:val="18"/>
                <w:szCs w:val="18"/>
              </w:rPr>
              <w:t>(463,808)</w:t>
            </w:r>
          </w:p>
        </w:tc>
        <w:tc>
          <w:tcPr>
            <w:tcW w:w="236" w:type="dxa"/>
            <w:tcBorders>
              <w:top w:val="nil"/>
              <w:left w:val="nil"/>
              <w:bottom w:val="nil"/>
              <w:right w:val="nil"/>
            </w:tcBorders>
            <w:shd w:val="clear" w:color="000000" w:fill="D9D9D9"/>
            <w:noWrap/>
            <w:vAlign w:val="bottom"/>
            <w:hideMark/>
          </w:tcPr>
          <w:p w14:paraId="785271F7"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398" w:type="dxa"/>
            <w:tcBorders>
              <w:top w:val="nil"/>
              <w:left w:val="nil"/>
              <w:bottom w:val="nil"/>
              <w:right w:val="nil"/>
            </w:tcBorders>
            <w:shd w:val="clear" w:color="000000" w:fill="D9D9D9"/>
            <w:noWrap/>
            <w:vAlign w:val="bottom"/>
            <w:hideMark/>
          </w:tcPr>
          <w:p w14:paraId="0DEAF630" w14:textId="77777777" w:rsidR="00AB6753" w:rsidRDefault="00AB6753" w:rsidP="002D1EA4">
            <w:pPr>
              <w:spacing w:after="0" w:line="240" w:lineRule="auto"/>
              <w:jc w:val="right"/>
              <w:rPr>
                <w:rFonts w:cs="Arial"/>
                <w:sz w:val="18"/>
                <w:szCs w:val="18"/>
              </w:rPr>
            </w:pPr>
            <w:r>
              <w:rPr>
                <w:rFonts w:cs="Arial"/>
                <w:sz w:val="18"/>
                <w:szCs w:val="18"/>
              </w:rPr>
              <w:t>(292,156)</w:t>
            </w:r>
          </w:p>
        </w:tc>
      </w:tr>
      <w:tr w:rsidR="00AB6753" w14:paraId="103FACC7" w14:textId="77777777" w:rsidTr="002D1EA4">
        <w:trPr>
          <w:trHeight w:val="227"/>
        </w:trPr>
        <w:tc>
          <w:tcPr>
            <w:tcW w:w="5033" w:type="dxa"/>
            <w:tcBorders>
              <w:top w:val="single" w:sz="4" w:space="0" w:color="D9D9D9"/>
              <w:left w:val="nil"/>
              <w:bottom w:val="single" w:sz="4" w:space="0" w:color="D9D9D9"/>
              <w:right w:val="nil"/>
            </w:tcBorders>
            <w:shd w:val="clear" w:color="000000" w:fill="D9D9D9"/>
            <w:noWrap/>
            <w:vAlign w:val="bottom"/>
            <w:hideMark/>
          </w:tcPr>
          <w:p w14:paraId="540A604D" w14:textId="77777777" w:rsidR="00AB6753" w:rsidRDefault="00AB6753" w:rsidP="002D1EA4">
            <w:pPr>
              <w:spacing w:after="0" w:line="240" w:lineRule="auto"/>
              <w:rPr>
                <w:rFonts w:cs="Arial"/>
                <w:b/>
                <w:bCs/>
                <w:sz w:val="18"/>
                <w:szCs w:val="18"/>
              </w:rPr>
            </w:pPr>
            <w:r>
              <w:rPr>
                <w:rFonts w:cs="Arial"/>
                <w:b/>
                <w:bCs/>
                <w:sz w:val="18"/>
                <w:szCs w:val="18"/>
              </w:rPr>
              <w:t>Total cash to official public account</w:t>
            </w:r>
          </w:p>
        </w:tc>
        <w:tc>
          <w:tcPr>
            <w:tcW w:w="1198" w:type="dxa"/>
            <w:tcBorders>
              <w:top w:val="nil"/>
              <w:left w:val="nil"/>
              <w:bottom w:val="single" w:sz="4" w:space="0" w:color="D9D9D9"/>
              <w:right w:val="nil"/>
            </w:tcBorders>
            <w:shd w:val="clear" w:color="000000" w:fill="D9D9D9"/>
            <w:noWrap/>
            <w:vAlign w:val="bottom"/>
            <w:hideMark/>
          </w:tcPr>
          <w:p w14:paraId="2D1D43AA" w14:textId="77777777" w:rsidR="00AB6753" w:rsidRDefault="00AB6753" w:rsidP="002D1EA4">
            <w:pPr>
              <w:spacing w:after="0" w:line="240" w:lineRule="auto"/>
              <w:rPr>
                <w:rFonts w:cs="Arial"/>
                <w:b/>
                <w:bCs/>
                <w:sz w:val="18"/>
                <w:szCs w:val="18"/>
              </w:rPr>
            </w:pPr>
            <w:r>
              <w:rPr>
                <w:rFonts w:cs="Arial"/>
                <w:b/>
                <w:bCs/>
                <w:sz w:val="18"/>
                <w:szCs w:val="18"/>
              </w:rPr>
              <w:t> </w:t>
            </w:r>
          </w:p>
        </w:tc>
        <w:tc>
          <w:tcPr>
            <w:tcW w:w="1404" w:type="dxa"/>
            <w:tcBorders>
              <w:top w:val="single" w:sz="4" w:space="0" w:color="auto"/>
              <w:left w:val="nil"/>
              <w:bottom w:val="single" w:sz="4" w:space="0" w:color="auto"/>
              <w:right w:val="nil"/>
            </w:tcBorders>
            <w:shd w:val="clear" w:color="000000" w:fill="D9D9D9"/>
            <w:noWrap/>
            <w:vAlign w:val="bottom"/>
            <w:hideMark/>
          </w:tcPr>
          <w:p w14:paraId="56B9947E" w14:textId="77777777" w:rsidR="00AB6753" w:rsidRDefault="00AB6753" w:rsidP="002D1EA4">
            <w:pPr>
              <w:spacing w:after="0" w:line="240" w:lineRule="auto"/>
              <w:jc w:val="right"/>
              <w:rPr>
                <w:rFonts w:cs="Arial"/>
                <w:b/>
                <w:bCs/>
                <w:sz w:val="18"/>
                <w:szCs w:val="18"/>
              </w:rPr>
            </w:pPr>
            <w:r>
              <w:rPr>
                <w:rFonts w:cs="Arial"/>
                <w:b/>
                <w:bCs/>
                <w:sz w:val="18"/>
                <w:szCs w:val="18"/>
              </w:rPr>
              <w:t>(463,808)</w:t>
            </w:r>
          </w:p>
        </w:tc>
        <w:tc>
          <w:tcPr>
            <w:tcW w:w="236" w:type="dxa"/>
            <w:tcBorders>
              <w:top w:val="single" w:sz="4" w:space="0" w:color="D9D9D9"/>
              <w:left w:val="nil"/>
              <w:bottom w:val="single" w:sz="4" w:space="0" w:color="D9D9D9"/>
              <w:right w:val="nil"/>
            </w:tcBorders>
            <w:shd w:val="clear" w:color="000000" w:fill="D9D9D9"/>
            <w:noWrap/>
            <w:vAlign w:val="bottom"/>
            <w:hideMark/>
          </w:tcPr>
          <w:p w14:paraId="28828768"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single" w:sz="4" w:space="0" w:color="auto"/>
              <w:left w:val="nil"/>
              <w:bottom w:val="single" w:sz="4" w:space="0" w:color="auto"/>
              <w:right w:val="nil"/>
            </w:tcBorders>
            <w:shd w:val="clear" w:color="000000" w:fill="D9D9D9"/>
            <w:noWrap/>
            <w:vAlign w:val="bottom"/>
            <w:hideMark/>
          </w:tcPr>
          <w:p w14:paraId="32916E42" w14:textId="77777777" w:rsidR="00AB6753" w:rsidRDefault="00AB6753" w:rsidP="002D1EA4">
            <w:pPr>
              <w:spacing w:after="0" w:line="240" w:lineRule="auto"/>
              <w:jc w:val="right"/>
              <w:rPr>
                <w:rFonts w:cs="Arial"/>
                <w:sz w:val="18"/>
                <w:szCs w:val="18"/>
              </w:rPr>
            </w:pPr>
            <w:r>
              <w:rPr>
                <w:rFonts w:cs="Arial"/>
                <w:sz w:val="18"/>
                <w:szCs w:val="18"/>
              </w:rPr>
              <w:t>(292,156)</w:t>
            </w:r>
          </w:p>
        </w:tc>
      </w:tr>
      <w:tr w:rsidR="00AB6753" w14:paraId="4D682957" w14:textId="77777777" w:rsidTr="002D1EA4">
        <w:trPr>
          <w:trHeight w:val="227"/>
        </w:trPr>
        <w:tc>
          <w:tcPr>
            <w:tcW w:w="5033" w:type="dxa"/>
            <w:tcBorders>
              <w:top w:val="nil"/>
              <w:left w:val="nil"/>
              <w:bottom w:val="single" w:sz="4" w:space="0" w:color="D9D9D9"/>
              <w:right w:val="nil"/>
            </w:tcBorders>
            <w:shd w:val="clear" w:color="000000" w:fill="D9D9D9"/>
            <w:noWrap/>
            <w:vAlign w:val="bottom"/>
            <w:hideMark/>
          </w:tcPr>
          <w:p w14:paraId="75D3F6C0" w14:textId="77777777" w:rsidR="00AB6753" w:rsidRDefault="00AB6753" w:rsidP="002D1EA4">
            <w:pPr>
              <w:spacing w:after="0" w:line="240" w:lineRule="auto"/>
              <w:rPr>
                <w:rFonts w:cs="Arial"/>
                <w:b/>
                <w:bCs/>
                <w:sz w:val="18"/>
                <w:szCs w:val="18"/>
              </w:rPr>
            </w:pPr>
            <w:r>
              <w:rPr>
                <w:rFonts w:cs="Arial"/>
                <w:b/>
                <w:bCs/>
                <w:sz w:val="18"/>
                <w:szCs w:val="18"/>
              </w:rPr>
              <w:t> </w:t>
            </w:r>
          </w:p>
        </w:tc>
        <w:tc>
          <w:tcPr>
            <w:tcW w:w="1198" w:type="dxa"/>
            <w:tcBorders>
              <w:top w:val="nil"/>
              <w:left w:val="nil"/>
              <w:bottom w:val="single" w:sz="4" w:space="0" w:color="D9D9D9"/>
              <w:right w:val="nil"/>
            </w:tcBorders>
            <w:shd w:val="clear" w:color="000000" w:fill="D9D9D9"/>
            <w:noWrap/>
            <w:vAlign w:val="bottom"/>
            <w:hideMark/>
          </w:tcPr>
          <w:p w14:paraId="5FAE273F" w14:textId="77777777" w:rsidR="00AB6753" w:rsidRDefault="00AB6753" w:rsidP="002D1EA4">
            <w:pPr>
              <w:spacing w:after="0" w:line="240" w:lineRule="auto"/>
              <w:rPr>
                <w:rFonts w:cs="Arial"/>
                <w:b/>
                <w:bCs/>
                <w:sz w:val="18"/>
                <w:szCs w:val="18"/>
              </w:rPr>
            </w:pPr>
            <w:r>
              <w:rPr>
                <w:rFonts w:cs="Arial"/>
                <w:b/>
                <w:bCs/>
                <w:sz w:val="18"/>
                <w:szCs w:val="18"/>
              </w:rPr>
              <w:t> </w:t>
            </w:r>
          </w:p>
        </w:tc>
        <w:tc>
          <w:tcPr>
            <w:tcW w:w="1404" w:type="dxa"/>
            <w:tcBorders>
              <w:top w:val="nil"/>
              <w:left w:val="nil"/>
              <w:bottom w:val="nil"/>
              <w:right w:val="nil"/>
            </w:tcBorders>
            <w:shd w:val="clear" w:color="000000" w:fill="D9D9D9"/>
            <w:noWrap/>
            <w:vAlign w:val="bottom"/>
            <w:hideMark/>
          </w:tcPr>
          <w:p w14:paraId="372493B3" w14:textId="77777777" w:rsidR="00AB6753" w:rsidRDefault="00AB6753" w:rsidP="002D1EA4">
            <w:pPr>
              <w:spacing w:after="0" w:line="240" w:lineRule="auto"/>
              <w:rPr>
                <w:rFonts w:cs="Arial"/>
                <w:sz w:val="16"/>
                <w:szCs w:val="16"/>
              </w:rPr>
            </w:pPr>
            <w:r>
              <w:rPr>
                <w:rFonts w:cs="Arial"/>
                <w:sz w:val="16"/>
                <w:szCs w:val="16"/>
              </w:rPr>
              <w:t> </w:t>
            </w:r>
          </w:p>
        </w:tc>
        <w:tc>
          <w:tcPr>
            <w:tcW w:w="236" w:type="dxa"/>
            <w:tcBorders>
              <w:top w:val="nil"/>
              <w:left w:val="nil"/>
              <w:bottom w:val="nil"/>
              <w:right w:val="nil"/>
            </w:tcBorders>
            <w:shd w:val="clear" w:color="000000" w:fill="D9D9D9"/>
            <w:noWrap/>
            <w:vAlign w:val="bottom"/>
            <w:hideMark/>
          </w:tcPr>
          <w:p w14:paraId="1142FE84"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nil"/>
              <w:left w:val="nil"/>
              <w:bottom w:val="nil"/>
              <w:right w:val="nil"/>
            </w:tcBorders>
            <w:shd w:val="clear" w:color="000000" w:fill="D9D9D9"/>
            <w:noWrap/>
            <w:vAlign w:val="bottom"/>
            <w:hideMark/>
          </w:tcPr>
          <w:p w14:paraId="522AC22D" w14:textId="77777777" w:rsidR="00AB6753" w:rsidRDefault="00AB6753" w:rsidP="002D1EA4">
            <w:pPr>
              <w:spacing w:after="0" w:line="240" w:lineRule="auto"/>
              <w:rPr>
                <w:rFonts w:cs="Arial"/>
                <w:sz w:val="18"/>
                <w:szCs w:val="18"/>
              </w:rPr>
            </w:pPr>
            <w:r>
              <w:rPr>
                <w:rFonts w:cs="Arial"/>
                <w:sz w:val="18"/>
                <w:szCs w:val="18"/>
              </w:rPr>
              <w:t> </w:t>
            </w:r>
          </w:p>
        </w:tc>
      </w:tr>
      <w:tr w:rsidR="00AB6753" w14:paraId="0CBFBEAA" w14:textId="77777777" w:rsidTr="002D1EA4">
        <w:trPr>
          <w:trHeight w:val="227"/>
        </w:trPr>
        <w:tc>
          <w:tcPr>
            <w:tcW w:w="5033" w:type="dxa"/>
            <w:tcBorders>
              <w:top w:val="nil"/>
              <w:left w:val="nil"/>
              <w:bottom w:val="nil"/>
              <w:right w:val="nil"/>
            </w:tcBorders>
            <w:shd w:val="clear" w:color="000000" w:fill="D9D9D9"/>
            <w:noWrap/>
            <w:vAlign w:val="center"/>
            <w:hideMark/>
          </w:tcPr>
          <w:p w14:paraId="3006C526" w14:textId="77777777" w:rsidR="00AB6753" w:rsidRDefault="00AB6753" w:rsidP="002D1EA4">
            <w:pPr>
              <w:spacing w:after="0" w:line="240" w:lineRule="auto"/>
              <w:rPr>
                <w:rFonts w:cs="Arial"/>
                <w:sz w:val="18"/>
                <w:szCs w:val="18"/>
              </w:rPr>
            </w:pPr>
            <w:r>
              <w:rPr>
                <w:rFonts w:cs="Arial"/>
                <w:sz w:val="18"/>
                <w:szCs w:val="18"/>
              </w:rPr>
              <w:t>Cash and cash equivalents at the beginning of the reporting period</w:t>
            </w:r>
          </w:p>
        </w:tc>
        <w:tc>
          <w:tcPr>
            <w:tcW w:w="1198" w:type="dxa"/>
            <w:tcBorders>
              <w:top w:val="nil"/>
              <w:left w:val="nil"/>
              <w:bottom w:val="single" w:sz="4" w:space="0" w:color="D9D9D9"/>
              <w:right w:val="nil"/>
            </w:tcBorders>
            <w:shd w:val="clear" w:color="000000" w:fill="D9D9D9"/>
            <w:vAlign w:val="center"/>
            <w:hideMark/>
          </w:tcPr>
          <w:p w14:paraId="0EC614C8" w14:textId="77777777" w:rsidR="00AB6753" w:rsidRDefault="00AB6753" w:rsidP="002D1EA4">
            <w:pPr>
              <w:spacing w:after="0" w:line="240" w:lineRule="auto"/>
              <w:jc w:val="center"/>
              <w:rPr>
                <w:rFonts w:cs="Arial"/>
                <w:sz w:val="18"/>
                <w:szCs w:val="18"/>
              </w:rPr>
            </w:pPr>
            <w:r>
              <w:rPr>
                <w:rFonts w:cs="Arial"/>
                <w:sz w:val="18"/>
                <w:szCs w:val="18"/>
              </w:rPr>
              <w:t> </w:t>
            </w:r>
          </w:p>
        </w:tc>
        <w:tc>
          <w:tcPr>
            <w:tcW w:w="1404" w:type="dxa"/>
            <w:tcBorders>
              <w:top w:val="nil"/>
              <w:left w:val="nil"/>
              <w:bottom w:val="nil"/>
              <w:right w:val="nil"/>
            </w:tcBorders>
            <w:shd w:val="clear" w:color="000000" w:fill="D9D9D9"/>
            <w:noWrap/>
            <w:vAlign w:val="bottom"/>
            <w:hideMark/>
          </w:tcPr>
          <w:p w14:paraId="6017E531" w14:textId="77777777" w:rsidR="00AB6753" w:rsidRDefault="00AB6753" w:rsidP="002D1EA4">
            <w:pPr>
              <w:spacing w:after="0" w:line="240" w:lineRule="auto"/>
              <w:jc w:val="right"/>
              <w:rPr>
                <w:rFonts w:cs="Arial"/>
                <w:b/>
                <w:bCs/>
                <w:sz w:val="18"/>
                <w:szCs w:val="18"/>
              </w:rPr>
            </w:pPr>
            <w:r>
              <w:rPr>
                <w:rFonts w:cs="Arial"/>
                <w:b/>
                <w:bCs/>
                <w:sz w:val="18"/>
                <w:szCs w:val="18"/>
              </w:rPr>
              <w:t>412,483</w:t>
            </w:r>
          </w:p>
        </w:tc>
        <w:tc>
          <w:tcPr>
            <w:tcW w:w="236" w:type="dxa"/>
            <w:tcBorders>
              <w:top w:val="nil"/>
              <w:left w:val="nil"/>
              <w:bottom w:val="nil"/>
              <w:right w:val="nil"/>
            </w:tcBorders>
            <w:shd w:val="clear" w:color="000000" w:fill="D9D9D9"/>
            <w:noWrap/>
            <w:vAlign w:val="bottom"/>
            <w:hideMark/>
          </w:tcPr>
          <w:p w14:paraId="0FC06CE9"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398" w:type="dxa"/>
            <w:tcBorders>
              <w:top w:val="nil"/>
              <w:left w:val="nil"/>
              <w:bottom w:val="nil"/>
              <w:right w:val="nil"/>
            </w:tcBorders>
            <w:shd w:val="clear" w:color="000000" w:fill="D9D9D9"/>
            <w:noWrap/>
            <w:vAlign w:val="bottom"/>
            <w:hideMark/>
          </w:tcPr>
          <w:p w14:paraId="641ECD88" w14:textId="77777777" w:rsidR="00AB6753" w:rsidRDefault="00AB6753" w:rsidP="002D1EA4">
            <w:pPr>
              <w:spacing w:after="0" w:line="240" w:lineRule="auto"/>
              <w:jc w:val="right"/>
              <w:rPr>
                <w:rFonts w:cs="Arial"/>
                <w:sz w:val="18"/>
                <w:szCs w:val="18"/>
              </w:rPr>
            </w:pPr>
            <w:r>
              <w:rPr>
                <w:rFonts w:cs="Arial"/>
                <w:sz w:val="18"/>
                <w:szCs w:val="18"/>
              </w:rPr>
              <w:t>344,311</w:t>
            </w:r>
          </w:p>
        </w:tc>
      </w:tr>
      <w:tr w:rsidR="00AB6753" w14:paraId="484491C2" w14:textId="77777777" w:rsidTr="002D1EA4">
        <w:trPr>
          <w:trHeight w:val="227"/>
        </w:trPr>
        <w:tc>
          <w:tcPr>
            <w:tcW w:w="5033" w:type="dxa"/>
            <w:tcBorders>
              <w:top w:val="single" w:sz="4" w:space="0" w:color="D9D9D9"/>
              <w:left w:val="nil"/>
              <w:bottom w:val="single" w:sz="4" w:space="0" w:color="D9D9D9"/>
              <w:right w:val="nil"/>
            </w:tcBorders>
            <w:shd w:val="clear" w:color="000000" w:fill="D9D9D9"/>
            <w:noWrap/>
            <w:vAlign w:val="bottom"/>
            <w:hideMark/>
          </w:tcPr>
          <w:p w14:paraId="33023495" w14:textId="77777777" w:rsidR="00AB6753" w:rsidRDefault="00AB6753" w:rsidP="002D1EA4">
            <w:pPr>
              <w:spacing w:after="0" w:line="240" w:lineRule="auto"/>
              <w:rPr>
                <w:rFonts w:cs="Arial"/>
                <w:b/>
                <w:bCs/>
                <w:sz w:val="18"/>
                <w:szCs w:val="18"/>
              </w:rPr>
            </w:pPr>
            <w:r>
              <w:rPr>
                <w:rFonts w:cs="Arial"/>
                <w:b/>
                <w:bCs/>
                <w:sz w:val="18"/>
                <w:szCs w:val="18"/>
              </w:rPr>
              <w:t>Cash and cash equivalents at the end of the reporting period</w:t>
            </w:r>
          </w:p>
        </w:tc>
        <w:tc>
          <w:tcPr>
            <w:tcW w:w="1198" w:type="dxa"/>
            <w:tcBorders>
              <w:top w:val="nil"/>
              <w:left w:val="nil"/>
              <w:bottom w:val="single" w:sz="4" w:space="0" w:color="D9D9D9"/>
              <w:right w:val="nil"/>
            </w:tcBorders>
            <w:shd w:val="clear" w:color="000000" w:fill="D9D9D9"/>
            <w:vAlign w:val="bottom"/>
            <w:hideMark/>
          </w:tcPr>
          <w:p w14:paraId="76A81423" w14:textId="77777777" w:rsidR="00AB6753" w:rsidRDefault="00AB6753" w:rsidP="002D1EA4">
            <w:pPr>
              <w:spacing w:after="0" w:line="240" w:lineRule="auto"/>
              <w:jc w:val="center"/>
              <w:rPr>
                <w:rFonts w:cs="Arial"/>
                <w:sz w:val="18"/>
                <w:szCs w:val="18"/>
              </w:rPr>
            </w:pPr>
            <w:r>
              <w:rPr>
                <w:rFonts w:cs="Arial"/>
                <w:sz w:val="18"/>
                <w:szCs w:val="18"/>
              </w:rPr>
              <w:t>4.1A</w:t>
            </w:r>
          </w:p>
        </w:tc>
        <w:tc>
          <w:tcPr>
            <w:tcW w:w="1404" w:type="dxa"/>
            <w:tcBorders>
              <w:top w:val="single" w:sz="4" w:space="0" w:color="auto"/>
              <w:left w:val="nil"/>
              <w:bottom w:val="single" w:sz="4" w:space="0" w:color="auto"/>
              <w:right w:val="nil"/>
            </w:tcBorders>
            <w:shd w:val="clear" w:color="000000" w:fill="D9D9D9"/>
            <w:noWrap/>
            <w:vAlign w:val="bottom"/>
            <w:hideMark/>
          </w:tcPr>
          <w:p w14:paraId="29198504" w14:textId="77777777" w:rsidR="00AB6753" w:rsidRDefault="00AB6753" w:rsidP="002D1EA4">
            <w:pPr>
              <w:spacing w:after="0" w:line="240" w:lineRule="auto"/>
              <w:jc w:val="right"/>
              <w:rPr>
                <w:rFonts w:cs="Arial"/>
                <w:b/>
                <w:bCs/>
                <w:sz w:val="18"/>
                <w:szCs w:val="18"/>
              </w:rPr>
            </w:pPr>
            <w:r>
              <w:rPr>
                <w:rFonts w:cs="Arial"/>
                <w:b/>
                <w:bCs/>
                <w:sz w:val="18"/>
                <w:szCs w:val="18"/>
              </w:rPr>
              <w:t>518,528</w:t>
            </w:r>
          </w:p>
        </w:tc>
        <w:tc>
          <w:tcPr>
            <w:tcW w:w="236" w:type="dxa"/>
            <w:tcBorders>
              <w:top w:val="single" w:sz="4" w:space="0" w:color="D9D9D9"/>
              <w:left w:val="nil"/>
              <w:bottom w:val="single" w:sz="4" w:space="0" w:color="D9D9D9"/>
              <w:right w:val="nil"/>
            </w:tcBorders>
            <w:shd w:val="clear" w:color="000000" w:fill="D9D9D9"/>
            <w:noWrap/>
            <w:vAlign w:val="bottom"/>
            <w:hideMark/>
          </w:tcPr>
          <w:p w14:paraId="5310BF7F" w14:textId="77777777" w:rsidR="00AB6753" w:rsidRDefault="00AB6753" w:rsidP="002D1EA4">
            <w:pPr>
              <w:spacing w:after="0" w:line="240" w:lineRule="auto"/>
              <w:rPr>
                <w:rFonts w:cs="Arial"/>
                <w:sz w:val="16"/>
                <w:szCs w:val="16"/>
              </w:rPr>
            </w:pPr>
            <w:r>
              <w:rPr>
                <w:rFonts w:cs="Arial"/>
                <w:sz w:val="16"/>
                <w:szCs w:val="16"/>
              </w:rPr>
              <w:t> </w:t>
            </w:r>
          </w:p>
        </w:tc>
        <w:tc>
          <w:tcPr>
            <w:tcW w:w="1398" w:type="dxa"/>
            <w:tcBorders>
              <w:top w:val="single" w:sz="4" w:space="0" w:color="auto"/>
              <w:left w:val="nil"/>
              <w:bottom w:val="single" w:sz="4" w:space="0" w:color="auto"/>
              <w:right w:val="nil"/>
            </w:tcBorders>
            <w:shd w:val="clear" w:color="000000" w:fill="D9D9D9"/>
            <w:noWrap/>
            <w:vAlign w:val="bottom"/>
            <w:hideMark/>
          </w:tcPr>
          <w:p w14:paraId="448F4B32" w14:textId="77777777" w:rsidR="00AB6753" w:rsidRDefault="00AB6753" w:rsidP="002D1EA4">
            <w:pPr>
              <w:spacing w:after="0" w:line="240" w:lineRule="auto"/>
              <w:jc w:val="right"/>
              <w:rPr>
                <w:rFonts w:cs="Arial"/>
                <w:sz w:val="18"/>
                <w:szCs w:val="18"/>
              </w:rPr>
            </w:pPr>
            <w:r>
              <w:rPr>
                <w:rFonts w:cs="Arial"/>
                <w:sz w:val="18"/>
                <w:szCs w:val="18"/>
              </w:rPr>
              <w:t>412,483</w:t>
            </w:r>
          </w:p>
        </w:tc>
      </w:tr>
    </w:tbl>
    <w:p w14:paraId="09989C17" w14:textId="77777777" w:rsidR="00AB6753" w:rsidRPr="00357637" w:rsidRDefault="00AB6753" w:rsidP="00AB6753">
      <w:pPr>
        <w:pStyle w:val="GreyShadeTableBreaknon-Standard"/>
        <w:ind w:left="113"/>
        <w:rPr>
          <w:color w:val="000000"/>
          <w14:textFill>
            <w14:solidFill>
              <w14:srgbClr w14:val="000000"/>
            </w14:solidFill>
          </w14:textFill>
        </w:rPr>
      </w:pPr>
    </w:p>
    <w:p w14:paraId="3EA8E550" w14:textId="61423803" w:rsidR="00AB6753" w:rsidRPr="007A42BA" w:rsidRDefault="00AB6753" w:rsidP="00AB6753">
      <w:pPr>
        <w:pStyle w:val="GreyShadeTableBreaknon-Standard"/>
        <w:tabs>
          <w:tab w:val="right" w:pos="9470"/>
        </w:tabs>
        <w:ind w:left="113"/>
        <w:rPr>
          <w:rFonts w:ascii="Arial" w:hAnsi="Arial" w:cs="Arial"/>
          <w:color w:val="000000"/>
          <w:sz w:val="18"/>
          <w:szCs w:val="18"/>
          <w14:textFill>
            <w14:solidFill>
              <w14:srgbClr w14:val="000000"/>
            </w14:solidFill>
          </w14:textFill>
        </w:rPr>
      </w:pPr>
      <w:r w:rsidRPr="007A42BA">
        <w:rPr>
          <w:rFonts w:ascii="Arial" w:hAnsi="Arial" w:cs="Arial"/>
          <w:color w:val="000000"/>
          <w:sz w:val="18"/>
          <w:szCs w:val="18"/>
          <w14:textFill>
            <w14:solidFill>
              <w14:srgbClr w14:val="000000"/>
            </w14:solidFill>
          </w14:textFill>
        </w:rPr>
        <w:t xml:space="preserve">The above schedule should be read in conjunction with the accompanying notes. </w:t>
      </w:r>
    </w:p>
    <w:p w14:paraId="0D11EC68" w14:textId="77777777" w:rsidR="00AB6753" w:rsidRDefault="00AB6753" w:rsidP="00AB6753"/>
    <w:p w14:paraId="03A700C4" w14:textId="77777777" w:rsidR="00AB6753" w:rsidRPr="005640A3" w:rsidRDefault="00AB6753" w:rsidP="00AB6753">
      <w:pPr>
        <w:sectPr w:rsidR="00AB6753" w:rsidRPr="005640A3" w:rsidSect="00357637">
          <w:headerReference w:type="default" r:id="rId67"/>
          <w:pgSz w:w="11906" w:h="16838" w:code="9"/>
          <w:pgMar w:top="1134" w:right="1274" w:bottom="1134" w:left="1134" w:header="958" w:footer="737" w:gutter="0"/>
          <w:cols w:space="708"/>
          <w:docGrid w:linePitch="360"/>
        </w:sectPr>
      </w:pPr>
    </w:p>
    <w:p w14:paraId="38D50E69" w14:textId="77777777" w:rsidR="00AB6753" w:rsidRDefault="00AB6753" w:rsidP="00AB6753">
      <w:pPr>
        <w:spacing w:line="240" w:lineRule="auto"/>
      </w:pPr>
    </w:p>
    <w:p w14:paraId="60969641" w14:textId="77777777" w:rsidR="00AB6753" w:rsidRPr="00054A67" w:rsidRDefault="00AB6753" w:rsidP="00054A67">
      <w:pPr>
        <w:pStyle w:val="TOC1"/>
        <w:rPr>
          <w:rFonts w:eastAsiaTheme="minorEastAsia"/>
          <w:lang w:eastAsia="en-AU"/>
        </w:rPr>
      </w:pPr>
      <w:r w:rsidRPr="00C732D9">
        <w:rPr>
          <w:noProof/>
          <w:color w:val="0070C0"/>
          <w:sz w:val="23"/>
          <w14:textFill>
            <w14:solidFill>
              <w14:srgbClr w14:val="0070C0">
                <w14:lumMod w14:val="50000"/>
              </w14:srgbClr>
            </w14:solidFill>
          </w14:textFill>
        </w:rPr>
        <w:fldChar w:fldCharType="begin"/>
      </w:r>
      <w:r w:rsidRPr="00C732D9">
        <w:instrText xml:space="preserve"> TOC \o "1-3" \h \z \u </w:instrText>
      </w:r>
      <w:r w:rsidRPr="00C732D9">
        <w:rPr>
          <w:noProof/>
          <w:color w:val="0070C0"/>
          <w:sz w:val="23"/>
          <w14:textFill>
            <w14:solidFill>
              <w14:srgbClr w14:val="0070C0">
                <w14:lumMod w14:val="50000"/>
              </w14:srgbClr>
            </w14:solidFill>
          </w14:textFill>
        </w:rPr>
        <w:fldChar w:fldCharType="separate"/>
      </w:r>
      <w:hyperlink w:anchor="_Toc45748799" w:history="1">
        <w:r w:rsidRPr="00054A67">
          <w:rPr>
            <w:rStyle w:val="Hyperlink"/>
            <w:color w:val="215868" w:themeColor="accent5" w:themeShade="80"/>
          </w:rPr>
          <w:t>Overview</w:t>
        </w:r>
        <w:r w:rsidRPr="00054A67">
          <w:rPr>
            <w:webHidden/>
          </w:rPr>
          <w:tab/>
        </w:r>
      </w:hyperlink>
    </w:p>
    <w:p w14:paraId="0C0F19BA" w14:textId="2EDEA987" w:rsidR="00AB6753" w:rsidRPr="004A7CA9" w:rsidRDefault="00EB552B" w:rsidP="00054A67">
      <w:pPr>
        <w:pStyle w:val="TOC1"/>
        <w:rPr>
          <w:rFonts w:eastAsiaTheme="minorEastAsia"/>
          <w:lang w:eastAsia="en-AU"/>
        </w:rPr>
      </w:pPr>
      <w:hyperlink w:anchor="_Toc45748800" w:history="1">
        <w:r w:rsidR="00AB6753" w:rsidRPr="00054A67">
          <w:rPr>
            <w:rStyle w:val="Hyperlink"/>
            <w:color w:val="215868" w:themeColor="accent5" w:themeShade="80"/>
          </w:rPr>
          <w:t>1.</w:t>
        </w:r>
        <w:r w:rsidR="00AB6753" w:rsidRPr="00054A67">
          <w:rPr>
            <w:rFonts w:eastAsiaTheme="minorEastAsia"/>
            <w:lang w:eastAsia="en-AU"/>
          </w:rPr>
          <w:tab/>
        </w:r>
        <w:r w:rsidR="00AB6753" w:rsidRPr="00054A67">
          <w:rPr>
            <w:rStyle w:val="Hyperlink"/>
            <w:color w:val="215868" w:themeColor="accent5" w:themeShade="80"/>
          </w:rPr>
          <w:t>Financial Performance</w:t>
        </w:r>
        <w:r w:rsidR="00AB6753" w:rsidRPr="00054A67">
          <w:rPr>
            <w:webHidden/>
          </w:rPr>
          <w:tab/>
        </w:r>
      </w:hyperlink>
    </w:p>
    <w:p w14:paraId="3A5AAD71" w14:textId="37763F7A"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01"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1.1</w:t>
        </w:r>
        <w:r w:rsidR="00AB6753" w:rsidRPr="004A7CA9">
          <w:rPr>
            <w:rStyle w:val="Hyperlink"/>
            <w:rFonts w:ascii="Arial" w:hAnsi="Arial" w:cs="Arial"/>
            <w:noProof/>
            <w:sz w:val="20"/>
            <w:szCs w:val="20"/>
          </w:rPr>
          <w:t xml:space="preserve"> Expenses</w:t>
        </w:r>
        <w:r w:rsidR="00B86466">
          <w:rPr>
            <w:rStyle w:val="Hyperlink"/>
            <w:rFonts w:ascii="Arial" w:hAnsi="Arial" w:cs="Arial"/>
            <w:noProof/>
            <w:sz w:val="20"/>
            <w:szCs w:val="20"/>
          </w:rPr>
          <w:tab/>
        </w:r>
        <w:r w:rsidR="0030028B">
          <w:rPr>
            <w:rStyle w:val="Hyperlink"/>
            <w:rFonts w:ascii="Arial" w:hAnsi="Arial" w:cs="Arial"/>
            <w:noProof/>
            <w:sz w:val="20"/>
            <w:szCs w:val="20"/>
          </w:rPr>
          <w:t>141</w:t>
        </w:r>
        <w:r w:rsidR="00AB6753" w:rsidRPr="004A7CA9">
          <w:rPr>
            <w:rFonts w:ascii="Arial" w:hAnsi="Arial" w:cs="Arial"/>
            <w:noProof/>
            <w:webHidden/>
            <w:sz w:val="20"/>
            <w:szCs w:val="20"/>
          </w:rPr>
          <w:tab/>
        </w:r>
      </w:hyperlink>
    </w:p>
    <w:p w14:paraId="43BC9CB8" w14:textId="63FC7E66"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02"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1.2</w:t>
        </w:r>
        <w:r w:rsidR="00AB6753" w:rsidRPr="004A7CA9">
          <w:rPr>
            <w:rStyle w:val="Hyperlink"/>
            <w:rFonts w:ascii="Arial" w:hAnsi="Arial" w:cs="Arial"/>
            <w:noProof/>
            <w:sz w:val="20"/>
            <w:szCs w:val="20"/>
          </w:rPr>
          <w:t xml:space="preserve"> Own-Source Revenue and Gains</w:t>
        </w:r>
        <w:r w:rsidR="0030028B">
          <w:rPr>
            <w:rStyle w:val="Hyperlink"/>
            <w:rFonts w:ascii="Arial" w:hAnsi="Arial" w:cs="Arial"/>
            <w:noProof/>
            <w:sz w:val="20"/>
            <w:szCs w:val="20"/>
          </w:rPr>
          <w:tab/>
          <w:t>142</w:t>
        </w:r>
        <w:r w:rsidR="00AB6753" w:rsidRPr="004A7CA9">
          <w:rPr>
            <w:rFonts w:ascii="Arial" w:hAnsi="Arial" w:cs="Arial"/>
            <w:noProof/>
            <w:webHidden/>
            <w:sz w:val="20"/>
            <w:szCs w:val="20"/>
          </w:rPr>
          <w:tab/>
        </w:r>
      </w:hyperlink>
    </w:p>
    <w:p w14:paraId="35D5226D" w14:textId="77777777" w:rsidR="00AB6753" w:rsidRPr="004A7CA9" w:rsidRDefault="00EB552B" w:rsidP="00054A67">
      <w:pPr>
        <w:pStyle w:val="TOC1"/>
        <w:rPr>
          <w:rFonts w:eastAsiaTheme="minorEastAsia"/>
          <w:lang w:eastAsia="en-AU"/>
        </w:rPr>
      </w:pPr>
      <w:hyperlink w:anchor="_Toc45748803" w:history="1">
        <w:r w:rsidR="00AB6753" w:rsidRPr="00054A67">
          <w:rPr>
            <w:rStyle w:val="Hyperlink"/>
            <w:color w:val="215868" w:themeColor="accent5" w:themeShade="80"/>
          </w:rPr>
          <w:t>2.</w:t>
        </w:r>
        <w:r w:rsidR="00AB6753" w:rsidRPr="00054A67">
          <w:rPr>
            <w:rFonts w:eastAsiaTheme="minorEastAsia"/>
            <w:lang w:eastAsia="en-AU"/>
          </w:rPr>
          <w:tab/>
        </w:r>
        <w:r w:rsidR="00AB6753" w:rsidRPr="00054A67">
          <w:rPr>
            <w:rStyle w:val="Hyperlink"/>
            <w:color w:val="215868" w:themeColor="accent5" w:themeShade="80"/>
          </w:rPr>
          <w:t>Income and Expenses Administered on Behalf of Government</w:t>
        </w:r>
        <w:r w:rsidR="00AB6753" w:rsidRPr="004A7CA9">
          <w:rPr>
            <w:webHidden/>
          </w:rPr>
          <w:tab/>
        </w:r>
      </w:hyperlink>
    </w:p>
    <w:p w14:paraId="4C96726F" w14:textId="3644E3AA"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04"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2.1</w:t>
        </w:r>
        <w:r w:rsidR="00AB6753" w:rsidRPr="004A7CA9">
          <w:rPr>
            <w:rStyle w:val="Hyperlink"/>
            <w:rFonts w:ascii="Arial" w:hAnsi="Arial" w:cs="Arial"/>
            <w:noProof/>
            <w:sz w:val="20"/>
            <w:szCs w:val="20"/>
          </w:rPr>
          <w:t xml:space="preserve"> Administered – Expenses</w:t>
        </w:r>
        <w:r w:rsidR="00AB6753" w:rsidRPr="004A7CA9">
          <w:rPr>
            <w:rFonts w:ascii="Arial" w:hAnsi="Arial" w:cs="Arial"/>
            <w:noProof/>
            <w:webHidden/>
            <w:sz w:val="20"/>
            <w:szCs w:val="20"/>
          </w:rPr>
          <w:tab/>
        </w:r>
      </w:hyperlink>
      <w:r w:rsidR="0088412B">
        <w:rPr>
          <w:rFonts w:ascii="Arial" w:hAnsi="Arial" w:cs="Arial"/>
          <w:noProof/>
          <w:sz w:val="20"/>
          <w:szCs w:val="20"/>
        </w:rPr>
        <w:t>144</w:t>
      </w:r>
    </w:p>
    <w:p w14:paraId="42B0E710" w14:textId="1729AF51"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05"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2.2</w:t>
        </w:r>
        <w:r w:rsidR="00AB6753" w:rsidRPr="004A7CA9">
          <w:rPr>
            <w:rStyle w:val="Hyperlink"/>
            <w:rFonts w:ascii="Arial" w:hAnsi="Arial" w:cs="Arial"/>
            <w:noProof/>
            <w:sz w:val="20"/>
            <w:szCs w:val="20"/>
          </w:rPr>
          <w:t xml:space="preserve"> Administered – Income</w:t>
        </w:r>
        <w:r w:rsidR="00AB6753" w:rsidRPr="004A7CA9">
          <w:rPr>
            <w:rFonts w:ascii="Arial" w:hAnsi="Arial" w:cs="Arial"/>
            <w:noProof/>
            <w:webHidden/>
            <w:sz w:val="20"/>
            <w:szCs w:val="20"/>
          </w:rPr>
          <w:tab/>
        </w:r>
      </w:hyperlink>
      <w:r w:rsidR="0088412B">
        <w:rPr>
          <w:rFonts w:ascii="Arial" w:hAnsi="Arial" w:cs="Arial"/>
          <w:noProof/>
          <w:sz w:val="20"/>
          <w:szCs w:val="20"/>
        </w:rPr>
        <w:t>146</w:t>
      </w:r>
    </w:p>
    <w:p w14:paraId="179D2961" w14:textId="77777777" w:rsidR="00AB6753" w:rsidRPr="004A7CA9" w:rsidRDefault="00EB552B" w:rsidP="00054A67">
      <w:pPr>
        <w:pStyle w:val="TOC1"/>
        <w:rPr>
          <w:rFonts w:eastAsiaTheme="minorEastAsia"/>
          <w:lang w:eastAsia="en-AU"/>
        </w:rPr>
      </w:pPr>
      <w:hyperlink w:anchor="_Toc45748806" w:history="1">
        <w:r w:rsidR="00AB6753" w:rsidRPr="00054A67">
          <w:rPr>
            <w:rStyle w:val="Hyperlink"/>
            <w:color w:val="215868" w:themeColor="accent5" w:themeShade="80"/>
          </w:rPr>
          <w:t>3.</w:t>
        </w:r>
        <w:r w:rsidR="00AB6753" w:rsidRPr="00054A67">
          <w:rPr>
            <w:rFonts w:eastAsiaTheme="minorEastAsia"/>
            <w:lang w:eastAsia="en-AU"/>
          </w:rPr>
          <w:tab/>
        </w:r>
        <w:r w:rsidR="00AB6753" w:rsidRPr="00054A67">
          <w:rPr>
            <w:rStyle w:val="Hyperlink"/>
            <w:color w:val="215868" w:themeColor="accent5" w:themeShade="80"/>
          </w:rPr>
          <w:t>Departmental Financial Position</w:t>
        </w:r>
        <w:r w:rsidR="00AB6753" w:rsidRPr="004A7CA9">
          <w:rPr>
            <w:webHidden/>
          </w:rPr>
          <w:tab/>
        </w:r>
      </w:hyperlink>
    </w:p>
    <w:p w14:paraId="03493C8B" w14:textId="351A76D8"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07"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3.1</w:t>
        </w:r>
        <w:r w:rsidR="00AB6753" w:rsidRPr="004A7CA9">
          <w:rPr>
            <w:rStyle w:val="Hyperlink"/>
            <w:rFonts w:ascii="Arial" w:hAnsi="Arial" w:cs="Arial"/>
            <w:noProof/>
            <w:sz w:val="20"/>
            <w:szCs w:val="20"/>
          </w:rPr>
          <w:t xml:space="preserve"> Financial Assets</w:t>
        </w:r>
        <w:r w:rsidR="00AB6753" w:rsidRPr="004A7CA9">
          <w:rPr>
            <w:rFonts w:ascii="Arial" w:hAnsi="Arial" w:cs="Arial"/>
            <w:noProof/>
            <w:webHidden/>
            <w:sz w:val="20"/>
            <w:szCs w:val="20"/>
          </w:rPr>
          <w:tab/>
        </w:r>
      </w:hyperlink>
      <w:r w:rsidR="0088412B">
        <w:rPr>
          <w:rFonts w:ascii="Arial" w:hAnsi="Arial" w:cs="Arial"/>
          <w:noProof/>
          <w:sz w:val="20"/>
          <w:szCs w:val="20"/>
        </w:rPr>
        <w:t>147</w:t>
      </w:r>
    </w:p>
    <w:p w14:paraId="2BA44CDB" w14:textId="4F4AD7D5"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08"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3.2</w:t>
        </w:r>
        <w:r w:rsidR="00AB6753" w:rsidRPr="004A7CA9">
          <w:rPr>
            <w:rStyle w:val="Hyperlink"/>
            <w:rFonts w:ascii="Arial" w:hAnsi="Arial" w:cs="Arial"/>
            <w:noProof/>
            <w:sz w:val="20"/>
            <w:szCs w:val="20"/>
          </w:rPr>
          <w:t xml:space="preserve"> Non-Financial Assets</w:t>
        </w:r>
        <w:r w:rsidR="00AB6753" w:rsidRPr="004A7CA9">
          <w:rPr>
            <w:rFonts w:ascii="Arial" w:hAnsi="Arial" w:cs="Arial"/>
            <w:noProof/>
            <w:webHidden/>
            <w:sz w:val="20"/>
            <w:szCs w:val="20"/>
          </w:rPr>
          <w:tab/>
        </w:r>
      </w:hyperlink>
      <w:r w:rsidR="0088412B">
        <w:rPr>
          <w:rFonts w:ascii="Arial" w:hAnsi="Arial" w:cs="Arial"/>
          <w:noProof/>
          <w:sz w:val="20"/>
          <w:szCs w:val="20"/>
        </w:rPr>
        <w:t>148</w:t>
      </w:r>
    </w:p>
    <w:p w14:paraId="5925356A" w14:textId="609E6751"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09"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3.3</w:t>
        </w:r>
        <w:r w:rsidR="00AB6753" w:rsidRPr="004A7CA9">
          <w:rPr>
            <w:rStyle w:val="Hyperlink"/>
            <w:rFonts w:ascii="Arial" w:hAnsi="Arial" w:cs="Arial"/>
            <w:noProof/>
            <w:sz w:val="20"/>
            <w:szCs w:val="20"/>
          </w:rPr>
          <w:t xml:space="preserve"> Payables</w:t>
        </w:r>
        <w:r w:rsidR="00AB6753" w:rsidRPr="004A7CA9">
          <w:rPr>
            <w:rFonts w:ascii="Arial" w:hAnsi="Arial" w:cs="Arial"/>
            <w:noProof/>
            <w:webHidden/>
            <w:sz w:val="20"/>
            <w:szCs w:val="20"/>
          </w:rPr>
          <w:tab/>
        </w:r>
      </w:hyperlink>
      <w:r w:rsidR="0088412B">
        <w:rPr>
          <w:rFonts w:ascii="Arial" w:hAnsi="Arial" w:cs="Arial"/>
          <w:noProof/>
          <w:sz w:val="20"/>
          <w:szCs w:val="20"/>
        </w:rPr>
        <w:t>151</w:t>
      </w:r>
    </w:p>
    <w:p w14:paraId="037F1BC6" w14:textId="14CC4674"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10"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3.4</w:t>
        </w:r>
        <w:r w:rsidR="00AB6753" w:rsidRPr="004A7CA9">
          <w:rPr>
            <w:rStyle w:val="Hyperlink"/>
            <w:rFonts w:ascii="Arial" w:hAnsi="Arial" w:cs="Arial"/>
            <w:noProof/>
            <w:sz w:val="20"/>
            <w:szCs w:val="20"/>
          </w:rPr>
          <w:t xml:space="preserve"> Interest Bearing Liabilities</w:t>
        </w:r>
        <w:r w:rsidR="00AB6753" w:rsidRPr="004A7CA9">
          <w:rPr>
            <w:rFonts w:ascii="Arial" w:hAnsi="Arial" w:cs="Arial"/>
            <w:noProof/>
            <w:webHidden/>
            <w:sz w:val="20"/>
            <w:szCs w:val="20"/>
          </w:rPr>
          <w:tab/>
        </w:r>
      </w:hyperlink>
      <w:r w:rsidR="0088412B">
        <w:rPr>
          <w:rFonts w:ascii="Arial" w:hAnsi="Arial" w:cs="Arial"/>
          <w:noProof/>
          <w:sz w:val="20"/>
          <w:szCs w:val="20"/>
        </w:rPr>
        <w:t>151</w:t>
      </w:r>
    </w:p>
    <w:p w14:paraId="3E591C7F" w14:textId="7779B2F2"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11"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3.5</w:t>
        </w:r>
        <w:r w:rsidR="00AB6753" w:rsidRPr="004A7CA9">
          <w:rPr>
            <w:rStyle w:val="Hyperlink"/>
            <w:rFonts w:ascii="Arial" w:hAnsi="Arial" w:cs="Arial"/>
            <w:noProof/>
            <w:sz w:val="20"/>
            <w:szCs w:val="20"/>
          </w:rPr>
          <w:t xml:space="preserve"> Other Provisions</w:t>
        </w:r>
        <w:r w:rsidR="00AB6753" w:rsidRPr="004A7CA9">
          <w:rPr>
            <w:rFonts w:ascii="Arial" w:hAnsi="Arial" w:cs="Arial"/>
            <w:noProof/>
            <w:webHidden/>
            <w:sz w:val="20"/>
            <w:szCs w:val="20"/>
          </w:rPr>
          <w:tab/>
        </w:r>
      </w:hyperlink>
      <w:r w:rsidR="0088412B">
        <w:rPr>
          <w:rFonts w:ascii="Arial" w:hAnsi="Arial" w:cs="Arial"/>
          <w:noProof/>
          <w:sz w:val="20"/>
          <w:szCs w:val="20"/>
        </w:rPr>
        <w:t>151</w:t>
      </w:r>
    </w:p>
    <w:p w14:paraId="7BA71C5C" w14:textId="77777777" w:rsidR="00AB6753" w:rsidRPr="00EB552B" w:rsidRDefault="00EB552B" w:rsidP="00054A67">
      <w:pPr>
        <w:pStyle w:val="TOC1"/>
        <w:rPr>
          <w:rStyle w:val="Hyperlink"/>
          <w:color w:val="215868" w:themeColor="accent5" w:themeShade="80"/>
        </w:rPr>
      </w:pPr>
      <w:hyperlink w:anchor="_Toc45748812" w:history="1">
        <w:r w:rsidR="00AB6753" w:rsidRPr="00EB552B">
          <w:rPr>
            <w:rStyle w:val="Hyperlink"/>
            <w:color w:val="215868" w:themeColor="accent5" w:themeShade="80"/>
          </w:rPr>
          <w:t>4.</w:t>
        </w:r>
        <w:r w:rsidR="00AB6753" w:rsidRPr="00EB552B">
          <w:rPr>
            <w:rStyle w:val="Hyperlink"/>
            <w:color w:val="215868" w:themeColor="accent5" w:themeShade="80"/>
          </w:rPr>
          <w:tab/>
          <w:t>Assets and Liabilities Administered on Behalf of Government</w:t>
        </w:r>
        <w:r w:rsidR="00AB6753" w:rsidRPr="00EB552B">
          <w:rPr>
            <w:rStyle w:val="Hyperlink"/>
            <w:webHidden/>
            <w:color w:val="215868" w:themeColor="accent5" w:themeShade="80"/>
          </w:rPr>
          <w:tab/>
        </w:r>
      </w:hyperlink>
    </w:p>
    <w:p w14:paraId="54F7E8A9" w14:textId="1846C4FC"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13"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4.1</w:t>
        </w:r>
        <w:r w:rsidR="00AB6753" w:rsidRPr="004A7CA9">
          <w:rPr>
            <w:rStyle w:val="Hyperlink"/>
            <w:rFonts w:ascii="Arial" w:hAnsi="Arial" w:cs="Arial"/>
            <w:noProof/>
            <w:sz w:val="20"/>
            <w:szCs w:val="20"/>
          </w:rPr>
          <w:t xml:space="preserve"> Administered – Financial Assets</w:t>
        </w:r>
        <w:r w:rsidR="00AB6753" w:rsidRPr="004A7CA9">
          <w:rPr>
            <w:rFonts w:ascii="Arial" w:hAnsi="Arial" w:cs="Arial"/>
            <w:noProof/>
            <w:webHidden/>
            <w:sz w:val="20"/>
            <w:szCs w:val="20"/>
          </w:rPr>
          <w:tab/>
        </w:r>
      </w:hyperlink>
      <w:r w:rsidR="0088412B">
        <w:rPr>
          <w:rFonts w:ascii="Arial" w:hAnsi="Arial" w:cs="Arial"/>
          <w:noProof/>
          <w:sz w:val="20"/>
          <w:szCs w:val="20"/>
        </w:rPr>
        <w:t>152</w:t>
      </w:r>
    </w:p>
    <w:p w14:paraId="45A58352" w14:textId="18E5EAD0"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14"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4.2</w:t>
        </w:r>
        <w:r w:rsidR="00AB6753" w:rsidRPr="004A7CA9">
          <w:rPr>
            <w:rStyle w:val="Hyperlink"/>
            <w:rFonts w:ascii="Arial" w:hAnsi="Arial" w:cs="Arial"/>
            <w:noProof/>
            <w:sz w:val="20"/>
            <w:szCs w:val="20"/>
          </w:rPr>
          <w:t xml:space="preserve"> Administered – Payables</w:t>
        </w:r>
        <w:r w:rsidR="00AB6753" w:rsidRPr="004A7CA9">
          <w:rPr>
            <w:rFonts w:ascii="Arial" w:hAnsi="Arial" w:cs="Arial"/>
            <w:noProof/>
            <w:webHidden/>
            <w:sz w:val="20"/>
            <w:szCs w:val="20"/>
          </w:rPr>
          <w:tab/>
        </w:r>
      </w:hyperlink>
      <w:r w:rsidR="0088412B">
        <w:rPr>
          <w:rFonts w:ascii="Arial" w:hAnsi="Arial" w:cs="Arial"/>
          <w:noProof/>
          <w:sz w:val="20"/>
          <w:szCs w:val="20"/>
        </w:rPr>
        <w:t>155</w:t>
      </w:r>
    </w:p>
    <w:p w14:paraId="79ABB827" w14:textId="6ED2F703"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15"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4.3</w:t>
        </w:r>
        <w:r w:rsidR="00AB6753" w:rsidRPr="004A7CA9">
          <w:rPr>
            <w:rStyle w:val="Hyperlink"/>
            <w:rFonts w:ascii="Arial" w:hAnsi="Arial" w:cs="Arial"/>
            <w:noProof/>
            <w:sz w:val="20"/>
            <w:szCs w:val="20"/>
          </w:rPr>
          <w:t xml:space="preserve"> Administered – Other Provisions</w:t>
        </w:r>
        <w:r w:rsidR="00AB6753" w:rsidRPr="004A7CA9">
          <w:rPr>
            <w:rFonts w:ascii="Arial" w:hAnsi="Arial" w:cs="Arial"/>
            <w:noProof/>
            <w:webHidden/>
            <w:sz w:val="20"/>
            <w:szCs w:val="20"/>
          </w:rPr>
          <w:tab/>
        </w:r>
      </w:hyperlink>
      <w:r w:rsidR="0088412B">
        <w:rPr>
          <w:rFonts w:ascii="Arial" w:hAnsi="Arial" w:cs="Arial"/>
          <w:noProof/>
          <w:sz w:val="20"/>
          <w:szCs w:val="20"/>
        </w:rPr>
        <w:t>156</w:t>
      </w:r>
    </w:p>
    <w:p w14:paraId="4BC4A86D" w14:textId="77777777" w:rsidR="00AB6753" w:rsidRPr="004A7CA9" w:rsidRDefault="00EB552B" w:rsidP="00054A67">
      <w:pPr>
        <w:pStyle w:val="TOC1"/>
        <w:rPr>
          <w:rFonts w:eastAsiaTheme="minorEastAsia"/>
          <w:lang w:eastAsia="en-AU"/>
        </w:rPr>
      </w:pPr>
      <w:hyperlink w:anchor="_Toc45748816" w:history="1">
        <w:r w:rsidR="00AB6753" w:rsidRPr="00EB552B">
          <w:rPr>
            <w:rStyle w:val="Hyperlink"/>
            <w:color w:val="215868" w:themeColor="accent5" w:themeShade="80"/>
          </w:rPr>
          <w:t>5.</w:t>
        </w:r>
        <w:r w:rsidR="00AB6753" w:rsidRPr="00EB552B">
          <w:rPr>
            <w:rStyle w:val="Hyperlink"/>
            <w:color w:val="215868" w:themeColor="accent5" w:themeShade="80"/>
          </w:rPr>
          <w:tab/>
          <w:t>Funding</w:t>
        </w:r>
        <w:r w:rsidR="00AB6753" w:rsidRPr="004A7CA9">
          <w:rPr>
            <w:webHidden/>
          </w:rPr>
          <w:tab/>
        </w:r>
      </w:hyperlink>
    </w:p>
    <w:p w14:paraId="527E4BF7" w14:textId="60CA98FC"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17"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5.1</w:t>
        </w:r>
        <w:r w:rsidR="00AB6753" w:rsidRPr="004A7CA9">
          <w:rPr>
            <w:rStyle w:val="Hyperlink"/>
            <w:rFonts w:ascii="Arial" w:hAnsi="Arial" w:cs="Arial"/>
            <w:noProof/>
            <w:sz w:val="20"/>
            <w:szCs w:val="20"/>
          </w:rPr>
          <w:t xml:space="preserve"> Appropriations</w:t>
        </w:r>
        <w:r w:rsidR="00AB6753" w:rsidRPr="004A7CA9">
          <w:rPr>
            <w:rFonts w:ascii="Arial" w:hAnsi="Arial" w:cs="Arial"/>
            <w:noProof/>
            <w:webHidden/>
            <w:sz w:val="20"/>
            <w:szCs w:val="20"/>
          </w:rPr>
          <w:tab/>
        </w:r>
      </w:hyperlink>
      <w:r w:rsidR="0088412B">
        <w:rPr>
          <w:rFonts w:ascii="Arial" w:hAnsi="Arial" w:cs="Arial"/>
          <w:noProof/>
          <w:sz w:val="20"/>
          <w:szCs w:val="20"/>
        </w:rPr>
        <w:t>157</w:t>
      </w:r>
    </w:p>
    <w:p w14:paraId="523531EC" w14:textId="19ADE94E"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18"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5.2</w:t>
        </w:r>
        <w:r w:rsidR="00AB6753" w:rsidRPr="004A7CA9">
          <w:rPr>
            <w:rStyle w:val="Hyperlink"/>
            <w:rFonts w:ascii="Arial" w:hAnsi="Arial" w:cs="Arial"/>
            <w:noProof/>
            <w:sz w:val="20"/>
            <w:szCs w:val="20"/>
          </w:rPr>
          <w:t xml:space="preserve"> Administered Special Accounts</w:t>
        </w:r>
        <w:r w:rsidR="00AB6753" w:rsidRPr="004A7CA9">
          <w:rPr>
            <w:rFonts w:ascii="Arial" w:hAnsi="Arial" w:cs="Arial"/>
            <w:noProof/>
            <w:webHidden/>
            <w:sz w:val="20"/>
            <w:szCs w:val="20"/>
          </w:rPr>
          <w:tab/>
        </w:r>
      </w:hyperlink>
      <w:r w:rsidR="0088412B">
        <w:rPr>
          <w:rFonts w:ascii="Arial" w:hAnsi="Arial" w:cs="Arial"/>
          <w:noProof/>
          <w:sz w:val="20"/>
          <w:szCs w:val="20"/>
        </w:rPr>
        <w:t>163</w:t>
      </w:r>
    </w:p>
    <w:p w14:paraId="06F1A859" w14:textId="5F3F8391"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19" w:history="1"/>
      <w:hyperlink w:anchor="_Toc45748820"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5.3</w:t>
        </w:r>
        <w:r w:rsidR="00AB6753" w:rsidRPr="004A7CA9">
          <w:rPr>
            <w:rStyle w:val="Hyperlink"/>
            <w:rFonts w:ascii="Arial" w:hAnsi="Arial" w:cs="Arial"/>
            <w:noProof/>
            <w:sz w:val="20"/>
            <w:szCs w:val="20"/>
          </w:rPr>
          <w:t xml:space="preserve"> Net Cash Appropriation Arrangements</w:t>
        </w:r>
        <w:r w:rsidR="00AB6753" w:rsidRPr="004A7CA9">
          <w:rPr>
            <w:rFonts w:ascii="Arial" w:hAnsi="Arial" w:cs="Arial"/>
            <w:noProof/>
            <w:webHidden/>
            <w:sz w:val="20"/>
            <w:szCs w:val="20"/>
          </w:rPr>
          <w:tab/>
        </w:r>
      </w:hyperlink>
      <w:r w:rsidR="0088412B">
        <w:rPr>
          <w:rFonts w:ascii="Arial" w:hAnsi="Arial" w:cs="Arial"/>
          <w:noProof/>
          <w:sz w:val="20"/>
          <w:szCs w:val="20"/>
        </w:rPr>
        <w:t>165</w:t>
      </w:r>
    </w:p>
    <w:p w14:paraId="7FD4243D" w14:textId="77777777" w:rsidR="00AB6753" w:rsidRPr="004A7CA9" w:rsidRDefault="00EB552B" w:rsidP="00054A67">
      <w:pPr>
        <w:pStyle w:val="TOC1"/>
        <w:rPr>
          <w:rFonts w:eastAsiaTheme="minorEastAsia"/>
          <w:lang w:eastAsia="en-AU"/>
        </w:rPr>
      </w:pPr>
      <w:hyperlink w:anchor="_Toc45748821" w:history="1">
        <w:r w:rsidR="00AB6753" w:rsidRPr="00EB552B">
          <w:rPr>
            <w:rStyle w:val="Hyperlink"/>
            <w:color w:val="215868" w:themeColor="accent5" w:themeShade="80"/>
          </w:rPr>
          <w:t>6.</w:t>
        </w:r>
        <w:r w:rsidR="00AB6753" w:rsidRPr="00EB552B">
          <w:rPr>
            <w:rStyle w:val="Hyperlink"/>
            <w:color w:val="215868" w:themeColor="accent5" w:themeShade="80"/>
          </w:rPr>
          <w:tab/>
          <w:t>People</w:t>
        </w:r>
        <w:r w:rsidR="00AB6753" w:rsidRPr="004A7CA9">
          <w:rPr>
            <w:webHidden/>
          </w:rPr>
          <w:tab/>
        </w:r>
      </w:hyperlink>
    </w:p>
    <w:p w14:paraId="087F2410" w14:textId="13ADBE81"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22"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6.1</w:t>
        </w:r>
        <w:r w:rsidR="00AB6753" w:rsidRPr="004A7CA9">
          <w:rPr>
            <w:rStyle w:val="Hyperlink"/>
            <w:rFonts w:ascii="Arial" w:hAnsi="Arial" w:cs="Arial"/>
            <w:noProof/>
            <w:sz w:val="20"/>
            <w:szCs w:val="20"/>
          </w:rPr>
          <w:t xml:space="preserve"> Employee Provisions</w:t>
        </w:r>
        <w:r w:rsidR="00AB6753" w:rsidRPr="004A7CA9">
          <w:rPr>
            <w:rFonts w:ascii="Arial" w:hAnsi="Arial" w:cs="Arial"/>
            <w:noProof/>
            <w:webHidden/>
            <w:sz w:val="20"/>
            <w:szCs w:val="20"/>
          </w:rPr>
          <w:tab/>
        </w:r>
      </w:hyperlink>
      <w:r w:rsidR="0088412B">
        <w:rPr>
          <w:rFonts w:ascii="Arial" w:hAnsi="Arial" w:cs="Arial"/>
          <w:noProof/>
          <w:sz w:val="20"/>
          <w:szCs w:val="20"/>
        </w:rPr>
        <w:t>166</w:t>
      </w:r>
    </w:p>
    <w:p w14:paraId="10971C82" w14:textId="62D5A449"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23"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6.2</w:t>
        </w:r>
        <w:r w:rsidR="00AB6753" w:rsidRPr="004A7CA9">
          <w:rPr>
            <w:rStyle w:val="Hyperlink"/>
            <w:rFonts w:ascii="Arial" w:hAnsi="Arial" w:cs="Arial"/>
            <w:noProof/>
            <w:sz w:val="20"/>
            <w:szCs w:val="20"/>
          </w:rPr>
          <w:t xml:space="preserve"> Key Management Personnel Remuneration</w:t>
        </w:r>
        <w:r w:rsidR="00AB6753" w:rsidRPr="004A7CA9">
          <w:rPr>
            <w:rFonts w:ascii="Arial" w:hAnsi="Arial" w:cs="Arial"/>
            <w:noProof/>
            <w:webHidden/>
            <w:sz w:val="20"/>
            <w:szCs w:val="20"/>
          </w:rPr>
          <w:tab/>
        </w:r>
      </w:hyperlink>
      <w:r w:rsidR="0088412B">
        <w:rPr>
          <w:rFonts w:ascii="Arial" w:hAnsi="Arial" w:cs="Arial"/>
          <w:noProof/>
          <w:sz w:val="20"/>
          <w:szCs w:val="20"/>
        </w:rPr>
        <w:t>167</w:t>
      </w:r>
    </w:p>
    <w:p w14:paraId="102D5E87" w14:textId="70D9A6A8"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24"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6.3</w:t>
        </w:r>
        <w:r w:rsidR="00AB6753" w:rsidRPr="004A7CA9">
          <w:rPr>
            <w:rStyle w:val="Hyperlink"/>
            <w:rFonts w:ascii="Arial" w:hAnsi="Arial" w:cs="Arial"/>
            <w:noProof/>
            <w:sz w:val="20"/>
            <w:szCs w:val="20"/>
          </w:rPr>
          <w:t xml:space="preserve"> Related Party Disclosures</w:t>
        </w:r>
        <w:r w:rsidR="00AB6753" w:rsidRPr="004A7CA9">
          <w:rPr>
            <w:rFonts w:ascii="Arial" w:hAnsi="Arial" w:cs="Arial"/>
            <w:noProof/>
            <w:webHidden/>
            <w:sz w:val="20"/>
            <w:szCs w:val="20"/>
          </w:rPr>
          <w:tab/>
        </w:r>
      </w:hyperlink>
      <w:r w:rsidR="0088412B">
        <w:rPr>
          <w:rFonts w:ascii="Arial" w:hAnsi="Arial" w:cs="Arial"/>
          <w:noProof/>
          <w:sz w:val="20"/>
          <w:szCs w:val="20"/>
        </w:rPr>
        <w:t>167</w:t>
      </w:r>
    </w:p>
    <w:p w14:paraId="37901678" w14:textId="77777777" w:rsidR="00AB6753" w:rsidRPr="004A7CA9" w:rsidRDefault="00EB552B" w:rsidP="00054A67">
      <w:pPr>
        <w:pStyle w:val="TOC1"/>
        <w:rPr>
          <w:rFonts w:eastAsiaTheme="minorEastAsia"/>
          <w:lang w:eastAsia="en-AU"/>
        </w:rPr>
      </w:pPr>
      <w:hyperlink w:anchor="_Toc45748825" w:history="1">
        <w:r w:rsidR="00AB6753" w:rsidRPr="00EB552B">
          <w:rPr>
            <w:rStyle w:val="Hyperlink"/>
            <w:color w:val="215868" w:themeColor="accent5" w:themeShade="80"/>
          </w:rPr>
          <w:t>7.</w:t>
        </w:r>
        <w:r w:rsidR="00AB6753" w:rsidRPr="00EB552B">
          <w:rPr>
            <w:rStyle w:val="Hyperlink"/>
            <w:color w:val="215868" w:themeColor="accent5" w:themeShade="80"/>
          </w:rPr>
          <w:tab/>
          <w:t>Managing Uncertainties</w:t>
        </w:r>
        <w:r w:rsidR="00AB6753" w:rsidRPr="004A7CA9">
          <w:rPr>
            <w:webHidden/>
          </w:rPr>
          <w:tab/>
        </w:r>
      </w:hyperlink>
    </w:p>
    <w:p w14:paraId="2DBAC0A1" w14:textId="620BFABD"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26"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7.1</w:t>
        </w:r>
        <w:r w:rsidR="00AB6753" w:rsidRPr="004A7CA9">
          <w:rPr>
            <w:rStyle w:val="Hyperlink"/>
            <w:rFonts w:ascii="Arial" w:hAnsi="Arial" w:cs="Arial"/>
            <w:noProof/>
            <w:sz w:val="20"/>
            <w:szCs w:val="20"/>
          </w:rPr>
          <w:t xml:space="preserve"> Contingent Assets and Liabilities</w:t>
        </w:r>
        <w:r w:rsidR="00AB6753" w:rsidRPr="004A7CA9">
          <w:rPr>
            <w:rFonts w:ascii="Arial" w:hAnsi="Arial" w:cs="Arial"/>
            <w:noProof/>
            <w:webHidden/>
            <w:sz w:val="20"/>
            <w:szCs w:val="20"/>
          </w:rPr>
          <w:tab/>
        </w:r>
      </w:hyperlink>
      <w:r w:rsidR="0088412B">
        <w:rPr>
          <w:rFonts w:ascii="Arial" w:hAnsi="Arial" w:cs="Arial"/>
          <w:noProof/>
          <w:sz w:val="20"/>
          <w:szCs w:val="20"/>
        </w:rPr>
        <w:t>168</w:t>
      </w:r>
    </w:p>
    <w:p w14:paraId="707C9B74" w14:textId="75C94226"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27"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7.2</w:t>
        </w:r>
        <w:r w:rsidR="00AB6753" w:rsidRPr="004A7CA9">
          <w:rPr>
            <w:rStyle w:val="Hyperlink"/>
            <w:rFonts w:ascii="Arial" w:hAnsi="Arial" w:cs="Arial"/>
            <w:noProof/>
            <w:sz w:val="20"/>
            <w:szCs w:val="20"/>
          </w:rPr>
          <w:t xml:space="preserve"> Financial Instruments</w:t>
        </w:r>
        <w:r w:rsidR="00AB6753" w:rsidRPr="004A7CA9">
          <w:rPr>
            <w:rFonts w:ascii="Arial" w:hAnsi="Arial" w:cs="Arial"/>
            <w:noProof/>
            <w:webHidden/>
            <w:sz w:val="20"/>
            <w:szCs w:val="20"/>
          </w:rPr>
          <w:tab/>
        </w:r>
      </w:hyperlink>
      <w:r w:rsidR="0088412B">
        <w:rPr>
          <w:rFonts w:ascii="Arial" w:hAnsi="Arial" w:cs="Arial"/>
          <w:noProof/>
          <w:sz w:val="20"/>
          <w:szCs w:val="20"/>
        </w:rPr>
        <w:t>170</w:t>
      </w:r>
    </w:p>
    <w:p w14:paraId="6CAC7205" w14:textId="000DBF28"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29"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7.3</w:t>
        </w:r>
        <w:r w:rsidR="00AB6753" w:rsidRPr="004A7CA9">
          <w:rPr>
            <w:rStyle w:val="Hyperlink"/>
            <w:rFonts w:ascii="Arial" w:hAnsi="Arial" w:cs="Arial"/>
            <w:noProof/>
            <w:sz w:val="20"/>
            <w:szCs w:val="20"/>
          </w:rPr>
          <w:t xml:space="preserve"> Administered – Financial Instruments</w:t>
        </w:r>
        <w:r w:rsidR="0088412B">
          <w:rPr>
            <w:rStyle w:val="Hyperlink"/>
            <w:rFonts w:ascii="Arial" w:hAnsi="Arial" w:cs="Arial"/>
            <w:noProof/>
            <w:sz w:val="20"/>
            <w:szCs w:val="20"/>
          </w:rPr>
          <w:tab/>
          <w:t>173</w:t>
        </w:r>
        <w:r w:rsidR="00AB6753" w:rsidRPr="004A7CA9">
          <w:rPr>
            <w:rFonts w:ascii="Arial" w:hAnsi="Arial" w:cs="Arial"/>
            <w:noProof/>
            <w:webHidden/>
            <w:sz w:val="20"/>
            <w:szCs w:val="20"/>
          </w:rPr>
          <w:tab/>
        </w:r>
      </w:hyperlink>
    </w:p>
    <w:p w14:paraId="2E9F2B85" w14:textId="77777777" w:rsidR="00AB6753" w:rsidRPr="004A7CA9" w:rsidRDefault="00EB552B" w:rsidP="00054A67">
      <w:pPr>
        <w:pStyle w:val="TOC1"/>
        <w:rPr>
          <w:rFonts w:eastAsiaTheme="minorEastAsia"/>
          <w:lang w:eastAsia="en-AU"/>
        </w:rPr>
      </w:pPr>
      <w:hyperlink w:anchor="_Toc45748830" w:history="1">
        <w:r w:rsidR="00AB6753" w:rsidRPr="00EB552B">
          <w:rPr>
            <w:rStyle w:val="Hyperlink"/>
            <w:color w:val="215868" w:themeColor="accent5" w:themeShade="80"/>
          </w:rPr>
          <w:t>8.</w:t>
        </w:r>
        <w:r w:rsidR="00AB6753" w:rsidRPr="00EB552B">
          <w:rPr>
            <w:rStyle w:val="Hyperlink"/>
            <w:color w:val="215868" w:themeColor="accent5" w:themeShade="80"/>
          </w:rPr>
          <w:tab/>
          <w:t>Other Information</w:t>
        </w:r>
        <w:r w:rsidR="00AB6753" w:rsidRPr="004A7CA9">
          <w:rPr>
            <w:webHidden/>
          </w:rPr>
          <w:tab/>
        </w:r>
      </w:hyperlink>
    </w:p>
    <w:p w14:paraId="2B5550FA" w14:textId="70E1CEC2"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31"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8.1</w:t>
        </w:r>
        <w:r w:rsidR="00AB6753" w:rsidRPr="004A7CA9">
          <w:rPr>
            <w:rStyle w:val="Hyperlink"/>
            <w:rFonts w:ascii="Arial" w:hAnsi="Arial" w:cs="Arial"/>
            <w:noProof/>
            <w:sz w:val="20"/>
            <w:szCs w:val="20"/>
          </w:rPr>
          <w:t xml:space="preserve"> Aggregate Assets and Liabilities</w:t>
        </w:r>
        <w:r w:rsidR="00AB6753" w:rsidRPr="004A7CA9">
          <w:rPr>
            <w:rFonts w:ascii="Arial" w:hAnsi="Arial" w:cs="Arial"/>
            <w:noProof/>
            <w:webHidden/>
            <w:sz w:val="20"/>
            <w:szCs w:val="20"/>
          </w:rPr>
          <w:tab/>
        </w:r>
      </w:hyperlink>
      <w:r w:rsidR="0088412B">
        <w:rPr>
          <w:rFonts w:ascii="Arial" w:hAnsi="Arial" w:cs="Arial"/>
          <w:noProof/>
          <w:sz w:val="20"/>
          <w:szCs w:val="20"/>
        </w:rPr>
        <w:t>173</w:t>
      </w:r>
    </w:p>
    <w:p w14:paraId="0310617D" w14:textId="6BEF722F"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32"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8.2</w:t>
        </w:r>
        <w:r w:rsidR="00AB6753" w:rsidRPr="004A7CA9">
          <w:rPr>
            <w:rStyle w:val="Hyperlink"/>
            <w:rFonts w:ascii="Arial" w:hAnsi="Arial" w:cs="Arial"/>
            <w:noProof/>
            <w:sz w:val="20"/>
            <w:szCs w:val="20"/>
          </w:rPr>
          <w:t xml:space="preserve"> Restructuring</w:t>
        </w:r>
        <w:r w:rsidR="00AB6753" w:rsidRPr="004A7CA9">
          <w:rPr>
            <w:rFonts w:ascii="Arial" w:hAnsi="Arial" w:cs="Arial"/>
            <w:noProof/>
            <w:webHidden/>
            <w:sz w:val="20"/>
            <w:szCs w:val="20"/>
          </w:rPr>
          <w:tab/>
        </w:r>
      </w:hyperlink>
      <w:r w:rsidR="0088412B">
        <w:rPr>
          <w:rFonts w:ascii="Arial" w:hAnsi="Arial" w:cs="Arial"/>
          <w:noProof/>
          <w:sz w:val="20"/>
          <w:szCs w:val="20"/>
        </w:rPr>
        <w:t>174</w:t>
      </w:r>
    </w:p>
    <w:p w14:paraId="2678A3A5" w14:textId="4C18B0E6" w:rsidR="00AB6753" w:rsidRPr="004A7CA9" w:rsidRDefault="00EB552B" w:rsidP="00AB6753">
      <w:pPr>
        <w:pStyle w:val="TOC2"/>
        <w:spacing w:before="60" w:line="260" w:lineRule="atLeast"/>
        <w:ind w:left="908"/>
        <w:rPr>
          <w:rFonts w:ascii="Arial" w:eastAsiaTheme="minorEastAsia" w:hAnsi="Arial" w:cs="Arial"/>
          <w:iCs/>
          <w:noProof/>
          <w:sz w:val="20"/>
          <w:szCs w:val="20"/>
          <w:lang w:eastAsia="en-AU"/>
        </w:rPr>
      </w:pPr>
      <w:hyperlink w:anchor="_Toc45748833"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8.3</w:t>
        </w:r>
        <w:r w:rsidR="00AB6753" w:rsidRPr="004A7CA9">
          <w:rPr>
            <w:rStyle w:val="Hyperlink"/>
            <w:rFonts w:ascii="Arial" w:hAnsi="Arial" w:cs="Arial"/>
            <w:noProof/>
            <w:sz w:val="20"/>
            <w:szCs w:val="20"/>
          </w:rPr>
          <w:t xml:space="preserve"> Breach of Section 83 of the Constitution</w:t>
        </w:r>
        <w:r w:rsidR="00AB6753" w:rsidRPr="004A7CA9">
          <w:rPr>
            <w:rFonts w:ascii="Arial" w:hAnsi="Arial" w:cs="Arial"/>
            <w:noProof/>
            <w:webHidden/>
            <w:sz w:val="20"/>
            <w:szCs w:val="20"/>
          </w:rPr>
          <w:tab/>
        </w:r>
      </w:hyperlink>
      <w:r w:rsidR="0088412B">
        <w:rPr>
          <w:rFonts w:ascii="Arial" w:hAnsi="Arial" w:cs="Arial"/>
          <w:noProof/>
          <w:sz w:val="20"/>
          <w:szCs w:val="20"/>
        </w:rPr>
        <w:t>176</w:t>
      </w:r>
    </w:p>
    <w:p w14:paraId="7D2AC35D" w14:textId="7C70950E" w:rsidR="00AB6753" w:rsidRPr="00C732D9" w:rsidRDefault="00EB552B" w:rsidP="00AB6753">
      <w:pPr>
        <w:pStyle w:val="TOC2"/>
        <w:spacing w:before="60" w:line="260" w:lineRule="atLeast"/>
        <w:ind w:left="908"/>
        <w:rPr>
          <w:rFonts w:ascii="Arial" w:eastAsiaTheme="minorEastAsia" w:hAnsi="Arial" w:cs="Arial"/>
          <w:iCs/>
          <w:noProof/>
          <w:lang w:eastAsia="en-AU"/>
        </w:rPr>
      </w:pPr>
      <w:hyperlink w:anchor="_Toc45748834" w:history="1">
        <w:r w:rsidR="00AB6753" w:rsidRPr="004A7CA9">
          <w:rPr>
            <w:rStyle w:val="Hyperlink"/>
            <w:rFonts w:ascii="Arial" w:hAnsi="Arial" w:cs="Arial"/>
            <w:noProof/>
            <w:sz w:val="20"/>
            <w:szCs w:val="20"/>
            <w14:scene3d>
              <w14:camera w14:prst="orthographicFront"/>
              <w14:lightRig w14:rig="threePt" w14:dir="t">
                <w14:rot w14:lat="0" w14:lon="0" w14:rev="0"/>
              </w14:lightRig>
            </w14:scene3d>
          </w:rPr>
          <w:t>8.4</w:t>
        </w:r>
        <w:r w:rsidR="00AB6753" w:rsidRPr="004A7CA9">
          <w:rPr>
            <w:rStyle w:val="Hyperlink"/>
            <w:rFonts w:ascii="Arial" w:hAnsi="Arial" w:cs="Arial"/>
            <w:noProof/>
            <w:sz w:val="20"/>
            <w:szCs w:val="20"/>
          </w:rPr>
          <w:t xml:space="preserve"> Explanations of Major Variances to Budget</w:t>
        </w:r>
        <w:r w:rsidR="00AB6753" w:rsidRPr="004A7CA9">
          <w:rPr>
            <w:rFonts w:ascii="Arial" w:hAnsi="Arial" w:cs="Arial"/>
            <w:noProof/>
            <w:webHidden/>
            <w:sz w:val="20"/>
            <w:szCs w:val="20"/>
          </w:rPr>
          <w:tab/>
        </w:r>
      </w:hyperlink>
      <w:r w:rsidR="0088412B">
        <w:rPr>
          <w:rFonts w:ascii="Arial" w:hAnsi="Arial" w:cs="Arial"/>
          <w:noProof/>
          <w:sz w:val="20"/>
          <w:szCs w:val="20"/>
        </w:rPr>
        <w:t>177</w:t>
      </w:r>
    </w:p>
    <w:p w14:paraId="6C95B022" w14:textId="77777777" w:rsidR="00AB6753" w:rsidRPr="00C732D9" w:rsidRDefault="00AB6753" w:rsidP="00AB6753">
      <w:pPr>
        <w:spacing w:before="120" w:line="240" w:lineRule="auto"/>
        <w:rPr>
          <w:rFonts w:cs="Arial"/>
        </w:rPr>
        <w:sectPr w:rsidR="00AB6753" w:rsidRPr="00C732D9" w:rsidSect="00C732D9">
          <w:headerReference w:type="default" r:id="rId68"/>
          <w:pgSz w:w="11906" w:h="16838" w:code="9"/>
          <w:pgMar w:top="1134" w:right="1133" w:bottom="1134" w:left="1134" w:header="958" w:footer="737" w:gutter="0"/>
          <w:cols w:space="708"/>
          <w:docGrid w:linePitch="360"/>
        </w:sectPr>
      </w:pPr>
      <w:r w:rsidRPr="00C732D9">
        <w:rPr>
          <w:rFonts w:cs="Arial"/>
          <w:bCs/>
          <w:sz w:val="20"/>
        </w:rPr>
        <w:fldChar w:fldCharType="end"/>
      </w:r>
    </w:p>
    <w:p w14:paraId="4592F12D" w14:textId="77777777" w:rsidR="00AB6753" w:rsidRPr="00357637" w:rsidRDefault="00AB6753" w:rsidP="00AB6753">
      <w:pPr>
        <w:pStyle w:val="SectionHeading"/>
        <w:shd w:val="clear" w:color="auto" w:fill="00B2BA"/>
        <w:rPr>
          <w:rFonts w:ascii="Arial" w:hAnsi="Arial" w:cs="Arial"/>
          <w:color w:val="auto"/>
        </w:rPr>
      </w:pPr>
      <w:bookmarkStart w:id="62" w:name="_Toc443469521"/>
      <w:bookmarkStart w:id="63" w:name="_Toc444065769"/>
      <w:bookmarkStart w:id="64" w:name="_Toc444079968"/>
      <w:bookmarkStart w:id="65" w:name="_Toc450750153"/>
      <w:bookmarkStart w:id="66" w:name="_Toc45748799"/>
      <w:r w:rsidRPr="00357637">
        <w:rPr>
          <w:rFonts w:ascii="Arial" w:hAnsi="Arial" w:cs="Arial"/>
          <w:color w:val="auto"/>
        </w:rPr>
        <w:lastRenderedPageBreak/>
        <w:t>Overview</w:t>
      </w:r>
      <w:bookmarkEnd w:id="62"/>
      <w:bookmarkEnd w:id="63"/>
      <w:bookmarkEnd w:id="64"/>
      <w:bookmarkEnd w:id="65"/>
      <w:bookmarkEnd w:id="66"/>
      <w:r w:rsidRPr="00357637">
        <w:rPr>
          <w:rFonts w:ascii="Arial" w:hAnsi="Arial" w:cs="Arial"/>
          <w:color w:val="auto"/>
        </w:rPr>
        <w:tab/>
      </w:r>
    </w:p>
    <w:p w14:paraId="313B29AF" w14:textId="77777777" w:rsidR="00AB6753" w:rsidRPr="00054A67" w:rsidRDefault="00AB6753" w:rsidP="00AB6753">
      <w:pPr>
        <w:pStyle w:val="SubHeadingLines"/>
        <w:rPr>
          <w:color w:val="215868" w:themeColor="accent5" w:themeShade="80"/>
        </w:rPr>
      </w:pPr>
      <w:r w:rsidRPr="00054A67">
        <w:rPr>
          <w:color w:val="215868" w:themeColor="accent5" w:themeShade="80"/>
        </w:rPr>
        <w:t>Objectives of the department </w:t>
      </w:r>
    </w:p>
    <w:p w14:paraId="45BAEC5A" w14:textId="77777777" w:rsidR="00AB6753" w:rsidRPr="0023373E" w:rsidRDefault="00AB6753" w:rsidP="00AB6753">
      <w:pPr>
        <w:pStyle w:val="NotesTextnolinespace"/>
      </w:pPr>
      <w:r w:rsidRPr="0023373E">
        <w:t>The department is an Australian Government controlled, not-for-profit entity. The mission of the department is to improve the wellbeing of individuals and families in Australian communities. The purpose of the department is to work in partnership with government and non-government organisations to achieve our mission through the effective development</w:t>
      </w:r>
      <w:r>
        <w:t>,</w:t>
      </w:r>
      <w:r w:rsidRPr="0023373E">
        <w:t xml:space="preserve"> management and delivery</w:t>
      </w:r>
      <w:r>
        <w:t>,</w:t>
      </w:r>
      <w:r w:rsidRPr="0023373E">
        <w:t xml:space="preserve"> of payments, policies, programs and services. </w:t>
      </w:r>
    </w:p>
    <w:p w14:paraId="2F0A0101" w14:textId="77777777" w:rsidR="00AB6753" w:rsidRPr="0023373E" w:rsidRDefault="00AB6753" w:rsidP="00AB6753">
      <w:pPr>
        <w:pStyle w:val="NotesTextnolinespace"/>
      </w:pPr>
    </w:p>
    <w:p w14:paraId="2DD541B4" w14:textId="77777777" w:rsidR="00AB6753" w:rsidRPr="0023373E" w:rsidRDefault="00AB6753" w:rsidP="00AB6753">
      <w:pPr>
        <w:pStyle w:val="NotesTextnolinespace"/>
        <w:rPr>
          <w:rFonts w:eastAsiaTheme="minorHAnsi"/>
          <w:szCs w:val="18"/>
        </w:rPr>
      </w:pPr>
      <w:r w:rsidRPr="0023373E">
        <w:t>Our purpose reflect</w:t>
      </w:r>
      <w:r>
        <w:t>s</w:t>
      </w:r>
      <w:r w:rsidRPr="0023373E">
        <w:t xml:space="preserve"> four outcomes in which we </w:t>
      </w:r>
      <w:r>
        <w:t>s</w:t>
      </w:r>
      <w:r w:rsidRPr="0023373E">
        <w:t>eek to as</w:t>
      </w:r>
      <w:r>
        <w:t xml:space="preserve">sist people: </w:t>
      </w:r>
      <w:r w:rsidRPr="0023373E">
        <w:rPr>
          <w:rFonts w:eastAsiaTheme="minorHAnsi"/>
          <w:szCs w:val="18"/>
        </w:rPr>
        <w:t>Social Security;</w:t>
      </w:r>
      <w:r>
        <w:rPr>
          <w:rFonts w:eastAsiaTheme="minorHAnsi"/>
          <w:szCs w:val="18"/>
        </w:rPr>
        <w:t xml:space="preserve"> </w:t>
      </w:r>
      <w:r w:rsidRPr="0023373E">
        <w:rPr>
          <w:rFonts w:eastAsiaTheme="minorHAnsi"/>
          <w:szCs w:val="18"/>
        </w:rPr>
        <w:t>Families and Communities;</w:t>
      </w:r>
      <w:r>
        <w:rPr>
          <w:rFonts w:eastAsiaTheme="minorHAnsi"/>
          <w:szCs w:val="18"/>
        </w:rPr>
        <w:t xml:space="preserve"> </w:t>
      </w:r>
      <w:r w:rsidRPr="0023373E">
        <w:rPr>
          <w:rFonts w:eastAsiaTheme="minorHAnsi"/>
          <w:szCs w:val="18"/>
        </w:rPr>
        <w:t>Disability and Carers; and</w:t>
      </w:r>
      <w:r>
        <w:rPr>
          <w:rFonts w:eastAsiaTheme="minorHAnsi"/>
          <w:szCs w:val="18"/>
        </w:rPr>
        <w:t xml:space="preserve"> </w:t>
      </w:r>
      <w:r w:rsidRPr="0023373E">
        <w:rPr>
          <w:rFonts w:eastAsiaTheme="minorHAnsi"/>
          <w:szCs w:val="18"/>
        </w:rPr>
        <w:t>Housing.</w:t>
      </w:r>
    </w:p>
    <w:p w14:paraId="69467506" w14:textId="77777777" w:rsidR="00AB6753" w:rsidRDefault="00AB6753" w:rsidP="00AB6753">
      <w:pPr>
        <w:pStyle w:val="NotesTextnolinespace"/>
        <w:rPr>
          <w:highlight w:val="green"/>
        </w:rPr>
      </w:pPr>
    </w:p>
    <w:p w14:paraId="4F0450D4" w14:textId="77777777" w:rsidR="00AB6753" w:rsidRPr="00054A67" w:rsidRDefault="00AB6753" w:rsidP="00AB6753">
      <w:pPr>
        <w:pStyle w:val="SubHeadingLines"/>
        <w:rPr>
          <w:color w:val="215868" w:themeColor="accent5" w:themeShade="80"/>
        </w:rPr>
      </w:pPr>
      <w:r w:rsidRPr="00054A67">
        <w:rPr>
          <w:color w:val="215868" w:themeColor="accent5" w:themeShade="80"/>
        </w:rPr>
        <w:t>The Basis of Preparation</w:t>
      </w:r>
    </w:p>
    <w:p w14:paraId="739DB333" w14:textId="77777777" w:rsidR="00AB6753" w:rsidRDefault="00AB6753" w:rsidP="00AB6753">
      <w:pPr>
        <w:pStyle w:val="NotesText0"/>
        <w:spacing w:before="0" w:after="0"/>
        <w:rPr>
          <w:szCs w:val="18"/>
        </w:rPr>
      </w:pPr>
      <w:r w:rsidRPr="001D4735">
        <w:rPr>
          <w:szCs w:val="18"/>
        </w:rPr>
        <w:t xml:space="preserve">The financial statements are general purpose financial statements as required by section 42 of the </w:t>
      </w:r>
      <w:r>
        <w:rPr>
          <w:szCs w:val="18"/>
        </w:rPr>
        <w:br/>
      </w:r>
      <w:r w:rsidRPr="001D4735">
        <w:rPr>
          <w:i/>
          <w:iCs/>
          <w:szCs w:val="18"/>
        </w:rPr>
        <w:t>Public Governance, Performance and Accountability Act 2013</w:t>
      </w:r>
      <w:r w:rsidRPr="001D4735">
        <w:rPr>
          <w:szCs w:val="18"/>
        </w:rPr>
        <w:t xml:space="preserve"> (PGPA Act).</w:t>
      </w:r>
    </w:p>
    <w:p w14:paraId="03F091BC" w14:textId="77777777" w:rsidR="00AB6753" w:rsidRPr="001D4735" w:rsidRDefault="00AB6753" w:rsidP="00AB6753">
      <w:pPr>
        <w:pStyle w:val="NotesText0"/>
        <w:spacing w:before="0" w:after="0"/>
        <w:rPr>
          <w:szCs w:val="18"/>
        </w:rPr>
      </w:pPr>
    </w:p>
    <w:p w14:paraId="3F13837B" w14:textId="77777777" w:rsidR="00AB6753" w:rsidRDefault="00AB6753" w:rsidP="00AB6753">
      <w:pPr>
        <w:pStyle w:val="NotesText0"/>
        <w:spacing w:before="0" w:after="0"/>
        <w:rPr>
          <w:szCs w:val="18"/>
        </w:rPr>
      </w:pPr>
      <w:r w:rsidRPr="001D4735">
        <w:rPr>
          <w:szCs w:val="18"/>
        </w:rPr>
        <w:t>The financial statements have been prepared in accordance with:</w:t>
      </w:r>
    </w:p>
    <w:p w14:paraId="6AA7E9A3" w14:textId="77777777" w:rsidR="00AB6753" w:rsidRPr="001D4735" w:rsidRDefault="00AB6753" w:rsidP="00AB6753">
      <w:pPr>
        <w:pStyle w:val="NotesText0"/>
        <w:spacing w:before="0" w:after="0"/>
        <w:rPr>
          <w:szCs w:val="18"/>
        </w:rPr>
      </w:pPr>
    </w:p>
    <w:p w14:paraId="46BAF7E4" w14:textId="77777777" w:rsidR="00AB6753" w:rsidRPr="001D4735" w:rsidRDefault="00AB6753" w:rsidP="00AB6753">
      <w:pPr>
        <w:pStyle w:val="NotesTextnolinespacebulletpointnoindent"/>
        <w:tabs>
          <w:tab w:val="clear" w:pos="360"/>
          <w:tab w:val="clear" w:pos="992"/>
          <w:tab w:val="left" w:pos="720"/>
          <w:tab w:val="left" w:pos="990"/>
        </w:tabs>
        <w:ind w:left="284" w:hanging="284"/>
        <w:rPr>
          <w:rFonts w:eastAsiaTheme="minorHAnsi"/>
          <w:szCs w:val="18"/>
        </w:rPr>
      </w:pPr>
      <w:r w:rsidRPr="001D4735">
        <w:rPr>
          <w:i/>
          <w:szCs w:val="18"/>
        </w:rPr>
        <w:t>Public Governance, Performance and Accountability (Financial Reporting) Rule 2015</w:t>
      </w:r>
      <w:r w:rsidRPr="001D4735">
        <w:rPr>
          <w:szCs w:val="18"/>
        </w:rPr>
        <w:t>; and</w:t>
      </w:r>
    </w:p>
    <w:p w14:paraId="0DC4D254" w14:textId="77777777" w:rsidR="00AB6753" w:rsidRPr="001D4735" w:rsidRDefault="00AB6753" w:rsidP="00AB6753">
      <w:pPr>
        <w:pStyle w:val="NotesTextnolinespacebulletpointnoindent"/>
        <w:tabs>
          <w:tab w:val="clear" w:pos="360"/>
          <w:tab w:val="clear" w:pos="992"/>
          <w:tab w:val="left" w:pos="720"/>
          <w:tab w:val="left" w:pos="990"/>
        </w:tabs>
        <w:ind w:left="284" w:hanging="284"/>
        <w:rPr>
          <w:rFonts w:eastAsiaTheme="minorHAnsi"/>
          <w:szCs w:val="18"/>
        </w:rPr>
      </w:pPr>
      <w:r w:rsidRPr="001D4735">
        <w:rPr>
          <w:szCs w:val="18"/>
        </w:rPr>
        <w:t>Australian Accounting Standards and Interpretations – Reduced Disclosure Requirements issued by the</w:t>
      </w:r>
      <w:r w:rsidRPr="001D4735">
        <w:rPr>
          <w:rFonts w:eastAsiaTheme="minorHAnsi"/>
          <w:szCs w:val="18"/>
        </w:rPr>
        <w:t xml:space="preserve"> </w:t>
      </w:r>
      <w:r w:rsidRPr="001D4735">
        <w:rPr>
          <w:szCs w:val="18"/>
        </w:rPr>
        <w:t>Australian Accounting Standards Board that apply for the reporting period.</w:t>
      </w:r>
    </w:p>
    <w:p w14:paraId="52C59497" w14:textId="77777777" w:rsidR="00AB6753" w:rsidRDefault="00AB6753" w:rsidP="00AB6753">
      <w:pPr>
        <w:pStyle w:val="NotesTextnolinespace"/>
      </w:pPr>
    </w:p>
    <w:p w14:paraId="00E247EA" w14:textId="77777777" w:rsidR="00AB6753" w:rsidRDefault="00AB6753" w:rsidP="00AB6753">
      <w:pPr>
        <w:pStyle w:val="NotesTextnolinespace"/>
      </w:pPr>
      <w:r w:rsidRPr="00FE7011">
        <w:t>The financial statements have been prepared on an accrual basis and are in accordance with the historical cost convention, except for certain assets and liabilities that are reported at fair value. Except where stated, no allowance is made for the effect of changing prices on the results or the financial position. The financial statements are presented in Australian dollars.</w:t>
      </w:r>
    </w:p>
    <w:p w14:paraId="03ED946F" w14:textId="77777777" w:rsidR="00AB6753" w:rsidRPr="00FE7011" w:rsidRDefault="00AB6753" w:rsidP="00AB6753">
      <w:pPr>
        <w:pStyle w:val="NotesTextnolinespace"/>
      </w:pPr>
    </w:p>
    <w:p w14:paraId="4C64112F" w14:textId="77777777" w:rsidR="00AB6753" w:rsidRPr="00054A67" w:rsidRDefault="00AB6753" w:rsidP="00AB6753">
      <w:pPr>
        <w:pStyle w:val="SubHeadingLines"/>
        <w:rPr>
          <w:color w:val="215868" w:themeColor="accent5" w:themeShade="80"/>
        </w:rPr>
      </w:pPr>
      <w:r w:rsidRPr="00054A67">
        <w:rPr>
          <w:color w:val="215868" w:themeColor="accent5" w:themeShade="80"/>
        </w:rPr>
        <w:t xml:space="preserve">Comparative Figures Amendment for </w:t>
      </w:r>
      <w:r w:rsidRPr="00054A67">
        <w:rPr>
          <w:color w:val="215868" w:themeColor="accent5" w:themeShade="80"/>
        </w:rPr>
        <w:fldChar w:fldCharType="begin"/>
      </w:r>
      <w:r w:rsidRPr="00054A67">
        <w:rPr>
          <w:color w:val="215868" w:themeColor="accent5" w:themeShade="80"/>
        </w:rPr>
        <w:instrText xml:space="preserve"> DOCPROPERTY  prYear  \* MERGEFORMAT </w:instrText>
      </w:r>
      <w:r w:rsidRPr="00054A67">
        <w:rPr>
          <w:color w:val="215868" w:themeColor="accent5" w:themeShade="80"/>
        </w:rPr>
        <w:fldChar w:fldCharType="separate"/>
      </w:r>
      <w:r w:rsidRPr="00054A67">
        <w:rPr>
          <w:color w:val="215868" w:themeColor="accent5" w:themeShade="80"/>
        </w:rPr>
        <w:t>2019</w:t>
      </w:r>
      <w:r w:rsidRPr="00054A67">
        <w:rPr>
          <w:color w:val="215868" w:themeColor="accent5" w:themeShade="80"/>
        </w:rPr>
        <w:fldChar w:fldCharType="end"/>
      </w:r>
      <w:r w:rsidRPr="00054A67">
        <w:rPr>
          <w:color w:val="215868" w:themeColor="accent5" w:themeShade="80"/>
        </w:rPr>
        <w:t xml:space="preserve"> Financial Year</w:t>
      </w:r>
    </w:p>
    <w:p w14:paraId="35F41984" w14:textId="77777777" w:rsidR="00AB6753" w:rsidRDefault="00AB6753" w:rsidP="00AB6753">
      <w:pPr>
        <w:pStyle w:val="NotesTextnolinespace"/>
        <w:rPr>
          <w:szCs w:val="18"/>
        </w:rPr>
      </w:pPr>
      <w:r w:rsidRPr="001D4735">
        <w:rPr>
          <w:szCs w:val="18"/>
        </w:rPr>
        <w:t xml:space="preserve">Certain comparative amounts have been reclassified to conform with the </w:t>
      </w:r>
      <w:r w:rsidRPr="001D4735">
        <w:rPr>
          <w:szCs w:val="18"/>
        </w:rPr>
        <w:fldChar w:fldCharType="begin"/>
      </w:r>
      <w:r w:rsidRPr="001D4735">
        <w:rPr>
          <w:szCs w:val="18"/>
        </w:rPr>
        <w:instrText xml:space="preserve"> DOCPROPERTY  crYear  \* MERGEFORMAT </w:instrText>
      </w:r>
      <w:r w:rsidRPr="001D4735">
        <w:rPr>
          <w:szCs w:val="18"/>
        </w:rPr>
        <w:fldChar w:fldCharType="separate"/>
      </w:r>
      <w:r w:rsidRPr="001D4735">
        <w:rPr>
          <w:szCs w:val="18"/>
        </w:rPr>
        <w:t>2020</w:t>
      </w:r>
      <w:r w:rsidRPr="001D4735">
        <w:rPr>
          <w:szCs w:val="18"/>
        </w:rPr>
        <w:fldChar w:fldCharType="end"/>
      </w:r>
      <w:r w:rsidRPr="001D4735">
        <w:rPr>
          <w:szCs w:val="18"/>
        </w:rPr>
        <w:t xml:space="preserve"> financial year’s reporting presentation. Further details are provided in the relevant note disclosures.</w:t>
      </w:r>
    </w:p>
    <w:p w14:paraId="7083A495" w14:textId="77777777" w:rsidR="00AB6753" w:rsidRDefault="00AB6753" w:rsidP="00AB6753">
      <w:pPr>
        <w:pStyle w:val="NotesTextnolinespace"/>
        <w:rPr>
          <w:szCs w:val="18"/>
        </w:rPr>
      </w:pPr>
    </w:p>
    <w:p w14:paraId="054DDAD9" w14:textId="4ABA6E11" w:rsidR="00AB6753" w:rsidRPr="007F7AD0" w:rsidRDefault="00AB6753" w:rsidP="00AB6753">
      <w:pPr>
        <w:pStyle w:val="NotesTextnolinespace"/>
      </w:pPr>
      <w:r w:rsidRPr="007F7AD0">
        <w:t xml:space="preserve">In accordance with AASB 108 </w:t>
      </w:r>
      <w:r w:rsidRPr="00597E2C">
        <w:rPr>
          <w:i/>
        </w:rPr>
        <w:t xml:space="preserve">Accounting Policies, Changes in Accounting Estimates and </w:t>
      </w:r>
      <w:r>
        <w:rPr>
          <w:i/>
        </w:rPr>
        <w:t>E</w:t>
      </w:r>
      <w:r w:rsidRPr="00597E2C">
        <w:rPr>
          <w:i/>
        </w:rPr>
        <w:t>rrors</w:t>
      </w:r>
      <w:r w:rsidRPr="007F7AD0">
        <w:t>, paragraph 29, the department made a voluntary accounting policy change in relation to the presentation of the annual credit to the Social and Community Services Pay Equity Special Account which is disclosed separately from other special appropriations.</w:t>
      </w:r>
    </w:p>
    <w:p w14:paraId="16D16DE8" w14:textId="77777777" w:rsidR="00AB6753" w:rsidRPr="007F7AD0" w:rsidRDefault="00AB6753" w:rsidP="00AB6753">
      <w:pPr>
        <w:pStyle w:val="NotesTextnolinespace"/>
      </w:pPr>
    </w:p>
    <w:p w14:paraId="7B722429" w14:textId="77777777" w:rsidR="00AB6753" w:rsidRPr="007F7AD0" w:rsidRDefault="00AB6753" w:rsidP="00AB6753">
      <w:pPr>
        <w:pStyle w:val="NotesTextnolinespace"/>
      </w:pPr>
      <w:r w:rsidRPr="007F7AD0">
        <w:t>As the special account is increased by a legislated amount, this is consid</w:t>
      </w:r>
      <w:r>
        <w:t xml:space="preserve">ered to be a statutory credit. </w:t>
      </w:r>
      <w:r w:rsidRPr="007F7AD0">
        <w:t>The new presentation ensures the annual credit is clearly identifiable and traceable between the notes in which it is disclosed</w:t>
      </w:r>
      <w:r>
        <w:t>. T</w:t>
      </w:r>
      <w:r w:rsidRPr="007F7AD0">
        <w:t xml:space="preserve">he credit to the special account </w:t>
      </w:r>
      <w:r>
        <w:t xml:space="preserve">is </w:t>
      </w:r>
      <w:r w:rsidRPr="007F7AD0">
        <w:t>separately disclosed in the Administered Reconciliation Sche</w:t>
      </w:r>
      <w:r>
        <w:t>dule and Note 5.2 Administered Special A</w:t>
      </w:r>
      <w:r w:rsidRPr="007F7AD0">
        <w:t>ccounts, and no longer shown in Note 5.1</w:t>
      </w:r>
      <w:r>
        <w:t>C</w:t>
      </w:r>
      <w:r w:rsidRPr="007F7AD0">
        <w:t xml:space="preserve"> Special Appropriations. The change has been applied retrospectively with the 2019 financial year amended to reflect a consistent disclosure.</w:t>
      </w:r>
    </w:p>
    <w:p w14:paraId="64E232A7" w14:textId="77777777" w:rsidR="00AB6753" w:rsidRDefault="00AB6753" w:rsidP="00AB6753">
      <w:pPr>
        <w:pStyle w:val="NotesTextnolinespace"/>
        <w:rPr>
          <w:szCs w:val="18"/>
        </w:rPr>
      </w:pPr>
    </w:p>
    <w:p w14:paraId="54BE10F3" w14:textId="77777777" w:rsidR="00AB6753" w:rsidRPr="00054A67" w:rsidRDefault="00AB6753" w:rsidP="00AB6753">
      <w:pPr>
        <w:pStyle w:val="SubHeadingLines"/>
        <w:spacing w:before="0"/>
        <w:rPr>
          <w:color w:val="215868" w:themeColor="accent5" w:themeShade="80"/>
        </w:rPr>
      </w:pPr>
      <w:r w:rsidRPr="00054A67">
        <w:rPr>
          <w:color w:val="215868" w:themeColor="accent5" w:themeShade="80"/>
        </w:rPr>
        <w:t>Taxation</w:t>
      </w:r>
    </w:p>
    <w:p w14:paraId="1A9D23C7" w14:textId="77777777" w:rsidR="00AB6753" w:rsidRPr="001D4735" w:rsidRDefault="00AB6753" w:rsidP="00AB6753">
      <w:pPr>
        <w:pStyle w:val="NotesTextnolinespace"/>
        <w:rPr>
          <w:szCs w:val="18"/>
        </w:rPr>
      </w:pPr>
      <w:r w:rsidRPr="001D4735">
        <w:rPr>
          <w:szCs w:val="18"/>
        </w:rPr>
        <w:t xml:space="preserve">The department is exempt from all forms of taxation except Fringe Benefits Tax and GST. </w:t>
      </w:r>
    </w:p>
    <w:p w14:paraId="1972598B" w14:textId="77777777" w:rsidR="00AB6753" w:rsidRPr="001D4735" w:rsidRDefault="00AB6753" w:rsidP="00AB6753">
      <w:pPr>
        <w:pStyle w:val="NotesTextnolinespacebulletpointnoindent"/>
        <w:numPr>
          <w:ilvl w:val="0"/>
          <w:numId w:val="0"/>
        </w:numPr>
        <w:tabs>
          <w:tab w:val="left" w:pos="720"/>
        </w:tabs>
        <w:rPr>
          <w:bCs/>
          <w:szCs w:val="18"/>
        </w:rPr>
      </w:pPr>
    </w:p>
    <w:p w14:paraId="52E1F194" w14:textId="77777777" w:rsidR="00AB6753" w:rsidRPr="00054A67" w:rsidRDefault="00AB6753" w:rsidP="00AB6753">
      <w:pPr>
        <w:pStyle w:val="SubHeadingLines"/>
        <w:spacing w:before="0"/>
        <w:rPr>
          <w:color w:val="215868" w:themeColor="accent5" w:themeShade="80"/>
        </w:rPr>
      </w:pPr>
      <w:r w:rsidRPr="00054A67">
        <w:rPr>
          <w:color w:val="215868" w:themeColor="accent5" w:themeShade="80"/>
        </w:rPr>
        <w:t>Reporting of Administered Activities</w:t>
      </w:r>
    </w:p>
    <w:p w14:paraId="40FD8A91" w14:textId="77777777" w:rsidR="00AB6753" w:rsidRPr="004A7CA9" w:rsidRDefault="00AB6753" w:rsidP="00AB6753">
      <w:pPr>
        <w:pStyle w:val="GreyShadeTableBreaknon-Standard"/>
        <w:ind w:right="28"/>
        <w:rPr>
          <w:rFonts w:ascii="Arial" w:hAnsi="Arial" w:cs="Arial"/>
          <w:color w:val="000000"/>
          <w:sz w:val="18"/>
          <w:szCs w:val="18"/>
          <w14:textFill>
            <w14:solidFill>
              <w14:srgbClr w14:val="000000"/>
            </w14:solidFill>
          </w14:textFill>
        </w:rPr>
      </w:pPr>
      <w:r w:rsidRPr="004A7CA9">
        <w:rPr>
          <w:rFonts w:ascii="Arial" w:hAnsi="Arial" w:cs="Arial"/>
          <w:color w:val="000000"/>
          <w:sz w:val="18"/>
          <w:szCs w:val="18"/>
          <w14:textFill>
            <w14:solidFill>
              <w14:srgbClr w14:val="000000"/>
            </w14:solidFill>
          </w14:textFill>
        </w:rPr>
        <w:t>Administered revenues, expenses, assets, liabilities and cash flows are disclosed in the administered schedules and related notes. Except where otherwise stated, administered items are accounted for on the same basis and using the same policies as for departmental items, including the application of Australian Accounting Standards.</w:t>
      </w:r>
    </w:p>
    <w:p w14:paraId="59B9A14F" w14:textId="77777777" w:rsidR="00AB6753" w:rsidRPr="00357637" w:rsidRDefault="00AB6753" w:rsidP="00AB6753">
      <w:pPr>
        <w:spacing w:line="240" w:lineRule="auto"/>
        <w:rPr>
          <w:rFonts w:ascii="Arial Bold" w:hAnsi="Arial Bold" w:cs="Arial"/>
          <w:b/>
          <w:bCs/>
          <w:color w:val="00B2BA"/>
          <w:sz w:val="18"/>
          <w:szCs w:val="18"/>
          <w:lang w:eastAsia="en-AU"/>
        </w:rPr>
      </w:pPr>
      <w:r>
        <w:br w:type="page"/>
      </w:r>
    </w:p>
    <w:p w14:paraId="416E3C39" w14:textId="77777777" w:rsidR="00AB6753" w:rsidRDefault="00AB6753" w:rsidP="00AB6753">
      <w:pPr>
        <w:pStyle w:val="ContinuedSubHeading"/>
      </w:pPr>
      <w:r>
        <w:lastRenderedPageBreak/>
        <w:t>Overview (continued)</w:t>
      </w:r>
    </w:p>
    <w:p w14:paraId="3D093F75" w14:textId="77777777" w:rsidR="00AB6753" w:rsidRPr="00054A67" w:rsidRDefault="00AB6753" w:rsidP="00AB6753">
      <w:pPr>
        <w:pStyle w:val="SubHeadingLines"/>
        <w:rPr>
          <w:color w:val="215868" w:themeColor="accent5" w:themeShade="80"/>
        </w:rPr>
      </w:pPr>
      <w:r w:rsidRPr="00054A67">
        <w:rPr>
          <w:color w:val="215868" w:themeColor="accent5" w:themeShade="80"/>
        </w:rPr>
        <w:t>Income Compliance Program</w:t>
      </w:r>
    </w:p>
    <w:p w14:paraId="26D442CC" w14:textId="77777777" w:rsidR="00AB6753" w:rsidRPr="00402387" w:rsidRDefault="00AB6753" w:rsidP="00AB6753">
      <w:pPr>
        <w:spacing w:line="240" w:lineRule="auto"/>
        <w:rPr>
          <w:rFonts w:eastAsiaTheme="minorEastAsia" w:cs="Arial"/>
          <w:sz w:val="18"/>
          <w:szCs w:val="16"/>
          <w:lang w:eastAsia="en-AU"/>
        </w:rPr>
      </w:pPr>
      <w:r w:rsidRPr="00402387">
        <w:rPr>
          <w:rFonts w:eastAsiaTheme="minorEastAsia" w:cs="Arial"/>
          <w:sz w:val="18"/>
          <w:szCs w:val="16"/>
          <w:lang w:eastAsia="en-AU"/>
        </w:rPr>
        <w:t xml:space="preserve">The Income Compliance Program commenced operation on 1 July 2015. During the 2020 financial year, the Australian Government accepted that averaged employment income data from the Australian Taxation Office (ATO) was not, of itself, a sufficient basis at law on which to determine debts. The Government announced that debts determined as part of the Income Compliance Program that were wholly or partially determined on the basis of averaged employment income data from the ATO will not be recovered, and that payments made against such debts will be refunded. </w:t>
      </w:r>
    </w:p>
    <w:p w14:paraId="3813570A" w14:textId="77777777" w:rsidR="00AB6753" w:rsidRPr="00402387" w:rsidRDefault="00AB6753" w:rsidP="00AB6753">
      <w:pPr>
        <w:spacing w:line="240" w:lineRule="auto"/>
        <w:rPr>
          <w:rFonts w:eastAsiaTheme="minorEastAsia" w:cs="Arial"/>
          <w:sz w:val="18"/>
          <w:szCs w:val="16"/>
          <w:u w:val="single"/>
          <w:lang w:eastAsia="en-AU"/>
        </w:rPr>
      </w:pPr>
      <w:r w:rsidRPr="00402387">
        <w:rPr>
          <w:rFonts w:eastAsiaTheme="minorEastAsia" w:cs="Arial"/>
          <w:sz w:val="18"/>
          <w:szCs w:val="16"/>
          <w:u w:val="single"/>
          <w:lang w:eastAsia="en-AU"/>
        </w:rPr>
        <w:t>Personal Benefits Receivable and Personal Benefits Impairment Allowance</w:t>
      </w:r>
    </w:p>
    <w:p w14:paraId="58FEE6AF" w14:textId="77777777" w:rsidR="00AB6753" w:rsidRPr="00402387" w:rsidRDefault="00AB6753" w:rsidP="00AB6753">
      <w:pPr>
        <w:spacing w:line="240" w:lineRule="auto"/>
        <w:rPr>
          <w:rFonts w:eastAsiaTheme="minorEastAsia" w:cs="Arial"/>
          <w:sz w:val="18"/>
          <w:szCs w:val="16"/>
          <w:lang w:eastAsia="en-AU"/>
        </w:rPr>
      </w:pPr>
      <w:r w:rsidRPr="00402387">
        <w:rPr>
          <w:rFonts w:eastAsiaTheme="minorEastAsia" w:cs="Arial"/>
          <w:sz w:val="18"/>
          <w:szCs w:val="16"/>
          <w:lang w:eastAsia="en-AU"/>
        </w:rPr>
        <w:t xml:space="preserve">At 30 June 2020, debts of $1.013 billion had been identified to be zeroed and are recorded in the personal benefits receivable balance with an equal personal benefits impairment allowance (Note 4.1B). As the debts were already partly impaired, the 2020 impairment expense of $0.550 billion is lower than the full impairment allowance </w:t>
      </w:r>
      <w:r>
        <w:rPr>
          <w:rFonts w:eastAsiaTheme="minorEastAsia" w:cs="Arial"/>
          <w:sz w:val="18"/>
          <w:szCs w:val="16"/>
          <w:lang w:eastAsia="en-AU"/>
        </w:rPr>
        <w:br/>
      </w:r>
      <w:r w:rsidRPr="00402387">
        <w:rPr>
          <w:rFonts w:eastAsiaTheme="minorEastAsia" w:cs="Arial"/>
          <w:sz w:val="18"/>
          <w:szCs w:val="16"/>
          <w:lang w:eastAsia="en-AU"/>
        </w:rPr>
        <w:t xml:space="preserve">(Note 2.1D).  </w:t>
      </w:r>
    </w:p>
    <w:p w14:paraId="45E4AF6D" w14:textId="77777777" w:rsidR="00AB6753" w:rsidRPr="00402387" w:rsidRDefault="00AB6753" w:rsidP="00AB6753">
      <w:pPr>
        <w:spacing w:line="240" w:lineRule="auto"/>
        <w:rPr>
          <w:rFonts w:eastAsiaTheme="minorEastAsia" w:cs="Arial"/>
          <w:sz w:val="18"/>
          <w:szCs w:val="16"/>
          <w:u w:val="single"/>
          <w:lang w:eastAsia="en-AU"/>
        </w:rPr>
      </w:pPr>
      <w:r w:rsidRPr="00402387">
        <w:rPr>
          <w:rFonts w:eastAsiaTheme="minorEastAsia" w:cs="Arial"/>
          <w:sz w:val="18"/>
          <w:szCs w:val="16"/>
          <w:u w:val="single"/>
          <w:lang w:eastAsia="en-AU"/>
        </w:rPr>
        <w:t>Personal Benefits Payable</w:t>
      </w:r>
    </w:p>
    <w:p w14:paraId="712AB8FE" w14:textId="77777777" w:rsidR="00AB6753" w:rsidRPr="00402387" w:rsidRDefault="00AB6753" w:rsidP="00AB6753">
      <w:pPr>
        <w:spacing w:line="240" w:lineRule="auto"/>
        <w:rPr>
          <w:rFonts w:eastAsiaTheme="minorEastAsia" w:cs="Arial"/>
          <w:sz w:val="18"/>
          <w:szCs w:val="16"/>
          <w:lang w:eastAsia="en-AU"/>
        </w:rPr>
      </w:pPr>
      <w:r w:rsidRPr="00402387">
        <w:rPr>
          <w:rFonts w:eastAsiaTheme="minorEastAsia" w:cs="Arial"/>
          <w:sz w:val="18"/>
          <w:szCs w:val="16"/>
          <w:lang w:eastAsia="en-AU"/>
        </w:rPr>
        <w:t xml:space="preserve">The refund of repayments received on the debts of $0.742 billion is included in the personal benefits expense </w:t>
      </w:r>
      <w:r>
        <w:rPr>
          <w:rFonts w:eastAsiaTheme="minorEastAsia" w:cs="Arial"/>
          <w:sz w:val="18"/>
          <w:szCs w:val="16"/>
          <w:lang w:eastAsia="en-AU"/>
        </w:rPr>
        <w:br/>
      </w:r>
      <w:r w:rsidRPr="00402387">
        <w:rPr>
          <w:rFonts w:eastAsiaTheme="minorEastAsia" w:cs="Arial"/>
          <w:sz w:val="18"/>
          <w:szCs w:val="16"/>
          <w:lang w:eastAsia="en-AU"/>
        </w:rPr>
        <w:t xml:space="preserve">(Note 2.1C) and payable balance (Note 4.2A). This is higher than the initial estimate of $0.721 billion </w:t>
      </w:r>
      <w:r>
        <w:rPr>
          <w:rFonts w:eastAsiaTheme="minorEastAsia" w:cs="Arial"/>
          <w:sz w:val="18"/>
          <w:szCs w:val="16"/>
          <w:lang w:eastAsia="en-AU"/>
        </w:rPr>
        <w:t xml:space="preserve">through the </w:t>
      </w:r>
      <w:r w:rsidRPr="00402387">
        <w:rPr>
          <w:rFonts w:eastAsiaTheme="minorEastAsia" w:cs="Arial"/>
          <w:sz w:val="18"/>
          <w:szCs w:val="16"/>
          <w:lang w:eastAsia="en-AU"/>
        </w:rPr>
        <w:t>process</w:t>
      </w:r>
      <w:r>
        <w:rPr>
          <w:rFonts w:eastAsiaTheme="minorEastAsia" w:cs="Arial"/>
          <w:sz w:val="18"/>
          <w:szCs w:val="16"/>
          <w:lang w:eastAsia="en-AU"/>
        </w:rPr>
        <w:t>ing of</w:t>
      </w:r>
      <w:r w:rsidRPr="00402387">
        <w:rPr>
          <w:rFonts w:eastAsiaTheme="minorEastAsia" w:cs="Arial"/>
          <w:sz w:val="18"/>
          <w:szCs w:val="16"/>
          <w:lang w:eastAsia="en-AU"/>
        </w:rPr>
        <w:t xml:space="preserve"> final payments. Refer also to Events after the Reporting Period.</w:t>
      </w:r>
    </w:p>
    <w:p w14:paraId="0F07E4A8" w14:textId="77777777" w:rsidR="00AB6753" w:rsidRDefault="00AB6753" w:rsidP="00AB6753">
      <w:pPr>
        <w:spacing w:line="240" w:lineRule="auto"/>
        <w:rPr>
          <w:rFonts w:eastAsiaTheme="minorEastAsia" w:cs="Arial"/>
          <w:sz w:val="18"/>
          <w:szCs w:val="16"/>
          <w:u w:val="single"/>
          <w:lang w:eastAsia="en-AU"/>
        </w:rPr>
      </w:pPr>
      <w:r w:rsidRPr="00402387">
        <w:rPr>
          <w:rFonts w:eastAsiaTheme="minorEastAsia" w:cs="Arial"/>
          <w:sz w:val="18"/>
          <w:szCs w:val="16"/>
          <w:u w:val="single"/>
          <w:lang w:eastAsia="en-AU"/>
        </w:rPr>
        <w:t>Contingency</w:t>
      </w:r>
      <w:r>
        <w:rPr>
          <w:rFonts w:eastAsiaTheme="minorEastAsia" w:cs="Arial"/>
          <w:sz w:val="18"/>
          <w:szCs w:val="16"/>
          <w:u w:val="single"/>
          <w:lang w:eastAsia="en-AU"/>
        </w:rPr>
        <w:t xml:space="preserve"> for other income averaged debt</w:t>
      </w:r>
    </w:p>
    <w:p w14:paraId="3CDBC897" w14:textId="77777777" w:rsidR="00AB6753" w:rsidRPr="00402387" w:rsidRDefault="00AB6753" w:rsidP="00AB6753">
      <w:pPr>
        <w:spacing w:line="240" w:lineRule="auto"/>
        <w:rPr>
          <w:rFonts w:eastAsiaTheme="minorEastAsia" w:cs="Arial"/>
          <w:sz w:val="18"/>
          <w:szCs w:val="16"/>
          <w:lang w:eastAsia="en-AU"/>
        </w:rPr>
      </w:pPr>
      <w:r w:rsidRPr="00402387">
        <w:rPr>
          <w:rFonts w:eastAsiaTheme="minorEastAsia" w:cs="Arial"/>
          <w:sz w:val="18"/>
          <w:szCs w:val="16"/>
          <w:lang w:eastAsia="en-AU"/>
        </w:rPr>
        <w:t>The Australian Government has acknowledged that averaged employment income data from</w:t>
      </w:r>
      <w:r>
        <w:rPr>
          <w:rFonts w:eastAsiaTheme="minorEastAsia" w:cs="Arial"/>
          <w:sz w:val="18"/>
          <w:szCs w:val="16"/>
          <w:lang w:eastAsia="en-AU"/>
        </w:rPr>
        <w:t xml:space="preserve"> the ATO</w:t>
      </w:r>
      <w:r w:rsidRPr="00402387">
        <w:rPr>
          <w:rFonts w:eastAsiaTheme="minorEastAsia" w:cs="Arial"/>
          <w:sz w:val="18"/>
          <w:szCs w:val="16"/>
          <w:lang w:eastAsia="en-AU"/>
        </w:rPr>
        <w:t xml:space="preserve"> is not, of itself, a sufficient basis on which to determine a debt. Any debt determined on this basis before 1 July 2015 (the commencement of the Income Compliance Program) will be reviewed and reassessed on a case by case basis if requested by the affected individual. Refer to Note 7.1.</w:t>
      </w:r>
    </w:p>
    <w:p w14:paraId="56AB0E3D" w14:textId="77777777" w:rsidR="00AB6753" w:rsidRDefault="00AB6753" w:rsidP="00AB6753">
      <w:pPr>
        <w:spacing w:line="240" w:lineRule="auto"/>
        <w:rPr>
          <w:rFonts w:eastAsiaTheme="minorEastAsia" w:cs="Arial"/>
          <w:sz w:val="18"/>
          <w:szCs w:val="16"/>
          <w:lang w:eastAsia="en-AU"/>
        </w:rPr>
      </w:pPr>
      <w:r w:rsidRPr="00402387">
        <w:rPr>
          <w:rFonts w:eastAsiaTheme="minorEastAsia" w:cs="Arial"/>
          <w:sz w:val="18"/>
          <w:szCs w:val="16"/>
          <w:lang w:eastAsia="en-AU"/>
        </w:rPr>
        <w:t>The 30 June 2020 closing balance is summarised below:</w:t>
      </w:r>
    </w:p>
    <w:tbl>
      <w:tblPr>
        <w:tblW w:w="0" w:type="auto"/>
        <w:tblInd w:w="108" w:type="dxa"/>
        <w:tblCellMar>
          <w:left w:w="0" w:type="dxa"/>
          <w:right w:w="0" w:type="dxa"/>
        </w:tblCellMar>
        <w:tblLook w:val="04A0" w:firstRow="1" w:lastRow="0" w:firstColumn="1" w:lastColumn="0" w:noHBand="0" w:noVBand="1"/>
        <w:tblCaption w:val="30 June 2020 closing balance"/>
        <w:tblDescription w:val="Summary of the 30 June 2020 closing balance."/>
      </w:tblPr>
      <w:tblGrid>
        <w:gridCol w:w="5271"/>
        <w:gridCol w:w="1336"/>
      </w:tblGrid>
      <w:tr w:rsidR="00AB6753" w:rsidRPr="00402387" w14:paraId="26F471B9" w14:textId="77777777" w:rsidTr="002D1EA4">
        <w:tc>
          <w:tcPr>
            <w:tcW w:w="5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4E1BA3" w14:textId="77777777" w:rsidR="00AB6753" w:rsidRPr="00870BDF" w:rsidRDefault="00AB6753" w:rsidP="002D1EA4">
            <w:pPr>
              <w:spacing w:after="0"/>
              <w:rPr>
                <w:rFonts w:cs="Arial"/>
                <w:b/>
                <w:sz w:val="18"/>
                <w:szCs w:val="24"/>
              </w:rPr>
            </w:pPr>
            <w:r w:rsidRPr="00870BDF">
              <w:rPr>
                <w:rFonts w:cs="Arial"/>
                <w:b/>
                <w:sz w:val="18"/>
                <w:szCs w:val="24"/>
              </w:rPr>
              <w:t>Financial Statement</w:t>
            </w:r>
          </w:p>
        </w:tc>
        <w:tc>
          <w:tcPr>
            <w:tcW w:w="13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87487A" w14:textId="77777777" w:rsidR="00AB6753" w:rsidRPr="00870BDF" w:rsidRDefault="00AB6753" w:rsidP="002D1EA4">
            <w:pPr>
              <w:spacing w:after="0"/>
              <w:jc w:val="right"/>
              <w:rPr>
                <w:rFonts w:cs="Arial"/>
                <w:b/>
                <w:sz w:val="18"/>
                <w:szCs w:val="24"/>
              </w:rPr>
            </w:pPr>
            <w:r w:rsidRPr="00870BDF">
              <w:rPr>
                <w:rFonts w:cs="Arial"/>
                <w:b/>
                <w:sz w:val="18"/>
                <w:szCs w:val="24"/>
              </w:rPr>
              <w:t>$’000</w:t>
            </w:r>
          </w:p>
        </w:tc>
      </w:tr>
      <w:tr w:rsidR="00AB6753" w:rsidRPr="00402387" w14:paraId="3A598B5A" w14:textId="77777777" w:rsidTr="002D1EA4">
        <w:tc>
          <w:tcPr>
            <w:tcW w:w="5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BB945C" w14:textId="77777777" w:rsidR="00AB6753" w:rsidRPr="00402387" w:rsidRDefault="00AB6753" w:rsidP="002D1EA4">
            <w:pPr>
              <w:spacing w:after="0"/>
              <w:rPr>
                <w:rFonts w:cs="Arial"/>
                <w:sz w:val="18"/>
                <w:szCs w:val="24"/>
              </w:rPr>
            </w:pPr>
            <w:r w:rsidRPr="00402387">
              <w:rPr>
                <w:rFonts w:cs="Arial"/>
                <w:sz w:val="18"/>
                <w:szCs w:val="24"/>
              </w:rPr>
              <w:t>Note 4.1B: Personal Benefits Receivable</w:t>
            </w:r>
          </w:p>
        </w:tc>
        <w:tc>
          <w:tcPr>
            <w:tcW w:w="1336" w:type="dxa"/>
            <w:tcBorders>
              <w:top w:val="nil"/>
              <w:left w:val="nil"/>
              <w:bottom w:val="single" w:sz="8" w:space="0" w:color="auto"/>
              <w:right w:val="single" w:sz="8" w:space="0" w:color="auto"/>
            </w:tcBorders>
            <w:tcMar>
              <w:top w:w="0" w:type="dxa"/>
              <w:left w:w="108" w:type="dxa"/>
              <w:bottom w:w="0" w:type="dxa"/>
              <w:right w:w="108" w:type="dxa"/>
            </w:tcMar>
            <w:hideMark/>
          </w:tcPr>
          <w:p w14:paraId="59375234" w14:textId="77777777" w:rsidR="00AB6753" w:rsidRPr="00402387" w:rsidRDefault="00AB6753" w:rsidP="002D1EA4">
            <w:pPr>
              <w:spacing w:after="0"/>
              <w:jc w:val="right"/>
              <w:rPr>
                <w:rFonts w:cs="Arial"/>
                <w:sz w:val="18"/>
                <w:szCs w:val="24"/>
              </w:rPr>
            </w:pPr>
            <w:r w:rsidRPr="00402387">
              <w:rPr>
                <w:rFonts w:cs="Arial"/>
                <w:sz w:val="18"/>
                <w:szCs w:val="24"/>
              </w:rPr>
              <w:t>1,012,888</w:t>
            </w:r>
          </w:p>
        </w:tc>
      </w:tr>
      <w:tr w:rsidR="00AB6753" w:rsidRPr="00402387" w14:paraId="4C6F2AB5" w14:textId="77777777" w:rsidTr="002D1EA4">
        <w:tc>
          <w:tcPr>
            <w:tcW w:w="5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43DC35" w14:textId="77777777" w:rsidR="00AB6753" w:rsidRPr="00402387" w:rsidRDefault="00AB6753" w:rsidP="002D1EA4">
            <w:pPr>
              <w:spacing w:after="0"/>
              <w:rPr>
                <w:rFonts w:cs="Arial"/>
                <w:sz w:val="18"/>
                <w:szCs w:val="24"/>
              </w:rPr>
            </w:pPr>
            <w:r w:rsidRPr="00402387">
              <w:rPr>
                <w:rFonts w:cs="Arial"/>
                <w:sz w:val="18"/>
                <w:szCs w:val="24"/>
              </w:rPr>
              <w:t>Note 4.1B: Personal Benefits Impairment Loss Allowance</w:t>
            </w:r>
          </w:p>
        </w:tc>
        <w:tc>
          <w:tcPr>
            <w:tcW w:w="1336" w:type="dxa"/>
            <w:tcBorders>
              <w:top w:val="nil"/>
              <w:left w:val="nil"/>
              <w:bottom w:val="single" w:sz="8" w:space="0" w:color="auto"/>
              <w:right w:val="single" w:sz="8" w:space="0" w:color="auto"/>
            </w:tcBorders>
            <w:tcMar>
              <w:top w:w="0" w:type="dxa"/>
              <w:left w:w="108" w:type="dxa"/>
              <w:bottom w:w="0" w:type="dxa"/>
              <w:right w:w="108" w:type="dxa"/>
            </w:tcMar>
            <w:hideMark/>
          </w:tcPr>
          <w:p w14:paraId="7E638EEE" w14:textId="77777777" w:rsidR="00AB6753" w:rsidRPr="00402387" w:rsidRDefault="00AB6753" w:rsidP="002D1EA4">
            <w:pPr>
              <w:spacing w:after="0"/>
              <w:jc w:val="right"/>
              <w:rPr>
                <w:rFonts w:cs="Arial"/>
                <w:sz w:val="18"/>
                <w:szCs w:val="24"/>
              </w:rPr>
            </w:pPr>
            <w:r w:rsidRPr="00402387">
              <w:rPr>
                <w:rFonts w:cs="Arial"/>
                <w:sz w:val="18"/>
                <w:szCs w:val="24"/>
              </w:rPr>
              <w:t>(1,012,888)</w:t>
            </w:r>
          </w:p>
        </w:tc>
      </w:tr>
      <w:tr w:rsidR="00AB6753" w:rsidRPr="00402387" w14:paraId="1931574B" w14:textId="77777777" w:rsidTr="002D1EA4">
        <w:tc>
          <w:tcPr>
            <w:tcW w:w="5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C65178" w14:textId="77777777" w:rsidR="00AB6753" w:rsidRPr="00402387" w:rsidRDefault="00AB6753" w:rsidP="002D1EA4">
            <w:pPr>
              <w:spacing w:after="0"/>
              <w:rPr>
                <w:rFonts w:cs="Arial"/>
                <w:sz w:val="18"/>
                <w:szCs w:val="24"/>
              </w:rPr>
            </w:pPr>
            <w:r w:rsidRPr="00402387">
              <w:rPr>
                <w:rFonts w:cs="Arial"/>
                <w:sz w:val="18"/>
                <w:szCs w:val="24"/>
              </w:rPr>
              <w:t>Note 2.1D: Write down and impairment of Other Assets</w:t>
            </w:r>
          </w:p>
        </w:tc>
        <w:tc>
          <w:tcPr>
            <w:tcW w:w="1336" w:type="dxa"/>
            <w:tcBorders>
              <w:top w:val="nil"/>
              <w:left w:val="nil"/>
              <w:bottom w:val="single" w:sz="8" w:space="0" w:color="auto"/>
              <w:right w:val="single" w:sz="8" w:space="0" w:color="auto"/>
            </w:tcBorders>
            <w:tcMar>
              <w:top w:w="0" w:type="dxa"/>
              <w:left w:w="108" w:type="dxa"/>
              <w:bottom w:w="0" w:type="dxa"/>
              <w:right w:w="108" w:type="dxa"/>
            </w:tcMar>
            <w:hideMark/>
          </w:tcPr>
          <w:p w14:paraId="56306220" w14:textId="77777777" w:rsidR="00AB6753" w:rsidRPr="00402387" w:rsidRDefault="00AB6753" w:rsidP="002D1EA4">
            <w:pPr>
              <w:spacing w:after="0"/>
              <w:jc w:val="right"/>
              <w:rPr>
                <w:rFonts w:cs="Arial"/>
                <w:sz w:val="18"/>
                <w:szCs w:val="24"/>
              </w:rPr>
            </w:pPr>
            <w:r w:rsidRPr="00402387">
              <w:rPr>
                <w:rFonts w:cs="Arial"/>
                <w:sz w:val="18"/>
                <w:szCs w:val="24"/>
              </w:rPr>
              <w:t>550,000</w:t>
            </w:r>
          </w:p>
        </w:tc>
      </w:tr>
      <w:tr w:rsidR="00AB6753" w:rsidRPr="00402387" w14:paraId="49991167" w14:textId="77777777" w:rsidTr="002D1EA4">
        <w:tc>
          <w:tcPr>
            <w:tcW w:w="527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EEA0C8" w14:textId="77777777" w:rsidR="00AB6753" w:rsidRPr="00402387" w:rsidRDefault="00AB6753" w:rsidP="002D1EA4">
            <w:pPr>
              <w:spacing w:after="0"/>
              <w:rPr>
                <w:rFonts w:cs="Arial"/>
                <w:sz w:val="18"/>
                <w:szCs w:val="24"/>
              </w:rPr>
            </w:pPr>
          </w:p>
        </w:tc>
        <w:tc>
          <w:tcPr>
            <w:tcW w:w="1336" w:type="dxa"/>
            <w:tcBorders>
              <w:top w:val="nil"/>
              <w:left w:val="nil"/>
              <w:bottom w:val="single" w:sz="8" w:space="0" w:color="auto"/>
              <w:right w:val="single" w:sz="8" w:space="0" w:color="auto"/>
            </w:tcBorders>
            <w:tcMar>
              <w:top w:w="0" w:type="dxa"/>
              <w:left w:w="108" w:type="dxa"/>
              <w:bottom w:w="0" w:type="dxa"/>
              <w:right w:w="108" w:type="dxa"/>
            </w:tcMar>
          </w:tcPr>
          <w:p w14:paraId="219AC58A" w14:textId="77777777" w:rsidR="00AB6753" w:rsidRPr="00402387" w:rsidRDefault="00AB6753" w:rsidP="002D1EA4">
            <w:pPr>
              <w:spacing w:after="0"/>
              <w:jc w:val="right"/>
              <w:rPr>
                <w:rFonts w:cs="Arial"/>
                <w:sz w:val="18"/>
                <w:szCs w:val="24"/>
              </w:rPr>
            </w:pPr>
          </w:p>
        </w:tc>
      </w:tr>
      <w:tr w:rsidR="00AB6753" w:rsidRPr="00402387" w14:paraId="55CC9BFC" w14:textId="77777777" w:rsidTr="002D1EA4">
        <w:tc>
          <w:tcPr>
            <w:tcW w:w="5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3D8732" w14:textId="77777777" w:rsidR="00AB6753" w:rsidRPr="00402387" w:rsidRDefault="00AB6753" w:rsidP="002D1EA4">
            <w:pPr>
              <w:spacing w:after="0"/>
              <w:rPr>
                <w:rFonts w:cs="Arial"/>
                <w:sz w:val="18"/>
                <w:szCs w:val="24"/>
              </w:rPr>
            </w:pPr>
            <w:r w:rsidRPr="00402387">
              <w:rPr>
                <w:rFonts w:cs="Arial"/>
                <w:sz w:val="18"/>
                <w:szCs w:val="24"/>
              </w:rPr>
              <w:t>Note 2.1C: Personal Benefits Expense</w:t>
            </w:r>
          </w:p>
        </w:tc>
        <w:tc>
          <w:tcPr>
            <w:tcW w:w="1336" w:type="dxa"/>
            <w:tcBorders>
              <w:top w:val="nil"/>
              <w:left w:val="nil"/>
              <w:bottom w:val="single" w:sz="8" w:space="0" w:color="auto"/>
              <w:right w:val="single" w:sz="8" w:space="0" w:color="auto"/>
            </w:tcBorders>
            <w:tcMar>
              <w:top w:w="0" w:type="dxa"/>
              <w:left w:w="108" w:type="dxa"/>
              <w:bottom w:w="0" w:type="dxa"/>
              <w:right w:w="108" w:type="dxa"/>
            </w:tcMar>
            <w:hideMark/>
          </w:tcPr>
          <w:p w14:paraId="2378366C" w14:textId="77777777" w:rsidR="00AB6753" w:rsidRPr="00402387" w:rsidRDefault="00AB6753" w:rsidP="002D1EA4">
            <w:pPr>
              <w:spacing w:after="0"/>
              <w:jc w:val="right"/>
              <w:rPr>
                <w:rFonts w:cs="Arial"/>
                <w:sz w:val="18"/>
                <w:szCs w:val="24"/>
              </w:rPr>
            </w:pPr>
            <w:r w:rsidRPr="00402387">
              <w:rPr>
                <w:rFonts w:cs="Arial"/>
                <w:sz w:val="18"/>
                <w:szCs w:val="24"/>
              </w:rPr>
              <w:t>741,588</w:t>
            </w:r>
          </w:p>
        </w:tc>
      </w:tr>
      <w:tr w:rsidR="00AB6753" w:rsidRPr="00402387" w14:paraId="163DF8F7" w14:textId="77777777" w:rsidTr="002D1EA4">
        <w:tc>
          <w:tcPr>
            <w:tcW w:w="52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88E8B7" w14:textId="77777777" w:rsidR="00AB6753" w:rsidRPr="00402387" w:rsidRDefault="00AB6753" w:rsidP="002D1EA4">
            <w:pPr>
              <w:spacing w:after="0"/>
              <w:rPr>
                <w:rFonts w:cs="Arial"/>
                <w:sz w:val="18"/>
                <w:szCs w:val="24"/>
              </w:rPr>
            </w:pPr>
            <w:r w:rsidRPr="00402387">
              <w:rPr>
                <w:rFonts w:cs="Arial"/>
                <w:sz w:val="18"/>
                <w:szCs w:val="24"/>
              </w:rPr>
              <w:t>Note 4.2A: Personal Benefits Payable</w:t>
            </w:r>
          </w:p>
        </w:tc>
        <w:tc>
          <w:tcPr>
            <w:tcW w:w="1336" w:type="dxa"/>
            <w:tcBorders>
              <w:top w:val="nil"/>
              <w:left w:val="nil"/>
              <w:bottom w:val="single" w:sz="8" w:space="0" w:color="auto"/>
              <w:right w:val="single" w:sz="8" w:space="0" w:color="auto"/>
            </w:tcBorders>
            <w:tcMar>
              <w:top w:w="0" w:type="dxa"/>
              <w:left w:w="108" w:type="dxa"/>
              <w:bottom w:w="0" w:type="dxa"/>
              <w:right w:w="108" w:type="dxa"/>
            </w:tcMar>
            <w:hideMark/>
          </w:tcPr>
          <w:p w14:paraId="105489FA" w14:textId="77777777" w:rsidR="00AB6753" w:rsidRPr="00402387" w:rsidRDefault="00AB6753" w:rsidP="002D1EA4">
            <w:pPr>
              <w:spacing w:after="0"/>
              <w:jc w:val="right"/>
              <w:rPr>
                <w:rFonts w:cs="Arial"/>
                <w:sz w:val="18"/>
                <w:szCs w:val="24"/>
              </w:rPr>
            </w:pPr>
            <w:r w:rsidRPr="00402387">
              <w:rPr>
                <w:rFonts w:cs="Arial"/>
                <w:sz w:val="18"/>
                <w:szCs w:val="24"/>
              </w:rPr>
              <w:t>741,588</w:t>
            </w:r>
          </w:p>
        </w:tc>
      </w:tr>
    </w:tbl>
    <w:p w14:paraId="6284D799" w14:textId="77777777" w:rsidR="00AB6753" w:rsidRDefault="00AB6753" w:rsidP="00AB6753">
      <w:pPr>
        <w:spacing w:line="240" w:lineRule="auto"/>
      </w:pPr>
    </w:p>
    <w:p w14:paraId="1D4FE772" w14:textId="77777777" w:rsidR="00AB6753" w:rsidRPr="00054A67" w:rsidRDefault="00AB6753" w:rsidP="00AB6753">
      <w:pPr>
        <w:pStyle w:val="SubHeadingLines"/>
        <w:rPr>
          <w:color w:val="215868" w:themeColor="accent5" w:themeShade="80"/>
        </w:rPr>
      </w:pPr>
      <w:r w:rsidRPr="00054A67">
        <w:rPr>
          <w:color w:val="215868" w:themeColor="accent5" w:themeShade="80"/>
        </w:rPr>
        <w:t xml:space="preserve">Impacts from the COVID-19 pandemic </w:t>
      </w:r>
    </w:p>
    <w:p w14:paraId="1D6EB23E" w14:textId="77777777" w:rsidR="00AB6753" w:rsidRDefault="00AB6753" w:rsidP="00AB6753">
      <w:pPr>
        <w:pStyle w:val="NotesTextnolinespace"/>
      </w:pPr>
      <w:r w:rsidRPr="00B476AC">
        <w:t xml:space="preserve">On 11 March 2020, the World Health Organisation declared a global pandemic as a result of the outbreak and spread of </w:t>
      </w:r>
      <w:r>
        <w:t>COVID-19</w:t>
      </w:r>
      <w:r w:rsidRPr="00B476AC">
        <w:t xml:space="preserve">. As a consequence, the Australian Government introduced a number of measures to support people who are materially affected by either the </w:t>
      </w:r>
      <w:r>
        <w:t>COVID-19</w:t>
      </w:r>
      <w:r w:rsidRPr="00B476AC">
        <w:t xml:space="preserve"> disease itself or are affected financially by restrictions put in place to minimise the transmission and impact of </w:t>
      </w:r>
      <w:r>
        <w:t>COVID-19</w:t>
      </w:r>
      <w:r w:rsidRPr="00B476AC">
        <w:t xml:space="preserve">. Measures administered by the department include the </w:t>
      </w:r>
      <w:r>
        <w:t>coronavirus</w:t>
      </w:r>
      <w:r w:rsidRPr="00B476AC">
        <w:t xml:space="preserve"> supplement, the </w:t>
      </w:r>
      <w:r>
        <w:t xml:space="preserve">first of two </w:t>
      </w:r>
      <w:r w:rsidRPr="00B476AC">
        <w:t>economic support payment</w:t>
      </w:r>
      <w:r>
        <w:t>s</w:t>
      </w:r>
      <w:r w:rsidRPr="00B476AC">
        <w:t xml:space="preserve"> and a range of related initiatives, increasing the level of personal benefits paid during </w:t>
      </w:r>
      <w:r>
        <w:t>the 2020 financial year.</w:t>
      </w:r>
    </w:p>
    <w:p w14:paraId="3AB8C659" w14:textId="77777777" w:rsidR="00AB6753" w:rsidRDefault="00AB6753" w:rsidP="00AB6753">
      <w:pPr>
        <w:pStyle w:val="NotesTextnolinespace"/>
        <w:rPr>
          <w:u w:val="single"/>
        </w:rPr>
      </w:pPr>
    </w:p>
    <w:p w14:paraId="5D9E054B" w14:textId="77777777" w:rsidR="00AB6753" w:rsidRDefault="00AB6753" w:rsidP="00AB6753">
      <w:pPr>
        <w:pStyle w:val="NotesTextnolinespace"/>
        <w:rPr>
          <w:u w:val="single"/>
        </w:rPr>
      </w:pPr>
      <w:r>
        <w:rPr>
          <w:u w:val="single"/>
        </w:rPr>
        <w:t>Risk and Assurance</w:t>
      </w:r>
    </w:p>
    <w:p w14:paraId="123DFA98" w14:textId="77777777" w:rsidR="00AB6753" w:rsidRPr="00E929DA" w:rsidRDefault="00AB6753" w:rsidP="00AB6753">
      <w:pPr>
        <w:pStyle w:val="NotesTextnolinespace"/>
        <w:rPr>
          <w:u w:val="single"/>
        </w:rPr>
      </w:pPr>
    </w:p>
    <w:p w14:paraId="6EC365B8" w14:textId="77777777" w:rsidR="00AB6753" w:rsidRPr="00B476AC" w:rsidRDefault="00AB6753" w:rsidP="00AB6753">
      <w:pPr>
        <w:pStyle w:val="NotesTextnolinespace"/>
        <w:ind w:right="100"/>
        <w:rPr>
          <w:szCs w:val="18"/>
        </w:rPr>
      </w:pPr>
      <w:r w:rsidRPr="00B476AC">
        <w:rPr>
          <w:szCs w:val="18"/>
        </w:rPr>
        <w:t xml:space="preserve">To accelerate the speed at which income support was provided, a range of normal payment eligibility requirements were either expanded, relaxed or waived. To further support the rapid implementation of </w:t>
      </w:r>
      <w:r>
        <w:rPr>
          <w:szCs w:val="18"/>
        </w:rPr>
        <w:t>the COVID-19</w:t>
      </w:r>
      <w:r w:rsidRPr="00B476AC">
        <w:rPr>
          <w:szCs w:val="18"/>
        </w:rPr>
        <w:t xml:space="preserve"> payments, </w:t>
      </w:r>
      <w:r>
        <w:rPr>
          <w:szCs w:val="18"/>
        </w:rPr>
        <w:t>streamlined application measures were implemented</w:t>
      </w:r>
      <w:r w:rsidRPr="00B476AC">
        <w:rPr>
          <w:szCs w:val="18"/>
        </w:rPr>
        <w:t xml:space="preserve">. In addition, to cope with the additional demand, several thousand staff were brought in to assist </w:t>
      </w:r>
      <w:r>
        <w:rPr>
          <w:szCs w:val="18"/>
        </w:rPr>
        <w:t xml:space="preserve">Services Australia </w:t>
      </w:r>
      <w:r w:rsidRPr="00B476AC">
        <w:rPr>
          <w:szCs w:val="18"/>
        </w:rPr>
        <w:t xml:space="preserve">with processing tasks arising from the unprecedented demand. </w:t>
      </w:r>
    </w:p>
    <w:p w14:paraId="59222F24" w14:textId="77777777" w:rsidR="00AB6753" w:rsidRDefault="00AB6753" w:rsidP="00AB6753">
      <w:pPr>
        <w:spacing w:line="240" w:lineRule="auto"/>
        <w:rPr>
          <w:rFonts w:eastAsiaTheme="minorEastAsia" w:cs="Arial"/>
          <w:sz w:val="18"/>
          <w:szCs w:val="18"/>
          <w:lang w:eastAsia="en-AU"/>
        </w:rPr>
      </w:pPr>
      <w:r>
        <w:rPr>
          <w:szCs w:val="18"/>
        </w:rPr>
        <w:br w:type="page"/>
      </w:r>
    </w:p>
    <w:p w14:paraId="0F77561E" w14:textId="77777777" w:rsidR="00AB6753" w:rsidRDefault="00AB6753" w:rsidP="00AB6753">
      <w:pPr>
        <w:pStyle w:val="ContinuedSubHeading"/>
      </w:pPr>
      <w:r>
        <w:lastRenderedPageBreak/>
        <w:t>Overview (continued)</w:t>
      </w:r>
    </w:p>
    <w:p w14:paraId="702F6ECC" w14:textId="77777777" w:rsidR="00AB6753" w:rsidRPr="00B476AC" w:rsidRDefault="00AB6753" w:rsidP="00AB6753">
      <w:pPr>
        <w:pStyle w:val="NotesTextnolinespace"/>
        <w:ind w:right="100"/>
        <w:rPr>
          <w:szCs w:val="18"/>
        </w:rPr>
      </w:pPr>
    </w:p>
    <w:p w14:paraId="66BA8743" w14:textId="77777777" w:rsidR="00AB6753" w:rsidRDefault="00AB6753" w:rsidP="00AB6753">
      <w:pPr>
        <w:pStyle w:val="NotesTextnolinespace"/>
        <w:ind w:right="100"/>
        <w:rPr>
          <w:szCs w:val="18"/>
        </w:rPr>
      </w:pPr>
      <w:r w:rsidRPr="00B476AC">
        <w:rPr>
          <w:szCs w:val="18"/>
        </w:rPr>
        <w:t>While these actions have been essential to ensure timely delivery of support</w:t>
      </w:r>
      <w:r>
        <w:rPr>
          <w:szCs w:val="18"/>
        </w:rPr>
        <w:t xml:space="preserve"> by Services Australia</w:t>
      </w:r>
      <w:r w:rsidRPr="00B476AC">
        <w:rPr>
          <w:szCs w:val="18"/>
        </w:rPr>
        <w:t xml:space="preserve">, there is potentially increased risk around the validity and accuracy of payments made through the introduction of streamlined and abridged processes as reflected in administered personal benefit expenses (Note 2.1C). To mitigate this risk, any material changes to the assurance control framework for administered payments as a result of </w:t>
      </w:r>
      <w:r>
        <w:rPr>
          <w:szCs w:val="18"/>
        </w:rPr>
        <w:t>COVID-19</w:t>
      </w:r>
      <w:r w:rsidRPr="00B476AC">
        <w:rPr>
          <w:szCs w:val="18"/>
        </w:rPr>
        <w:t xml:space="preserve"> have been subject to appropriate governance through change management and readiness assessments. Assurance activity is conducted by Services Australia to minimise the likelihood of processing and system errors and includes having an appropriate risk management plan for each program, assessing the sufficiency of controls in place and that they are operating effectively and that payment testing is undertaken</w:t>
      </w:r>
      <w:r>
        <w:rPr>
          <w:szCs w:val="18"/>
        </w:rPr>
        <w:t>.</w:t>
      </w:r>
    </w:p>
    <w:p w14:paraId="1CE3F89F" w14:textId="77777777" w:rsidR="00AB6753" w:rsidRPr="00B476AC" w:rsidRDefault="00AB6753" w:rsidP="00AB6753">
      <w:pPr>
        <w:pStyle w:val="NotesTextnolinespace"/>
        <w:ind w:right="100"/>
        <w:rPr>
          <w:szCs w:val="18"/>
        </w:rPr>
      </w:pPr>
    </w:p>
    <w:p w14:paraId="70C5B916" w14:textId="77777777" w:rsidR="00AB6753" w:rsidRPr="004E5CAB" w:rsidRDefault="00AB6753" w:rsidP="00AB6753">
      <w:pPr>
        <w:pStyle w:val="NotesTextnolinespace"/>
        <w:rPr>
          <w:u w:val="single"/>
        </w:rPr>
      </w:pPr>
      <w:r>
        <w:rPr>
          <w:u w:val="single"/>
        </w:rPr>
        <w:t>Estimation Uncertainty</w:t>
      </w:r>
    </w:p>
    <w:p w14:paraId="6C5A6C36" w14:textId="77777777" w:rsidR="00AB6753" w:rsidRPr="004E5CAB" w:rsidRDefault="00AB6753" w:rsidP="00AB6753">
      <w:pPr>
        <w:pStyle w:val="NotesTextnolinespace"/>
      </w:pPr>
    </w:p>
    <w:p w14:paraId="63F6511F" w14:textId="77777777" w:rsidR="00AB6753" w:rsidRDefault="00AB6753" w:rsidP="00AB6753">
      <w:pPr>
        <w:pStyle w:val="NotesTextnolinespace"/>
      </w:pPr>
      <w:r>
        <w:t>The outbreak of COVID-19, and associated health responses, has significantly impacted economic conditions. Given the speed of change, and the uncertainty over timeframes and long-term consequences of COVID-19, it is difficult to estimate the full financial implications.</w:t>
      </w:r>
    </w:p>
    <w:p w14:paraId="7B92F5B0" w14:textId="77777777" w:rsidR="00AB6753" w:rsidRDefault="00AB6753" w:rsidP="00AB6753">
      <w:pPr>
        <w:pStyle w:val="NotesTextnolinespace"/>
      </w:pPr>
    </w:p>
    <w:p w14:paraId="4FE86290" w14:textId="77777777" w:rsidR="00AB6753" w:rsidRDefault="00AB6753" w:rsidP="00AB6753">
      <w:pPr>
        <w:pStyle w:val="NotesTextnolinespace"/>
      </w:pPr>
      <w:r>
        <w:t>The department has assessed the impact of COVID-19 on the departmental balance sheet with particular focus on valuation of its property leases, employee provisions and receivable balances and has determined that there is no material impact.</w:t>
      </w:r>
    </w:p>
    <w:p w14:paraId="211A1172" w14:textId="77777777" w:rsidR="00AB6753" w:rsidRPr="001F2D86" w:rsidRDefault="00AB6753" w:rsidP="00AB6753">
      <w:pPr>
        <w:pStyle w:val="NotesTextnolinespace"/>
      </w:pPr>
    </w:p>
    <w:p w14:paraId="001C01CF" w14:textId="77777777" w:rsidR="00AB6753" w:rsidRPr="001F2D86" w:rsidRDefault="00AB6753" w:rsidP="00AB6753">
      <w:pPr>
        <w:pStyle w:val="GreyShadeTableBreaknon-Standard"/>
        <w:ind w:right="28"/>
        <w:rPr>
          <w:rFonts w:ascii="Arial" w:hAnsi="Arial" w:cs="Arial"/>
          <w:color w:val="000000"/>
          <w:sz w:val="18"/>
          <w:szCs w:val="18"/>
          <w14:textFill>
            <w14:solidFill>
              <w14:srgbClr w14:val="000000"/>
            </w14:solidFill>
          </w14:textFill>
        </w:rPr>
      </w:pPr>
      <w:r w:rsidRPr="001F2D86">
        <w:rPr>
          <w:rFonts w:ascii="Arial" w:hAnsi="Arial" w:cs="Arial"/>
          <w:color w:val="000000"/>
          <w:sz w:val="18"/>
          <w:szCs w:val="18"/>
          <w14:textFill>
            <w14:solidFill>
              <w14:srgbClr w14:val="000000"/>
            </w14:solidFill>
          </w14:textFill>
        </w:rPr>
        <w:t xml:space="preserve">The department has assessed that COVID-19 has impacted the administered receivables (Note 4.1B) and administered provisions (Note 4.3A). The department uses actuarial assessments to determine the value of receivables and provisions, and the impact of COVID-19 has been factored into those valuations. There are a number of sources of uncertainty that have impacted on the estimation of receivables including, but not limited to, the pausing of debt recovery activity until 3 October 2020 as a policy response to COVID-19, and the challenging repayment environment resulting from the economic conditions caused by COVID-19. </w:t>
      </w:r>
    </w:p>
    <w:p w14:paraId="4D7E08F0" w14:textId="77777777" w:rsidR="00AB6753" w:rsidRPr="001F2D86" w:rsidRDefault="00AB6753" w:rsidP="00AB6753">
      <w:pPr>
        <w:pStyle w:val="GreyShadeTableBreaknon-Standard"/>
        <w:ind w:right="28"/>
        <w:rPr>
          <w:rFonts w:ascii="Arial" w:hAnsi="Arial" w:cs="Arial"/>
          <w:color w:val="000000"/>
          <w:sz w:val="18"/>
          <w:szCs w:val="18"/>
          <w14:textFill>
            <w14:solidFill>
              <w14:srgbClr w14:val="000000"/>
            </w14:solidFill>
          </w14:textFill>
        </w:rPr>
      </w:pPr>
    </w:p>
    <w:p w14:paraId="7729B581" w14:textId="77777777" w:rsidR="00AB6753" w:rsidRPr="001F2D86" w:rsidRDefault="00AB6753" w:rsidP="00AB6753">
      <w:pPr>
        <w:pStyle w:val="GreyShadeTableBreaknon-Standard"/>
        <w:ind w:right="28"/>
        <w:rPr>
          <w:rFonts w:ascii="Arial" w:hAnsi="Arial" w:cs="Arial"/>
          <w:color w:val="000000"/>
          <w:sz w:val="18"/>
          <w:szCs w:val="18"/>
          <w14:textFill>
            <w14:solidFill>
              <w14:srgbClr w14:val="000000"/>
            </w14:solidFill>
          </w14:textFill>
        </w:rPr>
      </w:pPr>
      <w:r w:rsidRPr="001F2D86">
        <w:rPr>
          <w:rFonts w:ascii="Arial" w:hAnsi="Arial" w:cs="Arial"/>
          <w:color w:val="000000"/>
          <w:sz w:val="18"/>
          <w:szCs w:val="18"/>
          <w14:textFill>
            <w14:solidFill>
              <w14:srgbClr w14:val="000000"/>
            </w14:solidFill>
          </w14:textFill>
        </w:rPr>
        <w:t>Some sources of uncertainty are expected to resolve themselves in the 2021 financial year as compliance and other measures are reintroduced however given the economic and fiscal outlook remains uncertain it is likely other sources of uncertainty will remain beyond the 2021 reporting period.</w:t>
      </w:r>
    </w:p>
    <w:p w14:paraId="162507AF" w14:textId="77777777" w:rsidR="00AB6753" w:rsidRPr="00417E3D" w:rsidRDefault="00AB6753" w:rsidP="00AB6753">
      <w:pPr>
        <w:pStyle w:val="NotesTextnolinespace"/>
      </w:pPr>
    </w:p>
    <w:p w14:paraId="25A474C1" w14:textId="77777777" w:rsidR="00AB6753" w:rsidRPr="00054A67" w:rsidRDefault="00AB6753" w:rsidP="00AB6753">
      <w:pPr>
        <w:pStyle w:val="SubHeadingLines"/>
        <w:rPr>
          <w:color w:val="215868" w:themeColor="accent5" w:themeShade="80"/>
        </w:rPr>
      </w:pPr>
      <w:r w:rsidRPr="00054A67">
        <w:rPr>
          <w:color w:val="215868" w:themeColor="accent5" w:themeShade="80"/>
        </w:rPr>
        <w:t>Events After the Reporting Period</w:t>
      </w:r>
    </w:p>
    <w:p w14:paraId="311FE216" w14:textId="77777777" w:rsidR="00AB6753" w:rsidRPr="00177DC4" w:rsidRDefault="00AB6753" w:rsidP="00AB6753">
      <w:pPr>
        <w:pStyle w:val="NotesTextnolinespace"/>
        <w:rPr>
          <w:u w:val="single"/>
        </w:rPr>
      </w:pPr>
      <w:r w:rsidRPr="00177DC4">
        <w:rPr>
          <w:u w:val="single"/>
        </w:rPr>
        <w:t>Information Linkages and Capacity Building Program</w:t>
      </w:r>
    </w:p>
    <w:p w14:paraId="2F3134E5" w14:textId="77777777" w:rsidR="00AB6753" w:rsidRDefault="00AB6753" w:rsidP="00AB6753">
      <w:pPr>
        <w:pStyle w:val="NotesTextnolinespace"/>
      </w:pPr>
    </w:p>
    <w:p w14:paraId="0DC6F2F0" w14:textId="77777777" w:rsidR="00AB6753" w:rsidRPr="00177DC4" w:rsidRDefault="00AB6753" w:rsidP="00AB6753">
      <w:pPr>
        <w:pStyle w:val="NotesTextnolinespace"/>
      </w:pPr>
      <w:r w:rsidRPr="00177DC4">
        <w:t xml:space="preserve">During the 2021 financial year, the administrative </w:t>
      </w:r>
      <w:r>
        <w:t xml:space="preserve">and policy </w:t>
      </w:r>
      <w:r w:rsidRPr="00177DC4">
        <w:t>responsibility of the Information Linkages and Capacity Building Program will be transitioned from the National Disability Insurance Agency to the department.</w:t>
      </w:r>
    </w:p>
    <w:p w14:paraId="24628814" w14:textId="77777777" w:rsidR="00AB6753" w:rsidRDefault="00AB6753" w:rsidP="00AB6753">
      <w:pPr>
        <w:pStyle w:val="NotesTextnolinespace"/>
        <w:jc w:val="center"/>
      </w:pPr>
    </w:p>
    <w:p w14:paraId="730B2527" w14:textId="77777777" w:rsidR="00AB6753" w:rsidRPr="00177DC4" w:rsidRDefault="00AB6753" w:rsidP="00AB6753">
      <w:pPr>
        <w:pStyle w:val="NotesTextnolinespace"/>
        <w:rPr>
          <w:u w:val="single"/>
        </w:rPr>
      </w:pPr>
      <w:r w:rsidRPr="00177DC4">
        <w:rPr>
          <w:u w:val="single"/>
        </w:rPr>
        <w:t>Economic Stimulus</w:t>
      </w:r>
    </w:p>
    <w:p w14:paraId="0D9D4AB9" w14:textId="77777777" w:rsidR="00AB6753" w:rsidRDefault="00AB6753" w:rsidP="00AB6753">
      <w:pPr>
        <w:pStyle w:val="NotesTextnolinespace"/>
      </w:pPr>
    </w:p>
    <w:p w14:paraId="664850EE" w14:textId="77777777" w:rsidR="00AB6753" w:rsidRDefault="00AB6753" w:rsidP="00AB6753">
      <w:pPr>
        <w:pStyle w:val="NotesTextnolinespace"/>
      </w:pPr>
      <w:r>
        <w:t>The department paid the Australian Government’s second household support payment in the order of $4 billion during July 2020 and continues to provide income support for individuals in response to the COVID-19 pandemic. The Australian Government’s economic stimulus payments will continue to evolve in line with the impacts of COVID-19.</w:t>
      </w:r>
    </w:p>
    <w:p w14:paraId="7F559D5D" w14:textId="77777777" w:rsidR="00AB6753" w:rsidRDefault="00AB6753" w:rsidP="00AB6753">
      <w:pPr>
        <w:pStyle w:val="NotesTextnolinespace"/>
      </w:pPr>
    </w:p>
    <w:p w14:paraId="1282F000" w14:textId="77777777" w:rsidR="00AB6753" w:rsidRDefault="00AB6753" w:rsidP="00AB6753">
      <w:pPr>
        <w:pStyle w:val="NotesTextnolinespace"/>
      </w:pPr>
      <w:r>
        <w:rPr>
          <w:u w:val="single"/>
        </w:rPr>
        <w:t>Income Compliance Program</w:t>
      </w:r>
    </w:p>
    <w:p w14:paraId="443DE32D" w14:textId="77777777" w:rsidR="00AB6753" w:rsidRDefault="00AB6753" w:rsidP="00AB6753">
      <w:pPr>
        <w:pStyle w:val="NotesTextnolinespace"/>
      </w:pPr>
      <w:r>
        <w:t xml:space="preserve">All debts raised through income averaging in the Income Compliance program were fully impaired at 30 June </w:t>
      </w:r>
      <w:r w:rsidRPr="00E929DA">
        <w:t>2020</w:t>
      </w:r>
      <w:r>
        <w:t>. After balance date, a substituted administrative decision was or will be made that the debt values should be reduced to zero.</w:t>
      </w:r>
    </w:p>
    <w:p w14:paraId="15411183" w14:textId="77777777" w:rsidR="00AB6753" w:rsidRDefault="00AB6753" w:rsidP="00AB6753">
      <w:pPr>
        <w:spacing w:line="240" w:lineRule="auto"/>
        <w:rPr>
          <w:rFonts w:eastAsiaTheme="minorEastAsia" w:cs="Arial"/>
          <w:sz w:val="18"/>
          <w:szCs w:val="16"/>
          <w:lang w:eastAsia="en-AU"/>
        </w:rPr>
      </w:pPr>
      <w:r>
        <w:br w:type="page"/>
      </w:r>
    </w:p>
    <w:p w14:paraId="7C499219" w14:textId="77777777" w:rsidR="00AB6753" w:rsidRDefault="00AB6753" w:rsidP="00AB6753">
      <w:pPr>
        <w:pStyle w:val="NotesTextnolinespace"/>
      </w:pPr>
    </w:p>
    <w:p w14:paraId="2D76BC2C" w14:textId="77777777" w:rsidR="00AB6753" w:rsidRDefault="00AB6753" w:rsidP="00AB6753">
      <w:pPr>
        <w:pStyle w:val="ContinuedSubHeading"/>
      </w:pPr>
      <w:r>
        <w:t>Overview (continued)</w:t>
      </w:r>
    </w:p>
    <w:p w14:paraId="3F1DBDD3" w14:textId="77777777" w:rsidR="00AB6753" w:rsidRPr="00054A67" w:rsidRDefault="00AB6753" w:rsidP="00AB6753">
      <w:pPr>
        <w:pStyle w:val="SubHeadingLines"/>
        <w:rPr>
          <w:color w:val="215868" w:themeColor="accent5" w:themeShade="80"/>
        </w:rPr>
      </w:pPr>
      <w:r w:rsidRPr="00054A67">
        <w:rPr>
          <w:color w:val="215868" w:themeColor="accent5" w:themeShade="80"/>
        </w:rPr>
        <w:t xml:space="preserve">New and Future Australian Accounting Standards </w:t>
      </w:r>
    </w:p>
    <w:p w14:paraId="73081952" w14:textId="77777777" w:rsidR="00AB6753" w:rsidRDefault="00AB6753" w:rsidP="00AB6753">
      <w:pPr>
        <w:pStyle w:val="NotesTextnolinespace"/>
        <w:rPr>
          <w:i/>
          <w:u w:val="single"/>
        </w:rPr>
      </w:pPr>
      <w:r w:rsidRPr="008A43D7">
        <w:rPr>
          <w:u w:val="single"/>
        </w:rPr>
        <w:t xml:space="preserve">AASB 15 </w:t>
      </w:r>
      <w:r w:rsidRPr="008A43D7">
        <w:rPr>
          <w:i/>
          <w:u w:val="single"/>
        </w:rPr>
        <w:t>Revenue from Contracts with Customers</w:t>
      </w:r>
      <w:r w:rsidRPr="008A43D7">
        <w:rPr>
          <w:u w:val="single"/>
        </w:rPr>
        <w:t xml:space="preserve"> and AASB 1058 </w:t>
      </w:r>
      <w:r w:rsidRPr="008A43D7">
        <w:rPr>
          <w:i/>
          <w:u w:val="single"/>
        </w:rPr>
        <w:t>Income of Not-For-Profit Entities</w:t>
      </w:r>
    </w:p>
    <w:p w14:paraId="18C05E8B" w14:textId="77777777" w:rsidR="00AB6753" w:rsidRPr="008A43D7" w:rsidRDefault="00AB6753" w:rsidP="00AB6753">
      <w:pPr>
        <w:pStyle w:val="NotesTextnolinespace"/>
        <w:rPr>
          <w:szCs w:val="18"/>
          <w:u w:val="single"/>
        </w:rPr>
      </w:pPr>
    </w:p>
    <w:p w14:paraId="26F7C8CC" w14:textId="77777777" w:rsidR="00AB6753" w:rsidRPr="00232D0D" w:rsidRDefault="00AB6753" w:rsidP="00AB6753">
      <w:pPr>
        <w:pStyle w:val="NotesTextnolinespace"/>
        <w:ind w:right="100"/>
        <w:rPr>
          <w:szCs w:val="18"/>
        </w:rPr>
      </w:pPr>
      <w:r>
        <w:rPr>
          <w:szCs w:val="18"/>
        </w:rPr>
        <w:t xml:space="preserve">AASB 15 </w:t>
      </w:r>
      <w:r w:rsidRPr="00232D0D">
        <w:rPr>
          <w:szCs w:val="18"/>
        </w:rPr>
        <w:t>and AASB 1058 became effective 1 July 2019.</w:t>
      </w:r>
      <w:r>
        <w:rPr>
          <w:szCs w:val="18"/>
        </w:rPr>
        <w:t xml:space="preserve"> </w:t>
      </w:r>
      <w:r w:rsidRPr="00232D0D">
        <w:rPr>
          <w:szCs w:val="18"/>
        </w:rPr>
        <w:t>AASB 15 establishes a comprehensive framework for determining whether</w:t>
      </w:r>
      <w:r>
        <w:rPr>
          <w:szCs w:val="18"/>
        </w:rPr>
        <w:t>;</w:t>
      </w:r>
      <w:r w:rsidRPr="00232D0D">
        <w:rPr>
          <w:szCs w:val="18"/>
        </w:rPr>
        <w:t xml:space="preserve"> how much</w:t>
      </w:r>
      <w:r>
        <w:rPr>
          <w:szCs w:val="18"/>
        </w:rPr>
        <w:t>;</w:t>
      </w:r>
      <w:r w:rsidRPr="00232D0D">
        <w:rPr>
          <w:szCs w:val="18"/>
        </w:rPr>
        <w:t xml:space="preserve"> and when revenue is recognised. It replaces existing revenue recognition guidance, including AASB 118 </w:t>
      </w:r>
      <w:r w:rsidRPr="00232D0D">
        <w:rPr>
          <w:i/>
          <w:szCs w:val="18"/>
        </w:rPr>
        <w:t>Revenue</w:t>
      </w:r>
      <w:r w:rsidRPr="00232D0D">
        <w:rPr>
          <w:szCs w:val="18"/>
        </w:rPr>
        <w:t xml:space="preserve">, AASB 111 </w:t>
      </w:r>
      <w:r w:rsidRPr="00232D0D">
        <w:rPr>
          <w:i/>
          <w:szCs w:val="18"/>
        </w:rPr>
        <w:t>Construction Contracts</w:t>
      </w:r>
      <w:r w:rsidRPr="00232D0D">
        <w:rPr>
          <w:szCs w:val="18"/>
        </w:rPr>
        <w:t xml:space="preserve"> and Interpretation 13 </w:t>
      </w:r>
      <w:r w:rsidRPr="00252F36">
        <w:rPr>
          <w:i/>
          <w:szCs w:val="18"/>
        </w:rPr>
        <w:t>Customer Loyalty Programmes</w:t>
      </w:r>
      <w:r w:rsidRPr="00232D0D">
        <w:rPr>
          <w:szCs w:val="18"/>
        </w:rPr>
        <w:t>. The core principle of AASB 15 is that an entity recognises revenue to depict the transfer of promised goods or services to customers in an amount that reflects the consideration to which the entity expects to be entitled in exchange for those goods or services.</w:t>
      </w:r>
    </w:p>
    <w:p w14:paraId="0ADF0CD5" w14:textId="77777777" w:rsidR="00AB6753" w:rsidRPr="00232D0D" w:rsidRDefault="00AB6753" w:rsidP="00AB6753">
      <w:pPr>
        <w:pStyle w:val="NotesTextnolinespace"/>
        <w:ind w:right="100"/>
        <w:rPr>
          <w:szCs w:val="18"/>
        </w:rPr>
      </w:pPr>
    </w:p>
    <w:p w14:paraId="29FC0F3D" w14:textId="77777777" w:rsidR="00AB6753" w:rsidRPr="00232D0D" w:rsidRDefault="00AB6753" w:rsidP="00AB6753">
      <w:pPr>
        <w:pStyle w:val="NotesTextnolinespace"/>
        <w:ind w:right="100"/>
        <w:rPr>
          <w:szCs w:val="18"/>
        </w:rPr>
      </w:pPr>
      <w:r w:rsidRPr="00232D0D">
        <w:rPr>
          <w:szCs w:val="18"/>
        </w:rPr>
        <w:t>AASB 1058 is relevant in circumstances</w:t>
      </w:r>
      <w:r>
        <w:rPr>
          <w:szCs w:val="18"/>
        </w:rPr>
        <w:t xml:space="preserve"> where AASB 15 does not apply. </w:t>
      </w:r>
      <w:r w:rsidRPr="00232D0D">
        <w:rPr>
          <w:szCs w:val="18"/>
        </w:rPr>
        <w:t xml:space="preserve">AASB 1058 replaces most of the </w:t>
      </w:r>
      <w:r>
        <w:rPr>
          <w:szCs w:val="18"/>
        </w:rPr>
        <w:br/>
      </w:r>
      <w:r w:rsidRPr="00232D0D">
        <w:rPr>
          <w:szCs w:val="18"/>
        </w:rPr>
        <w:t xml:space="preserve">not-for-profit (NFP) provisions of AASB 1004 </w:t>
      </w:r>
      <w:r w:rsidRPr="00A1150E">
        <w:rPr>
          <w:i/>
          <w:szCs w:val="18"/>
        </w:rPr>
        <w:t>Contributions</w:t>
      </w:r>
      <w:r w:rsidRPr="00232D0D">
        <w:rPr>
          <w:szCs w:val="18"/>
        </w:rPr>
        <w:t xml:space="preserve"> and applies to transactions where the consideration to acquire an asset is significantly less than fair value principally to enable the entity to further its objectives, and where volunteer services are received. </w:t>
      </w:r>
    </w:p>
    <w:p w14:paraId="45E1520E" w14:textId="77777777" w:rsidR="00AB6753" w:rsidRDefault="00AB6753" w:rsidP="00AB6753">
      <w:pPr>
        <w:pStyle w:val="NotesTextnolinespace"/>
        <w:ind w:right="100"/>
        <w:rPr>
          <w:szCs w:val="18"/>
        </w:rPr>
      </w:pPr>
    </w:p>
    <w:p w14:paraId="7015B415" w14:textId="77777777" w:rsidR="00AB6753" w:rsidRDefault="00AB6753" w:rsidP="00AB6753">
      <w:pPr>
        <w:pStyle w:val="NotesTextnolinespace"/>
        <w:ind w:right="100"/>
        <w:rPr>
          <w:szCs w:val="18"/>
        </w:rPr>
      </w:pPr>
      <w:r w:rsidRPr="00BC2754">
        <w:t xml:space="preserve">There are </w:t>
      </w:r>
      <w:r>
        <w:t>no material impacts to the financial statements</w:t>
      </w:r>
      <w:r w:rsidRPr="00BC2754">
        <w:t xml:space="preserve"> as a result of the </w:t>
      </w:r>
      <w:r>
        <w:t>application</w:t>
      </w:r>
      <w:r w:rsidRPr="00BC2754">
        <w:t xml:space="preserve"> of AASB 15 and </w:t>
      </w:r>
      <w:r>
        <w:br/>
      </w:r>
      <w:r w:rsidRPr="00BC2754">
        <w:t>AASB 1058</w:t>
      </w:r>
      <w:r>
        <w:t>.</w:t>
      </w:r>
    </w:p>
    <w:p w14:paraId="0BAA7109" w14:textId="77777777" w:rsidR="00AB6753" w:rsidRDefault="00AB6753" w:rsidP="00AB6753">
      <w:pPr>
        <w:pStyle w:val="NotesTextnolinespace"/>
        <w:ind w:right="100"/>
        <w:rPr>
          <w:szCs w:val="18"/>
        </w:rPr>
      </w:pPr>
    </w:p>
    <w:p w14:paraId="24BF0CDC" w14:textId="77777777" w:rsidR="00AB6753" w:rsidRDefault="00AB6753" w:rsidP="00AB6753">
      <w:pPr>
        <w:pStyle w:val="NotesTextnolinespace"/>
        <w:ind w:right="100"/>
        <w:rPr>
          <w:i/>
          <w:szCs w:val="18"/>
          <w:u w:val="single"/>
        </w:rPr>
      </w:pPr>
      <w:r w:rsidRPr="008A43D7">
        <w:rPr>
          <w:szCs w:val="18"/>
          <w:u w:val="single"/>
        </w:rPr>
        <w:t xml:space="preserve">AASB 16 </w:t>
      </w:r>
      <w:r w:rsidRPr="008A43D7">
        <w:rPr>
          <w:i/>
          <w:szCs w:val="18"/>
          <w:u w:val="single"/>
        </w:rPr>
        <w:t>Leases</w:t>
      </w:r>
    </w:p>
    <w:p w14:paraId="505D1C4D" w14:textId="77777777" w:rsidR="00AB6753" w:rsidRPr="008A43D7" w:rsidRDefault="00AB6753" w:rsidP="00AB6753">
      <w:pPr>
        <w:pStyle w:val="NotesTextnolinespace"/>
        <w:ind w:right="100"/>
        <w:rPr>
          <w:szCs w:val="18"/>
          <w:u w:val="single"/>
        </w:rPr>
      </w:pPr>
    </w:p>
    <w:p w14:paraId="1F13A1A6" w14:textId="77777777" w:rsidR="00AB6753" w:rsidRPr="000F2212" w:rsidRDefault="00AB6753" w:rsidP="00AB6753">
      <w:pPr>
        <w:pStyle w:val="NotesTextnolinespace"/>
        <w:ind w:right="100"/>
        <w:rPr>
          <w:szCs w:val="18"/>
        </w:rPr>
      </w:pPr>
      <w:r w:rsidRPr="000F2212">
        <w:rPr>
          <w:szCs w:val="18"/>
        </w:rPr>
        <w:t>AASB 16 be</w:t>
      </w:r>
      <w:r>
        <w:rPr>
          <w:szCs w:val="18"/>
        </w:rPr>
        <w:t xml:space="preserve">came effective on 1 July 2019. </w:t>
      </w:r>
      <w:r w:rsidRPr="000F2212">
        <w:rPr>
          <w:szCs w:val="18"/>
        </w:rPr>
        <w:t xml:space="preserve">This new standard has replaced AASB 117 </w:t>
      </w:r>
      <w:r w:rsidRPr="000F2212">
        <w:rPr>
          <w:i/>
          <w:szCs w:val="18"/>
        </w:rPr>
        <w:t>Leases</w:t>
      </w:r>
      <w:r w:rsidRPr="000F2212">
        <w:rPr>
          <w:szCs w:val="18"/>
        </w:rPr>
        <w:t xml:space="preserve">, </w:t>
      </w:r>
      <w:r w:rsidRPr="00252F36">
        <w:rPr>
          <w:szCs w:val="18"/>
        </w:rPr>
        <w:t xml:space="preserve">Interpretation 4 </w:t>
      </w:r>
      <w:r w:rsidRPr="00252F36">
        <w:rPr>
          <w:i/>
          <w:szCs w:val="18"/>
        </w:rPr>
        <w:t>Determining whether an Arrangement contains a Lease</w:t>
      </w:r>
      <w:r w:rsidRPr="000F2212">
        <w:rPr>
          <w:szCs w:val="18"/>
        </w:rPr>
        <w:t>, Inte</w:t>
      </w:r>
      <w:r>
        <w:rPr>
          <w:szCs w:val="18"/>
        </w:rPr>
        <w:t xml:space="preserve">rpretation 115 </w:t>
      </w:r>
      <w:r w:rsidRPr="00252F36">
        <w:rPr>
          <w:i/>
          <w:szCs w:val="18"/>
        </w:rPr>
        <w:t>Operating Leases – Incentives</w:t>
      </w:r>
      <w:r w:rsidRPr="00252F36">
        <w:rPr>
          <w:szCs w:val="18"/>
        </w:rPr>
        <w:t xml:space="preserve"> and Interpretation</w:t>
      </w:r>
      <w:r w:rsidRPr="000F2212">
        <w:rPr>
          <w:szCs w:val="18"/>
        </w:rPr>
        <w:t xml:space="preserve"> 127 </w:t>
      </w:r>
      <w:r w:rsidRPr="00252F36">
        <w:rPr>
          <w:i/>
          <w:szCs w:val="18"/>
        </w:rPr>
        <w:t>Evaluating the Substance of Transactions Involving the Legal Form of a Lea</w:t>
      </w:r>
      <w:r w:rsidRPr="000F2212">
        <w:rPr>
          <w:szCs w:val="18"/>
        </w:rPr>
        <w:t xml:space="preserve">se. </w:t>
      </w:r>
    </w:p>
    <w:p w14:paraId="4F2D1174" w14:textId="77777777" w:rsidR="00AB6753" w:rsidRPr="000F2212" w:rsidRDefault="00AB6753" w:rsidP="00AB6753">
      <w:pPr>
        <w:pStyle w:val="NotesTextnolinespace"/>
        <w:ind w:right="100"/>
        <w:rPr>
          <w:szCs w:val="18"/>
        </w:rPr>
      </w:pPr>
    </w:p>
    <w:p w14:paraId="0F03792B" w14:textId="77777777" w:rsidR="00AB6753" w:rsidRPr="000F2212" w:rsidRDefault="00AB6753" w:rsidP="00AB6753">
      <w:pPr>
        <w:pStyle w:val="NotesTextnolinespace"/>
        <w:ind w:right="100"/>
        <w:rPr>
          <w:szCs w:val="18"/>
        </w:rPr>
      </w:pPr>
      <w:r w:rsidRPr="000F2212">
        <w:rPr>
          <w:szCs w:val="18"/>
        </w:rPr>
        <w:t>AASB 16 provides a single lessee accounting model, requiring the recognition of assets and liabilities for all leases, together with options to exclude leases where the lease term is 12 months or less, or where the underlying asset is of low value. The details of the changes in accounting policies, transitional provisions and adjustments are disclosed below and in the relevant notes to the financial statements.</w:t>
      </w:r>
    </w:p>
    <w:p w14:paraId="134C1AED" w14:textId="77777777" w:rsidR="00AB6753" w:rsidRDefault="00AB6753" w:rsidP="00AB6753">
      <w:pPr>
        <w:pStyle w:val="NotesTextnolinespace"/>
        <w:rPr>
          <w:u w:val="single"/>
        </w:rPr>
      </w:pPr>
    </w:p>
    <w:p w14:paraId="69B1A154" w14:textId="77777777" w:rsidR="00AB6753" w:rsidRDefault="00AB6753" w:rsidP="00AB6753">
      <w:pPr>
        <w:pStyle w:val="NotesTextnolinespace"/>
        <w:rPr>
          <w:i/>
          <w:u w:val="single"/>
        </w:rPr>
      </w:pPr>
      <w:r w:rsidRPr="001D5DE4">
        <w:rPr>
          <w:u w:val="single"/>
        </w:rPr>
        <w:t>Application of AASB 16</w:t>
      </w:r>
      <w:r w:rsidRPr="008A43D7">
        <w:rPr>
          <w:i/>
          <w:u w:val="single"/>
        </w:rPr>
        <w:t xml:space="preserve"> Leases</w:t>
      </w:r>
    </w:p>
    <w:p w14:paraId="5E870C4C" w14:textId="77777777" w:rsidR="00AB6753" w:rsidRPr="008A43D7" w:rsidRDefault="00AB6753" w:rsidP="00AB6753">
      <w:pPr>
        <w:pStyle w:val="NotesTextnolinespace"/>
        <w:rPr>
          <w:i/>
          <w:u w:val="single"/>
        </w:rPr>
      </w:pPr>
    </w:p>
    <w:p w14:paraId="7DEFB851" w14:textId="06464DD7" w:rsidR="00AB6753" w:rsidRPr="00D11580" w:rsidRDefault="00AB6753" w:rsidP="00AB6753">
      <w:pPr>
        <w:pStyle w:val="NotesTextnolinespace"/>
      </w:pPr>
      <w:r w:rsidRPr="00D11580">
        <w:t>The department</w:t>
      </w:r>
      <w:r>
        <w:t xml:space="preserve"> has</w:t>
      </w:r>
      <w:r w:rsidRPr="00D11580">
        <w:t xml:space="preserve"> adopted AASB 16 using the modified retrospective approach, under which the cumulative effect of initial application is recognised in retained earnings at 1 July 2019. Accordingly, the comparative information presented for 2019 is not restated </w:t>
      </w:r>
      <w:r>
        <w:t>and</w:t>
      </w:r>
      <w:r w:rsidRPr="00D11580">
        <w:t xml:space="preserve"> it is presented as previously reported under AASB 117 and related interpretations.</w:t>
      </w:r>
    </w:p>
    <w:p w14:paraId="707EED2A" w14:textId="77777777" w:rsidR="00AB6753" w:rsidRPr="00D11580" w:rsidRDefault="00AB6753" w:rsidP="00AB6753">
      <w:pPr>
        <w:pStyle w:val="NotesTextnolinespace"/>
      </w:pPr>
    </w:p>
    <w:p w14:paraId="505D5A45" w14:textId="77777777" w:rsidR="00AB6753" w:rsidRPr="00D11580" w:rsidRDefault="00AB6753" w:rsidP="00AB6753">
      <w:pPr>
        <w:pStyle w:val="NotesTextnolinespace"/>
      </w:pPr>
      <w:r w:rsidRPr="00BB600A">
        <w:t xml:space="preserve">The department elected to apply the practical expedient on transition to base its </w:t>
      </w:r>
      <w:r>
        <w:t>lease classification</w:t>
      </w:r>
      <w:r w:rsidRPr="00BB600A">
        <w:t xml:space="preserve"> o</w:t>
      </w:r>
      <w:r>
        <w:t>n</w:t>
      </w:r>
      <w:r w:rsidRPr="00BB600A">
        <w:t xml:space="preserve"> whether or not a contract was, or contains, a lease on its determination under AASB 117</w:t>
      </w:r>
      <w:r>
        <w:t>. That is, c</w:t>
      </w:r>
      <w:r w:rsidRPr="00D11580">
        <w:t>ontracts entered into before the transition date that were not identified as leases under AASB 117</w:t>
      </w:r>
      <w:r>
        <w:t>,</w:t>
      </w:r>
      <w:r w:rsidRPr="00D11580">
        <w:t xml:space="preserve"> were not reassessed. The definition of a lease under AASB 16 was applied only to contracts entered into</w:t>
      </w:r>
      <w:r>
        <w:t>,</w:t>
      </w:r>
      <w:r w:rsidRPr="00D11580">
        <w:t xml:space="preserve"> or changed on or after</w:t>
      </w:r>
      <w:r>
        <w:t>,</w:t>
      </w:r>
      <w:r w:rsidRPr="00D11580">
        <w:t xml:space="preserve"> 1 July 2019.</w:t>
      </w:r>
    </w:p>
    <w:p w14:paraId="285CE634" w14:textId="77777777" w:rsidR="00AB6753" w:rsidRPr="00D11580" w:rsidRDefault="00AB6753" w:rsidP="00AB6753">
      <w:pPr>
        <w:pStyle w:val="NotesTextnolinespace"/>
      </w:pPr>
    </w:p>
    <w:p w14:paraId="0EF82A44" w14:textId="77777777" w:rsidR="00AB6753" w:rsidRPr="00D11580" w:rsidRDefault="00AB6753" w:rsidP="00AB6753">
      <w:pPr>
        <w:pStyle w:val="NotesTextnolinespace"/>
      </w:pPr>
      <w:r w:rsidRPr="00D11580">
        <w:t>The department applied the following practical expedients when applying AASB 16 to leases previously classified as operating leases under AASB 117:</w:t>
      </w:r>
    </w:p>
    <w:p w14:paraId="617A3038" w14:textId="77777777" w:rsidR="00AB6753" w:rsidRPr="00D11580" w:rsidRDefault="00AB6753" w:rsidP="00AB6753">
      <w:pPr>
        <w:pStyle w:val="NotesTextnolinespacebulletpoint"/>
        <w:tabs>
          <w:tab w:val="clear" w:pos="360"/>
          <w:tab w:val="clear" w:pos="992"/>
          <w:tab w:val="left" w:pos="990"/>
        </w:tabs>
        <w:ind w:left="675" w:hanging="360"/>
      </w:pPr>
      <w:r>
        <w:t>Relied</w:t>
      </w:r>
      <w:r w:rsidRPr="00D11580">
        <w:t xml:space="preserve"> on previous assessments on whether leases are onerous as opposed to preparing an impairment review under AASB 136 </w:t>
      </w:r>
      <w:r w:rsidRPr="00181CE8">
        <w:rPr>
          <w:i/>
        </w:rPr>
        <w:t>Impairment of Assets</w:t>
      </w:r>
      <w:r w:rsidRPr="00D11580">
        <w:t xml:space="preserve"> as at the date of initial application; and </w:t>
      </w:r>
    </w:p>
    <w:p w14:paraId="2798B30E" w14:textId="77777777" w:rsidR="00AB6753" w:rsidRDefault="00AB6753" w:rsidP="00AB6753">
      <w:pPr>
        <w:pStyle w:val="NotesTextnolinespacebulletpoint"/>
        <w:tabs>
          <w:tab w:val="clear" w:pos="360"/>
          <w:tab w:val="clear" w:pos="992"/>
          <w:tab w:val="left" w:pos="990"/>
        </w:tabs>
        <w:ind w:left="675" w:hanging="360"/>
      </w:pPr>
      <w:r w:rsidRPr="00D11580">
        <w:t>Applied the exemption not to recognise right-of-use assets and liabilities for leases with less than 12 months of lease term remaining as of the date of initial application.</w:t>
      </w:r>
    </w:p>
    <w:p w14:paraId="2819EA57" w14:textId="77777777" w:rsidR="00AB6753" w:rsidRPr="00D11580" w:rsidRDefault="00AB6753" w:rsidP="00AB6753">
      <w:pPr>
        <w:pStyle w:val="NotesTextnolinespacebulletpoint"/>
        <w:numPr>
          <w:ilvl w:val="0"/>
          <w:numId w:val="0"/>
        </w:numPr>
        <w:tabs>
          <w:tab w:val="left" w:pos="990"/>
        </w:tabs>
        <w:ind w:left="675"/>
      </w:pPr>
    </w:p>
    <w:p w14:paraId="053FE5AC" w14:textId="77777777" w:rsidR="00AB6753" w:rsidRPr="00D11580" w:rsidRDefault="00AB6753" w:rsidP="00AB6753">
      <w:pPr>
        <w:pStyle w:val="NotesTextnolinespace"/>
      </w:pPr>
      <w:r w:rsidRPr="00D11580">
        <w:t xml:space="preserve">As a lessee, the department previously classified leases as operating or finance leases based on its assessment of whether the lease transferred substantially all of the risks and rewards of ownership. </w:t>
      </w:r>
    </w:p>
    <w:p w14:paraId="7F5AB7B2" w14:textId="77777777" w:rsidR="00AB6753" w:rsidRPr="00D11580" w:rsidRDefault="00AB6753" w:rsidP="00AB6753">
      <w:pPr>
        <w:pStyle w:val="NotesTextnolinespace"/>
      </w:pPr>
    </w:p>
    <w:p w14:paraId="56461B0D" w14:textId="77777777" w:rsidR="00AB6753" w:rsidRPr="00D11580" w:rsidRDefault="00AB6753" w:rsidP="00AB6753">
      <w:pPr>
        <w:pStyle w:val="NotesTextnolinespace"/>
      </w:pPr>
      <w:r w:rsidRPr="00D11580">
        <w:t xml:space="preserve">On adoption of AASB 16, the </w:t>
      </w:r>
      <w:r>
        <w:t>department</w:t>
      </w:r>
      <w:r w:rsidRPr="00D11580">
        <w:t xml:space="preserve"> recognised right-of-use assets and lease liabilities in relation to leases of office accommodation and motor vehicles, which had previously been classified as operating leases. </w:t>
      </w:r>
    </w:p>
    <w:p w14:paraId="5A88B76F" w14:textId="77777777" w:rsidR="00AB6753" w:rsidRPr="00D11580" w:rsidRDefault="00AB6753" w:rsidP="00AB6753">
      <w:pPr>
        <w:pStyle w:val="NotesTextnolinespace"/>
      </w:pPr>
    </w:p>
    <w:p w14:paraId="49F204E0" w14:textId="77777777" w:rsidR="00AB6753" w:rsidRPr="008B7EB3" w:rsidRDefault="00AB6753" w:rsidP="00AB6753">
      <w:pPr>
        <w:pStyle w:val="NotesTextnolinespace"/>
      </w:pPr>
      <w:r w:rsidRPr="00345DB5">
        <w:t xml:space="preserve">The lease liabilities were measured at the present value of the remaining lease payments, discounted using the department’s incremental borrowing rate as at 1 July 2019. The department’s incremental borrowing rate is the rate at which a similar borrowing could be obtained from an independent creditor under comparable terms and conditions. </w:t>
      </w:r>
      <w:r w:rsidRPr="008B7EB3">
        <w:t>The weighted-average rate applied was 1.5</w:t>
      </w:r>
      <w:r>
        <w:t xml:space="preserve"> per cent</w:t>
      </w:r>
      <w:r w:rsidRPr="008B7EB3">
        <w:t>.</w:t>
      </w:r>
    </w:p>
    <w:p w14:paraId="64B1E043" w14:textId="77777777" w:rsidR="00AB6753" w:rsidRPr="008B7EB3" w:rsidRDefault="00AB6753" w:rsidP="00AB6753">
      <w:pPr>
        <w:pStyle w:val="NotesTextnolinespace"/>
      </w:pPr>
    </w:p>
    <w:p w14:paraId="16F550D8" w14:textId="77777777" w:rsidR="00AB6753" w:rsidRPr="008B7EB3" w:rsidRDefault="00AB6753" w:rsidP="00AB6753">
      <w:pPr>
        <w:pStyle w:val="NotesTextnolinespace"/>
      </w:pPr>
      <w:r w:rsidRPr="008B7EB3">
        <w:t>The right-of-use assets were measured as follows:</w:t>
      </w:r>
    </w:p>
    <w:p w14:paraId="5C2B3486" w14:textId="77777777" w:rsidR="00AB6753" w:rsidRPr="008B7EB3" w:rsidRDefault="00AB6753" w:rsidP="00AB6753">
      <w:pPr>
        <w:pStyle w:val="NotesTextnolinespacebulletpoint"/>
        <w:tabs>
          <w:tab w:val="clear" w:pos="360"/>
          <w:tab w:val="clear" w:pos="992"/>
          <w:tab w:val="left" w:pos="990"/>
        </w:tabs>
        <w:ind w:left="675" w:hanging="360"/>
      </w:pPr>
      <w:r w:rsidRPr="008B7EB3">
        <w:t>Office accommodation: measured at an amount equal to the lease liability, adjusted by the amount of any prepaid or onerous amounts.</w:t>
      </w:r>
    </w:p>
    <w:p w14:paraId="008AF284" w14:textId="77777777" w:rsidR="00AB6753" w:rsidRPr="008B7EB3" w:rsidRDefault="00AB6753" w:rsidP="00AB6753">
      <w:pPr>
        <w:pStyle w:val="NotesTextnolinespacebulletpoint"/>
        <w:tabs>
          <w:tab w:val="clear" w:pos="360"/>
          <w:tab w:val="clear" w:pos="992"/>
          <w:tab w:val="left" w:pos="990"/>
        </w:tabs>
        <w:ind w:left="675" w:hanging="360"/>
      </w:pPr>
      <w:r w:rsidRPr="008B7EB3">
        <w:t xml:space="preserve">Motor vehicles: </w:t>
      </w:r>
      <w:r w:rsidRPr="00DB0333">
        <w:t>measured at an amount equal to the lease liability.</w:t>
      </w:r>
    </w:p>
    <w:p w14:paraId="6D8672C3" w14:textId="77777777" w:rsidR="00AB6753" w:rsidRDefault="00AB6753" w:rsidP="00AB6753">
      <w:pPr>
        <w:pStyle w:val="ContinuedSubHeading"/>
      </w:pPr>
      <w:r>
        <w:lastRenderedPageBreak/>
        <w:t>Overview (continued)</w:t>
      </w:r>
    </w:p>
    <w:p w14:paraId="59EDA79D" w14:textId="77777777" w:rsidR="00AB6753" w:rsidRPr="008B7EB3" w:rsidRDefault="00AB6753" w:rsidP="00AB6753">
      <w:pPr>
        <w:pStyle w:val="SubHeadingLines"/>
        <w:rPr>
          <w:color w:val="auto"/>
        </w:rPr>
      </w:pPr>
      <w:r w:rsidRPr="008B7EB3">
        <w:rPr>
          <w:color w:val="auto"/>
        </w:rPr>
        <w:t>Impact on transition</w:t>
      </w:r>
    </w:p>
    <w:p w14:paraId="0D441252" w14:textId="77777777" w:rsidR="00AB6753" w:rsidRDefault="00AB6753" w:rsidP="00AB6753">
      <w:pPr>
        <w:pStyle w:val="NotesTextnolinespace"/>
      </w:pPr>
      <w:r w:rsidRPr="008B7EB3">
        <w:t xml:space="preserve">On transition to AASB 16, the department recognised additional right-of-use assets and additional lease liabilities, recognising the difference in retained earnings. </w:t>
      </w:r>
    </w:p>
    <w:p w14:paraId="077F96EE" w14:textId="77777777" w:rsidR="00AB6753" w:rsidRDefault="00AB6753" w:rsidP="00AB6753">
      <w:pPr>
        <w:pStyle w:val="NotesTextnolinespace"/>
      </w:pPr>
    </w:p>
    <w:p w14:paraId="44CDD259" w14:textId="77777777" w:rsidR="00AB6753" w:rsidRDefault="00AB6753" w:rsidP="00AB6753">
      <w:pPr>
        <w:pStyle w:val="NotesTextnolinespace"/>
      </w:pPr>
      <w:r>
        <w:t>For additional lease disclosure, refer to accompanying Notes 1.1B, 1.1C, 1.2C, 3.2A, 3.3B and 3.4A.</w:t>
      </w:r>
    </w:p>
    <w:p w14:paraId="270B686A" w14:textId="77777777" w:rsidR="00AB6753" w:rsidRDefault="00AB6753" w:rsidP="00AB6753">
      <w:pPr>
        <w:pStyle w:val="NotesTextnolinespace"/>
      </w:pPr>
    </w:p>
    <w:p w14:paraId="7BB17A4E" w14:textId="77777777" w:rsidR="00AB6753" w:rsidRDefault="00AB6753" w:rsidP="00AB6753">
      <w:pPr>
        <w:pStyle w:val="NotesTextnolinespace"/>
      </w:pPr>
      <w:r w:rsidRPr="008B7EB3">
        <w:t>The impact on transition is summarised below:</w:t>
      </w:r>
    </w:p>
    <w:p w14:paraId="62ADED55" w14:textId="77777777" w:rsidR="00AB6753" w:rsidRDefault="00AB6753" w:rsidP="00AB6753">
      <w:pPr>
        <w:spacing w:line="240" w:lineRule="auto"/>
        <w:rPr>
          <w:rFonts w:eastAsiaTheme="minorEastAsia" w:cs="Arial"/>
          <w:sz w:val="18"/>
          <w:szCs w:val="16"/>
          <w:lang w:eastAsia="en-AU"/>
        </w:rPr>
      </w:pPr>
    </w:p>
    <w:tbl>
      <w:tblPr>
        <w:tblW w:w="9411" w:type="dxa"/>
        <w:tblInd w:w="80" w:type="dxa"/>
        <w:tblLayout w:type="fixed"/>
        <w:tblLook w:val="04A0" w:firstRow="1" w:lastRow="0" w:firstColumn="1" w:lastColumn="0" w:noHBand="0" w:noVBand="1"/>
        <w:tblCaption w:val="Notes to and forming part of the financial statements"/>
        <w:tblDescription w:val="Impact on Transitiion to AASB 16."/>
      </w:tblPr>
      <w:tblGrid>
        <w:gridCol w:w="7866"/>
        <w:gridCol w:w="1545"/>
      </w:tblGrid>
      <w:tr w:rsidR="00AB6753" w14:paraId="1FF06EEA" w14:textId="77777777" w:rsidTr="002D1EA4">
        <w:trPr>
          <w:trHeight w:val="240"/>
        </w:trPr>
        <w:tc>
          <w:tcPr>
            <w:tcW w:w="6396" w:type="dxa"/>
            <w:tcBorders>
              <w:top w:val="nil"/>
              <w:left w:val="nil"/>
              <w:bottom w:val="nil"/>
              <w:right w:val="nil"/>
            </w:tcBorders>
            <w:shd w:val="clear" w:color="FFFFFF" w:fill="FFFFFF"/>
            <w:noWrap/>
            <w:vAlign w:val="bottom"/>
            <w:hideMark/>
          </w:tcPr>
          <w:p w14:paraId="4576BE67" w14:textId="77777777" w:rsidR="00AB6753" w:rsidRDefault="00AB6753" w:rsidP="002D1EA4">
            <w:pPr>
              <w:spacing w:after="0"/>
              <w:rPr>
                <w:rFonts w:cs="Arial"/>
                <w:b/>
                <w:bCs/>
                <w:sz w:val="18"/>
                <w:szCs w:val="18"/>
                <w:u w:val="single"/>
              </w:rPr>
            </w:pPr>
            <w:bookmarkStart w:id="67" w:name="Note_NAATABLE1" w:colFirst="0" w:colLast="0"/>
            <w:r>
              <w:rPr>
                <w:rFonts w:cs="Arial"/>
                <w:b/>
                <w:bCs/>
                <w:sz w:val="18"/>
                <w:szCs w:val="18"/>
                <w:u w:val="single"/>
              </w:rPr>
              <w:t>Impact on Transition to AASB 16</w:t>
            </w:r>
          </w:p>
        </w:tc>
        <w:tc>
          <w:tcPr>
            <w:tcW w:w="1256" w:type="dxa"/>
            <w:tcBorders>
              <w:top w:val="nil"/>
              <w:left w:val="nil"/>
              <w:bottom w:val="nil"/>
              <w:right w:val="nil"/>
            </w:tcBorders>
            <w:shd w:val="clear" w:color="FFFFFF" w:fill="FFFFFF"/>
            <w:noWrap/>
            <w:vAlign w:val="bottom"/>
            <w:hideMark/>
          </w:tcPr>
          <w:p w14:paraId="77735E2A" w14:textId="77777777" w:rsidR="00AB6753" w:rsidRDefault="00AB6753" w:rsidP="002D1EA4">
            <w:pPr>
              <w:spacing w:after="0"/>
              <w:rPr>
                <w:rFonts w:cs="Arial"/>
                <w:sz w:val="18"/>
                <w:szCs w:val="18"/>
              </w:rPr>
            </w:pPr>
            <w:r>
              <w:rPr>
                <w:rFonts w:cs="Arial"/>
                <w:sz w:val="18"/>
                <w:szCs w:val="18"/>
              </w:rPr>
              <w:t> </w:t>
            </w:r>
          </w:p>
        </w:tc>
      </w:tr>
      <w:bookmarkEnd w:id="67"/>
      <w:tr w:rsidR="00AB6753" w14:paraId="58E965E6" w14:textId="77777777" w:rsidTr="002D1EA4">
        <w:trPr>
          <w:trHeight w:val="240"/>
        </w:trPr>
        <w:tc>
          <w:tcPr>
            <w:tcW w:w="6396" w:type="dxa"/>
            <w:tcBorders>
              <w:top w:val="nil"/>
              <w:left w:val="nil"/>
              <w:bottom w:val="nil"/>
              <w:right w:val="nil"/>
            </w:tcBorders>
            <w:shd w:val="clear" w:color="FFFFFF" w:fill="FFFFFF"/>
            <w:vAlign w:val="bottom"/>
            <w:hideMark/>
          </w:tcPr>
          <w:p w14:paraId="65DBD202" w14:textId="77777777" w:rsidR="00AB6753" w:rsidRDefault="00AB6753" w:rsidP="002D1EA4">
            <w:pPr>
              <w:spacing w:after="0"/>
              <w:rPr>
                <w:rFonts w:cs="Arial"/>
                <w:b/>
                <w:bCs/>
                <w:sz w:val="18"/>
                <w:szCs w:val="18"/>
              </w:rPr>
            </w:pPr>
            <w:r>
              <w:rPr>
                <w:rFonts w:cs="Arial"/>
                <w:b/>
                <w:bCs/>
                <w:sz w:val="18"/>
                <w:szCs w:val="18"/>
              </w:rPr>
              <w:t>Departmental</w:t>
            </w:r>
          </w:p>
        </w:tc>
        <w:tc>
          <w:tcPr>
            <w:tcW w:w="1256" w:type="dxa"/>
            <w:tcBorders>
              <w:top w:val="nil"/>
              <w:left w:val="nil"/>
              <w:bottom w:val="nil"/>
              <w:right w:val="nil"/>
            </w:tcBorders>
            <w:shd w:val="clear" w:color="FFFFFF" w:fill="FFFFFF"/>
            <w:vAlign w:val="bottom"/>
            <w:hideMark/>
          </w:tcPr>
          <w:p w14:paraId="3D14901C" w14:textId="77777777" w:rsidR="00AB6753" w:rsidRDefault="00AB6753" w:rsidP="002D1EA4">
            <w:pPr>
              <w:spacing w:after="0"/>
              <w:jc w:val="right"/>
              <w:rPr>
                <w:rFonts w:cs="Arial"/>
                <w:b/>
                <w:bCs/>
                <w:sz w:val="18"/>
                <w:szCs w:val="18"/>
              </w:rPr>
            </w:pPr>
            <w:r>
              <w:rPr>
                <w:rFonts w:cs="Arial"/>
                <w:b/>
                <w:bCs/>
                <w:sz w:val="18"/>
                <w:szCs w:val="18"/>
              </w:rPr>
              <w:t>1 July 2019</w:t>
            </w:r>
          </w:p>
        </w:tc>
      </w:tr>
      <w:tr w:rsidR="00AB6753" w14:paraId="1070BA6D" w14:textId="77777777" w:rsidTr="002D1EA4">
        <w:trPr>
          <w:trHeight w:val="240"/>
        </w:trPr>
        <w:tc>
          <w:tcPr>
            <w:tcW w:w="6396" w:type="dxa"/>
            <w:tcBorders>
              <w:top w:val="nil"/>
              <w:left w:val="nil"/>
              <w:bottom w:val="nil"/>
              <w:right w:val="nil"/>
            </w:tcBorders>
            <w:shd w:val="clear" w:color="FFFFFF" w:fill="FFFFFF"/>
            <w:vAlign w:val="bottom"/>
            <w:hideMark/>
          </w:tcPr>
          <w:p w14:paraId="0CF71FB2" w14:textId="77777777" w:rsidR="00AB6753" w:rsidRDefault="00AB6753" w:rsidP="002D1EA4">
            <w:pPr>
              <w:spacing w:after="0"/>
              <w:rPr>
                <w:rFonts w:cs="Arial"/>
                <w:b/>
                <w:bCs/>
                <w:sz w:val="18"/>
                <w:szCs w:val="18"/>
              </w:rPr>
            </w:pPr>
            <w:r>
              <w:rPr>
                <w:rFonts w:cs="Arial"/>
                <w:b/>
                <w:bCs/>
                <w:sz w:val="18"/>
                <w:szCs w:val="18"/>
              </w:rPr>
              <w:t> </w:t>
            </w:r>
          </w:p>
        </w:tc>
        <w:tc>
          <w:tcPr>
            <w:tcW w:w="1256" w:type="dxa"/>
            <w:tcBorders>
              <w:top w:val="nil"/>
              <w:left w:val="nil"/>
              <w:bottom w:val="single" w:sz="4" w:space="0" w:color="auto"/>
              <w:right w:val="nil"/>
            </w:tcBorders>
            <w:shd w:val="clear" w:color="FFFFFF" w:fill="FFFFFF"/>
            <w:vAlign w:val="bottom"/>
            <w:hideMark/>
          </w:tcPr>
          <w:p w14:paraId="7F879BCB" w14:textId="77777777" w:rsidR="00AB6753" w:rsidRDefault="00AB6753" w:rsidP="002D1EA4">
            <w:pPr>
              <w:spacing w:after="0"/>
              <w:jc w:val="right"/>
              <w:rPr>
                <w:rFonts w:cs="Arial"/>
                <w:b/>
                <w:bCs/>
                <w:sz w:val="18"/>
                <w:szCs w:val="18"/>
              </w:rPr>
            </w:pPr>
            <w:r>
              <w:rPr>
                <w:rFonts w:cs="Arial"/>
                <w:b/>
                <w:bCs/>
                <w:sz w:val="18"/>
                <w:szCs w:val="18"/>
              </w:rPr>
              <w:t>$'000</w:t>
            </w:r>
          </w:p>
        </w:tc>
      </w:tr>
      <w:tr w:rsidR="00AB6753" w14:paraId="1DA188EE" w14:textId="77777777" w:rsidTr="002D1EA4">
        <w:trPr>
          <w:trHeight w:val="240"/>
        </w:trPr>
        <w:tc>
          <w:tcPr>
            <w:tcW w:w="6396" w:type="dxa"/>
            <w:tcBorders>
              <w:top w:val="nil"/>
              <w:left w:val="nil"/>
              <w:bottom w:val="nil"/>
              <w:right w:val="nil"/>
            </w:tcBorders>
            <w:shd w:val="clear" w:color="FFFFFF" w:fill="FFFFFF"/>
            <w:vAlign w:val="bottom"/>
            <w:hideMark/>
          </w:tcPr>
          <w:p w14:paraId="4FACAEDB" w14:textId="77777777" w:rsidR="00AB6753" w:rsidRDefault="00AB6753" w:rsidP="002D1EA4">
            <w:pPr>
              <w:spacing w:after="0"/>
              <w:rPr>
                <w:rFonts w:cs="Arial"/>
                <w:sz w:val="18"/>
                <w:szCs w:val="18"/>
              </w:rPr>
            </w:pPr>
            <w:r>
              <w:rPr>
                <w:rFonts w:cs="Arial"/>
                <w:sz w:val="18"/>
                <w:szCs w:val="18"/>
              </w:rPr>
              <w:t>Right-of-use assets - leasehold improvements</w:t>
            </w:r>
          </w:p>
        </w:tc>
        <w:tc>
          <w:tcPr>
            <w:tcW w:w="1256" w:type="dxa"/>
            <w:tcBorders>
              <w:top w:val="nil"/>
              <w:left w:val="nil"/>
              <w:bottom w:val="nil"/>
              <w:right w:val="nil"/>
            </w:tcBorders>
            <w:shd w:val="clear" w:color="FFFFFF" w:fill="FFFFFF"/>
            <w:noWrap/>
            <w:vAlign w:val="bottom"/>
            <w:hideMark/>
          </w:tcPr>
          <w:p w14:paraId="2EBCD76F" w14:textId="77777777" w:rsidR="00AB6753" w:rsidRDefault="00AB6753" w:rsidP="002D1EA4">
            <w:pPr>
              <w:spacing w:after="0"/>
              <w:jc w:val="right"/>
              <w:rPr>
                <w:rFonts w:cs="Arial"/>
                <w:b/>
                <w:bCs/>
                <w:sz w:val="18"/>
                <w:szCs w:val="18"/>
              </w:rPr>
            </w:pPr>
            <w:r>
              <w:rPr>
                <w:rFonts w:cs="Arial"/>
                <w:b/>
                <w:bCs/>
                <w:sz w:val="18"/>
                <w:szCs w:val="18"/>
              </w:rPr>
              <w:t xml:space="preserve">576,985 </w:t>
            </w:r>
          </w:p>
        </w:tc>
      </w:tr>
      <w:tr w:rsidR="00AB6753" w14:paraId="456878E5" w14:textId="77777777" w:rsidTr="002D1EA4">
        <w:trPr>
          <w:trHeight w:val="240"/>
        </w:trPr>
        <w:tc>
          <w:tcPr>
            <w:tcW w:w="6396" w:type="dxa"/>
            <w:tcBorders>
              <w:top w:val="nil"/>
              <w:left w:val="nil"/>
              <w:bottom w:val="nil"/>
              <w:right w:val="nil"/>
            </w:tcBorders>
            <w:shd w:val="clear" w:color="FFFFFF" w:fill="FFFFFF"/>
            <w:vAlign w:val="bottom"/>
            <w:hideMark/>
          </w:tcPr>
          <w:p w14:paraId="590ED080" w14:textId="77777777" w:rsidR="00AB6753" w:rsidRDefault="00AB6753" w:rsidP="002D1EA4">
            <w:pPr>
              <w:spacing w:after="0"/>
              <w:rPr>
                <w:rFonts w:cs="Arial"/>
                <w:sz w:val="18"/>
                <w:szCs w:val="18"/>
              </w:rPr>
            </w:pPr>
            <w:r>
              <w:rPr>
                <w:rFonts w:cs="Arial"/>
                <w:sz w:val="18"/>
                <w:szCs w:val="18"/>
              </w:rPr>
              <w:t>Right-of-use assets - property, plant and equipment</w:t>
            </w:r>
          </w:p>
        </w:tc>
        <w:tc>
          <w:tcPr>
            <w:tcW w:w="1256" w:type="dxa"/>
            <w:tcBorders>
              <w:top w:val="nil"/>
              <w:left w:val="nil"/>
              <w:bottom w:val="nil"/>
              <w:right w:val="nil"/>
            </w:tcBorders>
            <w:shd w:val="clear" w:color="FFFFFF" w:fill="FFFFFF"/>
            <w:noWrap/>
            <w:vAlign w:val="bottom"/>
            <w:hideMark/>
          </w:tcPr>
          <w:p w14:paraId="2861A7A0" w14:textId="77777777" w:rsidR="00AB6753" w:rsidRDefault="00AB6753" w:rsidP="002D1EA4">
            <w:pPr>
              <w:spacing w:after="0"/>
              <w:jc w:val="right"/>
              <w:rPr>
                <w:rFonts w:cs="Arial"/>
                <w:b/>
                <w:bCs/>
                <w:sz w:val="18"/>
                <w:szCs w:val="18"/>
              </w:rPr>
            </w:pPr>
            <w:r>
              <w:rPr>
                <w:rFonts w:cs="Arial"/>
                <w:b/>
                <w:bCs/>
                <w:sz w:val="18"/>
                <w:szCs w:val="18"/>
              </w:rPr>
              <w:t xml:space="preserve">293 </w:t>
            </w:r>
          </w:p>
        </w:tc>
      </w:tr>
      <w:tr w:rsidR="00AB6753" w14:paraId="02D84E01" w14:textId="77777777" w:rsidTr="002D1EA4">
        <w:trPr>
          <w:trHeight w:val="240"/>
        </w:trPr>
        <w:tc>
          <w:tcPr>
            <w:tcW w:w="6396" w:type="dxa"/>
            <w:tcBorders>
              <w:top w:val="nil"/>
              <w:left w:val="nil"/>
              <w:bottom w:val="nil"/>
              <w:right w:val="nil"/>
            </w:tcBorders>
            <w:shd w:val="clear" w:color="FFFFFF" w:fill="FFFFFF"/>
            <w:vAlign w:val="bottom"/>
            <w:hideMark/>
          </w:tcPr>
          <w:p w14:paraId="53F2C5E0" w14:textId="77777777" w:rsidR="00AB6753" w:rsidRDefault="00AB6753" w:rsidP="002D1EA4">
            <w:pPr>
              <w:spacing w:after="0"/>
              <w:rPr>
                <w:rFonts w:cs="Arial"/>
                <w:sz w:val="18"/>
                <w:szCs w:val="18"/>
              </w:rPr>
            </w:pPr>
            <w:r>
              <w:rPr>
                <w:rFonts w:cs="Arial"/>
                <w:sz w:val="18"/>
                <w:szCs w:val="18"/>
              </w:rPr>
              <w:t>Lease liabilities</w:t>
            </w:r>
          </w:p>
        </w:tc>
        <w:tc>
          <w:tcPr>
            <w:tcW w:w="1256" w:type="dxa"/>
            <w:tcBorders>
              <w:top w:val="nil"/>
              <w:left w:val="nil"/>
              <w:bottom w:val="nil"/>
              <w:right w:val="nil"/>
            </w:tcBorders>
            <w:shd w:val="clear" w:color="FFFFFF" w:fill="FFFFFF"/>
            <w:noWrap/>
            <w:vAlign w:val="bottom"/>
            <w:hideMark/>
          </w:tcPr>
          <w:p w14:paraId="239E16AA" w14:textId="77777777" w:rsidR="00AB6753" w:rsidRDefault="00AB6753" w:rsidP="002D1EA4">
            <w:pPr>
              <w:spacing w:after="0"/>
              <w:jc w:val="right"/>
              <w:rPr>
                <w:rFonts w:cs="Arial"/>
                <w:b/>
                <w:bCs/>
                <w:sz w:val="18"/>
                <w:szCs w:val="18"/>
              </w:rPr>
            </w:pPr>
            <w:r>
              <w:rPr>
                <w:rFonts w:cs="Arial"/>
                <w:b/>
                <w:bCs/>
                <w:sz w:val="18"/>
                <w:szCs w:val="18"/>
              </w:rPr>
              <w:t xml:space="preserve">576,303 </w:t>
            </w:r>
          </w:p>
        </w:tc>
      </w:tr>
      <w:tr w:rsidR="00AB6753" w14:paraId="32F268DC" w14:textId="77777777" w:rsidTr="002D1EA4">
        <w:trPr>
          <w:trHeight w:val="240"/>
        </w:trPr>
        <w:tc>
          <w:tcPr>
            <w:tcW w:w="6396" w:type="dxa"/>
            <w:tcBorders>
              <w:top w:val="nil"/>
              <w:left w:val="nil"/>
              <w:bottom w:val="nil"/>
              <w:right w:val="nil"/>
            </w:tcBorders>
            <w:shd w:val="clear" w:color="FFFFFF" w:fill="FFFFFF"/>
            <w:vAlign w:val="bottom"/>
            <w:hideMark/>
          </w:tcPr>
          <w:p w14:paraId="3F353276" w14:textId="77777777" w:rsidR="00AB6753" w:rsidRDefault="00AB6753" w:rsidP="002D1EA4">
            <w:pPr>
              <w:spacing w:after="0"/>
              <w:rPr>
                <w:rFonts w:cs="Arial"/>
                <w:sz w:val="18"/>
                <w:szCs w:val="18"/>
              </w:rPr>
            </w:pPr>
            <w:r>
              <w:rPr>
                <w:rFonts w:cs="Arial"/>
                <w:sz w:val="18"/>
                <w:szCs w:val="18"/>
              </w:rPr>
              <w:t>Retained earnings</w:t>
            </w:r>
          </w:p>
        </w:tc>
        <w:tc>
          <w:tcPr>
            <w:tcW w:w="1256" w:type="dxa"/>
            <w:tcBorders>
              <w:top w:val="nil"/>
              <w:left w:val="nil"/>
              <w:bottom w:val="nil"/>
              <w:right w:val="nil"/>
            </w:tcBorders>
            <w:shd w:val="clear" w:color="FFFFFF" w:fill="FFFFFF"/>
            <w:noWrap/>
            <w:vAlign w:val="bottom"/>
            <w:hideMark/>
          </w:tcPr>
          <w:p w14:paraId="76DDB840" w14:textId="77777777" w:rsidR="00AB6753" w:rsidRDefault="00AB6753" w:rsidP="002D1EA4">
            <w:pPr>
              <w:spacing w:after="0"/>
              <w:jc w:val="right"/>
              <w:rPr>
                <w:rFonts w:cs="Arial"/>
                <w:b/>
                <w:bCs/>
                <w:sz w:val="18"/>
                <w:szCs w:val="18"/>
              </w:rPr>
            </w:pPr>
            <w:r>
              <w:rPr>
                <w:rFonts w:cs="Arial"/>
                <w:b/>
                <w:bCs/>
                <w:sz w:val="18"/>
                <w:szCs w:val="18"/>
              </w:rPr>
              <w:t xml:space="preserve">36,203 </w:t>
            </w:r>
          </w:p>
        </w:tc>
      </w:tr>
      <w:tr w:rsidR="00AB6753" w14:paraId="54A2E0E9" w14:textId="77777777" w:rsidTr="002D1EA4">
        <w:trPr>
          <w:trHeight w:val="240"/>
        </w:trPr>
        <w:tc>
          <w:tcPr>
            <w:tcW w:w="6396" w:type="dxa"/>
            <w:tcBorders>
              <w:top w:val="nil"/>
              <w:left w:val="nil"/>
              <w:bottom w:val="nil"/>
              <w:right w:val="nil"/>
            </w:tcBorders>
            <w:shd w:val="clear" w:color="FFFFFF" w:fill="FFFFFF"/>
            <w:noWrap/>
            <w:vAlign w:val="bottom"/>
            <w:hideMark/>
          </w:tcPr>
          <w:p w14:paraId="18AD9245"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55D12C71" w14:textId="77777777" w:rsidR="00AB6753" w:rsidRDefault="00AB6753" w:rsidP="002D1EA4">
            <w:pPr>
              <w:spacing w:after="0"/>
              <w:rPr>
                <w:rFonts w:cs="Arial"/>
                <w:sz w:val="18"/>
                <w:szCs w:val="18"/>
              </w:rPr>
            </w:pPr>
            <w:r>
              <w:rPr>
                <w:rFonts w:cs="Arial"/>
                <w:sz w:val="18"/>
                <w:szCs w:val="18"/>
              </w:rPr>
              <w:t> </w:t>
            </w:r>
          </w:p>
        </w:tc>
      </w:tr>
      <w:tr w:rsidR="00AB6753" w14:paraId="69F82AFF" w14:textId="77777777" w:rsidTr="002D1EA4">
        <w:trPr>
          <w:trHeight w:val="1020"/>
        </w:trPr>
        <w:tc>
          <w:tcPr>
            <w:tcW w:w="7652" w:type="dxa"/>
            <w:gridSpan w:val="2"/>
            <w:tcBorders>
              <w:top w:val="nil"/>
              <w:left w:val="nil"/>
              <w:bottom w:val="nil"/>
              <w:right w:val="nil"/>
            </w:tcBorders>
            <w:shd w:val="clear" w:color="FFFFFF" w:fill="FFFFFF"/>
            <w:vAlign w:val="bottom"/>
            <w:hideMark/>
          </w:tcPr>
          <w:p w14:paraId="079B4023" w14:textId="77777777" w:rsidR="00AB6753" w:rsidRDefault="00AB6753" w:rsidP="002D1EA4">
            <w:pPr>
              <w:spacing w:after="0"/>
              <w:rPr>
                <w:rFonts w:cs="Arial"/>
                <w:b/>
                <w:bCs/>
                <w:sz w:val="18"/>
                <w:szCs w:val="18"/>
              </w:rPr>
            </w:pPr>
            <w:r>
              <w:rPr>
                <w:rFonts w:cs="Arial"/>
                <w:b/>
                <w:bCs/>
                <w:sz w:val="18"/>
                <w:szCs w:val="18"/>
              </w:rPr>
              <w:t xml:space="preserve">The following table reconciles the Departmental minimum lease commitments disclosed in the department's 30 June 2019 annual financial statements to the amount of lease liabilities recognised on </w:t>
            </w:r>
            <w:r>
              <w:rPr>
                <w:rFonts w:cs="Arial"/>
                <w:b/>
                <w:bCs/>
                <w:sz w:val="18"/>
                <w:szCs w:val="18"/>
              </w:rPr>
              <w:br/>
              <w:t>1 July 2019:</w:t>
            </w:r>
          </w:p>
        </w:tc>
      </w:tr>
      <w:tr w:rsidR="00AB6753" w14:paraId="3D016B2B" w14:textId="77777777" w:rsidTr="002D1EA4">
        <w:trPr>
          <w:trHeight w:val="255"/>
        </w:trPr>
        <w:tc>
          <w:tcPr>
            <w:tcW w:w="6396" w:type="dxa"/>
            <w:tcBorders>
              <w:top w:val="nil"/>
              <w:left w:val="nil"/>
              <w:bottom w:val="nil"/>
              <w:right w:val="nil"/>
            </w:tcBorders>
            <w:shd w:val="clear" w:color="FFFFFF" w:fill="FFFFFF"/>
            <w:vAlign w:val="bottom"/>
            <w:hideMark/>
          </w:tcPr>
          <w:p w14:paraId="70965FE3" w14:textId="77777777" w:rsidR="00AB6753" w:rsidRDefault="00AB6753" w:rsidP="002D1EA4">
            <w:pPr>
              <w:spacing w:after="0"/>
              <w:rPr>
                <w:rFonts w:cs="Arial"/>
                <w:b/>
                <w:bCs/>
                <w:sz w:val="18"/>
                <w:szCs w:val="18"/>
              </w:rPr>
            </w:pPr>
            <w:r>
              <w:rPr>
                <w:rFonts w:cs="Arial"/>
                <w:b/>
                <w:bCs/>
                <w:sz w:val="18"/>
                <w:szCs w:val="18"/>
              </w:rPr>
              <w:t> </w:t>
            </w:r>
          </w:p>
        </w:tc>
        <w:tc>
          <w:tcPr>
            <w:tcW w:w="1256" w:type="dxa"/>
            <w:tcBorders>
              <w:top w:val="nil"/>
              <w:left w:val="nil"/>
              <w:bottom w:val="nil"/>
              <w:right w:val="nil"/>
            </w:tcBorders>
            <w:shd w:val="clear" w:color="FFFFFF" w:fill="FFFFFF"/>
            <w:vAlign w:val="bottom"/>
            <w:hideMark/>
          </w:tcPr>
          <w:p w14:paraId="53E96CD8" w14:textId="77777777" w:rsidR="00AB6753" w:rsidRDefault="00AB6753" w:rsidP="002D1EA4">
            <w:pPr>
              <w:spacing w:after="0"/>
              <w:rPr>
                <w:rFonts w:cs="Arial"/>
                <w:b/>
                <w:bCs/>
                <w:sz w:val="18"/>
                <w:szCs w:val="18"/>
              </w:rPr>
            </w:pPr>
            <w:r>
              <w:rPr>
                <w:rFonts w:cs="Arial"/>
                <w:b/>
                <w:bCs/>
                <w:sz w:val="18"/>
                <w:szCs w:val="18"/>
              </w:rPr>
              <w:t> </w:t>
            </w:r>
          </w:p>
        </w:tc>
      </w:tr>
      <w:tr w:rsidR="00AB6753" w14:paraId="28D1007B" w14:textId="77777777" w:rsidTr="002D1EA4">
        <w:trPr>
          <w:trHeight w:val="240"/>
        </w:trPr>
        <w:tc>
          <w:tcPr>
            <w:tcW w:w="6396" w:type="dxa"/>
            <w:tcBorders>
              <w:top w:val="nil"/>
              <w:left w:val="nil"/>
              <w:bottom w:val="nil"/>
              <w:right w:val="nil"/>
            </w:tcBorders>
            <w:shd w:val="clear" w:color="FFFFFF" w:fill="FFFFFF"/>
            <w:noWrap/>
            <w:vAlign w:val="bottom"/>
            <w:hideMark/>
          </w:tcPr>
          <w:p w14:paraId="7A791C25"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1339BB3E" w14:textId="77777777" w:rsidR="00AB6753" w:rsidRDefault="00AB6753" w:rsidP="002D1EA4">
            <w:pPr>
              <w:spacing w:after="0"/>
              <w:jc w:val="right"/>
              <w:rPr>
                <w:rFonts w:cs="Arial"/>
                <w:b/>
                <w:bCs/>
                <w:sz w:val="18"/>
                <w:szCs w:val="18"/>
              </w:rPr>
            </w:pPr>
            <w:r>
              <w:rPr>
                <w:rFonts w:cs="Arial"/>
                <w:b/>
                <w:bCs/>
                <w:sz w:val="18"/>
                <w:szCs w:val="18"/>
              </w:rPr>
              <w:t>1 July 2019</w:t>
            </w:r>
          </w:p>
        </w:tc>
      </w:tr>
      <w:tr w:rsidR="00AB6753" w14:paraId="0BEB5166" w14:textId="77777777" w:rsidTr="002D1EA4">
        <w:trPr>
          <w:trHeight w:val="240"/>
        </w:trPr>
        <w:tc>
          <w:tcPr>
            <w:tcW w:w="6396" w:type="dxa"/>
            <w:tcBorders>
              <w:top w:val="nil"/>
              <w:left w:val="nil"/>
              <w:bottom w:val="nil"/>
              <w:right w:val="nil"/>
            </w:tcBorders>
            <w:shd w:val="clear" w:color="FFFFFF" w:fill="FFFFFF"/>
            <w:noWrap/>
            <w:vAlign w:val="bottom"/>
            <w:hideMark/>
          </w:tcPr>
          <w:p w14:paraId="750C490B"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single" w:sz="4" w:space="0" w:color="auto"/>
              <w:right w:val="nil"/>
            </w:tcBorders>
            <w:shd w:val="clear" w:color="FFFFFF" w:fill="FFFFFF"/>
            <w:vAlign w:val="bottom"/>
            <w:hideMark/>
          </w:tcPr>
          <w:p w14:paraId="735B2D72" w14:textId="77777777" w:rsidR="00AB6753" w:rsidRDefault="00AB6753" w:rsidP="002D1EA4">
            <w:pPr>
              <w:spacing w:after="0"/>
              <w:jc w:val="right"/>
              <w:rPr>
                <w:rFonts w:cs="Arial"/>
                <w:b/>
                <w:bCs/>
                <w:sz w:val="18"/>
                <w:szCs w:val="18"/>
              </w:rPr>
            </w:pPr>
            <w:r>
              <w:rPr>
                <w:rFonts w:cs="Arial"/>
                <w:b/>
                <w:bCs/>
                <w:sz w:val="18"/>
                <w:szCs w:val="18"/>
              </w:rPr>
              <w:t>$'000</w:t>
            </w:r>
          </w:p>
        </w:tc>
      </w:tr>
      <w:tr w:rsidR="00AB6753" w14:paraId="7C700F7F" w14:textId="77777777" w:rsidTr="002D1EA4">
        <w:trPr>
          <w:trHeight w:val="240"/>
        </w:trPr>
        <w:tc>
          <w:tcPr>
            <w:tcW w:w="6396" w:type="dxa"/>
            <w:tcBorders>
              <w:top w:val="nil"/>
              <w:left w:val="nil"/>
              <w:bottom w:val="nil"/>
              <w:right w:val="nil"/>
            </w:tcBorders>
            <w:shd w:val="clear" w:color="FFFFFF" w:fill="FFFFFF"/>
            <w:vAlign w:val="bottom"/>
            <w:hideMark/>
          </w:tcPr>
          <w:p w14:paraId="5D9E6795" w14:textId="77777777" w:rsidR="00AB6753" w:rsidRDefault="00AB6753" w:rsidP="002D1EA4">
            <w:pPr>
              <w:spacing w:after="0"/>
              <w:rPr>
                <w:rFonts w:cs="Arial"/>
                <w:sz w:val="18"/>
                <w:szCs w:val="18"/>
              </w:rPr>
            </w:pPr>
            <w:r>
              <w:rPr>
                <w:rFonts w:cs="Arial"/>
                <w:sz w:val="18"/>
                <w:szCs w:val="18"/>
              </w:rPr>
              <w:t>Minimum operating lease commitment at 30 June 2019</w:t>
            </w:r>
          </w:p>
        </w:tc>
        <w:tc>
          <w:tcPr>
            <w:tcW w:w="1256" w:type="dxa"/>
            <w:tcBorders>
              <w:top w:val="nil"/>
              <w:left w:val="nil"/>
              <w:bottom w:val="nil"/>
              <w:right w:val="nil"/>
            </w:tcBorders>
            <w:shd w:val="clear" w:color="FFFFFF" w:fill="FFFFFF"/>
            <w:noWrap/>
            <w:vAlign w:val="bottom"/>
            <w:hideMark/>
          </w:tcPr>
          <w:p w14:paraId="20F89B71" w14:textId="77777777" w:rsidR="00AB6753" w:rsidRDefault="00AB6753" w:rsidP="002D1EA4">
            <w:pPr>
              <w:spacing w:after="0"/>
              <w:jc w:val="right"/>
              <w:rPr>
                <w:rFonts w:cs="Arial"/>
                <w:b/>
                <w:bCs/>
                <w:sz w:val="18"/>
                <w:szCs w:val="18"/>
              </w:rPr>
            </w:pPr>
            <w:r>
              <w:rPr>
                <w:rFonts w:cs="Arial"/>
                <w:b/>
                <w:bCs/>
                <w:sz w:val="18"/>
                <w:szCs w:val="18"/>
              </w:rPr>
              <w:t xml:space="preserve">369,937 </w:t>
            </w:r>
          </w:p>
        </w:tc>
      </w:tr>
      <w:tr w:rsidR="00AB6753" w14:paraId="46967C29" w14:textId="77777777" w:rsidTr="002D1EA4">
        <w:trPr>
          <w:trHeight w:val="240"/>
        </w:trPr>
        <w:tc>
          <w:tcPr>
            <w:tcW w:w="6396" w:type="dxa"/>
            <w:tcBorders>
              <w:top w:val="nil"/>
              <w:left w:val="nil"/>
              <w:bottom w:val="nil"/>
              <w:right w:val="nil"/>
            </w:tcBorders>
            <w:shd w:val="clear" w:color="FFFFFF" w:fill="FFFFFF"/>
            <w:vAlign w:val="bottom"/>
            <w:hideMark/>
          </w:tcPr>
          <w:p w14:paraId="720F65FB" w14:textId="77777777" w:rsidR="00AB6753" w:rsidRDefault="00AB6753" w:rsidP="002D1EA4">
            <w:pPr>
              <w:spacing w:after="0"/>
              <w:rPr>
                <w:rFonts w:cs="Arial"/>
                <w:sz w:val="18"/>
                <w:szCs w:val="18"/>
              </w:rPr>
            </w:pPr>
            <w:r>
              <w:rPr>
                <w:rFonts w:cs="Arial"/>
                <w:sz w:val="18"/>
                <w:szCs w:val="18"/>
              </w:rPr>
              <w:t>Less: GST commitment receivable</w:t>
            </w:r>
          </w:p>
        </w:tc>
        <w:tc>
          <w:tcPr>
            <w:tcW w:w="1256" w:type="dxa"/>
            <w:tcBorders>
              <w:top w:val="nil"/>
              <w:left w:val="nil"/>
              <w:bottom w:val="nil"/>
              <w:right w:val="nil"/>
            </w:tcBorders>
            <w:shd w:val="clear" w:color="FFFFFF" w:fill="FFFFFF"/>
            <w:noWrap/>
            <w:vAlign w:val="bottom"/>
            <w:hideMark/>
          </w:tcPr>
          <w:p w14:paraId="53C84F49" w14:textId="77777777" w:rsidR="00AB6753" w:rsidRDefault="00AB6753" w:rsidP="002D1EA4">
            <w:pPr>
              <w:spacing w:after="0"/>
              <w:jc w:val="right"/>
              <w:rPr>
                <w:rFonts w:cs="Arial"/>
                <w:b/>
                <w:bCs/>
                <w:sz w:val="18"/>
                <w:szCs w:val="18"/>
              </w:rPr>
            </w:pPr>
            <w:r>
              <w:rPr>
                <w:rFonts w:cs="Arial"/>
                <w:b/>
                <w:bCs/>
                <w:sz w:val="18"/>
                <w:szCs w:val="18"/>
              </w:rPr>
              <w:t>(33,630)</w:t>
            </w:r>
          </w:p>
        </w:tc>
      </w:tr>
      <w:tr w:rsidR="00AB6753" w14:paraId="371C8B27" w14:textId="77777777" w:rsidTr="002D1EA4">
        <w:trPr>
          <w:trHeight w:val="240"/>
        </w:trPr>
        <w:tc>
          <w:tcPr>
            <w:tcW w:w="6396" w:type="dxa"/>
            <w:tcBorders>
              <w:top w:val="nil"/>
              <w:left w:val="nil"/>
              <w:bottom w:val="nil"/>
              <w:right w:val="nil"/>
            </w:tcBorders>
            <w:shd w:val="clear" w:color="FFFFFF" w:fill="FFFFFF"/>
            <w:vAlign w:val="bottom"/>
            <w:hideMark/>
          </w:tcPr>
          <w:p w14:paraId="1626062A" w14:textId="77777777" w:rsidR="00AB6753" w:rsidRDefault="00AB6753" w:rsidP="002D1EA4">
            <w:pPr>
              <w:spacing w:after="0"/>
              <w:rPr>
                <w:rFonts w:cs="Arial"/>
                <w:sz w:val="18"/>
                <w:szCs w:val="18"/>
              </w:rPr>
            </w:pPr>
            <w:r>
              <w:rPr>
                <w:rFonts w:cs="Arial"/>
                <w:sz w:val="18"/>
                <w:szCs w:val="18"/>
              </w:rPr>
              <w:t>Less: short-term leases not recognised under AASB 16</w:t>
            </w:r>
          </w:p>
        </w:tc>
        <w:tc>
          <w:tcPr>
            <w:tcW w:w="1256" w:type="dxa"/>
            <w:tcBorders>
              <w:top w:val="nil"/>
              <w:left w:val="nil"/>
              <w:bottom w:val="nil"/>
              <w:right w:val="nil"/>
            </w:tcBorders>
            <w:shd w:val="clear" w:color="FFFFFF" w:fill="FFFFFF"/>
            <w:noWrap/>
            <w:vAlign w:val="bottom"/>
            <w:hideMark/>
          </w:tcPr>
          <w:p w14:paraId="4BC747DB" w14:textId="77777777" w:rsidR="00AB6753" w:rsidRDefault="00AB6753" w:rsidP="002D1EA4">
            <w:pPr>
              <w:spacing w:after="0"/>
              <w:jc w:val="right"/>
              <w:rPr>
                <w:rFonts w:cs="Arial"/>
                <w:b/>
                <w:bCs/>
                <w:sz w:val="18"/>
                <w:szCs w:val="18"/>
              </w:rPr>
            </w:pPr>
            <w:r>
              <w:rPr>
                <w:rFonts w:cs="Arial"/>
                <w:b/>
                <w:bCs/>
                <w:sz w:val="18"/>
                <w:szCs w:val="18"/>
              </w:rPr>
              <w:t>(886)</w:t>
            </w:r>
          </w:p>
        </w:tc>
      </w:tr>
      <w:tr w:rsidR="00AB6753" w14:paraId="15E003C3" w14:textId="77777777" w:rsidTr="002D1EA4">
        <w:trPr>
          <w:trHeight w:val="240"/>
        </w:trPr>
        <w:tc>
          <w:tcPr>
            <w:tcW w:w="6396" w:type="dxa"/>
            <w:tcBorders>
              <w:top w:val="nil"/>
              <w:left w:val="nil"/>
              <w:bottom w:val="nil"/>
              <w:right w:val="nil"/>
            </w:tcBorders>
            <w:shd w:val="clear" w:color="FFFFFF" w:fill="FFFFFF"/>
            <w:vAlign w:val="bottom"/>
            <w:hideMark/>
          </w:tcPr>
          <w:p w14:paraId="5D1334E7" w14:textId="77777777" w:rsidR="00AB6753" w:rsidRDefault="00AB6753" w:rsidP="002D1EA4">
            <w:pPr>
              <w:spacing w:after="0"/>
              <w:rPr>
                <w:rFonts w:cs="Arial"/>
                <w:sz w:val="18"/>
                <w:szCs w:val="18"/>
              </w:rPr>
            </w:pPr>
            <w:r>
              <w:rPr>
                <w:rFonts w:cs="Arial"/>
                <w:sz w:val="18"/>
                <w:szCs w:val="18"/>
              </w:rPr>
              <w:t>Less: low value leases not recognised under AASB 16</w:t>
            </w:r>
          </w:p>
        </w:tc>
        <w:tc>
          <w:tcPr>
            <w:tcW w:w="1256" w:type="dxa"/>
            <w:tcBorders>
              <w:top w:val="nil"/>
              <w:left w:val="nil"/>
              <w:bottom w:val="nil"/>
              <w:right w:val="nil"/>
            </w:tcBorders>
            <w:shd w:val="clear" w:color="FFFFFF" w:fill="FFFFFF"/>
            <w:noWrap/>
            <w:vAlign w:val="bottom"/>
            <w:hideMark/>
          </w:tcPr>
          <w:p w14:paraId="44E164AC" w14:textId="77777777" w:rsidR="00AB6753" w:rsidRDefault="00AB6753" w:rsidP="002D1EA4">
            <w:pPr>
              <w:spacing w:after="0"/>
              <w:jc w:val="right"/>
              <w:rPr>
                <w:rFonts w:cs="Arial"/>
                <w:b/>
                <w:bCs/>
                <w:sz w:val="18"/>
                <w:szCs w:val="18"/>
              </w:rPr>
            </w:pPr>
            <w:r>
              <w:rPr>
                <w:rFonts w:cs="Arial"/>
                <w:b/>
                <w:bCs/>
                <w:sz w:val="18"/>
                <w:szCs w:val="18"/>
              </w:rPr>
              <w:t>(1,127)</w:t>
            </w:r>
          </w:p>
        </w:tc>
      </w:tr>
      <w:tr w:rsidR="00AB6753" w14:paraId="263F62FE" w14:textId="77777777" w:rsidTr="002D1EA4">
        <w:trPr>
          <w:trHeight w:val="240"/>
        </w:trPr>
        <w:tc>
          <w:tcPr>
            <w:tcW w:w="6396" w:type="dxa"/>
            <w:tcBorders>
              <w:top w:val="nil"/>
              <w:left w:val="nil"/>
              <w:bottom w:val="nil"/>
              <w:right w:val="nil"/>
            </w:tcBorders>
            <w:shd w:val="clear" w:color="FFFFFF" w:fill="FFFFFF"/>
            <w:vAlign w:val="bottom"/>
            <w:hideMark/>
          </w:tcPr>
          <w:p w14:paraId="4DFD0B2F" w14:textId="77777777" w:rsidR="00AB6753" w:rsidRDefault="00AB6753" w:rsidP="002D1EA4">
            <w:pPr>
              <w:spacing w:after="0"/>
              <w:rPr>
                <w:rFonts w:cs="Arial"/>
                <w:sz w:val="18"/>
                <w:szCs w:val="18"/>
              </w:rPr>
            </w:pPr>
            <w:r>
              <w:rPr>
                <w:rFonts w:cs="Arial"/>
                <w:sz w:val="18"/>
                <w:szCs w:val="18"/>
              </w:rPr>
              <w:t>Plus: effect of extension options reasonable certain to be exercised</w:t>
            </w:r>
          </w:p>
        </w:tc>
        <w:tc>
          <w:tcPr>
            <w:tcW w:w="1256" w:type="dxa"/>
            <w:tcBorders>
              <w:top w:val="nil"/>
              <w:left w:val="nil"/>
              <w:bottom w:val="nil"/>
              <w:right w:val="nil"/>
            </w:tcBorders>
            <w:shd w:val="clear" w:color="FFFFFF" w:fill="FFFFFF"/>
            <w:noWrap/>
            <w:vAlign w:val="bottom"/>
            <w:hideMark/>
          </w:tcPr>
          <w:p w14:paraId="7FA2DE84" w14:textId="77777777" w:rsidR="00AB6753" w:rsidRDefault="00AB6753" w:rsidP="002D1EA4">
            <w:pPr>
              <w:spacing w:after="0"/>
              <w:jc w:val="right"/>
              <w:rPr>
                <w:rFonts w:cs="Arial"/>
                <w:b/>
                <w:bCs/>
                <w:sz w:val="18"/>
                <w:szCs w:val="18"/>
              </w:rPr>
            </w:pPr>
            <w:r>
              <w:rPr>
                <w:rFonts w:cs="Arial"/>
                <w:b/>
                <w:bCs/>
                <w:sz w:val="18"/>
                <w:szCs w:val="18"/>
              </w:rPr>
              <w:t xml:space="preserve">355,132 </w:t>
            </w:r>
          </w:p>
        </w:tc>
      </w:tr>
      <w:tr w:rsidR="00AB6753" w14:paraId="3F93C7F3" w14:textId="77777777" w:rsidTr="002D1EA4">
        <w:trPr>
          <w:trHeight w:val="240"/>
        </w:trPr>
        <w:tc>
          <w:tcPr>
            <w:tcW w:w="6396" w:type="dxa"/>
            <w:tcBorders>
              <w:top w:val="nil"/>
              <w:left w:val="nil"/>
              <w:bottom w:val="nil"/>
              <w:right w:val="nil"/>
            </w:tcBorders>
            <w:shd w:val="clear" w:color="FFFFFF" w:fill="FFFFFF"/>
            <w:vAlign w:val="bottom"/>
            <w:hideMark/>
          </w:tcPr>
          <w:p w14:paraId="68C5799F" w14:textId="77777777" w:rsidR="00AB6753" w:rsidRDefault="00AB6753" w:rsidP="002D1EA4">
            <w:pPr>
              <w:spacing w:after="0"/>
              <w:rPr>
                <w:rFonts w:cs="Arial"/>
                <w:b/>
                <w:bCs/>
                <w:sz w:val="18"/>
                <w:szCs w:val="18"/>
              </w:rPr>
            </w:pPr>
            <w:r>
              <w:rPr>
                <w:rFonts w:cs="Arial"/>
                <w:b/>
                <w:bCs/>
                <w:sz w:val="18"/>
                <w:szCs w:val="18"/>
              </w:rPr>
              <w:t>Undiscounted lease payments</w:t>
            </w:r>
          </w:p>
        </w:tc>
        <w:tc>
          <w:tcPr>
            <w:tcW w:w="1256" w:type="dxa"/>
            <w:tcBorders>
              <w:top w:val="single" w:sz="4" w:space="0" w:color="auto"/>
              <w:left w:val="nil"/>
              <w:bottom w:val="single" w:sz="4" w:space="0" w:color="auto"/>
              <w:right w:val="nil"/>
            </w:tcBorders>
            <w:shd w:val="clear" w:color="FFFFFF" w:fill="FFFFFF"/>
            <w:noWrap/>
            <w:vAlign w:val="bottom"/>
            <w:hideMark/>
          </w:tcPr>
          <w:p w14:paraId="7AD7B04F" w14:textId="77777777" w:rsidR="00AB6753" w:rsidRDefault="00AB6753" w:rsidP="002D1EA4">
            <w:pPr>
              <w:spacing w:after="0"/>
              <w:jc w:val="right"/>
              <w:rPr>
                <w:rFonts w:cs="Arial"/>
                <w:b/>
                <w:bCs/>
                <w:sz w:val="18"/>
                <w:szCs w:val="18"/>
              </w:rPr>
            </w:pPr>
            <w:r>
              <w:rPr>
                <w:rFonts w:cs="Arial"/>
                <w:b/>
                <w:bCs/>
                <w:sz w:val="18"/>
                <w:szCs w:val="18"/>
              </w:rPr>
              <w:t>689,426</w:t>
            </w:r>
          </w:p>
        </w:tc>
      </w:tr>
      <w:tr w:rsidR="00AB6753" w14:paraId="684C62D7" w14:textId="77777777" w:rsidTr="002D1EA4">
        <w:trPr>
          <w:trHeight w:val="480"/>
        </w:trPr>
        <w:tc>
          <w:tcPr>
            <w:tcW w:w="6396" w:type="dxa"/>
            <w:tcBorders>
              <w:top w:val="nil"/>
              <w:left w:val="nil"/>
              <w:bottom w:val="nil"/>
              <w:right w:val="nil"/>
            </w:tcBorders>
            <w:shd w:val="clear" w:color="FFFFFF" w:fill="FFFFFF"/>
            <w:vAlign w:val="bottom"/>
            <w:hideMark/>
          </w:tcPr>
          <w:p w14:paraId="236A9BDB" w14:textId="77777777" w:rsidR="00AB6753" w:rsidRDefault="00AB6753" w:rsidP="002D1EA4">
            <w:pPr>
              <w:spacing w:after="0"/>
              <w:rPr>
                <w:rFonts w:cs="Arial"/>
                <w:sz w:val="18"/>
                <w:szCs w:val="18"/>
              </w:rPr>
            </w:pPr>
            <w:r>
              <w:rPr>
                <w:rFonts w:cs="Arial"/>
                <w:sz w:val="18"/>
                <w:szCs w:val="18"/>
              </w:rPr>
              <w:t>Less: effect of discounting using the incremental borrowing rate as at the date of initial application</w:t>
            </w:r>
          </w:p>
        </w:tc>
        <w:tc>
          <w:tcPr>
            <w:tcW w:w="1256" w:type="dxa"/>
            <w:tcBorders>
              <w:top w:val="nil"/>
              <w:left w:val="nil"/>
              <w:bottom w:val="nil"/>
              <w:right w:val="nil"/>
            </w:tcBorders>
            <w:shd w:val="clear" w:color="FFFFFF" w:fill="FFFFFF"/>
            <w:noWrap/>
            <w:vAlign w:val="bottom"/>
            <w:hideMark/>
          </w:tcPr>
          <w:p w14:paraId="4BE9ED96" w14:textId="77777777" w:rsidR="00AB6753" w:rsidRDefault="00AB6753" w:rsidP="002D1EA4">
            <w:pPr>
              <w:spacing w:after="0"/>
              <w:jc w:val="right"/>
              <w:rPr>
                <w:rFonts w:cs="Arial"/>
                <w:b/>
                <w:bCs/>
                <w:sz w:val="18"/>
                <w:szCs w:val="18"/>
              </w:rPr>
            </w:pPr>
            <w:r>
              <w:rPr>
                <w:rFonts w:cs="Arial"/>
                <w:b/>
                <w:bCs/>
                <w:sz w:val="18"/>
                <w:szCs w:val="18"/>
              </w:rPr>
              <w:t>(113,123)</w:t>
            </w:r>
          </w:p>
        </w:tc>
      </w:tr>
      <w:tr w:rsidR="00AB6753" w14:paraId="6068E9DF" w14:textId="77777777" w:rsidTr="002D1EA4">
        <w:trPr>
          <w:trHeight w:val="240"/>
        </w:trPr>
        <w:tc>
          <w:tcPr>
            <w:tcW w:w="6396" w:type="dxa"/>
            <w:tcBorders>
              <w:top w:val="nil"/>
              <w:left w:val="nil"/>
              <w:bottom w:val="nil"/>
              <w:right w:val="nil"/>
            </w:tcBorders>
            <w:shd w:val="clear" w:color="FFFFFF" w:fill="FFFFFF"/>
            <w:vAlign w:val="bottom"/>
            <w:hideMark/>
          </w:tcPr>
          <w:p w14:paraId="5578B9A8" w14:textId="77777777" w:rsidR="00AB6753" w:rsidRDefault="00AB6753" w:rsidP="002D1EA4">
            <w:pPr>
              <w:spacing w:after="0"/>
              <w:rPr>
                <w:rFonts w:cs="Arial"/>
                <w:b/>
                <w:bCs/>
                <w:sz w:val="18"/>
                <w:szCs w:val="18"/>
              </w:rPr>
            </w:pPr>
            <w:r>
              <w:rPr>
                <w:rFonts w:cs="Arial"/>
                <w:b/>
                <w:bCs/>
                <w:sz w:val="18"/>
                <w:szCs w:val="18"/>
              </w:rPr>
              <w:t>Lease liabilities recognised at 1 July 2019</w:t>
            </w:r>
          </w:p>
        </w:tc>
        <w:tc>
          <w:tcPr>
            <w:tcW w:w="1256" w:type="dxa"/>
            <w:tcBorders>
              <w:top w:val="single" w:sz="4" w:space="0" w:color="auto"/>
              <w:left w:val="nil"/>
              <w:bottom w:val="single" w:sz="4" w:space="0" w:color="auto"/>
              <w:right w:val="nil"/>
            </w:tcBorders>
            <w:shd w:val="clear" w:color="FFFFFF" w:fill="FFFFFF"/>
            <w:noWrap/>
            <w:vAlign w:val="bottom"/>
            <w:hideMark/>
          </w:tcPr>
          <w:p w14:paraId="13773CEC" w14:textId="77777777" w:rsidR="00AB6753" w:rsidRDefault="00AB6753" w:rsidP="002D1EA4">
            <w:pPr>
              <w:spacing w:after="0"/>
              <w:jc w:val="right"/>
              <w:rPr>
                <w:rFonts w:cs="Arial"/>
                <w:b/>
                <w:bCs/>
                <w:sz w:val="18"/>
                <w:szCs w:val="18"/>
              </w:rPr>
            </w:pPr>
            <w:r>
              <w:rPr>
                <w:rFonts w:cs="Arial"/>
                <w:b/>
                <w:bCs/>
                <w:sz w:val="18"/>
                <w:szCs w:val="18"/>
              </w:rPr>
              <w:t>576,303</w:t>
            </w:r>
          </w:p>
        </w:tc>
      </w:tr>
    </w:tbl>
    <w:p w14:paraId="33E0FC6F" w14:textId="77777777" w:rsidR="00AB6753" w:rsidRDefault="00AB6753" w:rsidP="00AB6753">
      <w:pPr>
        <w:pStyle w:val="NotesTextnolinespace"/>
        <w:rPr>
          <w:szCs w:val="18"/>
          <w:u w:val="single"/>
        </w:rPr>
      </w:pPr>
    </w:p>
    <w:p w14:paraId="594101CB" w14:textId="77777777" w:rsidR="00AB6753" w:rsidRPr="001D4735" w:rsidRDefault="00AB6753" w:rsidP="00AB6753">
      <w:pPr>
        <w:pStyle w:val="NotesTextnolinespace"/>
        <w:rPr>
          <w:szCs w:val="18"/>
          <w:u w:val="single"/>
        </w:rPr>
        <w:sectPr w:rsidR="00AB6753" w:rsidRPr="001D4735" w:rsidSect="00C63A3F">
          <w:headerReference w:type="default" r:id="rId69"/>
          <w:pgSz w:w="11906" w:h="16838" w:code="9"/>
          <w:pgMar w:top="1134" w:right="1416" w:bottom="1134" w:left="1134" w:header="958" w:footer="737" w:gutter="0"/>
          <w:cols w:space="708"/>
          <w:docGrid w:linePitch="360"/>
        </w:sectPr>
      </w:pPr>
    </w:p>
    <w:p w14:paraId="2DEEAFEC" w14:textId="77777777" w:rsidR="00AB6753" w:rsidRPr="00996C64" w:rsidRDefault="00AB6753" w:rsidP="00AB6753">
      <w:pPr>
        <w:pStyle w:val="SectionHeading"/>
        <w:numPr>
          <w:ilvl w:val="0"/>
          <w:numId w:val="49"/>
        </w:numPr>
        <w:shd w:val="clear" w:color="auto" w:fill="00B2BA"/>
        <w:rPr>
          <w:rFonts w:ascii="Arial" w:hAnsi="Arial" w:cs="Arial"/>
          <w:color w:val="auto"/>
        </w:rPr>
      </w:pPr>
      <w:bookmarkStart w:id="68" w:name="_Toc444065770"/>
      <w:bookmarkStart w:id="69" w:name="_Toc444079969"/>
      <w:bookmarkStart w:id="70" w:name="_Toc450750155"/>
      <w:bookmarkStart w:id="71" w:name="_Toc45748800"/>
      <w:r w:rsidRPr="00996C64">
        <w:rPr>
          <w:rFonts w:ascii="Arial" w:hAnsi="Arial" w:cs="Arial"/>
          <w:color w:val="auto"/>
        </w:rPr>
        <w:lastRenderedPageBreak/>
        <w:t>Financial Performance</w:t>
      </w:r>
      <w:bookmarkEnd w:id="68"/>
      <w:bookmarkEnd w:id="69"/>
      <w:bookmarkEnd w:id="70"/>
      <w:bookmarkEnd w:id="71"/>
    </w:p>
    <w:p w14:paraId="38DFCF25" w14:textId="77777777" w:rsidR="00AB6753" w:rsidRPr="00A71D8D" w:rsidRDefault="00AB6753" w:rsidP="00AB6753">
      <w:pPr>
        <w:pStyle w:val="SubHeading"/>
        <w:numPr>
          <w:ilvl w:val="1"/>
          <w:numId w:val="49"/>
        </w:numPr>
        <w:ind w:hanging="4188"/>
        <w:rPr>
          <w:sz w:val="20"/>
        </w:rPr>
      </w:pPr>
      <w:bookmarkStart w:id="72" w:name="_Toc443469523"/>
      <w:bookmarkStart w:id="73" w:name="_Toc444065772"/>
      <w:bookmarkStart w:id="74" w:name="_Toc444079970"/>
      <w:bookmarkStart w:id="75" w:name="_Toc450750156"/>
      <w:bookmarkStart w:id="76" w:name="_Ref456958236"/>
      <w:bookmarkStart w:id="77" w:name="_Toc45748801"/>
      <w:r w:rsidRPr="00A71D8D">
        <w:rPr>
          <w:sz w:val="20"/>
        </w:rPr>
        <w:t>Expenses</w:t>
      </w:r>
      <w:bookmarkEnd w:id="72"/>
      <w:bookmarkEnd w:id="73"/>
      <w:bookmarkEnd w:id="74"/>
      <w:bookmarkEnd w:id="75"/>
      <w:bookmarkEnd w:id="76"/>
      <w:bookmarkEnd w:id="77"/>
    </w:p>
    <w:tbl>
      <w:tblPr>
        <w:tblW w:w="9411" w:type="dxa"/>
        <w:tblInd w:w="80" w:type="dxa"/>
        <w:tblLayout w:type="fixed"/>
        <w:tblLook w:val="04A0" w:firstRow="1" w:lastRow="0" w:firstColumn="1" w:lastColumn="0" w:noHBand="0" w:noVBand="1"/>
        <w:tblCaption w:val="Notes to and forming part of the financial statements"/>
        <w:tblDescription w:val="1 Financial Performance, Expenses."/>
      </w:tblPr>
      <w:tblGrid>
        <w:gridCol w:w="6561"/>
        <w:gridCol w:w="1288"/>
        <w:gridCol w:w="274"/>
        <w:gridCol w:w="1288"/>
      </w:tblGrid>
      <w:tr w:rsidR="00AB6753" w14:paraId="7D26181C" w14:textId="77777777" w:rsidTr="002D1EA4">
        <w:trPr>
          <w:trHeight w:val="240"/>
        </w:trPr>
        <w:tc>
          <w:tcPr>
            <w:tcW w:w="6396" w:type="dxa"/>
            <w:tcBorders>
              <w:top w:val="nil"/>
              <w:left w:val="nil"/>
              <w:bottom w:val="nil"/>
              <w:right w:val="nil"/>
            </w:tcBorders>
            <w:shd w:val="clear" w:color="FFFFFF" w:fill="FFFFFF"/>
            <w:noWrap/>
            <w:vAlign w:val="bottom"/>
            <w:hideMark/>
          </w:tcPr>
          <w:p w14:paraId="7D1A932F" w14:textId="77777777" w:rsidR="00AB6753" w:rsidRDefault="00AB6753" w:rsidP="002D1EA4">
            <w:pPr>
              <w:spacing w:after="0"/>
              <w:rPr>
                <w:rFonts w:cs="Arial"/>
                <w:sz w:val="18"/>
                <w:szCs w:val="18"/>
              </w:rPr>
            </w:pPr>
            <w:bookmarkStart w:id="78" w:name="Note_EEXTABLE1" w:colFirst="0" w:colLast="0"/>
            <w:r>
              <w:rPr>
                <w:rFonts w:cs="Arial"/>
                <w:sz w:val="18"/>
                <w:szCs w:val="18"/>
              </w:rPr>
              <w:t> </w:t>
            </w:r>
          </w:p>
        </w:tc>
        <w:tc>
          <w:tcPr>
            <w:tcW w:w="1256" w:type="dxa"/>
            <w:tcBorders>
              <w:top w:val="nil"/>
              <w:left w:val="nil"/>
              <w:bottom w:val="nil"/>
              <w:right w:val="nil"/>
            </w:tcBorders>
            <w:shd w:val="clear" w:color="FFFFFF" w:fill="FFFFFF"/>
            <w:vAlign w:val="bottom"/>
            <w:hideMark/>
          </w:tcPr>
          <w:p w14:paraId="7F8D5C9E" w14:textId="77777777" w:rsidR="00AB6753" w:rsidRDefault="00AB6753" w:rsidP="002D1EA4">
            <w:pPr>
              <w:spacing w:after="0"/>
              <w:jc w:val="right"/>
              <w:rPr>
                <w:rFonts w:cs="Arial"/>
                <w:b/>
                <w:bCs/>
                <w:sz w:val="18"/>
                <w:szCs w:val="18"/>
              </w:rPr>
            </w:pPr>
            <w:r>
              <w:rPr>
                <w:rFonts w:cs="Arial"/>
                <w:b/>
                <w:bCs/>
                <w:sz w:val="18"/>
                <w:szCs w:val="18"/>
              </w:rPr>
              <w:t>2020</w:t>
            </w:r>
          </w:p>
        </w:tc>
        <w:tc>
          <w:tcPr>
            <w:tcW w:w="267" w:type="dxa"/>
            <w:tcBorders>
              <w:top w:val="nil"/>
              <w:left w:val="nil"/>
              <w:bottom w:val="nil"/>
              <w:right w:val="nil"/>
            </w:tcBorders>
            <w:shd w:val="clear" w:color="FFFFFF" w:fill="FFFFFF"/>
            <w:noWrap/>
            <w:vAlign w:val="bottom"/>
            <w:hideMark/>
          </w:tcPr>
          <w:p w14:paraId="6D2724FD"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11C2E70A" w14:textId="77777777" w:rsidR="00AB6753" w:rsidRDefault="00AB6753" w:rsidP="002D1EA4">
            <w:pPr>
              <w:spacing w:after="0"/>
              <w:jc w:val="right"/>
              <w:rPr>
                <w:rFonts w:cs="Arial"/>
                <w:sz w:val="18"/>
                <w:szCs w:val="18"/>
              </w:rPr>
            </w:pPr>
            <w:r>
              <w:rPr>
                <w:rFonts w:cs="Arial"/>
                <w:sz w:val="18"/>
                <w:szCs w:val="18"/>
              </w:rPr>
              <w:t>2019</w:t>
            </w:r>
          </w:p>
        </w:tc>
      </w:tr>
      <w:bookmarkEnd w:id="78"/>
      <w:tr w:rsidR="00AB6753" w14:paraId="316E1CD1" w14:textId="77777777" w:rsidTr="002D1EA4">
        <w:trPr>
          <w:trHeight w:val="240"/>
        </w:trPr>
        <w:tc>
          <w:tcPr>
            <w:tcW w:w="6396" w:type="dxa"/>
            <w:tcBorders>
              <w:top w:val="nil"/>
              <w:left w:val="nil"/>
              <w:bottom w:val="nil"/>
              <w:right w:val="nil"/>
            </w:tcBorders>
            <w:shd w:val="clear" w:color="FFFFFF" w:fill="FFFFFF"/>
            <w:noWrap/>
            <w:vAlign w:val="bottom"/>
            <w:hideMark/>
          </w:tcPr>
          <w:p w14:paraId="3977F431"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49DFC5C1" w14:textId="77777777" w:rsidR="00AB6753" w:rsidRDefault="00AB6753" w:rsidP="002D1EA4">
            <w:pPr>
              <w:spacing w:after="0"/>
              <w:jc w:val="right"/>
              <w:rPr>
                <w:rFonts w:cs="Arial"/>
                <w:b/>
                <w:bCs/>
                <w:sz w:val="18"/>
                <w:szCs w:val="18"/>
              </w:rPr>
            </w:pPr>
            <w:r>
              <w:rPr>
                <w:rFonts w:cs="Arial"/>
                <w:b/>
                <w:bCs/>
                <w:sz w:val="18"/>
                <w:szCs w:val="18"/>
              </w:rPr>
              <w:t>$'000</w:t>
            </w:r>
          </w:p>
        </w:tc>
        <w:tc>
          <w:tcPr>
            <w:tcW w:w="267" w:type="dxa"/>
            <w:tcBorders>
              <w:top w:val="nil"/>
              <w:left w:val="nil"/>
              <w:bottom w:val="nil"/>
              <w:right w:val="nil"/>
            </w:tcBorders>
            <w:shd w:val="clear" w:color="FFFFFF" w:fill="FFFFFF"/>
            <w:noWrap/>
            <w:vAlign w:val="bottom"/>
            <w:hideMark/>
          </w:tcPr>
          <w:p w14:paraId="28B261AB"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5E59ADD1" w14:textId="77777777" w:rsidR="00AB6753" w:rsidRDefault="00AB6753" w:rsidP="002D1EA4">
            <w:pPr>
              <w:spacing w:after="0"/>
              <w:jc w:val="right"/>
              <w:rPr>
                <w:rFonts w:cs="Arial"/>
                <w:sz w:val="18"/>
                <w:szCs w:val="18"/>
              </w:rPr>
            </w:pPr>
            <w:r>
              <w:rPr>
                <w:rFonts w:cs="Arial"/>
                <w:sz w:val="18"/>
                <w:szCs w:val="18"/>
              </w:rPr>
              <w:t>$'000</w:t>
            </w:r>
          </w:p>
        </w:tc>
      </w:tr>
      <w:tr w:rsidR="00AB6753" w14:paraId="3528336D" w14:textId="77777777" w:rsidTr="002D1EA4">
        <w:trPr>
          <w:trHeight w:val="240"/>
        </w:trPr>
        <w:tc>
          <w:tcPr>
            <w:tcW w:w="6396" w:type="dxa"/>
            <w:tcBorders>
              <w:top w:val="nil"/>
              <w:left w:val="nil"/>
              <w:bottom w:val="nil"/>
              <w:right w:val="nil"/>
            </w:tcBorders>
            <w:shd w:val="clear" w:color="FFFFFF" w:fill="FFFFFF"/>
            <w:noWrap/>
            <w:vAlign w:val="bottom"/>
            <w:hideMark/>
          </w:tcPr>
          <w:p w14:paraId="68545B5C" w14:textId="77777777" w:rsidR="00AB6753" w:rsidRDefault="00AB6753" w:rsidP="002D1EA4">
            <w:pPr>
              <w:spacing w:after="0"/>
              <w:rPr>
                <w:rFonts w:cs="Arial"/>
                <w:b/>
                <w:bCs/>
                <w:sz w:val="18"/>
                <w:szCs w:val="18"/>
                <w:u w:val="single"/>
              </w:rPr>
            </w:pPr>
            <w:r>
              <w:rPr>
                <w:rFonts w:cs="Arial"/>
                <w:b/>
                <w:bCs/>
                <w:sz w:val="18"/>
                <w:szCs w:val="18"/>
                <w:u w:val="single"/>
              </w:rPr>
              <w:t>Note 1.1A: Employee Benefits</w:t>
            </w:r>
          </w:p>
        </w:tc>
        <w:tc>
          <w:tcPr>
            <w:tcW w:w="1256" w:type="dxa"/>
            <w:tcBorders>
              <w:top w:val="nil"/>
              <w:left w:val="nil"/>
              <w:bottom w:val="nil"/>
              <w:right w:val="nil"/>
            </w:tcBorders>
            <w:shd w:val="clear" w:color="FFFFFF" w:fill="FFFFFF"/>
            <w:noWrap/>
            <w:vAlign w:val="bottom"/>
            <w:hideMark/>
          </w:tcPr>
          <w:p w14:paraId="0741C5AC"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01490485"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693F1C29" w14:textId="77777777" w:rsidR="00AB6753" w:rsidRDefault="00AB6753" w:rsidP="002D1EA4">
            <w:pPr>
              <w:spacing w:after="0"/>
              <w:rPr>
                <w:rFonts w:cs="Arial"/>
                <w:sz w:val="18"/>
                <w:szCs w:val="18"/>
              </w:rPr>
            </w:pPr>
            <w:r>
              <w:rPr>
                <w:rFonts w:cs="Arial"/>
                <w:sz w:val="18"/>
                <w:szCs w:val="18"/>
              </w:rPr>
              <w:t> </w:t>
            </w:r>
          </w:p>
        </w:tc>
      </w:tr>
      <w:tr w:rsidR="00AB6753" w14:paraId="1F2C9DA8" w14:textId="77777777" w:rsidTr="002D1EA4">
        <w:trPr>
          <w:trHeight w:val="240"/>
        </w:trPr>
        <w:tc>
          <w:tcPr>
            <w:tcW w:w="6396" w:type="dxa"/>
            <w:tcBorders>
              <w:top w:val="nil"/>
              <w:left w:val="nil"/>
              <w:bottom w:val="nil"/>
              <w:right w:val="nil"/>
            </w:tcBorders>
            <w:shd w:val="clear" w:color="FFFFFF" w:fill="FFFFFF"/>
            <w:vAlign w:val="bottom"/>
            <w:hideMark/>
          </w:tcPr>
          <w:p w14:paraId="6249BC6E" w14:textId="77777777" w:rsidR="00AB6753" w:rsidRDefault="00AB6753" w:rsidP="002D1EA4">
            <w:pPr>
              <w:spacing w:after="0"/>
              <w:rPr>
                <w:rFonts w:cs="Arial"/>
                <w:sz w:val="18"/>
                <w:szCs w:val="18"/>
              </w:rPr>
            </w:pPr>
            <w:r>
              <w:rPr>
                <w:rFonts w:cs="Arial"/>
                <w:sz w:val="18"/>
                <w:szCs w:val="18"/>
              </w:rPr>
              <w:t>Wages and salaries</w:t>
            </w:r>
          </w:p>
        </w:tc>
        <w:tc>
          <w:tcPr>
            <w:tcW w:w="1256" w:type="dxa"/>
            <w:tcBorders>
              <w:top w:val="nil"/>
              <w:left w:val="nil"/>
              <w:bottom w:val="nil"/>
              <w:right w:val="nil"/>
            </w:tcBorders>
            <w:shd w:val="clear" w:color="FFFFFF" w:fill="FFFFFF"/>
            <w:noWrap/>
            <w:vAlign w:val="bottom"/>
            <w:hideMark/>
          </w:tcPr>
          <w:p w14:paraId="41CEAE03" w14:textId="77777777" w:rsidR="00AB6753" w:rsidRDefault="00AB6753" w:rsidP="002D1EA4">
            <w:pPr>
              <w:spacing w:after="0"/>
              <w:jc w:val="right"/>
              <w:rPr>
                <w:rFonts w:cs="Arial"/>
                <w:b/>
                <w:bCs/>
                <w:sz w:val="18"/>
                <w:szCs w:val="18"/>
              </w:rPr>
            </w:pPr>
            <w:r>
              <w:rPr>
                <w:rFonts w:cs="Arial"/>
                <w:b/>
                <w:bCs/>
                <w:sz w:val="18"/>
                <w:szCs w:val="18"/>
              </w:rPr>
              <w:t>199,304</w:t>
            </w:r>
          </w:p>
        </w:tc>
        <w:tc>
          <w:tcPr>
            <w:tcW w:w="267" w:type="dxa"/>
            <w:tcBorders>
              <w:top w:val="nil"/>
              <w:left w:val="nil"/>
              <w:bottom w:val="nil"/>
              <w:right w:val="nil"/>
            </w:tcBorders>
            <w:shd w:val="clear" w:color="FFFFFF" w:fill="FFFFFF"/>
            <w:noWrap/>
            <w:vAlign w:val="bottom"/>
            <w:hideMark/>
          </w:tcPr>
          <w:p w14:paraId="30F69211"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7E4E5C01" w14:textId="77777777" w:rsidR="00AB6753" w:rsidRDefault="00AB6753" w:rsidP="002D1EA4">
            <w:pPr>
              <w:spacing w:after="0"/>
              <w:jc w:val="right"/>
              <w:rPr>
                <w:rFonts w:cs="Arial"/>
                <w:sz w:val="18"/>
                <w:szCs w:val="18"/>
              </w:rPr>
            </w:pPr>
            <w:r>
              <w:rPr>
                <w:rFonts w:cs="Arial"/>
                <w:sz w:val="18"/>
                <w:szCs w:val="18"/>
              </w:rPr>
              <w:t>190,651</w:t>
            </w:r>
          </w:p>
        </w:tc>
      </w:tr>
      <w:tr w:rsidR="00AB6753" w14:paraId="468FA6C4" w14:textId="77777777" w:rsidTr="002D1EA4">
        <w:trPr>
          <w:trHeight w:val="240"/>
        </w:trPr>
        <w:tc>
          <w:tcPr>
            <w:tcW w:w="6396" w:type="dxa"/>
            <w:tcBorders>
              <w:top w:val="nil"/>
              <w:left w:val="nil"/>
              <w:bottom w:val="nil"/>
              <w:right w:val="nil"/>
            </w:tcBorders>
            <w:shd w:val="clear" w:color="FFFFFF" w:fill="FFFFFF"/>
            <w:vAlign w:val="bottom"/>
            <w:hideMark/>
          </w:tcPr>
          <w:p w14:paraId="0DA90349" w14:textId="77777777" w:rsidR="00AB6753" w:rsidRDefault="00AB6753" w:rsidP="002D1EA4">
            <w:pPr>
              <w:spacing w:after="0"/>
              <w:rPr>
                <w:rFonts w:cs="Arial"/>
                <w:sz w:val="18"/>
                <w:szCs w:val="18"/>
              </w:rPr>
            </w:pPr>
            <w:r>
              <w:rPr>
                <w:rFonts w:cs="Arial"/>
                <w:sz w:val="18"/>
                <w:szCs w:val="18"/>
              </w:rPr>
              <w:t>Leave and other entitlements</w:t>
            </w:r>
          </w:p>
        </w:tc>
        <w:tc>
          <w:tcPr>
            <w:tcW w:w="1256" w:type="dxa"/>
            <w:tcBorders>
              <w:top w:val="nil"/>
              <w:left w:val="nil"/>
              <w:bottom w:val="nil"/>
              <w:right w:val="nil"/>
            </w:tcBorders>
            <w:shd w:val="clear" w:color="FFFFFF" w:fill="FFFFFF"/>
            <w:noWrap/>
            <w:vAlign w:val="bottom"/>
            <w:hideMark/>
          </w:tcPr>
          <w:p w14:paraId="27EFC569" w14:textId="77777777" w:rsidR="00AB6753" w:rsidRDefault="00AB6753" w:rsidP="002D1EA4">
            <w:pPr>
              <w:spacing w:after="0"/>
              <w:jc w:val="right"/>
              <w:rPr>
                <w:rFonts w:cs="Arial"/>
                <w:b/>
                <w:bCs/>
                <w:sz w:val="18"/>
                <w:szCs w:val="18"/>
              </w:rPr>
            </w:pPr>
            <w:r>
              <w:rPr>
                <w:rFonts w:cs="Arial"/>
                <w:b/>
                <w:bCs/>
                <w:sz w:val="18"/>
                <w:szCs w:val="18"/>
              </w:rPr>
              <w:t>41,840</w:t>
            </w:r>
          </w:p>
        </w:tc>
        <w:tc>
          <w:tcPr>
            <w:tcW w:w="267" w:type="dxa"/>
            <w:tcBorders>
              <w:top w:val="nil"/>
              <w:left w:val="nil"/>
              <w:bottom w:val="nil"/>
              <w:right w:val="nil"/>
            </w:tcBorders>
            <w:shd w:val="clear" w:color="FFFFFF" w:fill="FFFFFF"/>
            <w:noWrap/>
            <w:vAlign w:val="bottom"/>
            <w:hideMark/>
          </w:tcPr>
          <w:p w14:paraId="34752855"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0D9920E5" w14:textId="77777777" w:rsidR="00AB6753" w:rsidRDefault="00AB6753" w:rsidP="002D1EA4">
            <w:pPr>
              <w:spacing w:after="0"/>
              <w:jc w:val="right"/>
              <w:rPr>
                <w:rFonts w:cs="Arial"/>
                <w:sz w:val="18"/>
                <w:szCs w:val="18"/>
              </w:rPr>
            </w:pPr>
            <w:r>
              <w:rPr>
                <w:rFonts w:cs="Arial"/>
                <w:sz w:val="18"/>
                <w:szCs w:val="18"/>
              </w:rPr>
              <w:t>51,556</w:t>
            </w:r>
          </w:p>
        </w:tc>
      </w:tr>
      <w:tr w:rsidR="00AB6753" w14:paraId="6FAE4CB1" w14:textId="77777777" w:rsidTr="002D1EA4">
        <w:trPr>
          <w:trHeight w:val="240"/>
        </w:trPr>
        <w:tc>
          <w:tcPr>
            <w:tcW w:w="6396" w:type="dxa"/>
            <w:tcBorders>
              <w:top w:val="nil"/>
              <w:left w:val="nil"/>
              <w:bottom w:val="nil"/>
              <w:right w:val="nil"/>
            </w:tcBorders>
            <w:shd w:val="clear" w:color="FFFFFF" w:fill="FFFFFF"/>
            <w:vAlign w:val="bottom"/>
            <w:hideMark/>
          </w:tcPr>
          <w:p w14:paraId="0FFD822D" w14:textId="77777777" w:rsidR="00AB6753" w:rsidRDefault="00AB6753" w:rsidP="002D1EA4">
            <w:pPr>
              <w:spacing w:after="0"/>
              <w:rPr>
                <w:rFonts w:cs="Arial"/>
                <w:sz w:val="18"/>
                <w:szCs w:val="18"/>
              </w:rPr>
            </w:pPr>
            <w:r>
              <w:rPr>
                <w:rFonts w:cs="Arial"/>
                <w:sz w:val="18"/>
                <w:szCs w:val="18"/>
              </w:rPr>
              <w:t>Superannuation:</w:t>
            </w:r>
          </w:p>
        </w:tc>
        <w:tc>
          <w:tcPr>
            <w:tcW w:w="1256" w:type="dxa"/>
            <w:tcBorders>
              <w:top w:val="nil"/>
              <w:left w:val="nil"/>
              <w:bottom w:val="nil"/>
              <w:right w:val="nil"/>
            </w:tcBorders>
            <w:shd w:val="clear" w:color="FFFFFF" w:fill="FFFFFF"/>
            <w:noWrap/>
            <w:vAlign w:val="bottom"/>
            <w:hideMark/>
          </w:tcPr>
          <w:p w14:paraId="0B77AB14"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08EAD09F"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335219A3" w14:textId="77777777" w:rsidR="00AB6753" w:rsidRDefault="00AB6753" w:rsidP="002D1EA4">
            <w:pPr>
              <w:spacing w:after="0"/>
              <w:jc w:val="right"/>
              <w:rPr>
                <w:rFonts w:cs="Arial"/>
                <w:sz w:val="18"/>
                <w:szCs w:val="18"/>
              </w:rPr>
            </w:pPr>
            <w:r>
              <w:rPr>
                <w:rFonts w:cs="Arial"/>
                <w:sz w:val="18"/>
                <w:szCs w:val="18"/>
              </w:rPr>
              <w:t> </w:t>
            </w:r>
          </w:p>
        </w:tc>
      </w:tr>
      <w:tr w:rsidR="00AB6753" w14:paraId="764E3258" w14:textId="77777777" w:rsidTr="002D1EA4">
        <w:trPr>
          <w:trHeight w:val="240"/>
        </w:trPr>
        <w:tc>
          <w:tcPr>
            <w:tcW w:w="6396" w:type="dxa"/>
            <w:tcBorders>
              <w:top w:val="nil"/>
              <w:left w:val="nil"/>
              <w:bottom w:val="nil"/>
              <w:right w:val="nil"/>
            </w:tcBorders>
            <w:shd w:val="clear" w:color="FFFFFF" w:fill="FFFFFF"/>
            <w:noWrap/>
            <w:vAlign w:val="bottom"/>
            <w:hideMark/>
          </w:tcPr>
          <w:p w14:paraId="0CC11146" w14:textId="77777777" w:rsidR="00AB6753" w:rsidRDefault="00AB6753" w:rsidP="002D1EA4">
            <w:pPr>
              <w:spacing w:after="0"/>
              <w:ind w:firstLineChars="100" w:firstLine="180"/>
              <w:rPr>
                <w:rFonts w:cs="Arial"/>
                <w:sz w:val="18"/>
                <w:szCs w:val="18"/>
              </w:rPr>
            </w:pPr>
            <w:r>
              <w:rPr>
                <w:rFonts w:cs="Arial"/>
                <w:sz w:val="18"/>
                <w:szCs w:val="18"/>
              </w:rPr>
              <w:t>Defined benefit plans</w:t>
            </w:r>
          </w:p>
        </w:tc>
        <w:tc>
          <w:tcPr>
            <w:tcW w:w="1256" w:type="dxa"/>
            <w:tcBorders>
              <w:top w:val="nil"/>
              <w:left w:val="nil"/>
              <w:bottom w:val="nil"/>
              <w:right w:val="nil"/>
            </w:tcBorders>
            <w:shd w:val="clear" w:color="FFFFFF" w:fill="FFFFFF"/>
            <w:noWrap/>
            <w:vAlign w:val="bottom"/>
            <w:hideMark/>
          </w:tcPr>
          <w:p w14:paraId="65C05E5A" w14:textId="77777777" w:rsidR="00AB6753" w:rsidRDefault="00AB6753" w:rsidP="002D1EA4">
            <w:pPr>
              <w:spacing w:after="0"/>
              <w:jc w:val="right"/>
              <w:rPr>
                <w:rFonts w:cs="Arial"/>
                <w:b/>
                <w:bCs/>
                <w:sz w:val="18"/>
                <w:szCs w:val="18"/>
              </w:rPr>
            </w:pPr>
            <w:r>
              <w:rPr>
                <w:rFonts w:cs="Arial"/>
                <w:b/>
                <w:bCs/>
                <w:sz w:val="18"/>
                <w:szCs w:val="18"/>
              </w:rPr>
              <w:t>23,787</w:t>
            </w:r>
          </w:p>
        </w:tc>
        <w:tc>
          <w:tcPr>
            <w:tcW w:w="267" w:type="dxa"/>
            <w:tcBorders>
              <w:top w:val="nil"/>
              <w:left w:val="nil"/>
              <w:bottom w:val="nil"/>
              <w:right w:val="nil"/>
            </w:tcBorders>
            <w:shd w:val="clear" w:color="FFFFFF" w:fill="FFFFFF"/>
            <w:noWrap/>
            <w:vAlign w:val="bottom"/>
            <w:hideMark/>
          </w:tcPr>
          <w:p w14:paraId="1FF09E2E"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6CF10B5F" w14:textId="77777777" w:rsidR="00AB6753" w:rsidRDefault="00AB6753" w:rsidP="002D1EA4">
            <w:pPr>
              <w:spacing w:after="0"/>
              <w:jc w:val="right"/>
              <w:rPr>
                <w:rFonts w:cs="Arial"/>
                <w:sz w:val="18"/>
                <w:szCs w:val="18"/>
              </w:rPr>
            </w:pPr>
            <w:r>
              <w:rPr>
                <w:rFonts w:cs="Arial"/>
                <w:sz w:val="18"/>
                <w:szCs w:val="18"/>
              </w:rPr>
              <w:t>23,450</w:t>
            </w:r>
          </w:p>
        </w:tc>
      </w:tr>
      <w:tr w:rsidR="00AB6753" w14:paraId="1BA4F510" w14:textId="77777777" w:rsidTr="002D1EA4">
        <w:trPr>
          <w:trHeight w:val="240"/>
        </w:trPr>
        <w:tc>
          <w:tcPr>
            <w:tcW w:w="6396" w:type="dxa"/>
            <w:tcBorders>
              <w:top w:val="nil"/>
              <w:left w:val="nil"/>
              <w:bottom w:val="nil"/>
              <w:right w:val="nil"/>
            </w:tcBorders>
            <w:shd w:val="clear" w:color="FFFFFF" w:fill="FFFFFF"/>
            <w:noWrap/>
            <w:vAlign w:val="bottom"/>
            <w:hideMark/>
          </w:tcPr>
          <w:p w14:paraId="30EE5D78" w14:textId="77777777" w:rsidR="00AB6753" w:rsidRDefault="00AB6753" w:rsidP="002D1EA4">
            <w:pPr>
              <w:spacing w:after="0"/>
              <w:ind w:firstLineChars="100" w:firstLine="180"/>
              <w:rPr>
                <w:rFonts w:cs="Arial"/>
                <w:sz w:val="18"/>
                <w:szCs w:val="18"/>
              </w:rPr>
            </w:pPr>
            <w:r>
              <w:rPr>
                <w:rFonts w:cs="Arial"/>
                <w:sz w:val="18"/>
                <w:szCs w:val="18"/>
              </w:rPr>
              <w:t>Defined contribution plans</w:t>
            </w:r>
          </w:p>
        </w:tc>
        <w:tc>
          <w:tcPr>
            <w:tcW w:w="1256" w:type="dxa"/>
            <w:tcBorders>
              <w:top w:val="nil"/>
              <w:left w:val="nil"/>
              <w:bottom w:val="nil"/>
              <w:right w:val="nil"/>
            </w:tcBorders>
            <w:shd w:val="clear" w:color="FFFFFF" w:fill="FFFFFF"/>
            <w:noWrap/>
            <w:vAlign w:val="bottom"/>
            <w:hideMark/>
          </w:tcPr>
          <w:p w14:paraId="4384960A" w14:textId="77777777" w:rsidR="00AB6753" w:rsidRDefault="00AB6753" w:rsidP="002D1EA4">
            <w:pPr>
              <w:spacing w:after="0"/>
              <w:jc w:val="right"/>
              <w:rPr>
                <w:rFonts w:cs="Arial"/>
                <w:b/>
                <w:bCs/>
                <w:sz w:val="18"/>
                <w:szCs w:val="18"/>
              </w:rPr>
            </w:pPr>
            <w:r>
              <w:rPr>
                <w:rFonts w:cs="Arial"/>
                <w:b/>
                <w:bCs/>
                <w:sz w:val="18"/>
                <w:szCs w:val="18"/>
              </w:rPr>
              <w:t>20,617</w:t>
            </w:r>
          </w:p>
        </w:tc>
        <w:tc>
          <w:tcPr>
            <w:tcW w:w="267" w:type="dxa"/>
            <w:tcBorders>
              <w:top w:val="nil"/>
              <w:left w:val="nil"/>
              <w:bottom w:val="nil"/>
              <w:right w:val="nil"/>
            </w:tcBorders>
            <w:shd w:val="clear" w:color="FFFFFF" w:fill="FFFFFF"/>
            <w:noWrap/>
            <w:vAlign w:val="bottom"/>
            <w:hideMark/>
          </w:tcPr>
          <w:p w14:paraId="507CE87B"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62EF9145" w14:textId="77777777" w:rsidR="00AB6753" w:rsidRDefault="00AB6753" w:rsidP="002D1EA4">
            <w:pPr>
              <w:spacing w:after="0"/>
              <w:jc w:val="right"/>
              <w:rPr>
                <w:rFonts w:cs="Arial"/>
                <w:sz w:val="18"/>
                <w:szCs w:val="18"/>
              </w:rPr>
            </w:pPr>
            <w:r>
              <w:rPr>
                <w:rFonts w:cs="Arial"/>
                <w:sz w:val="18"/>
                <w:szCs w:val="18"/>
              </w:rPr>
              <w:t>19,440</w:t>
            </w:r>
          </w:p>
        </w:tc>
      </w:tr>
      <w:tr w:rsidR="00AB6753" w14:paraId="271566D3" w14:textId="77777777" w:rsidTr="002D1EA4">
        <w:trPr>
          <w:trHeight w:val="240"/>
        </w:trPr>
        <w:tc>
          <w:tcPr>
            <w:tcW w:w="6396" w:type="dxa"/>
            <w:tcBorders>
              <w:top w:val="nil"/>
              <w:left w:val="nil"/>
              <w:bottom w:val="nil"/>
              <w:right w:val="nil"/>
            </w:tcBorders>
            <w:shd w:val="clear" w:color="FFFFFF" w:fill="FFFFFF"/>
            <w:vAlign w:val="bottom"/>
            <w:hideMark/>
          </w:tcPr>
          <w:p w14:paraId="225A16FE" w14:textId="77777777" w:rsidR="00AB6753" w:rsidRDefault="00AB6753" w:rsidP="002D1EA4">
            <w:pPr>
              <w:spacing w:after="0"/>
              <w:rPr>
                <w:rFonts w:cs="Arial"/>
                <w:sz w:val="18"/>
                <w:szCs w:val="18"/>
              </w:rPr>
            </w:pPr>
            <w:r>
              <w:rPr>
                <w:rFonts w:cs="Arial"/>
                <w:sz w:val="18"/>
                <w:szCs w:val="18"/>
              </w:rPr>
              <w:t>Separation and redundancies</w:t>
            </w:r>
          </w:p>
        </w:tc>
        <w:tc>
          <w:tcPr>
            <w:tcW w:w="1256" w:type="dxa"/>
            <w:tcBorders>
              <w:top w:val="nil"/>
              <w:left w:val="nil"/>
              <w:bottom w:val="nil"/>
              <w:right w:val="nil"/>
            </w:tcBorders>
            <w:shd w:val="clear" w:color="FFFFFF" w:fill="FFFFFF"/>
            <w:noWrap/>
            <w:vAlign w:val="bottom"/>
            <w:hideMark/>
          </w:tcPr>
          <w:p w14:paraId="7530E03E" w14:textId="77777777" w:rsidR="00AB6753" w:rsidRDefault="00AB6753" w:rsidP="002D1EA4">
            <w:pPr>
              <w:spacing w:after="0"/>
              <w:jc w:val="right"/>
              <w:rPr>
                <w:rFonts w:cs="Arial"/>
                <w:b/>
                <w:bCs/>
                <w:sz w:val="18"/>
                <w:szCs w:val="18"/>
              </w:rPr>
            </w:pPr>
            <w:r>
              <w:rPr>
                <w:rFonts w:cs="Arial"/>
                <w:b/>
                <w:bCs/>
                <w:sz w:val="18"/>
                <w:szCs w:val="18"/>
              </w:rPr>
              <w:t>2,938</w:t>
            </w:r>
          </w:p>
        </w:tc>
        <w:tc>
          <w:tcPr>
            <w:tcW w:w="267" w:type="dxa"/>
            <w:tcBorders>
              <w:top w:val="nil"/>
              <w:left w:val="nil"/>
              <w:bottom w:val="nil"/>
              <w:right w:val="nil"/>
            </w:tcBorders>
            <w:shd w:val="clear" w:color="FFFFFF" w:fill="FFFFFF"/>
            <w:noWrap/>
            <w:vAlign w:val="bottom"/>
            <w:hideMark/>
          </w:tcPr>
          <w:p w14:paraId="6F179FC9"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7859C632" w14:textId="77777777" w:rsidR="00AB6753" w:rsidRDefault="00AB6753" w:rsidP="002D1EA4">
            <w:pPr>
              <w:spacing w:after="0"/>
              <w:jc w:val="right"/>
              <w:rPr>
                <w:rFonts w:cs="Arial"/>
                <w:sz w:val="18"/>
                <w:szCs w:val="18"/>
              </w:rPr>
            </w:pPr>
            <w:r>
              <w:rPr>
                <w:rFonts w:cs="Arial"/>
                <w:sz w:val="18"/>
                <w:szCs w:val="18"/>
              </w:rPr>
              <w:t>2,738</w:t>
            </w:r>
          </w:p>
        </w:tc>
      </w:tr>
      <w:tr w:rsidR="00AB6753" w14:paraId="66BBD052" w14:textId="77777777" w:rsidTr="002D1EA4">
        <w:trPr>
          <w:trHeight w:val="240"/>
        </w:trPr>
        <w:tc>
          <w:tcPr>
            <w:tcW w:w="6396" w:type="dxa"/>
            <w:tcBorders>
              <w:top w:val="nil"/>
              <w:left w:val="nil"/>
              <w:bottom w:val="nil"/>
              <w:right w:val="nil"/>
            </w:tcBorders>
            <w:shd w:val="clear" w:color="FFFFFF" w:fill="FFFFFF"/>
            <w:vAlign w:val="bottom"/>
            <w:hideMark/>
          </w:tcPr>
          <w:p w14:paraId="7B166D76" w14:textId="77777777" w:rsidR="00AB6753" w:rsidRDefault="00AB6753" w:rsidP="002D1EA4">
            <w:pPr>
              <w:spacing w:after="0"/>
              <w:rPr>
                <w:rFonts w:cs="Arial"/>
                <w:b/>
                <w:bCs/>
                <w:sz w:val="18"/>
                <w:szCs w:val="18"/>
              </w:rPr>
            </w:pPr>
            <w:r>
              <w:rPr>
                <w:rFonts w:cs="Arial"/>
                <w:b/>
                <w:bCs/>
                <w:sz w:val="18"/>
                <w:szCs w:val="18"/>
              </w:rPr>
              <w:t>Total employee benefits</w:t>
            </w:r>
          </w:p>
        </w:tc>
        <w:tc>
          <w:tcPr>
            <w:tcW w:w="1256" w:type="dxa"/>
            <w:tcBorders>
              <w:top w:val="single" w:sz="4" w:space="0" w:color="auto"/>
              <w:left w:val="nil"/>
              <w:bottom w:val="single" w:sz="4" w:space="0" w:color="auto"/>
              <w:right w:val="nil"/>
            </w:tcBorders>
            <w:shd w:val="clear" w:color="FFFFFF" w:fill="FFFFFF"/>
            <w:noWrap/>
            <w:vAlign w:val="bottom"/>
            <w:hideMark/>
          </w:tcPr>
          <w:p w14:paraId="26724CA4" w14:textId="77777777" w:rsidR="00AB6753" w:rsidRDefault="00AB6753" w:rsidP="002D1EA4">
            <w:pPr>
              <w:spacing w:after="0"/>
              <w:jc w:val="right"/>
              <w:rPr>
                <w:rFonts w:cs="Arial"/>
                <w:b/>
                <w:bCs/>
                <w:sz w:val="18"/>
                <w:szCs w:val="18"/>
              </w:rPr>
            </w:pPr>
            <w:r>
              <w:rPr>
                <w:rFonts w:cs="Arial"/>
                <w:b/>
                <w:bCs/>
                <w:sz w:val="18"/>
                <w:szCs w:val="18"/>
              </w:rPr>
              <w:t>288,486</w:t>
            </w:r>
          </w:p>
        </w:tc>
        <w:tc>
          <w:tcPr>
            <w:tcW w:w="267" w:type="dxa"/>
            <w:tcBorders>
              <w:top w:val="nil"/>
              <w:left w:val="nil"/>
              <w:bottom w:val="nil"/>
              <w:right w:val="nil"/>
            </w:tcBorders>
            <w:shd w:val="clear" w:color="FFFFFF" w:fill="FFFFFF"/>
            <w:noWrap/>
            <w:vAlign w:val="bottom"/>
            <w:hideMark/>
          </w:tcPr>
          <w:p w14:paraId="09F30453" w14:textId="77777777" w:rsidR="00AB6753" w:rsidRDefault="00AB6753" w:rsidP="002D1EA4">
            <w:pPr>
              <w:spacing w:after="0"/>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4AF9A856" w14:textId="77777777" w:rsidR="00AB6753" w:rsidRDefault="00AB6753" w:rsidP="002D1EA4">
            <w:pPr>
              <w:spacing w:after="0"/>
              <w:jc w:val="right"/>
              <w:rPr>
                <w:rFonts w:cs="Arial"/>
                <w:sz w:val="18"/>
                <w:szCs w:val="18"/>
              </w:rPr>
            </w:pPr>
            <w:r>
              <w:rPr>
                <w:rFonts w:cs="Arial"/>
                <w:sz w:val="18"/>
                <w:szCs w:val="18"/>
              </w:rPr>
              <w:t>287,835</w:t>
            </w:r>
          </w:p>
        </w:tc>
      </w:tr>
    </w:tbl>
    <w:p w14:paraId="4E33B4E7" w14:textId="77777777" w:rsidR="00AB6753" w:rsidRDefault="00AB6753" w:rsidP="00AB6753"/>
    <w:p w14:paraId="30AFD6F6" w14:textId="77777777" w:rsidR="00AB6753" w:rsidRDefault="00AB6753" w:rsidP="00AB6753">
      <w:pPr>
        <w:pStyle w:val="PolicyheadingDept"/>
        <w:pBdr>
          <w:top w:val="single" w:sz="4" w:space="1" w:color="00B2BA"/>
          <w:left w:val="single" w:sz="4" w:space="0" w:color="00B2BA"/>
          <w:bottom w:val="single" w:sz="4" w:space="1" w:color="00B2BA"/>
          <w:right w:val="single" w:sz="4" w:space="12" w:color="00B2BA"/>
        </w:pBdr>
      </w:pPr>
      <w:r>
        <w:t>Accounting Policy</w:t>
      </w:r>
    </w:p>
    <w:p w14:paraId="64D67B6C" w14:textId="77777777" w:rsidR="00AB6753" w:rsidRPr="00F22141" w:rsidRDefault="00AB6753" w:rsidP="00AB6753">
      <w:pPr>
        <w:pStyle w:val="PolicytextDept"/>
        <w:pBdr>
          <w:top w:val="single" w:sz="4" w:space="1" w:color="00B2BA"/>
          <w:left w:val="single" w:sz="4" w:space="0" w:color="00B2BA"/>
          <w:bottom w:val="single" w:sz="4" w:space="1" w:color="00B2BA"/>
          <w:right w:val="single" w:sz="4" w:space="12" w:color="00B2BA"/>
        </w:pBdr>
        <w:spacing w:after="0"/>
      </w:pPr>
      <w:r>
        <w:t>Accounting policies for employee related expenses are contained in Section 6: People.</w:t>
      </w:r>
    </w:p>
    <w:p w14:paraId="1349D932" w14:textId="77777777" w:rsidR="00AB6753" w:rsidRDefault="00AB6753" w:rsidP="00AB6753"/>
    <w:tbl>
      <w:tblPr>
        <w:tblW w:w="9411" w:type="dxa"/>
        <w:tblInd w:w="80" w:type="dxa"/>
        <w:tblLayout w:type="fixed"/>
        <w:tblLook w:val="04A0" w:firstRow="1" w:lastRow="0" w:firstColumn="1" w:lastColumn="0" w:noHBand="0" w:noVBand="1"/>
        <w:tblCaption w:val="Notes to and forming part of the financial statements"/>
        <w:tblDescription w:val=" 1 Expenses"/>
      </w:tblPr>
      <w:tblGrid>
        <w:gridCol w:w="6561"/>
        <w:gridCol w:w="1288"/>
        <w:gridCol w:w="274"/>
        <w:gridCol w:w="1288"/>
      </w:tblGrid>
      <w:tr w:rsidR="00AB6753" w14:paraId="4C42EE3E" w14:textId="77777777" w:rsidTr="002D1EA4">
        <w:trPr>
          <w:trHeight w:val="255"/>
        </w:trPr>
        <w:tc>
          <w:tcPr>
            <w:tcW w:w="6396" w:type="dxa"/>
            <w:tcBorders>
              <w:top w:val="nil"/>
              <w:left w:val="nil"/>
              <w:bottom w:val="nil"/>
              <w:right w:val="nil"/>
            </w:tcBorders>
            <w:shd w:val="clear" w:color="FFFFFF" w:fill="FFFFFF"/>
            <w:noWrap/>
            <w:vAlign w:val="bottom"/>
            <w:hideMark/>
          </w:tcPr>
          <w:p w14:paraId="131E096A" w14:textId="77777777" w:rsidR="00AB6753" w:rsidRDefault="00AB6753" w:rsidP="002D1EA4">
            <w:pPr>
              <w:spacing w:after="0"/>
              <w:rPr>
                <w:rFonts w:cs="Arial"/>
                <w:b/>
                <w:bCs/>
                <w:sz w:val="18"/>
                <w:szCs w:val="18"/>
                <w:u w:val="single"/>
              </w:rPr>
            </w:pPr>
            <w:bookmarkStart w:id="79" w:name="Note_SXPTABLE1" w:colFirst="0" w:colLast="0"/>
            <w:r>
              <w:rPr>
                <w:rFonts w:cs="Arial"/>
                <w:b/>
                <w:bCs/>
                <w:sz w:val="18"/>
                <w:szCs w:val="18"/>
                <w:u w:val="single"/>
              </w:rPr>
              <w:t>Note 1.1B: Suppliers</w:t>
            </w:r>
          </w:p>
        </w:tc>
        <w:tc>
          <w:tcPr>
            <w:tcW w:w="1256" w:type="dxa"/>
            <w:tcBorders>
              <w:top w:val="nil"/>
              <w:left w:val="nil"/>
              <w:bottom w:val="nil"/>
              <w:right w:val="nil"/>
            </w:tcBorders>
            <w:shd w:val="clear" w:color="FFFFFF" w:fill="FFFFFF"/>
            <w:noWrap/>
            <w:vAlign w:val="bottom"/>
            <w:hideMark/>
          </w:tcPr>
          <w:p w14:paraId="025BEE78"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1BD82599"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4E27144F" w14:textId="77777777" w:rsidR="00AB6753" w:rsidRDefault="00AB6753" w:rsidP="002D1EA4">
            <w:pPr>
              <w:spacing w:after="0"/>
              <w:rPr>
                <w:rFonts w:cs="Arial"/>
                <w:sz w:val="18"/>
                <w:szCs w:val="18"/>
              </w:rPr>
            </w:pPr>
            <w:r>
              <w:rPr>
                <w:rFonts w:cs="Arial"/>
                <w:sz w:val="18"/>
                <w:szCs w:val="18"/>
              </w:rPr>
              <w:t> </w:t>
            </w:r>
          </w:p>
        </w:tc>
      </w:tr>
      <w:bookmarkEnd w:id="79"/>
      <w:tr w:rsidR="00AB6753" w14:paraId="212BBCA0" w14:textId="77777777" w:rsidTr="002D1EA4">
        <w:trPr>
          <w:trHeight w:val="255"/>
        </w:trPr>
        <w:tc>
          <w:tcPr>
            <w:tcW w:w="6396" w:type="dxa"/>
            <w:tcBorders>
              <w:top w:val="nil"/>
              <w:left w:val="nil"/>
              <w:bottom w:val="nil"/>
              <w:right w:val="nil"/>
            </w:tcBorders>
            <w:shd w:val="clear" w:color="FFFFFF" w:fill="FFFFFF"/>
            <w:vAlign w:val="bottom"/>
            <w:hideMark/>
          </w:tcPr>
          <w:p w14:paraId="3EBAAEAB" w14:textId="77777777" w:rsidR="00AB6753" w:rsidRDefault="00AB6753" w:rsidP="002D1EA4">
            <w:pPr>
              <w:spacing w:after="0"/>
              <w:rPr>
                <w:rFonts w:cs="Arial"/>
                <w:b/>
                <w:bCs/>
                <w:sz w:val="18"/>
                <w:szCs w:val="18"/>
              </w:rPr>
            </w:pPr>
            <w:r>
              <w:rPr>
                <w:rFonts w:cs="Arial"/>
                <w:b/>
                <w:bCs/>
                <w:sz w:val="18"/>
                <w:szCs w:val="18"/>
              </w:rPr>
              <w:t>Goods and services supplied or rendered</w:t>
            </w:r>
          </w:p>
        </w:tc>
        <w:tc>
          <w:tcPr>
            <w:tcW w:w="1256" w:type="dxa"/>
            <w:tcBorders>
              <w:top w:val="nil"/>
              <w:left w:val="nil"/>
              <w:bottom w:val="nil"/>
              <w:right w:val="nil"/>
            </w:tcBorders>
            <w:shd w:val="clear" w:color="FFFFFF" w:fill="FFFFFF"/>
            <w:noWrap/>
            <w:vAlign w:val="bottom"/>
            <w:hideMark/>
          </w:tcPr>
          <w:p w14:paraId="1ACBB06A"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133B8144"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6CDACE5D" w14:textId="77777777" w:rsidR="00AB6753" w:rsidRDefault="00AB6753" w:rsidP="002D1EA4">
            <w:pPr>
              <w:spacing w:after="0"/>
              <w:rPr>
                <w:rFonts w:cs="Arial"/>
                <w:sz w:val="18"/>
                <w:szCs w:val="18"/>
              </w:rPr>
            </w:pPr>
            <w:r>
              <w:rPr>
                <w:rFonts w:cs="Arial"/>
                <w:sz w:val="18"/>
                <w:szCs w:val="18"/>
              </w:rPr>
              <w:t> </w:t>
            </w:r>
          </w:p>
        </w:tc>
      </w:tr>
      <w:tr w:rsidR="00AB6753" w14:paraId="3A9126BD" w14:textId="77777777" w:rsidTr="002D1EA4">
        <w:trPr>
          <w:trHeight w:val="255"/>
        </w:trPr>
        <w:tc>
          <w:tcPr>
            <w:tcW w:w="6396" w:type="dxa"/>
            <w:tcBorders>
              <w:top w:val="nil"/>
              <w:left w:val="nil"/>
              <w:bottom w:val="nil"/>
              <w:right w:val="nil"/>
            </w:tcBorders>
            <w:shd w:val="clear" w:color="FFFFFF" w:fill="FFFFFF"/>
            <w:noWrap/>
            <w:vAlign w:val="bottom"/>
            <w:hideMark/>
          </w:tcPr>
          <w:p w14:paraId="25EFFCE6" w14:textId="77777777" w:rsidR="00AB6753" w:rsidRDefault="00AB6753" w:rsidP="002D1EA4">
            <w:pPr>
              <w:spacing w:after="0"/>
              <w:rPr>
                <w:rFonts w:cs="Arial"/>
                <w:sz w:val="18"/>
                <w:szCs w:val="18"/>
              </w:rPr>
            </w:pPr>
            <w:r>
              <w:rPr>
                <w:rFonts w:cs="Arial"/>
                <w:sz w:val="18"/>
                <w:szCs w:val="18"/>
              </w:rPr>
              <w:t>Consultants and contractors</w:t>
            </w:r>
          </w:p>
        </w:tc>
        <w:tc>
          <w:tcPr>
            <w:tcW w:w="1256" w:type="dxa"/>
            <w:tcBorders>
              <w:top w:val="nil"/>
              <w:left w:val="nil"/>
              <w:bottom w:val="nil"/>
              <w:right w:val="nil"/>
            </w:tcBorders>
            <w:shd w:val="clear" w:color="FFFFFF" w:fill="FFFFFF"/>
            <w:noWrap/>
            <w:vAlign w:val="bottom"/>
            <w:hideMark/>
          </w:tcPr>
          <w:p w14:paraId="02C5D4EE" w14:textId="77777777" w:rsidR="00AB6753" w:rsidRDefault="00AB6753" w:rsidP="002D1EA4">
            <w:pPr>
              <w:spacing w:after="0"/>
              <w:jc w:val="right"/>
              <w:rPr>
                <w:rFonts w:cs="Arial"/>
                <w:b/>
                <w:bCs/>
                <w:sz w:val="18"/>
                <w:szCs w:val="18"/>
              </w:rPr>
            </w:pPr>
            <w:r>
              <w:rPr>
                <w:rFonts w:cs="Arial"/>
                <w:b/>
                <w:bCs/>
                <w:sz w:val="18"/>
                <w:szCs w:val="18"/>
              </w:rPr>
              <w:t>83,253</w:t>
            </w:r>
          </w:p>
        </w:tc>
        <w:tc>
          <w:tcPr>
            <w:tcW w:w="267" w:type="dxa"/>
            <w:tcBorders>
              <w:top w:val="nil"/>
              <w:left w:val="nil"/>
              <w:bottom w:val="nil"/>
              <w:right w:val="nil"/>
            </w:tcBorders>
            <w:shd w:val="clear" w:color="FFFFFF" w:fill="FFFFFF"/>
            <w:noWrap/>
            <w:vAlign w:val="bottom"/>
            <w:hideMark/>
          </w:tcPr>
          <w:p w14:paraId="7A866BF9"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11E93489" w14:textId="77777777" w:rsidR="00AB6753" w:rsidRDefault="00AB6753" w:rsidP="002D1EA4">
            <w:pPr>
              <w:spacing w:after="0"/>
              <w:jc w:val="right"/>
              <w:rPr>
                <w:rFonts w:cs="Arial"/>
                <w:sz w:val="18"/>
                <w:szCs w:val="18"/>
              </w:rPr>
            </w:pPr>
            <w:r>
              <w:rPr>
                <w:rFonts w:cs="Arial"/>
                <w:sz w:val="18"/>
                <w:szCs w:val="18"/>
              </w:rPr>
              <w:t>76,607</w:t>
            </w:r>
          </w:p>
        </w:tc>
      </w:tr>
      <w:tr w:rsidR="00AB6753" w14:paraId="1AB2B2DE" w14:textId="77777777" w:rsidTr="002D1EA4">
        <w:trPr>
          <w:trHeight w:val="270"/>
        </w:trPr>
        <w:tc>
          <w:tcPr>
            <w:tcW w:w="6396" w:type="dxa"/>
            <w:tcBorders>
              <w:top w:val="nil"/>
              <w:left w:val="nil"/>
              <w:bottom w:val="nil"/>
              <w:right w:val="nil"/>
            </w:tcBorders>
            <w:shd w:val="clear" w:color="FFFFFF" w:fill="FFFFFF"/>
            <w:noWrap/>
            <w:vAlign w:val="bottom"/>
            <w:hideMark/>
          </w:tcPr>
          <w:p w14:paraId="6D87F8A0" w14:textId="77777777" w:rsidR="00AB6753" w:rsidRDefault="00AB6753" w:rsidP="002D1EA4">
            <w:pPr>
              <w:spacing w:after="0"/>
              <w:rPr>
                <w:rFonts w:cs="Arial"/>
                <w:sz w:val="18"/>
                <w:szCs w:val="18"/>
              </w:rPr>
            </w:pPr>
            <w:r>
              <w:rPr>
                <w:rFonts w:cs="Arial"/>
                <w:sz w:val="18"/>
                <w:szCs w:val="18"/>
              </w:rPr>
              <w:t>IT and communications</w:t>
            </w:r>
            <w:r>
              <w:rPr>
                <w:rFonts w:cs="Arial"/>
                <w:sz w:val="18"/>
                <w:szCs w:val="18"/>
                <w:vertAlign w:val="superscript"/>
              </w:rPr>
              <w:t>1</w:t>
            </w:r>
          </w:p>
        </w:tc>
        <w:tc>
          <w:tcPr>
            <w:tcW w:w="1256" w:type="dxa"/>
            <w:tcBorders>
              <w:top w:val="nil"/>
              <w:left w:val="nil"/>
              <w:bottom w:val="nil"/>
              <w:right w:val="nil"/>
            </w:tcBorders>
            <w:shd w:val="clear" w:color="FFFFFF" w:fill="FFFFFF"/>
            <w:noWrap/>
            <w:vAlign w:val="bottom"/>
            <w:hideMark/>
          </w:tcPr>
          <w:p w14:paraId="1459F568" w14:textId="77777777" w:rsidR="00AB6753" w:rsidRDefault="00AB6753" w:rsidP="002D1EA4">
            <w:pPr>
              <w:spacing w:after="0"/>
              <w:jc w:val="right"/>
              <w:rPr>
                <w:rFonts w:cs="Arial"/>
                <w:b/>
                <w:bCs/>
                <w:sz w:val="18"/>
                <w:szCs w:val="18"/>
              </w:rPr>
            </w:pPr>
            <w:r>
              <w:rPr>
                <w:rFonts w:cs="Arial"/>
                <w:b/>
                <w:bCs/>
                <w:sz w:val="18"/>
                <w:szCs w:val="18"/>
              </w:rPr>
              <w:t>28,960</w:t>
            </w:r>
          </w:p>
        </w:tc>
        <w:tc>
          <w:tcPr>
            <w:tcW w:w="267" w:type="dxa"/>
            <w:tcBorders>
              <w:top w:val="nil"/>
              <w:left w:val="nil"/>
              <w:bottom w:val="nil"/>
              <w:right w:val="nil"/>
            </w:tcBorders>
            <w:shd w:val="clear" w:color="FFFFFF" w:fill="FFFFFF"/>
            <w:noWrap/>
            <w:vAlign w:val="bottom"/>
            <w:hideMark/>
          </w:tcPr>
          <w:p w14:paraId="5A28642E"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5A982AE6" w14:textId="77777777" w:rsidR="00AB6753" w:rsidRDefault="00AB6753" w:rsidP="002D1EA4">
            <w:pPr>
              <w:spacing w:after="0"/>
              <w:jc w:val="right"/>
              <w:rPr>
                <w:rFonts w:cs="Arial"/>
                <w:sz w:val="18"/>
                <w:szCs w:val="18"/>
              </w:rPr>
            </w:pPr>
            <w:r>
              <w:rPr>
                <w:rFonts w:cs="Arial"/>
                <w:sz w:val="18"/>
                <w:szCs w:val="18"/>
              </w:rPr>
              <w:t>45,566</w:t>
            </w:r>
          </w:p>
        </w:tc>
      </w:tr>
      <w:tr w:rsidR="00AB6753" w14:paraId="54585A37" w14:textId="77777777" w:rsidTr="002D1EA4">
        <w:trPr>
          <w:trHeight w:val="255"/>
        </w:trPr>
        <w:tc>
          <w:tcPr>
            <w:tcW w:w="6396" w:type="dxa"/>
            <w:tcBorders>
              <w:top w:val="nil"/>
              <w:left w:val="nil"/>
              <w:bottom w:val="nil"/>
              <w:right w:val="nil"/>
            </w:tcBorders>
            <w:shd w:val="clear" w:color="FFFFFF" w:fill="FFFFFF"/>
            <w:noWrap/>
            <w:vAlign w:val="bottom"/>
            <w:hideMark/>
          </w:tcPr>
          <w:p w14:paraId="5484A50C" w14:textId="77777777" w:rsidR="00AB6753" w:rsidRDefault="00AB6753" w:rsidP="002D1EA4">
            <w:pPr>
              <w:spacing w:after="0"/>
              <w:rPr>
                <w:rFonts w:cs="Arial"/>
                <w:sz w:val="18"/>
                <w:szCs w:val="18"/>
              </w:rPr>
            </w:pPr>
            <w:r>
              <w:rPr>
                <w:rFonts w:cs="Arial"/>
                <w:sz w:val="18"/>
                <w:szCs w:val="18"/>
              </w:rPr>
              <w:t>Building expenses</w:t>
            </w:r>
          </w:p>
        </w:tc>
        <w:tc>
          <w:tcPr>
            <w:tcW w:w="1256" w:type="dxa"/>
            <w:tcBorders>
              <w:top w:val="nil"/>
              <w:left w:val="nil"/>
              <w:bottom w:val="nil"/>
              <w:right w:val="nil"/>
            </w:tcBorders>
            <w:shd w:val="clear" w:color="FFFFFF" w:fill="FFFFFF"/>
            <w:noWrap/>
            <w:vAlign w:val="bottom"/>
            <w:hideMark/>
          </w:tcPr>
          <w:p w14:paraId="7FBC9240" w14:textId="77777777" w:rsidR="00AB6753" w:rsidRDefault="00AB6753" w:rsidP="002D1EA4">
            <w:pPr>
              <w:spacing w:after="0"/>
              <w:jc w:val="right"/>
              <w:rPr>
                <w:rFonts w:cs="Arial"/>
                <w:b/>
                <w:bCs/>
                <w:sz w:val="18"/>
                <w:szCs w:val="18"/>
              </w:rPr>
            </w:pPr>
            <w:r>
              <w:rPr>
                <w:rFonts w:cs="Arial"/>
                <w:b/>
                <w:bCs/>
                <w:sz w:val="18"/>
                <w:szCs w:val="18"/>
              </w:rPr>
              <w:t>6,645</w:t>
            </w:r>
          </w:p>
        </w:tc>
        <w:tc>
          <w:tcPr>
            <w:tcW w:w="267" w:type="dxa"/>
            <w:tcBorders>
              <w:top w:val="nil"/>
              <w:left w:val="nil"/>
              <w:bottom w:val="nil"/>
              <w:right w:val="nil"/>
            </w:tcBorders>
            <w:shd w:val="clear" w:color="FFFFFF" w:fill="FFFFFF"/>
            <w:noWrap/>
            <w:vAlign w:val="bottom"/>
            <w:hideMark/>
          </w:tcPr>
          <w:p w14:paraId="004399BD"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3C6D9E22" w14:textId="77777777" w:rsidR="00AB6753" w:rsidRDefault="00AB6753" w:rsidP="002D1EA4">
            <w:pPr>
              <w:spacing w:after="0"/>
              <w:jc w:val="right"/>
              <w:rPr>
                <w:rFonts w:cs="Arial"/>
                <w:sz w:val="18"/>
                <w:szCs w:val="18"/>
              </w:rPr>
            </w:pPr>
            <w:r>
              <w:rPr>
                <w:rFonts w:cs="Arial"/>
                <w:sz w:val="18"/>
                <w:szCs w:val="18"/>
              </w:rPr>
              <w:t>6,966</w:t>
            </w:r>
          </w:p>
        </w:tc>
      </w:tr>
      <w:tr w:rsidR="00AB6753" w14:paraId="51A22BB0" w14:textId="77777777" w:rsidTr="002D1EA4">
        <w:trPr>
          <w:trHeight w:val="255"/>
        </w:trPr>
        <w:tc>
          <w:tcPr>
            <w:tcW w:w="6396" w:type="dxa"/>
            <w:tcBorders>
              <w:top w:val="nil"/>
              <w:left w:val="nil"/>
              <w:bottom w:val="nil"/>
              <w:right w:val="nil"/>
            </w:tcBorders>
            <w:shd w:val="clear" w:color="FFFFFF" w:fill="FFFFFF"/>
            <w:noWrap/>
            <w:vAlign w:val="bottom"/>
            <w:hideMark/>
          </w:tcPr>
          <w:p w14:paraId="5C89CC5E" w14:textId="77777777" w:rsidR="00AB6753" w:rsidRDefault="00AB6753" w:rsidP="002D1EA4">
            <w:pPr>
              <w:spacing w:after="0"/>
              <w:rPr>
                <w:rFonts w:cs="Arial"/>
                <w:sz w:val="18"/>
                <w:szCs w:val="18"/>
              </w:rPr>
            </w:pPr>
            <w:r>
              <w:rPr>
                <w:rFonts w:cs="Arial"/>
                <w:sz w:val="18"/>
                <w:szCs w:val="18"/>
              </w:rPr>
              <w:t>Travel and accommodation</w:t>
            </w:r>
          </w:p>
        </w:tc>
        <w:tc>
          <w:tcPr>
            <w:tcW w:w="1256" w:type="dxa"/>
            <w:tcBorders>
              <w:top w:val="nil"/>
              <w:left w:val="nil"/>
              <w:bottom w:val="nil"/>
              <w:right w:val="nil"/>
            </w:tcBorders>
            <w:shd w:val="clear" w:color="FFFFFF" w:fill="FFFFFF"/>
            <w:noWrap/>
            <w:vAlign w:val="bottom"/>
            <w:hideMark/>
          </w:tcPr>
          <w:p w14:paraId="2D720A91" w14:textId="77777777" w:rsidR="00AB6753" w:rsidRDefault="00AB6753" w:rsidP="002D1EA4">
            <w:pPr>
              <w:spacing w:after="0"/>
              <w:jc w:val="right"/>
              <w:rPr>
                <w:rFonts w:cs="Arial"/>
                <w:b/>
                <w:bCs/>
                <w:sz w:val="18"/>
                <w:szCs w:val="18"/>
              </w:rPr>
            </w:pPr>
            <w:r>
              <w:rPr>
                <w:rFonts w:cs="Arial"/>
                <w:b/>
                <w:bCs/>
                <w:sz w:val="18"/>
                <w:szCs w:val="18"/>
              </w:rPr>
              <w:t>3,781</w:t>
            </w:r>
          </w:p>
        </w:tc>
        <w:tc>
          <w:tcPr>
            <w:tcW w:w="267" w:type="dxa"/>
            <w:tcBorders>
              <w:top w:val="nil"/>
              <w:left w:val="nil"/>
              <w:bottom w:val="nil"/>
              <w:right w:val="nil"/>
            </w:tcBorders>
            <w:shd w:val="clear" w:color="FFFFFF" w:fill="FFFFFF"/>
            <w:noWrap/>
            <w:vAlign w:val="bottom"/>
            <w:hideMark/>
          </w:tcPr>
          <w:p w14:paraId="0B0C1D0B"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6AC2E398" w14:textId="77777777" w:rsidR="00AB6753" w:rsidRDefault="00AB6753" w:rsidP="002D1EA4">
            <w:pPr>
              <w:spacing w:after="0"/>
              <w:jc w:val="right"/>
              <w:rPr>
                <w:rFonts w:cs="Arial"/>
                <w:sz w:val="18"/>
                <w:szCs w:val="18"/>
              </w:rPr>
            </w:pPr>
            <w:r>
              <w:rPr>
                <w:rFonts w:cs="Arial"/>
                <w:sz w:val="18"/>
                <w:szCs w:val="18"/>
              </w:rPr>
              <w:t>5,341</w:t>
            </w:r>
          </w:p>
        </w:tc>
      </w:tr>
      <w:tr w:rsidR="00AB6753" w14:paraId="3BF1B874" w14:textId="77777777" w:rsidTr="002D1EA4">
        <w:trPr>
          <w:trHeight w:val="255"/>
        </w:trPr>
        <w:tc>
          <w:tcPr>
            <w:tcW w:w="6396" w:type="dxa"/>
            <w:tcBorders>
              <w:top w:val="nil"/>
              <w:left w:val="nil"/>
              <w:bottom w:val="nil"/>
              <w:right w:val="nil"/>
            </w:tcBorders>
            <w:shd w:val="clear" w:color="FFFFFF" w:fill="FFFFFF"/>
            <w:noWrap/>
            <w:vAlign w:val="bottom"/>
            <w:hideMark/>
          </w:tcPr>
          <w:p w14:paraId="5572E73D" w14:textId="77777777" w:rsidR="00AB6753" w:rsidRDefault="00AB6753" w:rsidP="002D1EA4">
            <w:pPr>
              <w:spacing w:after="0"/>
              <w:rPr>
                <w:rFonts w:cs="Arial"/>
                <w:sz w:val="18"/>
                <w:szCs w:val="18"/>
              </w:rPr>
            </w:pPr>
            <w:r>
              <w:rPr>
                <w:rFonts w:cs="Arial"/>
                <w:sz w:val="18"/>
                <w:szCs w:val="18"/>
              </w:rPr>
              <w:t>Training</w:t>
            </w:r>
          </w:p>
        </w:tc>
        <w:tc>
          <w:tcPr>
            <w:tcW w:w="1256" w:type="dxa"/>
            <w:tcBorders>
              <w:top w:val="nil"/>
              <w:left w:val="nil"/>
              <w:bottom w:val="nil"/>
              <w:right w:val="nil"/>
            </w:tcBorders>
            <w:shd w:val="clear" w:color="FFFFFF" w:fill="FFFFFF"/>
            <w:noWrap/>
            <w:vAlign w:val="bottom"/>
            <w:hideMark/>
          </w:tcPr>
          <w:p w14:paraId="341DE302" w14:textId="77777777" w:rsidR="00AB6753" w:rsidRDefault="00AB6753" w:rsidP="002D1EA4">
            <w:pPr>
              <w:spacing w:after="0"/>
              <w:jc w:val="right"/>
              <w:rPr>
                <w:rFonts w:cs="Arial"/>
                <w:b/>
                <w:bCs/>
                <w:sz w:val="18"/>
                <w:szCs w:val="18"/>
              </w:rPr>
            </w:pPr>
            <w:r>
              <w:rPr>
                <w:rFonts w:cs="Arial"/>
                <w:b/>
                <w:bCs/>
                <w:sz w:val="18"/>
                <w:szCs w:val="18"/>
              </w:rPr>
              <w:t>3,092</w:t>
            </w:r>
          </w:p>
        </w:tc>
        <w:tc>
          <w:tcPr>
            <w:tcW w:w="267" w:type="dxa"/>
            <w:tcBorders>
              <w:top w:val="nil"/>
              <w:left w:val="nil"/>
              <w:bottom w:val="nil"/>
              <w:right w:val="nil"/>
            </w:tcBorders>
            <w:shd w:val="clear" w:color="FFFFFF" w:fill="FFFFFF"/>
            <w:noWrap/>
            <w:vAlign w:val="bottom"/>
            <w:hideMark/>
          </w:tcPr>
          <w:p w14:paraId="799A8104"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3754669F" w14:textId="77777777" w:rsidR="00AB6753" w:rsidRDefault="00AB6753" w:rsidP="002D1EA4">
            <w:pPr>
              <w:spacing w:after="0"/>
              <w:jc w:val="right"/>
              <w:rPr>
                <w:rFonts w:cs="Arial"/>
                <w:sz w:val="18"/>
                <w:szCs w:val="18"/>
              </w:rPr>
            </w:pPr>
            <w:r>
              <w:rPr>
                <w:rFonts w:cs="Arial"/>
                <w:sz w:val="18"/>
                <w:szCs w:val="18"/>
              </w:rPr>
              <w:t>3,345</w:t>
            </w:r>
          </w:p>
        </w:tc>
      </w:tr>
      <w:tr w:rsidR="00AB6753" w14:paraId="1DD0C082" w14:textId="77777777" w:rsidTr="002D1EA4">
        <w:trPr>
          <w:trHeight w:val="255"/>
        </w:trPr>
        <w:tc>
          <w:tcPr>
            <w:tcW w:w="6396" w:type="dxa"/>
            <w:tcBorders>
              <w:top w:val="nil"/>
              <w:left w:val="nil"/>
              <w:bottom w:val="nil"/>
              <w:right w:val="nil"/>
            </w:tcBorders>
            <w:shd w:val="clear" w:color="FFFFFF" w:fill="FFFFFF"/>
            <w:noWrap/>
            <w:vAlign w:val="bottom"/>
            <w:hideMark/>
          </w:tcPr>
          <w:p w14:paraId="433E1A0D" w14:textId="77777777" w:rsidR="00AB6753" w:rsidRDefault="00AB6753" w:rsidP="002D1EA4">
            <w:pPr>
              <w:spacing w:after="0"/>
              <w:rPr>
                <w:rFonts w:cs="Arial"/>
                <w:sz w:val="18"/>
                <w:szCs w:val="18"/>
              </w:rPr>
            </w:pPr>
            <w:r>
              <w:rPr>
                <w:rFonts w:cs="Arial"/>
                <w:sz w:val="18"/>
                <w:szCs w:val="18"/>
              </w:rPr>
              <w:t>Recruitment</w:t>
            </w:r>
          </w:p>
        </w:tc>
        <w:tc>
          <w:tcPr>
            <w:tcW w:w="1256" w:type="dxa"/>
            <w:tcBorders>
              <w:top w:val="nil"/>
              <w:left w:val="nil"/>
              <w:bottom w:val="nil"/>
              <w:right w:val="nil"/>
            </w:tcBorders>
            <w:shd w:val="clear" w:color="FFFFFF" w:fill="FFFFFF"/>
            <w:noWrap/>
            <w:vAlign w:val="bottom"/>
            <w:hideMark/>
          </w:tcPr>
          <w:p w14:paraId="407A2B61" w14:textId="77777777" w:rsidR="00AB6753" w:rsidRDefault="00AB6753" w:rsidP="002D1EA4">
            <w:pPr>
              <w:spacing w:after="0"/>
              <w:jc w:val="right"/>
              <w:rPr>
                <w:rFonts w:cs="Arial"/>
                <w:b/>
                <w:bCs/>
                <w:sz w:val="18"/>
                <w:szCs w:val="18"/>
              </w:rPr>
            </w:pPr>
            <w:r>
              <w:rPr>
                <w:rFonts w:cs="Arial"/>
                <w:b/>
                <w:bCs/>
                <w:sz w:val="18"/>
                <w:szCs w:val="18"/>
              </w:rPr>
              <w:t>1,404</w:t>
            </w:r>
          </w:p>
        </w:tc>
        <w:tc>
          <w:tcPr>
            <w:tcW w:w="267" w:type="dxa"/>
            <w:tcBorders>
              <w:top w:val="nil"/>
              <w:left w:val="nil"/>
              <w:bottom w:val="nil"/>
              <w:right w:val="nil"/>
            </w:tcBorders>
            <w:shd w:val="clear" w:color="FFFFFF" w:fill="FFFFFF"/>
            <w:noWrap/>
            <w:vAlign w:val="bottom"/>
            <w:hideMark/>
          </w:tcPr>
          <w:p w14:paraId="29DF0D18"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6D0617ED" w14:textId="77777777" w:rsidR="00AB6753" w:rsidRDefault="00AB6753" w:rsidP="002D1EA4">
            <w:pPr>
              <w:spacing w:after="0"/>
              <w:jc w:val="right"/>
              <w:rPr>
                <w:rFonts w:cs="Arial"/>
                <w:sz w:val="18"/>
                <w:szCs w:val="18"/>
              </w:rPr>
            </w:pPr>
            <w:r>
              <w:rPr>
                <w:rFonts w:cs="Arial"/>
                <w:sz w:val="18"/>
                <w:szCs w:val="18"/>
              </w:rPr>
              <w:t>1,872</w:t>
            </w:r>
          </w:p>
        </w:tc>
      </w:tr>
      <w:tr w:rsidR="00AB6753" w14:paraId="4F6CA4AC" w14:textId="77777777" w:rsidTr="002D1EA4">
        <w:trPr>
          <w:trHeight w:val="255"/>
        </w:trPr>
        <w:tc>
          <w:tcPr>
            <w:tcW w:w="6396" w:type="dxa"/>
            <w:tcBorders>
              <w:top w:val="nil"/>
              <w:left w:val="nil"/>
              <w:bottom w:val="nil"/>
              <w:right w:val="nil"/>
            </w:tcBorders>
            <w:shd w:val="clear" w:color="FFFFFF" w:fill="FFFFFF"/>
            <w:noWrap/>
            <w:vAlign w:val="bottom"/>
            <w:hideMark/>
          </w:tcPr>
          <w:p w14:paraId="6C75F3CC" w14:textId="77777777" w:rsidR="00AB6753" w:rsidRDefault="00AB6753" w:rsidP="002D1EA4">
            <w:pPr>
              <w:spacing w:after="0"/>
              <w:rPr>
                <w:rFonts w:cs="Arial"/>
                <w:sz w:val="18"/>
                <w:szCs w:val="18"/>
              </w:rPr>
            </w:pPr>
            <w:r>
              <w:rPr>
                <w:rFonts w:cs="Arial"/>
                <w:sz w:val="18"/>
                <w:szCs w:val="18"/>
              </w:rPr>
              <w:t>Motor vehicle expenses</w:t>
            </w:r>
          </w:p>
        </w:tc>
        <w:tc>
          <w:tcPr>
            <w:tcW w:w="1256" w:type="dxa"/>
            <w:tcBorders>
              <w:top w:val="nil"/>
              <w:left w:val="nil"/>
              <w:bottom w:val="nil"/>
              <w:right w:val="nil"/>
            </w:tcBorders>
            <w:shd w:val="clear" w:color="FFFFFF" w:fill="FFFFFF"/>
            <w:noWrap/>
            <w:vAlign w:val="bottom"/>
            <w:hideMark/>
          </w:tcPr>
          <w:p w14:paraId="0416B846" w14:textId="77777777" w:rsidR="00AB6753" w:rsidRDefault="00AB6753" w:rsidP="002D1EA4">
            <w:pPr>
              <w:spacing w:after="0"/>
              <w:jc w:val="right"/>
              <w:rPr>
                <w:rFonts w:cs="Arial"/>
                <w:b/>
                <w:bCs/>
                <w:sz w:val="18"/>
                <w:szCs w:val="18"/>
              </w:rPr>
            </w:pPr>
            <w:r>
              <w:rPr>
                <w:rFonts w:cs="Arial"/>
                <w:b/>
                <w:bCs/>
                <w:sz w:val="18"/>
                <w:szCs w:val="18"/>
              </w:rPr>
              <w:t>201</w:t>
            </w:r>
          </w:p>
        </w:tc>
        <w:tc>
          <w:tcPr>
            <w:tcW w:w="267" w:type="dxa"/>
            <w:tcBorders>
              <w:top w:val="nil"/>
              <w:left w:val="nil"/>
              <w:bottom w:val="nil"/>
              <w:right w:val="nil"/>
            </w:tcBorders>
            <w:shd w:val="clear" w:color="FFFFFF" w:fill="FFFFFF"/>
            <w:noWrap/>
            <w:vAlign w:val="bottom"/>
            <w:hideMark/>
          </w:tcPr>
          <w:p w14:paraId="76A7FCEA"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259E92A6" w14:textId="77777777" w:rsidR="00AB6753" w:rsidRDefault="00AB6753" w:rsidP="002D1EA4">
            <w:pPr>
              <w:spacing w:after="0"/>
              <w:jc w:val="right"/>
              <w:rPr>
                <w:rFonts w:cs="Arial"/>
                <w:sz w:val="18"/>
                <w:szCs w:val="18"/>
              </w:rPr>
            </w:pPr>
            <w:r>
              <w:rPr>
                <w:rFonts w:cs="Arial"/>
                <w:sz w:val="18"/>
                <w:szCs w:val="18"/>
              </w:rPr>
              <w:t>659</w:t>
            </w:r>
          </w:p>
        </w:tc>
      </w:tr>
      <w:tr w:rsidR="00AB6753" w14:paraId="3378F28E" w14:textId="77777777" w:rsidTr="002D1EA4">
        <w:trPr>
          <w:trHeight w:val="255"/>
        </w:trPr>
        <w:tc>
          <w:tcPr>
            <w:tcW w:w="6396" w:type="dxa"/>
            <w:tcBorders>
              <w:top w:val="nil"/>
              <w:left w:val="nil"/>
              <w:bottom w:val="nil"/>
              <w:right w:val="nil"/>
            </w:tcBorders>
            <w:shd w:val="clear" w:color="FFFFFF" w:fill="FFFFFF"/>
            <w:noWrap/>
            <w:vAlign w:val="bottom"/>
            <w:hideMark/>
          </w:tcPr>
          <w:p w14:paraId="15F6476F" w14:textId="77777777" w:rsidR="00AB6753" w:rsidRDefault="00AB6753" w:rsidP="002D1EA4">
            <w:pPr>
              <w:spacing w:after="0"/>
              <w:rPr>
                <w:rFonts w:cs="Arial"/>
                <w:sz w:val="18"/>
                <w:szCs w:val="18"/>
              </w:rPr>
            </w:pPr>
            <w:r>
              <w:rPr>
                <w:rFonts w:cs="Arial"/>
                <w:sz w:val="18"/>
                <w:szCs w:val="18"/>
              </w:rPr>
              <w:t>Other</w:t>
            </w:r>
          </w:p>
        </w:tc>
        <w:tc>
          <w:tcPr>
            <w:tcW w:w="1256" w:type="dxa"/>
            <w:tcBorders>
              <w:top w:val="nil"/>
              <w:left w:val="nil"/>
              <w:bottom w:val="nil"/>
              <w:right w:val="nil"/>
            </w:tcBorders>
            <w:shd w:val="clear" w:color="FFFFFF" w:fill="FFFFFF"/>
            <w:noWrap/>
            <w:vAlign w:val="bottom"/>
            <w:hideMark/>
          </w:tcPr>
          <w:p w14:paraId="241F24D9" w14:textId="77777777" w:rsidR="00AB6753" w:rsidRDefault="00AB6753" w:rsidP="002D1EA4">
            <w:pPr>
              <w:spacing w:after="0"/>
              <w:jc w:val="right"/>
              <w:rPr>
                <w:rFonts w:cs="Arial"/>
                <w:b/>
                <w:bCs/>
                <w:sz w:val="18"/>
                <w:szCs w:val="18"/>
              </w:rPr>
            </w:pPr>
            <w:r>
              <w:rPr>
                <w:rFonts w:cs="Arial"/>
                <w:b/>
                <w:bCs/>
                <w:sz w:val="18"/>
                <w:szCs w:val="18"/>
              </w:rPr>
              <w:t>15,260</w:t>
            </w:r>
          </w:p>
        </w:tc>
        <w:tc>
          <w:tcPr>
            <w:tcW w:w="267" w:type="dxa"/>
            <w:tcBorders>
              <w:top w:val="nil"/>
              <w:left w:val="nil"/>
              <w:bottom w:val="nil"/>
              <w:right w:val="nil"/>
            </w:tcBorders>
            <w:shd w:val="clear" w:color="FFFFFF" w:fill="FFFFFF"/>
            <w:noWrap/>
            <w:vAlign w:val="bottom"/>
            <w:hideMark/>
          </w:tcPr>
          <w:p w14:paraId="59D56329"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6A49FCED" w14:textId="77777777" w:rsidR="00AB6753" w:rsidRDefault="00AB6753" w:rsidP="002D1EA4">
            <w:pPr>
              <w:spacing w:after="0"/>
              <w:jc w:val="right"/>
              <w:rPr>
                <w:rFonts w:cs="Arial"/>
                <w:sz w:val="18"/>
                <w:szCs w:val="18"/>
              </w:rPr>
            </w:pPr>
            <w:r>
              <w:rPr>
                <w:rFonts w:cs="Arial"/>
                <w:sz w:val="18"/>
                <w:szCs w:val="18"/>
              </w:rPr>
              <w:t>12,060</w:t>
            </w:r>
          </w:p>
        </w:tc>
      </w:tr>
      <w:tr w:rsidR="00AB6753" w14:paraId="4728D66F" w14:textId="77777777" w:rsidTr="002D1EA4">
        <w:trPr>
          <w:trHeight w:val="255"/>
        </w:trPr>
        <w:tc>
          <w:tcPr>
            <w:tcW w:w="6396" w:type="dxa"/>
            <w:tcBorders>
              <w:top w:val="nil"/>
              <w:left w:val="nil"/>
              <w:bottom w:val="nil"/>
              <w:right w:val="nil"/>
            </w:tcBorders>
            <w:shd w:val="clear" w:color="FFFFFF" w:fill="FFFFFF"/>
            <w:vAlign w:val="bottom"/>
            <w:hideMark/>
          </w:tcPr>
          <w:p w14:paraId="41FDFEFD" w14:textId="77777777" w:rsidR="00AB6753" w:rsidRDefault="00AB6753" w:rsidP="002D1EA4">
            <w:pPr>
              <w:spacing w:after="0"/>
              <w:rPr>
                <w:rFonts w:cs="Arial"/>
                <w:b/>
                <w:bCs/>
                <w:sz w:val="18"/>
                <w:szCs w:val="18"/>
              </w:rPr>
            </w:pPr>
            <w:r>
              <w:rPr>
                <w:rFonts w:cs="Arial"/>
                <w:b/>
                <w:bCs/>
                <w:sz w:val="18"/>
                <w:szCs w:val="18"/>
              </w:rPr>
              <w:t>Total goods and services supplied or rendered</w:t>
            </w:r>
          </w:p>
        </w:tc>
        <w:tc>
          <w:tcPr>
            <w:tcW w:w="1256" w:type="dxa"/>
            <w:tcBorders>
              <w:top w:val="single" w:sz="4" w:space="0" w:color="auto"/>
              <w:left w:val="nil"/>
              <w:bottom w:val="single" w:sz="4" w:space="0" w:color="auto"/>
              <w:right w:val="nil"/>
            </w:tcBorders>
            <w:shd w:val="clear" w:color="FFFFFF" w:fill="FFFFFF"/>
            <w:noWrap/>
            <w:vAlign w:val="bottom"/>
            <w:hideMark/>
          </w:tcPr>
          <w:p w14:paraId="482BFBBD" w14:textId="77777777" w:rsidR="00AB6753" w:rsidRDefault="00AB6753" w:rsidP="002D1EA4">
            <w:pPr>
              <w:spacing w:after="0"/>
              <w:jc w:val="right"/>
              <w:rPr>
                <w:rFonts w:cs="Arial"/>
                <w:b/>
                <w:bCs/>
                <w:sz w:val="18"/>
                <w:szCs w:val="18"/>
              </w:rPr>
            </w:pPr>
            <w:r>
              <w:rPr>
                <w:rFonts w:cs="Arial"/>
                <w:b/>
                <w:bCs/>
                <w:sz w:val="18"/>
                <w:szCs w:val="18"/>
              </w:rPr>
              <w:t>142,596</w:t>
            </w:r>
          </w:p>
        </w:tc>
        <w:tc>
          <w:tcPr>
            <w:tcW w:w="267" w:type="dxa"/>
            <w:tcBorders>
              <w:top w:val="nil"/>
              <w:left w:val="nil"/>
              <w:bottom w:val="nil"/>
              <w:right w:val="nil"/>
            </w:tcBorders>
            <w:shd w:val="clear" w:color="FFFFFF" w:fill="FFFFFF"/>
            <w:noWrap/>
            <w:vAlign w:val="bottom"/>
            <w:hideMark/>
          </w:tcPr>
          <w:p w14:paraId="5A65549B" w14:textId="77777777" w:rsidR="00AB6753" w:rsidRDefault="00AB6753" w:rsidP="002D1EA4">
            <w:pPr>
              <w:spacing w:after="0"/>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7C6B9B11" w14:textId="77777777" w:rsidR="00AB6753" w:rsidRDefault="00AB6753" w:rsidP="002D1EA4">
            <w:pPr>
              <w:spacing w:after="0"/>
              <w:jc w:val="right"/>
              <w:rPr>
                <w:rFonts w:cs="Arial"/>
                <w:sz w:val="18"/>
                <w:szCs w:val="18"/>
              </w:rPr>
            </w:pPr>
            <w:r>
              <w:rPr>
                <w:rFonts w:cs="Arial"/>
                <w:sz w:val="18"/>
                <w:szCs w:val="18"/>
              </w:rPr>
              <w:t>152,416</w:t>
            </w:r>
          </w:p>
        </w:tc>
      </w:tr>
      <w:tr w:rsidR="00AB6753" w14:paraId="587BF85A" w14:textId="77777777" w:rsidTr="002D1EA4">
        <w:trPr>
          <w:trHeight w:val="255"/>
        </w:trPr>
        <w:tc>
          <w:tcPr>
            <w:tcW w:w="6396" w:type="dxa"/>
            <w:tcBorders>
              <w:top w:val="nil"/>
              <w:left w:val="nil"/>
              <w:bottom w:val="nil"/>
              <w:right w:val="nil"/>
            </w:tcBorders>
            <w:shd w:val="clear" w:color="FFFFFF" w:fill="FFFFFF"/>
            <w:vAlign w:val="bottom"/>
            <w:hideMark/>
          </w:tcPr>
          <w:p w14:paraId="04B73286" w14:textId="77777777" w:rsidR="00AB6753" w:rsidRDefault="00AB6753" w:rsidP="002D1EA4">
            <w:pPr>
              <w:spacing w:after="0"/>
              <w:rPr>
                <w:rFonts w:cs="Arial"/>
                <w:b/>
                <w:bCs/>
                <w:sz w:val="18"/>
                <w:szCs w:val="18"/>
              </w:rPr>
            </w:pPr>
            <w:r>
              <w:rPr>
                <w:rFonts w:cs="Arial"/>
                <w:b/>
                <w:bCs/>
                <w:sz w:val="18"/>
                <w:szCs w:val="18"/>
              </w:rPr>
              <w:t> </w:t>
            </w:r>
          </w:p>
        </w:tc>
        <w:tc>
          <w:tcPr>
            <w:tcW w:w="1256" w:type="dxa"/>
            <w:tcBorders>
              <w:top w:val="nil"/>
              <w:left w:val="nil"/>
              <w:bottom w:val="nil"/>
              <w:right w:val="nil"/>
            </w:tcBorders>
            <w:shd w:val="clear" w:color="FFFFFF" w:fill="FFFFFF"/>
            <w:noWrap/>
            <w:vAlign w:val="bottom"/>
            <w:hideMark/>
          </w:tcPr>
          <w:p w14:paraId="0319FC20" w14:textId="77777777" w:rsidR="00AB6753" w:rsidRDefault="00AB6753" w:rsidP="002D1EA4">
            <w:pPr>
              <w:spacing w:after="0"/>
              <w:jc w:val="right"/>
              <w:rPr>
                <w:rFonts w:cs="Arial"/>
                <w:b/>
                <w:bCs/>
                <w:sz w:val="18"/>
                <w:szCs w:val="18"/>
              </w:rPr>
            </w:pPr>
            <w:r>
              <w:rPr>
                <w:rFonts w:cs="Arial"/>
                <w:b/>
                <w:bCs/>
                <w:sz w:val="18"/>
                <w:szCs w:val="18"/>
              </w:rPr>
              <w:t> </w:t>
            </w:r>
          </w:p>
        </w:tc>
        <w:tc>
          <w:tcPr>
            <w:tcW w:w="267" w:type="dxa"/>
            <w:tcBorders>
              <w:top w:val="nil"/>
              <w:left w:val="nil"/>
              <w:bottom w:val="nil"/>
              <w:right w:val="nil"/>
            </w:tcBorders>
            <w:shd w:val="clear" w:color="FFFFFF" w:fill="FFFFFF"/>
            <w:noWrap/>
            <w:vAlign w:val="bottom"/>
            <w:hideMark/>
          </w:tcPr>
          <w:p w14:paraId="16EA0901"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2B6839BE" w14:textId="77777777" w:rsidR="00AB6753" w:rsidRDefault="00AB6753" w:rsidP="002D1EA4">
            <w:pPr>
              <w:spacing w:after="0"/>
              <w:jc w:val="right"/>
              <w:rPr>
                <w:rFonts w:cs="Arial"/>
                <w:sz w:val="18"/>
                <w:szCs w:val="18"/>
              </w:rPr>
            </w:pPr>
            <w:r>
              <w:rPr>
                <w:rFonts w:cs="Arial"/>
                <w:sz w:val="18"/>
                <w:szCs w:val="18"/>
              </w:rPr>
              <w:t> </w:t>
            </w:r>
          </w:p>
        </w:tc>
      </w:tr>
      <w:tr w:rsidR="00AB6753" w14:paraId="487B6EF8" w14:textId="77777777" w:rsidTr="002D1EA4">
        <w:trPr>
          <w:trHeight w:val="255"/>
        </w:trPr>
        <w:tc>
          <w:tcPr>
            <w:tcW w:w="6396" w:type="dxa"/>
            <w:tcBorders>
              <w:top w:val="nil"/>
              <w:left w:val="nil"/>
              <w:bottom w:val="nil"/>
              <w:right w:val="nil"/>
            </w:tcBorders>
            <w:shd w:val="clear" w:color="FFFFFF" w:fill="FFFFFF"/>
            <w:noWrap/>
            <w:vAlign w:val="bottom"/>
            <w:hideMark/>
          </w:tcPr>
          <w:p w14:paraId="26F375BB" w14:textId="77777777" w:rsidR="00AB6753" w:rsidRDefault="00AB6753" w:rsidP="002D1EA4">
            <w:pPr>
              <w:spacing w:after="0"/>
              <w:rPr>
                <w:rFonts w:cs="Arial"/>
                <w:sz w:val="18"/>
                <w:szCs w:val="18"/>
              </w:rPr>
            </w:pPr>
            <w:r>
              <w:rPr>
                <w:rFonts w:cs="Arial"/>
                <w:sz w:val="18"/>
                <w:szCs w:val="18"/>
              </w:rPr>
              <w:t>Goods supplied</w:t>
            </w:r>
          </w:p>
        </w:tc>
        <w:tc>
          <w:tcPr>
            <w:tcW w:w="1256" w:type="dxa"/>
            <w:tcBorders>
              <w:top w:val="nil"/>
              <w:left w:val="nil"/>
              <w:bottom w:val="nil"/>
              <w:right w:val="nil"/>
            </w:tcBorders>
            <w:shd w:val="clear" w:color="FFFFFF" w:fill="FFFFFF"/>
            <w:noWrap/>
            <w:vAlign w:val="bottom"/>
            <w:hideMark/>
          </w:tcPr>
          <w:p w14:paraId="64F84306" w14:textId="77777777" w:rsidR="00AB6753" w:rsidRDefault="00AB6753" w:rsidP="002D1EA4">
            <w:pPr>
              <w:spacing w:after="0"/>
              <w:jc w:val="right"/>
              <w:rPr>
                <w:rFonts w:cs="Arial"/>
                <w:b/>
                <w:bCs/>
                <w:sz w:val="18"/>
                <w:szCs w:val="18"/>
              </w:rPr>
            </w:pPr>
            <w:r>
              <w:rPr>
                <w:rFonts w:cs="Arial"/>
                <w:b/>
                <w:bCs/>
                <w:sz w:val="18"/>
                <w:szCs w:val="18"/>
              </w:rPr>
              <w:t xml:space="preserve">2,647 </w:t>
            </w:r>
          </w:p>
        </w:tc>
        <w:tc>
          <w:tcPr>
            <w:tcW w:w="267" w:type="dxa"/>
            <w:tcBorders>
              <w:top w:val="nil"/>
              <w:left w:val="nil"/>
              <w:bottom w:val="nil"/>
              <w:right w:val="nil"/>
            </w:tcBorders>
            <w:shd w:val="clear" w:color="FFFFFF" w:fill="FFFFFF"/>
            <w:noWrap/>
            <w:vAlign w:val="bottom"/>
            <w:hideMark/>
          </w:tcPr>
          <w:p w14:paraId="233030F2"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0AD27FBF" w14:textId="77777777" w:rsidR="00AB6753" w:rsidRDefault="00AB6753" w:rsidP="002D1EA4">
            <w:pPr>
              <w:spacing w:after="0"/>
              <w:jc w:val="right"/>
              <w:rPr>
                <w:rFonts w:cs="Arial"/>
                <w:sz w:val="18"/>
                <w:szCs w:val="18"/>
              </w:rPr>
            </w:pPr>
            <w:r>
              <w:rPr>
                <w:rFonts w:cs="Arial"/>
                <w:sz w:val="18"/>
                <w:szCs w:val="18"/>
              </w:rPr>
              <w:t xml:space="preserve">3,615 </w:t>
            </w:r>
          </w:p>
        </w:tc>
      </w:tr>
      <w:tr w:rsidR="00AB6753" w14:paraId="56AC5335" w14:textId="77777777" w:rsidTr="002D1EA4">
        <w:trPr>
          <w:trHeight w:val="255"/>
        </w:trPr>
        <w:tc>
          <w:tcPr>
            <w:tcW w:w="6396" w:type="dxa"/>
            <w:tcBorders>
              <w:top w:val="nil"/>
              <w:left w:val="nil"/>
              <w:bottom w:val="nil"/>
              <w:right w:val="nil"/>
            </w:tcBorders>
            <w:shd w:val="clear" w:color="FFFFFF" w:fill="FFFFFF"/>
            <w:noWrap/>
            <w:vAlign w:val="bottom"/>
            <w:hideMark/>
          </w:tcPr>
          <w:p w14:paraId="425CFCDB" w14:textId="77777777" w:rsidR="00AB6753" w:rsidRDefault="00AB6753" w:rsidP="002D1EA4">
            <w:pPr>
              <w:spacing w:after="0"/>
              <w:rPr>
                <w:rFonts w:cs="Arial"/>
                <w:sz w:val="18"/>
                <w:szCs w:val="18"/>
              </w:rPr>
            </w:pPr>
            <w:r>
              <w:rPr>
                <w:rFonts w:cs="Arial"/>
                <w:sz w:val="18"/>
                <w:szCs w:val="18"/>
              </w:rPr>
              <w:t>Services rendered</w:t>
            </w:r>
          </w:p>
        </w:tc>
        <w:tc>
          <w:tcPr>
            <w:tcW w:w="1256" w:type="dxa"/>
            <w:tcBorders>
              <w:top w:val="nil"/>
              <w:left w:val="nil"/>
              <w:bottom w:val="nil"/>
              <w:right w:val="nil"/>
            </w:tcBorders>
            <w:shd w:val="clear" w:color="FFFFFF" w:fill="FFFFFF"/>
            <w:noWrap/>
            <w:vAlign w:val="bottom"/>
            <w:hideMark/>
          </w:tcPr>
          <w:p w14:paraId="045D3275" w14:textId="77777777" w:rsidR="00AB6753" w:rsidRDefault="00AB6753" w:rsidP="002D1EA4">
            <w:pPr>
              <w:spacing w:after="0"/>
              <w:jc w:val="right"/>
              <w:rPr>
                <w:rFonts w:cs="Arial"/>
                <w:b/>
                <w:bCs/>
                <w:sz w:val="18"/>
                <w:szCs w:val="18"/>
              </w:rPr>
            </w:pPr>
            <w:r>
              <w:rPr>
                <w:rFonts w:cs="Arial"/>
                <w:b/>
                <w:bCs/>
                <w:sz w:val="18"/>
                <w:szCs w:val="18"/>
              </w:rPr>
              <w:t xml:space="preserve">139,949 </w:t>
            </w:r>
          </w:p>
        </w:tc>
        <w:tc>
          <w:tcPr>
            <w:tcW w:w="267" w:type="dxa"/>
            <w:tcBorders>
              <w:top w:val="nil"/>
              <w:left w:val="nil"/>
              <w:bottom w:val="nil"/>
              <w:right w:val="nil"/>
            </w:tcBorders>
            <w:shd w:val="clear" w:color="FFFFFF" w:fill="FFFFFF"/>
            <w:noWrap/>
            <w:vAlign w:val="bottom"/>
            <w:hideMark/>
          </w:tcPr>
          <w:p w14:paraId="06655E44"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79DE0D2C" w14:textId="77777777" w:rsidR="00AB6753" w:rsidRDefault="00AB6753" w:rsidP="002D1EA4">
            <w:pPr>
              <w:spacing w:after="0"/>
              <w:jc w:val="right"/>
              <w:rPr>
                <w:rFonts w:cs="Arial"/>
                <w:sz w:val="18"/>
                <w:szCs w:val="18"/>
              </w:rPr>
            </w:pPr>
            <w:r>
              <w:rPr>
                <w:rFonts w:cs="Arial"/>
                <w:sz w:val="18"/>
                <w:szCs w:val="18"/>
              </w:rPr>
              <w:t xml:space="preserve">148,801 </w:t>
            </w:r>
          </w:p>
        </w:tc>
      </w:tr>
      <w:tr w:rsidR="00AB6753" w14:paraId="352D1BA8" w14:textId="77777777" w:rsidTr="002D1EA4">
        <w:trPr>
          <w:trHeight w:val="255"/>
        </w:trPr>
        <w:tc>
          <w:tcPr>
            <w:tcW w:w="6396" w:type="dxa"/>
            <w:tcBorders>
              <w:top w:val="nil"/>
              <w:left w:val="nil"/>
              <w:bottom w:val="nil"/>
              <w:right w:val="nil"/>
            </w:tcBorders>
            <w:shd w:val="clear" w:color="FFFFFF" w:fill="FFFFFF"/>
            <w:vAlign w:val="bottom"/>
            <w:hideMark/>
          </w:tcPr>
          <w:p w14:paraId="2C010CC5" w14:textId="77777777" w:rsidR="00AB6753" w:rsidRDefault="00AB6753" w:rsidP="002D1EA4">
            <w:pPr>
              <w:spacing w:after="0"/>
              <w:rPr>
                <w:rFonts w:cs="Arial"/>
                <w:b/>
                <w:bCs/>
                <w:sz w:val="18"/>
                <w:szCs w:val="18"/>
              </w:rPr>
            </w:pPr>
            <w:r>
              <w:rPr>
                <w:rFonts w:cs="Arial"/>
                <w:b/>
                <w:bCs/>
                <w:sz w:val="18"/>
                <w:szCs w:val="18"/>
              </w:rPr>
              <w:t>Total goods and services supplied or rendered</w:t>
            </w:r>
          </w:p>
        </w:tc>
        <w:tc>
          <w:tcPr>
            <w:tcW w:w="1256" w:type="dxa"/>
            <w:tcBorders>
              <w:top w:val="single" w:sz="4" w:space="0" w:color="auto"/>
              <w:left w:val="nil"/>
              <w:bottom w:val="single" w:sz="4" w:space="0" w:color="auto"/>
              <w:right w:val="nil"/>
            </w:tcBorders>
            <w:shd w:val="clear" w:color="FFFFFF" w:fill="FFFFFF"/>
            <w:noWrap/>
            <w:vAlign w:val="bottom"/>
            <w:hideMark/>
          </w:tcPr>
          <w:p w14:paraId="3F53A65A" w14:textId="77777777" w:rsidR="00AB6753" w:rsidRDefault="00AB6753" w:rsidP="002D1EA4">
            <w:pPr>
              <w:spacing w:after="0"/>
              <w:jc w:val="right"/>
              <w:rPr>
                <w:rFonts w:cs="Arial"/>
                <w:b/>
                <w:bCs/>
                <w:sz w:val="18"/>
                <w:szCs w:val="18"/>
              </w:rPr>
            </w:pPr>
            <w:r>
              <w:rPr>
                <w:rFonts w:cs="Arial"/>
                <w:b/>
                <w:bCs/>
                <w:sz w:val="18"/>
                <w:szCs w:val="18"/>
              </w:rPr>
              <w:t>142,596</w:t>
            </w:r>
          </w:p>
        </w:tc>
        <w:tc>
          <w:tcPr>
            <w:tcW w:w="267" w:type="dxa"/>
            <w:tcBorders>
              <w:top w:val="nil"/>
              <w:left w:val="nil"/>
              <w:bottom w:val="nil"/>
              <w:right w:val="nil"/>
            </w:tcBorders>
            <w:shd w:val="clear" w:color="FFFFFF" w:fill="FFFFFF"/>
            <w:noWrap/>
            <w:vAlign w:val="bottom"/>
            <w:hideMark/>
          </w:tcPr>
          <w:p w14:paraId="07219ACC" w14:textId="77777777" w:rsidR="00AB6753" w:rsidRDefault="00AB6753" w:rsidP="002D1EA4">
            <w:pPr>
              <w:spacing w:after="0"/>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2F3C3E41" w14:textId="77777777" w:rsidR="00AB6753" w:rsidRDefault="00AB6753" w:rsidP="002D1EA4">
            <w:pPr>
              <w:spacing w:after="0"/>
              <w:jc w:val="right"/>
              <w:rPr>
                <w:rFonts w:cs="Arial"/>
                <w:sz w:val="18"/>
                <w:szCs w:val="18"/>
              </w:rPr>
            </w:pPr>
            <w:r>
              <w:rPr>
                <w:rFonts w:cs="Arial"/>
                <w:sz w:val="18"/>
                <w:szCs w:val="18"/>
              </w:rPr>
              <w:t>152,416</w:t>
            </w:r>
          </w:p>
        </w:tc>
      </w:tr>
      <w:tr w:rsidR="00AB6753" w14:paraId="690323A3" w14:textId="77777777" w:rsidTr="002D1EA4">
        <w:trPr>
          <w:trHeight w:val="98"/>
        </w:trPr>
        <w:tc>
          <w:tcPr>
            <w:tcW w:w="6396" w:type="dxa"/>
            <w:tcBorders>
              <w:top w:val="nil"/>
              <w:left w:val="nil"/>
              <w:bottom w:val="nil"/>
              <w:right w:val="nil"/>
            </w:tcBorders>
            <w:shd w:val="clear" w:color="FFFFFF" w:fill="FFFFFF"/>
            <w:vAlign w:val="bottom"/>
            <w:hideMark/>
          </w:tcPr>
          <w:p w14:paraId="1E8ABFEB" w14:textId="77777777" w:rsidR="00AB6753" w:rsidRDefault="00AB6753" w:rsidP="002D1EA4">
            <w:pPr>
              <w:spacing w:after="0"/>
              <w:rPr>
                <w:rFonts w:cs="Arial"/>
                <w:b/>
                <w:bCs/>
                <w:sz w:val="18"/>
                <w:szCs w:val="18"/>
              </w:rPr>
            </w:pPr>
            <w:r>
              <w:rPr>
                <w:rFonts w:cs="Arial"/>
                <w:b/>
                <w:bCs/>
                <w:sz w:val="18"/>
                <w:szCs w:val="18"/>
              </w:rPr>
              <w:t> </w:t>
            </w:r>
          </w:p>
        </w:tc>
        <w:tc>
          <w:tcPr>
            <w:tcW w:w="1256" w:type="dxa"/>
            <w:tcBorders>
              <w:top w:val="nil"/>
              <w:left w:val="nil"/>
              <w:bottom w:val="nil"/>
              <w:right w:val="nil"/>
            </w:tcBorders>
            <w:shd w:val="clear" w:color="FFFFFF" w:fill="FFFFFF"/>
            <w:noWrap/>
            <w:vAlign w:val="bottom"/>
            <w:hideMark/>
          </w:tcPr>
          <w:p w14:paraId="4BF16393" w14:textId="77777777" w:rsidR="00AB6753" w:rsidRDefault="00AB6753" w:rsidP="002D1EA4">
            <w:pPr>
              <w:spacing w:after="0"/>
              <w:jc w:val="right"/>
              <w:rPr>
                <w:rFonts w:cs="Arial"/>
                <w:b/>
                <w:bCs/>
                <w:sz w:val="18"/>
                <w:szCs w:val="18"/>
              </w:rPr>
            </w:pPr>
            <w:r>
              <w:rPr>
                <w:rFonts w:cs="Arial"/>
                <w:b/>
                <w:bCs/>
                <w:sz w:val="18"/>
                <w:szCs w:val="18"/>
              </w:rPr>
              <w:t> </w:t>
            </w:r>
          </w:p>
        </w:tc>
        <w:tc>
          <w:tcPr>
            <w:tcW w:w="267" w:type="dxa"/>
            <w:tcBorders>
              <w:top w:val="nil"/>
              <w:left w:val="nil"/>
              <w:bottom w:val="nil"/>
              <w:right w:val="nil"/>
            </w:tcBorders>
            <w:shd w:val="clear" w:color="FFFFFF" w:fill="FFFFFF"/>
            <w:noWrap/>
            <w:vAlign w:val="bottom"/>
            <w:hideMark/>
          </w:tcPr>
          <w:p w14:paraId="0685EA01"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5A6ED58B" w14:textId="77777777" w:rsidR="00AB6753" w:rsidRDefault="00AB6753" w:rsidP="002D1EA4">
            <w:pPr>
              <w:spacing w:after="0"/>
              <w:jc w:val="right"/>
              <w:rPr>
                <w:rFonts w:cs="Arial"/>
                <w:sz w:val="18"/>
                <w:szCs w:val="18"/>
              </w:rPr>
            </w:pPr>
            <w:r>
              <w:rPr>
                <w:rFonts w:cs="Arial"/>
                <w:sz w:val="18"/>
                <w:szCs w:val="18"/>
              </w:rPr>
              <w:t> </w:t>
            </w:r>
          </w:p>
        </w:tc>
      </w:tr>
      <w:tr w:rsidR="00AB6753" w14:paraId="3B29236B" w14:textId="77777777" w:rsidTr="002D1EA4">
        <w:trPr>
          <w:trHeight w:val="255"/>
        </w:trPr>
        <w:tc>
          <w:tcPr>
            <w:tcW w:w="6396" w:type="dxa"/>
            <w:tcBorders>
              <w:top w:val="nil"/>
              <w:left w:val="nil"/>
              <w:bottom w:val="nil"/>
              <w:right w:val="nil"/>
            </w:tcBorders>
            <w:shd w:val="clear" w:color="FFFFFF" w:fill="FFFFFF"/>
            <w:vAlign w:val="bottom"/>
            <w:hideMark/>
          </w:tcPr>
          <w:p w14:paraId="387B24DE" w14:textId="77777777" w:rsidR="00AB6753" w:rsidRDefault="00AB6753" w:rsidP="002D1EA4">
            <w:pPr>
              <w:spacing w:after="0"/>
              <w:rPr>
                <w:rFonts w:cs="Arial"/>
                <w:b/>
                <w:bCs/>
                <w:sz w:val="18"/>
                <w:szCs w:val="18"/>
              </w:rPr>
            </w:pPr>
            <w:r>
              <w:rPr>
                <w:rFonts w:cs="Arial"/>
                <w:b/>
                <w:bCs/>
                <w:sz w:val="18"/>
                <w:szCs w:val="18"/>
              </w:rPr>
              <w:t>Other suppliers</w:t>
            </w:r>
          </w:p>
        </w:tc>
        <w:tc>
          <w:tcPr>
            <w:tcW w:w="1256" w:type="dxa"/>
            <w:tcBorders>
              <w:top w:val="nil"/>
              <w:left w:val="nil"/>
              <w:bottom w:val="nil"/>
              <w:right w:val="nil"/>
            </w:tcBorders>
            <w:shd w:val="clear" w:color="FFFFFF" w:fill="FFFFFF"/>
            <w:noWrap/>
            <w:vAlign w:val="bottom"/>
            <w:hideMark/>
          </w:tcPr>
          <w:p w14:paraId="67422DC4"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70E29F3A"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41036AE8" w14:textId="77777777" w:rsidR="00AB6753" w:rsidRDefault="00AB6753" w:rsidP="002D1EA4">
            <w:pPr>
              <w:spacing w:after="0"/>
              <w:rPr>
                <w:rFonts w:cs="Arial"/>
                <w:sz w:val="18"/>
                <w:szCs w:val="18"/>
              </w:rPr>
            </w:pPr>
            <w:r>
              <w:rPr>
                <w:rFonts w:cs="Arial"/>
                <w:sz w:val="18"/>
                <w:szCs w:val="18"/>
              </w:rPr>
              <w:t> </w:t>
            </w:r>
          </w:p>
        </w:tc>
      </w:tr>
      <w:tr w:rsidR="00AB6753" w14:paraId="7BAAF595" w14:textId="77777777" w:rsidTr="002D1EA4">
        <w:trPr>
          <w:trHeight w:val="255"/>
        </w:trPr>
        <w:tc>
          <w:tcPr>
            <w:tcW w:w="6396" w:type="dxa"/>
            <w:tcBorders>
              <w:top w:val="nil"/>
              <w:left w:val="nil"/>
              <w:bottom w:val="nil"/>
              <w:right w:val="nil"/>
            </w:tcBorders>
            <w:shd w:val="clear" w:color="FFFFFF" w:fill="FFFFFF"/>
            <w:vAlign w:val="bottom"/>
            <w:hideMark/>
          </w:tcPr>
          <w:p w14:paraId="3440913F" w14:textId="77777777" w:rsidR="00AB6753" w:rsidRDefault="00AB6753" w:rsidP="002D1EA4">
            <w:pPr>
              <w:spacing w:after="0"/>
              <w:rPr>
                <w:rFonts w:cs="Arial"/>
                <w:sz w:val="18"/>
                <w:szCs w:val="18"/>
              </w:rPr>
            </w:pPr>
            <w:r>
              <w:rPr>
                <w:rFonts w:cs="Arial"/>
                <w:sz w:val="18"/>
                <w:szCs w:val="18"/>
              </w:rPr>
              <w:t>Operating lease rentals</w:t>
            </w:r>
          </w:p>
        </w:tc>
        <w:tc>
          <w:tcPr>
            <w:tcW w:w="1256" w:type="dxa"/>
            <w:tcBorders>
              <w:top w:val="nil"/>
              <w:left w:val="nil"/>
              <w:bottom w:val="nil"/>
              <w:right w:val="nil"/>
            </w:tcBorders>
            <w:shd w:val="clear" w:color="FFFFFF" w:fill="FFFFFF"/>
            <w:noWrap/>
            <w:vAlign w:val="bottom"/>
            <w:hideMark/>
          </w:tcPr>
          <w:p w14:paraId="2C10DB68" w14:textId="77777777" w:rsidR="00AB6753" w:rsidRDefault="00AB6753" w:rsidP="002D1EA4">
            <w:pPr>
              <w:spacing w:after="0"/>
              <w:jc w:val="right"/>
              <w:rPr>
                <w:rFonts w:cs="Arial"/>
                <w:b/>
                <w:bCs/>
                <w:sz w:val="18"/>
                <w:szCs w:val="18"/>
              </w:rPr>
            </w:pPr>
            <w:r>
              <w:rPr>
                <w:rFonts w:cs="Arial"/>
                <w:b/>
                <w:bCs/>
                <w:sz w:val="18"/>
                <w:szCs w:val="18"/>
              </w:rPr>
              <w:t>-</w:t>
            </w:r>
          </w:p>
        </w:tc>
        <w:tc>
          <w:tcPr>
            <w:tcW w:w="267" w:type="dxa"/>
            <w:tcBorders>
              <w:top w:val="nil"/>
              <w:left w:val="nil"/>
              <w:bottom w:val="nil"/>
              <w:right w:val="nil"/>
            </w:tcBorders>
            <w:shd w:val="clear" w:color="FFFFFF" w:fill="FFFFFF"/>
            <w:noWrap/>
            <w:vAlign w:val="bottom"/>
            <w:hideMark/>
          </w:tcPr>
          <w:p w14:paraId="1DBDDD21"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17D9053F" w14:textId="77777777" w:rsidR="00AB6753" w:rsidRDefault="00AB6753" w:rsidP="002D1EA4">
            <w:pPr>
              <w:spacing w:after="0"/>
              <w:jc w:val="right"/>
              <w:rPr>
                <w:rFonts w:cs="Arial"/>
                <w:sz w:val="18"/>
                <w:szCs w:val="18"/>
              </w:rPr>
            </w:pPr>
            <w:r>
              <w:rPr>
                <w:rFonts w:cs="Arial"/>
                <w:sz w:val="18"/>
                <w:szCs w:val="18"/>
              </w:rPr>
              <w:t>34,760</w:t>
            </w:r>
          </w:p>
        </w:tc>
      </w:tr>
      <w:tr w:rsidR="00AB6753" w14:paraId="2586811A" w14:textId="77777777" w:rsidTr="002D1EA4">
        <w:trPr>
          <w:trHeight w:val="255"/>
        </w:trPr>
        <w:tc>
          <w:tcPr>
            <w:tcW w:w="6396" w:type="dxa"/>
            <w:tcBorders>
              <w:top w:val="nil"/>
              <w:left w:val="nil"/>
              <w:bottom w:val="nil"/>
              <w:right w:val="nil"/>
            </w:tcBorders>
            <w:shd w:val="clear" w:color="FFFFFF" w:fill="FFFFFF"/>
            <w:vAlign w:val="bottom"/>
            <w:hideMark/>
          </w:tcPr>
          <w:p w14:paraId="689C6211" w14:textId="77777777" w:rsidR="00AB6753" w:rsidRDefault="00AB6753" w:rsidP="002D1EA4">
            <w:pPr>
              <w:spacing w:after="0"/>
              <w:rPr>
                <w:rFonts w:cs="Arial"/>
                <w:sz w:val="18"/>
                <w:szCs w:val="18"/>
              </w:rPr>
            </w:pPr>
            <w:r>
              <w:rPr>
                <w:rFonts w:cs="Arial"/>
                <w:sz w:val="18"/>
                <w:szCs w:val="18"/>
              </w:rPr>
              <w:t>Short-term leases</w:t>
            </w:r>
          </w:p>
        </w:tc>
        <w:tc>
          <w:tcPr>
            <w:tcW w:w="1256" w:type="dxa"/>
            <w:tcBorders>
              <w:top w:val="nil"/>
              <w:left w:val="nil"/>
              <w:bottom w:val="nil"/>
              <w:right w:val="nil"/>
            </w:tcBorders>
            <w:shd w:val="clear" w:color="FFFFFF" w:fill="FFFFFF"/>
            <w:noWrap/>
            <w:vAlign w:val="bottom"/>
            <w:hideMark/>
          </w:tcPr>
          <w:p w14:paraId="526B19A4" w14:textId="77777777" w:rsidR="00AB6753" w:rsidRDefault="00AB6753" w:rsidP="002D1EA4">
            <w:pPr>
              <w:spacing w:after="0"/>
              <w:jc w:val="right"/>
              <w:rPr>
                <w:rFonts w:cs="Arial"/>
                <w:b/>
                <w:bCs/>
                <w:sz w:val="18"/>
                <w:szCs w:val="18"/>
              </w:rPr>
            </w:pPr>
            <w:r>
              <w:rPr>
                <w:rFonts w:cs="Arial"/>
                <w:b/>
                <w:bCs/>
                <w:sz w:val="18"/>
                <w:szCs w:val="18"/>
              </w:rPr>
              <w:t>2,194</w:t>
            </w:r>
          </w:p>
        </w:tc>
        <w:tc>
          <w:tcPr>
            <w:tcW w:w="267" w:type="dxa"/>
            <w:tcBorders>
              <w:top w:val="nil"/>
              <w:left w:val="nil"/>
              <w:bottom w:val="nil"/>
              <w:right w:val="nil"/>
            </w:tcBorders>
            <w:shd w:val="clear" w:color="FFFFFF" w:fill="FFFFFF"/>
            <w:noWrap/>
            <w:vAlign w:val="bottom"/>
            <w:hideMark/>
          </w:tcPr>
          <w:p w14:paraId="71C37EE5"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73E7FA9E" w14:textId="77777777" w:rsidR="00AB6753" w:rsidRDefault="00AB6753" w:rsidP="002D1EA4">
            <w:pPr>
              <w:spacing w:after="0"/>
              <w:jc w:val="right"/>
              <w:rPr>
                <w:rFonts w:cs="Arial"/>
                <w:sz w:val="18"/>
                <w:szCs w:val="18"/>
              </w:rPr>
            </w:pPr>
            <w:r>
              <w:rPr>
                <w:rFonts w:cs="Arial"/>
                <w:sz w:val="18"/>
                <w:szCs w:val="18"/>
              </w:rPr>
              <w:t>-</w:t>
            </w:r>
          </w:p>
        </w:tc>
      </w:tr>
      <w:tr w:rsidR="00AB6753" w14:paraId="63E21FF1" w14:textId="77777777" w:rsidTr="002D1EA4">
        <w:trPr>
          <w:trHeight w:val="255"/>
        </w:trPr>
        <w:tc>
          <w:tcPr>
            <w:tcW w:w="6396" w:type="dxa"/>
            <w:tcBorders>
              <w:top w:val="nil"/>
              <w:left w:val="nil"/>
              <w:bottom w:val="nil"/>
              <w:right w:val="nil"/>
            </w:tcBorders>
            <w:shd w:val="clear" w:color="FFFFFF" w:fill="FFFFFF"/>
            <w:vAlign w:val="bottom"/>
            <w:hideMark/>
          </w:tcPr>
          <w:p w14:paraId="3413861B" w14:textId="77777777" w:rsidR="00AB6753" w:rsidRDefault="00AB6753" w:rsidP="002D1EA4">
            <w:pPr>
              <w:spacing w:after="0"/>
              <w:rPr>
                <w:rFonts w:cs="Arial"/>
                <w:sz w:val="18"/>
                <w:szCs w:val="18"/>
              </w:rPr>
            </w:pPr>
            <w:r>
              <w:rPr>
                <w:rFonts w:cs="Arial"/>
                <w:sz w:val="18"/>
                <w:szCs w:val="18"/>
              </w:rPr>
              <w:t>Low value leases</w:t>
            </w:r>
          </w:p>
        </w:tc>
        <w:tc>
          <w:tcPr>
            <w:tcW w:w="1256" w:type="dxa"/>
            <w:tcBorders>
              <w:top w:val="nil"/>
              <w:left w:val="nil"/>
              <w:bottom w:val="nil"/>
              <w:right w:val="nil"/>
            </w:tcBorders>
            <w:shd w:val="clear" w:color="FFFFFF" w:fill="FFFFFF"/>
            <w:noWrap/>
            <w:vAlign w:val="bottom"/>
            <w:hideMark/>
          </w:tcPr>
          <w:p w14:paraId="6C0C9478" w14:textId="77777777" w:rsidR="00AB6753" w:rsidRDefault="00AB6753" w:rsidP="002D1EA4">
            <w:pPr>
              <w:spacing w:after="0"/>
              <w:jc w:val="right"/>
              <w:rPr>
                <w:rFonts w:cs="Arial"/>
                <w:b/>
                <w:bCs/>
                <w:sz w:val="18"/>
                <w:szCs w:val="18"/>
              </w:rPr>
            </w:pPr>
            <w:r>
              <w:rPr>
                <w:rFonts w:cs="Arial"/>
                <w:b/>
                <w:bCs/>
                <w:sz w:val="18"/>
                <w:szCs w:val="18"/>
              </w:rPr>
              <w:t>188</w:t>
            </w:r>
          </w:p>
        </w:tc>
        <w:tc>
          <w:tcPr>
            <w:tcW w:w="267" w:type="dxa"/>
            <w:tcBorders>
              <w:top w:val="nil"/>
              <w:left w:val="nil"/>
              <w:bottom w:val="nil"/>
              <w:right w:val="nil"/>
            </w:tcBorders>
            <w:shd w:val="clear" w:color="FFFFFF" w:fill="FFFFFF"/>
            <w:noWrap/>
            <w:vAlign w:val="bottom"/>
            <w:hideMark/>
          </w:tcPr>
          <w:p w14:paraId="39A8B78E"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18969516" w14:textId="77777777" w:rsidR="00AB6753" w:rsidRDefault="00AB6753" w:rsidP="002D1EA4">
            <w:pPr>
              <w:spacing w:after="0"/>
              <w:jc w:val="right"/>
              <w:rPr>
                <w:rFonts w:cs="Arial"/>
                <w:sz w:val="18"/>
                <w:szCs w:val="18"/>
              </w:rPr>
            </w:pPr>
            <w:r>
              <w:rPr>
                <w:rFonts w:cs="Arial"/>
                <w:sz w:val="18"/>
                <w:szCs w:val="18"/>
              </w:rPr>
              <w:t>-</w:t>
            </w:r>
          </w:p>
        </w:tc>
      </w:tr>
      <w:tr w:rsidR="00AB6753" w14:paraId="50DD2389" w14:textId="77777777" w:rsidTr="002D1EA4">
        <w:trPr>
          <w:trHeight w:val="255"/>
        </w:trPr>
        <w:tc>
          <w:tcPr>
            <w:tcW w:w="6396" w:type="dxa"/>
            <w:tcBorders>
              <w:top w:val="nil"/>
              <w:left w:val="nil"/>
              <w:bottom w:val="nil"/>
              <w:right w:val="nil"/>
            </w:tcBorders>
            <w:shd w:val="clear" w:color="FFFFFF" w:fill="FFFFFF"/>
            <w:vAlign w:val="bottom"/>
            <w:hideMark/>
          </w:tcPr>
          <w:p w14:paraId="74F04E2B" w14:textId="77777777" w:rsidR="00AB6753" w:rsidRDefault="00AB6753" w:rsidP="002D1EA4">
            <w:pPr>
              <w:spacing w:after="0"/>
              <w:rPr>
                <w:rFonts w:cs="Arial"/>
                <w:sz w:val="18"/>
                <w:szCs w:val="18"/>
              </w:rPr>
            </w:pPr>
            <w:r>
              <w:rPr>
                <w:rFonts w:cs="Arial"/>
                <w:sz w:val="18"/>
                <w:szCs w:val="18"/>
              </w:rPr>
              <w:t>Workers' compensation expenses</w:t>
            </w:r>
          </w:p>
        </w:tc>
        <w:tc>
          <w:tcPr>
            <w:tcW w:w="1256" w:type="dxa"/>
            <w:tcBorders>
              <w:top w:val="nil"/>
              <w:left w:val="nil"/>
              <w:bottom w:val="nil"/>
              <w:right w:val="nil"/>
            </w:tcBorders>
            <w:shd w:val="clear" w:color="FFFFFF" w:fill="FFFFFF"/>
            <w:noWrap/>
            <w:vAlign w:val="bottom"/>
            <w:hideMark/>
          </w:tcPr>
          <w:p w14:paraId="41F3BDDC" w14:textId="77777777" w:rsidR="00AB6753" w:rsidRDefault="00AB6753" w:rsidP="002D1EA4">
            <w:pPr>
              <w:spacing w:after="0"/>
              <w:jc w:val="right"/>
              <w:rPr>
                <w:rFonts w:cs="Arial"/>
                <w:b/>
                <w:bCs/>
                <w:sz w:val="18"/>
                <w:szCs w:val="18"/>
              </w:rPr>
            </w:pPr>
            <w:r>
              <w:rPr>
                <w:rFonts w:cs="Arial"/>
                <w:b/>
                <w:bCs/>
                <w:sz w:val="18"/>
                <w:szCs w:val="18"/>
              </w:rPr>
              <w:t>1,365</w:t>
            </w:r>
          </w:p>
        </w:tc>
        <w:tc>
          <w:tcPr>
            <w:tcW w:w="267" w:type="dxa"/>
            <w:tcBorders>
              <w:top w:val="nil"/>
              <w:left w:val="nil"/>
              <w:bottom w:val="nil"/>
              <w:right w:val="nil"/>
            </w:tcBorders>
            <w:shd w:val="clear" w:color="FFFFFF" w:fill="FFFFFF"/>
            <w:noWrap/>
            <w:vAlign w:val="bottom"/>
            <w:hideMark/>
          </w:tcPr>
          <w:p w14:paraId="3EC76CAD"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03A0F4D4" w14:textId="77777777" w:rsidR="00AB6753" w:rsidRDefault="00AB6753" w:rsidP="002D1EA4">
            <w:pPr>
              <w:spacing w:after="0"/>
              <w:jc w:val="right"/>
              <w:rPr>
                <w:rFonts w:cs="Arial"/>
                <w:sz w:val="18"/>
                <w:szCs w:val="18"/>
              </w:rPr>
            </w:pPr>
            <w:r>
              <w:rPr>
                <w:rFonts w:cs="Arial"/>
                <w:sz w:val="18"/>
                <w:szCs w:val="18"/>
              </w:rPr>
              <w:t>1,187</w:t>
            </w:r>
          </w:p>
        </w:tc>
      </w:tr>
      <w:tr w:rsidR="00AB6753" w14:paraId="0C2C6EDD" w14:textId="77777777" w:rsidTr="002D1EA4">
        <w:trPr>
          <w:trHeight w:val="255"/>
        </w:trPr>
        <w:tc>
          <w:tcPr>
            <w:tcW w:w="6396" w:type="dxa"/>
            <w:tcBorders>
              <w:top w:val="nil"/>
              <w:left w:val="nil"/>
              <w:bottom w:val="nil"/>
              <w:right w:val="nil"/>
            </w:tcBorders>
            <w:shd w:val="clear" w:color="FFFFFF" w:fill="FFFFFF"/>
            <w:vAlign w:val="bottom"/>
            <w:hideMark/>
          </w:tcPr>
          <w:p w14:paraId="4EA9134A" w14:textId="77777777" w:rsidR="00AB6753" w:rsidRDefault="00AB6753" w:rsidP="002D1EA4">
            <w:pPr>
              <w:spacing w:after="0"/>
              <w:rPr>
                <w:rFonts w:cs="Arial"/>
                <w:b/>
                <w:bCs/>
                <w:sz w:val="18"/>
                <w:szCs w:val="18"/>
              </w:rPr>
            </w:pPr>
            <w:r>
              <w:rPr>
                <w:rFonts w:cs="Arial"/>
                <w:b/>
                <w:bCs/>
                <w:sz w:val="18"/>
                <w:szCs w:val="18"/>
              </w:rPr>
              <w:t>Total other suppliers</w:t>
            </w:r>
          </w:p>
        </w:tc>
        <w:tc>
          <w:tcPr>
            <w:tcW w:w="1256" w:type="dxa"/>
            <w:tcBorders>
              <w:top w:val="single" w:sz="4" w:space="0" w:color="auto"/>
              <w:left w:val="nil"/>
              <w:bottom w:val="single" w:sz="4" w:space="0" w:color="auto"/>
              <w:right w:val="nil"/>
            </w:tcBorders>
            <w:shd w:val="clear" w:color="FFFFFF" w:fill="FFFFFF"/>
            <w:noWrap/>
            <w:vAlign w:val="bottom"/>
            <w:hideMark/>
          </w:tcPr>
          <w:p w14:paraId="4755D387" w14:textId="77777777" w:rsidR="00AB6753" w:rsidRDefault="00AB6753" w:rsidP="002D1EA4">
            <w:pPr>
              <w:spacing w:after="0"/>
              <w:jc w:val="right"/>
              <w:rPr>
                <w:rFonts w:cs="Arial"/>
                <w:b/>
                <w:bCs/>
                <w:sz w:val="18"/>
                <w:szCs w:val="18"/>
              </w:rPr>
            </w:pPr>
            <w:r>
              <w:rPr>
                <w:rFonts w:cs="Arial"/>
                <w:b/>
                <w:bCs/>
                <w:sz w:val="18"/>
                <w:szCs w:val="18"/>
              </w:rPr>
              <w:t>3,747</w:t>
            </w:r>
          </w:p>
        </w:tc>
        <w:tc>
          <w:tcPr>
            <w:tcW w:w="267" w:type="dxa"/>
            <w:tcBorders>
              <w:top w:val="nil"/>
              <w:left w:val="nil"/>
              <w:bottom w:val="nil"/>
              <w:right w:val="nil"/>
            </w:tcBorders>
            <w:shd w:val="clear" w:color="FFFFFF" w:fill="FFFFFF"/>
            <w:noWrap/>
            <w:vAlign w:val="bottom"/>
            <w:hideMark/>
          </w:tcPr>
          <w:p w14:paraId="42A0AD1F" w14:textId="77777777" w:rsidR="00AB6753" w:rsidRDefault="00AB6753" w:rsidP="002D1EA4">
            <w:pPr>
              <w:spacing w:after="0"/>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291E5841" w14:textId="77777777" w:rsidR="00AB6753" w:rsidRDefault="00AB6753" w:rsidP="002D1EA4">
            <w:pPr>
              <w:spacing w:after="0"/>
              <w:jc w:val="right"/>
              <w:rPr>
                <w:rFonts w:cs="Arial"/>
                <w:sz w:val="18"/>
                <w:szCs w:val="18"/>
              </w:rPr>
            </w:pPr>
            <w:r>
              <w:rPr>
                <w:rFonts w:cs="Arial"/>
                <w:sz w:val="18"/>
                <w:szCs w:val="18"/>
              </w:rPr>
              <w:t>35,947</w:t>
            </w:r>
          </w:p>
        </w:tc>
      </w:tr>
      <w:tr w:rsidR="00AB6753" w14:paraId="4B0A4318" w14:textId="77777777" w:rsidTr="002D1EA4">
        <w:trPr>
          <w:trHeight w:val="255"/>
        </w:trPr>
        <w:tc>
          <w:tcPr>
            <w:tcW w:w="6396" w:type="dxa"/>
            <w:tcBorders>
              <w:top w:val="nil"/>
              <w:left w:val="nil"/>
              <w:bottom w:val="nil"/>
              <w:right w:val="nil"/>
            </w:tcBorders>
            <w:shd w:val="clear" w:color="FFFFFF" w:fill="FFFFFF"/>
            <w:vAlign w:val="bottom"/>
            <w:hideMark/>
          </w:tcPr>
          <w:p w14:paraId="1FA5BF12" w14:textId="77777777" w:rsidR="00AB6753" w:rsidRDefault="00AB6753" w:rsidP="002D1EA4">
            <w:pPr>
              <w:spacing w:after="0"/>
              <w:rPr>
                <w:rFonts w:cs="Arial"/>
                <w:b/>
                <w:bCs/>
                <w:sz w:val="18"/>
                <w:szCs w:val="18"/>
              </w:rPr>
            </w:pPr>
            <w:r>
              <w:rPr>
                <w:rFonts w:cs="Arial"/>
                <w:b/>
                <w:bCs/>
                <w:sz w:val="18"/>
                <w:szCs w:val="18"/>
              </w:rPr>
              <w:t>Total suppliers</w:t>
            </w:r>
          </w:p>
        </w:tc>
        <w:tc>
          <w:tcPr>
            <w:tcW w:w="1256" w:type="dxa"/>
            <w:tcBorders>
              <w:top w:val="nil"/>
              <w:left w:val="nil"/>
              <w:bottom w:val="single" w:sz="4" w:space="0" w:color="auto"/>
              <w:right w:val="nil"/>
            </w:tcBorders>
            <w:shd w:val="clear" w:color="FFFFFF" w:fill="FFFFFF"/>
            <w:noWrap/>
            <w:vAlign w:val="bottom"/>
            <w:hideMark/>
          </w:tcPr>
          <w:p w14:paraId="349FE484" w14:textId="77777777" w:rsidR="00AB6753" w:rsidRDefault="00AB6753" w:rsidP="002D1EA4">
            <w:pPr>
              <w:spacing w:after="0"/>
              <w:jc w:val="right"/>
              <w:rPr>
                <w:rFonts w:cs="Arial"/>
                <w:b/>
                <w:bCs/>
                <w:sz w:val="18"/>
                <w:szCs w:val="18"/>
              </w:rPr>
            </w:pPr>
            <w:r>
              <w:rPr>
                <w:rFonts w:cs="Arial"/>
                <w:b/>
                <w:bCs/>
                <w:sz w:val="18"/>
                <w:szCs w:val="18"/>
              </w:rPr>
              <w:t>146,343</w:t>
            </w:r>
          </w:p>
        </w:tc>
        <w:tc>
          <w:tcPr>
            <w:tcW w:w="267" w:type="dxa"/>
            <w:tcBorders>
              <w:top w:val="nil"/>
              <w:left w:val="nil"/>
              <w:bottom w:val="nil"/>
              <w:right w:val="nil"/>
            </w:tcBorders>
            <w:shd w:val="clear" w:color="FFFFFF" w:fill="FFFFFF"/>
            <w:noWrap/>
            <w:vAlign w:val="bottom"/>
            <w:hideMark/>
          </w:tcPr>
          <w:p w14:paraId="750E60A9"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single" w:sz="4" w:space="0" w:color="auto"/>
              <w:right w:val="nil"/>
            </w:tcBorders>
            <w:shd w:val="clear" w:color="FFFFFF" w:fill="FFFFFF"/>
            <w:noWrap/>
            <w:vAlign w:val="bottom"/>
            <w:hideMark/>
          </w:tcPr>
          <w:p w14:paraId="439F22E3" w14:textId="77777777" w:rsidR="00AB6753" w:rsidRDefault="00AB6753" w:rsidP="002D1EA4">
            <w:pPr>
              <w:spacing w:after="0"/>
              <w:jc w:val="right"/>
              <w:rPr>
                <w:rFonts w:cs="Arial"/>
                <w:sz w:val="18"/>
                <w:szCs w:val="18"/>
              </w:rPr>
            </w:pPr>
            <w:r>
              <w:rPr>
                <w:rFonts w:cs="Arial"/>
                <w:sz w:val="18"/>
                <w:szCs w:val="18"/>
              </w:rPr>
              <w:t>188,363</w:t>
            </w:r>
          </w:p>
        </w:tc>
      </w:tr>
    </w:tbl>
    <w:p w14:paraId="63BCC762" w14:textId="77777777" w:rsidR="00AB6753" w:rsidRDefault="00AB6753" w:rsidP="00AB6753"/>
    <w:p w14:paraId="5C39E85F" w14:textId="77777777" w:rsidR="00AB6753" w:rsidRDefault="00AB6753" w:rsidP="00AB6753">
      <w:pPr>
        <w:pStyle w:val="NotesTextnolinespace"/>
      </w:pPr>
      <w:r w:rsidRPr="009910AB">
        <w:t>The department has short-term lease commitments of $1.139 million as at 30 June 2020.</w:t>
      </w:r>
    </w:p>
    <w:p w14:paraId="34946253" w14:textId="77777777" w:rsidR="00AB6753" w:rsidRDefault="00AB6753" w:rsidP="00AB6753">
      <w:pPr>
        <w:pStyle w:val="NotesTextnolinespace"/>
      </w:pPr>
    </w:p>
    <w:p w14:paraId="3B8CCD83" w14:textId="77777777" w:rsidR="00AB6753" w:rsidRPr="00876BB9" w:rsidRDefault="00AB6753" w:rsidP="00AB6753">
      <w:pPr>
        <w:pStyle w:val="NotesText0"/>
        <w:numPr>
          <w:ilvl w:val="0"/>
          <w:numId w:val="40"/>
        </w:numPr>
        <w:spacing w:before="0" w:after="120"/>
        <w:ind w:left="142" w:hanging="142"/>
        <w:rPr>
          <w:szCs w:val="18"/>
        </w:rPr>
      </w:pPr>
      <w:r w:rsidRPr="00D04E0A">
        <w:rPr>
          <w:szCs w:val="18"/>
        </w:rPr>
        <w:t xml:space="preserve">The </w:t>
      </w:r>
      <w:r w:rsidRPr="00FA660A">
        <w:rPr>
          <w:szCs w:val="18"/>
        </w:rPr>
        <w:t xml:space="preserve">department transferred corporate </w:t>
      </w:r>
      <w:r w:rsidRPr="00BC2754">
        <w:t xml:space="preserve">Information Technology (IT) </w:t>
      </w:r>
      <w:r w:rsidRPr="00FA660A">
        <w:rPr>
          <w:szCs w:val="18"/>
        </w:rPr>
        <w:t>services to Services Australia</w:t>
      </w:r>
      <w:r>
        <w:rPr>
          <w:szCs w:val="18"/>
        </w:rPr>
        <w:t xml:space="preserve">. Refer to </w:t>
      </w:r>
      <w:r>
        <w:rPr>
          <w:szCs w:val="18"/>
        </w:rPr>
        <w:br/>
        <w:t>Note 8.2A.</w:t>
      </w:r>
    </w:p>
    <w:p w14:paraId="23B4FFBF" w14:textId="77777777" w:rsidR="00AB6753" w:rsidRPr="00CB6E59" w:rsidRDefault="00AB6753" w:rsidP="00AB6753">
      <w:pPr>
        <w:pStyle w:val="PolicyheadingDept"/>
        <w:pBdr>
          <w:top w:val="single" w:sz="4" w:space="1" w:color="00B2BA"/>
          <w:left w:val="single" w:sz="4" w:space="4" w:color="00B2BA"/>
          <w:bottom w:val="single" w:sz="4" w:space="1" w:color="00B2BA"/>
          <w:right w:val="single" w:sz="4" w:space="4" w:color="00B2BA"/>
        </w:pBdr>
      </w:pPr>
      <w:r w:rsidRPr="00CB6E59">
        <w:t>Accounting Policy</w:t>
      </w:r>
    </w:p>
    <w:p w14:paraId="71C3FE1A" w14:textId="77777777" w:rsidR="00AB6753" w:rsidRPr="00CB6E59" w:rsidRDefault="00AB6753" w:rsidP="00AB6753">
      <w:pPr>
        <w:pStyle w:val="Policytextdeptunderline"/>
        <w:pBdr>
          <w:top w:val="single" w:sz="4" w:space="1" w:color="00B2BA"/>
          <w:left w:val="single" w:sz="4" w:space="4" w:color="00B2BA"/>
          <w:bottom w:val="single" w:sz="4" w:space="1" w:color="00B2BA"/>
          <w:right w:val="single" w:sz="4" w:space="4" w:color="00B2BA"/>
        </w:pBdr>
      </w:pPr>
      <w:r w:rsidRPr="00CB6E59">
        <w:t xml:space="preserve">Short-term </w:t>
      </w:r>
      <w:r w:rsidRPr="00CB6E59">
        <w:rPr>
          <w:rFonts w:eastAsiaTheme="minorEastAsia"/>
        </w:rPr>
        <w:t>leases</w:t>
      </w:r>
      <w:r w:rsidRPr="00CB6E59">
        <w:t xml:space="preserve"> and leases of low-value assets</w:t>
      </w:r>
    </w:p>
    <w:p w14:paraId="06F822BC" w14:textId="77777777" w:rsidR="00AB6753" w:rsidRDefault="00AB6753" w:rsidP="00AB6753">
      <w:pPr>
        <w:pStyle w:val="PolicytextDept"/>
        <w:pBdr>
          <w:top w:val="single" w:sz="4" w:space="1" w:color="00B2BA"/>
          <w:left w:val="single" w:sz="4" w:space="4" w:color="00B2BA"/>
          <w:bottom w:val="single" w:sz="4" w:space="1" w:color="00B2BA"/>
          <w:right w:val="single" w:sz="4" w:space="4" w:color="00B2BA"/>
        </w:pBdr>
        <w:rPr>
          <w:rFonts w:eastAsiaTheme="minorEastAsia"/>
          <w:szCs w:val="16"/>
          <w:highlight w:val="green"/>
          <w:lang w:eastAsia="en-AU"/>
        </w:rPr>
      </w:pPr>
      <w:r w:rsidRPr="00CB6E59">
        <w:t xml:space="preserve">The </w:t>
      </w:r>
      <w:r>
        <w:t>department</w:t>
      </w:r>
      <w:r w:rsidRPr="00CB6E59">
        <w:t xml:space="preserve"> has elected not to recognise right-of-use assets and lease liabilities for short-term leases of assets that have a lease term of 12 months or less and leases of low-value assets (less than $10,000). The </w:t>
      </w:r>
      <w:r>
        <w:t>department</w:t>
      </w:r>
      <w:r w:rsidRPr="00CB6E59">
        <w:t xml:space="preserve"> recognises the lease payments associated with these leases as an expense on a straight-line basis over the lease term.</w:t>
      </w:r>
      <w:r>
        <w:rPr>
          <w:highlight w:val="green"/>
        </w:rPr>
        <w:br w:type="page"/>
      </w:r>
    </w:p>
    <w:p w14:paraId="7859405D" w14:textId="77777777" w:rsidR="00AB6753" w:rsidRDefault="00AB6753" w:rsidP="00AB6753">
      <w:pPr>
        <w:pStyle w:val="ContinuedSubHeading"/>
      </w:pPr>
      <w:r>
        <w:lastRenderedPageBreak/>
        <w:t>1.1 Expenses (continued)</w:t>
      </w:r>
    </w:p>
    <w:tbl>
      <w:tblPr>
        <w:tblW w:w="9411" w:type="dxa"/>
        <w:tblInd w:w="80" w:type="dxa"/>
        <w:tblLayout w:type="fixed"/>
        <w:tblLook w:val="04A0" w:firstRow="1" w:lastRow="0" w:firstColumn="1" w:lastColumn="0" w:noHBand="0" w:noVBand="1"/>
        <w:tblCaption w:val="Notes to and forming part of the financial statements"/>
        <w:tblDescription w:val="1 Expenses continued"/>
      </w:tblPr>
      <w:tblGrid>
        <w:gridCol w:w="6561"/>
        <w:gridCol w:w="1288"/>
        <w:gridCol w:w="274"/>
        <w:gridCol w:w="1288"/>
      </w:tblGrid>
      <w:tr w:rsidR="00AB6753" w14:paraId="42B7798F" w14:textId="77777777" w:rsidTr="002D1EA4">
        <w:trPr>
          <w:trHeight w:val="240"/>
        </w:trPr>
        <w:tc>
          <w:tcPr>
            <w:tcW w:w="6396" w:type="dxa"/>
            <w:tcBorders>
              <w:top w:val="nil"/>
              <w:left w:val="nil"/>
              <w:bottom w:val="nil"/>
              <w:right w:val="nil"/>
            </w:tcBorders>
            <w:shd w:val="clear" w:color="FFFFFF" w:fill="FFFFFF"/>
            <w:noWrap/>
            <w:vAlign w:val="bottom"/>
            <w:hideMark/>
          </w:tcPr>
          <w:p w14:paraId="13072739" w14:textId="77777777" w:rsidR="00AB6753" w:rsidRDefault="00AB6753" w:rsidP="002D1EA4">
            <w:pPr>
              <w:spacing w:after="0"/>
              <w:rPr>
                <w:rFonts w:cs="Arial"/>
                <w:sz w:val="18"/>
                <w:szCs w:val="18"/>
              </w:rPr>
            </w:pPr>
            <w:bookmarkStart w:id="80" w:name="Note_FCETABLE1" w:colFirst="0" w:colLast="0"/>
            <w:r>
              <w:rPr>
                <w:rFonts w:cs="Arial"/>
                <w:sz w:val="18"/>
                <w:szCs w:val="18"/>
              </w:rPr>
              <w:t> </w:t>
            </w:r>
          </w:p>
        </w:tc>
        <w:tc>
          <w:tcPr>
            <w:tcW w:w="1256" w:type="dxa"/>
            <w:tcBorders>
              <w:top w:val="nil"/>
              <w:left w:val="nil"/>
              <w:bottom w:val="nil"/>
              <w:right w:val="nil"/>
            </w:tcBorders>
            <w:shd w:val="clear" w:color="FFFFFF" w:fill="FFFFFF"/>
            <w:vAlign w:val="bottom"/>
            <w:hideMark/>
          </w:tcPr>
          <w:p w14:paraId="14787DDE" w14:textId="77777777" w:rsidR="00AB6753" w:rsidRDefault="00AB6753" w:rsidP="002D1EA4">
            <w:pPr>
              <w:spacing w:after="0"/>
              <w:jc w:val="right"/>
              <w:rPr>
                <w:rFonts w:cs="Arial"/>
                <w:b/>
                <w:bCs/>
                <w:sz w:val="18"/>
                <w:szCs w:val="18"/>
              </w:rPr>
            </w:pPr>
            <w:r>
              <w:rPr>
                <w:rFonts w:cs="Arial"/>
                <w:b/>
                <w:bCs/>
                <w:sz w:val="18"/>
                <w:szCs w:val="18"/>
              </w:rPr>
              <w:t>2020</w:t>
            </w:r>
          </w:p>
        </w:tc>
        <w:tc>
          <w:tcPr>
            <w:tcW w:w="267" w:type="dxa"/>
            <w:tcBorders>
              <w:top w:val="nil"/>
              <w:left w:val="nil"/>
              <w:bottom w:val="nil"/>
              <w:right w:val="nil"/>
            </w:tcBorders>
            <w:shd w:val="clear" w:color="FFFFFF" w:fill="FFFFFF"/>
            <w:noWrap/>
            <w:vAlign w:val="bottom"/>
            <w:hideMark/>
          </w:tcPr>
          <w:p w14:paraId="6D815E0D"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1701FF9A" w14:textId="77777777" w:rsidR="00AB6753" w:rsidRDefault="00AB6753" w:rsidP="002D1EA4">
            <w:pPr>
              <w:spacing w:after="0"/>
              <w:jc w:val="right"/>
              <w:rPr>
                <w:rFonts w:cs="Arial"/>
                <w:sz w:val="18"/>
                <w:szCs w:val="18"/>
              </w:rPr>
            </w:pPr>
            <w:r>
              <w:rPr>
                <w:rFonts w:cs="Arial"/>
                <w:sz w:val="18"/>
                <w:szCs w:val="18"/>
              </w:rPr>
              <w:t>2019</w:t>
            </w:r>
          </w:p>
        </w:tc>
      </w:tr>
      <w:bookmarkEnd w:id="80"/>
      <w:tr w:rsidR="00AB6753" w14:paraId="35699617" w14:textId="77777777" w:rsidTr="002D1EA4">
        <w:trPr>
          <w:trHeight w:val="240"/>
        </w:trPr>
        <w:tc>
          <w:tcPr>
            <w:tcW w:w="6396" w:type="dxa"/>
            <w:tcBorders>
              <w:top w:val="nil"/>
              <w:left w:val="nil"/>
              <w:bottom w:val="nil"/>
              <w:right w:val="nil"/>
            </w:tcBorders>
            <w:shd w:val="clear" w:color="FFFFFF" w:fill="FFFFFF"/>
            <w:noWrap/>
            <w:vAlign w:val="bottom"/>
            <w:hideMark/>
          </w:tcPr>
          <w:p w14:paraId="13BF28C9"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278C6596" w14:textId="77777777" w:rsidR="00AB6753" w:rsidRDefault="00AB6753" w:rsidP="002D1EA4">
            <w:pPr>
              <w:spacing w:after="0"/>
              <w:jc w:val="right"/>
              <w:rPr>
                <w:rFonts w:cs="Arial"/>
                <w:b/>
                <w:bCs/>
                <w:sz w:val="18"/>
                <w:szCs w:val="18"/>
              </w:rPr>
            </w:pPr>
            <w:r>
              <w:rPr>
                <w:rFonts w:cs="Arial"/>
                <w:b/>
                <w:bCs/>
                <w:sz w:val="18"/>
                <w:szCs w:val="18"/>
              </w:rPr>
              <w:t>$'000</w:t>
            </w:r>
          </w:p>
        </w:tc>
        <w:tc>
          <w:tcPr>
            <w:tcW w:w="267" w:type="dxa"/>
            <w:tcBorders>
              <w:top w:val="nil"/>
              <w:left w:val="nil"/>
              <w:bottom w:val="nil"/>
              <w:right w:val="nil"/>
            </w:tcBorders>
            <w:shd w:val="clear" w:color="FFFFFF" w:fill="FFFFFF"/>
            <w:noWrap/>
            <w:vAlign w:val="bottom"/>
            <w:hideMark/>
          </w:tcPr>
          <w:p w14:paraId="5021F8AB"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424D9568" w14:textId="77777777" w:rsidR="00AB6753" w:rsidRDefault="00AB6753" w:rsidP="002D1EA4">
            <w:pPr>
              <w:spacing w:after="0"/>
              <w:jc w:val="right"/>
              <w:rPr>
                <w:rFonts w:cs="Arial"/>
                <w:sz w:val="18"/>
                <w:szCs w:val="18"/>
              </w:rPr>
            </w:pPr>
            <w:r>
              <w:rPr>
                <w:rFonts w:cs="Arial"/>
                <w:sz w:val="18"/>
                <w:szCs w:val="18"/>
              </w:rPr>
              <w:t>$'000</w:t>
            </w:r>
          </w:p>
        </w:tc>
      </w:tr>
      <w:tr w:rsidR="00AB6753" w14:paraId="2686B060" w14:textId="77777777" w:rsidTr="002D1EA4">
        <w:trPr>
          <w:trHeight w:val="255"/>
        </w:trPr>
        <w:tc>
          <w:tcPr>
            <w:tcW w:w="6396" w:type="dxa"/>
            <w:tcBorders>
              <w:top w:val="nil"/>
              <w:left w:val="nil"/>
              <w:bottom w:val="nil"/>
              <w:right w:val="nil"/>
            </w:tcBorders>
            <w:shd w:val="clear" w:color="FFFFFF" w:fill="FFFFFF"/>
            <w:noWrap/>
            <w:vAlign w:val="bottom"/>
            <w:hideMark/>
          </w:tcPr>
          <w:p w14:paraId="2EAFCBFF" w14:textId="77777777" w:rsidR="00AB6753" w:rsidRDefault="00AB6753" w:rsidP="002D1EA4">
            <w:pPr>
              <w:spacing w:after="0"/>
              <w:rPr>
                <w:rFonts w:cs="Arial"/>
                <w:b/>
                <w:bCs/>
                <w:sz w:val="18"/>
                <w:szCs w:val="18"/>
                <w:u w:val="single"/>
              </w:rPr>
            </w:pPr>
            <w:r>
              <w:rPr>
                <w:rFonts w:cs="Arial"/>
                <w:b/>
                <w:bCs/>
                <w:sz w:val="18"/>
                <w:szCs w:val="18"/>
                <w:u w:val="single"/>
              </w:rPr>
              <w:t>Note 1.1C: Finance Costs</w:t>
            </w:r>
          </w:p>
        </w:tc>
        <w:tc>
          <w:tcPr>
            <w:tcW w:w="1256" w:type="dxa"/>
            <w:tcBorders>
              <w:top w:val="nil"/>
              <w:left w:val="nil"/>
              <w:bottom w:val="nil"/>
              <w:right w:val="nil"/>
            </w:tcBorders>
            <w:shd w:val="clear" w:color="FFFFFF" w:fill="FFFFFF"/>
            <w:noWrap/>
            <w:vAlign w:val="bottom"/>
            <w:hideMark/>
          </w:tcPr>
          <w:p w14:paraId="2931AEBC"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72092581"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63F0C371" w14:textId="77777777" w:rsidR="00AB6753" w:rsidRDefault="00AB6753" w:rsidP="002D1EA4">
            <w:pPr>
              <w:spacing w:after="0"/>
              <w:rPr>
                <w:rFonts w:cs="Arial"/>
                <w:sz w:val="18"/>
                <w:szCs w:val="18"/>
              </w:rPr>
            </w:pPr>
            <w:r>
              <w:rPr>
                <w:rFonts w:cs="Arial"/>
                <w:sz w:val="18"/>
                <w:szCs w:val="18"/>
              </w:rPr>
              <w:t> </w:t>
            </w:r>
          </w:p>
        </w:tc>
      </w:tr>
      <w:tr w:rsidR="00AB6753" w14:paraId="2E42EA80" w14:textId="77777777" w:rsidTr="002D1EA4">
        <w:trPr>
          <w:trHeight w:val="255"/>
        </w:trPr>
        <w:tc>
          <w:tcPr>
            <w:tcW w:w="6396" w:type="dxa"/>
            <w:tcBorders>
              <w:top w:val="nil"/>
              <w:left w:val="nil"/>
              <w:bottom w:val="nil"/>
              <w:right w:val="nil"/>
            </w:tcBorders>
            <w:shd w:val="clear" w:color="FFFFFF" w:fill="FFFFFF"/>
            <w:vAlign w:val="bottom"/>
            <w:hideMark/>
          </w:tcPr>
          <w:p w14:paraId="1829230D" w14:textId="77777777" w:rsidR="00AB6753" w:rsidRDefault="00AB6753" w:rsidP="002D1EA4">
            <w:pPr>
              <w:spacing w:after="0"/>
              <w:rPr>
                <w:rFonts w:cs="Arial"/>
                <w:sz w:val="18"/>
                <w:szCs w:val="18"/>
              </w:rPr>
            </w:pPr>
            <w:r>
              <w:rPr>
                <w:rFonts w:cs="Arial"/>
                <w:sz w:val="18"/>
                <w:szCs w:val="18"/>
              </w:rPr>
              <w:t>Unwinding of discount</w:t>
            </w:r>
          </w:p>
        </w:tc>
        <w:tc>
          <w:tcPr>
            <w:tcW w:w="1256" w:type="dxa"/>
            <w:tcBorders>
              <w:top w:val="nil"/>
              <w:left w:val="nil"/>
              <w:bottom w:val="nil"/>
              <w:right w:val="nil"/>
            </w:tcBorders>
            <w:shd w:val="clear" w:color="FFFFFF" w:fill="FFFFFF"/>
            <w:noWrap/>
            <w:vAlign w:val="bottom"/>
            <w:hideMark/>
          </w:tcPr>
          <w:p w14:paraId="7D326AD5" w14:textId="77777777" w:rsidR="00AB6753" w:rsidRDefault="00AB6753" w:rsidP="002D1EA4">
            <w:pPr>
              <w:spacing w:after="0"/>
              <w:jc w:val="right"/>
              <w:rPr>
                <w:rFonts w:cs="Arial"/>
                <w:b/>
                <w:bCs/>
                <w:sz w:val="18"/>
                <w:szCs w:val="18"/>
              </w:rPr>
            </w:pPr>
            <w:r>
              <w:rPr>
                <w:rFonts w:cs="Arial"/>
                <w:b/>
                <w:bCs/>
                <w:sz w:val="18"/>
                <w:szCs w:val="18"/>
              </w:rPr>
              <w:t>3</w:t>
            </w:r>
          </w:p>
        </w:tc>
        <w:tc>
          <w:tcPr>
            <w:tcW w:w="267" w:type="dxa"/>
            <w:tcBorders>
              <w:top w:val="nil"/>
              <w:left w:val="nil"/>
              <w:bottom w:val="nil"/>
              <w:right w:val="nil"/>
            </w:tcBorders>
            <w:shd w:val="clear" w:color="FFFFFF" w:fill="FFFFFF"/>
            <w:noWrap/>
            <w:vAlign w:val="bottom"/>
            <w:hideMark/>
          </w:tcPr>
          <w:p w14:paraId="123967AA"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3F4AA905" w14:textId="77777777" w:rsidR="00AB6753" w:rsidRDefault="00AB6753" w:rsidP="002D1EA4">
            <w:pPr>
              <w:spacing w:after="0"/>
              <w:jc w:val="right"/>
              <w:rPr>
                <w:rFonts w:cs="Arial"/>
                <w:sz w:val="18"/>
                <w:szCs w:val="18"/>
              </w:rPr>
            </w:pPr>
            <w:r>
              <w:rPr>
                <w:rFonts w:cs="Arial"/>
                <w:sz w:val="18"/>
                <w:szCs w:val="18"/>
              </w:rPr>
              <w:t>17</w:t>
            </w:r>
          </w:p>
        </w:tc>
      </w:tr>
      <w:tr w:rsidR="00AB6753" w14:paraId="0F20C8B5" w14:textId="77777777" w:rsidTr="002D1EA4">
        <w:trPr>
          <w:trHeight w:val="255"/>
        </w:trPr>
        <w:tc>
          <w:tcPr>
            <w:tcW w:w="6396" w:type="dxa"/>
            <w:tcBorders>
              <w:top w:val="nil"/>
              <w:left w:val="nil"/>
              <w:bottom w:val="nil"/>
              <w:right w:val="nil"/>
            </w:tcBorders>
            <w:shd w:val="clear" w:color="FFFFFF" w:fill="FFFFFF"/>
            <w:vAlign w:val="bottom"/>
            <w:hideMark/>
          </w:tcPr>
          <w:p w14:paraId="582B077E" w14:textId="77777777" w:rsidR="00AB6753" w:rsidRDefault="00AB6753" w:rsidP="002D1EA4">
            <w:pPr>
              <w:spacing w:after="0"/>
              <w:rPr>
                <w:rFonts w:cs="Arial"/>
                <w:sz w:val="18"/>
                <w:szCs w:val="18"/>
              </w:rPr>
            </w:pPr>
            <w:r>
              <w:rPr>
                <w:rFonts w:cs="Arial"/>
                <w:sz w:val="18"/>
                <w:szCs w:val="18"/>
              </w:rPr>
              <w:t>Interest on lease liabilities</w:t>
            </w:r>
          </w:p>
        </w:tc>
        <w:tc>
          <w:tcPr>
            <w:tcW w:w="1256" w:type="dxa"/>
            <w:tcBorders>
              <w:top w:val="nil"/>
              <w:left w:val="nil"/>
              <w:bottom w:val="nil"/>
              <w:right w:val="nil"/>
            </w:tcBorders>
            <w:shd w:val="clear" w:color="FFFFFF" w:fill="FFFFFF"/>
            <w:noWrap/>
            <w:vAlign w:val="bottom"/>
            <w:hideMark/>
          </w:tcPr>
          <w:p w14:paraId="05CB4232" w14:textId="77777777" w:rsidR="00AB6753" w:rsidRDefault="00AB6753" w:rsidP="002D1EA4">
            <w:pPr>
              <w:spacing w:after="0"/>
              <w:jc w:val="right"/>
              <w:rPr>
                <w:rFonts w:cs="Arial"/>
                <w:b/>
                <w:bCs/>
                <w:sz w:val="18"/>
                <w:szCs w:val="18"/>
              </w:rPr>
            </w:pPr>
            <w:r>
              <w:rPr>
                <w:rFonts w:cs="Arial"/>
                <w:b/>
                <w:bCs/>
                <w:sz w:val="18"/>
                <w:szCs w:val="18"/>
              </w:rPr>
              <w:t>8,484</w:t>
            </w:r>
          </w:p>
        </w:tc>
        <w:tc>
          <w:tcPr>
            <w:tcW w:w="267" w:type="dxa"/>
            <w:tcBorders>
              <w:top w:val="nil"/>
              <w:left w:val="nil"/>
              <w:bottom w:val="nil"/>
              <w:right w:val="nil"/>
            </w:tcBorders>
            <w:shd w:val="clear" w:color="FFFFFF" w:fill="FFFFFF"/>
            <w:noWrap/>
            <w:vAlign w:val="bottom"/>
            <w:hideMark/>
          </w:tcPr>
          <w:p w14:paraId="61B72E56"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4B797F98" w14:textId="77777777" w:rsidR="00AB6753" w:rsidRDefault="00AB6753" w:rsidP="002D1EA4">
            <w:pPr>
              <w:spacing w:after="0"/>
              <w:jc w:val="right"/>
              <w:rPr>
                <w:rFonts w:cs="Arial"/>
                <w:sz w:val="18"/>
                <w:szCs w:val="18"/>
              </w:rPr>
            </w:pPr>
            <w:r>
              <w:rPr>
                <w:rFonts w:cs="Arial"/>
                <w:sz w:val="18"/>
                <w:szCs w:val="18"/>
              </w:rPr>
              <w:t>-</w:t>
            </w:r>
          </w:p>
        </w:tc>
      </w:tr>
      <w:tr w:rsidR="00AB6753" w14:paraId="76E918FA" w14:textId="77777777" w:rsidTr="002D1EA4">
        <w:trPr>
          <w:trHeight w:val="255"/>
        </w:trPr>
        <w:tc>
          <w:tcPr>
            <w:tcW w:w="6396" w:type="dxa"/>
            <w:tcBorders>
              <w:top w:val="nil"/>
              <w:left w:val="nil"/>
              <w:bottom w:val="nil"/>
              <w:right w:val="nil"/>
            </w:tcBorders>
            <w:shd w:val="clear" w:color="FFFFFF" w:fill="FFFFFF"/>
            <w:vAlign w:val="bottom"/>
            <w:hideMark/>
          </w:tcPr>
          <w:p w14:paraId="77C07D1A" w14:textId="77777777" w:rsidR="00AB6753" w:rsidRDefault="00AB6753" w:rsidP="002D1EA4">
            <w:pPr>
              <w:spacing w:after="0"/>
              <w:rPr>
                <w:rFonts w:cs="Arial"/>
                <w:b/>
                <w:bCs/>
                <w:sz w:val="18"/>
                <w:szCs w:val="18"/>
              </w:rPr>
            </w:pPr>
            <w:r>
              <w:rPr>
                <w:rFonts w:cs="Arial"/>
                <w:b/>
                <w:bCs/>
                <w:sz w:val="18"/>
                <w:szCs w:val="18"/>
              </w:rPr>
              <w:t>Total finance costs</w:t>
            </w:r>
          </w:p>
        </w:tc>
        <w:tc>
          <w:tcPr>
            <w:tcW w:w="1256" w:type="dxa"/>
            <w:tcBorders>
              <w:top w:val="single" w:sz="4" w:space="0" w:color="auto"/>
              <w:left w:val="nil"/>
              <w:bottom w:val="single" w:sz="4" w:space="0" w:color="auto"/>
              <w:right w:val="nil"/>
            </w:tcBorders>
            <w:shd w:val="clear" w:color="FFFFFF" w:fill="FFFFFF"/>
            <w:noWrap/>
            <w:vAlign w:val="bottom"/>
            <w:hideMark/>
          </w:tcPr>
          <w:p w14:paraId="2E8C34E0" w14:textId="77777777" w:rsidR="00AB6753" w:rsidRDefault="00AB6753" w:rsidP="002D1EA4">
            <w:pPr>
              <w:spacing w:after="0"/>
              <w:jc w:val="right"/>
              <w:rPr>
                <w:rFonts w:cs="Arial"/>
                <w:b/>
                <w:bCs/>
                <w:sz w:val="18"/>
                <w:szCs w:val="18"/>
              </w:rPr>
            </w:pPr>
            <w:r>
              <w:rPr>
                <w:rFonts w:cs="Arial"/>
                <w:b/>
                <w:bCs/>
                <w:sz w:val="18"/>
                <w:szCs w:val="18"/>
              </w:rPr>
              <w:t>8,487</w:t>
            </w:r>
          </w:p>
        </w:tc>
        <w:tc>
          <w:tcPr>
            <w:tcW w:w="267" w:type="dxa"/>
            <w:tcBorders>
              <w:top w:val="nil"/>
              <w:left w:val="nil"/>
              <w:bottom w:val="nil"/>
              <w:right w:val="nil"/>
            </w:tcBorders>
            <w:shd w:val="clear" w:color="FFFFFF" w:fill="FFFFFF"/>
            <w:noWrap/>
            <w:vAlign w:val="bottom"/>
            <w:hideMark/>
          </w:tcPr>
          <w:p w14:paraId="53D5348A" w14:textId="77777777" w:rsidR="00AB6753" w:rsidRDefault="00AB6753" w:rsidP="002D1EA4">
            <w:pPr>
              <w:spacing w:after="0"/>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354D70B1" w14:textId="77777777" w:rsidR="00AB6753" w:rsidRDefault="00AB6753" w:rsidP="002D1EA4">
            <w:pPr>
              <w:spacing w:after="0"/>
              <w:jc w:val="right"/>
              <w:rPr>
                <w:rFonts w:cs="Arial"/>
                <w:sz w:val="18"/>
                <w:szCs w:val="18"/>
              </w:rPr>
            </w:pPr>
            <w:r>
              <w:rPr>
                <w:rFonts w:cs="Arial"/>
                <w:sz w:val="18"/>
                <w:szCs w:val="18"/>
              </w:rPr>
              <w:t>17</w:t>
            </w:r>
          </w:p>
        </w:tc>
      </w:tr>
    </w:tbl>
    <w:p w14:paraId="6770377D" w14:textId="77777777" w:rsidR="00AB6753" w:rsidRDefault="00AB6753" w:rsidP="00AB6753"/>
    <w:p w14:paraId="570D9C3D" w14:textId="77777777" w:rsidR="00AB6753" w:rsidRDefault="00AB6753" w:rsidP="00AB6753">
      <w:pPr>
        <w:pStyle w:val="PolicyheadingDept"/>
        <w:pBdr>
          <w:top w:val="single" w:sz="4" w:space="1" w:color="00B2BA"/>
          <w:left w:val="single" w:sz="4" w:space="0" w:color="00B2BA"/>
          <w:bottom w:val="single" w:sz="4" w:space="1" w:color="00B2BA"/>
          <w:right w:val="single" w:sz="4" w:space="12" w:color="00B2BA"/>
        </w:pBdr>
      </w:pPr>
      <w:r>
        <w:t>Accounting Policy</w:t>
      </w:r>
    </w:p>
    <w:p w14:paraId="402FA43B"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rsidRPr="00362044">
        <w:t>All borrowing costs are expensed as incurred</w:t>
      </w:r>
      <w:r>
        <w:t>.</w:t>
      </w:r>
    </w:p>
    <w:p w14:paraId="7EBC3DA0" w14:textId="77777777" w:rsidR="00AB6753" w:rsidRPr="00A71D8D" w:rsidRDefault="00AB6753" w:rsidP="00AB6753">
      <w:pPr>
        <w:pStyle w:val="SubHeading"/>
        <w:numPr>
          <w:ilvl w:val="1"/>
          <w:numId w:val="49"/>
        </w:numPr>
        <w:ind w:hanging="4188"/>
        <w:rPr>
          <w:sz w:val="20"/>
          <w:szCs w:val="20"/>
        </w:rPr>
      </w:pPr>
      <w:bookmarkStart w:id="81" w:name="_Toc45748802"/>
      <w:r w:rsidRPr="00A71D8D">
        <w:rPr>
          <w:sz w:val="20"/>
          <w:szCs w:val="20"/>
        </w:rPr>
        <w:t>Own-Source Revenue and Gains</w:t>
      </w:r>
      <w:bookmarkEnd w:id="81"/>
    </w:p>
    <w:tbl>
      <w:tblPr>
        <w:tblW w:w="9411" w:type="dxa"/>
        <w:tblInd w:w="80" w:type="dxa"/>
        <w:tblLayout w:type="fixed"/>
        <w:tblLook w:val="04A0" w:firstRow="1" w:lastRow="0" w:firstColumn="1" w:lastColumn="0" w:noHBand="0" w:noVBand="1"/>
        <w:tblCaption w:val="Notes to and forming part of the financial statements"/>
        <w:tblDescription w:val="1 Expenses continued"/>
      </w:tblPr>
      <w:tblGrid>
        <w:gridCol w:w="6561"/>
        <w:gridCol w:w="1288"/>
        <w:gridCol w:w="274"/>
        <w:gridCol w:w="1288"/>
      </w:tblGrid>
      <w:tr w:rsidR="00AB6753" w14:paraId="7762962A" w14:textId="77777777" w:rsidTr="002D1EA4">
        <w:trPr>
          <w:trHeight w:val="255"/>
        </w:trPr>
        <w:tc>
          <w:tcPr>
            <w:tcW w:w="6396" w:type="dxa"/>
            <w:tcBorders>
              <w:top w:val="nil"/>
              <w:left w:val="nil"/>
              <w:bottom w:val="nil"/>
              <w:right w:val="nil"/>
            </w:tcBorders>
            <w:shd w:val="clear" w:color="FFFFFF" w:fill="FFFFFF"/>
            <w:vAlign w:val="bottom"/>
            <w:hideMark/>
          </w:tcPr>
          <w:p w14:paraId="16952D4C" w14:textId="77777777" w:rsidR="00AB6753" w:rsidRDefault="00AB6753" w:rsidP="002D1EA4">
            <w:pPr>
              <w:spacing w:after="0"/>
              <w:rPr>
                <w:rFonts w:cs="Arial"/>
                <w:b/>
                <w:bCs/>
                <w:sz w:val="18"/>
                <w:szCs w:val="18"/>
              </w:rPr>
            </w:pPr>
            <w:bookmarkStart w:id="82" w:name="Note_GASTABLE1" w:colFirst="0" w:colLast="0"/>
            <w:r>
              <w:rPr>
                <w:rFonts w:cs="Arial"/>
                <w:b/>
                <w:bCs/>
                <w:sz w:val="18"/>
                <w:szCs w:val="18"/>
              </w:rPr>
              <w:t>Own-Source Revenue</w:t>
            </w:r>
          </w:p>
        </w:tc>
        <w:tc>
          <w:tcPr>
            <w:tcW w:w="1256" w:type="dxa"/>
            <w:tcBorders>
              <w:top w:val="nil"/>
              <w:left w:val="nil"/>
              <w:bottom w:val="nil"/>
              <w:right w:val="nil"/>
            </w:tcBorders>
            <w:shd w:val="clear" w:color="FFFFFF" w:fill="FFFFFF"/>
            <w:vAlign w:val="bottom"/>
            <w:hideMark/>
          </w:tcPr>
          <w:p w14:paraId="73F76DFC" w14:textId="77777777" w:rsidR="00AB6753" w:rsidRDefault="00AB6753" w:rsidP="002D1EA4">
            <w:pPr>
              <w:spacing w:after="0"/>
              <w:jc w:val="right"/>
              <w:rPr>
                <w:rFonts w:cs="Arial"/>
                <w:b/>
                <w:bCs/>
                <w:sz w:val="18"/>
                <w:szCs w:val="18"/>
              </w:rPr>
            </w:pPr>
            <w:r>
              <w:rPr>
                <w:rFonts w:cs="Arial"/>
                <w:b/>
                <w:bCs/>
                <w:sz w:val="18"/>
                <w:szCs w:val="18"/>
              </w:rPr>
              <w:t> </w:t>
            </w:r>
          </w:p>
        </w:tc>
        <w:tc>
          <w:tcPr>
            <w:tcW w:w="267" w:type="dxa"/>
            <w:tcBorders>
              <w:top w:val="nil"/>
              <w:left w:val="nil"/>
              <w:bottom w:val="nil"/>
              <w:right w:val="nil"/>
            </w:tcBorders>
            <w:shd w:val="clear" w:color="FFFFFF" w:fill="FFFFFF"/>
            <w:noWrap/>
            <w:vAlign w:val="bottom"/>
            <w:hideMark/>
          </w:tcPr>
          <w:p w14:paraId="76435148"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0F92375D" w14:textId="77777777" w:rsidR="00AB6753" w:rsidRDefault="00AB6753" w:rsidP="002D1EA4">
            <w:pPr>
              <w:spacing w:after="0"/>
              <w:jc w:val="right"/>
              <w:rPr>
                <w:rFonts w:cs="Arial"/>
                <w:sz w:val="18"/>
                <w:szCs w:val="18"/>
              </w:rPr>
            </w:pPr>
            <w:r>
              <w:rPr>
                <w:rFonts w:cs="Arial"/>
                <w:sz w:val="18"/>
                <w:szCs w:val="18"/>
              </w:rPr>
              <w:t> </w:t>
            </w:r>
          </w:p>
        </w:tc>
      </w:tr>
      <w:bookmarkEnd w:id="82"/>
      <w:tr w:rsidR="00AB6753" w14:paraId="5FE0138A" w14:textId="77777777" w:rsidTr="002D1EA4">
        <w:trPr>
          <w:trHeight w:val="255"/>
        </w:trPr>
        <w:tc>
          <w:tcPr>
            <w:tcW w:w="6396" w:type="dxa"/>
            <w:tcBorders>
              <w:top w:val="nil"/>
              <w:left w:val="nil"/>
              <w:bottom w:val="nil"/>
              <w:right w:val="nil"/>
            </w:tcBorders>
            <w:shd w:val="clear" w:color="FFFFFF" w:fill="FFFFFF"/>
            <w:noWrap/>
            <w:vAlign w:val="bottom"/>
            <w:hideMark/>
          </w:tcPr>
          <w:p w14:paraId="1C27CFFB"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3E629A70"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67CB94C0"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08167055" w14:textId="77777777" w:rsidR="00AB6753" w:rsidRDefault="00AB6753" w:rsidP="002D1EA4">
            <w:pPr>
              <w:spacing w:after="0"/>
              <w:rPr>
                <w:rFonts w:cs="Arial"/>
                <w:sz w:val="18"/>
                <w:szCs w:val="18"/>
              </w:rPr>
            </w:pPr>
            <w:r>
              <w:rPr>
                <w:rFonts w:cs="Arial"/>
                <w:sz w:val="18"/>
                <w:szCs w:val="18"/>
              </w:rPr>
              <w:t> </w:t>
            </w:r>
          </w:p>
        </w:tc>
      </w:tr>
      <w:tr w:rsidR="00AB6753" w14:paraId="74280C3F" w14:textId="77777777" w:rsidTr="002D1EA4">
        <w:trPr>
          <w:trHeight w:val="255"/>
        </w:trPr>
        <w:tc>
          <w:tcPr>
            <w:tcW w:w="6396" w:type="dxa"/>
            <w:tcBorders>
              <w:top w:val="nil"/>
              <w:left w:val="nil"/>
              <w:bottom w:val="nil"/>
              <w:right w:val="nil"/>
            </w:tcBorders>
            <w:shd w:val="clear" w:color="FFFFFF" w:fill="FFFFFF"/>
            <w:noWrap/>
            <w:vAlign w:val="bottom"/>
            <w:hideMark/>
          </w:tcPr>
          <w:p w14:paraId="325A8AD9" w14:textId="77777777" w:rsidR="00AB6753" w:rsidRDefault="00AB6753" w:rsidP="002D1EA4">
            <w:pPr>
              <w:spacing w:after="0"/>
              <w:rPr>
                <w:rFonts w:cs="Arial"/>
                <w:b/>
                <w:bCs/>
                <w:sz w:val="18"/>
                <w:szCs w:val="18"/>
                <w:u w:val="single"/>
              </w:rPr>
            </w:pPr>
            <w:r>
              <w:rPr>
                <w:rFonts w:cs="Arial"/>
                <w:b/>
                <w:bCs/>
                <w:sz w:val="18"/>
                <w:szCs w:val="18"/>
                <w:u w:val="single"/>
              </w:rPr>
              <w:t>Note 1.2A: Revenue from Contracts with Customers</w:t>
            </w:r>
          </w:p>
        </w:tc>
        <w:tc>
          <w:tcPr>
            <w:tcW w:w="1256" w:type="dxa"/>
            <w:tcBorders>
              <w:top w:val="nil"/>
              <w:left w:val="nil"/>
              <w:bottom w:val="nil"/>
              <w:right w:val="nil"/>
            </w:tcBorders>
            <w:shd w:val="clear" w:color="FFFFFF" w:fill="FFFFFF"/>
            <w:noWrap/>
            <w:vAlign w:val="bottom"/>
            <w:hideMark/>
          </w:tcPr>
          <w:p w14:paraId="568D6805"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09DC62B5"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66C379E4" w14:textId="77777777" w:rsidR="00AB6753" w:rsidRDefault="00AB6753" w:rsidP="002D1EA4">
            <w:pPr>
              <w:spacing w:after="0"/>
              <w:rPr>
                <w:rFonts w:cs="Arial"/>
                <w:sz w:val="18"/>
                <w:szCs w:val="18"/>
              </w:rPr>
            </w:pPr>
            <w:r>
              <w:rPr>
                <w:rFonts w:cs="Arial"/>
                <w:sz w:val="18"/>
                <w:szCs w:val="18"/>
              </w:rPr>
              <w:t> </w:t>
            </w:r>
          </w:p>
        </w:tc>
      </w:tr>
      <w:tr w:rsidR="00AB6753" w14:paraId="08A0DD43" w14:textId="77777777" w:rsidTr="002D1EA4">
        <w:trPr>
          <w:trHeight w:val="255"/>
        </w:trPr>
        <w:tc>
          <w:tcPr>
            <w:tcW w:w="6396" w:type="dxa"/>
            <w:tcBorders>
              <w:top w:val="nil"/>
              <w:left w:val="nil"/>
              <w:bottom w:val="nil"/>
              <w:right w:val="nil"/>
            </w:tcBorders>
            <w:shd w:val="clear" w:color="FFFFFF" w:fill="FFFFFF"/>
            <w:vAlign w:val="bottom"/>
            <w:hideMark/>
          </w:tcPr>
          <w:p w14:paraId="3F6AC6B8" w14:textId="77777777" w:rsidR="00AB6753" w:rsidRDefault="00AB6753" w:rsidP="002D1EA4">
            <w:pPr>
              <w:spacing w:after="0"/>
              <w:rPr>
                <w:rFonts w:cs="Arial"/>
                <w:sz w:val="18"/>
                <w:szCs w:val="18"/>
              </w:rPr>
            </w:pPr>
            <w:r>
              <w:rPr>
                <w:rFonts w:cs="Arial"/>
                <w:sz w:val="18"/>
                <w:szCs w:val="18"/>
              </w:rPr>
              <w:t>Rendering of services</w:t>
            </w:r>
          </w:p>
        </w:tc>
        <w:tc>
          <w:tcPr>
            <w:tcW w:w="1256" w:type="dxa"/>
            <w:tcBorders>
              <w:top w:val="nil"/>
              <w:left w:val="nil"/>
              <w:bottom w:val="single" w:sz="4" w:space="0" w:color="auto"/>
              <w:right w:val="nil"/>
            </w:tcBorders>
            <w:shd w:val="clear" w:color="FFFFFF" w:fill="FFFFFF"/>
            <w:noWrap/>
            <w:vAlign w:val="bottom"/>
            <w:hideMark/>
          </w:tcPr>
          <w:p w14:paraId="7E56682B" w14:textId="77777777" w:rsidR="00AB6753" w:rsidRDefault="00AB6753" w:rsidP="002D1EA4">
            <w:pPr>
              <w:spacing w:after="0"/>
              <w:jc w:val="right"/>
              <w:rPr>
                <w:rFonts w:cs="Arial"/>
                <w:b/>
                <w:bCs/>
                <w:sz w:val="18"/>
                <w:szCs w:val="18"/>
              </w:rPr>
            </w:pPr>
            <w:r>
              <w:rPr>
                <w:rFonts w:cs="Arial"/>
                <w:b/>
                <w:bCs/>
                <w:sz w:val="18"/>
                <w:szCs w:val="18"/>
              </w:rPr>
              <w:t>49,598</w:t>
            </w:r>
          </w:p>
        </w:tc>
        <w:tc>
          <w:tcPr>
            <w:tcW w:w="267" w:type="dxa"/>
            <w:tcBorders>
              <w:top w:val="nil"/>
              <w:left w:val="nil"/>
              <w:bottom w:val="nil"/>
              <w:right w:val="nil"/>
            </w:tcBorders>
            <w:shd w:val="clear" w:color="FFFFFF" w:fill="FFFFFF"/>
            <w:noWrap/>
            <w:vAlign w:val="bottom"/>
            <w:hideMark/>
          </w:tcPr>
          <w:p w14:paraId="53E725F7"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single" w:sz="4" w:space="0" w:color="auto"/>
              <w:right w:val="nil"/>
            </w:tcBorders>
            <w:shd w:val="clear" w:color="FFFFFF" w:fill="FFFFFF"/>
            <w:noWrap/>
            <w:vAlign w:val="bottom"/>
            <w:hideMark/>
          </w:tcPr>
          <w:p w14:paraId="65A867BE" w14:textId="77777777" w:rsidR="00AB6753" w:rsidRDefault="00AB6753" w:rsidP="002D1EA4">
            <w:pPr>
              <w:spacing w:after="0"/>
              <w:jc w:val="right"/>
              <w:rPr>
                <w:rFonts w:cs="Arial"/>
                <w:sz w:val="18"/>
                <w:szCs w:val="18"/>
              </w:rPr>
            </w:pPr>
            <w:r>
              <w:rPr>
                <w:rFonts w:cs="Arial"/>
                <w:sz w:val="18"/>
                <w:szCs w:val="18"/>
              </w:rPr>
              <w:t>56,570</w:t>
            </w:r>
          </w:p>
        </w:tc>
      </w:tr>
    </w:tbl>
    <w:p w14:paraId="1E5502C6" w14:textId="77777777" w:rsidR="00AB6753" w:rsidRDefault="00AB6753" w:rsidP="00AB6753">
      <w:pPr>
        <w:pStyle w:val="NotesTextnolinespace"/>
      </w:pPr>
    </w:p>
    <w:p w14:paraId="3E581895" w14:textId="77777777" w:rsidR="00AB6753" w:rsidRPr="00F75BD8" w:rsidRDefault="00AB6753" w:rsidP="00AB6753">
      <w:pPr>
        <w:pStyle w:val="NotesTextnolinespace"/>
        <w:rPr>
          <w:b/>
        </w:rPr>
      </w:pPr>
      <w:r>
        <w:rPr>
          <w:b/>
        </w:rPr>
        <w:t xml:space="preserve">  </w:t>
      </w:r>
      <w:r w:rsidRPr="00F75BD8">
        <w:rPr>
          <w:b/>
        </w:rPr>
        <w:t>Disaggregation of revenue from contracts with customers</w:t>
      </w:r>
    </w:p>
    <w:tbl>
      <w:tblPr>
        <w:tblW w:w="9411" w:type="dxa"/>
        <w:tblInd w:w="80" w:type="dxa"/>
        <w:tblLayout w:type="fixed"/>
        <w:tblLook w:val="04A0" w:firstRow="1" w:lastRow="0" w:firstColumn="1" w:lastColumn="0" w:noHBand="0" w:noVBand="1"/>
        <w:tblCaption w:val="Notes to and forming part of the financial statements"/>
        <w:tblDescription w:val="1 Expenses continued"/>
      </w:tblPr>
      <w:tblGrid>
        <w:gridCol w:w="6561"/>
        <w:gridCol w:w="1288"/>
        <w:gridCol w:w="274"/>
        <w:gridCol w:w="1288"/>
      </w:tblGrid>
      <w:tr w:rsidR="00AB6753" w14:paraId="57DEFA50" w14:textId="77777777" w:rsidTr="002D1EA4">
        <w:trPr>
          <w:trHeight w:val="255"/>
        </w:trPr>
        <w:tc>
          <w:tcPr>
            <w:tcW w:w="6396" w:type="dxa"/>
            <w:tcBorders>
              <w:top w:val="nil"/>
              <w:left w:val="nil"/>
              <w:bottom w:val="nil"/>
              <w:right w:val="nil"/>
            </w:tcBorders>
            <w:shd w:val="clear" w:color="FFFFFF" w:fill="FFFFFF"/>
            <w:noWrap/>
            <w:vAlign w:val="bottom"/>
            <w:hideMark/>
          </w:tcPr>
          <w:p w14:paraId="54B3DDE0" w14:textId="77777777" w:rsidR="00AB6753" w:rsidRDefault="00AB6753" w:rsidP="002D1EA4">
            <w:pPr>
              <w:spacing w:after="0"/>
              <w:rPr>
                <w:rFonts w:cs="Arial"/>
                <w:sz w:val="18"/>
                <w:szCs w:val="18"/>
              </w:rPr>
            </w:pPr>
            <w:bookmarkStart w:id="83" w:name="Note_GASTABLE2" w:colFirst="0" w:colLast="0"/>
            <w:r>
              <w:rPr>
                <w:rFonts w:cs="Arial"/>
                <w:sz w:val="18"/>
                <w:szCs w:val="18"/>
              </w:rPr>
              <w:t>Type of customer:</w:t>
            </w:r>
          </w:p>
        </w:tc>
        <w:tc>
          <w:tcPr>
            <w:tcW w:w="1256" w:type="dxa"/>
            <w:tcBorders>
              <w:top w:val="nil"/>
              <w:left w:val="nil"/>
              <w:bottom w:val="nil"/>
              <w:right w:val="nil"/>
            </w:tcBorders>
            <w:shd w:val="clear" w:color="FFFFFF" w:fill="FFFFFF"/>
            <w:noWrap/>
            <w:vAlign w:val="bottom"/>
            <w:hideMark/>
          </w:tcPr>
          <w:p w14:paraId="1353BABC"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0E2F8868"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5090A38B" w14:textId="77777777" w:rsidR="00AB6753" w:rsidRDefault="00AB6753" w:rsidP="002D1EA4">
            <w:pPr>
              <w:spacing w:after="0"/>
              <w:rPr>
                <w:rFonts w:cs="Arial"/>
                <w:sz w:val="18"/>
                <w:szCs w:val="18"/>
              </w:rPr>
            </w:pPr>
            <w:r>
              <w:rPr>
                <w:rFonts w:cs="Arial"/>
                <w:sz w:val="18"/>
                <w:szCs w:val="18"/>
              </w:rPr>
              <w:t> </w:t>
            </w:r>
          </w:p>
        </w:tc>
      </w:tr>
      <w:bookmarkEnd w:id="83"/>
      <w:tr w:rsidR="00AB6753" w14:paraId="4D6E9B6D" w14:textId="77777777" w:rsidTr="002D1EA4">
        <w:trPr>
          <w:trHeight w:val="255"/>
        </w:trPr>
        <w:tc>
          <w:tcPr>
            <w:tcW w:w="6396" w:type="dxa"/>
            <w:tcBorders>
              <w:top w:val="nil"/>
              <w:left w:val="nil"/>
              <w:bottom w:val="nil"/>
              <w:right w:val="nil"/>
            </w:tcBorders>
            <w:shd w:val="clear" w:color="FFFFFF" w:fill="FFFFFF"/>
            <w:noWrap/>
            <w:vAlign w:val="bottom"/>
            <w:hideMark/>
          </w:tcPr>
          <w:p w14:paraId="2035C1B4" w14:textId="77777777" w:rsidR="00AB6753" w:rsidRDefault="00AB6753" w:rsidP="002D1EA4">
            <w:pPr>
              <w:spacing w:after="0"/>
              <w:ind w:firstLineChars="100" w:firstLine="180"/>
              <w:rPr>
                <w:rFonts w:cs="Arial"/>
                <w:sz w:val="18"/>
                <w:szCs w:val="18"/>
              </w:rPr>
            </w:pPr>
            <w:r>
              <w:rPr>
                <w:rFonts w:cs="Arial"/>
                <w:sz w:val="18"/>
                <w:szCs w:val="18"/>
              </w:rPr>
              <w:t>Australian Government entities (related parties)</w:t>
            </w:r>
          </w:p>
        </w:tc>
        <w:tc>
          <w:tcPr>
            <w:tcW w:w="1256" w:type="dxa"/>
            <w:tcBorders>
              <w:top w:val="nil"/>
              <w:left w:val="nil"/>
              <w:bottom w:val="nil"/>
              <w:right w:val="nil"/>
            </w:tcBorders>
            <w:shd w:val="clear" w:color="FFFFFF" w:fill="FFFFFF"/>
            <w:noWrap/>
            <w:vAlign w:val="bottom"/>
            <w:hideMark/>
          </w:tcPr>
          <w:p w14:paraId="4954ECC8" w14:textId="77777777" w:rsidR="00AB6753" w:rsidRDefault="00AB6753" w:rsidP="002D1EA4">
            <w:pPr>
              <w:spacing w:after="0"/>
              <w:jc w:val="right"/>
              <w:rPr>
                <w:rFonts w:cs="Arial"/>
                <w:b/>
                <w:bCs/>
                <w:sz w:val="18"/>
                <w:szCs w:val="18"/>
              </w:rPr>
            </w:pPr>
            <w:r>
              <w:rPr>
                <w:rFonts w:cs="Arial"/>
                <w:b/>
                <w:bCs/>
                <w:sz w:val="18"/>
                <w:szCs w:val="18"/>
              </w:rPr>
              <w:t xml:space="preserve">48,938 </w:t>
            </w:r>
          </w:p>
        </w:tc>
        <w:tc>
          <w:tcPr>
            <w:tcW w:w="267" w:type="dxa"/>
            <w:tcBorders>
              <w:top w:val="nil"/>
              <w:left w:val="nil"/>
              <w:bottom w:val="nil"/>
              <w:right w:val="nil"/>
            </w:tcBorders>
            <w:shd w:val="clear" w:color="FFFFFF" w:fill="FFFFFF"/>
            <w:noWrap/>
            <w:vAlign w:val="bottom"/>
            <w:hideMark/>
          </w:tcPr>
          <w:p w14:paraId="5A0C9F0E"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313EB33B" w14:textId="77777777" w:rsidR="00AB6753" w:rsidRDefault="00AB6753" w:rsidP="002D1EA4">
            <w:pPr>
              <w:spacing w:after="0"/>
              <w:jc w:val="right"/>
              <w:rPr>
                <w:rFonts w:cs="Arial"/>
                <w:sz w:val="18"/>
                <w:szCs w:val="18"/>
              </w:rPr>
            </w:pPr>
            <w:r>
              <w:rPr>
                <w:rFonts w:cs="Arial"/>
                <w:sz w:val="18"/>
                <w:szCs w:val="18"/>
              </w:rPr>
              <w:t xml:space="preserve">56,265 </w:t>
            </w:r>
          </w:p>
        </w:tc>
      </w:tr>
      <w:tr w:rsidR="00AB6753" w14:paraId="7FF956D3" w14:textId="77777777" w:rsidTr="002D1EA4">
        <w:trPr>
          <w:trHeight w:val="255"/>
        </w:trPr>
        <w:tc>
          <w:tcPr>
            <w:tcW w:w="6396" w:type="dxa"/>
            <w:tcBorders>
              <w:top w:val="nil"/>
              <w:left w:val="nil"/>
              <w:bottom w:val="nil"/>
              <w:right w:val="nil"/>
            </w:tcBorders>
            <w:shd w:val="clear" w:color="FFFFFF" w:fill="FFFFFF"/>
            <w:noWrap/>
            <w:vAlign w:val="bottom"/>
            <w:hideMark/>
          </w:tcPr>
          <w:p w14:paraId="274D78E5" w14:textId="77777777" w:rsidR="00AB6753" w:rsidRDefault="00AB6753" w:rsidP="002D1EA4">
            <w:pPr>
              <w:spacing w:after="0"/>
              <w:ind w:firstLineChars="100" w:firstLine="180"/>
              <w:rPr>
                <w:rFonts w:cs="Arial"/>
                <w:sz w:val="18"/>
                <w:szCs w:val="18"/>
              </w:rPr>
            </w:pPr>
            <w:r>
              <w:rPr>
                <w:rFonts w:cs="Arial"/>
                <w:sz w:val="18"/>
                <w:szCs w:val="18"/>
              </w:rPr>
              <w:t>Non-government entities</w:t>
            </w:r>
          </w:p>
        </w:tc>
        <w:tc>
          <w:tcPr>
            <w:tcW w:w="1256" w:type="dxa"/>
            <w:tcBorders>
              <w:top w:val="nil"/>
              <w:left w:val="nil"/>
              <w:bottom w:val="nil"/>
              <w:right w:val="nil"/>
            </w:tcBorders>
            <w:shd w:val="clear" w:color="FFFFFF" w:fill="FFFFFF"/>
            <w:noWrap/>
            <w:vAlign w:val="bottom"/>
            <w:hideMark/>
          </w:tcPr>
          <w:p w14:paraId="6223A9ED" w14:textId="77777777" w:rsidR="00AB6753" w:rsidRDefault="00AB6753" w:rsidP="002D1EA4">
            <w:pPr>
              <w:spacing w:after="0"/>
              <w:jc w:val="right"/>
              <w:rPr>
                <w:rFonts w:cs="Arial"/>
                <w:b/>
                <w:bCs/>
                <w:sz w:val="18"/>
                <w:szCs w:val="18"/>
              </w:rPr>
            </w:pPr>
            <w:r>
              <w:rPr>
                <w:rFonts w:cs="Arial"/>
                <w:b/>
                <w:bCs/>
                <w:sz w:val="18"/>
                <w:szCs w:val="18"/>
              </w:rPr>
              <w:t xml:space="preserve">660 </w:t>
            </w:r>
          </w:p>
        </w:tc>
        <w:tc>
          <w:tcPr>
            <w:tcW w:w="267" w:type="dxa"/>
            <w:tcBorders>
              <w:top w:val="nil"/>
              <w:left w:val="nil"/>
              <w:bottom w:val="nil"/>
              <w:right w:val="nil"/>
            </w:tcBorders>
            <w:shd w:val="clear" w:color="FFFFFF" w:fill="FFFFFF"/>
            <w:noWrap/>
            <w:vAlign w:val="bottom"/>
            <w:hideMark/>
          </w:tcPr>
          <w:p w14:paraId="0D3AE6E8"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27B904C9" w14:textId="77777777" w:rsidR="00AB6753" w:rsidRDefault="00AB6753" w:rsidP="002D1EA4">
            <w:pPr>
              <w:spacing w:after="0"/>
              <w:jc w:val="right"/>
              <w:rPr>
                <w:rFonts w:cs="Arial"/>
                <w:sz w:val="18"/>
                <w:szCs w:val="18"/>
              </w:rPr>
            </w:pPr>
            <w:r>
              <w:rPr>
                <w:rFonts w:cs="Arial"/>
                <w:sz w:val="18"/>
                <w:szCs w:val="18"/>
              </w:rPr>
              <w:t xml:space="preserve">305 </w:t>
            </w:r>
          </w:p>
        </w:tc>
      </w:tr>
      <w:tr w:rsidR="00AB6753" w14:paraId="374E7642" w14:textId="77777777" w:rsidTr="002D1EA4">
        <w:trPr>
          <w:trHeight w:val="255"/>
        </w:trPr>
        <w:tc>
          <w:tcPr>
            <w:tcW w:w="6396" w:type="dxa"/>
            <w:tcBorders>
              <w:top w:val="nil"/>
              <w:left w:val="nil"/>
              <w:bottom w:val="nil"/>
              <w:right w:val="nil"/>
            </w:tcBorders>
            <w:shd w:val="clear" w:color="FFFFFF" w:fill="FFFFFF"/>
            <w:noWrap/>
            <w:vAlign w:val="bottom"/>
            <w:hideMark/>
          </w:tcPr>
          <w:p w14:paraId="1B84EB9E" w14:textId="77777777" w:rsidR="00AB6753" w:rsidRDefault="00AB6753" w:rsidP="002D1EA4">
            <w:pPr>
              <w:spacing w:after="0"/>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554FD5C1" w14:textId="77777777" w:rsidR="00AB6753" w:rsidRDefault="00AB6753" w:rsidP="002D1EA4">
            <w:pPr>
              <w:spacing w:after="0"/>
              <w:jc w:val="right"/>
              <w:rPr>
                <w:rFonts w:cs="Arial"/>
                <w:b/>
                <w:bCs/>
                <w:sz w:val="18"/>
                <w:szCs w:val="18"/>
              </w:rPr>
            </w:pPr>
            <w:r>
              <w:rPr>
                <w:rFonts w:cs="Arial"/>
                <w:b/>
                <w:bCs/>
                <w:sz w:val="18"/>
                <w:szCs w:val="18"/>
              </w:rPr>
              <w:t>49,598</w:t>
            </w:r>
          </w:p>
        </w:tc>
        <w:tc>
          <w:tcPr>
            <w:tcW w:w="267" w:type="dxa"/>
            <w:tcBorders>
              <w:top w:val="nil"/>
              <w:left w:val="nil"/>
              <w:bottom w:val="nil"/>
              <w:right w:val="nil"/>
            </w:tcBorders>
            <w:shd w:val="clear" w:color="FFFFFF" w:fill="FFFFFF"/>
            <w:noWrap/>
            <w:vAlign w:val="bottom"/>
            <w:hideMark/>
          </w:tcPr>
          <w:p w14:paraId="72C82048" w14:textId="77777777" w:rsidR="00AB6753" w:rsidRDefault="00AB6753" w:rsidP="002D1EA4">
            <w:pPr>
              <w:spacing w:after="0"/>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028B5BD4" w14:textId="77777777" w:rsidR="00AB6753" w:rsidRDefault="00AB6753" w:rsidP="002D1EA4">
            <w:pPr>
              <w:spacing w:after="0"/>
              <w:jc w:val="right"/>
              <w:rPr>
                <w:rFonts w:cs="Arial"/>
                <w:sz w:val="18"/>
                <w:szCs w:val="18"/>
              </w:rPr>
            </w:pPr>
            <w:r>
              <w:rPr>
                <w:rFonts w:cs="Arial"/>
                <w:sz w:val="18"/>
                <w:szCs w:val="18"/>
              </w:rPr>
              <w:t>56,570</w:t>
            </w:r>
          </w:p>
        </w:tc>
      </w:tr>
    </w:tbl>
    <w:p w14:paraId="581B9C31" w14:textId="77777777" w:rsidR="00AB6753" w:rsidRDefault="00AB6753" w:rsidP="00AB6753">
      <w:pPr>
        <w:pStyle w:val="ContinuedNotesHeading-Level1"/>
        <w:spacing w:before="0" w:after="0"/>
        <w:rPr>
          <w:b w:val="0"/>
        </w:rPr>
      </w:pPr>
    </w:p>
    <w:p w14:paraId="3643E8F4" w14:textId="77777777" w:rsidR="00AB6753" w:rsidRDefault="00AB6753" w:rsidP="00AB6753">
      <w:pPr>
        <w:pStyle w:val="PolicyheadingDept"/>
        <w:pBdr>
          <w:top w:val="single" w:sz="4" w:space="1" w:color="00B2BA"/>
          <w:left w:val="single" w:sz="4" w:space="0" w:color="00B2BA"/>
          <w:bottom w:val="single" w:sz="4" w:space="1" w:color="00B2BA"/>
          <w:right w:val="single" w:sz="4" w:space="12" w:color="00B2BA"/>
        </w:pBdr>
      </w:pPr>
      <w:r>
        <w:t>Accounting Policy</w:t>
      </w:r>
    </w:p>
    <w:p w14:paraId="664CBAB8"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t>Under the new income recognition model the department first determines whether an enforceable agreement exists and whether the promises to transfer goods or services to the customer are ‘sufficiently specific’. If an enforceable agreement exists and the promises are ‘sufficiently specific’ (to a transaction or part of a transaction), the department applies the general AASB 15 principles to determine the appropriate revenue recognition. If these criteria are not met, the department will consider whether AASB 1058 applies.</w:t>
      </w:r>
    </w:p>
    <w:p w14:paraId="28A41C22" w14:textId="77777777" w:rsidR="00AB6753" w:rsidRPr="00BC2754" w:rsidRDefault="00AB6753" w:rsidP="00AB6753">
      <w:pPr>
        <w:pStyle w:val="PolicytextDept"/>
        <w:pBdr>
          <w:top w:val="single" w:sz="4" w:space="1" w:color="00B2BA"/>
          <w:left w:val="single" w:sz="4" w:space="0" w:color="00B2BA"/>
          <w:bottom w:val="single" w:sz="4" w:space="1" w:color="00B2BA"/>
          <w:right w:val="single" w:sz="4" w:space="12" w:color="00B2BA"/>
        </w:pBdr>
      </w:pPr>
      <w:r w:rsidRPr="00BC2754">
        <w:t xml:space="preserve">The department receives services revenue from the provision of </w:t>
      </w:r>
      <w:r>
        <w:t>IT</w:t>
      </w:r>
      <w:r w:rsidRPr="00BC2754">
        <w:t xml:space="preserve"> services, including software development, and grants shared services to other </w:t>
      </w:r>
      <w:r>
        <w:t xml:space="preserve">Australian </w:t>
      </w:r>
      <w:r w:rsidRPr="00BC2754">
        <w:t>Government entities. These arrangements consist of both Memoranda of Understanding (</w:t>
      </w:r>
      <w:proofErr w:type="spellStart"/>
      <w:r w:rsidRPr="00BC2754">
        <w:t>MoU</w:t>
      </w:r>
      <w:proofErr w:type="spellEnd"/>
      <w:r w:rsidRPr="00BC2754">
        <w:t>) and other contractual a</w:t>
      </w:r>
      <w:r>
        <w:t>greements</w:t>
      </w:r>
      <w:r w:rsidRPr="00BC2754">
        <w:t>.</w:t>
      </w:r>
      <w:r>
        <w:t xml:space="preserve"> </w:t>
      </w:r>
      <w:r w:rsidRPr="00BC2754">
        <w:t xml:space="preserve">There are two main types of agreements for IT services, being </w:t>
      </w:r>
      <w:proofErr w:type="spellStart"/>
      <w:r w:rsidRPr="00BC2754">
        <w:t>MoUs</w:t>
      </w:r>
      <w:proofErr w:type="spellEnd"/>
      <w:r w:rsidRPr="00BC2754">
        <w:t xml:space="preserve"> for IT service management and service proposals for work that falls outside the standard support and maintenance provided in the agreement. The arrangements generally fall within the category of performance obligations satisfied over time and are recognised as services are delivered. The IT service function transferred to Services Australia during </w:t>
      </w:r>
      <w:r>
        <w:t xml:space="preserve">the </w:t>
      </w:r>
      <w:r w:rsidRPr="00BC2754">
        <w:t xml:space="preserve">2020 </w:t>
      </w:r>
      <w:r>
        <w:t>financial year.</w:t>
      </w:r>
    </w:p>
    <w:p w14:paraId="3AD7FE6C"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rsidRPr="00BC2754">
        <w:t>Grants shared services, provided through the Grants Hub, operate</w:t>
      </w:r>
      <w:r>
        <w:t xml:space="preserve"> in accordance with partnership a</w:t>
      </w:r>
      <w:r w:rsidRPr="00BC2754">
        <w:t>greements</w:t>
      </w:r>
      <w:r>
        <w:t xml:space="preserve"> that </w:t>
      </w:r>
      <w:r w:rsidRPr="00BC2754">
        <w:t>are provided on the basis of a package and revenue is recognised as services are delivered</w:t>
      </w:r>
      <w:r>
        <w:t xml:space="preserve"> over time</w:t>
      </w:r>
      <w:r w:rsidRPr="00BC2754">
        <w:t>.</w:t>
      </w:r>
      <w:r>
        <w:t xml:space="preserve"> Receivables for</w:t>
      </w:r>
      <w:r w:rsidRPr="00362044">
        <w:t xml:space="preserve"> services, which have 30 day terms, are recognised at the nominal amounts due less any impairment allowance. Collectability of debts is reviewed at the end of the reporting period. An allowance is made when collectability of the debt is no longer probable.</w:t>
      </w:r>
    </w:p>
    <w:tbl>
      <w:tblPr>
        <w:tblW w:w="9411" w:type="dxa"/>
        <w:tblInd w:w="80" w:type="dxa"/>
        <w:tblLayout w:type="fixed"/>
        <w:tblLook w:val="04A0" w:firstRow="1" w:lastRow="0" w:firstColumn="1" w:lastColumn="0" w:noHBand="0" w:noVBand="1"/>
        <w:tblCaption w:val="Notes to and forming part of the financial statements"/>
        <w:tblDescription w:val="Own-source revenue and gains"/>
      </w:tblPr>
      <w:tblGrid>
        <w:gridCol w:w="6656"/>
        <w:gridCol w:w="1258"/>
        <w:gridCol w:w="239"/>
        <w:gridCol w:w="1258"/>
      </w:tblGrid>
      <w:tr w:rsidR="00AB6753" w14:paraId="1A8B140A" w14:textId="77777777" w:rsidTr="002D1EA4">
        <w:trPr>
          <w:trHeight w:val="240"/>
        </w:trPr>
        <w:tc>
          <w:tcPr>
            <w:tcW w:w="6580" w:type="dxa"/>
            <w:tcBorders>
              <w:top w:val="nil"/>
              <w:left w:val="nil"/>
              <w:bottom w:val="nil"/>
              <w:right w:val="nil"/>
            </w:tcBorders>
            <w:shd w:val="clear" w:color="FFFFFF" w:fill="FFFFFF"/>
            <w:noWrap/>
            <w:vAlign w:val="bottom"/>
            <w:hideMark/>
          </w:tcPr>
          <w:p w14:paraId="0B48464F" w14:textId="77777777" w:rsidR="00AB6753" w:rsidRDefault="00AB6753" w:rsidP="002D1EA4">
            <w:pPr>
              <w:spacing w:after="0"/>
              <w:rPr>
                <w:rFonts w:cs="Arial"/>
                <w:b/>
                <w:bCs/>
                <w:sz w:val="18"/>
                <w:szCs w:val="18"/>
                <w:u w:val="single"/>
              </w:rPr>
            </w:pPr>
            <w:bookmarkStart w:id="84" w:name="Note_RFCTABLE1" w:colFirst="0" w:colLast="0"/>
            <w:r>
              <w:rPr>
                <w:rFonts w:cs="Arial"/>
                <w:b/>
                <w:bCs/>
                <w:sz w:val="18"/>
                <w:szCs w:val="18"/>
                <w:u w:val="single"/>
              </w:rPr>
              <w:t>Note 1.2B: Resources Received Free of Charge</w:t>
            </w:r>
          </w:p>
        </w:tc>
        <w:tc>
          <w:tcPr>
            <w:tcW w:w="1244" w:type="dxa"/>
            <w:tcBorders>
              <w:top w:val="nil"/>
              <w:left w:val="nil"/>
              <w:bottom w:val="nil"/>
              <w:right w:val="nil"/>
            </w:tcBorders>
            <w:shd w:val="clear" w:color="FFFFFF" w:fill="FFFFFF"/>
            <w:noWrap/>
            <w:vAlign w:val="bottom"/>
            <w:hideMark/>
          </w:tcPr>
          <w:p w14:paraId="6EBE0CB4"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0BFA4496" w14:textId="77777777" w:rsidR="00AB6753" w:rsidRDefault="00AB6753" w:rsidP="002D1EA4">
            <w:pPr>
              <w:spacing w:after="0"/>
              <w:rPr>
                <w:rFonts w:cs="Arial"/>
                <w:sz w:val="18"/>
                <w:szCs w:val="18"/>
              </w:rPr>
            </w:pPr>
            <w:r>
              <w:rPr>
                <w:rFonts w:cs="Arial"/>
                <w:sz w:val="18"/>
                <w:szCs w:val="18"/>
              </w:rPr>
              <w:t> </w:t>
            </w:r>
          </w:p>
        </w:tc>
        <w:tc>
          <w:tcPr>
            <w:tcW w:w="1244" w:type="dxa"/>
            <w:tcBorders>
              <w:top w:val="nil"/>
              <w:left w:val="nil"/>
              <w:bottom w:val="nil"/>
              <w:right w:val="nil"/>
            </w:tcBorders>
            <w:shd w:val="clear" w:color="FFFFFF" w:fill="FFFFFF"/>
            <w:noWrap/>
            <w:vAlign w:val="bottom"/>
            <w:hideMark/>
          </w:tcPr>
          <w:p w14:paraId="1B25F740" w14:textId="77777777" w:rsidR="00AB6753" w:rsidRDefault="00AB6753" w:rsidP="002D1EA4">
            <w:pPr>
              <w:spacing w:after="0"/>
              <w:rPr>
                <w:rFonts w:cs="Arial"/>
                <w:sz w:val="18"/>
                <w:szCs w:val="18"/>
              </w:rPr>
            </w:pPr>
            <w:r>
              <w:rPr>
                <w:rFonts w:cs="Arial"/>
                <w:sz w:val="18"/>
                <w:szCs w:val="18"/>
              </w:rPr>
              <w:t> </w:t>
            </w:r>
          </w:p>
        </w:tc>
      </w:tr>
      <w:bookmarkEnd w:id="84"/>
      <w:tr w:rsidR="00AB6753" w14:paraId="2AFFA534" w14:textId="77777777" w:rsidTr="002D1EA4">
        <w:trPr>
          <w:trHeight w:val="240"/>
        </w:trPr>
        <w:tc>
          <w:tcPr>
            <w:tcW w:w="6580" w:type="dxa"/>
            <w:tcBorders>
              <w:top w:val="nil"/>
              <w:left w:val="nil"/>
              <w:bottom w:val="nil"/>
              <w:right w:val="nil"/>
            </w:tcBorders>
            <w:shd w:val="clear" w:color="FFFFFF" w:fill="FFFFFF"/>
            <w:vAlign w:val="bottom"/>
            <w:hideMark/>
          </w:tcPr>
          <w:p w14:paraId="648C898A" w14:textId="77777777" w:rsidR="00AB6753" w:rsidRDefault="00AB6753" w:rsidP="002D1EA4">
            <w:pPr>
              <w:spacing w:after="0"/>
              <w:rPr>
                <w:rFonts w:cs="Arial"/>
                <w:sz w:val="18"/>
                <w:szCs w:val="18"/>
              </w:rPr>
            </w:pPr>
            <w:r>
              <w:rPr>
                <w:rFonts w:cs="Arial"/>
                <w:sz w:val="18"/>
                <w:szCs w:val="18"/>
              </w:rPr>
              <w:t>Aged Care Gateway IT systems application development services</w:t>
            </w:r>
            <w:r>
              <w:rPr>
                <w:rFonts w:cs="Arial"/>
                <w:sz w:val="18"/>
                <w:szCs w:val="18"/>
                <w:vertAlign w:val="superscript"/>
              </w:rPr>
              <w:t>1</w:t>
            </w:r>
          </w:p>
        </w:tc>
        <w:tc>
          <w:tcPr>
            <w:tcW w:w="1244" w:type="dxa"/>
            <w:tcBorders>
              <w:top w:val="nil"/>
              <w:left w:val="nil"/>
              <w:bottom w:val="nil"/>
              <w:right w:val="nil"/>
            </w:tcBorders>
            <w:shd w:val="clear" w:color="FFFFFF" w:fill="FFFFFF"/>
            <w:noWrap/>
            <w:vAlign w:val="bottom"/>
            <w:hideMark/>
          </w:tcPr>
          <w:p w14:paraId="7E855F07" w14:textId="77777777" w:rsidR="00AB6753" w:rsidRDefault="00AB6753" w:rsidP="002D1EA4">
            <w:pPr>
              <w:spacing w:after="0"/>
              <w:jc w:val="right"/>
              <w:rPr>
                <w:rFonts w:cs="Arial"/>
                <w:b/>
                <w:bCs/>
                <w:sz w:val="18"/>
                <w:szCs w:val="18"/>
              </w:rPr>
            </w:pPr>
            <w:r>
              <w:rPr>
                <w:rFonts w:cs="Arial"/>
                <w:b/>
                <w:bCs/>
                <w:sz w:val="18"/>
                <w:szCs w:val="18"/>
              </w:rPr>
              <w:t>-</w:t>
            </w:r>
          </w:p>
        </w:tc>
        <w:tc>
          <w:tcPr>
            <w:tcW w:w="236" w:type="dxa"/>
            <w:tcBorders>
              <w:top w:val="nil"/>
              <w:left w:val="nil"/>
              <w:bottom w:val="nil"/>
              <w:right w:val="nil"/>
            </w:tcBorders>
            <w:shd w:val="clear" w:color="FFFFFF" w:fill="FFFFFF"/>
            <w:noWrap/>
            <w:vAlign w:val="bottom"/>
            <w:hideMark/>
          </w:tcPr>
          <w:p w14:paraId="5D9B7EF6" w14:textId="77777777" w:rsidR="00AB6753" w:rsidRDefault="00AB6753" w:rsidP="002D1EA4">
            <w:pPr>
              <w:spacing w:after="0"/>
              <w:rPr>
                <w:rFonts w:cs="Arial"/>
                <w:b/>
                <w:bCs/>
                <w:sz w:val="18"/>
                <w:szCs w:val="18"/>
              </w:rPr>
            </w:pPr>
            <w:r>
              <w:rPr>
                <w:rFonts w:cs="Arial"/>
                <w:b/>
                <w:bCs/>
                <w:sz w:val="18"/>
                <w:szCs w:val="18"/>
              </w:rPr>
              <w:t> </w:t>
            </w:r>
          </w:p>
        </w:tc>
        <w:tc>
          <w:tcPr>
            <w:tcW w:w="1244" w:type="dxa"/>
            <w:tcBorders>
              <w:top w:val="nil"/>
              <w:left w:val="nil"/>
              <w:bottom w:val="nil"/>
              <w:right w:val="nil"/>
            </w:tcBorders>
            <w:shd w:val="clear" w:color="FFFFFF" w:fill="FFFFFF"/>
            <w:noWrap/>
            <w:vAlign w:val="bottom"/>
            <w:hideMark/>
          </w:tcPr>
          <w:p w14:paraId="3162811B" w14:textId="77777777" w:rsidR="00AB6753" w:rsidRDefault="00AB6753" w:rsidP="002D1EA4">
            <w:pPr>
              <w:spacing w:after="0"/>
              <w:jc w:val="right"/>
              <w:rPr>
                <w:rFonts w:cs="Arial"/>
                <w:sz w:val="18"/>
                <w:szCs w:val="18"/>
              </w:rPr>
            </w:pPr>
            <w:r>
              <w:rPr>
                <w:rFonts w:cs="Arial"/>
                <w:sz w:val="18"/>
                <w:szCs w:val="18"/>
              </w:rPr>
              <w:t>17,106</w:t>
            </w:r>
          </w:p>
        </w:tc>
      </w:tr>
      <w:tr w:rsidR="00AB6753" w14:paraId="4CEC5A74" w14:textId="77777777" w:rsidTr="002D1EA4">
        <w:trPr>
          <w:trHeight w:val="240"/>
        </w:trPr>
        <w:tc>
          <w:tcPr>
            <w:tcW w:w="6580" w:type="dxa"/>
            <w:tcBorders>
              <w:top w:val="nil"/>
              <w:left w:val="nil"/>
              <w:bottom w:val="nil"/>
              <w:right w:val="nil"/>
            </w:tcBorders>
            <w:shd w:val="clear" w:color="FFFFFF" w:fill="FFFFFF"/>
            <w:vAlign w:val="bottom"/>
            <w:hideMark/>
          </w:tcPr>
          <w:p w14:paraId="2C717ECE" w14:textId="77777777" w:rsidR="00AB6753" w:rsidRDefault="00AB6753" w:rsidP="002D1EA4">
            <w:pPr>
              <w:spacing w:after="0"/>
              <w:rPr>
                <w:rFonts w:cs="Arial"/>
                <w:sz w:val="18"/>
                <w:szCs w:val="18"/>
              </w:rPr>
            </w:pPr>
            <w:r>
              <w:rPr>
                <w:rFonts w:cs="Arial"/>
                <w:sz w:val="18"/>
                <w:szCs w:val="18"/>
              </w:rPr>
              <w:t>Remuneration of auditors</w:t>
            </w:r>
          </w:p>
        </w:tc>
        <w:tc>
          <w:tcPr>
            <w:tcW w:w="1244" w:type="dxa"/>
            <w:tcBorders>
              <w:top w:val="nil"/>
              <w:left w:val="nil"/>
              <w:bottom w:val="nil"/>
              <w:right w:val="nil"/>
            </w:tcBorders>
            <w:shd w:val="clear" w:color="FFFFFF" w:fill="FFFFFF"/>
            <w:noWrap/>
            <w:vAlign w:val="bottom"/>
            <w:hideMark/>
          </w:tcPr>
          <w:p w14:paraId="191A602F" w14:textId="77777777" w:rsidR="00AB6753" w:rsidRDefault="00AB6753" w:rsidP="002D1EA4">
            <w:pPr>
              <w:spacing w:after="0"/>
              <w:jc w:val="right"/>
              <w:rPr>
                <w:rFonts w:cs="Arial"/>
                <w:b/>
                <w:bCs/>
                <w:sz w:val="18"/>
                <w:szCs w:val="18"/>
              </w:rPr>
            </w:pPr>
            <w:r>
              <w:rPr>
                <w:rFonts w:cs="Arial"/>
                <w:b/>
                <w:bCs/>
                <w:sz w:val="18"/>
                <w:szCs w:val="18"/>
              </w:rPr>
              <w:t>1,470</w:t>
            </w:r>
          </w:p>
        </w:tc>
        <w:tc>
          <w:tcPr>
            <w:tcW w:w="236" w:type="dxa"/>
            <w:tcBorders>
              <w:top w:val="nil"/>
              <w:left w:val="nil"/>
              <w:bottom w:val="nil"/>
              <w:right w:val="nil"/>
            </w:tcBorders>
            <w:shd w:val="clear" w:color="FFFFFF" w:fill="FFFFFF"/>
            <w:noWrap/>
            <w:vAlign w:val="bottom"/>
            <w:hideMark/>
          </w:tcPr>
          <w:p w14:paraId="23E89928" w14:textId="77777777" w:rsidR="00AB6753" w:rsidRDefault="00AB6753" w:rsidP="002D1EA4">
            <w:pPr>
              <w:spacing w:after="0"/>
              <w:rPr>
                <w:rFonts w:cs="Arial"/>
                <w:b/>
                <w:bCs/>
                <w:sz w:val="18"/>
                <w:szCs w:val="18"/>
              </w:rPr>
            </w:pPr>
            <w:r>
              <w:rPr>
                <w:rFonts w:cs="Arial"/>
                <w:b/>
                <w:bCs/>
                <w:sz w:val="18"/>
                <w:szCs w:val="18"/>
              </w:rPr>
              <w:t> </w:t>
            </w:r>
          </w:p>
        </w:tc>
        <w:tc>
          <w:tcPr>
            <w:tcW w:w="1244" w:type="dxa"/>
            <w:tcBorders>
              <w:top w:val="nil"/>
              <w:left w:val="nil"/>
              <w:bottom w:val="nil"/>
              <w:right w:val="nil"/>
            </w:tcBorders>
            <w:shd w:val="clear" w:color="FFFFFF" w:fill="FFFFFF"/>
            <w:noWrap/>
            <w:vAlign w:val="bottom"/>
            <w:hideMark/>
          </w:tcPr>
          <w:p w14:paraId="2D486235" w14:textId="77777777" w:rsidR="00AB6753" w:rsidRDefault="00AB6753" w:rsidP="002D1EA4">
            <w:pPr>
              <w:spacing w:after="0"/>
              <w:jc w:val="right"/>
              <w:rPr>
                <w:rFonts w:cs="Arial"/>
                <w:sz w:val="18"/>
                <w:szCs w:val="18"/>
              </w:rPr>
            </w:pPr>
            <w:r>
              <w:rPr>
                <w:rFonts w:cs="Arial"/>
                <w:sz w:val="18"/>
                <w:szCs w:val="18"/>
              </w:rPr>
              <w:t>1,470</w:t>
            </w:r>
          </w:p>
        </w:tc>
      </w:tr>
      <w:tr w:rsidR="00AB6753" w14:paraId="540FCF40" w14:textId="77777777" w:rsidTr="002D1EA4">
        <w:trPr>
          <w:trHeight w:val="240"/>
        </w:trPr>
        <w:tc>
          <w:tcPr>
            <w:tcW w:w="6580" w:type="dxa"/>
            <w:tcBorders>
              <w:top w:val="nil"/>
              <w:left w:val="nil"/>
              <w:bottom w:val="nil"/>
              <w:right w:val="nil"/>
            </w:tcBorders>
            <w:shd w:val="clear" w:color="FFFFFF" w:fill="FFFFFF"/>
            <w:vAlign w:val="bottom"/>
            <w:hideMark/>
          </w:tcPr>
          <w:p w14:paraId="2256EDC2" w14:textId="77777777" w:rsidR="00AB6753" w:rsidRDefault="00AB6753" w:rsidP="002D1EA4">
            <w:pPr>
              <w:spacing w:after="0"/>
              <w:rPr>
                <w:rFonts w:cs="Arial"/>
                <w:sz w:val="18"/>
                <w:szCs w:val="18"/>
              </w:rPr>
            </w:pPr>
            <w:r>
              <w:rPr>
                <w:rFonts w:cs="Arial"/>
                <w:sz w:val="18"/>
                <w:szCs w:val="18"/>
              </w:rPr>
              <w:t>Other</w:t>
            </w:r>
          </w:p>
        </w:tc>
        <w:tc>
          <w:tcPr>
            <w:tcW w:w="1244" w:type="dxa"/>
            <w:tcBorders>
              <w:top w:val="nil"/>
              <w:left w:val="nil"/>
              <w:bottom w:val="nil"/>
              <w:right w:val="nil"/>
            </w:tcBorders>
            <w:shd w:val="clear" w:color="FFFFFF" w:fill="FFFFFF"/>
            <w:noWrap/>
            <w:vAlign w:val="bottom"/>
            <w:hideMark/>
          </w:tcPr>
          <w:p w14:paraId="7BEBE83D" w14:textId="77777777" w:rsidR="00AB6753" w:rsidRDefault="00AB6753" w:rsidP="002D1EA4">
            <w:pPr>
              <w:spacing w:after="0"/>
              <w:jc w:val="right"/>
              <w:rPr>
                <w:rFonts w:cs="Arial"/>
                <w:b/>
                <w:bCs/>
                <w:sz w:val="18"/>
                <w:szCs w:val="18"/>
              </w:rPr>
            </w:pPr>
            <w:r>
              <w:rPr>
                <w:rFonts w:cs="Arial"/>
                <w:b/>
                <w:bCs/>
                <w:sz w:val="18"/>
                <w:szCs w:val="18"/>
              </w:rPr>
              <w:t>142</w:t>
            </w:r>
          </w:p>
        </w:tc>
        <w:tc>
          <w:tcPr>
            <w:tcW w:w="236" w:type="dxa"/>
            <w:tcBorders>
              <w:top w:val="nil"/>
              <w:left w:val="nil"/>
              <w:bottom w:val="nil"/>
              <w:right w:val="nil"/>
            </w:tcBorders>
            <w:shd w:val="clear" w:color="FFFFFF" w:fill="FFFFFF"/>
            <w:noWrap/>
            <w:vAlign w:val="bottom"/>
            <w:hideMark/>
          </w:tcPr>
          <w:p w14:paraId="24397847" w14:textId="77777777" w:rsidR="00AB6753" w:rsidRDefault="00AB6753" w:rsidP="002D1EA4">
            <w:pPr>
              <w:spacing w:after="0"/>
              <w:rPr>
                <w:rFonts w:cs="Arial"/>
                <w:b/>
                <w:bCs/>
                <w:sz w:val="18"/>
                <w:szCs w:val="18"/>
              </w:rPr>
            </w:pPr>
            <w:r>
              <w:rPr>
                <w:rFonts w:cs="Arial"/>
                <w:b/>
                <w:bCs/>
                <w:sz w:val="18"/>
                <w:szCs w:val="18"/>
              </w:rPr>
              <w:t> </w:t>
            </w:r>
          </w:p>
        </w:tc>
        <w:tc>
          <w:tcPr>
            <w:tcW w:w="1244" w:type="dxa"/>
            <w:tcBorders>
              <w:top w:val="nil"/>
              <w:left w:val="nil"/>
              <w:bottom w:val="nil"/>
              <w:right w:val="nil"/>
            </w:tcBorders>
            <w:shd w:val="clear" w:color="FFFFFF" w:fill="FFFFFF"/>
            <w:noWrap/>
            <w:vAlign w:val="bottom"/>
            <w:hideMark/>
          </w:tcPr>
          <w:p w14:paraId="4BC8090B" w14:textId="77777777" w:rsidR="00AB6753" w:rsidRDefault="00AB6753" w:rsidP="002D1EA4">
            <w:pPr>
              <w:spacing w:after="0"/>
              <w:jc w:val="right"/>
              <w:rPr>
                <w:rFonts w:cs="Arial"/>
                <w:sz w:val="18"/>
                <w:szCs w:val="18"/>
              </w:rPr>
            </w:pPr>
            <w:r>
              <w:rPr>
                <w:rFonts w:cs="Arial"/>
                <w:sz w:val="18"/>
                <w:szCs w:val="18"/>
              </w:rPr>
              <w:t>-</w:t>
            </w:r>
          </w:p>
        </w:tc>
      </w:tr>
      <w:tr w:rsidR="00AB6753" w14:paraId="337CAB1E" w14:textId="77777777" w:rsidTr="002D1EA4">
        <w:trPr>
          <w:trHeight w:val="240"/>
        </w:trPr>
        <w:tc>
          <w:tcPr>
            <w:tcW w:w="6580" w:type="dxa"/>
            <w:tcBorders>
              <w:top w:val="nil"/>
              <w:left w:val="nil"/>
              <w:bottom w:val="nil"/>
              <w:right w:val="nil"/>
            </w:tcBorders>
            <w:shd w:val="clear" w:color="FFFFFF" w:fill="FFFFFF"/>
            <w:vAlign w:val="bottom"/>
            <w:hideMark/>
          </w:tcPr>
          <w:p w14:paraId="7D8EA56F" w14:textId="77777777" w:rsidR="00AB6753" w:rsidRDefault="00AB6753" w:rsidP="002D1EA4">
            <w:pPr>
              <w:spacing w:after="0"/>
              <w:rPr>
                <w:rFonts w:cs="Arial"/>
                <w:b/>
                <w:bCs/>
                <w:sz w:val="18"/>
                <w:szCs w:val="18"/>
              </w:rPr>
            </w:pPr>
            <w:r>
              <w:rPr>
                <w:rFonts w:cs="Arial"/>
                <w:b/>
                <w:bCs/>
                <w:sz w:val="18"/>
                <w:szCs w:val="18"/>
              </w:rPr>
              <w:t>Total resources received free of charge</w:t>
            </w:r>
          </w:p>
        </w:tc>
        <w:tc>
          <w:tcPr>
            <w:tcW w:w="1244" w:type="dxa"/>
            <w:tcBorders>
              <w:top w:val="single" w:sz="4" w:space="0" w:color="auto"/>
              <w:left w:val="nil"/>
              <w:bottom w:val="single" w:sz="4" w:space="0" w:color="auto"/>
              <w:right w:val="nil"/>
            </w:tcBorders>
            <w:shd w:val="clear" w:color="FFFFFF" w:fill="FFFFFF"/>
            <w:noWrap/>
            <w:vAlign w:val="bottom"/>
            <w:hideMark/>
          </w:tcPr>
          <w:p w14:paraId="646D95B3" w14:textId="77777777" w:rsidR="00AB6753" w:rsidRDefault="00AB6753" w:rsidP="002D1EA4">
            <w:pPr>
              <w:spacing w:after="0"/>
              <w:jc w:val="right"/>
              <w:rPr>
                <w:rFonts w:cs="Arial"/>
                <w:b/>
                <w:bCs/>
                <w:sz w:val="18"/>
                <w:szCs w:val="18"/>
              </w:rPr>
            </w:pPr>
            <w:r>
              <w:rPr>
                <w:rFonts w:cs="Arial"/>
                <w:b/>
                <w:bCs/>
                <w:sz w:val="18"/>
                <w:szCs w:val="18"/>
              </w:rPr>
              <w:t>1,612</w:t>
            </w:r>
          </w:p>
        </w:tc>
        <w:tc>
          <w:tcPr>
            <w:tcW w:w="236" w:type="dxa"/>
            <w:tcBorders>
              <w:top w:val="nil"/>
              <w:left w:val="nil"/>
              <w:bottom w:val="nil"/>
              <w:right w:val="nil"/>
            </w:tcBorders>
            <w:shd w:val="clear" w:color="FFFFFF" w:fill="FFFFFF"/>
            <w:noWrap/>
            <w:vAlign w:val="bottom"/>
            <w:hideMark/>
          </w:tcPr>
          <w:p w14:paraId="5B14CFF7" w14:textId="77777777" w:rsidR="00AB6753" w:rsidRDefault="00AB6753" w:rsidP="002D1EA4">
            <w:pPr>
              <w:spacing w:after="0"/>
              <w:rPr>
                <w:rFonts w:cs="Arial"/>
                <w:sz w:val="18"/>
                <w:szCs w:val="18"/>
              </w:rPr>
            </w:pPr>
            <w:r>
              <w:rPr>
                <w:rFonts w:cs="Arial"/>
                <w:sz w:val="18"/>
                <w:szCs w:val="18"/>
              </w:rPr>
              <w:t> </w:t>
            </w:r>
          </w:p>
        </w:tc>
        <w:tc>
          <w:tcPr>
            <w:tcW w:w="1244" w:type="dxa"/>
            <w:tcBorders>
              <w:top w:val="single" w:sz="4" w:space="0" w:color="auto"/>
              <w:left w:val="nil"/>
              <w:bottom w:val="single" w:sz="4" w:space="0" w:color="auto"/>
              <w:right w:val="nil"/>
            </w:tcBorders>
            <w:shd w:val="clear" w:color="FFFFFF" w:fill="FFFFFF"/>
            <w:noWrap/>
            <w:vAlign w:val="bottom"/>
            <w:hideMark/>
          </w:tcPr>
          <w:p w14:paraId="487B0BB3" w14:textId="77777777" w:rsidR="00AB6753" w:rsidRDefault="00AB6753" w:rsidP="002D1EA4">
            <w:pPr>
              <w:spacing w:after="0"/>
              <w:jc w:val="right"/>
              <w:rPr>
                <w:rFonts w:cs="Arial"/>
                <w:sz w:val="18"/>
                <w:szCs w:val="18"/>
              </w:rPr>
            </w:pPr>
            <w:r>
              <w:rPr>
                <w:rFonts w:cs="Arial"/>
                <w:sz w:val="18"/>
                <w:szCs w:val="18"/>
              </w:rPr>
              <w:t>18,576</w:t>
            </w:r>
          </w:p>
        </w:tc>
      </w:tr>
    </w:tbl>
    <w:p w14:paraId="50BD769D" w14:textId="77777777" w:rsidR="00AB6753" w:rsidRDefault="00AB6753" w:rsidP="00AB6753">
      <w:pPr>
        <w:pStyle w:val="ContinuedNotesHeading-Level1"/>
        <w:spacing w:before="0" w:after="0"/>
      </w:pPr>
    </w:p>
    <w:p w14:paraId="0F7C4146" w14:textId="77777777" w:rsidR="00AB6753" w:rsidRPr="00290D98" w:rsidRDefault="00AB6753" w:rsidP="00AB6753">
      <w:pPr>
        <w:pStyle w:val="NotesText0"/>
        <w:numPr>
          <w:ilvl w:val="0"/>
          <w:numId w:val="53"/>
        </w:numPr>
        <w:spacing w:before="0" w:after="0"/>
        <w:ind w:left="142" w:hanging="142"/>
        <w:rPr>
          <w:szCs w:val="18"/>
        </w:rPr>
      </w:pPr>
      <w:r w:rsidRPr="00290D98">
        <w:rPr>
          <w:szCs w:val="18"/>
        </w:rPr>
        <w:t xml:space="preserve">In the 2019 financial year, revenue of $17.106 million was reported as part of resources received free of charge. In the 2020 financial year, the Aged Care Gateway asset transferred to the Department of Health. Refer to </w:t>
      </w:r>
      <w:r>
        <w:rPr>
          <w:szCs w:val="18"/>
        </w:rPr>
        <w:t>N</w:t>
      </w:r>
      <w:r w:rsidRPr="00290D98">
        <w:rPr>
          <w:szCs w:val="18"/>
        </w:rPr>
        <w:t>ote 8.2A.</w:t>
      </w:r>
    </w:p>
    <w:p w14:paraId="2CE0E4E9" w14:textId="77777777" w:rsidR="00AB6753" w:rsidRDefault="00AB6753" w:rsidP="00AB6753">
      <w:pPr>
        <w:pStyle w:val="NotesTextnolinespace"/>
      </w:pPr>
    </w:p>
    <w:p w14:paraId="4ABA8740" w14:textId="77777777" w:rsidR="00AB6753" w:rsidRDefault="00AB6753" w:rsidP="00AB6753">
      <w:pPr>
        <w:pStyle w:val="PolicyheadingDept"/>
        <w:pBdr>
          <w:top w:val="single" w:sz="4" w:space="1" w:color="00B2BA"/>
          <w:left w:val="single" w:sz="4" w:space="0" w:color="00B2BA"/>
          <w:bottom w:val="single" w:sz="4" w:space="1" w:color="00B2BA"/>
          <w:right w:val="single" w:sz="4" w:space="12" w:color="00B2BA"/>
        </w:pBdr>
        <w:spacing w:after="0"/>
      </w:pPr>
      <w:r>
        <w:t>Accounting Policy</w:t>
      </w:r>
    </w:p>
    <w:p w14:paraId="70E37C76" w14:textId="77777777" w:rsidR="00AB6753" w:rsidRDefault="00AB6753" w:rsidP="00AB6753">
      <w:pPr>
        <w:pStyle w:val="Policytextdeptunderline"/>
        <w:pBdr>
          <w:top w:val="single" w:sz="4" w:space="1" w:color="00B2BA"/>
          <w:left w:val="single" w:sz="4" w:space="0" w:color="00B2BA"/>
          <w:bottom w:val="single" w:sz="4" w:space="1" w:color="00B2BA"/>
          <w:right w:val="single" w:sz="4" w:space="12" w:color="00B2BA"/>
        </w:pBdr>
      </w:pPr>
      <w:r w:rsidRPr="00AD36A9">
        <w:t>Resources Received Free of Charge</w:t>
      </w:r>
    </w:p>
    <w:p w14:paraId="622AAF61"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rPr>
          <w:bCs w:val="0"/>
        </w:rPr>
      </w:pPr>
      <w:r w:rsidRPr="00AD36A9">
        <w:t xml:space="preserve">Resources received free </w:t>
      </w:r>
      <w:r>
        <w:t>of charge are recognised as revenue</w:t>
      </w:r>
      <w:r w:rsidRPr="00AD36A9">
        <w:t xml:space="preserve"> when, and only when, a fair value can be reliably determined and the services would have been purchased if they had not been donated. Use of those resources is recognised as an expense.</w:t>
      </w:r>
      <w:r>
        <w:t xml:space="preserve"> </w:t>
      </w:r>
      <w:r w:rsidRPr="00AD36A9">
        <w:t>Resources received free of charge are recorded as either revenue or gains depending on their nature.</w:t>
      </w:r>
      <w:r>
        <w:br w:type="page"/>
      </w:r>
    </w:p>
    <w:p w14:paraId="1A970777" w14:textId="77777777" w:rsidR="00AB6753" w:rsidRPr="00A71D8D" w:rsidRDefault="00AB6753" w:rsidP="00AB6753">
      <w:pPr>
        <w:pStyle w:val="ContinuedNotesHeading-Level1"/>
        <w:rPr>
          <w:sz w:val="20"/>
          <w:szCs w:val="20"/>
        </w:rPr>
      </w:pPr>
      <w:r w:rsidRPr="00A71D8D">
        <w:rPr>
          <w:sz w:val="20"/>
          <w:szCs w:val="20"/>
        </w:rPr>
        <w:lastRenderedPageBreak/>
        <w:t>1.2 Own-Source Revenue and Gains (continued)</w:t>
      </w:r>
    </w:p>
    <w:p w14:paraId="2F0610EF" w14:textId="77777777" w:rsidR="00AB6753" w:rsidRDefault="00AB6753" w:rsidP="00AB6753">
      <w:pPr>
        <w:pStyle w:val="ReferenceText"/>
      </w:pPr>
    </w:p>
    <w:tbl>
      <w:tblPr>
        <w:tblW w:w="9411" w:type="dxa"/>
        <w:tblInd w:w="80" w:type="dxa"/>
        <w:tblLayout w:type="fixed"/>
        <w:tblLook w:val="04A0" w:firstRow="1" w:lastRow="0" w:firstColumn="1" w:lastColumn="0" w:noHBand="0" w:noVBand="1"/>
        <w:tblCaption w:val="Notes to and forming part of the financial statements"/>
        <w:tblDescription w:val="Own-source revenue and gains continued"/>
      </w:tblPr>
      <w:tblGrid>
        <w:gridCol w:w="6561"/>
        <w:gridCol w:w="1288"/>
        <w:gridCol w:w="274"/>
        <w:gridCol w:w="1288"/>
      </w:tblGrid>
      <w:tr w:rsidR="00AB6753" w14:paraId="3FB37408" w14:textId="77777777" w:rsidTr="002D1EA4">
        <w:trPr>
          <w:trHeight w:val="255"/>
        </w:trPr>
        <w:tc>
          <w:tcPr>
            <w:tcW w:w="6396" w:type="dxa"/>
            <w:tcBorders>
              <w:top w:val="nil"/>
              <w:left w:val="nil"/>
              <w:bottom w:val="nil"/>
              <w:right w:val="nil"/>
            </w:tcBorders>
            <w:shd w:val="clear" w:color="FFFFFF" w:fill="FFFFFF"/>
            <w:noWrap/>
            <w:vAlign w:val="bottom"/>
            <w:hideMark/>
          </w:tcPr>
          <w:p w14:paraId="16C47D37" w14:textId="77777777" w:rsidR="00AB6753" w:rsidRDefault="00AB6753" w:rsidP="002D1EA4">
            <w:pPr>
              <w:spacing w:after="0"/>
              <w:rPr>
                <w:rFonts w:cs="Arial"/>
                <w:sz w:val="18"/>
                <w:szCs w:val="18"/>
              </w:rPr>
            </w:pPr>
            <w:bookmarkStart w:id="85" w:name="Note_RRVTABLE1" w:colFirst="0" w:colLast="0"/>
            <w:r>
              <w:rPr>
                <w:rFonts w:cs="Arial"/>
                <w:sz w:val="18"/>
                <w:szCs w:val="18"/>
              </w:rPr>
              <w:t> </w:t>
            </w:r>
          </w:p>
        </w:tc>
        <w:tc>
          <w:tcPr>
            <w:tcW w:w="1256" w:type="dxa"/>
            <w:tcBorders>
              <w:top w:val="nil"/>
              <w:left w:val="nil"/>
              <w:bottom w:val="nil"/>
              <w:right w:val="nil"/>
            </w:tcBorders>
            <w:shd w:val="clear" w:color="FFFFFF" w:fill="FFFFFF"/>
            <w:vAlign w:val="bottom"/>
            <w:hideMark/>
          </w:tcPr>
          <w:p w14:paraId="0B045909" w14:textId="77777777" w:rsidR="00AB6753" w:rsidRDefault="00AB6753" w:rsidP="002D1EA4">
            <w:pPr>
              <w:spacing w:after="0"/>
              <w:jc w:val="right"/>
              <w:rPr>
                <w:rFonts w:cs="Arial"/>
                <w:b/>
                <w:bCs/>
                <w:sz w:val="18"/>
                <w:szCs w:val="18"/>
              </w:rPr>
            </w:pPr>
            <w:r>
              <w:rPr>
                <w:rFonts w:cs="Arial"/>
                <w:b/>
                <w:bCs/>
                <w:sz w:val="18"/>
                <w:szCs w:val="18"/>
              </w:rPr>
              <w:t>2020</w:t>
            </w:r>
          </w:p>
        </w:tc>
        <w:tc>
          <w:tcPr>
            <w:tcW w:w="267" w:type="dxa"/>
            <w:tcBorders>
              <w:top w:val="nil"/>
              <w:left w:val="nil"/>
              <w:bottom w:val="nil"/>
              <w:right w:val="nil"/>
            </w:tcBorders>
            <w:shd w:val="clear" w:color="FFFFFF" w:fill="FFFFFF"/>
            <w:noWrap/>
            <w:vAlign w:val="bottom"/>
            <w:hideMark/>
          </w:tcPr>
          <w:p w14:paraId="40D86EA2"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4A1917D0" w14:textId="77777777" w:rsidR="00AB6753" w:rsidRDefault="00AB6753" w:rsidP="002D1EA4">
            <w:pPr>
              <w:spacing w:after="0"/>
              <w:jc w:val="right"/>
              <w:rPr>
                <w:rFonts w:cs="Arial"/>
                <w:sz w:val="18"/>
                <w:szCs w:val="18"/>
              </w:rPr>
            </w:pPr>
            <w:r>
              <w:rPr>
                <w:rFonts w:cs="Arial"/>
                <w:sz w:val="18"/>
                <w:szCs w:val="18"/>
              </w:rPr>
              <w:t>2019</w:t>
            </w:r>
          </w:p>
        </w:tc>
      </w:tr>
      <w:bookmarkEnd w:id="85"/>
      <w:tr w:rsidR="00AB6753" w14:paraId="56E251D9" w14:textId="77777777" w:rsidTr="002D1EA4">
        <w:trPr>
          <w:trHeight w:val="255"/>
        </w:trPr>
        <w:tc>
          <w:tcPr>
            <w:tcW w:w="6396" w:type="dxa"/>
            <w:tcBorders>
              <w:top w:val="nil"/>
              <w:left w:val="nil"/>
              <w:bottom w:val="nil"/>
              <w:right w:val="nil"/>
            </w:tcBorders>
            <w:shd w:val="clear" w:color="FFFFFF" w:fill="FFFFFF"/>
            <w:noWrap/>
            <w:vAlign w:val="bottom"/>
            <w:hideMark/>
          </w:tcPr>
          <w:p w14:paraId="62773F34"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13C0A81A" w14:textId="77777777" w:rsidR="00AB6753" w:rsidRDefault="00AB6753" w:rsidP="002D1EA4">
            <w:pPr>
              <w:spacing w:after="0"/>
              <w:jc w:val="right"/>
              <w:rPr>
                <w:rFonts w:cs="Arial"/>
                <w:b/>
                <w:bCs/>
                <w:sz w:val="18"/>
                <w:szCs w:val="18"/>
              </w:rPr>
            </w:pPr>
            <w:r>
              <w:rPr>
                <w:rFonts w:cs="Arial"/>
                <w:b/>
                <w:bCs/>
                <w:sz w:val="18"/>
                <w:szCs w:val="18"/>
              </w:rPr>
              <w:t>$'000</w:t>
            </w:r>
          </w:p>
        </w:tc>
        <w:tc>
          <w:tcPr>
            <w:tcW w:w="267" w:type="dxa"/>
            <w:tcBorders>
              <w:top w:val="nil"/>
              <w:left w:val="nil"/>
              <w:bottom w:val="nil"/>
              <w:right w:val="nil"/>
            </w:tcBorders>
            <w:shd w:val="clear" w:color="FFFFFF" w:fill="FFFFFF"/>
            <w:noWrap/>
            <w:vAlign w:val="bottom"/>
            <w:hideMark/>
          </w:tcPr>
          <w:p w14:paraId="60FDAABC"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7E8BDE76" w14:textId="77777777" w:rsidR="00AB6753" w:rsidRDefault="00AB6753" w:rsidP="002D1EA4">
            <w:pPr>
              <w:spacing w:after="0"/>
              <w:jc w:val="right"/>
              <w:rPr>
                <w:rFonts w:cs="Arial"/>
                <w:sz w:val="18"/>
                <w:szCs w:val="18"/>
              </w:rPr>
            </w:pPr>
            <w:r>
              <w:rPr>
                <w:rFonts w:cs="Arial"/>
                <w:sz w:val="18"/>
                <w:szCs w:val="18"/>
              </w:rPr>
              <w:t>$'000</w:t>
            </w:r>
          </w:p>
        </w:tc>
      </w:tr>
      <w:tr w:rsidR="00AB6753" w14:paraId="3E6F9190" w14:textId="77777777" w:rsidTr="002D1EA4">
        <w:trPr>
          <w:trHeight w:val="255"/>
        </w:trPr>
        <w:tc>
          <w:tcPr>
            <w:tcW w:w="6396" w:type="dxa"/>
            <w:tcBorders>
              <w:top w:val="nil"/>
              <w:left w:val="nil"/>
              <w:bottom w:val="nil"/>
              <w:right w:val="nil"/>
            </w:tcBorders>
            <w:shd w:val="clear" w:color="FFFFFF" w:fill="FFFFFF"/>
            <w:noWrap/>
            <w:vAlign w:val="bottom"/>
            <w:hideMark/>
          </w:tcPr>
          <w:p w14:paraId="436ACAC6" w14:textId="77777777" w:rsidR="00AB6753" w:rsidRDefault="00AB6753" w:rsidP="002D1EA4">
            <w:pPr>
              <w:spacing w:after="0"/>
              <w:rPr>
                <w:rFonts w:cs="Arial"/>
                <w:b/>
                <w:bCs/>
                <w:sz w:val="18"/>
                <w:szCs w:val="18"/>
                <w:u w:val="single"/>
              </w:rPr>
            </w:pPr>
            <w:r>
              <w:rPr>
                <w:rFonts w:cs="Arial"/>
                <w:b/>
                <w:bCs/>
                <w:sz w:val="18"/>
                <w:szCs w:val="18"/>
                <w:u w:val="single"/>
              </w:rPr>
              <w:t>Note 1.2C: Rental Income</w:t>
            </w:r>
          </w:p>
        </w:tc>
        <w:tc>
          <w:tcPr>
            <w:tcW w:w="1256" w:type="dxa"/>
            <w:tcBorders>
              <w:top w:val="nil"/>
              <w:left w:val="nil"/>
              <w:bottom w:val="nil"/>
              <w:right w:val="nil"/>
            </w:tcBorders>
            <w:shd w:val="clear" w:color="FFFFFF" w:fill="FFFFFF"/>
            <w:noWrap/>
            <w:vAlign w:val="bottom"/>
            <w:hideMark/>
          </w:tcPr>
          <w:p w14:paraId="72F1D8B5"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43137C3C"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5D91D39A" w14:textId="77777777" w:rsidR="00AB6753" w:rsidRDefault="00AB6753" w:rsidP="002D1EA4">
            <w:pPr>
              <w:spacing w:after="0"/>
              <w:jc w:val="right"/>
              <w:rPr>
                <w:rFonts w:cs="Arial"/>
                <w:sz w:val="18"/>
                <w:szCs w:val="18"/>
              </w:rPr>
            </w:pPr>
            <w:r>
              <w:rPr>
                <w:rFonts w:cs="Arial"/>
                <w:sz w:val="18"/>
                <w:szCs w:val="18"/>
              </w:rPr>
              <w:t> </w:t>
            </w:r>
          </w:p>
        </w:tc>
      </w:tr>
      <w:tr w:rsidR="00AB6753" w14:paraId="1C5D121D" w14:textId="77777777" w:rsidTr="002D1EA4">
        <w:trPr>
          <w:trHeight w:val="255"/>
        </w:trPr>
        <w:tc>
          <w:tcPr>
            <w:tcW w:w="6396" w:type="dxa"/>
            <w:tcBorders>
              <w:top w:val="nil"/>
              <w:left w:val="nil"/>
              <w:bottom w:val="nil"/>
              <w:right w:val="nil"/>
            </w:tcBorders>
            <w:shd w:val="clear" w:color="FFFFFF" w:fill="FFFFFF"/>
            <w:vAlign w:val="bottom"/>
            <w:hideMark/>
          </w:tcPr>
          <w:p w14:paraId="59301A40" w14:textId="77777777" w:rsidR="00AB6753" w:rsidRDefault="00AB6753" w:rsidP="002D1EA4">
            <w:pPr>
              <w:spacing w:after="0"/>
              <w:rPr>
                <w:rFonts w:cs="Arial"/>
                <w:sz w:val="18"/>
                <w:szCs w:val="18"/>
              </w:rPr>
            </w:pPr>
            <w:r>
              <w:rPr>
                <w:rFonts w:cs="Arial"/>
                <w:sz w:val="18"/>
                <w:szCs w:val="18"/>
              </w:rPr>
              <w:t>Operating lease</w:t>
            </w:r>
          </w:p>
        </w:tc>
        <w:tc>
          <w:tcPr>
            <w:tcW w:w="1256" w:type="dxa"/>
            <w:tcBorders>
              <w:top w:val="nil"/>
              <w:left w:val="nil"/>
              <w:bottom w:val="nil"/>
              <w:right w:val="nil"/>
            </w:tcBorders>
            <w:shd w:val="clear" w:color="FFFFFF" w:fill="FFFFFF"/>
            <w:noWrap/>
            <w:vAlign w:val="bottom"/>
            <w:hideMark/>
          </w:tcPr>
          <w:p w14:paraId="256BFA65" w14:textId="77777777" w:rsidR="00AB6753" w:rsidRDefault="00AB6753" w:rsidP="002D1EA4">
            <w:pPr>
              <w:spacing w:after="0"/>
              <w:jc w:val="right"/>
              <w:rPr>
                <w:rFonts w:cs="Arial"/>
                <w:b/>
                <w:bCs/>
                <w:sz w:val="18"/>
                <w:szCs w:val="18"/>
              </w:rPr>
            </w:pPr>
            <w:r>
              <w:rPr>
                <w:rFonts w:cs="Arial"/>
                <w:b/>
                <w:bCs/>
                <w:sz w:val="18"/>
                <w:szCs w:val="18"/>
              </w:rPr>
              <w:t> </w:t>
            </w:r>
          </w:p>
        </w:tc>
        <w:tc>
          <w:tcPr>
            <w:tcW w:w="267" w:type="dxa"/>
            <w:tcBorders>
              <w:top w:val="nil"/>
              <w:left w:val="nil"/>
              <w:bottom w:val="nil"/>
              <w:right w:val="nil"/>
            </w:tcBorders>
            <w:shd w:val="clear" w:color="FFFFFF" w:fill="FFFFFF"/>
            <w:noWrap/>
            <w:vAlign w:val="bottom"/>
            <w:hideMark/>
          </w:tcPr>
          <w:p w14:paraId="3A71B2CF"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36E578EE" w14:textId="77777777" w:rsidR="00AB6753" w:rsidRDefault="00AB6753" w:rsidP="002D1EA4">
            <w:pPr>
              <w:spacing w:after="0"/>
              <w:jc w:val="right"/>
              <w:rPr>
                <w:rFonts w:cs="Arial"/>
                <w:sz w:val="18"/>
                <w:szCs w:val="18"/>
              </w:rPr>
            </w:pPr>
            <w:r>
              <w:rPr>
                <w:rFonts w:cs="Arial"/>
                <w:sz w:val="18"/>
                <w:szCs w:val="18"/>
              </w:rPr>
              <w:t> </w:t>
            </w:r>
          </w:p>
        </w:tc>
      </w:tr>
      <w:tr w:rsidR="00AB6753" w14:paraId="535A2903" w14:textId="77777777" w:rsidTr="002D1EA4">
        <w:trPr>
          <w:trHeight w:val="255"/>
        </w:trPr>
        <w:tc>
          <w:tcPr>
            <w:tcW w:w="6396" w:type="dxa"/>
            <w:tcBorders>
              <w:top w:val="nil"/>
              <w:left w:val="nil"/>
              <w:bottom w:val="nil"/>
              <w:right w:val="nil"/>
            </w:tcBorders>
            <w:shd w:val="clear" w:color="FFFFFF" w:fill="FFFFFF"/>
            <w:noWrap/>
            <w:vAlign w:val="bottom"/>
            <w:hideMark/>
          </w:tcPr>
          <w:p w14:paraId="398C993C" w14:textId="77777777" w:rsidR="00AB6753" w:rsidRDefault="00AB6753" w:rsidP="002D1EA4">
            <w:pPr>
              <w:spacing w:after="0"/>
              <w:ind w:firstLineChars="100" w:firstLine="180"/>
              <w:rPr>
                <w:rFonts w:cs="Arial"/>
                <w:sz w:val="18"/>
                <w:szCs w:val="18"/>
              </w:rPr>
            </w:pPr>
            <w:r>
              <w:rPr>
                <w:rFonts w:cs="Arial"/>
                <w:sz w:val="18"/>
                <w:szCs w:val="18"/>
              </w:rPr>
              <w:t>Contingent rentals</w:t>
            </w:r>
          </w:p>
        </w:tc>
        <w:tc>
          <w:tcPr>
            <w:tcW w:w="1256" w:type="dxa"/>
            <w:tcBorders>
              <w:top w:val="nil"/>
              <w:left w:val="nil"/>
              <w:bottom w:val="nil"/>
              <w:right w:val="nil"/>
            </w:tcBorders>
            <w:shd w:val="clear" w:color="FFFFFF" w:fill="FFFFFF"/>
            <w:noWrap/>
            <w:vAlign w:val="bottom"/>
            <w:hideMark/>
          </w:tcPr>
          <w:p w14:paraId="61DF5D33" w14:textId="77777777" w:rsidR="00AB6753" w:rsidRDefault="00AB6753" w:rsidP="002D1EA4">
            <w:pPr>
              <w:spacing w:after="0"/>
              <w:jc w:val="right"/>
              <w:rPr>
                <w:rFonts w:cs="Arial"/>
                <w:b/>
                <w:bCs/>
                <w:sz w:val="18"/>
                <w:szCs w:val="18"/>
              </w:rPr>
            </w:pPr>
            <w:r>
              <w:rPr>
                <w:rFonts w:cs="Arial"/>
                <w:b/>
                <w:bCs/>
                <w:sz w:val="18"/>
                <w:szCs w:val="18"/>
              </w:rPr>
              <w:t>-</w:t>
            </w:r>
          </w:p>
        </w:tc>
        <w:tc>
          <w:tcPr>
            <w:tcW w:w="267" w:type="dxa"/>
            <w:tcBorders>
              <w:top w:val="nil"/>
              <w:left w:val="nil"/>
              <w:bottom w:val="nil"/>
              <w:right w:val="nil"/>
            </w:tcBorders>
            <w:shd w:val="clear" w:color="FFFFFF" w:fill="FFFFFF"/>
            <w:noWrap/>
            <w:vAlign w:val="bottom"/>
            <w:hideMark/>
          </w:tcPr>
          <w:p w14:paraId="51075587"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2168FA61" w14:textId="77777777" w:rsidR="00AB6753" w:rsidRDefault="00AB6753" w:rsidP="002D1EA4">
            <w:pPr>
              <w:spacing w:after="0"/>
              <w:jc w:val="right"/>
              <w:rPr>
                <w:rFonts w:cs="Arial"/>
                <w:sz w:val="18"/>
                <w:szCs w:val="18"/>
              </w:rPr>
            </w:pPr>
            <w:r>
              <w:rPr>
                <w:rFonts w:cs="Arial"/>
                <w:sz w:val="18"/>
                <w:szCs w:val="18"/>
              </w:rPr>
              <w:t>1,948</w:t>
            </w:r>
          </w:p>
        </w:tc>
      </w:tr>
      <w:tr w:rsidR="00AB6753" w14:paraId="6621B495" w14:textId="77777777" w:rsidTr="002D1EA4">
        <w:trPr>
          <w:trHeight w:val="255"/>
        </w:trPr>
        <w:tc>
          <w:tcPr>
            <w:tcW w:w="6396" w:type="dxa"/>
            <w:tcBorders>
              <w:top w:val="nil"/>
              <w:left w:val="nil"/>
              <w:bottom w:val="nil"/>
              <w:right w:val="nil"/>
            </w:tcBorders>
            <w:shd w:val="clear" w:color="FFFFFF" w:fill="FFFFFF"/>
            <w:vAlign w:val="bottom"/>
            <w:hideMark/>
          </w:tcPr>
          <w:p w14:paraId="44E446C2" w14:textId="77777777" w:rsidR="00AB6753" w:rsidRDefault="00AB6753" w:rsidP="002D1EA4">
            <w:pPr>
              <w:spacing w:after="0"/>
              <w:rPr>
                <w:rFonts w:cs="Arial"/>
                <w:sz w:val="18"/>
                <w:szCs w:val="18"/>
              </w:rPr>
            </w:pPr>
            <w:r>
              <w:rPr>
                <w:rFonts w:cs="Arial"/>
                <w:sz w:val="18"/>
                <w:szCs w:val="18"/>
              </w:rPr>
              <w:t>Subleasing right-of-use assets</w:t>
            </w:r>
          </w:p>
        </w:tc>
        <w:tc>
          <w:tcPr>
            <w:tcW w:w="1256" w:type="dxa"/>
            <w:tcBorders>
              <w:top w:val="nil"/>
              <w:left w:val="nil"/>
              <w:bottom w:val="nil"/>
              <w:right w:val="nil"/>
            </w:tcBorders>
            <w:shd w:val="clear" w:color="FFFFFF" w:fill="FFFFFF"/>
            <w:noWrap/>
            <w:vAlign w:val="bottom"/>
            <w:hideMark/>
          </w:tcPr>
          <w:p w14:paraId="047B652F" w14:textId="77777777" w:rsidR="00AB6753" w:rsidRDefault="00AB6753" w:rsidP="002D1EA4">
            <w:pPr>
              <w:spacing w:after="0"/>
              <w:jc w:val="right"/>
              <w:rPr>
                <w:rFonts w:cs="Arial"/>
                <w:b/>
                <w:bCs/>
                <w:sz w:val="18"/>
                <w:szCs w:val="18"/>
              </w:rPr>
            </w:pPr>
            <w:r>
              <w:rPr>
                <w:rFonts w:cs="Arial"/>
                <w:b/>
                <w:bCs/>
                <w:sz w:val="18"/>
                <w:szCs w:val="18"/>
              </w:rPr>
              <w:t>2,198</w:t>
            </w:r>
          </w:p>
        </w:tc>
        <w:tc>
          <w:tcPr>
            <w:tcW w:w="267" w:type="dxa"/>
            <w:tcBorders>
              <w:top w:val="nil"/>
              <w:left w:val="nil"/>
              <w:bottom w:val="nil"/>
              <w:right w:val="nil"/>
            </w:tcBorders>
            <w:shd w:val="clear" w:color="FFFFFF" w:fill="FFFFFF"/>
            <w:noWrap/>
            <w:vAlign w:val="bottom"/>
            <w:hideMark/>
          </w:tcPr>
          <w:p w14:paraId="0CE57459"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59AD3D9E" w14:textId="77777777" w:rsidR="00AB6753" w:rsidRDefault="00AB6753" w:rsidP="002D1EA4">
            <w:pPr>
              <w:spacing w:after="0"/>
              <w:jc w:val="right"/>
              <w:rPr>
                <w:rFonts w:cs="Arial"/>
                <w:sz w:val="18"/>
                <w:szCs w:val="18"/>
              </w:rPr>
            </w:pPr>
            <w:r>
              <w:rPr>
                <w:rFonts w:cs="Arial"/>
                <w:sz w:val="18"/>
                <w:szCs w:val="18"/>
              </w:rPr>
              <w:t>-</w:t>
            </w:r>
          </w:p>
        </w:tc>
      </w:tr>
      <w:tr w:rsidR="00AB6753" w14:paraId="559A120D" w14:textId="77777777" w:rsidTr="002D1EA4">
        <w:trPr>
          <w:trHeight w:val="255"/>
        </w:trPr>
        <w:tc>
          <w:tcPr>
            <w:tcW w:w="6396" w:type="dxa"/>
            <w:tcBorders>
              <w:top w:val="nil"/>
              <w:left w:val="nil"/>
              <w:bottom w:val="nil"/>
              <w:right w:val="nil"/>
            </w:tcBorders>
            <w:shd w:val="clear" w:color="FFFFFF" w:fill="FFFFFF"/>
            <w:vAlign w:val="bottom"/>
            <w:hideMark/>
          </w:tcPr>
          <w:p w14:paraId="36199E55" w14:textId="77777777" w:rsidR="00AB6753" w:rsidRDefault="00AB6753" w:rsidP="002D1EA4">
            <w:pPr>
              <w:spacing w:after="0"/>
              <w:rPr>
                <w:rFonts w:cs="Arial"/>
                <w:b/>
                <w:bCs/>
                <w:sz w:val="18"/>
                <w:szCs w:val="18"/>
              </w:rPr>
            </w:pPr>
            <w:r>
              <w:rPr>
                <w:rFonts w:cs="Arial"/>
                <w:b/>
                <w:bCs/>
                <w:sz w:val="18"/>
                <w:szCs w:val="18"/>
              </w:rPr>
              <w:t>Total rental income</w:t>
            </w:r>
          </w:p>
        </w:tc>
        <w:tc>
          <w:tcPr>
            <w:tcW w:w="1256" w:type="dxa"/>
            <w:tcBorders>
              <w:top w:val="single" w:sz="4" w:space="0" w:color="auto"/>
              <w:left w:val="nil"/>
              <w:bottom w:val="single" w:sz="4" w:space="0" w:color="auto"/>
              <w:right w:val="nil"/>
            </w:tcBorders>
            <w:shd w:val="clear" w:color="FFFFFF" w:fill="FFFFFF"/>
            <w:noWrap/>
            <w:vAlign w:val="bottom"/>
            <w:hideMark/>
          </w:tcPr>
          <w:p w14:paraId="0FDBF36E" w14:textId="77777777" w:rsidR="00AB6753" w:rsidRDefault="00AB6753" w:rsidP="002D1EA4">
            <w:pPr>
              <w:spacing w:after="0"/>
              <w:jc w:val="right"/>
              <w:rPr>
                <w:rFonts w:cs="Arial"/>
                <w:b/>
                <w:bCs/>
                <w:sz w:val="18"/>
                <w:szCs w:val="18"/>
              </w:rPr>
            </w:pPr>
            <w:r>
              <w:rPr>
                <w:rFonts w:cs="Arial"/>
                <w:b/>
                <w:bCs/>
                <w:sz w:val="18"/>
                <w:szCs w:val="18"/>
              </w:rPr>
              <w:t>2,198</w:t>
            </w:r>
          </w:p>
        </w:tc>
        <w:tc>
          <w:tcPr>
            <w:tcW w:w="267" w:type="dxa"/>
            <w:tcBorders>
              <w:top w:val="nil"/>
              <w:left w:val="nil"/>
              <w:bottom w:val="nil"/>
              <w:right w:val="nil"/>
            </w:tcBorders>
            <w:shd w:val="clear" w:color="FFFFFF" w:fill="FFFFFF"/>
            <w:noWrap/>
            <w:vAlign w:val="bottom"/>
            <w:hideMark/>
          </w:tcPr>
          <w:p w14:paraId="0416808E" w14:textId="77777777" w:rsidR="00AB6753" w:rsidRDefault="00AB6753" w:rsidP="002D1EA4">
            <w:pPr>
              <w:spacing w:after="0"/>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6E4E86E6" w14:textId="77777777" w:rsidR="00AB6753" w:rsidRDefault="00AB6753" w:rsidP="002D1EA4">
            <w:pPr>
              <w:spacing w:after="0"/>
              <w:jc w:val="right"/>
              <w:rPr>
                <w:rFonts w:cs="Arial"/>
                <w:sz w:val="18"/>
                <w:szCs w:val="18"/>
              </w:rPr>
            </w:pPr>
            <w:r>
              <w:rPr>
                <w:rFonts w:cs="Arial"/>
                <w:sz w:val="18"/>
                <w:szCs w:val="18"/>
              </w:rPr>
              <w:t>1,948</w:t>
            </w:r>
          </w:p>
        </w:tc>
      </w:tr>
    </w:tbl>
    <w:p w14:paraId="12B3572A" w14:textId="77777777" w:rsidR="00AB6753" w:rsidRDefault="00AB6753" w:rsidP="00AB6753">
      <w:pPr>
        <w:spacing w:after="0" w:line="240" w:lineRule="auto"/>
        <w:rPr>
          <w:rFonts w:eastAsiaTheme="minorEastAsia" w:cs="Arial"/>
          <w:sz w:val="18"/>
          <w:szCs w:val="16"/>
          <w:lang w:eastAsia="en-AU"/>
        </w:rPr>
      </w:pPr>
    </w:p>
    <w:p w14:paraId="0523A2F4" w14:textId="77777777" w:rsidR="00AB6753" w:rsidRDefault="00AB6753" w:rsidP="00AB6753">
      <w:pPr>
        <w:spacing w:line="240" w:lineRule="auto"/>
        <w:rPr>
          <w:rFonts w:eastAsiaTheme="minorEastAsia" w:cs="Arial"/>
          <w:sz w:val="18"/>
          <w:szCs w:val="16"/>
          <w:lang w:eastAsia="en-AU"/>
        </w:rPr>
      </w:pPr>
      <w:r>
        <w:rPr>
          <w:rFonts w:eastAsiaTheme="minorEastAsia" w:cs="Arial"/>
          <w:sz w:val="18"/>
          <w:szCs w:val="16"/>
          <w:lang w:eastAsia="en-AU"/>
        </w:rPr>
        <w:t>The department, in its capacity as lessor, has one sub-lease arrangement (2019: one arrangement) and fixed memorandum of understanding agreements with Commonwealth agencies in three tenancies (2019: two tenancies).</w:t>
      </w:r>
    </w:p>
    <w:p w14:paraId="432F2310" w14:textId="77777777" w:rsidR="00AB6753" w:rsidRDefault="00AB6753" w:rsidP="00AB6753">
      <w:pPr>
        <w:spacing w:after="0" w:line="240" w:lineRule="auto"/>
        <w:rPr>
          <w:rFonts w:eastAsiaTheme="minorEastAsia" w:cs="Arial"/>
          <w:sz w:val="18"/>
          <w:szCs w:val="16"/>
          <w:lang w:eastAsia="en-AU"/>
        </w:rPr>
      </w:pPr>
    </w:p>
    <w:tbl>
      <w:tblPr>
        <w:tblW w:w="9411" w:type="dxa"/>
        <w:tblInd w:w="80" w:type="dxa"/>
        <w:tblLayout w:type="fixed"/>
        <w:tblLook w:val="04A0" w:firstRow="1" w:lastRow="0" w:firstColumn="1" w:lastColumn="0" w:noHBand="0" w:noVBand="1"/>
        <w:tblCaption w:val="Notes to and forming part of the financial statements"/>
        <w:tblDescription w:val="Own-source revenue and gains continued"/>
      </w:tblPr>
      <w:tblGrid>
        <w:gridCol w:w="6561"/>
        <w:gridCol w:w="1288"/>
        <w:gridCol w:w="274"/>
        <w:gridCol w:w="1288"/>
      </w:tblGrid>
      <w:tr w:rsidR="00AB6753" w14:paraId="6E4C96E6" w14:textId="77777777" w:rsidTr="002D1EA4">
        <w:trPr>
          <w:trHeight w:val="255"/>
        </w:trPr>
        <w:tc>
          <w:tcPr>
            <w:tcW w:w="6396" w:type="dxa"/>
            <w:tcBorders>
              <w:top w:val="nil"/>
              <w:left w:val="nil"/>
              <w:bottom w:val="nil"/>
              <w:right w:val="nil"/>
            </w:tcBorders>
            <w:shd w:val="clear" w:color="FFFFFF" w:fill="FFFFFF"/>
            <w:noWrap/>
            <w:vAlign w:val="bottom"/>
            <w:hideMark/>
          </w:tcPr>
          <w:p w14:paraId="0260EE0A" w14:textId="77777777" w:rsidR="00AB6753" w:rsidRDefault="00AB6753" w:rsidP="002D1EA4">
            <w:pPr>
              <w:spacing w:after="0"/>
              <w:rPr>
                <w:rFonts w:cs="Arial"/>
                <w:b/>
                <w:bCs/>
                <w:sz w:val="18"/>
                <w:szCs w:val="18"/>
                <w:u w:val="single"/>
              </w:rPr>
            </w:pPr>
            <w:bookmarkStart w:id="86" w:name="Note_RRVTABLE2" w:colFirst="0" w:colLast="0"/>
            <w:r>
              <w:rPr>
                <w:rFonts w:cs="Arial"/>
                <w:b/>
                <w:bCs/>
                <w:sz w:val="18"/>
                <w:szCs w:val="18"/>
                <w:u w:val="single"/>
              </w:rPr>
              <w:t>Maturity analysis of operating lease income receivables:</w:t>
            </w:r>
          </w:p>
        </w:tc>
        <w:tc>
          <w:tcPr>
            <w:tcW w:w="1256" w:type="dxa"/>
            <w:tcBorders>
              <w:top w:val="nil"/>
              <w:left w:val="nil"/>
              <w:bottom w:val="nil"/>
              <w:right w:val="nil"/>
            </w:tcBorders>
            <w:shd w:val="clear" w:color="FFFFFF" w:fill="FFFFFF"/>
            <w:noWrap/>
            <w:vAlign w:val="bottom"/>
            <w:hideMark/>
          </w:tcPr>
          <w:p w14:paraId="5B98A536"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0A06EF93"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4721948C" w14:textId="77777777" w:rsidR="00AB6753" w:rsidRDefault="00AB6753" w:rsidP="002D1EA4">
            <w:pPr>
              <w:spacing w:after="0"/>
              <w:jc w:val="right"/>
              <w:rPr>
                <w:rFonts w:cs="Arial"/>
                <w:sz w:val="18"/>
                <w:szCs w:val="18"/>
              </w:rPr>
            </w:pPr>
            <w:r>
              <w:rPr>
                <w:rFonts w:cs="Arial"/>
                <w:sz w:val="18"/>
                <w:szCs w:val="18"/>
              </w:rPr>
              <w:t> </w:t>
            </w:r>
          </w:p>
        </w:tc>
      </w:tr>
      <w:bookmarkEnd w:id="86"/>
      <w:tr w:rsidR="00AB6753" w14:paraId="3415215F" w14:textId="77777777" w:rsidTr="002D1EA4">
        <w:trPr>
          <w:trHeight w:val="255"/>
        </w:trPr>
        <w:tc>
          <w:tcPr>
            <w:tcW w:w="6396" w:type="dxa"/>
            <w:tcBorders>
              <w:top w:val="nil"/>
              <w:left w:val="nil"/>
              <w:bottom w:val="nil"/>
              <w:right w:val="nil"/>
            </w:tcBorders>
            <w:shd w:val="clear" w:color="FFFFFF" w:fill="FFFFFF"/>
            <w:noWrap/>
            <w:vAlign w:val="bottom"/>
            <w:hideMark/>
          </w:tcPr>
          <w:p w14:paraId="0B45DFCE" w14:textId="77777777" w:rsidR="00AB6753" w:rsidRDefault="00AB6753" w:rsidP="002D1EA4">
            <w:pPr>
              <w:spacing w:after="0"/>
              <w:ind w:firstLineChars="100" w:firstLine="180"/>
              <w:rPr>
                <w:rFonts w:cs="Arial"/>
                <w:sz w:val="18"/>
                <w:szCs w:val="18"/>
              </w:rPr>
            </w:pPr>
            <w:r>
              <w:rPr>
                <w:rFonts w:cs="Arial"/>
                <w:sz w:val="18"/>
                <w:szCs w:val="18"/>
              </w:rPr>
              <w:t>Within one year</w:t>
            </w:r>
          </w:p>
        </w:tc>
        <w:tc>
          <w:tcPr>
            <w:tcW w:w="1256" w:type="dxa"/>
            <w:tcBorders>
              <w:top w:val="nil"/>
              <w:left w:val="nil"/>
              <w:bottom w:val="nil"/>
              <w:right w:val="nil"/>
            </w:tcBorders>
            <w:shd w:val="clear" w:color="FFFFFF" w:fill="FFFFFF"/>
            <w:noWrap/>
            <w:vAlign w:val="bottom"/>
            <w:hideMark/>
          </w:tcPr>
          <w:p w14:paraId="12A7AB32" w14:textId="77777777" w:rsidR="00AB6753" w:rsidRDefault="00AB6753" w:rsidP="002D1EA4">
            <w:pPr>
              <w:spacing w:after="0"/>
              <w:jc w:val="right"/>
              <w:rPr>
                <w:rFonts w:cs="Arial"/>
                <w:b/>
                <w:bCs/>
                <w:sz w:val="18"/>
                <w:szCs w:val="18"/>
              </w:rPr>
            </w:pPr>
            <w:r>
              <w:rPr>
                <w:rFonts w:cs="Arial"/>
                <w:b/>
                <w:bCs/>
                <w:sz w:val="18"/>
                <w:szCs w:val="18"/>
              </w:rPr>
              <w:t>424</w:t>
            </w:r>
          </w:p>
        </w:tc>
        <w:tc>
          <w:tcPr>
            <w:tcW w:w="267" w:type="dxa"/>
            <w:tcBorders>
              <w:top w:val="nil"/>
              <w:left w:val="nil"/>
              <w:bottom w:val="nil"/>
              <w:right w:val="nil"/>
            </w:tcBorders>
            <w:shd w:val="clear" w:color="FFFFFF" w:fill="FFFFFF"/>
            <w:noWrap/>
            <w:vAlign w:val="bottom"/>
            <w:hideMark/>
          </w:tcPr>
          <w:p w14:paraId="455F49F9"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73A5A0C2" w14:textId="77777777" w:rsidR="00AB6753" w:rsidRDefault="00AB6753" w:rsidP="002D1EA4">
            <w:pPr>
              <w:spacing w:after="0"/>
              <w:jc w:val="right"/>
              <w:rPr>
                <w:rFonts w:cs="Arial"/>
                <w:sz w:val="18"/>
                <w:szCs w:val="18"/>
              </w:rPr>
            </w:pPr>
            <w:r>
              <w:rPr>
                <w:rFonts w:cs="Arial"/>
                <w:sz w:val="18"/>
                <w:szCs w:val="18"/>
              </w:rPr>
              <w:t>884</w:t>
            </w:r>
          </w:p>
        </w:tc>
      </w:tr>
      <w:tr w:rsidR="00AB6753" w14:paraId="723148B3" w14:textId="77777777" w:rsidTr="002D1EA4">
        <w:trPr>
          <w:trHeight w:val="255"/>
        </w:trPr>
        <w:tc>
          <w:tcPr>
            <w:tcW w:w="6396" w:type="dxa"/>
            <w:tcBorders>
              <w:top w:val="nil"/>
              <w:left w:val="nil"/>
              <w:bottom w:val="nil"/>
              <w:right w:val="nil"/>
            </w:tcBorders>
            <w:shd w:val="clear" w:color="FFFFFF" w:fill="FFFFFF"/>
            <w:noWrap/>
            <w:vAlign w:val="bottom"/>
            <w:hideMark/>
          </w:tcPr>
          <w:p w14:paraId="29AE0CC2" w14:textId="77777777" w:rsidR="00AB6753" w:rsidRDefault="00AB6753" w:rsidP="002D1EA4">
            <w:pPr>
              <w:spacing w:after="0"/>
              <w:ind w:firstLineChars="100" w:firstLine="180"/>
              <w:rPr>
                <w:rFonts w:cs="Arial"/>
                <w:sz w:val="18"/>
                <w:szCs w:val="18"/>
              </w:rPr>
            </w:pPr>
            <w:r>
              <w:rPr>
                <w:rFonts w:cs="Arial"/>
                <w:sz w:val="18"/>
                <w:szCs w:val="18"/>
              </w:rPr>
              <w:t>One to two years</w:t>
            </w:r>
          </w:p>
        </w:tc>
        <w:tc>
          <w:tcPr>
            <w:tcW w:w="1256" w:type="dxa"/>
            <w:tcBorders>
              <w:top w:val="nil"/>
              <w:left w:val="nil"/>
              <w:bottom w:val="nil"/>
              <w:right w:val="nil"/>
            </w:tcBorders>
            <w:shd w:val="clear" w:color="FFFFFF" w:fill="FFFFFF"/>
            <w:noWrap/>
            <w:vAlign w:val="bottom"/>
            <w:hideMark/>
          </w:tcPr>
          <w:p w14:paraId="152C40C0" w14:textId="77777777" w:rsidR="00AB6753" w:rsidRDefault="00AB6753" w:rsidP="002D1EA4">
            <w:pPr>
              <w:spacing w:after="0"/>
              <w:jc w:val="right"/>
              <w:rPr>
                <w:rFonts w:cs="Arial"/>
                <w:b/>
                <w:bCs/>
                <w:sz w:val="18"/>
                <w:szCs w:val="18"/>
              </w:rPr>
            </w:pPr>
            <w:r>
              <w:rPr>
                <w:rFonts w:cs="Arial"/>
                <w:b/>
                <w:bCs/>
                <w:sz w:val="18"/>
                <w:szCs w:val="18"/>
              </w:rPr>
              <w:t>145</w:t>
            </w:r>
          </w:p>
        </w:tc>
        <w:tc>
          <w:tcPr>
            <w:tcW w:w="267" w:type="dxa"/>
            <w:tcBorders>
              <w:top w:val="nil"/>
              <w:left w:val="nil"/>
              <w:bottom w:val="nil"/>
              <w:right w:val="nil"/>
            </w:tcBorders>
            <w:shd w:val="clear" w:color="FFFFFF" w:fill="FFFFFF"/>
            <w:noWrap/>
            <w:vAlign w:val="bottom"/>
            <w:hideMark/>
          </w:tcPr>
          <w:p w14:paraId="5DBCCA28"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2EA45A84" w14:textId="77777777" w:rsidR="00AB6753" w:rsidRDefault="00AB6753" w:rsidP="002D1EA4">
            <w:pPr>
              <w:spacing w:after="0"/>
              <w:jc w:val="right"/>
              <w:rPr>
                <w:rFonts w:cs="Arial"/>
                <w:sz w:val="18"/>
                <w:szCs w:val="18"/>
              </w:rPr>
            </w:pPr>
            <w:r>
              <w:rPr>
                <w:rFonts w:cs="Arial"/>
                <w:sz w:val="18"/>
                <w:szCs w:val="18"/>
              </w:rPr>
              <w:t>368</w:t>
            </w:r>
          </w:p>
        </w:tc>
      </w:tr>
      <w:tr w:rsidR="00AB6753" w14:paraId="79038E30" w14:textId="77777777" w:rsidTr="002D1EA4">
        <w:trPr>
          <w:trHeight w:val="255"/>
        </w:trPr>
        <w:tc>
          <w:tcPr>
            <w:tcW w:w="6396" w:type="dxa"/>
            <w:tcBorders>
              <w:top w:val="nil"/>
              <w:left w:val="nil"/>
              <w:bottom w:val="nil"/>
              <w:right w:val="nil"/>
            </w:tcBorders>
            <w:shd w:val="clear" w:color="FFFFFF" w:fill="FFFFFF"/>
            <w:noWrap/>
            <w:vAlign w:val="bottom"/>
            <w:hideMark/>
          </w:tcPr>
          <w:p w14:paraId="67BEF78E" w14:textId="77777777" w:rsidR="00AB6753" w:rsidRDefault="00AB6753" w:rsidP="002D1EA4">
            <w:pPr>
              <w:spacing w:after="0"/>
              <w:ind w:firstLineChars="100" w:firstLine="180"/>
              <w:rPr>
                <w:rFonts w:cs="Arial"/>
                <w:sz w:val="18"/>
                <w:szCs w:val="18"/>
              </w:rPr>
            </w:pPr>
            <w:r>
              <w:rPr>
                <w:rFonts w:cs="Arial"/>
                <w:sz w:val="18"/>
                <w:szCs w:val="18"/>
              </w:rPr>
              <w:t>Two to three years</w:t>
            </w:r>
          </w:p>
        </w:tc>
        <w:tc>
          <w:tcPr>
            <w:tcW w:w="1256" w:type="dxa"/>
            <w:tcBorders>
              <w:top w:val="nil"/>
              <w:left w:val="nil"/>
              <w:bottom w:val="nil"/>
              <w:right w:val="nil"/>
            </w:tcBorders>
            <w:shd w:val="clear" w:color="FFFFFF" w:fill="FFFFFF"/>
            <w:noWrap/>
            <w:vAlign w:val="bottom"/>
            <w:hideMark/>
          </w:tcPr>
          <w:p w14:paraId="242BFE98" w14:textId="77777777" w:rsidR="00AB6753" w:rsidRDefault="00AB6753" w:rsidP="002D1EA4">
            <w:pPr>
              <w:spacing w:after="0"/>
              <w:jc w:val="right"/>
              <w:rPr>
                <w:rFonts w:cs="Arial"/>
                <w:b/>
                <w:bCs/>
                <w:sz w:val="18"/>
                <w:szCs w:val="18"/>
              </w:rPr>
            </w:pPr>
            <w:r>
              <w:rPr>
                <w:rFonts w:cs="Arial"/>
                <w:b/>
                <w:bCs/>
                <w:sz w:val="18"/>
                <w:szCs w:val="18"/>
              </w:rPr>
              <w:t>146</w:t>
            </w:r>
          </w:p>
        </w:tc>
        <w:tc>
          <w:tcPr>
            <w:tcW w:w="267" w:type="dxa"/>
            <w:tcBorders>
              <w:top w:val="nil"/>
              <w:left w:val="nil"/>
              <w:bottom w:val="nil"/>
              <w:right w:val="nil"/>
            </w:tcBorders>
            <w:shd w:val="clear" w:color="FFFFFF" w:fill="FFFFFF"/>
            <w:noWrap/>
            <w:vAlign w:val="bottom"/>
            <w:hideMark/>
          </w:tcPr>
          <w:p w14:paraId="46D2D84C"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21C0B59A" w14:textId="77777777" w:rsidR="00AB6753" w:rsidRDefault="00AB6753" w:rsidP="002D1EA4">
            <w:pPr>
              <w:spacing w:after="0"/>
              <w:jc w:val="right"/>
              <w:rPr>
                <w:rFonts w:cs="Arial"/>
                <w:sz w:val="18"/>
                <w:szCs w:val="18"/>
              </w:rPr>
            </w:pPr>
            <w:r>
              <w:rPr>
                <w:rFonts w:cs="Arial"/>
                <w:sz w:val="18"/>
                <w:szCs w:val="18"/>
              </w:rPr>
              <w:t>4</w:t>
            </w:r>
          </w:p>
        </w:tc>
      </w:tr>
      <w:tr w:rsidR="00AB6753" w14:paraId="6D47010F" w14:textId="77777777" w:rsidTr="002D1EA4">
        <w:trPr>
          <w:trHeight w:val="255"/>
        </w:trPr>
        <w:tc>
          <w:tcPr>
            <w:tcW w:w="6396" w:type="dxa"/>
            <w:tcBorders>
              <w:top w:val="nil"/>
              <w:left w:val="nil"/>
              <w:bottom w:val="nil"/>
              <w:right w:val="nil"/>
            </w:tcBorders>
            <w:shd w:val="clear" w:color="FFFFFF" w:fill="FFFFFF"/>
            <w:noWrap/>
            <w:vAlign w:val="bottom"/>
            <w:hideMark/>
          </w:tcPr>
          <w:p w14:paraId="1872BEF3" w14:textId="77777777" w:rsidR="00AB6753" w:rsidRDefault="00AB6753" w:rsidP="002D1EA4">
            <w:pPr>
              <w:spacing w:after="0"/>
              <w:ind w:firstLineChars="100" w:firstLine="180"/>
              <w:rPr>
                <w:rFonts w:cs="Arial"/>
                <w:sz w:val="18"/>
                <w:szCs w:val="18"/>
              </w:rPr>
            </w:pPr>
            <w:r>
              <w:rPr>
                <w:rFonts w:cs="Arial"/>
                <w:sz w:val="18"/>
                <w:szCs w:val="18"/>
              </w:rPr>
              <w:t>More than three years</w:t>
            </w:r>
          </w:p>
        </w:tc>
        <w:tc>
          <w:tcPr>
            <w:tcW w:w="1256" w:type="dxa"/>
            <w:tcBorders>
              <w:top w:val="nil"/>
              <w:left w:val="nil"/>
              <w:bottom w:val="nil"/>
              <w:right w:val="nil"/>
            </w:tcBorders>
            <w:shd w:val="clear" w:color="FFFFFF" w:fill="FFFFFF"/>
            <w:noWrap/>
            <w:vAlign w:val="bottom"/>
            <w:hideMark/>
          </w:tcPr>
          <w:p w14:paraId="05143F55" w14:textId="77777777" w:rsidR="00AB6753" w:rsidRDefault="00AB6753" w:rsidP="002D1EA4">
            <w:pPr>
              <w:spacing w:after="0"/>
              <w:jc w:val="right"/>
              <w:rPr>
                <w:rFonts w:cs="Arial"/>
                <w:b/>
                <w:bCs/>
                <w:sz w:val="18"/>
                <w:szCs w:val="18"/>
              </w:rPr>
            </w:pPr>
            <w:r>
              <w:rPr>
                <w:rFonts w:cs="Arial"/>
                <w:b/>
                <w:bCs/>
                <w:sz w:val="18"/>
                <w:szCs w:val="18"/>
              </w:rPr>
              <w:t>418</w:t>
            </w:r>
          </w:p>
        </w:tc>
        <w:tc>
          <w:tcPr>
            <w:tcW w:w="267" w:type="dxa"/>
            <w:tcBorders>
              <w:top w:val="nil"/>
              <w:left w:val="nil"/>
              <w:bottom w:val="nil"/>
              <w:right w:val="nil"/>
            </w:tcBorders>
            <w:shd w:val="clear" w:color="FFFFFF" w:fill="FFFFFF"/>
            <w:noWrap/>
            <w:vAlign w:val="bottom"/>
            <w:hideMark/>
          </w:tcPr>
          <w:p w14:paraId="74CE4531"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2841542D" w14:textId="77777777" w:rsidR="00AB6753" w:rsidRDefault="00AB6753" w:rsidP="002D1EA4">
            <w:pPr>
              <w:spacing w:after="0"/>
              <w:jc w:val="right"/>
              <w:rPr>
                <w:rFonts w:cs="Arial"/>
                <w:sz w:val="18"/>
                <w:szCs w:val="18"/>
              </w:rPr>
            </w:pPr>
            <w:r>
              <w:rPr>
                <w:rFonts w:cs="Arial"/>
                <w:sz w:val="18"/>
                <w:szCs w:val="18"/>
              </w:rPr>
              <w:t>9</w:t>
            </w:r>
          </w:p>
        </w:tc>
      </w:tr>
      <w:tr w:rsidR="00AB6753" w14:paraId="38E9B150" w14:textId="77777777" w:rsidTr="002D1EA4">
        <w:trPr>
          <w:trHeight w:val="255"/>
        </w:trPr>
        <w:tc>
          <w:tcPr>
            <w:tcW w:w="6396" w:type="dxa"/>
            <w:tcBorders>
              <w:top w:val="nil"/>
              <w:left w:val="nil"/>
              <w:bottom w:val="nil"/>
              <w:right w:val="nil"/>
            </w:tcBorders>
            <w:shd w:val="clear" w:color="FFFFFF" w:fill="FFFFFF"/>
            <w:vAlign w:val="bottom"/>
            <w:hideMark/>
          </w:tcPr>
          <w:p w14:paraId="58009DED" w14:textId="77777777" w:rsidR="00AB6753" w:rsidRDefault="00AB6753" w:rsidP="002D1EA4">
            <w:pPr>
              <w:spacing w:after="0"/>
              <w:rPr>
                <w:rFonts w:cs="Arial"/>
                <w:b/>
                <w:bCs/>
                <w:sz w:val="18"/>
                <w:szCs w:val="18"/>
              </w:rPr>
            </w:pPr>
            <w:r>
              <w:rPr>
                <w:rFonts w:cs="Arial"/>
                <w:b/>
                <w:bCs/>
                <w:sz w:val="18"/>
                <w:szCs w:val="18"/>
              </w:rPr>
              <w:t>Total undiscounted lease payments receivable</w:t>
            </w:r>
          </w:p>
        </w:tc>
        <w:tc>
          <w:tcPr>
            <w:tcW w:w="1256" w:type="dxa"/>
            <w:tcBorders>
              <w:top w:val="single" w:sz="4" w:space="0" w:color="auto"/>
              <w:left w:val="nil"/>
              <w:bottom w:val="single" w:sz="4" w:space="0" w:color="auto"/>
              <w:right w:val="nil"/>
            </w:tcBorders>
            <w:shd w:val="clear" w:color="FFFFFF" w:fill="FFFFFF"/>
            <w:noWrap/>
            <w:vAlign w:val="bottom"/>
            <w:hideMark/>
          </w:tcPr>
          <w:p w14:paraId="2AB76225" w14:textId="77777777" w:rsidR="00AB6753" w:rsidRDefault="00AB6753" w:rsidP="002D1EA4">
            <w:pPr>
              <w:spacing w:after="0"/>
              <w:jc w:val="right"/>
              <w:rPr>
                <w:rFonts w:cs="Arial"/>
                <w:b/>
                <w:bCs/>
                <w:sz w:val="18"/>
                <w:szCs w:val="18"/>
              </w:rPr>
            </w:pPr>
            <w:r>
              <w:rPr>
                <w:rFonts w:cs="Arial"/>
                <w:b/>
                <w:bCs/>
                <w:sz w:val="18"/>
                <w:szCs w:val="18"/>
              </w:rPr>
              <w:t>1,133</w:t>
            </w:r>
          </w:p>
        </w:tc>
        <w:tc>
          <w:tcPr>
            <w:tcW w:w="267" w:type="dxa"/>
            <w:tcBorders>
              <w:top w:val="nil"/>
              <w:left w:val="nil"/>
              <w:bottom w:val="nil"/>
              <w:right w:val="nil"/>
            </w:tcBorders>
            <w:shd w:val="clear" w:color="FFFFFF" w:fill="FFFFFF"/>
            <w:noWrap/>
            <w:vAlign w:val="bottom"/>
            <w:hideMark/>
          </w:tcPr>
          <w:p w14:paraId="583CDF23" w14:textId="77777777" w:rsidR="00AB6753" w:rsidRDefault="00AB6753" w:rsidP="002D1EA4">
            <w:pPr>
              <w:spacing w:after="0"/>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3249164F" w14:textId="77777777" w:rsidR="00AB6753" w:rsidRDefault="00AB6753" w:rsidP="002D1EA4">
            <w:pPr>
              <w:spacing w:after="0"/>
              <w:jc w:val="right"/>
              <w:rPr>
                <w:rFonts w:cs="Arial"/>
                <w:sz w:val="18"/>
                <w:szCs w:val="18"/>
              </w:rPr>
            </w:pPr>
            <w:r>
              <w:rPr>
                <w:rFonts w:cs="Arial"/>
                <w:sz w:val="18"/>
                <w:szCs w:val="18"/>
              </w:rPr>
              <w:t>1,265</w:t>
            </w:r>
          </w:p>
        </w:tc>
      </w:tr>
    </w:tbl>
    <w:p w14:paraId="78441104" w14:textId="77777777" w:rsidR="00AB6753" w:rsidRDefault="00AB6753" w:rsidP="00AB6753">
      <w:pPr>
        <w:spacing w:after="0" w:line="240" w:lineRule="auto"/>
        <w:rPr>
          <w:rFonts w:eastAsiaTheme="minorEastAsia" w:cs="Arial"/>
          <w:sz w:val="18"/>
          <w:szCs w:val="16"/>
          <w:lang w:eastAsia="en-AU"/>
        </w:rPr>
      </w:pPr>
    </w:p>
    <w:tbl>
      <w:tblPr>
        <w:tblW w:w="9411" w:type="dxa"/>
        <w:tblInd w:w="80" w:type="dxa"/>
        <w:tblLayout w:type="fixed"/>
        <w:tblLook w:val="04A0" w:firstRow="1" w:lastRow="0" w:firstColumn="1" w:lastColumn="0" w:noHBand="0" w:noVBand="1"/>
        <w:tblCaption w:val="Notes to and forming part of the financial statements"/>
        <w:tblDescription w:val="Own-source revenue and gains continued"/>
      </w:tblPr>
      <w:tblGrid>
        <w:gridCol w:w="6561"/>
        <w:gridCol w:w="1288"/>
        <w:gridCol w:w="274"/>
        <w:gridCol w:w="1288"/>
      </w:tblGrid>
      <w:tr w:rsidR="00AB6753" w14:paraId="0EBF99D9" w14:textId="77777777" w:rsidTr="002D1EA4">
        <w:trPr>
          <w:trHeight w:val="255"/>
        </w:trPr>
        <w:tc>
          <w:tcPr>
            <w:tcW w:w="6396" w:type="dxa"/>
            <w:tcBorders>
              <w:top w:val="nil"/>
              <w:left w:val="nil"/>
              <w:bottom w:val="nil"/>
              <w:right w:val="nil"/>
            </w:tcBorders>
            <w:shd w:val="clear" w:color="FFFFFF" w:fill="FFFFFF"/>
            <w:noWrap/>
            <w:vAlign w:val="bottom"/>
            <w:hideMark/>
          </w:tcPr>
          <w:p w14:paraId="664DC72E" w14:textId="77777777" w:rsidR="00AB6753" w:rsidRDefault="00AB6753" w:rsidP="002D1EA4">
            <w:pPr>
              <w:spacing w:after="0"/>
              <w:rPr>
                <w:rFonts w:cs="Arial"/>
                <w:b/>
                <w:bCs/>
                <w:sz w:val="18"/>
                <w:szCs w:val="18"/>
              </w:rPr>
            </w:pPr>
            <w:bookmarkStart w:id="87" w:name="Note_GSATABLE1" w:colFirst="0" w:colLast="0"/>
            <w:r>
              <w:rPr>
                <w:rFonts w:cs="Arial"/>
                <w:b/>
                <w:bCs/>
                <w:sz w:val="18"/>
                <w:szCs w:val="18"/>
              </w:rPr>
              <w:t>Gains</w:t>
            </w:r>
          </w:p>
        </w:tc>
        <w:tc>
          <w:tcPr>
            <w:tcW w:w="1256" w:type="dxa"/>
            <w:tcBorders>
              <w:top w:val="nil"/>
              <w:left w:val="nil"/>
              <w:bottom w:val="nil"/>
              <w:right w:val="nil"/>
            </w:tcBorders>
            <w:shd w:val="clear" w:color="FFFFFF" w:fill="FFFFFF"/>
            <w:noWrap/>
            <w:vAlign w:val="bottom"/>
            <w:hideMark/>
          </w:tcPr>
          <w:p w14:paraId="50DF0BF2" w14:textId="77777777" w:rsidR="00AB6753" w:rsidRDefault="00AB6753" w:rsidP="002D1EA4">
            <w:pPr>
              <w:spacing w:after="0"/>
              <w:jc w:val="right"/>
              <w:rPr>
                <w:rFonts w:cs="Arial"/>
                <w:b/>
                <w:bCs/>
                <w:sz w:val="18"/>
                <w:szCs w:val="18"/>
              </w:rPr>
            </w:pPr>
            <w:r>
              <w:rPr>
                <w:rFonts w:cs="Arial"/>
                <w:b/>
                <w:bCs/>
                <w:sz w:val="18"/>
                <w:szCs w:val="18"/>
              </w:rPr>
              <w:t> </w:t>
            </w:r>
          </w:p>
        </w:tc>
        <w:tc>
          <w:tcPr>
            <w:tcW w:w="267" w:type="dxa"/>
            <w:tcBorders>
              <w:top w:val="nil"/>
              <w:left w:val="nil"/>
              <w:bottom w:val="nil"/>
              <w:right w:val="nil"/>
            </w:tcBorders>
            <w:shd w:val="clear" w:color="FFFFFF" w:fill="FFFFFF"/>
            <w:noWrap/>
            <w:vAlign w:val="bottom"/>
            <w:hideMark/>
          </w:tcPr>
          <w:p w14:paraId="17DA33C2"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29006215" w14:textId="77777777" w:rsidR="00AB6753" w:rsidRDefault="00AB6753" w:rsidP="002D1EA4">
            <w:pPr>
              <w:spacing w:after="0"/>
              <w:jc w:val="right"/>
              <w:rPr>
                <w:rFonts w:cs="Arial"/>
                <w:sz w:val="18"/>
                <w:szCs w:val="18"/>
              </w:rPr>
            </w:pPr>
            <w:r>
              <w:rPr>
                <w:rFonts w:cs="Arial"/>
                <w:sz w:val="18"/>
                <w:szCs w:val="18"/>
              </w:rPr>
              <w:t> </w:t>
            </w:r>
          </w:p>
        </w:tc>
      </w:tr>
      <w:bookmarkEnd w:id="87"/>
      <w:tr w:rsidR="00AB6753" w14:paraId="6B0077A1" w14:textId="77777777" w:rsidTr="002D1EA4">
        <w:trPr>
          <w:trHeight w:val="255"/>
        </w:trPr>
        <w:tc>
          <w:tcPr>
            <w:tcW w:w="6396" w:type="dxa"/>
            <w:tcBorders>
              <w:top w:val="nil"/>
              <w:left w:val="nil"/>
              <w:bottom w:val="nil"/>
              <w:right w:val="nil"/>
            </w:tcBorders>
            <w:shd w:val="clear" w:color="FFFFFF" w:fill="FFFFFF"/>
            <w:noWrap/>
            <w:vAlign w:val="bottom"/>
            <w:hideMark/>
          </w:tcPr>
          <w:p w14:paraId="677DC19E"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5E79B58B" w14:textId="77777777" w:rsidR="00AB6753" w:rsidRDefault="00AB6753" w:rsidP="002D1EA4">
            <w:pPr>
              <w:spacing w:after="0"/>
              <w:jc w:val="right"/>
              <w:rPr>
                <w:rFonts w:cs="Arial"/>
                <w:b/>
                <w:bCs/>
                <w:sz w:val="18"/>
                <w:szCs w:val="18"/>
              </w:rPr>
            </w:pPr>
            <w:r>
              <w:rPr>
                <w:rFonts w:cs="Arial"/>
                <w:b/>
                <w:bCs/>
                <w:sz w:val="18"/>
                <w:szCs w:val="18"/>
              </w:rPr>
              <w:t> </w:t>
            </w:r>
          </w:p>
        </w:tc>
        <w:tc>
          <w:tcPr>
            <w:tcW w:w="267" w:type="dxa"/>
            <w:tcBorders>
              <w:top w:val="nil"/>
              <w:left w:val="nil"/>
              <w:bottom w:val="nil"/>
              <w:right w:val="nil"/>
            </w:tcBorders>
            <w:shd w:val="clear" w:color="FFFFFF" w:fill="FFFFFF"/>
            <w:vAlign w:val="bottom"/>
            <w:hideMark/>
          </w:tcPr>
          <w:p w14:paraId="7E368BF4" w14:textId="77777777" w:rsidR="00AB6753" w:rsidRDefault="00AB6753" w:rsidP="002D1EA4">
            <w:pPr>
              <w:spacing w:after="0"/>
              <w:jc w:val="right"/>
              <w:rPr>
                <w:rFonts w:cs="Arial"/>
                <w:b/>
                <w:bCs/>
                <w:sz w:val="18"/>
                <w:szCs w:val="18"/>
              </w:rPr>
            </w:pPr>
            <w:r>
              <w:rPr>
                <w:rFonts w:cs="Arial"/>
                <w:b/>
                <w:bCs/>
                <w:sz w:val="18"/>
                <w:szCs w:val="18"/>
              </w:rPr>
              <w:t> </w:t>
            </w:r>
          </w:p>
        </w:tc>
        <w:tc>
          <w:tcPr>
            <w:tcW w:w="1256" w:type="dxa"/>
            <w:tcBorders>
              <w:top w:val="nil"/>
              <w:left w:val="nil"/>
              <w:bottom w:val="nil"/>
              <w:right w:val="nil"/>
            </w:tcBorders>
            <w:shd w:val="clear" w:color="FFFFFF" w:fill="FFFFFF"/>
            <w:vAlign w:val="bottom"/>
            <w:hideMark/>
          </w:tcPr>
          <w:p w14:paraId="0DA41684" w14:textId="77777777" w:rsidR="00AB6753" w:rsidRDefault="00AB6753" w:rsidP="002D1EA4">
            <w:pPr>
              <w:spacing w:after="0"/>
              <w:jc w:val="right"/>
              <w:rPr>
                <w:rFonts w:cs="Arial"/>
                <w:b/>
                <w:bCs/>
                <w:sz w:val="18"/>
                <w:szCs w:val="18"/>
              </w:rPr>
            </w:pPr>
            <w:r>
              <w:rPr>
                <w:rFonts w:cs="Arial"/>
                <w:b/>
                <w:bCs/>
                <w:sz w:val="18"/>
                <w:szCs w:val="18"/>
              </w:rPr>
              <w:t> </w:t>
            </w:r>
          </w:p>
        </w:tc>
      </w:tr>
      <w:tr w:rsidR="00AB6753" w14:paraId="79BF827D" w14:textId="77777777" w:rsidTr="002D1EA4">
        <w:trPr>
          <w:trHeight w:val="255"/>
        </w:trPr>
        <w:tc>
          <w:tcPr>
            <w:tcW w:w="6396" w:type="dxa"/>
            <w:tcBorders>
              <w:top w:val="nil"/>
              <w:left w:val="nil"/>
              <w:bottom w:val="nil"/>
              <w:right w:val="nil"/>
            </w:tcBorders>
            <w:shd w:val="clear" w:color="FFFFFF" w:fill="FFFFFF"/>
            <w:noWrap/>
            <w:vAlign w:val="bottom"/>
            <w:hideMark/>
          </w:tcPr>
          <w:p w14:paraId="0BFA45BD" w14:textId="77777777" w:rsidR="00AB6753" w:rsidRDefault="00AB6753" w:rsidP="002D1EA4">
            <w:pPr>
              <w:spacing w:after="0"/>
              <w:rPr>
                <w:rFonts w:cs="Arial"/>
                <w:b/>
                <w:bCs/>
                <w:sz w:val="18"/>
                <w:szCs w:val="18"/>
                <w:u w:val="single"/>
              </w:rPr>
            </w:pPr>
            <w:r>
              <w:rPr>
                <w:rFonts w:cs="Arial"/>
                <w:b/>
                <w:bCs/>
                <w:sz w:val="18"/>
                <w:szCs w:val="18"/>
                <w:u w:val="single"/>
              </w:rPr>
              <w:t>Note 1.2D: Gains from Sale of Assets</w:t>
            </w:r>
          </w:p>
        </w:tc>
        <w:tc>
          <w:tcPr>
            <w:tcW w:w="1256" w:type="dxa"/>
            <w:tcBorders>
              <w:top w:val="nil"/>
              <w:left w:val="nil"/>
              <w:bottom w:val="nil"/>
              <w:right w:val="nil"/>
            </w:tcBorders>
            <w:shd w:val="clear" w:color="FFFFFF" w:fill="FFFFFF"/>
            <w:noWrap/>
            <w:vAlign w:val="bottom"/>
            <w:hideMark/>
          </w:tcPr>
          <w:p w14:paraId="1B522D04"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3A95C5A0"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1ECB566E" w14:textId="77777777" w:rsidR="00AB6753" w:rsidRDefault="00AB6753" w:rsidP="002D1EA4">
            <w:pPr>
              <w:spacing w:after="0"/>
              <w:jc w:val="right"/>
              <w:rPr>
                <w:rFonts w:cs="Arial"/>
                <w:sz w:val="18"/>
                <w:szCs w:val="18"/>
              </w:rPr>
            </w:pPr>
            <w:r>
              <w:rPr>
                <w:rFonts w:cs="Arial"/>
                <w:sz w:val="18"/>
                <w:szCs w:val="18"/>
              </w:rPr>
              <w:t> </w:t>
            </w:r>
          </w:p>
        </w:tc>
      </w:tr>
      <w:tr w:rsidR="00AB6753" w14:paraId="759E469A" w14:textId="77777777" w:rsidTr="002D1EA4">
        <w:trPr>
          <w:trHeight w:val="255"/>
        </w:trPr>
        <w:tc>
          <w:tcPr>
            <w:tcW w:w="6396" w:type="dxa"/>
            <w:tcBorders>
              <w:top w:val="nil"/>
              <w:left w:val="nil"/>
              <w:bottom w:val="nil"/>
              <w:right w:val="nil"/>
            </w:tcBorders>
            <w:shd w:val="clear" w:color="FFFFFF" w:fill="FFFFFF"/>
            <w:vAlign w:val="bottom"/>
            <w:hideMark/>
          </w:tcPr>
          <w:p w14:paraId="42FDEF05" w14:textId="77777777" w:rsidR="00AB6753" w:rsidRDefault="00AB6753" w:rsidP="002D1EA4">
            <w:pPr>
              <w:spacing w:after="0"/>
              <w:rPr>
                <w:rFonts w:cs="Arial"/>
                <w:sz w:val="18"/>
                <w:szCs w:val="18"/>
              </w:rPr>
            </w:pPr>
            <w:r>
              <w:rPr>
                <w:rFonts w:cs="Arial"/>
                <w:sz w:val="18"/>
                <w:szCs w:val="18"/>
              </w:rPr>
              <w:t>Property, plant and equipment:</w:t>
            </w:r>
          </w:p>
        </w:tc>
        <w:tc>
          <w:tcPr>
            <w:tcW w:w="1256" w:type="dxa"/>
            <w:tcBorders>
              <w:top w:val="nil"/>
              <w:left w:val="nil"/>
              <w:bottom w:val="nil"/>
              <w:right w:val="nil"/>
            </w:tcBorders>
            <w:shd w:val="clear" w:color="FFFFFF" w:fill="FFFFFF"/>
            <w:noWrap/>
            <w:vAlign w:val="bottom"/>
            <w:hideMark/>
          </w:tcPr>
          <w:p w14:paraId="22C7652A"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5680C7A2"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257787B7" w14:textId="77777777" w:rsidR="00AB6753" w:rsidRDefault="00AB6753" w:rsidP="002D1EA4">
            <w:pPr>
              <w:spacing w:after="0"/>
              <w:jc w:val="right"/>
              <w:rPr>
                <w:rFonts w:cs="Arial"/>
                <w:sz w:val="18"/>
                <w:szCs w:val="18"/>
              </w:rPr>
            </w:pPr>
            <w:r>
              <w:rPr>
                <w:rFonts w:cs="Arial"/>
                <w:sz w:val="18"/>
                <w:szCs w:val="18"/>
              </w:rPr>
              <w:t> </w:t>
            </w:r>
          </w:p>
        </w:tc>
      </w:tr>
      <w:tr w:rsidR="00AB6753" w14:paraId="2E8E6680" w14:textId="77777777" w:rsidTr="002D1EA4">
        <w:trPr>
          <w:trHeight w:val="255"/>
        </w:trPr>
        <w:tc>
          <w:tcPr>
            <w:tcW w:w="6396" w:type="dxa"/>
            <w:tcBorders>
              <w:top w:val="nil"/>
              <w:left w:val="nil"/>
              <w:bottom w:val="nil"/>
              <w:right w:val="nil"/>
            </w:tcBorders>
            <w:shd w:val="clear" w:color="FFFFFF" w:fill="FFFFFF"/>
            <w:noWrap/>
            <w:vAlign w:val="bottom"/>
            <w:hideMark/>
          </w:tcPr>
          <w:p w14:paraId="54077AF4" w14:textId="77777777" w:rsidR="00AB6753" w:rsidRDefault="00AB6753" w:rsidP="002D1EA4">
            <w:pPr>
              <w:spacing w:after="0"/>
              <w:ind w:firstLineChars="100" w:firstLine="180"/>
              <w:rPr>
                <w:rFonts w:cs="Arial"/>
                <w:sz w:val="18"/>
                <w:szCs w:val="18"/>
              </w:rPr>
            </w:pPr>
            <w:r>
              <w:rPr>
                <w:rFonts w:cs="Arial"/>
                <w:sz w:val="18"/>
                <w:szCs w:val="18"/>
              </w:rPr>
              <w:t>Proceeds from sale</w:t>
            </w:r>
          </w:p>
        </w:tc>
        <w:tc>
          <w:tcPr>
            <w:tcW w:w="1256" w:type="dxa"/>
            <w:tcBorders>
              <w:top w:val="nil"/>
              <w:left w:val="nil"/>
              <w:bottom w:val="nil"/>
              <w:right w:val="nil"/>
            </w:tcBorders>
            <w:shd w:val="clear" w:color="FFFFFF" w:fill="FFFFFF"/>
            <w:noWrap/>
            <w:vAlign w:val="bottom"/>
            <w:hideMark/>
          </w:tcPr>
          <w:p w14:paraId="3E04C9F8" w14:textId="77777777" w:rsidR="00AB6753" w:rsidRDefault="00AB6753" w:rsidP="002D1EA4">
            <w:pPr>
              <w:spacing w:after="0"/>
              <w:jc w:val="right"/>
              <w:rPr>
                <w:rFonts w:cs="Arial"/>
                <w:b/>
                <w:bCs/>
                <w:sz w:val="18"/>
                <w:szCs w:val="18"/>
              </w:rPr>
            </w:pPr>
            <w:r>
              <w:rPr>
                <w:rFonts w:cs="Arial"/>
                <w:b/>
                <w:bCs/>
                <w:sz w:val="18"/>
                <w:szCs w:val="18"/>
              </w:rPr>
              <w:t>3</w:t>
            </w:r>
          </w:p>
        </w:tc>
        <w:tc>
          <w:tcPr>
            <w:tcW w:w="267" w:type="dxa"/>
            <w:tcBorders>
              <w:top w:val="nil"/>
              <w:left w:val="nil"/>
              <w:bottom w:val="nil"/>
              <w:right w:val="nil"/>
            </w:tcBorders>
            <w:shd w:val="clear" w:color="FFFFFF" w:fill="FFFFFF"/>
            <w:noWrap/>
            <w:vAlign w:val="bottom"/>
            <w:hideMark/>
          </w:tcPr>
          <w:p w14:paraId="58C4F513"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16FACCC5" w14:textId="77777777" w:rsidR="00AB6753" w:rsidRDefault="00AB6753" w:rsidP="002D1EA4">
            <w:pPr>
              <w:spacing w:after="0"/>
              <w:jc w:val="right"/>
              <w:rPr>
                <w:rFonts w:cs="Arial"/>
                <w:sz w:val="18"/>
                <w:szCs w:val="18"/>
              </w:rPr>
            </w:pPr>
            <w:r>
              <w:rPr>
                <w:rFonts w:cs="Arial"/>
                <w:sz w:val="18"/>
                <w:szCs w:val="18"/>
              </w:rPr>
              <w:t>299</w:t>
            </w:r>
          </w:p>
        </w:tc>
      </w:tr>
      <w:tr w:rsidR="00AB6753" w14:paraId="7B21B4E3" w14:textId="77777777" w:rsidTr="002D1EA4">
        <w:trPr>
          <w:trHeight w:val="255"/>
        </w:trPr>
        <w:tc>
          <w:tcPr>
            <w:tcW w:w="6396" w:type="dxa"/>
            <w:tcBorders>
              <w:top w:val="nil"/>
              <w:left w:val="nil"/>
              <w:bottom w:val="nil"/>
              <w:right w:val="nil"/>
            </w:tcBorders>
            <w:shd w:val="clear" w:color="FFFFFF" w:fill="FFFFFF"/>
            <w:noWrap/>
            <w:vAlign w:val="bottom"/>
            <w:hideMark/>
          </w:tcPr>
          <w:p w14:paraId="27FF1A89" w14:textId="77777777" w:rsidR="00AB6753" w:rsidRDefault="00AB6753" w:rsidP="002D1EA4">
            <w:pPr>
              <w:spacing w:after="0"/>
              <w:ind w:firstLineChars="100" w:firstLine="180"/>
              <w:rPr>
                <w:rFonts w:cs="Arial"/>
                <w:sz w:val="18"/>
                <w:szCs w:val="18"/>
              </w:rPr>
            </w:pPr>
            <w:r>
              <w:rPr>
                <w:rFonts w:cs="Arial"/>
                <w:sz w:val="18"/>
                <w:szCs w:val="18"/>
              </w:rPr>
              <w:t>Carrying value of assets sold</w:t>
            </w:r>
          </w:p>
        </w:tc>
        <w:tc>
          <w:tcPr>
            <w:tcW w:w="1256" w:type="dxa"/>
            <w:tcBorders>
              <w:top w:val="nil"/>
              <w:left w:val="nil"/>
              <w:bottom w:val="nil"/>
              <w:right w:val="nil"/>
            </w:tcBorders>
            <w:shd w:val="clear" w:color="FFFFFF" w:fill="FFFFFF"/>
            <w:noWrap/>
            <w:vAlign w:val="bottom"/>
            <w:hideMark/>
          </w:tcPr>
          <w:p w14:paraId="00A9D20A" w14:textId="77777777" w:rsidR="00AB6753" w:rsidRDefault="00AB6753" w:rsidP="002D1EA4">
            <w:pPr>
              <w:spacing w:after="0"/>
              <w:jc w:val="right"/>
              <w:rPr>
                <w:rFonts w:cs="Arial"/>
                <w:b/>
                <w:bCs/>
                <w:sz w:val="18"/>
                <w:szCs w:val="18"/>
              </w:rPr>
            </w:pPr>
            <w:r>
              <w:rPr>
                <w:rFonts w:cs="Arial"/>
                <w:b/>
                <w:bCs/>
                <w:sz w:val="18"/>
                <w:szCs w:val="18"/>
              </w:rPr>
              <w:t>(1)</w:t>
            </w:r>
          </w:p>
        </w:tc>
        <w:tc>
          <w:tcPr>
            <w:tcW w:w="267" w:type="dxa"/>
            <w:tcBorders>
              <w:top w:val="nil"/>
              <w:left w:val="nil"/>
              <w:bottom w:val="nil"/>
              <w:right w:val="nil"/>
            </w:tcBorders>
            <w:shd w:val="clear" w:color="FFFFFF" w:fill="FFFFFF"/>
            <w:noWrap/>
            <w:vAlign w:val="bottom"/>
            <w:hideMark/>
          </w:tcPr>
          <w:p w14:paraId="0DEB7C10"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1E032EA8" w14:textId="77777777" w:rsidR="00AB6753" w:rsidRDefault="00AB6753" w:rsidP="002D1EA4">
            <w:pPr>
              <w:spacing w:after="0"/>
              <w:jc w:val="right"/>
              <w:rPr>
                <w:rFonts w:cs="Arial"/>
                <w:sz w:val="18"/>
                <w:szCs w:val="18"/>
              </w:rPr>
            </w:pPr>
            <w:r>
              <w:rPr>
                <w:rFonts w:cs="Arial"/>
                <w:sz w:val="18"/>
                <w:szCs w:val="18"/>
              </w:rPr>
              <w:t>(127)</w:t>
            </w:r>
          </w:p>
        </w:tc>
      </w:tr>
      <w:tr w:rsidR="00AB6753" w14:paraId="43F8E605" w14:textId="77777777" w:rsidTr="002D1EA4">
        <w:trPr>
          <w:trHeight w:val="255"/>
        </w:trPr>
        <w:tc>
          <w:tcPr>
            <w:tcW w:w="6396" w:type="dxa"/>
            <w:tcBorders>
              <w:top w:val="nil"/>
              <w:left w:val="nil"/>
              <w:bottom w:val="nil"/>
              <w:right w:val="nil"/>
            </w:tcBorders>
            <w:shd w:val="clear" w:color="FFFFFF" w:fill="FFFFFF"/>
            <w:vAlign w:val="bottom"/>
            <w:hideMark/>
          </w:tcPr>
          <w:p w14:paraId="57256675" w14:textId="77777777" w:rsidR="00AB6753" w:rsidRDefault="00AB6753" w:rsidP="002D1EA4">
            <w:pPr>
              <w:spacing w:after="0"/>
              <w:rPr>
                <w:rFonts w:cs="Arial"/>
                <w:b/>
                <w:bCs/>
                <w:sz w:val="18"/>
                <w:szCs w:val="18"/>
              </w:rPr>
            </w:pPr>
            <w:r>
              <w:rPr>
                <w:rFonts w:cs="Arial"/>
                <w:b/>
                <w:bCs/>
                <w:sz w:val="18"/>
                <w:szCs w:val="18"/>
              </w:rPr>
              <w:t>Net gain from sale of assets</w:t>
            </w:r>
          </w:p>
        </w:tc>
        <w:tc>
          <w:tcPr>
            <w:tcW w:w="1256" w:type="dxa"/>
            <w:tcBorders>
              <w:top w:val="single" w:sz="4" w:space="0" w:color="auto"/>
              <w:left w:val="nil"/>
              <w:bottom w:val="single" w:sz="4" w:space="0" w:color="auto"/>
              <w:right w:val="nil"/>
            </w:tcBorders>
            <w:shd w:val="clear" w:color="FFFFFF" w:fill="FFFFFF"/>
            <w:noWrap/>
            <w:vAlign w:val="bottom"/>
            <w:hideMark/>
          </w:tcPr>
          <w:p w14:paraId="50D86DA5" w14:textId="77777777" w:rsidR="00AB6753" w:rsidRDefault="00AB6753" w:rsidP="002D1EA4">
            <w:pPr>
              <w:spacing w:after="0"/>
              <w:jc w:val="right"/>
              <w:rPr>
                <w:rFonts w:cs="Arial"/>
                <w:b/>
                <w:bCs/>
                <w:sz w:val="18"/>
                <w:szCs w:val="18"/>
              </w:rPr>
            </w:pPr>
            <w:r>
              <w:rPr>
                <w:rFonts w:cs="Arial"/>
                <w:b/>
                <w:bCs/>
                <w:sz w:val="18"/>
                <w:szCs w:val="18"/>
              </w:rPr>
              <w:t>2</w:t>
            </w:r>
          </w:p>
        </w:tc>
        <w:tc>
          <w:tcPr>
            <w:tcW w:w="267" w:type="dxa"/>
            <w:tcBorders>
              <w:top w:val="nil"/>
              <w:left w:val="nil"/>
              <w:bottom w:val="nil"/>
              <w:right w:val="nil"/>
            </w:tcBorders>
            <w:shd w:val="clear" w:color="FFFFFF" w:fill="FFFFFF"/>
            <w:noWrap/>
            <w:vAlign w:val="bottom"/>
            <w:hideMark/>
          </w:tcPr>
          <w:p w14:paraId="19F3364D" w14:textId="77777777" w:rsidR="00AB6753" w:rsidRDefault="00AB6753" w:rsidP="002D1EA4">
            <w:pPr>
              <w:spacing w:after="0"/>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2276D5E8" w14:textId="77777777" w:rsidR="00AB6753" w:rsidRDefault="00AB6753" w:rsidP="002D1EA4">
            <w:pPr>
              <w:spacing w:after="0"/>
              <w:jc w:val="right"/>
              <w:rPr>
                <w:rFonts w:cs="Arial"/>
                <w:sz w:val="18"/>
                <w:szCs w:val="18"/>
              </w:rPr>
            </w:pPr>
            <w:r>
              <w:rPr>
                <w:rFonts w:cs="Arial"/>
                <w:sz w:val="18"/>
                <w:szCs w:val="18"/>
              </w:rPr>
              <w:t>172</w:t>
            </w:r>
          </w:p>
        </w:tc>
      </w:tr>
    </w:tbl>
    <w:p w14:paraId="3E9D2542" w14:textId="77777777" w:rsidR="00AB6753" w:rsidRDefault="00AB6753" w:rsidP="00AB6753"/>
    <w:p w14:paraId="2DAB2DD8" w14:textId="77777777" w:rsidR="00AB6753" w:rsidRDefault="00AB6753" w:rsidP="00AB6753">
      <w:pPr>
        <w:pStyle w:val="PolicyheadingDept"/>
        <w:pBdr>
          <w:top w:val="single" w:sz="4" w:space="1" w:color="00B2BA"/>
          <w:left w:val="single" w:sz="4" w:space="0" w:color="00B2BA"/>
          <w:bottom w:val="single" w:sz="4" w:space="1" w:color="00B2BA"/>
          <w:right w:val="single" w:sz="4" w:space="12" w:color="00B2BA"/>
        </w:pBdr>
      </w:pPr>
      <w:r>
        <w:t>Accounting Policy</w:t>
      </w:r>
    </w:p>
    <w:p w14:paraId="1B0A7B48" w14:textId="77777777" w:rsidR="00AB6753" w:rsidRDefault="00AB6753" w:rsidP="00AB6753">
      <w:pPr>
        <w:pStyle w:val="Policytextdeptunderline"/>
        <w:pBdr>
          <w:top w:val="single" w:sz="4" w:space="1" w:color="00B2BA"/>
          <w:left w:val="single" w:sz="4" w:space="0" w:color="00B2BA"/>
          <w:bottom w:val="single" w:sz="4" w:space="1" w:color="00B2BA"/>
          <w:right w:val="single" w:sz="4" w:space="12" w:color="00B2BA"/>
        </w:pBdr>
      </w:pPr>
      <w:r w:rsidRPr="00AD36A9">
        <w:t>Sale of Assets</w:t>
      </w:r>
    </w:p>
    <w:p w14:paraId="7C283B64"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rsidRPr="00AD36A9">
        <w:t>Gains from disposal of assets are recognised when control of the asset has passed to the buyer.</w:t>
      </w:r>
    </w:p>
    <w:tbl>
      <w:tblPr>
        <w:tblW w:w="9411" w:type="dxa"/>
        <w:tblInd w:w="80" w:type="dxa"/>
        <w:tblLayout w:type="fixed"/>
        <w:tblLook w:val="04A0" w:firstRow="1" w:lastRow="0" w:firstColumn="1" w:lastColumn="0" w:noHBand="0" w:noVBand="1"/>
        <w:tblCaption w:val="Notes to and forming part of the financial statements"/>
        <w:tblDescription w:val="Own-source revenue and gains continued"/>
      </w:tblPr>
      <w:tblGrid>
        <w:gridCol w:w="6561"/>
        <w:gridCol w:w="1288"/>
        <w:gridCol w:w="274"/>
        <w:gridCol w:w="1288"/>
      </w:tblGrid>
      <w:tr w:rsidR="00AB6753" w14:paraId="016E0BC2" w14:textId="77777777" w:rsidTr="002D1EA4">
        <w:trPr>
          <w:trHeight w:val="255"/>
        </w:trPr>
        <w:tc>
          <w:tcPr>
            <w:tcW w:w="6396" w:type="dxa"/>
            <w:tcBorders>
              <w:top w:val="nil"/>
              <w:left w:val="nil"/>
              <w:bottom w:val="nil"/>
              <w:right w:val="nil"/>
            </w:tcBorders>
            <w:shd w:val="clear" w:color="FFFFFF" w:fill="FFFFFF"/>
            <w:noWrap/>
            <w:vAlign w:val="bottom"/>
            <w:hideMark/>
          </w:tcPr>
          <w:p w14:paraId="2E7B5B0C" w14:textId="77777777" w:rsidR="00AB6753" w:rsidRDefault="00AB6753" w:rsidP="002D1EA4">
            <w:pPr>
              <w:spacing w:after="0"/>
              <w:rPr>
                <w:rFonts w:cs="Arial"/>
                <w:b/>
                <w:bCs/>
                <w:sz w:val="18"/>
                <w:szCs w:val="18"/>
                <w:u w:val="single"/>
              </w:rPr>
            </w:pPr>
            <w:bookmarkStart w:id="88" w:name="Note_OGATABLE1" w:colFirst="0" w:colLast="0"/>
            <w:r>
              <w:rPr>
                <w:rFonts w:cs="Arial"/>
                <w:b/>
                <w:bCs/>
                <w:sz w:val="18"/>
                <w:szCs w:val="18"/>
                <w:u w:val="single"/>
              </w:rPr>
              <w:t>Note 1.2E: Other Gains</w:t>
            </w:r>
          </w:p>
        </w:tc>
        <w:tc>
          <w:tcPr>
            <w:tcW w:w="1256" w:type="dxa"/>
            <w:tcBorders>
              <w:top w:val="nil"/>
              <w:left w:val="nil"/>
              <w:bottom w:val="nil"/>
              <w:right w:val="nil"/>
            </w:tcBorders>
            <w:shd w:val="clear" w:color="FFFFFF" w:fill="FFFFFF"/>
            <w:noWrap/>
            <w:vAlign w:val="bottom"/>
            <w:hideMark/>
          </w:tcPr>
          <w:p w14:paraId="4D60AE9B"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11174295"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4462128A" w14:textId="77777777" w:rsidR="00AB6753" w:rsidRDefault="00AB6753" w:rsidP="002D1EA4">
            <w:pPr>
              <w:spacing w:after="0"/>
              <w:jc w:val="right"/>
              <w:rPr>
                <w:rFonts w:cs="Arial"/>
                <w:sz w:val="18"/>
                <w:szCs w:val="18"/>
              </w:rPr>
            </w:pPr>
            <w:r>
              <w:rPr>
                <w:rFonts w:cs="Arial"/>
                <w:sz w:val="18"/>
                <w:szCs w:val="18"/>
              </w:rPr>
              <w:t> </w:t>
            </w:r>
          </w:p>
        </w:tc>
      </w:tr>
      <w:bookmarkEnd w:id="88"/>
      <w:tr w:rsidR="00AB6753" w14:paraId="52E77673" w14:textId="77777777" w:rsidTr="002D1EA4">
        <w:trPr>
          <w:trHeight w:val="255"/>
        </w:trPr>
        <w:tc>
          <w:tcPr>
            <w:tcW w:w="6396" w:type="dxa"/>
            <w:tcBorders>
              <w:top w:val="nil"/>
              <w:left w:val="nil"/>
              <w:bottom w:val="nil"/>
              <w:right w:val="nil"/>
            </w:tcBorders>
            <w:shd w:val="clear" w:color="FFFFFF" w:fill="FFFFFF"/>
            <w:vAlign w:val="bottom"/>
            <w:hideMark/>
          </w:tcPr>
          <w:p w14:paraId="75C5B9DC" w14:textId="77777777" w:rsidR="00AB6753" w:rsidRDefault="00AB6753" w:rsidP="002D1EA4">
            <w:pPr>
              <w:spacing w:after="0"/>
              <w:rPr>
                <w:rFonts w:cs="Arial"/>
                <w:sz w:val="18"/>
                <w:szCs w:val="18"/>
              </w:rPr>
            </w:pPr>
            <w:r>
              <w:rPr>
                <w:rFonts w:cs="Arial"/>
                <w:sz w:val="18"/>
                <w:szCs w:val="18"/>
              </w:rPr>
              <w:t xml:space="preserve">Reversal of </w:t>
            </w:r>
            <w:proofErr w:type="spellStart"/>
            <w:r>
              <w:rPr>
                <w:rFonts w:cs="Arial"/>
                <w:sz w:val="18"/>
                <w:szCs w:val="18"/>
              </w:rPr>
              <w:t>makegood</w:t>
            </w:r>
            <w:proofErr w:type="spellEnd"/>
          </w:p>
        </w:tc>
        <w:tc>
          <w:tcPr>
            <w:tcW w:w="1256" w:type="dxa"/>
            <w:tcBorders>
              <w:top w:val="nil"/>
              <w:left w:val="nil"/>
              <w:bottom w:val="nil"/>
              <w:right w:val="nil"/>
            </w:tcBorders>
            <w:shd w:val="clear" w:color="FFFFFF" w:fill="FFFFFF"/>
            <w:noWrap/>
            <w:vAlign w:val="bottom"/>
            <w:hideMark/>
          </w:tcPr>
          <w:p w14:paraId="3D782974" w14:textId="77777777" w:rsidR="00AB6753" w:rsidRDefault="00AB6753" w:rsidP="002D1EA4">
            <w:pPr>
              <w:spacing w:after="0"/>
              <w:jc w:val="right"/>
              <w:rPr>
                <w:rFonts w:cs="Arial"/>
                <w:b/>
                <w:bCs/>
                <w:sz w:val="18"/>
                <w:szCs w:val="18"/>
              </w:rPr>
            </w:pPr>
            <w:r>
              <w:rPr>
                <w:rFonts w:cs="Arial"/>
                <w:b/>
                <w:bCs/>
                <w:sz w:val="18"/>
                <w:szCs w:val="18"/>
              </w:rPr>
              <w:t>481</w:t>
            </w:r>
          </w:p>
        </w:tc>
        <w:tc>
          <w:tcPr>
            <w:tcW w:w="267" w:type="dxa"/>
            <w:tcBorders>
              <w:top w:val="nil"/>
              <w:left w:val="nil"/>
              <w:bottom w:val="nil"/>
              <w:right w:val="nil"/>
            </w:tcBorders>
            <w:shd w:val="clear" w:color="FFFFFF" w:fill="FFFFFF"/>
            <w:noWrap/>
            <w:vAlign w:val="bottom"/>
            <w:hideMark/>
          </w:tcPr>
          <w:p w14:paraId="45DB282C"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03A10272" w14:textId="77777777" w:rsidR="00AB6753" w:rsidRDefault="00AB6753" w:rsidP="002D1EA4">
            <w:pPr>
              <w:spacing w:after="0"/>
              <w:jc w:val="right"/>
              <w:rPr>
                <w:rFonts w:cs="Arial"/>
                <w:sz w:val="18"/>
                <w:szCs w:val="18"/>
              </w:rPr>
            </w:pPr>
            <w:r>
              <w:rPr>
                <w:rFonts w:cs="Arial"/>
                <w:sz w:val="18"/>
                <w:szCs w:val="18"/>
              </w:rPr>
              <w:t>449</w:t>
            </w:r>
          </w:p>
        </w:tc>
      </w:tr>
      <w:tr w:rsidR="00AB6753" w14:paraId="0A7DEF5C" w14:textId="77777777" w:rsidTr="002D1EA4">
        <w:trPr>
          <w:trHeight w:val="255"/>
        </w:trPr>
        <w:tc>
          <w:tcPr>
            <w:tcW w:w="6396" w:type="dxa"/>
            <w:tcBorders>
              <w:top w:val="nil"/>
              <w:left w:val="nil"/>
              <w:bottom w:val="nil"/>
              <w:right w:val="nil"/>
            </w:tcBorders>
            <w:shd w:val="clear" w:color="FFFFFF" w:fill="FFFFFF"/>
            <w:vAlign w:val="bottom"/>
            <w:hideMark/>
          </w:tcPr>
          <w:p w14:paraId="14B80BF9" w14:textId="77777777" w:rsidR="00AB6753" w:rsidRDefault="00AB6753" w:rsidP="002D1EA4">
            <w:pPr>
              <w:spacing w:after="0"/>
              <w:rPr>
                <w:rFonts w:cs="Arial"/>
                <w:sz w:val="18"/>
                <w:szCs w:val="18"/>
              </w:rPr>
            </w:pPr>
            <w:r>
              <w:rPr>
                <w:rFonts w:cs="Arial"/>
                <w:sz w:val="18"/>
                <w:szCs w:val="18"/>
              </w:rPr>
              <w:t>Assets recognised</w:t>
            </w:r>
          </w:p>
        </w:tc>
        <w:tc>
          <w:tcPr>
            <w:tcW w:w="1256" w:type="dxa"/>
            <w:tcBorders>
              <w:top w:val="nil"/>
              <w:left w:val="nil"/>
              <w:bottom w:val="nil"/>
              <w:right w:val="nil"/>
            </w:tcBorders>
            <w:shd w:val="clear" w:color="FFFFFF" w:fill="FFFFFF"/>
            <w:noWrap/>
            <w:vAlign w:val="bottom"/>
            <w:hideMark/>
          </w:tcPr>
          <w:p w14:paraId="73AFFC09" w14:textId="77777777" w:rsidR="00AB6753" w:rsidRDefault="00AB6753" w:rsidP="002D1EA4">
            <w:pPr>
              <w:spacing w:after="0"/>
              <w:jc w:val="right"/>
              <w:rPr>
                <w:rFonts w:cs="Arial"/>
                <w:b/>
                <w:bCs/>
                <w:sz w:val="18"/>
                <w:szCs w:val="18"/>
              </w:rPr>
            </w:pPr>
            <w:r>
              <w:rPr>
                <w:rFonts w:cs="Arial"/>
                <w:b/>
                <w:bCs/>
                <w:sz w:val="18"/>
                <w:szCs w:val="18"/>
              </w:rPr>
              <w:t>4</w:t>
            </w:r>
          </w:p>
        </w:tc>
        <w:tc>
          <w:tcPr>
            <w:tcW w:w="267" w:type="dxa"/>
            <w:tcBorders>
              <w:top w:val="nil"/>
              <w:left w:val="nil"/>
              <w:bottom w:val="nil"/>
              <w:right w:val="nil"/>
            </w:tcBorders>
            <w:shd w:val="clear" w:color="FFFFFF" w:fill="FFFFFF"/>
            <w:noWrap/>
            <w:vAlign w:val="bottom"/>
            <w:hideMark/>
          </w:tcPr>
          <w:p w14:paraId="4164E865"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57343FBC" w14:textId="77777777" w:rsidR="00AB6753" w:rsidRDefault="00AB6753" w:rsidP="002D1EA4">
            <w:pPr>
              <w:spacing w:after="0"/>
              <w:jc w:val="right"/>
              <w:rPr>
                <w:rFonts w:cs="Arial"/>
                <w:sz w:val="18"/>
                <w:szCs w:val="18"/>
              </w:rPr>
            </w:pPr>
            <w:r>
              <w:rPr>
                <w:rFonts w:cs="Arial"/>
                <w:sz w:val="18"/>
                <w:szCs w:val="18"/>
              </w:rPr>
              <w:t>45</w:t>
            </w:r>
          </w:p>
        </w:tc>
      </w:tr>
      <w:tr w:rsidR="00AB6753" w14:paraId="5D142FA4" w14:textId="77777777" w:rsidTr="002D1EA4">
        <w:trPr>
          <w:trHeight w:val="255"/>
        </w:trPr>
        <w:tc>
          <w:tcPr>
            <w:tcW w:w="6396" w:type="dxa"/>
            <w:tcBorders>
              <w:top w:val="nil"/>
              <w:left w:val="nil"/>
              <w:bottom w:val="nil"/>
              <w:right w:val="nil"/>
            </w:tcBorders>
            <w:shd w:val="clear" w:color="FFFFFF" w:fill="FFFFFF"/>
            <w:vAlign w:val="center"/>
            <w:hideMark/>
          </w:tcPr>
          <w:p w14:paraId="1C544AA8" w14:textId="77777777" w:rsidR="00AB6753" w:rsidRDefault="00AB6753" w:rsidP="002D1EA4">
            <w:pPr>
              <w:spacing w:after="0"/>
              <w:rPr>
                <w:rFonts w:cs="Arial"/>
                <w:sz w:val="18"/>
                <w:szCs w:val="18"/>
              </w:rPr>
            </w:pPr>
            <w:r>
              <w:rPr>
                <w:rFonts w:cs="Arial"/>
                <w:sz w:val="18"/>
                <w:szCs w:val="18"/>
              </w:rPr>
              <w:t>Other</w:t>
            </w:r>
          </w:p>
        </w:tc>
        <w:tc>
          <w:tcPr>
            <w:tcW w:w="1256" w:type="dxa"/>
            <w:tcBorders>
              <w:top w:val="nil"/>
              <w:left w:val="nil"/>
              <w:bottom w:val="nil"/>
              <w:right w:val="nil"/>
            </w:tcBorders>
            <w:shd w:val="clear" w:color="FFFFFF" w:fill="FFFFFF"/>
            <w:noWrap/>
            <w:vAlign w:val="bottom"/>
            <w:hideMark/>
          </w:tcPr>
          <w:p w14:paraId="68C0C547" w14:textId="77777777" w:rsidR="00AB6753" w:rsidRDefault="00AB6753" w:rsidP="002D1EA4">
            <w:pPr>
              <w:spacing w:after="0"/>
              <w:jc w:val="right"/>
              <w:rPr>
                <w:rFonts w:cs="Arial"/>
                <w:b/>
                <w:bCs/>
                <w:sz w:val="18"/>
                <w:szCs w:val="18"/>
              </w:rPr>
            </w:pPr>
            <w:r>
              <w:rPr>
                <w:rFonts w:cs="Arial"/>
                <w:b/>
                <w:bCs/>
                <w:sz w:val="18"/>
                <w:szCs w:val="18"/>
              </w:rPr>
              <w:t>212</w:t>
            </w:r>
          </w:p>
        </w:tc>
        <w:tc>
          <w:tcPr>
            <w:tcW w:w="267" w:type="dxa"/>
            <w:tcBorders>
              <w:top w:val="nil"/>
              <w:left w:val="nil"/>
              <w:bottom w:val="nil"/>
              <w:right w:val="nil"/>
            </w:tcBorders>
            <w:shd w:val="clear" w:color="FFFFFF" w:fill="FFFFFF"/>
            <w:noWrap/>
            <w:vAlign w:val="bottom"/>
            <w:hideMark/>
          </w:tcPr>
          <w:p w14:paraId="465D221D"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7DF28CE5" w14:textId="77777777" w:rsidR="00AB6753" w:rsidRDefault="00AB6753" w:rsidP="002D1EA4">
            <w:pPr>
              <w:spacing w:after="0"/>
              <w:jc w:val="right"/>
              <w:rPr>
                <w:rFonts w:cs="Arial"/>
                <w:sz w:val="18"/>
                <w:szCs w:val="18"/>
              </w:rPr>
            </w:pPr>
            <w:r>
              <w:rPr>
                <w:rFonts w:cs="Arial"/>
                <w:sz w:val="18"/>
                <w:szCs w:val="18"/>
              </w:rPr>
              <w:t>17</w:t>
            </w:r>
          </w:p>
        </w:tc>
      </w:tr>
      <w:tr w:rsidR="00AB6753" w14:paraId="5CA2D612" w14:textId="77777777" w:rsidTr="002D1EA4">
        <w:trPr>
          <w:trHeight w:val="255"/>
        </w:trPr>
        <w:tc>
          <w:tcPr>
            <w:tcW w:w="6396" w:type="dxa"/>
            <w:tcBorders>
              <w:top w:val="nil"/>
              <w:left w:val="nil"/>
              <w:bottom w:val="nil"/>
              <w:right w:val="nil"/>
            </w:tcBorders>
            <w:shd w:val="clear" w:color="FFFFFF" w:fill="FFFFFF"/>
            <w:vAlign w:val="bottom"/>
            <w:hideMark/>
          </w:tcPr>
          <w:p w14:paraId="6A74898E" w14:textId="77777777" w:rsidR="00AB6753" w:rsidRDefault="00AB6753" w:rsidP="002D1EA4">
            <w:pPr>
              <w:spacing w:after="0"/>
              <w:rPr>
                <w:rFonts w:cs="Arial"/>
                <w:b/>
                <w:bCs/>
                <w:sz w:val="18"/>
                <w:szCs w:val="18"/>
              </w:rPr>
            </w:pPr>
            <w:r>
              <w:rPr>
                <w:rFonts w:cs="Arial"/>
                <w:b/>
                <w:bCs/>
                <w:sz w:val="18"/>
                <w:szCs w:val="18"/>
              </w:rPr>
              <w:t>Total other gains</w:t>
            </w:r>
          </w:p>
        </w:tc>
        <w:tc>
          <w:tcPr>
            <w:tcW w:w="1256" w:type="dxa"/>
            <w:tcBorders>
              <w:top w:val="single" w:sz="4" w:space="0" w:color="auto"/>
              <w:left w:val="nil"/>
              <w:bottom w:val="single" w:sz="4" w:space="0" w:color="auto"/>
              <w:right w:val="nil"/>
            </w:tcBorders>
            <w:shd w:val="clear" w:color="FFFFFF" w:fill="FFFFFF"/>
            <w:noWrap/>
            <w:vAlign w:val="bottom"/>
            <w:hideMark/>
          </w:tcPr>
          <w:p w14:paraId="13CE0AC5" w14:textId="77777777" w:rsidR="00AB6753" w:rsidRDefault="00AB6753" w:rsidP="002D1EA4">
            <w:pPr>
              <w:spacing w:after="0"/>
              <w:jc w:val="right"/>
              <w:rPr>
                <w:rFonts w:cs="Arial"/>
                <w:b/>
                <w:bCs/>
                <w:sz w:val="18"/>
                <w:szCs w:val="18"/>
              </w:rPr>
            </w:pPr>
            <w:r>
              <w:rPr>
                <w:rFonts w:cs="Arial"/>
                <w:b/>
                <w:bCs/>
                <w:sz w:val="18"/>
                <w:szCs w:val="18"/>
              </w:rPr>
              <w:t>697</w:t>
            </w:r>
          </w:p>
        </w:tc>
        <w:tc>
          <w:tcPr>
            <w:tcW w:w="267" w:type="dxa"/>
            <w:tcBorders>
              <w:top w:val="nil"/>
              <w:left w:val="nil"/>
              <w:bottom w:val="nil"/>
              <w:right w:val="nil"/>
            </w:tcBorders>
            <w:shd w:val="clear" w:color="FFFFFF" w:fill="FFFFFF"/>
            <w:noWrap/>
            <w:vAlign w:val="bottom"/>
            <w:hideMark/>
          </w:tcPr>
          <w:p w14:paraId="627FD68B" w14:textId="77777777" w:rsidR="00AB6753" w:rsidRDefault="00AB6753" w:rsidP="002D1EA4">
            <w:pPr>
              <w:spacing w:after="0"/>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5D568E6D" w14:textId="77777777" w:rsidR="00AB6753" w:rsidRDefault="00AB6753" w:rsidP="002D1EA4">
            <w:pPr>
              <w:spacing w:after="0"/>
              <w:jc w:val="right"/>
              <w:rPr>
                <w:rFonts w:cs="Arial"/>
                <w:sz w:val="18"/>
                <w:szCs w:val="18"/>
              </w:rPr>
            </w:pPr>
            <w:r>
              <w:rPr>
                <w:rFonts w:cs="Arial"/>
                <w:sz w:val="18"/>
                <w:szCs w:val="18"/>
              </w:rPr>
              <w:t>511</w:t>
            </w:r>
          </w:p>
        </w:tc>
      </w:tr>
    </w:tbl>
    <w:p w14:paraId="6DFB4EA6" w14:textId="77777777" w:rsidR="00AB6753" w:rsidRDefault="00AB6753" w:rsidP="00AB6753">
      <w:pPr>
        <w:spacing w:line="240" w:lineRule="auto"/>
      </w:pPr>
    </w:p>
    <w:p w14:paraId="5D051589" w14:textId="77777777" w:rsidR="00AB6753" w:rsidRDefault="00AB6753" w:rsidP="00AB6753">
      <w:pPr>
        <w:pStyle w:val="PolicyheadingDept"/>
        <w:pBdr>
          <w:top w:val="single" w:sz="4" w:space="1" w:color="00B2BA"/>
          <w:left w:val="single" w:sz="4" w:space="0" w:color="00B2BA"/>
          <w:bottom w:val="single" w:sz="4" w:space="1" w:color="00B2BA"/>
          <w:right w:val="single" w:sz="4" w:space="12" w:color="00B2BA"/>
        </w:pBdr>
      </w:pPr>
      <w:r>
        <w:t>Accounting Policy</w:t>
      </w:r>
    </w:p>
    <w:p w14:paraId="271823E1" w14:textId="77777777" w:rsidR="00AB6753" w:rsidRDefault="00AB6753" w:rsidP="00AB6753">
      <w:pPr>
        <w:pStyle w:val="Policytextdeptunderline"/>
        <w:pBdr>
          <w:top w:val="single" w:sz="4" w:space="1" w:color="00B2BA"/>
          <w:left w:val="single" w:sz="4" w:space="0" w:color="00B2BA"/>
          <w:bottom w:val="single" w:sz="4" w:space="1" w:color="00B2BA"/>
          <w:right w:val="single" w:sz="4" w:space="12" w:color="00B2BA"/>
        </w:pBdr>
      </w:pPr>
      <w:r>
        <w:t>Contributions of Assets at No Cost</w:t>
      </w:r>
    </w:p>
    <w:p w14:paraId="642532EC"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t xml:space="preserve">Contributions of assets at no cost of acquisition or for nominal consideration are recognised as gains at their fair value when the asset qualifies for recognition, unless received from another Australian Government entity as a consequence of a restructuring of administrative arrangements (refer to Note 8.2A). </w:t>
      </w:r>
    </w:p>
    <w:p w14:paraId="021F6CD1" w14:textId="77777777" w:rsidR="00AB6753" w:rsidRDefault="00AB6753" w:rsidP="00AB6753">
      <w:pPr>
        <w:pStyle w:val="Policytextdeptunderline"/>
        <w:pBdr>
          <w:top w:val="single" w:sz="4" w:space="1" w:color="00B2BA"/>
          <w:left w:val="single" w:sz="4" w:space="0" w:color="00B2BA"/>
          <w:bottom w:val="single" w:sz="4" w:space="1" w:color="00B2BA"/>
          <w:right w:val="single" w:sz="4" w:space="12" w:color="00B2BA"/>
        </w:pBdr>
      </w:pPr>
      <w:r w:rsidRPr="00AD36A9">
        <w:t>Revenue from Government</w:t>
      </w:r>
    </w:p>
    <w:p w14:paraId="0A9E42AE"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spacing w:after="0"/>
      </w:pPr>
      <w:r w:rsidRPr="00AD36A9">
        <w:t>Amounts appropriated for departmental appropriations for the</w:t>
      </w:r>
      <w:r>
        <w:t xml:space="preserve"> financial</w:t>
      </w:r>
      <w:r w:rsidRPr="00AD36A9">
        <w:t xml:space="preserve"> year (adjusted for any form</w:t>
      </w:r>
      <w:r>
        <w:t xml:space="preserve">al additions and reductions) </w:t>
      </w:r>
      <w:r w:rsidRPr="00AD36A9">
        <w:t xml:space="preserve">are recognised as Revenue from Government when </w:t>
      </w:r>
      <w:fldSimple w:instr=" DOCPROPERTY  ShortName  \* MERGEFORMAT ">
        <w:r>
          <w:t>the department</w:t>
        </w:r>
      </w:fldSimple>
      <w:r w:rsidRPr="00AD36A9">
        <w:t xml:space="preserve"> gain</w:t>
      </w:r>
      <w:r>
        <w:t xml:space="preserve">s control of the appropriation. </w:t>
      </w:r>
      <w:r w:rsidRPr="00AD36A9">
        <w:t>Appropriation</w:t>
      </w:r>
      <w:r>
        <w:t>s</w:t>
      </w:r>
      <w:r w:rsidRPr="00AD36A9">
        <w:t xml:space="preserve"> receivable </w:t>
      </w:r>
      <w:r>
        <w:t xml:space="preserve">are recognised at </w:t>
      </w:r>
      <w:r w:rsidRPr="00AD36A9">
        <w:t>nominal amounts</w:t>
      </w:r>
      <w:r>
        <w:t xml:space="preserve"> (refer to Note 3.1A).</w:t>
      </w:r>
      <w:r>
        <w:br w:type="page"/>
      </w:r>
    </w:p>
    <w:p w14:paraId="7470BBE4" w14:textId="77777777" w:rsidR="00AB6753" w:rsidRPr="00532557" w:rsidRDefault="00AB6753" w:rsidP="00AB6753">
      <w:pPr>
        <w:pStyle w:val="SectionHeading"/>
        <w:shd w:val="clear" w:color="auto" w:fill="00B2BA"/>
        <w:ind w:left="142" w:firstLine="0"/>
        <w:rPr>
          <w:rFonts w:ascii="Arial" w:hAnsi="Arial" w:cs="Arial"/>
          <w:color w:val="auto"/>
        </w:rPr>
      </w:pPr>
      <w:r>
        <w:rPr>
          <w:rFonts w:ascii="Arial" w:hAnsi="Arial" w:cs="Arial"/>
          <w:color w:val="auto"/>
        </w:rPr>
        <w:lastRenderedPageBreak/>
        <w:t xml:space="preserve">2. </w:t>
      </w:r>
      <w:bookmarkStart w:id="89" w:name="_Toc443469525"/>
      <w:bookmarkStart w:id="90" w:name="_Toc444065774"/>
      <w:bookmarkStart w:id="91" w:name="_Toc444079973"/>
      <w:bookmarkStart w:id="92" w:name="_Toc450750158"/>
      <w:bookmarkStart w:id="93" w:name="_Toc45748803"/>
      <w:r w:rsidRPr="00532557">
        <w:rPr>
          <w:rFonts w:ascii="Arial" w:hAnsi="Arial" w:cs="Arial"/>
          <w:color w:val="auto"/>
        </w:rPr>
        <w:t>Income and Expenses Administered on Behalf of Government</w:t>
      </w:r>
      <w:bookmarkEnd w:id="89"/>
      <w:bookmarkEnd w:id="90"/>
      <w:bookmarkEnd w:id="91"/>
      <w:bookmarkEnd w:id="92"/>
      <w:bookmarkEnd w:id="93"/>
    </w:p>
    <w:p w14:paraId="23E510E2" w14:textId="77777777" w:rsidR="00AB6753" w:rsidRPr="00A71D8D" w:rsidRDefault="00AB6753" w:rsidP="00AB6753">
      <w:pPr>
        <w:pStyle w:val="SubHeading"/>
        <w:numPr>
          <w:ilvl w:val="1"/>
          <w:numId w:val="56"/>
        </w:numPr>
        <w:shd w:val="clear" w:color="auto" w:fill="D9D9D9" w:themeFill="background1" w:themeFillShade="D9"/>
        <w:ind w:left="567" w:hanging="454"/>
        <w:rPr>
          <w:sz w:val="20"/>
          <w:szCs w:val="20"/>
        </w:rPr>
      </w:pPr>
      <w:bookmarkStart w:id="94" w:name="_Toc443469526"/>
      <w:bookmarkStart w:id="95" w:name="_Toc444065776"/>
      <w:bookmarkStart w:id="96" w:name="_Toc444079974"/>
      <w:bookmarkStart w:id="97" w:name="_Toc450750159"/>
      <w:bookmarkStart w:id="98" w:name="_Ref456958530"/>
      <w:bookmarkStart w:id="99" w:name="_Ref456958552"/>
      <w:bookmarkStart w:id="100" w:name="_Toc45748804"/>
      <w:r w:rsidRPr="00A71D8D">
        <w:rPr>
          <w:sz w:val="20"/>
          <w:szCs w:val="20"/>
        </w:rPr>
        <w:t>Administered – Expenses</w:t>
      </w:r>
      <w:bookmarkEnd w:id="94"/>
      <w:bookmarkEnd w:id="95"/>
      <w:bookmarkEnd w:id="96"/>
      <w:bookmarkEnd w:id="97"/>
      <w:bookmarkEnd w:id="98"/>
      <w:bookmarkEnd w:id="99"/>
      <w:bookmarkEnd w:id="100"/>
    </w:p>
    <w:tbl>
      <w:tblPr>
        <w:tblW w:w="9411" w:type="dxa"/>
        <w:tblInd w:w="80" w:type="dxa"/>
        <w:tblLayout w:type="fixed"/>
        <w:tblLook w:val="04A0" w:firstRow="1" w:lastRow="0" w:firstColumn="1" w:lastColumn="0" w:noHBand="0" w:noVBand="1"/>
        <w:tblCaption w:val="Notes to and forming part of the financial statements"/>
        <w:tblDescription w:val="Income and Expenses Administered on behalf of Government. Administered expenses."/>
      </w:tblPr>
      <w:tblGrid>
        <w:gridCol w:w="6566"/>
        <w:gridCol w:w="1286"/>
        <w:gridCol w:w="273"/>
        <w:gridCol w:w="1286"/>
      </w:tblGrid>
      <w:tr w:rsidR="00AB6753" w14:paraId="4B5ECA11" w14:textId="77777777" w:rsidTr="002D1EA4">
        <w:trPr>
          <w:trHeight w:val="255"/>
        </w:trPr>
        <w:tc>
          <w:tcPr>
            <w:tcW w:w="6416" w:type="dxa"/>
            <w:tcBorders>
              <w:top w:val="nil"/>
              <w:left w:val="nil"/>
              <w:bottom w:val="nil"/>
              <w:right w:val="nil"/>
            </w:tcBorders>
            <w:shd w:val="clear" w:color="000000" w:fill="D9D9D9"/>
            <w:noWrap/>
            <w:vAlign w:val="bottom"/>
            <w:hideMark/>
          </w:tcPr>
          <w:p w14:paraId="25C56A6C" w14:textId="77777777" w:rsidR="00AB6753" w:rsidRDefault="00AB6753" w:rsidP="002D1EA4">
            <w:pPr>
              <w:spacing w:after="0"/>
              <w:rPr>
                <w:rFonts w:cs="Arial"/>
                <w:sz w:val="16"/>
                <w:szCs w:val="16"/>
              </w:rPr>
            </w:pPr>
            <w:bookmarkStart w:id="101" w:name="Note_ASXTABLE1" w:colFirst="0" w:colLast="0"/>
            <w:r>
              <w:rPr>
                <w:rFonts w:cs="Arial"/>
                <w:sz w:val="16"/>
                <w:szCs w:val="16"/>
              </w:rPr>
              <w:t> </w:t>
            </w:r>
          </w:p>
        </w:tc>
        <w:tc>
          <w:tcPr>
            <w:tcW w:w="1256" w:type="dxa"/>
            <w:tcBorders>
              <w:top w:val="nil"/>
              <w:left w:val="nil"/>
              <w:bottom w:val="nil"/>
              <w:right w:val="nil"/>
            </w:tcBorders>
            <w:shd w:val="clear" w:color="000000" w:fill="D9D9D9"/>
            <w:noWrap/>
            <w:vAlign w:val="bottom"/>
            <w:hideMark/>
          </w:tcPr>
          <w:p w14:paraId="21906D2E" w14:textId="77777777" w:rsidR="00AB6753" w:rsidRDefault="00AB6753" w:rsidP="002D1EA4">
            <w:pPr>
              <w:spacing w:after="0"/>
              <w:jc w:val="right"/>
              <w:rPr>
                <w:rFonts w:cs="Arial"/>
                <w:b/>
                <w:bCs/>
                <w:sz w:val="18"/>
                <w:szCs w:val="18"/>
              </w:rPr>
            </w:pPr>
            <w:r>
              <w:rPr>
                <w:rFonts w:cs="Arial"/>
                <w:b/>
                <w:bCs/>
                <w:sz w:val="18"/>
                <w:szCs w:val="18"/>
              </w:rPr>
              <w:t>2020</w:t>
            </w:r>
          </w:p>
        </w:tc>
        <w:tc>
          <w:tcPr>
            <w:tcW w:w="267" w:type="dxa"/>
            <w:tcBorders>
              <w:top w:val="nil"/>
              <w:left w:val="nil"/>
              <w:bottom w:val="nil"/>
              <w:right w:val="nil"/>
            </w:tcBorders>
            <w:shd w:val="clear" w:color="000000" w:fill="D9D9D9"/>
            <w:noWrap/>
            <w:vAlign w:val="bottom"/>
            <w:hideMark/>
          </w:tcPr>
          <w:p w14:paraId="3CB93D2D"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296CBB6B" w14:textId="77777777" w:rsidR="00AB6753" w:rsidRDefault="00AB6753" w:rsidP="002D1EA4">
            <w:pPr>
              <w:spacing w:after="0"/>
              <w:jc w:val="right"/>
              <w:rPr>
                <w:rFonts w:cs="Arial"/>
                <w:sz w:val="18"/>
                <w:szCs w:val="18"/>
              </w:rPr>
            </w:pPr>
            <w:r>
              <w:rPr>
                <w:rFonts w:cs="Arial"/>
                <w:sz w:val="18"/>
                <w:szCs w:val="18"/>
              </w:rPr>
              <w:t>2019</w:t>
            </w:r>
          </w:p>
        </w:tc>
      </w:tr>
      <w:bookmarkEnd w:id="101"/>
      <w:tr w:rsidR="00AB6753" w14:paraId="2D1B1A1E" w14:textId="77777777" w:rsidTr="002D1EA4">
        <w:trPr>
          <w:trHeight w:val="255"/>
        </w:trPr>
        <w:tc>
          <w:tcPr>
            <w:tcW w:w="6416" w:type="dxa"/>
            <w:tcBorders>
              <w:top w:val="nil"/>
              <w:left w:val="nil"/>
              <w:bottom w:val="nil"/>
              <w:right w:val="nil"/>
            </w:tcBorders>
            <w:shd w:val="clear" w:color="000000" w:fill="D9D9D9"/>
            <w:noWrap/>
            <w:vAlign w:val="bottom"/>
            <w:hideMark/>
          </w:tcPr>
          <w:p w14:paraId="0E7AD1FC"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18D661ED" w14:textId="77777777" w:rsidR="00AB6753" w:rsidRDefault="00AB6753" w:rsidP="002D1EA4">
            <w:pPr>
              <w:spacing w:after="0"/>
              <w:jc w:val="right"/>
              <w:rPr>
                <w:rFonts w:cs="Arial"/>
                <w:b/>
                <w:bCs/>
                <w:sz w:val="18"/>
                <w:szCs w:val="18"/>
              </w:rPr>
            </w:pPr>
            <w:r>
              <w:rPr>
                <w:rFonts w:cs="Arial"/>
                <w:b/>
                <w:bCs/>
                <w:sz w:val="18"/>
                <w:szCs w:val="18"/>
              </w:rPr>
              <w:t>$'000</w:t>
            </w:r>
          </w:p>
        </w:tc>
        <w:tc>
          <w:tcPr>
            <w:tcW w:w="267" w:type="dxa"/>
            <w:tcBorders>
              <w:top w:val="nil"/>
              <w:left w:val="nil"/>
              <w:bottom w:val="nil"/>
              <w:right w:val="nil"/>
            </w:tcBorders>
            <w:shd w:val="clear" w:color="000000" w:fill="D9D9D9"/>
            <w:noWrap/>
            <w:vAlign w:val="bottom"/>
            <w:hideMark/>
          </w:tcPr>
          <w:p w14:paraId="73778F78"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4CC7EEA5" w14:textId="77777777" w:rsidR="00AB6753" w:rsidRDefault="00AB6753" w:rsidP="002D1EA4">
            <w:pPr>
              <w:spacing w:after="0"/>
              <w:jc w:val="right"/>
              <w:rPr>
                <w:rFonts w:cs="Arial"/>
                <w:sz w:val="18"/>
                <w:szCs w:val="18"/>
              </w:rPr>
            </w:pPr>
            <w:r>
              <w:rPr>
                <w:rFonts w:cs="Arial"/>
                <w:sz w:val="18"/>
                <w:szCs w:val="18"/>
              </w:rPr>
              <w:t>$'000</w:t>
            </w:r>
          </w:p>
        </w:tc>
      </w:tr>
      <w:tr w:rsidR="00AB6753" w14:paraId="0F97DCC5" w14:textId="77777777" w:rsidTr="002D1EA4">
        <w:trPr>
          <w:trHeight w:val="255"/>
        </w:trPr>
        <w:tc>
          <w:tcPr>
            <w:tcW w:w="6416" w:type="dxa"/>
            <w:tcBorders>
              <w:top w:val="nil"/>
              <w:left w:val="nil"/>
              <w:bottom w:val="nil"/>
              <w:right w:val="nil"/>
            </w:tcBorders>
            <w:shd w:val="clear" w:color="000000" w:fill="D9D9D9"/>
            <w:noWrap/>
            <w:hideMark/>
          </w:tcPr>
          <w:p w14:paraId="03C5B324" w14:textId="77777777" w:rsidR="00AB6753" w:rsidRDefault="00AB6753" w:rsidP="002D1EA4">
            <w:pPr>
              <w:spacing w:after="0"/>
              <w:rPr>
                <w:rFonts w:cs="Arial"/>
                <w:b/>
                <w:bCs/>
                <w:sz w:val="18"/>
                <w:szCs w:val="18"/>
                <w:u w:val="single"/>
              </w:rPr>
            </w:pPr>
            <w:r>
              <w:rPr>
                <w:rFonts w:cs="Arial"/>
                <w:b/>
                <w:bCs/>
                <w:sz w:val="18"/>
                <w:szCs w:val="18"/>
                <w:u w:val="single"/>
              </w:rPr>
              <w:t>Note 2.1A: Suppliers</w:t>
            </w:r>
          </w:p>
        </w:tc>
        <w:tc>
          <w:tcPr>
            <w:tcW w:w="1256" w:type="dxa"/>
            <w:tcBorders>
              <w:top w:val="nil"/>
              <w:left w:val="nil"/>
              <w:bottom w:val="nil"/>
              <w:right w:val="nil"/>
            </w:tcBorders>
            <w:shd w:val="clear" w:color="000000" w:fill="D9D9D9"/>
            <w:noWrap/>
            <w:vAlign w:val="bottom"/>
            <w:hideMark/>
          </w:tcPr>
          <w:p w14:paraId="52760F12"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162CF8B6"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564E296B" w14:textId="77777777" w:rsidR="00AB6753" w:rsidRDefault="00AB6753" w:rsidP="002D1EA4">
            <w:pPr>
              <w:spacing w:after="0"/>
              <w:rPr>
                <w:rFonts w:cs="Arial"/>
                <w:sz w:val="16"/>
                <w:szCs w:val="16"/>
              </w:rPr>
            </w:pPr>
            <w:r>
              <w:rPr>
                <w:rFonts w:cs="Arial"/>
                <w:sz w:val="16"/>
                <w:szCs w:val="16"/>
              </w:rPr>
              <w:t> </w:t>
            </w:r>
          </w:p>
        </w:tc>
      </w:tr>
      <w:tr w:rsidR="00AB6753" w14:paraId="2F7CF135" w14:textId="77777777" w:rsidTr="002D1EA4">
        <w:trPr>
          <w:trHeight w:val="255"/>
        </w:trPr>
        <w:tc>
          <w:tcPr>
            <w:tcW w:w="6416" w:type="dxa"/>
            <w:tcBorders>
              <w:top w:val="nil"/>
              <w:left w:val="nil"/>
              <w:bottom w:val="nil"/>
              <w:right w:val="nil"/>
            </w:tcBorders>
            <w:shd w:val="clear" w:color="000000" w:fill="D9D9D9"/>
            <w:noWrap/>
            <w:vAlign w:val="bottom"/>
            <w:hideMark/>
          </w:tcPr>
          <w:p w14:paraId="4FFD1E73" w14:textId="77777777" w:rsidR="00AB6753" w:rsidRDefault="00AB6753" w:rsidP="002D1EA4">
            <w:pPr>
              <w:spacing w:after="0"/>
              <w:rPr>
                <w:rFonts w:cs="Arial"/>
                <w:b/>
                <w:bCs/>
                <w:sz w:val="18"/>
                <w:szCs w:val="18"/>
              </w:rPr>
            </w:pPr>
            <w:r>
              <w:rPr>
                <w:rFonts w:cs="Arial"/>
                <w:b/>
                <w:bCs/>
                <w:sz w:val="18"/>
                <w:szCs w:val="18"/>
              </w:rPr>
              <w:t>Goods and services supplied or rendered</w:t>
            </w:r>
          </w:p>
        </w:tc>
        <w:tc>
          <w:tcPr>
            <w:tcW w:w="1256" w:type="dxa"/>
            <w:tcBorders>
              <w:top w:val="nil"/>
              <w:left w:val="nil"/>
              <w:bottom w:val="nil"/>
              <w:right w:val="nil"/>
            </w:tcBorders>
            <w:shd w:val="clear" w:color="000000" w:fill="D9D9D9"/>
            <w:noWrap/>
            <w:vAlign w:val="bottom"/>
            <w:hideMark/>
          </w:tcPr>
          <w:p w14:paraId="3C85F40D"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79F05B21"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14E4FAF9" w14:textId="77777777" w:rsidR="00AB6753" w:rsidRDefault="00AB6753" w:rsidP="002D1EA4">
            <w:pPr>
              <w:spacing w:after="0"/>
              <w:rPr>
                <w:rFonts w:cs="Arial"/>
                <w:sz w:val="16"/>
                <w:szCs w:val="16"/>
              </w:rPr>
            </w:pPr>
            <w:r>
              <w:rPr>
                <w:rFonts w:cs="Arial"/>
                <w:sz w:val="16"/>
                <w:szCs w:val="16"/>
              </w:rPr>
              <w:t> </w:t>
            </w:r>
          </w:p>
        </w:tc>
      </w:tr>
      <w:tr w:rsidR="00AB6753" w14:paraId="09E2A937" w14:textId="77777777" w:rsidTr="002D1EA4">
        <w:trPr>
          <w:trHeight w:val="255"/>
        </w:trPr>
        <w:tc>
          <w:tcPr>
            <w:tcW w:w="6416" w:type="dxa"/>
            <w:tcBorders>
              <w:top w:val="nil"/>
              <w:left w:val="nil"/>
              <w:bottom w:val="nil"/>
              <w:right w:val="nil"/>
            </w:tcBorders>
            <w:shd w:val="clear" w:color="000000" w:fill="D9D9D9"/>
            <w:noWrap/>
            <w:vAlign w:val="bottom"/>
            <w:hideMark/>
          </w:tcPr>
          <w:p w14:paraId="673E546B" w14:textId="77777777" w:rsidR="00AB6753" w:rsidRDefault="00AB6753" w:rsidP="002D1EA4">
            <w:pPr>
              <w:spacing w:after="0"/>
              <w:rPr>
                <w:rFonts w:cs="Arial"/>
                <w:sz w:val="18"/>
                <w:szCs w:val="18"/>
              </w:rPr>
            </w:pPr>
            <w:r>
              <w:rPr>
                <w:rFonts w:cs="Arial"/>
                <w:sz w:val="18"/>
                <w:szCs w:val="18"/>
              </w:rPr>
              <w:t>Settlement services</w:t>
            </w:r>
          </w:p>
        </w:tc>
        <w:tc>
          <w:tcPr>
            <w:tcW w:w="1256" w:type="dxa"/>
            <w:tcBorders>
              <w:top w:val="nil"/>
              <w:left w:val="nil"/>
              <w:bottom w:val="nil"/>
              <w:right w:val="nil"/>
            </w:tcBorders>
            <w:shd w:val="clear" w:color="000000" w:fill="D9D9D9"/>
            <w:noWrap/>
            <w:vAlign w:val="bottom"/>
            <w:hideMark/>
          </w:tcPr>
          <w:p w14:paraId="5D3988BA" w14:textId="77777777" w:rsidR="00AB6753" w:rsidRDefault="00AB6753" w:rsidP="002D1EA4">
            <w:pPr>
              <w:spacing w:after="0"/>
              <w:jc w:val="right"/>
              <w:rPr>
                <w:rFonts w:cs="Arial"/>
                <w:b/>
                <w:bCs/>
                <w:sz w:val="18"/>
                <w:szCs w:val="18"/>
              </w:rPr>
            </w:pPr>
            <w:r>
              <w:rPr>
                <w:rFonts w:cs="Arial"/>
                <w:b/>
                <w:bCs/>
                <w:sz w:val="18"/>
                <w:szCs w:val="18"/>
              </w:rPr>
              <w:t>-</w:t>
            </w:r>
          </w:p>
        </w:tc>
        <w:tc>
          <w:tcPr>
            <w:tcW w:w="267" w:type="dxa"/>
            <w:tcBorders>
              <w:top w:val="nil"/>
              <w:left w:val="nil"/>
              <w:bottom w:val="nil"/>
              <w:right w:val="nil"/>
            </w:tcBorders>
            <w:shd w:val="clear" w:color="000000" w:fill="D9D9D9"/>
            <w:noWrap/>
            <w:vAlign w:val="bottom"/>
            <w:hideMark/>
          </w:tcPr>
          <w:p w14:paraId="033F2B14"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single" w:sz="4" w:space="0" w:color="D9D9D9"/>
              <w:right w:val="nil"/>
            </w:tcBorders>
            <w:shd w:val="clear" w:color="000000" w:fill="D9D9D9"/>
            <w:noWrap/>
            <w:vAlign w:val="bottom"/>
            <w:hideMark/>
          </w:tcPr>
          <w:p w14:paraId="29645A23" w14:textId="77777777" w:rsidR="00AB6753" w:rsidRDefault="00AB6753" w:rsidP="002D1EA4">
            <w:pPr>
              <w:spacing w:after="0"/>
              <w:jc w:val="right"/>
              <w:rPr>
                <w:rFonts w:cs="Arial"/>
                <w:sz w:val="18"/>
                <w:szCs w:val="18"/>
              </w:rPr>
            </w:pPr>
            <w:r>
              <w:rPr>
                <w:rFonts w:cs="Arial"/>
                <w:sz w:val="18"/>
                <w:szCs w:val="18"/>
              </w:rPr>
              <w:t>103,545</w:t>
            </w:r>
          </w:p>
        </w:tc>
      </w:tr>
      <w:tr w:rsidR="00AB6753" w14:paraId="64B5BB61" w14:textId="77777777" w:rsidTr="002D1EA4">
        <w:trPr>
          <w:trHeight w:val="255"/>
        </w:trPr>
        <w:tc>
          <w:tcPr>
            <w:tcW w:w="6416" w:type="dxa"/>
            <w:tcBorders>
              <w:top w:val="nil"/>
              <w:left w:val="nil"/>
              <w:bottom w:val="nil"/>
              <w:right w:val="nil"/>
            </w:tcBorders>
            <w:shd w:val="clear" w:color="000000" w:fill="D9D9D9"/>
            <w:noWrap/>
            <w:vAlign w:val="bottom"/>
            <w:hideMark/>
          </w:tcPr>
          <w:p w14:paraId="57826BCF" w14:textId="77777777" w:rsidR="00AB6753" w:rsidRDefault="00AB6753" w:rsidP="002D1EA4">
            <w:pPr>
              <w:spacing w:after="0"/>
              <w:rPr>
                <w:rFonts w:cs="Arial"/>
                <w:sz w:val="18"/>
                <w:szCs w:val="18"/>
              </w:rPr>
            </w:pPr>
            <w:r>
              <w:rPr>
                <w:rFonts w:cs="Arial"/>
                <w:sz w:val="18"/>
                <w:szCs w:val="18"/>
              </w:rPr>
              <w:t>Consultants and contractors</w:t>
            </w:r>
          </w:p>
        </w:tc>
        <w:tc>
          <w:tcPr>
            <w:tcW w:w="1256" w:type="dxa"/>
            <w:tcBorders>
              <w:top w:val="nil"/>
              <w:left w:val="nil"/>
              <w:bottom w:val="nil"/>
              <w:right w:val="nil"/>
            </w:tcBorders>
            <w:shd w:val="clear" w:color="000000" w:fill="D9D9D9"/>
            <w:noWrap/>
            <w:vAlign w:val="bottom"/>
            <w:hideMark/>
          </w:tcPr>
          <w:p w14:paraId="416ED351" w14:textId="77777777" w:rsidR="00AB6753" w:rsidRDefault="00AB6753" w:rsidP="002D1EA4">
            <w:pPr>
              <w:spacing w:after="0"/>
              <w:jc w:val="right"/>
              <w:rPr>
                <w:rFonts w:cs="Arial"/>
                <w:b/>
                <w:bCs/>
                <w:sz w:val="18"/>
                <w:szCs w:val="18"/>
              </w:rPr>
            </w:pPr>
            <w:r>
              <w:rPr>
                <w:rFonts w:cs="Arial"/>
                <w:b/>
                <w:bCs/>
                <w:sz w:val="18"/>
                <w:szCs w:val="18"/>
              </w:rPr>
              <w:t>49,225</w:t>
            </w:r>
          </w:p>
        </w:tc>
        <w:tc>
          <w:tcPr>
            <w:tcW w:w="267" w:type="dxa"/>
            <w:tcBorders>
              <w:top w:val="nil"/>
              <w:left w:val="nil"/>
              <w:bottom w:val="nil"/>
              <w:right w:val="nil"/>
            </w:tcBorders>
            <w:shd w:val="clear" w:color="000000" w:fill="D9D9D9"/>
            <w:noWrap/>
            <w:vAlign w:val="bottom"/>
            <w:hideMark/>
          </w:tcPr>
          <w:p w14:paraId="53ADB293"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single" w:sz="4" w:space="0" w:color="D9D9D9"/>
              <w:right w:val="nil"/>
            </w:tcBorders>
            <w:shd w:val="clear" w:color="000000" w:fill="D9D9D9"/>
            <w:noWrap/>
            <w:vAlign w:val="bottom"/>
            <w:hideMark/>
          </w:tcPr>
          <w:p w14:paraId="49A89DAC" w14:textId="77777777" w:rsidR="00AB6753" w:rsidRDefault="00AB6753" w:rsidP="002D1EA4">
            <w:pPr>
              <w:spacing w:after="0"/>
              <w:jc w:val="right"/>
              <w:rPr>
                <w:rFonts w:cs="Arial"/>
                <w:sz w:val="18"/>
                <w:szCs w:val="18"/>
              </w:rPr>
            </w:pPr>
            <w:r>
              <w:rPr>
                <w:rFonts w:cs="Arial"/>
                <w:sz w:val="18"/>
                <w:szCs w:val="18"/>
              </w:rPr>
              <w:t>40,404</w:t>
            </w:r>
          </w:p>
        </w:tc>
      </w:tr>
      <w:tr w:rsidR="00AB6753" w14:paraId="5391A74C" w14:textId="77777777" w:rsidTr="002D1EA4">
        <w:trPr>
          <w:trHeight w:val="255"/>
        </w:trPr>
        <w:tc>
          <w:tcPr>
            <w:tcW w:w="6416" w:type="dxa"/>
            <w:tcBorders>
              <w:top w:val="nil"/>
              <w:left w:val="nil"/>
              <w:bottom w:val="nil"/>
              <w:right w:val="nil"/>
            </w:tcBorders>
            <w:shd w:val="clear" w:color="000000" w:fill="D9D9D9"/>
            <w:noWrap/>
            <w:vAlign w:val="bottom"/>
            <w:hideMark/>
          </w:tcPr>
          <w:p w14:paraId="2AE267A9" w14:textId="77777777" w:rsidR="00AB6753" w:rsidRDefault="00AB6753" w:rsidP="002D1EA4">
            <w:pPr>
              <w:spacing w:after="0"/>
              <w:rPr>
                <w:rFonts w:cs="Arial"/>
                <w:sz w:val="18"/>
                <w:szCs w:val="18"/>
              </w:rPr>
            </w:pPr>
            <w:r>
              <w:rPr>
                <w:rFonts w:cs="Arial"/>
                <w:sz w:val="18"/>
                <w:szCs w:val="18"/>
              </w:rPr>
              <w:t>Research services</w:t>
            </w:r>
          </w:p>
        </w:tc>
        <w:tc>
          <w:tcPr>
            <w:tcW w:w="1256" w:type="dxa"/>
            <w:tcBorders>
              <w:top w:val="nil"/>
              <w:left w:val="nil"/>
              <w:bottom w:val="nil"/>
              <w:right w:val="nil"/>
            </w:tcBorders>
            <w:shd w:val="clear" w:color="000000" w:fill="D9D9D9"/>
            <w:noWrap/>
            <w:vAlign w:val="bottom"/>
            <w:hideMark/>
          </w:tcPr>
          <w:p w14:paraId="4AAF75B1" w14:textId="77777777" w:rsidR="00AB6753" w:rsidRDefault="00AB6753" w:rsidP="002D1EA4">
            <w:pPr>
              <w:spacing w:after="0"/>
              <w:jc w:val="right"/>
              <w:rPr>
                <w:rFonts w:cs="Arial"/>
                <w:b/>
                <w:bCs/>
                <w:sz w:val="18"/>
                <w:szCs w:val="18"/>
              </w:rPr>
            </w:pPr>
            <w:r>
              <w:rPr>
                <w:rFonts w:cs="Arial"/>
                <w:b/>
                <w:bCs/>
                <w:sz w:val="18"/>
                <w:szCs w:val="18"/>
              </w:rPr>
              <w:t>41,757</w:t>
            </w:r>
          </w:p>
        </w:tc>
        <w:tc>
          <w:tcPr>
            <w:tcW w:w="267" w:type="dxa"/>
            <w:tcBorders>
              <w:top w:val="nil"/>
              <w:left w:val="nil"/>
              <w:bottom w:val="nil"/>
              <w:right w:val="nil"/>
            </w:tcBorders>
            <w:shd w:val="clear" w:color="000000" w:fill="D9D9D9"/>
            <w:noWrap/>
            <w:vAlign w:val="bottom"/>
            <w:hideMark/>
          </w:tcPr>
          <w:p w14:paraId="4842E316"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single" w:sz="4" w:space="0" w:color="D9D9D9"/>
              <w:right w:val="nil"/>
            </w:tcBorders>
            <w:shd w:val="clear" w:color="000000" w:fill="D9D9D9"/>
            <w:noWrap/>
            <w:vAlign w:val="bottom"/>
            <w:hideMark/>
          </w:tcPr>
          <w:p w14:paraId="490EB063" w14:textId="77777777" w:rsidR="00AB6753" w:rsidRDefault="00AB6753" w:rsidP="002D1EA4">
            <w:pPr>
              <w:spacing w:after="0"/>
              <w:jc w:val="right"/>
              <w:rPr>
                <w:rFonts w:cs="Arial"/>
                <w:sz w:val="18"/>
                <w:szCs w:val="18"/>
              </w:rPr>
            </w:pPr>
            <w:r>
              <w:rPr>
                <w:rFonts w:cs="Arial"/>
                <w:sz w:val="18"/>
                <w:szCs w:val="18"/>
              </w:rPr>
              <w:t>26,190</w:t>
            </w:r>
          </w:p>
        </w:tc>
      </w:tr>
      <w:tr w:rsidR="00AB6753" w14:paraId="607E515C" w14:textId="77777777" w:rsidTr="002D1EA4">
        <w:trPr>
          <w:trHeight w:val="255"/>
        </w:trPr>
        <w:tc>
          <w:tcPr>
            <w:tcW w:w="6416" w:type="dxa"/>
            <w:tcBorders>
              <w:top w:val="nil"/>
              <w:left w:val="nil"/>
              <w:bottom w:val="nil"/>
              <w:right w:val="nil"/>
            </w:tcBorders>
            <w:shd w:val="clear" w:color="000000" w:fill="D9D9D9"/>
            <w:noWrap/>
            <w:vAlign w:val="bottom"/>
            <w:hideMark/>
          </w:tcPr>
          <w:p w14:paraId="15CBE694" w14:textId="77777777" w:rsidR="00AB6753" w:rsidRDefault="00AB6753" w:rsidP="002D1EA4">
            <w:pPr>
              <w:spacing w:after="0"/>
              <w:rPr>
                <w:rFonts w:cs="Arial"/>
                <w:sz w:val="18"/>
                <w:szCs w:val="18"/>
              </w:rPr>
            </w:pPr>
            <w:r>
              <w:rPr>
                <w:rFonts w:cs="Arial"/>
                <w:sz w:val="18"/>
                <w:szCs w:val="18"/>
              </w:rPr>
              <w:t>Disability employment services</w:t>
            </w:r>
          </w:p>
        </w:tc>
        <w:tc>
          <w:tcPr>
            <w:tcW w:w="1256" w:type="dxa"/>
            <w:tcBorders>
              <w:top w:val="nil"/>
              <w:left w:val="nil"/>
              <w:bottom w:val="nil"/>
              <w:right w:val="nil"/>
            </w:tcBorders>
            <w:shd w:val="clear" w:color="000000" w:fill="D9D9D9"/>
            <w:noWrap/>
            <w:vAlign w:val="bottom"/>
            <w:hideMark/>
          </w:tcPr>
          <w:p w14:paraId="4A5978AF" w14:textId="77777777" w:rsidR="00AB6753" w:rsidRDefault="00AB6753" w:rsidP="002D1EA4">
            <w:pPr>
              <w:spacing w:after="0"/>
              <w:jc w:val="right"/>
              <w:rPr>
                <w:rFonts w:cs="Arial"/>
                <w:b/>
                <w:bCs/>
                <w:sz w:val="18"/>
                <w:szCs w:val="18"/>
              </w:rPr>
            </w:pPr>
            <w:r>
              <w:rPr>
                <w:rFonts w:cs="Arial"/>
                <w:b/>
                <w:bCs/>
                <w:sz w:val="18"/>
                <w:szCs w:val="18"/>
              </w:rPr>
              <w:t>18,633</w:t>
            </w:r>
          </w:p>
        </w:tc>
        <w:tc>
          <w:tcPr>
            <w:tcW w:w="267" w:type="dxa"/>
            <w:tcBorders>
              <w:top w:val="nil"/>
              <w:left w:val="nil"/>
              <w:bottom w:val="nil"/>
              <w:right w:val="nil"/>
            </w:tcBorders>
            <w:shd w:val="clear" w:color="000000" w:fill="D9D9D9"/>
            <w:noWrap/>
            <w:vAlign w:val="bottom"/>
            <w:hideMark/>
          </w:tcPr>
          <w:p w14:paraId="65779EE6"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single" w:sz="4" w:space="0" w:color="D9D9D9"/>
              <w:right w:val="nil"/>
            </w:tcBorders>
            <w:shd w:val="clear" w:color="000000" w:fill="D9D9D9"/>
            <w:noWrap/>
            <w:vAlign w:val="bottom"/>
            <w:hideMark/>
          </w:tcPr>
          <w:p w14:paraId="3917C8C7" w14:textId="77777777" w:rsidR="00AB6753" w:rsidRDefault="00AB6753" w:rsidP="002D1EA4">
            <w:pPr>
              <w:spacing w:after="0"/>
              <w:jc w:val="right"/>
              <w:rPr>
                <w:rFonts w:cs="Arial"/>
                <w:sz w:val="18"/>
                <w:szCs w:val="18"/>
              </w:rPr>
            </w:pPr>
            <w:r>
              <w:rPr>
                <w:rFonts w:cs="Arial"/>
                <w:sz w:val="18"/>
                <w:szCs w:val="18"/>
              </w:rPr>
              <w:t>17,007</w:t>
            </w:r>
          </w:p>
        </w:tc>
      </w:tr>
      <w:tr w:rsidR="00AB6753" w14:paraId="526D24F1" w14:textId="77777777" w:rsidTr="002D1EA4">
        <w:trPr>
          <w:trHeight w:val="255"/>
        </w:trPr>
        <w:tc>
          <w:tcPr>
            <w:tcW w:w="6416" w:type="dxa"/>
            <w:tcBorders>
              <w:top w:val="nil"/>
              <w:left w:val="nil"/>
              <w:bottom w:val="nil"/>
              <w:right w:val="nil"/>
            </w:tcBorders>
            <w:shd w:val="clear" w:color="000000" w:fill="D9D9D9"/>
            <w:noWrap/>
            <w:vAlign w:val="bottom"/>
            <w:hideMark/>
          </w:tcPr>
          <w:p w14:paraId="690412CE" w14:textId="77777777" w:rsidR="00AB6753" w:rsidRDefault="00AB6753" w:rsidP="002D1EA4">
            <w:pPr>
              <w:spacing w:after="0"/>
              <w:rPr>
                <w:rFonts w:cs="Arial"/>
                <w:sz w:val="18"/>
                <w:szCs w:val="18"/>
              </w:rPr>
            </w:pPr>
            <w:r>
              <w:rPr>
                <w:rFonts w:cs="Arial"/>
                <w:sz w:val="18"/>
                <w:szCs w:val="18"/>
              </w:rPr>
              <w:t>Advertising, legal and marketing costs</w:t>
            </w:r>
          </w:p>
        </w:tc>
        <w:tc>
          <w:tcPr>
            <w:tcW w:w="1256" w:type="dxa"/>
            <w:tcBorders>
              <w:top w:val="nil"/>
              <w:left w:val="nil"/>
              <w:bottom w:val="nil"/>
              <w:right w:val="nil"/>
            </w:tcBorders>
            <w:shd w:val="clear" w:color="000000" w:fill="D9D9D9"/>
            <w:noWrap/>
            <w:vAlign w:val="bottom"/>
            <w:hideMark/>
          </w:tcPr>
          <w:p w14:paraId="5C52679D" w14:textId="77777777" w:rsidR="00AB6753" w:rsidRDefault="00AB6753" w:rsidP="002D1EA4">
            <w:pPr>
              <w:spacing w:after="0"/>
              <w:jc w:val="right"/>
              <w:rPr>
                <w:rFonts w:cs="Arial"/>
                <w:b/>
                <w:bCs/>
                <w:sz w:val="18"/>
                <w:szCs w:val="18"/>
              </w:rPr>
            </w:pPr>
            <w:r>
              <w:rPr>
                <w:rFonts w:cs="Arial"/>
                <w:b/>
                <w:bCs/>
                <w:sz w:val="18"/>
                <w:szCs w:val="18"/>
              </w:rPr>
              <w:t>8,126</w:t>
            </w:r>
          </w:p>
        </w:tc>
        <w:tc>
          <w:tcPr>
            <w:tcW w:w="267" w:type="dxa"/>
            <w:tcBorders>
              <w:top w:val="nil"/>
              <w:left w:val="nil"/>
              <w:bottom w:val="nil"/>
              <w:right w:val="nil"/>
            </w:tcBorders>
            <w:shd w:val="clear" w:color="000000" w:fill="D9D9D9"/>
            <w:noWrap/>
            <w:vAlign w:val="bottom"/>
            <w:hideMark/>
          </w:tcPr>
          <w:p w14:paraId="605DD8C3"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single" w:sz="4" w:space="0" w:color="D9D9D9"/>
              <w:right w:val="nil"/>
            </w:tcBorders>
            <w:shd w:val="clear" w:color="000000" w:fill="D9D9D9"/>
            <w:noWrap/>
            <w:vAlign w:val="bottom"/>
            <w:hideMark/>
          </w:tcPr>
          <w:p w14:paraId="0B518BCE" w14:textId="77777777" w:rsidR="00AB6753" w:rsidRDefault="00AB6753" w:rsidP="002D1EA4">
            <w:pPr>
              <w:spacing w:after="0"/>
              <w:jc w:val="right"/>
              <w:rPr>
                <w:rFonts w:cs="Arial"/>
                <w:sz w:val="18"/>
                <w:szCs w:val="18"/>
              </w:rPr>
            </w:pPr>
            <w:r>
              <w:rPr>
                <w:rFonts w:cs="Arial"/>
                <w:sz w:val="18"/>
                <w:szCs w:val="18"/>
              </w:rPr>
              <w:t>8,041</w:t>
            </w:r>
          </w:p>
        </w:tc>
      </w:tr>
      <w:tr w:rsidR="00AB6753" w14:paraId="7214358D" w14:textId="77777777" w:rsidTr="002D1EA4">
        <w:trPr>
          <w:trHeight w:val="255"/>
        </w:trPr>
        <w:tc>
          <w:tcPr>
            <w:tcW w:w="6416" w:type="dxa"/>
            <w:tcBorders>
              <w:top w:val="nil"/>
              <w:left w:val="nil"/>
              <w:bottom w:val="nil"/>
              <w:right w:val="nil"/>
            </w:tcBorders>
            <w:shd w:val="clear" w:color="000000" w:fill="D9D9D9"/>
            <w:noWrap/>
            <w:vAlign w:val="bottom"/>
            <w:hideMark/>
          </w:tcPr>
          <w:p w14:paraId="402F19DA" w14:textId="77777777" w:rsidR="00AB6753" w:rsidRDefault="00AB6753" w:rsidP="002D1EA4">
            <w:pPr>
              <w:spacing w:after="0"/>
              <w:rPr>
                <w:rFonts w:cs="Arial"/>
                <w:sz w:val="18"/>
                <w:szCs w:val="18"/>
              </w:rPr>
            </w:pPr>
            <w:r>
              <w:rPr>
                <w:rFonts w:cs="Arial"/>
                <w:sz w:val="18"/>
                <w:szCs w:val="18"/>
              </w:rPr>
              <w:t>Other</w:t>
            </w:r>
          </w:p>
        </w:tc>
        <w:tc>
          <w:tcPr>
            <w:tcW w:w="1256" w:type="dxa"/>
            <w:tcBorders>
              <w:top w:val="nil"/>
              <w:left w:val="nil"/>
              <w:bottom w:val="nil"/>
              <w:right w:val="nil"/>
            </w:tcBorders>
            <w:shd w:val="clear" w:color="000000" w:fill="D9D9D9"/>
            <w:noWrap/>
            <w:vAlign w:val="bottom"/>
            <w:hideMark/>
          </w:tcPr>
          <w:p w14:paraId="69FF940A" w14:textId="77777777" w:rsidR="00AB6753" w:rsidRDefault="00AB6753" w:rsidP="002D1EA4">
            <w:pPr>
              <w:spacing w:after="0"/>
              <w:jc w:val="right"/>
              <w:rPr>
                <w:rFonts w:cs="Arial"/>
                <w:b/>
                <w:bCs/>
                <w:sz w:val="18"/>
                <w:szCs w:val="18"/>
              </w:rPr>
            </w:pPr>
            <w:r>
              <w:rPr>
                <w:rFonts w:cs="Arial"/>
                <w:b/>
                <w:bCs/>
                <w:sz w:val="18"/>
                <w:szCs w:val="18"/>
              </w:rPr>
              <w:t>10,415</w:t>
            </w:r>
          </w:p>
        </w:tc>
        <w:tc>
          <w:tcPr>
            <w:tcW w:w="267" w:type="dxa"/>
            <w:tcBorders>
              <w:top w:val="nil"/>
              <w:left w:val="nil"/>
              <w:bottom w:val="nil"/>
              <w:right w:val="nil"/>
            </w:tcBorders>
            <w:shd w:val="clear" w:color="000000" w:fill="D9D9D9"/>
            <w:noWrap/>
            <w:vAlign w:val="bottom"/>
            <w:hideMark/>
          </w:tcPr>
          <w:p w14:paraId="0CDF274A"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single" w:sz="4" w:space="0" w:color="D9D9D9"/>
              <w:right w:val="nil"/>
            </w:tcBorders>
            <w:shd w:val="clear" w:color="000000" w:fill="D9D9D9"/>
            <w:noWrap/>
            <w:vAlign w:val="bottom"/>
            <w:hideMark/>
          </w:tcPr>
          <w:p w14:paraId="67F30BAF" w14:textId="77777777" w:rsidR="00AB6753" w:rsidRDefault="00AB6753" w:rsidP="002D1EA4">
            <w:pPr>
              <w:spacing w:after="0"/>
              <w:jc w:val="right"/>
              <w:rPr>
                <w:rFonts w:cs="Arial"/>
                <w:sz w:val="18"/>
                <w:szCs w:val="18"/>
              </w:rPr>
            </w:pPr>
            <w:r>
              <w:rPr>
                <w:rFonts w:cs="Arial"/>
                <w:sz w:val="18"/>
                <w:szCs w:val="18"/>
              </w:rPr>
              <w:t>34,232</w:t>
            </w:r>
          </w:p>
        </w:tc>
      </w:tr>
      <w:tr w:rsidR="00AB6753" w14:paraId="4C27BC89" w14:textId="77777777" w:rsidTr="002D1EA4">
        <w:trPr>
          <w:trHeight w:val="255"/>
        </w:trPr>
        <w:tc>
          <w:tcPr>
            <w:tcW w:w="6416" w:type="dxa"/>
            <w:tcBorders>
              <w:top w:val="single" w:sz="4" w:space="0" w:color="D9D9D9"/>
              <w:left w:val="nil"/>
              <w:bottom w:val="single" w:sz="4" w:space="0" w:color="D9D9D9"/>
              <w:right w:val="nil"/>
            </w:tcBorders>
            <w:shd w:val="clear" w:color="000000" w:fill="D9D9D9"/>
            <w:noWrap/>
            <w:vAlign w:val="bottom"/>
            <w:hideMark/>
          </w:tcPr>
          <w:p w14:paraId="0C576188" w14:textId="77777777" w:rsidR="00AB6753" w:rsidRDefault="00AB6753" w:rsidP="002D1EA4">
            <w:pPr>
              <w:spacing w:after="0"/>
              <w:rPr>
                <w:rFonts w:cs="Arial"/>
                <w:b/>
                <w:bCs/>
                <w:sz w:val="18"/>
                <w:szCs w:val="18"/>
              </w:rPr>
            </w:pPr>
            <w:r>
              <w:rPr>
                <w:rFonts w:cs="Arial"/>
                <w:b/>
                <w:bCs/>
                <w:sz w:val="18"/>
                <w:szCs w:val="18"/>
              </w:rPr>
              <w:t>Total goods and services supplied or rendered</w:t>
            </w:r>
          </w:p>
        </w:tc>
        <w:tc>
          <w:tcPr>
            <w:tcW w:w="1256" w:type="dxa"/>
            <w:tcBorders>
              <w:top w:val="single" w:sz="4" w:space="0" w:color="auto"/>
              <w:left w:val="nil"/>
              <w:bottom w:val="single" w:sz="4" w:space="0" w:color="auto"/>
              <w:right w:val="nil"/>
            </w:tcBorders>
            <w:shd w:val="clear" w:color="000000" w:fill="D9D9D9"/>
            <w:noWrap/>
            <w:vAlign w:val="bottom"/>
            <w:hideMark/>
          </w:tcPr>
          <w:p w14:paraId="0F4542E6" w14:textId="77777777" w:rsidR="00AB6753" w:rsidRDefault="00AB6753" w:rsidP="002D1EA4">
            <w:pPr>
              <w:spacing w:after="0"/>
              <w:jc w:val="right"/>
              <w:rPr>
                <w:rFonts w:cs="Arial"/>
                <w:b/>
                <w:bCs/>
                <w:sz w:val="18"/>
                <w:szCs w:val="18"/>
              </w:rPr>
            </w:pPr>
            <w:r>
              <w:rPr>
                <w:rFonts w:cs="Arial"/>
                <w:b/>
                <w:bCs/>
                <w:sz w:val="18"/>
                <w:szCs w:val="18"/>
              </w:rPr>
              <w:t>128,156</w:t>
            </w:r>
          </w:p>
        </w:tc>
        <w:tc>
          <w:tcPr>
            <w:tcW w:w="267" w:type="dxa"/>
            <w:tcBorders>
              <w:top w:val="single" w:sz="4" w:space="0" w:color="D9D9D9"/>
              <w:left w:val="nil"/>
              <w:bottom w:val="single" w:sz="4" w:space="0" w:color="D9D9D9"/>
              <w:right w:val="nil"/>
            </w:tcBorders>
            <w:shd w:val="clear" w:color="000000" w:fill="D9D9D9"/>
            <w:noWrap/>
            <w:vAlign w:val="bottom"/>
            <w:hideMark/>
          </w:tcPr>
          <w:p w14:paraId="6F2436A3" w14:textId="77777777" w:rsidR="00AB6753" w:rsidRDefault="00AB6753" w:rsidP="002D1EA4">
            <w:pPr>
              <w:spacing w:after="0"/>
              <w:rPr>
                <w:rFonts w:cs="Arial"/>
                <w:sz w:val="16"/>
                <w:szCs w:val="16"/>
              </w:rPr>
            </w:pPr>
            <w:r>
              <w:rPr>
                <w:rFonts w:cs="Arial"/>
                <w:sz w:val="16"/>
                <w:szCs w:val="16"/>
              </w:rPr>
              <w:t> </w:t>
            </w:r>
          </w:p>
        </w:tc>
        <w:tc>
          <w:tcPr>
            <w:tcW w:w="1256" w:type="dxa"/>
            <w:tcBorders>
              <w:top w:val="single" w:sz="4" w:space="0" w:color="auto"/>
              <w:left w:val="nil"/>
              <w:bottom w:val="single" w:sz="4" w:space="0" w:color="auto"/>
              <w:right w:val="nil"/>
            </w:tcBorders>
            <w:shd w:val="clear" w:color="000000" w:fill="D9D9D9"/>
            <w:noWrap/>
            <w:vAlign w:val="bottom"/>
            <w:hideMark/>
          </w:tcPr>
          <w:p w14:paraId="5B50F72F" w14:textId="77777777" w:rsidR="00AB6753" w:rsidRDefault="00AB6753" w:rsidP="002D1EA4">
            <w:pPr>
              <w:spacing w:after="0"/>
              <w:jc w:val="right"/>
              <w:rPr>
                <w:rFonts w:cs="Arial"/>
                <w:sz w:val="18"/>
                <w:szCs w:val="18"/>
              </w:rPr>
            </w:pPr>
            <w:r>
              <w:rPr>
                <w:rFonts w:cs="Arial"/>
                <w:sz w:val="18"/>
                <w:szCs w:val="18"/>
              </w:rPr>
              <w:t>229,419</w:t>
            </w:r>
          </w:p>
        </w:tc>
      </w:tr>
      <w:tr w:rsidR="00AB6753" w14:paraId="1B1EAEFA" w14:textId="77777777" w:rsidTr="002D1EA4">
        <w:trPr>
          <w:trHeight w:val="255"/>
        </w:trPr>
        <w:tc>
          <w:tcPr>
            <w:tcW w:w="6416" w:type="dxa"/>
            <w:tcBorders>
              <w:top w:val="nil"/>
              <w:left w:val="nil"/>
              <w:bottom w:val="nil"/>
              <w:right w:val="nil"/>
            </w:tcBorders>
            <w:shd w:val="clear" w:color="000000" w:fill="D9D9D9"/>
            <w:noWrap/>
            <w:vAlign w:val="bottom"/>
            <w:hideMark/>
          </w:tcPr>
          <w:p w14:paraId="2B78B447"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50A8DFD5" w14:textId="77777777" w:rsidR="00AB6753" w:rsidRDefault="00AB6753" w:rsidP="002D1EA4">
            <w:pPr>
              <w:spacing w:after="0"/>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799FD8A0"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044661B2" w14:textId="77777777" w:rsidR="00AB6753" w:rsidRDefault="00AB6753" w:rsidP="002D1EA4">
            <w:pPr>
              <w:spacing w:after="0"/>
              <w:rPr>
                <w:rFonts w:cs="Arial"/>
                <w:sz w:val="16"/>
                <w:szCs w:val="16"/>
              </w:rPr>
            </w:pPr>
            <w:r>
              <w:rPr>
                <w:rFonts w:cs="Arial"/>
                <w:sz w:val="16"/>
                <w:szCs w:val="16"/>
              </w:rPr>
              <w:t> </w:t>
            </w:r>
          </w:p>
        </w:tc>
      </w:tr>
      <w:tr w:rsidR="00AB6753" w14:paraId="39168B5D" w14:textId="77777777" w:rsidTr="002D1EA4">
        <w:trPr>
          <w:trHeight w:val="255"/>
        </w:trPr>
        <w:tc>
          <w:tcPr>
            <w:tcW w:w="6416" w:type="dxa"/>
            <w:tcBorders>
              <w:top w:val="nil"/>
              <w:left w:val="nil"/>
              <w:bottom w:val="nil"/>
              <w:right w:val="nil"/>
            </w:tcBorders>
            <w:shd w:val="clear" w:color="000000" w:fill="D9D9D9"/>
            <w:noWrap/>
            <w:vAlign w:val="bottom"/>
            <w:hideMark/>
          </w:tcPr>
          <w:p w14:paraId="032B60F9" w14:textId="77777777" w:rsidR="00AB6753" w:rsidRDefault="00AB6753" w:rsidP="002D1EA4">
            <w:pPr>
              <w:spacing w:after="0"/>
              <w:rPr>
                <w:rFonts w:cs="Arial"/>
                <w:sz w:val="18"/>
                <w:szCs w:val="18"/>
              </w:rPr>
            </w:pPr>
            <w:r>
              <w:rPr>
                <w:rFonts w:cs="Arial"/>
                <w:sz w:val="18"/>
                <w:szCs w:val="18"/>
              </w:rPr>
              <w:t>Goods supplied</w:t>
            </w:r>
          </w:p>
        </w:tc>
        <w:tc>
          <w:tcPr>
            <w:tcW w:w="1256" w:type="dxa"/>
            <w:tcBorders>
              <w:top w:val="nil"/>
              <w:left w:val="nil"/>
              <w:bottom w:val="nil"/>
              <w:right w:val="nil"/>
            </w:tcBorders>
            <w:shd w:val="clear" w:color="000000" w:fill="D9D9D9"/>
            <w:noWrap/>
            <w:vAlign w:val="bottom"/>
            <w:hideMark/>
          </w:tcPr>
          <w:p w14:paraId="3233F41E" w14:textId="77777777" w:rsidR="00AB6753" w:rsidRDefault="00AB6753" w:rsidP="002D1EA4">
            <w:pPr>
              <w:spacing w:after="0"/>
              <w:jc w:val="right"/>
              <w:rPr>
                <w:rFonts w:cs="Arial"/>
                <w:b/>
                <w:bCs/>
                <w:sz w:val="18"/>
                <w:szCs w:val="18"/>
              </w:rPr>
            </w:pPr>
            <w:r>
              <w:rPr>
                <w:rFonts w:cs="Arial"/>
                <w:b/>
                <w:bCs/>
                <w:sz w:val="18"/>
                <w:szCs w:val="18"/>
              </w:rPr>
              <w:t>1,079</w:t>
            </w:r>
          </w:p>
        </w:tc>
        <w:tc>
          <w:tcPr>
            <w:tcW w:w="267" w:type="dxa"/>
            <w:tcBorders>
              <w:top w:val="nil"/>
              <w:left w:val="nil"/>
              <w:bottom w:val="nil"/>
              <w:right w:val="nil"/>
            </w:tcBorders>
            <w:shd w:val="clear" w:color="000000" w:fill="D9D9D9"/>
            <w:noWrap/>
            <w:vAlign w:val="bottom"/>
            <w:hideMark/>
          </w:tcPr>
          <w:p w14:paraId="0E28FD91" w14:textId="77777777" w:rsidR="00AB6753" w:rsidRDefault="00AB6753" w:rsidP="002D1EA4">
            <w:pPr>
              <w:spacing w:after="0"/>
              <w:jc w:val="right"/>
              <w:rPr>
                <w:rFonts w:cs="Arial"/>
                <w:b/>
                <w:bCs/>
                <w:sz w:val="18"/>
                <w:szCs w:val="18"/>
              </w:rPr>
            </w:pPr>
            <w:r>
              <w:rPr>
                <w:rFonts w:cs="Arial"/>
                <w:b/>
                <w:bCs/>
                <w:sz w:val="18"/>
                <w:szCs w:val="18"/>
              </w:rPr>
              <w:t> </w:t>
            </w:r>
          </w:p>
        </w:tc>
        <w:tc>
          <w:tcPr>
            <w:tcW w:w="1256" w:type="dxa"/>
            <w:tcBorders>
              <w:top w:val="nil"/>
              <w:left w:val="nil"/>
              <w:bottom w:val="nil"/>
              <w:right w:val="nil"/>
            </w:tcBorders>
            <w:shd w:val="clear" w:color="000000" w:fill="D9D9D9"/>
            <w:noWrap/>
            <w:vAlign w:val="bottom"/>
            <w:hideMark/>
          </w:tcPr>
          <w:p w14:paraId="559465E9" w14:textId="77777777" w:rsidR="00AB6753" w:rsidRDefault="00AB6753" w:rsidP="002D1EA4">
            <w:pPr>
              <w:spacing w:after="0"/>
              <w:jc w:val="right"/>
              <w:rPr>
                <w:rFonts w:cs="Arial"/>
                <w:sz w:val="18"/>
                <w:szCs w:val="18"/>
              </w:rPr>
            </w:pPr>
            <w:r>
              <w:rPr>
                <w:rFonts w:cs="Arial"/>
                <w:sz w:val="18"/>
                <w:szCs w:val="18"/>
              </w:rPr>
              <w:t>25,275</w:t>
            </w:r>
          </w:p>
        </w:tc>
      </w:tr>
      <w:tr w:rsidR="00AB6753" w14:paraId="205A197C" w14:textId="77777777" w:rsidTr="002D1EA4">
        <w:trPr>
          <w:trHeight w:val="255"/>
        </w:trPr>
        <w:tc>
          <w:tcPr>
            <w:tcW w:w="6416" w:type="dxa"/>
            <w:tcBorders>
              <w:top w:val="nil"/>
              <w:left w:val="nil"/>
              <w:bottom w:val="nil"/>
              <w:right w:val="nil"/>
            </w:tcBorders>
            <w:shd w:val="clear" w:color="000000" w:fill="D9D9D9"/>
            <w:noWrap/>
            <w:vAlign w:val="bottom"/>
            <w:hideMark/>
          </w:tcPr>
          <w:p w14:paraId="30ED41F5" w14:textId="77777777" w:rsidR="00AB6753" w:rsidRDefault="00AB6753" w:rsidP="002D1EA4">
            <w:pPr>
              <w:spacing w:after="0"/>
              <w:rPr>
                <w:rFonts w:cs="Arial"/>
                <w:sz w:val="18"/>
                <w:szCs w:val="18"/>
              </w:rPr>
            </w:pPr>
            <w:r>
              <w:rPr>
                <w:rFonts w:cs="Arial"/>
                <w:sz w:val="18"/>
                <w:szCs w:val="18"/>
              </w:rPr>
              <w:t>Services rendered</w:t>
            </w:r>
          </w:p>
        </w:tc>
        <w:tc>
          <w:tcPr>
            <w:tcW w:w="1256" w:type="dxa"/>
            <w:tcBorders>
              <w:top w:val="nil"/>
              <w:left w:val="nil"/>
              <w:bottom w:val="nil"/>
              <w:right w:val="nil"/>
            </w:tcBorders>
            <w:shd w:val="clear" w:color="000000" w:fill="D9D9D9"/>
            <w:noWrap/>
            <w:vAlign w:val="bottom"/>
            <w:hideMark/>
          </w:tcPr>
          <w:p w14:paraId="19081F4F" w14:textId="77777777" w:rsidR="00AB6753" w:rsidRDefault="00AB6753" w:rsidP="002D1EA4">
            <w:pPr>
              <w:spacing w:after="0"/>
              <w:jc w:val="right"/>
              <w:rPr>
                <w:rFonts w:cs="Arial"/>
                <w:b/>
                <w:bCs/>
                <w:sz w:val="18"/>
                <w:szCs w:val="18"/>
              </w:rPr>
            </w:pPr>
            <w:r>
              <w:rPr>
                <w:rFonts w:cs="Arial"/>
                <w:b/>
                <w:bCs/>
                <w:sz w:val="18"/>
                <w:szCs w:val="18"/>
              </w:rPr>
              <w:t>127,077</w:t>
            </w:r>
          </w:p>
        </w:tc>
        <w:tc>
          <w:tcPr>
            <w:tcW w:w="267" w:type="dxa"/>
            <w:tcBorders>
              <w:top w:val="nil"/>
              <w:left w:val="nil"/>
              <w:bottom w:val="nil"/>
              <w:right w:val="nil"/>
            </w:tcBorders>
            <w:shd w:val="clear" w:color="000000" w:fill="D9D9D9"/>
            <w:noWrap/>
            <w:vAlign w:val="bottom"/>
            <w:hideMark/>
          </w:tcPr>
          <w:p w14:paraId="67A5E23A" w14:textId="77777777" w:rsidR="00AB6753" w:rsidRDefault="00AB6753" w:rsidP="002D1EA4">
            <w:pPr>
              <w:spacing w:after="0"/>
              <w:jc w:val="right"/>
              <w:rPr>
                <w:rFonts w:cs="Arial"/>
                <w:b/>
                <w:bCs/>
                <w:sz w:val="18"/>
                <w:szCs w:val="18"/>
              </w:rPr>
            </w:pPr>
            <w:r>
              <w:rPr>
                <w:rFonts w:cs="Arial"/>
                <w:b/>
                <w:bCs/>
                <w:sz w:val="18"/>
                <w:szCs w:val="18"/>
              </w:rPr>
              <w:t> </w:t>
            </w:r>
          </w:p>
        </w:tc>
        <w:tc>
          <w:tcPr>
            <w:tcW w:w="1256" w:type="dxa"/>
            <w:tcBorders>
              <w:top w:val="nil"/>
              <w:left w:val="nil"/>
              <w:bottom w:val="nil"/>
              <w:right w:val="nil"/>
            </w:tcBorders>
            <w:shd w:val="clear" w:color="000000" w:fill="D9D9D9"/>
            <w:noWrap/>
            <w:vAlign w:val="bottom"/>
            <w:hideMark/>
          </w:tcPr>
          <w:p w14:paraId="61E4C4AD" w14:textId="77777777" w:rsidR="00AB6753" w:rsidRDefault="00AB6753" w:rsidP="002D1EA4">
            <w:pPr>
              <w:spacing w:after="0"/>
              <w:jc w:val="right"/>
              <w:rPr>
                <w:rFonts w:cs="Arial"/>
                <w:sz w:val="18"/>
                <w:szCs w:val="18"/>
              </w:rPr>
            </w:pPr>
            <w:r>
              <w:rPr>
                <w:rFonts w:cs="Arial"/>
                <w:sz w:val="18"/>
                <w:szCs w:val="18"/>
              </w:rPr>
              <w:t>204,144</w:t>
            </w:r>
          </w:p>
        </w:tc>
      </w:tr>
      <w:tr w:rsidR="00AB6753" w14:paraId="348FB4A4" w14:textId="77777777" w:rsidTr="002D1EA4">
        <w:trPr>
          <w:trHeight w:val="255"/>
        </w:trPr>
        <w:tc>
          <w:tcPr>
            <w:tcW w:w="6416" w:type="dxa"/>
            <w:tcBorders>
              <w:top w:val="single" w:sz="4" w:space="0" w:color="D9D9D9"/>
              <w:left w:val="nil"/>
              <w:bottom w:val="single" w:sz="4" w:space="0" w:color="D9D9D9"/>
              <w:right w:val="nil"/>
            </w:tcBorders>
            <w:shd w:val="clear" w:color="000000" w:fill="D9D9D9"/>
            <w:noWrap/>
            <w:vAlign w:val="bottom"/>
            <w:hideMark/>
          </w:tcPr>
          <w:p w14:paraId="3B906E75" w14:textId="77777777" w:rsidR="00AB6753" w:rsidRDefault="00AB6753" w:rsidP="002D1EA4">
            <w:pPr>
              <w:spacing w:after="0"/>
              <w:rPr>
                <w:rFonts w:cs="Arial"/>
                <w:b/>
                <w:bCs/>
                <w:sz w:val="18"/>
                <w:szCs w:val="18"/>
              </w:rPr>
            </w:pPr>
            <w:r>
              <w:rPr>
                <w:rFonts w:cs="Arial"/>
                <w:b/>
                <w:bCs/>
                <w:sz w:val="18"/>
                <w:szCs w:val="18"/>
              </w:rPr>
              <w:t>Total goods and services supplied or rendered</w:t>
            </w:r>
          </w:p>
        </w:tc>
        <w:tc>
          <w:tcPr>
            <w:tcW w:w="1256" w:type="dxa"/>
            <w:tcBorders>
              <w:top w:val="single" w:sz="4" w:space="0" w:color="auto"/>
              <w:left w:val="nil"/>
              <w:bottom w:val="single" w:sz="4" w:space="0" w:color="auto"/>
              <w:right w:val="nil"/>
            </w:tcBorders>
            <w:shd w:val="clear" w:color="000000" w:fill="D9D9D9"/>
            <w:noWrap/>
            <w:vAlign w:val="bottom"/>
            <w:hideMark/>
          </w:tcPr>
          <w:p w14:paraId="2EEA5220" w14:textId="77777777" w:rsidR="00AB6753" w:rsidRDefault="00AB6753" w:rsidP="002D1EA4">
            <w:pPr>
              <w:spacing w:after="0"/>
              <w:jc w:val="right"/>
              <w:rPr>
                <w:rFonts w:cs="Arial"/>
                <w:b/>
                <w:bCs/>
                <w:sz w:val="18"/>
                <w:szCs w:val="18"/>
              </w:rPr>
            </w:pPr>
            <w:r>
              <w:rPr>
                <w:rFonts w:cs="Arial"/>
                <w:b/>
                <w:bCs/>
                <w:sz w:val="18"/>
                <w:szCs w:val="18"/>
              </w:rPr>
              <w:t>128,156</w:t>
            </w:r>
          </w:p>
        </w:tc>
        <w:tc>
          <w:tcPr>
            <w:tcW w:w="267" w:type="dxa"/>
            <w:tcBorders>
              <w:top w:val="single" w:sz="4" w:space="0" w:color="D9D9D9"/>
              <w:left w:val="nil"/>
              <w:bottom w:val="single" w:sz="4" w:space="0" w:color="D9D9D9"/>
              <w:right w:val="nil"/>
            </w:tcBorders>
            <w:shd w:val="clear" w:color="000000" w:fill="D9D9D9"/>
            <w:noWrap/>
            <w:vAlign w:val="bottom"/>
            <w:hideMark/>
          </w:tcPr>
          <w:p w14:paraId="6E5D645F" w14:textId="77777777" w:rsidR="00AB6753" w:rsidRDefault="00AB6753" w:rsidP="002D1EA4">
            <w:pPr>
              <w:spacing w:after="0"/>
              <w:rPr>
                <w:rFonts w:cs="Arial"/>
                <w:sz w:val="16"/>
                <w:szCs w:val="16"/>
              </w:rPr>
            </w:pPr>
            <w:r>
              <w:rPr>
                <w:rFonts w:cs="Arial"/>
                <w:sz w:val="16"/>
                <w:szCs w:val="16"/>
              </w:rPr>
              <w:t> </w:t>
            </w:r>
          </w:p>
        </w:tc>
        <w:tc>
          <w:tcPr>
            <w:tcW w:w="1256" w:type="dxa"/>
            <w:tcBorders>
              <w:top w:val="single" w:sz="4" w:space="0" w:color="auto"/>
              <w:left w:val="nil"/>
              <w:bottom w:val="single" w:sz="4" w:space="0" w:color="auto"/>
              <w:right w:val="nil"/>
            </w:tcBorders>
            <w:shd w:val="clear" w:color="000000" w:fill="D9D9D9"/>
            <w:noWrap/>
            <w:vAlign w:val="bottom"/>
            <w:hideMark/>
          </w:tcPr>
          <w:p w14:paraId="0FE08D0C" w14:textId="77777777" w:rsidR="00AB6753" w:rsidRDefault="00AB6753" w:rsidP="002D1EA4">
            <w:pPr>
              <w:spacing w:after="0"/>
              <w:jc w:val="right"/>
              <w:rPr>
                <w:rFonts w:cs="Arial"/>
                <w:sz w:val="18"/>
                <w:szCs w:val="18"/>
              </w:rPr>
            </w:pPr>
            <w:r>
              <w:rPr>
                <w:rFonts w:cs="Arial"/>
                <w:sz w:val="18"/>
                <w:szCs w:val="18"/>
              </w:rPr>
              <w:t>229,419</w:t>
            </w:r>
          </w:p>
        </w:tc>
      </w:tr>
      <w:tr w:rsidR="00AB6753" w14:paraId="333C985D" w14:textId="77777777" w:rsidTr="002D1EA4">
        <w:trPr>
          <w:trHeight w:val="255"/>
        </w:trPr>
        <w:tc>
          <w:tcPr>
            <w:tcW w:w="6416" w:type="dxa"/>
            <w:tcBorders>
              <w:top w:val="nil"/>
              <w:left w:val="nil"/>
              <w:bottom w:val="nil"/>
              <w:right w:val="nil"/>
            </w:tcBorders>
            <w:shd w:val="clear" w:color="000000" w:fill="D9D9D9"/>
            <w:noWrap/>
            <w:vAlign w:val="bottom"/>
            <w:hideMark/>
          </w:tcPr>
          <w:p w14:paraId="0811C2A9" w14:textId="77777777" w:rsidR="00AB6753" w:rsidRDefault="00AB6753" w:rsidP="002D1EA4">
            <w:pPr>
              <w:spacing w:after="0"/>
              <w:rPr>
                <w:rFonts w:cs="Arial"/>
                <w:b/>
                <w:bCs/>
                <w:sz w:val="18"/>
                <w:szCs w:val="18"/>
              </w:rPr>
            </w:pPr>
            <w:r>
              <w:rPr>
                <w:rFonts w:cs="Arial"/>
                <w:b/>
                <w:bCs/>
                <w:sz w:val="18"/>
                <w:szCs w:val="18"/>
              </w:rPr>
              <w:t> </w:t>
            </w:r>
          </w:p>
        </w:tc>
        <w:tc>
          <w:tcPr>
            <w:tcW w:w="1256" w:type="dxa"/>
            <w:tcBorders>
              <w:top w:val="nil"/>
              <w:left w:val="nil"/>
              <w:bottom w:val="nil"/>
              <w:right w:val="nil"/>
            </w:tcBorders>
            <w:shd w:val="clear" w:color="000000" w:fill="D9D9D9"/>
            <w:noWrap/>
            <w:vAlign w:val="bottom"/>
            <w:hideMark/>
          </w:tcPr>
          <w:p w14:paraId="2C658106" w14:textId="77777777" w:rsidR="00AB6753" w:rsidRDefault="00AB6753" w:rsidP="002D1EA4">
            <w:pPr>
              <w:spacing w:after="0"/>
              <w:rPr>
                <w:rFonts w:cs="Arial"/>
                <w:b/>
                <w:bCs/>
                <w:sz w:val="18"/>
                <w:szCs w:val="18"/>
              </w:rPr>
            </w:pPr>
            <w:r>
              <w:rPr>
                <w:rFonts w:cs="Arial"/>
                <w:b/>
                <w:bCs/>
                <w:sz w:val="18"/>
                <w:szCs w:val="18"/>
              </w:rPr>
              <w:t> </w:t>
            </w:r>
          </w:p>
        </w:tc>
        <w:tc>
          <w:tcPr>
            <w:tcW w:w="267" w:type="dxa"/>
            <w:tcBorders>
              <w:top w:val="nil"/>
              <w:left w:val="nil"/>
              <w:bottom w:val="nil"/>
              <w:right w:val="nil"/>
            </w:tcBorders>
            <w:shd w:val="clear" w:color="000000" w:fill="D9D9D9"/>
            <w:noWrap/>
            <w:vAlign w:val="bottom"/>
            <w:hideMark/>
          </w:tcPr>
          <w:p w14:paraId="4D137C6D"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7F9932BE" w14:textId="77777777" w:rsidR="00AB6753" w:rsidRDefault="00AB6753" w:rsidP="002D1EA4">
            <w:pPr>
              <w:spacing w:after="0"/>
              <w:rPr>
                <w:rFonts w:cs="Arial"/>
                <w:sz w:val="18"/>
                <w:szCs w:val="18"/>
              </w:rPr>
            </w:pPr>
            <w:r>
              <w:rPr>
                <w:rFonts w:cs="Arial"/>
                <w:sz w:val="18"/>
                <w:szCs w:val="18"/>
              </w:rPr>
              <w:t> </w:t>
            </w:r>
          </w:p>
        </w:tc>
      </w:tr>
      <w:tr w:rsidR="00AB6753" w14:paraId="0B1F7302" w14:textId="77777777" w:rsidTr="002D1EA4">
        <w:trPr>
          <w:trHeight w:val="255"/>
        </w:trPr>
        <w:tc>
          <w:tcPr>
            <w:tcW w:w="6416" w:type="dxa"/>
            <w:tcBorders>
              <w:top w:val="single" w:sz="4" w:space="0" w:color="D9D9D9"/>
              <w:left w:val="nil"/>
              <w:bottom w:val="single" w:sz="4" w:space="0" w:color="D9D9D9"/>
              <w:right w:val="nil"/>
            </w:tcBorders>
            <w:shd w:val="clear" w:color="000000" w:fill="D9D9D9"/>
            <w:noWrap/>
            <w:vAlign w:val="bottom"/>
            <w:hideMark/>
          </w:tcPr>
          <w:p w14:paraId="36ADECA5" w14:textId="77777777" w:rsidR="00AB6753" w:rsidRDefault="00AB6753" w:rsidP="002D1EA4">
            <w:pPr>
              <w:spacing w:after="0"/>
              <w:rPr>
                <w:rFonts w:cs="Arial"/>
                <w:b/>
                <w:bCs/>
                <w:sz w:val="18"/>
                <w:szCs w:val="18"/>
              </w:rPr>
            </w:pPr>
            <w:r>
              <w:rPr>
                <w:rFonts w:cs="Arial"/>
                <w:b/>
                <w:bCs/>
                <w:sz w:val="18"/>
                <w:szCs w:val="18"/>
              </w:rPr>
              <w:t>Total suppliers</w:t>
            </w:r>
          </w:p>
        </w:tc>
        <w:tc>
          <w:tcPr>
            <w:tcW w:w="1256" w:type="dxa"/>
            <w:tcBorders>
              <w:top w:val="single" w:sz="4" w:space="0" w:color="auto"/>
              <w:left w:val="nil"/>
              <w:bottom w:val="single" w:sz="4" w:space="0" w:color="auto"/>
              <w:right w:val="nil"/>
            </w:tcBorders>
            <w:shd w:val="clear" w:color="000000" w:fill="D9D9D9"/>
            <w:noWrap/>
            <w:vAlign w:val="bottom"/>
            <w:hideMark/>
          </w:tcPr>
          <w:p w14:paraId="495C4D02" w14:textId="77777777" w:rsidR="00AB6753" w:rsidRDefault="00AB6753" w:rsidP="002D1EA4">
            <w:pPr>
              <w:spacing w:after="0"/>
              <w:jc w:val="right"/>
              <w:rPr>
                <w:rFonts w:cs="Arial"/>
                <w:b/>
                <w:bCs/>
                <w:sz w:val="18"/>
                <w:szCs w:val="18"/>
              </w:rPr>
            </w:pPr>
            <w:r>
              <w:rPr>
                <w:rFonts w:cs="Arial"/>
                <w:b/>
                <w:bCs/>
                <w:sz w:val="18"/>
                <w:szCs w:val="18"/>
              </w:rPr>
              <w:t>128,156</w:t>
            </w:r>
          </w:p>
        </w:tc>
        <w:tc>
          <w:tcPr>
            <w:tcW w:w="267" w:type="dxa"/>
            <w:tcBorders>
              <w:top w:val="single" w:sz="4" w:space="0" w:color="D9D9D9"/>
              <w:left w:val="nil"/>
              <w:bottom w:val="single" w:sz="4" w:space="0" w:color="D9D9D9"/>
              <w:right w:val="nil"/>
            </w:tcBorders>
            <w:shd w:val="clear" w:color="000000" w:fill="D9D9D9"/>
            <w:noWrap/>
            <w:vAlign w:val="bottom"/>
            <w:hideMark/>
          </w:tcPr>
          <w:p w14:paraId="7503221C" w14:textId="77777777" w:rsidR="00AB6753" w:rsidRDefault="00AB6753" w:rsidP="002D1EA4">
            <w:pPr>
              <w:spacing w:after="0"/>
              <w:rPr>
                <w:rFonts w:cs="Arial"/>
                <w:sz w:val="16"/>
                <w:szCs w:val="16"/>
              </w:rPr>
            </w:pPr>
            <w:r>
              <w:rPr>
                <w:rFonts w:cs="Arial"/>
                <w:sz w:val="16"/>
                <w:szCs w:val="16"/>
              </w:rPr>
              <w:t> </w:t>
            </w:r>
          </w:p>
        </w:tc>
        <w:tc>
          <w:tcPr>
            <w:tcW w:w="1256" w:type="dxa"/>
            <w:tcBorders>
              <w:top w:val="single" w:sz="4" w:space="0" w:color="auto"/>
              <w:left w:val="nil"/>
              <w:bottom w:val="single" w:sz="4" w:space="0" w:color="auto"/>
              <w:right w:val="nil"/>
            </w:tcBorders>
            <w:shd w:val="clear" w:color="000000" w:fill="D9D9D9"/>
            <w:noWrap/>
            <w:vAlign w:val="bottom"/>
            <w:hideMark/>
          </w:tcPr>
          <w:p w14:paraId="14408AF4" w14:textId="77777777" w:rsidR="00AB6753" w:rsidRDefault="00AB6753" w:rsidP="002D1EA4">
            <w:pPr>
              <w:spacing w:after="0"/>
              <w:jc w:val="right"/>
              <w:rPr>
                <w:rFonts w:cs="Arial"/>
                <w:sz w:val="18"/>
                <w:szCs w:val="18"/>
              </w:rPr>
            </w:pPr>
            <w:r>
              <w:rPr>
                <w:rFonts w:cs="Arial"/>
                <w:sz w:val="18"/>
                <w:szCs w:val="18"/>
              </w:rPr>
              <w:t>229,419</w:t>
            </w:r>
          </w:p>
        </w:tc>
      </w:tr>
    </w:tbl>
    <w:p w14:paraId="508BC853" w14:textId="77777777" w:rsidR="00AB6753" w:rsidRDefault="00AB6753" w:rsidP="00AB6753">
      <w:pPr>
        <w:pStyle w:val="GreyShadeTableBreak"/>
        <w:tabs>
          <w:tab w:val="left" w:pos="8505"/>
        </w:tabs>
        <w:ind w:left="113" w:right="0"/>
      </w:pPr>
      <w:r>
        <w:tab/>
      </w:r>
      <w:r>
        <w:tab/>
      </w:r>
    </w:p>
    <w:tbl>
      <w:tblPr>
        <w:tblW w:w="9411" w:type="dxa"/>
        <w:tblInd w:w="80" w:type="dxa"/>
        <w:tblLayout w:type="fixed"/>
        <w:tblLook w:val="04A0" w:firstRow="1" w:lastRow="0" w:firstColumn="1" w:lastColumn="0" w:noHBand="0" w:noVBand="1"/>
      </w:tblPr>
      <w:tblGrid>
        <w:gridCol w:w="6566"/>
        <w:gridCol w:w="1286"/>
        <w:gridCol w:w="273"/>
        <w:gridCol w:w="1286"/>
      </w:tblGrid>
      <w:tr w:rsidR="00AB6753" w14:paraId="6C637BE4" w14:textId="77777777" w:rsidTr="002D1EA4">
        <w:trPr>
          <w:trHeight w:val="255"/>
        </w:trPr>
        <w:tc>
          <w:tcPr>
            <w:tcW w:w="6416" w:type="dxa"/>
            <w:tcBorders>
              <w:top w:val="nil"/>
              <w:left w:val="nil"/>
              <w:bottom w:val="nil"/>
              <w:right w:val="nil"/>
            </w:tcBorders>
            <w:shd w:val="clear" w:color="000000" w:fill="D9D9D9"/>
            <w:noWrap/>
            <w:hideMark/>
          </w:tcPr>
          <w:p w14:paraId="1D9105A0" w14:textId="77777777" w:rsidR="00AB6753" w:rsidRDefault="00AB6753" w:rsidP="002D1EA4">
            <w:pPr>
              <w:spacing w:after="0"/>
              <w:rPr>
                <w:rFonts w:cs="Arial"/>
                <w:b/>
                <w:bCs/>
                <w:sz w:val="18"/>
                <w:szCs w:val="18"/>
                <w:u w:val="single"/>
              </w:rPr>
            </w:pPr>
            <w:bookmarkStart w:id="102" w:name="Note_AGRTABLE1" w:colFirst="0" w:colLast="0"/>
            <w:r>
              <w:rPr>
                <w:rFonts w:cs="Arial"/>
                <w:b/>
                <w:bCs/>
                <w:sz w:val="18"/>
                <w:szCs w:val="18"/>
                <w:u w:val="single"/>
              </w:rPr>
              <w:t>Note 2.1B: Grants</w:t>
            </w:r>
          </w:p>
        </w:tc>
        <w:tc>
          <w:tcPr>
            <w:tcW w:w="1256" w:type="dxa"/>
            <w:tcBorders>
              <w:top w:val="nil"/>
              <w:left w:val="nil"/>
              <w:bottom w:val="nil"/>
              <w:right w:val="nil"/>
            </w:tcBorders>
            <w:shd w:val="clear" w:color="000000" w:fill="D9D9D9"/>
            <w:noWrap/>
            <w:vAlign w:val="bottom"/>
            <w:hideMark/>
          </w:tcPr>
          <w:p w14:paraId="5F918D0F" w14:textId="77777777" w:rsidR="00AB6753" w:rsidRDefault="00AB6753" w:rsidP="002D1EA4">
            <w:pPr>
              <w:spacing w:after="0"/>
              <w:rPr>
                <w:rFonts w:cs="Arial"/>
                <w:b/>
                <w:bCs/>
                <w:sz w:val="18"/>
                <w:szCs w:val="18"/>
              </w:rPr>
            </w:pPr>
            <w:r>
              <w:rPr>
                <w:rFonts w:cs="Arial"/>
                <w:b/>
                <w:bCs/>
                <w:sz w:val="18"/>
                <w:szCs w:val="18"/>
              </w:rPr>
              <w:t> </w:t>
            </w:r>
          </w:p>
        </w:tc>
        <w:tc>
          <w:tcPr>
            <w:tcW w:w="267" w:type="dxa"/>
            <w:tcBorders>
              <w:top w:val="nil"/>
              <w:left w:val="nil"/>
              <w:bottom w:val="nil"/>
              <w:right w:val="nil"/>
            </w:tcBorders>
            <w:shd w:val="clear" w:color="000000" w:fill="D9D9D9"/>
            <w:noWrap/>
            <w:vAlign w:val="bottom"/>
            <w:hideMark/>
          </w:tcPr>
          <w:p w14:paraId="6DDD72A8"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000000" w:fill="D9D9D9"/>
            <w:noWrap/>
            <w:vAlign w:val="bottom"/>
            <w:hideMark/>
          </w:tcPr>
          <w:p w14:paraId="63847AAF" w14:textId="77777777" w:rsidR="00AB6753" w:rsidRDefault="00AB6753" w:rsidP="002D1EA4">
            <w:pPr>
              <w:spacing w:after="0"/>
              <w:rPr>
                <w:rFonts w:cs="Arial"/>
                <w:sz w:val="16"/>
                <w:szCs w:val="16"/>
              </w:rPr>
            </w:pPr>
            <w:r>
              <w:rPr>
                <w:rFonts w:cs="Arial"/>
                <w:sz w:val="16"/>
                <w:szCs w:val="16"/>
              </w:rPr>
              <w:t> </w:t>
            </w:r>
          </w:p>
        </w:tc>
      </w:tr>
      <w:bookmarkEnd w:id="102"/>
      <w:tr w:rsidR="00AB6753" w14:paraId="6A55B879" w14:textId="77777777" w:rsidTr="002D1EA4">
        <w:trPr>
          <w:trHeight w:val="255"/>
        </w:trPr>
        <w:tc>
          <w:tcPr>
            <w:tcW w:w="6416" w:type="dxa"/>
            <w:tcBorders>
              <w:top w:val="nil"/>
              <w:left w:val="nil"/>
              <w:bottom w:val="nil"/>
              <w:right w:val="nil"/>
            </w:tcBorders>
            <w:shd w:val="clear" w:color="000000" w:fill="D9D9D9"/>
            <w:vAlign w:val="bottom"/>
            <w:hideMark/>
          </w:tcPr>
          <w:p w14:paraId="3F94BE62" w14:textId="77777777" w:rsidR="00AB6753" w:rsidRDefault="00AB6753" w:rsidP="002D1EA4">
            <w:pPr>
              <w:spacing w:after="0"/>
              <w:rPr>
                <w:rFonts w:cs="Arial"/>
                <w:sz w:val="18"/>
                <w:szCs w:val="18"/>
              </w:rPr>
            </w:pPr>
            <w:r>
              <w:rPr>
                <w:rFonts w:cs="Arial"/>
                <w:sz w:val="18"/>
                <w:szCs w:val="18"/>
              </w:rPr>
              <w:t>Public sector:</w:t>
            </w:r>
          </w:p>
        </w:tc>
        <w:tc>
          <w:tcPr>
            <w:tcW w:w="1256" w:type="dxa"/>
            <w:tcBorders>
              <w:top w:val="nil"/>
              <w:left w:val="nil"/>
              <w:bottom w:val="nil"/>
              <w:right w:val="nil"/>
            </w:tcBorders>
            <w:shd w:val="clear" w:color="000000" w:fill="D9D9D9"/>
            <w:noWrap/>
            <w:vAlign w:val="bottom"/>
            <w:hideMark/>
          </w:tcPr>
          <w:p w14:paraId="48588673" w14:textId="77777777" w:rsidR="00AB6753" w:rsidRDefault="00AB6753" w:rsidP="002D1EA4">
            <w:pPr>
              <w:spacing w:after="0"/>
              <w:rPr>
                <w:rFonts w:cs="Arial"/>
                <w:b/>
                <w:bCs/>
                <w:sz w:val="18"/>
                <w:szCs w:val="18"/>
              </w:rPr>
            </w:pPr>
            <w:r>
              <w:rPr>
                <w:rFonts w:cs="Arial"/>
                <w:b/>
                <w:bCs/>
                <w:sz w:val="18"/>
                <w:szCs w:val="18"/>
              </w:rPr>
              <w:t> </w:t>
            </w:r>
          </w:p>
        </w:tc>
        <w:tc>
          <w:tcPr>
            <w:tcW w:w="267" w:type="dxa"/>
            <w:tcBorders>
              <w:top w:val="nil"/>
              <w:left w:val="nil"/>
              <w:bottom w:val="nil"/>
              <w:right w:val="nil"/>
            </w:tcBorders>
            <w:shd w:val="clear" w:color="000000" w:fill="D9D9D9"/>
            <w:noWrap/>
            <w:vAlign w:val="bottom"/>
            <w:hideMark/>
          </w:tcPr>
          <w:p w14:paraId="072AC33F"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000000" w:fill="D9D9D9"/>
            <w:noWrap/>
            <w:vAlign w:val="bottom"/>
            <w:hideMark/>
          </w:tcPr>
          <w:p w14:paraId="0E90F6B8" w14:textId="77777777" w:rsidR="00AB6753" w:rsidRDefault="00AB6753" w:rsidP="002D1EA4">
            <w:pPr>
              <w:spacing w:after="0"/>
              <w:rPr>
                <w:rFonts w:cs="Arial"/>
                <w:sz w:val="16"/>
                <w:szCs w:val="16"/>
              </w:rPr>
            </w:pPr>
            <w:r>
              <w:rPr>
                <w:rFonts w:cs="Arial"/>
                <w:sz w:val="16"/>
                <w:szCs w:val="16"/>
              </w:rPr>
              <w:t> </w:t>
            </w:r>
          </w:p>
        </w:tc>
      </w:tr>
      <w:tr w:rsidR="00AB6753" w14:paraId="250E6E89" w14:textId="77777777" w:rsidTr="002D1EA4">
        <w:trPr>
          <w:trHeight w:val="255"/>
        </w:trPr>
        <w:tc>
          <w:tcPr>
            <w:tcW w:w="6416" w:type="dxa"/>
            <w:tcBorders>
              <w:top w:val="nil"/>
              <w:left w:val="nil"/>
              <w:bottom w:val="nil"/>
              <w:right w:val="nil"/>
            </w:tcBorders>
            <w:shd w:val="clear" w:color="000000" w:fill="D9D9D9"/>
            <w:noWrap/>
            <w:vAlign w:val="bottom"/>
            <w:hideMark/>
          </w:tcPr>
          <w:p w14:paraId="7592ECAB" w14:textId="77777777" w:rsidR="00AB6753" w:rsidRDefault="00AB6753" w:rsidP="002D1EA4">
            <w:pPr>
              <w:spacing w:after="0"/>
              <w:ind w:firstLineChars="100" w:firstLine="180"/>
              <w:rPr>
                <w:rFonts w:cs="Arial"/>
                <w:sz w:val="18"/>
                <w:szCs w:val="18"/>
              </w:rPr>
            </w:pPr>
            <w:r>
              <w:rPr>
                <w:rFonts w:cs="Arial"/>
                <w:sz w:val="18"/>
                <w:szCs w:val="18"/>
              </w:rPr>
              <w:t xml:space="preserve">Australian Government entities </w:t>
            </w:r>
          </w:p>
        </w:tc>
        <w:tc>
          <w:tcPr>
            <w:tcW w:w="1256" w:type="dxa"/>
            <w:tcBorders>
              <w:top w:val="nil"/>
              <w:left w:val="nil"/>
              <w:bottom w:val="nil"/>
              <w:right w:val="nil"/>
            </w:tcBorders>
            <w:shd w:val="clear" w:color="000000" w:fill="D9D9D9"/>
            <w:noWrap/>
            <w:vAlign w:val="bottom"/>
            <w:hideMark/>
          </w:tcPr>
          <w:p w14:paraId="208E5FD9" w14:textId="77777777" w:rsidR="00AB6753" w:rsidRDefault="00AB6753" w:rsidP="002D1EA4">
            <w:pPr>
              <w:spacing w:after="0"/>
              <w:jc w:val="right"/>
              <w:rPr>
                <w:rFonts w:cs="Arial"/>
                <w:b/>
                <w:bCs/>
                <w:sz w:val="18"/>
                <w:szCs w:val="18"/>
              </w:rPr>
            </w:pPr>
            <w:r>
              <w:rPr>
                <w:rFonts w:cs="Arial"/>
                <w:b/>
                <w:bCs/>
                <w:sz w:val="18"/>
                <w:szCs w:val="18"/>
              </w:rPr>
              <w:t>323,164</w:t>
            </w:r>
          </w:p>
        </w:tc>
        <w:tc>
          <w:tcPr>
            <w:tcW w:w="267" w:type="dxa"/>
            <w:tcBorders>
              <w:top w:val="nil"/>
              <w:left w:val="nil"/>
              <w:bottom w:val="nil"/>
              <w:right w:val="nil"/>
            </w:tcBorders>
            <w:shd w:val="clear" w:color="000000" w:fill="D9D9D9"/>
            <w:noWrap/>
            <w:vAlign w:val="bottom"/>
            <w:hideMark/>
          </w:tcPr>
          <w:p w14:paraId="10FFC7E6"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3FA481A5" w14:textId="77777777" w:rsidR="00AB6753" w:rsidRDefault="00AB6753" w:rsidP="002D1EA4">
            <w:pPr>
              <w:spacing w:after="0"/>
              <w:jc w:val="right"/>
              <w:rPr>
                <w:rFonts w:cs="Arial"/>
                <w:sz w:val="18"/>
                <w:szCs w:val="18"/>
              </w:rPr>
            </w:pPr>
            <w:r>
              <w:rPr>
                <w:rFonts w:cs="Arial"/>
                <w:sz w:val="18"/>
                <w:szCs w:val="18"/>
              </w:rPr>
              <w:t>169,935</w:t>
            </w:r>
          </w:p>
        </w:tc>
      </w:tr>
      <w:tr w:rsidR="00AB6753" w14:paraId="3A8166F8" w14:textId="77777777" w:rsidTr="002D1EA4">
        <w:trPr>
          <w:trHeight w:val="255"/>
        </w:trPr>
        <w:tc>
          <w:tcPr>
            <w:tcW w:w="6416" w:type="dxa"/>
            <w:tcBorders>
              <w:top w:val="nil"/>
              <w:left w:val="nil"/>
              <w:bottom w:val="nil"/>
              <w:right w:val="nil"/>
            </w:tcBorders>
            <w:shd w:val="clear" w:color="000000" w:fill="D9D9D9"/>
            <w:noWrap/>
            <w:vAlign w:val="bottom"/>
            <w:hideMark/>
          </w:tcPr>
          <w:p w14:paraId="35B33E35" w14:textId="77777777" w:rsidR="00AB6753" w:rsidRDefault="00AB6753" w:rsidP="002D1EA4">
            <w:pPr>
              <w:spacing w:after="0"/>
              <w:ind w:firstLineChars="100" w:firstLine="180"/>
              <w:rPr>
                <w:rFonts w:cs="Arial"/>
                <w:sz w:val="18"/>
                <w:szCs w:val="18"/>
              </w:rPr>
            </w:pPr>
            <w:r>
              <w:rPr>
                <w:rFonts w:cs="Arial"/>
                <w:sz w:val="18"/>
                <w:szCs w:val="18"/>
              </w:rPr>
              <w:t>Local Governments</w:t>
            </w:r>
          </w:p>
        </w:tc>
        <w:tc>
          <w:tcPr>
            <w:tcW w:w="1256" w:type="dxa"/>
            <w:tcBorders>
              <w:top w:val="nil"/>
              <w:left w:val="nil"/>
              <w:bottom w:val="nil"/>
              <w:right w:val="nil"/>
            </w:tcBorders>
            <w:shd w:val="clear" w:color="000000" w:fill="D9D9D9"/>
            <w:noWrap/>
            <w:vAlign w:val="bottom"/>
            <w:hideMark/>
          </w:tcPr>
          <w:p w14:paraId="38665930" w14:textId="77777777" w:rsidR="00AB6753" w:rsidRDefault="00AB6753" w:rsidP="002D1EA4">
            <w:pPr>
              <w:spacing w:after="0"/>
              <w:jc w:val="right"/>
              <w:rPr>
                <w:rFonts w:cs="Arial"/>
                <w:b/>
                <w:bCs/>
                <w:sz w:val="18"/>
                <w:szCs w:val="18"/>
              </w:rPr>
            </w:pPr>
            <w:r>
              <w:rPr>
                <w:rFonts w:cs="Arial"/>
                <w:b/>
                <w:bCs/>
                <w:sz w:val="18"/>
                <w:szCs w:val="18"/>
              </w:rPr>
              <w:t>5,865</w:t>
            </w:r>
          </w:p>
        </w:tc>
        <w:tc>
          <w:tcPr>
            <w:tcW w:w="267" w:type="dxa"/>
            <w:tcBorders>
              <w:top w:val="nil"/>
              <w:left w:val="nil"/>
              <w:bottom w:val="nil"/>
              <w:right w:val="nil"/>
            </w:tcBorders>
            <w:shd w:val="clear" w:color="000000" w:fill="D9D9D9"/>
            <w:noWrap/>
            <w:vAlign w:val="bottom"/>
            <w:hideMark/>
          </w:tcPr>
          <w:p w14:paraId="4978496C"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26A59CE9" w14:textId="77777777" w:rsidR="00AB6753" w:rsidRDefault="00AB6753" w:rsidP="002D1EA4">
            <w:pPr>
              <w:spacing w:after="0"/>
              <w:jc w:val="right"/>
              <w:rPr>
                <w:rFonts w:cs="Arial"/>
                <w:sz w:val="18"/>
                <w:szCs w:val="18"/>
              </w:rPr>
            </w:pPr>
            <w:r>
              <w:rPr>
                <w:rFonts w:cs="Arial"/>
                <w:sz w:val="18"/>
                <w:szCs w:val="18"/>
              </w:rPr>
              <w:t>7,627</w:t>
            </w:r>
          </w:p>
        </w:tc>
      </w:tr>
      <w:tr w:rsidR="00AB6753" w14:paraId="1B5BD6A2" w14:textId="77777777" w:rsidTr="002D1EA4">
        <w:trPr>
          <w:trHeight w:val="255"/>
        </w:trPr>
        <w:tc>
          <w:tcPr>
            <w:tcW w:w="6416" w:type="dxa"/>
            <w:tcBorders>
              <w:top w:val="nil"/>
              <w:left w:val="nil"/>
              <w:bottom w:val="nil"/>
              <w:right w:val="nil"/>
            </w:tcBorders>
            <w:shd w:val="clear" w:color="000000" w:fill="D9D9D9"/>
            <w:vAlign w:val="bottom"/>
            <w:hideMark/>
          </w:tcPr>
          <w:p w14:paraId="11580725" w14:textId="77777777" w:rsidR="00AB6753" w:rsidRDefault="00AB6753" w:rsidP="002D1EA4">
            <w:pPr>
              <w:spacing w:after="0"/>
              <w:rPr>
                <w:rFonts w:cs="Arial"/>
                <w:sz w:val="18"/>
                <w:szCs w:val="18"/>
              </w:rPr>
            </w:pPr>
            <w:r>
              <w:rPr>
                <w:rFonts w:cs="Arial"/>
                <w:sz w:val="18"/>
                <w:szCs w:val="18"/>
              </w:rPr>
              <w:t>Private sector:</w:t>
            </w:r>
          </w:p>
        </w:tc>
        <w:tc>
          <w:tcPr>
            <w:tcW w:w="1256" w:type="dxa"/>
            <w:tcBorders>
              <w:top w:val="nil"/>
              <w:left w:val="nil"/>
              <w:bottom w:val="nil"/>
              <w:right w:val="nil"/>
            </w:tcBorders>
            <w:shd w:val="clear" w:color="000000" w:fill="D9D9D9"/>
            <w:noWrap/>
            <w:vAlign w:val="bottom"/>
            <w:hideMark/>
          </w:tcPr>
          <w:p w14:paraId="7916E21E" w14:textId="77777777" w:rsidR="00AB6753" w:rsidRDefault="00AB6753" w:rsidP="002D1EA4">
            <w:pPr>
              <w:spacing w:after="0"/>
              <w:rPr>
                <w:rFonts w:cs="Arial"/>
                <w:b/>
                <w:bCs/>
                <w:sz w:val="18"/>
                <w:szCs w:val="18"/>
              </w:rPr>
            </w:pPr>
            <w:r>
              <w:rPr>
                <w:rFonts w:cs="Arial"/>
                <w:b/>
                <w:bCs/>
                <w:sz w:val="18"/>
                <w:szCs w:val="18"/>
              </w:rPr>
              <w:t> </w:t>
            </w:r>
          </w:p>
        </w:tc>
        <w:tc>
          <w:tcPr>
            <w:tcW w:w="267" w:type="dxa"/>
            <w:tcBorders>
              <w:top w:val="nil"/>
              <w:left w:val="nil"/>
              <w:bottom w:val="nil"/>
              <w:right w:val="nil"/>
            </w:tcBorders>
            <w:shd w:val="clear" w:color="000000" w:fill="D9D9D9"/>
            <w:noWrap/>
            <w:vAlign w:val="bottom"/>
            <w:hideMark/>
          </w:tcPr>
          <w:p w14:paraId="7DED8444"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1BF83026" w14:textId="77777777" w:rsidR="00AB6753" w:rsidRDefault="00AB6753" w:rsidP="002D1EA4">
            <w:pPr>
              <w:spacing w:after="0"/>
              <w:rPr>
                <w:rFonts w:cs="Arial"/>
                <w:sz w:val="18"/>
                <w:szCs w:val="18"/>
              </w:rPr>
            </w:pPr>
            <w:r>
              <w:rPr>
                <w:rFonts w:cs="Arial"/>
                <w:sz w:val="18"/>
                <w:szCs w:val="18"/>
              </w:rPr>
              <w:t> </w:t>
            </w:r>
          </w:p>
        </w:tc>
      </w:tr>
      <w:tr w:rsidR="00AB6753" w14:paraId="7821FCFA" w14:textId="77777777" w:rsidTr="002D1EA4">
        <w:trPr>
          <w:trHeight w:val="255"/>
        </w:trPr>
        <w:tc>
          <w:tcPr>
            <w:tcW w:w="6416" w:type="dxa"/>
            <w:tcBorders>
              <w:top w:val="nil"/>
              <w:left w:val="nil"/>
              <w:bottom w:val="nil"/>
              <w:right w:val="nil"/>
            </w:tcBorders>
            <w:shd w:val="clear" w:color="000000" w:fill="D9D9D9"/>
            <w:noWrap/>
            <w:vAlign w:val="bottom"/>
            <w:hideMark/>
          </w:tcPr>
          <w:p w14:paraId="2D45BA80" w14:textId="77777777" w:rsidR="00AB6753" w:rsidRDefault="00AB6753" w:rsidP="002D1EA4">
            <w:pPr>
              <w:spacing w:after="0"/>
              <w:ind w:firstLineChars="100" w:firstLine="180"/>
              <w:rPr>
                <w:rFonts w:cs="Arial"/>
                <w:sz w:val="18"/>
                <w:szCs w:val="18"/>
              </w:rPr>
            </w:pPr>
            <w:r>
              <w:rPr>
                <w:rFonts w:cs="Arial"/>
                <w:sz w:val="18"/>
                <w:szCs w:val="18"/>
              </w:rPr>
              <w:t>Non-profit organisations</w:t>
            </w:r>
          </w:p>
        </w:tc>
        <w:tc>
          <w:tcPr>
            <w:tcW w:w="1256" w:type="dxa"/>
            <w:tcBorders>
              <w:top w:val="nil"/>
              <w:left w:val="nil"/>
              <w:bottom w:val="nil"/>
              <w:right w:val="nil"/>
            </w:tcBorders>
            <w:shd w:val="clear" w:color="000000" w:fill="D9D9D9"/>
            <w:noWrap/>
            <w:vAlign w:val="bottom"/>
            <w:hideMark/>
          </w:tcPr>
          <w:p w14:paraId="67109C6F" w14:textId="77777777" w:rsidR="00AB6753" w:rsidRDefault="00AB6753" w:rsidP="002D1EA4">
            <w:pPr>
              <w:spacing w:after="0"/>
              <w:jc w:val="right"/>
              <w:rPr>
                <w:rFonts w:cs="Arial"/>
                <w:b/>
                <w:bCs/>
                <w:sz w:val="18"/>
                <w:szCs w:val="18"/>
              </w:rPr>
            </w:pPr>
            <w:r>
              <w:rPr>
                <w:rFonts w:cs="Arial"/>
                <w:b/>
                <w:bCs/>
                <w:sz w:val="18"/>
                <w:szCs w:val="18"/>
              </w:rPr>
              <w:t>1,768,797</w:t>
            </w:r>
          </w:p>
        </w:tc>
        <w:tc>
          <w:tcPr>
            <w:tcW w:w="267" w:type="dxa"/>
            <w:tcBorders>
              <w:top w:val="nil"/>
              <w:left w:val="nil"/>
              <w:bottom w:val="nil"/>
              <w:right w:val="nil"/>
            </w:tcBorders>
            <w:shd w:val="clear" w:color="000000" w:fill="D9D9D9"/>
            <w:noWrap/>
            <w:vAlign w:val="bottom"/>
            <w:hideMark/>
          </w:tcPr>
          <w:p w14:paraId="034E49A9"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6D6C8B1E" w14:textId="77777777" w:rsidR="00AB6753" w:rsidRDefault="00AB6753" w:rsidP="002D1EA4">
            <w:pPr>
              <w:spacing w:after="0"/>
              <w:jc w:val="right"/>
              <w:rPr>
                <w:rFonts w:cs="Arial"/>
                <w:sz w:val="18"/>
                <w:szCs w:val="18"/>
              </w:rPr>
            </w:pPr>
            <w:r>
              <w:rPr>
                <w:rFonts w:cs="Arial"/>
                <w:sz w:val="18"/>
                <w:szCs w:val="18"/>
              </w:rPr>
              <w:t>1,824,781</w:t>
            </w:r>
          </w:p>
        </w:tc>
      </w:tr>
      <w:tr w:rsidR="00AB6753" w14:paraId="19ECCD56" w14:textId="77777777" w:rsidTr="002D1EA4">
        <w:trPr>
          <w:trHeight w:val="255"/>
        </w:trPr>
        <w:tc>
          <w:tcPr>
            <w:tcW w:w="6416" w:type="dxa"/>
            <w:tcBorders>
              <w:top w:val="nil"/>
              <w:left w:val="nil"/>
              <w:bottom w:val="nil"/>
              <w:right w:val="nil"/>
            </w:tcBorders>
            <w:shd w:val="clear" w:color="000000" w:fill="D9D9D9"/>
            <w:noWrap/>
            <w:vAlign w:val="bottom"/>
            <w:hideMark/>
          </w:tcPr>
          <w:p w14:paraId="4AF2F622" w14:textId="77777777" w:rsidR="00AB6753" w:rsidRDefault="00AB6753" w:rsidP="002D1EA4">
            <w:pPr>
              <w:spacing w:after="0"/>
              <w:ind w:firstLineChars="100" w:firstLine="180"/>
              <w:rPr>
                <w:rFonts w:cs="Arial"/>
                <w:sz w:val="18"/>
                <w:szCs w:val="18"/>
              </w:rPr>
            </w:pPr>
            <w:r>
              <w:rPr>
                <w:rFonts w:cs="Arial"/>
                <w:sz w:val="18"/>
                <w:szCs w:val="18"/>
              </w:rPr>
              <w:t>External parties</w:t>
            </w:r>
          </w:p>
        </w:tc>
        <w:tc>
          <w:tcPr>
            <w:tcW w:w="1256" w:type="dxa"/>
            <w:tcBorders>
              <w:top w:val="nil"/>
              <w:left w:val="nil"/>
              <w:bottom w:val="nil"/>
              <w:right w:val="nil"/>
            </w:tcBorders>
            <w:shd w:val="clear" w:color="000000" w:fill="D9D9D9"/>
            <w:noWrap/>
            <w:vAlign w:val="bottom"/>
            <w:hideMark/>
          </w:tcPr>
          <w:p w14:paraId="65D9652B" w14:textId="77777777" w:rsidR="00AB6753" w:rsidRDefault="00AB6753" w:rsidP="002D1EA4">
            <w:pPr>
              <w:spacing w:after="0"/>
              <w:jc w:val="right"/>
              <w:rPr>
                <w:rFonts w:cs="Arial"/>
                <w:b/>
                <w:bCs/>
                <w:sz w:val="18"/>
                <w:szCs w:val="18"/>
              </w:rPr>
            </w:pPr>
            <w:r>
              <w:rPr>
                <w:rFonts w:cs="Arial"/>
                <w:b/>
                <w:bCs/>
                <w:sz w:val="18"/>
                <w:szCs w:val="18"/>
              </w:rPr>
              <w:t>625,688</w:t>
            </w:r>
          </w:p>
        </w:tc>
        <w:tc>
          <w:tcPr>
            <w:tcW w:w="267" w:type="dxa"/>
            <w:tcBorders>
              <w:top w:val="nil"/>
              <w:left w:val="nil"/>
              <w:bottom w:val="nil"/>
              <w:right w:val="nil"/>
            </w:tcBorders>
            <w:shd w:val="clear" w:color="000000" w:fill="D9D9D9"/>
            <w:noWrap/>
            <w:vAlign w:val="bottom"/>
            <w:hideMark/>
          </w:tcPr>
          <w:p w14:paraId="600B1542"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243B81BC" w14:textId="77777777" w:rsidR="00AB6753" w:rsidRDefault="00AB6753" w:rsidP="002D1EA4">
            <w:pPr>
              <w:spacing w:after="0"/>
              <w:jc w:val="right"/>
              <w:rPr>
                <w:rFonts w:cs="Arial"/>
                <w:sz w:val="18"/>
                <w:szCs w:val="18"/>
              </w:rPr>
            </w:pPr>
            <w:r>
              <w:rPr>
                <w:rFonts w:cs="Arial"/>
                <w:sz w:val="18"/>
                <w:szCs w:val="18"/>
              </w:rPr>
              <w:t>423,463</w:t>
            </w:r>
          </w:p>
        </w:tc>
      </w:tr>
      <w:tr w:rsidR="00AB6753" w14:paraId="4D03E2A2" w14:textId="77777777" w:rsidTr="002D1EA4">
        <w:trPr>
          <w:trHeight w:val="255"/>
        </w:trPr>
        <w:tc>
          <w:tcPr>
            <w:tcW w:w="6416" w:type="dxa"/>
            <w:tcBorders>
              <w:top w:val="single" w:sz="4" w:space="0" w:color="D9D9D9"/>
              <w:left w:val="nil"/>
              <w:bottom w:val="single" w:sz="4" w:space="0" w:color="D9D9D9"/>
              <w:right w:val="nil"/>
            </w:tcBorders>
            <w:shd w:val="clear" w:color="000000" w:fill="D9D9D9"/>
            <w:hideMark/>
          </w:tcPr>
          <w:p w14:paraId="2C8E0D06" w14:textId="77777777" w:rsidR="00AB6753" w:rsidRDefault="00AB6753" w:rsidP="002D1EA4">
            <w:pPr>
              <w:spacing w:after="0"/>
              <w:rPr>
                <w:rFonts w:cs="Arial"/>
                <w:b/>
                <w:bCs/>
                <w:sz w:val="18"/>
                <w:szCs w:val="18"/>
              </w:rPr>
            </w:pPr>
            <w:r>
              <w:rPr>
                <w:rFonts w:cs="Arial"/>
                <w:b/>
                <w:bCs/>
                <w:sz w:val="18"/>
                <w:szCs w:val="18"/>
              </w:rPr>
              <w:t>Total grants</w:t>
            </w:r>
          </w:p>
        </w:tc>
        <w:tc>
          <w:tcPr>
            <w:tcW w:w="1256" w:type="dxa"/>
            <w:tcBorders>
              <w:top w:val="single" w:sz="4" w:space="0" w:color="auto"/>
              <w:left w:val="nil"/>
              <w:bottom w:val="single" w:sz="4" w:space="0" w:color="auto"/>
              <w:right w:val="nil"/>
            </w:tcBorders>
            <w:shd w:val="clear" w:color="000000" w:fill="D9D9D9"/>
            <w:noWrap/>
            <w:vAlign w:val="bottom"/>
            <w:hideMark/>
          </w:tcPr>
          <w:p w14:paraId="60965C2B" w14:textId="77777777" w:rsidR="00AB6753" w:rsidRDefault="00AB6753" w:rsidP="002D1EA4">
            <w:pPr>
              <w:spacing w:after="0"/>
              <w:jc w:val="right"/>
              <w:rPr>
                <w:rFonts w:cs="Arial"/>
                <w:b/>
                <w:bCs/>
                <w:sz w:val="18"/>
                <w:szCs w:val="18"/>
              </w:rPr>
            </w:pPr>
            <w:r>
              <w:rPr>
                <w:rFonts w:cs="Arial"/>
                <w:b/>
                <w:bCs/>
                <w:sz w:val="18"/>
                <w:szCs w:val="18"/>
              </w:rPr>
              <w:t>2,723,514</w:t>
            </w:r>
          </w:p>
        </w:tc>
        <w:tc>
          <w:tcPr>
            <w:tcW w:w="267" w:type="dxa"/>
            <w:tcBorders>
              <w:top w:val="single" w:sz="4" w:space="0" w:color="D9D9D9"/>
              <w:left w:val="nil"/>
              <w:bottom w:val="single" w:sz="4" w:space="0" w:color="D9D9D9"/>
              <w:right w:val="nil"/>
            </w:tcBorders>
            <w:shd w:val="clear" w:color="000000" w:fill="D9D9D9"/>
            <w:vAlign w:val="bottom"/>
            <w:hideMark/>
          </w:tcPr>
          <w:p w14:paraId="035AD848" w14:textId="77777777" w:rsidR="00AB6753" w:rsidRDefault="00AB6753" w:rsidP="002D1EA4">
            <w:pPr>
              <w:spacing w:after="0"/>
              <w:jc w:val="right"/>
              <w:rPr>
                <w:rFonts w:cs="Arial"/>
                <w:b/>
                <w:bCs/>
                <w:sz w:val="18"/>
                <w:szCs w:val="18"/>
              </w:rPr>
            </w:pPr>
            <w:r>
              <w:rPr>
                <w:rFonts w:cs="Arial"/>
                <w:b/>
                <w:bCs/>
                <w:sz w:val="18"/>
                <w:szCs w:val="18"/>
              </w:rPr>
              <w:t> </w:t>
            </w:r>
          </w:p>
        </w:tc>
        <w:tc>
          <w:tcPr>
            <w:tcW w:w="1256" w:type="dxa"/>
            <w:tcBorders>
              <w:top w:val="single" w:sz="4" w:space="0" w:color="auto"/>
              <w:left w:val="nil"/>
              <w:bottom w:val="single" w:sz="4" w:space="0" w:color="auto"/>
              <w:right w:val="nil"/>
            </w:tcBorders>
            <w:shd w:val="clear" w:color="000000" w:fill="D9D9D9"/>
            <w:noWrap/>
            <w:vAlign w:val="bottom"/>
            <w:hideMark/>
          </w:tcPr>
          <w:p w14:paraId="4F2802E5" w14:textId="77777777" w:rsidR="00AB6753" w:rsidRDefault="00AB6753" w:rsidP="002D1EA4">
            <w:pPr>
              <w:spacing w:after="0"/>
              <w:jc w:val="right"/>
              <w:rPr>
                <w:rFonts w:cs="Arial"/>
                <w:sz w:val="18"/>
                <w:szCs w:val="18"/>
              </w:rPr>
            </w:pPr>
            <w:r>
              <w:rPr>
                <w:rFonts w:cs="Arial"/>
                <w:sz w:val="18"/>
                <w:szCs w:val="18"/>
              </w:rPr>
              <w:t>2,425,806</w:t>
            </w:r>
          </w:p>
        </w:tc>
      </w:tr>
    </w:tbl>
    <w:p w14:paraId="291A39B8" w14:textId="77777777" w:rsidR="00AB6753" w:rsidRDefault="00AB6753" w:rsidP="00AB6753">
      <w:pPr>
        <w:pStyle w:val="GreyShadeTableBreak"/>
        <w:ind w:left="113" w:right="0"/>
      </w:pPr>
    </w:p>
    <w:p w14:paraId="6E250BA7" w14:textId="77777777" w:rsidR="00AB6753" w:rsidRPr="0087146E" w:rsidRDefault="00AB6753" w:rsidP="00AB6753">
      <w:pPr>
        <w:pStyle w:val="Policyheadingadmin0"/>
        <w:pBdr>
          <w:top w:val="single" w:sz="4" w:space="1" w:color="00B2BA"/>
          <w:left w:val="single" w:sz="4" w:space="0" w:color="00B2BA"/>
          <w:bottom w:val="single" w:sz="4" w:space="1" w:color="00B2BA"/>
          <w:right w:val="single" w:sz="4" w:space="0" w:color="00B2BA"/>
        </w:pBdr>
        <w:shd w:val="clear" w:color="auto" w:fill="CCF0F1"/>
        <w:ind w:left="113" w:right="11"/>
      </w:pPr>
      <w:r>
        <w:t>Accounting Policy</w:t>
      </w:r>
    </w:p>
    <w:p w14:paraId="1E3CEE45" w14:textId="77777777" w:rsidR="00AB6753" w:rsidRPr="0087146E"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3" w:right="11"/>
      </w:pPr>
      <w:r w:rsidRPr="0087146E">
        <w:t>Grants and Subsidies</w:t>
      </w:r>
    </w:p>
    <w:p w14:paraId="228D966C" w14:textId="77777777" w:rsidR="00AB6753" w:rsidRDefault="00945817" w:rsidP="00AB6753">
      <w:pPr>
        <w:pStyle w:val="PolicyTextAdmin"/>
        <w:pBdr>
          <w:top w:val="single" w:sz="4" w:space="1" w:color="00B2BA"/>
          <w:left w:val="single" w:sz="4" w:space="0" w:color="00B2BA"/>
          <w:bottom w:val="single" w:sz="4" w:space="1" w:color="00B2BA"/>
          <w:right w:val="single" w:sz="4" w:space="0" w:color="00B2BA"/>
        </w:pBdr>
        <w:shd w:val="clear" w:color="auto" w:fill="CCF0F1"/>
        <w:ind w:left="113" w:right="11"/>
      </w:pPr>
      <w:fldSimple w:instr=" DOCPROPERTY  ShortName  \* MERGEFORMAT ">
        <w:r w:rsidR="00AB6753">
          <w:t>The department</w:t>
        </w:r>
      </w:fldSimple>
      <w:r w:rsidR="00AB6753">
        <w:t xml:space="preserve"> administers </w:t>
      </w:r>
      <w:r w:rsidR="00AB6753" w:rsidRPr="00AD36A9">
        <w:t xml:space="preserve">grant </w:t>
      </w:r>
      <w:r w:rsidR="00AB6753">
        <w:t xml:space="preserve">and subsidy </w:t>
      </w:r>
      <w:r w:rsidR="00AB6753" w:rsidRPr="00AD36A9">
        <w:t>scheme</w:t>
      </w:r>
      <w:r w:rsidR="00AB6753">
        <w:t xml:space="preserve">s on behalf of the Australian Government. </w:t>
      </w:r>
      <w:r w:rsidR="00AB6753" w:rsidRPr="00AD36A9">
        <w:t>These</w:t>
      </w:r>
      <w:r w:rsidR="00AB6753">
        <w:t xml:space="preserve"> schemes</w:t>
      </w:r>
      <w:r w:rsidR="00AB6753" w:rsidRPr="00AD36A9">
        <w:t xml:space="preserve"> include</w:t>
      </w:r>
      <w:r w:rsidR="00AB6753">
        <w:t xml:space="preserve"> </w:t>
      </w:r>
      <w:r w:rsidR="00AB6753" w:rsidRPr="00AD36A9">
        <w:t xml:space="preserve">grants to </w:t>
      </w:r>
      <w:r w:rsidR="00AB6753">
        <w:t>l</w:t>
      </w:r>
      <w:r w:rsidR="00AB6753" w:rsidRPr="00AD36A9">
        <w:t xml:space="preserve">ocal </w:t>
      </w:r>
      <w:r w:rsidR="00AB6753">
        <w:t>g</w:t>
      </w:r>
      <w:r w:rsidR="00AB6753" w:rsidRPr="00AD36A9">
        <w:t>ov</w:t>
      </w:r>
      <w:r w:rsidR="00AB6753">
        <w:t>ernments,</w:t>
      </w:r>
      <w:r w:rsidR="00AB6753" w:rsidRPr="00AD36A9">
        <w:t xml:space="preserve"> </w:t>
      </w:r>
      <w:r w:rsidR="00AB6753">
        <w:t>n</w:t>
      </w:r>
      <w:r w:rsidR="00AB6753" w:rsidRPr="00AD36A9">
        <w:t>on-</w:t>
      </w:r>
      <w:r w:rsidR="00AB6753">
        <w:t>g</w:t>
      </w:r>
      <w:r w:rsidR="00AB6753" w:rsidRPr="00AD36A9">
        <w:t xml:space="preserve">overnment, not-for-profit </w:t>
      </w:r>
      <w:r w:rsidR="00AB6753">
        <w:t xml:space="preserve">organisations </w:t>
      </w:r>
      <w:r w:rsidR="00AB6753" w:rsidRPr="00AD36A9">
        <w:t>and other recipients for activities associated with community development and supporting individuals.</w:t>
      </w:r>
      <w:r w:rsidR="00AB6753">
        <w:t xml:space="preserve"> </w:t>
      </w:r>
    </w:p>
    <w:p w14:paraId="2CD08068" w14:textId="77777777" w:rsidR="00AB6753" w:rsidRPr="00E245DB" w:rsidRDefault="00AB6753" w:rsidP="00AB6753">
      <w:pPr>
        <w:pStyle w:val="GreyShadeTableBreak"/>
        <w:tabs>
          <w:tab w:val="left" w:pos="8891"/>
        </w:tabs>
        <w:ind w:left="113" w:right="0"/>
      </w:pPr>
    </w:p>
    <w:tbl>
      <w:tblPr>
        <w:tblW w:w="9411" w:type="dxa"/>
        <w:tblInd w:w="80" w:type="dxa"/>
        <w:tblLayout w:type="fixed"/>
        <w:tblLook w:val="04A0" w:firstRow="1" w:lastRow="0" w:firstColumn="1" w:lastColumn="0" w:noHBand="0" w:noVBand="1"/>
      </w:tblPr>
      <w:tblGrid>
        <w:gridCol w:w="6566"/>
        <w:gridCol w:w="1286"/>
        <w:gridCol w:w="273"/>
        <w:gridCol w:w="1286"/>
      </w:tblGrid>
      <w:tr w:rsidR="00AB6753" w14:paraId="73F7B2EB" w14:textId="77777777" w:rsidTr="002D1EA4">
        <w:trPr>
          <w:trHeight w:val="255"/>
        </w:trPr>
        <w:tc>
          <w:tcPr>
            <w:tcW w:w="6416" w:type="dxa"/>
            <w:tcBorders>
              <w:top w:val="nil"/>
              <w:left w:val="nil"/>
              <w:bottom w:val="nil"/>
              <w:right w:val="nil"/>
            </w:tcBorders>
            <w:shd w:val="clear" w:color="000000" w:fill="D9D9D9"/>
            <w:noWrap/>
            <w:hideMark/>
          </w:tcPr>
          <w:p w14:paraId="55DAE115" w14:textId="77777777" w:rsidR="00AB6753" w:rsidRDefault="00AB6753" w:rsidP="002D1EA4">
            <w:pPr>
              <w:spacing w:after="0"/>
              <w:rPr>
                <w:rFonts w:cs="Arial"/>
                <w:b/>
                <w:bCs/>
                <w:sz w:val="18"/>
                <w:szCs w:val="18"/>
                <w:u w:val="single"/>
              </w:rPr>
            </w:pPr>
            <w:bookmarkStart w:id="103" w:name="Note_APBTABLE1" w:colFirst="0" w:colLast="0"/>
            <w:r>
              <w:rPr>
                <w:rFonts w:cs="Arial"/>
                <w:b/>
                <w:bCs/>
                <w:sz w:val="18"/>
                <w:szCs w:val="18"/>
                <w:u w:val="single"/>
              </w:rPr>
              <w:t>Note 2.1C: Personal Benefits</w:t>
            </w:r>
          </w:p>
        </w:tc>
        <w:tc>
          <w:tcPr>
            <w:tcW w:w="1256" w:type="dxa"/>
            <w:tcBorders>
              <w:top w:val="nil"/>
              <w:left w:val="nil"/>
              <w:bottom w:val="nil"/>
              <w:right w:val="nil"/>
            </w:tcBorders>
            <w:shd w:val="clear" w:color="000000" w:fill="D9D9D9"/>
            <w:noWrap/>
            <w:vAlign w:val="bottom"/>
            <w:hideMark/>
          </w:tcPr>
          <w:p w14:paraId="48F9D186"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000000" w:fill="D9D9D9"/>
            <w:noWrap/>
            <w:vAlign w:val="bottom"/>
            <w:hideMark/>
          </w:tcPr>
          <w:p w14:paraId="32E7D4ED"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000000" w:fill="D9D9D9"/>
            <w:noWrap/>
            <w:vAlign w:val="bottom"/>
            <w:hideMark/>
          </w:tcPr>
          <w:p w14:paraId="02E05A5F" w14:textId="77777777" w:rsidR="00AB6753" w:rsidRDefault="00AB6753" w:rsidP="002D1EA4">
            <w:pPr>
              <w:spacing w:after="0"/>
              <w:rPr>
                <w:rFonts w:cs="Arial"/>
                <w:sz w:val="18"/>
                <w:szCs w:val="18"/>
              </w:rPr>
            </w:pPr>
            <w:r>
              <w:rPr>
                <w:rFonts w:cs="Arial"/>
                <w:sz w:val="18"/>
                <w:szCs w:val="18"/>
              </w:rPr>
              <w:t> </w:t>
            </w:r>
          </w:p>
        </w:tc>
      </w:tr>
      <w:bookmarkEnd w:id="103"/>
      <w:tr w:rsidR="00AB6753" w14:paraId="4F5813BF" w14:textId="77777777" w:rsidTr="002D1EA4">
        <w:trPr>
          <w:trHeight w:val="255"/>
        </w:trPr>
        <w:tc>
          <w:tcPr>
            <w:tcW w:w="6416" w:type="dxa"/>
            <w:tcBorders>
              <w:top w:val="nil"/>
              <w:left w:val="nil"/>
              <w:bottom w:val="nil"/>
              <w:right w:val="nil"/>
            </w:tcBorders>
            <w:shd w:val="clear" w:color="000000" w:fill="D9D9D9"/>
            <w:noWrap/>
            <w:vAlign w:val="bottom"/>
            <w:hideMark/>
          </w:tcPr>
          <w:p w14:paraId="0097DB5C" w14:textId="77777777" w:rsidR="00AB6753" w:rsidRDefault="00AB6753" w:rsidP="002D1EA4">
            <w:pPr>
              <w:spacing w:after="0"/>
              <w:rPr>
                <w:rFonts w:cs="Arial"/>
                <w:sz w:val="18"/>
                <w:szCs w:val="18"/>
              </w:rPr>
            </w:pPr>
            <w:r>
              <w:rPr>
                <w:rFonts w:cs="Arial"/>
                <w:sz w:val="18"/>
                <w:szCs w:val="18"/>
              </w:rPr>
              <w:t>Direct:</w:t>
            </w:r>
          </w:p>
        </w:tc>
        <w:tc>
          <w:tcPr>
            <w:tcW w:w="1256" w:type="dxa"/>
            <w:tcBorders>
              <w:top w:val="nil"/>
              <w:left w:val="nil"/>
              <w:bottom w:val="nil"/>
              <w:right w:val="nil"/>
            </w:tcBorders>
            <w:shd w:val="clear" w:color="000000" w:fill="D9D9D9"/>
            <w:noWrap/>
            <w:vAlign w:val="bottom"/>
            <w:hideMark/>
          </w:tcPr>
          <w:p w14:paraId="5CC717E2"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000000" w:fill="D9D9D9"/>
            <w:noWrap/>
            <w:vAlign w:val="bottom"/>
            <w:hideMark/>
          </w:tcPr>
          <w:p w14:paraId="5CEC3389"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000000" w:fill="D9D9D9"/>
            <w:noWrap/>
            <w:vAlign w:val="bottom"/>
            <w:hideMark/>
          </w:tcPr>
          <w:p w14:paraId="6C81EC6D" w14:textId="77777777" w:rsidR="00AB6753" w:rsidRDefault="00AB6753" w:rsidP="002D1EA4">
            <w:pPr>
              <w:spacing w:after="0"/>
              <w:rPr>
                <w:rFonts w:cs="Arial"/>
                <w:sz w:val="18"/>
                <w:szCs w:val="18"/>
              </w:rPr>
            </w:pPr>
            <w:r>
              <w:rPr>
                <w:rFonts w:cs="Arial"/>
                <w:sz w:val="18"/>
                <w:szCs w:val="18"/>
              </w:rPr>
              <w:t> </w:t>
            </w:r>
          </w:p>
        </w:tc>
      </w:tr>
      <w:tr w:rsidR="00AB6753" w14:paraId="0809DAD7" w14:textId="77777777" w:rsidTr="002D1EA4">
        <w:trPr>
          <w:trHeight w:val="255"/>
        </w:trPr>
        <w:tc>
          <w:tcPr>
            <w:tcW w:w="6416" w:type="dxa"/>
            <w:tcBorders>
              <w:top w:val="nil"/>
              <w:left w:val="nil"/>
              <w:bottom w:val="nil"/>
              <w:right w:val="nil"/>
            </w:tcBorders>
            <w:shd w:val="clear" w:color="000000" w:fill="D9D9D9"/>
            <w:noWrap/>
            <w:vAlign w:val="bottom"/>
            <w:hideMark/>
          </w:tcPr>
          <w:p w14:paraId="00FA73DC" w14:textId="77777777" w:rsidR="00AB6753" w:rsidRDefault="00AB6753" w:rsidP="002D1EA4">
            <w:pPr>
              <w:spacing w:after="0"/>
              <w:ind w:firstLineChars="100" w:firstLine="180"/>
              <w:rPr>
                <w:rFonts w:cs="Arial"/>
                <w:sz w:val="18"/>
                <w:szCs w:val="18"/>
              </w:rPr>
            </w:pPr>
            <w:r>
              <w:rPr>
                <w:rFonts w:cs="Arial"/>
                <w:sz w:val="18"/>
                <w:szCs w:val="18"/>
              </w:rPr>
              <w:t>Income Support for Seniors</w:t>
            </w:r>
          </w:p>
        </w:tc>
        <w:tc>
          <w:tcPr>
            <w:tcW w:w="1256" w:type="dxa"/>
            <w:tcBorders>
              <w:top w:val="nil"/>
              <w:left w:val="nil"/>
              <w:bottom w:val="nil"/>
              <w:right w:val="nil"/>
            </w:tcBorders>
            <w:shd w:val="clear" w:color="000000" w:fill="D9D9D9"/>
            <w:noWrap/>
            <w:vAlign w:val="bottom"/>
            <w:hideMark/>
          </w:tcPr>
          <w:p w14:paraId="233B80DC" w14:textId="77777777" w:rsidR="00AB6753" w:rsidRDefault="00AB6753" w:rsidP="002D1EA4">
            <w:pPr>
              <w:spacing w:after="0"/>
              <w:jc w:val="right"/>
              <w:rPr>
                <w:rFonts w:cs="Arial"/>
                <w:b/>
                <w:bCs/>
                <w:sz w:val="18"/>
                <w:szCs w:val="18"/>
              </w:rPr>
            </w:pPr>
            <w:r>
              <w:rPr>
                <w:rFonts w:cs="Arial"/>
                <w:b/>
                <w:bCs/>
                <w:sz w:val="18"/>
                <w:szCs w:val="18"/>
              </w:rPr>
              <w:t>50,103,637</w:t>
            </w:r>
          </w:p>
        </w:tc>
        <w:tc>
          <w:tcPr>
            <w:tcW w:w="267" w:type="dxa"/>
            <w:tcBorders>
              <w:top w:val="nil"/>
              <w:left w:val="nil"/>
              <w:bottom w:val="nil"/>
              <w:right w:val="nil"/>
            </w:tcBorders>
            <w:shd w:val="clear" w:color="000000" w:fill="D9D9D9"/>
            <w:noWrap/>
            <w:vAlign w:val="bottom"/>
            <w:hideMark/>
          </w:tcPr>
          <w:p w14:paraId="3CCB4BC5"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5E268D5C" w14:textId="77777777" w:rsidR="00AB6753" w:rsidRDefault="00AB6753" w:rsidP="002D1EA4">
            <w:pPr>
              <w:spacing w:after="0"/>
              <w:jc w:val="right"/>
              <w:rPr>
                <w:rFonts w:cs="Arial"/>
                <w:sz w:val="18"/>
                <w:szCs w:val="18"/>
              </w:rPr>
            </w:pPr>
            <w:r>
              <w:rPr>
                <w:rFonts w:cs="Arial"/>
                <w:sz w:val="18"/>
                <w:szCs w:val="18"/>
              </w:rPr>
              <w:t>46,513,719</w:t>
            </w:r>
          </w:p>
        </w:tc>
      </w:tr>
      <w:tr w:rsidR="00AB6753" w14:paraId="41BDEF97" w14:textId="77777777" w:rsidTr="002D1EA4">
        <w:trPr>
          <w:trHeight w:val="255"/>
        </w:trPr>
        <w:tc>
          <w:tcPr>
            <w:tcW w:w="6416" w:type="dxa"/>
            <w:tcBorders>
              <w:top w:val="nil"/>
              <w:left w:val="nil"/>
              <w:bottom w:val="nil"/>
              <w:right w:val="nil"/>
            </w:tcBorders>
            <w:shd w:val="clear" w:color="000000" w:fill="D9D9D9"/>
            <w:noWrap/>
            <w:vAlign w:val="bottom"/>
            <w:hideMark/>
          </w:tcPr>
          <w:p w14:paraId="7D1D2A77" w14:textId="77777777" w:rsidR="00AB6753" w:rsidRDefault="00AB6753" w:rsidP="002D1EA4">
            <w:pPr>
              <w:spacing w:after="0"/>
              <w:ind w:firstLineChars="100" w:firstLine="180"/>
              <w:rPr>
                <w:rFonts w:cs="Arial"/>
                <w:sz w:val="18"/>
                <w:szCs w:val="18"/>
              </w:rPr>
            </w:pPr>
            <w:r>
              <w:rPr>
                <w:rFonts w:cs="Arial"/>
                <w:sz w:val="18"/>
                <w:szCs w:val="18"/>
              </w:rPr>
              <w:t>Working Age Payments</w:t>
            </w:r>
          </w:p>
        </w:tc>
        <w:tc>
          <w:tcPr>
            <w:tcW w:w="1256" w:type="dxa"/>
            <w:tcBorders>
              <w:top w:val="nil"/>
              <w:left w:val="nil"/>
              <w:bottom w:val="nil"/>
              <w:right w:val="nil"/>
            </w:tcBorders>
            <w:shd w:val="clear" w:color="000000" w:fill="D9D9D9"/>
            <w:noWrap/>
            <w:vAlign w:val="bottom"/>
            <w:hideMark/>
          </w:tcPr>
          <w:p w14:paraId="62F3188E" w14:textId="77777777" w:rsidR="00AB6753" w:rsidRDefault="00AB6753" w:rsidP="002D1EA4">
            <w:pPr>
              <w:spacing w:after="0"/>
              <w:jc w:val="right"/>
              <w:rPr>
                <w:rFonts w:cs="Arial"/>
                <w:b/>
                <w:bCs/>
                <w:sz w:val="18"/>
                <w:szCs w:val="18"/>
              </w:rPr>
            </w:pPr>
            <w:r>
              <w:rPr>
                <w:rFonts w:cs="Arial"/>
                <w:b/>
                <w:bCs/>
                <w:sz w:val="18"/>
                <w:szCs w:val="18"/>
              </w:rPr>
              <w:t>26,680,586</w:t>
            </w:r>
          </w:p>
        </w:tc>
        <w:tc>
          <w:tcPr>
            <w:tcW w:w="267" w:type="dxa"/>
            <w:tcBorders>
              <w:top w:val="nil"/>
              <w:left w:val="nil"/>
              <w:bottom w:val="nil"/>
              <w:right w:val="nil"/>
            </w:tcBorders>
            <w:shd w:val="clear" w:color="000000" w:fill="D9D9D9"/>
            <w:noWrap/>
            <w:vAlign w:val="bottom"/>
            <w:hideMark/>
          </w:tcPr>
          <w:p w14:paraId="2301ED35"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1BF5DA21" w14:textId="77777777" w:rsidR="00AB6753" w:rsidRDefault="00AB6753" w:rsidP="002D1EA4">
            <w:pPr>
              <w:spacing w:after="0"/>
              <w:jc w:val="right"/>
              <w:rPr>
                <w:rFonts w:cs="Arial"/>
                <w:sz w:val="18"/>
                <w:szCs w:val="18"/>
              </w:rPr>
            </w:pPr>
            <w:r>
              <w:rPr>
                <w:rFonts w:cs="Arial"/>
                <w:sz w:val="18"/>
                <w:szCs w:val="18"/>
              </w:rPr>
              <w:t>15,822,443</w:t>
            </w:r>
          </w:p>
        </w:tc>
      </w:tr>
      <w:tr w:rsidR="00AB6753" w14:paraId="5ED9FA0C" w14:textId="77777777" w:rsidTr="002D1EA4">
        <w:trPr>
          <w:trHeight w:val="255"/>
        </w:trPr>
        <w:tc>
          <w:tcPr>
            <w:tcW w:w="6416" w:type="dxa"/>
            <w:tcBorders>
              <w:top w:val="nil"/>
              <w:left w:val="nil"/>
              <w:bottom w:val="nil"/>
              <w:right w:val="nil"/>
            </w:tcBorders>
            <w:shd w:val="clear" w:color="000000" w:fill="D9D9D9"/>
            <w:noWrap/>
            <w:vAlign w:val="bottom"/>
            <w:hideMark/>
          </w:tcPr>
          <w:p w14:paraId="2E9D5843" w14:textId="77777777" w:rsidR="00AB6753" w:rsidRDefault="00AB6753" w:rsidP="002D1EA4">
            <w:pPr>
              <w:spacing w:after="0"/>
              <w:ind w:firstLineChars="100" w:firstLine="180"/>
              <w:rPr>
                <w:rFonts w:cs="Arial"/>
                <w:sz w:val="18"/>
                <w:szCs w:val="18"/>
              </w:rPr>
            </w:pPr>
            <w:r>
              <w:rPr>
                <w:rFonts w:cs="Arial"/>
                <w:sz w:val="18"/>
                <w:szCs w:val="18"/>
              </w:rPr>
              <w:t>Family Tax Benefit</w:t>
            </w:r>
          </w:p>
        </w:tc>
        <w:tc>
          <w:tcPr>
            <w:tcW w:w="1256" w:type="dxa"/>
            <w:tcBorders>
              <w:top w:val="nil"/>
              <w:left w:val="nil"/>
              <w:bottom w:val="nil"/>
              <w:right w:val="nil"/>
            </w:tcBorders>
            <w:shd w:val="clear" w:color="000000" w:fill="D9D9D9"/>
            <w:noWrap/>
            <w:vAlign w:val="bottom"/>
            <w:hideMark/>
          </w:tcPr>
          <w:p w14:paraId="654FC519" w14:textId="77777777" w:rsidR="00AB6753" w:rsidRDefault="00AB6753" w:rsidP="002D1EA4">
            <w:pPr>
              <w:spacing w:after="0"/>
              <w:jc w:val="right"/>
              <w:rPr>
                <w:rFonts w:cs="Arial"/>
                <w:b/>
                <w:bCs/>
                <w:sz w:val="18"/>
                <w:szCs w:val="18"/>
              </w:rPr>
            </w:pPr>
            <w:r>
              <w:rPr>
                <w:rFonts w:cs="Arial"/>
                <w:b/>
                <w:bCs/>
                <w:sz w:val="18"/>
                <w:szCs w:val="18"/>
              </w:rPr>
              <w:t>18,397,991</w:t>
            </w:r>
          </w:p>
        </w:tc>
        <w:tc>
          <w:tcPr>
            <w:tcW w:w="267" w:type="dxa"/>
            <w:tcBorders>
              <w:top w:val="nil"/>
              <w:left w:val="nil"/>
              <w:bottom w:val="nil"/>
              <w:right w:val="nil"/>
            </w:tcBorders>
            <w:shd w:val="clear" w:color="000000" w:fill="D9D9D9"/>
            <w:noWrap/>
            <w:vAlign w:val="bottom"/>
            <w:hideMark/>
          </w:tcPr>
          <w:p w14:paraId="40494A37"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56B0FCAA" w14:textId="77777777" w:rsidR="00AB6753" w:rsidRDefault="00AB6753" w:rsidP="002D1EA4">
            <w:pPr>
              <w:spacing w:after="0"/>
              <w:jc w:val="right"/>
              <w:rPr>
                <w:rFonts w:cs="Arial"/>
                <w:sz w:val="18"/>
                <w:szCs w:val="18"/>
              </w:rPr>
            </w:pPr>
            <w:r>
              <w:rPr>
                <w:rFonts w:cs="Arial"/>
                <w:sz w:val="18"/>
                <w:szCs w:val="18"/>
              </w:rPr>
              <w:t>18,081,480</w:t>
            </w:r>
          </w:p>
        </w:tc>
      </w:tr>
      <w:tr w:rsidR="00AB6753" w14:paraId="31D16768" w14:textId="77777777" w:rsidTr="002D1EA4">
        <w:trPr>
          <w:trHeight w:val="255"/>
        </w:trPr>
        <w:tc>
          <w:tcPr>
            <w:tcW w:w="6416" w:type="dxa"/>
            <w:tcBorders>
              <w:top w:val="nil"/>
              <w:left w:val="nil"/>
              <w:bottom w:val="nil"/>
              <w:right w:val="nil"/>
            </w:tcBorders>
            <w:shd w:val="clear" w:color="000000" w:fill="D9D9D9"/>
            <w:noWrap/>
            <w:vAlign w:val="bottom"/>
            <w:hideMark/>
          </w:tcPr>
          <w:p w14:paraId="6B5A7499" w14:textId="77777777" w:rsidR="00AB6753" w:rsidRDefault="00AB6753" w:rsidP="002D1EA4">
            <w:pPr>
              <w:spacing w:after="0"/>
              <w:ind w:firstLineChars="100" w:firstLine="180"/>
              <w:rPr>
                <w:rFonts w:cs="Arial"/>
                <w:sz w:val="18"/>
                <w:szCs w:val="18"/>
              </w:rPr>
            </w:pPr>
            <w:r>
              <w:rPr>
                <w:rFonts w:cs="Arial"/>
                <w:sz w:val="18"/>
                <w:szCs w:val="18"/>
              </w:rPr>
              <w:t>Income Support for People with Disability</w:t>
            </w:r>
          </w:p>
        </w:tc>
        <w:tc>
          <w:tcPr>
            <w:tcW w:w="1256" w:type="dxa"/>
            <w:tcBorders>
              <w:top w:val="nil"/>
              <w:left w:val="nil"/>
              <w:bottom w:val="nil"/>
              <w:right w:val="nil"/>
            </w:tcBorders>
            <w:shd w:val="clear" w:color="000000" w:fill="D9D9D9"/>
            <w:noWrap/>
            <w:vAlign w:val="bottom"/>
            <w:hideMark/>
          </w:tcPr>
          <w:p w14:paraId="08381469" w14:textId="77777777" w:rsidR="00AB6753" w:rsidRDefault="00AB6753" w:rsidP="002D1EA4">
            <w:pPr>
              <w:spacing w:after="0"/>
              <w:jc w:val="right"/>
              <w:rPr>
                <w:rFonts w:cs="Arial"/>
                <w:b/>
                <w:bCs/>
                <w:sz w:val="18"/>
                <w:szCs w:val="18"/>
              </w:rPr>
            </w:pPr>
            <w:r>
              <w:rPr>
                <w:rFonts w:cs="Arial"/>
                <w:b/>
                <w:bCs/>
                <w:sz w:val="18"/>
                <w:szCs w:val="18"/>
              </w:rPr>
              <w:t>17,781,052</w:t>
            </w:r>
          </w:p>
        </w:tc>
        <w:tc>
          <w:tcPr>
            <w:tcW w:w="267" w:type="dxa"/>
            <w:tcBorders>
              <w:top w:val="nil"/>
              <w:left w:val="nil"/>
              <w:bottom w:val="nil"/>
              <w:right w:val="nil"/>
            </w:tcBorders>
            <w:shd w:val="clear" w:color="000000" w:fill="D9D9D9"/>
            <w:noWrap/>
            <w:vAlign w:val="bottom"/>
            <w:hideMark/>
          </w:tcPr>
          <w:p w14:paraId="6A73B950"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7499229A" w14:textId="77777777" w:rsidR="00AB6753" w:rsidRDefault="00AB6753" w:rsidP="002D1EA4">
            <w:pPr>
              <w:spacing w:after="0"/>
              <w:jc w:val="right"/>
              <w:rPr>
                <w:rFonts w:cs="Arial"/>
                <w:sz w:val="18"/>
                <w:szCs w:val="18"/>
              </w:rPr>
            </w:pPr>
            <w:r>
              <w:rPr>
                <w:rFonts w:cs="Arial"/>
                <w:sz w:val="18"/>
                <w:szCs w:val="18"/>
              </w:rPr>
              <w:t>16,740,242</w:t>
            </w:r>
          </w:p>
        </w:tc>
      </w:tr>
      <w:tr w:rsidR="00AB6753" w14:paraId="5FA427F9" w14:textId="77777777" w:rsidTr="002D1EA4">
        <w:trPr>
          <w:trHeight w:val="255"/>
        </w:trPr>
        <w:tc>
          <w:tcPr>
            <w:tcW w:w="6416" w:type="dxa"/>
            <w:tcBorders>
              <w:top w:val="nil"/>
              <w:left w:val="nil"/>
              <w:bottom w:val="nil"/>
              <w:right w:val="nil"/>
            </w:tcBorders>
            <w:shd w:val="clear" w:color="000000" w:fill="D9D9D9"/>
            <w:noWrap/>
            <w:vAlign w:val="bottom"/>
            <w:hideMark/>
          </w:tcPr>
          <w:p w14:paraId="4978C531" w14:textId="77777777" w:rsidR="00AB6753" w:rsidRDefault="00AB6753" w:rsidP="002D1EA4">
            <w:pPr>
              <w:spacing w:after="0"/>
              <w:ind w:firstLineChars="100" w:firstLine="180"/>
              <w:rPr>
                <w:rFonts w:cs="Arial"/>
                <w:sz w:val="18"/>
                <w:szCs w:val="18"/>
              </w:rPr>
            </w:pPr>
            <w:r>
              <w:rPr>
                <w:rFonts w:cs="Arial"/>
                <w:sz w:val="18"/>
                <w:szCs w:val="18"/>
              </w:rPr>
              <w:t>Income Support for Carers</w:t>
            </w:r>
          </w:p>
        </w:tc>
        <w:tc>
          <w:tcPr>
            <w:tcW w:w="1256" w:type="dxa"/>
            <w:tcBorders>
              <w:top w:val="nil"/>
              <w:left w:val="nil"/>
              <w:bottom w:val="nil"/>
              <w:right w:val="nil"/>
            </w:tcBorders>
            <w:shd w:val="clear" w:color="000000" w:fill="D9D9D9"/>
            <w:noWrap/>
            <w:vAlign w:val="bottom"/>
            <w:hideMark/>
          </w:tcPr>
          <w:p w14:paraId="3931BC6C" w14:textId="77777777" w:rsidR="00AB6753" w:rsidRDefault="00AB6753" w:rsidP="002D1EA4">
            <w:pPr>
              <w:spacing w:after="0"/>
              <w:jc w:val="right"/>
              <w:rPr>
                <w:rFonts w:cs="Arial"/>
                <w:b/>
                <w:bCs/>
                <w:sz w:val="18"/>
                <w:szCs w:val="18"/>
              </w:rPr>
            </w:pPr>
            <w:r>
              <w:rPr>
                <w:rFonts w:cs="Arial"/>
                <w:b/>
                <w:bCs/>
                <w:sz w:val="18"/>
                <w:szCs w:val="18"/>
              </w:rPr>
              <w:t>9,374,381</w:t>
            </w:r>
          </w:p>
        </w:tc>
        <w:tc>
          <w:tcPr>
            <w:tcW w:w="267" w:type="dxa"/>
            <w:tcBorders>
              <w:top w:val="nil"/>
              <w:left w:val="nil"/>
              <w:bottom w:val="nil"/>
              <w:right w:val="nil"/>
            </w:tcBorders>
            <w:shd w:val="clear" w:color="000000" w:fill="D9D9D9"/>
            <w:noWrap/>
            <w:vAlign w:val="bottom"/>
            <w:hideMark/>
          </w:tcPr>
          <w:p w14:paraId="441649FC"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26211EB7" w14:textId="77777777" w:rsidR="00AB6753" w:rsidRDefault="00AB6753" w:rsidP="002D1EA4">
            <w:pPr>
              <w:spacing w:after="0"/>
              <w:jc w:val="right"/>
              <w:rPr>
                <w:rFonts w:cs="Arial"/>
                <w:sz w:val="18"/>
                <w:szCs w:val="18"/>
              </w:rPr>
            </w:pPr>
            <w:r>
              <w:rPr>
                <w:rFonts w:cs="Arial"/>
                <w:sz w:val="18"/>
                <w:szCs w:val="18"/>
              </w:rPr>
              <w:t>8,676,067</w:t>
            </w:r>
          </w:p>
        </w:tc>
      </w:tr>
      <w:tr w:rsidR="00AB6753" w14:paraId="03760C59" w14:textId="77777777" w:rsidTr="002D1EA4">
        <w:trPr>
          <w:trHeight w:val="255"/>
        </w:trPr>
        <w:tc>
          <w:tcPr>
            <w:tcW w:w="6416" w:type="dxa"/>
            <w:tcBorders>
              <w:top w:val="nil"/>
              <w:left w:val="nil"/>
              <w:bottom w:val="nil"/>
              <w:right w:val="nil"/>
            </w:tcBorders>
            <w:shd w:val="clear" w:color="000000" w:fill="D9D9D9"/>
            <w:noWrap/>
            <w:vAlign w:val="bottom"/>
            <w:hideMark/>
          </w:tcPr>
          <w:p w14:paraId="379E5EF6" w14:textId="77777777" w:rsidR="00AB6753" w:rsidRDefault="00AB6753" w:rsidP="002D1EA4">
            <w:pPr>
              <w:spacing w:after="0"/>
              <w:ind w:firstLineChars="100" w:firstLine="180"/>
              <w:rPr>
                <w:rFonts w:cs="Arial"/>
                <w:sz w:val="18"/>
                <w:szCs w:val="18"/>
              </w:rPr>
            </w:pPr>
            <w:r>
              <w:rPr>
                <w:rFonts w:cs="Arial"/>
                <w:sz w:val="18"/>
                <w:szCs w:val="18"/>
              </w:rPr>
              <w:t>Student Payments</w:t>
            </w:r>
          </w:p>
        </w:tc>
        <w:tc>
          <w:tcPr>
            <w:tcW w:w="1256" w:type="dxa"/>
            <w:tcBorders>
              <w:top w:val="nil"/>
              <w:left w:val="nil"/>
              <w:bottom w:val="nil"/>
              <w:right w:val="nil"/>
            </w:tcBorders>
            <w:shd w:val="clear" w:color="000000" w:fill="D9D9D9"/>
            <w:noWrap/>
            <w:vAlign w:val="bottom"/>
            <w:hideMark/>
          </w:tcPr>
          <w:p w14:paraId="51ADE599" w14:textId="77777777" w:rsidR="00AB6753" w:rsidRDefault="00AB6753" w:rsidP="002D1EA4">
            <w:pPr>
              <w:spacing w:after="0"/>
              <w:jc w:val="right"/>
              <w:rPr>
                <w:rFonts w:cs="Arial"/>
                <w:b/>
                <w:bCs/>
                <w:sz w:val="18"/>
                <w:szCs w:val="18"/>
              </w:rPr>
            </w:pPr>
            <w:r>
              <w:rPr>
                <w:rFonts w:cs="Arial"/>
                <w:b/>
                <w:bCs/>
                <w:sz w:val="18"/>
                <w:szCs w:val="18"/>
              </w:rPr>
              <w:t>3,567,455</w:t>
            </w:r>
          </w:p>
        </w:tc>
        <w:tc>
          <w:tcPr>
            <w:tcW w:w="267" w:type="dxa"/>
            <w:tcBorders>
              <w:top w:val="nil"/>
              <w:left w:val="nil"/>
              <w:bottom w:val="nil"/>
              <w:right w:val="nil"/>
            </w:tcBorders>
            <w:shd w:val="clear" w:color="000000" w:fill="D9D9D9"/>
            <w:noWrap/>
            <w:vAlign w:val="bottom"/>
            <w:hideMark/>
          </w:tcPr>
          <w:p w14:paraId="174DFD72"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2600B03E" w14:textId="77777777" w:rsidR="00AB6753" w:rsidRDefault="00AB6753" w:rsidP="002D1EA4">
            <w:pPr>
              <w:spacing w:after="0"/>
              <w:jc w:val="right"/>
              <w:rPr>
                <w:rFonts w:cs="Arial"/>
                <w:sz w:val="18"/>
                <w:szCs w:val="18"/>
              </w:rPr>
            </w:pPr>
            <w:r>
              <w:rPr>
                <w:rFonts w:cs="Arial"/>
                <w:sz w:val="18"/>
                <w:szCs w:val="18"/>
              </w:rPr>
              <w:t>2,323,878</w:t>
            </w:r>
          </w:p>
        </w:tc>
      </w:tr>
      <w:tr w:rsidR="00AB6753" w14:paraId="7A19241C" w14:textId="77777777" w:rsidTr="002D1EA4">
        <w:trPr>
          <w:trHeight w:val="255"/>
        </w:trPr>
        <w:tc>
          <w:tcPr>
            <w:tcW w:w="6416" w:type="dxa"/>
            <w:tcBorders>
              <w:top w:val="nil"/>
              <w:left w:val="nil"/>
              <w:bottom w:val="nil"/>
              <w:right w:val="nil"/>
            </w:tcBorders>
            <w:shd w:val="clear" w:color="000000" w:fill="D9D9D9"/>
            <w:noWrap/>
            <w:vAlign w:val="bottom"/>
            <w:hideMark/>
          </w:tcPr>
          <w:p w14:paraId="62C4734B" w14:textId="77777777" w:rsidR="00AB6753" w:rsidRDefault="00AB6753" w:rsidP="002D1EA4">
            <w:pPr>
              <w:spacing w:after="0"/>
              <w:ind w:firstLineChars="100" w:firstLine="180"/>
              <w:rPr>
                <w:rFonts w:cs="Arial"/>
                <w:sz w:val="18"/>
                <w:szCs w:val="18"/>
              </w:rPr>
            </w:pPr>
            <w:r>
              <w:rPr>
                <w:rFonts w:cs="Arial"/>
                <w:sz w:val="18"/>
                <w:szCs w:val="18"/>
              </w:rPr>
              <w:t>Paid Parental Leave</w:t>
            </w:r>
          </w:p>
        </w:tc>
        <w:tc>
          <w:tcPr>
            <w:tcW w:w="1256" w:type="dxa"/>
            <w:tcBorders>
              <w:top w:val="nil"/>
              <w:left w:val="nil"/>
              <w:bottom w:val="nil"/>
              <w:right w:val="nil"/>
            </w:tcBorders>
            <w:shd w:val="clear" w:color="000000" w:fill="D9D9D9"/>
            <w:noWrap/>
            <w:vAlign w:val="bottom"/>
            <w:hideMark/>
          </w:tcPr>
          <w:p w14:paraId="2587F098" w14:textId="77777777" w:rsidR="00AB6753" w:rsidRDefault="00AB6753" w:rsidP="002D1EA4">
            <w:pPr>
              <w:spacing w:after="0"/>
              <w:jc w:val="right"/>
              <w:rPr>
                <w:rFonts w:cs="Arial"/>
                <w:b/>
                <w:bCs/>
                <w:sz w:val="18"/>
                <w:szCs w:val="18"/>
              </w:rPr>
            </w:pPr>
            <w:r>
              <w:rPr>
                <w:rFonts w:cs="Arial"/>
                <w:b/>
                <w:bCs/>
                <w:sz w:val="18"/>
                <w:szCs w:val="18"/>
              </w:rPr>
              <w:t>2,399,420</w:t>
            </w:r>
          </w:p>
        </w:tc>
        <w:tc>
          <w:tcPr>
            <w:tcW w:w="267" w:type="dxa"/>
            <w:tcBorders>
              <w:top w:val="nil"/>
              <w:left w:val="nil"/>
              <w:bottom w:val="nil"/>
              <w:right w:val="nil"/>
            </w:tcBorders>
            <w:shd w:val="clear" w:color="000000" w:fill="D9D9D9"/>
            <w:noWrap/>
            <w:vAlign w:val="bottom"/>
            <w:hideMark/>
          </w:tcPr>
          <w:p w14:paraId="6B25C3B8"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22D25525" w14:textId="77777777" w:rsidR="00AB6753" w:rsidRDefault="00AB6753" w:rsidP="002D1EA4">
            <w:pPr>
              <w:spacing w:after="0"/>
              <w:jc w:val="right"/>
              <w:rPr>
                <w:rFonts w:cs="Arial"/>
                <w:sz w:val="18"/>
                <w:szCs w:val="18"/>
              </w:rPr>
            </w:pPr>
            <w:r>
              <w:rPr>
                <w:rFonts w:cs="Arial"/>
                <w:sz w:val="18"/>
                <w:szCs w:val="18"/>
              </w:rPr>
              <w:t>2,316,636</w:t>
            </w:r>
          </w:p>
        </w:tc>
      </w:tr>
      <w:tr w:rsidR="00AB6753" w14:paraId="13C058BC" w14:textId="77777777" w:rsidTr="002D1EA4">
        <w:trPr>
          <w:trHeight w:val="255"/>
        </w:trPr>
        <w:tc>
          <w:tcPr>
            <w:tcW w:w="6416" w:type="dxa"/>
            <w:tcBorders>
              <w:top w:val="nil"/>
              <w:left w:val="nil"/>
              <w:bottom w:val="nil"/>
              <w:right w:val="nil"/>
            </w:tcBorders>
            <w:shd w:val="clear" w:color="000000" w:fill="D9D9D9"/>
            <w:noWrap/>
            <w:vAlign w:val="bottom"/>
            <w:hideMark/>
          </w:tcPr>
          <w:p w14:paraId="318B44CD" w14:textId="77777777" w:rsidR="00AB6753" w:rsidRDefault="00AB6753" w:rsidP="002D1EA4">
            <w:pPr>
              <w:spacing w:after="0"/>
              <w:ind w:firstLineChars="100" w:firstLine="180"/>
              <w:rPr>
                <w:rFonts w:cs="Arial"/>
                <w:sz w:val="18"/>
                <w:szCs w:val="18"/>
              </w:rPr>
            </w:pPr>
            <w:r>
              <w:rPr>
                <w:rFonts w:cs="Arial"/>
                <w:sz w:val="18"/>
                <w:szCs w:val="18"/>
              </w:rPr>
              <w:t>Allowances and Concessions for Seniors</w:t>
            </w:r>
          </w:p>
        </w:tc>
        <w:tc>
          <w:tcPr>
            <w:tcW w:w="1256" w:type="dxa"/>
            <w:tcBorders>
              <w:top w:val="nil"/>
              <w:left w:val="nil"/>
              <w:bottom w:val="nil"/>
              <w:right w:val="nil"/>
            </w:tcBorders>
            <w:shd w:val="clear" w:color="000000" w:fill="D9D9D9"/>
            <w:noWrap/>
            <w:vAlign w:val="bottom"/>
            <w:hideMark/>
          </w:tcPr>
          <w:p w14:paraId="46DB456A" w14:textId="77777777" w:rsidR="00AB6753" w:rsidRDefault="00AB6753" w:rsidP="002D1EA4">
            <w:pPr>
              <w:spacing w:after="0"/>
              <w:jc w:val="right"/>
              <w:rPr>
                <w:rFonts w:cs="Arial"/>
                <w:b/>
                <w:bCs/>
                <w:sz w:val="18"/>
                <w:szCs w:val="18"/>
              </w:rPr>
            </w:pPr>
            <w:r>
              <w:rPr>
                <w:rFonts w:cs="Arial"/>
                <w:b/>
                <w:bCs/>
                <w:sz w:val="18"/>
                <w:szCs w:val="18"/>
              </w:rPr>
              <w:t>378,767</w:t>
            </w:r>
          </w:p>
        </w:tc>
        <w:tc>
          <w:tcPr>
            <w:tcW w:w="267" w:type="dxa"/>
            <w:tcBorders>
              <w:top w:val="nil"/>
              <w:left w:val="nil"/>
              <w:bottom w:val="nil"/>
              <w:right w:val="nil"/>
            </w:tcBorders>
            <w:shd w:val="clear" w:color="000000" w:fill="D9D9D9"/>
            <w:noWrap/>
            <w:vAlign w:val="bottom"/>
            <w:hideMark/>
          </w:tcPr>
          <w:p w14:paraId="6502BE49"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354ADB00" w14:textId="77777777" w:rsidR="00AB6753" w:rsidRDefault="00AB6753" w:rsidP="002D1EA4">
            <w:pPr>
              <w:spacing w:after="0"/>
              <w:jc w:val="right"/>
              <w:rPr>
                <w:rFonts w:cs="Arial"/>
                <w:sz w:val="18"/>
                <w:szCs w:val="18"/>
              </w:rPr>
            </w:pPr>
            <w:r>
              <w:rPr>
                <w:rFonts w:cs="Arial"/>
                <w:sz w:val="18"/>
                <w:szCs w:val="18"/>
              </w:rPr>
              <w:t>92,558</w:t>
            </w:r>
          </w:p>
        </w:tc>
      </w:tr>
      <w:tr w:rsidR="00AB6753" w14:paraId="7EBAB729" w14:textId="77777777" w:rsidTr="002D1EA4">
        <w:trPr>
          <w:trHeight w:val="255"/>
        </w:trPr>
        <w:tc>
          <w:tcPr>
            <w:tcW w:w="6416" w:type="dxa"/>
            <w:tcBorders>
              <w:top w:val="nil"/>
              <w:left w:val="nil"/>
              <w:bottom w:val="nil"/>
              <w:right w:val="nil"/>
            </w:tcBorders>
            <w:shd w:val="clear" w:color="000000" w:fill="D9D9D9"/>
            <w:noWrap/>
            <w:vAlign w:val="bottom"/>
            <w:hideMark/>
          </w:tcPr>
          <w:p w14:paraId="5518CD95" w14:textId="77777777" w:rsidR="00AB6753" w:rsidRDefault="00AB6753" w:rsidP="002D1EA4">
            <w:pPr>
              <w:spacing w:after="0"/>
              <w:ind w:firstLineChars="100" w:firstLine="180"/>
              <w:rPr>
                <w:rFonts w:cs="Arial"/>
                <w:sz w:val="18"/>
                <w:szCs w:val="18"/>
              </w:rPr>
            </w:pPr>
            <w:r>
              <w:rPr>
                <w:rFonts w:cs="Arial"/>
                <w:sz w:val="18"/>
                <w:szCs w:val="18"/>
              </w:rPr>
              <w:t>National Redress Scheme</w:t>
            </w:r>
          </w:p>
        </w:tc>
        <w:tc>
          <w:tcPr>
            <w:tcW w:w="1256" w:type="dxa"/>
            <w:tcBorders>
              <w:top w:val="nil"/>
              <w:left w:val="nil"/>
              <w:bottom w:val="nil"/>
              <w:right w:val="nil"/>
            </w:tcBorders>
            <w:shd w:val="clear" w:color="000000" w:fill="D9D9D9"/>
            <w:noWrap/>
            <w:vAlign w:val="bottom"/>
            <w:hideMark/>
          </w:tcPr>
          <w:p w14:paraId="3393AA31" w14:textId="77777777" w:rsidR="00AB6753" w:rsidRDefault="00AB6753" w:rsidP="002D1EA4">
            <w:pPr>
              <w:spacing w:after="0"/>
              <w:jc w:val="right"/>
              <w:rPr>
                <w:rFonts w:cs="Arial"/>
                <w:b/>
                <w:bCs/>
                <w:sz w:val="18"/>
                <w:szCs w:val="18"/>
              </w:rPr>
            </w:pPr>
            <w:r>
              <w:rPr>
                <w:rFonts w:cs="Arial"/>
                <w:b/>
                <w:bCs/>
                <w:sz w:val="18"/>
                <w:szCs w:val="18"/>
              </w:rPr>
              <w:t>253,567</w:t>
            </w:r>
          </w:p>
        </w:tc>
        <w:tc>
          <w:tcPr>
            <w:tcW w:w="267" w:type="dxa"/>
            <w:tcBorders>
              <w:top w:val="nil"/>
              <w:left w:val="nil"/>
              <w:bottom w:val="nil"/>
              <w:right w:val="nil"/>
            </w:tcBorders>
            <w:shd w:val="clear" w:color="000000" w:fill="D9D9D9"/>
            <w:noWrap/>
            <w:vAlign w:val="bottom"/>
            <w:hideMark/>
          </w:tcPr>
          <w:p w14:paraId="42F4E434"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47E386E4" w14:textId="77777777" w:rsidR="00AB6753" w:rsidRDefault="00AB6753" w:rsidP="002D1EA4">
            <w:pPr>
              <w:spacing w:after="0"/>
              <w:jc w:val="right"/>
              <w:rPr>
                <w:rFonts w:cs="Arial"/>
                <w:sz w:val="18"/>
                <w:szCs w:val="18"/>
              </w:rPr>
            </w:pPr>
            <w:r>
              <w:rPr>
                <w:rFonts w:cs="Arial"/>
                <w:sz w:val="18"/>
                <w:szCs w:val="18"/>
              </w:rPr>
              <w:t>-</w:t>
            </w:r>
          </w:p>
        </w:tc>
      </w:tr>
      <w:tr w:rsidR="00AB6753" w14:paraId="2533401B" w14:textId="77777777" w:rsidTr="002D1EA4">
        <w:trPr>
          <w:trHeight w:val="255"/>
        </w:trPr>
        <w:tc>
          <w:tcPr>
            <w:tcW w:w="6416" w:type="dxa"/>
            <w:tcBorders>
              <w:top w:val="nil"/>
              <w:left w:val="nil"/>
              <w:bottom w:val="nil"/>
              <w:right w:val="nil"/>
            </w:tcBorders>
            <w:shd w:val="clear" w:color="000000" w:fill="D9D9D9"/>
            <w:noWrap/>
            <w:vAlign w:val="bottom"/>
            <w:hideMark/>
          </w:tcPr>
          <w:p w14:paraId="5C119408" w14:textId="77777777" w:rsidR="00AB6753" w:rsidRDefault="00AB6753" w:rsidP="002D1EA4">
            <w:pPr>
              <w:spacing w:after="0"/>
              <w:ind w:firstLineChars="100" w:firstLine="180"/>
              <w:rPr>
                <w:rFonts w:cs="Arial"/>
                <w:sz w:val="18"/>
                <w:szCs w:val="18"/>
              </w:rPr>
            </w:pPr>
            <w:r>
              <w:rPr>
                <w:rFonts w:cs="Arial"/>
                <w:sz w:val="18"/>
                <w:szCs w:val="18"/>
              </w:rPr>
              <w:t>Income Support for Vulnerable People</w:t>
            </w:r>
          </w:p>
        </w:tc>
        <w:tc>
          <w:tcPr>
            <w:tcW w:w="1256" w:type="dxa"/>
            <w:tcBorders>
              <w:top w:val="nil"/>
              <w:left w:val="nil"/>
              <w:bottom w:val="nil"/>
              <w:right w:val="nil"/>
            </w:tcBorders>
            <w:shd w:val="clear" w:color="000000" w:fill="D9D9D9"/>
            <w:noWrap/>
            <w:vAlign w:val="bottom"/>
            <w:hideMark/>
          </w:tcPr>
          <w:p w14:paraId="2968E5BA" w14:textId="77777777" w:rsidR="00AB6753" w:rsidRDefault="00AB6753" w:rsidP="002D1EA4">
            <w:pPr>
              <w:spacing w:after="0"/>
              <w:jc w:val="right"/>
              <w:rPr>
                <w:rFonts w:cs="Arial"/>
                <w:b/>
                <w:bCs/>
                <w:sz w:val="18"/>
                <w:szCs w:val="18"/>
              </w:rPr>
            </w:pPr>
            <w:r>
              <w:rPr>
                <w:rFonts w:cs="Arial"/>
                <w:b/>
                <w:bCs/>
                <w:sz w:val="18"/>
                <w:szCs w:val="18"/>
              </w:rPr>
              <w:t>150,685</w:t>
            </w:r>
          </w:p>
        </w:tc>
        <w:tc>
          <w:tcPr>
            <w:tcW w:w="267" w:type="dxa"/>
            <w:tcBorders>
              <w:top w:val="nil"/>
              <w:left w:val="nil"/>
              <w:bottom w:val="nil"/>
              <w:right w:val="nil"/>
            </w:tcBorders>
            <w:shd w:val="clear" w:color="000000" w:fill="D9D9D9"/>
            <w:noWrap/>
            <w:vAlign w:val="bottom"/>
            <w:hideMark/>
          </w:tcPr>
          <w:p w14:paraId="3841DCD9"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51C24739" w14:textId="77777777" w:rsidR="00AB6753" w:rsidRDefault="00AB6753" w:rsidP="002D1EA4">
            <w:pPr>
              <w:spacing w:after="0"/>
              <w:jc w:val="right"/>
              <w:rPr>
                <w:rFonts w:cs="Arial"/>
                <w:sz w:val="18"/>
                <w:szCs w:val="18"/>
              </w:rPr>
            </w:pPr>
            <w:r>
              <w:rPr>
                <w:rFonts w:cs="Arial"/>
                <w:sz w:val="18"/>
                <w:szCs w:val="18"/>
              </w:rPr>
              <w:t>102,553</w:t>
            </w:r>
          </w:p>
        </w:tc>
      </w:tr>
      <w:tr w:rsidR="00AB6753" w14:paraId="42198BF0" w14:textId="77777777" w:rsidTr="002D1EA4">
        <w:trPr>
          <w:trHeight w:val="255"/>
        </w:trPr>
        <w:tc>
          <w:tcPr>
            <w:tcW w:w="6416" w:type="dxa"/>
            <w:tcBorders>
              <w:top w:val="nil"/>
              <w:left w:val="nil"/>
              <w:bottom w:val="nil"/>
              <w:right w:val="nil"/>
            </w:tcBorders>
            <w:shd w:val="clear" w:color="000000" w:fill="D9D9D9"/>
            <w:noWrap/>
            <w:vAlign w:val="bottom"/>
            <w:hideMark/>
          </w:tcPr>
          <w:p w14:paraId="3A2F22F3" w14:textId="77777777" w:rsidR="00AB6753" w:rsidRDefault="00AB6753" w:rsidP="002D1EA4">
            <w:pPr>
              <w:spacing w:after="0"/>
              <w:ind w:firstLineChars="100" w:firstLine="180"/>
              <w:rPr>
                <w:rFonts w:cs="Arial"/>
                <w:sz w:val="18"/>
                <w:szCs w:val="18"/>
              </w:rPr>
            </w:pPr>
            <w:r>
              <w:rPr>
                <w:rFonts w:cs="Arial"/>
                <w:sz w:val="18"/>
                <w:szCs w:val="18"/>
              </w:rPr>
              <w:t>Child Payments</w:t>
            </w:r>
          </w:p>
        </w:tc>
        <w:tc>
          <w:tcPr>
            <w:tcW w:w="1256" w:type="dxa"/>
            <w:tcBorders>
              <w:top w:val="nil"/>
              <w:left w:val="nil"/>
              <w:bottom w:val="nil"/>
              <w:right w:val="nil"/>
            </w:tcBorders>
            <w:shd w:val="clear" w:color="000000" w:fill="D9D9D9"/>
            <w:noWrap/>
            <w:vAlign w:val="bottom"/>
            <w:hideMark/>
          </w:tcPr>
          <w:p w14:paraId="3D5CA7A2" w14:textId="77777777" w:rsidR="00AB6753" w:rsidRDefault="00AB6753" w:rsidP="002D1EA4">
            <w:pPr>
              <w:spacing w:after="0"/>
              <w:jc w:val="right"/>
              <w:rPr>
                <w:rFonts w:cs="Arial"/>
                <w:b/>
                <w:bCs/>
                <w:sz w:val="18"/>
                <w:szCs w:val="18"/>
              </w:rPr>
            </w:pPr>
            <w:r>
              <w:rPr>
                <w:rFonts w:cs="Arial"/>
                <w:b/>
                <w:bCs/>
                <w:sz w:val="18"/>
                <w:szCs w:val="18"/>
              </w:rPr>
              <w:t>105,601</w:t>
            </w:r>
          </w:p>
        </w:tc>
        <w:tc>
          <w:tcPr>
            <w:tcW w:w="267" w:type="dxa"/>
            <w:tcBorders>
              <w:top w:val="nil"/>
              <w:left w:val="nil"/>
              <w:bottom w:val="nil"/>
              <w:right w:val="nil"/>
            </w:tcBorders>
            <w:shd w:val="clear" w:color="000000" w:fill="D9D9D9"/>
            <w:noWrap/>
            <w:vAlign w:val="bottom"/>
            <w:hideMark/>
          </w:tcPr>
          <w:p w14:paraId="2697C626"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2799608B" w14:textId="77777777" w:rsidR="00AB6753" w:rsidRDefault="00AB6753" w:rsidP="002D1EA4">
            <w:pPr>
              <w:spacing w:after="0"/>
              <w:jc w:val="right"/>
              <w:rPr>
                <w:rFonts w:cs="Arial"/>
                <w:sz w:val="18"/>
                <w:szCs w:val="18"/>
              </w:rPr>
            </w:pPr>
            <w:r>
              <w:rPr>
                <w:rFonts w:cs="Arial"/>
                <w:sz w:val="18"/>
                <w:szCs w:val="18"/>
              </w:rPr>
              <w:t>103,820</w:t>
            </w:r>
          </w:p>
        </w:tc>
      </w:tr>
      <w:tr w:rsidR="00AB6753" w14:paraId="5B37859D" w14:textId="77777777" w:rsidTr="002D1EA4">
        <w:trPr>
          <w:trHeight w:val="255"/>
        </w:trPr>
        <w:tc>
          <w:tcPr>
            <w:tcW w:w="6416" w:type="dxa"/>
            <w:tcBorders>
              <w:top w:val="nil"/>
              <w:left w:val="nil"/>
              <w:bottom w:val="nil"/>
              <w:right w:val="nil"/>
            </w:tcBorders>
            <w:shd w:val="clear" w:color="000000" w:fill="D9D9D9"/>
            <w:noWrap/>
            <w:vAlign w:val="bottom"/>
            <w:hideMark/>
          </w:tcPr>
          <w:p w14:paraId="691A4F0D" w14:textId="77777777" w:rsidR="00AB6753" w:rsidRDefault="00AB6753" w:rsidP="002D1EA4">
            <w:pPr>
              <w:spacing w:after="0"/>
              <w:ind w:firstLineChars="100" w:firstLine="180"/>
              <w:rPr>
                <w:rFonts w:cs="Arial"/>
                <w:sz w:val="18"/>
                <w:szCs w:val="18"/>
              </w:rPr>
            </w:pPr>
            <w:r>
              <w:rPr>
                <w:rFonts w:cs="Arial"/>
                <w:sz w:val="18"/>
                <w:szCs w:val="18"/>
              </w:rPr>
              <w:t>Other</w:t>
            </w:r>
          </w:p>
        </w:tc>
        <w:tc>
          <w:tcPr>
            <w:tcW w:w="1256" w:type="dxa"/>
            <w:tcBorders>
              <w:top w:val="nil"/>
              <w:left w:val="nil"/>
              <w:bottom w:val="nil"/>
              <w:right w:val="nil"/>
            </w:tcBorders>
            <w:shd w:val="clear" w:color="000000" w:fill="D9D9D9"/>
            <w:noWrap/>
            <w:vAlign w:val="bottom"/>
            <w:hideMark/>
          </w:tcPr>
          <w:p w14:paraId="31578FE6" w14:textId="77777777" w:rsidR="00AB6753" w:rsidRDefault="00AB6753" w:rsidP="002D1EA4">
            <w:pPr>
              <w:spacing w:after="0"/>
              <w:jc w:val="right"/>
              <w:rPr>
                <w:rFonts w:cs="Arial"/>
                <w:b/>
                <w:bCs/>
                <w:sz w:val="18"/>
                <w:szCs w:val="18"/>
              </w:rPr>
            </w:pPr>
            <w:r>
              <w:rPr>
                <w:rFonts w:cs="Arial"/>
                <w:b/>
                <w:bCs/>
                <w:sz w:val="18"/>
                <w:szCs w:val="18"/>
              </w:rPr>
              <w:t>37,521</w:t>
            </w:r>
          </w:p>
        </w:tc>
        <w:tc>
          <w:tcPr>
            <w:tcW w:w="267" w:type="dxa"/>
            <w:tcBorders>
              <w:top w:val="nil"/>
              <w:left w:val="nil"/>
              <w:bottom w:val="nil"/>
              <w:right w:val="nil"/>
            </w:tcBorders>
            <w:shd w:val="clear" w:color="000000" w:fill="D9D9D9"/>
            <w:noWrap/>
            <w:vAlign w:val="bottom"/>
            <w:hideMark/>
          </w:tcPr>
          <w:p w14:paraId="07382CCC"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111B311B" w14:textId="77777777" w:rsidR="00AB6753" w:rsidRDefault="00AB6753" w:rsidP="002D1EA4">
            <w:pPr>
              <w:spacing w:after="0"/>
              <w:jc w:val="right"/>
              <w:rPr>
                <w:rFonts w:cs="Arial"/>
                <w:sz w:val="18"/>
                <w:szCs w:val="18"/>
              </w:rPr>
            </w:pPr>
            <w:r>
              <w:rPr>
                <w:rFonts w:cs="Arial"/>
                <w:sz w:val="18"/>
                <w:szCs w:val="18"/>
              </w:rPr>
              <w:t>30,326</w:t>
            </w:r>
          </w:p>
        </w:tc>
      </w:tr>
      <w:tr w:rsidR="00AB6753" w14:paraId="51DF2DEA" w14:textId="77777777" w:rsidTr="002D1EA4">
        <w:trPr>
          <w:trHeight w:val="255"/>
        </w:trPr>
        <w:tc>
          <w:tcPr>
            <w:tcW w:w="6416" w:type="dxa"/>
            <w:tcBorders>
              <w:top w:val="nil"/>
              <w:left w:val="nil"/>
              <w:bottom w:val="nil"/>
              <w:right w:val="nil"/>
            </w:tcBorders>
            <w:shd w:val="clear" w:color="000000" w:fill="D9D9D9"/>
            <w:vAlign w:val="bottom"/>
            <w:hideMark/>
          </w:tcPr>
          <w:p w14:paraId="7C0DC9B3" w14:textId="77777777" w:rsidR="00AB6753" w:rsidRDefault="00AB6753" w:rsidP="002D1EA4">
            <w:pPr>
              <w:spacing w:after="0"/>
              <w:rPr>
                <w:rFonts w:cs="Arial"/>
                <w:sz w:val="18"/>
                <w:szCs w:val="18"/>
              </w:rPr>
            </w:pPr>
            <w:r>
              <w:rPr>
                <w:rFonts w:cs="Arial"/>
                <w:sz w:val="18"/>
                <w:szCs w:val="18"/>
              </w:rPr>
              <w:t>Indirect</w:t>
            </w:r>
          </w:p>
        </w:tc>
        <w:tc>
          <w:tcPr>
            <w:tcW w:w="1256" w:type="dxa"/>
            <w:tcBorders>
              <w:top w:val="nil"/>
              <w:left w:val="nil"/>
              <w:bottom w:val="nil"/>
              <w:right w:val="nil"/>
            </w:tcBorders>
            <w:shd w:val="clear" w:color="000000" w:fill="D9D9D9"/>
            <w:noWrap/>
            <w:vAlign w:val="bottom"/>
            <w:hideMark/>
          </w:tcPr>
          <w:p w14:paraId="37FFC6EC" w14:textId="77777777" w:rsidR="00AB6753" w:rsidRDefault="00AB6753" w:rsidP="002D1EA4">
            <w:pPr>
              <w:spacing w:after="0"/>
              <w:jc w:val="right"/>
              <w:rPr>
                <w:rFonts w:cs="Arial"/>
                <w:b/>
                <w:bCs/>
                <w:sz w:val="18"/>
                <w:szCs w:val="18"/>
              </w:rPr>
            </w:pPr>
            <w:r>
              <w:rPr>
                <w:rFonts w:cs="Arial"/>
                <w:b/>
                <w:bCs/>
                <w:sz w:val="18"/>
                <w:szCs w:val="18"/>
              </w:rPr>
              <w:t>2,350</w:t>
            </w:r>
          </w:p>
        </w:tc>
        <w:tc>
          <w:tcPr>
            <w:tcW w:w="267" w:type="dxa"/>
            <w:tcBorders>
              <w:top w:val="nil"/>
              <w:left w:val="nil"/>
              <w:bottom w:val="nil"/>
              <w:right w:val="nil"/>
            </w:tcBorders>
            <w:shd w:val="clear" w:color="000000" w:fill="D9D9D9"/>
            <w:noWrap/>
            <w:vAlign w:val="bottom"/>
            <w:hideMark/>
          </w:tcPr>
          <w:p w14:paraId="6A7F1EFA" w14:textId="77777777" w:rsidR="00AB6753" w:rsidRDefault="00AB6753" w:rsidP="002D1EA4">
            <w:pPr>
              <w:spacing w:after="0"/>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29D45575" w14:textId="77777777" w:rsidR="00AB6753" w:rsidRDefault="00AB6753" w:rsidP="002D1EA4">
            <w:pPr>
              <w:spacing w:after="0"/>
              <w:jc w:val="right"/>
              <w:rPr>
                <w:rFonts w:cs="Arial"/>
                <w:sz w:val="18"/>
                <w:szCs w:val="18"/>
              </w:rPr>
            </w:pPr>
            <w:r>
              <w:rPr>
                <w:rFonts w:cs="Arial"/>
                <w:sz w:val="18"/>
                <w:szCs w:val="18"/>
              </w:rPr>
              <w:t>680</w:t>
            </w:r>
          </w:p>
        </w:tc>
      </w:tr>
      <w:tr w:rsidR="00AB6753" w14:paraId="4859981F" w14:textId="77777777" w:rsidTr="002D1EA4">
        <w:trPr>
          <w:trHeight w:val="255"/>
        </w:trPr>
        <w:tc>
          <w:tcPr>
            <w:tcW w:w="6416" w:type="dxa"/>
            <w:tcBorders>
              <w:top w:val="single" w:sz="4" w:space="0" w:color="D9D9D9"/>
              <w:left w:val="nil"/>
              <w:bottom w:val="single" w:sz="4" w:space="0" w:color="D9D9D9"/>
              <w:right w:val="nil"/>
            </w:tcBorders>
            <w:shd w:val="clear" w:color="000000" w:fill="D9D9D9"/>
            <w:noWrap/>
            <w:vAlign w:val="bottom"/>
            <w:hideMark/>
          </w:tcPr>
          <w:p w14:paraId="79F13DA0" w14:textId="77777777" w:rsidR="00AB6753" w:rsidRDefault="00AB6753" w:rsidP="002D1EA4">
            <w:pPr>
              <w:spacing w:after="0"/>
              <w:rPr>
                <w:rFonts w:cs="Arial"/>
                <w:b/>
                <w:bCs/>
                <w:sz w:val="18"/>
                <w:szCs w:val="18"/>
              </w:rPr>
            </w:pPr>
            <w:r>
              <w:rPr>
                <w:rFonts w:cs="Arial"/>
                <w:b/>
                <w:bCs/>
                <w:sz w:val="18"/>
                <w:szCs w:val="18"/>
              </w:rPr>
              <w:t>Total personal benefits</w:t>
            </w:r>
          </w:p>
        </w:tc>
        <w:tc>
          <w:tcPr>
            <w:tcW w:w="1256" w:type="dxa"/>
            <w:tcBorders>
              <w:top w:val="single" w:sz="4" w:space="0" w:color="auto"/>
              <w:left w:val="nil"/>
              <w:bottom w:val="single" w:sz="4" w:space="0" w:color="auto"/>
              <w:right w:val="nil"/>
            </w:tcBorders>
            <w:shd w:val="clear" w:color="000000" w:fill="D9D9D9"/>
            <w:noWrap/>
            <w:vAlign w:val="bottom"/>
            <w:hideMark/>
          </w:tcPr>
          <w:p w14:paraId="36D6183D" w14:textId="77777777" w:rsidR="00AB6753" w:rsidRDefault="00AB6753" w:rsidP="002D1EA4">
            <w:pPr>
              <w:spacing w:after="0"/>
              <w:jc w:val="right"/>
              <w:rPr>
                <w:rFonts w:cs="Arial"/>
                <w:b/>
                <w:bCs/>
                <w:sz w:val="18"/>
                <w:szCs w:val="18"/>
              </w:rPr>
            </w:pPr>
            <w:r>
              <w:rPr>
                <w:rFonts w:cs="Arial"/>
                <w:b/>
                <w:bCs/>
                <w:sz w:val="18"/>
                <w:szCs w:val="18"/>
              </w:rPr>
              <w:t>129,233,013</w:t>
            </w:r>
          </w:p>
        </w:tc>
        <w:tc>
          <w:tcPr>
            <w:tcW w:w="267" w:type="dxa"/>
            <w:tcBorders>
              <w:top w:val="single" w:sz="4" w:space="0" w:color="D9D9D9"/>
              <w:left w:val="nil"/>
              <w:bottom w:val="single" w:sz="4" w:space="0" w:color="D9D9D9"/>
              <w:right w:val="nil"/>
            </w:tcBorders>
            <w:shd w:val="clear" w:color="000000" w:fill="D9D9D9"/>
            <w:noWrap/>
            <w:vAlign w:val="bottom"/>
            <w:hideMark/>
          </w:tcPr>
          <w:p w14:paraId="4E6CB267" w14:textId="77777777" w:rsidR="00AB6753" w:rsidRDefault="00AB6753" w:rsidP="002D1EA4">
            <w:pPr>
              <w:spacing w:after="0"/>
              <w:rPr>
                <w:rFonts w:cs="Arial"/>
                <w:sz w:val="16"/>
                <w:szCs w:val="16"/>
              </w:rPr>
            </w:pPr>
            <w:r>
              <w:rPr>
                <w:rFonts w:cs="Arial"/>
                <w:sz w:val="16"/>
                <w:szCs w:val="16"/>
              </w:rPr>
              <w:t> </w:t>
            </w:r>
          </w:p>
        </w:tc>
        <w:tc>
          <w:tcPr>
            <w:tcW w:w="1256" w:type="dxa"/>
            <w:tcBorders>
              <w:top w:val="single" w:sz="4" w:space="0" w:color="auto"/>
              <w:left w:val="nil"/>
              <w:bottom w:val="single" w:sz="4" w:space="0" w:color="auto"/>
              <w:right w:val="nil"/>
            </w:tcBorders>
            <w:shd w:val="clear" w:color="000000" w:fill="D9D9D9"/>
            <w:noWrap/>
            <w:vAlign w:val="bottom"/>
            <w:hideMark/>
          </w:tcPr>
          <w:p w14:paraId="3B04F5E1" w14:textId="77777777" w:rsidR="00AB6753" w:rsidRDefault="00AB6753" w:rsidP="002D1EA4">
            <w:pPr>
              <w:spacing w:after="0"/>
              <w:jc w:val="right"/>
              <w:rPr>
                <w:rFonts w:cs="Arial"/>
                <w:sz w:val="18"/>
                <w:szCs w:val="18"/>
              </w:rPr>
            </w:pPr>
            <w:r>
              <w:rPr>
                <w:rFonts w:cs="Arial"/>
                <w:sz w:val="18"/>
                <w:szCs w:val="18"/>
              </w:rPr>
              <w:t>110,804,402</w:t>
            </w:r>
          </w:p>
        </w:tc>
      </w:tr>
    </w:tbl>
    <w:p w14:paraId="302DBFDE" w14:textId="77777777" w:rsidR="00AB6753" w:rsidRDefault="00AB6753" w:rsidP="00AB6753">
      <w:pPr>
        <w:pStyle w:val="GreyShadeTableBreaknon-Standard"/>
        <w:ind w:left="113" w:right="0"/>
      </w:pPr>
    </w:p>
    <w:p w14:paraId="662682FC" w14:textId="77777777" w:rsidR="00AB6753" w:rsidRDefault="00AB6753" w:rsidP="00AB6753">
      <w:pPr>
        <w:spacing w:line="240" w:lineRule="auto"/>
        <w:rPr>
          <w:rFonts w:cs="Arial"/>
          <w:sz w:val="18"/>
          <w:szCs w:val="18"/>
          <w:lang w:eastAsia="en-AU"/>
        </w:rPr>
      </w:pPr>
      <w:r>
        <w:br w:type="page"/>
      </w:r>
    </w:p>
    <w:p w14:paraId="6E7BE77E" w14:textId="585C7B6A" w:rsidR="00AB6753" w:rsidRPr="00A71D8D" w:rsidRDefault="00AB6753" w:rsidP="00AB6753">
      <w:pPr>
        <w:pStyle w:val="ContinuedNotesHeading-Level1"/>
        <w:shd w:val="clear" w:color="auto" w:fill="D9D9D9" w:themeFill="background1" w:themeFillShade="D9"/>
        <w:spacing w:before="0" w:after="0"/>
        <w:ind w:left="57" w:right="-57"/>
        <w:rPr>
          <w:sz w:val="20"/>
        </w:rPr>
      </w:pPr>
      <w:r w:rsidRPr="00A71D8D">
        <w:rPr>
          <w:sz w:val="20"/>
        </w:rPr>
        <w:lastRenderedPageBreak/>
        <w:fldChar w:fldCharType="begin"/>
      </w:r>
      <w:r w:rsidRPr="00A71D8D">
        <w:rPr>
          <w:sz w:val="20"/>
        </w:rPr>
        <w:instrText xml:space="preserve"> REF _Ref456958530 \r \h </w:instrText>
      </w:r>
      <w:r>
        <w:rPr>
          <w:sz w:val="20"/>
        </w:rPr>
        <w:instrText xml:space="preserve"> \* MERGEFORMAT </w:instrText>
      </w:r>
      <w:r w:rsidRPr="00A71D8D">
        <w:rPr>
          <w:sz w:val="20"/>
        </w:rPr>
      </w:r>
      <w:r w:rsidRPr="00A71D8D">
        <w:rPr>
          <w:sz w:val="20"/>
        </w:rPr>
        <w:fldChar w:fldCharType="separate"/>
      </w:r>
      <w:r w:rsidR="00532B37">
        <w:rPr>
          <w:sz w:val="20"/>
        </w:rPr>
        <w:t>2.1</w:t>
      </w:r>
      <w:r w:rsidRPr="00A71D8D">
        <w:rPr>
          <w:sz w:val="20"/>
        </w:rPr>
        <w:fldChar w:fldCharType="end"/>
      </w:r>
      <w:r w:rsidRPr="00A71D8D">
        <w:rPr>
          <w:sz w:val="20"/>
        </w:rPr>
        <w:t xml:space="preserve"> Administered – Expenses (continued)</w:t>
      </w:r>
    </w:p>
    <w:p w14:paraId="226CC6D5" w14:textId="77777777" w:rsidR="00AB6753" w:rsidRDefault="00AB6753" w:rsidP="00AB6753">
      <w:pPr>
        <w:pStyle w:val="Policyheadingadmin0"/>
        <w:pBdr>
          <w:top w:val="single" w:sz="4" w:space="9" w:color="00B2BA"/>
          <w:left w:val="single" w:sz="4" w:space="4" w:color="00B2BA"/>
          <w:bottom w:val="single" w:sz="4" w:space="1" w:color="00B2BA"/>
          <w:right w:val="single" w:sz="4" w:space="4" w:color="00B2BA"/>
        </w:pBdr>
        <w:shd w:val="clear" w:color="auto" w:fill="CCF0F1"/>
        <w:spacing w:after="60" w:line="60" w:lineRule="atLeast"/>
        <w:ind w:left="142" w:right="11"/>
      </w:pPr>
      <w:r>
        <w:t>Accounting Policy</w:t>
      </w:r>
    </w:p>
    <w:p w14:paraId="4214AF2C" w14:textId="77777777" w:rsidR="00AB6753" w:rsidRDefault="00AB6753" w:rsidP="00AB6753">
      <w:pPr>
        <w:pStyle w:val="Policytextadminunderline"/>
        <w:pBdr>
          <w:top w:val="single" w:sz="4" w:space="9" w:color="00B2BA"/>
          <w:left w:val="single" w:sz="4" w:space="4" w:color="00B2BA"/>
          <w:bottom w:val="single" w:sz="4" w:space="1" w:color="00B2BA"/>
          <w:right w:val="single" w:sz="4" w:space="4" w:color="00B2BA"/>
        </w:pBdr>
        <w:shd w:val="clear" w:color="auto" w:fill="CCF0F1"/>
        <w:spacing w:after="60" w:line="60" w:lineRule="atLeast"/>
        <w:ind w:left="142" w:right="11"/>
      </w:pPr>
      <w:r w:rsidRPr="00AD36A9">
        <w:t>Personal Benefits</w:t>
      </w:r>
    </w:p>
    <w:p w14:paraId="2E910400" w14:textId="77777777" w:rsidR="00AB6753" w:rsidRDefault="00AB6753" w:rsidP="00AB6753">
      <w:pPr>
        <w:pStyle w:val="PolicyTextAdmin"/>
        <w:pBdr>
          <w:top w:val="single" w:sz="4" w:space="9" w:color="00B2BA"/>
          <w:left w:val="single" w:sz="4" w:space="4" w:color="00B2BA"/>
          <w:bottom w:val="single" w:sz="4" w:space="1" w:color="00B2BA"/>
          <w:right w:val="single" w:sz="4" w:space="4" w:color="00B2BA"/>
        </w:pBdr>
        <w:shd w:val="clear" w:color="auto" w:fill="CCF0F1"/>
        <w:spacing w:after="60" w:line="60" w:lineRule="atLeast"/>
        <w:ind w:left="142" w:right="11"/>
        <w:rPr>
          <w:rFonts w:cs="Arial"/>
        </w:rPr>
      </w:pPr>
      <w:r>
        <w:rPr>
          <w:rFonts w:cs="Arial"/>
        </w:rPr>
        <w:fldChar w:fldCharType="begin"/>
      </w:r>
      <w:r>
        <w:rPr>
          <w:rFonts w:cs="Arial"/>
        </w:rPr>
        <w:instrText xml:space="preserve"> DOCPROPERTY  ShortName  \* MERGEFORMAT </w:instrText>
      </w:r>
      <w:r>
        <w:rPr>
          <w:rFonts w:cs="Arial"/>
        </w:rPr>
        <w:fldChar w:fldCharType="separate"/>
      </w:r>
      <w:r>
        <w:rPr>
          <w:rFonts w:cs="Arial"/>
        </w:rPr>
        <w:t>The</w:t>
      </w:r>
      <w:r w:rsidRPr="00291C7F">
        <w:t xml:space="preserve"> department</w:t>
      </w:r>
      <w:r>
        <w:fldChar w:fldCharType="end"/>
      </w:r>
      <w:r w:rsidRPr="00AD36A9">
        <w:rPr>
          <w:rFonts w:cs="Arial"/>
        </w:rPr>
        <w:t xml:space="preserve"> administers personal benefit </w:t>
      </w:r>
      <w:r>
        <w:rPr>
          <w:rFonts w:cs="Arial"/>
        </w:rPr>
        <w:t>payments</w:t>
      </w:r>
      <w:r w:rsidRPr="00AD36A9">
        <w:rPr>
          <w:rFonts w:cs="Arial"/>
        </w:rPr>
        <w:t xml:space="preserve"> that provide income support, family assistance and othe</w:t>
      </w:r>
      <w:r>
        <w:rPr>
          <w:rFonts w:cs="Arial"/>
        </w:rPr>
        <w:t xml:space="preserve">r entitlements to individuals </w:t>
      </w:r>
      <w:r w:rsidRPr="00AD36A9">
        <w:rPr>
          <w:rFonts w:cs="Arial"/>
        </w:rPr>
        <w:t xml:space="preserve">on behalf of the </w:t>
      </w:r>
      <w:r>
        <w:rPr>
          <w:rFonts w:cs="Arial"/>
        </w:rPr>
        <w:t xml:space="preserve">Australian </w:t>
      </w:r>
      <w:r w:rsidRPr="00AD36A9">
        <w:rPr>
          <w:rFonts w:cs="Arial"/>
        </w:rPr>
        <w:t>Government</w:t>
      </w:r>
      <w:r>
        <w:rPr>
          <w:rFonts w:cs="Arial"/>
        </w:rPr>
        <w:t xml:space="preserve">. </w:t>
      </w:r>
      <w:r w:rsidRPr="00AD36A9">
        <w:rPr>
          <w:rFonts w:cs="Arial"/>
        </w:rPr>
        <w:t xml:space="preserve">Payments to </w:t>
      </w:r>
      <w:r>
        <w:rPr>
          <w:rFonts w:cs="Arial"/>
        </w:rPr>
        <w:t xml:space="preserve">recipients </w:t>
      </w:r>
      <w:r w:rsidRPr="00AD36A9">
        <w:rPr>
          <w:rFonts w:cs="Arial"/>
        </w:rPr>
        <w:t>are determined in accordance with provisions under social security law and other legislation</w:t>
      </w:r>
      <w:r>
        <w:rPr>
          <w:rFonts w:cs="Arial"/>
        </w:rPr>
        <w:t>, including:</w:t>
      </w:r>
    </w:p>
    <w:p w14:paraId="0C5345C0" w14:textId="77777777" w:rsidR="00AB6753" w:rsidRPr="00BD6DDF" w:rsidRDefault="00AB6753" w:rsidP="00AB6753">
      <w:pPr>
        <w:pStyle w:val="PolicyTextAdmin"/>
        <w:numPr>
          <w:ilvl w:val="0"/>
          <w:numId w:val="46"/>
        </w:numPr>
        <w:pBdr>
          <w:top w:val="single" w:sz="4" w:space="9" w:color="00B2BA"/>
          <w:left w:val="single" w:sz="4" w:space="4" w:color="00B2BA"/>
          <w:bottom w:val="single" w:sz="4" w:space="1" w:color="00B2BA"/>
          <w:right w:val="single" w:sz="4" w:space="4" w:color="00B2BA"/>
        </w:pBdr>
        <w:shd w:val="clear" w:color="auto" w:fill="CCF0F1"/>
        <w:spacing w:after="60" w:line="60" w:lineRule="atLeast"/>
        <w:ind w:left="142" w:right="11" w:firstLine="0"/>
        <w:rPr>
          <w:rFonts w:cs="Arial"/>
        </w:rPr>
      </w:pPr>
      <w:r w:rsidRPr="00BD6DDF">
        <w:rPr>
          <w:rFonts w:cs="Arial"/>
          <w:i/>
        </w:rPr>
        <w:t>Social Security (Administration) Act 1999</w:t>
      </w:r>
      <w:r w:rsidRPr="00BD6DDF">
        <w:rPr>
          <w:rFonts w:cs="Arial"/>
        </w:rPr>
        <w:t>;</w:t>
      </w:r>
    </w:p>
    <w:p w14:paraId="71A790BE" w14:textId="77777777" w:rsidR="00AB6753" w:rsidRPr="00BD6DDF" w:rsidRDefault="00AB6753" w:rsidP="00AB6753">
      <w:pPr>
        <w:pStyle w:val="PolicyTextAdmin"/>
        <w:numPr>
          <w:ilvl w:val="0"/>
          <w:numId w:val="46"/>
        </w:numPr>
        <w:pBdr>
          <w:top w:val="single" w:sz="4" w:space="9" w:color="00B2BA"/>
          <w:left w:val="single" w:sz="4" w:space="4" w:color="00B2BA"/>
          <w:bottom w:val="single" w:sz="4" w:space="1" w:color="00B2BA"/>
          <w:right w:val="single" w:sz="4" w:space="4" w:color="00B2BA"/>
        </w:pBdr>
        <w:shd w:val="clear" w:color="auto" w:fill="CCF0F1"/>
        <w:spacing w:after="60" w:line="60" w:lineRule="atLeast"/>
        <w:ind w:left="142" w:right="11" w:firstLine="0"/>
        <w:rPr>
          <w:rFonts w:cs="Arial"/>
        </w:rPr>
      </w:pPr>
      <w:r w:rsidRPr="00BD6DDF">
        <w:rPr>
          <w:rFonts w:cs="Arial"/>
          <w:i/>
        </w:rPr>
        <w:t>A New Tax System (Family Assistance) (Administration) Act 1999</w:t>
      </w:r>
      <w:r w:rsidRPr="00BD6DDF">
        <w:rPr>
          <w:rFonts w:cs="Arial"/>
        </w:rPr>
        <w:t>;</w:t>
      </w:r>
    </w:p>
    <w:p w14:paraId="4468B97E" w14:textId="77777777" w:rsidR="00AB6753" w:rsidRPr="0074326D" w:rsidRDefault="00AB6753" w:rsidP="00AB6753">
      <w:pPr>
        <w:pStyle w:val="PolicyTextAdmin"/>
        <w:numPr>
          <w:ilvl w:val="0"/>
          <w:numId w:val="46"/>
        </w:numPr>
        <w:pBdr>
          <w:top w:val="single" w:sz="4" w:space="9" w:color="00B2BA"/>
          <w:left w:val="single" w:sz="4" w:space="4" w:color="00B2BA"/>
          <w:bottom w:val="single" w:sz="4" w:space="1" w:color="00B2BA"/>
          <w:right w:val="single" w:sz="4" w:space="4" w:color="00B2BA"/>
        </w:pBdr>
        <w:shd w:val="clear" w:color="auto" w:fill="CCF0F1"/>
        <w:spacing w:after="60" w:line="60" w:lineRule="atLeast"/>
        <w:ind w:left="142" w:right="11" w:firstLine="0"/>
        <w:rPr>
          <w:rFonts w:cs="Arial"/>
        </w:rPr>
      </w:pPr>
      <w:r w:rsidRPr="0074326D">
        <w:rPr>
          <w:rFonts w:cs="Arial"/>
          <w:i/>
        </w:rPr>
        <w:t>Student Assistance Act 1973</w:t>
      </w:r>
      <w:r>
        <w:rPr>
          <w:rFonts w:cs="Arial"/>
        </w:rPr>
        <w:t xml:space="preserve">; </w:t>
      </w:r>
    </w:p>
    <w:p w14:paraId="00A0E2FB" w14:textId="77777777" w:rsidR="00AB6753" w:rsidRPr="009B2A31" w:rsidRDefault="00AB6753" w:rsidP="00AB6753">
      <w:pPr>
        <w:pStyle w:val="PolicyTextAdmin"/>
        <w:numPr>
          <w:ilvl w:val="0"/>
          <w:numId w:val="46"/>
        </w:numPr>
        <w:pBdr>
          <w:top w:val="single" w:sz="4" w:space="9" w:color="00B2BA"/>
          <w:left w:val="single" w:sz="4" w:space="4" w:color="00B2BA"/>
          <w:bottom w:val="single" w:sz="4" w:space="1" w:color="00B2BA"/>
          <w:right w:val="single" w:sz="4" w:space="4" w:color="00B2BA"/>
        </w:pBdr>
        <w:shd w:val="clear" w:color="auto" w:fill="CCF0F1"/>
        <w:spacing w:after="60" w:line="60" w:lineRule="atLeast"/>
        <w:ind w:left="142" w:right="11" w:firstLine="0"/>
        <w:rPr>
          <w:rFonts w:cs="Arial"/>
          <w:i/>
        </w:rPr>
      </w:pPr>
      <w:r w:rsidRPr="00BD6DDF">
        <w:rPr>
          <w:rFonts w:cs="Arial"/>
          <w:i/>
        </w:rPr>
        <w:t>Paid Parental Leave Act 2010</w:t>
      </w:r>
      <w:r w:rsidRPr="009B2A31">
        <w:rPr>
          <w:rFonts w:cs="Arial"/>
          <w:i/>
        </w:rPr>
        <w:t xml:space="preserve">; </w:t>
      </w:r>
      <w:r w:rsidRPr="00505BB7">
        <w:rPr>
          <w:rFonts w:cs="Arial"/>
        </w:rPr>
        <w:t>and</w:t>
      </w:r>
    </w:p>
    <w:p w14:paraId="3730603F" w14:textId="77777777" w:rsidR="00AB6753" w:rsidRPr="00BD6DDF" w:rsidRDefault="00AB6753" w:rsidP="00AB6753">
      <w:pPr>
        <w:pStyle w:val="PolicyTextAdmin"/>
        <w:numPr>
          <w:ilvl w:val="0"/>
          <w:numId w:val="46"/>
        </w:numPr>
        <w:pBdr>
          <w:top w:val="single" w:sz="4" w:space="9" w:color="00B2BA"/>
          <w:left w:val="single" w:sz="4" w:space="4" w:color="00B2BA"/>
          <w:bottom w:val="single" w:sz="4" w:space="1" w:color="00B2BA"/>
          <w:right w:val="single" w:sz="4" w:space="4" w:color="00B2BA"/>
        </w:pBdr>
        <w:shd w:val="clear" w:color="auto" w:fill="CCF0F1"/>
        <w:spacing w:after="60" w:line="60" w:lineRule="atLeast"/>
        <w:ind w:left="142" w:right="11" w:firstLine="0"/>
        <w:rPr>
          <w:rFonts w:cs="Arial"/>
          <w:i/>
        </w:rPr>
      </w:pPr>
      <w:r w:rsidRPr="009B2A31">
        <w:rPr>
          <w:rFonts w:cs="Arial"/>
          <w:i/>
        </w:rPr>
        <w:t>National Redress Scheme for Institutional Child Sexual Abuse Act 2018</w:t>
      </w:r>
      <w:r>
        <w:rPr>
          <w:rFonts w:cs="Arial"/>
        </w:rPr>
        <w:t>.</w:t>
      </w:r>
    </w:p>
    <w:p w14:paraId="55E9190B" w14:textId="77777777" w:rsidR="00AB6753" w:rsidRDefault="00AB6753" w:rsidP="00AB6753">
      <w:pPr>
        <w:pStyle w:val="PolicyTextAdmin"/>
        <w:pBdr>
          <w:top w:val="single" w:sz="4" w:space="9" w:color="00B2BA"/>
          <w:left w:val="single" w:sz="4" w:space="4" w:color="00B2BA"/>
          <w:bottom w:val="single" w:sz="4" w:space="1" w:color="00B2BA"/>
          <w:right w:val="single" w:sz="4" w:space="4" w:color="00B2BA"/>
        </w:pBdr>
        <w:shd w:val="clear" w:color="auto" w:fill="CCF0F1"/>
        <w:spacing w:after="60" w:line="60" w:lineRule="atLeast"/>
        <w:ind w:left="142" w:right="11"/>
        <w:rPr>
          <w:rFonts w:cs="Arial"/>
        </w:rPr>
      </w:pPr>
      <w:r w:rsidRPr="00AD36A9">
        <w:rPr>
          <w:rFonts w:cs="Arial"/>
        </w:rPr>
        <w:t xml:space="preserve">Payments made under social security law </w:t>
      </w:r>
      <w:r>
        <w:rPr>
          <w:rFonts w:cs="Arial"/>
        </w:rPr>
        <w:t xml:space="preserve">and other legislation </w:t>
      </w:r>
      <w:r w:rsidRPr="00AD36A9">
        <w:rPr>
          <w:rFonts w:cs="Arial"/>
        </w:rPr>
        <w:t xml:space="preserve">are assessed, determined and paid by </w:t>
      </w:r>
      <w:r>
        <w:rPr>
          <w:rFonts w:cs="Arial"/>
        </w:rPr>
        <w:t xml:space="preserve">Services Australia and the Department of Veterans’ Affairs </w:t>
      </w:r>
      <w:r w:rsidRPr="00AD36A9">
        <w:rPr>
          <w:rFonts w:cs="Arial"/>
        </w:rPr>
        <w:t xml:space="preserve">under delegation from </w:t>
      </w:r>
      <w:r>
        <w:rPr>
          <w:rFonts w:cs="Arial"/>
        </w:rPr>
        <w:fldChar w:fldCharType="begin"/>
      </w:r>
      <w:r>
        <w:rPr>
          <w:rFonts w:cs="Arial"/>
        </w:rPr>
        <w:instrText xml:space="preserve"> DOCPROPERTY  ShortName  \* MERGEFORMAT </w:instrText>
      </w:r>
      <w:r>
        <w:rPr>
          <w:rFonts w:cs="Arial"/>
        </w:rPr>
        <w:fldChar w:fldCharType="separate"/>
      </w:r>
      <w:r>
        <w:rPr>
          <w:rFonts w:cs="Arial"/>
        </w:rPr>
        <w:t>the</w:t>
      </w:r>
      <w:r w:rsidRPr="00291C7F">
        <w:t xml:space="preserve"> department</w:t>
      </w:r>
      <w:r>
        <w:fldChar w:fldCharType="end"/>
      </w:r>
      <w:r w:rsidRPr="00AD36A9">
        <w:rPr>
          <w:rFonts w:cs="Arial"/>
        </w:rPr>
        <w:t>.</w:t>
      </w:r>
      <w:r>
        <w:rPr>
          <w:rFonts w:cs="Arial"/>
        </w:rPr>
        <w:t xml:space="preserve"> </w:t>
      </w:r>
      <w:r>
        <w:rPr>
          <w:rFonts w:cs="Arial"/>
        </w:rPr>
        <w:fldChar w:fldCharType="begin"/>
      </w:r>
      <w:r>
        <w:rPr>
          <w:rFonts w:cs="Arial"/>
        </w:rPr>
        <w:instrText xml:space="preserve"> DOCPROPERTY  ShortName  \* MERGEFORMAT </w:instrText>
      </w:r>
      <w:r>
        <w:rPr>
          <w:rFonts w:cs="Arial"/>
        </w:rPr>
        <w:fldChar w:fldCharType="separate"/>
      </w:r>
      <w:r>
        <w:rPr>
          <w:rFonts w:cs="Arial"/>
        </w:rPr>
        <w:t>The</w:t>
      </w:r>
      <w:r w:rsidRPr="00291C7F">
        <w:t xml:space="preserve"> department</w:t>
      </w:r>
      <w:r>
        <w:fldChar w:fldCharType="end"/>
      </w:r>
      <w:r w:rsidRPr="00AD36A9">
        <w:rPr>
          <w:rFonts w:cs="Arial"/>
        </w:rPr>
        <w:t xml:space="preserve"> reports payments made by </w:t>
      </w:r>
      <w:r>
        <w:rPr>
          <w:rFonts w:cs="Arial"/>
        </w:rPr>
        <w:t>Services Australia</w:t>
      </w:r>
      <w:r w:rsidRPr="00AD36A9">
        <w:rPr>
          <w:rFonts w:cs="Arial"/>
        </w:rPr>
        <w:t xml:space="preserve"> </w:t>
      </w:r>
      <w:r>
        <w:rPr>
          <w:rFonts w:cs="Arial"/>
        </w:rPr>
        <w:t xml:space="preserve">and the Department of Veterans’ Affairs </w:t>
      </w:r>
      <w:r w:rsidRPr="00AD36A9">
        <w:rPr>
          <w:rFonts w:cs="Arial"/>
        </w:rPr>
        <w:t xml:space="preserve">on </w:t>
      </w:r>
      <w:r>
        <w:rPr>
          <w:rFonts w:cs="Arial"/>
        </w:rPr>
        <w:t xml:space="preserve">behalf of </w:t>
      </w:r>
      <w:r>
        <w:rPr>
          <w:rFonts w:cs="Arial"/>
        </w:rPr>
        <w:fldChar w:fldCharType="begin"/>
      </w:r>
      <w:r>
        <w:rPr>
          <w:rFonts w:cs="Arial"/>
        </w:rPr>
        <w:instrText xml:space="preserve"> DOCPROPERTY  ShortName  \* MERGEFORMAT </w:instrText>
      </w:r>
      <w:r>
        <w:rPr>
          <w:rFonts w:cs="Arial"/>
        </w:rPr>
        <w:fldChar w:fldCharType="separate"/>
      </w:r>
      <w:r>
        <w:rPr>
          <w:rFonts w:cs="Arial"/>
        </w:rPr>
        <w:t>the</w:t>
      </w:r>
      <w:r w:rsidRPr="00291C7F">
        <w:t xml:space="preserve"> department</w:t>
      </w:r>
      <w:r>
        <w:fldChar w:fldCharType="end"/>
      </w:r>
      <w:r w:rsidRPr="00AD36A9">
        <w:rPr>
          <w:rFonts w:cs="Arial"/>
        </w:rPr>
        <w:t>.</w:t>
      </w:r>
    </w:p>
    <w:p w14:paraId="6A729D3A" w14:textId="77777777" w:rsidR="00AB6753" w:rsidRDefault="00AB6753" w:rsidP="00AB6753">
      <w:pPr>
        <w:pStyle w:val="PolicyTextAdmin"/>
        <w:pBdr>
          <w:top w:val="single" w:sz="4" w:space="9" w:color="00B2BA"/>
          <w:left w:val="single" w:sz="4" w:space="4" w:color="00B2BA"/>
          <w:bottom w:val="single" w:sz="4" w:space="1" w:color="00B2BA"/>
          <w:right w:val="single" w:sz="4" w:space="4" w:color="00B2BA"/>
        </w:pBdr>
        <w:shd w:val="clear" w:color="auto" w:fill="CCF0F1"/>
        <w:spacing w:after="60" w:line="60" w:lineRule="atLeast"/>
        <w:ind w:left="142" w:right="11"/>
        <w:rPr>
          <w:rFonts w:cs="Arial"/>
        </w:rPr>
      </w:pPr>
      <w:r w:rsidRPr="00AD36A9">
        <w:rPr>
          <w:rFonts w:cs="Arial"/>
        </w:rPr>
        <w:t xml:space="preserve">The </w:t>
      </w:r>
      <w:r w:rsidRPr="00AD36A9">
        <w:rPr>
          <w:rFonts w:cs="Arial"/>
          <w:i/>
          <w:iCs/>
        </w:rPr>
        <w:t xml:space="preserve">Social Security (Administration) Act 1999 </w:t>
      </w:r>
      <w:r w:rsidRPr="00AD36A9">
        <w:rPr>
          <w:rFonts w:cs="Arial"/>
        </w:rPr>
        <w:t xml:space="preserve">and the </w:t>
      </w:r>
      <w:r w:rsidRPr="00AD36A9">
        <w:rPr>
          <w:rFonts w:cs="Arial"/>
          <w:i/>
          <w:iCs/>
        </w:rPr>
        <w:t xml:space="preserve">A New Tax System (Family Assistance) (Administration) </w:t>
      </w:r>
      <w:r>
        <w:rPr>
          <w:rFonts w:cs="Arial"/>
          <w:i/>
          <w:iCs/>
        </w:rPr>
        <w:br/>
      </w:r>
      <w:r w:rsidRPr="00AD36A9">
        <w:rPr>
          <w:rFonts w:cs="Arial"/>
          <w:i/>
          <w:iCs/>
        </w:rPr>
        <w:t xml:space="preserve">Act 1999 </w:t>
      </w:r>
      <w:r w:rsidRPr="00AD36A9">
        <w:rPr>
          <w:rFonts w:cs="Arial"/>
        </w:rPr>
        <w:t xml:space="preserve">impose an obligation on </w:t>
      </w:r>
      <w:r>
        <w:rPr>
          <w:rFonts w:cs="Arial"/>
        </w:rPr>
        <w:t xml:space="preserve">recipients </w:t>
      </w:r>
      <w:r w:rsidRPr="00AD36A9">
        <w:rPr>
          <w:rFonts w:cs="Arial"/>
        </w:rPr>
        <w:t xml:space="preserve">to disclose to </w:t>
      </w:r>
      <w:r>
        <w:rPr>
          <w:rFonts w:cs="Arial"/>
        </w:rPr>
        <w:t>Services Australia and the Department of Veterans’ Affairs</w:t>
      </w:r>
      <w:r w:rsidRPr="00AD36A9">
        <w:rPr>
          <w:rFonts w:cs="Arial"/>
        </w:rPr>
        <w:t xml:space="preserve"> information about financial and personal</w:t>
      </w:r>
      <w:r w:rsidRPr="00AD36A9">
        <w:rPr>
          <w:rFonts w:cs="Arial"/>
          <w:i/>
          <w:iCs/>
        </w:rPr>
        <w:t xml:space="preserve"> </w:t>
      </w:r>
      <w:r w:rsidRPr="00AD36A9">
        <w:rPr>
          <w:rFonts w:cs="Arial"/>
        </w:rPr>
        <w:t xml:space="preserve">circumstances that </w:t>
      </w:r>
      <w:r>
        <w:rPr>
          <w:rFonts w:cs="Arial"/>
        </w:rPr>
        <w:t xml:space="preserve">affect entitlement to payment. </w:t>
      </w:r>
      <w:r w:rsidRPr="00AD36A9">
        <w:rPr>
          <w:rFonts w:cs="Arial"/>
        </w:rPr>
        <w:t>This is a necessary part of</w:t>
      </w:r>
      <w:r>
        <w:rPr>
          <w:rFonts w:cs="Arial"/>
        </w:rPr>
        <w:t xml:space="preserve"> Services Australia and the Department of Veterans’ Affairs </w:t>
      </w:r>
      <w:r w:rsidRPr="00AD36A9">
        <w:rPr>
          <w:rFonts w:cs="Arial"/>
        </w:rPr>
        <w:t>administration, which</w:t>
      </w:r>
      <w:r w:rsidRPr="00AD36A9">
        <w:rPr>
          <w:rFonts w:cs="Arial"/>
          <w:i/>
          <w:iCs/>
        </w:rPr>
        <w:t xml:space="preserve"> </w:t>
      </w:r>
      <w:r w:rsidRPr="00AD36A9">
        <w:rPr>
          <w:rFonts w:cs="Arial"/>
        </w:rPr>
        <w:t xml:space="preserve">acknowledges that, at the time certain information is required, only the </w:t>
      </w:r>
      <w:r>
        <w:rPr>
          <w:rFonts w:cs="Arial"/>
        </w:rPr>
        <w:t>recipient</w:t>
      </w:r>
      <w:r w:rsidRPr="00AD36A9">
        <w:rPr>
          <w:rFonts w:cs="Arial"/>
        </w:rPr>
        <w:t xml:space="preserve"> is in a position to provide that</w:t>
      </w:r>
      <w:r w:rsidRPr="00AD36A9">
        <w:rPr>
          <w:rFonts w:cs="Arial"/>
          <w:i/>
          <w:iCs/>
        </w:rPr>
        <w:t xml:space="preserve"> </w:t>
      </w:r>
      <w:r w:rsidRPr="00AD36A9">
        <w:rPr>
          <w:rFonts w:cs="Arial"/>
        </w:rPr>
        <w:t>information.</w:t>
      </w:r>
    </w:p>
    <w:p w14:paraId="4A0698EE" w14:textId="77777777" w:rsidR="00AB6753" w:rsidRDefault="00AB6753" w:rsidP="00AB6753">
      <w:pPr>
        <w:pStyle w:val="PolicyTextAdmin"/>
        <w:pBdr>
          <w:top w:val="single" w:sz="4" w:space="9" w:color="00B2BA"/>
          <w:left w:val="single" w:sz="4" w:space="4" w:color="00B2BA"/>
          <w:bottom w:val="single" w:sz="4" w:space="1" w:color="00B2BA"/>
          <w:right w:val="single" w:sz="4" w:space="4" w:color="00B2BA"/>
        </w:pBdr>
        <w:shd w:val="clear" w:color="auto" w:fill="CCF0F1"/>
        <w:spacing w:after="60" w:line="60" w:lineRule="atLeast"/>
        <w:ind w:left="142" w:right="11"/>
        <w:rPr>
          <w:rFonts w:cs="Arial"/>
        </w:rPr>
      </w:pPr>
      <w:r w:rsidRPr="00AD36A9">
        <w:rPr>
          <w:rFonts w:cs="Arial"/>
        </w:rPr>
        <w:t>Unreported changes in circumstances can lead to incorrect payment, even if no deliberate fraud is intended</w:t>
      </w:r>
      <w:r>
        <w:rPr>
          <w:rFonts w:cs="Arial"/>
        </w:rPr>
        <w:t>. R</w:t>
      </w:r>
      <w:r w:rsidRPr="00AD36A9">
        <w:rPr>
          <w:rFonts w:cs="Arial"/>
        </w:rPr>
        <w:t xml:space="preserve">isks associated with relying on voluntary disclosure by </w:t>
      </w:r>
      <w:r>
        <w:rPr>
          <w:rFonts w:cs="Arial"/>
        </w:rPr>
        <w:t xml:space="preserve">recipients </w:t>
      </w:r>
      <w:r w:rsidRPr="00AD36A9">
        <w:rPr>
          <w:rFonts w:cs="Arial"/>
        </w:rPr>
        <w:t xml:space="preserve">are mitigated by a comprehensive portfolio risk management plan, underpinned by compliance strategies, which have </w:t>
      </w:r>
      <w:r>
        <w:rPr>
          <w:rFonts w:cs="Arial"/>
        </w:rPr>
        <w:t xml:space="preserve">been built up over many years. </w:t>
      </w:r>
      <w:r w:rsidRPr="00AD36A9">
        <w:rPr>
          <w:rFonts w:cs="Arial"/>
        </w:rPr>
        <w:t>The compliance framework has been designed to meet the requirements of social security legislation.</w:t>
      </w:r>
      <w:r>
        <w:rPr>
          <w:rFonts w:cs="Arial"/>
        </w:rPr>
        <w:t xml:space="preserve"> </w:t>
      </w:r>
    </w:p>
    <w:p w14:paraId="7A25BAA6" w14:textId="77777777" w:rsidR="00AB6753" w:rsidRDefault="00AB6753" w:rsidP="00AB6753">
      <w:pPr>
        <w:pStyle w:val="PolicyTextAdmin"/>
        <w:pBdr>
          <w:top w:val="single" w:sz="4" w:space="9" w:color="00B2BA"/>
          <w:left w:val="single" w:sz="4" w:space="4" w:color="00B2BA"/>
          <w:bottom w:val="single" w:sz="4" w:space="1" w:color="00B2BA"/>
          <w:right w:val="single" w:sz="4" w:space="4" w:color="00B2BA"/>
        </w:pBdr>
        <w:shd w:val="clear" w:color="auto" w:fill="CCF0F1"/>
        <w:spacing w:after="60" w:line="60" w:lineRule="atLeast"/>
        <w:ind w:left="142" w:right="11"/>
        <w:rPr>
          <w:rFonts w:cs="Arial"/>
        </w:rPr>
      </w:pPr>
      <w:r w:rsidRPr="00DE3539">
        <w:rPr>
          <w:rFonts w:cs="Arial"/>
        </w:rPr>
        <w:t xml:space="preserve">The compliance framework does not rely solely on information provided by </w:t>
      </w:r>
      <w:r>
        <w:rPr>
          <w:rFonts w:cs="Arial"/>
        </w:rPr>
        <w:t xml:space="preserve">recipients </w:t>
      </w:r>
      <w:r w:rsidRPr="00DE3539">
        <w:rPr>
          <w:rFonts w:cs="Arial"/>
        </w:rPr>
        <w:t xml:space="preserve">to determine </w:t>
      </w:r>
      <w:r>
        <w:rPr>
          <w:rFonts w:cs="Arial"/>
        </w:rPr>
        <w:t>their</w:t>
      </w:r>
      <w:r w:rsidRPr="00DE3539">
        <w:rPr>
          <w:rFonts w:cs="Arial"/>
        </w:rPr>
        <w:t xml:space="preserve"> entitlement. </w:t>
      </w:r>
      <w:r>
        <w:rPr>
          <w:rFonts w:cs="Arial"/>
        </w:rPr>
        <w:t xml:space="preserve"> </w:t>
      </w:r>
      <w:r w:rsidRPr="00DE3539">
        <w:rPr>
          <w:rFonts w:cs="Arial"/>
        </w:rPr>
        <w:t xml:space="preserve">A comprehensive risk management strategy minimises the potential for incorrect payment by subjecting </w:t>
      </w:r>
      <w:r>
        <w:rPr>
          <w:rFonts w:cs="Arial"/>
        </w:rPr>
        <w:t xml:space="preserve">recipients </w:t>
      </w:r>
      <w:r w:rsidRPr="00DE3539">
        <w:rPr>
          <w:rFonts w:cs="Arial"/>
        </w:rPr>
        <w:t>to a variety of review processes. If debts are identified,</w:t>
      </w:r>
      <w:r>
        <w:rPr>
          <w:rFonts w:cs="Arial"/>
        </w:rPr>
        <w:t xml:space="preserve"> Services Australia</w:t>
      </w:r>
      <w:r w:rsidRPr="00DE3539">
        <w:rPr>
          <w:rFonts w:cs="Arial"/>
        </w:rPr>
        <w:t xml:space="preserve"> seeks recover</w:t>
      </w:r>
      <w:r>
        <w:rPr>
          <w:rFonts w:cs="Arial"/>
        </w:rPr>
        <w:t>y</w:t>
      </w:r>
      <w:r w:rsidRPr="00DE3539">
        <w:rPr>
          <w:rFonts w:cs="Arial"/>
        </w:rPr>
        <w:t xml:space="preserve"> </w:t>
      </w:r>
      <w:r>
        <w:rPr>
          <w:rFonts w:cs="Arial"/>
        </w:rPr>
        <w:t xml:space="preserve">in </w:t>
      </w:r>
      <w:r w:rsidRPr="00DE3539">
        <w:rPr>
          <w:rFonts w:cs="Arial"/>
        </w:rPr>
        <w:t xml:space="preserve">a lump sum or by </w:t>
      </w:r>
      <w:r w:rsidRPr="00453E81">
        <w:t>instalments. While the risk management strategy is principally directed at minimising debts, the detection of underpayments will also result in an adjustment to their level of entitlement.</w:t>
      </w:r>
    </w:p>
    <w:p w14:paraId="14766A7E" w14:textId="77777777" w:rsidR="00AB6753" w:rsidRPr="00453E81" w:rsidRDefault="00AB6753" w:rsidP="00AB6753">
      <w:pPr>
        <w:pStyle w:val="PolicyTextAdmin"/>
        <w:pBdr>
          <w:top w:val="single" w:sz="4" w:space="9" w:color="00B2BA"/>
          <w:left w:val="single" w:sz="4" w:space="4" w:color="00B2BA"/>
          <w:bottom w:val="single" w:sz="4" w:space="1" w:color="00B2BA"/>
          <w:right w:val="single" w:sz="4" w:space="4" w:color="00B2BA"/>
        </w:pBdr>
        <w:shd w:val="clear" w:color="auto" w:fill="CCF0F1"/>
        <w:spacing w:line="60" w:lineRule="atLeast"/>
        <w:ind w:left="142" w:right="11"/>
        <w:rPr>
          <w:rFonts w:cs="Arial"/>
        </w:rPr>
      </w:pPr>
      <w:r w:rsidRPr="00453E81">
        <w:t>Personal benefits recoveries for overpayments made during the year are offset against personal benefit expenses.</w:t>
      </w:r>
    </w:p>
    <w:tbl>
      <w:tblPr>
        <w:tblW w:w="9418" w:type="dxa"/>
        <w:tblInd w:w="80" w:type="dxa"/>
        <w:tblLayout w:type="fixed"/>
        <w:tblLook w:val="04A0" w:firstRow="1" w:lastRow="0" w:firstColumn="1" w:lastColumn="0" w:noHBand="0" w:noVBand="1"/>
        <w:tblCaption w:val="Notes to and forming part of the financial statements"/>
        <w:tblDescription w:val="Administered expenses continued"/>
      </w:tblPr>
      <w:tblGrid>
        <w:gridCol w:w="6566"/>
        <w:gridCol w:w="1286"/>
        <w:gridCol w:w="273"/>
        <w:gridCol w:w="1293"/>
      </w:tblGrid>
      <w:tr w:rsidR="00AB6753" w14:paraId="5EB9785E" w14:textId="77777777" w:rsidTr="002D1EA4">
        <w:trPr>
          <w:trHeight w:val="240"/>
        </w:trPr>
        <w:tc>
          <w:tcPr>
            <w:tcW w:w="6566" w:type="dxa"/>
            <w:tcBorders>
              <w:top w:val="nil"/>
              <w:left w:val="nil"/>
              <w:bottom w:val="nil"/>
              <w:right w:val="nil"/>
            </w:tcBorders>
            <w:shd w:val="clear" w:color="000000" w:fill="D9D9D9"/>
            <w:noWrap/>
            <w:vAlign w:val="bottom"/>
            <w:hideMark/>
          </w:tcPr>
          <w:p w14:paraId="1DE024BD" w14:textId="77777777" w:rsidR="00AB6753" w:rsidRDefault="00AB6753" w:rsidP="002D1EA4">
            <w:pPr>
              <w:spacing w:after="0"/>
              <w:rPr>
                <w:rFonts w:cs="Arial"/>
                <w:sz w:val="18"/>
                <w:szCs w:val="18"/>
              </w:rPr>
            </w:pPr>
            <w:bookmarkStart w:id="104" w:name="Note_AWDTABLE1" w:colFirst="0" w:colLast="0"/>
            <w:r>
              <w:rPr>
                <w:rFonts w:cs="Arial"/>
                <w:sz w:val="18"/>
                <w:szCs w:val="18"/>
              </w:rPr>
              <w:t> </w:t>
            </w:r>
          </w:p>
        </w:tc>
        <w:tc>
          <w:tcPr>
            <w:tcW w:w="1286" w:type="dxa"/>
            <w:tcBorders>
              <w:top w:val="nil"/>
              <w:left w:val="nil"/>
              <w:bottom w:val="single" w:sz="4" w:space="0" w:color="D9D9D9"/>
              <w:right w:val="nil"/>
            </w:tcBorders>
            <w:shd w:val="clear" w:color="000000" w:fill="D9D9D9"/>
            <w:noWrap/>
            <w:vAlign w:val="bottom"/>
            <w:hideMark/>
          </w:tcPr>
          <w:p w14:paraId="3AEE2CA5" w14:textId="77777777" w:rsidR="00AB6753" w:rsidRDefault="00AB6753" w:rsidP="002D1EA4">
            <w:pPr>
              <w:spacing w:after="0"/>
              <w:jc w:val="right"/>
              <w:rPr>
                <w:rFonts w:cs="Arial"/>
                <w:b/>
                <w:bCs/>
                <w:sz w:val="18"/>
                <w:szCs w:val="18"/>
              </w:rPr>
            </w:pPr>
            <w:r>
              <w:rPr>
                <w:rFonts w:cs="Arial"/>
                <w:b/>
                <w:bCs/>
                <w:sz w:val="18"/>
                <w:szCs w:val="18"/>
              </w:rPr>
              <w:t>2020</w:t>
            </w:r>
          </w:p>
        </w:tc>
        <w:tc>
          <w:tcPr>
            <w:tcW w:w="273" w:type="dxa"/>
            <w:tcBorders>
              <w:top w:val="nil"/>
              <w:left w:val="nil"/>
              <w:bottom w:val="nil"/>
              <w:right w:val="nil"/>
            </w:tcBorders>
            <w:shd w:val="clear" w:color="000000" w:fill="D9D9D9"/>
            <w:noWrap/>
            <w:vAlign w:val="bottom"/>
            <w:hideMark/>
          </w:tcPr>
          <w:p w14:paraId="5E338271" w14:textId="77777777" w:rsidR="00AB6753" w:rsidRDefault="00AB6753" w:rsidP="002D1EA4">
            <w:pPr>
              <w:spacing w:after="0"/>
              <w:rPr>
                <w:rFonts w:cs="Arial"/>
                <w:sz w:val="18"/>
                <w:szCs w:val="18"/>
              </w:rPr>
            </w:pPr>
            <w:r>
              <w:rPr>
                <w:rFonts w:cs="Arial"/>
                <w:sz w:val="18"/>
                <w:szCs w:val="18"/>
              </w:rPr>
              <w:t> </w:t>
            </w:r>
          </w:p>
        </w:tc>
        <w:tc>
          <w:tcPr>
            <w:tcW w:w="1293" w:type="dxa"/>
            <w:tcBorders>
              <w:top w:val="nil"/>
              <w:left w:val="nil"/>
              <w:bottom w:val="single" w:sz="4" w:space="0" w:color="D9D9D9"/>
              <w:right w:val="nil"/>
            </w:tcBorders>
            <w:shd w:val="clear" w:color="000000" w:fill="D9D9D9"/>
            <w:noWrap/>
            <w:vAlign w:val="bottom"/>
            <w:hideMark/>
          </w:tcPr>
          <w:p w14:paraId="79201458" w14:textId="77777777" w:rsidR="00AB6753" w:rsidRDefault="00AB6753" w:rsidP="002D1EA4">
            <w:pPr>
              <w:spacing w:after="0"/>
              <w:jc w:val="right"/>
              <w:rPr>
                <w:rFonts w:cs="Arial"/>
                <w:sz w:val="18"/>
                <w:szCs w:val="18"/>
              </w:rPr>
            </w:pPr>
            <w:r>
              <w:rPr>
                <w:rFonts w:cs="Arial"/>
                <w:sz w:val="18"/>
                <w:szCs w:val="18"/>
              </w:rPr>
              <w:t>2019</w:t>
            </w:r>
          </w:p>
        </w:tc>
      </w:tr>
      <w:bookmarkEnd w:id="104"/>
      <w:tr w:rsidR="00AB6753" w14:paraId="3F444BDE" w14:textId="77777777" w:rsidTr="002D1EA4">
        <w:trPr>
          <w:trHeight w:val="240"/>
        </w:trPr>
        <w:tc>
          <w:tcPr>
            <w:tcW w:w="6566" w:type="dxa"/>
            <w:tcBorders>
              <w:top w:val="nil"/>
              <w:left w:val="nil"/>
              <w:bottom w:val="nil"/>
              <w:right w:val="nil"/>
            </w:tcBorders>
            <w:shd w:val="clear" w:color="000000" w:fill="D9D9D9"/>
            <w:noWrap/>
            <w:vAlign w:val="bottom"/>
            <w:hideMark/>
          </w:tcPr>
          <w:p w14:paraId="0C4B867E" w14:textId="77777777" w:rsidR="00AB6753" w:rsidRDefault="00AB6753" w:rsidP="002D1EA4">
            <w:pPr>
              <w:spacing w:after="0"/>
              <w:rPr>
                <w:rFonts w:cs="Arial"/>
                <w:sz w:val="18"/>
                <w:szCs w:val="18"/>
              </w:rPr>
            </w:pPr>
            <w:r>
              <w:rPr>
                <w:rFonts w:cs="Arial"/>
                <w:sz w:val="18"/>
                <w:szCs w:val="18"/>
              </w:rPr>
              <w:t> </w:t>
            </w:r>
          </w:p>
        </w:tc>
        <w:tc>
          <w:tcPr>
            <w:tcW w:w="1286" w:type="dxa"/>
            <w:tcBorders>
              <w:top w:val="nil"/>
              <w:left w:val="nil"/>
              <w:bottom w:val="single" w:sz="4" w:space="0" w:color="D9D9D9"/>
              <w:right w:val="nil"/>
            </w:tcBorders>
            <w:shd w:val="clear" w:color="000000" w:fill="D9D9D9"/>
            <w:noWrap/>
            <w:vAlign w:val="bottom"/>
            <w:hideMark/>
          </w:tcPr>
          <w:p w14:paraId="4873492B" w14:textId="77777777" w:rsidR="00AB6753" w:rsidRDefault="00AB6753" w:rsidP="002D1EA4">
            <w:pPr>
              <w:spacing w:after="0"/>
              <w:jc w:val="right"/>
              <w:rPr>
                <w:rFonts w:cs="Arial"/>
                <w:b/>
                <w:bCs/>
                <w:sz w:val="18"/>
                <w:szCs w:val="18"/>
              </w:rPr>
            </w:pPr>
            <w:r>
              <w:rPr>
                <w:rFonts w:cs="Arial"/>
                <w:b/>
                <w:bCs/>
                <w:sz w:val="18"/>
                <w:szCs w:val="18"/>
              </w:rPr>
              <w:t>$'000</w:t>
            </w:r>
          </w:p>
        </w:tc>
        <w:tc>
          <w:tcPr>
            <w:tcW w:w="273" w:type="dxa"/>
            <w:tcBorders>
              <w:top w:val="nil"/>
              <w:left w:val="nil"/>
              <w:bottom w:val="nil"/>
              <w:right w:val="nil"/>
            </w:tcBorders>
            <w:shd w:val="clear" w:color="000000" w:fill="D9D9D9"/>
            <w:noWrap/>
            <w:vAlign w:val="bottom"/>
            <w:hideMark/>
          </w:tcPr>
          <w:p w14:paraId="09CAD5B5" w14:textId="77777777" w:rsidR="00AB6753" w:rsidRDefault="00AB6753" w:rsidP="002D1EA4">
            <w:pPr>
              <w:spacing w:after="0"/>
              <w:rPr>
                <w:rFonts w:cs="Arial"/>
                <w:sz w:val="18"/>
                <w:szCs w:val="18"/>
              </w:rPr>
            </w:pPr>
            <w:r>
              <w:rPr>
                <w:rFonts w:cs="Arial"/>
                <w:sz w:val="18"/>
                <w:szCs w:val="18"/>
              </w:rPr>
              <w:t> </w:t>
            </w:r>
          </w:p>
        </w:tc>
        <w:tc>
          <w:tcPr>
            <w:tcW w:w="1293" w:type="dxa"/>
            <w:tcBorders>
              <w:top w:val="nil"/>
              <w:left w:val="nil"/>
              <w:bottom w:val="single" w:sz="4" w:space="0" w:color="D9D9D9"/>
              <w:right w:val="nil"/>
            </w:tcBorders>
            <w:shd w:val="clear" w:color="000000" w:fill="D9D9D9"/>
            <w:noWrap/>
            <w:vAlign w:val="bottom"/>
            <w:hideMark/>
          </w:tcPr>
          <w:p w14:paraId="4575477C" w14:textId="77777777" w:rsidR="00AB6753" w:rsidRDefault="00AB6753" w:rsidP="002D1EA4">
            <w:pPr>
              <w:spacing w:after="0"/>
              <w:jc w:val="right"/>
              <w:rPr>
                <w:rFonts w:cs="Arial"/>
                <w:sz w:val="18"/>
                <w:szCs w:val="18"/>
              </w:rPr>
            </w:pPr>
            <w:r>
              <w:rPr>
                <w:rFonts w:cs="Arial"/>
                <w:sz w:val="18"/>
                <w:szCs w:val="18"/>
              </w:rPr>
              <w:t>$'000</w:t>
            </w:r>
          </w:p>
        </w:tc>
      </w:tr>
      <w:tr w:rsidR="00AB6753" w14:paraId="6530F9B3" w14:textId="77777777" w:rsidTr="002D1EA4">
        <w:trPr>
          <w:trHeight w:val="255"/>
        </w:trPr>
        <w:tc>
          <w:tcPr>
            <w:tcW w:w="6566" w:type="dxa"/>
            <w:tcBorders>
              <w:top w:val="nil"/>
              <w:left w:val="nil"/>
              <w:bottom w:val="nil"/>
              <w:right w:val="nil"/>
            </w:tcBorders>
            <w:shd w:val="clear" w:color="000000" w:fill="D9D9D9"/>
            <w:noWrap/>
            <w:hideMark/>
          </w:tcPr>
          <w:p w14:paraId="3A1F6C19" w14:textId="77777777" w:rsidR="00AB6753" w:rsidRDefault="00AB6753" w:rsidP="002D1EA4">
            <w:pPr>
              <w:spacing w:after="0"/>
              <w:rPr>
                <w:rFonts w:cs="Arial"/>
                <w:b/>
                <w:bCs/>
                <w:sz w:val="18"/>
                <w:szCs w:val="18"/>
                <w:u w:val="single"/>
              </w:rPr>
            </w:pPr>
            <w:r>
              <w:rPr>
                <w:rFonts w:cs="Arial"/>
                <w:b/>
                <w:bCs/>
                <w:sz w:val="18"/>
                <w:szCs w:val="18"/>
                <w:u w:val="single"/>
              </w:rPr>
              <w:t>Note 2.1D: Write-Down and Impairment of Other Assets</w:t>
            </w:r>
          </w:p>
        </w:tc>
        <w:tc>
          <w:tcPr>
            <w:tcW w:w="1286" w:type="dxa"/>
            <w:tcBorders>
              <w:top w:val="nil"/>
              <w:left w:val="nil"/>
              <w:bottom w:val="nil"/>
              <w:right w:val="nil"/>
            </w:tcBorders>
            <w:shd w:val="clear" w:color="000000" w:fill="D9D9D9"/>
            <w:noWrap/>
            <w:vAlign w:val="bottom"/>
            <w:hideMark/>
          </w:tcPr>
          <w:p w14:paraId="6282DCDD" w14:textId="77777777" w:rsidR="00AB6753" w:rsidRDefault="00AB6753" w:rsidP="002D1EA4">
            <w:pPr>
              <w:spacing w:after="0"/>
              <w:rPr>
                <w:rFonts w:cs="Arial"/>
                <w:sz w:val="16"/>
                <w:szCs w:val="16"/>
              </w:rPr>
            </w:pPr>
            <w:r>
              <w:rPr>
                <w:rFonts w:cs="Arial"/>
                <w:sz w:val="16"/>
                <w:szCs w:val="16"/>
              </w:rPr>
              <w:t> </w:t>
            </w:r>
          </w:p>
        </w:tc>
        <w:tc>
          <w:tcPr>
            <w:tcW w:w="273" w:type="dxa"/>
            <w:tcBorders>
              <w:top w:val="nil"/>
              <w:left w:val="nil"/>
              <w:bottom w:val="nil"/>
              <w:right w:val="nil"/>
            </w:tcBorders>
            <w:shd w:val="clear" w:color="000000" w:fill="D9D9D9"/>
            <w:noWrap/>
            <w:vAlign w:val="bottom"/>
            <w:hideMark/>
          </w:tcPr>
          <w:p w14:paraId="515FE5B2" w14:textId="77777777" w:rsidR="00AB6753" w:rsidRDefault="00AB6753" w:rsidP="002D1EA4">
            <w:pPr>
              <w:spacing w:after="0"/>
              <w:rPr>
                <w:rFonts w:cs="Arial"/>
                <w:sz w:val="16"/>
                <w:szCs w:val="16"/>
              </w:rPr>
            </w:pPr>
            <w:r>
              <w:rPr>
                <w:rFonts w:cs="Arial"/>
                <w:sz w:val="16"/>
                <w:szCs w:val="16"/>
              </w:rPr>
              <w:t> </w:t>
            </w:r>
          </w:p>
        </w:tc>
        <w:tc>
          <w:tcPr>
            <w:tcW w:w="1293" w:type="dxa"/>
            <w:tcBorders>
              <w:top w:val="nil"/>
              <w:left w:val="nil"/>
              <w:bottom w:val="nil"/>
              <w:right w:val="nil"/>
            </w:tcBorders>
            <w:shd w:val="clear" w:color="000000" w:fill="D9D9D9"/>
            <w:noWrap/>
            <w:vAlign w:val="bottom"/>
            <w:hideMark/>
          </w:tcPr>
          <w:p w14:paraId="66FBCE94" w14:textId="77777777" w:rsidR="00AB6753" w:rsidRDefault="00AB6753" w:rsidP="002D1EA4">
            <w:pPr>
              <w:spacing w:after="0"/>
              <w:rPr>
                <w:rFonts w:cs="Arial"/>
                <w:sz w:val="16"/>
                <w:szCs w:val="16"/>
              </w:rPr>
            </w:pPr>
            <w:r>
              <w:rPr>
                <w:rFonts w:cs="Arial"/>
                <w:sz w:val="16"/>
                <w:szCs w:val="16"/>
              </w:rPr>
              <w:t> </w:t>
            </w:r>
          </w:p>
        </w:tc>
      </w:tr>
      <w:tr w:rsidR="00AB6753" w14:paraId="767CF36A" w14:textId="77777777" w:rsidTr="002D1EA4">
        <w:trPr>
          <w:trHeight w:val="255"/>
        </w:trPr>
        <w:tc>
          <w:tcPr>
            <w:tcW w:w="6566" w:type="dxa"/>
            <w:tcBorders>
              <w:top w:val="nil"/>
              <w:left w:val="nil"/>
              <w:bottom w:val="nil"/>
              <w:right w:val="nil"/>
            </w:tcBorders>
            <w:shd w:val="clear" w:color="000000" w:fill="D9D9D9"/>
            <w:noWrap/>
            <w:vAlign w:val="bottom"/>
            <w:hideMark/>
          </w:tcPr>
          <w:p w14:paraId="22E8447C" w14:textId="77777777" w:rsidR="00AB6753" w:rsidRDefault="00AB6753" w:rsidP="002D1EA4">
            <w:pPr>
              <w:spacing w:after="0"/>
              <w:rPr>
                <w:rFonts w:cs="Arial"/>
                <w:sz w:val="18"/>
                <w:szCs w:val="18"/>
              </w:rPr>
            </w:pPr>
            <w:r>
              <w:rPr>
                <w:rFonts w:cs="Arial"/>
                <w:sz w:val="18"/>
                <w:szCs w:val="18"/>
              </w:rPr>
              <w:t>Impairment of personal benefits receivable</w:t>
            </w:r>
          </w:p>
        </w:tc>
        <w:tc>
          <w:tcPr>
            <w:tcW w:w="1286" w:type="dxa"/>
            <w:tcBorders>
              <w:top w:val="nil"/>
              <w:left w:val="nil"/>
              <w:bottom w:val="nil"/>
              <w:right w:val="nil"/>
            </w:tcBorders>
            <w:shd w:val="clear" w:color="000000" w:fill="D9D9D9"/>
            <w:noWrap/>
            <w:vAlign w:val="bottom"/>
            <w:hideMark/>
          </w:tcPr>
          <w:p w14:paraId="43981792" w14:textId="77777777" w:rsidR="00AB6753" w:rsidRDefault="00AB6753" w:rsidP="002D1EA4">
            <w:pPr>
              <w:spacing w:after="0"/>
              <w:jc w:val="right"/>
              <w:rPr>
                <w:rFonts w:cs="Arial"/>
                <w:b/>
                <w:bCs/>
                <w:sz w:val="18"/>
                <w:szCs w:val="18"/>
              </w:rPr>
            </w:pPr>
            <w:r>
              <w:rPr>
                <w:rFonts w:cs="Arial"/>
                <w:b/>
                <w:bCs/>
                <w:sz w:val="18"/>
                <w:szCs w:val="18"/>
              </w:rPr>
              <w:t>447,080</w:t>
            </w:r>
          </w:p>
        </w:tc>
        <w:tc>
          <w:tcPr>
            <w:tcW w:w="273" w:type="dxa"/>
            <w:tcBorders>
              <w:top w:val="nil"/>
              <w:left w:val="nil"/>
              <w:bottom w:val="nil"/>
              <w:right w:val="nil"/>
            </w:tcBorders>
            <w:shd w:val="clear" w:color="000000" w:fill="D9D9D9"/>
            <w:noWrap/>
            <w:vAlign w:val="bottom"/>
            <w:hideMark/>
          </w:tcPr>
          <w:p w14:paraId="3CCD23AA" w14:textId="77777777" w:rsidR="00AB6753" w:rsidRDefault="00AB6753" w:rsidP="002D1EA4">
            <w:pPr>
              <w:spacing w:after="0"/>
              <w:rPr>
                <w:rFonts w:cs="Arial"/>
                <w:sz w:val="16"/>
                <w:szCs w:val="16"/>
              </w:rPr>
            </w:pPr>
            <w:r>
              <w:rPr>
                <w:rFonts w:cs="Arial"/>
                <w:sz w:val="16"/>
                <w:szCs w:val="16"/>
              </w:rPr>
              <w:t> </w:t>
            </w:r>
          </w:p>
        </w:tc>
        <w:tc>
          <w:tcPr>
            <w:tcW w:w="1293" w:type="dxa"/>
            <w:tcBorders>
              <w:top w:val="nil"/>
              <w:left w:val="nil"/>
              <w:bottom w:val="nil"/>
              <w:right w:val="nil"/>
            </w:tcBorders>
            <w:shd w:val="clear" w:color="000000" w:fill="D9D9D9"/>
            <w:noWrap/>
            <w:vAlign w:val="bottom"/>
            <w:hideMark/>
          </w:tcPr>
          <w:p w14:paraId="24DE129E" w14:textId="77777777" w:rsidR="00AB6753" w:rsidRDefault="00AB6753" w:rsidP="002D1EA4">
            <w:pPr>
              <w:spacing w:after="0"/>
              <w:jc w:val="right"/>
              <w:rPr>
                <w:rFonts w:cs="Arial"/>
                <w:sz w:val="18"/>
                <w:szCs w:val="18"/>
              </w:rPr>
            </w:pPr>
            <w:r>
              <w:rPr>
                <w:rFonts w:cs="Arial"/>
                <w:sz w:val="18"/>
                <w:szCs w:val="18"/>
              </w:rPr>
              <w:t>239,698</w:t>
            </w:r>
          </w:p>
        </w:tc>
      </w:tr>
      <w:tr w:rsidR="00AB6753" w14:paraId="0D47B1B8" w14:textId="77777777" w:rsidTr="002D1EA4">
        <w:trPr>
          <w:trHeight w:val="255"/>
        </w:trPr>
        <w:tc>
          <w:tcPr>
            <w:tcW w:w="6566" w:type="dxa"/>
            <w:tcBorders>
              <w:top w:val="nil"/>
              <w:left w:val="nil"/>
              <w:bottom w:val="single" w:sz="4" w:space="0" w:color="D9D9D9"/>
              <w:right w:val="nil"/>
            </w:tcBorders>
            <w:shd w:val="clear" w:color="000000" w:fill="D9D9D9"/>
            <w:noWrap/>
            <w:vAlign w:val="bottom"/>
            <w:hideMark/>
          </w:tcPr>
          <w:p w14:paraId="3293164E" w14:textId="77777777" w:rsidR="00AB6753" w:rsidRDefault="00AB6753" w:rsidP="002D1EA4">
            <w:pPr>
              <w:spacing w:after="0"/>
              <w:rPr>
                <w:rFonts w:cs="Arial"/>
                <w:sz w:val="18"/>
                <w:szCs w:val="18"/>
              </w:rPr>
            </w:pPr>
            <w:r>
              <w:rPr>
                <w:rFonts w:cs="Arial"/>
                <w:sz w:val="18"/>
                <w:szCs w:val="18"/>
              </w:rPr>
              <w:t>Other</w:t>
            </w:r>
          </w:p>
        </w:tc>
        <w:tc>
          <w:tcPr>
            <w:tcW w:w="1286" w:type="dxa"/>
            <w:tcBorders>
              <w:top w:val="nil"/>
              <w:left w:val="nil"/>
              <w:bottom w:val="nil"/>
              <w:right w:val="nil"/>
            </w:tcBorders>
            <w:shd w:val="clear" w:color="000000" w:fill="D9D9D9"/>
            <w:noWrap/>
            <w:vAlign w:val="bottom"/>
            <w:hideMark/>
          </w:tcPr>
          <w:p w14:paraId="4FCB7E49" w14:textId="77777777" w:rsidR="00AB6753" w:rsidRDefault="00AB6753" w:rsidP="002D1EA4">
            <w:pPr>
              <w:spacing w:after="0"/>
              <w:jc w:val="right"/>
              <w:rPr>
                <w:rFonts w:cs="Arial"/>
                <w:b/>
                <w:bCs/>
                <w:sz w:val="18"/>
                <w:szCs w:val="18"/>
              </w:rPr>
            </w:pPr>
            <w:r>
              <w:rPr>
                <w:rFonts w:cs="Arial"/>
                <w:b/>
                <w:bCs/>
                <w:sz w:val="18"/>
                <w:szCs w:val="18"/>
              </w:rPr>
              <w:t>22</w:t>
            </w:r>
          </w:p>
        </w:tc>
        <w:tc>
          <w:tcPr>
            <w:tcW w:w="273" w:type="dxa"/>
            <w:tcBorders>
              <w:top w:val="nil"/>
              <w:left w:val="nil"/>
              <w:bottom w:val="nil"/>
              <w:right w:val="nil"/>
            </w:tcBorders>
            <w:shd w:val="clear" w:color="000000" w:fill="D9D9D9"/>
            <w:noWrap/>
            <w:vAlign w:val="bottom"/>
            <w:hideMark/>
          </w:tcPr>
          <w:p w14:paraId="4CB88917" w14:textId="77777777" w:rsidR="00AB6753" w:rsidRDefault="00AB6753" w:rsidP="002D1EA4">
            <w:pPr>
              <w:spacing w:after="0"/>
              <w:rPr>
                <w:rFonts w:cs="Arial"/>
                <w:sz w:val="16"/>
                <w:szCs w:val="16"/>
              </w:rPr>
            </w:pPr>
            <w:r>
              <w:rPr>
                <w:rFonts w:cs="Arial"/>
                <w:sz w:val="16"/>
                <w:szCs w:val="16"/>
              </w:rPr>
              <w:t> </w:t>
            </w:r>
          </w:p>
        </w:tc>
        <w:tc>
          <w:tcPr>
            <w:tcW w:w="1293" w:type="dxa"/>
            <w:tcBorders>
              <w:top w:val="nil"/>
              <w:left w:val="nil"/>
              <w:bottom w:val="nil"/>
              <w:right w:val="nil"/>
            </w:tcBorders>
            <w:shd w:val="clear" w:color="000000" w:fill="D9D9D9"/>
            <w:noWrap/>
            <w:vAlign w:val="bottom"/>
            <w:hideMark/>
          </w:tcPr>
          <w:p w14:paraId="5E7017A3" w14:textId="77777777" w:rsidR="00AB6753" w:rsidRDefault="00AB6753" w:rsidP="002D1EA4">
            <w:pPr>
              <w:spacing w:after="0"/>
              <w:jc w:val="right"/>
              <w:rPr>
                <w:rFonts w:cs="Arial"/>
                <w:sz w:val="18"/>
                <w:szCs w:val="18"/>
              </w:rPr>
            </w:pPr>
            <w:r>
              <w:rPr>
                <w:rFonts w:cs="Arial"/>
                <w:sz w:val="18"/>
                <w:szCs w:val="18"/>
              </w:rPr>
              <w:t>2,057</w:t>
            </w:r>
          </w:p>
        </w:tc>
      </w:tr>
      <w:tr w:rsidR="00AB6753" w14:paraId="12AFE36A" w14:textId="77777777" w:rsidTr="002D1EA4">
        <w:trPr>
          <w:trHeight w:val="255"/>
        </w:trPr>
        <w:tc>
          <w:tcPr>
            <w:tcW w:w="6566" w:type="dxa"/>
            <w:tcBorders>
              <w:top w:val="nil"/>
              <w:left w:val="nil"/>
              <w:bottom w:val="single" w:sz="4" w:space="0" w:color="D9D9D9"/>
              <w:right w:val="nil"/>
            </w:tcBorders>
            <w:shd w:val="clear" w:color="000000" w:fill="D9D9D9"/>
            <w:vAlign w:val="bottom"/>
            <w:hideMark/>
          </w:tcPr>
          <w:p w14:paraId="127989BB" w14:textId="77777777" w:rsidR="00AB6753" w:rsidRDefault="00AB6753" w:rsidP="002D1EA4">
            <w:pPr>
              <w:spacing w:after="0"/>
              <w:rPr>
                <w:rFonts w:cs="Arial"/>
                <w:b/>
                <w:bCs/>
                <w:sz w:val="18"/>
                <w:szCs w:val="18"/>
              </w:rPr>
            </w:pPr>
            <w:r>
              <w:rPr>
                <w:rFonts w:cs="Arial"/>
                <w:b/>
                <w:bCs/>
                <w:sz w:val="18"/>
                <w:szCs w:val="18"/>
              </w:rPr>
              <w:t>Total write-down and impairment of other assets</w:t>
            </w:r>
          </w:p>
        </w:tc>
        <w:tc>
          <w:tcPr>
            <w:tcW w:w="1286" w:type="dxa"/>
            <w:tcBorders>
              <w:top w:val="single" w:sz="4" w:space="0" w:color="auto"/>
              <w:left w:val="nil"/>
              <w:bottom w:val="single" w:sz="4" w:space="0" w:color="auto"/>
              <w:right w:val="nil"/>
            </w:tcBorders>
            <w:shd w:val="clear" w:color="000000" w:fill="D9D9D9"/>
            <w:noWrap/>
            <w:vAlign w:val="bottom"/>
            <w:hideMark/>
          </w:tcPr>
          <w:p w14:paraId="5BA59303" w14:textId="77777777" w:rsidR="00AB6753" w:rsidRDefault="00AB6753" w:rsidP="002D1EA4">
            <w:pPr>
              <w:spacing w:after="0"/>
              <w:jc w:val="right"/>
              <w:rPr>
                <w:rFonts w:cs="Arial"/>
                <w:b/>
                <w:bCs/>
                <w:sz w:val="18"/>
                <w:szCs w:val="18"/>
              </w:rPr>
            </w:pPr>
            <w:r>
              <w:rPr>
                <w:rFonts w:cs="Arial"/>
                <w:b/>
                <w:bCs/>
                <w:sz w:val="18"/>
                <w:szCs w:val="18"/>
              </w:rPr>
              <w:t>447,102</w:t>
            </w:r>
          </w:p>
        </w:tc>
        <w:tc>
          <w:tcPr>
            <w:tcW w:w="273" w:type="dxa"/>
            <w:tcBorders>
              <w:top w:val="single" w:sz="4" w:space="0" w:color="D9D9D9"/>
              <w:left w:val="nil"/>
              <w:bottom w:val="single" w:sz="4" w:space="0" w:color="D9D9D9"/>
              <w:right w:val="nil"/>
            </w:tcBorders>
            <w:shd w:val="clear" w:color="000000" w:fill="D9D9D9"/>
            <w:noWrap/>
            <w:vAlign w:val="bottom"/>
            <w:hideMark/>
          </w:tcPr>
          <w:p w14:paraId="7A05D040" w14:textId="77777777" w:rsidR="00AB6753" w:rsidRDefault="00AB6753" w:rsidP="002D1EA4">
            <w:pPr>
              <w:spacing w:after="0"/>
              <w:rPr>
                <w:rFonts w:cs="Arial"/>
                <w:sz w:val="16"/>
                <w:szCs w:val="16"/>
              </w:rPr>
            </w:pPr>
            <w:r>
              <w:rPr>
                <w:rFonts w:cs="Arial"/>
                <w:sz w:val="16"/>
                <w:szCs w:val="16"/>
              </w:rPr>
              <w:t> </w:t>
            </w:r>
          </w:p>
        </w:tc>
        <w:tc>
          <w:tcPr>
            <w:tcW w:w="1293" w:type="dxa"/>
            <w:tcBorders>
              <w:top w:val="single" w:sz="4" w:space="0" w:color="auto"/>
              <w:left w:val="nil"/>
              <w:bottom w:val="single" w:sz="4" w:space="0" w:color="auto"/>
              <w:right w:val="nil"/>
            </w:tcBorders>
            <w:shd w:val="clear" w:color="000000" w:fill="D9D9D9"/>
            <w:noWrap/>
            <w:vAlign w:val="bottom"/>
            <w:hideMark/>
          </w:tcPr>
          <w:p w14:paraId="4C13123F" w14:textId="77777777" w:rsidR="00AB6753" w:rsidRDefault="00AB6753" w:rsidP="002D1EA4">
            <w:pPr>
              <w:spacing w:after="0"/>
              <w:jc w:val="right"/>
              <w:rPr>
                <w:rFonts w:cs="Arial"/>
                <w:sz w:val="18"/>
                <w:szCs w:val="18"/>
              </w:rPr>
            </w:pPr>
            <w:r>
              <w:rPr>
                <w:rFonts w:cs="Arial"/>
                <w:sz w:val="18"/>
                <w:szCs w:val="18"/>
              </w:rPr>
              <w:t>241,755</w:t>
            </w:r>
          </w:p>
        </w:tc>
      </w:tr>
    </w:tbl>
    <w:p w14:paraId="00B41BE6" w14:textId="77777777" w:rsidR="00AB6753" w:rsidRDefault="00AB6753" w:rsidP="00AB6753">
      <w:pPr>
        <w:pStyle w:val="GreyShadeTableBreak"/>
        <w:ind w:left="113" w:right="0"/>
      </w:pPr>
      <w:r>
        <w:tab/>
      </w:r>
    </w:p>
    <w:tbl>
      <w:tblPr>
        <w:tblW w:w="9431" w:type="dxa"/>
        <w:tblInd w:w="80" w:type="dxa"/>
        <w:tblLayout w:type="fixed"/>
        <w:tblLook w:val="04A0" w:firstRow="1" w:lastRow="0" w:firstColumn="1" w:lastColumn="0" w:noHBand="0" w:noVBand="1"/>
      </w:tblPr>
      <w:tblGrid>
        <w:gridCol w:w="6384"/>
        <w:gridCol w:w="1250"/>
        <w:gridCol w:w="265"/>
        <w:gridCol w:w="1532"/>
      </w:tblGrid>
      <w:tr w:rsidR="00AB6753" w14:paraId="73938AE6" w14:textId="77777777" w:rsidTr="002D1EA4">
        <w:trPr>
          <w:trHeight w:val="308"/>
        </w:trPr>
        <w:tc>
          <w:tcPr>
            <w:tcW w:w="6384" w:type="dxa"/>
            <w:tcBorders>
              <w:top w:val="nil"/>
              <w:left w:val="nil"/>
              <w:bottom w:val="nil"/>
              <w:right w:val="nil"/>
            </w:tcBorders>
            <w:shd w:val="clear" w:color="000000" w:fill="D9D9D9"/>
            <w:noWrap/>
            <w:hideMark/>
          </w:tcPr>
          <w:p w14:paraId="189EF77C" w14:textId="77777777" w:rsidR="00AB6753" w:rsidRDefault="00AB6753" w:rsidP="002D1EA4">
            <w:pPr>
              <w:spacing w:after="0" w:line="240" w:lineRule="auto"/>
              <w:rPr>
                <w:rFonts w:cs="Arial"/>
                <w:b/>
                <w:bCs/>
                <w:sz w:val="18"/>
                <w:szCs w:val="18"/>
                <w:u w:val="single"/>
              </w:rPr>
            </w:pPr>
            <w:bookmarkStart w:id="105" w:name="Note_AOETABLE1" w:colFirst="0" w:colLast="0"/>
            <w:r>
              <w:rPr>
                <w:rFonts w:cs="Arial"/>
                <w:b/>
                <w:bCs/>
                <w:sz w:val="18"/>
                <w:szCs w:val="18"/>
                <w:u w:val="single"/>
              </w:rPr>
              <w:t>Note 2.1E: Other Expenses</w:t>
            </w:r>
          </w:p>
        </w:tc>
        <w:tc>
          <w:tcPr>
            <w:tcW w:w="1250" w:type="dxa"/>
            <w:tcBorders>
              <w:top w:val="nil"/>
              <w:left w:val="nil"/>
              <w:bottom w:val="nil"/>
              <w:right w:val="nil"/>
            </w:tcBorders>
            <w:shd w:val="clear" w:color="000000" w:fill="D9D9D9"/>
            <w:noWrap/>
            <w:vAlign w:val="bottom"/>
            <w:hideMark/>
          </w:tcPr>
          <w:p w14:paraId="25891AFA" w14:textId="77777777" w:rsidR="00AB6753" w:rsidRDefault="00AB6753" w:rsidP="002D1EA4">
            <w:pPr>
              <w:spacing w:after="0" w:line="240" w:lineRule="auto"/>
              <w:rPr>
                <w:rFonts w:cs="Arial"/>
                <w:sz w:val="16"/>
                <w:szCs w:val="16"/>
              </w:rPr>
            </w:pPr>
            <w:r>
              <w:rPr>
                <w:rFonts w:cs="Arial"/>
                <w:sz w:val="16"/>
                <w:szCs w:val="16"/>
              </w:rPr>
              <w:t> </w:t>
            </w:r>
          </w:p>
        </w:tc>
        <w:tc>
          <w:tcPr>
            <w:tcW w:w="265" w:type="dxa"/>
            <w:tcBorders>
              <w:top w:val="nil"/>
              <w:left w:val="nil"/>
              <w:bottom w:val="nil"/>
              <w:right w:val="nil"/>
            </w:tcBorders>
            <w:shd w:val="clear" w:color="000000" w:fill="D9D9D9"/>
            <w:noWrap/>
            <w:vAlign w:val="bottom"/>
            <w:hideMark/>
          </w:tcPr>
          <w:p w14:paraId="17DCC060" w14:textId="77777777" w:rsidR="00AB6753" w:rsidRDefault="00AB6753" w:rsidP="002D1EA4">
            <w:pPr>
              <w:spacing w:after="0" w:line="240" w:lineRule="auto"/>
              <w:rPr>
                <w:rFonts w:cs="Arial"/>
                <w:sz w:val="16"/>
                <w:szCs w:val="16"/>
              </w:rPr>
            </w:pPr>
            <w:r>
              <w:rPr>
                <w:rFonts w:cs="Arial"/>
                <w:sz w:val="16"/>
                <w:szCs w:val="16"/>
              </w:rPr>
              <w:t> </w:t>
            </w:r>
          </w:p>
        </w:tc>
        <w:tc>
          <w:tcPr>
            <w:tcW w:w="1532" w:type="dxa"/>
            <w:tcBorders>
              <w:top w:val="nil"/>
              <w:left w:val="nil"/>
              <w:bottom w:val="nil"/>
              <w:right w:val="nil"/>
            </w:tcBorders>
            <w:shd w:val="clear" w:color="000000" w:fill="D9D9D9"/>
            <w:noWrap/>
            <w:vAlign w:val="bottom"/>
            <w:hideMark/>
          </w:tcPr>
          <w:p w14:paraId="0ACCF304" w14:textId="77777777" w:rsidR="00AB6753" w:rsidRDefault="00AB6753" w:rsidP="002D1EA4">
            <w:pPr>
              <w:spacing w:after="0" w:line="240" w:lineRule="auto"/>
              <w:jc w:val="right"/>
              <w:rPr>
                <w:rFonts w:cs="Arial"/>
                <w:sz w:val="18"/>
                <w:szCs w:val="18"/>
              </w:rPr>
            </w:pPr>
            <w:r>
              <w:rPr>
                <w:rFonts w:cs="Arial"/>
                <w:sz w:val="18"/>
                <w:szCs w:val="18"/>
              </w:rPr>
              <w:t> </w:t>
            </w:r>
          </w:p>
        </w:tc>
      </w:tr>
      <w:bookmarkEnd w:id="105"/>
      <w:tr w:rsidR="00AB6753" w14:paraId="532CC41B" w14:textId="77777777" w:rsidTr="002D1EA4">
        <w:trPr>
          <w:trHeight w:val="308"/>
        </w:trPr>
        <w:tc>
          <w:tcPr>
            <w:tcW w:w="6384" w:type="dxa"/>
            <w:tcBorders>
              <w:top w:val="nil"/>
              <w:left w:val="nil"/>
              <w:bottom w:val="nil"/>
              <w:right w:val="nil"/>
            </w:tcBorders>
            <w:shd w:val="clear" w:color="000000" w:fill="D9D9D9"/>
            <w:vAlign w:val="bottom"/>
            <w:hideMark/>
          </w:tcPr>
          <w:p w14:paraId="7E4482B7" w14:textId="77777777" w:rsidR="00AB6753" w:rsidRDefault="00AB6753" w:rsidP="002D1EA4">
            <w:pPr>
              <w:spacing w:after="0" w:line="240" w:lineRule="auto"/>
              <w:rPr>
                <w:rFonts w:cs="Arial"/>
                <w:sz w:val="18"/>
                <w:szCs w:val="18"/>
              </w:rPr>
            </w:pPr>
            <w:r>
              <w:rPr>
                <w:rFonts w:cs="Arial"/>
                <w:sz w:val="18"/>
                <w:szCs w:val="18"/>
              </w:rPr>
              <w:t>Other special accounts expense</w:t>
            </w:r>
          </w:p>
        </w:tc>
        <w:tc>
          <w:tcPr>
            <w:tcW w:w="1250" w:type="dxa"/>
            <w:tcBorders>
              <w:top w:val="nil"/>
              <w:left w:val="nil"/>
              <w:bottom w:val="nil"/>
              <w:right w:val="nil"/>
            </w:tcBorders>
            <w:shd w:val="clear" w:color="000000" w:fill="D9D9D9"/>
            <w:noWrap/>
            <w:vAlign w:val="bottom"/>
            <w:hideMark/>
          </w:tcPr>
          <w:p w14:paraId="255790F5" w14:textId="77777777" w:rsidR="00AB6753" w:rsidRDefault="00AB6753" w:rsidP="002D1EA4">
            <w:pPr>
              <w:spacing w:after="0" w:line="240" w:lineRule="auto"/>
              <w:jc w:val="right"/>
              <w:rPr>
                <w:rFonts w:cs="Arial"/>
                <w:b/>
                <w:bCs/>
                <w:sz w:val="18"/>
                <w:szCs w:val="18"/>
              </w:rPr>
            </w:pPr>
            <w:r>
              <w:rPr>
                <w:rFonts w:cs="Arial"/>
                <w:b/>
                <w:bCs/>
                <w:sz w:val="18"/>
                <w:szCs w:val="18"/>
              </w:rPr>
              <w:t>7,390</w:t>
            </w:r>
          </w:p>
        </w:tc>
        <w:tc>
          <w:tcPr>
            <w:tcW w:w="265" w:type="dxa"/>
            <w:tcBorders>
              <w:top w:val="nil"/>
              <w:left w:val="nil"/>
              <w:bottom w:val="nil"/>
              <w:right w:val="nil"/>
            </w:tcBorders>
            <w:shd w:val="clear" w:color="000000" w:fill="D9D9D9"/>
            <w:noWrap/>
            <w:vAlign w:val="bottom"/>
            <w:hideMark/>
          </w:tcPr>
          <w:p w14:paraId="2B60BED4" w14:textId="77777777" w:rsidR="00AB6753" w:rsidRDefault="00AB6753" w:rsidP="002D1EA4">
            <w:pPr>
              <w:spacing w:after="0" w:line="240" w:lineRule="auto"/>
              <w:rPr>
                <w:rFonts w:cs="Arial"/>
                <w:sz w:val="16"/>
                <w:szCs w:val="16"/>
              </w:rPr>
            </w:pPr>
            <w:r>
              <w:rPr>
                <w:rFonts w:cs="Arial"/>
                <w:sz w:val="16"/>
                <w:szCs w:val="16"/>
              </w:rPr>
              <w:t> </w:t>
            </w:r>
          </w:p>
        </w:tc>
        <w:tc>
          <w:tcPr>
            <w:tcW w:w="1532" w:type="dxa"/>
            <w:tcBorders>
              <w:top w:val="nil"/>
              <w:left w:val="nil"/>
              <w:bottom w:val="nil"/>
              <w:right w:val="nil"/>
            </w:tcBorders>
            <w:shd w:val="clear" w:color="000000" w:fill="D9D9D9"/>
            <w:noWrap/>
            <w:vAlign w:val="bottom"/>
            <w:hideMark/>
          </w:tcPr>
          <w:p w14:paraId="39858ADB" w14:textId="77777777" w:rsidR="00AB6753" w:rsidRDefault="00AB6753" w:rsidP="002D1EA4">
            <w:pPr>
              <w:spacing w:after="0" w:line="240" w:lineRule="auto"/>
              <w:jc w:val="right"/>
              <w:rPr>
                <w:rFonts w:cs="Arial"/>
                <w:sz w:val="18"/>
                <w:szCs w:val="18"/>
              </w:rPr>
            </w:pPr>
            <w:r>
              <w:rPr>
                <w:rFonts w:cs="Arial"/>
                <w:sz w:val="18"/>
                <w:szCs w:val="18"/>
              </w:rPr>
              <w:t>5,000</w:t>
            </w:r>
          </w:p>
        </w:tc>
      </w:tr>
      <w:tr w:rsidR="00AB6753" w14:paraId="22BF05EE" w14:textId="77777777" w:rsidTr="002D1EA4">
        <w:trPr>
          <w:trHeight w:val="308"/>
        </w:trPr>
        <w:tc>
          <w:tcPr>
            <w:tcW w:w="6384" w:type="dxa"/>
            <w:tcBorders>
              <w:top w:val="nil"/>
              <w:left w:val="nil"/>
              <w:bottom w:val="single" w:sz="4" w:space="0" w:color="D9D9D9"/>
              <w:right w:val="nil"/>
            </w:tcBorders>
            <w:shd w:val="clear" w:color="000000" w:fill="D9D9D9"/>
            <w:vAlign w:val="bottom"/>
            <w:hideMark/>
          </w:tcPr>
          <w:p w14:paraId="776C23C3" w14:textId="77777777" w:rsidR="00AB6753" w:rsidRDefault="00AB6753" w:rsidP="002D1EA4">
            <w:pPr>
              <w:spacing w:after="0"/>
              <w:rPr>
                <w:rFonts w:cs="Arial"/>
                <w:sz w:val="18"/>
                <w:szCs w:val="18"/>
              </w:rPr>
            </w:pPr>
            <w:r>
              <w:rPr>
                <w:rFonts w:cs="Arial"/>
                <w:sz w:val="18"/>
                <w:szCs w:val="18"/>
              </w:rPr>
              <w:t>Other</w:t>
            </w:r>
          </w:p>
        </w:tc>
        <w:tc>
          <w:tcPr>
            <w:tcW w:w="1250" w:type="dxa"/>
            <w:tcBorders>
              <w:top w:val="nil"/>
              <w:left w:val="nil"/>
              <w:bottom w:val="nil"/>
              <w:right w:val="nil"/>
            </w:tcBorders>
            <w:shd w:val="clear" w:color="000000" w:fill="D9D9D9"/>
            <w:noWrap/>
            <w:vAlign w:val="bottom"/>
            <w:hideMark/>
          </w:tcPr>
          <w:p w14:paraId="0AA4D585" w14:textId="77777777" w:rsidR="00AB6753" w:rsidRDefault="00AB6753" w:rsidP="002D1EA4">
            <w:pPr>
              <w:spacing w:after="0"/>
              <w:jc w:val="right"/>
              <w:rPr>
                <w:rFonts w:cs="Arial"/>
                <w:b/>
                <w:bCs/>
                <w:sz w:val="18"/>
                <w:szCs w:val="18"/>
              </w:rPr>
            </w:pPr>
            <w:r>
              <w:rPr>
                <w:rFonts w:cs="Arial"/>
                <w:b/>
                <w:bCs/>
                <w:sz w:val="18"/>
                <w:szCs w:val="18"/>
              </w:rPr>
              <w:t>1,156</w:t>
            </w:r>
          </w:p>
        </w:tc>
        <w:tc>
          <w:tcPr>
            <w:tcW w:w="265" w:type="dxa"/>
            <w:tcBorders>
              <w:top w:val="nil"/>
              <w:left w:val="nil"/>
              <w:bottom w:val="nil"/>
              <w:right w:val="nil"/>
            </w:tcBorders>
            <w:shd w:val="clear" w:color="000000" w:fill="D9D9D9"/>
            <w:noWrap/>
            <w:vAlign w:val="bottom"/>
            <w:hideMark/>
          </w:tcPr>
          <w:p w14:paraId="70A01586" w14:textId="77777777" w:rsidR="00AB6753" w:rsidRDefault="00AB6753" w:rsidP="002D1EA4">
            <w:pPr>
              <w:spacing w:after="0"/>
              <w:rPr>
                <w:rFonts w:cs="Arial"/>
                <w:sz w:val="16"/>
                <w:szCs w:val="16"/>
              </w:rPr>
            </w:pPr>
            <w:r>
              <w:rPr>
                <w:rFonts w:cs="Arial"/>
                <w:sz w:val="16"/>
                <w:szCs w:val="16"/>
              </w:rPr>
              <w:t> </w:t>
            </w:r>
          </w:p>
        </w:tc>
        <w:tc>
          <w:tcPr>
            <w:tcW w:w="1532" w:type="dxa"/>
            <w:tcBorders>
              <w:top w:val="nil"/>
              <w:left w:val="nil"/>
              <w:bottom w:val="nil"/>
              <w:right w:val="nil"/>
            </w:tcBorders>
            <w:shd w:val="clear" w:color="000000" w:fill="D9D9D9"/>
            <w:noWrap/>
            <w:vAlign w:val="bottom"/>
            <w:hideMark/>
          </w:tcPr>
          <w:p w14:paraId="48669716" w14:textId="77777777" w:rsidR="00AB6753" w:rsidRDefault="00AB6753" w:rsidP="002D1EA4">
            <w:pPr>
              <w:spacing w:after="0"/>
              <w:jc w:val="right"/>
              <w:rPr>
                <w:rFonts w:cs="Arial"/>
                <w:sz w:val="18"/>
                <w:szCs w:val="18"/>
              </w:rPr>
            </w:pPr>
            <w:r>
              <w:rPr>
                <w:rFonts w:cs="Arial"/>
                <w:sz w:val="18"/>
                <w:szCs w:val="18"/>
              </w:rPr>
              <w:t>1,377</w:t>
            </w:r>
          </w:p>
        </w:tc>
      </w:tr>
      <w:tr w:rsidR="00AB6753" w14:paraId="2DBBEBD6" w14:textId="77777777" w:rsidTr="002D1EA4">
        <w:trPr>
          <w:trHeight w:val="308"/>
        </w:trPr>
        <w:tc>
          <w:tcPr>
            <w:tcW w:w="6384" w:type="dxa"/>
            <w:tcBorders>
              <w:top w:val="nil"/>
              <w:left w:val="nil"/>
              <w:bottom w:val="single" w:sz="4" w:space="0" w:color="D9D9D9"/>
              <w:right w:val="nil"/>
            </w:tcBorders>
            <w:shd w:val="clear" w:color="000000" w:fill="D9D9D9"/>
            <w:vAlign w:val="bottom"/>
            <w:hideMark/>
          </w:tcPr>
          <w:p w14:paraId="15533442" w14:textId="77777777" w:rsidR="00AB6753" w:rsidRDefault="00AB6753" w:rsidP="002D1EA4">
            <w:pPr>
              <w:spacing w:after="0"/>
              <w:rPr>
                <w:rFonts w:cs="Arial"/>
                <w:b/>
                <w:bCs/>
                <w:sz w:val="18"/>
                <w:szCs w:val="18"/>
              </w:rPr>
            </w:pPr>
            <w:r>
              <w:rPr>
                <w:rFonts w:cs="Arial"/>
                <w:b/>
                <w:bCs/>
                <w:sz w:val="18"/>
                <w:szCs w:val="18"/>
              </w:rPr>
              <w:t>Total other expenses</w:t>
            </w:r>
          </w:p>
        </w:tc>
        <w:tc>
          <w:tcPr>
            <w:tcW w:w="1250" w:type="dxa"/>
            <w:tcBorders>
              <w:top w:val="single" w:sz="4" w:space="0" w:color="auto"/>
              <w:left w:val="nil"/>
              <w:bottom w:val="single" w:sz="4" w:space="0" w:color="auto"/>
              <w:right w:val="nil"/>
            </w:tcBorders>
            <w:shd w:val="clear" w:color="000000" w:fill="D9D9D9"/>
            <w:noWrap/>
            <w:vAlign w:val="bottom"/>
            <w:hideMark/>
          </w:tcPr>
          <w:p w14:paraId="340895AE" w14:textId="77777777" w:rsidR="00AB6753" w:rsidRDefault="00AB6753" w:rsidP="002D1EA4">
            <w:pPr>
              <w:spacing w:after="0"/>
              <w:jc w:val="right"/>
              <w:rPr>
                <w:rFonts w:cs="Arial"/>
                <w:b/>
                <w:bCs/>
                <w:sz w:val="18"/>
                <w:szCs w:val="18"/>
              </w:rPr>
            </w:pPr>
            <w:r>
              <w:rPr>
                <w:rFonts w:cs="Arial"/>
                <w:b/>
                <w:bCs/>
                <w:sz w:val="18"/>
                <w:szCs w:val="18"/>
              </w:rPr>
              <w:t>8,546</w:t>
            </w:r>
          </w:p>
        </w:tc>
        <w:tc>
          <w:tcPr>
            <w:tcW w:w="265" w:type="dxa"/>
            <w:tcBorders>
              <w:top w:val="single" w:sz="4" w:space="0" w:color="D9D9D9"/>
              <w:left w:val="nil"/>
              <w:bottom w:val="single" w:sz="4" w:space="0" w:color="D9D9D9"/>
              <w:right w:val="nil"/>
            </w:tcBorders>
            <w:shd w:val="clear" w:color="000000" w:fill="D9D9D9"/>
            <w:noWrap/>
            <w:vAlign w:val="bottom"/>
            <w:hideMark/>
          </w:tcPr>
          <w:p w14:paraId="4862F58C" w14:textId="77777777" w:rsidR="00AB6753" w:rsidRDefault="00AB6753" w:rsidP="002D1EA4">
            <w:pPr>
              <w:spacing w:after="0"/>
              <w:rPr>
                <w:rFonts w:cs="Arial"/>
                <w:sz w:val="16"/>
                <w:szCs w:val="16"/>
              </w:rPr>
            </w:pPr>
            <w:r>
              <w:rPr>
                <w:rFonts w:cs="Arial"/>
                <w:sz w:val="16"/>
                <w:szCs w:val="16"/>
              </w:rPr>
              <w:t> </w:t>
            </w:r>
          </w:p>
        </w:tc>
        <w:tc>
          <w:tcPr>
            <w:tcW w:w="1532" w:type="dxa"/>
            <w:tcBorders>
              <w:top w:val="single" w:sz="4" w:space="0" w:color="auto"/>
              <w:left w:val="nil"/>
              <w:bottom w:val="single" w:sz="4" w:space="0" w:color="auto"/>
              <w:right w:val="nil"/>
            </w:tcBorders>
            <w:shd w:val="clear" w:color="000000" w:fill="D9D9D9"/>
            <w:noWrap/>
            <w:vAlign w:val="bottom"/>
            <w:hideMark/>
          </w:tcPr>
          <w:p w14:paraId="1772E4B0" w14:textId="77777777" w:rsidR="00AB6753" w:rsidRDefault="00AB6753" w:rsidP="002D1EA4">
            <w:pPr>
              <w:spacing w:after="0"/>
              <w:jc w:val="right"/>
              <w:rPr>
                <w:rFonts w:cs="Arial"/>
                <w:sz w:val="18"/>
                <w:szCs w:val="18"/>
              </w:rPr>
            </w:pPr>
            <w:r>
              <w:rPr>
                <w:rFonts w:cs="Arial"/>
                <w:sz w:val="18"/>
                <w:szCs w:val="18"/>
              </w:rPr>
              <w:t>6,377</w:t>
            </w:r>
          </w:p>
        </w:tc>
      </w:tr>
    </w:tbl>
    <w:p w14:paraId="1D53378D" w14:textId="77777777" w:rsidR="00AB6753" w:rsidRDefault="00AB6753" w:rsidP="00AB6753">
      <w:pPr>
        <w:pStyle w:val="GreyShadeTableBreaknon-Standard"/>
        <w:ind w:left="113" w:right="0"/>
      </w:pPr>
    </w:p>
    <w:p w14:paraId="1C86E8A7" w14:textId="77777777" w:rsidR="00AB6753" w:rsidRDefault="00AB6753" w:rsidP="00AB6753">
      <w:pPr>
        <w:spacing w:line="240" w:lineRule="auto"/>
        <w:rPr>
          <w:rFonts w:cs="Arial"/>
          <w:sz w:val="18"/>
          <w:szCs w:val="18"/>
          <w:lang w:eastAsia="en-AU"/>
        </w:rPr>
      </w:pPr>
      <w:r>
        <w:br w:type="page"/>
      </w:r>
    </w:p>
    <w:p w14:paraId="7E980CA1" w14:textId="77777777" w:rsidR="00AB6753" w:rsidRPr="00163047" w:rsidRDefault="00AB6753" w:rsidP="00AB6753">
      <w:pPr>
        <w:pStyle w:val="SubHeading"/>
        <w:numPr>
          <w:ilvl w:val="1"/>
          <w:numId w:val="56"/>
        </w:numPr>
        <w:shd w:val="clear" w:color="auto" w:fill="D9D9D9" w:themeFill="background1" w:themeFillShade="D9"/>
        <w:ind w:left="454" w:hanging="454"/>
        <w:rPr>
          <w:sz w:val="20"/>
        </w:rPr>
      </w:pPr>
      <w:bookmarkStart w:id="106" w:name="_Toc443469527"/>
      <w:bookmarkStart w:id="107" w:name="_Toc444065777"/>
      <w:bookmarkStart w:id="108" w:name="_Toc444079975"/>
      <w:bookmarkStart w:id="109" w:name="_Toc450750160"/>
      <w:bookmarkStart w:id="110" w:name="_Toc45748805"/>
      <w:r w:rsidRPr="00163047">
        <w:rPr>
          <w:sz w:val="20"/>
        </w:rPr>
        <w:lastRenderedPageBreak/>
        <w:t>Administered – Income</w:t>
      </w:r>
      <w:bookmarkEnd w:id="106"/>
      <w:bookmarkEnd w:id="107"/>
      <w:bookmarkEnd w:id="108"/>
      <w:bookmarkEnd w:id="109"/>
      <w:bookmarkEnd w:id="110"/>
    </w:p>
    <w:tbl>
      <w:tblPr>
        <w:tblW w:w="9498" w:type="dxa"/>
        <w:tblLayout w:type="fixed"/>
        <w:tblLook w:val="04A0" w:firstRow="1" w:lastRow="0" w:firstColumn="1" w:lastColumn="0" w:noHBand="0" w:noVBand="1"/>
        <w:tblCaption w:val="Notes to and forming part of the financial statements"/>
        <w:tblDescription w:val="Administered income"/>
      </w:tblPr>
      <w:tblGrid>
        <w:gridCol w:w="6566"/>
        <w:gridCol w:w="1286"/>
        <w:gridCol w:w="273"/>
        <w:gridCol w:w="1373"/>
      </w:tblGrid>
      <w:tr w:rsidR="00AB6753" w14:paraId="2A545491" w14:textId="77777777" w:rsidTr="002D1EA4">
        <w:trPr>
          <w:trHeight w:val="255"/>
        </w:trPr>
        <w:tc>
          <w:tcPr>
            <w:tcW w:w="6566" w:type="dxa"/>
            <w:tcBorders>
              <w:top w:val="nil"/>
              <w:left w:val="nil"/>
              <w:bottom w:val="nil"/>
              <w:right w:val="nil"/>
            </w:tcBorders>
            <w:shd w:val="clear" w:color="000000" w:fill="D9D9D9"/>
            <w:noWrap/>
            <w:vAlign w:val="bottom"/>
            <w:hideMark/>
          </w:tcPr>
          <w:p w14:paraId="2A298502" w14:textId="77777777" w:rsidR="00AB6753" w:rsidRDefault="00AB6753" w:rsidP="002D1EA4">
            <w:pPr>
              <w:spacing w:after="0"/>
              <w:rPr>
                <w:rFonts w:cs="Arial"/>
                <w:sz w:val="18"/>
                <w:szCs w:val="18"/>
              </w:rPr>
            </w:pPr>
            <w:bookmarkStart w:id="111" w:name="Note_AFFTABLE1" w:colFirst="0" w:colLast="0"/>
            <w:r>
              <w:rPr>
                <w:rFonts w:cs="Arial"/>
                <w:sz w:val="18"/>
                <w:szCs w:val="18"/>
              </w:rPr>
              <w:t> </w:t>
            </w:r>
          </w:p>
        </w:tc>
        <w:tc>
          <w:tcPr>
            <w:tcW w:w="1286" w:type="dxa"/>
            <w:tcBorders>
              <w:top w:val="nil"/>
              <w:left w:val="nil"/>
              <w:bottom w:val="single" w:sz="4" w:space="0" w:color="D9D9D9"/>
              <w:right w:val="nil"/>
            </w:tcBorders>
            <w:shd w:val="clear" w:color="000000" w:fill="D9D9D9"/>
            <w:noWrap/>
            <w:vAlign w:val="bottom"/>
            <w:hideMark/>
          </w:tcPr>
          <w:p w14:paraId="15E075C5" w14:textId="77777777" w:rsidR="00AB6753" w:rsidRDefault="00AB6753" w:rsidP="002D1EA4">
            <w:pPr>
              <w:spacing w:after="0"/>
              <w:jc w:val="right"/>
              <w:rPr>
                <w:rFonts w:cs="Arial"/>
                <w:b/>
                <w:bCs/>
                <w:sz w:val="18"/>
                <w:szCs w:val="18"/>
              </w:rPr>
            </w:pPr>
            <w:r>
              <w:rPr>
                <w:rFonts w:cs="Arial"/>
                <w:b/>
                <w:bCs/>
                <w:sz w:val="18"/>
                <w:szCs w:val="18"/>
              </w:rPr>
              <w:t>2020</w:t>
            </w:r>
          </w:p>
        </w:tc>
        <w:tc>
          <w:tcPr>
            <w:tcW w:w="273" w:type="dxa"/>
            <w:tcBorders>
              <w:top w:val="nil"/>
              <w:left w:val="nil"/>
              <w:bottom w:val="nil"/>
              <w:right w:val="nil"/>
            </w:tcBorders>
            <w:shd w:val="clear" w:color="000000" w:fill="D9D9D9"/>
            <w:noWrap/>
            <w:vAlign w:val="bottom"/>
            <w:hideMark/>
          </w:tcPr>
          <w:p w14:paraId="5F12CA73" w14:textId="77777777" w:rsidR="00AB6753" w:rsidRDefault="00AB6753" w:rsidP="002D1EA4">
            <w:pPr>
              <w:spacing w:after="0"/>
              <w:rPr>
                <w:rFonts w:cs="Arial"/>
                <w:sz w:val="18"/>
                <w:szCs w:val="18"/>
              </w:rPr>
            </w:pPr>
            <w:r>
              <w:rPr>
                <w:rFonts w:cs="Arial"/>
                <w:sz w:val="18"/>
                <w:szCs w:val="18"/>
              </w:rPr>
              <w:t> </w:t>
            </w:r>
          </w:p>
        </w:tc>
        <w:tc>
          <w:tcPr>
            <w:tcW w:w="1373" w:type="dxa"/>
            <w:tcBorders>
              <w:top w:val="nil"/>
              <w:left w:val="nil"/>
              <w:bottom w:val="single" w:sz="4" w:space="0" w:color="D9D9D9"/>
              <w:right w:val="nil"/>
            </w:tcBorders>
            <w:shd w:val="clear" w:color="000000" w:fill="D9D9D9"/>
            <w:noWrap/>
            <w:vAlign w:val="bottom"/>
            <w:hideMark/>
          </w:tcPr>
          <w:p w14:paraId="6EED8D58" w14:textId="77777777" w:rsidR="00AB6753" w:rsidRDefault="00AB6753" w:rsidP="002D1EA4">
            <w:pPr>
              <w:spacing w:after="0"/>
              <w:jc w:val="right"/>
              <w:rPr>
                <w:rFonts w:cs="Arial"/>
                <w:sz w:val="18"/>
                <w:szCs w:val="18"/>
              </w:rPr>
            </w:pPr>
            <w:r>
              <w:rPr>
                <w:rFonts w:cs="Arial"/>
                <w:sz w:val="18"/>
                <w:szCs w:val="18"/>
              </w:rPr>
              <w:t>2019</w:t>
            </w:r>
          </w:p>
        </w:tc>
      </w:tr>
      <w:bookmarkEnd w:id="111"/>
      <w:tr w:rsidR="00AB6753" w14:paraId="6EF3AAA2" w14:textId="77777777" w:rsidTr="002D1EA4">
        <w:trPr>
          <w:trHeight w:val="255"/>
        </w:trPr>
        <w:tc>
          <w:tcPr>
            <w:tcW w:w="6566" w:type="dxa"/>
            <w:tcBorders>
              <w:top w:val="nil"/>
              <w:left w:val="nil"/>
              <w:bottom w:val="nil"/>
              <w:right w:val="nil"/>
            </w:tcBorders>
            <w:shd w:val="clear" w:color="000000" w:fill="D9D9D9"/>
            <w:noWrap/>
            <w:vAlign w:val="bottom"/>
            <w:hideMark/>
          </w:tcPr>
          <w:p w14:paraId="003D123A" w14:textId="77777777" w:rsidR="00AB6753" w:rsidRDefault="00AB6753" w:rsidP="002D1EA4">
            <w:pPr>
              <w:spacing w:after="0"/>
              <w:rPr>
                <w:rFonts w:cs="Arial"/>
                <w:sz w:val="18"/>
                <w:szCs w:val="18"/>
              </w:rPr>
            </w:pPr>
            <w:r>
              <w:rPr>
                <w:rFonts w:cs="Arial"/>
                <w:sz w:val="18"/>
                <w:szCs w:val="18"/>
              </w:rPr>
              <w:t> </w:t>
            </w:r>
          </w:p>
        </w:tc>
        <w:tc>
          <w:tcPr>
            <w:tcW w:w="1286" w:type="dxa"/>
            <w:tcBorders>
              <w:top w:val="nil"/>
              <w:left w:val="nil"/>
              <w:bottom w:val="single" w:sz="4" w:space="0" w:color="D9D9D9"/>
              <w:right w:val="nil"/>
            </w:tcBorders>
            <w:shd w:val="clear" w:color="000000" w:fill="D9D9D9"/>
            <w:noWrap/>
            <w:vAlign w:val="bottom"/>
            <w:hideMark/>
          </w:tcPr>
          <w:p w14:paraId="41F0DC7D" w14:textId="77777777" w:rsidR="00AB6753" w:rsidRDefault="00AB6753" w:rsidP="002D1EA4">
            <w:pPr>
              <w:spacing w:after="0"/>
              <w:jc w:val="right"/>
              <w:rPr>
                <w:rFonts w:cs="Arial"/>
                <w:b/>
                <w:bCs/>
                <w:sz w:val="18"/>
                <w:szCs w:val="18"/>
              </w:rPr>
            </w:pPr>
            <w:r>
              <w:rPr>
                <w:rFonts w:cs="Arial"/>
                <w:b/>
                <w:bCs/>
                <w:sz w:val="18"/>
                <w:szCs w:val="18"/>
              </w:rPr>
              <w:t>$'000</w:t>
            </w:r>
          </w:p>
        </w:tc>
        <w:tc>
          <w:tcPr>
            <w:tcW w:w="273" w:type="dxa"/>
            <w:tcBorders>
              <w:top w:val="nil"/>
              <w:left w:val="nil"/>
              <w:bottom w:val="nil"/>
              <w:right w:val="nil"/>
            </w:tcBorders>
            <w:shd w:val="clear" w:color="000000" w:fill="D9D9D9"/>
            <w:noWrap/>
            <w:vAlign w:val="bottom"/>
            <w:hideMark/>
          </w:tcPr>
          <w:p w14:paraId="504781B3" w14:textId="77777777" w:rsidR="00AB6753" w:rsidRDefault="00AB6753" w:rsidP="002D1EA4">
            <w:pPr>
              <w:spacing w:after="0"/>
              <w:rPr>
                <w:rFonts w:cs="Arial"/>
                <w:sz w:val="18"/>
                <w:szCs w:val="18"/>
              </w:rPr>
            </w:pPr>
            <w:r>
              <w:rPr>
                <w:rFonts w:cs="Arial"/>
                <w:sz w:val="18"/>
                <w:szCs w:val="18"/>
              </w:rPr>
              <w:t> </w:t>
            </w:r>
          </w:p>
        </w:tc>
        <w:tc>
          <w:tcPr>
            <w:tcW w:w="1373" w:type="dxa"/>
            <w:tcBorders>
              <w:top w:val="nil"/>
              <w:left w:val="nil"/>
              <w:bottom w:val="single" w:sz="4" w:space="0" w:color="D9D9D9"/>
              <w:right w:val="nil"/>
            </w:tcBorders>
            <w:shd w:val="clear" w:color="000000" w:fill="D9D9D9"/>
            <w:noWrap/>
            <w:vAlign w:val="bottom"/>
            <w:hideMark/>
          </w:tcPr>
          <w:p w14:paraId="62479388" w14:textId="77777777" w:rsidR="00AB6753" w:rsidRDefault="00AB6753" w:rsidP="002D1EA4">
            <w:pPr>
              <w:spacing w:after="0"/>
              <w:jc w:val="right"/>
              <w:rPr>
                <w:rFonts w:cs="Arial"/>
                <w:sz w:val="18"/>
                <w:szCs w:val="18"/>
              </w:rPr>
            </w:pPr>
            <w:r>
              <w:rPr>
                <w:rFonts w:cs="Arial"/>
                <w:sz w:val="18"/>
                <w:szCs w:val="18"/>
              </w:rPr>
              <w:t>$'000</w:t>
            </w:r>
          </w:p>
        </w:tc>
      </w:tr>
      <w:tr w:rsidR="00AB6753" w14:paraId="79375354" w14:textId="77777777" w:rsidTr="002D1EA4">
        <w:trPr>
          <w:trHeight w:val="255"/>
        </w:trPr>
        <w:tc>
          <w:tcPr>
            <w:tcW w:w="6566" w:type="dxa"/>
            <w:tcBorders>
              <w:top w:val="nil"/>
              <w:left w:val="nil"/>
              <w:bottom w:val="nil"/>
              <w:right w:val="nil"/>
            </w:tcBorders>
            <w:shd w:val="clear" w:color="000000" w:fill="D9D9D9"/>
            <w:vAlign w:val="bottom"/>
            <w:hideMark/>
          </w:tcPr>
          <w:p w14:paraId="14E60E14" w14:textId="77777777" w:rsidR="00AB6753" w:rsidRDefault="00AB6753" w:rsidP="002D1EA4">
            <w:pPr>
              <w:spacing w:after="0"/>
              <w:rPr>
                <w:rFonts w:cs="Arial"/>
                <w:b/>
                <w:bCs/>
                <w:sz w:val="18"/>
                <w:szCs w:val="18"/>
              </w:rPr>
            </w:pPr>
            <w:r>
              <w:rPr>
                <w:rFonts w:cs="Arial"/>
                <w:b/>
                <w:bCs/>
                <w:sz w:val="18"/>
                <w:szCs w:val="18"/>
              </w:rPr>
              <w:t>Revenue</w:t>
            </w:r>
          </w:p>
        </w:tc>
        <w:tc>
          <w:tcPr>
            <w:tcW w:w="1286" w:type="dxa"/>
            <w:tcBorders>
              <w:top w:val="nil"/>
              <w:left w:val="nil"/>
              <w:bottom w:val="nil"/>
              <w:right w:val="nil"/>
            </w:tcBorders>
            <w:shd w:val="clear" w:color="000000" w:fill="D9D9D9"/>
            <w:noWrap/>
            <w:vAlign w:val="bottom"/>
            <w:hideMark/>
          </w:tcPr>
          <w:p w14:paraId="58B6C73E" w14:textId="77777777" w:rsidR="00AB6753" w:rsidRDefault="00AB6753" w:rsidP="002D1EA4">
            <w:pPr>
              <w:spacing w:after="0"/>
              <w:jc w:val="right"/>
              <w:rPr>
                <w:rFonts w:cs="Arial"/>
                <w:b/>
                <w:bCs/>
                <w:sz w:val="18"/>
                <w:szCs w:val="18"/>
              </w:rPr>
            </w:pPr>
            <w:r>
              <w:rPr>
                <w:rFonts w:cs="Arial"/>
                <w:b/>
                <w:bCs/>
                <w:sz w:val="18"/>
                <w:szCs w:val="18"/>
              </w:rPr>
              <w:t> </w:t>
            </w:r>
          </w:p>
        </w:tc>
        <w:tc>
          <w:tcPr>
            <w:tcW w:w="273" w:type="dxa"/>
            <w:tcBorders>
              <w:top w:val="nil"/>
              <w:left w:val="nil"/>
              <w:bottom w:val="nil"/>
              <w:right w:val="nil"/>
            </w:tcBorders>
            <w:shd w:val="clear" w:color="000000" w:fill="D9D9D9"/>
            <w:noWrap/>
            <w:vAlign w:val="bottom"/>
            <w:hideMark/>
          </w:tcPr>
          <w:p w14:paraId="77067547"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4DCE2A3D" w14:textId="77777777" w:rsidR="00AB6753" w:rsidRDefault="00AB6753" w:rsidP="002D1EA4">
            <w:pPr>
              <w:spacing w:after="0"/>
              <w:jc w:val="right"/>
              <w:rPr>
                <w:rFonts w:cs="Arial"/>
                <w:sz w:val="18"/>
                <w:szCs w:val="18"/>
              </w:rPr>
            </w:pPr>
            <w:r>
              <w:rPr>
                <w:rFonts w:cs="Arial"/>
                <w:sz w:val="18"/>
                <w:szCs w:val="18"/>
              </w:rPr>
              <w:t> </w:t>
            </w:r>
          </w:p>
        </w:tc>
      </w:tr>
      <w:tr w:rsidR="00AB6753" w14:paraId="1F91A2F2" w14:textId="77777777" w:rsidTr="002D1EA4">
        <w:trPr>
          <w:trHeight w:val="240"/>
        </w:trPr>
        <w:tc>
          <w:tcPr>
            <w:tcW w:w="6566" w:type="dxa"/>
            <w:tcBorders>
              <w:top w:val="nil"/>
              <w:left w:val="nil"/>
              <w:bottom w:val="nil"/>
              <w:right w:val="nil"/>
            </w:tcBorders>
            <w:shd w:val="clear" w:color="000000" w:fill="D9D9D9"/>
            <w:noWrap/>
            <w:vAlign w:val="bottom"/>
            <w:hideMark/>
          </w:tcPr>
          <w:p w14:paraId="5A84B04E" w14:textId="77777777" w:rsidR="00AB6753" w:rsidRDefault="00AB6753" w:rsidP="002D1EA4">
            <w:pPr>
              <w:spacing w:after="0"/>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2F6C84AB" w14:textId="77777777" w:rsidR="00AB6753" w:rsidRDefault="00AB6753" w:rsidP="002D1EA4">
            <w:pPr>
              <w:spacing w:after="0"/>
              <w:jc w:val="right"/>
              <w:rPr>
                <w:rFonts w:cs="Arial"/>
                <w:b/>
                <w:bCs/>
                <w:sz w:val="18"/>
                <w:szCs w:val="18"/>
              </w:rPr>
            </w:pPr>
            <w:r>
              <w:rPr>
                <w:rFonts w:cs="Arial"/>
                <w:b/>
                <w:bCs/>
                <w:sz w:val="18"/>
                <w:szCs w:val="18"/>
              </w:rPr>
              <w:t> </w:t>
            </w:r>
          </w:p>
        </w:tc>
        <w:tc>
          <w:tcPr>
            <w:tcW w:w="273" w:type="dxa"/>
            <w:tcBorders>
              <w:top w:val="nil"/>
              <w:left w:val="nil"/>
              <w:bottom w:val="nil"/>
              <w:right w:val="nil"/>
            </w:tcBorders>
            <w:shd w:val="clear" w:color="000000" w:fill="D9D9D9"/>
            <w:noWrap/>
            <w:vAlign w:val="bottom"/>
            <w:hideMark/>
          </w:tcPr>
          <w:p w14:paraId="712A4FE9"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7F489BE5" w14:textId="77777777" w:rsidR="00AB6753" w:rsidRDefault="00AB6753" w:rsidP="002D1EA4">
            <w:pPr>
              <w:spacing w:after="0"/>
              <w:jc w:val="right"/>
              <w:rPr>
                <w:rFonts w:cs="Arial"/>
                <w:sz w:val="18"/>
                <w:szCs w:val="18"/>
              </w:rPr>
            </w:pPr>
            <w:r>
              <w:rPr>
                <w:rFonts w:cs="Arial"/>
                <w:sz w:val="18"/>
                <w:szCs w:val="18"/>
              </w:rPr>
              <w:t> </w:t>
            </w:r>
          </w:p>
        </w:tc>
      </w:tr>
      <w:tr w:rsidR="00AB6753" w14:paraId="56D63891" w14:textId="77777777" w:rsidTr="002D1EA4">
        <w:trPr>
          <w:trHeight w:val="240"/>
        </w:trPr>
        <w:tc>
          <w:tcPr>
            <w:tcW w:w="6566" w:type="dxa"/>
            <w:tcBorders>
              <w:top w:val="nil"/>
              <w:left w:val="nil"/>
              <w:bottom w:val="nil"/>
              <w:right w:val="nil"/>
            </w:tcBorders>
            <w:shd w:val="clear" w:color="000000" w:fill="D9D9D9"/>
            <w:vAlign w:val="bottom"/>
            <w:hideMark/>
          </w:tcPr>
          <w:p w14:paraId="3124D00B" w14:textId="77777777" w:rsidR="00AB6753" w:rsidRDefault="00AB6753" w:rsidP="002D1EA4">
            <w:pPr>
              <w:spacing w:after="0"/>
              <w:rPr>
                <w:rFonts w:cs="Arial"/>
                <w:b/>
                <w:bCs/>
                <w:sz w:val="18"/>
                <w:szCs w:val="18"/>
              </w:rPr>
            </w:pPr>
            <w:r>
              <w:rPr>
                <w:rFonts w:cs="Arial"/>
                <w:b/>
                <w:bCs/>
                <w:sz w:val="18"/>
                <w:szCs w:val="18"/>
              </w:rPr>
              <w:t>Non-Taxation Revenue</w:t>
            </w:r>
          </w:p>
        </w:tc>
        <w:tc>
          <w:tcPr>
            <w:tcW w:w="1286" w:type="dxa"/>
            <w:tcBorders>
              <w:top w:val="nil"/>
              <w:left w:val="nil"/>
              <w:bottom w:val="nil"/>
              <w:right w:val="nil"/>
            </w:tcBorders>
            <w:shd w:val="clear" w:color="000000" w:fill="D9D9D9"/>
            <w:noWrap/>
            <w:vAlign w:val="bottom"/>
            <w:hideMark/>
          </w:tcPr>
          <w:p w14:paraId="6C4DFD53" w14:textId="77777777" w:rsidR="00AB6753" w:rsidRDefault="00AB6753" w:rsidP="002D1EA4">
            <w:pPr>
              <w:spacing w:after="0"/>
              <w:jc w:val="right"/>
              <w:rPr>
                <w:rFonts w:cs="Arial"/>
                <w:b/>
                <w:bCs/>
                <w:sz w:val="18"/>
                <w:szCs w:val="18"/>
              </w:rPr>
            </w:pPr>
            <w:r>
              <w:rPr>
                <w:rFonts w:cs="Arial"/>
                <w:b/>
                <w:bCs/>
                <w:sz w:val="18"/>
                <w:szCs w:val="18"/>
              </w:rPr>
              <w:t> </w:t>
            </w:r>
          </w:p>
        </w:tc>
        <w:tc>
          <w:tcPr>
            <w:tcW w:w="273" w:type="dxa"/>
            <w:tcBorders>
              <w:top w:val="nil"/>
              <w:left w:val="nil"/>
              <w:bottom w:val="nil"/>
              <w:right w:val="nil"/>
            </w:tcBorders>
            <w:shd w:val="clear" w:color="000000" w:fill="D9D9D9"/>
            <w:noWrap/>
            <w:vAlign w:val="bottom"/>
            <w:hideMark/>
          </w:tcPr>
          <w:p w14:paraId="06FC565D"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1989CEFB" w14:textId="77777777" w:rsidR="00AB6753" w:rsidRDefault="00AB6753" w:rsidP="002D1EA4">
            <w:pPr>
              <w:spacing w:after="0"/>
              <w:jc w:val="right"/>
              <w:rPr>
                <w:rFonts w:cs="Arial"/>
                <w:sz w:val="18"/>
                <w:szCs w:val="18"/>
              </w:rPr>
            </w:pPr>
            <w:r>
              <w:rPr>
                <w:rFonts w:cs="Arial"/>
                <w:sz w:val="18"/>
                <w:szCs w:val="18"/>
              </w:rPr>
              <w:t> </w:t>
            </w:r>
          </w:p>
        </w:tc>
      </w:tr>
      <w:tr w:rsidR="00AB6753" w14:paraId="4D58521A" w14:textId="77777777" w:rsidTr="002D1EA4">
        <w:trPr>
          <w:trHeight w:val="240"/>
        </w:trPr>
        <w:tc>
          <w:tcPr>
            <w:tcW w:w="6566" w:type="dxa"/>
            <w:tcBorders>
              <w:top w:val="nil"/>
              <w:left w:val="nil"/>
              <w:bottom w:val="nil"/>
              <w:right w:val="nil"/>
            </w:tcBorders>
            <w:shd w:val="clear" w:color="000000" w:fill="D9D9D9"/>
            <w:noWrap/>
            <w:vAlign w:val="bottom"/>
            <w:hideMark/>
          </w:tcPr>
          <w:p w14:paraId="7344F428" w14:textId="77777777" w:rsidR="00AB6753" w:rsidRDefault="00AB6753" w:rsidP="002D1EA4">
            <w:pPr>
              <w:spacing w:after="0"/>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3757886F" w14:textId="77777777" w:rsidR="00AB6753" w:rsidRDefault="00AB6753" w:rsidP="002D1EA4">
            <w:pPr>
              <w:spacing w:after="0"/>
              <w:jc w:val="right"/>
              <w:rPr>
                <w:rFonts w:cs="Arial"/>
                <w:b/>
                <w:bCs/>
                <w:sz w:val="18"/>
                <w:szCs w:val="18"/>
              </w:rPr>
            </w:pPr>
            <w:r>
              <w:rPr>
                <w:rFonts w:cs="Arial"/>
                <w:b/>
                <w:bCs/>
                <w:sz w:val="18"/>
                <w:szCs w:val="18"/>
              </w:rPr>
              <w:t> </w:t>
            </w:r>
          </w:p>
        </w:tc>
        <w:tc>
          <w:tcPr>
            <w:tcW w:w="273" w:type="dxa"/>
            <w:tcBorders>
              <w:top w:val="nil"/>
              <w:left w:val="nil"/>
              <w:bottom w:val="nil"/>
              <w:right w:val="nil"/>
            </w:tcBorders>
            <w:shd w:val="clear" w:color="000000" w:fill="D9D9D9"/>
            <w:noWrap/>
            <w:vAlign w:val="bottom"/>
            <w:hideMark/>
          </w:tcPr>
          <w:p w14:paraId="3419E55D"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6080EEDC" w14:textId="77777777" w:rsidR="00AB6753" w:rsidRDefault="00AB6753" w:rsidP="002D1EA4">
            <w:pPr>
              <w:spacing w:after="0"/>
              <w:jc w:val="right"/>
              <w:rPr>
                <w:rFonts w:cs="Arial"/>
                <w:sz w:val="18"/>
                <w:szCs w:val="18"/>
              </w:rPr>
            </w:pPr>
            <w:r>
              <w:rPr>
                <w:rFonts w:cs="Arial"/>
                <w:sz w:val="18"/>
                <w:szCs w:val="18"/>
              </w:rPr>
              <w:t> </w:t>
            </w:r>
          </w:p>
        </w:tc>
      </w:tr>
      <w:tr w:rsidR="00AB6753" w14:paraId="1D73A9A0" w14:textId="77777777" w:rsidTr="002D1EA4">
        <w:trPr>
          <w:trHeight w:val="255"/>
        </w:trPr>
        <w:tc>
          <w:tcPr>
            <w:tcW w:w="6566" w:type="dxa"/>
            <w:tcBorders>
              <w:top w:val="nil"/>
              <w:left w:val="nil"/>
              <w:bottom w:val="nil"/>
              <w:right w:val="nil"/>
            </w:tcBorders>
            <w:shd w:val="clear" w:color="000000" w:fill="D9D9D9"/>
            <w:noWrap/>
            <w:hideMark/>
          </w:tcPr>
          <w:p w14:paraId="505283AA" w14:textId="77777777" w:rsidR="00AB6753" w:rsidRDefault="00AB6753" w:rsidP="002D1EA4">
            <w:pPr>
              <w:spacing w:after="0"/>
              <w:rPr>
                <w:rFonts w:cs="Arial"/>
                <w:b/>
                <w:bCs/>
                <w:sz w:val="18"/>
                <w:szCs w:val="18"/>
                <w:u w:val="single"/>
              </w:rPr>
            </w:pPr>
            <w:r>
              <w:rPr>
                <w:rFonts w:cs="Arial"/>
                <w:b/>
                <w:bCs/>
                <w:sz w:val="18"/>
                <w:szCs w:val="18"/>
                <w:u w:val="single"/>
              </w:rPr>
              <w:t>Note 2.2A: Recoveries</w:t>
            </w:r>
          </w:p>
        </w:tc>
        <w:tc>
          <w:tcPr>
            <w:tcW w:w="1286" w:type="dxa"/>
            <w:tcBorders>
              <w:top w:val="nil"/>
              <w:left w:val="nil"/>
              <w:bottom w:val="nil"/>
              <w:right w:val="nil"/>
            </w:tcBorders>
            <w:shd w:val="clear" w:color="000000" w:fill="D9D9D9"/>
            <w:noWrap/>
            <w:vAlign w:val="bottom"/>
            <w:hideMark/>
          </w:tcPr>
          <w:p w14:paraId="0891F0E5" w14:textId="77777777" w:rsidR="00AB6753" w:rsidRDefault="00AB6753" w:rsidP="002D1EA4">
            <w:pPr>
              <w:spacing w:after="0"/>
              <w:rPr>
                <w:rFonts w:cs="Arial"/>
                <w:sz w:val="16"/>
                <w:szCs w:val="16"/>
              </w:rPr>
            </w:pPr>
            <w:r>
              <w:rPr>
                <w:rFonts w:cs="Arial"/>
                <w:sz w:val="16"/>
                <w:szCs w:val="16"/>
              </w:rPr>
              <w:t> </w:t>
            </w:r>
          </w:p>
        </w:tc>
        <w:tc>
          <w:tcPr>
            <w:tcW w:w="273" w:type="dxa"/>
            <w:tcBorders>
              <w:top w:val="nil"/>
              <w:left w:val="nil"/>
              <w:bottom w:val="nil"/>
              <w:right w:val="nil"/>
            </w:tcBorders>
            <w:shd w:val="clear" w:color="000000" w:fill="D9D9D9"/>
            <w:noWrap/>
            <w:vAlign w:val="bottom"/>
            <w:hideMark/>
          </w:tcPr>
          <w:p w14:paraId="61D33664"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7EDA72D1" w14:textId="77777777" w:rsidR="00AB6753" w:rsidRDefault="00AB6753" w:rsidP="002D1EA4">
            <w:pPr>
              <w:spacing w:after="0"/>
              <w:rPr>
                <w:rFonts w:cs="Arial"/>
                <w:sz w:val="16"/>
                <w:szCs w:val="16"/>
              </w:rPr>
            </w:pPr>
            <w:r>
              <w:rPr>
                <w:rFonts w:cs="Arial"/>
                <w:sz w:val="16"/>
                <w:szCs w:val="16"/>
              </w:rPr>
              <w:t> </w:t>
            </w:r>
          </w:p>
        </w:tc>
      </w:tr>
      <w:tr w:rsidR="00AB6753" w14:paraId="60F9B872" w14:textId="77777777" w:rsidTr="002D1EA4">
        <w:trPr>
          <w:trHeight w:val="255"/>
        </w:trPr>
        <w:tc>
          <w:tcPr>
            <w:tcW w:w="6566" w:type="dxa"/>
            <w:tcBorders>
              <w:top w:val="nil"/>
              <w:left w:val="nil"/>
              <w:bottom w:val="single" w:sz="4" w:space="0" w:color="D9D9D9"/>
              <w:right w:val="nil"/>
            </w:tcBorders>
            <w:shd w:val="clear" w:color="000000" w:fill="D9D9D9"/>
            <w:vAlign w:val="bottom"/>
            <w:hideMark/>
          </w:tcPr>
          <w:p w14:paraId="793F0F9A" w14:textId="77777777" w:rsidR="00AB6753" w:rsidRDefault="00AB6753" w:rsidP="002D1EA4">
            <w:pPr>
              <w:spacing w:after="0"/>
              <w:rPr>
                <w:rFonts w:cs="Arial"/>
                <w:sz w:val="18"/>
                <w:szCs w:val="18"/>
              </w:rPr>
            </w:pPr>
            <w:r>
              <w:rPr>
                <w:rFonts w:cs="Arial"/>
                <w:sz w:val="18"/>
                <w:szCs w:val="18"/>
              </w:rPr>
              <w:t>National Redress Scheme</w:t>
            </w:r>
          </w:p>
        </w:tc>
        <w:tc>
          <w:tcPr>
            <w:tcW w:w="1286" w:type="dxa"/>
            <w:tcBorders>
              <w:top w:val="nil"/>
              <w:left w:val="nil"/>
              <w:bottom w:val="nil"/>
              <w:right w:val="nil"/>
            </w:tcBorders>
            <w:shd w:val="clear" w:color="000000" w:fill="D9D9D9"/>
            <w:noWrap/>
            <w:vAlign w:val="bottom"/>
            <w:hideMark/>
          </w:tcPr>
          <w:p w14:paraId="034674CB" w14:textId="77777777" w:rsidR="00AB6753" w:rsidRDefault="00AB6753" w:rsidP="002D1EA4">
            <w:pPr>
              <w:spacing w:after="0"/>
              <w:jc w:val="right"/>
              <w:rPr>
                <w:rFonts w:cs="Arial"/>
                <w:b/>
                <w:bCs/>
                <w:sz w:val="18"/>
                <w:szCs w:val="18"/>
              </w:rPr>
            </w:pPr>
            <w:r>
              <w:rPr>
                <w:rFonts w:cs="Arial"/>
                <w:b/>
                <w:bCs/>
                <w:sz w:val="18"/>
                <w:szCs w:val="18"/>
              </w:rPr>
              <w:t>197,597</w:t>
            </w:r>
          </w:p>
        </w:tc>
        <w:tc>
          <w:tcPr>
            <w:tcW w:w="273" w:type="dxa"/>
            <w:tcBorders>
              <w:top w:val="nil"/>
              <w:left w:val="nil"/>
              <w:bottom w:val="single" w:sz="4" w:space="0" w:color="D9D9D9"/>
              <w:right w:val="nil"/>
            </w:tcBorders>
            <w:shd w:val="clear" w:color="000000" w:fill="D9D9D9"/>
            <w:noWrap/>
            <w:vAlign w:val="bottom"/>
            <w:hideMark/>
          </w:tcPr>
          <w:p w14:paraId="40FB4E50"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03F8203F" w14:textId="77777777" w:rsidR="00AB6753" w:rsidRDefault="00AB6753" w:rsidP="002D1EA4">
            <w:pPr>
              <w:spacing w:after="0"/>
              <w:jc w:val="right"/>
              <w:rPr>
                <w:rFonts w:cs="Arial"/>
                <w:sz w:val="18"/>
                <w:szCs w:val="18"/>
              </w:rPr>
            </w:pPr>
            <w:r>
              <w:rPr>
                <w:rFonts w:cs="Arial"/>
                <w:sz w:val="18"/>
                <w:szCs w:val="18"/>
              </w:rPr>
              <w:t>-</w:t>
            </w:r>
          </w:p>
        </w:tc>
      </w:tr>
      <w:tr w:rsidR="00AB6753" w14:paraId="2D7D7CFB" w14:textId="77777777" w:rsidTr="002D1EA4">
        <w:trPr>
          <w:trHeight w:val="255"/>
        </w:trPr>
        <w:tc>
          <w:tcPr>
            <w:tcW w:w="6566" w:type="dxa"/>
            <w:tcBorders>
              <w:top w:val="nil"/>
              <w:left w:val="nil"/>
              <w:bottom w:val="single" w:sz="4" w:space="0" w:color="D9D9D9"/>
              <w:right w:val="nil"/>
            </w:tcBorders>
            <w:shd w:val="clear" w:color="000000" w:fill="D9D9D9"/>
            <w:vAlign w:val="bottom"/>
            <w:hideMark/>
          </w:tcPr>
          <w:p w14:paraId="6725EA05" w14:textId="77777777" w:rsidR="00AB6753" w:rsidRDefault="00AB6753" w:rsidP="002D1EA4">
            <w:pPr>
              <w:spacing w:after="0"/>
              <w:rPr>
                <w:rFonts w:cs="Arial"/>
                <w:sz w:val="18"/>
                <w:szCs w:val="18"/>
              </w:rPr>
            </w:pPr>
            <w:r>
              <w:rPr>
                <w:rFonts w:cs="Arial"/>
                <w:sz w:val="18"/>
                <w:szCs w:val="18"/>
              </w:rPr>
              <w:t>Personal benefits recoveries</w:t>
            </w:r>
          </w:p>
        </w:tc>
        <w:tc>
          <w:tcPr>
            <w:tcW w:w="1286" w:type="dxa"/>
            <w:tcBorders>
              <w:top w:val="nil"/>
              <w:left w:val="nil"/>
              <w:bottom w:val="nil"/>
              <w:right w:val="nil"/>
            </w:tcBorders>
            <w:shd w:val="clear" w:color="000000" w:fill="D9D9D9"/>
            <w:noWrap/>
            <w:vAlign w:val="bottom"/>
            <w:hideMark/>
          </w:tcPr>
          <w:p w14:paraId="348F9E47" w14:textId="77777777" w:rsidR="00AB6753" w:rsidRDefault="00AB6753" w:rsidP="002D1EA4">
            <w:pPr>
              <w:spacing w:after="0"/>
              <w:jc w:val="right"/>
              <w:rPr>
                <w:rFonts w:cs="Arial"/>
                <w:b/>
                <w:bCs/>
                <w:sz w:val="18"/>
                <w:szCs w:val="18"/>
              </w:rPr>
            </w:pPr>
            <w:r>
              <w:rPr>
                <w:rFonts w:cs="Arial"/>
                <w:b/>
                <w:bCs/>
                <w:sz w:val="18"/>
                <w:szCs w:val="18"/>
              </w:rPr>
              <w:t>8,789</w:t>
            </w:r>
          </w:p>
        </w:tc>
        <w:tc>
          <w:tcPr>
            <w:tcW w:w="273" w:type="dxa"/>
            <w:tcBorders>
              <w:top w:val="nil"/>
              <w:left w:val="nil"/>
              <w:bottom w:val="single" w:sz="4" w:space="0" w:color="D9D9D9"/>
              <w:right w:val="nil"/>
            </w:tcBorders>
            <w:shd w:val="clear" w:color="000000" w:fill="D9D9D9"/>
            <w:noWrap/>
            <w:vAlign w:val="bottom"/>
            <w:hideMark/>
          </w:tcPr>
          <w:p w14:paraId="04B7E92E"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1E7945F5" w14:textId="77777777" w:rsidR="00AB6753" w:rsidRDefault="00AB6753" w:rsidP="002D1EA4">
            <w:pPr>
              <w:spacing w:after="0"/>
              <w:jc w:val="right"/>
              <w:rPr>
                <w:rFonts w:cs="Arial"/>
                <w:sz w:val="18"/>
                <w:szCs w:val="18"/>
              </w:rPr>
            </w:pPr>
            <w:r>
              <w:rPr>
                <w:rFonts w:cs="Arial"/>
                <w:sz w:val="18"/>
                <w:szCs w:val="18"/>
              </w:rPr>
              <w:t>37,744</w:t>
            </w:r>
          </w:p>
        </w:tc>
      </w:tr>
      <w:tr w:rsidR="00AB6753" w14:paraId="71CCD400" w14:textId="77777777" w:rsidTr="002D1EA4">
        <w:trPr>
          <w:trHeight w:val="255"/>
        </w:trPr>
        <w:tc>
          <w:tcPr>
            <w:tcW w:w="6566" w:type="dxa"/>
            <w:tcBorders>
              <w:top w:val="nil"/>
              <w:left w:val="nil"/>
              <w:bottom w:val="single" w:sz="4" w:space="0" w:color="D9D9D9"/>
              <w:right w:val="nil"/>
            </w:tcBorders>
            <w:shd w:val="clear" w:color="000000" w:fill="D9D9D9"/>
            <w:vAlign w:val="bottom"/>
            <w:hideMark/>
          </w:tcPr>
          <w:p w14:paraId="42306CC5" w14:textId="77777777" w:rsidR="00AB6753" w:rsidRDefault="00AB6753" w:rsidP="002D1EA4">
            <w:pPr>
              <w:spacing w:after="0"/>
              <w:rPr>
                <w:rFonts w:cs="Arial"/>
                <w:sz w:val="18"/>
                <w:szCs w:val="18"/>
              </w:rPr>
            </w:pPr>
            <w:r>
              <w:rPr>
                <w:rFonts w:cs="Arial"/>
                <w:sz w:val="18"/>
                <w:szCs w:val="18"/>
              </w:rPr>
              <w:t>Other</w:t>
            </w:r>
          </w:p>
        </w:tc>
        <w:tc>
          <w:tcPr>
            <w:tcW w:w="1286" w:type="dxa"/>
            <w:tcBorders>
              <w:top w:val="nil"/>
              <w:left w:val="nil"/>
              <w:bottom w:val="nil"/>
              <w:right w:val="nil"/>
            </w:tcBorders>
            <w:shd w:val="clear" w:color="000000" w:fill="D9D9D9"/>
            <w:noWrap/>
            <w:vAlign w:val="bottom"/>
            <w:hideMark/>
          </w:tcPr>
          <w:p w14:paraId="56C99543" w14:textId="77777777" w:rsidR="00AB6753" w:rsidRDefault="00AB6753" w:rsidP="002D1EA4">
            <w:pPr>
              <w:spacing w:after="0"/>
              <w:jc w:val="right"/>
              <w:rPr>
                <w:rFonts w:cs="Arial"/>
                <w:b/>
                <w:bCs/>
                <w:sz w:val="18"/>
                <w:szCs w:val="18"/>
              </w:rPr>
            </w:pPr>
            <w:r>
              <w:rPr>
                <w:rFonts w:cs="Arial"/>
                <w:b/>
                <w:bCs/>
                <w:sz w:val="18"/>
                <w:szCs w:val="18"/>
              </w:rPr>
              <w:t>20,022</w:t>
            </w:r>
          </w:p>
        </w:tc>
        <w:tc>
          <w:tcPr>
            <w:tcW w:w="273" w:type="dxa"/>
            <w:tcBorders>
              <w:top w:val="nil"/>
              <w:left w:val="nil"/>
              <w:bottom w:val="single" w:sz="4" w:space="0" w:color="D9D9D9"/>
              <w:right w:val="nil"/>
            </w:tcBorders>
            <w:shd w:val="clear" w:color="000000" w:fill="D9D9D9"/>
            <w:noWrap/>
            <w:vAlign w:val="bottom"/>
            <w:hideMark/>
          </w:tcPr>
          <w:p w14:paraId="0E700110"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79E56E7E" w14:textId="77777777" w:rsidR="00AB6753" w:rsidRDefault="00AB6753" w:rsidP="002D1EA4">
            <w:pPr>
              <w:spacing w:after="0"/>
              <w:jc w:val="right"/>
              <w:rPr>
                <w:rFonts w:cs="Arial"/>
                <w:sz w:val="18"/>
                <w:szCs w:val="18"/>
              </w:rPr>
            </w:pPr>
            <w:r>
              <w:rPr>
                <w:rFonts w:cs="Arial"/>
                <w:sz w:val="18"/>
                <w:szCs w:val="18"/>
              </w:rPr>
              <w:t>16,451</w:t>
            </w:r>
          </w:p>
        </w:tc>
      </w:tr>
      <w:tr w:rsidR="00AB6753" w14:paraId="7FE9A459" w14:textId="77777777" w:rsidTr="002D1EA4">
        <w:trPr>
          <w:trHeight w:val="255"/>
        </w:trPr>
        <w:tc>
          <w:tcPr>
            <w:tcW w:w="6566" w:type="dxa"/>
            <w:tcBorders>
              <w:top w:val="nil"/>
              <w:left w:val="nil"/>
              <w:bottom w:val="single" w:sz="4" w:space="0" w:color="D9D9D9"/>
              <w:right w:val="nil"/>
            </w:tcBorders>
            <w:shd w:val="clear" w:color="000000" w:fill="D9D9D9"/>
            <w:vAlign w:val="bottom"/>
            <w:hideMark/>
          </w:tcPr>
          <w:p w14:paraId="59EE0A7F" w14:textId="77777777" w:rsidR="00AB6753" w:rsidRDefault="00AB6753" w:rsidP="002D1EA4">
            <w:pPr>
              <w:spacing w:after="0"/>
              <w:rPr>
                <w:rFonts w:cs="Arial"/>
                <w:b/>
                <w:bCs/>
                <w:sz w:val="18"/>
                <w:szCs w:val="18"/>
              </w:rPr>
            </w:pPr>
            <w:r>
              <w:rPr>
                <w:rFonts w:cs="Arial"/>
                <w:b/>
                <w:bCs/>
                <w:sz w:val="18"/>
                <w:szCs w:val="18"/>
              </w:rPr>
              <w:t>Total recoveries</w:t>
            </w:r>
          </w:p>
        </w:tc>
        <w:tc>
          <w:tcPr>
            <w:tcW w:w="1286" w:type="dxa"/>
            <w:tcBorders>
              <w:top w:val="single" w:sz="4" w:space="0" w:color="auto"/>
              <w:left w:val="nil"/>
              <w:bottom w:val="single" w:sz="4" w:space="0" w:color="auto"/>
              <w:right w:val="nil"/>
            </w:tcBorders>
            <w:shd w:val="clear" w:color="000000" w:fill="D9D9D9"/>
            <w:noWrap/>
            <w:vAlign w:val="bottom"/>
            <w:hideMark/>
          </w:tcPr>
          <w:p w14:paraId="1C1585C7" w14:textId="77777777" w:rsidR="00AB6753" w:rsidRDefault="00AB6753" w:rsidP="002D1EA4">
            <w:pPr>
              <w:spacing w:after="0"/>
              <w:jc w:val="right"/>
              <w:rPr>
                <w:rFonts w:cs="Arial"/>
                <w:b/>
                <w:bCs/>
                <w:sz w:val="18"/>
                <w:szCs w:val="18"/>
              </w:rPr>
            </w:pPr>
            <w:r>
              <w:rPr>
                <w:rFonts w:cs="Arial"/>
                <w:b/>
                <w:bCs/>
                <w:sz w:val="18"/>
                <w:szCs w:val="18"/>
              </w:rPr>
              <w:t>226,408</w:t>
            </w:r>
          </w:p>
        </w:tc>
        <w:tc>
          <w:tcPr>
            <w:tcW w:w="273" w:type="dxa"/>
            <w:tcBorders>
              <w:top w:val="nil"/>
              <w:left w:val="nil"/>
              <w:bottom w:val="single" w:sz="4" w:space="0" w:color="D9D9D9"/>
              <w:right w:val="nil"/>
            </w:tcBorders>
            <w:shd w:val="clear" w:color="000000" w:fill="D9D9D9"/>
            <w:noWrap/>
            <w:vAlign w:val="bottom"/>
            <w:hideMark/>
          </w:tcPr>
          <w:p w14:paraId="00B9DC64" w14:textId="77777777" w:rsidR="00AB6753" w:rsidRDefault="00AB6753" w:rsidP="002D1EA4">
            <w:pPr>
              <w:spacing w:after="0"/>
              <w:rPr>
                <w:rFonts w:cs="Arial"/>
                <w:sz w:val="16"/>
                <w:szCs w:val="16"/>
              </w:rPr>
            </w:pPr>
            <w:r>
              <w:rPr>
                <w:rFonts w:cs="Arial"/>
                <w:sz w:val="16"/>
                <w:szCs w:val="16"/>
              </w:rPr>
              <w:t> </w:t>
            </w:r>
          </w:p>
        </w:tc>
        <w:tc>
          <w:tcPr>
            <w:tcW w:w="1373" w:type="dxa"/>
            <w:tcBorders>
              <w:top w:val="single" w:sz="4" w:space="0" w:color="auto"/>
              <w:left w:val="nil"/>
              <w:bottom w:val="single" w:sz="4" w:space="0" w:color="auto"/>
              <w:right w:val="nil"/>
            </w:tcBorders>
            <w:shd w:val="clear" w:color="000000" w:fill="D9D9D9"/>
            <w:noWrap/>
            <w:vAlign w:val="bottom"/>
            <w:hideMark/>
          </w:tcPr>
          <w:p w14:paraId="7548AB89" w14:textId="77777777" w:rsidR="00AB6753" w:rsidRDefault="00AB6753" w:rsidP="002D1EA4">
            <w:pPr>
              <w:spacing w:after="0"/>
              <w:jc w:val="right"/>
              <w:rPr>
                <w:rFonts w:cs="Arial"/>
                <w:sz w:val="18"/>
                <w:szCs w:val="18"/>
              </w:rPr>
            </w:pPr>
            <w:r>
              <w:rPr>
                <w:rFonts w:cs="Arial"/>
                <w:sz w:val="18"/>
                <w:szCs w:val="18"/>
              </w:rPr>
              <w:t>54,195</w:t>
            </w:r>
          </w:p>
        </w:tc>
      </w:tr>
    </w:tbl>
    <w:p w14:paraId="4152E032" w14:textId="77777777" w:rsidR="00AB6753" w:rsidRDefault="00AB6753" w:rsidP="00AB6753">
      <w:pPr>
        <w:pStyle w:val="GreyShadeTableBreak"/>
        <w:ind w:right="0"/>
      </w:pPr>
    </w:p>
    <w:tbl>
      <w:tblPr>
        <w:tblW w:w="9498" w:type="dxa"/>
        <w:tblLayout w:type="fixed"/>
        <w:tblLook w:val="04A0" w:firstRow="1" w:lastRow="0" w:firstColumn="1" w:lastColumn="0" w:noHBand="0" w:noVBand="1"/>
      </w:tblPr>
      <w:tblGrid>
        <w:gridCol w:w="6566"/>
        <w:gridCol w:w="1286"/>
        <w:gridCol w:w="273"/>
        <w:gridCol w:w="1373"/>
      </w:tblGrid>
      <w:tr w:rsidR="00AB6753" w14:paraId="6CFA781D" w14:textId="77777777" w:rsidTr="002D1EA4">
        <w:trPr>
          <w:trHeight w:val="240"/>
        </w:trPr>
        <w:tc>
          <w:tcPr>
            <w:tcW w:w="6566" w:type="dxa"/>
            <w:tcBorders>
              <w:top w:val="nil"/>
              <w:left w:val="nil"/>
              <w:bottom w:val="nil"/>
              <w:right w:val="nil"/>
            </w:tcBorders>
            <w:shd w:val="clear" w:color="000000" w:fill="D9D9D9"/>
            <w:vAlign w:val="bottom"/>
            <w:hideMark/>
          </w:tcPr>
          <w:p w14:paraId="236FAD5E" w14:textId="77777777" w:rsidR="00AB6753" w:rsidRDefault="00AB6753" w:rsidP="002D1EA4">
            <w:pPr>
              <w:spacing w:after="0"/>
              <w:rPr>
                <w:rFonts w:cs="Arial"/>
                <w:b/>
                <w:bCs/>
                <w:sz w:val="18"/>
                <w:szCs w:val="18"/>
              </w:rPr>
            </w:pPr>
            <w:bookmarkStart w:id="112" w:name="Note_AWPTABLE1" w:colFirst="0" w:colLast="0"/>
            <w:r>
              <w:rPr>
                <w:rFonts w:cs="Arial"/>
                <w:b/>
                <w:bCs/>
                <w:sz w:val="18"/>
                <w:szCs w:val="18"/>
              </w:rPr>
              <w:t>Gains</w:t>
            </w:r>
          </w:p>
        </w:tc>
        <w:tc>
          <w:tcPr>
            <w:tcW w:w="1286" w:type="dxa"/>
            <w:tcBorders>
              <w:top w:val="nil"/>
              <w:left w:val="nil"/>
              <w:bottom w:val="nil"/>
              <w:right w:val="nil"/>
            </w:tcBorders>
            <w:shd w:val="clear" w:color="000000" w:fill="D9D9D9"/>
            <w:noWrap/>
            <w:vAlign w:val="bottom"/>
            <w:hideMark/>
          </w:tcPr>
          <w:p w14:paraId="0E5AA267" w14:textId="77777777" w:rsidR="00AB6753" w:rsidRDefault="00AB6753" w:rsidP="002D1EA4">
            <w:pPr>
              <w:spacing w:after="0"/>
              <w:jc w:val="right"/>
              <w:rPr>
                <w:rFonts w:cs="Arial"/>
                <w:b/>
                <w:bCs/>
                <w:sz w:val="18"/>
                <w:szCs w:val="18"/>
              </w:rPr>
            </w:pPr>
            <w:r>
              <w:rPr>
                <w:rFonts w:cs="Arial"/>
                <w:b/>
                <w:bCs/>
                <w:sz w:val="18"/>
                <w:szCs w:val="18"/>
              </w:rPr>
              <w:t> </w:t>
            </w:r>
          </w:p>
        </w:tc>
        <w:tc>
          <w:tcPr>
            <w:tcW w:w="273" w:type="dxa"/>
            <w:tcBorders>
              <w:top w:val="nil"/>
              <w:left w:val="nil"/>
              <w:bottom w:val="nil"/>
              <w:right w:val="nil"/>
            </w:tcBorders>
            <w:shd w:val="clear" w:color="000000" w:fill="D9D9D9"/>
            <w:noWrap/>
            <w:vAlign w:val="bottom"/>
            <w:hideMark/>
          </w:tcPr>
          <w:p w14:paraId="4615062F"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2F9B1ED4" w14:textId="77777777" w:rsidR="00AB6753" w:rsidRDefault="00AB6753" w:rsidP="002D1EA4">
            <w:pPr>
              <w:spacing w:after="0"/>
              <w:jc w:val="right"/>
              <w:rPr>
                <w:rFonts w:cs="Arial"/>
                <w:sz w:val="18"/>
                <w:szCs w:val="18"/>
              </w:rPr>
            </w:pPr>
            <w:r>
              <w:rPr>
                <w:rFonts w:cs="Arial"/>
                <w:sz w:val="18"/>
                <w:szCs w:val="18"/>
              </w:rPr>
              <w:t> </w:t>
            </w:r>
          </w:p>
        </w:tc>
      </w:tr>
      <w:bookmarkEnd w:id="112"/>
      <w:tr w:rsidR="00AB6753" w14:paraId="0ECB59A9" w14:textId="77777777" w:rsidTr="002D1EA4">
        <w:trPr>
          <w:trHeight w:val="240"/>
        </w:trPr>
        <w:tc>
          <w:tcPr>
            <w:tcW w:w="6566" w:type="dxa"/>
            <w:tcBorders>
              <w:top w:val="nil"/>
              <w:left w:val="nil"/>
              <w:bottom w:val="nil"/>
              <w:right w:val="nil"/>
            </w:tcBorders>
            <w:shd w:val="clear" w:color="000000" w:fill="D9D9D9"/>
            <w:vAlign w:val="bottom"/>
            <w:hideMark/>
          </w:tcPr>
          <w:p w14:paraId="5FDEED37" w14:textId="77777777" w:rsidR="00AB6753" w:rsidRDefault="00AB6753" w:rsidP="002D1EA4">
            <w:pPr>
              <w:spacing w:after="0"/>
              <w:rPr>
                <w:rFonts w:cs="Arial"/>
                <w:b/>
                <w:bCs/>
                <w:sz w:val="18"/>
                <w:szCs w:val="18"/>
              </w:rPr>
            </w:pPr>
            <w:r>
              <w:rPr>
                <w:rFonts w:cs="Arial"/>
                <w:b/>
                <w:bCs/>
                <w:sz w:val="18"/>
                <w:szCs w:val="18"/>
              </w:rPr>
              <w:t> </w:t>
            </w:r>
          </w:p>
        </w:tc>
        <w:tc>
          <w:tcPr>
            <w:tcW w:w="1286" w:type="dxa"/>
            <w:tcBorders>
              <w:top w:val="nil"/>
              <w:left w:val="nil"/>
              <w:bottom w:val="nil"/>
              <w:right w:val="nil"/>
            </w:tcBorders>
            <w:shd w:val="clear" w:color="000000" w:fill="D9D9D9"/>
            <w:noWrap/>
            <w:vAlign w:val="bottom"/>
            <w:hideMark/>
          </w:tcPr>
          <w:p w14:paraId="063F3A6A" w14:textId="77777777" w:rsidR="00AB6753" w:rsidRDefault="00AB6753" w:rsidP="002D1EA4">
            <w:pPr>
              <w:spacing w:after="0"/>
              <w:jc w:val="right"/>
              <w:rPr>
                <w:rFonts w:cs="Arial"/>
                <w:b/>
                <w:bCs/>
                <w:sz w:val="18"/>
                <w:szCs w:val="18"/>
              </w:rPr>
            </w:pPr>
            <w:r>
              <w:rPr>
                <w:rFonts w:cs="Arial"/>
                <w:b/>
                <w:bCs/>
                <w:sz w:val="18"/>
                <w:szCs w:val="18"/>
              </w:rPr>
              <w:t> </w:t>
            </w:r>
          </w:p>
        </w:tc>
        <w:tc>
          <w:tcPr>
            <w:tcW w:w="273" w:type="dxa"/>
            <w:tcBorders>
              <w:top w:val="nil"/>
              <w:left w:val="nil"/>
              <w:bottom w:val="nil"/>
              <w:right w:val="nil"/>
            </w:tcBorders>
            <w:shd w:val="clear" w:color="000000" w:fill="D9D9D9"/>
            <w:noWrap/>
            <w:vAlign w:val="bottom"/>
            <w:hideMark/>
          </w:tcPr>
          <w:p w14:paraId="42B0A968"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0E5FDDC4" w14:textId="77777777" w:rsidR="00AB6753" w:rsidRDefault="00AB6753" w:rsidP="002D1EA4">
            <w:pPr>
              <w:spacing w:after="0"/>
              <w:jc w:val="right"/>
              <w:rPr>
                <w:rFonts w:cs="Arial"/>
                <w:sz w:val="18"/>
                <w:szCs w:val="18"/>
              </w:rPr>
            </w:pPr>
            <w:r>
              <w:rPr>
                <w:rFonts w:cs="Arial"/>
                <w:sz w:val="18"/>
                <w:szCs w:val="18"/>
              </w:rPr>
              <w:t> </w:t>
            </w:r>
          </w:p>
        </w:tc>
      </w:tr>
      <w:tr w:rsidR="00AB6753" w14:paraId="426E8E9E" w14:textId="77777777" w:rsidTr="002D1EA4">
        <w:trPr>
          <w:trHeight w:val="240"/>
        </w:trPr>
        <w:tc>
          <w:tcPr>
            <w:tcW w:w="6566" w:type="dxa"/>
            <w:tcBorders>
              <w:top w:val="nil"/>
              <w:left w:val="nil"/>
              <w:bottom w:val="nil"/>
              <w:right w:val="nil"/>
            </w:tcBorders>
            <w:shd w:val="clear" w:color="000000" w:fill="D9D9D9"/>
            <w:noWrap/>
            <w:hideMark/>
          </w:tcPr>
          <w:p w14:paraId="2A3B5760" w14:textId="77777777" w:rsidR="00AB6753" w:rsidRDefault="00AB6753" w:rsidP="002D1EA4">
            <w:pPr>
              <w:spacing w:after="0"/>
              <w:rPr>
                <w:rFonts w:cs="Arial"/>
                <w:b/>
                <w:bCs/>
                <w:sz w:val="18"/>
                <w:szCs w:val="18"/>
                <w:u w:val="single"/>
              </w:rPr>
            </w:pPr>
            <w:r>
              <w:rPr>
                <w:rFonts w:cs="Arial"/>
                <w:b/>
                <w:bCs/>
                <w:sz w:val="18"/>
                <w:szCs w:val="18"/>
                <w:u w:val="single"/>
              </w:rPr>
              <w:t>Note 2.2B: Write Back of Impairment Allowance</w:t>
            </w:r>
          </w:p>
        </w:tc>
        <w:tc>
          <w:tcPr>
            <w:tcW w:w="1286" w:type="dxa"/>
            <w:tcBorders>
              <w:top w:val="nil"/>
              <w:left w:val="nil"/>
              <w:bottom w:val="nil"/>
              <w:right w:val="nil"/>
            </w:tcBorders>
            <w:shd w:val="clear" w:color="000000" w:fill="D9D9D9"/>
            <w:noWrap/>
            <w:vAlign w:val="bottom"/>
            <w:hideMark/>
          </w:tcPr>
          <w:p w14:paraId="4193D371" w14:textId="77777777" w:rsidR="00AB6753" w:rsidRDefault="00AB6753" w:rsidP="002D1EA4">
            <w:pPr>
              <w:spacing w:after="0"/>
              <w:rPr>
                <w:rFonts w:cs="Arial"/>
                <w:b/>
                <w:bCs/>
                <w:sz w:val="18"/>
                <w:szCs w:val="18"/>
              </w:rPr>
            </w:pPr>
            <w:r>
              <w:rPr>
                <w:rFonts w:cs="Arial"/>
                <w:b/>
                <w:bCs/>
                <w:sz w:val="18"/>
                <w:szCs w:val="18"/>
              </w:rPr>
              <w:t> </w:t>
            </w:r>
          </w:p>
        </w:tc>
        <w:tc>
          <w:tcPr>
            <w:tcW w:w="273" w:type="dxa"/>
            <w:tcBorders>
              <w:top w:val="nil"/>
              <w:left w:val="nil"/>
              <w:bottom w:val="nil"/>
              <w:right w:val="nil"/>
            </w:tcBorders>
            <w:shd w:val="clear" w:color="000000" w:fill="D9D9D9"/>
            <w:noWrap/>
            <w:vAlign w:val="bottom"/>
            <w:hideMark/>
          </w:tcPr>
          <w:p w14:paraId="5F238086"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700672C9" w14:textId="77777777" w:rsidR="00AB6753" w:rsidRDefault="00AB6753" w:rsidP="002D1EA4">
            <w:pPr>
              <w:spacing w:after="0"/>
              <w:rPr>
                <w:rFonts w:cs="Arial"/>
                <w:sz w:val="18"/>
                <w:szCs w:val="18"/>
              </w:rPr>
            </w:pPr>
            <w:r>
              <w:rPr>
                <w:rFonts w:cs="Arial"/>
                <w:sz w:val="18"/>
                <w:szCs w:val="18"/>
              </w:rPr>
              <w:t> </w:t>
            </w:r>
          </w:p>
        </w:tc>
      </w:tr>
      <w:tr w:rsidR="00AB6753" w14:paraId="2B988369" w14:textId="77777777" w:rsidTr="002D1EA4">
        <w:trPr>
          <w:trHeight w:val="240"/>
        </w:trPr>
        <w:tc>
          <w:tcPr>
            <w:tcW w:w="6566" w:type="dxa"/>
            <w:tcBorders>
              <w:top w:val="nil"/>
              <w:left w:val="nil"/>
              <w:bottom w:val="single" w:sz="4" w:space="0" w:color="D9D9D9"/>
              <w:right w:val="nil"/>
            </w:tcBorders>
            <w:shd w:val="clear" w:color="000000" w:fill="D9D9D9"/>
            <w:vAlign w:val="bottom"/>
            <w:hideMark/>
          </w:tcPr>
          <w:p w14:paraId="26621825" w14:textId="77777777" w:rsidR="00AB6753" w:rsidRDefault="00AB6753" w:rsidP="002D1EA4">
            <w:pPr>
              <w:spacing w:after="0"/>
              <w:rPr>
                <w:rFonts w:cs="Arial"/>
                <w:sz w:val="18"/>
                <w:szCs w:val="18"/>
              </w:rPr>
            </w:pPr>
            <w:r>
              <w:rPr>
                <w:rFonts w:cs="Arial"/>
                <w:sz w:val="18"/>
                <w:szCs w:val="18"/>
              </w:rPr>
              <w:t>Family Tax Benefit</w:t>
            </w:r>
          </w:p>
        </w:tc>
        <w:tc>
          <w:tcPr>
            <w:tcW w:w="1286" w:type="dxa"/>
            <w:tcBorders>
              <w:top w:val="nil"/>
              <w:left w:val="nil"/>
              <w:bottom w:val="nil"/>
              <w:right w:val="nil"/>
            </w:tcBorders>
            <w:shd w:val="clear" w:color="000000" w:fill="D9D9D9"/>
            <w:noWrap/>
            <w:vAlign w:val="bottom"/>
            <w:hideMark/>
          </w:tcPr>
          <w:p w14:paraId="1C4507A1" w14:textId="77777777" w:rsidR="00AB6753" w:rsidRDefault="00AB6753" w:rsidP="002D1EA4">
            <w:pPr>
              <w:spacing w:after="0"/>
              <w:jc w:val="right"/>
              <w:rPr>
                <w:rFonts w:cs="Arial"/>
                <w:b/>
                <w:bCs/>
                <w:sz w:val="18"/>
                <w:szCs w:val="18"/>
              </w:rPr>
            </w:pPr>
            <w:r>
              <w:rPr>
                <w:rFonts w:cs="Arial"/>
                <w:b/>
                <w:bCs/>
                <w:sz w:val="18"/>
                <w:szCs w:val="18"/>
              </w:rPr>
              <w:t>-</w:t>
            </w:r>
          </w:p>
        </w:tc>
        <w:tc>
          <w:tcPr>
            <w:tcW w:w="273" w:type="dxa"/>
            <w:tcBorders>
              <w:top w:val="nil"/>
              <w:left w:val="nil"/>
              <w:bottom w:val="single" w:sz="4" w:space="0" w:color="D9D9D9"/>
              <w:right w:val="nil"/>
            </w:tcBorders>
            <w:shd w:val="clear" w:color="000000" w:fill="D9D9D9"/>
            <w:noWrap/>
            <w:vAlign w:val="bottom"/>
            <w:hideMark/>
          </w:tcPr>
          <w:p w14:paraId="1F426A35"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single" w:sz="4" w:space="0" w:color="D9D9D9"/>
              <w:right w:val="nil"/>
            </w:tcBorders>
            <w:shd w:val="clear" w:color="000000" w:fill="D9D9D9"/>
            <w:noWrap/>
            <w:vAlign w:val="bottom"/>
            <w:hideMark/>
          </w:tcPr>
          <w:p w14:paraId="51F12801" w14:textId="77777777" w:rsidR="00AB6753" w:rsidRDefault="00AB6753" w:rsidP="002D1EA4">
            <w:pPr>
              <w:spacing w:after="0"/>
              <w:jc w:val="right"/>
              <w:rPr>
                <w:rFonts w:cs="Arial"/>
                <w:sz w:val="18"/>
                <w:szCs w:val="18"/>
              </w:rPr>
            </w:pPr>
            <w:r>
              <w:rPr>
                <w:rFonts w:cs="Arial"/>
                <w:sz w:val="18"/>
                <w:szCs w:val="18"/>
              </w:rPr>
              <w:t>304,800</w:t>
            </w:r>
          </w:p>
        </w:tc>
      </w:tr>
      <w:tr w:rsidR="00AB6753" w14:paraId="6B5F8321" w14:textId="77777777" w:rsidTr="002D1EA4">
        <w:trPr>
          <w:trHeight w:val="240"/>
        </w:trPr>
        <w:tc>
          <w:tcPr>
            <w:tcW w:w="6566" w:type="dxa"/>
            <w:tcBorders>
              <w:top w:val="nil"/>
              <w:left w:val="nil"/>
              <w:bottom w:val="single" w:sz="4" w:space="0" w:color="D9D9D9"/>
              <w:right w:val="nil"/>
            </w:tcBorders>
            <w:shd w:val="clear" w:color="000000" w:fill="D9D9D9"/>
            <w:vAlign w:val="bottom"/>
            <w:hideMark/>
          </w:tcPr>
          <w:p w14:paraId="14F60CD8" w14:textId="77777777" w:rsidR="00AB6753" w:rsidRDefault="00AB6753" w:rsidP="002D1EA4">
            <w:pPr>
              <w:spacing w:after="0"/>
              <w:rPr>
                <w:rFonts w:cs="Arial"/>
                <w:sz w:val="18"/>
                <w:szCs w:val="18"/>
              </w:rPr>
            </w:pPr>
            <w:r>
              <w:rPr>
                <w:rFonts w:cs="Arial"/>
                <w:sz w:val="18"/>
                <w:szCs w:val="18"/>
              </w:rPr>
              <w:t>Other</w:t>
            </w:r>
          </w:p>
        </w:tc>
        <w:tc>
          <w:tcPr>
            <w:tcW w:w="1286" w:type="dxa"/>
            <w:tcBorders>
              <w:top w:val="nil"/>
              <w:left w:val="nil"/>
              <w:bottom w:val="nil"/>
              <w:right w:val="nil"/>
            </w:tcBorders>
            <w:shd w:val="clear" w:color="000000" w:fill="D9D9D9"/>
            <w:noWrap/>
            <w:vAlign w:val="bottom"/>
            <w:hideMark/>
          </w:tcPr>
          <w:p w14:paraId="3E5768B3" w14:textId="77777777" w:rsidR="00AB6753" w:rsidRDefault="00AB6753" w:rsidP="002D1EA4">
            <w:pPr>
              <w:spacing w:after="0"/>
              <w:jc w:val="right"/>
              <w:rPr>
                <w:rFonts w:cs="Arial"/>
                <w:b/>
                <w:bCs/>
                <w:sz w:val="18"/>
                <w:szCs w:val="18"/>
              </w:rPr>
            </w:pPr>
            <w:r>
              <w:rPr>
                <w:rFonts w:cs="Arial"/>
                <w:b/>
                <w:bCs/>
                <w:sz w:val="18"/>
                <w:szCs w:val="18"/>
              </w:rPr>
              <w:t>58</w:t>
            </w:r>
          </w:p>
        </w:tc>
        <w:tc>
          <w:tcPr>
            <w:tcW w:w="273" w:type="dxa"/>
            <w:tcBorders>
              <w:top w:val="nil"/>
              <w:left w:val="nil"/>
              <w:bottom w:val="single" w:sz="4" w:space="0" w:color="D9D9D9"/>
              <w:right w:val="nil"/>
            </w:tcBorders>
            <w:shd w:val="clear" w:color="000000" w:fill="D9D9D9"/>
            <w:noWrap/>
            <w:vAlign w:val="bottom"/>
            <w:hideMark/>
          </w:tcPr>
          <w:p w14:paraId="3A5877A4"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single" w:sz="4" w:space="0" w:color="D9D9D9"/>
              <w:right w:val="nil"/>
            </w:tcBorders>
            <w:shd w:val="clear" w:color="000000" w:fill="D9D9D9"/>
            <w:noWrap/>
            <w:vAlign w:val="bottom"/>
            <w:hideMark/>
          </w:tcPr>
          <w:p w14:paraId="6EF29588" w14:textId="77777777" w:rsidR="00AB6753" w:rsidRDefault="00AB6753" w:rsidP="002D1EA4">
            <w:pPr>
              <w:spacing w:after="0"/>
              <w:jc w:val="right"/>
              <w:rPr>
                <w:rFonts w:cs="Arial"/>
                <w:sz w:val="18"/>
                <w:szCs w:val="18"/>
              </w:rPr>
            </w:pPr>
            <w:r>
              <w:rPr>
                <w:rFonts w:cs="Arial"/>
                <w:sz w:val="18"/>
                <w:szCs w:val="18"/>
              </w:rPr>
              <w:t>-</w:t>
            </w:r>
          </w:p>
        </w:tc>
      </w:tr>
      <w:tr w:rsidR="00AB6753" w14:paraId="561442C9" w14:textId="77777777" w:rsidTr="002D1EA4">
        <w:trPr>
          <w:trHeight w:val="240"/>
        </w:trPr>
        <w:tc>
          <w:tcPr>
            <w:tcW w:w="6566" w:type="dxa"/>
            <w:tcBorders>
              <w:top w:val="nil"/>
              <w:left w:val="nil"/>
              <w:bottom w:val="single" w:sz="4" w:space="0" w:color="D9D9D9"/>
              <w:right w:val="nil"/>
            </w:tcBorders>
            <w:shd w:val="clear" w:color="000000" w:fill="D9D9D9"/>
            <w:vAlign w:val="bottom"/>
            <w:hideMark/>
          </w:tcPr>
          <w:p w14:paraId="4A368B97" w14:textId="77777777" w:rsidR="00AB6753" w:rsidRDefault="00AB6753" w:rsidP="002D1EA4">
            <w:pPr>
              <w:spacing w:after="0"/>
              <w:rPr>
                <w:rFonts w:cs="Arial"/>
                <w:b/>
                <w:bCs/>
                <w:sz w:val="18"/>
                <w:szCs w:val="18"/>
              </w:rPr>
            </w:pPr>
            <w:r>
              <w:rPr>
                <w:rFonts w:cs="Arial"/>
                <w:b/>
                <w:bCs/>
                <w:sz w:val="18"/>
                <w:szCs w:val="18"/>
              </w:rPr>
              <w:t>Total write back of impairment allowance</w:t>
            </w:r>
          </w:p>
        </w:tc>
        <w:tc>
          <w:tcPr>
            <w:tcW w:w="1286" w:type="dxa"/>
            <w:tcBorders>
              <w:top w:val="single" w:sz="4" w:space="0" w:color="auto"/>
              <w:left w:val="nil"/>
              <w:bottom w:val="single" w:sz="4" w:space="0" w:color="auto"/>
              <w:right w:val="nil"/>
            </w:tcBorders>
            <w:shd w:val="clear" w:color="000000" w:fill="D9D9D9"/>
            <w:noWrap/>
            <w:vAlign w:val="bottom"/>
            <w:hideMark/>
          </w:tcPr>
          <w:p w14:paraId="2995EA69" w14:textId="77777777" w:rsidR="00AB6753" w:rsidRDefault="00AB6753" w:rsidP="002D1EA4">
            <w:pPr>
              <w:spacing w:after="0"/>
              <w:jc w:val="right"/>
              <w:rPr>
                <w:rFonts w:cs="Arial"/>
                <w:b/>
                <w:bCs/>
                <w:sz w:val="18"/>
                <w:szCs w:val="18"/>
              </w:rPr>
            </w:pPr>
            <w:r>
              <w:rPr>
                <w:rFonts w:cs="Arial"/>
                <w:b/>
                <w:bCs/>
                <w:sz w:val="18"/>
                <w:szCs w:val="18"/>
              </w:rPr>
              <w:t>58</w:t>
            </w:r>
          </w:p>
        </w:tc>
        <w:tc>
          <w:tcPr>
            <w:tcW w:w="273" w:type="dxa"/>
            <w:tcBorders>
              <w:top w:val="nil"/>
              <w:left w:val="nil"/>
              <w:bottom w:val="single" w:sz="4" w:space="0" w:color="D9D9D9"/>
              <w:right w:val="nil"/>
            </w:tcBorders>
            <w:shd w:val="clear" w:color="000000" w:fill="D9D9D9"/>
            <w:noWrap/>
            <w:vAlign w:val="bottom"/>
            <w:hideMark/>
          </w:tcPr>
          <w:p w14:paraId="774E8DB7" w14:textId="77777777" w:rsidR="00AB6753" w:rsidRDefault="00AB6753" w:rsidP="002D1EA4">
            <w:pPr>
              <w:spacing w:after="0"/>
              <w:rPr>
                <w:rFonts w:cs="Arial"/>
                <w:sz w:val="16"/>
                <w:szCs w:val="16"/>
              </w:rPr>
            </w:pPr>
            <w:r>
              <w:rPr>
                <w:rFonts w:cs="Arial"/>
                <w:sz w:val="16"/>
                <w:szCs w:val="16"/>
              </w:rPr>
              <w:t> </w:t>
            </w:r>
          </w:p>
        </w:tc>
        <w:tc>
          <w:tcPr>
            <w:tcW w:w="1373" w:type="dxa"/>
            <w:tcBorders>
              <w:top w:val="single" w:sz="4" w:space="0" w:color="auto"/>
              <w:left w:val="nil"/>
              <w:bottom w:val="single" w:sz="4" w:space="0" w:color="auto"/>
              <w:right w:val="nil"/>
            </w:tcBorders>
            <w:shd w:val="clear" w:color="000000" w:fill="D9D9D9"/>
            <w:noWrap/>
            <w:vAlign w:val="bottom"/>
            <w:hideMark/>
          </w:tcPr>
          <w:p w14:paraId="1B9FA1F0" w14:textId="77777777" w:rsidR="00AB6753" w:rsidRDefault="00AB6753" w:rsidP="002D1EA4">
            <w:pPr>
              <w:spacing w:after="0"/>
              <w:jc w:val="right"/>
              <w:rPr>
                <w:rFonts w:cs="Arial"/>
                <w:sz w:val="18"/>
                <w:szCs w:val="18"/>
              </w:rPr>
            </w:pPr>
            <w:r>
              <w:rPr>
                <w:rFonts w:cs="Arial"/>
                <w:sz w:val="18"/>
                <w:szCs w:val="18"/>
              </w:rPr>
              <w:t>304,800</w:t>
            </w:r>
          </w:p>
        </w:tc>
      </w:tr>
    </w:tbl>
    <w:p w14:paraId="6253079D" w14:textId="77777777" w:rsidR="00AB6753" w:rsidRDefault="00AB6753" w:rsidP="00AB6753">
      <w:pPr>
        <w:pStyle w:val="GreyShadeTableBreaknon-Standard"/>
        <w:ind w:right="0"/>
      </w:pPr>
    </w:p>
    <w:tbl>
      <w:tblPr>
        <w:tblW w:w="9498" w:type="dxa"/>
        <w:tblLayout w:type="fixed"/>
        <w:tblLook w:val="04A0" w:firstRow="1" w:lastRow="0" w:firstColumn="1" w:lastColumn="0" w:noHBand="0" w:noVBand="1"/>
      </w:tblPr>
      <w:tblGrid>
        <w:gridCol w:w="6566"/>
        <w:gridCol w:w="1286"/>
        <w:gridCol w:w="273"/>
        <w:gridCol w:w="1373"/>
      </w:tblGrid>
      <w:tr w:rsidR="00AB6753" w14:paraId="12AEBFC4" w14:textId="77777777" w:rsidTr="002D1EA4">
        <w:trPr>
          <w:trHeight w:val="255"/>
        </w:trPr>
        <w:tc>
          <w:tcPr>
            <w:tcW w:w="6566" w:type="dxa"/>
            <w:tcBorders>
              <w:top w:val="nil"/>
              <w:left w:val="nil"/>
              <w:bottom w:val="nil"/>
              <w:right w:val="nil"/>
            </w:tcBorders>
            <w:shd w:val="clear" w:color="000000" w:fill="D9D9D9"/>
            <w:noWrap/>
            <w:hideMark/>
          </w:tcPr>
          <w:p w14:paraId="2657EFC6" w14:textId="77777777" w:rsidR="00AB6753" w:rsidRDefault="00AB6753" w:rsidP="002D1EA4">
            <w:pPr>
              <w:spacing w:after="0"/>
              <w:rPr>
                <w:rFonts w:cs="Arial"/>
                <w:b/>
                <w:bCs/>
                <w:sz w:val="18"/>
                <w:szCs w:val="18"/>
                <w:u w:val="single"/>
              </w:rPr>
            </w:pPr>
            <w:bookmarkStart w:id="113" w:name="Note_AOGTABLE1" w:colFirst="0" w:colLast="0"/>
            <w:r>
              <w:rPr>
                <w:rFonts w:cs="Arial"/>
                <w:b/>
                <w:bCs/>
                <w:sz w:val="18"/>
                <w:szCs w:val="18"/>
                <w:u w:val="single"/>
              </w:rPr>
              <w:t>Note 2.2C: Fair Value Gains</w:t>
            </w:r>
          </w:p>
        </w:tc>
        <w:tc>
          <w:tcPr>
            <w:tcW w:w="1286" w:type="dxa"/>
            <w:tcBorders>
              <w:top w:val="nil"/>
              <w:left w:val="nil"/>
              <w:bottom w:val="single" w:sz="4" w:space="0" w:color="D9D9D9"/>
              <w:right w:val="nil"/>
            </w:tcBorders>
            <w:shd w:val="clear" w:color="000000" w:fill="D9D9D9"/>
            <w:noWrap/>
            <w:vAlign w:val="bottom"/>
            <w:hideMark/>
          </w:tcPr>
          <w:p w14:paraId="16963B53" w14:textId="77777777" w:rsidR="00AB6753" w:rsidRDefault="00AB6753" w:rsidP="002D1EA4">
            <w:pPr>
              <w:spacing w:after="0"/>
              <w:rPr>
                <w:rFonts w:cs="Arial"/>
                <w:sz w:val="16"/>
                <w:szCs w:val="16"/>
              </w:rPr>
            </w:pPr>
            <w:r>
              <w:rPr>
                <w:rFonts w:cs="Arial"/>
                <w:sz w:val="16"/>
                <w:szCs w:val="16"/>
              </w:rPr>
              <w:t> </w:t>
            </w:r>
          </w:p>
        </w:tc>
        <w:tc>
          <w:tcPr>
            <w:tcW w:w="273" w:type="dxa"/>
            <w:tcBorders>
              <w:top w:val="nil"/>
              <w:left w:val="nil"/>
              <w:bottom w:val="single" w:sz="4" w:space="0" w:color="D9D9D9"/>
              <w:right w:val="nil"/>
            </w:tcBorders>
            <w:shd w:val="clear" w:color="000000" w:fill="D9D9D9"/>
            <w:noWrap/>
            <w:vAlign w:val="bottom"/>
            <w:hideMark/>
          </w:tcPr>
          <w:p w14:paraId="1C6EA211"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single" w:sz="4" w:space="0" w:color="D9D9D9"/>
              <w:right w:val="nil"/>
            </w:tcBorders>
            <w:shd w:val="clear" w:color="000000" w:fill="D9D9D9"/>
            <w:noWrap/>
            <w:vAlign w:val="bottom"/>
            <w:hideMark/>
          </w:tcPr>
          <w:p w14:paraId="5B4C2185" w14:textId="77777777" w:rsidR="00AB6753" w:rsidRDefault="00AB6753" w:rsidP="002D1EA4">
            <w:pPr>
              <w:spacing w:after="0"/>
              <w:rPr>
                <w:rFonts w:cs="Arial"/>
                <w:sz w:val="16"/>
                <w:szCs w:val="16"/>
              </w:rPr>
            </w:pPr>
            <w:r>
              <w:rPr>
                <w:rFonts w:cs="Arial"/>
                <w:sz w:val="16"/>
                <w:szCs w:val="16"/>
              </w:rPr>
              <w:t> </w:t>
            </w:r>
          </w:p>
        </w:tc>
      </w:tr>
      <w:bookmarkEnd w:id="113"/>
      <w:tr w:rsidR="00AB6753" w14:paraId="4E5F09C6" w14:textId="77777777" w:rsidTr="002D1EA4">
        <w:trPr>
          <w:trHeight w:val="255"/>
        </w:trPr>
        <w:tc>
          <w:tcPr>
            <w:tcW w:w="6566" w:type="dxa"/>
            <w:tcBorders>
              <w:top w:val="nil"/>
              <w:left w:val="nil"/>
              <w:bottom w:val="single" w:sz="4" w:space="0" w:color="D9D9D9"/>
              <w:right w:val="nil"/>
            </w:tcBorders>
            <w:shd w:val="clear" w:color="000000" w:fill="D9D9D9"/>
            <w:vAlign w:val="bottom"/>
            <w:hideMark/>
          </w:tcPr>
          <w:p w14:paraId="54FF6A83" w14:textId="77777777" w:rsidR="00AB6753" w:rsidRDefault="00AB6753" w:rsidP="002D1EA4">
            <w:pPr>
              <w:spacing w:after="0"/>
              <w:rPr>
                <w:rFonts w:cs="Arial"/>
                <w:sz w:val="18"/>
                <w:szCs w:val="18"/>
              </w:rPr>
            </w:pPr>
            <w:r>
              <w:rPr>
                <w:rFonts w:cs="Arial"/>
                <w:sz w:val="18"/>
                <w:szCs w:val="18"/>
              </w:rPr>
              <w:t>Loans</w:t>
            </w:r>
          </w:p>
        </w:tc>
        <w:tc>
          <w:tcPr>
            <w:tcW w:w="1286" w:type="dxa"/>
            <w:tcBorders>
              <w:top w:val="nil"/>
              <w:left w:val="nil"/>
              <w:bottom w:val="nil"/>
              <w:right w:val="nil"/>
            </w:tcBorders>
            <w:shd w:val="clear" w:color="000000" w:fill="D9D9D9"/>
            <w:noWrap/>
            <w:vAlign w:val="bottom"/>
            <w:hideMark/>
          </w:tcPr>
          <w:p w14:paraId="65A61926" w14:textId="77777777" w:rsidR="00AB6753" w:rsidRDefault="00AB6753" w:rsidP="002D1EA4">
            <w:pPr>
              <w:spacing w:after="0"/>
              <w:jc w:val="right"/>
              <w:rPr>
                <w:rFonts w:cs="Arial"/>
                <w:b/>
                <w:bCs/>
                <w:sz w:val="18"/>
                <w:szCs w:val="18"/>
              </w:rPr>
            </w:pPr>
            <w:r>
              <w:rPr>
                <w:rFonts w:cs="Arial"/>
                <w:b/>
                <w:bCs/>
                <w:sz w:val="18"/>
                <w:szCs w:val="18"/>
              </w:rPr>
              <w:t>220,612</w:t>
            </w:r>
          </w:p>
        </w:tc>
        <w:tc>
          <w:tcPr>
            <w:tcW w:w="273" w:type="dxa"/>
            <w:tcBorders>
              <w:top w:val="nil"/>
              <w:left w:val="nil"/>
              <w:bottom w:val="single" w:sz="4" w:space="0" w:color="D9D9D9"/>
              <w:right w:val="nil"/>
            </w:tcBorders>
            <w:shd w:val="clear" w:color="000000" w:fill="D9D9D9"/>
            <w:noWrap/>
            <w:vAlign w:val="bottom"/>
            <w:hideMark/>
          </w:tcPr>
          <w:p w14:paraId="301FC6C9"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single" w:sz="4" w:space="0" w:color="D9D9D9"/>
              <w:right w:val="nil"/>
            </w:tcBorders>
            <w:shd w:val="clear" w:color="000000" w:fill="D9D9D9"/>
            <w:noWrap/>
            <w:vAlign w:val="bottom"/>
            <w:hideMark/>
          </w:tcPr>
          <w:p w14:paraId="4E19C9C9" w14:textId="77777777" w:rsidR="00AB6753" w:rsidRDefault="00AB6753" w:rsidP="002D1EA4">
            <w:pPr>
              <w:spacing w:after="0"/>
              <w:jc w:val="right"/>
              <w:rPr>
                <w:rFonts w:cs="Arial"/>
                <w:sz w:val="18"/>
                <w:szCs w:val="18"/>
              </w:rPr>
            </w:pPr>
            <w:r>
              <w:rPr>
                <w:rFonts w:cs="Arial"/>
                <w:sz w:val="18"/>
                <w:szCs w:val="18"/>
              </w:rPr>
              <w:t>74,146</w:t>
            </w:r>
          </w:p>
        </w:tc>
      </w:tr>
      <w:tr w:rsidR="00AB6753" w14:paraId="0CC617CE" w14:textId="77777777" w:rsidTr="002D1EA4">
        <w:trPr>
          <w:trHeight w:val="255"/>
        </w:trPr>
        <w:tc>
          <w:tcPr>
            <w:tcW w:w="6566" w:type="dxa"/>
            <w:tcBorders>
              <w:top w:val="nil"/>
              <w:left w:val="nil"/>
              <w:bottom w:val="single" w:sz="4" w:space="0" w:color="D9D9D9"/>
              <w:right w:val="nil"/>
            </w:tcBorders>
            <w:shd w:val="clear" w:color="000000" w:fill="D9D9D9"/>
            <w:vAlign w:val="bottom"/>
            <w:hideMark/>
          </w:tcPr>
          <w:p w14:paraId="2F06BE08" w14:textId="77777777" w:rsidR="00AB6753" w:rsidRDefault="00AB6753" w:rsidP="002D1EA4">
            <w:pPr>
              <w:spacing w:after="0"/>
              <w:rPr>
                <w:rFonts w:cs="Arial"/>
                <w:b/>
                <w:bCs/>
                <w:sz w:val="18"/>
                <w:szCs w:val="18"/>
              </w:rPr>
            </w:pPr>
            <w:r>
              <w:rPr>
                <w:rFonts w:cs="Arial"/>
                <w:b/>
                <w:bCs/>
                <w:sz w:val="18"/>
                <w:szCs w:val="18"/>
              </w:rPr>
              <w:t>Total fair value gains</w:t>
            </w:r>
          </w:p>
        </w:tc>
        <w:tc>
          <w:tcPr>
            <w:tcW w:w="1286" w:type="dxa"/>
            <w:tcBorders>
              <w:top w:val="single" w:sz="4" w:space="0" w:color="auto"/>
              <w:left w:val="nil"/>
              <w:bottom w:val="single" w:sz="4" w:space="0" w:color="auto"/>
              <w:right w:val="nil"/>
            </w:tcBorders>
            <w:shd w:val="clear" w:color="000000" w:fill="D9D9D9"/>
            <w:noWrap/>
            <w:vAlign w:val="bottom"/>
            <w:hideMark/>
          </w:tcPr>
          <w:p w14:paraId="30B50F3A" w14:textId="77777777" w:rsidR="00AB6753" w:rsidRDefault="00AB6753" w:rsidP="002D1EA4">
            <w:pPr>
              <w:spacing w:after="0"/>
              <w:jc w:val="right"/>
              <w:rPr>
                <w:rFonts w:cs="Arial"/>
                <w:b/>
                <w:bCs/>
                <w:sz w:val="18"/>
                <w:szCs w:val="18"/>
              </w:rPr>
            </w:pPr>
            <w:r>
              <w:rPr>
                <w:rFonts w:cs="Arial"/>
                <w:b/>
                <w:bCs/>
                <w:sz w:val="18"/>
                <w:szCs w:val="18"/>
              </w:rPr>
              <w:t>220,612</w:t>
            </w:r>
          </w:p>
        </w:tc>
        <w:tc>
          <w:tcPr>
            <w:tcW w:w="273" w:type="dxa"/>
            <w:tcBorders>
              <w:top w:val="nil"/>
              <w:left w:val="nil"/>
              <w:bottom w:val="single" w:sz="4" w:space="0" w:color="D9D9D9"/>
              <w:right w:val="nil"/>
            </w:tcBorders>
            <w:shd w:val="clear" w:color="000000" w:fill="D9D9D9"/>
            <w:noWrap/>
            <w:vAlign w:val="bottom"/>
            <w:hideMark/>
          </w:tcPr>
          <w:p w14:paraId="2D15E123" w14:textId="77777777" w:rsidR="00AB6753" w:rsidRDefault="00AB6753" w:rsidP="002D1EA4">
            <w:pPr>
              <w:spacing w:after="0"/>
              <w:rPr>
                <w:rFonts w:cs="Arial"/>
                <w:sz w:val="16"/>
                <w:szCs w:val="16"/>
              </w:rPr>
            </w:pPr>
            <w:r>
              <w:rPr>
                <w:rFonts w:cs="Arial"/>
                <w:sz w:val="16"/>
                <w:szCs w:val="16"/>
              </w:rPr>
              <w:t> </w:t>
            </w:r>
          </w:p>
        </w:tc>
        <w:tc>
          <w:tcPr>
            <w:tcW w:w="1373" w:type="dxa"/>
            <w:tcBorders>
              <w:top w:val="single" w:sz="4" w:space="0" w:color="auto"/>
              <w:left w:val="nil"/>
              <w:bottom w:val="single" w:sz="4" w:space="0" w:color="auto"/>
              <w:right w:val="nil"/>
            </w:tcBorders>
            <w:shd w:val="clear" w:color="000000" w:fill="D9D9D9"/>
            <w:noWrap/>
            <w:vAlign w:val="bottom"/>
            <w:hideMark/>
          </w:tcPr>
          <w:p w14:paraId="3B6AD6FA" w14:textId="77777777" w:rsidR="00AB6753" w:rsidRDefault="00AB6753" w:rsidP="002D1EA4">
            <w:pPr>
              <w:spacing w:after="0"/>
              <w:jc w:val="right"/>
              <w:rPr>
                <w:rFonts w:cs="Arial"/>
                <w:sz w:val="18"/>
                <w:szCs w:val="18"/>
              </w:rPr>
            </w:pPr>
            <w:r>
              <w:rPr>
                <w:rFonts w:cs="Arial"/>
                <w:sz w:val="18"/>
                <w:szCs w:val="18"/>
              </w:rPr>
              <w:t>74,146</w:t>
            </w:r>
          </w:p>
        </w:tc>
      </w:tr>
    </w:tbl>
    <w:p w14:paraId="268BEB4A" w14:textId="77777777" w:rsidR="00AB6753" w:rsidRDefault="00AB6753" w:rsidP="00AB6753">
      <w:pPr>
        <w:pStyle w:val="GreyShadeTableBreaknon-Standard"/>
        <w:ind w:right="0"/>
      </w:pPr>
    </w:p>
    <w:p w14:paraId="60CE4B39" w14:textId="77777777" w:rsidR="00AB6753" w:rsidRDefault="00AB6753" w:rsidP="00AB6753">
      <w:pPr>
        <w:pStyle w:val="Policyheadingadmin0"/>
        <w:pBdr>
          <w:top w:val="single" w:sz="4" w:space="1" w:color="00B2BA"/>
          <w:left w:val="single" w:sz="4" w:space="0" w:color="00B2BA"/>
          <w:bottom w:val="single" w:sz="4" w:space="1" w:color="00B2BA"/>
          <w:right w:val="single" w:sz="4" w:space="0" w:color="00B2BA"/>
        </w:pBdr>
        <w:shd w:val="clear" w:color="auto" w:fill="CCF0F1"/>
        <w:spacing w:after="100"/>
        <w:ind w:left="-6" w:right="11"/>
      </w:pPr>
      <w:r>
        <w:t>Accounting Policy</w:t>
      </w:r>
    </w:p>
    <w:p w14:paraId="6528C5A3" w14:textId="77777777" w:rsidR="00AB6753"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spacing w:after="100"/>
        <w:ind w:left="-6" w:right="11"/>
      </w:pPr>
      <w:r w:rsidRPr="00AD36A9">
        <w:t>Revenue</w:t>
      </w:r>
    </w:p>
    <w:p w14:paraId="6832E8B0" w14:textId="77777777" w:rsidR="00AB6753" w:rsidRDefault="00AB6753" w:rsidP="00AB6753">
      <w:pPr>
        <w:pStyle w:val="PolicyTextAdmin"/>
        <w:pBdr>
          <w:top w:val="single" w:sz="4" w:space="1" w:color="00B2BA"/>
          <w:left w:val="single" w:sz="4" w:space="0" w:color="00B2BA"/>
          <w:bottom w:val="single" w:sz="4" w:space="1" w:color="00B2BA"/>
          <w:right w:val="single" w:sz="4" w:space="0" w:color="00B2BA"/>
        </w:pBdr>
        <w:shd w:val="clear" w:color="auto" w:fill="CCF0F1"/>
        <w:spacing w:after="120"/>
        <w:ind w:left="-6" w:right="11"/>
        <w:rPr>
          <w:rFonts w:cs="Arial"/>
        </w:rPr>
      </w:pPr>
      <w:r w:rsidRPr="00AD36A9">
        <w:rPr>
          <w:rFonts w:cs="Arial"/>
        </w:rPr>
        <w:t>All administered revenues are revenues relating to ordi</w:t>
      </w:r>
      <w:r>
        <w:rPr>
          <w:rFonts w:cs="Arial"/>
        </w:rPr>
        <w:t>nary activities performed by</w:t>
      </w:r>
      <w:r w:rsidRPr="00AD36A9">
        <w:rPr>
          <w:rFonts w:cs="Arial"/>
        </w:rPr>
        <w:t xml:space="preserve"> </w:t>
      </w:r>
      <w:r>
        <w:rPr>
          <w:rFonts w:cs="Arial"/>
        </w:rPr>
        <w:fldChar w:fldCharType="begin"/>
      </w:r>
      <w:r>
        <w:rPr>
          <w:rFonts w:cs="Arial"/>
        </w:rPr>
        <w:instrText xml:space="preserve"> DOCPROPERTY  ShortName  \* MERGEFORMAT </w:instrText>
      </w:r>
      <w:r>
        <w:rPr>
          <w:rFonts w:cs="Arial"/>
        </w:rPr>
        <w:fldChar w:fldCharType="separate"/>
      </w:r>
      <w:r>
        <w:rPr>
          <w:rFonts w:cs="Arial"/>
        </w:rPr>
        <w:t>the</w:t>
      </w:r>
      <w:r w:rsidRPr="00291C7F">
        <w:t xml:space="preserve"> department</w:t>
      </w:r>
      <w:r>
        <w:fldChar w:fldCharType="end"/>
      </w:r>
      <w:r w:rsidRPr="00AD36A9">
        <w:rPr>
          <w:rFonts w:cs="Arial"/>
        </w:rPr>
        <w:t xml:space="preserve"> on behalf</w:t>
      </w:r>
      <w:r>
        <w:rPr>
          <w:rFonts w:cs="Arial"/>
        </w:rPr>
        <w:t xml:space="preserve"> of the Australian Government. </w:t>
      </w:r>
      <w:r w:rsidRPr="00AD36A9">
        <w:rPr>
          <w:rFonts w:cs="Arial"/>
        </w:rPr>
        <w:t>As such, administered appropriations are not revenues of the individual entity that oversees distribution or expenditure of the funds as directed.</w:t>
      </w:r>
    </w:p>
    <w:p w14:paraId="0415860D" w14:textId="77777777" w:rsidR="00AB6753" w:rsidRPr="00185AFF"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spacing w:after="100"/>
        <w:ind w:left="-6" w:right="11"/>
      </w:pPr>
      <w:r w:rsidRPr="00185AFF">
        <w:t>National Redress Scheme</w:t>
      </w:r>
    </w:p>
    <w:p w14:paraId="48C45998" w14:textId="77777777" w:rsidR="00AB6753" w:rsidRDefault="00AB6753" w:rsidP="00AB6753">
      <w:pPr>
        <w:pStyle w:val="PolicyTextAdmin"/>
        <w:pBdr>
          <w:top w:val="single" w:sz="4" w:space="1" w:color="00B2BA"/>
          <w:left w:val="single" w:sz="4" w:space="0" w:color="00B2BA"/>
          <w:bottom w:val="single" w:sz="4" w:space="1" w:color="00B2BA"/>
          <w:right w:val="single" w:sz="4" w:space="0" w:color="00B2BA"/>
        </w:pBdr>
        <w:shd w:val="clear" w:color="auto" w:fill="CCF0F1"/>
        <w:spacing w:after="120"/>
        <w:ind w:left="-6" w:right="11"/>
        <w:rPr>
          <w:rFonts w:cs="Arial"/>
        </w:rPr>
      </w:pPr>
      <w:r w:rsidRPr="00185AFF">
        <w:rPr>
          <w:rFonts w:cs="Arial"/>
        </w:rPr>
        <w:t xml:space="preserve">The department is appropriated to make payments under the </w:t>
      </w:r>
      <w:r w:rsidRPr="000F50B5">
        <w:rPr>
          <w:rFonts w:cs="Arial"/>
          <w:i/>
        </w:rPr>
        <w:t>National Redress Scheme for Institutional Child Sexual Abuse Act 2018</w:t>
      </w:r>
      <w:r w:rsidRPr="00185AFF">
        <w:rPr>
          <w:rFonts w:cs="Arial"/>
        </w:rPr>
        <w:t xml:space="preserve"> and then recovers these payments from the responsible participating institution.  </w:t>
      </w:r>
    </w:p>
    <w:p w14:paraId="2FADF0E4" w14:textId="77777777" w:rsidR="00AB6753" w:rsidRPr="003975A2"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spacing w:after="100"/>
        <w:ind w:left="-6" w:right="11"/>
      </w:pPr>
      <w:r w:rsidRPr="003975A2">
        <w:t>Personal Benefit</w:t>
      </w:r>
      <w:r>
        <w:t>s</w:t>
      </w:r>
      <w:r w:rsidRPr="003975A2">
        <w:t xml:space="preserve"> Recoveries</w:t>
      </w:r>
    </w:p>
    <w:p w14:paraId="3EFF180C" w14:textId="77777777" w:rsidR="00AB6753" w:rsidRDefault="00AB6753" w:rsidP="00AB6753">
      <w:pPr>
        <w:pStyle w:val="PolicyTextAdmin"/>
        <w:pBdr>
          <w:top w:val="single" w:sz="4" w:space="1" w:color="00B2BA"/>
          <w:left w:val="single" w:sz="4" w:space="0" w:color="00B2BA"/>
          <w:bottom w:val="single" w:sz="4" w:space="1" w:color="00B2BA"/>
          <w:right w:val="single" w:sz="4" w:space="0" w:color="00B2BA"/>
        </w:pBdr>
        <w:shd w:val="clear" w:color="auto" w:fill="CCF0F1"/>
        <w:spacing w:after="120"/>
        <w:ind w:left="-6" w:right="11"/>
        <w:rPr>
          <w:rFonts w:cs="Arial"/>
        </w:rPr>
      </w:pPr>
      <w:r w:rsidRPr="00BB76CE">
        <w:rPr>
          <w:rFonts w:cs="Arial"/>
        </w:rPr>
        <w:t>Personal benefits recoveries mainly relate to fees on the recovery of personal benefit payments</w:t>
      </w:r>
      <w:r>
        <w:rPr>
          <w:rFonts w:cs="Arial"/>
        </w:rPr>
        <w:t>, and are recognised on an accrual basis.</w:t>
      </w:r>
    </w:p>
    <w:p w14:paraId="5B4A4732" w14:textId="77777777" w:rsidR="00AB6753"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spacing w:after="100"/>
        <w:ind w:left="-6" w:right="11"/>
      </w:pPr>
      <w:r>
        <w:t>Interest</w:t>
      </w:r>
    </w:p>
    <w:p w14:paraId="4B9A23E7" w14:textId="77777777" w:rsidR="00AB6753"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6" w:right="11"/>
        <w:rPr>
          <w:rFonts w:cs="Arial"/>
          <w:i w:val="0"/>
          <w:u w:val="none"/>
        </w:rPr>
      </w:pPr>
      <w:r w:rsidRPr="0074326D">
        <w:rPr>
          <w:rFonts w:cs="Arial"/>
          <w:i w:val="0"/>
          <w:u w:val="none"/>
        </w:rPr>
        <w:t>Interest revenue is recognised using the effective interest method</w:t>
      </w:r>
      <w:bookmarkStart w:id="114" w:name="_Toc443469528"/>
      <w:bookmarkStart w:id="115" w:name="_Toc444065778"/>
      <w:bookmarkStart w:id="116" w:name="_Toc444079977"/>
      <w:r w:rsidRPr="0074326D">
        <w:rPr>
          <w:rFonts w:cs="Arial"/>
          <w:i w:val="0"/>
          <w:u w:val="none"/>
        </w:rPr>
        <w:t>.</w:t>
      </w:r>
    </w:p>
    <w:p w14:paraId="73602D7B" w14:textId="77777777" w:rsidR="00AB6753" w:rsidRPr="009E6F59"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spacing w:after="100"/>
        <w:ind w:left="-6" w:right="11"/>
      </w:pPr>
      <w:r w:rsidRPr="009E6F59">
        <w:t xml:space="preserve">Competitive neutrality revenue </w:t>
      </w:r>
    </w:p>
    <w:p w14:paraId="4BBDBC59" w14:textId="77777777" w:rsidR="00AB6753" w:rsidRPr="001648E8"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6" w:right="11"/>
        <w:rPr>
          <w:rFonts w:cs="Arial"/>
          <w:i w:val="0"/>
          <w:u w:val="none"/>
        </w:rPr>
      </w:pPr>
      <w:r w:rsidRPr="001648E8">
        <w:rPr>
          <w:rFonts w:cs="Arial"/>
          <w:i w:val="0"/>
          <w:u w:val="none"/>
        </w:rPr>
        <w:t>Australian Hearing provides services on a for-profit basis and is subject to the Australian Government's</w:t>
      </w:r>
      <w:r>
        <w:rPr>
          <w:rFonts w:cs="Arial"/>
          <w:i w:val="0"/>
          <w:u w:val="none"/>
        </w:rPr>
        <w:t xml:space="preserve"> competitive neutrality policy.</w:t>
      </w:r>
      <w:r w:rsidRPr="001648E8">
        <w:rPr>
          <w:rFonts w:cs="Arial"/>
          <w:i w:val="0"/>
          <w:u w:val="none"/>
        </w:rPr>
        <w:t xml:space="preserve"> Under competitive neutrality arrangements, Australian Hearing is required to make payroll tax and income tax equivalent payments</w:t>
      </w:r>
      <w:r>
        <w:rPr>
          <w:rFonts w:cs="Arial"/>
          <w:i w:val="0"/>
          <w:u w:val="none"/>
        </w:rPr>
        <w:t xml:space="preserve"> to the Australian Government. </w:t>
      </w:r>
      <w:r w:rsidRPr="001648E8">
        <w:rPr>
          <w:rFonts w:cs="Arial"/>
          <w:i w:val="0"/>
          <w:u w:val="none"/>
        </w:rPr>
        <w:t>These amounts are recognised in the administered financial statements and have been paid or are payable to the official public account.</w:t>
      </w:r>
    </w:p>
    <w:p w14:paraId="48EF7521" w14:textId="77777777" w:rsidR="00AB6753" w:rsidRPr="009E6F59"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spacing w:after="100"/>
        <w:ind w:left="-6" w:right="11"/>
      </w:pPr>
      <w:r w:rsidRPr="009E6F59">
        <w:t>Dividend revenue</w:t>
      </w:r>
    </w:p>
    <w:p w14:paraId="256D41D1" w14:textId="77777777" w:rsidR="00AB6753"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6" w:right="11"/>
        <w:rPr>
          <w:rFonts w:cs="Arial"/>
          <w:i w:val="0"/>
          <w:u w:val="none"/>
        </w:rPr>
      </w:pPr>
      <w:r w:rsidRPr="001648E8">
        <w:rPr>
          <w:rFonts w:cs="Arial"/>
          <w:i w:val="0"/>
          <w:u w:val="none"/>
        </w:rPr>
        <w:t xml:space="preserve">The Australian Government owns 100 per cent of the issued share </w:t>
      </w:r>
      <w:r>
        <w:rPr>
          <w:rFonts w:cs="Arial"/>
          <w:i w:val="0"/>
          <w:u w:val="none"/>
        </w:rPr>
        <w:t xml:space="preserve">capital of Australian Hearing. </w:t>
      </w:r>
      <w:r w:rsidRPr="001648E8">
        <w:rPr>
          <w:rFonts w:cs="Arial"/>
          <w:i w:val="0"/>
          <w:u w:val="none"/>
        </w:rPr>
        <w:t>Dividends from Australian Hearing are recognised in the administered financial statements and have been paid or are payable to the official public account.</w:t>
      </w:r>
    </w:p>
    <w:p w14:paraId="6B82A5B2" w14:textId="77777777" w:rsidR="00AB6753" w:rsidRDefault="00AB6753" w:rsidP="00AB6753">
      <w:pPr>
        <w:spacing w:line="240" w:lineRule="auto"/>
        <w:rPr>
          <w:rFonts w:cs="Arial"/>
          <w:sz w:val="18"/>
          <w:szCs w:val="18"/>
          <w:lang w:eastAsia="en-AU"/>
        </w:rPr>
      </w:pPr>
      <w:r>
        <w:br w:type="page"/>
      </w:r>
    </w:p>
    <w:p w14:paraId="0E1B9567" w14:textId="77777777" w:rsidR="00AB6753" w:rsidRPr="001F626B" w:rsidRDefault="00AB6753" w:rsidP="00AB6753">
      <w:pPr>
        <w:pStyle w:val="SectionHeading"/>
        <w:numPr>
          <w:ilvl w:val="0"/>
          <w:numId w:val="56"/>
        </w:numPr>
        <w:shd w:val="clear" w:color="auto" w:fill="00B2BA"/>
        <w:rPr>
          <w:rFonts w:ascii="Arial" w:hAnsi="Arial" w:cs="Arial"/>
          <w:color w:val="auto"/>
        </w:rPr>
      </w:pPr>
      <w:bookmarkStart w:id="117" w:name="_Toc450750161"/>
      <w:bookmarkStart w:id="118" w:name="_Toc45748806"/>
      <w:r w:rsidRPr="001F626B">
        <w:rPr>
          <w:rFonts w:ascii="Arial" w:hAnsi="Arial" w:cs="Arial"/>
          <w:color w:val="auto"/>
        </w:rPr>
        <w:lastRenderedPageBreak/>
        <w:t>Departmental Financial Position</w:t>
      </w:r>
      <w:bookmarkEnd w:id="114"/>
      <w:bookmarkEnd w:id="115"/>
      <w:bookmarkEnd w:id="116"/>
      <w:bookmarkEnd w:id="117"/>
      <w:bookmarkEnd w:id="118"/>
    </w:p>
    <w:p w14:paraId="533F4E15" w14:textId="77777777" w:rsidR="00AB6753" w:rsidRPr="00163047" w:rsidRDefault="00AB6753" w:rsidP="00AB6753">
      <w:pPr>
        <w:pStyle w:val="SubHeading"/>
        <w:numPr>
          <w:ilvl w:val="1"/>
          <w:numId w:val="56"/>
        </w:numPr>
        <w:ind w:left="454" w:hanging="454"/>
        <w:rPr>
          <w:sz w:val="20"/>
        </w:rPr>
      </w:pPr>
      <w:bookmarkStart w:id="119" w:name="_Toc443469529"/>
      <w:bookmarkStart w:id="120" w:name="_Toc444065781"/>
      <w:bookmarkStart w:id="121" w:name="_Toc444079978"/>
      <w:bookmarkStart w:id="122" w:name="_Toc450750162"/>
      <w:bookmarkStart w:id="123" w:name="_Ref456958600"/>
      <w:bookmarkStart w:id="124" w:name="_Toc45748807"/>
      <w:r w:rsidRPr="00163047">
        <w:rPr>
          <w:sz w:val="20"/>
        </w:rPr>
        <w:t>Financial Assets</w:t>
      </w:r>
      <w:bookmarkEnd w:id="119"/>
      <w:bookmarkEnd w:id="120"/>
      <w:bookmarkEnd w:id="121"/>
      <w:bookmarkEnd w:id="122"/>
      <w:bookmarkEnd w:id="123"/>
      <w:bookmarkEnd w:id="124"/>
    </w:p>
    <w:tbl>
      <w:tblPr>
        <w:tblW w:w="9411" w:type="dxa"/>
        <w:tblInd w:w="80" w:type="dxa"/>
        <w:tblLayout w:type="fixed"/>
        <w:tblLook w:val="04A0" w:firstRow="1" w:lastRow="0" w:firstColumn="1" w:lastColumn="0" w:noHBand="0" w:noVBand="1"/>
        <w:tblCaption w:val="Notes to and forming part of the financial statements"/>
        <w:tblDescription w:val="Departmental financial position"/>
      </w:tblPr>
      <w:tblGrid>
        <w:gridCol w:w="6561"/>
        <w:gridCol w:w="1288"/>
        <w:gridCol w:w="274"/>
        <w:gridCol w:w="1288"/>
      </w:tblGrid>
      <w:tr w:rsidR="00AB6753" w14:paraId="25C38749" w14:textId="77777777" w:rsidTr="002D1EA4">
        <w:trPr>
          <w:trHeight w:val="244"/>
        </w:trPr>
        <w:tc>
          <w:tcPr>
            <w:tcW w:w="6396" w:type="dxa"/>
            <w:tcBorders>
              <w:top w:val="nil"/>
              <w:left w:val="nil"/>
              <w:bottom w:val="nil"/>
              <w:right w:val="nil"/>
            </w:tcBorders>
            <w:shd w:val="clear" w:color="FFFFFF" w:fill="FFFFFF"/>
            <w:noWrap/>
            <w:vAlign w:val="bottom"/>
            <w:hideMark/>
          </w:tcPr>
          <w:p w14:paraId="3EA36846" w14:textId="77777777" w:rsidR="00AB6753" w:rsidRDefault="00AB6753" w:rsidP="002D1EA4">
            <w:pPr>
              <w:spacing w:after="0" w:line="240" w:lineRule="auto"/>
              <w:rPr>
                <w:rFonts w:cs="Arial"/>
                <w:sz w:val="18"/>
                <w:szCs w:val="18"/>
              </w:rPr>
            </w:pPr>
            <w:bookmarkStart w:id="125" w:name="Note_RECTABLE1" w:colFirst="0" w:colLast="0"/>
            <w:r>
              <w:rPr>
                <w:rFonts w:cs="Arial"/>
                <w:sz w:val="18"/>
                <w:szCs w:val="18"/>
              </w:rPr>
              <w:t> </w:t>
            </w:r>
          </w:p>
        </w:tc>
        <w:tc>
          <w:tcPr>
            <w:tcW w:w="1256" w:type="dxa"/>
            <w:tcBorders>
              <w:top w:val="nil"/>
              <w:left w:val="nil"/>
              <w:bottom w:val="nil"/>
              <w:right w:val="nil"/>
            </w:tcBorders>
            <w:shd w:val="clear" w:color="FFFFFF" w:fill="FFFFFF"/>
            <w:noWrap/>
            <w:vAlign w:val="bottom"/>
            <w:hideMark/>
          </w:tcPr>
          <w:p w14:paraId="1DE42DCF" w14:textId="77777777" w:rsidR="00AB6753" w:rsidRDefault="00AB6753" w:rsidP="002D1EA4">
            <w:pPr>
              <w:spacing w:after="0" w:line="240" w:lineRule="auto"/>
              <w:jc w:val="right"/>
              <w:rPr>
                <w:rFonts w:cs="Arial"/>
                <w:b/>
                <w:bCs/>
                <w:sz w:val="18"/>
                <w:szCs w:val="18"/>
              </w:rPr>
            </w:pPr>
            <w:r>
              <w:rPr>
                <w:rFonts w:cs="Arial"/>
                <w:b/>
                <w:bCs/>
                <w:sz w:val="18"/>
                <w:szCs w:val="18"/>
              </w:rPr>
              <w:t>2020</w:t>
            </w:r>
          </w:p>
        </w:tc>
        <w:tc>
          <w:tcPr>
            <w:tcW w:w="267" w:type="dxa"/>
            <w:tcBorders>
              <w:top w:val="nil"/>
              <w:left w:val="nil"/>
              <w:bottom w:val="nil"/>
              <w:right w:val="nil"/>
            </w:tcBorders>
            <w:shd w:val="clear" w:color="FFFFFF" w:fill="FFFFFF"/>
            <w:noWrap/>
            <w:vAlign w:val="bottom"/>
            <w:hideMark/>
          </w:tcPr>
          <w:p w14:paraId="55BE12A6"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77DE49D6" w14:textId="77777777" w:rsidR="00AB6753" w:rsidRDefault="00AB6753" w:rsidP="002D1EA4">
            <w:pPr>
              <w:spacing w:after="0" w:line="240" w:lineRule="auto"/>
              <w:jc w:val="right"/>
              <w:rPr>
                <w:rFonts w:cs="Arial"/>
                <w:sz w:val="18"/>
                <w:szCs w:val="18"/>
              </w:rPr>
            </w:pPr>
            <w:r>
              <w:rPr>
                <w:rFonts w:cs="Arial"/>
                <w:sz w:val="18"/>
                <w:szCs w:val="18"/>
              </w:rPr>
              <w:t>2019</w:t>
            </w:r>
          </w:p>
        </w:tc>
      </w:tr>
      <w:bookmarkEnd w:id="125"/>
      <w:tr w:rsidR="00AB6753" w14:paraId="72897A55" w14:textId="77777777" w:rsidTr="002D1EA4">
        <w:trPr>
          <w:trHeight w:val="244"/>
        </w:trPr>
        <w:tc>
          <w:tcPr>
            <w:tcW w:w="6396" w:type="dxa"/>
            <w:tcBorders>
              <w:top w:val="nil"/>
              <w:left w:val="nil"/>
              <w:bottom w:val="nil"/>
              <w:right w:val="nil"/>
            </w:tcBorders>
            <w:shd w:val="clear" w:color="FFFFFF" w:fill="FFFFFF"/>
            <w:noWrap/>
            <w:vAlign w:val="bottom"/>
            <w:hideMark/>
          </w:tcPr>
          <w:p w14:paraId="5929CEC3"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33EE077A" w14:textId="77777777" w:rsidR="00AB6753" w:rsidRDefault="00AB6753" w:rsidP="002D1EA4">
            <w:pPr>
              <w:spacing w:after="0" w:line="240" w:lineRule="auto"/>
              <w:jc w:val="right"/>
              <w:rPr>
                <w:rFonts w:cs="Arial"/>
                <w:b/>
                <w:bCs/>
                <w:sz w:val="18"/>
                <w:szCs w:val="18"/>
              </w:rPr>
            </w:pPr>
            <w:r>
              <w:rPr>
                <w:rFonts w:cs="Arial"/>
                <w:b/>
                <w:bCs/>
                <w:sz w:val="18"/>
                <w:szCs w:val="18"/>
              </w:rPr>
              <w:t>$'000</w:t>
            </w:r>
          </w:p>
        </w:tc>
        <w:tc>
          <w:tcPr>
            <w:tcW w:w="267" w:type="dxa"/>
            <w:tcBorders>
              <w:top w:val="nil"/>
              <w:left w:val="nil"/>
              <w:bottom w:val="nil"/>
              <w:right w:val="nil"/>
            </w:tcBorders>
            <w:shd w:val="clear" w:color="FFFFFF" w:fill="FFFFFF"/>
            <w:noWrap/>
            <w:vAlign w:val="bottom"/>
            <w:hideMark/>
          </w:tcPr>
          <w:p w14:paraId="4DA197BB"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4B46B48E" w14:textId="77777777" w:rsidR="00AB6753" w:rsidRDefault="00AB6753" w:rsidP="002D1EA4">
            <w:pPr>
              <w:spacing w:after="0" w:line="240" w:lineRule="auto"/>
              <w:jc w:val="right"/>
              <w:rPr>
                <w:rFonts w:cs="Arial"/>
                <w:sz w:val="18"/>
                <w:szCs w:val="18"/>
              </w:rPr>
            </w:pPr>
            <w:r>
              <w:rPr>
                <w:rFonts w:cs="Arial"/>
                <w:sz w:val="18"/>
                <w:szCs w:val="18"/>
              </w:rPr>
              <w:t>$'000</w:t>
            </w:r>
          </w:p>
        </w:tc>
      </w:tr>
      <w:tr w:rsidR="00AB6753" w14:paraId="6D38792A" w14:textId="77777777" w:rsidTr="002D1EA4">
        <w:trPr>
          <w:trHeight w:val="244"/>
        </w:trPr>
        <w:tc>
          <w:tcPr>
            <w:tcW w:w="6396" w:type="dxa"/>
            <w:tcBorders>
              <w:top w:val="nil"/>
              <w:left w:val="nil"/>
              <w:bottom w:val="nil"/>
              <w:right w:val="nil"/>
            </w:tcBorders>
            <w:shd w:val="clear" w:color="FFFFFF" w:fill="FFFFFF"/>
            <w:noWrap/>
            <w:vAlign w:val="bottom"/>
            <w:hideMark/>
          </w:tcPr>
          <w:p w14:paraId="1F270B69" w14:textId="77777777" w:rsidR="00AB6753" w:rsidRDefault="00AB6753" w:rsidP="002D1EA4">
            <w:pPr>
              <w:spacing w:after="0" w:line="240" w:lineRule="auto"/>
              <w:rPr>
                <w:rFonts w:cs="Arial"/>
                <w:b/>
                <w:bCs/>
                <w:sz w:val="18"/>
                <w:szCs w:val="18"/>
                <w:u w:val="single"/>
              </w:rPr>
            </w:pPr>
            <w:r>
              <w:rPr>
                <w:rFonts w:cs="Arial"/>
                <w:b/>
                <w:bCs/>
                <w:sz w:val="18"/>
                <w:szCs w:val="18"/>
                <w:u w:val="single"/>
              </w:rPr>
              <w:t>Note 3.1A: Trade and Other Receivables</w:t>
            </w:r>
          </w:p>
        </w:tc>
        <w:tc>
          <w:tcPr>
            <w:tcW w:w="1256" w:type="dxa"/>
            <w:tcBorders>
              <w:top w:val="nil"/>
              <w:left w:val="nil"/>
              <w:bottom w:val="nil"/>
              <w:right w:val="nil"/>
            </w:tcBorders>
            <w:shd w:val="clear" w:color="FFFFFF" w:fill="FFFFFF"/>
            <w:noWrap/>
            <w:vAlign w:val="bottom"/>
            <w:hideMark/>
          </w:tcPr>
          <w:p w14:paraId="37ED90CA" w14:textId="77777777" w:rsidR="00AB6753" w:rsidRDefault="00AB6753" w:rsidP="002D1EA4">
            <w:pPr>
              <w:spacing w:after="0" w:line="240" w:lineRule="auto"/>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2FD86076"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1AF968DC" w14:textId="77777777" w:rsidR="00AB6753" w:rsidRDefault="00AB6753" w:rsidP="002D1EA4">
            <w:pPr>
              <w:spacing w:after="0" w:line="240" w:lineRule="auto"/>
              <w:rPr>
                <w:rFonts w:cs="Arial"/>
                <w:sz w:val="18"/>
                <w:szCs w:val="18"/>
              </w:rPr>
            </w:pPr>
            <w:r>
              <w:rPr>
                <w:rFonts w:cs="Arial"/>
                <w:sz w:val="18"/>
                <w:szCs w:val="18"/>
              </w:rPr>
              <w:t> </w:t>
            </w:r>
          </w:p>
        </w:tc>
      </w:tr>
      <w:tr w:rsidR="00AB6753" w14:paraId="0EC02283" w14:textId="77777777" w:rsidTr="002D1EA4">
        <w:trPr>
          <w:trHeight w:val="244"/>
        </w:trPr>
        <w:tc>
          <w:tcPr>
            <w:tcW w:w="6396" w:type="dxa"/>
            <w:tcBorders>
              <w:top w:val="nil"/>
              <w:left w:val="nil"/>
              <w:bottom w:val="nil"/>
              <w:right w:val="nil"/>
            </w:tcBorders>
            <w:shd w:val="clear" w:color="FFFFFF" w:fill="FFFFFF"/>
            <w:noWrap/>
            <w:vAlign w:val="bottom"/>
            <w:hideMark/>
          </w:tcPr>
          <w:p w14:paraId="2A8D37C5" w14:textId="77777777" w:rsidR="00AB6753" w:rsidRDefault="00AB6753" w:rsidP="002D1EA4">
            <w:pPr>
              <w:spacing w:after="0" w:line="240" w:lineRule="auto"/>
              <w:rPr>
                <w:rFonts w:cs="Arial"/>
                <w:sz w:val="18"/>
                <w:szCs w:val="18"/>
              </w:rPr>
            </w:pPr>
            <w:r>
              <w:rPr>
                <w:rFonts w:cs="Arial"/>
                <w:sz w:val="18"/>
                <w:szCs w:val="18"/>
              </w:rPr>
              <w:t>Goods and services receivables</w:t>
            </w:r>
          </w:p>
        </w:tc>
        <w:tc>
          <w:tcPr>
            <w:tcW w:w="1256" w:type="dxa"/>
            <w:tcBorders>
              <w:top w:val="nil"/>
              <w:left w:val="nil"/>
              <w:bottom w:val="single" w:sz="4" w:space="0" w:color="auto"/>
              <w:right w:val="nil"/>
            </w:tcBorders>
            <w:shd w:val="clear" w:color="FFFFFF" w:fill="FFFFFF"/>
            <w:noWrap/>
            <w:vAlign w:val="bottom"/>
            <w:hideMark/>
          </w:tcPr>
          <w:p w14:paraId="06A14F9F" w14:textId="77777777" w:rsidR="00AB6753" w:rsidRDefault="00AB6753" w:rsidP="002D1EA4">
            <w:pPr>
              <w:spacing w:after="0" w:line="240" w:lineRule="auto"/>
              <w:jc w:val="right"/>
              <w:rPr>
                <w:rFonts w:cs="Arial"/>
                <w:b/>
                <w:bCs/>
                <w:sz w:val="18"/>
                <w:szCs w:val="18"/>
              </w:rPr>
            </w:pPr>
            <w:r>
              <w:rPr>
                <w:rFonts w:cs="Arial"/>
                <w:b/>
                <w:bCs/>
                <w:sz w:val="18"/>
                <w:szCs w:val="18"/>
              </w:rPr>
              <w:t>4,285</w:t>
            </w:r>
          </w:p>
        </w:tc>
        <w:tc>
          <w:tcPr>
            <w:tcW w:w="267" w:type="dxa"/>
            <w:tcBorders>
              <w:top w:val="nil"/>
              <w:left w:val="nil"/>
              <w:bottom w:val="nil"/>
              <w:right w:val="nil"/>
            </w:tcBorders>
            <w:shd w:val="clear" w:color="FFFFFF" w:fill="FFFFFF"/>
            <w:noWrap/>
            <w:vAlign w:val="bottom"/>
            <w:hideMark/>
          </w:tcPr>
          <w:p w14:paraId="75782C13"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single" w:sz="4" w:space="0" w:color="auto"/>
              <w:right w:val="nil"/>
            </w:tcBorders>
            <w:shd w:val="clear" w:color="FFFFFF" w:fill="FFFFFF"/>
            <w:noWrap/>
            <w:vAlign w:val="bottom"/>
            <w:hideMark/>
          </w:tcPr>
          <w:p w14:paraId="1E3FC047" w14:textId="77777777" w:rsidR="00AB6753" w:rsidRDefault="00AB6753" w:rsidP="002D1EA4">
            <w:pPr>
              <w:spacing w:after="0" w:line="240" w:lineRule="auto"/>
              <w:jc w:val="right"/>
              <w:rPr>
                <w:rFonts w:cs="Arial"/>
                <w:sz w:val="18"/>
                <w:szCs w:val="18"/>
              </w:rPr>
            </w:pPr>
            <w:r>
              <w:rPr>
                <w:rFonts w:cs="Arial"/>
                <w:sz w:val="18"/>
                <w:szCs w:val="18"/>
              </w:rPr>
              <w:t>5,858</w:t>
            </w:r>
          </w:p>
        </w:tc>
      </w:tr>
      <w:tr w:rsidR="00AB6753" w14:paraId="465FC9BE" w14:textId="77777777" w:rsidTr="002D1EA4">
        <w:trPr>
          <w:trHeight w:val="244"/>
        </w:trPr>
        <w:tc>
          <w:tcPr>
            <w:tcW w:w="6396" w:type="dxa"/>
            <w:tcBorders>
              <w:top w:val="nil"/>
              <w:left w:val="nil"/>
              <w:bottom w:val="nil"/>
              <w:right w:val="nil"/>
            </w:tcBorders>
            <w:shd w:val="clear" w:color="FFFFFF" w:fill="FFFFFF"/>
            <w:vAlign w:val="bottom"/>
            <w:hideMark/>
          </w:tcPr>
          <w:p w14:paraId="7BF8B056" w14:textId="77777777" w:rsidR="00AB6753" w:rsidRDefault="00AB6753" w:rsidP="002D1EA4">
            <w:pPr>
              <w:spacing w:after="0" w:line="240" w:lineRule="auto"/>
              <w:rPr>
                <w:rFonts w:cs="Arial"/>
                <w:b/>
                <w:bCs/>
                <w:sz w:val="18"/>
                <w:szCs w:val="18"/>
              </w:rPr>
            </w:pPr>
            <w:r>
              <w:rPr>
                <w:rFonts w:cs="Arial"/>
                <w:b/>
                <w:bCs/>
                <w:sz w:val="18"/>
                <w:szCs w:val="18"/>
              </w:rPr>
              <w:t> </w:t>
            </w:r>
          </w:p>
        </w:tc>
        <w:tc>
          <w:tcPr>
            <w:tcW w:w="1256" w:type="dxa"/>
            <w:tcBorders>
              <w:top w:val="nil"/>
              <w:left w:val="nil"/>
              <w:bottom w:val="nil"/>
              <w:right w:val="nil"/>
            </w:tcBorders>
            <w:shd w:val="clear" w:color="FFFFFF" w:fill="FFFFFF"/>
            <w:noWrap/>
            <w:vAlign w:val="bottom"/>
            <w:hideMark/>
          </w:tcPr>
          <w:p w14:paraId="0E91CEA7" w14:textId="77777777" w:rsidR="00AB6753" w:rsidRDefault="00AB6753" w:rsidP="002D1EA4">
            <w:pPr>
              <w:spacing w:after="0" w:line="240" w:lineRule="auto"/>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0AB19671"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59E52240"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26A128FC" w14:textId="77777777" w:rsidTr="002D1EA4">
        <w:trPr>
          <w:trHeight w:val="244"/>
        </w:trPr>
        <w:tc>
          <w:tcPr>
            <w:tcW w:w="6396" w:type="dxa"/>
            <w:tcBorders>
              <w:top w:val="nil"/>
              <w:left w:val="nil"/>
              <w:bottom w:val="nil"/>
              <w:right w:val="nil"/>
            </w:tcBorders>
            <w:shd w:val="clear" w:color="FFFFFF" w:fill="FFFFFF"/>
            <w:vAlign w:val="bottom"/>
            <w:hideMark/>
          </w:tcPr>
          <w:p w14:paraId="63CB455A" w14:textId="77777777" w:rsidR="00AB6753" w:rsidRDefault="00AB6753" w:rsidP="002D1EA4">
            <w:pPr>
              <w:spacing w:after="0" w:line="240" w:lineRule="auto"/>
              <w:rPr>
                <w:rFonts w:cs="Arial"/>
                <w:b/>
                <w:bCs/>
                <w:sz w:val="18"/>
                <w:szCs w:val="18"/>
              </w:rPr>
            </w:pPr>
            <w:r>
              <w:rPr>
                <w:rFonts w:cs="Arial"/>
                <w:b/>
                <w:bCs/>
                <w:sz w:val="18"/>
                <w:szCs w:val="18"/>
              </w:rPr>
              <w:t>Appropriations receivables:</w:t>
            </w:r>
          </w:p>
        </w:tc>
        <w:tc>
          <w:tcPr>
            <w:tcW w:w="1256" w:type="dxa"/>
            <w:tcBorders>
              <w:top w:val="nil"/>
              <w:left w:val="nil"/>
              <w:bottom w:val="nil"/>
              <w:right w:val="nil"/>
            </w:tcBorders>
            <w:shd w:val="clear" w:color="FFFFFF" w:fill="FFFFFF"/>
            <w:noWrap/>
            <w:vAlign w:val="bottom"/>
            <w:hideMark/>
          </w:tcPr>
          <w:p w14:paraId="08308AE7" w14:textId="77777777" w:rsidR="00AB6753" w:rsidRDefault="00AB6753" w:rsidP="002D1EA4">
            <w:pPr>
              <w:spacing w:after="0" w:line="240" w:lineRule="auto"/>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494D8766"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3E5038D5"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6CC02A28" w14:textId="77777777" w:rsidTr="002D1EA4">
        <w:trPr>
          <w:trHeight w:val="244"/>
        </w:trPr>
        <w:tc>
          <w:tcPr>
            <w:tcW w:w="6396" w:type="dxa"/>
            <w:tcBorders>
              <w:top w:val="nil"/>
              <w:left w:val="nil"/>
              <w:bottom w:val="nil"/>
              <w:right w:val="nil"/>
            </w:tcBorders>
            <w:shd w:val="clear" w:color="FFFFFF" w:fill="FFFFFF"/>
            <w:noWrap/>
            <w:vAlign w:val="bottom"/>
            <w:hideMark/>
          </w:tcPr>
          <w:p w14:paraId="0FAE0AB7" w14:textId="77777777" w:rsidR="00AB6753" w:rsidRDefault="00AB6753" w:rsidP="002D1EA4">
            <w:pPr>
              <w:spacing w:after="0" w:line="240" w:lineRule="auto"/>
              <w:ind w:firstLineChars="100" w:firstLine="180"/>
              <w:rPr>
                <w:rFonts w:cs="Arial"/>
                <w:sz w:val="18"/>
                <w:szCs w:val="18"/>
              </w:rPr>
            </w:pPr>
            <w:r>
              <w:rPr>
                <w:rFonts w:cs="Arial"/>
                <w:sz w:val="18"/>
                <w:szCs w:val="18"/>
              </w:rPr>
              <w:t>For ordinary annual appropriation</w:t>
            </w:r>
          </w:p>
        </w:tc>
        <w:tc>
          <w:tcPr>
            <w:tcW w:w="1256" w:type="dxa"/>
            <w:tcBorders>
              <w:top w:val="nil"/>
              <w:left w:val="nil"/>
              <w:bottom w:val="nil"/>
              <w:right w:val="nil"/>
            </w:tcBorders>
            <w:shd w:val="clear" w:color="FFFFFF" w:fill="FFFFFF"/>
            <w:noWrap/>
            <w:vAlign w:val="bottom"/>
            <w:hideMark/>
          </w:tcPr>
          <w:p w14:paraId="22DDC6AE" w14:textId="77777777" w:rsidR="00AB6753" w:rsidRDefault="00AB6753" w:rsidP="002D1EA4">
            <w:pPr>
              <w:spacing w:after="0" w:line="240" w:lineRule="auto"/>
              <w:jc w:val="right"/>
              <w:rPr>
                <w:rFonts w:cs="Arial"/>
                <w:b/>
                <w:bCs/>
                <w:sz w:val="18"/>
                <w:szCs w:val="18"/>
              </w:rPr>
            </w:pPr>
            <w:r>
              <w:rPr>
                <w:rFonts w:cs="Arial"/>
                <w:b/>
                <w:bCs/>
                <w:sz w:val="18"/>
                <w:szCs w:val="18"/>
              </w:rPr>
              <w:t>77,059</w:t>
            </w:r>
          </w:p>
        </w:tc>
        <w:tc>
          <w:tcPr>
            <w:tcW w:w="267" w:type="dxa"/>
            <w:tcBorders>
              <w:top w:val="nil"/>
              <w:left w:val="nil"/>
              <w:bottom w:val="nil"/>
              <w:right w:val="nil"/>
            </w:tcBorders>
            <w:shd w:val="clear" w:color="FFFFFF" w:fill="FFFFFF"/>
            <w:noWrap/>
            <w:vAlign w:val="bottom"/>
            <w:hideMark/>
          </w:tcPr>
          <w:p w14:paraId="311BBD88"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1042C65A" w14:textId="77777777" w:rsidR="00AB6753" w:rsidRDefault="00AB6753" w:rsidP="002D1EA4">
            <w:pPr>
              <w:spacing w:after="0" w:line="240" w:lineRule="auto"/>
              <w:jc w:val="right"/>
              <w:rPr>
                <w:rFonts w:cs="Arial"/>
                <w:sz w:val="18"/>
                <w:szCs w:val="18"/>
              </w:rPr>
            </w:pPr>
            <w:r>
              <w:rPr>
                <w:rFonts w:cs="Arial"/>
                <w:sz w:val="18"/>
                <w:szCs w:val="18"/>
              </w:rPr>
              <w:t>74,927</w:t>
            </w:r>
          </w:p>
        </w:tc>
      </w:tr>
      <w:tr w:rsidR="00AB6753" w14:paraId="15CAA52E" w14:textId="77777777" w:rsidTr="002D1EA4">
        <w:trPr>
          <w:trHeight w:val="244"/>
        </w:trPr>
        <w:tc>
          <w:tcPr>
            <w:tcW w:w="6396" w:type="dxa"/>
            <w:tcBorders>
              <w:top w:val="nil"/>
              <w:left w:val="nil"/>
              <w:bottom w:val="nil"/>
              <w:right w:val="nil"/>
            </w:tcBorders>
            <w:shd w:val="clear" w:color="FFFFFF" w:fill="FFFFFF"/>
            <w:noWrap/>
            <w:vAlign w:val="bottom"/>
            <w:hideMark/>
          </w:tcPr>
          <w:p w14:paraId="231E3AF7" w14:textId="77777777" w:rsidR="00AB6753" w:rsidRDefault="00AB6753" w:rsidP="002D1EA4">
            <w:pPr>
              <w:spacing w:after="0" w:line="240" w:lineRule="auto"/>
              <w:ind w:firstLineChars="100" w:firstLine="180"/>
              <w:rPr>
                <w:rFonts w:cs="Arial"/>
                <w:sz w:val="18"/>
                <w:szCs w:val="18"/>
              </w:rPr>
            </w:pPr>
            <w:r>
              <w:rPr>
                <w:rFonts w:cs="Arial"/>
                <w:sz w:val="18"/>
                <w:szCs w:val="18"/>
              </w:rPr>
              <w:t>For equity injection</w:t>
            </w:r>
          </w:p>
        </w:tc>
        <w:tc>
          <w:tcPr>
            <w:tcW w:w="1256" w:type="dxa"/>
            <w:tcBorders>
              <w:top w:val="nil"/>
              <w:left w:val="nil"/>
              <w:bottom w:val="nil"/>
              <w:right w:val="nil"/>
            </w:tcBorders>
            <w:shd w:val="clear" w:color="FFFFFF" w:fill="FFFFFF"/>
            <w:noWrap/>
            <w:vAlign w:val="bottom"/>
            <w:hideMark/>
          </w:tcPr>
          <w:p w14:paraId="59C8E813" w14:textId="77777777" w:rsidR="00AB6753" w:rsidRDefault="00AB6753" w:rsidP="002D1EA4">
            <w:pPr>
              <w:spacing w:after="0" w:line="240" w:lineRule="auto"/>
              <w:jc w:val="right"/>
              <w:rPr>
                <w:rFonts w:cs="Arial"/>
                <w:b/>
                <w:bCs/>
                <w:sz w:val="18"/>
                <w:szCs w:val="18"/>
              </w:rPr>
            </w:pPr>
            <w:r>
              <w:rPr>
                <w:rFonts w:cs="Arial"/>
                <w:b/>
                <w:bCs/>
                <w:sz w:val="18"/>
                <w:szCs w:val="18"/>
              </w:rPr>
              <w:t>1,409</w:t>
            </w:r>
          </w:p>
        </w:tc>
        <w:tc>
          <w:tcPr>
            <w:tcW w:w="267" w:type="dxa"/>
            <w:tcBorders>
              <w:top w:val="nil"/>
              <w:left w:val="nil"/>
              <w:bottom w:val="nil"/>
              <w:right w:val="nil"/>
            </w:tcBorders>
            <w:shd w:val="clear" w:color="FFFFFF" w:fill="FFFFFF"/>
            <w:noWrap/>
            <w:vAlign w:val="bottom"/>
            <w:hideMark/>
          </w:tcPr>
          <w:p w14:paraId="0B7C12A6"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31E41371" w14:textId="77777777" w:rsidR="00AB6753" w:rsidRDefault="00AB6753" w:rsidP="002D1EA4">
            <w:pPr>
              <w:spacing w:after="0" w:line="240" w:lineRule="auto"/>
              <w:jc w:val="right"/>
              <w:rPr>
                <w:rFonts w:cs="Arial"/>
                <w:sz w:val="18"/>
                <w:szCs w:val="18"/>
              </w:rPr>
            </w:pPr>
            <w:r>
              <w:rPr>
                <w:rFonts w:cs="Arial"/>
                <w:sz w:val="18"/>
                <w:szCs w:val="18"/>
              </w:rPr>
              <w:t>2,539</w:t>
            </w:r>
          </w:p>
        </w:tc>
      </w:tr>
      <w:tr w:rsidR="00AB6753" w14:paraId="6304DB76" w14:textId="77777777" w:rsidTr="002D1EA4">
        <w:trPr>
          <w:trHeight w:val="244"/>
        </w:trPr>
        <w:tc>
          <w:tcPr>
            <w:tcW w:w="6396" w:type="dxa"/>
            <w:tcBorders>
              <w:top w:val="nil"/>
              <w:left w:val="nil"/>
              <w:bottom w:val="nil"/>
              <w:right w:val="nil"/>
            </w:tcBorders>
            <w:shd w:val="clear" w:color="FFFFFF" w:fill="FFFFFF"/>
            <w:noWrap/>
            <w:vAlign w:val="bottom"/>
            <w:hideMark/>
          </w:tcPr>
          <w:p w14:paraId="1A2F81FF" w14:textId="77777777" w:rsidR="00AB6753" w:rsidRDefault="00AB6753" w:rsidP="002D1EA4">
            <w:pPr>
              <w:spacing w:after="0" w:line="240" w:lineRule="auto"/>
              <w:ind w:firstLineChars="100" w:firstLine="180"/>
              <w:rPr>
                <w:rFonts w:cs="Arial"/>
                <w:sz w:val="18"/>
                <w:szCs w:val="18"/>
              </w:rPr>
            </w:pPr>
            <w:r>
              <w:rPr>
                <w:rFonts w:cs="Arial"/>
                <w:sz w:val="18"/>
                <w:szCs w:val="18"/>
              </w:rPr>
              <w:t>For departmental capital budget</w:t>
            </w:r>
          </w:p>
        </w:tc>
        <w:tc>
          <w:tcPr>
            <w:tcW w:w="1256" w:type="dxa"/>
            <w:tcBorders>
              <w:top w:val="nil"/>
              <w:left w:val="nil"/>
              <w:bottom w:val="nil"/>
              <w:right w:val="nil"/>
            </w:tcBorders>
            <w:shd w:val="clear" w:color="FFFFFF" w:fill="FFFFFF"/>
            <w:noWrap/>
            <w:vAlign w:val="bottom"/>
            <w:hideMark/>
          </w:tcPr>
          <w:p w14:paraId="2B9AD487" w14:textId="77777777" w:rsidR="00AB6753" w:rsidRDefault="00AB6753" w:rsidP="002D1EA4">
            <w:pPr>
              <w:spacing w:after="0" w:line="240" w:lineRule="auto"/>
              <w:jc w:val="right"/>
              <w:rPr>
                <w:rFonts w:cs="Arial"/>
                <w:b/>
                <w:bCs/>
                <w:sz w:val="18"/>
                <w:szCs w:val="18"/>
              </w:rPr>
            </w:pPr>
            <w:r>
              <w:rPr>
                <w:rFonts w:cs="Arial"/>
                <w:b/>
                <w:bCs/>
                <w:sz w:val="18"/>
                <w:szCs w:val="18"/>
              </w:rPr>
              <w:t>1,424</w:t>
            </w:r>
          </w:p>
        </w:tc>
        <w:tc>
          <w:tcPr>
            <w:tcW w:w="267" w:type="dxa"/>
            <w:tcBorders>
              <w:top w:val="nil"/>
              <w:left w:val="nil"/>
              <w:bottom w:val="nil"/>
              <w:right w:val="nil"/>
            </w:tcBorders>
            <w:shd w:val="clear" w:color="FFFFFF" w:fill="FFFFFF"/>
            <w:noWrap/>
            <w:vAlign w:val="bottom"/>
            <w:hideMark/>
          </w:tcPr>
          <w:p w14:paraId="6DD7FE0E"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123A5613" w14:textId="77777777" w:rsidR="00AB6753" w:rsidRDefault="00AB6753" w:rsidP="002D1EA4">
            <w:pPr>
              <w:spacing w:after="0" w:line="240" w:lineRule="auto"/>
              <w:jc w:val="right"/>
              <w:rPr>
                <w:rFonts w:cs="Arial"/>
                <w:sz w:val="18"/>
                <w:szCs w:val="18"/>
              </w:rPr>
            </w:pPr>
            <w:r>
              <w:rPr>
                <w:rFonts w:cs="Arial"/>
                <w:sz w:val="18"/>
                <w:szCs w:val="18"/>
              </w:rPr>
              <w:t>2,336</w:t>
            </w:r>
          </w:p>
        </w:tc>
      </w:tr>
      <w:tr w:rsidR="00AB6753" w14:paraId="376C237A" w14:textId="77777777" w:rsidTr="002D1EA4">
        <w:trPr>
          <w:trHeight w:val="244"/>
        </w:trPr>
        <w:tc>
          <w:tcPr>
            <w:tcW w:w="6396" w:type="dxa"/>
            <w:tcBorders>
              <w:top w:val="nil"/>
              <w:left w:val="nil"/>
              <w:bottom w:val="nil"/>
              <w:right w:val="nil"/>
            </w:tcBorders>
            <w:shd w:val="clear" w:color="FFFFFF" w:fill="FFFFFF"/>
            <w:vAlign w:val="bottom"/>
            <w:hideMark/>
          </w:tcPr>
          <w:p w14:paraId="4C641F6C" w14:textId="77777777" w:rsidR="00AB6753" w:rsidRDefault="00AB6753" w:rsidP="002D1EA4">
            <w:pPr>
              <w:spacing w:after="0" w:line="240" w:lineRule="auto"/>
              <w:rPr>
                <w:rFonts w:cs="Arial"/>
                <w:b/>
                <w:bCs/>
                <w:sz w:val="18"/>
                <w:szCs w:val="18"/>
              </w:rPr>
            </w:pPr>
            <w:r>
              <w:rPr>
                <w:rFonts w:cs="Arial"/>
                <w:b/>
                <w:bCs/>
                <w:sz w:val="18"/>
                <w:szCs w:val="18"/>
              </w:rPr>
              <w:t>Total appropriations receivables</w:t>
            </w:r>
          </w:p>
        </w:tc>
        <w:tc>
          <w:tcPr>
            <w:tcW w:w="1256" w:type="dxa"/>
            <w:tcBorders>
              <w:top w:val="single" w:sz="4" w:space="0" w:color="auto"/>
              <w:left w:val="nil"/>
              <w:bottom w:val="single" w:sz="4" w:space="0" w:color="auto"/>
              <w:right w:val="nil"/>
            </w:tcBorders>
            <w:shd w:val="clear" w:color="FFFFFF" w:fill="FFFFFF"/>
            <w:noWrap/>
            <w:vAlign w:val="bottom"/>
            <w:hideMark/>
          </w:tcPr>
          <w:p w14:paraId="38165F1B" w14:textId="77777777" w:rsidR="00AB6753" w:rsidRDefault="00AB6753" w:rsidP="002D1EA4">
            <w:pPr>
              <w:spacing w:after="0" w:line="240" w:lineRule="auto"/>
              <w:jc w:val="right"/>
              <w:rPr>
                <w:rFonts w:cs="Arial"/>
                <w:b/>
                <w:bCs/>
                <w:sz w:val="18"/>
                <w:szCs w:val="18"/>
              </w:rPr>
            </w:pPr>
            <w:r>
              <w:rPr>
                <w:rFonts w:cs="Arial"/>
                <w:b/>
                <w:bCs/>
                <w:sz w:val="18"/>
                <w:szCs w:val="18"/>
              </w:rPr>
              <w:t>79,892</w:t>
            </w:r>
          </w:p>
        </w:tc>
        <w:tc>
          <w:tcPr>
            <w:tcW w:w="267" w:type="dxa"/>
            <w:tcBorders>
              <w:top w:val="nil"/>
              <w:left w:val="nil"/>
              <w:bottom w:val="nil"/>
              <w:right w:val="nil"/>
            </w:tcBorders>
            <w:shd w:val="clear" w:color="FFFFFF" w:fill="FFFFFF"/>
            <w:noWrap/>
            <w:vAlign w:val="bottom"/>
            <w:hideMark/>
          </w:tcPr>
          <w:p w14:paraId="4D4B65BA"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608A5F05" w14:textId="77777777" w:rsidR="00AB6753" w:rsidRDefault="00AB6753" w:rsidP="002D1EA4">
            <w:pPr>
              <w:spacing w:after="0" w:line="240" w:lineRule="auto"/>
              <w:jc w:val="right"/>
              <w:rPr>
                <w:rFonts w:cs="Arial"/>
                <w:sz w:val="18"/>
                <w:szCs w:val="18"/>
              </w:rPr>
            </w:pPr>
            <w:r>
              <w:rPr>
                <w:rFonts w:cs="Arial"/>
                <w:sz w:val="18"/>
                <w:szCs w:val="18"/>
              </w:rPr>
              <w:t>79,802</w:t>
            </w:r>
          </w:p>
        </w:tc>
      </w:tr>
      <w:tr w:rsidR="00AB6753" w14:paraId="7007A505" w14:textId="77777777" w:rsidTr="002D1EA4">
        <w:trPr>
          <w:trHeight w:val="244"/>
        </w:trPr>
        <w:tc>
          <w:tcPr>
            <w:tcW w:w="6396" w:type="dxa"/>
            <w:tcBorders>
              <w:top w:val="nil"/>
              <w:left w:val="nil"/>
              <w:bottom w:val="nil"/>
              <w:right w:val="nil"/>
            </w:tcBorders>
            <w:shd w:val="clear" w:color="FFFFFF" w:fill="FFFFFF"/>
            <w:noWrap/>
            <w:vAlign w:val="bottom"/>
            <w:hideMark/>
          </w:tcPr>
          <w:p w14:paraId="4A99BEEF"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073EB8D6" w14:textId="77777777" w:rsidR="00AB6753" w:rsidRDefault="00AB6753" w:rsidP="002D1EA4">
            <w:pPr>
              <w:spacing w:after="0" w:line="240" w:lineRule="auto"/>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0C458D56"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634BDA6E"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30759158" w14:textId="77777777" w:rsidTr="002D1EA4">
        <w:trPr>
          <w:trHeight w:val="244"/>
        </w:trPr>
        <w:tc>
          <w:tcPr>
            <w:tcW w:w="6396" w:type="dxa"/>
            <w:tcBorders>
              <w:top w:val="nil"/>
              <w:left w:val="nil"/>
              <w:bottom w:val="nil"/>
              <w:right w:val="nil"/>
            </w:tcBorders>
            <w:shd w:val="clear" w:color="FFFFFF" w:fill="FFFFFF"/>
            <w:vAlign w:val="bottom"/>
            <w:hideMark/>
          </w:tcPr>
          <w:p w14:paraId="7052A2B4" w14:textId="77777777" w:rsidR="00AB6753" w:rsidRDefault="00AB6753" w:rsidP="002D1EA4">
            <w:pPr>
              <w:spacing w:after="0" w:line="240" w:lineRule="auto"/>
              <w:rPr>
                <w:rFonts w:cs="Arial"/>
                <w:b/>
                <w:bCs/>
                <w:sz w:val="18"/>
                <w:szCs w:val="18"/>
              </w:rPr>
            </w:pPr>
            <w:r>
              <w:rPr>
                <w:rFonts w:cs="Arial"/>
                <w:b/>
                <w:bCs/>
                <w:sz w:val="18"/>
                <w:szCs w:val="18"/>
              </w:rPr>
              <w:t>Other receivables:</w:t>
            </w:r>
          </w:p>
        </w:tc>
        <w:tc>
          <w:tcPr>
            <w:tcW w:w="1256" w:type="dxa"/>
            <w:tcBorders>
              <w:top w:val="nil"/>
              <w:left w:val="nil"/>
              <w:bottom w:val="nil"/>
              <w:right w:val="nil"/>
            </w:tcBorders>
            <w:shd w:val="clear" w:color="FFFFFF" w:fill="FFFFFF"/>
            <w:noWrap/>
            <w:vAlign w:val="bottom"/>
            <w:hideMark/>
          </w:tcPr>
          <w:p w14:paraId="2D38D731" w14:textId="77777777" w:rsidR="00AB6753" w:rsidRDefault="00AB6753" w:rsidP="002D1EA4">
            <w:pPr>
              <w:spacing w:after="0" w:line="240" w:lineRule="auto"/>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78A439C1"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4F48A1D7"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366F600D" w14:textId="77777777" w:rsidTr="002D1EA4">
        <w:trPr>
          <w:trHeight w:val="244"/>
        </w:trPr>
        <w:tc>
          <w:tcPr>
            <w:tcW w:w="6396" w:type="dxa"/>
            <w:tcBorders>
              <w:top w:val="nil"/>
              <w:left w:val="nil"/>
              <w:bottom w:val="nil"/>
              <w:right w:val="nil"/>
            </w:tcBorders>
            <w:shd w:val="clear" w:color="FFFFFF" w:fill="FFFFFF"/>
            <w:noWrap/>
            <w:vAlign w:val="bottom"/>
            <w:hideMark/>
          </w:tcPr>
          <w:p w14:paraId="2955A773" w14:textId="77777777" w:rsidR="00AB6753" w:rsidRDefault="00AB6753" w:rsidP="002D1EA4">
            <w:pPr>
              <w:spacing w:after="0" w:line="240" w:lineRule="auto"/>
              <w:ind w:firstLineChars="100" w:firstLine="180"/>
              <w:rPr>
                <w:rFonts w:cs="Arial"/>
                <w:sz w:val="18"/>
                <w:szCs w:val="18"/>
              </w:rPr>
            </w:pPr>
            <w:r>
              <w:rPr>
                <w:rFonts w:cs="Arial"/>
                <w:sz w:val="18"/>
                <w:szCs w:val="18"/>
              </w:rPr>
              <w:t>GST receivable from the Australian Taxation Office</w:t>
            </w:r>
          </w:p>
        </w:tc>
        <w:tc>
          <w:tcPr>
            <w:tcW w:w="1256" w:type="dxa"/>
            <w:tcBorders>
              <w:top w:val="nil"/>
              <w:left w:val="nil"/>
              <w:bottom w:val="nil"/>
              <w:right w:val="nil"/>
            </w:tcBorders>
            <w:shd w:val="clear" w:color="FFFFFF" w:fill="FFFFFF"/>
            <w:noWrap/>
            <w:vAlign w:val="bottom"/>
            <w:hideMark/>
          </w:tcPr>
          <w:p w14:paraId="5605AF62" w14:textId="77777777" w:rsidR="00AB6753" w:rsidRDefault="00AB6753" w:rsidP="002D1EA4">
            <w:pPr>
              <w:spacing w:after="0" w:line="240" w:lineRule="auto"/>
              <w:jc w:val="right"/>
              <w:rPr>
                <w:rFonts w:cs="Arial"/>
                <w:b/>
                <w:bCs/>
                <w:sz w:val="18"/>
                <w:szCs w:val="18"/>
              </w:rPr>
            </w:pPr>
            <w:r>
              <w:rPr>
                <w:rFonts w:cs="Arial"/>
                <w:b/>
                <w:bCs/>
                <w:sz w:val="18"/>
                <w:szCs w:val="18"/>
              </w:rPr>
              <w:t>1,374</w:t>
            </w:r>
          </w:p>
        </w:tc>
        <w:tc>
          <w:tcPr>
            <w:tcW w:w="267" w:type="dxa"/>
            <w:tcBorders>
              <w:top w:val="nil"/>
              <w:left w:val="nil"/>
              <w:bottom w:val="nil"/>
              <w:right w:val="nil"/>
            </w:tcBorders>
            <w:shd w:val="clear" w:color="FFFFFF" w:fill="FFFFFF"/>
            <w:noWrap/>
            <w:vAlign w:val="bottom"/>
            <w:hideMark/>
          </w:tcPr>
          <w:p w14:paraId="33261CD1"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582C4C13" w14:textId="77777777" w:rsidR="00AB6753" w:rsidRDefault="00AB6753" w:rsidP="002D1EA4">
            <w:pPr>
              <w:spacing w:after="0" w:line="240" w:lineRule="auto"/>
              <w:jc w:val="right"/>
              <w:rPr>
                <w:rFonts w:cs="Arial"/>
                <w:sz w:val="18"/>
                <w:szCs w:val="18"/>
              </w:rPr>
            </w:pPr>
            <w:r>
              <w:rPr>
                <w:rFonts w:cs="Arial"/>
                <w:sz w:val="18"/>
                <w:szCs w:val="18"/>
              </w:rPr>
              <w:t>3,342</w:t>
            </w:r>
          </w:p>
        </w:tc>
      </w:tr>
      <w:tr w:rsidR="00AB6753" w14:paraId="17A5C24B" w14:textId="77777777" w:rsidTr="002D1EA4">
        <w:trPr>
          <w:trHeight w:val="244"/>
        </w:trPr>
        <w:tc>
          <w:tcPr>
            <w:tcW w:w="6396" w:type="dxa"/>
            <w:tcBorders>
              <w:top w:val="nil"/>
              <w:left w:val="nil"/>
              <w:bottom w:val="nil"/>
              <w:right w:val="nil"/>
            </w:tcBorders>
            <w:shd w:val="clear" w:color="FFFFFF" w:fill="FFFFFF"/>
            <w:noWrap/>
            <w:vAlign w:val="bottom"/>
            <w:hideMark/>
          </w:tcPr>
          <w:p w14:paraId="69C4A2D2" w14:textId="77777777" w:rsidR="00AB6753" w:rsidRDefault="00AB6753" w:rsidP="002D1EA4">
            <w:pPr>
              <w:spacing w:after="0" w:line="240" w:lineRule="auto"/>
              <w:ind w:firstLineChars="100" w:firstLine="180"/>
              <w:rPr>
                <w:rFonts w:cs="Arial"/>
                <w:sz w:val="18"/>
                <w:szCs w:val="18"/>
              </w:rPr>
            </w:pPr>
            <w:r>
              <w:rPr>
                <w:rFonts w:cs="Arial"/>
                <w:sz w:val="18"/>
                <w:szCs w:val="18"/>
              </w:rPr>
              <w:t>Other</w:t>
            </w:r>
          </w:p>
        </w:tc>
        <w:tc>
          <w:tcPr>
            <w:tcW w:w="1256" w:type="dxa"/>
            <w:tcBorders>
              <w:top w:val="nil"/>
              <w:left w:val="nil"/>
              <w:bottom w:val="nil"/>
              <w:right w:val="nil"/>
            </w:tcBorders>
            <w:shd w:val="clear" w:color="FFFFFF" w:fill="FFFFFF"/>
            <w:noWrap/>
            <w:vAlign w:val="bottom"/>
            <w:hideMark/>
          </w:tcPr>
          <w:p w14:paraId="37A732CC" w14:textId="77777777" w:rsidR="00AB6753" w:rsidRDefault="00AB6753" w:rsidP="002D1EA4">
            <w:pPr>
              <w:spacing w:after="0" w:line="240" w:lineRule="auto"/>
              <w:jc w:val="right"/>
              <w:rPr>
                <w:rFonts w:cs="Arial"/>
                <w:b/>
                <w:bCs/>
                <w:sz w:val="18"/>
                <w:szCs w:val="18"/>
              </w:rPr>
            </w:pPr>
            <w:r>
              <w:rPr>
                <w:rFonts w:cs="Arial"/>
                <w:b/>
                <w:bCs/>
                <w:sz w:val="18"/>
                <w:szCs w:val="18"/>
              </w:rPr>
              <w:t>85</w:t>
            </w:r>
          </w:p>
        </w:tc>
        <w:tc>
          <w:tcPr>
            <w:tcW w:w="267" w:type="dxa"/>
            <w:tcBorders>
              <w:top w:val="nil"/>
              <w:left w:val="nil"/>
              <w:bottom w:val="nil"/>
              <w:right w:val="nil"/>
            </w:tcBorders>
            <w:shd w:val="clear" w:color="FFFFFF" w:fill="FFFFFF"/>
            <w:noWrap/>
            <w:vAlign w:val="bottom"/>
            <w:hideMark/>
          </w:tcPr>
          <w:p w14:paraId="24549427"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5BC4600D" w14:textId="77777777" w:rsidR="00AB6753" w:rsidRDefault="00AB6753" w:rsidP="002D1EA4">
            <w:pPr>
              <w:spacing w:after="0" w:line="240" w:lineRule="auto"/>
              <w:jc w:val="right"/>
              <w:rPr>
                <w:rFonts w:cs="Arial"/>
                <w:sz w:val="18"/>
                <w:szCs w:val="18"/>
              </w:rPr>
            </w:pPr>
            <w:r>
              <w:rPr>
                <w:rFonts w:cs="Arial"/>
                <w:sz w:val="18"/>
                <w:szCs w:val="18"/>
              </w:rPr>
              <w:t>1,244</w:t>
            </w:r>
          </w:p>
        </w:tc>
      </w:tr>
      <w:tr w:rsidR="00AB6753" w14:paraId="4A2E4142" w14:textId="77777777" w:rsidTr="002D1EA4">
        <w:trPr>
          <w:trHeight w:val="244"/>
        </w:trPr>
        <w:tc>
          <w:tcPr>
            <w:tcW w:w="6396" w:type="dxa"/>
            <w:tcBorders>
              <w:top w:val="nil"/>
              <w:left w:val="nil"/>
              <w:bottom w:val="nil"/>
              <w:right w:val="nil"/>
            </w:tcBorders>
            <w:shd w:val="clear" w:color="FFFFFF" w:fill="FFFFFF"/>
            <w:vAlign w:val="bottom"/>
            <w:hideMark/>
          </w:tcPr>
          <w:p w14:paraId="4D1B7C7B" w14:textId="77777777" w:rsidR="00AB6753" w:rsidRDefault="00AB6753" w:rsidP="002D1EA4">
            <w:pPr>
              <w:spacing w:after="0" w:line="240" w:lineRule="auto"/>
              <w:rPr>
                <w:rFonts w:cs="Arial"/>
                <w:b/>
                <w:bCs/>
                <w:sz w:val="18"/>
                <w:szCs w:val="18"/>
              </w:rPr>
            </w:pPr>
            <w:r>
              <w:rPr>
                <w:rFonts w:cs="Arial"/>
                <w:b/>
                <w:bCs/>
                <w:sz w:val="18"/>
                <w:szCs w:val="18"/>
              </w:rPr>
              <w:t>Total other receivables</w:t>
            </w:r>
          </w:p>
        </w:tc>
        <w:tc>
          <w:tcPr>
            <w:tcW w:w="1256" w:type="dxa"/>
            <w:tcBorders>
              <w:top w:val="single" w:sz="4" w:space="0" w:color="auto"/>
              <w:left w:val="nil"/>
              <w:bottom w:val="single" w:sz="4" w:space="0" w:color="auto"/>
              <w:right w:val="nil"/>
            </w:tcBorders>
            <w:shd w:val="clear" w:color="FFFFFF" w:fill="FFFFFF"/>
            <w:noWrap/>
            <w:vAlign w:val="bottom"/>
            <w:hideMark/>
          </w:tcPr>
          <w:p w14:paraId="32834E3B" w14:textId="77777777" w:rsidR="00AB6753" w:rsidRDefault="00AB6753" w:rsidP="002D1EA4">
            <w:pPr>
              <w:spacing w:after="0" w:line="240" w:lineRule="auto"/>
              <w:jc w:val="right"/>
              <w:rPr>
                <w:rFonts w:cs="Arial"/>
                <w:b/>
                <w:bCs/>
                <w:sz w:val="18"/>
                <w:szCs w:val="18"/>
              </w:rPr>
            </w:pPr>
            <w:r>
              <w:rPr>
                <w:rFonts w:cs="Arial"/>
                <w:b/>
                <w:bCs/>
                <w:sz w:val="18"/>
                <w:szCs w:val="18"/>
              </w:rPr>
              <w:t>1,459</w:t>
            </w:r>
          </w:p>
        </w:tc>
        <w:tc>
          <w:tcPr>
            <w:tcW w:w="267" w:type="dxa"/>
            <w:tcBorders>
              <w:top w:val="nil"/>
              <w:left w:val="nil"/>
              <w:bottom w:val="nil"/>
              <w:right w:val="nil"/>
            </w:tcBorders>
            <w:shd w:val="clear" w:color="FFFFFF" w:fill="FFFFFF"/>
            <w:noWrap/>
            <w:vAlign w:val="bottom"/>
            <w:hideMark/>
          </w:tcPr>
          <w:p w14:paraId="725CF536"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73381944" w14:textId="77777777" w:rsidR="00AB6753" w:rsidRDefault="00AB6753" w:rsidP="002D1EA4">
            <w:pPr>
              <w:spacing w:after="0" w:line="240" w:lineRule="auto"/>
              <w:jc w:val="right"/>
              <w:rPr>
                <w:rFonts w:cs="Arial"/>
                <w:sz w:val="18"/>
                <w:szCs w:val="18"/>
              </w:rPr>
            </w:pPr>
            <w:r>
              <w:rPr>
                <w:rFonts w:cs="Arial"/>
                <w:sz w:val="18"/>
                <w:szCs w:val="18"/>
              </w:rPr>
              <w:t>4,586</w:t>
            </w:r>
          </w:p>
        </w:tc>
      </w:tr>
      <w:tr w:rsidR="00AB6753" w14:paraId="6F15AFF4" w14:textId="77777777" w:rsidTr="002D1EA4">
        <w:trPr>
          <w:trHeight w:val="244"/>
        </w:trPr>
        <w:tc>
          <w:tcPr>
            <w:tcW w:w="6396" w:type="dxa"/>
            <w:tcBorders>
              <w:top w:val="nil"/>
              <w:left w:val="nil"/>
              <w:bottom w:val="nil"/>
              <w:right w:val="nil"/>
            </w:tcBorders>
            <w:shd w:val="clear" w:color="FFFFFF" w:fill="FFFFFF"/>
            <w:vAlign w:val="bottom"/>
            <w:hideMark/>
          </w:tcPr>
          <w:p w14:paraId="6B8A6F0B" w14:textId="77777777" w:rsidR="00AB6753" w:rsidRDefault="00AB6753" w:rsidP="002D1EA4">
            <w:pPr>
              <w:spacing w:after="0" w:line="240" w:lineRule="auto"/>
              <w:rPr>
                <w:rFonts w:cs="Arial"/>
                <w:b/>
                <w:bCs/>
                <w:sz w:val="18"/>
                <w:szCs w:val="18"/>
              </w:rPr>
            </w:pPr>
            <w:r>
              <w:rPr>
                <w:rFonts w:cs="Arial"/>
                <w:b/>
                <w:bCs/>
                <w:sz w:val="18"/>
                <w:szCs w:val="18"/>
              </w:rPr>
              <w:t>Total trade and other receivables (gross)</w:t>
            </w:r>
          </w:p>
        </w:tc>
        <w:tc>
          <w:tcPr>
            <w:tcW w:w="1256" w:type="dxa"/>
            <w:tcBorders>
              <w:top w:val="nil"/>
              <w:left w:val="nil"/>
              <w:bottom w:val="single" w:sz="4" w:space="0" w:color="auto"/>
              <w:right w:val="nil"/>
            </w:tcBorders>
            <w:shd w:val="clear" w:color="FFFFFF" w:fill="FFFFFF"/>
            <w:noWrap/>
            <w:vAlign w:val="bottom"/>
            <w:hideMark/>
          </w:tcPr>
          <w:p w14:paraId="38D2F2AE" w14:textId="77777777" w:rsidR="00AB6753" w:rsidRDefault="00AB6753" w:rsidP="002D1EA4">
            <w:pPr>
              <w:spacing w:after="0" w:line="240" w:lineRule="auto"/>
              <w:jc w:val="right"/>
              <w:rPr>
                <w:rFonts w:cs="Arial"/>
                <w:b/>
                <w:bCs/>
                <w:sz w:val="18"/>
                <w:szCs w:val="18"/>
              </w:rPr>
            </w:pPr>
            <w:r>
              <w:rPr>
                <w:rFonts w:cs="Arial"/>
                <w:b/>
                <w:bCs/>
                <w:sz w:val="18"/>
                <w:szCs w:val="18"/>
              </w:rPr>
              <w:t>85,636</w:t>
            </w:r>
          </w:p>
        </w:tc>
        <w:tc>
          <w:tcPr>
            <w:tcW w:w="267" w:type="dxa"/>
            <w:tcBorders>
              <w:top w:val="nil"/>
              <w:left w:val="nil"/>
              <w:bottom w:val="nil"/>
              <w:right w:val="nil"/>
            </w:tcBorders>
            <w:shd w:val="clear" w:color="FFFFFF" w:fill="FFFFFF"/>
            <w:noWrap/>
            <w:vAlign w:val="bottom"/>
            <w:hideMark/>
          </w:tcPr>
          <w:p w14:paraId="0FB4D674"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single" w:sz="4" w:space="0" w:color="auto"/>
              <w:right w:val="nil"/>
            </w:tcBorders>
            <w:shd w:val="clear" w:color="FFFFFF" w:fill="FFFFFF"/>
            <w:noWrap/>
            <w:vAlign w:val="bottom"/>
            <w:hideMark/>
          </w:tcPr>
          <w:p w14:paraId="2793E06E" w14:textId="77777777" w:rsidR="00AB6753" w:rsidRDefault="00AB6753" w:rsidP="002D1EA4">
            <w:pPr>
              <w:spacing w:after="0" w:line="240" w:lineRule="auto"/>
              <w:jc w:val="right"/>
              <w:rPr>
                <w:rFonts w:cs="Arial"/>
                <w:sz w:val="18"/>
                <w:szCs w:val="18"/>
              </w:rPr>
            </w:pPr>
            <w:r>
              <w:rPr>
                <w:rFonts w:cs="Arial"/>
                <w:sz w:val="18"/>
                <w:szCs w:val="18"/>
              </w:rPr>
              <w:t>90,246</w:t>
            </w:r>
          </w:p>
        </w:tc>
      </w:tr>
      <w:tr w:rsidR="00AB6753" w14:paraId="35256D17" w14:textId="77777777" w:rsidTr="002D1EA4">
        <w:trPr>
          <w:trHeight w:val="244"/>
        </w:trPr>
        <w:tc>
          <w:tcPr>
            <w:tcW w:w="6396" w:type="dxa"/>
            <w:tcBorders>
              <w:top w:val="nil"/>
              <w:left w:val="nil"/>
              <w:bottom w:val="nil"/>
              <w:right w:val="nil"/>
            </w:tcBorders>
            <w:shd w:val="clear" w:color="FFFFFF" w:fill="FFFFFF"/>
            <w:noWrap/>
            <w:vAlign w:val="bottom"/>
            <w:hideMark/>
          </w:tcPr>
          <w:p w14:paraId="2E0C153C"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2097605D" w14:textId="77777777" w:rsidR="00AB6753" w:rsidRDefault="00AB6753" w:rsidP="002D1EA4">
            <w:pPr>
              <w:spacing w:after="0" w:line="240" w:lineRule="auto"/>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6A5880C9"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60519747" w14:textId="77777777" w:rsidR="00AB6753" w:rsidRDefault="00AB6753" w:rsidP="002D1EA4">
            <w:pPr>
              <w:spacing w:after="0" w:line="240" w:lineRule="auto"/>
              <w:rPr>
                <w:rFonts w:cs="Arial"/>
                <w:sz w:val="18"/>
                <w:szCs w:val="18"/>
              </w:rPr>
            </w:pPr>
            <w:r>
              <w:rPr>
                <w:rFonts w:cs="Arial"/>
                <w:sz w:val="18"/>
                <w:szCs w:val="18"/>
              </w:rPr>
              <w:t> </w:t>
            </w:r>
          </w:p>
        </w:tc>
      </w:tr>
      <w:tr w:rsidR="00AB6753" w14:paraId="6FBC2838" w14:textId="77777777" w:rsidTr="002D1EA4">
        <w:trPr>
          <w:trHeight w:val="244"/>
        </w:trPr>
        <w:tc>
          <w:tcPr>
            <w:tcW w:w="6396" w:type="dxa"/>
            <w:tcBorders>
              <w:top w:val="nil"/>
              <w:left w:val="nil"/>
              <w:bottom w:val="nil"/>
              <w:right w:val="nil"/>
            </w:tcBorders>
            <w:shd w:val="clear" w:color="FFFFFF" w:fill="FFFFFF"/>
            <w:vAlign w:val="bottom"/>
            <w:hideMark/>
          </w:tcPr>
          <w:p w14:paraId="77D6CD37" w14:textId="77777777" w:rsidR="00AB6753" w:rsidRDefault="00AB6753" w:rsidP="002D1EA4">
            <w:pPr>
              <w:spacing w:after="0" w:line="240" w:lineRule="auto"/>
              <w:rPr>
                <w:rFonts w:cs="Arial"/>
                <w:b/>
                <w:bCs/>
                <w:sz w:val="18"/>
                <w:szCs w:val="18"/>
              </w:rPr>
            </w:pPr>
            <w:r>
              <w:rPr>
                <w:rFonts w:cs="Arial"/>
                <w:b/>
                <w:bCs/>
                <w:sz w:val="18"/>
                <w:szCs w:val="18"/>
              </w:rPr>
              <w:t>Less impairment loss allowance</w:t>
            </w:r>
          </w:p>
        </w:tc>
        <w:tc>
          <w:tcPr>
            <w:tcW w:w="1256" w:type="dxa"/>
            <w:tcBorders>
              <w:top w:val="nil"/>
              <w:left w:val="nil"/>
              <w:bottom w:val="nil"/>
              <w:right w:val="nil"/>
            </w:tcBorders>
            <w:shd w:val="clear" w:color="FFFFFF" w:fill="FFFFFF"/>
            <w:noWrap/>
            <w:vAlign w:val="bottom"/>
            <w:hideMark/>
          </w:tcPr>
          <w:p w14:paraId="068BAA39"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267" w:type="dxa"/>
            <w:tcBorders>
              <w:top w:val="nil"/>
              <w:left w:val="nil"/>
              <w:bottom w:val="nil"/>
              <w:right w:val="nil"/>
            </w:tcBorders>
            <w:shd w:val="clear" w:color="FFFFFF" w:fill="FFFFFF"/>
            <w:noWrap/>
            <w:vAlign w:val="bottom"/>
            <w:hideMark/>
          </w:tcPr>
          <w:p w14:paraId="370E0E45"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3146446F" w14:textId="77777777" w:rsidR="00AB6753" w:rsidRDefault="00AB6753" w:rsidP="002D1EA4">
            <w:pPr>
              <w:spacing w:after="0" w:line="240" w:lineRule="auto"/>
              <w:jc w:val="right"/>
              <w:rPr>
                <w:rFonts w:cs="Arial"/>
                <w:sz w:val="18"/>
                <w:szCs w:val="18"/>
              </w:rPr>
            </w:pPr>
            <w:r>
              <w:rPr>
                <w:rFonts w:cs="Arial"/>
                <w:sz w:val="18"/>
                <w:szCs w:val="18"/>
              </w:rPr>
              <w:t>(21)</w:t>
            </w:r>
          </w:p>
        </w:tc>
      </w:tr>
      <w:tr w:rsidR="00AB6753" w14:paraId="6E27AFCD" w14:textId="77777777" w:rsidTr="002D1EA4">
        <w:trPr>
          <w:trHeight w:val="244"/>
        </w:trPr>
        <w:tc>
          <w:tcPr>
            <w:tcW w:w="6396" w:type="dxa"/>
            <w:tcBorders>
              <w:top w:val="nil"/>
              <w:left w:val="nil"/>
              <w:bottom w:val="nil"/>
              <w:right w:val="nil"/>
            </w:tcBorders>
            <w:shd w:val="clear" w:color="FFFFFF" w:fill="FFFFFF"/>
            <w:vAlign w:val="bottom"/>
            <w:hideMark/>
          </w:tcPr>
          <w:p w14:paraId="205FDAA4" w14:textId="77777777" w:rsidR="00AB6753" w:rsidRDefault="00AB6753" w:rsidP="002D1EA4">
            <w:pPr>
              <w:spacing w:after="0" w:line="240" w:lineRule="auto"/>
              <w:rPr>
                <w:rFonts w:cs="Arial"/>
                <w:b/>
                <w:bCs/>
                <w:sz w:val="18"/>
                <w:szCs w:val="18"/>
              </w:rPr>
            </w:pPr>
            <w:r>
              <w:rPr>
                <w:rFonts w:cs="Arial"/>
                <w:b/>
                <w:bCs/>
                <w:sz w:val="18"/>
                <w:szCs w:val="18"/>
              </w:rPr>
              <w:t>Total trade and other receivables (net)</w:t>
            </w:r>
          </w:p>
        </w:tc>
        <w:tc>
          <w:tcPr>
            <w:tcW w:w="1256" w:type="dxa"/>
            <w:tcBorders>
              <w:top w:val="single" w:sz="4" w:space="0" w:color="auto"/>
              <w:left w:val="nil"/>
              <w:bottom w:val="single" w:sz="4" w:space="0" w:color="auto"/>
              <w:right w:val="nil"/>
            </w:tcBorders>
            <w:shd w:val="clear" w:color="FFFFFF" w:fill="FFFFFF"/>
            <w:noWrap/>
            <w:vAlign w:val="bottom"/>
            <w:hideMark/>
          </w:tcPr>
          <w:p w14:paraId="18538771" w14:textId="77777777" w:rsidR="00AB6753" w:rsidRDefault="00AB6753" w:rsidP="002D1EA4">
            <w:pPr>
              <w:spacing w:after="0" w:line="240" w:lineRule="auto"/>
              <w:jc w:val="right"/>
              <w:rPr>
                <w:rFonts w:cs="Arial"/>
                <w:b/>
                <w:bCs/>
                <w:sz w:val="18"/>
                <w:szCs w:val="18"/>
              </w:rPr>
            </w:pPr>
            <w:r>
              <w:rPr>
                <w:rFonts w:cs="Arial"/>
                <w:b/>
                <w:bCs/>
                <w:sz w:val="18"/>
                <w:szCs w:val="18"/>
              </w:rPr>
              <w:t>85,636</w:t>
            </w:r>
          </w:p>
        </w:tc>
        <w:tc>
          <w:tcPr>
            <w:tcW w:w="267" w:type="dxa"/>
            <w:tcBorders>
              <w:top w:val="nil"/>
              <w:left w:val="nil"/>
              <w:bottom w:val="nil"/>
              <w:right w:val="nil"/>
            </w:tcBorders>
            <w:shd w:val="clear" w:color="FFFFFF" w:fill="FFFFFF"/>
            <w:noWrap/>
            <w:vAlign w:val="bottom"/>
            <w:hideMark/>
          </w:tcPr>
          <w:p w14:paraId="577FC6ED" w14:textId="77777777" w:rsidR="00AB6753" w:rsidRDefault="00AB6753" w:rsidP="002D1EA4">
            <w:pPr>
              <w:spacing w:after="0" w:line="240" w:lineRule="auto"/>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5BFF59DF" w14:textId="77777777" w:rsidR="00AB6753" w:rsidRDefault="00AB6753" w:rsidP="002D1EA4">
            <w:pPr>
              <w:spacing w:after="0" w:line="240" w:lineRule="auto"/>
              <w:jc w:val="right"/>
              <w:rPr>
                <w:rFonts w:cs="Arial"/>
                <w:sz w:val="18"/>
                <w:szCs w:val="18"/>
              </w:rPr>
            </w:pPr>
            <w:r>
              <w:rPr>
                <w:rFonts w:cs="Arial"/>
                <w:sz w:val="18"/>
                <w:szCs w:val="18"/>
              </w:rPr>
              <w:t>90,225</w:t>
            </w:r>
          </w:p>
        </w:tc>
      </w:tr>
    </w:tbl>
    <w:p w14:paraId="03904BFB" w14:textId="77777777" w:rsidR="00AB6753" w:rsidRDefault="00AB6753" w:rsidP="00AB6753">
      <w:pPr>
        <w:spacing w:line="240" w:lineRule="auto"/>
        <w:rPr>
          <w:rFonts w:cs="Arial"/>
          <w:sz w:val="18"/>
          <w:szCs w:val="18"/>
          <w:vertAlign w:val="superscript"/>
        </w:rPr>
      </w:pPr>
    </w:p>
    <w:p w14:paraId="51BF7D14" w14:textId="77777777" w:rsidR="00AB6753" w:rsidRPr="00771CD8" w:rsidRDefault="00AB6753" w:rsidP="00AB6753">
      <w:pPr>
        <w:spacing w:line="240" w:lineRule="auto"/>
        <w:rPr>
          <w:rFonts w:cs="Arial"/>
          <w:sz w:val="18"/>
          <w:szCs w:val="18"/>
        </w:rPr>
      </w:pPr>
      <w:r w:rsidRPr="00AE6A5A">
        <w:rPr>
          <w:rFonts w:cs="Arial"/>
          <w:sz w:val="18"/>
          <w:szCs w:val="18"/>
        </w:rPr>
        <w:t xml:space="preserve">During the </w:t>
      </w:r>
      <w:r w:rsidRPr="00AE6A5A">
        <w:rPr>
          <w:rFonts w:cs="Arial"/>
          <w:sz w:val="18"/>
          <w:szCs w:val="18"/>
        </w:rPr>
        <w:fldChar w:fldCharType="begin"/>
      </w:r>
      <w:r w:rsidRPr="00AE6A5A">
        <w:rPr>
          <w:rFonts w:cs="Arial"/>
          <w:sz w:val="18"/>
          <w:szCs w:val="18"/>
        </w:rPr>
        <w:instrText xml:space="preserve"> DOCPROPERTY  crYear  \* MERGEFORMAT </w:instrText>
      </w:r>
      <w:r w:rsidRPr="00AE6A5A">
        <w:rPr>
          <w:rFonts w:cs="Arial"/>
          <w:sz w:val="18"/>
          <w:szCs w:val="18"/>
        </w:rPr>
        <w:fldChar w:fldCharType="separate"/>
      </w:r>
      <w:r w:rsidRPr="00AE6A5A">
        <w:rPr>
          <w:rFonts w:cs="Arial"/>
          <w:sz w:val="18"/>
          <w:szCs w:val="18"/>
        </w:rPr>
        <w:t>2020</w:t>
      </w:r>
      <w:r w:rsidRPr="00AE6A5A">
        <w:rPr>
          <w:rFonts w:cs="Arial"/>
          <w:sz w:val="18"/>
          <w:szCs w:val="18"/>
        </w:rPr>
        <w:fldChar w:fldCharType="end"/>
      </w:r>
      <w:r w:rsidRPr="00AE6A5A">
        <w:rPr>
          <w:rFonts w:cs="Arial"/>
          <w:sz w:val="18"/>
          <w:szCs w:val="18"/>
        </w:rPr>
        <w:t xml:space="preserve"> financial year, credit terms for goods and services were within 30 days (</w:t>
      </w:r>
      <w:r w:rsidRPr="00AE6A5A">
        <w:rPr>
          <w:rFonts w:cs="Arial"/>
          <w:sz w:val="18"/>
          <w:szCs w:val="18"/>
        </w:rPr>
        <w:fldChar w:fldCharType="begin"/>
      </w:r>
      <w:r w:rsidRPr="00AE6A5A">
        <w:rPr>
          <w:rFonts w:cs="Arial"/>
          <w:sz w:val="18"/>
          <w:szCs w:val="18"/>
        </w:rPr>
        <w:instrText xml:space="preserve"> DOCPROPERTY  prYear  \* MERGEFORMAT </w:instrText>
      </w:r>
      <w:r w:rsidRPr="00AE6A5A">
        <w:rPr>
          <w:rFonts w:cs="Arial"/>
          <w:sz w:val="18"/>
          <w:szCs w:val="18"/>
        </w:rPr>
        <w:fldChar w:fldCharType="separate"/>
      </w:r>
      <w:r w:rsidRPr="00AE6A5A">
        <w:rPr>
          <w:rFonts w:cs="Arial"/>
          <w:sz w:val="18"/>
          <w:szCs w:val="18"/>
        </w:rPr>
        <w:t>2019</w:t>
      </w:r>
      <w:r w:rsidRPr="00AE6A5A">
        <w:rPr>
          <w:rFonts w:cs="Arial"/>
          <w:sz w:val="18"/>
          <w:szCs w:val="18"/>
        </w:rPr>
        <w:fldChar w:fldCharType="end"/>
      </w:r>
      <w:r w:rsidRPr="00AE6A5A">
        <w:rPr>
          <w:rFonts w:cs="Arial"/>
          <w:sz w:val="18"/>
          <w:szCs w:val="18"/>
        </w:rPr>
        <w:t>: 30 days).</w:t>
      </w:r>
    </w:p>
    <w:p w14:paraId="3A2E3824" w14:textId="77777777" w:rsidR="00AB6753" w:rsidRDefault="00AB6753" w:rsidP="00AB6753">
      <w:pPr>
        <w:pStyle w:val="NotesTextBold"/>
        <w:spacing w:after="0"/>
      </w:pPr>
    </w:p>
    <w:p w14:paraId="1A2C88AF" w14:textId="77777777" w:rsidR="00AB6753" w:rsidRPr="00AC566B" w:rsidRDefault="00AB6753" w:rsidP="00AB6753">
      <w:pPr>
        <w:pStyle w:val="PolicyheadingDept"/>
        <w:pBdr>
          <w:top w:val="single" w:sz="4" w:space="1" w:color="00B2BA"/>
          <w:left w:val="single" w:sz="4" w:space="0" w:color="00B2BA"/>
          <w:bottom w:val="single" w:sz="4" w:space="1" w:color="00B2BA"/>
          <w:right w:val="single" w:sz="4" w:space="12" w:color="00B2BA"/>
        </w:pBdr>
      </w:pPr>
      <w:r w:rsidRPr="00AC566B">
        <w:t>Accounting Policy</w:t>
      </w:r>
    </w:p>
    <w:p w14:paraId="39845F9E" w14:textId="77777777" w:rsidR="00AB6753" w:rsidRPr="00AC566B" w:rsidRDefault="00AB6753" w:rsidP="00AB6753">
      <w:pPr>
        <w:pStyle w:val="Policytextdeptunderline"/>
        <w:pBdr>
          <w:top w:val="single" w:sz="4" w:space="1" w:color="00B2BA"/>
          <w:left w:val="single" w:sz="4" w:space="0" w:color="00B2BA"/>
          <w:bottom w:val="single" w:sz="4" w:space="1" w:color="00B2BA"/>
          <w:right w:val="single" w:sz="4" w:space="12" w:color="00B2BA"/>
        </w:pBdr>
      </w:pPr>
      <w:r>
        <w:t>Cash and cash equivalents</w:t>
      </w:r>
    </w:p>
    <w:p w14:paraId="2654F329" w14:textId="77777777" w:rsidR="00AB6753" w:rsidRPr="00B46229" w:rsidRDefault="00AB6753" w:rsidP="00AB6753">
      <w:pPr>
        <w:pStyle w:val="Policytextdeptunderline"/>
        <w:pBdr>
          <w:top w:val="single" w:sz="4" w:space="1" w:color="00B2BA"/>
          <w:left w:val="single" w:sz="4" w:space="0" w:color="00B2BA"/>
          <w:bottom w:val="single" w:sz="4" w:space="1" w:color="00B2BA"/>
          <w:right w:val="single" w:sz="4" w:space="12" w:color="00B2BA"/>
        </w:pBdr>
        <w:rPr>
          <w:i w:val="0"/>
          <w:u w:val="none"/>
        </w:rPr>
      </w:pPr>
      <w:r w:rsidRPr="00B46229">
        <w:rPr>
          <w:i w:val="0"/>
          <w:u w:val="none"/>
        </w:rPr>
        <w:t>Cash is recognised at its nominal amount. Cash and cash equivalents includes</w:t>
      </w:r>
      <w:r>
        <w:rPr>
          <w:i w:val="0"/>
          <w:u w:val="none"/>
        </w:rPr>
        <w:t xml:space="preserve"> cash on hand</w:t>
      </w:r>
      <w:r w:rsidRPr="00B46229">
        <w:rPr>
          <w:i w:val="0"/>
          <w:u w:val="none"/>
        </w:rPr>
        <w:t xml:space="preserve"> and cash in special accounts.</w:t>
      </w:r>
    </w:p>
    <w:p w14:paraId="24013FAB" w14:textId="77777777" w:rsidR="00AB6753" w:rsidRPr="00AC566B" w:rsidRDefault="00AB6753" w:rsidP="00AB6753">
      <w:pPr>
        <w:pStyle w:val="Policytextdeptunderline"/>
        <w:pBdr>
          <w:top w:val="single" w:sz="4" w:space="1" w:color="00B2BA"/>
          <w:left w:val="single" w:sz="4" w:space="0" w:color="00B2BA"/>
          <w:bottom w:val="single" w:sz="4" w:space="1" w:color="00B2BA"/>
          <w:right w:val="single" w:sz="4" w:space="12" w:color="00B2BA"/>
        </w:pBdr>
      </w:pPr>
      <w:r w:rsidRPr="00AC566B">
        <w:t>Financial assets</w:t>
      </w:r>
    </w:p>
    <w:p w14:paraId="5B2C68A1" w14:textId="04FF63D3" w:rsidR="00AB6753" w:rsidRDefault="00AB6753" w:rsidP="002F776C">
      <w:pPr>
        <w:pStyle w:val="PolicytextDept"/>
        <w:pBdr>
          <w:top w:val="single" w:sz="4" w:space="1" w:color="00B2BA"/>
          <w:left w:val="single" w:sz="4" w:space="0" w:color="00B2BA"/>
          <w:bottom w:val="single" w:sz="4" w:space="1" w:color="00B2BA"/>
          <w:right w:val="single" w:sz="4" w:space="12" w:color="00B2BA"/>
        </w:pBdr>
        <w:rPr>
          <w:rFonts w:eastAsiaTheme="minorEastAsia"/>
          <w:szCs w:val="16"/>
          <w:lang w:eastAsia="en-AU"/>
        </w:rPr>
      </w:pPr>
      <w:r>
        <w:t xml:space="preserve">Trade and other receivables </w:t>
      </w:r>
      <w:r w:rsidRPr="00AC566B">
        <w:t>are held for the purpose of collecting contractual cash flows</w:t>
      </w:r>
      <w:r>
        <w:t>. T</w:t>
      </w:r>
      <w:r w:rsidRPr="00AC566B">
        <w:t>he cash flows are solely payments of principal and interest that are not provided at below-market interest rates</w:t>
      </w:r>
      <w:r>
        <w:t xml:space="preserve"> and</w:t>
      </w:r>
      <w:r w:rsidRPr="00AC566B">
        <w:t xml:space="preserve"> </w:t>
      </w:r>
      <w:r>
        <w:t>are</w:t>
      </w:r>
      <w:r w:rsidRPr="00AC566B">
        <w:t xml:space="preserve"> subsequently measured at amortised cost using the effective interest method adjusted for any loss allowance.</w:t>
      </w:r>
      <w:r>
        <w:br w:type="page"/>
      </w:r>
    </w:p>
    <w:p w14:paraId="51B6CB18" w14:textId="77777777" w:rsidR="00AB6753" w:rsidRPr="00163047" w:rsidRDefault="00AB6753" w:rsidP="00AB6753">
      <w:pPr>
        <w:pStyle w:val="SubHeading"/>
        <w:numPr>
          <w:ilvl w:val="1"/>
          <w:numId w:val="56"/>
        </w:numPr>
        <w:ind w:left="454" w:hanging="454"/>
        <w:rPr>
          <w:sz w:val="20"/>
        </w:rPr>
      </w:pPr>
      <w:bookmarkStart w:id="126" w:name="_Toc443469530"/>
      <w:bookmarkStart w:id="127" w:name="_Toc444065782"/>
      <w:bookmarkStart w:id="128" w:name="_Toc444079979"/>
      <w:bookmarkStart w:id="129" w:name="_Toc450750163"/>
      <w:bookmarkStart w:id="130" w:name="_Ref456958636"/>
      <w:bookmarkStart w:id="131" w:name="_Ref456958656"/>
      <w:bookmarkStart w:id="132" w:name="_Toc45748808"/>
      <w:r w:rsidRPr="00163047">
        <w:rPr>
          <w:sz w:val="20"/>
        </w:rPr>
        <w:lastRenderedPageBreak/>
        <w:t>Non-Financial Assets</w:t>
      </w:r>
      <w:bookmarkEnd w:id="126"/>
      <w:bookmarkEnd w:id="127"/>
      <w:bookmarkEnd w:id="128"/>
      <w:bookmarkEnd w:id="129"/>
      <w:bookmarkEnd w:id="130"/>
      <w:bookmarkEnd w:id="131"/>
      <w:bookmarkEnd w:id="132"/>
    </w:p>
    <w:p w14:paraId="6C9A330E" w14:textId="77777777" w:rsidR="00AB6753" w:rsidRDefault="00AB6753" w:rsidP="00AB6753">
      <w:pPr>
        <w:pStyle w:val="NotesText0"/>
        <w:spacing w:before="0" w:after="0"/>
      </w:pPr>
    </w:p>
    <w:tbl>
      <w:tblPr>
        <w:tblW w:w="9411" w:type="dxa"/>
        <w:tblInd w:w="80" w:type="dxa"/>
        <w:tblLayout w:type="fixed"/>
        <w:tblLook w:val="04A0" w:firstRow="1" w:lastRow="0" w:firstColumn="1" w:lastColumn="0" w:noHBand="0" w:noVBand="1"/>
        <w:tblCaption w:val="Notes to and forming part of the financial statements"/>
        <w:tblDescription w:val="Departmental financial position "/>
      </w:tblPr>
      <w:tblGrid>
        <w:gridCol w:w="3369"/>
        <w:gridCol w:w="1487"/>
        <w:gridCol w:w="1158"/>
        <w:gridCol w:w="1160"/>
        <w:gridCol w:w="1157"/>
        <w:gridCol w:w="1080"/>
      </w:tblGrid>
      <w:tr w:rsidR="00AB6753" w14:paraId="53AD4F1D" w14:textId="77777777" w:rsidTr="002D1EA4">
        <w:trPr>
          <w:trHeight w:val="244"/>
        </w:trPr>
        <w:tc>
          <w:tcPr>
            <w:tcW w:w="9328" w:type="dxa"/>
            <w:gridSpan w:val="6"/>
            <w:tcBorders>
              <w:top w:val="nil"/>
              <w:left w:val="nil"/>
              <w:bottom w:val="nil"/>
              <w:right w:val="nil"/>
            </w:tcBorders>
            <w:shd w:val="clear" w:color="FFFFFF" w:fill="FFFFFF"/>
            <w:noWrap/>
            <w:vAlign w:val="bottom"/>
            <w:hideMark/>
          </w:tcPr>
          <w:p w14:paraId="72A58A08" w14:textId="77777777" w:rsidR="00AB6753" w:rsidRDefault="00AB6753" w:rsidP="002D1EA4">
            <w:pPr>
              <w:spacing w:after="0" w:line="240" w:lineRule="auto"/>
              <w:rPr>
                <w:rFonts w:cs="Arial"/>
                <w:b/>
                <w:bCs/>
                <w:sz w:val="18"/>
                <w:szCs w:val="18"/>
                <w:u w:val="single"/>
              </w:rPr>
            </w:pPr>
            <w:bookmarkStart w:id="133" w:name="Note_MTATABLE1" w:colFirst="0" w:colLast="0"/>
            <w:r>
              <w:rPr>
                <w:rFonts w:cs="Arial"/>
                <w:b/>
                <w:bCs/>
                <w:sz w:val="18"/>
                <w:szCs w:val="18"/>
                <w:u w:val="single"/>
              </w:rPr>
              <w:t>Note 3.2A: Reconciliation of the Opening and Closing Balances of Property, Plant and Equipment and Intangibles</w:t>
            </w:r>
          </w:p>
        </w:tc>
      </w:tr>
      <w:bookmarkEnd w:id="133"/>
      <w:tr w:rsidR="00AB6753" w14:paraId="449D62F4" w14:textId="77777777" w:rsidTr="002D1EA4">
        <w:trPr>
          <w:trHeight w:val="244"/>
        </w:trPr>
        <w:tc>
          <w:tcPr>
            <w:tcW w:w="3339" w:type="dxa"/>
            <w:tcBorders>
              <w:top w:val="single" w:sz="4" w:space="0" w:color="auto"/>
              <w:left w:val="nil"/>
              <w:bottom w:val="nil"/>
              <w:right w:val="nil"/>
            </w:tcBorders>
            <w:shd w:val="clear" w:color="FFFFFF" w:fill="FFFFFF"/>
            <w:noWrap/>
            <w:vAlign w:val="bottom"/>
            <w:hideMark/>
          </w:tcPr>
          <w:p w14:paraId="3AC0EF44" w14:textId="77777777" w:rsidR="00AB6753" w:rsidRDefault="00AB6753" w:rsidP="002D1EA4">
            <w:pPr>
              <w:spacing w:after="0" w:line="240" w:lineRule="auto"/>
              <w:rPr>
                <w:rFonts w:cs="Arial"/>
                <w:sz w:val="18"/>
                <w:szCs w:val="18"/>
              </w:rPr>
            </w:pPr>
            <w:r>
              <w:rPr>
                <w:rFonts w:cs="Arial"/>
                <w:sz w:val="18"/>
                <w:szCs w:val="18"/>
              </w:rPr>
              <w:t> </w:t>
            </w:r>
          </w:p>
        </w:tc>
        <w:tc>
          <w:tcPr>
            <w:tcW w:w="1474" w:type="dxa"/>
            <w:tcBorders>
              <w:top w:val="single" w:sz="4" w:space="0" w:color="auto"/>
              <w:left w:val="nil"/>
              <w:bottom w:val="nil"/>
              <w:right w:val="nil"/>
            </w:tcBorders>
            <w:shd w:val="clear" w:color="FFFFFF" w:fill="FFFFFF"/>
            <w:hideMark/>
          </w:tcPr>
          <w:p w14:paraId="16A7D47B" w14:textId="77777777" w:rsidR="00AB6753" w:rsidRDefault="00AB6753" w:rsidP="002D1EA4">
            <w:pPr>
              <w:spacing w:after="0" w:line="240" w:lineRule="auto"/>
              <w:jc w:val="right"/>
              <w:rPr>
                <w:rFonts w:cs="Arial"/>
                <w:b/>
                <w:bCs/>
                <w:sz w:val="18"/>
                <w:szCs w:val="18"/>
              </w:rPr>
            </w:pPr>
            <w:r>
              <w:rPr>
                <w:rFonts w:cs="Arial"/>
                <w:b/>
                <w:bCs/>
                <w:sz w:val="18"/>
                <w:szCs w:val="18"/>
              </w:rPr>
              <w:t>Leasehold improvements</w:t>
            </w:r>
          </w:p>
        </w:tc>
        <w:tc>
          <w:tcPr>
            <w:tcW w:w="1148" w:type="dxa"/>
            <w:tcBorders>
              <w:top w:val="single" w:sz="4" w:space="0" w:color="auto"/>
              <w:left w:val="nil"/>
              <w:bottom w:val="nil"/>
              <w:right w:val="nil"/>
            </w:tcBorders>
            <w:shd w:val="clear" w:color="FFFFFF" w:fill="FFFFFF"/>
            <w:hideMark/>
          </w:tcPr>
          <w:p w14:paraId="3F8F1ED1" w14:textId="77777777" w:rsidR="00AB6753" w:rsidRDefault="00AB6753" w:rsidP="002D1EA4">
            <w:pPr>
              <w:spacing w:after="0" w:line="240" w:lineRule="auto"/>
              <w:jc w:val="right"/>
              <w:rPr>
                <w:rFonts w:cs="Arial"/>
                <w:b/>
                <w:bCs/>
                <w:sz w:val="18"/>
                <w:szCs w:val="18"/>
              </w:rPr>
            </w:pPr>
            <w:r>
              <w:rPr>
                <w:rFonts w:cs="Arial"/>
                <w:b/>
                <w:bCs/>
                <w:sz w:val="18"/>
                <w:szCs w:val="18"/>
              </w:rPr>
              <w:t>Property, plant &amp; equipment</w:t>
            </w:r>
          </w:p>
        </w:tc>
        <w:tc>
          <w:tcPr>
            <w:tcW w:w="1150" w:type="dxa"/>
            <w:tcBorders>
              <w:top w:val="single" w:sz="4" w:space="0" w:color="auto"/>
              <w:left w:val="nil"/>
              <w:bottom w:val="nil"/>
              <w:right w:val="nil"/>
            </w:tcBorders>
            <w:shd w:val="clear" w:color="FFFFFF" w:fill="FFFFFF"/>
            <w:hideMark/>
          </w:tcPr>
          <w:p w14:paraId="709E113D" w14:textId="77777777" w:rsidR="00AB6753" w:rsidRDefault="00AB6753" w:rsidP="002D1EA4">
            <w:pPr>
              <w:spacing w:after="0" w:line="240" w:lineRule="auto"/>
              <w:jc w:val="right"/>
              <w:rPr>
                <w:rFonts w:cs="Arial"/>
                <w:b/>
                <w:bCs/>
                <w:sz w:val="18"/>
                <w:szCs w:val="18"/>
              </w:rPr>
            </w:pPr>
            <w:r>
              <w:rPr>
                <w:rFonts w:cs="Arial"/>
                <w:b/>
                <w:bCs/>
                <w:sz w:val="18"/>
                <w:szCs w:val="18"/>
              </w:rPr>
              <w:t>Computer software internally developed</w:t>
            </w:r>
          </w:p>
        </w:tc>
        <w:tc>
          <w:tcPr>
            <w:tcW w:w="1147" w:type="dxa"/>
            <w:tcBorders>
              <w:top w:val="single" w:sz="4" w:space="0" w:color="auto"/>
              <w:left w:val="nil"/>
              <w:bottom w:val="nil"/>
              <w:right w:val="nil"/>
            </w:tcBorders>
            <w:shd w:val="clear" w:color="FFFFFF" w:fill="FFFFFF"/>
            <w:hideMark/>
          </w:tcPr>
          <w:p w14:paraId="7B083EC7" w14:textId="77777777" w:rsidR="00AB6753" w:rsidRDefault="00AB6753" w:rsidP="002D1EA4">
            <w:pPr>
              <w:spacing w:after="0" w:line="240" w:lineRule="auto"/>
              <w:jc w:val="right"/>
              <w:rPr>
                <w:rFonts w:cs="Arial"/>
                <w:b/>
                <w:bCs/>
                <w:sz w:val="18"/>
                <w:szCs w:val="18"/>
              </w:rPr>
            </w:pPr>
            <w:r>
              <w:rPr>
                <w:rFonts w:cs="Arial"/>
                <w:b/>
                <w:bCs/>
                <w:sz w:val="18"/>
                <w:szCs w:val="18"/>
              </w:rPr>
              <w:t>Computer  software purchased</w:t>
            </w:r>
          </w:p>
        </w:tc>
        <w:tc>
          <w:tcPr>
            <w:tcW w:w="1070" w:type="dxa"/>
            <w:tcBorders>
              <w:top w:val="single" w:sz="4" w:space="0" w:color="auto"/>
              <w:left w:val="nil"/>
              <w:bottom w:val="nil"/>
              <w:right w:val="nil"/>
            </w:tcBorders>
            <w:shd w:val="clear" w:color="FFFFFF" w:fill="FFFFFF"/>
            <w:hideMark/>
          </w:tcPr>
          <w:p w14:paraId="065D4E9C" w14:textId="77777777" w:rsidR="00AB6753" w:rsidRDefault="00AB6753" w:rsidP="002D1EA4">
            <w:pPr>
              <w:spacing w:after="0" w:line="240" w:lineRule="auto"/>
              <w:jc w:val="right"/>
              <w:rPr>
                <w:rFonts w:cs="Arial"/>
                <w:b/>
                <w:bCs/>
                <w:sz w:val="18"/>
                <w:szCs w:val="18"/>
              </w:rPr>
            </w:pPr>
            <w:r>
              <w:rPr>
                <w:rFonts w:cs="Arial"/>
                <w:b/>
                <w:bCs/>
                <w:sz w:val="18"/>
                <w:szCs w:val="18"/>
              </w:rPr>
              <w:t>Total</w:t>
            </w:r>
          </w:p>
        </w:tc>
      </w:tr>
      <w:tr w:rsidR="00AB6753" w14:paraId="502BC057" w14:textId="77777777" w:rsidTr="002D1EA4">
        <w:trPr>
          <w:trHeight w:val="244"/>
        </w:trPr>
        <w:tc>
          <w:tcPr>
            <w:tcW w:w="3339" w:type="dxa"/>
            <w:tcBorders>
              <w:top w:val="nil"/>
              <w:left w:val="nil"/>
              <w:bottom w:val="single" w:sz="4" w:space="0" w:color="auto"/>
              <w:right w:val="nil"/>
            </w:tcBorders>
            <w:shd w:val="clear" w:color="FFFFFF" w:fill="FFFFFF"/>
            <w:noWrap/>
            <w:vAlign w:val="bottom"/>
            <w:hideMark/>
          </w:tcPr>
          <w:p w14:paraId="64EA11E4" w14:textId="77777777" w:rsidR="00AB6753" w:rsidRDefault="00AB6753" w:rsidP="002D1EA4">
            <w:pPr>
              <w:spacing w:after="0" w:line="240" w:lineRule="auto"/>
              <w:rPr>
                <w:rFonts w:cs="Arial"/>
                <w:sz w:val="18"/>
                <w:szCs w:val="18"/>
              </w:rPr>
            </w:pPr>
            <w:r>
              <w:rPr>
                <w:rFonts w:cs="Arial"/>
                <w:sz w:val="18"/>
                <w:szCs w:val="18"/>
              </w:rPr>
              <w:t> </w:t>
            </w:r>
          </w:p>
        </w:tc>
        <w:tc>
          <w:tcPr>
            <w:tcW w:w="1474" w:type="dxa"/>
            <w:tcBorders>
              <w:top w:val="nil"/>
              <w:left w:val="nil"/>
              <w:bottom w:val="single" w:sz="4" w:space="0" w:color="auto"/>
              <w:right w:val="nil"/>
            </w:tcBorders>
            <w:shd w:val="clear" w:color="FFFFFF" w:fill="FFFFFF"/>
            <w:vAlign w:val="bottom"/>
            <w:hideMark/>
          </w:tcPr>
          <w:p w14:paraId="02BD3D36" w14:textId="77777777" w:rsidR="00AB6753" w:rsidRDefault="00AB6753" w:rsidP="002D1EA4">
            <w:pPr>
              <w:spacing w:after="0" w:line="240" w:lineRule="auto"/>
              <w:jc w:val="right"/>
              <w:rPr>
                <w:rFonts w:cs="Arial"/>
                <w:b/>
                <w:bCs/>
                <w:sz w:val="18"/>
                <w:szCs w:val="18"/>
              </w:rPr>
            </w:pPr>
            <w:r>
              <w:rPr>
                <w:rFonts w:cs="Arial"/>
                <w:b/>
                <w:bCs/>
                <w:sz w:val="18"/>
                <w:szCs w:val="18"/>
              </w:rPr>
              <w:t>$'000</w:t>
            </w:r>
          </w:p>
        </w:tc>
        <w:tc>
          <w:tcPr>
            <w:tcW w:w="1148" w:type="dxa"/>
            <w:tcBorders>
              <w:top w:val="nil"/>
              <w:left w:val="nil"/>
              <w:bottom w:val="single" w:sz="4" w:space="0" w:color="auto"/>
              <w:right w:val="nil"/>
            </w:tcBorders>
            <w:shd w:val="clear" w:color="FFFFFF" w:fill="FFFFFF"/>
            <w:vAlign w:val="bottom"/>
            <w:hideMark/>
          </w:tcPr>
          <w:p w14:paraId="30E1EAE1" w14:textId="77777777" w:rsidR="00AB6753" w:rsidRDefault="00AB6753" w:rsidP="002D1EA4">
            <w:pPr>
              <w:spacing w:after="0" w:line="240" w:lineRule="auto"/>
              <w:jc w:val="right"/>
              <w:rPr>
                <w:rFonts w:cs="Arial"/>
                <w:b/>
                <w:bCs/>
                <w:sz w:val="18"/>
                <w:szCs w:val="18"/>
              </w:rPr>
            </w:pPr>
            <w:r>
              <w:rPr>
                <w:rFonts w:cs="Arial"/>
                <w:b/>
                <w:bCs/>
                <w:sz w:val="18"/>
                <w:szCs w:val="18"/>
              </w:rPr>
              <w:t>$'000</w:t>
            </w:r>
          </w:p>
        </w:tc>
        <w:tc>
          <w:tcPr>
            <w:tcW w:w="1150" w:type="dxa"/>
            <w:tcBorders>
              <w:top w:val="nil"/>
              <w:left w:val="nil"/>
              <w:bottom w:val="single" w:sz="4" w:space="0" w:color="auto"/>
              <w:right w:val="nil"/>
            </w:tcBorders>
            <w:shd w:val="clear" w:color="FFFFFF" w:fill="FFFFFF"/>
            <w:vAlign w:val="bottom"/>
            <w:hideMark/>
          </w:tcPr>
          <w:p w14:paraId="65FC7E4C" w14:textId="77777777" w:rsidR="00AB6753" w:rsidRDefault="00AB6753" w:rsidP="002D1EA4">
            <w:pPr>
              <w:spacing w:after="0" w:line="240" w:lineRule="auto"/>
              <w:jc w:val="right"/>
              <w:rPr>
                <w:rFonts w:cs="Arial"/>
                <w:b/>
                <w:bCs/>
                <w:sz w:val="18"/>
                <w:szCs w:val="18"/>
              </w:rPr>
            </w:pPr>
            <w:r>
              <w:rPr>
                <w:rFonts w:cs="Arial"/>
                <w:b/>
                <w:bCs/>
                <w:sz w:val="18"/>
                <w:szCs w:val="18"/>
              </w:rPr>
              <w:t>$'000</w:t>
            </w:r>
          </w:p>
        </w:tc>
        <w:tc>
          <w:tcPr>
            <w:tcW w:w="1147" w:type="dxa"/>
            <w:tcBorders>
              <w:top w:val="nil"/>
              <w:left w:val="nil"/>
              <w:bottom w:val="single" w:sz="4" w:space="0" w:color="auto"/>
              <w:right w:val="nil"/>
            </w:tcBorders>
            <w:shd w:val="clear" w:color="FFFFFF" w:fill="FFFFFF"/>
            <w:vAlign w:val="bottom"/>
            <w:hideMark/>
          </w:tcPr>
          <w:p w14:paraId="2286222C" w14:textId="77777777" w:rsidR="00AB6753" w:rsidRDefault="00AB6753" w:rsidP="002D1EA4">
            <w:pPr>
              <w:spacing w:after="0" w:line="240" w:lineRule="auto"/>
              <w:jc w:val="right"/>
              <w:rPr>
                <w:rFonts w:cs="Arial"/>
                <w:b/>
                <w:bCs/>
                <w:sz w:val="18"/>
                <w:szCs w:val="18"/>
              </w:rPr>
            </w:pPr>
            <w:r>
              <w:rPr>
                <w:rFonts w:cs="Arial"/>
                <w:b/>
                <w:bCs/>
                <w:sz w:val="18"/>
                <w:szCs w:val="18"/>
              </w:rPr>
              <w:t>$'000</w:t>
            </w:r>
          </w:p>
        </w:tc>
        <w:tc>
          <w:tcPr>
            <w:tcW w:w="1070" w:type="dxa"/>
            <w:tcBorders>
              <w:top w:val="nil"/>
              <w:left w:val="nil"/>
              <w:bottom w:val="single" w:sz="4" w:space="0" w:color="auto"/>
              <w:right w:val="nil"/>
            </w:tcBorders>
            <w:shd w:val="clear" w:color="FFFFFF" w:fill="FFFFFF"/>
            <w:vAlign w:val="bottom"/>
            <w:hideMark/>
          </w:tcPr>
          <w:p w14:paraId="0ED9AF6E" w14:textId="77777777" w:rsidR="00AB6753" w:rsidRDefault="00AB6753" w:rsidP="002D1EA4">
            <w:pPr>
              <w:spacing w:after="0" w:line="240" w:lineRule="auto"/>
              <w:jc w:val="right"/>
              <w:rPr>
                <w:rFonts w:cs="Arial"/>
                <w:b/>
                <w:bCs/>
                <w:sz w:val="18"/>
                <w:szCs w:val="18"/>
              </w:rPr>
            </w:pPr>
            <w:r>
              <w:rPr>
                <w:rFonts w:cs="Arial"/>
                <w:b/>
                <w:bCs/>
                <w:sz w:val="18"/>
                <w:szCs w:val="18"/>
              </w:rPr>
              <w:t>$'000</w:t>
            </w:r>
          </w:p>
        </w:tc>
      </w:tr>
      <w:tr w:rsidR="00AB6753" w14:paraId="60D6867C" w14:textId="77777777" w:rsidTr="002D1EA4">
        <w:trPr>
          <w:trHeight w:val="244"/>
        </w:trPr>
        <w:tc>
          <w:tcPr>
            <w:tcW w:w="3339" w:type="dxa"/>
            <w:tcBorders>
              <w:top w:val="nil"/>
              <w:left w:val="nil"/>
              <w:bottom w:val="nil"/>
              <w:right w:val="nil"/>
            </w:tcBorders>
            <w:shd w:val="clear" w:color="FFFFFF" w:fill="FFFFFF"/>
            <w:vAlign w:val="bottom"/>
            <w:hideMark/>
          </w:tcPr>
          <w:p w14:paraId="397E97FB" w14:textId="77777777" w:rsidR="00AB6753" w:rsidRDefault="00AB6753" w:rsidP="002D1EA4">
            <w:pPr>
              <w:spacing w:after="0" w:line="240" w:lineRule="auto"/>
              <w:rPr>
                <w:rFonts w:cs="Arial"/>
                <w:b/>
                <w:bCs/>
                <w:sz w:val="18"/>
                <w:szCs w:val="18"/>
              </w:rPr>
            </w:pPr>
            <w:r>
              <w:rPr>
                <w:rFonts w:cs="Arial"/>
                <w:b/>
                <w:bCs/>
                <w:sz w:val="18"/>
                <w:szCs w:val="18"/>
              </w:rPr>
              <w:t>As at 1 July 2019</w:t>
            </w:r>
          </w:p>
        </w:tc>
        <w:tc>
          <w:tcPr>
            <w:tcW w:w="1474" w:type="dxa"/>
            <w:tcBorders>
              <w:top w:val="nil"/>
              <w:left w:val="nil"/>
              <w:bottom w:val="nil"/>
              <w:right w:val="nil"/>
            </w:tcBorders>
            <w:shd w:val="clear" w:color="FFFFFF" w:fill="FFFFFF"/>
            <w:noWrap/>
            <w:vAlign w:val="bottom"/>
            <w:hideMark/>
          </w:tcPr>
          <w:p w14:paraId="489951DF" w14:textId="77777777" w:rsidR="00AB6753" w:rsidRDefault="00AB6753" w:rsidP="002D1EA4">
            <w:pPr>
              <w:spacing w:after="0" w:line="240" w:lineRule="auto"/>
              <w:rPr>
                <w:rFonts w:cs="Arial"/>
                <w:sz w:val="18"/>
                <w:szCs w:val="18"/>
              </w:rPr>
            </w:pPr>
            <w:r>
              <w:rPr>
                <w:rFonts w:cs="Arial"/>
                <w:sz w:val="18"/>
                <w:szCs w:val="18"/>
              </w:rPr>
              <w:t> </w:t>
            </w:r>
          </w:p>
        </w:tc>
        <w:tc>
          <w:tcPr>
            <w:tcW w:w="1148" w:type="dxa"/>
            <w:tcBorders>
              <w:top w:val="nil"/>
              <w:left w:val="nil"/>
              <w:bottom w:val="nil"/>
              <w:right w:val="nil"/>
            </w:tcBorders>
            <w:shd w:val="clear" w:color="FFFFFF" w:fill="FFFFFF"/>
            <w:noWrap/>
            <w:vAlign w:val="bottom"/>
            <w:hideMark/>
          </w:tcPr>
          <w:p w14:paraId="3CE6C21C" w14:textId="77777777" w:rsidR="00AB6753" w:rsidRDefault="00AB6753" w:rsidP="002D1EA4">
            <w:pPr>
              <w:spacing w:after="0" w:line="240" w:lineRule="auto"/>
              <w:rPr>
                <w:rFonts w:cs="Arial"/>
                <w:sz w:val="18"/>
                <w:szCs w:val="18"/>
              </w:rPr>
            </w:pPr>
            <w:r>
              <w:rPr>
                <w:rFonts w:cs="Arial"/>
                <w:sz w:val="18"/>
                <w:szCs w:val="18"/>
              </w:rPr>
              <w:t> </w:t>
            </w:r>
          </w:p>
        </w:tc>
        <w:tc>
          <w:tcPr>
            <w:tcW w:w="1150" w:type="dxa"/>
            <w:tcBorders>
              <w:top w:val="nil"/>
              <w:left w:val="nil"/>
              <w:bottom w:val="nil"/>
              <w:right w:val="nil"/>
            </w:tcBorders>
            <w:shd w:val="clear" w:color="FFFFFF" w:fill="FFFFFF"/>
            <w:noWrap/>
            <w:vAlign w:val="bottom"/>
            <w:hideMark/>
          </w:tcPr>
          <w:p w14:paraId="7BB18DCD" w14:textId="77777777" w:rsidR="00AB6753" w:rsidRDefault="00AB6753" w:rsidP="002D1EA4">
            <w:pPr>
              <w:spacing w:after="0" w:line="240" w:lineRule="auto"/>
              <w:rPr>
                <w:rFonts w:cs="Arial"/>
                <w:sz w:val="18"/>
                <w:szCs w:val="18"/>
              </w:rPr>
            </w:pPr>
            <w:r>
              <w:rPr>
                <w:rFonts w:cs="Arial"/>
                <w:sz w:val="18"/>
                <w:szCs w:val="18"/>
              </w:rPr>
              <w:t> </w:t>
            </w:r>
          </w:p>
        </w:tc>
        <w:tc>
          <w:tcPr>
            <w:tcW w:w="1147" w:type="dxa"/>
            <w:tcBorders>
              <w:top w:val="nil"/>
              <w:left w:val="nil"/>
              <w:bottom w:val="nil"/>
              <w:right w:val="nil"/>
            </w:tcBorders>
            <w:shd w:val="clear" w:color="FFFFFF" w:fill="FFFFFF"/>
            <w:noWrap/>
            <w:vAlign w:val="bottom"/>
            <w:hideMark/>
          </w:tcPr>
          <w:p w14:paraId="6599E54F" w14:textId="77777777" w:rsidR="00AB6753" w:rsidRDefault="00AB6753" w:rsidP="002D1EA4">
            <w:pPr>
              <w:spacing w:after="0" w:line="240" w:lineRule="auto"/>
              <w:rPr>
                <w:rFonts w:cs="Arial"/>
                <w:sz w:val="18"/>
                <w:szCs w:val="18"/>
              </w:rPr>
            </w:pPr>
            <w:r>
              <w:rPr>
                <w:rFonts w:cs="Arial"/>
                <w:sz w:val="18"/>
                <w:szCs w:val="18"/>
              </w:rPr>
              <w:t> </w:t>
            </w:r>
          </w:p>
        </w:tc>
        <w:tc>
          <w:tcPr>
            <w:tcW w:w="1070" w:type="dxa"/>
            <w:tcBorders>
              <w:top w:val="nil"/>
              <w:left w:val="nil"/>
              <w:bottom w:val="nil"/>
              <w:right w:val="nil"/>
            </w:tcBorders>
            <w:shd w:val="clear" w:color="FFFFFF" w:fill="FFFFFF"/>
            <w:noWrap/>
            <w:vAlign w:val="bottom"/>
            <w:hideMark/>
          </w:tcPr>
          <w:p w14:paraId="5BFF0102" w14:textId="77777777" w:rsidR="00AB6753" w:rsidRDefault="00AB6753" w:rsidP="002D1EA4">
            <w:pPr>
              <w:spacing w:after="0" w:line="240" w:lineRule="auto"/>
              <w:rPr>
                <w:rFonts w:cs="Arial"/>
                <w:sz w:val="18"/>
                <w:szCs w:val="18"/>
              </w:rPr>
            </w:pPr>
            <w:r>
              <w:rPr>
                <w:rFonts w:cs="Arial"/>
                <w:sz w:val="18"/>
                <w:szCs w:val="18"/>
              </w:rPr>
              <w:t> </w:t>
            </w:r>
          </w:p>
        </w:tc>
      </w:tr>
      <w:tr w:rsidR="00AB6753" w14:paraId="6F060F4D" w14:textId="77777777" w:rsidTr="002D1EA4">
        <w:trPr>
          <w:trHeight w:val="244"/>
        </w:trPr>
        <w:tc>
          <w:tcPr>
            <w:tcW w:w="3339" w:type="dxa"/>
            <w:tcBorders>
              <w:top w:val="nil"/>
              <w:left w:val="nil"/>
              <w:bottom w:val="nil"/>
              <w:right w:val="nil"/>
            </w:tcBorders>
            <w:shd w:val="clear" w:color="FFFFFF" w:fill="FFFFFF"/>
            <w:vAlign w:val="bottom"/>
            <w:hideMark/>
          </w:tcPr>
          <w:p w14:paraId="20F23E4E" w14:textId="77777777" w:rsidR="00AB6753" w:rsidRDefault="00AB6753" w:rsidP="002D1EA4">
            <w:pPr>
              <w:spacing w:after="0" w:line="240" w:lineRule="auto"/>
              <w:rPr>
                <w:rFonts w:cs="Arial"/>
                <w:sz w:val="18"/>
                <w:szCs w:val="18"/>
              </w:rPr>
            </w:pPr>
            <w:r>
              <w:rPr>
                <w:rFonts w:cs="Arial"/>
                <w:sz w:val="18"/>
                <w:szCs w:val="18"/>
              </w:rPr>
              <w:t>Gross book value</w:t>
            </w:r>
          </w:p>
        </w:tc>
        <w:tc>
          <w:tcPr>
            <w:tcW w:w="1474" w:type="dxa"/>
            <w:tcBorders>
              <w:top w:val="nil"/>
              <w:left w:val="nil"/>
              <w:bottom w:val="nil"/>
              <w:right w:val="nil"/>
            </w:tcBorders>
            <w:shd w:val="clear" w:color="FFFFFF" w:fill="FFFFFF"/>
            <w:noWrap/>
            <w:vAlign w:val="bottom"/>
            <w:hideMark/>
          </w:tcPr>
          <w:p w14:paraId="084D0876" w14:textId="77777777" w:rsidR="00AB6753" w:rsidRDefault="00AB6753" w:rsidP="002D1EA4">
            <w:pPr>
              <w:spacing w:after="0" w:line="240" w:lineRule="auto"/>
              <w:jc w:val="right"/>
              <w:rPr>
                <w:rFonts w:cs="Arial"/>
                <w:b/>
                <w:bCs/>
                <w:sz w:val="18"/>
                <w:szCs w:val="18"/>
              </w:rPr>
            </w:pPr>
            <w:r>
              <w:rPr>
                <w:rFonts w:cs="Arial"/>
                <w:b/>
                <w:bCs/>
                <w:sz w:val="18"/>
                <w:szCs w:val="18"/>
              </w:rPr>
              <w:t>52,378</w:t>
            </w:r>
          </w:p>
        </w:tc>
        <w:tc>
          <w:tcPr>
            <w:tcW w:w="1148" w:type="dxa"/>
            <w:tcBorders>
              <w:top w:val="nil"/>
              <w:left w:val="nil"/>
              <w:bottom w:val="nil"/>
              <w:right w:val="nil"/>
            </w:tcBorders>
            <w:shd w:val="clear" w:color="FFFFFF" w:fill="FFFFFF"/>
            <w:noWrap/>
            <w:vAlign w:val="bottom"/>
            <w:hideMark/>
          </w:tcPr>
          <w:p w14:paraId="0E4A4D58" w14:textId="77777777" w:rsidR="00AB6753" w:rsidRDefault="00AB6753" w:rsidP="002D1EA4">
            <w:pPr>
              <w:spacing w:after="0" w:line="240" w:lineRule="auto"/>
              <w:jc w:val="right"/>
              <w:rPr>
                <w:rFonts w:cs="Arial"/>
                <w:b/>
                <w:bCs/>
                <w:sz w:val="18"/>
                <w:szCs w:val="18"/>
              </w:rPr>
            </w:pPr>
            <w:r>
              <w:rPr>
                <w:rFonts w:cs="Arial"/>
                <w:b/>
                <w:bCs/>
                <w:sz w:val="18"/>
                <w:szCs w:val="18"/>
              </w:rPr>
              <w:t>28,153</w:t>
            </w:r>
          </w:p>
        </w:tc>
        <w:tc>
          <w:tcPr>
            <w:tcW w:w="1150" w:type="dxa"/>
            <w:tcBorders>
              <w:top w:val="nil"/>
              <w:left w:val="nil"/>
              <w:bottom w:val="nil"/>
              <w:right w:val="nil"/>
            </w:tcBorders>
            <w:shd w:val="clear" w:color="FFFFFF" w:fill="FFFFFF"/>
            <w:noWrap/>
            <w:vAlign w:val="bottom"/>
            <w:hideMark/>
          </w:tcPr>
          <w:p w14:paraId="5385DE77" w14:textId="77777777" w:rsidR="00AB6753" w:rsidRDefault="00AB6753" w:rsidP="002D1EA4">
            <w:pPr>
              <w:spacing w:after="0" w:line="240" w:lineRule="auto"/>
              <w:jc w:val="right"/>
              <w:rPr>
                <w:rFonts w:cs="Arial"/>
                <w:b/>
                <w:bCs/>
                <w:sz w:val="18"/>
                <w:szCs w:val="18"/>
              </w:rPr>
            </w:pPr>
            <w:r>
              <w:rPr>
                <w:rFonts w:cs="Arial"/>
                <w:b/>
                <w:bCs/>
                <w:sz w:val="18"/>
                <w:szCs w:val="18"/>
              </w:rPr>
              <w:t>258,566</w:t>
            </w:r>
          </w:p>
        </w:tc>
        <w:tc>
          <w:tcPr>
            <w:tcW w:w="1147" w:type="dxa"/>
            <w:tcBorders>
              <w:top w:val="nil"/>
              <w:left w:val="nil"/>
              <w:bottom w:val="nil"/>
              <w:right w:val="nil"/>
            </w:tcBorders>
            <w:shd w:val="clear" w:color="FFFFFF" w:fill="FFFFFF"/>
            <w:noWrap/>
            <w:vAlign w:val="bottom"/>
            <w:hideMark/>
          </w:tcPr>
          <w:p w14:paraId="51B46F98" w14:textId="77777777" w:rsidR="00AB6753" w:rsidRDefault="00AB6753" w:rsidP="002D1EA4">
            <w:pPr>
              <w:spacing w:after="0" w:line="240" w:lineRule="auto"/>
              <w:jc w:val="right"/>
              <w:rPr>
                <w:rFonts w:cs="Arial"/>
                <w:b/>
                <w:bCs/>
                <w:sz w:val="18"/>
                <w:szCs w:val="18"/>
              </w:rPr>
            </w:pPr>
            <w:r>
              <w:rPr>
                <w:rFonts w:cs="Arial"/>
                <w:b/>
                <w:bCs/>
                <w:sz w:val="18"/>
                <w:szCs w:val="18"/>
              </w:rPr>
              <w:t>44,713</w:t>
            </w:r>
          </w:p>
        </w:tc>
        <w:tc>
          <w:tcPr>
            <w:tcW w:w="1070" w:type="dxa"/>
            <w:tcBorders>
              <w:top w:val="nil"/>
              <w:left w:val="nil"/>
              <w:bottom w:val="nil"/>
              <w:right w:val="nil"/>
            </w:tcBorders>
            <w:shd w:val="clear" w:color="FFFFFF" w:fill="FFFFFF"/>
            <w:noWrap/>
            <w:vAlign w:val="bottom"/>
            <w:hideMark/>
          </w:tcPr>
          <w:p w14:paraId="1229F76F" w14:textId="77777777" w:rsidR="00AB6753" w:rsidRDefault="00AB6753" w:rsidP="002D1EA4">
            <w:pPr>
              <w:spacing w:after="0" w:line="240" w:lineRule="auto"/>
              <w:jc w:val="right"/>
              <w:rPr>
                <w:rFonts w:cs="Arial"/>
                <w:b/>
                <w:bCs/>
                <w:sz w:val="18"/>
                <w:szCs w:val="18"/>
              </w:rPr>
            </w:pPr>
            <w:r>
              <w:rPr>
                <w:rFonts w:cs="Arial"/>
                <w:b/>
                <w:bCs/>
                <w:sz w:val="18"/>
                <w:szCs w:val="18"/>
              </w:rPr>
              <w:t>383,810</w:t>
            </w:r>
          </w:p>
        </w:tc>
      </w:tr>
      <w:tr w:rsidR="00AB6753" w14:paraId="31F83E77" w14:textId="77777777" w:rsidTr="002D1EA4">
        <w:trPr>
          <w:trHeight w:val="244"/>
        </w:trPr>
        <w:tc>
          <w:tcPr>
            <w:tcW w:w="3339" w:type="dxa"/>
            <w:tcBorders>
              <w:top w:val="nil"/>
              <w:left w:val="nil"/>
              <w:bottom w:val="nil"/>
              <w:right w:val="nil"/>
            </w:tcBorders>
            <w:shd w:val="clear" w:color="FFFFFF" w:fill="FFFFFF"/>
            <w:vAlign w:val="bottom"/>
            <w:hideMark/>
          </w:tcPr>
          <w:p w14:paraId="5685DCBB" w14:textId="77777777" w:rsidR="00AB6753" w:rsidRDefault="00AB6753" w:rsidP="002D1EA4">
            <w:pPr>
              <w:spacing w:after="0" w:line="240" w:lineRule="auto"/>
              <w:rPr>
                <w:rFonts w:cs="Arial"/>
                <w:sz w:val="18"/>
                <w:szCs w:val="18"/>
              </w:rPr>
            </w:pPr>
            <w:r>
              <w:rPr>
                <w:rFonts w:cs="Arial"/>
                <w:sz w:val="18"/>
                <w:szCs w:val="18"/>
              </w:rPr>
              <w:t>Accumulated depreciation, amortisation and impairment</w:t>
            </w:r>
          </w:p>
        </w:tc>
        <w:tc>
          <w:tcPr>
            <w:tcW w:w="1474" w:type="dxa"/>
            <w:tcBorders>
              <w:top w:val="nil"/>
              <w:left w:val="nil"/>
              <w:bottom w:val="nil"/>
              <w:right w:val="nil"/>
            </w:tcBorders>
            <w:shd w:val="clear" w:color="FFFFFF" w:fill="FFFFFF"/>
            <w:noWrap/>
            <w:vAlign w:val="bottom"/>
            <w:hideMark/>
          </w:tcPr>
          <w:p w14:paraId="6871D12A" w14:textId="77777777" w:rsidR="00AB6753" w:rsidRDefault="00AB6753" w:rsidP="002D1EA4">
            <w:pPr>
              <w:spacing w:after="0" w:line="240" w:lineRule="auto"/>
              <w:jc w:val="right"/>
              <w:rPr>
                <w:rFonts w:cs="Arial"/>
                <w:b/>
                <w:bCs/>
                <w:sz w:val="18"/>
                <w:szCs w:val="18"/>
              </w:rPr>
            </w:pPr>
            <w:r>
              <w:rPr>
                <w:rFonts w:cs="Arial"/>
                <w:b/>
                <w:bCs/>
                <w:sz w:val="18"/>
                <w:szCs w:val="18"/>
              </w:rPr>
              <w:t>(113)</w:t>
            </w:r>
          </w:p>
        </w:tc>
        <w:tc>
          <w:tcPr>
            <w:tcW w:w="1148" w:type="dxa"/>
            <w:tcBorders>
              <w:top w:val="nil"/>
              <w:left w:val="nil"/>
              <w:bottom w:val="nil"/>
              <w:right w:val="nil"/>
            </w:tcBorders>
            <w:shd w:val="clear" w:color="FFFFFF" w:fill="FFFFFF"/>
            <w:noWrap/>
            <w:vAlign w:val="bottom"/>
            <w:hideMark/>
          </w:tcPr>
          <w:p w14:paraId="7172334A" w14:textId="77777777" w:rsidR="00AB6753" w:rsidRDefault="00AB6753" w:rsidP="002D1EA4">
            <w:pPr>
              <w:spacing w:after="0" w:line="240" w:lineRule="auto"/>
              <w:jc w:val="right"/>
              <w:rPr>
                <w:rFonts w:cs="Arial"/>
                <w:b/>
                <w:bCs/>
                <w:sz w:val="18"/>
                <w:szCs w:val="18"/>
              </w:rPr>
            </w:pPr>
            <w:r>
              <w:rPr>
                <w:rFonts w:cs="Arial"/>
                <w:b/>
                <w:bCs/>
                <w:sz w:val="18"/>
                <w:szCs w:val="18"/>
              </w:rPr>
              <w:t>(392)</w:t>
            </w:r>
          </w:p>
        </w:tc>
        <w:tc>
          <w:tcPr>
            <w:tcW w:w="1150" w:type="dxa"/>
            <w:tcBorders>
              <w:top w:val="nil"/>
              <w:left w:val="nil"/>
              <w:bottom w:val="nil"/>
              <w:right w:val="nil"/>
            </w:tcBorders>
            <w:shd w:val="clear" w:color="FFFFFF" w:fill="FFFFFF"/>
            <w:noWrap/>
            <w:vAlign w:val="bottom"/>
            <w:hideMark/>
          </w:tcPr>
          <w:p w14:paraId="45268176" w14:textId="77777777" w:rsidR="00AB6753" w:rsidRDefault="00AB6753" w:rsidP="002D1EA4">
            <w:pPr>
              <w:spacing w:after="0" w:line="240" w:lineRule="auto"/>
              <w:jc w:val="right"/>
              <w:rPr>
                <w:rFonts w:cs="Arial"/>
                <w:b/>
                <w:bCs/>
                <w:sz w:val="18"/>
                <w:szCs w:val="18"/>
              </w:rPr>
            </w:pPr>
            <w:r>
              <w:rPr>
                <w:rFonts w:cs="Arial"/>
                <w:b/>
                <w:bCs/>
                <w:sz w:val="18"/>
                <w:szCs w:val="18"/>
              </w:rPr>
              <w:t>(146,868)</w:t>
            </w:r>
          </w:p>
        </w:tc>
        <w:tc>
          <w:tcPr>
            <w:tcW w:w="1147" w:type="dxa"/>
            <w:tcBorders>
              <w:top w:val="nil"/>
              <w:left w:val="nil"/>
              <w:bottom w:val="nil"/>
              <w:right w:val="nil"/>
            </w:tcBorders>
            <w:shd w:val="clear" w:color="FFFFFF" w:fill="FFFFFF"/>
            <w:noWrap/>
            <w:vAlign w:val="bottom"/>
            <w:hideMark/>
          </w:tcPr>
          <w:p w14:paraId="71417524" w14:textId="77777777" w:rsidR="00AB6753" w:rsidRDefault="00AB6753" w:rsidP="002D1EA4">
            <w:pPr>
              <w:spacing w:after="0" w:line="240" w:lineRule="auto"/>
              <w:jc w:val="right"/>
              <w:rPr>
                <w:rFonts w:cs="Arial"/>
                <w:b/>
                <w:bCs/>
                <w:sz w:val="18"/>
                <w:szCs w:val="18"/>
              </w:rPr>
            </w:pPr>
            <w:r>
              <w:rPr>
                <w:rFonts w:cs="Arial"/>
                <w:b/>
                <w:bCs/>
                <w:sz w:val="18"/>
                <w:szCs w:val="18"/>
              </w:rPr>
              <w:t>(32,431)</w:t>
            </w:r>
          </w:p>
        </w:tc>
        <w:tc>
          <w:tcPr>
            <w:tcW w:w="1070" w:type="dxa"/>
            <w:tcBorders>
              <w:top w:val="nil"/>
              <w:left w:val="nil"/>
              <w:bottom w:val="nil"/>
              <w:right w:val="nil"/>
            </w:tcBorders>
            <w:shd w:val="clear" w:color="FFFFFF" w:fill="FFFFFF"/>
            <w:noWrap/>
            <w:vAlign w:val="bottom"/>
            <w:hideMark/>
          </w:tcPr>
          <w:p w14:paraId="7737C7C8" w14:textId="77777777" w:rsidR="00AB6753" w:rsidRDefault="00AB6753" w:rsidP="002D1EA4">
            <w:pPr>
              <w:spacing w:after="0" w:line="240" w:lineRule="auto"/>
              <w:jc w:val="right"/>
              <w:rPr>
                <w:rFonts w:cs="Arial"/>
                <w:b/>
                <w:bCs/>
                <w:sz w:val="18"/>
                <w:szCs w:val="18"/>
              </w:rPr>
            </w:pPr>
            <w:r>
              <w:rPr>
                <w:rFonts w:cs="Arial"/>
                <w:b/>
                <w:bCs/>
                <w:sz w:val="18"/>
                <w:szCs w:val="18"/>
              </w:rPr>
              <w:t>(179,804)</w:t>
            </w:r>
          </w:p>
        </w:tc>
      </w:tr>
      <w:tr w:rsidR="00AB6753" w14:paraId="18EDA004" w14:textId="77777777" w:rsidTr="002D1EA4">
        <w:trPr>
          <w:trHeight w:val="244"/>
        </w:trPr>
        <w:tc>
          <w:tcPr>
            <w:tcW w:w="3339" w:type="dxa"/>
            <w:tcBorders>
              <w:top w:val="single" w:sz="4" w:space="0" w:color="auto"/>
              <w:left w:val="nil"/>
              <w:bottom w:val="single" w:sz="4" w:space="0" w:color="auto"/>
              <w:right w:val="nil"/>
            </w:tcBorders>
            <w:shd w:val="clear" w:color="FFFFFF" w:fill="FFFFFF"/>
            <w:vAlign w:val="bottom"/>
            <w:hideMark/>
          </w:tcPr>
          <w:p w14:paraId="1B8129FC" w14:textId="77777777" w:rsidR="00AB6753" w:rsidRDefault="00AB6753" w:rsidP="002D1EA4">
            <w:pPr>
              <w:spacing w:after="0" w:line="240" w:lineRule="auto"/>
              <w:rPr>
                <w:rFonts w:cs="Arial"/>
                <w:b/>
                <w:bCs/>
                <w:sz w:val="18"/>
                <w:szCs w:val="18"/>
              </w:rPr>
            </w:pPr>
            <w:r>
              <w:rPr>
                <w:rFonts w:cs="Arial"/>
                <w:b/>
                <w:bCs/>
                <w:sz w:val="18"/>
                <w:szCs w:val="18"/>
              </w:rPr>
              <w:t>Net book value as at 1 July 2019</w:t>
            </w:r>
          </w:p>
        </w:tc>
        <w:tc>
          <w:tcPr>
            <w:tcW w:w="1474" w:type="dxa"/>
            <w:tcBorders>
              <w:top w:val="single" w:sz="4" w:space="0" w:color="auto"/>
              <w:left w:val="nil"/>
              <w:bottom w:val="single" w:sz="4" w:space="0" w:color="auto"/>
              <w:right w:val="nil"/>
            </w:tcBorders>
            <w:shd w:val="clear" w:color="FFFFFF" w:fill="FFFFFF"/>
            <w:noWrap/>
            <w:vAlign w:val="bottom"/>
            <w:hideMark/>
          </w:tcPr>
          <w:p w14:paraId="4534585A" w14:textId="77777777" w:rsidR="00AB6753" w:rsidRDefault="00AB6753" w:rsidP="002D1EA4">
            <w:pPr>
              <w:spacing w:after="0" w:line="240" w:lineRule="auto"/>
              <w:jc w:val="right"/>
              <w:rPr>
                <w:rFonts w:cs="Arial"/>
                <w:b/>
                <w:bCs/>
                <w:sz w:val="18"/>
                <w:szCs w:val="18"/>
              </w:rPr>
            </w:pPr>
            <w:r>
              <w:rPr>
                <w:rFonts w:cs="Arial"/>
                <w:b/>
                <w:bCs/>
                <w:sz w:val="18"/>
                <w:szCs w:val="18"/>
              </w:rPr>
              <w:t>52,265</w:t>
            </w:r>
          </w:p>
        </w:tc>
        <w:tc>
          <w:tcPr>
            <w:tcW w:w="1148" w:type="dxa"/>
            <w:tcBorders>
              <w:top w:val="single" w:sz="4" w:space="0" w:color="auto"/>
              <w:left w:val="nil"/>
              <w:bottom w:val="single" w:sz="4" w:space="0" w:color="auto"/>
              <w:right w:val="nil"/>
            </w:tcBorders>
            <w:shd w:val="clear" w:color="FFFFFF" w:fill="FFFFFF"/>
            <w:noWrap/>
            <w:vAlign w:val="bottom"/>
            <w:hideMark/>
          </w:tcPr>
          <w:p w14:paraId="042E4A31" w14:textId="77777777" w:rsidR="00AB6753" w:rsidRDefault="00AB6753" w:rsidP="002D1EA4">
            <w:pPr>
              <w:spacing w:after="0" w:line="240" w:lineRule="auto"/>
              <w:jc w:val="right"/>
              <w:rPr>
                <w:rFonts w:cs="Arial"/>
                <w:b/>
                <w:bCs/>
                <w:sz w:val="18"/>
                <w:szCs w:val="18"/>
              </w:rPr>
            </w:pPr>
            <w:r>
              <w:rPr>
                <w:rFonts w:cs="Arial"/>
                <w:b/>
                <w:bCs/>
                <w:sz w:val="18"/>
                <w:szCs w:val="18"/>
              </w:rPr>
              <w:t>27,761</w:t>
            </w:r>
          </w:p>
        </w:tc>
        <w:tc>
          <w:tcPr>
            <w:tcW w:w="1150" w:type="dxa"/>
            <w:tcBorders>
              <w:top w:val="single" w:sz="4" w:space="0" w:color="auto"/>
              <w:left w:val="nil"/>
              <w:bottom w:val="single" w:sz="4" w:space="0" w:color="auto"/>
              <w:right w:val="nil"/>
            </w:tcBorders>
            <w:shd w:val="clear" w:color="FFFFFF" w:fill="FFFFFF"/>
            <w:noWrap/>
            <w:vAlign w:val="bottom"/>
            <w:hideMark/>
          </w:tcPr>
          <w:p w14:paraId="7EE0F6F0" w14:textId="77777777" w:rsidR="00AB6753" w:rsidRDefault="00AB6753" w:rsidP="002D1EA4">
            <w:pPr>
              <w:spacing w:after="0" w:line="240" w:lineRule="auto"/>
              <w:jc w:val="right"/>
              <w:rPr>
                <w:rFonts w:cs="Arial"/>
                <w:b/>
                <w:bCs/>
                <w:sz w:val="18"/>
                <w:szCs w:val="18"/>
              </w:rPr>
            </w:pPr>
            <w:r>
              <w:rPr>
                <w:rFonts w:cs="Arial"/>
                <w:b/>
                <w:bCs/>
                <w:sz w:val="18"/>
                <w:szCs w:val="18"/>
              </w:rPr>
              <w:t>111,698</w:t>
            </w:r>
          </w:p>
        </w:tc>
        <w:tc>
          <w:tcPr>
            <w:tcW w:w="1147" w:type="dxa"/>
            <w:tcBorders>
              <w:top w:val="single" w:sz="4" w:space="0" w:color="auto"/>
              <w:left w:val="nil"/>
              <w:bottom w:val="single" w:sz="4" w:space="0" w:color="auto"/>
              <w:right w:val="nil"/>
            </w:tcBorders>
            <w:shd w:val="clear" w:color="FFFFFF" w:fill="FFFFFF"/>
            <w:noWrap/>
            <w:vAlign w:val="bottom"/>
            <w:hideMark/>
          </w:tcPr>
          <w:p w14:paraId="176E5DC9" w14:textId="77777777" w:rsidR="00AB6753" w:rsidRDefault="00AB6753" w:rsidP="002D1EA4">
            <w:pPr>
              <w:spacing w:after="0" w:line="240" w:lineRule="auto"/>
              <w:jc w:val="right"/>
              <w:rPr>
                <w:rFonts w:cs="Arial"/>
                <w:b/>
                <w:bCs/>
                <w:sz w:val="18"/>
                <w:szCs w:val="18"/>
              </w:rPr>
            </w:pPr>
            <w:r>
              <w:rPr>
                <w:rFonts w:cs="Arial"/>
                <w:b/>
                <w:bCs/>
                <w:sz w:val="18"/>
                <w:szCs w:val="18"/>
              </w:rPr>
              <w:t>12,282</w:t>
            </w:r>
          </w:p>
        </w:tc>
        <w:tc>
          <w:tcPr>
            <w:tcW w:w="1070" w:type="dxa"/>
            <w:tcBorders>
              <w:top w:val="single" w:sz="4" w:space="0" w:color="auto"/>
              <w:left w:val="nil"/>
              <w:bottom w:val="single" w:sz="4" w:space="0" w:color="auto"/>
              <w:right w:val="nil"/>
            </w:tcBorders>
            <w:shd w:val="clear" w:color="FFFFFF" w:fill="FFFFFF"/>
            <w:noWrap/>
            <w:vAlign w:val="bottom"/>
            <w:hideMark/>
          </w:tcPr>
          <w:p w14:paraId="0010A098" w14:textId="77777777" w:rsidR="00AB6753" w:rsidRDefault="00AB6753" w:rsidP="002D1EA4">
            <w:pPr>
              <w:spacing w:after="0" w:line="240" w:lineRule="auto"/>
              <w:jc w:val="right"/>
              <w:rPr>
                <w:rFonts w:cs="Arial"/>
                <w:b/>
                <w:bCs/>
                <w:sz w:val="18"/>
                <w:szCs w:val="18"/>
              </w:rPr>
            </w:pPr>
            <w:r>
              <w:rPr>
                <w:rFonts w:cs="Arial"/>
                <w:b/>
                <w:bCs/>
                <w:sz w:val="18"/>
                <w:szCs w:val="18"/>
              </w:rPr>
              <w:t>204,006</w:t>
            </w:r>
          </w:p>
        </w:tc>
      </w:tr>
      <w:tr w:rsidR="00AB6753" w14:paraId="744984C5" w14:textId="77777777" w:rsidTr="002D1EA4">
        <w:trPr>
          <w:trHeight w:val="244"/>
        </w:trPr>
        <w:tc>
          <w:tcPr>
            <w:tcW w:w="3339" w:type="dxa"/>
            <w:tcBorders>
              <w:top w:val="nil"/>
              <w:left w:val="nil"/>
              <w:bottom w:val="nil"/>
              <w:right w:val="nil"/>
            </w:tcBorders>
            <w:shd w:val="clear" w:color="FFFFFF" w:fill="FFFFFF"/>
            <w:vAlign w:val="bottom"/>
            <w:hideMark/>
          </w:tcPr>
          <w:p w14:paraId="6F208727" w14:textId="77777777" w:rsidR="00AB6753" w:rsidRDefault="00AB6753" w:rsidP="002D1EA4">
            <w:pPr>
              <w:spacing w:after="0" w:line="240" w:lineRule="auto"/>
              <w:rPr>
                <w:rFonts w:cs="Arial"/>
                <w:sz w:val="18"/>
                <w:szCs w:val="18"/>
              </w:rPr>
            </w:pPr>
            <w:r>
              <w:rPr>
                <w:rFonts w:cs="Arial"/>
                <w:sz w:val="18"/>
                <w:szCs w:val="18"/>
              </w:rPr>
              <w:t>Recognition of right of use asset on initial application of AASB 16</w:t>
            </w:r>
          </w:p>
        </w:tc>
        <w:tc>
          <w:tcPr>
            <w:tcW w:w="1474" w:type="dxa"/>
            <w:tcBorders>
              <w:top w:val="nil"/>
              <w:left w:val="nil"/>
              <w:bottom w:val="nil"/>
              <w:right w:val="nil"/>
            </w:tcBorders>
            <w:shd w:val="clear" w:color="FFFFFF" w:fill="FFFFFF"/>
            <w:noWrap/>
            <w:vAlign w:val="bottom"/>
            <w:hideMark/>
          </w:tcPr>
          <w:p w14:paraId="4DEDD886" w14:textId="77777777" w:rsidR="00AB6753" w:rsidRDefault="00AB6753" w:rsidP="002D1EA4">
            <w:pPr>
              <w:spacing w:after="0" w:line="240" w:lineRule="auto"/>
              <w:jc w:val="right"/>
              <w:rPr>
                <w:rFonts w:cs="Arial"/>
                <w:b/>
                <w:bCs/>
                <w:sz w:val="18"/>
                <w:szCs w:val="18"/>
              </w:rPr>
            </w:pPr>
            <w:r>
              <w:rPr>
                <w:rFonts w:cs="Arial"/>
                <w:b/>
                <w:bCs/>
                <w:sz w:val="18"/>
                <w:szCs w:val="18"/>
              </w:rPr>
              <w:t xml:space="preserve">576,985 </w:t>
            </w:r>
          </w:p>
        </w:tc>
        <w:tc>
          <w:tcPr>
            <w:tcW w:w="1148" w:type="dxa"/>
            <w:tcBorders>
              <w:top w:val="nil"/>
              <w:left w:val="nil"/>
              <w:bottom w:val="nil"/>
              <w:right w:val="nil"/>
            </w:tcBorders>
            <w:shd w:val="clear" w:color="FFFFFF" w:fill="FFFFFF"/>
            <w:noWrap/>
            <w:vAlign w:val="bottom"/>
            <w:hideMark/>
          </w:tcPr>
          <w:p w14:paraId="38986FF6" w14:textId="77777777" w:rsidR="00AB6753" w:rsidRDefault="00AB6753" w:rsidP="002D1EA4">
            <w:pPr>
              <w:spacing w:after="0" w:line="240" w:lineRule="auto"/>
              <w:jc w:val="right"/>
              <w:rPr>
                <w:rFonts w:cs="Arial"/>
                <w:b/>
                <w:bCs/>
                <w:sz w:val="18"/>
                <w:szCs w:val="18"/>
              </w:rPr>
            </w:pPr>
            <w:r>
              <w:rPr>
                <w:rFonts w:cs="Arial"/>
                <w:b/>
                <w:bCs/>
                <w:sz w:val="18"/>
                <w:szCs w:val="18"/>
              </w:rPr>
              <w:t xml:space="preserve">293 </w:t>
            </w:r>
          </w:p>
        </w:tc>
        <w:tc>
          <w:tcPr>
            <w:tcW w:w="1150" w:type="dxa"/>
            <w:tcBorders>
              <w:top w:val="nil"/>
              <w:left w:val="nil"/>
              <w:bottom w:val="nil"/>
              <w:right w:val="nil"/>
            </w:tcBorders>
            <w:shd w:val="clear" w:color="FFFFFF" w:fill="FFFFFF"/>
            <w:noWrap/>
            <w:vAlign w:val="bottom"/>
            <w:hideMark/>
          </w:tcPr>
          <w:p w14:paraId="4B0BFDB1" w14:textId="77777777" w:rsidR="00AB6753" w:rsidRDefault="00AB6753" w:rsidP="002D1EA4">
            <w:pPr>
              <w:spacing w:after="0" w:line="240" w:lineRule="auto"/>
              <w:jc w:val="right"/>
              <w:rPr>
                <w:rFonts w:cs="Arial"/>
                <w:b/>
                <w:bCs/>
                <w:sz w:val="18"/>
                <w:szCs w:val="18"/>
              </w:rPr>
            </w:pPr>
            <w:r>
              <w:rPr>
                <w:rFonts w:cs="Arial"/>
                <w:b/>
                <w:bCs/>
                <w:sz w:val="18"/>
                <w:szCs w:val="18"/>
              </w:rPr>
              <w:t xml:space="preserve"> -</w:t>
            </w:r>
          </w:p>
        </w:tc>
        <w:tc>
          <w:tcPr>
            <w:tcW w:w="1147" w:type="dxa"/>
            <w:tcBorders>
              <w:top w:val="nil"/>
              <w:left w:val="nil"/>
              <w:bottom w:val="nil"/>
              <w:right w:val="nil"/>
            </w:tcBorders>
            <w:shd w:val="clear" w:color="FFFFFF" w:fill="FFFFFF"/>
            <w:noWrap/>
            <w:vAlign w:val="bottom"/>
            <w:hideMark/>
          </w:tcPr>
          <w:p w14:paraId="26105A86" w14:textId="77777777" w:rsidR="00AB6753" w:rsidRDefault="00AB6753" w:rsidP="002D1EA4">
            <w:pPr>
              <w:spacing w:after="0" w:line="240" w:lineRule="auto"/>
              <w:jc w:val="right"/>
              <w:rPr>
                <w:rFonts w:cs="Arial"/>
                <w:b/>
                <w:bCs/>
                <w:sz w:val="18"/>
                <w:szCs w:val="18"/>
              </w:rPr>
            </w:pPr>
            <w:r>
              <w:rPr>
                <w:rFonts w:cs="Arial"/>
                <w:b/>
                <w:bCs/>
                <w:sz w:val="18"/>
                <w:szCs w:val="18"/>
              </w:rPr>
              <w:t xml:space="preserve"> -</w:t>
            </w:r>
          </w:p>
        </w:tc>
        <w:tc>
          <w:tcPr>
            <w:tcW w:w="1070" w:type="dxa"/>
            <w:tcBorders>
              <w:top w:val="nil"/>
              <w:left w:val="nil"/>
              <w:bottom w:val="single" w:sz="4" w:space="0" w:color="auto"/>
              <w:right w:val="nil"/>
            </w:tcBorders>
            <w:shd w:val="clear" w:color="FFFFFF" w:fill="FFFFFF"/>
            <w:noWrap/>
            <w:vAlign w:val="bottom"/>
            <w:hideMark/>
          </w:tcPr>
          <w:p w14:paraId="5C6D9DBF" w14:textId="77777777" w:rsidR="00AB6753" w:rsidRDefault="00AB6753" w:rsidP="002D1EA4">
            <w:pPr>
              <w:spacing w:after="0" w:line="240" w:lineRule="auto"/>
              <w:jc w:val="right"/>
              <w:rPr>
                <w:rFonts w:cs="Arial"/>
                <w:b/>
                <w:bCs/>
                <w:sz w:val="18"/>
                <w:szCs w:val="18"/>
              </w:rPr>
            </w:pPr>
            <w:r>
              <w:rPr>
                <w:rFonts w:cs="Arial"/>
                <w:b/>
                <w:bCs/>
                <w:sz w:val="18"/>
                <w:szCs w:val="18"/>
              </w:rPr>
              <w:t>577,278</w:t>
            </w:r>
          </w:p>
        </w:tc>
      </w:tr>
      <w:tr w:rsidR="00AB6753" w14:paraId="723CB98C" w14:textId="77777777" w:rsidTr="002D1EA4">
        <w:trPr>
          <w:trHeight w:val="244"/>
        </w:trPr>
        <w:tc>
          <w:tcPr>
            <w:tcW w:w="3339" w:type="dxa"/>
            <w:tcBorders>
              <w:top w:val="single" w:sz="4" w:space="0" w:color="auto"/>
              <w:left w:val="nil"/>
              <w:bottom w:val="single" w:sz="4" w:space="0" w:color="auto"/>
              <w:right w:val="nil"/>
            </w:tcBorders>
            <w:shd w:val="clear" w:color="FFFFFF" w:fill="FFFFFF"/>
            <w:vAlign w:val="bottom"/>
            <w:hideMark/>
          </w:tcPr>
          <w:p w14:paraId="43777858" w14:textId="77777777" w:rsidR="00AB6753" w:rsidRDefault="00AB6753" w:rsidP="002D1EA4">
            <w:pPr>
              <w:spacing w:after="0" w:line="240" w:lineRule="auto"/>
              <w:rPr>
                <w:rFonts w:cs="Arial"/>
                <w:b/>
                <w:bCs/>
                <w:sz w:val="18"/>
                <w:szCs w:val="18"/>
              </w:rPr>
            </w:pPr>
            <w:r>
              <w:rPr>
                <w:rFonts w:cs="Arial"/>
                <w:b/>
                <w:bCs/>
                <w:sz w:val="18"/>
                <w:szCs w:val="18"/>
              </w:rPr>
              <w:t>Adjusted total as at 1 July 2019</w:t>
            </w:r>
          </w:p>
        </w:tc>
        <w:tc>
          <w:tcPr>
            <w:tcW w:w="1474" w:type="dxa"/>
            <w:tcBorders>
              <w:top w:val="single" w:sz="4" w:space="0" w:color="auto"/>
              <w:left w:val="nil"/>
              <w:bottom w:val="single" w:sz="4" w:space="0" w:color="auto"/>
              <w:right w:val="nil"/>
            </w:tcBorders>
            <w:shd w:val="clear" w:color="FFFFFF" w:fill="FFFFFF"/>
            <w:noWrap/>
            <w:vAlign w:val="bottom"/>
            <w:hideMark/>
          </w:tcPr>
          <w:p w14:paraId="5950AEB2" w14:textId="77777777" w:rsidR="00AB6753" w:rsidRDefault="00AB6753" w:rsidP="002D1EA4">
            <w:pPr>
              <w:spacing w:after="0" w:line="240" w:lineRule="auto"/>
              <w:jc w:val="right"/>
              <w:rPr>
                <w:rFonts w:cs="Arial"/>
                <w:b/>
                <w:bCs/>
                <w:sz w:val="18"/>
                <w:szCs w:val="18"/>
              </w:rPr>
            </w:pPr>
            <w:r>
              <w:rPr>
                <w:rFonts w:cs="Arial"/>
                <w:b/>
                <w:bCs/>
                <w:sz w:val="18"/>
                <w:szCs w:val="18"/>
              </w:rPr>
              <w:t>629,250</w:t>
            </w:r>
          </w:p>
        </w:tc>
        <w:tc>
          <w:tcPr>
            <w:tcW w:w="1148" w:type="dxa"/>
            <w:tcBorders>
              <w:top w:val="single" w:sz="4" w:space="0" w:color="auto"/>
              <w:left w:val="nil"/>
              <w:bottom w:val="single" w:sz="4" w:space="0" w:color="auto"/>
              <w:right w:val="nil"/>
            </w:tcBorders>
            <w:shd w:val="clear" w:color="FFFFFF" w:fill="FFFFFF"/>
            <w:noWrap/>
            <w:vAlign w:val="bottom"/>
            <w:hideMark/>
          </w:tcPr>
          <w:p w14:paraId="074ABDA1" w14:textId="77777777" w:rsidR="00AB6753" w:rsidRDefault="00AB6753" w:rsidP="002D1EA4">
            <w:pPr>
              <w:spacing w:after="0" w:line="240" w:lineRule="auto"/>
              <w:jc w:val="right"/>
              <w:rPr>
                <w:rFonts w:cs="Arial"/>
                <w:b/>
                <w:bCs/>
                <w:sz w:val="18"/>
                <w:szCs w:val="18"/>
              </w:rPr>
            </w:pPr>
            <w:r>
              <w:rPr>
                <w:rFonts w:cs="Arial"/>
                <w:b/>
                <w:bCs/>
                <w:sz w:val="18"/>
                <w:szCs w:val="18"/>
              </w:rPr>
              <w:t>28,054</w:t>
            </w:r>
          </w:p>
        </w:tc>
        <w:tc>
          <w:tcPr>
            <w:tcW w:w="1150" w:type="dxa"/>
            <w:tcBorders>
              <w:top w:val="single" w:sz="4" w:space="0" w:color="auto"/>
              <w:left w:val="nil"/>
              <w:bottom w:val="single" w:sz="4" w:space="0" w:color="auto"/>
              <w:right w:val="nil"/>
            </w:tcBorders>
            <w:shd w:val="clear" w:color="FFFFFF" w:fill="FFFFFF"/>
            <w:noWrap/>
            <w:vAlign w:val="bottom"/>
            <w:hideMark/>
          </w:tcPr>
          <w:p w14:paraId="59599098" w14:textId="77777777" w:rsidR="00AB6753" w:rsidRDefault="00AB6753" w:rsidP="002D1EA4">
            <w:pPr>
              <w:spacing w:after="0" w:line="240" w:lineRule="auto"/>
              <w:jc w:val="right"/>
              <w:rPr>
                <w:rFonts w:cs="Arial"/>
                <w:b/>
                <w:bCs/>
                <w:sz w:val="18"/>
                <w:szCs w:val="18"/>
              </w:rPr>
            </w:pPr>
            <w:r>
              <w:rPr>
                <w:rFonts w:cs="Arial"/>
                <w:b/>
                <w:bCs/>
                <w:sz w:val="18"/>
                <w:szCs w:val="18"/>
              </w:rPr>
              <w:t>111,698</w:t>
            </w:r>
          </w:p>
        </w:tc>
        <w:tc>
          <w:tcPr>
            <w:tcW w:w="1147" w:type="dxa"/>
            <w:tcBorders>
              <w:top w:val="single" w:sz="4" w:space="0" w:color="auto"/>
              <w:left w:val="nil"/>
              <w:bottom w:val="single" w:sz="4" w:space="0" w:color="auto"/>
              <w:right w:val="nil"/>
            </w:tcBorders>
            <w:shd w:val="clear" w:color="FFFFFF" w:fill="FFFFFF"/>
            <w:noWrap/>
            <w:vAlign w:val="bottom"/>
            <w:hideMark/>
          </w:tcPr>
          <w:p w14:paraId="5C0CFF84" w14:textId="77777777" w:rsidR="00AB6753" w:rsidRDefault="00AB6753" w:rsidP="002D1EA4">
            <w:pPr>
              <w:spacing w:after="0" w:line="240" w:lineRule="auto"/>
              <w:jc w:val="right"/>
              <w:rPr>
                <w:rFonts w:cs="Arial"/>
                <w:b/>
                <w:bCs/>
                <w:sz w:val="18"/>
                <w:szCs w:val="18"/>
              </w:rPr>
            </w:pPr>
            <w:r>
              <w:rPr>
                <w:rFonts w:cs="Arial"/>
                <w:b/>
                <w:bCs/>
                <w:sz w:val="18"/>
                <w:szCs w:val="18"/>
              </w:rPr>
              <w:t>12,282</w:t>
            </w:r>
          </w:p>
        </w:tc>
        <w:tc>
          <w:tcPr>
            <w:tcW w:w="1070" w:type="dxa"/>
            <w:tcBorders>
              <w:top w:val="nil"/>
              <w:left w:val="nil"/>
              <w:bottom w:val="single" w:sz="4" w:space="0" w:color="auto"/>
              <w:right w:val="nil"/>
            </w:tcBorders>
            <w:shd w:val="clear" w:color="FFFFFF" w:fill="FFFFFF"/>
            <w:noWrap/>
            <w:vAlign w:val="bottom"/>
            <w:hideMark/>
          </w:tcPr>
          <w:p w14:paraId="79B36528" w14:textId="77777777" w:rsidR="00AB6753" w:rsidRDefault="00AB6753" w:rsidP="002D1EA4">
            <w:pPr>
              <w:spacing w:after="0" w:line="240" w:lineRule="auto"/>
              <w:jc w:val="right"/>
              <w:rPr>
                <w:rFonts w:cs="Arial"/>
                <w:b/>
                <w:bCs/>
                <w:sz w:val="18"/>
                <w:szCs w:val="18"/>
              </w:rPr>
            </w:pPr>
            <w:r>
              <w:rPr>
                <w:rFonts w:cs="Arial"/>
                <w:b/>
                <w:bCs/>
                <w:sz w:val="18"/>
                <w:szCs w:val="18"/>
              </w:rPr>
              <w:t>781,284</w:t>
            </w:r>
          </w:p>
        </w:tc>
      </w:tr>
      <w:tr w:rsidR="00AB6753" w14:paraId="14BADC0C" w14:textId="77777777" w:rsidTr="002D1EA4">
        <w:trPr>
          <w:trHeight w:val="244"/>
        </w:trPr>
        <w:tc>
          <w:tcPr>
            <w:tcW w:w="3339" w:type="dxa"/>
            <w:tcBorders>
              <w:top w:val="nil"/>
              <w:left w:val="nil"/>
              <w:bottom w:val="nil"/>
              <w:right w:val="nil"/>
            </w:tcBorders>
            <w:shd w:val="clear" w:color="FFFFFF" w:fill="FFFFFF"/>
            <w:vAlign w:val="bottom"/>
            <w:hideMark/>
          </w:tcPr>
          <w:p w14:paraId="1EA7202E" w14:textId="77777777" w:rsidR="00AB6753" w:rsidRDefault="00AB6753" w:rsidP="002D1EA4">
            <w:pPr>
              <w:spacing w:after="0" w:line="240" w:lineRule="auto"/>
              <w:rPr>
                <w:rFonts w:cs="Arial"/>
                <w:sz w:val="18"/>
                <w:szCs w:val="18"/>
              </w:rPr>
            </w:pPr>
            <w:r>
              <w:rPr>
                <w:rFonts w:cs="Arial"/>
                <w:sz w:val="18"/>
                <w:szCs w:val="18"/>
              </w:rPr>
              <w:t>Additions:</w:t>
            </w:r>
          </w:p>
        </w:tc>
        <w:tc>
          <w:tcPr>
            <w:tcW w:w="1474" w:type="dxa"/>
            <w:tcBorders>
              <w:top w:val="nil"/>
              <w:left w:val="nil"/>
              <w:bottom w:val="nil"/>
              <w:right w:val="nil"/>
            </w:tcBorders>
            <w:shd w:val="clear" w:color="FFFFFF" w:fill="FFFFFF"/>
            <w:noWrap/>
            <w:vAlign w:val="bottom"/>
            <w:hideMark/>
          </w:tcPr>
          <w:p w14:paraId="0C8A42FB"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148" w:type="dxa"/>
            <w:tcBorders>
              <w:top w:val="nil"/>
              <w:left w:val="nil"/>
              <w:bottom w:val="nil"/>
              <w:right w:val="nil"/>
            </w:tcBorders>
            <w:shd w:val="clear" w:color="FFFFFF" w:fill="FFFFFF"/>
            <w:noWrap/>
            <w:vAlign w:val="bottom"/>
            <w:hideMark/>
          </w:tcPr>
          <w:p w14:paraId="2F38487D"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150" w:type="dxa"/>
            <w:tcBorders>
              <w:top w:val="nil"/>
              <w:left w:val="nil"/>
              <w:bottom w:val="nil"/>
              <w:right w:val="nil"/>
            </w:tcBorders>
            <w:shd w:val="clear" w:color="FFFFFF" w:fill="FFFFFF"/>
            <w:noWrap/>
            <w:vAlign w:val="bottom"/>
            <w:hideMark/>
          </w:tcPr>
          <w:p w14:paraId="1D41AAD2"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147" w:type="dxa"/>
            <w:tcBorders>
              <w:top w:val="nil"/>
              <w:left w:val="nil"/>
              <w:bottom w:val="nil"/>
              <w:right w:val="nil"/>
            </w:tcBorders>
            <w:shd w:val="clear" w:color="FFFFFF" w:fill="FFFFFF"/>
            <w:noWrap/>
            <w:vAlign w:val="bottom"/>
            <w:hideMark/>
          </w:tcPr>
          <w:p w14:paraId="7B42F1BC"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070" w:type="dxa"/>
            <w:tcBorders>
              <w:top w:val="nil"/>
              <w:left w:val="nil"/>
              <w:bottom w:val="nil"/>
              <w:right w:val="nil"/>
            </w:tcBorders>
            <w:shd w:val="clear" w:color="FFFFFF" w:fill="FFFFFF"/>
            <w:noWrap/>
            <w:vAlign w:val="bottom"/>
            <w:hideMark/>
          </w:tcPr>
          <w:p w14:paraId="5240A305" w14:textId="77777777" w:rsidR="00AB6753" w:rsidRDefault="00AB6753" w:rsidP="002D1EA4">
            <w:pPr>
              <w:spacing w:after="0" w:line="240" w:lineRule="auto"/>
              <w:jc w:val="right"/>
              <w:rPr>
                <w:rFonts w:cs="Arial"/>
                <w:b/>
                <w:bCs/>
                <w:sz w:val="18"/>
                <w:szCs w:val="18"/>
              </w:rPr>
            </w:pPr>
            <w:r>
              <w:rPr>
                <w:rFonts w:cs="Arial"/>
                <w:b/>
                <w:bCs/>
                <w:sz w:val="18"/>
                <w:szCs w:val="18"/>
              </w:rPr>
              <w:t> </w:t>
            </w:r>
          </w:p>
        </w:tc>
      </w:tr>
      <w:tr w:rsidR="00AB6753" w14:paraId="02AD9BB7" w14:textId="77777777" w:rsidTr="002D1EA4">
        <w:trPr>
          <w:trHeight w:val="244"/>
        </w:trPr>
        <w:tc>
          <w:tcPr>
            <w:tcW w:w="3339" w:type="dxa"/>
            <w:tcBorders>
              <w:top w:val="nil"/>
              <w:left w:val="nil"/>
              <w:bottom w:val="nil"/>
              <w:right w:val="nil"/>
            </w:tcBorders>
            <w:shd w:val="clear" w:color="FFFFFF" w:fill="FFFFFF"/>
            <w:noWrap/>
            <w:vAlign w:val="bottom"/>
            <w:hideMark/>
          </w:tcPr>
          <w:p w14:paraId="5F987B0B" w14:textId="77777777" w:rsidR="00AB6753" w:rsidRDefault="00AB6753" w:rsidP="002D1EA4">
            <w:pPr>
              <w:spacing w:after="0" w:line="240" w:lineRule="auto"/>
              <w:ind w:leftChars="100" w:left="220"/>
              <w:rPr>
                <w:rFonts w:cs="Arial"/>
                <w:sz w:val="18"/>
                <w:szCs w:val="18"/>
              </w:rPr>
            </w:pPr>
            <w:r>
              <w:rPr>
                <w:rFonts w:cs="Arial"/>
                <w:sz w:val="18"/>
                <w:szCs w:val="18"/>
              </w:rPr>
              <w:t>By purchase or internally developed</w:t>
            </w:r>
          </w:p>
        </w:tc>
        <w:tc>
          <w:tcPr>
            <w:tcW w:w="1474" w:type="dxa"/>
            <w:tcBorders>
              <w:top w:val="nil"/>
              <w:left w:val="nil"/>
              <w:bottom w:val="nil"/>
              <w:right w:val="nil"/>
            </w:tcBorders>
            <w:shd w:val="clear" w:color="FFFFFF" w:fill="FFFFFF"/>
            <w:noWrap/>
            <w:vAlign w:val="bottom"/>
            <w:hideMark/>
          </w:tcPr>
          <w:p w14:paraId="77B54828" w14:textId="77777777" w:rsidR="00AB6753" w:rsidRDefault="00AB6753" w:rsidP="002D1EA4">
            <w:pPr>
              <w:spacing w:after="0" w:line="240" w:lineRule="auto"/>
              <w:jc w:val="right"/>
              <w:rPr>
                <w:rFonts w:cs="Arial"/>
                <w:b/>
                <w:bCs/>
                <w:sz w:val="18"/>
                <w:szCs w:val="18"/>
              </w:rPr>
            </w:pPr>
            <w:r>
              <w:rPr>
                <w:rFonts w:cs="Arial"/>
                <w:b/>
                <w:bCs/>
                <w:sz w:val="18"/>
                <w:szCs w:val="18"/>
              </w:rPr>
              <w:t xml:space="preserve">323 </w:t>
            </w:r>
          </w:p>
        </w:tc>
        <w:tc>
          <w:tcPr>
            <w:tcW w:w="1148" w:type="dxa"/>
            <w:tcBorders>
              <w:top w:val="nil"/>
              <w:left w:val="nil"/>
              <w:bottom w:val="nil"/>
              <w:right w:val="nil"/>
            </w:tcBorders>
            <w:shd w:val="clear" w:color="FFFFFF" w:fill="FFFFFF"/>
            <w:noWrap/>
            <w:vAlign w:val="bottom"/>
            <w:hideMark/>
          </w:tcPr>
          <w:p w14:paraId="009E2DB5" w14:textId="77777777" w:rsidR="00AB6753" w:rsidRDefault="00AB6753" w:rsidP="002D1EA4">
            <w:pPr>
              <w:spacing w:after="0" w:line="240" w:lineRule="auto"/>
              <w:jc w:val="right"/>
              <w:rPr>
                <w:rFonts w:cs="Arial"/>
                <w:b/>
                <w:bCs/>
                <w:sz w:val="18"/>
                <w:szCs w:val="18"/>
              </w:rPr>
            </w:pPr>
            <w:r>
              <w:rPr>
                <w:rFonts w:cs="Arial"/>
                <w:b/>
                <w:bCs/>
                <w:sz w:val="18"/>
                <w:szCs w:val="18"/>
              </w:rPr>
              <w:t xml:space="preserve">1,301 </w:t>
            </w:r>
          </w:p>
        </w:tc>
        <w:tc>
          <w:tcPr>
            <w:tcW w:w="1150" w:type="dxa"/>
            <w:tcBorders>
              <w:top w:val="nil"/>
              <w:left w:val="nil"/>
              <w:bottom w:val="nil"/>
              <w:right w:val="nil"/>
            </w:tcBorders>
            <w:shd w:val="clear" w:color="FFFFFF" w:fill="FFFFFF"/>
            <w:noWrap/>
            <w:vAlign w:val="bottom"/>
            <w:hideMark/>
          </w:tcPr>
          <w:p w14:paraId="4F4C1FF1" w14:textId="77777777" w:rsidR="00AB6753" w:rsidRDefault="00AB6753" w:rsidP="002D1EA4">
            <w:pPr>
              <w:spacing w:after="0" w:line="240" w:lineRule="auto"/>
              <w:jc w:val="right"/>
              <w:rPr>
                <w:rFonts w:cs="Arial"/>
                <w:b/>
                <w:bCs/>
                <w:sz w:val="18"/>
                <w:szCs w:val="18"/>
              </w:rPr>
            </w:pPr>
            <w:r>
              <w:rPr>
                <w:rFonts w:cs="Arial"/>
                <w:b/>
                <w:bCs/>
                <w:sz w:val="18"/>
                <w:szCs w:val="18"/>
              </w:rPr>
              <w:t xml:space="preserve">10,750 </w:t>
            </w:r>
          </w:p>
        </w:tc>
        <w:tc>
          <w:tcPr>
            <w:tcW w:w="1147" w:type="dxa"/>
            <w:tcBorders>
              <w:top w:val="nil"/>
              <w:left w:val="nil"/>
              <w:bottom w:val="nil"/>
              <w:right w:val="nil"/>
            </w:tcBorders>
            <w:shd w:val="clear" w:color="FFFFFF" w:fill="FFFFFF"/>
            <w:noWrap/>
            <w:vAlign w:val="bottom"/>
            <w:hideMark/>
          </w:tcPr>
          <w:p w14:paraId="36723A51" w14:textId="77777777" w:rsidR="00AB6753" w:rsidRDefault="00AB6753" w:rsidP="002D1EA4">
            <w:pPr>
              <w:spacing w:after="0" w:line="240" w:lineRule="auto"/>
              <w:jc w:val="right"/>
              <w:rPr>
                <w:rFonts w:cs="Arial"/>
                <w:b/>
                <w:bCs/>
                <w:sz w:val="18"/>
                <w:szCs w:val="18"/>
              </w:rPr>
            </w:pPr>
            <w:r>
              <w:rPr>
                <w:rFonts w:cs="Arial"/>
                <w:b/>
                <w:bCs/>
                <w:sz w:val="18"/>
                <w:szCs w:val="18"/>
              </w:rPr>
              <w:t xml:space="preserve"> -</w:t>
            </w:r>
          </w:p>
        </w:tc>
        <w:tc>
          <w:tcPr>
            <w:tcW w:w="1070" w:type="dxa"/>
            <w:tcBorders>
              <w:top w:val="nil"/>
              <w:left w:val="nil"/>
              <w:bottom w:val="nil"/>
              <w:right w:val="nil"/>
            </w:tcBorders>
            <w:shd w:val="clear" w:color="FFFFFF" w:fill="FFFFFF"/>
            <w:noWrap/>
            <w:vAlign w:val="bottom"/>
            <w:hideMark/>
          </w:tcPr>
          <w:p w14:paraId="57340B98" w14:textId="77777777" w:rsidR="00AB6753" w:rsidRDefault="00AB6753" w:rsidP="002D1EA4">
            <w:pPr>
              <w:spacing w:after="0" w:line="240" w:lineRule="auto"/>
              <w:jc w:val="right"/>
              <w:rPr>
                <w:rFonts w:cs="Arial"/>
                <w:b/>
                <w:bCs/>
                <w:sz w:val="18"/>
                <w:szCs w:val="18"/>
              </w:rPr>
            </w:pPr>
            <w:r>
              <w:rPr>
                <w:rFonts w:cs="Arial"/>
                <w:b/>
                <w:bCs/>
                <w:sz w:val="18"/>
                <w:szCs w:val="18"/>
              </w:rPr>
              <w:t>12,374</w:t>
            </w:r>
          </w:p>
        </w:tc>
      </w:tr>
      <w:tr w:rsidR="00AB6753" w14:paraId="06680862" w14:textId="77777777" w:rsidTr="002D1EA4">
        <w:trPr>
          <w:trHeight w:val="244"/>
        </w:trPr>
        <w:tc>
          <w:tcPr>
            <w:tcW w:w="3339" w:type="dxa"/>
            <w:tcBorders>
              <w:top w:val="nil"/>
              <w:left w:val="nil"/>
              <w:bottom w:val="nil"/>
              <w:right w:val="nil"/>
            </w:tcBorders>
            <w:shd w:val="clear" w:color="FFFFFF" w:fill="FFFFFF"/>
            <w:noWrap/>
            <w:vAlign w:val="bottom"/>
            <w:hideMark/>
          </w:tcPr>
          <w:p w14:paraId="593B789F" w14:textId="77777777" w:rsidR="00AB6753" w:rsidRDefault="00AB6753" w:rsidP="002D1EA4">
            <w:pPr>
              <w:spacing w:after="0" w:line="240" w:lineRule="auto"/>
              <w:ind w:leftChars="100" w:left="220"/>
              <w:rPr>
                <w:rFonts w:cs="Arial"/>
                <w:sz w:val="18"/>
                <w:szCs w:val="18"/>
              </w:rPr>
            </w:pPr>
            <w:r>
              <w:rPr>
                <w:rFonts w:cs="Arial"/>
                <w:sz w:val="18"/>
                <w:szCs w:val="18"/>
              </w:rPr>
              <w:t>By purchase or internally developed - right-of-use</w:t>
            </w:r>
          </w:p>
        </w:tc>
        <w:tc>
          <w:tcPr>
            <w:tcW w:w="1474" w:type="dxa"/>
            <w:tcBorders>
              <w:top w:val="nil"/>
              <w:left w:val="nil"/>
              <w:bottom w:val="nil"/>
              <w:right w:val="nil"/>
            </w:tcBorders>
            <w:shd w:val="clear" w:color="FFFFFF" w:fill="FFFFFF"/>
            <w:noWrap/>
            <w:vAlign w:val="bottom"/>
            <w:hideMark/>
          </w:tcPr>
          <w:p w14:paraId="598F4DFE" w14:textId="77777777" w:rsidR="00AB6753" w:rsidRDefault="00AB6753" w:rsidP="002D1EA4">
            <w:pPr>
              <w:spacing w:after="0" w:line="240" w:lineRule="auto"/>
              <w:jc w:val="right"/>
              <w:rPr>
                <w:rFonts w:cs="Arial"/>
                <w:b/>
                <w:bCs/>
                <w:sz w:val="18"/>
                <w:szCs w:val="18"/>
              </w:rPr>
            </w:pPr>
            <w:r>
              <w:rPr>
                <w:rFonts w:cs="Arial"/>
                <w:b/>
                <w:bCs/>
                <w:sz w:val="18"/>
                <w:szCs w:val="18"/>
              </w:rPr>
              <w:t xml:space="preserve">634 </w:t>
            </w:r>
          </w:p>
        </w:tc>
        <w:tc>
          <w:tcPr>
            <w:tcW w:w="1148" w:type="dxa"/>
            <w:tcBorders>
              <w:top w:val="nil"/>
              <w:left w:val="nil"/>
              <w:bottom w:val="nil"/>
              <w:right w:val="nil"/>
            </w:tcBorders>
            <w:shd w:val="clear" w:color="FFFFFF" w:fill="FFFFFF"/>
            <w:noWrap/>
            <w:vAlign w:val="bottom"/>
            <w:hideMark/>
          </w:tcPr>
          <w:p w14:paraId="69AFFF22" w14:textId="77777777" w:rsidR="00AB6753" w:rsidRDefault="00AB6753" w:rsidP="002D1EA4">
            <w:pPr>
              <w:spacing w:after="0" w:line="240" w:lineRule="auto"/>
              <w:jc w:val="right"/>
              <w:rPr>
                <w:rFonts w:cs="Arial"/>
                <w:b/>
                <w:bCs/>
                <w:sz w:val="18"/>
                <w:szCs w:val="18"/>
              </w:rPr>
            </w:pPr>
            <w:r>
              <w:rPr>
                <w:rFonts w:cs="Arial"/>
                <w:b/>
                <w:bCs/>
                <w:sz w:val="18"/>
                <w:szCs w:val="18"/>
              </w:rPr>
              <w:t xml:space="preserve">226 </w:t>
            </w:r>
          </w:p>
        </w:tc>
        <w:tc>
          <w:tcPr>
            <w:tcW w:w="1150" w:type="dxa"/>
            <w:tcBorders>
              <w:top w:val="nil"/>
              <w:left w:val="nil"/>
              <w:bottom w:val="nil"/>
              <w:right w:val="nil"/>
            </w:tcBorders>
            <w:shd w:val="clear" w:color="FFFFFF" w:fill="FFFFFF"/>
            <w:noWrap/>
            <w:vAlign w:val="bottom"/>
            <w:hideMark/>
          </w:tcPr>
          <w:p w14:paraId="1FDBB0D7" w14:textId="77777777" w:rsidR="00AB6753" w:rsidRDefault="00AB6753" w:rsidP="002D1EA4">
            <w:pPr>
              <w:spacing w:after="0" w:line="240" w:lineRule="auto"/>
              <w:jc w:val="right"/>
              <w:rPr>
                <w:rFonts w:cs="Arial"/>
                <w:b/>
                <w:bCs/>
                <w:sz w:val="18"/>
                <w:szCs w:val="18"/>
              </w:rPr>
            </w:pPr>
            <w:r>
              <w:rPr>
                <w:rFonts w:cs="Arial"/>
                <w:b/>
                <w:bCs/>
                <w:sz w:val="18"/>
                <w:szCs w:val="18"/>
              </w:rPr>
              <w:t xml:space="preserve"> -</w:t>
            </w:r>
          </w:p>
        </w:tc>
        <w:tc>
          <w:tcPr>
            <w:tcW w:w="1147" w:type="dxa"/>
            <w:tcBorders>
              <w:top w:val="nil"/>
              <w:left w:val="nil"/>
              <w:bottom w:val="nil"/>
              <w:right w:val="nil"/>
            </w:tcBorders>
            <w:shd w:val="clear" w:color="FFFFFF" w:fill="FFFFFF"/>
            <w:noWrap/>
            <w:vAlign w:val="bottom"/>
            <w:hideMark/>
          </w:tcPr>
          <w:p w14:paraId="4A1BFAC0" w14:textId="77777777" w:rsidR="00AB6753" w:rsidRDefault="00AB6753" w:rsidP="002D1EA4">
            <w:pPr>
              <w:spacing w:after="0" w:line="240" w:lineRule="auto"/>
              <w:jc w:val="right"/>
              <w:rPr>
                <w:rFonts w:cs="Arial"/>
                <w:b/>
                <w:bCs/>
                <w:sz w:val="18"/>
                <w:szCs w:val="18"/>
              </w:rPr>
            </w:pPr>
            <w:r>
              <w:rPr>
                <w:rFonts w:cs="Arial"/>
                <w:b/>
                <w:bCs/>
                <w:sz w:val="18"/>
                <w:szCs w:val="18"/>
              </w:rPr>
              <w:t xml:space="preserve"> -</w:t>
            </w:r>
          </w:p>
        </w:tc>
        <w:tc>
          <w:tcPr>
            <w:tcW w:w="1070" w:type="dxa"/>
            <w:tcBorders>
              <w:top w:val="nil"/>
              <w:left w:val="nil"/>
              <w:bottom w:val="nil"/>
              <w:right w:val="nil"/>
            </w:tcBorders>
            <w:shd w:val="clear" w:color="FFFFFF" w:fill="FFFFFF"/>
            <w:noWrap/>
            <w:vAlign w:val="bottom"/>
            <w:hideMark/>
          </w:tcPr>
          <w:p w14:paraId="2E6F7F01" w14:textId="77777777" w:rsidR="00AB6753" w:rsidRDefault="00AB6753" w:rsidP="002D1EA4">
            <w:pPr>
              <w:spacing w:after="0" w:line="240" w:lineRule="auto"/>
              <w:jc w:val="right"/>
              <w:rPr>
                <w:rFonts w:cs="Arial"/>
                <w:b/>
                <w:bCs/>
                <w:sz w:val="18"/>
                <w:szCs w:val="18"/>
              </w:rPr>
            </w:pPr>
            <w:r>
              <w:rPr>
                <w:rFonts w:cs="Arial"/>
                <w:b/>
                <w:bCs/>
                <w:sz w:val="18"/>
                <w:szCs w:val="18"/>
              </w:rPr>
              <w:t>860</w:t>
            </w:r>
          </w:p>
        </w:tc>
      </w:tr>
      <w:tr w:rsidR="00AB6753" w14:paraId="796C4A33" w14:textId="77777777" w:rsidTr="002D1EA4">
        <w:trPr>
          <w:trHeight w:val="244"/>
        </w:trPr>
        <w:tc>
          <w:tcPr>
            <w:tcW w:w="3339" w:type="dxa"/>
            <w:tcBorders>
              <w:top w:val="nil"/>
              <w:left w:val="nil"/>
              <w:bottom w:val="nil"/>
              <w:right w:val="nil"/>
            </w:tcBorders>
            <w:shd w:val="clear" w:color="FFFFFF" w:fill="FFFFFF"/>
            <w:noWrap/>
            <w:vAlign w:val="bottom"/>
            <w:hideMark/>
          </w:tcPr>
          <w:p w14:paraId="601641DC" w14:textId="77777777" w:rsidR="00AB6753" w:rsidRDefault="00AB6753" w:rsidP="002D1EA4">
            <w:pPr>
              <w:spacing w:after="0" w:line="240" w:lineRule="auto"/>
              <w:ind w:leftChars="100" w:left="220"/>
              <w:rPr>
                <w:rFonts w:cs="Arial"/>
                <w:sz w:val="18"/>
                <w:szCs w:val="18"/>
              </w:rPr>
            </w:pPr>
            <w:r>
              <w:rPr>
                <w:rFonts w:cs="Arial"/>
                <w:sz w:val="18"/>
                <w:szCs w:val="18"/>
              </w:rPr>
              <w:t>By recognition</w:t>
            </w:r>
          </w:p>
        </w:tc>
        <w:tc>
          <w:tcPr>
            <w:tcW w:w="1474" w:type="dxa"/>
            <w:tcBorders>
              <w:top w:val="nil"/>
              <w:left w:val="nil"/>
              <w:bottom w:val="nil"/>
              <w:right w:val="nil"/>
            </w:tcBorders>
            <w:shd w:val="clear" w:color="FFFFFF" w:fill="FFFFFF"/>
            <w:noWrap/>
            <w:vAlign w:val="bottom"/>
            <w:hideMark/>
          </w:tcPr>
          <w:p w14:paraId="50E97FD8"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148" w:type="dxa"/>
            <w:tcBorders>
              <w:top w:val="nil"/>
              <w:left w:val="nil"/>
              <w:bottom w:val="nil"/>
              <w:right w:val="nil"/>
            </w:tcBorders>
            <w:shd w:val="clear" w:color="FFFFFF" w:fill="FFFFFF"/>
            <w:noWrap/>
            <w:vAlign w:val="bottom"/>
            <w:hideMark/>
          </w:tcPr>
          <w:p w14:paraId="28DA6307" w14:textId="77777777" w:rsidR="00AB6753" w:rsidRDefault="00AB6753" w:rsidP="002D1EA4">
            <w:pPr>
              <w:spacing w:after="0" w:line="240" w:lineRule="auto"/>
              <w:jc w:val="right"/>
              <w:rPr>
                <w:rFonts w:cs="Arial"/>
                <w:b/>
                <w:bCs/>
                <w:sz w:val="18"/>
                <w:szCs w:val="18"/>
              </w:rPr>
            </w:pPr>
            <w:r>
              <w:rPr>
                <w:rFonts w:cs="Arial"/>
                <w:b/>
                <w:bCs/>
                <w:sz w:val="18"/>
                <w:szCs w:val="18"/>
              </w:rPr>
              <w:t>4</w:t>
            </w:r>
          </w:p>
        </w:tc>
        <w:tc>
          <w:tcPr>
            <w:tcW w:w="1150" w:type="dxa"/>
            <w:tcBorders>
              <w:top w:val="nil"/>
              <w:left w:val="nil"/>
              <w:bottom w:val="nil"/>
              <w:right w:val="nil"/>
            </w:tcBorders>
            <w:shd w:val="clear" w:color="FFFFFF" w:fill="FFFFFF"/>
            <w:noWrap/>
            <w:vAlign w:val="bottom"/>
            <w:hideMark/>
          </w:tcPr>
          <w:p w14:paraId="5D15CA0D"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147" w:type="dxa"/>
            <w:tcBorders>
              <w:top w:val="nil"/>
              <w:left w:val="nil"/>
              <w:bottom w:val="nil"/>
              <w:right w:val="nil"/>
            </w:tcBorders>
            <w:shd w:val="clear" w:color="FFFFFF" w:fill="FFFFFF"/>
            <w:noWrap/>
            <w:vAlign w:val="bottom"/>
            <w:hideMark/>
          </w:tcPr>
          <w:p w14:paraId="27F52BA4"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070" w:type="dxa"/>
            <w:tcBorders>
              <w:top w:val="nil"/>
              <w:left w:val="nil"/>
              <w:bottom w:val="nil"/>
              <w:right w:val="nil"/>
            </w:tcBorders>
            <w:shd w:val="clear" w:color="FFFFFF" w:fill="FFFFFF"/>
            <w:noWrap/>
            <w:vAlign w:val="bottom"/>
            <w:hideMark/>
          </w:tcPr>
          <w:p w14:paraId="03980108" w14:textId="77777777" w:rsidR="00AB6753" w:rsidRDefault="00AB6753" w:rsidP="002D1EA4">
            <w:pPr>
              <w:spacing w:after="0" w:line="240" w:lineRule="auto"/>
              <w:jc w:val="right"/>
              <w:rPr>
                <w:rFonts w:cs="Arial"/>
                <w:b/>
                <w:bCs/>
                <w:sz w:val="18"/>
                <w:szCs w:val="18"/>
              </w:rPr>
            </w:pPr>
            <w:r>
              <w:rPr>
                <w:rFonts w:cs="Arial"/>
                <w:b/>
                <w:bCs/>
                <w:sz w:val="18"/>
                <w:szCs w:val="18"/>
              </w:rPr>
              <w:t>4</w:t>
            </w:r>
          </w:p>
        </w:tc>
      </w:tr>
      <w:tr w:rsidR="00AB6753" w14:paraId="1295AD5B" w14:textId="77777777" w:rsidTr="002D1EA4">
        <w:trPr>
          <w:trHeight w:val="244"/>
        </w:trPr>
        <w:tc>
          <w:tcPr>
            <w:tcW w:w="3339" w:type="dxa"/>
            <w:tcBorders>
              <w:top w:val="nil"/>
              <w:left w:val="nil"/>
              <w:bottom w:val="nil"/>
              <w:right w:val="nil"/>
            </w:tcBorders>
            <w:shd w:val="clear" w:color="FFFFFF" w:fill="FFFFFF"/>
            <w:vAlign w:val="bottom"/>
            <w:hideMark/>
          </w:tcPr>
          <w:p w14:paraId="4A676C81" w14:textId="77777777" w:rsidR="00AB6753" w:rsidRDefault="00AB6753" w:rsidP="002D1EA4">
            <w:pPr>
              <w:spacing w:after="0" w:line="240" w:lineRule="auto"/>
              <w:rPr>
                <w:rFonts w:cs="Arial"/>
                <w:sz w:val="18"/>
                <w:szCs w:val="18"/>
              </w:rPr>
            </w:pPr>
            <w:r>
              <w:rPr>
                <w:rFonts w:cs="Arial"/>
                <w:sz w:val="18"/>
                <w:szCs w:val="18"/>
              </w:rPr>
              <w:t>Restructuring activities</w:t>
            </w:r>
          </w:p>
        </w:tc>
        <w:tc>
          <w:tcPr>
            <w:tcW w:w="1474" w:type="dxa"/>
            <w:tcBorders>
              <w:top w:val="nil"/>
              <w:left w:val="nil"/>
              <w:bottom w:val="nil"/>
              <w:right w:val="nil"/>
            </w:tcBorders>
            <w:shd w:val="clear" w:color="FFFFFF" w:fill="FFFFFF"/>
            <w:noWrap/>
            <w:vAlign w:val="bottom"/>
            <w:hideMark/>
          </w:tcPr>
          <w:p w14:paraId="7CBA72F1" w14:textId="77777777" w:rsidR="00AB6753" w:rsidRDefault="00AB6753" w:rsidP="002D1EA4">
            <w:pPr>
              <w:spacing w:after="0" w:line="240" w:lineRule="auto"/>
              <w:jc w:val="right"/>
              <w:rPr>
                <w:rFonts w:cs="Arial"/>
                <w:b/>
                <w:bCs/>
                <w:sz w:val="18"/>
                <w:szCs w:val="18"/>
              </w:rPr>
            </w:pPr>
            <w:r>
              <w:rPr>
                <w:rFonts w:cs="Arial"/>
                <w:b/>
                <w:bCs/>
                <w:sz w:val="18"/>
                <w:szCs w:val="18"/>
              </w:rPr>
              <w:t>(127)</w:t>
            </w:r>
          </w:p>
        </w:tc>
        <w:tc>
          <w:tcPr>
            <w:tcW w:w="1148" w:type="dxa"/>
            <w:tcBorders>
              <w:top w:val="nil"/>
              <w:left w:val="nil"/>
              <w:bottom w:val="nil"/>
              <w:right w:val="nil"/>
            </w:tcBorders>
            <w:shd w:val="clear" w:color="FFFFFF" w:fill="FFFFFF"/>
            <w:noWrap/>
            <w:vAlign w:val="bottom"/>
            <w:hideMark/>
          </w:tcPr>
          <w:p w14:paraId="17D87ED7" w14:textId="77777777" w:rsidR="00AB6753" w:rsidRDefault="00AB6753" w:rsidP="002D1EA4">
            <w:pPr>
              <w:spacing w:after="0" w:line="240" w:lineRule="auto"/>
              <w:jc w:val="right"/>
              <w:rPr>
                <w:rFonts w:cs="Arial"/>
                <w:b/>
                <w:bCs/>
                <w:sz w:val="18"/>
                <w:szCs w:val="18"/>
              </w:rPr>
            </w:pPr>
            <w:r>
              <w:rPr>
                <w:rFonts w:cs="Arial"/>
                <w:b/>
                <w:bCs/>
                <w:sz w:val="18"/>
                <w:szCs w:val="18"/>
              </w:rPr>
              <w:t>(19,215)</w:t>
            </w:r>
          </w:p>
        </w:tc>
        <w:tc>
          <w:tcPr>
            <w:tcW w:w="1150" w:type="dxa"/>
            <w:tcBorders>
              <w:top w:val="nil"/>
              <w:left w:val="nil"/>
              <w:bottom w:val="nil"/>
              <w:right w:val="nil"/>
            </w:tcBorders>
            <w:shd w:val="clear" w:color="FFFFFF" w:fill="FFFFFF"/>
            <w:noWrap/>
            <w:vAlign w:val="bottom"/>
            <w:hideMark/>
          </w:tcPr>
          <w:p w14:paraId="6786B82C" w14:textId="77777777" w:rsidR="00AB6753" w:rsidRDefault="00AB6753" w:rsidP="002D1EA4">
            <w:pPr>
              <w:spacing w:after="0" w:line="240" w:lineRule="auto"/>
              <w:jc w:val="right"/>
              <w:rPr>
                <w:rFonts w:cs="Arial"/>
                <w:b/>
                <w:bCs/>
                <w:sz w:val="18"/>
                <w:szCs w:val="18"/>
              </w:rPr>
            </w:pPr>
            <w:r>
              <w:rPr>
                <w:rFonts w:cs="Arial"/>
                <w:b/>
                <w:bCs/>
                <w:sz w:val="18"/>
                <w:szCs w:val="18"/>
              </w:rPr>
              <w:t>(102,061)</w:t>
            </w:r>
          </w:p>
        </w:tc>
        <w:tc>
          <w:tcPr>
            <w:tcW w:w="1147" w:type="dxa"/>
            <w:tcBorders>
              <w:top w:val="nil"/>
              <w:left w:val="nil"/>
              <w:bottom w:val="nil"/>
              <w:right w:val="nil"/>
            </w:tcBorders>
            <w:shd w:val="clear" w:color="FFFFFF" w:fill="FFFFFF"/>
            <w:noWrap/>
            <w:vAlign w:val="bottom"/>
            <w:hideMark/>
          </w:tcPr>
          <w:p w14:paraId="3654676C" w14:textId="77777777" w:rsidR="00AB6753" w:rsidRDefault="00AB6753" w:rsidP="002D1EA4">
            <w:pPr>
              <w:spacing w:after="0" w:line="240" w:lineRule="auto"/>
              <w:jc w:val="right"/>
              <w:rPr>
                <w:rFonts w:cs="Arial"/>
                <w:b/>
                <w:bCs/>
                <w:sz w:val="18"/>
                <w:szCs w:val="18"/>
              </w:rPr>
            </w:pPr>
            <w:r>
              <w:rPr>
                <w:rFonts w:cs="Arial"/>
                <w:b/>
                <w:bCs/>
                <w:sz w:val="18"/>
                <w:szCs w:val="18"/>
              </w:rPr>
              <w:t>(8,451)</w:t>
            </w:r>
          </w:p>
        </w:tc>
        <w:tc>
          <w:tcPr>
            <w:tcW w:w="1070" w:type="dxa"/>
            <w:tcBorders>
              <w:top w:val="nil"/>
              <w:left w:val="nil"/>
              <w:bottom w:val="nil"/>
              <w:right w:val="nil"/>
            </w:tcBorders>
            <w:shd w:val="clear" w:color="FFFFFF" w:fill="FFFFFF"/>
            <w:noWrap/>
            <w:vAlign w:val="bottom"/>
            <w:hideMark/>
          </w:tcPr>
          <w:p w14:paraId="5F10623D" w14:textId="77777777" w:rsidR="00AB6753" w:rsidRDefault="00AB6753" w:rsidP="002D1EA4">
            <w:pPr>
              <w:spacing w:after="0" w:line="240" w:lineRule="auto"/>
              <w:jc w:val="right"/>
              <w:rPr>
                <w:rFonts w:cs="Arial"/>
                <w:b/>
                <w:bCs/>
                <w:sz w:val="18"/>
                <w:szCs w:val="18"/>
              </w:rPr>
            </w:pPr>
            <w:r>
              <w:rPr>
                <w:rFonts w:cs="Arial"/>
                <w:b/>
                <w:bCs/>
                <w:sz w:val="18"/>
                <w:szCs w:val="18"/>
              </w:rPr>
              <w:t>(129,854)</w:t>
            </w:r>
          </w:p>
        </w:tc>
      </w:tr>
      <w:tr w:rsidR="00AB6753" w14:paraId="1A91287E" w14:textId="77777777" w:rsidTr="002D1EA4">
        <w:trPr>
          <w:trHeight w:val="244"/>
        </w:trPr>
        <w:tc>
          <w:tcPr>
            <w:tcW w:w="3339" w:type="dxa"/>
            <w:tcBorders>
              <w:top w:val="nil"/>
              <w:left w:val="nil"/>
              <w:bottom w:val="nil"/>
              <w:right w:val="nil"/>
            </w:tcBorders>
            <w:shd w:val="clear" w:color="FFFFFF" w:fill="FFFFFF"/>
            <w:vAlign w:val="bottom"/>
            <w:hideMark/>
          </w:tcPr>
          <w:p w14:paraId="132844D1" w14:textId="77777777" w:rsidR="00AB6753" w:rsidRDefault="00AB6753" w:rsidP="002D1EA4">
            <w:pPr>
              <w:spacing w:after="0" w:line="240" w:lineRule="auto"/>
              <w:rPr>
                <w:rFonts w:cs="Arial"/>
                <w:sz w:val="18"/>
                <w:szCs w:val="18"/>
              </w:rPr>
            </w:pPr>
            <w:r>
              <w:rPr>
                <w:rFonts w:cs="Arial"/>
                <w:sz w:val="18"/>
                <w:szCs w:val="18"/>
              </w:rPr>
              <w:t>Restructuring activities right-of-use assets</w:t>
            </w:r>
          </w:p>
        </w:tc>
        <w:tc>
          <w:tcPr>
            <w:tcW w:w="1474" w:type="dxa"/>
            <w:tcBorders>
              <w:top w:val="nil"/>
              <w:left w:val="nil"/>
              <w:bottom w:val="nil"/>
              <w:right w:val="nil"/>
            </w:tcBorders>
            <w:shd w:val="clear" w:color="FFFFFF" w:fill="FFFFFF"/>
            <w:noWrap/>
            <w:vAlign w:val="bottom"/>
            <w:hideMark/>
          </w:tcPr>
          <w:p w14:paraId="0AE4C7B7" w14:textId="77777777" w:rsidR="00AB6753" w:rsidRDefault="00AB6753" w:rsidP="002D1EA4">
            <w:pPr>
              <w:spacing w:after="0" w:line="240" w:lineRule="auto"/>
              <w:jc w:val="right"/>
              <w:rPr>
                <w:rFonts w:cs="Arial"/>
                <w:b/>
                <w:bCs/>
                <w:sz w:val="18"/>
                <w:szCs w:val="18"/>
              </w:rPr>
            </w:pPr>
            <w:r>
              <w:rPr>
                <w:rFonts w:cs="Arial"/>
                <w:b/>
                <w:bCs/>
                <w:sz w:val="18"/>
                <w:szCs w:val="18"/>
              </w:rPr>
              <w:t>(7,339)</w:t>
            </w:r>
          </w:p>
        </w:tc>
        <w:tc>
          <w:tcPr>
            <w:tcW w:w="1148" w:type="dxa"/>
            <w:tcBorders>
              <w:top w:val="nil"/>
              <w:left w:val="nil"/>
              <w:bottom w:val="nil"/>
              <w:right w:val="nil"/>
            </w:tcBorders>
            <w:shd w:val="clear" w:color="FFFFFF" w:fill="FFFFFF"/>
            <w:noWrap/>
            <w:vAlign w:val="bottom"/>
            <w:hideMark/>
          </w:tcPr>
          <w:p w14:paraId="05CE7D64" w14:textId="77777777" w:rsidR="00AB6753" w:rsidRDefault="00AB6753" w:rsidP="002D1EA4">
            <w:pPr>
              <w:spacing w:after="0" w:line="240" w:lineRule="auto"/>
              <w:jc w:val="right"/>
              <w:rPr>
                <w:rFonts w:cs="Arial"/>
                <w:b/>
                <w:bCs/>
                <w:sz w:val="18"/>
                <w:szCs w:val="18"/>
              </w:rPr>
            </w:pPr>
            <w:r>
              <w:rPr>
                <w:rFonts w:cs="Arial"/>
                <w:b/>
                <w:bCs/>
                <w:sz w:val="18"/>
                <w:szCs w:val="18"/>
              </w:rPr>
              <w:t>(7)</w:t>
            </w:r>
          </w:p>
        </w:tc>
        <w:tc>
          <w:tcPr>
            <w:tcW w:w="1150" w:type="dxa"/>
            <w:tcBorders>
              <w:top w:val="nil"/>
              <w:left w:val="nil"/>
              <w:bottom w:val="nil"/>
              <w:right w:val="nil"/>
            </w:tcBorders>
            <w:shd w:val="clear" w:color="FFFFFF" w:fill="FFFFFF"/>
            <w:noWrap/>
            <w:vAlign w:val="bottom"/>
            <w:hideMark/>
          </w:tcPr>
          <w:p w14:paraId="5DAD2ADC"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147" w:type="dxa"/>
            <w:tcBorders>
              <w:top w:val="nil"/>
              <w:left w:val="nil"/>
              <w:bottom w:val="nil"/>
              <w:right w:val="nil"/>
            </w:tcBorders>
            <w:shd w:val="clear" w:color="FFFFFF" w:fill="FFFFFF"/>
            <w:noWrap/>
            <w:vAlign w:val="bottom"/>
            <w:hideMark/>
          </w:tcPr>
          <w:p w14:paraId="57522957"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070" w:type="dxa"/>
            <w:tcBorders>
              <w:top w:val="nil"/>
              <w:left w:val="nil"/>
              <w:bottom w:val="nil"/>
              <w:right w:val="nil"/>
            </w:tcBorders>
            <w:shd w:val="clear" w:color="FFFFFF" w:fill="FFFFFF"/>
            <w:noWrap/>
            <w:vAlign w:val="bottom"/>
            <w:hideMark/>
          </w:tcPr>
          <w:p w14:paraId="0608CC45" w14:textId="77777777" w:rsidR="00AB6753" w:rsidRDefault="00AB6753" w:rsidP="002D1EA4">
            <w:pPr>
              <w:spacing w:after="0" w:line="240" w:lineRule="auto"/>
              <w:jc w:val="right"/>
              <w:rPr>
                <w:rFonts w:cs="Arial"/>
                <w:b/>
                <w:bCs/>
                <w:sz w:val="18"/>
                <w:szCs w:val="18"/>
              </w:rPr>
            </w:pPr>
            <w:r>
              <w:rPr>
                <w:rFonts w:cs="Arial"/>
                <w:b/>
                <w:bCs/>
                <w:sz w:val="18"/>
                <w:szCs w:val="18"/>
              </w:rPr>
              <w:t>(7,346)</w:t>
            </w:r>
          </w:p>
        </w:tc>
      </w:tr>
      <w:tr w:rsidR="00AB6753" w14:paraId="7AD4E2CF" w14:textId="77777777" w:rsidTr="002D1EA4">
        <w:trPr>
          <w:trHeight w:val="244"/>
        </w:trPr>
        <w:tc>
          <w:tcPr>
            <w:tcW w:w="3339" w:type="dxa"/>
            <w:tcBorders>
              <w:top w:val="nil"/>
              <w:left w:val="nil"/>
              <w:bottom w:val="nil"/>
              <w:right w:val="nil"/>
            </w:tcBorders>
            <w:shd w:val="clear" w:color="FFFFFF" w:fill="FFFFFF"/>
            <w:vAlign w:val="bottom"/>
            <w:hideMark/>
          </w:tcPr>
          <w:p w14:paraId="4DCB30CE" w14:textId="77777777" w:rsidR="00AB6753" w:rsidRDefault="00AB6753" w:rsidP="002D1EA4">
            <w:pPr>
              <w:spacing w:after="0" w:line="240" w:lineRule="auto"/>
              <w:rPr>
                <w:rFonts w:cs="Arial"/>
                <w:sz w:val="18"/>
                <w:szCs w:val="18"/>
              </w:rPr>
            </w:pPr>
            <w:r>
              <w:rPr>
                <w:rFonts w:cs="Arial"/>
                <w:sz w:val="18"/>
                <w:szCs w:val="18"/>
              </w:rPr>
              <w:t>Impairments recognised in net cost of services</w:t>
            </w:r>
          </w:p>
        </w:tc>
        <w:tc>
          <w:tcPr>
            <w:tcW w:w="1474" w:type="dxa"/>
            <w:tcBorders>
              <w:top w:val="nil"/>
              <w:left w:val="nil"/>
              <w:bottom w:val="nil"/>
              <w:right w:val="nil"/>
            </w:tcBorders>
            <w:shd w:val="clear" w:color="FFFFFF" w:fill="FFFFFF"/>
            <w:noWrap/>
            <w:vAlign w:val="bottom"/>
            <w:hideMark/>
          </w:tcPr>
          <w:p w14:paraId="071C302C"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148" w:type="dxa"/>
            <w:tcBorders>
              <w:top w:val="nil"/>
              <w:left w:val="nil"/>
              <w:bottom w:val="nil"/>
              <w:right w:val="nil"/>
            </w:tcBorders>
            <w:shd w:val="clear" w:color="FFFFFF" w:fill="FFFFFF"/>
            <w:noWrap/>
            <w:vAlign w:val="bottom"/>
            <w:hideMark/>
          </w:tcPr>
          <w:p w14:paraId="5F70B996"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150" w:type="dxa"/>
            <w:tcBorders>
              <w:top w:val="nil"/>
              <w:left w:val="nil"/>
              <w:bottom w:val="nil"/>
              <w:right w:val="nil"/>
            </w:tcBorders>
            <w:shd w:val="clear" w:color="FFFFFF" w:fill="FFFFFF"/>
            <w:noWrap/>
            <w:vAlign w:val="bottom"/>
            <w:hideMark/>
          </w:tcPr>
          <w:p w14:paraId="028C92C7" w14:textId="77777777" w:rsidR="00AB6753" w:rsidRDefault="00AB6753" w:rsidP="002D1EA4">
            <w:pPr>
              <w:spacing w:after="0" w:line="240" w:lineRule="auto"/>
              <w:jc w:val="right"/>
              <w:rPr>
                <w:rFonts w:cs="Arial"/>
                <w:b/>
                <w:bCs/>
                <w:sz w:val="18"/>
                <w:szCs w:val="18"/>
              </w:rPr>
            </w:pPr>
            <w:r>
              <w:rPr>
                <w:rFonts w:cs="Arial"/>
                <w:b/>
                <w:bCs/>
                <w:sz w:val="18"/>
                <w:szCs w:val="18"/>
              </w:rPr>
              <w:t>(765)</w:t>
            </w:r>
          </w:p>
        </w:tc>
        <w:tc>
          <w:tcPr>
            <w:tcW w:w="1147" w:type="dxa"/>
            <w:tcBorders>
              <w:top w:val="nil"/>
              <w:left w:val="nil"/>
              <w:bottom w:val="nil"/>
              <w:right w:val="nil"/>
            </w:tcBorders>
            <w:shd w:val="clear" w:color="FFFFFF" w:fill="FFFFFF"/>
            <w:noWrap/>
            <w:vAlign w:val="bottom"/>
            <w:hideMark/>
          </w:tcPr>
          <w:p w14:paraId="65E78341" w14:textId="77777777" w:rsidR="00AB6753" w:rsidRDefault="00AB6753" w:rsidP="002D1EA4">
            <w:pPr>
              <w:spacing w:after="0" w:line="240" w:lineRule="auto"/>
              <w:jc w:val="right"/>
              <w:rPr>
                <w:rFonts w:cs="Arial"/>
                <w:b/>
                <w:bCs/>
                <w:sz w:val="18"/>
                <w:szCs w:val="18"/>
              </w:rPr>
            </w:pPr>
            <w:r>
              <w:rPr>
                <w:rFonts w:cs="Arial"/>
                <w:b/>
                <w:bCs/>
                <w:sz w:val="18"/>
                <w:szCs w:val="18"/>
              </w:rPr>
              <w:t>(174)</w:t>
            </w:r>
          </w:p>
        </w:tc>
        <w:tc>
          <w:tcPr>
            <w:tcW w:w="1070" w:type="dxa"/>
            <w:tcBorders>
              <w:top w:val="nil"/>
              <w:left w:val="nil"/>
              <w:bottom w:val="nil"/>
              <w:right w:val="nil"/>
            </w:tcBorders>
            <w:shd w:val="clear" w:color="FFFFFF" w:fill="FFFFFF"/>
            <w:noWrap/>
            <w:vAlign w:val="bottom"/>
            <w:hideMark/>
          </w:tcPr>
          <w:p w14:paraId="7DA33FD6" w14:textId="77777777" w:rsidR="00AB6753" w:rsidRDefault="00AB6753" w:rsidP="002D1EA4">
            <w:pPr>
              <w:spacing w:after="0" w:line="240" w:lineRule="auto"/>
              <w:jc w:val="right"/>
              <w:rPr>
                <w:rFonts w:cs="Arial"/>
                <w:b/>
                <w:bCs/>
                <w:sz w:val="18"/>
                <w:szCs w:val="18"/>
              </w:rPr>
            </w:pPr>
            <w:r>
              <w:rPr>
                <w:rFonts w:cs="Arial"/>
                <w:b/>
                <w:bCs/>
                <w:sz w:val="18"/>
                <w:szCs w:val="18"/>
              </w:rPr>
              <w:t>(939)</w:t>
            </w:r>
          </w:p>
        </w:tc>
      </w:tr>
      <w:tr w:rsidR="00AB6753" w14:paraId="2EA87EEE" w14:textId="77777777" w:rsidTr="002D1EA4">
        <w:trPr>
          <w:trHeight w:val="244"/>
        </w:trPr>
        <w:tc>
          <w:tcPr>
            <w:tcW w:w="3339" w:type="dxa"/>
            <w:tcBorders>
              <w:top w:val="nil"/>
              <w:left w:val="nil"/>
              <w:bottom w:val="nil"/>
              <w:right w:val="nil"/>
            </w:tcBorders>
            <w:shd w:val="clear" w:color="FFFFFF" w:fill="FFFFFF"/>
            <w:vAlign w:val="bottom"/>
            <w:hideMark/>
          </w:tcPr>
          <w:p w14:paraId="540E18F5" w14:textId="77777777" w:rsidR="00AB6753" w:rsidRDefault="00AB6753" w:rsidP="002D1EA4">
            <w:pPr>
              <w:spacing w:after="0" w:line="240" w:lineRule="auto"/>
              <w:rPr>
                <w:rFonts w:cs="Arial"/>
                <w:sz w:val="18"/>
                <w:szCs w:val="18"/>
              </w:rPr>
            </w:pPr>
            <w:r>
              <w:rPr>
                <w:rFonts w:cs="Arial"/>
                <w:sz w:val="18"/>
                <w:szCs w:val="18"/>
              </w:rPr>
              <w:t>Depreciation and amortisation</w:t>
            </w:r>
          </w:p>
        </w:tc>
        <w:tc>
          <w:tcPr>
            <w:tcW w:w="1474" w:type="dxa"/>
            <w:tcBorders>
              <w:top w:val="nil"/>
              <w:left w:val="nil"/>
              <w:bottom w:val="nil"/>
              <w:right w:val="nil"/>
            </w:tcBorders>
            <w:shd w:val="clear" w:color="FFFFFF" w:fill="FFFFFF"/>
            <w:noWrap/>
            <w:vAlign w:val="bottom"/>
            <w:hideMark/>
          </w:tcPr>
          <w:p w14:paraId="3BE04F4A" w14:textId="77777777" w:rsidR="00AB6753" w:rsidRDefault="00AB6753" w:rsidP="002D1EA4">
            <w:pPr>
              <w:spacing w:after="0" w:line="240" w:lineRule="auto"/>
              <w:jc w:val="right"/>
              <w:rPr>
                <w:rFonts w:cs="Arial"/>
                <w:b/>
                <w:bCs/>
                <w:sz w:val="18"/>
                <w:szCs w:val="18"/>
              </w:rPr>
            </w:pPr>
            <w:r>
              <w:rPr>
                <w:rFonts w:cs="Arial"/>
                <w:b/>
                <w:bCs/>
                <w:sz w:val="18"/>
                <w:szCs w:val="18"/>
              </w:rPr>
              <w:t>(7,188)</w:t>
            </w:r>
          </w:p>
        </w:tc>
        <w:tc>
          <w:tcPr>
            <w:tcW w:w="1148" w:type="dxa"/>
            <w:tcBorders>
              <w:top w:val="nil"/>
              <w:left w:val="nil"/>
              <w:bottom w:val="nil"/>
              <w:right w:val="nil"/>
            </w:tcBorders>
            <w:shd w:val="clear" w:color="FFFFFF" w:fill="FFFFFF"/>
            <w:noWrap/>
            <w:vAlign w:val="bottom"/>
            <w:hideMark/>
          </w:tcPr>
          <w:p w14:paraId="274E8D05" w14:textId="77777777" w:rsidR="00AB6753" w:rsidRDefault="00AB6753" w:rsidP="002D1EA4">
            <w:pPr>
              <w:spacing w:after="0" w:line="240" w:lineRule="auto"/>
              <w:jc w:val="right"/>
              <w:rPr>
                <w:rFonts w:cs="Arial"/>
                <w:b/>
                <w:bCs/>
                <w:sz w:val="18"/>
                <w:szCs w:val="18"/>
              </w:rPr>
            </w:pPr>
            <w:r>
              <w:rPr>
                <w:rFonts w:cs="Arial"/>
                <w:b/>
                <w:bCs/>
                <w:sz w:val="18"/>
                <w:szCs w:val="18"/>
              </w:rPr>
              <w:t>(8,533)</w:t>
            </w:r>
          </w:p>
        </w:tc>
        <w:tc>
          <w:tcPr>
            <w:tcW w:w="1150" w:type="dxa"/>
            <w:tcBorders>
              <w:top w:val="nil"/>
              <w:left w:val="nil"/>
              <w:bottom w:val="nil"/>
              <w:right w:val="nil"/>
            </w:tcBorders>
            <w:shd w:val="clear" w:color="FFFFFF" w:fill="FFFFFF"/>
            <w:noWrap/>
            <w:vAlign w:val="bottom"/>
            <w:hideMark/>
          </w:tcPr>
          <w:p w14:paraId="0B84C911" w14:textId="77777777" w:rsidR="00AB6753" w:rsidRDefault="00AB6753" w:rsidP="002D1EA4">
            <w:pPr>
              <w:spacing w:after="0" w:line="240" w:lineRule="auto"/>
              <w:jc w:val="right"/>
              <w:rPr>
                <w:rFonts w:cs="Arial"/>
                <w:b/>
                <w:bCs/>
                <w:sz w:val="18"/>
                <w:szCs w:val="18"/>
              </w:rPr>
            </w:pPr>
            <w:r>
              <w:rPr>
                <w:rFonts w:cs="Arial"/>
                <w:b/>
                <w:bCs/>
                <w:sz w:val="18"/>
                <w:szCs w:val="18"/>
              </w:rPr>
              <w:t>(19,411)</w:t>
            </w:r>
          </w:p>
        </w:tc>
        <w:tc>
          <w:tcPr>
            <w:tcW w:w="1147" w:type="dxa"/>
            <w:tcBorders>
              <w:top w:val="nil"/>
              <w:left w:val="nil"/>
              <w:bottom w:val="nil"/>
              <w:right w:val="nil"/>
            </w:tcBorders>
            <w:shd w:val="clear" w:color="FFFFFF" w:fill="FFFFFF"/>
            <w:noWrap/>
            <w:vAlign w:val="bottom"/>
            <w:hideMark/>
          </w:tcPr>
          <w:p w14:paraId="00225943" w14:textId="77777777" w:rsidR="00AB6753" w:rsidRDefault="00AB6753" w:rsidP="002D1EA4">
            <w:pPr>
              <w:spacing w:after="0" w:line="240" w:lineRule="auto"/>
              <w:jc w:val="right"/>
              <w:rPr>
                <w:rFonts w:cs="Arial"/>
                <w:b/>
                <w:bCs/>
                <w:sz w:val="18"/>
                <w:szCs w:val="18"/>
              </w:rPr>
            </w:pPr>
            <w:r>
              <w:rPr>
                <w:rFonts w:cs="Arial"/>
                <w:b/>
                <w:bCs/>
                <w:sz w:val="18"/>
                <w:szCs w:val="18"/>
              </w:rPr>
              <w:t>(3,799)</w:t>
            </w:r>
          </w:p>
        </w:tc>
        <w:tc>
          <w:tcPr>
            <w:tcW w:w="1070" w:type="dxa"/>
            <w:tcBorders>
              <w:top w:val="nil"/>
              <w:left w:val="nil"/>
              <w:bottom w:val="nil"/>
              <w:right w:val="nil"/>
            </w:tcBorders>
            <w:shd w:val="clear" w:color="FFFFFF" w:fill="FFFFFF"/>
            <w:noWrap/>
            <w:vAlign w:val="bottom"/>
            <w:hideMark/>
          </w:tcPr>
          <w:p w14:paraId="40C708C7" w14:textId="77777777" w:rsidR="00AB6753" w:rsidRDefault="00AB6753" w:rsidP="002D1EA4">
            <w:pPr>
              <w:spacing w:after="0" w:line="240" w:lineRule="auto"/>
              <w:jc w:val="right"/>
              <w:rPr>
                <w:rFonts w:cs="Arial"/>
                <w:b/>
                <w:bCs/>
                <w:sz w:val="18"/>
                <w:szCs w:val="18"/>
              </w:rPr>
            </w:pPr>
            <w:r>
              <w:rPr>
                <w:rFonts w:cs="Arial"/>
                <w:b/>
                <w:bCs/>
                <w:sz w:val="18"/>
                <w:szCs w:val="18"/>
              </w:rPr>
              <w:t>(38,931)</w:t>
            </w:r>
          </w:p>
        </w:tc>
      </w:tr>
      <w:tr w:rsidR="00AB6753" w14:paraId="0BB9A67D" w14:textId="77777777" w:rsidTr="002D1EA4">
        <w:trPr>
          <w:trHeight w:val="244"/>
        </w:trPr>
        <w:tc>
          <w:tcPr>
            <w:tcW w:w="3339" w:type="dxa"/>
            <w:tcBorders>
              <w:top w:val="nil"/>
              <w:left w:val="nil"/>
              <w:bottom w:val="nil"/>
              <w:right w:val="nil"/>
            </w:tcBorders>
            <w:shd w:val="clear" w:color="FFFFFF" w:fill="FFFFFF"/>
            <w:vAlign w:val="bottom"/>
            <w:hideMark/>
          </w:tcPr>
          <w:p w14:paraId="111A4103" w14:textId="77777777" w:rsidR="00AB6753" w:rsidRDefault="00AB6753" w:rsidP="002D1EA4">
            <w:pPr>
              <w:spacing w:after="0" w:line="240" w:lineRule="auto"/>
              <w:rPr>
                <w:rFonts w:cs="Arial"/>
                <w:sz w:val="18"/>
                <w:szCs w:val="18"/>
              </w:rPr>
            </w:pPr>
            <w:r>
              <w:rPr>
                <w:rFonts w:cs="Arial"/>
                <w:sz w:val="18"/>
                <w:szCs w:val="18"/>
              </w:rPr>
              <w:t>Depreciation on right-of-use assets</w:t>
            </w:r>
          </w:p>
        </w:tc>
        <w:tc>
          <w:tcPr>
            <w:tcW w:w="1474" w:type="dxa"/>
            <w:tcBorders>
              <w:top w:val="nil"/>
              <w:left w:val="nil"/>
              <w:bottom w:val="nil"/>
              <w:right w:val="nil"/>
            </w:tcBorders>
            <w:shd w:val="clear" w:color="FFFFFF" w:fill="FFFFFF"/>
            <w:noWrap/>
            <w:vAlign w:val="bottom"/>
            <w:hideMark/>
          </w:tcPr>
          <w:p w14:paraId="373CCDAF" w14:textId="77777777" w:rsidR="00AB6753" w:rsidRDefault="00AB6753" w:rsidP="002D1EA4">
            <w:pPr>
              <w:spacing w:after="0" w:line="240" w:lineRule="auto"/>
              <w:jc w:val="right"/>
              <w:rPr>
                <w:rFonts w:cs="Arial"/>
                <w:b/>
                <w:bCs/>
                <w:sz w:val="18"/>
                <w:szCs w:val="18"/>
              </w:rPr>
            </w:pPr>
            <w:r>
              <w:rPr>
                <w:rFonts w:cs="Arial"/>
                <w:b/>
                <w:bCs/>
                <w:sz w:val="18"/>
                <w:szCs w:val="18"/>
              </w:rPr>
              <w:t>(34,088)</w:t>
            </w:r>
          </w:p>
        </w:tc>
        <w:tc>
          <w:tcPr>
            <w:tcW w:w="1148" w:type="dxa"/>
            <w:tcBorders>
              <w:top w:val="nil"/>
              <w:left w:val="nil"/>
              <w:bottom w:val="nil"/>
              <w:right w:val="nil"/>
            </w:tcBorders>
            <w:shd w:val="clear" w:color="FFFFFF" w:fill="FFFFFF"/>
            <w:noWrap/>
            <w:vAlign w:val="bottom"/>
            <w:hideMark/>
          </w:tcPr>
          <w:p w14:paraId="32AB71E4" w14:textId="77777777" w:rsidR="00AB6753" w:rsidRDefault="00AB6753" w:rsidP="002D1EA4">
            <w:pPr>
              <w:spacing w:after="0" w:line="240" w:lineRule="auto"/>
              <w:jc w:val="right"/>
              <w:rPr>
                <w:rFonts w:cs="Arial"/>
                <w:b/>
                <w:bCs/>
                <w:sz w:val="18"/>
                <w:szCs w:val="18"/>
              </w:rPr>
            </w:pPr>
            <w:r>
              <w:rPr>
                <w:rFonts w:cs="Arial"/>
                <w:b/>
                <w:bCs/>
                <w:sz w:val="18"/>
                <w:szCs w:val="18"/>
              </w:rPr>
              <w:t>(206)</w:t>
            </w:r>
          </w:p>
        </w:tc>
        <w:tc>
          <w:tcPr>
            <w:tcW w:w="1150" w:type="dxa"/>
            <w:tcBorders>
              <w:top w:val="nil"/>
              <w:left w:val="nil"/>
              <w:bottom w:val="nil"/>
              <w:right w:val="nil"/>
            </w:tcBorders>
            <w:shd w:val="clear" w:color="FFFFFF" w:fill="FFFFFF"/>
            <w:noWrap/>
            <w:vAlign w:val="bottom"/>
            <w:hideMark/>
          </w:tcPr>
          <w:p w14:paraId="763CFDF5"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147" w:type="dxa"/>
            <w:tcBorders>
              <w:top w:val="nil"/>
              <w:left w:val="nil"/>
              <w:bottom w:val="nil"/>
              <w:right w:val="nil"/>
            </w:tcBorders>
            <w:shd w:val="clear" w:color="FFFFFF" w:fill="FFFFFF"/>
            <w:noWrap/>
            <w:vAlign w:val="bottom"/>
            <w:hideMark/>
          </w:tcPr>
          <w:p w14:paraId="1CE7A0CF"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070" w:type="dxa"/>
            <w:tcBorders>
              <w:top w:val="nil"/>
              <w:left w:val="nil"/>
              <w:bottom w:val="nil"/>
              <w:right w:val="nil"/>
            </w:tcBorders>
            <w:shd w:val="clear" w:color="FFFFFF" w:fill="FFFFFF"/>
            <w:noWrap/>
            <w:vAlign w:val="bottom"/>
            <w:hideMark/>
          </w:tcPr>
          <w:p w14:paraId="7D10E1F6" w14:textId="77777777" w:rsidR="00AB6753" w:rsidRDefault="00AB6753" w:rsidP="002D1EA4">
            <w:pPr>
              <w:spacing w:after="0" w:line="240" w:lineRule="auto"/>
              <w:jc w:val="right"/>
              <w:rPr>
                <w:rFonts w:cs="Arial"/>
                <w:b/>
                <w:bCs/>
                <w:sz w:val="18"/>
                <w:szCs w:val="18"/>
              </w:rPr>
            </w:pPr>
            <w:r>
              <w:rPr>
                <w:rFonts w:cs="Arial"/>
                <w:b/>
                <w:bCs/>
                <w:sz w:val="18"/>
                <w:szCs w:val="18"/>
              </w:rPr>
              <w:t>(34,294)</w:t>
            </w:r>
          </w:p>
        </w:tc>
      </w:tr>
      <w:tr w:rsidR="00AB6753" w14:paraId="64047F33" w14:textId="77777777" w:rsidTr="002D1EA4">
        <w:trPr>
          <w:trHeight w:val="244"/>
        </w:trPr>
        <w:tc>
          <w:tcPr>
            <w:tcW w:w="3339" w:type="dxa"/>
            <w:tcBorders>
              <w:top w:val="nil"/>
              <w:left w:val="nil"/>
              <w:bottom w:val="nil"/>
              <w:right w:val="nil"/>
            </w:tcBorders>
            <w:shd w:val="clear" w:color="FFFFFF" w:fill="FFFFFF"/>
            <w:vAlign w:val="bottom"/>
            <w:hideMark/>
          </w:tcPr>
          <w:p w14:paraId="6C34B04C" w14:textId="77777777" w:rsidR="00AB6753" w:rsidRDefault="00AB6753" w:rsidP="002D1EA4">
            <w:pPr>
              <w:spacing w:after="0" w:line="240" w:lineRule="auto"/>
              <w:rPr>
                <w:rFonts w:cs="Arial"/>
                <w:sz w:val="18"/>
                <w:szCs w:val="18"/>
              </w:rPr>
            </w:pPr>
            <w:r>
              <w:rPr>
                <w:rFonts w:cs="Arial"/>
                <w:sz w:val="18"/>
                <w:szCs w:val="18"/>
              </w:rPr>
              <w:t>Other movements of right-of-use assets</w:t>
            </w:r>
          </w:p>
        </w:tc>
        <w:tc>
          <w:tcPr>
            <w:tcW w:w="1474" w:type="dxa"/>
            <w:tcBorders>
              <w:top w:val="nil"/>
              <w:left w:val="nil"/>
              <w:bottom w:val="nil"/>
              <w:right w:val="nil"/>
            </w:tcBorders>
            <w:shd w:val="clear" w:color="FFFFFF" w:fill="FFFFFF"/>
            <w:noWrap/>
            <w:vAlign w:val="bottom"/>
            <w:hideMark/>
          </w:tcPr>
          <w:p w14:paraId="3C5C37DD" w14:textId="77777777" w:rsidR="00AB6753" w:rsidRDefault="00AB6753" w:rsidP="002D1EA4">
            <w:pPr>
              <w:spacing w:after="0" w:line="240" w:lineRule="auto"/>
              <w:jc w:val="right"/>
              <w:rPr>
                <w:rFonts w:cs="Arial"/>
                <w:b/>
                <w:bCs/>
                <w:sz w:val="18"/>
                <w:szCs w:val="18"/>
              </w:rPr>
            </w:pPr>
            <w:r>
              <w:rPr>
                <w:rFonts w:cs="Arial"/>
                <w:b/>
                <w:bCs/>
                <w:sz w:val="18"/>
                <w:szCs w:val="18"/>
              </w:rPr>
              <w:t>(106)</w:t>
            </w:r>
          </w:p>
        </w:tc>
        <w:tc>
          <w:tcPr>
            <w:tcW w:w="1148" w:type="dxa"/>
            <w:tcBorders>
              <w:top w:val="nil"/>
              <w:left w:val="nil"/>
              <w:bottom w:val="nil"/>
              <w:right w:val="nil"/>
            </w:tcBorders>
            <w:shd w:val="clear" w:color="FFFFFF" w:fill="FFFFFF"/>
            <w:noWrap/>
            <w:vAlign w:val="bottom"/>
            <w:hideMark/>
          </w:tcPr>
          <w:p w14:paraId="38D7F4A0" w14:textId="77777777" w:rsidR="00AB6753" w:rsidRDefault="00AB6753" w:rsidP="002D1EA4">
            <w:pPr>
              <w:spacing w:after="0" w:line="240" w:lineRule="auto"/>
              <w:jc w:val="right"/>
              <w:rPr>
                <w:rFonts w:cs="Arial"/>
                <w:b/>
                <w:bCs/>
                <w:sz w:val="18"/>
                <w:szCs w:val="18"/>
              </w:rPr>
            </w:pPr>
            <w:r>
              <w:rPr>
                <w:rFonts w:cs="Arial"/>
                <w:b/>
                <w:bCs/>
                <w:sz w:val="18"/>
                <w:szCs w:val="18"/>
              </w:rPr>
              <w:t>(1)</w:t>
            </w:r>
          </w:p>
        </w:tc>
        <w:tc>
          <w:tcPr>
            <w:tcW w:w="1150" w:type="dxa"/>
            <w:tcBorders>
              <w:top w:val="nil"/>
              <w:left w:val="nil"/>
              <w:bottom w:val="nil"/>
              <w:right w:val="nil"/>
            </w:tcBorders>
            <w:shd w:val="clear" w:color="FFFFFF" w:fill="FFFFFF"/>
            <w:noWrap/>
            <w:vAlign w:val="bottom"/>
            <w:hideMark/>
          </w:tcPr>
          <w:p w14:paraId="4FD061B6"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147" w:type="dxa"/>
            <w:tcBorders>
              <w:top w:val="nil"/>
              <w:left w:val="nil"/>
              <w:bottom w:val="nil"/>
              <w:right w:val="nil"/>
            </w:tcBorders>
            <w:shd w:val="clear" w:color="FFFFFF" w:fill="FFFFFF"/>
            <w:noWrap/>
            <w:vAlign w:val="bottom"/>
            <w:hideMark/>
          </w:tcPr>
          <w:p w14:paraId="084156D1"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070" w:type="dxa"/>
            <w:tcBorders>
              <w:top w:val="nil"/>
              <w:left w:val="nil"/>
              <w:bottom w:val="nil"/>
              <w:right w:val="nil"/>
            </w:tcBorders>
            <w:shd w:val="clear" w:color="FFFFFF" w:fill="FFFFFF"/>
            <w:noWrap/>
            <w:vAlign w:val="bottom"/>
            <w:hideMark/>
          </w:tcPr>
          <w:p w14:paraId="4DAC3F48" w14:textId="77777777" w:rsidR="00AB6753" w:rsidRDefault="00AB6753" w:rsidP="002D1EA4">
            <w:pPr>
              <w:spacing w:after="0" w:line="240" w:lineRule="auto"/>
              <w:jc w:val="right"/>
              <w:rPr>
                <w:rFonts w:cs="Arial"/>
                <w:b/>
                <w:bCs/>
                <w:sz w:val="18"/>
                <w:szCs w:val="18"/>
              </w:rPr>
            </w:pPr>
            <w:r>
              <w:rPr>
                <w:rFonts w:cs="Arial"/>
                <w:b/>
                <w:bCs/>
                <w:sz w:val="18"/>
                <w:szCs w:val="18"/>
              </w:rPr>
              <w:t>(107)</w:t>
            </w:r>
          </w:p>
        </w:tc>
      </w:tr>
      <w:tr w:rsidR="00AB6753" w14:paraId="4C19B152" w14:textId="77777777" w:rsidTr="002D1EA4">
        <w:trPr>
          <w:trHeight w:val="244"/>
        </w:trPr>
        <w:tc>
          <w:tcPr>
            <w:tcW w:w="3339" w:type="dxa"/>
            <w:tcBorders>
              <w:top w:val="nil"/>
              <w:left w:val="nil"/>
              <w:bottom w:val="nil"/>
              <w:right w:val="nil"/>
            </w:tcBorders>
            <w:shd w:val="clear" w:color="FFFFFF" w:fill="FFFFFF"/>
            <w:noWrap/>
            <w:vAlign w:val="bottom"/>
            <w:hideMark/>
          </w:tcPr>
          <w:p w14:paraId="1B90C3C3" w14:textId="77777777" w:rsidR="00AB6753" w:rsidRDefault="00AB6753" w:rsidP="002D1EA4">
            <w:pPr>
              <w:spacing w:after="0" w:line="240" w:lineRule="auto"/>
              <w:rPr>
                <w:rFonts w:cs="Arial"/>
                <w:sz w:val="18"/>
                <w:szCs w:val="18"/>
              </w:rPr>
            </w:pPr>
            <w:r>
              <w:rPr>
                <w:rFonts w:cs="Arial"/>
                <w:sz w:val="18"/>
                <w:szCs w:val="18"/>
              </w:rPr>
              <w:t>Reclassification</w:t>
            </w:r>
          </w:p>
        </w:tc>
        <w:tc>
          <w:tcPr>
            <w:tcW w:w="1474" w:type="dxa"/>
            <w:tcBorders>
              <w:top w:val="nil"/>
              <w:left w:val="nil"/>
              <w:bottom w:val="nil"/>
              <w:right w:val="nil"/>
            </w:tcBorders>
            <w:shd w:val="clear" w:color="FFFFFF" w:fill="FFFFFF"/>
            <w:noWrap/>
            <w:vAlign w:val="bottom"/>
            <w:hideMark/>
          </w:tcPr>
          <w:p w14:paraId="1BB2C976"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148" w:type="dxa"/>
            <w:tcBorders>
              <w:top w:val="nil"/>
              <w:left w:val="nil"/>
              <w:bottom w:val="nil"/>
              <w:right w:val="nil"/>
            </w:tcBorders>
            <w:shd w:val="clear" w:color="FFFFFF" w:fill="FFFFFF"/>
            <w:noWrap/>
            <w:vAlign w:val="bottom"/>
            <w:hideMark/>
          </w:tcPr>
          <w:p w14:paraId="34E7817E"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150" w:type="dxa"/>
            <w:tcBorders>
              <w:top w:val="nil"/>
              <w:left w:val="nil"/>
              <w:bottom w:val="nil"/>
              <w:right w:val="nil"/>
            </w:tcBorders>
            <w:shd w:val="clear" w:color="FFFFFF" w:fill="FFFFFF"/>
            <w:noWrap/>
            <w:vAlign w:val="bottom"/>
            <w:hideMark/>
          </w:tcPr>
          <w:p w14:paraId="305F9F82" w14:textId="77777777" w:rsidR="00AB6753" w:rsidRDefault="00AB6753" w:rsidP="002D1EA4">
            <w:pPr>
              <w:spacing w:after="0" w:line="240" w:lineRule="auto"/>
              <w:jc w:val="right"/>
              <w:rPr>
                <w:rFonts w:cs="Arial"/>
                <w:b/>
                <w:bCs/>
                <w:sz w:val="18"/>
                <w:szCs w:val="18"/>
              </w:rPr>
            </w:pPr>
            <w:r>
              <w:rPr>
                <w:rFonts w:cs="Arial"/>
                <w:b/>
                <w:bCs/>
                <w:sz w:val="18"/>
                <w:szCs w:val="18"/>
              </w:rPr>
              <w:t>(167)</w:t>
            </w:r>
          </w:p>
        </w:tc>
        <w:tc>
          <w:tcPr>
            <w:tcW w:w="1147" w:type="dxa"/>
            <w:tcBorders>
              <w:top w:val="nil"/>
              <w:left w:val="nil"/>
              <w:bottom w:val="nil"/>
              <w:right w:val="nil"/>
            </w:tcBorders>
            <w:shd w:val="clear" w:color="FFFFFF" w:fill="FFFFFF"/>
            <w:noWrap/>
            <w:vAlign w:val="bottom"/>
            <w:hideMark/>
          </w:tcPr>
          <w:p w14:paraId="5F7704CF" w14:textId="77777777" w:rsidR="00AB6753" w:rsidRDefault="00AB6753" w:rsidP="002D1EA4">
            <w:pPr>
              <w:spacing w:after="0" w:line="240" w:lineRule="auto"/>
              <w:jc w:val="right"/>
              <w:rPr>
                <w:rFonts w:cs="Arial"/>
                <w:b/>
                <w:bCs/>
                <w:sz w:val="18"/>
                <w:szCs w:val="18"/>
              </w:rPr>
            </w:pPr>
            <w:r>
              <w:rPr>
                <w:rFonts w:cs="Arial"/>
                <w:b/>
                <w:bCs/>
                <w:sz w:val="18"/>
                <w:szCs w:val="18"/>
              </w:rPr>
              <w:t>167</w:t>
            </w:r>
          </w:p>
        </w:tc>
        <w:tc>
          <w:tcPr>
            <w:tcW w:w="1070" w:type="dxa"/>
            <w:tcBorders>
              <w:top w:val="nil"/>
              <w:left w:val="nil"/>
              <w:bottom w:val="nil"/>
              <w:right w:val="nil"/>
            </w:tcBorders>
            <w:shd w:val="clear" w:color="FFFFFF" w:fill="FFFFFF"/>
            <w:noWrap/>
            <w:vAlign w:val="bottom"/>
            <w:hideMark/>
          </w:tcPr>
          <w:p w14:paraId="74005715" w14:textId="77777777" w:rsidR="00AB6753" w:rsidRDefault="00AB6753" w:rsidP="002D1EA4">
            <w:pPr>
              <w:spacing w:after="0" w:line="240" w:lineRule="auto"/>
              <w:jc w:val="right"/>
              <w:rPr>
                <w:rFonts w:cs="Arial"/>
                <w:b/>
                <w:bCs/>
                <w:sz w:val="18"/>
                <w:szCs w:val="18"/>
              </w:rPr>
            </w:pPr>
            <w:r>
              <w:rPr>
                <w:rFonts w:cs="Arial"/>
                <w:b/>
                <w:bCs/>
                <w:sz w:val="18"/>
                <w:szCs w:val="18"/>
              </w:rPr>
              <w:t>-</w:t>
            </w:r>
          </w:p>
        </w:tc>
      </w:tr>
      <w:tr w:rsidR="00AB6753" w14:paraId="63AE36FF" w14:textId="77777777" w:rsidTr="002D1EA4">
        <w:trPr>
          <w:trHeight w:val="244"/>
        </w:trPr>
        <w:tc>
          <w:tcPr>
            <w:tcW w:w="3339" w:type="dxa"/>
            <w:tcBorders>
              <w:top w:val="nil"/>
              <w:left w:val="nil"/>
              <w:bottom w:val="nil"/>
              <w:right w:val="nil"/>
            </w:tcBorders>
            <w:shd w:val="clear" w:color="FFFFFF" w:fill="FFFFFF"/>
            <w:vAlign w:val="bottom"/>
            <w:hideMark/>
          </w:tcPr>
          <w:p w14:paraId="10B477D3" w14:textId="77777777" w:rsidR="00AB6753" w:rsidRDefault="00AB6753" w:rsidP="002D1EA4">
            <w:pPr>
              <w:spacing w:after="0" w:line="240" w:lineRule="auto"/>
              <w:rPr>
                <w:rFonts w:cs="Arial"/>
                <w:sz w:val="18"/>
                <w:szCs w:val="18"/>
              </w:rPr>
            </w:pPr>
            <w:r>
              <w:rPr>
                <w:rFonts w:cs="Arial"/>
                <w:sz w:val="18"/>
                <w:szCs w:val="18"/>
              </w:rPr>
              <w:t>Disposals:</w:t>
            </w:r>
          </w:p>
        </w:tc>
        <w:tc>
          <w:tcPr>
            <w:tcW w:w="1474" w:type="dxa"/>
            <w:tcBorders>
              <w:top w:val="nil"/>
              <w:left w:val="nil"/>
              <w:bottom w:val="nil"/>
              <w:right w:val="nil"/>
            </w:tcBorders>
            <w:shd w:val="clear" w:color="FFFFFF" w:fill="FFFFFF"/>
            <w:noWrap/>
            <w:vAlign w:val="bottom"/>
            <w:hideMark/>
          </w:tcPr>
          <w:p w14:paraId="766595BE" w14:textId="77777777" w:rsidR="00AB6753" w:rsidRDefault="00AB6753" w:rsidP="002D1EA4">
            <w:pPr>
              <w:spacing w:after="0" w:line="240" w:lineRule="auto"/>
              <w:rPr>
                <w:rFonts w:cs="Arial"/>
                <w:b/>
                <w:bCs/>
                <w:sz w:val="18"/>
                <w:szCs w:val="18"/>
              </w:rPr>
            </w:pPr>
            <w:r>
              <w:rPr>
                <w:rFonts w:cs="Arial"/>
                <w:b/>
                <w:bCs/>
                <w:sz w:val="18"/>
                <w:szCs w:val="18"/>
              </w:rPr>
              <w:t> </w:t>
            </w:r>
          </w:p>
        </w:tc>
        <w:tc>
          <w:tcPr>
            <w:tcW w:w="1148" w:type="dxa"/>
            <w:tcBorders>
              <w:top w:val="nil"/>
              <w:left w:val="nil"/>
              <w:bottom w:val="nil"/>
              <w:right w:val="nil"/>
            </w:tcBorders>
            <w:shd w:val="clear" w:color="FFFFFF" w:fill="FFFFFF"/>
            <w:noWrap/>
            <w:vAlign w:val="bottom"/>
            <w:hideMark/>
          </w:tcPr>
          <w:p w14:paraId="322E8DCA" w14:textId="77777777" w:rsidR="00AB6753" w:rsidRDefault="00AB6753" w:rsidP="002D1EA4">
            <w:pPr>
              <w:spacing w:after="0" w:line="240" w:lineRule="auto"/>
              <w:rPr>
                <w:rFonts w:cs="Arial"/>
                <w:b/>
                <w:bCs/>
                <w:sz w:val="18"/>
                <w:szCs w:val="18"/>
              </w:rPr>
            </w:pPr>
            <w:r>
              <w:rPr>
                <w:rFonts w:cs="Arial"/>
                <w:b/>
                <w:bCs/>
                <w:sz w:val="18"/>
                <w:szCs w:val="18"/>
              </w:rPr>
              <w:t> </w:t>
            </w:r>
          </w:p>
        </w:tc>
        <w:tc>
          <w:tcPr>
            <w:tcW w:w="1150" w:type="dxa"/>
            <w:tcBorders>
              <w:top w:val="nil"/>
              <w:left w:val="nil"/>
              <w:bottom w:val="nil"/>
              <w:right w:val="nil"/>
            </w:tcBorders>
            <w:shd w:val="clear" w:color="FFFFFF" w:fill="FFFFFF"/>
            <w:noWrap/>
            <w:vAlign w:val="bottom"/>
            <w:hideMark/>
          </w:tcPr>
          <w:p w14:paraId="3F024A49" w14:textId="77777777" w:rsidR="00AB6753" w:rsidRDefault="00AB6753" w:rsidP="002D1EA4">
            <w:pPr>
              <w:spacing w:after="0" w:line="240" w:lineRule="auto"/>
              <w:rPr>
                <w:rFonts w:cs="Arial"/>
                <w:b/>
                <w:bCs/>
                <w:sz w:val="18"/>
                <w:szCs w:val="18"/>
              </w:rPr>
            </w:pPr>
            <w:r>
              <w:rPr>
                <w:rFonts w:cs="Arial"/>
                <w:b/>
                <w:bCs/>
                <w:sz w:val="18"/>
                <w:szCs w:val="18"/>
              </w:rPr>
              <w:t> </w:t>
            </w:r>
          </w:p>
        </w:tc>
        <w:tc>
          <w:tcPr>
            <w:tcW w:w="1147" w:type="dxa"/>
            <w:tcBorders>
              <w:top w:val="nil"/>
              <w:left w:val="nil"/>
              <w:bottom w:val="nil"/>
              <w:right w:val="nil"/>
            </w:tcBorders>
            <w:shd w:val="clear" w:color="FFFFFF" w:fill="FFFFFF"/>
            <w:noWrap/>
            <w:vAlign w:val="bottom"/>
            <w:hideMark/>
          </w:tcPr>
          <w:p w14:paraId="55E8AC6F" w14:textId="77777777" w:rsidR="00AB6753" w:rsidRDefault="00AB6753" w:rsidP="002D1EA4">
            <w:pPr>
              <w:spacing w:after="0" w:line="240" w:lineRule="auto"/>
              <w:rPr>
                <w:rFonts w:cs="Arial"/>
                <w:b/>
                <w:bCs/>
                <w:sz w:val="18"/>
                <w:szCs w:val="18"/>
              </w:rPr>
            </w:pPr>
            <w:r>
              <w:rPr>
                <w:rFonts w:cs="Arial"/>
                <w:b/>
                <w:bCs/>
                <w:sz w:val="18"/>
                <w:szCs w:val="18"/>
              </w:rPr>
              <w:t> </w:t>
            </w:r>
          </w:p>
        </w:tc>
        <w:tc>
          <w:tcPr>
            <w:tcW w:w="1070" w:type="dxa"/>
            <w:tcBorders>
              <w:top w:val="nil"/>
              <w:left w:val="nil"/>
              <w:bottom w:val="nil"/>
              <w:right w:val="nil"/>
            </w:tcBorders>
            <w:shd w:val="clear" w:color="FFFFFF" w:fill="FFFFFF"/>
            <w:noWrap/>
            <w:vAlign w:val="bottom"/>
            <w:hideMark/>
          </w:tcPr>
          <w:p w14:paraId="5A2BF6F7" w14:textId="77777777" w:rsidR="00AB6753" w:rsidRDefault="00AB6753" w:rsidP="002D1EA4">
            <w:pPr>
              <w:spacing w:after="0" w:line="240" w:lineRule="auto"/>
              <w:jc w:val="right"/>
              <w:rPr>
                <w:rFonts w:cs="Arial"/>
                <w:b/>
                <w:bCs/>
                <w:sz w:val="18"/>
                <w:szCs w:val="18"/>
              </w:rPr>
            </w:pPr>
            <w:r>
              <w:rPr>
                <w:rFonts w:cs="Arial"/>
                <w:b/>
                <w:bCs/>
                <w:sz w:val="18"/>
                <w:szCs w:val="18"/>
              </w:rPr>
              <w:t> </w:t>
            </w:r>
          </w:p>
        </w:tc>
      </w:tr>
      <w:tr w:rsidR="00AB6753" w14:paraId="13E3C9F2" w14:textId="77777777" w:rsidTr="002D1EA4">
        <w:trPr>
          <w:trHeight w:val="244"/>
        </w:trPr>
        <w:tc>
          <w:tcPr>
            <w:tcW w:w="3339" w:type="dxa"/>
            <w:tcBorders>
              <w:top w:val="nil"/>
              <w:left w:val="nil"/>
              <w:bottom w:val="nil"/>
              <w:right w:val="nil"/>
            </w:tcBorders>
            <w:shd w:val="clear" w:color="FFFFFF" w:fill="FFFFFF"/>
            <w:noWrap/>
            <w:vAlign w:val="bottom"/>
            <w:hideMark/>
          </w:tcPr>
          <w:p w14:paraId="2D80C99A" w14:textId="77777777" w:rsidR="00AB6753" w:rsidRDefault="00AB6753" w:rsidP="002D1EA4">
            <w:pPr>
              <w:spacing w:after="0" w:line="240" w:lineRule="auto"/>
              <w:ind w:leftChars="100" w:left="220"/>
              <w:rPr>
                <w:rFonts w:cs="Arial"/>
                <w:sz w:val="18"/>
                <w:szCs w:val="18"/>
              </w:rPr>
            </w:pPr>
            <w:r>
              <w:rPr>
                <w:rFonts w:cs="Arial"/>
                <w:sz w:val="18"/>
                <w:szCs w:val="18"/>
              </w:rPr>
              <w:t>Disposals with proceeds</w:t>
            </w:r>
          </w:p>
        </w:tc>
        <w:tc>
          <w:tcPr>
            <w:tcW w:w="1474" w:type="dxa"/>
            <w:tcBorders>
              <w:top w:val="nil"/>
              <w:left w:val="nil"/>
              <w:bottom w:val="nil"/>
              <w:right w:val="nil"/>
            </w:tcBorders>
            <w:shd w:val="clear" w:color="FFFFFF" w:fill="FFFFFF"/>
            <w:noWrap/>
            <w:vAlign w:val="bottom"/>
            <w:hideMark/>
          </w:tcPr>
          <w:p w14:paraId="40C2E12D"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148" w:type="dxa"/>
            <w:tcBorders>
              <w:top w:val="nil"/>
              <w:left w:val="nil"/>
              <w:bottom w:val="nil"/>
              <w:right w:val="nil"/>
            </w:tcBorders>
            <w:shd w:val="clear" w:color="FFFFFF" w:fill="FFFFFF"/>
            <w:noWrap/>
            <w:vAlign w:val="bottom"/>
            <w:hideMark/>
          </w:tcPr>
          <w:p w14:paraId="0F455916" w14:textId="77777777" w:rsidR="00AB6753" w:rsidRDefault="00AB6753" w:rsidP="002D1EA4">
            <w:pPr>
              <w:spacing w:after="0" w:line="240" w:lineRule="auto"/>
              <w:jc w:val="right"/>
              <w:rPr>
                <w:rFonts w:cs="Arial"/>
                <w:b/>
                <w:bCs/>
                <w:sz w:val="18"/>
                <w:szCs w:val="18"/>
              </w:rPr>
            </w:pPr>
            <w:r>
              <w:rPr>
                <w:rFonts w:cs="Arial"/>
                <w:b/>
                <w:bCs/>
                <w:sz w:val="18"/>
                <w:szCs w:val="18"/>
              </w:rPr>
              <w:t>(1)</w:t>
            </w:r>
          </w:p>
        </w:tc>
        <w:tc>
          <w:tcPr>
            <w:tcW w:w="1150" w:type="dxa"/>
            <w:tcBorders>
              <w:top w:val="nil"/>
              <w:left w:val="nil"/>
              <w:bottom w:val="nil"/>
              <w:right w:val="nil"/>
            </w:tcBorders>
            <w:shd w:val="clear" w:color="FFFFFF" w:fill="FFFFFF"/>
            <w:noWrap/>
            <w:vAlign w:val="bottom"/>
            <w:hideMark/>
          </w:tcPr>
          <w:p w14:paraId="72775D62"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147" w:type="dxa"/>
            <w:tcBorders>
              <w:top w:val="nil"/>
              <w:left w:val="nil"/>
              <w:bottom w:val="nil"/>
              <w:right w:val="nil"/>
            </w:tcBorders>
            <w:shd w:val="clear" w:color="FFFFFF" w:fill="FFFFFF"/>
            <w:noWrap/>
            <w:vAlign w:val="bottom"/>
            <w:hideMark/>
          </w:tcPr>
          <w:p w14:paraId="684661E0"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070" w:type="dxa"/>
            <w:tcBorders>
              <w:top w:val="nil"/>
              <w:left w:val="nil"/>
              <w:bottom w:val="nil"/>
              <w:right w:val="nil"/>
            </w:tcBorders>
            <w:shd w:val="clear" w:color="FFFFFF" w:fill="FFFFFF"/>
            <w:noWrap/>
            <w:vAlign w:val="bottom"/>
            <w:hideMark/>
          </w:tcPr>
          <w:p w14:paraId="6F25B027" w14:textId="77777777" w:rsidR="00AB6753" w:rsidRDefault="00AB6753" w:rsidP="002D1EA4">
            <w:pPr>
              <w:spacing w:after="0" w:line="240" w:lineRule="auto"/>
              <w:jc w:val="right"/>
              <w:rPr>
                <w:rFonts w:cs="Arial"/>
                <w:b/>
                <w:bCs/>
                <w:sz w:val="18"/>
                <w:szCs w:val="18"/>
              </w:rPr>
            </w:pPr>
            <w:r>
              <w:rPr>
                <w:rFonts w:cs="Arial"/>
                <w:b/>
                <w:bCs/>
                <w:sz w:val="18"/>
                <w:szCs w:val="18"/>
              </w:rPr>
              <w:t>(1)</w:t>
            </w:r>
          </w:p>
        </w:tc>
      </w:tr>
      <w:tr w:rsidR="00AB6753" w14:paraId="553E1D95" w14:textId="77777777" w:rsidTr="002D1EA4">
        <w:trPr>
          <w:trHeight w:val="244"/>
        </w:trPr>
        <w:tc>
          <w:tcPr>
            <w:tcW w:w="3339" w:type="dxa"/>
            <w:tcBorders>
              <w:top w:val="nil"/>
              <w:left w:val="nil"/>
              <w:bottom w:val="nil"/>
              <w:right w:val="nil"/>
            </w:tcBorders>
            <w:shd w:val="clear" w:color="FFFFFF" w:fill="FFFFFF"/>
            <w:noWrap/>
            <w:vAlign w:val="bottom"/>
            <w:hideMark/>
          </w:tcPr>
          <w:p w14:paraId="24C71378" w14:textId="77777777" w:rsidR="00AB6753" w:rsidRDefault="00AB6753" w:rsidP="002D1EA4">
            <w:pPr>
              <w:spacing w:after="0" w:line="240" w:lineRule="auto"/>
              <w:ind w:leftChars="100" w:left="220"/>
              <w:rPr>
                <w:rFonts w:cs="Arial"/>
                <w:sz w:val="18"/>
                <w:szCs w:val="18"/>
              </w:rPr>
            </w:pPr>
            <w:r>
              <w:rPr>
                <w:rFonts w:cs="Arial"/>
                <w:sz w:val="18"/>
                <w:szCs w:val="18"/>
              </w:rPr>
              <w:t>Disposals without proceeds</w:t>
            </w:r>
          </w:p>
        </w:tc>
        <w:tc>
          <w:tcPr>
            <w:tcW w:w="1474" w:type="dxa"/>
            <w:tcBorders>
              <w:top w:val="nil"/>
              <w:left w:val="nil"/>
              <w:bottom w:val="nil"/>
              <w:right w:val="nil"/>
            </w:tcBorders>
            <w:shd w:val="clear" w:color="FFFFFF" w:fill="FFFFFF"/>
            <w:noWrap/>
            <w:vAlign w:val="bottom"/>
            <w:hideMark/>
          </w:tcPr>
          <w:p w14:paraId="0442B22C"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148" w:type="dxa"/>
            <w:tcBorders>
              <w:top w:val="nil"/>
              <w:left w:val="nil"/>
              <w:bottom w:val="nil"/>
              <w:right w:val="nil"/>
            </w:tcBorders>
            <w:shd w:val="clear" w:color="FFFFFF" w:fill="FFFFFF"/>
            <w:noWrap/>
            <w:vAlign w:val="bottom"/>
            <w:hideMark/>
          </w:tcPr>
          <w:p w14:paraId="0DB9F1B8" w14:textId="77777777" w:rsidR="00AB6753" w:rsidRDefault="00AB6753" w:rsidP="002D1EA4">
            <w:pPr>
              <w:spacing w:after="0" w:line="240" w:lineRule="auto"/>
              <w:jc w:val="right"/>
              <w:rPr>
                <w:rFonts w:cs="Arial"/>
                <w:b/>
                <w:bCs/>
                <w:sz w:val="18"/>
                <w:szCs w:val="18"/>
              </w:rPr>
            </w:pPr>
            <w:r>
              <w:rPr>
                <w:rFonts w:cs="Arial"/>
                <w:b/>
                <w:bCs/>
                <w:sz w:val="18"/>
                <w:szCs w:val="18"/>
              </w:rPr>
              <w:t>(137)</w:t>
            </w:r>
          </w:p>
        </w:tc>
        <w:tc>
          <w:tcPr>
            <w:tcW w:w="1150" w:type="dxa"/>
            <w:tcBorders>
              <w:top w:val="nil"/>
              <w:left w:val="nil"/>
              <w:bottom w:val="nil"/>
              <w:right w:val="nil"/>
            </w:tcBorders>
            <w:shd w:val="clear" w:color="FFFFFF" w:fill="FFFFFF"/>
            <w:noWrap/>
            <w:vAlign w:val="bottom"/>
            <w:hideMark/>
          </w:tcPr>
          <w:p w14:paraId="317AC802"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147" w:type="dxa"/>
            <w:tcBorders>
              <w:top w:val="nil"/>
              <w:left w:val="nil"/>
              <w:bottom w:val="nil"/>
              <w:right w:val="nil"/>
            </w:tcBorders>
            <w:shd w:val="clear" w:color="FFFFFF" w:fill="FFFFFF"/>
            <w:noWrap/>
            <w:vAlign w:val="bottom"/>
            <w:hideMark/>
          </w:tcPr>
          <w:p w14:paraId="4E57B5FD" w14:textId="77777777" w:rsidR="00AB6753" w:rsidRDefault="00AB6753" w:rsidP="002D1EA4">
            <w:pPr>
              <w:spacing w:after="0" w:line="240" w:lineRule="auto"/>
              <w:jc w:val="right"/>
              <w:rPr>
                <w:rFonts w:cs="Arial"/>
                <w:b/>
                <w:bCs/>
                <w:sz w:val="18"/>
                <w:szCs w:val="18"/>
              </w:rPr>
            </w:pPr>
            <w:r>
              <w:rPr>
                <w:rFonts w:cs="Arial"/>
                <w:b/>
                <w:bCs/>
                <w:sz w:val="18"/>
                <w:szCs w:val="18"/>
              </w:rPr>
              <w:t>(7)</w:t>
            </w:r>
          </w:p>
        </w:tc>
        <w:tc>
          <w:tcPr>
            <w:tcW w:w="1070" w:type="dxa"/>
            <w:tcBorders>
              <w:top w:val="nil"/>
              <w:left w:val="nil"/>
              <w:bottom w:val="nil"/>
              <w:right w:val="nil"/>
            </w:tcBorders>
            <w:shd w:val="clear" w:color="FFFFFF" w:fill="FFFFFF"/>
            <w:noWrap/>
            <w:vAlign w:val="bottom"/>
            <w:hideMark/>
          </w:tcPr>
          <w:p w14:paraId="15ED8CC5" w14:textId="77777777" w:rsidR="00AB6753" w:rsidRDefault="00AB6753" w:rsidP="002D1EA4">
            <w:pPr>
              <w:spacing w:after="0" w:line="240" w:lineRule="auto"/>
              <w:jc w:val="right"/>
              <w:rPr>
                <w:rFonts w:cs="Arial"/>
                <w:b/>
                <w:bCs/>
                <w:sz w:val="18"/>
                <w:szCs w:val="18"/>
              </w:rPr>
            </w:pPr>
            <w:r>
              <w:rPr>
                <w:rFonts w:cs="Arial"/>
                <w:b/>
                <w:bCs/>
                <w:sz w:val="18"/>
                <w:szCs w:val="18"/>
              </w:rPr>
              <w:t>(144)</w:t>
            </w:r>
          </w:p>
        </w:tc>
      </w:tr>
      <w:tr w:rsidR="00AB6753" w14:paraId="36014D8B" w14:textId="77777777" w:rsidTr="002D1EA4">
        <w:trPr>
          <w:trHeight w:val="244"/>
        </w:trPr>
        <w:tc>
          <w:tcPr>
            <w:tcW w:w="3339" w:type="dxa"/>
            <w:tcBorders>
              <w:top w:val="single" w:sz="4" w:space="0" w:color="auto"/>
              <w:left w:val="nil"/>
              <w:bottom w:val="single" w:sz="4" w:space="0" w:color="auto"/>
              <w:right w:val="nil"/>
            </w:tcBorders>
            <w:shd w:val="clear" w:color="FFFFFF" w:fill="FFFFFF"/>
            <w:vAlign w:val="bottom"/>
            <w:hideMark/>
          </w:tcPr>
          <w:p w14:paraId="4B01C9ED" w14:textId="77777777" w:rsidR="00AB6753" w:rsidRDefault="00AB6753" w:rsidP="002D1EA4">
            <w:pPr>
              <w:spacing w:after="0" w:line="240" w:lineRule="auto"/>
              <w:rPr>
                <w:rFonts w:cs="Arial"/>
                <w:b/>
                <w:bCs/>
                <w:sz w:val="18"/>
                <w:szCs w:val="18"/>
              </w:rPr>
            </w:pPr>
            <w:r>
              <w:rPr>
                <w:rFonts w:cs="Arial"/>
                <w:b/>
                <w:bCs/>
                <w:sz w:val="18"/>
                <w:szCs w:val="18"/>
              </w:rPr>
              <w:t>Net book value as at 30 June 2020</w:t>
            </w:r>
          </w:p>
        </w:tc>
        <w:tc>
          <w:tcPr>
            <w:tcW w:w="1474" w:type="dxa"/>
            <w:tcBorders>
              <w:top w:val="single" w:sz="4" w:space="0" w:color="auto"/>
              <w:left w:val="nil"/>
              <w:bottom w:val="single" w:sz="4" w:space="0" w:color="auto"/>
              <w:right w:val="nil"/>
            </w:tcBorders>
            <w:shd w:val="clear" w:color="FFFFFF" w:fill="FFFFFF"/>
            <w:noWrap/>
            <w:vAlign w:val="bottom"/>
            <w:hideMark/>
          </w:tcPr>
          <w:p w14:paraId="1EAC590C" w14:textId="77777777" w:rsidR="00AB6753" w:rsidRDefault="00AB6753" w:rsidP="002D1EA4">
            <w:pPr>
              <w:spacing w:after="0" w:line="240" w:lineRule="auto"/>
              <w:jc w:val="right"/>
              <w:rPr>
                <w:rFonts w:cs="Arial"/>
                <w:b/>
                <w:bCs/>
                <w:sz w:val="18"/>
                <w:szCs w:val="18"/>
              </w:rPr>
            </w:pPr>
            <w:r>
              <w:rPr>
                <w:rFonts w:cs="Arial"/>
                <w:b/>
                <w:bCs/>
                <w:sz w:val="18"/>
                <w:szCs w:val="18"/>
              </w:rPr>
              <w:t>581,359</w:t>
            </w:r>
          </w:p>
        </w:tc>
        <w:tc>
          <w:tcPr>
            <w:tcW w:w="1148" w:type="dxa"/>
            <w:tcBorders>
              <w:top w:val="single" w:sz="4" w:space="0" w:color="auto"/>
              <w:left w:val="nil"/>
              <w:bottom w:val="single" w:sz="4" w:space="0" w:color="auto"/>
              <w:right w:val="nil"/>
            </w:tcBorders>
            <w:shd w:val="clear" w:color="FFFFFF" w:fill="FFFFFF"/>
            <w:noWrap/>
            <w:vAlign w:val="bottom"/>
            <w:hideMark/>
          </w:tcPr>
          <w:p w14:paraId="54E0F3EE" w14:textId="77777777" w:rsidR="00AB6753" w:rsidRDefault="00AB6753" w:rsidP="002D1EA4">
            <w:pPr>
              <w:spacing w:after="0" w:line="240" w:lineRule="auto"/>
              <w:jc w:val="right"/>
              <w:rPr>
                <w:rFonts w:cs="Arial"/>
                <w:b/>
                <w:bCs/>
                <w:sz w:val="18"/>
                <w:szCs w:val="18"/>
              </w:rPr>
            </w:pPr>
            <w:r>
              <w:rPr>
                <w:rFonts w:cs="Arial"/>
                <w:b/>
                <w:bCs/>
                <w:sz w:val="18"/>
                <w:szCs w:val="18"/>
              </w:rPr>
              <w:t>1,485</w:t>
            </w:r>
          </w:p>
        </w:tc>
        <w:tc>
          <w:tcPr>
            <w:tcW w:w="1150" w:type="dxa"/>
            <w:tcBorders>
              <w:top w:val="single" w:sz="4" w:space="0" w:color="auto"/>
              <w:left w:val="nil"/>
              <w:bottom w:val="single" w:sz="4" w:space="0" w:color="auto"/>
              <w:right w:val="nil"/>
            </w:tcBorders>
            <w:shd w:val="clear" w:color="FFFFFF" w:fill="FFFFFF"/>
            <w:noWrap/>
            <w:vAlign w:val="bottom"/>
            <w:hideMark/>
          </w:tcPr>
          <w:p w14:paraId="54FAD1BE" w14:textId="77777777" w:rsidR="00AB6753" w:rsidRDefault="00AB6753" w:rsidP="002D1EA4">
            <w:pPr>
              <w:spacing w:after="0" w:line="240" w:lineRule="auto"/>
              <w:jc w:val="right"/>
              <w:rPr>
                <w:rFonts w:cs="Arial"/>
                <w:b/>
                <w:bCs/>
                <w:sz w:val="18"/>
                <w:szCs w:val="18"/>
              </w:rPr>
            </w:pPr>
            <w:r>
              <w:rPr>
                <w:rFonts w:cs="Arial"/>
                <w:b/>
                <w:bCs/>
                <w:sz w:val="18"/>
                <w:szCs w:val="18"/>
              </w:rPr>
              <w:t>44</w:t>
            </w:r>
          </w:p>
        </w:tc>
        <w:tc>
          <w:tcPr>
            <w:tcW w:w="1147" w:type="dxa"/>
            <w:tcBorders>
              <w:top w:val="single" w:sz="4" w:space="0" w:color="auto"/>
              <w:left w:val="nil"/>
              <w:bottom w:val="single" w:sz="4" w:space="0" w:color="auto"/>
              <w:right w:val="nil"/>
            </w:tcBorders>
            <w:shd w:val="clear" w:color="FFFFFF" w:fill="FFFFFF"/>
            <w:noWrap/>
            <w:vAlign w:val="bottom"/>
            <w:hideMark/>
          </w:tcPr>
          <w:p w14:paraId="354D4F86" w14:textId="77777777" w:rsidR="00AB6753" w:rsidRDefault="00AB6753" w:rsidP="002D1EA4">
            <w:pPr>
              <w:spacing w:after="0" w:line="240" w:lineRule="auto"/>
              <w:jc w:val="right"/>
              <w:rPr>
                <w:rFonts w:cs="Arial"/>
                <w:b/>
                <w:bCs/>
                <w:sz w:val="18"/>
                <w:szCs w:val="18"/>
              </w:rPr>
            </w:pPr>
            <w:r>
              <w:rPr>
                <w:rFonts w:cs="Arial"/>
                <w:b/>
                <w:bCs/>
                <w:sz w:val="18"/>
                <w:szCs w:val="18"/>
              </w:rPr>
              <w:t>18</w:t>
            </w:r>
          </w:p>
        </w:tc>
        <w:tc>
          <w:tcPr>
            <w:tcW w:w="1070" w:type="dxa"/>
            <w:tcBorders>
              <w:top w:val="single" w:sz="4" w:space="0" w:color="auto"/>
              <w:left w:val="nil"/>
              <w:bottom w:val="single" w:sz="4" w:space="0" w:color="auto"/>
              <w:right w:val="nil"/>
            </w:tcBorders>
            <w:shd w:val="clear" w:color="FFFFFF" w:fill="FFFFFF"/>
            <w:noWrap/>
            <w:vAlign w:val="bottom"/>
            <w:hideMark/>
          </w:tcPr>
          <w:p w14:paraId="71F097ED" w14:textId="77777777" w:rsidR="00AB6753" w:rsidRDefault="00AB6753" w:rsidP="002D1EA4">
            <w:pPr>
              <w:spacing w:after="0" w:line="240" w:lineRule="auto"/>
              <w:jc w:val="right"/>
              <w:rPr>
                <w:rFonts w:cs="Arial"/>
                <w:b/>
                <w:bCs/>
                <w:sz w:val="18"/>
                <w:szCs w:val="18"/>
              </w:rPr>
            </w:pPr>
            <w:r>
              <w:rPr>
                <w:rFonts w:cs="Arial"/>
                <w:b/>
                <w:bCs/>
                <w:sz w:val="18"/>
                <w:szCs w:val="18"/>
              </w:rPr>
              <w:t>582,906</w:t>
            </w:r>
          </w:p>
        </w:tc>
      </w:tr>
      <w:tr w:rsidR="00AB6753" w14:paraId="126D8DA6" w14:textId="77777777" w:rsidTr="002D1EA4">
        <w:trPr>
          <w:trHeight w:val="244"/>
        </w:trPr>
        <w:tc>
          <w:tcPr>
            <w:tcW w:w="3339" w:type="dxa"/>
            <w:tcBorders>
              <w:top w:val="nil"/>
              <w:left w:val="nil"/>
              <w:bottom w:val="nil"/>
              <w:right w:val="nil"/>
            </w:tcBorders>
            <w:shd w:val="clear" w:color="FFFFFF" w:fill="FFFFFF"/>
            <w:noWrap/>
            <w:vAlign w:val="bottom"/>
            <w:hideMark/>
          </w:tcPr>
          <w:p w14:paraId="6B089D71" w14:textId="77777777" w:rsidR="00AB6753" w:rsidRDefault="00AB6753" w:rsidP="002D1EA4">
            <w:pPr>
              <w:spacing w:after="0" w:line="240" w:lineRule="auto"/>
              <w:rPr>
                <w:rFonts w:cs="Arial"/>
                <w:b/>
                <w:bCs/>
                <w:sz w:val="18"/>
                <w:szCs w:val="18"/>
              </w:rPr>
            </w:pPr>
            <w:r>
              <w:rPr>
                <w:rFonts w:cs="Arial"/>
                <w:b/>
                <w:bCs/>
                <w:sz w:val="18"/>
                <w:szCs w:val="18"/>
              </w:rPr>
              <w:t> </w:t>
            </w:r>
          </w:p>
        </w:tc>
        <w:tc>
          <w:tcPr>
            <w:tcW w:w="1474" w:type="dxa"/>
            <w:tcBorders>
              <w:top w:val="nil"/>
              <w:left w:val="nil"/>
              <w:bottom w:val="nil"/>
              <w:right w:val="nil"/>
            </w:tcBorders>
            <w:shd w:val="clear" w:color="FFFFFF" w:fill="FFFFFF"/>
            <w:noWrap/>
            <w:vAlign w:val="bottom"/>
            <w:hideMark/>
          </w:tcPr>
          <w:p w14:paraId="448CF0FC" w14:textId="77777777" w:rsidR="00AB6753" w:rsidRDefault="00AB6753" w:rsidP="002D1EA4">
            <w:pPr>
              <w:spacing w:after="0" w:line="240" w:lineRule="auto"/>
              <w:rPr>
                <w:rFonts w:cs="Arial"/>
                <w:b/>
                <w:bCs/>
                <w:sz w:val="18"/>
                <w:szCs w:val="18"/>
              </w:rPr>
            </w:pPr>
            <w:r>
              <w:rPr>
                <w:rFonts w:cs="Arial"/>
                <w:b/>
                <w:bCs/>
                <w:sz w:val="18"/>
                <w:szCs w:val="18"/>
              </w:rPr>
              <w:t> </w:t>
            </w:r>
          </w:p>
        </w:tc>
        <w:tc>
          <w:tcPr>
            <w:tcW w:w="1148" w:type="dxa"/>
            <w:tcBorders>
              <w:top w:val="nil"/>
              <w:left w:val="nil"/>
              <w:bottom w:val="nil"/>
              <w:right w:val="nil"/>
            </w:tcBorders>
            <w:shd w:val="clear" w:color="FFFFFF" w:fill="FFFFFF"/>
            <w:noWrap/>
            <w:vAlign w:val="bottom"/>
            <w:hideMark/>
          </w:tcPr>
          <w:p w14:paraId="6E05D3FA" w14:textId="77777777" w:rsidR="00AB6753" w:rsidRDefault="00AB6753" w:rsidP="002D1EA4">
            <w:pPr>
              <w:spacing w:after="0" w:line="240" w:lineRule="auto"/>
              <w:rPr>
                <w:rFonts w:cs="Arial"/>
                <w:b/>
                <w:bCs/>
                <w:sz w:val="18"/>
                <w:szCs w:val="18"/>
              </w:rPr>
            </w:pPr>
            <w:r>
              <w:rPr>
                <w:rFonts w:cs="Arial"/>
                <w:b/>
                <w:bCs/>
                <w:sz w:val="18"/>
                <w:szCs w:val="18"/>
              </w:rPr>
              <w:t> </w:t>
            </w:r>
          </w:p>
        </w:tc>
        <w:tc>
          <w:tcPr>
            <w:tcW w:w="1150" w:type="dxa"/>
            <w:tcBorders>
              <w:top w:val="nil"/>
              <w:left w:val="nil"/>
              <w:bottom w:val="nil"/>
              <w:right w:val="nil"/>
            </w:tcBorders>
            <w:shd w:val="clear" w:color="FFFFFF" w:fill="FFFFFF"/>
            <w:noWrap/>
            <w:vAlign w:val="bottom"/>
            <w:hideMark/>
          </w:tcPr>
          <w:p w14:paraId="70A21541" w14:textId="77777777" w:rsidR="00AB6753" w:rsidRDefault="00AB6753" w:rsidP="002D1EA4">
            <w:pPr>
              <w:spacing w:after="0" w:line="240" w:lineRule="auto"/>
              <w:rPr>
                <w:rFonts w:cs="Arial"/>
                <w:b/>
                <w:bCs/>
                <w:sz w:val="18"/>
                <w:szCs w:val="18"/>
              </w:rPr>
            </w:pPr>
            <w:r>
              <w:rPr>
                <w:rFonts w:cs="Arial"/>
                <w:b/>
                <w:bCs/>
                <w:sz w:val="18"/>
                <w:szCs w:val="18"/>
              </w:rPr>
              <w:t> </w:t>
            </w:r>
          </w:p>
        </w:tc>
        <w:tc>
          <w:tcPr>
            <w:tcW w:w="1147" w:type="dxa"/>
            <w:tcBorders>
              <w:top w:val="nil"/>
              <w:left w:val="nil"/>
              <w:bottom w:val="nil"/>
              <w:right w:val="nil"/>
            </w:tcBorders>
            <w:shd w:val="clear" w:color="FFFFFF" w:fill="FFFFFF"/>
            <w:noWrap/>
            <w:vAlign w:val="bottom"/>
            <w:hideMark/>
          </w:tcPr>
          <w:p w14:paraId="15164D23" w14:textId="77777777" w:rsidR="00AB6753" w:rsidRDefault="00AB6753" w:rsidP="002D1EA4">
            <w:pPr>
              <w:spacing w:after="0" w:line="240" w:lineRule="auto"/>
              <w:rPr>
                <w:rFonts w:cs="Arial"/>
                <w:b/>
                <w:bCs/>
                <w:sz w:val="18"/>
                <w:szCs w:val="18"/>
              </w:rPr>
            </w:pPr>
            <w:r>
              <w:rPr>
                <w:rFonts w:cs="Arial"/>
                <w:b/>
                <w:bCs/>
                <w:sz w:val="18"/>
                <w:szCs w:val="18"/>
              </w:rPr>
              <w:t> </w:t>
            </w:r>
          </w:p>
        </w:tc>
        <w:tc>
          <w:tcPr>
            <w:tcW w:w="1070" w:type="dxa"/>
            <w:tcBorders>
              <w:top w:val="nil"/>
              <w:left w:val="nil"/>
              <w:bottom w:val="nil"/>
              <w:right w:val="nil"/>
            </w:tcBorders>
            <w:shd w:val="clear" w:color="FFFFFF" w:fill="FFFFFF"/>
            <w:noWrap/>
            <w:vAlign w:val="bottom"/>
            <w:hideMark/>
          </w:tcPr>
          <w:p w14:paraId="1399E832" w14:textId="77777777" w:rsidR="00AB6753" w:rsidRDefault="00AB6753" w:rsidP="002D1EA4">
            <w:pPr>
              <w:spacing w:after="0" w:line="240" w:lineRule="auto"/>
              <w:jc w:val="right"/>
              <w:rPr>
                <w:rFonts w:cs="Arial"/>
                <w:b/>
                <w:bCs/>
                <w:sz w:val="18"/>
                <w:szCs w:val="18"/>
              </w:rPr>
            </w:pPr>
            <w:r>
              <w:rPr>
                <w:rFonts w:cs="Arial"/>
                <w:b/>
                <w:bCs/>
                <w:sz w:val="18"/>
                <w:szCs w:val="18"/>
              </w:rPr>
              <w:t> </w:t>
            </w:r>
          </w:p>
        </w:tc>
      </w:tr>
      <w:tr w:rsidR="00AB6753" w14:paraId="19639373" w14:textId="77777777" w:rsidTr="002D1EA4">
        <w:trPr>
          <w:trHeight w:val="244"/>
        </w:trPr>
        <w:tc>
          <w:tcPr>
            <w:tcW w:w="9328" w:type="dxa"/>
            <w:gridSpan w:val="6"/>
            <w:tcBorders>
              <w:top w:val="nil"/>
              <w:left w:val="nil"/>
              <w:bottom w:val="nil"/>
              <w:right w:val="nil"/>
            </w:tcBorders>
            <w:shd w:val="clear" w:color="FFFFFF" w:fill="FFFFFF"/>
            <w:vAlign w:val="bottom"/>
            <w:hideMark/>
          </w:tcPr>
          <w:p w14:paraId="0FDFD7B9" w14:textId="77777777" w:rsidR="00AB6753" w:rsidRDefault="00AB6753" w:rsidP="002D1EA4">
            <w:pPr>
              <w:spacing w:after="0" w:line="240" w:lineRule="auto"/>
              <w:rPr>
                <w:rFonts w:cs="Arial"/>
                <w:b/>
                <w:bCs/>
                <w:sz w:val="18"/>
                <w:szCs w:val="18"/>
              </w:rPr>
            </w:pPr>
            <w:r>
              <w:rPr>
                <w:rFonts w:cs="Arial"/>
                <w:b/>
                <w:bCs/>
                <w:sz w:val="18"/>
                <w:szCs w:val="18"/>
              </w:rPr>
              <w:t>Net book value as at 30 June 2020 represented by:</w:t>
            </w:r>
          </w:p>
        </w:tc>
      </w:tr>
      <w:tr w:rsidR="00AB6753" w14:paraId="0D165CB1" w14:textId="77777777" w:rsidTr="002D1EA4">
        <w:trPr>
          <w:trHeight w:val="244"/>
        </w:trPr>
        <w:tc>
          <w:tcPr>
            <w:tcW w:w="3339" w:type="dxa"/>
            <w:tcBorders>
              <w:top w:val="nil"/>
              <w:left w:val="nil"/>
              <w:bottom w:val="nil"/>
              <w:right w:val="nil"/>
            </w:tcBorders>
            <w:shd w:val="clear" w:color="FFFFFF" w:fill="FFFFFF"/>
            <w:vAlign w:val="bottom"/>
            <w:hideMark/>
          </w:tcPr>
          <w:p w14:paraId="1C1C61F2" w14:textId="77777777" w:rsidR="00AB6753" w:rsidRDefault="00AB6753" w:rsidP="002D1EA4">
            <w:pPr>
              <w:spacing w:after="0" w:line="240" w:lineRule="auto"/>
              <w:rPr>
                <w:rFonts w:cs="Arial"/>
                <w:sz w:val="18"/>
                <w:szCs w:val="18"/>
              </w:rPr>
            </w:pPr>
            <w:r>
              <w:rPr>
                <w:rFonts w:cs="Arial"/>
                <w:sz w:val="18"/>
                <w:szCs w:val="18"/>
              </w:rPr>
              <w:t>Gross book value</w:t>
            </w:r>
          </w:p>
        </w:tc>
        <w:tc>
          <w:tcPr>
            <w:tcW w:w="1474" w:type="dxa"/>
            <w:tcBorders>
              <w:top w:val="nil"/>
              <w:left w:val="nil"/>
              <w:bottom w:val="nil"/>
              <w:right w:val="nil"/>
            </w:tcBorders>
            <w:shd w:val="clear" w:color="FFFFFF" w:fill="FFFFFF"/>
            <w:noWrap/>
            <w:vAlign w:val="bottom"/>
            <w:hideMark/>
          </w:tcPr>
          <w:p w14:paraId="07E6391D" w14:textId="77777777" w:rsidR="00AB6753" w:rsidRDefault="00AB6753" w:rsidP="002D1EA4">
            <w:pPr>
              <w:spacing w:after="0" w:line="240" w:lineRule="auto"/>
              <w:jc w:val="right"/>
              <w:rPr>
                <w:rFonts w:cs="Arial"/>
                <w:b/>
                <w:bCs/>
                <w:sz w:val="18"/>
                <w:szCs w:val="18"/>
              </w:rPr>
            </w:pPr>
            <w:r>
              <w:rPr>
                <w:rFonts w:cs="Arial"/>
                <w:b/>
                <w:bCs/>
                <w:sz w:val="18"/>
                <w:szCs w:val="18"/>
              </w:rPr>
              <w:t>620,630</w:t>
            </w:r>
          </w:p>
        </w:tc>
        <w:tc>
          <w:tcPr>
            <w:tcW w:w="1148" w:type="dxa"/>
            <w:tcBorders>
              <w:top w:val="nil"/>
              <w:left w:val="nil"/>
              <w:bottom w:val="nil"/>
              <w:right w:val="nil"/>
            </w:tcBorders>
            <w:shd w:val="clear" w:color="FFFFFF" w:fill="FFFFFF"/>
            <w:noWrap/>
            <w:vAlign w:val="bottom"/>
            <w:hideMark/>
          </w:tcPr>
          <w:p w14:paraId="2629C9DB" w14:textId="77777777" w:rsidR="00AB6753" w:rsidRDefault="00AB6753" w:rsidP="002D1EA4">
            <w:pPr>
              <w:spacing w:after="0" w:line="240" w:lineRule="auto"/>
              <w:jc w:val="right"/>
              <w:rPr>
                <w:rFonts w:cs="Arial"/>
                <w:b/>
                <w:bCs/>
                <w:sz w:val="18"/>
                <w:szCs w:val="18"/>
              </w:rPr>
            </w:pPr>
            <w:r>
              <w:rPr>
                <w:rFonts w:cs="Arial"/>
                <w:b/>
                <w:bCs/>
                <w:sz w:val="18"/>
                <w:szCs w:val="18"/>
              </w:rPr>
              <w:t>1,805</w:t>
            </w:r>
          </w:p>
        </w:tc>
        <w:tc>
          <w:tcPr>
            <w:tcW w:w="1150" w:type="dxa"/>
            <w:tcBorders>
              <w:top w:val="nil"/>
              <w:left w:val="nil"/>
              <w:bottom w:val="nil"/>
              <w:right w:val="nil"/>
            </w:tcBorders>
            <w:shd w:val="clear" w:color="FFFFFF" w:fill="FFFFFF"/>
            <w:noWrap/>
            <w:vAlign w:val="bottom"/>
            <w:hideMark/>
          </w:tcPr>
          <w:p w14:paraId="2C319281" w14:textId="77777777" w:rsidR="00AB6753" w:rsidRDefault="00AB6753" w:rsidP="002D1EA4">
            <w:pPr>
              <w:spacing w:after="0" w:line="240" w:lineRule="auto"/>
              <w:jc w:val="right"/>
              <w:rPr>
                <w:rFonts w:cs="Arial"/>
                <w:b/>
                <w:bCs/>
                <w:sz w:val="18"/>
                <w:szCs w:val="18"/>
              </w:rPr>
            </w:pPr>
            <w:r>
              <w:rPr>
                <w:rFonts w:cs="Arial"/>
                <w:b/>
                <w:bCs/>
                <w:sz w:val="18"/>
                <w:szCs w:val="18"/>
              </w:rPr>
              <w:t>809</w:t>
            </w:r>
          </w:p>
        </w:tc>
        <w:tc>
          <w:tcPr>
            <w:tcW w:w="1147" w:type="dxa"/>
            <w:tcBorders>
              <w:top w:val="nil"/>
              <w:left w:val="nil"/>
              <w:bottom w:val="nil"/>
              <w:right w:val="nil"/>
            </w:tcBorders>
            <w:shd w:val="clear" w:color="FFFFFF" w:fill="FFFFFF"/>
            <w:noWrap/>
            <w:vAlign w:val="bottom"/>
            <w:hideMark/>
          </w:tcPr>
          <w:p w14:paraId="04CE1E55" w14:textId="77777777" w:rsidR="00AB6753" w:rsidRDefault="00AB6753" w:rsidP="002D1EA4">
            <w:pPr>
              <w:spacing w:after="0" w:line="240" w:lineRule="auto"/>
              <w:jc w:val="right"/>
              <w:rPr>
                <w:rFonts w:cs="Arial"/>
                <w:b/>
                <w:bCs/>
                <w:sz w:val="18"/>
                <w:szCs w:val="18"/>
              </w:rPr>
            </w:pPr>
            <w:r>
              <w:rPr>
                <w:rFonts w:cs="Arial"/>
                <w:b/>
                <w:bCs/>
                <w:sz w:val="18"/>
                <w:szCs w:val="18"/>
              </w:rPr>
              <w:t>86</w:t>
            </w:r>
          </w:p>
        </w:tc>
        <w:tc>
          <w:tcPr>
            <w:tcW w:w="1070" w:type="dxa"/>
            <w:tcBorders>
              <w:top w:val="nil"/>
              <w:left w:val="nil"/>
              <w:bottom w:val="nil"/>
              <w:right w:val="nil"/>
            </w:tcBorders>
            <w:shd w:val="clear" w:color="FFFFFF" w:fill="FFFFFF"/>
            <w:noWrap/>
            <w:vAlign w:val="bottom"/>
            <w:hideMark/>
          </w:tcPr>
          <w:p w14:paraId="726E5095" w14:textId="77777777" w:rsidR="00AB6753" w:rsidRDefault="00AB6753" w:rsidP="002D1EA4">
            <w:pPr>
              <w:spacing w:after="0" w:line="240" w:lineRule="auto"/>
              <w:jc w:val="right"/>
              <w:rPr>
                <w:rFonts w:cs="Arial"/>
                <w:b/>
                <w:bCs/>
                <w:sz w:val="18"/>
                <w:szCs w:val="18"/>
              </w:rPr>
            </w:pPr>
            <w:r>
              <w:rPr>
                <w:rFonts w:cs="Arial"/>
                <w:b/>
                <w:bCs/>
                <w:sz w:val="18"/>
                <w:szCs w:val="18"/>
              </w:rPr>
              <w:t>623,330</w:t>
            </w:r>
          </w:p>
        </w:tc>
      </w:tr>
      <w:tr w:rsidR="00AB6753" w14:paraId="30127D61" w14:textId="77777777" w:rsidTr="002D1EA4">
        <w:trPr>
          <w:trHeight w:val="244"/>
        </w:trPr>
        <w:tc>
          <w:tcPr>
            <w:tcW w:w="3339" w:type="dxa"/>
            <w:tcBorders>
              <w:top w:val="nil"/>
              <w:left w:val="nil"/>
              <w:bottom w:val="nil"/>
              <w:right w:val="nil"/>
            </w:tcBorders>
            <w:shd w:val="clear" w:color="FFFFFF" w:fill="FFFFFF"/>
            <w:vAlign w:val="bottom"/>
            <w:hideMark/>
          </w:tcPr>
          <w:p w14:paraId="2DEEAFD1" w14:textId="77777777" w:rsidR="00AB6753" w:rsidRDefault="00AB6753" w:rsidP="002D1EA4">
            <w:pPr>
              <w:spacing w:after="0" w:line="240" w:lineRule="auto"/>
              <w:rPr>
                <w:rFonts w:cs="Arial"/>
                <w:sz w:val="18"/>
                <w:szCs w:val="18"/>
              </w:rPr>
            </w:pPr>
            <w:r>
              <w:rPr>
                <w:rFonts w:cs="Arial"/>
                <w:sz w:val="18"/>
                <w:szCs w:val="18"/>
              </w:rPr>
              <w:t>Accumulated depreciation, amortisation and impairment</w:t>
            </w:r>
          </w:p>
        </w:tc>
        <w:tc>
          <w:tcPr>
            <w:tcW w:w="1474" w:type="dxa"/>
            <w:tcBorders>
              <w:top w:val="nil"/>
              <w:left w:val="nil"/>
              <w:bottom w:val="nil"/>
              <w:right w:val="nil"/>
            </w:tcBorders>
            <w:shd w:val="clear" w:color="FFFFFF" w:fill="FFFFFF"/>
            <w:noWrap/>
            <w:vAlign w:val="bottom"/>
            <w:hideMark/>
          </w:tcPr>
          <w:p w14:paraId="38DBC3A3" w14:textId="77777777" w:rsidR="00AB6753" w:rsidRDefault="00AB6753" w:rsidP="002D1EA4">
            <w:pPr>
              <w:spacing w:after="0" w:line="240" w:lineRule="auto"/>
              <w:jc w:val="right"/>
              <w:rPr>
                <w:rFonts w:cs="Arial"/>
                <w:b/>
                <w:bCs/>
                <w:sz w:val="18"/>
                <w:szCs w:val="18"/>
              </w:rPr>
            </w:pPr>
            <w:r>
              <w:rPr>
                <w:rFonts w:cs="Arial"/>
                <w:b/>
                <w:bCs/>
                <w:sz w:val="18"/>
                <w:szCs w:val="18"/>
              </w:rPr>
              <w:t>(39,271)</w:t>
            </w:r>
          </w:p>
        </w:tc>
        <w:tc>
          <w:tcPr>
            <w:tcW w:w="1148" w:type="dxa"/>
            <w:tcBorders>
              <w:top w:val="nil"/>
              <w:left w:val="nil"/>
              <w:bottom w:val="nil"/>
              <w:right w:val="nil"/>
            </w:tcBorders>
            <w:shd w:val="clear" w:color="FFFFFF" w:fill="FFFFFF"/>
            <w:noWrap/>
            <w:vAlign w:val="bottom"/>
            <w:hideMark/>
          </w:tcPr>
          <w:p w14:paraId="61ED0E78" w14:textId="77777777" w:rsidR="00AB6753" w:rsidRDefault="00AB6753" w:rsidP="002D1EA4">
            <w:pPr>
              <w:spacing w:after="0" w:line="240" w:lineRule="auto"/>
              <w:jc w:val="right"/>
              <w:rPr>
                <w:rFonts w:cs="Arial"/>
                <w:b/>
                <w:bCs/>
                <w:sz w:val="18"/>
                <w:szCs w:val="18"/>
              </w:rPr>
            </w:pPr>
            <w:r>
              <w:rPr>
                <w:rFonts w:cs="Arial"/>
                <w:b/>
                <w:bCs/>
                <w:sz w:val="18"/>
                <w:szCs w:val="18"/>
              </w:rPr>
              <w:t>(320)</w:t>
            </w:r>
          </w:p>
        </w:tc>
        <w:tc>
          <w:tcPr>
            <w:tcW w:w="1150" w:type="dxa"/>
            <w:tcBorders>
              <w:top w:val="nil"/>
              <w:left w:val="nil"/>
              <w:bottom w:val="nil"/>
              <w:right w:val="nil"/>
            </w:tcBorders>
            <w:shd w:val="clear" w:color="FFFFFF" w:fill="FFFFFF"/>
            <w:noWrap/>
            <w:vAlign w:val="bottom"/>
            <w:hideMark/>
          </w:tcPr>
          <w:p w14:paraId="5E50EBA8" w14:textId="77777777" w:rsidR="00AB6753" w:rsidRDefault="00AB6753" w:rsidP="002D1EA4">
            <w:pPr>
              <w:spacing w:after="0" w:line="240" w:lineRule="auto"/>
              <w:jc w:val="right"/>
              <w:rPr>
                <w:rFonts w:cs="Arial"/>
                <w:b/>
                <w:bCs/>
                <w:sz w:val="18"/>
                <w:szCs w:val="18"/>
              </w:rPr>
            </w:pPr>
            <w:r>
              <w:rPr>
                <w:rFonts w:cs="Arial"/>
                <w:b/>
                <w:bCs/>
                <w:sz w:val="18"/>
                <w:szCs w:val="18"/>
              </w:rPr>
              <w:t>(765)</w:t>
            </w:r>
          </w:p>
        </w:tc>
        <w:tc>
          <w:tcPr>
            <w:tcW w:w="1147" w:type="dxa"/>
            <w:tcBorders>
              <w:top w:val="nil"/>
              <w:left w:val="nil"/>
              <w:bottom w:val="nil"/>
              <w:right w:val="nil"/>
            </w:tcBorders>
            <w:shd w:val="clear" w:color="FFFFFF" w:fill="FFFFFF"/>
            <w:noWrap/>
            <w:vAlign w:val="bottom"/>
            <w:hideMark/>
          </w:tcPr>
          <w:p w14:paraId="616D729B" w14:textId="77777777" w:rsidR="00AB6753" w:rsidRDefault="00AB6753" w:rsidP="002D1EA4">
            <w:pPr>
              <w:spacing w:after="0" w:line="240" w:lineRule="auto"/>
              <w:jc w:val="right"/>
              <w:rPr>
                <w:rFonts w:cs="Arial"/>
                <w:b/>
                <w:bCs/>
                <w:sz w:val="18"/>
                <w:szCs w:val="18"/>
              </w:rPr>
            </w:pPr>
            <w:r>
              <w:rPr>
                <w:rFonts w:cs="Arial"/>
                <w:b/>
                <w:bCs/>
                <w:sz w:val="18"/>
                <w:szCs w:val="18"/>
              </w:rPr>
              <w:t>(68)</w:t>
            </w:r>
          </w:p>
        </w:tc>
        <w:tc>
          <w:tcPr>
            <w:tcW w:w="1070" w:type="dxa"/>
            <w:tcBorders>
              <w:top w:val="nil"/>
              <w:left w:val="nil"/>
              <w:bottom w:val="nil"/>
              <w:right w:val="nil"/>
            </w:tcBorders>
            <w:shd w:val="clear" w:color="FFFFFF" w:fill="FFFFFF"/>
            <w:noWrap/>
            <w:vAlign w:val="bottom"/>
            <w:hideMark/>
          </w:tcPr>
          <w:p w14:paraId="3ED297B3" w14:textId="77777777" w:rsidR="00AB6753" w:rsidRDefault="00AB6753" w:rsidP="002D1EA4">
            <w:pPr>
              <w:spacing w:after="0" w:line="240" w:lineRule="auto"/>
              <w:jc w:val="right"/>
              <w:rPr>
                <w:rFonts w:cs="Arial"/>
                <w:b/>
                <w:bCs/>
                <w:sz w:val="18"/>
                <w:szCs w:val="18"/>
              </w:rPr>
            </w:pPr>
            <w:r>
              <w:rPr>
                <w:rFonts w:cs="Arial"/>
                <w:b/>
                <w:bCs/>
                <w:sz w:val="18"/>
                <w:szCs w:val="18"/>
              </w:rPr>
              <w:t>(40,424)</w:t>
            </w:r>
          </w:p>
        </w:tc>
      </w:tr>
      <w:tr w:rsidR="00AB6753" w14:paraId="73D6031F" w14:textId="77777777" w:rsidTr="002D1EA4">
        <w:trPr>
          <w:trHeight w:val="244"/>
        </w:trPr>
        <w:tc>
          <w:tcPr>
            <w:tcW w:w="3339" w:type="dxa"/>
            <w:tcBorders>
              <w:top w:val="single" w:sz="4" w:space="0" w:color="auto"/>
              <w:left w:val="nil"/>
              <w:bottom w:val="single" w:sz="4" w:space="0" w:color="auto"/>
              <w:right w:val="nil"/>
            </w:tcBorders>
            <w:shd w:val="clear" w:color="FFFFFF" w:fill="FFFFFF"/>
            <w:vAlign w:val="bottom"/>
            <w:hideMark/>
          </w:tcPr>
          <w:p w14:paraId="5060B36D" w14:textId="77777777" w:rsidR="00AB6753" w:rsidRDefault="00AB6753" w:rsidP="002D1EA4">
            <w:pPr>
              <w:spacing w:after="0" w:line="240" w:lineRule="auto"/>
              <w:rPr>
                <w:rFonts w:cs="Arial"/>
                <w:b/>
                <w:bCs/>
                <w:sz w:val="18"/>
                <w:szCs w:val="18"/>
              </w:rPr>
            </w:pPr>
            <w:r>
              <w:rPr>
                <w:rFonts w:cs="Arial"/>
                <w:b/>
                <w:bCs/>
                <w:sz w:val="18"/>
                <w:szCs w:val="18"/>
              </w:rPr>
              <w:t>Net book value as at 30 June 2020</w:t>
            </w:r>
          </w:p>
        </w:tc>
        <w:tc>
          <w:tcPr>
            <w:tcW w:w="1474" w:type="dxa"/>
            <w:tcBorders>
              <w:top w:val="single" w:sz="4" w:space="0" w:color="auto"/>
              <w:left w:val="nil"/>
              <w:bottom w:val="single" w:sz="4" w:space="0" w:color="auto"/>
              <w:right w:val="nil"/>
            </w:tcBorders>
            <w:shd w:val="clear" w:color="FFFFFF" w:fill="FFFFFF"/>
            <w:noWrap/>
            <w:vAlign w:val="bottom"/>
            <w:hideMark/>
          </w:tcPr>
          <w:p w14:paraId="28D0377D" w14:textId="77777777" w:rsidR="00AB6753" w:rsidRDefault="00AB6753" w:rsidP="002D1EA4">
            <w:pPr>
              <w:spacing w:after="0" w:line="240" w:lineRule="auto"/>
              <w:jc w:val="right"/>
              <w:rPr>
                <w:rFonts w:cs="Arial"/>
                <w:b/>
                <w:bCs/>
                <w:sz w:val="18"/>
                <w:szCs w:val="18"/>
              </w:rPr>
            </w:pPr>
            <w:r>
              <w:rPr>
                <w:rFonts w:cs="Arial"/>
                <w:b/>
                <w:bCs/>
                <w:sz w:val="18"/>
                <w:szCs w:val="18"/>
              </w:rPr>
              <w:t>581,359</w:t>
            </w:r>
          </w:p>
        </w:tc>
        <w:tc>
          <w:tcPr>
            <w:tcW w:w="1148" w:type="dxa"/>
            <w:tcBorders>
              <w:top w:val="single" w:sz="4" w:space="0" w:color="auto"/>
              <w:left w:val="nil"/>
              <w:bottom w:val="single" w:sz="4" w:space="0" w:color="auto"/>
              <w:right w:val="nil"/>
            </w:tcBorders>
            <w:shd w:val="clear" w:color="FFFFFF" w:fill="FFFFFF"/>
            <w:noWrap/>
            <w:vAlign w:val="bottom"/>
            <w:hideMark/>
          </w:tcPr>
          <w:p w14:paraId="56ED768C" w14:textId="77777777" w:rsidR="00AB6753" w:rsidRDefault="00AB6753" w:rsidP="002D1EA4">
            <w:pPr>
              <w:spacing w:after="0" w:line="240" w:lineRule="auto"/>
              <w:jc w:val="right"/>
              <w:rPr>
                <w:rFonts w:cs="Arial"/>
                <w:b/>
                <w:bCs/>
                <w:sz w:val="18"/>
                <w:szCs w:val="18"/>
              </w:rPr>
            </w:pPr>
            <w:r>
              <w:rPr>
                <w:rFonts w:cs="Arial"/>
                <w:b/>
                <w:bCs/>
                <w:sz w:val="18"/>
                <w:szCs w:val="18"/>
              </w:rPr>
              <w:t>1,485</w:t>
            </w:r>
          </w:p>
        </w:tc>
        <w:tc>
          <w:tcPr>
            <w:tcW w:w="1150" w:type="dxa"/>
            <w:tcBorders>
              <w:top w:val="single" w:sz="4" w:space="0" w:color="auto"/>
              <w:left w:val="nil"/>
              <w:bottom w:val="single" w:sz="4" w:space="0" w:color="auto"/>
              <w:right w:val="nil"/>
            </w:tcBorders>
            <w:shd w:val="clear" w:color="FFFFFF" w:fill="FFFFFF"/>
            <w:noWrap/>
            <w:vAlign w:val="bottom"/>
            <w:hideMark/>
          </w:tcPr>
          <w:p w14:paraId="6EE9C547" w14:textId="77777777" w:rsidR="00AB6753" w:rsidRDefault="00AB6753" w:rsidP="002D1EA4">
            <w:pPr>
              <w:spacing w:after="0" w:line="240" w:lineRule="auto"/>
              <w:jc w:val="right"/>
              <w:rPr>
                <w:rFonts w:cs="Arial"/>
                <w:b/>
                <w:bCs/>
                <w:sz w:val="18"/>
                <w:szCs w:val="18"/>
              </w:rPr>
            </w:pPr>
            <w:r>
              <w:rPr>
                <w:rFonts w:cs="Arial"/>
                <w:b/>
                <w:bCs/>
                <w:sz w:val="18"/>
                <w:szCs w:val="18"/>
              </w:rPr>
              <w:t>44</w:t>
            </w:r>
          </w:p>
        </w:tc>
        <w:tc>
          <w:tcPr>
            <w:tcW w:w="1147" w:type="dxa"/>
            <w:tcBorders>
              <w:top w:val="single" w:sz="4" w:space="0" w:color="auto"/>
              <w:left w:val="nil"/>
              <w:bottom w:val="single" w:sz="4" w:space="0" w:color="auto"/>
              <w:right w:val="nil"/>
            </w:tcBorders>
            <w:shd w:val="clear" w:color="FFFFFF" w:fill="FFFFFF"/>
            <w:noWrap/>
            <w:vAlign w:val="bottom"/>
            <w:hideMark/>
          </w:tcPr>
          <w:p w14:paraId="19422EA1" w14:textId="77777777" w:rsidR="00AB6753" w:rsidRDefault="00AB6753" w:rsidP="002D1EA4">
            <w:pPr>
              <w:spacing w:after="0" w:line="240" w:lineRule="auto"/>
              <w:jc w:val="right"/>
              <w:rPr>
                <w:rFonts w:cs="Arial"/>
                <w:b/>
                <w:bCs/>
                <w:sz w:val="18"/>
                <w:szCs w:val="18"/>
              </w:rPr>
            </w:pPr>
            <w:r>
              <w:rPr>
                <w:rFonts w:cs="Arial"/>
                <w:b/>
                <w:bCs/>
                <w:sz w:val="18"/>
                <w:szCs w:val="18"/>
              </w:rPr>
              <w:t>18</w:t>
            </w:r>
          </w:p>
        </w:tc>
        <w:tc>
          <w:tcPr>
            <w:tcW w:w="1070" w:type="dxa"/>
            <w:tcBorders>
              <w:top w:val="single" w:sz="4" w:space="0" w:color="auto"/>
              <w:left w:val="nil"/>
              <w:bottom w:val="single" w:sz="4" w:space="0" w:color="auto"/>
              <w:right w:val="nil"/>
            </w:tcBorders>
            <w:shd w:val="clear" w:color="FFFFFF" w:fill="FFFFFF"/>
            <w:noWrap/>
            <w:vAlign w:val="bottom"/>
            <w:hideMark/>
          </w:tcPr>
          <w:p w14:paraId="1B039774" w14:textId="77777777" w:rsidR="00AB6753" w:rsidRDefault="00AB6753" w:rsidP="002D1EA4">
            <w:pPr>
              <w:spacing w:after="0" w:line="240" w:lineRule="auto"/>
              <w:jc w:val="right"/>
              <w:rPr>
                <w:rFonts w:cs="Arial"/>
                <w:b/>
                <w:bCs/>
                <w:sz w:val="18"/>
                <w:szCs w:val="18"/>
              </w:rPr>
            </w:pPr>
            <w:r>
              <w:rPr>
                <w:rFonts w:cs="Arial"/>
                <w:b/>
                <w:bCs/>
                <w:sz w:val="18"/>
                <w:szCs w:val="18"/>
              </w:rPr>
              <w:t>582,906</w:t>
            </w:r>
          </w:p>
        </w:tc>
      </w:tr>
      <w:tr w:rsidR="00AB6753" w14:paraId="37E49EA6" w14:textId="77777777" w:rsidTr="002D1EA4">
        <w:trPr>
          <w:trHeight w:val="244"/>
        </w:trPr>
        <w:tc>
          <w:tcPr>
            <w:tcW w:w="3339" w:type="dxa"/>
            <w:tcBorders>
              <w:top w:val="nil"/>
              <w:left w:val="nil"/>
              <w:bottom w:val="nil"/>
              <w:right w:val="nil"/>
            </w:tcBorders>
            <w:shd w:val="clear" w:color="FFFFFF" w:fill="FFFFFF"/>
            <w:vAlign w:val="bottom"/>
            <w:hideMark/>
          </w:tcPr>
          <w:p w14:paraId="7442AF20" w14:textId="77777777" w:rsidR="00AB6753" w:rsidRDefault="00AB6753" w:rsidP="002D1EA4">
            <w:pPr>
              <w:spacing w:after="0" w:line="240" w:lineRule="auto"/>
              <w:rPr>
                <w:rFonts w:cs="Arial"/>
                <w:sz w:val="18"/>
                <w:szCs w:val="18"/>
              </w:rPr>
            </w:pPr>
            <w:r>
              <w:rPr>
                <w:rFonts w:cs="Arial"/>
                <w:sz w:val="18"/>
                <w:szCs w:val="18"/>
              </w:rPr>
              <w:t> </w:t>
            </w:r>
          </w:p>
        </w:tc>
        <w:tc>
          <w:tcPr>
            <w:tcW w:w="1474" w:type="dxa"/>
            <w:tcBorders>
              <w:top w:val="nil"/>
              <w:left w:val="nil"/>
              <w:bottom w:val="nil"/>
              <w:right w:val="nil"/>
            </w:tcBorders>
            <w:shd w:val="clear" w:color="FFFFFF" w:fill="FFFFFF"/>
            <w:noWrap/>
            <w:vAlign w:val="bottom"/>
            <w:hideMark/>
          </w:tcPr>
          <w:p w14:paraId="3D4549FF"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148" w:type="dxa"/>
            <w:tcBorders>
              <w:top w:val="nil"/>
              <w:left w:val="nil"/>
              <w:bottom w:val="nil"/>
              <w:right w:val="nil"/>
            </w:tcBorders>
            <w:shd w:val="clear" w:color="FFFFFF" w:fill="FFFFFF"/>
            <w:noWrap/>
            <w:vAlign w:val="bottom"/>
            <w:hideMark/>
          </w:tcPr>
          <w:p w14:paraId="2634A0B8"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150" w:type="dxa"/>
            <w:tcBorders>
              <w:top w:val="nil"/>
              <w:left w:val="nil"/>
              <w:bottom w:val="nil"/>
              <w:right w:val="nil"/>
            </w:tcBorders>
            <w:shd w:val="clear" w:color="FFFFFF" w:fill="FFFFFF"/>
            <w:noWrap/>
            <w:vAlign w:val="bottom"/>
            <w:hideMark/>
          </w:tcPr>
          <w:p w14:paraId="4C066798"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147" w:type="dxa"/>
            <w:tcBorders>
              <w:top w:val="nil"/>
              <w:left w:val="nil"/>
              <w:bottom w:val="nil"/>
              <w:right w:val="nil"/>
            </w:tcBorders>
            <w:shd w:val="clear" w:color="FFFFFF" w:fill="FFFFFF"/>
            <w:noWrap/>
            <w:vAlign w:val="bottom"/>
            <w:hideMark/>
          </w:tcPr>
          <w:p w14:paraId="2CC10744" w14:textId="77777777" w:rsidR="00AB6753" w:rsidRDefault="00AB6753" w:rsidP="002D1EA4">
            <w:pPr>
              <w:spacing w:after="0" w:line="240" w:lineRule="auto"/>
              <w:jc w:val="right"/>
              <w:rPr>
                <w:rFonts w:cs="Arial"/>
                <w:b/>
                <w:bCs/>
                <w:sz w:val="18"/>
                <w:szCs w:val="18"/>
              </w:rPr>
            </w:pPr>
            <w:r>
              <w:rPr>
                <w:rFonts w:cs="Arial"/>
                <w:b/>
                <w:bCs/>
                <w:sz w:val="18"/>
                <w:szCs w:val="18"/>
              </w:rPr>
              <w:t> </w:t>
            </w:r>
          </w:p>
        </w:tc>
        <w:tc>
          <w:tcPr>
            <w:tcW w:w="1070" w:type="dxa"/>
            <w:tcBorders>
              <w:top w:val="nil"/>
              <w:left w:val="nil"/>
              <w:bottom w:val="nil"/>
              <w:right w:val="nil"/>
            </w:tcBorders>
            <w:shd w:val="clear" w:color="FFFFFF" w:fill="FFFFFF"/>
            <w:noWrap/>
            <w:vAlign w:val="bottom"/>
            <w:hideMark/>
          </w:tcPr>
          <w:p w14:paraId="04407567" w14:textId="77777777" w:rsidR="00AB6753" w:rsidRDefault="00AB6753" w:rsidP="002D1EA4">
            <w:pPr>
              <w:spacing w:after="0" w:line="240" w:lineRule="auto"/>
              <w:jc w:val="right"/>
              <w:rPr>
                <w:rFonts w:cs="Arial"/>
                <w:b/>
                <w:bCs/>
                <w:sz w:val="18"/>
                <w:szCs w:val="18"/>
              </w:rPr>
            </w:pPr>
            <w:r>
              <w:rPr>
                <w:rFonts w:cs="Arial"/>
                <w:b/>
                <w:bCs/>
                <w:sz w:val="18"/>
                <w:szCs w:val="18"/>
              </w:rPr>
              <w:t> </w:t>
            </w:r>
          </w:p>
        </w:tc>
      </w:tr>
      <w:tr w:rsidR="00AB6753" w14:paraId="05C26B78" w14:textId="77777777" w:rsidTr="002D1EA4">
        <w:trPr>
          <w:trHeight w:val="244"/>
        </w:trPr>
        <w:tc>
          <w:tcPr>
            <w:tcW w:w="3339" w:type="dxa"/>
            <w:tcBorders>
              <w:top w:val="single" w:sz="4" w:space="0" w:color="auto"/>
              <w:left w:val="nil"/>
              <w:bottom w:val="single" w:sz="4" w:space="0" w:color="auto"/>
              <w:right w:val="nil"/>
            </w:tcBorders>
            <w:shd w:val="clear" w:color="FFFFFF" w:fill="FFFFFF"/>
            <w:vAlign w:val="bottom"/>
            <w:hideMark/>
          </w:tcPr>
          <w:p w14:paraId="58A722EA" w14:textId="77777777" w:rsidR="00AB6753" w:rsidRDefault="00AB6753" w:rsidP="002D1EA4">
            <w:pPr>
              <w:spacing w:after="0" w:line="240" w:lineRule="auto"/>
              <w:rPr>
                <w:rFonts w:cs="Arial"/>
                <w:sz w:val="18"/>
                <w:szCs w:val="18"/>
              </w:rPr>
            </w:pPr>
            <w:r>
              <w:rPr>
                <w:rFonts w:cs="Arial"/>
                <w:sz w:val="18"/>
                <w:szCs w:val="18"/>
              </w:rPr>
              <w:t>Carrying amount of right-of-use assets</w:t>
            </w:r>
          </w:p>
        </w:tc>
        <w:tc>
          <w:tcPr>
            <w:tcW w:w="1474" w:type="dxa"/>
            <w:tcBorders>
              <w:top w:val="single" w:sz="4" w:space="0" w:color="auto"/>
              <w:left w:val="nil"/>
              <w:bottom w:val="single" w:sz="4" w:space="0" w:color="auto"/>
              <w:right w:val="nil"/>
            </w:tcBorders>
            <w:shd w:val="clear" w:color="FFFFFF" w:fill="FFFFFF"/>
            <w:noWrap/>
            <w:vAlign w:val="bottom"/>
            <w:hideMark/>
          </w:tcPr>
          <w:p w14:paraId="1EF35855" w14:textId="77777777" w:rsidR="00AB6753" w:rsidRDefault="00AB6753" w:rsidP="002D1EA4">
            <w:pPr>
              <w:spacing w:after="0" w:line="240" w:lineRule="auto"/>
              <w:jc w:val="right"/>
              <w:rPr>
                <w:rFonts w:cs="Arial"/>
                <w:sz w:val="18"/>
                <w:szCs w:val="18"/>
              </w:rPr>
            </w:pPr>
            <w:r>
              <w:rPr>
                <w:rFonts w:cs="Arial"/>
                <w:sz w:val="18"/>
                <w:szCs w:val="18"/>
              </w:rPr>
              <w:t>536,086</w:t>
            </w:r>
          </w:p>
        </w:tc>
        <w:tc>
          <w:tcPr>
            <w:tcW w:w="1148" w:type="dxa"/>
            <w:tcBorders>
              <w:top w:val="single" w:sz="4" w:space="0" w:color="auto"/>
              <w:left w:val="nil"/>
              <w:bottom w:val="single" w:sz="4" w:space="0" w:color="auto"/>
              <w:right w:val="nil"/>
            </w:tcBorders>
            <w:shd w:val="clear" w:color="FFFFFF" w:fill="FFFFFF"/>
            <w:noWrap/>
            <w:vAlign w:val="bottom"/>
            <w:hideMark/>
          </w:tcPr>
          <w:p w14:paraId="789068E0" w14:textId="77777777" w:rsidR="00AB6753" w:rsidRDefault="00AB6753" w:rsidP="002D1EA4">
            <w:pPr>
              <w:spacing w:after="0" w:line="240" w:lineRule="auto"/>
              <w:jc w:val="right"/>
              <w:rPr>
                <w:rFonts w:cs="Arial"/>
                <w:sz w:val="18"/>
                <w:szCs w:val="18"/>
              </w:rPr>
            </w:pPr>
            <w:r>
              <w:rPr>
                <w:rFonts w:cs="Arial"/>
                <w:sz w:val="18"/>
                <w:szCs w:val="18"/>
              </w:rPr>
              <w:t>305</w:t>
            </w:r>
          </w:p>
        </w:tc>
        <w:tc>
          <w:tcPr>
            <w:tcW w:w="1150" w:type="dxa"/>
            <w:tcBorders>
              <w:top w:val="single" w:sz="4" w:space="0" w:color="auto"/>
              <w:left w:val="nil"/>
              <w:bottom w:val="single" w:sz="4" w:space="0" w:color="auto"/>
              <w:right w:val="nil"/>
            </w:tcBorders>
            <w:shd w:val="clear" w:color="FFFFFF" w:fill="FFFFFF"/>
            <w:noWrap/>
            <w:vAlign w:val="bottom"/>
            <w:hideMark/>
          </w:tcPr>
          <w:p w14:paraId="57145BD3" w14:textId="77777777" w:rsidR="00AB6753" w:rsidRDefault="00AB6753" w:rsidP="002D1EA4">
            <w:pPr>
              <w:spacing w:after="0" w:line="240" w:lineRule="auto"/>
              <w:jc w:val="right"/>
              <w:rPr>
                <w:rFonts w:cs="Arial"/>
                <w:sz w:val="18"/>
                <w:szCs w:val="18"/>
              </w:rPr>
            </w:pPr>
            <w:r>
              <w:rPr>
                <w:rFonts w:cs="Arial"/>
                <w:sz w:val="18"/>
                <w:szCs w:val="18"/>
              </w:rPr>
              <w:t>-</w:t>
            </w:r>
          </w:p>
        </w:tc>
        <w:tc>
          <w:tcPr>
            <w:tcW w:w="1147" w:type="dxa"/>
            <w:tcBorders>
              <w:top w:val="single" w:sz="4" w:space="0" w:color="auto"/>
              <w:left w:val="nil"/>
              <w:bottom w:val="single" w:sz="4" w:space="0" w:color="auto"/>
              <w:right w:val="nil"/>
            </w:tcBorders>
            <w:shd w:val="clear" w:color="FFFFFF" w:fill="FFFFFF"/>
            <w:noWrap/>
            <w:vAlign w:val="bottom"/>
            <w:hideMark/>
          </w:tcPr>
          <w:p w14:paraId="431390A2" w14:textId="77777777" w:rsidR="00AB6753" w:rsidRDefault="00AB6753" w:rsidP="002D1EA4">
            <w:pPr>
              <w:spacing w:after="0" w:line="240" w:lineRule="auto"/>
              <w:jc w:val="right"/>
              <w:rPr>
                <w:rFonts w:cs="Arial"/>
                <w:sz w:val="18"/>
                <w:szCs w:val="18"/>
              </w:rPr>
            </w:pPr>
            <w:r>
              <w:rPr>
                <w:rFonts w:cs="Arial"/>
                <w:sz w:val="18"/>
                <w:szCs w:val="18"/>
              </w:rPr>
              <w:t>-</w:t>
            </w:r>
          </w:p>
        </w:tc>
        <w:tc>
          <w:tcPr>
            <w:tcW w:w="1070" w:type="dxa"/>
            <w:tcBorders>
              <w:top w:val="single" w:sz="4" w:space="0" w:color="auto"/>
              <w:left w:val="nil"/>
              <w:bottom w:val="single" w:sz="4" w:space="0" w:color="auto"/>
              <w:right w:val="nil"/>
            </w:tcBorders>
            <w:shd w:val="clear" w:color="FFFFFF" w:fill="FFFFFF"/>
            <w:noWrap/>
            <w:vAlign w:val="bottom"/>
            <w:hideMark/>
          </w:tcPr>
          <w:p w14:paraId="60A06EAA" w14:textId="77777777" w:rsidR="00AB6753" w:rsidRDefault="00AB6753" w:rsidP="002D1EA4">
            <w:pPr>
              <w:spacing w:after="0" w:line="240" w:lineRule="auto"/>
              <w:jc w:val="right"/>
              <w:rPr>
                <w:rFonts w:cs="Arial"/>
                <w:sz w:val="18"/>
                <w:szCs w:val="18"/>
              </w:rPr>
            </w:pPr>
            <w:r>
              <w:rPr>
                <w:rFonts w:cs="Arial"/>
                <w:sz w:val="18"/>
                <w:szCs w:val="18"/>
              </w:rPr>
              <w:t>536,391</w:t>
            </w:r>
          </w:p>
        </w:tc>
      </w:tr>
    </w:tbl>
    <w:p w14:paraId="0EA189CD" w14:textId="77777777" w:rsidR="00AB6753" w:rsidRDefault="00AB6753" w:rsidP="00AB6753">
      <w:pPr>
        <w:pStyle w:val="NotesText0"/>
        <w:spacing w:before="0" w:after="0"/>
      </w:pPr>
      <w:r>
        <w:br/>
        <w:t>In the 2020 financial year:</w:t>
      </w:r>
    </w:p>
    <w:p w14:paraId="66304195" w14:textId="77777777" w:rsidR="00AB6753" w:rsidRDefault="00AB6753" w:rsidP="00AB6753">
      <w:pPr>
        <w:pStyle w:val="NotesText0"/>
        <w:numPr>
          <w:ilvl w:val="0"/>
          <w:numId w:val="51"/>
        </w:numPr>
        <w:spacing w:before="0" w:after="0"/>
      </w:pPr>
      <w:r>
        <w:t>no leasehold improvements were identified as impaired and written-down (2019: $0.547 million);</w:t>
      </w:r>
    </w:p>
    <w:p w14:paraId="6450CF3D" w14:textId="77777777" w:rsidR="00AB6753" w:rsidRDefault="00AB6753" w:rsidP="00AB6753">
      <w:pPr>
        <w:pStyle w:val="NotesText0"/>
        <w:numPr>
          <w:ilvl w:val="0"/>
          <w:numId w:val="51"/>
        </w:numPr>
        <w:spacing w:before="0" w:after="0"/>
      </w:pPr>
      <w:r>
        <w:t>no property, plant and equipment were identified as impaired and written-down (2019: $1.283 million);</w:t>
      </w:r>
    </w:p>
    <w:p w14:paraId="0B2B3666" w14:textId="77777777" w:rsidR="00AB6753" w:rsidRDefault="00AB6753" w:rsidP="00AB6753">
      <w:pPr>
        <w:pStyle w:val="NotesText0"/>
        <w:numPr>
          <w:ilvl w:val="0"/>
          <w:numId w:val="51"/>
        </w:numPr>
        <w:spacing w:before="0" w:after="0"/>
      </w:pPr>
      <w:r>
        <w:t>intangibles with a carrying amount of $0.939 million (2019: $0.007 million) was identified as impaired and written-down; and</w:t>
      </w:r>
    </w:p>
    <w:p w14:paraId="13D2955D" w14:textId="77777777" w:rsidR="00AB6753" w:rsidRDefault="00AB6753" w:rsidP="00AB6753">
      <w:pPr>
        <w:pStyle w:val="NotesText0"/>
        <w:numPr>
          <w:ilvl w:val="0"/>
          <w:numId w:val="51"/>
        </w:numPr>
        <w:spacing w:before="0" w:after="0"/>
      </w:pPr>
      <w:r>
        <w:t xml:space="preserve">property, plant and equipment with a carrying amount of $0.001 million (2019: $0.127 million) was sold via independent contract auction houses Pickles and </w:t>
      </w:r>
      <w:proofErr w:type="spellStart"/>
      <w:r>
        <w:t>Allbids</w:t>
      </w:r>
      <w:proofErr w:type="spellEnd"/>
      <w:r>
        <w:t>.</w:t>
      </w:r>
    </w:p>
    <w:p w14:paraId="10B8CE01" w14:textId="77777777" w:rsidR="00AB6753" w:rsidRDefault="00AB6753" w:rsidP="00AB6753">
      <w:pPr>
        <w:pStyle w:val="NotesText0"/>
        <w:spacing w:after="0"/>
      </w:pPr>
      <w:r w:rsidRPr="003A7105">
        <w:t>No property, plant and equipment is expected to be sold within the next 12 months</w:t>
      </w:r>
      <w:r>
        <w:t xml:space="preserve"> (2019: </w:t>
      </w:r>
      <w:r w:rsidRPr="003A7105">
        <w:t>$0.050</w:t>
      </w:r>
      <w:r>
        <w:t> </w:t>
      </w:r>
      <w:r w:rsidRPr="003A7105">
        <w:t>million).</w:t>
      </w:r>
    </w:p>
    <w:p w14:paraId="1CC3BF34" w14:textId="77777777" w:rsidR="00AB6753" w:rsidRPr="00CB6E59" w:rsidRDefault="00AB6753" w:rsidP="00AB6753">
      <w:pPr>
        <w:pStyle w:val="NotesTextnolinespace"/>
      </w:pPr>
    </w:p>
    <w:tbl>
      <w:tblPr>
        <w:tblW w:w="9411" w:type="dxa"/>
        <w:tblInd w:w="80" w:type="dxa"/>
        <w:tblLayout w:type="fixed"/>
        <w:tblLook w:val="04A0" w:firstRow="1" w:lastRow="0" w:firstColumn="1" w:lastColumn="0" w:noHBand="0" w:noVBand="1"/>
        <w:tblCaption w:val="Notes to and forming part of the financial statements"/>
        <w:tblDescription w:val="Departmental financial position"/>
      </w:tblPr>
      <w:tblGrid>
        <w:gridCol w:w="6561"/>
        <w:gridCol w:w="1288"/>
        <w:gridCol w:w="274"/>
        <w:gridCol w:w="1288"/>
      </w:tblGrid>
      <w:tr w:rsidR="00AB6753" w14:paraId="48AD36DE" w14:textId="77777777" w:rsidTr="002D1EA4">
        <w:trPr>
          <w:trHeight w:val="240"/>
        </w:trPr>
        <w:tc>
          <w:tcPr>
            <w:tcW w:w="6396" w:type="dxa"/>
            <w:tcBorders>
              <w:top w:val="nil"/>
              <w:left w:val="nil"/>
              <w:bottom w:val="nil"/>
              <w:right w:val="nil"/>
            </w:tcBorders>
            <w:shd w:val="clear" w:color="FFFFFF" w:fill="FFFFFF"/>
            <w:noWrap/>
            <w:vAlign w:val="bottom"/>
            <w:hideMark/>
          </w:tcPr>
          <w:p w14:paraId="1C8AE245" w14:textId="77777777" w:rsidR="00AB6753" w:rsidRDefault="00AB6753" w:rsidP="002D1EA4">
            <w:pPr>
              <w:spacing w:after="0"/>
              <w:rPr>
                <w:rFonts w:cs="Arial"/>
                <w:sz w:val="18"/>
                <w:szCs w:val="18"/>
              </w:rPr>
            </w:pPr>
            <w:bookmarkStart w:id="134" w:name="Note_CMATABLE1" w:colFirst="0" w:colLast="0"/>
            <w:r>
              <w:rPr>
                <w:rFonts w:cs="Arial"/>
                <w:sz w:val="18"/>
                <w:szCs w:val="18"/>
              </w:rPr>
              <w:t> </w:t>
            </w:r>
          </w:p>
        </w:tc>
        <w:tc>
          <w:tcPr>
            <w:tcW w:w="1256" w:type="dxa"/>
            <w:tcBorders>
              <w:top w:val="nil"/>
              <w:left w:val="nil"/>
              <w:bottom w:val="nil"/>
              <w:right w:val="nil"/>
            </w:tcBorders>
            <w:shd w:val="clear" w:color="FFFFFF" w:fill="FFFFFF"/>
            <w:noWrap/>
            <w:vAlign w:val="bottom"/>
            <w:hideMark/>
          </w:tcPr>
          <w:p w14:paraId="17172345" w14:textId="77777777" w:rsidR="00AB6753" w:rsidRDefault="00AB6753" w:rsidP="002D1EA4">
            <w:pPr>
              <w:spacing w:after="0"/>
              <w:jc w:val="right"/>
              <w:rPr>
                <w:rFonts w:cs="Arial"/>
                <w:b/>
                <w:bCs/>
                <w:sz w:val="18"/>
                <w:szCs w:val="18"/>
              </w:rPr>
            </w:pPr>
            <w:r>
              <w:rPr>
                <w:rFonts w:cs="Arial"/>
                <w:b/>
                <w:bCs/>
                <w:sz w:val="18"/>
                <w:szCs w:val="18"/>
              </w:rPr>
              <w:t>2020</w:t>
            </w:r>
          </w:p>
        </w:tc>
        <w:tc>
          <w:tcPr>
            <w:tcW w:w="267" w:type="dxa"/>
            <w:tcBorders>
              <w:top w:val="nil"/>
              <w:left w:val="nil"/>
              <w:bottom w:val="nil"/>
              <w:right w:val="nil"/>
            </w:tcBorders>
            <w:shd w:val="clear" w:color="FFFFFF" w:fill="FFFFFF"/>
            <w:noWrap/>
            <w:vAlign w:val="bottom"/>
            <w:hideMark/>
          </w:tcPr>
          <w:p w14:paraId="6DB0DC5D"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3502D4DF" w14:textId="77777777" w:rsidR="00AB6753" w:rsidRDefault="00AB6753" w:rsidP="002D1EA4">
            <w:pPr>
              <w:spacing w:after="0"/>
              <w:jc w:val="right"/>
              <w:rPr>
                <w:rFonts w:cs="Arial"/>
                <w:sz w:val="18"/>
                <w:szCs w:val="18"/>
              </w:rPr>
            </w:pPr>
            <w:r>
              <w:rPr>
                <w:rFonts w:cs="Arial"/>
                <w:sz w:val="18"/>
                <w:szCs w:val="18"/>
              </w:rPr>
              <w:t>2019</w:t>
            </w:r>
          </w:p>
        </w:tc>
      </w:tr>
      <w:bookmarkEnd w:id="134"/>
      <w:tr w:rsidR="00AB6753" w14:paraId="6595C547" w14:textId="77777777" w:rsidTr="002D1EA4">
        <w:trPr>
          <w:trHeight w:val="240"/>
        </w:trPr>
        <w:tc>
          <w:tcPr>
            <w:tcW w:w="6396" w:type="dxa"/>
            <w:tcBorders>
              <w:top w:val="nil"/>
              <w:left w:val="nil"/>
              <w:bottom w:val="nil"/>
              <w:right w:val="nil"/>
            </w:tcBorders>
            <w:shd w:val="clear" w:color="FFFFFF" w:fill="FFFFFF"/>
            <w:noWrap/>
            <w:vAlign w:val="bottom"/>
            <w:hideMark/>
          </w:tcPr>
          <w:p w14:paraId="381EC3E8"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0F4E6C48" w14:textId="77777777" w:rsidR="00AB6753" w:rsidRDefault="00AB6753" w:rsidP="002D1EA4">
            <w:pPr>
              <w:spacing w:after="0"/>
              <w:jc w:val="right"/>
              <w:rPr>
                <w:rFonts w:cs="Arial"/>
                <w:b/>
                <w:bCs/>
                <w:sz w:val="18"/>
                <w:szCs w:val="18"/>
              </w:rPr>
            </w:pPr>
            <w:r>
              <w:rPr>
                <w:rFonts w:cs="Arial"/>
                <w:b/>
                <w:bCs/>
                <w:sz w:val="18"/>
                <w:szCs w:val="18"/>
              </w:rPr>
              <w:t>$'000</w:t>
            </w:r>
          </w:p>
        </w:tc>
        <w:tc>
          <w:tcPr>
            <w:tcW w:w="267" w:type="dxa"/>
            <w:tcBorders>
              <w:top w:val="nil"/>
              <w:left w:val="nil"/>
              <w:bottom w:val="nil"/>
              <w:right w:val="nil"/>
            </w:tcBorders>
            <w:shd w:val="clear" w:color="FFFFFF" w:fill="FFFFFF"/>
            <w:noWrap/>
            <w:vAlign w:val="bottom"/>
            <w:hideMark/>
          </w:tcPr>
          <w:p w14:paraId="4E9CC732"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6F92961D" w14:textId="77777777" w:rsidR="00AB6753" w:rsidRDefault="00AB6753" w:rsidP="002D1EA4">
            <w:pPr>
              <w:spacing w:after="0"/>
              <w:jc w:val="right"/>
              <w:rPr>
                <w:rFonts w:cs="Arial"/>
                <w:sz w:val="18"/>
                <w:szCs w:val="18"/>
              </w:rPr>
            </w:pPr>
            <w:r>
              <w:rPr>
                <w:rFonts w:cs="Arial"/>
                <w:sz w:val="18"/>
                <w:szCs w:val="18"/>
              </w:rPr>
              <w:t>$'000</w:t>
            </w:r>
          </w:p>
        </w:tc>
      </w:tr>
      <w:tr w:rsidR="00AB6753" w14:paraId="0C6B5785" w14:textId="77777777" w:rsidTr="002D1EA4">
        <w:trPr>
          <w:trHeight w:val="480"/>
        </w:trPr>
        <w:tc>
          <w:tcPr>
            <w:tcW w:w="6396" w:type="dxa"/>
            <w:tcBorders>
              <w:top w:val="nil"/>
              <w:left w:val="nil"/>
              <w:bottom w:val="nil"/>
              <w:right w:val="nil"/>
            </w:tcBorders>
            <w:shd w:val="clear" w:color="FFFFFF" w:fill="FFFFFF"/>
            <w:vAlign w:val="bottom"/>
            <w:hideMark/>
          </w:tcPr>
          <w:p w14:paraId="3DBE209E" w14:textId="77777777" w:rsidR="00AB6753" w:rsidRDefault="00AB6753" w:rsidP="002D1EA4">
            <w:pPr>
              <w:spacing w:after="0"/>
              <w:rPr>
                <w:rFonts w:cs="Arial"/>
                <w:b/>
                <w:bCs/>
                <w:sz w:val="18"/>
                <w:szCs w:val="18"/>
              </w:rPr>
            </w:pPr>
            <w:r>
              <w:rPr>
                <w:rFonts w:cs="Arial"/>
                <w:b/>
                <w:bCs/>
                <w:sz w:val="18"/>
                <w:szCs w:val="18"/>
              </w:rPr>
              <w:t>Contractual commitments for the acquisition of property, plant and equipment are payable as follows (GST inclusive):</w:t>
            </w:r>
          </w:p>
        </w:tc>
        <w:tc>
          <w:tcPr>
            <w:tcW w:w="1256" w:type="dxa"/>
            <w:tcBorders>
              <w:top w:val="nil"/>
              <w:left w:val="nil"/>
              <w:bottom w:val="nil"/>
              <w:right w:val="nil"/>
            </w:tcBorders>
            <w:shd w:val="clear" w:color="FFFFFF" w:fill="FFFFFF"/>
            <w:noWrap/>
            <w:vAlign w:val="bottom"/>
            <w:hideMark/>
          </w:tcPr>
          <w:p w14:paraId="41F60F7C" w14:textId="77777777" w:rsidR="00AB6753" w:rsidRDefault="00AB6753" w:rsidP="002D1EA4">
            <w:pPr>
              <w:spacing w:after="0"/>
              <w:jc w:val="right"/>
              <w:rPr>
                <w:rFonts w:cs="Arial"/>
                <w:b/>
                <w:bCs/>
                <w:sz w:val="18"/>
                <w:szCs w:val="18"/>
              </w:rPr>
            </w:pPr>
            <w:r>
              <w:rPr>
                <w:rFonts w:cs="Arial"/>
                <w:b/>
                <w:bCs/>
                <w:sz w:val="18"/>
                <w:szCs w:val="18"/>
              </w:rPr>
              <w:t> </w:t>
            </w:r>
          </w:p>
        </w:tc>
        <w:tc>
          <w:tcPr>
            <w:tcW w:w="267" w:type="dxa"/>
            <w:tcBorders>
              <w:top w:val="nil"/>
              <w:left w:val="nil"/>
              <w:bottom w:val="nil"/>
              <w:right w:val="nil"/>
            </w:tcBorders>
            <w:shd w:val="clear" w:color="FFFFFF" w:fill="FFFFFF"/>
            <w:noWrap/>
            <w:vAlign w:val="bottom"/>
            <w:hideMark/>
          </w:tcPr>
          <w:p w14:paraId="17BCE9D5" w14:textId="77777777" w:rsidR="00AB6753" w:rsidRDefault="00AB6753" w:rsidP="002D1EA4">
            <w:pPr>
              <w:spacing w:after="0"/>
              <w:rPr>
                <w:rFonts w:cs="Arial"/>
                <w:b/>
                <w:bCs/>
                <w:sz w:val="18"/>
                <w:szCs w:val="18"/>
              </w:rPr>
            </w:pPr>
            <w:r>
              <w:rPr>
                <w:rFonts w:cs="Arial"/>
                <w:b/>
                <w:bCs/>
                <w:sz w:val="18"/>
                <w:szCs w:val="18"/>
              </w:rPr>
              <w:t> </w:t>
            </w:r>
          </w:p>
        </w:tc>
        <w:tc>
          <w:tcPr>
            <w:tcW w:w="1256" w:type="dxa"/>
            <w:tcBorders>
              <w:top w:val="nil"/>
              <w:left w:val="nil"/>
              <w:bottom w:val="nil"/>
              <w:right w:val="nil"/>
            </w:tcBorders>
            <w:shd w:val="clear" w:color="FFFFFF" w:fill="FFFFFF"/>
            <w:noWrap/>
            <w:vAlign w:val="bottom"/>
            <w:hideMark/>
          </w:tcPr>
          <w:p w14:paraId="4563456E" w14:textId="77777777" w:rsidR="00AB6753" w:rsidRDefault="00AB6753" w:rsidP="002D1EA4">
            <w:pPr>
              <w:spacing w:after="0"/>
              <w:jc w:val="right"/>
              <w:rPr>
                <w:rFonts w:cs="Arial"/>
                <w:sz w:val="18"/>
                <w:szCs w:val="18"/>
              </w:rPr>
            </w:pPr>
            <w:r>
              <w:rPr>
                <w:rFonts w:cs="Arial"/>
                <w:sz w:val="18"/>
                <w:szCs w:val="18"/>
              </w:rPr>
              <w:t> </w:t>
            </w:r>
          </w:p>
        </w:tc>
      </w:tr>
      <w:tr w:rsidR="00AB6753" w14:paraId="77215BDF" w14:textId="77777777" w:rsidTr="002D1EA4">
        <w:trPr>
          <w:trHeight w:val="240"/>
        </w:trPr>
        <w:tc>
          <w:tcPr>
            <w:tcW w:w="6396" w:type="dxa"/>
            <w:tcBorders>
              <w:top w:val="nil"/>
              <w:left w:val="nil"/>
              <w:bottom w:val="nil"/>
              <w:right w:val="nil"/>
            </w:tcBorders>
            <w:shd w:val="clear" w:color="FFFFFF" w:fill="FFFFFF"/>
            <w:noWrap/>
            <w:vAlign w:val="bottom"/>
            <w:hideMark/>
          </w:tcPr>
          <w:p w14:paraId="0D093288" w14:textId="77777777" w:rsidR="00AB6753" w:rsidRDefault="00AB6753" w:rsidP="002D1EA4">
            <w:pPr>
              <w:spacing w:after="0"/>
              <w:ind w:firstLineChars="100" w:firstLine="180"/>
              <w:rPr>
                <w:rFonts w:cs="Arial"/>
                <w:sz w:val="18"/>
                <w:szCs w:val="18"/>
              </w:rPr>
            </w:pPr>
            <w:r>
              <w:rPr>
                <w:rFonts w:cs="Arial"/>
                <w:sz w:val="18"/>
                <w:szCs w:val="18"/>
              </w:rPr>
              <w:t>Within one year</w:t>
            </w:r>
          </w:p>
        </w:tc>
        <w:tc>
          <w:tcPr>
            <w:tcW w:w="1256" w:type="dxa"/>
            <w:tcBorders>
              <w:top w:val="nil"/>
              <w:left w:val="nil"/>
              <w:bottom w:val="nil"/>
              <w:right w:val="nil"/>
            </w:tcBorders>
            <w:shd w:val="clear" w:color="FFFFFF" w:fill="FFFFFF"/>
            <w:noWrap/>
            <w:vAlign w:val="bottom"/>
            <w:hideMark/>
          </w:tcPr>
          <w:p w14:paraId="34E43B23" w14:textId="77777777" w:rsidR="00AB6753" w:rsidRDefault="00AB6753" w:rsidP="002D1EA4">
            <w:pPr>
              <w:spacing w:after="0"/>
              <w:jc w:val="right"/>
              <w:rPr>
                <w:rFonts w:cs="Arial"/>
                <w:b/>
                <w:bCs/>
                <w:sz w:val="18"/>
                <w:szCs w:val="18"/>
              </w:rPr>
            </w:pPr>
            <w:r>
              <w:rPr>
                <w:rFonts w:cs="Arial"/>
                <w:b/>
                <w:bCs/>
                <w:sz w:val="18"/>
                <w:szCs w:val="18"/>
              </w:rPr>
              <w:t>69</w:t>
            </w:r>
          </w:p>
        </w:tc>
        <w:tc>
          <w:tcPr>
            <w:tcW w:w="267" w:type="dxa"/>
            <w:tcBorders>
              <w:top w:val="nil"/>
              <w:left w:val="nil"/>
              <w:bottom w:val="nil"/>
              <w:right w:val="nil"/>
            </w:tcBorders>
            <w:shd w:val="clear" w:color="FFFFFF" w:fill="FFFFFF"/>
            <w:noWrap/>
            <w:vAlign w:val="bottom"/>
            <w:hideMark/>
          </w:tcPr>
          <w:p w14:paraId="32BD7C3E" w14:textId="77777777" w:rsidR="00AB6753" w:rsidRDefault="00AB6753" w:rsidP="002D1EA4">
            <w:pPr>
              <w:spacing w:after="0"/>
              <w:rPr>
                <w:rFonts w:cs="Arial"/>
                <w:b/>
                <w:bCs/>
                <w:sz w:val="18"/>
                <w:szCs w:val="18"/>
              </w:rPr>
            </w:pPr>
            <w:r>
              <w:rPr>
                <w:rFonts w:cs="Arial"/>
                <w:b/>
                <w:bCs/>
                <w:sz w:val="18"/>
                <w:szCs w:val="18"/>
              </w:rPr>
              <w:t> </w:t>
            </w:r>
          </w:p>
        </w:tc>
        <w:tc>
          <w:tcPr>
            <w:tcW w:w="1256" w:type="dxa"/>
            <w:tcBorders>
              <w:top w:val="nil"/>
              <w:left w:val="nil"/>
              <w:bottom w:val="nil"/>
              <w:right w:val="nil"/>
            </w:tcBorders>
            <w:shd w:val="clear" w:color="FFFFFF" w:fill="FFFFFF"/>
            <w:noWrap/>
            <w:vAlign w:val="bottom"/>
            <w:hideMark/>
          </w:tcPr>
          <w:p w14:paraId="2A5417CA" w14:textId="77777777" w:rsidR="00AB6753" w:rsidRDefault="00AB6753" w:rsidP="002D1EA4">
            <w:pPr>
              <w:spacing w:after="0"/>
              <w:jc w:val="right"/>
              <w:rPr>
                <w:rFonts w:cs="Arial"/>
                <w:sz w:val="18"/>
                <w:szCs w:val="18"/>
              </w:rPr>
            </w:pPr>
            <w:r>
              <w:rPr>
                <w:rFonts w:cs="Arial"/>
                <w:sz w:val="18"/>
                <w:szCs w:val="18"/>
              </w:rPr>
              <w:t>55</w:t>
            </w:r>
          </w:p>
        </w:tc>
      </w:tr>
      <w:tr w:rsidR="00AB6753" w14:paraId="425E6EDF" w14:textId="77777777" w:rsidTr="002D1EA4">
        <w:trPr>
          <w:trHeight w:val="240"/>
        </w:trPr>
        <w:tc>
          <w:tcPr>
            <w:tcW w:w="6396" w:type="dxa"/>
            <w:tcBorders>
              <w:top w:val="nil"/>
              <w:left w:val="nil"/>
              <w:bottom w:val="nil"/>
              <w:right w:val="nil"/>
            </w:tcBorders>
            <w:shd w:val="clear" w:color="FFFFFF" w:fill="FFFFFF"/>
            <w:vAlign w:val="bottom"/>
            <w:hideMark/>
          </w:tcPr>
          <w:p w14:paraId="55CE82C1" w14:textId="77777777" w:rsidR="00AB6753" w:rsidRDefault="00AB6753" w:rsidP="002D1EA4">
            <w:pPr>
              <w:spacing w:after="0"/>
              <w:rPr>
                <w:rFonts w:cs="Arial"/>
                <w:b/>
                <w:bCs/>
                <w:sz w:val="18"/>
                <w:szCs w:val="18"/>
              </w:rPr>
            </w:pPr>
            <w:r>
              <w:rPr>
                <w:rFonts w:cs="Arial"/>
                <w:b/>
                <w:bCs/>
                <w:sz w:val="18"/>
                <w:szCs w:val="18"/>
              </w:rPr>
              <w:t>Total property, plant and equipment commitments</w:t>
            </w:r>
          </w:p>
        </w:tc>
        <w:tc>
          <w:tcPr>
            <w:tcW w:w="1256" w:type="dxa"/>
            <w:tcBorders>
              <w:top w:val="single" w:sz="4" w:space="0" w:color="auto"/>
              <w:left w:val="nil"/>
              <w:bottom w:val="single" w:sz="4" w:space="0" w:color="auto"/>
              <w:right w:val="nil"/>
            </w:tcBorders>
            <w:shd w:val="clear" w:color="FFFFFF" w:fill="FFFFFF"/>
            <w:noWrap/>
            <w:vAlign w:val="bottom"/>
            <w:hideMark/>
          </w:tcPr>
          <w:p w14:paraId="6E7B12FB" w14:textId="77777777" w:rsidR="00AB6753" w:rsidRDefault="00AB6753" w:rsidP="002D1EA4">
            <w:pPr>
              <w:spacing w:after="0"/>
              <w:jc w:val="right"/>
              <w:rPr>
                <w:rFonts w:cs="Arial"/>
                <w:b/>
                <w:bCs/>
                <w:sz w:val="18"/>
                <w:szCs w:val="18"/>
              </w:rPr>
            </w:pPr>
            <w:r>
              <w:rPr>
                <w:rFonts w:cs="Arial"/>
                <w:b/>
                <w:bCs/>
                <w:sz w:val="18"/>
                <w:szCs w:val="18"/>
              </w:rPr>
              <w:t>69</w:t>
            </w:r>
          </w:p>
        </w:tc>
        <w:tc>
          <w:tcPr>
            <w:tcW w:w="267" w:type="dxa"/>
            <w:tcBorders>
              <w:top w:val="nil"/>
              <w:left w:val="nil"/>
              <w:bottom w:val="nil"/>
              <w:right w:val="nil"/>
            </w:tcBorders>
            <w:shd w:val="clear" w:color="FFFFFF" w:fill="FFFFFF"/>
            <w:noWrap/>
            <w:vAlign w:val="bottom"/>
            <w:hideMark/>
          </w:tcPr>
          <w:p w14:paraId="02942478" w14:textId="77777777" w:rsidR="00AB6753" w:rsidRDefault="00AB6753" w:rsidP="002D1EA4">
            <w:pPr>
              <w:spacing w:after="0"/>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0847B7AF" w14:textId="77777777" w:rsidR="00AB6753" w:rsidRDefault="00AB6753" w:rsidP="002D1EA4">
            <w:pPr>
              <w:spacing w:after="0"/>
              <w:jc w:val="right"/>
              <w:rPr>
                <w:rFonts w:cs="Arial"/>
                <w:sz w:val="18"/>
                <w:szCs w:val="18"/>
              </w:rPr>
            </w:pPr>
            <w:r>
              <w:rPr>
                <w:rFonts w:cs="Arial"/>
                <w:sz w:val="18"/>
                <w:szCs w:val="18"/>
              </w:rPr>
              <w:t>55</w:t>
            </w:r>
          </w:p>
        </w:tc>
      </w:tr>
    </w:tbl>
    <w:p w14:paraId="3BD0379F" w14:textId="25F7BA55" w:rsidR="00AB6753" w:rsidRPr="00D542BD" w:rsidRDefault="00AB6753" w:rsidP="00AB6753">
      <w:pPr>
        <w:pStyle w:val="ContinuedSubHeading"/>
      </w:pPr>
      <w:r w:rsidRPr="00D542BD">
        <w:lastRenderedPageBreak/>
        <w:fldChar w:fldCharType="begin"/>
      </w:r>
      <w:r w:rsidRPr="00D542BD">
        <w:instrText xml:space="preserve"> REF _Ref456958656 \r \h  \* MERGEFORMAT </w:instrText>
      </w:r>
      <w:r w:rsidRPr="00D542BD">
        <w:fldChar w:fldCharType="separate"/>
      </w:r>
      <w:r w:rsidR="00532B37">
        <w:t>3.2</w:t>
      </w:r>
      <w:r w:rsidRPr="00D542BD">
        <w:fldChar w:fldCharType="end"/>
      </w:r>
      <w:r w:rsidRPr="00D542BD">
        <w:t xml:space="preserve"> Non-Financial Assets (continued)</w:t>
      </w:r>
    </w:p>
    <w:p w14:paraId="3DF2986B" w14:textId="77777777" w:rsidR="00AB6753" w:rsidRDefault="00AB6753" w:rsidP="00AB6753">
      <w:pPr>
        <w:pStyle w:val="NotesTextnolinespace"/>
      </w:pPr>
    </w:p>
    <w:tbl>
      <w:tblPr>
        <w:tblStyle w:val="TableGrid"/>
        <w:tblW w:w="0" w:type="auto"/>
        <w:tblInd w:w="85" w:type="dxa"/>
        <w:tblBorders>
          <w:top w:val="single" w:sz="4" w:space="0" w:color="00B2BA"/>
          <w:left w:val="single" w:sz="4" w:space="0" w:color="00B2BA"/>
          <w:bottom w:val="single" w:sz="4" w:space="0" w:color="00B2BA"/>
          <w:right w:val="single" w:sz="4" w:space="0" w:color="00B2BA"/>
          <w:insideH w:val="single" w:sz="4" w:space="0" w:color="00B2BA"/>
          <w:insideV w:val="single" w:sz="4" w:space="0" w:color="00B2BA"/>
        </w:tblBorders>
        <w:tblLook w:val="04A0" w:firstRow="1" w:lastRow="0" w:firstColumn="1" w:lastColumn="0" w:noHBand="0" w:noVBand="1"/>
        <w:tblDescription w:val="Accounting Policy"/>
      </w:tblPr>
      <w:tblGrid>
        <w:gridCol w:w="9373"/>
      </w:tblGrid>
      <w:tr w:rsidR="00AB6753" w14:paraId="4948674E" w14:textId="77777777" w:rsidTr="002D1EA4">
        <w:trPr>
          <w:cantSplit/>
        </w:trPr>
        <w:tc>
          <w:tcPr>
            <w:tcW w:w="9373" w:type="dxa"/>
          </w:tcPr>
          <w:p w14:paraId="1ECE098E" w14:textId="77777777" w:rsidR="00AB6753" w:rsidRPr="00873C5D" w:rsidRDefault="00AB6753" w:rsidP="002D1EA4">
            <w:pPr>
              <w:pStyle w:val="PolicyheadingDept"/>
              <w:pBdr>
                <w:top w:val="none" w:sz="0" w:space="0" w:color="auto"/>
                <w:left w:val="none" w:sz="0" w:space="0" w:color="auto"/>
                <w:bottom w:val="none" w:sz="0" w:space="0" w:color="auto"/>
                <w:right w:val="none" w:sz="0" w:space="0" w:color="auto"/>
              </w:pBdr>
              <w:ind w:left="-90"/>
            </w:pPr>
            <w:r w:rsidRPr="00873C5D">
              <w:t>Accounting Policy</w:t>
            </w:r>
          </w:p>
          <w:p w14:paraId="61514767" w14:textId="77777777" w:rsidR="00AB6753" w:rsidRPr="00873C5D" w:rsidRDefault="00AB6753" w:rsidP="002D1EA4">
            <w:pPr>
              <w:pStyle w:val="Policytextdeptunderline"/>
              <w:pBdr>
                <w:top w:val="none" w:sz="0" w:space="0" w:color="auto"/>
                <w:left w:val="none" w:sz="0" w:space="0" w:color="auto"/>
                <w:bottom w:val="none" w:sz="0" w:space="0" w:color="auto"/>
                <w:right w:val="none" w:sz="0" w:space="0" w:color="auto"/>
              </w:pBdr>
              <w:ind w:left="-90"/>
            </w:pPr>
            <w:r w:rsidRPr="00873C5D">
              <w:t>Acquisition of Assets</w:t>
            </w:r>
          </w:p>
          <w:p w14:paraId="062D2AD0" w14:textId="77777777" w:rsidR="00AB6753" w:rsidRPr="00873C5D" w:rsidRDefault="00AB6753" w:rsidP="002D1EA4">
            <w:pPr>
              <w:pStyle w:val="PolicytextDept"/>
              <w:pBdr>
                <w:top w:val="none" w:sz="0" w:space="0" w:color="auto"/>
                <w:left w:val="none" w:sz="0" w:space="0" w:color="auto"/>
                <w:bottom w:val="none" w:sz="0" w:space="0" w:color="auto"/>
                <w:right w:val="none" w:sz="0" w:space="0" w:color="auto"/>
              </w:pBdr>
              <w:ind w:left="-90"/>
            </w:pPr>
            <w:r w:rsidRPr="00873C5D">
              <w:t xml:space="preserve">Assets are recorded at cost on acquisition except as </w:t>
            </w:r>
            <w:r>
              <w:t xml:space="preserve">otherwise </w:t>
            </w:r>
            <w:r w:rsidRPr="00873C5D">
              <w:t>stated below. The cost of acquisition includes the fair value of assets transferred in exchange and liabilities undertaken. Financial assets are initially measured at their fair value plus transaction costs where appropriate.</w:t>
            </w:r>
          </w:p>
          <w:p w14:paraId="0DD032BA" w14:textId="77777777" w:rsidR="00AB6753" w:rsidRPr="00873C5D" w:rsidRDefault="00AB6753" w:rsidP="002D1EA4">
            <w:pPr>
              <w:pStyle w:val="PolicytextDept"/>
              <w:pBdr>
                <w:top w:val="none" w:sz="0" w:space="0" w:color="auto"/>
                <w:left w:val="none" w:sz="0" w:space="0" w:color="auto"/>
                <w:bottom w:val="none" w:sz="0" w:space="0" w:color="auto"/>
                <w:right w:val="none" w:sz="0" w:space="0" w:color="auto"/>
              </w:pBdr>
              <w:ind w:left="-90"/>
            </w:pPr>
            <w:r w:rsidRPr="00873C5D">
              <w:t>Assets acquired at no cost, or for nominal consideration, are initially recognised as assets and income at their fair value at the date of acquisition, unless acquired as a consequence of restructuring of administrative arrangements. In the latter case, assets are initially recognised as contri</w:t>
            </w:r>
            <w:r>
              <w:t>butions by owners at the amount</w:t>
            </w:r>
            <w:r w:rsidRPr="00873C5D">
              <w:t xml:space="preserve"> at which </w:t>
            </w:r>
            <w:r>
              <w:t>these items</w:t>
            </w:r>
            <w:r w:rsidRPr="00873C5D">
              <w:t xml:space="preserve"> were recognised in the transferor’s accounts immediately prior to the restructuring.</w:t>
            </w:r>
          </w:p>
          <w:p w14:paraId="0736AFCA" w14:textId="77777777" w:rsidR="00AB6753" w:rsidRPr="00873C5D" w:rsidRDefault="00AB6753" w:rsidP="002D1EA4">
            <w:pPr>
              <w:pStyle w:val="Policytextdeptunderline"/>
              <w:pBdr>
                <w:top w:val="none" w:sz="0" w:space="0" w:color="auto"/>
                <w:left w:val="none" w:sz="0" w:space="0" w:color="auto"/>
                <w:bottom w:val="none" w:sz="0" w:space="0" w:color="auto"/>
                <w:right w:val="none" w:sz="0" w:space="0" w:color="auto"/>
              </w:pBdr>
              <w:ind w:left="-90"/>
            </w:pPr>
            <w:r w:rsidRPr="00873C5D">
              <w:t>Asset Recognition Threshold</w:t>
            </w:r>
          </w:p>
          <w:p w14:paraId="58027DEC" w14:textId="77777777" w:rsidR="00AB6753" w:rsidRPr="00873C5D" w:rsidRDefault="00AB6753" w:rsidP="002D1EA4">
            <w:pPr>
              <w:pStyle w:val="PolicytextDept"/>
              <w:pBdr>
                <w:top w:val="none" w:sz="0" w:space="0" w:color="auto"/>
                <w:left w:val="none" w:sz="0" w:space="0" w:color="auto"/>
                <w:bottom w:val="none" w:sz="0" w:space="0" w:color="auto"/>
                <w:right w:val="none" w:sz="0" w:space="0" w:color="auto"/>
              </w:pBdr>
              <w:ind w:left="-90"/>
            </w:pPr>
            <w:r w:rsidRPr="00873C5D">
              <w:t xml:space="preserve">Purchases of property, plant and equipment are recognised initially at cost in the </w:t>
            </w:r>
            <w:r>
              <w:t>s</w:t>
            </w:r>
            <w:r w:rsidRPr="00873C5D">
              <w:t xml:space="preserve">tatement of </w:t>
            </w:r>
            <w:r>
              <w:t>f</w:t>
            </w:r>
            <w:r w:rsidRPr="00873C5D">
              <w:t xml:space="preserve">inancial </w:t>
            </w:r>
            <w:r>
              <w:t>p</w:t>
            </w:r>
            <w:r w:rsidRPr="00873C5D">
              <w:t>osition, except for purchases of less than $2,000, which are expensed in the financial year of acquisition (other than where these assets form part of a group of similar items which are significant in total).</w:t>
            </w:r>
          </w:p>
          <w:p w14:paraId="72A5A0A5" w14:textId="77777777" w:rsidR="00AB6753" w:rsidRPr="00873C5D" w:rsidRDefault="00AB6753" w:rsidP="002D1EA4">
            <w:pPr>
              <w:pStyle w:val="PolicytextDept"/>
              <w:pBdr>
                <w:top w:val="none" w:sz="0" w:space="0" w:color="auto"/>
                <w:left w:val="none" w:sz="0" w:space="0" w:color="auto"/>
                <w:bottom w:val="none" w:sz="0" w:space="0" w:color="auto"/>
                <w:right w:val="none" w:sz="0" w:space="0" w:color="auto"/>
              </w:pBdr>
              <w:ind w:left="-90"/>
            </w:pPr>
            <w:r w:rsidRPr="00873C5D">
              <w:t xml:space="preserve">The initial cost of an asset includes an estimate of the cost of dismantling and removing the item and restoring the site on which it is located. This is particularly relevant to </w:t>
            </w:r>
            <w:proofErr w:type="spellStart"/>
            <w:r w:rsidRPr="00873C5D">
              <w:t>makegood</w:t>
            </w:r>
            <w:proofErr w:type="spellEnd"/>
            <w:r w:rsidRPr="00873C5D">
              <w:t xml:space="preserve"> provisions in </w:t>
            </w:r>
            <w:r>
              <w:t>office</w:t>
            </w:r>
            <w:r w:rsidRPr="00873C5D">
              <w:t xml:space="preserve"> accommodation leases reported by </w:t>
            </w:r>
            <w:fldSimple w:instr=" DOCPROPERTY  ShortName  \* MERGEFORMAT ">
              <w:r>
                <w:t>the department</w:t>
              </w:r>
            </w:fldSimple>
            <w:r w:rsidRPr="00873C5D">
              <w:t xml:space="preserve"> where an obligation to restore the property to its original</w:t>
            </w:r>
            <w:r>
              <w:t xml:space="preserve"> or an agreed</w:t>
            </w:r>
            <w:r w:rsidRPr="00873C5D">
              <w:t xml:space="preserve"> condition</w:t>
            </w:r>
            <w:r>
              <w:t xml:space="preserve"> exists</w:t>
            </w:r>
            <w:r w:rsidRPr="00873C5D">
              <w:t xml:space="preserve">. These costs are included in the value of </w:t>
            </w:r>
            <w:fldSimple w:instr=" DOCPROPERTY  ShortName  \* MERGEFORMAT ">
              <w:r>
                <w:t>the department</w:t>
              </w:r>
            </w:fldSimple>
            <w:r>
              <w:t>’s</w:t>
            </w:r>
            <w:r w:rsidRPr="00873C5D">
              <w:t xml:space="preserve"> leasehold improvements with a corresponding provision for the </w:t>
            </w:r>
            <w:proofErr w:type="spellStart"/>
            <w:r w:rsidRPr="00873C5D">
              <w:t>makegood</w:t>
            </w:r>
            <w:proofErr w:type="spellEnd"/>
            <w:r w:rsidRPr="00873C5D">
              <w:t xml:space="preserve"> recognised.</w:t>
            </w:r>
            <w:r>
              <w:t xml:space="preserve"> Leasehold improvement assets have a recognition threshold of $10,000.</w:t>
            </w:r>
          </w:p>
          <w:p w14:paraId="5710D8F2" w14:textId="77777777" w:rsidR="00AB6753" w:rsidRPr="00BC20DD" w:rsidRDefault="00AB6753" w:rsidP="002D1EA4">
            <w:pPr>
              <w:pStyle w:val="PolicytextDept"/>
              <w:pBdr>
                <w:top w:val="none" w:sz="0" w:space="0" w:color="auto"/>
                <w:left w:val="none" w:sz="0" w:space="0" w:color="auto"/>
                <w:bottom w:val="none" w:sz="0" w:space="0" w:color="auto"/>
                <w:right w:val="none" w:sz="0" w:space="0" w:color="auto"/>
              </w:pBdr>
              <w:ind w:left="-90"/>
            </w:pPr>
            <w:r>
              <w:t>The department’s</w:t>
            </w:r>
            <w:r w:rsidRPr="00873C5D">
              <w:t xml:space="preserve"> intangibles comprise purchased and</w:t>
            </w:r>
            <w:r>
              <w:t xml:space="preserve"> </w:t>
            </w:r>
            <w:r w:rsidRPr="00873C5D">
              <w:t xml:space="preserve">internally developed software for internal use. Intangibles are capitalised when their gross values are greater than $50,000 for externally acquired software and $200,000 for internally developed software. These assets are carried at cost less accumulated amortisation and </w:t>
            </w:r>
            <w:r w:rsidRPr="00BC20DD">
              <w:t>accumulated impairment losses.</w:t>
            </w:r>
          </w:p>
          <w:p w14:paraId="3C5F9142" w14:textId="77777777" w:rsidR="00AB6753" w:rsidRPr="00BC20DD" w:rsidRDefault="00AB6753" w:rsidP="002D1EA4">
            <w:pPr>
              <w:pStyle w:val="PolicytextDept"/>
              <w:pBdr>
                <w:top w:val="none" w:sz="0" w:space="0" w:color="auto"/>
                <w:left w:val="none" w:sz="0" w:space="0" w:color="auto"/>
                <w:bottom w:val="none" w:sz="0" w:space="0" w:color="auto"/>
                <w:right w:val="none" w:sz="0" w:space="0" w:color="auto"/>
              </w:pBdr>
              <w:ind w:left="-90"/>
              <w:rPr>
                <w:i/>
                <w:u w:val="single"/>
              </w:rPr>
            </w:pPr>
            <w:r w:rsidRPr="00BC20DD">
              <w:rPr>
                <w:i/>
                <w:u w:val="single"/>
              </w:rPr>
              <w:t>Lease Right of Use (ROU) Assets</w:t>
            </w:r>
          </w:p>
          <w:p w14:paraId="3954668C" w14:textId="77777777" w:rsidR="00AB6753" w:rsidRPr="00BC20DD" w:rsidRDefault="00AB6753" w:rsidP="002D1EA4">
            <w:pPr>
              <w:pStyle w:val="PolicytextDept"/>
              <w:pBdr>
                <w:top w:val="none" w:sz="0" w:space="0" w:color="auto"/>
                <w:left w:val="none" w:sz="0" w:space="0" w:color="auto"/>
                <w:bottom w:val="none" w:sz="0" w:space="0" w:color="auto"/>
                <w:right w:val="none" w:sz="0" w:space="0" w:color="auto"/>
              </w:pBdr>
              <w:ind w:left="-90"/>
            </w:pPr>
            <w:r w:rsidRPr="00BC20DD">
              <w:t xml:space="preserve">Lease ROU assets are capitalised at the commencement date of the lease and comprise of the initial lease liability amount, initial direct costs incurred when entering into the lease less any lease incentives received. </w:t>
            </w:r>
            <w:r w:rsidRPr="003D70D3">
              <w:t xml:space="preserve">These assets are accounted for as separate asset classes </w:t>
            </w:r>
            <w:r>
              <w:t>in the department’s financial information management system. However, the lease ROU assets are</w:t>
            </w:r>
            <w:r w:rsidRPr="003D70D3">
              <w:t xml:space="preserve"> included in the same </w:t>
            </w:r>
            <w:r>
              <w:t xml:space="preserve">non-financial asset category </w:t>
            </w:r>
            <w:r w:rsidRPr="003D70D3">
              <w:t>where the corresponding underlying assets would be presented if they were owned.</w:t>
            </w:r>
          </w:p>
          <w:p w14:paraId="75EECCF7" w14:textId="77777777" w:rsidR="00AB6753" w:rsidRPr="00BC20DD" w:rsidRDefault="00AB6753" w:rsidP="002D1EA4">
            <w:pPr>
              <w:pStyle w:val="PolicytextDept"/>
              <w:pBdr>
                <w:top w:val="none" w:sz="0" w:space="0" w:color="auto"/>
                <w:left w:val="none" w:sz="0" w:space="0" w:color="auto"/>
                <w:bottom w:val="none" w:sz="0" w:space="0" w:color="auto"/>
                <w:right w:val="none" w:sz="0" w:space="0" w:color="auto"/>
              </w:pBdr>
              <w:ind w:left="-90"/>
            </w:pPr>
            <w:r>
              <w:t xml:space="preserve">On initial adoption of AASB 16, </w:t>
            </w:r>
            <w:r w:rsidRPr="00BC20DD">
              <w:t xml:space="preserve">the </w:t>
            </w:r>
            <w:r>
              <w:t xml:space="preserve">department </w:t>
            </w:r>
            <w:r w:rsidRPr="00BC20DD">
              <w:t>has adjusted the ROU assets at the date of initial application by the amount of any provision for onerous leases recognised immediately before the date of initial application. Following initial application, an impairment review is undertaken for any right of use lease asset that shows indicators of impairment and an impairment loss is recognised against any right of use lease asset that is impaired. Lease ROU assets continue to be measured at cost after initial recognition</w:t>
            </w:r>
            <w:r>
              <w:t>.</w:t>
            </w:r>
          </w:p>
          <w:p w14:paraId="653A2434" w14:textId="77777777" w:rsidR="00AB6753" w:rsidRPr="00BC20DD" w:rsidRDefault="00AB6753" w:rsidP="002D1EA4">
            <w:pPr>
              <w:pStyle w:val="Policytextdeptunderline"/>
              <w:pBdr>
                <w:top w:val="none" w:sz="0" w:space="0" w:color="auto"/>
                <w:left w:val="none" w:sz="0" w:space="0" w:color="auto"/>
                <w:bottom w:val="none" w:sz="0" w:space="0" w:color="auto"/>
                <w:right w:val="none" w:sz="0" w:space="0" w:color="auto"/>
              </w:pBdr>
              <w:ind w:left="-90"/>
            </w:pPr>
            <w:r w:rsidRPr="00BC20DD">
              <w:t>Revaluations</w:t>
            </w:r>
          </w:p>
          <w:p w14:paraId="028BBE21" w14:textId="77777777" w:rsidR="00AB6753" w:rsidRDefault="00AB6753" w:rsidP="002D1EA4">
            <w:pPr>
              <w:pStyle w:val="PolicytextDept"/>
              <w:pBdr>
                <w:top w:val="none" w:sz="0" w:space="0" w:color="auto"/>
                <w:left w:val="none" w:sz="0" w:space="0" w:color="auto"/>
                <w:bottom w:val="none" w:sz="0" w:space="0" w:color="auto"/>
                <w:right w:val="none" w:sz="0" w:space="0" w:color="auto"/>
              </w:pBdr>
              <w:ind w:left="-90"/>
            </w:pPr>
            <w:r w:rsidRPr="002F16CD">
              <w:t>The department did not measure any non</w:t>
            </w:r>
            <w:r>
              <w:t>-</w:t>
            </w:r>
            <w:r w:rsidRPr="002F16CD">
              <w:t xml:space="preserve">financial assets at fair value on a non-recurring basis as at </w:t>
            </w:r>
            <w:r>
              <w:br/>
            </w:r>
            <w:r w:rsidRPr="002F16CD">
              <w:t>30 June 20</w:t>
            </w:r>
            <w:r>
              <w:t>20</w:t>
            </w:r>
            <w:r w:rsidRPr="002F16CD">
              <w:t>.</w:t>
            </w:r>
          </w:p>
          <w:p w14:paraId="4609A64B" w14:textId="77777777" w:rsidR="00AB6753" w:rsidRPr="00873C5D" w:rsidRDefault="00AB6753" w:rsidP="002D1EA4">
            <w:pPr>
              <w:pStyle w:val="PolicytextDept"/>
              <w:pBdr>
                <w:top w:val="none" w:sz="0" w:space="0" w:color="auto"/>
                <w:left w:val="none" w:sz="0" w:space="0" w:color="auto"/>
                <w:bottom w:val="none" w:sz="0" w:space="0" w:color="auto"/>
                <w:right w:val="none" w:sz="0" w:space="0" w:color="auto"/>
              </w:pBdr>
              <w:ind w:left="-90"/>
            </w:pPr>
            <w:r w:rsidRPr="00BC20DD">
              <w:t>Following initial recognition at cost, property, plant and equipment (excluding ROU assets) are carried at fair value (or an amount not materially different from fair value) less</w:t>
            </w:r>
            <w:r w:rsidRPr="00873C5D">
              <w:t xml:space="preserve"> subsequent accumulated depreciation and accumulated impairment losses. Valuations are conducted with suff</w:t>
            </w:r>
            <w:r>
              <w:t xml:space="preserve">icient frequency to ensure </w:t>
            </w:r>
            <w:r w:rsidRPr="00873C5D">
              <w:t>the carrying amounts of assets do not differ materially from the assets’ fair values as at the reporting date. The regularity of independent valuations depends upon the volatility of movements in market values for the relevant assets.</w:t>
            </w:r>
          </w:p>
          <w:p w14:paraId="7B3D6ED3" w14:textId="77777777" w:rsidR="00AB6753" w:rsidRPr="00873C5D" w:rsidRDefault="00AB6753" w:rsidP="002D1EA4">
            <w:pPr>
              <w:pStyle w:val="PolicytextDept"/>
              <w:pBdr>
                <w:top w:val="none" w:sz="0" w:space="0" w:color="auto"/>
                <w:left w:val="none" w:sz="0" w:space="0" w:color="auto"/>
                <w:bottom w:val="none" w:sz="0" w:space="0" w:color="auto"/>
                <w:right w:val="none" w:sz="0" w:space="0" w:color="auto"/>
              </w:pBdr>
              <w:ind w:left="-90"/>
            </w:pPr>
            <w:r w:rsidRPr="00873C5D">
              <w:t xml:space="preserve">Revaluation adjustments are made on a class </w:t>
            </w:r>
            <w:r>
              <w:t xml:space="preserve">by class </w:t>
            </w:r>
            <w:r w:rsidRPr="00873C5D">
              <w:t xml:space="preserve">basis. Any revaluation increment is credited to </w:t>
            </w:r>
            <w:r>
              <w:t>e</w:t>
            </w:r>
            <w:r w:rsidRPr="00873C5D">
              <w:t xml:space="preserve">quity </w:t>
            </w:r>
            <w:r>
              <w:t xml:space="preserve">in the </w:t>
            </w:r>
            <w:r w:rsidRPr="00873C5D">
              <w:t>asset revaluation reserve except to the extent it reverse</w:t>
            </w:r>
            <w:r>
              <w:t>d</w:t>
            </w:r>
            <w:r w:rsidRPr="00873C5D">
              <w:t xml:space="preserve"> a previous revaluation decrement of the same asset class previously recognised in the surplus/deficit. Revaluation decrements for a class of assets are recognised directly in the surplus/deficit except to the extent </w:t>
            </w:r>
            <w:r>
              <w:t xml:space="preserve">these amounts </w:t>
            </w:r>
            <w:r w:rsidRPr="00873C5D">
              <w:t>reverse a previo</w:t>
            </w:r>
            <w:r>
              <w:t>us revaluation increment for the</w:t>
            </w:r>
            <w:r w:rsidRPr="00873C5D">
              <w:t xml:space="preserve"> class.</w:t>
            </w:r>
          </w:p>
          <w:p w14:paraId="7ED194DA" w14:textId="77777777" w:rsidR="00AB6753" w:rsidRPr="000F0DC8" w:rsidRDefault="00AB6753" w:rsidP="002D1EA4">
            <w:pPr>
              <w:pStyle w:val="PolicytextDept"/>
              <w:pBdr>
                <w:top w:val="none" w:sz="0" w:space="0" w:color="auto"/>
                <w:left w:val="none" w:sz="0" w:space="0" w:color="auto"/>
                <w:bottom w:val="none" w:sz="0" w:space="0" w:color="auto"/>
                <w:right w:val="none" w:sz="0" w:space="0" w:color="auto"/>
              </w:pBdr>
              <w:ind w:left="-90"/>
            </w:pPr>
            <w:r w:rsidRPr="00873C5D">
              <w:t xml:space="preserve">Any accumulated depreciation as at the revaluation date is eliminated against the gross carrying amount of the asset and the asset </w:t>
            </w:r>
            <w:r>
              <w:t xml:space="preserve">is </w:t>
            </w:r>
            <w:r w:rsidRPr="00873C5D">
              <w:t>restated to the revalued amount.</w:t>
            </w:r>
          </w:p>
        </w:tc>
      </w:tr>
    </w:tbl>
    <w:p w14:paraId="79AFFBC4" w14:textId="77777777" w:rsidR="00AB6753" w:rsidRDefault="00AB6753" w:rsidP="00AB6753">
      <w:pPr>
        <w:pStyle w:val="PolicytextDept"/>
        <w:pBdr>
          <w:top w:val="none" w:sz="0" w:space="0" w:color="auto"/>
          <w:left w:val="none" w:sz="0" w:space="0" w:color="auto"/>
          <w:bottom w:val="none" w:sz="0" w:space="0" w:color="auto"/>
          <w:right w:val="none" w:sz="0" w:space="0" w:color="auto"/>
        </w:pBdr>
      </w:pPr>
    </w:p>
    <w:p w14:paraId="6F5A85A3" w14:textId="77777777" w:rsidR="00AB6753" w:rsidRDefault="00AB6753" w:rsidP="00AB6753">
      <w:pPr>
        <w:spacing w:line="240" w:lineRule="auto"/>
        <w:rPr>
          <w:rFonts w:cs="Arial"/>
          <w:b/>
          <w:sz w:val="20"/>
        </w:rPr>
      </w:pPr>
      <w:r>
        <w:br w:type="page"/>
      </w:r>
    </w:p>
    <w:p w14:paraId="7EC5ACBB" w14:textId="36719036" w:rsidR="00AB6753" w:rsidRDefault="00AB6753" w:rsidP="00AB6753">
      <w:pPr>
        <w:pStyle w:val="ContinuedSubHeading"/>
      </w:pPr>
      <w:r>
        <w:lastRenderedPageBreak/>
        <w:fldChar w:fldCharType="begin"/>
      </w:r>
      <w:r>
        <w:instrText xml:space="preserve"> REF _Ref456958656 \r \h </w:instrText>
      </w:r>
      <w:r>
        <w:fldChar w:fldCharType="separate"/>
      </w:r>
      <w:r w:rsidR="00532B37">
        <w:t>3.2</w:t>
      </w:r>
      <w:r>
        <w:fldChar w:fldCharType="end"/>
      </w:r>
      <w:r>
        <w:t xml:space="preserve"> Non-</w:t>
      </w:r>
      <w:r w:rsidRPr="00E92FAB">
        <w:t>Financial Assets</w:t>
      </w:r>
      <w:r>
        <w:t xml:space="preserve"> (continued)</w:t>
      </w:r>
    </w:p>
    <w:p w14:paraId="00807F25" w14:textId="77777777" w:rsidR="00AB6753" w:rsidRDefault="00AB6753" w:rsidP="00AB6753">
      <w:pPr>
        <w:pStyle w:val="PolicytextDept"/>
        <w:pBdr>
          <w:top w:val="none" w:sz="0" w:space="0" w:color="auto"/>
          <w:left w:val="none" w:sz="0" w:space="0" w:color="auto"/>
          <w:bottom w:val="none" w:sz="0" w:space="0" w:color="auto"/>
          <w:right w:val="none" w:sz="0" w:space="0" w:color="auto"/>
        </w:pBdr>
        <w:spacing w:after="0"/>
      </w:pPr>
    </w:p>
    <w:tbl>
      <w:tblPr>
        <w:tblStyle w:val="TableGrid"/>
        <w:tblW w:w="9498" w:type="dxa"/>
        <w:tblInd w:w="-5" w:type="dxa"/>
        <w:tblBorders>
          <w:top w:val="single" w:sz="4" w:space="0" w:color="275D38"/>
          <w:left w:val="single" w:sz="4" w:space="0" w:color="275D38"/>
          <w:bottom w:val="single" w:sz="4" w:space="0" w:color="275D38"/>
          <w:right w:val="single" w:sz="4" w:space="0" w:color="275D38"/>
          <w:insideH w:val="none" w:sz="0" w:space="0" w:color="auto"/>
          <w:insideV w:val="none" w:sz="0" w:space="0" w:color="auto"/>
        </w:tblBorders>
        <w:tblLook w:val="04A0" w:firstRow="1" w:lastRow="0" w:firstColumn="1" w:lastColumn="0" w:noHBand="0" w:noVBand="1"/>
        <w:tblCaption w:val="Notes to and forming part of the financial statements"/>
        <w:tblDescription w:val="Departmental financial position - depreciation"/>
      </w:tblPr>
      <w:tblGrid>
        <w:gridCol w:w="306"/>
        <w:gridCol w:w="2550"/>
        <w:gridCol w:w="3010"/>
        <w:gridCol w:w="2940"/>
        <w:gridCol w:w="692"/>
      </w:tblGrid>
      <w:tr w:rsidR="00AB6753" w14:paraId="36DF0187" w14:textId="77777777" w:rsidTr="002D1EA4">
        <w:trPr>
          <w:cantSplit/>
        </w:trPr>
        <w:tc>
          <w:tcPr>
            <w:tcW w:w="9498" w:type="dxa"/>
            <w:gridSpan w:val="5"/>
            <w:tcBorders>
              <w:top w:val="single" w:sz="4" w:space="0" w:color="00B2BA"/>
              <w:left w:val="single" w:sz="4" w:space="0" w:color="00B2BA"/>
              <w:bottom w:val="nil"/>
              <w:right w:val="single" w:sz="4" w:space="0" w:color="00B2BA"/>
            </w:tcBorders>
          </w:tcPr>
          <w:p w14:paraId="5C9A4FA2" w14:textId="77777777" w:rsidR="00AB6753" w:rsidRPr="008E7E07" w:rsidRDefault="00AB6753" w:rsidP="002D1EA4">
            <w:pPr>
              <w:pStyle w:val="Policytextdeptunderline"/>
              <w:pBdr>
                <w:top w:val="none" w:sz="0" w:space="0" w:color="auto"/>
                <w:left w:val="none" w:sz="0" w:space="0" w:color="auto"/>
                <w:bottom w:val="none" w:sz="0" w:space="0" w:color="auto"/>
                <w:right w:val="none" w:sz="0" w:space="0" w:color="auto"/>
              </w:pBdr>
              <w:ind w:left="-90"/>
            </w:pPr>
            <w:r w:rsidRPr="008E7E07">
              <w:t>Valuation Processes</w:t>
            </w:r>
          </w:p>
          <w:p w14:paraId="26EDE59A" w14:textId="77777777" w:rsidR="00AB6753" w:rsidRPr="00617FBD" w:rsidRDefault="00AB6753" w:rsidP="002D1EA4">
            <w:pPr>
              <w:pStyle w:val="PolicytextDept"/>
              <w:pBdr>
                <w:top w:val="none" w:sz="0" w:space="0" w:color="auto"/>
                <w:left w:val="none" w:sz="0" w:space="0" w:color="auto"/>
                <w:bottom w:val="none" w:sz="0" w:space="0" w:color="auto"/>
                <w:right w:val="none" w:sz="0" w:space="0" w:color="auto"/>
              </w:pBdr>
              <w:ind w:left="-90"/>
            </w:pPr>
            <w:r>
              <w:t>The department</w:t>
            </w:r>
            <w:r w:rsidRPr="00617FBD">
              <w:t xml:space="preserve"> engaged the service</w:t>
            </w:r>
            <w:r>
              <w:t>s</w:t>
            </w:r>
            <w:r w:rsidRPr="00617FBD">
              <w:t xml:space="preserve"> of Jones Lang LaSalle Public Sector Valuations to conduct a </w:t>
            </w:r>
            <w:r>
              <w:t>materiality assessment</w:t>
            </w:r>
            <w:r w:rsidRPr="00617FBD">
              <w:t xml:space="preserve"> of all tangible non-financial assets </w:t>
            </w:r>
            <w:r w:rsidRPr="00384FA4">
              <w:t>at 30 June 2020</w:t>
            </w:r>
            <w:r>
              <w:t>, excluding lease ROU assets</w:t>
            </w:r>
            <w:r w:rsidRPr="00384FA4">
              <w:t>. This</w:t>
            </w:r>
            <w:r w:rsidRPr="00617FBD">
              <w:t xml:space="preserve"> annual assessment is undertaken to determine whether the carrying amount of the assets is materially different from the</w:t>
            </w:r>
            <w:r>
              <w:t>ir</w:t>
            </w:r>
            <w:r w:rsidRPr="00617FBD">
              <w:t xml:space="preserve"> fair value. Intangible non-financial assets are carried at cost. Comprehensive valuations are carried out at least once every three years</w:t>
            </w:r>
            <w:r>
              <w:t>, with the last full detailed revaluation performed at 30 June 2019</w:t>
            </w:r>
            <w:r w:rsidRPr="00617FBD">
              <w:t xml:space="preserve">. Jones Lang LaSalle Public Sector Valuations has provided written assurance to </w:t>
            </w:r>
            <w:fldSimple w:instr=" DOCPROPERTY  ShortName  \* MERGEFORMAT ">
              <w:r>
                <w:t>the department</w:t>
              </w:r>
            </w:fldSimple>
            <w:r w:rsidRPr="00617FBD">
              <w:t xml:space="preserve"> that the models developed are in compliance with AASB</w:t>
            </w:r>
            <w:r>
              <w:t xml:space="preserve"> 13</w:t>
            </w:r>
            <w:r w:rsidRPr="00617FBD">
              <w:t xml:space="preserve"> </w:t>
            </w:r>
            <w:r w:rsidRPr="00186131">
              <w:rPr>
                <w:i/>
              </w:rPr>
              <w:t>Fair Value Measurement</w:t>
            </w:r>
            <w:r w:rsidRPr="008E7E07">
              <w:t>.</w:t>
            </w:r>
          </w:p>
          <w:p w14:paraId="0F8E0B88" w14:textId="77777777" w:rsidR="00AB6753" w:rsidRPr="00617FBD" w:rsidRDefault="00AB6753" w:rsidP="002D1EA4">
            <w:pPr>
              <w:pStyle w:val="PolicytextDept"/>
              <w:pBdr>
                <w:top w:val="none" w:sz="0" w:space="0" w:color="auto"/>
                <w:left w:val="none" w:sz="0" w:space="0" w:color="auto"/>
                <w:bottom w:val="none" w:sz="0" w:space="0" w:color="auto"/>
                <w:right w:val="none" w:sz="0" w:space="0" w:color="auto"/>
              </w:pBdr>
              <w:ind w:left="-90"/>
            </w:pPr>
            <w:r w:rsidRPr="00617FBD">
              <w:t xml:space="preserve">The methods </w:t>
            </w:r>
            <w:r>
              <w:t>used</w:t>
            </w:r>
            <w:r w:rsidRPr="00617FBD">
              <w:t xml:space="preserve"> to determine and substantiate the unobservable inputs are derived and evaluated as follows:</w:t>
            </w:r>
          </w:p>
          <w:p w14:paraId="575D17ED" w14:textId="77777777" w:rsidR="00AB6753" w:rsidRPr="0092640F" w:rsidRDefault="00AB6753" w:rsidP="002D1EA4">
            <w:pPr>
              <w:pStyle w:val="NotesText0"/>
              <w:numPr>
                <w:ilvl w:val="0"/>
                <w:numId w:val="45"/>
              </w:numPr>
              <w:ind w:right="282"/>
            </w:pPr>
            <w:r w:rsidRPr="0092640F">
              <w:t>Physical d</w:t>
            </w:r>
            <w:r>
              <w:t>epreciation and obsolescence - a</w:t>
            </w:r>
            <w:r w:rsidRPr="0092640F">
              <w:t xml:space="preserve">ssets that do not transact with enough frequency or transparency to develop objective opinions of value from observable market evidence have been measured utilising the cost approach. Under the cost approach the estimated cost to replace the asset is calculated and adjusted to take into account physical depreciation and obsolescence. Physical depreciation and obsolescence is determined on the basis of professional judgement regarding physical, economic and external obsolescence factors relevant to the asset under consideration. </w:t>
            </w:r>
          </w:p>
          <w:p w14:paraId="296BCFCB" w14:textId="77777777" w:rsidR="00AB6753" w:rsidRPr="0092640F" w:rsidRDefault="00AB6753" w:rsidP="002D1EA4">
            <w:pPr>
              <w:pStyle w:val="NotesText0"/>
              <w:numPr>
                <w:ilvl w:val="0"/>
                <w:numId w:val="45"/>
              </w:numPr>
              <w:ind w:right="282"/>
            </w:pPr>
            <w:r>
              <w:t>Le</w:t>
            </w:r>
            <w:r w:rsidRPr="0092640F">
              <w:t>asehold improvement assets</w:t>
            </w:r>
            <w:r>
              <w:t xml:space="preserve"> - the consumed economic benefit</w:t>
            </w:r>
            <w:r w:rsidRPr="0092640F">
              <w:t>/</w:t>
            </w:r>
            <w:r>
              <w:t xml:space="preserve">asset obsolescence deduction is </w:t>
            </w:r>
            <w:r w:rsidRPr="0092640F">
              <w:t>determined on the basis of the associated lease</w:t>
            </w:r>
            <w:r>
              <w:t xml:space="preserve"> term</w:t>
            </w:r>
            <w:r w:rsidRPr="0092640F">
              <w:t>.</w:t>
            </w:r>
          </w:p>
          <w:p w14:paraId="280F596B" w14:textId="77777777" w:rsidR="00AB6753" w:rsidRPr="00873C5D" w:rsidRDefault="00AB6753" w:rsidP="002D1EA4">
            <w:pPr>
              <w:pStyle w:val="PolicytextDept"/>
              <w:pBdr>
                <w:top w:val="none" w:sz="0" w:space="0" w:color="auto"/>
                <w:left w:val="none" w:sz="0" w:space="0" w:color="auto"/>
                <w:bottom w:val="none" w:sz="0" w:space="0" w:color="auto"/>
                <w:right w:val="none" w:sz="0" w:space="0" w:color="auto"/>
              </w:pBdr>
              <w:spacing w:before="120"/>
              <w:ind w:left="-90" w:right="0"/>
              <w:rPr>
                <w:i/>
                <w:u w:val="single"/>
              </w:rPr>
            </w:pPr>
            <w:r w:rsidRPr="00873C5D">
              <w:rPr>
                <w:i/>
                <w:u w:val="single"/>
              </w:rPr>
              <w:t>Depreciation</w:t>
            </w:r>
          </w:p>
          <w:p w14:paraId="6FE619F6" w14:textId="77777777" w:rsidR="00AB6753" w:rsidRPr="00873C5D" w:rsidRDefault="00AB6753" w:rsidP="002D1EA4">
            <w:pPr>
              <w:pStyle w:val="PolicytextDept"/>
              <w:pBdr>
                <w:top w:val="none" w:sz="0" w:space="0" w:color="auto"/>
                <w:left w:val="none" w:sz="0" w:space="0" w:color="auto"/>
                <w:bottom w:val="none" w:sz="0" w:space="0" w:color="auto"/>
                <w:right w:val="none" w:sz="0" w:space="0" w:color="auto"/>
              </w:pBdr>
              <w:ind w:left="-90"/>
            </w:pPr>
            <w:r w:rsidRPr="00873C5D">
              <w:t xml:space="preserve">Depreciable property, plant and equipment assets are written-off to their estimated residual values over their estimated useful lives using, in all cases, the straight-line method of depreciation. </w:t>
            </w:r>
          </w:p>
          <w:p w14:paraId="697EE621" w14:textId="77777777" w:rsidR="00AB6753" w:rsidRPr="00873C5D" w:rsidRDefault="00AB6753" w:rsidP="002D1EA4">
            <w:pPr>
              <w:pStyle w:val="PolicytextDept"/>
              <w:pBdr>
                <w:top w:val="none" w:sz="0" w:space="0" w:color="auto"/>
                <w:left w:val="none" w:sz="0" w:space="0" w:color="auto"/>
                <w:bottom w:val="none" w:sz="0" w:space="0" w:color="auto"/>
                <w:right w:val="none" w:sz="0" w:space="0" w:color="auto"/>
              </w:pBdr>
              <w:ind w:left="-90"/>
            </w:pPr>
            <w:r w:rsidRPr="00873C5D">
              <w:t xml:space="preserve">Software is amortised on a straight-line basis over its anticipated useful life. </w:t>
            </w:r>
          </w:p>
          <w:p w14:paraId="444F7241" w14:textId="77777777" w:rsidR="00AB6753" w:rsidRPr="002512E2" w:rsidRDefault="00AB6753" w:rsidP="002D1EA4">
            <w:pPr>
              <w:pStyle w:val="PolicyheadingDept"/>
              <w:pBdr>
                <w:top w:val="none" w:sz="0" w:space="0" w:color="auto"/>
                <w:left w:val="none" w:sz="0" w:space="0" w:color="auto"/>
                <w:bottom w:val="none" w:sz="0" w:space="0" w:color="auto"/>
                <w:right w:val="none" w:sz="0" w:space="0" w:color="auto"/>
              </w:pBdr>
              <w:ind w:left="-90"/>
              <w:rPr>
                <w:b w:val="0"/>
              </w:rPr>
            </w:pPr>
            <w:r w:rsidRPr="002512E2">
              <w:rPr>
                <w:b w:val="0"/>
              </w:rPr>
              <w:t>Depreciation rates applyi</w:t>
            </w:r>
            <w:r>
              <w:rPr>
                <w:b w:val="0"/>
              </w:rPr>
              <w:t>ng to each class of depreciable</w:t>
            </w:r>
            <w:r w:rsidRPr="002512E2">
              <w:rPr>
                <w:b w:val="0"/>
              </w:rPr>
              <w:t xml:space="preserve"> asset</w:t>
            </w:r>
            <w:r>
              <w:rPr>
                <w:b w:val="0"/>
              </w:rPr>
              <w:t>, excluding ROU assets,</w:t>
            </w:r>
            <w:r w:rsidRPr="002512E2">
              <w:rPr>
                <w:b w:val="0"/>
              </w:rPr>
              <w:t xml:space="preserve"> are based on the following estimated useful lives:</w:t>
            </w:r>
          </w:p>
        </w:tc>
      </w:tr>
      <w:tr w:rsidR="00AB6753" w14:paraId="65212CCD" w14:textId="77777777" w:rsidTr="002D1EA4">
        <w:trPr>
          <w:cantSplit/>
        </w:trPr>
        <w:tc>
          <w:tcPr>
            <w:tcW w:w="306" w:type="dxa"/>
            <w:tcBorders>
              <w:top w:val="nil"/>
              <w:left w:val="single" w:sz="4" w:space="0" w:color="00B2BA"/>
              <w:right w:val="single" w:sz="4" w:space="0" w:color="auto"/>
            </w:tcBorders>
          </w:tcPr>
          <w:p w14:paraId="244A70AF" w14:textId="77777777" w:rsidR="00AB6753" w:rsidRPr="00B0659C" w:rsidRDefault="00AB6753" w:rsidP="002D1EA4">
            <w:pPr>
              <w:rPr>
                <w:rFonts w:cs="Arial"/>
                <w:sz w:val="18"/>
                <w:szCs w:val="18"/>
              </w:rPr>
            </w:pPr>
          </w:p>
        </w:tc>
        <w:tc>
          <w:tcPr>
            <w:tcW w:w="2550" w:type="dxa"/>
            <w:tcBorders>
              <w:top w:val="single" w:sz="4" w:space="0" w:color="auto"/>
              <w:left w:val="single" w:sz="4" w:space="0" w:color="auto"/>
              <w:bottom w:val="single" w:sz="4" w:space="0" w:color="auto"/>
              <w:right w:val="single" w:sz="4" w:space="0" w:color="auto"/>
            </w:tcBorders>
          </w:tcPr>
          <w:p w14:paraId="56D1BED7" w14:textId="77777777" w:rsidR="00AB6753" w:rsidRPr="00617FBD" w:rsidRDefault="00AB6753" w:rsidP="002D1EA4">
            <w:pPr>
              <w:rPr>
                <w:rFonts w:cs="Arial"/>
                <w:sz w:val="18"/>
                <w:szCs w:val="18"/>
              </w:rPr>
            </w:pPr>
          </w:p>
        </w:tc>
        <w:tc>
          <w:tcPr>
            <w:tcW w:w="3010" w:type="dxa"/>
            <w:tcBorders>
              <w:top w:val="single" w:sz="4" w:space="0" w:color="auto"/>
              <w:left w:val="single" w:sz="4" w:space="0" w:color="auto"/>
              <w:bottom w:val="single" w:sz="4" w:space="0" w:color="auto"/>
              <w:right w:val="single" w:sz="4" w:space="0" w:color="auto"/>
            </w:tcBorders>
          </w:tcPr>
          <w:p w14:paraId="47933312" w14:textId="77777777" w:rsidR="00AB6753" w:rsidRPr="00617FBD" w:rsidRDefault="00AB6753" w:rsidP="002D1EA4">
            <w:pPr>
              <w:rPr>
                <w:rFonts w:cs="Arial"/>
                <w:b/>
                <w:sz w:val="18"/>
                <w:szCs w:val="18"/>
              </w:rPr>
            </w:pPr>
            <w:r w:rsidRPr="00617FBD">
              <w:rPr>
                <w:rFonts w:cs="Arial"/>
                <w:b/>
                <w:sz w:val="18"/>
                <w:szCs w:val="18"/>
              </w:rPr>
              <w:fldChar w:fldCharType="begin"/>
            </w:r>
            <w:r w:rsidRPr="00617FBD">
              <w:rPr>
                <w:rFonts w:cs="Arial"/>
                <w:b/>
                <w:sz w:val="18"/>
                <w:szCs w:val="18"/>
              </w:rPr>
              <w:instrText xml:space="preserve"> DOCPROPERTY  crYear  \* MERGEFORMAT </w:instrText>
            </w:r>
            <w:r w:rsidRPr="00617FBD">
              <w:rPr>
                <w:rFonts w:cs="Arial"/>
                <w:b/>
                <w:sz w:val="18"/>
                <w:szCs w:val="18"/>
              </w:rPr>
              <w:fldChar w:fldCharType="separate"/>
            </w:r>
            <w:r>
              <w:rPr>
                <w:rFonts w:cs="Arial"/>
                <w:b/>
                <w:sz w:val="18"/>
                <w:szCs w:val="18"/>
              </w:rPr>
              <w:t>2020</w:t>
            </w:r>
            <w:r w:rsidRPr="00617FBD">
              <w:rPr>
                <w:rFonts w:cs="Arial"/>
                <w:b/>
                <w:sz w:val="18"/>
                <w:szCs w:val="18"/>
              </w:rPr>
              <w:fldChar w:fldCharType="end"/>
            </w:r>
          </w:p>
        </w:tc>
        <w:tc>
          <w:tcPr>
            <w:tcW w:w="2940" w:type="dxa"/>
            <w:tcBorders>
              <w:top w:val="single" w:sz="4" w:space="0" w:color="auto"/>
              <w:left w:val="single" w:sz="4" w:space="0" w:color="auto"/>
              <w:bottom w:val="single" w:sz="4" w:space="0" w:color="auto"/>
              <w:right w:val="single" w:sz="4" w:space="0" w:color="auto"/>
            </w:tcBorders>
          </w:tcPr>
          <w:p w14:paraId="751B01C4" w14:textId="77777777" w:rsidR="00AB6753" w:rsidRPr="00617FBD" w:rsidRDefault="00AB6753" w:rsidP="002D1EA4">
            <w:pPr>
              <w:rPr>
                <w:rFonts w:cs="Arial"/>
                <w:b/>
                <w:sz w:val="18"/>
                <w:szCs w:val="18"/>
              </w:rPr>
            </w:pPr>
            <w:r w:rsidRPr="00617FBD">
              <w:rPr>
                <w:rFonts w:cs="Arial"/>
                <w:b/>
                <w:sz w:val="18"/>
                <w:szCs w:val="18"/>
              </w:rPr>
              <w:fldChar w:fldCharType="begin"/>
            </w:r>
            <w:r w:rsidRPr="00617FBD">
              <w:rPr>
                <w:rFonts w:cs="Arial"/>
                <w:b/>
                <w:sz w:val="18"/>
                <w:szCs w:val="18"/>
              </w:rPr>
              <w:instrText xml:space="preserve"> DOCPROPERTY  prYear  \* MERGEFORMAT </w:instrText>
            </w:r>
            <w:r w:rsidRPr="00617FBD">
              <w:rPr>
                <w:rFonts w:cs="Arial"/>
                <w:b/>
                <w:sz w:val="18"/>
                <w:szCs w:val="18"/>
              </w:rPr>
              <w:fldChar w:fldCharType="separate"/>
            </w:r>
            <w:r w:rsidRPr="00291C7F">
              <w:rPr>
                <w:rFonts w:cs="Arial"/>
                <w:sz w:val="18"/>
                <w:szCs w:val="18"/>
              </w:rPr>
              <w:t>2019</w:t>
            </w:r>
            <w:r w:rsidRPr="00617FBD">
              <w:rPr>
                <w:rFonts w:cs="Arial"/>
                <w:b/>
                <w:sz w:val="18"/>
                <w:szCs w:val="18"/>
              </w:rPr>
              <w:fldChar w:fldCharType="end"/>
            </w:r>
          </w:p>
        </w:tc>
        <w:tc>
          <w:tcPr>
            <w:tcW w:w="692" w:type="dxa"/>
            <w:tcBorders>
              <w:top w:val="nil"/>
              <w:left w:val="single" w:sz="4" w:space="0" w:color="auto"/>
              <w:right w:val="single" w:sz="4" w:space="0" w:color="00B2BA"/>
            </w:tcBorders>
          </w:tcPr>
          <w:p w14:paraId="281FC04E" w14:textId="77777777" w:rsidR="00AB6753" w:rsidRPr="00B0659C" w:rsidRDefault="00AB6753" w:rsidP="002D1EA4">
            <w:pPr>
              <w:rPr>
                <w:rFonts w:cs="Arial"/>
                <w:sz w:val="18"/>
                <w:szCs w:val="18"/>
              </w:rPr>
            </w:pPr>
          </w:p>
        </w:tc>
      </w:tr>
      <w:tr w:rsidR="00AB6753" w14:paraId="470E733E" w14:textId="77777777" w:rsidTr="002D1EA4">
        <w:trPr>
          <w:cantSplit/>
        </w:trPr>
        <w:tc>
          <w:tcPr>
            <w:tcW w:w="306" w:type="dxa"/>
            <w:tcBorders>
              <w:left w:val="single" w:sz="4" w:space="0" w:color="00B2BA"/>
              <w:right w:val="single" w:sz="4" w:space="0" w:color="auto"/>
            </w:tcBorders>
          </w:tcPr>
          <w:p w14:paraId="44C0A4B7" w14:textId="77777777" w:rsidR="00AB6753" w:rsidRPr="00B0659C" w:rsidRDefault="00AB6753" w:rsidP="002D1EA4">
            <w:pPr>
              <w:rPr>
                <w:rFonts w:cs="Arial"/>
                <w:sz w:val="18"/>
                <w:szCs w:val="18"/>
              </w:rPr>
            </w:pPr>
          </w:p>
        </w:tc>
        <w:tc>
          <w:tcPr>
            <w:tcW w:w="2550" w:type="dxa"/>
            <w:tcBorders>
              <w:top w:val="single" w:sz="4" w:space="0" w:color="auto"/>
              <w:left w:val="single" w:sz="4" w:space="0" w:color="auto"/>
              <w:bottom w:val="single" w:sz="4" w:space="0" w:color="auto"/>
              <w:right w:val="single" w:sz="4" w:space="0" w:color="auto"/>
            </w:tcBorders>
          </w:tcPr>
          <w:p w14:paraId="2D7BDE11" w14:textId="77777777" w:rsidR="00AB6753" w:rsidRPr="00617FBD" w:rsidRDefault="00AB6753" w:rsidP="002D1EA4">
            <w:pPr>
              <w:rPr>
                <w:rFonts w:cs="Arial"/>
                <w:sz w:val="18"/>
                <w:szCs w:val="18"/>
              </w:rPr>
            </w:pPr>
            <w:r w:rsidRPr="00617FBD">
              <w:rPr>
                <w:rFonts w:cs="Arial"/>
                <w:sz w:val="18"/>
                <w:szCs w:val="18"/>
              </w:rPr>
              <w:t xml:space="preserve">Leasehold improvements </w:t>
            </w:r>
          </w:p>
          <w:p w14:paraId="04030700" w14:textId="77777777" w:rsidR="00AB6753" w:rsidRPr="00617FBD" w:rsidRDefault="00AB6753" w:rsidP="002D1EA4">
            <w:pPr>
              <w:rPr>
                <w:rFonts w:cs="Arial"/>
                <w:sz w:val="18"/>
                <w:szCs w:val="18"/>
              </w:rPr>
            </w:pPr>
          </w:p>
        </w:tc>
        <w:tc>
          <w:tcPr>
            <w:tcW w:w="3010" w:type="dxa"/>
            <w:tcBorders>
              <w:top w:val="single" w:sz="4" w:space="0" w:color="auto"/>
              <w:left w:val="single" w:sz="4" w:space="0" w:color="auto"/>
              <w:bottom w:val="single" w:sz="4" w:space="0" w:color="auto"/>
              <w:right w:val="single" w:sz="4" w:space="0" w:color="auto"/>
            </w:tcBorders>
          </w:tcPr>
          <w:p w14:paraId="03302FCB" w14:textId="77777777" w:rsidR="00AB6753" w:rsidRPr="00617FBD" w:rsidRDefault="00AB6753" w:rsidP="002D1EA4">
            <w:pPr>
              <w:rPr>
                <w:rFonts w:cs="Arial"/>
                <w:b/>
                <w:sz w:val="18"/>
                <w:szCs w:val="18"/>
              </w:rPr>
            </w:pPr>
            <w:r w:rsidRPr="00617FBD">
              <w:rPr>
                <w:rFonts w:cs="Arial"/>
                <w:b/>
                <w:sz w:val="18"/>
                <w:szCs w:val="18"/>
              </w:rPr>
              <w:t xml:space="preserve">Lesser of 10 years or </w:t>
            </w:r>
            <w:r w:rsidRPr="00617FBD">
              <w:rPr>
                <w:rFonts w:cs="Arial"/>
                <w:b/>
                <w:sz w:val="18"/>
                <w:szCs w:val="18"/>
              </w:rPr>
              <w:br/>
              <w:t>lease term</w:t>
            </w:r>
          </w:p>
        </w:tc>
        <w:tc>
          <w:tcPr>
            <w:tcW w:w="2940" w:type="dxa"/>
            <w:tcBorders>
              <w:top w:val="single" w:sz="4" w:space="0" w:color="auto"/>
              <w:left w:val="single" w:sz="4" w:space="0" w:color="auto"/>
              <w:bottom w:val="single" w:sz="4" w:space="0" w:color="auto"/>
              <w:right w:val="single" w:sz="4" w:space="0" w:color="auto"/>
            </w:tcBorders>
          </w:tcPr>
          <w:p w14:paraId="6AA63956" w14:textId="77777777" w:rsidR="00AB6753" w:rsidRPr="00617FBD" w:rsidRDefault="00AB6753" w:rsidP="002D1EA4">
            <w:pPr>
              <w:rPr>
                <w:rFonts w:cs="Arial"/>
                <w:sz w:val="18"/>
                <w:szCs w:val="18"/>
              </w:rPr>
            </w:pPr>
            <w:r w:rsidRPr="00617FBD">
              <w:rPr>
                <w:rFonts w:cs="Arial"/>
                <w:sz w:val="18"/>
                <w:szCs w:val="18"/>
              </w:rPr>
              <w:t xml:space="preserve">Lesser of 10 years or </w:t>
            </w:r>
            <w:r w:rsidRPr="00617FBD">
              <w:rPr>
                <w:rFonts w:cs="Arial"/>
                <w:sz w:val="18"/>
                <w:szCs w:val="18"/>
              </w:rPr>
              <w:br/>
              <w:t>lease term</w:t>
            </w:r>
          </w:p>
        </w:tc>
        <w:tc>
          <w:tcPr>
            <w:tcW w:w="692" w:type="dxa"/>
            <w:tcBorders>
              <w:left w:val="single" w:sz="4" w:space="0" w:color="auto"/>
              <w:right w:val="single" w:sz="4" w:space="0" w:color="00B2BA"/>
            </w:tcBorders>
          </w:tcPr>
          <w:p w14:paraId="05F29A19" w14:textId="77777777" w:rsidR="00AB6753" w:rsidRPr="00B0659C" w:rsidRDefault="00AB6753" w:rsidP="002D1EA4">
            <w:pPr>
              <w:rPr>
                <w:rFonts w:cs="Arial"/>
                <w:sz w:val="18"/>
                <w:szCs w:val="18"/>
              </w:rPr>
            </w:pPr>
          </w:p>
        </w:tc>
      </w:tr>
      <w:tr w:rsidR="00AB6753" w14:paraId="3C1D287C" w14:textId="77777777" w:rsidTr="002D1EA4">
        <w:trPr>
          <w:cantSplit/>
        </w:trPr>
        <w:tc>
          <w:tcPr>
            <w:tcW w:w="306" w:type="dxa"/>
            <w:tcBorders>
              <w:left w:val="single" w:sz="4" w:space="0" w:color="00B2BA"/>
              <w:right w:val="single" w:sz="4" w:space="0" w:color="auto"/>
            </w:tcBorders>
          </w:tcPr>
          <w:p w14:paraId="1067FA47" w14:textId="77777777" w:rsidR="00AB6753" w:rsidRPr="00B0659C" w:rsidRDefault="00AB6753" w:rsidP="002D1EA4">
            <w:pPr>
              <w:rPr>
                <w:rFonts w:cs="Arial"/>
                <w:sz w:val="18"/>
                <w:szCs w:val="18"/>
              </w:rPr>
            </w:pPr>
          </w:p>
        </w:tc>
        <w:tc>
          <w:tcPr>
            <w:tcW w:w="2550" w:type="dxa"/>
            <w:tcBorders>
              <w:top w:val="single" w:sz="4" w:space="0" w:color="auto"/>
              <w:left w:val="single" w:sz="4" w:space="0" w:color="auto"/>
              <w:bottom w:val="single" w:sz="4" w:space="0" w:color="auto"/>
              <w:right w:val="single" w:sz="4" w:space="0" w:color="auto"/>
            </w:tcBorders>
          </w:tcPr>
          <w:p w14:paraId="7FF926B8" w14:textId="77777777" w:rsidR="00AB6753" w:rsidRPr="00617FBD" w:rsidRDefault="00AB6753" w:rsidP="002D1EA4">
            <w:pPr>
              <w:rPr>
                <w:rFonts w:cs="Arial"/>
                <w:sz w:val="18"/>
                <w:szCs w:val="18"/>
              </w:rPr>
            </w:pPr>
            <w:r w:rsidRPr="00617FBD">
              <w:rPr>
                <w:rFonts w:cs="Arial"/>
                <w:sz w:val="18"/>
                <w:szCs w:val="18"/>
              </w:rPr>
              <w:t>Plant and equipment</w:t>
            </w:r>
          </w:p>
        </w:tc>
        <w:tc>
          <w:tcPr>
            <w:tcW w:w="3010" w:type="dxa"/>
            <w:tcBorders>
              <w:top w:val="single" w:sz="4" w:space="0" w:color="auto"/>
              <w:left w:val="single" w:sz="4" w:space="0" w:color="auto"/>
              <w:bottom w:val="single" w:sz="4" w:space="0" w:color="auto"/>
              <w:right w:val="single" w:sz="4" w:space="0" w:color="auto"/>
            </w:tcBorders>
          </w:tcPr>
          <w:p w14:paraId="144F5223" w14:textId="77777777" w:rsidR="00AB6753" w:rsidRPr="00617FBD" w:rsidRDefault="00AB6753" w:rsidP="002D1EA4">
            <w:pPr>
              <w:rPr>
                <w:rFonts w:cs="Arial"/>
                <w:b/>
                <w:sz w:val="18"/>
                <w:szCs w:val="18"/>
              </w:rPr>
            </w:pPr>
            <w:r w:rsidRPr="00617FBD">
              <w:rPr>
                <w:rFonts w:cs="Arial"/>
                <w:b/>
                <w:sz w:val="18"/>
                <w:szCs w:val="18"/>
              </w:rPr>
              <w:t>3 to 10 years</w:t>
            </w:r>
          </w:p>
        </w:tc>
        <w:tc>
          <w:tcPr>
            <w:tcW w:w="2940" w:type="dxa"/>
            <w:tcBorders>
              <w:top w:val="single" w:sz="4" w:space="0" w:color="auto"/>
              <w:left w:val="single" w:sz="4" w:space="0" w:color="auto"/>
              <w:bottom w:val="single" w:sz="4" w:space="0" w:color="auto"/>
              <w:right w:val="single" w:sz="4" w:space="0" w:color="auto"/>
            </w:tcBorders>
          </w:tcPr>
          <w:p w14:paraId="420ED4C4" w14:textId="77777777" w:rsidR="00AB6753" w:rsidRPr="00617FBD" w:rsidRDefault="00AB6753" w:rsidP="002D1EA4">
            <w:pPr>
              <w:rPr>
                <w:rFonts w:cs="Arial"/>
                <w:sz w:val="18"/>
                <w:szCs w:val="18"/>
              </w:rPr>
            </w:pPr>
            <w:r w:rsidRPr="00617FBD">
              <w:rPr>
                <w:rFonts w:cs="Arial"/>
                <w:sz w:val="18"/>
                <w:szCs w:val="18"/>
              </w:rPr>
              <w:t>3 to 10 years</w:t>
            </w:r>
          </w:p>
        </w:tc>
        <w:tc>
          <w:tcPr>
            <w:tcW w:w="692" w:type="dxa"/>
            <w:tcBorders>
              <w:left w:val="single" w:sz="4" w:space="0" w:color="auto"/>
              <w:right w:val="single" w:sz="4" w:space="0" w:color="00B2BA"/>
            </w:tcBorders>
          </w:tcPr>
          <w:p w14:paraId="4E054B0E" w14:textId="77777777" w:rsidR="00AB6753" w:rsidRPr="00B0659C" w:rsidRDefault="00AB6753" w:rsidP="002D1EA4">
            <w:pPr>
              <w:rPr>
                <w:rFonts w:cs="Arial"/>
                <w:sz w:val="18"/>
                <w:szCs w:val="18"/>
              </w:rPr>
            </w:pPr>
          </w:p>
        </w:tc>
      </w:tr>
      <w:tr w:rsidR="00AB6753" w14:paraId="7B2AC4CC" w14:textId="77777777" w:rsidTr="002D1EA4">
        <w:trPr>
          <w:cantSplit/>
        </w:trPr>
        <w:tc>
          <w:tcPr>
            <w:tcW w:w="306" w:type="dxa"/>
            <w:tcBorders>
              <w:left w:val="single" w:sz="4" w:space="0" w:color="00B2BA"/>
              <w:right w:val="single" w:sz="4" w:space="0" w:color="auto"/>
            </w:tcBorders>
          </w:tcPr>
          <w:p w14:paraId="45A6F311" w14:textId="77777777" w:rsidR="00AB6753" w:rsidRPr="00B0659C" w:rsidRDefault="00AB6753" w:rsidP="002D1EA4">
            <w:pPr>
              <w:rPr>
                <w:rFonts w:cs="Arial"/>
                <w:sz w:val="18"/>
                <w:szCs w:val="18"/>
              </w:rPr>
            </w:pPr>
          </w:p>
        </w:tc>
        <w:tc>
          <w:tcPr>
            <w:tcW w:w="2550" w:type="dxa"/>
            <w:tcBorders>
              <w:top w:val="single" w:sz="4" w:space="0" w:color="auto"/>
              <w:left w:val="single" w:sz="4" w:space="0" w:color="auto"/>
              <w:bottom w:val="single" w:sz="4" w:space="0" w:color="auto"/>
              <w:right w:val="single" w:sz="4" w:space="0" w:color="auto"/>
            </w:tcBorders>
          </w:tcPr>
          <w:p w14:paraId="30C79ABC" w14:textId="77777777" w:rsidR="00AB6753" w:rsidRPr="00617FBD" w:rsidRDefault="00AB6753" w:rsidP="002D1EA4">
            <w:pPr>
              <w:rPr>
                <w:rFonts w:cs="Arial"/>
                <w:sz w:val="18"/>
                <w:szCs w:val="18"/>
              </w:rPr>
            </w:pPr>
            <w:r w:rsidRPr="00617FBD">
              <w:rPr>
                <w:rFonts w:cs="Arial"/>
                <w:sz w:val="18"/>
                <w:szCs w:val="18"/>
              </w:rPr>
              <w:t>Artwork</w:t>
            </w:r>
          </w:p>
        </w:tc>
        <w:tc>
          <w:tcPr>
            <w:tcW w:w="3010" w:type="dxa"/>
            <w:tcBorders>
              <w:top w:val="single" w:sz="4" w:space="0" w:color="auto"/>
              <w:left w:val="single" w:sz="4" w:space="0" w:color="auto"/>
              <w:bottom w:val="single" w:sz="4" w:space="0" w:color="auto"/>
              <w:right w:val="single" w:sz="4" w:space="0" w:color="auto"/>
            </w:tcBorders>
          </w:tcPr>
          <w:p w14:paraId="7487E3AD" w14:textId="77777777" w:rsidR="00AB6753" w:rsidRPr="00617FBD" w:rsidRDefault="00AB6753" w:rsidP="002D1EA4">
            <w:pPr>
              <w:rPr>
                <w:rFonts w:cs="Arial"/>
                <w:b/>
                <w:sz w:val="18"/>
                <w:szCs w:val="18"/>
              </w:rPr>
            </w:pPr>
            <w:r w:rsidRPr="00617FBD">
              <w:rPr>
                <w:rFonts w:cs="Arial"/>
                <w:b/>
                <w:sz w:val="18"/>
                <w:szCs w:val="18"/>
              </w:rPr>
              <w:t>1 to 50 years</w:t>
            </w:r>
          </w:p>
        </w:tc>
        <w:tc>
          <w:tcPr>
            <w:tcW w:w="2940" w:type="dxa"/>
            <w:tcBorders>
              <w:top w:val="single" w:sz="4" w:space="0" w:color="auto"/>
              <w:left w:val="single" w:sz="4" w:space="0" w:color="auto"/>
              <w:bottom w:val="single" w:sz="4" w:space="0" w:color="auto"/>
              <w:right w:val="single" w:sz="4" w:space="0" w:color="auto"/>
            </w:tcBorders>
          </w:tcPr>
          <w:p w14:paraId="1C366BB2" w14:textId="77777777" w:rsidR="00AB6753" w:rsidRPr="00617FBD" w:rsidRDefault="00AB6753" w:rsidP="002D1EA4">
            <w:pPr>
              <w:rPr>
                <w:rFonts w:cs="Arial"/>
                <w:sz w:val="18"/>
                <w:szCs w:val="18"/>
              </w:rPr>
            </w:pPr>
            <w:r w:rsidRPr="00617FBD">
              <w:rPr>
                <w:rFonts w:cs="Arial"/>
                <w:sz w:val="18"/>
                <w:szCs w:val="18"/>
              </w:rPr>
              <w:t>1 to 50 years</w:t>
            </w:r>
          </w:p>
        </w:tc>
        <w:tc>
          <w:tcPr>
            <w:tcW w:w="692" w:type="dxa"/>
            <w:tcBorders>
              <w:left w:val="single" w:sz="4" w:space="0" w:color="auto"/>
              <w:right w:val="single" w:sz="4" w:space="0" w:color="00B2BA"/>
            </w:tcBorders>
          </w:tcPr>
          <w:p w14:paraId="6ECE4B47" w14:textId="77777777" w:rsidR="00AB6753" w:rsidRPr="00B0659C" w:rsidRDefault="00AB6753" w:rsidP="002D1EA4">
            <w:pPr>
              <w:rPr>
                <w:rFonts w:cs="Arial"/>
                <w:sz w:val="18"/>
                <w:szCs w:val="18"/>
              </w:rPr>
            </w:pPr>
          </w:p>
        </w:tc>
      </w:tr>
      <w:tr w:rsidR="00AB6753" w14:paraId="4F70900D" w14:textId="77777777" w:rsidTr="002D1EA4">
        <w:trPr>
          <w:cantSplit/>
        </w:trPr>
        <w:tc>
          <w:tcPr>
            <w:tcW w:w="306" w:type="dxa"/>
            <w:tcBorders>
              <w:left w:val="single" w:sz="4" w:space="0" w:color="00B2BA"/>
              <w:bottom w:val="nil"/>
              <w:right w:val="single" w:sz="4" w:space="0" w:color="auto"/>
            </w:tcBorders>
          </w:tcPr>
          <w:p w14:paraId="32CCB66E" w14:textId="77777777" w:rsidR="00AB6753" w:rsidRPr="00B0659C" w:rsidRDefault="00AB6753" w:rsidP="002D1EA4">
            <w:pPr>
              <w:rPr>
                <w:rFonts w:cs="Arial"/>
                <w:sz w:val="18"/>
                <w:szCs w:val="18"/>
              </w:rPr>
            </w:pPr>
          </w:p>
        </w:tc>
        <w:tc>
          <w:tcPr>
            <w:tcW w:w="2550" w:type="dxa"/>
            <w:tcBorders>
              <w:top w:val="single" w:sz="4" w:space="0" w:color="auto"/>
              <w:left w:val="single" w:sz="4" w:space="0" w:color="auto"/>
              <w:bottom w:val="single" w:sz="4" w:space="0" w:color="auto"/>
              <w:right w:val="single" w:sz="4" w:space="0" w:color="auto"/>
            </w:tcBorders>
          </w:tcPr>
          <w:p w14:paraId="727F5839" w14:textId="77777777" w:rsidR="00AB6753" w:rsidRPr="00617FBD" w:rsidRDefault="00AB6753" w:rsidP="002D1EA4">
            <w:pPr>
              <w:rPr>
                <w:rFonts w:cs="Arial"/>
                <w:sz w:val="18"/>
                <w:szCs w:val="18"/>
              </w:rPr>
            </w:pPr>
            <w:r w:rsidRPr="00617FBD">
              <w:rPr>
                <w:rFonts w:cs="Arial"/>
                <w:sz w:val="18"/>
                <w:szCs w:val="18"/>
              </w:rPr>
              <w:t>Software</w:t>
            </w:r>
          </w:p>
        </w:tc>
        <w:tc>
          <w:tcPr>
            <w:tcW w:w="3010" w:type="dxa"/>
            <w:tcBorders>
              <w:top w:val="single" w:sz="4" w:space="0" w:color="auto"/>
              <w:left w:val="single" w:sz="4" w:space="0" w:color="auto"/>
              <w:bottom w:val="single" w:sz="4" w:space="0" w:color="auto"/>
              <w:right w:val="single" w:sz="4" w:space="0" w:color="auto"/>
            </w:tcBorders>
          </w:tcPr>
          <w:p w14:paraId="1A6880BD" w14:textId="77777777" w:rsidR="00AB6753" w:rsidRPr="00617FBD" w:rsidRDefault="00AB6753" w:rsidP="002D1EA4">
            <w:pPr>
              <w:rPr>
                <w:rFonts w:cs="Arial"/>
                <w:b/>
                <w:sz w:val="18"/>
                <w:szCs w:val="18"/>
              </w:rPr>
            </w:pPr>
            <w:r w:rsidRPr="00617FBD">
              <w:rPr>
                <w:rFonts w:cs="Arial"/>
                <w:b/>
                <w:sz w:val="18"/>
                <w:szCs w:val="18"/>
              </w:rPr>
              <w:t>2 to 8 years</w:t>
            </w:r>
          </w:p>
        </w:tc>
        <w:tc>
          <w:tcPr>
            <w:tcW w:w="2940" w:type="dxa"/>
            <w:tcBorders>
              <w:top w:val="single" w:sz="4" w:space="0" w:color="auto"/>
              <w:left w:val="single" w:sz="4" w:space="0" w:color="auto"/>
              <w:bottom w:val="single" w:sz="4" w:space="0" w:color="auto"/>
              <w:right w:val="single" w:sz="4" w:space="0" w:color="auto"/>
            </w:tcBorders>
          </w:tcPr>
          <w:p w14:paraId="361F9A38" w14:textId="77777777" w:rsidR="00AB6753" w:rsidRPr="00617FBD" w:rsidRDefault="00AB6753" w:rsidP="002D1EA4">
            <w:pPr>
              <w:rPr>
                <w:rFonts w:cs="Arial"/>
                <w:sz w:val="18"/>
                <w:szCs w:val="18"/>
              </w:rPr>
            </w:pPr>
            <w:r w:rsidRPr="00617FBD">
              <w:rPr>
                <w:rFonts w:cs="Arial"/>
                <w:sz w:val="18"/>
                <w:szCs w:val="18"/>
              </w:rPr>
              <w:t>2 to 8 years</w:t>
            </w:r>
          </w:p>
        </w:tc>
        <w:tc>
          <w:tcPr>
            <w:tcW w:w="692" w:type="dxa"/>
            <w:tcBorders>
              <w:left w:val="single" w:sz="4" w:space="0" w:color="auto"/>
              <w:bottom w:val="nil"/>
              <w:right w:val="single" w:sz="4" w:space="0" w:color="00B2BA"/>
            </w:tcBorders>
          </w:tcPr>
          <w:p w14:paraId="756C1BB9" w14:textId="77777777" w:rsidR="00AB6753" w:rsidRPr="00B0659C" w:rsidRDefault="00AB6753" w:rsidP="002D1EA4">
            <w:pPr>
              <w:rPr>
                <w:rFonts w:cs="Arial"/>
                <w:sz w:val="18"/>
                <w:szCs w:val="18"/>
              </w:rPr>
            </w:pPr>
          </w:p>
        </w:tc>
      </w:tr>
    </w:tbl>
    <w:p w14:paraId="2C5328B4" w14:textId="77777777" w:rsidR="00AB6753" w:rsidRDefault="00AB6753" w:rsidP="00AB6753">
      <w:pPr>
        <w:pStyle w:val="Policytextdeptunderline"/>
        <w:pBdr>
          <w:top w:val="none" w:sz="0" w:space="0" w:color="auto"/>
          <w:left w:val="single" w:sz="4" w:space="0" w:color="00B2BA"/>
          <w:bottom w:val="single" w:sz="4" w:space="1" w:color="00B2BA"/>
          <w:right w:val="single" w:sz="4" w:space="12" w:color="00B2BA"/>
        </w:pBdr>
        <w:rPr>
          <w:i w:val="0"/>
          <w:u w:val="none"/>
        </w:rPr>
      </w:pPr>
    </w:p>
    <w:p w14:paraId="0D4D3D09" w14:textId="77777777" w:rsidR="00AB6753" w:rsidRPr="00BA174E" w:rsidRDefault="00AB6753" w:rsidP="00AB6753">
      <w:pPr>
        <w:pStyle w:val="Policytextdeptunderline"/>
        <w:pBdr>
          <w:top w:val="none" w:sz="0" w:space="0" w:color="auto"/>
          <w:left w:val="single" w:sz="4" w:space="0" w:color="00B2BA"/>
          <w:bottom w:val="single" w:sz="4" w:space="1" w:color="00B2BA"/>
          <w:right w:val="single" w:sz="4" w:space="12" w:color="00B2BA"/>
        </w:pBdr>
        <w:rPr>
          <w:i w:val="0"/>
          <w:u w:val="none"/>
        </w:rPr>
      </w:pPr>
      <w:r w:rsidRPr="00BC20DD">
        <w:rPr>
          <w:i w:val="0"/>
          <w:u w:val="none"/>
        </w:rPr>
        <w:t>The depreciation rates for ROU assets are based on the commencement date to the earlier of the end of the useful life of the ROU asset or the end of the lease term.</w:t>
      </w:r>
    </w:p>
    <w:p w14:paraId="672B4C39" w14:textId="77777777" w:rsidR="00AB6753" w:rsidRDefault="00AB6753" w:rsidP="00AB6753">
      <w:pPr>
        <w:pStyle w:val="Policytextdeptunderline"/>
        <w:pBdr>
          <w:top w:val="none" w:sz="0" w:space="0" w:color="auto"/>
          <w:left w:val="single" w:sz="4" w:space="0" w:color="00B2BA"/>
          <w:bottom w:val="single" w:sz="4" w:space="1" w:color="00B2BA"/>
          <w:right w:val="single" w:sz="4" w:space="12" w:color="00B2BA"/>
        </w:pBdr>
      </w:pPr>
      <w:r w:rsidRPr="000F0DC8">
        <w:t>Impairment</w:t>
      </w:r>
    </w:p>
    <w:p w14:paraId="03180B44" w14:textId="77777777" w:rsidR="00AB6753" w:rsidRPr="00384FA4" w:rsidRDefault="00AB6753" w:rsidP="00AB6753">
      <w:pPr>
        <w:pStyle w:val="Policytextdeptunderline"/>
        <w:pBdr>
          <w:top w:val="none" w:sz="0" w:space="0" w:color="auto"/>
          <w:left w:val="single" w:sz="4" w:space="0" w:color="00B2BA"/>
          <w:bottom w:val="single" w:sz="4" w:space="1" w:color="00B2BA"/>
          <w:right w:val="single" w:sz="4" w:space="12" w:color="00B2BA"/>
        </w:pBdr>
        <w:rPr>
          <w:i w:val="0"/>
          <w:u w:val="none"/>
        </w:rPr>
      </w:pPr>
      <w:r w:rsidRPr="000F0DC8">
        <w:rPr>
          <w:i w:val="0"/>
          <w:u w:val="none"/>
        </w:rPr>
        <w:t xml:space="preserve">All non-financial assets were assessed by </w:t>
      </w:r>
      <w:r>
        <w:rPr>
          <w:i w:val="0"/>
          <w:u w:val="none"/>
        </w:rPr>
        <w:fldChar w:fldCharType="begin"/>
      </w:r>
      <w:r>
        <w:rPr>
          <w:i w:val="0"/>
          <w:u w:val="none"/>
        </w:rPr>
        <w:instrText xml:space="preserve"> DOCPROPERTY  ShortName  \* MERGEFORMAT </w:instrText>
      </w:r>
      <w:r>
        <w:rPr>
          <w:i w:val="0"/>
          <w:u w:val="none"/>
        </w:rPr>
        <w:fldChar w:fldCharType="separate"/>
      </w:r>
      <w:r>
        <w:rPr>
          <w:i w:val="0"/>
          <w:u w:val="none"/>
        </w:rPr>
        <w:t>the department</w:t>
      </w:r>
      <w:r>
        <w:rPr>
          <w:i w:val="0"/>
          <w:u w:val="none"/>
        </w:rPr>
        <w:fldChar w:fldCharType="end"/>
      </w:r>
      <w:r w:rsidRPr="000F0DC8">
        <w:rPr>
          <w:i w:val="0"/>
          <w:u w:val="none"/>
        </w:rPr>
        <w:t xml:space="preserve"> for impairment as </w:t>
      </w:r>
      <w:r w:rsidRPr="00384FA4">
        <w:rPr>
          <w:i w:val="0"/>
          <w:u w:val="none"/>
        </w:rPr>
        <w:t>at 30 June 2020. Where indications of impairment exist, the asset’s recoverable amount is estimated and an impairment adjustment made if the asset’s recoverable amount is less than its carrying amount.</w:t>
      </w:r>
    </w:p>
    <w:p w14:paraId="4C74DA0A" w14:textId="77777777" w:rsidR="00AB6753" w:rsidRPr="00384FA4" w:rsidRDefault="00AB6753" w:rsidP="00AB6753">
      <w:pPr>
        <w:pStyle w:val="Policytextdeptunderline"/>
        <w:pBdr>
          <w:top w:val="none" w:sz="0" w:space="0" w:color="auto"/>
          <w:left w:val="single" w:sz="4" w:space="0" w:color="00B2BA"/>
          <w:bottom w:val="single" w:sz="4" w:space="1" w:color="00B2BA"/>
          <w:right w:val="single" w:sz="4" w:space="12" w:color="00B2BA"/>
        </w:pBdr>
      </w:pPr>
      <w:r w:rsidRPr="00384FA4">
        <w:rPr>
          <w:i w:val="0"/>
          <w:u w:val="none"/>
        </w:rPr>
        <w:t xml:space="preserve">The recoverable amount of an asset is the higher of its fair value less costs to sell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w:t>
      </w:r>
      <w:r w:rsidRPr="00384FA4">
        <w:rPr>
          <w:i w:val="0"/>
          <w:u w:val="none"/>
        </w:rPr>
        <w:fldChar w:fldCharType="begin"/>
      </w:r>
      <w:r w:rsidRPr="00384FA4">
        <w:rPr>
          <w:i w:val="0"/>
          <w:u w:val="none"/>
        </w:rPr>
        <w:instrText xml:space="preserve"> DOCPROPERTY  ShortName  \* MERGEFORMAT </w:instrText>
      </w:r>
      <w:r w:rsidRPr="00384FA4">
        <w:rPr>
          <w:i w:val="0"/>
          <w:u w:val="none"/>
        </w:rPr>
        <w:fldChar w:fldCharType="separate"/>
      </w:r>
      <w:r w:rsidRPr="00384FA4">
        <w:rPr>
          <w:i w:val="0"/>
          <w:u w:val="none"/>
        </w:rPr>
        <w:t>the department</w:t>
      </w:r>
      <w:r w:rsidRPr="00384FA4">
        <w:rPr>
          <w:i w:val="0"/>
          <w:u w:val="none"/>
        </w:rPr>
        <w:fldChar w:fldCharType="end"/>
      </w:r>
      <w:r w:rsidRPr="00384FA4">
        <w:rPr>
          <w:i w:val="0"/>
          <w:u w:val="none"/>
        </w:rPr>
        <w:t xml:space="preserve"> were deprived of the asset, its value in use is taken to be its depreciated</w:t>
      </w:r>
      <w:r w:rsidRPr="00384FA4">
        <w:rPr>
          <w:u w:val="none"/>
        </w:rPr>
        <w:t xml:space="preserve"> </w:t>
      </w:r>
      <w:r w:rsidRPr="00384FA4">
        <w:rPr>
          <w:i w:val="0"/>
          <w:u w:val="none"/>
        </w:rPr>
        <w:t>replacement cost.</w:t>
      </w:r>
    </w:p>
    <w:p w14:paraId="39DD7D2A" w14:textId="77777777" w:rsidR="00AB6753" w:rsidRPr="00384FA4" w:rsidRDefault="00AB6753" w:rsidP="00AB6753">
      <w:pPr>
        <w:pStyle w:val="Policytextdeptunderline"/>
        <w:pBdr>
          <w:top w:val="none" w:sz="0" w:space="0" w:color="auto"/>
          <w:left w:val="single" w:sz="4" w:space="0" w:color="00B2BA"/>
          <w:bottom w:val="single" w:sz="4" w:space="1" w:color="00B2BA"/>
          <w:right w:val="single" w:sz="4" w:space="12" w:color="00B2BA"/>
        </w:pBdr>
      </w:pPr>
      <w:proofErr w:type="spellStart"/>
      <w:r w:rsidRPr="00384FA4">
        <w:t>Derecognition</w:t>
      </w:r>
      <w:proofErr w:type="spellEnd"/>
    </w:p>
    <w:p w14:paraId="01178256" w14:textId="77777777" w:rsidR="00AB6753" w:rsidRPr="00384FA4" w:rsidRDefault="00AB6753" w:rsidP="00AB6753">
      <w:pPr>
        <w:pStyle w:val="PolicytextDept"/>
        <w:pBdr>
          <w:top w:val="none" w:sz="0" w:space="0" w:color="auto"/>
          <w:left w:val="single" w:sz="4" w:space="0" w:color="00B2BA"/>
          <w:bottom w:val="single" w:sz="4" w:space="1" w:color="00B2BA"/>
          <w:right w:val="single" w:sz="4" w:space="12" w:color="00B2BA"/>
        </w:pBdr>
        <w:spacing w:after="0"/>
      </w:pPr>
      <w:r w:rsidRPr="00384FA4">
        <w:t>An item of property, plant and equipment is derecognised upon disposal or when no further future economic benefits are expected from its use or disposal.</w:t>
      </w:r>
    </w:p>
    <w:p w14:paraId="7DEFDB0E" w14:textId="77777777" w:rsidR="00AB6753" w:rsidRPr="00384FA4" w:rsidRDefault="00AB6753" w:rsidP="00AB6753">
      <w:pPr>
        <w:pStyle w:val="PolicytextDept"/>
        <w:pBdr>
          <w:top w:val="none" w:sz="0" w:space="0" w:color="auto"/>
          <w:left w:val="single" w:sz="4" w:space="0" w:color="00B2BA"/>
          <w:bottom w:val="single" w:sz="4" w:space="1" w:color="00B2BA"/>
          <w:right w:val="single" w:sz="4" w:space="12" w:color="00B2BA"/>
        </w:pBdr>
        <w:spacing w:after="0"/>
      </w:pPr>
    </w:p>
    <w:p w14:paraId="75B3A2AB" w14:textId="77777777" w:rsidR="00AB6753" w:rsidRPr="00384FA4" w:rsidRDefault="00AB6753" w:rsidP="00AB6753">
      <w:pPr>
        <w:pStyle w:val="Policytextdeptunderline"/>
        <w:pBdr>
          <w:top w:val="none" w:sz="0" w:space="0" w:color="auto"/>
          <w:left w:val="single" w:sz="4" w:space="0" w:color="00B2BA"/>
          <w:bottom w:val="single" w:sz="4" w:space="1" w:color="00B2BA"/>
          <w:right w:val="single" w:sz="4" w:space="12" w:color="00B2BA"/>
        </w:pBdr>
      </w:pPr>
      <w:r w:rsidRPr="00384FA4">
        <w:t>Transfers</w:t>
      </w:r>
    </w:p>
    <w:p w14:paraId="077465CC" w14:textId="77777777" w:rsidR="00AB6753" w:rsidRPr="00720F79" w:rsidRDefault="00AB6753" w:rsidP="00AB6753">
      <w:pPr>
        <w:pStyle w:val="PolicytextDept"/>
        <w:pBdr>
          <w:top w:val="none" w:sz="0" w:space="0" w:color="auto"/>
          <w:left w:val="single" w:sz="4" w:space="0" w:color="00B2BA"/>
          <w:bottom w:val="single" w:sz="4" w:space="1" w:color="00B2BA"/>
          <w:right w:val="single" w:sz="4" w:space="12" w:color="00B2BA"/>
        </w:pBdr>
        <w:spacing w:after="0"/>
      </w:pPr>
      <w:r w:rsidRPr="00384FA4">
        <w:t>The department transfers assets between categories to ensure the nature and useful lives of assets are disclosed in accordance with departmental asset policy.</w:t>
      </w:r>
      <w:r>
        <w:t xml:space="preserve"> </w:t>
      </w:r>
    </w:p>
    <w:p w14:paraId="1771F756" w14:textId="77777777" w:rsidR="00AB6753" w:rsidRDefault="00AB6753" w:rsidP="00AB6753">
      <w:pPr>
        <w:spacing w:line="240" w:lineRule="auto"/>
      </w:pPr>
    </w:p>
    <w:p w14:paraId="0A2A68E0" w14:textId="77777777" w:rsidR="00AB6753" w:rsidRDefault="00AB6753" w:rsidP="00AB6753">
      <w:pPr>
        <w:pStyle w:val="NotesTextnolinespace"/>
        <w:rPr>
          <w:szCs w:val="18"/>
        </w:rPr>
      </w:pPr>
      <w:r>
        <w:br w:type="page"/>
      </w:r>
    </w:p>
    <w:p w14:paraId="1806098F" w14:textId="77777777" w:rsidR="00AB6753" w:rsidRPr="00163047" w:rsidRDefault="00AB6753" w:rsidP="00AB6753">
      <w:pPr>
        <w:pStyle w:val="SubHeading"/>
        <w:numPr>
          <w:ilvl w:val="1"/>
          <w:numId w:val="56"/>
        </w:numPr>
        <w:ind w:left="454" w:hanging="454"/>
        <w:rPr>
          <w:sz w:val="20"/>
        </w:rPr>
      </w:pPr>
      <w:bookmarkStart w:id="135" w:name="_Toc443469531"/>
      <w:bookmarkStart w:id="136" w:name="_Toc444065783"/>
      <w:bookmarkStart w:id="137" w:name="_Toc444079980"/>
      <w:bookmarkStart w:id="138" w:name="_Toc450750164"/>
      <w:bookmarkStart w:id="139" w:name="_Toc45748809"/>
      <w:r w:rsidRPr="00163047">
        <w:rPr>
          <w:sz w:val="20"/>
        </w:rPr>
        <w:lastRenderedPageBreak/>
        <w:t>Payables</w:t>
      </w:r>
      <w:bookmarkEnd w:id="135"/>
      <w:bookmarkEnd w:id="136"/>
      <w:bookmarkEnd w:id="137"/>
      <w:bookmarkEnd w:id="138"/>
      <w:bookmarkEnd w:id="139"/>
    </w:p>
    <w:tbl>
      <w:tblPr>
        <w:tblW w:w="9411" w:type="dxa"/>
        <w:tblInd w:w="80" w:type="dxa"/>
        <w:tblLayout w:type="fixed"/>
        <w:tblLook w:val="04A0" w:firstRow="1" w:lastRow="0" w:firstColumn="1" w:lastColumn="0" w:noHBand="0" w:noVBand="1"/>
        <w:tblCaption w:val="Notes to and forming part of the financial statements"/>
        <w:tblDescription w:val="Payables"/>
      </w:tblPr>
      <w:tblGrid>
        <w:gridCol w:w="6561"/>
        <w:gridCol w:w="1288"/>
        <w:gridCol w:w="274"/>
        <w:gridCol w:w="1288"/>
      </w:tblGrid>
      <w:tr w:rsidR="00AB6753" w14:paraId="30FE72F1" w14:textId="77777777" w:rsidTr="002D1EA4">
        <w:trPr>
          <w:trHeight w:val="255"/>
        </w:trPr>
        <w:tc>
          <w:tcPr>
            <w:tcW w:w="6396" w:type="dxa"/>
            <w:tcBorders>
              <w:top w:val="nil"/>
              <w:left w:val="nil"/>
              <w:bottom w:val="nil"/>
              <w:right w:val="nil"/>
            </w:tcBorders>
            <w:shd w:val="clear" w:color="FFFFFF" w:fill="FFFFFF"/>
            <w:noWrap/>
            <w:vAlign w:val="bottom"/>
            <w:hideMark/>
          </w:tcPr>
          <w:p w14:paraId="3AA95E8F" w14:textId="77777777" w:rsidR="00AB6753" w:rsidRDefault="00AB6753" w:rsidP="002D1EA4">
            <w:pPr>
              <w:spacing w:after="0"/>
              <w:rPr>
                <w:rFonts w:cs="Arial"/>
                <w:sz w:val="18"/>
                <w:szCs w:val="18"/>
              </w:rPr>
            </w:pPr>
            <w:bookmarkStart w:id="140" w:name="Note_SPATABLE1" w:colFirst="0" w:colLast="0"/>
            <w:r>
              <w:rPr>
                <w:rFonts w:cs="Arial"/>
                <w:sz w:val="18"/>
                <w:szCs w:val="18"/>
              </w:rPr>
              <w:t> </w:t>
            </w:r>
          </w:p>
        </w:tc>
        <w:tc>
          <w:tcPr>
            <w:tcW w:w="1256" w:type="dxa"/>
            <w:tcBorders>
              <w:top w:val="nil"/>
              <w:left w:val="nil"/>
              <w:bottom w:val="nil"/>
              <w:right w:val="nil"/>
            </w:tcBorders>
            <w:shd w:val="clear" w:color="FFFFFF" w:fill="FFFFFF"/>
            <w:vAlign w:val="bottom"/>
            <w:hideMark/>
          </w:tcPr>
          <w:p w14:paraId="0E9D62DA" w14:textId="77777777" w:rsidR="00AB6753" w:rsidRDefault="00AB6753" w:rsidP="002D1EA4">
            <w:pPr>
              <w:spacing w:after="0"/>
              <w:jc w:val="right"/>
              <w:rPr>
                <w:rFonts w:cs="Arial"/>
                <w:b/>
                <w:bCs/>
                <w:sz w:val="18"/>
                <w:szCs w:val="18"/>
              </w:rPr>
            </w:pPr>
            <w:r>
              <w:rPr>
                <w:rFonts w:cs="Arial"/>
                <w:b/>
                <w:bCs/>
                <w:sz w:val="18"/>
                <w:szCs w:val="18"/>
              </w:rPr>
              <w:t>2020</w:t>
            </w:r>
          </w:p>
        </w:tc>
        <w:tc>
          <w:tcPr>
            <w:tcW w:w="267" w:type="dxa"/>
            <w:tcBorders>
              <w:top w:val="nil"/>
              <w:left w:val="nil"/>
              <w:bottom w:val="nil"/>
              <w:right w:val="nil"/>
            </w:tcBorders>
            <w:shd w:val="clear" w:color="FFFFFF" w:fill="FFFFFF"/>
            <w:noWrap/>
            <w:vAlign w:val="bottom"/>
            <w:hideMark/>
          </w:tcPr>
          <w:p w14:paraId="46E602F0"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010B7E71" w14:textId="77777777" w:rsidR="00AB6753" w:rsidRDefault="00AB6753" w:rsidP="002D1EA4">
            <w:pPr>
              <w:spacing w:after="0"/>
              <w:jc w:val="right"/>
              <w:rPr>
                <w:rFonts w:cs="Arial"/>
                <w:sz w:val="18"/>
                <w:szCs w:val="18"/>
              </w:rPr>
            </w:pPr>
            <w:r>
              <w:rPr>
                <w:rFonts w:cs="Arial"/>
                <w:sz w:val="18"/>
                <w:szCs w:val="18"/>
              </w:rPr>
              <w:t>2019</w:t>
            </w:r>
          </w:p>
        </w:tc>
      </w:tr>
      <w:bookmarkEnd w:id="140"/>
      <w:tr w:rsidR="00AB6753" w14:paraId="6A304911" w14:textId="77777777" w:rsidTr="002D1EA4">
        <w:trPr>
          <w:trHeight w:val="255"/>
        </w:trPr>
        <w:tc>
          <w:tcPr>
            <w:tcW w:w="6396" w:type="dxa"/>
            <w:tcBorders>
              <w:top w:val="nil"/>
              <w:left w:val="nil"/>
              <w:bottom w:val="nil"/>
              <w:right w:val="nil"/>
            </w:tcBorders>
            <w:shd w:val="clear" w:color="FFFFFF" w:fill="FFFFFF"/>
            <w:noWrap/>
            <w:vAlign w:val="bottom"/>
            <w:hideMark/>
          </w:tcPr>
          <w:p w14:paraId="2C8C62BE"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20B4D42D" w14:textId="77777777" w:rsidR="00AB6753" w:rsidRDefault="00AB6753" w:rsidP="002D1EA4">
            <w:pPr>
              <w:spacing w:after="0"/>
              <w:jc w:val="right"/>
              <w:rPr>
                <w:rFonts w:cs="Arial"/>
                <w:b/>
                <w:bCs/>
                <w:sz w:val="18"/>
                <w:szCs w:val="18"/>
              </w:rPr>
            </w:pPr>
            <w:r>
              <w:rPr>
                <w:rFonts w:cs="Arial"/>
                <w:b/>
                <w:bCs/>
                <w:sz w:val="18"/>
                <w:szCs w:val="18"/>
              </w:rPr>
              <w:t>$'000</w:t>
            </w:r>
          </w:p>
        </w:tc>
        <w:tc>
          <w:tcPr>
            <w:tcW w:w="267" w:type="dxa"/>
            <w:tcBorders>
              <w:top w:val="nil"/>
              <w:left w:val="nil"/>
              <w:bottom w:val="nil"/>
              <w:right w:val="nil"/>
            </w:tcBorders>
            <w:shd w:val="clear" w:color="FFFFFF" w:fill="FFFFFF"/>
            <w:noWrap/>
            <w:vAlign w:val="bottom"/>
            <w:hideMark/>
          </w:tcPr>
          <w:p w14:paraId="543C8692"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3103646C" w14:textId="77777777" w:rsidR="00AB6753" w:rsidRDefault="00AB6753" w:rsidP="002D1EA4">
            <w:pPr>
              <w:spacing w:after="0"/>
              <w:jc w:val="right"/>
              <w:rPr>
                <w:rFonts w:cs="Arial"/>
                <w:sz w:val="18"/>
                <w:szCs w:val="18"/>
              </w:rPr>
            </w:pPr>
            <w:r>
              <w:rPr>
                <w:rFonts w:cs="Arial"/>
                <w:sz w:val="18"/>
                <w:szCs w:val="18"/>
              </w:rPr>
              <w:t>$'000</w:t>
            </w:r>
          </w:p>
        </w:tc>
      </w:tr>
      <w:tr w:rsidR="00AB6753" w14:paraId="43BE4B93" w14:textId="77777777" w:rsidTr="002D1EA4">
        <w:trPr>
          <w:trHeight w:val="255"/>
        </w:trPr>
        <w:tc>
          <w:tcPr>
            <w:tcW w:w="6396" w:type="dxa"/>
            <w:tcBorders>
              <w:top w:val="nil"/>
              <w:left w:val="nil"/>
              <w:bottom w:val="nil"/>
              <w:right w:val="nil"/>
            </w:tcBorders>
            <w:shd w:val="clear" w:color="FFFFFF" w:fill="FFFFFF"/>
            <w:noWrap/>
            <w:vAlign w:val="bottom"/>
            <w:hideMark/>
          </w:tcPr>
          <w:p w14:paraId="596FF61A" w14:textId="77777777" w:rsidR="00AB6753" w:rsidRDefault="00AB6753" w:rsidP="002D1EA4">
            <w:pPr>
              <w:spacing w:after="0"/>
              <w:rPr>
                <w:rFonts w:cs="Arial"/>
                <w:b/>
                <w:bCs/>
                <w:sz w:val="18"/>
                <w:szCs w:val="18"/>
                <w:u w:val="single"/>
              </w:rPr>
            </w:pPr>
            <w:r>
              <w:rPr>
                <w:rFonts w:cs="Arial"/>
                <w:b/>
                <w:bCs/>
                <w:sz w:val="18"/>
                <w:szCs w:val="18"/>
                <w:u w:val="single"/>
              </w:rPr>
              <w:t>Note 3.3A: Suppliers</w:t>
            </w:r>
          </w:p>
        </w:tc>
        <w:tc>
          <w:tcPr>
            <w:tcW w:w="1256" w:type="dxa"/>
            <w:tcBorders>
              <w:top w:val="nil"/>
              <w:left w:val="nil"/>
              <w:bottom w:val="nil"/>
              <w:right w:val="nil"/>
            </w:tcBorders>
            <w:shd w:val="clear" w:color="FFFFFF" w:fill="FFFFFF"/>
            <w:noWrap/>
            <w:vAlign w:val="bottom"/>
            <w:hideMark/>
          </w:tcPr>
          <w:p w14:paraId="374136FC"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5BE73ED5"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516250B0" w14:textId="77777777" w:rsidR="00AB6753" w:rsidRDefault="00AB6753" w:rsidP="002D1EA4">
            <w:pPr>
              <w:spacing w:after="0"/>
              <w:jc w:val="right"/>
              <w:rPr>
                <w:rFonts w:cs="Arial"/>
                <w:sz w:val="18"/>
                <w:szCs w:val="18"/>
              </w:rPr>
            </w:pPr>
            <w:r>
              <w:rPr>
                <w:rFonts w:cs="Arial"/>
                <w:sz w:val="18"/>
                <w:szCs w:val="18"/>
              </w:rPr>
              <w:t> </w:t>
            </w:r>
          </w:p>
        </w:tc>
      </w:tr>
      <w:tr w:rsidR="00AB6753" w14:paraId="36D315E2" w14:textId="77777777" w:rsidTr="002D1EA4">
        <w:trPr>
          <w:trHeight w:val="255"/>
        </w:trPr>
        <w:tc>
          <w:tcPr>
            <w:tcW w:w="6396" w:type="dxa"/>
            <w:tcBorders>
              <w:top w:val="nil"/>
              <w:left w:val="nil"/>
              <w:bottom w:val="nil"/>
              <w:right w:val="nil"/>
            </w:tcBorders>
            <w:shd w:val="clear" w:color="FFFFFF" w:fill="FFFFFF"/>
            <w:vAlign w:val="bottom"/>
            <w:hideMark/>
          </w:tcPr>
          <w:p w14:paraId="766625DC" w14:textId="77777777" w:rsidR="00AB6753" w:rsidRDefault="00AB6753" w:rsidP="002D1EA4">
            <w:pPr>
              <w:spacing w:after="0"/>
              <w:rPr>
                <w:rFonts w:cs="Arial"/>
                <w:sz w:val="18"/>
                <w:szCs w:val="18"/>
              </w:rPr>
            </w:pPr>
            <w:r>
              <w:rPr>
                <w:rFonts w:cs="Arial"/>
                <w:sz w:val="18"/>
                <w:szCs w:val="18"/>
              </w:rPr>
              <w:t>Trade creditors and accruals</w:t>
            </w:r>
          </w:p>
        </w:tc>
        <w:tc>
          <w:tcPr>
            <w:tcW w:w="1256" w:type="dxa"/>
            <w:tcBorders>
              <w:top w:val="nil"/>
              <w:left w:val="nil"/>
              <w:bottom w:val="nil"/>
              <w:right w:val="nil"/>
            </w:tcBorders>
            <w:shd w:val="clear" w:color="FFFFFF" w:fill="FFFFFF"/>
            <w:noWrap/>
            <w:vAlign w:val="bottom"/>
            <w:hideMark/>
          </w:tcPr>
          <w:p w14:paraId="47C7527F" w14:textId="77777777" w:rsidR="00AB6753" w:rsidRDefault="00AB6753" w:rsidP="002D1EA4">
            <w:pPr>
              <w:spacing w:after="0"/>
              <w:jc w:val="right"/>
              <w:rPr>
                <w:rFonts w:cs="Arial"/>
                <w:b/>
                <w:bCs/>
                <w:sz w:val="18"/>
                <w:szCs w:val="18"/>
              </w:rPr>
            </w:pPr>
            <w:r>
              <w:rPr>
                <w:rFonts w:cs="Arial"/>
                <w:b/>
                <w:bCs/>
                <w:sz w:val="18"/>
                <w:szCs w:val="18"/>
              </w:rPr>
              <w:t>20,406</w:t>
            </w:r>
          </w:p>
        </w:tc>
        <w:tc>
          <w:tcPr>
            <w:tcW w:w="267" w:type="dxa"/>
            <w:tcBorders>
              <w:top w:val="nil"/>
              <w:left w:val="nil"/>
              <w:bottom w:val="nil"/>
              <w:right w:val="nil"/>
            </w:tcBorders>
            <w:shd w:val="clear" w:color="FFFFFF" w:fill="FFFFFF"/>
            <w:noWrap/>
            <w:vAlign w:val="bottom"/>
            <w:hideMark/>
          </w:tcPr>
          <w:p w14:paraId="44B4A96E"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61D4ABE3" w14:textId="77777777" w:rsidR="00AB6753" w:rsidRDefault="00AB6753" w:rsidP="002D1EA4">
            <w:pPr>
              <w:spacing w:after="0"/>
              <w:jc w:val="right"/>
              <w:rPr>
                <w:rFonts w:cs="Arial"/>
                <w:sz w:val="18"/>
                <w:szCs w:val="18"/>
              </w:rPr>
            </w:pPr>
            <w:r>
              <w:rPr>
                <w:rFonts w:cs="Arial"/>
                <w:sz w:val="18"/>
                <w:szCs w:val="18"/>
              </w:rPr>
              <w:t>23,707</w:t>
            </w:r>
          </w:p>
        </w:tc>
      </w:tr>
      <w:tr w:rsidR="00AB6753" w14:paraId="4CBF7787" w14:textId="77777777" w:rsidTr="002D1EA4">
        <w:trPr>
          <w:trHeight w:val="255"/>
        </w:trPr>
        <w:tc>
          <w:tcPr>
            <w:tcW w:w="6396" w:type="dxa"/>
            <w:tcBorders>
              <w:top w:val="nil"/>
              <w:left w:val="nil"/>
              <w:bottom w:val="nil"/>
              <w:right w:val="nil"/>
            </w:tcBorders>
            <w:shd w:val="clear" w:color="FFFFFF" w:fill="FFFFFF"/>
            <w:vAlign w:val="bottom"/>
            <w:hideMark/>
          </w:tcPr>
          <w:p w14:paraId="5AFB4096" w14:textId="77777777" w:rsidR="00AB6753" w:rsidRDefault="00AB6753" w:rsidP="002D1EA4">
            <w:pPr>
              <w:spacing w:after="0"/>
              <w:rPr>
                <w:rFonts w:cs="Arial"/>
                <w:b/>
                <w:bCs/>
                <w:sz w:val="18"/>
                <w:szCs w:val="18"/>
              </w:rPr>
            </w:pPr>
            <w:r>
              <w:rPr>
                <w:rFonts w:cs="Arial"/>
                <w:b/>
                <w:bCs/>
                <w:sz w:val="18"/>
                <w:szCs w:val="18"/>
              </w:rPr>
              <w:t>Total suppliers</w:t>
            </w:r>
          </w:p>
        </w:tc>
        <w:tc>
          <w:tcPr>
            <w:tcW w:w="1256" w:type="dxa"/>
            <w:tcBorders>
              <w:top w:val="single" w:sz="4" w:space="0" w:color="auto"/>
              <w:left w:val="nil"/>
              <w:bottom w:val="single" w:sz="4" w:space="0" w:color="auto"/>
              <w:right w:val="nil"/>
            </w:tcBorders>
            <w:shd w:val="clear" w:color="FFFFFF" w:fill="FFFFFF"/>
            <w:noWrap/>
            <w:vAlign w:val="bottom"/>
            <w:hideMark/>
          </w:tcPr>
          <w:p w14:paraId="73E9B140" w14:textId="77777777" w:rsidR="00AB6753" w:rsidRDefault="00AB6753" w:rsidP="002D1EA4">
            <w:pPr>
              <w:spacing w:after="0"/>
              <w:jc w:val="right"/>
              <w:rPr>
                <w:rFonts w:cs="Arial"/>
                <w:b/>
                <w:bCs/>
                <w:sz w:val="18"/>
                <w:szCs w:val="18"/>
              </w:rPr>
            </w:pPr>
            <w:r>
              <w:rPr>
                <w:rFonts w:cs="Arial"/>
                <w:b/>
                <w:bCs/>
                <w:sz w:val="18"/>
                <w:szCs w:val="18"/>
              </w:rPr>
              <w:t>20,406</w:t>
            </w:r>
          </w:p>
        </w:tc>
        <w:tc>
          <w:tcPr>
            <w:tcW w:w="267" w:type="dxa"/>
            <w:tcBorders>
              <w:top w:val="nil"/>
              <w:left w:val="nil"/>
              <w:bottom w:val="nil"/>
              <w:right w:val="nil"/>
            </w:tcBorders>
            <w:shd w:val="clear" w:color="FFFFFF" w:fill="FFFFFF"/>
            <w:noWrap/>
            <w:vAlign w:val="bottom"/>
            <w:hideMark/>
          </w:tcPr>
          <w:p w14:paraId="6741E0A1" w14:textId="77777777" w:rsidR="00AB6753" w:rsidRDefault="00AB6753" w:rsidP="002D1EA4">
            <w:pPr>
              <w:spacing w:after="0"/>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65536E68" w14:textId="77777777" w:rsidR="00AB6753" w:rsidRDefault="00AB6753" w:rsidP="002D1EA4">
            <w:pPr>
              <w:spacing w:after="0"/>
              <w:jc w:val="right"/>
              <w:rPr>
                <w:rFonts w:cs="Arial"/>
                <w:sz w:val="18"/>
                <w:szCs w:val="18"/>
              </w:rPr>
            </w:pPr>
            <w:r>
              <w:rPr>
                <w:rFonts w:cs="Arial"/>
                <w:sz w:val="18"/>
                <w:szCs w:val="18"/>
              </w:rPr>
              <w:t>23,707</w:t>
            </w:r>
          </w:p>
        </w:tc>
      </w:tr>
    </w:tbl>
    <w:p w14:paraId="68595786" w14:textId="77777777" w:rsidR="00AB6753" w:rsidRPr="00F94F90" w:rsidRDefault="00AB6753" w:rsidP="00AB6753">
      <w:pPr>
        <w:spacing w:line="240" w:lineRule="auto"/>
        <w:rPr>
          <w:rFonts w:cs="Arial"/>
          <w:sz w:val="18"/>
          <w:szCs w:val="18"/>
          <w:vertAlign w:val="superscript"/>
        </w:rPr>
      </w:pPr>
    </w:p>
    <w:p w14:paraId="467F9595" w14:textId="77777777" w:rsidR="00AB6753" w:rsidRDefault="00AB6753" w:rsidP="00AB6753">
      <w:pPr>
        <w:rPr>
          <w:rFonts w:cs="Arial"/>
          <w:sz w:val="18"/>
          <w:szCs w:val="18"/>
        </w:rPr>
      </w:pPr>
      <w:r>
        <w:rPr>
          <w:rFonts w:cs="Arial"/>
          <w:sz w:val="18"/>
          <w:szCs w:val="18"/>
        </w:rPr>
        <w:t xml:space="preserve">During the 2020 financial year, settlement was usually made within 20 days. In response to COVID-19, from </w:t>
      </w:r>
      <w:r>
        <w:rPr>
          <w:rFonts w:cs="Arial"/>
          <w:sz w:val="18"/>
          <w:szCs w:val="18"/>
        </w:rPr>
        <w:br/>
        <w:t xml:space="preserve">mid-April 2020, settlement was usually made within 7 days to assist the cash flow for Australian </w:t>
      </w:r>
      <w:r w:rsidRPr="00AE6A5A">
        <w:rPr>
          <w:rFonts w:cs="Arial"/>
          <w:sz w:val="18"/>
          <w:szCs w:val="18"/>
        </w:rPr>
        <w:t xml:space="preserve">businesses </w:t>
      </w:r>
      <w:r>
        <w:rPr>
          <w:rFonts w:cs="Arial"/>
          <w:sz w:val="18"/>
          <w:szCs w:val="18"/>
        </w:rPr>
        <w:br/>
      </w:r>
      <w:r w:rsidRPr="00AE6A5A">
        <w:rPr>
          <w:rFonts w:cs="Arial"/>
          <w:sz w:val="18"/>
          <w:szCs w:val="18"/>
        </w:rPr>
        <w:t>(2019: 30 days).</w:t>
      </w:r>
    </w:p>
    <w:tbl>
      <w:tblPr>
        <w:tblW w:w="9411" w:type="dxa"/>
        <w:tblInd w:w="80" w:type="dxa"/>
        <w:tblLayout w:type="fixed"/>
        <w:tblLook w:val="04A0" w:firstRow="1" w:lastRow="0" w:firstColumn="1" w:lastColumn="0" w:noHBand="0" w:noVBand="1"/>
        <w:tblCaption w:val="Notes to and forming part of the financial statements"/>
        <w:tblDescription w:val="Payables"/>
      </w:tblPr>
      <w:tblGrid>
        <w:gridCol w:w="6561"/>
        <w:gridCol w:w="1288"/>
        <w:gridCol w:w="274"/>
        <w:gridCol w:w="1288"/>
      </w:tblGrid>
      <w:tr w:rsidR="00AB6753" w14:paraId="10220513" w14:textId="77777777" w:rsidTr="002D1EA4">
        <w:trPr>
          <w:trHeight w:val="255"/>
        </w:trPr>
        <w:tc>
          <w:tcPr>
            <w:tcW w:w="6561" w:type="dxa"/>
            <w:tcBorders>
              <w:top w:val="nil"/>
              <w:left w:val="nil"/>
              <w:bottom w:val="nil"/>
              <w:right w:val="nil"/>
            </w:tcBorders>
            <w:shd w:val="clear" w:color="FFFFFF" w:fill="FFFFFF"/>
            <w:noWrap/>
            <w:vAlign w:val="bottom"/>
            <w:hideMark/>
          </w:tcPr>
          <w:p w14:paraId="279A502B" w14:textId="77777777" w:rsidR="00AB6753" w:rsidRDefault="00AB6753" w:rsidP="002D1EA4">
            <w:pPr>
              <w:spacing w:after="0"/>
              <w:rPr>
                <w:rFonts w:cs="Arial"/>
                <w:b/>
                <w:bCs/>
                <w:sz w:val="18"/>
                <w:szCs w:val="18"/>
                <w:u w:val="single"/>
              </w:rPr>
            </w:pPr>
            <w:bookmarkStart w:id="141" w:name="Note_OPBTABLE1" w:colFirst="0" w:colLast="0"/>
            <w:r>
              <w:rPr>
                <w:rFonts w:cs="Arial"/>
                <w:b/>
                <w:bCs/>
                <w:sz w:val="18"/>
                <w:szCs w:val="18"/>
                <w:u w:val="single"/>
              </w:rPr>
              <w:t>Note 3.3B: Other Payables</w:t>
            </w:r>
          </w:p>
        </w:tc>
        <w:tc>
          <w:tcPr>
            <w:tcW w:w="1288" w:type="dxa"/>
            <w:tcBorders>
              <w:top w:val="nil"/>
              <w:left w:val="nil"/>
              <w:bottom w:val="nil"/>
              <w:right w:val="nil"/>
            </w:tcBorders>
            <w:shd w:val="clear" w:color="FFFFFF" w:fill="FFFFFF"/>
            <w:noWrap/>
            <w:vAlign w:val="bottom"/>
            <w:hideMark/>
          </w:tcPr>
          <w:p w14:paraId="66024FB2" w14:textId="77777777" w:rsidR="00AB6753" w:rsidRDefault="00AB6753" w:rsidP="002D1EA4">
            <w:pPr>
              <w:spacing w:after="0"/>
              <w:rPr>
                <w:rFonts w:cs="Arial"/>
                <w:sz w:val="18"/>
                <w:szCs w:val="18"/>
              </w:rPr>
            </w:pPr>
            <w:r>
              <w:rPr>
                <w:rFonts w:cs="Arial"/>
                <w:sz w:val="18"/>
                <w:szCs w:val="18"/>
              </w:rPr>
              <w:t> </w:t>
            </w:r>
          </w:p>
        </w:tc>
        <w:tc>
          <w:tcPr>
            <w:tcW w:w="274" w:type="dxa"/>
            <w:tcBorders>
              <w:top w:val="nil"/>
              <w:left w:val="nil"/>
              <w:bottom w:val="nil"/>
              <w:right w:val="nil"/>
            </w:tcBorders>
            <w:shd w:val="clear" w:color="FFFFFF" w:fill="FFFFFF"/>
            <w:noWrap/>
            <w:vAlign w:val="bottom"/>
            <w:hideMark/>
          </w:tcPr>
          <w:p w14:paraId="01B843D9" w14:textId="77777777" w:rsidR="00AB6753" w:rsidRDefault="00AB6753" w:rsidP="002D1EA4">
            <w:pPr>
              <w:spacing w:after="0"/>
              <w:rPr>
                <w:rFonts w:cs="Arial"/>
                <w:sz w:val="18"/>
                <w:szCs w:val="18"/>
              </w:rPr>
            </w:pPr>
            <w:r>
              <w:rPr>
                <w:rFonts w:cs="Arial"/>
                <w:sz w:val="18"/>
                <w:szCs w:val="18"/>
              </w:rPr>
              <w:t> </w:t>
            </w:r>
          </w:p>
        </w:tc>
        <w:tc>
          <w:tcPr>
            <w:tcW w:w="1288" w:type="dxa"/>
            <w:tcBorders>
              <w:top w:val="nil"/>
              <w:left w:val="nil"/>
              <w:bottom w:val="nil"/>
              <w:right w:val="nil"/>
            </w:tcBorders>
            <w:shd w:val="clear" w:color="FFFFFF" w:fill="FFFFFF"/>
            <w:noWrap/>
            <w:vAlign w:val="bottom"/>
            <w:hideMark/>
          </w:tcPr>
          <w:p w14:paraId="150F89B1" w14:textId="77777777" w:rsidR="00AB6753" w:rsidRDefault="00AB6753" w:rsidP="002D1EA4">
            <w:pPr>
              <w:spacing w:after="0"/>
              <w:rPr>
                <w:rFonts w:cs="Arial"/>
                <w:sz w:val="18"/>
                <w:szCs w:val="18"/>
              </w:rPr>
            </w:pPr>
            <w:r>
              <w:rPr>
                <w:rFonts w:cs="Arial"/>
                <w:sz w:val="18"/>
                <w:szCs w:val="18"/>
              </w:rPr>
              <w:t> </w:t>
            </w:r>
          </w:p>
        </w:tc>
      </w:tr>
      <w:bookmarkEnd w:id="141"/>
      <w:tr w:rsidR="00AB6753" w14:paraId="2AA131A9" w14:textId="77777777" w:rsidTr="002D1EA4">
        <w:trPr>
          <w:trHeight w:val="255"/>
        </w:trPr>
        <w:tc>
          <w:tcPr>
            <w:tcW w:w="6561" w:type="dxa"/>
            <w:tcBorders>
              <w:top w:val="nil"/>
              <w:left w:val="nil"/>
              <w:bottom w:val="nil"/>
              <w:right w:val="nil"/>
            </w:tcBorders>
            <w:shd w:val="clear" w:color="FFFFFF" w:fill="FFFFFF"/>
            <w:vAlign w:val="bottom"/>
            <w:hideMark/>
          </w:tcPr>
          <w:p w14:paraId="0429761C" w14:textId="77777777" w:rsidR="00AB6753" w:rsidRDefault="00AB6753" w:rsidP="002D1EA4">
            <w:pPr>
              <w:spacing w:after="0"/>
              <w:rPr>
                <w:rFonts w:cs="Arial"/>
                <w:sz w:val="18"/>
                <w:szCs w:val="18"/>
              </w:rPr>
            </w:pPr>
            <w:r>
              <w:rPr>
                <w:rFonts w:cs="Arial"/>
                <w:sz w:val="18"/>
                <w:szCs w:val="18"/>
              </w:rPr>
              <w:t>Lease incentive</w:t>
            </w:r>
          </w:p>
        </w:tc>
        <w:tc>
          <w:tcPr>
            <w:tcW w:w="1288" w:type="dxa"/>
            <w:tcBorders>
              <w:top w:val="nil"/>
              <w:left w:val="nil"/>
              <w:bottom w:val="nil"/>
              <w:right w:val="nil"/>
            </w:tcBorders>
            <w:shd w:val="clear" w:color="FFFFFF" w:fill="FFFFFF"/>
            <w:noWrap/>
            <w:vAlign w:val="bottom"/>
            <w:hideMark/>
          </w:tcPr>
          <w:p w14:paraId="45A4B93C" w14:textId="77777777" w:rsidR="00AB6753" w:rsidRDefault="00AB6753" w:rsidP="002D1EA4">
            <w:pPr>
              <w:spacing w:after="0"/>
              <w:jc w:val="right"/>
              <w:rPr>
                <w:rFonts w:cs="Arial"/>
                <w:b/>
                <w:bCs/>
                <w:sz w:val="18"/>
                <w:szCs w:val="18"/>
              </w:rPr>
            </w:pPr>
            <w:r>
              <w:rPr>
                <w:rFonts w:cs="Arial"/>
                <w:b/>
                <w:bCs/>
                <w:sz w:val="18"/>
                <w:szCs w:val="18"/>
              </w:rPr>
              <w:t>-</w:t>
            </w:r>
          </w:p>
        </w:tc>
        <w:tc>
          <w:tcPr>
            <w:tcW w:w="274" w:type="dxa"/>
            <w:tcBorders>
              <w:top w:val="nil"/>
              <w:left w:val="nil"/>
              <w:bottom w:val="nil"/>
              <w:right w:val="nil"/>
            </w:tcBorders>
            <w:shd w:val="clear" w:color="FFFFFF" w:fill="FFFFFF"/>
            <w:noWrap/>
            <w:vAlign w:val="bottom"/>
            <w:hideMark/>
          </w:tcPr>
          <w:p w14:paraId="5B62FAF4" w14:textId="77777777" w:rsidR="00AB6753" w:rsidRDefault="00AB6753" w:rsidP="002D1EA4">
            <w:pPr>
              <w:spacing w:after="0"/>
              <w:rPr>
                <w:rFonts w:cs="Arial"/>
                <w:sz w:val="18"/>
                <w:szCs w:val="18"/>
              </w:rPr>
            </w:pPr>
            <w:r>
              <w:rPr>
                <w:rFonts w:cs="Arial"/>
                <w:sz w:val="18"/>
                <w:szCs w:val="18"/>
              </w:rPr>
              <w:t> </w:t>
            </w:r>
          </w:p>
        </w:tc>
        <w:tc>
          <w:tcPr>
            <w:tcW w:w="1288" w:type="dxa"/>
            <w:tcBorders>
              <w:top w:val="nil"/>
              <w:left w:val="nil"/>
              <w:bottom w:val="nil"/>
              <w:right w:val="nil"/>
            </w:tcBorders>
            <w:shd w:val="clear" w:color="FFFFFF" w:fill="FFFFFF"/>
            <w:noWrap/>
            <w:vAlign w:val="bottom"/>
            <w:hideMark/>
          </w:tcPr>
          <w:p w14:paraId="7F423967" w14:textId="77777777" w:rsidR="00AB6753" w:rsidRDefault="00AB6753" w:rsidP="002D1EA4">
            <w:pPr>
              <w:spacing w:after="0"/>
              <w:jc w:val="right"/>
              <w:rPr>
                <w:rFonts w:cs="Arial"/>
                <w:sz w:val="18"/>
                <w:szCs w:val="18"/>
              </w:rPr>
            </w:pPr>
            <w:r>
              <w:rPr>
                <w:rFonts w:cs="Arial"/>
                <w:sz w:val="18"/>
                <w:szCs w:val="18"/>
              </w:rPr>
              <w:t>27,199</w:t>
            </w:r>
          </w:p>
        </w:tc>
      </w:tr>
      <w:tr w:rsidR="00AB6753" w14:paraId="2AA3F14C" w14:textId="77777777" w:rsidTr="002D1EA4">
        <w:trPr>
          <w:trHeight w:val="255"/>
        </w:trPr>
        <w:tc>
          <w:tcPr>
            <w:tcW w:w="6561" w:type="dxa"/>
            <w:tcBorders>
              <w:top w:val="nil"/>
              <w:left w:val="nil"/>
              <w:bottom w:val="nil"/>
              <w:right w:val="nil"/>
            </w:tcBorders>
            <w:shd w:val="clear" w:color="FFFFFF" w:fill="FFFFFF"/>
            <w:vAlign w:val="bottom"/>
            <w:hideMark/>
          </w:tcPr>
          <w:p w14:paraId="04FAE302" w14:textId="77777777" w:rsidR="00AB6753" w:rsidRDefault="00AB6753" w:rsidP="002D1EA4">
            <w:pPr>
              <w:spacing w:after="0"/>
              <w:rPr>
                <w:rFonts w:cs="Arial"/>
                <w:sz w:val="18"/>
                <w:szCs w:val="18"/>
              </w:rPr>
            </w:pPr>
            <w:r>
              <w:rPr>
                <w:rFonts w:cs="Arial"/>
                <w:sz w:val="18"/>
                <w:szCs w:val="18"/>
              </w:rPr>
              <w:t>Operating leases straight-lining</w:t>
            </w:r>
          </w:p>
        </w:tc>
        <w:tc>
          <w:tcPr>
            <w:tcW w:w="1288" w:type="dxa"/>
            <w:tcBorders>
              <w:top w:val="nil"/>
              <w:left w:val="nil"/>
              <w:bottom w:val="nil"/>
              <w:right w:val="nil"/>
            </w:tcBorders>
            <w:shd w:val="clear" w:color="FFFFFF" w:fill="FFFFFF"/>
            <w:noWrap/>
            <w:vAlign w:val="bottom"/>
            <w:hideMark/>
          </w:tcPr>
          <w:p w14:paraId="27E38990" w14:textId="77777777" w:rsidR="00AB6753" w:rsidRDefault="00AB6753" w:rsidP="002D1EA4">
            <w:pPr>
              <w:spacing w:after="0"/>
              <w:jc w:val="right"/>
              <w:rPr>
                <w:rFonts w:cs="Arial"/>
                <w:b/>
                <w:bCs/>
                <w:sz w:val="18"/>
                <w:szCs w:val="18"/>
              </w:rPr>
            </w:pPr>
            <w:r>
              <w:rPr>
                <w:rFonts w:cs="Arial"/>
                <w:b/>
                <w:bCs/>
                <w:sz w:val="18"/>
                <w:szCs w:val="18"/>
              </w:rPr>
              <w:t>-</w:t>
            </w:r>
          </w:p>
        </w:tc>
        <w:tc>
          <w:tcPr>
            <w:tcW w:w="274" w:type="dxa"/>
            <w:tcBorders>
              <w:top w:val="nil"/>
              <w:left w:val="nil"/>
              <w:bottom w:val="nil"/>
              <w:right w:val="nil"/>
            </w:tcBorders>
            <w:shd w:val="clear" w:color="FFFFFF" w:fill="FFFFFF"/>
            <w:noWrap/>
            <w:vAlign w:val="bottom"/>
            <w:hideMark/>
          </w:tcPr>
          <w:p w14:paraId="5F2117E0" w14:textId="77777777" w:rsidR="00AB6753" w:rsidRDefault="00AB6753" w:rsidP="002D1EA4">
            <w:pPr>
              <w:spacing w:after="0"/>
              <w:rPr>
                <w:rFonts w:cs="Arial"/>
                <w:sz w:val="18"/>
                <w:szCs w:val="18"/>
              </w:rPr>
            </w:pPr>
            <w:r>
              <w:rPr>
                <w:rFonts w:cs="Arial"/>
                <w:sz w:val="18"/>
                <w:szCs w:val="18"/>
              </w:rPr>
              <w:t> </w:t>
            </w:r>
          </w:p>
        </w:tc>
        <w:tc>
          <w:tcPr>
            <w:tcW w:w="1288" w:type="dxa"/>
            <w:tcBorders>
              <w:top w:val="nil"/>
              <w:left w:val="nil"/>
              <w:bottom w:val="nil"/>
              <w:right w:val="nil"/>
            </w:tcBorders>
            <w:shd w:val="clear" w:color="FFFFFF" w:fill="FFFFFF"/>
            <w:noWrap/>
            <w:vAlign w:val="bottom"/>
            <w:hideMark/>
          </w:tcPr>
          <w:p w14:paraId="139DDFEB" w14:textId="77777777" w:rsidR="00AB6753" w:rsidRDefault="00AB6753" w:rsidP="002D1EA4">
            <w:pPr>
              <w:spacing w:after="0"/>
              <w:jc w:val="right"/>
              <w:rPr>
                <w:rFonts w:cs="Arial"/>
                <w:sz w:val="18"/>
                <w:szCs w:val="18"/>
              </w:rPr>
            </w:pPr>
            <w:r>
              <w:rPr>
                <w:rFonts w:cs="Arial"/>
                <w:sz w:val="18"/>
                <w:szCs w:val="18"/>
              </w:rPr>
              <w:t>9,022</w:t>
            </w:r>
          </w:p>
        </w:tc>
      </w:tr>
      <w:tr w:rsidR="00AB6753" w14:paraId="6CEEF27C" w14:textId="77777777" w:rsidTr="002D1EA4">
        <w:trPr>
          <w:trHeight w:val="255"/>
        </w:trPr>
        <w:tc>
          <w:tcPr>
            <w:tcW w:w="6561" w:type="dxa"/>
            <w:tcBorders>
              <w:top w:val="nil"/>
              <w:left w:val="nil"/>
              <w:bottom w:val="nil"/>
              <w:right w:val="nil"/>
            </w:tcBorders>
            <w:shd w:val="clear" w:color="FFFFFF" w:fill="FFFFFF"/>
            <w:vAlign w:val="bottom"/>
            <w:hideMark/>
          </w:tcPr>
          <w:p w14:paraId="6E6CA98D" w14:textId="77777777" w:rsidR="00AB6753" w:rsidRDefault="00AB6753" w:rsidP="002D1EA4">
            <w:pPr>
              <w:spacing w:after="0"/>
              <w:rPr>
                <w:rFonts w:cs="Arial"/>
                <w:sz w:val="18"/>
                <w:szCs w:val="18"/>
              </w:rPr>
            </w:pPr>
            <w:r>
              <w:rPr>
                <w:rFonts w:cs="Arial"/>
                <w:sz w:val="18"/>
                <w:szCs w:val="18"/>
              </w:rPr>
              <w:t>Salaries and wages</w:t>
            </w:r>
          </w:p>
        </w:tc>
        <w:tc>
          <w:tcPr>
            <w:tcW w:w="1288" w:type="dxa"/>
            <w:tcBorders>
              <w:top w:val="nil"/>
              <w:left w:val="nil"/>
              <w:bottom w:val="nil"/>
              <w:right w:val="nil"/>
            </w:tcBorders>
            <w:shd w:val="clear" w:color="FFFFFF" w:fill="FFFFFF"/>
            <w:noWrap/>
            <w:vAlign w:val="bottom"/>
            <w:hideMark/>
          </w:tcPr>
          <w:p w14:paraId="59B18839" w14:textId="77777777" w:rsidR="00AB6753" w:rsidRDefault="00AB6753" w:rsidP="002D1EA4">
            <w:pPr>
              <w:spacing w:after="0"/>
              <w:jc w:val="right"/>
              <w:rPr>
                <w:rFonts w:cs="Arial"/>
                <w:b/>
                <w:bCs/>
                <w:sz w:val="18"/>
                <w:szCs w:val="18"/>
              </w:rPr>
            </w:pPr>
            <w:r>
              <w:rPr>
                <w:rFonts w:cs="Arial"/>
                <w:b/>
                <w:bCs/>
                <w:sz w:val="18"/>
                <w:szCs w:val="18"/>
              </w:rPr>
              <w:t>3,082</w:t>
            </w:r>
          </w:p>
        </w:tc>
        <w:tc>
          <w:tcPr>
            <w:tcW w:w="274" w:type="dxa"/>
            <w:tcBorders>
              <w:top w:val="nil"/>
              <w:left w:val="nil"/>
              <w:bottom w:val="nil"/>
              <w:right w:val="nil"/>
            </w:tcBorders>
            <w:shd w:val="clear" w:color="FFFFFF" w:fill="FFFFFF"/>
            <w:noWrap/>
            <w:vAlign w:val="bottom"/>
            <w:hideMark/>
          </w:tcPr>
          <w:p w14:paraId="0AC3D23F" w14:textId="77777777" w:rsidR="00AB6753" w:rsidRDefault="00AB6753" w:rsidP="002D1EA4">
            <w:pPr>
              <w:spacing w:after="0"/>
              <w:rPr>
                <w:rFonts w:cs="Arial"/>
                <w:sz w:val="18"/>
                <w:szCs w:val="18"/>
              </w:rPr>
            </w:pPr>
            <w:r>
              <w:rPr>
                <w:rFonts w:cs="Arial"/>
                <w:sz w:val="18"/>
                <w:szCs w:val="18"/>
              </w:rPr>
              <w:t> </w:t>
            </w:r>
          </w:p>
        </w:tc>
        <w:tc>
          <w:tcPr>
            <w:tcW w:w="1288" w:type="dxa"/>
            <w:tcBorders>
              <w:top w:val="nil"/>
              <w:left w:val="nil"/>
              <w:bottom w:val="nil"/>
              <w:right w:val="nil"/>
            </w:tcBorders>
            <w:shd w:val="clear" w:color="FFFFFF" w:fill="FFFFFF"/>
            <w:noWrap/>
            <w:vAlign w:val="bottom"/>
            <w:hideMark/>
          </w:tcPr>
          <w:p w14:paraId="15655EB5" w14:textId="77777777" w:rsidR="00AB6753" w:rsidRDefault="00AB6753" w:rsidP="002D1EA4">
            <w:pPr>
              <w:spacing w:after="0"/>
              <w:jc w:val="right"/>
              <w:rPr>
                <w:rFonts w:cs="Arial"/>
                <w:sz w:val="18"/>
                <w:szCs w:val="18"/>
              </w:rPr>
            </w:pPr>
            <w:r>
              <w:rPr>
                <w:rFonts w:cs="Arial"/>
                <w:sz w:val="18"/>
                <w:szCs w:val="18"/>
              </w:rPr>
              <w:t>1,652</w:t>
            </w:r>
          </w:p>
        </w:tc>
      </w:tr>
      <w:tr w:rsidR="00AB6753" w14:paraId="22C67F0C" w14:textId="77777777" w:rsidTr="002D1EA4">
        <w:trPr>
          <w:trHeight w:val="255"/>
        </w:trPr>
        <w:tc>
          <w:tcPr>
            <w:tcW w:w="6561" w:type="dxa"/>
            <w:tcBorders>
              <w:top w:val="nil"/>
              <w:left w:val="nil"/>
              <w:bottom w:val="nil"/>
              <w:right w:val="nil"/>
            </w:tcBorders>
            <w:shd w:val="clear" w:color="FFFFFF" w:fill="FFFFFF"/>
            <w:vAlign w:val="bottom"/>
            <w:hideMark/>
          </w:tcPr>
          <w:p w14:paraId="25D969BF" w14:textId="77777777" w:rsidR="00AB6753" w:rsidRDefault="00AB6753" w:rsidP="002D1EA4">
            <w:pPr>
              <w:spacing w:after="0"/>
              <w:rPr>
                <w:rFonts w:cs="Arial"/>
                <w:sz w:val="18"/>
                <w:szCs w:val="18"/>
              </w:rPr>
            </w:pPr>
            <w:r>
              <w:rPr>
                <w:rFonts w:cs="Arial"/>
                <w:sz w:val="18"/>
                <w:szCs w:val="18"/>
              </w:rPr>
              <w:t>Unearned income</w:t>
            </w:r>
          </w:p>
        </w:tc>
        <w:tc>
          <w:tcPr>
            <w:tcW w:w="1288" w:type="dxa"/>
            <w:tcBorders>
              <w:top w:val="nil"/>
              <w:left w:val="nil"/>
              <w:bottom w:val="nil"/>
              <w:right w:val="nil"/>
            </w:tcBorders>
            <w:shd w:val="clear" w:color="FFFFFF" w:fill="FFFFFF"/>
            <w:noWrap/>
            <w:vAlign w:val="bottom"/>
            <w:hideMark/>
          </w:tcPr>
          <w:p w14:paraId="20BA910A" w14:textId="77777777" w:rsidR="00AB6753" w:rsidRDefault="00AB6753" w:rsidP="002D1EA4">
            <w:pPr>
              <w:spacing w:after="0"/>
              <w:jc w:val="right"/>
              <w:rPr>
                <w:rFonts w:cs="Arial"/>
                <w:b/>
                <w:bCs/>
                <w:sz w:val="18"/>
                <w:szCs w:val="18"/>
              </w:rPr>
            </w:pPr>
            <w:r>
              <w:rPr>
                <w:rFonts w:cs="Arial"/>
                <w:b/>
                <w:bCs/>
                <w:sz w:val="18"/>
                <w:szCs w:val="18"/>
              </w:rPr>
              <w:t>88</w:t>
            </w:r>
          </w:p>
        </w:tc>
        <w:tc>
          <w:tcPr>
            <w:tcW w:w="274" w:type="dxa"/>
            <w:tcBorders>
              <w:top w:val="nil"/>
              <w:left w:val="nil"/>
              <w:bottom w:val="nil"/>
              <w:right w:val="nil"/>
            </w:tcBorders>
            <w:shd w:val="clear" w:color="FFFFFF" w:fill="FFFFFF"/>
            <w:noWrap/>
            <w:vAlign w:val="bottom"/>
            <w:hideMark/>
          </w:tcPr>
          <w:p w14:paraId="305AFF81" w14:textId="77777777" w:rsidR="00AB6753" w:rsidRDefault="00AB6753" w:rsidP="002D1EA4">
            <w:pPr>
              <w:spacing w:after="0"/>
              <w:rPr>
                <w:rFonts w:cs="Arial"/>
                <w:sz w:val="18"/>
                <w:szCs w:val="18"/>
              </w:rPr>
            </w:pPr>
            <w:r>
              <w:rPr>
                <w:rFonts w:cs="Arial"/>
                <w:sz w:val="18"/>
                <w:szCs w:val="18"/>
              </w:rPr>
              <w:t> </w:t>
            </w:r>
          </w:p>
        </w:tc>
        <w:tc>
          <w:tcPr>
            <w:tcW w:w="1288" w:type="dxa"/>
            <w:tcBorders>
              <w:top w:val="nil"/>
              <w:left w:val="nil"/>
              <w:bottom w:val="nil"/>
              <w:right w:val="nil"/>
            </w:tcBorders>
            <w:shd w:val="clear" w:color="FFFFFF" w:fill="FFFFFF"/>
            <w:noWrap/>
            <w:vAlign w:val="bottom"/>
            <w:hideMark/>
          </w:tcPr>
          <w:p w14:paraId="2E08CDA8" w14:textId="77777777" w:rsidR="00AB6753" w:rsidRDefault="00AB6753" w:rsidP="002D1EA4">
            <w:pPr>
              <w:spacing w:after="0"/>
              <w:jc w:val="right"/>
              <w:rPr>
                <w:rFonts w:cs="Arial"/>
                <w:sz w:val="18"/>
                <w:szCs w:val="18"/>
              </w:rPr>
            </w:pPr>
            <w:r>
              <w:rPr>
                <w:rFonts w:cs="Arial"/>
                <w:sz w:val="18"/>
                <w:szCs w:val="18"/>
              </w:rPr>
              <w:t>1,118</w:t>
            </w:r>
          </w:p>
        </w:tc>
      </w:tr>
      <w:tr w:rsidR="00AB6753" w14:paraId="41353A7C" w14:textId="77777777" w:rsidTr="002D1EA4">
        <w:trPr>
          <w:trHeight w:val="255"/>
        </w:trPr>
        <w:tc>
          <w:tcPr>
            <w:tcW w:w="6561" w:type="dxa"/>
            <w:tcBorders>
              <w:top w:val="nil"/>
              <w:left w:val="nil"/>
              <w:bottom w:val="nil"/>
              <w:right w:val="nil"/>
            </w:tcBorders>
            <w:shd w:val="clear" w:color="FFFFFF" w:fill="FFFFFF"/>
            <w:vAlign w:val="bottom"/>
            <w:hideMark/>
          </w:tcPr>
          <w:p w14:paraId="3404C11B" w14:textId="77777777" w:rsidR="00AB6753" w:rsidRDefault="00AB6753" w:rsidP="002D1EA4">
            <w:pPr>
              <w:spacing w:after="0"/>
              <w:rPr>
                <w:rFonts w:cs="Arial"/>
                <w:sz w:val="18"/>
                <w:szCs w:val="18"/>
              </w:rPr>
            </w:pPr>
            <w:r>
              <w:rPr>
                <w:rFonts w:cs="Arial"/>
                <w:sz w:val="18"/>
                <w:szCs w:val="18"/>
              </w:rPr>
              <w:t>Separations and redundancies</w:t>
            </w:r>
          </w:p>
        </w:tc>
        <w:tc>
          <w:tcPr>
            <w:tcW w:w="1288" w:type="dxa"/>
            <w:tcBorders>
              <w:top w:val="nil"/>
              <w:left w:val="nil"/>
              <w:bottom w:val="nil"/>
              <w:right w:val="nil"/>
            </w:tcBorders>
            <w:shd w:val="clear" w:color="FFFFFF" w:fill="FFFFFF"/>
            <w:noWrap/>
            <w:vAlign w:val="bottom"/>
            <w:hideMark/>
          </w:tcPr>
          <w:p w14:paraId="3571092B" w14:textId="77777777" w:rsidR="00AB6753" w:rsidRDefault="00AB6753" w:rsidP="002D1EA4">
            <w:pPr>
              <w:spacing w:after="0"/>
              <w:jc w:val="right"/>
              <w:rPr>
                <w:rFonts w:cs="Arial"/>
                <w:b/>
                <w:bCs/>
                <w:sz w:val="18"/>
                <w:szCs w:val="18"/>
              </w:rPr>
            </w:pPr>
            <w:r>
              <w:rPr>
                <w:rFonts w:cs="Arial"/>
                <w:b/>
                <w:bCs/>
                <w:sz w:val="18"/>
                <w:szCs w:val="18"/>
              </w:rPr>
              <w:t>-</w:t>
            </w:r>
          </w:p>
        </w:tc>
        <w:tc>
          <w:tcPr>
            <w:tcW w:w="274" w:type="dxa"/>
            <w:tcBorders>
              <w:top w:val="nil"/>
              <w:left w:val="nil"/>
              <w:bottom w:val="nil"/>
              <w:right w:val="nil"/>
            </w:tcBorders>
            <w:shd w:val="clear" w:color="FFFFFF" w:fill="FFFFFF"/>
            <w:noWrap/>
            <w:vAlign w:val="bottom"/>
            <w:hideMark/>
          </w:tcPr>
          <w:p w14:paraId="4C7980BA" w14:textId="77777777" w:rsidR="00AB6753" w:rsidRDefault="00AB6753" w:rsidP="002D1EA4">
            <w:pPr>
              <w:spacing w:after="0"/>
              <w:rPr>
                <w:rFonts w:cs="Arial"/>
                <w:sz w:val="18"/>
                <w:szCs w:val="18"/>
              </w:rPr>
            </w:pPr>
            <w:r>
              <w:rPr>
                <w:rFonts w:cs="Arial"/>
                <w:sz w:val="18"/>
                <w:szCs w:val="18"/>
              </w:rPr>
              <w:t> </w:t>
            </w:r>
          </w:p>
        </w:tc>
        <w:tc>
          <w:tcPr>
            <w:tcW w:w="1288" w:type="dxa"/>
            <w:tcBorders>
              <w:top w:val="nil"/>
              <w:left w:val="nil"/>
              <w:bottom w:val="nil"/>
              <w:right w:val="nil"/>
            </w:tcBorders>
            <w:shd w:val="clear" w:color="FFFFFF" w:fill="FFFFFF"/>
            <w:noWrap/>
            <w:vAlign w:val="bottom"/>
            <w:hideMark/>
          </w:tcPr>
          <w:p w14:paraId="6C4C2BB2" w14:textId="77777777" w:rsidR="00AB6753" w:rsidRDefault="00AB6753" w:rsidP="002D1EA4">
            <w:pPr>
              <w:spacing w:after="0"/>
              <w:jc w:val="right"/>
              <w:rPr>
                <w:rFonts w:cs="Arial"/>
                <w:sz w:val="18"/>
                <w:szCs w:val="18"/>
              </w:rPr>
            </w:pPr>
            <w:r>
              <w:rPr>
                <w:rFonts w:cs="Arial"/>
                <w:sz w:val="18"/>
                <w:szCs w:val="18"/>
              </w:rPr>
              <w:t>1,082</w:t>
            </w:r>
          </w:p>
        </w:tc>
      </w:tr>
      <w:tr w:rsidR="00AB6753" w14:paraId="38426E9B" w14:textId="77777777" w:rsidTr="002D1EA4">
        <w:trPr>
          <w:trHeight w:val="255"/>
        </w:trPr>
        <w:tc>
          <w:tcPr>
            <w:tcW w:w="6561" w:type="dxa"/>
            <w:tcBorders>
              <w:top w:val="nil"/>
              <w:left w:val="nil"/>
              <w:bottom w:val="nil"/>
              <w:right w:val="nil"/>
            </w:tcBorders>
            <w:shd w:val="clear" w:color="FFFFFF" w:fill="FFFFFF"/>
            <w:vAlign w:val="bottom"/>
            <w:hideMark/>
          </w:tcPr>
          <w:p w14:paraId="32117366" w14:textId="77777777" w:rsidR="00AB6753" w:rsidRDefault="00AB6753" w:rsidP="002D1EA4">
            <w:pPr>
              <w:spacing w:after="0"/>
              <w:rPr>
                <w:rFonts w:cs="Arial"/>
                <w:sz w:val="18"/>
                <w:szCs w:val="18"/>
              </w:rPr>
            </w:pPr>
            <w:r>
              <w:rPr>
                <w:rFonts w:cs="Arial"/>
                <w:sz w:val="18"/>
                <w:szCs w:val="18"/>
              </w:rPr>
              <w:t>Superannuation</w:t>
            </w:r>
          </w:p>
        </w:tc>
        <w:tc>
          <w:tcPr>
            <w:tcW w:w="1288" w:type="dxa"/>
            <w:tcBorders>
              <w:top w:val="nil"/>
              <w:left w:val="nil"/>
              <w:bottom w:val="nil"/>
              <w:right w:val="nil"/>
            </w:tcBorders>
            <w:shd w:val="clear" w:color="FFFFFF" w:fill="FFFFFF"/>
            <w:noWrap/>
            <w:vAlign w:val="bottom"/>
            <w:hideMark/>
          </w:tcPr>
          <w:p w14:paraId="6284ED6A" w14:textId="77777777" w:rsidR="00AB6753" w:rsidRDefault="00AB6753" w:rsidP="002D1EA4">
            <w:pPr>
              <w:spacing w:after="0"/>
              <w:jc w:val="right"/>
              <w:rPr>
                <w:rFonts w:cs="Arial"/>
                <w:b/>
                <w:bCs/>
                <w:sz w:val="18"/>
                <w:szCs w:val="18"/>
              </w:rPr>
            </w:pPr>
            <w:r>
              <w:rPr>
                <w:rFonts w:cs="Arial"/>
                <w:b/>
                <w:bCs/>
                <w:sz w:val="18"/>
                <w:szCs w:val="18"/>
              </w:rPr>
              <w:t>789</w:t>
            </w:r>
          </w:p>
        </w:tc>
        <w:tc>
          <w:tcPr>
            <w:tcW w:w="274" w:type="dxa"/>
            <w:tcBorders>
              <w:top w:val="nil"/>
              <w:left w:val="nil"/>
              <w:bottom w:val="nil"/>
              <w:right w:val="nil"/>
            </w:tcBorders>
            <w:shd w:val="clear" w:color="FFFFFF" w:fill="FFFFFF"/>
            <w:noWrap/>
            <w:vAlign w:val="bottom"/>
            <w:hideMark/>
          </w:tcPr>
          <w:p w14:paraId="2094E1CA" w14:textId="77777777" w:rsidR="00AB6753" w:rsidRDefault="00AB6753" w:rsidP="002D1EA4">
            <w:pPr>
              <w:spacing w:after="0"/>
              <w:rPr>
                <w:rFonts w:cs="Arial"/>
                <w:sz w:val="18"/>
                <w:szCs w:val="18"/>
              </w:rPr>
            </w:pPr>
            <w:r>
              <w:rPr>
                <w:rFonts w:cs="Arial"/>
                <w:sz w:val="18"/>
                <w:szCs w:val="18"/>
              </w:rPr>
              <w:t> </w:t>
            </w:r>
          </w:p>
        </w:tc>
        <w:tc>
          <w:tcPr>
            <w:tcW w:w="1288" w:type="dxa"/>
            <w:tcBorders>
              <w:top w:val="nil"/>
              <w:left w:val="nil"/>
              <w:bottom w:val="nil"/>
              <w:right w:val="nil"/>
            </w:tcBorders>
            <w:shd w:val="clear" w:color="FFFFFF" w:fill="FFFFFF"/>
            <w:noWrap/>
            <w:vAlign w:val="bottom"/>
            <w:hideMark/>
          </w:tcPr>
          <w:p w14:paraId="0AA6B38A" w14:textId="77777777" w:rsidR="00AB6753" w:rsidRDefault="00AB6753" w:rsidP="002D1EA4">
            <w:pPr>
              <w:spacing w:after="0"/>
              <w:jc w:val="right"/>
              <w:rPr>
                <w:rFonts w:cs="Arial"/>
                <w:sz w:val="18"/>
                <w:szCs w:val="18"/>
              </w:rPr>
            </w:pPr>
            <w:r>
              <w:rPr>
                <w:rFonts w:cs="Arial"/>
                <w:sz w:val="18"/>
                <w:szCs w:val="18"/>
              </w:rPr>
              <w:t>314</w:t>
            </w:r>
          </w:p>
        </w:tc>
      </w:tr>
      <w:tr w:rsidR="00AB6753" w14:paraId="0DA645F2" w14:textId="77777777" w:rsidTr="002D1EA4">
        <w:trPr>
          <w:trHeight w:val="255"/>
        </w:trPr>
        <w:tc>
          <w:tcPr>
            <w:tcW w:w="6561" w:type="dxa"/>
            <w:tcBorders>
              <w:top w:val="nil"/>
              <w:left w:val="nil"/>
              <w:bottom w:val="nil"/>
              <w:right w:val="nil"/>
            </w:tcBorders>
            <w:shd w:val="clear" w:color="FFFFFF" w:fill="FFFFFF"/>
            <w:vAlign w:val="bottom"/>
            <w:hideMark/>
          </w:tcPr>
          <w:p w14:paraId="6799EFFF" w14:textId="77777777" w:rsidR="00AB6753" w:rsidRDefault="00AB6753" w:rsidP="002D1EA4">
            <w:pPr>
              <w:spacing w:after="0"/>
              <w:rPr>
                <w:rFonts w:cs="Arial"/>
                <w:sz w:val="18"/>
                <w:szCs w:val="18"/>
              </w:rPr>
            </w:pPr>
            <w:r>
              <w:rPr>
                <w:rFonts w:cs="Arial"/>
                <w:sz w:val="18"/>
                <w:szCs w:val="18"/>
              </w:rPr>
              <w:t>Other</w:t>
            </w:r>
          </w:p>
        </w:tc>
        <w:tc>
          <w:tcPr>
            <w:tcW w:w="1288" w:type="dxa"/>
            <w:tcBorders>
              <w:top w:val="nil"/>
              <w:left w:val="nil"/>
              <w:bottom w:val="nil"/>
              <w:right w:val="nil"/>
            </w:tcBorders>
            <w:shd w:val="clear" w:color="FFFFFF" w:fill="FFFFFF"/>
            <w:noWrap/>
            <w:vAlign w:val="bottom"/>
            <w:hideMark/>
          </w:tcPr>
          <w:p w14:paraId="1798F29D" w14:textId="77777777" w:rsidR="00AB6753" w:rsidRDefault="00AB6753" w:rsidP="002D1EA4">
            <w:pPr>
              <w:spacing w:after="0"/>
              <w:jc w:val="right"/>
              <w:rPr>
                <w:rFonts w:cs="Arial"/>
                <w:b/>
                <w:bCs/>
                <w:sz w:val="18"/>
                <w:szCs w:val="18"/>
              </w:rPr>
            </w:pPr>
            <w:r>
              <w:rPr>
                <w:rFonts w:cs="Arial"/>
                <w:b/>
                <w:bCs/>
                <w:sz w:val="18"/>
                <w:szCs w:val="18"/>
              </w:rPr>
              <w:t>3,296</w:t>
            </w:r>
          </w:p>
        </w:tc>
        <w:tc>
          <w:tcPr>
            <w:tcW w:w="274" w:type="dxa"/>
            <w:tcBorders>
              <w:top w:val="nil"/>
              <w:left w:val="nil"/>
              <w:bottom w:val="nil"/>
              <w:right w:val="nil"/>
            </w:tcBorders>
            <w:shd w:val="clear" w:color="FFFFFF" w:fill="FFFFFF"/>
            <w:noWrap/>
            <w:vAlign w:val="bottom"/>
            <w:hideMark/>
          </w:tcPr>
          <w:p w14:paraId="61A036DE" w14:textId="77777777" w:rsidR="00AB6753" w:rsidRDefault="00AB6753" w:rsidP="002D1EA4">
            <w:pPr>
              <w:spacing w:after="0"/>
              <w:rPr>
                <w:rFonts w:cs="Arial"/>
                <w:sz w:val="18"/>
                <w:szCs w:val="18"/>
              </w:rPr>
            </w:pPr>
            <w:r>
              <w:rPr>
                <w:rFonts w:cs="Arial"/>
                <w:sz w:val="18"/>
                <w:szCs w:val="18"/>
              </w:rPr>
              <w:t> </w:t>
            </w:r>
          </w:p>
        </w:tc>
        <w:tc>
          <w:tcPr>
            <w:tcW w:w="1288" w:type="dxa"/>
            <w:tcBorders>
              <w:top w:val="nil"/>
              <w:left w:val="nil"/>
              <w:bottom w:val="nil"/>
              <w:right w:val="nil"/>
            </w:tcBorders>
            <w:shd w:val="clear" w:color="FFFFFF" w:fill="FFFFFF"/>
            <w:noWrap/>
            <w:vAlign w:val="bottom"/>
            <w:hideMark/>
          </w:tcPr>
          <w:p w14:paraId="5A65C793" w14:textId="77777777" w:rsidR="00AB6753" w:rsidRDefault="00AB6753" w:rsidP="002D1EA4">
            <w:pPr>
              <w:spacing w:after="0"/>
              <w:jc w:val="right"/>
              <w:rPr>
                <w:rFonts w:cs="Arial"/>
                <w:sz w:val="18"/>
                <w:szCs w:val="18"/>
              </w:rPr>
            </w:pPr>
            <w:r>
              <w:rPr>
                <w:rFonts w:cs="Arial"/>
                <w:sz w:val="18"/>
                <w:szCs w:val="18"/>
              </w:rPr>
              <w:t>5,187</w:t>
            </w:r>
          </w:p>
        </w:tc>
      </w:tr>
      <w:tr w:rsidR="00AB6753" w14:paraId="59D81750" w14:textId="77777777" w:rsidTr="002D1EA4">
        <w:trPr>
          <w:trHeight w:val="255"/>
        </w:trPr>
        <w:tc>
          <w:tcPr>
            <w:tcW w:w="6561" w:type="dxa"/>
            <w:tcBorders>
              <w:top w:val="nil"/>
              <w:left w:val="nil"/>
              <w:bottom w:val="nil"/>
              <w:right w:val="nil"/>
            </w:tcBorders>
            <w:shd w:val="clear" w:color="FFFFFF" w:fill="FFFFFF"/>
            <w:vAlign w:val="bottom"/>
            <w:hideMark/>
          </w:tcPr>
          <w:p w14:paraId="3ED60BD6" w14:textId="77777777" w:rsidR="00AB6753" w:rsidRDefault="00AB6753" w:rsidP="002D1EA4">
            <w:pPr>
              <w:spacing w:after="0"/>
              <w:rPr>
                <w:rFonts w:cs="Arial"/>
                <w:b/>
                <w:bCs/>
                <w:sz w:val="18"/>
                <w:szCs w:val="18"/>
              </w:rPr>
            </w:pPr>
            <w:r>
              <w:rPr>
                <w:rFonts w:cs="Arial"/>
                <w:b/>
                <w:bCs/>
                <w:sz w:val="18"/>
                <w:szCs w:val="18"/>
              </w:rPr>
              <w:t>Total other payables</w:t>
            </w:r>
          </w:p>
        </w:tc>
        <w:tc>
          <w:tcPr>
            <w:tcW w:w="1288" w:type="dxa"/>
            <w:tcBorders>
              <w:top w:val="single" w:sz="4" w:space="0" w:color="auto"/>
              <w:left w:val="nil"/>
              <w:bottom w:val="single" w:sz="4" w:space="0" w:color="auto"/>
              <w:right w:val="nil"/>
            </w:tcBorders>
            <w:shd w:val="clear" w:color="FFFFFF" w:fill="FFFFFF"/>
            <w:noWrap/>
            <w:vAlign w:val="bottom"/>
            <w:hideMark/>
          </w:tcPr>
          <w:p w14:paraId="3490F00D" w14:textId="77777777" w:rsidR="00AB6753" w:rsidRDefault="00AB6753" w:rsidP="002D1EA4">
            <w:pPr>
              <w:spacing w:after="0"/>
              <w:jc w:val="right"/>
              <w:rPr>
                <w:rFonts w:cs="Arial"/>
                <w:b/>
                <w:bCs/>
                <w:sz w:val="18"/>
                <w:szCs w:val="18"/>
              </w:rPr>
            </w:pPr>
            <w:r>
              <w:rPr>
                <w:rFonts w:cs="Arial"/>
                <w:b/>
                <w:bCs/>
                <w:sz w:val="18"/>
                <w:szCs w:val="18"/>
              </w:rPr>
              <w:t>7,255</w:t>
            </w:r>
          </w:p>
        </w:tc>
        <w:tc>
          <w:tcPr>
            <w:tcW w:w="274" w:type="dxa"/>
            <w:tcBorders>
              <w:top w:val="nil"/>
              <w:left w:val="nil"/>
              <w:bottom w:val="nil"/>
              <w:right w:val="nil"/>
            </w:tcBorders>
            <w:shd w:val="clear" w:color="FFFFFF" w:fill="FFFFFF"/>
            <w:noWrap/>
            <w:vAlign w:val="bottom"/>
            <w:hideMark/>
          </w:tcPr>
          <w:p w14:paraId="3755FE5C" w14:textId="77777777" w:rsidR="00AB6753" w:rsidRDefault="00AB6753" w:rsidP="002D1EA4">
            <w:pPr>
              <w:spacing w:after="0"/>
              <w:rPr>
                <w:rFonts w:cs="Arial"/>
                <w:sz w:val="18"/>
                <w:szCs w:val="18"/>
              </w:rPr>
            </w:pPr>
            <w:r>
              <w:rPr>
                <w:rFonts w:cs="Arial"/>
                <w:sz w:val="18"/>
                <w:szCs w:val="18"/>
              </w:rPr>
              <w:t> </w:t>
            </w:r>
          </w:p>
        </w:tc>
        <w:tc>
          <w:tcPr>
            <w:tcW w:w="1288" w:type="dxa"/>
            <w:tcBorders>
              <w:top w:val="single" w:sz="4" w:space="0" w:color="auto"/>
              <w:left w:val="nil"/>
              <w:bottom w:val="single" w:sz="4" w:space="0" w:color="auto"/>
              <w:right w:val="nil"/>
            </w:tcBorders>
            <w:shd w:val="clear" w:color="FFFFFF" w:fill="FFFFFF"/>
            <w:noWrap/>
            <w:vAlign w:val="bottom"/>
            <w:hideMark/>
          </w:tcPr>
          <w:p w14:paraId="790BEEE1" w14:textId="77777777" w:rsidR="00AB6753" w:rsidRDefault="00AB6753" w:rsidP="002D1EA4">
            <w:pPr>
              <w:spacing w:after="0"/>
              <w:jc w:val="right"/>
              <w:rPr>
                <w:rFonts w:cs="Arial"/>
                <w:sz w:val="18"/>
                <w:szCs w:val="18"/>
              </w:rPr>
            </w:pPr>
            <w:r>
              <w:rPr>
                <w:rFonts w:cs="Arial"/>
                <w:sz w:val="18"/>
                <w:szCs w:val="18"/>
              </w:rPr>
              <w:t>45,574</w:t>
            </w:r>
          </w:p>
        </w:tc>
      </w:tr>
    </w:tbl>
    <w:p w14:paraId="52032F5A" w14:textId="77777777" w:rsidR="00AB6753" w:rsidRDefault="00AB6753" w:rsidP="00AB6753">
      <w:pPr>
        <w:rPr>
          <w:rFonts w:cs="Arial"/>
          <w:sz w:val="18"/>
          <w:szCs w:val="18"/>
        </w:rPr>
      </w:pPr>
    </w:p>
    <w:p w14:paraId="5F3C80FC" w14:textId="77777777" w:rsidR="00AB6753" w:rsidRPr="00795601" w:rsidRDefault="00AB6753" w:rsidP="00AB6753">
      <w:pPr>
        <w:pStyle w:val="SubHeading"/>
        <w:numPr>
          <w:ilvl w:val="1"/>
          <w:numId w:val="56"/>
        </w:numPr>
        <w:ind w:left="454" w:hanging="454"/>
        <w:rPr>
          <w:sz w:val="20"/>
          <w:szCs w:val="20"/>
        </w:rPr>
      </w:pPr>
      <w:bookmarkStart w:id="142" w:name="_Toc45748810"/>
      <w:r w:rsidRPr="00795601">
        <w:rPr>
          <w:sz w:val="20"/>
          <w:szCs w:val="20"/>
        </w:rPr>
        <w:t>Interest Bearing Liabilities</w:t>
      </w:r>
      <w:bookmarkEnd w:id="142"/>
    </w:p>
    <w:p w14:paraId="2F2D35F7" w14:textId="77777777" w:rsidR="00AB6753" w:rsidRDefault="00AB6753" w:rsidP="00AB6753">
      <w:pPr>
        <w:pStyle w:val="NotesTextnolinespace"/>
      </w:pPr>
    </w:p>
    <w:tbl>
      <w:tblPr>
        <w:tblW w:w="9411" w:type="dxa"/>
        <w:tblInd w:w="80" w:type="dxa"/>
        <w:tblLayout w:type="fixed"/>
        <w:tblLook w:val="04A0" w:firstRow="1" w:lastRow="0" w:firstColumn="1" w:lastColumn="0" w:noHBand="0" w:noVBand="1"/>
        <w:tblCaption w:val="Notes to and forming part of the financial statements"/>
        <w:tblDescription w:val="Payables"/>
      </w:tblPr>
      <w:tblGrid>
        <w:gridCol w:w="6561"/>
        <w:gridCol w:w="1288"/>
        <w:gridCol w:w="274"/>
        <w:gridCol w:w="1288"/>
      </w:tblGrid>
      <w:tr w:rsidR="00AB6753" w14:paraId="794B00DB" w14:textId="77777777" w:rsidTr="002D1EA4">
        <w:trPr>
          <w:trHeight w:val="255"/>
        </w:trPr>
        <w:tc>
          <w:tcPr>
            <w:tcW w:w="6396" w:type="dxa"/>
            <w:tcBorders>
              <w:top w:val="nil"/>
              <w:left w:val="nil"/>
              <w:bottom w:val="nil"/>
              <w:right w:val="nil"/>
            </w:tcBorders>
            <w:shd w:val="clear" w:color="FFFFFF" w:fill="FFFFFF"/>
            <w:noWrap/>
            <w:vAlign w:val="bottom"/>
            <w:hideMark/>
          </w:tcPr>
          <w:p w14:paraId="747C0637" w14:textId="77777777" w:rsidR="00AB6753" w:rsidRDefault="00AB6753" w:rsidP="002D1EA4">
            <w:pPr>
              <w:rPr>
                <w:rFonts w:cs="Arial"/>
                <w:b/>
                <w:bCs/>
                <w:sz w:val="18"/>
                <w:szCs w:val="18"/>
                <w:u w:val="single"/>
              </w:rPr>
            </w:pPr>
            <w:bookmarkStart w:id="143" w:name="Note_LEATABLE1" w:colFirst="0" w:colLast="0"/>
            <w:r>
              <w:rPr>
                <w:rFonts w:cs="Arial"/>
                <w:b/>
                <w:bCs/>
                <w:sz w:val="18"/>
                <w:szCs w:val="18"/>
                <w:u w:val="single"/>
              </w:rPr>
              <w:t>Note 3.4A: Leases</w:t>
            </w:r>
          </w:p>
        </w:tc>
        <w:tc>
          <w:tcPr>
            <w:tcW w:w="1256" w:type="dxa"/>
            <w:tcBorders>
              <w:top w:val="nil"/>
              <w:left w:val="nil"/>
              <w:bottom w:val="nil"/>
              <w:right w:val="nil"/>
            </w:tcBorders>
            <w:shd w:val="clear" w:color="FFFFFF" w:fill="FFFFFF"/>
            <w:noWrap/>
            <w:vAlign w:val="bottom"/>
            <w:hideMark/>
          </w:tcPr>
          <w:p w14:paraId="550762BE" w14:textId="77777777" w:rsidR="00AB6753" w:rsidRDefault="00AB6753" w:rsidP="002D1EA4">
            <w:pPr>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1763E91E" w14:textId="77777777" w:rsidR="00AB6753" w:rsidRDefault="00AB6753" w:rsidP="002D1EA4">
            <w:pPr>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6EF2F26C" w14:textId="77777777" w:rsidR="00AB6753" w:rsidRDefault="00AB6753" w:rsidP="002D1EA4">
            <w:pPr>
              <w:rPr>
                <w:rFonts w:cs="Arial"/>
                <w:sz w:val="18"/>
                <w:szCs w:val="18"/>
              </w:rPr>
            </w:pPr>
            <w:r>
              <w:rPr>
                <w:rFonts w:cs="Arial"/>
                <w:sz w:val="18"/>
                <w:szCs w:val="18"/>
              </w:rPr>
              <w:t> </w:t>
            </w:r>
          </w:p>
        </w:tc>
      </w:tr>
      <w:bookmarkEnd w:id="143"/>
      <w:tr w:rsidR="00AB6753" w14:paraId="4F982FF3" w14:textId="77777777" w:rsidTr="002D1EA4">
        <w:trPr>
          <w:trHeight w:val="100"/>
        </w:trPr>
        <w:tc>
          <w:tcPr>
            <w:tcW w:w="6396" w:type="dxa"/>
            <w:tcBorders>
              <w:top w:val="nil"/>
              <w:left w:val="nil"/>
              <w:bottom w:val="nil"/>
              <w:right w:val="nil"/>
            </w:tcBorders>
            <w:shd w:val="clear" w:color="FFFFFF" w:fill="FFFFFF"/>
            <w:vAlign w:val="bottom"/>
            <w:hideMark/>
          </w:tcPr>
          <w:p w14:paraId="4D6CD9DA" w14:textId="77777777" w:rsidR="00AB6753" w:rsidRDefault="00AB6753" w:rsidP="002D1EA4">
            <w:pPr>
              <w:spacing w:after="0"/>
              <w:rPr>
                <w:rFonts w:cs="Arial"/>
                <w:sz w:val="18"/>
                <w:szCs w:val="18"/>
              </w:rPr>
            </w:pPr>
            <w:r>
              <w:rPr>
                <w:rFonts w:cs="Arial"/>
                <w:sz w:val="18"/>
                <w:szCs w:val="18"/>
              </w:rPr>
              <w:t>Lease liabilities</w:t>
            </w:r>
          </w:p>
        </w:tc>
        <w:tc>
          <w:tcPr>
            <w:tcW w:w="1256" w:type="dxa"/>
            <w:tcBorders>
              <w:top w:val="nil"/>
              <w:left w:val="nil"/>
              <w:bottom w:val="single" w:sz="4" w:space="0" w:color="auto"/>
              <w:right w:val="nil"/>
            </w:tcBorders>
            <w:shd w:val="clear" w:color="FFFFFF" w:fill="FFFFFF"/>
            <w:noWrap/>
            <w:vAlign w:val="bottom"/>
            <w:hideMark/>
          </w:tcPr>
          <w:p w14:paraId="63EE699E" w14:textId="77777777" w:rsidR="00AB6753" w:rsidRDefault="00AB6753" w:rsidP="002D1EA4">
            <w:pPr>
              <w:spacing w:after="0"/>
              <w:jc w:val="right"/>
              <w:rPr>
                <w:rFonts w:cs="Arial"/>
                <w:b/>
                <w:bCs/>
                <w:sz w:val="18"/>
                <w:szCs w:val="18"/>
              </w:rPr>
            </w:pPr>
            <w:r>
              <w:rPr>
                <w:rFonts w:cs="Arial"/>
                <w:b/>
                <w:bCs/>
                <w:sz w:val="18"/>
                <w:szCs w:val="18"/>
              </w:rPr>
              <w:t>548,847</w:t>
            </w:r>
          </w:p>
        </w:tc>
        <w:tc>
          <w:tcPr>
            <w:tcW w:w="267" w:type="dxa"/>
            <w:tcBorders>
              <w:top w:val="nil"/>
              <w:left w:val="nil"/>
              <w:bottom w:val="nil"/>
              <w:right w:val="nil"/>
            </w:tcBorders>
            <w:shd w:val="clear" w:color="FFFFFF" w:fill="FFFFFF"/>
            <w:noWrap/>
            <w:vAlign w:val="bottom"/>
            <w:hideMark/>
          </w:tcPr>
          <w:p w14:paraId="4C56C20B"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single" w:sz="4" w:space="0" w:color="auto"/>
              <w:right w:val="nil"/>
            </w:tcBorders>
            <w:shd w:val="clear" w:color="FFFFFF" w:fill="FFFFFF"/>
            <w:noWrap/>
            <w:vAlign w:val="bottom"/>
            <w:hideMark/>
          </w:tcPr>
          <w:p w14:paraId="375EEC33" w14:textId="77777777" w:rsidR="00AB6753" w:rsidRDefault="00AB6753" w:rsidP="002D1EA4">
            <w:pPr>
              <w:spacing w:after="0"/>
              <w:jc w:val="right"/>
              <w:rPr>
                <w:rFonts w:cs="Arial"/>
                <w:sz w:val="18"/>
                <w:szCs w:val="18"/>
              </w:rPr>
            </w:pPr>
            <w:r>
              <w:rPr>
                <w:rFonts w:cs="Arial"/>
                <w:sz w:val="18"/>
                <w:szCs w:val="18"/>
              </w:rPr>
              <w:t>-</w:t>
            </w:r>
          </w:p>
        </w:tc>
      </w:tr>
    </w:tbl>
    <w:p w14:paraId="1C746BCD" w14:textId="77777777" w:rsidR="00AB6753" w:rsidRDefault="00AB6753" w:rsidP="00AB6753">
      <w:pPr>
        <w:pStyle w:val="NotesTextnolinespace"/>
      </w:pPr>
    </w:p>
    <w:p w14:paraId="395847E1" w14:textId="77777777" w:rsidR="00AB6753" w:rsidRDefault="00AB6753" w:rsidP="00AB6753">
      <w:pPr>
        <w:pStyle w:val="NotesTextnolinespace"/>
      </w:pPr>
      <w:r w:rsidRPr="00BC20DD">
        <w:t>Total cash outflow for leases for the year ended 3</w:t>
      </w:r>
      <w:r>
        <w:t>0 June</w:t>
      </w:r>
      <w:r w:rsidRPr="00BC20DD">
        <w:t xml:space="preserve"> 2020 was $2</w:t>
      </w:r>
      <w:r>
        <w:t>9.272</w:t>
      </w:r>
      <w:r w:rsidRPr="00BC20DD">
        <w:t xml:space="preserve"> million.</w:t>
      </w:r>
      <w:r>
        <w:t xml:space="preserve"> </w:t>
      </w:r>
    </w:p>
    <w:p w14:paraId="0ACA4341" w14:textId="77777777" w:rsidR="00AB6753" w:rsidRDefault="00AB6753" w:rsidP="00AB6753">
      <w:pPr>
        <w:pStyle w:val="NotesTextnolinespace"/>
      </w:pPr>
    </w:p>
    <w:p w14:paraId="0C82D727" w14:textId="77777777" w:rsidR="00AB6753" w:rsidRDefault="00AB6753" w:rsidP="00AB6753">
      <w:pPr>
        <w:pStyle w:val="PolicyheadingDept"/>
        <w:pBdr>
          <w:top w:val="single" w:sz="4" w:space="1" w:color="00B2BA"/>
          <w:left w:val="single" w:sz="4" w:space="0" w:color="00B2BA"/>
          <w:bottom w:val="single" w:sz="4" w:space="1" w:color="00B2BA"/>
          <w:right w:val="single" w:sz="4" w:space="12" w:color="00B2BA"/>
        </w:pBdr>
      </w:pPr>
      <w:r>
        <w:t>Accounting Policy</w:t>
      </w:r>
    </w:p>
    <w:p w14:paraId="1284B209" w14:textId="77777777" w:rsidR="00AB6753" w:rsidRPr="001D5DE4" w:rsidRDefault="00AB6753" w:rsidP="00AB6753">
      <w:pPr>
        <w:pStyle w:val="Policytextdeptunderline"/>
        <w:pBdr>
          <w:top w:val="single" w:sz="4" w:space="1" w:color="00B2BA"/>
          <w:left w:val="single" w:sz="4" w:space="0" w:color="00B2BA"/>
          <w:bottom w:val="single" w:sz="4" w:space="1" w:color="00B2BA"/>
          <w:right w:val="single" w:sz="4" w:space="12" w:color="00B2BA"/>
        </w:pBdr>
        <w:rPr>
          <w:i w:val="0"/>
          <w:u w:val="none"/>
        </w:rPr>
      </w:pPr>
      <w:r w:rsidRPr="001D5DE4">
        <w:rPr>
          <w:i w:val="0"/>
          <w:u w:val="none"/>
        </w:rPr>
        <w:t>Refer to the Overview section for accounting policy on leases.</w:t>
      </w:r>
    </w:p>
    <w:p w14:paraId="07AEC5F6" w14:textId="77777777" w:rsidR="00AB6753" w:rsidRDefault="00AB6753" w:rsidP="00AB6753">
      <w:pPr>
        <w:pStyle w:val="NotesTextnolinespace"/>
      </w:pPr>
    </w:p>
    <w:p w14:paraId="56ED14CE" w14:textId="77777777" w:rsidR="00AB6753" w:rsidRPr="00163047" w:rsidRDefault="00AB6753" w:rsidP="00AB6753">
      <w:pPr>
        <w:pStyle w:val="SubHeading"/>
        <w:numPr>
          <w:ilvl w:val="1"/>
          <w:numId w:val="56"/>
        </w:numPr>
        <w:ind w:left="454" w:hanging="454"/>
        <w:rPr>
          <w:sz w:val="20"/>
        </w:rPr>
      </w:pPr>
      <w:bookmarkStart w:id="144" w:name="_Toc443469532"/>
      <w:bookmarkStart w:id="145" w:name="_Toc444065785"/>
      <w:bookmarkStart w:id="146" w:name="_Toc444079982"/>
      <w:bookmarkStart w:id="147" w:name="_Toc450750165"/>
      <w:bookmarkStart w:id="148" w:name="_Toc45748811"/>
      <w:r w:rsidRPr="00163047">
        <w:rPr>
          <w:sz w:val="20"/>
        </w:rPr>
        <w:t>Other Provisions</w:t>
      </w:r>
      <w:bookmarkEnd w:id="144"/>
      <w:bookmarkEnd w:id="145"/>
      <w:bookmarkEnd w:id="146"/>
      <w:bookmarkEnd w:id="147"/>
      <w:bookmarkEnd w:id="148"/>
    </w:p>
    <w:p w14:paraId="604403A4" w14:textId="77777777" w:rsidR="00AB6753" w:rsidRPr="000D0C3F" w:rsidRDefault="00AB6753" w:rsidP="00AB6753">
      <w:pPr>
        <w:rPr>
          <w:sz w:val="18"/>
          <w:szCs w:val="18"/>
        </w:rPr>
      </w:pPr>
    </w:p>
    <w:tbl>
      <w:tblPr>
        <w:tblW w:w="9411" w:type="dxa"/>
        <w:tblInd w:w="80" w:type="dxa"/>
        <w:tblLayout w:type="fixed"/>
        <w:tblLook w:val="04A0" w:firstRow="1" w:lastRow="0" w:firstColumn="1" w:lastColumn="0" w:noHBand="0" w:noVBand="1"/>
        <w:tblCaption w:val="Notes to and forming part of the financial statements"/>
        <w:tblDescription w:val="Other provisions"/>
      </w:tblPr>
      <w:tblGrid>
        <w:gridCol w:w="6932"/>
        <w:gridCol w:w="2479"/>
      </w:tblGrid>
      <w:tr w:rsidR="00AB6753" w14:paraId="663875D6" w14:textId="77777777" w:rsidTr="002D1EA4">
        <w:trPr>
          <w:trHeight w:val="255"/>
        </w:trPr>
        <w:tc>
          <w:tcPr>
            <w:tcW w:w="5876" w:type="dxa"/>
            <w:tcBorders>
              <w:top w:val="nil"/>
              <w:left w:val="nil"/>
              <w:bottom w:val="nil"/>
              <w:right w:val="nil"/>
            </w:tcBorders>
            <w:shd w:val="clear" w:color="FFFFFF" w:fill="FFFFFF"/>
            <w:noWrap/>
            <w:vAlign w:val="bottom"/>
            <w:hideMark/>
          </w:tcPr>
          <w:p w14:paraId="2C4C9E7E" w14:textId="77777777" w:rsidR="00AB6753" w:rsidRDefault="00AB6753" w:rsidP="002D1EA4">
            <w:pPr>
              <w:spacing w:after="0"/>
              <w:rPr>
                <w:rFonts w:cs="Arial"/>
                <w:b/>
                <w:bCs/>
                <w:sz w:val="18"/>
                <w:szCs w:val="18"/>
                <w:u w:val="single"/>
              </w:rPr>
            </w:pPr>
            <w:bookmarkStart w:id="149" w:name="Note_ROPTABLE1" w:colFirst="0" w:colLast="0"/>
            <w:r>
              <w:rPr>
                <w:rFonts w:cs="Arial"/>
                <w:b/>
                <w:bCs/>
                <w:sz w:val="18"/>
                <w:szCs w:val="18"/>
                <w:u w:val="single"/>
              </w:rPr>
              <w:t>Note 3.5A: Other Provisions</w:t>
            </w:r>
          </w:p>
        </w:tc>
        <w:tc>
          <w:tcPr>
            <w:tcW w:w="2101" w:type="dxa"/>
            <w:tcBorders>
              <w:top w:val="nil"/>
              <w:left w:val="nil"/>
              <w:bottom w:val="nil"/>
              <w:right w:val="nil"/>
            </w:tcBorders>
            <w:shd w:val="clear" w:color="FFFFFF" w:fill="FFFFFF"/>
            <w:vAlign w:val="bottom"/>
            <w:hideMark/>
          </w:tcPr>
          <w:p w14:paraId="1269218A" w14:textId="77777777" w:rsidR="00AB6753" w:rsidRDefault="00AB6753" w:rsidP="002D1EA4">
            <w:pPr>
              <w:spacing w:after="0"/>
              <w:jc w:val="right"/>
              <w:rPr>
                <w:rFonts w:cs="Arial"/>
                <w:b/>
                <w:bCs/>
                <w:sz w:val="18"/>
                <w:szCs w:val="18"/>
              </w:rPr>
            </w:pPr>
            <w:r>
              <w:rPr>
                <w:rFonts w:cs="Arial"/>
                <w:b/>
                <w:bCs/>
                <w:sz w:val="18"/>
                <w:szCs w:val="18"/>
              </w:rPr>
              <w:t> </w:t>
            </w:r>
          </w:p>
        </w:tc>
      </w:tr>
      <w:bookmarkEnd w:id="149"/>
      <w:tr w:rsidR="00AB6753" w14:paraId="282E1382" w14:textId="77777777" w:rsidTr="002D1EA4">
        <w:trPr>
          <w:trHeight w:val="255"/>
        </w:trPr>
        <w:tc>
          <w:tcPr>
            <w:tcW w:w="5876" w:type="dxa"/>
            <w:tcBorders>
              <w:top w:val="nil"/>
              <w:left w:val="nil"/>
              <w:bottom w:val="nil"/>
              <w:right w:val="nil"/>
            </w:tcBorders>
            <w:shd w:val="clear" w:color="FFFFFF" w:fill="FFFFFF"/>
            <w:vAlign w:val="bottom"/>
            <w:hideMark/>
          </w:tcPr>
          <w:p w14:paraId="1F0D7041" w14:textId="77777777" w:rsidR="00AB6753" w:rsidRDefault="00AB6753" w:rsidP="002D1EA4">
            <w:pPr>
              <w:spacing w:after="0"/>
              <w:rPr>
                <w:rFonts w:cs="Arial"/>
                <w:sz w:val="18"/>
                <w:szCs w:val="18"/>
              </w:rPr>
            </w:pPr>
            <w:r>
              <w:rPr>
                <w:rFonts w:cs="Arial"/>
                <w:sz w:val="18"/>
                <w:szCs w:val="18"/>
              </w:rPr>
              <w:t> </w:t>
            </w:r>
          </w:p>
        </w:tc>
        <w:tc>
          <w:tcPr>
            <w:tcW w:w="2101" w:type="dxa"/>
            <w:tcBorders>
              <w:top w:val="nil"/>
              <w:left w:val="nil"/>
              <w:bottom w:val="nil"/>
              <w:right w:val="nil"/>
            </w:tcBorders>
            <w:shd w:val="clear" w:color="FFFFFF" w:fill="FFFFFF"/>
            <w:noWrap/>
            <w:vAlign w:val="bottom"/>
            <w:hideMark/>
          </w:tcPr>
          <w:p w14:paraId="61983B76" w14:textId="77777777" w:rsidR="00AB6753" w:rsidRDefault="00AB6753" w:rsidP="002D1EA4">
            <w:pPr>
              <w:spacing w:after="0"/>
              <w:jc w:val="right"/>
              <w:rPr>
                <w:rFonts w:cs="Arial"/>
                <w:b/>
                <w:bCs/>
                <w:sz w:val="18"/>
                <w:szCs w:val="18"/>
              </w:rPr>
            </w:pPr>
            <w:r>
              <w:rPr>
                <w:rFonts w:cs="Arial"/>
                <w:b/>
                <w:bCs/>
                <w:sz w:val="18"/>
                <w:szCs w:val="18"/>
              </w:rPr>
              <w:t>Provision for restoration</w:t>
            </w:r>
          </w:p>
        </w:tc>
      </w:tr>
      <w:tr w:rsidR="00AB6753" w14:paraId="765FB55C" w14:textId="77777777" w:rsidTr="002D1EA4">
        <w:trPr>
          <w:trHeight w:val="255"/>
        </w:trPr>
        <w:tc>
          <w:tcPr>
            <w:tcW w:w="5876" w:type="dxa"/>
            <w:tcBorders>
              <w:top w:val="nil"/>
              <w:left w:val="nil"/>
              <w:bottom w:val="single" w:sz="4" w:space="0" w:color="auto"/>
              <w:right w:val="nil"/>
            </w:tcBorders>
            <w:shd w:val="clear" w:color="FFFFFF" w:fill="FFFFFF"/>
            <w:vAlign w:val="bottom"/>
            <w:hideMark/>
          </w:tcPr>
          <w:p w14:paraId="0AAF1C73" w14:textId="77777777" w:rsidR="00AB6753" w:rsidRDefault="00AB6753" w:rsidP="002D1EA4">
            <w:pPr>
              <w:spacing w:after="0"/>
              <w:rPr>
                <w:rFonts w:cs="Arial"/>
                <w:sz w:val="18"/>
                <w:szCs w:val="18"/>
              </w:rPr>
            </w:pPr>
            <w:r>
              <w:rPr>
                <w:rFonts w:cs="Arial"/>
                <w:sz w:val="18"/>
                <w:szCs w:val="18"/>
              </w:rPr>
              <w:t> </w:t>
            </w:r>
          </w:p>
        </w:tc>
        <w:tc>
          <w:tcPr>
            <w:tcW w:w="2101" w:type="dxa"/>
            <w:tcBorders>
              <w:top w:val="nil"/>
              <w:left w:val="nil"/>
              <w:bottom w:val="single" w:sz="4" w:space="0" w:color="auto"/>
              <w:right w:val="nil"/>
            </w:tcBorders>
            <w:shd w:val="clear" w:color="FFFFFF" w:fill="FFFFFF"/>
            <w:vAlign w:val="bottom"/>
            <w:hideMark/>
          </w:tcPr>
          <w:p w14:paraId="7AE3206B" w14:textId="77777777" w:rsidR="00AB6753" w:rsidRDefault="00AB6753" w:rsidP="002D1EA4">
            <w:pPr>
              <w:spacing w:after="0"/>
              <w:jc w:val="right"/>
              <w:rPr>
                <w:rFonts w:cs="Arial"/>
                <w:b/>
                <w:bCs/>
                <w:sz w:val="18"/>
                <w:szCs w:val="18"/>
              </w:rPr>
            </w:pPr>
            <w:r>
              <w:rPr>
                <w:rFonts w:cs="Arial"/>
                <w:b/>
                <w:bCs/>
                <w:sz w:val="18"/>
                <w:szCs w:val="18"/>
              </w:rPr>
              <w:t>$'000</w:t>
            </w:r>
          </w:p>
        </w:tc>
      </w:tr>
      <w:tr w:rsidR="00AB6753" w14:paraId="2BF80BFD" w14:textId="77777777" w:rsidTr="002D1EA4">
        <w:trPr>
          <w:trHeight w:val="255"/>
        </w:trPr>
        <w:tc>
          <w:tcPr>
            <w:tcW w:w="5876" w:type="dxa"/>
            <w:tcBorders>
              <w:top w:val="nil"/>
              <w:left w:val="nil"/>
              <w:bottom w:val="nil"/>
              <w:right w:val="nil"/>
            </w:tcBorders>
            <w:shd w:val="clear" w:color="FFFFFF" w:fill="FFFFFF"/>
            <w:vAlign w:val="bottom"/>
            <w:hideMark/>
          </w:tcPr>
          <w:p w14:paraId="50BD7A70" w14:textId="77777777" w:rsidR="00AB6753" w:rsidRDefault="00AB6753" w:rsidP="002D1EA4">
            <w:pPr>
              <w:spacing w:after="0"/>
              <w:rPr>
                <w:rFonts w:cs="Arial"/>
                <w:b/>
                <w:bCs/>
                <w:sz w:val="18"/>
                <w:szCs w:val="18"/>
              </w:rPr>
            </w:pPr>
            <w:r>
              <w:rPr>
                <w:rFonts w:cs="Arial"/>
                <w:b/>
                <w:bCs/>
                <w:sz w:val="18"/>
                <w:szCs w:val="18"/>
              </w:rPr>
              <w:t>Carrying amount as at 1 July 2019</w:t>
            </w:r>
          </w:p>
        </w:tc>
        <w:tc>
          <w:tcPr>
            <w:tcW w:w="2101" w:type="dxa"/>
            <w:tcBorders>
              <w:top w:val="nil"/>
              <w:left w:val="nil"/>
              <w:bottom w:val="nil"/>
              <w:right w:val="nil"/>
            </w:tcBorders>
            <w:shd w:val="clear" w:color="FFFFFF" w:fill="FFFFFF"/>
            <w:noWrap/>
            <w:vAlign w:val="bottom"/>
            <w:hideMark/>
          </w:tcPr>
          <w:p w14:paraId="100F09CF" w14:textId="77777777" w:rsidR="00AB6753" w:rsidRDefault="00AB6753" w:rsidP="002D1EA4">
            <w:pPr>
              <w:spacing w:after="0"/>
              <w:jc w:val="right"/>
              <w:rPr>
                <w:rFonts w:cs="Arial"/>
                <w:b/>
                <w:bCs/>
                <w:sz w:val="18"/>
                <w:szCs w:val="18"/>
              </w:rPr>
            </w:pPr>
            <w:r>
              <w:rPr>
                <w:rFonts w:cs="Arial"/>
                <w:b/>
                <w:bCs/>
                <w:sz w:val="18"/>
                <w:szCs w:val="18"/>
              </w:rPr>
              <w:t xml:space="preserve">743 </w:t>
            </w:r>
          </w:p>
        </w:tc>
      </w:tr>
      <w:tr w:rsidR="00AB6753" w14:paraId="17BB2EB6" w14:textId="77777777" w:rsidTr="002D1EA4">
        <w:trPr>
          <w:trHeight w:val="255"/>
        </w:trPr>
        <w:tc>
          <w:tcPr>
            <w:tcW w:w="5876" w:type="dxa"/>
            <w:tcBorders>
              <w:top w:val="nil"/>
              <w:left w:val="nil"/>
              <w:bottom w:val="nil"/>
              <w:right w:val="nil"/>
            </w:tcBorders>
            <w:shd w:val="clear" w:color="FFFFFF" w:fill="FFFFFF"/>
            <w:vAlign w:val="bottom"/>
            <w:hideMark/>
          </w:tcPr>
          <w:p w14:paraId="65F0AED1" w14:textId="77777777" w:rsidR="00AB6753" w:rsidRDefault="00AB6753" w:rsidP="002D1EA4">
            <w:pPr>
              <w:spacing w:after="0"/>
              <w:ind w:firstLineChars="100" w:firstLine="180"/>
              <w:rPr>
                <w:rFonts w:cs="Arial"/>
                <w:sz w:val="18"/>
                <w:szCs w:val="18"/>
              </w:rPr>
            </w:pPr>
            <w:r>
              <w:rPr>
                <w:rFonts w:cs="Arial"/>
                <w:sz w:val="18"/>
                <w:szCs w:val="18"/>
              </w:rPr>
              <w:t>Change in provisions held</w:t>
            </w:r>
          </w:p>
        </w:tc>
        <w:tc>
          <w:tcPr>
            <w:tcW w:w="2101" w:type="dxa"/>
            <w:tcBorders>
              <w:top w:val="nil"/>
              <w:left w:val="nil"/>
              <w:bottom w:val="nil"/>
              <w:right w:val="nil"/>
            </w:tcBorders>
            <w:shd w:val="clear" w:color="FFFFFF" w:fill="FFFFFF"/>
            <w:noWrap/>
            <w:vAlign w:val="bottom"/>
            <w:hideMark/>
          </w:tcPr>
          <w:p w14:paraId="5D6F73D2" w14:textId="77777777" w:rsidR="00AB6753" w:rsidRDefault="00AB6753" w:rsidP="002D1EA4">
            <w:pPr>
              <w:spacing w:after="0"/>
              <w:jc w:val="right"/>
              <w:rPr>
                <w:rFonts w:cs="Arial"/>
                <w:b/>
                <w:bCs/>
                <w:sz w:val="18"/>
                <w:szCs w:val="18"/>
              </w:rPr>
            </w:pPr>
            <w:r>
              <w:rPr>
                <w:rFonts w:cs="Arial"/>
                <w:b/>
                <w:bCs/>
                <w:sz w:val="18"/>
                <w:szCs w:val="18"/>
              </w:rPr>
              <w:t>(478)</w:t>
            </w:r>
          </w:p>
        </w:tc>
      </w:tr>
      <w:tr w:rsidR="00AB6753" w14:paraId="7083BBA4" w14:textId="77777777" w:rsidTr="002D1EA4">
        <w:trPr>
          <w:trHeight w:val="255"/>
        </w:trPr>
        <w:tc>
          <w:tcPr>
            <w:tcW w:w="5876" w:type="dxa"/>
            <w:tcBorders>
              <w:top w:val="nil"/>
              <w:left w:val="nil"/>
              <w:bottom w:val="nil"/>
              <w:right w:val="nil"/>
            </w:tcBorders>
            <w:shd w:val="clear" w:color="FFFFFF" w:fill="FFFFFF"/>
            <w:vAlign w:val="bottom"/>
            <w:hideMark/>
          </w:tcPr>
          <w:p w14:paraId="02FBB36B" w14:textId="77777777" w:rsidR="00AB6753" w:rsidRDefault="00AB6753" w:rsidP="002D1EA4">
            <w:pPr>
              <w:spacing w:after="0"/>
              <w:ind w:firstLineChars="100" w:firstLine="180"/>
              <w:rPr>
                <w:rFonts w:cs="Arial"/>
                <w:sz w:val="18"/>
                <w:szCs w:val="18"/>
              </w:rPr>
            </w:pPr>
            <w:r>
              <w:rPr>
                <w:rFonts w:cs="Arial"/>
                <w:sz w:val="18"/>
                <w:szCs w:val="18"/>
              </w:rPr>
              <w:t>Revaluation</w:t>
            </w:r>
          </w:p>
        </w:tc>
        <w:tc>
          <w:tcPr>
            <w:tcW w:w="2101" w:type="dxa"/>
            <w:tcBorders>
              <w:top w:val="nil"/>
              <w:left w:val="nil"/>
              <w:bottom w:val="nil"/>
              <w:right w:val="nil"/>
            </w:tcBorders>
            <w:shd w:val="clear" w:color="FFFFFF" w:fill="FFFFFF"/>
            <w:noWrap/>
            <w:vAlign w:val="bottom"/>
            <w:hideMark/>
          </w:tcPr>
          <w:p w14:paraId="0D1EC54C" w14:textId="77777777" w:rsidR="00AB6753" w:rsidRDefault="00AB6753" w:rsidP="002D1EA4">
            <w:pPr>
              <w:spacing w:after="0"/>
              <w:jc w:val="right"/>
              <w:rPr>
                <w:rFonts w:cs="Arial"/>
                <w:b/>
                <w:bCs/>
                <w:sz w:val="18"/>
                <w:szCs w:val="18"/>
              </w:rPr>
            </w:pPr>
            <w:r>
              <w:rPr>
                <w:rFonts w:cs="Arial"/>
                <w:b/>
                <w:bCs/>
                <w:sz w:val="18"/>
                <w:szCs w:val="18"/>
              </w:rPr>
              <w:t xml:space="preserve">8 </w:t>
            </w:r>
          </w:p>
        </w:tc>
      </w:tr>
      <w:tr w:rsidR="00AB6753" w14:paraId="03AD53F1" w14:textId="77777777" w:rsidTr="002D1EA4">
        <w:trPr>
          <w:trHeight w:val="255"/>
        </w:trPr>
        <w:tc>
          <w:tcPr>
            <w:tcW w:w="5876" w:type="dxa"/>
            <w:tcBorders>
              <w:top w:val="single" w:sz="4" w:space="0" w:color="auto"/>
              <w:left w:val="nil"/>
              <w:bottom w:val="single" w:sz="4" w:space="0" w:color="auto"/>
              <w:right w:val="nil"/>
            </w:tcBorders>
            <w:shd w:val="clear" w:color="FFFFFF" w:fill="FFFFFF"/>
            <w:vAlign w:val="bottom"/>
            <w:hideMark/>
          </w:tcPr>
          <w:p w14:paraId="08C27AE8" w14:textId="77777777" w:rsidR="00AB6753" w:rsidRDefault="00AB6753" w:rsidP="002D1EA4">
            <w:pPr>
              <w:spacing w:after="0"/>
              <w:rPr>
                <w:rFonts w:cs="Arial"/>
                <w:b/>
                <w:bCs/>
                <w:sz w:val="18"/>
                <w:szCs w:val="18"/>
              </w:rPr>
            </w:pPr>
            <w:r>
              <w:rPr>
                <w:rFonts w:cs="Arial"/>
                <w:b/>
                <w:bCs/>
                <w:sz w:val="18"/>
                <w:szCs w:val="18"/>
              </w:rPr>
              <w:t>Closing balance as at 30 June 2020</w:t>
            </w:r>
          </w:p>
        </w:tc>
        <w:tc>
          <w:tcPr>
            <w:tcW w:w="2101" w:type="dxa"/>
            <w:tcBorders>
              <w:top w:val="single" w:sz="4" w:space="0" w:color="auto"/>
              <w:left w:val="nil"/>
              <w:bottom w:val="single" w:sz="4" w:space="0" w:color="auto"/>
              <w:right w:val="nil"/>
            </w:tcBorders>
            <w:shd w:val="clear" w:color="FFFFFF" w:fill="FFFFFF"/>
            <w:noWrap/>
            <w:vAlign w:val="bottom"/>
            <w:hideMark/>
          </w:tcPr>
          <w:p w14:paraId="27F1D60C" w14:textId="77777777" w:rsidR="00AB6753" w:rsidRDefault="00AB6753" w:rsidP="002D1EA4">
            <w:pPr>
              <w:spacing w:after="0"/>
              <w:jc w:val="right"/>
              <w:rPr>
                <w:rFonts w:cs="Arial"/>
                <w:b/>
                <w:bCs/>
                <w:sz w:val="18"/>
                <w:szCs w:val="18"/>
              </w:rPr>
            </w:pPr>
            <w:r>
              <w:rPr>
                <w:rFonts w:cs="Arial"/>
                <w:b/>
                <w:bCs/>
                <w:sz w:val="18"/>
                <w:szCs w:val="18"/>
              </w:rPr>
              <w:t>273</w:t>
            </w:r>
          </w:p>
        </w:tc>
      </w:tr>
    </w:tbl>
    <w:p w14:paraId="2B7A0644" w14:textId="77777777" w:rsidR="00AB6753" w:rsidRPr="000D0C3F" w:rsidRDefault="00AB6753" w:rsidP="00AB6753">
      <w:pPr>
        <w:spacing w:after="0"/>
        <w:rPr>
          <w:sz w:val="18"/>
          <w:szCs w:val="18"/>
        </w:rPr>
      </w:pPr>
    </w:p>
    <w:p w14:paraId="034F1DA6" w14:textId="77777777" w:rsidR="00AB6753" w:rsidRDefault="00AB6753" w:rsidP="00AB6753">
      <w:pPr>
        <w:pStyle w:val="NotesText0"/>
        <w:spacing w:before="0" w:after="0"/>
      </w:pPr>
      <w:r>
        <w:t xml:space="preserve">The department </w:t>
      </w:r>
      <w:r w:rsidRPr="000D0C3F">
        <w:t>has one agreement (2019: two agreements)</w:t>
      </w:r>
      <w:r>
        <w:t xml:space="preserve"> which has a</w:t>
      </w:r>
      <w:r w:rsidRPr="000D0C3F">
        <w:t xml:space="preserve"> provision requiring restoration</w:t>
      </w:r>
      <w:r>
        <w:t xml:space="preserve"> of the premises</w:t>
      </w:r>
      <w:r w:rsidRPr="000D0C3F">
        <w:t xml:space="preserve"> to</w:t>
      </w:r>
      <w:r w:rsidRPr="005669B4">
        <w:t xml:space="preserve"> the original </w:t>
      </w:r>
      <w:r>
        <w:t xml:space="preserve">or an agreed </w:t>
      </w:r>
      <w:r w:rsidRPr="005669B4">
        <w:t xml:space="preserve">condition at the conclusion of the lease. </w:t>
      </w:r>
      <w:r>
        <w:t xml:space="preserve">The department </w:t>
      </w:r>
      <w:r w:rsidRPr="005669B4">
        <w:t>has made a provision to reflect the present value of th</w:t>
      </w:r>
      <w:r>
        <w:t>is</w:t>
      </w:r>
      <w:r w:rsidRPr="005669B4">
        <w:t xml:space="preserve"> obligation.</w:t>
      </w:r>
    </w:p>
    <w:p w14:paraId="0D310C99" w14:textId="77777777" w:rsidR="00AB6753" w:rsidRDefault="00AB6753" w:rsidP="00AB6753">
      <w:pPr>
        <w:spacing w:after="0" w:line="240" w:lineRule="auto"/>
      </w:pPr>
    </w:p>
    <w:p w14:paraId="2DBD1244" w14:textId="77777777" w:rsidR="00AB6753" w:rsidRDefault="00AB6753" w:rsidP="00AB6753">
      <w:pPr>
        <w:pStyle w:val="PolicyheadingDept"/>
        <w:pBdr>
          <w:top w:val="single" w:sz="4" w:space="1" w:color="00B2BA"/>
          <w:left w:val="single" w:sz="4" w:space="0" w:color="00B2BA"/>
          <w:bottom w:val="single" w:sz="4" w:space="1" w:color="00B2BA"/>
          <w:right w:val="single" w:sz="4" w:space="12" w:color="00B2BA"/>
        </w:pBdr>
      </w:pPr>
      <w:r>
        <w:t>Accounting Judgements and Estimates</w:t>
      </w:r>
    </w:p>
    <w:p w14:paraId="49728C84" w14:textId="77777777" w:rsidR="00AB6753" w:rsidRDefault="00AB6753" w:rsidP="00AB6753">
      <w:pPr>
        <w:pStyle w:val="Policytextdeptunderline"/>
        <w:pBdr>
          <w:top w:val="single" w:sz="4" w:space="1" w:color="00B2BA"/>
          <w:left w:val="single" w:sz="4" w:space="0" w:color="00B2BA"/>
          <w:bottom w:val="single" w:sz="4" w:space="1" w:color="00B2BA"/>
          <w:right w:val="single" w:sz="4" w:space="12" w:color="00B2BA"/>
        </w:pBdr>
      </w:pPr>
      <w:proofErr w:type="spellStart"/>
      <w:r w:rsidRPr="00174DF5">
        <w:t>Makegood</w:t>
      </w:r>
      <w:proofErr w:type="spellEnd"/>
      <w:r w:rsidRPr="00174DF5">
        <w:t xml:space="preserve"> Provision</w:t>
      </w:r>
    </w:p>
    <w:p w14:paraId="4A857C08"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rsidRPr="00567EAC">
        <w:t xml:space="preserve">The fair value of </w:t>
      </w:r>
      <w:proofErr w:type="spellStart"/>
      <w:r w:rsidRPr="00567EAC">
        <w:t>makegood</w:t>
      </w:r>
      <w:proofErr w:type="spellEnd"/>
      <w:r w:rsidRPr="00567EAC">
        <w:t xml:space="preserve"> for leasehold improvements is based on estimated costs per square metre on a site by site basis and is included as a provision for </w:t>
      </w:r>
      <w:proofErr w:type="spellStart"/>
      <w:r w:rsidRPr="00567EAC">
        <w:t>makegood</w:t>
      </w:r>
      <w:proofErr w:type="spellEnd"/>
      <w:r w:rsidRPr="00567EAC">
        <w:t>. Th</w:t>
      </w:r>
      <w:r>
        <w:t xml:space="preserve">e value of the provision for a </w:t>
      </w:r>
      <w:r w:rsidRPr="00567EAC">
        <w:t xml:space="preserve">property will depend on the rate </w:t>
      </w:r>
      <w:r>
        <w:t xml:space="preserve">and assessed cost </w:t>
      </w:r>
      <w:r w:rsidRPr="00567EAC">
        <w:t>of</w:t>
      </w:r>
      <w:r>
        <w:t xml:space="preserve"> the</w:t>
      </w:r>
      <w:r w:rsidRPr="00567EAC">
        <w:t xml:space="preserve"> </w:t>
      </w:r>
      <w:proofErr w:type="spellStart"/>
      <w:r w:rsidRPr="00567EAC">
        <w:t>makegood</w:t>
      </w:r>
      <w:proofErr w:type="spellEnd"/>
      <w:r w:rsidRPr="00567EAC">
        <w:t xml:space="preserve"> obligation applied to the premi</w:t>
      </w:r>
      <w:r w:rsidRPr="00E01844">
        <w:t xml:space="preserve">ses. </w:t>
      </w:r>
      <w:r>
        <w:t>The department’s</w:t>
      </w:r>
      <w:r w:rsidRPr="00E01844">
        <w:t xml:space="preserve"> property management </w:t>
      </w:r>
      <w:r>
        <w:t>advisor</w:t>
      </w:r>
      <w:r w:rsidRPr="00E01844">
        <w:t xml:space="preserve"> h</w:t>
      </w:r>
      <w:r>
        <w:t>as</w:t>
      </w:r>
      <w:r w:rsidRPr="00E01844">
        <w:t xml:space="preserve"> determined that not a</w:t>
      </w:r>
      <w:r>
        <w:t xml:space="preserve">ll property leases have a </w:t>
      </w:r>
      <w:proofErr w:type="spellStart"/>
      <w:r>
        <w:t>makegood</w:t>
      </w:r>
      <w:proofErr w:type="spellEnd"/>
      <w:r>
        <w:t xml:space="preserve"> </w:t>
      </w:r>
      <w:r w:rsidRPr="00E01844">
        <w:t>obligation.</w:t>
      </w:r>
      <w:r>
        <w:br w:type="page"/>
      </w:r>
    </w:p>
    <w:p w14:paraId="7DF4196B" w14:textId="77777777" w:rsidR="00AB6753" w:rsidRPr="001F626B" w:rsidRDefault="00AB6753" w:rsidP="00AB6753">
      <w:pPr>
        <w:pStyle w:val="SectionHeading"/>
        <w:numPr>
          <w:ilvl w:val="0"/>
          <w:numId w:val="56"/>
        </w:numPr>
        <w:shd w:val="clear" w:color="auto" w:fill="00B2BA"/>
        <w:ind w:left="397" w:hanging="340"/>
        <w:rPr>
          <w:rFonts w:ascii="Arial" w:hAnsi="Arial" w:cs="Arial"/>
          <w:color w:val="auto"/>
        </w:rPr>
      </w:pPr>
      <w:bookmarkStart w:id="150" w:name="_Toc443469533"/>
      <w:bookmarkStart w:id="151" w:name="_Toc444065786"/>
      <w:bookmarkStart w:id="152" w:name="_Toc444079983"/>
      <w:bookmarkStart w:id="153" w:name="_Toc450750166"/>
      <w:bookmarkStart w:id="154" w:name="_Toc45748812"/>
      <w:r w:rsidRPr="001F626B">
        <w:rPr>
          <w:rFonts w:ascii="Arial" w:hAnsi="Arial" w:cs="Arial"/>
          <w:color w:val="auto"/>
        </w:rPr>
        <w:lastRenderedPageBreak/>
        <w:t>Assets and Liabilities Administered on Behalf of Government</w:t>
      </w:r>
      <w:bookmarkEnd w:id="150"/>
      <w:bookmarkEnd w:id="151"/>
      <w:bookmarkEnd w:id="152"/>
      <w:bookmarkEnd w:id="153"/>
      <w:bookmarkEnd w:id="154"/>
    </w:p>
    <w:p w14:paraId="188007E6" w14:textId="77777777" w:rsidR="00AB6753" w:rsidRPr="00163047" w:rsidRDefault="00AB6753" w:rsidP="00AB6753">
      <w:pPr>
        <w:pStyle w:val="SubHeading"/>
        <w:numPr>
          <w:ilvl w:val="1"/>
          <w:numId w:val="56"/>
        </w:numPr>
        <w:shd w:val="clear" w:color="auto" w:fill="D9D9D9" w:themeFill="background1" w:themeFillShade="D9"/>
        <w:ind w:left="57" w:firstLine="0"/>
        <w:rPr>
          <w:sz w:val="20"/>
        </w:rPr>
      </w:pPr>
      <w:bookmarkStart w:id="155" w:name="_Toc443469534"/>
      <w:bookmarkStart w:id="156" w:name="_Toc444065787"/>
      <w:bookmarkStart w:id="157" w:name="_Toc444079984"/>
      <w:bookmarkStart w:id="158" w:name="_Toc450750167"/>
      <w:bookmarkStart w:id="159" w:name="_Ref456958711"/>
      <w:bookmarkStart w:id="160" w:name="_Ref456958724"/>
      <w:bookmarkStart w:id="161" w:name="_Toc45748813"/>
      <w:r w:rsidRPr="00163047">
        <w:rPr>
          <w:sz w:val="20"/>
        </w:rPr>
        <w:t>Administered – Financial Assets</w:t>
      </w:r>
      <w:bookmarkEnd w:id="155"/>
      <w:bookmarkEnd w:id="156"/>
      <w:bookmarkEnd w:id="157"/>
      <w:bookmarkEnd w:id="158"/>
      <w:bookmarkEnd w:id="159"/>
      <w:bookmarkEnd w:id="160"/>
      <w:bookmarkEnd w:id="161"/>
    </w:p>
    <w:tbl>
      <w:tblPr>
        <w:tblW w:w="9411" w:type="dxa"/>
        <w:tblInd w:w="80" w:type="dxa"/>
        <w:tblLayout w:type="fixed"/>
        <w:tblLook w:val="04A0" w:firstRow="1" w:lastRow="0" w:firstColumn="1" w:lastColumn="0" w:noHBand="0" w:noVBand="1"/>
        <w:tblCaption w:val="Notes to and forming part of the financial statements"/>
        <w:tblDescription w:val="Assets and Liabilities administered on behalf of Government&#10;"/>
      </w:tblPr>
      <w:tblGrid>
        <w:gridCol w:w="6566"/>
        <w:gridCol w:w="1286"/>
        <w:gridCol w:w="273"/>
        <w:gridCol w:w="1286"/>
      </w:tblGrid>
      <w:tr w:rsidR="00AB6753" w14:paraId="39CDB3F4" w14:textId="77777777" w:rsidTr="002D1EA4">
        <w:trPr>
          <w:trHeight w:val="255"/>
        </w:trPr>
        <w:tc>
          <w:tcPr>
            <w:tcW w:w="6416" w:type="dxa"/>
            <w:tcBorders>
              <w:top w:val="nil"/>
              <w:left w:val="nil"/>
              <w:bottom w:val="nil"/>
              <w:right w:val="nil"/>
            </w:tcBorders>
            <w:shd w:val="clear" w:color="000000" w:fill="D9D9D9"/>
            <w:noWrap/>
            <w:vAlign w:val="bottom"/>
            <w:hideMark/>
          </w:tcPr>
          <w:p w14:paraId="02BBB6EF" w14:textId="77777777" w:rsidR="00AB6753" w:rsidRDefault="00AB6753" w:rsidP="002D1EA4">
            <w:pPr>
              <w:spacing w:after="0"/>
              <w:ind w:left="-113"/>
              <w:rPr>
                <w:rFonts w:cs="Arial"/>
                <w:sz w:val="16"/>
                <w:szCs w:val="16"/>
              </w:rPr>
            </w:pPr>
            <w:bookmarkStart w:id="162" w:name="Note_ACSTABLE1" w:colFirst="0" w:colLast="0"/>
            <w:r>
              <w:rPr>
                <w:rFonts w:cs="Arial"/>
                <w:sz w:val="16"/>
                <w:szCs w:val="16"/>
              </w:rPr>
              <w:t> </w:t>
            </w:r>
          </w:p>
        </w:tc>
        <w:tc>
          <w:tcPr>
            <w:tcW w:w="1256" w:type="dxa"/>
            <w:tcBorders>
              <w:top w:val="nil"/>
              <w:left w:val="nil"/>
              <w:bottom w:val="nil"/>
              <w:right w:val="nil"/>
            </w:tcBorders>
            <w:shd w:val="clear" w:color="000000" w:fill="D9D9D9"/>
            <w:noWrap/>
            <w:vAlign w:val="bottom"/>
            <w:hideMark/>
          </w:tcPr>
          <w:p w14:paraId="7665A106" w14:textId="77777777" w:rsidR="00AB6753" w:rsidRDefault="00AB6753" w:rsidP="002D1EA4">
            <w:pPr>
              <w:spacing w:after="0"/>
              <w:ind w:left="-113"/>
              <w:jc w:val="right"/>
              <w:rPr>
                <w:rFonts w:cs="Arial"/>
                <w:b/>
                <w:bCs/>
                <w:sz w:val="18"/>
                <w:szCs w:val="18"/>
              </w:rPr>
            </w:pPr>
            <w:r>
              <w:rPr>
                <w:rFonts w:cs="Arial"/>
                <w:b/>
                <w:bCs/>
                <w:sz w:val="18"/>
                <w:szCs w:val="18"/>
              </w:rPr>
              <w:t>2020</w:t>
            </w:r>
          </w:p>
        </w:tc>
        <w:tc>
          <w:tcPr>
            <w:tcW w:w="267" w:type="dxa"/>
            <w:tcBorders>
              <w:top w:val="nil"/>
              <w:left w:val="nil"/>
              <w:bottom w:val="nil"/>
              <w:right w:val="nil"/>
            </w:tcBorders>
            <w:shd w:val="clear" w:color="000000" w:fill="D9D9D9"/>
            <w:noWrap/>
            <w:vAlign w:val="bottom"/>
            <w:hideMark/>
          </w:tcPr>
          <w:p w14:paraId="33DF57D9" w14:textId="77777777" w:rsidR="00AB6753" w:rsidRDefault="00AB6753" w:rsidP="002D1EA4">
            <w:pPr>
              <w:spacing w:after="0"/>
              <w:ind w:left="-113"/>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1A39E332" w14:textId="77777777" w:rsidR="00AB6753" w:rsidRDefault="00AB6753" w:rsidP="002D1EA4">
            <w:pPr>
              <w:spacing w:after="0"/>
              <w:ind w:left="-113"/>
              <w:jc w:val="right"/>
              <w:rPr>
                <w:rFonts w:cs="Arial"/>
                <w:sz w:val="18"/>
                <w:szCs w:val="18"/>
              </w:rPr>
            </w:pPr>
            <w:r>
              <w:rPr>
                <w:rFonts w:cs="Arial"/>
                <w:sz w:val="18"/>
                <w:szCs w:val="18"/>
              </w:rPr>
              <w:t>2019</w:t>
            </w:r>
          </w:p>
        </w:tc>
      </w:tr>
      <w:bookmarkEnd w:id="162"/>
      <w:tr w:rsidR="00AB6753" w14:paraId="6062FBB4" w14:textId="77777777" w:rsidTr="002D1EA4">
        <w:trPr>
          <w:trHeight w:val="255"/>
        </w:trPr>
        <w:tc>
          <w:tcPr>
            <w:tcW w:w="6416" w:type="dxa"/>
            <w:tcBorders>
              <w:top w:val="nil"/>
              <w:left w:val="nil"/>
              <w:bottom w:val="nil"/>
              <w:right w:val="nil"/>
            </w:tcBorders>
            <w:shd w:val="clear" w:color="000000" w:fill="D9D9D9"/>
            <w:noWrap/>
            <w:vAlign w:val="bottom"/>
            <w:hideMark/>
          </w:tcPr>
          <w:p w14:paraId="237D79B9" w14:textId="77777777" w:rsidR="00AB6753" w:rsidRDefault="00AB6753" w:rsidP="002D1EA4">
            <w:pPr>
              <w:spacing w:after="0"/>
              <w:ind w:left="-113"/>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1FB37F22" w14:textId="77777777" w:rsidR="00AB6753" w:rsidRDefault="00AB6753" w:rsidP="002D1EA4">
            <w:pPr>
              <w:spacing w:after="0"/>
              <w:ind w:left="-113"/>
              <w:jc w:val="right"/>
              <w:rPr>
                <w:rFonts w:cs="Arial"/>
                <w:b/>
                <w:bCs/>
                <w:sz w:val="18"/>
                <w:szCs w:val="18"/>
              </w:rPr>
            </w:pPr>
            <w:r>
              <w:rPr>
                <w:rFonts w:cs="Arial"/>
                <w:b/>
                <w:bCs/>
                <w:sz w:val="18"/>
                <w:szCs w:val="18"/>
              </w:rPr>
              <w:t>$'000</w:t>
            </w:r>
          </w:p>
        </w:tc>
        <w:tc>
          <w:tcPr>
            <w:tcW w:w="267" w:type="dxa"/>
            <w:tcBorders>
              <w:top w:val="nil"/>
              <w:left w:val="nil"/>
              <w:bottom w:val="nil"/>
              <w:right w:val="nil"/>
            </w:tcBorders>
            <w:shd w:val="clear" w:color="000000" w:fill="D9D9D9"/>
            <w:noWrap/>
            <w:vAlign w:val="bottom"/>
            <w:hideMark/>
          </w:tcPr>
          <w:p w14:paraId="4420F56C" w14:textId="77777777" w:rsidR="00AB6753" w:rsidRDefault="00AB6753" w:rsidP="002D1EA4">
            <w:pPr>
              <w:spacing w:after="0"/>
              <w:ind w:left="-113"/>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3F74014F" w14:textId="77777777" w:rsidR="00AB6753" w:rsidRDefault="00AB6753" w:rsidP="002D1EA4">
            <w:pPr>
              <w:spacing w:after="0"/>
              <w:ind w:left="-113"/>
              <w:jc w:val="right"/>
              <w:rPr>
                <w:rFonts w:cs="Arial"/>
                <w:sz w:val="18"/>
                <w:szCs w:val="18"/>
              </w:rPr>
            </w:pPr>
            <w:r>
              <w:rPr>
                <w:rFonts w:cs="Arial"/>
                <w:sz w:val="18"/>
                <w:szCs w:val="18"/>
              </w:rPr>
              <w:t>$'000</w:t>
            </w:r>
          </w:p>
        </w:tc>
      </w:tr>
      <w:tr w:rsidR="00AB6753" w14:paraId="45C061C5" w14:textId="77777777" w:rsidTr="002D1EA4">
        <w:trPr>
          <w:trHeight w:val="255"/>
        </w:trPr>
        <w:tc>
          <w:tcPr>
            <w:tcW w:w="6416" w:type="dxa"/>
            <w:tcBorders>
              <w:top w:val="nil"/>
              <w:left w:val="nil"/>
              <w:bottom w:val="nil"/>
              <w:right w:val="nil"/>
            </w:tcBorders>
            <w:shd w:val="clear" w:color="000000" w:fill="D9D9D9"/>
            <w:noWrap/>
            <w:hideMark/>
          </w:tcPr>
          <w:p w14:paraId="505F1795" w14:textId="77777777" w:rsidR="00AB6753" w:rsidRDefault="00AB6753" w:rsidP="002D1EA4">
            <w:pPr>
              <w:spacing w:after="0"/>
              <w:ind w:left="-113"/>
              <w:rPr>
                <w:rFonts w:cs="Arial"/>
                <w:b/>
                <w:bCs/>
                <w:sz w:val="18"/>
                <w:szCs w:val="18"/>
                <w:u w:val="single"/>
              </w:rPr>
            </w:pPr>
            <w:r>
              <w:rPr>
                <w:rFonts w:cs="Arial"/>
                <w:b/>
                <w:bCs/>
                <w:sz w:val="18"/>
                <w:szCs w:val="18"/>
                <w:u w:val="single"/>
              </w:rPr>
              <w:t>Note 4.1A: Cash and Cash Equivalents</w:t>
            </w:r>
          </w:p>
        </w:tc>
        <w:tc>
          <w:tcPr>
            <w:tcW w:w="1256" w:type="dxa"/>
            <w:tcBorders>
              <w:top w:val="nil"/>
              <w:left w:val="nil"/>
              <w:bottom w:val="nil"/>
              <w:right w:val="nil"/>
            </w:tcBorders>
            <w:shd w:val="clear" w:color="000000" w:fill="D9D9D9"/>
            <w:noWrap/>
            <w:vAlign w:val="bottom"/>
            <w:hideMark/>
          </w:tcPr>
          <w:p w14:paraId="6B189E3F" w14:textId="77777777" w:rsidR="00AB6753" w:rsidRDefault="00AB6753" w:rsidP="002D1EA4">
            <w:pPr>
              <w:spacing w:after="0"/>
              <w:ind w:left="-113"/>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2A7BBF0A" w14:textId="77777777" w:rsidR="00AB6753" w:rsidRDefault="00AB6753" w:rsidP="002D1EA4">
            <w:pPr>
              <w:spacing w:after="0"/>
              <w:ind w:left="-113"/>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685CA8B0" w14:textId="77777777" w:rsidR="00AB6753" w:rsidRDefault="00AB6753" w:rsidP="002D1EA4">
            <w:pPr>
              <w:spacing w:after="0"/>
              <w:ind w:left="-113"/>
              <w:rPr>
                <w:rFonts w:cs="Arial"/>
                <w:sz w:val="16"/>
                <w:szCs w:val="16"/>
              </w:rPr>
            </w:pPr>
            <w:r>
              <w:rPr>
                <w:rFonts w:cs="Arial"/>
                <w:sz w:val="16"/>
                <w:szCs w:val="16"/>
              </w:rPr>
              <w:t> </w:t>
            </w:r>
          </w:p>
        </w:tc>
      </w:tr>
      <w:tr w:rsidR="00AB6753" w14:paraId="21382351" w14:textId="77777777" w:rsidTr="002D1EA4">
        <w:trPr>
          <w:trHeight w:val="270"/>
        </w:trPr>
        <w:tc>
          <w:tcPr>
            <w:tcW w:w="6416" w:type="dxa"/>
            <w:tcBorders>
              <w:top w:val="nil"/>
              <w:left w:val="nil"/>
              <w:bottom w:val="nil"/>
              <w:right w:val="nil"/>
            </w:tcBorders>
            <w:shd w:val="clear" w:color="000000" w:fill="D9D9D9"/>
            <w:vAlign w:val="bottom"/>
            <w:hideMark/>
          </w:tcPr>
          <w:p w14:paraId="0073A9BF" w14:textId="77777777" w:rsidR="00AB6753" w:rsidRDefault="00AB6753" w:rsidP="002D1EA4">
            <w:pPr>
              <w:spacing w:after="0"/>
              <w:ind w:left="-113"/>
              <w:rPr>
                <w:rFonts w:cs="Arial"/>
                <w:sz w:val="18"/>
                <w:szCs w:val="18"/>
              </w:rPr>
            </w:pPr>
            <w:r>
              <w:rPr>
                <w:rFonts w:cs="Arial"/>
                <w:sz w:val="18"/>
                <w:szCs w:val="18"/>
              </w:rPr>
              <w:t>Cash in special accounts</w:t>
            </w:r>
            <w:r>
              <w:rPr>
                <w:rFonts w:cs="Arial"/>
                <w:sz w:val="18"/>
                <w:szCs w:val="18"/>
                <w:vertAlign w:val="superscript"/>
              </w:rPr>
              <w:t>1</w:t>
            </w:r>
          </w:p>
        </w:tc>
        <w:tc>
          <w:tcPr>
            <w:tcW w:w="1256" w:type="dxa"/>
            <w:tcBorders>
              <w:top w:val="nil"/>
              <w:left w:val="nil"/>
              <w:bottom w:val="nil"/>
              <w:right w:val="nil"/>
            </w:tcBorders>
            <w:shd w:val="clear" w:color="000000" w:fill="D9D9D9"/>
            <w:noWrap/>
            <w:vAlign w:val="bottom"/>
            <w:hideMark/>
          </w:tcPr>
          <w:p w14:paraId="7043BC6E" w14:textId="77777777" w:rsidR="00AB6753" w:rsidRDefault="00AB6753" w:rsidP="002D1EA4">
            <w:pPr>
              <w:spacing w:after="0"/>
              <w:ind w:left="-113"/>
              <w:jc w:val="right"/>
              <w:rPr>
                <w:rFonts w:cs="Arial"/>
                <w:b/>
                <w:bCs/>
                <w:sz w:val="18"/>
                <w:szCs w:val="18"/>
              </w:rPr>
            </w:pPr>
            <w:r>
              <w:rPr>
                <w:rFonts w:cs="Arial"/>
                <w:b/>
                <w:bCs/>
                <w:sz w:val="18"/>
                <w:szCs w:val="18"/>
              </w:rPr>
              <w:t>507,155</w:t>
            </w:r>
          </w:p>
        </w:tc>
        <w:tc>
          <w:tcPr>
            <w:tcW w:w="267" w:type="dxa"/>
            <w:tcBorders>
              <w:top w:val="nil"/>
              <w:left w:val="nil"/>
              <w:bottom w:val="nil"/>
              <w:right w:val="nil"/>
            </w:tcBorders>
            <w:shd w:val="clear" w:color="000000" w:fill="D9D9D9"/>
            <w:noWrap/>
            <w:vAlign w:val="bottom"/>
            <w:hideMark/>
          </w:tcPr>
          <w:p w14:paraId="71A0C311" w14:textId="77777777" w:rsidR="00AB6753" w:rsidRDefault="00AB6753" w:rsidP="002D1EA4">
            <w:pPr>
              <w:spacing w:after="0"/>
              <w:ind w:left="-113"/>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3F685957" w14:textId="77777777" w:rsidR="00AB6753" w:rsidRDefault="00AB6753" w:rsidP="002D1EA4">
            <w:pPr>
              <w:spacing w:after="0"/>
              <w:ind w:left="-113"/>
              <w:jc w:val="right"/>
              <w:rPr>
                <w:rFonts w:cs="Arial"/>
                <w:sz w:val="18"/>
                <w:szCs w:val="18"/>
              </w:rPr>
            </w:pPr>
            <w:r>
              <w:rPr>
                <w:rFonts w:cs="Arial"/>
                <w:sz w:val="18"/>
                <w:szCs w:val="18"/>
              </w:rPr>
              <w:t>402,363</w:t>
            </w:r>
          </w:p>
        </w:tc>
      </w:tr>
      <w:tr w:rsidR="00AB6753" w14:paraId="7A24B339" w14:textId="77777777" w:rsidTr="002D1EA4">
        <w:trPr>
          <w:trHeight w:val="255"/>
        </w:trPr>
        <w:tc>
          <w:tcPr>
            <w:tcW w:w="6416" w:type="dxa"/>
            <w:tcBorders>
              <w:top w:val="nil"/>
              <w:left w:val="nil"/>
              <w:bottom w:val="nil"/>
              <w:right w:val="nil"/>
            </w:tcBorders>
            <w:shd w:val="clear" w:color="000000" w:fill="D9D9D9"/>
            <w:vAlign w:val="bottom"/>
            <w:hideMark/>
          </w:tcPr>
          <w:p w14:paraId="01AFA38F" w14:textId="77777777" w:rsidR="00AB6753" w:rsidRDefault="00AB6753" w:rsidP="002D1EA4">
            <w:pPr>
              <w:spacing w:after="0"/>
              <w:ind w:left="-113"/>
              <w:rPr>
                <w:rFonts w:cs="Arial"/>
                <w:sz w:val="18"/>
                <w:szCs w:val="18"/>
              </w:rPr>
            </w:pPr>
            <w:r>
              <w:rPr>
                <w:rFonts w:cs="Arial"/>
                <w:sz w:val="18"/>
                <w:szCs w:val="18"/>
              </w:rPr>
              <w:t>Cash at bank</w:t>
            </w:r>
          </w:p>
        </w:tc>
        <w:tc>
          <w:tcPr>
            <w:tcW w:w="1256" w:type="dxa"/>
            <w:tcBorders>
              <w:top w:val="nil"/>
              <w:left w:val="nil"/>
              <w:bottom w:val="nil"/>
              <w:right w:val="nil"/>
            </w:tcBorders>
            <w:shd w:val="clear" w:color="000000" w:fill="D9D9D9"/>
            <w:noWrap/>
            <w:vAlign w:val="bottom"/>
            <w:hideMark/>
          </w:tcPr>
          <w:p w14:paraId="4A226337" w14:textId="77777777" w:rsidR="00AB6753" w:rsidRDefault="00AB6753" w:rsidP="002D1EA4">
            <w:pPr>
              <w:spacing w:after="0"/>
              <w:ind w:left="-113"/>
              <w:jc w:val="right"/>
              <w:rPr>
                <w:rFonts w:cs="Arial"/>
                <w:b/>
                <w:bCs/>
                <w:sz w:val="18"/>
                <w:szCs w:val="18"/>
              </w:rPr>
            </w:pPr>
            <w:r>
              <w:rPr>
                <w:rFonts w:cs="Arial"/>
                <w:b/>
                <w:bCs/>
                <w:sz w:val="18"/>
                <w:szCs w:val="18"/>
              </w:rPr>
              <w:t>11,373</w:t>
            </w:r>
          </w:p>
        </w:tc>
        <w:tc>
          <w:tcPr>
            <w:tcW w:w="267" w:type="dxa"/>
            <w:tcBorders>
              <w:top w:val="nil"/>
              <w:left w:val="nil"/>
              <w:bottom w:val="nil"/>
              <w:right w:val="nil"/>
            </w:tcBorders>
            <w:shd w:val="clear" w:color="000000" w:fill="D9D9D9"/>
            <w:noWrap/>
            <w:vAlign w:val="bottom"/>
            <w:hideMark/>
          </w:tcPr>
          <w:p w14:paraId="24450CA7" w14:textId="77777777" w:rsidR="00AB6753" w:rsidRDefault="00AB6753" w:rsidP="002D1EA4">
            <w:pPr>
              <w:spacing w:after="0"/>
              <w:ind w:left="-113"/>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08031AB8" w14:textId="77777777" w:rsidR="00AB6753" w:rsidRDefault="00AB6753" w:rsidP="002D1EA4">
            <w:pPr>
              <w:spacing w:after="0"/>
              <w:ind w:left="-113"/>
              <w:jc w:val="right"/>
              <w:rPr>
                <w:rFonts w:cs="Arial"/>
                <w:sz w:val="18"/>
                <w:szCs w:val="18"/>
              </w:rPr>
            </w:pPr>
            <w:r>
              <w:rPr>
                <w:rFonts w:cs="Arial"/>
                <w:sz w:val="18"/>
                <w:szCs w:val="18"/>
              </w:rPr>
              <w:t>10,120</w:t>
            </w:r>
          </w:p>
        </w:tc>
      </w:tr>
      <w:tr w:rsidR="00AB6753" w14:paraId="3C281594" w14:textId="77777777" w:rsidTr="002D1EA4">
        <w:trPr>
          <w:trHeight w:val="255"/>
        </w:trPr>
        <w:tc>
          <w:tcPr>
            <w:tcW w:w="6416" w:type="dxa"/>
            <w:tcBorders>
              <w:top w:val="nil"/>
              <w:left w:val="nil"/>
              <w:bottom w:val="single" w:sz="4" w:space="0" w:color="D9D9D9"/>
              <w:right w:val="nil"/>
            </w:tcBorders>
            <w:shd w:val="clear" w:color="000000" w:fill="D9D9D9"/>
            <w:vAlign w:val="bottom"/>
            <w:hideMark/>
          </w:tcPr>
          <w:p w14:paraId="6CFC7C41" w14:textId="77777777" w:rsidR="00AB6753" w:rsidRDefault="00AB6753" w:rsidP="002D1EA4">
            <w:pPr>
              <w:spacing w:after="0"/>
              <w:ind w:left="-113"/>
              <w:rPr>
                <w:rFonts w:cs="Arial"/>
                <w:b/>
                <w:bCs/>
                <w:sz w:val="18"/>
                <w:szCs w:val="18"/>
              </w:rPr>
            </w:pPr>
            <w:r>
              <w:rPr>
                <w:rFonts w:cs="Arial"/>
                <w:b/>
                <w:bCs/>
                <w:sz w:val="18"/>
                <w:szCs w:val="18"/>
              </w:rPr>
              <w:t>Total cash and cash equivalents</w:t>
            </w:r>
          </w:p>
        </w:tc>
        <w:tc>
          <w:tcPr>
            <w:tcW w:w="1256" w:type="dxa"/>
            <w:tcBorders>
              <w:top w:val="single" w:sz="4" w:space="0" w:color="auto"/>
              <w:left w:val="nil"/>
              <w:bottom w:val="single" w:sz="4" w:space="0" w:color="auto"/>
              <w:right w:val="nil"/>
            </w:tcBorders>
            <w:shd w:val="clear" w:color="000000" w:fill="D9D9D9"/>
            <w:noWrap/>
            <w:vAlign w:val="bottom"/>
            <w:hideMark/>
          </w:tcPr>
          <w:p w14:paraId="2D37AED8" w14:textId="77777777" w:rsidR="00AB6753" w:rsidRDefault="00AB6753" w:rsidP="002D1EA4">
            <w:pPr>
              <w:spacing w:after="0"/>
              <w:ind w:left="-113"/>
              <w:jc w:val="right"/>
              <w:rPr>
                <w:rFonts w:cs="Arial"/>
                <w:b/>
                <w:bCs/>
                <w:sz w:val="18"/>
                <w:szCs w:val="18"/>
              </w:rPr>
            </w:pPr>
            <w:r>
              <w:rPr>
                <w:rFonts w:cs="Arial"/>
                <w:b/>
                <w:bCs/>
                <w:sz w:val="18"/>
                <w:szCs w:val="18"/>
              </w:rPr>
              <w:t>518,528</w:t>
            </w:r>
          </w:p>
        </w:tc>
        <w:tc>
          <w:tcPr>
            <w:tcW w:w="267" w:type="dxa"/>
            <w:tcBorders>
              <w:top w:val="nil"/>
              <w:left w:val="nil"/>
              <w:bottom w:val="single" w:sz="4" w:space="0" w:color="D9D9D9"/>
              <w:right w:val="nil"/>
            </w:tcBorders>
            <w:shd w:val="clear" w:color="000000" w:fill="D9D9D9"/>
            <w:noWrap/>
            <w:vAlign w:val="bottom"/>
            <w:hideMark/>
          </w:tcPr>
          <w:p w14:paraId="4C3B573B" w14:textId="77777777" w:rsidR="00AB6753" w:rsidRDefault="00AB6753" w:rsidP="002D1EA4">
            <w:pPr>
              <w:spacing w:after="0"/>
              <w:ind w:left="-113"/>
              <w:rPr>
                <w:rFonts w:cs="Arial"/>
                <w:sz w:val="16"/>
                <w:szCs w:val="16"/>
              </w:rPr>
            </w:pPr>
            <w:r>
              <w:rPr>
                <w:rFonts w:cs="Arial"/>
                <w:sz w:val="16"/>
                <w:szCs w:val="16"/>
              </w:rPr>
              <w:t> </w:t>
            </w:r>
          </w:p>
        </w:tc>
        <w:tc>
          <w:tcPr>
            <w:tcW w:w="1256" w:type="dxa"/>
            <w:tcBorders>
              <w:top w:val="single" w:sz="4" w:space="0" w:color="auto"/>
              <w:left w:val="nil"/>
              <w:bottom w:val="single" w:sz="4" w:space="0" w:color="auto"/>
              <w:right w:val="nil"/>
            </w:tcBorders>
            <w:shd w:val="clear" w:color="000000" w:fill="D9D9D9"/>
            <w:noWrap/>
            <w:vAlign w:val="bottom"/>
            <w:hideMark/>
          </w:tcPr>
          <w:p w14:paraId="1B8E4635" w14:textId="77777777" w:rsidR="00AB6753" w:rsidRDefault="00AB6753" w:rsidP="002D1EA4">
            <w:pPr>
              <w:spacing w:after="0"/>
              <w:ind w:left="-113"/>
              <w:jc w:val="right"/>
              <w:rPr>
                <w:rFonts w:cs="Arial"/>
                <w:sz w:val="18"/>
                <w:szCs w:val="18"/>
              </w:rPr>
            </w:pPr>
            <w:r>
              <w:rPr>
                <w:rFonts w:cs="Arial"/>
                <w:sz w:val="18"/>
                <w:szCs w:val="18"/>
              </w:rPr>
              <w:t>412,483</w:t>
            </w:r>
          </w:p>
        </w:tc>
      </w:tr>
    </w:tbl>
    <w:p w14:paraId="68D09CB0" w14:textId="77777777" w:rsidR="00AB6753" w:rsidRPr="00136F5A" w:rsidRDefault="00AB6753" w:rsidP="00AB6753">
      <w:pPr>
        <w:pStyle w:val="GreyShadeTableBreak"/>
        <w:ind w:left="113" w:right="0"/>
      </w:pPr>
    </w:p>
    <w:tbl>
      <w:tblPr>
        <w:tblW w:w="9411" w:type="dxa"/>
        <w:tblInd w:w="80" w:type="dxa"/>
        <w:tblLayout w:type="fixed"/>
        <w:tblLook w:val="04A0" w:firstRow="1" w:lastRow="0" w:firstColumn="1" w:lastColumn="0" w:noHBand="0" w:noVBand="1"/>
      </w:tblPr>
      <w:tblGrid>
        <w:gridCol w:w="6566"/>
        <w:gridCol w:w="1286"/>
        <w:gridCol w:w="273"/>
        <w:gridCol w:w="1286"/>
      </w:tblGrid>
      <w:tr w:rsidR="00AB6753" w14:paraId="1F306962" w14:textId="77777777" w:rsidTr="002D1EA4">
        <w:trPr>
          <w:trHeight w:val="255"/>
        </w:trPr>
        <w:tc>
          <w:tcPr>
            <w:tcW w:w="6566" w:type="dxa"/>
            <w:tcBorders>
              <w:top w:val="nil"/>
              <w:left w:val="nil"/>
              <w:bottom w:val="nil"/>
              <w:right w:val="nil"/>
            </w:tcBorders>
            <w:shd w:val="clear" w:color="000000" w:fill="D9D9D9"/>
            <w:noWrap/>
            <w:hideMark/>
          </w:tcPr>
          <w:p w14:paraId="2618088C" w14:textId="77777777" w:rsidR="00AB6753" w:rsidRDefault="00AB6753" w:rsidP="002D1EA4">
            <w:pPr>
              <w:spacing w:after="0"/>
              <w:ind w:left="-113"/>
              <w:rPr>
                <w:rFonts w:cs="Arial"/>
                <w:b/>
                <w:bCs/>
                <w:sz w:val="18"/>
                <w:szCs w:val="18"/>
                <w:u w:val="single"/>
              </w:rPr>
            </w:pPr>
            <w:bookmarkStart w:id="163" w:name="Note_ARETABLE1" w:colFirst="0" w:colLast="0"/>
            <w:r>
              <w:rPr>
                <w:rFonts w:cs="Arial"/>
                <w:b/>
                <w:bCs/>
                <w:sz w:val="18"/>
                <w:szCs w:val="18"/>
                <w:u w:val="single"/>
              </w:rPr>
              <w:t>Note 4.1B: Receivables</w:t>
            </w:r>
          </w:p>
        </w:tc>
        <w:tc>
          <w:tcPr>
            <w:tcW w:w="1286" w:type="dxa"/>
            <w:tcBorders>
              <w:top w:val="nil"/>
              <w:left w:val="nil"/>
              <w:bottom w:val="nil"/>
              <w:right w:val="nil"/>
            </w:tcBorders>
            <w:shd w:val="clear" w:color="000000" w:fill="D9D9D9"/>
            <w:noWrap/>
            <w:vAlign w:val="bottom"/>
            <w:hideMark/>
          </w:tcPr>
          <w:p w14:paraId="030C98F6" w14:textId="77777777" w:rsidR="00AB6753" w:rsidRDefault="00AB6753" w:rsidP="002D1EA4">
            <w:pPr>
              <w:spacing w:after="0"/>
              <w:ind w:left="-113"/>
              <w:jc w:val="right"/>
              <w:rPr>
                <w:rFonts w:cs="Arial"/>
                <w:b/>
                <w:bCs/>
                <w:sz w:val="18"/>
                <w:szCs w:val="18"/>
              </w:rPr>
            </w:pPr>
            <w:r>
              <w:rPr>
                <w:rFonts w:cs="Arial"/>
                <w:b/>
                <w:bCs/>
                <w:sz w:val="18"/>
                <w:szCs w:val="18"/>
              </w:rPr>
              <w:t> </w:t>
            </w:r>
          </w:p>
        </w:tc>
        <w:tc>
          <w:tcPr>
            <w:tcW w:w="273" w:type="dxa"/>
            <w:tcBorders>
              <w:top w:val="nil"/>
              <w:left w:val="nil"/>
              <w:bottom w:val="nil"/>
              <w:right w:val="nil"/>
            </w:tcBorders>
            <w:shd w:val="clear" w:color="000000" w:fill="D9D9D9"/>
            <w:noWrap/>
            <w:vAlign w:val="bottom"/>
            <w:hideMark/>
          </w:tcPr>
          <w:p w14:paraId="1554CE64"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717E8E92" w14:textId="77777777" w:rsidR="00AB6753" w:rsidRDefault="00AB6753" w:rsidP="002D1EA4">
            <w:pPr>
              <w:spacing w:after="0"/>
              <w:ind w:left="-113"/>
              <w:jc w:val="right"/>
              <w:rPr>
                <w:rFonts w:cs="Arial"/>
                <w:sz w:val="18"/>
                <w:szCs w:val="18"/>
              </w:rPr>
            </w:pPr>
            <w:r>
              <w:rPr>
                <w:rFonts w:cs="Arial"/>
                <w:sz w:val="18"/>
                <w:szCs w:val="18"/>
              </w:rPr>
              <w:t> </w:t>
            </w:r>
          </w:p>
        </w:tc>
      </w:tr>
      <w:bookmarkEnd w:id="163"/>
      <w:tr w:rsidR="00AB6753" w14:paraId="5A4B3673" w14:textId="77777777" w:rsidTr="002D1EA4">
        <w:trPr>
          <w:trHeight w:val="255"/>
        </w:trPr>
        <w:tc>
          <w:tcPr>
            <w:tcW w:w="6566" w:type="dxa"/>
            <w:tcBorders>
              <w:top w:val="nil"/>
              <w:left w:val="nil"/>
              <w:bottom w:val="nil"/>
              <w:right w:val="nil"/>
            </w:tcBorders>
            <w:shd w:val="clear" w:color="000000" w:fill="D9D9D9"/>
            <w:vAlign w:val="bottom"/>
            <w:hideMark/>
          </w:tcPr>
          <w:p w14:paraId="1F478F46" w14:textId="77777777" w:rsidR="00AB6753" w:rsidRDefault="00AB6753" w:rsidP="002D1EA4">
            <w:pPr>
              <w:spacing w:after="0"/>
              <w:ind w:left="-113"/>
              <w:rPr>
                <w:rFonts w:cs="Arial"/>
                <w:b/>
                <w:bCs/>
                <w:sz w:val="18"/>
                <w:szCs w:val="18"/>
              </w:rPr>
            </w:pPr>
            <w:r>
              <w:rPr>
                <w:rFonts w:cs="Arial"/>
                <w:b/>
                <w:bCs/>
                <w:sz w:val="18"/>
                <w:szCs w:val="18"/>
              </w:rPr>
              <w:t>Personal benefits:</w:t>
            </w:r>
          </w:p>
        </w:tc>
        <w:tc>
          <w:tcPr>
            <w:tcW w:w="1286" w:type="dxa"/>
            <w:tcBorders>
              <w:top w:val="nil"/>
              <w:left w:val="nil"/>
              <w:bottom w:val="nil"/>
              <w:right w:val="nil"/>
            </w:tcBorders>
            <w:shd w:val="clear" w:color="000000" w:fill="D9D9D9"/>
            <w:noWrap/>
            <w:vAlign w:val="bottom"/>
            <w:hideMark/>
          </w:tcPr>
          <w:p w14:paraId="17502C86" w14:textId="77777777" w:rsidR="00AB6753" w:rsidRDefault="00AB6753" w:rsidP="002D1EA4">
            <w:pPr>
              <w:spacing w:after="0"/>
              <w:ind w:left="-113"/>
              <w:rPr>
                <w:rFonts w:cs="Arial"/>
                <w:sz w:val="16"/>
                <w:szCs w:val="16"/>
              </w:rPr>
            </w:pPr>
            <w:r>
              <w:rPr>
                <w:rFonts w:cs="Arial"/>
                <w:sz w:val="16"/>
                <w:szCs w:val="16"/>
              </w:rPr>
              <w:t> </w:t>
            </w:r>
          </w:p>
        </w:tc>
        <w:tc>
          <w:tcPr>
            <w:tcW w:w="273" w:type="dxa"/>
            <w:tcBorders>
              <w:top w:val="nil"/>
              <w:left w:val="nil"/>
              <w:bottom w:val="nil"/>
              <w:right w:val="nil"/>
            </w:tcBorders>
            <w:shd w:val="clear" w:color="000000" w:fill="D9D9D9"/>
            <w:noWrap/>
            <w:vAlign w:val="bottom"/>
            <w:hideMark/>
          </w:tcPr>
          <w:p w14:paraId="79C8DE14"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29FC9775" w14:textId="77777777" w:rsidR="00AB6753" w:rsidRDefault="00AB6753" w:rsidP="002D1EA4">
            <w:pPr>
              <w:spacing w:after="0"/>
              <w:ind w:left="-113"/>
              <w:rPr>
                <w:rFonts w:cs="Arial"/>
                <w:sz w:val="16"/>
                <w:szCs w:val="16"/>
              </w:rPr>
            </w:pPr>
            <w:r>
              <w:rPr>
                <w:rFonts w:cs="Arial"/>
                <w:sz w:val="16"/>
                <w:szCs w:val="16"/>
              </w:rPr>
              <w:t> </w:t>
            </w:r>
          </w:p>
        </w:tc>
      </w:tr>
      <w:tr w:rsidR="00AB6753" w14:paraId="3B205415" w14:textId="77777777" w:rsidTr="002D1EA4">
        <w:trPr>
          <w:trHeight w:val="255"/>
        </w:trPr>
        <w:tc>
          <w:tcPr>
            <w:tcW w:w="6566" w:type="dxa"/>
            <w:tcBorders>
              <w:top w:val="nil"/>
              <w:left w:val="nil"/>
              <w:bottom w:val="nil"/>
              <w:right w:val="nil"/>
            </w:tcBorders>
            <w:shd w:val="clear" w:color="000000" w:fill="D9D9D9"/>
            <w:noWrap/>
            <w:vAlign w:val="bottom"/>
            <w:hideMark/>
          </w:tcPr>
          <w:p w14:paraId="1274B68B" w14:textId="77777777" w:rsidR="00AB6753" w:rsidRDefault="00AB6753" w:rsidP="002D1EA4">
            <w:pPr>
              <w:spacing w:after="0"/>
              <w:ind w:left="-113" w:firstLineChars="100" w:firstLine="180"/>
              <w:rPr>
                <w:rFonts w:cs="Arial"/>
                <w:sz w:val="18"/>
                <w:szCs w:val="18"/>
              </w:rPr>
            </w:pPr>
            <w:r>
              <w:rPr>
                <w:rFonts w:cs="Arial"/>
                <w:sz w:val="18"/>
                <w:szCs w:val="18"/>
              </w:rPr>
              <w:t>Working Age Payments</w:t>
            </w:r>
          </w:p>
        </w:tc>
        <w:tc>
          <w:tcPr>
            <w:tcW w:w="1286" w:type="dxa"/>
            <w:tcBorders>
              <w:top w:val="nil"/>
              <w:left w:val="nil"/>
              <w:bottom w:val="nil"/>
              <w:right w:val="nil"/>
            </w:tcBorders>
            <w:shd w:val="clear" w:color="000000" w:fill="D9D9D9"/>
            <w:noWrap/>
            <w:vAlign w:val="bottom"/>
            <w:hideMark/>
          </w:tcPr>
          <w:p w14:paraId="228BA107" w14:textId="77777777" w:rsidR="00AB6753" w:rsidRDefault="00AB6753" w:rsidP="002D1EA4">
            <w:pPr>
              <w:spacing w:after="0"/>
              <w:ind w:left="-113"/>
              <w:jc w:val="right"/>
              <w:rPr>
                <w:rFonts w:cs="Arial"/>
                <w:b/>
                <w:bCs/>
                <w:sz w:val="18"/>
                <w:szCs w:val="18"/>
              </w:rPr>
            </w:pPr>
            <w:r>
              <w:rPr>
                <w:rFonts w:cs="Arial"/>
                <w:b/>
                <w:bCs/>
                <w:sz w:val="18"/>
                <w:szCs w:val="18"/>
              </w:rPr>
              <w:t>2,112,660</w:t>
            </w:r>
          </w:p>
        </w:tc>
        <w:tc>
          <w:tcPr>
            <w:tcW w:w="273" w:type="dxa"/>
            <w:tcBorders>
              <w:top w:val="nil"/>
              <w:left w:val="nil"/>
              <w:bottom w:val="nil"/>
              <w:right w:val="nil"/>
            </w:tcBorders>
            <w:shd w:val="clear" w:color="000000" w:fill="D9D9D9"/>
            <w:noWrap/>
            <w:vAlign w:val="bottom"/>
            <w:hideMark/>
          </w:tcPr>
          <w:p w14:paraId="61AD5BAA"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52A26598" w14:textId="77777777" w:rsidR="00AB6753" w:rsidRDefault="00AB6753" w:rsidP="002D1EA4">
            <w:pPr>
              <w:spacing w:after="0"/>
              <w:ind w:left="-113"/>
              <w:jc w:val="right"/>
              <w:rPr>
                <w:rFonts w:cs="Arial"/>
                <w:sz w:val="18"/>
                <w:szCs w:val="18"/>
              </w:rPr>
            </w:pPr>
            <w:r>
              <w:rPr>
                <w:rFonts w:cs="Arial"/>
                <w:sz w:val="18"/>
                <w:szCs w:val="18"/>
              </w:rPr>
              <w:t>2,259,163</w:t>
            </w:r>
          </w:p>
        </w:tc>
      </w:tr>
      <w:tr w:rsidR="00AB6753" w14:paraId="0E85FF85" w14:textId="77777777" w:rsidTr="002D1EA4">
        <w:trPr>
          <w:trHeight w:val="255"/>
        </w:trPr>
        <w:tc>
          <w:tcPr>
            <w:tcW w:w="6566" w:type="dxa"/>
            <w:tcBorders>
              <w:top w:val="nil"/>
              <w:left w:val="nil"/>
              <w:bottom w:val="nil"/>
              <w:right w:val="nil"/>
            </w:tcBorders>
            <w:shd w:val="clear" w:color="000000" w:fill="D9D9D9"/>
            <w:noWrap/>
            <w:vAlign w:val="bottom"/>
            <w:hideMark/>
          </w:tcPr>
          <w:p w14:paraId="624677A1" w14:textId="77777777" w:rsidR="00AB6753" w:rsidRDefault="00AB6753" w:rsidP="002D1EA4">
            <w:pPr>
              <w:spacing w:after="0"/>
              <w:ind w:left="-113" w:firstLineChars="100" w:firstLine="180"/>
              <w:rPr>
                <w:rFonts w:cs="Arial"/>
                <w:sz w:val="18"/>
                <w:szCs w:val="18"/>
              </w:rPr>
            </w:pPr>
            <w:r>
              <w:rPr>
                <w:rFonts w:cs="Arial"/>
                <w:sz w:val="18"/>
                <w:szCs w:val="18"/>
              </w:rPr>
              <w:t>Family Tax Benefit</w:t>
            </w:r>
          </w:p>
        </w:tc>
        <w:tc>
          <w:tcPr>
            <w:tcW w:w="1286" w:type="dxa"/>
            <w:tcBorders>
              <w:top w:val="nil"/>
              <w:left w:val="nil"/>
              <w:bottom w:val="nil"/>
              <w:right w:val="nil"/>
            </w:tcBorders>
            <w:shd w:val="clear" w:color="000000" w:fill="D9D9D9"/>
            <w:noWrap/>
            <w:vAlign w:val="bottom"/>
            <w:hideMark/>
          </w:tcPr>
          <w:p w14:paraId="446838B3" w14:textId="77777777" w:rsidR="00AB6753" w:rsidRDefault="00AB6753" w:rsidP="002D1EA4">
            <w:pPr>
              <w:spacing w:after="0"/>
              <w:ind w:left="-113"/>
              <w:jc w:val="right"/>
              <w:rPr>
                <w:rFonts w:cs="Arial"/>
                <w:b/>
                <w:bCs/>
                <w:sz w:val="18"/>
                <w:szCs w:val="18"/>
              </w:rPr>
            </w:pPr>
            <w:r>
              <w:rPr>
                <w:rFonts w:cs="Arial"/>
                <w:b/>
                <w:bCs/>
                <w:sz w:val="18"/>
                <w:szCs w:val="18"/>
              </w:rPr>
              <w:t>1,990,316</w:t>
            </w:r>
          </w:p>
        </w:tc>
        <w:tc>
          <w:tcPr>
            <w:tcW w:w="273" w:type="dxa"/>
            <w:tcBorders>
              <w:top w:val="nil"/>
              <w:left w:val="nil"/>
              <w:bottom w:val="nil"/>
              <w:right w:val="nil"/>
            </w:tcBorders>
            <w:shd w:val="clear" w:color="000000" w:fill="D9D9D9"/>
            <w:noWrap/>
            <w:vAlign w:val="bottom"/>
            <w:hideMark/>
          </w:tcPr>
          <w:p w14:paraId="6D54035E"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4B120CE8" w14:textId="77777777" w:rsidR="00AB6753" w:rsidRDefault="00AB6753" w:rsidP="002D1EA4">
            <w:pPr>
              <w:spacing w:after="0"/>
              <w:ind w:left="-113"/>
              <w:jc w:val="right"/>
              <w:rPr>
                <w:rFonts w:cs="Arial"/>
                <w:sz w:val="18"/>
                <w:szCs w:val="18"/>
              </w:rPr>
            </w:pPr>
            <w:r>
              <w:rPr>
                <w:rFonts w:cs="Arial"/>
                <w:sz w:val="18"/>
                <w:szCs w:val="18"/>
              </w:rPr>
              <w:t>1,697,897</w:t>
            </w:r>
          </w:p>
        </w:tc>
      </w:tr>
      <w:tr w:rsidR="00AB6753" w14:paraId="6FE818F7" w14:textId="77777777" w:rsidTr="002D1EA4">
        <w:trPr>
          <w:trHeight w:val="255"/>
        </w:trPr>
        <w:tc>
          <w:tcPr>
            <w:tcW w:w="6566" w:type="dxa"/>
            <w:tcBorders>
              <w:top w:val="nil"/>
              <w:left w:val="nil"/>
              <w:bottom w:val="nil"/>
              <w:right w:val="nil"/>
            </w:tcBorders>
            <w:shd w:val="clear" w:color="000000" w:fill="D9D9D9"/>
            <w:noWrap/>
            <w:vAlign w:val="bottom"/>
            <w:hideMark/>
          </w:tcPr>
          <w:p w14:paraId="45A83F9F" w14:textId="77777777" w:rsidR="00AB6753" w:rsidRDefault="00AB6753" w:rsidP="002D1EA4">
            <w:pPr>
              <w:spacing w:after="0"/>
              <w:ind w:left="-113" w:firstLineChars="100" w:firstLine="180"/>
              <w:rPr>
                <w:rFonts w:cs="Arial"/>
                <w:sz w:val="18"/>
                <w:szCs w:val="18"/>
              </w:rPr>
            </w:pPr>
            <w:r>
              <w:rPr>
                <w:rFonts w:cs="Arial"/>
                <w:sz w:val="18"/>
                <w:szCs w:val="18"/>
              </w:rPr>
              <w:t>Student Payments</w:t>
            </w:r>
          </w:p>
        </w:tc>
        <w:tc>
          <w:tcPr>
            <w:tcW w:w="1286" w:type="dxa"/>
            <w:tcBorders>
              <w:top w:val="nil"/>
              <w:left w:val="nil"/>
              <w:bottom w:val="nil"/>
              <w:right w:val="nil"/>
            </w:tcBorders>
            <w:shd w:val="clear" w:color="000000" w:fill="D9D9D9"/>
            <w:noWrap/>
            <w:vAlign w:val="bottom"/>
            <w:hideMark/>
          </w:tcPr>
          <w:p w14:paraId="629D9A57" w14:textId="77777777" w:rsidR="00AB6753" w:rsidRDefault="00AB6753" w:rsidP="002D1EA4">
            <w:pPr>
              <w:spacing w:after="0"/>
              <w:ind w:left="-113"/>
              <w:jc w:val="right"/>
              <w:rPr>
                <w:rFonts w:cs="Arial"/>
                <w:b/>
                <w:bCs/>
                <w:sz w:val="18"/>
                <w:szCs w:val="18"/>
              </w:rPr>
            </w:pPr>
            <w:r>
              <w:rPr>
                <w:rFonts w:cs="Arial"/>
                <w:b/>
                <w:bCs/>
                <w:sz w:val="18"/>
                <w:szCs w:val="18"/>
              </w:rPr>
              <w:t>430,664</w:t>
            </w:r>
          </w:p>
        </w:tc>
        <w:tc>
          <w:tcPr>
            <w:tcW w:w="273" w:type="dxa"/>
            <w:tcBorders>
              <w:top w:val="nil"/>
              <w:left w:val="nil"/>
              <w:bottom w:val="nil"/>
              <w:right w:val="nil"/>
            </w:tcBorders>
            <w:shd w:val="clear" w:color="000000" w:fill="D9D9D9"/>
            <w:noWrap/>
            <w:vAlign w:val="bottom"/>
            <w:hideMark/>
          </w:tcPr>
          <w:p w14:paraId="5336E4CE"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7BF48D92" w14:textId="77777777" w:rsidR="00AB6753" w:rsidRDefault="00AB6753" w:rsidP="002D1EA4">
            <w:pPr>
              <w:spacing w:after="0"/>
              <w:ind w:left="-113"/>
              <w:jc w:val="right"/>
              <w:rPr>
                <w:rFonts w:cs="Arial"/>
                <w:sz w:val="18"/>
                <w:szCs w:val="18"/>
              </w:rPr>
            </w:pPr>
            <w:r>
              <w:rPr>
                <w:rFonts w:cs="Arial"/>
                <w:sz w:val="18"/>
                <w:szCs w:val="18"/>
              </w:rPr>
              <w:t>443,397</w:t>
            </w:r>
          </w:p>
        </w:tc>
      </w:tr>
      <w:tr w:rsidR="00AB6753" w14:paraId="406955EF" w14:textId="77777777" w:rsidTr="002D1EA4">
        <w:trPr>
          <w:trHeight w:val="255"/>
        </w:trPr>
        <w:tc>
          <w:tcPr>
            <w:tcW w:w="6566" w:type="dxa"/>
            <w:tcBorders>
              <w:top w:val="nil"/>
              <w:left w:val="nil"/>
              <w:bottom w:val="nil"/>
              <w:right w:val="nil"/>
            </w:tcBorders>
            <w:shd w:val="clear" w:color="000000" w:fill="D9D9D9"/>
            <w:noWrap/>
            <w:vAlign w:val="bottom"/>
            <w:hideMark/>
          </w:tcPr>
          <w:p w14:paraId="3612B08B" w14:textId="77777777" w:rsidR="00AB6753" w:rsidRDefault="00AB6753" w:rsidP="002D1EA4">
            <w:pPr>
              <w:spacing w:after="0"/>
              <w:ind w:left="-113" w:firstLineChars="100" w:firstLine="180"/>
              <w:rPr>
                <w:rFonts w:cs="Arial"/>
                <w:sz w:val="18"/>
                <w:szCs w:val="18"/>
              </w:rPr>
            </w:pPr>
            <w:r>
              <w:rPr>
                <w:rFonts w:cs="Arial"/>
                <w:sz w:val="18"/>
                <w:szCs w:val="18"/>
              </w:rPr>
              <w:t>Income Support for People with Disability</w:t>
            </w:r>
          </w:p>
        </w:tc>
        <w:tc>
          <w:tcPr>
            <w:tcW w:w="1286" w:type="dxa"/>
            <w:tcBorders>
              <w:top w:val="nil"/>
              <w:left w:val="nil"/>
              <w:bottom w:val="nil"/>
              <w:right w:val="nil"/>
            </w:tcBorders>
            <w:shd w:val="clear" w:color="000000" w:fill="D9D9D9"/>
            <w:noWrap/>
            <w:vAlign w:val="bottom"/>
            <w:hideMark/>
          </w:tcPr>
          <w:p w14:paraId="060BA53B" w14:textId="77777777" w:rsidR="00AB6753" w:rsidRDefault="00AB6753" w:rsidP="002D1EA4">
            <w:pPr>
              <w:spacing w:after="0"/>
              <w:ind w:left="-113"/>
              <w:jc w:val="right"/>
              <w:rPr>
                <w:rFonts w:cs="Arial"/>
                <w:b/>
                <w:bCs/>
                <w:sz w:val="18"/>
                <w:szCs w:val="18"/>
              </w:rPr>
            </w:pPr>
            <w:r>
              <w:rPr>
                <w:rFonts w:cs="Arial"/>
                <w:b/>
                <w:bCs/>
                <w:sz w:val="18"/>
                <w:szCs w:val="18"/>
              </w:rPr>
              <w:t>342,750</w:t>
            </w:r>
          </w:p>
        </w:tc>
        <w:tc>
          <w:tcPr>
            <w:tcW w:w="273" w:type="dxa"/>
            <w:tcBorders>
              <w:top w:val="nil"/>
              <w:left w:val="nil"/>
              <w:bottom w:val="nil"/>
              <w:right w:val="nil"/>
            </w:tcBorders>
            <w:shd w:val="clear" w:color="000000" w:fill="D9D9D9"/>
            <w:noWrap/>
            <w:vAlign w:val="bottom"/>
            <w:hideMark/>
          </w:tcPr>
          <w:p w14:paraId="07CE8F05"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1A516A57" w14:textId="77777777" w:rsidR="00AB6753" w:rsidRDefault="00AB6753" w:rsidP="002D1EA4">
            <w:pPr>
              <w:spacing w:after="0"/>
              <w:ind w:left="-113"/>
              <w:jc w:val="right"/>
              <w:rPr>
                <w:rFonts w:cs="Arial"/>
                <w:sz w:val="18"/>
                <w:szCs w:val="18"/>
              </w:rPr>
            </w:pPr>
            <w:r>
              <w:rPr>
                <w:rFonts w:cs="Arial"/>
                <w:sz w:val="18"/>
                <w:szCs w:val="18"/>
              </w:rPr>
              <w:t>349,977</w:t>
            </w:r>
          </w:p>
        </w:tc>
      </w:tr>
      <w:tr w:rsidR="00AB6753" w14:paraId="403D5DC8" w14:textId="77777777" w:rsidTr="002D1EA4">
        <w:trPr>
          <w:trHeight w:val="255"/>
        </w:trPr>
        <w:tc>
          <w:tcPr>
            <w:tcW w:w="6566" w:type="dxa"/>
            <w:tcBorders>
              <w:top w:val="nil"/>
              <w:left w:val="nil"/>
              <w:bottom w:val="nil"/>
              <w:right w:val="nil"/>
            </w:tcBorders>
            <w:shd w:val="clear" w:color="000000" w:fill="D9D9D9"/>
            <w:noWrap/>
            <w:vAlign w:val="bottom"/>
            <w:hideMark/>
          </w:tcPr>
          <w:p w14:paraId="241292DC" w14:textId="77777777" w:rsidR="00AB6753" w:rsidRDefault="00AB6753" w:rsidP="002D1EA4">
            <w:pPr>
              <w:spacing w:after="0"/>
              <w:ind w:left="-113" w:firstLineChars="100" w:firstLine="180"/>
              <w:rPr>
                <w:rFonts w:cs="Arial"/>
                <w:sz w:val="18"/>
                <w:szCs w:val="18"/>
              </w:rPr>
            </w:pPr>
            <w:r>
              <w:rPr>
                <w:rFonts w:cs="Arial"/>
                <w:sz w:val="18"/>
                <w:szCs w:val="18"/>
              </w:rPr>
              <w:t>Income Support for Carers</w:t>
            </w:r>
          </w:p>
        </w:tc>
        <w:tc>
          <w:tcPr>
            <w:tcW w:w="1286" w:type="dxa"/>
            <w:tcBorders>
              <w:top w:val="nil"/>
              <w:left w:val="nil"/>
              <w:bottom w:val="nil"/>
              <w:right w:val="nil"/>
            </w:tcBorders>
            <w:shd w:val="clear" w:color="000000" w:fill="D9D9D9"/>
            <w:noWrap/>
            <w:vAlign w:val="bottom"/>
            <w:hideMark/>
          </w:tcPr>
          <w:p w14:paraId="7798BE03" w14:textId="77777777" w:rsidR="00AB6753" w:rsidRDefault="00AB6753" w:rsidP="002D1EA4">
            <w:pPr>
              <w:spacing w:after="0"/>
              <w:ind w:left="-113"/>
              <w:jc w:val="right"/>
              <w:rPr>
                <w:rFonts w:cs="Arial"/>
                <w:b/>
                <w:bCs/>
                <w:sz w:val="18"/>
                <w:szCs w:val="18"/>
              </w:rPr>
            </w:pPr>
            <w:r>
              <w:rPr>
                <w:rFonts w:cs="Arial"/>
                <w:b/>
                <w:bCs/>
                <w:sz w:val="18"/>
                <w:szCs w:val="18"/>
              </w:rPr>
              <w:t>252,613</w:t>
            </w:r>
          </w:p>
        </w:tc>
        <w:tc>
          <w:tcPr>
            <w:tcW w:w="273" w:type="dxa"/>
            <w:tcBorders>
              <w:top w:val="nil"/>
              <w:left w:val="nil"/>
              <w:bottom w:val="nil"/>
              <w:right w:val="nil"/>
            </w:tcBorders>
            <w:shd w:val="clear" w:color="000000" w:fill="D9D9D9"/>
            <w:noWrap/>
            <w:vAlign w:val="bottom"/>
            <w:hideMark/>
          </w:tcPr>
          <w:p w14:paraId="39BE6CDB"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5962D976" w14:textId="77777777" w:rsidR="00AB6753" w:rsidRDefault="00AB6753" w:rsidP="002D1EA4">
            <w:pPr>
              <w:spacing w:after="0"/>
              <w:ind w:left="-113"/>
              <w:jc w:val="right"/>
              <w:rPr>
                <w:rFonts w:cs="Arial"/>
                <w:sz w:val="18"/>
                <w:szCs w:val="18"/>
              </w:rPr>
            </w:pPr>
            <w:r>
              <w:rPr>
                <w:rFonts w:cs="Arial"/>
                <w:sz w:val="18"/>
                <w:szCs w:val="18"/>
              </w:rPr>
              <w:t>249,476</w:t>
            </w:r>
          </w:p>
        </w:tc>
      </w:tr>
      <w:tr w:rsidR="00AB6753" w14:paraId="556BC459" w14:textId="77777777" w:rsidTr="002D1EA4">
        <w:trPr>
          <w:trHeight w:val="255"/>
        </w:trPr>
        <w:tc>
          <w:tcPr>
            <w:tcW w:w="6566" w:type="dxa"/>
            <w:tcBorders>
              <w:top w:val="nil"/>
              <w:left w:val="nil"/>
              <w:bottom w:val="nil"/>
              <w:right w:val="nil"/>
            </w:tcBorders>
            <w:shd w:val="clear" w:color="000000" w:fill="D9D9D9"/>
            <w:noWrap/>
            <w:vAlign w:val="bottom"/>
            <w:hideMark/>
          </w:tcPr>
          <w:p w14:paraId="0D439A4D" w14:textId="77777777" w:rsidR="00AB6753" w:rsidRDefault="00AB6753" w:rsidP="002D1EA4">
            <w:pPr>
              <w:spacing w:after="0"/>
              <w:ind w:left="-113" w:firstLineChars="100" w:firstLine="180"/>
              <w:rPr>
                <w:rFonts w:cs="Arial"/>
                <w:sz w:val="18"/>
                <w:szCs w:val="18"/>
              </w:rPr>
            </w:pPr>
            <w:r>
              <w:rPr>
                <w:rFonts w:cs="Arial"/>
                <w:sz w:val="18"/>
                <w:szCs w:val="18"/>
              </w:rPr>
              <w:t>Income Support for Seniors</w:t>
            </w:r>
          </w:p>
        </w:tc>
        <w:tc>
          <w:tcPr>
            <w:tcW w:w="1286" w:type="dxa"/>
            <w:tcBorders>
              <w:top w:val="nil"/>
              <w:left w:val="nil"/>
              <w:bottom w:val="nil"/>
              <w:right w:val="nil"/>
            </w:tcBorders>
            <w:shd w:val="clear" w:color="000000" w:fill="D9D9D9"/>
            <w:noWrap/>
            <w:vAlign w:val="bottom"/>
            <w:hideMark/>
          </w:tcPr>
          <w:p w14:paraId="75832AE0" w14:textId="77777777" w:rsidR="00AB6753" w:rsidRDefault="00AB6753" w:rsidP="002D1EA4">
            <w:pPr>
              <w:spacing w:after="0"/>
              <w:ind w:left="-113"/>
              <w:jc w:val="right"/>
              <w:rPr>
                <w:rFonts w:cs="Arial"/>
                <w:b/>
                <w:bCs/>
                <w:sz w:val="18"/>
                <w:szCs w:val="18"/>
              </w:rPr>
            </w:pPr>
            <w:r>
              <w:rPr>
                <w:rFonts w:cs="Arial"/>
                <w:b/>
                <w:bCs/>
                <w:sz w:val="18"/>
                <w:szCs w:val="18"/>
              </w:rPr>
              <w:t>226,947</w:t>
            </w:r>
          </w:p>
        </w:tc>
        <w:tc>
          <w:tcPr>
            <w:tcW w:w="273" w:type="dxa"/>
            <w:tcBorders>
              <w:top w:val="nil"/>
              <w:left w:val="nil"/>
              <w:bottom w:val="nil"/>
              <w:right w:val="nil"/>
            </w:tcBorders>
            <w:shd w:val="clear" w:color="000000" w:fill="D9D9D9"/>
            <w:noWrap/>
            <w:vAlign w:val="bottom"/>
            <w:hideMark/>
          </w:tcPr>
          <w:p w14:paraId="4410C857"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52E279E9" w14:textId="77777777" w:rsidR="00AB6753" w:rsidRDefault="00AB6753" w:rsidP="002D1EA4">
            <w:pPr>
              <w:spacing w:after="0"/>
              <w:ind w:left="-113"/>
              <w:jc w:val="right"/>
              <w:rPr>
                <w:rFonts w:cs="Arial"/>
                <w:sz w:val="18"/>
                <w:szCs w:val="18"/>
              </w:rPr>
            </w:pPr>
            <w:r>
              <w:rPr>
                <w:rFonts w:cs="Arial"/>
                <w:sz w:val="18"/>
                <w:szCs w:val="18"/>
              </w:rPr>
              <w:t>217,052</w:t>
            </w:r>
          </w:p>
        </w:tc>
      </w:tr>
      <w:tr w:rsidR="00AB6753" w14:paraId="1E81A23D" w14:textId="77777777" w:rsidTr="002D1EA4">
        <w:trPr>
          <w:trHeight w:val="255"/>
        </w:trPr>
        <w:tc>
          <w:tcPr>
            <w:tcW w:w="6566" w:type="dxa"/>
            <w:tcBorders>
              <w:top w:val="nil"/>
              <w:left w:val="nil"/>
              <w:bottom w:val="nil"/>
              <w:right w:val="nil"/>
            </w:tcBorders>
            <w:shd w:val="clear" w:color="000000" w:fill="D9D9D9"/>
            <w:noWrap/>
            <w:vAlign w:val="bottom"/>
            <w:hideMark/>
          </w:tcPr>
          <w:p w14:paraId="225868F8" w14:textId="77777777" w:rsidR="00AB6753" w:rsidRDefault="00AB6753" w:rsidP="002D1EA4">
            <w:pPr>
              <w:spacing w:after="0"/>
              <w:ind w:left="-113" w:firstLineChars="100" w:firstLine="180"/>
              <w:rPr>
                <w:rFonts w:cs="Arial"/>
                <w:sz w:val="18"/>
                <w:szCs w:val="18"/>
              </w:rPr>
            </w:pPr>
            <w:r>
              <w:rPr>
                <w:rFonts w:cs="Arial"/>
                <w:sz w:val="18"/>
                <w:szCs w:val="18"/>
              </w:rPr>
              <w:t>Other</w:t>
            </w:r>
          </w:p>
        </w:tc>
        <w:tc>
          <w:tcPr>
            <w:tcW w:w="1286" w:type="dxa"/>
            <w:tcBorders>
              <w:top w:val="nil"/>
              <w:left w:val="nil"/>
              <w:bottom w:val="nil"/>
              <w:right w:val="nil"/>
            </w:tcBorders>
            <w:shd w:val="clear" w:color="000000" w:fill="D9D9D9"/>
            <w:noWrap/>
            <w:vAlign w:val="bottom"/>
            <w:hideMark/>
          </w:tcPr>
          <w:p w14:paraId="34BFB561" w14:textId="77777777" w:rsidR="00AB6753" w:rsidRDefault="00AB6753" w:rsidP="002D1EA4">
            <w:pPr>
              <w:spacing w:after="0"/>
              <w:ind w:left="-113"/>
              <w:jc w:val="right"/>
              <w:rPr>
                <w:rFonts w:cs="Arial"/>
                <w:b/>
                <w:bCs/>
                <w:sz w:val="18"/>
                <w:szCs w:val="18"/>
              </w:rPr>
            </w:pPr>
            <w:r>
              <w:rPr>
                <w:rFonts w:cs="Arial"/>
                <w:b/>
                <w:bCs/>
                <w:sz w:val="18"/>
                <w:szCs w:val="18"/>
              </w:rPr>
              <w:t>19,649</w:t>
            </w:r>
          </w:p>
        </w:tc>
        <w:tc>
          <w:tcPr>
            <w:tcW w:w="273" w:type="dxa"/>
            <w:tcBorders>
              <w:top w:val="nil"/>
              <w:left w:val="nil"/>
              <w:bottom w:val="nil"/>
              <w:right w:val="nil"/>
            </w:tcBorders>
            <w:shd w:val="clear" w:color="000000" w:fill="D9D9D9"/>
            <w:noWrap/>
            <w:vAlign w:val="bottom"/>
            <w:hideMark/>
          </w:tcPr>
          <w:p w14:paraId="399E286D"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03819D71" w14:textId="77777777" w:rsidR="00AB6753" w:rsidRDefault="00AB6753" w:rsidP="002D1EA4">
            <w:pPr>
              <w:spacing w:after="0"/>
              <w:ind w:left="-113"/>
              <w:jc w:val="right"/>
              <w:rPr>
                <w:rFonts w:cs="Arial"/>
                <w:sz w:val="18"/>
                <w:szCs w:val="18"/>
              </w:rPr>
            </w:pPr>
            <w:r>
              <w:rPr>
                <w:rFonts w:cs="Arial"/>
                <w:sz w:val="18"/>
                <w:szCs w:val="18"/>
              </w:rPr>
              <w:t>23,807</w:t>
            </w:r>
          </w:p>
        </w:tc>
      </w:tr>
      <w:tr w:rsidR="00AB6753" w14:paraId="0EDEE67B" w14:textId="77777777" w:rsidTr="002D1EA4">
        <w:trPr>
          <w:trHeight w:val="270"/>
        </w:trPr>
        <w:tc>
          <w:tcPr>
            <w:tcW w:w="6566" w:type="dxa"/>
            <w:tcBorders>
              <w:top w:val="single" w:sz="4" w:space="0" w:color="D9D9D9"/>
              <w:left w:val="nil"/>
              <w:bottom w:val="single" w:sz="4" w:space="0" w:color="D9D9D9"/>
              <w:right w:val="nil"/>
            </w:tcBorders>
            <w:shd w:val="clear" w:color="000000" w:fill="D9D9D9"/>
            <w:vAlign w:val="bottom"/>
            <w:hideMark/>
          </w:tcPr>
          <w:p w14:paraId="6E39BBC0" w14:textId="77777777" w:rsidR="00AB6753" w:rsidRDefault="00AB6753" w:rsidP="002D1EA4">
            <w:pPr>
              <w:spacing w:after="0"/>
              <w:ind w:left="-113"/>
              <w:rPr>
                <w:rFonts w:cs="Arial"/>
                <w:b/>
                <w:bCs/>
                <w:sz w:val="18"/>
                <w:szCs w:val="18"/>
              </w:rPr>
            </w:pPr>
            <w:r>
              <w:rPr>
                <w:rFonts w:cs="Arial"/>
                <w:b/>
                <w:bCs/>
                <w:sz w:val="18"/>
                <w:szCs w:val="18"/>
              </w:rPr>
              <w:t>Total personal benefits</w:t>
            </w:r>
          </w:p>
        </w:tc>
        <w:tc>
          <w:tcPr>
            <w:tcW w:w="1286" w:type="dxa"/>
            <w:tcBorders>
              <w:top w:val="single" w:sz="4" w:space="0" w:color="auto"/>
              <w:left w:val="nil"/>
              <w:bottom w:val="single" w:sz="4" w:space="0" w:color="auto"/>
              <w:right w:val="nil"/>
            </w:tcBorders>
            <w:shd w:val="clear" w:color="000000" w:fill="D9D9D9"/>
            <w:noWrap/>
            <w:vAlign w:val="bottom"/>
            <w:hideMark/>
          </w:tcPr>
          <w:p w14:paraId="37E49A6E" w14:textId="77777777" w:rsidR="00AB6753" w:rsidRDefault="00AB6753" w:rsidP="002D1EA4">
            <w:pPr>
              <w:spacing w:after="0"/>
              <w:ind w:left="-113"/>
              <w:jc w:val="right"/>
              <w:rPr>
                <w:rFonts w:cs="Arial"/>
                <w:b/>
                <w:bCs/>
                <w:sz w:val="18"/>
                <w:szCs w:val="18"/>
              </w:rPr>
            </w:pPr>
            <w:r>
              <w:rPr>
                <w:rFonts w:cs="Arial"/>
                <w:b/>
                <w:bCs/>
                <w:sz w:val="18"/>
                <w:szCs w:val="18"/>
              </w:rPr>
              <w:t>5,375,599</w:t>
            </w:r>
          </w:p>
        </w:tc>
        <w:tc>
          <w:tcPr>
            <w:tcW w:w="273" w:type="dxa"/>
            <w:tcBorders>
              <w:top w:val="single" w:sz="4" w:space="0" w:color="D9D9D9"/>
              <w:left w:val="nil"/>
              <w:bottom w:val="single" w:sz="4" w:space="0" w:color="D9D9D9"/>
              <w:right w:val="nil"/>
            </w:tcBorders>
            <w:shd w:val="clear" w:color="000000" w:fill="D9D9D9"/>
            <w:noWrap/>
            <w:vAlign w:val="bottom"/>
            <w:hideMark/>
          </w:tcPr>
          <w:p w14:paraId="5805342B"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single" w:sz="4" w:space="0" w:color="auto"/>
              <w:left w:val="nil"/>
              <w:bottom w:val="single" w:sz="4" w:space="0" w:color="auto"/>
              <w:right w:val="nil"/>
            </w:tcBorders>
            <w:shd w:val="clear" w:color="000000" w:fill="D9D9D9"/>
            <w:noWrap/>
            <w:vAlign w:val="bottom"/>
            <w:hideMark/>
          </w:tcPr>
          <w:p w14:paraId="5AAF3707" w14:textId="77777777" w:rsidR="00AB6753" w:rsidRDefault="00AB6753" w:rsidP="002D1EA4">
            <w:pPr>
              <w:spacing w:after="0"/>
              <w:ind w:left="-113"/>
              <w:jc w:val="right"/>
              <w:rPr>
                <w:rFonts w:cs="Arial"/>
                <w:sz w:val="18"/>
                <w:szCs w:val="18"/>
              </w:rPr>
            </w:pPr>
            <w:r>
              <w:rPr>
                <w:rFonts w:cs="Arial"/>
                <w:sz w:val="18"/>
                <w:szCs w:val="18"/>
              </w:rPr>
              <w:t>5,240,769</w:t>
            </w:r>
          </w:p>
        </w:tc>
      </w:tr>
      <w:tr w:rsidR="00AB6753" w14:paraId="1CFC5A72" w14:textId="77777777" w:rsidTr="002D1EA4">
        <w:trPr>
          <w:trHeight w:val="255"/>
        </w:trPr>
        <w:tc>
          <w:tcPr>
            <w:tcW w:w="6566" w:type="dxa"/>
            <w:tcBorders>
              <w:top w:val="nil"/>
              <w:left w:val="nil"/>
              <w:bottom w:val="nil"/>
              <w:right w:val="nil"/>
            </w:tcBorders>
            <w:shd w:val="clear" w:color="000000" w:fill="D9D9D9"/>
            <w:vAlign w:val="bottom"/>
            <w:hideMark/>
          </w:tcPr>
          <w:p w14:paraId="183CB57B" w14:textId="77777777" w:rsidR="00AB6753" w:rsidRDefault="00AB6753" w:rsidP="002D1EA4">
            <w:pPr>
              <w:spacing w:after="0"/>
              <w:ind w:left="-113"/>
              <w:rPr>
                <w:rFonts w:cs="Arial"/>
                <w:b/>
                <w:bCs/>
                <w:sz w:val="18"/>
                <w:szCs w:val="18"/>
              </w:rPr>
            </w:pPr>
            <w:r>
              <w:rPr>
                <w:rFonts w:cs="Arial"/>
                <w:b/>
                <w:bCs/>
                <w:sz w:val="18"/>
                <w:szCs w:val="18"/>
              </w:rPr>
              <w:t> </w:t>
            </w:r>
          </w:p>
        </w:tc>
        <w:tc>
          <w:tcPr>
            <w:tcW w:w="1286" w:type="dxa"/>
            <w:tcBorders>
              <w:top w:val="nil"/>
              <w:left w:val="nil"/>
              <w:bottom w:val="nil"/>
              <w:right w:val="nil"/>
            </w:tcBorders>
            <w:shd w:val="clear" w:color="000000" w:fill="D9D9D9"/>
            <w:noWrap/>
            <w:vAlign w:val="bottom"/>
            <w:hideMark/>
          </w:tcPr>
          <w:p w14:paraId="6C0AFD62" w14:textId="77777777" w:rsidR="00AB6753" w:rsidRDefault="00AB6753" w:rsidP="002D1EA4">
            <w:pPr>
              <w:spacing w:after="0"/>
              <w:ind w:left="-113"/>
              <w:rPr>
                <w:rFonts w:cs="Arial"/>
                <w:sz w:val="16"/>
                <w:szCs w:val="16"/>
              </w:rPr>
            </w:pPr>
            <w:r>
              <w:rPr>
                <w:rFonts w:cs="Arial"/>
                <w:sz w:val="16"/>
                <w:szCs w:val="16"/>
              </w:rPr>
              <w:t> </w:t>
            </w:r>
          </w:p>
        </w:tc>
        <w:tc>
          <w:tcPr>
            <w:tcW w:w="273" w:type="dxa"/>
            <w:tcBorders>
              <w:top w:val="nil"/>
              <w:left w:val="nil"/>
              <w:bottom w:val="nil"/>
              <w:right w:val="nil"/>
            </w:tcBorders>
            <w:shd w:val="clear" w:color="000000" w:fill="D9D9D9"/>
            <w:noWrap/>
            <w:vAlign w:val="bottom"/>
            <w:hideMark/>
          </w:tcPr>
          <w:p w14:paraId="7CA7804D"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40F1F2CC" w14:textId="77777777" w:rsidR="00AB6753" w:rsidRDefault="00AB6753" w:rsidP="002D1EA4">
            <w:pPr>
              <w:spacing w:after="0"/>
              <w:ind w:left="-113"/>
              <w:rPr>
                <w:rFonts w:cs="Arial"/>
                <w:sz w:val="18"/>
                <w:szCs w:val="18"/>
              </w:rPr>
            </w:pPr>
            <w:r>
              <w:rPr>
                <w:rFonts w:cs="Arial"/>
                <w:sz w:val="18"/>
                <w:szCs w:val="18"/>
              </w:rPr>
              <w:t> </w:t>
            </w:r>
          </w:p>
        </w:tc>
      </w:tr>
      <w:tr w:rsidR="00AB6753" w14:paraId="1837A95C" w14:textId="77777777" w:rsidTr="002D1EA4">
        <w:trPr>
          <w:trHeight w:val="255"/>
        </w:trPr>
        <w:tc>
          <w:tcPr>
            <w:tcW w:w="6566" w:type="dxa"/>
            <w:tcBorders>
              <w:top w:val="nil"/>
              <w:left w:val="nil"/>
              <w:bottom w:val="nil"/>
              <w:right w:val="nil"/>
            </w:tcBorders>
            <w:shd w:val="clear" w:color="000000" w:fill="D9D9D9"/>
            <w:vAlign w:val="bottom"/>
            <w:hideMark/>
          </w:tcPr>
          <w:p w14:paraId="18269531" w14:textId="77777777" w:rsidR="00AB6753" w:rsidRDefault="00AB6753" w:rsidP="002D1EA4">
            <w:pPr>
              <w:spacing w:after="0"/>
              <w:ind w:left="-113"/>
              <w:rPr>
                <w:rFonts w:cs="Arial"/>
                <w:b/>
                <w:bCs/>
                <w:sz w:val="18"/>
                <w:szCs w:val="18"/>
              </w:rPr>
            </w:pPr>
            <w:r>
              <w:rPr>
                <w:rFonts w:cs="Arial"/>
                <w:b/>
                <w:bCs/>
                <w:sz w:val="18"/>
                <w:szCs w:val="18"/>
              </w:rPr>
              <w:t>Advances and loans:</w:t>
            </w:r>
          </w:p>
        </w:tc>
        <w:tc>
          <w:tcPr>
            <w:tcW w:w="1286" w:type="dxa"/>
            <w:tcBorders>
              <w:top w:val="nil"/>
              <w:left w:val="nil"/>
              <w:bottom w:val="nil"/>
              <w:right w:val="nil"/>
            </w:tcBorders>
            <w:shd w:val="clear" w:color="000000" w:fill="D9D9D9"/>
            <w:noWrap/>
            <w:vAlign w:val="bottom"/>
            <w:hideMark/>
          </w:tcPr>
          <w:p w14:paraId="1B36411C" w14:textId="77777777" w:rsidR="00AB6753" w:rsidRDefault="00AB6753" w:rsidP="002D1EA4">
            <w:pPr>
              <w:spacing w:after="0"/>
              <w:ind w:left="-113"/>
              <w:rPr>
                <w:rFonts w:cs="Arial"/>
                <w:sz w:val="16"/>
                <w:szCs w:val="16"/>
              </w:rPr>
            </w:pPr>
            <w:r>
              <w:rPr>
                <w:rFonts w:cs="Arial"/>
                <w:sz w:val="16"/>
                <w:szCs w:val="16"/>
              </w:rPr>
              <w:t> </w:t>
            </w:r>
          </w:p>
        </w:tc>
        <w:tc>
          <w:tcPr>
            <w:tcW w:w="273" w:type="dxa"/>
            <w:tcBorders>
              <w:top w:val="nil"/>
              <w:left w:val="nil"/>
              <w:bottom w:val="nil"/>
              <w:right w:val="nil"/>
            </w:tcBorders>
            <w:shd w:val="clear" w:color="000000" w:fill="D9D9D9"/>
            <w:noWrap/>
            <w:vAlign w:val="bottom"/>
            <w:hideMark/>
          </w:tcPr>
          <w:p w14:paraId="0B6C8D84"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5E7DB939" w14:textId="77777777" w:rsidR="00AB6753" w:rsidRDefault="00AB6753" w:rsidP="002D1EA4">
            <w:pPr>
              <w:spacing w:after="0"/>
              <w:ind w:left="-113"/>
              <w:rPr>
                <w:rFonts w:cs="Arial"/>
                <w:sz w:val="16"/>
                <w:szCs w:val="16"/>
              </w:rPr>
            </w:pPr>
            <w:r>
              <w:rPr>
                <w:rFonts w:cs="Arial"/>
                <w:sz w:val="16"/>
                <w:szCs w:val="16"/>
              </w:rPr>
              <w:t> </w:t>
            </w:r>
          </w:p>
        </w:tc>
      </w:tr>
      <w:tr w:rsidR="00AB6753" w14:paraId="330910E0" w14:textId="77777777" w:rsidTr="002D1EA4">
        <w:trPr>
          <w:trHeight w:val="255"/>
        </w:trPr>
        <w:tc>
          <w:tcPr>
            <w:tcW w:w="6566" w:type="dxa"/>
            <w:tcBorders>
              <w:top w:val="nil"/>
              <w:left w:val="nil"/>
              <w:bottom w:val="nil"/>
              <w:right w:val="nil"/>
            </w:tcBorders>
            <w:shd w:val="clear" w:color="000000" w:fill="D9D9D9"/>
            <w:noWrap/>
            <w:vAlign w:val="bottom"/>
            <w:hideMark/>
          </w:tcPr>
          <w:p w14:paraId="2A68E63F" w14:textId="77777777" w:rsidR="00AB6753" w:rsidRDefault="00AB6753" w:rsidP="002D1EA4">
            <w:pPr>
              <w:spacing w:after="0"/>
              <w:ind w:left="-113" w:firstLineChars="100" w:firstLine="180"/>
              <w:rPr>
                <w:rFonts w:cs="Arial"/>
                <w:sz w:val="18"/>
                <w:szCs w:val="18"/>
              </w:rPr>
            </w:pPr>
            <w:r>
              <w:rPr>
                <w:rFonts w:cs="Arial"/>
                <w:sz w:val="18"/>
                <w:szCs w:val="18"/>
              </w:rPr>
              <w:t>Advance payments for personal benefits</w:t>
            </w:r>
          </w:p>
        </w:tc>
        <w:tc>
          <w:tcPr>
            <w:tcW w:w="1286" w:type="dxa"/>
            <w:tcBorders>
              <w:top w:val="nil"/>
              <w:left w:val="nil"/>
              <w:bottom w:val="nil"/>
              <w:right w:val="nil"/>
            </w:tcBorders>
            <w:shd w:val="clear" w:color="000000" w:fill="D9D9D9"/>
            <w:noWrap/>
            <w:vAlign w:val="bottom"/>
            <w:hideMark/>
          </w:tcPr>
          <w:p w14:paraId="1555BEBB" w14:textId="77777777" w:rsidR="00AB6753" w:rsidRDefault="00AB6753" w:rsidP="002D1EA4">
            <w:pPr>
              <w:spacing w:after="0"/>
              <w:ind w:left="-113"/>
              <w:jc w:val="right"/>
              <w:rPr>
                <w:rFonts w:cs="Arial"/>
                <w:b/>
                <w:bCs/>
                <w:sz w:val="18"/>
                <w:szCs w:val="18"/>
              </w:rPr>
            </w:pPr>
            <w:r>
              <w:rPr>
                <w:rFonts w:cs="Arial"/>
                <w:b/>
                <w:bCs/>
                <w:sz w:val="18"/>
                <w:szCs w:val="18"/>
              </w:rPr>
              <w:t>396,324</w:t>
            </w:r>
          </w:p>
        </w:tc>
        <w:tc>
          <w:tcPr>
            <w:tcW w:w="273" w:type="dxa"/>
            <w:tcBorders>
              <w:top w:val="nil"/>
              <w:left w:val="nil"/>
              <w:bottom w:val="nil"/>
              <w:right w:val="nil"/>
            </w:tcBorders>
            <w:shd w:val="clear" w:color="000000" w:fill="D9D9D9"/>
            <w:noWrap/>
            <w:vAlign w:val="bottom"/>
            <w:hideMark/>
          </w:tcPr>
          <w:p w14:paraId="1582B61F"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529180DA" w14:textId="77777777" w:rsidR="00AB6753" w:rsidRDefault="00AB6753" w:rsidP="002D1EA4">
            <w:pPr>
              <w:spacing w:after="0"/>
              <w:ind w:left="-113"/>
              <w:jc w:val="right"/>
              <w:rPr>
                <w:rFonts w:cs="Arial"/>
                <w:sz w:val="18"/>
                <w:szCs w:val="18"/>
              </w:rPr>
            </w:pPr>
            <w:r>
              <w:rPr>
                <w:rFonts w:cs="Arial"/>
                <w:sz w:val="18"/>
                <w:szCs w:val="18"/>
              </w:rPr>
              <w:t>417,196</w:t>
            </w:r>
          </w:p>
        </w:tc>
      </w:tr>
      <w:tr w:rsidR="00AB6753" w14:paraId="0EE9EF99" w14:textId="77777777" w:rsidTr="002D1EA4">
        <w:trPr>
          <w:trHeight w:val="255"/>
        </w:trPr>
        <w:tc>
          <w:tcPr>
            <w:tcW w:w="6566" w:type="dxa"/>
            <w:tcBorders>
              <w:top w:val="nil"/>
              <w:left w:val="nil"/>
              <w:bottom w:val="nil"/>
              <w:right w:val="nil"/>
            </w:tcBorders>
            <w:shd w:val="clear" w:color="000000" w:fill="D9D9D9"/>
            <w:noWrap/>
            <w:vAlign w:val="bottom"/>
            <w:hideMark/>
          </w:tcPr>
          <w:p w14:paraId="7DD92781" w14:textId="77777777" w:rsidR="00AB6753" w:rsidRDefault="00AB6753" w:rsidP="002D1EA4">
            <w:pPr>
              <w:spacing w:after="0"/>
              <w:ind w:left="-113" w:firstLineChars="100" w:firstLine="180"/>
              <w:rPr>
                <w:rFonts w:cs="Arial"/>
                <w:sz w:val="18"/>
                <w:szCs w:val="18"/>
              </w:rPr>
            </w:pPr>
            <w:r>
              <w:rPr>
                <w:rFonts w:cs="Arial"/>
                <w:sz w:val="18"/>
                <w:szCs w:val="18"/>
              </w:rPr>
              <w:t>Student Financial Supplement Scheme</w:t>
            </w:r>
          </w:p>
        </w:tc>
        <w:tc>
          <w:tcPr>
            <w:tcW w:w="1286" w:type="dxa"/>
            <w:tcBorders>
              <w:top w:val="nil"/>
              <w:left w:val="nil"/>
              <w:bottom w:val="nil"/>
              <w:right w:val="nil"/>
            </w:tcBorders>
            <w:shd w:val="clear" w:color="000000" w:fill="D9D9D9"/>
            <w:noWrap/>
            <w:vAlign w:val="bottom"/>
            <w:hideMark/>
          </w:tcPr>
          <w:p w14:paraId="0ECD80AB" w14:textId="77777777" w:rsidR="00AB6753" w:rsidRDefault="00AB6753" w:rsidP="002D1EA4">
            <w:pPr>
              <w:spacing w:after="0"/>
              <w:ind w:left="-113"/>
              <w:jc w:val="right"/>
              <w:rPr>
                <w:rFonts w:cs="Arial"/>
                <w:b/>
                <w:bCs/>
                <w:sz w:val="18"/>
                <w:szCs w:val="18"/>
              </w:rPr>
            </w:pPr>
            <w:r>
              <w:rPr>
                <w:rFonts w:cs="Arial"/>
                <w:b/>
                <w:bCs/>
                <w:sz w:val="18"/>
                <w:szCs w:val="18"/>
              </w:rPr>
              <w:t>436,900</w:t>
            </w:r>
          </w:p>
        </w:tc>
        <w:tc>
          <w:tcPr>
            <w:tcW w:w="273" w:type="dxa"/>
            <w:tcBorders>
              <w:top w:val="nil"/>
              <w:left w:val="nil"/>
              <w:bottom w:val="nil"/>
              <w:right w:val="nil"/>
            </w:tcBorders>
            <w:shd w:val="clear" w:color="000000" w:fill="D9D9D9"/>
            <w:noWrap/>
            <w:vAlign w:val="bottom"/>
            <w:hideMark/>
          </w:tcPr>
          <w:p w14:paraId="7CCDDCE2"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009FD639" w14:textId="77777777" w:rsidR="00AB6753" w:rsidRDefault="00AB6753" w:rsidP="002D1EA4">
            <w:pPr>
              <w:spacing w:after="0"/>
              <w:ind w:left="-113"/>
              <w:jc w:val="right"/>
              <w:rPr>
                <w:rFonts w:cs="Arial"/>
                <w:sz w:val="18"/>
                <w:szCs w:val="18"/>
              </w:rPr>
            </w:pPr>
            <w:r>
              <w:rPr>
                <w:rFonts w:cs="Arial"/>
                <w:sz w:val="18"/>
                <w:szCs w:val="18"/>
              </w:rPr>
              <w:t>424,500</w:t>
            </w:r>
          </w:p>
        </w:tc>
      </w:tr>
      <w:tr w:rsidR="00AB6753" w14:paraId="4668544E" w14:textId="77777777" w:rsidTr="002D1EA4">
        <w:trPr>
          <w:trHeight w:val="255"/>
        </w:trPr>
        <w:tc>
          <w:tcPr>
            <w:tcW w:w="6566" w:type="dxa"/>
            <w:tcBorders>
              <w:top w:val="nil"/>
              <w:left w:val="nil"/>
              <w:bottom w:val="nil"/>
              <w:right w:val="nil"/>
            </w:tcBorders>
            <w:shd w:val="clear" w:color="000000" w:fill="D9D9D9"/>
            <w:noWrap/>
            <w:vAlign w:val="bottom"/>
            <w:hideMark/>
          </w:tcPr>
          <w:p w14:paraId="3F997E79" w14:textId="77777777" w:rsidR="00AB6753" w:rsidRDefault="00AB6753" w:rsidP="002D1EA4">
            <w:pPr>
              <w:spacing w:after="0"/>
              <w:ind w:left="-113" w:firstLineChars="100" w:firstLine="180"/>
              <w:rPr>
                <w:rFonts w:cs="Arial"/>
                <w:sz w:val="18"/>
                <w:szCs w:val="18"/>
              </w:rPr>
            </w:pPr>
            <w:r>
              <w:rPr>
                <w:rFonts w:cs="Arial"/>
                <w:sz w:val="18"/>
                <w:szCs w:val="18"/>
              </w:rPr>
              <w:t>Student Start-up Loan</w:t>
            </w:r>
          </w:p>
        </w:tc>
        <w:tc>
          <w:tcPr>
            <w:tcW w:w="1286" w:type="dxa"/>
            <w:tcBorders>
              <w:top w:val="nil"/>
              <w:left w:val="nil"/>
              <w:bottom w:val="nil"/>
              <w:right w:val="nil"/>
            </w:tcBorders>
            <w:shd w:val="clear" w:color="000000" w:fill="D9D9D9"/>
            <w:noWrap/>
            <w:vAlign w:val="bottom"/>
            <w:hideMark/>
          </w:tcPr>
          <w:p w14:paraId="7E95CEA5" w14:textId="77777777" w:rsidR="00AB6753" w:rsidRDefault="00AB6753" w:rsidP="002D1EA4">
            <w:pPr>
              <w:spacing w:after="0"/>
              <w:ind w:left="-113"/>
              <w:jc w:val="right"/>
              <w:rPr>
                <w:rFonts w:cs="Arial"/>
                <w:b/>
                <w:bCs/>
                <w:sz w:val="18"/>
                <w:szCs w:val="18"/>
              </w:rPr>
            </w:pPr>
            <w:r>
              <w:rPr>
                <w:rFonts w:cs="Arial"/>
                <w:b/>
                <w:bCs/>
                <w:sz w:val="18"/>
                <w:szCs w:val="18"/>
              </w:rPr>
              <w:t>566,500</w:t>
            </w:r>
          </w:p>
        </w:tc>
        <w:tc>
          <w:tcPr>
            <w:tcW w:w="273" w:type="dxa"/>
            <w:tcBorders>
              <w:top w:val="nil"/>
              <w:left w:val="nil"/>
              <w:bottom w:val="nil"/>
              <w:right w:val="nil"/>
            </w:tcBorders>
            <w:shd w:val="clear" w:color="000000" w:fill="D9D9D9"/>
            <w:noWrap/>
            <w:vAlign w:val="bottom"/>
            <w:hideMark/>
          </w:tcPr>
          <w:p w14:paraId="54257AA3"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3CDEB23B" w14:textId="77777777" w:rsidR="00AB6753" w:rsidRDefault="00AB6753" w:rsidP="002D1EA4">
            <w:pPr>
              <w:spacing w:after="0"/>
              <w:ind w:left="-113"/>
              <w:jc w:val="right"/>
              <w:rPr>
                <w:rFonts w:cs="Arial"/>
                <w:sz w:val="18"/>
                <w:szCs w:val="18"/>
              </w:rPr>
            </w:pPr>
            <w:r>
              <w:rPr>
                <w:rFonts w:cs="Arial"/>
                <w:sz w:val="18"/>
                <w:szCs w:val="18"/>
              </w:rPr>
              <w:t>239,401</w:t>
            </w:r>
          </w:p>
        </w:tc>
      </w:tr>
      <w:tr w:rsidR="00AB6753" w14:paraId="316D8E83" w14:textId="77777777" w:rsidTr="002D1EA4">
        <w:trPr>
          <w:trHeight w:val="255"/>
        </w:trPr>
        <w:tc>
          <w:tcPr>
            <w:tcW w:w="6566" w:type="dxa"/>
            <w:tcBorders>
              <w:top w:val="nil"/>
              <w:left w:val="nil"/>
              <w:bottom w:val="nil"/>
              <w:right w:val="nil"/>
            </w:tcBorders>
            <w:shd w:val="clear" w:color="000000" w:fill="D9D9D9"/>
            <w:noWrap/>
            <w:vAlign w:val="bottom"/>
            <w:hideMark/>
          </w:tcPr>
          <w:p w14:paraId="2B770A21" w14:textId="77777777" w:rsidR="00AB6753" w:rsidRDefault="00AB6753" w:rsidP="002D1EA4">
            <w:pPr>
              <w:spacing w:after="0"/>
              <w:ind w:left="-113" w:firstLineChars="100" w:firstLine="180"/>
              <w:rPr>
                <w:rFonts w:cs="Arial"/>
                <w:sz w:val="18"/>
                <w:szCs w:val="18"/>
              </w:rPr>
            </w:pPr>
            <w:r>
              <w:rPr>
                <w:rFonts w:cs="Arial"/>
                <w:sz w:val="18"/>
                <w:szCs w:val="18"/>
              </w:rPr>
              <w:t>Pension Loan Scheme</w:t>
            </w:r>
          </w:p>
        </w:tc>
        <w:tc>
          <w:tcPr>
            <w:tcW w:w="1286" w:type="dxa"/>
            <w:tcBorders>
              <w:top w:val="nil"/>
              <w:left w:val="nil"/>
              <w:bottom w:val="nil"/>
              <w:right w:val="nil"/>
            </w:tcBorders>
            <w:shd w:val="clear" w:color="000000" w:fill="D9D9D9"/>
            <w:noWrap/>
            <w:vAlign w:val="bottom"/>
            <w:hideMark/>
          </w:tcPr>
          <w:p w14:paraId="10CC6D02" w14:textId="77777777" w:rsidR="00AB6753" w:rsidRDefault="00AB6753" w:rsidP="002D1EA4">
            <w:pPr>
              <w:spacing w:after="0"/>
              <w:ind w:left="-113"/>
              <w:jc w:val="right"/>
              <w:rPr>
                <w:rFonts w:cs="Arial"/>
                <w:b/>
                <w:bCs/>
                <w:sz w:val="18"/>
                <w:szCs w:val="18"/>
              </w:rPr>
            </w:pPr>
            <w:r>
              <w:rPr>
                <w:rFonts w:cs="Arial"/>
                <w:b/>
                <w:bCs/>
                <w:sz w:val="18"/>
                <w:szCs w:val="18"/>
              </w:rPr>
              <w:t>41,788</w:t>
            </w:r>
          </w:p>
        </w:tc>
        <w:tc>
          <w:tcPr>
            <w:tcW w:w="273" w:type="dxa"/>
            <w:tcBorders>
              <w:top w:val="nil"/>
              <w:left w:val="nil"/>
              <w:bottom w:val="nil"/>
              <w:right w:val="nil"/>
            </w:tcBorders>
            <w:shd w:val="clear" w:color="000000" w:fill="D9D9D9"/>
            <w:noWrap/>
            <w:vAlign w:val="bottom"/>
            <w:hideMark/>
          </w:tcPr>
          <w:p w14:paraId="0D7E911D"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4B91BF87" w14:textId="77777777" w:rsidR="00AB6753" w:rsidRDefault="00AB6753" w:rsidP="002D1EA4">
            <w:pPr>
              <w:spacing w:after="0"/>
              <w:ind w:left="-113"/>
              <w:jc w:val="right"/>
              <w:rPr>
                <w:rFonts w:cs="Arial"/>
                <w:sz w:val="18"/>
                <w:szCs w:val="18"/>
              </w:rPr>
            </w:pPr>
            <w:r>
              <w:rPr>
                <w:rFonts w:cs="Arial"/>
                <w:sz w:val="18"/>
                <w:szCs w:val="18"/>
              </w:rPr>
              <w:t>26,194</w:t>
            </w:r>
          </w:p>
        </w:tc>
      </w:tr>
      <w:tr w:rsidR="00AB6753" w14:paraId="49FCD6FA" w14:textId="77777777" w:rsidTr="002D1EA4">
        <w:trPr>
          <w:trHeight w:val="255"/>
        </w:trPr>
        <w:tc>
          <w:tcPr>
            <w:tcW w:w="6566" w:type="dxa"/>
            <w:tcBorders>
              <w:top w:val="single" w:sz="4" w:space="0" w:color="D9D9D9"/>
              <w:left w:val="nil"/>
              <w:bottom w:val="single" w:sz="4" w:space="0" w:color="D9D9D9"/>
              <w:right w:val="nil"/>
            </w:tcBorders>
            <w:shd w:val="clear" w:color="000000" w:fill="D9D9D9"/>
            <w:vAlign w:val="bottom"/>
            <w:hideMark/>
          </w:tcPr>
          <w:p w14:paraId="530103B7" w14:textId="77777777" w:rsidR="00AB6753" w:rsidRDefault="00AB6753" w:rsidP="002D1EA4">
            <w:pPr>
              <w:spacing w:after="0"/>
              <w:ind w:left="-113"/>
              <w:rPr>
                <w:rFonts w:cs="Arial"/>
                <w:b/>
                <w:bCs/>
                <w:sz w:val="18"/>
                <w:szCs w:val="18"/>
              </w:rPr>
            </w:pPr>
            <w:r>
              <w:rPr>
                <w:rFonts w:cs="Arial"/>
                <w:b/>
                <w:bCs/>
                <w:sz w:val="18"/>
                <w:szCs w:val="18"/>
              </w:rPr>
              <w:t>Total advances and loans</w:t>
            </w:r>
          </w:p>
        </w:tc>
        <w:tc>
          <w:tcPr>
            <w:tcW w:w="1286" w:type="dxa"/>
            <w:tcBorders>
              <w:top w:val="single" w:sz="4" w:space="0" w:color="auto"/>
              <w:left w:val="nil"/>
              <w:bottom w:val="single" w:sz="4" w:space="0" w:color="auto"/>
              <w:right w:val="nil"/>
            </w:tcBorders>
            <w:shd w:val="clear" w:color="000000" w:fill="D9D9D9"/>
            <w:noWrap/>
            <w:vAlign w:val="bottom"/>
            <w:hideMark/>
          </w:tcPr>
          <w:p w14:paraId="68F8724C" w14:textId="77777777" w:rsidR="00AB6753" w:rsidRDefault="00AB6753" w:rsidP="002D1EA4">
            <w:pPr>
              <w:spacing w:after="0"/>
              <w:ind w:left="-113"/>
              <w:jc w:val="right"/>
              <w:rPr>
                <w:rFonts w:cs="Arial"/>
                <w:b/>
                <w:bCs/>
                <w:sz w:val="18"/>
                <w:szCs w:val="18"/>
              </w:rPr>
            </w:pPr>
            <w:r>
              <w:rPr>
                <w:rFonts w:cs="Arial"/>
                <w:b/>
                <w:bCs/>
                <w:sz w:val="18"/>
                <w:szCs w:val="18"/>
              </w:rPr>
              <w:t>1,441,512</w:t>
            </w:r>
          </w:p>
        </w:tc>
        <w:tc>
          <w:tcPr>
            <w:tcW w:w="273" w:type="dxa"/>
            <w:tcBorders>
              <w:top w:val="single" w:sz="4" w:space="0" w:color="D9D9D9"/>
              <w:left w:val="nil"/>
              <w:bottom w:val="single" w:sz="4" w:space="0" w:color="D9D9D9"/>
              <w:right w:val="nil"/>
            </w:tcBorders>
            <w:shd w:val="clear" w:color="000000" w:fill="D9D9D9"/>
            <w:noWrap/>
            <w:vAlign w:val="bottom"/>
            <w:hideMark/>
          </w:tcPr>
          <w:p w14:paraId="1E45C041"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single" w:sz="4" w:space="0" w:color="auto"/>
              <w:left w:val="nil"/>
              <w:bottom w:val="single" w:sz="4" w:space="0" w:color="auto"/>
              <w:right w:val="nil"/>
            </w:tcBorders>
            <w:shd w:val="clear" w:color="000000" w:fill="D9D9D9"/>
            <w:noWrap/>
            <w:vAlign w:val="bottom"/>
            <w:hideMark/>
          </w:tcPr>
          <w:p w14:paraId="74ED2DA4" w14:textId="77777777" w:rsidR="00AB6753" w:rsidRDefault="00AB6753" w:rsidP="002D1EA4">
            <w:pPr>
              <w:spacing w:after="0"/>
              <w:ind w:left="-113"/>
              <w:jc w:val="right"/>
              <w:rPr>
                <w:rFonts w:cs="Arial"/>
                <w:sz w:val="18"/>
                <w:szCs w:val="18"/>
              </w:rPr>
            </w:pPr>
            <w:r>
              <w:rPr>
                <w:rFonts w:cs="Arial"/>
                <w:sz w:val="18"/>
                <w:szCs w:val="18"/>
              </w:rPr>
              <w:t>1,107,291</w:t>
            </w:r>
          </w:p>
        </w:tc>
      </w:tr>
      <w:tr w:rsidR="00AB6753" w14:paraId="0617FC64" w14:textId="77777777" w:rsidTr="002D1EA4">
        <w:trPr>
          <w:trHeight w:val="255"/>
        </w:trPr>
        <w:tc>
          <w:tcPr>
            <w:tcW w:w="6566" w:type="dxa"/>
            <w:tcBorders>
              <w:top w:val="nil"/>
              <w:left w:val="nil"/>
              <w:bottom w:val="nil"/>
              <w:right w:val="nil"/>
            </w:tcBorders>
            <w:shd w:val="clear" w:color="000000" w:fill="D9D9D9"/>
            <w:vAlign w:val="bottom"/>
            <w:hideMark/>
          </w:tcPr>
          <w:p w14:paraId="03D00BF7" w14:textId="77777777" w:rsidR="00AB6753" w:rsidRDefault="00AB6753" w:rsidP="002D1EA4">
            <w:pPr>
              <w:spacing w:after="0"/>
              <w:ind w:left="-113"/>
              <w:rPr>
                <w:rFonts w:cs="Arial"/>
                <w:b/>
                <w:bCs/>
                <w:sz w:val="18"/>
                <w:szCs w:val="18"/>
              </w:rPr>
            </w:pPr>
            <w:r>
              <w:rPr>
                <w:rFonts w:cs="Arial"/>
                <w:b/>
                <w:bCs/>
                <w:sz w:val="18"/>
                <w:szCs w:val="18"/>
              </w:rPr>
              <w:t> </w:t>
            </w:r>
          </w:p>
        </w:tc>
        <w:tc>
          <w:tcPr>
            <w:tcW w:w="1286" w:type="dxa"/>
            <w:tcBorders>
              <w:top w:val="nil"/>
              <w:left w:val="nil"/>
              <w:bottom w:val="nil"/>
              <w:right w:val="nil"/>
            </w:tcBorders>
            <w:shd w:val="clear" w:color="000000" w:fill="D9D9D9"/>
            <w:noWrap/>
            <w:vAlign w:val="bottom"/>
            <w:hideMark/>
          </w:tcPr>
          <w:p w14:paraId="5F67BFB8" w14:textId="77777777" w:rsidR="00AB6753" w:rsidRDefault="00AB6753" w:rsidP="002D1EA4">
            <w:pPr>
              <w:spacing w:after="0"/>
              <w:ind w:left="-113"/>
              <w:rPr>
                <w:rFonts w:cs="Arial"/>
                <w:sz w:val="16"/>
                <w:szCs w:val="16"/>
              </w:rPr>
            </w:pPr>
            <w:r>
              <w:rPr>
                <w:rFonts w:cs="Arial"/>
                <w:sz w:val="16"/>
                <w:szCs w:val="16"/>
              </w:rPr>
              <w:t> </w:t>
            </w:r>
          </w:p>
        </w:tc>
        <w:tc>
          <w:tcPr>
            <w:tcW w:w="273" w:type="dxa"/>
            <w:tcBorders>
              <w:top w:val="nil"/>
              <w:left w:val="nil"/>
              <w:bottom w:val="nil"/>
              <w:right w:val="nil"/>
            </w:tcBorders>
            <w:shd w:val="clear" w:color="000000" w:fill="D9D9D9"/>
            <w:noWrap/>
            <w:vAlign w:val="bottom"/>
            <w:hideMark/>
          </w:tcPr>
          <w:p w14:paraId="2A32F081"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7F414599" w14:textId="77777777" w:rsidR="00AB6753" w:rsidRDefault="00AB6753" w:rsidP="002D1EA4">
            <w:pPr>
              <w:spacing w:after="0"/>
              <w:ind w:left="-113"/>
              <w:rPr>
                <w:rFonts w:cs="Arial"/>
                <w:sz w:val="18"/>
                <w:szCs w:val="18"/>
              </w:rPr>
            </w:pPr>
            <w:r>
              <w:rPr>
                <w:rFonts w:cs="Arial"/>
                <w:sz w:val="18"/>
                <w:szCs w:val="18"/>
              </w:rPr>
              <w:t> </w:t>
            </w:r>
          </w:p>
        </w:tc>
      </w:tr>
      <w:tr w:rsidR="00AB6753" w14:paraId="5024EB73" w14:textId="77777777" w:rsidTr="002D1EA4">
        <w:trPr>
          <w:trHeight w:val="255"/>
        </w:trPr>
        <w:tc>
          <w:tcPr>
            <w:tcW w:w="6566" w:type="dxa"/>
            <w:tcBorders>
              <w:top w:val="nil"/>
              <w:left w:val="nil"/>
              <w:bottom w:val="nil"/>
              <w:right w:val="nil"/>
            </w:tcBorders>
            <w:shd w:val="clear" w:color="000000" w:fill="D9D9D9"/>
            <w:vAlign w:val="bottom"/>
            <w:hideMark/>
          </w:tcPr>
          <w:p w14:paraId="613A3AE7" w14:textId="77777777" w:rsidR="00AB6753" w:rsidRDefault="00AB6753" w:rsidP="002D1EA4">
            <w:pPr>
              <w:spacing w:after="0"/>
              <w:ind w:left="-113"/>
              <w:rPr>
                <w:rFonts w:cs="Arial"/>
                <w:b/>
                <w:bCs/>
                <w:sz w:val="18"/>
                <w:szCs w:val="18"/>
              </w:rPr>
            </w:pPr>
            <w:r>
              <w:rPr>
                <w:rFonts w:cs="Arial"/>
                <w:b/>
                <w:bCs/>
                <w:sz w:val="18"/>
                <w:szCs w:val="18"/>
              </w:rPr>
              <w:t>Other receivables:</w:t>
            </w:r>
          </w:p>
        </w:tc>
        <w:tc>
          <w:tcPr>
            <w:tcW w:w="1286" w:type="dxa"/>
            <w:tcBorders>
              <w:top w:val="nil"/>
              <w:left w:val="nil"/>
              <w:bottom w:val="nil"/>
              <w:right w:val="nil"/>
            </w:tcBorders>
            <w:shd w:val="clear" w:color="000000" w:fill="D9D9D9"/>
            <w:noWrap/>
            <w:vAlign w:val="bottom"/>
            <w:hideMark/>
          </w:tcPr>
          <w:p w14:paraId="11F2A110" w14:textId="77777777" w:rsidR="00AB6753" w:rsidRDefault="00AB6753" w:rsidP="002D1EA4">
            <w:pPr>
              <w:spacing w:after="0"/>
              <w:ind w:left="-113"/>
              <w:rPr>
                <w:rFonts w:cs="Arial"/>
                <w:sz w:val="16"/>
                <w:szCs w:val="16"/>
              </w:rPr>
            </w:pPr>
            <w:r>
              <w:rPr>
                <w:rFonts w:cs="Arial"/>
                <w:sz w:val="16"/>
                <w:szCs w:val="16"/>
              </w:rPr>
              <w:t> </w:t>
            </w:r>
          </w:p>
        </w:tc>
        <w:tc>
          <w:tcPr>
            <w:tcW w:w="273" w:type="dxa"/>
            <w:tcBorders>
              <w:top w:val="nil"/>
              <w:left w:val="nil"/>
              <w:bottom w:val="nil"/>
              <w:right w:val="nil"/>
            </w:tcBorders>
            <w:shd w:val="clear" w:color="000000" w:fill="D9D9D9"/>
            <w:noWrap/>
            <w:vAlign w:val="bottom"/>
            <w:hideMark/>
          </w:tcPr>
          <w:p w14:paraId="2419A0EE"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063F9432" w14:textId="77777777" w:rsidR="00AB6753" w:rsidRDefault="00AB6753" w:rsidP="002D1EA4">
            <w:pPr>
              <w:spacing w:after="0"/>
              <w:ind w:left="-113"/>
              <w:rPr>
                <w:rFonts w:cs="Arial"/>
                <w:sz w:val="16"/>
                <w:szCs w:val="16"/>
              </w:rPr>
            </w:pPr>
            <w:r>
              <w:rPr>
                <w:rFonts w:cs="Arial"/>
                <w:sz w:val="16"/>
                <w:szCs w:val="16"/>
              </w:rPr>
              <w:t> </w:t>
            </w:r>
          </w:p>
        </w:tc>
      </w:tr>
      <w:tr w:rsidR="00AB6753" w14:paraId="571C428E" w14:textId="77777777" w:rsidTr="002D1EA4">
        <w:trPr>
          <w:trHeight w:val="255"/>
        </w:trPr>
        <w:tc>
          <w:tcPr>
            <w:tcW w:w="6566" w:type="dxa"/>
            <w:tcBorders>
              <w:top w:val="nil"/>
              <w:left w:val="nil"/>
              <w:bottom w:val="nil"/>
              <w:right w:val="nil"/>
            </w:tcBorders>
            <w:shd w:val="clear" w:color="000000" w:fill="D9D9D9"/>
            <w:noWrap/>
            <w:vAlign w:val="bottom"/>
            <w:hideMark/>
          </w:tcPr>
          <w:p w14:paraId="336977D7" w14:textId="77777777" w:rsidR="00AB6753" w:rsidRDefault="00AB6753" w:rsidP="002D1EA4">
            <w:pPr>
              <w:spacing w:after="0"/>
              <w:ind w:left="-113" w:firstLineChars="100" w:firstLine="180"/>
              <w:rPr>
                <w:rFonts w:cs="Arial"/>
                <w:sz w:val="18"/>
                <w:szCs w:val="18"/>
              </w:rPr>
            </w:pPr>
            <w:r>
              <w:rPr>
                <w:rFonts w:cs="Arial"/>
                <w:sz w:val="18"/>
                <w:szCs w:val="18"/>
              </w:rPr>
              <w:t>National Redress Scheme</w:t>
            </w:r>
          </w:p>
        </w:tc>
        <w:tc>
          <w:tcPr>
            <w:tcW w:w="1286" w:type="dxa"/>
            <w:tcBorders>
              <w:top w:val="nil"/>
              <w:left w:val="nil"/>
              <w:bottom w:val="nil"/>
              <w:right w:val="nil"/>
            </w:tcBorders>
            <w:shd w:val="clear" w:color="000000" w:fill="D9D9D9"/>
            <w:noWrap/>
            <w:vAlign w:val="bottom"/>
            <w:hideMark/>
          </w:tcPr>
          <w:p w14:paraId="70273D82" w14:textId="77777777" w:rsidR="00AB6753" w:rsidRDefault="00AB6753" w:rsidP="002D1EA4">
            <w:pPr>
              <w:spacing w:after="0"/>
              <w:ind w:left="-113"/>
              <w:jc w:val="right"/>
              <w:rPr>
                <w:rFonts w:cs="Arial"/>
                <w:b/>
                <w:bCs/>
                <w:sz w:val="18"/>
                <w:szCs w:val="18"/>
              </w:rPr>
            </w:pPr>
            <w:r>
              <w:rPr>
                <w:rFonts w:cs="Arial"/>
                <w:b/>
                <w:bCs/>
                <w:sz w:val="18"/>
                <w:szCs w:val="18"/>
              </w:rPr>
              <w:t>144,588</w:t>
            </w:r>
          </w:p>
        </w:tc>
        <w:tc>
          <w:tcPr>
            <w:tcW w:w="273" w:type="dxa"/>
            <w:tcBorders>
              <w:top w:val="nil"/>
              <w:left w:val="nil"/>
              <w:bottom w:val="nil"/>
              <w:right w:val="nil"/>
            </w:tcBorders>
            <w:shd w:val="clear" w:color="000000" w:fill="D9D9D9"/>
            <w:noWrap/>
            <w:vAlign w:val="bottom"/>
            <w:hideMark/>
          </w:tcPr>
          <w:p w14:paraId="2C6F8C3B"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4E636B68" w14:textId="77777777" w:rsidR="00AB6753" w:rsidRDefault="00AB6753" w:rsidP="002D1EA4">
            <w:pPr>
              <w:spacing w:after="0"/>
              <w:ind w:left="-113"/>
              <w:jc w:val="right"/>
              <w:rPr>
                <w:rFonts w:cs="Arial"/>
                <w:sz w:val="18"/>
                <w:szCs w:val="18"/>
              </w:rPr>
            </w:pPr>
            <w:r>
              <w:rPr>
                <w:rFonts w:cs="Arial"/>
                <w:sz w:val="18"/>
                <w:szCs w:val="18"/>
              </w:rPr>
              <w:t>-</w:t>
            </w:r>
          </w:p>
        </w:tc>
      </w:tr>
      <w:tr w:rsidR="00AB6753" w14:paraId="130F6E45" w14:textId="77777777" w:rsidTr="002D1EA4">
        <w:trPr>
          <w:trHeight w:val="255"/>
        </w:trPr>
        <w:tc>
          <w:tcPr>
            <w:tcW w:w="6566" w:type="dxa"/>
            <w:tcBorders>
              <w:top w:val="nil"/>
              <w:left w:val="nil"/>
              <w:bottom w:val="nil"/>
              <w:right w:val="nil"/>
            </w:tcBorders>
            <w:shd w:val="clear" w:color="000000" w:fill="D9D9D9"/>
            <w:noWrap/>
            <w:vAlign w:val="bottom"/>
            <w:hideMark/>
          </w:tcPr>
          <w:p w14:paraId="72323041" w14:textId="77777777" w:rsidR="00AB6753" w:rsidRDefault="00AB6753" w:rsidP="002D1EA4">
            <w:pPr>
              <w:spacing w:after="0"/>
              <w:ind w:left="-113" w:firstLineChars="100" w:firstLine="180"/>
              <w:rPr>
                <w:rFonts w:cs="Arial"/>
                <w:sz w:val="18"/>
                <w:szCs w:val="18"/>
              </w:rPr>
            </w:pPr>
            <w:r>
              <w:rPr>
                <w:rFonts w:cs="Arial"/>
                <w:sz w:val="18"/>
                <w:szCs w:val="18"/>
              </w:rPr>
              <w:t>GST receivable from the Australian Taxation Office</w:t>
            </w:r>
          </w:p>
        </w:tc>
        <w:tc>
          <w:tcPr>
            <w:tcW w:w="1286" w:type="dxa"/>
            <w:tcBorders>
              <w:top w:val="nil"/>
              <w:left w:val="nil"/>
              <w:bottom w:val="nil"/>
              <w:right w:val="nil"/>
            </w:tcBorders>
            <w:shd w:val="clear" w:color="000000" w:fill="D9D9D9"/>
            <w:noWrap/>
            <w:vAlign w:val="bottom"/>
            <w:hideMark/>
          </w:tcPr>
          <w:p w14:paraId="0A721252" w14:textId="77777777" w:rsidR="00AB6753" w:rsidRDefault="00AB6753" w:rsidP="002D1EA4">
            <w:pPr>
              <w:spacing w:after="0"/>
              <w:ind w:left="-113"/>
              <w:jc w:val="right"/>
              <w:rPr>
                <w:rFonts w:cs="Arial"/>
                <w:b/>
                <w:bCs/>
                <w:sz w:val="18"/>
                <w:szCs w:val="18"/>
              </w:rPr>
            </w:pPr>
            <w:r>
              <w:rPr>
                <w:rFonts w:cs="Arial"/>
                <w:b/>
                <w:bCs/>
                <w:sz w:val="18"/>
                <w:szCs w:val="18"/>
              </w:rPr>
              <w:t>16,781</w:t>
            </w:r>
          </w:p>
        </w:tc>
        <w:tc>
          <w:tcPr>
            <w:tcW w:w="273" w:type="dxa"/>
            <w:tcBorders>
              <w:top w:val="nil"/>
              <w:left w:val="nil"/>
              <w:bottom w:val="nil"/>
              <w:right w:val="nil"/>
            </w:tcBorders>
            <w:shd w:val="clear" w:color="000000" w:fill="D9D9D9"/>
            <w:noWrap/>
            <w:vAlign w:val="bottom"/>
            <w:hideMark/>
          </w:tcPr>
          <w:p w14:paraId="55358C0F"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024B051A" w14:textId="77777777" w:rsidR="00AB6753" w:rsidRDefault="00AB6753" w:rsidP="002D1EA4">
            <w:pPr>
              <w:spacing w:after="0"/>
              <w:ind w:left="-113"/>
              <w:jc w:val="right"/>
              <w:rPr>
                <w:rFonts w:cs="Arial"/>
                <w:sz w:val="18"/>
                <w:szCs w:val="18"/>
              </w:rPr>
            </w:pPr>
            <w:r>
              <w:rPr>
                <w:rFonts w:cs="Arial"/>
                <w:sz w:val="18"/>
                <w:szCs w:val="18"/>
              </w:rPr>
              <w:t>13,453</w:t>
            </w:r>
          </w:p>
        </w:tc>
      </w:tr>
      <w:tr w:rsidR="00AB6753" w14:paraId="1A81AB51" w14:textId="77777777" w:rsidTr="002D1EA4">
        <w:trPr>
          <w:trHeight w:val="255"/>
        </w:trPr>
        <w:tc>
          <w:tcPr>
            <w:tcW w:w="6566" w:type="dxa"/>
            <w:tcBorders>
              <w:top w:val="nil"/>
              <w:left w:val="nil"/>
              <w:bottom w:val="nil"/>
              <w:right w:val="nil"/>
            </w:tcBorders>
            <w:shd w:val="clear" w:color="000000" w:fill="D9D9D9"/>
            <w:noWrap/>
            <w:vAlign w:val="bottom"/>
            <w:hideMark/>
          </w:tcPr>
          <w:p w14:paraId="52060CE8" w14:textId="77777777" w:rsidR="00AB6753" w:rsidRDefault="00AB6753" w:rsidP="002D1EA4">
            <w:pPr>
              <w:spacing w:after="0"/>
              <w:ind w:left="-113" w:firstLineChars="100" w:firstLine="180"/>
              <w:rPr>
                <w:rFonts w:cs="Arial"/>
                <w:sz w:val="18"/>
                <w:szCs w:val="18"/>
              </w:rPr>
            </w:pPr>
            <w:r>
              <w:rPr>
                <w:rFonts w:cs="Arial"/>
                <w:sz w:val="18"/>
                <w:szCs w:val="18"/>
              </w:rPr>
              <w:t>Rendering of services</w:t>
            </w:r>
          </w:p>
        </w:tc>
        <w:tc>
          <w:tcPr>
            <w:tcW w:w="1286" w:type="dxa"/>
            <w:tcBorders>
              <w:top w:val="nil"/>
              <w:left w:val="nil"/>
              <w:bottom w:val="nil"/>
              <w:right w:val="nil"/>
            </w:tcBorders>
            <w:shd w:val="clear" w:color="000000" w:fill="D9D9D9"/>
            <w:noWrap/>
            <w:vAlign w:val="bottom"/>
            <w:hideMark/>
          </w:tcPr>
          <w:p w14:paraId="4D2A07D5" w14:textId="77777777" w:rsidR="00AB6753" w:rsidRDefault="00AB6753" w:rsidP="002D1EA4">
            <w:pPr>
              <w:spacing w:after="0"/>
              <w:ind w:left="-113"/>
              <w:jc w:val="right"/>
              <w:rPr>
                <w:rFonts w:cs="Arial"/>
                <w:b/>
                <w:bCs/>
                <w:sz w:val="18"/>
                <w:szCs w:val="18"/>
              </w:rPr>
            </w:pPr>
            <w:r>
              <w:rPr>
                <w:rFonts w:cs="Arial"/>
                <w:b/>
                <w:bCs/>
                <w:sz w:val="18"/>
                <w:szCs w:val="18"/>
              </w:rPr>
              <w:t>9,341</w:t>
            </w:r>
          </w:p>
        </w:tc>
        <w:tc>
          <w:tcPr>
            <w:tcW w:w="273" w:type="dxa"/>
            <w:tcBorders>
              <w:top w:val="nil"/>
              <w:left w:val="nil"/>
              <w:bottom w:val="nil"/>
              <w:right w:val="nil"/>
            </w:tcBorders>
            <w:shd w:val="clear" w:color="000000" w:fill="D9D9D9"/>
            <w:noWrap/>
            <w:vAlign w:val="bottom"/>
            <w:hideMark/>
          </w:tcPr>
          <w:p w14:paraId="607B5144"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75E98434" w14:textId="77777777" w:rsidR="00AB6753" w:rsidRDefault="00AB6753" w:rsidP="002D1EA4">
            <w:pPr>
              <w:spacing w:after="0"/>
              <w:ind w:left="-113"/>
              <w:jc w:val="right"/>
              <w:rPr>
                <w:rFonts w:cs="Arial"/>
                <w:sz w:val="18"/>
                <w:szCs w:val="18"/>
              </w:rPr>
            </w:pPr>
            <w:r>
              <w:rPr>
                <w:rFonts w:cs="Arial"/>
                <w:sz w:val="18"/>
                <w:szCs w:val="18"/>
              </w:rPr>
              <w:t>-</w:t>
            </w:r>
          </w:p>
        </w:tc>
      </w:tr>
      <w:tr w:rsidR="00AB6753" w14:paraId="63D82A12" w14:textId="77777777" w:rsidTr="002D1EA4">
        <w:trPr>
          <w:trHeight w:val="255"/>
        </w:trPr>
        <w:tc>
          <w:tcPr>
            <w:tcW w:w="6566" w:type="dxa"/>
            <w:tcBorders>
              <w:top w:val="nil"/>
              <w:left w:val="nil"/>
              <w:bottom w:val="nil"/>
              <w:right w:val="nil"/>
            </w:tcBorders>
            <w:shd w:val="clear" w:color="000000" w:fill="D9D9D9"/>
            <w:noWrap/>
            <w:vAlign w:val="bottom"/>
            <w:hideMark/>
          </w:tcPr>
          <w:p w14:paraId="7B95EF9B" w14:textId="77777777" w:rsidR="00AB6753" w:rsidRDefault="00AB6753" w:rsidP="002D1EA4">
            <w:pPr>
              <w:spacing w:after="0"/>
              <w:ind w:left="-113" w:firstLineChars="100" w:firstLine="180"/>
              <w:rPr>
                <w:rFonts w:cs="Arial"/>
                <w:sz w:val="18"/>
                <w:szCs w:val="18"/>
              </w:rPr>
            </w:pPr>
            <w:r>
              <w:rPr>
                <w:rFonts w:cs="Arial"/>
                <w:sz w:val="18"/>
                <w:szCs w:val="18"/>
              </w:rPr>
              <w:t>Other receivables</w:t>
            </w:r>
          </w:p>
        </w:tc>
        <w:tc>
          <w:tcPr>
            <w:tcW w:w="1286" w:type="dxa"/>
            <w:tcBorders>
              <w:top w:val="nil"/>
              <w:left w:val="nil"/>
              <w:bottom w:val="nil"/>
              <w:right w:val="nil"/>
            </w:tcBorders>
            <w:shd w:val="clear" w:color="000000" w:fill="D9D9D9"/>
            <w:noWrap/>
            <w:vAlign w:val="bottom"/>
            <w:hideMark/>
          </w:tcPr>
          <w:p w14:paraId="4215FB74" w14:textId="77777777" w:rsidR="00AB6753" w:rsidRDefault="00AB6753" w:rsidP="002D1EA4">
            <w:pPr>
              <w:spacing w:after="0"/>
              <w:ind w:left="-113"/>
              <w:jc w:val="right"/>
              <w:rPr>
                <w:rFonts w:cs="Arial"/>
                <w:b/>
                <w:bCs/>
                <w:sz w:val="18"/>
                <w:szCs w:val="18"/>
              </w:rPr>
            </w:pPr>
            <w:r>
              <w:rPr>
                <w:rFonts w:cs="Arial"/>
                <w:b/>
                <w:bCs/>
                <w:sz w:val="18"/>
                <w:szCs w:val="18"/>
              </w:rPr>
              <w:t>1,373</w:t>
            </w:r>
          </w:p>
        </w:tc>
        <w:tc>
          <w:tcPr>
            <w:tcW w:w="273" w:type="dxa"/>
            <w:tcBorders>
              <w:top w:val="nil"/>
              <w:left w:val="nil"/>
              <w:bottom w:val="nil"/>
              <w:right w:val="nil"/>
            </w:tcBorders>
            <w:shd w:val="clear" w:color="000000" w:fill="D9D9D9"/>
            <w:noWrap/>
            <w:vAlign w:val="bottom"/>
            <w:hideMark/>
          </w:tcPr>
          <w:p w14:paraId="605C6B94"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5497EFD2" w14:textId="77777777" w:rsidR="00AB6753" w:rsidRDefault="00AB6753" w:rsidP="002D1EA4">
            <w:pPr>
              <w:spacing w:after="0"/>
              <w:ind w:left="-113"/>
              <w:jc w:val="right"/>
              <w:rPr>
                <w:rFonts w:cs="Arial"/>
                <w:sz w:val="18"/>
                <w:szCs w:val="18"/>
              </w:rPr>
            </w:pPr>
            <w:r>
              <w:rPr>
                <w:rFonts w:cs="Arial"/>
                <w:sz w:val="18"/>
                <w:szCs w:val="18"/>
              </w:rPr>
              <w:t>24,929</w:t>
            </w:r>
          </w:p>
        </w:tc>
      </w:tr>
      <w:tr w:rsidR="00AB6753" w14:paraId="3DCC3A46" w14:textId="77777777" w:rsidTr="002D1EA4">
        <w:trPr>
          <w:trHeight w:val="255"/>
        </w:trPr>
        <w:tc>
          <w:tcPr>
            <w:tcW w:w="6566" w:type="dxa"/>
            <w:tcBorders>
              <w:top w:val="single" w:sz="4" w:space="0" w:color="D9D9D9"/>
              <w:left w:val="nil"/>
              <w:bottom w:val="single" w:sz="4" w:space="0" w:color="D9D9D9"/>
              <w:right w:val="nil"/>
            </w:tcBorders>
            <w:shd w:val="clear" w:color="000000" w:fill="D9D9D9"/>
            <w:vAlign w:val="bottom"/>
            <w:hideMark/>
          </w:tcPr>
          <w:p w14:paraId="76D2EC1F" w14:textId="77777777" w:rsidR="00AB6753" w:rsidRDefault="00AB6753" w:rsidP="002D1EA4">
            <w:pPr>
              <w:spacing w:after="0"/>
              <w:ind w:left="-113"/>
              <w:rPr>
                <w:rFonts w:cs="Arial"/>
                <w:b/>
                <w:bCs/>
                <w:sz w:val="18"/>
                <w:szCs w:val="18"/>
              </w:rPr>
            </w:pPr>
            <w:r>
              <w:rPr>
                <w:rFonts w:cs="Arial"/>
                <w:b/>
                <w:bCs/>
                <w:sz w:val="18"/>
                <w:szCs w:val="18"/>
              </w:rPr>
              <w:t>Total other receivables (gross)</w:t>
            </w:r>
          </w:p>
        </w:tc>
        <w:tc>
          <w:tcPr>
            <w:tcW w:w="1286" w:type="dxa"/>
            <w:tcBorders>
              <w:top w:val="single" w:sz="4" w:space="0" w:color="auto"/>
              <w:left w:val="nil"/>
              <w:bottom w:val="single" w:sz="4" w:space="0" w:color="auto"/>
              <w:right w:val="nil"/>
            </w:tcBorders>
            <w:shd w:val="clear" w:color="000000" w:fill="D9D9D9"/>
            <w:noWrap/>
            <w:vAlign w:val="bottom"/>
            <w:hideMark/>
          </w:tcPr>
          <w:p w14:paraId="14B95D92" w14:textId="77777777" w:rsidR="00AB6753" w:rsidRDefault="00AB6753" w:rsidP="002D1EA4">
            <w:pPr>
              <w:spacing w:after="0"/>
              <w:ind w:left="-113"/>
              <w:jc w:val="right"/>
              <w:rPr>
                <w:rFonts w:cs="Arial"/>
                <w:b/>
                <w:bCs/>
                <w:sz w:val="18"/>
                <w:szCs w:val="18"/>
              </w:rPr>
            </w:pPr>
            <w:r>
              <w:rPr>
                <w:rFonts w:cs="Arial"/>
                <w:b/>
                <w:bCs/>
                <w:sz w:val="18"/>
                <w:szCs w:val="18"/>
              </w:rPr>
              <w:t>172,083</w:t>
            </w:r>
          </w:p>
        </w:tc>
        <w:tc>
          <w:tcPr>
            <w:tcW w:w="273" w:type="dxa"/>
            <w:tcBorders>
              <w:top w:val="single" w:sz="4" w:space="0" w:color="D9D9D9"/>
              <w:left w:val="nil"/>
              <w:bottom w:val="single" w:sz="4" w:space="0" w:color="D9D9D9"/>
              <w:right w:val="nil"/>
            </w:tcBorders>
            <w:shd w:val="clear" w:color="000000" w:fill="D9D9D9"/>
            <w:noWrap/>
            <w:vAlign w:val="bottom"/>
            <w:hideMark/>
          </w:tcPr>
          <w:p w14:paraId="26476AB4"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single" w:sz="4" w:space="0" w:color="auto"/>
              <w:left w:val="nil"/>
              <w:bottom w:val="single" w:sz="4" w:space="0" w:color="auto"/>
              <w:right w:val="nil"/>
            </w:tcBorders>
            <w:shd w:val="clear" w:color="000000" w:fill="D9D9D9"/>
            <w:noWrap/>
            <w:vAlign w:val="bottom"/>
            <w:hideMark/>
          </w:tcPr>
          <w:p w14:paraId="1CD54BDE" w14:textId="77777777" w:rsidR="00AB6753" w:rsidRDefault="00AB6753" w:rsidP="002D1EA4">
            <w:pPr>
              <w:spacing w:after="0"/>
              <w:ind w:left="-113"/>
              <w:jc w:val="right"/>
              <w:rPr>
                <w:rFonts w:cs="Arial"/>
                <w:sz w:val="18"/>
                <w:szCs w:val="18"/>
              </w:rPr>
            </w:pPr>
            <w:r>
              <w:rPr>
                <w:rFonts w:cs="Arial"/>
                <w:sz w:val="18"/>
                <w:szCs w:val="18"/>
              </w:rPr>
              <w:t>38,382</w:t>
            </w:r>
          </w:p>
        </w:tc>
      </w:tr>
      <w:tr w:rsidR="00AB6753" w14:paraId="04733772" w14:textId="77777777" w:rsidTr="002D1EA4">
        <w:trPr>
          <w:trHeight w:val="327"/>
        </w:trPr>
        <w:tc>
          <w:tcPr>
            <w:tcW w:w="6566" w:type="dxa"/>
            <w:tcBorders>
              <w:top w:val="nil"/>
              <w:left w:val="nil"/>
              <w:bottom w:val="single" w:sz="4" w:space="0" w:color="D9D9D9"/>
              <w:right w:val="nil"/>
            </w:tcBorders>
            <w:shd w:val="clear" w:color="000000" w:fill="D9D9D9"/>
            <w:vAlign w:val="bottom"/>
            <w:hideMark/>
          </w:tcPr>
          <w:p w14:paraId="5EE452DD" w14:textId="77777777" w:rsidR="00AB6753" w:rsidRDefault="00AB6753" w:rsidP="002D1EA4">
            <w:pPr>
              <w:spacing w:after="0"/>
              <w:ind w:left="-113"/>
              <w:rPr>
                <w:rFonts w:cs="Arial"/>
                <w:b/>
                <w:bCs/>
                <w:sz w:val="18"/>
                <w:szCs w:val="18"/>
              </w:rPr>
            </w:pPr>
            <w:r>
              <w:rPr>
                <w:rFonts w:cs="Arial"/>
                <w:b/>
                <w:bCs/>
                <w:sz w:val="18"/>
                <w:szCs w:val="18"/>
              </w:rPr>
              <w:t>Total receivables</w:t>
            </w:r>
          </w:p>
        </w:tc>
        <w:tc>
          <w:tcPr>
            <w:tcW w:w="1286" w:type="dxa"/>
            <w:tcBorders>
              <w:top w:val="nil"/>
              <w:left w:val="nil"/>
              <w:bottom w:val="single" w:sz="4" w:space="0" w:color="auto"/>
              <w:right w:val="nil"/>
            </w:tcBorders>
            <w:shd w:val="clear" w:color="000000" w:fill="D9D9D9"/>
            <w:noWrap/>
            <w:vAlign w:val="bottom"/>
            <w:hideMark/>
          </w:tcPr>
          <w:p w14:paraId="784BD467" w14:textId="77777777" w:rsidR="00AB6753" w:rsidRDefault="00AB6753" w:rsidP="002D1EA4">
            <w:pPr>
              <w:spacing w:after="0"/>
              <w:ind w:left="-113"/>
              <w:jc w:val="right"/>
              <w:rPr>
                <w:rFonts w:cs="Arial"/>
                <w:b/>
                <w:bCs/>
                <w:sz w:val="18"/>
                <w:szCs w:val="18"/>
              </w:rPr>
            </w:pPr>
            <w:r>
              <w:rPr>
                <w:rFonts w:cs="Arial"/>
                <w:b/>
                <w:bCs/>
                <w:sz w:val="18"/>
                <w:szCs w:val="18"/>
              </w:rPr>
              <w:t>6,989,194</w:t>
            </w:r>
          </w:p>
        </w:tc>
        <w:tc>
          <w:tcPr>
            <w:tcW w:w="273" w:type="dxa"/>
            <w:tcBorders>
              <w:top w:val="nil"/>
              <w:left w:val="nil"/>
              <w:bottom w:val="single" w:sz="4" w:space="0" w:color="D9D9D9"/>
              <w:right w:val="nil"/>
            </w:tcBorders>
            <w:shd w:val="clear" w:color="000000" w:fill="D9D9D9"/>
            <w:noWrap/>
            <w:vAlign w:val="bottom"/>
            <w:hideMark/>
          </w:tcPr>
          <w:p w14:paraId="102077BF"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single" w:sz="4" w:space="0" w:color="auto"/>
              <w:right w:val="nil"/>
            </w:tcBorders>
            <w:shd w:val="clear" w:color="000000" w:fill="D9D9D9"/>
            <w:noWrap/>
            <w:vAlign w:val="bottom"/>
            <w:hideMark/>
          </w:tcPr>
          <w:p w14:paraId="489E8578" w14:textId="77777777" w:rsidR="00AB6753" w:rsidRDefault="00AB6753" w:rsidP="002D1EA4">
            <w:pPr>
              <w:spacing w:after="0"/>
              <w:ind w:left="-113"/>
              <w:jc w:val="right"/>
              <w:rPr>
                <w:rFonts w:cs="Arial"/>
                <w:sz w:val="18"/>
                <w:szCs w:val="18"/>
              </w:rPr>
            </w:pPr>
            <w:r>
              <w:rPr>
                <w:rFonts w:cs="Arial"/>
                <w:sz w:val="18"/>
                <w:szCs w:val="18"/>
              </w:rPr>
              <w:t>6,386,442</w:t>
            </w:r>
          </w:p>
        </w:tc>
      </w:tr>
      <w:tr w:rsidR="00AB6753" w14:paraId="0D524167" w14:textId="77777777" w:rsidTr="002D1EA4">
        <w:trPr>
          <w:trHeight w:val="255"/>
        </w:trPr>
        <w:tc>
          <w:tcPr>
            <w:tcW w:w="6566" w:type="dxa"/>
            <w:tcBorders>
              <w:top w:val="nil"/>
              <w:left w:val="nil"/>
              <w:bottom w:val="nil"/>
              <w:right w:val="nil"/>
            </w:tcBorders>
            <w:shd w:val="clear" w:color="000000" w:fill="D9D9D9"/>
            <w:vAlign w:val="bottom"/>
            <w:hideMark/>
          </w:tcPr>
          <w:p w14:paraId="5322C4A3" w14:textId="77777777" w:rsidR="00AB6753" w:rsidRDefault="00AB6753" w:rsidP="002D1EA4">
            <w:pPr>
              <w:spacing w:after="0"/>
              <w:ind w:left="-113"/>
              <w:rPr>
                <w:rFonts w:cs="Arial"/>
                <w:b/>
                <w:bCs/>
                <w:sz w:val="18"/>
                <w:szCs w:val="18"/>
              </w:rPr>
            </w:pPr>
            <w:r>
              <w:rPr>
                <w:rFonts w:cs="Arial"/>
                <w:b/>
                <w:bCs/>
                <w:sz w:val="18"/>
                <w:szCs w:val="18"/>
              </w:rPr>
              <w:t>Less impairment loss allowance:</w:t>
            </w:r>
          </w:p>
        </w:tc>
        <w:tc>
          <w:tcPr>
            <w:tcW w:w="1286" w:type="dxa"/>
            <w:tcBorders>
              <w:top w:val="nil"/>
              <w:left w:val="nil"/>
              <w:bottom w:val="nil"/>
              <w:right w:val="nil"/>
            </w:tcBorders>
            <w:shd w:val="clear" w:color="000000" w:fill="D9D9D9"/>
            <w:noWrap/>
            <w:vAlign w:val="bottom"/>
            <w:hideMark/>
          </w:tcPr>
          <w:p w14:paraId="77DE9234" w14:textId="77777777" w:rsidR="00AB6753" w:rsidRDefault="00AB6753" w:rsidP="002D1EA4">
            <w:pPr>
              <w:spacing w:after="0"/>
              <w:ind w:left="-113"/>
              <w:rPr>
                <w:rFonts w:cs="Arial"/>
                <w:sz w:val="16"/>
                <w:szCs w:val="16"/>
              </w:rPr>
            </w:pPr>
            <w:r>
              <w:rPr>
                <w:rFonts w:cs="Arial"/>
                <w:sz w:val="16"/>
                <w:szCs w:val="16"/>
              </w:rPr>
              <w:t> </w:t>
            </w:r>
          </w:p>
        </w:tc>
        <w:tc>
          <w:tcPr>
            <w:tcW w:w="273" w:type="dxa"/>
            <w:tcBorders>
              <w:top w:val="nil"/>
              <w:left w:val="nil"/>
              <w:bottom w:val="nil"/>
              <w:right w:val="nil"/>
            </w:tcBorders>
            <w:shd w:val="clear" w:color="000000" w:fill="D9D9D9"/>
            <w:noWrap/>
            <w:vAlign w:val="bottom"/>
            <w:hideMark/>
          </w:tcPr>
          <w:p w14:paraId="309BD1CC"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64CC5127" w14:textId="77777777" w:rsidR="00AB6753" w:rsidRDefault="00AB6753" w:rsidP="002D1EA4">
            <w:pPr>
              <w:spacing w:after="0"/>
              <w:ind w:left="-113"/>
              <w:rPr>
                <w:rFonts w:cs="Arial"/>
                <w:sz w:val="16"/>
                <w:szCs w:val="16"/>
              </w:rPr>
            </w:pPr>
            <w:r>
              <w:rPr>
                <w:rFonts w:cs="Arial"/>
                <w:sz w:val="16"/>
                <w:szCs w:val="16"/>
              </w:rPr>
              <w:t> </w:t>
            </w:r>
          </w:p>
        </w:tc>
      </w:tr>
      <w:tr w:rsidR="00AB6753" w14:paraId="65DE17E9" w14:textId="77777777" w:rsidTr="002D1EA4">
        <w:trPr>
          <w:trHeight w:val="270"/>
        </w:trPr>
        <w:tc>
          <w:tcPr>
            <w:tcW w:w="6566" w:type="dxa"/>
            <w:tcBorders>
              <w:top w:val="nil"/>
              <w:left w:val="nil"/>
              <w:bottom w:val="nil"/>
              <w:right w:val="nil"/>
            </w:tcBorders>
            <w:shd w:val="clear" w:color="000000" w:fill="D9D9D9"/>
            <w:noWrap/>
            <w:vAlign w:val="bottom"/>
            <w:hideMark/>
          </w:tcPr>
          <w:p w14:paraId="27A3C60A" w14:textId="77777777" w:rsidR="00AB6753" w:rsidRDefault="00AB6753" w:rsidP="002D1EA4">
            <w:pPr>
              <w:spacing w:after="0"/>
              <w:ind w:left="-113" w:firstLineChars="100" w:firstLine="180"/>
              <w:rPr>
                <w:rFonts w:cs="Arial"/>
                <w:sz w:val="18"/>
                <w:szCs w:val="18"/>
              </w:rPr>
            </w:pPr>
            <w:r>
              <w:rPr>
                <w:rFonts w:cs="Arial"/>
                <w:sz w:val="18"/>
                <w:szCs w:val="18"/>
              </w:rPr>
              <w:t>Personal benefits</w:t>
            </w:r>
          </w:p>
        </w:tc>
        <w:tc>
          <w:tcPr>
            <w:tcW w:w="1286" w:type="dxa"/>
            <w:tcBorders>
              <w:top w:val="nil"/>
              <w:left w:val="nil"/>
              <w:bottom w:val="nil"/>
              <w:right w:val="nil"/>
            </w:tcBorders>
            <w:shd w:val="clear" w:color="000000" w:fill="D9D9D9"/>
            <w:noWrap/>
            <w:vAlign w:val="bottom"/>
            <w:hideMark/>
          </w:tcPr>
          <w:p w14:paraId="50F13B42" w14:textId="77777777" w:rsidR="00AB6753" w:rsidRDefault="00AB6753" w:rsidP="002D1EA4">
            <w:pPr>
              <w:spacing w:after="0"/>
              <w:ind w:left="-113"/>
              <w:jc w:val="right"/>
              <w:rPr>
                <w:rFonts w:cs="Arial"/>
                <w:b/>
                <w:bCs/>
                <w:sz w:val="18"/>
                <w:szCs w:val="18"/>
              </w:rPr>
            </w:pPr>
            <w:r>
              <w:rPr>
                <w:rFonts w:cs="Arial"/>
                <w:b/>
                <w:bCs/>
                <w:sz w:val="18"/>
                <w:szCs w:val="18"/>
              </w:rPr>
              <w:t>(2,281,998)</w:t>
            </w:r>
          </w:p>
        </w:tc>
        <w:tc>
          <w:tcPr>
            <w:tcW w:w="273" w:type="dxa"/>
            <w:tcBorders>
              <w:top w:val="nil"/>
              <w:left w:val="nil"/>
              <w:bottom w:val="nil"/>
              <w:right w:val="nil"/>
            </w:tcBorders>
            <w:shd w:val="clear" w:color="000000" w:fill="D9D9D9"/>
            <w:noWrap/>
            <w:vAlign w:val="bottom"/>
            <w:hideMark/>
          </w:tcPr>
          <w:p w14:paraId="517B33B5"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7E7B93B2" w14:textId="77777777" w:rsidR="00AB6753" w:rsidRDefault="00AB6753" w:rsidP="002D1EA4">
            <w:pPr>
              <w:spacing w:after="0"/>
              <w:ind w:left="-113"/>
              <w:jc w:val="right"/>
              <w:rPr>
                <w:rFonts w:cs="Arial"/>
                <w:sz w:val="18"/>
                <w:szCs w:val="18"/>
              </w:rPr>
            </w:pPr>
            <w:r>
              <w:rPr>
                <w:rFonts w:cs="Arial"/>
                <w:sz w:val="18"/>
                <w:szCs w:val="18"/>
              </w:rPr>
              <w:t>(1,834,918)</w:t>
            </w:r>
          </w:p>
        </w:tc>
      </w:tr>
      <w:tr w:rsidR="00AB6753" w14:paraId="6DA255D8" w14:textId="77777777" w:rsidTr="002D1EA4">
        <w:trPr>
          <w:trHeight w:val="255"/>
        </w:trPr>
        <w:tc>
          <w:tcPr>
            <w:tcW w:w="6566" w:type="dxa"/>
            <w:tcBorders>
              <w:top w:val="nil"/>
              <w:left w:val="nil"/>
              <w:bottom w:val="nil"/>
              <w:right w:val="nil"/>
            </w:tcBorders>
            <w:shd w:val="clear" w:color="000000" w:fill="D9D9D9"/>
            <w:noWrap/>
            <w:vAlign w:val="bottom"/>
            <w:hideMark/>
          </w:tcPr>
          <w:p w14:paraId="1448366A" w14:textId="77777777" w:rsidR="00AB6753" w:rsidRDefault="00AB6753" w:rsidP="002D1EA4">
            <w:pPr>
              <w:spacing w:after="0"/>
              <w:ind w:left="-113" w:firstLineChars="100" w:firstLine="180"/>
              <w:rPr>
                <w:rFonts w:cs="Arial"/>
                <w:sz w:val="18"/>
                <w:szCs w:val="18"/>
              </w:rPr>
            </w:pPr>
            <w:r>
              <w:rPr>
                <w:rFonts w:cs="Arial"/>
                <w:sz w:val="18"/>
                <w:szCs w:val="18"/>
              </w:rPr>
              <w:t>Other</w:t>
            </w:r>
          </w:p>
        </w:tc>
        <w:tc>
          <w:tcPr>
            <w:tcW w:w="1286" w:type="dxa"/>
            <w:tcBorders>
              <w:top w:val="nil"/>
              <w:left w:val="nil"/>
              <w:bottom w:val="nil"/>
              <w:right w:val="nil"/>
            </w:tcBorders>
            <w:shd w:val="clear" w:color="000000" w:fill="D9D9D9"/>
            <w:noWrap/>
            <w:vAlign w:val="bottom"/>
            <w:hideMark/>
          </w:tcPr>
          <w:p w14:paraId="315C4225" w14:textId="77777777" w:rsidR="00AB6753" w:rsidRDefault="00AB6753" w:rsidP="002D1EA4">
            <w:pPr>
              <w:spacing w:after="0"/>
              <w:ind w:left="-113"/>
              <w:jc w:val="right"/>
              <w:rPr>
                <w:rFonts w:cs="Arial"/>
                <w:b/>
                <w:bCs/>
                <w:sz w:val="18"/>
                <w:szCs w:val="18"/>
              </w:rPr>
            </w:pPr>
            <w:r>
              <w:rPr>
                <w:rFonts w:cs="Arial"/>
                <w:b/>
                <w:bCs/>
                <w:sz w:val="18"/>
                <w:szCs w:val="18"/>
              </w:rPr>
              <w:t>(850)</w:t>
            </w:r>
          </w:p>
        </w:tc>
        <w:tc>
          <w:tcPr>
            <w:tcW w:w="273" w:type="dxa"/>
            <w:tcBorders>
              <w:top w:val="nil"/>
              <w:left w:val="nil"/>
              <w:bottom w:val="nil"/>
              <w:right w:val="nil"/>
            </w:tcBorders>
            <w:shd w:val="clear" w:color="000000" w:fill="D9D9D9"/>
            <w:noWrap/>
            <w:vAlign w:val="bottom"/>
            <w:hideMark/>
          </w:tcPr>
          <w:p w14:paraId="3B6263C7"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489A9711" w14:textId="77777777" w:rsidR="00AB6753" w:rsidRDefault="00AB6753" w:rsidP="002D1EA4">
            <w:pPr>
              <w:spacing w:after="0"/>
              <w:ind w:left="-113"/>
              <w:jc w:val="right"/>
              <w:rPr>
                <w:rFonts w:cs="Arial"/>
                <w:sz w:val="18"/>
                <w:szCs w:val="18"/>
              </w:rPr>
            </w:pPr>
            <w:r>
              <w:rPr>
                <w:rFonts w:cs="Arial"/>
                <w:sz w:val="18"/>
                <w:szCs w:val="18"/>
              </w:rPr>
              <w:t>(908)</w:t>
            </w:r>
          </w:p>
        </w:tc>
      </w:tr>
      <w:tr w:rsidR="00AB6753" w14:paraId="5815BDB2" w14:textId="77777777" w:rsidTr="002D1EA4">
        <w:trPr>
          <w:trHeight w:val="255"/>
        </w:trPr>
        <w:tc>
          <w:tcPr>
            <w:tcW w:w="6566" w:type="dxa"/>
            <w:tcBorders>
              <w:top w:val="single" w:sz="4" w:space="0" w:color="D9D9D9"/>
              <w:left w:val="nil"/>
              <w:bottom w:val="single" w:sz="4" w:space="0" w:color="D9D9D9"/>
              <w:right w:val="nil"/>
            </w:tcBorders>
            <w:shd w:val="clear" w:color="000000" w:fill="D9D9D9"/>
            <w:vAlign w:val="bottom"/>
            <w:hideMark/>
          </w:tcPr>
          <w:p w14:paraId="07C4242D" w14:textId="77777777" w:rsidR="00AB6753" w:rsidRDefault="00AB6753" w:rsidP="002D1EA4">
            <w:pPr>
              <w:spacing w:after="0"/>
              <w:ind w:left="-113"/>
              <w:rPr>
                <w:rFonts w:cs="Arial"/>
                <w:b/>
                <w:bCs/>
                <w:sz w:val="18"/>
                <w:szCs w:val="18"/>
              </w:rPr>
            </w:pPr>
            <w:r>
              <w:rPr>
                <w:rFonts w:cs="Arial"/>
                <w:b/>
                <w:bCs/>
                <w:sz w:val="18"/>
                <w:szCs w:val="18"/>
              </w:rPr>
              <w:t>Total impairment loss allowance</w:t>
            </w:r>
          </w:p>
        </w:tc>
        <w:tc>
          <w:tcPr>
            <w:tcW w:w="1286" w:type="dxa"/>
            <w:tcBorders>
              <w:top w:val="single" w:sz="4" w:space="0" w:color="auto"/>
              <w:left w:val="nil"/>
              <w:bottom w:val="single" w:sz="4" w:space="0" w:color="auto"/>
              <w:right w:val="nil"/>
            </w:tcBorders>
            <w:shd w:val="clear" w:color="000000" w:fill="D9D9D9"/>
            <w:noWrap/>
            <w:vAlign w:val="bottom"/>
            <w:hideMark/>
          </w:tcPr>
          <w:p w14:paraId="0AAC8A9F" w14:textId="77777777" w:rsidR="00AB6753" w:rsidRDefault="00AB6753" w:rsidP="002D1EA4">
            <w:pPr>
              <w:spacing w:after="0"/>
              <w:ind w:left="-113"/>
              <w:jc w:val="right"/>
              <w:rPr>
                <w:rFonts w:cs="Arial"/>
                <w:b/>
                <w:bCs/>
                <w:sz w:val="18"/>
                <w:szCs w:val="18"/>
              </w:rPr>
            </w:pPr>
            <w:r>
              <w:rPr>
                <w:rFonts w:cs="Arial"/>
                <w:b/>
                <w:bCs/>
                <w:sz w:val="18"/>
                <w:szCs w:val="18"/>
              </w:rPr>
              <w:t>(2,282,848)</w:t>
            </w:r>
          </w:p>
        </w:tc>
        <w:tc>
          <w:tcPr>
            <w:tcW w:w="273" w:type="dxa"/>
            <w:tcBorders>
              <w:top w:val="single" w:sz="4" w:space="0" w:color="D9D9D9"/>
              <w:left w:val="nil"/>
              <w:bottom w:val="single" w:sz="4" w:space="0" w:color="D9D9D9"/>
              <w:right w:val="nil"/>
            </w:tcBorders>
            <w:shd w:val="clear" w:color="000000" w:fill="D9D9D9"/>
            <w:noWrap/>
            <w:vAlign w:val="bottom"/>
            <w:hideMark/>
          </w:tcPr>
          <w:p w14:paraId="184EB90D"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single" w:sz="4" w:space="0" w:color="auto"/>
              <w:left w:val="nil"/>
              <w:bottom w:val="single" w:sz="4" w:space="0" w:color="auto"/>
              <w:right w:val="nil"/>
            </w:tcBorders>
            <w:shd w:val="clear" w:color="000000" w:fill="D9D9D9"/>
            <w:noWrap/>
            <w:vAlign w:val="bottom"/>
            <w:hideMark/>
          </w:tcPr>
          <w:p w14:paraId="1F1DDF8C" w14:textId="77777777" w:rsidR="00AB6753" w:rsidRDefault="00AB6753" w:rsidP="002D1EA4">
            <w:pPr>
              <w:spacing w:after="0"/>
              <w:ind w:left="-113"/>
              <w:jc w:val="right"/>
              <w:rPr>
                <w:rFonts w:cs="Arial"/>
                <w:sz w:val="18"/>
                <w:szCs w:val="18"/>
              </w:rPr>
            </w:pPr>
            <w:r>
              <w:rPr>
                <w:rFonts w:cs="Arial"/>
                <w:sz w:val="18"/>
                <w:szCs w:val="18"/>
              </w:rPr>
              <w:t>(1,835,826)</w:t>
            </w:r>
          </w:p>
        </w:tc>
      </w:tr>
      <w:tr w:rsidR="00AB6753" w14:paraId="6009692F" w14:textId="77777777" w:rsidTr="002D1EA4">
        <w:trPr>
          <w:trHeight w:val="255"/>
        </w:trPr>
        <w:tc>
          <w:tcPr>
            <w:tcW w:w="6566" w:type="dxa"/>
            <w:tcBorders>
              <w:top w:val="nil"/>
              <w:left w:val="nil"/>
              <w:bottom w:val="single" w:sz="4" w:space="0" w:color="D9D9D9"/>
              <w:right w:val="nil"/>
            </w:tcBorders>
            <w:shd w:val="clear" w:color="000000" w:fill="D9D9D9"/>
            <w:vAlign w:val="bottom"/>
            <w:hideMark/>
          </w:tcPr>
          <w:p w14:paraId="551B4C93" w14:textId="77777777" w:rsidR="00AB6753" w:rsidRDefault="00AB6753" w:rsidP="002D1EA4">
            <w:pPr>
              <w:spacing w:after="0"/>
              <w:ind w:left="-113"/>
              <w:rPr>
                <w:rFonts w:cs="Arial"/>
                <w:b/>
                <w:bCs/>
                <w:sz w:val="18"/>
                <w:szCs w:val="18"/>
              </w:rPr>
            </w:pPr>
            <w:r>
              <w:rPr>
                <w:rFonts w:cs="Arial"/>
                <w:b/>
                <w:bCs/>
                <w:sz w:val="18"/>
                <w:szCs w:val="18"/>
              </w:rPr>
              <w:t>Total receivables (net)</w:t>
            </w:r>
          </w:p>
        </w:tc>
        <w:tc>
          <w:tcPr>
            <w:tcW w:w="1286" w:type="dxa"/>
            <w:tcBorders>
              <w:top w:val="nil"/>
              <w:left w:val="nil"/>
              <w:bottom w:val="single" w:sz="4" w:space="0" w:color="auto"/>
              <w:right w:val="nil"/>
            </w:tcBorders>
            <w:shd w:val="clear" w:color="000000" w:fill="D9D9D9"/>
            <w:noWrap/>
            <w:vAlign w:val="bottom"/>
            <w:hideMark/>
          </w:tcPr>
          <w:p w14:paraId="1355875C" w14:textId="77777777" w:rsidR="00AB6753" w:rsidRDefault="00AB6753" w:rsidP="002D1EA4">
            <w:pPr>
              <w:spacing w:after="0"/>
              <w:ind w:left="-113"/>
              <w:jc w:val="right"/>
              <w:rPr>
                <w:rFonts w:cs="Arial"/>
                <w:b/>
                <w:bCs/>
                <w:sz w:val="18"/>
                <w:szCs w:val="18"/>
              </w:rPr>
            </w:pPr>
            <w:r>
              <w:rPr>
                <w:rFonts w:cs="Arial"/>
                <w:b/>
                <w:bCs/>
                <w:sz w:val="18"/>
                <w:szCs w:val="18"/>
              </w:rPr>
              <w:t>4,706,346</w:t>
            </w:r>
          </w:p>
        </w:tc>
        <w:tc>
          <w:tcPr>
            <w:tcW w:w="273" w:type="dxa"/>
            <w:tcBorders>
              <w:top w:val="nil"/>
              <w:left w:val="nil"/>
              <w:bottom w:val="single" w:sz="4" w:space="0" w:color="D9D9D9"/>
              <w:right w:val="nil"/>
            </w:tcBorders>
            <w:shd w:val="clear" w:color="000000" w:fill="D9D9D9"/>
            <w:noWrap/>
            <w:vAlign w:val="bottom"/>
            <w:hideMark/>
          </w:tcPr>
          <w:p w14:paraId="533693BC" w14:textId="77777777" w:rsidR="00AB6753" w:rsidRDefault="00AB6753" w:rsidP="002D1EA4">
            <w:pPr>
              <w:spacing w:after="0"/>
              <w:ind w:left="-113"/>
              <w:rPr>
                <w:rFonts w:cs="Arial"/>
                <w:sz w:val="16"/>
                <w:szCs w:val="16"/>
              </w:rPr>
            </w:pPr>
            <w:r>
              <w:rPr>
                <w:rFonts w:cs="Arial"/>
                <w:sz w:val="16"/>
                <w:szCs w:val="16"/>
              </w:rPr>
              <w:t> </w:t>
            </w:r>
          </w:p>
        </w:tc>
        <w:tc>
          <w:tcPr>
            <w:tcW w:w="1286" w:type="dxa"/>
            <w:tcBorders>
              <w:top w:val="nil"/>
              <w:left w:val="nil"/>
              <w:bottom w:val="single" w:sz="4" w:space="0" w:color="auto"/>
              <w:right w:val="nil"/>
            </w:tcBorders>
            <w:shd w:val="clear" w:color="000000" w:fill="D9D9D9"/>
            <w:noWrap/>
            <w:vAlign w:val="bottom"/>
            <w:hideMark/>
          </w:tcPr>
          <w:p w14:paraId="6FCE7FCA" w14:textId="77777777" w:rsidR="00AB6753" w:rsidRDefault="00AB6753" w:rsidP="002D1EA4">
            <w:pPr>
              <w:spacing w:after="0"/>
              <w:ind w:left="-113"/>
              <w:jc w:val="right"/>
              <w:rPr>
                <w:rFonts w:cs="Arial"/>
                <w:sz w:val="18"/>
                <w:szCs w:val="18"/>
              </w:rPr>
            </w:pPr>
            <w:r>
              <w:rPr>
                <w:rFonts w:cs="Arial"/>
                <w:sz w:val="18"/>
                <w:szCs w:val="18"/>
              </w:rPr>
              <w:t>4,550,616</w:t>
            </w:r>
          </w:p>
        </w:tc>
      </w:tr>
    </w:tbl>
    <w:p w14:paraId="64151334" w14:textId="77777777" w:rsidR="00AB6753" w:rsidRPr="00795601" w:rsidRDefault="00AB6753" w:rsidP="00AB6753">
      <w:pPr>
        <w:pStyle w:val="GreyShadeTableBreak"/>
        <w:ind w:left="142" w:right="0" w:firstLine="142"/>
        <w:rPr>
          <w:rFonts w:ascii="Arial" w:hAnsi="Arial" w:cs="Arial"/>
          <w:sz w:val="18"/>
          <w:szCs w:val="18"/>
        </w:rPr>
      </w:pPr>
    </w:p>
    <w:p w14:paraId="178E97A5" w14:textId="77777777" w:rsidR="00AB6753" w:rsidRPr="00795601" w:rsidRDefault="00AB6753" w:rsidP="00AB6753">
      <w:pPr>
        <w:pStyle w:val="GreyShadeTableBreak"/>
        <w:ind w:left="142" w:right="0"/>
        <w:rPr>
          <w:rFonts w:ascii="Arial" w:hAnsi="Arial" w:cs="Arial"/>
          <w:sz w:val="18"/>
          <w:szCs w:val="18"/>
        </w:rPr>
      </w:pPr>
      <w:r w:rsidRPr="00795601">
        <w:rPr>
          <w:rFonts w:ascii="Arial" w:hAnsi="Arial" w:cs="Arial"/>
          <w:sz w:val="18"/>
          <w:szCs w:val="18"/>
          <w:vertAlign w:val="superscript"/>
        </w:rPr>
        <w:t xml:space="preserve">1. </w:t>
      </w:r>
      <w:r w:rsidRPr="00795601">
        <w:rPr>
          <w:rFonts w:ascii="Arial" w:hAnsi="Arial" w:cs="Arial"/>
          <w:sz w:val="18"/>
          <w:szCs w:val="18"/>
        </w:rPr>
        <w:t>Special account cash balance details are disclosed in Note 5.2.</w:t>
      </w:r>
    </w:p>
    <w:p w14:paraId="545C620B" w14:textId="77777777" w:rsidR="00AB6753" w:rsidRPr="00523340" w:rsidRDefault="00AB6753" w:rsidP="00AB6753">
      <w:pPr>
        <w:pStyle w:val="GreyShadeTableBreak"/>
        <w:ind w:left="142" w:right="0"/>
      </w:pPr>
    </w:p>
    <w:p w14:paraId="772A164F" w14:textId="77777777" w:rsidR="00AB6753" w:rsidRPr="006C3263" w:rsidRDefault="00AB6753" w:rsidP="00AB6753">
      <w:pPr>
        <w:pStyle w:val="Policyheadingadmin0"/>
        <w:pBdr>
          <w:top w:val="single" w:sz="4" w:space="1" w:color="00B2BA"/>
          <w:left w:val="single" w:sz="4" w:space="0" w:color="00B2BA"/>
          <w:bottom w:val="single" w:sz="4" w:space="1" w:color="00B2BA"/>
          <w:right w:val="single" w:sz="4" w:space="0" w:color="00B2BA"/>
        </w:pBdr>
        <w:shd w:val="clear" w:color="auto" w:fill="CCF0F1"/>
        <w:ind w:left="142" w:right="11"/>
      </w:pPr>
      <w:r w:rsidRPr="002E576B">
        <w:t>Significant Accounting Judgements and Estimates</w:t>
      </w:r>
    </w:p>
    <w:p w14:paraId="24A6DE7F" w14:textId="77777777" w:rsidR="00AB6753" w:rsidRPr="00540D8E"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42" w:right="11"/>
      </w:pPr>
      <w:r w:rsidRPr="00540D8E">
        <w:t>Personal benefit payments</w:t>
      </w:r>
    </w:p>
    <w:p w14:paraId="30B2631D" w14:textId="77777777" w:rsidR="00AB6753" w:rsidRPr="00D10F4E"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42" w:right="11"/>
        <w:rPr>
          <w:i w:val="0"/>
          <w:u w:val="none"/>
        </w:rPr>
      </w:pPr>
      <w:r w:rsidRPr="00D10F4E">
        <w:rPr>
          <w:i w:val="0"/>
          <w:u w:val="none"/>
        </w:rPr>
        <w:t>At any point in time, there are a number of benefit recipients who have received a benefit in excess of their entitlement and owe money to the Commonwealth. The Australian Government Actuary (AGA) has provided advice on the likely level of debt recovery. In providing this advice, the AGA gives consideration to past economic, policy and process changes that have impacted on repayments to date</w:t>
      </w:r>
      <w:r>
        <w:rPr>
          <w:i w:val="0"/>
          <w:u w:val="none"/>
        </w:rPr>
        <w:t xml:space="preserve">, </w:t>
      </w:r>
      <w:r w:rsidRPr="0030422A">
        <w:rPr>
          <w:i w:val="0"/>
          <w:u w:val="none"/>
        </w:rPr>
        <w:t xml:space="preserve">the pausing of debt recovery activity as a policy response to </w:t>
      </w:r>
      <w:r>
        <w:rPr>
          <w:i w:val="0"/>
          <w:u w:val="none"/>
        </w:rPr>
        <w:t>COVID-19</w:t>
      </w:r>
      <w:r w:rsidRPr="00D10F4E">
        <w:rPr>
          <w:i w:val="0"/>
          <w:u w:val="none"/>
        </w:rPr>
        <w:t xml:space="preserve">, and any potential changes that may impact on future repayment prospects. Each of these changes requires separate and collective consideration of the impact of the advice provided. </w:t>
      </w:r>
    </w:p>
    <w:p w14:paraId="4691131F" w14:textId="77777777" w:rsidR="00AB6753" w:rsidRDefault="00AB6753" w:rsidP="00AB6753">
      <w:pPr>
        <w:spacing w:line="240" w:lineRule="auto"/>
        <w:rPr>
          <w:rFonts w:cs="Arial"/>
          <w:sz w:val="18"/>
          <w:szCs w:val="18"/>
          <w:lang w:eastAsia="en-AU"/>
        </w:rPr>
      </w:pPr>
      <w:r>
        <w:br w:type="page"/>
      </w:r>
    </w:p>
    <w:p w14:paraId="46975FF5" w14:textId="11E34F3C" w:rsidR="00AB6753" w:rsidRDefault="00AB6753" w:rsidP="00AB6753">
      <w:pPr>
        <w:pStyle w:val="ContinuedSubHeading"/>
        <w:shd w:val="clear" w:color="auto" w:fill="D9D9D9" w:themeFill="background1" w:themeFillShade="D9"/>
      </w:pPr>
      <w:r>
        <w:lastRenderedPageBreak/>
        <w:fldChar w:fldCharType="begin"/>
      </w:r>
      <w:r>
        <w:instrText xml:space="preserve"> REF _Ref456958724 \r \h  \* MERGEFORMAT </w:instrText>
      </w:r>
      <w:r>
        <w:fldChar w:fldCharType="separate"/>
      </w:r>
      <w:r w:rsidR="00532B37">
        <w:t>4.1</w:t>
      </w:r>
      <w:r>
        <w:fldChar w:fldCharType="end"/>
      </w:r>
      <w:r>
        <w:t xml:space="preserve"> </w:t>
      </w:r>
      <w:r w:rsidRPr="00214043">
        <w:t>Administered – Financial Assets</w:t>
      </w:r>
      <w:r>
        <w:t xml:space="preserve"> (continued)</w:t>
      </w:r>
    </w:p>
    <w:p w14:paraId="38490FB9" w14:textId="77777777" w:rsidR="00AB6753" w:rsidRPr="002E576B"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pPr>
      <w:r w:rsidRPr="002E576B">
        <w:t>Family Tax Benefit</w:t>
      </w:r>
    </w:p>
    <w:p w14:paraId="65ECFE40" w14:textId="77777777" w:rsidR="00AB6753" w:rsidRPr="009F516D"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i w:val="0"/>
          <w:u w:val="none"/>
        </w:rPr>
      </w:pPr>
      <w:r w:rsidRPr="009F516D">
        <w:rPr>
          <w:i w:val="0"/>
          <w:u w:val="none"/>
        </w:rPr>
        <w:t>At any point in time</w:t>
      </w:r>
      <w:r>
        <w:rPr>
          <w:i w:val="0"/>
          <w:u w:val="none"/>
        </w:rPr>
        <w:t>,</w:t>
      </w:r>
      <w:r w:rsidRPr="009F516D">
        <w:rPr>
          <w:i w:val="0"/>
          <w:u w:val="none"/>
        </w:rPr>
        <w:t xml:space="preserve"> there are a number of eligible recipients who have received a benefit in excess of their entitlement and owe money to the Commonwealth. The </w:t>
      </w:r>
      <w:r>
        <w:rPr>
          <w:i w:val="0"/>
          <w:u w:val="none"/>
        </w:rPr>
        <w:t xml:space="preserve">AGA </w:t>
      </w:r>
      <w:r w:rsidRPr="009F516D">
        <w:rPr>
          <w:i w:val="0"/>
          <w:u w:val="none"/>
        </w:rPr>
        <w:t>has provided advice on the likely level of debt recovery</w:t>
      </w:r>
      <w:r>
        <w:rPr>
          <w:i w:val="0"/>
          <w:u w:val="none"/>
        </w:rPr>
        <w:t>, including the estimated impact of COVID-19</w:t>
      </w:r>
      <w:r w:rsidRPr="009F516D">
        <w:rPr>
          <w:i w:val="0"/>
          <w:u w:val="none"/>
        </w:rPr>
        <w:t>.</w:t>
      </w:r>
      <w:r>
        <w:rPr>
          <w:i w:val="0"/>
          <w:u w:val="none"/>
        </w:rPr>
        <w:t xml:space="preserve"> </w:t>
      </w:r>
      <w:r w:rsidRPr="00D10F4E">
        <w:rPr>
          <w:i w:val="0"/>
          <w:u w:val="none"/>
        </w:rPr>
        <w:t xml:space="preserve">The deteriorating repayment prospects of recipients from economic impacts of </w:t>
      </w:r>
      <w:r>
        <w:rPr>
          <w:i w:val="0"/>
          <w:u w:val="none"/>
        </w:rPr>
        <w:t>COVID-19</w:t>
      </w:r>
      <w:r w:rsidRPr="00D10F4E">
        <w:rPr>
          <w:i w:val="0"/>
          <w:u w:val="none"/>
        </w:rPr>
        <w:t xml:space="preserve"> is a source of estimation uncertainty in relation to the recovery of the Family Tax Benefit receivable.</w:t>
      </w:r>
    </w:p>
    <w:p w14:paraId="4FE2D97B" w14:textId="77777777" w:rsidR="00AB6753"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i w:val="0"/>
          <w:u w:val="none"/>
        </w:rPr>
      </w:pPr>
      <w:r w:rsidRPr="009F516D">
        <w:rPr>
          <w:i w:val="0"/>
          <w:u w:val="none"/>
        </w:rPr>
        <w:t xml:space="preserve">The </w:t>
      </w:r>
      <w:r>
        <w:rPr>
          <w:i w:val="0"/>
          <w:u w:val="none"/>
        </w:rPr>
        <w:t xml:space="preserve">AGA </w:t>
      </w:r>
      <w:r w:rsidRPr="009F516D">
        <w:rPr>
          <w:i w:val="0"/>
          <w:u w:val="none"/>
        </w:rPr>
        <w:t>also calculates the impairment allowance associated w</w:t>
      </w:r>
      <w:r>
        <w:rPr>
          <w:i w:val="0"/>
          <w:u w:val="none"/>
        </w:rPr>
        <w:t>ith the Family Tax Benefit</w:t>
      </w:r>
      <w:r w:rsidRPr="009F516D">
        <w:rPr>
          <w:i w:val="0"/>
          <w:u w:val="none"/>
        </w:rPr>
        <w:t xml:space="preserve"> receivable</w:t>
      </w:r>
      <w:r>
        <w:rPr>
          <w:i w:val="0"/>
          <w:u w:val="none"/>
        </w:rPr>
        <w:t xml:space="preserve"> noting there are a number of uncertainties in the estimation </w:t>
      </w:r>
      <w:r w:rsidRPr="00D10F4E">
        <w:rPr>
          <w:i w:val="0"/>
          <w:u w:val="none"/>
        </w:rPr>
        <w:t xml:space="preserve">process including, for the current financial period, the impacts of </w:t>
      </w:r>
      <w:r>
        <w:rPr>
          <w:i w:val="0"/>
          <w:u w:val="none"/>
        </w:rPr>
        <w:t>COVID-19</w:t>
      </w:r>
      <w:r w:rsidRPr="00D10F4E">
        <w:rPr>
          <w:i w:val="0"/>
          <w:u w:val="none"/>
        </w:rPr>
        <w:t>. The allowance relies on periodic an</w:t>
      </w:r>
      <w:r w:rsidRPr="009F516D">
        <w:rPr>
          <w:i w:val="0"/>
          <w:u w:val="none"/>
        </w:rPr>
        <w:t>alysis of longitudinal unit record data to estimate the proportion of the outstanding non-lodger debt</w:t>
      </w:r>
      <w:r>
        <w:rPr>
          <w:i w:val="0"/>
          <w:u w:val="none"/>
        </w:rPr>
        <w:t>,</w:t>
      </w:r>
      <w:r w:rsidRPr="009F516D">
        <w:rPr>
          <w:i w:val="0"/>
          <w:u w:val="none"/>
        </w:rPr>
        <w:t xml:space="preserve"> which might be considered receivable</w:t>
      </w:r>
      <w:r>
        <w:rPr>
          <w:i w:val="0"/>
          <w:u w:val="none"/>
        </w:rPr>
        <w:t>,</w:t>
      </w:r>
      <w:r w:rsidRPr="009F516D">
        <w:rPr>
          <w:i w:val="0"/>
          <w:u w:val="none"/>
        </w:rPr>
        <w:t xml:space="preserve"> and the doubtful debt associated with each category of debt. </w:t>
      </w:r>
    </w:p>
    <w:p w14:paraId="4CBE23AB" w14:textId="77777777" w:rsidR="00AB6753" w:rsidRPr="002E576B"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pPr>
      <w:r w:rsidRPr="002E576B">
        <w:t>Student Financial Supplement Scheme</w:t>
      </w:r>
    </w:p>
    <w:p w14:paraId="356B24BF" w14:textId="77777777" w:rsidR="00AB6753" w:rsidRPr="00951F9F"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i w:val="0"/>
          <w:u w:val="none"/>
        </w:rPr>
      </w:pPr>
      <w:r w:rsidRPr="00951F9F">
        <w:rPr>
          <w:i w:val="0"/>
          <w:u w:val="none"/>
        </w:rPr>
        <w:t>The Student Financial Supplement Scheme was a voluntary loan scheme for tertiary students to help cover their</w:t>
      </w:r>
      <w:r>
        <w:rPr>
          <w:i w:val="0"/>
          <w:u w:val="none"/>
        </w:rPr>
        <w:t xml:space="preserve"> </w:t>
      </w:r>
      <w:r w:rsidRPr="00951F9F">
        <w:rPr>
          <w:i w:val="0"/>
          <w:u w:val="none"/>
        </w:rPr>
        <w:t>expenses while they studied. The Student Financial Supplement Scheme closed on 31 December 2003 and no new loans have been issued since this date. Existing Student Financial Supplement Scheme debts are collected through the tax system and voluntary repayments can also be made.</w:t>
      </w:r>
    </w:p>
    <w:p w14:paraId="6A6D941E" w14:textId="77777777" w:rsidR="00AB6753" w:rsidRPr="00951F9F"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i w:val="0"/>
          <w:u w:val="none"/>
        </w:rPr>
      </w:pPr>
      <w:r w:rsidRPr="00951F9F">
        <w:rPr>
          <w:i w:val="0"/>
          <w:u w:val="none"/>
        </w:rPr>
        <w:t>For the 2020 financial year, the department engaged the AGA to provide the fair value estimate of the Student</w:t>
      </w:r>
      <w:r>
        <w:rPr>
          <w:i w:val="0"/>
          <w:u w:val="none"/>
        </w:rPr>
        <w:t xml:space="preserve"> </w:t>
      </w:r>
      <w:r w:rsidRPr="00951F9F">
        <w:rPr>
          <w:i w:val="0"/>
          <w:u w:val="none"/>
        </w:rPr>
        <w:t>Financial Supplement Scheme receivable as at 30 June 2020.</w:t>
      </w:r>
    </w:p>
    <w:p w14:paraId="08D82FD9" w14:textId="77777777" w:rsidR="00AB6753" w:rsidRPr="00951F9F"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i w:val="0"/>
          <w:u w:val="none"/>
        </w:rPr>
      </w:pPr>
      <w:r w:rsidRPr="00951F9F">
        <w:rPr>
          <w:i w:val="0"/>
          <w:u w:val="none"/>
        </w:rPr>
        <w:t xml:space="preserve">The methodology used by the AGA was changed in </w:t>
      </w:r>
      <w:r>
        <w:rPr>
          <w:i w:val="0"/>
          <w:u w:val="none"/>
        </w:rPr>
        <w:t>the 2020 financial year</w:t>
      </w:r>
      <w:r w:rsidRPr="00951F9F">
        <w:rPr>
          <w:i w:val="0"/>
          <w:u w:val="none"/>
        </w:rPr>
        <w:t xml:space="preserve"> due to legislation changes effective </w:t>
      </w:r>
      <w:r>
        <w:rPr>
          <w:i w:val="0"/>
          <w:u w:val="none"/>
        </w:rPr>
        <w:br/>
      </w:r>
      <w:r w:rsidRPr="00951F9F">
        <w:rPr>
          <w:i w:val="0"/>
          <w:u w:val="none"/>
        </w:rPr>
        <w:t xml:space="preserve">1 July 2019 regarding student loan repayment rules. The development of a new model accessed student Higher Education Loan Program (HELP) debt information from the Department of Education, Skills and Employment, which was granted during </w:t>
      </w:r>
      <w:r>
        <w:rPr>
          <w:i w:val="0"/>
          <w:u w:val="none"/>
        </w:rPr>
        <w:t>the 2020 financial year</w:t>
      </w:r>
      <w:r w:rsidRPr="00951F9F">
        <w:rPr>
          <w:i w:val="0"/>
          <w:u w:val="none"/>
        </w:rPr>
        <w:t xml:space="preserve">. The new model generates individual cash flow profiles for all those who have an outstanding debt at the valuation date. The individual income projections are based on analysis of data provided by the </w:t>
      </w:r>
      <w:r>
        <w:rPr>
          <w:i w:val="0"/>
          <w:u w:val="none"/>
        </w:rPr>
        <w:t>ATO</w:t>
      </w:r>
      <w:r w:rsidRPr="00951F9F">
        <w:rPr>
          <w:i w:val="0"/>
          <w:u w:val="none"/>
        </w:rPr>
        <w:t xml:space="preserve"> on the historical income distributions of those who have completed their study in the past and the Department of Education, Skills and Employment for Higher Education Loan Program (HELP) debt data.</w:t>
      </w:r>
    </w:p>
    <w:p w14:paraId="68B04F5A" w14:textId="77777777" w:rsidR="00AB6753"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i w:val="0"/>
          <w:u w:val="none"/>
        </w:rPr>
      </w:pPr>
      <w:r w:rsidRPr="00951F9F">
        <w:rPr>
          <w:i w:val="0"/>
          <w:u w:val="none"/>
        </w:rPr>
        <w:t xml:space="preserve">The AGA have modelled individual cash flows by projecting forward expected future incomes for each individual and their associated compulsory repayment by year. The table of compulsory repayment thresholds was also projected, considering assumptions as to future Consumer Price Index (CPI) growth. As a result of </w:t>
      </w:r>
      <w:r>
        <w:rPr>
          <w:i w:val="0"/>
          <w:u w:val="none"/>
        </w:rPr>
        <w:t>COVID-19</w:t>
      </w:r>
      <w:r w:rsidRPr="00951F9F">
        <w:rPr>
          <w:i w:val="0"/>
          <w:u w:val="none"/>
        </w:rPr>
        <w:t xml:space="preserve">, key assumptions were amended including reducing debtor incomes and CPI growth rates. The </w:t>
      </w:r>
      <w:r>
        <w:rPr>
          <w:i w:val="0"/>
          <w:u w:val="none"/>
        </w:rPr>
        <w:t xml:space="preserve">resultant fair value decrease </w:t>
      </w:r>
      <w:r w:rsidRPr="00951F9F">
        <w:rPr>
          <w:i w:val="0"/>
          <w:u w:val="none"/>
        </w:rPr>
        <w:t>of the receivable</w:t>
      </w:r>
      <w:r>
        <w:rPr>
          <w:i w:val="0"/>
          <w:u w:val="none"/>
        </w:rPr>
        <w:t xml:space="preserve"> of $12 million reflects $82 million due to movements in assumptions and an increase of $94 million due to a change in methodology</w:t>
      </w:r>
      <w:r w:rsidRPr="00951F9F">
        <w:rPr>
          <w:i w:val="0"/>
          <w:u w:val="none"/>
        </w:rPr>
        <w:t>.</w:t>
      </w:r>
    </w:p>
    <w:p w14:paraId="4EE12063" w14:textId="77777777" w:rsidR="00AB6753" w:rsidRPr="002E576B"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rFonts w:cs="Arial"/>
        </w:rPr>
      </w:pPr>
      <w:r w:rsidRPr="002E576B">
        <w:rPr>
          <w:rFonts w:cs="Arial"/>
        </w:rPr>
        <w:t>Pension Loan Scheme</w:t>
      </w:r>
    </w:p>
    <w:p w14:paraId="2DA45700" w14:textId="77777777" w:rsidR="00AB6753" w:rsidRPr="006C3263"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rFonts w:cs="Arial"/>
          <w:i w:val="0"/>
          <w:u w:val="none"/>
        </w:rPr>
      </w:pPr>
      <w:r w:rsidRPr="006C3263">
        <w:rPr>
          <w:rFonts w:cs="Arial"/>
          <w:i w:val="0"/>
          <w:u w:val="none"/>
        </w:rPr>
        <w:t xml:space="preserve">The Pension Loan Scheme is a voluntary reverse equity mortgage that offers older Australians an income stream to supplement their retirement. Older Australians can </w:t>
      </w:r>
      <w:r>
        <w:rPr>
          <w:rFonts w:cs="Arial"/>
          <w:i w:val="0"/>
          <w:u w:val="none"/>
        </w:rPr>
        <w:t>choose</w:t>
      </w:r>
      <w:r w:rsidRPr="006C3263">
        <w:rPr>
          <w:rFonts w:cs="Arial"/>
          <w:i w:val="0"/>
          <w:u w:val="none"/>
        </w:rPr>
        <w:t xml:space="preserve"> to increase the amount of their fortnightly pension </w:t>
      </w:r>
      <w:r>
        <w:rPr>
          <w:rFonts w:cs="Arial"/>
          <w:i w:val="0"/>
          <w:u w:val="none"/>
        </w:rPr>
        <w:t xml:space="preserve">by </w:t>
      </w:r>
      <w:r w:rsidRPr="006C3263">
        <w:rPr>
          <w:rFonts w:cs="Arial"/>
          <w:i w:val="0"/>
          <w:u w:val="none"/>
        </w:rPr>
        <w:t xml:space="preserve">using their assets as security. </w:t>
      </w:r>
    </w:p>
    <w:p w14:paraId="14AA5718" w14:textId="77777777" w:rsidR="00AB6753"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rFonts w:cs="Arial"/>
          <w:i w:val="0"/>
          <w:u w:val="none"/>
        </w:rPr>
      </w:pPr>
      <w:r w:rsidRPr="005660E8">
        <w:rPr>
          <w:rFonts w:cs="Arial"/>
          <w:i w:val="0"/>
          <w:u w:val="none"/>
        </w:rPr>
        <w:t xml:space="preserve">Information for new loan amounts, loan repayments and interest receipts for the Pension Loan Scheme is provided by </w:t>
      </w:r>
      <w:r>
        <w:rPr>
          <w:rFonts w:cs="Arial"/>
          <w:i w:val="0"/>
          <w:u w:val="none"/>
        </w:rPr>
        <w:t>Services Australia</w:t>
      </w:r>
      <w:r w:rsidRPr="005660E8">
        <w:rPr>
          <w:rFonts w:cs="Arial"/>
          <w:i w:val="0"/>
          <w:u w:val="none"/>
        </w:rPr>
        <w:t xml:space="preserve"> from their Debt Management Information System. To estimate the fair value of the receivable balance, the department adjusts the receivable to recognise the time value of the associated cash flows discounted </w:t>
      </w:r>
      <w:r w:rsidRPr="0010421F">
        <w:rPr>
          <w:i w:val="0"/>
          <w:u w:val="none"/>
        </w:rPr>
        <w:t>by the average market interest rate for this type of loan.</w:t>
      </w:r>
    </w:p>
    <w:p w14:paraId="65DC011E" w14:textId="77777777" w:rsidR="00AB6753" w:rsidRPr="002E576B"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rFonts w:cs="Arial"/>
        </w:rPr>
      </w:pPr>
      <w:r w:rsidRPr="002E576B">
        <w:rPr>
          <w:rFonts w:cs="Arial"/>
        </w:rPr>
        <w:t>Student Start-up Loan</w:t>
      </w:r>
    </w:p>
    <w:p w14:paraId="4423CE17" w14:textId="77777777" w:rsidR="00AB6753" w:rsidRPr="00951F9F"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rFonts w:cs="Arial"/>
          <w:i w:val="0"/>
          <w:u w:val="none"/>
        </w:rPr>
      </w:pPr>
      <w:r w:rsidRPr="00951F9F">
        <w:rPr>
          <w:rFonts w:cs="Arial"/>
          <w:i w:val="0"/>
          <w:u w:val="none"/>
        </w:rPr>
        <w:t>The Student Start-up Loan is a voluntary loan that is available to full time students in receipt of Youth Allowance,</w:t>
      </w:r>
      <w:r>
        <w:rPr>
          <w:rFonts w:cs="Arial"/>
          <w:i w:val="0"/>
          <w:u w:val="none"/>
        </w:rPr>
        <w:t xml:space="preserve"> </w:t>
      </w:r>
      <w:proofErr w:type="spellStart"/>
      <w:r w:rsidRPr="00951F9F">
        <w:rPr>
          <w:rFonts w:cs="Arial"/>
          <w:i w:val="0"/>
          <w:u w:val="none"/>
        </w:rPr>
        <w:t>Austudy</w:t>
      </w:r>
      <w:proofErr w:type="spellEnd"/>
      <w:r w:rsidRPr="00951F9F">
        <w:rPr>
          <w:rFonts w:cs="Arial"/>
          <w:i w:val="0"/>
          <w:u w:val="none"/>
        </w:rPr>
        <w:t xml:space="preserve"> or ABSTUDY. The scheme commenced on 1 January 2016 with students potentially eligible to take out two loans a year. The loan is only repaid once any HELP debts have been fully extinguished.</w:t>
      </w:r>
    </w:p>
    <w:p w14:paraId="2CA61B4D" w14:textId="77777777" w:rsidR="00AB6753" w:rsidRPr="00C264E4"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rFonts w:cs="Arial"/>
          <w:i w:val="0"/>
          <w:u w:val="none"/>
        </w:rPr>
      </w:pPr>
      <w:r w:rsidRPr="00951F9F">
        <w:rPr>
          <w:rFonts w:cs="Arial"/>
          <w:i w:val="0"/>
          <w:u w:val="none"/>
        </w:rPr>
        <w:t xml:space="preserve">For the 2020 financial year, the department engaged the AGA to provide a fair value estimate for the Student </w:t>
      </w:r>
      <w:r>
        <w:rPr>
          <w:rFonts w:cs="Arial"/>
          <w:i w:val="0"/>
          <w:u w:val="none"/>
        </w:rPr>
        <w:br/>
      </w:r>
      <w:r w:rsidRPr="00951F9F">
        <w:rPr>
          <w:rFonts w:cs="Arial"/>
          <w:i w:val="0"/>
          <w:u w:val="none"/>
        </w:rPr>
        <w:t>Start-up Loan receivable as at 30 June 2020.</w:t>
      </w:r>
    </w:p>
    <w:p w14:paraId="7B7235BB" w14:textId="77777777" w:rsidR="00AB6753" w:rsidRPr="00951F9F"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rFonts w:cs="Arial"/>
          <w:i w:val="0"/>
          <w:u w:val="none"/>
        </w:rPr>
      </w:pPr>
      <w:r w:rsidRPr="00951F9F">
        <w:rPr>
          <w:rFonts w:cs="Arial"/>
          <w:i w:val="0"/>
          <w:u w:val="none"/>
        </w:rPr>
        <w:t xml:space="preserve">The methodology used by the AGA was changed in </w:t>
      </w:r>
      <w:r>
        <w:rPr>
          <w:rFonts w:cs="Arial"/>
          <w:i w:val="0"/>
          <w:u w:val="none"/>
        </w:rPr>
        <w:t>the 2020 financial year</w:t>
      </w:r>
      <w:r w:rsidRPr="00951F9F">
        <w:rPr>
          <w:rFonts w:cs="Arial"/>
          <w:i w:val="0"/>
          <w:u w:val="none"/>
        </w:rPr>
        <w:t xml:space="preserve"> due to legislation changes on 1 July 2019 regarding student loan repayment rules. The development of a new model accessed student Higher Education Loan Program (HELP) debt information from the Department of Education, Skills and Employment, which was granted during </w:t>
      </w:r>
      <w:r>
        <w:rPr>
          <w:rFonts w:cs="Arial"/>
          <w:i w:val="0"/>
          <w:u w:val="none"/>
        </w:rPr>
        <w:t>the 2020 financial year</w:t>
      </w:r>
      <w:r w:rsidRPr="00951F9F">
        <w:rPr>
          <w:rFonts w:cs="Arial"/>
          <w:i w:val="0"/>
          <w:u w:val="none"/>
        </w:rPr>
        <w:t xml:space="preserve">. The new model generates individual cash flow profiles for all those who have an outstanding debt at the valuation date. The individual income projections are based on analysis of data provided by the </w:t>
      </w:r>
      <w:r>
        <w:rPr>
          <w:rFonts w:cs="Arial"/>
          <w:i w:val="0"/>
          <w:u w:val="none"/>
        </w:rPr>
        <w:t>ATO</w:t>
      </w:r>
      <w:r w:rsidRPr="00951F9F">
        <w:rPr>
          <w:rFonts w:cs="Arial"/>
          <w:i w:val="0"/>
          <w:u w:val="none"/>
        </w:rPr>
        <w:t xml:space="preserve"> on the historical income distributions of those who have completed their study in the past and the Department of Education, Skills and Employment for Higher Education Loan Program (HELP) debt data.</w:t>
      </w:r>
    </w:p>
    <w:p w14:paraId="67844230" w14:textId="77777777" w:rsidR="00AB6753"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rFonts w:cs="Arial"/>
          <w:i w:val="0"/>
          <w:u w:val="none"/>
        </w:rPr>
      </w:pPr>
      <w:r w:rsidRPr="00951F9F">
        <w:rPr>
          <w:rFonts w:cs="Arial"/>
          <w:i w:val="0"/>
          <w:u w:val="none"/>
        </w:rPr>
        <w:t>The AGA have modelled individual cash flows by projecting forward expected future incomes for each individual and their associated compulsory repayment by year. The table of compulsory repayment thresholds was also projected, considering assumptions as to future CPI growth.</w:t>
      </w:r>
    </w:p>
    <w:p w14:paraId="57EC23FF" w14:textId="77777777" w:rsidR="00AB6753" w:rsidRDefault="00AB6753" w:rsidP="00AB6753">
      <w:pPr>
        <w:spacing w:line="240" w:lineRule="auto"/>
        <w:rPr>
          <w:rFonts w:ascii="Helvetica" w:hAnsi="Helvetica" w:cs="Helvetica"/>
          <w:i/>
          <w:sz w:val="18"/>
          <w:szCs w:val="18"/>
          <w:u w:val="single"/>
        </w:rPr>
      </w:pPr>
      <w:r>
        <w:br w:type="page"/>
      </w:r>
    </w:p>
    <w:p w14:paraId="192DD172" w14:textId="77DCA52B" w:rsidR="00AB6753" w:rsidRDefault="00AB6753" w:rsidP="00AB6753">
      <w:pPr>
        <w:pStyle w:val="ContinuedSubHeading"/>
        <w:shd w:val="clear" w:color="auto" w:fill="D9D9D9" w:themeFill="background1" w:themeFillShade="D9"/>
      </w:pPr>
      <w:r>
        <w:lastRenderedPageBreak/>
        <w:fldChar w:fldCharType="begin"/>
      </w:r>
      <w:r>
        <w:instrText xml:space="preserve"> REF _Ref456958724 \r \h  \* MERGEFORMAT </w:instrText>
      </w:r>
      <w:r>
        <w:fldChar w:fldCharType="separate"/>
      </w:r>
      <w:r w:rsidR="00532B37">
        <w:t>4.1</w:t>
      </w:r>
      <w:r>
        <w:fldChar w:fldCharType="end"/>
      </w:r>
      <w:r>
        <w:t xml:space="preserve"> </w:t>
      </w:r>
      <w:r w:rsidRPr="00214043">
        <w:t>Administered – Financial Assets</w:t>
      </w:r>
      <w:r>
        <w:t xml:space="preserve"> (continued)</w:t>
      </w:r>
    </w:p>
    <w:p w14:paraId="0DC8B3CC" w14:textId="77777777" w:rsidR="00AB6753" w:rsidRPr="002E576B"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rFonts w:cs="Arial"/>
        </w:rPr>
      </w:pPr>
      <w:r w:rsidRPr="002E576B">
        <w:rPr>
          <w:rFonts w:cs="Arial"/>
        </w:rPr>
        <w:t>Student Start-up Loan</w:t>
      </w:r>
      <w:r>
        <w:rPr>
          <w:rFonts w:cs="Arial"/>
        </w:rPr>
        <w:t xml:space="preserve"> (continued)</w:t>
      </w:r>
    </w:p>
    <w:p w14:paraId="67A6411E" w14:textId="77777777" w:rsidR="00AB6753" w:rsidRPr="00951F9F"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rFonts w:cs="Arial"/>
          <w:i w:val="0"/>
          <w:u w:val="none"/>
        </w:rPr>
      </w:pPr>
      <w:r w:rsidRPr="00951F9F">
        <w:rPr>
          <w:rFonts w:cs="Arial"/>
          <w:i w:val="0"/>
          <w:u w:val="none"/>
        </w:rPr>
        <w:t xml:space="preserve">The repayment cash flows were aggregated across all individuals to arrive at total repayments to determine the fair value of the receivable. As a result of </w:t>
      </w:r>
      <w:r>
        <w:rPr>
          <w:rFonts w:cs="Arial"/>
          <w:i w:val="0"/>
          <w:u w:val="none"/>
        </w:rPr>
        <w:t>COVID-19</w:t>
      </w:r>
      <w:r w:rsidRPr="00951F9F">
        <w:rPr>
          <w:rFonts w:cs="Arial"/>
          <w:i w:val="0"/>
          <w:u w:val="none"/>
        </w:rPr>
        <w:t xml:space="preserve">, key assumptions were amended including wage and CPI growth rates. </w:t>
      </w:r>
      <w:r>
        <w:rPr>
          <w:rFonts w:cs="Arial"/>
          <w:i w:val="0"/>
          <w:u w:val="none"/>
        </w:rPr>
        <w:t>The net increase of the receivable of $327 million reflects increases in new debt of $275 million and a change in methodology of $122 million, and a fair value decrease of $70 million from interest and deferral rates.</w:t>
      </w:r>
    </w:p>
    <w:p w14:paraId="701D1BF3" w14:textId="77777777" w:rsidR="00AB6753"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rFonts w:cs="Arial"/>
          <w:i w:val="0"/>
          <w:u w:val="none"/>
        </w:rPr>
      </w:pPr>
      <w:r w:rsidRPr="00951F9F">
        <w:rPr>
          <w:rFonts w:cs="Arial"/>
          <w:i w:val="0"/>
          <w:u w:val="none"/>
        </w:rPr>
        <w:t>The resultant fair value of the receivable is derived by discounting the nominal value of projected cash flows using the yield curve for Commonwealth Government securities as at 30 June 2020 to arrive at a net value.</w:t>
      </w:r>
    </w:p>
    <w:p w14:paraId="27C62361" w14:textId="77777777" w:rsidR="00AB6753" w:rsidRPr="00647BA0"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rFonts w:cs="Arial"/>
        </w:rPr>
      </w:pPr>
      <w:r w:rsidRPr="00647BA0">
        <w:rPr>
          <w:rFonts w:cs="Arial"/>
        </w:rPr>
        <w:t>Personal benefits impairment loss allowance</w:t>
      </w:r>
    </w:p>
    <w:p w14:paraId="7747FB81" w14:textId="77777777" w:rsidR="00AB6753" w:rsidRPr="00647BA0"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rFonts w:cs="Arial"/>
          <w:i w:val="0"/>
          <w:u w:val="none"/>
        </w:rPr>
      </w:pPr>
      <w:r w:rsidRPr="00647BA0">
        <w:rPr>
          <w:rFonts w:cs="Arial"/>
          <w:i w:val="0"/>
          <w:u w:val="none"/>
        </w:rPr>
        <w:t>The AGA changed their approach to estimating the Personal Benefits Doubtful Debt provision from previous years, undertaking an approach of modelling repayments directly, rather than outstanding balances, write-off’s and waivers. This change allowed direct incorporation of the impact of adjustments, including those relating to decisions to freeze the raising of debt, introduction of interest charges, increased receipts from the Broadening Debt Repayment Measure and low and middle income tax offsets. The AGA also considered the time value of money and policy and process changes, and in particular, the impact of COVID-19 and the 2019-20 summer bushfires on the timing of future repayments and ultimate recoverability of debts.</w:t>
      </w:r>
    </w:p>
    <w:p w14:paraId="1F8877B4" w14:textId="77777777" w:rsidR="00AB6753" w:rsidRPr="00647BA0"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spacing w:after="0"/>
        <w:ind w:left="11" w:right="11"/>
        <w:rPr>
          <w:rFonts w:cs="Arial"/>
          <w:i w:val="0"/>
          <w:u w:val="none"/>
        </w:rPr>
      </w:pPr>
      <w:r w:rsidRPr="00647BA0">
        <w:rPr>
          <w:rFonts w:cs="Arial"/>
          <w:i w:val="0"/>
          <w:u w:val="none"/>
        </w:rPr>
        <w:t>The net increase of the personal benefits impairment loss allowance of $447 million reflects an increase in impairment for family tax benefit of $227 million and income compliance program debt impairment of $550 million, offset by the reduction in personal benefits doubtful debt provision by $366 million, which includes a change in methodology in the order of $80 million.</w:t>
      </w:r>
    </w:p>
    <w:tbl>
      <w:tblPr>
        <w:tblW w:w="9498" w:type="dxa"/>
        <w:tblLayout w:type="fixed"/>
        <w:tblLook w:val="04A0" w:firstRow="1" w:lastRow="0" w:firstColumn="1" w:lastColumn="0" w:noHBand="0" w:noVBand="1"/>
        <w:tblCaption w:val="Notes to and forming part of the financial statements"/>
        <w:tblDescription w:val="Administred financial assets continued"/>
      </w:tblPr>
      <w:tblGrid>
        <w:gridCol w:w="6566"/>
        <w:gridCol w:w="1286"/>
        <w:gridCol w:w="273"/>
        <w:gridCol w:w="1373"/>
      </w:tblGrid>
      <w:tr w:rsidR="00AB6753" w14:paraId="47A143EB" w14:textId="77777777" w:rsidTr="002D1EA4">
        <w:trPr>
          <w:trHeight w:val="240"/>
        </w:trPr>
        <w:tc>
          <w:tcPr>
            <w:tcW w:w="6566" w:type="dxa"/>
            <w:tcBorders>
              <w:top w:val="nil"/>
              <w:left w:val="nil"/>
              <w:bottom w:val="nil"/>
              <w:right w:val="nil"/>
            </w:tcBorders>
            <w:shd w:val="clear" w:color="000000" w:fill="D9D9D9"/>
            <w:noWrap/>
            <w:vAlign w:val="bottom"/>
            <w:hideMark/>
          </w:tcPr>
          <w:p w14:paraId="51650756" w14:textId="77777777" w:rsidR="00AB6753" w:rsidRDefault="00AB6753" w:rsidP="002D1EA4">
            <w:pPr>
              <w:spacing w:after="0"/>
              <w:rPr>
                <w:rFonts w:cs="Arial"/>
                <w:sz w:val="16"/>
                <w:szCs w:val="16"/>
              </w:rPr>
            </w:pPr>
            <w:bookmarkStart w:id="164" w:name="Note_ACETABLE1" w:colFirst="0" w:colLast="0"/>
            <w:r>
              <w:rPr>
                <w:rFonts w:cs="Arial"/>
                <w:sz w:val="16"/>
                <w:szCs w:val="16"/>
              </w:rPr>
              <w:t> </w:t>
            </w:r>
          </w:p>
        </w:tc>
        <w:tc>
          <w:tcPr>
            <w:tcW w:w="1286" w:type="dxa"/>
            <w:tcBorders>
              <w:top w:val="nil"/>
              <w:left w:val="nil"/>
              <w:bottom w:val="nil"/>
              <w:right w:val="nil"/>
            </w:tcBorders>
            <w:shd w:val="clear" w:color="000000" w:fill="D9D9D9"/>
            <w:noWrap/>
            <w:vAlign w:val="bottom"/>
            <w:hideMark/>
          </w:tcPr>
          <w:p w14:paraId="2BD74B01" w14:textId="77777777" w:rsidR="00AB6753" w:rsidRDefault="00AB6753" w:rsidP="002D1EA4">
            <w:pPr>
              <w:spacing w:after="0"/>
              <w:jc w:val="right"/>
              <w:rPr>
                <w:rFonts w:cs="Arial"/>
                <w:b/>
                <w:bCs/>
                <w:sz w:val="18"/>
                <w:szCs w:val="18"/>
              </w:rPr>
            </w:pPr>
            <w:r>
              <w:rPr>
                <w:rFonts w:cs="Arial"/>
                <w:b/>
                <w:bCs/>
                <w:sz w:val="18"/>
                <w:szCs w:val="18"/>
              </w:rPr>
              <w:t>2020</w:t>
            </w:r>
          </w:p>
        </w:tc>
        <w:tc>
          <w:tcPr>
            <w:tcW w:w="273" w:type="dxa"/>
            <w:tcBorders>
              <w:top w:val="nil"/>
              <w:left w:val="nil"/>
              <w:bottom w:val="nil"/>
              <w:right w:val="nil"/>
            </w:tcBorders>
            <w:shd w:val="clear" w:color="000000" w:fill="D9D9D9"/>
            <w:noWrap/>
            <w:vAlign w:val="bottom"/>
            <w:hideMark/>
          </w:tcPr>
          <w:p w14:paraId="7D653A41"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2F78C819" w14:textId="77777777" w:rsidR="00AB6753" w:rsidRDefault="00AB6753" w:rsidP="002D1EA4">
            <w:pPr>
              <w:spacing w:after="0"/>
              <w:jc w:val="right"/>
              <w:rPr>
                <w:rFonts w:cs="Arial"/>
                <w:sz w:val="18"/>
                <w:szCs w:val="18"/>
              </w:rPr>
            </w:pPr>
            <w:r>
              <w:rPr>
                <w:rFonts w:cs="Arial"/>
                <w:sz w:val="18"/>
                <w:szCs w:val="18"/>
              </w:rPr>
              <w:t>2019</w:t>
            </w:r>
          </w:p>
        </w:tc>
      </w:tr>
      <w:bookmarkEnd w:id="164"/>
      <w:tr w:rsidR="00AB6753" w14:paraId="75B4D3BE" w14:textId="77777777" w:rsidTr="002D1EA4">
        <w:trPr>
          <w:trHeight w:val="240"/>
        </w:trPr>
        <w:tc>
          <w:tcPr>
            <w:tcW w:w="6566" w:type="dxa"/>
            <w:tcBorders>
              <w:top w:val="nil"/>
              <w:left w:val="nil"/>
              <w:bottom w:val="nil"/>
              <w:right w:val="nil"/>
            </w:tcBorders>
            <w:shd w:val="clear" w:color="000000" w:fill="D9D9D9"/>
            <w:noWrap/>
            <w:vAlign w:val="bottom"/>
            <w:hideMark/>
          </w:tcPr>
          <w:p w14:paraId="10B76A3D" w14:textId="77777777" w:rsidR="00AB6753" w:rsidRDefault="00AB6753" w:rsidP="002D1EA4">
            <w:pPr>
              <w:spacing w:after="0"/>
              <w:rPr>
                <w:rFonts w:cs="Arial"/>
                <w:sz w:val="16"/>
                <w:szCs w:val="16"/>
              </w:rPr>
            </w:pPr>
            <w:r>
              <w:rPr>
                <w:rFonts w:cs="Arial"/>
                <w:sz w:val="16"/>
                <w:szCs w:val="16"/>
              </w:rPr>
              <w:t> </w:t>
            </w:r>
          </w:p>
        </w:tc>
        <w:tc>
          <w:tcPr>
            <w:tcW w:w="1286" w:type="dxa"/>
            <w:tcBorders>
              <w:top w:val="nil"/>
              <w:left w:val="nil"/>
              <w:bottom w:val="nil"/>
              <w:right w:val="nil"/>
            </w:tcBorders>
            <w:shd w:val="clear" w:color="000000" w:fill="D9D9D9"/>
            <w:noWrap/>
            <w:vAlign w:val="bottom"/>
            <w:hideMark/>
          </w:tcPr>
          <w:p w14:paraId="67734DCC" w14:textId="77777777" w:rsidR="00AB6753" w:rsidRDefault="00AB6753" w:rsidP="002D1EA4">
            <w:pPr>
              <w:spacing w:after="0"/>
              <w:jc w:val="right"/>
              <w:rPr>
                <w:rFonts w:cs="Arial"/>
                <w:b/>
                <w:bCs/>
                <w:sz w:val="18"/>
                <w:szCs w:val="18"/>
              </w:rPr>
            </w:pPr>
            <w:r>
              <w:rPr>
                <w:rFonts w:cs="Arial"/>
                <w:b/>
                <w:bCs/>
                <w:sz w:val="18"/>
                <w:szCs w:val="18"/>
              </w:rPr>
              <w:t>$'000</w:t>
            </w:r>
          </w:p>
        </w:tc>
        <w:tc>
          <w:tcPr>
            <w:tcW w:w="273" w:type="dxa"/>
            <w:tcBorders>
              <w:top w:val="nil"/>
              <w:left w:val="nil"/>
              <w:bottom w:val="nil"/>
              <w:right w:val="nil"/>
            </w:tcBorders>
            <w:shd w:val="clear" w:color="000000" w:fill="D9D9D9"/>
            <w:noWrap/>
            <w:vAlign w:val="bottom"/>
            <w:hideMark/>
          </w:tcPr>
          <w:p w14:paraId="4D7C6852"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38BAEA21" w14:textId="77777777" w:rsidR="00AB6753" w:rsidRDefault="00AB6753" w:rsidP="002D1EA4">
            <w:pPr>
              <w:spacing w:after="0"/>
              <w:jc w:val="right"/>
              <w:rPr>
                <w:rFonts w:cs="Arial"/>
                <w:sz w:val="18"/>
                <w:szCs w:val="18"/>
              </w:rPr>
            </w:pPr>
            <w:r>
              <w:rPr>
                <w:rFonts w:cs="Arial"/>
                <w:sz w:val="18"/>
                <w:szCs w:val="18"/>
              </w:rPr>
              <w:t>$'000</w:t>
            </w:r>
          </w:p>
        </w:tc>
      </w:tr>
      <w:tr w:rsidR="00AB6753" w14:paraId="31D92828" w14:textId="77777777" w:rsidTr="002D1EA4">
        <w:trPr>
          <w:trHeight w:val="240"/>
        </w:trPr>
        <w:tc>
          <w:tcPr>
            <w:tcW w:w="6566" w:type="dxa"/>
            <w:tcBorders>
              <w:top w:val="nil"/>
              <w:left w:val="nil"/>
              <w:bottom w:val="nil"/>
              <w:right w:val="nil"/>
            </w:tcBorders>
            <w:shd w:val="clear" w:color="000000" w:fill="D9D9D9"/>
            <w:noWrap/>
            <w:hideMark/>
          </w:tcPr>
          <w:p w14:paraId="352C2579" w14:textId="77777777" w:rsidR="00AB6753" w:rsidRDefault="00AB6753" w:rsidP="002D1EA4">
            <w:pPr>
              <w:spacing w:after="0"/>
              <w:rPr>
                <w:rFonts w:cs="Arial"/>
                <w:b/>
                <w:bCs/>
                <w:sz w:val="18"/>
                <w:szCs w:val="18"/>
                <w:u w:val="single"/>
              </w:rPr>
            </w:pPr>
            <w:r>
              <w:rPr>
                <w:rFonts w:cs="Arial"/>
                <w:b/>
                <w:bCs/>
                <w:sz w:val="18"/>
                <w:szCs w:val="18"/>
                <w:u w:val="single"/>
              </w:rPr>
              <w:t xml:space="preserve">Note 4.1C: Investments </w:t>
            </w:r>
          </w:p>
        </w:tc>
        <w:tc>
          <w:tcPr>
            <w:tcW w:w="1286" w:type="dxa"/>
            <w:tcBorders>
              <w:top w:val="nil"/>
              <w:left w:val="nil"/>
              <w:bottom w:val="nil"/>
              <w:right w:val="nil"/>
            </w:tcBorders>
            <w:shd w:val="clear" w:color="000000" w:fill="D9D9D9"/>
            <w:noWrap/>
            <w:vAlign w:val="bottom"/>
            <w:hideMark/>
          </w:tcPr>
          <w:p w14:paraId="79A659C3" w14:textId="77777777" w:rsidR="00AB6753" w:rsidRDefault="00AB6753" w:rsidP="002D1EA4">
            <w:pPr>
              <w:spacing w:after="0"/>
              <w:rPr>
                <w:rFonts w:cs="Arial"/>
                <w:b/>
                <w:bCs/>
                <w:sz w:val="18"/>
                <w:szCs w:val="18"/>
              </w:rPr>
            </w:pPr>
            <w:r>
              <w:rPr>
                <w:rFonts w:cs="Arial"/>
                <w:b/>
                <w:bCs/>
                <w:sz w:val="18"/>
                <w:szCs w:val="18"/>
              </w:rPr>
              <w:t> </w:t>
            </w:r>
          </w:p>
        </w:tc>
        <w:tc>
          <w:tcPr>
            <w:tcW w:w="273" w:type="dxa"/>
            <w:tcBorders>
              <w:top w:val="nil"/>
              <w:left w:val="nil"/>
              <w:bottom w:val="nil"/>
              <w:right w:val="nil"/>
            </w:tcBorders>
            <w:shd w:val="clear" w:color="000000" w:fill="D9D9D9"/>
            <w:noWrap/>
            <w:vAlign w:val="bottom"/>
            <w:hideMark/>
          </w:tcPr>
          <w:p w14:paraId="7DCE80A0"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762984D0" w14:textId="77777777" w:rsidR="00AB6753" w:rsidRDefault="00AB6753" w:rsidP="002D1EA4">
            <w:pPr>
              <w:spacing w:after="0"/>
              <w:rPr>
                <w:rFonts w:cs="Arial"/>
                <w:sz w:val="18"/>
                <w:szCs w:val="18"/>
              </w:rPr>
            </w:pPr>
            <w:r>
              <w:rPr>
                <w:rFonts w:cs="Arial"/>
                <w:sz w:val="18"/>
                <w:szCs w:val="18"/>
              </w:rPr>
              <w:t> </w:t>
            </w:r>
          </w:p>
        </w:tc>
      </w:tr>
      <w:tr w:rsidR="00AB6753" w14:paraId="61D53E21" w14:textId="77777777" w:rsidTr="002D1EA4">
        <w:trPr>
          <w:trHeight w:val="270"/>
        </w:trPr>
        <w:tc>
          <w:tcPr>
            <w:tcW w:w="6566" w:type="dxa"/>
            <w:tcBorders>
              <w:top w:val="nil"/>
              <w:left w:val="nil"/>
              <w:bottom w:val="single" w:sz="4" w:space="0" w:color="D9D9D9"/>
              <w:right w:val="nil"/>
            </w:tcBorders>
            <w:shd w:val="clear" w:color="000000" w:fill="D9D9D9"/>
            <w:vAlign w:val="bottom"/>
            <w:hideMark/>
          </w:tcPr>
          <w:p w14:paraId="72E66576" w14:textId="77777777" w:rsidR="00AB6753" w:rsidRDefault="00AB6753" w:rsidP="002D1EA4">
            <w:pPr>
              <w:spacing w:after="0"/>
              <w:rPr>
                <w:rFonts w:cs="Arial"/>
                <w:sz w:val="18"/>
                <w:szCs w:val="18"/>
              </w:rPr>
            </w:pPr>
            <w:r>
              <w:rPr>
                <w:rFonts w:cs="Arial"/>
                <w:sz w:val="18"/>
                <w:szCs w:val="18"/>
              </w:rPr>
              <w:t>National Disability Insurance Agency</w:t>
            </w:r>
            <w:r>
              <w:rPr>
                <w:rFonts w:cs="Arial"/>
                <w:sz w:val="18"/>
                <w:szCs w:val="18"/>
                <w:vertAlign w:val="superscript"/>
              </w:rPr>
              <w:t>1</w:t>
            </w:r>
          </w:p>
        </w:tc>
        <w:tc>
          <w:tcPr>
            <w:tcW w:w="1286" w:type="dxa"/>
            <w:tcBorders>
              <w:top w:val="nil"/>
              <w:left w:val="nil"/>
              <w:bottom w:val="nil"/>
              <w:right w:val="nil"/>
            </w:tcBorders>
            <w:shd w:val="clear" w:color="000000" w:fill="D9D9D9"/>
            <w:noWrap/>
            <w:vAlign w:val="bottom"/>
            <w:hideMark/>
          </w:tcPr>
          <w:p w14:paraId="0BCF6565" w14:textId="77777777" w:rsidR="00AB6753" w:rsidRDefault="00AB6753" w:rsidP="002D1EA4">
            <w:pPr>
              <w:spacing w:after="0"/>
              <w:jc w:val="right"/>
              <w:rPr>
                <w:rFonts w:cs="Arial"/>
                <w:b/>
                <w:bCs/>
                <w:sz w:val="18"/>
                <w:szCs w:val="18"/>
              </w:rPr>
            </w:pPr>
            <w:r>
              <w:rPr>
                <w:rFonts w:cs="Arial"/>
                <w:b/>
                <w:bCs/>
                <w:sz w:val="18"/>
                <w:szCs w:val="18"/>
              </w:rPr>
              <w:t>1,088,470</w:t>
            </w:r>
          </w:p>
        </w:tc>
        <w:tc>
          <w:tcPr>
            <w:tcW w:w="273" w:type="dxa"/>
            <w:tcBorders>
              <w:top w:val="nil"/>
              <w:left w:val="nil"/>
              <w:bottom w:val="nil"/>
              <w:right w:val="nil"/>
            </w:tcBorders>
            <w:shd w:val="clear" w:color="000000" w:fill="D9D9D9"/>
            <w:noWrap/>
            <w:vAlign w:val="bottom"/>
            <w:hideMark/>
          </w:tcPr>
          <w:p w14:paraId="2E717B2E"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528F62FC" w14:textId="77777777" w:rsidR="00AB6753" w:rsidRDefault="00AB6753" w:rsidP="002D1EA4">
            <w:pPr>
              <w:spacing w:after="0"/>
              <w:jc w:val="right"/>
              <w:rPr>
                <w:rFonts w:cs="Arial"/>
                <w:sz w:val="18"/>
                <w:szCs w:val="18"/>
              </w:rPr>
            </w:pPr>
            <w:r>
              <w:rPr>
                <w:rFonts w:cs="Arial"/>
                <w:sz w:val="18"/>
                <w:szCs w:val="18"/>
              </w:rPr>
              <w:t>2,531,071</w:t>
            </w:r>
          </w:p>
        </w:tc>
      </w:tr>
      <w:tr w:rsidR="00AB6753" w14:paraId="40AA753D" w14:textId="77777777" w:rsidTr="002D1EA4">
        <w:trPr>
          <w:trHeight w:val="270"/>
        </w:trPr>
        <w:tc>
          <w:tcPr>
            <w:tcW w:w="6566" w:type="dxa"/>
            <w:tcBorders>
              <w:top w:val="nil"/>
              <w:left w:val="nil"/>
              <w:bottom w:val="single" w:sz="4" w:space="0" w:color="D9D9D9"/>
              <w:right w:val="nil"/>
            </w:tcBorders>
            <w:shd w:val="clear" w:color="000000" w:fill="D9D9D9"/>
            <w:vAlign w:val="bottom"/>
            <w:hideMark/>
          </w:tcPr>
          <w:p w14:paraId="4CBD56FF" w14:textId="77777777" w:rsidR="00AB6753" w:rsidRDefault="00AB6753" w:rsidP="002D1EA4">
            <w:pPr>
              <w:spacing w:after="0"/>
              <w:rPr>
                <w:rFonts w:cs="Arial"/>
                <w:sz w:val="18"/>
                <w:szCs w:val="18"/>
              </w:rPr>
            </w:pPr>
            <w:r>
              <w:rPr>
                <w:rFonts w:cs="Arial"/>
                <w:sz w:val="18"/>
                <w:szCs w:val="18"/>
              </w:rPr>
              <w:t>Hearing Australia</w:t>
            </w:r>
            <w:r>
              <w:rPr>
                <w:rFonts w:cs="Arial"/>
                <w:sz w:val="18"/>
                <w:szCs w:val="18"/>
                <w:vertAlign w:val="superscript"/>
              </w:rPr>
              <w:t>1</w:t>
            </w:r>
          </w:p>
        </w:tc>
        <w:tc>
          <w:tcPr>
            <w:tcW w:w="1286" w:type="dxa"/>
            <w:tcBorders>
              <w:top w:val="nil"/>
              <w:left w:val="nil"/>
              <w:bottom w:val="nil"/>
              <w:right w:val="nil"/>
            </w:tcBorders>
            <w:shd w:val="clear" w:color="000000" w:fill="D9D9D9"/>
            <w:noWrap/>
            <w:vAlign w:val="bottom"/>
            <w:hideMark/>
          </w:tcPr>
          <w:p w14:paraId="16BF5AC4" w14:textId="77777777" w:rsidR="00AB6753" w:rsidRDefault="00AB6753" w:rsidP="002D1EA4">
            <w:pPr>
              <w:spacing w:after="0"/>
              <w:jc w:val="right"/>
              <w:rPr>
                <w:rFonts w:cs="Arial"/>
                <w:b/>
                <w:bCs/>
                <w:sz w:val="18"/>
                <w:szCs w:val="18"/>
              </w:rPr>
            </w:pPr>
            <w:r>
              <w:rPr>
                <w:rFonts w:cs="Arial"/>
                <w:b/>
                <w:bCs/>
                <w:sz w:val="18"/>
                <w:szCs w:val="18"/>
              </w:rPr>
              <w:t>83,662</w:t>
            </w:r>
          </w:p>
        </w:tc>
        <w:tc>
          <w:tcPr>
            <w:tcW w:w="273" w:type="dxa"/>
            <w:tcBorders>
              <w:top w:val="nil"/>
              <w:left w:val="nil"/>
              <w:bottom w:val="nil"/>
              <w:right w:val="nil"/>
            </w:tcBorders>
            <w:shd w:val="clear" w:color="000000" w:fill="D9D9D9"/>
            <w:noWrap/>
            <w:vAlign w:val="bottom"/>
            <w:hideMark/>
          </w:tcPr>
          <w:p w14:paraId="4609DAC8"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031B12BC" w14:textId="77777777" w:rsidR="00AB6753" w:rsidRDefault="00AB6753" w:rsidP="002D1EA4">
            <w:pPr>
              <w:spacing w:after="0"/>
              <w:jc w:val="right"/>
              <w:rPr>
                <w:rFonts w:cs="Arial"/>
                <w:sz w:val="18"/>
                <w:szCs w:val="18"/>
              </w:rPr>
            </w:pPr>
            <w:r>
              <w:rPr>
                <w:rFonts w:cs="Arial"/>
                <w:sz w:val="18"/>
                <w:szCs w:val="18"/>
              </w:rPr>
              <w:t>-</w:t>
            </w:r>
          </w:p>
        </w:tc>
      </w:tr>
      <w:tr w:rsidR="00AB6753" w14:paraId="4503743E" w14:textId="77777777" w:rsidTr="002D1EA4">
        <w:trPr>
          <w:trHeight w:val="240"/>
        </w:trPr>
        <w:tc>
          <w:tcPr>
            <w:tcW w:w="6566" w:type="dxa"/>
            <w:tcBorders>
              <w:top w:val="nil"/>
              <w:left w:val="nil"/>
              <w:bottom w:val="single" w:sz="4" w:space="0" w:color="D9D9D9"/>
              <w:right w:val="nil"/>
            </w:tcBorders>
            <w:shd w:val="clear" w:color="000000" w:fill="D9D9D9"/>
            <w:vAlign w:val="bottom"/>
            <w:hideMark/>
          </w:tcPr>
          <w:p w14:paraId="66606ED1" w14:textId="77777777" w:rsidR="00AB6753" w:rsidRDefault="00AB6753" w:rsidP="002D1EA4">
            <w:pPr>
              <w:spacing w:after="0"/>
              <w:rPr>
                <w:rFonts w:cs="Arial"/>
                <w:b/>
                <w:bCs/>
                <w:sz w:val="18"/>
                <w:szCs w:val="18"/>
              </w:rPr>
            </w:pPr>
            <w:r>
              <w:rPr>
                <w:rFonts w:cs="Arial"/>
                <w:b/>
                <w:bCs/>
                <w:sz w:val="18"/>
                <w:szCs w:val="18"/>
              </w:rPr>
              <w:t>Total investments in Commonwealth entities</w:t>
            </w:r>
          </w:p>
        </w:tc>
        <w:tc>
          <w:tcPr>
            <w:tcW w:w="1286" w:type="dxa"/>
            <w:tcBorders>
              <w:top w:val="single" w:sz="4" w:space="0" w:color="auto"/>
              <w:left w:val="nil"/>
              <w:bottom w:val="single" w:sz="4" w:space="0" w:color="auto"/>
              <w:right w:val="nil"/>
            </w:tcBorders>
            <w:shd w:val="clear" w:color="000000" w:fill="D9D9D9"/>
            <w:noWrap/>
            <w:vAlign w:val="bottom"/>
            <w:hideMark/>
          </w:tcPr>
          <w:p w14:paraId="1C88279D" w14:textId="77777777" w:rsidR="00AB6753" w:rsidRDefault="00AB6753" w:rsidP="002D1EA4">
            <w:pPr>
              <w:spacing w:after="0"/>
              <w:jc w:val="right"/>
              <w:rPr>
                <w:rFonts w:cs="Arial"/>
                <w:b/>
                <w:bCs/>
                <w:sz w:val="18"/>
                <w:szCs w:val="18"/>
              </w:rPr>
            </w:pPr>
            <w:r>
              <w:rPr>
                <w:rFonts w:cs="Arial"/>
                <w:b/>
                <w:bCs/>
                <w:sz w:val="18"/>
                <w:szCs w:val="18"/>
              </w:rPr>
              <w:t>1,172,132</w:t>
            </w:r>
          </w:p>
        </w:tc>
        <w:tc>
          <w:tcPr>
            <w:tcW w:w="273" w:type="dxa"/>
            <w:tcBorders>
              <w:top w:val="single" w:sz="4" w:space="0" w:color="D9D9D9"/>
              <w:left w:val="nil"/>
              <w:bottom w:val="single" w:sz="4" w:space="0" w:color="D9D9D9"/>
              <w:right w:val="nil"/>
            </w:tcBorders>
            <w:shd w:val="clear" w:color="000000" w:fill="D9D9D9"/>
            <w:noWrap/>
            <w:vAlign w:val="bottom"/>
            <w:hideMark/>
          </w:tcPr>
          <w:p w14:paraId="2E6463CA" w14:textId="77777777" w:rsidR="00AB6753" w:rsidRDefault="00AB6753" w:rsidP="002D1EA4">
            <w:pPr>
              <w:spacing w:after="0"/>
              <w:rPr>
                <w:rFonts w:cs="Arial"/>
                <w:sz w:val="16"/>
                <w:szCs w:val="16"/>
              </w:rPr>
            </w:pPr>
            <w:r>
              <w:rPr>
                <w:rFonts w:cs="Arial"/>
                <w:sz w:val="16"/>
                <w:szCs w:val="16"/>
              </w:rPr>
              <w:t> </w:t>
            </w:r>
          </w:p>
        </w:tc>
        <w:tc>
          <w:tcPr>
            <w:tcW w:w="1373" w:type="dxa"/>
            <w:tcBorders>
              <w:top w:val="single" w:sz="4" w:space="0" w:color="auto"/>
              <w:left w:val="nil"/>
              <w:bottom w:val="single" w:sz="4" w:space="0" w:color="auto"/>
              <w:right w:val="nil"/>
            </w:tcBorders>
            <w:shd w:val="clear" w:color="000000" w:fill="D9D9D9"/>
            <w:noWrap/>
            <w:vAlign w:val="bottom"/>
            <w:hideMark/>
          </w:tcPr>
          <w:p w14:paraId="5C55073C" w14:textId="77777777" w:rsidR="00AB6753" w:rsidRDefault="00AB6753" w:rsidP="002D1EA4">
            <w:pPr>
              <w:spacing w:after="0"/>
              <w:jc w:val="right"/>
              <w:rPr>
                <w:rFonts w:cs="Arial"/>
                <w:sz w:val="18"/>
                <w:szCs w:val="18"/>
              </w:rPr>
            </w:pPr>
            <w:r>
              <w:rPr>
                <w:rFonts w:cs="Arial"/>
                <w:sz w:val="18"/>
                <w:szCs w:val="18"/>
              </w:rPr>
              <w:t>2,531,071</w:t>
            </w:r>
          </w:p>
        </w:tc>
      </w:tr>
      <w:tr w:rsidR="00AB6753" w14:paraId="219764EC" w14:textId="77777777" w:rsidTr="002D1EA4">
        <w:trPr>
          <w:trHeight w:val="240"/>
        </w:trPr>
        <w:tc>
          <w:tcPr>
            <w:tcW w:w="6566" w:type="dxa"/>
            <w:tcBorders>
              <w:top w:val="nil"/>
              <w:left w:val="nil"/>
              <w:bottom w:val="single" w:sz="4" w:space="0" w:color="D9D9D9"/>
              <w:right w:val="nil"/>
            </w:tcBorders>
            <w:shd w:val="clear" w:color="000000" w:fill="D9D9D9"/>
            <w:vAlign w:val="bottom"/>
            <w:hideMark/>
          </w:tcPr>
          <w:p w14:paraId="308F5A7F" w14:textId="77777777" w:rsidR="00AB6753" w:rsidRDefault="00AB6753" w:rsidP="002D1EA4">
            <w:pPr>
              <w:spacing w:after="0"/>
              <w:rPr>
                <w:rFonts w:cs="Arial"/>
                <w:sz w:val="18"/>
                <w:szCs w:val="18"/>
              </w:rPr>
            </w:pPr>
            <w:r>
              <w:rPr>
                <w:rFonts w:cs="Arial"/>
                <w:sz w:val="18"/>
                <w:szCs w:val="18"/>
              </w:rPr>
              <w:t>Other interests:</w:t>
            </w:r>
          </w:p>
        </w:tc>
        <w:tc>
          <w:tcPr>
            <w:tcW w:w="1286" w:type="dxa"/>
            <w:tcBorders>
              <w:top w:val="nil"/>
              <w:left w:val="nil"/>
              <w:bottom w:val="nil"/>
              <w:right w:val="nil"/>
            </w:tcBorders>
            <w:shd w:val="clear" w:color="000000" w:fill="D9D9D9"/>
            <w:noWrap/>
            <w:vAlign w:val="bottom"/>
            <w:hideMark/>
          </w:tcPr>
          <w:p w14:paraId="068F8A2A" w14:textId="77777777" w:rsidR="00AB6753" w:rsidRDefault="00AB6753" w:rsidP="002D1EA4">
            <w:pPr>
              <w:spacing w:after="0"/>
              <w:rPr>
                <w:rFonts w:cs="Arial"/>
                <w:b/>
                <w:bCs/>
                <w:sz w:val="18"/>
                <w:szCs w:val="18"/>
              </w:rPr>
            </w:pPr>
            <w:r>
              <w:rPr>
                <w:rFonts w:cs="Arial"/>
                <w:b/>
                <w:bCs/>
                <w:sz w:val="18"/>
                <w:szCs w:val="18"/>
              </w:rPr>
              <w:t> </w:t>
            </w:r>
          </w:p>
        </w:tc>
        <w:tc>
          <w:tcPr>
            <w:tcW w:w="273" w:type="dxa"/>
            <w:tcBorders>
              <w:top w:val="nil"/>
              <w:left w:val="nil"/>
              <w:bottom w:val="nil"/>
              <w:right w:val="nil"/>
            </w:tcBorders>
            <w:shd w:val="clear" w:color="000000" w:fill="D9D9D9"/>
            <w:noWrap/>
            <w:vAlign w:val="bottom"/>
            <w:hideMark/>
          </w:tcPr>
          <w:p w14:paraId="4BB4206F"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584D1E7C" w14:textId="77777777" w:rsidR="00AB6753" w:rsidRDefault="00AB6753" w:rsidP="002D1EA4">
            <w:pPr>
              <w:spacing w:after="0"/>
              <w:rPr>
                <w:rFonts w:cs="Arial"/>
                <w:sz w:val="18"/>
                <w:szCs w:val="18"/>
              </w:rPr>
            </w:pPr>
            <w:r>
              <w:rPr>
                <w:rFonts w:cs="Arial"/>
                <w:sz w:val="18"/>
                <w:szCs w:val="18"/>
              </w:rPr>
              <w:t> </w:t>
            </w:r>
          </w:p>
        </w:tc>
      </w:tr>
      <w:tr w:rsidR="00AB6753" w14:paraId="73922D22" w14:textId="77777777" w:rsidTr="002D1EA4">
        <w:trPr>
          <w:trHeight w:val="270"/>
        </w:trPr>
        <w:tc>
          <w:tcPr>
            <w:tcW w:w="6566" w:type="dxa"/>
            <w:tcBorders>
              <w:top w:val="nil"/>
              <w:left w:val="nil"/>
              <w:bottom w:val="single" w:sz="4" w:space="0" w:color="D9D9D9"/>
              <w:right w:val="nil"/>
            </w:tcBorders>
            <w:shd w:val="clear" w:color="000000" w:fill="D9D9D9"/>
            <w:vAlign w:val="bottom"/>
            <w:hideMark/>
          </w:tcPr>
          <w:p w14:paraId="48077E76" w14:textId="77777777" w:rsidR="00AB6753" w:rsidRDefault="00AB6753" w:rsidP="002D1EA4">
            <w:pPr>
              <w:spacing w:after="0"/>
              <w:rPr>
                <w:rFonts w:cs="Arial"/>
                <w:sz w:val="18"/>
                <w:szCs w:val="18"/>
              </w:rPr>
            </w:pPr>
            <w:r>
              <w:rPr>
                <w:rFonts w:cs="Arial"/>
                <w:sz w:val="18"/>
                <w:szCs w:val="18"/>
              </w:rPr>
              <w:t>Unison Housing Limited</w:t>
            </w:r>
            <w:r>
              <w:rPr>
                <w:rFonts w:cs="Arial"/>
                <w:sz w:val="18"/>
                <w:szCs w:val="18"/>
                <w:vertAlign w:val="superscript"/>
              </w:rPr>
              <w:t>2</w:t>
            </w:r>
          </w:p>
        </w:tc>
        <w:tc>
          <w:tcPr>
            <w:tcW w:w="1286" w:type="dxa"/>
            <w:tcBorders>
              <w:top w:val="nil"/>
              <w:left w:val="nil"/>
              <w:bottom w:val="nil"/>
              <w:right w:val="nil"/>
            </w:tcBorders>
            <w:shd w:val="clear" w:color="000000" w:fill="D9D9D9"/>
            <w:noWrap/>
            <w:vAlign w:val="bottom"/>
            <w:hideMark/>
          </w:tcPr>
          <w:p w14:paraId="628B4EB4" w14:textId="77777777" w:rsidR="00AB6753" w:rsidRDefault="00AB6753" w:rsidP="002D1EA4">
            <w:pPr>
              <w:spacing w:after="0"/>
              <w:jc w:val="right"/>
              <w:rPr>
                <w:rFonts w:cs="Arial"/>
                <w:b/>
                <w:bCs/>
                <w:sz w:val="18"/>
                <w:szCs w:val="18"/>
              </w:rPr>
            </w:pPr>
            <w:r>
              <w:rPr>
                <w:rFonts w:cs="Arial"/>
                <w:b/>
                <w:bCs/>
                <w:sz w:val="18"/>
                <w:szCs w:val="18"/>
              </w:rPr>
              <w:t>1,395</w:t>
            </w:r>
          </w:p>
        </w:tc>
        <w:tc>
          <w:tcPr>
            <w:tcW w:w="273" w:type="dxa"/>
            <w:tcBorders>
              <w:top w:val="nil"/>
              <w:left w:val="nil"/>
              <w:bottom w:val="nil"/>
              <w:right w:val="nil"/>
            </w:tcBorders>
            <w:shd w:val="clear" w:color="000000" w:fill="D9D9D9"/>
            <w:noWrap/>
            <w:vAlign w:val="bottom"/>
            <w:hideMark/>
          </w:tcPr>
          <w:p w14:paraId="1557476E"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505BF9FD" w14:textId="77777777" w:rsidR="00AB6753" w:rsidRDefault="00AB6753" w:rsidP="002D1EA4">
            <w:pPr>
              <w:spacing w:after="0"/>
              <w:jc w:val="right"/>
              <w:rPr>
                <w:rFonts w:cs="Arial"/>
                <w:sz w:val="18"/>
                <w:szCs w:val="18"/>
              </w:rPr>
            </w:pPr>
            <w:r>
              <w:rPr>
                <w:rFonts w:cs="Arial"/>
                <w:sz w:val="18"/>
                <w:szCs w:val="18"/>
              </w:rPr>
              <w:t>1,395</w:t>
            </w:r>
          </w:p>
        </w:tc>
      </w:tr>
      <w:tr w:rsidR="00AB6753" w14:paraId="3D494C76" w14:textId="77777777" w:rsidTr="002D1EA4">
        <w:trPr>
          <w:trHeight w:val="240"/>
        </w:trPr>
        <w:tc>
          <w:tcPr>
            <w:tcW w:w="6566" w:type="dxa"/>
            <w:tcBorders>
              <w:top w:val="nil"/>
              <w:left w:val="nil"/>
              <w:bottom w:val="single" w:sz="4" w:space="0" w:color="D9D9D9"/>
              <w:right w:val="nil"/>
            </w:tcBorders>
            <w:shd w:val="clear" w:color="000000" w:fill="D9D9D9"/>
            <w:vAlign w:val="bottom"/>
            <w:hideMark/>
          </w:tcPr>
          <w:p w14:paraId="49DA6378" w14:textId="77777777" w:rsidR="00AB6753" w:rsidRDefault="00AB6753" w:rsidP="002D1EA4">
            <w:pPr>
              <w:spacing w:after="0"/>
              <w:rPr>
                <w:rFonts w:cs="Arial"/>
                <w:b/>
                <w:bCs/>
                <w:sz w:val="18"/>
                <w:szCs w:val="18"/>
              </w:rPr>
            </w:pPr>
            <w:r>
              <w:rPr>
                <w:rFonts w:cs="Arial"/>
                <w:b/>
                <w:bCs/>
                <w:sz w:val="18"/>
                <w:szCs w:val="18"/>
              </w:rPr>
              <w:t>Total other interests</w:t>
            </w:r>
          </w:p>
        </w:tc>
        <w:tc>
          <w:tcPr>
            <w:tcW w:w="1286" w:type="dxa"/>
            <w:tcBorders>
              <w:top w:val="single" w:sz="4" w:space="0" w:color="auto"/>
              <w:left w:val="nil"/>
              <w:bottom w:val="nil"/>
              <w:right w:val="nil"/>
            </w:tcBorders>
            <w:shd w:val="clear" w:color="000000" w:fill="D9D9D9"/>
            <w:noWrap/>
            <w:vAlign w:val="bottom"/>
            <w:hideMark/>
          </w:tcPr>
          <w:p w14:paraId="5A26BEA5" w14:textId="77777777" w:rsidR="00AB6753" w:rsidRDefault="00AB6753" w:rsidP="002D1EA4">
            <w:pPr>
              <w:spacing w:after="0"/>
              <w:jc w:val="right"/>
              <w:rPr>
                <w:rFonts w:cs="Arial"/>
                <w:b/>
                <w:bCs/>
                <w:sz w:val="18"/>
                <w:szCs w:val="18"/>
              </w:rPr>
            </w:pPr>
            <w:r>
              <w:rPr>
                <w:rFonts w:cs="Arial"/>
                <w:b/>
                <w:bCs/>
                <w:sz w:val="18"/>
                <w:szCs w:val="18"/>
              </w:rPr>
              <w:t>1,395</w:t>
            </w:r>
          </w:p>
        </w:tc>
        <w:tc>
          <w:tcPr>
            <w:tcW w:w="273" w:type="dxa"/>
            <w:tcBorders>
              <w:top w:val="single" w:sz="4" w:space="0" w:color="D9D9D9"/>
              <w:left w:val="nil"/>
              <w:bottom w:val="single" w:sz="4" w:space="0" w:color="D9D9D9"/>
              <w:right w:val="nil"/>
            </w:tcBorders>
            <w:shd w:val="clear" w:color="000000" w:fill="D9D9D9"/>
            <w:noWrap/>
            <w:vAlign w:val="bottom"/>
            <w:hideMark/>
          </w:tcPr>
          <w:p w14:paraId="1B6CA7CB" w14:textId="77777777" w:rsidR="00AB6753" w:rsidRDefault="00AB6753" w:rsidP="002D1EA4">
            <w:pPr>
              <w:spacing w:after="0"/>
              <w:rPr>
                <w:rFonts w:cs="Arial"/>
                <w:sz w:val="16"/>
                <w:szCs w:val="16"/>
              </w:rPr>
            </w:pPr>
            <w:r>
              <w:rPr>
                <w:rFonts w:cs="Arial"/>
                <w:sz w:val="16"/>
                <w:szCs w:val="16"/>
              </w:rPr>
              <w:t> </w:t>
            </w:r>
          </w:p>
        </w:tc>
        <w:tc>
          <w:tcPr>
            <w:tcW w:w="1373" w:type="dxa"/>
            <w:tcBorders>
              <w:top w:val="single" w:sz="4" w:space="0" w:color="auto"/>
              <w:left w:val="nil"/>
              <w:bottom w:val="nil"/>
              <w:right w:val="nil"/>
            </w:tcBorders>
            <w:shd w:val="clear" w:color="000000" w:fill="D9D9D9"/>
            <w:noWrap/>
            <w:vAlign w:val="bottom"/>
            <w:hideMark/>
          </w:tcPr>
          <w:p w14:paraId="326DE725" w14:textId="77777777" w:rsidR="00AB6753" w:rsidRDefault="00AB6753" w:rsidP="002D1EA4">
            <w:pPr>
              <w:spacing w:after="0"/>
              <w:jc w:val="right"/>
              <w:rPr>
                <w:rFonts w:cs="Arial"/>
                <w:sz w:val="18"/>
                <w:szCs w:val="18"/>
              </w:rPr>
            </w:pPr>
            <w:r>
              <w:rPr>
                <w:rFonts w:cs="Arial"/>
                <w:sz w:val="18"/>
                <w:szCs w:val="18"/>
              </w:rPr>
              <w:t>1,395</w:t>
            </w:r>
          </w:p>
        </w:tc>
      </w:tr>
      <w:tr w:rsidR="00AB6753" w14:paraId="5DC0D36E" w14:textId="77777777" w:rsidTr="002D1EA4">
        <w:trPr>
          <w:trHeight w:val="240"/>
        </w:trPr>
        <w:tc>
          <w:tcPr>
            <w:tcW w:w="6566" w:type="dxa"/>
            <w:tcBorders>
              <w:top w:val="nil"/>
              <w:left w:val="nil"/>
              <w:bottom w:val="single" w:sz="4" w:space="0" w:color="D9D9D9"/>
              <w:right w:val="nil"/>
            </w:tcBorders>
            <w:shd w:val="clear" w:color="000000" w:fill="D9D9D9"/>
            <w:vAlign w:val="bottom"/>
            <w:hideMark/>
          </w:tcPr>
          <w:p w14:paraId="4007126D" w14:textId="77777777" w:rsidR="00AB6753" w:rsidRDefault="00AB6753" w:rsidP="002D1EA4">
            <w:pPr>
              <w:spacing w:after="0"/>
              <w:rPr>
                <w:rFonts w:cs="Arial"/>
                <w:b/>
                <w:bCs/>
                <w:sz w:val="18"/>
                <w:szCs w:val="18"/>
              </w:rPr>
            </w:pPr>
            <w:r>
              <w:rPr>
                <w:rFonts w:cs="Arial"/>
                <w:b/>
                <w:bCs/>
                <w:sz w:val="18"/>
                <w:szCs w:val="18"/>
              </w:rPr>
              <w:t>Total investments</w:t>
            </w:r>
          </w:p>
        </w:tc>
        <w:tc>
          <w:tcPr>
            <w:tcW w:w="1286" w:type="dxa"/>
            <w:tcBorders>
              <w:top w:val="single" w:sz="4" w:space="0" w:color="auto"/>
              <w:left w:val="nil"/>
              <w:bottom w:val="single" w:sz="4" w:space="0" w:color="auto"/>
              <w:right w:val="nil"/>
            </w:tcBorders>
            <w:shd w:val="clear" w:color="000000" w:fill="D9D9D9"/>
            <w:noWrap/>
            <w:vAlign w:val="bottom"/>
            <w:hideMark/>
          </w:tcPr>
          <w:p w14:paraId="6A5AA4FB" w14:textId="77777777" w:rsidR="00AB6753" w:rsidRDefault="00AB6753" w:rsidP="002D1EA4">
            <w:pPr>
              <w:spacing w:after="0"/>
              <w:jc w:val="right"/>
              <w:rPr>
                <w:rFonts w:cs="Arial"/>
                <w:b/>
                <w:bCs/>
                <w:sz w:val="18"/>
                <w:szCs w:val="18"/>
              </w:rPr>
            </w:pPr>
            <w:r>
              <w:rPr>
                <w:rFonts w:cs="Arial"/>
                <w:b/>
                <w:bCs/>
                <w:sz w:val="18"/>
                <w:szCs w:val="18"/>
              </w:rPr>
              <w:t>1,173,527</w:t>
            </w:r>
          </w:p>
        </w:tc>
        <w:tc>
          <w:tcPr>
            <w:tcW w:w="273" w:type="dxa"/>
            <w:tcBorders>
              <w:top w:val="nil"/>
              <w:left w:val="nil"/>
              <w:bottom w:val="single" w:sz="4" w:space="0" w:color="D9D9D9"/>
              <w:right w:val="nil"/>
            </w:tcBorders>
            <w:shd w:val="clear" w:color="000000" w:fill="D9D9D9"/>
            <w:noWrap/>
            <w:vAlign w:val="bottom"/>
            <w:hideMark/>
          </w:tcPr>
          <w:p w14:paraId="327812AB" w14:textId="77777777" w:rsidR="00AB6753" w:rsidRDefault="00AB6753" w:rsidP="002D1EA4">
            <w:pPr>
              <w:spacing w:after="0"/>
              <w:rPr>
                <w:rFonts w:cs="Arial"/>
                <w:sz w:val="16"/>
                <w:szCs w:val="16"/>
              </w:rPr>
            </w:pPr>
            <w:r>
              <w:rPr>
                <w:rFonts w:cs="Arial"/>
                <w:sz w:val="16"/>
                <w:szCs w:val="16"/>
              </w:rPr>
              <w:t> </w:t>
            </w:r>
          </w:p>
        </w:tc>
        <w:tc>
          <w:tcPr>
            <w:tcW w:w="1373" w:type="dxa"/>
            <w:tcBorders>
              <w:top w:val="single" w:sz="4" w:space="0" w:color="auto"/>
              <w:left w:val="nil"/>
              <w:bottom w:val="single" w:sz="4" w:space="0" w:color="auto"/>
              <w:right w:val="nil"/>
            </w:tcBorders>
            <w:shd w:val="clear" w:color="000000" w:fill="D9D9D9"/>
            <w:noWrap/>
            <w:vAlign w:val="bottom"/>
            <w:hideMark/>
          </w:tcPr>
          <w:p w14:paraId="4370E9A9" w14:textId="77777777" w:rsidR="00AB6753" w:rsidRDefault="00AB6753" w:rsidP="002D1EA4">
            <w:pPr>
              <w:spacing w:after="0"/>
              <w:jc w:val="right"/>
              <w:rPr>
                <w:rFonts w:cs="Arial"/>
                <w:sz w:val="18"/>
                <w:szCs w:val="18"/>
              </w:rPr>
            </w:pPr>
            <w:r>
              <w:rPr>
                <w:rFonts w:cs="Arial"/>
                <w:sz w:val="18"/>
                <w:szCs w:val="18"/>
              </w:rPr>
              <w:t>2,532,466</w:t>
            </w:r>
          </w:p>
        </w:tc>
      </w:tr>
    </w:tbl>
    <w:p w14:paraId="497C1766" w14:textId="77777777" w:rsidR="00AB6753" w:rsidRDefault="00AB6753" w:rsidP="00AB6753">
      <w:pPr>
        <w:pStyle w:val="GreyShadeTableBreak"/>
        <w:ind w:right="0"/>
      </w:pPr>
    </w:p>
    <w:p w14:paraId="389A883C" w14:textId="77777777" w:rsidR="00AB6753" w:rsidRPr="00133432" w:rsidRDefault="00AB6753" w:rsidP="00AB6753">
      <w:pPr>
        <w:pStyle w:val="GreyShadeTableBreak"/>
        <w:tabs>
          <w:tab w:val="left" w:pos="8891"/>
        </w:tabs>
        <w:spacing w:line="240" w:lineRule="atLeast"/>
        <w:ind w:left="125" w:right="0" w:hanging="142"/>
        <w:rPr>
          <w:rFonts w:ascii="Arial" w:hAnsi="Arial" w:cs="Arial"/>
          <w:sz w:val="18"/>
          <w:szCs w:val="18"/>
        </w:rPr>
      </w:pPr>
      <w:r w:rsidRPr="00133432">
        <w:rPr>
          <w:rFonts w:ascii="Arial" w:hAnsi="Arial" w:cs="Arial"/>
          <w:sz w:val="18"/>
          <w:szCs w:val="18"/>
          <w:vertAlign w:val="superscript"/>
        </w:rPr>
        <w:t xml:space="preserve">1. </w:t>
      </w:r>
      <w:r w:rsidRPr="00133432">
        <w:rPr>
          <w:rFonts w:ascii="Arial" w:hAnsi="Arial" w:cs="Arial"/>
          <w:sz w:val="18"/>
          <w:szCs w:val="18"/>
        </w:rPr>
        <w:t>The Commonwealth has 100 per cent of the equity interest in the National Disability Insurance Agency and Hearing Australia.</w:t>
      </w:r>
    </w:p>
    <w:p w14:paraId="1B693A05" w14:textId="77777777" w:rsidR="00AB6753" w:rsidRPr="00133432" w:rsidRDefault="00AB6753" w:rsidP="00AB6753">
      <w:pPr>
        <w:pStyle w:val="GreyShadeTableBreak"/>
        <w:tabs>
          <w:tab w:val="left" w:pos="8891"/>
        </w:tabs>
        <w:spacing w:line="240" w:lineRule="atLeast"/>
        <w:ind w:left="125" w:right="0" w:hanging="142"/>
        <w:rPr>
          <w:rFonts w:ascii="Arial" w:hAnsi="Arial" w:cs="Arial"/>
          <w:sz w:val="18"/>
          <w:szCs w:val="18"/>
        </w:rPr>
      </w:pPr>
      <w:r w:rsidRPr="00133432">
        <w:rPr>
          <w:rFonts w:ascii="Arial" w:hAnsi="Arial" w:cs="Arial"/>
          <w:sz w:val="18"/>
          <w:szCs w:val="18"/>
          <w:vertAlign w:val="superscript"/>
        </w:rPr>
        <w:t xml:space="preserve">2. </w:t>
      </w:r>
      <w:r w:rsidRPr="00133432">
        <w:rPr>
          <w:rFonts w:ascii="Arial" w:hAnsi="Arial" w:cs="Arial"/>
          <w:sz w:val="18"/>
          <w:szCs w:val="18"/>
        </w:rPr>
        <w:t xml:space="preserve">The Commonwealth has an interest in a property occupied by Unison Housing Limited located in Melbourne. The principal activity of the entity is the provision of community housing facilities. The Commonwealth owns 31 per cent of the unimproved market value of the land and its investment in Unison Housing Limited is limited to an equity contribution of grant funding. The Commonwealth’s interest is not expected to be sold or fully realised within the </w:t>
      </w:r>
      <w:r>
        <w:rPr>
          <w:rFonts w:ascii="Arial" w:hAnsi="Arial" w:cs="Arial"/>
          <w:sz w:val="18"/>
          <w:szCs w:val="18"/>
        </w:rPr>
        <w:br/>
      </w:r>
      <w:r w:rsidRPr="00133432">
        <w:rPr>
          <w:rFonts w:ascii="Arial" w:hAnsi="Arial" w:cs="Arial"/>
          <w:sz w:val="18"/>
          <w:szCs w:val="18"/>
        </w:rPr>
        <w:t xml:space="preserve">next 12 months. For the 2019 financial year, Unison Housing Limited was revalued independently in accordance with </w:t>
      </w:r>
      <w:r>
        <w:rPr>
          <w:rFonts w:ascii="Arial" w:hAnsi="Arial" w:cs="Arial"/>
          <w:sz w:val="18"/>
          <w:szCs w:val="18"/>
        </w:rPr>
        <w:br/>
      </w:r>
      <w:r w:rsidRPr="00133432">
        <w:rPr>
          <w:rFonts w:ascii="Arial" w:hAnsi="Arial" w:cs="Arial"/>
          <w:sz w:val="18"/>
          <w:szCs w:val="18"/>
        </w:rPr>
        <w:t xml:space="preserve">AASB 13 </w:t>
      </w:r>
      <w:r w:rsidRPr="00133432">
        <w:rPr>
          <w:rFonts w:ascii="Arial" w:hAnsi="Arial" w:cs="Arial"/>
          <w:i/>
          <w:sz w:val="18"/>
          <w:szCs w:val="18"/>
        </w:rPr>
        <w:t>Fair Value Measurement</w:t>
      </w:r>
      <w:r w:rsidRPr="00133432">
        <w:rPr>
          <w:rFonts w:ascii="Arial" w:hAnsi="Arial" w:cs="Arial"/>
          <w:sz w:val="18"/>
          <w:szCs w:val="18"/>
        </w:rPr>
        <w:t>.</w:t>
      </w:r>
    </w:p>
    <w:p w14:paraId="2EE38B96" w14:textId="77777777" w:rsidR="00AB6753" w:rsidRPr="00133432" w:rsidRDefault="00AB6753" w:rsidP="00AB6753">
      <w:pPr>
        <w:pStyle w:val="GreyShadeTableBreak"/>
        <w:spacing w:line="240" w:lineRule="atLeast"/>
        <w:ind w:right="0"/>
        <w:rPr>
          <w:rFonts w:ascii="Arial" w:hAnsi="Arial" w:cs="Arial"/>
          <w:sz w:val="18"/>
          <w:szCs w:val="18"/>
        </w:rPr>
      </w:pPr>
    </w:p>
    <w:p w14:paraId="6A6ED50D" w14:textId="77777777" w:rsidR="00AB6753" w:rsidRPr="00A3163D"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pPr>
      <w:r w:rsidRPr="00A3163D">
        <w:rPr>
          <w:b/>
          <w:i w:val="0"/>
        </w:rPr>
        <w:t>Accounting Policy</w:t>
      </w:r>
    </w:p>
    <w:p w14:paraId="38F05294" w14:textId="77777777" w:rsidR="00AB6753" w:rsidRPr="00795601"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rFonts w:cs="Arial"/>
        </w:rPr>
      </w:pPr>
      <w:r w:rsidRPr="00795601">
        <w:rPr>
          <w:rFonts w:cs="Arial"/>
        </w:rPr>
        <w:t>Administered Investments</w:t>
      </w:r>
    </w:p>
    <w:p w14:paraId="769CBF18" w14:textId="77777777" w:rsidR="00AB6753" w:rsidRPr="00795601"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rFonts w:cs="Arial"/>
        </w:rPr>
      </w:pPr>
      <w:r w:rsidRPr="00795601">
        <w:rPr>
          <w:rFonts w:cs="Arial"/>
          <w:i w:val="0"/>
          <w:u w:val="none"/>
        </w:rPr>
        <w:t>Administered investments in subsidiaries, joint ventures and associates are not consolidated because their consolidation is relevant only at the whole of government level.</w:t>
      </w:r>
    </w:p>
    <w:p w14:paraId="765BF8EC" w14:textId="77777777" w:rsidR="00AB6753" w:rsidRPr="00795601"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rFonts w:cs="Arial"/>
        </w:rPr>
      </w:pPr>
      <w:r w:rsidRPr="00795601">
        <w:rPr>
          <w:rFonts w:cs="Arial"/>
          <w:i w:val="0"/>
          <w:u w:val="none"/>
        </w:rPr>
        <w:t xml:space="preserve">Administered investments other than those held for sale are classified as fair value through other comprehensive income and are measured at their fair value as at 30 June </w:t>
      </w:r>
      <w:r w:rsidRPr="00795601">
        <w:rPr>
          <w:rFonts w:cs="Arial"/>
          <w:i w:val="0"/>
          <w:u w:val="none"/>
        </w:rPr>
        <w:fldChar w:fldCharType="begin"/>
      </w:r>
      <w:r w:rsidRPr="00795601">
        <w:rPr>
          <w:rFonts w:cs="Arial"/>
          <w:i w:val="0"/>
          <w:u w:val="none"/>
        </w:rPr>
        <w:instrText xml:space="preserve"> DOCPROPERTY  crYear  \* MERGEFORMAT </w:instrText>
      </w:r>
      <w:r w:rsidRPr="00795601">
        <w:rPr>
          <w:rFonts w:cs="Arial"/>
          <w:i w:val="0"/>
          <w:u w:val="none"/>
        </w:rPr>
        <w:fldChar w:fldCharType="separate"/>
      </w:r>
      <w:r w:rsidRPr="00795601">
        <w:rPr>
          <w:rFonts w:cs="Arial"/>
          <w:i w:val="0"/>
          <w:u w:val="none"/>
        </w:rPr>
        <w:t>2020</w:t>
      </w:r>
      <w:r w:rsidRPr="00795601">
        <w:rPr>
          <w:rFonts w:cs="Arial"/>
          <w:i w:val="0"/>
          <w:u w:val="none"/>
        </w:rPr>
        <w:fldChar w:fldCharType="end"/>
      </w:r>
      <w:r w:rsidRPr="00795601">
        <w:rPr>
          <w:rFonts w:cs="Arial"/>
          <w:i w:val="0"/>
          <w:u w:val="none"/>
        </w:rPr>
        <w:t>. Fair value has been taken to be the Australian Government's proportional interest in the net assets of the entities as at the end of the reporting period.</w:t>
      </w:r>
    </w:p>
    <w:p w14:paraId="416963A8" w14:textId="77777777" w:rsidR="00AB6753" w:rsidRDefault="00AB6753" w:rsidP="00AB6753">
      <w:pPr>
        <w:pBdr>
          <w:top w:val="single" w:sz="4" w:space="1" w:color="00B2BA"/>
          <w:left w:val="single" w:sz="4" w:space="4" w:color="00B2BA"/>
          <w:bottom w:val="single" w:sz="4" w:space="1" w:color="00B2BA"/>
          <w:right w:val="single" w:sz="4" w:space="4" w:color="00B2BA"/>
        </w:pBdr>
        <w:spacing w:line="240" w:lineRule="auto"/>
        <w:rPr>
          <w:rFonts w:ascii="Helvetica" w:hAnsi="Helvetica" w:cs="Helvetica"/>
          <w:sz w:val="18"/>
          <w:szCs w:val="18"/>
        </w:rPr>
      </w:pPr>
      <w:r>
        <w:br w:type="page"/>
      </w:r>
    </w:p>
    <w:p w14:paraId="0320E97E" w14:textId="77777777" w:rsidR="00AB6753" w:rsidRPr="00163047" w:rsidRDefault="00AB6753" w:rsidP="00AB6753">
      <w:pPr>
        <w:pStyle w:val="SubHeading"/>
        <w:shd w:val="clear" w:color="auto" w:fill="D9D9D9" w:themeFill="background1" w:themeFillShade="D9"/>
        <w:ind w:left="-17"/>
        <w:outlineLvl w:val="0"/>
        <w:rPr>
          <w:sz w:val="20"/>
        </w:rPr>
      </w:pPr>
      <w:bookmarkStart w:id="165" w:name="_Toc45748814"/>
      <w:r>
        <w:rPr>
          <w:sz w:val="20"/>
        </w:rPr>
        <w:lastRenderedPageBreak/>
        <w:t xml:space="preserve">4.2 </w:t>
      </w:r>
      <w:r w:rsidRPr="00163047">
        <w:rPr>
          <w:sz w:val="20"/>
        </w:rPr>
        <w:t>Administered – Payables</w:t>
      </w:r>
      <w:bookmarkEnd w:id="165"/>
    </w:p>
    <w:p w14:paraId="20AA48DD" w14:textId="77777777" w:rsidR="00AB6753" w:rsidRDefault="00AB6753" w:rsidP="00AB6753">
      <w:pPr>
        <w:pStyle w:val="GreyShadeTableBreak"/>
        <w:ind w:right="0"/>
      </w:pPr>
    </w:p>
    <w:tbl>
      <w:tblPr>
        <w:tblW w:w="9498" w:type="dxa"/>
        <w:tblLayout w:type="fixed"/>
        <w:tblLook w:val="04A0" w:firstRow="1" w:lastRow="0" w:firstColumn="1" w:lastColumn="0" w:noHBand="0" w:noVBand="1"/>
        <w:tblCaption w:val="Notes to and forming part of the financial statements"/>
        <w:tblDescription w:val="Administered payables"/>
      </w:tblPr>
      <w:tblGrid>
        <w:gridCol w:w="6566"/>
        <w:gridCol w:w="1286"/>
        <w:gridCol w:w="273"/>
        <w:gridCol w:w="1373"/>
      </w:tblGrid>
      <w:tr w:rsidR="00AB6753" w14:paraId="0FA40744" w14:textId="77777777" w:rsidTr="002D1EA4">
        <w:trPr>
          <w:trHeight w:val="255"/>
        </w:trPr>
        <w:tc>
          <w:tcPr>
            <w:tcW w:w="6566" w:type="dxa"/>
            <w:tcBorders>
              <w:top w:val="nil"/>
              <w:left w:val="nil"/>
              <w:bottom w:val="nil"/>
              <w:right w:val="nil"/>
            </w:tcBorders>
            <w:shd w:val="clear" w:color="000000" w:fill="D9D9D9"/>
            <w:noWrap/>
            <w:hideMark/>
          </w:tcPr>
          <w:p w14:paraId="3FBA01B5" w14:textId="77777777" w:rsidR="00AB6753" w:rsidRDefault="00AB6753" w:rsidP="002D1EA4">
            <w:pPr>
              <w:spacing w:after="0"/>
              <w:ind w:left="-100"/>
              <w:rPr>
                <w:rFonts w:cs="Arial"/>
                <w:b/>
                <w:bCs/>
                <w:sz w:val="18"/>
                <w:szCs w:val="18"/>
              </w:rPr>
            </w:pPr>
            <w:bookmarkStart w:id="166" w:name="Note_APPTABLE1" w:colFirst="0" w:colLast="0"/>
            <w:r>
              <w:rPr>
                <w:rFonts w:cs="Arial"/>
                <w:b/>
                <w:bCs/>
                <w:sz w:val="18"/>
                <w:szCs w:val="18"/>
              </w:rPr>
              <w:t> </w:t>
            </w:r>
          </w:p>
        </w:tc>
        <w:tc>
          <w:tcPr>
            <w:tcW w:w="1286" w:type="dxa"/>
            <w:tcBorders>
              <w:top w:val="nil"/>
              <w:left w:val="nil"/>
              <w:bottom w:val="nil"/>
              <w:right w:val="nil"/>
            </w:tcBorders>
            <w:shd w:val="clear" w:color="000000" w:fill="D9D9D9"/>
            <w:noWrap/>
            <w:vAlign w:val="bottom"/>
            <w:hideMark/>
          </w:tcPr>
          <w:p w14:paraId="5DE048CE" w14:textId="77777777" w:rsidR="00AB6753" w:rsidRDefault="00AB6753" w:rsidP="002D1EA4">
            <w:pPr>
              <w:spacing w:after="0"/>
              <w:jc w:val="right"/>
              <w:rPr>
                <w:rFonts w:cs="Arial"/>
                <w:b/>
                <w:bCs/>
                <w:sz w:val="18"/>
                <w:szCs w:val="18"/>
              </w:rPr>
            </w:pPr>
            <w:r>
              <w:rPr>
                <w:rFonts w:cs="Arial"/>
                <w:b/>
                <w:bCs/>
                <w:sz w:val="18"/>
                <w:szCs w:val="18"/>
              </w:rPr>
              <w:t>2020</w:t>
            </w:r>
          </w:p>
        </w:tc>
        <w:tc>
          <w:tcPr>
            <w:tcW w:w="273" w:type="dxa"/>
            <w:tcBorders>
              <w:top w:val="nil"/>
              <w:left w:val="nil"/>
              <w:bottom w:val="nil"/>
              <w:right w:val="nil"/>
            </w:tcBorders>
            <w:shd w:val="clear" w:color="000000" w:fill="D9D9D9"/>
            <w:noWrap/>
            <w:vAlign w:val="bottom"/>
            <w:hideMark/>
          </w:tcPr>
          <w:p w14:paraId="0055EEB1"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7BB2A655" w14:textId="77777777" w:rsidR="00AB6753" w:rsidRDefault="00AB6753" w:rsidP="002D1EA4">
            <w:pPr>
              <w:spacing w:after="0"/>
              <w:jc w:val="right"/>
              <w:rPr>
                <w:rFonts w:cs="Arial"/>
                <w:sz w:val="18"/>
                <w:szCs w:val="18"/>
              </w:rPr>
            </w:pPr>
            <w:r>
              <w:rPr>
                <w:rFonts w:cs="Arial"/>
                <w:sz w:val="18"/>
                <w:szCs w:val="18"/>
              </w:rPr>
              <w:t>2019</w:t>
            </w:r>
          </w:p>
        </w:tc>
      </w:tr>
      <w:bookmarkEnd w:id="166"/>
      <w:tr w:rsidR="00AB6753" w14:paraId="39E8B603" w14:textId="77777777" w:rsidTr="002D1EA4">
        <w:trPr>
          <w:trHeight w:val="255"/>
        </w:trPr>
        <w:tc>
          <w:tcPr>
            <w:tcW w:w="6566" w:type="dxa"/>
            <w:tcBorders>
              <w:top w:val="nil"/>
              <w:left w:val="nil"/>
              <w:bottom w:val="nil"/>
              <w:right w:val="nil"/>
            </w:tcBorders>
            <w:shd w:val="clear" w:color="000000" w:fill="D9D9D9"/>
            <w:noWrap/>
            <w:hideMark/>
          </w:tcPr>
          <w:p w14:paraId="22B76B49" w14:textId="77777777" w:rsidR="00AB6753" w:rsidRDefault="00AB6753" w:rsidP="002D1EA4">
            <w:pPr>
              <w:spacing w:after="0"/>
              <w:ind w:left="-100"/>
              <w:rPr>
                <w:rFonts w:cs="Arial"/>
                <w:b/>
                <w:bCs/>
                <w:sz w:val="18"/>
                <w:szCs w:val="18"/>
              </w:rPr>
            </w:pPr>
            <w:r>
              <w:rPr>
                <w:rFonts w:cs="Arial"/>
                <w:b/>
                <w:bCs/>
                <w:sz w:val="18"/>
                <w:szCs w:val="18"/>
              </w:rPr>
              <w:t> </w:t>
            </w:r>
          </w:p>
        </w:tc>
        <w:tc>
          <w:tcPr>
            <w:tcW w:w="1286" w:type="dxa"/>
            <w:tcBorders>
              <w:top w:val="nil"/>
              <w:left w:val="nil"/>
              <w:bottom w:val="nil"/>
              <w:right w:val="nil"/>
            </w:tcBorders>
            <w:shd w:val="clear" w:color="000000" w:fill="D9D9D9"/>
            <w:noWrap/>
            <w:vAlign w:val="bottom"/>
            <w:hideMark/>
          </w:tcPr>
          <w:p w14:paraId="719B901B" w14:textId="77777777" w:rsidR="00AB6753" w:rsidRDefault="00AB6753" w:rsidP="002D1EA4">
            <w:pPr>
              <w:spacing w:after="0"/>
              <w:jc w:val="right"/>
              <w:rPr>
                <w:rFonts w:cs="Arial"/>
                <w:b/>
                <w:bCs/>
                <w:sz w:val="18"/>
                <w:szCs w:val="18"/>
              </w:rPr>
            </w:pPr>
            <w:r>
              <w:rPr>
                <w:rFonts w:cs="Arial"/>
                <w:b/>
                <w:bCs/>
                <w:sz w:val="18"/>
                <w:szCs w:val="18"/>
              </w:rPr>
              <w:t>$'000</w:t>
            </w:r>
          </w:p>
        </w:tc>
        <w:tc>
          <w:tcPr>
            <w:tcW w:w="273" w:type="dxa"/>
            <w:tcBorders>
              <w:top w:val="nil"/>
              <w:left w:val="nil"/>
              <w:bottom w:val="nil"/>
              <w:right w:val="nil"/>
            </w:tcBorders>
            <w:shd w:val="clear" w:color="000000" w:fill="D9D9D9"/>
            <w:noWrap/>
            <w:vAlign w:val="bottom"/>
            <w:hideMark/>
          </w:tcPr>
          <w:p w14:paraId="77F44BAC"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72080D07" w14:textId="77777777" w:rsidR="00AB6753" w:rsidRDefault="00AB6753" w:rsidP="002D1EA4">
            <w:pPr>
              <w:spacing w:after="0"/>
              <w:jc w:val="right"/>
              <w:rPr>
                <w:rFonts w:cs="Arial"/>
                <w:sz w:val="18"/>
                <w:szCs w:val="18"/>
              </w:rPr>
            </w:pPr>
            <w:r>
              <w:rPr>
                <w:rFonts w:cs="Arial"/>
                <w:sz w:val="18"/>
                <w:szCs w:val="18"/>
              </w:rPr>
              <w:t>$'000</w:t>
            </w:r>
          </w:p>
        </w:tc>
      </w:tr>
      <w:tr w:rsidR="00AB6753" w14:paraId="74A61FCA" w14:textId="77777777" w:rsidTr="002D1EA4">
        <w:trPr>
          <w:trHeight w:val="255"/>
        </w:trPr>
        <w:tc>
          <w:tcPr>
            <w:tcW w:w="6566" w:type="dxa"/>
            <w:tcBorders>
              <w:top w:val="nil"/>
              <w:left w:val="nil"/>
              <w:bottom w:val="nil"/>
              <w:right w:val="nil"/>
            </w:tcBorders>
            <w:shd w:val="clear" w:color="000000" w:fill="D9D9D9"/>
            <w:noWrap/>
            <w:hideMark/>
          </w:tcPr>
          <w:p w14:paraId="2F9B5D4B" w14:textId="77777777" w:rsidR="00AB6753" w:rsidRDefault="00AB6753" w:rsidP="002D1EA4">
            <w:pPr>
              <w:spacing w:after="0"/>
              <w:ind w:left="-100"/>
              <w:rPr>
                <w:rFonts w:cs="Arial"/>
                <w:b/>
                <w:bCs/>
                <w:sz w:val="18"/>
                <w:szCs w:val="18"/>
                <w:u w:val="single"/>
              </w:rPr>
            </w:pPr>
            <w:r>
              <w:rPr>
                <w:rFonts w:cs="Arial"/>
                <w:b/>
                <w:bCs/>
                <w:sz w:val="18"/>
                <w:szCs w:val="18"/>
                <w:u w:val="single"/>
              </w:rPr>
              <w:t>Note 4.2A: Personal Benefits</w:t>
            </w:r>
          </w:p>
        </w:tc>
        <w:tc>
          <w:tcPr>
            <w:tcW w:w="1286" w:type="dxa"/>
            <w:tcBorders>
              <w:top w:val="nil"/>
              <w:left w:val="nil"/>
              <w:bottom w:val="nil"/>
              <w:right w:val="nil"/>
            </w:tcBorders>
            <w:shd w:val="clear" w:color="000000" w:fill="D9D9D9"/>
            <w:noWrap/>
            <w:vAlign w:val="bottom"/>
            <w:hideMark/>
          </w:tcPr>
          <w:p w14:paraId="7656D5AB" w14:textId="77777777" w:rsidR="00AB6753" w:rsidRDefault="00AB6753" w:rsidP="002D1EA4">
            <w:pPr>
              <w:spacing w:after="0"/>
              <w:rPr>
                <w:rFonts w:cs="Arial"/>
                <w:sz w:val="16"/>
                <w:szCs w:val="16"/>
              </w:rPr>
            </w:pPr>
            <w:r>
              <w:rPr>
                <w:rFonts w:cs="Arial"/>
                <w:sz w:val="16"/>
                <w:szCs w:val="16"/>
              </w:rPr>
              <w:t> </w:t>
            </w:r>
          </w:p>
        </w:tc>
        <w:tc>
          <w:tcPr>
            <w:tcW w:w="273" w:type="dxa"/>
            <w:tcBorders>
              <w:top w:val="nil"/>
              <w:left w:val="nil"/>
              <w:bottom w:val="nil"/>
              <w:right w:val="nil"/>
            </w:tcBorders>
            <w:shd w:val="clear" w:color="000000" w:fill="D9D9D9"/>
            <w:noWrap/>
            <w:vAlign w:val="bottom"/>
            <w:hideMark/>
          </w:tcPr>
          <w:p w14:paraId="7C4FEFA3"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21A93D6C" w14:textId="77777777" w:rsidR="00AB6753" w:rsidRDefault="00AB6753" w:rsidP="002D1EA4">
            <w:pPr>
              <w:spacing w:after="0"/>
              <w:rPr>
                <w:rFonts w:cs="Arial"/>
                <w:sz w:val="16"/>
                <w:szCs w:val="16"/>
              </w:rPr>
            </w:pPr>
            <w:r>
              <w:rPr>
                <w:rFonts w:cs="Arial"/>
                <w:sz w:val="16"/>
                <w:szCs w:val="16"/>
              </w:rPr>
              <w:t> </w:t>
            </w:r>
          </w:p>
        </w:tc>
      </w:tr>
      <w:tr w:rsidR="00AB6753" w14:paraId="49091FE7" w14:textId="77777777" w:rsidTr="002D1EA4">
        <w:trPr>
          <w:trHeight w:val="255"/>
        </w:trPr>
        <w:tc>
          <w:tcPr>
            <w:tcW w:w="6566" w:type="dxa"/>
            <w:tcBorders>
              <w:top w:val="nil"/>
              <w:left w:val="nil"/>
              <w:bottom w:val="nil"/>
              <w:right w:val="nil"/>
            </w:tcBorders>
            <w:shd w:val="clear" w:color="000000" w:fill="D9D9D9"/>
            <w:vAlign w:val="center"/>
            <w:hideMark/>
          </w:tcPr>
          <w:p w14:paraId="241E7422" w14:textId="77777777" w:rsidR="00AB6753" w:rsidRDefault="00AB6753" w:rsidP="002D1EA4">
            <w:pPr>
              <w:spacing w:after="0"/>
              <w:ind w:left="-100"/>
              <w:rPr>
                <w:rFonts w:cs="Arial"/>
                <w:sz w:val="18"/>
                <w:szCs w:val="18"/>
              </w:rPr>
            </w:pPr>
            <w:r>
              <w:rPr>
                <w:rFonts w:cs="Arial"/>
                <w:sz w:val="18"/>
                <w:szCs w:val="18"/>
              </w:rPr>
              <w:t>Working Age Payments</w:t>
            </w:r>
          </w:p>
        </w:tc>
        <w:tc>
          <w:tcPr>
            <w:tcW w:w="1286" w:type="dxa"/>
            <w:tcBorders>
              <w:top w:val="nil"/>
              <w:left w:val="nil"/>
              <w:bottom w:val="nil"/>
              <w:right w:val="nil"/>
            </w:tcBorders>
            <w:shd w:val="clear" w:color="000000" w:fill="D9D9D9"/>
            <w:noWrap/>
            <w:vAlign w:val="bottom"/>
            <w:hideMark/>
          </w:tcPr>
          <w:p w14:paraId="3F59F79F" w14:textId="77777777" w:rsidR="00AB6753" w:rsidRDefault="00AB6753" w:rsidP="002D1EA4">
            <w:pPr>
              <w:spacing w:after="0"/>
              <w:jc w:val="right"/>
              <w:rPr>
                <w:rFonts w:cs="Arial"/>
                <w:b/>
                <w:bCs/>
                <w:sz w:val="18"/>
                <w:szCs w:val="18"/>
              </w:rPr>
            </w:pPr>
            <w:r>
              <w:rPr>
                <w:rFonts w:cs="Arial"/>
                <w:b/>
                <w:bCs/>
                <w:sz w:val="18"/>
                <w:szCs w:val="18"/>
              </w:rPr>
              <w:t>1,646,202</w:t>
            </w:r>
          </w:p>
        </w:tc>
        <w:tc>
          <w:tcPr>
            <w:tcW w:w="273" w:type="dxa"/>
            <w:tcBorders>
              <w:top w:val="nil"/>
              <w:left w:val="nil"/>
              <w:bottom w:val="nil"/>
              <w:right w:val="nil"/>
            </w:tcBorders>
            <w:shd w:val="clear" w:color="000000" w:fill="D9D9D9"/>
            <w:noWrap/>
            <w:vAlign w:val="center"/>
            <w:hideMark/>
          </w:tcPr>
          <w:p w14:paraId="797D5C3C"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594862F4" w14:textId="77777777" w:rsidR="00AB6753" w:rsidRDefault="00AB6753" w:rsidP="002D1EA4">
            <w:pPr>
              <w:spacing w:after="0"/>
              <w:jc w:val="right"/>
              <w:rPr>
                <w:rFonts w:cs="Arial"/>
                <w:sz w:val="18"/>
                <w:szCs w:val="18"/>
              </w:rPr>
            </w:pPr>
            <w:r>
              <w:rPr>
                <w:rFonts w:cs="Arial"/>
                <w:sz w:val="18"/>
                <w:szCs w:val="18"/>
              </w:rPr>
              <w:t>377,778</w:t>
            </w:r>
          </w:p>
        </w:tc>
      </w:tr>
      <w:tr w:rsidR="00AB6753" w14:paraId="511380AC" w14:textId="77777777" w:rsidTr="002D1EA4">
        <w:trPr>
          <w:trHeight w:val="270"/>
        </w:trPr>
        <w:tc>
          <w:tcPr>
            <w:tcW w:w="6566" w:type="dxa"/>
            <w:tcBorders>
              <w:top w:val="nil"/>
              <w:left w:val="nil"/>
              <w:bottom w:val="single" w:sz="8" w:space="0" w:color="D9D9D9"/>
              <w:right w:val="nil"/>
            </w:tcBorders>
            <w:shd w:val="clear" w:color="000000" w:fill="D9D9D9"/>
            <w:noWrap/>
            <w:vAlign w:val="center"/>
            <w:hideMark/>
          </w:tcPr>
          <w:p w14:paraId="7E19C505" w14:textId="77777777" w:rsidR="00AB6753" w:rsidRDefault="00AB6753" w:rsidP="002D1EA4">
            <w:pPr>
              <w:spacing w:after="0"/>
              <w:ind w:left="-100"/>
              <w:rPr>
                <w:rFonts w:cs="Arial"/>
                <w:sz w:val="18"/>
                <w:szCs w:val="18"/>
              </w:rPr>
            </w:pPr>
            <w:r>
              <w:rPr>
                <w:rFonts w:cs="Arial"/>
                <w:sz w:val="18"/>
                <w:szCs w:val="18"/>
              </w:rPr>
              <w:t>Income Support for Seniors</w:t>
            </w:r>
          </w:p>
        </w:tc>
        <w:tc>
          <w:tcPr>
            <w:tcW w:w="1286" w:type="dxa"/>
            <w:tcBorders>
              <w:top w:val="nil"/>
              <w:left w:val="nil"/>
              <w:bottom w:val="nil"/>
              <w:right w:val="nil"/>
            </w:tcBorders>
            <w:shd w:val="clear" w:color="000000" w:fill="D9D9D9"/>
            <w:noWrap/>
            <w:vAlign w:val="bottom"/>
            <w:hideMark/>
          </w:tcPr>
          <w:p w14:paraId="3DA8446E" w14:textId="77777777" w:rsidR="00AB6753" w:rsidRDefault="00AB6753" w:rsidP="002D1EA4">
            <w:pPr>
              <w:spacing w:after="0"/>
              <w:jc w:val="right"/>
              <w:rPr>
                <w:rFonts w:cs="Arial"/>
                <w:b/>
                <w:bCs/>
                <w:sz w:val="18"/>
                <w:szCs w:val="18"/>
              </w:rPr>
            </w:pPr>
            <w:r>
              <w:rPr>
                <w:rFonts w:cs="Arial"/>
                <w:b/>
                <w:bCs/>
                <w:sz w:val="18"/>
                <w:szCs w:val="18"/>
              </w:rPr>
              <w:t>980,460</w:t>
            </w:r>
          </w:p>
        </w:tc>
        <w:tc>
          <w:tcPr>
            <w:tcW w:w="273" w:type="dxa"/>
            <w:tcBorders>
              <w:top w:val="nil"/>
              <w:left w:val="nil"/>
              <w:bottom w:val="nil"/>
              <w:right w:val="nil"/>
            </w:tcBorders>
            <w:shd w:val="clear" w:color="000000" w:fill="D9D9D9"/>
            <w:noWrap/>
            <w:vAlign w:val="center"/>
            <w:hideMark/>
          </w:tcPr>
          <w:p w14:paraId="7B561449"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30553D0A" w14:textId="77777777" w:rsidR="00AB6753" w:rsidRDefault="00AB6753" w:rsidP="002D1EA4">
            <w:pPr>
              <w:spacing w:after="0"/>
              <w:jc w:val="right"/>
              <w:rPr>
                <w:rFonts w:cs="Arial"/>
                <w:sz w:val="18"/>
                <w:szCs w:val="18"/>
              </w:rPr>
            </w:pPr>
            <w:r>
              <w:rPr>
                <w:rFonts w:cs="Arial"/>
                <w:sz w:val="18"/>
                <w:szCs w:val="18"/>
              </w:rPr>
              <w:t>910,609</w:t>
            </w:r>
          </w:p>
        </w:tc>
      </w:tr>
      <w:tr w:rsidR="00AB6753" w14:paraId="4C2ABF29" w14:textId="77777777" w:rsidTr="002D1EA4">
        <w:trPr>
          <w:trHeight w:val="255"/>
        </w:trPr>
        <w:tc>
          <w:tcPr>
            <w:tcW w:w="6566" w:type="dxa"/>
            <w:tcBorders>
              <w:top w:val="nil"/>
              <w:left w:val="nil"/>
              <w:bottom w:val="nil"/>
              <w:right w:val="nil"/>
            </w:tcBorders>
            <w:shd w:val="clear" w:color="000000" w:fill="D9D9D9"/>
            <w:vAlign w:val="center"/>
            <w:hideMark/>
          </w:tcPr>
          <w:p w14:paraId="743C30BB" w14:textId="77777777" w:rsidR="00AB6753" w:rsidRDefault="00AB6753" w:rsidP="002D1EA4">
            <w:pPr>
              <w:spacing w:after="0"/>
              <w:ind w:left="-100"/>
              <w:rPr>
                <w:rFonts w:cs="Arial"/>
                <w:sz w:val="18"/>
                <w:szCs w:val="18"/>
              </w:rPr>
            </w:pPr>
            <w:r>
              <w:rPr>
                <w:rFonts w:cs="Arial"/>
                <w:sz w:val="18"/>
                <w:szCs w:val="18"/>
              </w:rPr>
              <w:t>Income Support for People with Disability</w:t>
            </w:r>
          </w:p>
        </w:tc>
        <w:tc>
          <w:tcPr>
            <w:tcW w:w="1286" w:type="dxa"/>
            <w:tcBorders>
              <w:top w:val="nil"/>
              <w:left w:val="nil"/>
              <w:bottom w:val="nil"/>
              <w:right w:val="nil"/>
            </w:tcBorders>
            <w:shd w:val="clear" w:color="000000" w:fill="D9D9D9"/>
            <w:noWrap/>
            <w:vAlign w:val="bottom"/>
            <w:hideMark/>
          </w:tcPr>
          <w:p w14:paraId="44266580" w14:textId="77777777" w:rsidR="00AB6753" w:rsidRDefault="00AB6753" w:rsidP="002D1EA4">
            <w:pPr>
              <w:spacing w:after="0"/>
              <w:jc w:val="right"/>
              <w:rPr>
                <w:rFonts w:cs="Arial"/>
                <w:b/>
                <w:bCs/>
                <w:sz w:val="18"/>
                <w:szCs w:val="18"/>
              </w:rPr>
            </w:pPr>
            <w:r>
              <w:rPr>
                <w:rFonts w:cs="Arial"/>
                <w:b/>
                <w:bCs/>
                <w:sz w:val="18"/>
                <w:szCs w:val="18"/>
              </w:rPr>
              <w:t>401,565</w:t>
            </w:r>
          </w:p>
        </w:tc>
        <w:tc>
          <w:tcPr>
            <w:tcW w:w="273" w:type="dxa"/>
            <w:tcBorders>
              <w:top w:val="nil"/>
              <w:left w:val="nil"/>
              <w:bottom w:val="nil"/>
              <w:right w:val="nil"/>
            </w:tcBorders>
            <w:shd w:val="clear" w:color="000000" w:fill="D9D9D9"/>
            <w:noWrap/>
            <w:vAlign w:val="center"/>
            <w:hideMark/>
          </w:tcPr>
          <w:p w14:paraId="1010CB2D"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6F4F317F" w14:textId="77777777" w:rsidR="00AB6753" w:rsidRDefault="00AB6753" w:rsidP="002D1EA4">
            <w:pPr>
              <w:spacing w:after="0"/>
              <w:jc w:val="right"/>
              <w:rPr>
                <w:rFonts w:cs="Arial"/>
                <w:sz w:val="18"/>
                <w:szCs w:val="18"/>
              </w:rPr>
            </w:pPr>
            <w:r>
              <w:rPr>
                <w:rFonts w:cs="Arial"/>
                <w:sz w:val="18"/>
                <w:szCs w:val="18"/>
              </w:rPr>
              <w:t>338,330</w:t>
            </w:r>
          </w:p>
        </w:tc>
      </w:tr>
      <w:tr w:rsidR="00AB6753" w14:paraId="3E34D59C" w14:textId="77777777" w:rsidTr="002D1EA4">
        <w:trPr>
          <w:trHeight w:val="255"/>
        </w:trPr>
        <w:tc>
          <w:tcPr>
            <w:tcW w:w="6566" w:type="dxa"/>
            <w:tcBorders>
              <w:top w:val="nil"/>
              <w:left w:val="nil"/>
              <w:bottom w:val="nil"/>
              <w:right w:val="nil"/>
            </w:tcBorders>
            <w:shd w:val="clear" w:color="000000" w:fill="D9D9D9"/>
            <w:vAlign w:val="center"/>
            <w:hideMark/>
          </w:tcPr>
          <w:p w14:paraId="1EF462A3" w14:textId="77777777" w:rsidR="00AB6753" w:rsidRDefault="00AB6753" w:rsidP="002D1EA4">
            <w:pPr>
              <w:spacing w:after="0"/>
              <w:ind w:left="-100"/>
              <w:rPr>
                <w:rFonts w:cs="Arial"/>
                <w:sz w:val="18"/>
                <w:szCs w:val="18"/>
              </w:rPr>
            </w:pPr>
            <w:r>
              <w:rPr>
                <w:rFonts w:cs="Arial"/>
                <w:sz w:val="18"/>
                <w:szCs w:val="18"/>
              </w:rPr>
              <w:t>Family Tax Benefit</w:t>
            </w:r>
          </w:p>
        </w:tc>
        <w:tc>
          <w:tcPr>
            <w:tcW w:w="1286" w:type="dxa"/>
            <w:tcBorders>
              <w:top w:val="nil"/>
              <w:left w:val="nil"/>
              <w:bottom w:val="nil"/>
              <w:right w:val="nil"/>
            </w:tcBorders>
            <w:shd w:val="clear" w:color="000000" w:fill="D9D9D9"/>
            <w:noWrap/>
            <w:vAlign w:val="bottom"/>
            <w:hideMark/>
          </w:tcPr>
          <w:p w14:paraId="2078B96B" w14:textId="77777777" w:rsidR="00AB6753" w:rsidRDefault="00AB6753" w:rsidP="002D1EA4">
            <w:pPr>
              <w:spacing w:after="0"/>
              <w:jc w:val="right"/>
              <w:rPr>
                <w:rFonts w:cs="Arial"/>
                <w:b/>
                <w:bCs/>
                <w:sz w:val="18"/>
                <w:szCs w:val="18"/>
              </w:rPr>
            </w:pPr>
            <w:r>
              <w:rPr>
                <w:rFonts w:cs="Arial"/>
                <w:b/>
                <w:bCs/>
                <w:sz w:val="18"/>
                <w:szCs w:val="18"/>
              </w:rPr>
              <w:t>307,334</w:t>
            </w:r>
          </w:p>
        </w:tc>
        <w:tc>
          <w:tcPr>
            <w:tcW w:w="273" w:type="dxa"/>
            <w:tcBorders>
              <w:top w:val="nil"/>
              <w:left w:val="nil"/>
              <w:bottom w:val="nil"/>
              <w:right w:val="nil"/>
            </w:tcBorders>
            <w:shd w:val="clear" w:color="000000" w:fill="D9D9D9"/>
            <w:noWrap/>
            <w:vAlign w:val="center"/>
            <w:hideMark/>
          </w:tcPr>
          <w:p w14:paraId="526E0C2C"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62D5C6B4" w14:textId="77777777" w:rsidR="00AB6753" w:rsidRDefault="00AB6753" w:rsidP="002D1EA4">
            <w:pPr>
              <w:spacing w:after="0"/>
              <w:jc w:val="right"/>
              <w:rPr>
                <w:rFonts w:cs="Arial"/>
                <w:sz w:val="18"/>
                <w:szCs w:val="18"/>
              </w:rPr>
            </w:pPr>
            <w:r>
              <w:rPr>
                <w:rFonts w:cs="Arial"/>
                <w:sz w:val="18"/>
                <w:szCs w:val="18"/>
              </w:rPr>
              <w:t>324,408</w:t>
            </w:r>
          </w:p>
        </w:tc>
      </w:tr>
      <w:tr w:rsidR="00AB6753" w14:paraId="6FDB432D" w14:textId="77777777" w:rsidTr="002D1EA4">
        <w:trPr>
          <w:trHeight w:val="255"/>
        </w:trPr>
        <w:tc>
          <w:tcPr>
            <w:tcW w:w="6566" w:type="dxa"/>
            <w:tcBorders>
              <w:top w:val="nil"/>
              <w:left w:val="nil"/>
              <w:bottom w:val="nil"/>
              <w:right w:val="nil"/>
            </w:tcBorders>
            <w:shd w:val="clear" w:color="000000" w:fill="D9D9D9"/>
            <w:vAlign w:val="center"/>
            <w:hideMark/>
          </w:tcPr>
          <w:p w14:paraId="0BF3A2EF" w14:textId="77777777" w:rsidR="00AB6753" w:rsidRDefault="00AB6753" w:rsidP="002D1EA4">
            <w:pPr>
              <w:spacing w:after="0"/>
              <w:ind w:left="-100"/>
              <w:rPr>
                <w:rFonts w:cs="Arial"/>
                <w:sz w:val="18"/>
                <w:szCs w:val="18"/>
              </w:rPr>
            </w:pPr>
            <w:r>
              <w:rPr>
                <w:rFonts w:cs="Arial"/>
                <w:sz w:val="18"/>
                <w:szCs w:val="18"/>
              </w:rPr>
              <w:t>Student Payments</w:t>
            </w:r>
          </w:p>
        </w:tc>
        <w:tc>
          <w:tcPr>
            <w:tcW w:w="1286" w:type="dxa"/>
            <w:tcBorders>
              <w:top w:val="nil"/>
              <w:left w:val="nil"/>
              <w:bottom w:val="nil"/>
              <w:right w:val="nil"/>
            </w:tcBorders>
            <w:shd w:val="clear" w:color="000000" w:fill="D9D9D9"/>
            <w:noWrap/>
            <w:vAlign w:val="bottom"/>
            <w:hideMark/>
          </w:tcPr>
          <w:p w14:paraId="1CBE5576" w14:textId="77777777" w:rsidR="00AB6753" w:rsidRDefault="00AB6753" w:rsidP="002D1EA4">
            <w:pPr>
              <w:spacing w:after="0"/>
              <w:jc w:val="right"/>
              <w:rPr>
                <w:rFonts w:cs="Arial"/>
                <w:b/>
                <w:bCs/>
                <w:sz w:val="18"/>
                <w:szCs w:val="18"/>
              </w:rPr>
            </w:pPr>
            <w:r>
              <w:rPr>
                <w:rFonts w:cs="Arial"/>
                <w:b/>
                <w:bCs/>
                <w:sz w:val="18"/>
                <w:szCs w:val="18"/>
              </w:rPr>
              <w:t>203,798</w:t>
            </w:r>
          </w:p>
        </w:tc>
        <w:tc>
          <w:tcPr>
            <w:tcW w:w="273" w:type="dxa"/>
            <w:tcBorders>
              <w:top w:val="nil"/>
              <w:left w:val="nil"/>
              <w:bottom w:val="nil"/>
              <w:right w:val="nil"/>
            </w:tcBorders>
            <w:shd w:val="clear" w:color="000000" w:fill="D9D9D9"/>
            <w:noWrap/>
            <w:vAlign w:val="center"/>
            <w:hideMark/>
          </w:tcPr>
          <w:p w14:paraId="4CE150E8"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7AE9A13B" w14:textId="77777777" w:rsidR="00AB6753" w:rsidRDefault="00AB6753" w:rsidP="002D1EA4">
            <w:pPr>
              <w:spacing w:after="0"/>
              <w:jc w:val="right"/>
              <w:rPr>
                <w:rFonts w:cs="Arial"/>
                <w:sz w:val="18"/>
                <w:szCs w:val="18"/>
              </w:rPr>
            </w:pPr>
            <w:r>
              <w:rPr>
                <w:rFonts w:cs="Arial"/>
                <w:sz w:val="18"/>
                <w:szCs w:val="18"/>
              </w:rPr>
              <w:t>64,931</w:t>
            </w:r>
          </w:p>
        </w:tc>
      </w:tr>
      <w:tr w:rsidR="00AB6753" w14:paraId="12D61DA6" w14:textId="77777777" w:rsidTr="002D1EA4">
        <w:trPr>
          <w:trHeight w:val="255"/>
        </w:trPr>
        <w:tc>
          <w:tcPr>
            <w:tcW w:w="6566" w:type="dxa"/>
            <w:tcBorders>
              <w:top w:val="nil"/>
              <w:left w:val="nil"/>
              <w:bottom w:val="nil"/>
              <w:right w:val="nil"/>
            </w:tcBorders>
            <w:shd w:val="clear" w:color="000000" w:fill="D9D9D9"/>
            <w:vAlign w:val="center"/>
            <w:hideMark/>
          </w:tcPr>
          <w:p w14:paraId="49AD012B" w14:textId="77777777" w:rsidR="00AB6753" w:rsidRDefault="00AB6753" w:rsidP="002D1EA4">
            <w:pPr>
              <w:spacing w:after="0"/>
              <w:ind w:left="-100"/>
              <w:rPr>
                <w:rFonts w:cs="Arial"/>
                <w:sz w:val="18"/>
                <w:szCs w:val="18"/>
              </w:rPr>
            </w:pPr>
            <w:r>
              <w:rPr>
                <w:rFonts w:cs="Arial"/>
                <w:sz w:val="18"/>
                <w:szCs w:val="18"/>
              </w:rPr>
              <w:t>Income Support for Carers</w:t>
            </w:r>
          </w:p>
        </w:tc>
        <w:tc>
          <w:tcPr>
            <w:tcW w:w="1286" w:type="dxa"/>
            <w:tcBorders>
              <w:top w:val="nil"/>
              <w:left w:val="nil"/>
              <w:bottom w:val="nil"/>
              <w:right w:val="nil"/>
            </w:tcBorders>
            <w:shd w:val="clear" w:color="000000" w:fill="D9D9D9"/>
            <w:noWrap/>
            <w:vAlign w:val="bottom"/>
            <w:hideMark/>
          </w:tcPr>
          <w:p w14:paraId="0D12B726" w14:textId="77777777" w:rsidR="00AB6753" w:rsidRDefault="00AB6753" w:rsidP="002D1EA4">
            <w:pPr>
              <w:spacing w:after="0"/>
              <w:jc w:val="right"/>
              <w:rPr>
                <w:rFonts w:cs="Arial"/>
                <w:b/>
                <w:bCs/>
                <w:sz w:val="18"/>
                <w:szCs w:val="18"/>
              </w:rPr>
            </w:pPr>
            <w:r>
              <w:rPr>
                <w:rFonts w:cs="Arial"/>
                <w:b/>
                <w:bCs/>
                <w:sz w:val="18"/>
                <w:szCs w:val="18"/>
              </w:rPr>
              <w:t>279,959</w:t>
            </w:r>
          </w:p>
        </w:tc>
        <w:tc>
          <w:tcPr>
            <w:tcW w:w="273" w:type="dxa"/>
            <w:tcBorders>
              <w:top w:val="nil"/>
              <w:left w:val="nil"/>
              <w:bottom w:val="nil"/>
              <w:right w:val="nil"/>
            </w:tcBorders>
            <w:shd w:val="clear" w:color="000000" w:fill="D9D9D9"/>
            <w:noWrap/>
            <w:vAlign w:val="center"/>
            <w:hideMark/>
          </w:tcPr>
          <w:p w14:paraId="2208EF31"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4BCD0218" w14:textId="77777777" w:rsidR="00AB6753" w:rsidRDefault="00AB6753" w:rsidP="002D1EA4">
            <w:pPr>
              <w:spacing w:after="0"/>
              <w:jc w:val="right"/>
              <w:rPr>
                <w:rFonts w:cs="Arial"/>
                <w:sz w:val="18"/>
                <w:szCs w:val="18"/>
              </w:rPr>
            </w:pPr>
            <w:r>
              <w:rPr>
                <w:rFonts w:cs="Arial"/>
                <w:sz w:val="18"/>
                <w:szCs w:val="18"/>
              </w:rPr>
              <w:t>182,072</w:t>
            </w:r>
          </w:p>
        </w:tc>
      </w:tr>
      <w:tr w:rsidR="00AB6753" w14:paraId="67103702" w14:textId="77777777" w:rsidTr="002D1EA4">
        <w:trPr>
          <w:trHeight w:val="255"/>
        </w:trPr>
        <w:tc>
          <w:tcPr>
            <w:tcW w:w="6566" w:type="dxa"/>
            <w:tcBorders>
              <w:top w:val="nil"/>
              <w:left w:val="nil"/>
              <w:bottom w:val="nil"/>
              <w:right w:val="nil"/>
            </w:tcBorders>
            <w:shd w:val="clear" w:color="000000" w:fill="D9D9D9"/>
            <w:vAlign w:val="center"/>
            <w:hideMark/>
          </w:tcPr>
          <w:p w14:paraId="3B3C355C" w14:textId="77777777" w:rsidR="00AB6753" w:rsidRDefault="00AB6753" w:rsidP="002D1EA4">
            <w:pPr>
              <w:spacing w:after="0"/>
              <w:ind w:left="-100"/>
              <w:rPr>
                <w:rFonts w:cs="Arial"/>
                <w:sz w:val="18"/>
                <w:szCs w:val="18"/>
              </w:rPr>
            </w:pPr>
            <w:r>
              <w:rPr>
                <w:rFonts w:cs="Arial"/>
                <w:sz w:val="18"/>
                <w:szCs w:val="18"/>
              </w:rPr>
              <w:t>Paid Parental Leave</w:t>
            </w:r>
          </w:p>
        </w:tc>
        <w:tc>
          <w:tcPr>
            <w:tcW w:w="1286" w:type="dxa"/>
            <w:tcBorders>
              <w:top w:val="nil"/>
              <w:left w:val="nil"/>
              <w:bottom w:val="nil"/>
              <w:right w:val="nil"/>
            </w:tcBorders>
            <w:shd w:val="clear" w:color="000000" w:fill="D9D9D9"/>
            <w:noWrap/>
            <w:vAlign w:val="bottom"/>
            <w:hideMark/>
          </w:tcPr>
          <w:p w14:paraId="0FD7CBEA" w14:textId="77777777" w:rsidR="00AB6753" w:rsidRDefault="00AB6753" w:rsidP="002D1EA4">
            <w:pPr>
              <w:spacing w:after="0"/>
              <w:jc w:val="right"/>
              <w:rPr>
                <w:rFonts w:cs="Arial"/>
                <w:b/>
                <w:bCs/>
                <w:sz w:val="18"/>
                <w:szCs w:val="18"/>
              </w:rPr>
            </w:pPr>
            <w:r>
              <w:rPr>
                <w:rFonts w:cs="Arial"/>
                <w:b/>
                <w:bCs/>
                <w:sz w:val="18"/>
                <w:szCs w:val="18"/>
              </w:rPr>
              <w:t>44,919</w:t>
            </w:r>
          </w:p>
        </w:tc>
        <w:tc>
          <w:tcPr>
            <w:tcW w:w="273" w:type="dxa"/>
            <w:tcBorders>
              <w:top w:val="nil"/>
              <w:left w:val="nil"/>
              <w:bottom w:val="nil"/>
              <w:right w:val="nil"/>
            </w:tcBorders>
            <w:shd w:val="clear" w:color="000000" w:fill="D9D9D9"/>
            <w:noWrap/>
            <w:vAlign w:val="center"/>
            <w:hideMark/>
          </w:tcPr>
          <w:p w14:paraId="64B67A0A"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4774CE03" w14:textId="77777777" w:rsidR="00AB6753" w:rsidRDefault="00AB6753" w:rsidP="002D1EA4">
            <w:pPr>
              <w:spacing w:after="0"/>
              <w:jc w:val="right"/>
              <w:rPr>
                <w:rFonts w:cs="Arial"/>
                <w:sz w:val="18"/>
                <w:szCs w:val="18"/>
              </w:rPr>
            </w:pPr>
            <w:r>
              <w:rPr>
                <w:rFonts w:cs="Arial"/>
                <w:sz w:val="18"/>
                <w:szCs w:val="18"/>
              </w:rPr>
              <w:t>58,956</w:t>
            </w:r>
          </w:p>
        </w:tc>
      </w:tr>
      <w:tr w:rsidR="00AB6753" w14:paraId="060B8829" w14:textId="77777777" w:rsidTr="002D1EA4">
        <w:trPr>
          <w:trHeight w:val="255"/>
        </w:trPr>
        <w:tc>
          <w:tcPr>
            <w:tcW w:w="6566" w:type="dxa"/>
            <w:tcBorders>
              <w:top w:val="nil"/>
              <w:left w:val="nil"/>
              <w:bottom w:val="nil"/>
              <w:right w:val="nil"/>
            </w:tcBorders>
            <w:shd w:val="clear" w:color="000000" w:fill="D9D9D9"/>
            <w:vAlign w:val="center"/>
            <w:hideMark/>
          </w:tcPr>
          <w:p w14:paraId="741B3378" w14:textId="77777777" w:rsidR="00AB6753" w:rsidRDefault="00AB6753" w:rsidP="002D1EA4">
            <w:pPr>
              <w:spacing w:after="0"/>
              <w:ind w:left="-100"/>
              <w:rPr>
                <w:rFonts w:cs="Arial"/>
                <w:sz w:val="18"/>
                <w:szCs w:val="18"/>
              </w:rPr>
            </w:pPr>
            <w:r>
              <w:rPr>
                <w:rFonts w:cs="Arial"/>
                <w:sz w:val="18"/>
                <w:szCs w:val="18"/>
              </w:rPr>
              <w:t>National Redress Scheme</w:t>
            </w:r>
          </w:p>
        </w:tc>
        <w:tc>
          <w:tcPr>
            <w:tcW w:w="1286" w:type="dxa"/>
            <w:tcBorders>
              <w:top w:val="nil"/>
              <w:left w:val="nil"/>
              <w:bottom w:val="nil"/>
              <w:right w:val="nil"/>
            </w:tcBorders>
            <w:shd w:val="clear" w:color="000000" w:fill="D9D9D9"/>
            <w:noWrap/>
            <w:vAlign w:val="bottom"/>
            <w:hideMark/>
          </w:tcPr>
          <w:p w14:paraId="52928A70" w14:textId="77777777" w:rsidR="00AB6753" w:rsidRDefault="00AB6753" w:rsidP="002D1EA4">
            <w:pPr>
              <w:spacing w:after="0"/>
              <w:jc w:val="right"/>
              <w:rPr>
                <w:rFonts w:cs="Arial"/>
                <w:b/>
                <w:bCs/>
                <w:sz w:val="18"/>
                <w:szCs w:val="18"/>
              </w:rPr>
            </w:pPr>
            <w:r>
              <w:rPr>
                <w:rFonts w:cs="Arial"/>
                <w:b/>
                <w:bCs/>
                <w:sz w:val="18"/>
                <w:szCs w:val="18"/>
              </w:rPr>
              <w:t>12,992</w:t>
            </w:r>
          </w:p>
        </w:tc>
        <w:tc>
          <w:tcPr>
            <w:tcW w:w="273" w:type="dxa"/>
            <w:tcBorders>
              <w:top w:val="nil"/>
              <w:left w:val="nil"/>
              <w:bottom w:val="nil"/>
              <w:right w:val="nil"/>
            </w:tcBorders>
            <w:shd w:val="clear" w:color="000000" w:fill="D9D9D9"/>
            <w:noWrap/>
            <w:vAlign w:val="center"/>
            <w:hideMark/>
          </w:tcPr>
          <w:p w14:paraId="5AD5D0AA"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57B2EBC3" w14:textId="77777777" w:rsidR="00AB6753" w:rsidRDefault="00AB6753" w:rsidP="002D1EA4">
            <w:pPr>
              <w:spacing w:after="0"/>
              <w:jc w:val="right"/>
              <w:rPr>
                <w:rFonts w:cs="Arial"/>
                <w:sz w:val="18"/>
                <w:szCs w:val="18"/>
              </w:rPr>
            </w:pPr>
            <w:r>
              <w:rPr>
                <w:rFonts w:cs="Arial"/>
                <w:sz w:val="18"/>
                <w:szCs w:val="18"/>
              </w:rPr>
              <w:t>- </w:t>
            </w:r>
          </w:p>
        </w:tc>
      </w:tr>
      <w:tr w:rsidR="00AB6753" w14:paraId="278A6306" w14:textId="77777777" w:rsidTr="002D1EA4">
        <w:trPr>
          <w:trHeight w:val="255"/>
        </w:trPr>
        <w:tc>
          <w:tcPr>
            <w:tcW w:w="6566" w:type="dxa"/>
            <w:tcBorders>
              <w:top w:val="nil"/>
              <w:left w:val="nil"/>
              <w:bottom w:val="nil"/>
              <w:right w:val="nil"/>
            </w:tcBorders>
            <w:shd w:val="clear" w:color="000000" w:fill="D9D9D9"/>
            <w:vAlign w:val="center"/>
            <w:hideMark/>
          </w:tcPr>
          <w:p w14:paraId="03734B17" w14:textId="77777777" w:rsidR="00AB6753" w:rsidRDefault="00AB6753" w:rsidP="002D1EA4">
            <w:pPr>
              <w:spacing w:after="0"/>
              <w:ind w:left="-100"/>
              <w:rPr>
                <w:rFonts w:cs="Arial"/>
                <w:sz w:val="18"/>
                <w:szCs w:val="18"/>
              </w:rPr>
            </w:pPr>
            <w:r>
              <w:rPr>
                <w:rFonts w:cs="Arial"/>
                <w:sz w:val="18"/>
                <w:szCs w:val="18"/>
              </w:rPr>
              <w:t>Other</w:t>
            </w:r>
          </w:p>
        </w:tc>
        <w:tc>
          <w:tcPr>
            <w:tcW w:w="1286" w:type="dxa"/>
            <w:tcBorders>
              <w:top w:val="nil"/>
              <w:left w:val="nil"/>
              <w:bottom w:val="nil"/>
              <w:right w:val="nil"/>
            </w:tcBorders>
            <w:shd w:val="clear" w:color="000000" w:fill="D9D9D9"/>
            <w:noWrap/>
            <w:vAlign w:val="bottom"/>
            <w:hideMark/>
          </w:tcPr>
          <w:p w14:paraId="79145BB0" w14:textId="77777777" w:rsidR="00AB6753" w:rsidRDefault="00AB6753" w:rsidP="002D1EA4">
            <w:pPr>
              <w:spacing w:after="0"/>
              <w:jc w:val="right"/>
              <w:rPr>
                <w:rFonts w:cs="Arial"/>
                <w:b/>
                <w:bCs/>
                <w:sz w:val="18"/>
                <w:szCs w:val="18"/>
              </w:rPr>
            </w:pPr>
            <w:r>
              <w:rPr>
                <w:rFonts w:cs="Arial"/>
                <w:b/>
                <w:bCs/>
                <w:sz w:val="18"/>
                <w:szCs w:val="18"/>
              </w:rPr>
              <w:t>9,595</w:t>
            </w:r>
          </w:p>
        </w:tc>
        <w:tc>
          <w:tcPr>
            <w:tcW w:w="273" w:type="dxa"/>
            <w:tcBorders>
              <w:top w:val="nil"/>
              <w:left w:val="nil"/>
              <w:bottom w:val="nil"/>
              <w:right w:val="nil"/>
            </w:tcBorders>
            <w:shd w:val="clear" w:color="000000" w:fill="D9D9D9"/>
            <w:noWrap/>
            <w:vAlign w:val="bottom"/>
            <w:hideMark/>
          </w:tcPr>
          <w:p w14:paraId="1D0E60D5"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4BA58273" w14:textId="77777777" w:rsidR="00AB6753" w:rsidRDefault="00AB6753" w:rsidP="002D1EA4">
            <w:pPr>
              <w:spacing w:after="0"/>
              <w:jc w:val="right"/>
              <w:rPr>
                <w:rFonts w:cs="Arial"/>
                <w:sz w:val="18"/>
                <w:szCs w:val="18"/>
              </w:rPr>
            </w:pPr>
            <w:r>
              <w:rPr>
                <w:rFonts w:cs="Arial"/>
                <w:sz w:val="18"/>
                <w:szCs w:val="18"/>
              </w:rPr>
              <w:t>5,645</w:t>
            </w:r>
          </w:p>
        </w:tc>
      </w:tr>
      <w:tr w:rsidR="00AB6753" w14:paraId="092B7F5D" w14:textId="77777777" w:rsidTr="002D1EA4">
        <w:trPr>
          <w:trHeight w:val="255"/>
        </w:trPr>
        <w:tc>
          <w:tcPr>
            <w:tcW w:w="6566" w:type="dxa"/>
            <w:tcBorders>
              <w:top w:val="nil"/>
              <w:left w:val="nil"/>
              <w:bottom w:val="single" w:sz="4" w:space="0" w:color="D9D9D9"/>
              <w:right w:val="nil"/>
            </w:tcBorders>
            <w:shd w:val="clear" w:color="000000" w:fill="D9D9D9"/>
            <w:vAlign w:val="bottom"/>
            <w:hideMark/>
          </w:tcPr>
          <w:p w14:paraId="0305B094" w14:textId="77777777" w:rsidR="00AB6753" w:rsidRDefault="00AB6753" w:rsidP="002D1EA4">
            <w:pPr>
              <w:spacing w:after="0"/>
              <w:ind w:left="-100"/>
              <w:rPr>
                <w:rFonts w:cs="Arial"/>
                <w:b/>
                <w:bCs/>
                <w:sz w:val="18"/>
                <w:szCs w:val="18"/>
              </w:rPr>
            </w:pPr>
            <w:r>
              <w:rPr>
                <w:rFonts w:cs="Arial"/>
                <w:b/>
                <w:bCs/>
                <w:sz w:val="18"/>
                <w:szCs w:val="18"/>
              </w:rPr>
              <w:t>Total personal benefits</w:t>
            </w:r>
          </w:p>
        </w:tc>
        <w:tc>
          <w:tcPr>
            <w:tcW w:w="1286" w:type="dxa"/>
            <w:tcBorders>
              <w:top w:val="single" w:sz="4" w:space="0" w:color="auto"/>
              <w:left w:val="nil"/>
              <w:bottom w:val="single" w:sz="4" w:space="0" w:color="auto"/>
              <w:right w:val="nil"/>
            </w:tcBorders>
            <w:shd w:val="clear" w:color="000000" w:fill="D9D9D9"/>
            <w:noWrap/>
            <w:vAlign w:val="bottom"/>
            <w:hideMark/>
          </w:tcPr>
          <w:p w14:paraId="0C53D79D" w14:textId="77777777" w:rsidR="00AB6753" w:rsidRDefault="00AB6753" w:rsidP="002D1EA4">
            <w:pPr>
              <w:spacing w:after="0"/>
              <w:jc w:val="right"/>
              <w:rPr>
                <w:rFonts w:cs="Arial"/>
                <w:b/>
                <w:bCs/>
                <w:sz w:val="18"/>
                <w:szCs w:val="18"/>
              </w:rPr>
            </w:pPr>
            <w:r>
              <w:rPr>
                <w:rFonts w:cs="Arial"/>
                <w:b/>
                <w:bCs/>
                <w:sz w:val="18"/>
                <w:szCs w:val="18"/>
              </w:rPr>
              <w:t>3,886,824</w:t>
            </w:r>
          </w:p>
        </w:tc>
        <w:tc>
          <w:tcPr>
            <w:tcW w:w="273" w:type="dxa"/>
            <w:tcBorders>
              <w:top w:val="single" w:sz="4" w:space="0" w:color="D9D9D9"/>
              <w:left w:val="nil"/>
              <w:bottom w:val="single" w:sz="4" w:space="0" w:color="D9D9D9"/>
              <w:right w:val="nil"/>
            </w:tcBorders>
            <w:shd w:val="clear" w:color="000000" w:fill="D9D9D9"/>
            <w:noWrap/>
            <w:vAlign w:val="bottom"/>
            <w:hideMark/>
          </w:tcPr>
          <w:p w14:paraId="07835E35" w14:textId="77777777" w:rsidR="00AB6753" w:rsidRDefault="00AB6753" w:rsidP="002D1EA4">
            <w:pPr>
              <w:spacing w:after="0"/>
              <w:rPr>
                <w:rFonts w:cs="Arial"/>
                <w:sz w:val="16"/>
                <w:szCs w:val="16"/>
              </w:rPr>
            </w:pPr>
            <w:r>
              <w:rPr>
                <w:rFonts w:cs="Arial"/>
                <w:sz w:val="16"/>
                <w:szCs w:val="16"/>
              </w:rPr>
              <w:t> </w:t>
            </w:r>
          </w:p>
        </w:tc>
        <w:tc>
          <w:tcPr>
            <w:tcW w:w="1373" w:type="dxa"/>
            <w:tcBorders>
              <w:top w:val="single" w:sz="4" w:space="0" w:color="auto"/>
              <w:left w:val="nil"/>
              <w:bottom w:val="single" w:sz="4" w:space="0" w:color="auto"/>
              <w:right w:val="nil"/>
            </w:tcBorders>
            <w:shd w:val="clear" w:color="000000" w:fill="D9D9D9"/>
            <w:noWrap/>
            <w:vAlign w:val="bottom"/>
            <w:hideMark/>
          </w:tcPr>
          <w:p w14:paraId="55C1DC41" w14:textId="77777777" w:rsidR="00AB6753" w:rsidRDefault="00AB6753" w:rsidP="002D1EA4">
            <w:pPr>
              <w:spacing w:after="0"/>
              <w:jc w:val="right"/>
              <w:rPr>
                <w:rFonts w:cs="Arial"/>
                <w:sz w:val="18"/>
                <w:szCs w:val="18"/>
              </w:rPr>
            </w:pPr>
            <w:r>
              <w:rPr>
                <w:rFonts w:cs="Arial"/>
                <w:sz w:val="18"/>
                <w:szCs w:val="18"/>
              </w:rPr>
              <w:t>2,262,729</w:t>
            </w:r>
          </w:p>
        </w:tc>
      </w:tr>
    </w:tbl>
    <w:p w14:paraId="64C1C5E2" w14:textId="77777777" w:rsidR="00AB6753" w:rsidRDefault="00AB6753" w:rsidP="00AB6753">
      <w:pPr>
        <w:pStyle w:val="GreyShadeTableBreak"/>
        <w:ind w:right="0" w:firstLine="142"/>
      </w:pPr>
    </w:p>
    <w:tbl>
      <w:tblPr>
        <w:tblW w:w="9498" w:type="dxa"/>
        <w:tblLayout w:type="fixed"/>
        <w:tblLook w:val="04A0" w:firstRow="1" w:lastRow="0" w:firstColumn="1" w:lastColumn="0" w:noHBand="0" w:noVBand="1"/>
      </w:tblPr>
      <w:tblGrid>
        <w:gridCol w:w="6566"/>
        <w:gridCol w:w="1286"/>
        <w:gridCol w:w="273"/>
        <w:gridCol w:w="1373"/>
      </w:tblGrid>
      <w:tr w:rsidR="00AB6753" w14:paraId="4CE46680" w14:textId="77777777" w:rsidTr="002D1EA4">
        <w:trPr>
          <w:trHeight w:val="255"/>
        </w:trPr>
        <w:tc>
          <w:tcPr>
            <w:tcW w:w="6566" w:type="dxa"/>
            <w:tcBorders>
              <w:top w:val="nil"/>
              <w:left w:val="nil"/>
              <w:bottom w:val="nil"/>
              <w:right w:val="nil"/>
            </w:tcBorders>
            <w:shd w:val="clear" w:color="000000" w:fill="D9D9D9"/>
            <w:noWrap/>
            <w:hideMark/>
          </w:tcPr>
          <w:p w14:paraId="78D16AA8" w14:textId="77777777" w:rsidR="00AB6753" w:rsidRDefault="00AB6753" w:rsidP="002D1EA4">
            <w:pPr>
              <w:spacing w:after="0"/>
              <w:rPr>
                <w:rFonts w:cs="Arial"/>
                <w:b/>
                <w:bCs/>
                <w:sz w:val="18"/>
                <w:szCs w:val="18"/>
                <w:u w:val="single"/>
              </w:rPr>
            </w:pPr>
            <w:bookmarkStart w:id="167" w:name="Note_AGPTABLE1" w:colFirst="0" w:colLast="0"/>
            <w:r>
              <w:rPr>
                <w:rFonts w:cs="Arial"/>
                <w:b/>
                <w:bCs/>
                <w:sz w:val="18"/>
                <w:szCs w:val="18"/>
                <w:u w:val="single"/>
              </w:rPr>
              <w:t>Note 4.2B: Grants</w:t>
            </w:r>
          </w:p>
        </w:tc>
        <w:tc>
          <w:tcPr>
            <w:tcW w:w="1286" w:type="dxa"/>
            <w:tcBorders>
              <w:top w:val="nil"/>
              <w:left w:val="nil"/>
              <w:bottom w:val="nil"/>
              <w:right w:val="nil"/>
            </w:tcBorders>
            <w:shd w:val="clear" w:color="000000" w:fill="D9D9D9"/>
            <w:noWrap/>
            <w:vAlign w:val="bottom"/>
            <w:hideMark/>
          </w:tcPr>
          <w:p w14:paraId="14F59D07" w14:textId="77777777" w:rsidR="00AB6753" w:rsidRDefault="00AB6753" w:rsidP="002D1EA4">
            <w:pPr>
              <w:spacing w:after="0"/>
              <w:rPr>
                <w:rFonts w:cs="Arial"/>
                <w:sz w:val="16"/>
                <w:szCs w:val="16"/>
              </w:rPr>
            </w:pPr>
            <w:r>
              <w:rPr>
                <w:rFonts w:cs="Arial"/>
                <w:sz w:val="16"/>
                <w:szCs w:val="16"/>
              </w:rPr>
              <w:t> </w:t>
            </w:r>
          </w:p>
        </w:tc>
        <w:tc>
          <w:tcPr>
            <w:tcW w:w="273" w:type="dxa"/>
            <w:tcBorders>
              <w:top w:val="nil"/>
              <w:left w:val="nil"/>
              <w:bottom w:val="nil"/>
              <w:right w:val="nil"/>
            </w:tcBorders>
            <w:shd w:val="clear" w:color="000000" w:fill="D9D9D9"/>
            <w:noWrap/>
            <w:vAlign w:val="bottom"/>
            <w:hideMark/>
          </w:tcPr>
          <w:p w14:paraId="2D95E1E5"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6A07EB8D" w14:textId="77777777" w:rsidR="00AB6753" w:rsidRDefault="00AB6753" w:rsidP="002D1EA4">
            <w:pPr>
              <w:spacing w:after="0"/>
              <w:rPr>
                <w:rFonts w:cs="Arial"/>
                <w:sz w:val="16"/>
                <w:szCs w:val="16"/>
              </w:rPr>
            </w:pPr>
            <w:r>
              <w:rPr>
                <w:rFonts w:cs="Arial"/>
                <w:sz w:val="16"/>
                <w:szCs w:val="16"/>
              </w:rPr>
              <w:t> </w:t>
            </w:r>
          </w:p>
        </w:tc>
      </w:tr>
      <w:bookmarkEnd w:id="167"/>
      <w:tr w:rsidR="00AB6753" w14:paraId="665CE22D" w14:textId="77777777" w:rsidTr="002D1EA4">
        <w:trPr>
          <w:trHeight w:val="255"/>
        </w:trPr>
        <w:tc>
          <w:tcPr>
            <w:tcW w:w="6566" w:type="dxa"/>
            <w:tcBorders>
              <w:top w:val="nil"/>
              <w:left w:val="nil"/>
              <w:bottom w:val="nil"/>
              <w:right w:val="nil"/>
            </w:tcBorders>
            <w:shd w:val="clear" w:color="000000" w:fill="D9D9D9"/>
            <w:vAlign w:val="bottom"/>
            <w:hideMark/>
          </w:tcPr>
          <w:p w14:paraId="713D1403" w14:textId="77777777" w:rsidR="00AB6753" w:rsidRDefault="00AB6753" w:rsidP="002D1EA4">
            <w:pPr>
              <w:spacing w:after="0"/>
              <w:rPr>
                <w:rFonts w:cs="Arial"/>
                <w:sz w:val="18"/>
                <w:szCs w:val="18"/>
              </w:rPr>
            </w:pPr>
            <w:r>
              <w:rPr>
                <w:rFonts w:cs="Arial"/>
                <w:sz w:val="18"/>
                <w:szCs w:val="18"/>
              </w:rPr>
              <w:t>Private sector:</w:t>
            </w:r>
          </w:p>
        </w:tc>
        <w:tc>
          <w:tcPr>
            <w:tcW w:w="1286" w:type="dxa"/>
            <w:tcBorders>
              <w:top w:val="nil"/>
              <w:left w:val="nil"/>
              <w:bottom w:val="nil"/>
              <w:right w:val="nil"/>
            </w:tcBorders>
            <w:shd w:val="clear" w:color="000000" w:fill="D9D9D9"/>
            <w:noWrap/>
            <w:vAlign w:val="bottom"/>
            <w:hideMark/>
          </w:tcPr>
          <w:p w14:paraId="4F35BD49" w14:textId="77777777" w:rsidR="00AB6753" w:rsidRDefault="00AB6753" w:rsidP="002D1EA4">
            <w:pPr>
              <w:spacing w:after="0"/>
              <w:rPr>
                <w:rFonts w:cs="Arial"/>
                <w:b/>
                <w:bCs/>
                <w:sz w:val="18"/>
                <w:szCs w:val="18"/>
              </w:rPr>
            </w:pPr>
            <w:r>
              <w:rPr>
                <w:rFonts w:cs="Arial"/>
                <w:b/>
                <w:bCs/>
                <w:sz w:val="18"/>
                <w:szCs w:val="18"/>
              </w:rPr>
              <w:t> </w:t>
            </w:r>
          </w:p>
        </w:tc>
        <w:tc>
          <w:tcPr>
            <w:tcW w:w="273" w:type="dxa"/>
            <w:tcBorders>
              <w:top w:val="nil"/>
              <w:left w:val="nil"/>
              <w:bottom w:val="nil"/>
              <w:right w:val="nil"/>
            </w:tcBorders>
            <w:shd w:val="clear" w:color="000000" w:fill="D9D9D9"/>
            <w:noWrap/>
            <w:vAlign w:val="bottom"/>
            <w:hideMark/>
          </w:tcPr>
          <w:p w14:paraId="5BAB7FA5"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5D4CCCE2" w14:textId="77777777" w:rsidR="00AB6753" w:rsidRDefault="00AB6753" w:rsidP="002D1EA4">
            <w:pPr>
              <w:spacing w:after="0"/>
              <w:rPr>
                <w:rFonts w:cs="Arial"/>
                <w:sz w:val="18"/>
                <w:szCs w:val="18"/>
              </w:rPr>
            </w:pPr>
            <w:r>
              <w:rPr>
                <w:rFonts w:cs="Arial"/>
                <w:sz w:val="18"/>
                <w:szCs w:val="18"/>
              </w:rPr>
              <w:t> </w:t>
            </w:r>
          </w:p>
        </w:tc>
      </w:tr>
      <w:tr w:rsidR="00AB6753" w14:paraId="47AA8F15" w14:textId="77777777" w:rsidTr="002D1EA4">
        <w:trPr>
          <w:trHeight w:val="255"/>
        </w:trPr>
        <w:tc>
          <w:tcPr>
            <w:tcW w:w="6566" w:type="dxa"/>
            <w:tcBorders>
              <w:top w:val="nil"/>
              <w:left w:val="nil"/>
              <w:bottom w:val="nil"/>
              <w:right w:val="nil"/>
            </w:tcBorders>
            <w:shd w:val="clear" w:color="000000" w:fill="D9D9D9"/>
            <w:noWrap/>
            <w:vAlign w:val="bottom"/>
            <w:hideMark/>
          </w:tcPr>
          <w:p w14:paraId="145DBDA7" w14:textId="77777777" w:rsidR="00AB6753" w:rsidRDefault="00AB6753" w:rsidP="002D1EA4">
            <w:pPr>
              <w:spacing w:after="0"/>
              <w:ind w:firstLineChars="100" w:firstLine="180"/>
              <w:rPr>
                <w:rFonts w:cs="Arial"/>
                <w:sz w:val="18"/>
                <w:szCs w:val="18"/>
              </w:rPr>
            </w:pPr>
            <w:r>
              <w:rPr>
                <w:rFonts w:cs="Arial"/>
                <w:sz w:val="18"/>
                <w:szCs w:val="18"/>
              </w:rPr>
              <w:t>Non-profit organisations</w:t>
            </w:r>
          </w:p>
        </w:tc>
        <w:tc>
          <w:tcPr>
            <w:tcW w:w="1286" w:type="dxa"/>
            <w:tcBorders>
              <w:top w:val="nil"/>
              <w:left w:val="nil"/>
              <w:bottom w:val="nil"/>
              <w:right w:val="nil"/>
            </w:tcBorders>
            <w:shd w:val="clear" w:color="000000" w:fill="D9D9D9"/>
            <w:noWrap/>
            <w:vAlign w:val="bottom"/>
            <w:hideMark/>
          </w:tcPr>
          <w:p w14:paraId="6B417952" w14:textId="77777777" w:rsidR="00AB6753" w:rsidRDefault="00AB6753" w:rsidP="002D1EA4">
            <w:pPr>
              <w:spacing w:after="0"/>
              <w:jc w:val="right"/>
              <w:rPr>
                <w:rFonts w:cs="Arial"/>
                <w:b/>
                <w:bCs/>
                <w:sz w:val="18"/>
                <w:szCs w:val="18"/>
              </w:rPr>
            </w:pPr>
            <w:r>
              <w:rPr>
                <w:rFonts w:cs="Arial"/>
                <w:b/>
                <w:bCs/>
                <w:sz w:val="18"/>
                <w:szCs w:val="18"/>
              </w:rPr>
              <w:t>31,292</w:t>
            </w:r>
          </w:p>
        </w:tc>
        <w:tc>
          <w:tcPr>
            <w:tcW w:w="273" w:type="dxa"/>
            <w:tcBorders>
              <w:top w:val="nil"/>
              <w:left w:val="nil"/>
              <w:bottom w:val="nil"/>
              <w:right w:val="nil"/>
            </w:tcBorders>
            <w:shd w:val="clear" w:color="000000" w:fill="D9D9D9"/>
            <w:noWrap/>
            <w:vAlign w:val="bottom"/>
            <w:hideMark/>
          </w:tcPr>
          <w:p w14:paraId="49D82DD5"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056325B7" w14:textId="77777777" w:rsidR="00AB6753" w:rsidRDefault="00AB6753" w:rsidP="002D1EA4">
            <w:pPr>
              <w:spacing w:after="0"/>
              <w:jc w:val="right"/>
              <w:rPr>
                <w:rFonts w:cs="Arial"/>
                <w:sz w:val="18"/>
                <w:szCs w:val="18"/>
              </w:rPr>
            </w:pPr>
            <w:r>
              <w:rPr>
                <w:rFonts w:cs="Arial"/>
                <w:sz w:val="18"/>
                <w:szCs w:val="18"/>
              </w:rPr>
              <w:t>22,468</w:t>
            </w:r>
          </w:p>
        </w:tc>
      </w:tr>
      <w:tr w:rsidR="00AB6753" w14:paraId="22418B2A" w14:textId="77777777" w:rsidTr="002D1EA4">
        <w:trPr>
          <w:trHeight w:val="255"/>
        </w:trPr>
        <w:tc>
          <w:tcPr>
            <w:tcW w:w="6566" w:type="dxa"/>
            <w:tcBorders>
              <w:top w:val="nil"/>
              <w:left w:val="nil"/>
              <w:bottom w:val="single" w:sz="4" w:space="0" w:color="D9D9D9"/>
              <w:right w:val="nil"/>
            </w:tcBorders>
            <w:shd w:val="clear" w:color="000000" w:fill="D9D9D9"/>
            <w:noWrap/>
            <w:vAlign w:val="bottom"/>
            <w:hideMark/>
          </w:tcPr>
          <w:p w14:paraId="753FFBE8" w14:textId="77777777" w:rsidR="00AB6753" w:rsidRDefault="00AB6753" w:rsidP="002D1EA4">
            <w:pPr>
              <w:spacing w:after="0"/>
              <w:ind w:firstLineChars="100" w:firstLine="180"/>
              <w:rPr>
                <w:rFonts w:cs="Arial"/>
                <w:sz w:val="18"/>
                <w:szCs w:val="18"/>
              </w:rPr>
            </w:pPr>
            <w:r>
              <w:rPr>
                <w:rFonts w:cs="Arial"/>
                <w:sz w:val="18"/>
                <w:szCs w:val="18"/>
              </w:rPr>
              <w:t>Other grants</w:t>
            </w:r>
          </w:p>
        </w:tc>
        <w:tc>
          <w:tcPr>
            <w:tcW w:w="1286" w:type="dxa"/>
            <w:tcBorders>
              <w:top w:val="nil"/>
              <w:left w:val="nil"/>
              <w:bottom w:val="nil"/>
              <w:right w:val="nil"/>
            </w:tcBorders>
            <w:shd w:val="clear" w:color="000000" w:fill="D9D9D9"/>
            <w:noWrap/>
            <w:vAlign w:val="bottom"/>
            <w:hideMark/>
          </w:tcPr>
          <w:p w14:paraId="32AFE6F9" w14:textId="77777777" w:rsidR="00AB6753" w:rsidRDefault="00AB6753" w:rsidP="002D1EA4">
            <w:pPr>
              <w:spacing w:after="0"/>
              <w:jc w:val="right"/>
              <w:rPr>
                <w:rFonts w:cs="Arial"/>
                <w:b/>
                <w:bCs/>
                <w:sz w:val="18"/>
                <w:szCs w:val="18"/>
              </w:rPr>
            </w:pPr>
            <w:r>
              <w:rPr>
                <w:rFonts w:cs="Arial"/>
                <w:b/>
                <w:bCs/>
                <w:sz w:val="18"/>
                <w:szCs w:val="18"/>
              </w:rPr>
              <w:t>21,882</w:t>
            </w:r>
          </w:p>
        </w:tc>
        <w:tc>
          <w:tcPr>
            <w:tcW w:w="273" w:type="dxa"/>
            <w:tcBorders>
              <w:top w:val="nil"/>
              <w:left w:val="nil"/>
              <w:bottom w:val="single" w:sz="4" w:space="0" w:color="D9D9D9"/>
              <w:right w:val="nil"/>
            </w:tcBorders>
            <w:shd w:val="clear" w:color="000000" w:fill="D9D9D9"/>
            <w:noWrap/>
            <w:vAlign w:val="bottom"/>
            <w:hideMark/>
          </w:tcPr>
          <w:p w14:paraId="213CA351" w14:textId="77777777" w:rsidR="00AB6753" w:rsidRDefault="00AB6753" w:rsidP="002D1EA4">
            <w:pPr>
              <w:spacing w:after="0"/>
              <w:rPr>
                <w:rFonts w:cs="Arial"/>
                <w:sz w:val="16"/>
                <w:szCs w:val="16"/>
              </w:rPr>
            </w:pPr>
            <w:r>
              <w:rPr>
                <w:rFonts w:cs="Arial"/>
                <w:sz w:val="16"/>
                <w:szCs w:val="16"/>
              </w:rPr>
              <w:t> </w:t>
            </w:r>
          </w:p>
        </w:tc>
        <w:tc>
          <w:tcPr>
            <w:tcW w:w="1373" w:type="dxa"/>
            <w:tcBorders>
              <w:top w:val="nil"/>
              <w:left w:val="nil"/>
              <w:bottom w:val="nil"/>
              <w:right w:val="nil"/>
            </w:tcBorders>
            <w:shd w:val="clear" w:color="000000" w:fill="D9D9D9"/>
            <w:noWrap/>
            <w:vAlign w:val="bottom"/>
            <w:hideMark/>
          </w:tcPr>
          <w:p w14:paraId="2E52317E" w14:textId="77777777" w:rsidR="00AB6753" w:rsidRDefault="00AB6753" w:rsidP="002D1EA4">
            <w:pPr>
              <w:spacing w:after="0"/>
              <w:jc w:val="right"/>
              <w:rPr>
                <w:rFonts w:cs="Arial"/>
                <w:sz w:val="18"/>
                <w:szCs w:val="18"/>
              </w:rPr>
            </w:pPr>
            <w:r>
              <w:rPr>
                <w:rFonts w:cs="Arial"/>
                <w:sz w:val="18"/>
                <w:szCs w:val="18"/>
              </w:rPr>
              <w:t>21,781</w:t>
            </w:r>
          </w:p>
        </w:tc>
      </w:tr>
      <w:tr w:rsidR="00AB6753" w14:paraId="09A59D2D" w14:textId="77777777" w:rsidTr="002D1EA4">
        <w:trPr>
          <w:trHeight w:val="255"/>
        </w:trPr>
        <w:tc>
          <w:tcPr>
            <w:tcW w:w="6566" w:type="dxa"/>
            <w:tcBorders>
              <w:top w:val="nil"/>
              <w:left w:val="nil"/>
              <w:bottom w:val="single" w:sz="4" w:space="0" w:color="D9D9D9"/>
              <w:right w:val="nil"/>
            </w:tcBorders>
            <w:shd w:val="clear" w:color="000000" w:fill="D9D9D9"/>
            <w:vAlign w:val="bottom"/>
            <w:hideMark/>
          </w:tcPr>
          <w:p w14:paraId="47847C4F" w14:textId="77777777" w:rsidR="00AB6753" w:rsidRDefault="00AB6753" w:rsidP="002D1EA4">
            <w:pPr>
              <w:spacing w:after="0"/>
              <w:rPr>
                <w:rFonts w:cs="Arial"/>
                <w:b/>
                <w:bCs/>
                <w:sz w:val="18"/>
                <w:szCs w:val="18"/>
              </w:rPr>
            </w:pPr>
            <w:r>
              <w:rPr>
                <w:rFonts w:cs="Arial"/>
                <w:b/>
                <w:bCs/>
                <w:sz w:val="18"/>
                <w:szCs w:val="18"/>
              </w:rPr>
              <w:t>Total grants</w:t>
            </w:r>
          </w:p>
        </w:tc>
        <w:tc>
          <w:tcPr>
            <w:tcW w:w="1286" w:type="dxa"/>
            <w:tcBorders>
              <w:top w:val="single" w:sz="4" w:space="0" w:color="auto"/>
              <w:left w:val="nil"/>
              <w:bottom w:val="single" w:sz="4" w:space="0" w:color="auto"/>
              <w:right w:val="nil"/>
            </w:tcBorders>
            <w:shd w:val="clear" w:color="000000" w:fill="D9D9D9"/>
            <w:noWrap/>
            <w:vAlign w:val="bottom"/>
            <w:hideMark/>
          </w:tcPr>
          <w:p w14:paraId="40A1C96D" w14:textId="77777777" w:rsidR="00AB6753" w:rsidRDefault="00AB6753" w:rsidP="002D1EA4">
            <w:pPr>
              <w:spacing w:after="0"/>
              <w:jc w:val="right"/>
              <w:rPr>
                <w:rFonts w:cs="Arial"/>
                <w:b/>
                <w:bCs/>
                <w:sz w:val="18"/>
                <w:szCs w:val="18"/>
              </w:rPr>
            </w:pPr>
            <w:r>
              <w:rPr>
                <w:rFonts w:cs="Arial"/>
                <w:b/>
                <w:bCs/>
                <w:sz w:val="18"/>
                <w:szCs w:val="18"/>
              </w:rPr>
              <w:t>53,174</w:t>
            </w:r>
          </w:p>
        </w:tc>
        <w:tc>
          <w:tcPr>
            <w:tcW w:w="273" w:type="dxa"/>
            <w:tcBorders>
              <w:top w:val="nil"/>
              <w:left w:val="nil"/>
              <w:bottom w:val="single" w:sz="4" w:space="0" w:color="D9D9D9"/>
              <w:right w:val="nil"/>
            </w:tcBorders>
            <w:shd w:val="clear" w:color="000000" w:fill="D9D9D9"/>
            <w:noWrap/>
            <w:vAlign w:val="bottom"/>
            <w:hideMark/>
          </w:tcPr>
          <w:p w14:paraId="19B93590" w14:textId="77777777" w:rsidR="00AB6753" w:rsidRDefault="00AB6753" w:rsidP="002D1EA4">
            <w:pPr>
              <w:spacing w:after="0"/>
              <w:rPr>
                <w:rFonts w:cs="Arial"/>
                <w:sz w:val="16"/>
                <w:szCs w:val="16"/>
              </w:rPr>
            </w:pPr>
            <w:r>
              <w:rPr>
                <w:rFonts w:cs="Arial"/>
                <w:sz w:val="16"/>
                <w:szCs w:val="16"/>
              </w:rPr>
              <w:t> </w:t>
            </w:r>
          </w:p>
        </w:tc>
        <w:tc>
          <w:tcPr>
            <w:tcW w:w="1373" w:type="dxa"/>
            <w:tcBorders>
              <w:top w:val="single" w:sz="4" w:space="0" w:color="auto"/>
              <w:left w:val="nil"/>
              <w:bottom w:val="single" w:sz="4" w:space="0" w:color="auto"/>
              <w:right w:val="nil"/>
            </w:tcBorders>
            <w:shd w:val="clear" w:color="000000" w:fill="D9D9D9"/>
            <w:noWrap/>
            <w:vAlign w:val="bottom"/>
            <w:hideMark/>
          </w:tcPr>
          <w:p w14:paraId="71489C6B" w14:textId="77777777" w:rsidR="00AB6753" w:rsidRDefault="00AB6753" w:rsidP="002D1EA4">
            <w:pPr>
              <w:spacing w:after="0"/>
              <w:jc w:val="right"/>
              <w:rPr>
                <w:rFonts w:cs="Arial"/>
                <w:sz w:val="18"/>
                <w:szCs w:val="18"/>
              </w:rPr>
            </w:pPr>
            <w:r>
              <w:rPr>
                <w:rFonts w:cs="Arial"/>
                <w:sz w:val="18"/>
                <w:szCs w:val="18"/>
              </w:rPr>
              <w:t>44,249</w:t>
            </w:r>
          </w:p>
        </w:tc>
      </w:tr>
    </w:tbl>
    <w:p w14:paraId="318B74D5" w14:textId="77777777" w:rsidR="00AB6753" w:rsidRDefault="00AB6753" w:rsidP="00AB6753">
      <w:pPr>
        <w:pStyle w:val="GreyShadeTableBreak"/>
        <w:ind w:right="0"/>
      </w:pPr>
    </w:p>
    <w:p w14:paraId="4E0DCCAB" w14:textId="77777777" w:rsidR="00AB6753" w:rsidRPr="00133432" w:rsidRDefault="00AB6753" w:rsidP="00AB6753">
      <w:pPr>
        <w:pStyle w:val="GreyShadeTableBreak"/>
        <w:tabs>
          <w:tab w:val="clear" w:pos="9214"/>
          <w:tab w:val="left" w:pos="9498"/>
        </w:tabs>
        <w:spacing w:line="240" w:lineRule="atLeast"/>
        <w:ind w:right="0"/>
        <w:rPr>
          <w:rFonts w:ascii="Arial" w:hAnsi="Arial" w:cs="Arial"/>
          <w:sz w:val="18"/>
          <w:szCs w:val="18"/>
        </w:rPr>
      </w:pPr>
      <w:r w:rsidRPr="00133432">
        <w:rPr>
          <w:rFonts w:ascii="Arial" w:hAnsi="Arial" w:cs="Arial"/>
          <w:sz w:val="18"/>
          <w:szCs w:val="18"/>
        </w:rPr>
        <w:t>During the 2020 financial year, settlement of supplier payables was usually made within 20 days. In response to COVID-19, from mid-April 2020, settlement was usually made within 7 days to assist the cash flow for Australian businesses (2019: 30 days). Settlement of grants payables was made according to the terms and conditions of each grant and usually within 30 days of performance or eligibility (2019: 30 days).</w:t>
      </w:r>
    </w:p>
    <w:p w14:paraId="0271AC4B" w14:textId="77777777" w:rsidR="00AB6753" w:rsidRDefault="00AB6753" w:rsidP="00AB6753">
      <w:pPr>
        <w:pStyle w:val="GreyShadeTableBreak"/>
        <w:spacing w:line="240" w:lineRule="atLeast"/>
        <w:ind w:right="0"/>
      </w:pPr>
    </w:p>
    <w:p w14:paraId="5DEB6980" w14:textId="77777777" w:rsidR="00AB6753" w:rsidRPr="00A3163D"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pPr>
      <w:r w:rsidRPr="00A3163D">
        <w:rPr>
          <w:b/>
          <w:i w:val="0"/>
        </w:rPr>
        <w:t>Accounting Policy</w:t>
      </w:r>
    </w:p>
    <w:p w14:paraId="2B3B2C72" w14:textId="77777777" w:rsidR="00AB6753" w:rsidRPr="00A3163D"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rPr>
          <w:i w:val="0"/>
          <w:u w:val="none"/>
        </w:rPr>
      </w:pPr>
      <w:r w:rsidRPr="00A3163D">
        <w:rPr>
          <w:i w:val="0"/>
          <w:u w:val="none"/>
        </w:rPr>
        <w:t>Administered payables are measured at fair value where possible. The carrying amounts of administered liabilities not measured at fair value are considered to be a reasonable approximation of their fair value.</w:t>
      </w:r>
    </w:p>
    <w:p w14:paraId="1824CCD6" w14:textId="77777777" w:rsidR="00AB6753" w:rsidRPr="00A3163D"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pPr>
      <w:r w:rsidRPr="00A3163D">
        <w:t>Grants</w:t>
      </w:r>
    </w:p>
    <w:p w14:paraId="56D2E2CA" w14:textId="77777777" w:rsidR="00AB6753" w:rsidRPr="00A3163D"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11" w:right="11"/>
      </w:pPr>
      <w:r w:rsidRPr="00A3163D">
        <w:rPr>
          <w:i w:val="0"/>
          <w:u w:val="none"/>
        </w:rPr>
        <w:t xml:space="preserve">Grant liabilities are recognised to the extent that required services have been performed or the eligibility criteria have been satisfied by the grantee, but payments due have not been made. Grant commitments are when the Australian Government enters into an agreement to make grant payments, but services have not yet been performed or criteria satisfied. </w:t>
      </w:r>
      <w:bookmarkStart w:id="168" w:name="_Toc450750170"/>
    </w:p>
    <w:p w14:paraId="7353504C" w14:textId="77777777" w:rsidR="00AB6753" w:rsidRDefault="00AB6753" w:rsidP="00AB6753">
      <w:pPr>
        <w:pBdr>
          <w:top w:val="single" w:sz="4" w:space="1" w:color="00B2BA"/>
          <w:left w:val="single" w:sz="4" w:space="4" w:color="00B2BA"/>
          <w:bottom w:val="single" w:sz="4" w:space="1" w:color="00B2BA"/>
          <w:right w:val="single" w:sz="4" w:space="4" w:color="00B2BA"/>
        </w:pBdr>
        <w:spacing w:line="240" w:lineRule="auto"/>
        <w:rPr>
          <w:rFonts w:cs="Arial"/>
          <w:sz w:val="8"/>
          <w:szCs w:val="8"/>
          <w:lang w:eastAsia="en-AU"/>
        </w:rPr>
      </w:pPr>
      <w:r>
        <w:rPr>
          <w:sz w:val="8"/>
          <w:szCs w:val="8"/>
        </w:rPr>
        <w:br w:type="page"/>
      </w:r>
    </w:p>
    <w:p w14:paraId="5E3C698C" w14:textId="77777777" w:rsidR="00AB6753" w:rsidRPr="00163047" w:rsidRDefault="00AB6753" w:rsidP="00AB6753">
      <w:pPr>
        <w:pStyle w:val="SubHeading"/>
        <w:shd w:val="clear" w:color="auto" w:fill="D9D9D9" w:themeFill="background1" w:themeFillShade="D9"/>
        <w:ind w:left="28"/>
        <w:rPr>
          <w:sz w:val="20"/>
        </w:rPr>
      </w:pPr>
      <w:bookmarkStart w:id="169" w:name="_Toc45748815"/>
      <w:r>
        <w:rPr>
          <w:sz w:val="20"/>
        </w:rPr>
        <w:lastRenderedPageBreak/>
        <w:t xml:space="preserve">4.3 </w:t>
      </w:r>
      <w:r w:rsidRPr="00163047">
        <w:rPr>
          <w:sz w:val="20"/>
        </w:rPr>
        <w:t>Administered – Other Provisions</w:t>
      </w:r>
      <w:bookmarkEnd w:id="168"/>
      <w:bookmarkEnd w:id="169"/>
    </w:p>
    <w:p w14:paraId="4EA9F61A" w14:textId="77777777" w:rsidR="00AB6753" w:rsidRPr="00BB1F97" w:rsidRDefault="00AB6753" w:rsidP="00AB6753">
      <w:pPr>
        <w:pStyle w:val="SubHeading"/>
        <w:shd w:val="clear" w:color="auto" w:fill="D9D9D9" w:themeFill="background1" w:themeFillShade="D9"/>
        <w:ind w:left="28"/>
      </w:pPr>
    </w:p>
    <w:tbl>
      <w:tblPr>
        <w:tblW w:w="9498" w:type="dxa"/>
        <w:tblLayout w:type="fixed"/>
        <w:tblCellMar>
          <w:left w:w="57" w:type="dxa"/>
          <w:right w:w="57" w:type="dxa"/>
        </w:tblCellMar>
        <w:tblLook w:val="04A0" w:firstRow="1" w:lastRow="0" w:firstColumn="1" w:lastColumn="0" w:noHBand="0" w:noVBand="1"/>
        <w:tblCaption w:val="Notes to and forming part of the financial statements"/>
        <w:tblDescription w:val="Administered other provisions"/>
      </w:tblPr>
      <w:tblGrid>
        <w:gridCol w:w="3238"/>
        <w:gridCol w:w="1134"/>
        <w:gridCol w:w="1134"/>
        <w:gridCol w:w="850"/>
        <w:gridCol w:w="931"/>
        <w:gridCol w:w="908"/>
        <w:gridCol w:w="1303"/>
      </w:tblGrid>
      <w:tr w:rsidR="00AB6753" w14:paraId="34FBE6AA" w14:textId="77777777" w:rsidTr="002D1EA4">
        <w:trPr>
          <w:trHeight w:val="240"/>
        </w:trPr>
        <w:tc>
          <w:tcPr>
            <w:tcW w:w="9498" w:type="dxa"/>
            <w:gridSpan w:val="7"/>
            <w:tcBorders>
              <w:top w:val="nil"/>
              <w:left w:val="nil"/>
              <w:bottom w:val="nil"/>
              <w:right w:val="nil"/>
            </w:tcBorders>
            <w:shd w:val="clear" w:color="000000" w:fill="D9D9D9"/>
            <w:noWrap/>
            <w:hideMark/>
          </w:tcPr>
          <w:p w14:paraId="69531FE8" w14:textId="77777777" w:rsidR="00AB6753" w:rsidRDefault="00AB6753" w:rsidP="002D1EA4">
            <w:pPr>
              <w:spacing w:after="0"/>
              <w:rPr>
                <w:rFonts w:cs="Arial"/>
                <w:b/>
                <w:bCs/>
                <w:sz w:val="18"/>
                <w:szCs w:val="18"/>
                <w:u w:val="single"/>
              </w:rPr>
            </w:pPr>
            <w:bookmarkStart w:id="170" w:name="Note_APZTABLE1" w:colFirst="0" w:colLast="0"/>
            <w:r>
              <w:rPr>
                <w:rFonts w:cs="Arial"/>
                <w:b/>
                <w:bCs/>
                <w:sz w:val="18"/>
                <w:szCs w:val="18"/>
                <w:u w:val="single"/>
              </w:rPr>
              <w:t>Note 4.3A: Personal Benefits and Other Provisions</w:t>
            </w:r>
          </w:p>
        </w:tc>
      </w:tr>
      <w:bookmarkEnd w:id="170"/>
      <w:tr w:rsidR="00AB6753" w14:paraId="5606EDF5" w14:textId="77777777" w:rsidTr="002D1EA4">
        <w:trPr>
          <w:trHeight w:val="240"/>
        </w:trPr>
        <w:tc>
          <w:tcPr>
            <w:tcW w:w="3238" w:type="dxa"/>
            <w:tcBorders>
              <w:top w:val="nil"/>
              <w:left w:val="nil"/>
              <w:bottom w:val="single" w:sz="4" w:space="0" w:color="auto"/>
              <w:right w:val="nil"/>
            </w:tcBorders>
            <w:shd w:val="clear" w:color="000000" w:fill="D9D9D9"/>
            <w:noWrap/>
            <w:vAlign w:val="bottom"/>
            <w:hideMark/>
          </w:tcPr>
          <w:p w14:paraId="3ECCEA5D" w14:textId="77777777" w:rsidR="00AB6753" w:rsidRDefault="00AB6753" w:rsidP="002D1EA4">
            <w:pPr>
              <w:spacing w:after="0"/>
              <w:rPr>
                <w:rFonts w:cs="Arial"/>
                <w:b/>
                <w:bCs/>
                <w:sz w:val="18"/>
                <w:szCs w:val="18"/>
              </w:rPr>
            </w:pPr>
            <w:r>
              <w:rPr>
                <w:rFonts w:cs="Arial"/>
                <w:b/>
                <w:bCs/>
                <w:sz w:val="18"/>
                <w:szCs w:val="18"/>
              </w:rPr>
              <w:t> </w:t>
            </w:r>
          </w:p>
        </w:tc>
        <w:tc>
          <w:tcPr>
            <w:tcW w:w="1134" w:type="dxa"/>
            <w:tcBorders>
              <w:top w:val="nil"/>
              <w:left w:val="nil"/>
              <w:bottom w:val="single" w:sz="4" w:space="0" w:color="auto"/>
              <w:right w:val="nil"/>
            </w:tcBorders>
            <w:shd w:val="clear" w:color="000000" w:fill="D9D9D9"/>
            <w:noWrap/>
            <w:vAlign w:val="bottom"/>
            <w:hideMark/>
          </w:tcPr>
          <w:p w14:paraId="5647CD1F" w14:textId="77777777" w:rsidR="00AB6753" w:rsidRDefault="00AB6753" w:rsidP="002D1EA4">
            <w:pPr>
              <w:spacing w:after="0"/>
              <w:rPr>
                <w:rFonts w:cs="Arial"/>
                <w:b/>
                <w:bCs/>
                <w:sz w:val="18"/>
                <w:szCs w:val="18"/>
              </w:rPr>
            </w:pPr>
            <w:r>
              <w:rPr>
                <w:rFonts w:cs="Arial"/>
                <w:b/>
                <w:bCs/>
                <w:sz w:val="18"/>
                <w:szCs w:val="18"/>
              </w:rPr>
              <w:t> </w:t>
            </w:r>
          </w:p>
        </w:tc>
        <w:tc>
          <w:tcPr>
            <w:tcW w:w="1134" w:type="dxa"/>
            <w:tcBorders>
              <w:top w:val="nil"/>
              <w:left w:val="nil"/>
              <w:bottom w:val="single" w:sz="4" w:space="0" w:color="auto"/>
              <w:right w:val="nil"/>
            </w:tcBorders>
            <w:shd w:val="clear" w:color="000000" w:fill="D9D9D9"/>
            <w:noWrap/>
            <w:vAlign w:val="bottom"/>
            <w:hideMark/>
          </w:tcPr>
          <w:p w14:paraId="1B950836" w14:textId="77777777" w:rsidR="00AB6753" w:rsidRDefault="00AB6753" w:rsidP="002D1EA4">
            <w:pPr>
              <w:spacing w:after="0"/>
              <w:rPr>
                <w:rFonts w:cs="Arial"/>
                <w:b/>
                <w:bCs/>
                <w:sz w:val="18"/>
                <w:szCs w:val="18"/>
              </w:rPr>
            </w:pPr>
            <w:r>
              <w:rPr>
                <w:rFonts w:cs="Arial"/>
                <w:b/>
                <w:bCs/>
                <w:sz w:val="18"/>
                <w:szCs w:val="18"/>
              </w:rPr>
              <w:t> </w:t>
            </w:r>
          </w:p>
        </w:tc>
        <w:tc>
          <w:tcPr>
            <w:tcW w:w="850" w:type="dxa"/>
            <w:tcBorders>
              <w:top w:val="nil"/>
              <w:left w:val="nil"/>
              <w:bottom w:val="single" w:sz="4" w:space="0" w:color="auto"/>
              <w:right w:val="nil"/>
            </w:tcBorders>
            <w:shd w:val="clear" w:color="000000" w:fill="D9D9D9"/>
            <w:noWrap/>
            <w:vAlign w:val="bottom"/>
            <w:hideMark/>
          </w:tcPr>
          <w:p w14:paraId="3F68D350" w14:textId="77777777" w:rsidR="00AB6753" w:rsidRDefault="00AB6753" w:rsidP="002D1EA4">
            <w:pPr>
              <w:spacing w:after="0"/>
              <w:jc w:val="right"/>
              <w:rPr>
                <w:rFonts w:cs="Arial"/>
                <w:b/>
                <w:bCs/>
                <w:sz w:val="18"/>
                <w:szCs w:val="18"/>
              </w:rPr>
            </w:pPr>
            <w:r>
              <w:rPr>
                <w:rFonts w:cs="Arial"/>
                <w:b/>
                <w:bCs/>
                <w:sz w:val="18"/>
                <w:szCs w:val="18"/>
              </w:rPr>
              <w:t> </w:t>
            </w:r>
          </w:p>
        </w:tc>
        <w:tc>
          <w:tcPr>
            <w:tcW w:w="931" w:type="dxa"/>
            <w:tcBorders>
              <w:top w:val="nil"/>
              <w:left w:val="nil"/>
              <w:bottom w:val="single" w:sz="4" w:space="0" w:color="auto"/>
              <w:right w:val="nil"/>
            </w:tcBorders>
            <w:shd w:val="clear" w:color="000000" w:fill="D9D9D9"/>
            <w:noWrap/>
            <w:vAlign w:val="bottom"/>
            <w:hideMark/>
          </w:tcPr>
          <w:p w14:paraId="337F79C8" w14:textId="77777777" w:rsidR="00AB6753" w:rsidRDefault="00AB6753" w:rsidP="002D1EA4">
            <w:pPr>
              <w:spacing w:after="0"/>
              <w:jc w:val="right"/>
              <w:rPr>
                <w:rFonts w:cs="Arial"/>
                <w:b/>
                <w:bCs/>
                <w:sz w:val="18"/>
                <w:szCs w:val="18"/>
              </w:rPr>
            </w:pPr>
            <w:r>
              <w:rPr>
                <w:rFonts w:cs="Arial"/>
                <w:b/>
                <w:bCs/>
                <w:sz w:val="18"/>
                <w:szCs w:val="18"/>
              </w:rPr>
              <w:t> </w:t>
            </w:r>
          </w:p>
        </w:tc>
        <w:tc>
          <w:tcPr>
            <w:tcW w:w="908" w:type="dxa"/>
            <w:tcBorders>
              <w:top w:val="nil"/>
              <w:left w:val="nil"/>
              <w:bottom w:val="single" w:sz="4" w:space="0" w:color="auto"/>
              <w:right w:val="nil"/>
            </w:tcBorders>
            <w:shd w:val="clear" w:color="000000" w:fill="D9D9D9"/>
            <w:noWrap/>
            <w:vAlign w:val="bottom"/>
            <w:hideMark/>
          </w:tcPr>
          <w:p w14:paraId="3C6FBFB4" w14:textId="77777777" w:rsidR="00AB6753" w:rsidRDefault="00AB6753" w:rsidP="002D1EA4">
            <w:pPr>
              <w:spacing w:after="0"/>
              <w:jc w:val="right"/>
              <w:rPr>
                <w:rFonts w:cs="Arial"/>
                <w:b/>
                <w:bCs/>
                <w:sz w:val="18"/>
                <w:szCs w:val="18"/>
              </w:rPr>
            </w:pPr>
            <w:r>
              <w:rPr>
                <w:rFonts w:cs="Arial"/>
                <w:b/>
                <w:bCs/>
                <w:sz w:val="18"/>
                <w:szCs w:val="18"/>
              </w:rPr>
              <w:t> </w:t>
            </w:r>
          </w:p>
        </w:tc>
        <w:tc>
          <w:tcPr>
            <w:tcW w:w="1303" w:type="dxa"/>
            <w:tcBorders>
              <w:top w:val="nil"/>
              <w:left w:val="nil"/>
              <w:bottom w:val="single" w:sz="4" w:space="0" w:color="auto"/>
              <w:right w:val="nil"/>
            </w:tcBorders>
            <w:shd w:val="clear" w:color="000000" w:fill="D9D9D9"/>
            <w:noWrap/>
            <w:vAlign w:val="bottom"/>
            <w:hideMark/>
          </w:tcPr>
          <w:p w14:paraId="261A3243" w14:textId="77777777" w:rsidR="00AB6753" w:rsidRDefault="00AB6753" w:rsidP="002D1EA4">
            <w:pPr>
              <w:spacing w:after="0"/>
              <w:ind w:right="113"/>
              <w:jc w:val="right"/>
              <w:rPr>
                <w:rFonts w:cs="Arial"/>
                <w:b/>
                <w:bCs/>
                <w:sz w:val="18"/>
                <w:szCs w:val="18"/>
              </w:rPr>
            </w:pPr>
            <w:r>
              <w:rPr>
                <w:rFonts w:cs="Arial"/>
                <w:b/>
                <w:bCs/>
                <w:sz w:val="18"/>
                <w:szCs w:val="18"/>
              </w:rPr>
              <w:t> </w:t>
            </w:r>
          </w:p>
        </w:tc>
      </w:tr>
      <w:tr w:rsidR="00AB6753" w14:paraId="1065824A" w14:textId="77777777" w:rsidTr="002D1EA4">
        <w:trPr>
          <w:trHeight w:val="675"/>
        </w:trPr>
        <w:tc>
          <w:tcPr>
            <w:tcW w:w="3238" w:type="dxa"/>
            <w:tcBorders>
              <w:top w:val="nil"/>
              <w:left w:val="nil"/>
              <w:bottom w:val="nil"/>
              <w:right w:val="nil"/>
            </w:tcBorders>
            <w:shd w:val="clear" w:color="000000" w:fill="D9D9D9"/>
            <w:noWrap/>
            <w:vAlign w:val="bottom"/>
            <w:hideMark/>
          </w:tcPr>
          <w:p w14:paraId="62E3C3FE" w14:textId="77777777" w:rsidR="00AB6753" w:rsidRDefault="00AB6753" w:rsidP="002D1EA4">
            <w:pPr>
              <w:spacing w:after="0"/>
              <w:rPr>
                <w:rFonts w:cs="Arial"/>
                <w:sz w:val="17"/>
                <w:szCs w:val="17"/>
              </w:rPr>
            </w:pPr>
            <w:r>
              <w:rPr>
                <w:rFonts w:cs="Arial"/>
                <w:sz w:val="17"/>
                <w:szCs w:val="17"/>
              </w:rPr>
              <w:t> </w:t>
            </w:r>
          </w:p>
        </w:tc>
        <w:tc>
          <w:tcPr>
            <w:tcW w:w="1134" w:type="dxa"/>
            <w:tcBorders>
              <w:top w:val="nil"/>
              <w:left w:val="nil"/>
              <w:bottom w:val="nil"/>
              <w:right w:val="nil"/>
            </w:tcBorders>
            <w:shd w:val="clear" w:color="000000" w:fill="D9D9D9"/>
            <w:hideMark/>
          </w:tcPr>
          <w:p w14:paraId="56E2C801" w14:textId="77777777" w:rsidR="00AB6753" w:rsidRDefault="00AB6753" w:rsidP="002D1EA4">
            <w:pPr>
              <w:spacing w:after="0"/>
              <w:jc w:val="right"/>
              <w:rPr>
                <w:rFonts w:cs="Arial"/>
                <w:b/>
                <w:bCs/>
                <w:sz w:val="17"/>
                <w:szCs w:val="17"/>
              </w:rPr>
            </w:pPr>
            <w:r>
              <w:rPr>
                <w:rFonts w:cs="Arial"/>
                <w:b/>
                <w:bCs/>
                <w:sz w:val="17"/>
                <w:szCs w:val="17"/>
              </w:rPr>
              <w:t>Family Tax Benefit</w:t>
            </w:r>
          </w:p>
        </w:tc>
        <w:tc>
          <w:tcPr>
            <w:tcW w:w="1134" w:type="dxa"/>
            <w:tcBorders>
              <w:top w:val="nil"/>
              <w:left w:val="nil"/>
              <w:bottom w:val="nil"/>
              <w:right w:val="nil"/>
            </w:tcBorders>
            <w:shd w:val="clear" w:color="000000" w:fill="D9D9D9"/>
            <w:hideMark/>
          </w:tcPr>
          <w:p w14:paraId="551FBB4F" w14:textId="77777777" w:rsidR="00AB6753" w:rsidRDefault="00AB6753" w:rsidP="002D1EA4">
            <w:pPr>
              <w:spacing w:after="0"/>
              <w:jc w:val="right"/>
              <w:rPr>
                <w:rFonts w:cs="Arial"/>
                <w:b/>
                <w:bCs/>
                <w:sz w:val="17"/>
                <w:szCs w:val="17"/>
              </w:rPr>
            </w:pPr>
            <w:r>
              <w:rPr>
                <w:rFonts w:cs="Arial"/>
                <w:b/>
                <w:bCs/>
                <w:sz w:val="17"/>
                <w:szCs w:val="17"/>
              </w:rPr>
              <w:t>Claims in Progress</w:t>
            </w:r>
          </w:p>
        </w:tc>
        <w:tc>
          <w:tcPr>
            <w:tcW w:w="850" w:type="dxa"/>
            <w:tcBorders>
              <w:top w:val="nil"/>
              <w:left w:val="nil"/>
              <w:bottom w:val="nil"/>
              <w:right w:val="nil"/>
            </w:tcBorders>
            <w:shd w:val="clear" w:color="000000" w:fill="D9D9D9"/>
            <w:hideMark/>
          </w:tcPr>
          <w:p w14:paraId="3D61A396" w14:textId="77777777" w:rsidR="00AB6753" w:rsidRDefault="00AB6753" w:rsidP="002D1EA4">
            <w:pPr>
              <w:spacing w:after="0"/>
              <w:jc w:val="right"/>
              <w:rPr>
                <w:rFonts w:cs="Arial"/>
                <w:b/>
                <w:bCs/>
                <w:sz w:val="17"/>
                <w:szCs w:val="17"/>
              </w:rPr>
            </w:pPr>
            <w:r>
              <w:rPr>
                <w:rFonts w:cs="Arial"/>
                <w:b/>
                <w:bCs/>
                <w:sz w:val="17"/>
                <w:szCs w:val="17"/>
              </w:rPr>
              <w:t>Pension Bonus Scheme</w:t>
            </w:r>
          </w:p>
        </w:tc>
        <w:tc>
          <w:tcPr>
            <w:tcW w:w="931" w:type="dxa"/>
            <w:tcBorders>
              <w:top w:val="nil"/>
              <w:left w:val="nil"/>
              <w:bottom w:val="nil"/>
              <w:right w:val="nil"/>
            </w:tcBorders>
            <w:shd w:val="clear" w:color="000000" w:fill="D9D9D9"/>
            <w:hideMark/>
          </w:tcPr>
          <w:p w14:paraId="65CD7BD2" w14:textId="77777777" w:rsidR="00AB6753" w:rsidRDefault="00AB6753" w:rsidP="002D1EA4">
            <w:pPr>
              <w:spacing w:after="0"/>
              <w:jc w:val="right"/>
              <w:rPr>
                <w:rFonts w:cs="Arial"/>
                <w:b/>
                <w:bCs/>
                <w:sz w:val="17"/>
                <w:szCs w:val="17"/>
              </w:rPr>
            </w:pPr>
            <w:r>
              <w:rPr>
                <w:rFonts w:cs="Arial"/>
                <w:b/>
                <w:bCs/>
                <w:sz w:val="17"/>
                <w:szCs w:val="17"/>
              </w:rPr>
              <w:t>National Redress Scheme</w:t>
            </w:r>
          </w:p>
        </w:tc>
        <w:tc>
          <w:tcPr>
            <w:tcW w:w="908" w:type="dxa"/>
            <w:tcBorders>
              <w:top w:val="nil"/>
              <w:left w:val="nil"/>
              <w:bottom w:val="nil"/>
              <w:right w:val="nil"/>
            </w:tcBorders>
            <w:shd w:val="clear" w:color="000000" w:fill="D9D9D9"/>
            <w:hideMark/>
          </w:tcPr>
          <w:p w14:paraId="17140853" w14:textId="77777777" w:rsidR="00AB6753" w:rsidRDefault="00AB6753" w:rsidP="002D1EA4">
            <w:pPr>
              <w:spacing w:after="0"/>
              <w:jc w:val="right"/>
              <w:rPr>
                <w:rFonts w:cs="Arial"/>
                <w:b/>
                <w:bCs/>
                <w:sz w:val="17"/>
                <w:szCs w:val="17"/>
              </w:rPr>
            </w:pPr>
            <w:r>
              <w:rPr>
                <w:rFonts w:cs="Arial"/>
                <w:b/>
                <w:bCs/>
                <w:sz w:val="17"/>
                <w:szCs w:val="17"/>
              </w:rPr>
              <w:t>Other</w:t>
            </w:r>
            <w:r>
              <w:rPr>
                <w:rFonts w:cs="Arial"/>
                <w:b/>
                <w:bCs/>
                <w:sz w:val="17"/>
                <w:szCs w:val="17"/>
                <w:vertAlign w:val="superscript"/>
              </w:rPr>
              <w:t>1</w:t>
            </w:r>
          </w:p>
        </w:tc>
        <w:tc>
          <w:tcPr>
            <w:tcW w:w="1303" w:type="dxa"/>
            <w:tcBorders>
              <w:top w:val="nil"/>
              <w:left w:val="nil"/>
              <w:bottom w:val="nil"/>
              <w:right w:val="nil"/>
            </w:tcBorders>
            <w:shd w:val="clear" w:color="000000" w:fill="D9D9D9"/>
            <w:hideMark/>
          </w:tcPr>
          <w:p w14:paraId="7690143E" w14:textId="77777777" w:rsidR="00AB6753" w:rsidRDefault="00AB6753" w:rsidP="002D1EA4">
            <w:pPr>
              <w:spacing w:after="0"/>
              <w:jc w:val="right"/>
              <w:rPr>
                <w:rFonts w:cs="Arial"/>
                <w:b/>
                <w:bCs/>
                <w:sz w:val="17"/>
                <w:szCs w:val="17"/>
              </w:rPr>
            </w:pPr>
            <w:r>
              <w:rPr>
                <w:rFonts w:cs="Arial"/>
                <w:b/>
                <w:bCs/>
                <w:sz w:val="17"/>
                <w:szCs w:val="17"/>
              </w:rPr>
              <w:t>Total</w:t>
            </w:r>
          </w:p>
        </w:tc>
      </w:tr>
      <w:tr w:rsidR="00AB6753" w14:paraId="11D321E3" w14:textId="77777777" w:rsidTr="002D1EA4">
        <w:trPr>
          <w:trHeight w:val="240"/>
        </w:trPr>
        <w:tc>
          <w:tcPr>
            <w:tcW w:w="3238" w:type="dxa"/>
            <w:tcBorders>
              <w:top w:val="nil"/>
              <w:left w:val="nil"/>
              <w:bottom w:val="single" w:sz="4" w:space="0" w:color="auto"/>
              <w:right w:val="nil"/>
            </w:tcBorders>
            <w:shd w:val="clear" w:color="000000" w:fill="D9D9D9"/>
            <w:noWrap/>
            <w:vAlign w:val="bottom"/>
            <w:hideMark/>
          </w:tcPr>
          <w:p w14:paraId="21441CCA" w14:textId="77777777" w:rsidR="00AB6753" w:rsidRDefault="00AB6753" w:rsidP="002D1EA4">
            <w:pPr>
              <w:spacing w:after="0"/>
              <w:rPr>
                <w:rFonts w:cs="Arial"/>
                <w:sz w:val="17"/>
                <w:szCs w:val="17"/>
              </w:rPr>
            </w:pPr>
            <w:r>
              <w:rPr>
                <w:rFonts w:cs="Arial"/>
                <w:sz w:val="17"/>
                <w:szCs w:val="17"/>
              </w:rPr>
              <w:t> </w:t>
            </w:r>
          </w:p>
        </w:tc>
        <w:tc>
          <w:tcPr>
            <w:tcW w:w="1134" w:type="dxa"/>
            <w:tcBorders>
              <w:top w:val="nil"/>
              <w:left w:val="nil"/>
              <w:bottom w:val="single" w:sz="4" w:space="0" w:color="auto"/>
              <w:right w:val="nil"/>
            </w:tcBorders>
            <w:shd w:val="clear" w:color="000000" w:fill="D9D9D9"/>
            <w:noWrap/>
            <w:vAlign w:val="bottom"/>
            <w:hideMark/>
          </w:tcPr>
          <w:p w14:paraId="4D1124EF" w14:textId="77777777" w:rsidR="00AB6753" w:rsidRDefault="00AB6753" w:rsidP="002D1EA4">
            <w:pPr>
              <w:spacing w:after="0"/>
              <w:jc w:val="right"/>
              <w:rPr>
                <w:rFonts w:cs="Arial"/>
                <w:b/>
                <w:bCs/>
                <w:sz w:val="17"/>
                <w:szCs w:val="17"/>
              </w:rPr>
            </w:pPr>
            <w:r>
              <w:rPr>
                <w:rFonts w:cs="Arial"/>
                <w:b/>
                <w:bCs/>
                <w:sz w:val="17"/>
                <w:szCs w:val="17"/>
              </w:rPr>
              <w:t>$'000</w:t>
            </w:r>
          </w:p>
        </w:tc>
        <w:tc>
          <w:tcPr>
            <w:tcW w:w="1134" w:type="dxa"/>
            <w:tcBorders>
              <w:top w:val="nil"/>
              <w:left w:val="nil"/>
              <w:bottom w:val="single" w:sz="4" w:space="0" w:color="auto"/>
              <w:right w:val="nil"/>
            </w:tcBorders>
            <w:shd w:val="clear" w:color="000000" w:fill="D9D9D9"/>
            <w:noWrap/>
            <w:vAlign w:val="bottom"/>
            <w:hideMark/>
          </w:tcPr>
          <w:p w14:paraId="25C2BD77" w14:textId="77777777" w:rsidR="00AB6753" w:rsidRDefault="00AB6753" w:rsidP="002D1EA4">
            <w:pPr>
              <w:spacing w:after="0"/>
              <w:jc w:val="right"/>
              <w:rPr>
                <w:rFonts w:cs="Arial"/>
                <w:b/>
                <w:bCs/>
                <w:sz w:val="17"/>
                <w:szCs w:val="17"/>
              </w:rPr>
            </w:pPr>
            <w:r>
              <w:rPr>
                <w:rFonts w:cs="Arial"/>
                <w:b/>
                <w:bCs/>
                <w:sz w:val="17"/>
                <w:szCs w:val="17"/>
              </w:rPr>
              <w:t>$'000</w:t>
            </w:r>
          </w:p>
        </w:tc>
        <w:tc>
          <w:tcPr>
            <w:tcW w:w="850" w:type="dxa"/>
            <w:tcBorders>
              <w:top w:val="nil"/>
              <w:left w:val="nil"/>
              <w:bottom w:val="single" w:sz="4" w:space="0" w:color="auto"/>
              <w:right w:val="nil"/>
            </w:tcBorders>
            <w:shd w:val="clear" w:color="000000" w:fill="D9D9D9"/>
            <w:noWrap/>
            <w:vAlign w:val="bottom"/>
            <w:hideMark/>
          </w:tcPr>
          <w:p w14:paraId="3AEB5380" w14:textId="77777777" w:rsidR="00AB6753" w:rsidRDefault="00AB6753" w:rsidP="002D1EA4">
            <w:pPr>
              <w:spacing w:after="0"/>
              <w:jc w:val="right"/>
              <w:rPr>
                <w:rFonts w:cs="Arial"/>
                <w:b/>
                <w:bCs/>
                <w:sz w:val="17"/>
                <w:szCs w:val="17"/>
              </w:rPr>
            </w:pPr>
            <w:r>
              <w:rPr>
                <w:rFonts w:cs="Arial"/>
                <w:b/>
                <w:bCs/>
                <w:sz w:val="17"/>
                <w:szCs w:val="17"/>
              </w:rPr>
              <w:t>$'000</w:t>
            </w:r>
          </w:p>
        </w:tc>
        <w:tc>
          <w:tcPr>
            <w:tcW w:w="931" w:type="dxa"/>
            <w:tcBorders>
              <w:top w:val="nil"/>
              <w:left w:val="nil"/>
              <w:bottom w:val="single" w:sz="4" w:space="0" w:color="auto"/>
              <w:right w:val="nil"/>
            </w:tcBorders>
            <w:shd w:val="clear" w:color="000000" w:fill="D9D9D9"/>
            <w:noWrap/>
            <w:vAlign w:val="bottom"/>
            <w:hideMark/>
          </w:tcPr>
          <w:p w14:paraId="70EF2419" w14:textId="77777777" w:rsidR="00AB6753" w:rsidRDefault="00AB6753" w:rsidP="002D1EA4">
            <w:pPr>
              <w:spacing w:after="0"/>
              <w:jc w:val="right"/>
              <w:rPr>
                <w:rFonts w:cs="Arial"/>
                <w:b/>
                <w:bCs/>
                <w:sz w:val="17"/>
                <w:szCs w:val="17"/>
              </w:rPr>
            </w:pPr>
            <w:r>
              <w:rPr>
                <w:rFonts w:cs="Arial"/>
                <w:b/>
                <w:bCs/>
                <w:sz w:val="17"/>
                <w:szCs w:val="17"/>
              </w:rPr>
              <w:t>$'000</w:t>
            </w:r>
          </w:p>
        </w:tc>
        <w:tc>
          <w:tcPr>
            <w:tcW w:w="908" w:type="dxa"/>
            <w:tcBorders>
              <w:top w:val="nil"/>
              <w:left w:val="nil"/>
              <w:bottom w:val="single" w:sz="4" w:space="0" w:color="auto"/>
              <w:right w:val="nil"/>
            </w:tcBorders>
            <w:shd w:val="clear" w:color="000000" w:fill="D9D9D9"/>
            <w:noWrap/>
            <w:vAlign w:val="bottom"/>
            <w:hideMark/>
          </w:tcPr>
          <w:p w14:paraId="2148C1AE" w14:textId="77777777" w:rsidR="00AB6753" w:rsidRDefault="00AB6753" w:rsidP="002D1EA4">
            <w:pPr>
              <w:spacing w:after="0"/>
              <w:jc w:val="right"/>
              <w:rPr>
                <w:rFonts w:cs="Arial"/>
                <w:b/>
                <w:bCs/>
                <w:sz w:val="17"/>
                <w:szCs w:val="17"/>
              </w:rPr>
            </w:pPr>
            <w:r>
              <w:rPr>
                <w:rFonts w:cs="Arial"/>
                <w:b/>
                <w:bCs/>
                <w:sz w:val="17"/>
                <w:szCs w:val="17"/>
              </w:rPr>
              <w:t>$'000</w:t>
            </w:r>
          </w:p>
        </w:tc>
        <w:tc>
          <w:tcPr>
            <w:tcW w:w="1303" w:type="dxa"/>
            <w:tcBorders>
              <w:top w:val="nil"/>
              <w:left w:val="nil"/>
              <w:bottom w:val="single" w:sz="4" w:space="0" w:color="auto"/>
              <w:right w:val="nil"/>
            </w:tcBorders>
            <w:shd w:val="clear" w:color="000000" w:fill="D9D9D9"/>
            <w:noWrap/>
            <w:vAlign w:val="bottom"/>
            <w:hideMark/>
          </w:tcPr>
          <w:p w14:paraId="7F3AE794" w14:textId="77777777" w:rsidR="00AB6753" w:rsidRDefault="00AB6753" w:rsidP="002D1EA4">
            <w:pPr>
              <w:spacing w:after="0"/>
              <w:jc w:val="right"/>
              <w:rPr>
                <w:rFonts w:cs="Arial"/>
                <w:b/>
                <w:bCs/>
                <w:sz w:val="17"/>
                <w:szCs w:val="17"/>
              </w:rPr>
            </w:pPr>
            <w:r>
              <w:rPr>
                <w:rFonts w:cs="Arial"/>
                <w:b/>
                <w:bCs/>
                <w:sz w:val="17"/>
                <w:szCs w:val="17"/>
              </w:rPr>
              <w:t>$'000</w:t>
            </w:r>
          </w:p>
        </w:tc>
      </w:tr>
      <w:tr w:rsidR="00AB6753" w14:paraId="713169FE" w14:textId="77777777" w:rsidTr="002D1EA4">
        <w:trPr>
          <w:trHeight w:val="240"/>
        </w:trPr>
        <w:tc>
          <w:tcPr>
            <w:tcW w:w="3238" w:type="dxa"/>
            <w:tcBorders>
              <w:top w:val="nil"/>
              <w:left w:val="nil"/>
              <w:bottom w:val="nil"/>
              <w:right w:val="nil"/>
            </w:tcBorders>
            <w:shd w:val="clear" w:color="000000" w:fill="D9D9D9"/>
            <w:vAlign w:val="bottom"/>
            <w:hideMark/>
          </w:tcPr>
          <w:p w14:paraId="6BC7C486" w14:textId="77777777" w:rsidR="00AB6753" w:rsidRDefault="00AB6753" w:rsidP="002D1EA4">
            <w:pPr>
              <w:spacing w:after="0"/>
              <w:rPr>
                <w:rFonts w:cs="Arial"/>
                <w:b/>
                <w:bCs/>
                <w:sz w:val="17"/>
                <w:szCs w:val="17"/>
              </w:rPr>
            </w:pPr>
            <w:r>
              <w:rPr>
                <w:rFonts w:cs="Arial"/>
                <w:b/>
                <w:bCs/>
                <w:sz w:val="17"/>
                <w:szCs w:val="17"/>
              </w:rPr>
              <w:t>Carrying amount as at 1 July 2019</w:t>
            </w:r>
          </w:p>
        </w:tc>
        <w:tc>
          <w:tcPr>
            <w:tcW w:w="1134" w:type="dxa"/>
            <w:tcBorders>
              <w:top w:val="nil"/>
              <w:left w:val="nil"/>
              <w:bottom w:val="nil"/>
              <w:right w:val="nil"/>
            </w:tcBorders>
            <w:shd w:val="clear" w:color="000000" w:fill="D9D9D9"/>
            <w:noWrap/>
            <w:vAlign w:val="bottom"/>
            <w:hideMark/>
          </w:tcPr>
          <w:p w14:paraId="69CB3852" w14:textId="77777777" w:rsidR="00AB6753" w:rsidRDefault="00AB6753" w:rsidP="002D1EA4">
            <w:pPr>
              <w:spacing w:after="0"/>
              <w:jc w:val="right"/>
              <w:rPr>
                <w:rFonts w:cs="Arial"/>
                <w:b/>
                <w:bCs/>
                <w:sz w:val="17"/>
                <w:szCs w:val="17"/>
              </w:rPr>
            </w:pPr>
            <w:r>
              <w:rPr>
                <w:rFonts w:cs="Arial"/>
                <w:b/>
                <w:bCs/>
                <w:sz w:val="17"/>
                <w:szCs w:val="17"/>
              </w:rPr>
              <w:t>3,752,300</w:t>
            </w:r>
          </w:p>
        </w:tc>
        <w:tc>
          <w:tcPr>
            <w:tcW w:w="1134" w:type="dxa"/>
            <w:tcBorders>
              <w:top w:val="nil"/>
              <w:left w:val="nil"/>
              <w:bottom w:val="nil"/>
              <w:right w:val="nil"/>
            </w:tcBorders>
            <w:shd w:val="clear" w:color="000000" w:fill="D9D9D9"/>
            <w:noWrap/>
            <w:vAlign w:val="bottom"/>
            <w:hideMark/>
          </w:tcPr>
          <w:p w14:paraId="343C9481" w14:textId="77777777" w:rsidR="00AB6753" w:rsidRDefault="00AB6753" w:rsidP="002D1EA4">
            <w:pPr>
              <w:spacing w:after="0"/>
              <w:jc w:val="right"/>
              <w:rPr>
                <w:rFonts w:cs="Arial"/>
                <w:b/>
                <w:bCs/>
                <w:sz w:val="17"/>
                <w:szCs w:val="17"/>
              </w:rPr>
            </w:pPr>
            <w:r>
              <w:rPr>
                <w:rFonts w:cs="Arial"/>
                <w:b/>
                <w:bCs/>
                <w:sz w:val="17"/>
                <w:szCs w:val="17"/>
              </w:rPr>
              <w:t>120,293</w:t>
            </w:r>
          </w:p>
        </w:tc>
        <w:tc>
          <w:tcPr>
            <w:tcW w:w="850" w:type="dxa"/>
            <w:tcBorders>
              <w:top w:val="nil"/>
              <w:left w:val="nil"/>
              <w:bottom w:val="nil"/>
              <w:right w:val="nil"/>
            </w:tcBorders>
            <w:shd w:val="clear" w:color="000000" w:fill="D9D9D9"/>
            <w:noWrap/>
            <w:vAlign w:val="bottom"/>
            <w:hideMark/>
          </w:tcPr>
          <w:p w14:paraId="1319F63A" w14:textId="77777777" w:rsidR="00AB6753" w:rsidRDefault="00AB6753" w:rsidP="002D1EA4">
            <w:pPr>
              <w:spacing w:after="0"/>
              <w:jc w:val="right"/>
              <w:rPr>
                <w:rFonts w:cs="Arial"/>
                <w:b/>
                <w:bCs/>
                <w:sz w:val="17"/>
                <w:szCs w:val="17"/>
              </w:rPr>
            </w:pPr>
            <w:r>
              <w:rPr>
                <w:rFonts w:cs="Arial"/>
                <w:b/>
                <w:bCs/>
                <w:sz w:val="17"/>
                <w:szCs w:val="17"/>
              </w:rPr>
              <w:t>155,000</w:t>
            </w:r>
          </w:p>
        </w:tc>
        <w:tc>
          <w:tcPr>
            <w:tcW w:w="931" w:type="dxa"/>
            <w:tcBorders>
              <w:top w:val="nil"/>
              <w:left w:val="nil"/>
              <w:bottom w:val="nil"/>
              <w:right w:val="nil"/>
            </w:tcBorders>
            <w:shd w:val="clear" w:color="000000" w:fill="D9D9D9"/>
            <w:noWrap/>
            <w:vAlign w:val="bottom"/>
            <w:hideMark/>
          </w:tcPr>
          <w:p w14:paraId="6607CEFB" w14:textId="77777777" w:rsidR="00AB6753" w:rsidRDefault="00AB6753" w:rsidP="002D1EA4">
            <w:pPr>
              <w:spacing w:after="0"/>
              <w:jc w:val="right"/>
              <w:rPr>
                <w:rFonts w:cs="Arial"/>
                <w:b/>
                <w:bCs/>
                <w:sz w:val="17"/>
                <w:szCs w:val="17"/>
              </w:rPr>
            </w:pPr>
            <w:r>
              <w:rPr>
                <w:rFonts w:cs="Arial"/>
                <w:b/>
                <w:bCs/>
                <w:sz w:val="17"/>
                <w:szCs w:val="17"/>
              </w:rPr>
              <w:t xml:space="preserve"> -</w:t>
            </w:r>
          </w:p>
        </w:tc>
        <w:tc>
          <w:tcPr>
            <w:tcW w:w="908" w:type="dxa"/>
            <w:tcBorders>
              <w:top w:val="nil"/>
              <w:left w:val="nil"/>
              <w:bottom w:val="nil"/>
              <w:right w:val="nil"/>
            </w:tcBorders>
            <w:shd w:val="clear" w:color="000000" w:fill="D9D9D9"/>
            <w:noWrap/>
            <w:vAlign w:val="bottom"/>
            <w:hideMark/>
          </w:tcPr>
          <w:p w14:paraId="549C7110" w14:textId="77777777" w:rsidR="00AB6753" w:rsidRDefault="00AB6753" w:rsidP="002D1EA4">
            <w:pPr>
              <w:spacing w:after="0"/>
              <w:jc w:val="right"/>
              <w:rPr>
                <w:rFonts w:cs="Arial"/>
                <w:b/>
                <w:bCs/>
                <w:sz w:val="17"/>
                <w:szCs w:val="17"/>
              </w:rPr>
            </w:pPr>
            <w:r>
              <w:rPr>
                <w:rFonts w:cs="Arial"/>
                <w:b/>
                <w:bCs/>
                <w:sz w:val="17"/>
                <w:szCs w:val="17"/>
              </w:rPr>
              <w:t>22,660</w:t>
            </w:r>
          </w:p>
        </w:tc>
        <w:tc>
          <w:tcPr>
            <w:tcW w:w="1303" w:type="dxa"/>
            <w:tcBorders>
              <w:top w:val="nil"/>
              <w:left w:val="nil"/>
              <w:bottom w:val="nil"/>
              <w:right w:val="nil"/>
            </w:tcBorders>
            <w:shd w:val="clear" w:color="000000" w:fill="D9D9D9"/>
            <w:noWrap/>
            <w:vAlign w:val="bottom"/>
            <w:hideMark/>
          </w:tcPr>
          <w:p w14:paraId="10AA52A6" w14:textId="77777777" w:rsidR="00AB6753" w:rsidRDefault="00AB6753" w:rsidP="002D1EA4">
            <w:pPr>
              <w:spacing w:after="0"/>
              <w:jc w:val="right"/>
              <w:rPr>
                <w:rFonts w:cs="Arial"/>
                <w:b/>
                <w:bCs/>
                <w:sz w:val="17"/>
                <w:szCs w:val="17"/>
              </w:rPr>
            </w:pPr>
            <w:r>
              <w:rPr>
                <w:rFonts w:cs="Arial"/>
                <w:b/>
                <w:bCs/>
                <w:sz w:val="17"/>
                <w:szCs w:val="17"/>
              </w:rPr>
              <w:t>4,050,253</w:t>
            </w:r>
          </w:p>
        </w:tc>
      </w:tr>
      <w:tr w:rsidR="00AB6753" w14:paraId="15FA9069" w14:textId="77777777" w:rsidTr="002D1EA4">
        <w:trPr>
          <w:trHeight w:val="240"/>
        </w:trPr>
        <w:tc>
          <w:tcPr>
            <w:tcW w:w="3238" w:type="dxa"/>
            <w:tcBorders>
              <w:top w:val="nil"/>
              <w:left w:val="nil"/>
              <w:bottom w:val="single" w:sz="4" w:space="0" w:color="D9D9D9"/>
              <w:right w:val="nil"/>
            </w:tcBorders>
            <w:shd w:val="clear" w:color="000000" w:fill="D9D9D9"/>
            <w:vAlign w:val="bottom"/>
            <w:hideMark/>
          </w:tcPr>
          <w:p w14:paraId="0FBC1E40" w14:textId="77777777" w:rsidR="00AB6753" w:rsidRDefault="00AB6753" w:rsidP="002D1EA4">
            <w:pPr>
              <w:spacing w:after="0"/>
              <w:ind w:firstLineChars="100" w:firstLine="170"/>
              <w:rPr>
                <w:rFonts w:cs="Arial"/>
                <w:sz w:val="17"/>
                <w:szCs w:val="17"/>
              </w:rPr>
            </w:pPr>
            <w:r>
              <w:rPr>
                <w:rFonts w:cs="Arial"/>
                <w:sz w:val="17"/>
                <w:szCs w:val="17"/>
              </w:rPr>
              <w:t>Provisions made</w:t>
            </w:r>
          </w:p>
        </w:tc>
        <w:tc>
          <w:tcPr>
            <w:tcW w:w="1134" w:type="dxa"/>
            <w:tcBorders>
              <w:top w:val="nil"/>
              <w:left w:val="nil"/>
              <w:bottom w:val="nil"/>
              <w:right w:val="nil"/>
            </w:tcBorders>
            <w:shd w:val="clear" w:color="000000" w:fill="D9D9D9"/>
            <w:noWrap/>
            <w:vAlign w:val="bottom"/>
            <w:hideMark/>
          </w:tcPr>
          <w:p w14:paraId="3EE14329" w14:textId="77777777" w:rsidR="00AB6753" w:rsidRDefault="00AB6753" w:rsidP="002D1EA4">
            <w:pPr>
              <w:spacing w:after="0"/>
              <w:jc w:val="right"/>
              <w:rPr>
                <w:rFonts w:cs="Arial"/>
                <w:b/>
                <w:bCs/>
                <w:sz w:val="17"/>
                <w:szCs w:val="17"/>
              </w:rPr>
            </w:pPr>
            <w:r>
              <w:rPr>
                <w:rFonts w:cs="Arial"/>
                <w:b/>
                <w:bCs/>
                <w:sz w:val="17"/>
                <w:szCs w:val="17"/>
              </w:rPr>
              <w:t>3,477,862</w:t>
            </w:r>
          </w:p>
        </w:tc>
        <w:tc>
          <w:tcPr>
            <w:tcW w:w="1134" w:type="dxa"/>
            <w:tcBorders>
              <w:top w:val="nil"/>
              <w:left w:val="nil"/>
              <w:bottom w:val="nil"/>
              <w:right w:val="nil"/>
            </w:tcBorders>
            <w:shd w:val="clear" w:color="000000" w:fill="D9D9D9"/>
            <w:noWrap/>
            <w:vAlign w:val="bottom"/>
            <w:hideMark/>
          </w:tcPr>
          <w:p w14:paraId="62DA416D" w14:textId="77777777" w:rsidR="00AB6753" w:rsidRDefault="00AB6753" w:rsidP="002D1EA4">
            <w:pPr>
              <w:spacing w:after="0"/>
              <w:jc w:val="right"/>
              <w:rPr>
                <w:rFonts w:cs="Arial"/>
                <w:b/>
                <w:bCs/>
                <w:sz w:val="17"/>
                <w:szCs w:val="17"/>
              </w:rPr>
            </w:pPr>
            <w:r>
              <w:rPr>
                <w:rFonts w:cs="Arial"/>
                <w:b/>
                <w:bCs/>
                <w:sz w:val="17"/>
                <w:szCs w:val="17"/>
              </w:rPr>
              <w:t>137,785</w:t>
            </w:r>
          </w:p>
        </w:tc>
        <w:tc>
          <w:tcPr>
            <w:tcW w:w="850" w:type="dxa"/>
            <w:tcBorders>
              <w:top w:val="nil"/>
              <w:left w:val="nil"/>
              <w:bottom w:val="nil"/>
              <w:right w:val="nil"/>
            </w:tcBorders>
            <w:shd w:val="clear" w:color="000000" w:fill="D9D9D9"/>
            <w:noWrap/>
            <w:vAlign w:val="bottom"/>
            <w:hideMark/>
          </w:tcPr>
          <w:p w14:paraId="6A0CE204" w14:textId="77777777" w:rsidR="00AB6753" w:rsidRDefault="00AB6753" w:rsidP="002D1EA4">
            <w:pPr>
              <w:spacing w:after="0"/>
              <w:jc w:val="right"/>
              <w:rPr>
                <w:rFonts w:cs="Arial"/>
                <w:b/>
                <w:bCs/>
                <w:sz w:val="17"/>
                <w:szCs w:val="17"/>
              </w:rPr>
            </w:pPr>
            <w:r>
              <w:rPr>
                <w:rFonts w:cs="Arial"/>
                <w:b/>
                <w:bCs/>
                <w:sz w:val="17"/>
                <w:szCs w:val="17"/>
              </w:rPr>
              <w:t xml:space="preserve"> -</w:t>
            </w:r>
          </w:p>
        </w:tc>
        <w:tc>
          <w:tcPr>
            <w:tcW w:w="931" w:type="dxa"/>
            <w:tcBorders>
              <w:top w:val="nil"/>
              <w:left w:val="nil"/>
              <w:bottom w:val="nil"/>
              <w:right w:val="nil"/>
            </w:tcBorders>
            <w:shd w:val="clear" w:color="000000" w:fill="D9D9D9"/>
            <w:noWrap/>
            <w:vAlign w:val="bottom"/>
            <w:hideMark/>
          </w:tcPr>
          <w:p w14:paraId="0B47911E" w14:textId="77777777" w:rsidR="00AB6753" w:rsidRDefault="00AB6753" w:rsidP="002D1EA4">
            <w:pPr>
              <w:spacing w:after="0"/>
              <w:jc w:val="right"/>
              <w:rPr>
                <w:rFonts w:cs="Arial"/>
                <w:b/>
                <w:bCs/>
                <w:sz w:val="17"/>
                <w:szCs w:val="17"/>
              </w:rPr>
            </w:pPr>
            <w:r>
              <w:rPr>
                <w:rFonts w:cs="Arial"/>
                <w:b/>
                <w:bCs/>
                <w:sz w:val="17"/>
                <w:szCs w:val="17"/>
              </w:rPr>
              <w:t>37,624</w:t>
            </w:r>
          </w:p>
        </w:tc>
        <w:tc>
          <w:tcPr>
            <w:tcW w:w="908" w:type="dxa"/>
            <w:tcBorders>
              <w:top w:val="nil"/>
              <w:left w:val="nil"/>
              <w:bottom w:val="nil"/>
              <w:right w:val="nil"/>
            </w:tcBorders>
            <w:shd w:val="clear" w:color="000000" w:fill="D9D9D9"/>
            <w:noWrap/>
            <w:vAlign w:val="bottom"/>
            <w:hideMark/>
          </w:tcPr>
          <w:p w14:paraId="5396E152" w14:textId="77777777" w:rsidR="00AB6753" w:rsidRDefault="00AB6753" w:rsidP="002D1EA4">
            <w:pPr>
              <w:spacing w:after="0"/>
              <w:jc w:val="right"/>
              <w:rPr>
                <w:rFonts w:cs="Arial"/>
                <w:b/>
                <w:bCs/>
                <w:sz w:val="17"/>
                <w:szCs w:val="17"/>
              </w:rPr>
            </w:pPr>
            <w:r>
              <w:rPr>
                <w:rFonts w:cs="Arial"/>
                <w:b/>
                <w:bCs/>
                <w:sz w:val="17"/>
                <w:szCs w:val="17"/>
              </w:rPr>
              <w:t>8,579</w:t>
            </w:r>
          </w:p>
        </w:tc>
        <w:tc>
          <w:tcPr>
            <w:tcW w:w="1303" w:type="dxa"/>
            <w:tcBorders>
              <w:top w:val="nil"/>
              <w:left w:val="nil"/>
              <w:bottom w:val="nil"/>
              <w:right w:val="nil"/>
            </w:tcBorders>
            <w:shd w:val="clear" w:color="000000" w:fill="D9D9D9"/>
            <w:noWrap/>
            <w:vAlign w:val="bottom"/>
            <w:hideMark/>
          </w:tcPr>
          <w:p w14:paraId="5E4EF42F" w14:textId="77777777" w:rsidR="00AB6753" w:rsidRDefault="00AB6753" w:rsidP="002D1EA4">
            <w:pPr>
              <w:spacing w:after="0"/>
              <w:jc w:val="right"/>
              <w:rPr>
                <w:rFonts w:cs="Arial"/>
                <w:b/>
                <w:bCs/>
                <w:sz w:val="17"/>
                <w:szCs w:val="17"/>
              </w:rPr>
            </w:pPr>
            <w:r>
              <w:rPr>
                <w:rFonts w:cs="Arial"/>
                <w:b/>
                <w:bCs/>
                <w:sz w:val="17"/>
                <w:szCs w:val="17"/>
              </w:rPr>
              <w:t>3,661,850</w:t>
            </w:r>
          </w:p>
        </w:tc>
      </w:tr>
      <w:tr w:rsidR="00AB6753" w14:paraId="7453C705" w14:textId="77777777" w:rsidTr="002D1EA4">
        <w:trPr>
          <w:trHeight w:val="240"/>
        </w:trPr>
        <w:tc>
          <w:tcPr>
            <w:tcW w:w="3238" w:type="dxa"/>
            <w:tcBorders>
              <w:top w:val="nil"/>
              <w:left w:val="nil"/>
              <w:bottom w:val="nil"/>
              <w:right w:val="nil"/>
            </w:tcBorders>
            <w:shd w:val="clear" w:color="000000" w:fill="D9D9D9"/>
            <w:vAlign w:val="bottom"/>
            <w:hideMark/>
          </w:tcPr>
          <w:p w14:paraId="4882BDBF" w14:textId="77777777" w:rsidR="00AB6753" w:rsidRDefault="00AB6753" w:rsidP="002D1EA4">
            <w:pPr>
              <w:spacing w:after="0"/>
              <w:ind w:firstLineChars="100" w:firstLine="170"/>
              <w:rPr>
                <w:rFonts w:cs="Arial"/>
                <w:sz w:val="17"/>
                <w:szCs w:val="17"/>
              </w:rPr>
            </w:pPr>
            <w:r>
              <w:rPr>
                <w:rFonts w:cs="Arial"/>
                <w:sz w:val="17"/>
                <w:szCs w:val="17"/>
              </w:rPr>
              <w:t>Provisions expired or settled</w:t>
            </w:r>
          </w:p>
        </w:tc>
        <w:tc>
          <w:tcPr>
            <w:tcW w:w="1134" w:type="dxa"/>
            <w:tcBorders>
              <w:top w:val="nil"/>
              <w:left w:val="nil"/>
              <w:bottom w:val="nil"/>
              <w:right w:val="nil"/>
            </w:tcBorders>
            <w:shd w:val="clear" w:color="000000" w:fill="D9D9D9"/>
            <w:noWrap/>
            <w:vAlign w:val="bottom"/>
            <w:hideMark/>
          </w:tcPr>
          <w:p w14:paraId="5AB62BAA" w14:textId="77777777" w:rsidR="00AB6753" w:rsidRDefault="00AB6753" w:rsidP="002D1EA4">
            <w:pPr>
              <w:spacing w:after="0"/>
              <w:jc w:val="right"/>
              <w:rPr>
                <w:rFonts w:cs="Arial"/>
                <w:b/>
                <w:bCs/>
                <w:sz w:val="17"/>
                <w:szCs w:val="17"/>
              </w:rPr>
            </w:pPr>
            <w:r>
              <w:rPr>
                <w:rFonts w:cs="Arial"/>
                <w:b/>
                <w:bCs/>
                <w:sz w:val="17"/>
                <w:szCs w:val="17"/>
              </w:rPr>
              <w:t>(3,408,700)</w:t>
            </w:r>
          </w:p>
        </w:tc>
        <w:tc>
          <w:tcPr>
            <w:tcW w:w="1134" w:type="dxa"/>
            <w:tcBorders>
              <w:top w:val="nil"/>
              <w:left w:val="nil"/>
              <w:bottom w:val="nil"/>
              <w:right w:val="nil"/>
            </w:tcBorders>
            <w:shd w:val="clear" w:color="000000" w:fill="D9D9D9"/>
            <w:noWrap/>
            <w:vAlign w:val="bottom"/>
            <w:hideMark/>
          </w:tcPr>
          <w:p w14:paraId="19B60C73" w14:textId="77777777" w:rsidR="00AB6753" w:rsidRDefault="00AB6753" w:rsidP="002D1EA4">
            <w:pPr>
              <w:spacing w:after="0"/>
              <w:jc w:val="right"/>
              <w:rPr>
                <w:rFonts w:cs="Arial"/>
                <w:b/>
                <w:bCs/>
                <w:sz w:val="17"/>
                <w:szCs w:val="17"/>
              </w:rPr>
            </w:pPr>
            <w:r>
              <w:rPr>
                <w:rFonts w:cs="Arial"/>
                <w:b/>
                <w:bCs/>
                <w:sz w:val="17"/>
                <w:szCs w:val="17"/>
              </w:rPr>
              <w:t>(114,762)</w:t>
            </w:r>
          </w:p>
        </w:tc>
        <w:tc>
          <w:tcPr>
            <w:tcW w:w="850" w:type="dxa"/>
            <w:tcBorders>
              <w:top w:val="nil"/>
              <w:left w:val="nil"/>
              <w:bottom w:val="nil"/>
              <w:right w:val="nil"/>
            </w:tcBorders>
            <w:shd w:val="clear" w:color="000000" w:fill="D9D9D9"/>
            <w:noWrap/>
            <w:vAlign w:val="bottom"/>
            <w:hideMark/>
          </w:tcPr>
          <w:p w14:paraId="78085CA2" w14:textId="77777777" w:rsidR="00AB6753" w:rsidRDefault="00AB6753" w:rsidP="002D1EA4">
            <w:pPr>
              <w:spacing w:after="0"/>
              <w:jc w:val="right"/>
              <w:rPr>
                <w:rFonts w:cs="Arial"/>
                <w:b/>
                <w:bCs/>
                <w:sz w:val="17"/>
                <w:szCs w:val="17"/>
              </w:rPr>
            </w:pPr>
            <w:r>
              <w:rPr>
                <w:rFonts w:cs="Arial"/>
                <w:b/>
                <w:bCs/>
                <w:sz w:val="17"/>
                <w:szCs w:val="17"/>
              </w:rPr>
              <w:t>(34,000)</w:t>
            </w:r>
          </w:p>
        </w:tc>
        <w:tc>
          <w:tcPr>
            <w:tcW w:w="931" w:type="dxa"/>
            <w:tcBorders>
              <w:top w:val="nil"/>
              <w:left w:val="nil"/>
              <w:bottom w:val="nil"/>
              <w:right w:val="nil"/>
            </w:tcBorders>
            <w:shd w:val="clear" w:color="000000" w:fill="D9D9D9"/>
            <w:noWrap/>
            <w:vAlign w:val="bottom"/>
            <w:hideMark/>
          </w:tcPr>
          <w:p w14:paraId="73D6B047" w14:textId="77777777" w:rsidR="00AB6753" w:rsidRDefault="00AB6753" w:rsidP="002D1EA4">
            <w:pPr>
              <w:spacing w:after="0"/>
              <w:jc w:val="right"/>
              <w:rPr>
                <w:rFonts w:cs="Arial"/>
                <w:b/>
                <w:bCs/>
                <w:sz w:val="17"/>
                <w:szCs w:val="17"/>
              </w:rPr>
            </w:pPr>
            <w:r>
              <w:rPr>
                <w:rFonts w:cs="Arial"/>
                <w:b/>
                <w:bCs/>
                <w:sz w:val="17"/>
                <w:szCs w:val="17"/>
              </w:rPr>
              <w:t xml:space="preserve"> -</w:t>
            </w:r>
          </w:p>
        </w:tc>
        <w:tc>
          <w:tcPr>
            <w:tcW w:w="908" w:type="dxa"/>
            <w:tcBorders>
              <w:top w:val="nil"/>
              <w:left w:val="nil"/>
              <w:bottom w:val="nil"/>
              <w:right w:val="nil"/>
            </w:tcBorders>
            <w:shd w:val="clear" w:color="000000" w:fill="D9D9D9"/>
            <w:noWrap/>
            <w:vAlign w:val="bottom"/>
            <w:hideMark/>
          </w:tcPr>
          <w:p w14:paraId="0E3596B2" w14:textId="77777777" w:rsidR="00AB6753" w:rsidRDefault="00AB6753" w:rsidP="002D1EA4">
            <w:pPr>
              <w:spacing w:after="0"/>
              <w:jc w:val="right"/>
              <w:rPr>
                <w:rFonts w:cs="Arial"/>
                <w:b/>
                <w:bCs/>
                <w:sz w:val="17"/>
                <w:szCs w:val="17"/>
              </w:rPr>
            </w:pPr>
            <w:r>
              <w:rPr>
                <w:rFonts w:cs="Arial"/>
                <w:b/>
                <w:bCs/>
                <w:sz w:val="17"/>
                <w:szCs w:val="17"/>
              </w:rPr>
              <w:t>(16,779)</w:t>
            </w:r>
          </w:p>
        </w:tc>
        <w:tc>
          <w:tcPr>
            <w:tcW w:w="1303" w:type="dxa"/>
            <w:tcBorders>
              <w:top w:val="nil"/>
              <w:left w:val="nil"/>
              <w:bottom w:val="nil"/>
              <w:right w:val="nil"/>
            </w:tcBorders>
            <w:shd w:val="clear" w:color="000000" w:fill="D9D9D9"/>
            <w:noWrap/>
            <w:vAlign w:val="bottom"/>
            <w:hideMark/>
          </w:tcPr>
          <w:p w14:paraId="38E2EABA" w14:textId="77777777" w:rsidR="00AB6753" w:rsidRDefault="00AB6753" w:rsidP="002D1EA4">
            <w:pPr>
              <w:spacing w:after="0"/>
              <w:jc w:val="right"/>
              <w:rPr>
                <w:rFonts w:cs="Arial"/>
                <w:b/>
                <w:bCs/>
                <w:sz w:val="17"/>
                <w:szCs w:val="17"/>
              </w:rPr>
            </w:pPr>
            <w:r>
              <w:rPr>
                <w:rFonts w:cs="Arial"/>
                <w:b/>
                <w:bCs/>
                <w:sz w:val="17"/>
                <w:szCs w:val="17"/>
              </w:rPr>
              <w:t>(3,574,241)</w:t>
            </w:r>
          </w:p>
        </w:tc>
      </w:tr>
      <w:tr w:rsidR="00AB6753" w14:paraId="56ABFC26" w14:textId="77777777" w:rsidTr="002D1EA4">
        <w:trPr>
          <w:trHeight w:val="240"/>
        </w:trPr>
        <w:tc>
          <w:tcPr>
            <w:tcW w:w="3238" w:type="dxa"/>
            <w:tcBorders>
              <w:top w:val="nil"/>
              <w:left w:val="nil"/>
              <w:bottom w:val="nil"/>
              <w:right w:val="nil"/>
            </w:tcBorders>
            <w:shd w:val="clear" w:color="000000" w:fill="D9D9D9"/>
            <w:vAlign w:val="bottom"/>
            <w:hideMark/>
          </w:tcPr>
          <w:p w14:paraId="4D0708C5" w14:textId="77777777" w:rsidR="00AB6753" w:rsidRDefault="00AB6753" w:rsidP="002D1EA4">
            <w:pPr>
              <w:spacing w:after="0"/>
              <w:ind w:firstLineChars="100" w:firstLine="170"/>
              <w:rPr>
                <w:rFonts w:cs="Arial"/>
                <w:sz w:val="17"/>
                <w:szCs w:val="17"/>
              </w:rPr>
            </w:pPr>
            <w:r>
              <w:rPr>
                <w:rFonts w:cs="Arial"/>
                <w:sz w:val="17"/>
                <w:szCs w:val="17"/>
              </w:rPr>
              <w:t>Changes in provision</w:t>
            </w:r>
          </w:p>
        </w:tc>
        <w:tc>
          <w:tcPr>
            <w:tcW w:w="1134" w:type="dxa"/>
            <w:tcBorders>
              <w:top w:val="nil"/>
              <w:left w:val="nil"/>
              <w:bottom w:val="nil"/>
              <w:right w:val="nil"/>
            </w:tcBorders>
            <w:shd w:val="clear" w:color="000000" w:fill="D9D9D9"/>
            <w:noWrap/>
            <w:vAlign w:val="bottom"/>
            <w:hideMark/>
          </w:tcPr>
          <w:p w14:paraId="21E85472" w14:textId="77777777" w:rsidR="00AB6753" w:rsidRDefault="00AB6753" w:rsidP="002D1EA4">
            <w:pPr>
              <w:spacing w:after="0"/>
              <w:jc w:val="right"/>
              <w:rPr>
                <w:rFonts w:cs="Arial"/>
                <w:b/>
                <w:bCs/>
                <w:sz w:val="17"/>
                <w:szCs w:val="17"/>
              </w:rPr>
            </w:pPr>
            <w:r>
              <w:rPr>
                <w:rFonts w:cs="Arial"/>
                <w:b/>
                <w:bCs/>
                <w:sz w:val="17"/>
                <w:szCs w:val="17"/>
              </w:rPr>
              <w:t>491,000</w:t>
            </w:r>
          </w:p>
        </w:tc>
        <w:tc>
          <w:tcPr>
            <w:tcW w:w="1134" w:type="dxa"/>
            <w:tcBorders>
              <w:top w:val="nil"/>
              <w:left w:val="nil"/>
              <w:bottom w:val="nil"/>
              <w:right w:val="nil"/>
            </w:tcBorders>
            <w:shd w:val="clear" w:color="000000" w:fill="D9D9D9"/>
            <w:noWrap/>
            <w:vAlign w:val="bottom"/>
            <w:hideMark/>
          </w:tcPr>
          <w:p w14:paraId="68FC5BF3" w14:textId="77777777" w:rsidR="00AB6753" w:rsidRDefault="00AB6753" w:rsidP="002D1EA4">
            <w:pPr>
              <w:spacing w:after="0"/>
              <w:jc w:val="right"/>
              <w:rPr>
                <w:rFonts w:cs="Arial"/>
                <w:b/>
                <w:bCs/>
                <w:sz w:val="17"/>
                <w:szCs w:val="17"/>
              </w:rPr>
            </w:pPr>
            <w:r>
              <w:rPr>
                <w:rFonts w:cs="Arial"/>
                <w:b/>
                <w:bCs/>
                <w:sz w:val="17"/>
                <w:szCs w:val="17"/>
              </w:rPr>
              <w:t xml:space="preserve"> -</w:t>
            </w:r>
          </w:p>
        </w:tc>
        <w:tc>
          <w:tcPr>
            <w:tcW w:w="850" w:type="dxa"/>
            <w:tcBorders>
              <w:top w:val="nil"/>
              <w:left w:val="nil"/>
              <w:bottom w:val="nil"/>
              <w:right w:val="nil"/>
            </w:tcBorders>
            <w:shd w:val="clear" w:color="000000" w:fill="D9D9D9"/>
            <w:noWrap/>
            <w:vAlign w:val="bottom"/>
            <w:hideMark/>
          </w:tcPr>
          <w:p w14:paraId="34605E82" w14:textId="77777777" w:rsidR="00AB6753" w:rsidRDefault="00AB6753" w:rsidP="002D1EA4">
            <w:pPr>
              <w:spacing w:after="0"/>
              <w:jc w:val="right"/>
              <w:rPr>
                <w:rFonts w:cs="Arial"/>
                <w:b/>
                <w:bCs/>
                <w:sz w:val="17"/>
                <w:szCs w:val="17"/>
              </w:rPr>
            </w:pPr>
            <w:r>
              <w:rPr>
                <w:rFonts w:cs="Arial"/>
                <w:b/>
                <w:bCs/>
                <w:sz w:val="17"/>
                <w:szCs w:val="17"/>
              </w:rPr>
              <w:t>104,000</w:t>
            </w:r>
          </w:p>
        </w:tc>
        <w:tc>
          <w:tcPr>
            <w:tcW w:w="931" w:type="dxa"/>
            <w:tcBorders>
              <w:top w:val="nil"/>
              <w:left w:val="nil"/>
              <w:bottom w:val="nil"/>
              <w:right w:val="nil"/>
            </w:tcBorders>
            <w:shd w:val="clear" w:color="000000" w:fill="D9D9D9"/>
            <w:noWrap/>
            <w:vAlign w:val="bottom"/>
            <w:hideMark/>
          </w:tcPr>
          <w:p w14:paraId="701663E9" w14:textId="77777777" w:rsidR="00AB6753" w:rsidRDefault="00AB6753" w:rsidP="002D1EA4">
            <w:pPr>
              <w:spacing w:after="0"/>
              <w:jc w:val="right"/>
              <w:rPr>
                <w:rFonts w:cs="Arial"/>
                <w:b/>
                <w:bCs/>
                <w:sz w:val="17"/>
                <w:szCs w:val="17"/>
              </w:rPr>
            </w:pPr>
            <w:r>
              <w:rPr>
                <w:rFonts w:cs="Arial"/>
                <w:b/>
                <w:bCs/>
                <w:sz w:val="17"/>
                <w:szCs w:val="17"/>
              </w:rPr>
              <w:t xml:space="preserve"> -</w:t>
            </w:r>
          </w:p>
        </w:tc>
        <w:tc>
          <w:tcPr>
            <w:tcW w:w="908" w:type="dxa"/>
            <w:tcBorders>
              <w:top w:val="nil"/>
              <w:left w:val="nil"/>
              <w:bottom w:val="nil"/>
              <w:right w:val="nil"/>
            </w:tcBorders>
            <w:shd w:val="clear" w:color="000000" w:fill="D9D9D9"/>
            <w:noWrap/>
            <w:vAlign w:val="bottom"/>
            <w:hideMark/>
          </w:tcPr>
          <w:p w14:paraId="2603D4D0" w14:textId="77777777" w:rsidR="00AB6753" w:rsidRDefault="00AB6753" w:rsidP="002D1EA4">
            <w:pPr>
              <w:spacing w:after="0"/>
              <w:jc w:val="right"/>
              <w:rPr>
                <w:rFonts w:cs="Arial"/>
                <w:b/>
                <w:bCs/>
                <w:sz w:val="17"/>
                <w:szCs w:val="17"/>
              </w:rPr>
            </w:pPr>
            <w:r>
              <w:rPr>
                <w:rFonts w:cs="Arial"/>
                <w:b/>
                <w:bCs/>
                <w:sz w:val="17"/>
                <w:szCs w:val="17"/>
              </w:rPr>
              <w:t>(80)</w:t>
            </w:r>
          </w:p>
        </w:tc>
        <w:tc>
          <w:tcPr>
            <w:tcW w:w="1303" w:type="dxa"/>
            <w:tcBorders>
              <w:top w:val="nil"/>
              <w:left w:val="nil"/>
              <w:bottom w:val="nil"/>
              <w:right w:val="nil"/>
            </w:tcBorders>
            <w:shd w:val="clear" w:color="000000" w:fill="D9D9D9"/>
            <w:noWrap/>
            <w:vAlign w:val="center"/>
            <w:hideMark/>
          </w:tcPr>
          <w:p w14:paraId="7C07EA14" w14:textId="77777777" w:rsidR="00AB6753" w:rsidRDefault="00AB6753" w:rsidP="002D1EA4">
            <w:pPr>
              <w:spacing w:after="0"/>
              <w:jc w:val="right"/>
              <w:rPr>
                <w:rFonts w:cs="Arial"/>
                <w:b/>
                <w:bCs/>
                <w:sz w:val="17"/>
                <w:szCs w:val="17"/>
              </w:rPr>
            </w:pPr>
            <w:r>
              <w:rPr>
                <w:rFonts w:cs="Arial"/>
                <w:b/>
                <w:bCs/>
                <w:sz w:val="17"/>
                <w:szCs w:val="17"/>
              </w:rPr>
              <w:t>594,920</w:t>
            </w:r>
          </w:p>
        </w:tc>
      </w:tr>
      <w:tr w:rsidR="00AB6753" w14:paraId="48AF9F23" w14:textId="77777777" w:rsidTr="002D1EA4">
        <w:trPr>
          <w:trHeight w:val="240"/>
        </w:trPr>
        <w:tc>
          <w:tcPr>
            <w:tcW w:w="3238" w:type="dxa"/>
            <w:tcBorders>
              <w:top w:val="single" w:sz="4" w:space="0" w:color="000000"/>
              <w:left w:val="nil"/>
              <w:bottom w:val="single" w:sz="4" w:space="0" w:color="000000"/>
              <w:right w:val="nil"/>
            </w:tcBorders>
            <w:shd w:val="clear" w:color="000000" w:fill="D9D9D9"/>
            <w:noWrap/>
            <w:vAlign w:val="bottom"/>
            <w:hideMark/>
          </w:tcPr>
          <w:p w14:paraId="1EF51373" w14:textId="77777777" w:rsidR="00AB6753" w:rsidRDefault="00AB6753" w:rsidP="002D1EA4">
            <w:pPr>
              <w:spacing w:after="0"/>
              <w:rPr>
                <w:rFonts w:cs="Arial"/>
                <w:b/>
                <w:bCs/>
                <w:sz w:val="17"/>
                <w:szCs w:val="17"/>
              </w:rPr>
            </w:pPr>
            <w:r>
              <w:rPr>
                <w:rFonts w:cs="Arial"/>
                <w:b/>
                <w:bCs/>
                <w:sz w:val="17"/>
                <w:szCs w:val="17"/>
              </w:rPr>
              <w:t>Closing balance as at 30 June 2020</w:t>
            </w:r>
          </w:p>
        </w:tc>
        <w:tc>
          <w:tcPr>
            <w:tcW w:w="1134" w:type="dxa"/>
            <w:tcBorders>
              <w:top w:val="single" w:sz="4" w:space="0" w:color="auto"/>
              <w:left w:val="nil"/>
              <w:bottom w:val="single" w:sz="4" w:space="0" w:color="auto"/>
              <w:right w:val="nil"/>
            </w:tcBorders>
            <w:shd w:val="clear" w:color="000000" w:fill="D9D9D9"/>
            <w:noWrap/>
            <w:vAlign w:val="bottom"/>
            <w:hideMark/>
          </w:tcPr>
          <w:p w14:paraId="3AF7EDDB" w14:textId="77777777" w:rsidR="00AB6753" w:rsidRDefault="00AB6753" w:rsidP="002D1EA4">
            <w:pPr>
              <w:spacing w:after="0"/>
              <w:jc w:val="right"/>
              <w:rPr>
                <w:rFonts w:cs="Arial"/>
                <w:b/>
                <w:bCs/>
                <w:sz w:val="17"/>
                <w:szCs w:val="17"/>
              </w:rPr>
            </w:pPr>
            <w:r>
              <w:rPr>
                <w:rFonts w:cs="Arial"/>
                <w:b/>
                <w:bCs/>
                <w:sz w:val="17"/>
                <w:szCs w:val="17"/>
              </w:rPr>
              <w:t>4,312,462</w:t>
            </w:r>
          </w:p>
        </w:tc>
        <w:tc>
          <w:tcPr>
            <w:tcW w:w="1134" w:type="dxa"/>
            <w:tcBorders>
              <w:top w:val="single" w:sz="4" w:space="0" w:color="auto"/>
              <w:left w:val="nil"/>
              <w:bottom w:val="single" w:sz="4" w:space="0" w:color="auto"/>
              <w:right w:val="nil"/>
            </w:tcBorders>
            <w:shd w:val="clear" w:color="000000" w:fill="D9D9D9"/>
            <w:noWrap/>
            <w:vAlign w:val="bottom"/>
            <w:hideMark/>
          </w:tcPr>
          <w:p w14:paraId="546CC48C" w14:textId="77777777" w:rsidR="00AB6753" w:rsidRDefault="00AB6753" w:rsidP="002D1EA4">
            <w:pPr>
              <w:spacing w:after="0"/>
              <w:jc w:val="right"/>
              <w:rPr>
                <w:rFonts w:cs="Arial"/>
                <w:b/>
                <w:bCs/>
                <w:sz w:val="17"/>
                <w:szCs w:val="17"/>
              </w:rPr>
            </w:pPr>
            <w:r>
              <w:rPr>
                <w:rFonts w:cs="Arial"/>
                <w:b/>
                <w:bCs/>
                <w:sz w:val="17"/>
                <w:szCs w:val="17"/>
              </w:rPr>
              <w:t>143,316</w:t>
            </w:r>
          </w:p>
        </w:tc>
        <w:tc>
          <w:tcPr>
            <w:tcW w:w="850" w:type="dxa"/>
            <w:tcBorders>
              <w:top w:val="single" w:sz="4" w:space="0" w:color="auto"/>
              <w:left w:val="nil"/>
              <w:bottom w:val="single" w:sz="4" w:space="0" w:color="auto"/>
              <w:right w:val="nil"/>
            </w:tcBorders>
            <w:shd w:val="clear" w:color="000000" w:fill="D9D9D9"/>
            <w:noWrap/>
            <w:vAlign w:val="bottom"/>
            <w:hideMark/>
          </w:tcPr>
          <w:p w14:paraId="6BBD0E77" w14:textId="77777777" w:rsidR="00AB6753" w:rsidRDefault="00AB6753" w:rsidP="002D1EA4">
            <w:pPr>
              <w:spacing w:after="0"/>
              <w:jc w:val="right"/>
              <w:rPr>
                <w:rFonts w:cs="Arial"/>
                <w:b/>
                <w:bCs/>
                <w:sz w:val="17"/>
                <w:szCs w:val="17"/>
              </w:rPr>
            </w:pPr>
            <w:r>
              <w:rPr>
                <w:rFonts w:cs="Arial"/>
                <w:b/>
                <w:bCs/>
                <w:sz w:val="17"/>
                <w:szCs w:val="17"/>
              </w:rPr>
              <w:t>225,000</w:t>
            </w:r>
          </w:p>
        </w:tc>
        <w:tc>
          <w:tcPr>
            <w:tcW w:w="931" w:type="dxa"/>
            <w:tcBorders>
              <w:top w:val="single" w:sz="4" w:space="0" w:color="auto"/>
              <w:left w:val="nil"/>
              <w:bottom w:val="single" w:sz="4" w:space="0" w:color="auto"/>
              <w:right w:val="nil"/>
            </w:tcBorders>
            <w:shd w:val="clear" w:color="000000" w:fill="D9D9D9"/>
            <w:noWrap/>
            <w:vAlign w:val="bottom"/>
            <w:hideMark/>
          </w:tcPr>
          <w:p w14:paraId="4EE0E2BE" w14:textId="77777777" w:rsidR="00AB6753" w:rsidRDefault="00AB6753" w:rsidP="002D1EA4">
            <w:pPr>
              <w:spacing w:after="0"/>
              <w:jc w:val="right"/>
              <w:rPr>
                <w:rFonts w:cs="Arial"/>
                <w:b/>
                <w:bCs/>
                <w:sz w:val="17"/>
                <w:szCs w:val="17"/>
              </w:rPr>
            </w:pPr>
            <w:r>
              <w:rPr>
                <w:rFonts w:cs="Arial"/>
                <w:b/>
                <w:bCs/>
                <w:sz w:val="17"/>
                <w:szCs w:val="17"/>
              </w:rPr>
              <w:t>37,624</w:t>
            </w:r>
          </w:p>
        </w:tc>
        <w:tc>
          <w:tcPr>
            <w:tcW w:w="908" w:type="dxa"/>
            <w:tcBorders>
              <w:top w:val="single" w:sz="4" w:space="0" w:color="auto"/>
              <w:left w:val="nil"/>
              <w:bottom w:val="single" w:sz="4" w:space="0" w:color="auto"/>
              <w:right w:val="nil"/>
            </w:tcBorders>
            <w:shd w:val="clear" w:color="000000" w:fill="D9D9D9"/>
            <w:noWrap/>
            <w:vAlign w:val="bottom"/>
            <w:hideMark/>
          </w:tcPr>
          <w:p w14:paraId="24676213" w14:textId="77777777" w:rsidR="00AB6753" w:rsidRDefault="00AB6753" w:rsidP="002D1EA4">
            <w:pPr>
              <w:spacing w:after="0"/>
              <w:jc w:val="right"/>
              <w:rPr>
                <w:rFonts w:cs="Arial"/>
                <w:b/>
                <w:bCs/>
                <w:sz w:val="17"/>
                <w:szCs w:val="17"/>
              </w:rPr>
            </w:pPr>
            <w:r>
              <w:rPr>
                <w:rFonts w:cs="Arial"/>
                <w:b/>
                <w:bCs/>
                <w:sz w:val="17"/>
                <w:szCs w:val="17"/>
              </w:rPr>
              <w:t>14,380</w:t>
            </w:r>
          </w:p>
        </w:tc>
        <w:tc>
          <w:tcPr>
            <w:tcW w:w="1303" w:type="dxa"/>
            <w:tcBorders>
              <w:top w:val="single" w:sz="4" w:space="0" w:color="auto"/>
              <w:left w:val="nil"/>
              <w:bottom w:val="single" w:sz="4" w:space="0" w:color="auto"/>
              <w:right w:val="nil"/>
            </w:tcBorders>
            <w:shd w:val="clear" w:color="000000" w:fill="D9D9D9"/>
            <w:noWrap/>
            <w:vAlign w:val="bottom"/>
            <w:hideMark/>
          </w:tcPr>
          <w:p w14:paraId="2D2A3E95" w14:textId="77777777" w:rsidR="00AB6753" w:rsidRDefault="00AB6753" w:rsidP="002D1EA4">
            <w:pPr>
              <w:spacing w:after="0"/>
              <w:jc w:val="right"/>
              <w:rPr>
                <w:rFonts w:cs="Arial"/>
                <w:b/>
                <w:bCs/>
                <w:sz w:val="17"/>
                <w:szCs w:val="17"/>
              </w:rPr>
            </w:pPr>
            <w:r>
              <w:rPr>
                <w:rFonts w:cs="Arial"/>
                <w:b/>
                <w:bCs/>
                <w:sz w:val="17"/>
                <w:szCs w:val="17"/>
              </w:rPr>
              <w:t>4,732,782</w:t>
            </w:r>
          </w:p>
        </w:tc>
      </w:tr>
    </w:tbl>
    <w:p w14:paraId="1478E6B9" w14:textId="77777777" w:rsidR="00AB6753" w:rsidRPr="00133432" w:rsidRDefault="00AB6753" w:rsidP="00AB6753">
      <w:pPr>
        <w:pStyle w:val="GreyShadeTableBreak"/>
        <w:ind w:left="170" w:right="0" w:hanging="142"/>
        <w:rPr>
          <w:rFonts w:ascii="Arial" w:hAnsi="Arial" w:cs="Arial"/>
          <w:sz w:val="18"/>
          <w:szCs w:val="18"/>
        </w:rPr>
      </w:pPr>
      <w:r w:rsidRPr="00133432">
        <w:rPr>
          <w:rFonts w:ascii="Arial" w:hAnsi="Arial" w:cs="Arial"/>
          <w:sz w:val="18"/>
          <w:szCs w:val="18"/>
          <w:vertAlign w:val="superscript"/>
        </w:rPr>
        <w:t xml:space="preserve">1. </w:t>
      </w:r>
      <w:r w:rsidRPr="00133432">
        <w:rPr>
          <w:rFonts w:ascii="Arial" w:hAnsi="Arial" w:cs="Arial"/>
          <w:sz w:val="18"/>
          <w:szCs w:val="18"/>
        </w:rPr>
        <w:t>Single Income Family Supplement and Schoolkids Bonus are disclosed in Other provisions.</w:t>
      </w:r>
    </w:p>
    <w:p w14:paraId="7D37F4FC" w14:textId="77777777" w:rsidR="00AB6753" w:rsidRDefault="00AB6753" w:rsidP="00AB6753">
      <w:pPr>
        <w:pStyle w:val="GreyShadeTableBreak"/>
        <w:ind w:left="28" w:right="0"/>
      </w:pPr>
    </w:p>
    <w:p w14:paraId="66BE6713" w14:textId="77777777" w:rsidR="00AB6753" w:rsidRDefault="00AB6753" w:rsidP="00AB6753">
      <w:pPr>
        <w:pStyle w:val="Policyheadingadmin0"/>
        <w:pBdr>
          <w:top w:val="single" w:sz="4" w:space="1" w:color="00B2BA"/>
          <w:left w:val="single" w:sz="4" w:space="0" w:color="00B2BA"/>
          <w:bottom w:val="single" w:sz="4" w:space="1" w:color="00B2BA"/>
          <w:right w:val="single" w:sz="4" w:space="0" w:color="00B2BA"/>
        </w:pBdr>
        <w:shd w:val="clear" w:color="auto" w:fill="CCF0F1"/>
        <w:ind w:left="45" w:right="-45"/>
      </w:pPr>
      <w:r w:rsidRPr="002E576B">
        <w:t>Significant Accounting Judgements and Estimates</w:t>
      </w:r>
    </w:p>
    <w:p w14:paraId="318523BD" w14:textId="77777777" w:rsidR="00AB6753" w:rsidRPr="007D6201"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45" w:right="-45"/>
        <w:rPr>
          <w:i w:val="0"/>
          <w:u w:val="none"/>
        </w:rPr>
      </w:pPr>
      <w:r>
        <w:rPr>
          <w:i w:val="0"/>
          <w:u w:val="none"/>
        </w:rPr>
        <w:t xml:space="preserve">During the </w:t>
      </w:r>
      <w:r>
        <w:rPr>
          <w:i w:val="0"/>
          <w:u w:val="none"/>
        </w:rPr>
        <w:fldChar w:fldCharType="begin"/>
      </w:r>
      <w:r>
        <w:rPr>
          <w:i w:val="0"/>
          <w:u w:val="none"/>
        </w:rPr>
        <w:instrText xml:space="preserve"> DOCPROPERTY  crYear  \* MERGEFORMAT </w:instrText>
      </w:r>
      <w:r>
        <w:rPr>
          <w:i w:val="0"/>
          <w:u w:val="none"/>
        </w:rPr>
        <w:fldChar w:fldCharType="separate"/>
      </w:r>
      <w:r>
        <w:rPr>
          <w:i w:val="0"/>
          <w:u w:val="none"/>
        </w:rPr>
        <w:t>2020</w:t>
      </w:r>
      <w:r>
        <w:rPr>
          <w:i w:val="0"/>
          <w:u w:val="none"/>
        </w:rPr>
        <w:fldChar w:fldCharType="end"/>
      </w:r>
      <w:r>
        <w:rPr>
          <w:i w:val="0"/>
          <w:u w:val="none"/>
        </w:rPr>
        <w:t xml:space="preserve"> financial year, </w:t>
      </w:r>
      <w:r>
        <w:rPr>
          <w:i w:val="0"/>
          <w:u w:val="none"/>
        </w:rPr>
        <w:fldChar w:fldCharType="begin"/>
      </w:r>
      <w:r>
        <w:rPr>
          <w:i w:val="0"/>
          <w:u w:val="none"/>
        </w:rPr>
        <w:instrText xml:space="preserve"> DOCPROPERTY  ShortName  \* MERGEFORMAT </w:instrText>
      </w:r>
      <w:r>
        <w:rPr>
          <w:i w:val="0"/>
          <w:u w:val="none"/>
        </w:rPr>
        <w:fldChar w:fldCharType="separate"/>
      </w:r>
      <w:r>
        <w:rPr>
          <w:i w:val="0"/>
          <w:u w:val="none"/>
        </w:rPr>
        <w:t>the department</w:t>
      </w:r>
      <w:r>
        <w:rPr>
          <w:i w:val="0"/>
          <w:u w:val="none"/>
        </w:rPr>
        <w:fldChar w:fldCharType="end"/>
      </w:r>
      <w:r w:rsidRPr="007D6201">
        <w:rPr>
          <w:i w:val="0"/>
          <w:u w:val="none"/>
        </w:rPr>
        <w:t xml:space="preserve"> engaged</w:t>
      </w:r>
      <w:r>
        <w:rPr>
          <w:i w:val="0"/>
          <w:u w:val="none"/>
        </w:rPr>
        <w:t xml:space="preserve"> the AGA </w:t>
      </w:r>
      <w:r w:rsidRPr="007D6201">
        <w:rPr>
          <w:i w:val="0"/>
          <w:u w:val="none"/>
        </w:rPr>
        <w:t>to es</w:t>
      </w:r>
      <w:r>
        <w:rPr>
          <w:i w:val="0"/>
          <w:u w:val="none"/>
        </w:rPr>
        <w:t>timate the following provisions:</w:t>
      </w:r>
    </w:p>
    <w:p w14:paraId="5BB8C959" w14:textId="77777777" w:rsidR="00AB6753" w:rsidRPr="002E576B"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45" w:right="-45"/>
      </w:pPr>
      <w:r w:rsidRPr="002E576B">
        <w:t>Family Tax Benefit</w:t>
      </w:r>
    </w:p>
    <w:p w14:paraId="5B11444E" w14:textId="77777777" w:rsidR="00AB6753"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45" w:right="-45"/>
        <w:rPr>
          <w:i w:val="0"/>
          <w:u w:val="none"/>
        </w:rPr>
      </w:pPr>
      <w:r w:rsidRPr="009F516D">
        <w:rPr>
          <w:i w:val="0"/>
          <w:u w:val="none"/>
        </w:rPr>
        <w:t>At any point in time</w:t>
      </w:r>
      <w:r>
        <w:rPr>
          <w:i w:val="0"/>
          <w:u w:val="none"/>
        </w:rPr>
        <w:t>,</w:t>
      </w:r>
      <w:r w:rsidRPr="009F516D">
        <w:rPr>
          <w:i w:val="0"/>
          <w:u w:val="none"/>
        </w:rPr>
        <w:t xml:space="preserve"> there are eligible recipients, entitled to receive the </w:t>
      </w:r>
      <w:r>
        <w:rPr>
          <w:i w:val="0"/>
          <w:u w:val="none"/>
        </w:rPr>
        <w:t>Family Tax Benefit</w:t>
      </w:r>
      <w:r w:rsidRPr="009F516D">
        <w:rPr>
          <w:i w:val="0"/>
          <w:u w:val="none"/>
        </w:rPr>
        <w:t xml:space="preserve">, who have not yet received their full entitlement from </w:t>
      </w:r>
      <w:r>
        <w:rPr>
          <w:i w:val="0"/>
          <w:u w:val="none"/>
        </w:rPr>
        <w:t>Services Australia</w:t>
      </w:r>
      <w:r w:rsidRPr="009F516D">
        <w:rPr>
          <w:i w:val="0"/>
          <w:u w:val="none"/>
        </w:rPr>
        <w:t>. The provision calculates the current financial year and earlier financial years’ liability for claims that have yet to be realised. The methodology considers the likely lodgement profiles associated with reconciliation top-ups, lump sum claims and supplement payments, including new measures.</w:t>
      </w:r>
    </w:p>
    <w:p w14:paraId="40765088" w14:textId="77777777" w:rsidR="00AB6753" w:rsidRPr="002E576B"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45" w:right="-45"/>
      </w:pPr>
      <w:r w:rsidRPr="002E576B">
        <w:t>Pension Bonus Scheme</w:t>
      </w:r>
    </w:p>
    <w:p w14:paraId="15FC5656" w14:textId="77777777" w:rsidR="00AB6753" w:rsidRPr="009F516D"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45" w:right="-45"/>
        <w:rPr>
          <w:i w:val="0"/>
          <w:u w:val="none"/>
        </w:rPr>
      </w:pPr>
      <w:r>
        <w:rPr>
          <w:i w:val="0"/>
          <w:u w:val="none"/>
        </w:rPr>
        <w:t>The Pension Bonus Scheme</w:t>
      </w:r>
      <w:r w:rsidRPr="009F516D">
        <w:rPr>
          <w:i w:val="0"/>
          <w:u w:val="none"/>
        </w:rPr>
        <w:t xml:space="preserve"> provides a tax free lump sum payment to those who continue in employment and defer receiving the Age Pension. The future Pension Bonus Scheme liability relates to those who are currently registered and have not yet received a bonus payment or exited for some other reason.</w:t>
      </w:r>
    </w:p>
    <w:p w14:paraId="0C88EE6C" w14:textId="77777777" w:rsidR="00AB6753" w:rsidRPr="00D10F4E"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45" w:right="-45"/>
        <w:rPr>
          <w:i w:val="0"/>
          <w:u w:val="none"/>
        </w:rPr>
      </w:pPr>
      <w:r w:rsidRPr="009F516D">
        <w:rPr>
          <w:i w:val="0"/>
          <w:u w:val="none"/>
        </w:rPr>
        <w:t xml:space="preserve">The assumptions used by the </w:t>
      </w:r>
      <w:r>
        <w:rPr>
          <w:i w:val="0"/>
          <w:u w:val="none"/>
        </w:rPr>
        <w:t>AGA</w:t>
      </w:r>
      <w:r w:rsidRPr="009F516D">
        <w:rPr>
          <w:i w:val="0"/>
          <w:u w:val="none"/>
        </w:rPr>
        <w:t xml:space="preserve"> are based on historical experience and other factors which are considered reasonable, including actual average payments, claim rates and the period over which claims are expected to be made. </w:t>
      </w:r>
      <w:r w:rsidRPr="00A87A92">
        <w:rPr>
          <w:i w:val="0"/>
          <w:u w:val="none"/>
        </w:rPr>
        <w:t xml:space="preserve">These factors have been reviewed for </w:t>
      </w:r>
      <w:r>
        <w:rPr>
          <w:i w:val="0"/>
          <w:u w:val="none"/>
        </w:rPr>
        <w:t xml:space="preserve">the </w:t>
      </w:r>
      <w:r w:rsidRPr="00A87A92">
        <w:rPr>
          <w:i w:val="0"/>
          <w:u w:val="none"/>
        </w:rPr>
        <w:t>20</w:t>
      </w:r>
      <w:r>
        <w:rPr>
          <w:i w:val="0"/>
          <w:u w:val="none"/>
        </w:rPr>
        <w:t>20 financial year,</w:t>
      </w:r>
      <w:r w:rsidRPr="00A87A92">
        <w:rPr>
          <w:i w:val="0"/>
          <w:u w:val="none"/>
        </w:rPr>
        <w:t xml:space="preserve"> based on the behaviour of recipients up to 31 December 201</w:t>
      </w:r>
      <w:r>
        <w:rPr>
          <w:i w:val="0"/>
          <w:u w:val="none"/>
        </w:rPr>
        <w:t>9,</w:t>
      </w:r>
      <w:r w:rsidRPr="00A87A92">
        <w:rPr>
          <w:i w:val="0"/>
          <w:u w:val="none"/>
        </w:rPr>
        <w:t xml:space="preserve"> and projected over the estimated remaining life of the scheme. The </w:t>
      </w:r>
      <w:r>
        <w:rPr>
          <w:i w:val="0"/>
          <w:u w:val="none"/>
        </w:rPr>
        <w:t>AGA</w:t>
      </w:r>
      <w:r w:rsidRPr="00A87A92">
        <w:rPr>
          <w:i w:val="0"/>
          <w:u w:val="none"/>
        </w:rPr>
        <w:t xml:space="preserve"> has adopted the zero coupon bond rate as </w:t>
      </w:r>
      <w:r w:rsidRPr="00193E71">
        <w:rPr>
          <w:i w:val="0"/>
          <w:u w:val="none"/>
        </w:rPr>
        <w:t>at 30 June </w:t>
      </w:r>
      <w:r w:rsidRPr="00193E71">
        <w:rPr>
          <w:i w:val="0"/>
          <w:u w:val="none"/>
        </w:rPr>
        <w:fldChar w:fldCharType="begin"/>
      </w:r>
      <w:r w:rsidRPr="00193E71">
        <w:rPr>
          <w:i w:val="0"/>
          <w:u w:val="none"/>
        </w:rPr>
        <w:instrText xml:space="preserve"> DOCPROPERTY  crYear  \* MERGEFORMAT </w:instrText>
      </w:r>
      <w:r w:rsidRPr="00193E71">
        <w:rPr>
          <w:i w:val="0"/>
          <w:u w:val="none"/>
        </w:rPr>
        <w:fldChar w:fldCharType="separate"/>
      </w:r>
      <w:r w:rsidRPr="00193E71">
        <w:rPr>
          <w:i w:val="0"/>
          <w:u w:val="none"/>
        </w:rPr>
        <w:t>2020</w:t>
      </w:r>
      <w:r w:rsidRPr="00193E71">
        <w:rPr>
          <w:i w:val="0"/>
          <w:u w:val="none"/>
        </w:rPr>
        <w:fldChar w:fldCharType="end"/>
      </w:r>
      <w:r w:rsidRPr="00193E71">
        <w:rPr>
          <w:i w:val="0"/>
          <w:u w:val="none"/>
        </w:rPr>
        <w:t xml:space="preserve"> (</w:t>
      </w:r>
      <w:r w:rsidRPr="00193E71">
        <w:rPr>
          <w:i w:val="0"/>
          <w:u w:val="none"/>
        </w:rPr>
        <w:fldChar w:fldCharType="begin"/>
      </w:r>
      <w:r w:rsidRPr="00193E71">
        <w:rPr>
          <w:i w:val="0"/>
          <w:u w:val="none"/>
        </w:rPr>
        <w:instrText xml:space="preserve"> DOCPROPERTY  crYear  \* MERGEFORMAT </w:instrText>
      </w:r>
      <w:r w:rsidRPr="00193E71">
        <w:rPr>
          <w:i w:val="0"/>
          <w:u w:val="none"/>
        </w:rPr>
        <w:fldChar w:fldCharType="separate"/>
      </w:r>
      <w:r w:rsidRPr="00193E71">
        <w:rPr>
          <w:i w:val="0"/>
          <w:u w:val="none"/>
        </w:rPr>
        <w:t>2020</w:t>
      </w:r>
      <w:r w:rsidRPr="00193E71">
        <w:rPr>
          <w:i w:val="0"/>
          <w:u w:val="none"/>
        </w:rPr>
        <w:fldChar w:fldCharType="end"/>
      </w:r>
      <w:r w:rsidRPr="00193E71">
        <w:rPr>
          <w:i w:val="0"/>
          <w:u w:val="none"/>
        </w:rPr>
        <w:t>: 0.66</w:t>
      </w:r>
      <w:r>
        <w:rPr>
          <w:i w:val="0"/>
          <w:u w:val="none"/>
        </w:rPr>
        <w:t xml:space="preserve"> per cent</w:t>
      </w:r>
      <w:r w:rsidRPr="00193E71">
        <w:rPr>
          <w:i w:val="0"/>
          <w:u w:val="none"/>
        </w:rPr>
        <w:t xml:space="preserve">, </w:t>
      </w:r>
      <w:r w:rsidRPr="00193E71">
        <w:rPr>
          <w:i w:val="0"/>
          <w:u w:val="none"/>
        </w:rPr>
        <w:fldChar w:fldCharType="begin"/>
      </w:r>
      <w:r w:rsidRPr="00193E71">
        <w:rPr>
          <w:i w:val="0"/>
          <w:u w:val="none"/>
        </w:rPr>
        <w:instrText xml:space="preserve"> DOCPROPERTY  prYear  \* MERGEFORMAT </w:instrText>
      </w:r>
      <w:r w:rsidRPr="00193E71">
        <w:rPr>
          <w:i w:val="0"/>
          <w:u w:val="none"/>
        </w:rPr>
        <w:fldChar w:fldCharType="separate"/>
      </w:r>
      <w:r w:rsidRPr="00193E71">
        <w:rPr>
          <w:i w:val="0"/>
          <w:u w:val="none"/>
        </w:rPr>
        <w:t>2019</w:t>
      </w:r>
      <w:r w:rsidRPr="00193E71">
        <w:rPr>
          <w:i w:val="0"/>
          <w:u w:val="none"/>
        </w:rPr>
        <w:fldChar w:fldCharType="end"/>
      </w:r>
      <w:r w:rsidRPr="00193E71">
        <w:rPr>
          <w:i w:val="0"/>
          <w:u w:val="none"/>
        </w:rPr>
        <w:t>: 1.01</w:t>
      </w:r>
      <w:r>
        <w:rPr>
          <w:i w:val="0"/>
          <w:u w:val="none"/>
        </w:rPr>
        <w:t xml:space="preserve"> per cent</w:t>
      </w:r>
      <w:r w:rsidRPr="00193E71">
        <w:rPr>
          <w:i w:val="0"/>
          <w:u w:val="none"/>
        </w:rPr>
        <w:t>) as the</w:t>
      </w:r>
      <w:r w:rsidRPr="00A87A92">
        <w:rPr>
          <w:i w:val="0"/>
          <w:u w:val="none"/>
        </w:rPr>
        <w:t xml:space="preserve"> discount rate to determine the present value of this </w:t>
      </w:r>
      <w:r w:rsidRPr="00D10F4E">
        <w:rPr>
          <w:i w:val="0"/>
          <w:u w:val="none"/>
        </w:rPr>
        <w:t>long term provision.</w:t>
      </w:r>
    </w:p>
    <w:p w14:paraId="7C2F5C27" w14:textId="77777777" w:rsidR="00AB6753"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45" w:right="-45"/>
        <w:rPr>
          <w:i w:val="0"/>
          <w:u w:val="none"/>
        </w:rPr>
      </w:pPr>
      <w:r w:rsidRPr="00D10F4E">
        <w:rPr>
          <w:i w:val="0"/>
          <w:u w:val="none"/>
        </w:rPr>
        <w:t xml:space="preserve">As a result of </w:t>
      </w:r>
      <w:r>
        <w:rPr>
          <w:i w:val="0"/>
          <w:u w:val="none"/>
        </w:rPr>
        <w:t>COVID-19</w:t>
      </w:r>
      <w:r w:rsidRPr="00D10F4E">
        <w:rPr>
          <w:i w:val="0"/>
          <w:u w:val="none"/>
        </w:rPr>
        <w:t xml:space="preserve"> key assumptions were amended including significantly higher claim rates, increase in the rates of customers applying for an age pension and lower rate of increase to average Pension Bonus Scheme payment. </w:t>
      </w:r>
    </w:p>
    <w:p w14:paraId="3FEF49D7" w14:textId="77777777" w:rsidR="00AB6753"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45" w:right="-45"/>
      </w:pPr>
      <w:r>
        <w:rPr>
          <w:i w:val="0"/>
          <w:u w:val="none"/>
        </w:rPr>
        <w:t>During the 2020 financial year, the department made an estimate for the following provisions:</w:t>
      </w:r>
    </w:p>
    <w:p w14:paraId="59F098BE" w14:textId="77777777" w:rsidR="00AB6753" w:rsidRPr="002E576B"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45" w:right="-45"/>
      </w:pPr>
      <w:r w:rsidRPr="002E576B">
        <w:t>Claims in progress</w:t>
      </w:r>
    </w:p>
    <w:p w14:paraId="7E20907B" w14:textId="77777777" w:rsidR="00AB6753" w:rsidRPr="006156D6"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45" w:right="-45"/>
        <w:rPr>
          <w:i w:val="0"/>
          <w:u w:val="none"/>
        </w:rPr>
      </w:pPr>
      <w:r w:rsidRPr="006156D6">
        <w:rPr>
          <w:i w:val="0"/>
          <w:u w:val="none"/>
        </w:rPr>
        <w:t>During the 2020 financial year the department engaged the AGA to review the department’s methodology for estimating claims in progress. At any point in time, there are claims for personal benefits payments that have been submitted and are in the process of being assessed. While some of these claims are granted, others are determined not to be eligible for payment. Under current legislation, individuals may be eligible for payment from the date their claim was submitted (the date of effect). The provision calculates the estimated liability for claims as at balance date that have not been fully assessed as at that date. The methodology considers average payment amounts and the proportion of claims expected to be eligible for payment.</w:t>
      </w:r>
    </w:p>
    <w:p w14:paraId="4253A842" w14:textId="77777777" w:rsidR="00AB6753" w:rsidRPr="00185AFF"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45" w:right="-45"/>
      </w:pPr>
      <w:r w:rsidRPr="00185AFF">
        <w:t>National Redress Scheme</w:t>
      </w:r>
    </w:p>
    <w:p w14:paraId="1E6AC345" w14:textId="77777777" w:rsidR="00AB6753" w:rsidRPr="00185AFF"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45" w:right="-45"/>
        <w:rPr>
          <w:i w:val="0"/>
          <w:u w:val="none"/>
        </w:rPr>
      </w:pPr>
      <w:r w:rsidRPr="00185AFF">
        <w:rPr>
          <w:i w:val="0"/>
          <w:u w:val="none"/>
        </w:rPr>
        <w:t xml:space="preserve">The Commonwealth Government administers the National Redress Scheme and in this capacity makes monetary payments to survivors of child sexual abuse in accordance with the </w:t>
      </w:r>
      <w:r w:rsidRPr="00287958">
        <w:rPr>
          <w:u w:val="none"/>
        </w:rPr>
        <w:t>National Redress Scheme for Institutional Child Sexual Abuse Act 2018</w:t>
      </w:r>
      <w:r>
        <w:rPr>
          <w:i w:val="0"/>
          <w:u w:val="none"/>
        </w:rPr>
        <w:t xml:space="preserve">. </w:t>
      </w:r>
      <w:r w:rsidRPr="00185AFF">
        <w:rPr>
          <w:i w:val="0"/>
          <w:u w:val="none"/>
        </w:rPr>
        <w:t>As the National Redress Scheme operates on the basis that the responsible entity pays, the funds paid to the survivor are recovered from the responsible institution.</w:t>
      </w:r>
    </w:p>
    <w:p w14:paraId="00D1F900" w14:textId="77777777" w:rsidR="00AB6753" w:rsidRPr="00FE43E2" w:rsidRDefault="00AB6753" w:rsidP="00AB6753">
      <w:pPr>
        <w:pStyle w:val="Policytextadminunderline"/>
        <w:pBdr>
          <w:top w:val="single" w:sz="4" w:space="1" w:color="00B2BA"/>
          <w:left w:val="single" w:sz="4" w:space="0" w:color="00B2BA"/>
          <w:bottom w:val="single" w:sz="4" w:space="1" w:color="00B2BA"/>
          <w:right w:val="single" w:sz="4" w:space="0" w:color="00B2BA"/>
        </w:pBdr>
        <w:shd w:val="clear" w:color="auto" w:fill="CCF0F1"/>
        <w:ind w:left="45" w:right="-45"/>
        <w:rPr>
          <w:i w:val="0"/>
          <w:u w:val="none"/>
        </w:rPr>
      </w:pPr>
      <w:r w:rsidRPr="00185AFF">
        <w:rPr>
          <w:i w:val="0"/>
          <w:u w:val="none"/>
        </w:rPr>
        <w:t>The provision represents the total monetary payment that is offered to survivors under the scheme that has not been a</w:t>
      </w:r>
      <w:r>
        <w:rPr>
          <w:i w:val="0"/>
          <w:u w:val="none"/>
        </w:rPr>
        <w:t>ccepted at the reporting date.</w:t>
      </w:r>
    </w:p>
    <w:p w14:paraId="124A1AB1" w14:textId="77777777" w:rsidR="00AB6753" w:rsidRDefault="00AB6753" w:rsidP="00AB6753"/>
    <w:p w14:paraId="3FEEB9CA" w14:textId="77777777" w:rsidR="00AB6753" w:rsidRPr="00AE3C43" w:rsidRDefault="00AB6753" w:rsidP="00AB6753">
      <w:pPr>
        <w:sectPr w:rsidR="00AB6753" w:rsidRPr="00AE3C43" w:rsidSect="00A71D8D">
          <w:pgSz w:w="11906" w:h="16838" w:code="9"/>
          <w:pgMar w:top="1134" w:right="1274" w:bottom="1134" w:left="1134" w:header="958" w:footer="737" w:gutter="0"/>
          <w:cols w:space="708"/>
          <w:docGrid w:linePitch="360"/>
        </w:sectPr>
      </w:pPr>
    </w:p>
    <w:p w14:paraId="445A5648" w14:textId="77777777" w:rsidR="00AB6753" w:rsidRPr="00133432" w:rsidRDefault="00AB6753" w:rsidP="00AB6753">
      <w:pPr>
        <w:pStyle w:val="SectionHeading"/>
        <w:numPr>
          <w:ilvl w:val="0"/>
          <w:numId w:val="56"/>
        </w:numPr>
        <w:shd w:val="clear" w:color="auto" w:fill="00B2BA"/>
        <w:rPr>
          <w:rFonts w:ascii="Arial" w:hAnsi="Arial" w:cs="Arial"/>
          <w:color w:val="auto"/>
        </w:rPr>
      </w:pPr>
      <w:bookmarkStart w:id="171" w:name="_Toc443469538"/>
      <w:bookmarkStart w:id="172" w:name="_Toc444065792"/>
      <w:bookmarkStart w:id="173" w:name="_Toc444079989"/>
      <w:bookmarkStart w:id="174" w:name="_Toc450750171"/>
      <w:bookmarkStart w:id="175" w:name="_Toc45748816"/>
      <w:r w:rsidRPr="00133432">
        <w:rPr>
          <w:rFonts w:ascii="Arial" w:hAnsi="Arial" w:cs="Arial"/>
          <w:color w:val="auto"/>
        </w:rPr>
        <w:lastRenderedPageBreak/>
        <w:t>Funding</w:t>
      </w:r>
      <w:bookmarkEnd w:id="171"/>
      <w:bookmarkEnd w:id="172"/>
      <w:bookmarkEnd w:id="173"/>
      <w:bookmarkEnd w:id="174"/>
      <w:bookmarkEnd w:id="175"/>
    </w:p>
    <w:p w14:paraId="58ACECDC" w14:textId="77777777" w:rsidR="00AB6753" w:rsidRPr="00163047" w:rsidRDefault="00AB6753" w:rsidP="00AB6753">
      <w:pPr>
        <w:pStyle w:val="SubHeading"/>
        <w:rPr>
          <w:sz w:val="20"/>
        </w:rPr>
      </w:pPr>
      <w:bookmarkStart w:id="176" w:name="_Toc443469539"/>
      <w:bookmarkStart w:id="177" w:name="_Toc444065793"/>
      <w:bookmarkStart w:id="178" w:name="_Toc444079990"/>
      <w:bookmarkStart w:id="179" w:name="_Toc450750172"/>
      <w:bookmarkStart w:id="180" w:name="_Ref456958897"/>
      <w:bookmarkStart w:id="181" w:name="_Ref456958963"/>
      <w:bookmarkStart w:id="182" w:name="_Ref456958978"/>
      <w:bookmarkStart w:id="183" w:name="_Ref456959007"/>
      <w:bookmarkStart w:id="184" w:name="_Toc45748817"/>
      <w:r>
        <w:rPr>
          <w:sz w:val="20"/>
        </w:rPr>
        <w:t xml:space="preserve">5.1 </w:t>
      </w:r>
      <w:r w:rsidRPr="00163047">
        <w:rPr>
          <w:sz w:val="20"/>
        </w:rPr>
        <w:t>Appropriations</w:t>
      </w:r>
      <w:bookmarkEnd w:id="176"/>
      <w:bookmarkEnd w:id="177"/>
      <w:bookmarkEnd w:id="178"/>
      <w:bookmarkEnd w:id="179"/>
      <w:bookmarkEnd w:id="180"/>
      <w:bookmarkEnd w:id="181"/>
      <w:bookmarkEnd w:id="182"/>
      <w:bookmarkEnd w:id="183"/>
      <w:bookmarkEnd w:id="184"/>
    </w:p>
    <w:p w14:paraId="7D07928E" w14:textId="77777777" w:rsidR="00AB6753" w:rsidRPr="00771812" w:rsidRDefault="00AB6753" w:rsidP="00AB6753">
      <w:pPr>
        <w:spacing w:line="0" w:lineRule="atLeast"/>
        <w:rPr>
          <w:sz w:val="18"/>
          <w:szCs w:val="18"/>
        </w:rPr>
      </w:pPr>
    </w:p>
    <w:tbl>
      <w:tblPr>
        <w:tblW w:w="14770" w:type="dxa"/>
        <w:tblInd w:w="80" w:type="dxa"/>
        <w:tblLayout w:type="fixed"/>
        <w:tblLook w:val="04A0" w:firstRow="1" w:lastRow="0" w:firstColumn="1" w:lastColumn="0" w:noHBand="0" w:noVBand="1"/>
        <w:tblCaption w:val="Notes to and forming part of the financial statements"/>
        <w:tblDescription w:val="Funding - appropriations"/>
      </w:tblPr>
      <w:tblGrid>
        <w:gridCol w:w="5982"/>
        <w:gridCol w:w="1701"/>
        <w:gridCol w:w="1559"/>
        <w:gridCol w:w="1701"/>
        <w:gridCol w:w="2410"/>
        <w:gridCol w:w="1417"/>
      </w:tblGrid>
      <w:tr w:rsidR="00AB6753" w14:paraId="4FCC262F" w14:textId="77777777" w:rsidTr="002D1EA4">
        <w:trPr>
          <w:trHeight w:val="227"/>
        </w:trPr>
        <w:tc>
          <w:tcPr>
            <w:tcW w:w="5982" w:type="dxa"/>
            <w:tcBorders>
              <w:top w:val="nil"/>
              <w:left w:val="nil"/>
              <w:bottom w:val="nil"/>
              <w:right w:val="nil"/>
            </w:tcBorders>
            <w:shd w:val="clear" w:color="auto" w:fill="auto"/>
            <w:noWrap/>
            <w:vAlign w:val="bottom"/>
          </w:tcPr>
          <w:p w14:paraId="268E3B3D" w14:textId="77777777" w:rsidR="00AB6753" w:rsidRPr="009233AE" w:rsidRDefault="00AB6753" w:rsidP="002D1EA4">
            <w:pPr>
              <w:spacing w:after="0" w:line="240" w:lineRule="auto"/>
              <w:rPr>
                <w:rFonts w:cs="Arial"/>
                <w:b/>
                <w:bCs/>
                <w:color w:val="000000"/>
                <w:sz w:val="18"/>
                <w:szCs w:val="18"/>
                <w:u w:val="single"/>
              </w:rPr>
            </w:pPr>
            <w:r>
              <w:rPr>
                <w:rFonts w:cs="Arial"/>
                <w:b/>
                <w:bCs/>
                <w:sz w:val="18"/>
                <w:szCs w:val="18"/>
                <w:u w:val="single"/>
              </w:rPr>
              <w:t>Note 5.1A: Annual a</w:t>
            </w:r>
            <w:r w:rsidRPr="009233AE">
              <w:rPr>
                <w:rFonts w:cs="Arial"/>
                <w:b/>
                <w:bCs/>
                <w:sz w:val="18"/>
                <w:szCs w:val="18"/>
                <w:u w:val="single"/>
              </w:rPr>
              <w:t>ppropriations ('</w:t>
            </w:r>
            <w:r>
              <w:rPr>
                <w:rFonts w:cs="Arial"/>
                <w:b/>
                <w:bCs/>
                <w:sz w:val="18"/>
                <w:szCs w:val="18"/>
                <w:u w:val="single"/>
              </w:rPr>
              <w:t>recoverable GST e</w:t>
            </w:r>
            <w:r w:rsidRPr="009233AE">
              <w:rPr>
                <w:rFonts w:cs="Arial"/>
                <w:b/>
                <w:bCs/>
                <w:sz w:val="18"/>
                <w:szCs w:val="18"/>
                <w:u w:val="single"/>
              </w:rPr>
              <w:t>xclusive')</w:t>
            </w:r>
          </w:p>
        </w:tc>
        <w:tc>
          <w:tcPr>
            <w:tcW w:w="1701" w:type="dxa"/>
            <w:tcBorders>
              <w:top w:val="nil"/>
              <w:left w:val="nil"/>
              <w:bottom w:val="nil"/>
              <w:right w:val="nil"/>
            </w:tcBorders>
            <w:shd w:val="clear" w:color="auto" w:fill="auto"/>
          </w:tcPr>
          <w:p w14:paraId="39834B22" w14:textId="77777777" w:rsidR="00AB6753" w:rsidRDefault="00AB6753" w:rsidP="002D1EA4">
            <w:pPr>
              <w:spacing w:after="0" w:line="240" w:lineRule="auto"/>
              <w:jc w:val="right"/>
              <w:rPr>
                <w:rFonts w:cs="Arial"/>
                <w:b/>
                <w:bCs/>
                <w:sz w:val="16"/>
                <w:szCs w:val="16"/>
              </w:rPr>
            </w:pPr>
          </w:p>
        </w:tc>
        <w:tc>
          <w:tcPr>
            <w:tcW w:w="1559" w:type="dxa"/>
            <w:tcBorders>
              <w:top w:val="nil"/>
              <w:left w:val="nil"/>
              <w:bottom w:val="nil"/>
              <w:right w:val="nil"/>
            </w:tcBorders>
            <w:shd w:val="clear" w:color="auto" w:fill="auto"/>
          </w:tcPr>
          <w:p w14:paraId="7CE62520" w14:textId="77777777" w:rsidR="00AB6753" w:rsidRDefault="00AB6753" w:rsidP="002D1EA4">
            <w:pPr>
              <w:spacing w:after="0" w:line="240" w:lineRule="auto"/>
              <w:jc w:val="right"/>
              <w:rPr>
                <w:rFonts w:cs="Arial"/>
                <w:b/>
                <w:bCs/>
                <w:sz w:val="16"/>
                <w:szCs w:val="16"/>
              </w:rPr>
            </w:pPr>
          </w:p>
        </w:tc>
        <w:tc>
          <w:tcPr>
            <w:tcW w:w="1701" w:type="dxa"/>
            <w:tcBorders>
              <w:top w:val="nil"/>
              <w:left w:val="nil"/>
              <w:bottom w:val="nil"/>
              <w:right w:val="nil"/>
            </w:tcBorders>
            <w:shd w:val="clear" w:color="auto" w:fill="auto"/>
          </w:tcPr>
          <w:p w14:paraId="242B2B4C" w14:textId="77777777" w:rsidR="00AB6753" w:rsidRDefault="00AB6753" w:rsidP="002D1EA4">
            <w:pPr>
              <w:spacing w:after="0" w:line="240" w:lineRule="auto"/>
              <w:jc w:val="right"/>
              <w:rPr>
                <w:rFonts w:cs="Arial"/>
                <w:b/>
                <w:bCs/>
                <w:sz w:val="16"/>
                <w:szCs w:val="16"/>
              </w:rPr>
            </w:pPr>
          </w:p>
        </w:tc>
        <w:tc>
          <w:tcPr>
            <w:tcW w:w="2410" w:type="dxa"/>
            <w:tcBorders>
              <w:top w:val="nil"/>
              <w:left w:val="nil"/>
              <w:bottom w:val="nil"/>
              <w:right w:val="nil"/>
            </w:tcBorders>
            <w:shd w:val="clear" w:color="auto" w:fill="auto"/>
          </w:tcPr>
          <w:p w14:paraId="2728C107" w14:textId="77777777" w:rsidR="00AB6753" w:rsidRDefault="00AB6753" w:rsidP="002D1EA4">
            <w:pPr>
              <w:spacing w:after="0" w:line="240" w:lineRule="auto"/>
              <w:jc w:val="right"/>
              <w:rPr>
                <w:rFonts w:cs="Arial"/>
                <w:b/>
                <w:bCs/>
                <w:sz w:val="16"/>
                <w:szCs w:val="16"/>
              </w:rPr>
            </w:pPr>
          </w:p>
        </w:tc>
        <w:tc>
          <w:tcPr>
            <w:tcW w:w="1417" w:type="dxa"/>
            <w:tcBorders>
              <w:top w:val="nil"/>
              <w:left w:val="nil"/>
              <w:bottom w:val="nil"/>
              <w:right w:val="nil"/>
            </w:tcBorders>
            <w:shd w:val="clear" w:color="auto" w:fill="auto"/>
          </w:tcPr>
          <w:p w14:paraId="6181E8C8" w14:textId="77777777" w:rsidR="00AB6753" w:rsidRDefault="00AB6753" w:rsidP="002D1EA4">
            <w:pPr>
              <w:spacing w:after="0" w:line="240" w:lineRule="auto"/>
              <w:jc w:val="right"/>
              <w:rPr>
                <w:rFonts w:cs="Arial"/>
                <w:b/>
                <w:bCs/>
                <w:sz w:val="16"/>
                <w:szCs w:val="16"/>
              </w:rPr>
            </w:pPr>
          </w:p>
        </w:tc>
      </w:tr>
      <w:tr w:rsidR="00AB6753" w14:paraId="35E8EAD5" w14:textId="77777777" w:rsidTr="002D1EA4">
        <w:trPr>
          <w:trHeight w:val="227"/>
        </w:trPr>
        <w:tc>
          <w:tcPr>
            <w:tcW w:w="5982" w:type="dxa"/>
            <w:tcBorders>
              <w:top w:val="nil"/>
              <w:left w:val="nil"/>
              <w:bottom w:val="nil"/>
              <w:right w:val="nil"/>
            </w:tcBorders>
            <w:shd w:val="clear" w:color="auto" w:fill="auto"/>
            <w:noWrap/>
            <w:vAlign w:val="bottom"/>
          </w:tcPr>
          <w:p w14:paraId="65E1B7A2" w14:textId="77777777" w:rsidR="00AB6753" w:rsidRDefault="00AB6753" w:rsidP="002D1EA4">
            <w:pPr>
              <w:spacing w:after="0" w:line="240" w:lineRule="auto"/>
              <w:rPr>
                <w:rFonts w:cs="Arial"/>
                <w:b/>
                <w:bCs/>
                <w:color w:val="000000"/>
                <w:sz w:val="18"/>
                <w:szCs w:val="18"/>
              </w:rPr>
            </w:pPr>
          </w:p>
        </w:tc>
        <w:tc>
          <w:tcPr>
            <w:tcW w:w="1701" w:type="dxa"/>
            <w:tcBorders>
              <w:top w:val="nil"/>
              <w:left w:val="nil"/>
              <w:bottom w:val="nil"/>
              <w:right w:val="nil"/>
            </w:tcBorders>
            <w:shd w:val="clear" w:color="auto" w:fill="auto"/>
          </w:tcPr>
          <w:p w14:paraId="1F4EA489" w14:textId="77777777" w:rsidR="00AB6753" w:rsidRDefault="00AB6753" w:rsidP="002D1EA4">
            <w:pPr>
              <w:spacing w:after="0" w:line="240" w:lineRule="auto"/>
              <w:jc w:val="right"/>
              <w:rPr>
                <w:rFonts w:cs="Arial"/>
                <w:b/>
                <w:bCs/>
                <w:sz w:val="16"/>
                <w:szCs w:val="16"/>
              </w:rPr>
            </w:pPr>
          </w:p>
        </w:tc>
        <w:tc>
          <w:tcPr>
            <w:tcW w:w="1559" w:type="dxa"/>
            <w:tcBorders>
              <w:top w:val="nil"/>
              <w:left w:val="nil"/>
              <w:bottom w:val="nil"/>
              <w:right w:val="nil"/>
            </w:tcBorders>
            <w:shd w:val="clear" w:color="auto" w:fill="auto"/>
          </w:tcPr>
          <w:p w14:paraId="270AD7B7" w14:textId="77777777" w:rsidR="00AB6753" w:rsidRDefault="00AB6753" w:rsidP="002D1EA4">
            <w:pPr>
              <w:spacing w:after="0" w:line="240" w:lineRule="auto"/>
              <w:jc w:val="right"/>
              <w:rPr>
                <w:rFonts w:cs="Arial"/>
                <w:b/>
                <w:bCs/>
                <w:sz w:val="16"/>
                <w:szCs w:val="16"/>
              </w:rPr>
            </w:pPr>
          </w:p>
        </w:tc>
        <w:tc>
          <w:tcPr>
            <w:tcW w:w="1701" w:type="dxa"/>
            <w:tcBorders>
              <w:top w:val="nil"/>
              <w:left w:val="nil"/>
              <w:bottom w:val="nil"/>
              <w:right w:val="nil"/>
            </w:tcBorders>
            <w:shd w:val="clear" w:color="auto" w:fill="auto"/>
          </w:tcPr>
          <w:p w14:paraId="660246F1" w14:textId="77777777" w:rsidR="00AB6753" w:rsidRDefault="00AB6753" w:rsidP="002D1EA4">
            <w:pPr>
              <w:spacing w:after="0" w:line="240" w:lineRule="auto"/>
              <w:jc w:val="right"/>
              <w:rPr>
                <w:rFonts w:cs="Arial"/>
                <w:b/>
                <w:bCs/>
                <w:sz w:val="16"/>
                <w:szCs w:val="16"/>
              </w:rPr>
            </w:pPr>
          </w:p>
        </w:tc>
        <w:tc>
          <w:tcPr>
            <w:tcW w:w="2410" w:type="dxa"/>
            <w:tcBorders>
              <w:top w:val="nil"/>
              <w:left w:val="nil"/>
              <w:bottom w:val="nil"/>
              <w:right w:val="nil"/>
            </w:tcBorders>
            <w:shd w:val="clear" w:color="auto" w:fill="auto"/>
          </w:tcPr>
          <w:p w14:paraId="006885FD" w14:textId="77777777" w:rsidR="00AB6753" w:rsidRDefault="00AB6753" w:rsidP="002D1EA4">
            <w:pPr>
              <w:spacing w:after="0" w:line="240" w:lineRule="auto"/>
              <w:jc w:val="right"/>
              <w:rPr>
                <w:rFonts w:cs="Arial"/>
                <w:b/>
                <w:bCs/>
                <w:sz w:val="16"/>
                <w:szCs w:val="16"/>
              </w:rPr>
            </w:pPr>
          </w:p>
        </w:tc>
        <w:tc>
          <w:tcPr>
            <w:tcW w:w="1417" w:type="dxa"/>
            <w:tcBorders>
              <w:top w:val="nil"/>
              <w:left w:val="nil"/>
              <w:bottom w:val="nil"/>
              <w:right w:val="nil"/>
            </w:tcBorders>
            <w:shd w:val="clear" w:color="auto" w:fill="auto"/>
          </w:tcPr>
          <w:p w14:paraId="44E8E6BE" w14:textId="77777777" w:rsidR="00AB6753" w:rsidRDefault="00AB6753" w:rsidP="002D1EA4">
            <w:pPr>
              <w:spacing w:after="0" w:line="240" w:lineRule="auto"/>
              <w:jc w:val="right"/>
              <w:rPr>
                <w:rFonts w:cs="Arial"/>
                <w:b/>
                <w:bCs/>
                <w:sz w:val="16"/>
                <w:szCs w:val="16"/>
              </w:rPr>
            </w:pPr>
          </w:p>
        </w:tc>
      </w:tr>
      <w:tr w:rsidR="00AB6753" w:rsidRPr="00645119" w14:paraId="3736980F" w14:textId="77777777" w:rsidTr="002D1EA4">
        <w:trPr>
          <w:trHeight w:val="227"/>
        </w:trPr>
        <w:tc>
          <w:tcPr>
            <w:tcW w:w="5982" w:type="dxa"/>
            <w:tcBorders>
              <w:top w:val="nil"/>
              <w:left w:val="nil"/>
              <w:bottom w:val="single" w:sz="4" w:space="0" w:color="auto"/>
              <w:right w:val="nil"/>
            </w:tcBorders>
            <w:shd w:val="clear" w:color="auto" w:fill="auto"/>
            <w:noWrap/>
            <w:vAlign w:val="bottom"/>
          </w:tcPr>
          <w:p w14:paraId="4385AD25" w14:textId="77777777" w:rsidR="00AB6753" w:rsidRPr="00645119" w:rsidRDefault="00AB6753" w:rsidP="002D1EA4">
            <w:pPr>
              <w:spacing w:after="0" w:line="240" w:lineRule="auto"/>
              <w:rPr>
                <w:rFonts w:cs="Arial"/>
                <w:b/>
                <w:bCs/>
                <w:color w:val="000000"/>
                <w:sz w:val="18"/>
                <w:szCs w:val="18"/>
              </w:rPr>
            </w:pPr>
            <w:bookmarkStart w:id="185" w:name="Note_APDTABLE1" w:colFirst="0" w:colLast="0"/>
            <w:r w:rsidRPr="00645119">
              <w:rPr>
                <w:rFonts w:cs="Arial"/>
                <w:b/>
                <w:bCs/>
                <w:color w:val="000000"/>
                <w:sz w:val="18"/>
                <w:szCs w:val="18"/>
              </w:rPr>
              <w:t>Annual Appropriations for 2020</w:t>
            </w:r>
          </w:p>
        </w:tc>
        <w:tc>
          <w:tcPr>
            <w:tcW w:w="1701" w:type="dxa"/>
            <w:tcBorders>
              <w:top w:val="nil"/>
              <w:left w:val="nil"/>
              <w:bottom w:val="single" w:sz="4" w:space="0" w:color="auto"/>
              <w:right w:val="nil"/>
            </w:tcBorders>
            <w:shd w:val="clear" w:color="auto" w:fill="auto"/>
          </w:tcPr>
          <w:p w14:paraId="7A502E05" w14:textId="77777777" w:rsidR="00AB6753" w:rsidRPr="00645119" w:rsidRDefault="00AB6753" w:rsidP="002D1EA4">
            <w:pPr>
              <w:spacing w:after="0" w:line="240" w:lineRule="auto"/>
              <w:jc w:val="right"/>
              <w:rPr>
                <w:rFonts w:cs="Arial"/>
                <w:b/>
                <w:bCs/>
                <w:sz w:val="18"/>
                <w:szCs w:val="18"/>
              </w:rPr>
            </w:pPr>
          </w:p>
        </w:tc>
        <w:tc>
          <w:tcPr>
            <w:tcW w:w="1559" w:type="dxa"/>
            <w:tcBorders>
              <w:top w:val="nil"/>
              <w:left w:val="nil"/>
              <w:bottom w:val="single" w:sz="4" w:space="0" w:color="auto"/>
              <w:right w:val="nil"/>
            </w:tcBorders>
            <w:shd w:val="clear" w:color="auto" w:fill="auto"/>
          </w:tcPr>
          <w:p w14:paraId="71025DE4" w14:textId="77777777" w:rsidR="00AB6753" w:rsidRPr="00645119" w:rsidRDefault="00AB6753" w:rsidP="002D1EA4">
            <w:pPr>
              <w:spacing w:after="0" w:line="240" w:lineRule="auto"/>
              <w:jc w:val="right"/>
              <w:rPr>
                <w:rFonts w:cs="Arial"/>
                <w:b/>
                <w:bCs/>
                <w:sz w:val="18"/>
                <w:szCs w:val="18"/>
              </w:rPr>
            </w:pPr>
          </w:p>
        </w:tc>
        <w:tc>
          <w:tcPr>
            <w:tcW w:w="1701" w:type="dxa"/>
            <w:tcBorders>
              <w:top w:val="nil"/>
              <w:left w:val="nil"/>
              <w:bottom w:val="single" w:sz="4" w:space="0" w:color="auto"/>
              <w:right w:val="nil"/>
            </w:tcBorders>
            <w:shd w:val="clear" w:color="auto" w:fill="auto"/>
          </w:tcPr>
          <w:p w14:paraId="02D8D936" w14:textId="77777777" w:rsidR="00AB6753" w:rsidRPr="00645119" w:rsidRDefault="00AB6753" w:rsidP="002D1EA4">
            <w:pPr>
              <w:spacing w:after="0" w:line="240" w:lineRule="auto"/>
              <w:jc w:val="right"/>
              <w:rPr>
                <w:rFonts w:cs="Arial"/>
                <w:b/>
                <w:bCs/>
                <w:sz w:val="18"/>
                <w:szCs w:val="18"/>
              </w:rPr>
            </w:pPr>
          </w:p>
        </w:tc>
        <w:tc>
          <w:tcPr>
            <w:tcW w:w="2410" w:type="dxa"/>
            <w:tcBorders>
              <w:top w:val="nil"/>
              <w:left w:val="nil"/>
              <w:bottom w:val="single" w:sz="4" w:space="0" w:color="auto"/>
              <w:right w:val="nil"/>
            </w:tcBorders>
            <w:shd w:val="clear" w:color="auto" w:fill="auto"/>
          </w:tcPr>
          <w:p w14:paraId="541196F3" w14:textId="77777777" w:rsidR="00AB6753" w:rsidRPr="00645119" w:rsidRDefault="00AB6753" w:rsidP="002D1EA4">
            <w:pPr>
              <w:spacing w:after="0" w:line="240" w:lineRule="auto"/>
              <w:jc w:val="right"/>
              <w:rPr>
                <w:rFonts w:cs="Arial"/>
                <w:b/>
                <w:bCs/>
                <w:sz w:val="18"/>
                <w:szCs w:val="18"/>
              </w:rPr>
            </w:pPr>
          </w:p>
        </w:tc>
        <w:tc>
          <w:tcPr>
            <w:tcW w:w="1417" w:type="dxa"/>
            <w:tcBorders>
              <w:top w:val="nil"/>
              <w:left w:val="nil"/>
              <w:bottom w:val="single" w:sz="4" w:space="0" w:color="auto"/>
              <w:right w:val="nil"/>
            </w:tcBorders>
            <w:shd w:val="clear" w:color="auto" w:fill="auto"/>
          </w:tcPr>
          <w:p w14:paraId="41D8DA2C" w14:textId="77777777" w:rsidR="00AB6753" w:rsidRPr="00645119" w:rsidRDefault="00AB6753" w:rsidP="002D1EA4">
            <w:pPr>
              <w:spacing w:after="0" w:line="240" w:lineRule="auto"/>
              <w:jc w:val="right"/>
              <w:rPr>
                <w:rFonts w:cs="Arial"/>
                <w:b/>
                <w:bCs/>
                <w:sz w:val="18"/>
                <w:szCs w:val="18"/>
              </w:rPr>
            </w:pPr>
          </w:p>
        </w:tc>
      </w:tr>
      <w:bookmarkEnd w:id="185"/>
      <w:tr w:rsidR="00AB6753" w:rsidRPr="00645119" w14:paraId="46698192" w14:textId="77777777" w:rsidTr="002D1EA4">
        <w:trPr>
          <w:trHeight w:val="227"/>
        </w:trPr>
        <w:tc>
          <w:tcPr>
            <w:tcW w:w="5982" w:type="dxa"/>
            <w:tcBorders>
              <w:top w:val="single" w:sz="4" w:space="0" w:color="auto"/>
              <w:left w:val="nil"/>
              <w:bottom w:val="nil"/>
              <w:right w:val="nil"/>
            </w:tcBorders>
            <w:shd w:val="clear" w:color="auto" w:fill="auto"/>
            <w:noWrap/>
            <w:vAlign w:val="bottom"/>
            <w:hideMark/>
          </w:tcPr>
          <w:p w14:paraId="44745BA1" w14:textId="77777777" w:rsidR="00AB6753" w:rsidRPr="00645119" w:rsidRDefault="00AB6753" w:rsidP="002D1EA4">
            <w:pPr>
              <w:spacing w:after="0" w:line="240" w:lineRule="auto"/>
              <w:rPr>
                <w:rFonts w:cs="Arial"/>
                <w:b/>
                <w:bCs/>
                <w:color w:val="000000"/>
                <w:sz w:val="18"/>
                <w:szCs w:val="18"/>
                <w:u w:val="single"/>
              </w:rPr>
            </w:pPr>
          </w:p>
        </w:tc>
        <w:tc>
          <w:tcPr>
            <w:tcW w:w="1701" w:type="dxa"/>
            <w:tcBorders>
              <w:top w:val="single" w:sz="4" w:space="0" w:color="auto"/>
              <w:left w:val="nil"/>
              <w:bottom w:val="nil"/>
              <w:right w:val="nil"/>
            </w:tcBorders>
            <w:shd w:val="clear" w:color="auto" w:fill="auto"/>
            <w:hideMark/>
          </w:tcPr>
          <w:p w14:paraId="3EEC03B5" w14:textId="77777777" w:rsidR="00AB6753" w:rsidRPr="00645119" w:rsidRDefault="00AB6753" w:rsidP="002D1EA4">
            <w:pPr>
              <w:spacing w:after="0"/>
              <w:jc w:val="right"/>
              <w:rPr>
                <w:rFonts w:cs="Arial"/>
                <w:b/>
                <w:sz w:val="18"/>
                <w:szCs w:val="18"/>
              </w:rPr>
            </w:pPr>
            <w:r w:rsidRPr="00645119">
              <w:rPr>
                <w:rFonts w:cs="Arial"/>
                <w:b/>
                <w:sz w:val="18"/>
                <w:szCs w:val="18"/>
              </w:rPr>
              <w:t>Annual Appropriation</w:t>
            </w:r>
          </w:p>
        </w:tc>
        <w:tc>
          <w:tcPr>
            <w:tcW w:w="1559" w:type="dxa"/>
            <w:tcBorders>
              <w:top w:val="single" w:sz="4" w:space="0" w:color="auto"/>
              <w:left w:val="nil"/>
              <w:bottom w:val="nil"/>
              <w:right w:val="nil"/>
            </w:tcBorders>
            <w:shd w:val="clear" w:color="auto" w:fill="auto"/>
            <w:hideMark/>
          </w:tcPr>
          <w:p w14:paraId="7F5716E2" w14:textId="77777777" w:rsidR="00AB6753" w:rsidRPr="00645119" w:rsidRDefault="00AB6753" w:rsidP="002D1EA4">
            <w:pPr>
              <w:spacing w:after="0"/>
              <w:jc w:val="right"/>
              <w:rPr>
                <w:rFonts w:cs="Arial"/>
                <w:b/>
                <w:sz w:val="18"/>
                <w:szCs w:val="18"/>
                <w:vertAlign w:val="superscript"/>
              </w:rPr>
            </w:pPr>
            <w:r w:rsidRPr="00645119">
              <w:rPr>
                <w:rFonts w:cs="Arial"/>
                <w:b/>
                <w:sz w:val="18"/>
                <w:szCs w:val="18"/>
              </w:rPr>
              <w:t>Adjustments to appropriation</w:t>
            </w:r>
            <w:r w:rsidRPr="00645119">
              <w:rPr>
                <w:rFonts w:cs="Arial"/>
                <w:b/>
                <w:sz w:val="18"/>
                <w:szCs w:val="18"/>
                <w:vertAlign w:val="superscript"/>
              </w:rPr>
              <w:t>1</w:t>
            </w:r>
          </w:p>
        </w:tc>
        <w:tc>
          <w:tcPr>
            <w:tcW w:w="1701" w:type="dxa"/>
            <w:tcBorders>
              <w:top w:val="single" w:sz="4" w:space="0" w:color="auto"/>
              <w:left w:val="nil"/>
              <w:bottom w:val="nil"/>
              <w:right w:val="nil"/>
            </w:tcBorders>
            <w:shd w:val="clear" w:color="auto" w:fill="auto"/>
            <w:hideMark/>
          </w:tcPr>
          <w:p w14:paraId="4B15DE07" w14:textId="77777777" w:rsidR="00AB6753" w:rsidRPr="00645119" w:rsidRDefault="00AB6753" w:rsidP="002D1EA4">
            <w:pPr>
              <w:spacing w:after="0"/>
              <w:jc w:val="right"/>
              <w:rPr>
                <w:rFonts w:cs="Arial"/>
                <w:b/>
                <w:sz w:val="18"/>
                <w:szCs w:val="18"/>
              </w:rPr>
            </w:pPr>
            <w:r w:rsidRPr="00645119">
              <w:rPr>
                <w:rFonts w:cs="Arial"/>
                <w:b/>
                <w:sz w:val="18"/>
                <w:szCs w:val="18"/>
              </w:rPr>
              <w:t>Total appropriation</w:t>
            </w:r>
          </w:p>
        </w:tc>
        <w:tc>
          <w:tcPr>
            <w:tcW w:w="2410" w:type="dxa"/>
            <w:tcBorders>
              <w:top w:val="single" w:sz="4" w:space="0" w:color="auto"/>
              <w:left w:val="nil"/>
              <w:bottom w:val="nil"/>
              <w:right w:val="nil"/>
            </w:tcBorders>
            <w:shd w:val="clear" w:color="auto" w:fill="auto"/>
            <w:hideMark/>
          </w:tcPr>
          <w:p w14:paraId="20F38B2F" w14:textId="77777777" w:rsidR="00AB6753" w:rsidRPr="00645119" w:rsidRDefault="00AB6753" w:rsidP="002D1EA4">
            <w:pPr>
              <w:spacing w:after="0"/>
              <w:jc w:val="right"/>
              <w:rPr>
                <w:rFonts w:cs="Arial"/>
                <w:b/>
                <w:sz w:val="18"/>
                <w:szCs w:val="18"/>
              </w:rPr>
            </w:pPr>
            <w:r w:rsidRPr="00645119">
              <w:rPr>
                <w:rFonts w:cs="Arial"/>
                <w:b/>
                <w:sz w:val="18"/>
                <w:szCs w:val="18"/>
              </w:rPr>
              <w:t>Appropriation applied in 2020 (current and prior years)</w:t>
            </w:r>
          </w:p>
        </w:tc>
        <w:tc>
          <w:tcPr>
            <w:tcW w:w="1417" w:type="dxa"/>
            <w:tcBorders>
              <w:top w:val="single" w:sz="4" w:space="0" w:color="auto"/>
              <w:left w:val="nil"/>
              <w:bottom w:val="nil"/>
              <w:right w:val="nil"/>
            </w:tcBorders>
            <w:shd w:val="clear" w:color="auto" w:fill="auto"/>
            <w:hideMark/>
          </w:tcPr>
          <w:p w14:paraId="3A2F5F58" w14:textId="77777777" w:rsidR="00AB6753" w:rsidRPr="00645119" w:rsidRDefault="00AB6753" w:rsidP="002D1EA4">
            <w:pPr>
              <w:spacing w:after="0"/>
              <w:jc w:val="right"/>
              <w:rPr>
                <w:rFonts w:cs="Arial"/>
                <w:b/>
                <w:sz w:val="18"/>
                <w:szCs w:val="18"/>
              </w:rPr>
            </w:pPr>
            <w:r w:rsidRPr="00645119">
              <w:rPr>
                <w:rFonts w:cs="Arial"/>
                <w:b/>
                <w:sz w:val="18"/>
                <w:szCs w:val="18"/>
              </w:rPr>
              <w:t>Variance</w:t>
            </w:r>
            <w:r w:rsidRPr="00645119">
              <w:rPr>
                <w:rFonts w:cs="Arial"/>
                <w:b/>
                <w:sz w:val="18"/>
                <w:szCs w:val="18"/>
                <w:vertAlign w:val="superscript"/>
              </w:rPr>
              <w:t>2</w:t>
            </w:r>
          </w:p>
        </w:tc>
      </w:tr>
      <w:tr w:rsidR="00AB6753" w:rsidRPr="00645119" w14:paraId="48853017" w14:textId="77777777" w:rsidTr="002D1EA4">
        <w:trPr>
          <w:trHeight w:val="227"/>
        </w:trPr>
        <w:tc>
          <w:tcPr>
            <w:tcW w:w="5982" w:type="dxa"/>
            <w:tcBorders>
              <w:top w:val="nil"/>
              <w:left w:val="nil"/>
              <w:bottom w:val="single" w:sz="4" w:space="0" w:color="auto"/>
              <w:right w:val="nil"/>
            </w:tcBorders>
            <w:shd w:val="clear" w:color="auto" w:fill="auto"/>
            <w:vAlign w:val="bottom"/>
            <w:hideMark/>
          </w:tcPr>
          <w:p w14:paraId="589C8645" w14:textId="77777777" w:rsidR="00AB6753" w:rsidRPr="00645119" w:rsidRDefault="00AB6753" w:rsidP="002D1EA4">
            <w:pPr>
              <w:spacing w:after="0" w:line="240" w:lineRule="auto"/>
              <w:rPr>
                <w:rFonts w:cs="Arial"/>
                <w:b/>
                <w:bCs/>
                <w:sz w:val="18"/>
                <w:szCs w:val="18"/>
              </w:rPr>
            </w:pPr>
            <w:r w:rsidRPr="00645119">
              <w:rPr>
                <w:rFonts w:cs="Arial"/>
                <w:b/>
                <w:bCs/>
                <w:sz w:val="18"/>
                <w:szCs w:val="18"/>
              </w:rPr>
              <w:t> </w:t>
            </w:r>
          </w:p>
        </w:tc>
        <w:tc>
          <w:tcPr>
            <w:tcW w:w="1701" w:type="dxa"/>
            <w:tcBorders>
              <w:top w:val="nil"/>
              <w:left w:val="nil"/>
              <w:bottom w:val="single" w:sz="4" w:space="0" w:color="auto"/>
              <w:right w:val="nil"/>
            </w:tcBorders>
            <w:shd w:val="clear" w:color="auto" w:fill="auto"/>
            <w:noWrap/>
            <w:vAlign w:val="bottom"/>
            <w:hideMark/>
          </w:tcPr>
          <w:p w14:paraId="07D7E2CE" w14:textId="77777777" w:rsidR="00AB6753" w:rsidRPr="00645119" w:rsidRDefault="00AB6753" w:rsidP="002D1EA4">
            <w:pPr>
              <w:spacing w:after="0" w:line="240" w:lineRule="auto"/>
              <w:jc w:val="right"/>
              <w:rPr>
                <w:rFonts w:cs="Arial"/>
                <w:b/>
                <w:bCs/>
                <w:sz w:val="18"/>
                <w:szCs w:val="18"/>
              </w:rPr>
            </w:pPr>
            <w:r w:rsidRPr="00645119">
              <w:rPr>
                <w:rFonts w:cs="Arial"/>
                <w:b/>
                <w:bCs/>
                <w:sz w:val="18"/>
                <w:szCs w:val="18"/>
              </w:rPr>
              <w:t>$'000</w:t>
            </w:r>
          </w:p>
        </w:tc>
        <w:tc>
          <w:tcPr>
            <w:tcW w:w="1559" w:type="dxa"/>
            <w:tcBorders>
              <w:top w:val="nil"/>
              <w:left w:val="nil"/>
              <w:bottom w:val="single" w:sz="4" w:space="0" w:color="auto"/>
              <w:right w:val="nil"/>
            </w:tcBorders>
            <w:shd w:val="clear" w:color="auto" w:fill="auto"/>
            <w:noWrap/>
            <w:vAlign w:val="bottom"/>
            <w:hideMark/>
          </w:tcPr>
          <w:p w14:paraId="0024B53B" w14:textId="77777777" w:rsidR="00AB6753" w:rsidRPr="00645119" w:rsidRDefault="00AB6753" w:rsidP="002D1EA4">
            <w:pPr>
              <w:spacing w:after="0" w:line="240" w:lineRule="auto"/>
              <w:jc w:val="right"/>
              <w:rPr>
                <w:rFonts w:cs="Arial"/>
                <w:b/>
                <w:bCs/>
                <w:sz w:val="18"/>
                <w:szCs w:val="18"/>
              </w:rPr>
            </w:pPr>
            <w:r w:rsidRPr="00645119">
              <w:rPr>
                <w:rFonts w:cs="Arial"/>
                <w:b/>
                <w:bCs/>
                <w:sz w:val="18"/>
                <w:szCs w:val="18"/>
              </w:rPr>
              <w:t>$'000</w:t>
            </w:r>
          </w:p>
        </w:tc>
        <w:tc>
          <w:tcPr>
            <w:tcW w:w="1701" w:type="dxa"/>
            <w:tcBorders>
              <w:top w:val="nil"/>
              <w:left w:val="nil"/>
              <w:bottom w:val="single" w:sz="4" w:space="0" w:color="auto"/>
              <w:right w:val="nil"/>
            </w:tcBorders>
            <w:shd w:val="clear" w:color="auto" w:fill="auto"/>
            <w:noWrap/>
            <w:vAlign w:val="bottom"/>
            <w:hideMark/>
          </w:tcPr>
          <w:p w14:paraId="1B495B59" w14:textId="77777777" w:rsidR="00AB6753" w:rsidRPr="00645119" w:rsidRDefault="00AB6753" w:rsidP="002D1EA4">
            <w:pPr>
              <w:spacing w:after="0" w:line="240" w:lineRule="auto"/>
              <w:jc w:val="right"/>
              <w:rPr>
                <w:rFonts w:cs="Arial"/>
                <w:b/>
                <w:bCs/>
                <w:sz w:val="18"/>
                <w:szCs w:val="18"/>
              </w:rPr>
            </w:pPr>
            <w:r w:rsidRPr="00645119">
              <w:rPr>
                <w:rFonts w:cs="Arial"/>
                <w:b/>
                <w:bCs/>
                <w:sz w:val="18"/>
                <w:szCs w:val="18"/>
              </w:rPr>
              <w:t>$'000</w:t>
            </w:r>
          </w:p>
        </w:tc>
        <w:tc>
          <w:tcPr>
            <w:tcW w:w="2410" w:type="dxa"/>
            <w:tcBorders>
              <w:top w:val="nil"/>
              <w:left w:val="nil"/>
              <w:bottom w:val="single" w:sz="4" w:space="0" w:color="auto"/>
              <w:right w:val="nil"/>
            </w:tcBorders>
            <w:shd w:val="clear" w:color="auto" w:fill="auto"/>
            <w:noWrap/>
            <w:vAlign w:val="bottom"/>
            <w:hideMark/>
          </w:tcPr>
          <w:p w14:paraId="684220AD" w14:textId="77777777" w:rsidR="00AB6753" w:rsidRPr="00645119" w:rsidRDefault="00AB6753" w:rsidP="002D1EA4">
            <w:pPr>
              <w:spacing w:after="0" w:line="240" w:lineRule="auto"/>
              <w:jc w:val="right"/>
              <w:rPr>
                <w:rFonts w:cs="Arial"/>
                <w:b/>
                <w:bCs/>
                <w:sz w:val="18"/>
                <w:szCs w:val="18"/>
              </w:rPr>
            </w:pPr>
            <w:r w:rsidRPr="00645119">
              <w:rPr>
                <w:rFonts w:cs="Arial"/>
                <w:b/>
                <w:bCs/>
                <w:sz w:val="18"/>
                <w:szCs w:val="18"/>
              </w:rPr>
              <w:t>$'000</w:t>
            </w:r>
          </w:p>
        </w:tc>
        <w:tc>
          <w:tcPr>
            <w:tcW w:w="1417" w:type="dxa"/>
            <w:tcBorders>
              <w:top w:val="nil"/>
              <w:left w:val="nil"/>
              <w:bottom w:val="single" w:sz="4" w:space="0" w:color="auto"/>
              <w:right w:val="nil"/>
            </w:tcBorders>
            <w:shd w:val="clear" w:color="auto" w:fill="auto"/>
            <w:noWrap/>
            <w:vAlign w:val="bottom"/>
            <w:hideMark/>
          </w:tcPr>
          <w:p w14:paraId="4BEC6FAD" w14:textId="77777777" w:rsidR="00AB6753" w:rsidRPr="00645119" w:rsidRDefault="00AB6753" w:rsidP="002D1EA4">
            <w:pPr>
              <w:spacing w:after="0" w:line="240" w:lineRule="auto"/>
              <w:jc w:val="right"/>
              <w:rPr>
                <w:rFonts w:cs="Arial"/>
                <w:b/>
                <w:bCs/>
                <w:sz w:val="18"/>
                <w:szCs w:val="18"/>
              </w:rPr>
            </w:pPr>
            <w:r w:rsidRPr="00645119">
              <w:rPr>
                <w:rFonts w:cs="Arial"/>
                <w:b/>
                <w:bCs/>
                <w:sz w:val="18"/>
                <w:szCs w:val="18"/>
              </w:rPr>
              <w:t>$'000</w:t>
            </w:r>
          </w:p>
        </w:tc>
      </w:tr>
      <w:tr w:rsidR="00AB6753" w:rsidRPr="00645119" w14:paraId="19D6595B" w14:textId="77777777" w:rsidTr="002D1EA4">
        <w:trPr>
          <w:trHeight w:val="227"/>
        </w:trPr>
        <w:tc>
          <w:tcPr>
            <w:tcW w:w="5982" w:type="dxa"/>
            <w:tcBorders>
              <w:top w:val="nil"/>
              <w:left w:val="nil"/>
              <w:bottom w:val="nil"/>
              <w:right w:val="nil"/>
            </w:tcBorders>
            <w:shd w:val="clear" w:color="auto" w:fill="auto"/>
            <w:noWrap/>
            <w:vAlign w:val="bottom"/>
            <w:hideMark/>
          </w:tcPr>
          <w:p w14:paraId="3892BFF1" w14:textId="77777777" w:rsidR="00AB6753" w:rsidRPr="00645119" w:rsidRDefault="00AB6753" w:rsidP="002D1EA4">
            <w:pPr>
              <w:spacing w:after="0" w:line="240" w:lineRule="auto"/>
              <w:rPr>
                <w:rFonts w:cs="Arial"/>
                <w:b/>
                <w:bCs/>
                <w:sz w:val="18"/>
                <w:szCs w:val="18"/>
              </w:rPr>
            </w:pPr>
            <w:r w:rsidRPr="00645119">
              <w:rPr>
                <w:rFonts w:cs="Arial"/>
                <w:b/>
                <w:bCs/>
                <w:sz w:val="18"/>
                <w:szCs w:val="18"/>
              </w:rPr>
              <w:t>Departmental</w:t>
            </w:r>
          </w:p>
        </w:tc>
        <w:tc>
          <w:tcPr>
            <w:tcW w:w="1701" w:type="dxa"/>
            <w:tcBorders>
              <w:top w:val="nil"/>
              <w:left w:val="nil"/>
              <w:bottom w:val="nil"/>
              <w:right w:val="nil"/>
            </w:tcBorders>
            <w:shd w:val="clear" w:color="auto" w:fill="auto"/>
            <w:noWrap/>
            <w:vAlign w:val="bottom"/>
            <w:hideMark/>
          </w:tcPr>
          <w:p w14:paraId="70DA555E" w14:textId="77777777" w:rsidR="00AB6753" w:rsidRPr="00645119" w:rsidRDefault="00AB6753" w:rsidP="002D1EA4">
            <w:pPr>
              <w:spacing w:after="0" w:line="240" w:lineRule="auto"/>
              <w:rPr>
                <w:rFonts w:cs="Arial"/>
                <w:b/>
                <w:bCs/>
                <w:sz w:val="18"/>
                <w:szCs w:val="18"/>
              </w:rPr>
            </w:pPr>
          </w:p>
        </w:tc>
        <w:tc>
          <w:tcPr>
            <w:tcW w:w="1559" w:type="dxa"/>
            <w:tcBorders>
              <w:top w:val="nil"/>
              <w:left w:val="nil"/>
              <w:bottom w:val="nil"/>
              <w:right w:val="nil"/>
            </w:tcBorders>
            <w:shd w:val="clear" w:color="auto" w:fill="auto"/>
            <w:noWrap/>
            <w:vAlign w:val="bottom"/>
            <w:hideMark/>
          </w:tcPr>
          <w:p w14:paraId="0309E8AB" w14:textId="77777777" w:rsidR="00AB6753" w:rsidRPr="00645119" w:rsidRDefault="00AB6753" w:rsidP="002D1EA4">
            <w:pPr>
              <w:spacing w:after="0" w:line="240" w:lineRule="auto"/>
              <w:jc w:val="right"/>
              <w:rPr>
                <w:rFonts w:cs="Arial"/>
                <w:sz w:val="18"/>
                <w:szCs w:val="18"/>
              </w:rPr>
            </w:pPr>
          </w:p>
        </w:tc>
        <w:tc>
          <w:tcPr>
            <w:tcW w:w="1701" w:type="dxa"/>
            <w:tcBorders>
              <w:top w:val="nil"/>
              <w:left w:val="nil"/>
              <w:bottom w:val="nil"/>
              <w:right w:val="nil"/>
            </w:tcBorders>
            <w:shd w:val="clear" w:color="auto" w:fill="auto"/>
            <w:noWrap/>
            <w:vAlign w:val="bottom"/>
            <w:hideMark/>
          </w:tcPr>
          <w:p w14:paraId="2E2FA2CB" w14:textId="77777777" w:rsidR="00AB6753" w:rsidRPr="00645119" w:rsidRDefault="00AB6753" w:rsidP="002D1EA4">
            <w:pPr>
              <w:spacing w:after="0" w:line="240" w:lineRule="auto"/>
              <w:jc w:val="right"/>
              <w:rPr>
                <w:rFonts w:cs="Arial"/>
                <w:sz w:val="18"/>
                <w:szCs w:val="18"/>
              </w:rPr>
            </w:pPr>
          </w:p>
        </w:tc>
        <w:tc>
          <w:tcPr>
            <w:tcW w:w="2410" w:type="dxa"/>
            <w:tcBorders>
              <w:top w:val="nil"/>
              <w:left w:val="nil"/>
              <w:bottom w:val="nil"/>
              <w:right w:val="nil"/>
            </w:tcBorders>
            <w:shd w:val="clear" w:color="auto" w:fill="auto"/>
            <w:noWrap/>
            <w:vAlign w:val="bottom"/>
            <w:hideMark/>
          </w:tcPr>
          <w:p w14:paraId="748501D7" w14:textId="77777777" w:rsidR="00AB6753" w:rsidRPr="00645119" w:rsidRDefault="00AB6753" w:rsidP="002D1EA4">
            <w:pPr>
              <w:spacing w:after="0" w:line="240" w:lineRule="auto"/>
              <w:jc w:val="right"/>
              <w:rPr>
                <w:rFonts w:cs="Arial"/>
                <w:sz w:val="18"/>
                <w:szCs w:val="18"/>
              </w:rPr>
            </w:pPr>
          </w:p>
        </w:tc>
        <w:tc>
          <w:tcPr>
            <w:tcW w:w="1417" w:type="dxa"/>
            <w:tcBorders>
              <w:top w:val="nil"/>
              <w:left w:val="nil"/>
              <w:bottom w:val="nil"/>
              <w:right w:val="nil"/>
            </w:tcBorders>
            <w:shd w:val="clear" w:color="auto" w:fill="auto"/>
            <w:noWrap/>
            <w:vAlign w:val="bottom"/>
            <w:hideMark/>
          </w:tcPr>
          <w:p w14:paraId="2DA47983" w14:textId="77777777" w:rsidR="00AB6753" w:rsidRPr="00645119" w:rsidRDefault="00AB6753" w:rsidP="002D1EA4">
            <w:pPr>
              <w:spacing w:after="0" w:line="240" w:lineRule="auto"/>
              <w:jc w:val="right"/>
              <w:rPr>
                <w:rFonts w:cs="Arial"/>
                <w:sz w:val="18"/>
                <w:szCs w:val="18"/>
              </w:rPr>
            </w:pPr>
          </w:p>
        </w:tc>
      </w:tr>
      <w:tr w:rsidR="00AB6753" w:rsidRPr="00645119" w14:paraId="2B5D4C1E" w14:textId="77777777" w:rsidTr="002D1EA4">
        <w:trPr>
          <w:trHeight w:val="227"/>
        </w:trPr>
        <w:tc>
          <w:tcPr>
            <w:tcW w:w="5982" w:type="dxa"/>
            <w:tcBorders>
              <w:top w:val="nil"/>
              <w:left w:val="nil"/>
              <w:bottom w:val="nil"/>
              <w:right w:val="nil"/>
            </w:tcBorders>
            <w:shd w:val="clear" w:color="000000" w:fill="FFFFFF"/>
            <w:noWrap/>
            <w:vAlign w:val="bottom"/>
          </w:tcPr>
          <w:p w14:paraId="4F2EA577" w14:textId="77777777" w:rsidR="00AB6753" w:rsidRPr="00645119" w:rsidRDefault="00AB6753" w:rsidP="002D1EA4">
            <w:pPr>
              <w:spacing w:after="0" w:line="240" w:lineRule="auto"/>
              <w:ind w:leftChars="100" w:left="220"/>
              <w:rPr>
                <w:rFonts w:cs="Arial"/>
                <w:iCs/>
                <w:sz w:val="18"/>
                <w:szCs w:val="18"/>
              </w:rPr>
            </w:pPr>
            <w:r w:rsidRPr="00645119">
              <w:rPr>
                <w:rFonts w:cs="Arial"/>
                <w:iCs/>
                <w:sz w:val="18"/>
                <w:szCs w:val="18"/>
              </w:rPr>
              <w:t>Ordinary annual services</w:t>
            </w:r>
          </w:p>
        </w:tc>
        <w:tc>
          <w:tcPr>
            <w:tcW w:w="1701" w:type="dxa"/>
            <w:tcBorders>
              <w:top w:val="nil"/>
              <w:left w:val="nil"/>
              <w:bottom w:val="nil"/>
              <w:right w:val="nil"/>
            </w:tcBorders>
            <w:shd w:val="clear" w:color="FFFFFF" w:fill="FFFFFF"/>
            <w:noWrap/>
            <w:hideMark/>
          </w:tcPr>
          <w:p w14:paraId="4B8EA2EB" w14:textId="77777777" w:rsidR="00AB6753" w:rsidRPr="00645119" w:rsidRDefault="00AB6753" w:rsidP="002D1EA4">
            <w:pPr>
              <w:spacing w:after="0"/>
              <w:jc w:val="right"/>
              <w:rPr>
                <w:rFonts w:cs="Arial"/>
                <w:b/>
                <w:sz w:val="18"/>
                <w:szCs w:val="18"/>
              </w:rPr>
            </w:pPr>
            <w:r w:rsidRPr="00645119">
              <w:rPr>
                <w:rFonts w:cs="Arial"/>
                <w:b/>
                <w:sz w:val="18"/>
                <w:szCs w:val="18"/>
              </w:rPr>
              <w:t xml:space="preserve">433,881 </w:t>
            </w:r>
          </w:p>
        </w:tc>
        <w:tc>
          <w:tcPr>
            <w:tcW w:w="1559" w:type="dxa"/>
            <w:tcBorders>
              <w:top w:val="nil"/>
              <w:left w:val="nil"/>
              <w:bottom w:val="nil"/>
              <w:right w:val="nil"/>
            </w:tcBorders>
            <w:shd w:val="clear" w:color="FFFFFF" w:fill="FFFFFF"/>
            <w:noWrap/>
            <w:hideMark/>
          </w:tcPr>
          <w:p w14:paraId="3A0CDF4C" w14:textId="77777777" w:rsidR="00AB6753" w:rsidRPr="00645119" w:rsidRDefault="00AB6753" w:rsidP="002D1EA4">
            <w:pPr>
              <w:spacing w:after="0"/>
              <w:jc w:val="right"/>
              <w:rPr>
                <w:rFonts w:cs="Arial"/>
                <w:b/>
                <w:sz w:val="18"/>
                <w:szCs w:val="18"/>
              </w:rPr>
            </w:pPr>
            <w:r w:rsidRPr="00645119">
              <w:rPr>
                <w:rFonts w:cs="Arial"/>
                <w:b/>
                <w:sz w:val="18"/>
                <w:szCs w:val="18"/>
              </w:rPr>
              <w:t xml:space="preserve">48,642 </w:t>
            </w:r>
          </w:p>
        </w:tc>
        <w:tc>
          <w:tcPr>
            <w:tcW w:w="1701" w:type="dxa"/>
            <w:tcBorders>
              <w:top w:val="nil"/>
              <w:left w:val="nil"/>
              <w:bottom w:val="nil"/>
              <w:right w:val="nil"/>
            </w:tcBorders>
            <w:shd w:val="clear" w:color="FFFFFF" w:fill="FFFFFF"/>
            <w:noWrap/>
            <w:hideMark/>
          </w:tcPr>
          <w:p w14:paraId="1ADF3CDB" w14:textId="77777777" w:rsidR="00AB6753" w:rsidRPr="00645119" w:rsidRDefault="00AB6753" w:rsidP="002D1EA4">
            <w:pPr>
              <w:spacing w:after="0"/>
              <w:jc w:val="right"/>
              <w:rPr>
                <w:rFonts w:cs="Arial"/>
                <w:b/>
                <w:sz w:val="18"/>
                <w:szCs w:val="18"/>
              </w:rPr>
            </w:pPr>
            <w:r w:rsidRPr="00645119">
              <w:rPr>
                <w:rFonts w:cs="Arial"/>
                <w:b/>
                <w:sz w:val="18"/>
                <w:szCs w:val="18"/>
              </w:rPr>
              <w:t xml:space="preserve">482,523 </w:t>
            </w:r>
          </w:p>
        </w:tc>
        <w:tc>
          <w:tcPr>
            <w:tcW w:w="2410" w:type="dxa"/>
            <w:tcBorders>
              <w:top w:val="nil"/>
              <w:left w:val="nil"/>
              <w:bottom w:val="nil"/>
              <w:right w:val="nil"/>
            </w:tcBorders>
            <w:shd w:val="clear" w:color="FFFFFF" w:fill="FFFFFF"/>
            <w:noWrap/>
            <w:hideMark/>
          </w:tcPr>
          <w:p w14:paraId="012E53A9" w14:textId="77777777" w:rsidR="00AB6753" w:rsidRPr="00645119" w:rsidRDefault="00AB6753" w:rsidP="002D1EA4">
            <w:pPr>
              <w:spacing w:after="0"/>
              <w:jc w:val="right"/>
              <w:rPr>
                <w:rFonts w:cs="Arial"/>
                <w:b/>
                <w:sz w:val="18"/>
                <w:szCs w:val="18"/>
              </w:rPr>
            </w:pPr>
            <w:r w:rsidRPr="00645119">
              <w:rPr>
                <w:rFonts w:cs="Arial"/>
                <w:b/>
                <w:sz w:val="18"/>
                <w:szCs w:val="18"/>
              </w:rPr>
              <w:t>(473,813)</w:t>
            </w:r>
          </w:p>
        </w:tc>
        <w:tc>
          <w:tcPr>
            <w:tcW w:w="1417" w:type="dxa"/>
            <w:tcBorders>
              <w:top w:val="nil"/>
              <w:left w:val="nil"/>
              <w:bottom w:val="nil"/>
              <w:right w:val="nil"/>
            </w:tcBorders>
            <w:shd w:val="clear" w:color="FFFFFF" w:fill="FFFFFF"/>
            <w:noWrap/>
            <w:hideMark/>
          </w:tcPr>
          <w:p w14:paraId="694C336A" w14:textId="77777777" w:rsidR="00AB6753" w:rsidRPr="00645119" w:rsidRDefault="00AB6753" w:rsidP="002D1EA4">
            <w:pPr>
              <w:spacing w:after="0"/>
              <w:jc w:val="right"/>
              <w:rPr>
                <w:rFonts w:cs="Arial"/>
                <w:b/>
                <w:sz w:val="18"/>
                <w:szCs w:val="18"/>
              </w:rPr>
            </w:pPr>
            <w:r w:rsidRPr="00645119">
              <w:rPr>
                <w:rFonts w:cs="Arial"/>
                <w:b/>
                <w:sz w:val="18"/>
                <w:szCs w:val="18"/>
              </w:rPr>
              <w:t xml:space="preserve">8,710 </w:t>
            </w:r>
          </w:p>
        </w:tc>
      </w:tr>
      <w:tr w:rsidR="00AB6753" w:rsidRPr="00645119" w14:paraId="7B700A6A" w14:textId="77777777" w:rsidTr="002D1EA4">
        <w:trPr>
          <w:trHeight w:val="227"/>
        </w:trPr>
        <w:tc>
          <w:tcPr>
            <w:tcW w:w="5982" w:type="dxa"/>
            <w:tcBorders>
              <w:top w:val="nil"/>
              <w:left w:val="nil"/>
              <w:bottom w:val="nil"/>
              <w:right w:val="nil"/>
            </w:tcBorders>
            <w:shd w:val="clear" w:color="000000" w:fill="FFFFFF"/>
            <w:noWrap/>
            <w:vAlign w:val="bottom"/>
          </w:tcPr>
          <w:p w14:paraId="353DDB56" w14:textId="77777777" w:rsidR="00AB6753" w:rsidRPr="00645119" w:rsidRDefault="00AB6753" w:rsidP="002D1EA4">
            <w:pPr>
              <w:spacing w:after="0" w:line="240" w:lineRule="auto"/>
              <w:ind w:leftChars="100" w:left="220"/>
              <w:rPr>
                <w:rFonts w:cs="Arial"/>
                <w:iCs/>
                <w:sz w:val="18"/>
                <w:szCs w:val="18"/>
                <w:vertAlign w:val="superscript"/>
              </w:rPr>
            </w:pPr>
            <w:r w:rsidRPr="00645119">
              <w:rPr>
                <w:rFonts w:cs="Arial"/>
                <w:iCs/>
                <w:sz w:val="18"/>
                <w:szCs w:val="18"/>
              </w:rPr>
              <w:t>Capital Budget</w:t>
            </w:r>
            <w:r w:rsidRPr="00645119">
              <w:rPr>
                <w:rFonts w:cs="Arial"/>
                <w:iCs/>
                <w:sz w:val="18"/>
                <w:szCs w:val="18"/>
                <w:vertAlign w:val="superscript"/>
              </w:rPr>
              <w:t>3</w:t>
            </w:r>
          </w:p>
        </w:tc>
        <w:tc>
          <w:tcPr>
            <w:tcW w:w="1701" w:type="dxa"/>
            <w:tcBorders>
              <w:top w:val="nil"/>
              <w:left w:val="nil"/>
              <w:bottom w:val="nil"/>
              <w:right w:val="nil"/>
            </w:tcBorders>
            <w:shd w:val="clear" w:color="FFFFFF" w:fill="FFFFFF"/>
            <w:noWrap/>
            <w:hideMark/>
          </w:tcPr>
          <w:p w14:paraId="2114542D" w14:textId="77777777" w:rsidR="00AB6753" w:rsidRPr="00645119" w:rsidRDefault="00AB6753" w:rsidP="002D1EA4">
            <w:pPr>
              <w:spacing w:after="0"/>
              <w:jc w:val="right"/>
              <w:rPr>
                <w:rFonts w:cs="Arial"/>
                <w:b/>
                <w:sz w:val="18"/>
                <w:szCs w:val="18"/>
              </w:rPr>
            </w:pPr>
            <w:r w:rsidRPr="00645119">
              <w:rPr>
                <w:rFonts w:cs="Arial"/>
                <w:b/>
                <w:sz w:val="18"/>
                <w:szCs w:val="18"/>
              </w:rPr>
              <w:t xml:space="preserve">17,085 </w:t>
            </w:r>
          </w:p>
        </w:tc>
        <w:tc>
          <w:tcPr>
            <w:tcW w:w="1559" w:type="dxa"/>
            <w:tcBorders>
              <w:top w:val="nil"/>
              <w:left w:val="nil"/>
              <w:bottom w:val="nil"/>
              <w:right w:val="nil"/>
            </w:tcBorders>
            <w:shd w:val="clear" w:color="FFFFFF" w:fill="FFFFFF"/>
            <w:noWrap/>
            <w:hideMark/>
          </w:tcPr>
          <w:p w14:paraId="23EE0556" w14:textId="77777777" w:rsidR="00AB6753" w:rsidRPr="00645119" w:rsidRDefault="00AB6753" w:rsidP="002D1EA4">
            <w:pPr>
              <w:spacing w:after="0"/>
              <w:jc w:val="right"/>
              <w:rPr>
                <w:rFonts w:cs="Arial"/>
                <w:b/>
                <w:sz w:val="18"/>
                <w:szCs w:val="18"/>
              </w:rPr>
            </w:pPr>
            <w:r w:rsidRPr="00645119">
              <w:rPr>
                <w:rFonts w:cs="Arial"/>
                <w:b/>
                <w:sz w:val="18"/>
                <w:szCs w:val="18"/>
              </w:rPr>
              <w:t>(14,421)</w:t>
            </w:r>
          </w:p>
        </w:tc>
        <w:tc>
          <w:tcPr>
            <w:tcW w:w="1701" w:type="dxa"/>
            <w:tcBorders>
              <w:top w:val="nil"/>
              <w:left w:val="nil"/>
              <w:bottom w:val="nil"/>
              <w:right w:val="nil"/>
            </w:tcBorders>
            <w:shd w:val="clear" w:color="FFFFFF" w:fill="FFFFFF"/>
            <w:noWrap/>
            <w:hideMark/>
          </w:tcPr>
          <w:p w14:paraId="7D4F768D" w14:textId="77777777" w:rsidR="00AB6753" w:rsidRPr="00645119" w:rsidRDefault="00AB6753" w:rsidP="002D1EA4">
            <w:pPr>
              <w:spacing w:after="0"/>
              <w:jc w:val="right"/>
              <w:rPr>
                <w:rFonts w:cs="Arial"/>
                <w:b/>
                <w:sz w:val="18"/>
                <w:szCs w:val="18"/>
              </w:rPr>
            </w:pPr>
            <w:r w:rsidRPr="00645119">
              <w:rPr>
                <w:rFonts w:cs="Arial"/>
                <w:b/>
                <w:sz w:val="18"/>
                <w:szCs w:val="18"/>
              </w:rPr>
              <w:t xml:space="preserve">2,664 </w:t>
            </w:r>
          </w:p>
        </w:tc>
        <w:tc>
          <w:tcPr>
            <w:tcW w:w="2410" w:type="dxa"/>
            <w:tcBorders>
              <w:top w:val="nil"/>
              <w:left w:val="nil"/>
              <w:bottom w:val="nil"/>
              <w:right w:val="nil"/>
            </w:tcBorders>
            <w:shd w:val="clear" w:color="FFFFFF" w:fill="FFFFFF"/>
            <w:noWrap/>
            <w:hideMark/>
          </w:tcPr>
          <w:p w14:paraId="6C83F5E8" w14:textId="77777777" w:rsidR="00AB6753" w:rsidRPr="00645119" w:rsidRDefault="00AB6753" w:rsidP="002D1EA4">
            <w:pPr>
              <w:spacing w:after="0"/>
              <w:jc w:val="right"/>
              <w:rPr>
                <w:rFonts w:cs="Arial"/>
                <w:b/>
                <w:sz w:val="18"/>
                <w:szCs w:val="18"/>
              </w:rPr>
            </w:pPr>
            <w:r w:rsidRPr="00645119">
              <w:rPr>
                <w:rFonts w:cs="Arial"/>
                <w:b/>
                <w:sz w:val="18"/>
                <w:szCs w:val="18"/>
              </w:rPr>
              <w:t>(3,576)</w:t>
            </w:r>
          </w:p>
        </w:tc>
        <w:tc>
          <w:tcPr>
            <w:tcW w:w="1417" w:type="dxa"/>
            <w:tcBorders>
              <w:top w:val="nil"/>
              <w:left w:val="nil"/>
              <w:bottom w:val="nil"/>
              <w:right w:val="nil"/>
            </w:tcBorders>
            <w:shd w:val="clear" w:color="FFFFFF" w:fill="FFFFFF"/>
            <w:noWrap/>
            <w:hideMark/>
          </w:tcPr>
          <w:p w14:paraId="1D7DBAB2" w14:textId="77777777" w:rsidR="00AB6753" w:rsidRPr="00645119" w:rsidRDefault="00AB6753" w:rsidP="002D1EA4">
            <w:pPr>
              <w:spacing w:after="0"/>
              <w:jc w:val="right"/>
              <w:rPr>
                <w:rFonts w:cs="Arial"/>
                <w:b/>
                <w:sz w:val="18"/>
                <w:szCs w:val="18"/>
              </w:rPr>
            </w:pPr>
            <w:r w:rsidRPr="00645119">
              <w:rPr>
                <w:rFonts w:cs="Arial"/>
                <w:b/>
                <w:sz w:val="18"/>
                <w:szCs w:val="18"/>
              </w:rPr>
              <w:t>(912)</w:t>
            </w:r>
          </w:p>
        </w:tc>
      </w:tr>
      <w:tr w:rsidR="00AB6753" w:rsidRPr="00645119" w14:paraId="6C7B8741" w14:textId="77777777" w:rsidTr="002D1EA4">
        <w:trPr>
          <w:trHeight w:val="227"/>
        </w:trPr>
        <w:tc>
          <w:tcPr>
            <w:tcW w:w="5982" w:type="dxa"/>
            <w:tcBorders>
              <w:top w:val="nil"/>
              <w:left w:val="nil"/>
              <w:bottom w:val="nil"/>
              <w:right w:val="nil"/>
            </w:tcBorders>
            <w:shd w:val="clear" w:color="000000" w:fill="FFFFFF"/>
            <w:noWrap/>
            <w:vAlign w:val="bottom"/>
          </w:tcPr>
          <w:p w14:paraId="144C76DA" w14:textId="77777777" w:rsidR="00AB6753" w:rsidRPr="00645119" w:rsidRDefault="00AB6753" w:rsidP="002D1EA4">
            <w:pPr>
              <w:spacing w:after="0" w:line="240" w:lineRule="auto"/>
              <w:ind w:leftChars="100" w:left="220"/>
              <w:rPr>
                <w:rFonts w:cs="Arial"/>
                <w:iCs/>
                <w:sz w:val="18"/>
                <w:szCs w:val="18"/>
              </w:rPr>
            </w:pPr>
            <w:r w:rsidRPr="00645119">
              <w:rPr>
                <w:rFonts w:cs="Arial"/>
                <w:iCs/>
                <w:sz w:val="18"/>
                <w:szCs w:val="18"/>
              </w:rPr>
              <w:t>Other services</w:t>
            </w:r>
          </w:p>
        </w:tc>
        <w:tc>
          <w:tcPr>
            <w:tcW w:w="1701" w:type="dxa"/>
            <w:tcBorders>
              <w:top w:val="nil"/>
              <w:left w:val="nil"/>
              <w:bottom w:val="nil"/>
              <w:right w:val="nil"/>
            </w:tcBorders>
            <w:shd w:val="clear" w:color="FFFFFF" w:fill="FFFFFF"/>
            <w:noWrap/>
            <w:hideMark/>
          </w:tcPr>
          <w:p w14:paraId="547843DD" w14:textId="77777777" w:rsidR="00AB6753" w:rsidRPr="00645119" w:rsidRDefault="00AB6753" w:rsidP="002D1EA4">
            <w:pPr>
              <w:spacing w:after="0"/>
              <w:jc w:val="right"/>
              <w:rPr>
                <w:rFonts w:cs="Arial"/>
                <w:b/>
                <w:sz w:val="18"/>
                <w:szCs w:val="18"/>
              </w:rPr>
            </w:pPr>
          </w:p>
        </w:tc>
        <w:tc>
          <w:tcPr>
            <w:tcW w:w="1559" w:type="dxa"/>
            <w:tcBorders>
              <w:top w:val="nil"/>
              <w:left w:val="nil"/>
              <w:bottom w:val="nil"/>
              <w:right w:val="nil"/>
            </w:tcBorders>
            <w:shd w:val="clear" w:color="FFFFFF" w:fill="FFFFFF"/>
            <w:noWrap/>
            <w:hideMark/>
          </w:tcPr>
          <w:p w14:paraId="24D057BE" w14:textId="77777777" w:rsidR="00AB6753" w:rsidRPr="00645119" w:rsidRDefault="00AB6753" w:rsidP="002D1EA4">
            <w:pPr>
              <w:spacing w:after="0"/>
              <w:jc w:val="right"/>
              <w:rPr>
                <w:rFonts w:cs="Arial"/>
                <w:b/>
                <w:sz w:val="18"/>
                <w:szCs w:val="18"/>
              </w:rPr>
            </w:pPr>
          </w:p>
        </w:tc>
        <w:tc>
          <w:tcPr>
            <w:tcW w:w="1701" w:type="dxa"/>
            <w:tcBorders>
              <w:top w:val="nil"/>
              <w:left w:val="nil"/>
              <w:bottom w:val="nil"/>
              <w:right w:val="nil"/>
            </w:tcBorders>
            <w:shd w:val="clear" w:color="FFFFFF" w:fill="FFFFFF"/>
            <w:noWrap/>
            <w:hideMark/>
          </w:tcPr>
          <w:p w14:paraId="67C2E16C" w14:textId="77777777" w:rsidR="00AB6753" w:rsidRPr="00645119" w:rsidRDefault="00AB6753" w:rsidP="002D1EA4">
            <w:pPr>
              <w:spacing w:after="0"/>
              <w:jc w:val="right"/>
              <w:rPr>
                <w:rFonts w:cs="Arial"/>
                <w:b/>
                <w:sz w:val="18"/>
                <w:szCs w:val="18"/>
              </w:rPr>
            </w:pPr>
          </w:p>
        </w:tc>
        <w:tc>
          <w:tcPr>
            <w:tcW w:w="2410" w:type="dxa"/>
            <w:tcBorders>
              <w:top w:val="nil"/>
              <w:left w:val="nil"/>
              <w:bottom w:val="nil"/>
              <w:right w:val="nil"/>
            </w:tcBorders>
            <w:shd w:val="clear" w:color="FFFFFF" w:fill="FFFFFF"/>
            <w:noWrap/>
            <w:hideMark/>
          </w:tcPr>
          <w:p w14:paraId="3A4EDE6D" w14:textId="77777777" w:rsidR="00AB6753" w:rsidRPr="00645119" w:rsidRDefault="00AB6753" w:rsidP="002D1EA4">
            <w:pPr>
              <w:spacing w:after="0"/>
              <w:jc w:val="right"/>
              <w:rPr>
                <w:rFonts w:cs="Arial"/>
                <w:b/>
                <w:sz w:val="18"/>
                <w:szCs w:val="18"/>
              </w:rPr>
            </w:pPr>
          </w:p>
        </w:tc>
        <w:tc>
          <w:tcPr>
            <w:tcW w:w="1417" w:type="dxa"/>
            <w:tcBorders>
              <w:top w:val="nil"/>
              <w:left w:val="nil"/>
              <w:bottom w:val="nil"/>
              <w:right w:val="nil"/>
            </w:tcBorders>
            <w:shd w:val="clear" w:color="FFFFFF" w:fill="FFFFFF"/>
            <w:noWrap/>
            <w:hideMark/>
          </w:tcPr>
          <w:p w14:paraId="7EB7CE8A" w14:textId="77777777" w:rsidR="00AB6753" w:rsidRPr="00645119" w:rsidRDefault="00AB6753" w:rsidP="002D1EA4">
            <w:pPr>
              <w:spacing w:after="0"/>
              <w:jc w:val="right"/>
              <w:rPr>
                <w:rFonts w:cs="Arial"/>
                <w:b/>
                <w:sz w:val="18"/>
                <w:szCs w:val="18"/>
              </w:rPr>
            </w:pPr>
          </w:p>
        </w:tc>
      </w:tr>
      <w:tr w:rsidR="00AB6753" w:rsidRPr="00645119" w14:paraId="6B221791" w14:textId="77777777" w:rsidTr="002D1EA4">
        <w:trPr>
          <w:trHeight w:val="227"/>
        </w:trPr>
        <w:tc>
          <w:tcPr>
            <w:tcW w:w="5982" w:type="dxa"/>
            <w:tcBorders>
              <w:top w:val="nil"/>
              <w:left w:val="nil"/>
              <w:bottom w:val="single" w:sz="4" w:space="0" w:color="auto"/>
              <w:right w:val="nil"/>
            </w:tcBorders>
            <w:shd w:val="clear" w:color="000000" w:fill="FFFFFF"/>
            <w:noWrap/>
            <w:vAlign w:val="bottom"/>
          </w:tcPr>
          <w:p w14:paraId="5A00C405" w14:textId="77777777" w:rsidR="00AB6753" w:rsidRPr="00645119" w:rsidRDefault="00AB6753" w:rsidP="002D1EA4">
            <w:pPr>
              <w:spacing w:after="0" w:line="240" w:lineRule="auto"/>
              <w:ind w:leftChars="200" w:left="440"/>
              <w:rPr>
                <w:rFonts w:cs="Arial"/>
                <w:iCs/>
                <w:sz w:val="18"/>
                <w:szCs w:val="18"/>
              </w:rPr>
            </w:pPr>
            <w:r w:rsidRPr="00645119">
              <w:rPr>
                <w:rFonts w:cs="Arial"/>
                <w:iCs/>
                <w:sz w:val="18"/>
                <w:szCs w:val="18"/>
              </w:rPr>
              <w:t>Equity Injections</w:t>
            </w:r>
          </w:p>
        </w:tc>
        <w:tc>
          <w:tcPr>
            <w:tcW w:w="1701" w:type="dxa"/>
            <w:tcBorders>
              <w:top w:val="nil"/>
              <w:left w:val="nil"/>
              <w:bottom w:val="single" w:sz="4" w:space="0" w:color="auto"/>
              <w:right w:val="nil"/>
            </w:tcBorders>
            <w:shd w:val="clear" w:color="FFFFFF" w:fill="FFFFFF"/>
            <w:noWrap/>
            <w:hideMark/>
          </w:tcPr>
          <w:p w14:paraId="6A6CD3F2" w14:textId="77777777" w:rsidR="00AB6753" w:rsidRPr="00645119" w:rsidRDefault="00AB6753" w:rsidP="002D1EA4">
            <w:pPr>
              <w:spacing w:after="0"/>
              <w:jc w:val="right"/>
              <w:rPr>
                <w:rFonts w:cs="Arial"/>
                <w:b/>
                <w:sz w:val="18"/>
                <w:szCs w:val="18"/>
              </w:rPr>
            </w:pPr>
            <w:r w:rsidRPr="00645119">
              <w:rPr>
                <w:rFonts w:cs="Arial"/>
                <w:b/>
                <w:sz w:val="18"/>
                <w:szCs w:val="18"/>
              </w:rPr>
              <w:t xml:space="preserve">10,845 </w:t>
            </w:r>
          </w:p>
        </w:tc>
        <w:tc>
          <w:tcPr>
            <w:tcW w:w="1559" w:type="dxa"/>
            <w:tcBorders>
              <w:top w:val="nil"/>
              <w:left w:val="nil"/>
              <w:bottom w:val="nil"/>
              <w:right w:val="nil"/>
            </w:tcBorders>
            <w:shd w:val="clear" w:color="FFFFFF" w:fill="FFFFFF"/>
            <w:noWrap/>
            <w:hideMark/>
          </w:tcPr>
          <w:p w14:paraId="6C0BECD6" w14:textId="77777777" w:rsidR="00AB6753" w:rsidRPr="00645119" w:rsidRDefault="00AB6753" w:rsidP="002D1EA4">
            <w:pPr>
              <w:spacing w:after="0"/>
              <w:jc w:val="right"/>
              <w:rPr>
                <w:rFonts w:cs="Arial"/>
                <w:b/>
                <w:sz w:val="18"/>
                <w:szCs w:val="18"/>
              </w:rPr>
            </w:pPr>
            <w:r w:rsidRPr="00645119">
              <w:rPr>
                <w:rFonts w:cs="Arial"/>
                <w:b/>
                <w:sz w:val="18"/>
                <w:szCs w:val="18"/>
              </w:rPr>
              <w:t>(5,081)</w:t>
            </w:r>
          </w:p>
        </w:tc>
        <w:tc>
          <w:tcPr>
            <w:tcW w:w="1701" w:type="dxa"/>
            <w:tcBorders>
              <w:top w:val="nil"/>
              <w:left w:val="nil"/>
              <w:bottom w:val="nil"/>
              <w:right w:val="nil"/>
            </w:tcBorders>
            <w:shd w:val="clear" w:color="FFFFFF" w:fill="FFFFFF"/>
            <w:noWrap/>
            <w:hideMark/>
          </w:tcPr>
          <w:p w14:paraId="2089CC99" w14:textId="77777777" w:rsidR="00AB6753" w:rsidRPr="00645119" w:rsidRDefault="00AB6753" w:rsidP="002D1EA4">
            <w:pPr>
              <w:spacing w:after="0"/>
              <w:jc w:val="right"/>
              <w:rPr>
                <w:rFonts w:cs="Arial"/>
                <w:b/>
                <w:sz w:val="18"/>
                <w:szCs w:val="18"/>
              </w:rPr>
            </w:pPr>
            <w:r w:rsidRPr="00645119">
              <w:rPr>
                <w:rFonts w:cs="Arial"/>
                <w:b/>
                <w:sz w:val="18"/>
                <w:szCs w:val="18"/>
              </w:rPr>
              <w:t xml:space="preserve">5,764 </w:t>
            </w:r>
          </w:p>
        </w:tc>
        <w:tc>
          <w:tcPr>
            <w:tcW w:w="2410" w:type="dxa"/>
            <w:tcBorders>
              <w:top w:val="nil"/>
              <w:left w:val="nil"/>
              <w:bottom w:val="nil"/>
              <w:right w:val="nil"/>
            </w:tcBorders>
            <w:shd w:val="clear" w:color="FFFFFF" w:fill="FFFFFF"/>
            <w:noWrap/>
            <w:hideMark/>
          </w:tcPr>
          <w:p w14:paraId="617AD0FD" w14:textId="77777777" w:rsidR="00AB6753" w:rsidRPr="00645119" w:rsidRDefault="00AB6753" w:rsidP="002D1EA4">
            <w:pPr>
              <w:spacing w:after="0"/>
              <w:jc w:val="right"/>
              <w:rPr>
                <w:rFonts w:cs="Arial"/>
                <w:b/>
                <w:sz w:val="18"/>
                <w:szCs w:val="18"/>
              </w:rPr>
            </w:pPr>
            <w:r w:rsidRPr="00645119">
              <w:rPr>
                <w:rFonts w:cs="Arial"/>
                <w:b/>
                <w:sz w:val="18"/>
                <w:szCs w:val="18"/>
              </w:rPr>
              <w:t>(6,894)</w:t>
            </w:r>
          </w:p>
        </w:tc>
        <w:tc>
          <w:tcPr>
            <w:tcW w:w="1417" w:type="dxa"/>
            <w:tcBorders>
              <w:top w:val="nil"/>
              <w:left w:val="nil"/>
              <w:bottom w:val="nil"/>
              <w:right w:val="nil"/>
            </w:tcBorders>
            <w:shd w:val="clear" w:color="FFFFFF" w:fill="FFFFFF"/>
            <w:noWrap/>
            <w:hideMark/>
          </w:tcPr>
          <w:p w14:paraId="3FB057B9" w14:textId="77777777" w:rsidR="00AB6753" w:rsidRPr="00645119" w:rsidRDefault="00AB6753" w:rsidP="002D1EA4">
            <w:pPr>
              <w:spacing w:after="0"/>
              <w:jc w:val="right"/>
              <w:rPr>
                <w:rFonts w:cs="Arial"/>
                <w:b/>
                <w:sz w:val="18"/>
                <w:szCs w:val="18"/>
              </w:rPr>
            </w:pPr>
            <w:r w:rsidRPr="00645119">
              <w:rPr>
                <w:rFonts w:cs="Arial"/>
                <w:b/>
                <w:sz w:val="18"/>
                <w:szCs w:val="18"/>
              </w:rPr>
              <w:t>(1,130)</w:t>
            </w:r>
          </w:p>
        </w:tc>
      </w:tr>
      <w:tr w:rsidR="00AB6753" w:rsidRPr="00645119" w14:paraId="3C618946" w14:textId="77777777" w:rsidTr="002D1EA4">
        <w:trPr>
          <w:trHeight w:val="227"/>
        </w:trPr>
        <w:tc>
          <w:tcPr>
            <w:tcW w:w="5982" w:type="dxa"/>
            <w:tcBorders>
              <w:top w:val="single" w:sz="4" w:space="0" w:color="auto"/>
              <w:left w:val="nil"/>
              <w:bottom w:val="single" w:sz="4" w:space="0" w:color="auto"/>
              <w:right w:val="nil"/>
            </w:tcBorders>
            <w:shd w:val="clear" w:color="auto" w:fill="auto"/>
            <w:vAlign w:val="bottom"/>
            <w:hideMark/>
          </w:tcPr>
          <w:p w14:paraId="15EEFAD5" w14:textId="77777777" w:rsidR="00AB6753" w:rsidRPr="00645119" w:rsidRDefault="00AB6753" w:rsidP="002D1EA4">
            <w:pPr>
              <w:spacing w:after="0" w:line="240" w:lineRule="auto"/>
              <w:rPr>
                <w:rFonts w:cs="Arial"/>
                <w:b/>
                <w:bCs/>
                <w:sz w:val="18"/>
                <w:szCs w:val="18"/>
              </w:rPr>
            </w:pPr>
            <w:r w:rsidRPr="00645119">
              <w:rPr>
                <w:rFonts w:cs="Arial"/>
                <w:b/>
                <w:bCs/>
                <w:sz w:val="18"/>
                <w:szCs w:val="18"/>
              </w:rPr>
              <w:t>Total departmental</w:t>
            </w:r>
          </w:p>
        </w:tc>
        <w:tc>
          <w:tcPr>
            <w:tcW w:w="1701" w:type="dxa"/>
            <w:tcBorders>
              <w:top w:val="single" w:sz="4" w:space="0" w:color="auto"/>
              <w:left w:val="nil"/>
              <w:bottom w:val="single" w:sz="4" w:space="0" w:color="auto"/>
              <w:right w:val="nil"/>
            </w:tcBorders>
            <w:shd w:val="clear" w:color="auto" w:fill="auto"/>
            <w:noWrap/>
            <w:hideMark/>
          </w:tcPr>
          <w:p w14:paraId="0C197940" w14:textId="77777777" w:rsidR="00AB6753" w:rsidRPr="00645119" w:rsidRDefault="00AB6753" w:rsidP="002D1EA4">
            <w:pPr>
              <w:spacing w:after="0"/>
              <w:jc w:val="right"/>
              <w:rPr>
                <w:rFonts w:cs="Arial"/>
                <w:b/>
                <w:sz w:val="18"/>
                <w:szCs w:val="18"/>
              </w:rPr>
            </w:pPr>
            <w:r w:rsidRPr="00645119">
              <w:rPr>
                <w:rFonts w:cs="Arial"/>
                <w:b/>
                <w:sz w:val="18"/>
                <w:szCs w:val="18"/>
              </w:rPr>
              <w:t xml:space="preserve">461,811 </w:t>
            </w:r>
          </w:p>
        </w:tc>
        <w:tc>
          <w:tcPr>
            <w:tcW w:w="1559" w:type="dxa"/>
            <w:tcBorders>
              <w:top w:val="single" w:sz="4" w:space="0" w:color="auto"/>
              <w:left w:val="nil"/>
              <w:bottom w:val="single" w:sz="4" w:space="0" w:color="auto"/>
              <w:right w:val="nil"/>
            </w:tcBorders>
            <w:shd w:val="clear" w:color="auto" w:fill="auto"/>
            <w:noWrap/>
            <w:hideMark/>
          </w:tcPr>
          <w:p w14:paraId="484D44BF" w14:textId="77777777" w:rsidR="00AB6753" w:rsidRPr="00645119" w:rsidRDefault="00AB6753" w:rsidP="002D1EA4">
            <w:pPr>
              <w:spacing w:after="0"/>
              <w:jc w:val="right"/>
              <w:rPr>
                <w:rFonts w:cs="Arial"/>
                <w:b/>
                <w:sz w:val="18"/>
                <w:szCs w:val="18"/>
              </w:rPr>
            </w:pPr>
            <w:r w:rsidRPr="00645119">
              <w:rPr>
                <w:rFonts w:cs="Arial"/>
                <w:b/>
                <w:sz w:val="18"/>
                <w:szCs w:val="18"/>
              </w:rPr>
              <w:t xml:space="preserve">29,140 </w:t>
            </w:r>
          </w:p>
        </w:tc>
        <w:tc>
          <w:tcPr>
            <w:tcW w:w="1701" w:type="dxa"/>
            <w:tcBorders>
              <w:top w:val="single" w:sz="4" w:space="0" w:color="auto"/>
              <w:left w:val="nil"/>
              <w:bottom w:val="single" w:sz="4" w:space="0" w:color="auto"/>
              <w:right w:val="nil"/>
            </w:tcBorders>
            <w:shd w:val="clear" w:color="auto" w:fill="auto"/>
            <w:noWrap/>
            <w:hideMark/>
          </w:tcPr>
          <w:p w14:paraId="57532B94" w14:textId="77777777" w:rsidR="00AB6753" w:rsidRPr="00645119" w:rsidRDefault="00AB6753" w:rsidP="002D1EA4">
            <w:pPr>
              <w:spacing w:after="0"/>
              <w:jc w:val="right"/>
              <w:rPr>
                <w:rFonts w:cs="Arial"/>
                <w:b/>
                <w:sz w:val="18"/>
                <w:szCs w:val="18"/>
              </w:rPr>
            </w:pPr>
            <w:r w:rsidRPr="00645119">
              <w:rPr>
                <w:rFonts w:cs="Arial"/>
                <w:b/>
                <w:sz w:val="18"/>
                <w:szCs w:val="18"/>
              </w:rPr>
              <w:t xml:space="preserve">490,951 </w:t>
            </w:r>
          </w:p>
        </w:tc>
        <w:tc>
          <w:tcPr>
            <w:tcW w:w="2410" w:type="dxa"/>
            <w:tcBorders>
              <w:top w:val="single" w:sz="4" w:space="0" w:color="auto"/>
              <w:left w:val="nil"/>
              <w:bottom w:val="single" w:sz="4" w:space="0" w:color="auto"/>
              <w:right w:val="nil"/>
            </w:tcBorders>
            <w:shd w:val="clear" w:color="auto" w:fill="auto"/>
            <w:noWrap/>
            <w:hideMark/>
          </w:tcPr>
          <w:p w14:paraId="2CBB9E97" w14:textId="77777777" w:rsidR="00AB6753" w:rsidRPr="00645119" w:rsidRDefault="00AB6753" w:rsidP="002D1EA4">
            <w:pPr>
              <w:spacing w:after="0"/>
              <w:jc w:val="right"/>
              <w:rPr>
                <w:rFonts w:cs="Arial"/>
                <w:b/>
                <w:sz w:val="18"/>
                <w:szCs w:val="18"/>
              </w:rPr>
            </w:pPr>
            <w:r w:rsidRPr="00645119">
              <w:rPr>
                <w:rFonts w:cs="Arial"/>
                <w:b/>
                <w:sz w:val="18"/>
                <w:szCs w:val="18"/>
              </w:rPr>
              <w:t>(484,283)</w:t>
            </w:r>
          </w:p>
        </w:tc>
        <w:tc>
          <w:tcPr>
            <w:tcW w:w="1417" w:type="dxa"/>
            <w:tcBorders>
              <w:top w:val="single" w:sz="4" w:space="0" w:color="auto"/>
              <w:left w:val="nil"/>
              <w:bottom w:val="single" w:sz="4" w:space="0" w:color="auto"/>
              <w:right w:val="nil"/>
            </w:tcBorders>
            <w:shd w:val="clear" w:color="auto" w:fill="auto"/>
            <w:noWrap/>
            <w:hideMark/>
          </w:tcPr>
          <w:p w14:paraId="34BFC7D2" w14:textId="77777777" w:rsidR="00AB6753" w:rsidRPr="00645119" w:rsidRDefault="00AB6753" w:rsidP="002D1EA4">
            <w:pPr>
              <w:spacing w:after="0"/>
              <w:jc w:val="right"/>
              <w:rPr>
                <w:rFonts w:cs="Arial"/>
                <w:b/>
                <w:sz w:val="18"/>
                <w:szCs w:val="18"/>
              </w:rPr>
            </w:pPr>
            <w:r w:rsidRPr="00645119">
              <w:rPr>
                <w:rFonts w:cs="Arial"/>
                <w:b/>
                <w:sz w:val="18"/>
                <w:szCs w:val="18"/>
              </w:rPr>
              <w:t xml:space="preserve">6,668 </w:t>
            </w:r>
          </w:p>
        </w:tc>
      </w:tr>
      <w:tr w:rsidR="00AB6753" w:rsidRPr="00645119" w14:paraId="70421345" w14:textId="77777777" w:rsidTr="002D1EA4">
        <w:trPr>
          <w:trHeight w:val="227"/>
        </w:trPr>
        <w:tc>
          <w:tcPr>
            <w:tcW w:w="5982" w:type="dxa"/>
            <w:tcBorders>
              <w:top w:val="nil"/>
              <w:left w:val="nil"/>
              <w:bottom w:val="nil"/>
              <w:right w:val="nil"/>
            </w:tcBorders>
            <w:shd w:val="clear" w:color="000000" w:fill="D9D9D9"/>
            <w:vAlign w:val="bottom"/>
            <w:hideMark/>
          </w:tcPr>
          <w:p w14:paraId="04DC0EEF" w14:textId="77777777" w:rsidR="00AB6753" w:rsidRPr="00645119" w:rsidRDefault="00AB6753" w:rsidP="002D1EA4">
            <w:pPr>
              <w:spacing w:after="0" w:line="240" w:lineRule="auto"/>
              <w:rPr>
                <w:rFonts w:cs="Arial"/>
                <w:b/>
                <w:bCs/>
                <w:sz w:val="18"/>
                <w:szCs w:val="18"/>
              </w:rPr>
            </w:pPr>
            <w:r w:rsidRPr="00645119">
              <w:rPr>
                <w:rFonts w:cs="Arial"/>
                <w:b/>
                <w:bCs/>
                <w:sz w:val="18"/>
                <w:szCs w:val="18"/>
              </w:rPr>
              <w:t>Administered</w:t>
            </w:r>
          </w:p>
        </w:tc>
        <w:tc>
          <w:tcPr>
            <w:tcW w:w="1701" w:type="dxa"/>
            <w:tcBorders>
              <w:top w:val="nil"/>
              <w:left w:val="nil"/>
              <w:bottom w:val="nil"/>
              <w:right w:val="nil"/>
            </w:tcBorders>
            <w:shd w:val="clear" w:color="000000" w:fill="D9D9D9"/>
            <w:noWrap/>
            <w:vAlign w:val="bottom"/>
            <w:hideMark/>
          </w:tcPr>
          <w:p w14:paraId="0935ABC3" w14:textId="77777777" w:rsidR="00AB6753" w:rsidRPr="00645119" w:rsidRDefault="00AB6753" w:rsidP="002D1EA4">
            <w:pPr>
              <w:spacing w:after="0" w:line="240" w:lineRule="auto"/>
              <w:rPr>
                <w:rFonts w:cs="Arial"/>
                <w:sz w:val="18"/>
                <w:szCs w:val="18"/>
              </w:rPr>
            </w:pPr>
            <w:r w:rsidRPr="00645119">
              <w:rPr>
                <w:rFonts w:cs="Arial"/>
                <w:sz w:val="18"/>
                <w:szCs w:val="18"/>
              </w:rPr>
              <w:t> </w:t>
            </w:r>
          </w:p>
        </w:tc>
        <w:tc>
          <w:tcPr>
            <w:tcW w:w="1559" w:type="dxa"/>
            <w:tcBorders>
              <w:top w:val="nil"/>
              <w:left w:val="nil"/>
              <w:bottom w:val="nil"/>
              <w:right w:val="nil"/>
            </w:tcBorders>
            <w:shd w:val="clear" w:color="000000" w:fill="D9D9D9"/>
            <w:noWrap/>
            <w:vAlign w:val="bottom"/>
            <w:hideMark/>
          </w:tcPr>
          <w:p w14:paraId="6B0B0F82" w14:textId="77777777" w:rsidR="00AB6753" w:rsidRPr="00645119" w:rsidRDefault="00AB6753" w:rsidP="002D1EA4">
            <w:pPr>
              <w:spacing w:after="0" w:line="240" w:lineRule="auto"/>
              <w:rPr>
                <w:rFonts w:cs="Arial"/>
                <w:sz w:val="18"/>
                <w:szCs w:val="18"/>
              </w:rPr>
            </w:pPr>
            <w:r w:rsidRPr="00645119">
              <w:rPr>
                <w:rFonts w:cs="Arial"/>
                <w:sz w:val="18"/>
                <w:szCs w:val="18"/>
              </w:rPr>
              <w:t> </w:t>
            </w:r>
          </w:p>
        </w:tc>
        <w:tc>
          <w:tcPr>
            <w:tcW w:w="1701" w:type="dxa"/>
            <w:tcBorders>
              <w:top w:val="nil"/>
              <w:left w:val="nil"/>
              <w:bottom w:val="nil"/>
              <w:right w:val="nil"/>
            </w:tcBorders>
            <w:shd w:val="clear" w:color="000000" w:fill="D9D9D9"/>
            <w:noWrap/>
            <w:vAlign w:val="bottom"/>
            <w:hideMark/>
          </w:tcPr>
          <w:p w14:paraId="225EECDC" w14:textId="77777777" w:rsidR="00AB6753" w:rsidRPr="00645119" w:rsidRDefault="00AB6753" w:rsidP="002D1EA4">
            <w:pPr>
              <w:spacing w:after="0" w:line="240" w:lineRule="auto"/>
              <w:rPr>
                <w:rFonts w:cs="Arial"/>
                <w:sz w:val="18"/>
                <w:szCs w:val="18"/>
              </w:rPr>
            </w:pPr>
            <w:r w:rsidRPr="00645119">
              <w:rPr>
                <w:rFonts w:cs="Arial"/>
                <w:sz w:val="18"/>
                <w:szCs w:val="18"/>
              </w:rPr>
              <w:t> </w:t>
            </w:r>
          </w:p>
        </w:tc>
        <w:tc>
          <w:tcPr>
            <w:tcW w:w="2410" w:type="dxa"/>
            <w:tcBorders>
              <w:top w:val="nil"/>
              <w:left w:val="nil"/>
              <w:bottom w:val="nil"/>
              <w:right w:val="nil"/>
            </w:tcBorders>
            <w:shd w:val="clear" w:color="000000" w:fill="D9D9D9"/>
            <w:noWrap/>
            <w:vAlign w:val="bottom"/>
            <w:hideMark/>
          </w:tcPr>
          <w:p w14:paraId="2EB16680" w14:textId="77777777" w:rsidR="00AB6753" w:rsidRPr="00645119" w:rsidRDefault="00AB6753" w:rsidP="002D1EA4">
            <w:pPr>
              <w:spacing w:after="0" w:line="240" w:lineRule="auto"/>
              <w:rPr>
                <w:rFonts w:cs="Arial"/>
                <w:sz w:val="18"/>
                <w:szCs w:val="18"/>
              </w:rPr>
            </w:pPr>
            <w:r w:rsidRPr="00645119">
              <w:rPr>
                <w:rFonts w:cs="Arial"/>
                <w:sz w:val="18"/>
                <w:szCs w:val="18"/>
              </w:rPr>
              <w:t> </w:t>
            </w:r>
          </w:p>
        </w:tc>
        <w:tc>
          <w:tcPr>
            <w:tcW w:w="1417" w:type="dxa"/>
            <w:tcBorders>
              <w:top w:val="nil"/>
              <w:left w:val="nil"/>
              <w:bottom w:val="nil"/>
              <w:right w:val="nil"/>
            </w:tcBorders>
            <w:shd w:val="clear" w:color="000000" w:fill="D9D9D9"/>
            <w:noWrap/>
            <w:vAlign w:val="bottom"/>
            <w:hideMark/>
          </w:tcPr>
          <w:p w14:paraId="66B60747" w14:textId="77777777" w:rsidR="00AB6753" w:rsidRPr="00645119" w:rsidRDefault="00AB6753" w:rsidP="002D1EA4">
            <w:pPr>
              <w:spacing w:after="0" w:line="240" w:lineRule="auto"/>
              <w:rPr>
                <w:rFonts w:cs="Arial"/>
                <w:sz w:val="18"/>
                <w:szCs w:val="18"/>
              </w:rPr>
            </w:pPr>
            <w:r w:rsidRPr="00645119">
              <w:rPr>
                <w:rFonts w:cs="Arial"/>
                <w:sz w:val="18"/>
                <w:szCs w:val="18"/>
              </w:rPr>
              <w:t> </w:t>
            </w:r>
          </w:p>
        </w:tc>
      </w:tr>
      <w:tr w:rsidR="00AB6753" w:rsidRPr="00645119" w14:paraId="5C4F6C41" w14:textId="77777777" w:rsidTr="002D1EA4">
        <w:trPr>
          <w:trHeight w:val="227"/>
        </w:trPr>
        <w:tc>
          <w:tcPr>
            <w:tcW w:w="5982" w:type="dxa"/>
            <w:tcBorders>
              <w:top w:val="nil"/>
              <w:left w:val="nil"/>
              <w:bottom w:val="single" w:sz="4" w:space="0" w:color="D9D9D9"/>
              <w:right w:val="nil"/>
            </w:tcBorders>
            <w:shd w:val="clear" w:color="000000" w:fill="D9D9D9"/>
            <w:vAlign w:val="bottom"/>
            <w:hideMark/>
          </w:tcPr>
          <w:p w14:paraId="31EA2E29" w14:textId="77777777" w:rsidR="00AB6753" w:rsidRPr="00645119" w:rsidRDefault="00AB6753" w:rsidP="002D1EA4">
            <w:pPr>
              <w:spacing w:after="0" w:line="240" w:lineRule="auto"/>
              <w:ind w:leftChars="100" w:left="220"/>
              <w:rPr>
                <w:rFonts w:cs="Arial"/>
                <w:iCs/>
                <w:sz w:val="18"/>
                <w:szCs w:val="18"/>
              </w:rPr>
            </w:pPr>
            <w:r w:rsidRPr="00645119">
              <w:rPr>
                <w:rFonts w:cs="Arial"/>
                <w:iCs/>
                <w:sz w:val="18"/>
                <w:szCs w:val="18"/>
              </w:rPr>
              <w:t>Ordinary annual services</w:t>
            </w:r>
          </w:p>
        </w:tc>
        <w:tc>
          <w:tcPr>
            <w:tcW w:w="1701" w:type="dxa"/>
            <w:tcBorders>
              <w:top w:val="nil"/>
              <w:left w:val="nil"/>
              <w:bottom w:val="nil"/>
              <w:right w:val="nil"/>
            </w:tcBorders>
            <w:shd w:val="clear" w:color="000000" w:fill="D9D9D9"/>
            <w:noWrap/>
            <w:vAlign w:val="bottom"/>
          </w:tcPr>
          <w:p w14:paraId="7FF9AA8A" w14:textId="77777777" w:rsidR="00AB6753" w:rsidRPr="00645119" w:rsidRDefault="00AB6753" w:rsidP="002D1EA4">
            <w:pPr>
              <w:spacing w:after="0" w:line="240" w:lineRule="auto"/>
              <w:jc w:val="right"/>
              <w:rPr>
                <w:rFonts w:cs="Arial"/>
                <w:b/>
                <w:bCs/>
                <w:sz w:val="18"/>
                <w:szCs w:val="18"/>
              </w:rPr>
            </w:pPr>
          </w:p>
        </w:tc>
        <w:tc>
          <w:tcPr>
            <w:tcW w:w="1559" w:type="dxa"/>
            <w:tcBorders>
              <w:top w:val="nil"/>
              <w:left w:val="nil"/>
              <w:bottom w:val="nil"/>
              <w:right w:val="nil"/>
            </w:tcBorders>
            <w:shd w:val="clear" w:color="000000" w:fill="D9D9D9"/>
            <w:noWrap/>
            <w:vAlign w:val="bottom"/>
          </w:tcPr>
          <w:p w14:paraId="2810738F" w14:textId="77777777" w:rsidR="00AB6753" w:rsidRPr="00645119" w:rsidRDefault="00AB6753" w:rsidP="002D1EA4">
            <w:pPr>
              <w:spacing w:after="0" w:line="240" w:lineRule="auto"/>
              <w:jc w:val="right"/>
              <w:rPr>
                <w:rFonts w:cs="Arial"/>
                <w:b/>
                <w:bCs/>
                <w:sz w:val="18"/>
                <w:szCs w:val="18"/>
              </w:rPr>
            </w:pPr>
          </w:p>
        </w:tc>
        <w:tc>
          <w:tcPr>
            <w:tcW w:w="1701" w:type="dxa"/>
            <w:tcBorders>
              <w:top w:val="nil"/>
              <w:left w:val="nil"/>
              <w:bottom w:val="nil"/>
              <w:right w:val="nil"/>
            </w:tcBorders>
            <w:shd w:val="clear" w:color="000000" w:fill="D9D9D9"/>
            <w:noWrap/>
            <w:vAlign w:val="bottom"/>
          </w:tcPr>
          <w:p w14:paraId="1A2DFF81" w14:textId="77777777" w:rsidR="00AB6753" w:rsidRPr="00645119" w:rsidRDefault="00AB6753" w:rsidP="002D1EA4">
            <w:pPr>
              <w:spacing w:after="0" w:line="240" w:lineRule="auto"/>
              <w:jc w:val="right"/>
              <w:rPr>
                <w:rFonts w:cs="Arial"/>
                <w:b/>
                <w:bCs/>
                <w:sz w:val="18"/>
                <w:szCs w:val="18"/>
              </w:rPr>
            </w:pPr>
          </w:p>
        </w:tc>
        <w:tc>
          <w:tcPr>
            <w:tcW w:w="2410" w:type="dxa"/>
            <w:tcBorders>
              <w:top w:val="nil"/>
              <w:left w:val="nil"/>
              <w:bottom w:val="nil"/>
              <w:right w:val="nil"/>
            </w:tcBorders>
            <w:shd w:val="clear" w:color="000000" w:fill="D9D9D9"/>
            <w:noWrap/>
            <w:vAlign w:val="bottom"/>
          </w:tcPr>
          <w:p w14:paraId="71AFC76F" w14:textId="77777777" w:rsidR="00AB6753" w:rsidRPr="00645119" w:rsidRDefault="00AB6753" w:rsidP="002D1EA4">
            <w:pPr>
              <w:spacing w:after="0" w:line="240" w:lineRule="auto"/>
              <w:jc w:val="right"/>
              <w:rPr>
                <w:rFonts w:cs="Arial"/>
                <w:b/>
                <w:bCs/>
                <w:sz w:val="18"/>
                <w:szCs w:val="18"/>
              </w:rPr>
            </w:pPr>
          </w:p>
        </w:tc>
        <w:tc>
          <w:tcPr>
            <w:tcW w:w="1417" w:type="dxa"/>
            <w:tcBorders>
              <w:top w:val="nil"/>
              <w:left w:val="nil"/>
              <w:bottom w:val="nil"/>
              <w:right w:val="nil"/>
            </w:tcBorders>
            <w:shd w:val="clear" w:color="000000" w:fill="D9D9D9"/>
            <w:noWrap/>
            <w:vAlign w:val="bottom"/>
          </w:tcPr>
          <w:p w14:paraId="7F82E9C7" w14:textId="77777777" w:rsidR="00AB6753" w:rsidRPr="00645119" w:rsidRDefault="00AB6753" w:rsidP="002D1EA4">
            <w:pPr>
              <w:spacing w:after="0" w:line="240" w:lineRule="auto"/>
              <w:jc w:val="right"/>
              <w:rPr>
                <w:rFonts w:cs="Arial"/>
                <w:b/>
                <w:bCs/>
                <w:sz w:val="18"/>
                <w:szCs w:val="18"/>
              </w:rPr>
            </w:pPr>
          </w:p>
        </w:tc>
      </w:tr>
      <w:tr w:rsidR="00AB6753" w:rsidRPr="00645119" w14:paraId="27F317B2" w14:textId="77777777" w:rsidTr="002D1EA4">
        <w:trPr>
          <w:trHeight w:val="227"/>
        </w:trPr>
        <w:tc>
          <w:tcPr>
            <w:tcW w:w="5982" w:type="dxa"/>
            <w:tcBorders>
              <w:top w:val="nil"/>
              <w:left w:val="nil"/>
              <w:bottom w:val="single" w:sz="4" w:space="0" w:color="D9D9D9"/>
              <w:right w:val="nil"/>
            </w:tcBorders>
            <w:shd w:val="clear" w:color="000000" w:fill="D9D9D9"/>
            <w:vAlign w:val="bottom"/>
            <w:hideMark/>
          </w:tcPr>
          <w:p w14:paraId="6DF8E848" w14:textId="77777777" w:rsidR="00AB6753" w:rsidRPr="00645119" w:rsidRDefault="00AB6753" w:rsidP="002D1EA4">
            <w:pPr>
              <w:spacing w:after="0" w:line="240" w:lineRule="auto"/>
              <w:ind w:leftChars="200" w:left="440"/>
              <w:rPr>
                <w:rFonts w:cs="Arial"/>
                <w:i/>
                <w:iCs/>
                <w:sz w:val="18"/>
                <w:szCs w:val="18"/>
              </w:rPr>
            </w:pPr>
            <w:r w:rsidRPr="00645119">
              <w:rPr>
                <w:rFonts w:cs="Arial"/>
                <w:iCs/>
                <w:sz w:val="18"/>
                <w:szCs w:val="18"/>
              </w:rPr>
              <w:t>Administered items</w:t>
            </w:r>
          </w:p>
        </w:tc>
        <w:tc>
          <w:tcPr>
            <w:tcW w:w="1701" w:type="dxa"/>
            <w:tcBorders>
              <w:top w:val="nil"/>
              <w:left w:val="nil"/>
              <w:bottom w:val="nil"/>
              <w:right w:val="nil"/>
            </w:tcBorders>
            <w:shd w:val="clear" w:color="000000" w:fill="D9D9D9"/>
            <w:noWrap/>
            <w:hideMark/>
          </w:tcPr>
          <w:p w14:paraId="00F3F6DD" w14:textId="77777777" w:rsidR="00AB6753" w:rsidRPr="00645119" w:rsidRDefault="00AB6753" w:rsidP="002D1EA4">
            <w:pPr>
              <w:spacing w:after="0"/>
              <w:jc w:val="right"/>
              <w:rPr>
                <w:rFonts w:cs="Arial"/>
                <w:b/>
                <w:sz w:val="18"/>
                <w:szCs w:val="18"/>
              </w:rPr>
            </w:pPr>
            <w:r w:rsidRPr="00645119">
              <w:rPr>
                <w:rFonts w:cs="Arial"/>
                <w:b/>
                <w:sz w:val="18"/>
                <w:szCs w:val="18"/>
              </w:rPr>
              <w:t xml:space="preserve">9,729,619 </w:t>
            </w:r>
          </w:p>
        </w:tc>
        <w:tc>
          <w:tcPr>
            <w:tcW w:w="1559" w:type="dxa"/>
            <w:tcBorders>
              <w:top w:val="nil"/>
              <w:left w:val="nil"/>
              <w:bottom w:val="nil"/>
              <w:right w:val="nil"/>
            </w:tcBorders>
            <w:shd w:val="clear" w:color="000000" w:fill="D9D9D9"/>
            <w:noWrap/>
            <w:hideMark/>
          </w:tcPr>
          <w:p w14:paraId="2A52348F" w14:textId="77777777" w:rsidR="00AB6753" w:rsidRPr="00645119" w:rsidRDefault="00AB6753" w:rsidP="002D1EA4">
            <w:pPr>
              <w:spacing w:after="0"/>
              <w:jc w:val="right"/>
              <w:rPr>
                <w:rFonts w:cs="Arial"/>
                <w:b/>
                <w:sz w:val="18"/>
                <w:szCs w:val="18"/>
              </w:rPr>
            </w:pPr>
            <w:r w:rsidRPr="00645119">
              <w:rPr>
                <w:rFonts w:cs="Arial"/>
                <w:b/>
                <w:sz w:val="18"/>
                <w:szCs w:val="18"/>
              </w:rPr>
              <w:t>(83,335)</w:t>
            </w:r>
          </w:p>
        </w:tc>
        <w:tc>
          <w:tcPr>
            <w:tcW w:w="1701" w:type="dxa"/>
            <w:tcBorders>
              <w:top w:val="nil"/>
              <w:left w:val="nil"/>
              <w:bottom w:val="nil"/>
              <w:right w:val="nil"/>
            </w:tcBorders>
            <w:shd w:val="clear" w:color="000000" w:fill="D9D9D9"/>
            <w:noWrap/>
            <w:hideMark/>
          </w:tcPr>
          <w:p w14:paraId="2EB7153D" w14:textId="77777777" w:rsidR="00AB6753" w:rsidRPr="00645119" w:rsidRDefault="00AB6753" w:rsidP="002D1EA4">
            <w:pPr>
              <w:spacing w:after="0"/>
              <w:jc w:val="right"/>
              <w:rPr>
                <w:rFonts w:cs="Arial"/>
                <w:b/>
                <w:sz w:val="18"/>
                <w:szCs w:val="18"/>
              </w:rPr>
            </w:pPr>
            <w:r w:rsidRPr="00645119">
              <w:rPr>
                <w:rFonts w:cs="Arial"/>
                <w:b/>
                <w:sz w:val="18"/>
                <w:szCs w:val="18"/>
              </w:rPr>
              <w:t xml:space="preserve">9,646,284 </w:t>
            </w:r>
          </w:p>
        </w:tc>
        <w:tc>
          <w:tcPr>
            <w:tcW w:w="2410" w:type="dxa"/>
            <w:tcBorders>
              <w:top w:val="nil"/>
              <w:left w:val="nil"/>
              <w:bottom w:val="nil"/>
              <w:right w:val="nil"/>
            </w:tcBorders>
            <w:shd w:val="clear" w:color="000000" w:fill="D9D9D9"/>
            <w:noWrap/>
            <w:hideMark/>
          </w:tcPr>
          <w:p w14:paraId="40B6887C" w14:textId="77777777" w:rsidR="00AB6753" w:rsidRPr="00645119" w:rsidRDefault="00AB6753" w:rsidP="002D1EA4">
            <w:pPr>
              <w:spacing w:after="0"/>
              <w:jc w:val="right"/>
              <w:rPr>
                <w:rFonts w:cs="Arial"/>
                <w:b/>
                <w:sz w:val="18"/>
                <w:szCs w:val="18"/>
              </w:rPr>
            </w:pPr>
            <w:r w:rsidRPr="00645119">
              <w:rPr>
                <w:rFonts w:cs="Arial"/>
                <w:b/>
                <w:sz w:val="18"/>
                <w:szCs w:val="18"/>
              </w:rPr>
              <w:t>(9,523,826)</w:t>
            </w:r>
          </w:p>
        </w:tc>
        <w:tc>
          <w:tcPr>
            <w:tcW w:w="1417" w:type="dxa"/>
            <w:tcBorders>
              <w:top w:val="nil"/>
              <w:left w:val="nil"/>
              <w:bottom w:val="nil"/>
              <w:right w:val="nil"/>
            </w:tcBorders>
            <w:shd w:val="clear" w:color="000000" w:fill="D9D9D9"/>
            <w:noWrap/>
            <w:hideMark/>
          </w:tcPr>
          <w:p w14:paraId="359ECB89" w14:textId="77777777" w:rsidR="00AB6753" w:rsidRPr="00645119" w:rsidRDefault="00AB6753" w:rsidP="002D1EA4">
            <w:pPr>
              <w:spacing w:after="0"/>
              <w:jc w:val="right"/>
              <w:rPr>
                <w:rFonts w:cs="Arial"/>
                <w:b/>
                <w:sz w:val="18"/>
                <w:szCs w:val="18"/>
              </w:rPr>
            </w:pPr>
            <w:r w:rsidRPr="00645119">
              <w:rPr>
                <w:rFonts w:cs="Arial"/>
                <w:b/>
                <w:sz w:val="18"/>
                <w:szCs w:val="18"/>
              </w:rPr>
              <w:t xml:space="preserve">122,458 </w:t>
            </w:r>
          </w:p>
        </w:tc>
      </w:tr>
      <w:tr w:rsidR="00AB6753" w:rsidRPr="00645119" w14:paraId="0DAB7C3A" w14:textId="77777777" w:rsidTr="002D1EA4">
        <w:trPr>
          <w:trHeight w:val="227"/>
        </w:trPr>
        <w:tc>
          <w:tcPr>
            <w:tcW w:w="5982" w:type="dxa"/>
            <w:tcBorders>
              <w:top w:val="nil"/>
              <w:left w:val="nil"/>
              <w:bottom w:val="single" w:sz="4" w:space="0" w:color="auto"/>
              <w:right w:val="nil"/>
            </w:tcBorders>
            <w:shd w:val="clear" w:color="000000" w:fill="D9D9D9"/>
            <w:vAlign w:val="bottom"/>
            <w:hideMark/>
          </w:tcPr>
          <w:p w14:paraId="33E0C1BC" w14:textId="77777777" w:rsidR="00AB6753" w:rsidRPr="00645119" w:rsidRDefault="00AB6753" w:rsidP="002D1EA4">
            <w:pPr>
              <w:spacing w:after="0" w:line="240" w:lineRule="auto"/>
              <w:ind w:leftChars="200" w:left="440"/>
              <w:rPr>
                <w:rFonts w:cs="Arial"/>
                <w:i/>
                <w:iCs/>
                <w:sz w:val="18"/>
                <w:szCs w:val="18"/>
              </w:rPr>
            </w:pPr>
            <w:r w:rsidRPr="00645119">
              <w:rPr>
                <w:rFonts w:cs="Arial"/>
                <w:iCs/>
                <w:sz w:val="18"/>
                <w:szCs w:val="18"/>
              </w:rPr>
              <w:t>Payments to corporate Commonwealth entities</w:t>
            </w:r>
          </w:p>
        </w:tc>
        <w:tc>
          <w:tcPr>
            <w:tcW w:w="1701" w:type="dxa"/>
            <w:tcBorders>
              <w:top w:val="nil"/>
              <w:left w:val="nil"/>
              <w:bottom w:val="nil"/>
              <w:right w:val="nil"/>
            </w:tcBorders>
            <w:shd w:val="clear" w:color="000000" w:fill="D9D9D9"/>
            <w:noWrap/>
            <w:hideMark/>
          </w:tcPr>
          <w:p w14:paraId="50751A5E" w14:textId="77777777" w:rsidR="00AB6753" w:rsidRPr="00645119" w:rsidRDefault="00AB6753" w:rsidP="002D1EA4">
            <w:pPr>
              <w:spacing w:after="0"/>
              <w:jc w:val="right"/>
              <w:rPr>
                <w:rFonts w:cs="Arial"/>
                <w:b/>
                <w:sz w:val="18"/>
                <w:szCs w:val="18"/>
              </w:rPr>
            </w:pPr>
            <w:r w:rsidRPr="00645119">
              <w:rPr>
                <w:rFonts w:cs="Arial"/>
                <w:b/>
                <w:sz w:val="18"/>
                <w:szCs w:val="18"/>
              </w:rPr>
              <w:t xml:space="preserve">1,413,257 </w:t>
            </w:r>
          </w:p>
        </w:tc>
        <w:tc>
          <w:tcPr>
            <w:tcW w:w="1559" w:type="dxa"/>
            <w:tcBorders>
              <w:top w:val="nil"/>
              <w:left w:val="nil"/>
              <w:bottom w:val="nil"/>
              <w:right w:val="nil"/>
            </w:tcBorders>
            <w:shd w:val="clear" w:color="000000" w:fill="D9D9D9"/>
            <w:noWrap/>
            <w:hideMark/>
          </w:tcPr>
          <w:p w14:paraId="37817685" w14:textId="77777777" w:rsidR="00AB6753" w:rsidRPr="00645119" w:rsidRDefault="00AB6753" w:rsidP="002D1EA4">
            <w:pPr>
              <w:spacing w:after="0"/>
              <w:jc w:val="right"/>
              <w:rPr>
                <w:rFonts w:cs="Arial"/>
                <w:b/>
                <w:sz w:val="18"/>
                <w:szCs w:val="18"/>
              </w:rPr>
            </w:pPr>
            <w:r w:rsidRPr="00645119">
              <w:rPr>
                <w:rFonts w:cs="Arial"/>
                <w:b/>
                <w:sz w:val="18"/>
                <w:szCs w:val="18"/>
              </w:rPr>
              <w:t xml:space="preserve"> -</w:t>
            </w:r>
          </w:p>
        </w:tc>
        <w:tc>
          <w:tcPr>
            <w:tcW w:w="1701" w:type="dxa"/>
            <w:tcBorders>
              <w:top w:val="nil"/>
              <w:left w:val="nil"/>
              <w:bottom w:val="nil"/>
              <w:right w:val="nil"/>
            </w:tcBorders>
            <w:shd w:val="clear" w:color="000000" w:fill="D9D9D9"/>
            <w:noWrap/>
            <w:hideMark/>
          </w:tcPr>
          <w:p w14:paraId="7CAC9525" w14:textId="77777777" w:rsidR="00AB6753" w:rsidRPr="00645119" w:rsidRDefault="00AB6753" w:rsidP="002D1EA4">
            <w:pPr>
              <w:spacing w:after="0"/>
              <w:jc w:val="right"/>
              <w:rPr>
                <w:rFonts w:cs="Arial"/>
                <w:b/>
                <w:sz w:val="18"/>
                <w:szCs w:val="18"/>
              </w:rPr>
            </w:pPr>
            <w:r w:rsidRPr="00645119">
              <w:rPr>
                <w:rFonts w:cs="Arial"/>
                <w:b/>
                <w:sz w:val="18"/>
                <w:szCs w:val="18"/>
              </w:rPr>
              <w:t xml:space="preserve">1,413,257 </w:t>
            </w:r>
          </w:p>
        </w:tc>
        <w:tc>
          <w:tcPr>
            <w:tcW w:w="2410" w:type="dxa"/>
            <w:tcBorders>
              <w:top w:val="nil"/>
              <w:left w:val="nil"/>
              <w:bottom w:val="nil"/>
              <w:right w:val="nil"/>
            </w:tcBorders>
            <w:shd w:val="clear" w:color="000000" w:fill="D9D9D9"/>
            <w:noWrap/>
            <w:hideMark/>
          </w:tcPr>
          <w:p w14:paraId="03E29B90" w14:textId="77777777" w:rsidR="00AB6753" w:rsidRPr="00645119" w:rsidRDefault="00AB6753" w:rsidP="002D1EA4">
            <w:pPr>
              <w:spacing w:after="0"/>
              <w:jc w:val="right"/>
              <w:rPr>
                <w:rFonts w:cs="Arial"/>
                <w:b/>
                <w:sz w:val="18"/>
                <w:szCs w:val="18"/>
              </w:rPr>
            </w:pPr>
            <w:r w:rsidRPr="00645119">
              <w:rPr>
                <w:rFonts w:cs="Arial"/>
                <w:b/>
                <w:sz w:val="18"/>
                <w:szCs w:val="18"/>
              </w:rPr>
              <w:t>(1,413,257)</w:t>
            </w:r>
          </w:p>
        </w:tc>
        <w:tc>
          <w:tcPr>
            <w:tcW w:w="1417" w:type="dxa"/>
            <w:tcBorders>
              <w:top w:val="nil"/>
              <w:left w:val="nil"/>
              <w:bottom w:val="nil"/>
              <w:right w:val="nil"/>
            </w:tcBorders>
            <w:shd w:val="clear" w:color="000000" w:fill="D9D9D9"/>
            <w:noWrap/>
            <w:hideMark/>
          </w:tcPr>
          <w:p w14:paraId="2776A52D" w14:textId="77777777" w:rsidR="00AB6753" w:rsidRPr="00645119" w:rsidRDefault="00AB6753" w:rsidP="002D1EA4">
            <w:pPr>
              <w:spacing w:after="0"/>
              <w:jc w:val="right"/>
              <w:rPr>
                <w:rFonts w:cs="Arial"/>
                <w:b/>
                <w:sz w:val="18"/>
                <w:szCs w:val="18"/>
              </w:rPr>
            </w:pPr>
            <w:r w:rsidRPr="00645119">
              <w:rPr>
                <w:rFonts w:cs="Arial"/>
                <w:b/>
                <w:sz w:val="18"/>
                <w:szCs w:val="18"/>
              </w:rPr>
              <w:t xml:space="preserve"> -</w:t>
            </w:r>
          </w:p>
        </w:tc>
      </w:tr>
      <w:tr w:rsidR="00AB6753" w:rsidRPr="00645119" w14:paraId="7A0CB2EC" w14:textId="77777777" w:rsidTr="002D1EA4">
        <w:trPr>
          <w:trHeight w:val="227"/>
        </w:trPr>
        <w:tc>
          <w:tcPr>
            <w:tcW w:w="5982" w:type="dxa"/>
            <w:tcBorders>
              <w:top w:val="single" w:sz="4" w:space="0" w:color="auto"/>
              <w:left w:val="nil"/>
              <w:bottom w:val="single" w:sz="4" w:space="0" w:color="auto"/>
              <w:right w:val="nil"/>
            </w:tcBorders>
            <w:shd w:val="clear" w:color="000000" w:fill="D9D9D9"/>
            <w:vAlign w:val="bottom"/>
            <w:hideMark/>
          </w:tcPr>
          <w:p w14:paraId="06C97E7D" w14:textId="77777777" w:rsidR="00AB6753" w:rsidRPr="00645119" w:rsidRDefault="00AB6753" w:rsidP="002D1EA4">
            <w:pPr>
              <w:spacing w:after="0" w:line="240" w:lineRule="auto"/>
              <w:rPr>
                <w:rFonts w:cs="Arial"/>
                <w:b/>
                <w:bCs/>
                <w:sz w:val="18"/>
                <w:szCs w:val="18"/>
              </w:rPr>
            </w:pPr>
            <w:r w:rsidRPr="00645119">
              <w:rPr>
                <w:rFonts w:cs="Arial"/>
                <w:b/>
                <w:bCs/>
                <w:sz w:val="18"/>
                <w:szCs w:val="18"/>
              </w:rPr>
              <w:t>Total administered</w:t>
            </w:r>
          </w:p>
        </w:tc>
        <w:tc>
          <w:tcPr>
            <w:tcW w:w="1701" w:type="dxa"/>
            <w:tcBorders>
              <w:top w:val="single" w:sz="4" w:space="0" w:color="auto"/>
              <w:left w:val="nil"/>
              <w:bottom w:val="single" w:sz="4" w:space="0" w:color="auto"/>
              <w:right w:val="nil"/>
            </w:tcBorders>
            <w:shd w:val="clear" w:color="000000" w:fill="D9D9D9"/>
            <w:noWrap/>
            <w:hideMark/>
          </w:tcPr>
          <w:p w14:paraId="7B062479" w14:textId="77777777" w:rsidR="00AB6753" w:rsidRPr="00645119" w:rsidRDefault="00AB6753" w:rsidP="002D1EA4">
            <w:pPr>
              <w:spacing w:after="0"/>
              <w:jc w:val="right"/>
              <w:rPr>
                <w:rFonts w:cs="Arial"/>
                <w:b/>
                <w:sz w:val="18"/>
                <w:szCs w:val="18"/>
              </w:rPr>
            </w:pPr>
            <w:r w:rsidRPr="00645119">
              <w:rPr>
                <w:rFonts w:cs="Arial"/>
                <w:b/>
                <w:sz w:val="18"/>
                <w:szCs w:val="18"/>
              </w:rPr>
              <w:t xml:space="preserve">11,142,876 </w:t>
            </w:r>
          </w:p>
        </w:tc>
        <w:tc>
          <w:tcPr>
            <w:tcW w:w="1559" w:type="dxa"/>
            <w:tcBorders>
              <w:top w:val="single" w:sz="4" w:space="0" w:color="auto"/>
              <w:left w:val="nil"/>
              <w:bottom w:val="single" w:sz="4" w:space="0" w:color="auto"/>
              <w:right w:val="nil"/>
            </w:tcBorders>
            <w:shd w:val="clear" w:color="000000" w:fill="D9D9D9"/>
            <w:noWrap/>
            <w:hideMark/>
          </w:tcPr>
          <w:p w14:paraId="35B23676" w14:textId="77777777" w:rsidR="00AB6753" w:rsidRPr="00645119" w:rsidRDefault="00AB6753" w:rsidP="002D1EA4">
            <w:pPr>
              <w:spacing w:after="0"/>
              <w:jc w:val="right"/>
              <w:rPr>
                <w:rFonts w:cs="Arial"/>
                <w:b/>
                <w:sz w:val="18"/>
                <w:szCs w:val="18"/>
              </w:rPr>
            </w:pPr>
            <w:r w:rsidRPr="00645119">
              <w:rPr>
                <w:rFonts w:cs="Arial"/>
                <w:b/>
                <w:sz w:val="18"/>
                <w:szCs w:val="18"/>
              </w:rPr>
              <w:t>(83,335)</w:t>
            </w:r>
          </w:p>
        </w:tc>
        <w:tc>
          <w:tcPr>
            <w:tcW w:w="1701" w:type="dxa"/>
            <w:tcBorders>
              <w:top w:val="single" w:sz="4" w:space="0" w:color="auto"/>
              <w:left w:val="nil"/>
              <w:bottom w:val="single" w:sz="4" w:space="0" w:color="auto"/>
              <w:right w:val="nil"/>
            </w:tcBorders>
            <w:shd w:val="clear" w:color="000000" w:fill="D9D9D9"/>
            <w:noWrap/>
            <w:hideMark/>
          </w:tcPr>
          <w:p w14:paraId="10E01421" w14:textId="77777777" w:rsidR="00AB6753" w:rsidRPr="00645119" w:rsidRDefault="00AB6753" w:rsidP="002D1EA4">
            <w:pPr>
              <w:spacing w:after="0"/>
              <w:jc w:val="right"/>
              <w:rPr>
                <w:rFonts w:cs="Arial"/>
                <w:b/>
                <w:sz w:val="18"/>
                <w:szCs w:val="18"/>
              </w:rPr>
            </w:pPr>
            <w:r w:rsidRPr="00645119">
              <w:rPr>
                <w:rFonts w:cs="Arial"/>
                <w:b/>
                <w:sz w:val="18"/>
                <w:szCs w:val="18"/>
              </w:rPr>
              <w:t xml:space="preserve">11,059,541 </w:t>
            </w:r>
          </w:p>
        </w:tc>
        <w:tc>
          <w:tcPr>
            <w:tcW w:w="2410" w:type="dxa"/>
            <w:tcBorders>
              <w:top w:val="single" w:sz="4" w:space="0" w:color="auto"/>
              <w:left w:val="nil"/>
              <w:bottom w:val="single" w:sz="4" w:space="0" w:color="auto"/>
              <w:right w:val="nil"/>
            </w:tcBorders>
            <w:shd w:val="clear" w:color="000000" w:fill="D9D9D9"/>
            <w:noWrap/>
            <w:hideMark/>
          </w:tcPr>
          <w:p w14:paraId="7F70DF7F" w14:textId="77777777" w:rsidR="00AB6753" w:rsidRPr="00645119" w:rsidRDefault="00AB6753" w:rsidP="002D1EA4">
            <w:pPr>
              <w:spacing w:after="0"/>
              <w:jc w:val="right"/>
              <w:rPr>
                <w:rFonts w:cs="Arial"/>
                <w:b/>
                <w:sz w:val="18"/>
                <w:szCs w:val="18"/>
              </w:rPr>
            </w:pPr>
            <w:r w:rsidRPr="00645119">
              <w:rPr>
                <w:rFonts w:cs="Arial"/>
                <w:b/>
                <w:sz w:val="18"/>
                <w:szCs w:val="18"/>
              </w:rPr>
              <w:t>(10,937,083)</w:t>
            </w:r>
          </w:p>
        </w:tc>
        <w:tc>
          <w:tcPr>
            <w:tcW w:w="1417" w:type="dxa"/>
            <w:tcBorders>
              <w:top w:val="single" w:sz="4" w:space="0" w:color="auto"/>
              <w:left w:val="nil"/>
              <w:bottom w:val="single" w:sz="4" w:space="0" w:color="auto"/>
              <w:right w:val="nil"/>
            </w:tcBorders>
            <w:shd w:val="clear" w:color="000000" w:fill="D9D9D9"/>
            <w:noWrap/>
            <w:hideMark/>
          </w:tcPr>
          <w:p w14:paraId="283AFD1B" w14:textId="77777777" w:rsidR="00AB6753" w:rsidRPr="00645119" w:rsidRDefault="00AB6753" w:rsidP="002D1EA4">
            <w:pPr>
              <w:spacing w:after="0"/>
              <w:jc w:val="right"/>
              <w:rPr>
                <w:rFonts w:cs="Arial"/>
                <w:b/>
                <w:sz w:val="18"/>
                <w:szCs w:val="18"/>
              </w:rPr>
            </w:pPr>
            <w:r w:rsidRPr="00645119">
              <w:rPr>
                <w:rFonts w:cs="Arial"/>
                <w:b/>
                <w:sz w:val="18"/>
                <w:szCs w:val="18"/>
              </w:rPr>
              <w:t xml:space="preserve">122,458 </w:t>
            </w:r>
          </w:p>
        </w:tc>
      </w:tr>
    </w:tbl>
    <w:p w14:paraId="5438F7D4" w14:textId="77777777" w:rsidR="00AB6753" w:rsidRPr="00645119" w:rsidRDefault="00AB6753" w:rsidP="00AB6753">
      <w:pPr>
        <w:pStyle w:val="NotesText0"/>
        <w:spacing w:before="0" w:after="60"/>
        <w:rPr>
          <w:rFonts w:cs="Arial"/>
          <w:szCs w:val="18"/>
        </w:rPr>
      </w:pPr>
    </w:p>
    <w:p w14:paraId="28884FAB" w14:textId="77777777" w:rsidR="00AB6753" w:rsidRPr="00645119" w:rsidRDefault="00AB6753" w:rsidP="00AB6753">
      <w:pPr>
        <w:pStyle w:val="NotesText0"/>
        <w:numPr>
          <w:ilvl w:val="0"/>
          <w:numId w:val="54"/>
        </w:numPr>
        <w:spacing w:before="0" w:after="120"/>
        <w:ind w:left="142" w:hanging="142"/>
        <w:rPr>
          <w:rFonts w:cs="Arial"/>
          <w:szCs w:val="18"/>
        </w:rPr>
      </w:pPr>
      <w:r w:rsidRPr="00645119">
        <w:rPr>
          <w:rFonts w:cs="Arial"/>
          <w:szCs w:val="18"/>
        </w:rPr>
        <w:t>Departmental adjustments are current year section 75 transfers of $41.438 million, including $14.421 million of departmental capital appropriation and $5.081 million of equity appropriation, which relates to the transfer of functions with the Department of Home Affairs and Services Australia and $70.578 million of section 74 receipts. The administered adjustments are section 75 transfers of $86.401 million which relates to the transfer of functions with the Department of Home Affairs and section 74 receipts of $3.066 million.</w:t>
      </w:r>
    </w:p>
    <w:p w14:paraId="106509D2" w14:textId="77777777" w:rsidR="00AB6753" w:rsidRPr="00645119" w:rsidRDefault="00AB6753" w:rsidP="00AB6753">
      <w:pPr>
        <w:pStyle w:val="NotesText0"/>
        <w:numPr>
          <w:ilvl w:val="0"/>
          <w:numId w:val="54"/>
        </w:numPr>
        <w:spacing w:before="0" w:after="120"/>
        <w:ind w:left="142" w:hanging="142"/>
        <w:rPr>
          <w:rFonts w:cs="Arial"/>
          <w:szCs w:val="18"/>
        </w:rPr>
      </w:pPr>
      <w:r w:rsidRPr="00645119">
        <w:rPr>
          <w:rFonts w:cs="Arial"/>
          <w:szCs w:val="18"/>
        </w:rPr>
        <w:t xml:space="preserve">The departmental variance relates to the movement in cash and appropriation receivable between the current and prior financial year. The administered variance consists of </w:t>
      </w:r>
      <w:r>
        <w:rPr>
          <w:rFonts w:cs="Arial"/>
          <w:szCs w:val="18"/>
        </w:rPr>
        <w:br/>
      </w:r>
      <w:r w:rsidRPr="00645119">
        <w:rPr>
          <w:rFonts w:cs="Arial"/>
          <w:szCs w:val="18"/>
        </w:rPr>
        <w:t>$232.509 million for the payment of prior year expense accruals during the 2020 financial year offset by $354.967 million that represents unspent available appropriations for administered items.</w:t>
      </w:r>
    </w:p>
    <w:p w14:paraId="0F3687B2" w14:textId="77777777" w:rsidR="00AB6753" w:rsidRPr="00645119" w:rsidRDefault="00AB6753" w:rsidP="00AB6753">
      <w:pPr>
        <w:pStyle w:val="NotesText0"/>
        <w:numPr>
          <w:ilvl w:val="0"/>
          <w:numId w:val="54"/>
        </w:numPr>
        <w:spacing w:before="0" w:after="120"/>
        <w:ind w:left="142" w:hanging="142"/>
        <w:rPr>
          <w:rFonts w:cs="Arial"/>
          <w:szCs w:val="18"/>
        </w:rPr>
      </w:pPr>
      <w:r w:rsidRPr="00645119">
        <w:rPr>
          <w:rFonts w:cs="Arial"/>
          <w:szCs w:val="18"/>
        </w:rPr>
        <w:t>Departmental Capital Budgets are appropriated through Appropriation Acts (No.1, 3, 5). They form part of ordinary annual services, and are not separately identified in the Appropriation Acts.</w:t>
      </w:r>
    </w:p>
    <w:p w14:paraId="3A00794D" w14:textId="77777777" w:rsidR="00AB6753" w:rsidRDefault="00AB6753" w:rsidP="00AB6753">
      <w:pPr>
        <w:spacing w:line="240" w:lineRule="auto"/>
        <w:rPr>
          <w:szCs w:val="18"/>
        </w:rPr>
        <w:sectPr w:rsidR="00AB6753" w:rsidSect="00C63A3F">
          <w:pgSz w:w="16838" w:h="11906" w:orient="landscape" w:code="9"/>
          <w:pgMar w:top="1134" w:right="1134" w:bottom="1416" w:left="993" w:header="958" w:footer="737" w:gutter="0"/>
          <w:cols w:space="708"/>
          <w:docGrid w:linePitch="360"/>
        </w:sectPr>
      </w:pPr>
    </w:p>
    <w:p w14:paraId="3F3A5D4F" w14:textId="77777777" w:rsidR="00AB6753" w:rsidRPr="00CB7B1C" w:rsidRDefault="00AB6753" w:rsidP="00AB6753">
      <w:pPr>
        <w:spacing w:line="240" w:lineRule="auto"/>
        <w:rPr>
          <w:szCs w:val="18"/>
        </w:rPr>
      </w:pPr>
    </w:p>
    <w:p w14:paraId="3D1A6D7A" w14:textId="77777777" w:rsidR="00AB6753" w:rsidRDefault="00AB6753" w:rsidP="00AB6753">
      <w:pPr>
        <w:pStyle w:val="ContinuedSubHeading"/>
      </w:pPr>
      <w:r>
        <w:t>5.1</w:t>
      </w:r>
      <w:r w:rsidRPr="0012341A">
        <w:t xml:space="preserve"> </w:t>
      </w:r>
      <w:r w:rsidRPr="001D7B4C">
        <w:rPr>
          <w:szCs w:val="22"/>
        </w:rPr>
        <w:t>Appropriations</w:t>
      </w:r>
      <w:r w:rsidRPr="0012341A">
        <w:t xml:space="preserve"> (continued)</w:t>
      </w:r>
    </w:p>
    <w:p w14:paraId="39E6A9A0" w14:textId="77777777" w:rsidR="00AB6753" w:rsidRPr="00615AEF" w:rsidRDefault="00AB6753" w:rsidP="00AB6753">
      <w:pPr>
        <w:rPr>
          <w:rFonts w:cs="Arial"/>
          <w:sz w:val="17"/>
          <w:szCs w:val="17"/>
        </w:rPr>
      </w:pPr>
    </w:p>
    <w:tbl>
      <w:tblPr>
        <w:tblW w:w="14770" w:type="dxa"/>
        <w:tblInd w:w="80" w:type="dxa"/>
        <w:tblLayout w:type="fixed"/>
        <w:tblLook w:val="04A0" w:firstRow="1" w:lastRow="0" w:firstColumn="1" w:lastColumn="0" w:noHBand="0" w:noVBand="1"/>
        <w:tblCaption w:val="Notes to and forming part of the financial statements"/>
        <w:tblDescription w:val="Funding - appropriations continued"/>
      </w:tblPr>
      <w:tblGrid>
        <w:gridCol w:w="5982"/>
        <w:gridCol w:w="1843"/>
        <w:gridCol w:w="1559"/>
        <w:gridCol w:w="1701"/>
        <w:gridCol w:w="1239"/>
        <w:gridCol w:w="1029"/>
        <w:gridCol w:w="304"/>
        <w:gridCol w:w="1113"/>
      </w:tblGrid>
      <w:tr w:rsidR="00AB6753" w:rsidRPr="00645119" w14:paraId="7D9BBDD2" w14:textId="77777777" w:rsidTr="002D1EA4">
        <w:trPr>
          <w:trHeight w:val="227"/>
        </w:trPr>
        <w:tc>
          <w:tcPr>
            <w:tcW w:w="12324" w:type="dxa"/>
            <w:gridSpan w:val="5"/>
            <w:tcBorders>
              <w:top w:val="nil"/>
              <w:left w:val="nil"/>
              <w:bottom w:val="nil"/>
              <w:right w:val="nil"/>
            </w:tcBorders>
            <w:shd w:val="clear" w:color="auto" w:fill="auto"/>
            <w:noWrap/>
            <w:vAlign w:val="bottom"/>
            <w:hideMark/>
          </w:tcPr>
          <w:p w14:paraId="610643D4" w14:textId="77777777" w:rsidR="00AB6753" w:rsidRPr="00645119" w:rsidRDefault="00AB6753" w:rsidP="002D1EA4">
            <w:pPr>
              <w:spacing w:after="0" w:line="240" w:lineRule="auto"/>
              <w:rPr>
                <w:rFonts w:cs="Arial"/>
                <w:b/>
                <w:bCs/>
                <w:sz w:val="18"/>
                <w:szCs w:val="18"/>
                <w:u w:val="single"/>
              </w:rPr>
            </w:pPr>
            <w:bookmarkStart w:id="186" w:name="Note_APDTABLE2" w:colFirst="0" w:colLast="0"/>
            <w:r w:rsidRPr="00645119">
              <w:rPr>
                <w:rFonts w:cs="Arial"/>
                <w:b/>
                <w:bCs/>
                <w:sz w:val="18"/>
                <w:szCs w:val="18"/>
                <w:u w:val="single"/>
              </w:rPr>
              <w:t>Note 5.1A: Annual appropriations ('recoverable GST exclusive') (continued)</w:t>
            </w:r>
          </w:p>
        </w:tc>
        <w:tc>
          <w:tcPr>
            <w:tcW w:w="1333" w:type="dxa"/>
            <w:gridSpan w:val="2"/>
            <w:tcBorders>
              <w:top w:val="nil"/>
              <w:left w:val="nil"/>
              <w:bottom w:val="nil"/>
              <w:right w:val="nil"/>
            </w:tcBorders>
            <w:shd w:val="clear" w:color="auto" w:fill="auto"/>
            <w:vAlign w:val="bottom"/>
            <w:hideMark/>
          </w:tcPr>
          <w:p w14:paraId="4864FAA6" w14:textId="77777777" w:rsidR="00AB6753" w:rsidRPr="00645119" w:rsidRDefault="00AB6753" w:rsidP="002D1EA4">
            <w:pPr>
              <w:spacing w:after="0" w:line="240" w:lineRule="auto"/>
              <w:rPr>
                <w:rFonts w:cs="Arial"/>
                <w:b/>
                <w:bCs/>
                <w:sz w:val="18"/>
                <w:szCs w:val="18"/>
              </w:rPr>
            </w:pPr>
          </w:p>
        </w:tc>
        <w:tc>
          <w:tcPr>
            <w:tcW w:w="1113" w:type="dxa"/>
            <w:tcBorders>
              <w:top w:val="nil"/>
              <w:left w:val="nil"/>
              <w:bottom w:val="nil"/>
              <w:right w:val="nil"/>
            </w:tcBorders>
            <w:shd w:val="clear" w:color="auto" w:fill="auto"/>
            <w:vAlign w:val="bottom"/>
            <w:hideMark/>
          </w:tcPr>
          <w:p w14:paraId="64F09BF4" w14:textId="77777777" w:rsidR="00AB6753" w:rsidRPr="00645119" w:rsidRDefault="00AB6753" w:rsidP="002D1EA4">
            <w:pPr>
              <w:spacing w:after="0" w:line="240" w:lineRule="auto"/>
              <w:jc w:val="right"/>
              <w:rPr>
                <w:rFonts w:cs="Arial"/>
                <w:sz w:val="18"/>
                <w:szCs w:val="18"/>
              </w:rPr>
            </w:pPr>
          </w:p>
        </w:tc>
      </w:tr>
      <w:bookmarkEnd w:id="186"/>
      <w:tr w:rsidR="00AB6753" w:rsidRPr="00645119" w14:paraId="3749430E" w14:textId="77777777" w:rsidTr="002D1EA4">
        <w:trPr>
          <w:trHeight w:val="227"/>
        </w:trPr>
        <w:tc>
          <w:tcPr>
            <w:tcW w:w="5982" w:type="dxa"/>
            <w:tcBorders>
              <w:top w:val="nil"/>
              <w:left w:val="nil"/>
              <w:bottom w:val="single" w:sz="4" w:space="0" w:color="auto"/>
              <w:right w:val="nil"/>
            </w:tcBorders>
            <w:shd w:val="clear" w:color="auto" w:fill="auto"/>
            <w:noWrap/>
            <w:vAlign w:val="bottom"/>
          </w:tcPr>
          <w:p w14:paraId="5ACE2DDA" w14:textId="77777777" w:rsidR="00AB6753" w:rsidRPr="00645119" w:rsidRDefault="00AB6753" w:rsidP="002D1EA4">
            <w:pPr>
              <w:spacing w:after="0" w:line="240" w:lineRule="auto"/>
              <w:rPr>
                <w:rFonts w:cs="Arial"/>
                <w:bCs/>
                <w:color w:val="000000"/>
                <w:sz w:val="18"/>
                <w:szCs w:val="18"/>
              </w:rPr>
            </w:pPr>
          </w:p>
          <w:p w14:paraId="32C1FB1C" w14:textId="77777777" w:rsidR="00AB6753" w:rsidRPr="00645119" w:rsidRDefault="00AB6753" w:rsidP="002D1EA4">
            <w:pPr>
              <w:spacing w:after="0" w:line="240" w:lineRule="auto"/>
              <w:rPr>
                <w:rFonts w:cs="Arial"/>
                <w:bCs/>
                <w:color w:val="000000"/>
                <w:sz w:val="18"/>
                <w:szCs w:val="18"/>
              </w:rPr>
            </w:pPr>
            <w:r w:rsidRPr="00645119">
              <w:rPr>
                <w:rFonts w:cs="Arial"/>
                <w:bCs/>
                <w:color w:val="000000"/>
                <w:sz w:val="18"/>
                <w:szCs w:val="18"/>
              </w:rPr>
              <w:t>Annual Appropriations for 2019</w:t>
            </w:r>
          </w:p>
        </w:tc>
        <w:tc>
          <w:tcPr>
            <w:tcW w:w="1843" w:type="dxa"/>
            <w:tcBorders>
              <w:top w:val="nil"/>
              <w:left w:val="nil"/>
              <w:bottom w:val="single" w:sz="4" w:space="0" w:color="auto"/>
              <w:right w:val="nil"/>
            </w:tcBorders>
            <w:shd w:val="clear" w:color="auto" w:fill="auto"/>
          </w:tcPr>
          <w:p w14:paraId="56CB1EC3" w14:textId="77777777" w:rsidR="00AB6753" w:rsidRPr="00645119" w:rsidRDefault="00AB6753" w:rsidP="002D1EA4">
            <w:pPr>
              <w:spacing w:after="0" w:line="240" w:lineRule="auto"/>
              <w:jc w:val="right"/>
              <w:rPr>
                <w:rFonts w:cs="Arial"/>
                <w:bCs/>
                <w:sz w:val="18"/>
                <w:szCs w:val="18"/>
              </w:rPr>
            </w:pPr>
          </w:p>
        </w:tc>
        <w:tc>
          <w:tcPr>
            <w:tcW w:w="1559" w:type="dxa"/>
            <w:tcBorders>
              <w:top w:val="nil"/>
              <w:left w:val="nil"/>
              <w:bottom w:val="single" w:sz="4" w:space="0" w:color="auto"/>
              <w:right w:val="nil"/>
            </w:tcBorders>
            <w:shd w:val="clear" w:color="auto" w:fill="auto"/>
          </w:tcPr>
          <w:p w14:paraId="49680484" w14:textId="77777777" w:rsidR="00AB6753" w:rsidRPr="00645119" w:rsidRDefault="00AB6753" w:rsidP="002D1EA4">
            <w:pPr>
              <w:spacing w:after="0" w:line="240" w:lineRule="auto"/>
              <w:jc w:val="right"/>
              <w:rPr>
                <w:rFonts w:cs="Arial"/>
                <w:bCs/>
                <w:sz w:val="18"/>
                <w:szCs w:val="18"/>
              </w:rPr>
            </w:pPr>
          </w:p>
        </w:tc>
        <w:tc>
          <w:tcPr>
            <w:tcW w:w="1701" w:type="dxa"/>
            <w:tcBorders>
              <w:top w:val="nil"/>
              <w:left w:val="nil"/>
              <w:bottom w:val="single" w:sz="4" w:space="0" w:color="auto"/>
              <w:right w:val="nil"/>
            </w:tcBorders>
            <w:shd w:val="clear" w:color="auto" w:fill="auto"/>
          </w:tcPr>
          <w:p w14:paraId="36822873" w14:textId="77777777" w:rsidR="00AB6753" w:rsidRPr="00645119" w:rsidRDefault="00AB6753" w:rsidP="002D1EA4">
            <w:pPr>
              <w:spacing w:after="0" w:line="240" w:lineRule="auto"/>
              <w:jc w:val="right"/>
              <w:rPr>
                <w:rFonts w:cs="Arial"/>
                <w:bCs/>
                <w:sz w:val="18"/>
                <w:szCs w:val="18"/>
              </w:rPr>
            </w:pPr>
          </w:p>
        </w:tc>
        <w:tc>
          <w:tcPr>
            <w:tcW w:w="2268" w:type="dxa"/>
            <w:gridSpan w:val="2"/>
            <w:tcBorders>
              <w:top w:val="nil"/>
              <w:left w:val="nil"/>
              <w:bottom w:val="single" w:sz="4" w:space="0" w:color="auto"/>
              <w:right w:val="nil"/>
            </w:tcBorders>
            <w:shd w:val="clear" w:color="auto" w:fill="auto"/>
          </w:tcPr>
          <w:p w14:paraId="3A569E37" w14:textId="77777777" w:rsidR="00AB6753" w:rsidRPr="00645119" w:rsidRDefault="00AB6753" w:rsidP="002D1EA4">
            <w:pPr>
              <w:spacing w:after="0" w:line="240" w:lineRule="auto"/>
              <w:jc w:val="right"/>
              <w:rPr>
                <w:rFonts w:cs="Arial"/>
                <w:bCs/>
                <w:sz w:val="18"/>
                <w:szCs w:val="18"/>
              </w:rPr>
            </w:pPr>
          </w:p>
        </w:tc>
        <w:tc>
          <w:tcPr>
            <w:tcW w:w="1417" w:type="dxa"/>
            <w:gridSpan w:val="2"/>
            <w:tcBorders>
              <w:top w:val="nil"/>
              <w:left w:val="nil"/>
              <w:bottom w:val="single" w:sz="4" w:space="0" w:color="auto"/>
              <w:right w:val="nil"/>
            </w:tcBorders>
            <w:shd w:val="clear" w:color="auto" w:fill="auto"/>
          </w:tcPr>
          <w:p w14:paraId="2800870A" w14:textId="77777777" w:rsidR="00AB6753" w:rsidRPr="00645119" w:rsidRDefault="00AB6753" w:rsidP="002D1EA4">
            <w:pPr>
              <w:spacing w:after="0" w:line="240" w:lineRule="auto"/>
              <w:jc w:val="right"/>
              <w:rPr>
                <w:rFonts w:cs="Arial"/>
                <w:bCs/>
                <w:sz w:val="18"/>
                <w:szCs w:val="18"/>
              </w:rPr>
            </w:pPr>
          </w:p>
        </w:tc>
      </w:tr>
      <w:tr w:rsidR="00AB6753" w:rsidRPr="00645119" w14:paraId="4F6DE884" w14:textId="77777777" w:rsidTr="002D1EA4">
        <w:trPr>
          <w:trHeight w:val="227"/>
        </w:trPr>
        <w:tc>
          <w:tcPr>
            <w:tcW w:w="5982" w:type="dxa"/>
            <w:tcBorders>
              <w:top w:val="single" w:sz="4" w:space="0" w:color="auto"/>
              <w:left w:val="nil"/>
              <w:bottom w:val="nil"/>
              <w:right w:val="nil"/>
            </w:tcBorders>
            <w:shd w:val="clear" w:color="auto" w:fill="auto"/>
            <w:noWrap/>
            <w:vAlign w:val="bottom"/>
            <w:hideMark/>
          </w:tcPr>
          <w:p w14:paraId="109E4150" w14:textId="77777777" w:rsidR="00AB6753" w:rsidRPr="00645119" w:rsidRDefault="00AB6753" w:rsidP="002D1EA4">
            <w:pPr>
              <w:spacing w:after="0" w:line="240" w:lineRule="auto"/>
              <w:rPr>
                <w:rFonts w:cs="Arial"/>
                <w:bCs/>
                <w:color w:val="000000"/>
                <w:sz w:val="18"/>
                <w:szCs w:val="18"/>
                <w:u w:val="single"/>
              </w:rPr>
            </w:pPr>
          </w:p>
        </w:tc>
        <w:tc>
          <w:tcPr>
            <w:tcW w:w="1843" w:type="dxa"/>
            <w:tcBorders>
              <w:top w:val="single" w:sz="4" w:space="0" w:color="auto"/>
              <w:left w:val="nil"/>
              <w:bottom w:val="nil"/>
              <w:right w:val="nil"/>
            </w:tcBorders>
            <w:shd w:val="clear" w:color="auto" w:fill="auto"/>
            <w:hideMark/>
          </w:tcPr>
          <w:p w14:paraId="223C49A5" w14:textId="77777777" w:rsidR="00AB6753" w:rsidRPr="00645119" w:rsidRDefault="00AB6753" w:rsidP="002D1EA4">
            <w:pPr>
              <w:spacing w:after="0"/>
              <w:jc w:val="right"/>
              <w:rPr>
                <w:rFonts w:cs="Arial"/>
                <w:sz w:val="18"/>
                <w:szCs w:val="18"/>
              </w:rPr>
            </w:pPr>
            <w:r w:rsidRPr="00645119">
              <w:rPr>
                <w:rFonts w:cs="Arial"/>
                <w:sz w:val="18"/>
                <w:szCs w:val="18"/>
              </w:rPr>
              <w:t>Annual Appropriation</w:t>
            </w:r>
          </w:p>
        </w:tc>
        <w:tc>
          <w:tcPr>
            <w:tcW w:w="1559" w:type="dxa"/>
            <w:tcBorders>
              <w:top w:val="single" w:sz="4" w:space="0" w:color="auto"/>
              <w:left w:val="nil"/>
              <w:bottom w:val="nil"/>
              <w:right w:val="nil"/>
            </w:tcBorders>
            <w:shd w:val="clear" w:color="auto" w:fill="auto"/>
            <w:hideMark/>
          </w:tcPr>
          <w:p w14:paraId="7DE1FF87" w14:textId="77777777" w:rsidR="00AB6753" w:rsidRPr="00645119" w:rsidRDefault="00AB6753" w:rsidP="002D1EA4">
            <w:pPr>
              <w:spacing w:after="0"/>
              <w:jc w:val="right"/>
              <w:rPr>
                <w:rFonts w:cs="Arial"/>
                <w:sz w:val="18"/>
                <w:szCs w:val="18"/>
                <w:vertAlign w:val="superscript"/>
              </w:rPr>
            </w:pPr>
            <w:r w:rsidRPr="00645119">
              <w:rPr>
                <w:rFonts w:cs="Arial"/>
                <w:sz w:val="18"/>
                <w:szCs w:val="18"/>
              </w:rPr>
              <w:t>Adjustments to appropriation</w:t>
            </w:r>
            <w:r w:rsidRPr="00645119">
              <w:rPr>
                <w:rFonts w:cs="Arial"/>
                <w:sz w:val="18"/>
                <w:szCs w:val="18"/>
                <w:vertAlign w:val="superscript"/>
              </w:rPr>
              <w:t>1</w:t>
            </w:r>
          </w:p>
        </w:tc>
        <w:tc>
          <w:tcPr>
            <w:tcW w:w="1701" w:type="dxa"/>
            <w:tcBorders>
              <w:top w:val="single" w:sz="4" w:space="0" w:color="auto"/>
              <w:left w:val="nil"/>
              <w:bottom w:val="nil"/>
              <w:right w:val="nil"/>
            </w:tcBorders>
            <w:shd w:val="clear" w:color="auto" w:fill="auto"/>
            <w:hideMark/>
          </w:tcPr>
          <w:p w14:paraId="6214CDE9" w14:textId="77777777" w:rsidR="00AB6753" w:rsidRPr="00645119" w:rsidRDefault="00AB6753" w:rsidP="002D1EA4">
            <w:pPr>
              <w:spacing w:after="0"/>
              <w:jc w:val="right"/>
              <w:rPr>
                <w:rFonts w:cs="Arial"/>
                <w:sz w:val="18"/>
                <w:szCs w:val="18"/>
              </w:rPr>
            </w:pPr>
            <w:r w:rsidRPr="00645119">
              <w:rPr>
                <w:rFonts w:cs="Arial"/>
                <w:sz w:val="18"/>
                <w:szCs w:val="18"/>
              </w:rPr>
              <w:t>Total appropriation</w:t>
            </w:r>
          </w:p>
        </w:tc>
        <w:tc>
          <w:tcPr>
            <w:tcW w:w="2268" w:type="dxa"/>
            <w:gridSpan w:val="2"/>
            <w:tcBorders>
              <w:top w:val="single" w:sz="4" w:space="0" w:color="auto"/>
              <w:left w:val="nil"/>
              <w:bottom w:val="nil"/>
              <w:right w:val="nil"/>
            </w:tcBorders>
            <w:shd w:val="clear" w:color="auto" w:fill="auto"/>
            <w:hideMark/>
          </w:tcPr>
          <w:p w14:paraId="532C44D3" w14:textId="77777777" w:rsidR="00AB6753" w:rsidRPr="00645119" w:rsidRDefault="00AB6753" w:rsidP="002D1EA4">
            <w:pPr>
              <w:spacing w:after="0"/>
              <w:jc w:val="right"/>
              <w:rPr>
                <w:rFonts w:cs="Arial"/>
                <w:sz w:val="18"/>
                <w:szCs w:val="18"/>
              </w:rPr>
            </w:pPr>
            <w:r w:rsidRPr="00645119">
              <w:rPr>
                <w:rFonts w:cs="Arial"/>
                <w:sz w:val="18"/>
                <w:szCs w:val="18"/>
              </w:rPr>
              <w:t>Appropriation applied in 2019 (current and prior years)</w:t>
            </w:r>
          </w:p>
        </w:tc>
        <w:tc>
          <w:tcPr>
            <w:tcW w:w="1417" w:type="dxa"/>
            <w:gridSpan w:val="2"/>
            <w:tcBorders>
              <w:top w:val="single" w:sz="4" w:space="0" w:color="auto"/>
              <w:left w:val="nil"/>
              <w:bottom w:val="nil"/>
              <w:right w:val="nil"/>
            </w:tcBorders>
            <w:shd w:val="clear" w:color="auto" w:fill="auto"/>
            <w:hideMark/>
          </w:tcPr>
          <w:p w14:paraId="6459430B" w14:textId="77777777" w:rsidR="00AB6753" w:rsidRPr="00645119" w:rsidRDefault="00AB6753" w:rsidP="002D1EA4">
            <w:pPr>
              <w:spacing w:after="0"/>
              <w:jc w:val="right"/>
              <w:rPr>
                <w:rFonts w:cs="Arial"/>
                <w:sz w:val="18"/>
                <w:szCs w:val="18"/>
              </w:rPr>
            </w:pPr>
            <w:r w:rsidRPr="00645119">
              <w:rPr>
                <w:rFonts w:cs="Arial"/>
                <w:sz w:val="18"/>
                <w:szCs w:val="18"/>
              </w:rPr>
              <w:t>Variance</w:t>
            </w:r>
            <w:r w:rsidRPr="00645119">
              <w:rPr>
                <w:rFonts w:cs="Arial"/>
                <w:sz w:val="18"/>
                <w:szCs w:val="18"/>
                <w:vertAlign w:val="superscript"/>
              </w:rPr>
              <w:t>2</w:t>
            </w:r>
          </w:p>
        </w:tc>
      </w:tr>
      <w:tr w:rsidR="00AB6753" w:rsidRPr="00645119" w14:paraId="26B240D1" w14:textId="77777777" w:rsidTr="002D1EA4">
        <w:trPr>
          <w:trHeight w:val="227"/>
        </w:trPr>
        <w:tc>
          <w:tcPr>
            <w:tcW w:w="5982" w:type="dxa"/>
            <w:tcBorders>
              <w:top w:val="nil"/>
              <w:left w:val="nil"/>
              <w:bottom w:val="single" w:sz="4" w:space="0" w:color="auto"/>
              <w:right w:val="nil"/>
            </w:tcBorders>
            <w:shd w:val="clear" w:color="auto" w:fill="auto"/>
            <w:vAlign w:val="bottom"/>
            <w:hideMark/>
          </w:tcPr>
          <w:p w14:paraId="467E02E5" w14:textId="77777777" w:rsidR="00AB6753" w:rsidRPr="00645119" w:rsidRDefault="00AB6753" w:rsidP="002D1EA4">
            <w:pPr>
              <w:spacing w:after="0" w:line="240" w:lineRule="auto"/>
              <w:rPr>
                <w:rFonts w:cs="Arial"/>
                <w:bCs/>
                <w:sz w:val="18"/>
                <w:szCs w:val="18"/>
              </w:rPr>
            </w:pPr>
            <w:r w:rsidRPr="00645119">
              <w:rPr>
                <w:rFonts w:cs="Arial"/>
                <w:bCs/>
                <w:sz w:val="18"/>
                <w:szCs w:val="18"/>
              </w:rPr>
              <w:t> </w:t>
            </w:r>
          </w:p>
        </w:tc>
        <w:tc>
          <w:tcPr>
            <w:tcW w:w="1843" w:type="dxa"/>
            <w:tcBorders>
              <w:top w:val="nil"/>
              <w:left w:val="nil"/>
              <w:bottom w:val="single" w:sz="4" w:space="0" w:color="auto"/>
              <w:right w:val="nil"/>
            </w:tcBorders>
            <w:shd w:val="clear" w:color="auto" w:fill="auto"/>
            <w:noWrap/>
            <w:vAlign w:val="bottom"/>
            <w:hideMark/>
          </w:tcPr>
          <w:p w14:paraId="6B41D717" w14:textId="77777777" w:rsidR="00AB6753" w:rsidRPr="00645119" w:rsidRDefault="00AB6753" w:rsidP="002D1EA4">
            <w:pPr>
              <w:spacing w:after="0" w:line="240" w:lineRule="auto"/>
              <w:jc w:val="right"/>
              <w:rPr>
                <w:rFonts w:cs="Arial"/>
                <w:bCs/>
                <w:sz w:val="18"/>
                <w:szCs w:val="18"/>
              </w:rPr>
            </w:pPr>
            <w:r w:rsidRPr="00645119">
              <w:rPr>
                <w:rFonts w:cs="Arial"/>
                <w:bCs/>
                <w:sz w:val="18"/>
                <w:szCs w:val="18"/>
              </w:rPr>
              <w:t>$'000</w:t>
            </w:r>
          </w:p>
        </w:tc>
        <w:tc>
          <w:tcPr>
            <w:tcW w:w="1559" w:type="dxa"/>
            <w:tcBorders>
              <w:top w:val="nil"/>
              <w:left w:val="nil"/>
              <w:bottom w:val="single" w:sz="4" w:space="0" w:color="auto"/>
              <w:right w:val="nil"/>
            </w:tcBorders>
            <w:shd w:val="clear" w:color="auto" w:fill="auto"/>
            <w:noWrap/>
            <w:vAlign w:val="bottom"/>
            <w:hideMark/>
          </w:tcPr>
          <w:p w14:paraId="57E58DA2" w14:textId="77777777" w:rsidR="00AB6753" w:rsidRPr="00645119" w:rsidRDefault="00AB6753" w:rsidP="002D1EA4">
            <w:pPr>
              <w:spacing w:after="0" w:line="240" w:lineRule="auto"/>
              <w:jc w:val="right"/>
              <w:rPr>
                <w:rFonts w:cs="Arial"/>
                <w:bCs/>
                <w:sz w:val="18"/>
                <w:szCs w:val="18"/>
              </w:rPr>
            </w:pPr>
            <w:r w:rsidRPr="00645119">
              <w:rPr>
                <w:rFonts w:cs="Arial"/>
                <w:bCs/>
                <w:sz w:val="18"/>
                <w:szCs w:val="18"/>
              </w:rPr>
              <w:t>$'000</w:t>
            </w:r>
          </w:p>
        </w:tc>
        <w:tc>
          <w:tcPr>
            <w:tcW w:w="1701" w:type="dxa"/>
            <w:tcBorders>
              <w:top w:val="nil"/>
              <w:left w:val="nil"/>
              <w:bottom w:val="single" w:sz="4" w:space="0" w:color="auto"/>
              <w:right w:val="nil"/>
            </w:tcBorders>
            <w:shd w:val="clear" w:color="auto" w:fill="auto"/>
            <w:noWrap/>
            <w:vAlign w:val="bottom"/>
            <w:hideMark/>
          </w:tcPr>
          <w:p w14:paraId="1C77587F" w14:textId="77777777" w:rsidR="00AB6753" w:rsidRPr="00645119" w:rsidRDefault="00AB6753" w:rsidP="002D1EA4">
            <w:pPr>
              <w:spacing w:after="0" w:line="240" w:lineRule="auto"/>
              <w:jc w:val="right"/>
              <w:rPr>
                <w:rFonts w:cs="Arial"/>
                <w:bCs/>
                <w:sz w:val="18"/>
                <w:szCs w:val="18"/>
              </w:rPr>
            </w:pPr>
            <w:r w:rsidRPr="00645119">
              <w:rPr>
                <w:rFonts w:cs="Arial"/>
                <w:bCs/>
                <w:sz w:val="18"/>
                <w:szCs w:val="18"/>
              </w:rPr>
              <w:t>$'000</w:t>
            </w:r>
          </w:p>
        </w:tc>
        <w:tc>
          <w:tcPr>
            <w:tcW w:w="2268" w:type="dxa"/>
            <w:gridSpan w:val="2"/>
            <w:tcBorders>
              <w:top w:val="nil"/>
              <w:left w:val="nil"/>
              <w:bottom w:val="single" w:sz="4" w:space="0" w:color="auto"/>
              <w:right w:val="nil"/>
            </w:tcBorders>
            <w:shd w:val="clear" w:color="auto" w:fill="auto"/>
            <w:noWrap/>
            <w:vAlign w:val="bottom"/>
            <w:hideMark/>
          </w:tcPr>
          <w:p w14:paraId="298AAF0B" w14:textId="77777777" w:rsidR="00AB6753" w:rsidRPr="00645119" w:rsidRDefault="00AB6753" w:rsidP="002D1EA4">
            <w:pPr>
              <w:spacing w:after="0" w:line="240" w:lineRule="auto"/>
              <w:jc w:val="right"/>
              <w:rPr>
                <w:rFonts w:cs="Arial"/>
                <w:bCs/>
                <w:sz w:val="18"/>
                <w:szCs w:val="18"/>
              </w:rPr>
            </w:pPr>
            <w:r w:rsidRPr="00645119">
              <w:rPr>
                <w:rFonts w:cs="Arial"/>
                <w:bCs/>
                <w:sz w:val="18"/>
                <w:szCs w:val="18"/>
              </w:rPr>
              <w:t>$'000</w:t>
            </w:r>
          </w:p>
        </w:tc>
        <w:tc>
          <w:tcPr>
            <w:tcW w:w="1417" w:type="dxa"/>
            <w:gridSpan w:val="2"/>
            <w:tcBorders>
              <w:top w:val="nil"/>
              <w:left w:val="nil"/>
              <w:bottom w:val="single" w:sz="4" w:space="0" w:color="auto"/>
              <w:right w:val="nil"/>
            </w:tcBorders>
            <w:shd w:val="clear" w:color="auto" w:fill="auto"/>
            <w:noWrap/>
            <w:vAlign w:val="bottom"/>
            <w:hideMark/>
          </w:tcPr>
          <w:p w14:paraId="486A0798" w14:textId="77777777" w:rsidR="00AB6753" w:rsidRPr="00645119" w:rsidRDefault="00AB6753" w:rsidP="002D1EA4">
            <w:pPr>
              <w:spacing w:after="0" w:line="240" w:lineRule="auto"/>
              <w:jc w:val="right"/>
              <w:rPr>
                <w:rFonts w:cs="Arial"/>
                <w:bCs/>
                <w:sz w:val="18"/>
                <w:szCs w:val="18"/>
              </w:rPr>
            </w:pPr>
            <w:r w:rsidRPr="00645119">
              <w:rPr>
                <w:rFonts w:cs="Arial"/>
                <w:bCs/>
                <w:sz w:val="18"/>
                <w:szCs w:val="18"/>
              </w:rPr>
              <w:t>$'000</w:t>
            </w:r>
          </w:p>
        </w:tc>
      </w:tr>
      <w:tr w:rsidR="00AB6753" w:rsidRPr="00645119" w14:paraId="289C8756" w14:textId="77777777" w:rsidTr="002D1EA4">
        <w:trPr>
          <w:trHeight w:val="227"/>
        </w:trPr>
        <w:tc>
          <w:tcPr>
            <w:tcW w:w="5982" w:type="dxa"/>
            <w:tcBorders>
              <w:top w:val="nil"/>
              <w:left w:val="nil"/>
              <w:bottom w:val="nil"/>
              <w:right w:val="nil"/>
            </w:tcBorders>
            <w:shd w:val="clear" w:color="auto" w:fill="auto"/>
            <w:noWrap/>
            <w:vAlign w:val="bottom"/>
            <w:hideMark/>
          </w:tcPr>
          <w:p w14:paraId="1F6D494D" w14:textId="77777777" w:rsidR="00AB6753" w:rsidRPr="00645119" w:rsidRDefault="00AB6753" w:rsidP="002D1EA4">
            <w:pPr>
              <w:spacing w:after="0" w:line="240" w:lineRule="auto"/>
              <w:rPr>
                <w:rFonts w:cs="Arial"/>
                <w:bCs/>
                <w:sz w:val="18"/>
                <w:szCs w:val="18"/>
              </w:rPr>
            </w:pPr>
            <w:r w:rsidRPr="00645119">
              <w:rPr>
                <w:rFonts w:cs="Arial"/>
                <w:bCs/>
                <w:sz w:val="18"/>
                <w:szCs w:val="18"/>
              </w:rPr>
              <w:t>Departmental</w:t>
            </w:r>
          </w:p>
        </w:tc>
        <w:tc>
          <w:tcPr>
            <w:tcW w:w="1843" w:type="dxa"/>
            <w:tcBorders>
              <w:top w:val="nil"/>
              <w:left w:val="nil"/>
              <w:bottom w:val="nil"/>
              <w:right w:val="nil"/>
            </w:tcBorders>
            <w:shd w:val="clear" w:color="auto" w:fill="auto"/>
            <w:noWrap/>
            <w:vAlign w:val="bottom"/>
            <w:hideMark/>
          </w:tcPr>
          <w:p w14:paraId="3EA1CB5E" w14:textId="77777777" w:rsidR="00AB6753" w:rsidRPr="00645119" w:rsidRDefault="00AB6753" w:rsidP="002D1EA4">
            <w:pPr>
              <w:spacing w:after="0" w:line="240" w:lineRule="auto"/>
              <w:rPr>
                <w:rFonts w:cs="Arial"/>
                <w:bCs/>
                <w:sz w:val="18"/>
                <w:szCs w:val="18"/>
              </w:rPr>
            </w:pPr>
          </w:p>
        </w:tc>
        <w:tc>
          <w:tcPr>
            <w:tcW w:w="1559" w:type="dxa"/>
            <w:tcBorders>
              <w:top w:val="nil"/>
              <w:left w:val="nil"/>
              <w:bottom w:val="nil"/>
              <w:right w:val="nil"/>
            </w:tcBorders>
            <w:shd w:val="clear" w:color="auto" w:fill="auto"/>
            <w:noWrap/>
            <w:vAlign w:val="bottom"/>
            <w:hideMark/>
          </w:tcPr>
          <w:p w14:paraId="6003980F" w14:textId="77777777" w:rsidR="00AB6753" w:rsidRPr="00645119" w:rsidRDefault="00AB6753" w:rsidP="002D1EA4">
            <w:pPr>
              <w:spacing w:after="0" w:line="240" w:lineRule="auto"/>
              <w:jc w:val="right"/>
              <w:rPr>
                <w:rFonts w:cs="Arial"/>
                <w:sz w:val="18"/>
                <w:szCs w:val="18"/>
              </w:rPr>
            </w:pPr>
          </w:p>
        </w:tc>
        <w:tc>
          <w:tcPr>
            <w:tcW w:w="1701" w:type="dxa"/>
            <w:tcBorders>
              <w:top w:val="nil"/>
              <w:left w:val="nil"/>
              <w:bottom w:val="nil"/>
              <w:right w:val="nil"/>
            </w:tcBorders>
            <w:shd w:val="clear" w:color="auto" w:fill="auto"/>
            <w:noWrap/>
            <w:vAlign w:val="bottom"/>
            <w:hideMark/>
          </w:tcPr>
          <w:p w14:paraId="04ED5929" w14:textId="77777777" w:rsidR="00AB6753" w:rsidRPr="00645119" w:rsidRDefault="00AB6753" w:rsidP="002D1EA4">
            <w:pPr>
              <w:spacing w:after="0" w:line="240" w:lineRule="auto"/>
              <w:jc w:val="right"/>
              <w:rPr>
                <w:rFonts w:cs="Arial"/>
                <w:sz w:val="18"/>
                <w:szCs w:val="18"/>
              </w:rPr>
            </w:pPr>
          </w:p>
        </w:tc>
        <w:tc>
          <w:tcPr>
            <w:tcW w:w="2268" w:type="dxa"/>
            <w:gridSpan w:val="2"/>
            <w:tcBorders>
              <w:top w:val="nil"/>
              <w:left w:val="nil"/>
              <w:bottom w:val="nil"/>
              <w:right w:val="nil"/>
            </w:tcBorders>
            <w:shd w:val="clear" w:color="auto" w:fill="auto"/>
            <w:noWrap/>
            <w:vAlign w:val="bottom"/>
            <w:hideMark/>
          </w:tcPr>
          <w:p w14:paraId="208227FA" w14:textId="77777777" w:rsidR="00AB6753" w:rsidRPr="00645119" w:rsidRDefault="00AB6753" w:rsidP="002D1EA4">
            <w:pPr>
              <w:spacing w:after="0" w:line="240" w:lineRule="auto"/>
              <w:jc w:val="right"/>
              <w:rPr>
                <w:rFonts w:cs="Arial"/>
                <w:sz w:val="18"/>
                <w:szCs w:val="18"/>
              </w:rPr>
            </w:pPr>
          </w:p>
        </w:tc>
        <w:tc>
          <w:tcPr>
            <w:tcW w:w="1417" w:type="dxa"/>
            <w:gridSpan w:val="2"/>
            <w:tcBorders>
              <w:top w:val="nil"/>
              <w:left w:val="nil"/>
              <w:bottom w:val="nil"/>
              <w:right w:val="nil"/>
            </w:tcBorders>
            <w:shd w:val="clear" w:color="auto" w:fill="auto"/>
            <w:noWrap/>
            <w:vAlign w:val="bottom"/>
            <w:hideMark/>
          </w:tcPr>
          <w:p w14:paraId="3C44707F" w14:textId="77777777" w:rsidR="00AB6753" w:rsidRPr="00645119" w:rsidRDefault="00AB6753" w:rsidP="002D1EA4">
            <w:pPr>
              <w:spacing w:after="0" w:line="240" w:lineRule="auto"/>
              <w:jc w:val="right"/>
              <w:rPr>
                <w:rFonts w:cs="Arial"/>
                <w:sz w:val="18"/>
                <w:szCs w:val="18"/>
              </w:rPr>
            </w:pPr>
          </w:p>
        </w:tc>
      </w:tr>
      <w:tr w:rsidR="00AB6753" w:rsidRPr="00645119" w14:paraId="6ABB0250" w14:textId="77777777" w:rsidTr="002D1EA4">
        <w:trPr>
          <w:trHeight w:val="227"/>
        </w:trPr>
        <w:tc>
          <w:tcPr>
            <w:tcW w:w="5982" w:type="dxa"/>
            <w:tcBorders>
              <w:top w:val="nil"/>
              <w:left w:val="nil"/>
              <w:bottom w:val="nil"/>
              <w:right w:val="nil"/>
            </w:tcBorders>
            <w:shd w:val="clear" w:color="000000" w:fill="FFFFFF"/>
            <w:noWrap/>
            <w:vAlign w:val="bottom"/>
          </w:tcPr>
          <w:p w14:paraId="1800C7DC" w14:textId="77777777" w:rsidR="00AB6753" w:rsidRPr="00645119" w:rsidRDefault="00AB6753" w:rsidP="002D1EA4">
            <w:pPr>
              <w:spacing w:after="0" w:line="240" w:lineRule="auto"/>
              <w:ind w:leftChars="100" w:left="220"/>
              <w:rPr>
                <w:rFonts w:cs="Arial"/>
                <w:iCs/>
                <w:sz w:val="18"/>
                <w:szCs w:val="18"/>
              </w:rPr>
            </w:pPr>
            <w:r w:rsidRPr="00645119">
              <w:rPr>
                <w:rFonts w:cs="Arial"/>
                <w:iCs/>
                <w:sz w:val="18"/>
                <w:szCs w:val="18"/>
              </w:rPr>
              <w:t>Ordinary annual services</w:t>
            </w:r>
          </w:p>
        </w:tc>
        <w:tc>
          <w:tcPr>
            <w:tcW w:w="1843" w:type="dxa"/>
            <w:tcBorders>
              <w:top w:val="nil"/>
              <w:left w:val="nil"/>
              <w:bottom w:val="nil"/>
              <w:right w:val="nil"/>
            </w:tcBorders>
            <w:shd w:val="clear" w:color="FFFFFF" w:fill="FFFFFF"/>
            <w:noWrap/>
            <w:hideMark/>
          </w:tcPr>
          <w:p w14:paraId="70FFFFB0" w14:textId="77777777" w:rsidR="00AB6753" w:rsidRPr="00645119" w:rsidRDefault="00AB6753" w:rsidP="002D1EA4">
            <w:pPr>
              <w:spacing w:after="0"/>
              <w:jc w:val="right"/>
              <w:rPr>
                <w:rFonts w:cs="Arial"/>
                <w:sz w:val="18"/>
                <w:szCs w:val="18"/>
              </w:rPr>
            </w:pPr>
            <w:r w:rsidRPr="00645119">
              <w:rPr>
                <w:rFonts w:cs="Arial"/>
                <w:sz w:val="18"/>
                <w:szCs w:val="18"/>
              </w:rPr>
              <w:t xml:space="preserve">382,665 </w:t>
            </w:r>
          </w:p>
        </w:tc>
        <w:tc>
          <w:tcPr>
            <w:tcW w:w="1559" w:type="dxa"/>
            <w:tcBorders>
              <w:top w:val="nil"/>
              <w:left w:val="nil"/>
              <w:bottom w:val="nil"/>
              <w:right w:val="nil"/>
            </w:tcBorders>
            <w:shd w:val="clear" w:color="FFFFFF" w:fill="FFFFFF"/>
            <w:noWrap/>
            <w:hideMark/>
          </w:tcPr>
          <w:p w14:paraId="2800E8B1" w14:textId="77777777" w:rsidR="00AB6753" w:rsidRPr="00645119" w:rsidRDefault="00AB6753" w:rsidP="002D1EA4">
            <w:pPr>
              <w:spacing w:after="0"/>
              <w:jc w:val="right"/>
              <w:rPr>
                <w:rFonts w:cs="Arial"/>
                <w:sz w:val="18"/>
                <w:szCs w:val="18"/>
              </w:rPr>
            </w:pPr>
            <w:r w:rsidRPr="00645119">
              <w:rPr>
                <w:rFonts w:cs="Arial"/>
                <w:sz w:val="18"/>
                <w:szCs w:val="18"/>
              </w:rPr>
              <w:t xml:space="preserve">105,631 </w:t>
            </w:r>
          </w:p>
        </w:tc>
        <w:tc>
          <w:tcPr>
            <w:tcW w:w="1701" w:type="dxa"/>
            <w:tcBorders>
              <w:top w:val="nil"/>
              <w:left w:val="nil"/>
              <w:bottom w:val="nil"/>
              <w:right w:val="nil"/>
            </w:tcBorders>
            <w:shd w:val="clear" w:color="FFFFFF" w:fill="FFFFFF"/>
            <w:noWrap/>
            <w:hideMark/>
          </w:tcPr>
          <w:p w14:paraId="45EB9B8D" w14:textId="77777777" w:rsidR="00AB6753" w:rsidRPr="00645119" w:rsidRDefault="00AB6753" w:rsidP="002D1EA4">
            <w:pPr>
              <w:spacing w:after="0"/>
              <w:jc w:val="right"/>
              <w:rPr>
                <w:rFonts w:cs="Arial"/>
                <w:sz w:val="18"/>
                <w:szCs w:val="18"/>
              </w:rPr>
            </w:pPr>
            <w:r w:rsidRPr="00645119">
              <w:rPr>
                <w:rFonts w:cs="Arial"/>
                <w:sz w:val="18"/>
                <w:szCs w:val="18"/>
              </w:rPr>
              <w:t xml:space="preserve">488,296 </w:t>
            </w:r>
          </w:p>
        </w:tc>
        <w:tc>
          <w:tcPr>
            <w:tcW w:w="2268" w:type="dxa"/>
            <w:gridSpan w:val="2"/>
            <w:tcBorders>
              <w:top w:val="nil"/>
              <w:left w:val="nil"/>
              <w:bottom w:val="nil"/>
              <w:right w:val="nil"/>
            </w:tcBorders>
            <w:shd w:val="clear" w:color="FFFFFF" w:fill="FFFFFF"/>
            <w:noWrap/>
            <w:hideMark/>
          </w:tcPr>
          <w:p w14:paraId="7ABB5479" w14:textId="77777777" w:rsidR="00AB6753" w:rsidRPr="00645119" w:rsidRDefault="00AB6753" w:rsidP="002D1EA4">
            <w:pPr>
              <w:spacing w:after="0"/>
              <w:jc w:val="right"/>
              <w:rPr>
                <w:rFonts w:cs="Arial"/>
                <w:sz w:val="18"/>
                <w:szCs w:val="18"/>
              </w:rPr>
            </w:pPr>
            <w:r w:rsidRPr="00645119">
              <w:rPr>
                <w:rFonts w:cs="Arial"/>
                <w:sz w:val="18"/>
                <w:szCs w:val="18"/>
              </w:rPr>
              <w:t>(477,098)</w:t>
            </w:r>
          </w:p>
        </w:tc>
        <w:tc>
          <w:tcPr>
            <w:tcW w:w="1417" w:type="dxa"/>
            <w:gridSpan w:val="2"/>
            <w:tcBorders>
              <w:top w:val="nil"/>
              <w:left w:val="nil"/>
              <w:bottom w:val="nil"/>
              <w:right w:val="nil"/>
            </w:tcBorders>
            <w:shd w:val="clear" w:color="FFFFFF" w:fill="FFFFFF"/>
            <w:noWrap/>
            <w:hideMark/>
          </w:tcPr>
          <w:p w14:paraId="7FA4A781" w14:textId="77777777" w:rsidR="00AB6753" w:rsidRPr="00645119" w:rsidRDefault="00AB6753" w:rsidP="002D1EA4">
            <w:pPr>
              <w:spacing w:after="0"/>
              <w:jc w:val="right"/>
              <w:rPr>
                <w:rFonts w:cs="Arial"/>
                <w:sz w:val="18"/>
                <w:szCs w:val="18"/>
              </w:rPr>
            </w:pPr>
            <w:r w:rsidRPr="00645119">
              <w:rPr>
                <w:rFonts w:cs="Arial"/>
                <w:sz w:val="18"/>
                <w:szCs w:val="18"/>
              </w:rPr>
              <w:t xml:space="preserve">11,198 </w:t>
            </w:r>
          </w:p>
        </w:tc>
      </w:tr>
      <w:tr w:rsidR="00AB6753" w:rsidRPr="00645119" w14:paraId="5C098197" w14:textId="77777777" w:rsidTr="002D1EA4">
        <w:trPr>
          <w:trHeight w:val="227"/>
        </w:trPr>
        <w:tc>
          <w:tcPr>
            <w:tcW w:w="5982" w:type="dxa"/>
            <w:tcBorders>
              <w:top w:val="nil"/>
              <w:left w:val="nil"/>
              <w:bottom w:val="nil"/>
              <w:right w:val="nil"/>
            </w:tcBorders>
            <w:shd w:val="clear" w:color="000000" w:fill="FFFFFF"/>
            <w:noWrap/>
            <w:vAlign w:val="bottom"/>
          </w:tcPr>
          <w:p w14:paraId="23549A0B" w14:textId="77777777" w:rsidR="00AB6753" w:rsidRPr="00645119" w:rsidRDefault="00AB6753" w:rsidP="002D1EA4">
            <w:pPr>
              <w:spacing w:after="0" w:line="240" w:lineRule="auto"/>
              <w:ind w:leftChars="100" w:left="220"/>
              <w:rPr>
                <w:rFonts w:cs="Arial"/>
                <w:iCs/>
                <w:sz w:val="18"/>
                <w:szCs w:val="18"/>
                <w:vertAlign w:val="superscript"/>
              </w:rPr>
            </w:pPr>
            <w:r w:rsidRPr="00645119">
              <w:rPr>
                <w:rFonts w:cs="Arial"/>
                <w:iCs/>
                <w:sz w:val="18"/>
                <w:szCs w:val="18"/>
              </w:rPr>
              <w:t>Capital Budget</w:t>
            </w:r>
            <w:r w:rsidRPr="00645119">
              <w:rPr>
                <w:rFonts w:cs="Arial"/>
                <w:iCs/>
                <w:sz w:val="18"/>
                <w:szCs w:val="18"/>
                <w:vertAlign w:val="superscript"/>
              </w:rPr>
              <w:t>3</w:t>
            </w:r>
          </w:p>
        </w:tc>
        <w:tc>
          <w:tcPr>
            <w:tcW w:w="1843" w:type="dxa"/>
            <w:tcBorders>
              <w:top w:val="nil"/>
              <w:left w:val="nil"/>
              <w:bottom w:val="nil"/>
              <w:right w:val="nil"/>
            </w:tcBorders>
            <w:shd w:val="clear" w:color="FFFFFF" w:fill="FFFFFF"/>
            <w:noWrap/>
            <w:hideMark/>
          </w:tcPr>
          <w:p w14:paraId="7FA66FCF" w14:textId="77777777" w:rsidR="00AB6753" w:rsidRPr="00645119" w:rsidRDefault="00AB6753" w:rsidP="002D1EA4">
            <w:pPr>
              <w:spacing w:after="0"/>
              <w:jc w:val="right"/>
              <w:rPr>
                <w:rFonts w:cs="Arial"/>
                <w:sz w:val="18"/>
                <w:szCs w:val="18"/>
              </w:rPr>
            </w:pPr>
            <w:r w:rsidRPr="00645119">
              <w:rPr>
                <w:rFonts w:cs="Arial"/>
                <w:sz w:val="18"/>
                <w:szCs w:val="18"/>
              </w:rPr>
              <w:t xml:space="preserve">16,549 </w:t>
            </w:r>
          </w:p>
        </w:tc>
        <w:tc>
          <w:tcPr>
            <w:tcW w:w="1559" w:type="dxa"/>
            <w:tcBorders>
              <w:top w:val="nil"/>
              <w:left w:val="nil"/>
              <w:bottom w:val="nil"/>
              <w:right w:val="nil"/>
            </w:tcBorders>
            <w:shd w:val="clear" w:color="FFFFFF" w:fill="FFFFFF"/>
            <w:noWrap/>
            <w:hideMark/>
          </w:tcPr>
          <w:p w14:paraId="2F1C53E8" w14:textId="77777777" w:rsidR="00AB6753" w:rsidRPr="00645119" w:rsidRDefault="00AB6753" w:rsidP="002D1EA4">
            <w:pPr>
              <w:spacing w:after="0"/>
              <w:jc w:val="right"/>
              <w:rPr>
                <w:rFonts w:cs="Arial"/>
                <w:sz w:val="18"/>
                <w:szCs w:val="18"/>
              </w:rPr>
            </w:pPr>
            <w:r w:rsidRPr="00645119">
              <w:rPr>
                <w:rFonts w:cs="Arial"/>
                <w:sz w:val="18"/>
                <w:szCs w:val="18"/>
              </w:rPr>
              <w:t xml:space="preserve">514 </w:t>
            </w:r>
          </w:p>
        </w:tc>
        <w:tc>
          <w:tcPr>
            <w:tcW w:w="1701" w:type="dxa"/>
            <w:tcBorders>
              <w:top w:val="nil"/>
              <w:left w:val="nil"/>
              <w:bottom w:val="nil"/>
              <w:right w:val="nil"/>
            </w:tcBorders>
            <w:shd w:val="clear" w:color="FFFFFF" w:fill="FFFFFF"/>
            <w:noWrap/>
            <w:hideMark/>
          </w:tcPr>
          <w:p w14:paraId="6CCBC0EC" w14:textId="77777777" w:rsidR="00AB6753" w:rsidRPr="00645119" w:rsidRDefault="00AB6753" w:rsidP="002D1EA4">
            <w:pPr>
              <w:spacing w:after="0"/>
              <w:jc w:val="right"/>
              <w:rPr>
                <w:rFonts w:cs="Arial"/>
                <w:sz w:val="18"/>
                <w:szCs w:val="18"/>
              </w:rPr>
            </w:pPr>
            <w:r w:rsidRPr="00645119">
              <w:rPr>
                <w:rFonts w:cs="Arial"/>
                <w:sz w:val="18"/>
                <w:szCs w:val="18"/>
              </w:rPr>
              <w:t xml:space="preserve">17,063 </w:t>
            </w:r>
          </w:p>
        </w:tc>
        <w:tc>
          <w:tcPr>
            <w:tcW w:w="2268" w:type="dxa"/>
            <w:gridSpan w:val="2"/>
            <w:tcBorders>
              <w:top w:val="nil"/>
              <w:left w:val="nil"/>
              <w:bottom w:val="nil"/>
              <w:right w:val="nil"/>
            </w:tcBorders>
            <w:shd w:val="clear" w:color="FFFFFF" w:fill="FFFFFF"/>
            <w:noWrap/>
            <w:hideMark/>
          </w:tcPr>
          <w:p w14:paraId="5FB50F2D" w14:textId="77777777" w:rsidR="00AB6753" w:rsidRPr="00645119" w:rsidRDefault="00AB6753" w:rsidP="002D1EA4">
            <w:pPr>
              <w:spacing w:after="0"/>
              <w:jc w:val="right"/>
              <w:rPr>
                <w:rFonts w:cs="Arial"/>
                <w:sz w:val="18"/>
                <w:szCs w:val="18"/>
              </w:rPr>
            </w:pPr>
            <w:r w:rsidRPr="00645119">
              <w:rPr>
                <w:rFonts w:cs="Arial"/>
                <w:sz w:val="18"/>
                <w:szCs w:val="18"/>
              </w:rPr>
              <w:t>(14,727)</w:t>
            </w:r>
          </w:p>
        </w:tc>
        <w:tc>
          <w:tcPr>
            <w:tcW w:w="1417" w:type="dxa"/>
            <w:gridSpan w:val="2"/>
            <w:tcBorders>
              <w:top w:val="nil"/>
              <w:left w:val="nil"/>
              <w:bottom w:val="nil"/>
              <w:right w:val="nil"/>
            </w:tcBorders>
            <w:shd w:val="clear" w:color="FFFFFF" w:fill="FFFFFF"/>
            <w:noWrap/>
            <w:hideMark/>
          </w:tcPr>
          <w:p w14:paraId="40140B7D" w14:textId="77777777" w:rsidR="00AB6753" w:rsidRPr="00645119" w:rsidRDefault="00AB6753" w:rsidP="002D1EA4">
            <w:pPr>
              <w:spacing w:after="0"/>
              <w:jc w:val="right"/>
              <w:rPr>
                <w:rFonts w:cs="Arial"/>
                <w:sz w:val="18"/>
                <w:szCs w:val="18"/>
              </w:rPr>
            </w:pPr>
            <w:r w:rsidRPr="00645119">
              <w:rPr>
                <w:rFonts w:cs="Arial"/>
                <w:sz w:val="18"/>
                <w:szCs w:val="18"/>
              </w:rPr>
              <w:t xml:space="preserve">2,336 </w:t>
            </w:r>
          </w:p>
        </w:tc>
      </w:tr>
      <w:tr w:rsidR="00AB6753" w:rsidRPr="00645119" w14:paraId="3939E4CE" w14:textId="77777777" w:rsidTr="002D1EA4">
        <w:trPr>
          <w:trHeight w:val="227"/>
        </w:trPr>
        <w:tc>
          <w:tcPr>
            <w:tcW w:w="5982" w:type="dxa"/>
            <w:tcBorders>
              <w:top w:val="nil"/>
              <w:left w:val="nil"/>
              <w:bottom w:val="nil"/>
              <w:right w:val="nil"/>
            </w:tcBorders>
            <w:shd w:val="clear" w:color="000000" w:fill="FFFFFF"/>
            <w:noWrap/>
            <w:vAlign w:val="bottom"/>
          </w:tcPr>
          <w:p w14:paraId="73BD6D1F" w14:textId="77777777" w:rsidR="00AB6753" w:rsidRPr="00645119" w:rsidRDefault="00AB6753" w:rsidP="002D1EA4">
            <w:pPr>
              <w:spacing w:after="0" w:line="240" w:lineRule="auto"/>
              <w:ind w:leftChars="100" w:left="220"/>
              <w:rPr>
                <w:rFonts w:cs="Arial"/>
                <w:iCs/>
                <w:sz w:val="18"/>
                <w:szCs w:val="18"/>
              </w:rPr>
            </w:pPr>
            <w:r w:rsidRPr="00645119">
              <w:rPr>
                <w:rFonts w:cs="Arial"/>
                <w:iCs/>
                <w:sz w:val="18"/>
                <w:szCs w:val="18"/>
              </w:rPr>
              <w:t>Other services</w:t>
            </w:r>
          </w:p>
        </w:tc>
        <w:tc>
          <w:tcPr>
            <w:tcW w:w="1843" w:type="dxa"/>
            <w:tcBorders>
              <w:top w:val="nil"/>
              <w:left w:val="nil"/>
              <w:bottom w:val="nil"/>
              <w:right w:val="nil"/>
            </w:tcBorders>
            <w:shd w:val="clear" w:color="FFFFFF" w:fill="FFFFFF"/>
            <w:noWrap/>
            <w:hideMark/>
          </w:tcPr>
          <w:p w14:paraId="45103459" w14:textId="77777777" w:rsidR="00AB6753" w:rsidRPr="00645119" w:rsidRDefault="00AB6753" w:rsidP="002D1EA4">
            <w:pPr>
              <w:spacing w:after="0"/>
              <w:jc w:val="right"/>
              <w:rPr>
                <w:rFonts w:cs="Arial"/>
                <w:sz w:val="18"/>
                <w:szCs w:val="18"/>
              </w:rPr>
            </w:pPr>
          </w:p>
        </w:tc>
        <w:tc>
          <w:tcPr>
            <w:tcW w:w="1559" w:type="dxa"/>
            <w:tcBorders>
              <w:top w:val="nil"/>
              <w:left w:val="nil"/>
              <w:bottom w:val="nil"/>
              <w:right w:val="nil"/>
            </w:tcBorders>
            <w:shd w:val="clear" w:color="FFFFFF" w:fill="FFFFFF"/>
            <w:noWrap/>
            <w:hideMark/>
          </w:tcPr>
          <w:p w14:paraId="19B51E5D" w14:textId="77777777" w:rsidR="00AB6753" w:rsidRPr="00645119" w:rsidRDefault="00AB6753" w:rsidP="002D1EA4">
            <w:pPr>
              <w:spacing w:after="0"/>
              <w:jc w:val="right"/>
              <w:rPr>
                <w:rFonts w:cs="Arial"/>
                <w:sz w:val="18"/>
                <w:szCs w:val="18"/>
              </w:rPr>
            </w:pPr>
          </w:p>
        </w:tc>
        <w:tc>
          <w:tcPr>
            <w:tcW w:w="1701" w:type="dxa"/>
            <w:tcBorders>
              <w:top w:val="nil"/>
              <w:left w:val="nil"/>
              <w:bottom w:val="nil"/>
              <w:right w:val="nil"/>
            </w:tcBorders>
            <w:shd w:val="clear" w:color="FFFFFF" w:fill="FFFFFF"/>
            <w:noWrap/>
            <w:hideMark/>
          </w:tcPr>
          <w:p w14:paraId="545A9C11" w14:textId="77777777" w:rsidR="00AB6753" w:rsidRPr="00645119" w:rsidRDefault="00AB6753" w:rsidP="002D1EA4">
            <w:pPr>
              <w:spacing w:after="0"/>
              <w:jc w:val="right"/>
              <w:rPr>
                <w:rFonts w:cs="Arial"/>
                <w:sz w:val="18"/>
                <w:szCs w:val="18"/>
              </w:rPr>
            </w:pPr>
          </w:p>
        </w:tc>
        <w:tc>
          <w:tcPr>
            <w:tcW w:w="2268" w:type="dxa"/>
            <w:gridSpan w:val="2"/>
            <w:tcBorders>
              <w:top w:val="nil"/>
              <w:left w:val="nil"/>
              <w:bottom w:val="nil"/>
              <w:right w:val="nil"/>
            </w:tcBorders>
            <w:shd w:val="clear" w:color="FFFFFF" w:fill="FFFFFF"/>
            <w:noWrap/>
            <w:hideMark/>
          </w:tcPr>
          <w:p w14:paraId="3322208D" w14:textId="77777777" w:rsidR="00AB6753" w:rsidRPr="00645119" w:rsidRDefault="00AB6753" w:rsidP="002D1EA4">
            <w:pPr>
              <w:spacing w:after="0"/>
              <w:jc w:val="right"/>
              <w:rPr>
                <w:rFonts w:cs="Arial"/>
                <w:sz w:val="18"/>
                <w:szCs w:val="18"/>
              </w:rPr>
            </w:pPr>
          </w:p>
        </w:tc>
        <w:tc>
          <w:tcPr>
            <w:tcW w:w="1417" w:type="dxa"/>
            <w:gridSpan w:val="2"/>
            <w:tcBorders>
              <w:top w:val="nil"/>
              <w:left w:val="nil"/>
              <w:bottom w:val="nil"/>
              <w:right w:val="nil"/>
            </w:tcBorders>
            <w:shd w:val="clear" w:color="FFFFFF" w:fill="FFFFFF"/>
            <w:noWrap/>
            <w:hideMark/>
          </w:tcPr>
          <w:p w14:paraId="3F479C09" w14:textId="77777777" w:rsidR="00AB6753" w:rsidRPr="00645119" w:rsidRDefault="00AB6753" w:rsidP="002D1EA4">
            <w:pPr>
              <w:spacing w:after="0"/>
              <w:jc w:val="right"/>
              <w:rPr>
                <w:rFonts w:cs="Arial"/>
                <w:sz w:val="18"/>
                <w:szCs w:val="18"/>
              </w:rPr>
            </w:pPr>
          </w:p>
        </w:tc>
      </w:tr>
      <w:tr w:rsidR="00AB6753" w:rsidRPr="00645119" w14:paraId="40D14C3A" w14:textId="77777777" w:rsidTr="002D1EA4">
        <w:trPr>
          <w:trHeight w:val="227"/>
        </w:trPr>
        <w:tc>
          <w:tcPr>
            <w:tcW w:w="5982" w:type="dxa"/>
            <w:tcBorders>
              <w:top w:val="nil"/>
              <w:left w:val="nil"/>
              <w:bottom w:val="single" w:sz="4" w:space="0" w:color="auto"/>
              <w:right w:val="nil"/>
            </w:tcBorders>
            <w:shd w:val="clear" w:color="000000" w:fill="FFFFFF"/>
            <w:noWrap/>
            <w:vAlign w:val="bottom"/>
          </w:tcPr>
          <w:p w14:paraId="7D0B7D03" w14:textId="77777777" w:rsidR="00AB6753" w:rsidRPr="00645119" w:rsidRDefault="00AB6753" w:rsidP="002D1EA4">
            <w:pPr>
              <w:spacing w:after="0" w:line="240" w:lineRule="auto"/>
              <w:ind w:leftChars="200" w:left="440"/>
              <w:rPr>
                <w:rFonts w:cs="Arial"/>
                <w:iCs/>
                <w:sz w:val="18"/>
                <w:szCs w:val="18"/>
              </w:rPr>
            </w:pPr>
            <w:r w:rsidRPr="00645119">
              <w:rPr>
                <w:rFonts w:cs="Arial"/>
                <w:iCs/>
                <w:sz w:val="18"/>
                <w:szCs w:val="18"/>
              </w:rPr>
              <w:t>Equity Injections</w:t>
            </w:r>
          </w:p>
        </w:tc>
        <w:tc>
          <w:tcPr>
            <w:tcW w:w="1843" w:type="dxa"/>
            <w:tcBorders>
              <w:top w:val="nil"/>
              <w:left w:val="nil"/>
              <w:bottom w:val="single" w:sz="4" w:space="0" w:color="auto"/>
              <w:right w:val="nil"/>
            </w:tcBorders>
            <w:shd w:val="clear" w:color="FFFFFF" w:fill="FFFFFF"/>
            <w:noWrap/>
            <w:hideMark/>
          </w:tcPr>
          <w:p w14:paraId="3CC7D58D" w14:textId="77777777" w:rsidR="00AB6753" w:rsidRPr="00645119" w:rsidRDefault="00AB6753" w:rsidP="002D1EA4">
            <w:pPr>
              <w:spacing w:after="0"/>
              <w:jc w:val="right"/>
              <w:rPr>
                <w:rFonts w:cs="Arial"/>
                <w:sz w:val="18"/>
                <w:szCs w:val="18"/>
              </w:rPr>
            </w:pPr>
            <w:r w:rsidRPr="00645119">
              <w:rPr>
                <w:rFonts w:cs="Arial"/>
                <w:sz w:val="18"/>
                <w:szCs w:val="18"/>
              </w:rPr>
              <w:t xml:space="preserve">21,469 </w:t>
            </w:r>
          </w:p>
        </w:tc>
        <w:tc>
          <w:tcPr>
            <w:tcW w:w="1559" w:type="dxa"/>
            <w:tcBorders>
              <w:top w:val="nil"/>
              <w:left w:val="nil"/>
              <w:bottom w:val="nil"/>
              <w:right w:val="nil"/>
            </w:tcBorders>
            <w:shd w:val="clear" w:color="FFFFFF" w:fill="FFFFFF"/>
            <w:noWrap/>
            <w:hideMark/>
          </w:tcPr>
          <w:p w14:paraId="595846A2" w14:textId="77777777" w:rsidR="00AB6753" w:rsidRPr="00645119" w:rsidRDefault="00AB6753" w:rsidP="002D1EA4">
            <w:pPr>
              <w:spacing w:after="0"/>
              <w:jc w:val="right"/>
              <w:rPr>
                <w:rFonts w:cs="Arial"/>
                <w:sz w:val="18"/>
                <w:szCs w:val="18"/>
              </w:rPr>
            </w:pPr>
            <w:r w:rsidRPr="00645119">
              <w:rPr>
                <w:rFonts w:cs="Arial"/>
                <w:sz w:val="18"/>
                <w:szCs w:val="18"/>
              </w:rPr>
              <w:t xml:space="preserve"> -</w:t>
            </w:r>
          </w:p>
        </w:tc>
        <w:tc>
          <w:tcPr>
            <w:tcW w:w="1701" w:type="dxa"/>
            <w:tcBorders>
              <w:top w:val="nil"/>
              <w:left w:val="nil"/>
              <w:bottom w:val="nil"/>
              <w:right w:val="nil"/>
            </w:tcBorders>
            <w:shd w:val="clear" w:color="FFFFFF" w:fill="FFFFFF"/>
            <w:noWrap/>
            <w:hideMark/>
          </w:tcPr>
          <w:p w14:paraId="2A9A8879" w14:textId="77777777" w:rsidR="00AB6753" w:rsidRPr="00645119" w:rsidRDefault="00AB6753" w:rsidP="002D1EA4">
            <w:pPr>
              <w:spacing w:after="0"/>
              <w:jc w:val="right"/>
              <w:rPr>
                <w:rFonts w:cs="Arial"/>
                <w:sz w:val="18"/>
                <w:szCs w:val="18"/>
              </w:rPr>
            </w:pPr>
            <w:r w:rsidRPr="00645119">
              <w:rPr>
                <w:rFonts w:cs="Arial"/>
                <w:sz w:val="18"/>
                <w:szCs w:val="18"/>
              </w:rPr>
              <w:t xml:space="preserve">21,469 </w:t>
            </w:r>
          </w:p>
        </w:tc>
        <w:tc>
          <w:tcPr>
            <w:tcW w:w="2268" w:type="dxa"/>
            <w:gridSpan w:val="2"/>
            <w:tcBorders>
              <w:top w:val="nil"/>
              <w:left w:val="nil"/>
              <w:bottom w:val="nil"/>
              <w:right w:val="nil"/>
            </w:tcBorders>
            <w:shd w:val="clear" w:color="FFFFFF" w:fill="FFFFFF"/>
            <w:noWrap/>
            <w:hideMark/>
          </w:tcPr>
          <w:p w14:paraId="057258B6" w14:textId="77777777" w:rsidR="00AB6753" w:rsidRPr="00645119" w:rsidRDefault="00AB6753" w:rsidP="002D1EA4">
            <w:pPr>
              <w:spacing w:after="0"/>
              <w:jc w:val="right"/>
              <w:rPr>
                <w:rFonts w:cs="Arial"/>
                <w:sz w:val="18"/>
                <w:szCs w:val="18"/>
              </w:rPr>
            </w:pPr>
            <w:r w:rsidRPr="00645119">
              <w:rPr>
                <w:rFonts w:cs="Arial"/>
                <w:sz w:val="18"/>
                <w:szCs w:val="18"/>
              </w:rPr>
              <w:t>(24,021)</w:t>
            </w:r>
          </w:p>
        </w:tc>
        <w:tc>
          <w:tcPr>
            <w:tcW w:w="1417" w:type="dxa"/>
            <w:gridSpan w:val="2"/>
            <w:tcBorders>
              <w:top w:val="nil"/>
              <w:left w:val="nil"/>
              <w:bottom w:val="nil"/>
              <w:right w:val="nil"/>
            </w:tcBorders>
            <w:shd w:val="clear" w:color="FFFFFF" w:fill="FFFFFF"/>
            <w:noWrap/>
            <w:hideMark/>
          </w:tcPr>
          <w:p w14:paraId="0EC1EDED" w14:textId="77777777" w:rsidR="00AB6753" w:rsidRPr="00645119" w:rsidRDefault="00AB6753" w:rsidP="002D1EA4">
            <w:pPr>
              <w:spacing w:after="0"/>
              <w:jc w:val="right"/>
              <w:rPr>
                <w:rFonts w:cs="Arial"/>
                <w:sz w:val="18"/>
                <w:szCs w:val="18"/>
              </w:rPr>
            </w:pPr>
            <w:r w:rsidRPr="00645119">
              <w:rPr>
                <w:rFonts w:cs="Arial"/>
                <w:sz w:val="18"/>
                <w:szCs w:val="18"/>
              </w:rPr>
              <w:t>(2,552)</w:t>
            </w:r>
          </w:p>
        </w:tc>
      </w:tr>
      <w:tr w:rsidR="00AB6753" w:rsidRPr="00645119" w14:paraId="15EBF8ED" w14:textId="77777777" w:rsidTr="002D1EA4">
        <w:trPr>
          <w:trHeight w:val="227"/>
        </w:trPr>
        <w:tc>
          <w:tcPr>
            <w:tcW w:w="5982" w:type="dxa"/>
            <w:tcBorders>
              <w:top w:val="single" w:sz="4" w:space="0" w:color="auto"/>
              <w:left w:val="nil"/>
              <w:bottom w:val="single" w:sz="4" w:space="0" w:color="auto"/>
              <w:right w:val="nil"/>
            </w:tcBorders>
            <w:shd w:val="clear" w:color="auto" w:fill="auto"/>
            <w:vAlign w:val="bottom"/>
            <w:hideMark/>
          </w:tcPr>
          <w:p w14:paraId="38663093" w14:textId="77777777" w:rsidR="00AB6753" w:rsidRPr="00645119" w:rsidRDefault="00AB6753" w:rsidP="002D1EA4">
            <w:pPr>
              <w:spacing w:after="0" w:line="240" w:lineRule="auto"/>
              <w:rPr>
                <w:rFonts w:cs="Arial"/>
                <w:bCs/>
                <w:sz w:val="18"/>
                <w:szCs w:val="18"/>
              </w:rPr>
            </w:pPr>
            <w:r w:rsidRPr="00645119">
              <w:rPr>
                <w:rFonts w:cs="Arial"/>
                <w:bCs/>
                <w:sz w:val="18"/>
                <w:szCs w:val="18"/>
              </w:rPr>
              <w:t>Total departmental</w:t>
            </w:r>
          </w:p>
        </w:tc>
        <w:tc>
          <w:tcPr>
            <w:tcW w:w="1843" w:type="dxa"/>
            <w:tcBorders>
              <w:top w:val="single" w:sz="4" w:space="0" w:color="auto"/>
              <w:left w:val="nil"/>
              <w:bottom w:val="single" w:sz="4" w:space="0" w:color="auto"/>
              <w:right w:val="nil"/>
            </w:tcBorders>
            <w:shd w:val="clear" w:color="auto" w:fill="auto"/>
            <w:noWrap/>
            <w:hideMark/>
          </w:tcPr>
          <w:p w14:paraId="436259A2" w14:textId="77777777" w:rsidR="00AB6753" w:rsidRPr="00645119" w:rsidRDefault="00AB6753" w:rsidP="002D1EA4">
            <w:pPr>
              <w:spacing w:after="0"/>
              <w:jc w:val="right"/>
              <w:rPr>
                <w:rFonts w:cs="Arial"/>
                <w:sz w:val="18"/>
                <w:szCs w:val="18"/>
              </w:rPr>
            </w:pPr>
            <w:r w:rsidRPr="00645119">
              <w:rPr>
                <w:rFonts w:cs="Arial"/>
                <w:sz w:val="18"/>
                <w:szCs w:val="18"/>
              </w:rPr>
              <w:t xml:space="preserve">420,683 </w:t>
            </w:r>
          </w:p>
        </w:tc>
        <w:tc>
          <w:tcPr>
            <w:tcW w:w="1559" w:type="dxa"/>
            <w:tcBorders>
              <w:top w:val="single" w:sz="4" w:space="0" w:color="auto"/>
              <w:left w:val="nil"/>
              <w:bottom w:val="single" w:sz="4" w:space="0" w:color="auto"/>
              <w:right w:val="nil"/>
            </w:tcBorders>
            <w:shd w:val="clear" w:color="auto" w:fill="auto"/>
            <w:noWrap/>
            <w:hideMark/>
          </w:tcPr>
          <w:p w14:paraId="2F157AB6" w14:textId="77777777" w:rsidR="00AB6753" w:rsidRPr="00645119" w:rsidRDefault="00AB6753" w:rsidP="002D1EA4">
            <w:pPr>
              <w:spacing w:after="0"/>
              <w:jc w:val="right"/>
              <w:rPr>
                <w:rFonts w:cs="Arial"/>
                <w:sz w:val="18"/>
                <w:szCs w:val="18"/>
              </w:rPr>
            </w:pPr>
            <w:r w:rsidRPr="00645119">
              <w:rPr>
                <w:rFonts w:cs="Arial"/>
                <w:sz w:val="18"/>
                <w:szCs w:val="18"/>
              </w:rPr>
              <w:t xml:space="preserve">106,145 </w:t>
            </w:r>
          </w:p>
        </w:tc>
        <w:tc>
          <w:tcPr>
            <w:tcW w:w="1701" w:type="dxa"/>
            <w:tcBorders>
              <w:top w:val="single" w:sz="4" w:space="0" w:color="auto"/>
              <w:left w:val="nil"/>
              <w:bottom w:val="single" w:sz="4" w:space="0" w:color="auto"/>
              <w:right w:val="nil"/>
            </w:tcBorders>
            <w:shd w:val="clear" w:color="auto" w:fill="auto"/>
            <w:noWrap/>
            <w:hideMark/>
          </w:tcPr>
          <w:p w14:paraId="6611704E" w14:textId="77777777" w:rsidR="00AB6753" w:rsidRPr="00645119" w:rsidRDefault="00AB6753" w:rsidP="002D1EA4">
            <w:pPr>
              <w:spacing w:after="0"/>
              <w:jc w:val="right"/>
              <w:rPr>
                <w:rFonts w:cs="Arial"/>
                <w:sz w:val="18"/>
                <w:szCs w:val="18"/>
              </w:rPr>
            </w:pPr>
            <w:r w:rsidRPr="00645119">
              <w:rPr>
                <w:rFonts w:cs="Arial"/>
                <w:sz w:val="18"/>
                <w:szCs w:val="18"/>
              </w:rPr>
              <w:t xml:space="preserve">526,828 </w:t>
            </w:r>
          </w:p>
        </w:tc>
        <w:tc>
          <w:tcPr>
            <w:tcW w:w="2268" w:type="dxa"/>
            <w:gridSpan w:val="2"/>
            <w:tcBorders>
              <w:top w:val="single" w:sz="4" w:space="0" w:color="auto"/>
              <w:left w:val="nil"/>
              <w:bottom w:val="single" w:sz="4" w:space="0" w:color="auto"/>
              <w:right w:val="nil"/>
            </w:tcBorders>
            <w:shd w:val="clear" w:color="auto" w:fill="auto"/>
            <w:noWrap/>
            <w:hideMark/>
          </w:tcPr>
          <w:p w14:paraId="460E5885" w14:textId="77777777" w:rsidR="00AB6753" w:rsidRPr="00645119" w:rsidRDefault="00AB6753" w:rsidP="002D1EA4">
            <w:pPr>
              <w:spacing w:after="0"/>
              <w:jc w:val="right"/>
              <w:rPr>
                <w:rFonts w:cs="Arial"/>
                <w:sz w:val="18"/>
                <w:szCs w:val="18"/>
              </w:rPr>
            </w:pPr>
            <w:r w:rsidRPr="00645119">
              <w:rPr>
                <w:rFonts w:cs="Arial"/>
                <w:sz w:val="18"/>
                <w:szCs w:val="18"/>
              </w:rPr>
              <w:t>(515,846)</w:t>
            </w:r>
          </w:p>
        </w:tc>
        <w:tc>
          <w:tcPr>
            <w:tcW w:w="1417" w:type="dxa"/>
            <w:gridSpan w:val="2"/>
            <w:tcBorders>
              <w:top w:val="single" w:sz="4" w:space="0" w:color="auto"/>
              <w:left w:val="nil"/>
              <w:bottom w:val="single" w:sz="4" w:space="0" w:color="auto"/>
              <w:right w:val="nil"/>
            </w:tcBorders>
            <w:shd w:val="clear" w:color="auto" w:fill="auto"/>
            <w:noWrap/>
            <w:hideMark/>
          </w:tcPr>
          <w:p w14:paraId="2F66CDA5" w14:textId="77777777" w:rsidR="00AB6753" w:rsidRPr="00645119" w:rsidRDefault="00AB6753" w:rsidP="002D1EA4">
            <w:pPr>
              <w:spacing w:after="0"/>
              <w:jc w:val="right"/>
              <w:rPr>
                <w:rFonts w:cs="Arial"/>
                <w:sz w:val="18"/>
                <w:szCs w:val="18"/>
              </w:rPr>
            </w:pPr>
            <w:r w:rsidRPr="00645119">
              <w:rPr>
                <w:rFonts w:cs="Arial"/>
                <w:sz w:val="18"/>
                <w:szCs w:val="18"/>
              </w:rPr>
              <w:t xml:space="preserve">10,982 </w:t>
            </w:r>
          </w:p>
        </w:tc>
      </w:tr>
      <w:tr w:rsidR="00AB6753" w:rsidRPr="00645119" w14:paraId="3704F131" w14:textId="77777777" w:rsidTr="002D1EA4">
        <w:trPr>
          <w:trHeight w:val="227"/>
        </w:trPr>
        <w:tc>
          <w:tcPr>
            <w:tcW w:w="5982" w:type="dxa"/>
            <w:tcBorders>
              <w:top w:val="nil"/>
              <w:left w:val="nil"/>
              <w:bottom w:val="nil"/>
              <w:right w:val="nil"/>
            </w:tcBorders>
            <w:shd w:val="clear" w:color="000000" w:fill="D9D9D9"/>
            <w:vAlign w:val="bottom"/>
            <w:hideMark/>
          </w:tcPr>
          <w:p w14:paraId="18B9689A" w14:textId="77777777" w:rsidR="00AB6753" w:rsidRPr="00645119" w:rsidRDefault="00AB6753" w:rsidP="002D1EA4">
            <w:pPr>
              <w:spacing w:after="0" w:line="240" w:lineRule="auto"/>
              <w:rPr>
                <w:rFonts w:cs="Arial"/>
                <w:bCs/>
                <w:sz w:val="18"/>
                <w:szCs w:val="18"/>
              </w:rPr>
            </w:pPr>
            <w:r w:rsidRPr="00645119">
              <w:rPr>
                <w:rFonts w:cs="Arial"/>
                <w:bCs/>
                <w:sz w:val="18"/>
                <w:szCs w:val="18"/>
              </w:rPr>
              <w:t>Administered</w:t>
            </w:r>
          </w:p>
        </w:tc>
        <w:tc>
          <w:tcPr>
            <w:tcW w:w="1843" w:type="dxa"/>
            <w:tcBorders>
              <w:top w:val="nil"/>
              <w:left w:val="nil"/>
              <w:bottom w:val="nil"/>
              <w:right w:val="nil"/>
            </w:tcBorders>
            <w:shd w:val="clear" w:color="000000" w:fill="D9D9D9"/>
            <w:noWrap/>
            <w:hideMark/>
          </w:tcPr>
          <w:p w14:paraId="1BEEA0E2" w14:textId="77777777" w:rsidR="00AB6753" w:rsidRPr="00645119" w:rsidRDefault="00AB6753" w:rsidP="002D1EA4">
            <w:pPr>
              <w:spacing w:after="0"/>
              <w:jc w:val="right"/>
              <w:rPr>
                <w:rFonts w:cs="Arial"/>
                <w:sz w:val="18"/>
                <w:szCs w:val="18"/>
              </w:rPr>
            </w:pPr>
          </w:p>
        </w:tc>
        <w:tc>
          <w:tcPr>
            <w:tcW w:w="1559" w:type="dxa"/>
            <w:tcBorders>
              <w:top w:val="nil"/>
              <w:left w:val="nil"/>
              <w:bottom w:val="nil"/>
              <w:right w:val="nil"/>
            </w:tcBorders>
            <w:shd w:val="clear" w:color="000000" w:fill="D9D9D9"/>
            <w:noWrap/>
            <w:hideMark/>
          </w:tcPr>
          <w:p w14:paraId="2C9EB5C6" w14:textId="77777777" w:rsidR="00AB6753" w:rsidRPr="00645119" w:rsidRDefault="00AB6753" w:rsidP="002D1EA4">
            <w:pPr>
              <w:spacing w:after="0"/>
              <w:jc w:val="right"/>
              <w:rPr>
                <w:rFonts w:cs="Arial"/>
                <w:sz w:val="18"/>
                <w:szCs w:val="18"/>
              </w:rPr>
            </w:pPr>
          </w:p>
        </w:tc>
        <w:tc>
          <w:tcPr>
            <w:tcW w:w="1701" w:type="dxa"/>
            <w:tcBorders>
              <w:top w:val="nil"/>
              <w:left w:val="nil"/>
              <w:bottom w:val="nil"/>
              <w:right w:val="nil"/>
            </w:tcBorders>
            <w:shd w:val="clear" w:color="000000" w:fill="D9D9D9"/>
            <w:noWrap/>
            <w:hideMark/>
          </w:tcPr>
          <w:p w14:paraId="5FB04532" w14:textId="77777777" w:rsidR="00AB6753" w:rsidRPr="00645119" w:rsidRDefault="00AB6753" w:rsidP="002D1EA4">
            <w:pPr>
              <w:spacing w:after="0"/>
              <w:jc w:val="right"/>
              <w:rPr>
                <w:rFonts w:cs="Arial"/>
                <w:sz w:val="18"/>
                <w:szCs w:val="18"/>
              </w:rPr>
            </w:pPr>
          </w:p>
        </w:tc>
        <w:tc>
          <w:tcPr>
            <w:tcW w:w="2268" w:type="dxa"/>
            <w:gridSpan w:val="2"/>
            <w:tcBorders>
              <w:top w:val="nil"/>
              <w:left w:val="nil"/>
              <w:bottom w:val="nil"/>
              <w:right w:val="nil"/>
            </w:tcBorders>
            <w:shd w:val="clear" w:color="000000" w:fill="D9D9D9"/>
            <w:noWrap/>
            <w:hideMark/>
          </w:tcPr>
          <w:p w14:paraId="085B67F5" w14:textId="77777777" w:rsidR="00AB6753" w:rsidRPr="00645119" w:rsidRDefault="00AB6753" w:rsidP="002D1EA4">
            <w:pPr>
              <w:spacing w:after="0"/>
              <w:jc w:val="right"/>
              <w:rPr>
                <w:rFonts w:cs="Arial"/>
                <w:sz w:val="18"/>
                <w:szCs w:val="18"/>
              </w:rPr>
            </w:pPr>
          </w:p>
        </w:tc>
        <w:tc>
          <w:tcPr>
            <w:tcW w:w="1417" w:type="dxa"/>
            <w:gridSpan w:val="2"/>
            <w:tcBorders>
              <w:top w:val="nil"/>
              <w:left w:val="nil"/>
              <w:bottom w:val="nil"/>
              <w:right w:val="nil"/>
            </w:tcBorders>
            <w:shd w:val="clear" w:color="000000" w:fill="D9D9D9"/>
            <w:noWrap/>
            <w:hideMark/>
          </w:tcPr>
          <w:p w14:paraId="35AFDED9" w14:textId="77777777" w:rsidR="00AB6753" w:rsidRPr="00645119" w:rsidRDefault="00AB6753" w:rsidP="002D1EA4">
            <w:pPr>
              <w:spacing w:after="0"/>
              <w:jc w:val="right"/>
              <w:rPr>
                <w:rFonts w:cs="Arial"/>
                <w:sz w:val="18"/>
                <w:szCs w:val="18"/>
              </w:rPr>
            </w:pPr>
          </w:p>
        </w:tc>
      </w:tr>
      <w:tr w:rsidR="00AB6753" w:rsidRPr="00645119" w14:paraId="0FDF0383" w14:textId="77777777" w:rsidTr="002D1EA4">
        <w:trPr>
          <w:trHeight w:val="227"/>
        </w:trPr>
        <w:tc>
          <w:tcPr>
            <w:tcW w:w="5982" w:type="dxa"/>
            <w:tcBorders>
              <w:top w:val="nil"/>
              <w:left w:val="nil"/>
              <w:bottom w:val="single" w:sz="4" w:space="0" w:color="D9D9D9"/>
              <w:right w:val="nil"/>
            </w:tcBorders>
            <w:shd w:val="clear" w:color="000000" w:fill="D9D9D9"/>
            <w:vAlign w:val="bottom"/>
            <w:hideMark/>
          </w:tcPr>
          <w:p w14:paraId="53A5ADC8" w14:textId="77777777" w:rsidR="00AB6753" w:rsidRPr="00645119" w:rsidRDefault="00AB6753" w:rsidP="002D1EA4">
            <w:pPr>
              <w:spacing w:after="0" w:line="240" w:lineRule="auto"/>
              <w:ind w:leftChars="100" w:left="220"/>
              <w:rPr>
                <w:rFonts w:cs="Arial"/>
                <w:iCs/>
                <w:sz w:val="18"/>
                <w:szCs w:val="18"/>
              </w:rPr>
            </w:pPr>
            <w:r w:rsidRPr="00645119">
              <w:rPr>
                <w:rFonts w:cs="Arial"/>
                <w:iCs/>
                <w:sz w:val="18"/>
                <w:szCs w:val="18"/>
              </w:rPr>
              <w:t>Ordinary annual services</w:t>
            </w:r>
          </w:p>
        </w:tc>
        <w:tc>
          <w:tcPr>
            <w:tcW w:w="1843" w:type="dxa"/>
            <w:tcBorders>
              <w:top w:val="nil"/>
              <w:left w:val="nil"/>
              <w:bottom w:val="nil"/>
              <w:right w:val="nil"/>
            </w:tcBorders>
            <w:shd w:val="clear" w:color="000000" w:fill="D9D9D9"/>
            <w:noWrap/>
          </w:tcPr>
          <w:p w14:paraId="1608A85A" w14:textId="77777777" w:rsidR="00AB6753" w:rsidRPr="00645119" w:rsidRDefault="00AB6753" w:rsidP="002D1EA4">
            <w:pPr>
              <w:spacing w:after="0"/>
              <w:jc w:val="right"/>
              <w:rPr>
                <w:rFonts w:cs="Arial"/>
                <w:sz w:val="18"/>
                <w:szCs w:val="18"/>
              </w:rPr>
            </w:pPr>
          </w:p>
        </w:tc>
        <w:tc>
          <w:tcPr>
            <w:tcW w:w="1559" w:type="dxa"/>
            <w:tcBorders>
              <w:top w:val="nil"/>
              <w:left w:val="nil"/>
              <w:bottom w:val="nil"/>
              <w:right w:val="nil"/>
            </w:tcBorders>
            <w:shd w:val="clear" w:color="000000" w:fill="D9D9D9"/>
            <w:noWrap/>
          </w:tcPr>
          <w:p w14:paraId="652F3E3D" w14:textId="77777777" w:rsidR="00AB6753" w:rsidRPr="00645119" w:rsidRDefault="00AB6753" w:rsidP="002D1EA4">
            <w:pPr>
              <w:spacing w:after="0"/>
              <w:jc w:val="right"/>
              <w:rPr>
                <w:rFonts w:cs="Arial"/>
                <w:sz w:val="18"/>
                <w:szCs w:val="18"/>
              </w:rPr>
            </w:pPr>
          </w:p>
        </w:tc>
        <w:tc>
          <w:tcPr>
            <w:tcW w:w="1701" w:type="dxa"/>
            <w:tcBorders>
              <w:top w:val="nil"/>
              <w:left w:val="nil"/>
              <w:bottom w:val="nil"/>
              <w:right w:val="nil"/>
            </w:tcBorders>
            <w:shd w:val="clear" w:color="000000" w:fill="D9D9D9"/>
            <w:noWrap/>
          </w:tcPr>
          <w:p w14:paraId="6073972E" w14:textId="77777777" w:rsidR="00AB6753" w:rsidRPr="00645119" w:rsidRDefault="00AB6753" w:rsidP="002D1EA4">
            <w:pPr>
              <w:spacing w:after="0"/>
              <w:jc w:val="right"/>
              <w:rPr>
                <w:rFonts w:cs="Arial"/>
                <w:sz w:val="18"/>
                <w:szCs w:val="18"/>
              </w:rPr>
            </w:pPr>
          </w:p>
        </w:tc>
        <w:tc>
          <w:tcPr>
            <w:tcW w:w="2268" w:type="dxa"/>
            <w:gridSpan w:val="2"/>
            <w:tcBorders>
              <w:top w:val="nil"/>
              <w:left w:val="nil"/>
              <w:bottom w:val="nil"/>
              <w:right w:val="nil"/>
            </w:tcBorders>
            <w:shd w:val="clear" w:color="000000" w:fill="D9D9D9"/>
            <w:noWrap/>
          </w:tcPr>
          <w:p w14:paraId="4D7BA490" w14:textId="77777777" w:rsidR="00AB6753" w:rsidRPr="00645119" w:rsidRDefault="00AB6753" w:rsidP="002D1EA4">
            <w:pPr>
              <w:spacing w:after="0"/>
              <w:jc w:val="right"/>
              <w:rPr>
                <w:rFonts w:cs="Arial"/>
                <w:sz w:val="18"/>
                <w:szCs w:val="18"/>
              </w:rPr>
            </w:pPr>
          </w:p>
        </w:tc>
        <w:tc>
          <w:tcPr>
            <w:tcW w:w="1417" w:type="dxa"/>
            <w:gridSpan w:val="2"/>
            <w:tcBorders>
              <w:top w:val="nil"/>
              <w:left w:val="nil"/>
              <w:bottom w:val="nil"/>
              <w:right w:val="nil"/>
            </w:tcBorders>
            <w:shd w:val="clear" w:color="000000" w:fill="D9D9D9"/>
            <w:noWrap/>
          </w:tcPr>
          <w:p w14:paraId="1B6514E3" w14:textId="77777777" w:rsidR="00AB6753" w:rsidRPr="00645119" w:rsidRDefault="00AB6753" w:rsidP="002D1EA4">
            <w:pPr>
              <w:spacing w:after="0"/>
              <w:jc w:val="right"/>
              <w:rPr>
                <w:rFonts w:cs="Arial"/>
                <w:sz w:val="18"/>
                <w:szCs w:val="18"/>
              </w:rPr>
            </w:pPr>
          </w:p>
        </w:tc>
      </w:tr>
      <w:tr w:rsidR="00AB6753" w:rsidRPr="00645119" w14:paraId="32EDFF05" w14:textId="77777777" w:rsidTr="002D1EA4">
        <w:trPr>
          <w:trHeight w:val="227"/>
        </w:trPr>
        <w:tc>
          <w:tcPr>
            <w:tcW w:w="5982" w:type="dxa"/>
            <w:tcBorders>
              <w:top w:val="nil"/>
              <w:left w:val="nil"/>
              <w:bottom w:val="single" w:sz="4" w:space="0" w:color="D9D9D9"/>
              <w:right w:val="nil"/>
            </w:tcBorders>
            <w:shd w:val="clear" w:color="000000" w:fill="D9D9D9"/>
            <w:vAlign w:val="bottom"/>
            <w:hideMark/>
          </w:tcPr>
          <w:p w14:paraId="79967128" w14:textId="77777777" w:rsidR="00AB6753" w:rsidRPr="00645119" w:rsidRDefault="00AB6753" w:rsidP="002D1EA4">
            <w:pPr>
              <w:spacing w:after="0" w:line="240" w:lineRule="auto"/>
              <w:ind w:leftChars="200" w:left="440"/>
              <w:rPr>
                <w:rFonts w:cs="Arial"/>
                <w:i/>
                <w:iCs/>
                <w:sz w:val="18"/>
                <w:szCs w:val="18"/>
              </w:rPr>
            </w:pPr>
            <w:r w:rsidRPr="00645119">
              <w:rPr>
                <w:rFonts w:cs="Arial"/>
                <w:iCs/>
                <w:sz w:val="18"/>
                <w:szCs w:val="18"/>
              </w:rPr>
              <w:t>Administered items</w:t>
            </w:r>
          </w:p>
        </w:tc>
        <w:tc>
          <w:tcPr>
            <w:tcW w:w="1843" w:type="dxa"/>
            <w:tcBorders>
              <w:top w:val="nil"/>
              <w:left w:val="nil"/>
              <w:bottom w:val="nil"/>
              <w:right w:val="nil"/>
            </w:tcBorders>
            <w:shd w:val="clear" w:color="000000" w:fill="D9D9D9"/>
            <w:noWrap/>
            <w:hideMark/>
          </w:tcPr>
          <w:p w14:paraId="1B80110E" w14:textId="77777777" w:rsidR="00AB6753" w:rsidRPr="00645119" w:rsidRDefault="00AB6753" w:rsidP="002D1EA4">
            <w:pPr>
              <w:spacing w:after="0"/>
              <w:jc w:val="right"/>
              <w:rPr>
                <w:rFonts w:cs="Arial"/>
                <w:sz w:val="18"/>
                <w:szCs w:val="18"/>
              </w:rPr>
            </w:pPr>
            <w:r w:rsidRPr="00645119">
              <w:rPr>
                <w:rFonts w:cs="Arial"/>
                <w:sz w:val="18"/>
                <w:szCs w:val="18"/>
              </w:rPr>
              <w:t xml:space="preserve">8,251,410 </w:t>
            </w:r>
          </w:p>
        </w:tc>
        <w:tc>
          <w:tcPr>
            <w:tcW w:w="1559" w:type="dxa"/>
            <w:tcBorders>
              <w:top w:val="nil"/>
              <w:left w:val="nil"/>
              <w:bottom w:val="nil"/>
              <w:right w:val="nil"/>
            </w:tcBorders>
            <w:shd w:val="clear" w:color="000000" w:fill="D9D9D9"/>
            <w:noWrap/>
            <w:hideMark/>
          </w:tcPr>
          <w:p w14:paraId="1B1B13F0" w14:textId="77777777" w:rsidR="00AB6753" w:rsidRPr="00645119" w:rsidRDefault="00AB6753" w:rsidP="002D1EA4">
            <w:pPr>
              <w:spacing w:after="0"/>
              <w:jc w:val="right"/>
              <w:rPr>
                <w:rFonts w:cs="Arial"/>
                <w:sz w:val="18"/>
                <w:szCs w:val="18"/>
              </w:rPr>
            </w:pPr>
            <w:r w:rsidRPr="00645119">
              <w:rPr>
                <w:rFonts w:cs="Arial"/>
                <w:sz w:val="18"/>
                <w:szCs w:val="18"/>
              </w:rPr>
              <w:t xml:space="preserve">1,403 </w:t>
            </w:r>
          </w:p>
        </w:tc>
        <w:tc>
          <w:tcPr>
            <w:tcW w:w="1701" w:type="dxa"/>
            <w:tcBorders>
              <w:top w:val="nil"/>
              <w:left w:val="nil"/>
              <w:bottom w:val="nil"/>
              <w:right w:val="nil"/>
            </w:tcBorders>
            <w:shd w:val="clear" w:color="000000" w:fill="D9D9D9"/>
            <w:noWrap/>
            <w:hideMark/>
          </w:tcPr>
          <w:p w14:paraId="78D8AD75" w14:textId="77777777" w:rsidR="00AB6753" w:rsidRPr="00645119" w:rsidRDefault="00AB6753" w:rsidP="002D1EA4">
            <w:pPr>
              <w:spacing w:after="0"/>
              <w:jc w:val="right"/>
              <w:rPr>
                <w:rFonts w:cs="Arial"/>
                <w:sz w:val="18"/>
                <w:szCs w:val="18"/>
              </w:rPr>
            </w:pPr>
            <w:r w:rsidRPr="00645119">
              <w:rPr>
                <w:rFonts w:cs="Arial"/>
                <w:sz w:val="18"/>
                <w:szCs w:val="18"/>
              </w:rPr>
              <w:t xml:space="preserve">8,252,813 </w:t>
            </w:r>
          </w:p>
        </w:tc>
        <w:tc>
          <w:tcPr>
            <w:tcW w:w="2268" w:type="dxa"/>
            <w:gridSpan w:val="2"/>
            <w:tcBorders>
              <w:top w:val="nil"/>
              <w:left w:val="nil"/>
              <w:bottom w:val="nil"/>
              <w:right w:val="nil"/>
            </w:tcBorders>
            <w:shd w:val="clear" w:color="000000" w:fill="D9D9D9"/>
            <w:noWrap/>
            <w:hideMark/>
          </w:tcPr>
          <w:p w14:paraId="2B836874" w14:textId="77777777" w:rsidR="00AB6753" w:rsidRPr="00645119" w:rsidRDefault="00AB6753" w:rsidP="002D1EA4">
            <w:pPr>
              <w:spacing w:after="0"/>
              <w:jc w:val="right"/>
              <w:rPr>
                <w:rFonts w:cs="Arial"/>
                <w:sz w:val="18"/>
                <w:szCs w:val="18"/>
              </w:rPr>
            </w:pPr>
            <w:r w:rsidRPr="00645119">
              <w:rPr>
                <w:rFonts w:cs="Arial"/>
                <w:sz w:val="18"/>
                <w:szCs w:val="18"/>
              </w:rPr>
              <w:t>(6,113,732)</w:t>
            </w:r>
          </w:p>
        </w:tc>
        <w:tc>
          <w:tcPr>
            <w:tcW w:w="1417" w:type="dxa"/>
            <w:gridSpan w:val="2"/>
            <w:tcBorders>
              <w:top w:val="nil"/>
              <w:left w:val="nil"/>
              <w:bottom w:val="nil"/>
              <w:right w:val="nil"/>
            </w:tcBorders>
            <w:shd w:val="clear" w:color="000000" w:fill="D9D9D9"/>
            <w:noWrap/>
            <w:hideMark/>
          </w:tcPr>
          <w:p w14:paraId="6B4AE2DC" w14:textId="77777777" w:rsidR="00AB6753" w:rsidRPr="00645119" w:rsidRDefault="00AB6753" w:rsidP="002D1EA4">
            <w:pPr>
              <w:spacing w:after="0"/>
              <w:jc w:val="right"/>
              <w:rPr>
                <w:rFonts w:cs="Arial"/>
                <w:sz w:val="18"/>
                <w:szCs w:val="18"/>
              </w:rPr>
            </w:pPr>
            <w:r w:rsidRPr="00645119">
              <w:rPr>
                <w:rFonts w:cs="Arial"/>
                <w:sz w:val="18"/>
                <w:szCs w:val="18"/>
              </w:rPr>
              <w:t xml:space="preserve">2,139,081 </w:t>
            </w:r>
          </w:p>
        </w:tc>
      </w:tr>
      <w:tr w:rsidR="00AB6753" w:rsidRPr="00645119" w14:paraId="5440CD28" w14:textId="77777777" w:rsidTr="002D1EA4">
        <w:trPr>
          <w:trHeight w:val="227"/>
        </w:trPr>
        <w:tc>
          <w:tcPr>
            <w:tcW w:w="5982" w:type="dxa"/>
            <w:tcBorders>
              <w:top w:val="nil"/>
              <w:left w:val="nil"/>
              <w:bottom w:val="single" w:sz="4" w:space="0" w:color="auto"/>
              <w:right w:val="nil"/>
            </w:tcBorders>
            <w:shd w:val="clear" w:color="000000" w:fill="D9D9D9"/>
            <w:vAlign w:val="bottom"/>
            <w:hideMark/>
          </w:tcPr>
          <w:p w14:paraId="6F5D2846" w14:textId="77777777" w:rsidR="00AB6753" w:rsidRPr="00645119" w:rsidRDefault="00AB6753" w:rsidP="002D1EA4">
            <w:pPr>
              <w:spacing w:after="0" w:line="240" w:lineRule="auto"/>
              <w:ind w:leftChars="200" w:left="440"/>
              <w:rPr>
                <w:rFonts w:cs="Arial"/>
                <w:i/>
                <w:iCs/>
                <w:sz w:val="18"/>
                <w:szCs w:val="18"/>
              </w:rPr>
            </w:pPr>
            <w:r w:rsidRPr="00645119">
              <w:rPr>
                <w:rFonts w:cs="Arial"/>
                <w:iCs/>
                <w:sz w:val="18"/>
                <w:szCs w:val="18"/>
              </w:rPr>
              <w:t>Payments to corporate Commonwealth entities</w:t>
            </w:r>
          </w:p>
        </w:tc>
        <w:tc>
          <w:tcPr>
            <w:tcW w:w="1843" w:type="dxa"/>
            <w:tcBorders>
              <w:top w:val="nil"/>
              <w:left w:val="nil"/>
              <w:bottom w:val="nil"/>
              <w:right w:val="nil"/>
            </w:tcBorders>
            <w:shd w:val="clear" w:color="000000" w:fill="D9D9D9"/>
            <w:noWrap/>
            <w:hideMark/>
          </w:tcPr>
          <w:p w14:paraId="63DEEDE1" w14:textId="77777777" w:rsidR="00AB6753" w:rsidRPr="00645119" w:rsidRDefault="00AB6753" w:rsidP="002D1EA4">
            <w:pPr>
              <w:spacing w:after="0"/>
              <w:jc w:val="right"/>
              <w:rPr>
                <w:rFonts w:cs="Arial"/>
                <w:sz w:val="18"/>
                <w:szCs w:val="18"/>
              </w:rPr>
            </w:pPr>
            <w:r w:rsidRPr="00645119">
              <w:rPr>
                <w:rFonts w:cs="Arial"/>
                <w:sz w:val="18"/>
                <w:szCs w:val="18"/>
              </w:rPr>
              <w:t xml:space="preserve">1,477,674 </w:t>
            </w:r>
          </w:p>
        </w:tc>
        <w:tc>
          <w:tcPr>
            <w:tcW w:w="1559" w:type="dxa"/>
            <w:tcBorders>
              <w:top w:val="nil"/>
              <w:left w:val="nil"/>
              <w:bottom w:val="nil"/>
              <w:right w:val="nil"/>
            </w:tcBorders>
            <w:shd w:val="clear" w:color="000000" w:fill="D9D9D9"/>
            <w:noWrap/>
            <w:hideMark/>
          </w:tcPr>
          <w:p w14:paraId="7A58B2AB" w14:textId="77777777" w:rsidR="00AB6753" w:rsidRPr="00645119" w:rsidRDefault="00AB6753" w:rsidP="002D1EA4">
            <w:pPr>
              <w:spacing w:after="0"/>
              <w:jc w:val="right"/>
              <w:rPr>
                <w:rFonts w:cs="Arial"/>
                <w:sz w:val="18"/>
                <w:szCs w:val="18"/>
              </w:rPr>
            </w:pPr>
            <w:r w:rsidRPr="00645119">
              <w:rPr>
                <w:rFonts w:cs="Arial"/>
                <w:sz w:val="18"/>
                <w:szCs w:val="18"/>
              </w:rPr>
              <w:t xml:space="preserve"> -</w:t>
            </w:r>
          </w:p>
        </w:tc>
        <w:tc>
          <w:tcPr>
            <w:tcW w:w="1701" w:type="dxa"/>
            <w:tcBorders>
              <w:top w:val="nil"/>
              <w:left w:val="nil"/>
              <w:bottom w:val="nil"/>
              <w:right w:val="nil"/>
            </w:tcBorders>
            <w:shd w:val="clear" w:color="000000" w:fill="D9D9D9"/>
            <w:noWrap/>
            <w:hideMark/>
          </w:tcPr>
          <w:p w14:paraId="37CB3379" w14:textId="77777777" w:rsidR="00AB6753" w:rsidRPr="00645119" w:rsidRDefault="00AB6753" w:rsidP="002D1EA4">
            <w:pPr>
              <w:spacing w:after="0"/>
              <w:jc w:val="right"/>
              <w:rPr>
                <w:rFonts w:cs="Arial"/>
                <w:sz w:val="18"/>
                <w:szCs w:val="18"/>
              </w:rPr>
            </w:pPr>
            <w:r w:rsidRPr="00645119">
              <w:rPr>
                <w:rFonts w:cs="Arial"/>
                <w:sz w:val="18"/>
                <w:szCs w:val="18"/>
              </w:rPr>
              <w:t xml:space="preserve">1,477,674 </w:t>
            </w:r>
          </w:p>
        </w:tc>
        <w:tc>
          <w:tcPr>
            <w:tcW w:w="2268" w:type="dxa"/>
            <w:gridSpan w:val="2"/>
            <w:tcBorders>
              <w:top w:val="nil"/>
              <w:left w:val="nil"/>
              <w:bottom w:val="nil"/>
              <w:right w:val="nil"/>
            </w:tcBorders>
            <w:shd w:val="clear" w:color="000000" w:fill="D9D9D9"/>
            <w:noWrap/>
            <w:hideMark/>
          </w:tcPr>
          <w:p w14:paraId="09826B6C" w14:textId="77777777" w:rsidR="00AB6753" w:rsidRPr="00645119" w:rsidRDefault="00AB6753" w:rsidP="002D1EA4">
            <w:pPr>
              <w:spacing w:after="0"/>
              <w:jc w:val="right"/>
              <w:rPr>
                <w:rFonts w:cs="Arial"/>
                <w:sz w:val="18"/>
                <w:szCs w:val="18"/>
              </w:rPr>
            </w:pPr>
            <w:r w:rsidRPr="00645119">
              <w:rPr>
                <w:rFonts w:cs="Arial"/>
                <w:sz w:val="18"/>
                <w:szCs w:val="18"/>
              </w:rPr>
              <w:t>(1,477,674)</w:t>
            </w:r>
          </w:p>
        </w:tc>
        <w:tc>
          <w:tcPr>
            <w:tcW w:w="1417" w:type="dxa"/>
            <w:gridSpan w:val="2"/>
            <w:tcBorders>
              <w:top w:val="nil"/>
              <w:left w:val="nil"/>
              <w:bottom w:val="nil"/>
              <w:right w:val="nil"/>
            </w:tcBorders>
            <w:shd w:val="clear" w:color="000000" w:fill="D9D9D9"/>
            <w:noWrap/>
            <w:hideMark/>
          </w:tcPr>
          <w:p w14:paraId="6B5FC621" w14:textId="77777777" w:rsidR="00AB6753" w:rsidRPr="00645119" w:rsidRDefault="00AB6753" w:rsidP="002D1EA4">
            <w:pPr>
              <w:spacing w:after="0"/>
              <w:jc w:val="right"/>
              <w:rPr>
                <w:rFonts w:cs="Arial"/>
                <w:sz w:val="18"/>
                <w:szCs w:val="18"/>
              </w:rPr>
            </w:pPr>
            <w:r w:rsidRPr="00645119">
              <w:rPr>
                <w:rFonts w:cs="Arial"/>
                <w:sz w:val="18"/>
                <w:szCs w:val="18"/>
              </w:rPr>
              <w:t xml:space="preserve"> -</w:t>
            </w:r>
          </w:p>
        </w:tc>
      </w:tr>
      <w:tr w:rsidR="00AB6753" w:rsidRPr="00645119" w14:paraId="3B78DE1D" w14:textId="77777777" w:rsidTr="002D1EA4">
        <w:trPr>
          <w:trHeight w:val="227"/>
        </w:trPr>
        <w:tc>
          <w:tcPr>
            <w:tcW w:w="5982" w:type="dxa"/>
            <w:tcBorders>
              <w:top w:val="single" w:sz="4" w:space="0" w:color="auto"/>
              <w:left w:val="nil"/>
              <w:bottom w:val="single" w:sz="4" w:space="0" w:color="auto"/>
              <w:right w:val="nil"/>
            </w:tcBorders>
            <w:shd w:val="clear" w:color="000000" w:fill="D9D9D9"/>
            <w:vAlign w:val="bottom"/>
            <w:hideMark/>
          </w:tcPr>
          <w:p w14:paraId="550B6A65" w14:textId="77777777" w:rsidR="00AB6753" w:rsidRPr="00645119" w:rsidRDefault="00AB6753" w:rsidP="002D1EA4">
            <w:pPr>
              <w:spacing w:after="0" w:line="240" w:lineRule="auto"/>
              <w:rPr>
                <w:rFonts w:cs="Arial"/>
                <w:bCs/>
                <w:sz w:val="18"/>
                <w:szCs w:val="18"/>
              </w:rPr>
            </w:pPr>
            <w:r w:rsidRPr="00645119">
              <w:rPr>
                <w:rFonts w:cs="Arial"/>
                <w:bCs/>
                <w:sz w:val="18"/>
                <w:szCs w:val="18"/>
              </w:rPr>
              <w:t>Total administered</w:t>
            </w:r>
          </w:p>
        </w:tc>
        <w:tc>
          <w:tcPr>
            <w:tcW w:w="1843" w:type="dxa"/>
            <w:tcBorders>
              <w:top w:val="single" w:sz="4" w:space="0" w:color="auto"/>
              <w:left w:val="nil"/>
              <w:bottom w:val="single" w:sz="4" w:space="0" w:color="auto"/>
              <w:right w:val="nil"/>
            </w:tcBorders>
            <w:shd w:val="clear" w:color="000000" w:fill="D9D9D9"/>
            <w:noWrap/>
            <w:hideMark/>
          </w:tcPr>
          <w:p w14:paraId="31FD8FFD" w14:textId="77777777" w:rsidR="00AB6753" w:rsidRPr="00645119" w:rsidRDefault="00AB6753" w:rsidP="002D1EA4">
            <w:pPr>
              <w:spacing w:after="0"/>
              <w:jc w:val="right"/>
              <w:rPr>
                <w:rFonts w:cs="Arial"/>
                <w:sz w:val="18"/>
                <w:szCs w:val="18"/>
              </w:rPr>
            </w:pPr>
            <w:r w:rsidRPr="00645119">
              <w:rPr>
                <w:rFonts w:cs="Arial"/>
                <w:sz w:val="18"/>
                <w:szCs w:val="18"/>
              </w:rPr>
              <w:t xml:space="preserve">9,729,084 </w:t>
            </w:r>
          </w:p>
        </w:tc>
        <w:tc>
          <w:tcPr>
            <w:tcW w:w="1559" w:type="dxa"/>
            <w:tcBorders>
              <w:top w:val="single" w:sz="4" w:space="0" w:color="auto"/>
              <w:left w:val="nil"/>
              <w:bottom w:val="single" w:sz="4" w:space="0" w:color="auto"/>
              <w:right w:val="nil"/>
            </w:tcBorders>
            <w:shd w:val="clear" w:color="000000" w:fill="D9D9D9"/>
            <w:noWrap/>
            <w:hideMark/>
          </w:tcPr>
          <w:p w14:paraId="6789BAF1" w14:textId="77777777" w:rsidR="00AB6753" w:rsidRPr="00645119" w:rsidRDefault="00AB6753" w:rsidP="002D1EA4">
            <w:pPr>
              <w:spacing w:after="0"/>
              <w:jc w:val="right"/>
              <w:rPr>
                <w:rFonts w:cs="Arial"/>
                <w:sz w:val="18"/>
                <w:szCs w:val="18"/>
              </w:rPr>
            </w:pPr>
            <w:r w:rsidRPr="00645119">
              <w:rPr>
                <w:rFonts w:cs="Arial"/>
                <w:sz w:val="18"/>
                <w:szCs w:val="18"/>
              </w:rPr>
              <w:t xml:space="preserve">1,403 </w:t>
            </w:r>
          </w:p>
        </w:tc>
        <w:tc>
          <w:tcPr>
            <w:tcW w:w="1701" w:type="dxa"/>
            <w:tcBorders>
              <w:top w:val="single" w:sz="4" w:space="0" w:color="auto"/>
              <w:left w:val="nil"/>
              <w:bottom w:val="single" w:sz="4" w:space="0" w:color="auto"/>
              <w:right w:val="nil"/>
            </w:tcBorders>
            <w:shd w:val="clear" w:color="000000" w:fill="D9D9D9"/>
            <w:noWrap/>
            <w:hideMark/>
          </w:tcPr>
          <w:p w14:paraId="29D5AE2E" w14:textId="77777777" w:rsidR="00AB6753" w:rsidRPr="00645119" w:rsidRDefault="00AB6753" w:rsidP="002D1EA4">
            <w:pPr>
              <w:spacing w:after="0"/>
              <w:jc w:val="right"/>
              <w:rPr>
                <w:rFonts w:cs="Arial"/>
                <w:sz w:val="18"/>
                <w:szCs w:val="18"/>
              </w:rPr>
            </w:pPr>
            <w:r w:rsidRPr="00645119">
              <w:rPr>
                <w:rFonts w:cs="Arial"/>
                <w:sz w:val="18"/>
                <w:szCs w:val="18"/>
              </w:rPr>
              <w:t xml:space="preserve">9,730,487 </w:t>
            </w:r>
          </w:p>
        </w:tc>
        <w:tc>
          <w:tcPr>
            <w:tcW w:w="2268" w:type="dxa"/>
            <w:gridSpan w:val="2"/>
            <w:tcBorders>
              <w:top w:val="single" w:sz="4" w:space="0" w:color="auto"/>
              <w:left w:val="nil"/>
              <w:bottom w:val="single" w:sz="4" w:space="0" w:color="auto"/>
              <w:right w:val="nil"/>
            </w:tcBorders>
            <w:shd w:val="clear" w:color="000000" w:fill="D9D9D9"/>
            <w:noWrap/>
            <w:hideMark/>
          </w:tcPr>
          <w:p w14:paraId="0587F381" w14:textId="77777777" w:rsidR="00AB6753" w:rsidRPr="00645119" w:rsidRDefault="00AB6753" w:rsidP="002D1EA4">
            <w:pPr>
              <w:spacing w:after="0"/>
              <w:jc w:val="right"/>
              <w:rPr>
                <w:rFonts w:cs="Arial"/>
                <w:sz w:val="18"/>
                <w:szCs w:val="18"/>
              </w:rPr>
            </w:pPr>
            <w:r w:rsidRPr="00645119">
              <w:rPr>
                <w:rFonts w:cs="Arial"/>
                <w:sz w:val="18"/>
                <w:szCs w:val="18"/>
              </w:rPr>
              <w:t>(7,591,406)</w:t>
            </w:r>
          </w:p>
        </w:tc>
        <w:tc>
          <w:tcPr>
            <w:tcW w:w="1417" w:type="dxa"/>
            <w:gridSpan w:val="2"/>
            <w:tcBorders>
              <w:top w:val="single" w:sz="4" w:space="0" w:color="auto"/>
              <w:left w:val="nil"/>
              <w:bottom w:val="single" w:sz="4" w:space="0" w:color="auto"/>
              <w:right w:val="nil"/>
            </w:tcBorders>
            <w:shd w:val="clear" w:color="000000" w:fill="D9D9D9"/>
            <w:noWrap/>
            <w:hideMark/>
          </w:tcPr>
          <w:p w14:paraId="4B9558B4" w14:textId="77777777" w:rsidR="00AB6753" w:rsidRPr="00645119" w:rsidRDefault="00AB6753" w:rsidP="002D1EA4">
            <w:pPr>
              <w:spacing w:after="0"/>
              <w:jc w:val="right"/>
              <w:rPr>
                <w:rFonts w:cs="Arial"/>
                <w:sz w:val="18"/>
                <w:szCs w:val="18"/>
              </w:rPr>
            </w:pPr>
            <w:r w:rsidRPr="00645119">
              <w:rPr>
                <w:rFonts w:cs="Arial"/>
                <w:sz w:val="18"/>
                <w:szCs w:val="18"/>
              </w:rPr>
              <w:t xml:space="preserve">2,139,081 </w:t>
            </w:r>
          </w:p>
        </w:tc>
      </w:tr>
    </w:tbl>
    <w:p w14:paraId="26EDC784" w14:textId="77777777" w:rsidR="00AB6753" w:rsidRPr="00645119" w:rsidRDefault="00AB6753" w:rsidP="00AB6753">
      <w:pPr>
        <w:pStyle w:val="NotesText0"/>
        <w:spacing w:before="0" w:after="120"/>
        <w:rPr>
          <w:rFonts w:cs="Arial"/>
          <w:szCs w:val="18"/>
        </w:rPr>
      </w:pPr>
    </w:p>
    <w:p w14:paraId="0B0BE9A6" w14:textId="77777777" w:rsidR="00AB6753" w:rsidRPr="00645119" w:rsidRDefault="00AB6753" w:rsidP="00AB6753">
      <w:pPr>
        <w:pStyle w:val="NotesText0"/>
        <w:numPr>
          <w:ilvl w:val="0"/>
          <w:numId w:val="48"/>
        </w:numPr>
        <w:spacing w:before="0" w:after="120"/>
        <w:ind w:left="142" w:hanging="142"/>
        <w:rPr>
          <w:rFonts w:cs="Arial"/>
          <w:szCs w:val="18"/>
        </w:rPr>
      </w:pPr>
      <w:r w:rsidRPr="00645119">
        <w:rPr>
          <w:rFonts w:cs="Arial"/>
          <w:szCs w:val="18"/>
        </w:rPr>
        <w:t>Departmental adjustments are current year section 75 transfers of $39.155 million, including $0.514 million of departmental capital appropriation, which relates to the transfer of functions with the Department of Health, the former Department of Education, the Department of the Prime Minister and Cabinet and the NDIS Quality and Safeguards Commission and $66.990 million of section 74 receipts. The administered adjustments are section 75 transfers of $0.126 million which relates to the transfer of the National Office for Child Safety functions to the Department of the Prime Minister and Cabinet and section 74 receipts of $1.529 million.</w:t>
      </w:r>
    </w:p>
    <w:p w14:paraId="630F3ED9" w14:textId="77777777" w:rsidR="00AB6753" w:rsidRPr="00645119" w:rsidRDefault="00AB6753" w:rsidP="00AB6753">
      <w:pPr>
        <w:pStyle w:val="NotesText0"/>
        <w:numPr>
          <w:ilvl w:val="0"/>
          <w:numId w:val="48"/>
        </w:numPr>
        <w:spacing w:before="0" w:after="120"/>
        <w:ind w:left="142" w:hanging="142"/>
        <w:rPr>
          <w:rFonts w:cs="Arial"/>
          <w:szCs w:val="18"/>
        </w:rPr>
      </w:pPr>
      <w:r w:rsidRPr="00645119">
        <w:rPr>
          <w:rFonts w:cs="Arial"/>
          <w:szCs w:val="18"/>
        </w:rPr>
        <w:t xml:space="preserve">The departmental variance relates to the movement in cash and appropriation receivable between the current and prior financial year. The administered variance consists of </w:t>
      </w:r>
      <w:r>
        <w:rPr>
          <w:rFonts w:cs="Arial"/>
          <w:szCs w:val="18"/>
        </w:rPr>
        <w:br/>
      </w:r>
      <w:r w:rsidRPr="00645119">
        <w:rPr>
          <w:rFonts w:cs="Arial"/>
          <w:szCs w:val="18"/>
        </w:rPr>
        <w:t>$206.030 million for the payment of prior year expense accruals during the 2019 financial year offset by $2,345.111 million that represents unspent available appropriations for administered items.</w:t>
      </w:r>
    </w:p>
    <w:p w14:paraId="5AEAF7DA" w14:textId="77777777" w:rsidR="00AB6753" w:rsidRPr="00645119" w:rsidRDefault="00AB6753" w:rsidP="00AB6753">
      <w:pPr>
        <w:pStyle w:val="NotesText0"/>
        <w:numPr>
          <w:ilvl w:val="0"/>
          <w:numId w:val="48"/>
        </w:numPr>
        <w:spacing w:before="0" w:after="120"/>
        <w:ind w:left="142" w:hanging="142"/>
        <w:rPr>
          <w:rFonts w:cs="Arial"/>
          <w:szCs w:val="18"/>
        </w:rPr>
      </w:pPr>
      <w:r w:rsidRPr="00645119">
        <w:rPr>
          <w:rFonts w:cs="Arial"/>
          <w:szCs w:val="18"/>
        </w:rPr>
        <w:t>Departmental Capital Budgets are appropriated through Appropriation Acts (No.1, 3, 5). They form part of ordinary annual services, and are not separately identified in the Appropriation Acts.</w:t>
      </w:r>
    </w:p>
    <w:p w14:paraId="03334B0E" w14:textId="77777777" w:rsidR="00AB6753" w:rsidRDefault="00AB6753" w:rsidP="00AB6753">
      <w:pPr>
        <w:spacing w:line="240" w:lineRule="auto"/>
        <w:rPr>
          <w:sz w:val="18"/>
          <w:szCs w:val="18"/>
          <w:lang w:eastAsia="en-AU"/>
        </w:rPr>
      </w:pPr>
    </w:p>
    <w:p w14:paraId="61D2F7EE" w14:textId="77777777" w:rsidR="00AB6753" w:rsidRDefault="00AB6753" w:rsidP="00AB6753">
      <w:pPr>
        <w:pStyle w:val="ContinuedSubHeading"/>
        <w:sectPr w:rsidR="00AB6753" w:rsidSect="00C63A3F">
          <w:pgSz w:w="16838" w:h="11906" w:orient="landscape" w:code="9"/>
          <w:pgMar w:top="1134" w:right="1134" w:bottom="1416" w:left="993" w:header="958" w:footer="737" w:gutter="0"/>
          <w:cols w:space="708"/>
          <w:docGrid w:linePitch="360"/>
        </w:sectPr>
      </w:pPr>
    </w:p>
    <w:p w14:paraId="757E46DE" w14:textId="77777777" w:rsidR="00AB6753" w:rsidRDefault="00AB6753" w:rsidP="00AB6753">
      <w:pPr>
        <w:pStyle w:val="SubHeading"/>
      </w:pPr>
      <w:r>
        <w:rPr>
          <w:sz w:val="20"/>
        </w:rPr>
        <w:lastRenderedPageBreak/>
        <w:t>5.1</w:t>
      </w:r>
      <w:r w:rsidRPr="001D7B4C">
        <w:rPr>
          <w:sz w:val="20"/>
        </w:rPr>
        <w:t xml:space="preserve"> Appropriations</w:t>
      </w:r>
      <w:r w:rsidRPr="0012341A">
        <w:t xml:space="preserve"> (continued)</w:t>
      </w:r>
    </w:p>
    <w:p w14:paraId="0871A897" w14:textId="77777777" w:rsidR="00AB6753" w:rsidRPr="00615AEF" w:rsidRDefault="00AB6753" w:rsidP="00AB6753">
      <w:pPr>
        <w:rPr>
          <w:rFonts w:cs="Arial"/>
          <w:sz w:val="17"/>
          <w:szCs w:val="17"/>
        </w:rPr>
      </w:pPr>
    </w:p>
    <w:tbl>
      <w:tblPr>
        <w:tblW w:w="13893" w:type="dxa"/>
        <w:tblInd w:w="80" w:type="dxa"/>
        <w:tblLayout w:type="fixed"/>
        <w:tblLook w:val="04A0" w:firstRow="1" w:lastRow="0" w:firstColumn="1" w:lastColumn="0" w:noHBand="0" w:noVBand="1"/>
        <w:tblCaption w:val="Notes to and forming part of the financial statements"/>
        <w:tblDescription w:val="Appropriations continued"/>
      </w:tblPr>
      <w:tblGrid>
        <w:gridCol w:w="6691"/>
        <w:gridCol w:w="1559"/>
        <w:gridCol w:w="1276"/>
        <w:gridCol w:w="2798"/>
        <w:gridCol w:w="1333"/>
        <w:gridCol w:w="236"/>
      </w:tblGrid>
      <w:tr w:rsidR="00AB6753" w14:paraId="76E26786" w14:textId="77777777" w:rsidTr="002D1EA4">
        <w:trPr>
          <w:trHeight w:val="70"/>
        </w:trPr>
        <w:tc>
          <w:tcPr>
            <w:tcW w:w="12324" w:type="dxa"/>
            <w:gridSpan w:val="4"/>
            <w:tcBorders>
              <w:top w:val="nil"/>
              <w:left w:val="nil"/>
              <w:bottom w:val="nil"/>
              <w:right w:val="nil"/>
            </w:tcBorders>
            <w:shd w:val="clear" w:color="auto" w:fill="auto"/>
            <w:noWrap/>
            <w:vAlign w:val="bottom"/>
            <w:hideMark/>
          </w:tcPr>
          <w:p w14:paraId="0B5D58BD" w14:textId="77777777" w:rsidR="00AB6753" w:rsidRPr="009233AE" w:rsidRDefault="00AB6753" w:rsidP="002D1EA4">
            <w:pPr>
              <w:spacing w:after="0" w:line="240" w:lineRule="auto"/>
              <w:rPr>
                <w:rFonts w:cs="Arial"/>
                <w:b/>
                <w:bCs/>
                <w:sz w:val="18"/>
                <w:szCs w:val="18"/>
                <w:u w:val="single"/>
              </w:rPr>
            </w:pPr>
            <w:r w:rsidRPr="009233AE">
              <w:rPr>
                <w:rFonts w:cs="Arial"/>
                <w:b/>
                <w:bCs/>
                <w:sz w:val="18"/>
                <w:szCs w:val="18"/>
                <w:u w:val="single"/>
              </w:rPr>
              <w:t>Note 5.1</w:t>
            </w:r>
            <w:r>
              <w:rPr>
                <w:rFonts w:cs="Arial"/>
                <w:b/>
                <w:bCs/>
                <w:sz w:val="18"/>
                <w:szCs w:val="18"/>
                <w:u w:val="single"/>
              </w:rPr>
              <w:t>B</w:t>
            </w:r>
            <w:r w:rsidRPr="009233AE">
              <w:rPr>
                <w:rFonts w:cs="Arial"/>
                <w:b/>
                <w:bCs/>
                <w:sz w:val="18"/>
                <w:szCs w:val="18"/>
                <w:u w:val="single"/>
              </w:rPr>
              <w:t xml:space="preserve">: </w:t>
            </w:r>
            <w:r>
              <w:rPr>
                <w:rFonts w:cs="Arial"/>
                <w:b/>
                <w:bCs/>
                <w:sz w:val="18"/>
                <w:szCs w:val="18"/>
                <w:u w:val="single"/>
              </w:rPr>
              <w:t>Unspent annual</w:t>
            </w:r>
            <w:r w:rsidRPr="009233AE">
              <w:rPr>
                <w:rFonts w:cs="Arial"/>
                <w:b/>
                <w:bCs/>
                <w:sz w:val="18"/>
                <w:szCs w:val="18"/>
                <w:u w:val="single"/>
              </w:rPr>
              <w:t xml:space="preserve"> appropriations ('recoverable GST exclusive')</w:t>
            </w:r>
          </w:p>
        </w:tc>
        <w:tc>
          <w:tcPr>
            <w:tcW w:w="1333" w:type="dxa"/>
            <w:tcBorders>
              <w:top w:val="nil"/>
              <w:left w:val="nil"/>
              <w:bottom w:val="nil"/>
              <w:right w:val="nil"/>
            </w:tcBorders>
            <w:shd w:val="clear" w:color="auto" w:fill="auto"/>
            <w:vAlign w:val="bottom"/>
            <w:hideMark/>
          </w:tcPr>
          <w:p w14:paraId="172200C3" w14:textId="77777777" w:rsidR="00AB6753" w:rsidRDefault="00AB6753" w:rsidP="002D1EA4">
            <w:pPr>
              <w:spacing w:after="0" w:line="240" w:lineRule="auto"/>
              <w:rPr>
                <w:rFonts w:cs="Arial"/>
                <w:b/>
                <w:bCs/>
                <w:sz w:val="18"/>
                <w:szCs w:val="18"/>
              </w:rPr>
            </w:pPr>
          </w:p>
        </w:tc>
        <w:tc>
          <w:tcPr>
            <w:tcW w:w="236" w:type="dxa"/>
            <w:tcBorders>
              <w:top w:val="nil"/>
              <w:left w:val="nil"/>
              <w:bottom w:val="nil"/>
              <w:right w:val="nil"/>
            </w:tcBorders>
            <w:shd w:val="clear" w:color="auto" w:fill="auto"/>
            <w:vAlign w:val="bottom"/>
            <w:hideMark/>
          </w:tcPr>
          <w:p w14:paraId="0E83F1DD" w14:textId="77777777" w:rsidR="00AB6753" w:rsidRDefault="00AB6753" w:rsidP="002D1EA4">
            <w:pPr>
              <w:spacing w:after="0" w:line="240" w:lineRule="auto"/>
              <w:jc w:val="right"/>
              <w:rPr>
                <w:sz w:val="20"/>
              </w:rPr>
            </w:pPr>
          </w:p>
        </w:tc>
      </w:tr>
      <w:tr w:rsidR="00AB6753" w:rsidRPr="00A1451E" w14:paraId="3AECF8F6" w14:textId="77777777" w:rsidTr="002D1EA4">
        <w:trPr>
          <w:gridAfter w:val="3"/>
          <w:wAfter w:w="4367" w:type="dxa"/>
          <w:trHeight w:val="227"/>
        </w:trPr>
        <w:tc>
          <w:tcPr>
            <w:tcW w:w="6691" w:type="dxa"/>
            <w:tcBorders>
              <w:left w:val="nil"/>
              <w:bottom w:val="nil"/>
              <w:right w:val="nil"/>
            </w:tcBorders>
            <w:shd w:val="clear" w:color="auto" w:fill="auto"/>
            <w:noWrap/>
            <w:vAlign w:val="bottom"/>
            <w:hideMark/>
          </w:tcPr>
          <w:p w14:paraId="66AA8161" w14:textId="77777777" w:rsidR="00AB6753" w:rsidRDefault="00AB6753" w:rsidP="002D1EA4">
            <w:pPr>
              <w:spacing w:after="0" w:line="240" w:lineRule="auto"/>
              <w:rPr>
                <w:rFonts w:cs="Arial"/>
                <w:b/>
                <w:bCs/>
                <w:color w:val="000000"/>
                <w:sz w:val="18"/>
                <w:szCs w:val="18"/>
                <w:u w:val="single"/>
              </w:rPr>
            </w:pPr>
          </w:p>
        </w:tc>
        <w:tc>
          <w:tcPr>
            <w:tcW w:w="1559" w:type="dxa"/>
            <w:tcBorders>
              <w:left w:val="nil"/>
              <w:bottom w:val="nil"/>
              <w:right w:val="nil"/>
            </w:tcBorders>
            <w:shd w:val="clear" w:color="auto" w:fill="auto"/>
            <w:hideMark/>
          </w:tcPr>
          <w:p w14:paraId="36325043" w14:textId="77777777" w:rsidR="00AB6753" w:rsidRPr="00A1451E" w:rsidRDefault="00AB6753" w:rsidP="002D1EA4">
            <w:pPr>
              <w:spacing w:after="0"/>
              <w:jc w:val="right"/>
              <w:rPr>
                <w:rFonts w:cs="Arial"/>
                <w:b/>
                <w:sz w:val="18"/>
                <w:szCs w:val="16"/>
              </w:rPr>
            </w:pPr>
            <w:r w:rsidRPr="00A1451E">
              <w:rPr>
                <w:rFonts w:cs="Arial"/>
                <w:b/>
                <w:sz w:val="18"/>
                <w:szCs w:val="16"/>
              </w:rPr>
              <w:t>2020</w:t>
            </w:r>
          </w:p>
        </w:tc>
        <w:tc>
          <w:tcPr>
            <w:tcW w:w="1276" w:type="dxa"/>
            <w:tcBorders>
              <w:left w:val="nil"/>
              <w:bottom w:val="nil"/>
              <w:right w:val="nil"/>
            </w:tcBorders>
            <w:shd w:val="clear" w:color="auto" w:fill="auto"/>
            <w:hideMark/>
          </w:tcPr>
          <w:p w14:paraId="433DF501" w14:textId="77777777" w:rsidR="00AB6753" w:rsidRPr="00A1451E" w:rsidRDefault="00AB6753" w:rsidP="002D1EA4">
            <w:pPr>
              <w:spacing w:after="0"/>
              <w:jc w:val="right"/>
              <w:rPr>
                <w:rFonts w:cs="Arial"/>
                <w:sz w:val="18"/>
                <w:szCs w:val="16"/>
                <w:vertAlign w:val="superscript"/>
              </w:rPr>
            </w:pPr>
            <w:r w:rsidRPr="00A1451E">
              <w:rPr>
                <w:rFonts w:cs="Arial"/>
                <w:sz w:val="18"/>
                <w:szCs w:val="16"/>
              </w:rPr>
              <w:t>2019</w:t>
            </w:r>
          </w:p>
        </w:tc>
      </w:tr>
      <w:tr w:rsidR="00AB6753" w:rsidRPr="00A1451E" w14:paraId="5EB1AB8F" w14:textId="77777777" w:rsidTr="002D1EA4">
        <w:trPr>
          <w:gridAfter w:val="3"/>
          <w:wAfter w:w="4367" w:type="dxa"/>
          <w:trHeight w:val="227"/>
        </w:trPr>
        <w:tc>
          <w:tcPr>
            <w:tcW w:w="6691" w:type="dxa"/>
            <w:tcBorders>
              <w:top w:val="nil"/>
              <w:left w:val="nil"/>
              <w:bottom w:val="single" w:sz="4" w:space="0" w:color="auto"/>
              <w:right w:val="nil"/>
            </w:tcBorders>
            <w:shd w:val="clear" w:color="auto" w:fill="auto"/>
            <w:vAlign w:val="bottom"/>
            <w:hideMark/>
          </w:tcPr>
          <w:p w14:paraId="3017C7CA" w14:textId="77777777" w:rsidR="00AB6753" w:rsidRDefault="00AB6753" w:rsidP="002D1EA4">
            <w:pPr>
              <w:spacing w:after="0" w:line="240" w:lineRule="auto"/>
              <w:rPr>
                <w:rFonts w:cs="Arial"/>
                <w:b/>
                <w:bCs/>
                <w:sz w:val="18"/>
                <w:szCs w:val="18"/>
              </w:rPr>
            </w:pPr>
            <w:r>
              <w:rPr>
                <w:rFonts w:cs="Arial"/>
                <w:b/>
                <w:bCs/>
                <w:sz w:val="18"/>
                <w:szCs w:val="18"/>
              </w:rPr>
              <w:t> </w:t>
            </w:r>
          </w:p>
        </w:tc>
        <w:tc>
          <w:tcPr>
            <w:tcW w:w="1559" w:type="dxa"/>
            <w:tcBorders>
              <w:top w:val="nil"/>
              <w:left w:val="nil"/>
              <w:bottom w:val="single" w:sz="4" w:space="0" w:color="auto"/>
              <w:right w:val="nil"/>
            </w:tcBorders>
            <w:shd w:val="clear" w:color="auto" w:fill="auto"/>
            <w:noWrap/>
            <w:vAlign w:val="bottom"/>
            <w:hideMark/>
          </w:tcPr>
          <w:p w14:paraId="1B5862BB" w14:textId="77777777" w:rsidR="00AB6753" w:rsidRPr="00A1451E" w:rsidRDefault="00AB6753" w:rsidP="002D1EA4">
            <w:pPr>
              <w:spacing w:after="0" w:line="240" w:lineRule="auto"/>
              <w:jc w:val="right"/>
              <w:rPr>
                <w:rFonts w:cs="Arial"/>
                <w:b/>
                <w:bCs/>
                <w:sz w:val="18"/>
                <w:szCs w:val="16"/>
              </w:rPr>
            </w:pPr>
            <w:r w:rsidRPr="00A1451E">
              <w:rPr>
                <w:rFonts w:cs="Arial"/>
                <w:b/>
                <w:bCs/>
                <w:sz w:val="18"/>
                <w:szCs w:val="16"/>
              </w:rPr>
              <w:t>$'000</w:t>
            </w:r>
          </w:p>
        </w:tc>
        <w:tc>
          <w:tcPr>
            <w:tcW w:w="1276" w:type="dxa"/>
            <w:tcBorders>
              <w:top w:val="nil"/>
              <w:left w:val="nil"/>
              <w:bottom w:val="single" w:sz="4" w:space="0" w:color="auto"/>
              <w:right w:val="nil"/>
            </w:tcBorders>
            <w:shd w:val="clear" w:color="auto" w:fill="auto"/>
            <w:noWrap/>
            <w:vAlign w:val="bottom"/>
            <w:hideMark/>
          </w:tcPr>
          <w:p w14:paraId="28D06B50" w14:textId="77777777" w:rsidR="00AB6753" w:rsidRPr="00A1451E" w:rsidRDefault="00AB6753" w:rsidP="002D1EA4">
            <w:pPr>
              <w:spacing w:after="0" w:line="240" w:lineRule="auto"/>
              <w:jc w:val="right"/>
              <w:rPr>
                <w:rFonts w:cs="Arial"/>
                <w:bCs/>
                <w:sz w:val="18"/>
                <w:szCs w:val="16"/>
              </w:rPr>
            </w:pPr>
            <w:r w:rsidRPr="00A1451E">
              <w:rPr>
                <w:rFonts w:cs="Arial"/>
                <w:bCs/>
                <w:sz w:val="18"/>
                <w:szCs w:val="16"/>
              </w:rPr>
              <w:t>$'000</w:t>
            </w:r>
          </w:p>
        </w:tc>
      </w:tr>
      <w:tr w:rsidR="00AB6753" w14:paraId="3545A85E" w14:textId="77777777" w:rsidTr="002D1EA4">
        <w:trPr>
          <w:gridAfter w:val="3"/>
          <w:wAfter w:w="4367" w:type="dxa"/>
          <w:trHeight w:val="227"/>
        </w:trPr>
        <w:tc>
          <w:tcPr>
            <w:tcW w:w="6691" w:type="dxa"/>
            <w:tcBorders>
              <w:top w:val="nil"/>
              <w:left w:val="nil"/>
              <w:bottom w:val="nil"/>
              <w:right w:val="nil"/>
            </w:tcBorders>
            <w:shd w:val="clear" w:color="auto" w:fill="auto"/>
            <w:noWrap/>
            <w:vAlign w:val="bottom"/>
            <w:hideMark/>
          </w:tcPr>
          <w:p w14:paraId="610F826F" w14:textId="77777777" w:rsidR="00AB6753" w:rsidRDefault="00AB6753" w:rsidP="002D1EA4">
            <w:pPr>
              <w:spacing w:after="0" w:line="240" w:lineRule="auto"/>
              <w:rPr>
                <w:rFonts w:cs="Arial"/>
                <w:b/>
                <w:bCs/>
                <w:sz w:val="18"/>
                <w:szCs w:val="18"/>
              </w:rPr>
            </w:pPr>
            <w:r>
              <w:rPr>
                <w:rFonts w:cs="Arial"/>
                <w:b/>
                <w:bCs/>
                <w:sz w:val="18"/>
                <w:szCs w:val="18"/>
              </w:rPr>
              <w:t>Departmental</w:t>
            </w:r>
          </w:p>
        </w:tc>
        <w:tc>
          <w:tcPr>
            <w:tcW w:w="1559" w:type="dxa"/>
            <w:tcBorders>
              <w:top w:val="nil"/>
              <w:left w:val="nil"/>
              <w:bottom w:val="nil"/>
              <w:right w:val="nil"/>
            </w:tcBorders>
            <w:shd w:val="clear" w:color="auto" w:fill="auto"/>
            <w:noWrap/>
            <w:vAlign w:val="bottom"/>
            <w:hideMark/>
          </w:tcPr>
          <w:p w14:paraId="2B0BD556" w14:textId="77777777" w:rsidR="00AB6753" w:rsidRDefault="00AB6753" w:rsidP="002D1EA4">
            <w:pPr>
              <w:spacing w:after="0" w:line="240" w:lineRule="auto"/>
              <w:rPr>
                <w:rFonts w:cs="Arial"/>
                <w:b/>
                <w:bCs/>
                <w:sz w:val="18"/>
                <w:szCs w:val="18"/>
              </w:rPr>
            </w:pPr>
          </w:p>
        </w:tc>
        <w:tc>
          <w:tcPr>
            <w:tcW w:w="1276" w:type="dxa"/>
            <w:tcBorders>
              <w:top w:val="nil"/>
              <w:left w:val="nil"/>
              <w:bottom w:val="nil"/>
              <w:right w:val="nil"/>
            </w:tcBorders>
            <w:shd w:val="clear" w:color="auto" w:fill="auto"/>
            <w:noWrap/>
            <w:vAlign w:val="bottom"/>
            <w:hideMark/>
          </w:tcPr>
          <w:p w14:paraId="00040522" w14:textId="77777777" w:rsidR="00AB6753" w:rsidRPr="001F2D66" w:rsidRDefault="00AB6753" w:rsidP="002D1EA4">
            <w:pPr>
              <w:spacing w:after="0" w:line="240" w:lineRule="auto"/>
              <w:jc w:val="right"/>
              <w:rPr>
                <w:sz w:val="20"/>
              </w:rPr>
            </w:pPr>
          </w:p>
        </w:tc>
      </w:tr>
      <w:tr w:rsidR="00AB6753" w:rsidRPr="009F629A" w14:paraId="7B42137D" w14:textId="77777777" w:rsidTr="002D1EA4">
        <w:trPr>
          <w:gridAfter w:val="3"/>
          <w:wAfter w:w="4367" w:type="dxa"/>
          <w:trHeight w:val="227"/>
        </w:trPr>
        <w:tc>
          <w:tcPr>
            <w:tcW w:w="6691" w:type="dxa"/>
            <w:tcBorders>
              <w:top w:val="nil"/>
              <w:left w:val="nil"/>
              <w:bottom w:val="nil"/>
              <w:right w:val="nil"/>
            </w:tcBorders>
            <w:shd w:val="clear" w:color="000000" w:fill="FFFFFF"/>
            <w:noWrap/>
          </w:tcPr>
          <w:p w14:paraId="4C58EEC6" w14:textId="77777777" w:rsidR="00AB6753" w:rsidRPr="00A1451E" w:rsidRDefault="00AB6753" w:rsidP="002D1EA4">
            <w:pPr>
              <w:spacing w:after="0"/>
              <w:ind w:leftChars="100" w:left="220"/>
              <w:rPr>
                <w:rFonts w:cs="Arial"/>
                <w:i/>
                <w:sz w:val="18"/>
              </w:rPr>
            </w:pPr>
            <w:r w:rsidRPr="00A1451E">
              <w:rPr>
                <w:rFonts w:cs="Arial"/>
                <w:i/>
                <w:sz w:val="18"/>
              </w:rPr>
              <w:t>Appropriation Act (No. 1) 2018-19</w:t>
            </w:r>
          </w:p>
        </w:tc>
        <w:tc>
          <w:tcPr>
            <w:tcW w:w="1559" w:type="dxa"/>
            <w:tcBorders>
              <w:top w:val="nil"/>
              <w:left w:val="nil"/>
              <w:bottom w:val="nil"/>
              <w:right w:val="nil"/>
            </w:tcBorders>
            <w:shd w:val="clear" w:color="FFFFFF" w:fill="FFFFFF"/>
            <w:noWrap/>
            <w:hideMark/>
          </w:tcPr>
          <w:p w14:paraId="0ACCF451" w14:textId="77777777" w:rsidR="00AB6753" w:rsidRPr="006973B8" w:rsidRDefault="00AB6753" w:rsidP="002D1EA4">
            <w:pPr>
              <w:spacing w:after="0"/>
              <w:jc w:val="right"/>
              <w:rPr>
                <w:rFonts w:cs="Arial"/>
                <w:b/>
                <w:sz w:val="18"/>
                <w:szCs w:val="18"/>
              </w:rPr>
            </w:pPr>
            <w:r w:rsidRPr="006973B8">
              <w:rPr>
                <w:rFonts w:cs="Arial"/>
                <w:b/>
                <w:sz w:val="18"/>
                <w:szCs w:val="18"/>
              </w:rPr>
              <w:t xml:space="preserve"> -</w:t>
            </w:r>
          </w:p>
        </w:tc>
        <w:tc>
          <w:tcPr>
            <w:tcW w:w="1276" w:type="dxa"/>
            <w:tcBorders>
              <w:top w:val="nil"/>
              <w:left w:val="nil"/>
              <w:bottom w:val="nil"/>
              <w:right w:val="nil"/>
            </w:tcBorders>
            <w:shd w:val="clear" w:color="FFFFFF" w:fill="FFFFFF"/>
            <w:noWrap/>
            <w:hideMark/>
          </w:tcPr>
          <w:p w14:paraId="73C58311" w14:textId="77777777" w:rsidR="00AB6753" w:rsidRPr="006973B8" w:rsidRDefault="00AB6753" w:rsidP="002D1EA4">
            <w:pPr>
              <w:spacing w:after="0"/>
              <w:jc w:val="right"/>
              <w:rPr>
                <w:rFonts w:cs="Arial"/>
                <w:sz w:val="18"/>
                <w:szCs w:val="18"/>
              </w:rPr>
            </w:pPr>
            <w:r w:rsidRPr="006973B8">
              <w:rPr>
                <w:rFonts w:cs="Arial"/>
                <w:sz w:val="18"/>
                <w:szCs w:val="18"/>
              </w:rPr>
              <w:t xml:space="preserve">69,635 </w:t>
            </w:r>
          </w:p>
        </w:tc>
      </w:tr>
      <w:tr w:rsidR="00AB6753" w:rsidRPr="009F629A" w14:paraId="068F97C2" w14:textId="77777777" w:rsidTr="002D1EA4">
        <w:trPr>
          <w:gridAfter w:val="3"/>
          <w:wAfter w:w="4367" w:type="dxa"/>
          <w:trHeight w:val="227"/>
        </w:trPr>
        <w:tc>
          <w:tcPr>
            <w:tcW w:w="6691" w:type="dxa"/>
            <w:tcBorders>
              <w:top w:val="nil"/>
              <w:left w:val="nil"/>
              <w:bottom w:val="nil"/>
              <w:right w:val="nil"/>
            </w:tcBorders>
            <w:shd w:val="clear" w:color="000000" w:fill="FFFFFF"/>
            <w:noWrap/>
          </w:tcPr>
          <w:p w14:paraId="30F2AD67" w14:textId="77777777" w:rsidR="00AB6753" w:rsidRPr="001F2D66" w:rsidRDefault="00AB6753" w:rsidP="002D1EA4">
            <w:pPr>
              <w:spacing w:after="0"/>
              <w:ind w:leftChars="100" w:left="220"/>
              <w:rPr>
                <w:rFonts w:cs="Arial"/>
                <w:sz w:val="18"/>
              </w:rPr>
            </w:pPr>
            <w:r w:rsidRPr="00A1451E">
              <w:rPr>
                <w:rFonts w:cs="Arial"/>
                <w:i/>
                <w:sz w:val="18"/>
              </w:rPr>
              <w:t>Appropriation Act (No. 3) 2018-19</w:t>
            </w:r>
            <w:r w:rsidRPr="001F2D66">
              <w:rPr>
                <w:rFonts w:cs="Arial"/>
                <w:sz w:val="18"/>
                <w:vertAlign w:val="superscript"/>
              </w:rPr>
              <w:t>1</w:t>
            </w:r>
          </w:p>
        </w:tc>
        <w:tc>
          <w:tcPr>
            <w:tcW w:w="1559" w:type="dxa"/>
            <w:tcBorders>
              <w:top w:val="nil"/>
              <w:left w:val="nil"/>
              <w:bottom w:val="nil"/>
              <w:right w:val="nil"/>
            </w:tcBorders>
            <w:shd w:val="clear" w:color="FFFFFF" w:fill="FFFFFF"/>
            <w:noWrap/>
            <w:hideMark/>
          </w:tcPr>
          <w:p w14:paraId="68F32028" w14:textId="77777777" w:rsidR="00AB6753" w:rsidRPr="006973B8" w:rsidRDefault="00AB6753" w:rsidP="002D1EA4">
            <w:pPr>
              <w:spacing w:after="0"/>
              <w:jc w:val="right"/>
              <w:rPr>
                <w:rFonts w:cs="Arial"/>
                <w:b/>
                <w:sz w:val="18"/>
                <w:szCs w:val="18"/>
              </w:rPr>
            </w:pPr>
            <w:r w:rsidRPr="006973B8">
              <w:rPr>
                <w:rFonts w:cs="Arial"/>
                <w:b/>
                <w:sz w:val="18"/>
                <w:szCs w:val="18"/>
              </w:rPr>
              <w:t xml:space="preserve">784 </w:t>
            </w:r>
          </w:p>
        </w:tc>
        <w:tc>
          <w:tcPr>
            <w:tcW w:w="1276" w:type="dxa"/>
            <w:tcBorders>
              <w:top w:val="nil"/>
              <w:left w:val="nil"/>
              <w:bottom w:val="nil"/>
              <w:right w:val="nil"/>
            </w:tcBorders>
            <w:shd w:val="clear" w:color="FFFFFF" w:fill="FFFFFF"/>
            <w:noWrap/>
            <w:hideMark/>
          </w:tcPr>
          <w:p w14:paraId="52259345" w14:textId="77777777" w:rsidR="00AB6753" w:rsidRPr="006973B8" w:rsidRDefault="00AB6753" w:rsidP="002D1EA4">
            <w:pPr>
              <w:spacing w:after="0"/>
              <w:jc w:val="right"/>
              <w:rPr>
                <w:rFonts w:cs="Arial"/>
                <w:sz w:val="18"/>
                <w:szCs w:val="18"/>
              </w:rPr>
            </w:pPr>
            <w:r w:rsidRPr="006973B8">
              <w:rPr>
                <w:rFonts w:cs="Arial"/>
                <w:sz w:val="18"/>
                <w:szCs w:val="18"/>
              </w:rPr>
              <w:t xml:space="preserve">6,076 </w:t>
            </w:r>
          </w:p>
        </w:tc>
      </w:tr>
      <w:tr w:rsidR="00AB6753" w:rsidRPr="009F629A" w14:paraId="656BFC5E" w14:textId="77777777" w:rsidTr="002D1EA4">
        <w:trPr>
          <w:gridAfter w:val="3"/>
          <w:wAfter w:w="4367" w:type="dxa"/>
          <w:trHeight w:val="227"/>
        </w:trPr>
        <w:tc>
          <w:tcPr>
            <w:tcW w:w="6691" w:type="dxa"/>
            <w:tcBorders>
              <w:top w:val="nil"/>
              <w:left w:val="nil"/>
              <w:bottom w:val="nil"/>
              <w:right w:val="nil"/>
            </w:tcBorders>
            <w:shd w:val="clear" w:color="000000" w:fill="FFFFFF"/>
            <w:noWrap/>
          </w:tcPr>
          <w:p w14:paraId="4DBDB136" w14:textId="77777777" w:rsidR="00AB6753" w:rsidRPr="00A1451E" w:rsidRDefault="00AB6753" w:rsidP="002D1EA4">
            <w:pPr>
              <w:spacing w:after="0"/>
              <w:ind w:leftChars="100" w:left="220"/>
              <w:rPr>
                <w:rFonts w:cs="Arial"/>
                <w:i/>
                <w:sz w:val="18"/>
              </w:rPr>
            </w:pPr>
            <w:r w:rsidRPr="00A1451E">
              <w:rPr>
                <w:rFonts w:cs="Arial"/>
                <w:i/>
                <w:sz w:val="18"/>
              </w:rPr>
              <w:t>Appropriation Act (No. 1) 2019-20</w:t>
            </w:r>
          </w:p>
        </w:tc>
        <w:tc>
          <w:tcPr>
            <w:tcW w:w="1559" w:type="dxa"/>
            <w:tcBorders>
              <w:top w:val="nil"/>
              <w:left w:val="nil"/>
              <w:bottom w:val="nil"/>
              <w:right w:val="nil"/>
            </w:tcBorders>
            <w:shd w:val="clear" w:color="FFFFFF" w:fill="FFFFFF"/>
            <w:noWrap/>
          </w:tcPr>
          <w:p w14:paraId="01444641" w14:textId="77777777" w:rsidR="00AB6753" w:rsidRPr="006973B8" w:rsidRDefault="00AB6753" w:rsidP="002D1EA4">
            <w:pPr>
              <w:spacing w:after="0"/>
              <w:jc w:val="right"/>
              <w:rPr>
                <w:rFonts w:cs="Arial"/>
                <w:b/>
                <w:sz w:val="18"/>
                <w:szCs w:val="18"/>
              </w:rPr>
            </w:pPr>
            <w:r w:rsidRPr="006973B8">
              <w:rPr>
                <w:rFonts w:cs="Arial"/>
                <w:b/>
                <w:sz w:val="18"/>
                <w:szCs w:val="18"/>
              </w:rPr>
              <w:t xml:space="preserve">43,051 </w:t>
            </w:r>
          </w:p>
        </w:tc>
        <w:tc>
          <w:tcPr>
            <w:tcW w:w="1276" w:type="dxa"/>
            <w:tcBorders>
              <w:top w:val="nil"/>
              <w:left w:val="nil"/>
              <w:bottom w:val="nil"/>
              <w:right w:val="nil"/>
            </w:tcBorders>
            <w:shd w:val="clear" w:color="FFFFFF" w:fill="FFFFFF"/>
            <w:noWrap/>
          </w:tcPr>
          <w:p w14:paraId="3347D2BA" w14:textId="77777777" w:rsidR="00AB6753" w:rsidRPr="006973B8" w:rsidRDefault="00AB6753" w:rsidP="002D1EA4">
            <w:pPr>
              <w:spacing w:after="0"/>
              <w:jc w:val="right"/>
              <w:rPr>
                <w:rFonts w:cs="Arial"/>
                <w:sz w:val="18"/>
                <w:szCs w:val="18"/>
              </w:rPr>
            </w:pPr>
            <w:r w:rsidRPr="006973B8">
              <w:rPr>
                <w:rFonts w:cs="Arial"/>
                <w:sz w:val="18"/>
                <w:szCs w:val="18"/>
              </w:rPr>
              <w:t xml:space="preserve"> -</w:t>
            </w:r>
          </w:p>
        </w:tc>
      </w:tr>
      <w:tr w:rsidR="00AB6753" w:rsidRPr="009F629A" w14:paraId="7097E3A7" w14:textId="77777777" w:rsidTr="002D1EA4">
        <w:trPr>
          <w:gridAfter w:val="3"/>
          <w:wAfter w:w="4367" w:type="dxa"/>
          <w:trHeight w:val="227"/>
        </w:trPr>
        <w:tc>
          <w:tcPr>
            <w:tcW w:w="6691" w:type="dxa"/>
            <w:tcBorders>
              <w:top w:val="nil"/>
              <w:left w:val="nil"/>
              <w:bottom w:val="nil"/>
              <w:right w:val="nil"/>
            </w:tcBorders>
            <w:shd w:val="clear" w:color="000000" w:fill="FFFFFF"/>
            <w:noWrap/>
          </w:tcPr>
          <w:p w14:paraId="7ABD7C79" w14:textId="77777777" w:rsidR="00AB6753" w:rsidRPr="00A1451E" w:rsidRDefault="00AB6753" w:rsidP="002D1EA4">
            <w:pPr>
              <w:spacing w:after="0"/>
              <w:ind w:leftChars="100" w:left="220"/>
              <w:rPr>
                <w:rFonts w:cs="Arial"/>
                <w:i/>
                <w:sz w:val="18"/>
              </w:rPr>
            </w:pPr>
            <w:r w:rsidRPr="00A1451E">
              <w:rPr>
                <w:rFonts w:cs="Arial"/>
                <w:i/>
                <w:sz w:val="18"/>
              </w:rPr>
              <w:t>Appropriation Act (No. 3) 2019-20</w:t>
            </w:r>
          </w:p>
        </w:tc>
        <w:tc>
          <w:tcPr>
            <w:tcW w:w="1559" w:type="dxa"/>
            <w:tcBorders>
              <w:top w:val="nil"/>
              <w:left w:val="nil"/>
              <w:bottom w:val="nil"/>
              <w:right w:val="nil"/>
            </w:tcBorders>
            <w:shd w:val="clear" w:color="FFFFFF" w:fill="FFFFFF"/>
            <w:noWrap/>
          </w:tcPr>
          <w:p w14:paraId="525D19B4" w14:textId="77777777" w:rsidR="00AB6753" w:rsidRPr="006973B8" w:rsidRDefault="00AB6753" w:rsidP="002D1EA4">
            <w:pPr>
              <w:spacing w:after="0"/>
              <w:jc w:val="right"/>
              <w:rPr>
                <w:rFonts w:cs="Arial"/>
                <w:b/>
                <w:sz w:val="18"/>
                <w:szCs w:val="18"/>
              </w:rPr>
            </w:pPr>
            <w:r w:rsidRPr="006973B8">
              <w:rPr>
                <w:rFonts w:cs="Arial"/>
                <w:b/>
                <w:sz w:val="18"/>
                <w:szCs w:val="18"/>
              </w:rPr>
              <w:t xml:space="preserve">9,182 </w:t>
            </w:r>
          </w:p>
        </w:tc>
        <w:tc>
          <w:tcPr>
            <w:tcW w:w="1276" w:type="dxa"/>
            <w:tcBorders>
              <w:top w:val="nil"/>
              <w:left w:val="nil"/>
              <w:bottom w:val="nil"/>
              <w:right w:val="nil"/>
            </w:tcBorders>
            <w:shd w:val="clear" w:color="FFFFFF" w:fill="FFFFFF"/>
            <w:noWrap/>
          </w:tcPr>
          <w:p w14:paraId="58AFF005" w14:textId="77777777" w:rsidR="00AB6753" w:rsidRPr="006973B8" w:rsidRDefault="00AB6753" w:rsidP="002D1EA4">
            <w:pPr>
              <w:spacing w:after="0"/>
              <w:jc w:val="right"/>
              <w:rPr>
                <w:rFonts w:cs="Arial"/>
                <w:sz w:val="18"/>
                <w:szCs w:val="18"/>
              </w:rPr>
            </w:pPr>
            <w:r w:rsidRPr="006973B8">
              <w:rPr>
                <w:rFonts w:cs="Arial"/>
                <w:sz w:val="18"/>
                <w:szCs w:val="18"/>
              </w:rPr>
              <w:t xml:space="preserve"> -</w:t>
            </w:r>
          </w:p>
        </w:tc>
      </w:tr>
      <w:tr w:rsidR="00AB6753" w:rsidRPr="009F629A" w14:paraId="51ACDFCA" w14:textId="77777777" w:rsidTr="002D1EA4">
        <w:trPr>
          <w:gridAfter w:val="3"/>
          <w:wAfter w:w="4367" w:type="dxa"/>
          <w:trHeight w:val="227"/>
        </w:trPr>
        <w:tc>
          <w:tcPr>
            <w:tcW w:w="6691" w:type="dxa"/>
            <w:tcBorders>
              <w:top w:val="nil"/>
              <w:left w:val="nil"/>
              <w:bottom w:val="nil"/>
              <w:right w:val="nil"/>
            </w:tcBorders>
            <w:shd w:val="clear" w:color="000000" w:fill="FFFFFF"/>
            <w:noWrap/>
          </w:tcPr>
          <w:p w14:paraId="0E0576D5" w14:textId="77777777" w:rsidR="00AB6753" w:rsidRPr="00A1451E" w:rsidRDefault="00AB6753" w:rsidP="002D1EA4">
            <w:pPr>
              <w:spacing w:after="0"/>
              <w:ind w:leftChars="100" w:left="220"/>
              <w:rPr>
                <w:rFonts w:cs="Arial"/>
                <w:i/>
                <w:sz w:val="18"/>
              </w:rPr>
            </w:pPr>
            <w:r w:rsidRPr="00A1451E">
              <w:rPr>
                <w:rFonts w:cs="Arial"/>
                <w:i/>
                <w:sz w:val="18"/>
              </w:rPr>
              <w:t>Supply Act (No. 1) 2019-20</w:t>
            </w:r>
          </w:p>
        </w:tc>
        <w:tc>
          <w:tcPr>
            <w:tcW w:w="1559" w:type="dxa"/>
            <w:tcBorders>
              <w:top w:val="nil"/>
              <w:left w:val="nil"/>
              <w:bottom w:val="nil"/>
              <w:right w:val="nil"/>
            </w:tcBorders>
            <w:shd w:val="clear" w:color="FFFFFF" w:fill="FFFFFF"/>
            <w:noWrap/>
          </w:tcPr>
          <w:p w14:paraId="02AC71EB" w14:textId="77777777" w:rsidR="00AB6753" w:rsidRPr="006973B8" w:rsidRDefault="00AB6753" w:rsidP="002D1EA4">
            <w:pPr>
              <w:spacing w:after="0"/>
              <w:jc w:val="right"/>
              <w:rPr>
                <w:rFonts w:cs="Arial"/>
                <w:b/>
                <w:sz w:val="18"/>
                <w:szCs w:val="18"/>
              </w:rPr>
            </w:pPr>
            <w:r w:rsidRPr="006973B8">
              <w:rPr>
                <w:rFonts w:cs="Arial"/>
                <w:b/>
                <w:sz w:val="18"/>
                <w:szCs w:val="18"/>
              </w:rPr>
              <w:t xml:space="preserve">24,825 </w:t>
            </w:r>
          </w:p>
        </w:tc>
        <w:tc>
          <w:tcPr>
            <w:tcW w:w="1276" w:type="dxa"/>
            <w:tcBorders>
              <w:top w:val="nil"/>
              <w:left w:val="nil"/>
              <w:bottom w:val="nil"/>
              <w:right w:val="nil"/>
            </w:tcBorders>
            <w:shd w:val="clear" w:color="FFFFFF" w:fill="FFFFFF"/>
            <w:noWrap/>
          </w:tcPr>
          <w:p w14:paraId="2C9B021D" w14:textId="77777777" w:rsidR="00AB6753" w:rsidRPr="006973B8" w:rsidRDefault="00AB6753" w:rsidP="002D1EA4">
            <w:pPr>
              <w:spacing w:after="0"/>
              <w:jc w:val="right"/>
              <w:rPr>
                <w:rFonts w:cs="Arial"/>
                <w:sz w:val="18"/>
                <w:szCs w:val="18"/>
              </w:rPr>
            </w:pPr>
            <w:r w:rsidRPr="006973B8">
              <w:rPr>
                <w:rFonts w:cs="Arial"/>
                <w:sz w:val="18"/>
                <w:szCs w:val="18"/>
              </w:rPr>
              <w:t xml:space="preserve"> -</w:t>
            </w:r>
          </w:p>
        </w:tc>
      </w:tr>
      <w:tr w:rsidR="00AB6753" w:rsidRPr="009F629A" w14:paraId="3892C155" w14:textId="77777777" w:rsidTr="002D1EA4">
        <w:trPr>
          <w:gridAfter w:val="3"/>
          <w:wAfter w:w="4367" w:type="dxa"/>
          <w:trHeight w:val="227"/>
        </w:trPr>
        <w:tc>
          <w:tcPr>
            <w:tcW w:w="6691" w:type="dxa"/>
            <w:tcBorders>
              <w:top w:val="nil"/>
              <w:left w:val="nil"/>
              <w:bottom w:val="nil"/>
              <w:right w:val="nil"/>
            </w:tcBorders>
            <w:shd w:val="clear" w:color="000000" w:fill="FFFFFF"/>
            <w:noWrap/>
          </w:tcPr>
          <w:p w14:paraId="70121D46" w14:textId="77777777" w:rsidR="00AB6753" w:rsidRPr="00A1451E" w:rsidRDefault="00AB6753" w:rsidP="002D1EA4">
            <w:pPr>
              <w:spacing w:after="0"/>
              <w:ind w:leftChars="100" w:left="220"/>
              <w:rPr>
                <w:rFonts w:cs="Arial"/>
                <w:i/>
                <w:sz w:val="18"/>
              </w:rPr>
            </w:pPr>
            <w:r w:rsidRPr="00A1451E">
              <w:rPr>
                <w:rFonts w:cs="Arial"/>
                <w:i/>
                <w:sz w:val="18"/>
              </w:rPr>
              <w:t>Appropriation Act (No. 1) 2018-19 - Capital Budget (DCB) - Non Operating</w:t>
            </w:r>
          </w:p>
        </w:tc>
        <w:tc>
          <w:tcPr>
            <w:tcW w:w="1559" w:type="dxa"/>
            <w:tcBorders>
              <w:top w:val="nil"/>
              <w:left w:val="nil"/>
              <w:bottom w:val="nil"/>
              <w:right w:val="nil"/>
            </w:tcBorders>
            <w:shd w:val="clear" w:color="FFFFFF" w:fill="FFFFFF"/>
            <w:noWrap/>
          </w:tcPr>
          <w:p w14:paraId="01F9FEEB" w14:textId="77777777" w:rsidR="00AB6753" w:rsidRPr="006973B8" w:rsidRDefault="00AB6753" w:rsidP="002D1EA4">
            <w:pPr>
              <w:spacing w:after="0"/>
              <w:jc w:val="right"/>
              <w:rPr>
                <w:rFonts w:cs="Arial"/>
                <w:b/>
                <w:sz w:val="18"/>
                <w:szCs w:val="18"/>
              </w:rPr>
            </w:pPr>
            <w:r w:rsidRPr="006973B8">
              <w:rPr>
                <w:rFonts w:cs="Arial"/>
                <w:b/>
                <w:sz w:val="18"/>
                <w:szCs w:val="18"/>
              </w:rPr>
              <w:t xml:space="preserve"> -</w:t>
            </w:r>
          </w:p>
        </w:tc>
        <w:tc>
          <w:tcPr>
            <w:tcW w:w="1276" w:type="dxa"/>
            <w:tcBorders>
              <w:top w:val="nil"/>
              <w:left w:val="nil"/>
              <w:bottom w:val="nil"/>
              <w:right w:val="nil"/>
            </w:tcBorders>
            <w:shd w:val="clear" w:color="FFFFFF" w:fill="FFFFFF"/>
            <w:noWrap/>
          </w:tcPr>
          <w:p w14:paraId="6EB533D7" w14:textId="77777777" w:rsidR="00AB6753" w:rsidRPr="006973B8" w:rsidRDefault="00AB6753" w:rsidP="002D1EA4">
            <w:pPr>
              <w:spacing w:after="0"/>
              <w:jc w:val="right"/>
              <w:rPr>
                <w:rFonts w:cs="Arial"/>
                <w:sz w:val="18"/>
                <w:szCs w:val="18"/>
              </w:rPr>
            </w:pPr>
            <w:r w:rsidRPr="006973B8">
              <w:rPr>
                <w:rFonts w:cs="Arial"/>
                <w:sz w:val="18"/>
                <w:szCs w:val="18"/>
              </w:rPr>
              <w:t xml:space="preserve">2,336 </w:t>
            </w:r>
          </w:p>
        </w:tc>
      </w:tr>
      <w:tr w:rsidR="00AB6753" w:rsidRPr="009F629A" w14:paraId="7F427C9B" w14:textId="77777777" w:rsidTr="002D1EA4">
        <w:trPr>
          <w:gridAfter w:val="3"/>
          <w:wAfter w:w="4367" w:type="dxa"/>
          <w:trHeight w:val="227"/>
        </w:trPr>
        <w:tc>
          <w:tcPr>
            <w:tcW w:w="6691" w:type="dxa"/>
            <w:tcBorders>
              <w:top w:val="nil"/>
              <w:left w:val="nil"/>
              <w:bottom w:val="nil"/>
              <w:right w:val="nil"/>
            </w:tcBorders>
            <w:shd w:val="clear" w:color="000000" w:fill="FFFFFF"/>
            <w:noWrap/>
          </w:tcPr>
          <w:p w14:paraId="710FBEF4" w14:textId="77777777" w:rsidR="00AB6753" w:rsidRPr="00A1451E" w:rsidRDefault="00AB6753" w:rsidP="002D1EA4">
            <w:pPr>
              <w:spacing w:after="0"/>
              <w:ind w:leftChars="100" w:left="220"/>
              <w:rPr>
                <w:rFonts w:cs="Arial"/>
                <w:i/>
                <w:sz w:val="18"/>
              </w:rPr>
            </w:pPr>
            <w:r w:rsidRPr="00A1451E">
              <w:rPr>
                <w:rFonts w:cs="Arial"/>
                <w:i/>
                <w:sz w:val="18"/>
              </w:rPr>
              <w:t>Appropriation Act (No. 1) 2019-20 - Capital Budget (DCB) - Non Operating</w:t>
            </w:r>
          </w:p>
        </w:tc>
        <w:tc>
          <w:tcPr>
            <w:tcW w:w="1559" w:type="dxa"/>
            <w:tcBorders>
              <w:top w:val="nil"/>
              <w:left w:val="nil"/>
              <w:bottom w:val="nil"/>
              <w:right w:val="nil"/>
            </w:tcBorders>
            <w:shd w:val="clear" w:color="FFFFFF" w:fill="FFFFFF"/>
            <w:noWrap/>
          </w:tcPr>
          <w:p w14:paraId="041D981F" w14:textId="77777777" w:rsidR="00AB6753" w:rsidRPr="006973B8" w:rsidRDefault="00AB6753" w:rsidP="002D1EA4">
            <w:pPr>
              <w:spacing w:after="0"/>
              <w:jc w:val="right"/>
              <w:rPr>
                <w:rFonts w:cs="Arial"/>
                <w:b/>
                <w:sz w:val="18"/>
                <w:szCs w:val="18"/>
              </w:rPr>
            </w:pPr>
            <w:r w:rsidRPr="006973B8">
              <w:rPr>
                <w:rFonts w:cs="Arial"/>
                <w:b/>
                <w:sz w:val="18"/>
                <w:szCs w:val="18"/>
              </w:rPr>
              <w:t xml:space="preserve">1,424 </w:t>
            </w:r>
          </w:p>
        </w:tc>
        <w:tc>
          <w:tcPr>
            <w:tcW w:w="1276" w:type="dxa"/>
            <w:tcBorders>
              <w:top w:val="nil"/>
              <w:left w:val="nil"/>
              <w:bottom w:val="nil"/>
              <w:right w:val="nil"/>
            </w:tcBorders>
            <w:shd w:val="clear" w:color="FFFFFF" w:fill="FFFFFF"/>
            <w:noWrap/>
          </w:tcPr>
          <w:p w14:paraId="7E618BF0" w14:textId="77777777" w:rsidR="00AB6753" w:rsidRPr="006973B8" w:rsidRDefault="00AB6753" w:rsidP="002D1EA4">
            <w:pPr>
              <w:spacing w:after="0"/>
              <w:jc w:val="right"/>
              <w:rPr>
                <w:rFonts w:cs="Arial"/>
                <w:sz w:val="18"/>
                <w:szCs w:val="18"/>
              </w:rPr>
            </w:pPr>
            <w:r w:rsidRPr="006973B8">
              <w:rPr>
                <w:rFonts w:cs="Arial"/>
                <w:sz w:val="18"/>
                <w:szCs w:val="18"/>
              </w:rPr>
              <w:t xml:space="preserve"> -</w:t>
            </w:r>
          </w:p>
        </w:tc>
      </w:tr>
      <w:tr w:rsidR="00AB6753" w:rsidRPr="009F629A" w14:paraId="3CBE1043" w14:textId="77777777" w:rsidTr="002D1EA4">
        <w:trPr>
          <w:gridAfter w:val="3"/>
          <w:wAfter w:w="4367" w:type="dxa"/>
          <w:trHeight w:val="227"/>
        </w:trPr>
        <w:tc>
          <w:tcPr>
            <w:tcW w:w="6691" w:type="dxa"/>
            <w:tcBorders>
              <w:top w:val="nil"/>
              <w:left w:val="nil"/>
              <w:bottom w:val="nil"/>
              <w:right w:val="nil"/>
            </w:tcBorders>
            <w:shd w:val="clear" w:color="000000" w:fill="FFFFFF"/>
            <w:noWrap/>
          </w:tcPr>
          <w:p w14:paraId="34B3416B" w14:textId="77777777" w:rsidR="00AB6753" w:rsidRPr="00A1451E" w:rsidRDefault="00AB6753" w:rsidP="002D1EA4">
            <w:pPr>
              <w:spacing w:after="0"/>
              <w:ind w:leftChars="100" w:left="220"/>
              <w:rPr>
                <w:rFonts w:cs="Arial"/>
                <w:i/>
                <w:sz w:val="18"/>
              </w:rPr>
            </w:pPr>
            <w:r w:rsidRPr="00A1451E">
              <w:rPr>
                <w:rFonts w:cs="Arial"/>
                <w:i/>
                <w:sz w:val="18"/>
              </w:rPr>
              <w:t>Appropriation Act (No. 2) 2017-18- Non Operating - Equity Injection</w:t>
            </w:r>
          </w:p>
        </w:tc>
        <w:tc>
          <w:tcPr>
            <w:tcW w:w="1559" w:type="dxa"/>
            <w:tcBorders>
              <w:top w:val="nil"/>
              <w:left w:val="nil"/>
              <w:bottom w:val="nil"/>
              <w:right w:val="nil"/>
            </w:tcBorders>
            <w:shd w:val="clear" w:color="FFFFFF" w:fill="FFFFFF"/>
            <w:noWrap/>
          </w:tcPr>
          <w:p w14:paraId="5BE16A21" w14:textId="77777777" w:rsidR="00AB6753" w:rsidRPr="006973B8" w:rsidRDefault="00AB6753" w:rsidP="002D1EA4">
            <w:pPr>
              <w:spacing w:after="0"/>
              <w:jc w:val="right"/>
              <w:rPr>
                <w:rFonts w:cs="Arial"/>
                <w:b/>
                <w:sz w:val="18"/>
                <w:szCs w:val="18"/>
              </w:rPr>
            </w:pPr>
            <w:r w:rsidRPr="006973B8">
              <w:rPr>
                <w:rFonts w:cs="Arial"/>
                <w:b/>
                <w:sz w:val="18"/>
                <w:szCs w:val="18"/>
              </w:rPr>
              <w:t xml:space="preserve"> -</w:t>
            </w:r>
          </w:p>
        </w:tc>
        <w:tc>
          <w:tcPr>
            <w:tcW w:w="1276" w:type="dxa"/>
            <w:tcBorders>
              <w:top w:val="nil"/>
              <w:left w:val="nil"/>
              <w:bottom w:val="nil"/>
              <w:right w:val="nil"/>
            </w:tcBorders>
            <w:shd w:val="clear" w:color="FFFFFF" w:fill="FFFFFF"/>
            <w:noWrap/>
          </w:tcPr>
          <w:p w14:paraId="71B16008" w14:textId="77777777" w:rsidR="00AB6753" w:rsidRPr="006973B8" w:rsidRDefault="00AB6753" w:rsidP="002D1EA4">
            <w:pPr>
              <w:spacing w:after="0"/>
              <w:jc w:val="right"/>
              <w:rPr>
                <w:rFonts w:cs="Arial"/>
                <w:sz w:val="18"/>
                <w:szCs w:val="18"/>
              </w:rPr>
            </w:pPr>
            <w:r w:rsidRPr="006973B8">
              <w:rPr>
                <w:rFonts w:cs="Arial"/>
                <w:sz w:val="18"/>
                <w:szCs w:val="18"/>
              </w:rPr>
              <w:t xml:space="preserve">194 </w:t>
            </w:r>
          </w:p>
        </w:tc>
      </w:tr>
      <w:tr w:rsidR="00AB6753" w:rsidRPr="009F629A" w14:paraId="4A1E84BD" w14:textId="77777777" w:rsidTr="002D1EA4">
        <w:trPr>
          <w:gridAfter w:val="3"/>
          <w:wAfter w:w="4367" w:type="dxa"/>
          <w:trHeight w:val="227"/>
        </w:trPr>
        <w:tc>
          <w:tcPr>
            <w:tcW w:w="6691" w:type="dxa"/>
            <w:tcBorders>
              <w:top w:val="nil"/>
              <w:left w:val="nil"/>
              <w:bottom w:val="nil"/>
              <w:right w:val="nil"/>
            </w:tcBorders>
            <w:shd w:val="clear" w:color="000000" w:fill="FFFFFF"/>
            <w:noWrap/>
          </w:tcPr>
          <w:p w14:paraId="6282AFD5" w14:textId="77777777" w:rsidR="00AB6753" w:rsidRPr="00A1451E" w:rsidRDefault="00AB6753" w:rsidP="002D1EA4">
            <w:pPr>
              <w:spacing w:after="0"/>
              <w:ind w:leftChars="100" w:left="220"/>
              <w:rPr>
                <w:rFonts w:cs="Arial"/>
                <w:i/>
                <w:sz w:val="18"/>
              </w:rPr>
            </w:pPr>
            <w:r w:rsidRPr="00A1451E">
              <w:rPr>
                <w:rFonts w:cs="Arial"/>
                <w:i/>
                <w:sz w:val="18"/>
              </w:rPr>
              <w:t>Appropriation Act (No. 6) 2017-18- Non Operating - Equity Injection</w:t>
            </w:r>
          </w:p>
        </w:tc>
        <w:tc>
          <w:tcPr>
            <w:tcW w:w="1559" w:type="dxa"/>
            <w:tcBorders>
              <w:top w:val="nil"/>
              <w:left w:val="nil"/>
              <w:bottom w:val="nil"/>
              <w:right w:val="nil"/>
            </w:tcBorders>
            <w:shd w:val="clear" w:color="FFFFFF" w:fill="FFFFFF"/>
            <w:noWrap/>
          </w:tcPr>
          <w:p w14:paraId="4AA061E2" w14:textId="77777777" w:rsidR="00AB6753" w:rsidRPr="006973B8" w:rsidRDefault="00AB6753" w:rsidP="002D1EA4">
            <w:pPr>
              <w:spacing w:after="0"/>
              <w:jc w:val="right"/>
              <w:rPr>
                <w:rFonts w:cs="Arial"/>
                <w:b/>
                <w:sz w:val="18"/>
                <w:szCs w:val="18"/>
              </w:rPr>
            </w:pPr>
            <w:r w:rsidRPr="006973B8">
              <w:rPr>
                <w:rFonts w:cs="Arial"/>
                <w:b/>
                <w:sz w:val="18"/>
                <w:szCs w:val="18"/>
              </w:rPr>
              <w:t xml:space="preserve"> -</w:t>
            </w:r>
          </w:p>
        </w:tc>
        <w:tc>
          <w:tcPr>
            <w:tcW w:w="1276" w:type="dxa"/>
            <w:tcBorders>
              <w:top w:val="nil"/>
              <w:left w:val="nil"/>
              <w:bottom w:val="nil"/>
              <w:right w:val="nil"/>
            </w:tcBorders>
            <w:shd w:val="clear" w:color="FFFFFF" w:fill="FFFFFF"/>
            <w:noWrap/>
          </w:tcPr>
          <w:p w14:paraId="05D7FD56" w14:textId="77777777" w:rsidR="00AB6753" w:rsidRPr="006973B8" w:rsidRDefault="00AB6753" w:rsidP="002D1EA4">
            <w:pPr>
              <w:spacing w:after="0"/>
              <w:jc w:val="right"/>
              <w:rPr>
                <w:rFonts w:cs="Arial"/>
                <w:sz w:val="18"/>
                <w:szCs w:val="18"/>
              </w:rPr>
            </w:pPr>
            <w:r w:rsidRPr="006973B8">
              <w:rPr>
                <w:rFonts w:cs="Arial"/>
                <w:sz w:val="18"/>
                <w:szCs w:val="18"/>
              </w:rPr>
              <w:t xml:space="preserve">280 </w:t>
            </w:r>
          </w:p>
        </w:tc>
      </w:tr>
      <w:tr w:rsidR="00AB6753" w:rsidRPr="009F629A" w14:paraId="37B5F9A4" w14:textId="77777777" w:rsidTr="002D1EA4">
        <w:trPr>
          <w:gridAfter w:val="3"/>
          <w:wAfter w:w="4367" w:type="dxa"/>
          <w:trHeight w:val="227"/>
        </w:trPr>
        <w:tc>
          <w:tcPr>
            <w:tcW w:w="6691" w:type="dxa"/>
            <w:tcBorders>
              <w:top w:val="nil"/>
              <w:left w:val="nil"/>
              <w:bottom w:val="nil"/>
              <w:right w:val="nil"/>
            </w:tcBorders>
            <w:shd w:val="clear" w:color="000000" w:fill="FFFFFF"/>
            <w:noWrap/>
          </w:tcPr>
          <w:p w14:paraId="0FD71EDB" w14:textId="77777777" w:rsidR="00AB6753" w:rsidRPr="00A1451E" w:rsidRDefault="00AB6753" w:rsidP="002D1EA4">
            <w:pPr>
              <w:spacing w:after="0"/>
              <w:ind w:leftChars="100" w:left="220"/>
              <w:rPr>
                <w:rFonts w:cs="Arial"/>
                <w:i/>
                <w:sz w:val="18"/>
              </w:rPr>
            </w:pPr>
            <w:r w:rsidRPr="00A1451E">
              <w:rPr>
                <w:rFonts w:cs="Arial"/>
                <w:i/>
                <w:sz w:val="18"/>
              </w:rPr>
              <w:t>Appropriation Act (No. 2) 2018-19- Non Operating - Equity Injection</w:t>
            </w:r>
          </w:p>
        </w:tc>
        <w:tc>
          <w:tcPr>
            <w:tcW w:w="1559" w:type="dxa"/>
            <w:tcBorders>
              <w:top w:val="nil"/>
              <w:left w:val="nil"/>
              <w:bottom w:val="nil"/>
              <w:right w:val="nil"/>
            </w:tcBorders>
            <w:shd w:val="clear" w:color="FFFFFF" w:fill="FFFFFF"/>
            <w:noWrap/>
          </w:tcPr>
          <w:p w14:paraId="4AC76304" w14:textId="77777777" w:rsidR="00AB6753" w:rsidRPr="006973B8" w:rsidRDefault="00AB6753" w:rsidP="002D1EA4">
            <w:pPr>
              <w:spacing w:after="0"/>
              <w:jc w:val="right"/>
              <w:rPr>
                <w:rFonts w:cs="Arial"/>
                <w:b/>
                <w:sz w:val="18"/>
                <w:szCs w:val="18"/>
              </w:rPr>
            </w:pPr>
            <w:r w:rsidRPr="006973B8">
              <w:rPr>
                <w:rFonts w:cs="Arial"/>
                <w:b/>
                <w:sz w:val="18"/>
                <w:szCs w:val="18"/>
              </w:rPr>
              <w:t xml:space="preserve"> -</w:t>
            </w:r>
          </w:p>
        </w:tc>
        <w:tc>
          <w:tcPr>
            <w:tcW w:w="1276" w:type="dxa"/>
            <w:tcBorders>
              <w:top w:val="nil"/>
              <w:left w:val="nil"/>
              <w:bottom w:val="nil"/>
              <w:right w:val="nil"/>
            </w:tcBorders>
            <w:shd w:val="clear" w:color="FFFFFF" w:fill="FFFFFF"/>
            <w:noWrap/>
          </w:tcPr>
          <w:p w14:paraId="5E2E77C7" w14:textId="77777777" w:rsidR="00AB6753" w:rsidRPr="006973B8" w:rsidRDefault="00AB6753" w:rsidP="002D1EA4">
            <w:pPr>
              <w:spacing w:after="0"/>
              <w:jc w:val="right"/>
              <w:rPr>
                <w:rFonts w:cs="Arial"/>
                <w:sz w:val="18"/>
                <w:szCs w:val="18"/>
              </w:rPr>
            </w:pPr>
            <w:r w:rsidRPr="006973B8">
              <w:rPr>
                <w:rFonts w:cs="Arial"/>
                <w:sz w:val="18"/>
                <w:szCs w:val="18"/>
              </w:rPr>
              <w:t xml:space="preserve">2,065 </w:t>
            </w:r>
          </w:p>
        </w:tc>
      </w:tr>
      <w:tr w:rsidR="00AB6753" w:rsidRPr="009F629A" w14:paraId="56447B99" w14:textId="77777777" w:rsidTr="002D1EA4">
        <w:trPr>
          <w:gridAfter w:val="3"/>
          <w:wAfter w:w="4367" w:type="dxa"/>
          <w:trHeight w:val="227"/>
        </w:trPr>
        <w:tc>
          <w:tcPr>
            <w:tcW w:w="6691" w:type="dxa"/>
            <w:tcBorders>
              <w:top w:val="nil"/>
              <w:left w:val="nil"/>
              <w:bottom w:val="nil"/>
              <w:right w:val="nil"/>
            </w:tcBorders>
            <w:shd w:val="clear" w:color="000000" w:fill="FFFFFF"/>
            <w:noWrap/>
          </w:tcPr>
          <w:p w14:paraId="5B36D514" w14:textId="77777777" w:rsidR="00AB6753" w:rsidRPr="00A1451E" w:rsidRDefault="00AB6753" w:rsidP="002D1EA4">
            <w:pPr>
              <w:spacing w:after="0"/>
              <w:ind w:leftChars="100" w:left="220"/>
              <w:rPr>
                <w:rFonts w:cs="Arial"/>
                <w:i/>
                <w:sz w:val="18"/>
              </w:rPr>
            </w:pPr>
            <w:r w:rsidRPr="00A1451E">
              <w:rPr>
                <w:rFonts w:cs="Arial"/>
                <w:i/>
                <w:sz w:val="18"/>
              </w:rPr>
              <w:t xml:space="preserve">Appropriation Act (No. 2) 2019-20 </w:t>
            </w:r>
            <w:proofErr w:type="spellStart"/>
            <w:r w:rsidRPr="00A1451E">
              <w:rPr>
                <w:rFonts w:cs="Arial"/>
                <w:i/>
                <w:sz w:val="18"/>
              </w:rPr>
              <w:t>Non Operating</w:t>
            </w:r>
            <w:proofErr w:type="spellEnd"/>
            <w:r w:rsidRPr="00A1451E">
              <w:rPr>
                <w:rFonts w:cs="Arial"/>
                <w:i/>
                <w:sz w:val="18"/>
              </w:rPr>
              <w:t xml:space="preserve"> - Equity Injection</w:t>
            </w:r>
          </w:p>
        </w:tc>
        <w:tc>
          <w:tcPr>
            <w:tcW w:w="1559" w:type="dxa"/>
            <w:tcBorders>
              <w:top w:val="nil"/>
              <w:left w:val="nil"/>
              <w:bottom w:val="nil"/>
              <w:right w:val="nil"/>
            </w:tcBorders>
            <w:shd w:val="clear" w:color="FFFFFF" w:fill="FFFFFF"/>
            <w:noWrap/>
          </w:tcPr>
          <w:p w14:paraId="61994B90" w14:textId="77777777" w:rsidR="00AB6753" w:rsidRPr="006973B8" w:rsidRDefault="00AB6753" w:rsidP="002D1EA4">
            <w:pPr>
              <w:spacing w:after="0"/>
              <w:jc w:val="right"/>
              <w:rPr>
                <w:rFonts w:cs="Arial"/>
                <w:b/>
                <w:sz w:val="18"/>
                <w:szCs w:val="18"/>
              </w:rPr>
            </w:pPr>
            <w:r w:rsidRPr="006973B8">
              <w:rPr>
                <w:rFonts w:cs="Arial"/>
                <w:b/>
                <w:sz w:val="18"/>
                <w:szCs w:val="18"/>
              </w:rPr>
              <w:t xml:space="preserve">1,273 </w:t>
            </w:r>
          </w:p>
        </w:tc>
        <w:tc>
          <w:tcPr>
            <w:tcW w:w="1276" w:type="dxa"/>
            <w:tcBorders>
              <w:top w:val="nil"/>
              <w:left w:val="nil"/>
              <w:bottom w:val="nil"/>
              <w:right w:val="nil"/>
            </w:tcBorders>
            <w:shd w:val="clear" w:color="FFFFFF" w:fill="FFFFFF"/>
            <w:noWrap/>
          </w:tcPr>
          <w:p w14:paraId="50F4B159" w14:textId="77777777" w:rsidR="00AB6753" w:rsidRPr="006973B8" w:rsidRDefault="00AB6753" w:rsidP="002D1EA4">
            <w:pPr>
              <w:spacing w:after="0"/>
              <w:jc w:val="right"/>
              <w:rPr>
                <w:rFonts w:cs="Arial"/>
                <w:sz w:val="18"/>
                <w:szCs w:val="18"/>
              </w:rPr>
            </w:pPr>
            <w:r w:rsidRPr="006973B8">
              <w:rPr>
                <w:rFonts w:cs="Arial"/>
                <w:sz w:val="18"/>
                <w:szCs w:val="18"/>
              </w:rPr>
              <w:t xml:space="preserve"> -</w:t>
            </w:r>
          </w:p>
        </w:tc>
      </w:tr>
      <w:tr w:rsidR="00AB6753" w:rsidRPr="009F629A" w14:paraId="6CE988DE" w14:textId="77777777" w:rsidTr="002D1EA4">
        <w:trPr>
          <w:gridAfter w:val="3"/>
          <w:wAfter w:w="4367" w:type="dxa"/>
          <w:trHeight w:val="227"/>
        </w:trPr>
        <w:tc>
          <w:tcPr>
            <w:tcW w:w="6691" w:type="dxa"/>
            <w:tcBorders>
              <w:top w:val="nil"/>
              <w:left w:val="nil"/>
              <w:bottom w:val="nil"/>
              <w:right w:val="nil"/>
            </w:tcBorders>
            <w:shd w:val="clear" w:color="000000" w:fill="FFFFFF"/>
            <w:noWrap/>
          </w:tcPr>
          <w:p w14:paraId="1C467560" w14:textId="77777777" w:rsidR="00AB6753" w:rsidRPr="00A1451E" w:rsidRDefault="00AB6753" w:rsidP="002D1EA4">
            <w:pPr>
              <w:spacing w:after="0"/>
              <w:ind w:leftChars="100" w:left="220"/>
              <w:rPr>
                <w:rFonts w:cs="Arial"/>
                <w:i/>
                <w:sz w:val="18"/>
              </w:rPr>
            </w:pPr>
            <w:r w:rsidRPr="00A1451E">
              <w:rPr>
                <w:rFonts w:cs="Arial"/>
                <w:i/>
                <w:sz w:val="18"/>
              </w:rPr>
              <w:t>Supply Act (No. 2) 2019-20- Non Operating - Equity Injection</w:t>
            </w:r>
          </w:p>
        </w:tc>
        <w:tc>
          <w:tcPr>
            <w:tcW w:w="1559" w:type="dxa"/>
            <w:tcBorders>
              <w:top w:val="nil"/>
              <w:left w:val="nil"/>
              <w:bottom w:val="nil"/>
              <w:right w:val="nil"/>
            </w:tcBorders>
            <w:shd w:val="clear" w:color="FFFFFF" w:fill="FFFFFF"/>
            <w:noWrap/>
            <w:hideMark/>
          </w:tcPr>
          <w:p w14:paraId="5611A0B7" w14:textId="77777777" w:rsidR="00AB6753" w:rsidRPr="006973B8" w:rsidRDefault="00AB6753" w:rsidP="002D1EA4">
            <w:pPr>
              <w:spacing w:after="0"/>
              <w:jc w:val="right"/>
              <w:rPr>
                <w:rFonts w:cs="Arial"/>
                <w:b/>
                <w:sz w:val="18"/>
                <w:szCs w:val="18"/>
              </w:rPr>
            </w:pPr>
            <w:r w:rsidRPr="006973B8">
              <w:rPr>
                <w:rFonts w:cs="Arial"/>
                <w:b/>
                <w:sz w:val="18"/>
                <w:szCs w:val="18"/>
              </w:rPr>
              <w:t xml:space="preserve">136 </w:t>
            </w:r>
          </w:p>
        </w:tc>
        <w:tc>
          <w:tcPr>
            <w:tcW w:w="1276" w:type="dxa"/>
            <w:tcBorders>
              <w:top w:val="nil"/>
              <w:left w:val="nil"/>
              <w:bottom w:val="nil"/>
              <w:right w:val="nil"/>
            </w:tcBorders>
            <w:shd w:val="clear" w:color="FFFFFF" w:fill="FFFFFF"/>
            <w:noWrap/>
            <w:hideMark/>
          </w:tcPr>
          <w:p w14:paraId="7D4F7933" w14:textId="77777777" w:rsidR="00AB6753" w:rsidRPr="006973B8" w:rsidRDefault="00AB6753" w:rsidP="002D1EA4">
            <w:pPr>
              <w:spacing w:after="0"/>
              <w:jc w:val="right"/>
              <w:rPr>
                <w:rFonts w:cs="Arial"/>
                <w:sz w:val="18"/>
                <w:szCs w:val="18"/>
              </w:rPr>
            </w:pPr>
            <w:r w:rsidRPr="006973B8">
              <w:rPr>
                <w:rFonts w:cs="Arial"/>
                <w:sz w:val="18"/>
                <w:szCs w:val="18"/>
              </w:rPr>
              <w:t xml:space="preserve"> -</w:t>
            </w:r>
          </w:p>
        </w:tc>
      </w:tr>
      <w:tr w:rsidR="00AB6753" w:rsidRPr="009F629A" w14:paraId="4646CDA3" w14:textId="77777777" w:rsidTr="002D1EA4">
        <w:trPr>
          <w:gridAfter w:val="3"/>
          <w:wAfter w:w="4367" w:type="dxa"/>
          <w:trHeight w:val="227"/>
        </w:trPr>
        <w:tc>
          <w:tcPr>
            <w:tcW w:w="6691" w:type="dxa"/>
            <w:tcBorders>
              <w:top w:val="nil"/>
              <w:left w:val="nil"/>
              <w:bottom w:val="single" w:sz="4" w:space="0" w:color="auto"/>
              <w:right w:val="nil"/>
            </w:tcBorders>
            <w:shd w:val="clear" w:color="000000" w:fill="FFFFFF"/>
            <w:noWrap/>
          </w:tcPr>
          <w:p w14:paraId="5634A9DA" w14:textId="77777777" w:rsidR="00AB6753" w:rsidRPr="001F2D66" w:rsidRDefault="00AB6753" w:rsidP="002D1EA4">
            <w:pPr>
              <w:spacing w:after="0"/>
              <w:ind w:leftChars="100" w:left="220"/>
              <w:rPr>
                <w:rFonts w:cs="Arial"/>
                <w:sz w:val="18"/>
              </w:rPr>
            </w:pPr>
            <w:r w:rsidRPr="001F2D66">
              <w:rPr>
                <w:rFonts w:cs="Arial"/>
                <w:sz w:val="18"/>
              </w:rPr>
              <w:t>Cash and cash equivalents</w:t>
            </w:r>
          </w:p>
        </w:tc>
        <w:tc>
          <w:tcPr>
            <w:tcW w:w="1559" w:type="dxa"/>
            <w:tcBorders>
              <w:top w:val="nil"/>
              <w:left w:val="nil"/>
              <w:bottom w:val="single" w:sz="4" w:space="0" w:color="auto"/>
              <w:right w:val="nil"/>
            </w:tcBorders>
            <w:shd w:val="clear" w:color="FFFFFF" w:fill="FFFFFF"/>
            <w:noWrap/>
            <w:hideMark/>
          </w:tcPr>
          <w:p w14:paraId="3D64FE1E" w14:textId="77777777" w:rsidR="00AB6753" w:rsidRPr="006973B8" w:rsidRDefault="00AB6753" w:rsidP="002D1EA4">
            <w:pPr>
              <w:spacing w:after="0"/>
              <w:jc w:val="right"/>
              <w:rPr>
                <w:rFonts w:cs="Arial"/>
                <w:b/>
                <w:sz w:val="18"/>
                <w:szCs w:val="18"/>
              </w:rPr>
            </w:pPr>
            <w:r w:rsidRPr="006973B8">
              <w:rPr>
                <w:rFonts w:cs="Arial"/>
                <w:b/>
                <w:sz w:val="18"/>
                <w:szCs w:val="18"/>
              </w:rPr>
              <w:t xml:space="preserve">5,334 </w:t>
            </w:r>
          </w:p>
        </w:tc>
        <w:tc>
          <w:tcPr>
            <w:tcW w:w="1276" w:type="dxa"/>
            <w:tcBorders>
              <w:top w:val="nil"/>
              <w:left w:val="nil"/>
              <w:bottom w:val="nil"/>
              <w:right w:val="nil"/>
            </w:tcBorders>
            <w:shd w:val="clear" w:color="FFFFFF" w:fill="FFFFFF"/>
            <w:noWrap/>
            <w:hideMark/>
          </w:tcPr>
          <w:p w14:paraId="66758A48" w14:textId="77777777" w:rsidR="00AB6753" w:rsidRPr="006973B8" w:rsidRDefault="00AB6753" w:rsidP="002D1EA4">
            <w:pPr>
              <w:spacing w:after="0"/>
              <w:jc w:val="right"/>
              <w:rPr>
                <w:rFonts w:cs="Arial"/>
                <w:sz w:val="18"/>
                <w:szCs w:val="18"/>
              </w:rPr>
            </w:pPr>
            <w:r w:rsidRPr="006973B8">
              <w:rPr>
                <w:rFonts w:cs="Arial"/>
                <w:sz w:val="18"/>
                <w:szCs w:val="18"/>
              </w:rPr>
              <w:t xml:space="preserve">9,313 </w:t>
            </w:r>
          </w:p>
        </w:tc>
      </w:tr>
      <w:tr w:rsidR="00AB6753" w:rsidRPr="009F629A" w14:paraId="453B5C85" w14:textId="77777777" w:rsidTr="002D1EA4">
        <w:trPr>
          <w:gridAfter w:val="3"/>
          <w:wAfter w:w="4367" w:type="dxa"/>
          <w:trHeight w:val="227"/>
        </w:trPr>
        <w:tc>
          <w:tcPr>
            <w:tcW w:w="6691" w:type="dxa"/>
            <w:tcBorders>
              <w:top w:val="single" w:sz="4" w:space="0" w:color="auto"/>
              <w:left w:val="nil"/>
              <w:bottom w:val="single" w:sz="4" w:space="0" w:color="auto"/>
              <w:right w:val="nil"/>
            </w:tcBorders>
            <w:shd w:val="clear" w:color="auto" w:fill="auto"/>
            <w:vAlign w:val="bottom"/>
            <w:hideMark/>
          </w:tcPr>
          <w:p w14:paraId="254BCC1F" w14:textId="77777777" w:rsidR="00AB6753" w:rsidRDefault="00AB6753" w:rsidP="002D1EA4">
            <w:pPr>
              <w:spacing w:after="0" w:line="240" w:lineRule="auto"/>
              <w:rPr>
                <w:rFonts w:cs="Arial"/>
                <w:b/>
                <w:bCs/>
                <w:sz w:val="18"/>
                <w:szCs w:val="18"/>
              </w:rPr>
            </w:pPr>
            <w:r>
              <w:rPr>
                <w:rFonts w:cs="Arial"/>
                <w:b/>
                <w:bCs/>
                <w:sz w:val="18"/>
                <w:szCs w:val="18"/>
              </w:rPr>
              <w:t>Total departmental</w:t>
            </w:r>
          </w:p>
        </w:tc>
        <w:tc>
          <w:tcPr>
            <w:tcW w:w="1559" w:type="dxa"/>
            <w:tcBorders>
              <w:top w:val="single" w:sz="4" w:space="0" w:color="auto"/>
              <w:left w:val="nil"/>
              <w:bottom w:val="single" w:sz="4" w:space="0" w:color="auto"/>
              <w:right w:val="nil"/>
            </w:tcBorders>
            <w:shd w:val="clear" w:color="auto" w:fill="auto"/>
            <w:noWrap/>
            <w:hideMark/>
          </w:tcPr>
          <w:p w14:paraId="67E275EF" w14:textId="77777777" w:rsidR="00AB6753" w:rsidRPr="006973B8" w:rsidRDefault="00AB6753" w:rsidP="002D1EA4">
            <w:pPr>
              <w:spacing w:after="0"/>
              <w:jc w:val="right"/>
              <w:rPr>
                <w:rFonts w:cs="Arial"/>
                <w:b/>
                <w:sz w:val="18"/>
                <w:szCs w:val="18"/>
              </w:rPr>
            </w:pPr>
            <w:r w:rsidRPr="006973B8">
              <w:rPr>
                <w:rFonts w:cs="Arial"/>
                <w:b/>
                <w:sz w:val="18"/>
                <w:szCs w:val="18"/>
              </w:rPr>
              <w:t xml:space="preserve">86,009 </w:t>
            </w:r>
          </w:p>
        </w:tc>
        <w:tc>
          <w:tcPr>
            <w:tcW w:w="1276" w:type="dxa"/>
            <w:tcBorders>
              <w:top w:val="single" w:sz="4" w:space="0" w:color="auto"/>
              <w:left w:val="nil"/>
              <w:bottom w:val="single" w:sz="4" w:space="0" w:color="auto"/>
              <w:right w:val="nil"/>
            </w:tcBorders>
            <w:shd w:val="clear" w:color="auto" w:fill="auto"/>
            <w:noWrap/>
            <w:hideMark/>
          </w:tcPr>
          <w:p w14:paraId="75D34643" w14:textId="77777777" w:rsidR="00AB6753" w:rsidRPr="006973B8" w:rsidRDefault="00AB6753" w:rsidP="002D1EA4">
            <w:pPr>
              <w:spacing w:after="0"/>
              <w:jc w:val="right"/>
              <w:rPr>
                <w:rFonts w:cs="Arial"/>
                <w:sz w:val="18"/>
                <w:szCs w:val="18"/>
              </w:rPr>
            </w:pPr>
            <w:r w:rsidRPr="006973B8">
              <w:rPr>
                <w:rFonts w:cs="Arial"/>
                <w:sz w:val="18"/>
                <w:szCs w:val="18"/>
              </w:rPr>
              <w:t xml:space="preserve">89,899 </w:t>
            </w:r>
          </w:p>
        </w:tc>
      </w:tr>
      <w:tr w:rsidR="00AB6753" w14:paraId="46935160" w14:textId="77777777" w:rsidTr="002D1EA4">
        <w:trPr>
          <w:gridAfter w:val="3"/>
          <w:wAfter w:w="4367" w:type="dxa"/>
          <w:trHeight w:val="227"/>
        </w:trPr>
        <w:tc>
          <w:tcPr>
            <w:tcW w:w="6691" w:type="dxa"/>
            <w:tcBorders>
              <w:top w:val="nil"/>
              <w:left w:val="nil"/>
              <w:bottom w:val="nil"/>
              <w:right w:val="nil"/>
            </w:tcBorders>
            <w:shd w:val="clear" w:color="000000" w:fill="D9D9D9"/>
            <w:vAlign w:val="bottom"/>
            <w:hideMark/>
          </w:tcPr>
          <w:p w14:paraId="11592E9D" w14:textId="77777777" w:rsidR="00AB6753" w:rsidRDefault="00AB6753" w:rsidP="002D1EA4">
            <w:pPr>
              <w:spacing w:after="0" w:line="240" w:lineRule="auto"/>
              <w:rPr>
                <w:rFonts w:cs="Arial"/>
                <w:b/>
                <w:bCs/>
                <w:sz w:val="18"/>
                <w:szCs w:val="18"/>
              </w:rPr>
            </w:pPr>
            <w:r>
              <w:rPr>
                <w:rFonts w:cs="Arial"/>
                <w:b/>
                <w:bCs/>
                <w:sz w:val="18"/>
                <w:szCs w:val="18"/>
              </w:rPr>
              <w:t>Administered</w:t>
            </w:r>
          </w:p>
        </w:tc>
        <w:tc>
          <w:tcPr>
            <w:tcW w:w="1559" w:type="dxa"/>
            <w:tcBorders>
              <w:top w:val="nil"/>
              <w:left w:val="nil"/>
              <w:bottom w:val="nil"/>
              <w:right w:val="nil"/>
            </w:tcBorders>
            <w:shd w:val="clear" w:color="000000" w:fill="D9D9D9"/>
            <w:noWrap/>
            <w:hideMark/>
          </w:tcPr>
          <w:p w14:paraId="255DFDC6" w14:textId="77777777" w:rsidR="00AB6753" w:rsidRPr="006973B8" w:rsidRDefault="00AB6753" w:rsidP="002D1EA4">
            <w:pPr>
              <w:spacing w:after="0"/>
              <w:jc w:val="right"/>
              <w:rPr>
                <w:rFonts w:cs="Arial"/>
                <w:b/>
                <w:sz w:val="18"/>
                <w:szCs w:val="18"/>
              </w:rPr>
            </w:pPr>
          </w:p>
        </w:tc>
        <w:tc>
          <w:tcPr>
            <w:tcW w:w="1276" w:type="dxa"/>
            <w:tcBorders>
              <w:top w:val="nil"/>
              <w:left w:val="nil"/>
              <w:bottom w:val="nil"/>
              <w:right w:val="nil"/>
            </w:tcBorders>
            <w:shd w:val="clear" w:color="000000" w:fill="D9D9D9"/>
            <w:noWrap/>
            <w:hideMark/>
          </w:tcPr>
          <w:p w14:paraId="21DD6C60" w14:textId="77777777" w:rsidR="00AB6753" w:rsidRPr="006973B8" w:rsidRDefault="00AB6753" w:rsidP="002D1EA4">
            <w:pPr>
              <w:spacing w:after="0"/>
              <w:jc w:val="right"/>
              <w:rPr>
                <w:rFonts w:cs="Arial"/>
                <w:sz w:val="18"/>
                <w:szCs w:val="18"/>
              </w:rPr>
            </w:pPr>
          </w:p>
        </w:tc>
      </w:tr>
      <w:tr w:rsidR="00AB6753" w14:paraId="16D1D061" w14:textId="77777777" w:rsidTr="002D1EA4">
        <w:trPr>
          <w:gridAfter w:val="3"/>
          <w:wAfter w:w="4367" w:type="dxa"/>
          <w:trHeight w:val="227"/>
        </w:trPr>
        <w:tc>
          <w:tcPr>
            <w:tcW w:w="6691" w:type="dxa"/>
            <w:tcBorders>
              <w:top w:val="nil"/>
              <w:left w:val="nil"/>
              <w:bottom w:val="single" w:sz="4" w:space="0" w:color="D9D9D9"/>
              <w:right w:val="nil"/>
            </w:tcBorders>
            <w:shd w:val="clear" w:color="000000" w:fill="D9D9D9"/>
            <w:hideMark/>
          </w:tcPr>
          <w:p w14:paraId="1CA5BA0D" w14:textId="77777777" w:rsidR="00AB6753" w:rsidRPr="001F2D66" w:rsidRDefault="00AB6753" w:rsidP="002D1EA4">
            <w:pPr>
              <w:spacing w:after="0"/>
              <w:ind w:leftChars="100" w:left="220"/>
              <w:rPr>
                <w:rFonts w:cs="Arial"/>
                <w:sz w:val="18"/>
              </w:rPr>
            </w:pPr>
            <w:r w:rsidRPr="00A1451E">
              <w:rPr>
                <w:rFonts w:cs="Arial"/>
                <w:i/>
                <w:sz w:val="18"/>
              </w:rPr>
              <w:t>Appropriation Act (No. 1) 2016-17</w:t>
            </w:r>
            <w:r w:rsidRPr="001F2D66">
              <w:rPr>
                <w:rFonts w:cs="Arial"/>
                <w:sz w:val="18"/>
                <w:vertAlign w:val="superscript"/>
              </w:rPr>
              <w:t>3</w:t>
            </w:r>
          </w:p>
        </w:tc>
        <w:tc>
          <w:tcPr>
            <w:tcW w:w="1559" w:type="dxa"/>
            <w:tcBorders>
              <w:top w:val="nil"/>
              <w:left w:val="nil"/>
              <w:bottom w:val="nil"/>
              <w:right w:val="nil"/>
            </w:tcBorders>
            <w:shd w:val="clear" w:color="000000" w:fill="D9D9D9"/>
            <w:noWrap/>
          </w:tcPr>
          <w:p w14:paraId="1CDF46F6" w14:textId="77777777" w:rsidR="00AB6753" w:rsidRPr="006973B8" w:rsidRDefault="00AB6753" w:rsidP="002D1EA4">
            <w:pPr>
              <w:spacing w:after="0"/>
              <w:jc w:val="right"/>
              <w:rPr>
                <w:rFonts w:cs="Arial"/>
                <w:b/>
                <w:sz w:val="18"/>
                <w:szCs w:val="18"/>
              </w:rPr>
            </w:pPr>
            <w:r w:rsidRPr="006973B8">
              <w:rPr>
                <w:rFonts w:cs="Arial"/>
                <w:b/>
                <w:sz w:val="18"/>
                <w:szCs w:val="18"/>
              </w:rPr>
              <w:t xml:space="preserve"> -</w:t>
            </w:r>
          </w:p>
        </w:tc>
        <w:tc>
          <w:tcPr>
            <w:tcW w:w="1276" w:type="dxa"/>
            <w:tcBorders>
              <w:top w:val="nil"/>
              <w:left w:val="nil"/>
              <w:bottom w:val="nil"/>
              <w:right w:val="nil"/>
            </w:tcBorders>
            <w:shd w:val="clear" w:color="000000" w:fill="D9D9D9"/>
            <w:noWrap/>
          </w:tcPr>
          <w:p w14:paraId="3CB214B9" w14:textId="77777777" w:rsidR="00AB6753" w:rsidRPr="006973B8" w:rsidRDefault="00AB6753" w:rsidP="002D1EA4">
            <w:pPr>
              <w:spacing w:after="0"/>
              <w:jc w:val="right"/>
              <w:rPr>
                <w:rFonts w:cs="Arial"/>
                <w:sz w:val="18"/>
                <w:szCs w:val="18"/>
              </w:rPr>
            </w:pPr>
            <w:r w:rsidRPr="006973B8">
              <w:rPr>
                <w:rFonts w:cs="Arial"/>
                <w:sz w:val="18"/>
                <w:szCs w:val="18"/>
              </w:rPr>
              <w:t xml:space="preserve">224,555 </w:t>
            </w:r>
          </w:p>
        </w:tc>
      </w:tr>
      <w:tr w:rsidR="00AB6753" w:rsidRPr="009233AE" w14:paraId="68BFD3A7" w14:textId="77777777" w:rsidTr="002D1EA4">
        <w:trPr>
          <w:gridAfter w:val="3"/>
          <w:wAfter w:w="4367" w:type="dxa"/>
          <w:trHeight w:val="227"/>
        </w:trPr>
        <w:tc>
          <w:tcPr>
            <w:tcW w:w="6691" w:type="dxa"/>
            <w:tcBorders>
              <w:top w:val="nil"/>
              <w:left w:val="nil"/>
              <w:bottom w:val="single" w:sz="4" w:space="0" w:color="D9D9D9"/>
              <w:right w:val="nil"/>
            </w:tcBorders>
            <w:shd w:val="clear" w:color="000000" w:fill="D9D9D9"/>
            <w:hideMark/>
          </w:tcPr>
          <w:p w14:paraId="0A33E48B" w14:textId="77777777" w:rsidR="00AB6753" w:rsidRPr="001F2D66" w:rsidRDefault="00AB6753" w:rsidP="002D1EA4">
            <w:pPr>
              <w:spacing w:after="0"/>
              <w:ind w:leftChars="100" w:left="220"/>
              <w:rPr>
                <w:rFonts w:cs="Arial"/>
                <w:sz w:val="18"/>
              </w:rPr>
            </w:pPr>
            <w:r w:rsidRPr="00A1451E">
              <w:rPr>
                <w:rFonts w:cs="Arial"/>
                <w:i/>
                <w:sz w:val="18"/>
              </w:rPr>
              <w:t>Supply Act (No. 1) 2016-17</w:t>
            </w:r>
            <w:r w:rsidRPr="001F2D66">
              <w:rPr>
                <w:rFonts w:cs="Arial"/>
                <w:sz w:val="18"/>
                <w:vertAlign w:val="superscript"/>
              </w:rPr>
              <w:t>3</w:t>
            </w:r>
          </w:p>
        </w:tc>
        <w:tc>
          <w:tcPr>
            <w:tcW w:w="1559" w:type="dxa"/>
            <w:tcBorders>
              <w:top w:val="nil"/>
              <w:left w:val="nil"/>
              <w:bottom w:val="nil"/>
              <w:right w:val="nil"/>
            </w:tcBorders>
            <w:shd w:val="clear" w:color="000000" w:fill="D9D9D9"/>
            <w:noWrap/>
            <w:hideMark/>
          </w:tcPr>
          <w:p w14:paraId="03D37108" w14:textId="77777777" w:rsidR="00AB6753" w:rsidRPr="006973B8" w:rsidRDefault="00AB6753" w:rsidP="002D1EA4">
            <w:pPr>
              <w:spacing w:after="0"/>
              <w:jc w:val="right"/>
              <w:rPr>
                <w:rFonts w:cs="Arial"/>
                <w:b/>
                <w:sz w:val="18"/>
                <w:szCs w:val="18"/>
              </w:rPr>
            </w:pPr>
            <w:r w:rsidRPr="006973B8">
              <w:rPr>
                <w:rFonts w:cs="Arial"/>
                <w:b/>
                <w:sz w:val="18"/>
                <w:szCs w:val="18"/>
              </w:rPr>
              <w:t xml:space="preserve"> -</w:t>
            </w:r>
          </w:p>
        </w:tc>
        <w:tc>
          <w:tcPr>
            <w:tcW w:w="1276" w:type="dxa"/>
            <w:tcBorders>
              <w:top w:val="nil"/>
              <w:left w:val="nil"/>
              <w:bottom w:val="nil"/>
              <w:right w:val="nil"/>
            </w:tcBorders>
            <w:shd w:val="clear" w:color="000000" w:fill="D9D9D9"/>
            <w:noWrap/>
            <w:hideMark/>
          </w:tcPr>
          <w:p w14:paraId="61A3ECC9" w14:textId="77777777" w:rsidR="00AB6753" w:rsidRPr="006973B8" w:rsidRDefault="00AB6753" w:rsidP="002D1EA4">
            <w:pPr>
              <w:spacing w:after="0"/>
              <w:jc w:val="right"/>
              <w:rPr>
                <w:rFonts w:cs="Arial"/>
                <w:sz w:val="18"/>
                <w:szCs w:val="18"/>
              </w:rPr>
            </w:pPr>
            <w:r w:rsidRPr="006973B8">
              <w:rPr>
                <w:rFonts w:cs="Arial"/>
                <w:sz w:val="18"/>
                <w:szCs w:val="18"/>
              </w:rPr>
              <w:t xml:space="preserve">178 </w:t>
            </w:r>
          </w:p>
        </w:tc>
      </w:tr>
      <w:tr w:rsidR="00AB6753" w:rsidRPr="009233AE" w14:paraId="14553EF8" w14:textId="77777777" w:rsidTr="002D1EA4">
        <w:trPr>
          <w:gridAfter w:val="3"/>
          <w:wAfter w:w="4367" w:type="dxa"/>
          <w:trHeight w:val="227"/>
        </w:trPr>
        <w:tc>
          <w:tcPr>
            <w:tcW w:w="6691" w:type="dxa"/>
            <w:tcBorders>
              <w:top w:val="nil"/>
              <w:left w:val="nil"/>
              <w:bottom w:val="single" w:sz="4" w:space="0" w:color="D9D9D9"/>
              <w:right w:val="nil"/>
            </w:tcBorders>
            <w:shd w:val="clear" w:color="000000" w:fill="D9D9D9"/>
          </w:tcPr>
          <w:p w14:paraId="22279871" w14:textId="77777777" w:rsidR="00AB6753" w:rsidRPr="001F2D66" w:rsidRDefault="00AB6753" w:rsidP="002D1EA4">
            <w:pPr>
              <w:spacing w:after="0"/>
              <w:ind w:leftChars="100" w:left="220"/>
              <w:rPr>
                <w:rFonts w:cs="Arial"/>
                <w:sz w:val="18"/>
              </w:rPr>
            </w:pPr>
            <w:r w:rsidRPr="00A1451E">
              <w:rPr>
                <w:rFonts w:cs="Arial"/>
                <w:i/>
                <w:sz w:val="18"/>
              </w:rPr>
              <w:t>Appropriation Act (No. 1) 2017-18</w:t>
            </w:r>
            <w:r w:rsidRPr="001F2D66">
              <w:rPr>
                <w:rFonts w:cs="Arial"/>
                <w:sz w:val="18"/>
                <w:vertAlign w:val="superscript"/>
              </w:rPr>
              <w:t>2</w:t>
            </w:r>
          </w:p>
        </w:tc>
        <w:tc>
          <w:tcPr>
            <w:tcW w:w="1559" w:type="dxa"/>
            <w:tcBorders>
              <w:top w:val="nil"/>
              <w:left w:val="nil"/>
              <w:bottom w:val="nil"/>
              <w:right w:val="nil"/>
            </w:tcBorders>
            <w:shd w:val="clear" w:color="000000" w:fill="D9D9D9"/>
            <w:noWrap/>
          </w:tcPr>
          <w:p w14:paraId="640FFAAB" w14:textId="77777777" w:rsidR="00AB6753" w:rsidRPr="006973B8" w:rsidRDefault="00AB6753" w:rsidP="002D1EA4">
            <w:pPr>
              <w:spacing w:after="0"/>
              <w:jc w:val="right"/>
              <w:rPr>
                <w:rFonts w:cs="Arial"/>
                <w:b/>
                <w:sz w:val="18"/>
                <w:szCs w:val="18"/>
              </w:rPr>
            </w:pPr>
            <w:r w:rsidRPr="006973B8">
              <w:rPr>
                <w:rFonts w:cs="Arial"/>
                <w:b/>
                <w:sz w:val="18"/>
                <w:szCs w:val="18"/>
              </w:rPr>
              <w:t xml:space="preserve">698,882 </w:t>
            </w:r>
          </w:p>
        </w:tc>
        <w:tc>
          <w:tcPr>
            <w:tcW w:w="1276" w:type="dxa"/>
            <w:tcBorders>
              <w:top w:val="nil"/>
              <w:left w:val="nil"/>
              <w:bottom w:val="nil"/>
              <w:right w:val="nil"/>
            </w:tcBorders>
            <w:shd w:val="clear" w:color="000000" w:fill="D9D9D9"/>
            <w:noWrap/>
          </w:tcPr>
          <w:p w14:paraId="5410673C" w14:textId="77777777" w:rsidR="00AB6753" w:rsidRPr="006973B8" w:rsidRDefault="00AB6753" w:rsidP="002D1EA4">
            <w:pPr>
              <w:spacing w:after="0"/>
              <w:jc w:val="right"/>
              <w:rPr>
                <w:rFonts w:cs="Arial"/>
                <w:sz w:val="18"/>
                <w:szCs w:val="18"/>
              </w:rPr>
            </w:pPr>
            <w:r w:rsidRPr="006973B8">
              <w:rPr>
                <w:rFonts w:cs="Arial"/>
                <w:sz w:val="18"/>
                <w:szCs w:val="18"/>
              </w:rPr>
              <w:t xml:space="preserve">727,904 </w:t>
            </w:r>
          </w:p>
        </w:tc>
      </w:tr>
      <w:tr w:rsidR="00AB6753" w:rsidRPr="009233AE" w14:paraId="30D611B1" w14:textId="77777777" w:rsidTr="002D1EA4">
        <w:trPr>
          <w:gridAfter w:val="3"/>
          <w:wAfter w:w="4367" w:type="dxa"/>
          <w:trHeight w:val="227"/>
        </w:trPr>
        <w:tc>
          <w:tcPr>
            <w:tcW w:w="6691" w:type="dxa"/>
            <w:tcBorders>
              <w:top w:val="nil"/>
              <w:left w:val="nil"/>
              <w:bottom w:val="single" w:sz="4" w:space="0" w:color="D9D9D9"/>
              <w:right w:val="nil"/>
            </w:tcBorders>
            <w:shd w:val="clear" w:color="000000" w:fill="D9D9D9"/>
          </w:tcPr>
          <w:p w14:paraId="255D5F3A" w14:textId="77777777" w:rsidR="00AB6753" w:rsidRPr="00A1451E" w:rsidRDefault="00AB6753" w:rsidP="002D1EA4">
            <w:pPr>
              <w:spacing w:after="0"/>
              <w:ind w:leftChars="100" w:left="220"/>
              <w:rPr>
                <w:rFonts w:cs="Arial"/>
                <w:i/>
                <w:sz w:val="18"/>
              </w:rPr>
            </w:pPr>
            <w:r w:rsidRPr="00A1451E">
              <w:rPr>
                <w:rFonts w:cs="Arial"/>
                <w:i/>
                <w:sz w:val="18"/>
              </w:rPr>
              <w:t>Appropriation Act (No. 3) 2017-18</w:t>
            </w:r>
          </w:p>
        </w:tc>
        <w:tc>
          <w:tcPr>
            <w:tcW w:w="1559" w:type="dxa"/>
            <w:tcBorders>
              <w:top w:val="nil"/>
              <w:left w:val="nil"/>
              <w:bottom w:val="nil"/>
              <w:right w:val="nil"/>
            </w:tcBorders>
            <w:shd w:val="clear" w:color="000000" w:fill="D9D9D9"/>
            <w:noWrap/>
          </w:tcPr>
          <w:p w14:paraId="0A1AF137" w14:textId="77777777" w:rsidR="00AB6753" w:rsidRPr="006973B8" w:rsidRDefault="00AB6753" w:rsidP="002D1EA4">
            <w:pPr>
              <w:spacing w:after="0"/>
              <w:jc w:val="right"/>
              <w:rPr>
                <w:rFonts w:cs="Arial"/>
                <w:b/>
                <w:sz w:val="18"/>
                <w:szCs w:val="18"/>
              </w:rPr>
            </w:pPr>
            <w:r w:rsidRPr="006973B8">
              <w:rPr>
                <w:rFonts w:cs="Arial"/>
                <w:b/>
                <w:sz w:val="18"/>
                <w:szCs w:val="18"/>
              </w:rPr>
              <w:t xml:space="preserve"> -</w:t>
            </w:r>
          </w:p>
        </w:tc>
        <w:tc>
          <w:tcPr>
            <w:tcW w:w="1276" w:type="dxa"/>
            <w:tcBorders>
              <w:top w:val="nil"/>
              <w:left w:val="nil"/>
              <w:bottom w:val="nil"/>
              <w:right w:val="nil"/>
            </w:tcBorders>
            <w:shd w:val="clear" w:color="000000" w:fill="D9D9D9"/>
            <w:noWrap/>
          </w:tcPr>
          <w:p w14:paraId="46A486D9" w14:textId="77777777" w:rsidR="00AB6753" w:rsidRPr="006973B8" w:rsidRDefault="00AB6753" w:rsidP="002D1EA4">
            <w:pPr>
              <w:spacing w:after="0"/>
              <w:jc w:val="right"/>
              <w:rPr>
                <w:rFonts w:cs="Arial"/>
                <w:sz w:val="18"/>
                <w:szCs w:val="18"/>
              </w:rPr>
            </w:pPr>
            <w:r w:rsidRPr="006973B8">
              <w:rPr>
                <w:rFonts w:cs="Arial"/>
                <w:sz w:val="18"/>
                <w:szCs w:val="18"/>
              </w:rPr>
              <w:t xml:space="preserve">11,827 </w:t>
            </w:r>
          </w:p>
        </w:tc>
      </w:tr>
      <w:tr w:rsidR="00AB6753" w:rsidRPr="009233AE" w14:paraId="65C638D7" w14:textId="77777777" w:rsidTr="002D1EA4">
        <w:trPr>
          <w:gridAfter w:val="3"/>
          <w:wAfter w:w="4367" w:type="dxa"/>
          <w:trHeight w:val="227"/>
        </w:trPr>
        <w:tc>
          <w:tcPr>
            <w:tcW w:w="6691" w:type="dxa"/>
            <w:tcBorders>
              <w:top w:val="nil"/>
              <w:left w:val="nil"/>
              <w:bottom w:val="single" w:sz="4" w:space="0" w:color="D9D9D9"/>
              <w:right w:val="nil"/>
            </w:tcBorders>
            <w:shd w:val="clear" w:color="000000" w:fill="D9D9D9"/>
          </w:tcPr>
          <w:p w14:paraId="1F718B7E" w14:textId="77777777" w:rsidR="00AB6753" w:rsidRPr="00A1451E" w:rsidRDefault="00AB6753" w:rsidP="002D1EA4">
            <w:pPr>
              <w:spacing w:after="0"/>
              <w:ind w:leftChars="100" w:left="220"/>
              <w:rPr>
                <w:rFonts w:cs="Arial"/>
                <w:i/>
                <w:sz w:val="18"/>
              </w:rPr>
            </w:pPr>
            <w:r w:rsidRPr="00A1451E">
              <w:rPr>
                <w:rFonts w:cs="Arial"/>
                <w:i/>
                <w:sz w:val="18"/>
              </w:rPr>
              <w:t>Appropriation Act (No. 1) 2018-19</w:t>
            </w:r>
          </w:p>
        </w:tc>
        <w:tc>
          <w:tcPr>
            <w:tcW w:w="1559" w:type="dxa"/>
            <w:tcBorders>
              <w:top w:val="nil"/>
              <w:left w:val="nil"/>
              <w:bottom w:val="nil"/>
              <w:right w:val="nil"/>
            </w:tcBorders>
            <w:shd w:val="clear" w:color="000000" w:fill="D9D9D9"/>
            <w:noWrap/>
          </w:tcPr>
          <w:p w14:paraId="62013298" w14:textId="77777777" w:rsidR="00AB6753" w:rsidRPr="006973B8" w:rsidRDefault="00AB6753" w:rsidP="002D1EA4">
            <w:pPr>
              <w:spacing w:after="0"/>
              <w:jc w:val="right"/>
              <w:rPr>
                <w:rFonts w:cs="Arial"/>
                <w:b/>
                <w:sz w:val="18"/>
                <w:szCs w:val="18"/>
              </w:rPr>
            </w:pPr>
            <w:r w:rsidRPr="006973B8">
              <w:rPr>
                <w:rFonts w:cs="Arial"/>
                <w:b/>
                <w:sz w:val="18"/>
                <w:szCs w:val="18"/>
              </w:rPr>
              <w:t xml:space="preserve">1,998,890 </w:t>
            </w:r>
          </w:p>
        </w:tc>
        <w:tc>
          <w:tcPr>
            <w:tcW w:w="1276" w:type="dxa"/>
            <w:tcBorders>
              <w:top w:val="nil"/>
              <w:left w:val="nil"/>
              <w:bottom w:val="nil"/>
              <w:right w:val="nil"/>
            </w:tcBorders>
            <w:shd w:val="clear" w:color="000000" w:fill="D9D9D9"/>
            <w:noWrap/>
          </w:tcPr>
          <w:p w14:paraId="62FED88B" w14:textId="77777777" w:rsidR="00AB6753" w:rsidRPr="006973B8" w:rsidRDefault="00AB6753" w:rsidP="002D1EA4">
            <w:pPr>
              <w:spacing w:after="0"/>
              <w:jc w:val="right"/>
              <w:rPr>
                <w:rFonts w:cs="Arial"/>
                <w:sz w:val="18"/>
                <w:szCs w:val="18"/>
              </w:rPr>
            </w:pPr>
            <w:r w:rsidRPr="006973B8">
              <w:rPr>
                <w:rFonts w:cs="Arial"/>
                <w:sz w:val="18"/>
                <w:szCs w:val="18"/>
              </w:rPr>
              <w:t xml:space="preserve">2,231,088 </w:t>
            </w:r>
          </w:p>
        </w:tc>
      </w:tr>
      <w:tr w:rsidR="00AB6753" w:rsidRPr="009233AE" w14:paraId="5B760C83" w14:textId="77777777" w:rsidTr="002D1EA4">
        <w:trPr>
          <w:gridAfter w:val="3"/>
          <w:wAfter w:w="4367" w:type="dxa"/>
          <w:trHeight w:val="227"/>
        </w:trPr>
        <w:tc>
          <w:tcPr>
            <w:tcW w:w="6691" w:type="dxa"/>
            <w:tcBorders>
              <w:top w:val="nil"/>
              <w:left w:val="nil"/>
              <w:bottom w:val="single" w:sz="4" w:space="0" w:color="D9D9D9"/>
              <w:right w:val="nil"/>
            </w:tcBorders>
            <w:shd w:val="clear" w:color="000000" w:fill="D9D9D9"/>
          </w:tcPr>
          <w:p w14:paraId="007F82FA" w14:textId="77777777" w:rsidR="00AB6753" w:rsidRPr="00A1451E" w:rsidRDefault="00AB6753" w:rsidP="002D1EA4">
            <w:pPr>
              <w:spacing w:after="0"/>
              <w:ind w:leftChars="100" w:left="220"/>
              <w:rPr>
                <w:rFonts w:cs="Arial"/>
                <w:i/>
                <w:sz w:val="18"/>
              </w:rPr>
            </w:pPr>
            <w:r w:rsidRPr="00A1451E">
              <w:rPr>
                <w:rFonts w:cs="Arial"/>
                <w:i/>
                <w:sz w:val="18"/>
              </w:rPr>
              <w:t>Appropriation Act (No. 3) 2018-19</w:t>
            </w:r>
          </w:p>
        </w:tc>
        <w:tc>
          <w:tcPr>
            <w:tcW w:w="1559" w:type="dxa"/>
            <w:tcBorders>
              <w:top w:val="nil"/>
              <w:left w:val="nil"/>
              <w:bottom w:val="nil"/>
              <w:right w:val="nil"/>
            </w:tcBorders>
            <w:shd w:val="clear" w:color="000000" w:fill="D9D9D9"/>
            <w:noWrap/>
          </w:tcPr>
          <w:p w14:paraId="36D04F64" w14:textId="77777777" w:rsidR="00AB6753" w:rsidRPr="006973B8" w:rsidRDefault="00AB6753" w:rsidP="002D1EA4">
            <w:pPr>
              <w:spacing w:after="0"/>
              <w:jc w:val="right"/>
              <w:rPr>
                <w:rFonts w:cs="Arial"/>
                <w:b/>
                <w:sz w:val="18"/>
                <w:szCs w:val="18"/>
              </w:rPr>
            </w:pPr>
            <w:r w:rsidRPr="006973B8">
              <w:rPr>
                <w:rFonts w:cs="Arial"/>
                <w:b/>
                <w:sz w:val="18"/>
                <w:szCs w:val="18"/>
              </w:rPr>
              <w:t xml:space="preserve">90,232 </w:t>
            </w:r>
          </w:p>
        </w:tc>
        <w:tc>
          <w:tcPr>
            <w:tcW w:w="1276" w:type="dxa"/>
            <w:tcBorders>
              <w:top w:val="nil"/>
              <w:left w:val="nil"/>
              <w:bottom w:val="nil"/>
              <w:right w:val="nil"/>
            </w:tcBorders>
            <w:shd w:val="clear" w:color="000000" w:fill="D9D9D9"/>
            <w:noWrap/>
          </w:tcPr>
          <w:p w14:paraId="70828D5D" w14:textId="77777777" w:rsidR="00AB6753" w:rsidRPr="006973B8" w:rsidRDefault="00AB6753" w:rsidP="002D1EA4">
            <w:pPr>
              <w:spacing w:after="0"/>
              <w:jc w:val="right"/>
              <w:rPr>
                <w:rFonts w:cs="Arial"/>
                <w:sz w:val="18"/>
                <w:szCs w:val="18"/>
              </w:rPr>
            </w:pPr>
            <w:r w:rsidRPr="006973B8">
              <w:rPr>
                <w:rFonts w:cs="Arial"/>
                <w:sz w:val="18"/>
                <w:szCs w:val="18"/>
              </w:rPr>
              <w:t xml:space="preserve">114,023 </w:t>
            </w:r>
          </w:p>
        </w:tc>
      </w:tr>
      <w:tr w:rsidR="00AB6753" w:rsidRPr="009233AE" w14:paraId="58F6303B" w14:textId="77777777" w:rsidTr="002D1EA4">
        <w:trPr>
          <w:gridAfter w:val="3"/>
          <w:wAfter w:w="4367" w:type="dxa"/>
          <w:trHeight w:val="227"/>
        </w:trPr>
        <w:tc>
          <w:tcPr>
            <w:tcW w:w="6691" w:type="dxa"/>
            <w:tcBorders>
              <w:top w:val="nil"/>
              <w:left w:val="nil"/>
              <w:bottom w:val="single" w:sz="4" w:space="0" w:color="D9D9D9"/>
              <w:right w:val="nil"/>
            </w:tcBorders>
            <w:shd w:val="clear" w:color="000000" w:fill="D9D9D9"/>
          </w:tcPr>
          <w:p w14:paraId="5ACAF4CD" w14:textId="77777777" w:rsidR="00AB6753" w:rsidRPr="00A1451E" w:rsidRDefault="00AB6753" w:rsidP="002D1EA4">
            <w:pPr>
              <w:spacing w:after="0"/>
              <w:ind w:leftChars="100" w:left="220"/>
              <w:rPr>
                <w:rFonts w:cs="Arial"/>
                <w:i/>
                <w:sz w:val="18"/>
              </w:rPr>
            </w:pPr>
            <w:r w:rsidRPr="00A1451E">
              <w:rPr>
                <w:rFonts w:cs="Arial"/>
                <w:i/>
                <w:sz w:val="18"/>
              </w:rPr>
              <w:t>Appropriation Act (No. 1) 2019-20</w:t>
            </w:r>
          </w:p>
        </w:tc>
        <w:tc>
          <w:tcPr>
            <w:tcW w:w="1559" w:type="dxa"/>
            <w:tcBorders>
              <w:top w:val="nil"/>
              <w:left w:val="nil"/>
              <w:bottom w:val="nil"/>
              <w:right w:val="nil"/>
            </w:tcBorders>
            <w:shd w:val="clear" w:color="000000" w:fill="D9D9D9"/>
            <w:noWrap/>
          </w:tcPr>
          <w:p w14:paraId="371E35F0" w14:textId="77777777" w:rsidR="00AB6753" w:rsidRPr="006973B8" w:rsidRDefault="00AB6753" w:rsidP="002D1EA4">
            <w:pPr>
              <w:spacing w:after="0"/>
              <w:jc w:val="right"/>
              <w:rPr>
                <w:rFonts w:cs="Arial"/>
                <w:b/>
                <w:sz w:val="18"/>
                <w:szCs w:val="18"/>
              </w:rPr>
            </w:pPr>
            <w:r w:rsidRPr="006973B8">
              <w:rPr>
                <w:rFonts w:cs="Arial"/>
                <w:b/>
                <w:sz w:val="18"/>
                <w:szCs w:val="18"/>
              </w:rPr>
              <w:t xml:space="preserve">97,986 </w:t>
            </w:r>
          </w:p>
        </w:tc>
        <w:tc>
          <w:tcPr>
            <w:tcW w:w="1276" w:type="dxa"/>
            <w:tcBorders>
              <w:top w:val="nil"/>
              <w:left w:val="nil"/>
              <w:bottom w:val="nil"/>
              <w:right w:val="nil"/>
            </w:tcBorders>
            <w:shd w:val="clear" w:color="000000" w:fill="D9D9D9"/>
            <w:noWrap/>
          </w:tcPr>
          <w:p w14:paraId="1D080D62" w14:textId="77777777" w:rsidR="00AB6753" w:rsidRPr="006973B8" w:rsidRDefault="00AB6753" w:rsidP="002D1EA4">
            <w:pPr>
              <w:spacing w:after="0"/>
              <w:jc w:val="right"/>
              <w:rPr>
                <w:rFonts w:cs="Arial"/>
                <w:sz w:val="18"/>
                <w:szCs w:val="18"/>
              </w:rPr>
            </w:pPr>
            <w:r w:rsidRPr="006973B8">
              <w:rPr>
                <w:rFonts w:cs="Arial"/>
                <w:sz w:val="18"/>
                <w:szCs w:val="18"/>
              </w:rPr>
              <w:t xml:space="preserve"> -</w:t>
            </w:r>
          </w:p>
        </w:tc>
      </w:tr>
      <w:tr w:rsidR="00AB6753" w:rsidRPr="009233AE" w14:paraId="2A155507" w14:textId="77777777" w:rsidTr="002D1EA4">
        <w:trPr>
          <w:gridAfter w:val="3"/>
          <w:wAfter w:w="4367" w:type="dxa"/>
          <w:trHeight w:val="227"/>
        </w:trPr>
        <w:tc>
          <w:tcPr>
            <w:tcW w:w="6691" w:type="dxa"/>
            <w:tcBorders>
              <w:top w:val="nil"/>
              <w:left w:val="nil"/>
              <w:bottom w:val="single" w:sz="4" w:space="0" w:color="D9D9D9"/>
              <w:right w:val="nil"/>
            </w:tcBorders>
            <w:shd w:val="clear" w:color="000000" w:fill="D9D9D9"/>
          </w:tcPr>
          <w:p w14:paraId="77A53A25" w14:textId="77777777" w:rsidR="00AB6753" w:rsidRPr="00A1451E" w:rsidRDefault="00AB6753" w:rsidP="002D1EA4">
            <w:pPr>
              <w:spacing w:after="0"/>
              <w:ind w:leftChars="100" w:left="220"/>
              <w:rPr>
                <w:rFonts w:cs="Arial"/>
                <w:i/>
                <w:sz w:val="18"/>
              </w:rPr>
            </w:pPr>
            <w:r w:rsidRPr="00A1451E">
              <w:rPr>
                <w:rFonts w:cs="Arial"/>
                <w:i/>
                <w:sz w:val="18"/>
              </w:rPr>
              <w:t>Appropriation Act (No. 3) 2019-20</w:t>
            </w:r>
          </w:p>
        </w:tc>
        <w:tc>
          <w:tcPr>
            <w:tcW w:w="1559" w:type="dxa"/>
            <w:tcBorders>
              <w:top w:val="nil"/>
              <w:left w:val="nil"/>
              <w:bottom w:val="nil"/>
              <w:right w:val="nil"/>
            </w:tcBorders>
            <w:shd w:val="clear" w:color="000000" w:fill="D9D9D9"/>
            <w:noWrap/>
          </w:tcPr>
          <w:p w14:paraId="18B4A12B" w14:textId="77777777" w:rsidR="00AB6753" w:rsidRPr="006973B8" w:rsidRDefault="00AB6753" w:rsidP="002D1EA4">
            <w:pPr>
              <w:spacing w:after="0"/>
              <w:jc w:val="right"/>
              <w:rPr>
                <w:rFonts w:cs="Arial"/>
                <w:b/>
                <w:sz w:val="18"/>
                <w:szCs w:val="18"/>
              </w:rPr>
            </w:pPr>
            <w:r w:rsidRPr="006973B8">
              <w:rPr>
                <w:rFonts w:cs="Arial"/>
                <w:b/>
                <w:sz w:val="18"/>
                <w:szCs w:val="18"/>
              </w:rPr>
              <w:t xml:space="preserve">142,578 </w:t>
            </w:r>
          </w:p>
        </w:tc>
        <w:tc>
          <w:tcPr>
            <w:tcW w:w="1276" w:type="dxa"/>
            <w:tcBorders>
              <w:top w:val="nil"/>
              <w:left w:val="nil"/>
              <w:bottom w:val="nil"/>
              <w:right w:val="nil"/>
            </w:tcBorders>
            <w:shd w:val="clear" w:color="000000" w:fill="D9D9D9"/>
            <w:noWrap/>
          </w:tcPr>
          <w:p w14:paraId="6497AEAF" w14:textId="77777777" w:rsidR="00AB6753" w:rsidRPr="006973B8" w:rsidRDefault="00AB6753" w:rsidP="002D1EA4">
            <w:pPr>
              <w:spacing w:after="0"/>
              <w:jc w:val="right"/>
              <w:rPr>
                <w:rFonts w:cs="Arial"/>
                <w:sz w:val="18"/>
                <w:szCs w:val="18"/>
              </w:rPr>
            </w:pPr>
            <w:r w:rsidRPr="006973B8">
              <w:rPr>
                <w:rFonts w:cs="Arial"/>
                <w:sz w:val="18"/>
                <w:szCs w:val="18"/>
              </w:rPr>
              <w:t xml:space="preserve"> -</w:t>
            </w:r>
          </w:p>
        </w:tc>
      </w:tr>
      <w:tr w:rsidR="00AB6753" w:rsidRPr="009233AE" w14:paraId="61E14A6E" w14:textId="77777777" w:rsidTr="002D1EA4">
        <w:trPr>
          <w:gridAfter w:val="3"/>
          <w:wAfter w:w="4367" w:type="dxa"/>
          <w:trHeight w:val="227"/>
        </w:trPr>
        <w:tc>
          <w:tcPr>
            <w:tcW w:w="6691" w:type="dxa"/>
            <w:tcBorders>
              <w:top w:val="nil"/>
              <w:left w:val="nil"/>
              <w:bottom w:val="single" w:sz="4" w:space="0" w:color="D9D9D9"/>
              <w:right w:val="nil"/>
            </w:tcBorders>
            <w:shd w:val="clear" w:color="000000" w:fill="D9D9D9"/>
          </w:tcPr>
          <w:p w14:paraId="0F6BC523" w14:textId="77777777" w:rsidR="00AB6753" w:rsidRPr="00A1451E" w:rsidRDefault="00AB6753" w:rsidP="002D1EA4">
            <w:pPr>
              <w:spacing w:after="0"/>
              <w:ind w:leftChars="100" w:left="220"/>
              <w:rPr>
                <w:rFonts w:cs="Arial"/>
                <w:i/>
                <w:sz w:val="18"/>
              </w:rPr>
            </w:pPr>
            <w:r w:rsidRPr="00A1451E">
              <w:rPr>
                <w:rFonts w:cs="Arial"/>
                <w:i/>
                <w:sz w:val="18"/>
              </w:rPr>
              <w:t>Appropriation Act (No. 5) 2019-20</w:t>
            </w:r>
          </w:p>
        </w:tc>
        <w:tc>
          <w:tcPr>
            <w:tcW w:w="1559" w:type="dxa"/>
            <w:tcBorders>
              <w:top w:val="nil"/>
              <w:left w:val="nil"/>
              <w:bottom w:val="nil"/>
              <w:right w:val="nil"/>
            </w:tcBorders>
            <w:shd w:val="clear" w:color="000000" w:fill="D9D9D9"/>
            <w:noWrap/>
          </w:tcPr>
          <w:p w14:paraId="34769027" w14:textId="77777777" w:rsidR="00AB6753" w:rsidRPr="006973B8" w:rsidRDefault="00AB6753" w:rsidP="002D1EA4">
            <w:pPr>
              <w:spacing w:after="0"/>
              <w:jc w:val="right"/>
              <w:rPr>
                <w:rFonts w:cs="Arial"/>
                <w:b/>
                <w:sz w:val="18"/>
                <w:szCs w:val="18"/>
              </w:rPr>
            </w:pPr>
            <w:r w:rsidRPr="006973B8">
              <w:rPr>
                <w:rFonts w:cs="Arial"/>
                <w:b/>
                <w:sz w:val="18"/>
                <w:szCs w:val="18"/>
              </w:rPr>
              <w:t xml:space="preserve">59,949 </w:t>
            </w:r>
          </w:p>
        </w:tc>
        <w:tc>
          <w:tcPr>
            <w:tcW w:w="1276" w:type="dxa"/>
            <w:tcBorders>
              <w:top w:val="nil"/>
              <w:left w:val="nil"/>
              <w:bottom w:val="nil"/>
              <w:right w:val="nil"/>
            </w:tcBorders>
            <w:shd w:val="clear" w:color="000000" w:fill="D9D9D9"/>
            <w:noWrap/>
          </w:tcPr>
          <w:p w14:paraId="43850A19" w14:textId="77777777" w:rsidR="00AB6753" w:rsidRPr="006973B8" w:rsidRDefault="00AB6753" w:rsidP="002D1EA4">
            <w:pPr>
              <w:spacing w:after="0"/>
              <w:jc w:val="right"/>
              <w:rPr>
                <w:rFonts w:cs="Arial"/>
                <w:sz w:val="18"/>
                <w:szCs w:val="18"/>
              </w:rPr>
            </w:pPr>
            <w:r w:rsidRPr="006973B8">
              <w:rPr>
                <w:rFonts w:cs="Arial"/>
                <w:sz w:val="18"/>
                <w:szCs w:val="18"/>
              </w:rPr>
              <w:t xml:space="preserve"> -</w:t>
            </w:r>
          </w:p>
        </w:tc>
      </w:tr>
      <w:tr w:rsidR="00AB6753" w:rsidRPr="009233AE" w14:paraId="777882C0" w14:textId="77777777" w:rsidTr="002D1EA4">
        <w:trPr>
          <w:gridAfter w:val="3"/>
          <w:wAfter w:w="4367" w:type="dxa"/>
          <w:trHeight w:val="227"/>
        </w:trPr>
        <w:tc>
          <w:tcPr>
            <w:tcW w:w="6691" w:type="dxa"/>
            <w:tcBorders>
              <w:top w:val="nil"/>
              <w:left w:val="nil"/>
              <w:bottom w:val="single" w:sz="4" w:space="0" w:color="auto"/>
              <w:right w:val="nil"/>
            </w:tcBorders>
            <w:shd w:val="clear" w:color="000000" w:fill="D9D9D9"/>
            <w:hideMark/>
          </w:tcPr>
          <w:p w14:paraId="1AF146A3" w14:textId="77777777" w:rsidR="00AB6753" w:rsidRPr="00A1451E" w:rsidRDefault="00AB6753" w:rsidP="002D1EA4">
            <w:pPr>
              <w:spacing w:after="0"/>
              <w:ind w:leftChars="100" w:left="220"/>
              <w:rPr>
                <w:rFonts w:cs="Arial"/>
                <w:i/>
                <w:sz w:val="18"/>
              </w:rPr>
            </w:pPr>
            <w:r w:rsidRPr="00A1451E">
              <w:rPr>
                <w:rFonts w:cs="Arial"/>
                <w:i/>
                <w:sz w:val="18"/>
              </w:rPr>
              <w:t>Supply Act (No. 1) 2019-20</w:t>
            </w:r>
          </w:p>
        </w:tc>
        <w:tc>
          <w:tcPr>
            <w:tcW w:w="1559" w:type="dxa"/>
            <w:tcBorders>
              <w:top w:val="nil"/>
              <w:left w:val="nil"/>
              <w:bottom w:val="nil"/>
              <w:right w:val="nil"/>
            </w:tcBorders>
            <w:shd w:val="clear" w:color="000000" w:fill="D9D9D9"/>
            <w:noWrap/>
            <w:hideMark/>
          </w:tcPr>
          <w:p w14:paraId="352FAB8A" w14:textId="77777777" w:rsidR="00AB6753" w:rsidRPr="006973B8" w:rsidRDefault="00AB6753" w:rsidP="002D1EA4">
            <w:pPr>
              <w:spacing w:after="0"/>
              <w:jc w:val="right"/>
              <w:rPr>
                <w:rFonts w:cs="Arial"/>
                <w:b/>
                <w:sz w:val="18"/>
                <w:szCs w:val="18"/>
              </w:rPr>
            </w:pPr>
            <w:r w:rsidRPr="006973B8">
              <w:rPr>
                <w:rFonts w:cs="Arial"/>
                <w:b/>
                <w:sz w:val="18"/>
                <w:szCs w:val="18"/>
              </w:rPr>
              <w:t xml:space="preserve">54,454 </w:t>
            </w:r>
          </w:p>
        </w:tc>
        <w:tc>
          <w:tcPr>
            <w:tcW w:w="1276" w:type="dxa"/>
            <w:tcBorders>
              <w:top w:val="nil"/>
              <w:left w:val="nil"/>
              <w:bottom w:val="nil"/>
              <w:right w:val="nil"/>
            </w:tcBorders>
            <w:shd w:val="clear" w:color="000000" w:fill="D9D9D9"/>
            <w:noWrap/>
            <w:hideMark/>
          </w:tcPr>
          <w:p w14:paraId="00D49C30" w14:textId="77777777" w:rsidR="00AB6753" w:rsidRPr="006973B8" w:rsidRDefault="00AB6753" w:rsidP="002D1EA4">
            <w:pPr>
              <w:spacing w:after="0"/>
              <w:jc w:val="right"/>
              <w:rPr>
                <w:rFonts w:cs="Arial"/>
                <w:sz w:val="18"/>
                <w:szCs w:val="18"/>
              </w:rPr>
            </w:pPr>
            <w:r w:rsidRPr="006973B8">
              <w:rPr>
                <w:rFonts w:cs="Arial"/>
                <w:sz w:val="18"/>
                <w:szCs w:val="18"/>
              </w:rPr>
              <w:t xml:space="preserve"> -</w:t>
            </w:r>
          </w:p>
        </w:tc>
      </w:tr>
      <w:tr w:rsidR="00AB6753" w:rsidRPr="009233AE" w14:paraId="0E33E034" w14:textId="77777777" w:rsidTr="002D1EA4">
        <w:trPr>
          <w:gridAfter w:val="3"/>
          <w:wAfter w:w="4367" w:type="dxa"/>
          <w:trHeight w:val="227"/>
        </w:trPr>
        <w:tc>
          <w:tcPr>
            <w:tcW w:w="6691" w:type="dxa"/>
            <w:tcBorders>
              <w:top w:val="single" w:sz="4" w:space="0" w:color="auto"/>
              <w:left w:val="nil"/>
              <w:bottom w:val="single" w:sz="4" w:space="0" w:color="auto"/>
              <w:right w:val="nil"/>
            </w:tcBorders>
            <w:shd w:val="clear" w:color="000000" w:fill="D9D9D9"/>
            <w:vAlign w:val="bottom"/>
            <w:hideMark/>
          </w:tcPr>
          <w:p w14:paraId="653CEB1F" w14:textId="77777777" w:rsidR="00AB6753" w:rsidRDefault="00AB6753" w:rsidP="002D1EA4">
            <w:pPr>
              <w:spacing w:after="0" w:line="240" w:lineRule="auto"/>
              <w:rPr>
                <w:rFonts w:cs="Arial"/>
                <w:b/>
                <w:bCs/>
                <w:sz w:val="18"/>
                <w:szCs w:val="18"/>
              </w:rPr>
            </w:pPr>
            <w:r>
              <w:rPr>
                <w:rFonts w:cs="Arial"/>
                <w:b/>
                <w:bCs/>
                <w:sz w:val="18"/>
                <w:szCs w:val="18"/>
              </w:rPr>
              <w:t>Total administered</w:t>
            </w:r>
          </w:p>
        </w:tc>
        <w:tc>
          <w:tcPr>
            <w:tcW w:w="1559" w:type="dxa"/>
            <w:tcBorders>
              <w:top w:val="single" w:sz="4" w:space="0" w:color="auto"/>
              <w:left w:val="nil"/>
              <w:bottom w:val="single" w:sz="4" w:space="0" w:color="auto"/>
              <w:right w:val="nil"/>
            </w:tcBorders>
            <w:shd w:val="clear" w:color="000000" w:fill="D9D9D9"/>
            <w:noWrap/>
            <w:hideMark/>
          </w:tcPr>
          <w:p w14:paraId="6D14F4E0" w14:textId="77777777" w:rsidR="00AB6753" w:rsidRPr="006973B8" w:rsidRDefault="00AB6753" w:rsidP="002D1EA4">
            <w:pPr>
              <w:spacing w:after="0"/>
              <w:jc w:val="right"/>
              <w:rPr>
                <w:rFonts w:cs="Arial"/>
                <w:b/>
                <w:sz w:val="18"/>
                <w:szCs w:val="18"/>
              </w:rPr>
            </w:pPr>
            <w:r w:rsidRPr="006973B8">
              <w:rPr>
                <w:rFonts w:cs="Arial"/>
                <w:b/>
                <w:sz w:val="18"/>
                <w:szCs w:val="18"/>
              </w:rPr>
              <w:t xml:space="preserve">3,142,971 </w:t>
            </w:r>
          </w:p>
        </w:tc>
        <w:tc>
          <w:tcPr>
            <w:tcW w:w="1276" w:type="dxa"/>
            <w:tcBorders>
              <w:top w:val="single" w:sz="4" w:space="0" w:color="auto"/>
              <w:left w:val="nil"/>
              <w:bottom w:val="single" w:sz="4" w:space="0" w:color="auto"/>
              <w:right w:val="nil"/>
            </w:tcBorders>
            <w:shd w:val="clear" w:color="000000" w:fill="D9D9D9"/>
            <w:noWrap/>
            <w:hideMark/>
          </w:tcPr>
          <w:p w14:paraId="580335CD" w14:textId="77777777" w:rsidR="00AB6753" w:rsidRPr="006973B8" w:rsidRDefault="00AB6753" w:rsidP="002D1EA4">
            <w:pPr>
              <w:spacing w:after="0"/>
              <w:jc w:val="right"/>
              <w:rPr>
                <w:rFonts w:cs="Arial"/>
                <w:sz w:val="18"/>
                <w:szCs w:val="18"/>
              </w:rPr>
            </w:pPr>
            <w:r w:rsidRPr="006973B8">
              <w:rPr>
                <w:rFonts w:cs="Arial"/>
                <w:sz w:val="18"/>
                <w:szCs w:val="18"/>
              </w:rPr>
              <w:t xml:space="preserve">3,309,575 </w:t>
            </w:r>
          </w:p>
        </w:tc>
      </w:tr>
    </w:tbl>
    <w:p w14:paraId="772CDF7D" w14:textId="77777777" w:rsidR="00AB6753" w:rsidRPr="001F2D66" w:rsidRDefault="00AB6753" w:rsidP="00AB6753">
      <w:pPr>
        <w:pStyle w:val="NotesText0"/>
        <w:numPr>
          <w:ilvl w:val="0"/>
          <w:numId w:val="55"/>
        </w:numPr>
        <w:spacing w:before="120" w:after="120"/>
        <w:ind w:left="142" w:hanging="142"/>
        <w:rPr>
          <w:szCs w:val="18"/>
        </w:rPr>
      </w:pPr>
      <w:r w:rsidRPr="008C383A">
        <w:rPr>
          <w:szCs w:val="18"/>
        </w:rPr>
        <w:t xml:space="preserve">The </w:t>
      </w:r>
      <w:r w:rsidRPr="001F2D66">
        <w:rPr>
          <w:szCs w:val="18"/>
        </w:rPr>
        <w:t>departmental ordinary annual services item includes a quarantine under section 51 of the PGPA Act of $0.784</w:t>
      </w:r>
      <w:r>
        <w:rPr>
          <w:szCs w:val="18"/>
        </w:rPr>
        <w:t> </w:t>
      </w:r>
      <w:r w:rsidRPr="001F2D66">
        <w:rPr>
          <w:szCs w:val="18"/>
        </w:rPr>
        <w:t>million which was repealed on 1 July 2020.</w:t>
      </w:r>
    </w:p>
    <w:p w14:paraId="0F86ABE2" w14:textId="77777777" w:rsidR="00AB6753" w:rsidRDefault="00AB6753" w:rsidP="00AB6753">
      <w:pPr>
        <w:pStyle w:val="NotesText0"/>
        <w:numPr>
          <w:ilvl w:val="0"/>
          <w:numId w:val="55"/>
        </w:numPr>
        <w:spacing w:before="0" w:after="120"/>
        <w:ind w:left="142" w:hanging="142"/>
        <w:rPr>
          <w:szCs w:val="18"/>
        </w:rPr>
      </w:pPr>
      <w:r w:rsidRPr="001F2D66">
        <w:rPr>
          <w:szCs w:val="18"/>
        </w:rPr>
        <w:t>The administered</w:t>
      </w:r>
      <w:r>
        <w:rPr>
          <w:szCs w:val="18"/>
        </w:rPr>
        <w:t xml:space="preserve"> ordinary annual services</w:t>
      </w:r>
      <w:r w:rsidRPr="001F2D66">
        <w:rPr>
          <w:szCs w:val="18"/>
        </w:rPr>
        <w:t xml:space="preserve"> item includes a quarantine under section 51 of the PGPA Act of $451.746 million</w:t>
      </w:r>
      <w:r>
        <w:rPr>
          <w:szCs w:val="18"/>
        </w:rPr>
        <w:t xml:space="preserve"> which was repealed on 1 July 2020</w:t>
      </w:r>
      <w:r w:rsidRPr="001F2D66">
        <w:rPr>
          <w:szCs w:val="18"/>
        </w:rPr>
        <w:t>.</w:t>
      </w:r>
    </w:p>
    <w:p w14:paraId="3C7CBF1D" w14:textId="77777777" w:rsidR="00AB6753" w:rsidRDefault="00AB6753" w:rsidP="00AB6753">
      <w:pPr>
        <w:pStyle w:val="NotesText0"/>
        <w:numPr>
          <w:ilvl w:val="0"/>
          <w:numId w:val="55"/>
        </w:numPr>
        <w:spacing w:before="0" w:after="120"/>
        <w:ind w:left="142" w:hanging="142"/>
        <w:rPr>
          <w:szCs w:val="18"/>
        </w:rPr>
      </w:pPr>
      <w:r w:rsidRPr="001F2D66">
        <w:rPr>
          <w:szCs w:val="18"/>
        </w:rPr>
        <w:t>The 2016-17 Appropriation Acts automatically repealed on 1 July 2019</w:t>
      </w:r>
      <w:r>
        <w:rPr>
          <w:szCs w:val="18"/>
        </w:rPr>
        <w:t>.</w:t>
      </w:r>
    </w:p>
    <w:p w14:paraId="602DA6BB" w14:textId="6A2952C6" w:rsidR="00AB6753" w:rsidRDefault="00AB6753" w:rsidP="00307BF5">
      <w:pPr>
        <w:tabs>
          <w:tab w:val="left" w:pos="7728"/>
        </w:tabs>
        <w:rPr>
          <w:lang w:eastAsia="en-AU"/>
        </w:rPr>
      </w:pPr>
      <w:r>
        <w:rPr>
          <w:lang w:eastAsia="en-AU"/>
        </w:rPr>
        <w:tab/>
      </w:r>
    </w:p>
    <w:p w14:paraId="5262344A" w14:textId="77777777" w:rsidR="00AB6753" w:rsidRPr="00ED4F3A" w:rsidRDefault="00AB6753" w:rsidP="00AB6753">
      <w:pPr>
        <w:rPr>
          <w:lang w:eastAsia="en-AU"/>
        </w:rPr>
        <w:sectPr w:rsidR="00AB6753" w:rsidRPr="00ED4F3A" w:rsidSect="00C63A3F">
          <w:pgSz w:w="11906" w:h="16838" w:code="9"/>
          <w:pgMar w:top="1134" w:right="1418" w:bottom="992" w:left="1134" w:header="958" w:footer="737" w:gutter="0"/>
          <w:cols w:space="708"/>
          <w:docGrid w:linePitch="360"/>
        </w:sectPr>
      </w:pPr>
    </w:p>
    <w:p w14:paraId="1C7CEB5A" w14:textId="77777777" w:rsidR="00AB6753" w:rsidRDefault="00AB6753" w:rsidP="00AB6753">
      <w:pPr>
        <w:pStyle w:val="ContinuedSubHeading"/>
        <w:shd w:val="clear" w:color="auto" w:fill="D9D9D9" w:themeFill="background1" w:themeFillShade="D9"/>
        <w:ind w:left="113" w:right="-28"/>
      </w:pPr>
      <w:r>
        <w:lastRenderedPageBreak/>
        <w:t>5.1</w:t>
      </w:r>
      <w:r w:rsidRPr="000152D5">
        <w:t xml:space="preserve"> Appropriations (continued)</w:t>
      </w:r>
    </w:p>
    <w:tbl>
      <w:tblPr>
        <w:tblW w:w="14258" w:type="dxa"/>
        <w:tblInd w:w="80" w:type="dxa"/>
        <w:tblLayout w:type="fixed"/>
        <w:tblLook w:val="04A0" w:firstRow="1" w:lastRow="0" w:firstColumn="1" w:lastColumn="0" w:noHBand="0" w:noVBand="1"/>
        <w:tblCaption w:val="Notes to and forming part of the financial statements"/>
        <w:tblDescription w:val="Appropriations continued"/>
      </w:tblPr>
      <w:tblGrid>
        <w:gridCol w:w="4581"/>
        <w:gridCol w:w="912"/>
        <w:gridCol w:w="6316"/>
        <w:gridCol w:w="1260"/>
        <w:gridCol w:w="1189"/>
      </w:tblGrid>
      <w:tr w:rsidR="00AB6753" w14:paraId="46FC121C" w14:textId="77777777" w:rsidTr="002D1EA4">
        <w:trPr>
          <w:trHeight w:val="238"/>
        </w:trPr>
        <w:tc>
          <w:tcPr>
            <w:tcW w:w="14258" w:type="dxa"/>
            <w:gridSpan w:val="5"/>
            <w:tcBorders>
              <w:top w:val="nil"/>
              <w:left w:val="nil"/>
              <w:bottom w:val="nil"/>
              <w:right w:val="nil"/>
            </w:tcBorders>
            <w:shd w:val="clear" w:color="FFFFFF" w:fill="D9D9D9"/>
            <w:noWrap/>
            <w:vAlign w:val="bottom"/>
          </w:tcPr>
          <w:p w14:paraId="7F5DA7D2" w14:textId="77777777" w:rsidR="00AB6753" w:rsidRDefault="00AB6753" w:rsidP="002D1EA4">
            <w:pPr>
              <w:spacing w:after="0" w:line="240" w:lineRule="auto"/>
              <w:rPr>
                <w:rFonts w:cs="Arial"/>
                <w:b/>
                <w:bCs/>
                <w:sz w:val="18"/>
                <w:szCs w:val="18"/>
                <w:u w:val="single"/>
              </w:rPr>
            </w:pPr>
          </w:p>
        </w:tc>
      </w:tr>
      <w:tr w:rsidR="00AB6753" w14:paraId="39355A0B" w14:textId="77777777" w:rsidTr="002D1EA4">
        <w:trPr>
          <w:trHeight w:val="238"/>
        </w:trPr>
        <w:tc>
          <w:tcPr>
            <w:tcW w:w="14258" w:type="dxa"/>
            <w:gridSpan w:val="5"/>
            <w:tcBorders>
              <w:top w:val="nil"/>
              <w:left w:val="nil"/>
              <w:bottom w:val="nil"/>
              <w:right w:val="nil"/>
            </w:tcBorders>
            <w:shd w:val="clear" w:color="FFFFFF" w:fill="D9D9D9"/>
            <w:noWrap/>
            <w:vAlign w:val="bottom"/>
            <w:hideMark/>
          </w:tcPr>
          <w:p w14:paraId="4F4F8886" w14:textId="77777777" w:rsidR="00AB6753" w:rsidRDefault="00AB6753" w:rsidP="002D1EA4">
            <w:pPr>
              <w:spacing w:after="0" w:line="240" w:lineRule="auto"/>
              <w:rPr>
                <w:rFonts w:cs="Arial"/>
                <w:b/>
                <w:bCs/>
                <w:sz w:val="18"/>
                <w:szCs w:val="18"/>
                <w:u w:val="single"/>
              </w:rPr>
            </w:pPr>
            <w:bookmarkStart w:id="187" w:name="Note_AADTABLE1" w:colFirst="0" w:colLast="0"/>
            <w:r>
              <w:rPr>
                <w:rFonts w:cs="Arial"/>
                <w:b/>
                <w:bCs/>
                <w:sz w:val="18"/>
                <w:szCs w:val="18"/>
                <w:u w:val="single"/>
              </w:rPr>
              <w:t>Note 5.1C: Special Appropriations ('Recoverable GST exclusive')</w:t>
            </w:r>
          </w:p>
        </w:tc>
      </w:tr>
      <w:bookmarkEnd w:id="187"/>
      <w:tr w:rsidR="00AB6753" w14:paraId="203CD27F" w14:textId="77777777" w:rsidTr="002D1EA4">
        <w:trPr>
          <w:trHeight w:val="238"/>
        </w:trPr>
        <w:tc>
          <w:tcPr>
            <w:tcW w:w="4581" w:type="dxa"/>
            <w:tcBorders>
              <w:top w:val="nil"/>
              <w:left w:val="nil"/>
              <w:bottom w:val="nil"/>
              <w:right w:val="nil"/>
            </w:tcBorders>
            <w:shd w:val="clear" w:color="FFFFFF" w:fill="D9D9D9"/>
            <w:noWrap/>
            <w:vAlign w:val="bottom"/>
            <w:hideMark/>
          </w:tcPr>
          <w:p w14:paraId="4ECC17E9" w14:textId="77777777" w:rsidR="00AB6753" w:rsidRDefault="00AB6753" w:rsidP="002D1EA4">
            <w:pPr>
              <w:spacing w:after="0" w:line="240" w:lineRule="auto"/>
              <w:rPr>
                <w:rFonts w:cs="Arial"/>
                <w:b/>
                <w:bCs/>
                <w:sz w:val="18"/>
                <w:szCs w:val="18"/>
              </w:rPr>
            </w:pPr>
            <w:r>
              <w:rPr>
                <w:rFonts w:cs="Arial"/>
                <w:b/>
                <w:bCs/>
                <w:sz w:val="18"/>
                <w:szCs w:val="18"/>
              </w:rPr>
              <w:t> </w:t>
            </w:r>
          </w:p>
        </w:tc>
        <w:tc>
          <w:tcPr>
            <w:tcW w:w="912" w:type="dxa"/>
            <w:tcBorders>
              <w:top w:val="nil"/>
              <w:left w:val="nil"/>
              <w:bottom w:val="nil"/>
              <w:right w:val="nil"/>
            </w:tcBorders>
            <w:shd w:val="clear" w:color="FFFFFF" w:fill="D9D9D9"/>
            <w:noWrap/>
            <w:vAlign w:val="bottom"/>
            <w:hideMark/>
          </w:tcPr>
          <w:p w14:paraId="06BE1D2A" w14:textId="77777777" w:rsidR="00AB6753" w:rsidRDefault="00AB6753" w:rsidP="002D1EA4">
            <w:pPr>
              <w:spacing w:after="0" w:line="240" w:lineRule="auto"/>
              <w:jc w:val="center"/>
              <w:rPr>
                <w:rFonts w:cs="Arial"/>
                <w:b/>
                <w:bCs/>
                <w:sz w:val="18"/>
                <w:szCs w:val="18"/>
              </w:rPr>
            </w:pPr>
            <w:r>
              <w:rPr>
                <w:rFonts w:cs="Arial"/>
                <w:b/>
                <w:bCs/>
                <w:sz w:val="18"/>
                <w:szCs w:val="18"/>
              </w:rPr>
              <w:t> </w:t>
            </w:r>
          </w:p>
        </w:tc>
        <w:tc>
          <w:tcPr>
            <w:tcW w:w="6316" w:type="dxa"/>
            <w:tcBorders>
              <w:top w:val="nil"/>
              <w:left w:val="nil"/>
              <w:bottom w:val="nil"/>
              <w:right w:val="nil"/>
            </w:tcBorders>
            <w:shd w:val="clear" w:color="FFFFFF" w:fill="D9D9D9"/>
            <w:noWrap/>
            <w:vAlign w:val="bottom"/>
            <w:hideMark/>
          </w:tcPr>
          <w:p w14:paraId="46718DBA" w14:textId="77777777" w:rsidR="00AB6753" w:rsidRDefault="00AB6753" w:rsidP="002D1EA4">
            <w:pPr>
              <w:spacing w:after="0" w:line="240" w:lineRule="auto"/>
              <w:rPr>
                <w:rFonts w:cs="Arial"/>
                <w:b/>
                <w:bCs/>
                <w:sz w:val="18"/>
                <w:szCs w:val="18"/>
              </w:rPr>
            </w:pPr>
            <w:r>
              <w:rPr>
                <w:rFonts w:cs="Arial"/>
                <w:b/>
                <w:bCs/>
                <w:sz w:val="18"/>
                <w:szCs w:val="18"/>
              </w:rPr>
              <w:t> </w:t>
            </w:r>
          </w:p>
        </w:tc>
        <w:tc>
          <w:tcPr>
            <w:tcW w:w="1260" w:type="dxa"/>
            <w:tcBorders>
              <w:top w:val="nil"/>
              <w:left w:val="nil"/>
              <w:bottom w:val="nil"/>
              <w:right w:val="nil"/>
            </w:tcBorders>
            <w:shd w:val="clear" w:color="FFFFFF" w:fill="D9D9D9"/>
            <w:noWrap/>
            <w:vAlign w:val="bottom"/>
            <w:hideMark/>
          </w:tcPr>
          <w:p w14:paraId="0D56FEA0" w14:textId="77777777" w:rsidR="00AB6753" w:rsidRDefault="00AB6753" w:rsidP="002D1EA4">
            <w:pPr>
              <w:spacing w:after="0" w:line="240" w:lineRule="auto"/>
              <w:rPr>
                <w:rFonts w:cs="Arial"/>
                <w:b/>
                <w:bCs/>
                <w:sz w:val="18"/>
                <w:szCs w:val="18"/>
              </w:rPr>
            </w:pPr>
            <w:r>
              <w:rPr>
                <w:rFonts w:cs="Arial"/>
                <w:b/>
                <w:bCs/>
                <w:sz w:val="18"/>
                <w:szCs w:val="18"/>
              </w:rPr>
              <w:t> </w:t>
            </w:r>
          </w:p>
        </w:tc>
        <w:tc>
          <w:tcPr>
            <w:tcW w:w="1189" w:type="dxa"/>
            <w:tcBorders>
              <w:top w:val="nil"/>
              <w:left w:val="nil"/>
              <w:bottom w:val="nil"/>
              <w:right w:val="nil"/>
            </w:tcBorders>
            <w:shd w:val="clear" w:color="FFFFFF" w:fill="D9D9D9"/>
            <w:noWrap/>
            <w:vAlign w:val="bottom"/>
            <w:hideMark/>
          </w:tcPr>
          <w:p w14:paraId="5D7302BC" w14:textId="77777777" w:rsidR="00AB6753" w:rsidRDefault="00AB6753" w:rsidP="002D1EA4">
            <w:pPr>
              <w:spacing w:after="0" w:line="240" w:lineRule="auto"/>
              <w:rPr>
                <w:rFonts w:cs="Arial"/>
                <w:b/>
                <w:bCs/>
                <w:sz w:val="18"/>
                <w:szCs w:val="18"/>
              </w:rPr>
            </w:pPr>
            <w:r>
              <w:rPr>
                <w:rFonts w:cs="Arial"/>
                <w:b/>
                <w:bCs/>
                <w:sz w:val="18"/>
                <w:szCs w:val="18"/>
              </w:rPr>
              <w:t> </w:t>
            </w:r>
          </w:p>
        </w:tc>
      </w:tr>
      <w:tr w:rsidR="00AB6753" w14:paraId="175B917D" w14:textId="77777777" w:rsidTr="002D1EA4">
        <w:trPr>
          <w:trHeight w:val="238"/>
        </w:trPr>
        <w:tc>
          <w:tcPr>
            <w:tcW w:w="4581" w:type="dxa"/>
            <w:vMerge w:val="restart"/>
            <w:tcBorders>
              <w:top w:val="single" w:sz="4" w:space="0" w:color="auto"/>
              <w:left w:val="nil"/>
              <w:bottom w:val="single" w:sz="4" w:space="0" w:color="auto"/>
              <w:right w:val="nil"/>
            </w:tcBorders>
            <w:shd w:val="clear" w:color="000000" w:fill="D9D9D9"/>
            <w:vAlign w:val="bottom"/>
            <w:hideMark/>
          </w:tcPr>
          <w:p w14:paraId="586410B3" w14:textId="77777777" w:rsidR="00AB6753" w:rsidRDefault="00AB6753" w:rsidP="002D1EA4">
            <w:pPr>
              <w:spacing w:after="0" w:line="240" w:lineRule="auto"/>
              <w:rPr>
                <w:rFonts w:cs="Arial"/>
                <w:b/>
                <w:bCs/>
                <w:sz w:val="16"/>
                <w:szCs w:val="16"/>
              </w:rPr>
            </w:pPr>
            <w:r>
              <w:rPr>
                <w:rFonts w:cs="Arial"/>
                <w:b/>
                <w:bCs/>
                <w:sz w:val="16"/>
                <w:szCs w:val="16"/>
              </w:rPr>
              <w:t>Authority</w:t>
            </w:r>
          </w:p>
        </w:tc>
        <w:tc>
          <w:tcPr>
            <w:tcW w:w="912" w:type="dxa"/>
            <w:vMerge w:val="restart"/>
            <w:tcBorders>
              <w:top w:val="single" w:sz="4" w:space="0" w:color="auto"/>
              <w:left w:val="nil"/>
              <w:bottom w:val="single" w:sz="4" w:space="0" w:color="auto"/>
              <w:right w:val="nil"/>
            </w:tcBorders>
            <w:shd w:val="clear" w:color="000000" w:fill="D9D9D9"/>
            <w:vAlign w:val="bottom"/>
            <w:hideMark/>
          </w:tcPr>
          <w:p w14:paraId="11E19692" w14:textId="77777777" w:rsidR="00AB6753" w:rsidRDefault="00AB6753" w:rsidP="002D1EA4">
            <w:pPr>
              <w:spacing w:after="0" w:line="240" w:lineRule="auto"/>
              <w:jc w:val="center"/>
              <w:rPr>
                <w:rFonts w:cs="Arial"/>
                <w:b/>
                <w:bCs/>
                <w:sz w:val="16"/>
                <w:szCs w:val="16"/>
              </w:rPr>
            </w:pPr>
            <w:r>
              <w:rPr>
                <w:rFonts w:cs="Arial"/>
                <w:b/>
                <w:bCs/>
                <w:sz w:val="16"/>
                <w:szCs w:val="16"/>
              </w:rPr>
              <w:t>Type</w:t>
            </w:r>
          </w:p>
        </w:tc>
        <w:tc>
          <w:tcPr>
            <w:tcW w:w="6316" w:type="dxa"/>
            <w:vMerge w:val="restart"/>
            <w:tcBorders>
              <w:top w:val="single" w:sz="4" w:space="0" w:color="auto"/>
              <w:left w:val="nil"/>
              <w:bottom w:val="single" w:sz="4" w:space="0" w:color="auto"/>
              <w:right w:val="nil"/>
            </w:tcBorders>
            <w:shd w:val="clear" w:color="000000" w:fill="D9D9D9"/>
            <w:vAlign w:val="bottom"/>
            <w:hideMark/>
          </w:tcPr>
          <w:p w14:paraId="165A15F7" w14:textId="77777777" w:rsidR="00AB6753" w:rsidRDefault="00AB6753" w:rsidP="002D1EA4">
            <w:pPr>
              <w:spacing w:after="0" w:line="240" w:lineRule="auto"/>
              <w:rPr>
                <w:rFonts w:cs="Arial"/>
                <w:b/>
                <w:bCs/>
                <w:sz w:val="16"/>
                <w:szCs w:val="16"/>
              </w:rPr>
            </w:pPr>
            <w:r>
              <w:rPr>
                <w:rFonts w:cs="Arial"/>
                <w:b/>
                <w:bCs/>
                <w:sz w:val="16"/>
                <w:szCs w:val="16"/>
              </w:rPr>
              <w:t>Purpose</w:t>
            </w:r>
          </w:p>
        </w:tc>
        <w:tc>
          <w:tcPr>
            <w:tcW w:w="2449" w:type="dxa"/>
            <w:gridSpan w:val="2"/>
            <w:tcBorders>
              <w:top w:val="single" w:sz="4" w:space="0" w:color="auto"/>
              <w:left w:val="nil"/>
              <w:bottom w:val="nil"/>
              <w:right w:val="nil"/>
            </w:tcBorders>
            <w:shd w:val="clear" w:color="000000" w:fill="D9D9D9"/>
            <w:vAlign w:val="bottom"/>
            <w:hideMark/>
          </w:tcPr>
          <w:p w14:paraId="19095DAE" w14:textId="7B3082F9" w:rsidR="00AB6753" w:rsidRDefault="00AB6753" w:rsidP="002F776C">
            <w:pPr>
              <w:spacing w:after="0" w:line="240" w:lineRule="auto"/>
              <w:jc w:val="right"/>
              <w:rPr>
                <w:rFonts w:cs="Arial"/>
                <w:b/>
                <w:bCs/>
                <w:sz w:val="16"/>
                <w:szCs w:val="16"/>
              </w:rPr>
            </w:pPr>
            <w:r>
              <w:rPr>
                <w:rFonts w:cs="Arial"/>
                <w:b/>
                <w:bCs/>
                <w:sz w:val="16"/>
                <w:szCs w:val="16"/>
              </w:rPr>
              <w:t>Appropriation applied</w:t>
            </w:r>
          </w:p>
        </w:tc>
      </w:tr>
      <w:tr w:rsidR="00AB6753" w14:paraId="48E5144A" w14:textId="77777777" w:rsidTr="002D1EA4">
        <w:trPr>
          <w:trHeight w:val="238"/>
        </w:trPr>
        <w:tc>
          <w:tcPr>
            <w:tcW w:w="4581" w:type="dxa"/>
            <w:vMerge/>
            <w:tcBorders>
              <w:top w:val="single" w:sz="4" w:space="0" w:color="auto"/>
              <w:left w:val="nil"/>
              <w:bottom w:val="single" w:sz="4" w:space="0" w:color="auto"/>
              <w:right w:val="nil"/>
            </w:tcBorders>
            <w:vAlign w:val="center"/>
            <w:hideMark/>
          </w:tcPr>
          <w:p w14:paraId="2EE92182" w14:textId="77777777" w:rsidR="00AB6753" w:rsidRDefault="00AB6753" w:rsidP="002D1EA4">
            <w:pPr>
              <w:spacing w:after="0" w:line="240" w:lineRule="auto"/>
              <w:rPr>
                <w:rFonts w:cs="Arial"/>
                <w:b/>
                <w:bCs/>
                <w:sz w:val="16"/>
                <w:szCs w:val="16"/>
              </w:rPr>
            </w:pPr>
          </w:p>
        </w:tc>
        <w:tc>
          <w:tcPr>
            <w:tcW w:w="912" w:type="dxa"/>
            <w:vMerge/>
            <w:tcBorders>
              <w:top w:val="single" w:sz="4" w:space="0" w:color="auto"/>
              <w:left w:val="nil"/>
              <w:bottom w:val="single" w:sz="4" w:space="0" w:color="auto"/>
              <w:right w:val="nil"/>
            </w:tcBorders>
            <w:vAlign w:val="center"/>
            <w:hideMark/>
          </w:tcPr>
          <w:p w14:paraId="40B73B70" w14:textId="77777777" w:rsidR="00AB6753" w:rsidRDefault="00AB6753" w:rsidP="002D1EA4">
            <w:pPr>
              <w:spacing w:after="0" w:line="240" w:lineRule="auto"/>
              <w:rPr>
                <w:rFonts w:cs="Arial"/>
                <w:b/>
                <w:bCs/>
                <w:sz w:val="16"/>
                <w:szCs w:val="16"/>
              </w:rPr>
            </w:pPr>
          </w:p>
        </w:tc>
        <w:tc>
          <w:tcPr>
            <w:tcW w:w="6316" w:type="dxa"/>
            <w:vMerge/>
            <w:tcBorders>
              <w:top w:val="single" w:sz="4" w:space="0" w:color="auto"/>
              <w:left w:val="nil"/>
              <w:bottom w:val="single" w:sz="4" w:space="0" w:color="auto"/>
              <w:right w:val="nil"/>
            </w:tcBorders>
            <w:vAlign w:val="center"/>
            <w:hideMark/>
          </w:tcPr>
          <w:p w14:paraId="50700EE7" w14:textId="77777777" w:rsidR="00AB6753" w:rsidRDefault="00AB6753" w:rsidP="002D1EA4">
            <w:pPr>
              <w:spacing w:after="0" w:line="240" w:lineRule="auto"/>
              <w:rPr>
                <w:rFonts w:cs="Arial"/>
                <w:b/>
                <w:bCs/>
                <w:sz w:val="16"/>
                <w:szCs w:val="16"/>
              </w:rPr>
            </w:pPr>
          </w:p>
        </w:tc>
        <w:tc>
          <w:tcPr>
            <w:tcW w:w="1260" w:type="dxa"/>
            <w:tcBorders>
              <w:top w:val="nil"/>
              <w:left w:val="nil"/>
              <w:bottom w:val="nil"/>
              <w:right w:val="nil"/>
            </w:tcBorders>
            <w:shd w:val="clear" w:color="000000" w:fill="D9D9D9"/>
            <w:noWrap/>
            <w:vAlign w:val="bottom"/>
            <w:hideMark/>
          </w:tcPr>
          <w:p w14:paraId="75F89E3D" w14:textId="77777777" w:rsidR="00AB6753" w:rsidRDefault="00AB6753" w:rsidP="002D1EA4">
            <w:pPr>
              <w:spacing w:after="0" w:line="240" w:lineRule="auto"/>
              <w:jc w:val="right"/>
              <w:rPr>
                <w:rFonts w:cs="Arial"/>
                <w:b/>
                <w:bCs/>
                <w:sz w:val="16"/>
                <w:szCs w:val="16"/>
              </w:rPr>
            </w:pPr>
            <w:r>
              <w:rPr>
                <w:rFonts w:cs="Arial"/>
                <w:b/>
                <w:bCs/>
                <w:sz w:val="16"/>
                <w:szCs w:val="16"/>
              </w:rPr>
              <w:t>2020</w:t>
            </w:r>
          </w:p>
        </w:tc>
        <w:tc>
          <w:tcPr>
            <w:tcW w:w="1189" w:type="dxa"/>
            <w:tcBorders>
              <w:top w:val="nil"/>
              <w:left w:val="nil"/>
              <w:bottom w:val="nil"/>
              <w:right w:val="nil"/>
            </w:tcBorders>
            <w:shd w:val="clear" w:color="000000" w:fill="D9D9D9"/>
            <w:noWrap/>
            <w:vAlign w:val="bottom"/>
            <w:hideMark/>
          </w:tcPr>
          <w:p w14:paraId="5DDB80B2" w14:textId="77777777" w:rsidR="00AB6753" w:rsidRDefault="00AB6753" w:rsidP="002D1EA4">
            <w:pPr>
              <w:spacing w:after="0" w:line="240" w:lineRule="auto"/>
              <w:jc w:val="right"/>
              <w:rPr>
                <w:rFonts w:cs="Arial"/>
                <w:sz w:val="16"/>
                <w:szCs w:val="16"/>
              </w:rPr>
            </w:pPr>
            <w:r>
              <w:rPr>
                <w:rFonts w:cs="Arial"/>
                <w:sz w:val="16"/>
                <w:szCs w:val="16"/>
              </w:rPr>
              <w:t>2019</w:t>
            </w:r>
          </w:p>
        </w:tc>
      </w:tr>
      <w:tr w:rsidR="00AB6753" w14:paraId="036B7723" w14:textId="77777777" w:rsidTr="002D1EA4">
        <w:trPr>
          <w:trHeight w:val="238"/>
        </w:trPr>
        <w:tc>
          <w:tcPr>
            <w:tcW w:w="4581" w:type="dxa"/>
            <w:vMerge/>
            <w:tcBorders>
              <w:top w:val="single" w:sz="4" w:space="0" w:color="auto"/>
              <w:left w:val="nil"/>
              <w:bottom w:val="single" w:sz="4" w:space="0" w:color="auto"/>
              <w:right w:val="nil"/>
            </w:tcBorders>
            <w:vAlign w:val="center"/>
            <w:hideMark/>
          </w:tcPr>
          <w:p w14:paraId="17483CBE" w14:textId="77777777" w:rsidR="00AB6753" w:rsidRDefault="00AB6753" w:rsidP="002D1EA4">
            <w:pPr>
              <w:spacing w:after="0" w:line="240" w:lineRule="auto"/>
              <w:rPr>
                <w:rFonts w:cs="Arial"/>
                <w:b/>
                <w:bCs/>
                <w:sz w:val="16"/>
                <w:szCs w:val="16"/>
              </w:rPr>
            </w:pPr>
          </w:p>
        </w:tc>
        <w:tc>
          <w:tcPr>
            <w:tcW w:w="912" w:type="dxa"/>
            <w:vMerge/>
            <w:tcBorders>
              <w:top w:val="single" w:sz="4" w:space="0" w:color="auto"/>
              <w:left w:val="nil"/>
              <w:bottom w:val="single" w:sz="4" w:space="0" w:color="auto"/>
              <w:right w:val="nil"/>
            </w:tcBorders>
            <w:vAlign w:val="center"/>
            <w:hideMark/>
          </w:tcPr>
          <w:p w14:paraId="494F010A" w14:textId="77777777" w:rsidR="00AB6753" w:rsidRDefault="00AB6753" w:rsidP="002D1EA4">
            <w:pPr>
              <w:spacing w:after="0" w:line="240" w:lineRule="auto"/>
              <w:rPr>
                <w:rFonts w:cs="Arial"/>
                <w:b/>
                <w:bCs/>
                <w:sz w:val="16"/>
                <w:szCs w:val="16"/>
              </w:rPr>
            </w:pPr>
          </w:p>
        </w:tc>
        <w:tc>
          <w:tcPr>
            <w:tcW w:w="6316" w:type="dxa"/>
            <w:vMerge/>
            <w:tcBorders>
              <w:top w:val="single" w:sz="4" w:space="0" w:color="auto"/>
              <w:left w:val="nil"/>
              <w:bottom w:val="single" w:sz="4" w:space="0" w:color="auto"/>
              <w:right w:val="nil"/>
            </w:tcBorders>
            <w:vAlign w:val="center"/>
            <w:hideMark/>
          </w:tcPr>
          <w:p w14:paraId="76E7C96D" w14:textId="77777777" w:rsidR="00AB6753" w:rsidRDefault="00AB6753" w:rsidP="002D1EA4">
            <w:pPr>
              <w:spacing w:after="0" w:line="240" w:lineRule="auto"/>
              <w:rPr>
                <w:rFonts w:cs="Arial"/>
                <w:b/>
                <w:bCs/>
                <w:sz w:val="16"/>
                <w:szCs w:val="16"/>
              </w:rPr>
            </w:pPr>
          </w:p>
        </w:tc>
        <w:tc>
          <w:tcPr>
            <w:tcW w:w="1260" w:type="dxa"/>
            <w:tcBorders>
              <w:top w:val="nil"/>
              <w:left w:val="nil"/>
              <w:bottom w:val="single" w:sz="4" w:space="0" w:color="auto"/>
              <w:right w:val="nil"/>
            </w:tcBorders>
            <w:shd w:val="clear" w:color="000000" w:fill="D9D9D9"/>
            <w:noWrap/>
            <w:vAlign w:val="bottom"/>
            <w:hideMark/>
          </w:tcPr>
          <w:p w14:paraId="352750E9" w14:textId="77777777" w:rsidR="00AB6753" w:rsidRDefault="00AB6753" w:rsidP="002D1EA4">
            <w:pPr>
              <w:spacing w:after="0" w:line="240" w:lineRule="auto"/>
              <w:jc w:val="right"/>
              <w:rPr>
                <w:rFonts w:cs="Arial"/>
                <w:b/>
                <w:bCs/>
                <w:sz w:val="16"/>
                <w:szCs w:val="16"/>
              </w:rPr>
            </w:pPr>
            <w:r>
              <w:rPr>
                <w:rFonts w:cs="Arial"/>
                <w:b/>
                <w:bCs/>
                <w:sz w:val="16"/>
                <w:szCs w:val="16"/>
              </w:rPr>
              <w:t>$'000</w:t>
            </w:r>
          </w:p>
        </w:tc>
        <w:tc>
          <w:tcPr>
            <w:tcW w:w="1189" w:type="dxa"/>
            <w:tcBorders>
              <w:top w:val="nil"/>
              <w:left w:val="nil"/>
              <w:bottom w:val="single" w:sz="4" w:space="0" w:color="auto"/>
              <w:right w:val="nil"/>
            </w:tcBorders>
            <w:shd w:val="clear" w:color="000000" w:fill="D9D9D9"/>
            <w:noWrap/>
            <w:vAlign w:val="bottom"/>
            <w:hideMark/>
          </w:tcPr>
          <w:p w14:paraId="4057CD4A" w14:textId="77777777" w:rsidR="00AB6753" w:rsidRDefault="00AB6753" w:rsidP="002D1EA4">
            <w:pPr>
              <w:spacing w:after="0" w:line="240" w:lineRule="auto"/>
              <w:jc w:val="right"/>
              <w:rPr>
                <w:rFonts w:cs="Arial"/>
                <w:sz w:val="16"/>
                <w:szCs w:val="16"/>
              </w:rPr>
            </w:pPr>
            <w:r>
              <w:rPr>
                <w:rFonts w:cs="Arial"/>
                <w:sz w:val="16"/>
                <w:szCs w:val="16"/>
              </w:rPr>
              <w:t>$'000</w:t>
            </w:r>
          </w:p>
        </w:tc>
      </w:tr>
      <w:tr w:rsidR="00AB6753" w14:paraId="1E1F50B9" w14:textId="77777777" w:rsidTr="002D1EA4">
        <w:trPr>
          <w:trHeight w:val="238"/>
        </w:trPr>
        <w:tc>
          <w:tcPr>
            <w:tcW w:w="4581" w:type="dxa"/>
            <w:tcBorders>
              <w:top w:val="nil"/>
              <w:left w:val="nil"/>
              <w:bottom w:val="nil"/>
              <w:right w:val="nil"/>
            </w:tcBorders>
            <w:shd w:val="clear" w:color="000000" w:fill="D9D9D9"/>
            <w:vAlign w:val="bottom"/>
            <w:hideMark/>
          </w:tcPr>
          <w:p w14:paraId="4CC638BB" w14:textId="77777777" w:rsidR="00AB6753" w:rsidRDefault="00AB6753" w:rsidP="002D1EA4">
            <w:pPr>
              <w:spacing w:after="0" w:line="240" w:lineRule="auto"/>
              <w:rPr>
                <w:rFonts w:cs="Arial"/>
                <w:i/>
                <w:iCs/>
                <w:sz w:val="16"/>
                <w:szCs w:val="16"/>
              </w:rPr>
            </w:pPr>
            <w:r>
              <w:rPr>
                <w:rFonts w:cs="Arial"/>
                <w:i/>
                <w:iCs/>
                <w:sz w:val="16"/>
                <w:szCs w:val="16"/>
              </w:rPr>
              <w:t> </w:t>
            </w:r>
          </w:p>
        </w:tc>
        <w:tc>
          <w:tcPr>
            <w:tcW w:w="912" w:type="dxa"/>
            <w:tcBorders>
              <w:top w:val="nil"/>
              <w:left w:val="nil"/>
              <w:bottom w:val="nil"/>
              <w:right w:val="nil"/>
            </w:tcBorders>
            <w:shd w:val="clear" w:color="000000" w:fill="D9D9D9"/>
            <w:hideMark/>
          </w:tcPr>
          <w:p w14:paraId="6B7B2E8E" w14:textId="77777777" w:rsidR="00AB6753" w:rsidRDefault="00AB6753" w:rsidP="002D1EA4">
            <w:pPr>
              <w:spacing w:after="0" w:line="240" w:lineRule="auto"/>
              <w:jc w:val="center"/>
              <w:rPr>
                <w:rFonts w:cs="Arial"/>
                <w:sz w:val="16"/>
                <w:szCs w:val="16"/>
              </w:rPr>
            </w:pPr>
            <w:r>
              <w:rPr>
                <w:rFonts w:cs="Arial"/>
                <w:sz w:val="16"/>
                <w:szCs w:val="16"/>
              </w:rPr>
              <w:t> </w:t>
            </w:r>
          </w:p>
        </w:tc>
        <w:tc>
          <w:tcPr>
            <w:tcW w:w="6316" w:type="dxa"/>
            <w:tcBorders>
              <w:top w:val="nil"/>
              <w:left w:val="nil"/>
              <w:bottom w:val="nil"/>
              <w:right w:val="nil"/>
            </w:tcBorders>
            <w:shd w:val="clear" w:color="000000" w:fill="D9D9D9"/>
            <w:hideMark/>
          </w:tcPr>
          <w:p w14:paraId="6FB5E882" w14:textId="77777777" w:rsidR="00AB6753" w:rsidRDefault="00AB6753" w:rsidP="002D1EA4">
            <w:pPr>
              <w:spacing w:after="0" w:line="240" w:lineRule="auto"/>
              <w:rPr>
                <w:rFonts w:cs="Arial"/>
                <w:sz w:val="16"/>
                <w:szCs w:val="16"/>
              </w:rPr>
            </w:pPr>
            <w:r>
              <w:rPr>
                <w:rFonts w:cs="Arial"/>
                <w:sz w:val="16"/>
                <w:szCs w:val="16"/>
              </w:rPr>
              <w:t> </w:t>
            </w:r>
          </w:p>
        </w:tc>
        <w:tc>
          <w:tcPr>
            <w:tcW w:w="1260" w:type="dxa"/>
            <w:tcBorders>
              <w:top w:val="nil"/>
              <w:left w:val="nil"/>
              <w:bottom w:val="nil"/>
              <w:right w:val="nil"/>
            </w:tcBorders>
            <w:shd w:val="clear" w:color="000000" w:fill="D9D9D9"/>
            <w:noWrap/>
            <w:vAlign w:val="center"/>
            <w:hideMark/>
          </w:tcPr>
          <w:p w14:paraId="30A5A4DC" w14:textId="77777777" w:rsidR="00AB6753" w:rsidRDefault="00AB6753" w:rsidP="002D1EA4">
            <w:pPr>
              <w:spacing w:after="0" w:line="240" w:lineRule="auto"/>
              <w:jc w:val="right"/>
              <w:rPr>
                <w:rFonts w:cs="Arial"/>
                <w:b/>
                <w:bCs/>
                <w:sz w:val="16"/>
                <w:szCs w:val="16"/>
              </w:rPr>
            </w:pPr>
            <w:r>
              <w:rPr>
                <w:rFonts w:cs="Arial"/>
                <w:b/>
                <w:bCs/>
                <w:sz w:val="16"/>
                <w:szCs w:val="16"/>
              </w:rPr>
              <w:t> </w:t>
            </w:r>
          </w:p>
        </w:tc>
        <w:tc>
          <w:tcPr>
            <w:tcW w:w="1189" w:type="dxa"/>
            <w:tcBorders>
              <w:top w:val="nil"/>
              <w:left w:val="nil"/>
              <w:bottom w:val="nil"/>
              <w:right w:val="nil"/>
            </w:tcBorders>
            <w:shd w:val="clear" w:color="000000" w:fill="D9D9D9"/>
            <w:noWrap/>
            <w:vAlign w:val="center"/>
            <w:hideMark/>
          </w:tcPr>
          <w:p w14:paraId="5DB25979" w14:textId="77777777" w:rsidR="00AB6753" w:rsidRDefault="00AB6753" w:rsidP="002D1EA4">
            <w:pPr>
              <w:spacing w:after="0" w:line="240" w:lineRule="auto"/>
              <w:jc w:val="right"/>
              <w:rPr>
                <w:rFonts w:cs="Arial"/>
                <w:sz w:val="16"/>
                <w:szCs w:val="16"/>
              </w:rPr>
            </w:pPr>
            <w:r>
              <w:rPr>
                <w:rFonts w:cs="Arial"/>
                <w:sz w:val="16"/>
                <w:szCs w:val="16"/>
              </w:rPr>
              <w:t> </w:t>
            </w:r>
          </w:p>
        </w:tc>
      </w:tr>
      <w:tr w:rsidR="00AB6753" w14:paraId="0BB555E8" w14:textId="77777777" w:rsidTr="002D1EA4">
        <w:trPr>
          <w:trHeight w:val="238"/>
        </w:trPr>
        <w:tc>
          <w:tcPr>
            <w:tcW w:w="4581" w:type="dxa"/>
            <w:tcBorders>
              <w:top w:val="nil"/>
              <w:left w:val="nil"/>
              <w:bottom w:val="nil"/>
              <w:right w:val="nil"/>
            </w:tcBorders>
            <w:shd w:val="clear" w:color="000000" w:fill="D9D9D9"/>
            <w:vAlign w:val="center"/>
            <w:hideMark/>
          </w:tcPr>
          <w:p w14:paraId="326893E9" w14:textId="77777777" w:rsidR="00AB6753" w:rsidRDefault="00AB6753" w:rsidP="002D1EA4">
            <w:pPr>
              <w:spacing w:after="0" w:line="240" w:lineRule="auto"/>
              <w:rPr>
                <w:rFonts w:cs="Arial"/>
                <w:i/>
                <w:iCs/>
                <w:sz w:val="16"/>
                <w:szCs w:val="16"/>
              </w:rPr>
            </w:pPr>
            <w:r>
              <w:rPr>
                <w:rFonts w:cs="Arial"/>
                <w:i/>
                <w:iCs/>
                <w:sz w:val="16"/>
                <w:szCs w:val="16"/>
              </w:rPr>
              <w:t>Social Security (Administration) Act 1999, Administered</w:t>
            </w:r>
            <w:r>
              <w:rPr>
                <w:rFonts w:cs="Arial"/>
                <w:i/>
                <w:iCs/>
                <w:sz w:val="16"/>
                <w:szCs w:val="16"/>
                <w:vertAlign w:val="superscript"/>
              </w:rPr>
              <w:t>1, 2</w:t>
            </w:r>
          </w:p>
        </w:tc>
        <w:tc>
          <w:tcPr>
            <w:tcW w:w="912" w:type="dxa"/>
            <w:tcBorders>
              <w:top w:val="nil"/>
              <w:left w:val="nil"/>
              <w:bottom w:val="nil"/>
              <w:right w:val="nil"/>
            </w:tcBorders>
            <w:shd w:val="clear" w:color="000000" w:fill="D9D9D9"/>
            <w:vAlign w:val="center"/>
            <w:hideMark/>
          </w:tcPr>
          <w:p w14:paraId="70FF2F27" w14:textId="77777777" w:rsidR="00AB6753" w:rsidRDefault="00AB6753" w:rsidP="002D1EA4">
            <w:pPr>
              <w:spacing w:after="0" w:line="240" w:lineRule="auto"/>
              <w:jc w:val="center"/>
              <w:rPr>
                <w:rFonts w:cs="Arial"/>
                <w:sz w:val="16"/>
                <w:szCs w:val="16"/>
              </w:rPr>
            </w:pPr>
            <w:r>
              <w:rPr>
                <w:rFonts w:cs="Arial"/>
                <w:sz w:val="16"/>
                <w:szCs w:val="16"/>
              </w:rPr>
              <w:t>Unlimited Amount</w:t>
            </w:r>
          </w:p>
        </w:tc>
        <w:tc>
          <w:tcPr>
            <w:tcW w:w="6316" w:type="dxa"/>
            <w:tcBorders>
              <w:top w:val="nil"/>
              <w:left w:val="nil"/>
              <w:bottom w:val="nil"/>
              <w:right w:val="nil"/>
            </w:tcBorders>
            <w:shd w:val="clear" w:color="000000" w:fill="D9D9D9"/>
            <w:vAlign w:val="center"/>
            <w:hideMark/>
          </w:tcPr>
          <w:p w14:paraId="08C0DF63" w14:textId="77777777" w:rsidR="00AB6753" w:rsidRDefault="00AB6753" w:rsidP="002D1EA4">
            <w:pPr>
              <w:spacing w:after="0" w:line="240" w:lineRule="auto"/>
              <w:rPr>
                <w:rFonts w:cs="Arial"/>
                <w:sz w:val="16"/>
                <w:szCs w:val="16"/>
              </w:rPr>
            </w:pPr>
            <w:r>
              <w:rPr>
                <w:rFonts w:cs="Arial"/>
                <w:sz w:val="16"/>
                <w:szCs w:val="16"/>
              </w:rPr>
              <w:t>To enable the payment of income support payments. Most of the amount relates to payments for Age Pension and Disability Support Pension.</w:t>
            </w:r>
          </w:p>
        </w:tc>
        <w:tc>
          <w:tcPr>
            <w:tcW w:w="1260" w:type="dxa"/>
            <w:tcBorders>
              <w:top w:val="nil"/>
              <w:left w:val="nil"/>
              <w:bottom w:val="nil"/>
              <w:right w:val="nil"/>
            </w:tcBorders>
            <w:shd w:val="clear" w:color="000000" w:fill="D9D9D9"/>
            <w:noWrap/>
            <w:vAlign w:val="center"/>
            <w:hideMark/>
          </w:tcPr>
          <w:p w14:paraId="6A4681F3" w14:textId="77777777" w:rsidR="00AB6753" w:rsidRDefault="00AB6753" w:rsidP="002D1EA4">
            <w:pPr>
              <w:spacing w:after="0" w:line="240" w:lineRule="auto"/>
              <w:jc w:val="right"/>
              <w:rPr>
                <w:rFonts w:cs="Arial"/>
                <w:b/>
                <w:bCs/>
                <w:sz w:val="16"/>
                <w:szCs w:val="16"/>
              </w:rPr>
            </w:pPr>
            <w:r>
              <w:rPr>
                <w:rFonts w:cs="Arial"/>
                <w:b/>
                <w:bCs/>
                <w:sz w:val="16"/>
                <w:szCs w:val="16"/>
              </w:rPr>
              <w:t>106,241,123</w:t>
            </w:r>
          </w:p>
        </w:tc>
        <w:tc>
          <w:tcPr>
            <w:tcW w:w="1189" w:type="dxa"/>
            <w:tcBorders>
              <w:top w:val="nil"/>
              <w:left w:val="nil"/>
              <w:bottom w:val="nil"/>
              <w:right w:val="nil"/>
            </w:tcBorders>
            <w:shd w:val="clear" w:color="000000" w:fill="D9D9D9"/>
            <w:noWrap/>
            <w:vAlign w:val="center"/>
            <w:hideMark/>
          </w:tcPr>
          <w:p w14:paraId="2DF42ED4" w14:textId="77777777" w:rsidR="00AB6753" w:rsidRDefault="00AB6753" w:rsidP="002D1EA4">
            <w:pPr>
              <w:spacing w:after="0" w:line="240" w:lineRule="auto"/>
              <w:jc w:val="right"/>
              <w:rPr>
                <w:rFonts w:cs="Arial"/>
                <w:sz w:val="16"/>
                <w:szCs w:val="16"/>
              </w:rPr>
            </w:pPr>
            <w:r>
              <w:rPr>
                <w:rFonts w:cs="Arial"/>
                <w:sz w:val="16"/>
                <w:szCs w:val="16"/>
              </w:rPr>
              <w:t>90,774,884</w:t>
            </w:r>
          </w:p>
        </w:tc>
      </w:tr>
      <w:tr w:rsidR="00AB6753" w14:paraId="7A63C3CB" w14:textId="77777777" w:rsidTr="002D1EA4">
        <w:trPr>
          <w:trHeight w:val="238"/>
        </w:trPr>
        <w:tc>
          <w:tcPr>
            <w:tcW w:w="4581" w:type="dxa"/>
            <w:tcBorders>
              <w:top w:val="nil"/>
              <w:left w:val="nil"/>
              <w:bottom w:val="nil"/>
              <w:right w:val="nil"/>
            </w:tcBorders>
            <w:shd w:val="clear" w:color="000000" w:fill="D9D9D9"/>
            <w:vAlign w:val="center"/>
            <w:hideMark/>
          </w:tcPr>
          <w:p w14:paraId="46AD656B" w14:textId="77777777" w:rsidR="00AB6753" w:rsidRDefault="00AB6753" w:rsidP="002D1EA4">
            <w:pPr>
              <w:spacing w:after="0" w:line="240" w:lineRule="auto"/>
              <w:rPr>
                <w:rFonts w:cs="Arial"/>
                <w:i/>
                <w:iCs/>
                <w:sz w:val="16"/>
                <w:szCs w:val="16"/>
              </w:rPr>
            </w:pPr>
            <w:r>
              <w:rPr>
                <w:rFonts w:cs="Arial"/>
                <w:i/>
                <w:iCs/>
                <w:sz w:val="16"/>
                <w:szCs w:val="16"/>
              </w:rPr>
              <w:t> </w:t>
            </w:r>
          </w:p>
        </w:tc>
        <w:tc>
          <w:tcPr>
            <w:tcW w:w="912" w:type="dxa"/>
            <w:tcBorders>
              <w:top w:val="nil"/>
              <w:left w:val="nil"/>
              <w:bottom w:val="nil"/>
              <w:right w:val="nil"/>
            </w:tcBorders>
            <w:shd w:val="clear" w:color="000000" w:fill="D9D9D9"/>
            <w:vAlign w:val="center"/>
            <w:hideMark/>
          </w:tcPr>
          <w:p w14:paraId="0518A64C" w14:textId="77777777" w:rsidR="00AB6753" w:rsidRDefault="00AB6753" w:rsidP="002D1EA4">
            <w:pPr>
              <w:spacing w:after="0" w:line="240" w:lineRule="auto"/>
              <w:jc w:val="center"/>
              <w:rPr>
                <w:rFonts w:cs="Arial"/>
                <w:sz w:val="16"/>
                <w:szCs w:val="16"/>
              </w:rPr>
            </w:pPr>
            <w:r>
              <w:rPr>
                <w:rFonts w:cs="Arial"/>
                <w:sz w:val="16"/>
                <w:szCs w:val="16"/>
              </w:rPr>
              <w:t> </w:t>
            </w:r>
          </w:p>
        </w:tc>
        <w:tc>
          <w:tcPr>
            <w:tcW w:w="6316" w:type="dxa"/>
            <w:tcBorders>
              <w:top w:val="nil"/>
              <w:left w:val="nil"/>
              <w:bottom w:val="nil"/>
              <w:right w:val="nil"/>
            </w:tcBorders>
            <w:shd w:val="clear" w:color="000000" w:fill="D9D9D9"/>
            <w:vAlign w:val="center"/>
            <w:hideMark/>
          </w:tcPr>
          <w:p w14:paraId="1DB05EB8" w14:textId="77777777" w:rsidR="00AB6753" w:rsidRDefault="00AB6753" w:rsidP="002D1EA4">
            <w:pPr>
              <w:spacing w:after="0" w:line="240" w:lineRule="auto"/>
              <w:rPr>
                <w:rFonts w:cs="Arial"/>
                <w:sz w:val="16"/>
                <w:szCs w:val="16"/>
              </w:rPr>
            </w:pPr>
            <w:r>
              <w:rPr>
                <w:rFonts w:cs="Arial"/>
                <w:sz w:val="16"/>
                <w:szCs w:val="16"/>
              </w:rPr>
              <w:t> </w:t>
            </w:r>
          </w:p>
        </w:tc>
        <w:tc>
          <w:tcPr>
            <w:tcW w:w="1260" w:type="dxa"/>
            <w:tcBorders>
              <w:top w:val="nil"/>
              <w:left w:val="nil"/>
              <w:bottom w:val="nil"/>
              <w:right w:val="nil"/>
            </w:tcBorders>
            <w:shd w:val="clear" w:color="000000" w:fill="D9D9D9"/>
            <w:noWrap/>
            <w:vAlign w:val="center"/>
            <w:hideMark/>
          </w:tcPr>
          <w:p w14:paraId="122E79A9" w14:textId="77777777" w:rsidR="00AB6753" w:rsidRDefault="00AB6753" w:rsidP="002D1EA4">
            <w:pPr>
              <w:spacing w:after="0" w:line="240" w:lineRule="auto"/>
              <w:jc w:val="right"/>
              <w:rPr>
                <w:rFonts w:cs="Arial"/>
                <w:b/>
                <w:bCs/>
                <w:sz w:val="16"/>
                <w:szCs w:val="16"/>
              </w:rPr>
            </w:pPr>
            <w:r>
              <w:rPr>
                <w:rFonts w:cs="Arial"/>
                <w:b/>
                <w:bCs/>
                <w:sz w:val="16"/>
                <w:szCs w:val="16"/>
              </w:rPr>
              <w:t> </w:t>
            </w:r>
          </w:p>
        </w:tc>
        <w:tc>
          <w:tcPr>
            <w:tcW w:w="1189" w:type="dxa"/>
            <w:tcBorders>
              <w:top w:val="nil"/>
              <w:left w:val="nil"/>
              <w:bottom w:val="nil"/>
              <w:right w:val="nil"/>
            </w:tcBorders>
            <w:shd w:val="clear" w:color="000000" w:fill="D9D9D9"/>
            <w:noWrap/>
            <w:vAlign w:val="center"/>
            <w:hideMark/>
          </w:tcPr>
          <w:p w14:paraId="1BFE0072" w14:textId="77777777" w:rsidR="00AB6753" w:rsidRDefault="00AB6753" w:rsidP="002D1EA4">
            <w:pPr>
              <w:spacing w:after="0" w:line="240" w:lineRule="auto"/>
              <w:jc w:val="right"/>
              <w:rPr>
                <w:rFonts w:cs="Arial"/>
                <w:sz w:val="16"/>
                <w:szCs w:val="16"/>
              </w:rPr>
            </w:pPr>
            <w:r>
              <w:rPr>
                <w:rFonts w:cs="Arial"/>
                <w:sz w:val="16"/>
                <w:szCs w:val="16"/>
              </w:rPr>
              <w:t> </w:t>
            </w:r>
          </w:p>
        </w:tc>
      </w:tr>
      <w:tr w:rsidR="00AB6753" w14:paraId="1CFD8AC0" w14:textId="77777777" w:rsidTr="002D1EA4">
        <w:trPr>
          <w:trHeight w:val="238"/>
        </w:trPr>
        <w:tc>
          <w:tcPr>
            <w:tcW w:w="4581" w:type="dxa"/>
            <w:tcBorders>
              <w:top w:val="nil"/>
              <w:left w:val="nil"/>
              <w:bottom w:val="nil"/>
              <w:right w:val="nil"/>
            </w:tcBorders>
            <w:shd w:val="clear" w:color="000000" w:fill="D9D9D9"/>
            <w:vAlign w:val="center"/>
            <w:hideMark/>
          </w:tcPr>
          <w:p w14:paraId="605B2D4B" w14:textId="77777777" w:rsidR="00AB6753" w:rsidRDefault="00AB6753" w:rsidP="002D1EA4">
            <w:pPr>
              <w:spacing w:after="0" w:line="240" w:lineRule="auto"/>
              <w:rPr>
                <w:rFonts w:cs="Arial"/>
                <w:i/>
                <w:iCs/>
                <w:sz w:val="16"/>
                <w:szCs w:val="16"/>
              </w:rPr>
            </w:pPr>
            <w:r>
              <w:rPr>
                <w:rFonts w:cs="Arial"/>
                <w:i/>
                <w:iCs/>
                <w:sz w:val="16"/>
                <w:szCs w:val="16"/>
              </w:rPr>
              <w:t>A New Tax System (Family Assistance) (Administration) Act 1999, Administered</w:t>
            </w:r>
            <w:r>
              <w:rPr>
                <w:rFonts w:cs="Arial"/>
                <w:i/>
                <w:iCs/>
                <w:sz w:val="16"/>
                <w:szCs w:val="16"/>
                <w:vertAlign w:val="superscript"/>
              </w:rPr>
              <w:t>1, 2</w:t>
            </w:r>
          </w:p>
        </w:tc>
        <w:tc>
          <w:tcPr>
            <w:tcW w:w="912" w:type="dxa"/>
            <w:tcBorders>
              <w:top w:val="nil"/>
              <w:left w:val="nil"/>
              <w:bottom w:val="nil"/>
              <w:right w:val="nil"/>
            </w:tcBorders>
            <w:shd w:val="clear" w:color="000000" w:fill="D9D9D9"/>
            <w:vAlign w:val="center"/>
            <w:hideMark/>
          </w:tcPr>
          <w:p w14:paraId="24E57B7A" w14:textId="77777777" w:rsidR="00AB6753" w:rsidRDefault="00AB6753" w:rsidP="002D1EA4">
            <w:pPr>
              <w:spacing w:after="0" w:line="240" w:lineRule="auto"/>
              <w:jc w:val="center"/>
              <w:rPr>
                <w:rFonts w:cs="Arial"/>
                <w:sz w:val="16"/>
                <w:szCs w:val="16"/>
              </w:rPr>
            </w:pPr>
            <w:r>
              <w:rPr>
                <w:rFonts w:cs="Arial"/>
                <w:sz w:val="16"/>
                <w:szCs w:val="16"/>
              </w:rPr>
              <w:t>Unlimited Amount</w:t>
            </w:r>
          </w:p>
        </w:tc>
        <w:tc>
          <w:tcPr>
            <w:tcW w:w="6316" w:type="dxa"/>
            <w:tcBorders>
              <w:top w:val="nil"/>
              <w:left w:val="nil"/>
              <w:bottom w:val="nil"/>
              <w:right w:val="nil"/>
            </w:tcBorders>
            <w:shd w:val="clear" w:color="000000" w:fill="D9D9D9"/>
            <w:vAlign w:val="center"/>
            <w:hideMark/>
          </w:tcPr>
          <w:p w14:paraId="12BEBA02" w14:textId="77777777" w:rsidR="00AB6753" w:rsidRDefault="00AB6753" w:rsidP="002D1EA4">
            <w:pPr>
              <w:spacing w:after="0" w:line="240" w:lineRule="auto"/>
              <w:rPr>
                <w:rFonts w:cs="Arial"/>
                <w:sz w:val="16"/>
                <w:szCs w:val="16"/>
              </w:rPr>
            </w:pPr>
            <w:r>
              <w:rPr>
                <w:rFonts w:cs="Arial"/>
                <w:sz w:val="16"/>
                <w:szCs w:val="16"/>
              </w:rPr>
              <w:t>To enable the payment of family income support payments. Most of the amount relates to payments for Family Tax Benefit and Schoolkids Bonus.</w:t>
            </w:r>
          </w:p>
        </w:tc>
        <w:tc>
          <w:tcPr>
            <w:tcW w:w="1260" w:type="dxa"/>
            <w:tcBorders>
              <w:top w:val="nil"/>
              <w:left w:val="nil"/>
              <w:bottom w:val="nil"/>
              <w:right w:val="nil"/>
            </w:tcBorders>
            <w:shd w:val="clear" w:color="000000" w:fill="D9D9D9"/>
            <w:noWrap/>
            <w:vAlign w:val="center"/>
            <w:hideMark/>
          </w:tcPr>
          <w:p w14:paraId="39F2AB87" w14:textId="77777777" w:rsidR="00AB6753" w:rsidRDefault="00AB6753" w:rsidP="002D1EA4">
            <w:pPr>
              <w:spacing w:after="0" w:line="240" w:lineRule="auto"/>
              <w:jc w:val="right"/>
              <w:rPr>
                <w:rFonts w:cs="Arial"/>
                <w:b/>
                <w:bCs/>
                <w:sz w:val="16"/>
                <w:szCs w:val="16"/>
              </w:rPr>
            </w:pPr>
            <w:r>
              <w:rPr>
                <w:rFonts w:cs="Arial"/>
                <w:b/>
                <w:bCs/>
                <w:sz w:val="16"/>
                <w:szCs w:val="16"/>
              </w:rPr>
              <w:t>18,055,843</w:t>
            </w:r>
          </w:p>
        </w:tc>
        <w:tc>
          <w:tcPr>
            <w:tcW w:w="1189" w:type="dxa"/>
            <w:tcBorders>
              <w:top w:val="nil"/>
              <w:left w:val="nil"/>
              <w:bottom w:val="nil"/>
              <w:right w:val="nil"/>
            </w:tcBorders>
            <w:shd w:val="clear" w:color="000000" w:fill="D9D9D9"/>
            <w:noWrap/>
            <w:vAlign w:val="center"/>
            <w:hideMark/>
          </w:tcPr>
          <w:p w14:paraId="2DAB3ADA" w14:textId="77777777" w:rsidR="00AB6753" w:rsidRDefault="00AB6753" w:rsidP="002D1EA4">
            <w:pPr>
              <w:spacing w:after="0" w:line="240" w:lineRule="auto"/>
              <w:jc w:val="right"/>
              <w:rPr>
                <w:rFonts w:cs="Arial"/>
                <w:sz w:val="16"/>
                <w:szCs w:val="16"/>
              </w:rPr>
            </w:pPr>
            <w:r>
              <w:rPr>
                <w:rFonts w:cs="Arial"/>
                <w:sz w:val="16"/>
                <w:szCs w:val="16"/>
              </w:rPr>
              <w:t>17,631,905</w:t>
            </w:r>
          </w:p>
        </w:tc>
      </w:tr>
      <w:tr w:rsidR="00AB6753" w14:paraId="55AFFECB" w14:textId="77777777" w:rsidTr="002D1EA4">
        <w:trPr>
          <w:trHeight w:val="238"/>
        </w:trPr>
        <w:tc>
          <w:tcPr>
            <w:tcW w:w="4581" w:type="dxa"/>
            <w:tcBorders>
              <w:top w:val="nil"/>
              <w:left w:val="nil"/>
              <w:bottom w:val="nil"/>
              <w:right w:val="nil"/>
            </w:tcBorders>
            <w:shd w:val="clear" w:color="000000" w:fill="D9D9D9"/>
            <w:vAlign w:val="center"/>
            <w:hideMark/>
          </w:tcPr>
          <w:p w14:paraId="45C09B27" w14:textId="77777777" w:rsidR="00AB6753" w:rsidRDefault="00AB6753" w:rsidP="002D1EA4">
            <w:pPr>
              <w:spacing w:after="0" w:line="240" w:lineRule="auto"/>
              <w:rPr>
                <w:rFonts w:cs="Arial"/>
                <w:i/>
                <w:iCs/>
                <w:sz w:val="16"/>
                <w:szCs w:val="16"/>
              </w:rPr>
            </w:pPr>
            <w:r>
              <w:rPr>
                <w:rFonts w:cs="Arial"/>
                <w:i/>
                <w:iCs/>
                <w:sz w:val="16"/>
                <w:szCs w:val="16"/>
              </w:rPr>
              <w:t> </w:t>
            </w:r>
          </w:p>
        </w:tc>
        <w:tc>
          <w:tcPr>
            <w:tcW w:w="912" w:type="dxa"/>
            <w:tcBorders>
              <w:top w:val="nil"/>
              <w:left w:val="nil"/>
              <w:bottom w:val="nil"/>
              <w:right w:val="nil"/>
            </w:tcBorders>
            <w:shd w:val="clear" w:color="000000" w:fill="D9D9D9"/>
            <w:vAlign w:val="center"/>
            <w:hideMark/>
          </w:tcPr>
          <w:p w14:paraId="090CF1E0" w14:textId="77777777" w:rsidR="00AB6753" w:rsidRDefault="00AB6753" w:rsidP="002D1EA4">
            <w:pPr>
              <w:spacing w:after="0" w:line="240" w:lineRule="auto"/>
              <w:jc w:val="center"/>
              <w:rPr>
                <w:rFonts w:cs="Arial"/>
                <w:sz w:val="16"/>
                <w:szCs w:val="16"/>
              </w:rPr>
            </w:pPr>
            <w:r>
              <w:rPr>
                <w:rFonts w:cs="Arial"/>
                <w:sz w:val="16"/>
                <w:szCs w:val="16"/>
              </w:rPr>
              <w:t> </w:t>
            </w:r>
          </w:p>
        </w:tc>
        <w:tc>
          <w:tcPr>
            <w:tcW w:w="6316" w:type="dxa"/>
            <w:tcBorders>
              <w:top w:val="nil"/>
              <w:left w:val="nil"/>
              <w:bottom w:val="nil"/>
              <w:right w:val="nil"/>
            </w:tcBorders>
            <w:shd w:val="clear" w:color="000000" w:fill="D9D9D9"/>
            <w:vAlign w:val="center"/>
            <w:hideMark/>
          </w:tcPr>
          <w:p w14:paraId="50A7D586" w14:textId="77777777" w:rsidR="00AB6753" w:rsidRDefault="00AB6753" w:rsidP="002D1EA4">
            <w:pPr>
              <w:spacing w:after="0" w:line="240" w:lineRule="auto"/>
              <w:rPr>
                <w:rFonts w:cs="Arial"/>
                <w:sz w:val="16"/>
                <w:szCs w:val="16"/>
              </w:rPr>
            </w:pPr>
            <w:r>
              <w:rPr>
                <w:rFonts w:cs="Arial"/>
                <w:sz w:val="16"/>
                <w:szCs w:val="16"/>
              </w:rPr>
              <w:t> </w:t>
            </w:r>
          </w:p>
        </w:tc>
        <w:tc>
          <w:tcPr>
            <w:tcW w:w="1260" w:type="dxa"/>
            <w:tcBorders>
              <w:top w:val="nil"/>
              <w:left w:val="nil"/>
              <w:bottom w:val="nil"/>
              <w:right w:val="nil"/>
            </w:tcBorders>
            <w:shd w:val="clear" w:color="000000" w:fill="D9D9D9"/>
            <w:noWrap/>
            <w:vAlign w:val="center"/>
            <w:hideMark/>
          </w:tcPr>
          <w:p w14:paraId="51B74388" w14:textId="77777777" w:rsidR="00AB6753" w:rsidRDefault="00AB6753" w:rsidP="002D1EA4">
            <w:pPr>
              <w:spacing w:after="0" w:line="240" w:lineRule="auto"/>
              <w:jc w:val="right"/>
              <w:rPr>
                <w:rFonts w:cs="Arial"/>
                <w:b/>
                <w:bCs/>
                <w:sz w:val="16"/>
                <w:szCs w:val="16"/>
              </w:rPr>
            </w:pPr>
            <w:r>
              <w:rPr>
                <w:rFonts w:cs="Arial"/>
                <w:b/>
                <w:bCs/>
                <w:sz w:val="16"/>
                <w:szCs w:val="16"/>
              </w:rPr>
              <w:t> </w:t>
            </w:r>
          </w:p>
        </w:tc>
        <w:tc>
          <w:tcPr>
            <w:tcW w:w="1189" w:type="dxa"/>
            <w:tcBorders>
              <w:top w:val="nil"/>
              <w:left w:val="nil"/>
              <w:bottom w:val="nil"/>
              <w:right w:val="nil"/>
            </w:tcBorders>
            <w:shd w:val="clear" w:color="000000" w:fill="D9D9D9"/>
            <w:noWrap/>
            <w:vAlign w:val="center"/>
            <w:hideMark/>
          </w:tcPr>
          <w:p w14:paraId="7EA687AD" w14:textId="77777777" w:rsidR="00AB6753" w:rsidRDefault="00AB6753" w:rsidP="002D1EA4">
            <w:pPr>
              <w:spacing w:after="0" w:line="240" w:lineRule="auto"/>
              <w:jc w:val="right"/>
              <w:rPr>
                <w:rFonts w:cs="Arial"/>
                <w:sz w:val="16"/>
                <w:szCs w:val="16"/>
              </w:rPr>
            </w:pPr>
            <w:r>
              <w:rPr>
                <w:rFonts w:cs="Arial"/>
                <w:sz w:val="16"/>
                <w:szCs w:val="16"/>
              </w:rPr>
              <w:t> </w:t>
            </w:r>
          </w:p>
        </w:tc>
      </w:tr>
      <w:tr w:rsidR="00AB6753" w14:paraId="4BFFA266" w14:textId="77777777" w:rsidTr="002D1EA4">
        <w:trPr>
          <w:trHeight w:val="238"/>
        </w:trPr>
        <w:tc>
          <w:tcPr>
            <w:tcW w:w="4581" w:type="dxa"/>
            <w:tcBorders>
              <w:top w:val="nil"/>
              <w:left w:val="nil"/>
              <w:bottom w:val="nil"/>
              <w:right w:val="nil"/>
            </w:tcBorders>
            <w:shd w:val="clear" w:color="000000" w:fill="D9D9D9"/>
            <w:vAlign w:val="center"/>
            <w:hideMark/>
          </w:tcPr>
          <w:p w14:paraId="5BCE90D4" w14:textId="77777777" w:rsidR="00AB6753" w:rsidRDefault="00AB6753" w:rsidP="002D1EA4">
            <w:pPr>
              <w:spacing w:after="0" w:line="240" w:lineRule="auto"/>
              <w:rPr>
                <w:rFonts w:cs="Arial"/>
                <w:i/>
                <w:iCs/>
                <w:sz w:val="16"/>
                <w:szCs w:val="16"/>
              </w:rPr>
            </w:pPr>
            <w:r>
              <w:rPr>
                <w:rFonts w:cs="Arial"/>
                <w:i/>
                <w:iCs/>
                <w:sz w:val="16"/>
                <w:szCs w:val="16"/>
              </w:rPr>
              <w:t>Paid Parental Leave Act 2010, Administered</w:t>
            </w:r>
            <w:r>
              <w:rPr>
                <w:rFonts w:cs="Arial"/>
                <w:i/>
                <w:iCs/>
                <w:sz w:val="16"/>
                <w:szCs w:val="16"/>
                <w:vertAlign w:val="superscript"/>
              </w:rPr>
              <w:t>2</w:t>
            </w:r>
          </w:p>
        </w:tc>
        <w:tc>
          <w:tcPr>
            <w:tcW w:w="912" w:type="dxa"/>
            <w:tcBorders>
              <w:top w:val="nil"/>
              <w:left w:val="nil"/>
              <w:bottom w:val="nil"/>
              <w:right w:val="nil"/>
            </w:tcBorders>
            <w:shd w:val="clear" w:color="000000" w:fill="D9D9D9"/>
            <w:vAlign w:val="center"/>
            <w:hideMark/>
          </w:tcPr>
          <w:p w14:paraId="1E97021D" w14:textId="77777777" w:rsidR="00AB6753" w:rsidRDefault="00AB6753" w:rsidP="002D1EA4">
            <w:pPr>
              <w:spacing w:after="0" w:line="240" w:lineRule="auto"/>
              <w:jc w:val="center"/>
              <w:rPr>
                <w:rFonts w:cs="Arial"/>
                <w:sz w:val="16"/>
                <w:szCs w:val="16"/>
              </w:rPr>
            </w:pPr>
            <w:r>
              <w:rPr>
                <w:rFonts w:cs="Arial"/>
                <w:sz w:val="16"/>
                <w:szCs w:val="16"/>
              </w:rPr>
              <w:t>Unlimited Amount</w:t>
            </w:r>
          </w:p>
        </w:tc>
        <w:tc>
          <w:tcPr>
            <w:tcW w:w="6316" w:type="dxa"/>
            <w:tcBorders>
              <w:top w:val="nil"/>
              <w:left w:val="nil"/>
              <w:bottom w:val="nil"/>
              <w:right w:val="nil"/>
            </w:tcBorders>
            <w:shd w:val="clear" w:color="000000" w:fill="D9D9D9"/>
            <w:vAlign w:val="center"/>
            <w:hideMark/>
          </w:tcPr>
          <w:p w14:paraId="2238D7FF" w14:textId="77777777" w:rsidR="00AB6753" w:rsidRDefault="00AB6753" w:rsidP="002D1EA4">
            <w:pPr>
              <w:spacing w:after="0" w:line="240" w:lineRule="auto"/>
              <w:rPr>
                <w:rFonts w:cs="Arial"/>
                <w:sz w:val="16"/>
                <w:szCs w:val="16"/>
              </w:rPr>
            </w:pPr>
            <w:r>
              <w:rPr>
                <w:rFonts w:cs="Arial"/>
                <w:sz w:val="16"/>
                <w:szCs w:val="16"/>
              </w:rPr>
              <w:t>To enable payments to working parents to enhance maternal and child health and shared caring responsibilities.</w:t>
            </w:r>
          </w:p>
        </w:tc>
        <w:tc>
          <w:tcPr>
            <w:tcW w:w="1260" w:type="dxa"/>
            <w:tcBorders>
              <w:top w:val="nil"/>
              <w:left w:val="nil"/>
              <w:bottom w:val="nil"/>
              <w:right w:val="nil"/>
            </w:tcBorders>
            <w:shd w:val="clear" w:color="000000" w:fill="D9D9D9"/>
            <w:noWrap/>
            <w:vAlign w:val="center"/>
            <w:hideMark/>
          </w:tcPr>
          <w:p w14:paraId="79C313B8" w14:textId="77777777" w:rsidR="00AB6753" w:rsidRDefault="00AB6753" w:rsidP="002D1EA4">
            <w:pPr>
              <w:spacing w:after="0" w:line="240" w:lineRule="auto"/>
              <w:jc w:val="right"/>
              <w:rPr>
                <w:rFonts w:cs="Arial"/>
                <w:b/>
                <w:bCs/>
                <w:sz w:val="16"/>
                <w:szCs w:val="16"/>
              </w:rPr>
            </w:pPr>
            <w:r>
              <w:rPr>
                <w:rFonts w:cs="Arial"/>
                <w:b/>
                <w:bCs/>
                <w:sz w:val="16"/>
                <w:szCs w:val="16"/>
              </w:rPr>
              <w:t>2,414,060</w:t>
            </w:r>
          </w:p>
        </w:tc>
        <w:tc>
          <w:tcPr>
            <w:tcW w:w="1189" w:type="dxa"/>
            <w:tcBorders>
              <w:top w:val="nil"/>
              <w:left w:val="nil"/>
              <w:bottom w:val="nil"/>
              <w:right w:val="nil"/>
            </w:tcBorders>
            <w:shd w:val="clear" w:color="000000" w:fill="D9D9D9"/>
            <w:noWrap/>
            <w:vAlign w:val="center"/>
            <w:hideMark/>
          </w:tcPr>
          <w:p w14:paraId="4BD881FD" w14:textId="77777777" w:rsidR="00AB6753" w:rsidRDefault="00AB6753" w:rsidP="002D1EA4">
            <w:pPr>
              <w:spacing w:after="0" w:line="240" w:lineRule="auto"/>
              <w:jc w:val="right"/>
              <w:rPr>
                <w:rFonts w:cs="Arial"/>
                <w:sz w:val="16"/>
                <w:szCs w:val="16"/>
              </w:rPr>
            </w:pPr>
            <w:r>
              <w:rPr>
                <w:rFonts w:cs="Arial"/>
                <w:sz w:val="16"/>
                <w:szCs w:val="16"/>
              </w:rPr>
              <w:t>2,335,090</w:t>
            </w:r>
          </w:p>
        </w:tc>
      </w:tr>
      <w:tr w:rsidR="00AB6753" w14:paraId="61EE3E64" w14:textId="77777777" w:rsidTr="002D1EA4">
        <w:trPr>
          <w:trHeight w:val="238"/>
        </w:trPr>
        <w:tc>
          <w:tcPr>
            <w:tcW w:w="4581" w:type="dxa"/>
            <w:tcBorders>
              <w:top w:val="nil"/>
              <w:left w:val="nil"/>
              <w:bottom w:val="nil"/>
              <w:right w:val="nil"/>
            </w:tcBorders>
            <w:shd w:val="clear" w:color="000000" w:fill="D9D9D9"/>
            <w:vAlign w:val="center"/>
            <w:hideMark/>
          </w:tcPr>
          <w:p w14:paraId="2905F494" w14:textId="77777777" w:rsidR="00AB6753" w:rsidRDefault="00AB6753" w:rsidP="002D1EA4">
            <w:pPr>
              <w:spacing w:after="0" w:line="240" w:lineRule="auto"/>
              <w:rPr>
                <w:rFonts w:cs="Arial"/>
                <w:i/>
                <w:iCs/>
                <w:sz w:val="16"/>
                <w:szCs w:val="16"/>
              </w:rPr>
            </w:pPr>
            <w:r>
              <w:rPr>
                <w:rFonts w:cs="Arial"/>
                <w:i/>
                <w:iCs/>
                <w:sz w:val="16"/>
                <w:szCs w:val="16"/>
              </w:rPr>
              <w:t> </w:t>
            </w:r>
          </w:p>
        </w:tc>
        <w:tc>
          <w:tcPr>
            <w:tcW w:w="912" w:type="dxa"/>
            <w:tcBorders>
              <w:top w:val="nil"/>
              <w:left w:val="nil"/>
              <w:bottom w:val="nil"/>
              <w:right w:val="nil"/>
            </w:tcBorders>
            <w:shd w:val="clear" w:color="000000" w:fill="D9D9D9"/>
            <w:vAlign w:val="center"/>
            <w:hideMark/>
          </w:tcPr>
          <w:p w14:paraId="64849D37" w14:textId="77777777" w:rsidR="00AB6753" w:rsidRDefault="00AB6753" w:rsidP="002D1EA4">
            <w:pPr>
              <w:spacing w:after="0" w:line="240" w:lineRule="auto"/>
              <w:jc w:val="center"/>
              <w:rPr>
                <w:rFonts w:cs="Arial"/>
                <w:sz w:val="16"/>
                <w:szCs w:val="16"/>
              </w:rPr>
            </w:pPr>
            <w:r>
              <w:rPr>
                <w:rFonts w:cs="Arial"/>
                <w:sz w:val="16"/>
                <w:szCs w:val="16"/>
              </w:rPr>
              <w:t> </w:t>
            </w:r>
          </w:p>
        </w:tc>
        <w:tc>
          <w:tcPr>
            <w:tcW w:w="6316" w:type="dxa"/>
            <w:tcBorders>
              <w:top w:val="nil"/>
              <w:left w:val="nil"/>
              <w:bottom w:val="nil"/>
              <w:right w:val="nil"/>
            </w:tcBorders>
            <w:shd w:val="clear" w:color="000000" w:fill="D9D9D9"/>
            <w:vAlign w:val="center"/>
            <w:hideMark/>
          </w:tcPr>
          <w:p w14:paraId="4E9043CF" w14:textId="77777777" w:rsidR="00AB6753" w:rsidRDefault="00AB6753" w:rsidP="002D1EA4">
            <w:pPr>
              <w:spacing w:after="0" w:line="240" w:lineRule="auto"/>
              <w:rPr>
                <w:rFonts w:cs="Arial"/>
                <w:sz w:val="16"/>
                <w:szCs w:val="16"/>
              </w:rPr>
            </w:pPr>
            <w:r>
              <w:rPr>
                <w:rFonts w:cs="Arial"/>
                <w:sz w:val="16"/>
                <w:szCs w:val="16"/>
              </w:rPr>
              <w:t> </w:t>
            </w:r>
          </w:p>
        </w:tc>
        <w:tc>
          <w:tcPr>
            <w:tcW w:w="1260" w:type="dxa"/>
            <w:tcBorders>
              <w:top w:val="nil"/>
              <w:left w:val="nil"/>
              <w:bottom w:val="nil"/>
              <w:right w:val="nil"/>
            </w:tcBorders>
            <w:shd w:val="clear" w:color="000000" w:fill="D9D9D9"/>
            <w:noWrap/>
            <w:vAlign w:val="center"/>
            <w:hideMark/>
          </w:tcPr>
          <w:p w14:paraId="0F864D92" w14:textId="77777777" w:rsidR="00AB6753" w:rsidRDefault="00AB6753" w:rsidP="002D1EA4">
            <w:pPr>
              <w:spacing w:after="0" w:line="240" w:lineRule="auto"/>
              <w:jc w:val="right"/>
              <w:rPr>
                <w:rFonts w:cs="Arial"/>
                <w:b/>
                <w:bCs/>
                <w:sz w:val="16"/>
                <w:szCs w:val="16"/>
              </w:rPr>
            </w:pPr>
            <w:r>
              <w:rPr>
                <w:rFonts w:cs="Arial"/>
                <w:b/>
                <w:bCs/>
                <w:sz w:val="16"/>
                <w:szCs w:val="16"/>
              </w:rPr>
              <w:t> </w:t>
            </w:r>
          </w:p>
        </w:tc>
        <w:tc>
          <w:tcPr>
            <w:tcW w:w="1189" w:type="dxa"/>
            <w:tcBorders>
              <w:top w:val="nil"/>
              <w:left w:val="nil"/>
              <w:bottom w:val="nil"/>
              <w:right w:val="nil"/>
            </w:tcBorders>
            <w:shd w:val="clear" w:color="000000" w:fill="D9D9D9"/>
            <w:noWrap/>
            <w:vAlign w:val="center"/>
            <w:hideMark/>
          </w:tcPr>
          <w:p w14:paraId="2E5A86B3" w14:textId="77777777" w:rsidR="00AB6753" w:rsidRDefault="00AB6753" w:rsidP="002D1EA4">
            <w:pPr>
              <w:spacing w:after="0" w:line="240" w:lineRule="auto"/>
              <w:jc w:val="right"/>
              <w:rPr>
                <w:rFonts w:cs="Arial"/>
                <w:sz w:val="16"/>
                <w:szCs w:val="16"/>
              </w:rPr>
            </w:pPr>
            <w:r>
              <w:rPr>
                <w:rFonts w:cs="Arial"/>
                <w:sz w:val="16"/>
                <w:szCs w:val="16"/>
              </w:rPr>
              <w:t> </w:t>
            </w:r>
          </w:p>
        </w:tc>
      </w:tr>
      <w:tr w:rsidR="00AB6753" w14:paraId="50770D3B" w14:textId="77777777" w:rsidTr="002D1EA4">
        <w:trPr>
          <w:trHeight w:val="238"/>
        </w:trPr>
        <w:tc>
          <w:tcPr>
            <w:tcW w:w="4581" w:type="dxa"/>
            <w:tcBorders>
              <w:top w:val="nil"/>
              <w:left w:val="nil"/>
              <w:bottom w:val="nil"/>
              <w:right w:val="nil"/>
            </w:tcBorders>
            <w:shd w:val="clear" w:color="000000" w:fill="D9D9D9"/>
            <w:vAlign w:val="center"/>
            <w:hideMark/>
          </w:tcPr>
          <w:p w14:paraId="0BDC7978" w14:textId="77777777" w:rsidR="00AB6753" w:rsidRDefault="00AB6753" w:rsidP="002D1EA4">
            <w:pPr>
              <w:spacing w:after="0" w:line="240" w:lineRule="auto"/>
              <w:rPr>
                <w:rFonts w:cs="Arial"/>
                <w:i/>
                <w:iCs/>
                <w:sz w:val="16"/>
                <w:szCs w:val="16"/>
              </w:rPr>
            </w:pPr>
            <w:r>
              <w:rPr>
                <w:rFonts w:cs="Arial"/>
                <w:i/>
                <w:iCs/>
                <w:sz w:val="16"/>
                <w:szCs w:val="16"/>
              </w:rPr>
              <w:t>Student Assistance Act 1973 - Section 55A (Administered)</w:t>
            </w:r>
            <w:r>
              <w:rPr>
                <w:rFonts w:cs="Arial"/>
                <w:i/>
                <w:iCs/>
                <w:sz w:val="16"/>
                <w:szCs w:val="16"/>
                <w:vertAlign w:val="superscript"/>
              </w:rPr>
              <w:t>2</w:t>
            </w:r>
          </w:p>
        </w:tc>
        <w:tc>
          <w:tcPr>
            <w:tcW w:w="912" w:type="dxa"/>
            <w:tcBorders>
              <w:top w:val="nil"/>
              <w:left w:val="nil"/>
              <w:bottom w:val="nil"/>
              <w:right w:val="nil"/>
            </w:tcBorders>
            <w:shd w:val="clear" w:color="000000" w:fill="D9D9D9"/>
            <w:vAlign w:val="center"/>
            <w:hideMark/>
          </w:tcPr>
          <w:p w14:paraId="242C9CBB" w14:textId="77777777" w:rsidR="00AB6753" w:rsidRDefault="00AB6753" w:rsidP="002D1EA4">
            <w:pPr>
              <w:spacing w:after="0" w:line="240" w:lineRule="auto"/>
              <w:jc w:val="center"/>
              <w:rPr>
                <w:rFonts w:cs="Arial"/>
                <w:sz w:val="16"/>
                <w:szCs w:val="16"/>
              </w:rPr>
            </w:pPr>
            <w:r>
              <w:rPr>
                <w:rFonts w:cs="Arial"/>
                <w:sz w:val="16"/>
                <w:szCs w:val="16"/>
              </w:rPr>
              <w:t>Unlimited Amount</w:t>
            </w:r>
          </w:p>
        </w:tc>
        <w:tc>
          <w:tcPr>
            <w:tcW w:w="6316" w:type="dxa"/>
            <w:tcBorders>
              <w:top w:val="nil"/>
              <w:left w:val="nil"/>
              <w:bottom w:val="nil"/>
              <w:right w:val="nil"/>
            </w:tcBorders>
            <w:shd w:val="clear" w:color="000000" w:fill="D9D9D9"/>
            <w:vAlign w:val="center"/>
            <w:hideMark/>
          </w:tcPr>
          <w:p w14:paraId="5E8564E2" w14:textId="77777777" w:rsidR="00AB6753" w:rsidRDefault="00AB6753" w:rsidP="002D1EA4">
            <w:pPr>
              <w:spacing w:after="0" w:line="240" w:lineRule="auto"/>
              <w:rPr>
                <w:rFonts w:cs="Arial"/>
                <w:sz w:val="16"/>
                <w:szCs w:val="16"/>
              </w:rPr>
            </w:pPr>
            <w:r>
              <w:rPr>
                <w:rFonts w:cs="Arial"/>
                <w:sz w:val="16"/>
                <w:szCs w:val="16"/>
              </w:rPr>
              <w:t>To enable payment of student assistance benefits for Isolated Children and the Aboriginal Study Assistance Scheme.</w:t>
            </w:r>
          </w:p>
        </w:tc>
        <w:tc>
          <w:tcPr>
            <w:tcW w:w="1260" w:type="dxa"/>
            <w:tcBorders>
              <w:top w:val="nil"/>
              <w:left w:val="nil"/>
              <w:bottom w:val="nil"/>
              <w:right w:val="nil"/>
            </w:tcBorders>
            <w:shd w:val="clear" w:color="000000" w:fill="D9D9D9"/>
            <w:noWrap/>
            <w:vAlign w:val="center"/>
            <w:hideMark/>
          </w:tcPr>
          <w:p w14:paraId="3E7C1FB9" w14:textId="77777777" w:rsidR="00AB6753" w:rsidRDefault="00AB6753" w:rsidP="002D1EA4">
            <w:pPr>
              <w:spacing w:after="0" w:line="240" w:lineRule="auto"/>
              <w:jc w:val="right"/>
              <w:rPr>
                <w:rFonts w:cs="Arial"/>
                <w:b/>
                <w:bCs/>
                <w:sz w:val="16"/>
                <w:szCs w:val="16"/>
              </w:rPr>
            </w:pPr>
            <w:r>
              <w:rPr>
                <w:rFonts w:cs="Arial"/>
                <w:b/>
                <w:bCs/>
                <w:sz w:val="16"/>
                <w:szCs w:val="16"/>
              </w:rPr>
              <w:t>420,016</w:t>
            </w:r>
          </w:p>
        </w:tc>
        <w:tc>
          <w:tcPr>
            <w:tcW w:w="1189" w:type="dxa"/>
            <w:tcBorders>
              <w:top w:val="nil"/>
              <w:left w:val="nil"/>
              <w:bottom w:val="nil"/>
              <w:right w:val="nil"/>
            </w:tcBorders>
            <w:shd w:val="clear" w:color="000000" w:fill="D9D9D9"/>
            <w:noWrap/>
            <w:vAlign w:val="center"/>
            <w:hideMark/>
          </w:tcPr>
          <w:p w14:paraId="3AD9CC15" w14:textId="77777777" w:rsidR="00AB6753" w:rsidRDefault="00AB6753" w:rsidP="002D1EA4">
            <w:pPr>
              <w:spacing w:after="0" w:line="240" w:lineRule="auto"/>
              <w:jc w:val="right"/>
              <w:rPr>
                <w:rFonts w:cs="Arial"/>
                <w:sz w:val="16"/>
                <w:szCs w:val="16"/>
              </w:rPr>
            </w:pPr>
            <w:r>
              <w:rPr>
                <w:rFonts w:cs="Arial"/>
                <w:sz w:val="16"/>
                <w:szCs w:val="16"/>
              </w:rPr>
              <w:t>350,525</w:t>
            </w:r>
          </w:p>
        </w:tc>
      </w:tr>
      <w:tr w:rsidR="00AB6753" w14:paraId="066EFFF2" w14:textId="77777777" w:rsidTr="002D1EA4">
        <w:trPr>
          <w:trHeight w:val="238"/>
        </w:trPr>
        <w:tc>
          <w:tcPr>
            <w:tcW w:w="4581" w:type="dxa"/>
            <w:tcBorders>
              <w:top w:val="nil"/>
              <w:left w:val="nil"/>
              <w:bottom w:val="nil"/>
              <w:right w:val="nil"/>
            </w:tcBorders>
            <w:shd w:val="clear" w:color="000000" w:fill="D9D9D9"/>
            <w:vAlign w:val="center"/>
            <w:hideMark/>
          </w:tcPr>
          <w:p w14:paraId="024374D7" w14:textId="77777777" w:rsidR="00AB6753" w:rsidRDefault="00AB6753" w:rsidP="002D1EA4">
            <w:pPr>
              <w:spacing w:after="0" w:line="240" w:lineRule="auto"/>
              <w:rPr>
                <w:rFonts w:cs="Arial"/>
                <w:i/>
                <w:iCs/>
                <w:sz w:val="16"/>
                <w:szCs w:val="16"/>
              </w:rPr>
            </w:pPr>
            <w:r>
              <w:rPr>
                <w:rFonts w:cs="Arial"/>
                <w:i/>
                <w:iCs/>
                <w:sz w:val="16"/>
                <w:szCs w:val="16"/>
              </w:rPr>
              <w:t> </w:t>
            </w:r>
          </w:p>
        </w:tc>
        <w:tc>
          <w:tcPr>
            <w:tcW w:w="912" w:type="dxa"/>
            <w:tcBorders>
              <w:top w:val="nil"/>
              <w:left w:val="nil"/>
              <w:bottom w:val="nil"/>
              <w:right w:val="nil"/>
            </w:tcBorders>
            <w:shd w:val="clear" w:color="000000" w:fill="D9D9D9"/>
            <w:vAlign w:val="center"/>
            <w:hideMark/>
          </w:tcPr>
          <w:p w14:paraId="70E61EDD" w14:textId="77777777" w:rsidR="00AB6753" w:rsidRDefault="00AB6753" w:rsidP="002D1EA4">
            <w:pPr>
              <w:spacing w:after="0" w:line="240" w:lineRule="auto"/>
              <w:jc w:val="center"/>
              <w:rPr>
                <w:rFonts w:cs="Arial"/>
                <w:sz w:val="16"/>
                <w:szCs w:val="16"/>
              </w:rPr>
            </w:pPr>
            <w:r>
              <w:rPr>
                <w:rFonts w:cs="Arial"/>
                <w:sz w:val="16"/>
                <w:szCs w:val="16"/>
              </w:rPr>
              <w:t> </w:t>
            </w:r>
          </w:p>
        </w:tc>
        <w:tc>
          <w:tcPr>
            <w:tcW w:w="6316" w:type="dxa"/>
            <w:tcBorders>
              <w:top w:val="nil"/>
              <w:left w:val="nil"/>
              <w:bottom w:val="nil"/>
              <w:right w:val="nil"/>
            </w:tcBorders>
            <w:shd w:val="clear" w:color="000000" w:fill="D9D9D9"/>
            <w:vAlign w:val="center"/>
            <w:hideMark/>
          </w:tcPr>
          <w:p w14:paraId="473AFE6C" w14:textId="77777777" w:rsidR="00AB6753" w:rsidRDefault="00AB6753" w:rsidP="002D1EA4">
            <w:pPr>
              <w:spacing w:after="0" w:line="240" w:lineRule="auto"/>
              <w:rPr>
                <w:rFonts w:cs="Arial"/>
                <w:sz w:val="16"/>
                <w:szCs w:val="16"/>
              </w:rPr>
            </w:pPr>
            <w:r>
              <w:rPr>
                <w:rFonts w:cs="Arial"/>
                <w:sz w:val="16"/>
                <w:szCs w:val="16"/>
              </w:rPr>
              <w:t> </w:t>
            </w:r>
          </w:p>
        </w:tc>
        <w:tc>
          <w:tcPr>
            <w:tcW w:w="1260" w:type="dxa"/>
            <w:tcBorders>
              <w:top w:val="nil"/>
              <w:left w:val="nil"/>
              <w:bottom w:val="nil"/>
              <w:right w:val="nil"/>
            </w:tcBorders>
            <w:shd w:val="clear" w:color="000000" w:fill="D9D9D9"/>
            <w:noWrap/>
            <w:vAlign w:val="center"/>
            <w:hideMark/>
          </w:tcPr>
          <w:p w14:paraId="3D3F42A3" w14:textId="77777777" w:rsidR="00AB6753" w:rsidRDefault="00AB6753" w:rsidP="002D1EA4">
            <w:pPr>
              <w:spacing w:after="0" w:line="240" w:lineRule="auto"/>
              <w:jc w:val="right"/>
              <w:rPr>
                <w:rFonts w:cs="Arial"/>
                <w:b/>
                <w:bCs/>
                <w:sz w:val="16"/>
                <w:szCs w:val="16"/>
              </w:rPr>
            </w:pPr>
            <w:r>
              <w:rPr>
                <w:rFonts w:cs="Arial"/>
                <w:b/>
                <w:bCs/>
                <w:sz w:val="16"/>
                <w:szCs w:val="16"/>
              </w:rPr>
              <w:t> </w:t>
            </w:r>
          </w:p>
        </w:tc>
        <w:tc>
          <w:tcPr>
            <w:tcW w:w="1189" w:type="dxa"/>
            <w:tcBorders>
              <w:top w:val="nil"/>
              <w:left w:val="nil"/>
              <w:bottom w:val="nil"/>
              <w:right w:val="nil"/>
            </w:tcBorders>
            <w:shd w:val="clear" w:color="000000" w:fill="D9D9D9"/>
            <w:noWrap/>
            <w:vAlign w:val="center"/>
            <w:hideMark/>
          </w:tcPr>
          <w:p w14:paraId="3EEC330B" w14:textId="77777777" w:rsidR="00AB6753" w:rsidRDefault="00AB6753" w:rsidP="002D1EA4">
            <w:pPr>
              <w:spacing w:after="0" w:line="240" w:lineRule="auto"/>
              <w:jc w:val="right"/>
              <w:rPr>
                <w:rFonts w:cs="Arial"/>
                <w:sz w:val="16"/>
                <w:szCs w:val="16"/>
              </w:rPr>
            </w:pPr>
            <w:r>
              <w:rPr>
                <w:rFonts w:cs="Arial"/>
                <w:sz w:val="16"/>
                <w:szCs w:val="16"/>
              </w:rPr>
              <w:t> </w:t>
            </w:r>
          </w:p>
        </w:tc>
      </w:tr>
      <w:tr w:rsidR="00AB6753" w14:paraId="60F71149" w14:textId="77777777" w:rsidTr="002D1EA4">
        <w:trPr>
          <w:trHeight w:val="238"/>
        </w:trPr>
        <w:tc>
          <w:tcPr>
            <w:tcW w:w="4581" w:type="dxa"/>
            <w:tcBorders>
              <w:top w:val="nil"/>
              <w:left w:val="nil"/>
              <w:bottom w:val="nil"/>
              <w:right w:val="nil"/>
            </w:tcBorders>
            <w:shd w:val="clear" w:color="000000" w:fill="D9D9D9"/>
            <w:vAlign w:val="center"/>
            <w:hideMark/>
          </w:tcPr>
          <w:p w14:paraId="6B5D9D4F" w14:textId="77777777" w:rsidR="00AB6753" w:rsidRDefault="00AB6753" w:rsidP="002D1EA4">
            <w:pPr>
              <w:spacing w:after="0" w:line="240" w:lineRule="auto"/>
              <w:rPr>
                <w:rFonts w:cs="Arial"/>
                <w:i/>
                <w:iCs/>
                <w:sz w:val="16"/>
                <w:szCs w:val="16"/>
              </w:rPr>
            </w:pPr>
            <w:r>
              <w:rPr>
                <w:rFonts w:cs="Arial"/>
                <w:i/>
                <w:iCs/>
                <w:sz w:val="16"/>
                <w:szCs w:val="16"/>
              </w:rPr>
              <w:t>National Redress Scheme for Institutional Child Sexual Abuse Act 2018</w:t>
            </w:r>
          </w:p>
        </w:tc>
        <w:tc>
          <w:tcPr>
            <w:tcW w:w="912" w:type="dxa"/>
            <w:tcBorders>
              <w:top w:val="nil"/>
              <w:left w:val="nil"/>
              <w:bottom w:val="nil"/>
              <w:right w:val="nil"/>
            </w:tcBorders>
            <w:shd w:val="clear" w:color="000000" w:fill="D9D9D9"/>
            <w:vAlign w:val="center"/>
            <w:hideMark/>
          </w:tcPr>
          <w:p w14:paraId="0168DAF6" w14:textId="77777777" w:rsidR="00AB6753" w:rsidRDefault="00AB6753" w:rsidP="002D1EA4">
            <w:pPr>
              <w:spacing w:after="0" w:line="240" w:lineRule="auto"/>
              <w:jc w:val="center"/>
              <w:rPr>
                <w:rFonts w:cs="Arial"/>
                <w:sz w:val="16"/>
                <w:szCs w:val="16"/>
              </w:rPr>
            </w:pPr>
            <w:r>
              <w:rPr>
                <w:rFonts w:cs="Arial"/>
                <w:sz w:val="16"/>
                <w:szCs w:val="16"/>
              </w:rPr>
              <w:t>Unlimited Amount</w:t>
            </w:r>
          </w:p>
        </w:tc>
        <w:tc>
          <w:tcPr>
            <w:tcW w:w="6316" w:type="dxa"/>
            <w:tcBorders>
              <w:top w:val="nil"/>
              <w:left w:val="nil"/>
              <w:bottom w:val="nil"/>
              <w:right w:val="nil"/>
            </w:tcBorders>
            <w:shd w:val="clear" w:color="000000" w:fill="D9D9D9"/>
            <w:vAlign w:val="center"/>
            <w:hideMark/>
          </w:tcPr>
          <w:p w14:paraId="2EA4BB34" w14:textId="77777777" w:rsidR="00AB6753" w:rsidRDefault="00AB6753" w:rsidP="002D1EA4">
            <w:pPr>
              <w:spacing w:after="0" w:line="240" w:lineRule="auto"/>
              <w:rPr>
                <w:rFonts w:cs="Arial"/>
                <w:sz w:val="16"/>
                <w:szCs w:val="16"/>
              </w:rPr>
            </w:pPr>
            <w:r>
              <w:rPr>
                <w:rFonts w:cs="Arial"/>
                <w:sz w:val="16"/>
                <w:szCs w:val="16"/>
              </w:rPr>
              <w:t>An Act to establish the National Redress Scheme for Institutional Child Sexual Abuse, to provide redress for survivors of past institutional sexual abuse.</w:t>
            </w:r>
          </w:p>
        </w:tc>
        <w:tc>
          <w:tcPr>
            <w:tcW w:w="1260" w:type="dxa"/>
            <w:tcBorders>
              <w:top w:val="nil"/>
              <w:left w:val="nil"/>
              <w:bottom w:val="nil"/>
              <w:right w:val="nil"/>
            </w:tcBorders>
            <w:shd w:val="clear" w:color="000000" w:fill="D9D9D9"/>
            <w:noWrap/>
            <w:vAlign w:val="center"/>
            <w:hideMark/>
          </w:tcPr>
          <w:p w14:paraId="00AE7756" w14:textId="77777777" w:rsidR="00AB6753" w:rsidRDefault="00AB6753" w:rsidP="002D1EA4">
            <w:pPr>
              <w:spacing w:after="0" w:line="240" w:lineRule="auto"/>
              <w:jc w:val="right"/>
              <w:rPr>
                <w:rFonts w:cs="Arial"/>
                <w:b/>
                <w:bCs/>
                <w:sz w:val="16"/>
                <w:szCs w:val="16"/>
              </w:rPr>
            </w:pPr>
            <w:r>
              <w:rPr>
                <w:rFonts w:cs="Arial"/>
                <w:b/>
                <w:bCs/>
                <w:sz w:val="16"/>
                <w:szCs w:val="16"/>
              </w:rPr>
              <w:t>205,307</w:t>
            </w:r>
          </w:p>
        </w:tc>
        <w:tc>
          <w:tcPr>
            <w:tcW w:w="1189" w:type="dxa"/>
            <w:tcBorders>
              <w:top w:val="nil"/>
              <w:left w:val="nil"/>
              <w:bottom w:val="nil"/>
              <w:right w:val="nil"/>
            </w:tcBorders>
            <w:shd w:val="clear" w:color="000000" w:fill="D9D9D9"/>
            <w:noWrap/>
            <w:vAlign w:val="center"/>
            <w:hideMark/>
          </w:tcPr>
          <w:p w14:paraId="4024DB1F" w14:textId="77777777" w:rsidR="00AB6753" w:rsidRDefault="00AB6753" w:rsidP="002D1EA4">
            <w:pPr>
              <w:spacing w:after="0" w:line="240" w:lineRule="auto"/>
              <w:jc w:val="right"/>
              <w:rPr>
                <w:rFonts w:cs="Arial"/>
                <w:sz w:val="16"/>
                <w:szCs w:val="16"/>
              </w:rPr>
            </w:pPr>
            <w:r>
              <w:rPr>
                <w:rFonts w:cs="Arial"/>
                <w:sz w:val="16"/>
                <w:szCs w:val="16"/>
              </w:rPr>
              <w:t>18,032</w:t>
            </w:r>
          </w:p>
        </w:tc>
      </w:tr>
      <w:tr w:rsidR="00AB6753" w14:paraId="62661734" w14:textId="77777777" w:rsidTr="002D1EA4">
        <w:trPr>
          <w:trHeight w:val="238"/>
        </w:trPr>
        <w:tc>
          <w:tcPr>
            <w:tcW w:w="4581" w:type="dxa"/>
            <w:tcBorders>
              <w:top w:val="nil"/>
              <w:left w:val="nil"/>
              <w:bottom w:val="nil"/>
              <w:right w:val="nil"/>
            </w:tcBorders>
            <w:shd w:val="clear" w:color="000000" w:fill="D9D9D9"/>
            <w:hideMark/>
          </w:tcPr>
          <w:p w14:paraId="015F0320" w14:textId="77777777" w:rsidR="00AB6753" w:rsidRDefault="00AB6753" w:rsidP="002D1EA4">
            <w:pPr>
              <w:spacing w:after="0" w:line="240" w:lineRule="auto"/>
              <w:rPr>
                <w:rFonts w:cs="Arial"/>
                <w:i/>
                <w:iCs/>
                <w:sz w:val="16"/>
                <w:szCs w:val="16"/>
              </w:rPr>
            </w:pPr>
            <w:r>
              <w:rPr>
                <w:rFonts w:cs="Arial"/>
                <w:i/>
                <w:iCs/>
                <w:sz w:val="16"/>
                <w:szCs w:val="16"/>
              </w:rPr>
              <w:t> </w:t>
            </w:r>
          </w:p>
        </w:tc>
        <w:tc>
          <w:tcPr>
            <w:tcW w:w="912" w:type="dxa"/>
            <w:tcBorders>
              <w:top w:val="nil"/>
              <w:left w:val="nil"/>
              <w:bottom w:val="nil"/>
              <w:right w:val="nil"/>
            </w:tcBorders>
            <w:shd w:val="clear" w:color="000000" w:fill="D9D9D9"/>
            <w:hideMark/>
          </w:tcPr>
          <w:p w14:paraId="3507A1CA" w14:textId="77777777" w:rsidR="00AB6753" w:rsidRDefault="00AB6753" w:rsidP="002D1EA4">
            <w:pPr>
              <w:spacing w:after="0" w:line="240" w:lineRule="auto"/>
              <w:jc w:val="center"/>
              <w:rPr>
                <w:rFonts w:cs="Arial"/>
                <w:sz w:val="16"/>
                <w:szCs w:val="16"/>
              </w:rPr>
            </w:pPr>
            <w:r>
              <w:rPr>
                <w:rFonts w:cs="Arial"/>
                <w:sz w:val="16"/>
                <w:szCs w:val="16"/>
              </w:rPr>
              <w:t> </w:t>
            </w:r>
          </w:p>
        </w:tc>
        <w:tc>
          <w:tcPr>
            <w:tcW w:w="6316" w:type="dxa"/>
            <w:tcBorders>
              <w:top w:val="nil"/>
              <w:left w:val="nil"/>
              <w:bottom w:val="nil"/>
              <w:right w:val="nil"/>
            </w:tcBorders>
            <w:shd w:val="clear" w:color="000000" w:fill="D9D9D9"/>
            <w:hideMark/>
          </w:tcPr>
          <w:p w14:paraId="00D6A0F3" w14:textId="77777777" w:rsidR="00AB6753" w:rsidRDefault="00AB6753" w:rsidP="002D1EA4">
            <w:pPr>
              <w:spacing w:after="0" w:line="240" w:lineRule="auto"/>
              <w:rPr>
                <w:rFonts w:cs="Arial"/>
                <w:sz w:val="16"/>
                <w:szCs w:val="16"/>
              </w:rPr>
            </w:pPr>
            <w:r>
              <w:rPr>
                <w:rFonts w:cs="Arial"/>
                <w:sz w:val="16"/>
                <w:szCs w:val="16"/>
              </w:rPr>
              <w:t> </w:t>
            </w:r>
          </w:p>
        </w:tc>
        <w:tc>
          <w:tcPr>
            <w:tcW w:w="1260" w:type="dxa"/>
            <w:tcBorders>
              <w:top w:val="nil"/>
              <w:left w:val="nil"/>
              <w:bottom w:val="nil"/>
              <w:right w:val="nil"/>
            </w:tcBorders>
            <w:shd w:val="clear" w:color="000000" w:fill="D9D9D9"/>
            <w:noWrap/>
            <w:vAlign w:val="center"/>
            <w:hideMark/>
          </w:tcPr>
          <w:p w14:paraId="44E92BBC" w14:textId="77777777" w:rsidR="00AB6753" w:rsidRDefault="00AB6753" w:rsidP="002D1EA4">
            <w:pPr>
              <w:spacing w:after="0" w:line="240" w:lineRule="auto"/>
              <w:jc w:val="right"/>
              <w:rPr>
                <w:rFonts w:cs="Arial"/>
                <w:b/>
                <w:bCs/>
                <w:sz w:val="16"/>
                <w:szCs w:val="16"/>
              </w:rPr>
            </w:pPr>
            <w:r>
              <w:rPr>
                <w:rFonts w:cs="Arial"/>
                <w:b/>
                <w:bCs/>
                <w:sz w:val="16"/>
                <w:szCs w:val="16"/>
              </w:rPr>
              <w:t> </w:t>
            </w:r>
          </w:p>
        </w:tc>
        <w:tc>
          <w:tcPr>
            <w:tcW w:w="1189" w:type="dxa"/>
            <w:tcBorders>
              <w:top w:val="nil"/>
              <w:left w:val="nil"/>
              <w:bottom w:val="nil"/>
              <w:right w:val="nil"/>
            </w:tcBorders>
            <w:shd w:val="clear" w:color="000000" w:fill="D9D9D9"/>
            <w:noWrap/>
            <w:vAlign w:val="center"/>
            <w:hideMark/>
          </w:tcPr>
          <w:p w14:paraId="403F95E4" w14:textId="77777777" w:rsidR="00AB6753" w:rsidRDefault="00AB6753" w:rsidP="002D1EA4">
            <w:pPr>
              <w:spacing w:after="0" w:line="240" w:lineRule="auto"/>
              <w:jc w:val="right"/>
              <w:rPr>
                <w:rFonts w:cs="Arial"/>
                <w:sz w:val="16"/>
                <w:szCs w:val="16"/>
              </w:rPr>
            </w:pPr>
            <w:r>
              <w:rPr>
                <w:rFonts w:cs="Arial"/>
                <w:sz w:val="16"/>
                <w:szCs w:val="16"/>
              </w:rPr>
              <w:t> </w:t>
            </w:r>
          </w:p>
        </w:tc>
      </w:tr>
      <w:tr w:rsidR="00AB6753" w14:paraId="39AF1168" w14:textId="77777777" w:rsidTr="002D1EA4">
        <w:trPr>
          <w:trHeight w:val="238"/>
        </w:trPr>
        <w:tc>
          <w:tcPr>
            <w:tcW w:w="4581" w:type="dxa"/>
            <w:tcBorders>
              <w:top w:val="nil"/>
              <w:left w:val="nil"/>
              <w:bottom w:val="nil"/>
              <w:right w:val="nil"/>
            </w:tcBorders>
            <w:shd w:val="clear" w:color="000000" w:fill="D9D9D9"/>
            <w:vAlign w:val="center"/>
            <w:hideMark/>
          </w:tcPr>
          <w:p w14:paraId="01951BC2" w14:textId="77777777" w:rsidR="00AB6753" w:rsidRDefault="00AB6753" w:rsidP="002D1EA4">
            <w:pPr>
              <w:spacing w:after="0" w:line="240" w:lineRule="auto"/>
              <w:rPr>
                <w:rFonts w:cs="Arial"/>
                <w:i/>
                <w:iCs/>
                <w:sz w:val="16"/>
                <w:szCs w:val="16"/>
              </w:rPr>
            </w:pPr>
            <w:r>
              <w:rPr>
                <w:rFonts w:cs="Arial"/>
                <w:i/>
                <w:iCs/>
                <w:sz w:val="16"/>
                <w:szCs w:val="16"/>
              </w:rPr>
              <w:t>Business Services Wage Assessment Tool Payment Scheme Act 2015 -- Section 99, Administered</w:t>
            </w:r>
          </w:p>
        </w:tc>
        <w:tc>
          <w:tcPr>
            <w:tcW w:w="912" w:type="dxa"/>
            <w:tcBorders>
              <w:top w:val="nil"/>
              <w:left w:val="nil"/>
              <w:bottom w:val="nil"/>
              <w:right w:val="nil"/>
            </w:tcBorders>
            <w:shd w:val="clear" w:color="000000" w:fill="D9D9D9"/>
            <w:vAlign w:val="center"/>
            <w:hideMark/>
          </w:tcPr>
          <w:p w14:paraId="50568A3D" w14:textId="77777777" w:rsidR="00AB6753" w:rsidRDefault="00AB6753" w:rsidP="002D1EA4">
            <w:pPr>
              <w:spacing w:after="0" w:line="240" w:lineRule="auto"/>
              <w:jc w:val="center"/>
              <w:rPr>
                <w:rFonts w:cs="Arial"/>
                <w:sz w:val="16"/>
                <w:szCs w:val="16"/>
              </w:rPr>
            </w:pPr>
            <w:r>
              <w:rPr>
                <w:rFonts w:cs="Arial"/>
                <w:sz w:val="16"/>
                <w:szCs w:val="16"/>
              </w:rPr>
              <w:t>Limited Amount</w:t>
            </w:r>
          </w:p>
        </w:tc>
        <w:tc>
          <w:tcPr>
            <w:tcW w:w="6316" w:type="dxa"/>
            <w:tcBorders>
              <w:top w:val="nil"/>
              <w:left w:val="nil"/>
              <w:bottom w:val="nil"/>
              <w:right w:val="nil"/>
            </w:tcBorders>
            <w:shd w:val="clear" w:color="000000" w:fill="D9D9D9"/>
            <w:vAlign w:val="center"/>
            <w:hideMark/>
          </w:tcPr>
          <w:p w14:paraId="230218CF" w14:textId="77777777" w:rsidR="00AB6753" w:rsidRDefault="00AB6753" w:rsidP="002D1EA4">
            <w:pPr>
              <w:spacing w:after="0" w:line="240" w:lineRule="auto"/>
              <w:rPr>
                <w:rFonts w:cs="Arial"/>
                <w:sz w:val="16"/>
                <w:szCs w:val="16"/>
              </w:rPr>
            </w:pPr>
            <w:r>
              <w:rPr>
                <w:rFonts w:cs="Arial"/>
                <w:sz w:val="16"/>
                <w:szCs w:val="16"/>
              </w:rPr>
              <w:t>An Act to establish the Business Services Wage Assessment Tool payment scheme for making payments in relation to the use of the Business Services Wage Assessment Tool.</w:t>
            </w:r>
          </w:p>
        </w:tc>
        <w:tc>
          <w:tcPr>
            <w:tcW w:w="1260" w:type="dxa"/>
            <w:tcBorders>
              <w:top w:val="nil"/>
              <w:left w:val="nil"/>
              <w:bottom w:val="nil"/>
              <w:right w:val="nil"/>
            </w:tcBorders>
            <w:shd w:val="clear" w:color="000000" w:fill="D9D9D9"/>
            <w:noWrap/>
            <w:vAlign w:val="center"/>
            <w:hideMark/>
          </w:tcPr>
          <w:p w14:paraId="227E898E" w14:textId="77777777" w:rsidR="00AB6753" w:rsidRDefault="00AB6753" w:rsidP="002D1EA4">
            <w:pPr>
              <w:spacing w:after="0" w:line="240" w:lineRule="auto"/>
              <w:jc w:val="right"/>
              <w:rPr>
                <w:rFonts w:cs="Arial"/>
                <w:b/>
                <w:bCs/>
                <w:sz w:val="16"/>
                <w:szCs w:val="16"/>
              </w:rPr>
            </w:pPr>
            <w:r>
              <w:rPr>
                <w:rFonts w:cs="Arial"/>
                <w:b/>
                <w:bCs/>
                <w:sz w:val="16"/>
                <w:szCs w:val="16"/>
              </w:rPr>
              <w:t xml:space="preserve"> -</w:t>
            </w:r>
          </w:p>
        </w:tc>
        <w:tc>
          <w:tcPr>
            <w:tcW w:w="1189" w:type="dxa"/>
            <w:tcBorders>
              <w:top w:val="nil"/>
              <w:left w:val="nil"/>
              <w:bottom w:val="nil"/>
              <w:right w:val="nil"/>
            </w:tcBorders>
            <w:shd w:val="clear" w:color="000000" w:fill="D9D9D9"/>
            <w:noWrap/>
            <w:vAlign w:val="center"/>
            <w:hideMark/>
          </w:tcPr>
          <w:p w14:paraId="6B6FC395" w14:textId="77777777" w:rsidR="00AB6753" w:rsidRDefault="00AB6753" w:rsidP="002D1EA4">
            <w:pPr>
              <w:spacing w:after="0" w:line="240" w:lineRule="auto"/>
              <w:jc w:val="right"/>
              <w:rPr>
                <w:rFonts w:cs="Arial"/>
                <w:sz w:val="16"/>
                <w:szCs w:val="16"/>
              </w:rPr>
            </w:pPr>
            <w:r>
              <w:rPr>
                <w:rFonts w:cs="Arial"/>
                <w:sz w:val="16"/>
                <w:szCs w:val="16"/>
              </w:rPr>
              <w:t>29,856</w:t>
            </w:r>
          </w:p>
        </w:tc>
      </w:tr>
      <w:tr w:rsidR="00AB6753" w14:paraId="4EACA0C0" w14:textId="77777777" w:rsidTr="002D1EA4">
        <w:trPr>
          <w:trHeight w:val="238"/>
        </w:trPr>
        <w:tc>
          <w:tcPr>
            <w:tcW w:w="4581" w:type="dxa"/>
            <w:tcBorders>
              <w:top w:val="nil"/>
              <w:left w:val="nil"/>
              <w:bottom w:val="nil"/>
              <w:right w:val="nil"/>
            </w:tcBorders>
            <w:shd w:val="clear" w:color="000000" w:fill="D9D9D9"/>
            <w:vAlign w:val="center"/>
            <w:hideMark/>
          </w:tcPr>
          <w:p w14:paraId="0C3B9A60" w14:textId="77777777" w:rsidR="00AB6753" w:rsidRDefault="00AB6753" w:rsidP="002D1EA4">
            <w:pPr>
              <w:spacing w:after="0" w:line="240" w:lineRule="auto"/>
              <w:rPr>
                <w:rFonts w:cs="Arial"/>
                <w:i/>
                <w:iCs/>
                <w:sz w:val="16"/>
                <w:szCs w:val="16"/>
              </w:rPr>
            </w:pPr>
            <w:r>
              <w:rPr>
                <w:rFonts w:cs="Arial"/>
                <w:i/>
                <w:iCs/>
                <w:sz w:val="16"/>
                <w:szCs w:val="16"/>
              </w:rPr>
              <w:t> </w:t>
            </w:r>
          </w:p>
        </w:tc>
        <w:tc>
          <w:tcPr>
            <w:tcW w:w="912" w:type="dxa"/>
            <w:tcBorders>
              <w:top w:val="nil"/>
              <w:left w:val="nil"/>
              <w:bottom w:val="nil"/>
              <w:right w:val="nil"/>
            </w:tcBorders>
            <w:shd w:val="clear" w:color="000000" w:fill="D9D9D9"/>
            <w:vAlign w:val="center"/>
            <w:hideMark/>
          </w:tcPr>
          <w:p w14:paraId="659E1550" w14:textId="77777777" w:rsidR="00AB6753" w:rsidRDefault="00AB6753" w:rsidP="002D1EA4">
            <w:pPr>
              <w:spacing w:after="0" w:line="240" w:lineRule="auto"/>
              <w:jc w:val="center"/>
              <w:rPr>
                <w:rFonts w:cs="Arial"/>
                <w:sz w:val="16"/>
                <w:szCs w:val="16"/>
              </w:rPr>
            </w:pPr>
            <w:r>
              <w:rPr>
                <w:rFonts w:cs="Arial"/>
                <w:sz w:val="16"/>
                <w:szCs w:val="16"/>
              </w:rPr>
              <w:t> </w:t>
            </w:r>
          </w:p>
        </w:tc>
        <w:tc>
          <w:tcPr>
            <w:tcW w:w="6316" w:type="dxa"/>
            <w:tcBorders>
              <w:top w:val="nil"/>
              <w:left w:val="nil"/>
              <w:bottom w:val="nil"/>
              <w:right w:val="nil"/>
            </w:tcBorders>
            <w:shd w:val="clear" w:color="000000" w:fill="D9D9D9"/>
            <w:vAlign w:val="center"/>
            <w:hideMark/>
          </w:tcPr>
          <w:p w14:paraId="7CA47FFE" w14:textId="77777777" w:rsidR="00AB6753" w:rsidRDefault="00AB6753" w:rsidP="002D1EA4">
            <w:pPr>
              <w:spacing w:after="0" w:line="240" w:lineRule="auto"/>
              <w:rPr>
                <w:rFonts w:cs="Arial"/>
                <w:sz w:val="16"/>
                <w:szCs w:val="16"/>
              </w:rPr>
            </w:pPr>
            <w:r>
              <w:rPr>
                <w:rFonts w:cs="Arial"/>
                <w:sz w:val="16"/>
                <w:szCs w:val="16"/>
              </w:rPr>
              <w:t> </w:t>
            </w:r>
          </w:p>
        </w:tc>
        <w:tc>
          <w:tcPr>
            <w:tcW w:w="1260" w:type="dxa"/>
            <w:tcBorders>
              <w:top w:val="nil"/>
              <w:left w:val="nil"/>
              <w:bottom w:val="nil"/>
              <w:right w:val="nil"/>
            </w:tcBorders>
            <w:shd w:val="clear" w:color="000000" w:fill="D9D9D9"/>
            <w:noWrap/>
            <w:vAlign w:val="bottom"/>
            <w:hideMark/>
          </w:tcPr>
          <w:p w14:paraId="4DCF1C9F" w14:textId="77777777" w:rsidR="00AB6753" w:rsidRDefault="00AB6753" w:rsidP="002D1EA4">
            <w:pPr>
              <w:spacing w:after="0" w:line="240" w:lineRule="auto"/>
              <w:jc w:val="right"/>
              <w:rPr>
                <w:rFonts w:cs="Arial"/>
                <w:b/>
                <w:bCs/>
                <w:sz w:val="16"/>
                <w:szCs w:val="16"/>
              </w:rPr>
            </w:pPr>
            <w:r>
              <w:rPr>
                <w:rFonts w:cs="Arial"/>
                <w:b/>
                <w:bCs/>
                <w:sz w:val="16"/>
                <w:szCs w:val="16"/>
              </w:rPr>
              <w:t> </w:t>
            </w:r>
          </w:p>
        </w:tc>
        <w:tc>
          <w:tcPr>
            <w:tcW w:w="1189" w:type="dxa"/>
            <w:tcBorders>
              <w:top w:val="nil"/>
              <w:left w:val="nil"/>
              <w:bottom w:val="nil"/>
              <w:right w:val="nil"/>
            </w:tcBorders>
            <w:shd w:val="clear" w:color="000000" w:fill="D9D9D9"/>
            <w:noWrap/>
            <w:vAlign w:val="bottom"/>
            <w:hideMark/>
          </w:tcPr>
          <w:p w14:paraId="1D89E897" w14:textId="77777777" w:rsidR="00AB6753" w:rsidRDefault="00AB6753" w:rsidP="002D1EA4">
            <w:pPr>
              <w:spacing w:after="0" w:line="240" w:lineRule="auto"/>
              <w:jc w:val="right"/>
              <w:rPr>
                <w:rFonts w:cs="Arial"/>
                <w:sz w:val="16"/>
                <w:szCs w:val="16"/>
              </w:rPr>
            </w:pPr>
            <w:r>
              <w:rPr>
                <w:rFonts w:cs="Arial"/>
                <w:sz w:val="16"/>
                <w:szCs w:val="16"/>
              </w:rPr>
              <w:t> </w:t>
            </w:r>
          </w:p>
        </w:tc>
      </w:tr>
      <w:tr w:rsidR="00AB6753" w14:paraId="6BA4A5A9" w14:textId="77777777" w:rsidTr="002D1EA4">
        <w:trPr>
          <w:trHeight w:val="238"/>
        </w:trPr>
        <w:tc>
          <w:tcPr>
            <w:tcW w:w="4581" w:type="dxa"/>
            <w:tcBorders>
              <w:top w:val="nil"/>
              <w:left w:val="nil"/>
              <w:bottom w:val="nil"/>
              <w:right w:val="nil"/>
            </w:tcBorders>
            <w:shd w:val="clear" w:color="000000" w:fill="D9D9D9"/>
            <w:vAlign w:val="center"/>
            <w:hideMark/>
          </w:tcPr>
          <w:p w14:paraId="4F9FD2EB" w14:textId="77777777" w:rsidR="00AB6753" w:rsidRDefault="00AB6753" w:rsidP="002D1EA4">
            <w:pPr>
              <w:spacing w:after="0" w:line="240" w:lineRule="auto"/>
              <w:rPr>
                <w:rFonts w:cs="Arial"/>
                <w:i/>
                <w:iCs/>
                <w:sz w:val="16"/>
                <w:szCs w:val="16"/>
              </w:rPr>
            </w:pPr>
            <w:r>
              <w:rPr>
                <w:rFonts w:cs="Arial"/>
                <w:i/>
                <w:iCs/>
                <w:sz w:val="16"/>
                <w:szCs w:val="16"/>
              </w:rPr>
              <w:t>Public Governance, Performance and Accountability Act 2013 - Section 77, Administered</w:t>
            </w:r>
          </w:p>
        </w:tc>
        <w:tc>
          <w:tcPr>
            <w:tcW w:w="912" w:type="dxa"/>
            <w:tcBorders>
              <w:top w:val="nil"/>
              <w:left w:val="nil"/>
              <w:bottom w:val="nil"/>
              <w:right w:val="nil"/>
            </w:tcBorders>
            <w:shd w:val="clear" w:color="000000" w:fill="D9D9D9"/>
            <w:vAlign w:val="center"/>
            <w:hideMark/>
          </w:tcPr>
          <w:p w14:paraId="416B7429" w14:textId="77777777" w:rsidR="00AB6753" w:rsidRDefault="00AB6753" w:rsidP="002D1EA4">
            <w:pPr>
              <w:spacing w:after="0" w:line="240" w:lineRule="auto"/>
              <w:jc w:val="center"/>
              <w:rPr>
                <w:rFonts w:cs="Arial"/>
                <w:sz w:val="16"/>
                <w:szCs w:val="16"/>
              </w:rPr>
            </w:pPr>
            <w:r>
              <w:rPr>
                <w:rFonts w:cs="Arial"/>
                <w:sz w:val="16"/>
                <w:szCs w:val="16"/>
              </w:rPr>
              <w:t>Refund</w:t>
            </w:r>
          </w:p>
        </w:tc>
        <w:tc>
          <w:tcPr>
            <w:tcW w:w="6316" w:type="dxa"/>
            <w:tcBorders>
              <w:top w:val="nil"/>
              <w:left w:val="nil"/>
              <w:bottom w:val="nil"/>
              <w:right w:val="nil"/>
            </w:tcBorders>
            <w:shd w:val="clear" w:color="000000" w:fill="D9D9D9"/>
            <w:vAlign w:val="center"/>
            <w:hideMark/>
          </w:tcPr>
          <w:p w14:paraId="52542D39" w14:textId="77777777" w:rsidR="00AB6753" w:rsidRDefault="00AB6753" w:rsidP="002D1EA4">
            <w:pPr>
              <w:spacing w:after="0" w:line="240" w:lineRule="auto"/>
              <w:rPr>
                <w:rFonts w:cs="Arial"/>
                <w:sz w:val="16"/>
                <w:szCs w:val="16"/>
              </w:rPr>
            </w:pPr>
            <w:r>
              <w:rPr>
                <w:rFonts w:cs="Arial"/>
                <w:sz w:val="16"/>
                <w:szCs w:val="16"/>
              </w:rPr>
              <w:t>To provide an appropriation where an Act or other law requires or permits the repayment of an amount received by the Commonwealth and apart from this section there is no specific appropriation for the repayment.</w:t>
            </w:r>
          </w:p>
        </w:tc>
        <w:tc>
          <w:tcPr>
            <w:tcW w:w="1260" w:type="dxa"/>
            <w:tcBorders>
              <w:top w:val="nil"/>
              <w:left w:val="nil"/>
              <w:bottom w:val="nil"/>
              <w:right w:val="nil"/>
            </w:tcBorders>
            <w:shd w:val="clear" w:color="000000" w:fill="D9D9D9"/>
            <w:noWrap/>
            <w:vAlign w:val="center"/>
            <w:hideMark/>
          </w:tcPr>
          <w:p w14:paraId="0257C5DE" w14:textId="77777777" w:rsidR="00AB6753" w:rsidRDefault="00AB6753" w:rsidP="002D1EA4">
            <w:pPr>
              <w:spacing w:after="0" w:line="240" w:lineRule="auto"/>
              <w:jc w:val="right"/>
              <w:rPr>
                <w:rFonts w:cs="Arial"/>
                <w:b/>
                <w:bCs/>
                <w:sz w:val="16"/>
                <w:szCs w:val="16"/>
              </w:rPr>
            </w:pPr>
            <w:r>
              <w:rPr>
                <w:rFonts w:cs="Arial"/>
                <w:b/>
                <w:bCs/>
                <w:sz w:val="16"/>
                <w:szCs w:val="16"/>
              </w:rPr>
              <w:t>119</w:t>
            </w:r>
          </w:p>
        </w:tc>
        <w:tc>
          <w:tcPr>
            <w:tcW w:w="1189" w:type="dxa"/>
            <w:tcBorders>
              <w:top w:val="nil"/>
              <w:left w:val="nil"/>
              <w:bottom w:val="nil"/>
              <w:right w:val="nil"/>
            </w:tcBorders>
            <w:shd w:val="clear" w:color="000000" w:fill="D9D9D9"/>
            <w:noWrap/>
            <w:vAlign w:val="center"/>
            <w:hideMark/>
          </w:tcPr>
          <w:p w14:paraId="7C4E872C" w14:textId="77777777" w:rsidR="00AB6753" w:rsidRDefault="00AB6753" w:rsidP="002D1EA4">
            <w:pPr>
              <w:spacing w:after="0" w:line="240" w:lineRule="auto"/>
              <w:jc w:val="right"/>
              <w:rPr>
                <w:rFonts w:cs="Arial"/>
                <w:sz w:val="16"/>
                <w:szCs w:val="16"/>
              </w:rPr>
            </w:pPr>
            <w:r>
              <w:rPr>
                <w:rFonts w:cs="Arial"/>
                <w:sz w:val="16"/>
                <w:szCs w:val="16"/>
              </w:rPr>
              <w:t>137</w:t>
            </w:r>
          </w:p>
        </w:tc>
      </w:tr>
      <w:tr w:rsidR="00AB6753" w14:paraId="7AC41394" w14:textId="77777777" w:rsidTr="002D1EA4">
        <w:trPr>
          <w:trHeight w:val="238"/>
        </w:trPr>
        <w:tc>
          <w:tcPr>
            <w:tcW w:w="4581" w:type="dxa"/>
            <w:tcBorders>
              <w:top w:val="nil"/>
              <w:left w:val="nil"/>
              <w:bottom w:val="nil"/>
              <w:right w:val="nil"/>
            </w:tcBorders>
            <w:shd w:val="clear" w:color="000000" w:fill="D9D9D9"/>
            <w:hideMark/>
          </w:tcPr>
          <w:p w14:paraId="26742CEC" w14:textId="77777777" w:rsidR="00AB6753" w:rsidRDefault="00AB6753" w:rsidP="002D1EA4">
            <w:pPr>
              <w:spacing w:after="0" w:line="240" w:lineRule="auto"/>
              <w:rPr>
                <w:rFonts w:cs="Arial"/>
                <w:i/>
                <w:iCs/>
                <w:sz w:val="16"/>
                <w:szCs w:val="16"/>
              </w:rPr>
            </w:pPr>
            <w:r>
              <w:rPr>
                <w:rFonts w:cs="Arial"/>
                <w:i/>
                <w:iCs/>
                <w:sz w:val="16"/>
                <w:szCs w:val="16"/>
              </w:rPr>
              <w:t> </w:t>
            </w:r>
          </w:p>
        </w:tc>
        <w:tc>
          <w:tcPr>
            <w:tcW w:w="912" w:type="dxa"/>
            <w:tcBorders>
              <w:top w:val="nil"/>
              <w:left w:val="nil"/>
              <w:bottom w:val="nil"/>
              <w:right w:val="nil"/>
            </w:tcBorders>
            <w:shd w:val="clear" w:color="000000" w:fill="D9D9D9"/>
            <w:hideMark/>
          </w:tcPr>
          <w:p w14:paraId="51EC1C32" w14:textId="77777777" w:rsidR="00AB6753" w:rsidRDefault="00AB6753" w:rsidP="002D1EA4">
            <w:pPr>
              <w:spacing w:after="0" w:line="240" w:lineRule="auto"/>
              <w:jc w:val="center"/>
              <w:rPr>
                <w:rFonts w:cs="Arial"/>
                <w:sz w:val="16"/>
                <w:szCs w:val="16"/>
              </w:rPr>
            </w:pPr>
            <w:r>
              <w:rPr>
                <w:rFonts w:cs="Arial"/>
                <w:sz w:val="16"/>
                <w:szCs w:val="16"/>
              </w:rPr>
              <w:t> </w:t>
            </w:r>
          </w:p>
        </w:tc>
        <w:tc>
          <w:tcPr>
            <w:tcW w:w="6316" w:type="dxa"/>
            <w:tcBorders>
              <w:top w:val="nil"/>
              <w:left w:val="nil"/>
              <w:bottom w:val="nil"/>
              <w:right w:val="nil"/>
            </w:tcBorders>
            <w:shd w:val="clear" w:color="000000" w:fill="D9D9D9"/>
            <w:hideMark/>
          </w:tcPr>
          <w:p w14:paraId="6A02886C" w14:textId="77777777" w:rsidR="00AB6753" w:rsidRDefault="00AB6753" w:rsidP="002D1EA4">
            <w:pPr>
              <w:spacing w:after="0" w:line="240" w:lineRule="auto"/>
              <w:rPr>
                <w:rFonts w:cs="Arial"/>
                <w:sz w:val="16"/>
                <w:szCs w:val="16"/>
              </w:rPr>
            </w:pPr>
            <w:r>
              <w:rPr>
                <w:rFonts w:cs="Arial"/>
                <w:sz w:val="16"/>
                <w:szCs w:val="16"/>
              </w:rPr>
              <w:t> </w:t>
            </w:r>
          </w:p>
        </w:tc>
        <w:tc>
          <w:tcPr>
            <w:tcW w:w="1260" w:type="dxa"/>
            <w:tcBorders>
              <w:top w:val="nil"/>
              <w:left w:val="nil"/>
              <w:bottom w:val="nil"/>
              <w:right w:val="nil"/>
            </w:tcBorders>
            <w:shd w:val="clear" w:color="000000" w:fill="D9D9D9"/>
            <w:noWrap/>
            <w:vAlign w:val="center"/>
            <w:hideMark/>
          </w:tcPr>
          <w:p w14:paraId="7E388467" w14:textId="77777777" w:rsidR="00AB6753" w:rsidRDefault="00AB6753" w:rsidP="002D1EA4">
            <w:pPr>
              <w:spacing w:after="0" w:line="240" w:lineRule="auto"/>
              <w:jc w:val="right"/>
              <w:rPr>
                <w:rFonts w:cs="Arial"/>
                <w:b/>
                <w:bCs/>
                <w:sz w:val="16"/>
                <w:szCs w:val="16"/>
              </w:rPr>
            </w:pPr>
            <w:r>
              <w:rPr>
                <w:rFonts w:cs="Arial"/>
                <w:b/>
                <w:bCs/>
                <w:sz w:val="16"/>
                <w:szCs w:val="16"/>
              </w:rPr>
              <w:t> </w:t>
            </w:r>
          </w:p>
        </w:tc>
        <w:tc>
          <w:tcPr>
            <w:tcW w:w="1189" w:type="dxa"/>
            <w:tcBorders>
              <w:top w:val="nil"/>
              <w:left w:val="nil"/>
              <w:bottom w:val="nil"/>
              <w:right w:val="nil"/>
            </w:tcBorders>
            <w:shd w:val="clear" w:color="000000" w:fill="D9D9D9"/>
            <w:noWrap/>
            <w:vAlign w:val="center"/>
            <w:hideMark/>
          </w:tcPr>
          <w:p w14:paraId="593C5635" w14:textId="77777777" w:rsidR="00AB6753" w:rsidRDefault="00AB6753" w:rsidP="002D1EA4">
            <w:pPr>
              <w:spacing w:after="0" w:line="240" w:lineRule="auto"/>
              <w:jc w:val="right"/>
              <w:rPr>
                <w:rFonts w:cs="Arial"/>
                <w:sz w:val="16"/>
                <w:szCs w:val="16"/>
              </w:rPr>
            </w:pPr>
            <w:r>
              <w:rPr>
                <w:rFonts w:cs="Arial"/>
                <w:sz w:val="16"/>
                <w:szCs w:val="16"/>
              </w:rPr>
              <w:t> </w:t>
            </w:r>
          </w:p>
        </w:tc>
      </w:tr>
      <w:tr w:rsidR="00AB6753" w14:paraId="266E2FF4" w14:textId="77777777" w:rsidTr="002D1EA4">
        <w:trPr>
          <w:trHeight w:val="238"/>
        </w:trPr>
        <w:tc>
          <w:tcPr>
            <w:tcW w:w="4581" w:type="dxa"/>
            <w:tcBorders>
              <w:top w:val="nil"/>
              <w:left w:val="nil"/>
              <w:bottom w:val="nil"/>
              <w:right w:val="nil"/>
            </w:tcBorders>
            <w:shd w:val="clear" w:color="000000" w:fill="D9D9D9"/>
            <w:vAlign w:val="center"/>
            <w:hideMark/>
          </w:tcPr>
          <w:p w14:paraId="4F301D49" w14:textId="77777777" w:rsidR="00AB6753" w:rsidRDefault="00AB6753" w:rsidP="002D1EA4">
            <w:pPr>
              <w:spacing w:after="0" w:line="240" w:lineRule="auto"/>
              <w:rPr>
                <w:rFonts w:cs="Arial"/>
                <w:i/>
                <w:iCs/>
                <w:sz w:val="16"/>
                <w:szCs w:val="16"/>
              </w:rPr>
            </w:pPr>
            <w:r>
              <w:rPr>
                <w:rFonts w:cs="Arial"/>
                <w:i/>
                <w:iCs/>
                <w:sz w:val="16"/>
                <w:szCs w:val="16"/>
              </w:rPr>
              <w:t>Data-matching Program (Assistance and Tax) Act 1990</w:t>
            </w:r>
          </w:p>
        </w:tc>
        <w:tc>
          <w:tcPr>
            <w:tcW w:w="912" w:type="dxa"/>
            <w:tcBorders>
              <w:top w:val="nil"/>
              <w:left w:val="nil"/>
              <w:bottom w:val="nil"/>
              <w:right w:val="nil"/>
            </w:tcBorders>
            <w:shd w:val="clear" w:color="000000" w:fill="D9D9D9"/>
            <w:vAlign w:val="center"/>
            <w:hideMark/>
          </w:tcPr>
          <w:p w14:paraId="03E05190" w14:textId="77777777" w:rsidR="00AB6753" w:rsidRDefault="00AB6753" w:rsidP="002D1EA4">
            <w:pPr>
              <w:spacing w:after="0" w:line="240" w:lineRule="auto"/>
              <w:jc w:val="center"/>
              <w:rPr>
                <w:rFonts w:cs="Arial"/>
                <w:sz w:val="16"/>
                <w:szCs w:val="16"/>
              </w:rPr>
            </w:pPr>
            <w:r>
              <w:rPr>
                <w:rFonts w:cs="Arial"/>
                <w:sz w:val="16"/>
                <w:szCs w:val="16"/>
              </w:rPr>
              <w:t>Unlimited Amount</w:t>
            </w:r>
          </w:p>
        </w:tc>
        <w:tc>
          <w:tcPr>
            <w:tcW w:w="6316" w:type="dxa"/>
            <w:tcBorders>
              <w:top w:val="nil"/>
              <w:left w:val="nil"/>
              <w:bottom w:val="nil"/>
              <w:right w:val="nil"/>
            </w:tcBorders>
            <w:shd w:val="clear" w:color="000000" w:fill="D9D9D9"/>
            <w:vAlign w:val="center"/>
            <w:hideMark/>
          </w:tcPr>
          <w:p w14:paraId="4FA5C532" w14:textId="77777777" w:rsidR="00AB6753" w:rsidRDefault="00AB6753" w:rsidP="002D1EA4">
            <w:pPr>
              <w:spacing w:after="0" w:line="240" w:lineRule="auto"/>
              <w:rPr>
                <w:rFonts w:cs="Arial"/>
                <w:sz w:val="16"/>
                <w:szCs w:val="16"/>
              </w:rPr>
            </w:pPr>
            <w:r>
              <w:rPr>
                <w:rFonts w:cs="Arial"/>
                <w:sz w:val="16"/>
                <w:szCs w:val="16"/>
              </w:rPr>
              <w:t xml:space="preserve">An Act to provide for the matching of data in relation to certain assistance and tax and to amend the </w:t>
            </w:r>
            <w:r w:rsidRPr="005A0D48">
              <w:rPr>
                <w:rFonts w:cs="Arial"/>
                <w:i/>
                <w:sz w:val="16"/>
                <w:szCs w:val="16"/>
              </w:rPr>
              <w:t>Privacy Act 1988</w:t>
            </w:r>
            <w:r>
              <w:rPr>
                <w:rFonts w:cs="Arial"/>
                <w:sz w:val="16"/>
                <w:szCs w:val="16"/>
              </w:rPr>
              <w:t>.</w:t>
            </w:r>
          </w:p>
        </w:tc>
        <w:tc>
          <w:tcPr>
            <w:tcW w:w="1260" w:type="dxa"/>
            <w:tcBorders>
              <w:top w:val="nil"/>
              <w:left w:val="nil"/>
              <w:bottom w:val="nil"/>
              <w:right w:val="nil"/>
            </w:tcBorders>
            <w:shd w:val="clear" w:color="000000" w:fill="D9D9D9"/>
            <w:noWrap/>
            <w:vAlign w:val="center"/>
            <w:hideMark/>
          </w:tcPr>
          <w:p w14:paraId="258AFEBC" w14:textId="77777777" w:rsidR="00AB6753" w:rsidRDefault="00AB6753" w:rsidP="002D1EA4">
            <w:pPr>
              <w:spacing w:after="0" w:line="240" w:lineRule="auto"/>
              <w:jc w:val="right"/>
              <w:rPr>
                <w:rFonts w:cs="Arial"/>
                <w:b/>
                <w:bCs/>
                <w:sz w:val="16"/>
                <w:szCs w:val="16"/>
              </w:rPr>
            </w:pPr>
            <w:r>
              <w:rPr>
                <w:rFonts w:cs="Arial"/>
                <w:b/>
                <w:bCs/>
                <w:sz w:val="16"/>
                <w:szCs w:val="16"/>
              </w:rPr>
              <w:t xml:space="preserve"> -</w:t>
            </w:r>
          </w:p>
        </w:tc>
        <w:tc>
          <w:tcPr>
            <w:tcW w:w="1189" w:type="dxa"/>
            <w:tcBorders>
              <w:top w:val="nil"/>
              <w:left w:val="nil"/>
              <w:bottom w:val="nil"/>
              <w:right w:val="nil"/>
            </w:tcBorders>
            <w:shd w:val="clear" w:color="000000" w:fill="D9D9D9"/>
            <w:noWrap/>
            <w:vAlign w:val="center"/>
            <w:hideMark/>
          </w:tcPr>
          <w:p w14:paraId="605B3787" w14:textId="77777777" w:rsidR="00AB6753" w:rsidRDefault="00AB6753" w:rsidP="002D1EA4">
            <w:pPr>
              <w:spacing w:after="0" w:line="240" w:lineRule="auto"/>
              <w:jc w:val="right"/>
              <w:rPr>
                <w:rFonts w:cs="Arial"/>
                <w:sz w:val="16"/>
                <w:szCs w:val="16"/>
              </w:rPr>
            </w:pPr>
            <w:r>
              <w:rPr>
                <w:rFonts w:cs="Arial"/>
                <w:sz w:val="16"/>
                <w:szCs w:val="16"/>
              </w:rPr>
              <w:t xml:space="preserve"> -</w:t>
            </w:r>
          </w:p>
        </w:tc>
      </w:tr>
      <w:tr w:rsidR="00AB6753" w14:paraId="7BE1C7B3" w14:textId="77777777" w:rsidTr="002D1EA4">
        <w:trPr>
          <w:trHeight w:val="238"/>
        </w:trPr>
        <w:tc>
          <w:tcPr>
            <w:tcW w:w="4581" w:type="dxa"/>
            <w:tcBorders>
              <w:top w:val="nil"/>
              <w:left w:val="nil"/>
              <w:bottom w:val="nil"/>
              <w:right w:val="nil"/>
            </w:tcBorders>
            <w:shd w:val="clear" w:color="000000" w:fill="D9D9D9"/>
            <w:vAlign w:val="center"/>
            <w:hideMark/>
          </w:tcPr>
          <w:p w14:paraId="6C326B6B" w14:textId="77777777" w:rsidR="00AB6753" w:rsidRDefault="00AB6753" w:rsidP="002D1EA4">
            <w:pPr>
              <w:spacing w:after="0" w:line="240" w:lineRule="auto"/>
              <w:rPr>
                <w:rFonts w:cs="Arial"/>
                <w:i/>
                <w:iCs/>
                <w:sz w:val="16"/>
                <w:szCs w:val="16"/>
              </w:rPr>
            </w:pPr>
            <w:r>
              <w:rPr>
                <w:rFonts w:cs="Arial"/>
                <w:i/>
                <w:iCs/>
                <w:sz w:val="16"/>
                <w:szCs w:val="16"/>
              </w:rPr>
              <w:t> </w:t>
            </w:r>
          </w:p>
        </w:tc>
        <w:tc>
          <w:tcPr>
            <w:tcW w:w="912" w:type="dxa"/>
            <w:tcBorders>
              <w:top w:val="nil"/>
              <w:left w:val="nil"/>
              <w:bottom w:val="nil"/>
              <w:right w:val="nil"/>
            </w:tcBorders>
            <w:shd w:val="clear" w:color="000000" w:fill="D9D9D9"/>
            <w:vAlign w:val="center"/>
            <w:hideMark/>
          </w:tcPr>
          <w:p w14:paraId="654FE885" w14:textId="77777777" w:rsidR="00AB6753" w:rsidRDefault="00AB6753" w:rsidP="002D1EA4">
            <w:pPr>
              <w:spacing w:after="0" w:line="240" w:lineRule="auto"/>
              <w:jc w:val="center"/>
              <w:rPr>
                <w:rFonts w:cs="Arial"/>
                <w:sz w:val="16"/>
                <w:szCs w:val="16"/>
              </w:rPr>
            </w:pPr>
            <w:r>
              <w:rPr>
                <w:rFonts w:cs="Arial"/>
                <w:sz w:val="16"/>
                <w:szCs w:val="16"/>
              </w:rPr>
              <w:t> </w:t>
            </w:r>
          </w:p>
        </w:tc>
        <w:tc>
          <w:tcPr>
            <w:tcW w:w="6316" w:type="dxa"/>
            <w:tcBorders>
              <w:top w:val="nil"/>
              <w:left w:val="nil"/>
              <w:bottom w:val="nil"/>
              <w:right w:val="nil"/>
            </w:tcBorders>
            <w:shd w:val="clear" w:color="000000" w:fill="D9D9D9"/>
            <w:vAlign w:val="center"/>
            <w:hideMark/>
          </w:tcPr>
          <w:p w14:paraId="459831E0" w14:textId="77777777" w:rsidR="00AB6753" w:rsidRDefault="00AB6753" w:rsidP="002D1EA4">
            <w:pPr>
              <w:spacing w:after="0" w:line="240" w:lineRule="auto"/>
              <w:rPr>
                <w:rFonts w:cs="Arial"/>
                <w:sz w:val="16"/>
                <w:szCs w:val="16"/>
              </w:rPr>
            </w:pPr>
            <w:r>
              <w:rPr>
                <w:rFonts w:cs="Arial"/>
                <w:sz w:val="16"/>
                <w:szCs w:val="16"/>
              </w:rPr>
              <w:t> </w:t>
            </w:r>
          </w:p>
        </w:tc>
        <w:tc>
          <w:tcPr>
            <w:tcW w:w="1260" w:type="dxa"/>
            <w:tcBorders>
              <w:top w:val="nil"/>
              <w:left w:val="nil"/>
              <w:bottom w:val="nil"/>
              <w:right w:val="nil"/>
            </w:tcBorders>
            <w:shd w:val="clear" w:color="000000" w:fill="D9D9D9"/>
            <w:noWrap/>
            <w:vAlign w:val="center"/>
            <w:hideMark/>
          </w:tcPr>
          <w:p w14:paraId="7ABE2601" w14:textId="77777777" w:rsidR="00AB6753" w:rsidRDefault="00AB6753" w:rsidP="002D1EA4">
            <w:pPr>
              <w:spacing w:after="0" w:line="240" w:lineRule="auto"/>
              <w:jc w:val="right"/>
              <w:rPr>
                <w:rFonts w:cs="Arial"/>
                <w:b/>
                <w:bCs/>
                <w:sz w:val="16"/>
                <w:szCs w:val="16"/>
              </w:rPr>
            </w:pPr>
            <w:r>
              <w:rPr>
                <w:rFonts w:cs="Arial"/>
                <w:b/>
                <w:bCs/>
                <w:sz w:val="16"/>
                <w:szCs w:val="16"/>
              </w:rPr>
              <w:t> </w:t>
            </w:r>
          </w:p>
        </w:tc>
        <w:tc>
          <w:tcPr>
            <w:tcW w:w="1189" w:type="dxa"/>
            <w:tcBorders>
              <w:top w:val="nil"/>
              <w:left w:val="nil"/>
              <w:bottom w:val="nil"/>
              <w:right w:val="nil"/>
            </w:tcBorders>
            <w:shd w:val="clear" w:color="000000" w:fill="D9D9D9"/>
            <w:noWrap/>
            <w:vAlign w:val="center"/>
            <w:hideMark/>
          </w:tcPr>
          <w:p w14:paraId="6BC4E713" w14:textId="77777777" w:rsidR="00AB6753" w:rsidRDefault="00AB6753" w:rsidP="002D1EA4">
            <w:pPr>
              <w:spacing w:after="0" w:line="240" w:lineRule="auto"/>
              <w:jc w:val="right"/>
              <w:rPr>
                <w:rFonts w:cs="Arial"/>
                <w:sz w:val="16"/>
                <w:szCs w:val="16"/>
              </w:rPr>
            </w:pPr>
            <w:r>
              <w:rPr>
                <w:rFonts w:cs="Arial"/>
                <w:sz w:val="16"/>
                <w:szCs w:val="16"/>
              </w:rPr>
              <w:t> </w:t>
            </w:r>
          </w:p>
        </w:tc>
      </w:tr>
      <w:tr w:rsidR="00AB6753" w14:paraId="7D274091" w14:textId="77777777" w:rsidTr="002D1EA4">
        <w:trPr>
          <w:trHeight w:val="238"/>
        </w:trPr>
        <w:tc>
          <w:tcPr>
            <w:tcW w:w="4581" w:type="dxa"/>
            <w:tcBorders>
              <w:top w:val="nil"/>
              <w:left w:val="nil"/>
              <w:bottom w:val="nil"/>
              <w:right w:val="nil"/>
            </w:tcBorders>
            <w:shd w:val="clear" w:color="000000" w:fill="D9D9D9"/>
            <w:vAlign w:val="center"/>
            <w:hideMark/>
          </w:tcPr>
          <w:p w14:paraId="1FB70B5A" w14:textId="77777777" w:rsidR="00AB6753" w:rsidRDefault="00AB6753" w:rsidP="002D1EA4">
            <w:pPr>
              <w:spacing w:after="0" w:line="240" w:lineRule="auto"/>
              <w:rPr>
                <w:rFonts w:cs="Arial"/>
                <w:i/>
                <w:iCs/>
                <w:sz w:val="16"/>
                <w:szCs w:val="16"/>
              </w:rPr>
            </w:pPr>
            <w:r>
              <w:rPr>
                <w:rFonts w:cs="Arial"/>
                <w:i/>
                <w:iCs/>
                <w:sz w:val="16"/>
                <w:szCs w:val="16"/>
              </w:rPr>
              <w:t>Social Security and Other Legislation Amendment (Economic Security Strategy) Act 2008</w:t>
            </w:r>
          </w:p>
        </w:tc>
        <w:tc>
          <w:tcPr>
            <w:tcW w:w="912" w:type="dxa"/>
            <w:tcBorders>
              <w:top w:val="nil"/>
              <w:left w:val="nil"/>
              <w:bottom w:val="nil"/>
              <w:right w:val="nil"/>
            </w:tcBorders>
            <w:shd w:val="clear" w:color="000000" w:fill="D9D9D9"/>
            <w:vAlign w:val="center"/>
            <w:hideMark/>
          </w:tcPr>
          <w:p w14:paraId="4C3B2FC5" w14:textId="77777777" w:rsidR="00AB6753" w:rsidRDefault="00AB6753" w:rsidP="002D1EA4">
            <w:pPr>
              <w:spacing w:after="0" w:line="240" w:lineRule="auto"/>
              <w:jc w:val="center"/>
              <w:rPr>
                <w:rFonts w:cs="Arial"/>
                <w:sz w:val="16"/>
                <w:szCs w:val="16"/>
              </w:rPr>
            </w:pPr>
            <w:r>
              <w:rPr>
                <w:rFonts w:cs="Arial"/>
                <w:sz w:val="16"/>
                <w:szCs w:val="16"/>
              </w:rPr>
              <w:t>Unlimited Amount</w:t>
            </w:r>
          </w:p>
        </w:tc>
        <w:tc>
          <w:tcPr>
            <w:tcW w:w="6316" w:type="dxa"/>
            <w:tcBorders>
              <w:top w:val="nil"/>
              <w:left w:val="nil"/>
              <w:bottom w:val="nil"/>
              <w:right w:val="nil"/>
            </w:tcBorders>
            <w:shd w:val="clear" w:color="000000" w:fill="D9D9D9"/>
            <w:vAlign w:val="center"/>
            <w:hideMark/>
          </w:tcPr>
          <w:p w14:paraId="15A47BA0" w14:textId="77777777" w:rsidR="00AB6753" w:rsidRDefault="00AB6753" w:rsidP="002D1EA4">
            <w:pPr>
              <w:spacing w:after="0" w:line="240" w:lineRule="auto"/>
              <w:rPr>
                <w:rFonts w:cs="Arial"/>
                <w:sz w:val="16"/>
                <w:szCs w:val="16"/>
              </w:rPr>
            </w:pPr>
            <w:r>
              <w:rPr>
                <w:rFonts w:cs="Arial"/>
                <w:sz w:val="16"/>
                <w:szCs w:val="16"/>
              </w:rPr>
              <w:t>An Act to amend laws in order to provide economic security strategy payments, and for related purposes.</w:t>
            </w:r>
          </w:p>
        </w:tc>
        <w:tc>
          <w:tcPr>
            <w:tcW w:w="1260" w:type="dxa"/>
            <w:tcBorders>
              <w:top w:val="nil"/>
              <w:left w:val="nil"/>
              <w:bottom w:val="nil"/>
              <w:right w:val="nil"/>
            </w:tcBorders>
            <w:shd w:val="clear" w:color="000000" w:fill="D9D9D9"/>
            <w:noWrap/>
            <w:vAlign w:val="center"/>
            <w:hideMark/>
          </w:tcPr>
          <w:p w14:paraId="6227618B" w14:textId="77777777" w:rsidR="00AB6753" w:rsidRDefault="00AB6753" w:rsidP="002D1EA4">
            <w:pPr>
              <w:spacing w:after="0" w:line="240" w:lineRule="auto"/>
              <w:jc w:val="right"/>
              <w:rPr>
                <w:rFonts w:cs="Arial"/>
                <w:b/>
                <w:bCs/>
                <w:sz w:val="16"/>
                <w:szCs w:val="16"/>
              </w:rPr>
            </w:pPr>
            <w:r>
              <w:rPr>
                <w:rFonts w:cs="Arial"/>
                <w:b/>
                <w:bCs/>
                <w:sz w:val="16"/>
                <w:szCs w:val="16"/>
              </w:rPr>
              <w:t xml:space="preserve"> -</w:t>
            </w:r>
          </w:p>
        </w:tc>
        <w:tc>
          <w:tcPr>
            <w:tcW w:w="1189" w:type="dxa"/>
            <w:tcBorders>
              <w:top w:val="nil"/>
              <w:left w:val="nil"/>
              <w:bottom w:val="nil"/>
              <w:right w:val="nil"/>
            </w:tcBorders>
            <w:shd w:val="clear" w:color="000000" w:fill="D9D9D9"/>
            <w:noWrap/>
            <w:vAlign w:val="center"/>
            <w:hideMark/>
          </w:tcPr>
          <w:p w14:paraId="1BD60916" w14:textId="77777777" w:rsidR="00AB6753" w:rsidRDefault="00AB6753" w:rsidP="002D1EA4">
            <w:pPr>
              <w:spacing w:after="0" w:line="240" w:lineRule="auto"/>
              <w:jc w:val="right"/>
              <w:rPr>
                <w:rFonts w:cs="Arial"/>
                <w:sz w:val="16"/>
                <w:szCs w:val="16"/>
              </w:rPr>
            </w:pPr>
            <w:r>
              <w:rPr>
                <w:rFonts w:cs="Arial"/>
                <w:sz w:val="16"/>
                <w:szCs w:val="16"/>
              </w:rPr>
              <w:t xml:space="preserve"> -</w:t>
            </w:r>
          </w:p>
        </w:tc>
      </w:tr>
      <w:tr w:rsidR="00AB6753" w14:paraId="0BACDEAD" w14:textId="77777777" w:rsidTr="002D1EA4">
        <w:trPr>
          <w:trHeight w:val="238"/>
        </w:trPr>
        <w:tc>
          <w:tcPr>
            <w:tcW w:w="4581" w:type="dxa"/>
            <w:tcBorders>
              <w:top w:val="nil"/>
              <w:left w:val="nil"/>
              <w:bottom w:val="nil"/>
              <w:right w:val="nil"/>
            </w:tcBorders>
            <w:shd w:val="clear" w:color="000000" w:fill="D9D9D9"/>
            <w:vAlign w:val="center"/>
            <w:hideMark/>
          </w:tcPr>
          <w:p w14:paraId="65E507FD" w14:textId="77777777" w:rsidR="00AB6753" w:rsidRDefault="00AB6753" w:rsidP="002D1EA4">
            <w:pPr>
              <w:spacing w:after="0" w:line="240" w:lineRule="auto"/>
              <w:rPr>
                <w:rFonts w:cs="Arial"/>
                <w:i/>
                <w:iCs/>
                <w:sz w:val="16"/>
                <w:szCs w:val="16"/>
              </w:rPr>
            </w:pPr>
            <w:r>
              <w:rPr>
                <w:rFonts w:cs="Arial"/>
                <w:i/>
                <w:iCs/>
                <w:sz w:val="16"/>
                <w:szCs w:val="16"/>
              </w:rPr>
              <w:t> </w:t>
            </w:r>
          </w:p>
        </w:tc>
        <w:tc>
          <w:tcPr>
            <w:tcW w:w="912" w:type="dxa"/>
            <w:tcBorders>
              <w:top w:val="nil"/>
              <w:left w:val="nil"/>
              <w:bottom w:val="nil"/>
              <w:right w:val="nil"/>
            </w:tcBorders>
            <w:shd w:val="clear" w:color="000000" w:fill="D9D9D9"/>
            <w:vAlign w:val="center"/>
            <w:hideMark/>
          </w:tcPr>
          <w:p w14:paraId="1E7064EE" w14:textId="77777777" w:rsidR="00AB6753" w:rsidRDefault="00AB6753" w:rsidP="002D1EA4">
            <w:pPr>
              <w:spacing w:after="0" w:line="240" w:lineRule="auto"/>
              <w:jc w:val="center"/>
              <w:rPr>
                <w:rFonts w:cs="Arial"/>
                <w:sz w:val="16"/>
                <w:szCs w:val="16"/>
              </w:rPr>
            </w:pPr>
            <w:r>
              <w:rPr>
                <w:rFonts w:cs="Arial"/>
                <w:sz w:val="16"/>
                <w:szCs w:val="16"/>
              </w:rPr>
              <w:t> </w:t>
            </w:r>
          </w:p>
        </w:tc>
        <w:tc>
          <w:tcPr>
            <w:tcW w:w="6316" w:type="dxa"/>
            <w:tcBorders>
              <w:top w:val="nil"/>
              <w:left w:val="nil"/>
              <w:bottom w:val="nil"/>
              <w:right w:val="nil"/>
            </w:tcBorders>
            <w:shd w:val="clear" w:color="000000" w:fill="D9D9D9"/>
            <w:vAlign w:val="center"/>
            <w:hideMark/>
          </w:tcPr>
          <w:p w14:paraId="58DCC724" w14:textId="77777777" w:rsidR="00AB6753" w:rsidRDefault="00AB6753" w:rsidP="002D1EA4">
            <w:pPr>
              <w:spacing w:after="0" w:line="240" w:lineRule="auto"/>
              <w:rPr>
                <w:rFonts w:cs="Arial"/>
                <w:sz w:val="16"/>
                <w:szCs w:val="16"/>
              </w:rPr>
            </w:pPr>
            <w:r>
              <w:rPr>
                <w:rFonts w:cs="Arial"/>
                <w:sz w:val="16"/>
                <w:szCs w:val="16"/>
              </w:rPr>
              <w:t> </w:t>
            </w:r>
          </w:p>
        </w:tc>
        <w:tc>
          <w:tcPr>
            <w:tcW w:w="1260" w:type="dxa"/>
            <w:tcBorders>
              <w:top w:val="nil"/>
              <w:left w:val="nil"/>
              <w:bottom w:val="nil"/>
              <w:right w:val="nil"/>
            </w:tcBorders>
            <w:shd w:val="clear" w:color="000000" w:fill="D9D9D9"/>
            <w:noWrap/>
            <w:vAlign w:val="bottom"/>
            <w:hideMark/>
          </w:tcPr>
          <w:p w14:paraId="28D09143" w14:textId="77777777" w:rsidR="00AB6753" w:rsidRDefault="00AB6753" w:rsidP="002D1EA4">
            <w:pPr>
              <w:spacing w:after="0" w:line="240" w:lineRule="auto"/>
              <w:jc w:val="right"/>
              <w:rPr>
                <w:rFonts w:cs="Arial"/>
                <w:b/>
                <w:bCs/>
                <w:sz w:val="16"/>
                <w:szCs w:val="16"/>
              </w:rPr>
            </w:pPr>
            <w:r>
              <w:rPr>
                <w:rFonts w:cs="Arial"/>
                <w:b/>
                <w:bCs/>
                <w:sz w:val="16"/>
                <w:szCs w:val="16"/>
              </w:rPr>
              <w:t> </w:t>
            </w:r>
          </w:p>
        </w:tc>
        <w:tc>
          <w:tcPr>
            <w:tcW w:w="1189" w:type="dxa"/>
            <w:tcBorders>
              <w:top w:val="nil"/>
              <w:left w:val="nil"/>
              <w:bottom w:val="nil"/>
              <w:right w:val="nil"/>
            </w:tcBorders>
            <w:shd w:val="clear" w:color="000000" w:fill="D9D9D9"/>
            <w:noWrap/>
            <w:vAlign w:val="bottom"/>
            <w:hideMark/>
          </w:tcPr>
          <w:p w14:paraId="6461815E" w14:textId="77777777" w:rsidR="00AB6753" w:rsidRDefault="00AB6753" w:rsidP="002D1EA4">
            <w:pPr>
              <w:spacing w:after="0" w:line="240" w:lineRule="auto"/>
              <w:jc w:val="right"/>
              <w:rPr>
                <w:rFonts w:cs="Arial"/>
                <w:sz w:val="16"/>
                <w:szCs w:val="16"/>
              </w:rPr>
            </w:pPr>
            <w:r>
              <w:rPr>
                <w:rFonts w:cs="Arial"/>
                <w:sz w:val="16"/>
                <w:szCs w:val="16"/>
              </w:rPr>
              <w:t> </w:t>
            </w:r>
          </w:p>
        </w:tc>
      </w:tr>
      <w:tr w:rsidR="00AB6753" w14:paraId="07497D95" w14:textId="77777777" w:rsidTr="002D1EA4">
        <w:trPr>
          <w:trHeight w:val="238"/>
        </w:trPr>
        <w:tc>
          <w:tcPr>
            <w:tcW w:w="4581" w:type="dxa"/>
            <w:tcBorders>
              <w:top w:val="nil"/>
              <w:left w:val="nil"/>
              <w:bottom w:val="nil"/>
              <w:right w:val="nil"/>
            </w:tcBorders>
            <w:shd w:val="clear" w:color="auto" w:fill="auto"/>
            <w:vAlign w:val="center"/>
            <w:hideMark/>
          </w:tcPr>
          <w:p w14:paraId="01E73911" w14:textId="77777777" w:rsidR="00AB6753" w:rsidRDefault="00AB6753" w:rsidP="002D1EA4">
            <w:pPr>
              <w:spacing w:after="0" w:line="240" w:lineRule="auto"/>
              <w:jc w:val="right"/>
              <w:rPr>
                <w:rFonts w:cs="Arial"/>
                <w:sz w:val="16"/>
                <w:szCs w:val="16"/>
              </w:rPr>
            </w:pPr>
          </w:p>
        </w:tc>
        <w:tc>
          <w:tcPr>
            <w:tcW w:w="912" w:type="dxa"/>
            <w:tcBorders>
              <w:top w:val="nil"/>
              <w:left w:val="nil"/>
              <w:bottom w:val="nil"/>
              <w:right w:val="nil"/>
            </w:tcBorders>
            <w:shd w:val="clear" w:color="auto" w:fill="auto"/>
            <w:vAlign w:val="center"/>
            <w:hideMark/>
          </w:tcPr>
          <w:p w14:paraId="1E84E6B8" w14:textId="77777777" w:rsidR="00AB6753" w:rsidRDefault="00AB6753" w:rsidP="002D1EA4">
            <w:pPr>
              <w:spacing w:after="0" w:line="240" w:lineRule="auto"/>
              <w:rPr>
                <w:sz w:val="20"/>
              </w:rPr>
            </w:pPr>
          </w:p>
        </w:tc>
        <w:tc>
          <w:tcPr>
            <w:tcW w:w="6316" w:type="dxa"/>
            <w:tcBorders>
              <w:top w:val="nil"/>
              <w:left w:val="nil"/>
              <w:bottom w:val="nil"/>
              <w:right w:val="nil"/>
            </w:tcBorders>
            <w:shd w:val="clear" w:color="auto" w:fill="auto"/>
            <w:vAlign w:val="center"/>
            <w:hideMark/>
          </w:tcPr>
          <w:p w14:paraId="6B93D465" w14:textId="77777777" w:rsidR="00AB6753" w:rsidRDefault="00AB6753" w:rsidP="002D1EA4">
            <w:pPr>
              <w:spacing w:after="0" w:line="240" w:lineRule="auto"/>
              <w:jc w:val="center"/>
              <w:rPr>
                <w:sz w:val="20"/>
              </w:rPr>
            </w:pPr>
          </w:p>
        </w:tc>
        <w:tc>
          <w:tcPr>
            <w:tcW w:w="1260" w:type="dxa"/>
            <w:tcBorders>
              <w:top w:val="nil"/>
              <w:left w:val="nil"/>
              <w:bottom w:val="nil"/>
              <w:right w:val="nil"/>
            </w:tcBorders>
            <w:shd w:val="clear" w:color="auto" w:fill="auto"/>
            <w:noWrap/>
            <w:vAlign w:val="bottom"/>
            <w:hideMark/>
          </w:tcPr>
          <w:p w14:paraId="21481656" w14:textId="77777777" w:rsidR="00AB6753" w:rsidRDefault="00AB6753" w:rsidP="002D1EA4">
            <w:pPr>
              <w:spacing w:after="0" w:line="240" w:lineRule="auto"/>
              <w:rPr>
                <w:sz w:val="20"/>
              </w:rPr>
            </w:pPr>
          </w:p>
        </w:tc>
        <w:tc>
          <w:tcPr>
            <w:tcW w:w="1189" w:type="dxa"/>
            <w:tcBorders>
              <w:top w:val="nil"/>
              <w:left w:val="nil"/>
              <w:bottom w:val="nil"/>
              <w:right w:val="nil"/>
            </w:tcBorders>
            <w:shd w:val="clear" w:color="auto" w:fill="auto"/>
            <w:noWrap/>
            <w:vAlign w:val="bottom"/>
            <w:hideMark/>
          </w:tcPr>
          <w:p w14:paraId="658DAD98" w14:textId="77777777" w:rsidR="00AB6753" w:rsidRDefault="00AB6753" w:rsidP="002D1EA4">
            <w:pPr>
              <w:spacing w:after="0" w:line="240" w:lineRule="auto"/>
              <w:jc w:val="right"/>
              <w:rPr>
                <w:sz w:val="20"/>
              </w:rPr>
            </w:pPr>
          </w:p>
        </w:tc>
      </w:tr>
      <w:tr w:rsidR="00AB6753" w14:paraId="0BC66AF9" w14:textId="77777777" w:rsidTr="002D1EA4">
        <w:trPr>
          <w:trHeight w:val="238"/>
        </w:trPr>
        <w:tc>
          <w:tcPr>
            <w:tcW w:w="4581" w:type="dxa"/>
            <w:tcBorders>
              <w:top w:val="nil"/>
              <w:left w:val="nil"/>
              <w:bottom w:val="nil"/>
              <w:right w:val="nil"/>
            </w:tcBorders>
            <w:shd w:val="clear" w:color="auto" w:fill="auto"/>
            <w:hideMark/>
          </w:tcPr>
          <w:p w14:paraId="29637D0B" w14:textId="77777777" w:rsidR="00AB6753" w:rsidRDefault="00AB6753" w:rsidP="002D1EA4">
            <w:pPr>
              <w:spacing w:after="0" w:line="240" w:lineRule="auto"/>
              <w:jc w:val="right"/>
              <w:rPr>
                <w:sz w:val="20"/>
              </w:rPr>
            </w:pPr>
          </w:p>
        </w:tc>
        <w:tc>
          <w:tcPr>
            <w:tcW w:w="912" w:type="dxa"/>
            <w:tcBorders>
              <w:top w:val="nil"/>
              <w:left w:val="nil"/>
              <w:bottom w:val="nil"/>
              <w:right w:val="nil"/>
            </w:tcBorders>
            <w:shd w:val="clear" w:color="auto" w:fill="auto"/>
            <w:hideMark/>
          </w:tcPr>
          <w:p w14:paraId="68C0E683" w14:textId="77777777" w:rsidR="00AB6753" w:rsidRDefault="00AB6753" w:rsidP="002D1EA4">
            <w:pPr>
              <w:spacing w:after="0" w:line="240" w:lineRule="auto"/>
              <w:rPr>
                <w:sz w:val="20"/>
              </w:rPr>
            </w:pPr>
          </w:p>
        </w:tc>
        <w:tc>
          <w:tcPr>
            <w:tcW w:w="6316" w:type="dxa"/>
            <w:tcBorders>
              <w:top w:val="nil"/>
              <w:left w:val="nil"/>
              <w:bottom w:val="nil"/>
              <w:right w:val="nil"/>
            </w:tcBorders>
            <w:shd w:val="clear" w:color="auto" w:fill="auto"/>
            <w:hideMark/>
          </w:tcPr>
          <w:p w14:paraId="4B580F6C" w14:textId="77777777" w:rsidR="00AB6753" w:rsidRDefault="00AB6753" w:rsidP="002D1EA4">
            <w:pPr>
              <w:spacing w:after="0" w:line="240" w:lineRule="auto"/>
              <w:jc w:val="center"/>
              <w:rPr>
                <w:sz w:val="20"/>
              </w:rPr>
            </w:pPr>
          </w:p>
        </w:tc>
        <w:tc>
          <w:tcPr>
            <w:tcW w:w="1260" w:type="dxa"/>
            <w:tcBorders>
              <w:top w:val="nil"/>
              <w:left w:val="nil"/>
              <w:bottom w:val="nil"/>
              <w:right w:val="nil"/>
            </w:tcBorders>
            <w:shd w:val="clear" w:color="auto" w:fill="auto"/>
            <w:noWrap/>
            <w:vAlign w:val="center"/>
            <w:hideMark/>
          </w:tcPr>
          <w:p w14:paraId="0C54884A" w14:textId="77777777" w:rsidR="00AB6753" w:rsidRDefault="00AB6753" w:rsidP="002D1EA4">
            <w:pPr>
              <w:spacing w:after="0" w:line="240" w:lineRule="auto"/>
              <w:rPr>
                <w:sz w:val="20"/>
              </w:rPr>
            </w:pPr>
          </w:p>
        </w:tc>
        <w:tc>
          <w:tcPr>
            <w:tcW w:w="1189" w:type="dxa"/>
            <w:tcBorders>
              <w:top w:val="nil"/>
              <w:left w:val="nil"/>
              <w:bottom w:val="nil"/>
              <w:right w:val="nil"/>
            </w:tcBorders>
            <w:shd w:val="clear" w:color="auto" w:fill="auto"/>
            <w:noWrap/>
            <w:vAlign w:val="center"/>
            <w:hideMark/>
          </w:tcPr>
          <w:p w14:paraId="21FD417F" w14:textId="77777777" w:rsidR="00AB6753" w:rsidRDefault="00AB6753" w:rsidP="002D1EA4">
            <w:pPr>
              <w:spacing w:after="0" w:line="240" w:lineRule="auto"/>
              <w:jc w:val="right"/>
              <w:rPr>
                <w:sz w:val="20"/>
              </w:rPr>
            </w:pPr>
          </w:p>
        </w:tc>
      </w:tr>
      <w:tr w:rsidR="00AB6753" w14:paraId="6A9E257E" w14:textId="77777777" w:rsidTr="002D1EA4">
        <w:trPr>
          <w:trHeight w:val="238"/>
        </w:trPr>
        <w:tc>
          <w:tcPr>
            <w:tcW w:w="4581" w:type="dxa"/>
            <w:tcBorders>
              <w:top w:val="nil"/>
              <w:left w:val="nil"/>
              <w:bottom w:val="nil"/>
              <w:right w:val="nil"/>
            </w:tcBorders>
            <w:shd w:val="clear" w:color="auto" w:fill="auto"/>
            <w:hideMark/>
          </w:tcPr>
          <w:p w14:paraId="56029105" w14:textId="77777777" w:rsidR="00AB6753" w:rsidRDefault="00AB6753" w:rsidP="002D1EA4">
            <w:pPr>
              <w:spacing w:after="0" w:line="240" w:lineRule="auto"/>
              <w:jc w:val="right"/>
              <w:rPr>
                <w:sz w:val="20"/>
              </w:rPr>
            </w:pPr>
          </w:p>
        </w:tc>
        <w:tc>
          <w:tcPr>
            <w:tcW w:w="912" w:type="dxa"/>
            <w:tcBorders>
              <w:top w:val="nil"/>
              <w:left w:val="nil"/>
              <w:bottom w:val="nil"/>
              <w:right w:val="nil"/>
            </w:tcBorders>
            <w:shd w:val="clear" w:color="auto" w:fill="auto"/>
            <w:hideMark/>
          </w:tcPr>
          <w:p w14:paraId="3B82605B" w14:textId="77777777" w:rsidR="00AB6753" w:rsidRDefault="00AB6753" w:rsidP="002D1EA4">
            <w:pPr>
              <w:spacing w:after="0" w:line="240" w:lineRule="auto"/>
              <w:rPr>
                <w:sz w:val="20"/>
              </w:rPr>
            </w:pPr>
          </w:p>
        </w:tc>
        <w:tc>
          <w:tcPr>
            <w:tcW w:w="6316" w:type="dxa"/>
            <w:tcBorders>
              <w:top w:val="nil"/>
              <w:left w:val="nil"/>
              <w:bottom w:val="nil"/>
              <w:right w:val="nil"/>
            </w:tcBorders>
            <w:shd w:val="clear" w:color="auto" w:fill="auto"/>
            <w:hideMark/>
          </w:tcPr>
          <w:p w14:paraId="13B76059" w14:textId="77777777" w:rsidR="00AB6753" w:rsidRDefault="00AB6753" w:rsidP="002D1EA4">
            <w:pPr>
              <w:spacing w:after="0" w:line="240" w:lineRule="auto"/>
              <w:jc w:val="center"/>
              <w:rPr>
                <w:sz w:val="20"/>
              </w:rPr>
            </w:pPr>
          </w:p>
        </w:tc>
        <w:tc>
          <w:tcPr>
            <w:tcW w:w="1260" w:type="dxa"/>
            <w:tcBorders>
              <w:top w:val="nil"/>
              <w:left w:val="nil"/>
              <w:bottom w:val="nil"/>
              <w:right w:val="nil"/>
            </w:tcBorders>
            <w:shd w:val="clear" w:color="auto" w:fill="auto"/>
            <w:noWrap/>
            <w:vAlign w:val="center"/>
            <w:hideMark/>
          </w:tcPr>
          <w:p w14:paraId="7CF7EF46" w14:textId="77777777" w:rsidR="00AB6753" w:rsidRDefault="00AB6753" w:rsidP="002D1EA4">
            <w:pPr>
              <w:spacing w:after="0" w:line="240" w:lineRule="auto"/>
              <w:rPr>
                <w:sz w:val="20"/>
              </w:rPr>
            </w:pPr>
          </w:p>
        </w:tc>
        <w:tc>
          <w:tcPr>
            <w:tcW w:w="1189" w:type="dxa"/>
            <w:tcBorders>
              <w:top w:val="nil"/>
              <w:left w:val="nil"/>
              <w:bottom w:val="nil"/>
              <w:right w:val="nil"/>
            </w:tcBorders>
            <w:shd w:val="clear" w:color="auto" w:fill="auto"/>
            <w:noWrap/>
            <w:vAlign w:val="center"/>
            <w:hideMark/>
          </w:tcPr>
          <w:p w14:paraId="4EA3526E" w14:textId="77777777" w:rsidR="00AB6753" w:rsidRDefault="00AB6753" w:rsidP="002D1EA4">
            <w:pPr>
              <w:spacing w:after="0" w:line="240" w:lineRule="auto"/>
              <w:jc w:val="right"/>
              <w:rPr>
                <w:sz w:val="20"/>
              </w:rPr>
            </w:pPr>
          </w:p>
        </w:tc>
      </w:tr>
      <w:tr w:rsidR="00AB6753" w14:paraId="7AC4BF00" w14:textId="77777777" w:rsidTr="002D1EA4">
        <w:trPr>
          <w:trHeight w:val="238"/>
        </w:trPr>
        <w:tc>
          <w:tcPr>
            <w:tcW w:w="4581" w:type="dxa"/>
            <w:tcBorders>
              <w:top w:val="nil"/>
              <w:left w:val="nil"/>
              <w:bottom w:val="nil"/>
              <w:right w:val="nil"/>
            </w:tcBorders>
            <w:shd w:val="clear" w:color="auto" w:fill="auto"/>
            <w:hideMark/>
          </w:tcPr>
          <w:p w14:paraId="50114351" w14:textId="77777777" w:rsidR="00AB6753" w:rsidRDefault="00AB6753" w:rsidP="002D1EA4">
            <w:pPr>
              <w:spacing w:after="0" w:line="240" w:lineRule="auto"/>
              <w:jc w:val="right"/>
              <w:rPr>
                <w:sz w:val="20"/>
              </w:rPr>
            </w:pPr>
          </w:p>
        </w:tc>
        <w:tc>
          <w:tcPr>
            <w:tcW w:w="912" w:type="dxa"/>
            <w:tcBorders>
              <w:top w:val="nil"/>
              <w:left w:val="nil"/>
              <w:bottom w:val="nil"/>
              <w:right w:val="nil"/>
            </w:tcBorders>
            <w:shd w:val="clear" w:color="auto" w:fill="auto"/>
            <w:hideMark/>
          </w:tcPr>
          <w:p w14:paraId="41504D86" w14:textId="77777777" w:rsidR="00AB6753" w:rsidRDefault="00AB6753" w:rsidP="002D1EA4">
            <w:pPr>
              <w:spacing w:after="0" w:line="240" w:lineRule="auto"/>
              <w:rPr>
                <w:sz w:val="20"/>
              </w:rPr>
            </w:pPr>
          </w:p>
        </w:tc>
        <w:tc>
          <w:tcPr>
            <w:tcW w:w="6316" w:type="dxa"/>
            <w:tcBorders>
              <w:top w:val="nil"/>
              <w:left w:val="nil"/>
              <w:bottom w:val="nil"/>
              <w:right w:val="nil"/>
            </w:tcBorders>
            <w:shd w:val="clear" w:color="auto" w:fill="auto"/>
            <w:hideMark/>
          </w:tcPr>
          <w:p w14:paraId="40BAD204" w14:textId="77777777" w:rsidR="00AB6753" w:rsidRDefault="00AB6753" w:rsidP="002D1EA4">
            <w:pPr>
              <w:spacing w:after="0" w:line="240" w:lineRule="auto"/>
              <w:jc w:val="center"/>
              <w:rPr>
                <w:sz w:val="20"/>
              </w:rPr>
            </w:pPr>
          </w:p>
        </w:tc>
        <w:tc>
          <w:tcPr>
            <w:tcW w:w="1260" w:type="dxa"/>
            <w:tcBorders>
              <w:top w:val="nil"/>
              <w:left w:val="nil"/>
              <w:bottom w:val="nil"/>
              <w:right w:val="nil"/>
            </w:tcBorders>
            <w:shd w:val="clear" w:color="auto" w:fill="auto"/>
            <w:noWrap/>
            <w:vAlign w:val="center"/>
            <w:hideMark/>
          </w:tcPr>
          <w:p w14:paraId="5A17B01A" w14:textId="77777777" w:rsidR="00AB6753" w:rsidRDefault="00AB6753" w:rsidP="002D1EA4">
            <w:pPr>
              <w:spacing w:after="0" w:line="240" w:lineRule="auto"/>
              <w:rPr>
                <w:sz w:val="20"/>
              </w:rPr>
            </w:pPr>
          </w:p>
        </w:tc>
        <w:tc>
          <w:tcPr>
            <w:tcW w:w="1189" w:type="dxa"/>
            <w:tcBorders>
              <w:top w:val="nil"/>
              <w:left w:val="nil"/>
              <w:bottom w:val="nil"/>
              <w:right w:val="nil"/>
            </w:tcBorders>
            <w:shd w:val="clear" w:color="auto" w:fill="auto"/>
            <w:noWrap/>
            <w:vAlign w:val="center"/>
            <w:hideMark/>
          </w:tcPr>
          <w:p w14:paraId="59CBCEAE" w14:textId="77777777" w:rsidR="00AB6753" w:rsidRDefault="00AB6753" w:rsidP="002D1EA4">
            <w:pPr>
              <w:spacing w:after="0" w:line="240" w:lineRule="auto"/>
              <w:jc w:val="right"/>
              <w:rPr>
                <w:sz w:val="20"/>
              </w:rPr>
            </w:pPr>
          </w:p>
        </w:tc>
      </w:tr>
      <w:tr w:rsidR="00AB6753" w14:paraId="46579479" w14:textId="77777777" w:rsidTr="002D1EA4">
        <w:trPr>
          <w:trHeight w:val="238"/>
        </w:trPr>
        <w:tc>
          <w:tcPr>
            <w:tcW w:w="4581" w:type="dxa"/>
            <w:tcBorders>
              <w:top w:val="nil"/>
              <w:left w:val="nil"/>
              <w:bottom w:val="nil"/>
              <w:right w:val="nil"/>
            </w:tcBorders>
            <w:shd w:val="clear" w:color="auto" w:fill="auto"/>
            <w:hideMark/>
          </w:tcPr>
          <w:p w14:paraId="68E06260" w14:textId="77777777" w:rsidR="00AB6753" w:rsidRDefault="00AB6753" w:rsidP="002D1EA4">
            <w:pPr>
              <w:spacing w:after="0" w:line="240" w:lineRule="auto"/>
              <w:jc w:val="right"/>
              <w:rPr>
                <w:sz w:val="20"/>
              </w:rPr>
            </w:pPr>
          </w:p>
        </w:tc>
        <w:tc>
          <w:tcPr>
            <w:tcW w:w="912" w:type="dxa"/>
            <w:tcBorders>
              <w:top w:val="nil"/>
              <w:left w:val="nil"/>
              <w:bottom w:val="nil"/>
              <w:right w:val="nil"/>
            </w:tcBorders>
            <w:shd w:val="clear" w:color="auto" w:fill="auto"/>
            <w:hideMark/>
          </w:tcPr>
          <w:p w14:paraId="032AF4FD" w14:textId="77777777" w:rsidR="00AB6753" w:rsidRDefault="00AB6753" w:rsidP="002D1EA4">
            <w:pPr>
              <w:spacing w:after="0" w:line="240" w:lineRule="auto"/>
              <w:rPr>
                <w:sz w:val="20"/>
              </w:rPr>
            </w:pPr>
          </w:p>
        </w:tc>
        <w:tc>
          <w:tcPr>
            <w:tcW w:w="6316" w:type="dxa"/>
            <w:tcBorders>
              <w:top w:val="nil"/>
              <w:left w:val="nil"/>
              <w:bottom w:val="nil"/>
              <w:right w:val="nil"/>
            </w:tcBorders>
            <w:shd w:val="clear" w:color="auto" w:fill="auto"/>
            <w:hideMark/>
          </w:tcPr>
          <w:p w14:paraId="220547E8" w14:textId="77777777" w:rsidR="00AB6753" w:rsidRDefault="00AB6753" w:rsidP="002D1EA4">
            <w:pPr>
              <w:spacing w:after="0" w:line="240" w:lineRule="auto"/>
              <w:jc w:val="center"/>
              <w:rPr>
                <w:sz w:val="20"/>
              </w:rPr>
            </w:pPr>
          </w:p>
        </w:tc>
        <w:tc>
          <w:tcPr>
            <w:tcW w:w="1260" w:type="dxa"/>
            <w:tcBorders>
              <w:top w:val="nil"/>
              <w:left w:val="nil"/>
              <w:bottom w:val="nil"/>
              <w:right w:val="nil"/>
            </w:tcBorders>
            <w:shd w:val="clear" w:color="auto" w:fill="auto"/>
            <w:noWrap/>
            <w:vAlign w:val="center"/>
            <w:hideMark/>
          </w:tcPr>
          <w:p w14:paraId="3FA45963" w14:textId="77777777" w:rsidR="00AB6753" w:rsidRDefault="00AB6753" w:rsidP="002D1EA4">
            <w:pPr>
              <w:spacing w:after="0" w:line="240" w:lineRule="auto"/>
              <w:rPr>
                <w:sz w:val="20"/>
              </w:rPr>
            </w:pPr>
          </w:p>
        </w:tc>
        <w:tc>
          <w:tcPr>
            <w:tcW w:w="1189" w:type="dxa"/>
            <w:tcBorders>
              <w:top w:val="nil"/>
              <w:left w:val="nil"/>
              <w:bottom w:val="nil"/>
              <w:right w:val="nil"/>
            </w:tcBorders>
            <w:shd w:val="clear" w:color="auto" w:fill="auto"/>
            <w:noWrap/>
            <w:vAlign w:val="center"/>
            <w:hideMark/>
          </w:tcPr>
          <w:p w14:paraId="1F060E19" w14:textId="77777777" w:rsidR="00AB6753" w:rsidRDefault="00AB6753" w:rsidP="002D1EA4">
            <w:pPr>
              <w:spacing w:after="0" w:line="240" w:lineRule="auto"/>
              <w:jc w:val="right"/>
              <w:rPr>
                <w:sz w:val="20"/>
              </w:rPr>
            </w:pPr>
          </w:p>
        </w:tc>
      </w:tr>
      <w:tr w:rsidR="00AB6753" w14:paraId="5BCD1CC4" w14:textId="77777777" w:rsidTr="002D1EA4">
        <w:trPr>
          <w:trHeight w:val="238"/>
        </w:trPr>
        <w:tc>
          <w:tcPr>
            <w:tcW w:w="14258" w:type="dxa"/>
            <w:gridSpan w:val="5"/>
            <w:tcBorders>
              <w:top w:val="nil"/>
              <w:left w:val="nil"/>
              <w:bottom w:val="nil"/>
              <w:right w:val="nil"/>
            </w:tcBorders>
            <w:shd w:val="clear" w:color="FFFFFF" w:fill="D9D9D9"/>
            <w:noWrap/>
            <w:vAlign w:val="bottom"/>
            <w:hideMark/>
          </w:tcPr>
          <w:p w14:paraId="28E7B30F" w14:textId="77777777" w:rsidR="00AB6753" w:rsidRDefault="00AB6753" w:rsidP="002D1EA4">
            <w:pPr>
              <w:spacing w:after="0" w:line="240" w:lineRule="auto"/>
              <w:rPr>
                <w:rFonts w:cs="Arial"/>
                <w:b/>
                <w:bCs/>
                <w:sz w:val="20"/>
              </w:rPr>
            </w:pPr>
            <w:r>
              <w:rPr>
                <w:rFonts w:cs="Arial"/>
                <w:b/>
                <w:bCs/>
                <w:sz w:val="20"/>
              </w:rPr>
              <w:lastRenderedPageBreak/>
              <w:t>5.1.  Appropriations (continued)</w:t>
            </w:r>
          </w:p>
        </w:tc>
      </w:tr>
      <w:tr w:rsidR="00AB6753" w14:paraId="72BA0836" w14:textId="77777777" w:rsidTr="002D1EA4">
        <w:trPr>
          <w:trHeight w:val="238"/>
        </w:trPr>
        <w:tc>
          <w:tcPr>
            <w:tcW w:w="4581" w:type="dxa"/>
            <w:tcBorders>
              <w:top w:val="nil"/>
              <w:left w:val="nil"/>
              <w:bottom w:val="nil"/>
              <w:right w:val="nil"/>
            </w:tcBorders>
            <w:shd w:val="clear" w:color="000000" w:fill="D9D9D9"/>
            <w:hideMark/>
          </w:tcPr>
          <w:p w14:paraId="66D56EA2" w14:textId="77777777" w:rsidR="00AB6753" w:rsidRDefault="00AB6753" w:rsidP="002D1EA4">
            <w:pPr>
              <w:spacing w:after="0" w:line="240" w:lineRule="auto"/>
              <w:rPr>
                <w:rFonts w:cs="Arial"/>
                <w:i/>
                <w:iCs/>
                <w:sz w:val="16"/>
                <w:szCs w:val="16"/>
              </w:rPr>
            </w:pPr>
            <w:r>
              <w:rPr>
                <w:rFonts w:cs="Arial"/>
                <w:i/>
                <w:iCs/>
                <w:sz w:val="16"/>
                <w:szCs w:val="16"/>
              </w:rPr>
              <w:t> </w:t>
            </w:r>
          </w:p>
        </w:tc>
        <w:tc>
          <w:tcPr>
            <w:tcW w:w="912" w:type="dxa"/>
            <w:tcBorders>
              <w:top w:val="nil"/>
              <w:left w:val="nil"/>
              <w:bottom w:val="nil"/>
              <w:right w:val="nil"/>
            </w:tcBorders>
            <w:shd w:val="clear" w:color="000000" w:fill="D9D9D9"/>
            <w:hideMark/>
          </w:tcPr>
          <w:p w14:paraId="2502181E" w14:textId="77777777" w:rsidR="00AB6753" w:rsidRDefault="00AB6753" w:rsidP="002D1EA4">
            <w:pPr>
              <w:spacing w:after="0" w:line="240" w:lineRule="auto"/>
              <w:jc w:val="center"/>
              <w:rPr>
                <w:rFonts w:cs="Arial"/>
                <w:sz w:val="16"/>
                <w:szCs w:val="16"/>
              </w:rPr>
            </w:pPr>
            <w:r>
              <w:rPr>
                <w:rFonts w:cs="Arial"/>
                <w:sz w:val="16"/>
                <w:szCs w:val="16"/>
              </w:rPr>
              <w:t> </w:t>
            </w:r>
          </w:p>
        </w:tc>
        <w:tc>
          <w:tcPr>
            <w:tcW w:w="6316" w:type="dxa"/>
            <w:tcBorders>
              <w:top w:val="nil"/>
              <w:left w:val="nil"/>
              <w:bottom w:val="nil"/>
              <w:right w:val="nil"/>
            </w:tcBorders>
            <w:shd w:val="clear" w:color="000000" w:fill="D9D9D9"/>
            <w:hideMark/>
          </w:tcPr>
          <w:p w14:paraId="5C63F384" w14:textId="77777777" w:rsidR="00AB6753" w:rsidRDefault="00AB6753" w:rsidP="002D1EA4">
            <w:pPr>
              <w:spacing w:after="0" w:line="240" w:lineRule="auto"/>
              <w:rPr>
                <w:rFonts w:cs="Arial"/>
                <w:sz w:val="16"/>
                <w:szCs w:val="16"/>
              </w:rPr>
            </w:pPr>
            <w:r>
              <w:rPr>
                <w:rFonts w:cs="Arial"/>
                <w:sz w:val="16"/>
                <w:szCs w:val="16"/>
              </w:rPr>
              <w:t> </w:t>
            </w:r>
          </w:p>
        </w:tc>
        <w:tc>
          <w:tcPr>
            <w:tcW w:w="1260" w:type="dxa"/>
            <w:tcBorders>
              <w:top w:val="nil"/>
              <w:left w:val="nil"/>
              <w:bottom w:val="nil"/>
              <w:right w:val="nil"/>
            </w:tcBorders>
            <w:shd w:val="clear" w:color="000000" w:fill="D9D9D9"/>
            <w:noWrap/>
            <w:vAlign w:val="center"/>
            <w:hideMark/>
          </w:tcPr>
          <w:p w14:paraId="0181E6C6" w14:textId="77777777" w:rsidR="00AB6753" w:rsidRDefault="00AB6753" w:rsidP="002D1EA4">
            <w:pPr>
              <w:spacing w:after="0" w:line="240" w:lineRule="auto"/>
              <w:jc w:val="right"/>
              <w:rPr>
                <w:rFonts w:cs="Arial"/>
                <w:b/>
                <w:bCs/>
                <w:sz w:val="16"/>
                <w:szCs w:val="16"/>
              </w:rPr>
            </w:pPr>
            <w:r>
              <w:rPr>
                <w:rFonts w:cs="Arial"/>
                <w:b/>
                <w:bCs/>
                <w:sz w:val="16"/>
                <w:szCs w:val="16"/>
              </w:rPr>
              <w:t> </w:t>
            </w:r>
          </w:p>
        </w:tc>
        <w:tc>
          <w:tcPr>
            <w:tcW w:w="1189" w:type="dxa"/>
            <w:tcBorders>
              <w:top w:val="nil"/>
              <w:left w:val="nil"/>
              <w:bottom w:val="nil"/>
              <w:right w:val="nil"/>
            </w:tcBorders>
            <w:shd w:val="clear" w:color="000000" w:fill="D9D9D9"/>
            <w:noWrap/>
            <w:vAlign w:val="center"/>
            <w:hideMark/>
          </w:tcPr>
          <w:p w14:paraId="6F7EE8E8" w14:textId="77777777" w:rsidR="00AB6753" w:rsidRDefault="00AB6753" w:rsidP="002D1EA4">
            <w:pPr>
              <w:spacing w:after="0" w:line="240" w:lineRule="auto"/>
              <w:jc w:val="right"/>
              <w:rPr>
                <w:rFonts w:cs="Arial"/>
                <w:sz w:val="16"/>
                <w:szCs w:val="16"/>
              </w:rPr>
            </w:pPr>
            <w:r>
              <w:rPr>
                <w:rFonts w:cs="Arial"/>
                <w:sz w:val="16"/>
                <w:szCs w:val="16"/>
              </w:rPr>
              <w:t> </w:t>
            </w:r>
          </w:p>
        </w:tc>
      </w:tr>
      <w:tr w:rsidR="00AB6753" w14:paraId="75B0FE9F" w14:textId="77777777" w:rsidTr="002D1EA4">
        <w:trPr>
          <w:trHeight w:val="238"/>
        </w:trPr>
        <w:tc>
          <w:tcPr>
            <w:tcW w:w="14258" w:type="dxa"/>
            <w:gridSpan w:val="5"/>
            <w:tcBorders>
              <w:top w:val="nil"/>
              <w:left w:val="nil"/>
              <w:bottom w:val="nil"/>
              <w:right w:val="nil"/>
            </w:tcBorders>
            <w:shd w:val="clear" w:color="FFFFFF" w:fill="D9D9D9"/>
            <w:noWrap/>
            <w:vAlign w:val="bottom"/>
            <w:hideMark/>
          </w:tcPr>
          <w:p w14:paraId="65D9F5A1" w14:textId="77777777" w:rsidR="00AB6753" w:rsidRDefault="00AB6753" w:rsidP="002D1EA4">
            <w:pPr>
              <w:spacing w:after="0" w:line="240" w:lineRule="auto"/>
              <w:rPr>
                <w:rFonts w:cs="Arial"/>
                <w:b/>
                <w:bCs/>
                <w:sz w:val="18"/>
                <w:szCs w:val="18"/>
                <w:u w:val="single"/>
              </w:rPr>
            </w:pPr>
            <w:r>
              <w:rPr>
                <w:rFonts w:cs="Arial"/>
                <w:b/>
                <w:bCs/>
                <w:sz w:val="18"/>
                <w:szCs w:val="18"/>
                <w:u w:val="single"/>
              </w:rPr>
              <w:t>Note 5.1C: Special Appropriations ('Recoverable GST exclusive') (continued)</w:t>
            </w:r>
          </w:p>
        </w:tc>
      </w:tr>
      <w:tr w:rsidR="00AB6753" w14:paraId="31390148" w14:textId="77777777" w:rsidTr="002D1EA4">
        <w:trPr>
          <w:trHeight w:val="238"/>
        </w:trPr>
        <w:tc>
          <w:tcPr>
            <w:tcW w:w="4581" w:type="dxa"/>
            <w:tcBorders>
              <w:top w:val="nil"/>
              <w:left w:val="nil"/>
              <w:bottom w:val="nil"/>
              <w:right w:val="nil"/>
            </w:tcBorders>
            <w:shd w:val="clear" w:color="FFFFFF" w:fill="D9D9D9"/>
            <w:noWrap/>
            <w:vAlign w:val="bottom"/>
            <w:hideMark/>
          </w:tcPr>
          <w:p w14:paraId="22251180" w14:textId="77777777" w:rsidR="00AB6753" w:rsidRDefault="00AB6753" w:rsidP="002D1EA4">
            <w:pPr>
              <w:spacing w:after="0" w:line="240" w:lineRule="auto"/>
              <w:rPr>
                <w:rFonts w:cs="Arial"/>
                <w:b/>
                <w:bCs/>
                <w:sz w:val="18"/>
                <w:szCs w:val="18"/>
              </w:rPr>
            </w:pPr>
            <w:r>
              <w:rPr>
                <w:rFonts w:cs="Arial"/>
                <w:b/>
                <w:bCs/>
                <w:sz w:val="18"/>
                <w:szCs w:val="18"/>
              </w:rPr>
              <w:t> </w:t>
            </w:r>
          </w:p>
        </w:tc>
        <w:tc>
          <w:tcPr>
            <w:tcW w:w="912" w:type="dxa"/>
            <w:tcBorders>
              <w:top w:val="nil"/>
              <w:left w:val="nil"/>
              <w:bottom w:val="nil"/>
              <w:right w:val="nil"/>
            </w:tcBorders>
            <w:shd w:val="clear" w:color="FFFFFF" w:fill="D9D9D9"/>
            <w:noWrap/>
            <w:vAlign w:val="bottom"/>
            <w:hideMark/>
          </w:tcPr>
          <w:p w14:paraId="031D192C" w14:textId="77777777" w:rsidR="00AB6753" w:rsidRDefault="00AB6753" w:rsidP="002D1EA4">
            <w:pPr>
              <w:spacing w:after="0" w:line="240" w:lineRule="auto"/>
              <w:jc w:val="center"/>
              <w:rPr>
                <w:rFonts w:cs="Arial"/>
                <w:b/>
                <w:bCs/>
                <w:sz w:val="18"/>
                <w:szCs w:val="18"/>
              </w:rPr>
            </w:pPr>
            <w:r>
              <w:rPr>
                <w:rFonts w:cs="Arial"/>
                <w:b/>
                <w:bCs/>
                <w:sz w:val="18"/>
                <w:szCs w:val="18"/>
              </w:rPr>
              <w:t> </w:t>
            </w:r>
          </w:p>
        </w:tc>
        <w:tc>
          <w:tcPr>
            <w:tcW w:w="6316" w:type="dxa"/>
            <w:tcBorders>
              <w:top w:val="nil"/>
              <w:left w:val="nil"/>
              <w:bottom w:val="nil"/>
              <w:right w:val="nil"/>
            </w:tcBorders>
            <w:shd w:val="clear" w:color="FFFFFF" w:fill="D9D9D9"/>
            <w:noWrap/>
            <w:vAlign w:val="bottom"/>
            <w:hideMark/>
          </w:tcPr>
          <w:p w14:paraId="0E5B4CE8" w14:textId="77777777" w:rsidR="00AB6753" w:rsidRDefault="00AB6753" w:rsidP="002D1EA4">
            <w:pPr>
              <w:spacing w:after="0" w:line="240" w:lineRule="auto"/>
              <w:rPr>
                <w:rFonts w:cs="Arial"/>
                <w:b/>
                <w:bCs/>
                <w:sz w:val="18"/>
                <w:szCs w:val="18"/>
              </w:rPr>
            </w:pPr>
            <w:r>
              <w:rPr>
                <w:rFonts w:cs="Arial"/>
                <w:b/>
                <w:bCs/>
                <w:sz w:val="18"/>
                <w:szCs w:val="18"/>
              </w:rPr>
              <w:t> </w:t>
            </w:r>
          </w:p>
        </w:tc>
        <w:tc>
          <w:tcPr>
            <w:tcW w:w="1260" w:type="dxa"/>
            <w:tcBorders>
              <w:top w:val="nil"/>
              <w:left w:val="nil"/>
              <w:bottom w:val="nil"/>
              <w:right w:val="nil"/>
            </w:tcBorders>
            <w:shd w:val="clear" w:color="FFFFFF" w:fill="D9D9D9"/>
            <w:noWrap/>
            <w:vAlign w:val="bottom"/>
            <w:hideMark/>
          </w:tcPr>
          <w:p w14:paraId="5FA2224B" w14:textId="77777777" w:rsidR="00AB6753" w:rsidRDefault="00AB6753" w:rsidP="002D1EA4">
            <w:pPr>
              <w:spacing w:after="0" w:line="240" w:lineRule="auto"/>
              <w:rPr>
                <w:rFonts w:cs="Arial"/>
                <w:b/>
                <w:bCs/>
                <w:sz w:val="18"/>
                <w:szCs w:val="18"/>
              </w:rPr>
            </w:pPr>
            <w:r>
              <w:rPr>
                <w:rFonts w:cs="Arial"/>
                <w:b/>
                <w:bCs/>
                <w:sz w:val="18"/>
                <w:szCs w:val="18"/>
              </w:rPr>
              <w:t> </w:t>
            </w:r>
          </w:p>
        </w:tc>
        <w:tc>
          <w:tcPr>
            <w:tcW w:w="1189" w:type="dxa"/>
            <w:tcBorders>
              <w:top w:val="nil"/>
              <w:left w:val="nil"/>
              <w:bottom w:val="nil"/>
              <w:right w:val="nil"/>
            </w:tcBorders>
            <w:shd w:val="clear" w:color="FFFFFF" w:fill="D9D9D9"/>
            <w:noWrap/>
            <w:vAlign w:val="bottom"/>
            <w:hideMark/>
          </w:tcPr>
          <w:p w14:paraId="6A0A890F" w14:textId="77777777" w:rsidR="00AB6753" w:rsidRDefault="00AB6753" w:rsidP="002D1EA4">
            <w:pPr>
              <w:spacing w:after="0" w:line="240" w:lineRule="auto"/>
              <w:rPr>
                <w:rFonts w:cs="Arial"/>
                <w:b/>
                <w:bCs/>
                <w:sz w:val="18"/>
                <w:szCs w:val="18"/>
              </w:rPr>
            </w:pPr>
            <w:r>
              <w:rPr>
                <w:rFonts w:cs="Arial"/>
                <w:b/>
                <w:bCs/>
                <w:sz w:val="18"/>
                <w:szCs w:val="18"/>
              </w:rPr>
              <w:t> </w:t>
            </w:r>
          </w:p>
        </w:tc>
      </w:tr>
      <w:tr w:rsidR="00AB6753" w14:paraId="251B04C5" w14:textId="77777777" w:rsidTr="002D1EA4">
        <w:trPr>
          <w:trHeight w:val="238"/>
        </w:trPr>
        <w:tc>
          <w:tcPr>
            <w:tcW w:w="4581" w:type="dxa"/>
            <w:vMerge w:val="restart"/>
            <w:tcBorders>
              <w:top w:val="single" w:sz="4" w:space="0" w:color="auto"/>
              <w:left w:val="nil"/>
              <w:bottom w:val="single" w:sz="4" w:space="0" w:color="auto"/>
              <w:right w:val="nil"/>
            </w:tcBorders>
            <w:shd w:val="clear" w:color="000000" w:fill="D9D9D9"/>
            <w:vAlign w:val="bottom"/>
            <w:hideMark/>
          </w:tcPr>
          <w:p w14:paraId="72F2F228" w14:textId="77777777" w:rsidR="00AB6753" w:rsidRDefault="00AB6753" w:rsidP="002D1EA4">
            <w:pPr>
              <w:spacing w:after="0" w:line="240" w:lineRule="auto"/>
              <w:rPr>
                <w:rFonts w:cs="Arial"/>
                <w:b/>
                <w:bCs/>
                <w:sz w:val="16"/>
                <w:szCs w:val="16"/>
              </w:rPr>
            </w:pPr>
            <w:r>
              <w:rPr>
                <w:rFonts w:cs="Arial"/>
                <w:b/>
                <w:bCs/>
                <w:sz w:val="16"/>
                <w:szCs w:val="16"/>
              </w:rPr>
              <w:t>Authority</w:t>
            </w:r>
          </w:p>
        </w:tc>
        <w:tc>
          <w:tcPr>
            <w:tcW w:w="912" w:type="dxa"/>
            <w:vMerge w:val="restart"/>
            <w:tcBorders>
              <w:top w:val="single" w:sz="4" w:space="0" w:color="auto"/>
              <w:left w:val="nil"/>
              <w:bottom w:val="single" w:sz="4" w:space="0" w:color="auto"/>
              <w:right w:val="nil"/>
            </w:tcBorders>
            <w:shd w:val="clear" w:color="000000" w:fill="D9D9D9"/>
            <w:vAlign w:val="bottom"/>
            <w:hideMark/>
          </w:tcPr>
          <w:p w14:paraId="6D40E1EA" w14:textId="77777777" w:rsidR="00AB6753" w:rsidRDefault="00AB6753" w:rsidP="002D1EA4">
            <w:pPr>
              <w:spacing w:after="0" w:line="240" w:lineRule="auto"/>
              <w:jc w:val="center"/>
              <w:rPr>
                <w:rFonts w:cs="Arial"/>
                <w:b/>
                <w:bCs/>
                <w:sz w:val="16"/>
                <w:szCs w:val="16"/>
              </w:rPr>
            </w:pPr>
            <w:r>
              <w:rPr>
                <w:rFonts w:cs="Arial"/>
                <w:b/>
                <w:bCs/>
                <w:sz w:val="16"/>
                <w:szCs w:val="16"/>
              </w:rPr>
              <w:t>Type</w:t>
            </w:r>
          </w:p>
        </w:tc>
        <w:tc>
          <w:tcPr>
            <w:tcW w:w="6316" w:type="dxa"/>
            <w:vMerge w:val="restart"/>
            <w:tcBorders>
              <w:top w:val="single" w:sz="4" w:space="0" w:color="auto"/>
              <w:left w:val="nil"/>
              <w:bottom w:val="single" w:sz="4" w:space="0" w:color="auto"/>
              <w:right w:val="nil"/>
            </w:tcBorders>
            <w:shd w:val="clear" w:color="000000" w:fill="D9D9D9"/>
            <w:vAlign w:val="bottom"/>
            <w:hideMark/>
          </w:tcPr>
          <w:p w14:paraId="6D27B1BC" w14:textId="77777777" w:rsidR="00AB6753" w:rsidRDefault="00AB6753" w:rsidP="002D1EA4">
            <w:pPr>
              <w:spacing w:after="0" w:line="240" w:lineRule="auto"/>
              <w:rPr>
                <w:rFonts w:cs="Arial"/>
                <w:b/>
                <w:bCs/>
                <w:sz w:val="16"/>
                <w:szCs w:val="16"/>
              </w:rPr>
            </w:pPr>
            <w:r>
              <w:rPr>
                <w:rFonts w:cs="Arial"/>
                <w:b/>
                <w:bCs/>
                <w:sz w:val="16"/>
                <w:szCs w:val="16"/>
              </w:rPr>
              <w:t>Purpose</w:t>
            </w:r>
          </w:p>
        </w:tc>
        <w:tc>
          <w:tcPr>
            <w:tcW w:w="2449" w:type="dxa"/>
            <w:gridSpan w:val="2"/>
            <w:tcBorders>
              <w:top w:val="single" w:sz="4" w:space="0" w:color="auto"/>
              <w:left w:val="nil"/>
              <w:bottom w:val="nil"/>
              <w:right w:val="nil"/>
            </w:tcBorders>
            <w:shd w:val="clear" w:color="000000" w:fill="D9D9D9"/>
            <w:vAlign w:val="bottom"/>
            <w:hideMark/>
          </w:tcPr>
          <w:p w14:paraId="26DA7082" w14:textId="2977E772" w:rsidR="00AB6753" w:rsidRDefault="00AB6753" w:rsidP="002F776C">
            <w:pPr>
              <w:spacing w:after="0" w:line="240" w:lineRule="auto"/>
              <w:jc w:val="right"/>
              <w:rPr>
                <w:rFonts w:cs="Arial"/>
                <w:b/>
                <w:bCs/>
                <w:sz w:val="16"/>
                <w:szCs w:val="16"/>
              </w:rPr>
            </w:pPr>
            <w:r>
              <w:rPr>
                <w:rFonts w:cs="Arial"/>
                <w:b/>
                <w:bCs/>
                <w:sz w:val="16"/>
                <w:szCs w:val="16"/>
              </w:rPr>
              <w:t>Appropriation applied</w:t>
            </w:r>
          </w:p>
        </w:tc>
      </w:tr>
      <w:tr w:rsidR="00AB6753" w14:paraId="01165671" w14:textId="77777777" w:rsidTr="002D1EA4">
        <w:trPr>
          <w:trHeight w:val="238"/>
        </w:trPr>
        <w:tc>
          <w:tcPr>
            <w:tcW w:w="4581" w:type="dxa"/>
            <w:vMerge/>
            <w:tcBorders>
              <w:top w:val="single" w:sz="4" w:space="0" w:color="auto"/>
              <w:left w:val="nil"/>
              <w:bottom w:val="single" w:sz="4" w:space="0" w:color="auto"/>
              <w:right w:val="nil"/>
            </w:tcBorders>
            <w:vAlign w:val="center"/>
            <w:hideMark/>
          </w:tcPr>
          <w:p w14:paraId="1892AF5E" w14:textId="77777777" w:rsidR="00AB6753" w:rsidRDefault="00AB6753" w:rsidP="002D1EA4">
            <w:pPr>
              <w:spacing w:after="0" w:line="240" w:lineRule="auto"/>
              <w:rPr>
                <w:rFonts w:cs="Arial"/>
                <w:b/>
                <w:bCs/>
                <w:sz w:val="16"/>
                <w:szCs w:val="16"/>
              </w:rPr>
            </w:pPr>
          </w:p>
        </w:tc>
        <w:tc>
          <w:tcPr>
            <w:tcW w:w="912" w:type="dxa"/>
            <w:vMerge/>
            <w:tcBorders>
              <w:top w:val="single" w:sz="4" w:space="0" w:color="auto"/>
              <w:left w:val="nil"/>
              <w:bottom w:val="single" w:sz="4" w:space="0" w:color="auto"/>
              <w:right w:val="nil"/>
            </w:tcBorders>
            <w:vAlign w:val="center"/>
            <w:hideMark/>
          </w:tcPr>
          <w:p w14:paraId="4E5E6CA9" w14:textId="77777777" w:rsidR="00AB6753" w:rsidRDefault="00AB6753" w:rsidP="002D1EA4">
            <w:pPr>
              <w:spacing w:after="0" w:line="240" w:lineRule="auto"/>
              <w:rPr>
                <w:rFonts w:cs="Arial"/>
                <w:b/>
                <w:bCs/>
                <w:sz w:val="16"/>
                <w:szCs w:val="16"/>
              </w:rPr>
            </w:pPr>
          </w:p>
        </w:tc>
        <w:tc>
          <w:tcPr>
            <w:tcW w:w="6316" w:type="dxa"/>
            <w:vMerge/>
            <w:tcBorders>
              <w:top w:val="single" w:sz="4" w:space="0" w:color="auto"/>
              <w:left w:val="nil"/>
              <w:bottom w:val="single" w:sz="4" w:space="0" w:color="auto"/>
              <w:right w:val="nil"/>
            </w:tcBorders>
            <w:vAlign w:val="center"/>
            <w:hideMark/>
          </w:tcPr>
          <w:p w14:paraId="177B5C20" w14:textId="77777777" w:rsidR="00AB6753" w:rsidRDefault="00AB6753" w:rsidP="002D1EA4">
            <w:pPr>
              <w:spacing w:after="0" w:line="240" w:lineRule="auto"/>
              <w:rPr>
                <w:rFonts w:cs="Arial"/>
                <w:b/>
                <w:bCs/>
                <w:sz w:val="16"/>
                <w:szCs w:val="16"/>
              </w:rPr>
            </w:pPr>
          </w:p>
        </w:tc>
        <w:tc>
          <w:tcPr>
            <w:tcW w:w="1260" w:type="dxa"/>
            <w:tcBorders>
              <w:top w:val="nil"/>
              <w:left w:val="nil"/>
              <w:bottom w:val="nil"/>
              <w:right w:val="nil"/>
            </w:tcBorders>
            <w:shd w:val="clear" w:color="000000" w:fill="D9D9D9"/>
            <w:noWrap/>
            <w:vAlign w:val="bottom"/>
            <w:hideMark/>
          </w:tcPr>
          <w:p w14:paraId="7289EB19" w14:textId="77777777" w:rsidR="00AB6753" w:rsidRDefault="00AB6753" w:rsidP="002D1EA4">
            <w:pPr>
              <w:spacing w:after="0" w:line="240" w:lineRule="auto"/>
              <w:jc w:val="right"/>
              <w:rPr>
                <w:rFonts w:cs="Arial"/>
                <w:b/>
                <w:bCs/>
                <w:sz w:val="16"/>
                <w:szCs w:val="16"/>
              </w:rPr>
            </w:pPr>
            <w:r>
              <w:rPr>
                <w:rFonts w:cs="Arial"/>
                <w:b/>
                <w:bCs/>
                <w:sz w:val="16"/>
                <w:szCs w:val="16"/>
              </w:rPr>
              <w:t>2020</w:t>
            </w:r>
          </w:p>
        </w:tc>
        <w:tc>
          <w:tcPr>
            <w:tcW w:w="1189" w:type="dxa"/>
            <w:tcBorders>
              <w:top w:val="nil"/>
              <w:left w:val="nil"/>
              <w:bottom w:val="nil"/>
              <w:right w:val="nil"/>
            </w:tcBorders>
            <w:shd w:val="clear" w:color="000000" w:fill="D9D9D9"/>
            <w:noWrap/>
            <w:vAlign w:val="bottom"/>
            <w:hideMark/>
          </w:tcPr>
          <w:p w14:paraId="300D161E" w14:textId="77777777" w:rsidR="00AB6753" w:rsidRDefault="00AB6753" w:rsidP="002D1EA4">
            <w:pPr>
              <w:spacing w:after="0" w:line="240" w:lineRule="auto"/>
              <w:jc w:val="right"/>
              <w:rPr>
                <w:rFonts w:cs="Arial"/>
                <w:sz w:val="16"/>
                <w:szCs w:val="16"/>
              </w:rPr>
            </w:pPr>
            <w:r>
              <w:rPr>
                <w:rFonts w:cs="Arial"/>
                <w:sz w:val="16"/>
                <w:szCs w:val="16"/>
              </w:rPr>
              <w:t>2019</w:t>
            </w:r>
          </w:p>
        </w:tc>
      </w:tr>
      <w:tr w:rsidR="00AB6753" w14:paraId="25F4FF1C" w14:textId="77777777" w:rsidTr="002D1EA4">
        <w:trPr>
          <w:trHeight w:val="238"/>
        </w:trPr>
        <w:tc>
          <w:tcPr>
            <w:tcW w:w="4581" w:type="dxa"/>
            <w:vMerge/>
            <w:tcBorders>
              <w:top w:val="single" w:sz="4" w:space="0" w:color="auto"/>
              <w:left w:val="nil"/>
              <w:bottom w:val="single" w:sz="4" w:space="0" w:color="auto"/>
              <w:right w:val="nil"/>
            </w:tcBorders>
            <w:vAlign w:val="center"/>
            <w:hideMark/>
          </w:tcPr>
          <w:p w14:paraId="50FEE2D9" w14:textId="77777777" w:rsidR="00AB6753" w:rsidRDefault="00AB6753" w:rsidP="002D1EA4">
            <w:pPr>
              <w:spacing w:after="0" w:line="240" w:lineRule="auto"/>
              <w:rPr>
                <w:rFonts w:cs="Arial"/>
                <w:b/>
                <w:bCs/>
                <w:sz w:val="16"/>
                <w:szCs w:val="16"/>
              </w:rPr>
            </w:pPr>
          </w:p>
        </w:tc>
        <w:tc>
          <w:tcPr>
            <w:tcW w:w="912" w:type="dxa"/>
            <w:vMerge/>
            <w:tcBorders>
              <w:top w:val="single" w:sz="4" w:space="0" w:color="auto"/>
              <w:left w:val="nil"/>
              <w:bottom w:val="single" w:sz="4" w:space="0" w:color="auto"/>
              <w:right w:val="nil"/>
            </w:tcBorders>
            <w:vAlign w:val="center"/>
            <w:hideMark/>
          </w:tcPr>
          <w:p w14:paraId="5D5188B5" w14:textId="77777777" w:rsidR="00AB6753" w:rsidRDefault="00AB6753" w:rsidP="002D1EA4">
            <w:pPr>
              <w:spacing w:after="0" w:line="240" w:lineRule="auto"/>
              <w:rPr>
                <w:rFonts w:cs="Arial"/>
                <w:b/>
                <w:bCs/>
                <w:sz w:val="16"/>
                <w:szCs w:val="16"/>
              </w:rPr>
            </w:pPr>
          </w:p>
        </w:tc>
        <w:tc>
          <w:tcPr>
            <w:tcW w:w="6316" w:type="dxa"/>
            <w:vMerge/>
            <w:tcBorders>
              <w:top w:val="single" w:sz="4" w:space="0" w:color="auto"/>
              <w:left w:val="nil"/>
              <w:bottom w:val="single" w:sz="4" w:space="0" w:color="auto"/>
              <w:right w:val="nil"/>
            </w:tcBorders>
            <w:vAlign w:val="center"/>
            <w:hideMark/>
          </w:tcPr>
          <w:p w14:paraId="1BF65FF2" w14:textId="77777777" w:rsidR="00AB6753" w:rsidRDefault="00AB6753" w:rsidP="002D1EA4">
            <w:pPr>
              <w:spacing w:after="0" w:line="240" w:lineRule="auto"/>
              <w:rPr>
                <w:rFonts w:cs="Arial"/>
                <w:b/>
                <w:bCs/>
                <w:sz w:val="16"/>
                <w:szCs w:val="16"/>
              </w:rPr>
            </w:pPr>
          </w:p>
        </w:tc>
        <w:tc>
          <w:tcPr>
            <w:tcW w:w="1260" w:type="dxa"/>
            <w:tcBorders>
              <w:top w:val="nil"/>
              <w:left w:val="nil"/>
              <w:bottom w:val="single" w:sz="4" w:space="0" w:color="auto"/>
              <w:right w:val="nil"/>
            </w:tcBorders>
            <w:shd w:val="clear" w:color="000000" w:fill="D9D9D9"/>
            <w:noWrap/>
            <w:vAlign w:val="bottom"/>
            <w:hideMark/>
          </w:tcPr>
          <w:p w14:paraId="55CB98BC" w14:textId="77777777" w:rsidR="00AB6753" w:rsidRDefault="00AB6753" w:rsidP="002D1EA4">
            <w:pPr>
              <w:spacing w:after="0" w:line="240" w:lineRule="auto"/>
              <w:jc w:val="right"/>
              <w:rPr>
                <w:rFonts w:cs="Arial"/>
                <w:b/>
                <w:bCs/>
                <w:sz w:val="16"/>
                <w:szCs w:val="16"/>
              </w:rPr>
            </w:pPr>
            <w:r>
              <w:rPr>
                <w:rFonts w:cs="Arial"/>
                <w:b/>
                <w:bCs/>
                <w:sz w:val="16"/>
                <w:szCs w:val="16"/>
              </w:rPr>
              <w:t>$'000</w:t>
            </w:r>
          </w:p>
        </w:tc>
        <w:tc>
          <w:tcPr>
            <w:tcW w:w="1189" w:type="dxa"/>
            <w:tcBorders>
              <w:top w:val="nil"/>
              <w:left w:val="nil"/>
              <w:bottom w:val="single" w:sz="4" w:space="0" w:color="auto"/>
              <w:right w:val="nil"/>
            </w:tcBorders>
            <w:shd w:val="clear" w:color="000000" w:fill="D9D9D9"/>
            <w:noWrap/>
            <w:vAlign w:val="bottom"/>
            <w:hideMark/>
          </w:tcPr>
          <w:p w14:paraId="7EAF4B9F" w14:textId="77777777" w:rsidR="00AB6753" w:rsidRDefault="00AB6753" w:rsidP="002D1EA4">
            <w:pPr>
              <w:spacing w:after="0" w:line="240" w:lineRule="auto"/>
              <w:jc w:val="right"/>
              <w:rPr>
                <w:rFonts w:cs="Arial"/>
                <w:sz w:val="16"/>
                <w:szCs w:val="16"/>
              </w:rPr>
            </w:pPr>
            <w:r>
              <w:rPr>
                <w:rFonts w:cs="Arial"/>
                <w:sz w:val="16"/>
                <w:szCs w:val="16"/>
              </w:rPr>
              <w:t>$'000</w:t>
            </w:r>
          </w:p>
        </w:tc>
      </w:tr>
      <w:tr w:rsidR="00AB6753" w14:paraId="56CF2F3F" w14:textId="77777777" w:rsidTr="002D1EA4">
        <w:trPr>
          <w:trHeight w:val="238"/>
        </w:trPr>
        <w:tc>
          <w:tcPr>
            <w:tcW w:w="4581" w:type="dxa"/>
            <w:tcBorders>
              <w:top w:val="nil"/>
              <w:left w:val="nil"/>
              <w:bottom w:val="nil"/>
              <w:right w:val="nil"/>
            </w:tcBorders>
            <w:shd w:val="clear" w:color="000000" w:fill="D9D9D9"/>
            <w:vAlign w:val="center"/>
            <w:hideMark/>
          </w:tcPr>
          <w:p w14:paraId="42EBA1D3" w14:textId="77777777" w:rsidR="00AB6753" w:rsidRDefault="00AB6753" w:rsidP="002D1EA4">
            <w:pPr>
              <w:spacing w:after="0" w:line="240" w:lineRule="auto"/>
              <w:rPr>
                <w:rFonts w:cs="Arial"/>
                <w:i/>
                <w:iCs/>
                <w:sz w:val="16"/>
                <w:szCs w:val="16"/>
              </w:rPr>
            </w:pPr>
            <w:r>
              <w:rPr>
                <w:rFonts w:cs="Arial"/>
                <w:i/>
                <w:iCs/>
                <w:sz w:val="16"/>
                <w:szCs w:val="16"/>
              </w:rPr>
              <w:t> </w:t>
            </w:r>
          </w:p>
        </w:tc>
        <w:tc>
          <w:tcPr>
            <w:tcW w:w="912" w:type="dxa"/>
            <w:tcBorders>
              <w:top w:val="nil"/>
              <w:left w:val="nil"/>
              <w:bottom w:val="nil"/>
              <w:right w:val="nil"/>
            </w:tcBorders>
            <w:shd w:val="clear" w:color="000000" w:fill="D9D9D9"/>
            <w:vAlign w:val="center"/>
            <w:hideMark/>
          </w:tcPr>
          <w:p w14:paraId="64ABEE85" w14:textId="77777777" w:rsidR="00AB6753" w:rsidRDefault="00AB6753" w:rsidP="002D1EA4">
            <w:pPr>
              <w:spacing w:after="0" w:line="240" w:lineRule="auto"/>
              <w:jc w:val="center"/>
              <w:rPr>
                <w:rFonts w:cs="Arial"/>
                <w:sz w:val="16"/>
                <w:szCs w:val="16"/>
              </w:rPr>
            </w:pPr>
            <w:r>
              <w:rPr>
                <w:rFonts w:cs="Arial"/>
                <w:sz w:val="16"/>
                <w:szCs w:val="16"/>
              </w:rPr>
              <w:t> </w:t>
            </w:r>
          </w:p>
        </w:tc>
        <w:tc>
          <w:tcPr>
            <w:tcW w:w="6316" w:type="dxa"/>
            <w:tcBorders>
              <w:top w:val="nil"/>
              <w:left w:val="nil"/>
              <w:bottom w:val="nil"/>
              <w:right w:val="nil"/>
            </w:tcBorders>
            <w:shd w:val="clear" w:color="000000" w:fill="D9D9D9"/>
            <w:vAlign w:val="center"/>
            <w:hideMark/>
          </w:tcPr>
          <w:p w14:paraId="32EA6079" w14:textId="77777777" w:rsidR="00AB6753" w:rsidRDefault="00AB6753" w:rsidP="002D1EA4">
            <w:pPr>
              <w:spacing w:after="0" w:line="240" w:lineRule="auto"/>
              <w:rPr>
                <w:rFonts w:cs="Arial"/>
                <w:sz w:val="16"/>
                <w:szCs w:val="16"/>
              </w:rPr>
            </w:pPr>
            <w:r>
              <w:rPr>
                <w:rFonts w:cs="Arial"/>
                <w:sz w:val="16"/>
                <w:szCs w:val="16"/>
              </w:rPr>
              <w:t> </w:t>
            </w:r>
          </w:p>
        </w:tc>
        <w:tc>
          <w:tcPr>
            <w:tcW w:w="1260" w:type="dxa"/>
            <w:tcBorders>
              <w:top w:val="nil"/>
              <w:left w:val="nil"/>
              <w:bottom w:val="nil"/>
              <w:right w:val="nil"/>
            </w:tcBorders>
            <w:shd w:val="clear" w:color="000000" w:fill="D9D9D9"/>
            <w:noWrap/>
            <w:vAlign w:val="center"/>
            <w:hideMark/>
          </w:tcPr>
          <w:p w14:paraId="6483DAF8" w14:textId="77777777" w:rsidR="00AB6753" w:rsidRDefault="00AB6753" w:rsidP="002D1EA4">
            <w:pPr>
              <w:spacing w:after="0" w:line="240" w:lineRule="auto"/>
              <w:jc w:val="right"/>
              <w:rPr>
                <w:rFonts w:cs="Arial"/>
                <w:b/>
                <w:bCs/>
                <w:sz w:val="16"/>
                <w:szCs w:val="16"/>
              </w:rPr>
            </w:pPr>
            <w:r>
              <w:rPr>
                <w:rFonts w:cs="Arial"/>
                <w:b/>
                <w:bCs/>
                <w:sz w:val="16"/>
                <w:szCs w:val="16"/>
              </w:rPr>
              <w:t> </w:t>
            </w:r>
          </w:p>
        </w:tc>
        <w:tc>
          <w:tcPr>
            <w:tcW w:w="1189" w:type="dxa"/>
            <w:tcBorders>
              <w:top w:val="nil"/>
              <w:left w:val="nil"/>
              <w:bottom w:val="nil"/>
              <w:right w:val="nil"/>
            </w:tcBorders>
            <w:shd w:val="clear" w:color="000000" w:fill="D9D9D9"/>
            <w:noWrap/>
            <w:vAlign w:val="center"/>
            <w:hideMark/>
          </w:tcPr>
          <w:p w14:paraId="31745434" w14:textId="77777777" w:rsidR="00AB6753" w:rsidRDefault="00AB6753" w:rsidP="002D1EA4">
            <w:pPr>
              <w:spacing w:after="0" w:line="240" w:lineRule="auto"/>
              <w:jc w:val="right"/>
              <w:rPr>
                <w:rFonts w:cs="Arial"/>
                <w:sz w:val="16"/>
                <w:szCs w:val="16"/>
              </w:rPr>
            </w:pPr>
            <w:r>
              <w:rPr>
                <w:rFonts w:cs="Arial"/>
                <w:sz w:val="16"/>
                <w:szCs w:val="16"/>
              </w:rPr>
              <w:t> </w:t>
            </w:r>
          </w:p>
        </w:tc>
      </w:tr>
      <w:tr w:rsidR="00AB6753" w14:paraId="66A0A9D5" w14:textId="77777777" w:rsidTr="002D1EA4">
        <w:trPr>
          <w:trHeight w:val="238"/>
        </w:trPr>
        <w:tc>
          <w:tcPr>
            <w:tcW w:w="4581" w:type="dxa"/>
            <w:tcBorders>
              <w:top w:val="nil"/>
              <w:left w:val="nil"/>
              <w:bottom w:val="nil"/>
              <w:right w:val="nil"/>
            </w:tcBorders>
            <w:shd w:val="clear" w:color="000000" w:fill="D9D9D9"/>
            <w:vAlign w:val="center"/>
            <w:hideMark/>
          </w:tcPr>
          <w:p w14:paraId="6554745A" w14:textId="77777777" w:rsidR="00AB6753" w:rsidRDefault="00AB6753" w:rsidP="002D1EA4">
            <w:pPr>
              <w:spacing w:after="0" w:line="240" w:lineRule="auto"/>
              <w:rPr>
                <w:rFonts w:cs="Arial"/>
                <w:i/>
                <w:iCs/>
                <w:sz w:val="16"/>
                <w:szCs w:val="16"/>
              </w:rPr>
            </w:pPr>
            <w:r>
              <w:rPr>
                <w:rFonts w:cs="Arial"/>
                <w:i/>
                <w:iCs/>
                <w:sz w:val="16"/>
                <w:szCs w:val="16"/>
              </w:rPr>
              <w:t>Social Security and Veterans' Entitlements Legislation Amendment (One-off Payments to Increase Assistance for Older Australians and Carers and Other Measures) Act 2006</w:t>
            </w:r>
          </w:p>
        </w:tc>
        <w:tc>
          <w:tcPr>
            <w:tcW w:w="912" w:type="dxa"/>
            <w:tcBorders>
              <w:top w:val="nil"/>
              <w:left w:val="nil"/>
              <w:bottom w:val="nil"/>
              <w:right w:val="nil"/>
            </w:tcBorders>
            <w:shd w:val="clear" w:color="000000" w:fill="D9D9D9"/>
            <w:vAlign w:val="center"/>
            <w:hideMark/>
          </w:tcPr>
          <w:p w14:paraId="7400932F" w14:textId="77777777" w:rsidR="00AB6753" w:rsidRDefault="00AB6753" w:rsidP="002D1EA4">
            <w:pPr>
              <w:spacing w:after="0" w:line="240" w:lineRule="auto"/>
              <w:jc w:val="center"/>
              <w:rPr>
                <w:rFonts w:cs="Arial"/>
                <w:sz w:val="16"/>
                <w:szCs w:val="16"/>
              </w:rPr>
            </w:pPr>
            <w:r>
              <w:rPr>
                <w:rFonts w:cs="Arial"/>
                <w:sz w:val="16"/>
                <w:szCs w:val="16"/>
              </w:rPr>
              <w:t>Unlimited Amount</w:t>
            </w:r>
          </w:p>
        </w:tc>
        <w:tc>
          <w:tcPr>
            <w:tcW w:w="6316" w:type="dxa"/>
            <w:tcBorders>
              <w:top w:val="nil"/>
              <w:left w:val="nil"/>
              <w:bottom w:val="nil"/>
              <w:right w:val="nil"/>
            </w:tcBorders>
            <w:shd w:val="clear" w:color="000000" w:fill="D9D9D9"/>
            <w:vAlign w:val="center"/>
            <w:hideMark/>
          </w:tcPr>
          <w:p w14:paraId="551B60E4" w14:textId="77777777" w:rsidR="00AB6753" w:rsidRDefault="00AB6753" w:rsidP="002D1EA4">
            <w:pPr>
              <w:spacing w:after="0" w:line="240" w:lineRule="auto"/>
              <w:rPr>
                <w:rFonts w:cs="Arial"/>
                <w:sz w:val="16"/>
                <w:szCs w:val="16"/>
              </w:rPr>
            </w:pPr>
            <w:r>
              <w:rPr>
                <w:rFonts w:cs="Arial"/>
                <w:sz w:val="16"/>
                <w:szCs w:val="16"/>
              </w:rPr>
              <w:t xml:space="preserve">An Act to amend the law relating to social security and veterans’ affairs, and for other purposes. </w:t>
            </w:r>
          </w:p>
        </w:tc>
        <w:tc>
          <w:tcPr>
            <w:tcW w:w="1260" w:type="dxa"/>
            <w:tcBorders>
              <w:top w:val="nil"/>
              <w:left w:val="nil"/>
              <w:bottom w:val="nil"/>
              <w:right w:val="nil"/>
            </w:tcBorders>
            <w:shd w:val="clear" w:color="000000" w:fill="D9D9D9"/>
            <w:noWrap/>
            <w:vAlign w:val="center"/>
            <w:hideMark/>
          </w:tcPr>
          <w:p w14:paraId="1660FD8C" w14:textId="77777777" w:rsidR="00AB6753" w:rsidRDefault="00AB6753" w:rsidP="002D1EA4">
            <w:pPr>
              <w:spacing w:after="0" w:line="240" w:lineRule="auto"/>
              <w:jc w:val="right"/>
              <w:rPr>
                <w:rFonts w:cs="Arial"/>
                <w:b/>
                <w:bCs/>
                <w:sz w:val="16"/>
                <w:szCs w:val="16"/>
              </w:rPr>
            </w:pPr>
            <w:r>
              <w:rPr>
                <w:rFonts w:cs="Arial"/>
                <w:b/>
                <w:bCs/>
                <w:sz w:val="16"/>
                <w:szCs w:val="16"/>
              </w:rPr>
              <w:t xml:space="preserve"> -</w:t>
            </w:r>
          </w:p>
        </w:tc>
        <w:tc>
          <w:tcPr>
            <w:tcW w:w="1189" w:type="dxa"/>
            <w:tcBorders>
              <w:top w:val="nil"/>
              <w:left w:val="nil"/>
              <w:bottom w:val="nil"/>
              <w:right w:val="nil"/>
            </w:tcBorders>
            <w:shd w:val="clear" w:color="000000" w:fill="D9D9D9"/>
            <w:noWrap/>
            <w:vAlign w:val="center"/>
            <w:hideMark/>
          </w:tcPr>
          <w:p w14:paraId="21EB9ADC" w14:textId="77777777" w:rsidR="00AB6753" w:rsidRDefault="00AB6753" w:rsidP="002D1EA4">
            <w:pPr>
              <w:spacing w:after="0" w:line="240" w:lineRule="auto"/>
              <w:jc w:val="right"/>
              <w:rPr>
                <w:rFonts w:cs="Arial"/>
                <w:sz w:val="16"/>
                <w:szCs w:val="16"/>
              </w:rPr>
            </w:pPr>
            <w:r>
              <w:rPr>
                <w:rFonts w:cs="Arial"/>
                <w:sz w:val="16"/>
                <w:szCs w:val="16"/>
              </w:rPr>
              <w:t xml:space="preserve"> -</w:t>
            </w:r>
          </w:p>
        </w:tc>
      </w:tr>
      <w:tr w:rsidR="00AB6753" w14:paraId="6B67947F" w14:textId="77777777" w:rsidTr="002D1EA4">
        <w:trPr>
          <w:trHeight w:val="238"/>
        </w:trPr>
        <w:tc>
          <w:tcPr>
            <w:tcW w:w="4581" w:type="dxa"/>
            <w:tcBorders>
              <w:top w:val="nil"/>
              <w:left w:val="nil"/>
              <w:bottom w:val="nil"/>
              <w:right w:val="nil"/>
            </w:tcBorders>
            <w:shd w:val="clear" w:color="000000" w:fill="D9D9D9"/>
            <w:vAlign w:val="center"/>
            <w:hideMark/>
          </w:tcPr>
          <w:p w14:paraId="3CA04E42" w14:textId="77777777" w:rsidR="00AB6753" w:rsidRDefault="00AB6753" w:rsidP="002D1EA4">
            <w:pPr>
              <w:spacing w:after="0" w:line="240" w:lineRule="auto"/>
              <w:rPr>
                <w:rFonts w:cs="Arial"/>
                <w:i/>
                <w:iCs/>
                <w:sz w:val="16"/>
                <w:szCs w:val="16"/>
              </w:rPr>
            </w:pPr>
            <w:r>
              <w:rPr>
                <w:rFonts w:cs="Arial"/>
                <w:i/>
                <w:iCs/>
                <w:sz w:val="16"/>
                <w:szCs w:val="16"/>
              </w:rPr>
              <w:t> </w:t>
            </w:r>
          </w:p>
        </w:tc>
        <w:tc>
          <w:tcPr>
            <w:tcW w:w="912" w:type="dxa"/>
            <w:tcBorders>
              <w:top w:val="nil"/>
              <w:left w:val="nil"/>
              <w:bottom w:val="nil"/>
              <w:right w:val="nil"/>
            </w:tcBorders>
            <w:shd w:val="clear" w:color="000000" w:fill="D9D9D9"/>
            <w:vAlign w:val="center"/>
            <w:hideMark/>
          </w:tcPr>
          <w:p w14:paraId="6CE719CF" w14:textId="77777777" w:rsidR="00AB6753" w:rsidRDefault="00AB6753" w:rsidP="002D1EA4">
            <w:pPr>
              <w:spacing w:after="0" w:line="240" w:lineRule="auto"/>
              <w:jc w:val="center"/>
              <w:rPr>
                <w:rFonts w:cs="Arial"/>
                <w:sz w:val="16"/>
                <w:szCs w:val="16"/>
              </w:rPr>
            </w:pPr>
            <w:r>
              <w:rPr>
                <w:rFonts w:cs="Arial"/>
                <w:sz w:val="16"/>
                <w:szCs w:val="16"/>
              </w:rPr>
              <w:t> </w:t>
            </w:r>
          </w:p>
        </w:tc>
        <w:tc>
          <w:tcPr>
            <w:tcW w:w="6316" w:type="dxa"/>
            <w:tcBorders>
              <w:top w:val="nil"/>
              <w:left w:val="nil"/>
              <w:bottom w:val="nil"/>
              <w:right w:val="nil"/>
            </w:tcBorders>
            <w:shd w:val="clear" w:color="000000" w:fill="D9D9D9"/>
            <w:vAlign w:val="center"/>
            <w:hideMark/>
          </w:tcPr>
          <w:p w14:paraId="78D60040" w14:textId="77777777" w:rsidR="00AB6753" w:rsidRDefault="00AB6753" w:rsidP="002D1EA4">
            <w:pPr>
              <w:spacing w:after="0" w:line="240" w:lineRule="auto"/>
              <w:rPr>
                <w:rFonts w:cs="Arial"/>
                <w:sz w:val="16"/>
                <w:szCs w:val="16"/>
              </w:rPr>
            </w:pPr>
            <w:r>
              <w:rPr>
                <w:rFonts w:cs="Arial"/>
                <w:sz w:val="16"/>
                <w:szCs w:val="16"/>
              </w:rPr>
              <w:t> </w:t>
            </w:r>
          </w:p>
        </w:tc>
        <w:tc>
          <w:tcPr>
            <w:tcW w:w="1260" w:type="dxa"/>
            <w:tcBorders>
              <w:top w:val="nil"/>
              <w:left w:val="nil"/>
              <w:bottom w:val="nil"/>
              <w:right w:val="nil"/>
            </w:tcBorders>
            <w:shd w:val="clear" w:color="000000" w:fill="D9D9D9"/>
            <w:noWrap/>
            <w:vAlign w:val="bottom"/>
            <w:hideMark/>
          </w:tcPr>
          <w:p w14:paraId="44D48060" w14:textId="77777777" w:rsidR="00AB6753" w:rsidRDefault="00AB6753" w:rsidP="002D1EA4">
            <w:pPr>
              <w:spacing w:after="0" w:line="240" w:lineRule="auto"/>
              <w:jc w:val="right"/>
              <w:rPr>
                <w:rFonts w:cs="Arial"/>
                <w:b/>
                <w:bCs/>
                <w:sz w:val="16"/>
                <w:szCs w:val="16"/>
              </w:rPr>
            </w:pPr>
            <w:r>
              <w:rPr>
                <w:rFonts w:cs="Arial"/>
                <w:b/>
                <w:bCs/>
                <w:sz w:val="16"/>
                <w:szCs w:val="16"/>
              </w:rPr>
              <w:t> </w:t>
            </w:r>
          </w:p>
        </w:tc>
        <w:tc>
          <w:tcPr>
            <w:tcW w:w="1189" w:type="dxa"/>
            <w:tcBorders>
              <w:top w:val="nil"/>
              <w:left w:val="nil"/>
              <w:bottom w:val="nil"/>
              <w:right w:val="nil"/>
            </w:tcBorders>
            <w:shd w:val="clear" w:color="000000" w:fill="D9D9D9"/>
            <w:noWrap/>
            <w:vAlign w:val="bottom"/>
            <w:hideMark/>
          </w:tcPr>
          <w:p w14:paraId="274DB6B9" w14:textId="77777777" w:rsidR="00AB6753" w:rsidRDefault="00AB6753" w:rsidP="002D1EA4">
            <w:pPr>
              <w:spacing w:after="0" w:line="240" w:lineRule="auto"/>
              <w:jc w:val="right"/>
              <w:rPr>
                <w:rFonts w:cs="Arial"/>
                <w:sz w:val="16"/>
                <w:szCs w:val="16"/>
              </w:rPr>
            </w:pPr>
            <w:r>
              <w:rPr>
                <w:rFonts w:cs="Arial"/>
                <w:sz w:val="16"/>
                <w:szCs w:val="16"/>
              </w:rPr>
              <w:t> </w:t>
            </w:r>
          </w:p>
        </w:tc>
      </w:tr>
      <w:tr w:rsidR="00AB6753" w14:paraId="3E5AA908" w14:textId="77777777" w:rsidTr="002D1EA4">
        <w:trPr>
          <w:trHeight w:val="238"/>
        </w:trPr>
        <w:tc>
          <w:tcPr>
            <w:tcW w:w="4581" w:type="dxa"/>
            <w:tcBorders>
              <w:top w:val="nil"/>
              <w:left w:val="nil"/>
              <w:bottom w:val="nil"/>
              <w:right w:val="nil"/>
            </w:tcBorders>
            <w:shd w:val="clear" w:color="000000" w:fill="D9D9D9"/>
            <w:vAlign w:val="center"/>
            <w:hideMark/>
          </w:tcPr>
          <w:p w14:paraId="7FB8BC4D" w14:textId="77777777" w:rsidR="00AB6753" w:rsidRDefault="00AB6753" w:rsidP="002D1EA4">
            <w:pPr>
              <w:spacing w:after="0" w:line="240" w:lineRule="auto"/>
              <w:rPr>
                <w:rFonts w:cs="Arial"/>
                <w:i/>
                <w:iCs/>
                <w:sz w:val="16"/>
                <w:szCs w:val="16"/>
              </w:rPr>
            </w:pPr>
            <w:r>
              <w:rPr>
                <w:rFonts w:cs="Arial"/>
                <w:i/>
                <w:iCs/>
                <w:sz w:val="16"/>
                <w:szCs w:val="16"/>
              </w:rPr>
              <w:t>Social Security and Veterans' Affairs Legislation Amendment (One-off Payments and Other 2007 Budget Measures) Act 2007</w:t>
            </w:r>
          </w:p>
        </w:tc>
        <w:tc>
          <w:tcPr>
            <w:tcW w:w="912" w:type="dxa"/>
            <w:tcBorders>
              <w:top w:val="nil"/>
              <w:left w:val="nil"/>
              <w:bottom w:val="nil"/>
              <w:right w:val="nil"/>
            </w:tcBorders>
            <w:shd w:val="clear" w:color="000000" w:fill="D9D9D9"/>
            <w:vAlign w:val="center"/>
            <w:hideMark/>
          </w:tcPr>
          <w:p w14:paraId="6D1CD307" w14:textId="77777777" w:rsidR="00AB6753" w:rsidRDefault="00AB6753" w:rsidP="002D1EA4">
            <w:pPr>
              <w:spacing w:after="0" w:line="240" w:lineRule="auto"/>
              <w:jc w:val="center"/>
              <w:rPr>
                <w:rFonts w:cs="Arial"/>
                <w:sz w:val="16"/>
                <w:szCs w:val="16"/>
              </w:rPr>
            </w:pPr>
            <w:r>
              <w:rPr>
                <w:rFonts w:cs="Arial"/>
                <w:sz w:val="16"/>
                <w:szCs w:val="16"/>
              </w:rPr>
              <w:t>Unlimited Amount</w:t>
            </w:r>
          </w:p>
        </w:tc>
        <w:tc>
          <w:tcPr>
            <w:tcW w:w="6316" w:type="dxa"/>
            <w:tcBorders>
              <w:top w:val="nil"/>
              <w:left w:val="nil"/>
              <w:bottom w:val="nil"/>
              <w:right w:val="nil"/>
            </w:tcBorders>
            <w:shd w:val="clear" w:color="000000" w:fill="D9D9D9"/>
            <w:vAlign w:val="center"/>
            <w:hideMark/>
          </w:tcPr>
          <w:p w14:paraId="05D89388" w14:textId="77777777" w:rsidR="00AB6753" w:rsidRDefault="00AB6753" w:rsidP="002D1EA4">
            <w:pPr>
              <w:spacing w:after="0" w:line="240" w:lineRule="auto"/>
              <w:rPr>
                <w:rFonts w:cs="Arial"/>
                <w:sz w:val="16"/>
                <w:szCs w:val="16"/>
              </w:rPr>
            </w:pPr>
            <w:r>
              <w:rPr>
                <w:rFonts w:cs="Arial"/>
                <w:sz w:val="16"/>
                <w:szCs w:val="16"/>
              </w:rPr>
              <w:t>An Act to amend the law relating to social security and veterans’ affairs, and for other purposes.</w:t>
            </w:r>
          </w:p>
        </w:tc>
        <w:tc>
          <w:tcPr>
            <w:tcW w:w="1260" w:type="dxa"/>
            <w:tcBorders>
              <w:top w:val="nil"/>
              <w:left w:val="nil"/>
              <w:bottom w:val="nil"/>
              <w:right w:val="nil"/>
            </w:tcBorders>
            <w:shd w:val="clear" w:color="000000" w:fill="D9D9D9"/>
            <w:noWrap/>
            <w:vAlign w:val="center"/>
            <w:hideMark/>
          </w:tcPr>
          <w:p w14:paraId="60A06FBE" w14:textId="77777777" w:rsidR="00AB6753" w:rsidRDefault="00AB6753" w:rsidP="002D1EA4">
            <w:pPr>
              <w:spacing w:after="0" w:line="240" w:lineRule="auto"/>
              <w:jc w:val="right"/>
              <w:rPr>
                <w:rFonts w:cs="Arial"/>
                <w:b/>
                <w:bCs/>
                <w:sz w:val="16"/>
                <w:szCs w:val="16"/>
              </w:rPr>
            </w:pPr>
            <w:r>
              <w:rPr>
                <w:rFonts w:cs="Arial"/>
                <w:b/>
                <w:bCs/>
                <w:sz w:val="16"/>
                <w:szCs w:val="16"/>
              </w:rPr>
              <w:t xml:space="preserve"> -</w:t>
            </w:r>
          </w:p>
        </w:tc>
        <w:tc>
          <w:tcPr>
            <w:tcW w:w="1189" w:type="dxa"/>
            <w:tcBorders>
              <w:top w:val="nil"/>
              <w:left w:val="nil"/>
              <w:bottom w:val="nil"/>
              <w:right w:val="nil"/>
            </w:tcBorders>
            <w:shd w:val="clear" w:color="000000" w:fill="D9D9D9"/>
            <w:noWrap/>
            <w:vAlign w:val="center"/>
            <w:hideMark/>
          </w:tcPr>
          <w:p w14:paraId="05EBB3BA" w14:textId="77777777" w:rsidR="00AB6753" w:rsidRDefault="00AB6753" w:rsidP="002D1EA4">
            <w:pPr>
              <w:spacing w:after="0" w:line="240" w:lineRule="auto"/>
              <w:jc w:val="right"/>
              <w:rPr>
                <w:rFonts w:cs="Arial"/>
                <w:sz w:val="16"/>
                <w:szCs w:val="16"/>
              </w:rPr>
            </w:pPr>
            <w:r>
              <w:rPr>
                <w:rFonts w:cs="Arial"/>
                <w:sz w:val="16"/>
                <w:szCs w:val="16"/>
              </w:rPr>
              <w:t xml:space="preserve"> -</w:t>
            </w:r>
          </w:p>
        </w:tc>
      </w:tr>
      <w:tr w:rsidR="00AB6753" w14:paraId="22057E44" w14:textId="77777777" w:rsidTr="002D1EA4">
        <w:trPr>
          <w:trHeight w:val="238"/>
        </w:trPr>
        <w:tc>
          <w:tcPr>
            <w:tcW w:w="4581" w:type="dxa"/>
            <w:tcBorders>
              <w:top w:val="nil"/>
              <w:left w:val="nil"/>
              <w:bottom w:val="nil"/>
              <w:right w:val="nil"/>
            </w:tcBorders>
            <w:shd w:val="clear" w:color="000000" w:fill="D9D9D9"/>
            <w:vAlign w:val="center"/>
            <w:hideMark/>
          </w:tcPr>
          <w:p w14:paraId="3713762B" w14:textId="77777777" w:rsidR="00AB6753" w:rsidRDefault="00AB6753" w:rsidP="002D1EA4">
            <w:pPr>
              <w:spacing w:after="0" w:line="240" w:lineRule="auto"/>
              <w:rPr>
                <w:rFonts w:cs="Arial"/>
                <w:i/>
                <w:iCs/>
                <w:sz w:val="16"/>
                <w:szCs w:val="16"/>
              </w:rPr>
            </w:pPr>
            <w:r>
              <w:rPr>
                <w:rFonts w:cs="Arial"/>
                <w:i/>
                <w:iCs/>
                <w:sz w:val="16"/>
                <w:szCs w:val="16"/>
              </w:rPr>
              <w:t> </w:t>
            </w:r>
          </w:p>
        </w:tc>
        <w:tc>
          <w:tcPr>
            <w:tcW w:w="912" w:type="dxa"/>
            <w:tcBorders>
              <w:top w:val="nil"/>
              <w:left w:val="nil"/>
              <w:bottom w:val="nil"/>
              <w:right w:val="nil"/>
            </w:tcBorders>
            <w:shd w:val="clear" w:color="000000" w:fill="D9D9D9"/>
            <w:vAlign w:val="center"/>
            <w:hideMark/>
          </w:tcPr>
          <w:p w14:paraId="00A9166F" w14:textId="77777777" w:rsidR="00AB6753" w:rsidRDefault="00AB6753" w:rsidP="002D1EA4">
            <w:pPr>
              <w:spacing w:after="0" w:line="240" w:lineRule="auto"/>
              <w:jc w:val="center"/>
              <w:rPr>
                <w:rFonts w:cs="Arial"/>
                <w:sz w:val="16"/>
                <w:szCs w:val="16"/>
              </w:rPr>
            </w:pPr>
            <w:r>
              <w:rPr>
                <w:rFonts w:cs="Arial"/>
                <w:sz w:val="16"/>
                <w:szCs w:val="16"/>
              </w:rPr>
              <w:t> </w:t>
            </w:r>
          </w:p>
        </w:tc>
        <w:tc>
          <w:tcPr>
            <w:tcW w:w="6316" w:type="dxa"/>
            <w:tcBorders>
              <w:top w:val="nil"/>
              <w:left w:val="nil"/>
              <w:bottom w:val="nil"/>
              <w:right w:val="nil"/>
            </w:tcBorders>
            <w:shd w:val="clear" w:color="000000" w:fill="D9D9D9"/>
            <w:vAlign w:val="center"/>
            <w:hideMark/>
          </w:tcPr>
          <w:p w14:paraId="71CE4663" w14:textId="77777777" w:rsidR="00AB6753" w:rsidRDefault="00AB6753" w:rsidP="002D1EA4">
            <w:pPr>
              <w:spacing w:after="0" w:line="240" w:lineRule="auto"/>
              <w:rPr>
                <w:rFonts w:cs="Arial"/>
                <w:sz w:val="16"/>
                <w:szCs w:val="16"/>
              </w:rPr>
            </w:pPr>
            <w:r>
              <w:rPr>
                <w:rFonts w:cs="Arial"/>
                <w:sz w:val="16"/>
                <w:szCs w:val="16"/>
              </w:rPr>
              <w:t> </w:t>
            </w:r>
          </w:p>
        </w:tc>
        <w:tc>
          <w:tcPr>
            <w:tcW w:w="1260" w:type="dxa"/>
            <w:tcBorders>
              <w:top w:val="nil"/>
              <w:left w:val="nil"/>
              <w:bottom w:val="nil"/>
              <w:right w:val="nil"/>
            </w:tcBorders>
            <w:shd w:val="clear" w:color="000000" w:fill="D9D9D9"/>
            <w:noWrap/>
            <w:vAlign w:val="bottom"/>
            <w:hideMark/>
          </w:tcPr>
          <w:p w14:paraId="116F284C" w14:textId="77777777" w:rsidR="00AB6753" w:rsidRDefault="00AB6753" w:rsidP="002D1EA4">
            <w:pPr>
              <w:spacing w:after="0" w:line="240" w:lineRule="auto"/>
              <w:jc w:val="right"/>
              <w:rPr>
                <w:rFonts w:cs="Arial"/>
                <w:b/>
                <w:bCs/>
                <w:sz w:val="16"/>
                <w:szCs w:val="16"/>
              </w:rPr>
            </w:pPr>
            <w:r>
              <w:rPr>
                <w:rFonts w:cs="Arial"/>
                <w:b/>
                <w:bCs/>
                <w:sz w:val="16"/>
                <w:szCs w:val="16"/>
              </w:rPr>
              <w:t> </w:t>
            </w:r>
          </w:p>
        </w:tc>
        <w:tc>
          <w:tcPr>
            <w:tcW w:w="1189" w:type="dxa"/>
            <w:tcBorders>
              <w:top w:val="nil"/>
              <w:left w:val="nil"/>
              <w:bottom w:val="nil"/>
              <w:right w:val="nil"/>
            </w:tcBorders>
            <w:shd w:val="clear" w:color="000000" w:fill="D9D9D9"/>
            <w:noWrap/>
            <w:vAlign w:val="bottom"/>
            <w:hideMark/>
          </w:tcPr>
          <w:p w14:paraId="7069B303" w14:textId="77777777" w:rsidR="00AB6753" w:rsidRDefault="00AB6753" w:rsidP="002D1EA4">
            <w:pPr>
              <w:spacing w:after="0" w:line="240" w:lineRule="auto"/>
              <w:jc w:val="right"/>
              <w:rPr>
                <w:rFonts w:cs="Arial"/>
                <w:sz w:val="16"/>
                <w:szCs w:val="16"/>
              </w:rPr>
            </w:pPr>
            <w:r>
              <w:rPr>
                <w:rFonts w:cs="Arial"/>
                <w:sz w:val="16"/>
                <w:szCs w:val="16"/>
              </w:rPr>
              <w:t> </w:t>
            </w:r>
          </w:p>
        </w:tc>
      </w:tr>
      <w:tr w:rsidR="00AB6753" w14:paraId="39FBB1D5" w14:textId="77777777" w:rsidTr="002D1EA4">
        <w:trPr>
          <w:trHeight w:val="238"/>
        </w:trPr>
        <w:tc>
          <w:tcPr>
            <w:tcW w:w="4581" w:type="dxa"/>
            <w:tcBorders>
              <w:top w:val="nil"/>
              <w:left w:val="nil"/>
              <w:bottom w:val="nil"/>
              <w:right w:val="nil"/>
            </w:tcBorders>
            <w:shd w:val="clear" w:color="000000" w:fill="D9D9D9"/>
            <w:vAlign w:val="center"/>
            <w:hideMark/>
          </w:tcPr>
          <w:p w14:paraId="47C9BA10" w14:textId="77777777" w:rsidR="00AB6753" w:rsidRDefault="00AB6753" w:rsidP="002D1EA4">
            <w:pPr>
              <w:spacing w:after="0" w:line="240" w:lineRule="auto"/>
              <w:rPr>
                <w:rFonts w:cs="Arial"/>
                <w:i/>
                <w:iCs/>
                <w:sz w:val="16"/>
                <w:szCs w:val="16"/>
              </w:rPr>
            </w:pPr>
            <w:r>
              <w:rPr>
                <w:rFonts w:cs="Arial"/>
                <w:i/>
                <w:iCs/>
                <w:sz w:val="16"/>
                <w:szCs w:val="16"/>
              </w:rPr>
              <w:t>Social Security and Veterans' Entitlements Legislation Amendment (One-off Payments and Other Budget Measures) Act 2008</w:t>
            </w:r>
          </w:p>
        </w:tc>
        <w:tc>
          <w:tcPr>
            <w:tcW w:w="912" w:type="dxa"/>
            <w:tcBorders>
              <w:top w:val="nil"/>
              <w:left w:val="nil"/>
              <w:bottom w:val="nil"/>
              <w:right w:val="nil"/>
            </w:tcBorders>
            <w:shd w:val="clear" w:color="000000" w:fill="D9D9D9"/>
            <w:vAlign w:val="center"/>
            <w:hideMark/>
          </w:tcPr>
          <w:p w14:paraId="20F3DCF8" w14:textId="77777777" w:rsidR="00AB6753" w:rsidRDefault="00AB6753" w:rsidP="002D1EA4">
            <w:pPr>
              <w:spacing w:after="0" w:line="240" w:lineRule="auto"/>
              <w:jc w:val="center"/>
              <w:rPr>
                <w:rFonts w:cs="Arial"/>
                <w:sz w:val="16"/>
                <w:szCs w:val="16"/>
              </w:rPr>
            </w:pPr>
            <w:r>
              <w:rPr>
                <w:rFonts w:cs="Arial"/>
                <w:sz w:val="16"/>
                <w:szCs w:val="16"/>
              </w:rPr>
              <w:t>Unlimited Amount</w:t>
            </w:r>
          </w:p>
        </w:tc>
        <w:tc>
          <w:tcPr>
            <w:tcW w:w="6316" w:type="dxa"/>
            <w:tcBorders>
              <w:top w:val="nil"/>
              <w:left w:val="nil"/>
              <w:bottom w:val="nil"/>
              <w:right w:val="nil"/>
            </w:tcBorders>
            <w:shd w:val="clear" w:color="000000" w:fill="D9D9D9"/>
            <w:vAlign w:val="center"/>
            <w:hideMark/>
          </w:tcPr>
          <w:p w14:paraId="4670D1D0" w14:textId="77777777" w:rsidR="00AB6753" w:rsidRDefault="00AB6753" w:rsidP="002D1EA4">
            <w:pPr>
              <w:spacing w:after="0" w:line="240" w:lineRule="auto"/>
              <w:rPr>
                <w:rFonts w:cs="Arial"/>
                <w:sz w:val="16"/>
                <w:szCs w:val="16"/>
              </w:rPr>
            </w:pPr>
            <w:r>
              <w:rPr>
                <w:rFonts w:cs="Arial"/>
                <w:sz w:val="16"/>
                <w:szCs w:val="16"/>
              </w:rPr>
              <w:t>An Act to amend the law relating to social security and veterans’ entitlements, and for other purposes.</w:t>
            </w:r>
          </w:p>
        </w:tc>
        <w:tc>
          <w:tcPr>
            <w:tcW w:w="1260" w:type="dxa"/>
            <w:tcBorders>
              <w:top w:val="nil"/>
              <w:left w:val="nil"/>
              <w:bottom w:val="nil"/>
              <w:right w:val="nil"/>
            </w:tcBorders>
            <w:shd w:val="clear" w:color="000000" w:fill="D9D9D9"/>
            <w:noWrap/>
            <w:vAlign w:val="center"/>
            <w:hideMark/>
          </w:tcPr>
          <w:p w14:paraId="712DE97B" w14:textId="77777777" w:rsidR="00AB6753" w:rsidRDefault="00AB6753" w:rsidP="002D1EA4">
            <w:pPr>
              <w:spacing w:after="0" w:line="240" w:lineRule="auto"/>
              <w:jc w:val="right"/>
              <w:rPr>
                <w:rFonts w:cs="Arial"/>
                <w:b/>
                <w:bCs/>
                <w:sz w:val="16"/>
                <w:szCs w:val="16"/>
              </w:rPr>
            </w:pPr>
            <w:r>
              <w:rPr>
                <w:rFonts w:cs="Arial"/>
                <w:b/>
                <w:bCs/>
                <w:sz w:val="16"/>
                <w:szCs w:val="16"/>
              </w:rPr>
              <w:t xml:space="preserve"> -</w:t>
            </w:r>
          </w:p>
        </w:tc>
        <w:tc>
          <w:tcPr>
            <w:tcW w:w="1189" w:type="dxa"/>
            <w:tcBorders>
              <w:top w:val="nil"/>
              <w:left w:val="nil"/>
              <w:bottom w:val="nil"/>
              <w:right w:val="nil"/>
            </w:tcBorders>
            <w:shd w:val="clear" w:color="000000" w:fill="D9D9D9"/>
            <w:noWrap/>
            <w:vAlign w:val="center"/>
            <w:hideMark/>
          </w:tcPr>
          <w:p w14:paraId="09631A7C" w14:textId="77777777" w:rsidR="00AB6753" w:rsidRDefault="00AB6753" w:rsidP="002D1EA4">
            <w:pPr>
              <w:spacing w:after="0" w:line="240" w:lineRule="auto"/>
              <w:jc w:val="right"/>
              <w:rPr>
                <w:rFonts w:cs="Arial"/>
                <w:sz w:val="16"/>
                <w:szCs w:val="16"/>
              </w:rPr>
            </w:pPr>
            <w:r>
              <w:rPr>
                <w:rFonts w:cs="Arial"/>
                <w:sz w:val="16"/>
                <w:szCs w:val="16"/>
              </w:rPr>
              <w:t xml:space="preserve"> -</w:t>
            </w:r>
          </w:p>
        </w:tc>
      </w:tr>
      <w:tr w:rsidR="00AB6753" w14:paraId="472C0D6A" w14:textId="77777777" w:rsidTr="002D1EA4">
        <w:trPr>
          <w:trHeight w:val="238"/>
        </w:trPr>
        <w:tc>
          <w:tcPr>
            <w:tcW w:w="4581" w:type="dxa"/>
            <w:tcBorders>
              <w:top w:val="nil"/>
              <w:left w:val="nil"/>
              <w:bottom w:val="nil"/>
              <w:right w:val="nil"/>
            </w:tcBorders>
            <w:shd w:val="clear" w:color="000000" w:fill="D9D9D9"/>
            <w:vAlign w:val="center"/>
            <w:hideMark/>
          </w:tcPr>
          <w:p w14:paraId="07E2075B" w14:textId="77777777" w:rsidR="00AB6753" w:rsidRDefault="00AB6753" w:rsidP="002D1EA4">
            <w:pPr>
              <w:spacing w:after="0" w:line="240" w:lineRule="auto"/>
              <w:rPr>
                <w:rFonts w:cs="Arial"/>
                <w:i/>
                <w:iCs/>
                <w:sz w:val="16"/>
                <w:szCs w:val="16"/>
              </w:rPr>
            </w:pPr>
            <w:r>
              <w:rPr>
                <w:rFonts w:cs="Arial"/>
                <w:i/>
                <w:iCs/>
                <w:sz w:val="16"/>
                <w:szCs w:val="16"/>
              </w:rPr>
              <w:t> </w:t>
            </w:r>
          </w:p>
        </w:tc>
        <w:tc>
          <w:tcPr>
            <w:tcW w:w="912" w:type="dxa"/>
            <w:tcBorders>
              <w:top w:val="nil"/>
              <w:left w:val="nil"/>
              <w:bottom w:val="nil"/>
              <w:right w:val="nil"/>
            </w:tcBorders>
            <w:shd w:val="clear" w:color="000000" w:fill="D9D9D9"/>
            <w:vAlign w:val="center"/>
            <w:hideMark/>
          </w:tcPr>
          <w:p w14:paraId="0540F2C6" w14:textId="77777777" w:rsidR="00AB6753" w:rsidRDefault="00AB6753" w:rsidP="002D1EA4">
            <w:pPr>
              <w:spacing w:after="0" w:line="240" w:lineRule="auto"/>
              <w:jc w:val="center"/>
              <w:rPr>
                <w:rFonts w:cs="Arial"/>
                <w:sz w:val="16"/>
                <w:szCs w:val="16"/>
              </w:rPr>
            </w:pPr>
            <w:r>
              <w:rPr>
                <w:rFonts w:cs="Arial"/>
                <w:sz w:val="16"/>
                <w:szCs w:val="16"/>
              </w:rPr>
              <w:t> </w:t>
            </w:r>
          </w:p>
        </w:tc>
        <w:tc>
          <w:tcPr>
            <w:tcW w:w="6316" w:type="dxa"/>
            <w:tcBorders>
              <w:top w:val="nil"/>
              <w:left w:val="nil"/>
              <w:bottom w:val="nil"/>
              <w:right w:val="nil"/>
            </w:tcBorders>
            <w:shd w:val="clear" w:color="000000" w:fill="D9D9D9"/>
            <w:vAlign w:val="center"/>
            <w:hideMark/>
          </w:tcPr>
          <w:p w14:paraId="27AE38B3" w14:textId="77777777" w:rsidR="00AB6753" w:rsidRDefault="00AB6753" w:rsidP="002D1EA4">
            <w:pPr>
              <w:spacing w:after="0" w:line="240" w:lineRule="auto"/>
              <w:rPr>
                <w:rFonts w:cs="Arial"/>
                <w:sz w:val="16"/>
                <w:szCs w:val="16"/>
              </w:rPr>
            </w:pPr>
            <w:r>
              <w:rPr>
                <w:rFonts w:cs="Arial"/>
                <w:sz w:val="16"/>
                <w:szCs w:val="16"/>
              </w:rPr>
              <w:t> </w:t>
            </w:r>
          </w:p>
        </w:tc>
        <w:tc>
          <w:tcPr>
            <w:tcW w:w="1260" w:type="dxa"/>
            <w:tcBorders>
              <w:top w:val="nil"/>
              <w:left w:val="nil"/>
              <w:bottom w:val="nil"/>
              <w:right w:val="nil"/>
            </w:tcBorders>
            <w:shd w:val="clear" w:color="000000" w:fill="D9D9D9"/>
            <w:noWrap/>
            <w:vAlign w:val="bottom"/>
            <w:hideMark/>
          </w:tcPr>
          <w:p w14:paraId="61C1E94B" w14:textId="77777777" w:rsidR="00AB6753" w:rsidRDefault="00AB6753" w:rsidP="002D1EA4">
            <w:pPr>
              <w:spacing w:after="0" w:line="240" w:lineRule="auto"/>
              <w:jc w:val="right"/>
              <w:rPr>
                <w:rFonts w:cs="Arial"/>
                <w:b/>
                <w:bCs/>
                <w:sz w:val="16"/>
                <w:szCs w:val="16"/>
              </w:rPr>
            </w:pPr>
            <w:r>
              <w:rPr>
                <w:rFonts w:cs="Arial"/>
                <w:b/>
                <w:bCs/>
                <w:sz w:val="16"/>
                <w:szCs w:val="16"/>
              </w:rPr>
              <w:t> </w:t>
            </w:r>
          </w:p>
        </w:tc>
        <w:tc>
          <w:tcPr>
            <w:tcW w:w="1189" w:type="dxa"/>
            <w:tcBorders>
              <w:top w:val="nil"/>
              <w:left w:val="nil"/>
              <w:bottom w:val="nil"/>
              <w:right w:val="nil"/>
            </w:tcBorders>
            <w:shd w:val="clear" w:color="000000" w:fill="D9D9D9"/>
            <w:noWrap/>
            <w:vAlign w:val="bottom"/>
            <w:hideMark/>
          </w:tcPr>
          <w:p w14:paraId="671FB9E9" w14:textId="77777777" w:rsidR="00AB6753" w:rsidRDefault="00AB6753" w:rsidP="002D1EA4">
            <w:pPr>
              <w:spacing w:after="0" w:line="240" w:lineRule="auto"/>
              <w:jc w:val="right"/>
              <w:rPr>
                <w:rFonts w:cs="Arial"/>
                <w:sz w:val="16"/>
                <w:szCs w:val="16"/>
              </w:rPr>
            </w:pPr>
            <w:r>
              <w:rPr>
                <w:rFonts w:cs="Arial"/>
                <w:sz w:val="16"/>
                <w:szCs w:val="16"/>
              </w:rPr>
              <w:t> </w:t>
            </w:r>
          </w:p>
        </w:tc>
      </w:tr>
      <w:tr w:rsidR="00AB6753" w14:paraId="10E0F66A" w14:textId="77777777" w:rsidTr="002D1EA4">
        <w:trPr>
          <w:trHeight w:val="238"/>
        </w:trPr>
        <w:tc>
          <w:tcPr>
            <w:tcW w:w="4581" w:type="dxa"/>
            <w:tcBorders>
              <w:top w:val="nil"/>
              <w:left w:val="nil"/>
              <w:bottom w:val="nil"/>
              <w:right w:val="nil"/>
            </w:tcBorders>
            <w:shd w:val="clear" w:color="000000" w:fill="D9D9D9"/>
            <w:hideMark/>
          </w:tcPr>
          <w:p w14:paraId="000B7952" w14:textId="77777777" w:rsidR="00AB6753" w:rsidRDefault="00AB6753" w:rsidP="002D1EA4">
            <w:pPr>
              <w:spacing w:after="0" w:line="240" w:lineRule="auto"/>
              <w:rPr>
                <w:rFonts w:cs="Arial"/>
                <w:i/>
                <w:iCs/>
                <w:sz w:val="16"/>
                <w:szCs w:val="16"/>
              </w:rPr>
            </w:pPr>
            <w:r>
              <w:rPr>
                <w:rFonts w:cs="Arial"/>
                <w:i/>
                <w:iCs/>
                <w:sz w:val="16"/>
                <w:szCs w:val="16"/>
              </w:rPr>
              <w:t>Clean Energy (Household Assistance Amendments) Act 2011</w:t>
            </w:r>
          </w:p>
        </w:tc>
        <w:tc>
          <w:tcPr>
            <w:tcW w:w="912" w:type="dxa"/>
            <w:tcBorders>
              <w:top w:val="nil"/>
              <w:left w:val="nil"/>
              <w:bottom w:val="nil"/>
              <w:right w:val="nil"/>
            </w:tcBorders>
            <w:shd w:val="clear" w:color="000000" w:fill="D9D9D9"/>
            <w:hideMark/>
          </w:tcPr>
          <w:p w14:paraId="533A0226" w14:textId="77777777" w:rsidR="00AB6753" w:rsidRDefault="00AB6753" w:rsidP="002D1EA4">
            <w:pPr>
              <w:spacing w:after="0" w:line="240" w:lineRule="auto"/>
              <w:jc w:val="center"/>
              <w:rPr>
                <w:rFonts w:cs="Arial"/>
                <w:sz w:val="16"/>
                <w:szCs w:val="16"/>
              </w:rPr>
            </w:pPr>
            <w:r>
              <w:rPr>
                <w:rFonts w:cs="Arial"/>
                <w:sz w:val="16"/>
                <w:szCs w:val="16"/>
              </w:rPr>
              <w:t>Unlimited Amount</w:t>
            </w:r>
          </w:p>
        </w:tc>
        <w:tc>
          <w:tcPr>
            <w:tcW w:w="6316" w:type="dxa"/>
            <w:tcBorders>
              <w:top w:val="nil"/>
              <w:left w:val="nil"/>
              <w:bottom w:val="nil"/>
              <w:right w:val="nil"/>
            </w:tcBorders>
            <w:shd w:val="clear" w:color="000000" w:fill="D9D9D9"/>
            <w:vAlign w:val="bottom"/>
            <w:hideMark/>
          </w:tcPr>
          <w:p w14:paraId="737150F5" w14:textId="77777777" w:rsidR="00AB6753" w:rsidRDefault="00AB6753" w:rsidP="002D1EA4">
            <w:pPr>
              <w:spacing w:after="0" w:line="240" w:lineRule="auto"/>
              <w:rPr>
                <w:rFonts w:cs="Arial"/>
                <w:sz w:val="16"/>
                <w:szCs w:val="16"/>
              </w:rPr>
            </w:pPr>
            <w:r>
              <w:rPr>
                <w:rFonts w:cs="Arial"/>
                <w:sz w:val="16"/>
                <w:szCs w:val="16"/>
              </w:rPr>
              <w:t>An Act to amend the law relating to social security, family assistance, veterans’ entitlements, military rehabilitation and compensation, farm household support and aged care, and for related purposes.</w:t>
            </w:r>
          </w:p>
        </w:tc>
        <w:tc>
          <w:tcPr>
            <w:tcW w:w="1260" w:type="dxa"/>
            <w:tcBorders>
              <w:top w:val="nil"/>
              <w:left w:val="nil"/>
              <w:bottom w:val="nil"/>
              <w:right w:val="nil"/>
            </w:tcBorders>
            <w:shd w:val="clear" w:color="000000" w:fill="D9D9D9"/>
            <w:noWrap/>
            <w:vAlign w:val="center"/>
            <w:hideMark/>
          </w:tcPr>
          <w:p w14:paraId="5D3BB6B8" w14:textId="77777777" w:rsidR="00AB6753" w:rsidRDefault="00AB6753" w:rsidP="002D1EA4">
            <w:pPr>
              <w:spacing w:after="0" w:line="240" w:lineRule="auto"/>
              <w:jc w:val="right"/>
              <w:rPr>
                <w:rFonts w:cs="Arial"/>
                <w:b/>
                <w:bCs/>
                <w:sz w:val="16"/>
                <w:szCs w:val="16"/>
              </w:rPr>
            </w:pPr>
            <w:r>
              <w:rPr>
                <w:rFonts w:cs="Arial"/>
                <w:b/>
                <w:bCs/>
                <w:sz w:val="16"/>
                <w:szCs w:val="16"/>
              </w:rPr>
              <w:t xml:space="preserve"> -</w:t>
            </w:r>
          </w:p>
        </w:tc>
        <w:tc>
          <w:tcPr>
            <w:tcW w:w="1189" w:type="dxa"/>
            <w:tcBorders>
              <w:top w:val="nil"/>
              <w:left w:val="nil"/>
              <w:bottom w:val="nil"/>
              <w:right w:val="nil"/>
            </w:tcBorders>
            <w:shd w:val="clear" w:color="000000" w:fill="D9D9D9"/>
            <w:noWrap/>
            <w:vAlign w:val="center"/>
            <w:hideMark/>
          </w:tcPr>
          <w:p w14:paraId="56DDAA74" w14:textId="77777777" w:rsidR="00AB6753" w:rsidRDefault="00AB6753" w:rsidP="002D1EA4">
            <w:pPr>
              <w:spacing w:after="0" w:line="240" w:lineRule="auto"/>
              <w:jc w:val="right"/>
              <w:rPr>
                <w:rFonts w:cs="Arial"/>
                <w:sz w:val="16"/>
                <w:szCs w:val="16"/>
              </w:rPr>
            </w:pPr>
            <w:r>
              <w:rPr>
                <w:rFonts w:cs="Arial"/>
                <w:sz w:val="16"/>
                <w:szCs w:val="16"/>
              </w:rPr>
              <w:t xml:space="preserve"> -</w:t>
            </w:r>
          </w:p>
        </w:tc>
      </w:tr>
      <w:tr w:rsidR="00AB6753" w14:paraId="085EF629" w14:textId="77777777" w:rsidTr="002D1EA4">
        <w:trPr>
          <w:trHeight w:val="238"/>
        </w:trPr>
        <w:tc>
          <w:tcPr>
            <w:tcW w:w="4581" w:type="dxa"/>
            <w:tcBorders>
              <w:top w:val="nil"/>
              <w:left w:val="nil"/>
              <w:bottom w:val="nil"/>
              <w:right w:val="nil"/>
            </w:tcBorders>
            <w:shd w:val="clear" w:color="000000" w:fill="D9D9D9"/>
            <w:hideMark/>
          </w:tcPr>
          <w:p w14:paraId="215A04EB" w14:textId="77777777" w:rsidR="00AB6753" w:rsidRDefault="00AB6753" w:rsidP="002D1EA4">
            <w:pPr>
              <w:spacing w:after="0" w:line="240" w:lineRule="auto"/>
              <w:rPr>
                <w:rFonts w:cs="Arial"/>
                <w:i/>
                <w:iCs/>
                <w:sz w:val="16"/>
                <w:szCs w:val="16"/>
              </w:rPr>
            </w:pPr>
            <w:r>
              <w:rPr>
                <w:rFonts w:cs="Arial"/>
                <w:i/>
                <w:iCs/>
                <w:sz w:val="16"/>
                <w:szCs w:val="16"/>
              </w:rPr>
              <w:t> </w:t>
            </w:r>
          </w:p>
        </w:tc>
        <w:tc>
          <w:tcPr>
            <w:tcW w:w="912" w:type="dxa"/>
            <w:tcBorders>
              <w:top w:val="nil"/>
              <w:left w:val="nil"/>
              <w:bottom w:val="nil"/>
              <w:right w:val="nil"/>
            </w:tcBorders>
            <w:shd w:val="clear" w:color="000000" w:fill="D9D9D9"/>
            <w:hideMark/>
          </w:tcPr>
          <w:p w14:paraId="157B7EFE" w14:textId="77777777" w:rsidR="00AB6753" w:rsidRDefault="00AB6753" w:rsidP="002D1EA4">
            <w:pPr>
              <w:spacing w:after="0" w:line="240" w:lineRule="auto"/>
              <w:jc w:val="center"/>
              <w:rPr>
                <w:rFonts w:cs="Arial"/>
                <w:sz w:val="16"/>
                <w:szCs w:val="16"/>
              </w:rPr>
            </w:pPr>
            <w:r>
              <w:rPr>
                <w:rFonts w:cs="Arial"/>
                <w:sz w:val="16"/>
                <w:szCs w:val="16"/>
              </w:rPr>
              <w:t> </w:t>
            </w:r>
          </w:p>
        </w:tc>
        <w:tc>
          <w:tcPr>
            <w:tcW w:w="6316" w:type="dxa"/>
            <w:tcBorders>
              <w:top w:val="nil"/>
              <w:left w:val="nil"/>
              <w:bottom w:val="nil"/>
              <w:right w:val="nil"/>
            </w:tcBorders>
            <w:shd w:val="clear" w:color="000000" w:fill="D9D9D9"/>
            <w:vAlign w:val="bottom"/>
            <w:hideMark/>
          </w:tcPr>
          <w:p w14:paraId="3DC3A506" w14:textId="77777777" w:rsidR="00AB6753" w:rsidRDefault="00AB6753" w:rsidP="002D1EA4">
            <w:pPr>
              <w:spacing w:after="0" w:line="240" w:lineRule="auto"/>
              <w:rPr>
                <w:rFonts w:cs="Arial"/>
                <w:sz w:val="16"/>
                <w:szCs w:val="16"/>
              </w:rPr>
            </w:pPr>
            <w:r>
              <w:rPr>
                <w:rFonts w:cs="Arial"/>
                <w:sz w:val="16"/>
                <w:szCs w:val="16"/>
              </w:rPr>
              <w:t> </w:t>
            </w:r>
          </w:p>
        </w:tc>
        <w:tc>
          <w:tcPr>
            <w:tcW w:w="1260" w:type="dxa"/>
            <w:tcBorders>
              <w:top w:val="nil"/>
              <w:left w:val="nil"/>
              <w:bottom w:val="nil"/>
              <w:right w:val="nil"/>
            </w:tcBorders>
            <w:shd w:val="clear" w:color="000000" w:fill="D9D9D9"/>
            <w:noWrap/>
            <w:vAlign w:val="bottom"/>
            <w:hideMark/>
          </w:tcPr>
          <w:p w14:paraId="159EAD5A" w14:textId="77777777" w:rsidR="00AB6753" w:rsidRDefault="00AB6753" w:rsidP="002D1EA4">
            <w:pPr>
              <w:spacing w:after="0" w:line="240" w:lineRule="auto"/>
              <w:jc w:val="right"/>
              <w:rPr>
                <w:rFonts w:cs="Arial"/>
                <w:b/>
                <w:bCs/>
                <w:sz w:val="16"/>
                <w:szCs w:val="16"/>
              </w:rPr>
            </w:pPr>
            <w:r>
              <w:rPr>
                <w:rFonts w:cs="Arial"/>
                <w:b/>
                <w:bCs/>
                <w:sz w:val="16"/>
                <w:szCs w:val="16"/>
              </w:rPr>
              <w:t> </w:t>
            </w:r>
          </w:p>
        </w:tc>
        <w:tc>
          <w:tcPr>
            <w:tcW w:w="1189" w:type="dxa"/>
            <w:tcBorders>
              <w:top w:val="nil"/>
              <w:left w:val="nil"/>
              <w:bottom w:val="nil"/>
              <w:right w:val="nil"/>
            </w:tcBorders>
            <w:shd w:val="clear" w:color="000000" w:fill="D9D9D9"/>
            <w:noWrap/>
            <w:vAlign w:val="bottom"/>
            <w:hideMark/>
          </w:tcPr>
          <w:p w14:paraId="036D04D4" w14:textId="77777777" w:rsidR="00AB6753" w:rsidRDefault="00AB6753" w:rsidP="002D1EA4">
            <w:pPr>
              <w:spacing w:after="0" w:line="240" w:lineRule="auto"/>
              <w:jc w:val="right"/>
              <w:rPr>
                <w:rFonts w:cs="Arial"/>
                <w:sz w:val="16"/>
                <w:szCs w:val="16"/>
              </w:rPr>
            </w:pPr>
            <w:r>
              <w:rPr>
                <w:rFonts w:cs="Arial"/>
                <w:sz w:val="16"/>
                <w:szCs w:val="16"/>
              </w:rPr>
              <w:t> </w:t>
            </w:r>
          </w:p>
        </w:tc>
      </w:tr>
      <w:tr w:rsidR="00AB6753" w14:paraId="566FBE5D" w14:textId="77777777" w:rsidTr="002D1EA4">
        <w:trPr>
          <w:trHeight w:val="238"/>
        </w:trPr>
        <w:tc>
          <w:tcPr>
            <w:tcW w:w="4581" w:type="dxa"/>
            <w:tcBorders>
              <w:top w:val="nil"/>
              <w:left w:val="nil"/>
              <w:bottom w:val="nil"/>
              <w:right w:val="nil"/>
            </w:tcBorders>
            <w:shd w:val="clear" w:color="000000" w:fill="D9D9D9"/>
            <w:hideMark/>
          </w:tcPr>
          <w:p w14:paraId="3E163EC3" w14:textId="77777777" w:rsidR="00AB6753" w:rsidRDefault="00AB6753" w:rsidP="002D1EA4">
            <w:pPr>
              <w:spacing w:after="0" w:line="240" w:lineRule="auto"/>
              <w:rPr>
                <w:rFonts w:cs="Arial"/>
                <w:i/>
                <w:iCs/>
                <w:sz w:val="16"/>
                <w:szCs w:val="16"/>
              </w:rPr>
            </w:pPr>
            <w:r>
              <w:rPr>
                <w:rFonts w:cs="Arial"/>
                <w:i/>
                <w:iCs/>
                <w:sz w:val="16"/>
                <w:szCs w:val="16"/>
              </w:rPr>
              <w:t xml:space="preserve">Household Stimulus Package Act (No.2) 2009 </w:t>
            </w:r>
          </w:p>
        </w:tc>
        <w:tc>
          <w:tcPr>
            <w:tcW w:w="912" w:type="dxa"/>
            <w:tcBorders>
              <w:top w:val="nil"/>
              <w:left w:val="nil"/>
              <w:bottom w:val="nil"/>
              <w:right w:val="nil"/>
            </w:tcBorders>
            <w:shd w:val="clear" w:color="000000" w:fill="D9D9D9"/>
            <w:hideMark/>
          </w:tcPr>
          <w:p w14:paraId="76729DB2" w14:textId="77777777" w:rsidR="00AB6753" w:rsidRDefault="00AB6753" w:rsidP="002D1EA4">
            <w:pPr>
              <w:spacing w:after="0" w:line="240" w:lineRule="auto"/>
              <w:jc w:val="center"/>
              <w:rPr>
                <w:rFonts w:cs="Arial"/>
                <w:sz w:val="16"/>
                <w:szCs w:val="16"/>
              </w:rPr>
            </w:pPr>
            <w:r>
              <w:rPr>
                <w:rFonts w:cs="Arial"/>
                <w:sz w:val="16"/>
                <w:szCs w:val="16"/>
              </w:rPr>
              <w:t>Unlimited Amount</w:t>
            </w:r>
          </w:p>
        </w:tc>
        <w:tc>
          <w:tcPr>
            <w:tcW w:w="6316" w:type="dxa"/>
            <w:tcBorders>
              <w:top w:val="nil"/>
              <w:left w:val="nil"/>
              <w:bottom w:val="nil"/>
              <w:right w:val="nil"/>
            </w:tcBorders>
            <w:shd w:val="clear" w:color="000000" w:fill="D9D9D9"/>
            <w:vAlign w:val="bottom"/>
            <w:hideMark/>
          </w:tcPr>
          <w:p w14:paraId="2618B438" w14:textId="77777777" w:rsidR="00AB6753" w:rsidRDefault="00AB6753" w:rsidP="002D1EA4">
            <w:pPr>
              <w:spacing w:after="0" w:line="240" w:lineRule="auto"/>
              <w:rPr>
                <w:rFonts w:cs="Arial"/>
                <w:sz w:val="16"/>
                <w:szCs w:val="16"/>
              </w:rPr>
            </w:pPr>
            <w:r>
              <w:rPr>
                <w:rFonts w:cs="Arial"/>
                <w:sz w:val="16"/>
                <w:szCs w:val="16"/>
              </w:rPr>
              <w:t>An Act to amend laws in order to provide payments relating to the household stimulus package, and for other purposes.</w:t>
            </w:r>
          </w:p>
        </w:tc>
        <w:tc>
          <w:tcPr>
            <w:tcW w:w="1260" w:type="dxa"/>
            <w:tcBorders>
              <w:top w:val="nil"/>
              <w:left w:val="nil"/>
              <w:bottom w:val="nil"/>
              <w:right w:val="nil"/>
            </w:tcBorders>
            <w:shd w:val="clear" w:color="000000" w:fill="D9D9D9"/>
            <w:noWrap/>
            <w:vAlign w:val="center"/>
            <w:hideMark/>
          </w:tcPr>
          <w:p w14:paraId="1CC69A3E" w14:textId="77777777" w:rsidR="00AB6753" w:rsidRDefault="00AB6753" w:rsidP="002D1EA4">
            <w:pPr>
              <w:spacing w:after="0" w:line="240" w:lineRule="auto"/>
              <w:jc w:val="right"/>
              <w:rPr>
                <w:rFonts w:cs="Arial"/>
                <w:b/>
                <w:bCs/>
                <w:sz w:val="16"/>
                <w:szCs w:val="16"/>
              </w:rPr>
            </w:pPr>
            <w:r>
              <w:rPr>
                <w:rFonts w:cs="Arial"/>
                <w:b/>
                <w:bCs/>
                <w:sz w:val="16"/>
                <w:szCs w:val="16"/>
              </w:rPr>
              <w:t xml:space="preserve"> -</w:t>
            </w:r>
          </w:p>
        </w:tc>
        <w:tc>
          <w:tcPr>
            <w:tcW w:w="1189" w:type="dxa"/>
            <w:tcBorders>
              <w:top w:val="nil"/>
              <w:left w:val="nil"/>
              <w:bottom w:val="nil"/>
              <w:right w:val="nil"/>
            </w:tcBorders>
            <w:shd w:val="clear" w:color="000000" w:fill="D9D9D9"/>
            <w:noWrap/>
            <w:vAlign w:val="center"/>
            <w:hideMark/>
          </w:tcPr>
          <w:p w14:paraId="0A180475" w14:textId="77777777" w:rsidR="00AB6753" w:rsidRDefault="00AB6753" w:rsidP="002D1EA4">
            <w:pPr>
              <w:spacing w:after="0" w:line="240" w:lineRule="auto"/>
              <w:jc w:val="right"/>
              <w:rPr>
                <w:rFonts w:cs="Arial"/>
                <w:sz w:val="16"/>
                <w:szCs w:val="16"/>
              </w:rPr>
            </w:pPr>
            <w:r>
              <w:rPr>
                <w:rFonts w:cs="Arial"/>
                <w:sz w:val="16"/>
                <w:szCs w:val="16"/>
              </w:rPr>
              <w:t xml:space="preserve"> -</w:t>
            </w:r>
          </w:p>
        </w:tc>
      </w:tr>
      <w:tr w:rsidR="00AB6753" w14:paraId="1CAE456A" w14:textId="77777777" w:rsidTr="002D1EA4">
        <w:trPr>
          <w:trHeight w:val="238"/>
        </w:trPr>
        <w:tc>
          <w:tcPr>
            <w:tcW w:w="4581" w:type="dxa"/>
            <w:tcBorders>
              <w:top w:val="nil"/>
              <w:left w:val="nil"/>
              <w:bottom w:val="nil"/>
              <w:right w:val="nil"/>
            </w:tcBorders>
            <w:shd w:val="clear" w:color="000000" w:fill="D9D9D9"/>
            <w:hideMark/>
          </w:tcPr>
          <w:p w14:paraId="17E6E907" w14:textId="77777777" w:rsidR="00AB6753" w:rsidRDefault="00AB6753" w:rsidP="002D1EA4">
            <w:pPr>
              <w:spacing w:after="0" w:line="240" w:lineRule="auto"/>
              <w:rPr>
                <w:rFonts w:cs="Arial"/>
                <w:i/>
                <w:iCs/>
                <w:sz w:val="16"/>
                <w:szCs w:val="16"/>
              </w:rPr>
            </w:pPr>
            <w:r>
              <w:rPr>
                <w:rFonts w:cs="Arial"/>
                <w:i/>
                <w:iCs/>
                <w:sz w:val="16"/>
                <w:szCs w:val="16"/>
              </w:rPr>
              <w:t> </w:t>
            </w:r>
          </w:p>
        </w:tc>
        <w:tc>
          <w:tcPr>
            <w:tcW w:w="912" w:type="dxa"/>
            <w:tcBorders>
              <w:top w:val="nil"/>
              <w:left w:val="nil"/>
              <w:bottom w:val="nil"/>
              <w:right w:val="nil"/>
            </w:tcBorders>
            <w:shd w:val="clear" w:color="000000" w:fill="D9D9D9"/>
            <w:hideMark/>
          </w:tcPr>
          <w:p w14:paraId="108672F5" w14:textId="77777777" w:rsidR="00AB6753" w:rsidRDefault="00AB6753" w:rsidP="002D1EA4">
            <w:pPr>
              <w:spacing w:after="0" w:line="240" w:lineRule="auto"/>
              <w:jc w:val="center"/>
              <w:rPr>
                <w:rFonts w:cs="Arial"/>
                <w:sz w:val="16"/>
                <w:szCs w:val="16"/>
              </w:rPr>
            </w:pPr>
            <w:r>
              <w:rPr>
                <w:rFonts w:cs="Arial"/>
                <w:sz w:val="16"/>
                <w:szCs w:val="16"/>
              </w:rPr>
              <w:t> </w:t>
            </w:r>
          </w:p>
        </w:tc>
        <w:tc>
          <w:tcPr>
            <w:tcW w:w="6316" w:type="dxa"/>
            <w:tcBorders>
              <w:top w:val="nil"/>
              <w:left w:val="nil"/>
              <w:bottom w:val="nil"/>
              <w:right w:val="nil"/>
            </w:tcBorders>
            <w:shd w:val="clear" w:color="000000" w:fill="D9D9D9"/>
            <w:vAlign w:val="bottom"/>
            <w:hideMark/>
          </w:tcPr>
          <w:p w14:paraId="10F4EA70" w14:textId="77777777" w:rsidR="00AB6753" w:rsidRDefault="00AB6753" w:rsidP="002D1EA4">
            <w:pPr>
              <w:spacing w:after="0" w:line="240" w:lineRule="auto"/>
              <w:rPr>
                <w:rFonts w:cs="Arial"/>
                <w:sz w:val="16"/>
                <w:szCs w:val="16"/>
              </w:rPr>
            </w:pPr>
            <w:r>
              <w:rPr>
                <w:rFonts w:cs="Arial"/>
                <w:sz w:val="16"/>
                <w:szCs w:val="16"/>
              </w:rPr>
              <w:t> </w:t>
            </w:r>
          </w:p>
        </w:tc>
        <w:tc>
          <w:tcPr>
            <w:tcW w:w="1260" w:type="dxa"/>
            <w:tcBorders>
              <w:top w:val="nil"/>
              <w:left w:val="nil"/>
              <w:bottom w:val="nil"/>
              <w:right w:val="nil"/>
            </w:tcBorders>
            <w:shd w:val="clear" w:color="000000" w:fill="D9D9D9"/>
            <w:noWrap/>
            <w:vAlign w:val="bottom"/>
            <w:hideMark/>
          </w:tcPr>
          <w:p w14:paraId="1ED27E77" w14:textId="77777777" w:rsidR="00AB6753" w:rsidRDefault="00AB6753" w:rsidP="002D1EA4">
            <w:pPr>
              <w:spacing w:after="0" w:line="240" w:lineRule="auto"/>
              <w:jc w:val="right"/>
              <w:rPr>
                <w:rFonts w:cs="Arial"/>
                <w:b/>
                <w:bCs/>
                <w:sz w:val="16"/>
                <w:szCs w:val="16"/>
              </w:rPr>
            </w:pPr>
            <w:r>
              <w:rPr>
                <w:rFonts w:cs="Arial"/>
                <w:b/>
                <w:bCs/>
                <w:sz w:val="16"/>
                <w:szCs w:val="16"/>
              </w:rPr>
              <w:t> </w:t>
            </w:r>
          </w:p>
        </w:tc>
        <w:tc>
          <w:tcPr>
            <w:tcW w:w="1189" w:type="dxa"/>
            <w:tcBorders>
              <w:top w:val="nil"/>
              <w:left w:val="nil"/>
              <w:bottom w:val="nil"/>
              <w:right w:val="nil"/>
            </w:tcBorders>
            <w:shd w:val="clear" w:color="000000" w:fill="D9D9D9"/>
            <w:noWrap/>
            <w:vAlign w:val="bottom"/>
            <w:hideMark/>
          </w:tcPr>
          <w:p w14:paraId="0C4A626A" w14:textId="77777777" w:rsidR="00AB6753" w:rsidRDefault="00AB6753" w:rsidP="002D1EA4">
            <w:pPr>
              <w:spacing w:after="0" w:line="240" w:lineRule="auto"/>
              <w:jc w:val="right"/>
              <w:rPr>
                <w:rFonts w:cs="Arial"/>
                <w:sz w:val="16"/>
                <w:szCs w:val="16"/>
              </w:rPr>
            </w:pPr>
            <w:r>
              <w:rPr>
                <w:rFonts w:cs="Arial"/>
                <w:sz w:val="16"/>
                <w:szCs w:val="16"/>
              </w:rPr>
              <w:t> </w:t>
            </w:r>
          </w:p>
        </w:tc>
      </w:tr>
      <w:tr w:rsidR="00AB6753" w14:paraId="3EED2408" w14:textId="77777777" w:rsidTr="002D1EA4">
        <w:trPr>
          <w:trHeight w:val="238"/>
        </w:trPr>
        <w:tc>
          <w:tcPr>
            <w:tcW w:w="4581" w:type="dxa"/>
            <w:tcBorders>
              <w:top w:val="single" w:sz="4" w:space="0" w:color="auto"/>
              <w:left w:val="nil"/>
              <w:bottom w:val="single" w:sz="4" w:space="0" w:color="auto"/>
              <w:right w:val="nil"/>
            </w:tcBorders>
            <w:shd w:val="clear" w:color="000000" w:fill="D9D9D9"/>
            <w:vAlign w:val="bottom"/>
            <w:hideMark/>
          </w:tcPr>
          <w:p w14:paraId="64A9C33B" w14:textId="77777777" w:rsidR="00AB6753" w:rsidRDefault="00AB6753" w:rsidP="002D1EA4">
            <w:pPr>
              <w:spacing w:after="0" w:line="240" w:lineRule="auto"/>
              <w:rPr>
                <w:rFonts w:cs="Arial"/>
                <w:b/>
                <w:bCs/>
                <w:sz w:val="18"/>
                <w:szCs w:val="18"/>
              </w:rPr>
            </w:pPr>
            <w:r>
              <w:rPr>
                <w:rFonts w:cs="Arial"/>
                <w:b/>
                <w:bCs/>
                <w:sz w:val="18"/>
                <w:szCs w:val="18"/>
              </w:rPr>
              <w:t>Total special appropriations applied</w:t>
            </w:r>
          </w:p>
        </w:tc>
        <w:tc>
          <w:tcPr>
            <w:tcW w:w="912" w:type="dxa"/>
            <w:tcBorders>
              <w:top w:val="single" w:sz="4" w:space="0" w:color="auto"/>
              <w:left w:val="nil"/>
              <w:bottom w:val="single" w:sz="4" w:space="0" w:color="auto"/>
              <w:right w:val="nil"/>
            </w:tcBorders>
            <w:shd w:val="clear" w:color="000000" w:fill="D9D9D9"/>
            <w:vAlign w:val="bottom"/>
            <w:hideMark/>
          </w:tcPr>
          <w:p w14:paraId="5FB39276" w14:textId="77777777" w:rsidR="00AB6753" w:rsidRDefault="00AB6753" w:rsidP="002D1EA4">
            <w:pPr>
              <w:spacing w:after="0" w:line="240" w:lineRule="auto"/>
              <w:jc w:val="center"/>
              <w:rPr>
                <w:rFonts w:cs="Arial"/>
                <w:b/>
                <w:bCs/>
                <w:sz w:val="18"/>
                <w:szCs w:val="18"/>
              </w:rPr>
            </w:pPr>
            <w:r>
              <w:rPr>
                <w:rFonts w:cs="Arial"/>
                <w:b/>
                <w:bCs/>
                <w:sz w:val="18"/>
                <w:szCs w:val="18"/>
              </w:rPr>
              <w:t> </w:t>
            </w:r>
          </w:p>
        </w:tc>
        <w:tc>
          <w:tcPr>
            <w:tcW w:w="6316" w:type="dxa"/>
            <w:tcBorders>
              <w:top w:val="single" w:sz="4" w:space="0" w:color="auto"/>
              <w:left w:val="nil"/>
              <w:bottom w:val="single" w:sz="4" w:space="0" w:color="auto"/>
              <w:right w:val="nil"/>
            </w:tcBorders>
            <w:shd w:val="clear" w:color="000000" w:fill="D9D9D9"/>
            <w:vAlign w:val="bottom"/>
            <w:hideMark/>
          </w:tcPr>
          <w:p w14:paraId="0706A584" w14:textId="77777777" w:rsidR="00AB6753" w:rsidRDefault="00AB6753" w:rsidP="002D1EA4">
            <w:pPr>
              <w:spacing w:after="0" w:line="240" w:lineRule="auto"/>
              <w:rPr>
                <w:rFonts w:cs="Arial"/>
                <w:b/>
                <w:bCs/>
                <w:sz w:val="18"/>
                <w:szCs w:val="18"/>
              </w:rPr>
            </w:pPr>
            <w:r>
              <w:rPr>
                <w:rFonts w:cs="Arial"/>
                <w:b/>
                <w:bCs/>
                <w:sz w:val="18"/>
                <w:szCs w:val="18"/>
              </w:rPr>
              <w:t> </w:t>
            </w:r>
          </w:p>
        </w:tc>
        <w:tc>
          <w:tcPr>
            <w:tcW w:w="1260" w:type="dxa"/>
            <w:tcBorders>
              <w:top w:val="single" w:sz="4" w:space="0" w:color="auto"/>
              <w:left w:val="nil"/>
              <w:bottom w:val="single" w:sz="4" w:space="0" w:color="auto"/>
              <w:right w:val="nil"/>
            </w:tcBorders>
            <w:shd w:val="clear" w:color="000000" w:fill="D9D9D9"/>
            <w:noWrap/>
            <w:vAlign w:val="bottom"/>
            <w:hideMark/>
          </w:tcPr>
          <w:p w14:paraId="25087AF8" w14:textId="26C651E3" w:rsidR="00AB6753" w:rsidRDefault="00AB6753" w:rsidP="002D1EA4">
            <w:pPr>
              <w:spacing w:after="0" w:line="240" w:lineRule="auto"/>
              <w:jc w:val="right"/>
              <w:rPr>
                <w:rFonts w:cs="Arial"/>
                <w:b/>
                <w:bCs/>
                <w:sz w:val="16"/>
                <w:szCs w:val="16"/>
              </w:rPr>
            </w:pPr>
            <w:r>
              <w:rPr>
                <w:rFonts w:cs="Arial"/>
                <w:b/>
                <w:bCs/>
                <w:sz w:val="16"/>
                <w:szCs w:val="16"/>
              </w:rPr>
              <w:t xml:space="preserve">127,336,468 </w:t>
            </w:r>
          </w:p>
        </w:tc>
        <w:tc>
          <w:tcPr>
            <w:tcW w:w="1189" w:type="dxa"/>
            <w:tcBorders>
              <w:top w:val="single" w:sz="4" w:space="0" w:color="auto"/>
              <w:left w:val="nil"/>
              <w:bottom w:val="single" w:sz="4" w:space="0" w:color="auto"/>
              <w:right w:val="nil"/>
            </w:tcBorders>
            <w:shd w:val="clear" w:color="000000" w:fill="D9D9D9"/>
            <w:noWrap/>
            <w:vAlign w:val="bottom"/>
            <w:hideMark/>
          </w:tcPr>
          <w:p w14:paraId="5162308B" w14:textId="77777777" w:rsidR="00AB6753" w:rsidRDefault="00AB6753" w:rsidP="002D1EA4">
            <w:pPr>
              <w:spacing w:after="0" w:line="240" w:lineRule="auto"/>
              <w:jc w:val="right"/>
              <w:rPr>
                <w:rFonts w:cs="Arial"/>
                <w:sz w:val="16"/>
                <w:szCs w:val="16"/>
              </w:rPr>
            </w:pPr>
            <w:r>
              <w:rPr>
                <w:rFonts w:cs="Arial"/>
                <w:sz w:val="16"/>
                <w:szCs w:val="16"/>
              </w:rPr>
              <w:t xml:space="preserve"> 111,140,429</w:t>
            </w:r>
            <w:r>
              <w:rPr>
                <w:rFonts w:cs="Arial"/>
                <w:sz w:val="16"/>
                <w:szCs w:val="16"/>
                <w:vertAlign w:val="superscript"/>
              </w:rPr>
              <w:t>3</w:t>
            </w:r>
            <w:r>
              <w:rPr>
                <w:rFonts w:cs="Arial"/>
                <w:sz w:val="16"/>
                <w:szCs w:val="16"/>
              </w:rPr>
              <w:t xml:space="preserve"> </w:t>
            </w:r>
          </w:p>
        </w:tc>
      </w:tr>
    </w:tbl>
    <w:p w14:paraId="2A8C1116" w14:textId="77777777" w:rsidR="00AB6753" w:rsidRPr="00137AC3" w:rsidRDefault="00AB6753" w:rsidP="00AB6753">
      <w:pPr>
        <w:pStyle w:val="GreyShadeTableBreak"/>
        <w:ind w:left="142" w:right="-28"/>
        <w:rPr>
          <w:rFonts w:ascii="Arial" w:hAnsi="Arial" w:cs="Arial"/>
          <w:sz w:val="18"/>
          <w:szCs w:val="18"/>
        </w:rPr>
      </w:pPr>
    </w:p>
    <w:p w14:paraId="5A784C16" w14:textId="77777777" w:rsidR="00AB6753" w:rsidRPr="00137AC3" w:rsidRDefault="00AB6753" w:rsidP="00AB6753">
      <w:pPr>
        <w:pStyle w:val="GreyShadeTableBreak"/>
        <w:numPr>
          <w:ilvl w:val="0"/>
          <w:numId w:val="44"/>
        </w:numPr>
        <w:ind w:left="284" w:right="-28" w:hanging="159"/>
        <w:rPr>
          <w:rFonts w:ascii="Arial" w:hAnsi="Arial" w:cs="Arial"/>
          <w:sz w:val="18"/>
          <w:szCs w:val="18"/>
        </w:rPr>
      </w:pPr>
      <w:r w:rsidRPr="00137AC3">
        <w:rPr>
          <w:rFonts w:ascii="Arial" w:hAnsi="Arial" w:cs="Arial"/>
          <w:sz w:val="18"/>
          <w:szCs w:val="18"/>
        </w:rPr>
        <w:t xml:space="preserve">The Department of Veterans’ Affairs spent money from the Consolidated Revenue Fund on behalf of </w:t>
      </w:r>
      <w:r w:rsidRPr="00137AC3">
        <w:rPr>
          <w:rFonts w:ascii="Arial" w:hAnsi="Arial" w:cs="Arial"/>
          <w:sz w:val="18"/>
          <w:szCs w:val="18"/>
        </w:rPr>
        <w:fldChar w:fldCharType="begin"/>
      </w:r>
      <w:r w:rsidRPr="00137AC3">
        <w:rPr>
          <w:rFonts w:ascii="Arial" w:hAnsi="Arial" w:cs="Arial"/>
          <w:sz w:val="18"/>
          <w:szCs w:val="18"/>
        </w:rPr>
        <w:instrText xml:space="preserve"> DOCPROPERTY  ShortName  \* MERGEFORMAT </w:instrText>
      </w:r>
      <w:r w:rsidRPr="00137AC3">
        <w:rPr>
          <w:rFonts w:ascii="Arial" w:hAnsi="Arial" w:cs="Arial"/>
          <w:sz w:val="18"/>
          <w:szCs w:val="18"/>
        </w:rPr>
        <w:fldChar w:fldCharType="separate"/>
      </w:r>
      <w:r w:rsidRPr="00137AC3">
        <w:rPr>
          <w:rFonts w:ascii="Arial" w:hAnsi="Arial" w:cs="Arial"/>
          <w:sz w:val="18"/>
          <w:szCs w:val="18"/>
        </w:rPr>
        <w:t>the department</w:t>
      </w:r>
      <w:r w:rsidRPr="00137AC3">
        <w:rPr>
          <w:rFonts w:ascii="Arial" w:hAnsi="Arial" w:cs="Arial"/>
          <w:sz w:val="18"/>
          <w:szCs w:val="18"/>
        </w:rPr>
        <w:fldChar w:fldCharType="end"/>
      </w:r>
      <w:r w:rsidRPr="00137AC3">
        <w:rPr>
          <w:rFonts w:ascii="Arial" w:hAnsi="Arial" w:cs="Arial"/>
          <w:sz w:val="18"/>
          <w:szCs w:val="18"/>
        </w:rPr>
        <w:t xml:space="preserve"> against the special appropriations for </w:t>
      </w:r>
      <w:r w:rsidRPr="00137AC3">
        <w:rPr>
          <w:rFonts w:ascii="Arial" w:hAnsi="Arial" w:cs="Arial"/>
          <w:i/>
          <w:sz w:val="18"/>
          <w:szCs w:val="18"/>
        </w:rPr>
        <w:t>Social Security (Administration) Act 1999, Administered</w:t>
      </w:r>
      <w:r w:rsidRPr="00137AC3">
        <w:rPr>
          <w:rFonts w:ascii="Arial" w:hAnsi="Arial" w:cs="Arial"/>
          <w:sz w:val="18"/>
          <w:szCs w:val="18"/>
        </w:rPr>
        <w:t xml:space="preserve">; and </w:t>
      </w:r>
      <w:r w:rsidRPr="00137AC3">
        <w:rPr>
          <w:rFonts w:ascii="Arial" w:hAnsi="Arial" w:cs="Arial"/>
          <w:i/>
          <w:sz w:val="18"/>
          <w:szCs w:val="18"/>
        </w:rPr>
        <w:t>A New Tax System (Family Assistance) (Administration) Act 1999, Administered</w:t>
      </w:r>
      <w:r w:rsidRPr="00137AC3">
        <w:rPr>
          <w:rFonts w:ascii="Arial" w:hAnsi="Arial" w:cs="Arial"/>
          <w:sz w:val="18"/>
          <w:szCs w:val="18"/>
        </w:rPr>
        <w:t xml:space="preserve">. </w:t>
      </w:r>
    </w:p>
    <w:p w14:paraId="540BD2B0" w14:textId="77777777" w:rsidR="00AB6753" w:rsidRPr="00137AC3" w:rsidRDefault="00AB6753" w:rsidP="00AB6753">
      <w:pPr>
        <w:pStyle w:val="GreyShadeTableBreak"/>
        <w:numPr>
          <w:ilvl w:val="0"/>
          <w:numId w:val="44"/>
        </w:numPr>
        <w:ind w:left="284" w:right="-28" w:hanging="159"/>
        <w:rPr>
          <w:rFonts w:ascii="Arial" w:hAnsi="Arial" w:cs="Arial"/>
          <w:sz w:val="18"/>
          <w:szCs w:val="18"/>
        </w:rPr>
      </w:pPr>
      <w:r w:rsidRPr="00137AC3">
        <w:rPr>
          <w:rFonts w:ascii="Arial" w:hAnsi="Arial" w:cs="Arial"/>
          <w:sz w:val="18"/>
          <w:szCs w:val="18"/>
        </w:rPr>
        <w:t>The department received PGPA Act section 74 cash receipts from Services Australia for recovery of personal benefit overpayments. These amounts are included against the relevant special appropriation.</w:t>
      </w:r>
    </w:p>
    <w:p w14:paraId="649E9CF3" w14:textId="77777777" w:rsidR="00AB6753" w:rsidRPr="00137AC3" w:rsidRDefault="00AB6753" w:rsidP="00AB6753">
      <w:pPr>
        <w:pStyle w:val="GreyShadeTableBreak"/>
        <w:numPr>
          <w:ilvl w:val="0"/>
          <w:numId w:val="44"/>
        </w:numPr>
        <w:ind w:left="284" w:right="-28" w:hanging="159"/>
        <w:rPr>
          <w:rFonts w:ascii="Arial" w:hAnsi="Arial" w:cs="Arial"/>
          <w:sz w:val="18"/>
          <w:szCs w:val="18"/>
        </w:rPr>
      </w:pPr>
      <w:r w:rsidRPr="00137AC3">
        <w:rPr>
          <w:rFonts w:ascii="Arial" w:hAnsi="Arial" w:cs="Arial"/>
          <w:sz w:val="18"/>
          <w:szCs w:val="18"/>
        </w:rPr>
        <w:t>Amounts credited to the special account as a direct budget appropriation adjustment are not disclosed in Note 5.1C Special Appropriations applied. The department made a voluntary accounting policy change in accordance with AASB 108.29 in relation to the presentation of the annual credit to the Social and Community Services Pay Equity Special Account with the annual credit disclosed separately from other special appropriations. The change is applied retrospectively.</w:t>
      </w:r>
    </w:p>
    <w:p w14:paraId="33F80F83" w14:textId="77777777" w:rsidR="00AB6753" w:rsidRDefault="00AB6753" w:rsidP="00AB6753">
      <w:pPr>
        <w:ind w:left="284"/>
        <w:sectPr w:rsidR="00AB6753" w:rsidSect="00137AC3">
          <w:pgSz w:w="16838" w:h="11906" w:orient="landscape" w:code="9"/>
          <w:pgMar w:top="1134" w:right="1387" w:bottom="1134" w:left="1134" w:header="958" w:footer="737" w:gutter="0"/>
          <w:cols w:space="708"/>
          <w:docGrid w:linePitch="360"/>
        </w:sectPr>
      </w:pPr>
    </w:p>
    <w:p w14:paraId="4E77EA62" w14:textId="77777777" w:rsidR="00AB6753" w:rsidRDefault="00AB6753" w:rsidP="00AB6753">
      <w:pPr>
        <w:pStyle w:val="ContinuedSubHeading"/>
        <w:ind w:left="567" w:hanging="454"/>
      </w:pPr>
      <w:r>
        <w:lastRenderedPageBreak/>
        <w:t>5.1</w:t>
      </w:r>
      <w:r w:rsidRPr="00B02E78">
        <w:t xml:space="preserve"> Appropriations (continued)</w:t>
      </w:r>
    </w:p>
    <w:p w14:paraId="69678A9D" w14:textId="77777777" w:rsidR="00AB6753" w:rsidRDefault="00AB6753" w:rsidP="00AB6753">
      <w:pPr>
        <w:pStyle w:val="ContinuedSubHeading"/>
      </w:pPr>
    </w:p>
    <w:tbl>
      <w:tblPr>
        <w:tblW w:w="9411" w:type="dxa"/>
        <w:tblInd w:w="80" w:type="dxa"/>
        <w:tblLayout w:type="fixed"/>
        <w:tblLook w:val="04A0" w:firstRow="1" w:lastRow="0" w:firstColumn="1" w:lastColumn="0" w:noHBand="0" w:noVBand="1"/>
        <w:tblCaption w:val="Notes to and forming part of the financial statements"/>
        <w:tblDescription w:val="Appropriations continued"/>
      </w:tblPr>
      <w:tblGrid>
        <w:gridCol w:w="2909"/>
        <w:gridCol w:w="3384"/>
        <w:gridCol w:w="3118"/>
      </w:tblGrid>
      <w:tr w:rsidR="00AB6753" w14:paraId="0B5BE8CD" w14:textId="77777777" w:rsidTr="002D1EA4">
        <w:trPr>
          <w:trHeight w:val="255"/>
        </w:trPr>
        <w:tc>
          <w:tcPr>
            <w:tcW w:w="9332" w:type="dxa"/>
            <w:gridSpan w:val="3"/>
            <w:tcBorders>
              <w:top w:val="nil"/>
              <w:left w:val="nil"/>
              <w:bottom w:val="nil"/>
              <w:right w:val="nil"/>
            </w:tcBorders>
            <w:shd w:val="clear" w:color="FFFFFF" w:fill="FFFFFF"/>
            <w:noWrap/>
            <w:vAlign w:val="bottom"/>
            <w:hideMark/>
          </w:tcPr>
          <w:p w14:paraId="443DA125" w14:textId="77777777" w:rsidR="00AB6753" w:rsidRDefault="00AB6753" w:rsidP="002D1EA4">
            <w:pPr>
              <w:spacing w:after="0"/>
              <w:rPr>
                <w:rFonts w:cs="Arial"/>
                <w:b/>
                <w:bCs/>
                <w:sz w:val="18"/>
                <w:szCs w:val="18"/>
                <w:u w:val="single"/>
              </w:rPr>
            </w:pPr>
            <w:bookmarkStart w:id="188" w:name="Note_DACTABLE1" w:colFirst="0" w:colLast="0"/>
            <w:r>
              <w:rPr>
                <w:rFonts w:cs="Arial"/>
                <w:b/>
                <w:bCs/>
                <w:sz w:val="18"/>
                <w:szCs w:val="18"/>
                <w:u w:val="single"/>
              </w:rPr>
              <w:t>Note 5.1D: Disclosure by Agent in Relation to Annual and Special Appropriations ('Recoverable GST exclusive')</w:t>
            </w:r>
          </w:p>
        </w:tc>
      </w:tr>
      <w:bookmarkEnd w:id="188"/>
      <w:tr w:rsidR="00AB6753" w14:paraId="4C0C3495" w14:textId="77777777" w:rsidTr="002D1EA4">
        <w:trPr>
          <w:trHeight w:val="255"/>
        </w:trPr>
        <w:tc>
          <w:tcPr>
            <w:tcW w:w="2884" w:type="dxa"/>
            <w:tcBorders>
              <w:top w:val="nil"/>
              <w:left w:val="nil"/>
              <w:bottom w:val="nil"/>
              <w:right w:val="nil"/>
            </w:tcBorders>
            <w:shd w:val="clear" w:color="FFFFFF" w:fill="FFFFFF"/>
            <w:noWrap/>
            <w:vAlign w:val="bottom"/>
            <w:hideMark/>
          </w:tcPr>
          <w:p w14:paraId="5FFECA93" w14:textId="77777777" w:rsidR="00AB6753" w:rsidRDefault="00AB6753" w:rsidP="002D1EA4">
            <w:pPr>
              <w:spacing w:after="0"/>
              <w:rPr>
                <w:rFonts w:cs="Arial"/>
                <w:sz w:val="18"/>
                <w:szCs w:val="18"/>
              </w:rPr>
            </w:pPr>
            <w:r>
              <w:rPr>
                <w:rFonts w:cs="Arial"/>
                <w:sz w:val="18"/>
                <w:szCs w:val="18"/>
              </w:rPr>
              <w:t> </w:t>
            </w:r>
          </w:p>
        </w:tc>
        <w:tc>
          <w:tcPr>
            <w:tcW w:w="3356" w:type="dxa"/>
            <w:tcBorders>
              <w:top w:val="nil"/>
              <w:left w:val="nil"/>
              <w:bottom w:val="nil"/>
              <w:right w:val="nil"/>
            </w:tcBorders>
            <w:shd w:val="clear" w:color="FFFFFF" w:fill="FFFFFF"/>
            <w:noWrap/>
            <w:vAlign w:val="bottom"/>
            <w:hideMark/>
          </w:tcPr>
          <w:p w14:paraId="4CAE5BE4" w14:textId="77777777" w:rsidR="00AB6753" w:rsidRDefault="00AB6753" w:rsidP="002D1EA4">
            <w:pPr>
              <w:spacing w:after="0"/>
              <w:rPr>
                <w:rFonts w:cs="Arial"/>
                <w:sz w:val="18"/>
                <w:szCs w:val="18"/>
              </w:rPr>
            </w:pPr>
            <w:r>
              <w:rPr>
                <w:rFonts w:cs="Arial"/>
                <w:sz w:val="18"/>
                <w:szCs w:val="18"/>
              </w:rPr>
              <w:t> </w:t>
            </w:r>
          </w:p>
        </w:tc>
        <w:tc>
          <w:tcPr>
            <w:tcW w:w="3092" w:type="dxa"/>
            <w:tcBorders>
              <w:top w:val="nil"/>
              <w:left w:val="nil"/>
              <w:bottom w:val="nil"/>
              <w:right w:val="nil"/>
            </w:tcBorders>
            <w:shd w:val="clear" w:color="FFFFFF" w:fill="FFFFFF"/>
            <w:noWrap/>
            <w:vAlign w:val="bottom"/>
            <w:hideMark/>
          </w:tcPr>
          <w:p w14:paraId="580828A5" w14:textId="77777777" w:rsidR="00AB6753" w:rsidRDefault="00AB6753" w:rsidP="002D1EA4">
            <w:pPr>
              <w:spacing w:after="0"/>
              <w:rPr>
                <w:rFonts w:cs="Arial"/>
                <w:sz w:val="18"/>
                <w:szCs w:val="18"/>
              </w:rPr>
            </w:pPr>
            <w:r>
              <w:rPr>
                <w:rFonts w:cs="Arial"/>
                <w:sz w:val="18"/>
                <w:szCs w:val="18"/>
              </w:rPr>
              <w:t> </w:t>
            </w:r>
          </w:p>
        </w:tc>
      </w:tr>
      <w:tr w:rsidR="00AB6753" w14:paraId="331BEEB7" w14:textId="77777777" w:rsidTr="002D1EA4">
        <w:trPr>
          <w:trHeight w:val="255"/>
        </w:trPr>
        <w:tc>
          <w:tcPr>
            <w:tcW w:w="9332" w:type="dxa"/>
            <w:gridSpan w:val="3"/>
            <w:tcBorders>
              <w:top w:val="nil"/>
              <w:left w:val="nil"/>
              <w:bottom w:val="nil"/>
              <w:right w:val="nil"/>
            </w:tcBorders>
            <w:shd w:val="clear" w:color="FFFFFF" w:fill="FFFFFF"/>
            <w:noWrap/>
            <w:vAlign w:val="bottom"/>
            <w:hideMark/>
          </w:tcPr>
          <w:p w14:paraId="0B4A0E86" w14:textId="77777777" w:rsidR="00AB6753" w:rsidRDefault="00AB6753" w:rsidP="002D1EA4">
            <w:pPr>
              <w:spacing w:after="0"/>
              <w:rPr>
                <w:rFonts w:cs="Arial"/>
                <w:b/>
                <w:bCs/>
                <w:sz w:val="18"/>
                <w:szCs w:val="18"/>
                <w:u w:val="single"/>
              </w:rPr>
            </w:pPr>
            <w:r>
              <w:rPr>
                <w:rFonts w:cs="Arial"/>
                <w:b/>
                <w:bCs/>
                <w:sz w:val="18"/>
                <w:szCs w:val="18"/>
                <w:u w:val="single"/>
              </w:rPr>
              <w:t>Departmental Disclosure by Agent</w:t>
            </w:r>
          </w:p>
        </w:tc>
      </w:tr>
      <w:tr w:rsidR="00AB6753" w14:paraId="6250B1E6" w14:textId="77777777" w:rsidTr="002D1EA4">
        <w:trPr>
          <w:trHeight w:val="255"/>
        </w:trPr>
        <w:tc>
          <w:tcPr>
            <w:tcW w:w="2884" w:type="dxa"/>
            <w:tcBorders>
              <w:top w:val="nil"/>
              <w:left w:val="nil"/>
              <w:bottom w:val="nil"/>
              <w:right w:val="nil"/>
            </w:tcBorders>
            <w:shd w:val="clear" w:color="FFFFFF" w:fill="FFFFFF"/>
            <w:noWrap/>
            <w:vAlign w:val="bottom"/>
            <w:hideMark/>
          </w:tcPr>
          <w:p w14:paraId="51A1B99F" w14:textId="77777777" w:rsidR="00AB6753" w:rsidRDefault="00AB6753" w:rsidP="002D1EA4">
            <w:pPr>
              <w:spacing w:after="0"/>
              <w:rPr>
                <w:rFonts w:cs="Arial"/>
                <w:sz w:val="18"/>
                <w:szCs w:val="18"/>
              </w:rPr>
            </w:pPr>
            <w:r>
              <w:rPr>
                <w:rFonts w:cs="Arial"/>
                <w:sz w:val="18"/>
                <w:szCs w:val="18"/>
              </w:rPr>
              <w:t> </w:t>
            </w:r>
          </w:p>
        </w:tc>
        <w:tc>
          <w:tcPr>
            <w:tcW w:w="3356" w:type="dxa"/>
            <w:tcBorders>
              <w:top w:val="nil"/>
              <w:left w:val="nil"/>
              <w:bottom w:val="nil"/>
              <w:right w:val="nil"/>
            </w:tcBorders>
            <w:shd w:val="clear" w:color="FFFFFF" w:fill="FFFFFF"/>
            <w:noWrap/>
            <w:vAlign w:val="bottom"/>
            <w:hideMark/>
          </w:tcPr>
          <w:p w14:paraId="445AEC1E" w14:textId="77777777" w:rsidR="00AB6753" w:rsidRDefault="00AB6753" w:rsidP="002D1EA4">
            <w:pPr>
              <w:spacing w:after="0"/>
              <w:rPr>
                <w:rFonts w:cs="Arial"/>
                <w:sz w:val="18"/>
                <w:szCs w:val="18"/>
              </w:rPr>
            </w:pPr>
            <w:r>
              <w:rPr>
                <w:rFonts w:cs="Arial"/>
                <w:sz w:val="18"/>
                <w:szCs w:val="18"/>
              </w:rPr>
              <w:t> </w:t>
            </w:r>
          </w:p>
        </w:tc>
        <w:tc>
          <w:tcPr>
            <w:tcW w:w="3092" w:type="dxa"/>
            <w:tcBorders>
              <w:top w:val="nil"/>
              <w:left w:val="nil"/>
              <w:bottom w:val="nil"/>
              <w:right w:val="nil"/>
            </w:tcBorders>
            <w:shd w:val="clear" w:color="FFFFFF" w:fill="FFFFFF"/>
            <w:noWrap/>
            <w:vAlign w:val="bottom"/>
            <w:hideMark/>
          </w:tcPr>
          <w:p w14:paraId="6F210F31" w14:textId="77777777" w:rsidR="00AB6753" w:rsidRDefault="00AB6753" w:rsidP="002D1EA4">
            <w:pPr>
              <w:spacing w:after="0"/>
              <w:rPr>
                <w:rFonts w:cs="Arial"/>
                <w:sz w:val="18"/>
                <w:szCs w:val="18"/>
              </w:rPr>
            </w:pPr>
            <w:r>
              <w:rPr>
                <w:rFonts w:cs="Arial"/>
                <w:sz w:val="18"/>
                <w:szCs w:val="18"/>
              </w:rPr>
              <w:t> </w:t>
            </w:r>
          </w:p>
        </w:tc>
      </w:tr>
      <w:tr w:rsidR="00AB6753" w14:paraId="321D9CE7" w14:textId="77777777" w:rsidTr="002D1EA4">
        <w:trPr>
          <w:trHeight w:val="270"/>
        </w:trPr>
        <w:tc>
          <w:tcPr>
            <w:tcW w:w="2884" w:type="dxa"/>
            <w:tcBorders>
              <w:top w:val="single" w:sz="4" w:space="0" w:color="auto"/>
              <w:left w:val="nil"/>
              <w:bottom w:val="nil"/>
              <w:right w:val="nil"/>
            </w:tcBorders>
            <w:shd w:val="clear" w:color="FFFFFF" w:fill="FFFFFF"/>
            <w:vAlign w:val="bottom"/>
            <w:hideMark/>
          </w:tcPr>
          <w:p w14:paraId="4CC5C25C" w14:textId="77777777" w:rsidR="00AB6753" w:rsidRDefault="00AB6753" w:rsidP="002D1EA4">
            <w:pPr>
              <w:spacing w:after="0"/>
              <w:rPr>
                <w:rFonts w:cs="Arial"/>
                <w:b/>
                <w:bCs/>
                <w:sz w:val="18"/>
                <w:szCs w:val="18"/>
              </w:rPr>
            </w:pPr>
            <w:r>
              <w:rPr>
                <w:rFonts w:cs="Arial"/>
                <w:b/>
                <w:bCs/>
                <w:sz w:val="18"/>
                <w:szCs w:val="18"/>
              </w:rPr>
              <w:t> </w:t>
            </w:r>
          </w:p>
        </w:tc>
        <w:tc>
          <w:tcPr>
            <w:tcW w:w="3356" w:type="dxa"/>
            <w:tcBorders>
              <w:top w:val="single" w:sz="4" w:space="0" w:color="auto"/>
              <w:left w:val="nil"/>
              <w:bottom w:val="nil"/>
              <w:right w:val="nil"/>
            </w:tcBorders>
            <w:shd w:val="clear" w:color="FFFFFF" w:fill="FFFFFF"/>
            <w:vAlign w:val="bottom"/>
            <w:hideMark/>
          </w:tcPr>
          <w:p w14:paraId="59BE1C49" w14:textId="77777777" w:rsidR="00AB6753" w:rsidRDefault="00AB6753" w:rsidP="002D1EA4">
            <w:pPr>
              <w:spacing w:after="0"/>
              <w:jc w:val="right"/>
              <w:rPr>
                <w:rFonts w:cs="Arial"/>
                <w:b/>
                <w:bCs/>
                <w:sz w:val="18"/>
                <w:szCs w:val="18"/>
              </w:rPr>
            </w:pPr>
            <w:r>
              <w:rPr>
                <w:rFonts w:cs="Arial"/>
                <w:b/>
                <w:bCs/>
                <w:sz w:val="18"/>
                <w:szCs w:val="18"/>
              </w:rPr>
              <w:t>Attorney-General's Department</w:t>
            </w:r>
            <w:r>
              <w:rPr>
                <w:rFonts w:cs="Arial"/>
                <w:b/>
                <w:bCs/>
                <w:sz w:val="18"/>
                <w:szCs w:val="18"/>
                <w:vertAlign w:val="superscript"/>
              </w:rPr>
              <w:t>1</w:t>
            </w:r>
          </w:p>
        </w:tc>
        <w:tc>
          <w:tcPr>
            <w:tcW w:w="3092" w:type="dxa"/>
            <w:tcBorders>
              <w:top w:val="single" w:sz="4" w:space="0" w:color="auto"/>
              <w:left w:val="nil"/>
              <w:bottom w:val="nil"/>
              <w:right w:val="nil"/>
            </w:tcBorders>
            <w:shd w:val="clear" w:color="FFFFFF" w:fill="FFFFFF"/>
            <w:vAlign w:val="bottom"/>
            <w:hideMark/>
          </w:tcPr>
          <w:p w14:paraId="6D5006B1" w14:textId="77777777" w:rsidR="00AB6753" w:rsidRDefault="00AB6753" w:rsidP="002D1EA4">
            <w:pPr>
              <w:spacing w:after="0"/>
              <w:jc w:val="right"/>
              <w:rPr>
                <w:rFonts w:cs="Arial"/>
                <w:b/>
                <w:bCs/>
                <w:sz w:val="18"/>
                <w:szCs w:val="18"/>
              </w:rPr>
            </w:pPr>
            <w:r>
              <w:rPr>
                <w:rFonts w:cs="Arial"/>
                <w:b/>
                <w:bCs/>
                <w:sz w:val="18"/>
                <w:szCs w:val="18"/>
              </w:rPr>
              <w:t>Department of Home Affairs</w:t>
            </w:r>
            <w:r>
              <w:rPr>
                <w:rFonts w:cs="Arial"/>
                <w:b/>
                <w:bCs/>
                <w:sz w:val="18"/>
                <w:szCs w:val="18"/>
                <w:vertAlign w:val="superscript"/>
              </w:rPr>
              <w:t>2</w:t>
            </w:r>
          </w:p>
        </w:tc>
      </w:tr>
      <w:tr w:rsidR="00AB6753" w14:paraId="3EEB91C8" w14:textId="77777777" w:rsidTr="002D1EA4">
        <w:trPr>
          <w:trHeight w:val="255"/>
        </w:trPr>
        <w:tc>
          <w:tcPr>
            <w:tcW w:w="2884" w:type="dxa"/>
            <w:tcBorders>
              <w:top w:val="nil"/>
              <w:left w:val="nil"/>
              <w:bottom w:val="nil"/>
              <w:right w:val="nil"/>
            </w:tcBorders>
            <w:shd w:val="clear" w:color="FFFFFF" w:fill="FFFFFF"/>
            <w:vAlign w:val="bottom"/>
            <w:hideMark/>
          </w:tcPr>
          <w:p w14:paraId="35191346" w14:textId="77777777" w:rsidR="00AB6753" w:rsidRDefault="00AB6753" w:rsidP="002D1EA4">
            <w:pPr>
              <w:spacing w:after="0"/>
              <w:rPr>
                <w:rFonts w:cs="Arial"/>
                <w:b/>
                <w:bCs/>
                <w:sz w:val="18"/>
                <w:szCs w:val="18"/>
              </w:rPr>
            </w:pPr>
            <w:r>
              <w:rPr>
                <w:rFonts w:cs="Arial"/>
                <w:b/>
                <w:bCs/>
                <w:sz w:val="18"/>
                <w:szCs w:val="18"/>
              </w:rPr>
              <w:t>2020</w:t>
            </w:r>
          </w:p>
        </w:tc>
        <w:tc>
          <w:tcPr>
            <w:tcW w:w="3356" w:type="dxa"/>
            <w:tcBorders>
              <w:top w:val="nil"/>
              <w:left w:val="nil"/>
              <w:bottom w:val="single" w:sz="4" w:space="0" w:color="auto"/>
              <w:right w:val="nil"/>
            </w:tcBorders>
            <w:shd w:val="clear" w:color="auto" w:fill="auto"/>
            <w:noWrap/>
            <w:vAlign w:val="bottom"/>
            <w:hideMark/>
          </w:tcPr>
          <w:p w14:paraId="1E05379A" w14:textId="77777777" w:rsidR="00AB6753" w:rsidRDefault="00AB6753" w:rsidP="002D1EA4">
            <w:pPr>
              <w:spacing w:after="0"/>
              <w:jc w:val="right"/>
              <w:rPr>
                <w:rFonts w:cs="Arial"/>
                <w:b/>
                <w:bCs/>
                <w:sz w:val="20"/>
              </w:rPr>
            </w:pPr>
            <w:r>
              <w:rPr>
                <w:rFonts w:cs="Arial"/>
                <w:b/>
                <w:bCs/>
                <w:sz w:val="20"/>
              </w:rPr>
              <w:t>$'000</w:t>
            </w:r>
          </w:p>
        </w:tc>
        <w:tc>
          <w:tcPr>
            <w:tcW w:w="3092" w:type="dxa"/>
            <w:tcBorders>
              <w:top w:val="nil"/>
              <w:left w:val="nil"/>
              <w:bottom w:val="single" w:sz="4" w:space="0" w:color="auto"/>
              <w:right w:val="nil"/>
            </w:tcBorders>
            <w:shd w:val="clear" w:color="auto" w:fill="auto"/>
            <w:noWrap/>
            <w:vAlign w:val="bottom"/>
            <w:hideMark/>
          </w:tcPr>
          <w:p w14:paraId="4932DA3F" w14:textId="77777777" w:rsidR="00AB6753" w:rsidRDefault="00AB6753" w:rsidP="002D1EA4">
            <w:pPr>
              <w:spacing w:after="0"/>
              <w:jc w:val="right"/>
              <w:rPr>
                <w:rFonts w:cs="Arial"/>
                <w:b/>
                <w:bCs/>
                <w:sz w:val="20"/>
              </w:rPr>
            </w:pPr>
            <w:r>
              <w:rPr>
                <w:rFonts w:cs="Arial"/>
                <w:b/>
                <w:bCs/>
                <w:sz w:val="20"/>
              </w:rPr>
              <w:t>$'000</w:t>
            </w:r>
          </w:p>
        </w:tc>
      </w:tr>
      <w:tr w:rsidR="00AB6753" w14:paraId="68961EFA" w14:textId="77777777" w:rsidTr="002D1EA4">
        <w:trPr>
          <w:trHeight w:val="255"/>
        </w:trPr>
        <w:tc>
          <w:tcPr>
            <w:tcW w:w="2884" w:type="dxa"/>
            <w:tcBorders>
              <w:top w:val="single" w:sz="4" w:space="0" w:color="auto"/>
              <w:left w:val="nil"/>
              <w:bottom w:val="nil"/>
              <w:right w:val="nil"/>
            </w:tcBorders>
            <w:shd w:val="clear" w:color="FFFFFF" w:fill="FFFFFF"/>
            <w:vAlign w:val="bottom"/>
            <w:hideMark/>
          </w:tcPr>
          <w:p w14:paraId="6E4478E6" w14:textId="77777777" w:rsidR="00AB6753" w:rsidRDefault="00AB6753" w:rsidP="002D1EA4">
            <w:pPr>
              <w:spacing w:after="0"/>
              <w:rPr>
                <w:rFonts w:cs="Arial"/>
                <w:sz w:val="18"/>
                <w:szCs w:val="18"/>
              </w:rPr>
            </w:pPr>
            <w:r>
              <w:rPr>
                <w:rFonts w:cs="Arial"/>
                <w:sz w:val="18"/>
                <w:szCs w:val="18"/>
              </w:rPr>
              <w:t>Total receipts</w:t>
            </w:r>
          </w:p>
        </w:tc>
        <w:tc>
          <w:tcPr>
            <w:tcW w:w="3356" w:type="dxa"/>
            <w:tcBorders>
              <w:top w:val="nil"/>
              <w:left w:val="nil"/>
              <w:bottom w:val="nil"/>
              <w:right w:val="nil"/>
            </w:tcBorders>
            <w:shd w:val="clear" w:color="FFFFFF" w:fill="FFFFFF"/>
            <w:noWrap/>
            <w:vAlign w:val="bottom"/>
            <w:hideMark/>
          </w:tcPr>
          <w:p w14:paraId="53DF0830" w14:textId="77777777" w:rsidR="00AB6753" w:rsidRDefault="00AB6753" w:rsidP="002D1EA4">
            <w:pPr>
              <w:spacing w:after="0"/>
              <w:jc w:val="right"/>
              <w:rPr>
                <w:rFonts w:cs="Arial"/>
                <w:b/>
                <w:bCs/>
                <w:sz w:val="18"/>
                <w:szCs w:val="18"/>
              </w:rPr>
            </w:pPr>
            <w:r>
              <w:rPr>
                <w:rFonts w:cs="Arial"/>
                <w:b/>
                <w:bCs/>
                <w:sz w:val="18"/>
                <w:szCs w:val="18"/>
              </w:rPr>
              <w:t xml:space="preserve">250 </w:t>
            </w:r>
          </w:p>
        </w:tc>
        <w:tc>
          <w:tcPr>
            <w:tcW w:w="3092" w:type="dxa"/>
            <w:tcBorders>
              <w:top w:val="nil"/>
              <w:left w:val="nil"/>
              <w:bottom w:val="nil"/>
              <w:right w:val="nil"/>
            </w:tcBorders>
            <w:shd w:val="clear" w:color="FFFFFF" w:fill="FFFFFF"/>
            <w:noWrap/>
            <w:vAlign w:val="bottom"/>
            <w:hideMark/>
          </w:tcPr>
          <w:p w14:paraId="2E4A045D" w14:textId="77777777" w:rsidR="00AB6753" w:rsidRDefault="00AB6753" w:rsidP="002D1EA4">
            <w:pPr>
              <w:spacing w:after="0"/>
              <w:jc w:val="right"/>
              <w:rPr>
                <w:rFonts w:cs="Arial"/>
                <w:b/>
                <w:bCs/>
                <w:sz w:val="18"/>
                <w:szCs w:val="18"/>
              </w:rPr>
            </w:pPr>
            <w:r>
              <w:rPr>
                <w:rFonts w:cs="Arial"/>
                <w:b/>
                <w:bCs/>
                <w:sz w:val="18"/>
                <w:szCs w:val="18"/>
              </w:rPr>
              <w:t xml:space="preserve">426 </w:t>
            </w:r>
          </w:p>
        </w:tc>
      </w:tr>
      <w:tr w:rsidR="00AB6753" w14:paraId="62CFE867" w14:textId="77777777" w:rsidTr="002D1EA4">
        <w:trPr>
          <w:trHeight w:val="255"/>
        </w:trPr>
        <w:tc>
          <w:tcPr>
            <w:tcW w:w="2884" w:type="dxa"/>
            <w:tcBorders>
              <w:top w:val="nil"/>
              <w:left w:val="nil"/>
              <w:bottom w:val="single" w:sz="4" w:space="0" w:color="auto"/>
              <w:right w:val="nil"/>
            </w:tcBorders>
            <w:shd w:val="clear" w:color="FFFFFF" w:fill="FFFFFF"/>
            <w:vAlign w:val="bottom"/>
            <w:hideMark/>
          </w:tcPr>
          <w:p w14:paraId="622F49B0" w14:textId="77777777" w:rsidR="00AB6753" w:rsidRDefault="00AB6753" w:rsidP="002D1EA4">
            <w:pPr>
              <w:spacing w:after="0"/>
              <w:rPr>
                <w:rFonts w:cs="Arial"/>
                <w:sz w:val="18"/>
                <w:szCs w:val="18"/>
              </w:rPr>
            </w:pPr>
            <w:r>
              <w:rPr>
                <w:rFonts w:cs="Arial"/>
                <w:sz w:val="18"/>
                <w:szCs w:val="18"/>
              </w:rPr>
              <w:t>Total payments</w:t>
            </w:r>
          </w:p>
        </w:tc>
        <w:tc>
          <w:tcPr>
            <w:tcW w:w="3356" w:type="dxa"/>
            <w:tcBorders>
              <w:top w:val="nil"/>
              <w:left w:val="nil"/>
              <w:bottom w:val="single" w:sz="4" w:space="0" w:color="auto"/>
              <w:right w:val="nil"/>
            </w:tcBorders>
            <w:shd w:val="clear" w:color="FFFFFF" w:fill="FFFFFF"/>
            <w:noWrap/>
            <w:vAlign w:val="bottom"/>
            <w:hideMark/>
          </w:tcPr>
          <w:p w14:paraId="4B2AE238" w14:textId="77777777" w:rsidR="00AB6753" w:rsidRDefault="00AB6753" w:rsidP="002D1EA4">
            <w:pPr>
              <w:spacing w:after="0"/>
              <w:jc w:val="right"/>
              <w:rPr>
                <w:rFonts w:cs="Arial"/>
                <w:b/>
                <w:bCs/>
                <w:sz w:val="18"/>
                <w:szCs w:val="18"/>
              </w:rPr>
            </w:pPr>
            <w:r>
              <w:rPr>
                <w:rFonts w:cs="Arial"/>
                <w:b/>
                <w:bCs/>
                <w:sz w:val="18"/>
                <w:szCs w:val="18"/>
              </w:rPr>
              <w:t>(250)</w:t>
            </w:r>
          </w:p>
        </w:tc>
        <w:tc>
          <w:tcPr>
            <w:tcW w:w="3092" w:type="dxa"/>
            <w:tcBorders>
              <w:top w:val="nil"/>
              <w:left w:val="nil"/>
              <w:bottom w:val="single" w:sz="4" w:space="0" w:color="auto"/>
              <w:right w:val="nil"/>
            </w:tcBorders>
            <w:shd w:val="clear" w:color="FFFFFF" w:fill="FFFFFF"/>
            <w:noWrap/>
            <w:vAlign w:val="bottom"/>
            <w:hideMark/>
          </w:tcPr>
          <w:p w14:paraId="47354CCB" w14:textId="77777777" w:rsidR="00AB6753" w:rsidRDefault="00AB6753" w:rsidP="002D1EA4">
            <w:pPr>
              <w:spacing w:after="0"/>
              <w:jc w:val="right"/>
              <w:rPr>
                <w:rFonts w:cs="Arial"/>
                <w:b/>
                <w:bCs/>
                <w:sz w:val="18"/>
                <w:szCs w:val="18"/>
              </w:rPr>
            </w:pPr>
            <w:r>
              <w:rPr>
                <w:rFonts w:cs="Arial"/>
                <w:b/>
                <w:bCs/>
                <w:sz w:val="18"/>
                <w:szCs w:val="18"/>
              </w:rPr>
              <w:t>(426)</w:t>
            </w:r>
          </w:p>
        </w:tc>
      </w:tr>
    </w:tbl>
    <w:p w14:paraId="5D139D65" w14:textId="77777777" w:rsidR="00AB6753" w:rsidRDefault="00AB6753" w:rsidP="00AB6753">
      <w:pPr>
        <w:pStyle w:val="ContinuedSubHeading"/>
        <w:rPr>
          <w:sz w:val="18"/>
        </w:rPr>
      </w:pPr>
    </w:p>
    <w:p w14:paraId="548A0DB2" w14:textId="77777777" w:rsidR="00AB6753" w:rsidRPr="00137AC3" w:rsidRDefault="00AB6753" w:rsidP="00AB6753">
      <w:pPr>
        <w:pStyle w:val="ContinuedSubHeading"/>
        <w:spacing w:after="120"/>
        <w:rPr>
          <w:b w:val="0"/>
          <w:sz w:val="18"/>
        </w:rPr>
      </w:pPr>
      <w:r w:rsidRPr="00137AC3">
        <w:rPr>
          <w:b w:val="0"/>
          <w:sz w:val="18"/>
          <w:vertAlign w:val="superscript"/>
        </w:rPr>
        <w:t xml:space="preserve">1. </w:t>
      </w:r>
      <w:r w:rsidRPr="00137AC3">
        <w:rPr>
          <w:b w:val="0"/>
          <w:sz w:val="18"/>
        </w:rPr>
        <w:t>The department has third party drawing rights for the Courts and Legal Services program.</w:t>
      </w:r>
    </w:p>
    <w:p w14:paraId="4F3C55FB" w14:textId="77777777" w:rsidR="00AB6753" w:rsidRPr="00137AC3" w:rsidRDefault="00AB6753" w:rsidP="00AB6753">
      <w:pPr>
        <w:pStyle w:val="ContinuedSubHeading"/>
        <w:spacing w:after="120"/>
        <w:ind w:left="142" w:hanging="142"/>
        <w:rPr>
          <w:b w:val="0"/>
          <w:sz w:val="18"/>
        </w:rPr>
      </w:pPr>
      <w:r w:rsidRPr="00137AC3">
        <w:rPr>
          <w:b w:val="0"/>
          <w:sz w:val="18"/>
          <w:vertAlign w:val="superscript"/>
        </w:rPr>
        <w:t xml:space="preserve">2. </w:t>
      </w:r>
      <w:r w:rsidRPr="00137AC3">
        <w:rPr>
          <w:b w:val="0"/>
          <w:sz w:val="18"/>
        </w:rPr>
        <w:t>The department has third party drawing rights for the Department of Home Affairs annual appropriation for the National Security and Criminal Justice program.</w:t>
      </w:r>
    </w:p>
    <w:p w14:paraId="58BB62BC" w14:textId="77777777" w:rsidR="00AB6753" w:rsidRPr="00B02E78" w:rsidRDefault="00AB6753" w:rsidP="00AB6753">
      <w:pPr>
        <w:pStyle w:val="ContinuedSubHeading"/>
        <w:rPr>
          <w:sz w:val="18"/>
        </w:rPr>
      </w:pPr>
    </w:p>
    <w:tbl>
      <w:tblPr>
        <w:tblW w:w="9411" w:type="dxa"/>
        <w:tblInd w:w="80" w:type="dxa"/>
        <w:tblLayout w:type="fixed"/>
        <w:tblLook w:val="04A0" w:firstRow="1" w:lastRow="0" w:firstColumn="1" w:lastColumn="0" w:noHBand="0" w:noVBand="1"/>
        <w:tblCaption w:val="Notes to and forming part of the financial statements"/>
        <w:tblDescription w:val="Appropriations continued"/>
      </w:tblPr>
      <w:tblGrid>
        <w:gridCol w:w="1513"/>
        <w:gridCol w:w="1955"/>
        <w:gridCol w:w="1840"/>
        <w:gridCol w:w="1936"/>
        <w:gridCol w:w="2167"/>
      </w:tblGrid>
      <w:tr w:rsidR="00AB6753" w14:paraId="34B83DF3" w14:textId="77777777" w:rsidTr="002D1EA4">
        <w:trPr>
          <w:trHeight w:val="255"/>
        </w:trPr>
        <w:tc>
          <w:tcPr>
            <w:tcW w:w="9309" w:type="dxa"/>
            <w:gridSpan w:val="5"/>
            <w:tcBorders>
              <w:top w:val="nil"/>
              <w:left w:val="nil"/>
              <w:bottom w:val="nil"/>
              <w:right w:val="nil"/>
            </w:tcBorders>
            <w:shd w:val="clear" w:color="000000" w:fill="D9D9D9"/>
            <w:vAlign w:val="bottom"/>
            <w:hideMark/>
          </w:tcPr>
          <w:p w14:paraId="27C7BD5C" w14:textId="77777777" w:rsidR="00AB6753" w:rsidRDefault="00AB6753" w:rsidP="002D1EA4">
            <w:pPr>
              <w:spacing w:after="0"/>
              <w:rPr>
                <w:rFonts w:cs="Arial"/>
                <w:b/>
                <w:bCs/>
                <w:sz w:val="18"/>
                <w:szCs w:val="18"/>
                <w:u w:val="single"/>
              </w:rPr>
            </w:pPr>
            <w:bookmarkStart w:id="189" w:name="Note_AAETABLE1" w:colFirst="0" w:colLast="0"/>
            <w:r>
              <w:rPr>
                <w:rFonts w:cs="Arial"/>
                <w:b/>
                <w:bCs/>
                <w:sz w:val="18"/>
                <w:szCs w:val="18"/>
                <w:u w:val="single"/>
              </w:rPr>
              <w:t>Administered Disclosure by Agent</w:t>
            </w:r>
          </w:p>
        </w:tc>
      </w:tr>
      <w:bookmarkEnd w:id="189"/>
      <w:tr w:rsidR="00AB6753" w14:paraId="3E1C8D4A" w14:textId="77777777" w:rsidTr="002D1EA4">
        <w:trPr>
          <w:trHeight w:val="255"/>
        </w:trPr>
        <w:tc>
          <w:tcPr>
            <w:tcW w:w="1496" w:type="dxa"/>
            <w:tcBorders>
              <w:top w:val="nil"/>
              <w:left w:val="nil"/>
              <w:bottom w:val="nil"/>
              <w:right w:val="nil"/>
            </w:tcBorders>
            <w:shd w:val="clear" w:color="000000" w:fill="D9D9D9"/>
            <w:noWrap/>
            <w:hideMark/>
          </w:tcPr>
          <w:p w14:paraId="1B2D70B7" w14:textId="77777777" w:rsidR="00AB6753" w:rsidRDefault="00AB6753" w:rsidP="002D1EA4">
            <w:pPr>
              <w:spacing w:after="0"/>
              <w:rPr>
                <w:rFonts w:cs="Arial"/>
                <w:sz w:val="18"/>
                <w:szCs w:val="18"/>
              </w:rPr>
            </w:pPr>
            <w:r>
              <w:rPr>
                <w:rFonts w:cs="Arial"/>
                <w:sz w:val="18"/>
                <w:szCs w:val="18"/>
              </w:rPr>
              <w:t> </w:t>
            </w:r>
          </w:p>
        </w:tc>
        <w:tc>
          <w:tcPr>
            <w:tcW w:w="1934" w:type="dxa"/>
            <w:tcBorders>
              <w:top w:val="nil"/>
              <w:left w:val="nil"/>
              <w:bottom w:val="nil"/>
              <w:right w:val="nil"/>
            </w:tcBorders>
            <w:shd w:val="clear" w:color="000000" w:fill="D9D9D9"/>
            <w:noWrap/>
            <w:hideMark/>
          </w:tcPr>
          <w:p w14:paraId="3949E35D" w14:textId="77777777" w:rsidR="00AB6753" w:rsidRDefault="00AB6753" w:rsidP="002D1EA4">
            <w:pPr>
              <w:spacing w:after="0"/>
              <w:rPr>
                <w:rFonts w:cs="Arial"/>
                <w:sz w:val="18"/>
                <w:szCs w:val="18"/>
              </w:rPr>
            </w:pPr>
            <w:r>
              <w:rPr>
                <w:rFonts w:cs="Arial"/>
                <w:sz w:val="18"/>
                <w:szCs w:val="18"/>
              </w:rPr>
              <w:t> </w:t>
            </w:r>
          </w:p>
        </w:tc>
        <w:tc>
          <w:tcPr>
            <w:tcW w:w="1820" w:type="dxa"/>
            <w:tcBorders>
              <w:top w:val="nil"/>
              <w:left w:val="nil"/>
              <w:bottom w:val="nil"/>
              <w:right w:val="nil"/>
            </w:tcBorders>
            <w:shd w:val="clear" w:color="000000" w:fill="D9D9D9"/>
            <w:noWrap/>
            <w:hideMark/>
          </w:tcPr>
          <w:p w14:paraId="62A43A2E" w14:textId="77777777" w:rsidR="00AB6753" w:rsidRDefault="00AB6753" w:rsidP="002D1EA4">
            <w:pPr>
              <w:spacing w:after="0"/>
              <w:rPr>
                <w:rFonts w:cs="Arial"/>
                <w:sz w:val="18"/>
                <w:szCs w:val="18"/>
              </w:rPr>
            </w:pPr>
            <w:r>
              <w:rPr>
                <w:rFonts w:cs="Arial"/>
                <w:sz w:val="18"/>
                <w:szCs w:val="18"/>
              </w:rPr>
              <w:t> </w:t>
            </w:r>
          </w:p>
        </w:tc>
        <w:tc>
          <w:tcPr>
            <w:tcW w:w="1915" w:type="dxa"/>
            <w:tcBorders>
              <w:top w:val="nil"/>
              <w:left w:val="nil"/>
              <w:bottom w:val="nil"/>
              <w:right w:val="nil"/>
            </w:tcBorders>
            <w:shd w:val="clear" w:color="000000" w:fill="D9D9D9"/>
            <w:noWrap/>
            <w:hideMark/>
          </w:tcPr>
          <w:p w14:paraId="5158D6EB" w14:textId="77777777" w:rsidR="00AB6753" w:rsidRDefault="00AB6753" w:rsidP="002D1EA4">
            <w:pPr>
              <w:spacing w:after="0"/>
              <w:rPr>
                <w:rFonts w:cs="Arial"/>
                <w:sz w:val="18"/>
                <w:szCs w:val="18"/>
              </w:rPr>
            </w:pPr>
            <w:r>
              <w:rPr>
                <w:rFonts w:cs="Arial"/>
                <w:sz w:val="18"/>
                <w:szCs w:val="18"/>
              </w:rPr>
              <w:t> </w:t>
            </w:r>
          </w:p>
        </w:tc>
        <w:tc>
          <w:tcPr>
            <w:tcW w:w="2144" w:type="dxa"/>
            <w:tcBorders>
              <w:top w:val="nil"/>
              <w:left w:val="nil"/>
              <w:bottom w:val="nil"/>
              <w:right w:val="nil"/>
            </w:tcBorders>
            <w:shd w:val="clear" w:color="000000" w:fill="D9D9D9"/>
            <w:noWrap/>
            <w:hideMark/>
          </w:tcPr>
          <w:p w14:paraId="5839D7E7" w14:textId="77777777" w:rsidR="00AB6753" w:rsidRDefault="00AB6753" w:rsidP="002D1EA4">
            <w:pPr>
              <w:spacing w:after="0"/>
              <w:rPr>
                <w:rFonts w:cs="Arial"/>
                <w:sz w:val="18"/>
                <w:szCs w:val="18"/>
              </w:rPr>
            </w:pPr>
            <w:r>
              <w:rPr>
                <w:rFonts w:cs="Arial"/>
                <w:sz w:val="18"/>
                <w:szCs w:val="18"/>
              </w:rPr>
              <w:t> </w:t>
            </w:r>
          </w:p>
        </w:tc>
      </w:tr>
      <w:tr w:rsidR="00AB6753" w14:paraId="31BFF1A8" w14:textId="77777777" w:rsidTr="002D1EA4">
        <w:trPr>
          <w:trHeight w:val="510"/>
        </w:trPr>
        <w:tc>
          <w:tcPr>
            <w:tcW w:w="1496" w:type="dxa"/>
            <w:tcBorders>
              <w:top w:val="single" w:sz="4" w:space="0" w:color="auto"/>
              <w:left w:val="nil"/>
              <w:bottom w:val="single" w:sz="4" w:space="0" w:color="auto"/>
              <w:right w:val="nil"/>
            </w:tcBorders>
            <w:shd w:val="clear" w:color="000000" w:fill="D9D9D9"/>
            <w:noWrap/>
            <w:vAlign w:val="bottom"/>
            <w:hideMark/>
          </w:tcPr>
          <w:p w14:paraId="68651796" w14:textId="77777777" w:rsidR="00AB6753" w:rsidRDefault="00AB6753" w:rsidP="002D1EA4">
            <w:pPr>
              <w:spacing w:after="0"/>
              <w:rPr>
                <w:rFonts w:cs="Arial"/>
                <w:b/>
                <w:bCs/>
                <w:sz w:val="18"/>
                <w:szCs w:val="18"/>
              </w:rPr>
            </w:pPr>
            <w:r>
              <w:rPr>
                <w:rFonts w:cs="Arial"/>
                <w:b/>
                <w:bCs/>
                <w:sz w:val="18"/>
                <w:szCs w:val="18"/>
              </w:rPr>
              <w:t> </w:t>
            </w:r>
          </w:p>
        </w:tc>
        <w:tc>
          <w:tcPr>
            <w:tcW w:w="1934" w:type="dxa"/>
            <w:tcBorders>
              <w:top w:val="single" w:sz="4" w:space="0" w:color="auto"/>
              <w:left w:val="nil"/>
              <w:bottom w:val="single" w:sz="4" w:space="0" w:color="auto"/>
              <w:right w:val="nil"/>
            </w:tcBorders>
            <w:shd w:val="clear" w:color="000000" w:fill="D9D9D9"/>
            <w:hideMark/>
          </w:tcPr>
          <w:p w14:paraId="0946CF2E" w14:textId="77777777" w:rsidR="00AB6753" w:rsidRDefault="00AB6753" w:rsidP="002D1EA4">
            <w:pPr>
              <w:spacing w:after="0"/>
              <w:jc w:val="right"/>
              <w:rPr>
                <w:rFonts w:cs="Arial"/>
                <w:b/>
                <w:bCs/>
                <w:sz w:val="18"/>
                <w:szCs w:val="18"/>
              </w:rPr>
            </w:pPr>
            <w:r>
              <w:rPr>
                <w:rFonts w:cs="Arial"/>
                <w:b/>
                <w:bCs/>
                <w:sz w:val="18"/>
                <w:szCs w:val="18"/>
              </w:rPr>
              <w:t>Attorney-General's Department</w:t>
            </w:r>
            <w:r>
              <w:rPr>
                <w:rFonts w:cs="Arial"/>
                <w:b/>
                <w:bCs/>
                <w:sz w:val="18"/>
                <w:szCs w:val="18"/>
                <w:vertAlign w:val="superscript"/>
              </w:rPr>
              <w:t>1</w:t>
            </w:r>
          </w:p>
        </w:tc>
        <w:tc>
          <w:tcPr>
            <w:tcW w:w="1820" w:type="dxa"/>
            <w:tcBorders>
              <w:top w:val="single" w:sz="4" w:space="0" w:color="auto"/>
              <w:left w:val="nil"/>
              <w:bottom w:val="single" w:sz="4" w:space="0" w:color="auto"/>
              <w:right w:val="nil"/>
            </w:tcBorders>
            <w:shd w:val="clear" w:color="000000" w:fill="D9D9D9"/>
            <w:hideMark/>
          </w:tcPr>
          <w:p w14:paraId="7C86CA95" w14:textId="77777777" w:rsidR="00AB6753" w:rsidRDefault="00AB6753" w:rsidP="002D1EA4">
            <w:pPr>
              <w:spacing w:after="0"/>
              <w:jc w:val="right"/>
              <w:rPr>
                <w:rFonts w:cs="Arial"/>
                <w:b/>
                <w:bCs/>
                <w:sz w:val="18"/>
                <w:szCs w:val="18"/>
              </w:rPr>
            </w:pPr>
            <w:r>
              <w:rPr>
                <w:rFonts w:cs="Arial"/>
                <w:b/>
                <w:bCs/>
                <w:sz w:val="18"/>
                <w:szCs w:val="18"/>
              </w:rPr>
              <w:t>Department of Veterans' Affairs</w:t>
            </w:r>
            <w:r>
              <w:rPr>
                <w:rFonts w:cs="Arial"/>
                <w:b/>
                <w:bCs/>
                <w:sz w:val="18"/>
                <w:szCs w:val="18"/>
                <w:vertAlign w:val="superscript"/>
              </w:rPr>
              <w:t>2</w:t>
            </w:r>
          </w:p>
        </w:tc>
        <w:tc>
          <w:tcPr>
            <w:tcW w:w="1915" w:type="dxa"/>
            <w:tcBorders>
              <w:top w:val="single" w:sz="4" w:space="0" w:color="auto"/>
              <w:left w:val="nil"/>
              <w:bottom w:val="single" w:sz="4" w:space="0" w:color="auto"/>
              <w:right w:val="nil"/>
            </w:tcBorders>
            <w:shd w:val="clear" w:color="000000" w:fill="D9D9D9"/>
            <w:hideMark/>
          </w:tcPr>
          <w:p w14:paraId="5A16C325" w14:textId="77777777" w:rsidR="00AB6753" w:rsidRDefault="00AB6753" w:rsidP="002D1EA4">
            <w:pPr>
              <w:spacing w:after="0"/>
              <w:jc w:val="right"/>
              <w:rPr>
                <w:rFonts w:cs="Arial"/>
                <w:b/>
                <w:bCs/>
                <w:sz w:val="18"/>
                <w:szCs w:val="18"/>
              </w:rPr>
            </w:pPr>
            <w:r>
              <w:rPr>
                <w:rFonts w:cs="Arial"/>
                <w:b/>
                <w:bCs/>
                <w:sz w:val="18"/>
                <w:szCs w:val="18"/>
              </w:rPr>
              <w:t>Department of Home Affairs</w:t>
            </w:r>
            <w:r>
              <w:rPr>
                <w:rFonts w:cs="Arial"/>
                <w:b/>
                <w:bCs/>
                <w:sz w:val="18"/>
                <w:szCs w:val="18"/>
                <w:vertAlign w:val="superscript"/>
              </w:rPr>
              <w:t>3</w:t>
            </w:r>
          </w:p>
        </w:tc>
        <w:tc>
          <w:tcPr>
            <w:tcW w:w="2144" w:type="dxa"/>
            <w:tcBorders>
              <w:top w:val="single" w:sz="4" w:space="0" w:color="auto"/>
              <w:left w:val="nil"/>
              <w:bottom w:val="single" w:sz="4" w:space="0" w:color="auto"/>
              <w:right w:val="nil"/>
            </w:tcBorders>
            <w:shd w:val="clear" w:color="000000" w:fill="D9D9D9"/>
            <w:hideMark/>
          </w:tcPr>
          <w:p w14:paraId="36493696" w14:textId="77777777" w:rsidR="00AB6753" w:rsidRDefault="00AB6753" w:rsidP="002D1EA4">
            <w:pPr>
              <w:spacing w:after="0"/>
              <w:jc w:val="right"/>
              <w:rPr>
                <w:rFonts w:cs="Arial"/>
                <w:b/>
                <w:bCs/>
                <w:sz w:val="18"/>
                <w:szCs w:val="18"/>
              </w:rPr>
            </w:pPr>
            <w:r>
              <w:rPr>
                <w:rFonts w:cs="Arial"/>
                <w:b/>
                <w:bCs/>
                <w:sz w:val="18"/>
                <w:szCs w:val="18"/>
              </w:rPr>
              <w:t>Department of the Prime Minister and Cabinet</w:t>
            </w:r>
            <w:r>
              <w:rPr>
                <w:rFonts w:cs="Arial"/>
                <w:b/>
                <w:bCs/>
                <w:sz w:val="18"/>
                <w:szCs w:val="18"/>
                <w:vertAlign w:val="superscript"/>
              </w:rPr>
              <w:t>4</w:t>
            </w:r>
          </w:p>
        </w:tc>
      </w:tr>
      <w:tr w:rsidR="00AB6753" w14:paraId="4AE50128" w14:textId="77777777" w:rsidTr="002D1EA4">
        <w:trPr>
          <w:trHeight w:val="255"/>
        </w:trPr>
        <w:tc>
          <w:tcPr>
            <w:tcW w:w="1496" w:type="dxa"/>
            <w:tcBorders>
              <w:top w:val="nil"/>
              <w:left w:val="nil"/>
              <w:bottom w:val="single" w:sz="4" w:space="0" w:color="auto"/>
              <w:right w:val="nil"/>
            </w:tcBorders>
            <w:shd w:val="clear" w:color="000000" w:fill="D9D9D9"/>
            <w:noWrap/>
            <w:vAlign w:val="bottom"/>
            <w:hideMark/>
          </w:tcPr>
          <w:p w14:paraId="2BA699B7" w14:textId="77777777" w:rsidR="00AB6753" w:rsidRDefault="00AB6753" w:rsidP="002D1EA4">
            <w:pPr>
              <w:spacing w:after="0"/>
              <w:rPr>
                <w:rFonts w:cs="Arial"/>
                <w:b/>
                <w:bCs/>
                <w:sz w:val="18"/>
                <w:szCs w:val="18"/>
              </w:rPr>
            </w:pPr>
            <w:r>
              <w:rPr>
                <w:rFonts w:cs="Arial"/>
                <w:b/>
                <w:bCs/>
                <w:sz w:val="18"/>
                <w:szCs w:val="18"/>
              </w:rPr>
              <w:t>2020</w:t>
            </w:r>
          </w:p>
        </w:tc>
        <w:tc>
          <w:tcPr>
            <w:tcW w:w="1934" w:type="dxa"/>
            <w:tcBorders>
              <w:top w:val="nil"/>
              <w:left w:val="nil"/>
              <w:bottom w:val="nil"/>
              <w:right w:val="nil"/>
            </w:tcBorders>
            <w:shd w:val="clear" w:color="000000" w:fill="D9D9D9"/>
            <w:noWrap/>
            <w:vAlign w:val="bottom"/>
            <w:hideMark/>
          </w:tcPr>
          <w:p w14:paraId="3163D999" w14:textId="77777777" w:rsidR="00AB6753" w:rsidRDefault="00AB6753" w:rsidP="002D1EA4">
            <w:pPr>
              <w:spacing w:after="0"/>
              <w:jc w:val="right"/>
              <w:rPr>
                <w:rFonts w:cs="Arial"/>
                <w:b/>
                <w:bCs/>
                <w:sz w:val="18"/>
                <w:szCs w:val="18"/>
              </w:rPr>
            </w:pPr>
            <w:r>
              <w:rPr>
                <w:rFonts w:cs="Arial"/>
                <w:b/>
                <w:bCs/>
                <w:sz w:val="18"/>
                <w:szCs w:val="18"/>
              </w:rPr>
              <w:t>$'000</w:t>
            </w:r>
          </w:p>
        </w:tc>
        <w:tc>
          <w:tcPr>
            <w:tcW w:w="1820" w:type="dxa"/>
            <w:tcBorders>
              <w:top w:val="nil"/>
              <w:left w:val="nil"/>
              <w:bottom w:val="nil"/>
              <w:right w:val="nil"/>
            </w:tcBorders>
            <w:shd w:val="clear" w:color="000000" w:fill="D9D9D9"/>
            <w:noWrap/>
            <w:vAlign w:val="bottom"/>
            <w:hideMark/>
          </w:tcPr>
          <w:p w14:paraId="5E9F8D6F" w14:textId="77777777" w:rsidR="00AB6753" w:rsidRDefault="00AB6753" w:rsidP="002D1EA4">
            <w:pPr>
              <w:spacing w:after="0"/>
              <w:jc w:val="right"/>
              <w:rPr>
                <w:rFonts w:cs="Arial"/>
                <w:b/>
                <w:bCs/>
                <w:sz w:val="18"/>
                <w:szCs w:val="18"/>
              </w:rPr>
            </w:pPr>
            <w:r>
              <w:rPr>
                <w:rFonts w:cs="Arial"/>
                <w:b/>
                <w:bCs/>
                <w:sz w:val="18"/>
                <w:szCs w:val="18"/>
              </w:rPr>
              <w:t>$'000</w:t>
            </w:r>
          </w:p>
        </w:tc>
        <w:tc>
          <w:tcPr>
            <w:tcW w:w="1915" w:type="dxa"/>
            <w:tcBorders>
              <w:top w:val="nil"/>
              <w:left w:val="nil"/>
              <w:bottom w:val="nil"/>
              <w:right w:val="nil"/>
            </w:tcBorders>
            <w:shd w:val="clear" w:color="000000" w:fill="D9D9D9"/>
            <w:noWrap/>
            <w:vAlign w:val="bottom"/>
            <w:hideMark/>
          </w:tcPr>
          <w:p w14:paraId="2A01C6C6" w14:textId="77777777" w:rsidR="00AB6753" w:rsidRDefault="00AB6753" w:rsidP="002D1EA4">
            <w:pPr>
              <w:spacing w:after="0"/>
              <w:jc w:val="right"/>
              <w:rPr>
                <w:rFonts w:cs="Arial"/>
                <w:b/>
                <w:bCs/>
                <w:sz w:val="18"/>
                <w:szCs w:val="18"/>
              </w:rPr>
            </w:pPr>
            <w:r>
              <w:rPr>
                <w:rFonts w:cs="Arial"/>
                <w:b/>
                <w:bCs/>
                <w:sz w:val="18"/>
                <w:szCs w:val="18"/>
              </w:rPr>
              <w:t>$'000</w:t>
            </w:r>
          </w:p>
        </w:tc>
        <w:tc>
          <w:tcPr>
            <w:tcW w:w="2144" w:type="dxa"/>
            <w:tcBorders>
              <w:top w:val="nil"/>
              <w:left w:val="nil"/>
              <w:bottom w:val="nil"/>
              <w:right w:val="nil"/>
            </w:tcBorders>
            <w:shd w:val="clear" w:color="000000" w:fill="D9D9D9"/>
            <w:noWrap/>
            <w:vAlign w:val="bottom"/>
            <w:hideMark/>
          </w:tcPr>
          <w:p w14:paraId="21335F8A" w14:textId="77777777" w:rsidR="00AB6753" w:rsidRDefault="00AB6753" w:rsidP="002D1EA4">
            <w:pPr>
              <w:spacing w:after="0"/>
              <w:jc w:val="right"/>
              <w:rPr>
                <w:rFonts w:cs="Arial"/>
                <w:b/>
                <w:bCs/>
                <w:sz w:val="18"/>
                <w:szCs w:val="18"/>
              </w:rPr>
            </w:pPr>
            <w:r>
              <w:rPr>
                <w:rFonts w:cs="Arial"/>
                <w:b/>
                <w:bCs/>
                <w:sz w:val="18"/>
                <w:szCs w:val="18"/>
              </w:rPr>
              <w:t>$'000</w:t>
            </w:r>
          </w:p>
        </w:tc>
      </w:tr>
      <w:tr w:rsidR="00AB6753" w14:paraId="38DA1654" w14:textId="77777777" w:rsidTr="002D1EA4">
        <w:trPr>
          <w:trHeight w:val="255"/>
        </w:trPr>
        <w:tc>
          <w:tcPr>
            <w:tcW w:w="1496" w:type="dxa"/>
            <w:tcBorders>
              <w:top w:val="nil"/>
              <w:left w:val="nil"/>
              <w:bottom w:val="nil"/>
              <w:right w:val="nil"/>
            </w:tcBorders>
            <w:shd w:val="clear" w:color="000000" w:fill="D9D9D9"/>
            <w:hideMark/>
          </w:tcPr>
          <w:p w14:paraId="4E6A3512" w14:textId="77777777" w:rsidR="00AB6753" w:rsidRDefault="00AB6753" w:rsidP="002D1EA4">
            <w:pPr>
              <w:spacing w:after="0"/>
              <w:rPr>
                <w:rFonts w:cs="Arial"/>
                <w:sz w:val="18"/>
                <w:szCs w:val="18"/>
              </w:rPr>
            </w:pPr>
            <w:r>
              <w:rPr>
                <w:rFonts w:cs="Arial"/>
                <w:sz w:val="18"/>
                <w:szCs w:val="18"/>
              </w:rPr>
              <w:t>Total receipts</w:t>
            </w:r>
          </w:p>
        </w:tc>
        <w:tc>
          <w:tcPr>
            <w:tcW w:w="1934" w:type="dxa"/>
            <w:tcBorders>
              <w:top w:val="single" w:sz="4" w:space="0" w:color="auto"/>
              <w:left w:val="nil"/>
              <w:bottom w:val="nil"/>
              <w:right w:val="nil"/>
            </w:tcBorders>
            <w:shd w:val="clear" w:color="000000" w:fill="D9D9D9"/>
            <w:noWrap/>
            <w:vAlign w:val="bottom"/>
            <w:hideMark/>
          </w:tcPr>
          <w:p w14:paraId="5B82CFB3" w14:textId="77777777" w:rsidR="00AB6753" w:rsidRDefault="00AB6753" w:rsidP="002D1EA4">
            <w:pPr>
              <w:spacing w:after="0"/>
              <w:jc w:val="right"/>
              <w:rPr>
                <w:rFonts w:cs="Arial"/>
                <w:b/>
                <w:bCs/>
                <w:sz w:val="18"/>
                <w:szCs w:val="18"/>
              </w:rPr>
            </w:pPr>
            <w:r>
              <w:rPr>
                <w:rFonts w:cs="Arial"/>
                <w:b/>
                <w:bCs/>
                <w:sz w:val="18"/>
                <w:szCs w:val="18"/>
              </w:rPr>
              <w:t>219,584</w:t>
            </w:r>
          </w:p>
        </w:tc>
        <w:tc>
          <w:tcPr>
            <w:tcW w:w="1820" w:type="dxa"/>
            <w:tcBorders>
              <w:top w:val="single" w:sz="4" w:space="0" w:color="auto"/>
              <w:left w:val="nil"/>
              <w:bottom w:val="nil"/>
              <w:right w:val="nil"/>
            </w:tcBorders>
            <w:shd w:val="clear" w:color="000000" w:fill="D9D9D9"/>
            <w:noWrap/>
            <w:vAlign w:val="bottom"/>
            <w:hideMark/>
          </w:tcPr>
          <w:p w14:paraId="4466EFE7" w14:textId="77777777" w:rsidR="00AB6753" w:rsidRDefault="00AB6753" w:rsidP="002D1EA4">
            <w:pPr>
              <w:spacing w:after="0"/>
              <w:jc w:val="right"/>
              <w:rPr>
                <w:rFonts w:cs="Arial"/>
                <w:b/>
                <w:bCs/>
                <w:sz w:val="18"/>
                <w:szCs w:val="18"/>
              </w:rPr>
            </w:pPr>
            <w:r>
              <w:rPr>
                <w:rFonts w:cs="Arial"/>
                <w:b/>
                <w:bCs/>
                <w:sz w:val="18"/>
                <w:szCs w:val="18"/>
              </w:rPr>
              <w:t>15,356</w:t>
            </w:r>
          </w:p>
        </w:tc>
        <w:tc>
          <w:tcPr>
            <w:tcW w:w="1915" w:type="dxa"/>
            <w:tcBorders>
              <w:top w:val="single" w:sz="4" w:space="0" w:color="auto"/>
              <w:left w:val="nil"/>
              <w:bottom w:val="nil"/>
              <w:right w:val="nil"/>
            </w:tcBorders>
            <w:shd w:val="clear" w:color="000000" w:fill="D9D9D9"/>
            <w:noWrap/>
            <w:vAlign w:val="bottom"/>
            <w:hideMark/>
          </w:tcPr>
          <w:p w14:paraId="3C0E3DA5" w14:textId="77777777" w:rsidR="00AB6753" w:rsidRDefault="00AB6753" w:rsidP="002D1EA4">
            <w:pPr>
              <w:spacing w:after="0"/>
              <w:jc w:val="right"/>
              <w:rPr>
                <w:rFonts w:cs="Arial"/>
                <w:b/>
                <w:bCs/>
                <w:sz w:val="18"/>
                <w:szCs w:val="18"/>
              </w:rPr>
            </w:pPr>
            <w:r>
              <w:rPr>
                <w:rFonts w:cs="Arial"/>
                <w:b/>
                <w:bCs/>
                <w:sz w:val="18"/>
                <w:szCs w:val="18"/>
              </w:rPr>
              <w:t>190,495</w:t>
            </w:r>
          </w:p>
        </w:tc>
        <w:tc>
          <w:tcPr>
            <w:tcW w:w="2144" w:type="dxa"/>
            <w:tcBorders>
              <w:top w:val="single" w:sz="4" w:space="0" w:color="auto"/>
              <w:left w:val="nil"/>
              <w:bottom w:val="nil"/>
              <w:right w:val="nil"/>
            </w:tcBorders>
            <w:shd w:val="clear" w:color="000000" w:fill="D9D9D9"/>
            <w:noWrap/>
            <w:vAlign w:val="bottom"/>
            <w:hideMark/>
          </w:tcPr>
          <w:p w14:paraId="095FBCC9" w14:textId="77777777" w:rsidR="00AB6753" w:rsidRDefault="00AB6753" w:rsidP="002D1EA4">
            <w:pPr>
              <w:spacing w:after="0"/>
              <w:jc w:val="right"/>
              <w:rPr>
                <w:rFonts w:cs="Arial"/>
                <w:b/>
                <w:bCs/>
                <w:sz w:val="18"/>
                <w:szCs w:val="18"/>
              </w:rPr>
            </w:pPr>
            <w:r>
              <w:rPr>
                <w:rFonts w:cs="Arial"/>
                <w:b/>
                <w:bCs/>
                <w:sz w:val="18"/>
                <w:szCs w:val="18"/>
              </w:rPr>
              <w:t xml:space="preserve"> -</w:t>
            </w:r>
          </w:p>
        </w:tc>
      </w:tr>
      <w:tr w:rsidR="00AB6753" w14:paraId="160C61E4" w14:textId="77777777" w:rsidTr="002D1EA4">
        <w:trPr>
          <w:trHeight w:val="255"/>
        </w:trPr>
        <w:tc>
          <w:tcPr>
            <w:tcW w:w="1496" w:type="dxa"/>
            <w:tcBorders>
              <w:top w:val="nil"/>
              <w:left w:val="nil"/>
              <w:bottom w:val="single" w:sz="4" w:space="0" w:color="auto"/>
              <w:right w:val="nil"/>
            </w:tcBorders>
            <w:shd w:val="clear" w:color="000000" w:fill="D9D9D9"/>
            <w:hideMark/>
          </w:tcPr>
          <w:p w14:paraId="21976DE8" w14:textId="77777777" w:rsidR="00AB6753" w:rsidRDefault="00AB6753" w:rsidP="002D1EA4">
            <w:pPr>
              <w:spacing w:after="0"/>
              <w:rPr>
                <w:rFonts w:cs="Arial"/>
                <w:sz w:val="18"/>
                <w:szCs w:val="18"/>
              </w:rPr>
            </w:pPr>
            <w:r>
              <w:rPr>
                <w:rFonts w:cs="Arial"/>
                <w:sz w:val="18"/>
                <w:szCs w:val="18"/>
              </w:rPr>
              <w:t>Total payments</w:t>
            </w:r>
          </w:p>
        </w:tc>
        <w:tc>
          <w:tcPr>
            <w:tcW w:w="1934" w:type="dxa"/>
            <w:tcBorders>
              <w:top w:val="nil"/>
              <w:left w:val="nil"/>
              <w:bottom w:val="single" w:sz="4" w:space="0" w:color="auto"/>
              <w:right w:val="nil"/>
            </w:tcBorders>
            <w:shd w:val="clear" w:color="000000" w:fill="D9D9D9"/>
            <w:noWrap/>
            <w:vAlign w:val="bottom"/>
            <w:hideMark/>
          </w:tcPr>
          <w:p w14:paraId="49602B82" w14:textId="77777777" w:rsidR="00AB6753" w:rsidRDefault="00AB6753" w:rsidP="002D1EA4">
            <w:pPr>
              <w:spacing w:after="0"/>
              <w:jc w:val="right"/>
              <w:rPr>
                <w:rFonts w:cs="Arial"/>
                <w:b/>
                <w:bCs/>
                <w:sz w:val="18"/>
                <w:szCs w:val="18"/>
              </w:rPr>
            </w:pPr>
            <w:r>
              <w:rPr>
                <w:rFonts w:cs="Arial"/>
                <w:b/>
                <w:bCs/>
                <w:sz w:val="18"/>
                <w:szCs w:val="18"/>
              </w:rPr>
              <w:t>(227,149)</w:t>
            </w:r>
          </w:p>
        </w:tc>
        <w:tc>
          <w:tcPr>
            <w:tcW w:w="1820" w:type="dxa"/>
            <w:tcBorders>
              <w:top w:val="nil"/>
              <w:left w:val="nil"/>
              <w:bottom w:val="single" w:sz="4" w:space="0" w:color="auto"/>
              <w:right w:val="nil"/>
            </w:tcBorders>
            <w:shd w:val="clear" w:color="000000" w:fill="D9D9D9"/>
            <w:noWrap/>
            <w:vAlign w:val="bottom"/>
            <w:hideMark/>
          </w:tcPr>
          <w:p w14:paraId="0971E5FC" w14:textId="77777777" w:rsidR="00AB6753" w:rsidRDefault="00AB6753" w:rsidP="002D1EA4">
            <w:pPr>
              <w:spacing w:after="0"/>
              <w:jc w:val="right"/>
              <w:rPr>
                <w:rFonts w:cs="Arial"/>
                <w:b/>
                <w:bCs/>
                <w:sz w:val="18"/>
                <w:szCs w:val="18"/>
              </w:rPr>
            </w:pPr>
            <w:r>
              <w:rPr>
                <w:rFonts w:cs="Arial"/>
                <w:b/>
                <w:bCs/>
                <w:sz w:val="18"/>
                <w:szCs w:val="18"/>
              </w:rPr>
              <w:t>(15,356)</w:t>
            </w:r>
          </w:p>
        </w:tc>
        <w:tc>
          <w:tcPr>
            <w:tcW w:w="1915" w:type="dxa"/>
            <w:tcBorders>
              <w:top w:val="nil"/>
              <w:left w:val="nil"/>
              <w:bottom w:val="single" w:sz="4" w:space="0" w:color="auto"/>
              <w:right w:val="nil"/>
            </w:tcBorders>
            <w:shd w:val="clear" w:color="000000" w:fill="D9D9D9"/>
            <w:noWrap/>
            <w:vAlign w:val="bottom"/>
            <w:hideMark/>
          </w:tcPr>
          <w:p w14:paraId="71909A28" w14:textId="77777777" w:rsidR="00AB6753" w:rsidRDefault="00AB6753" w:rsidP="002D1EA4">
            <w:pPr>
              <w:spacing w:after="0"/>
              <w:jc w:val="right"/>
              <w:rPr>
                <w:rFonts w:cs="Arial"/>
                <w:b/>
                <w:bCs/>
                <w:sz w:val="18"/>
                <w:szCs w:val="18"/>
              </w:rPr>
            </w:pPr>
            <w:r>
              <w:rPr>
                <w:rFonts w:cs="Arial"/>
                <w:b/>
                <w:bCs/>
                <w:sz w:val="18"/>
                <w:szCs w:val="18"/>
              </w:rPr>
              <w:t>(190,694)</w:t>
            </w:r>
          </w:p>
        </w:tc>
        <w:tc>
          <w:tcPr>
            <w:tcW w:w="2144" w:type="dxa"/>
            <w:tcBorders>
              <w:top w:val="nil"/>
              <w:left w:val="nil"/>
              <w:bottom w:val="single" w:sz="4" w:space="0" w:color="auto"/>
              <w:right w:val="nil"/>
            </w:tcBorders>
            <w:shd w:val="clear" w:color="000000" w:fill="D9D9D9"/>
            <w:noWrap/>
            <w:vAlign w:val="bottom"/>
            <w:hideMark/>
          </w:tcPr>
          <w:p w14:paraId="5376F7C7" w14:textId="77777777" w:rsidR="00AB6753" w:rsidRDefault="00AB6753" w:rsidP="002D1EA4">
            <w:pPr>
              <w:spacing w:after="0"/>
              <w:jc w:val="right"/>
              <w:rPr>
                <w:rFonts w:cs="Arial"/>
                <w:b/>
                <w:bCs/>
                <w:sz w:val="18"/>
                <w:szCs w:val="18"/>
              </w:rPr>
            </w:pPr>
            <w:r>
              <w:rPr>
                <w:rFonts w:cs="Arial"/>
                <w:b/>
                <w:bCs/>
                <w:sz w:val="18"/>
                <w:szCs w:val="18"/>
              </w:rPr>
              <w:t xml:space="preserve"> -</w:t>
            </w:r>
          </w:p>
        </w:tc>
      </w:tr>
      <w:tr w:rsidR="00AB6753" w14:paraId="6F1E8007" w14:textId="77777777" w:rsidTr="002D1EA4">
        <w:trPr>
          <w:trHeight w:val="255"/>
        </w:trPr>
        <w:tc>
          <w:tcPr>
            <w:tcW w:w="1496" w:type="dxa"/>
            <w:tcBorders>
              <w:top w:val="nil"/>
              <w:left w:val="nil"/>
              <w:bottom w:val="nil"/>
              <w:right w:val="nil"/>
            </w:tcBorders>
            <w:shd w:val="clear" w:color="000000" w:fill="D9D9D9"/>
            <w:noWrap/>
            <w:hideMark/>
          </w:tcPr>
          <w:p w14:paraId="74141E13" w14:textId="77777777" w:rsidR="00AB6753" w:rsidRDefault="00AB6753" w:rsidP="002D1EA4">
            <w:pPr>
              <w:spacing w:after="0"/>
              <w:rPr>
                <w:rFonts w:cs="Arial"/>
                <w:sz w:val="18"/>
                <w:szCs w:val="18"/>
              </w:rPr>
            </w:pPr>
            <w:r>
              <w:rPr>
                <w:rFonts w:cs="Arial"/>
                <w:sz w:val="18"/>
                <w:szCs w:val="18"/>
              </w:rPr>
              <w:t> </w:t>
            </w:r>
          </w:p>
        </w:tc>
        <w:tc>
          <w:tcPr>
            <w:tcW w:w="1934" w:type="dxa"/>
            <w:tcBorders>
              <w:top w:val="nil"/>
              <w:left w:val="nil"/>
              <w:bottom w:val="nil"/>
              <w:right w:val="nil"/>
            </w:tcBorders>
            <w:shd w:val="clear" w:color="000000" w:fill="D9D9D9"/>
            <w:noWrap/>
            <w:hideMark/>
          </w:tcPr>
          <w:p w14:paraId="42D2AC39" w14:textId="77777777" w:rsidR="00AB6753" w:rsidRDefault="00AB6753" w:rsidP="002D1EA4">
            <w:pPr>
              <w:spacing w:after="0"/>
              <w:rPr>
                <w:rFonts w:cs="Arial"/>
                <w:sz w:val="18"/>
                <w:szCs w:val="18"/>
              </w:rPr>
            </w:pPr>
            <w:r>
              <w:rPr>
                <w:rFonts w:cs="Arial"/>
                <w:sz w:val="18"/>
                <w:szCs w:val="18"/>
              </w:rPr>
              <w:t> </w:t>
            </w:r>
          </w:p>
        </w:tc>
        <w:tc>
          <w:tcPr>
            <w:tcW w:w="1820" w:type="dxa"/>
            <w:tcBorders>
              <w:top w:val="nil"/>
              <w:left w:val="nil"/>
              <w:bottom w:val="nil"/>
              <w:right w:val="nil"/>
            </w:tcBorders>
            <w:shd w:val="clear" w:color="000000" w:fill="D9D9D9"/>
            <w:noWrap/>
            <w:hideMark/>
          </w:tcPr>
          <w:p w14:paraId="2725E126" w14:textId="77777777" w:rsidR="00AB6753" w:rsidRDefault="00AB6753" w:rsidP="002D1EA4">
            <w:pPr>
              <w:spacing w:after="0"/>
              <w:rPr>
                <w:rFonts w:cs="Arial"/>
                <w:sz w:val="18"/>
                <w:szCs w:val="18"/>
              </w:rPr>
            </w:pPr>
            <w:r>
              <w:rPr>
                <w:rFonts w:cs="Arial"/>
                <w:sz w:val="18"/>
                <w:szCs w:val="18"/>
              </w:rPr>
              <w:t> </w:t>
            </w:r>
          </w:p>
        </w:tc>
        <w:tc>
          <w:tcPr>
            <w:tcW w:w="1915" w:type="dxa"/>
            <w:tcBorders>
              <w:top w:val="nil"/>
              <w:left w:val="nil"/>
              <w:bottom w:val="nil"/>
              <w:right w:val="nil"/>
            </w:tcBorders>
            <w:shd w:val="clear" w:color="000000" w:fill="D9D9D9"/>
            <w:noWrap/>
            <w:hideMark/>
          </w:tcPr>
          <w:p w14:paraId="733B2B7E" w14:textId="77777777" w:rsidR="00AB6753" w:rsidRDefault="00AB6753" w:rsidP="002D1EA4">
            <w:pPr>
              <w:spacing w:after="0"/>
              <w:rPr>
                <w:rFonts w:cs="Arial"/>
                <w:sz w:val="18"/>
                <w:szCs w:val="18"/>
              </w:rPr>
            </w:pPr>
            <w:r>
              <w:rPr>
                <w:rFonts w:cs="Arial"/>
                <w:sz w:val="18"/>
                <w:szCs w:val="18"/>
              </w:rPr>
              <w:t> </w:t>
            </w:r>
          </w:p>
        </w:tc>
        <w:tc>
          <w:tcPr>
            <w:tcW w:w="2144" w:type="dxa"/>
            <w:tcBorders>
              <w:top w:val="nil"/>
              <w:left w:val="nil"/>
              <w:bottom w:val="nil"/>
              <w:right w:val="nil"/>
            </w:tcBorders>
            <w:shd w:val="clear" w:color="000000" w:fill="D9D9D9"/>
            <w:noWrap/>
            <w:vAlign w:val="bottom"/>
            <w:hideMark/>
          </w:tcPr>
          <w:p w14:paraId="400085EC" w14:textId="77777777" w:rsidR="00AB6753" w:rsidRDefault="00AB6753" w:rsidP="002D1EA4">
            <w:pPr>
              <w:spacing w:after="0"/>
              <w:rPr>
                <w:rFonts w:cs="Arial"/>
                <w:sz w:val="18"/>
                <w:szCs w:val="18"/>
              </w:rPr>
            </w:pPr>
            <w:r>
              <w:rPr>
                <w:rFonts w:cs="Arial"/>
                <w:sz w:val="18"/>
                <w:szCs w:val="18"/>
              </w:rPr>
              <w:t> </w:t>
            </w:r>
          </w:p>
        </w:tc>
      </w:tr>
      <w:tr w:rsidR="00AB6753" w14:paraId="52B6A800" w14:textId="77777777" w:rsidTr="002D1EA4">
        <w:trPr>
          <w:trHeight w:val="480"/>
        </w:trPr>
        <w:tc>
          <w:tcPr>
            <w:tcW w:w="1496" w:type="dxa"/>
            <w:tcBorders>
              <w:top w:val="single" w:sz="4" w:space="0" w:color="auto"/>
              <w:left w:val="nil"/>
              <w:bottom w:val="single" w:sz="4" w:space="0" w:color="auto"/>
              <w:right w:val="nil"/>
            </w:tcBorders>
            <w:shd w:val="clear" w:color="000000" w:fill="D9D9D9"/>
            <w:noWrap/>
            <w:vAlign w:val="bottom"/>
            <w:hideMark/>
          </w:tcPr>
          <w:p w14:paraId="00228FD2" w14:textId="77777777" w:rsidR="00AB6753" w:rsidRDefault="00AB6753" w:rsidP="002D1EA4">
            <w:pPr>
              <w:spacing w:after="0"/>
              <w:rPr>
                <w:rFonts w:cs="Arial"/>
                <w:b/>
                <w:bCs/>
                <w:sz w:val="18"/>
                <w:szCs w:val="18"/>
              </w:rPr>
            </w:pPr>
            <w:r>
              <w:rPr>
                <w:rFonts w:cs="Arial"/>
                <w:b/>
                <w:bCs/>
                <w:sz w:val="18"/>
                <w:szCs w:val="18"/>
              </w:rPr>
              <w:t> </w:t>
            </w:r>
          </w:p>
        </w:tc>
        <w:tc>
          <w:tcPr>
            <w:tcW w:w="1934" w:type="dxa"/>
            <w:tcBorders>
              <w:top w:val="single" w:sz="4" w:space="0" w:color="auto"/>
              <w:left w:val="nil"/>
              <w:bottom w:val="single" w:sz="4" w:space="0" w:color="auto"/>
              <w:right w:val="nil"/>
            </w:tcBorders>
            <w:shd w:val="clear" w:color="000000" w:fill="D9D9D9"/>
            <w:vAlign w:val="bottom"/>
            <w:hideMark/>
          </w:tcPr>
          <w:p w14:paraId="48F427C2" w14:textId="77777777" w:rsidR="00AB6753" w:rsidRDefault="00AB6753" w:rsidP="002D1EA4">
            <w:pPr>
              <w:spacing w:after="0"/>
              <w:jc w:val="right"/>
              <w:rPr>
                <w:rFonts w:cs="Arial"/>
                <w:sz w:val="18"/>
                <w:szCs w:val="18"/>
              </w:rPr>
            </w:pPr>
            <w:r>
              <w:rPr>
                <w:rFonts w:cs="Arial"/>
                <w:sz w:val="18"/>
                <w:szCs w:val="18"/>
              </w:rPr>
              <w:t>Attorney-General's Department</w:t>
            </w:r>
          </w:p>
        </w:tc>
        <w:tc>
          <w:tcPr>
            <w:tcW w:w="1820" w:type="dxa"/>
            <w:tcBorders>
              <w:top w:val="single" w:sz="4" w:space="0" w:color="auto"/>
              <w:left w:val="nil"/>
              <w:bottom w:val="single" w:sz="4" w:space="0" w:color="auto"/>
              <w:right w:val="nil"/>
            </w:tcBorders>
            <w:shd w:val="clear" w:color="000000" w:fill="D9D9D9"/>
            <w:vAlign w:val="bottom"/>
            <w:hideMark/>
          </w:tcPr>
          <w:p w14:paraId="59A6075B" w14:textId="77777777" w:rsidR="00AB6753" w:rsidRDefault="00AB6753" w:rsidP="002D1EA4">
            <w:pPr>
              <w:spacing w:after="0"/>
              <w:jc w:val="right"/>
              <w:rPr>
                <w:rFonts w:cs="Arial"/>
                <w:sz w:val="18"/>
                <w:szCs w:val="18"/>
              </w:rPr>
            </w:pPr>
            <w:r>
              <w:rPr>
                <w:rFonts w:cs="Arial"/>
                <w:sz w:val="18"/>
                <w:szCs w:val="18"/>
              </w:rPr>
              <w:t>Department of Veterans' Affairs</w:t>
            </w:r>
          </w:p>
        </w:tc>
        <w:tc>
          <w:tcPr>
            <w:tcW w:w="1915" w:type="dxa"/>
            <w:tcBorders>
              <w:top w:val="single" w:sz="4" w:space="0" w:color="auto"/>
              <w:left w:val="nil"/>
              <w:bottom w:val="single" w:sz="4" w:space="0" w:color="auto"/>
              <w:right w:val="nil"/>
            </w:tcBorders>
            <w:shd w:val="clear" w:color="000000" w:fill="D9D9D9"/>
            <w:vAlign w:val="bottom"/>
            <w:hideMark/>
          </w:tcPr>
          <w:p w14:paraId="51751A08" w14:textId="77777777" w:rsidR="00AB6753" w:rsidRDefault="00AB6753" w:rsidP="002D1EA4">
            <w:pPr>
              <w:spacing w:after="0"/>
              <w:jc w:val="right"/>
              <w:rPr>
                <w:rFonts w:cs="Arial"/>
                <w:sz w:val="18"/>
                <w:szCs w:val="18"/>
              </w:rPr>
            </w:pPr>
            <w:r>
              <w:rPr>
                <w:rFonts w:cs="Arial"/>
                <w:sz w:val="18"/>
                <w:szCs w:val="18"/>
              </w:rPr>
              <w:t>Department of Home Affairs</w:t>
            </w:r>
          </w:p>
        </w:tc>
        <w:tc>
          <w:tcPr>
            <w:tcW w:w="2144" w:type="dxa"/>
            <w:tcBorders>
              <w:top w:val="single" w:sz="4" w:space="0" w:color="auto"/>
              <w:left w:val="nil"/>
              <w:bottom w:val="single" w:sz="4" w:space="0" w:color="auto"/>
              <w:right w:val="nil"/>
            </w:tcBorders>
            <w:shd w:val="clear" w:color="000000" w:fill="D9D9D9"/>
            <w:vAlign w:val="bottom"/>
            <w:hideMark/>
          </w:tcPr>
          <w:p w14:paraId="147474EF" w14:textId="77777777" w:rsidR="00AB6753" w:rsidRDefault="00AB6753" w:rsidP="002D1EA4">
            <w:pPr>
              <w:spacing w:after="0"/>
              <w:jc w:val="right"/>
              <w:rPr>
                <w:rFonts w:cs="Arial"/>
                <w:sz w:val="18"/>
                <w:szCs w:val="18"/>
              </w:rPr>
            </w:pPr>
            <w:r>
              <w:rPr>
                <w:rFonts w:cs="Arial"/>
                <w:sz w:val="18"/>
                <w:szCs w:val="18"/>
              </w:rPr>
              <w:t>Department of the Prime Minister and Cabinet</w:t>
            </w:r>
          </w:p>
        </w:tc>
      </w:tr>
      <w:tr w:rsidR="00AB6753" w14:paraId="0818E719" w14:textId="77777777" w:rsidTr="002D1EA4">
        <w:trPr>
          <w:trHeight w:val="255"/>
        </w:trPr>
        <w:tc>
          <w:tcPr>
            <w:tcW w:w="1496" w:type="dxa"/>
            <w:tcBorders>
              <w:top w:val="nil"/>
              <w:left w:val="nil"/>
              <w:bottom w:val="single" w:sz="4" w:space="0" w:color="auto"/>
              <w:right w:val="nil"/>
            </w:tcBorders>
            <w:shd w:val="clear" w:color="000000" w:fill="D9D9D9"/>
            <w:noWrap/>
            <w:vAlign w:val="bottom"/>
            <w:hideMark/>
          </w:tcPr>
          <w:p w14:paraId="4457E429" w14:textId="77777777" w:rsidR="00AB6753" w:rsidRDefault="00AB6753" w:rsidP="002D1EA4">
            <w:pPr>
              <w:spacing w:after="0"/>
              <w:rPr>
                <w:rFonts w:cs="Arial"/>
                <w:sz w:val="18"/>
                <w:szCs w:val="18"/>
              </w:rPr>
            </w:pPr>
            <w:r>
              <w:rPr>
                <w:rFonts w:cs="Arial"/>
                <w:sz w:val="18"/>
                <w:szCs w:val="18"/>
              </w:rPr>
              <w:t>2019</w:t>
            </w:r>
          </w:p>
        </w:tc>
        <w:tc>
          <w:tcPr>
            <w:tcW w:w="1934" w:type="dxa"/>
            <w:tcBorders>
              <w:top w:val="nil"/>
              <w:left w:val="nil"/>
              <w:bottom w:val="nil"/>
              <w:right w:val="nil"/>
            </w:tcBorders>
            <w:shd w:val="clear" w:color="000000" w:fill="D9D9D9"/>
            <w:noWrap/>
            <w:vAlign w:val="bottom"/>
            <w:hideMark/>
          </w:tcPr>
          <w:p w14:paraId="7AD8E2C4" w14:textId="77777777" w:rsidR="00AB6753" w:rsidRDefault="00AB6753" w:rsidP="002D1EA4">
            <w:pPr>
              <w:spacing w:after="0"/>
              <w:jc w:val="right"/>
              <w:rPr>
                <w:rFonts w:cs="Arial"/>
                <w:sz w:val="18"/>
                <w:szCs w:val="18"/>
              </w:rPr>
            </w:pPr>
            <w:r>
              <w:rPr>
                <w:rFonts w:cs="Arial"/>
                <w:sz w:val="18"/>
                <w:szCs w:val="18"/>
              </w:rPr>
              <w:t>$'000</w:t>
            </w:r>
          </w:p>
        </w:tc>
        <w:tc>
          <w:tcPr>
            <w:tcW w:w="1820" w:type="dxa"/>
            <w:tcBorders>
              <w:top w:val="nil"/>
              <w:left w:val="nil"/>
              <w:bottom w:val="nil"/>
              <w:right w:val="nil"/>
            </w:tcBorders>
            <w:shd w:val="clear" w:color="000000" w:fill="D9D9D9"/>
            <w:noWrap/>
            <w:vAlign w:val="bottom"/>
            <w:hideMark/>
          </w:tcPr>
          <w:p w14:paraId="6D806C4A" w14:textId="77777777" w:rsidR="00AB6753" w:rsidRDefault="00AB6753" w:rsidP="002D1EA4">
            <w:pPr>
              <w:spacing w:after="0"/>
              <w:jc w:val="right"/>
              <w:rPr>
                <w:rFonts w:cs="Arial"/>
                <w:sz w:val="18"/>
                <w:szCs w:val="18"/>
              </w:rPr>
            </w:pPr>
            <w:r>
              <w:rPr>
                <w:rFonts w:cs="Arial"/>
                <w:sz w:val="18"/>
                <w:szCs w:val="18"/>
              </w:rPr>
              <w:t>$'000</w:t>
            </w:r>
          </w:p>
        </w:tc>
        <w:tc>
          <w:tcPr>
            <w:tcW w:w="1915" w:type="dxa"/>
            <w:tcBorders>
              <w:top w:val="nil"/>
              <w:left w:val="nil"/>
              <w:bottom w:val="nil"/>
              <w:right w:val="nil"/>
            </w:tcBorders>
            <w:shd w:val="clear" w:color="000000" w:fill="D9D9D9"/>
            <w:noWrap/>
            <w:vAlign w:val="bottom"/>
            <w:hideMark/>
          </w:tcPr>
          <w:p w14:paraId="72C75315" w14:textId="77777777" w:rsidR="00AB6753" w:rsidRDefault="00AB6753" w:rsidP="002D1EA4">
            <w:pPr>
              <w:spacing w:after="0"/>
              <w:jc w:val="right"/>
              <w:rPr>
                <w:rFonts w:cs="Arial"/>
                <w:sz w:val="18"/>
                <w:szCs w:val="18"/>
              </w:rPr>
            </w:pPr>
            <w:r>
              <w:rPr>
                <w:rFonts w:cs="Arial"/>
                <w:sz w:val="18"/>
                <w:szCs w:val="18"/>
              </w:rPr>
              <w:t>$'000</w:t>
            </w:r>
          </w:p>
        </w:tc>
        <w:tc>
          <w:tcPr>
            <w:tcW w:w="2144" w:type="dxa"/>
            <w:tcBorders>
              <w:top w:val="nil"/>
              <w:left w:val="nil"/>
              <w:bottom w:val="nil"/>
              <w:right w:val="nil"/>
            </w:tcBorders>
            <w:shd w:val="clear" w:color="000000" w:fill="D9D9D9"/>
            <w:noWrap/>
            <w:vAlign w:val="bottom"/>
            <w:hideMark/>
          </w:tcPr>
          <w:p w14:paraId="63CB44BD" w14:textId="77777777" w:rsidR="00AB6753" w:rsidRDefault="00AB6753" w:rsidP="002D1EA4">
            <w:pPr>
              <w:spacing w:after="0"/>
              <w:jc w:val="right"/>
              <w:rPr>
                <w:rFonts w:cs="Arial"/>
                <w:sz w:val="18"/>
                <w:szCs w:val="18"/>
              </w:rPr>
            </w:pPr>
            <w:r>
              <w:rPr>
                <w:rFonts w:cs="Arial"/>
                <w:sz w:val="18"/>
                <w:szCs w:val="18"/>
              </w:rPr>
              <w:t>$'000</w:t>
            </w:r>
          </w:p>
        </w:tc>
      </w:tr>
      <w:tr w:rsidR="00AB6753" w14:paraId="1E4B0257" w14:textId="77777777" w:rsidTr="002D1EA4">
        <w:trPr>
          <w:trHeight w:val="255"/>
        </w:trPr>
        <w:tc>
          <w:tcPr>
            <w:tcW w:w="1496" w:type="dxa"/>
            <w:tcBorders>
              <w:top w:val="nil"/>
              <w:left w:val="nil"/>
              <w:bottom w:val="nil"/>
              <w:right w:val="nil"/>
            </w:tcBorders>
            <w:shd w:val="clear" w:color="000000" w:fill="D9D9D9"/>
            <w:hideMark/>
          </w:tcPr>
          <w:p w14:paraId="3E6654CB" w14:textId="77777777" w:rsidR="00AB6753" w:rsidRDefault="00AB6753" w:rsidP="002D1EA4">
            <w:pPr>
              <w:spacing w:after="0"/>
              <w:rPr>
                <w:rFonts w:cs="Arial"/>
                <w:sz w:val="18"/>
                <w:szCs w:val="18"/>
              </w:rPr>
            </w:pPr>
            <w:r>
              <w:rPr>
                <w:rFonts w:cs="Arial"/>
                <w:sz w:val="18"/>
                <w:szCs w:val="18"/>
              </w:rPr>
              <w:t>Total receipts</w:t>
            </w:r>
          </w:p>
        </w:tc>
        <w:tc>
          <w:tcPr>
            <w:tcW w:w="1934" w:type="dxa"/>
            <w:tcBorders>
              <w:top w:val="single" w:sz="4" w:space="0" w:color="auto"/>
              <w:left w:val="nil"/>
              <w:bottom w:val="nil"/>
              <w:right w:val="nil"/>
            </w:tcBorders>
            <w:shd w:val="clear" w:color="000000" w:fill="D9D9D9"/>
            <w:noWrap/>
            <w:vAlign w:val="bottom"/>
            <w:hideMark/>
          </w:tcPr>
          <w:p w14:paraId="76CFB7C0" w14:textId="77777777" w:rsidR="00AB6753" w:rsidRDefault="00AB6753" w:rsidP="002D1EA4">
            <w:pPr>
              <w:spacing w:after="0"/>
              <w:jc w:val="right"/>
              <w:rPr>
                <w:rFonts w:cs="Arial"/>
                <w:sz w:val="18"/>
                <w:szCs w:val="18"/>
              </w:rPr>
            </w:pPr>
            <w:r>
              <w:rPr>
                <w:rFonts w:cs="Arial"/>
                <w:sz w:val="18"/>
                <w:szCs w:val="18"/>
              </w:rPr>
              <w:t>184,091</w:t>
            </w:r>
          </w:p>
        </w:tc>
        <w:tc>
          <w:tcPr>
            <w:tcW w:w="1820" w:type="dxa"/>
            <w:tcBorders>
              <w:top w:val="single" w:sz="4" w:space="0" w:color="auto"/>
              <w:left w:val="nil"/>
              <w:bottom w:val="nil"/>
              <w:right w:val="nil"/>
            </w:tcBorders>
            <w:shd w:val="clear" w:color="000000" w:fill="D9D9D9"/>
            <w:noWrap/>
            <w:vAlign w:val="bottom"/>
            <w:hideMark/>
          </w:tcPr>
          <w:p w14:paraId="19C92FF2" w14:textId="77777777" w:rsidR="00AB6753" w:rsidRDefault="00AB6753" w:rsidP="002D1EA4">
            <w:pPr>
              <w:spacing w:after="0"/>
              <w:jc w:val="right"/>
              <w:rPr>
                <w:rFonts w:cs="Arial"/>
                <w:sz w:val="18"/>
                <w:szCs w:val="18"/>
              </w:rPr>
            </w:pPr>
            <w:r>
              <w:rPr>
                <w:rFonts w:cs="Arial"/>
                <w:sz w:val="18"/>
                <w:szCs w:val="18"/>
              </w:rPr>
              <w:t>9,880</w:t>
            </w:r>
          </w:p>
        </w:tc>
        <w:tc>
          <w:tcPr>
            <w:tcW w:w="1915" w:type="dxa"/>
            <w:tcBorders>
              <w:top w:val="single" w:sz="4" w:space="0" w:color="auto"/>
              <w:left w:val="nil"/>
              <w:bottom w:val="nil"/>
              <w:right w:val="nil"/>
            </w:tcBorders>
            <w:shd w:val="clear" w:color="000000" w:fill="D9D9D9"/>
            <w:noWrap/>
            <w:vAlign w:val="bottom"/>
            <w:hideMark/>
          </w:tcPr>
          <w:p w14:paraId="56411FAB" w14:textId="77777777" w:rsidR="00AB6753" w:rsidRDefault="00AB6753" w:rsidP="002D1EA4">
            <w:pPr>
              <w:spacing w:after="0"/>
              <w:jc w:val="right"/>
              <w:rPr>
                <w:rFonts w:cs="Arial"/>
                <w:sz w:val="18"/>
                <w:szCs w:val="18"/>
              </w:rPr>
            </w:pPr>
            <w:r>
              <w:rPr>
                <w:rFonts w:cs="Arial"/>
                <w:sz w:val="18"/>
                <w:szCs w:val="18"/>
              </w:rPr>
              <w:t>5,772</w:t>
            </w:r>
          </w:p>
        </w:tc>
        <w:tc>
          <w:tcPr>
            <w:tcW w:w="2144" w:type="dxa"/>
            <w:tcBorders>
              <w:top w:val="single" w:sz="4" w:space="0" w:color="auto"/>
              <w:left w:val="nil"/>
              <w:bottom w:val="nil"/>
              <w:right w:val="nil"/>
            </w:tcBorders>
            <w:shd w:val="clear" w:color="000000" w:fill="D9D9D9"/>
            <w:noWrap/>
            <w:vAlign w:val="bottom"/>
            <w:hideMark/>
          </w:tcPr>
          <w:p w14:paraId="1B68CB46" w14:textId="77777777" w:rsidR="00AB6753" w:rsidRDefault="00AB6753" w:rsidP="002D1EA4">
            <w:pPr>
              <w:spacing w:after="0"/>
              <w:jc w:val="right"/>
              <w:rPr>
                <w:rFonts w:cs="Arial"/>
                <w:sz w:val="18"/>
                <w:szCs w:val="18"/>
              </w:rPr>
            </w:pPr>
            <w:r>
              <w:rPr>
                <w:rFonts w:cs="Arial"/>
                <w:sz w:val="18"/>
                <w:szCs w:val="18"/>
              </w:rPr>
              <w:t>365</w:t>
            </w:r>
          </w:p>
        </w:tc>
      </w:tr>
      <w:tr w:rsidR="00AB6753" w14:paraId="2A166FAE" w14:textId="77777777" w:rsidTr="002D1EA4">
        <w:trPr>
          <w:trHeight w:val="255"/>
        </w:trPr>
        <w:tc>
          <w:tcPr>
            <w:tcW w:w="1496" w:type="dxa"/>
            <w:tcBorders>
              <w:top w:val="nil"/>
              <w:left w:val="nil"/>
              <w:bottom w:val="single" w:sz="4" w:space="0" w:color="auto"/>
              <w:right w:val="nil"/>
            </w:tcBorders>
            <w:shd w:val="clear" w:color="000000" w:fill="D9D9D9"/>
            <w:hideMark/>
          </w:tcPr>
          <w:p w14:paraId="3EA58924" w14:textId="77777777" w:rsidR="00AB6753" w:rsidRDefault="00AB6753" w:rsidP="002D1EA4">
            <w:pPr>
              <w:spacing w:after="0"/>
              <w:rPr>
                <w:rFonts w:cs="Arial"/>
                <w:sz w:val="18"/>
                <w:szCs w:val="18"/>
              </w:rPr>
            </w:pPr>
            <w:r>
              <w:rPr>
                <w:rFonts w:cs="Arial"/>
                <w:sz w:val="18"/>
                <w:szCs w:val="18"/>
              </w:rPr>
              <w:t>Total payments</w:t>
            </w:r>
          </w:p>
        </w:tc>
        <w:tc>
          <w:tcPr>
            <w:tcW w:w="1934" w:type="dxa"/>
            <w:tcBorders>
              <w:top w:val="nil"/>
              <w:left w:val="nil"/>
              <w:bottom w:val="single" w:sz="4" w:space="0" w:color="auto"/>
              <w:right w:val="nil"/>
            </w:tcBorders>
            <w:shd w:val="clear" w:color="000000" w:fill="D9D9D9"/>
            <w:noWrap/>
            <w:vAlign w:val="bottom"/>
            <w:hideMark/>
          </w:tcPr>
          <w:p w14:paraId="6F8AF321" w14:textId="77777777" w:rsidR="00AB6753" w:rsidRDefault="00AB6753" w:rsidP="002D1EA4">
            <w:pPr>
              <w:spacing w:after="0"/>
              <w:jc w:val="right"/>
              <w:rPr>
                <w:rFonts w:cs="Arial"/>
                <w:sz w:val="18"/>
                <w:szCs w:val="18"/>
              </w:rPr>
            </w:pPr>
            <w:r>
              <w:rPr>
                <w:rFonts w:cs="Arial"/>
                <w:sz w:val="18"/>
                <w:szCs w:val="18"/>
              </w:rPr>
              <w:t>(184,091)</w:t>
            </w:r>
          </w:p>
        </w:tc>
        <w:tc>
          <w:tcPr>
            <w:tcW w:w="1820" w:type="dxa"/>
            <w:tcBorders>
              <w:top w:val="nil"/>
              <w:left w:val="nil"/>
              <w:bottom w:val="single" w:sz="4" w:space="0" w:color="auto"/>
              <w:right w:val="nil"/>
            </w:tcBorders>
            <w:shd w:val="clear" w:color="000000" w:fill="D9D9D9"/>
            <w:noWrap/>
            <w:vAlign w:val="bottom"/>
            <w:hideMark/>
          </w:tcPr>
          <w:p w14:paraId="409E3D03" w14:textId="77777777" w:rsidR="00AB6753" w:rsidRDefault="00AB6753" w:rsidP="002D1EA4">
            <w:pPr>
              <w:spacing w:after="0"/>
              <w:jc w:val="right"/>
              <w:rPr>
                <w:rFonts w:cs="Arial"/>
                <w:sz w:val="18"/>
                <w:szCs w:val="18"/>
              </w:rPr>
            </w:pPr>
            <w:r>
              <w:rPr>
                <w:rFonts w:cs="Arial"/>
                <w:sz w:val="18"/>
                <w:szCs w:val="18"/>
              </w:rPr>
              <w:t>(9,880)</w:t>
            </w:r>
          </w:p>
        </w:tc>
        <w:tc>
          <w:tcPr>
            <w:tcW w:w="1915" w:type="dxa"/>
            <w:tcBorders>
              <w:top w:val="nil"/>
              <w:left w:val="nil"/>
              <w:bottom w:val="single" w:sz="4" w:space="0" w:color="auto"/>
              <w:right w:val="nil"/>
            </w:tcBorders>
            <w:shd w:val="clear" w:color="000000" w:fill="D9D9D9"/>
            <w:noWrap/>
            <w:vAlign w:val="bottom"/>
            <w:hideMark/>
          </w:tcPr>
          <w:p w14:paraId="11977808" w14:textId="77777777" w:rsidR="00AB6753" w:rsidRDefault="00AB6753" w:rsidP="002D1EA4">
            <w:pPr>
              <w:spacing w:after="0"/>
              <w:jc w:val="right"/>
              <w:rPr>
                <w:rFonts w:cs="Arial"/>
                <w:sz w:val="18"/>
                <w:szCs w:val="18"/>
              </w:rPr>
            </w:pPr>
            <w:r>
              <w:rPr>
                <w:rFonts w:cs="Arial"/>
                <w:sz w:val="18"/>
                <w:szCs w:val="18"/>
              </w:rPr>
              <w:t>(5,772)</w:t>
            </w:r>
          </w:p>
        </w:tc>
        <w:tc>
          <w:tcPr>
            <w:tcW w:w="2144" w:type="dxa"/>
            <w:tcBorders>
              <w:top w:val="nil"/>
              <w:left w:val="nil"/>
              <w:bottom w:val="single" w:sz="4" w:space="0" w:color="auto"/>
              <w:right w:val="nil"/>
            </w:tcBorders>
            <w:shd w:val="clear" w:color="000000" w:fill="D9D9D9"/>
            <w:noWrap/>
            <w:vAlign w:val="bottom"/>
            <w:hideMark/>
          </w:tcPr>
          <w:p w14:paraId="7AE47982" w14:textId="77777777" w:rsidR="00AB6753" w:rsidRDefault="00AB6753" w:rsidP="002D1EA4">
            <w:pPr>
              <w:spacing w:after="0"/>
              <w:jc w:val="right"/>
              <w:rPr>
                <w:rFonts w:cs="Arial"/>
                <w:sz w:val="18"/>
                <w:szCs w:val="18"/>
              </w:rPr>
            </w:pPr>
            <w:r>
              <w:rPr>
                <w:rFonts w:cs="Arial"/>
                <w:sz w:val="18"/>
                <w:szCs w:val="18"/>
              </w:rPr>
              <w:t>(365)</w:t>
            </w:r>
          </w:p>
        </w:tc>
      </w:tr>
      <w:tr w:rsidR="00AB6753" w14:paraId="0E1A245A" w14:textId="77777777" w:rsidTr="002D1EA4">
        <w:trPr>
          <w:trHeight w:val="255"/>
        </w:trPr>
        <w:tc>
          <w:tcPr>
            <w:tcW w:w="1496" w:type="dxa"/>
            <w:tcBorders>
              <w:top w:val="nil"/>
              <w:left w:val="nil"/>
              <w:bottom w:val="nil"/>
              <w:right w:val="nil"/>
            </w:tcBorders>
            <w:shd w:val="clear" w:color="000000" w:fill="D9D9D9"/>
            <w:noWrap/>
            <w:vAlign w:val="bottom"/>
            <w:hideMark/>
          </w:tcPr>
          <w:p w14:paraId="39C73F00" w14:textId="77777777" w:rsidR="00AB6753" w:rsidRDefault="00AB6753" w:rsidP="002D1EA4">
            <w:pPr>
              <w:spacing w:after="0"/>
              <w:rPr>
                <w:rFonts w:cs="Arial"/>
                <w:sz w:val="18"/>
                <w:szCs w:val="18"/>
              </w:rPr>
            </w:pPr>
            <w:r>
              <w:rPr>
                <w:rFonts w:cs="Arial"/>
                <w:sz w:val="18"/>
                <w:szCs w:val="18"/>
              </w:rPr>
              <w:t> </w:t>
            </w:r>
          </w:p>
        </w:tc>
        <w:tc>
          <w:tcPr>
            <w:tcW w:w="1934" w:type="dxa"/>
            <w:tcBorders>
              <w:top w:val="nil"/>
              <w:left w:val="nil"/>
              <w:bottom w:val="nil"/>
              <w:right w:val="nil"/>
            </w:tcBorders>
            <w:shd w:val="clear" w:color="000000" w:fill="D9D9D9"/>
            <w:noWrap/>
            <w:vAlign w:val="bottom"/>
            <w:hideMark/>
          </w:tcPr>
          <w:p w14:paraId="2BC8C635" w14:textId="77777777" w:rsidR="00AB6753" w:rsidRDefault="00AB6753" w:rsidP="002D1EA4">
            <w:pPr>
              <w:spacing w:after="0"/>
              <w:rPr>
                <w:rFonts w:cs="Arial"/>
                <w:sz w:val="18"/>
                <w:szCs w:val="18"/>
              </w:rPr>
            </w:pPr>
            <w:r>
              <w:rPr>
                <w:rFonts w:cs="Arial"/>
                <w:sz w:val="18"/>
                <w:szCs w:val="18"/>
              </w:rPr>
              <w:t> </w:t>
            </w:r>
          </w:p>
        </w:tc>
        <w:tc>
          <w:tcPr>
            <w:tcW w:w="1820" w:type="dxa"/>
            <w:tcBorders>
              <w:top w:val="nil"/>
              <w:left w:val="nil"/>
              <w:bottom w:val="nil"/>
              <w:right w:val="nil"/>
            </w:tcBorders>
            <w:shd w:val="clear" w:color="000000" w:fill="D9D9D9"/>
            <w:noWrap/>
            <w:vAlign w:val="bottom"/>
            <w:hideMark/>
          </w:tcPr>
          <w:p w14:paraId="5068A59C" w14:textId="77777777" w:rsidR="00AB6753" w:rsidRDefault="00AB6753" w:rsidP="002D1EA4">
            <w:pPr>
              <w:spacing w:after="0"/>
              <w:rPr>
                <w:rFonts w:cs="Arial"/>
                <w:sz w:val="18"/>
                <w:szCs w:val="18"/>
              </w:rPr>
            </w:pPr>
            <w:r>
              <w:rPr>
                <w:rFonts w:cs="Arial"/>
                <w:sz w:val="18"/>
                <w:szCs w:val="18"/>
              </w:rPr>
              <w:t> </w:t>
            </w:r>
          </w:p>
        </w:tc>
        <w:tc>
          <w:tcPr>
            <w:tcW w:w="1915" w:type="dxa"/>
            <w:tcBorders>
              <w:top w:val="nil"/>
              <w:left w:val="nil"/>
              <w:bottom w:val="nil"/>
              <w:right w:val="nil"/>
            </w:tcBorders>
            <w:shd w:val="clear" w:color="000000" w:fill="D9D9D9"/>
            <w:vAlign w:val="bottom"/>
            <w:hideMark/>
          </w:tcPr>
          <w:p w14:paraId="59A64104" w14:textId="77777777" w:rsidR="00AB6753" w:rsidRDefault="00AB6753" w:rsidP="002D1EA4">
            <w:pPr>
              <w:spacing w:after="0"/>
              <w:rPr>
                <w:rFonts w:cs="Arial"/>
                <w:sz w:val="18"/>
                <w:szCs w:val="18"/>
              </w:rPr>
            </w:pPr>
            <w:r>
              <w:rPr>
                <w:rFonts w:cs="Arial"/>
                <w:sz w:val="18"/>
                <w:szCs w:val="18"/>
              </w:rPr>
              <w:t> </w:t>
            </w:r>
          </w:p>
        </w:tc>
        <w:tc>
          <w:tcPr>
            <w:tcW w:w="2144" w:type="dxa"/>
            <w:tcBorders>
              <w:top w:val="nil"/>
              <w:left w:val="nil"/>
              <w:bottom w:val="nil"/>
              <w:right w:val="nil"/>
            </w:tcBorders>
            <w:shd w:val="clear" w:color="000000" w:fill="D9D9D9"/>
            <w:vAlign w:val="bottom"/>
            <w:hideMark/>
          </w:tcPr>
          <w:p w14:paraId="5A190D25" w14:textId="77777777" w:rsidR="00AB6753" w:rsidRDefault="00AB6753" w:rsidP="002D1EA4">
            <w:pPr>
              <w:spacing w:after="0"/>
              <w:jc w:val="right"/>
              <w:rPr>
                <w:rFonts w:cs="Arial"/>
                <w:sz w:val="18"/>
                <w:szCs w:val="18"/>
              </w:rPr>
            </w:pPr>
            <w:r>
              <w:rPr>
                <w:rFonts w:cs="Arial"/>
                <w:sz w:val="18"/>
                <w:szCs w:val="18"/>
              </w:rPr>
              <w:t> </w:t>
            </w:r>
          </w:p>
        </w:tc>
      </w:tr>
      <w:tr w:rsidR="00AB6753" w14:paraId="14B0FC8D" w14:textId="77777777" w:rsidTr="002D1EA4">
        <w:trPr>
          <w:trHeight w:val="630"/>
        </w:trPr>
        <w:tc>
          <w:tcPr>
            <w:tcW w:w="9309" w:type="dxa"/>
            <w:gridSpan w:val="5"/>
            <w:tcBorders>
              <w:top w:val="nil"/>
              <w:left w:val="nil"/>
              <w:bottom w:val="nil"/>
              <w:right w:val="nil"/>
            </w:tcBorders>
            <w:shd w:val="clear" w:color="000000" w:fill="D9D9D9"/>
            <w:hideMark/>
          </w:tcPr>
          <w:p w14:paraId="1BF1575B" w14:textId="77777777" w:rsidR="00AB6753" w:rsidRDefault="00AB6753" w:rsidP="002D1EA4">
            <w:pPr>
              <w:spacing w:after="0"/>
              <w:ind w:left="170" w:hanging="170"/>
              <w:rPr>
                <w:rFonts w:cs="Arial"/>
                <w:sz w:val="18"/>
                <w:szCs w:val="18"/>
              </w:rPr>
            </w:pPr>
            <w:r>
              <w:rPr>
                <w:rFonts w:cs="Arial"/>
                <w:sz w:val="18"/>
                <w:szCs w:val="18"/>
                <w:vertAlign w:val="superscript"/>
              </w:rPr>
              <w:t>1.</w:t>
            </w:r>
            <w:r>
              <w:rPr>
                <w:rFonts w:cs="Arial"/>
                <w:sz w:val="18"/>
                <w:szCs w:val="18"/>
              </w:rPr>
              <w:t xml:space="preserve"> The department has third party drawing rights for the Attorney-General's Department annual appropriation for the Family Relationship Services, Justice Services and Indigenous Law and Justice programs.</w:t>
            </w:r>
          </w:p>
        </w:tc>
      </w:tr>
      <w:tr w:rsidR="00AB6753" w14:paraId="6BBA245E" w14:textId="77777777" w:rsidTr="002D1EA4">
        <w:trPr>
          <w:trHeight w:val="870"/>
        </w:trPr>
        <w:tc>
          <w:tcPr>
            <w:tcW w:w="9309" w:type="dxa"/>
            <w:gridSpan w:val="5"/>
            <w:tcBorders>
              <w:top w:val="nil"/>
              <w:left w:val="nil"/>
              <w:bottom w:val="nil"/>
              <w:right w:val="nil"/>
            </w:tcBorders>
            <w:shd w:val="clear" w:color="000000" w:fill="D9D9D9"/>
            <w:hideMark/>
          </w:tcPr>
          <w:p w14:paraId="64D5736E" w14:textId="77777777" w:rsidR="00AB6753" w:rsidRDefault="00AB6753" w:rsidP="002D1EA4">
            <w:pPr>
              <w:spacing w:after="0"/>
              <w:ind w:left="170" w:hanging="170"/>
              <w:rPr>
                <w:rFonts w:cs="Arial"/>
                <w:sz w:val="18"/>
                <w:szCs w:val="18"/>
              </w:rPr>
            </w:pPr>
            <w:r>
              <w:rPr>
                <w:rFonts w:cs="Arial"/>
                <w:sz w:val="18"/>
                <w:szCs w:val="18"/>
                <w:vertAlign w:val="superscript"/>
              </w:rPr>
              <w:t>2.</w:t>
            </w:r>
            <w:r>
              <w:rPr>
                <w:rFonts w:cs="Arial"/>
                <w:sz w:val="18"/>
                <w:szCs w:val="18"/>
              </w:rPr>
              <w:t xml:space="preserve"> The department has third party drawing rights for the Department of Veterans' Affairs annual appropriation for the Veterans' Community Care and Support, Commemorative Activities, Veterans' Counselling and Other Health Services and Assistance and Other Compensation for Veterans and Dependants programs.</w:t>
            </w:r>
          </w:p>
        </w:tc>
      </w:tr>
      <w:tr w:rsidR="00AB6753" w14:paraId="51F349DD" w14:textId="77777777" w:rsidTr="002D1EA4">
        <w:trPr>
          <w:trHeight w:val="645"/>
        </w:trPr>
        <w:tc>
          <w:tcPr>
            <w:tcW w:w="9309" w:type="dxa"/>
            <w:gridSpan w:val="5"/>
            <w:tcBorders>
              <w:top w:val="nil"/>
              <w:left w:val="nil"/>
              <w:bottom w:val="nil"/>
              <w:right w:val="nil"/>
            </w:tcBorders>
            <w:shd w:val="clear" w:color="000000" w:fill="D9D9D9"/>
            <w:hideMark/>
          </w:tcPr>
          <w:p w14:paraId="5F120915" w14:textId="77777777" w:rsidR="00AB6753" w:rsidRDefault="00AB6753" w:rsidP="002D1EA4">
            <w:pPr>
              <w:spacing w:after="0"/>
              <w:ind w:left="170" w:hanging="170"/>
              <w:rPr>
                <w:rFonts w:cs="Arial"/>
                <w:sz w:val="18"/>
                <w:szCs w:val="18"/>
              </w:rPr>
            </w:pPr>
            <w:r>
              <w:rPr>
                <w:rFonts w:cs="Arial"/>
                <w:sz w:val="18"/>
                <w:szCs w:val="18"/>
                <w:vertAlign w:val="superscript"/>
              </w:rPr>
              <w:t>3.</w:t>
            </w:r>
            <w:r>
              <w:rPr>
                <w:rFonts w:cs="Arial"/>
                <w:sz w:val="18"/>
                <w:szCs w:val="18"/>
              </w:rPr>
              <w:t xml:space="preserve"> The department has third party drawing rights for the Department of Home Affairs annual appropriation for the National Security and Criminal Justice, Multicultural Affairs and Citizenship and Refugee, Humanitarian, Settlement and Migrant Services programs. The department receipted wage supplementation recoveries made by the Department of Home Affairs related to the Social and Community Services Pay Equity Special Account.</w:t>
            </w:r>
          </w:p>
        </w:tc>
      </w:tr>
      <w:tr w:rsidR="00AB6753" w14:paraId="38B7AF39" w14:textId="77777777" w:rsidTr="002D1EA4">
        <w:trPr>
          <w:trHeight w:val="675"/>
        </w:trPr>
        <w:tc>
          <w:tcPr>
            <w:tcW w:w="9309" w:type="dxa"/>
            <w:gridSpan w:val="5"/>
            <w:tcBorders>
              <w:top w:val="nil"/>
              <w:left w:val="nil"/>
              <w:bottom w:val="nil"/>
              <w:right w:val="nil"/>
            </w:tcBorders>
            <w:shd w:val="clear" w:color="000000" w:fill="D9D9D9"/>
            <w:hideMark/>
          </w:tcPr>
          <w:p w14:paraId="7D6577F3" w14:textId="77777777" w:rsidR="00AB6753" w:rsidRDefault="00AB6753" w:rsidP="002D1EA4">
            <w:pPr>
              <w:spacing w:after="0"/>
              <w:ind w:left="170" w:hanging="170"/>
              <w:rPr>
                <w:rFonts w:cs="Arial"/>
                <w:sz w:val="18"/>
                <w:szCs w:val="18"/>
              </w:rPr>
            </w:pPr>
            <w:r>
              <w:rPr>
                <w:rFonts w:cs="Arial"/>
                <w:sz w:val="18"/>
                <w:szCs w:val="18"/>
                <w:vertAlign w:val="superscript"/>
              </w:rPr>
              <w:t>4.</w:t>
            </w:r>
            <w:r>
              <w:rPr>
                <w:rFonts w:cs="Arial"/>
                <w:sz w:val="18"/>
                <w:szCs w:val="18"/>
              </w:rPr>
              <w:t xml:space="preserve"> The department receipted wage supplementation recoveries initially paid by the Department of the Prime Minister and Cabinet for the Social and Community Services Pay Equity Special Account.</w:t>
            </w:r>
          </w:p>
        </w:tc>
      </w:tr>
    </w:tbl>
    <w:p w14:paraId="79C9E09D" w14:textId="77777777" w:rsidR="00AB6753" w:rsidRDefault="00AB6753" w:rsidP="00AB6753">
      <w:pPr>
        <w:pStyle w:val="ContinuedSubHeading"/>
        <w:sectPr w:rsidR="00AB6753" w:rsidSect="00C63A3F">
          <w:pgSz w:w="11906" w:h="16838" w:code="9"/>
          <w:pgMar w:top="1134" w:right="1416" w:bottom="1134" w:left="1134" w:header="958" w:footer="737" w:gutter="0"/>
          <w:cols w:space="708"/>
          <w:docGrid w:linePitch="360"/>
        </w:sectPr>
      </w:pPr>
    </w:p>
    <w:p w14:paraId="50BAEF1B" w14:textId="77777777" w:rsidR="00AB6753" w:rsidRPr="00163047" w:rsidRDefault="00AB6753" w:rsidP="00AB6753">
      <w:pPr>
        <w:pStyle w:val="SubHeading"/>
        <w:shd w:val="clear" w:color="auto" w:fill="D9D9D9" w:themeFill="background1" w:themeFillShade="D9"/>
        <w:ind w:left="-17"/>
        <w:rPr>
          <w:sz w:val="20"/>
        </w:rPr>
      </w:pPr>
      <w:bookmarkStart w:id="190" w:name="_Toc443469540"/>
      <w:bookmarkStart w:id="191" w:name="_Toc444065794"/>
      <w:bookmarkStart w:id="192" w:name="_Toc444079991"/>
      <w:bookmarkStart w:id="193" w:name="_Toc450750173"/>
      <w:bookmarkStart w:id="194" w:name="_Ref456959031"/>
      <w:bookmarkStart w:id="195" w:name="_Toc45748818"/>
      <w:r>
        <w:rPr>
          <w:sz w:val="20"/>
        </w:rPr>
        <w:lastRenderedPageBreak/>
        <w:t xml:space="preserve">5.2 </w:t>
      </w:r>
      <w:r w:rsidRPr="00163047">
        <w:rPr>
          <w:sz w:val="20"/>
        </w:rPr>
        <w:t>Administered Special Accounts</w:t>
      </w:r>
      <w:bookmarkEnd w:id="190"/>
      <w:bookmarkEnd w:id="191"/>
      <w:bookmarkEnd w:id="192"/>
      <w:bookmarkEnd w:id="193"/>
      <w:bookmarkEnd w:id="194"/>
      <w:bookmarkEnd w:id="195"/>
      <w:r w:rsidRPr="00163047">
        <w:rPr>
          <w:sz w:val="20"/>
        </w:rPr>
        <w:t xml:space="preserve"> </w:t>
      </w:r>
    </w:p>
    <w:p w14:paraId="2E73B341" w14:textId="77777777" w:rsidR="00AB6753" w:rsidRPr="00FF2BE6" w:rsidRDefault="00AB6753" w:rsidP="00AB6753">
      <w:pPr>
        <w:pStyle w:val="SubHeading"/>
        <w:shd w:val="clear" w:color="auto" w:fill="D9D9D9" w:themeFill="background1" w:themeFillShade="D9"/>
        <w:ind w:left="-17"/>
      </w:pPr>
    </w:p>
    <w:tbl>
      <w:tblPr>
        <w:tblW w:w="14884" w:type="dxa"/>
        <w:tblLayout w:type="fixed"/>
        <w:tblLook w:val="04A0" w:firstRow="1" w:lastRow="0" w:firstColumn="1" w:lastColumn="0" w:noHBand="0" w:noVBand="1"/>
        <w:tblCaption w:val="Notes to and forming part of the financial statements"/>
        <w:tblDescription w:val="Administered Special Accounts"/>
      </w:tblPr>
      <w:tblGrid>
        <w:gridCol w:w="5473"/>
        <w:gridCol w:w="1550"/>
        <w:gridCol w:w="1549"/>
        <w:gridCol w:w="1549"/>
        <w:gridCol w:w="1549"/>
        <w:gridCol w:w="1549"/>
        <w:gridCol w:w="1665"/>
      </w:tblGrid>
      <w:tr w:rsidR="00AB6753" w14:paraId="2428FD6C" w14:textId="77777777" w:rsidTr="002D1EA4">
        <w:trPr>
          <w:trHeight w:val="855"/>
        </w:trPr>
        <w:tc>
          <w:tcPr>
            <w:tcW w:w="5473" w:type="dxa"/>
            <w:tcBorders>
              <w:top w:val="single" w:sz="4" w:space="0" w:color="auto"/>
              <w:left w:val="nil"/>
              <w:bottom w:val="nil"/>
              <w:right w:val="nil"/>
            </w:tcBorders>
            <w:shd w:val="clear" w:color="000000" w:fill="D9D9D9"/>
            <w:vAlign w:val="center"/>
            <w:hideMark/>
          </w:tcPr>
          <w:p w14:paraId="27B0934A" w14:textId="77777777" w:rsidR="00AB6753" w:rsidRDefault="00AB6753" w:rsidP="002D1EA4">
            <w:pPr>
              <w:spacing w:after="0"/>
              <w:ind w:left="-326"/>
              <w:rPr>
                <w:rFonts w:cs="Arial"/>
                <w:b/>
                <w:bCs/>
                <w:sz w:val="18"/>
                <w:szCs w:val="18"/>
              </w:rPr>
            </w:pPr>
            <w:bookmarkStart w:id="196" w:name="Note_ASATABLE1" w:colFirst="0" w:colLast="0"/>
            <w:r>
              <w:rPr>
                <w:rFonts w:cs="Arial"/>
                <w:b/>
                <w:bCs/>
                <w:sz w:val="18"/>
                <w:szCs w:val="18"/>
              </w:rPr>
              <w:t> </w:t>
            </w:r>
          </w:p>
        </w:tc>
        <w:tc>
          <w:tcPr>
            <w:tcW w:w="3099" w:type="dxa"/>
            <w:gridSpan w:val="2"/>
            <w:tcBorders>
              <w:top w:val="single" w:sz="4" w:space="0" w:color="auto"/>
              <w:left w:val="nil"/>
              <w:bottom w:val="nil"/>
              <w:right w:val="nil"/>
            </w:tcBorders>
            <w:shd w:val="clear" w:color="000000" w:fill="D9D9D9"/>
            <w:hideMark/>
          </w:tcPr>
          <w:p w14:paraId="3C0F4D15" w14:textId="77777777" w:rsidR="00AB6753" w:rsidRDefault="00AB6753" w:rsidP="002D1EA4">
            <w:pPr>
              <w:spacing w:after="0"/>
              <w:jc w:val="right"/>
              <w:rPr>
                <w:rFonts w:cs="Arial"/>
                <w:b/>
                <w:bCs/>
                <w:sz w:val="18"/>
                <w:szCs w:val="18"/>
              </w:rPr>
            </w:pPr>
            <w:r>
              <w:rPr>
                <w:rFonts w:cs="Arial"/>
                <w:b/>
                <w:bCs/>
                <w:sz w:val="18"/>
                <w:szCs w:val="18"/>
              </w:rPr>
              <w:t>Social and Community Services Pay Equity Special Account</w:t>
            </w:r>
            <w:r>
              <w:rPr>
                <w:rFonts w:cs="Arial"/>
                <w:b/>
                <w:bCs/>
                <w:sz w:val="18"/>
                <w:szCs w:val="18"/>
                <w:vertAlign w:val="superscript"/>
              </w:rPr>
              <w:t>4</w:t>
            </w:r>
          </w:p>
        </w:tc>
        <w:tc>
          <w:tcPr>
            <w:tcW w:w="3098" w:type="dxa"/>
            <w:gridSpan w:val="2"/>
            <w:tcBorders>
              <w:top w:val="single" w:sz="4" w:space="0" w:color="auto"/>
              <w:left w:val="nil"/>
              <w:bottom w:val="nil"/>
              <w:right w:val="nil"/>
            </w:tcBorders>
            <w:shd w:val="clear" w:color="000000" w:fill="D9D9D9"/>
            <w:hideMark/>
          </w:tcPr>
          <w:p w14:paraId="320CF83F" w14:textId="77777777" w:rsidR="00AB6753" w:rsidRDefault="00AB6753" w:rsidP="002D1EA4">
            <w:pPr>
              <w:spacing w:after="0"/>
              <w:jc w:val="right"/>
              <w:rPr>
                <w:rFonts w:cs="Arial"/>
                <w:b/>
                <w:bCs/>
                <w:sz w:val="18"/>
                <w:szCs w:val="18"/>
              </w:rPr>
            </w:pPr>
            <w:r>
              <w:rPr>
                <w:rFonts w:cs="Arial"/>
                <w:b/>
                <w:bCs/>
                <w:sz w:val="18"/>
                <w:szCs w:val="18"/>
              </w:rPr>
              <w:t>Services for Other Entities and Trust Moneys Special Account</w:t>
            </w:r>
            <w:r>
              <w:rPr>
                <w:rFonts w:cs="Arial"/>
                <w:b/>
                <w:bCs/>
                <w:sz w:val="18"/>
                <w:szCs w:val="18"/>
                <w:vertAlign w:val="superscript"/>
              </w:rPr>
              <w:t>5</w:t>
            </w:r>
          </w:p>
        </w:tc>
        <w:tc>
          <w:tcPr>
            <w:tcW w:w="3214" w:type="dxa"/>
            <w:gridSpan w:val="2"/>
            <w:tcBorders>
              <w:top w:val="single" w:sz="4" w:space="0" w:color="auto"/>
              <w:left w:val="nil"/>
              <w:bottom w:val="nil"/>
              <w:right w:val="nil"/>
            </w:tcBorders>
            <w:shd w:val="clear" w:color="000000" w:fill="D9D9D9"/>
            <w:hideMark/>
          </w:tcPr>
          <w:p w14:paraId="369C45A8" w14:textId="77777777" w:rsidR="00AB6753" w:rsidRDefault="00AB6753" w:rsidP="002D1EA4">
            <w:pPr>
              <w:spacing w:after="0"/>
              <w:jc w:val="right"/>
              <w:rPr>
                <w:rFonts w:cs="Arial"/>
                <w:b/>
                <w:bCs/>
                <w:sz w:val="18"/>
                <w:szCs w:val="18"/>
              </w:rPr>
            </w:pPr>
            <w:r>
              <w:rPr>
                <w:rFonts w:cs="Arial"/>
                <w:b/>
                <w:bCs/>
                <w:sz w:val="18"/>
                <w:szCs w:val="18"/>
              </w:rPr>
              <w:t>National Disability Research Special Account 2016</w:t>
            </w:r>
            <w:r>
              <w:rPr>
                <w:rFonts w:cs="Arial"/>
                <w:b/>
                <w:bCs/>
                <w:sz w:val="18"/>
                <w:szCs w:val="18"/>
                <w:vertAlign w:val="superscript"/>
              </w:rPr>
              <w:t>6</w:t>
            </w:r>
          </w:p>
        </w:tc>
      </w:tr>
      <w:bookmarkEnd w:id="196"/>
      <w:tr w:rsidR="00AB6753" w14:paraId="0D75111D" w14:textId="77777777" w:rsidTr="002D1EA4">
        <w:trPr>
          <w:trHeight w:val="255"/>
        </w:trPr>
        <w:tc>
          <w:tcPr>
            <w:tcW w:w="5473" w:type="dxa"/>
            <w:vMerge w:val="restart"/>
            <w:tcBorders>
              <w:top w:val="nil"/>
              <w:left w:val="nil"/>
              <w:bottom w:val="single" w:sz="4" w:space="0" w:color="000000"/>
              <w:right w:val="nil"/>
            </w:tcBorders>
            <w:shd w:val="clear" w:color="000000" w:fill="D9D9D9"/>
            <w:vAlign w:val="center"/>
            <w:hideMark/>
          </w:tcPr>
          <w:p w14:paraId="538EE556" w14:textId="77777777" w:rsidR="00AB6753" w:rsidRDefault="00AB6753" w:rsidP="002D1EA4">
            <w:pPr>
              <w:spacing w:after="0"/>
              <w:rPr>
                <w:rFonts w:cs="Arial"/>
                <w:b/>
                <w:bCs/>
                <w:sz w:val="18"/>
                <w:szCs w:val="18"/>
              </w:rPr>
            </w:pPr>
            <w:r>
              <w:rPr>
                <w:rFonts w:cs="Arial"/>
                <w:b/>
                <w:bCs/>
                <w:sz w:val="18"/>
                <w:szCs w:val="18"/>
              </w:rPr>
              <w:t> </w:t>
            </w:r>
          </w:p>
        </w:tc>
        <w:tc>
          <w:tcPr>
            <w:tcW w:w="1550" w:type="dxa"/>
            <w:tcBorders>
              <w:top w:val="nil"/>
              <w:left w:val="nil"/>
              <w:bottom w:val="nil"/>
              <w:right w:val="nil"/>
            </w:tcBorders>
            <w:shd w:val="clear" w:color="000000" w:fill="D9D9D9"/>
            <w:noWrap/>
            <w:vAlign w:val="bottom"/>
            <w:hideMark/>
          </w:tcPr>
          <w:p w14:paraId="2C00EA90" w14:textId="77777777" w:rsidR="00AB6753" w:rsidRDefault="00AB6753" w:rsidP="002D1EA4">
            <w:pPr>
              <w:spacing w:after="0"/>
              <w:jc w:val="right"/>
              <w:rPr>
                <w:rFonts w:cs="Arial"/>
                <w:b/>
                <w:bCs/>
                <w:sz w:val="18"/>
                <w:szCs w:val="18"/>
              </w:rPr>
            </w:pPr>
            <w:r>
              <w:rPr>
                <w:rFonts w:cs="Arial"/>
                <w:b/>
                <w:bCs/>
                <w:sz w:val="18"/>
                <w:szCs w:val="18"/>
              </w:rPr>
              <w:t>2020</w:t>
            </w:r>
          </w:p>
        </w:tc>
        <w:tc>
          <w:tcPr>
            <w:tcW w:w="1549" w:type="dxa"/>
            <w:tcBorders>
              <w:top w:val="nil"/>
              <w:left w:val="nil"/>
              <w:bottom w:val="nil"/>
              <w:right w:val="nil"/>
            </w:tcBorders>
            <w:shd w:val="clear" w:color="000000" w:fill="D9D9D9"/>
            <w:noWrap/>
            <w:vAlign w:val="bottom"/>
            <w:hideMark/>
          </w:tcPr>
          <w:p w14:paraId="3A335361" w14:textId="77777777" w:rsidR="00AB6753" w:rsidRDefault="00AB6753" w:rsidP="002D1EA4">
            <w:pPr>
              <w:spacing w:after="0"/>
              <w:jc w:val="right"/>
              <w:rPr>
                <w:rFonts w:cs="Arial"/>
                <w:sz w:val="18"/>
                <w:szCs w:val="18"/>
              </w:rPr>
            </w:pPr>
            <w:r>
              <w:rPr>
                <w:rFonts w:cs="Arial"/>
                <w:sz w:val="18"/>
                <w:szCs w:val="18"/>
              </w:rPr>
              <w:t>2019</w:t>
            </w:r>
          </w:p>
        </w:tc>
        <w:tc>
          <w:tcPr>
            <w:tcW w:w="1549" w:type="dxa"/>
            <w:tcBorders>
              <w:top w:val="nil"/>
              <w:left w:val="nil"/>
              <w:bottom w:val="nil"/>
              <w:right w:val="nil"/>
            </w:tcBorders>
            <w:shd w:val="clear" w:color="000000" w:fill="D9D9D9"/>
            <w:noWrap/>
            <w:vAlign w:val="bottom"/>
            <w:hideMark/>
          </w:tcPr>
          <w:p w14:paraId="5E128B80" w14:textId="77777777" w:rsidR="00AB6753" w:rsidRDefault="00AB6753" w:rsidP="002D1EA4">
            <w:pPr>
              <w:spacing w:after="0"/>
              <w:jc w:val="right"/>
              <w:rPr>
                <w:rFonts w:cs="Arial"/>
                <w:b/>
                <w:bCs/>
                <w:sz w:val="18"/>
                <w:szCs w:val="18"/>
              </w:rPr>
            </w:pPr>
            <w:r>
              <w:rPr>
                <w:rFonts w:cs="Arial"/>
                <w:b/>
                <w:bCs/>
                <w:sz w:val="18"/>
                <w:szCs w:val="18"/>
              </w:rPr>
              <w:t>2020</w:t>
            </w:r>
          </w:p>
        </w:tc>
        <w:tc>
          <w:tcPr>
            <w:tcW w:w="1549" w:type="dxa"/>
            <w:tcBorders>
              <w:top w:val="nil"/>
              <w:left w:val="nil"/>
              <w:bottom w:val="nil"/>
              <w:right w:val="nil"/>
            </w:tcBorders>
            <w:shd w:val="clear" w:color="000000" w:fill="D9D9D9"/>
            <w:noWrap/>
            <w:vAlign w:val="bottom"/>
            <w:hideMark/>
          </w:tcPr>
          <w:p w14:paraId="087E907C" w14:textId="77777777" w:rsidR="00AB6753" w:rsidRDefault="00AB6753" w:rsidP="002D1EA4">
            <w:pPr>
              <w:spacing w:after="0"/>
              <w:jc w:val="right"/>
              <w:rPr>
                <w:rFonts w:cs="Arial"/>
                <w:sz w:val="18"/>
                <w:szCs w:val="18"/>
              </w:rPr>
            </w:pPr>
            <w:r>
              <w:rPr>
                <w:rFonts w:cs="Arial"/>
                <w:sz w:val="18"/>
                <w:szCs w:val="18"/>
              </w:rPr>
              <w:t>2019</w:t>
            </w:r>
          </w:p>
        </w:tc>
        <w:tc>
          <w:tcPr>
            <w:tcW w:w="1549" w:type="dxa"/>
            <w:tcBorders>
              <w:top w:val="nil"/>
              <w:left w:val="nil"/>
              <w:bottom w:val="nil"/>
              <w:right w:val="nil"/>
            </w:tcBorders>
            <w:shd w:val="clear" w:color="000000" w:fill="D9D9D9"/>
            <w:noWrap/>
            <w:vAlign w:val="bottom"/>
            <w:hideMark/>
          </w:tcPr>
          <w:p w14:paraId="7A79967F" w14:textId="77777777" w:rsidR="00AB6753" w:rsidRDefault="00AB6753" w:rsidP="002D1EA4">
            <w:pPr>
              <w:spacing w:after="0"/>
              <w:jc w:val="right"/>
              <w:rPr>
                <w:rFonts w:cs="Arial"/>
                <w:b/>
                <w:bCs/>
                <w:sz w:val="18"/>
                <w:szCs w:val="18"/>
              </w:rPr>
            </w:pPr>
            <w:r>
              <w:rPr>
                <w:rFonts w:cs="Arial"/>
                <w:b/>
                <w:bCs/>
                <w:sz w:val="18"/>
                <w:szCs w:val="18"/>
              </w:rPr>
              <w:t>2020</w:t>
            </w:r>
          </w:p>
        </w:tc>
        <w:tc>
          <w:tcPr>
            <w:tcW w:w="1665" w:type="dxa"/>
            <w:tcBorders>
              <w:top w:val="nil"/>
              <w:left w:val="nil"/>
              <w:bottom w:val="nil"/>
              <w:right w:val="nil"/>
            </w:tcBorders>
            <w:shd w:val="clear" w:color="000000" w:fill="D9D9D9"/>
            <w:noWrap/>
            <w:vAlign w:val="bottom"/>
            <w:hideMark/>
          </w:tcPr>
          <w:p w14:paraId="258F81D8" w14:textId="77777777" w:rsidR="00AB6753" w:rsidRDefault="00AB6753" w:rsidP="002D1EA4">
            <w:pPr>
              <w:spacing w:after="0"/>
              <w:jc w:val="right"/>
              <w:rPr>
                <w:rFonts w:cs="Arial"/>
                <w:sz w:val="18"/>
                <w:szCs w:val="18"/>
              </w:rPr>
            </w:pPr>
            <w:r>
              <w:rPr>
                <w:rFonts w:cs="Arial"/>
                <w:sz w:val="18"/>
                <w:szCs w:val="18"/>
              </w:rPr>
              <w:t>2019</w:t>
            </w:r>
          </w:p>
        </w:tc>
      </w:tr>
      <w:tr w:rsidR="00AB6753" w14:paraId="30597937" w14:textId="77777777" w:rsidTr="002D1EA4">
        <w:trPr>
          <w:trHeight w:val="255"/>
        </w:trPr>
        <w:tc>
          <w:tcPr>
            <w:tcW w:w="5473" w:type="dxa"/>
            <w:vMerge/>
            <w:tcBorders>
              <w:top w:val="nil"/>
              <w:left w:val="nil"/>
              <w:bottom w:val="single" w:sz="4" w:space="0" w:color="000000"/>
              <w:right w:val="nil"/>
            </w:tcBorders>
            <w:vAlign w:val="center"/>
            <w:hideMark/>
          </w:tcPr>
          <w:p w14:paraId="5F1E509D" w14:textId="77777777" w:rsidR="00AB6753" w:rsidRDefault="00AB6753" w:rsidP="002D1EA4">
            <w:pPr>
              <w:spacing w:after="0"/>
              <w:rPr>
                <w:rFonts w:cs="Arial"/>
                <w:b/>
                <w:bCs/>
                <w:sz w:val="18"/>
                <w:szCs w:val="18"/>
              </w:rPr>
            </w:pPr>
          </w:p>
        </w:tc>
        <w:tc>
          <w:tcPr>
            <w:tcW w:w="1550" w:type="dxa"/>
            <w:tcBorders>
              <w:top w:val="nil"/>
              <w:left w:val="nil"/>
              <w:bottom w:val="single" w:sz="4" w:space="0" w:color="auto"/>
              <w:right w:val="nil"/>
            </w:tcBorders>
            <w:shd w:val="clear" w:color="000000" w:fill="D9D9D9"/>
            <w:noWrap/>
            <w:vAlign w:val="bottom"/>
            <w:hideMark/>
          </w:tcPr>
          <w:p w14:paraId="29077107" w14:textId="77777777" w:rsidR="00AB6753" w:rsidRDefault="00AB6753" w:rsidP="002D1EA4">
            <w:pPr>
              <w:spacing w:after="0"/>
              <w:jc w:val="right"/>
              <w:rPr>
                <w:rFonts w:cs="Arial"/>
                <w:b/>
                <w:bCs/>
                <w:sz w:val="18"/>
                <w:szCs w:val="18"/>
              </w:rPr>
            </w:pPr>
            <w:r>
              <w:rPr>
                <w:rFonts w:cs="Arial"/>
                <w:b/>
                <w:bCs/>
                <w:sz w:val="18"/>
                <w:szCs w:val="18"/>
              </w:rPr>
              <w:t>$'000</w:t>
            </w:r>
          </w:p>
        </w:tc>
        <w:tc>
          <w:tcPr>
            <w:tcW w:w="1549" w:type="dxa"/>
            <w:tcBorders>
              <w:top w:val="nil"/>
              <w:left w:val="nil"/>
              <w:bottom w:val="single" w:sz="4" w:space="0" w:color="auto"/>
              <w:right w:val="nil"/>
            </w:tcBorders>
            <w:shd w:val="clear" w:color="000000" w:fill="D9D9D9"/>
            <w:noWrap/>
            <w:vAlign w:val="bottom"/>
            <w:hideMark/>
          </w:tcPr>
          <w:p w14:paraId="1D87D2CA" w14:textId="77777777" w:rsidR="00AB6753" w:rsidRDefault="00AB6753" w:rsidP="002D1EA4">
            <w:pPr>
              <w:spacing w:after="0"/>
              <w:jc w:val="right"/>
              <w:rPr>
                <w:rFonts w:cs="Arial"/>
                <w:sz w:val="18"/>
                <w:szCs w:val="18"/>
              </w:rPr>
            </w:pPr>
            <w:r>
              <w:rPr>
                <w:rFonts w:cs="Arial"/>
                <w:sz w:val="18"/>
                <w:szCs w:val="18"/>
              </w:rPr>
              <w:t>$'000</w:t>
            </w:r>
          </w:p>
        </w:tc>
        <w:tc>
          <w:tcPr>
            <w:tcW w:w="1549" w:type="dxa"/>
            <w:tcBorders>
              <w:top w:val="nil"/>
              <w:left w:val="nil"/>
              <w:bottom w:val="single" w:sz="4" w:space="0" w:color="auto"/>
              <w:right w:val="nil"/>
            </w:tcBorders>
            <w:shd w:val="clear" w:color="000000" w:fill="D9D9D9"/>
            <w:noWrap/>
            <w:vAlign w:val="bottom"/>
            <w:hideMark/>
          </w:tcPr>
          <w:p w14:paraId="7EAE6087" w14:textId="77777777" w:rsidR="00AB6753" w:rsidRDefault="00AB6753" w:rsidP="002D1EA4">
            <w:pPr>
              <w:spacing w:after="0"/>
              <w:jc w:val="right"/>
              <w:rPr>
                <w:rFonts w:cs="Arial"/>
                <w:b/>
                <w:bCs/>
                <w:sz w:val="18"/>
                <w:szCs w:val="18"/>
              </w:rPr>
            </w:pPr>
            <w:r>
              <w:rPr>
                <w:rFonts w:cs="Arial"/>
                <w:b/>
                <w:bCs/>
                <w:sz w:val="18"/>
                <w:szCs w:val="18"/>
              </w:rPr>
              <w:t>$'000</w:t>
            </w:r>
          </w:p>
        </w:tc>
        <w:tc>
          <w:tcPr>
            <w:tcW w:w="1549" w:type="dxa"/>
            <w:tcBorders>
              <w:top w:val="nil"/>
              <w:left w:val="nil"/>
              <w:bottom w:val="single" w:sz="4" w:space="0" w:color="auto"/>
              <w:right w:val="nil"/>
            </w:tcBorders>
            <w:shd w:val="clear" w:color="000000" w:fill="D9D9D9"/>
            <w:noWrap/>
            <w:vAlign w:val="bottom"/>
            <w:hideMark/>
          </w:tcPr>
          <w:p w14:paraId="02BA1062" w14:textId="77777777" w:rsidR="00AB6753" w:rsidRDefault="00AB6753" w:rsidP="002D1EA4">
            <w:pPr>
              <w:spacing w:after="0"/>
              <w:jc w:val="right"/>
              <w:rPr>
                <w:rFonts w:cs="Arial"/>
                <w:sz w:val="18"/>
                <w:szCs w:val="18"/>
              </w:rPr>
            </w:pPr>
            <w:r>
              <w:rPr>
                <w:rFonts w:cs="Arial"/>
                <w:sz w:val="18"/>
                <w:szCs w:val="18"/>
              </w:rPr>
              <w:t>$'000</w:t>
            </w:r>
          </w:p>
        </w:tc>
        <w:tc>
          <w:tcPr>
            <w:tcW w:w="1549" w:type="dxa"/>
            <w:tcBorders>
              <w:top w:val="nil"/>
              <w:left w:val="nil"/>
              <w:bottom w:val="single" w:sz="4" w:space="0" w:color="auto"/>
              <w:right w:val="nil"/>
            </w:tcBorders>
            <w:shd w:val="clear" w:color="000000" w:fill="D9D9D9"/>
            <w:noWrap/>
            <w:vAlign w:val="bottom"/>
            <w:hideMark/>
          </w:tcPr>
          <w:p w14:paraId="37134476" w14:textId="77777777" w:rsidR="00AB6753" w:rsidRDefault="00AB6753" w:rsidP="002D1EA4">
            <w:pPr>
              <w:spacing w:after="0"/>
              <w:jc w:val="right"/>
              <w:rPr>
                <w:rFonts w:cs="Arial"/>
                <w:b/>
                <w:bCs/>
                <w:sz w:val="18"/>
                <w:szCs w:val="18"/>
              </w:rPr>
            </w:pPr>
            <w:r>
              <w:rPr>
                <w:rFonts w:cs="Arial"/>
                <w:b/>
                <w:bCs/>
                <w:sz w:val="18"/>
                <w:szCs w:val="18"/>
              </w:rPr>
              <w:t>$'000</w:t>
            </w:r>
          </w:p>
        </w:tc>
        <w:tc>
          <w:tcPr>
            <w:tcW w:w="1665" w:type="dxa"/>
            <w:tcBorders>
              <w:top w:val="nil"/>
              <w:left w:val="nil"/>
              <w:bottom w:val="single" w:sz="4" w:space="0" w:color="auto"/>
              <w:right w:val="nil"/>
            </w:tcBorders>
            <w:shd w:val="clear" w:color="000000" w:fill="D9D9D9"/>
            <w:noWrap/>
            <w:vAlign w:val="bottom"/>
            <w:hideMark/>
          </w:tcPr>
          <w:p w14:paraId="793639EF" w14:textId="77777777" w:rsidR="00AB6753" w:rsidRDefault="00AB6753" w:rsidP="002D1EA4">
            <w:pPr>
              <w:spacing w:after="0"/>
              <w:jc w:val="right"/>
              <w:rPr>
                <w:rFonts w:cs="Arial"/>
                <w:sz w:val="18"/>
                <w:szCs w:val="18"/>
              </w:rPr>
            </w:pPr>
            <w:r>
              <w:rPr>
                <w:rFonts w:cs="Arial"/>
                <w:sz w:val="18"/>
                <w:szCs w:val="18"/>
              </w:rPr>
              <w:t>$'000</w:t>
            </w:r>
          </w:p>
        </w:tc>
      </w:tr>
      <w:tr w:rsidR="00AB6753" w14:paraId="1B9BFD37" w14:textId="77777777" w:rsidTr="002D1EA4">
        <w:trPr>
          <w:trHeight w:val="255"/>
        </w:trPr>
        <w:tc>
          <w:tcPr>
            <w:tcW w:w="5473" w:type="dxa"/>
            <w:tcBorders>
              <w:top w:val="nil"/>
              <w:left w:val="nil"/>
              <w:bottom w:val="nil"/>
              <w:right w:val="nil"/>
            </w:tcBorders>
            <w:shd w:val="clear" w:color="000000" w:fill="D9D9D9"/>
            <w:vAlign w:val="bottom"/>
            <w:hideMark/>
          </w:tcPr>
          <w:p w14:paraId="738C0254" w14:textId="77777777" w:rsidR="00AB6753" w:rsidRDefault="00AB6753" w:rsidP="002D1EA4">
            <w:pPr>
              <w:spacing w:after="0"/>
              <w:rPr>
                <w:rFonts w:cs="Arial"/>
                <w:b/>
                <w:bCs/>
                <w:sz w:val="18"/>
                <w:szCs w:val="18"/>
              </w:rPr>
            </w:pPr>
            <w:r>
              <w:rPr>
                <w:rFonts w:cs="Arial"/>
                <w:b/>
                <w:bCs/>
                <w:sz w:val="18"/>
                <w:szCs w:val="18"/>
              </w:rPr>
              <w:t>Balance brought forward from previous period</w:t>
            </w:r>
          </w:p>
        </w:tc>
        <w:tc>
          <w:tcPr>
            <w:tcW w:w="1550" w:type="dxa"/>
            <w:tcBorders>
              <w:top w:val="nil"/>
              <w:left w:val="nil"/>
              <w:bottom w:val="nil"/>
              <w:right w:val="nil"/>
            </w:tcBorders>
            <w:shd w:val="clear" w:color="000000" w:fill="D9D9D9"/>
            <w:noWrap/>
            <w:vAlign w:val="bottom"/>
            <w:hideMark/>
          </w:tcPr>
          <w:p w14:paraId="5D423811" w14:textId="77777777" w:rsidR="00AB6753" w:rsidRDefault="00AB6753" w:rsidP="002D1EA4">
            <w:pPr>
              <w:spacing w:after="0"/>
              <w:jc w:val="right"/>
              <w:rPr>
                <w:rFonts w:cs="Arial"/>
                <w:b/>
                <w:bCs/>
                <w:sz w:val="18"/>
                <w:szCs w:val="18"/>
              </w:rPr>
            </w:pPr>
            <w:r>
              <w:rPr>
                <w:rFonts w:cs="Arial"/>
                <w:b/>
                <w:bCs/>
                <w:sz w:val="18"/>
                <w:szCs w:val="18"/>
              </w:rPr>
              <w:t xml:space="preserve">400,407 </w:t>
            </w:r>
          </w:p>
        </w:tc>
        <w:tc>
          <w:tcPr>
            <w:tcW w:w="1549" w:type="dxa"/>
            <w:tcBorders>
              <w:top w:val="nil"/>
              <w:left w:val="nil"/>
              <w:bottom w:val="nil"/>
              <w:right w:val="nil"/>
            </w:tcBorders>
            <w:shd w:val="clear" w:color="000000" w:fill="D9D9D9"/>
            <w:noWrap/>
            <w:vAlign w:val="bottom"/>
            <w:hideMark/>
          </w:tcPr>
          <w:p w14:paraId="506DBF37" w14:textId="77777777" w:rsidR="00AB6753" w:rsidRDefault="00AB6753" w:rsidP="002D1EA4">
            <w:pPr>
              <w:spacing w:after="0"/>
              <w:jc w:val="right"/>
              <w:rPr>
                <w:rFonts w:cs="Arial"/>
                <w:sz w:val="18"/>
                <w:szCs w:val="18"/>
              </w:rPr>
            </w:pPr>
            <w:r>
              <w:rPr>
                <w:rFonts w:cs="Arial"/>
                <w:sz w:val="18"/>
                <w:szCs w:val="18"/>
              </w:rPr>
              <w:t>329,095</w:t>
            </w:r>
          </w:p>
        </w:tc>
        <w:tc>
          <w:tcPr>
            <w:tcW w:w="1549" w:type="dxa"/>
            <w:tcBorders>
              <w:top w:val="nil"/>
              <w:left w:val="nil"/>
              <w:bottom w:val="nil"/>
              <w:right w:val="nil"/>
            </w:tcBorders>
            <w:shd w:val="clear" w:color="000000" w:fill="D9D9D9"/>
            <w:noWrap/>
            <w:vAlign w:val="bottom"/>
            <w:hideMark/>
          </w:tcPr>
          <w:p w14:paraId="1D4D6F0F" w14:textId="77777777" w:rsidR="00AB6753" w:rsidRDefault="00AB6753" w:rsidP="002D1EA4">
            <w:pPr>
              <w:spacing w:after="0"/>
              <w:jc w:val="right"/>
              <w:rPr>
                <w:rFonts w:cs="Arial"/>
                <w:b/>
                <w:bCs/>
                <w:sz w:val="18"/>
                <w:szCs w:val="18"/>
              </w:rPr>
            </w:pPr>
            <w:r>
              <w:rPr>
                <w:rFonts w:cs="Arial"/>
                <w:b/>
                <w:bCs/>
                <w:sz w:val="18"/>
                <w:szCs w:val="18"/>
              </w:rPr>
              <w:t xml:space="preserve">397 </w:t>
            </w:r>
          </w:p>
        </w:tc>
        <w:tc>
          <w:tcPr>
            <w:tcW w:w="1549" w:type="dxa"/>
            <w:tcBorders>
              <w:top w:val="nil"/>
              <w:left w:val="nil"/>
              <w:bottom w:val="nil"/>
              <w:right w:val="nil"/>
            </w:tcBorders>
            <w:shd w:val="clear" w:color="000000" w:fill="D9D9D9"/>
            <w:noWrap/>
            <w:vAlign w:val="bottom"/>
            <w:hideMark/>
          </w:tcPr>
          <w:p w14:paraId="3EAA5044" w14:textId="77777777" w:rsidR="00AB6753" w:rsidRDefault="00AB6753" w:rsidP="002D1EA4">
            <w:pPr>
              <w:spacing w:after="0"/>
              <w:jc w:val="right"/>
              <w:rPr>
                <w:rFonts w:cs="Arial"/>
                <w:sz w:val="18"/>
                <w:szCs w:val="18"/>
              </w:rPr>
            </w:pPr>
            <w:r>
              <w:rPr>
                <w:rFonts w:cs="Arial"/>
                <w:sz w:val="18"/>
                <w:szCs w:val="18"/>
              </w:rPr>
              <w:t>7,265</w:t>
            </w:r>
          </w:p>
        </w:tc>
        <w:tc>
          <w:tcPr>
            <w:tcW w:w="1549" w:type="dxa"/>
            <w:tcBorders>
              <w:top w:val="nil"/>
              <w:left w:val="nil"/>
              <w:bottom w:val="nil"/>
              <w:right w:val="nil"/>
            </w:tcBorders>
            <w:shd w:val="clear" w:color="000000" w:fill="D9D9D9"/>
            <w:noWrap/>
            <w:vAlign w:val="bottom"/>
            <w:hideMark/>
          </w:tcPr>
          <w:p w14:paraId="26D614ED" w14:textId="77777777" w:rsidR="00AB6753" w:rsidRDefault="00AB6753" w:rsidP="002D1EA4">
            <w:pPr>
              <w:spacing w:after="0"/>
              <w:jc w:val="right"/>
              <w:rPr>
                <w:rFonts w:cs="Arial"/>
                <w:b/>
                <w:bCs/>
                <w:sz w:val="18"/>
                <w:szCs w:val="18"/>
              </w:rPr>
            </w:pPr>
            <w:r>
              <w:rPr>
                <w:rFonts w:cs="Arial"/>
                <w:b/>
                <w:bCs/>
                <w:sz w:val="18"/>
                <w:szCs w:val="18"/>
              </w:rPr>
              <w:t xml:space="preserve">1,559 </w:t>
            </w:r>
          </w:p>
        </w:tc>
        <w:tc>
          <w:tcPr>
            <w:tcW w:w="1665" w:type="dxa"/>
            <w:tcBorders>
              <w:top w:val="nil"/>
              <w:left w:val="nil"/>
              <w:bottom w:val="nil"/>
              <w:right w:val="nil"/>
            </w:tcBorders>
            <w:shd w:val="clear" w:color="000000" w:fill="D9D9D9"/>
            <w:noWrap/>
            <w:vAlign w:val="bottom"/>
            <w:hideMark/>
          </w:tcPr>
          <w:p w14:paraId="7DED81DD" w14:textId="77777777" w:rsidR="00AB6753" w:rsidRDefault="00AB6753" w:rsidP="002D1EA4">
            <w:pPr>
              <w:spacing w:after="0"/>
              <w:jc w:val="right"/>
              <w:rPr>
                <w:rFonts w:cs="Arial"/>
                <w:sz w:val="18"/>
                <w:szCs w:val="18"/>
              </w:rPr>
            </w:pPr>
            <w:r>
              <w:rPr>
                <w:rFonts w:cs="Arial"/>
                <w:sz w:val="18"/>
                <w:szCs w:val="18"/>
              </w:rPr>
              <w:t>2,561</w:t>
            </w:r>
          </w:p>
        </w:tc>
      </w:tr>
      <w:tr w:rsidR="00AB6753" w14:paraId="2D88CF47" w14:textId="77777777" w:rsidTr="002D1EA4">
        <w:trPr>
          <w:trHeight w:val="255"/>
        </w:trPr>
        <w:tc>
          <w:tcPr>
            <w:tcW w:w="5473" w:type="dxa"/>
            <w:tcBorders>
              <w:top w:val="nil"/>
              <w:left w:val="nil"/>
              <w:bottom w:val="nil"/>
              <w:right w:val="nil"/>
            </w:tcBorders>
            <w:shd w:val="clear" w:color="000000" w:fill="D9D9D9"/>
            <w:vAlign w:val="bottom"/>
            <w:hideMark/>
          </w:tcPr>
          <w:p w14:paraId="4A4DD942" w14:textId="77777777" w:rsidR="00AB6753" w:rsidRDefault="00AB6753" w:rsidP="002D1EA4">
            <w:pPr>
              <w:spacing w:after="0"/>
              <w:rPr>
                <w:rFonts w:cs="Arial"/>
                <w:b/>
                <w:bCs/>
                <w:sz w:val="18"/>
                <w:szCs w:val="18"/>
              </w:rPr>
            </w:pPr>
            <w:r>
              <w:rPr>
                <w:rFonts w:cs="Arial"/>
                <w:b/>
                <w:bCs/>
                <w:sz w:val="18"/>
                <w:szCs w:val="18"/>
              </w:rPr>
              <w:t>Increases:</w:t>
            </w:r>
          </w:p>
        </w:tc>
        <w:tc>
          <w:tcPr>
            <w:tcW w:w="1550" w:type="dxa"/>
            <w:tcBorders>
              <w:top w:val="nil"/>
              <w:left w:val="nil"/>
              <w:bottom w:val="nil"/>
              <w:right w:val="nil"/>
            </w:tcBorders>
            <w:shd w:val="clear" w:color="000000" w:fill="D9D9D9"/>
            <w:vAlign w:val="bottom"/>
            <w:hideMark/>
          </w:tcPr>
          <w:p w14:paraId="27948E3F" w14:textId="77777777" w:rsidR="00AB6753" w:rsidRDefault="00AB6753" w:rsidP="002D1EA4">
            <w:pPr>
              <w:spacing w:after="0"/>
              <w:rPr>
                <w:rFonts w:cs="Arial"/>
                <w:b/>
                <w:bCs/>
                <w:sz w:val="18"/>
                <w:szCs w:val="18"/>
              </w:rPr>
            </w:pPr>
            <w:r>
              <w:rPr>
                <w:rFonts w:cs="Arial"/>
                <w:b/>
                <w:bCs/>
                <w:sz w:val="18"/>
                <w:szCs w:val="18"/>
              </w:rPr>
              <w:t> </w:t>
            </w:r>
          </w:p>
        </w:tc>
        <w:tc>
          <w:tcPr>
            <w:tcW w:w="1549" w:type="dxa"/>
            <w:tcBorders>
              <w:top w:val="nil"/>
              <w:left w:val="nil"/>
              <w:bottom w:val="nil"/>
              <w:right w:val="nil"/>
            </w:tcBorders>
            <w:shd w:val="clear" w:color="000000" w:fill="D9D9D9"/>
            <w:vAlign w:val="bottom"/>
            <w:hideMark/>
          </w:tcPr>
          <w:p w14:paraId="0921D57D" w14:textId="77777777" w:rsidR="00AB6753" w:rsidRDefault="00AB6753" w:rsidP="002D1EA4">
            <w:pPr>
              <w:spacing w:after="0"/>
              <w:rPr>
                <w:rFonts w:cs="Arial"/>
                <w:sz w:val="18"/>
                <w:szCs w:val="18"/>
              </w:rPr>
            </w:pPr>
            <w:r>
              <w:rPr>
                <w:rFonts w:cs="Arial"/>
                <w:sz w:val="18"/>
                <w:szCs w:val="18"/>
              </w:rPr>
              <w:t> </w:t>
            </w:r>
          </w:p>
        </w:tc>
        <w:tc>
          <w:tcPr>
            <w:tcW w:w="1549" w:type="dxa"/>
            <w:tcBorders>
              <w:top w:val="nil"/>
              <w:left w:val="nil"/>
              <w:bottom w:val="nil"/>
              <w:right w:val="nil"/>
            </w:tcBorders>
            <w:shd w:val="clear" w:color="000000" w:fill="D9D9D9"/>
            <w:vAlign w:val="bottom"/>
            <w:hideMark/>
          </w:tcPr>
          <w:p w14:paraId="7207E4A3" w14:textId="77777777" w:rsidR="00AB6753" w:rsidRDefault="00AB6753" w:rsidP="002D1EA4">
            <w:pPr>
              <w:spacing w:after="0"/>
              <w:rPr>
                <w:rFonts w:cs="Arial"/>
                <w:b/>
                <w:bCs/>
                <w:sz w:val="18"/>
                <w:szCs w:val="18"/>
              </w:rPr>
            </w:pPr>
            <w:r>
              <w:rPr>
                <w:rFonts w:cs="Arial"/>
                <w:b/>
                <w:bCs/>
                <w:sz w:val="18"/>
                <w:szCs w:val="18"/>
              </w:rPr>
              <w:t> </w:t>
            </w:r>
          </w:p>
        </w:tc>
        <w:tc>
          <w:tcPr>
            <w:tcW w:w="1549" w:type="dxa"/>
            <w:tcBorders>
              <w:top w:val="nil"/>
              <w:left w:val="nil"/>
              <w:bottom w:val="nil"/>
              <w:right w:val="nil"/>
            </w:tcBorders>
            <w:shd w:val="clear" w:color="000000" w:fill="D9D9D9"/>
            <w:vAlign w:val="bottom"/>
            <w:hideMark/>
          </w:tcPr>
          <w:p w14:paraId="33DB4551" w14:textId="77777777" w:rsidR="00AB6753" w:rsidRDefault="00AB6753" w:rsidP="002D1EA4">
            <w:pPr>
              <w:spacing w:after="0"/>
              <w:rPr>
                <w:rFonts w:cs="Arial"/>
                <w:sz w:val="18"/>
                <w:szCs w:val="18"/>
              </w:rPr>
            </w:pPr>
            <w:r>
              <w:rPr>
                <w:rFonts w:cs="Arial"/>
                <w:sz w:val="18"/>
                <w:szCs w:val="18"/>
              </w:rPr>
              <w:t> </w:t>
            </w:r>
          </w:p>
        </w:tc>
        <w:tc>
          <w:tcPr>
            <w:tcW w:w="1549" w:type="dxa"/>
            <w:tcBorders>
              <w:top w:val="nil"/>
              <w:left w:val="nil"/>
              <w:bottom w:val="nil"/>
              <w:right w:val="nil"/>
            </w:tcBorders>
            <w:shd w:val="clear" w:color="000000" w:fill="D9D9D9"/>
            <w:vAlign w:val="bottom"/>
            <w:hideMark/>
          </w:tcPr>
          <w:p w14:paraId="7DFEF0E4" w14:textId="77777777" w:rsidR="00AB6753" w:rsidRDefault="00AB6753" w:rsidP="002D1EA4">
            <w:pPr>
              <w:spacing w:after="0"/>
              <w:rPr>
                <w:rFonts w:cs="Arial"/>
                <w:b/>
                <w:bCs/>
                <w:sz w:val="18"/>
                <w:szCs w:val="18"/>
              </w:rPr>
            </w:pPr>
            <w:r>
              <w:rPr>
                <w:rFonts w:cs="Arial"/>
                <w:b/>
                <w:bCs/>
                <w:sz w:val="18"/>
                <w:szCs w:val="18"/>
              </w:rPr>
              <w:t> </w:t>
            </w:r>
          </w:p>
        </w:tc>
        <w:tc>
          <w:tcPr>
            <w:tcW w:w="1665" w:type="dxa"/>
            <w:tcBorders>
              <w:top w:val="nil"/>
              <w:left w:val="nil"/>
              <w:bottom w:val="nil"/>
              <w:right w:val="nil"/>
            </w:tcBorders>
            <w:shd w:val="clear" w:color="000000" w:fill="D9D9D9"/>
            <w:vAlign w:val="bottom"/>
            <w:hideMark/>
          </w:tcPr>
          <w:p w14:paraId="386C4B12" w14:textId="77777777" w:rsidR="00AB6753" w:rsidRDefault="00AB6753" w:rsidP="002D1EA4">
            <w:pPr>
              <w:spacing w:after="0"/>
              <w:rPr>
                <w:rFonts w:cs="Arial"/>
                <w:sz w:val="18"/>
                <w:szCs w:val="18"/>
              </w:rPr>
            </w:pPr>
            <w:r>
              <w:rPr>
                <w:rFonts w:cs="Arial"/>
                <w:sz w:val="18"/>
                <w:szCs w:val="18"/>
              </w:rPr>
              <w:t> </w:t>
            </w:r>
          </w:p>
        </w:tc>
      </w:tr>
      <w:tr w:rsidR="00AB6753" w14:paraId="2BB03491" w14:textId="77777777" w:rsidTr="002D1EA4">
        <w:trPr>
          <w:trHeight w:val="510"/>
        </w:trPr>
        <w:tc>
          <w:tcPr>
            <w:tcW w:w="5473" w:type="dxa"/>
            <w:tcBorders>
              <w:top w:val="nil"/>
              <w:left w:val="nil"/>
              <w:bottom w:val="nil"/>
              <w:right w:val="nil"/>
            </w:tcBorders>
            <w:shd w:val="clear" w:color="000000" w:fill="D9D9D9"/>
            <w:vAlign w:val="bottom"/>
            <w:hideMark/>
          </w:tcPr>
          <w:p w14:paraId="7484932F" w14:textId="77777777" w:rsidR="00AB6753" w:rsidRDefault="00AB6753" w:rsidP="002D1EA4">
            <w:pPr>
              <w:spacing w:after="0"/>
              <w:ind w:leftChars="100" w:left="220"/>
              <w:rPr>
                <w:rFonts w:cs="Arial"/>
                <w:sz w:val="18"/>
                <w:szCs w:val="18"/>
              </w:rPr>
            </w:pPr>
            <w:r>
              <w:rPr>
                <w:rFonts w:cs="Arial"/>
                <w:sz w:val="18"/>
                <w:szCs w:val="18"/>
              </w:rPr>
              <w:t xml:space="preserve">s6 </w:t>
            </w:r>
            <w:r>
              <w:rPr>
                <w:rFonts w:cs="Arial"/>
                <w:i/>
                <w:iCs/>
                <w:sz w:val="18"/>
                <w:szCs w:val="18"/>
              </w:rPr>
              <w:t>Social and Community Services Pay Equity Special Account Act 2012</w:t>
            </w:r>
            <w:r>
              <w:rPr>
                <w:rFonts w:cs="Arial"/>
                <w:i/>
                <w:iCs/>
                <w:sz w:val="18"/>
                <w:szCs w:val="18"/>
                <w:vertAlign w:val="superscript"/>
              </w:rPr>
              <w:t>1, 2</w:t>
            </w:r>
          </w:p>
        </w:tc>
        <w:tc>
          <w:tcPr>
            <w:tcW w:w="1550" w:type="dxa"/>
            <w:tcBorders>
              <w:top w:val="nil"/>
              <w:left w:val="nil"/>
              <w:bottom w:val="nil"/>
              <w:right w:val="nil"/>
            </w:tcBorders>
            <w:shd w:val="clear" w:color="000000" w:fill="D9D9D9"/>
            <w:noWrap/>
            <w:vAlign w:val="bottom"/>
            <w:hideMark/>
          </w:tcPr>
          <w:p w14:paraId="1D0F5B5A" w14:textId="77777777" w:rsidR="00AB6753" w:rsidRDefault="00AB6753" w:rsidP="002D1EA4">
            <w:pPr>
              <w:spacing w:after="0"/>
              <w:jc w:val="right"/>
              <w:rPr>
                <w:rFonts w:cs="Arial"/>
                <w:b/>
                <w:bCs/>
                <w:sz w:val="18"/>
                <w:szCs w:val="18"/>
              </w:rPr>
            </w:pPr>
            <w:r>
              <w:rPr>
                <w:rFonts w:cs="Arial"/>
                <w:b/>
                <w:bCs/>
                <w:sz w:val="18"/>
                <w:szCs w:val="18"/>
              </w:rPr>
              <w:t>509,900</w:t>
            </w:r>
          </w:p>
        </w:tc>
        <w:tc>
          <w:tcPr>
            <w:tcW w:w="1549" w:type="dxa"/>
            <w:tcBorders>
              <w:top w:val="nil"/>
              <w:left w:val="nil"/>
              <w:bottom w:val="nil"/>
              <w:right w:val="nil"/>
            </w:tcBorders>
            <w:shd w:val="clear" w:color="000000" w:fill="D9D9D9"/>
            <w:noWrap/>
            <w:vAlign w:val="bottom"/>
            <w:hideMark/>
          </w:tcPr>
          <w:p w14:paraId="7130471C" w14:textId="77777777" w:rsidR="00AB6753" w:rsidRDefault="00AB6753" w:rsidP="002D1EA4">
            <w:pPr>
              <w:spacing w:after="0"/>
              <w:jc w:val="right"/>
              <w:rPr>
                <w:rFonts w:cs="Arial"/>
                <w:sz w:val="18"/>
                <w:szCs w:val="18"/>
              </w:rPr>
            </w:pPr>
            <w:r>
              <w:rPr>
                <w:rFonts w:cs="Arial"/>
                <w:sz w:val="18"/>
                <w:szCs w:val="18"/>
              </w:rPr>
              <w:t xml:space="preserve">447,168 </w:t>
            </w:r>
          </w:p>
        </w:tc>
        <w:tc>
          <w:tcPr>
            <w:tcW w:w="1549" w:type="dxa"/>
            <w:tcBorders>
              <w:top w:val="nil"/>
              <w:left w:val="nil"/>
              <w:bottom w:val="nil"/>
              <w:right w:val="nil"/>
            </w:tcBorders>
            <w:shd w:val="clear" w:color="000000" w:fill="D9D9D9"/>
            <w:noWrap/>
            <w:vAlign w:val="bottom"/>
            <w:hideMark/>
          </w:tcPr>
          <w:p w14:paraId="6424FEF2" w14:textId="77777777" w:rsidR="00AB6753" w:rsidRDefault="00AB6753" w:rsidP="002D1EA4">
            <w:pPr>
              <w:spacing w:after="0"/>
              <w:jc w:val="right"/>
              <w:rPr>
                <w:rFonts w:cs="Arial"/>
                <w:b/>
                <w:bCs/>
                <w:sz w:val="18"/>
                <w:szCs w:val="18"/>
              </w:rPr>
            </w:pPr>
            <w:r>
              <w:rPr>
                <w:rFonts w:cs="Arial"/>
                <w:b/>
                <w:bCs/>
                <w:sz w:val="18"/>
                <w:szCs w:val="18"/>
              </w:rPr>
              <w:t xml:space="preserve"> -</w:t>
            </w:r>
          </w:p>
        </w:tc>
        <w:tc>
          <w:tcPr>
            <w:tcW w:w="1549" w:type="dxa"/>
            <w:tcBorders>
              <w:top w:val="nil"/>
              <w:left w:val="nil"/>
              <w:bottom w:val="nil"/>
              <w:right w:val="nil"/>
            </w:tcBorders>
            <w:shd w:val="clear" w:color="000000" w:fill="D9D9D9"/>
            <w:noWrap/>
            <w:vAlign w:val="bottom"/>
            <w:hideMark/>
          </w:tcPr>
          <w:p w14:paraId="7A557AD4" w14:textId="77777777" w:rsidR="00AB6753" w:rsidRDefault="00AB6753" w:rsidP="002D1EA4">
            <w:pPr>
              <w:spacing w:after="0"/>
              <w:jc w:val="right"/>
              <w:rPr>
                <w:rFonts w:cs="Arial"/>
                <w:sz w:val="18"/>
                <w:szCs w:val="18"/>
              </w:rPr>
            </w:pPr>
            <w:r>
              <w:rPr>
                <w:rFonts w:cs="Arial"/>
                <w:sz w:val="18"/>
                <w:szCs w:val="18"/>
              </w:rPr>
              <w:t xml:space="preserve"> -</w:t>
            </w:r>
          </w:p>
        </w:tc>
        <w:tc>
          <w:tcPr>
            <w:tcW w:w="1549" w:type="dxa"/>
            <w:tcBorders>
              <w:top w:val="nil"/>
              <w:left w:val="nil"/>
              <w:bottom w:val="nil"/>
              <w:right w:val="nil"/>
            </w:tcBorders>
            <w:shd w:val="clear" w:color="000000" w:fill="D9D9D9"/>
            <w:noWrap/>
            <w:vAlign w:val="bottom"/>
            <w:hideMark/>
          </w:tcPr>
          <w:p w14:paraId="3C560CF4" w14:textId="77777777" w:rsidR="00AB6753" w:rsidRDefault="00AB6753" w:rsidP="002D1EA4">
            <w:pPr>
              <w:spacing w:after="0"/>
              <w:jc w:val="right"/>
              <w:rPr>
                <w:rFonts w:cs="Arial"/>
                <w:b/>
                <w:bCs/>
                <w:sz w:val="18"/>
                <w:szCs w:val="18"/>
              </w:rPr>
            </w:pPr>
            <w:r>
              <w:rPr>
                <w:rFonts w:cs="Arial"/>
                <w:b/>
                <w:bCs/>
                <w:sz w:val="18"/>
                <w:szCs w:val="18"/>
              </w:rPr>
              <w:t xml:space="preserve"> -</w:t>
            </w:r>
          </w:p>
        </w:tc>
        <w:tc>
          <w:tcPr>
            <w:tcW w:w="1665" w:type="dxa"/>
            <w:tcBorders>
              <w:top w:val="nil"/>
              <w:left w:val="nil"/>
              <w:bottom w:val="nil"/>
              <w:right w:val="nil"/>
            </w:tcBorders>
            <w:shd w:val="clear" w:color="000000" w:fill="D9D9D9"/>
            <w:noWrap/>
            <w:vAlign w:val="bottom"/>
            <w:hideMark/>
          </w:tcPr>
          <w:p w14:paraId="4C3BC2E2"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7279EFE9" w14:textId="77777777" w:rsidTr="002D1EA4">
        <w:trPr>
          <w:trHeight w:val="255"/>
        </w:trPr>
        <w:tc>
          <w:tcPr>
            <w:tcW w:w="5473" w:type="dxa"/>
            <w:tcBorders>
              <w:top w:val="nil"/>
              <w:left w:val="nil"/>
              <w:bottom w:val="nil"/>
              <w:right w:val="nil"/>
            </w:tcBorders>
            <w:shd w:val="clear" w:color="000000" w:fill="D9D9D9"/>
            <w:vAlign w:val="bottom"/>
            <w:hideMark/>
          </w:tcPr>
          <w:p w14:paraId="21DD57B3" w14:textId="77777777" w:rsidR="00AB6753" w:rsidRDefault="00AB6753" w:rsidP="002D1EA4">
            <w:pPr>
              <w:spacing w:after="0"/>
              <w:ind w:leftChars="100" w:left="220"/>
              <w:rPr>
                <w:rFonts w:cs="Arial"/>
                <w:sz w:val="18"/>
                <w:szCs w:val="18"/>
              </w:rPr>
            </w:pPr>
            <w:r>
              <w:rPr>
                <w:rFonts w:cs="Arial"/>
                <w:sz w:val="18"/>
                <w:szCs w:val="18"/>
              </w:rPr>
              <w:t>Other</w:t>
            </w:r>
          </w:p>
        </w:tc>
        <w:tc>
          <w:tcPr>
            <w:tcW w:w="1550" w:type="dxa"/>
            <w:tcBorders>
              <w:top w:val="nil"/>
              <w:left w:val="nil"/>
              <w:bottom w:val="nil"/>
              <w:right w:val="nil"/>
            </w:tcBorders>
            <w:shd w:val="clear" w:color="000000" w:fill="D9D9D9"/>
            <w:noWrap/>
            <w:vAlign w:val="bottom"/>
            <w:hideMark/>
          </w:tcPr>
          <w:p w14:paraId="437A2A45" w14:textId="77777777" w:rsidR="00AB6753" w:rsidRDefault="00AB6753" w:rsidP="002D1EA4">
            <w:pPr>
              <w:spacing w:after="0"/>
              <w:jc w:val="right"/>
              <w:rPr>
                <w:rFonts w:cs="Arial"/>
                <w:b/>
                <w:bCs/>
                <w:sz w:val="18"/>
                <w:szCs w:val="18"/>
              </w:rPr>
            </w:pPr>
            <w:r>
              <w:rPr>
                <w:rFonts w:cs="Arial"/>
                <w:b/>
                <w:bCs/>
                <w:sz w:val="18"/>
                <w:szCs w:val="18"/>
              </w:rPr>
              <w:t>1,250</w:t>
            </w:r>
          </w:p>
        </w:tc>
        <w:tc>
          <w:tcPr>
            <w:tcW w:w="1549" w:type="dxa"/>
            <w:tcBorders>
              <w:top w:val="nil"/>
              <w:left w:val="nil"/>
              <w:bottom w:val="nil"/>
              <w:right w:val="nil"/>
            </w:tcBorders>
            <w:shd w:val="clear" w:color="000000" w:fill="D9D9D9"/>
            <w:noWrap/>
            <w:vAlign w:val="bottom"/>
            <w:hideMark/>
          </w:tcPr>
          <w:p w14:paraId="40B47467" w14:textId="77777777" w:rsidR="00AB6753" w:rsidRDefault="00AB6753" w:rsidP="002D1EA4">
            <w:pPr>
              <w:spacing w:after="0"/>
              <w:jc w:val="right"/>
              <w:rPr>
                <w:rFonts w:cs="Arial"/>
                <w:sz w:val="18"/>
                <w:szCs w:val="18"/>
              </w:rPr>
            </w:pPr>
            <w:r>
              <w:rPr>
                <w:rFonts w:cs="Arial"/>
                <w:sz w:val="18"/>
                <w:szCs w:val="18"/>
              </w:rPr>
              <w:t xml:space="preserve">827 </w:t>
            </w:r>
          </w:p>
        </w:tc>
        <w:tc>
          <w:tcPr>
            <w:tcW w:w="1549" w:type="dxa"/>
            <w:tcBorders>
              <w:top w:val="nil"/>
              <w:left w:val="nil"/>
              <w:bottom w:val="nil"/>
              <w:right w:val="nil"/>
            </w:tcBorders>
            <w:shd w:val="clear" w:color="000000" w:fill="D9D9D9"/>
            <w:noWrap/>
            <w:vAlign w:val="bottom"/>
            <w:hideMark/>
          </w:tcPr>
          <w:p w14:paraId="65E27D5D" w14:textId="77777777" w:rsidR="00AB6753" w:rsidRDefault="00AB6753" w:rsidP="002D1EA4">
            <w:pPr>
              <w:spacing w:after="0"/>
              <w:jc w:val="right"/>
              <w:rPr>
                <w:rFonts w:cs="Arial"/>
                <w:b/>
                <w:bCs/>
                <w:sz w:val="18"/>
                <w:szCs w:val="18"/>
              </w:rPr>
            </w:pPr>
            <w:r>
              <w:rPr>
                <w:rFonts w:cs="Arial"/>
                <w:b/>
                <w:bCs/>
                <w:sz w:val="18"/>
                <w:szCs w:val="18"/>
              </w:rPr>
              <w:t>10,444</w:t>
            </w:r>
          </w:p>
        </w:tc>
        <w:tc>
          <w:tcPr>
            <w:tcW w:w="1549" w:type="dxa"/>
            <w:tcBorders>
              <w:top w:val="nil"/>
              <w:left w:val="nil"/>
              <w:bottom w:val="nil"/>
              <w:right w:val="nil"/>
            </w:tcBorders>
            <w:shd w:val="clear" w:color="000000" w:fill="D9D9D9"/>
            <w:noWrap/>
            <w:vAlign w:val="bottom"/>
            <w:hideMark/>
          </w:tcPr>
          <w:p w14:paraId="3CF052D8" w14:textId="77777777" w:rsidR="00AB6753" w:rsidRDefault="00AB6753" w:rsidP="002D1EA4">
            <w:pPr>
              <w:spacing w:after="0"/>
              <w:jc w:val="right"/>
              <w:rPr>
                <w:rFonts w:cs="Arial"/>
                <w:sz w:val="18"/>
                <w:szCs w:val="18"/>
              </w:rPr>
            </w:pPr>
            <w:r>
              <w:rPr>
                <w:rFonts w:cs="Arial"/>
                <w:sz w:val="18"/>
                <w:szCs w:val="18"/>
              </w:rPr>
              <w:t xml:space="preserve">6,711 </w:t>
            </w:r>
          </w:p>
        </w:tc>
        <w:tc>
          <w:tcPr>
            <w:tcW w:w="1549" w:type="dxa"/>
            <w:tcBorders>
              <w:top w:val="nil"/>
              <w:left w:val="nil"/>
              <w:bottom w:val="nil"/>
              <w:right w:val="nil"/>
            </w:tcBorders>
            <w:shd w:val="clear" w:color="000000" w:fill="D9D9D9"/>
            <w:noWrap/>
            <w:vAlign w:val="bottom"/>
            <w:hideMark/>
          </w:tcPr>
          <w:p w14:paraId="6AA6FE2F" w14:textId="77777777" w:rsidR="00AB6753" w:rsidRDefault="00AB6753" w:rsidP="002D1EA4">
            <w:pPr>
              <w:spacing w:after="0"/>
              <w:jc w:val="right"/>
              <w:rPr>
                <w:rFonts w:cs="Arial"/>
                <w:b/>
                <w:bCs/>
                <w:sz w:val="18"/>
                <w:szCs w:val="18"/>
              </w:rPr>
            </w:pPr>
            <w:r>
              <w:rPr>
                <w:rFonts w:cs="Arial"/>
                <w:b/>
                <w:bCs/>
                <w:sz w:val="18"/>
                <w:szCs w:val="18"/>
              </w:rPr>
              <w:t xml:space="preserve"> -</w:t>
            </w:r>
          </w:p>
        </w:tc>
        <w:tc>
          <w:tcPr>
            <w:tcW w:w="1665" w:type="dxa"/>
            <w:tcBorders>
              <w:top w:val="nil"/>
              <w:left w:val="nil"/>
              <w:bottom w:val="nil"/>
              <w:right w:val="nil"/>
            </w:tcBorders>
            <w:shd w:val="clear" w:color="000000" w:fill="D9D9D9"/>
            <w:noWrap/>
            <w:vAlign w:val="bottom"/>
            <w:hideMark/>
          </w:tcPr>
          <w:p w14:paraId="2372497C"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65D5AED6" w14:textId="77777777" w:rsidTr="002D1EA4">
        <w:trPr>
          <w:trHeight w:val="255"/>
        </w:trPr>
        <w:tc>
          <w:tcPr>
            <w:tcW w:w="5473" w:type="dxa"/>
            <w:tcBorders>
              <w:top w:val="single" w:sz="4" w:space="0" w:color="auto"/>
              <w:left w:val="nil"/>
              <w:bottom w:val="single" w:sz="4" w:space="0" w:color="auto"/>
              <w:right w:val="nil"/>
            </w:tcBorders>
            <w:shd w:val="clear" w:color="000000" w:fill="D9D9D9"/>
            <w:noWrap/>
            <w:vAlign w:val="bottom"/>
            <w:hideMark/>
          </w:tcPr>
          <w:p w14:paraId="4AF5C3FE" w14:textId="77777777" w:rsidR="00AB6753" w:rsidRDefault="00AB6753" w:rsidP="002D1EA4">
            <w:pPr>
              <w:spacing w:after="0"/>
              <w:rPr>
                <w:rFonts w:cs="Arial"/>
                <w:b/>
                <w:bCs/>
                <w:sz w:val="18"/>
                <w:szCs w:val="18"/>
              </w:rPr>
            </w:pPr>
            <w:r>
              <w:rPr>
                <w:rFonts w:cs="Arial"/>
                <w:b/>
                <w:bCs/>
                <w:sz w:val="18"/>
                <w:szCs w:val="18"/>
              </w:rPr>
              <w:t>Total increase</w:t>
            </w:r>
          </w:p>
        </w:tc>
        <w:tc>
          <w:tcPr>
            <w:tcW w:w="1550" w:type="dxa"/>
            <w:tcBorders>
              <w:top w:val="single" w:sz="4" w:space="0" w:color="auto"/>
              <w:left w:val="nil"/>
              <w:bottom w:val="single" w:sz="4" w:space="0" w:color="auto"/>
              <w:right w:val="nil"/>
            </w:tcBorders>
            <w:shd w:val="clear" w:color="000000" w:fill="D9D9D9"/>
            <w:noWrap/>
            <w:vAlign w:val="bottom"/>
            <w:hideMark/>
          </w:tcPr>
          <w:p w14:paraId="516CB4F9" w14:textId="77777777" w:rsidR="00AB6753" w:rsidRDefault="00AB6753" w:rsidP="002D1EA4">
            <w:pPr>
              <w:spacing w:after="0"/>
              <w:jc w:val="right"/>
              <w:rPr>
                <w:rFonts w:cs="Arial"/>
                <w:b/>
                <w:bCs/>
                <w:sz w:val="18"/>
                <w:szCs w:val="18"/>
              </w:rPr>
            </w:pPr>
            <w:r>
              <w:rPr>
                <w:rFonts w:cs="Arial"/>
                <w:b/>
                <w:bCs/>
                <w:sz w:val="18"/>
                <w:szCs w:val="18"/>
              </w:rPr>
              <w:t>511,150</w:t>
            </w:r>
          </w:p>
        </w:tc>
        <w:tc>
          <w:tcPr>
            <w:tcW w:w="1549" w:type="dxa"/>
            <w:tcBorders>
              <w:top w:val="single" w:sz="4" w:space="0" w:color="auto"/>
              <w:left w:val="nil"/>
              <w:bottom w:val="single" w:sz="4" w:space="0" w:color="auto"/>
              <w:right w:val="nil"/>
            </w:tcBorders>
            <w:shd w:val="clear" w:color="000000" w:fill="D9D9D9"/>
            <w:noWrap/>
            <w:vAlign w:val="bottom"/>
            <w:hideMark/>
          </w:tcPr>
          <w:p w14:paraId="52679C28" w14:textId="77777777" w:rsidR="00AB6753" w:rsidRDefault="00AB6753" w:rsidP="002D1EA4">
            <w:pPr>
              <w:spacing w:after="0"/>
              <w:jc w:val="right"/>
              <w:rPr>
                <w:rFonts w:cs="Arial"/>
                <w:sz w:val="18"/>
                <w:szCs w:val="18"/>
              </w:rPr>
            </w:pPr>
            <w:r>
              <w:rPr>
                <w:rFonts w:cs="Arial"/>
                <w:sz w:val="18"/>
                <w:szCs w:val="18"/>
              </w:rPr>
              <w:t>447,995</w:t>
            </w:r>
          </w:p>
        </w:tc>
        <w:tc>
          <w:tcPr>
            <w:tcW w:w="1549" w:type="dxa"/>
            <w:tcBorders>
              <w:top w:val="single" w:sz="4" w:space="0" w:color="auto"/>
              <w:left w:val="nil"/>
              <w:bottom w:val="single" w:sz="4" w:space="0" w:color="auto"/>
              <w:right w:val="nil"/>
            </w:tcBorders>
            <w:shd w:val="clear" w:color="000000" w:fill="D9D9D9"/>
            <w:noWrap/>
            <w:vAlign w:val="bottom"/>
            <w:hideMark/>
          </w:tcPr>
          <w:p w14:paraId="6BDE935B" w14:textId="77777777" w:rsidR="00AB6753" w:rsidRDefault="00AB6753" w:rsidP="002D1EA4">
            <w:pPr>
              <w:spacing w:after="0"/>
              <w:jc w:val="right"/>
              <w:rPr>
                <w:rFonts w:cs="Arial"/>
                <w:b/>
                <w:bCs/>
                <w:sz w:val="18"/>
                <w:szCs w:val="18"/>
              </w:rPr>
            </w:pPr>
            <w:r>
              <w:rPr>
                <w:rFonts w:cs="Arial"/>
                <w:b/>
                <w:bCs/>
                <w:sz w:val="18"/>
                <w:szCs w:val="18"/>
              </w:rPr>
              <w:t>10,444</w:t>
            </w:r>
          </w:p>
        </w:tc>
        <w:tc>
          <w:tcPr>
            <w:tcW w:w="1549" w:type="dxa"/>
            <w:tcBorders>
              <w:top w:val="single" w:sz="4" w:space="0" w:color="auto"/>
              <w:left w:val="nil"/>
              <w:bottom w:val="single" w:sz="4" w:space="0" w:color="auto"/>
              <w:right w:val="nil"/>
            </w:tcBorders>
            <w:shd w:val="clear" w:color="000000" w:fill="D9D9D9"/>
            <w:noWrap/>
            <w:vAlign w:val="bottom"/>
            <w:hideMark/>
          </w:tcPr>
          <w:p w14:paraId="54C7E851" w14:textId="77777777" w:rsidR="00AB6753" w:rsidRDefault="00AB6753" w:rsidP="002D1EA4">
            <w:pPr>
              <w:spacing w:after="0"/>
              <w:jc w:val="right"/>
              <w:rPr>
                <w:rFonts w:cs="Arial"/>
                <w:sz w:val="18"/>
                <w:szCs w:val="18"/>
              </w:rPr>
            </w:pPr>
            <w:r>
              <w:rPr>
                <w:rFonts w:cs="Arial"/>
                <w:sz w:val="18"/>
                <w:szCs w:val="18"/>
              </w:rPr>
              <w:t>6,711</w:t>
            </w:r>
          </w:p>
        </w:tc>
        <w:tc>
          <w:tcPr>
            <w:tcW w:w="1549" w:type="dxa"/>
            <w:tcBorders>
              <w:top w:val="single" w:sz="4" w:space="0" w:color="auto"/>
              <w:left w:val="nil"/>
              <w:bottom w:val="single" w:sz="4" w:space="0" w:color="auto"/>
              <w:right w:val="nil"/>
            </w:tcBorders>
            <w:shd w:val="clear" w:color="000000" w:fill="D9D9D9"/>
            <w:noWrap/>
            <w:vAlign w:val="bottom"/>
            <w:hideMark/>
          </w:tcPr>
          <w:p w14:paraId="142858C0" w14:textId="77777777" w:rsidR="00AB6753" w:rsidRDefault="00AB6753" w:rsidP="002D1EA4">
            <w:pPr>
              <w:spacing w:after="0"/>
              <w:jc w:val="right"/>
              <w:rPr>
                <w:rFonts w:cs="Arial"/>
                <w:b/>
                <w:bCs/>
                <w:sz w:val="18"/>
                <w:szCs w:val="18"/>
              </w:rPr>
            </w:pPr>
            <w:r>
              <w:rPr>
                <w:rFonts w:cs="Arial"/>
                <w:b/>
                <w:bCs/>
                <w:sz w:val="18"/>
                <w:szCs w:val="18"/>
              </w:rPr>
              <w:t xml:space="preserve"> -</w:t>
            </w:r>
          </w:p>
        </w:tc>
        <w:tc>
          <w:tcPr>
            <w:tcW w:w="1665" w:type="dxa"/>
            <w:tcBorders>
              <w:top w:val="single" w:sz="4" w:space="0" w:color="auto"/>
              <w:left w:val="nil"/>
              <w:bottom w:val="single" w:sz="4" w:space="0" w:color="auto"/>
              <w:right w:val="nil"/>
            </w:tcBorders>
            <w:shd w:val="clear" w:color="000000" w:fill="D9D9D9"/>
            <w:noWrap/>
            <w:vAlign w:val="bottom"/>
            <w:hideMark/>
          </w:tcPr>
          <w:p w14:paraId="6AE171BF"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327D5253" w14:textId="77777777" w:rsidTr="002D1EA4">
        <w:trPr>
          <w:trHeight w:val="255"/>
        </w:trPr>
        <w:tc>
          <w:tcPr>
            <w:tcW w:w="5473" w:type="dxa"/>
            <w:tcBorders>
              <w:top w:val="nil"/>
              <w:left w:val="nil"/>
              <w:bottom w:val="single" w:sz="4" w:space="0" w:color="auto"/>
              <w:right w:val="nil"/>
            </w:tcBorders>
            <w:shd w:val="clear" w:color="000000" w:fill="D9D9D9"/>
            <w:noWrap/>
            <w:vAlign w:val="bottom"/>
            <w:hideMark/>
          </w:tcPr>
          <w:p w14:paraId="51A12AB9" w14:textId="77777777" w:rsidR="00AB6753" w:rsidRDefault="00AB6753" w:rsidP="002D1EA4">
            <w:pPr>
              <w:spacing w:after="0"/>
              <w:rPr>
                <w:rFonts w:cs="Arial"/>
                <w:b/>
                <w:bCs/>
                <w:sz w:val="18"/>
                <w:szCs w:val="18"/>
              </w:rPr>
            </w:pPr>
            <w:r>
              <w:rPr>
                <w:rFonts w:cs="Arial"/>
                <w:b/>
                <w:bCs/>
                <w:sz w:val="18"/>
                <w:szCs w:val="18"/>
              </w:rPr>
              <w:t>Available for payments</w:t>
            </w:r>
          </w:p>
        </w:tc>
        <w:tc>
          <w:tcPr>
            <w:tcW w:w="1550" w:type="dxa"/>
            <w:tcBorders>
              <w:top w:val="nil"/>
              <w:left w:val="nil"/>
              <w:bottom w:val="single" w:sz="4" w:space="0" w:color="auto"/>
              <w:right w:val="nil"/>
            </w:tcBorders>
            <w:shd w:val="clear" w:color="000000" w:fill="D9D9D9"/>
            <w:noWrap/>
            <w:vAlign w:val="bottom"/>
            <w:hideMark/>
          </w:tcPr>
          <w:p w14:paraId="2EF0D306" w14:textId="77777777" w:rsidR="00AB6753" w:rsidRDefault="00AB6753" w:rsidP="002D1EA4">
            <w:pPr>
              <w:spacing w:after="0"/>
              <w:jc w:val="right"/>
              <w:rPr>
                <w:rFonts w:cs="Arial"/>
                <w:b/>
                <w:bCs/>
                <w:sz w:val="18"/>
                <w:szCs w:val="18"/>
              </w:rPr>
            </w:pPr>
            <w:r>
              <w:rPr>
                <w:rFonts w:cs="Arial"/>
                <w:b/>
                <w:bCs/>
                <w:sz w:val="18"/>
                <w:szCs w:val="18"/>
              </w:rPr>
              <w:t>911,557</w:t>
            </w:r>
          </w:p>
        </w:tc>
        <w:tc>
          <w:tcPr>
            <w:tcW w:w="1549" w:type="dxa"/>
            <w:tcBorders>
              <w:top w:val="nil"/>
              <w:left w:val="nil"/>
              <w:bottom w:val="single" w:sz="4" w:space="0" w:color="auto"/>
              <w:right w:val="nil"/>
            </w:tcBorders>
            <w:shd w:val="clear" w:color="000000" w:fill="D9D9D9"/>
            <w:noWrap/>
            <w:vAlign w:val="bottom"/>
            <w:hideMark/>
          </w:tcPr>
          <w:p w14:paraId="67DC6285" w14:textId="77777777" w:rsidR="00AB6753" w:rsidRDefault="00AB6753" w:rsidP="002D1EA4">
            <w:pPr>
              <w:spacing w:after="0"/>
              <w:jc w:val="right"/>
              <w:rPr>
                <w:rFonts w:cs="Arial"/>
                <w:sz w:val="18"/>
                <w:szCs w:val="18"/>
              </w:rPr>
            </w:pPr>
            <w:r>
              <w:rPr>
                <w:rFonts w:cs="Arial"/>
                <w:sz w:val="18"/>
                <w:szCs w:val="18"/>
              </w:rPr>
              <w:t>777,090</w:t>
            </w:r>
          </w:p>
        </w:tc>
        <w:tc>
          <w:tcPr>
            <w:tcW w:w="1549" w:type="dxa"/>
            <w:tcBorders>
              <w:top w:val="nil"/>
              <w:left w:val="nil"/>
              <w:bottom w:val="single" w:sz="4" w:space="0" w:color="auto"/>
              <w:right w:val="nil"/>
            </w:tcBorders>
            <w:shd w:val="clear" w:color="000000" w:fill="D9D9D9"/>
            <w:noWrap/>
            <w:vAlign w:val="bottom"/>
            <w:hideMark/>
          </w:tcPr>
          <w:p w14:paraId="0CBC8440" w14:textId="77777777" w:rsidR="00AB6753" w:rsidRDefault="00AB6753" w:rsidP="002D1EA4">
            <w:pPr>
              <w:spacing w:after="0"/>
              <w:jc w:val="right"/>
              <w:rPr>
                <w:rFonts w:cs="Arial"/>
                <w:b/>
                <w:bCs/>
                <w:sz w:val="18"/>
                <w:szCs w:val="18"/>
              </w:rPr>
            </w:pPr>
            <w:r>
              <w:rPr>
                <w:rFonts w:cs="Arial"/>
                <w:b/>
                <w:bCs/>
                <w:sz w:val="18"/>
                <w:szCs w:val="18"/>
              </w:rPr>
              <w:t>10,841</w:t>
            </w:r>
          </w:p>
        </w:tc>
        <w:tc>
          <w:tcPr>
            <w:tcW w:w="1549" w:type="dxa"/>
            <w:tcBorders>
              <w:top w:val="nil"/>
              <w:left w:val="nil"/>
              <w:bottom w:val="single" w:sz="4" w:space="0" w:color="auto"/>
              <w:right w:val="nil"/>
            </w:tcBorders>
            <w:shd w:val="clear" w:color="000000" w:fill="D9D9D9"/>
            <w:noWrap/>
            <w:vAlign w:val="bottom"/>
            <w:hideMark/>
          </w:tcPr>
          <w:p w14:paraId="372A4F5C" w14:textId="77777777" w:rsidR="00AB6753" w:rsidRDefault="00AB6753" w:rsidP="002D1EA4">
            <w:pPr>
              <w:spacing w:after="0"/>
              <w:jc w:val="right"/>
              <w:rPr>
                <w:rFonts w:cs="Arial"/>
                <w:sz w:val="18"/>
                <w:szCs w:val="18"/>
              </w:rPr>
            </w:pPr>
            <w:r>
              <w:rPr>
                <w:rFonts w:cs="Arial"/>
                <w:sz w:val="18"/>
                <w:szCs w:val="18"/>
              </w:rPr>
              <w:t>13,976</w:t>
            </w:r>
          </w:p>
        </w:tc>
        <w:tc>
          <w:tcPr>
            <w:tcW w:w="1549" w:type="dxa"/>
            <w:tcBorders>
              <w:top w:val="nil"/>
              <w:left w:val="nil"/>
              <w:bottom w:val="single" w:sz="4" w:space="0" w:color="auto"/>
              <w:right w:val="nil"/>
            </w:tcBorders>
            <w:shd w:val="clear" w:color="000000" w:fill="D9D9D9"/>
            <w:noWrap/>
            <w:vAlign w:val="bottom"/>
            <w:hideMark/>
          </w:tcPr>
          <w:p w14:paraId="6D335A88" w14:textId="77777777" w:rsidR="00AB6753" w:rsidRDefault="00AB6753" w:rsidP="002D1EA4">
            <w:pPr>
              <w:spacing w:after="0"/>
              <w:jc w:val="right"/>
              <w:rPr>
                <w:rFonts w:cs="Arial"/>
                <w:b/>
                <w:bCs/>
                <w:sz w:val="18"/>
                <w:szCs w:val="18"/>
              </w:rPr>
            </w:pPr>
            <w:r>
              <w:rPr>
                <w:rFonts w:cs="Arial"/>
                <w:b/>
                <w:bCs/>
                <w:sz w:val="18"/>
                <w:szCs w:val="18"/>
              </w:rPr>
              <w:t>1,559</w:t>
            </w:r>
          </w:p>
        </w:tc>
        <w:tc>
          <w:tcPr>
            <w:tcW w:w="1665" w:type="dxa"/>
            <w:tcBorders>
              <w:top w:val="nil"/>
              <w:left w:val="nil"/>
              <w:bottom w:val="single" w:sz="4" w:space="0" w:color="auto"/>
              <w:right w:val="nil"/>
            </w:tcBorders>
            <w:shd w:val="clear" w:color="000000" w:fill="D9D9D9"/>
            <w:noWrap/>
            <w:vAlign w:val="bottom"/>
            <w:hideMark/>
          </w:tcPr>
          <w:p w14:paraId="6624F2A3" w14:textId="77777777" w:rsidR="00AB6753" w:rsidRDefault="00AB6753" w:rsidP="002D1EA4">
            <w:pPr>
              <w:spacing w:after="0"/>
              <w:jc w:val="right"/>
              <w:rPr>
                <w:rFonts w:cs="Arial"/>
                <w:sz w:val="18"/>
                <w:szCs w:val="18"/>
              </w:rPr>
            </w:pPr>
            <w:r>
              <w:rPr>
                <w:rFonts w:cs="Arial"/>
                <w:sz w:val="18"/>
                <w:szCs w:val="18"/>
              </w:rPr>
              <w:t>2,561</w:t>
            </w:r>
          </w:p>
        </w:tc>
      </w:tr>
      <w:tr w:rsidR="00AB6753" w14:paraId="547363AB" w14:textId="77777777" w:rsidTr="002D1EA4">
        <w:trPr>
          <w:trHeight w:val="255"/>
        </w:trPr>
        <w:tc>
          <w:tcPr>
            <w:tcW w:w="5473" w:type="dxa"/>
            <w:tcBorders>
              <w:top w:val="nil"/>
              <w:left w:val="nil"/>
              <w:bottom w:val="nil"/>
              <w:right w:val="nil"/>
            </w:tcBorders>
            <w:shd w:val="clear" w:color="000000" w:fill="D9D9D9"/>
            <w:noWrap/>
            <w:vAlign w:val="bottom"/>
            <w:hideMark/>
          </w:tcPr>
          <w:p w14:paraId="0CCBFE57" w14:textId="77777777" w:rsidR="00AB6753" w:rsidRDefault="00AB6753" w:rsidP="002D1EA4">
            <w:pPr>
              <w:spacing w:after="0"/>
              <w:rPr>
                <w:rFonts w:cs="Arial"/>
                <w:b/>
                <w:bCs/>
                <w:sz w:val="18"/>
                <w:szCs w:val="18"/>
              </w:rPr>
            </w:pPr>
            <w:r>
              <w:rPr>
                <w:rFonts w:cs="Arial"/>
                <w:b/>
                <w:bCs/>
                <w:sz w:val="18"/>
                <w:szCs w:val="18"/>
              </w:rPr>
              <w:t>Decreases:</w:t>
            </w:r>
          </w:p>
        </w:tc>
        <w:tc>
          <w:tcPr>
            <w:tcW w:w="1550" w:type="dxa"/>
            <w:tcBorders>
              <w:top w:val="nil"/>
              <w:left w:val="nil"/>
              <w:bottom w:val="nil"/>
              <w:right w:val="nil"/>
            </w:tcBorders>
            <w:shd w:val="clear" w:color="000000" w:fill="D9D9D9"/>
            <w:noWrap/>
            <w:vAlign w:val="bottom"/>
            <w:hideMark/>
          </w:tcPr>
          <w:p w14:paraId="08E90E53" w14:textId="77777777" w:rsidR="00AB6753" w:rsidRDefault="00AB6753" w:rsidP="002D1EA4">
            <w:pPr>
              <w:spacing w:after="0"/>
              <w:rPr>
                <w:rFonts w:cs="Arial"/>
                <w:b/>
                <w:bCs/>
                <w:sz w:val="18"/>
                <w:szCs w:val="18"/>
              </w:rPr>
            </w:pPr>
            <w:r>
              <w:rPr>
                <w:rFonts w:cs="Arial"/>
                <w:b/>
                <w:bCs/>
                <w:sz w:val="18"/>
                <w:szCs w:val="18"/>
              </w:rPr>
              <w:t> </w:t>
            </w:r>
          </w:p>
        </w:tc>
        <w:tc>
          <w:tcPr>
            <w:tcW w:w="1549" w:type="dxa"/>
            <w:tcBorders>
              <w:top w:val="nil"/>
              <w:left w:val="nil"/>
              <w:bottom w:val="nil"/>
              <w:right w:val="nil"/>
            </w:tcBorders>
            <w:shd w:val="clear" w:color="000000" w:fill="D9D9D9"/>
            <w:noWrap/>
            <w:vAlign w:val="bottom"/>
            <w:hideMark/>
          </w:tcPr>
          <w:p w14:paraId="6FD73AE6" w14:textId="77777777" w:rsidR="00AB6753" w:rsidRDefault="00AB6753" w:rsidP="002D1EA4">
            <w:pPr>
              <w:spacing w:after="0"/>
              <w:rPr>
                <w:rFonts w:cs="Arial"/>
                <w:sz w:val="18"/>
                <w:szCs w:val="18"/>
              </w:rPr>
            </w:pPr>
            <w:r>
              <w:rPr>
                <w:rFonts w:cs="Arial"/>
                <w:sz w:val="18"/>
                <w:szCs w:val="18"/>
              </w:rPr>
              <w:t> </w:t>
            </w:r>
          </w:p>
        </w:tc>
        <w:tc>
          <w:tcPr>
            <w:tcW w:w="1549" w:type="dxa"/>
            <w:tcBorders>
              <w:top w:val="nil"/>
              <w:left w:val="nil"/>
              <w:bottom w:val="nil"/>
              <w:right w:val="nil"/>
            </w:tcBorders>
            <w:shd w:val="clear" w:color="000000" w:fill="D9D9D9"/>
            <w:noWrap/>
            <w:vAlign w:val="bottom"/>
            <w:hideMark/>
          </w:tcPr>
          <w:p w14:paraId="2EFB84F7" w14:textId="77777777" w:rsidR="00AB6753" w:rsidRDefault="00AB6753" w:rsidP="002D1EA4">
            <w:pPr>
              <w:spacing w:after="0"/>
              <w:rPr>
                <w:rFonts w:cs="Arial"/>
                <w:b/>
                <w:bCs/>
                <w:sz w:val="18"/>
                <w:szCs w:val="18"/>
              </w:rPr>
            </w:pPr>
            <w:r>
              <w:rPr>
                <w:rFonts w:cs="Arial"/>
                <w:b/>
                <w:bCs/>
                <w:sz w:val="18"/>
                <w:szCs w:val="18"/>
              </w:rPr>
              <w:t> </w:t>
            </w:r>
          </w:p>
        </w:tc>
        <w:tc>
          <w:tcPr>
            <w:tcW w:w="1549" w:type="dxa"/>
            <w:tcBorders>
              <w:top w:val="nil"/>
              <w:left w:val="nil"/>
              <w:bottom w:val="nil"/>
              <w:right w:val="nil"/>
            </w:tcBorders>
            <w:shd w:val="clear" w:color="000000" w:fill="D9D9D9"/>
            <w:noWrap/>
            <w:vAlign w:val="bottom"/>
            <w:hideMark/>
          </w:tcPr>
          <w:p w14:paraId="0228B181" w14:textId="77777777" w:rsidR="00AB6753" w:rsidRDefault="00AB6753" w:rsidP="002D1EA4">
            <w:pPr>
              <w:spacing w:after="0"/>
              <w:rPr>
                <w:rFonts w:cs="Arial"/>
                <w:sz w:val="18"/>
                <w:szCs w:val="18"/>
              </w:rPr>
            </w:pPr>
            <w:r>
              <w:rPr>
                <w:rFonts w:cs="Arial"/>
                <w:sz w:val="18"/>
                <w:szCs w:val="18"/>
              </w:rPr>
              <w:t> </w:t>
            </w:r>
          </w:p>
        </w:tc>
        <w:tc>
          <w:tcPr>
            <w:tcW w:w="1549" w:type="dxa"/>
            <w:tcBorders>
              <w:top w:val="nil"/>
              <w:left w:val="nil"/>
              <w:bottom w:val="nil"/>
              <w:right w:val="nil"/>
            </w:tcBorders>
            <w:shd w:val="clear" w:color="000000" w:fill="D9D9D9"/>
            <w:noWrap/>
            <w:vAlign w:val="bottom"/>
            <w:hideMark/>
          </w:tcPr>
          <w:p w14:paraId="6E2E570F" w14:textId="77777777" w:rsidR="00AB6753" w:rsidRDefault="00AB6753" w:rsidP="002D1EA4">
            <w:pPr>
              <w:spacing w:after="0"/>
              <w:rPr>
                <w:rFonts w:cs="Arial"/>
                <w:b/>
                <w:bCs/>
                <w:sz w:val="18"/>
                <w:szCs w:val="18"/>
              </w:rPr>
            </w:pPr>
            <w:r>
              <w:rPr>
                <w:rFonts w:cs="Arial"/>
                <w:b/>
                <w:bCs/>
                <w:sz w:val="18"/>
                <w:szCs w:val="18"/>
              </w:rPr>
              <w:t> </w:t>
            </w:r>
          </w:p>
        </w:tc>
        <w:tc>
          <w:tcPr>
            <w:tcW w:w="1665" w:type="dxa"/>
            <w:tcBorders>
              <w:top w:val="nil"/>
              <w:left w:val="nil"/>
              <w:bottom w:val="nil"/>
              <w:right w:val="nil"/>
            </w:tcBorders>
            <w:shd w:val="clear" w:color="000000" w:fill="D9D9D9"/>
            <w:noWrap/>
            <w:vAlign w:val="bottom"/>
            <w:hideMark/>
          </w:tcPr>
          <w:p w14:paraId="02CED94F" w14:textId="77777777" w:rsidR="00AB6753" w:rsidRDefault="00AB6753" w:rsidP="002D1EA4">
            <w:pPr>
              <w:spacing w:after="0"/>
              <w:rPr>
                <w:rFonts w:cs="Arial"/>
                <w:sz w:val="18"/>
                <w:szCs w:val="18"/>
              </w:rPr>
            </w:pPr>
            <w:r>
              <w:rPr>
                <w:rFonts w:cs="Arial"/>
                <w:sz w:val="18"/>
                <w:szCs w:val="18"/>
              </w:rPr>
              <w:t> </w:t>
            </w:r>
          </w:p>
        </w:tc>
      </w:tr>
      <w:tr w:rsidR="00AB6753" w14:paraId="3113ED50" w14:textId="77777777" w:rsidTr="002D1EA4">
        <w:trPr>
          <w:trHeight w:val="255"/>
        </w:trPr>
        <w:tc>
          <w:tcPr>
            <w:tcW w:w="5473" w:type="dxa"/>
            <w:tcBorders>
              <w:top w:val="nil"/>
              <w:left w:val="nil"/>
              <w:bottom w:val="nil"/>
              <w:right w:val="nil"/>
            </w:tcBorders>
            <w:shd w:val="clear" w:color="000000" w:fill="D9D9D9"/>
            <w:vAlign w:val="bottom"/>
            <w:hideMark/>
          </w:tcPr>
          <w:p w14:paraId="69C38B43" w14:textId="77777777" w:rsidR="00AB6753" w:rsidRDefault="00AB6753" w:rsidP="002D1EA4">
            <w:pPr>
              <w:spacing w:after="0"/>
              <w:rPr>
                <w:rFonts w:cs="Arial"/>
                <w:b/>
                <w:bCs/>
                <w:sz w:val="18"/>
                <w:szCs w:val="18"/>
              </w:rPr>
            </w:pPr>
            <w:r>
              <w:rPr>
                <w:rFonts w:cs="Arial"/>
                <w:b/>
                <w:bCs/>
                <w:sz w:val="18"/>
                <w:szCs w:val="18"/>
              </w:rPr>
              <w:t>Administered</w:t>
            </w:r>
          </w:p>
        </w:tc>
        <w:tc>
          <w:tcPr>
            <w:tcW w:w="1550" w:type="dxa"/>
            <w:tcBorders>
              <w:top w:val="nil"/>
              <w:left w:val="nil"/>
              <w:bottom w:val="nil"/>
              <w:right w:val="nil"/>
            </w:tcBorders>
            <w:shd w:val="clear" w:color="000000" w:fill="D9D9D9"/>
            <w:vAlign w:val="bottom"/>
            <w:hideMark/>
          </w:tcPr>
          <w:p w14:paraId="0DC268A7" w14:textId="77777777" w:rsidR="00AB6753" w:rsidRDefault="00AB6753" w:rsidP="002D1EA4">
            <w:pPr>
              <w:spacing w:after="0"/>
              <w:rPr>
                <w:rFonts w:cs="Arial"/>
                <w:b/>
                <w:bCs/>
                <w:sz w:val="18"/>
                <w:szCs w:val="18"/>
              </w:rPr>
            </w:pPr>
            <w:r>
              <w:rPr>
                <w:rFonts w:cs="Arial"/>
                <w:b/>
                <w:bCs/>
                <w:sz w:val="18"/>
                <w:szCs w:val="18"/>
              </w:rPr>
              <w:t> </w:t>
            </w:r>
          </w:p>
        </w:tc>
        <w:tc>
          <w:tcPr>
            <w:tcW w:w="1549" w:type="dxa"/>
            <w:tcBorders>
              <w:top w:val="nil"/>
              <w:left w:val="nil"/>
              <w:bottom w:val="nil"/>
              <w:right w:val="nil"/>
            </w:tcBorders>
            <w:shd w:val="clear" w:color="000000" w:fill="D9D9D9"/>
            <w:vAlign w:val="bottom"/>
            <w:hideMark/>
          </w:tcPr>
          <w:p w14:paraId="763583F0" w14:textId="77777777" w:rsidR="00AB6753" w:rsidRDefault="00AB6753" w:rsidP="002D1EA4">
            <w:pPr>
              <w:spacing w:after="0"/>
              <w:rPr>
                <w:rFonts w:cs="Arial"/>
                <w:b/>
                <w:bCs/>
                <w:sz w:val="18"/>
                <w:szCs w:val="18"/>
              </w:rPr>
            </w:pPr>
            <w:r>
              <w:rPr>
                <w:rFonts w:cs="Arial"/>
                <w:b/>
                <w:bCs/>
                <w:sz w:val="18"/>
                <w:szCs w:val="18"/>
              </w:rPr>
              <w:t> </w:t>
            </w:r>
          </w:p>
        </w:tc>
        <w:tc>
          <w:tcPr>
            <w:tcW w:w="1549" w:type="dxa"/>
            <w:tcBorders>
              <w:top w:val="nil"/>
              <w:left w:val="nil"/>
              <w:bottom w:val="nil"/>
              <w:right w:val="nil"/>
            </w:tcBorders>
            <w:shd w:val="clear" w:color="000000" w:fill="D9D9D9"/>
            <w:vAlign w:val="bottom"/>
            <w:hideMark/>
          </w:tcPr>
          <w:p w14:paraId="7E139402" w14:textId="77777777" w:rsidR="00AB6753" w:rsidRDefault="00AB6753" w:rsidP="002D1EA4">
            <w:pPr>
              <w:spacing w:after="0"/>
              <w:rPr>
                <w:rFonts w:cs="Arial"/>
                <w:b/>
                <w:bCs/>
                <w:sz w:val="18"/>
                <w:szCs w:val="18"/>
              </w:rPr>
            </w:pPr>
            <w:r>
              <w:rPr>
                <w:rFonts w:cs="Arial"/>
                <w:b/>
                <w:bCs/>
                <w:sz w:val="18"/>
                <w:szCs w:val="18"/>
              </w:rPr>
              <w:t> </w:t>
            </w:r>
          </w:p>
        </w:tc>
        <w:tc>
          <w:tcPr>
            <w:tcW w:w="1549" w:type="dxa"/>
            <w:tcBorders>
              <w:top w:val="nil"/>
              <w:left w:val="nil"/>
              <w:bottom w:val="nil"/>
              <w:right w:val="nil"/>
            </w:tcBorders>
            <w:shd w:val="clear" w:color="000000" w:fill="D9D9D9"/>
            <w:vAlign w:val="bottom"/>
            <w:hideMark/>
          </w:tcPr>
          <w:p w14:paraId="5021FA73" w14:textId="77777777" w:rsidR="00AB6753" w:rsidRDefault="00AB6753" w:rsidP="002D1EA4">
            <w:pPr>
              <w:spacing w:after="0"/>
              <w:rPr>
                <w:rFonts w:cs="Arial"/>
                <w:b/>
                <w:bCs/>
                <w:sz w:val="18"/>
                <w:szCs w:val="18"/>
              </w:rPr>
            </w:pPr>
            <w:r>
              <w:rPr>
                <w:rFonts w:cs="Arial"/>
                <w:b/>
                <w:bCs/>
                <w:sz w:val="18"/>
                <w:szCs w:val="18"/>
              </w:rPr>
              <w:t> </w:t>
            </w:r>
          </w:p>
        </w:tc>
        <w:tc>
          <w:tcPr>
            <w:tcW w:w="1549" w:type="dxa"/>
            <w:tcBorders>
              <w:top w:val="nil"/>
              <w:left w:val="nil"/>
              <w:bottom w:val="nil"/>
              <w:right w:val="nil"/>
            </w:tcBorders>
            <w:shd w:val="clear" w:color="000000" w:fill="D9D9D9"/>
            <w:vAlign w:val="bottom"/>
            <w:hideMark/>
          </w:tcPr>
          <w:p w14:paraId="4291F301" w14:textId="77777777" w:rsidR="00AB6753" w:rsidRDefault="00AB6753" w:rsidP="002D1EA4">
            <w:pPr>
              <w:spacing w:after="0"/>
              <w:rPr>
                <w:rFonts w:cs="Arial"/>
                <w:b/>
                <w:bCs/>
                <w:sz w:val="18"/>
                <w:szCs w:val="18"/>
              </w:rPr>
            </w:pPr>
            <w:r>
              <w:rPr>
                <w:rFonts w:cs="Arial"/>
                <w:b/>
                <w:bCs/>
                <w:sz w:val="18"/>
                <w:szCs w:val="18"/>
              </w:rPr>
              <w:t> </w:t>
            </w:r>
          </w:p>
        </w:tc>
        <w:tc>
          <w:tcPr>
            <w:tcW w:w="1665" w:type="dxa"/>
            <w:tcBorders>
              <w:top w:val="nil"/>
              <w:left w:val="nil"/>
              <w:bottom w:val="nil"/>
              <w:right w:val="nil"/>
            </w:tcBorders>
            <w:shd w:val="clear" w:color="000000" w:fill="D9D9D9"/>
            <w:vAlign w:val="bottom"/>
            <w:hideMark/>
          </w:tcPr>
          <w:p w14:paraId="74245669" w14:textId="77777777" w:rsidR="00AB6753" w:rsidRDefault="00AB6753" w:rsidP="002D1EA4">
            <w:pPr>
              <w:spacing w:after="0"/>
              <w:rPr>
                <w:rFonts w:cs="Arial"/>
                <w:b/>
                <w:bCs/>
                <w:sz w:val="18"/>
                <w:szCs w:val="18"/>
              </w:rPr>
            </w:pPr>
            <w:r>
              <w:rPr>
                <w:rFonts w:cs="Arial"/>
                <w:b/>
                <w:bCs/>
                <w:sz w:val="18"/>
                <w:szCs w:val="18"/>
              </w:rPr>
              <w:t> </w:t>
            </w:r>
          </w:p>
        </w:tc>
      </w:tr>
      <w:tr w:rsidR="00AB6753" w14:paraId="32B2CA80" w14:textId="77777777" w:rsidTr="002D1EA4">
        <w:trPr>
          <w:trHeight w:val="255"/>
        </w:trPr>
        <w:tc>
          <w:tcPr>
            <w:tcW w:w="5473" w:type="dxa"/>
            <w:tcBorders>
              <w:top w:val="nil"/>
              <w:left w:val="nil"/>
              <w:bottom w:val="nil"/>
              <w:right w:val="nil"/>
            </w:tcBorders>
            <w:shd w:val="clear" w:color="000000" w:fill="D9D9D9"/>
            <w:vAlign w:val="bottom"/>
            <w:hideMark/>
          </w:tcPr>
          <w:p w14:paraId="6483D094" w14:textId="77777777" w:rsidR="00AB6753" w:rsidRDefault="00AB6753" w:rsidP="002D1EA4">
            <w:pPr>
              <w:spacing w:after="0"/>
              <w:ind w:leftChars="100" w:left="220"/>
              <w:rPr>
                <w:rFonts w:cs="Arial"/>
                <w:sz w:val="18"/>
                <w:szCs w:val="18"/>
              </w:rPr>
            </w:pPr>
            <w:r>
              <w:rPr>
                <w:rFonts w:cs="Arial"/>
                <w:sz w:val="18"/>
                <w:szCs w:val="18"/>
              </w:rPr>
              <w:t>Payments made</w:t>
            </w:r>
          </w:p>
        </w:tc>
        <w:tc>
          <w:tcPr>
            <w:tcW w:w="1550" w:type="dxa"/>
            <w:tcBorders>
              <w:top w:val="nil"/>
              <w:left w:val="nil"/>
              <w:bottom w:val="nil"/>
              <w:right w:val="nil"/>
            </w:tcBorders>
            <w:shd w:val="clear" w:color="000000" w:fill="D9D9D9"/>
            <w:noWrap/>
            <w:vAlign w:val="bottom"/>
            <w:hideMark/>
          </w:tcPr>
          <w:p w14:paraId="2FE5B8A6" w14:textId="77777777" w:rsidR="00AB6753" w:rsidRDefault="00AB6753" w:rsidP="002D1EA4">
            <w:pPr>
              <w:spacing w:after="0"/>
              <w:jc w:val="right"/>
              <w:rPr>
                <w:rFonts w:cs="Arial"/>
                <w:b/>
                <w:bCs/>
                <w:sz w:val="18"/>
                <w:szCs w:val="18"/>
              </w:rPr>
            </w:pPr>
            <w:r>
              <w:rPr>
                <w:rFonts w:cs="Arial"/>
                <w:b/>
                <w:bCs/>
                <w:sz w:val="18"/>
                <w:szCs w:val="18"/>
              </w:rPr>
              <w:t>(410,537)</w:t>
            </w:r>
          </w:p>
        </w:tc>
        <w:tc>
          <w:tcPr>
            <w:tcW w:w="1549" w:type="dxa"/>
            <w:tcBorders>
              <w:top w:val="nil"/>
              <w:left w:val="nil"/>
              <w:bottom w:val="nil"/>
              <w:right w:val="nil"/>
            </w:tcBorders>
            <w:shd w:val="clear" w:color="000000" w:fill="D9D9D9"/>
            <w:noWrap/>
            <w:vAlign w:val="bottom"/>
            <w:hideMark/>
          </w:tcPr>
          <w:p w14:paraId="1AE98DF3" w14:textId="77777777" w:rsidR="00AB6753" w:rsidRDefault="00AB6753" w:rsidP="002D1EA4">
            <w:pPr>
              <w:spacing w:after="0"/>
              <w:jc w:val="right"/>
              <w:rPr>
                <w:rFonts w:cs="Arial"/>
                <w:sz w:val="18"/>
                <w:szCs w:val="18"/>
              </w:rPr>
            </w:pPr>
            <w:r>
              <w:rPr>
                <w:rFonts w:cs="Arial"/>
                <w:sz w:val="18"/>
                <w:szCs w:val="18"/>
              </w:rPr>
              <w:t>(376,683)</w:t>
            </w:r>
          </w:p>
        </w:tc>
        <w:tc>
          <w:tcPr>
            <w:tcW w:w="1549" w:type="dxa"/>
            <w:tcBorders>
              <w:top w:val="nil"/>
              <w:left w:val="nil"/>
              <w:bottom w:val="nil"/>
              <w:right w:val="nil"/>
            </w:tcBorders>
            <w:shd w:val="clear" w:color="000000" w:fill="D9D9D9"/>
            <w:noWrap/>
            <w:vAlign w:val="bottom"/>
            <w:hideMark/>
          </w:tcPr>
          <w:p w14:paraId="0CF76E5C" w14:textId="77777777" w:rsidR="00AB6753" w:rsidRDefault="00AB6753" w:rsidP="002D1EA4">
            <w:pPr>
              <w:spacing w:after="0"/>
              <w:jc w:val="right"/>
              <w:rPr>
                <w:rFonts w:cs="Arial"/>
                <w:b/>
                <w:bCs/>
                <w:sz w:val="18"/>
                <w:szCs w:val="18"/>
              </w:rPr>
            </w:pPr>
            <w:r>
              <w:rPr>
                <w:rFonts w:cs="Arial"/>
                <w:b/>
                <w:bCs/>
                <w:sz w:val="18"/>
                <w:szCs w:val="18"/>
              </w:rPr>
              <w:t>(5,689)</w:t>
            </w:r>
          </w:p>
        </w:tc>
        <w:tc>
          <w:tcPr>
            <w:tcW w:w="1549" w:type="dxa"/>
            <w:tcBorders>
              <w:top w:val="nil"/>
              <w:left w:val="nil"/>
              <w:bottom w:val="nil"/>
              <w:right w:val="nil"/>
            </w:tcBorders>
            <w:shd w:val="clear" w:color="000000" w:fill="D9D9D9"/>
            <w:noWrap/>
            <w:vAlign w:val="bottom"/>
            <w:hideMark/>
          </w:tcPr>
          <w:p w14:paraId="0B51730D" w14:textId="77777777" w:rsidR="00AB6753" w:rsidRDefault="00AB6753" w:rsidP="002D1EA4">
            <w:pPr>
              <w:spacing w:after="0"/>
              <w:jc w:val="right"/>
              <w:rPr>
                <w:rFonts w:cs="Arial"/>
                <w:sz w:val="18"/>
                <w:szCs w:val="18"/>
              </w:rPr>
            </w:pPr>
            <w:r>
              <w:rPr>
                <w:rFonts w:cs="Arial"/>
                <w:sz w:val="18"/>
                <w:szCs w:val="18"/>
              </w:rPr>
              <w:t>(13,579)</w:t>
            </w:r>
          </w:p>
        </w:tc>
        <w:tc>
          <w:tcPr>
            <w:tcW w:w="1549" w:type="dxa"/>
            <w:tcBorders>
              <w:top w:val="nil"/>
              <w:left w:val="nil"/>
              <w:bottom w:val="nil"/>
              <w:right w:val="nil"/>
            </w:tcBorders>
            <w:shd w:val="clear" w:color="000000" w:fill="D9D9D9"/>
            <w:noWrap/>
            <w:vAlign w:val="bottom"/>
            <w:hideMark/>
          </w:tcPr>
          <w:p w14:paraId="4EB772F8" w14:textId="77777777" w:rsidR="00AB6753" w:rsidRDefault="00AB6753" w:rsidP="002D1EA4">
            <w:pPr>
              <w:spacing w:after="0"/>
              <w:jc w:val="right"/>
              <w:rPr>
                <w:rFonts w:cs="Arial"/>
                <w:b/>
                <w:bCs/>
                <w:sz w:val="18"/>
                <w:szCs w:val="18"/>
              </w:rPr>
            </w:pPr>
            <w:r>
              <w:rPr>
                <w:rFonts w:cs="Arial"/>
                <w:b/>
                <w:bCs/>
                <w:sz w:val="18"/>
                <w:szCs w:val="18"/>
              </w:rPr>
              <w:t>(576)</w:t>
            </w:r>
          </w:p>
        </w:tc>
        <w:tc>
          <w:tcPr>
            <w:tcW w:w="1665" w:type="dxa"/>
            <w:tcBorders>
              <w:top w:val="nil"/>
              <w:left w:val="nil"/>
              <w:bottom w:val="nil"/>
              <w:right w:val="nil"/>
            </w:tcBorders>
            <w:shd w:val="clear" w:color="000000" w:fill="D9D9D9"/>
            <w:noWrap/>
            <w:vAlign w:val="bottom"/>
            <w:hideMark/>
          </w:tcPr>
          <w:p w14:paraId="6EC2653D" w14:textId="77777777" w:rsidR="00AB6753" w:rsidRDefault="00AB6753" w:rsidP="002D1EA4">
            <w:pPr>
              <w:spacing w:after="0"/>
              <w:jc w:val="right"/>
              <w:rPr>
                <w:rFonts w:cs="Arial"/>
                <w:sz w:val="18"/>
                <w:szCs w:val="18"/>
              </w:rPr>
            </w:pPr>
            <w:r>
              <w:rPr>
                <w:rFonts w:cs="Arial"/>
                <w:sz w:val="18"/>
                <w:szCs w:val="18"/>
              </w:rPr>
              <w:t>(1,002)</w:t>
            </w:r>
          </w:p>
        </w:tc>
      </w:tr>
      <w:tr w:rsidR="00AB6753" w14:paraId="6E5F9D12" w14:textId="77777777" w:rsidTr="002D1EA4">
        <w:trPr>
          <w:trHeight w:val="255"/>
        </w:trPr>
        <w:tc>
          <w:tcPr>
            <w:tcW w:w="5473" w:type="dxa"/>
            <w:tcBorders>
              <w:top w:val="single" w:sz="4" w:space="0" w:color="auto"/>
              <w:left w:val="nil"/>
              <w:bottom w:val="single" w:sz="4" w:space="0" w:color="auto"/>
              <w:right w:val="nil"/>
            </w:tcBorders>
            <w:shd w:val="clear" w:color="000000" w:fill="D9D9D9"/>
            <w:vAlign w:val="bottom"/>
            <w:hideMark/>
          </w:tcPr>
          <w:p w14:paraId="100F555D" w14:textId="77777777" w:rsidR="00AB6753" w:rsidRDefault="00AB6753" w:rsidP="002D1EA4">
            <w:pPr>
              <w:spacing w:after="0"/>
              <w:rPr>
                <w:rFonts w:cs="Arial"/>
                <w:b/>
                <w:bCs/>
                <w:sz w:val="18"/>
                <w:szCs w:val="18"/>
              </w:rPr>
            </w:pPr>
            <w:r>
              <w:rPr>
                <w:rFonts w:cs="Arial"/>
                <w:b/>
                <w:bCs/>
                <w:sz w:val="18"/>
                <w:szCs w:val="18"/>
              </w:rPr>
              <w:t>Total administered</w:t>
            </w:r>
          </w:p>
        </w:tc>
        <w:tc>
          <w:tcPr>
            <w:tcW w:w="1550" w:type="dxa"/>
            <w:tcBorders>
              <w:top w:val="single" w:sz="4" w:space="0" w:color="auto"/>
              <w:left w:val="nil"/>
              <w:bottom w:val="single" w:sz="4" w:space="0" w:color="auto"/>
              <w:right w:val="nil"/>
            </w:tcBorders>
            <w:shd w:val="clear" w:color="000000" w:fill="D9D9D9"/>
            <w:noWrap/>
            <w:vAlign w:val="bottom"/>
            <w:hideMark/>
          </w:tcPr>
          <w:p w14:paraId="374A817D" w14:textId="77777777" w:rsidR="00AB6753" w:rsidRDefault="00AB6753" w:rsidP="002D1EA4">
            <w:pPr>
              <w:spacing w:after="0"/>
              <w:jc w:val="right"/>
              <w:rPr>
                <w:rFonts w:cs="Arial"/>
                <w:b/>
                <w:bCs/>
                <w:sz w:val="18"/>
                <w:szCs w:val="18"/>
              </w:rPr>
            </w:pPr>
            <w:r>
              <w:rPr>
                <w:rFonts w:cs="Arial"/>
                <w:b/>
                <w:bCs/>
                <w:sz w:val="18"/>
                <w:szCs w:val="18"/>
              </w:rPr>
              <w:t>(410,537)</w:t>
            </w:r>
          </w:p>
        </w:tc>
        <w:tc>
          <w:tcPr>
            <w:tcW w:w="1549" w:type="dxa"/>
            <w:tcBorders>
              <w:top w:val="single" w:sz="4" w:space="0" w:color="auto"/>
              <w:left w:val="nil"/>
              <w:bottom w:val="single" w:sz="4" w:space="0" w:color="auto"/>
              <w:right w:val="nil"/>
            </w:tcBorders>
            <w:shd w:val="clear" w:color="000000" w:fill="D9D9D9"/>
            <w:noWrap/>
            <w:vAlign w:val="bottom"/>
            <w:hideMark/>
          </w:tcPr>
          <w:p w14:paraId="405674CC" w14:textId="77777777" w:rsidR="00AB6753" w:rsidRDefault="00AB6753" w:rsidP="002D1EA4">
            <w:pPr>
              <w:spacing w:after="0"/>
              <w:jc w:val="right"/>
              <w:rPr>
                <w:rFonts w:cs="Arial"/>
                <w:sz w:val="18"/>
                <w:szCs w:val="18"/>
              </w:rPr>
            </w:pPr>
            <w:r>
              <w:rPr>
                <w:rFonts w:cs="Arial"/>
                <w:sz w:val="18"/>
                <w:szCs w:val="18"/>
              </w:rPr>
              <w:t>(376,683)</w:t>
            </w:r>
          </w:p>
        </w:tc>
        <w:tc>
          <w:tcPr>
            <w:tcW w:w="1549" w:type="dxa"/>
            <w:tcBorders>
              <w:top w:val="single" w:sz="4" w:space="0" w:color="auto"/>
              <w:left w:val="nil"/>
              <w:bottom w:val="single" w:sz="4" w:space="0" w:color="auto"/>
              <w:right w:val="nil"/>
            </w:tcBorders>
            <w:shd w:val="clear" w:color="000000" w:fill="D9D9D9"/>
            <w:noWrap/>
            <w:vAlign w:val="bottom"/>
            <w:hideMark/>
          </w:tcPr>
          <w:p w14:paraId="4FCB8E86" w14:textId="77777777" w:rsidR="00AB6753" w:rsidRDefault="00AB6753" w:rsidP="002D1EA4">
            <w:pPr>
              <w:spacing w:after="0"/>
              <w:jc w:val="right"/>
              <w:rPr>
                <w:rFonts w:cs="Arial"/>
                <w:b/>
                <w:bCs/>
                <w:sz w:val="18"/>
                <w:szCs w:val="18"/>
              </w:rPr>
            </w:pPr>
            <w:r>
              <w:rPr>
                <w:rFonts w:cs="Arial"/>
                <w:b/>
                <w:bCs/>
                <w:sz w:val="18"/>
                <w:szCs w:val="18"/>
              </w:rPr>
              <w:t>(5,689)</w:t>
            </w:r>
          </w:p>
        </w:tc>
        <w:tc>
          <w:tcPr>
            <w:tcW w:w="1549" w:type="dxa"/>
            <w:tcBorders>
              <w:top w:val="single" w:sz="4" w:space="0" w:color="auto"/>
              <w:left w:val="nil"/>
              <w:bottom w:val="single" w:sz="4" w:space="0" w:color="auto"/>
              <w:right w:val="nil"/>
            </w:tcBorders>
            <w:shd w:val="clear" w:color="000000" w:fill="D9D9D9"/>
            <w:noWrap/>
            <w:vAlign w:val="bottom"/>
            <w:hideMark/>
          </w:tcPr>
          <w:p w14:paraId="4F279168" w14:textId="77777777" w:rsidR="00AB6753" w:rsidRDefault="00AB6753" w:rsidP="002D1EA4">
            <w:pPr>
              <w:spacing w:after="0"/>
              <w:jc w:val="right"/>
              <w:rPr>
                <w:rFonts w:cs="Arial"/>
                <w:sz w:val="18"/>
                <w:szCs w:val="18"/>
              </w:rPr>
            </w:pPr>
            <w:r>
              <w:rPr>
                <w:rFonts w:cs="Arial"/>
                <w:sz w:val="18"/>
                <w:szCs w:val="18"/>
              </w:rPr>
              <w:t>(13,579)</w:t>
            </w:r>
          </w:p>
        </w:tc>
        <w:tc>
          <w:tcPr>
            <w:tcW w:w="1549" w:type="dxa"/>
            <w:tcBorders>
              <w:top w:val="single" w:sz="4" w:space="0" w:color="auto"/>
              <w:left w:val="nil"/>
              <w:bottom w:val="single" w:sz="4" w:space="0" w:color="auto"/>
              <w:right w:val="nil"/>
            </w:tcBorders>
            <w:shd w:val="clear" w:color="000000" w:fill="D9D9D9"/>
            <w:noWrap/>
            <w:vAlign w:val="bottom"/>
            <w:hideMark/>
          </w:tcPr>
          <w:p w14:paraId="3C021DBF" w14:textId="77777777" w:rsidR="00AB6753" w:rsidRDefault="00AB6753" w:rsidP="002D1EA4">
            <w:pPr>
              <w:spacing w:after="0"/>
              <w:jc w:val="right"/>
              <w:rPr>
                <w:rFonts w:cs="Arial"/>
                <w:b/>
                <w:bCs/>
                <w:sz w:val="18"/>
                <w:szCs w:val="18"/>
              </w:rPr>
            </w:pPr>
            <w:r>
              <w:rPr>
                <w:rFonts w:cs="Arial"/>
                <w:b/>
                <w:bCs/>
                <w:sz w:val="18"/>
                <w:szCs w:val="18"/>
              </w:rPr>
              <w:t>(576)</w:t>
            </w:r>
          </w:p>
        </w:tc>
        <w:tc>
          <w:tcPr>
            <w:tcW w:w="1665" w:type="dxa"/>
            <w:tcBorders>
              <w:top w:val="single" w:sz="4" w:space="0" w:color="auto"/>
              <w:left w:val="nil"/>
              <w:bottom w:val="single" w:sz="4" w:space="0" w:color="auto"/>
              <w:right w:val="nil"/>
            </w:tcBorders>
            <w:shd w:val="clear" w:color="000000" w:fill="D9D9D9"/>
            <w:noWrap/>
            <w:vAlign w:val="bottom"/>
            <w:hideMark/>
          </w:tcPr>
          <w:p w14:paraId="383BEF7F" w14:textId="77777777" w:rsidR="00AB6753" w:rsidRDefault="00AB6753" w:rsidP="002D1EA4">
            <w:pPr>
              <w:spacing w:after="0"/>
              <w:jc w:val="right"/>
              <w:rPr>
                <w:rFonts w:cs="Arial"/>
                <w:sz w:val="18"/>
                <w:szCs w:val="18"/>
              </w:rPr>
            </w:pPr>
            <w:r>
              <w:rPr>
                <w:rFonts w:cs="Arial"/>
                <w:sz w:val="18"/>
                <w:szCs w:val="18"/>
              </w:rPr>
              <w:t>(1,002)</w:t>
            </w:r>
          </w:p>
        </w:tc>
      </w:tr>
      <w:tr w:rsidR="00AB6753" w14:paraId="692AEC4C" w14:textId="77777777" w:rsidTr="002D1EA4">
        <w:trPr>
          <w:trHeight w:val="255"/>
        </w:trPr>
        <w:tc>
          <w:tcPr>
            <w:tcW w:w="5473" w:type="dxa"/>
            <w:tcBorders>
              <w:top w:val="nil"/>
              <w:left w:val="nil"/>
              <w:bottom w:val="single" w:sz="4" w:space="0" w:color="auto"/>
              <w:right w:val="nil"/>
            </w:tcBorders>
            <w:shd w:val="clear" w:color="000000" w:fill="D9D9D9"/>
            <w:noWrap/>
            <w:vAlign w:val="bottom"/>
            <w:hideMark/>
          </w:tcPr>
          <w:p w14:paraId="6519B5BF" w14:textId="77777777" w:rsidR="00AB6753" w:rsidRDefault="00AB6753" w:rsidP="002D1EA4">
            <w:pPr>
              <w:spacing w:after="0"/>
              <w:rPr>
                <w:rFonts w:cs="Arial"/>
                <w:b/>
                <w:bCs/>
                <w:sz w:val="18"/>
                <w:szCs w:val="18"/>
              </w:rPr>
            </w:pPr>
            <w:r>
              <w:rPr>
                <w:rFonts w:cs="Arial"/>
                <w:b/>
                <w:bCs/>
                <w:sz w:val="18"/>
                <w:szCs w:val="18"/>
              </w:rPr>
              <w:t>Total decreases</w:t>
            </w:r>
          </w:p>
        </w:tc>
        <w:tc>
          <w:tcPr>
            <w:tcW w:w="1550" w:type="dxa"/>
            <w:tcBorders>
              <w:top w:val="nil"/>
              <w:left w:val="nil"/>
              <w:bottom w:val="single" w:sz="4" w:space="0" w:color="auto"/>
              <w:right w:val="nil"/>
            </w:tcBorders>
            <w:shd w:val="clear" w:color="000000" w:fill="D9D9D9"/>
            <w:noWrap/>
            <w:vAlign w:val="bottom"/>
            <w:hideMark/>
          </w:tcPr>
          <w:p w14:paraId="265E441E" w14:textId="77777777" w:rsidR="00AB6753" w:rsidRDefault="00AB6753" w:rsidP="002D1EA4">
            <w:pPr>
              <w:spacing w:after="0"/>
              <w:jc w:val="right"/>
              <w:rPr>
                <w:rFonts w:cs="Arial"/>
                <w:b/>
                <w:bCs/>
                <w:sz w:val="18"/>
                <w:szCs w:val="18"/>
              </w:rPr>
            </w:pPr>
            <w:r>
              <w:rPr>
                <w:rFonts w:cs="Arial"/>
                <w:b/>
                <w:bCs/>
                <w:sz w:val="18"/>
                <w:szCs w:val="18"/>
              </w:rPr>
              <w:t>(410,537)</w:t>
            </w:r>
          </w:p>
        </w:tc>
        <w:tc>
          <w:tcPr>
            <w:tcW w:w="1549" w:type="dxa"/>
            <w:tcBorders>
              <w:top w:val="nil"/>
              <w:left w:val="nil"/>
              <w:bottom w:val="single" w:sz="4" w:space="0" w:color="auto"/>
              <w:right w:val="nil"/>
            </w:tcBorders>
            <w:shd w:val="clear" w:color="000000" w:fill="D9D9D9"/>
            <w:noWrap/>
            <w:vAlign w:val="bottom"/>
            <w:hideMark/>
          </w:tcPr>
          <w:p w14:paraId="096803AD" w14:textId="77777777" w:rsidR="00AB6753" w:rsidRDefault="00AB6753" w:rsidP="002D1EA4">
            <w:pPr>
              <w:spacing w:after="0"/>
              <w:jc w:val="right"/>
              <w:rPr>
                <w:rFonts w:cs="Arial"/>
                <w:sz w:val="18"/>
                <w:szCs w:val="18"/>
              </w:rPr>
            </w:pPr>
            <w:r>
              <w:rPr>
                <w:rFonts w:cs="Arial"/>
                <w:sz w:val="18"/>
                <w:szCs w:val="18"/>
              </w:rPr>
              <w:t>(376,683)</w:t>
            </w:r>
          </w:p>
        </w:tc>
        <w:tc>
          <w:tcPr>
            <w:tcW w:w="1549" w:type="dxa"/>
            <w:tcBorders>
              <w:top w:val="nil"/>
              <w:left w:val="nil"/>
              <w:bottom w:val="single" w:sz="4" w:space="0" w:color="auto"/>
              <w:right w:val="nil"/>
            </w:tcBorders>
            <w:shd w:val="clear" w:color="000000" w:fill="D9D9D9"/>
            <w:noWrap/>
            <w:vAlign w:val="bottom"/>
            <w:hideMark/>
          </w:tcPr>
          <w:p w14:paraId="7661AFFA" w14:textId="77777777" w:rsidR="00AB6753" w:rsidRDefault="00AB6753" w:rsidP="002D1EA4">
            <w:pPr>
              <w:spacing w:after="0"/>
              <w:jc w:val="right"/>
              <w:rPr>
                <w:rFonts w:cs="Arial"/>
                <w:b/>
                <w:bCs/>
                <w:sz w:val="18"/>
                <w:szCs w:val="18"/>
              </w:rPr>
            </w:pPr>
            <w:r>
              <w:rPr>
                <w:rFonts w:cs="Arial"/>
                <w:b/>
                <w:bCs/>
                <w:sz w:val="18"/>
                <w:szCs w:val="18"/>
              </w:rPr>
              <w:t>(5,689)</w:t>
            </w:r>
          </w:p>
        </w:tc>
        <w:tc>
          <w:tcPr>
            <w:tcW w:w="1549" w:type="dxa"/>
            <w:tcBorders>
              <w:top w:val="nil"/>
              <w:left w:val="nil"/>
              <w:bottom w:val="single" w:sz="4" w:space="0" w:color="auto"/>
              <w:right w:val="nil"/>
            </w:tcBorders>
            <w:shd w:val="clear" w:color="000000" w:fill="D9D9D9"/>
            <w:noWrap/>
            <w:vAlign w:val="bottom"/>
            <w:hideMark/>
          </w:tcPr>
          <w:p w14:paraId="1CA90980" w14:textId="77777777" w:rsidR="00AB6753" w:rsidRDefault="00AB6753" w:rsidP="002D1EA4">
            <w:pPr>
              <w:spacing w:after="0"/>
              <w:jc w:val="right"/>
              <w:rPr>
                <w:rFonts w:cs="Arial"/>
                <w:sz w:val="18"/>
                <w:szCs w:val="18"/>
              </w:rPr>
            </w:pPr>
            <w:r>
              <w:rPr>
                <w:rFonts w:cs="Arial"/>
                <w:sz w:val="18"/>
                <w:szCs w:val="18"/>
              </w:rPr>
              <w:t>(13,579)</w:t>
            </w:r>
          </w:p>
        </w:tc>
        <w:tc>
          <w:tcPr>
            <w:tcW w:w="1549" w:type="dxa"/>
            <w:tcBorders>
              <w:top w:val="nil"/>
              <w:left w:val="nil"/>
              <w:bottom w:val="single" w:sz="4" w:space="0" w:color="auto"/>
              <w:right w:val="nil"/>
            </w:tcBorders>
            <w:shd w:val="clear" w:color="000000" w:fill="D9D9D9"/>
            <w:noWrap/>
            <w:vAlign w:val="bottom"/>
            <w:hideMark/>
          </w:tcPr>
          <w:p w14:paraId="1BDE3AC2" w14:textId="77777777" w:rsidR="00AB6753" w:rsidRDefault="00AB6753" w:rsidP="002D1EA4">
            <w:pPr>
              <w:spacing w:after="0"/>
              <w:jc w:val="right"/>
              <w:rPr>
                <w:rFonts w:cs="Arial"/>
                <w:b/>
                <w:bCs/>
                <w:sz w:val="18"/>
                <w:szCs w:val="18"/>
              </w:rPr>
            </w:pPr>
            <w:r>
              <w:rPr>
                <w:rFonts w:cs="Arial"/>
                <w:b/>
                <w:bCs/>
                <w:sz w:val="18"/>
                <w:szCs w:val="18"/>
              </w:rPr>
              <w:t>(576)</w:t>
            </w:r>
          </w:p>
        </w:tc>
        <w:tc>
          <w:tcPr>
            <w:tcW w:w="1665" w:type="dxa"/>
            <w:tcBorders>
              <w:top w:val="nil"/>
              <w:left w:val="nil"/>
              <w:bottom w:val="single" w:sz="4" w:space="0" w:color="auto"/>
              <w:right w:val="nil"/>
            </w:tcBorders>
            <w:shd w:val="clear" w:color="000000" w:fill="D9D9D9"/>
            <w:noWrap/>
            <w:vAlign w:val="bottom"/>
            <w:hideMark/>
          </w:tcPr>
          <w:p w14:paraId="3780F45A" w14:textId="77777777" w:rsidR="00AB6753" w:rsidRDefault="00AB6753" w:rsidP="002D1EA4">
            <w:pPr>
              <w:spacing w:after="0"/>
              <w:jc w:val="right"/>
              <w:rPr>
                <w:rFonts w:cs="Arial"/>
                <w:sz w:val="18"/>
                <w:szCs w:val="18"/>
              </w:rPr>
            </w:pPr>
            <w:r>
              <w:rPr>
                <w:rFonts w:cs="Arial"/>
                <w:sz w:val="18"/>
                <w:szCs w:val="18"/>
              </w:rPr>
              <w:t>(1,002)</w:t>
            </w:r>
          </w:p>
        </w:tc>
      </w:tr>
      <w:tr w:rsidR="00AB6753" w14:paraId="7470AF32" w14:textId="77777777" w:rsidTr="002D1EA4">
        <w:trPr>
          <w:trHeight w:val="270"/>
        </w:trPr>
        <w:tc>
          <w:tcPr>
            <w:tcW w:w="5473" w:type="dxa"/>
            <w:tcBorders>
              <w:top w:val="nil"/>
              <w:left w:val="nil"/>
              <w:bottom w:val="single" w:sz="4" w:space="0" w:color="auto"/>
              <w:right w:val="nil"/>
            </w:tcBorders>
            <w:shd w:val="clear" w:color="000000" w:fill="D9D9D9"/>
            <w:noWrap/>
            <w:vAlign w:val="bottom"/>
            <w:hideMark/>
          </w:tcPr>
          <w:p w14:paraId="2EB80404" w14:textId="77777777" w:rsidR="00AB6753" w:rsidRDefault="00AB6753" w:rsidP="002D1EA4">
            <w:pPr>
              <w:spacing w:after="0"/>
              <w:rPr>
                <w:rFonts w:cs="Arial"/>
                <w:b/>
                <w:bCs/>
                <w:sz w:val="18"/>
                <w:szCs w:val="18"/>
              </w:rPr>
            </w:pPr>
            <w:r>
              <w:rPr>
                <w:rFonts w:cs="Arial"/>
                <w:b/>
                <w:bCs/>
                <w:sz w:val="18"/>
                <w:szCs w:val="18"/>
              </w:rPr>
              <w:t>Total balance carried to the next period</w:t>
            </w:r>
            <w:r>
              <w:rPr>
                <w:rFonts w:cs="Arial"/>
                <w:b/>
                <w:bCs/>
                <w:sz w:val="18"/>
                <w:szCs w:val="18"/>
                <w:vertAlign w:val="superscript"/>
              </w:rPr>
              <w:t>3</w:t>
            </w:r>
          </w:p>
        </w:tc>
        <w:tc>
          <w:tcPr>
            <w:tcW w:w="1550" w:type="dxa"/>
            <w:tcBorders>
              <w:top w:val="nil"/>
              <w:left w:val="nil"/>
              <w:bottom w:val="single" w:sz="4" w:space="0" w:color="auto"/>
              <w:right w:val="nil"/>
            </w:tcBorders>
            <w:shd w:val="clear" w:color="000000" w:fill="D9D9D9"/>
            <w:noWrap/>
            <w:vAlign w:val="bottom"/>
            <w:hideMark/>
          </w:tcPr>
          <w:p w14:paraId="647ED036" w14:textId="77777777" w:rsidR="00AB6753" w:rsidRDefault="00AB6753" w:rsidP="002D1EA4">
            <w:pPr>
              <w:spacing w:after="0"/>
              <w:jc w:val="right"/>
              <w:rPr>
                <w:rFonts w:cs="Arial"/>
                <w:b/>
                <w:bCs/>
                <w:sz w:val="18"/>
                <w:szCs w:val="18"/>
              </w:rPr>
            </w:pPr>
            <w:r>
              <w:rPr>
                <w:rFonts w:cs="Arial"/>
                <w:b/>
                <w:bCs/>
                <w:sz w:val="18"/>
                <w:szCs w:val="18"/>
              </w:rPr>
              <w:t>501,020</w:t>
            </w:r>
          </w:p>
        </w:tc>
        <w:tc>
          <w:tcPr>
            <w:tcW w:w="1549" w:type="dxa"/>
            <w:tcBorders>
              <w:top w:val="nil"/>
              <w:left w:val="nil"/>
              <w:bottom w:val="single" w:sz="4" w:space="0" w:color="auto"/>
              <w:right w:val="nil"/>
            </w:tcBorders>
            <w:shd w:val="clear" w:color="000000" w:fill="D9D9D9"/>
            <w:noWrap/>
            <w:vAlign w:val="bottom"/>
            <w:hideMark/>
          </w:tcPr>
          <w:p w14:paraId="7006A1BF" w14:textId="77777777" w:rsidR="00AB6753" w:rsidRDefault="00AB6753" w:rsidP="002D1EA4">
            <w:pPr>
              <w:spacing w:after="0"/>
              <w:jc w:val="right"/>
              <w:rPr>
                <w:rFonts w:cs="Arial"/>
                <w:sz w:val="18"/>
                <w:szCs w:val="18"/>
              </w:rPr>
            </w:pPr>
            <w:r>
              <w:rPr>
                <w:rFonts w:cs="Arial"/>
                <w:sz w:val="18"/>
                <w:szCs w:val="18"/>
              </w:rPr>
              <w:t>400,407</w:t>
            </w:r>
          </w:p>
        </w:tc>
        <w:tc>
          <w:tcPr>
            <w:tcW w:w="1549" w:type="dxa"/>
            <w:tcBorders>
              <w:top w:val="nil"/>
              <w:left w:val="nil"/>
              <w:bottom w:val="single" w:sz="4" w:space="0" w:color="auto"/>
              <w:right w:val="nil"/>
            </w:tcBorders>
            <w:shd w:val="clear" w:color="000000" w:fill="D9D9D9"/>
            <w:noWrap/>
            <w:vAlign w:val="bottom"/>
            <w:hideMark/>
          </w:tcPr>
          <w:p w14:paraId="49781F70" w14:textId="77777777" w:rsidR="00AB6753" w:rsidRDefault="00AB6753" w:rsidP="002D1EA4">
            <w:pPr>
              <w:spacing w:after="0"/>
              <w:jc w:val="right"/>
              <w:rPr>
                <w:rFonts w:cs="Arial"/>
                <w:b/>
                <w:bCs/>
                <w:sz w:val="18"/>
                <w:szCs w:val="18"/>
              </w:rPr>
            </w:pPr>
            <w:r>
              <w:rPr>
                <w:rFonts w:cs="Arial"/>
                <w:b/>
                <w:bCs/>
                <w:sz w:val="18"/>
                <w:szCs w:val="18"/>
              </w:rPr>
              <w:t>5,152</w:t>
            </w:r>
          </w:p>
        </w:tc>
        <w:tc>
          <w:tcPr>
            <w:tcW w:w="1549" w:type="dxa"/>
            <w:tcBorders>
              <w:top w:val="nil"/>
              <w:left w:val="nil"/>
              <w:bottom w:val="single" w:sz="4" w:space="0" w:color="auto"/>
              <w:right w:val="nil"/>
            </w:tcBorders>
            <w:shd w:val="clear" w:color="000000" w:fill="D9D9D9"/>
            <w:noWrap/>
            <w:vAlign w:val="bottom"/>
            <w:hideMark/>
          </w:tcPr>
          <w:p w14:paraId="205AD9B1" w14:textId="77777777" w:rsidR="00AB6753" w:rsidRDefault="00AB6753" w:rsidP="002D1EA4">
            <w:pPr>
              <w:spacing w:after="0"/>
              <w:jc w:val="right"/>
              <w:rPr>
                <w:rFonts w:cs="Arial"/>
                <w:sz w:val="18"/>
                <w:szCs w:val="18"/>
              </w:rPr>
            </w:pPr>
            <w:r>
              <w:rPr>
                <w:rFonts w:cs="Arial"/>
                <w:sz w:val="18"/>
                <w:szCs w:val="18"/>
              </w:rPr>
              <w:t>397</w:t>
            </w:r>
          </w:p>
        </w:tc>
        <w:tc>
          <w:tcPr>
            <w:tcW w:w="1549" w:type="dxa"/>
            <w:tcBorders>
              <w:top w:val="nil"/>
              <w:left w:val="nil"/>
              <w:bottom w:val="single" w:sz="4" w:space="0" w:color="auto"/>
              <w:right w:val="nil"/>
            </w:tcBorders>
            <w:shd w:val="clear" w:color="000000" w:fill="D9D9D9"/>
            <w:noWrap/>
            <w:vAlign w:val="bottom"/>
            <w:hideMark/>
          </w:tcPr>
          <w:p w14:paraId="585E1226" w14:textId="77777777" w:rsidR="00AB6753" w:rsidRDefault="00AB6753" w:rsidP="002D1EA4">
            <w:pPr>
              <w:spacing w:after="0"/>
              <w:jc w:val="right"/>
              <w:rPr>
                <w:rFonts w:cs="Arial"/>
                <w:b/>
                <w:bCs/>
                <w:sz w:val="18"/>
                <w:szCs w:val="18"/>
              </w:rPr>
            </w:pPr>
            <w:r>
              <w:rPr>
                <w:rFonts w:cs="Arial"/>
                <w:b/>
                <w:bCs/>
                <w:sz w:val="18"/>
                <w:szCs w:val="18"/>
              </w:rPr>
              <w:t>983</w:t>
            </w:r>
          </w:p>
        </w:tc>
        <w:tc>
          <w:tcPr>
            <w:tcW w:w="1665" w:type="dxa"/>
            <w:tcBorders>
              <w:top w:val="nil"/>
              <w:left w:val="nil"/>
              <w:bottom w:val="single" w:sz="4" w:space="0" w:color="auto"/>
              <w:right w:val="nil"/>
            </w:tcBorders>
            <w:shd w:val="clear" w:color="000000" w:fill="D9D9D9"/>
            <w:noWrap/>
            <w:vAlign w:val="bottom"/>
            <w:hideMark/>
          </w:tcPr>
          <w:p w14:paraId="2BEB1426" w14:textId="77777777" w:rsidR="00AB6753" w:rsidRDefault="00AB6753" w:rsidP="002D1EA4">
            <w:pPr>
              <w:spacing w:after="0"/>
              <w:jc w:val="right"/>
              <w:rPr>
                <w:rFonts w:cs="Arial"/>
                <w:sz w:val="18"/>
                <w:szCs w:val="18"/>
              </w:rPr>
            </w:pPr>
            <w:r>
              <w:rPr>
                <w:rFonts w:cs="Arial"/>
                <w:sz w:val="18"/>
                <w:szCs w:val="18"/>
              </w:rPr>
              <w:t>1,559</w:t>
            </w:r>
          </w:p>
        </w:tc>
      </w:tr>
    </w:tbl>
    <w:p w14:paraId="21FE169D" w14:textId="77777777" w:rsidR="00AB6753" w:rsidRPr="00DA58A6" w:rsidRDefault="00AB6753" w:rsidP="00AB6753">
      <w:pPr>
        <w:pStyle w:val="GreyShadeTableBreak"/>
        <w:ind w:right="-1" w:firstLine="142"/>
        <w:rPr>
          <w:rFonts w:ascii="Arial" w:hAnsi="Arial" w:cs="Arial"/>
          <w:sz w:val="18"/>
          <w:szCs w:val="18"/>
        </w:rPr>
      </w:pPr>
    </w:p>
    <w:p w14:paraId="2BB64BD8" w14:textId="77777777" w:rsidR="00AB6753" w:rsidRPr="00DA58A6" w:rsidRDefault="00AB6753" w:rsidP="00AB6753">
      <w:pPr>
        <w:pStyle w:val="GreyShadeTableBreak"/>
        <w:numPr>
          <w:ilvl w:val="0"/>
          <w:numId w:val="50"/>
        </w:numPr>
        <w:ind w:left="142" w:right="-1" w:hanging="142"/>
        <w:rPr>
          <w:rFonts w:ascii="Arial" w:hAnsi="Arial" w:cs="Arial"/>
          <w:sz w:val="18"/>
          <w:szCs w:val="18"/>
        </w:rPr>
      </w:pPr>
      <w:r w:rsidRPr="00DA58A6">
        <w:rPr>
          <w:rFonts w:ascii="Arial" w:hAnsi="Arial" w:cs="Arial"/>
          <w:sz w:val="18"/>
          <w:szCs w:val="18"/>
        </w:rPr>
        <w:t>Amounts credited to the special account as a direct budget appropriation adjustment are not disclosed in Note 5.1C Special Appropriations applied.</w:t>
      </w:r>
    </w:p>
    <w:p w14:paraId="0B8869E6" w14:textId="77777777" w:rsidR="00AB6753" w:rsidRPr="00DA58A6" w:rsidRDefault="00AB6753" w:rsidP="00AB6753">
      <w:pPr>
        <w:pStyle w:val="GreyShadeTableBreak"/>
        <w:numPr>
          <w:ilvl w:val="0"/>
          <w:numId w:val="50"/>
        </w:numPr>
        <w:ind w:left="142" w:right="-1" w:hanging="142"/>
        <w:rPr>
          <w:rFonts w:ascii="Arial" w:hAnsi="Arial" w:cs="Arial"/>
          <w:sz w:val="18"/>
          <w:szCs w:val="18"/>
        </w:rPr>
      </w:pPr>
      <w:r w:rsidRPr="00DA58A6">
        <w:rPr>
          <w:rFonts w:ascii="Arial" w:hAnsi="Arial" w:cs="Arial"/>
          <w:sz w:val="18"/>
          <w:szCs w:val="18"/>
        </w:rPr>
        <w:t xml:space="preserve">The department made a voluntary accounting policy change in accordance with AASB 108.29 in relation to the presentation of the annual credit to the Social and Community Services </w:t>
      </w:r>
      <w:r>
        <w:rPr>
          <w:rFonts w:ascii="Arial" w:hAnsi="Arial" w:cs="Arial"/>
          <w:sz w:val="18"/>
          <w:szCs w:val="18"/>
        </w:rPr>
        <w:br/>
      </w:r>
      <w:r w:rsidRPr="00DA58A6">
        <w:rPr>
          <w:rFonts w:ascii="Arial" w:hAnsi="Arial" w:cs="Arial"/>
          <w:sz w:val="18"/>
          <w:szCs w:val="18"/>
        </w:rPr>
        <w:t>Pay Equity Special Account with the annual credit disclosed separately from other special appropriations. The change is applied retrospectively.</w:t>
      </w:r>
    </w:p>
    <w:p w14:paraId="0B535A86" w14:textId="77777777" w:rsidR="00AB6753" w:rsidRPr="00DA58A6" w:rsidRDefault="00AB6753" w:rsidP="00AB6753">
      <w:pPr>
        <w:pStyle w:val="GreyShadeTableBreak"/>
        <w:numPr>
          <w:ilvl w:val="0"/>
          <w:numId w:val="50"/>
        </w:numPr>
        <w:ind w:left="142" w:right="-1" w:hanging="142"/>
        <w:rPr>
          <w:rFonts w:ascii="Arial" w:hAnsi="Arial" w:cs="Arial"/>
          <w:sz w:val="18"/>
          <w:szCs w:val="18"/>
        </w:rPr>
      </w:pPr>
      <w:r w:rsidRPr="00DA58A6">
        <w:rPr>
          <w:rFonts w:ascii="Arial" w:hAnsi="Arial" w:cs="Arial"/>
          <w:sz w:val="18"/>
          <w:szCs w:val="18"/>
        </w:rPr>
        <w:t>The total balance carried to the next period is represented by cash held in the Official Public Account.</w:t>
      </w:r>
    </w:p>
    <w:p w14:paraId="17C4827A" w14:textId="77777777" w:rsidR="00AB6753" w:rsidRPr="00DA58A6" w:rsidRDefault="00AB6753" w:rsidP="00AB6753">
      <w:pPr>
        <w:spacing w:line="240" w:lineRule="auto"/>
        <w:rPr>
          <w:rFonts w:cs="Arial"/>
          <w:sz w:val="20"/>
          <w:szCs w:val="20"/>
        </w:rPr>
      </w:pPr>
      <w:r w:rsidRPr="00DA58A6">
        <w:rPr>
          <w:rFonts w:cs="Arial"/>
          <w:sz w:val="20"/>
          <w:szCs w:val="20"/>
        </w:rPr>
        <w:br w:type="page"/>
      </w:r>
    </w:p>
    <w:p w14:paraId="68CE33D9" w14:textId="77777777" w:rsidR="00AB6753" w:rsidRPr="00163047" w:rsidRDefault="00AB6753" w:rsidP="00AB6753">
      <w:pPr>
        <w:pStyle w:val="SubHeading"/>
        <w:shd w:val="clear" w:color="auto" w:fill="D9D9D9" w:themeFill="background1" w:themeFillShade="D9"/>
        <w:rPr>
          <w:sz w:val="20"/>
        </w:rPr>
      </w:pPr>
      <w:bookmarkStart w:id="197" w:name="_Toc45748819"/>
      <w:r>
        <w:rPr>
          <w:sz w:val="20"/>
        </w:rPr>
        <w:lastRenderedPageBreak/>
        <w:t xml:space="preserve">5.2 </w:t>
      </w:r>
      <w:r w:rsidRPr="00163047">
        <w:rPr>
          <w:sz w:val="20"/>
        </w:rPr>
        <w:t>Administered Special Accounts (continued)</w:t>
      </w:r>
      <w:bookmarkEnd w:id="197"/>
    </w:p>
    <w:p w14:paraId="49A7E825" w14:textId="77777777" w:rsidR="00AB6753" w:rsidRDefault="00AB6753" w:rsidP="00AB6753">
      <w:pPr>
        <w:shd w:val="clear" w:color="auto" w:fill="D9D9D9" w:themeFill="background1" w:themeFillShade="D9"/>
        <w:spacing w:after="0"/>
      </w:pPr>
    </w:p>
    <w:p w14:paraId="4981A4E3" w14:textId="77777777" w:rsidR="00AB6753" w:rsidRPr="008864E0" w:rsidRDefault="00AB6753" w:rsidP="00AB6753">
      <w:pPr>
        <w:pStyle w:val="NotesText0"/>
        <w:numPr>
          <w:ilvl w:val="0"/>
          <w:numId w:val="50"/>
        </w:numPr>
        <w:shd w:val="clear" w:color="auto" w:fill="D9D9D9" w:themeFill="background1" w:themeFillShade="D9"/>
        <w:spacing w:before="0"/>
        <w:ind w:left="142" w:hanging="142"/>
        <w:rPr>
          <w:rFonts w:cs="Arial"/>
          <w:b/>
          <w:bCs/>
          <w:szCs w:val="18"/>
        </w:rPr>
      </w:pPr>
      <w:r w:rsidRPr="008864E0">
        <w:rPr>
          <w:rFonts w:cs="Arial"/>
          <w:b/>
          <w:bCs/>
          <w:szCs w:val="18"/>
        </w:rPr>
        <w:t>Social and Community Services Pay Equity Special Account</w:t>
      </w:r>
    </w:p>
    <w:p w14:paraId="0D9F8351" w14:textId="63493B1D" w:rsidR="00AB6753" w:rsidRPr="0091103D" w:rsidRDefault="00E6440A" w:rsidP="00E6440A">
      <w:pPr>
        <w:pStyle w:val="NotesText0"/>
        <w:shd w:val="clear" w:color="auto" w:fill="D9D9D9" w:themeFill="background1" w:themeFillShade="D9"/>
        <w:tabs>
          <w:tab w:val="left" w:pos="284"/>
        </w:tabs>
        <w:spacing w:before="0"/>
        <w:ind w:left="1418" w:hanging="1418"/>
        <w:rPr>
          <w:i/>
        </w:rPr>
      </w:pPr>
      <w:r>
        <w:tab/>
      </w:r>
      <w:r w:rsidR="00AB6753" w:rsidRPr="0091103D">
        <w:t xml:space="preserve">Appropriation: </w:t>
      </w:r>
      <w:r w:rsidR="00AB6753" w:rsidRPr="0091103D">
        <w:rPr>
          <w:i/>
        </w:rPr>
        <w:t>Public Governance, Performance and Accountability Act 2013; section 80</w:t>
      </w:r>
      <w:r w:rsidR="00AB6753" w:rsidRPr="0091103D">
        <w:rPr>
          <w:i/>
        </w:rPr>
        <w:tab/>
      </w:r>
    </w:p>
    <w:p w14:paraId="3B7D6EA7" w14:textId="50EF1140" w:rsidR="00AB6753" w:rsidRPr="0091103D" w:rsidRDefault="00E6440A" w:rsidP="00E6440A">
      <w:pPr>
        <w:pStyle w:val="NotesText0"/>
        <w:shd w:val="clear" w:color="auto" w:fill="D9D9D9" w:themeFill="background1" w:themeFillShade="D9"/>
        <w:tabs>
          <w:tab w:val="left" w:pos="284"/>
        </w:tabs>
        <w:spacing w:before="0"/>
        <w:rPr>
          <w:i/>
        </w:rPr>
      </w:pPr>
      <w:r>
        <w:tab/>
      </w:r>
      <w:r w:rsidR="00AB6753" w:rsidRPr="0091103D">
        <w:t xml:space="preserve">Establishing Instrument: </w:t>
      </w:r>
      <w:r w:rsidR="00AB6753" w:rsidRPr="0091103D">
        <w:rPr>
          <w:i/>
        </w:rPr>
        <w:t>Social and Community Services Pay Equity Special Account Act 2012; section 5</w:t>
      </w:r>
    </w:p>
    <w:p w14:paraId="560AC74C" w14:textId="7DAA0277" w:rsidR="00AB6753" w:rsidRPr="0091103D" w:rsidRDefault="00E6440A" w:rsidP="00E6440A">
      <w:pPr>
        <w:pStyle w:val="NotesText0"/>
        <w:shd w:val="clear" w:color="auto" w:fill="D9D9D9" w:themeFill="background1" w:themeFillShade="D9"/>
        <w:tabs>
          <w:tab w:val="left" w:pos="284"/>
        </w:tabs>
        <w:spacing w:before="0"/>
        <w:ind w:left="284" w:hanging="284"/>
        <w:mirrorIndents/>
      </w:pPr>
      <w:r>
        <w:tab/>
      </w:r>
      <w:r w:rsidR="00AB6753" w:rsidRPr="0091103D">
        <w:t>Purpose: To distribute the Commonwealth's contribution of its share of the equal remuneration order pay increases for social and community service sector workers in</w:t>
      </w:r>
      <w:r>
        <w:br/>
      </w:r>
      <w:r w:rsidR="00AB6753">
        <w:t>C</w:t>
      </w:r>
      <w:r>
        <w:t>ommonwealth-</w:t>
      </w:r>
      <w:r w:rsidR="00AB6753" w:rsidRPr="0091103D">
        <w:t>funded programs.</w:t>
      </w:r>
    </w:p>
    <w:p w14:paraId="768C8526" w14:textId="72978054" w:rsidR="00AB6753" w:rsidRPr="0091103D" w:rsidRDefault="00E6440A" w:rsidP="00E6440A">
      <w:pPr>
        <w:pStyle w:val="NotesText0"/>
        <w:shd w:val="clear" w:color="auto" w:fill="D9D9D9" w:themeFill="background1" w:themeFillShade="D9"/>
        <w:tabs>
          <w:tab w:val="left" w:pos="284"/>
        </w:tabs>
        <w:spacing w:before="0"/>
        <w:ind w:left="142" w:hanging="142"/>
        <w:rPr>
          <w:i/>
        </w:rPr>
      </w:pPr>
      <w:r>
        <w:tab/>
      </w:r>
      <w:r>
        <w:tab/>
      </w:r>
      <w:r w:rsidR="00AB6753" w:rsidRPr="0091103D">
        <w:t xml:space="preserve">This account was established on 8 November 2012 in accordance with the </w:t>
      </w:r>
      <w:r w:rsidR="00AB6753" w:rsidRPr="0091103D">
        <w:rPr>
          <w:i/>
        </w:rPr>
        <w:t>Social and Community Services Pay Equity Special Account Act 2012.</w:t>
      </w:r>
    </w:p>
    <w:p w14:paraId="07DCFB25" w14:textId="6E1AC25F" w:rsidR="00AB6753" w:rsidRPr="0091103D" w:rsidRDefault="00E6440A" w:rsidP="00E6440A">
      <w:pPr>
        <w:pStyle w:val="NotesText0"/>
        <w:shd w:val="clear" w:color="auto" w:fill="D9D9D9" w:themeFill="background1" w:themeFillShade="D9"/>
        <w:tabs>
          <w:tab w:val="left" w:pos="284"/>
        </w:tabs>
        <w:spacing w:before="0" w:after="0"/>
        <w:ind w:left="142" w:hanging="142"/>
      </w:pPr>
      <w:r>
        <w:tab/>
      </w:r>
      <w:r>
        <w:tab/>
      </w:r>
      <w:r w:rsidR="00AB6753" w:rsidRPr="0091103D">
        <w:t>This account is non-interest bearing and the balance is held in the Official Public Account.</w:t>
      </w:r>
    </w:p>
    <w:p w14:paraId="439B6321" w14:textId="77777777" w:rsidR="00AB6753" w:rsidRPr="0091103D" w:rsidRDefault="00AB6753" w:rsidP="00AB6753">
      <w:pPr>
        <w:pStyle w:val="NotesText0"/>
        <w:shd w:val="clear" w:color="auto" w:fill="D9D9D9" w:themeFill="background1" w:themeFillShade="D9"/>
        <w:spacing w:before="0" w:after="0"/>
        <w:ind w:left="142" w:hanging="142"/>
      </w:pPr>
    </w:p>
    <w:p w14:paraId="3B36B4AB" w14:textId="77777777" w:rsidR="00AB6753" w:rsidRPr="0091103D" w:rsidRDefault="00AB6753" w:rsidP="00AB6753">
      <w:pPr>
        <w:pStyle w:val="NotesText0"/>
        <w:numPr>
          <w:ilvl w:val="0"/>
          <w:numId w:val="50"/>
        </w:numPr>
        <w:shd w:val="clear" w:color="auto" w:fill="D9D9D9" w:themeFill="background1" w:themeFillShade="D9"/>
        <w:spacing w:before="0"/>
        <w:ind w:left="142" w:hanging="142"/>
        <w:rPr>
          <w:rFonts w:cs="Arial"/>
          <w:b/>
          <w:bCs/>
          <w:szCs w:val="18"/>
        </w:rPr>
      </w:pPr>
      <w:r w:rsidRPr="0091103D">
        <w:rPr>
          <w:rFonts w:cs="Arial"/>
          <w:b/>
          <w:bCs/>
          <w:szCs w:val="18"/>
        </w:rPr>
        <w:t>Services for Other Entities and Trust Moneys Special Account</w:t>
      </w:r>
    </w:p>
    <w:p w14:paraId="3CBDC921" w14:textId="220B636A" w:rsidR="00AB6753" w:rsidRPr="0091103D" w:rsidRDefault="00E6440A" w:rsidP="00E6440A">
      <w:pPr>
        <w:pStyle w:val="NotesText0"/>
        <w:shd w:val="clear" w:color="auto" w:fill="D9D9D9" w:themeFill="background1" w:themeFillShade="D9"/>
        <w:tabs>
          <w:tab w:val="left" w:pos="284"/>
        </w:tabs>
        <w:spacing w:before="0"/>
        <w:rPr>
          <w:i/>
        </w:rPr>
      </w:pPr>
      <w:r>
        <w:tab/>
      </w:r>
      <w:r w:rsidR="00AB6753" w:rsidRPr="0091103D">
        <w:t xml:space="preserve">Appropriation: </w:t>
      </w:r>
      <w:r w:rsidR="00AB6753" w:rsidRPr="0091103D">
        <w:rPr>
          <w:i/>
        </w:rPr>
        <w:t>Public Governance, Performance and Accountability Act 2013; section 78</w:t>
      </w:r>
    </w:p>
    <w:p w14:paraId="57D9DBFE" w14:textId="19784D18" w:rsidR="00AB6753" w:rsidRPr="0091103D" w:rsidRDefault="00E6440A" w:rsidP="00E6440A">
      <w:pPr>
        <w:pStyle w:val="NotesText0"/>
        <w:shd w:val="clear" w:color="auto" w:fill="D9D9D9" w:themeFill="background1" w:themeFillShade="D9"/>
        <w:tabs>
          <w:tab w:val="left" w:pos="284"/>
        </w:tabs>
        <w:spacing w:before="0"/>
        <w:rPr>
          <w:i/>
        </w:rPr>
      </w:pPr>
      <w:r>
        <w:tab/>
      </w:r>
      <w:r w:rsidR="00AB6753">
        <w:t xml:space="preserve">Establishing Instrument: </w:t>
      </w:r>
      <w:r w:rsidR="00AB6753" w:rsidRPr="0091103D">
        <w:rPr>
          <w:i/>
        </w:rPr>
        <w:t>Financial Management and Accountability Determination 2010/14</w:t>
      </w:r>
    </w:p>
    <w:p w14:paraId="5BD9736B" w14:textId="5D82704A" w:rsidR="00AB6753" w:rsidRPr="0091103D" w:rsidRDefault="00E6440A" w:rsidP="00E6440A">
      <w:pPr>
        <w:pStyle w:val="NotesText0"/>
        <w:shd w:val="clear" w:color="auto" w:fill="D9D9D9" w:themeFill="background1" w:themeFillShade="D9"/>
        <w:tabs>
          <w:tab w:val="left" w:pos="284"/>
        </w:tabs>
        <w:spacing w:before="0"/>
        <w:ind w:left="284" w:hanging="284"/>
      </w:pPr>
      <w:r>
        <w:tab/>
      </w:r>
      <w:r w:rsidR="00AB6753" w:rsidRPr="0091103D">
        <w:t>Purpose: For the disbursement of amounts held on trust or otherwise for the benefit of a person other than the Commonwealth and for services relating to other governments and bodies that are not PGPA Act Agencies.</w:t>
      </w:r>
    </w:p>
    <w:p w14:paraId="402DA909" w14:textId="43A652F0" w:rsidR="00AB6753" w:rsidRPr="0091103D" w:rsidRDefault="00E6440A" w:rsidP="00E6440A">
      <w:pPr>
        <w:pStyle w:val="NotesText0"/>
        <w:shd w:val="clear" w:color="auto" w:fill="D9D9D9" w:themeFill="background1" w:themeFillShade="D9"/>
        <w:tabs>
          <w:tab w:val="left" w:pos="284"/>
        </w:tabs>
        <w:spacing w:before="0"/>
      </w:pPr>
      <w:r>
        <w:tab/>
      </w:r>
      <w:r w:rsidR="00AB6753" w:rsidRPr="0091103D">
        <w:t>This account is non-interest bearing and the balance is held in the Official Public Account.</w:t>
      </w:r>
    </w:p>
    <w:p w14:paraId="32BA9DF4" w14:textId="00D29FDF" w:rsidR="00AB6753" w:rsidRDefault="00E6440A" w:rsidP="00E6440A">
      <w:pPr>
        <w:pStyle w:val="NotesText0"/>
        <w:shd w:val="clear" w:color="auto" w:fill="D9D9D9" w:themeFill="background1" w:themeFillShade="D9"/>
        <w:tabs>
          <w:tab w:val="left" w:pos="284"/>
        </w:tabs>
        <w:spacing w:before="0"/>
      </w:pPr>
      <w:r>
        <w:tab/>
      </w:r>
      <w:r w:rsidR="00AB6753" w:rsidRPr="0091103D">
        <w:t>This Special Account consists of the following sub-accounts:</w:t>
      </w:r>
    </w:p>
    <w:p w14:paraId="2B4BD74C" w14:textId="59DE8901" w:rsidR="000177A0" w:rsidRDefault="000177A0" w:rsidP="000177A0">
      <w:pPr>
        <w:pStyle w:val="NotesText0"/>
        <w:shd w:val="clear" w:color="auto" w:fill="D9D9D9" w:themeFill="background1" w:themeFillShade="D9"/>
        <w:tabs>
          <w:tab w:val="left" w:pos="1134"/>
        </w:tabs>
        <w:spacing w:before="0"/>
      </w:pPr>
      <w:r>
        <w:tab/>
      </w:r>
      <w:r>
        <w:sym w:font="Wingdings" w:char="F09F"/>
      </w:r>
      <w:r>
        <w:t xml:space="preserve"> National Framework</w:t>
      </w:r>
    </w:p>
    <w:p w14:paraId="44BE4C22" w14:textId="10AABE3D" w:rsidR="000177A0" w:rsidRDefault="000177A0" w:rsidP="000177A0">
      <w:pPr>
        <w:pStyle w:val="NotesText0"/>
        <w:shd w:val="clear" w:color="auto" w:fill="D9D9D9" w:themeFill="background1" w:themeFillShade="D9"/>
        <w:tabs>
          <w:tab w:val="left" w:pos="1134"/>
        </w:tabs>
        <w:spacing w:before="0"/>
      </w:pPr>
      <w:r>
        <w:tab/>
      </w:r>
      <w:r>
        <w:sym w:font="Wingdings" w:char="F09F"/>
      </w:r>
      <w:r>
        <w:t xml:space="preserve"> </w:t>
      </w:r>
      <w:r w:rsidRPr="0091103D">
        <w:t>National Campaign - Violence Against Women</w:t>
      </w:r>
    </w:p>
    <w:p w14:paraId="1ACA20CF" w14:textId="3E8A575F" w:rsidR="000177A0" w:rsidRPr="0091103D" w:rsidRDefault="000177A0" w:rsidP="000177A0">
      <w:pPr>
        <w:pStyle w:val="NotesText0"/>
        <w:shd w:val="clear" w:color="auto" w:fill="D9D9D9" w:themeFill="background1" w:themeFillShade="D9"/>
        <w:tabs>
          <w:tab w:val="left" w:pos="1134"/>
        </w:tabs>
        <w:spacing w:before="0"/>
      </w:pPr>
      <w:r>
        <w:tab/>
      </w:r>
      <w:r>
        <w:sym w:font="Wingdings" w:char="F09F"/>
      </w:r>
      <w:r>
        <w:t xml:space="preserve"> </w:t>
      </w:r>
      <w:r w:rsidRPr="0091103D">
        <w:t>National Centre of Excellence</w:t>
      </w:r>
    </w:p>
    <w:p w14:paraId="69FFB9A0" w14:textId="77777777" w:rsidR="00AB6753" w:rsidRPr="0091103D" w:rsidRDefault="00AB6753" w:rsidP="00AB6753">
      <w:pPr>
        <w:pStyle w:val="NotesText0"/>
        <w:numPr>
          <w:ilvl w:val="0"/>
          <w:numId w:val="50"/>
        </w:numPr>
        <w:shd w:val="clear" w:color="auto" w:fill="D9D9D9" w:themeFill="background1" w:themeFillShade="D9"/>
        <w:spacing w:before="0"/>
        <w:ind w:left="142" w:hanging="142"/>
        <w:rPr>
          <w:rFonts w:cs="Arial"/>
          <w:b/>
          <w:bCs/>
          <w:szCs w:val="18"/>
        </w:rPr>
      </w:pPr>
      <w:r w:rsidRPr="0091103D">
        <w:rPr>
          <w:rFonts w:cs="Arial"/>
          <w:b/>
          <w:bCs/>
          <w:szCs w:val="18"/>
        </w:rPr>
        <w:t>National Disability Research Special Account 2016</w:t>
      </w:r>
    </w:p>
    <w:p w14:paraId="12812F08" w14:textId="48438AC3" w:rsidR="00AB6753" w:rsidRPr="0091103D" w:rsidRDefault="000177A0" w:rsidP="000177A0">
      <w:pPr>
        <w:pStyle w:val="NotesText0"/>
        <w:shd w:val="clear" w:color="auto" w:fill="D9D9D9" w:themeFill="background1" w:themeFillShade="D9"/>
        <w:tabs>
          <w:tab w:val="left" w:pos="284"/>
        </w:tabs>
        <w:spacing w:before="0"/>
        <w:rPr>
          <w:i/>
        </w:rPr>
      </w:pPr>
      <w:r>
        <w:tab/>
      </w:r>
      <w:r w:rsidR="00AB6753" w:rsidRPr="0091103D">
        <w:t xml:space="preserve">Appropriation: </w:t>
      </w:r>
      <w:r w:rsidR="00AB6753" w:rsidRPr="0091103D">
        <w:rPr>
          <w:i/>
        </w:rPr>
        <w:t>Public Governance, Performance and Accountability Act 2013; section 78</w:t>
      </w:r>
    </w:p>
    <w:p w14:paraId="00F5FBB5" w14:textId="334E6390" w:rsidR="00AB6753" w:rsidRPr="0091103D" w:rsidRDefault="000177A0" w:rsidP="000177A0">
      <w:pPr>
        <w:pStyle w:val="NotesText0"/>
        <w:shd w:val="clear" w:color="auto" w:fill="D9D9D9" w:themeFill="background1" w:themeFillShade="D9"/>
        <w:tabs>
          <w:tab w:val="left" w:pos="284"/>
        </w:tabs>
        <w:spacing w:before="0"/>
        <w:ind w:left="142" w:hanging="142"/>
        <w:rPr>
          <w:i/>
        </w:rPr>
      </w:pPr>
      <w:r>
        <w:tab/>
      </w:r>
      <w:r>
        <w:tab/>
      </w:r>
      <w:r w:rsidR="00AB6753" w:rsidRPr="0091103D">
        <w:t xml:space="preserve">Establishing Instrument: </w:t>
      </w:r>
      <w:r w:rsidR="00AB6753" w:rsidRPr="0091103D">
        <w:rPr>
          <w:i/>
        </w:rPr>
        <w:t>PGPA Act Determination (National Disability Research Special Account 2016) – Establishment</w:t>
      </w:r>
    </w:p>
    <w:p w14:paraId="77C61243" w14:textId="5CDD9F40" w:rsidR="00AB6753" w:rsidRPr="00FF2BE6" w:rsidRDefault="000177A0" w:rsidP="000177A0">
      <w:pPr>
        <w:pStyle w:val="NotesText0"/>
        <w:shd w:val="clear" w:color="auto" w:fill="D9D9D9" w:themeFill="background1" w:themeFillShade="D9"/>
        <w:tabs>
          <w:tab w:val="left" w:pos="284"/>
        </w:tabs>
        <w:spacing w:before="0"/>
        <w:rPr>
          <w:rFonts w:cs="Arial"/>
          <w:szCs w:val="18"/>
        </w:rPr>
      </w:pPr>
      <w:r>
        <w:tab/>
      </w:r>
      <w:r w:rsidR="00AB6753" w:rsidRPr="0091103D">
        <w:t xml:space="preserve">Purpose: </w:t>
      </w:r>
      <w:r w:rsidR="00AB6753" w:rsidRPr="00FF2BE6">
        <w:rPr>
          <w:rFonts w:cs="Arial"/>
          <w:szCs w:val="18"/>
        </w:rPr>
        <w:t>For expenditure on projects that relate to the National Disability Research Special Account 2016.</w:t>
      </w:r>
    </w:p>
    <w:p w14:paraId="04B7876F" w14:textId="5E01F818" w:rsidR="00AB6753" w:rsidRDefault="000177A0" w:rsidP="000177A0">
      <w:pPr>
        <w:pStyle w:val="NotesText0"/>
        <w:shd w:val="clear" w:color="auto" w:fill="D9D9D9" w:themeFill="background1" w:themeFillShade="D9"/>
        <w:tabs>
          <w:tab w:val="left" w:pos="284"/>
        </w:tabs>
        <w:spacing w:before="0"/>
        <w:ind w:left="284" w:hanging="284"/>
        <w:sectPr w:rsidR="00AB6753" w:rsidSect="00AF24E8">
          <w:pgSz w:w="16838" w:h="11906" w:orient="landscape" w:code="9"/>
          <w:pgMar w:top="1276" w:right="962" w:bottom="1418" w:left="993" w:header="958" w:footer="737" w:gutter="0"/>
          <w:cols w:space="708"/>
          <w:docGrid w:linePitch="360"/>
        </w:sectPr>
      </w:pPr>
      <w:r>
        <w:tab/>
      </w:r>
      <w:r w:rsidR="00AB6753" w:rsidRPr="00FF2BE6">
        <w:t xml:space="preserve">The National Disability Research Special Account was established on 23 August 2016. It replaced the National Disability Special Account which ceased on 1 October 2016. This </w:t>
      </w:r>
      <w:r w:rsidR="00AB6753">
        <w:br/>
      </w:r>
      <w:r w:rsidR="00AB6753" w:rsidRPr="00FF2BE6">
        <w:t>account is non-interest bearing and the balance is held in the Official Public Account.</w:t>
      </w:r>
    </w:p>
    <w:p w14:paraId="0FD36C58" w14:textId="77777777" w:rsidR="00AB6753" w:rsidRPr="00163047" w:rsidRDefault="00AB6753" w:rsidP="00AB6753">
      <w:pPr>
        <w:pStyle w:val="SubHeading"/>
        <w:numPr>
          <w:ilvl w:val="1"/>
          <w:numId w:val="60"/>
        </w:numPr>
        <w:rPr>
          <w:sz w:val="20"/>
        </w:rPr>
      </w:pPr>
      <w:bookmarkStart w:id="198" w:name="_Toc45748820"/>
      <w:r w:rsidRPr="00163047">
        <w:rPr>
          <w:sz w:val="20"/>
        </w:rPr>
        <w:lastRenderedPageBreak/>
        <w:t>Net Cash Appropriation Arrangements</w:t>
      </w:r>
      <w:bookmarkEnd w:id="198"/>
    </w:p>
    <w:tbl>
      <w:tblPr>
        <w:tblW w:w="9411" w:type="dxa"/>
        <w:tblInd w:w="80" w:type="dxa"/>
        <w:tblLayout w:type="fixed"/>
        <w:tblLook w:val="04A0" w:firstRow="1" w:lastRow="0" w:firstColumn="1" w:lastColumn="0" w:noHBand="0" w:noVBand="1"/>
        <w:tblCaption w:val="Notes to and forming part of the financial statements"/>
        <w:tblDescription w:val="Net cash appropriation arrangements"/>
      </w:tblPr>
      <w:tblGrid>
        <w:gridCol w:w="6684"/>
        <w:gridCol w:w="1247"/>
        <w:gridCol w:w="239"/>
        <w:gridCol w:w="1241"/>
      </w:tblGrid>
      <w:tr w:rsidR="00AB6753" w14:paraId="24FD5E62" w14:textId="77777777" w:rsidTr="002D1EA4">
        <w:trPr>
          <w:trHeight w:val="240"/>
        </w:trPr>
        <w:tc>
          <w:tcPr>
            <w:tcW w:w="6610" w:type="dxa"/>
            <w:tcBorders>
              <w:top w:val="nil"/>
              <w:left w:val="nil"/>
              <w:bottom w:val="nil"/>
              <w:right w:val="nil"/>
            </w:tcBorders>
            <w:shd w:val="clear" w:color="FFFFFF" w:fill="FFFFFF"/>
            <w:noWrap/>
            <w:vAlign w:val="bottom"/>
            <w:hideMark/>
          </w:tcPr>
          <w:p w14:paraId="3CF0163B" w14:textId="77777777" w:rsidR="00AB6753" w:rsidRDefault="00AB6753" w:rsidP="002D1EA4">
            <w:pPr>
              <w:spacing w:after="0"/>
              <w:rPr>
                <w:rFonts w:cs="Arial"/>
                <w:sz w:val="18"/>
                <w:szCs w:val="18"/>
              </w:rPr>
            </w:pPr>
            <w:bookmarkStart w:id="199" w:name="Note_NCATABLE1" w:colFirst="0" w:colLast="0"/>
            <w:r>
              <w:rPr>
                <w:rFonts w:cs="Arial"/>
                <w:sz w:val="18"/>
                <w:szCs w:val="18"/>
              </w:rPr>
              <w:t> </w:t>
            </w:r>
          </w:p>
        </w:tc>
        <w:tc>
          <w:tcPr>
            <w:tcW w:w="1233" w:type="dxa"/>
            <w:tcBorders>
              <w:top w:val="nil"/>
              <w:left w:val="nil"/>
              <w:bottom w:val="nil"/>
              <w:right w:val="nil"/>
            </w:tcBorders>
            <w:shd w:val="clear" w:color="FFFFFF" w:fill="FFFFFF"/>
            <w:vAlign w:val="bottom"/>
            <w:hideMark/>
          </w:tcPr>
          <w:p w14:paraId="619199FE" w14:textId="77777777" w:rsidR="00AB6753" w:rsidRDefault="00AB6753" w:rsidP="002D1EA4">
            <w:pPr>
              <w:spacing w:after="0"/>
              <w:jc w:val="right"/>
              <w:rPr>
                <w:rFonts w:cs="Arial"/>
                <w:b/>
                <w:bCs/>
                <w:sz w:val="18"/>
                <w:szCs w:val="18"/>
              </w:rPr>
            </w:pPr>
            <w:r>
              <w:rPr>
                <w:rFonts w:cs="Arial"/>
                <w:b/>
                <w:bCs/>
                <w:sz w:val="18"/>
                <w:szCs w:val="18"/>
              </w:rPr>
              <w:t>2020</w:t>
            </w:r>
          </w:p>
        </w:tc>
        <w:tc>
          <w:tcPr>
            <w:tcW w:w="236" w:type="dxa"/>
            <w:tcBorders>
              <w:top w:val="nil"/>
              <w:left w:val="nil"/>
              <w:bottom w:val="nil"/>
              <w:right w:val="nil"/>
            </w:tcBorders>
            <w:shd w:val="clear" w:color="FFFFFF" w:fill="FFFFFF"/>
            <w:noWrap/>
            <w:vAlign w:val="bottom"/>
            <w:hideMark/>
          </w:tcPr>
          <w:p w14:paraId="29CD86D5" w14:textId="77777777" w:rsidR="00AB6753" w:rsidRDefault="00AB6753" w:rsidP="002D1EA4">
            <w:pPr>
              <w:spacing w:after="0"/>
              <w:rPr>
                <w:rFonts w:cs="Arial"/>
                <w:sz w:val="18"/>
                <w:szCs w:val="18"/>
              </w:rPr>
            </w:pPr>
            <w:r>
              <w:rPr>
                <w:rFonts w:cs="Arial"/>
                <w:sz w:val="18"/>
                <w:szCs w:val="18"/>
              </w:rPr>
              <w:t> </w:t>
            </w:r>
          </w:p>
        </w:tc>
        <w:tc>
          <w:tcPr>
            <w:tcW w:w="1227" w:type="dxa"/>
            <w:tcBorders>
              <w:top w:val="nil"/>
              <w:left w:val="nil"/>
              <w:bottom w:val="nil"/>
              <w:right w:val="nil"/>
            </w:tcBorders>
            <w:shd w:val="clear" w:color="FFFFFF" w:fill="FFFFFF"/>
            <w:vAlign w:val="bottom"/>
            <w:hideMark/>
          </w:tcPr>
          <w:p w14:paraId="4CBA5FE3" w14:textId="77777777" w:rsidR="00AB6753" w:rsidRDefault="00AB6753" w:rsidP="002D1EA4">
            <w:pPr>
              <w:spacing w:after="0"/>
              <w:jc w:val="right"/>
              <w:rPr>
                <w:rFonts w:cs="Arial"/>
                <w:sz w:val="18"/>
                <w:szCs w:val="18"/>
              </w:rPr>
            </w:pPr>
            <w:r>
              <w:rPr>
                <w:rFonts w:cs="Arial"/>
                <w:sz w:val="18"/>
                <w:szCs w:val="18"/>
              </w:rPr>
              <w:t>2019</w:t>
            </w:r>
          </w:p>
        </w:tc>
      </w:tr>
      <w:bookmarkEnd w:id="199"/>
      <w:tr w:rsidR="00AB6753" w14:paraId="18D420DE" w14:textId="77777777" w:rsidTr="002D1EA4">
        <w:trPr>
          <w:trHeight w:val="240"/>
        </w:trPr>
        <w:tc>
          <w:tcPr>
            <w:tcW w:w="6610" w:type="dxa"/>
            <w:tcBorders>
              <w:top w:val="nil"/>
              <w:left w:val="nil"/>
              <w:bottom w:val="nil"/>
              <w:right w:val="nil"/>
            </w:tcBorders>
            <w:shd w:val="clear" w:color="FFFFFF" w:fill="FFFFFF"/>
            <w:noWrap/>
            <w:vAlign w:val="bottom"/>
            <w:hideMark/>
          </w:tcPr>
          <w:p w14:paraId="271AA40E" w14:textId="77777777" w:rsidR="00AB6753" w:rsidRDefault="00AB6753" w:rsidP="002D1EA4">
            <w:pPr>
              <w:spacing w:after="0"/>
              <w:rPr>
                <w:rFonts w:cs="Arial"/>
                <w:sz w:val="18"/>
                <w:szCs w:val="18"/>
              </w:rPr>
            </w:pPr>
            <w:r>
              <w:rPr>
                <w:rFonts w:cs="Arial"/>
                <w:sz w:val="18"/>
                <w:szCs w:val="18"/>
              </w:rPr>
              <w:t> </w:t>
            </w:r>
          </w:p>
        </w:tc>
        <w:tc>
          <w:tcPr>
            <w:tcW w:w="1233" w:type="dxa"/>
            <w:tcBorders>
              <w:top w:val="nil"/>
              <w:left w:val="nil"/>
              <w:bottom w:val="nil"/>
              <w:right w:val="nil"/>
            </w:tcBorders>
            <w:shd w:val="clear" w:color="FFFFFF" w:fill="FFFFFF"/>
            <w:vAlign w:val="bottom"/>
            <w:hideMark/>
          </w:tcPr>
          <w:p w14:paraId="44146761" w14:textId="77777777" w:rsidR="00AB6753" w:rsidRDefault="00AB6753" w:rsidP="002D1EA4">
            <w:pPr>
              <w:spacing w:after="0"/>
              <w:jc w:val="right"/>
              <w:rPr>
                <w:rFonts w:cs="Arial"/>
                <w:b/>
                <w:bCs/>
                <w:sz w:val="18"/>
                <w:szCs w:val="18"/>
              </w:rPr>
            </w:pPr>
            <w:r>
              <w:rPr>
                <w:rFonts w:cs="Arial"/>
                <w:b/>
                <w:bCs/>
                <w:sz w:val="18"/>
                <w:szCs w:val="18"/>
              </w:rPr>
              <w:t>$'000</w:t>
            </w:r>
          </w:p>
        </w:tc>
        <w:tc>
          <w:tcPr>
            <w:tcW w:w="236" w:type="dxa"/>
            <w:tcBorders>
              <w:top w:val="nil"/>
              <w:left w:val="nil"/>
              <w:bottom w:val="nil"/>
              <w:right w:val="nil"/>
            </w:tcBorders>
            <w:shd w:val="clear" w:color="FFFFFF" w:fill="FFFFFF"/>
            <w:noWrap/>
            <w:vAlign w:val="bottom"/>
            <w:hideMark/>
          </w:tcPr>
          <w:p w14:paraId="5DCEDA37" w14:textId="77777777" w:rsidR="00AB6753" w:rsidRDefault="00AB6753" w:rsidP="002D1EA4">
            <w:pPr>
              <w:spacing w:after="0"/>
              <w:rPr>
                <w:rFonts w:cs="Arial"/>
                <w:sz w:val="18"/>
                <w:szCs w:val="18"/>
              </w:rPr>
            </w:pPr>
            <w:r>
              <w:rPr>
                <w:rFonts w:cs="Arial"/>
                <w:sz w:val="18"/>
                <w:szCs w:val="18"/>
              </w:rPr>
              <w:t> </w:t>
            </w:r>
          </w:p>
        </w:tc>
        <w:tc>
          <w:tcPr>
            <w:tcW w:w="1227" w:type="dxa"/>
            <w:tcBorders>
              <w:top w:val="nil"/>
              <w:left w:val="nil"/>
              <w:bottom w:val="nil"/>
              <w:right w:val="nil"/>
            </w:tcBorders>
            <w:shd w:val="clear" w:color="FFFFFF" w:fill="FFFFFF"/>
            <w:vAlign w:val="bottom"/>
            <w:hideMark/>
          </w:tcPr>
          <w:p w14:paraId="639651FC" w14:textId="77777777" w:rsidR="00AB6753" w:rsidRDefault="00AB6753" w:rsidP="002D1EA4">
            <w:pPr>
              <w:spacing w:after="0"/>
              <w:jc w:val="right"/>
              <w:rPr>
                <w:rFonts w:cs="Arial"/>
                <w:sz w:val="18"/>
                <w:szCs w:val="18"/>
              </w:rPr>
            </w:pPr>
            <w:r>
              <w:rPr>
                <w:rFonts w:cs="Arial"/>
                <w:sz w:val="18"/>
                <w:szCs w:val="18"/>
              </w:rPr>
              <w:t>$'000</w:t>
            </w:r>
          </w:p>
        </w:tc>
      </w:tr>
      <w:tr w:rsidR="00AB6753" w14:paraId="1B6AAE97" w14:textId="77777777" w:rsidTr="002D1EA4">
        <w:trPr>
          <w:trHeight w:val="240"/>
        </w:trPr>
        <w:tc>
          <w:tcPr>
            <w:tcW w:w="6610" w:type="dxa"/>
            <w:tcBorders>
              <w:top w:val="nil"/>
              <w:left w:val="nil"/>
              <w:bottom w:val="nil"/>
              <w:right w:val="nil"/>
            </w:tcBorders>
            <w:shd w:val="clear" w:color="FFFFFF" w:fill="FFFFFF"/>
            <w:noWrap/>
            <w:vAlign w:val="bottom"/>
            <w:hideMark/>
          </w:tcPr>
          <w:p w14:paraId="1CFDA2D7" w14:textId="77777777" w:rsidR="00AB6753" w:rsidRDefault="00AB6753" w:rsidP="002D1EA4">
            <w:pPr>
              <w:spacing w:after="0"/>
              <w:rPr>
                <w:rFonts w:cs="Arial"/>
                <w:sz w:val="18"/>
                <w:szCs w:val="18"/>
              </w:rPr>
            </w:pPr>
            <w:r>
              <w:rPr>
                <w:rFonts w:cs="Arial"/>
                <w:sz w:val="18"/>
                <w:szCs w:val="18"/>
              </w:rPr>
              <w:t> </w:t>
            </w:r>
          </w:p>
        </w:tc>
        <w:tc>
          <w:tcPr>
            <w:tcW w:w="1233" w:type="dxa"/>
            <w:tcBorders>
              <w:top w:val="nil"/>
              <w:left w:val="nil"/>
              <w:bottom w:val="nil"/>
              <w:right w:val="nil"/>
            </w:tcBorders>
            <w:shd w:val="clear" w:color="FFFFFF" w:fill="FFFFFF"/>
            <w:noWrap/>
            <w:vAlign w:val="bottom"/>
            <w:hideMark/>
          </w:tcPr>
          <w:p w14:paraId="495CE2CE"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0B75C45E" w14:textId="77777777" w:rsidR="00AB6753" w:rsidRDefault="00AB6753" w:rsidP="002D1EA4">
            <w:pPr>
              <w:spacing w:after="0"/>
              <w:rPr>
                <w:rFonts w:cs="Arial"/>
                <w:sz w:val="18"/>
                <w:szCs w:val="18"/>
              </w:rPr>
            </w:pPr>
            <w:r>
              <w:rPr>
                <w:rFonts w:cs="Arial"/>
                <w:sz w:val="18"/>
                <w:szCs w:val="18"/>
              </w:rPr>
              <w:t> </w:t>
            </w:r>
          </w:p>
        </w:tc>
        <w:tc>
          <w:tcPr>
            <w:tcW w:w="1227" w:type="dxa"/>
            <w:tcBorders>
              <w:top w:val="nil"/>
              <w:left w:val="nil"/>
              <w:bottom w:val="nil"/>
              <w:right w:val="nil"/>
            </w:tcBorders>
            <w:shd w:val="clear" w:color="FFFFFF" w:fill="FFFFFF"/>
            <w:noWrap/>
            <w:vAlign w:val="bottom"/>
            <w:hideMark/>
          </w:tcPr>
          <w:p w14:paraId="3FFB0139" w14:textId="77777777" w:rsidR="00AB6753" w:rsidRDefault="00AB6753" w:rsidP="002D1EA4">
            <w:pPr>
              <w:spacing w:after="0"/>
              <w:rPr>
                <w:rFonts w:cs="Arial"/>
                <w:sz w:val="18"/>
                <w:szCs w:val="18"/>
              </w:rPr>
            </w:pPr>
            <w:r>
              <w:rPr>
                <w:rFonts w:cs="Arial"/>
                <w:sz w:val="18"/>
                <w:szCs w:val="18"/>
              </w:rPr>
              <w:t> </w:t>
            </w:r>
          </w:p>
        </w:tc>
      </w:tr>
      <w:tr w:rsidR="00AB6753" w14:paraId="316BD449" w14:textId="77777777" w:rsidTr="002D1EA4">
        <w:trPr>
          <w:trHeight w:val="240"/>
        </w:trPr>
        <w:tc>
          <w:tcPr>
            <w:tcW w:w="6610" w:type="dxa"/>
            <w:tcBorders>
              <w:top w:val="nil"/>
              <w:left w:val="nil"/>
              <w:bottom w:val="nil"/>
              <w:right w:val="nil"/>
            </w:tcBorders>
            <w:shd w:val="clear" w:color="FFFFFF" w:fill="FFFFFF"/>
            <w:vAlign w:val="bottom"/>
            <w:hideMark/>
          </w:tcPr>
          <w:p w14:paraId="66B8AA40" w14:textId="77777777" w:rsidR="00AB6753" w:rsidRDefault="00AB6753" w:rsidP="002D1EA4">
            <w:pPr>
              <w:spacing w:after="0"/>
              <w:rPr>
                <w:rFonts w:cs="Arial"/>
                <w:b/>
                <w:bCs/>
                <w:sz w:val="18"/>
                <w:szCs w:val="18"/>
              </w:rPr>
            </w:pPr>
            <w:r>
              <w:rPr>
                <w:rFonts w:cs="Arial"/>
                <w:b/>
                <w:bCs/>
                <w:sz w:val="18"/>
                <w:szCs w:val="18"/>
              </w:rPr>
              <w:t>Total comprehensive loss attributable to the department</w:t>
            </w:r>
          </w:p>
        </w:tc>
        <w:tc>
          <w:tcPr>
            <w:tcW w:w="1233" w:type="dxa"/>
            <w:tcBorders>
              <w:top w:val="nil"/>
              <w:left w:val="nil"/>
              <w:bottom w:val="nil"/>
              <w:right w:val="nil"/>
            </w:tcBorders>
            <w:shd w:val="clear" w:color="FFFFFF" w:fill="FFFFFF"/>
            <w:noWrap/>
            <w:vAlign w:val="bottom"/>
            <w:hideMark/>
          </w:tcPr>
          <w:p w14:paraId="55683975" w14:textId="77777777" w:rsidR="00AB6753" w:rsidRDefault="00AB6753" w:rsidP="002D1EA4">
            <w:pPr>
              <w:spacing w:after="0"/>
              <w:jc w:val="right"/>
              <w:rPr>
                <w:rFonts w:cs="Arial"/>
                <w:b/>
                <w:bCs/>
                <w:sz w:val="18"/>
                <w:szCs w:val="18"/>
              </w:rPr>
            </w:pPr>
            <w:r>
              <w:rPr>
                <w:rFonts w:cs="Arial"/>
                <w:b/>
                <w:bCs/>
                <w:sz w:val="18"/>
                <w:szCs w:val="18"/>
              </w:rPr>
              <w:t>(56,713)</w:t>
            </w:r>
          </w:p>
        </w:tc>
        <w:tc>
          <w:tcPr>
            <w:tcW w:w="236" w:type="dxa"/>
            <w:tcBorders>
              <w:top w:val="nil"/>
              <w:left w:val="nil"/>
              <w:bottom w:val="nil"/>
              <w:right w:val="nil"/>
            </w:tcBorders>
            <w:shd w:val="clear" w:color="FFFFFF" w:fill="FFFFFF"/>
            <w:noWrap/>
            <w:vAlign w:val="bottom"/>
            <w:hideMark/>
          </w:tcPr>
          <w:p w14:paraId="1A71200A" w14:textId="77777777" w:rsidR="00AB6753" w:rsidRDefault="00AB6753" w:rsidP="002D1EA4">
            <w:pPr>
              <w:spacing w:after="0"/>
              <w:rPr>
                <w:rFonts w:cs="Arial"/>
                <w:sz w:val="18"/>
                <w:szCs w:val="18"/>
              </w:rPr>
            </w:pPr>
            <w:r>
              <w:rPr>
                <w:rFonts w:cs="Arial"/>
                <w:sz w:val="18"/>
                <w:szCs w:val="18"/>
              </w:rPr>
              <w:t> </w:t>
            </w:r>
          </w:p>
        </w:tc>
        <w:tc>
          <w:tcPr>
            <w:tcW w:w="1227" w:type="dxa"/>
            <w:tcBorders>
              <w:top w:val="nil"/>
              <w:left w:val="nil"/>
              <w:bottom w:val="nil"/>
              <w:right w:val="nil"/>
            </w:tcBorders>
            <w:shd w:val="clear" w:color="FFFFFF" w:fill="FFFFFF"/>
            <w:noWrap/>
            <w:vAlign w:val="bottom"/>
            <w:hideMark/>
          </w:tcPr>
          <w:p w14:paraId="00E6CDA5" w14:textId="77777777" w:rsidR="00AB6753" w:rsidRDefault="00AB6753" w:rsidP="002D1EA4">
            <w:pPr>
              <w:spacing w:after="0"/>
              <w:jc w:val="right"/>
              <w:rPr>
                <w:rFonts w:cs="Arial"/>
                <w:sz w:val="18"/>
                <w:szCs w:val="18"/>
              </w:rPr>
            </w:pPr>
            <w:r>
              <w:rPr>
                <w:rFonts w:cs="Arial"/>
                <w:sz w:val="18"/>
                <w:szCs w:val="18"/>
              </w:rPr>
              <w:t>(72,837)</w:t>
            </w:r>
          </w:p>
        </w:tc>
      </w:tr>
      <w:tr w:rsidR="00AB6753" w14:paraId="6CC7B1F0" w14:textId="77777777" w:rsidTr="002D1EA4">
        <w:trPr>
          <w:trHeight w:val="240"/>
        </w:trPr>
        <w:tc>
          <w:tcPr>
            <w:tcW w:w="6610" w:type="dxa"/>
            <w:tcBorders>
              <w:top w:val="nil"/>
              <w:left w:val="nil"/>
              <w:bottom w:val="nil"/>
              <w:right w:val="nil"/>
            </w:tcBorders>
            <w:shd w:val="clear" w:color="FFFFFF" w:fill="FFFFFF"/>
            <w:noWrap/>
            <w:vAlign w:val="bottom"/>
            <w:hideMark/>
          </w:tcPr>
          <w:p w14:paraId="10BBC7D8" w14:textId="77777777" w:rsidR="00AB6753" w:rsidRDefault="00AB6753" w:rsidP="002D1EA4">
            <w:pPr>
              <w:spacing w:after="0"/>
              <w:rPr>
                <w:rFonts w:cs="Arial"/>
                <w:sz w:val="18"/>
                <w:szCs w:val="18"/>
              </w:rPr>
            </w:pPr>
            <w:r>
              <w:rPr>
                <w:rFonts w:cs="Arial"/>
                <w:sz w:val="18"/>
                <w:szCs w:val="18"/>
              </w:rPr>
              <w:t> </w:t>
            </w:r>
          </w:p>
        </w:tc>
        <w:tc>
          <w:tcPr>
            <w:tcW w:w="1233" w:type="dxa"/>
            <w:tcBorders>
              <w:top w:val="nil"/>
              <w:left w:val="nil"/>
              <w:bottom w:val="nil"/>
              <w:right w:val="nil"/>
            </w:tcBorders>
            <w:shd w:val="clear" w:color="FFFFFF" w:fill="FFFFFF"/>
            <w:noWrap/>
            <w:vAlign w:val="bottom"/>
            <w:hideMark/>
          </w:tcPr>
          <w:p w14:paraId="0EEE67DA"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6B12BEC4" w14:textId="77777777" w:rsidR="00AB6753" w:rsidRDefault="00AB6753" w:rsidP="002D1EA4">
            <w:pPr>
              <w:spacing w:after="0"/>
              <w:rPr>
                <w:rFonts w:cs="Arial"/>
                <w:sz w:val="18"/>
                <w:szCs w:val="18"/>
              </w:rPr>
            </w:pPr>
            <w:r>
              <w:rPr>
                <w:rFonts w:cs="Arial"/>
                <w:sz w:val="18"/>
                <w:szCs w:val="18"/>
              </w:rPr>
              <w:t> </w:t>
            </w:r>
          </w:p>
        </w:tc>
        <w:tc>
          <w:tcPr>
            <w:tcW w:w="1227" w:type="dxa"/>
            <w:tcBorders>
              <w:top w:val="nil"/>
              <w:left w:val="nil"/>
              <w:bottom w:val="nil"/>
              <w:right w:val="nil"/>
            </w:tcBorders>
            <w:shd w:val="clear" w:color="FFFFFF" w:fill="FFFFFF"/>
            <w:noWrap/>
            <w:vAlign w:val="bottom"/>
            <w:hideMark/>
          </w:tcPr>
          <w:p w14:paraId="492D5FF9" w14:textId="77777777" w:rsidR="00AB6753" w:rsidRDefault="00AB6753" w:rsidP="002D1EA4">
            <w:pPr>
              <w:spacing w:after="0"/>
              <w:rPr>
                <w:rFonts w:cs="Arial"/>
                <w:sz w:val="18"/>
                <w:szCs w:val="18"/>
              </w:rPr>
            </w:pPr>
            <w:r>
              <w:rPr>
                <w:rFonts w:cs="Arial"/>
                <w:sz w:val="18"/>
                <w:szCs w:val="18"/>
              </w:rPr>
              <w:t> </w:t>
            </w:r>
          </w:p>
        </w:tc>
      </w:tr>
      <w:tr w:rsidR="00AB6753" w14:paraId="53E76890" w14:textId="77777777" w:rsidTr="002D1EA4">
        <w:trPr>
          <w:trHeight w:val="480"/>
        </w:trPr>
        <w:tc>
          <w:tcPr>
            <w:tcW w:w="6610" w:type="dxa"/>
            <w:tcBorders>
              <w:top w:val="nil"/>
              <w:left w:val="nil"/>
              <w:bottom w:val="nil"/>
              <w:right w:val="nil"/>
            </w:tcBorders>
            <w:shd w:val="clear" w:color="FFFFFF" w:fill="FFFFFF"/>
            <w:hideMark/>
          </w:tcPr>
          <w:p w14:paraId="44024643" w14:textId="77777777" w:rsidR="00AB6753" w:rsidRDefault="00AB6753" w:rsidP="002D1EA4">
            <w:pPr>
              <w:spacing w:after="0"/>
              <w:rPr>
                <w:rFonts w:cs="Arial"/>
                <w:sz w:val="18"/>
                <w:szCs w:val="18"/>
              </w:rPr>
            </w:pPr>
            <w:r>
              <w:rPr>
                <w:rFonts w:cs="Arial"/>
                <w:sz w:val="18"/>
                <w:szCs w:val="18"/>
              </w:rPr>
              <w:t>Plus: depreciation/amortisation expenses previously funded through revenue appropriation</w:t>
            </w:r>
          </w:p>
        </w:tc>
        <w:tc>
          <w:tcPr>
            <w:tcW w:w="1233" w:type="dxa"/>
            <w:tcBorders>
              <w:top w:val="nil"/>
              <w:left w:val="nil"/>
              <w:bottom w:val="nil"/>
              <w:right w:val="nil"/>
            </w:tcBorders>
            <w:shd w:val="clear" w:color="FFFFFF" w:fill="FFFFFF"/>
            <w:noWrap/>
            <w:vAlign w:val="bottom"/>
            <w:hideMark/>
          </w:tcPr>
          <w:p w14:paraId="264E5EC5" w14:textId="77777777" w:rsidR="00AB6753" w:rsidRDefault="00AB6753" w:rsidP="002D1EA4">
            <w:pPr>
              <w:spacing w:after="0"/>
              <w:jc w:val="right"/>
              <w:rPr>
                <w:rFonts w:cs="Arial"/>
                <w:b/>
                <w:bCs/>
                <w:sz w:val="18"/>
                <w:szCs w:val="18"/>
              </w:rPr>
            </w:pPr>
            <w:r>
              <w:rPr>
                <w:rFonts w:cs="Arial"/>
                <w:b/>
                <w:bCs/>
                <w:sz w:val="18"/>
                <w:szCs w:val="18"/>
              </w:rPr>
              <w:t xml:space="preserve">38,931 </w:t>
            </w:r>
          </w:p>
        </w:tc>
        <w:tc>
          <w:tcPr>
            <w:tcW w:w="236" w:type="dxa"/>
            <w:tcBorders>
              <w:top w:val="nil"/>
              <w:left w:val="nil"/>
              <w:bottom w:val="nil"/>
              <w:right w:val="nil"/>
            </w:tcBorders>
            <w:shd w:val="clear" w:color="FFFFFF" w:fill="FFFFFF"/>
            <w:noWrap/>
            <w:vAlign w:val="bottom"/>
            <w:hideMark/>
          </w:tcPr>
          <w:p w14:paraId="27966AA8" w14:textId="77777777" w:rsidR="00AB6753" w:rsidRDefault="00AB6753" w:rsidP="002D1EA4">
            <w:pPr>
              <w:spacing w:after="0"/>
              <w:rPr>
                <w:rFonts w:cs="Arial"/>
                <w:b/>
                <w:bCs/>
                <w:sz w:val="18"/>
                <w:szCs w:val="18"/>
              </w:rPr>
            </w:pPr>
            <w:r>
              <w:rPr>
                <w:rFonts w:cs="Arial"/>
                <w:b/>
                <w:bCs/>
                <w:sz w:val="18"/>
                <w:szCs w:val="18"/>
              </w:rPr>
              <w:t> </w:t>
            </w:r>
          </w:p>
        </w:tc>
        <w:tc>
          <w:tcPr>
            <w:tcW w:w="1227" w:type="dxa"/>
            <w:tcBorders>
              <w:top w:val="nil"/>
              <w:left w:val="nil"/>
              <w:bottom w:val="nil"/>
              <w:right w:val="nil"/>
            </w:tcBorders>
            <w:shd w:val="clear" w:color="FFFFFF" w:fill="FFFFFF"/>
            <w:noWrap/>
            <w:vAlign w:val="bottom"/>
            <w:hideMark/>
          </w:tcPr>
          <w:p w14:paraId="5086869F" w14:textId="77777777" w:rsidR="00AB6753" w:rsidRDefault="00AB6753" w:rsidP="002D1EA4">
            <w:pPr>
              <w:spacing w:after="0"/>
              <w:jc w:val="right"/>
              <w:rPr>
                <w:rFonts w:cs="Arial"/>
                <w:sz w:val="18"/>
                <w:szCs w:val="18"/>
              </w:rPr>
            </w:pPr>
            <w:r>
              <w:rPr>
                <w:rFonts w:cs="Arial"/>
                <w:sz w:val="18"/>
                <w:szCs w:val="18"/>
              </w:rPr>
              <w:t xml:space="preserve">95,906 </w:t>
            </w:r>
          </w:p>
        </w:tc>
      </w:tr>
      <w:tr w:rsidR="00AB6753" w14:paraId="1824E52C" w14:textId="77777777" w:rsidTr="002D1EA4">
        <w:trPr>
          <w:trHeight w:val="255"/>
        </w:trPr>
        <w:tc>
          <w:tcPr>
            <w:tcW w:w="6610" w:type="dxa"/>
            <w:tcBorders>
              <w:top w:val="nil"/>
              <w:left w:val="nil"/>
              <w:bottom w:val="nil"/>
              <w:right w:val="nil"/>
            </w:tcBorders>
            <w:shd w:val="clear" w:color="FFFFFF" w:fill="FFFFFF"/>
            <w:hideMark/>
          </w:tcPr>
          <w:p w14:paraId="6FA33E3E" w14:textId="77777777" w:rsidR="00AB6753" w:rsidRDefault="00AB6753" w:rsidP="002D1EA4">
            <w:pPr>
              <w:spacing w:after="0"/>
              <w:rPr>
                <w:rFonts w:cs="Arial"/>
                <w:sz w:val="18"/>
                <w:szCs w:val="18"/>
              </w:rPr>
            </w:pPr>
            <w:r>
              <w:rPr>
                <w:rFonts w:cs="Arial"/>
                <w:sz w:val="18"/>
                <w:szCs w:val="18"/>
              </w:rPr>
              <w:t>Plus: depreciation right-of-use assets</w:t>
            </w:r>
          </w:p>
        </w:tc>
        <w:tc>
          <w:tcPr>
            <w:tcW w:w="1233" w:type="dxa"/>
            <w:tcBorders>
              <w:top w:val="nil"/>
              <w:left w:val="nil"/>
              <w:bottom w:val="nil"/>
              <w:right w:val="nil"/>
            </w:tcBorders>
            <w:shd w:val="clear" w:color="FFFFFF" w:fill="FFFFFF"/>
            <w:noWrap/>
            <w:vAlign w:val="bottom"/>
            <w:hideMark/>
          </w:tcPr>
          <w:p w14:paraId="6497B9DF" w14:textId="77777777" w:rsidR="00AB6753" w:rsidRDefault="00AB6753" w:rsidP="002D1EA4">
            <w:pPr>
              <w:spacing w:after="0"/>
              <w:jc w:val="right"/>
              <w:rPr>
                <w:rFonts w:cs="Arial"/>
                <w:b/>
                <w:bCs/>
                <w:sz w:val="18"/>
                <w:szCs w:val="18"/>
              </w:rPr>
            </w:pPr>
            <w:r>
              <w:rPr>
                <w:rFonts w:cs="Arial"/>
                <w:b/>
                <w:bCs/>
                <w:sz w:val="18"/>
                <w:szCs w:val="18"/>
              </w:rPr>
              <w:t xml:space="preserve">34,294 </w:t>
            </w:r>
          </w:p>
        </w:tc>
        <w:tc>
          <w:tcPr>
            <w:tcW w:w="236" w:type="dxa"/>
            <w:tcBorders>
              <w:top w:val="nil"/>
              <w:left w:val="nil"/>
              <w:bottom w:val="nil"/>
              <w:right w:val="nil"/>
            </w:tcBorders>
            <w:shd w:val="clear" w:color="FFFFFF" w:fill="FFFFFF"/>
            <w:noWrap/>
            <w:vAlign w:val="bottom"/>
            <w:hideMark/>
          </w:tcPr>
          <w:p w14:paraId="2BC288D7" w14:textId="77777777" w:rsidR="00AB6753" w:rsidRDefault="00AB6753" w:rsidP="002D1EA4">
            <w:pPr>
              <w:spacing w:after="0"/>
              <w:rPr>
                <w:rFonts w:cs="Arial"/>
                <w:b/>
                <w:bCs/>
                <w:sz w:val="18"/>
                <w:szCs w:val="18"/>
              </w:rPr>
            </w:pPr>
            <w:r>
              <w:rPr>
                <w:rFonts w:cs="Arial"/>
                <w:b/>
                <w:bCs/>
                <w:sz w:val="18"/>
                <w:szCs w:val="18"/>
              </w:rPr>
              <w:t> </w:t>
            </w:r>
          </w:p>
        </w:tc>
        <w:tc>
          <w:tcPr>
            <w:tcW w:w="1227" w:type="dxa"/>
            <w:tcBorders>
              <w:top w:val="nil"/>
              <w:left w:val="nil"/>
              <w:bottom w:val="nil"/>
              <w:right w:val="nil"/>
            </w:tcBorders>
            <w:shd w:val="clear" w:color="FFFFFF" w:fill="FFFFFF"/>
            <w:noWrap/>
            <w:vAlign w:val="bottom"/>
            <w:hideMark/>
          </w:tcPr>
          <w:p w14:paraId="61085800"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6FBD8AFB" w14:textId="77777777" w:rsidTr="002D1EA4">
        <w:trPr>
          <w:trHeight w:val="255"/>
        </w:trPr>
        <w:tc>
          <w:tcPr>
            <w:tcW w:w="6610" w:type="dxa"/>
            <w:tcBorders>
              <w:top w:val="nil"/>
              <w:left w:val="nil"/>
              <w:bottom w:val="nil"/>
              <w:right w:val="nil"/>
            </w:tcBorders>
            <w:shd w:val="clear" w:color="FFFFFF" w:fill="FFFFFF"/>
            <w:hideMark/>
          </w:tcPr>
          <w:p w14:paraId="5A789569" w14:textId="77777777" w:rsidR="00AB6753" w:rsidRDefault="00AB6753" w:rsidP="002D1EA4">
            <w:pPr>
              <w:spacing w:after="0"/>
              <w:rPr>
                <w:rFonts w:cs="Arial"/>
                <w:sz w:val="18"/>
                <w:szCs w:val="18"/>
              </w:rPr>
            </w:pPr>
            <w:r>
              <w:rPr>
                <w:rFonts w:cs="Arial"/>
                <w:sz w:val="18"/>
                <w:szCs w:val="18"/>
              </w:rPr>
              <w:t>Less: principal repayments - leased assets</w:t>
            </w:r>
          </w:p>
        </w:tc>
        <w:tc>
          <w:tcPr>
            <w:tcW w:w="1233" w:type="dxa"/>
            <w:tcBorders>
              <w:top w:val="nil"/>
              <w:left w:val="nil"/>
              <w:bottom w:val="nil"/>
              <w:right w:val="nil"/>
            </w:tcBorders>
            <w:shd w:val="clear" w:color="FFFFFF" w:fill="FFFFFF"/>
            <w:noWrap/>
            <w:vAlign w:val="bottom"/>
            <w:hideMark/>
          </w:tcPr>
          <w:p w14:paraId="5F08C179" w14:textId="77777777" w:rsidR="00AB6753" w:rsidRDefault="00AB6753" w:rsidP="002D1EA4">
            <w:pPr>
              <w:spacing w:after="0"/>
              <w:jc w:val="right"/>
              <w:rPr>
                <w:rFonts w:cs="Arial"/>
                <w:b/>
                <w:bCs/>
                <w:sz w:val="18"/>
                <w:szCs w:val="18"/>
              </w:rPr>
            </w:pPr>
            <w:r>
              <w:rPr>
                <w:rFonts w:cs="Arial"/>
                <w:b/>
                <w:bCs/>
                <w:sz w:val="18"/>
                <w:szCs w:val="18"/>
              </w:rPr>
              <w:t>(20,788)</w:t>
            </w:r>
          </w:p>
        </w:tc>
        <w:tc>
          <w:tcPr>
            <w:tcW w:w="236" w:type="dxa"/>
            <w:tcBorders>
              <w:top w:val="nil"/>
              <w:left w:val="nil"/>
              <w:bottom w:val="nil"/>
              <w:right w:val="nil"/>
            </w:tcBorders>
            <w:shd w:val="clear" w:color="FFFFFF" w:fill="FFFFFF"/>
            <w:noWrap/>
            <w:vAlign w:val="bottom"/>
            <w:hideMark/>
          </w:tcPr>
          <w:p w14:paraId="6DF3211C" w14:textId="77777777" w:rsidR="00AB6753" w:rsidRDefault="00AB6753" w:rsidP="002D1EA4">
            <w:pPr>
              <w:spacing w:after="0"/>
              <w:rPr>
                <w:rFonts w:cs="Arial"/>
                <w:b/>
                <w:bCs/>
                <w:sz w:val="18"/>
                <w:szCs w:val="18"/>
              </w:rPr>
            </w:pPr>
            <w:r>
              <w:rPr>
                <w:rFonts w:cs="Arial"/>
                <w:b/>
                <w:bCs/>
                <w:sz w:val="18"/>
                <w:szCs w:val="18"/>
              </w:rPr>
              <w:t> </w:t>
            </w:r>
          </w:p>
        </w:tc>
        <w:tc>
          <w:tcPr>
            <w:tcW w:w="1227" w:type="dxa"/>
            <w:tcBorders>
              <w:top w:val="nil"/>
              <w:left w:val="nil"/>
              <w:bottom w:val="nil"/>
              <w:right w:val="nil"/>
            </w:tcBorders>
            <w:shd w:val="clear" w:color="FFFFFF" w:fill="FFFFFF"/>
            <w:noWrap/>
            <w:vAlign w:val="bottom"/>
            <w:hideMark/>
          </w:tcPr>
          <w:p w14:paraId="234A2D6E"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49BA6783" w14:textId="77777777" w:rsidTr="002D1EA4">
        <w:trPr>
          <w:trHeight w:val="480"/>
        </w:trPr>
        <w:tc>
          <w:tcPr>
            <w:tcW w:w="6610" w:type="dxa"/>
            <w:tcBorders>
              <w:top w:val="nil"/>
              <w:left w:val="nil"/>
              <w:bottom w:val="nil"/>
              <w:right w:val="nil"/>
            </w:tcBorders>
            <w:shd w:val="clear" w:color="FFFFFF" w:fill="FFFFFF"/>
            <w:vAlign w:val="bottom"/>
            <w:hideMark/>
          </w:tcPr>
          <w:p w14:paraId="5589BDF6" w14:textId="77777777" w:rsidR="00AB6753" w:rsidRDefault="00AB6753" w:rsidP="002D1EA4">
            <w:pPr>
              <w:spacing w:after="0"/>
              <w:rPr>
                <w:rFonts w:cs="Arial"/>
                <w:b/>
                <w:bCs/>
                <w:sz w:val="18"/>
                <w:szCs w:val="18"/>
              </w:rPr>
            </w:pPr>
            <w:r>
              <w:rPr>
                <w:rFonts w:cs="Arial"/>
                <w:b/>
                <w:bCs/>
                <w:sz w:val="18"/>
                <w:szCs w:val="18"/>
              </w:rPr>
              <w:t>Total comprehensive loss plus depreciation/amortisation expenses previously funded through revenue appropriations</w:t>
            </w:r>
          </w:p>
        </w:tc>
        <w:tc>
          <w:tcPr>
            <w:tcW w:w="1233" w:type="dxa"/>
            <w:tcBorders>
              <w:top w:val="single" w:sz="4" w:space="0" w:color="auto"/>
              <w:left w:val="nil"/>
              <w:bottom w:val="single" w:sz="4" w:space="0" w:color="auto"/>
              <w:right w:val="nil"/>
            </w:tcBorders>
            <w:shd w:val="clear" w:color="FFFFFF" w:fill="FFFFFF"/>
            <w:noWrap/>
            <w:vAlign w:val="bottom"/>
            <w:hideMark/>
          </w:tcPr>
          <w:p w14:paraId="20496D19" w14:textId="77777777" w:rsidR="00AB6753" w:rsidRDefault="00AB6753" w:rsidP="002D1EA4">
            <w:pPr>
              <w:spacing w:after="0"/>
              <w:jc w:val="right"/>
              <w:rPr>
                <w:rFonts w:cs="Arial"/>
                <w:b/>
                <w:bCs/>
                <w:sz w:val="18"/>
                <w:szCs w:val="18"/>
              </w:rPr>
            </w:pPr>
            <w:r>
              <w:rPr>
                <w:rFonts w:cs="Arial"/>
                <w:b/>
                <w:bCs/>
                <w:sz w:val="18"/>
                <w:szCs w:val="18"/>
              </w:rPr>
              <w:t>(4,276)</w:t>
            </w:r>
          </w:p>
        </w:tc>
        <w:tc>
          <w:tcPr>
            <w:tcW w:w="236" w:type="dxa"/>
            <w:tcBorders>
              <w:top w:val="nil"/>
              <w:left w:val="nil"/>
              <w:bottom w:val="nil"/>
              <w:right w:val="nil"/>
            </w:tcBorders>
            <w:shd w:val="clear" w:color="FFFFFF" w:fill="FFFFFF"/>
            <w:noWrap/>
            <w:vAlign w:val="bottom"/>
            <w:hideMark/>
          </w:tcPr>
          <w:p w14:paraId="3BEB0CAF" w14:textId="77777777" w:rsidR="00AB6753" w:rsidRDefault="00AB6753" w:rsidP="002D1EA4">
            <w:pPr>
              <w:spacing w:after="0"/>
              <w:rPr>
                <w:rFonts w:cs="Arial"/>
                <w:sz w:val="18"/>
                <w:szCs w:val="18"/>
              </w:rPr>
            </w:pPr>
            <w:r>
              <w:rPr>
                <w:rFonts w:cs="Arial"/>
                <w:sz w:val="18"/>
                <w:szCs w:val="18"/>
              </w:rPr>
              <w:t> </w:t>
            </w:r>
          </w:p>
        </w:tc>
        <w:tc>
          <w:tcPr>
            <w:tcW w:w="1227" w:type="dxa"/>
            <w:tcBorders>
              <w:top w:val="single" w:sz="4" w:space="0" w:color="auto"/>
              <w:left w:val="nil"/>
              <w:bottom w:val="single" w:sz="4" w:space="0" w:color="auto"/>
              <w:right w:val="nil"/>
            </w:tcBorders>
            <w:shd w:val="clear" w:color="FFFFFF" w:fill="FFFFFF"/>
            <w:noWrap/>
            <w:vAlign w:val="bottom"/>
            <w:hideMark/>
          </w:tcPr>
          <w:p w14:paraId="43525CAE" w14:textId="77777777" w:rsidR="00AB6753" w:rsidRDefault="00AB6753" w:rsidP="002D1EA4">
            <w:pPr>
              <w:spacing w:after="0"/>
              <w:jc w:val="right"/>
              <w:rPr>
                <w:rFonts w:cs="Arial"/>
                <w:sz w:val="18"/>
                <w:szCs w:val="18"/>
              </w:rPr>
            </w:pPr>
            <w:r>
              <w:rPr>
                <w:rFonts w:cs="Arial"/>
                <w:sz w:val="18"/>
                <w:szCs w:val="18"/>
              </w:rPr>
              <w:t>23,069</w:t>
            </w:r>
          </w:p>
        </w:tc>
      </w:tr>
      <w:tr w:rsidR="00AB6753" w14:paraId="613462FB" w14:textId="77777777" w:rsidTr="002D1EA4">
        <w:trPr>
          <w:trHeight w:val="210"/>
        </w:trPr>
        <w:tc>
          <w:tcPr>
            <w:tcW w:w="6610" w:type="dxa"/>
            <w:tcBorders>
              <w:top w:val="nil"/>
              <w:left w:val="nil"/>
              <w:bottom w:val="nil"/>
              <w:right w:val="nil"/>
            </w:tcBorders>
            <w:shd w:val="clear" w:color="FFFFFF" w:fill="FFFFFF"/>
            <w:noWrap/>
            <w:vAlign w:val="bottom"/>
            <w:hideMark/>
          </w:tcPr>
          <w:p w14:paraId="0F21E070" w14:textId="77777777" w:rsidR="00AB6753" w:rsidRDefault="00AB6753" w:rsidP="002D1EA4">
            <w:pPr>
              <w:spacing w:after="0"/>
              <w:rPr>
                <w:rFonts w:cs="Arial"/>
                <w:sz w:val="18"/>
                <w:szCs w:val="18"/>
              </w:rPr>
            </w:pPr>
            <w:r>
              <w:rPr>
                <w:rFonts w:cs="Arial"/>
                <w:sz w:val="18"/>
                <w:szCs w:val="18"/>
              </w:rPr>
              <w:t> </w:t>
            </w:r>
          </w:p>
        </w:tc>
        <w:tc>
          <w:tcPr>
            <w:tcW w:w="1233" w:type="dxa"/>
            <w:tcBorders>
              <w:top w:val="nil"/>
              <w:left w:val="nil"/>
              <w:bottom w:val="nil"/>
              <w:right w:val="nil"/>
            </w:tcBorders>
            <w:shd w:val="clear" w:color="FFFFFF" w:fill="FFFFFF"/>
            <w:noWrap/>
            <w:vAlign w:val="bottom"/>
            <w:hideMark/>
          </w:tcPr>
          <w:p w14:paraId="21ABE5FB" w14:textId="77777777" w:rsidR="00AB6753" w:rsidRDefault="00AB6753" w:rsidP="002D1EA4">
            <w:pPr>
              <w:spacing w:after="0"/>
              <w:rPr>
                <w:rFonts w:cs="Arial"/>
                <w:sz w:val="18"/>
                <w:szCs w:val="18"/>
              </w:rPr>
            </w:pPr>
            <w:r>
              <w:rPr>
                <w:rFonts w:cs="Arial"/>
                <w:sz w:val="18"/>
                <w:szCs w:val="18"/>
              </w:rPr>
              <w:t> </w:t>
            </w:r>
          </w:p>
        </w:tc>
        <w:tc>
          <w:tcPr>
            <w:tcW w:w="236" w:type="dxa"/>
            <w:tcBorders>
              <w:top w:val="nil"/>
              <w:left w:val="nil"/>
              <w:bottom w:val="nil"/>
              <w:right w:val="nil"/>
            </w:tcBorders>
            <w:shd w:val="clear" w:color="FFFFFF" w:fill="FFFFFF"/>
            <w:noWrap/>
            <w:vAlign w:val="bottom"/>
            <w:hideMark/>
          </w:tcPr>
          <w:p w14:paraId="5AA297FD" w14:textId="77777777" w:rsidR="00AB6753" w:rsidRDefault="00AB6753" w:rsidP="002D1EA4">
            <w:pPr>
              <w:spacing w:after="0"/>
              <w:rPr>
                <w:rFonts w:cs="Arial"/>
                <w:sz w:val="18"/>
                <w:szCs w:val="18"/>
              </w:rPr>
            </w:pPr>
            <w:r>
              <w:rPr>
                <w:rFonts w:cs="Arial"/>
                <w:sz w:val="18"/>
                <w:szCs w:val="18"/>
              </w:rPr>
              <w:t> </w:t>
            </w:r>
          </w:p>
        </w:tc>
        <w:tc>
          <w:tcPr>
            <w:tcW w:w="1227" w:type="dxa"/>
            <w:tcBorders>
              <w:top w:val="nil"/>
              <w:left w:val="nil"/>
              <w:bottom w:val="nil"/>
              <w:right w:val="nil"/>
            </w:tcBorders>
            <w:shd w:val="clear" w:color="FFFFFF" w:fill="FFFFFF"/>
            <w:noWrap/>
            <w:vAlign w:val="bottom"/>
            <w:hideMark/>
          </w:tcPr>
          <w:p w14:paraId="2AAD9B87" w14:textId="77777777" w:rsidR="00AB6753" w:rsidRDefault="00AB6753" w:rsidP="002D1EA4">
            <w:pPr>
              <w:spacing w:after="0"/>
              <w:rPr>
                <w:rFonts w:cs="Arial"/>
                <w:sz w:val="18"/>
                <w:szCs w:val="18"/>
              </w:rPr>
            </w:pPr>
            <w:r>
              <w:rPr>
                <w:rFonts w:cs="Arial"/>
                <w:sz w:val="18"/>
                <w:szCs w:val="18"/>
              </w:rPr>
              <w:t> </w:t>
            </w:r>
          </w:p>
        </w:tc>
      </w:tr>
      <w:tr w:rsidR="00AB6753" w14:paraId="3507426E" w14:textId="77777777" w:rsidTr="002D1EA4">
        <w:trPr>
          <w:trHeight w:val="240"/>
        </w:trPr>
        <w:tc>
          <w:tcPr>
            <w:tcW w:w="6610" w:type="dxa"/>
            <w:tcBorders>
              <w:top w:val="nil"/>
              <w:left w:val="nil"/>
              <w:bottom w:val="nil"/>
              <w:right w:val="nil"/>
            </w:tcBorders>
            <w:shd w:val="clear" w:color="FFFFFF" w:fill="FFFFFF"/>
            <w:noWrap/>
            <w:vAlign w:val="bottom"/>
            <w:hideMark/>
          </w:tcPr>
          <w:p w14:paraId="31C62854" w14:textId="77777777" w:rsidR="00AB6753" w:rsidRDefault="00AB6753" w:rsidP="002D1EA4">
            <w:pPr>
              <w:spacing w:after="0"/>
              <w:rPr>
                <w:rFonts w:cs="Arial"/>
                <w:sz w:val="18"/>
                <w:szCs w:val="18"/>
              </w:rPr>
            </w:pPr>
            <w:r>
              <w:rPr>
                <w:rFonts w:cs="Arial"/>
                <w:sz w:val="18"/>
                <w:szCs w:val="18"/>
              </w:rPr>
              <w:t>Changes in asset revaluation reserve</w:t>
            </w:r>
          </w:p>
        </w:tc>
        <w:tc>
          <w:tcPr>
            <w:tcW w:w="1233" w:type="dxa"/>
            <w:tcBorders>
              <w:top w:val="nil"/>
              <w:left w:val="nil"/>
              <w:bottom w:val="nil"/>
              <w:right w:val="nil"/>
            </w:tcBorders>
            <w:shd w:val="clear" w:color="FFFFFF" w:fill="FFFFFF"/>
            <w:noWrap/>
            <w:vAlign w:val="bottom"/>
            <w:hideMark/>
          </w:tcPr>
          <w:p w14:paraId="1A05DCA2" w14:textId="77777777" w:rsidR="00AB6753" w:rsidRDefault="00AB6753" w:rsidP="002D1EA4">
            <w:pPr>
              <w:spacing w:after="0"/>
              <w:jc w:val="right"/>
              <w:rPr>
                <w:rFonts w:cs="Arial"/>
                <w:b/>
                <w:bCs/>
                <w:sz w:val="18"/>
                <w:szCs w:val="18"/>
              </w:rPr>
            </w:pPr>
            <w:r>
              <w:rPr>
                <w:rFonts w:cs="Arial"/>
                <w:b/>
                <w:bCs/>
                <w:sz w:val="18"/>
                <w:szCs w:val="18"/>
              </w:rPr>
              <w:t>8</w:t>
            </w:r>
          </w:p>
        </w:tc>
        <w:tc>
          <w:tcPr>
            <w:tcW w:w="236" w:type="dxa"/>
            <w:tcBorders>
              <w:top w:val="nil"/>
              <w:left w:val="nil"/>
              <w:bottom w:val="nil"/>
              <w:right w:val="nil"/>
            </w:tcBorders>
            <w:shd w:val="clear" w:color="FFFFFF" w:fill="FFFFFF"/>
            <w:noWrap/>
            <w:vAlign w:val="bottom"/>
            <w:hideMark/>
          </w:tcPr>
          <w:p w14:paraId="6DEDFC94" w14:textId="77777777" w:rsidR="00AB6753" w:rsidRDefault="00AB6753" w:rsidP="002D1EA4">
            <w:pPr>
              <w:spacing w:after="0"/>
              <w:rPr>
                <w:rFonts w:cs="Arial"/>
                <w:sz w:val="18"/>
                <w:szCs w:val="18"/>
              </w:rPr>
            </w:pPr>
            <w:r>
              <w:rPr>
                <w:rFonts w:cs="Arial"/>
                <w:sz w:val="18"/>
                <w:szCs w:val="18"/>
              </w:rPr>
              <w:t> </w:t>
            </w:r>
          </w:p>
        </w:tc>
        <w:tc>
          <w:tcPr>
            <w:tcW w:w="1227" w:type="dxa"/>
            <w:tcBorders>
              <w:top w:val="nil"/>
              <w:left w:val="nil"/>
              <w:bottom w:val="nil"/>
              <w:right w:val="nil"/>
            </w:tcBorders>
            <w:shd w:val="clear" w:color="FFFFFF" w:fill="FFFFFF"/>
            <w:noWrap/>
            <w:vAlign w:val="bottom"/>
            <w:hideMark/>
          </w:tcPr>
          <w:p w14:paraId="5DFFAFC7" w14:textId="77777777" w:rsidR="00AB6753" w:rsidRDefault="00AB6753" w:rsidP="002D1EA4">
            <w:pPr>
              <w:spacing w:after="0"/>
              <w:jc w:val="right"/>
              <w:rPr>
                <w:rFonts w:cs="Arial"/>
                <w:sz w:val="18"/>
                <w:szCs w:val="18"/>
              </w:rPr>
            </w:pPr>
            <w:r>
              <w:rPr>
                <w:rFonts w:cs="Arial"/>
                <w:sz w:val="18"/>
                <w:szCs w:val="18"/>
              </w:rPr>
              <w:t>(3,221)</w:t>
            </w:r>
          </w:p>
        </w:tc>
      </w:tr>
      <w:tr w:rsidR="00AB6753" w14:paraId="32644942" w14:textId="77777777" w:rsidTr="002D1EA4">
        <w:trPr>
          <w:trHeight w:val="240"/>
        </w:trPr>
        <w:tc>
          <w:tcPr>
            <w:tcW w:w="6610" w:type="dxa"/>
            <w:tcBorders>
              <w:top w:val="nil"/>
              <w:left w:val="nil"/>
              <w:bottom w:val="nil"/>
              <w:right w:val="nil"/>
            </w:tcBorders>
            <w:shd w:val="clear" w:color="FFFFFF" w:fill="FFFFFF"/>
            <w:noWrap/>
            <w:vAlign w:val="bottom"/>
            <w:hideMark/>
          </w:tcPr>
          <w:p w14:paraId="728C4755" w14:textId="77777777" w:rsidR="00AB6753" w:rsidRDefault="00AB6753" w:rsidP="002D1EA4">
            <w:pPr>
              <w:spacing w:after="0"/>
              <w:rPr>
                <w:rFonts w:cs="Arial"/>
                <w:b/>
                <w:bCs/>
                <w:sz w:val="18"/>
                <w:szCs w:val="18"/>
              </w:rPr>
            </w:pPr>
            <w:r>
              <w:rPr>
                <w:rFonts w:cs="Arial"/>
                <w:b/>
                <w:bCs/>
                <w:sz w:val="18"/>
                <w:szCs w:val="18"/>
              </w:rPr>
              <w:t>Operating deficit attributable to the department</w:t>
            </w:r>
          </w:p>
        </w:tc>
        <w:tc>
          <w:tcPr>
            <w:tcW w:w="1233" w:type="dxa"/>
            <w:tcBorders>
              <w:top w:val="single" w:sz="4" w:space="0" w:color="auto"/>
              <w:left w:val="nil"/>
              <w:bottom w:val="single" w:sz="4" w:space="0" w:color="auto"/>
              <w:right w:val="nil"/>
            </w:tcBorders>
            <w:shd w:val="clear" w:color="FFFFFF" w:fill="FFFFFF"/>
            <w:noWrap/>
            <w:vAlign w:val="bottom"/>
            <w:hideMark/>
          </w:tcPr>
          <w:p w14:paraId="0A996BC3" w14:textId="77777777" w:rsidR="00AB6753" w:rsidRDefault="00AB6753" w:rsidP="002D1EA4">
            <w:pPr>
              <w:spacing w:after="0"/>
              <w:jc w:val="right"/>
              <w:rPr>
                <w:rFonts w:cs="Arial"/>
                <w:b/>
                <w:bCs/>
                <w:sz w:val="18"/>
                <w:szCs w:val="18"/>
              </w:rPr>
            </w:pPr>
            <w:r>
              <w:rPr>
                <w:rFonts w:cs="Arial"/>
                <w:b/>
                <w:bCs/>
                <w:sz w:val="18"/>
                <w:szCs w:val="18"/>
              </w:rPr>
              <w:t>(4,268)</w:t>
            </w:r>
          </w:p>
        </w:tc>
        <w:tc>
          <w:tcPr>
            <w:tcW w:w="236" w:type="dxa"/>
            <w:tcBorders>
              <w:top w:val="nil"/>
              <w:left w:val="nil"/>
              <w:bottom w:val="nil"/>
              <w:right w:val="nil"/>
            </w:tcBorders>
            <w:shd w:val="clear" w:color="FFFFFF" w:fill="FFFFFF"/>
            <w:noWrap/>
            <w:vAlign w:val="bottom"/>
            <w:hideMark/>
          </w:tcPr>
          <w:p w14:paraId="3AC7D043" w14:textId="77777777" w:rsidR="00AB6753" w:rsidRDefault="00AB6753" w:rsidP="002D1EA4">
            <w:pPr>
              <w:spacing w:after="0"/>
              <w:rPr>
                <w:rFonts w:cs="Arial"/>
                <w:sz w:val="18"/>
                <w:szCs w:val="18"/>
              </w:rPr>
            </w:pPr>
            <w:r>
              <w:rPr>
                <w:rFonts w:cs="Arial"/>
                <w:sz w:val="18"/>
                <w:szCs w:val="18"/>
              </w:rPr>
              <w:t> </w:t>
            </w:r>
          </w:p>
        </w:tc>
        <w:tc>
          <w:tcPr>
            <w:tcW w:w="1227" w:type="dxa"/>
            <w:tcBorders>
              <w:top w:val="single" w:sz="4" w:space="0" w:color="auto"/>
              <w:left w:val="nil"/>
              <w:bottom w:val="single" w:sz="4" w:space="0" w:color="auto"/>
              <w:right w:val="nil"/>
            </w:tcBorders>
            <w:shd w:val="clear" w:color="FFFFFF" w:fill="FFFFFF"/>
            <w:noWrap/>
            <w:vAlign w:val="bottom"/>
            <w:hideMark/>
          </w:tcPr>
          <w:p w14:paraId="1E8D6B91" w14:textId="77777777" w:rsidR="00AB6753" w:rsidRDefault="00AB6753" w:rsidP="002D1EA4">
            <w:pPr>
              <w:spacing w:after="0"/>
              <w:jc w:val="right"/>
              <w:rPr>
                <w:rFonts w:cs="Arial"/>
                <w:sz w:val="18"/>
                <w:szCs w:val="18"/>
              </w:rPr>
            </w:pPr>
            <w:r>
              <w:rPr>
                <w:rFonts w:cs="Arial"/>
                <w:sz w:val="18"/>
                <w:szCs w:val="18"/>
              </w:rPr>
              <w:t>19,848</w:t>
            </w:r>
          </w:p>
        </w:tc>
      </w:tr>
    </w:tbl>
    <w:p w14:paraId="4C5B2990" w14:textId="77777777" w:rsidR="00AB6753" w:rsidRPr="00215147" w:rsidRDefault="00AB6753" w:rsidP="00AB6753">
      <w:pPr>
        <w:pStyle w:val="NotesText0"/>
        <w:spacing w:before="0" w:after="120"/>
        <w:ind w:left="142"/>
        <w:rPr>
          <w:szCs w:val="18"/>
          <w:highlight w:val="yellow"/>
        </w:rPr>
      </w:pPr>
    </w:p>
    <w:p w14:paraId="6056692E" w14:textId="77777777" w:rsidR="00AB6753" w:rsidRPr="00BC20DD" w:rsidRDefault="00AB6753" w:rsidP="00AB6753">
      <w:pPr>
        <w:pStyle w:val="NotesText0"/>
        <w:spacing w:after="120"/>
        <w:rPr>
          <w:szCs w:val="18"/>
        </w:rPr>
      </w:pPr>
      <w:r>
        <w:rPr>
          <w:szCs w:val="18"/>
        </w:rPr>
        <w:t>From the 2011 financial year</w:t>
      </w:r>
      <w:r w:rsidRPr="00BC20DD">
        <w:rPr>
          <w:szCs w:val="18"/>
        </w:rPr>
        <w:t xml:space="preserve">, the </w:t>
      </w:r>
      <w:r>
        <w:rPr>
          <w:szCs w:val="18"/>
        </w:rPr>
        <w:t xml:space="preserve">Australian </w:t>
      </w:r>
      <w:r w:rsidRPr="00BC20DD">
        <w:rPr>
          <w:szCs w:val="18"/>
        </w:rPr>
        <w:t>Government introduced net cash appropriation arrangements where revenue appropriations for depreciation/amortisation expenses ceased. Entities now receive a separate capital budget provided through equity appropriations. Capital budgets are appropriated in the period when cash payment for capital expenditure is required.</w:t>
      </w:r>
    </w:p>
    <w:p w14:paraId="6E0DEAD1" w14:textId="77777777" w:rsidR="00AB6753" w:rsidRPr="006152C4" w:rsidRDefault="00AB6753" w:rsidP="00AB6753">
      <w:pPr>
        <w:pStyle w:val="NotesText0"/>
        <w:spacing w:before="0" w:after="120"/>
        <w:rPr>
          <w:szCs w:val="18"/>
        </w:rPr>
      </w:pPr>
      <w:r>
        <w:rPr>
          <w:szCs w:val="18"/>
        </w:rPr>
        <w:t>From the 2020 financial year, t</w:t>
      </w:r>
      <w:r w:rsidRPr="00BC20DD">
        <w:rPr>
          <w:szCs w:val="18"/>
        </w:rPr>
        <w:t>he inclusion of deprec</w:t>
      </w:r>
      <w:r>
        <w:rPr>
          <w:szCs w:val="18"/>
        </w:rPr>
        <w:t>iation</w:t>
      </w:r>
      <w:r w:rsidRPr="00BC20DD">
        <w:rPr>
          <w:szCs w:val="18"/>
        </w:rPr>
        <w:t xml:space="preserve"> expenses related to </w:t>
      </w:r>
      <w:r>
        <w:rPr>
          <w:szCs w:val="18"/>
        </w:rPr>
        <w:t>right-of-use</w:t>
      </w:r>
      <w:r w:rsidRPr="00BC20DD">
        <w:rPr>
          <w:szCs w:val="18"/>
        </w:rPr>
        <w:t xml:space="preserve"> leased assets and the lease liability princip</w:t>
      </w:r>
      <w:r>
        <w:rPr>
          <w:szCs w:val="18"/>
        </w:rPr>
        <w:t>al</w:t>
      </w:r>
      <w:r w:rsidRPr="00BC20DD">
        <w:rPr>
          <w:szCs w:val="18"/>
        </w:rPr>
        <w:t xml:space="preserve"> repayment amount reflects the cash impact </w:t>
      </w:r>
      <w:r>
        <w:rPr>
          <w:szCs w:val="18"/>
        </w:rPr>
        <w:t>from the</w:t>
      </w:r>
      <w:r w:rsidRPr="00BC20DD">
        <w:rPr>
          <w:szCs w:val="18"/>
        </w:rPr>
        <w:t xml:space="preserve"> implementation of AASB 16 </w:t>
      </w:r>
      <w:r w:rsidRPr="00665CE0">
        <w:rPr>
          <w:i/>
          <w:szCs w:val="18"/>
        </w:rPr>
        <w:t>Leases</w:t>
      </w:r>
      <w:r>
        <w:rPr>
          <w:i/>
          <w:szCs w:val="18"/>
        </w:rPr>
        <w:t>.</w:t>
      </w:r>
      <w:r w:rsidRPr="00BC20DD">
        <w:rPr>
          <w:szCs w:val="18"/>
        </w:rPr>
        <w:t xml:space="preserve"> </w:t>
      </w:r>
      <w:r>
        <w:rPr>
          <w:szCs w:val="18"/>
        </w:rPr>
        <w:t xml:space="preserve">There is no </w:t>
      </w:r>
      <w:r w:rsidRPr="00BC20DD">
        <w:rPr>
          <w:szCs w:val="18"/>
        </w:rPr>
        <w:t>change in appropriation arrangements.</w:t>
      </w:r>
      <w:r w:rsidRPr="00DE32F3">
        <w:rPr>
          <w:szCs w:val="18"/>
        </w:rPr>
        <w:t xml:space="preserve">  </w:t>
      </w:r>
    </w:p>
    <w:p w14:paraId="26F63D5A" w14:textId="77777777" w:rsidR="00AB6753" w:rsidRDefault="00AB6753" w:rsidP="00AB6753">
      <w:pPr>
        <w:spacing w:line="240" w:lineRule="auto"/>
      </w:pPr>
      <w:r>
        <w:br w:type="page"/>
      </w:r>
    </w:p>
    <w:p w14:paraId="4F9C6F0D" w14:textId="77777777" w:rsidR="00AB6753" w:rsidRPr="00A71D8D" w:rsidRDefault="00AB6753" w:rsidP="00AB6753">
      <w:pPr>
        <w:pStyle w:val="SectionHeading"/>
        <w:numPr>
          <w:ilvl w:val="0"/>
          <w:numId w:val="60"/>
        </w:numPr>
        <w:shd w:val="clear" w:color="auto" w:fill="00B2BA"/>
        <w:rPr>
          <w:rFonts w:ascii="Arial" w:hAnsi="Arial" w:cs="Arial"/>
          <w:color w:val="auto"/>
        </w:rPr>
      </w:pPr>
      <w:bookmarkStart w:id="200" w:name="_Toc443469544"/>
      <w:bookmarkStart w:id="201" w:name="_Toc444065799"/>
      <w:bookmarkStart w:id="202" w:name="_Toc444079995"/>
      <w:bookmarkStart w:id="203" w:name="_Toc450750176"/>
      <w:bookmarkStart w:id="204" w:name="_Toc45748821"/>
      <w:r w:rsidRPr="00A71D8D">
        <w:rPr>
          <w:rFonts w:ascii="Arial" w:hAnsi="Arial" w:cs="Arial"/>
          <w:color w:val="auto"/>
        </w:rPr>
        <w:lastRenderedPageBreak/>
        <w:t>People</w:t>
      </w:r>
      <w:bookmarkEnd w:id="200"/>
      <w:bookmarkEnd w:id="201"/>
      <w:bookmarkEnd w:id="202"/>
      <w:bookmarkEnd w:id="203"/>
      <w:bookmarkEnd w:id="204"/>
    </w:p>
    <w:p w14:paraId="3F5D18E5" w14:textId="77777777" w:rsidR="00AB6753" w:rsidRDefault="00AB6753" w:rsidP="00AB6753">
      <w:pPr>
        <w:pStyle w:val="SubHeading"/>
      </w:pPr>
      <w:bookmarkStart w:id="205" w:name="_Toc443469545"/>
      <w:bookmarkStart w:id="206" w:name="_Toc444065800"/>
      <w:bookmarkStart w:id="207" w:name="_Toc444079996"/>
      <w:bookmarkStart w:id="208" w:name="_Toc450750177"/>
      <w:bookmarkStart w:id="209" w:name="_Toc45748822"/>
      <w:r>
        <w:rPr>
          <w:sz w:val="20"/>
        </w:rPr>
        <w:t xml:space="preserve">6.1 </w:t>
      </w:r>
      <w:r w:rsidRPr="00BB218B">
        <w:rPr>
          <w:sz w:val="20"/>
        </w:rPr>
        <w:t>Employee Provisions</w:t>
      </w:r>
      <w:bookmarkEnd w:id="205"/>
      <w:bookmarkEnd w:id="206"/>
      <w:bookmarkEnd w:id="207"/>
      <w:bookmarkEnd w:id="208"/>
      <w:bookmarkEnd w:id="209"/>
    </w:p>
    <w:tbl>
      <w:tblPr>
        <w:tblW w:w="9411" w:type="dxa"/>
        <w:tblInd w:w="80" w:type="dxa"/>
        <w:tblLayout w:type="fixed"/>
        <w:tblLook w:val="04A0" w:firstRow="1" w:lastRow="0" w:firstColumn="1" w:lastColumn="0" w:noHBand="0" w:noVBand="1"/>
        <w:tblCaption w:val="Notes to and forming part of the financial statements"/>
        <w:tblDescription w:val="People"/>
      </w:tblPr>
      <w:tblGrid>
        <w:gridCol w:w="6561"/>
        <w:gridCol w:w="1288"/>
        <w:gridCol w:w="274"/>
        <w:gridCol w:w="1288"/>
      </w:tblGrid>
      <w:tr w:rsidR="00AB6753" w14:paraId="4212AACB" w14:textId="77777777" w:rsidTr="002D1EA4">
        <w:trPr>
          <w:trHeight w:val="255"/>
        </w:trPr>
        <w:tc>
          <w:tcPr>
            <w:tcW w:w="6396" w:type="dxa"/>
            <w:tcBorders>
              <w:top w:val="nil"/>
              <w:left w:val="nil"/>
              <w:bottom w:val="nil"/>
              <w:right w:val="nil"/>
            </w:tcBorders>
            <w:shd w:val="clear" w:color="FFFFFF" w:fill="FFFFFF"/>
            <w:noWrap/>
            <w:vAlign w:val="bottom"/>
            <w:hideMark/>
          </w:tcPr>
          <w:p w14:paraId="7190D47E" w14:textId="77777777" w:rsidR="00AB6753" w:rsidRDefault="00AB6753" w:rsidP="002D1EA4">
            <w:pPr>
              <w:spacing w:after="0"/>
              <w:rPr>
                <w:rFonts w:cs="Arial"/>
                <w:sz w:val="18"/>
                <w:szCs w:val="18"/>
              </w:rPr>
            </w:pPr>
            <w:bookmarkStart w:id="210" w:name="Note_PROTABLE1" w:colFirst="0" w:colLast="0"/>
            <w:r>
              <w:rPr>
                <w:rFonts w:cs="Arial"/>
                <w:sz w:val="18"/>
                <w:szCs w:val="18"/>
              </w:rPr>
              <w:t> </w:t>
            </w:r>
          </w:p>
        </w:tc>
        <w:tc>
          <w:tcPr>
            <w:tcW w:w="1256" w:type="dxa"/>
            <w:tcBorders>
              <w:top w:val="nil"/>
              <w:left w:val="nil"/>
              <w:bottom w:val="nil"/>
              <w:right w:val="nil"/>
            </w:tcBorders>
            <w:shd w:val="clear" w:color="FFFFFF" w:fill="FFFFFF"/>
            <w:vAlign w:val="bottom"/>
            <w:hideMark/>
          </w:tcPr>
          <w:p w14:paraId="5C34D4AA" w14:textId="77777777" w:rsidR="00AB6753" w:rsidRDefault="00AB6753" w:rsidP="002D1EA4">
            <w:pPr>
              <w:spacing w:after="0"/>
              <w:jc w:val="right"/>
              <w:rPr>
                <w:rFonts w:cs="Arial"/>
                <w:b/>
                <w:bCs/>
                <w:sz w:val="18"/>
                <w:szCs w:val="18"/>
              </w:rPr>
            </w:pPr>
            <w:r>
              <w:rPr>
                <w:rFonts w:cs="Arial"/>
                <w:b/>
                <w:bCs/>
                <w:sz w:val="18"/>
                <w:szCs w:val="18"/>
              </w:rPr>
              <w:t>2020</w:t>
            </w:r>
          </w:p>
        </w:tc>
        <w:tc>
          <w:tcPr>
            <w:tcW w:w="267" w:type="dxa"/>
            <w:tcBorders>
              <w:top w:val="nil"/>
              <w:left w:val="nil"/>
              <w:bottom w:val="nil"/>
              <w:right w:val="nil"/>
            </w:tcBorders>
            <w:shd w:val="clear" w:color="FFFFFF" w:fill="FFFFFF"/>
            <w:noWrap/>
            <w:vAlign w:val="bottom"/>
            <w:hideMark/>
          </w:tcPr>
          <w:p w14:paraId="71CF775D"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3F23236C" w14:textId="77777777" w:rsidR="00AB6753" w:rsidRDefault="00AB6753" w:rsidP="002D1EA4">
            <w:pPr>
              <w:spacing w:after="0"/>
              <w:jc w:val="right"/>
              <w:rPr>
                <w:rFonts w:cs="Arial"/>
                <w:sz w:val="18"/>
                <w:szCs w:val="18"/>
              </w:rPr>
            </w:pPr>
            <w:r>
              <w:rPr>
                <w:rFonts w:cs="Arial"/>
                <w:sz w:val="18"/>
                <w:szCs w:val="18"/>
              </w:rPr>
              <w:t>2019</w:t>
            </w:r>
          </w:p>
        </w:tc>
      </w:tr>
      <w:bookmarkEnd w:id="210"/>
      <w:tr w:rsidR="00AB6753" w14:paraId="5C3D812A" w14:textId="77777777" w:rsidTr="002D1EA4">
        <w:trPr>
          <w:trHeight w:val="255"/>
        </w:trPr>
        <w:tc>
          <w:tcPr>
            <w:tcW w:w="6396" w:type="dxa"/>
            <w:tcBorders>
              <w:top w:val="nil"/>
              <w:left w:val="nil"/>
              <w:bottom w:val="nil"/>
              <w:right w:val="nil"/>
            </w:tcBorders>
            <w:shd w:val="clear" w:color="FFFFFF" w:fill="FFFFFF"/>
            <w:noWrap/>
            <w:vAlign w:val="bottom"/>
            <w:hideMark/>
          </w:tcPr>
          <w:p w14:paraId="612F0F4D"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656AE9D7" w14:textId="77777777" w:rsidR="00AB6753" w:rsidRDefault="00AB6753" w:rsidP="002D1EA4">
            <w:pPr>
              <w:spacing w:after="0"/>
              <w:jc w:val="right"/>
              <w:rPr>
                <w:rFonts w:cs="Arial"/>
                <w:b/>
                <w:bCs/>
                <w:sz w:val="18"/>
                <w:szCs w:val="18"/>
              </w:rPr>
            </w:pPr>
            <w:r>
              <w:rPr>
                <w:rFonts w:cs="Arial"/>
                <w:b/>
                <w:bCs/>
                <w:sz w:val="18"/>
                <w:szCs w:val="18"/>
              </w:rPr>
              <w:t>$'000</w:t>
            </w:r>
          </w:p>
        </w:tc>
        <w:tc>
          <w:tcPr>
            <w:tcW w:w="267" w:type="dxa"/>
            <w:tcBorders>
              <w:top w:val="nil"/>
              <w:left w:val="nil"/>
              <w:bottom w:val="nil"/>
              <w:right w:val="nil"/>
            </w:tcBorders>
            <w:shd w:val="clear" w:color="FFFFFF" w:fill="FFFFFF"/>
            <w:noWrap/>
            <w:vAlign w:val="bottom"/>
            <w:hideMark/>
          </w:tcPr>
          <w:p w14:paraId="5199DA63"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165BD66B" w14:textId="77777777" w:rsidR="00AB6753" w:rsidRDefault="00AB6753" w:rsidP="002D1EA4">
            <w:pPr>
              <w:spacing w:after="0"/>
              <w:jc w:val="right"/>
              <w:rPr>
                <w:rFonts w:cs="Arial"/>
                <w:sz w:val="18"/>
                <w:szCs w:val="18"/>
              </w:rPr>
            </w:pPr>
            <w:r>
              <w:rPr>
                <w:rFonts w:cs="Arial"/>
                <w:sz w:val="18"/>
                <w:szCs w:val="18"/>
              </w:rPr>
              <w:t>$'000</w:t>
            </w:r>
          </w:p>
        </w:tc>
      </w:tr>
      <w:tr w:rsidR="00AB6753" w14:paraId="65F75DE2" w14:textId="77777777" w:rsidTr="002D1EA4">
        <w:trPr>
          <w:trHeight w:val="255"/>
        </w:trPr>
        <w:tc>
          <w:tcPr>
            <w:tcW w:w="6396" w:type="dxa"/>
            <w:tcBorders>
              <w:top w:val="nil"/>
              <w:left w:val="nil"/>
              <w:bottom w:val="nil"/>
              <w:right w:val="nil"/>
            </w:tcBorders>
            <w:shd w:val="clear" w:color="FFFFFF" w:fill="FFFFFF"/>
            <w:noWrap/>
            <w:vAlign w:val="bottom"/>
            <w:hideMark/>
          </w:tcPr>
          <w:p w14:paraId="3E910E3C" w14:textId="77777777" w:rsidR="00AB6753" w:rsidRDefault="00AB6753" w:rsidP="002D1EA4">
            <w:pPr>
              <w:spacing w:after="0"/>
              <w:rPr>
                <w:rFonts w:cs="Arial"/>
                <w:b/>
                <w:bCs/>
                <w:sz w:val="18"/>
                <w:szCs w:val="18"/>
                <w:u w:val="single"/>
              </w:rPr>
            </w:pPr>
            <w:r>
              <w:rPr>
                <w:rFonts w:cs="Arial"/>
                <w:b/>
                <w:bCs/>
                <w:sz w:val="18"/>
                <w:szCs w:val="18"/>
                <w:u w:val="single"/>
              </w:rPr>
              <w:t>Note 6.1A: Employee Provisions</w:t>
            </w:r>
          </w:p>
        </w:tc>
        <w:tc>
          <w:tcPr>
            <w:tcW w:w="1256" w:type="dxa"/>
            <w:tcBorders>
              <w:top w:val="nil"/>
              <w:left w:val="nil"/>
              <w:bottom w:val="nil"/>
              <w:right w:val="nil"/>
            </w:tcBorders>
            <w:shd w:val="clear" w:color="FFFFFF" w:fill="FFFFFF"/>
            <w:noWrap/>
            <w:vAlign w:val="bottom"/>
            <w:hideMark/>
          </w:tcPr>
          <w:p w14:paraId="5DDBF5CD" w14:textId="77777777" w:rsidR="00AB6753" w:rsidRDefault="00AB6753" w:rsidP="002D1EA4">
            <w:pPr>
              <w:spacing w:after="0"/>
              <w:rPr>
                <w:rFonts w:cs="Arial"/>
                <w:b/>
                <w:bCs/>
                <w:sz w:val="18"/>
                <w:szCs w:val="18"/>
              </w:rPr>
            </w:pPr>
            <w:r>
              <w:rPr>
                <w:rFonts w:cs="Arial"/>
                <w:b/>
                <w:bCs/>
                <w:sz w:val="18"/>
                <w:szCs w:val="18"/>
              </w:rPr>
              <w:t> </w:t>
            </w:r>
          </w:p>
        </w:tc>
        <w:tc>
          <w:tcPr>
            <w:tcW w:w="267" w:type="dxa"/>
            <w:tcBorders>
              <w:top w:val="nil"/>
              <w:left w:val="nil"/>
              <w:bottom w:val="nil"/>
              <w:right w:val="nil"/>
            </w:tcBorders>
            <w:shd w:val="clear" w:color="FFFFFF" w:fill="FFFFFF"/>
            <w:noWrap/>
            <w:vAlign w:val="bottom"/>
            <w:hideMark/>
          </w:tcPr>
          <w:p w14:paraId="5A71A9CA"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558B8EF0" w14:textId="77777777" w:rsidR="00AB6753" w:rsidRDefault="00AB6753" w:rsidP="002D1EA4">
            <w:pPr>
              <w:spacing w:after="0"/>
              <w:rPr>
                <w:rFonts w:cs="Arial"/>
                <w:sz w:val="18"/>
                <w:szCs w:val="18"/>
              </w:rPr>
            </w:pPr>
            <w:r>
              <w:rPr>
                <w:rFonts w:cs="Arial"/>
                <w:sz w:val="18"/>
                <w:szCs w:val="18"/>
              </w:rPr>
              <w:t> </w:t>
            </w:r>
          </w:p>
        </w:tc>
      </w:tr>
      <w:tr w:rsidR="00AB6753" w14:paraId="401B57A4" w14:textId="77777777" w:rsidTr="002D1EA4">
        <w:trPr>
          <w:trHeight w:val="255"/>
        </w:trPr>
        <w:tc>
          <w:tcPr>
            <w:tcW w:w="6396" w:type="dxa"/>
            <w:tcBorders>
              <w:top w:val="nil"/>
              <w:left w:val="nil"/>
              <w:bottom w:val="nil"/>
              <w:right w:val="nil"/>
            </w:tcBorders>
            <w:shd w:val="clear" w:color="FFFFFF" w:fill="FFFFFF"/>
            <w:vAlign w:val="bottom"/>
            <w:hideMark/>
          </w:tcPr>
          <w:p w14:paraId="5DD998FE" w14:textId="77777777" w:rsidR="00AB6753" w:rsidRDefault="00AB6753" w:rsidP="002D1EA4">
            <w:pPr>
              <w:spacing w:after="0"/>
              <w:rPr>
                <w:rFonts w:cs="Arial"/>
                <w:sz w:val="18"/>
                <w:szCs w:val="18"/>
              </w:rPr>
            </w:pPr>
            <w:r>
              <w:rPr>
                <w:rFonts w:cs="Arial"/>
                <w:sz w:val="18"/>
                <w:szCs w:val="18"/>
              </w:rPr>
              <w:t>Leave and other entitlements</w:t>
            </w:r>
          </w:p>
        </w:tc>
        <w:tc>
          <w:tcPr>
            <w:tcW w:w="1256" w:type="dxa"/>
            <w:tcBorders>
              <w:top w:val="nil"/>
              <w:left w:val="nil"/>
              <w:bottom w:val="nil"/>
              <w:right w:val="nil"/>
            </w:tcBorders>
            <w:shd w:val="clear" w:color="FFFFFF" w:fill="FFFFFF"/>
            <w:noWrap/>
            <w:vAlign w:val="bottom"/>
            <w:hideMark/>
          </w:tcPr>
          <w:p w14:paraId="7FCF25B5" w14:textId="77777777" w:rsidR="00AB6753" w:rsidRDefault="00AB6753" w:rsidP="002D1EA4">
            <w:pPr>
              <w:spacing w:after="0"/>
              <w:jc w:val="right"/>
              <w:rPr>
                <w:rFonts w:cs="Arial"/>
                <w:b/>
                <w:bCs/>
                <w:sz w:val="18"/>
                <w:szCs w:val="18"/>
              </w:rPr>
            </w:pPr>
            <w:r>
              <w:rPr>
                <w:rFonts w:cs="Arial"/>
                <w:b/>
                <w:bCs/>
                <w:sz w:val="18"/>
                <w:szCs w:val="18"/>
              </w:rPr>
              <w:t>91,691</w:t>
            </w:r>
          </w:p>
        </w:tc>
        <w:tc>
          <w:tcPr>
            <w:tcW w:w="267" w:type="dxa"/>
            <w:tcBorders>
              <w:top w:val="nil"/>
              <w:left w:val="nil"/>
              <w:bottom w:val="nil"/>
              <w:right w:val="nil"/>
            </w:tcBorders>
            <w:shd w:val="clear" w:color="FFFFFF" w:fill="FFFFFF"/>
            <w:noWrap/>
            <w:vAlign w:val="bottom"/>
            <w:hideMark/>
          </w:tcPr>
          <w:p w14:paraId="48E67E00"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4D7C998B" w14:textId="77777777" w:rsidR="00AB6753" w:rsidRDefault="00AB6753" w:rsidP="002D1EA4">
            <w:pPr>
              <w:spacing w:after="0"/>
              <w:jc w:val="right"/>
              <w:rPr>
                <w:rFonts w:cs="Arial"/>
                <w:sz w:val="18"/>
                <w:szCs w:val="18"/>
              </w:rPr>
            </w:pPr>
            <w:r>
              <w:rPr>
                <w:rFonts w:cs="Arial"/>
                <w:sz w:val="18"/>
                <w:szCs w:val="18"/>
              </w:rPr>
              <w:t>96,172</w:t>
            </w:r>
          </w:p>
        </w:tc>
      </w:tr>
      <w:tr w:rsidR="00AB6753" w14:paraId="7AC42722" w14:textId="77777777" w:rsidTr="002D1EA4">
        <w:trPr>
          <w:trHeight w:val="255"/>
        </w:trPr>
        <w:tc>
          <w:tcPr>
            <w:tcW w:w="6396" w:type="dxa"/>
            <w:tcBorders>
              <w:top w:val="nil"/>
              <w:left w:val="nil"/>
              <w:bottom w:val="nil"/>
              <w:right w:val="nil"/>
            </w:tcBorders>
            <w:shd w:val="clear" w:color="FFFFFF" w:fill="FFFFFF"/>
            <w:vAlign w:val="bottom"/>
            <w:hideMark/>
          </w:tcPr>
          <w:p w14:paraId="73FE08DD" w14:textId="77777777" w:rsidR="00AB6753" w:rsidRDefault="00AB6753" w:rsidP="002D1EA4">
            <w:pPr>
              <w:spacing w:after="0"/>
              <w:rPr>
                <w:rFonts w:cs="Arial"/>
                <w:b/>
                <w:bCs/>
                <w:sz w:val="18"/>
                <w:szCs w:val="18"/>
              </w:rPr>
            </w:pPr>
            <w:r>
              <w:rPr>
                <w:rFonts w:cs="Arial"/>
                <w:b/>
                <w:bCs/>
                <w:sz w:val="18"/>
                <w:szCs w:val="18"/>
              </w:rPr>
              <w:t>Total employee provisions</w:t>
            </w:r>
          </w:p>
        </w:tc>
        <w:tc>
          <w:tcPr>
            <w:tcW w:w="1256" w:type="dxa"/>
            <w:tcBorders>
              <w:top w:val="single" w:sz="4" w:space="0" w:color="auto"/>
              <w:left w:val="nil"/>
              <w:bottom w:val="single" w:sz="4" w:space="0" w:color="auto"/>
              <w:right w:val="nil"/>
            </w:tcBorders>
            <w:shd w:val="clear" w:color="FFFFFF" w:fill="FFFFFF"/>
            <w:noWrap/>
            <w:vAlign w:val="bottom"/>
            <w:hideMark/>
          </w:tcPr>
          <w:p w14:paraId="73A701C4" w14:textId="77777777" w:rsidR="00AB6753" w:rsidRDefault="00AB6753" w:rsidP="002D1EA4">
            <w:pPr>
              <w:spacing w:after="0"/>
              <w:jc w:val="right"/>
              <w:rPr>
                <w:rFonts w:cs="Arial"/>
                <w:b/>
                <w:bCs/>
                <w:sz w:val="18"/>
                <w:szCs w:val="18"/>
              </w:rPr>
            </w:pPr>
            <w:r>
              <w:rPr>
                <w:rFonts w:cs="Arial"/>
                <w:b/>
                <w:bCs/>
                <w:sz w:val="18"/>
                <w:szCs w:val="18"/>
              </w:rPr>
              <w:t>91,691</w:t>
            </w:r>
          </w:p>
        </w:tc>
        <w:tc>
          <w:tcPr>
            <w:tcW w:w="267" w:type="dxa"/>
            <w:tcBorders>
              <w:top w:val="nil"/>
              <w:left w:val="nil"/>
              <w:bottom w:val="nil"/>
              <w:right w:val="nil"/>
            </w:tcBorders>
            <w:shd w:val="clear" w:color="FFFFFF" w:fill="FFFFFF"/>
            <w:noWrap/>
            <w:vAlign w:val="bottom"/>
            <w:hideMark/>
          </w:tcPr>
          <w:p w14:paraId="68FBA33A" w14:textId="77777777" w:rsidR="00AB6753" w:rsidRDefault="00AB6753" w:rsidP="002D1EA4">
            <w:pPr>
              <w:spacing w:after="0"/>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18B1DEFC" w14:textId="77777777" w:rsidR="00AB6753" w:rsidRDefault="00AB6753" w:rsidP="002D1EA4">
            <w:pPr>
              <w:spacing w:after="0"/>
              <w:jc w:val="right"/>
              <w:rPr>
                <w:rFonts w:cs="Arial"/>
                <w:sz w:val="18"/>
                <w:szCs w:val="18"/>
              </w:rPr>
            </w:pPr>
            <w:r>
              <w:rPr>
                <w:rFonts w:cs="Arial"/>
                <w:sz w:val="18"/>
                <w:szCs w:val="18"/>
              </w:rPr>
              <w:t>96,172</w:t>
            </w:r>
          </w:p>
        </w:tc>
      </w:tr>
    </w:tbl>
    <w:p w14:paraId="521E4F64" w14:textId="77777777" w:rsidR="00AB6753" w:rsidRDefault="00AB6753" w:rsidP="00AB6753">
      <w:pPr>
        <w:spacing w:line="240" w:lineRule="auto"/>
      </w:pPr>
    </w:p>
    <w:p w14:paraId="6FD89BE6" w14:textId="77777777" w:rsidR="00AB6753" w:rsidRPr="00E72D83" w:rsidRDefault="00AB6753" w:rsidP="00AB6753">
      <w:pPr>
        <w:pStyle w:val="PolicyheadingDept"/>
        <w:pBdr>
          <w:top w:val="single" w:sz="4" w:space="1" w:color="00B2BA"/>
          <w:left w:val="single" w:sz="4" w:space="0" w:color="00B2BA"/>
          <w:bottom w:val="single" w:sz="4" w:space="1" w:color="00B2BA"/>
          <w:right w:val="single" w:sz="4" w:space="12" w:color="00B2BA"/>
        </w:pBdr>
      </w:pPr>
      <w:r>
        <w:t>Accounting Policy</w:t>
      </w:r>
    </w:p>
    <w:p w14:paraId="63E1A7F6" w14:textId="77777777" w:rsidR="00AB6753" w:rsidRPr="00E72D83" w:rsidRDefault="00AB6753" w:rsidP="00AB6753">
      <w:pPr>
        <w:pStyle w:val="Policytextdeptunderline"/>
        <w:pBdr>
          <w:top w:val="single" w:sz="4" w:space="1" w:color="00B2BA"/>
          <w:left w:val="single" w:sz="4" w:space="0" w:color="00B2BA"/>
          <w:bottom w:val="single" w:sz="4" w:space="1" w:color="00B2BA"/>
          <w:right w:val="single" w:sz="4" w:space="12" w:color="00B2BA"/>
        </w:pBdr>
      </w:pPr>
      <w:r w:rsidRPr="00E72D83">
        <w:t>Employee Benefits</w:t>
      </w:r>
    </w:p>
    <w:p w14:paraId="62F5674D"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rsidRPr="00AD36A9">
        <w:t xml:space="preserve">Liabilities for ‘short-term </w:t>
      </w:r>
      <w:r w:rsidRPr="00E72D83">
        <w:t>employee</w:t>
      </w:r>
      <w:r w:rsidRPr="00AD36A9">
        <w:t xml:space="preserve"> benefits’ (as defined in </w:t>
      </w:r>
      <w:r>
        <w:t xml:space="preserve">AASB </w:t>
      </w:r>
      <w:r w:rsidRPr="00D94968">
        <w:t>119</w:t>
      </w:r>
      <w:r>
        <w:rPr>
          <w:i/>
        </w:rPr>
        <w:t xml:space="preserve"> </w:t>
      </w:r>
      <w:r w:rsidRPr="00E6117C">
        <w:rPr>
          <w:i/>
          <w:iCs/>
        </w:rPr>
        <w:t>Employee Benefits</w:t>
      </w:r>
      <w:r w:rsidRPr="00AD36A9">
        <w:t xml:space="preserve">) and termination benefits due within </w:t>
      </w:r>
      <w:r>
        <w:t xml:space="preserve">12 </w:t>
      </w:r>
      <w:r w:rsidRPr="00AD36A9">
        <w:t>months of the end of the reporting period are measured at their nominal amounts.</w:t>
      </w:r>
      <w:r>
        <w:t xml:space="preserve"> </w:t>
      </w:r>
      <w:r w:rsidRPr="00AD36A9">
        <w:t>The nominal amount is calculated with regard to the rates expected to be paid on settlement of the liability.</w:t>
      </w:r>
    </w:p>
    <w:p w14:paraId="7B88D421"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rsidRPr="00AD36A9">
        <w:t>Other long-term employee benefits are measured as the net total of the present value of the defined benefit obligation at the end of the reporting period minus the fair value at the end of the reporting period of plan assets (if any) out of which the obligations are to be settled directly.</w:t>
      </w:r>
    </w:p>
    <w:p w14:paraId="4B3EEA0D" w14:textId="77777777" w:rsidR="00AB6753" w:rsidRDefault="00AB6753" w:rsidP="00AB6753">
      <w:pPr>
        <w:pStyle w:val="Policytextdeptunderline"/>
        <w:pBdr>
          <w:top w:val="single" w:sz="4" w:space="1" w:color="00B2BA"/>
          <w:left w:val="single" w:sz="4" w:space="0" w:color="00B2BA"/>
          <w:bottom w:val="single" w:sz="4" w:space="1" w:color="00B2BA"/>
          <w:right w:val="single" w:sz="4" w:space="12" w:color="00B2BA"/>
        </w:pBdr>
      </w:pPr>
      <w:r w:rsidRPr="00AD36A9">
        <w:t>Leave</w:t>
      </w:r>
    </w:p>
    <w:p w14:paraId="47A5DC80"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rsidRPr="00AD36A9">
        <w:t xml:space="preserve">The liability for employee benefits includes provision for annual leave and long service leave. </w:t>
      </w:r>
    </w:p>
    <w:p w14:paraId="4108E3EE"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rsidRPr="00AD36A9">
        <w:t xml:space="preserve">The leave liabilities are calculated on the basis of employees' remuneration at the estimated salary rates that will be applied at the time the leave is taken, including </w:t>
      </w:r>
      <w:fldSimple w:instr=" DOCPROPERTY  ShortName  \* MERGEFORMAT ">
        <w:r>
          <w:t>the department</w:t>
        </w:r>
      </w:fldSimple>
      <w:r>
        <w:t>’s</w:t>
      </w:r>
      <w:r w:rsidRPr="00AD36A9">
        <w:t xml:space="preserve"> employer superannuation contribution rates to the extent the leave is likely to be taken during service rather than paid out on termination.</w:t>
      </w:r>
    </w:p>
    <w:p w14:paraId="0D1CFB9A"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rsidRPr="004C7597">
        <w:t xml:space="preserve">As </w:t>
      </w:r>
      <w:r w:rsidRPr="00581897">
        <w:t xml:space="preserve">at 30 June </w:t>
      </w:r>
      <w:fldSimple w:instr=" DOCPROPERTY  crYear  \* MERGEFORMAT ">
        <w:r w:rsidRPr="00581897">
          <w:t>2020</w:t>
        </w:r>
      </w:fldSimple>
      <w:r w:rsidRPr="00581897">
        <w:t>, the liability</w:t>
      </w:r>
      <w:r w:rsidRPr="004C7597">
        <w:t xml:space="preserve"> for long service leave and annual leave expected to be settled </w:t>
      </w:r>
      <w:r>
        <w:t>beyond</w:t>
      </w:r>
      <w:r w:rsidRPr="004C7597">
        <w:t xml:space="preserve"> 12 months of the balance date has been determined by reference to the work of the </w:t>
      </w:r>
      <w:r>
        <w:t>AGA</w:t>
      </w:r>
      <w:r w:rsidRPr="004C7597">
        <w:t>. The estimate of the present value of the liability takes into account</w:t>
      </w:r>
      <w:r>
        <w:t xml:space="preserve"> employee</w:t>
      </w:r>
      <w:r w:rsidRPr="004C7597">
        <w:t xml:space="preserve"> attrition rates, inflation, increases in </w:t>
      </w:r>
      <w:r>
        <w:t>salary</w:t>
      </w:r>
      <w:r w:rsidRPr="004C7597">
        <w:t xml:space="preserve"> thr</w:t>
      </w:r>
      <w:r>
        <w:t>ough promotion and estimated salary</w:t>
      </w:r>
      <w:r w:rsidRPr="004C7597">
        <w:t xml:space="preserve"> increases.</w:t>
      </w:r>
    </w:p>
    <w:p w14:paraId="2BED0A21" w14:textId="77777777" w:rsidR="00AB6753" w:rsidRPr="009E359C" w:rsidRDefault="00AB6753" w:rsidP="00AB6753">
      <w:pPr>
        <w:pStyle w:val="Policytextdeptunderline"/>
        <w:pBdr>
          <w:top w:val="single" w:sz="4" w:space="1" w:color="00B2BA"/>
          <w:left w:val="single" w:sz="4" w:space="0" w:color="00B2BA"/>
          <w:bottom w:val="single" w:sz="4" w:space="1" w:color="00B2BA"/>
          <w:right w:val="single" w:sz="4" w:space="12" w:color="00B2BA"/>
        </w:pBdr>
      </w:pPr>
      <w:r w:rsidRPr="009E359C">
        <w:t>Separation and Redundancy</w:t>
      </w:r>
    </w:p>
    <w:p w14:paraId="3FAA5CE5"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rsidRPr="009E359C">
        <w:t>Provision</w:t>
      </w:r>
      <w:r>
        <w:t>s</w:t>
      </w:r>
      <w:r w:rsidRPr="009E359C">
        <w:t xml:space="preserve"> </w:t>
      </w:r>
      <w:r>
        <w:t>are</w:t>
      </w:r>
      <w:r w:rsidRPr="009E359C">
        <w:t xml:space="preserve"> made for </w:t>
      </w:r>
      <w:r>
        <w:t xml:space="preserve">employee </w:t>
      </w:r>
      <w:r w:rsidRPr="009E359C">
        <w:t xml:space="preserve">separation and redundancy benefit payments. The </w:t>
      </w:r>
      <w:r>
        <w:t>department</w:t>
      </w:r>
      <w:r w:rsidRPr="009E359C">
        <w:t xml:space="preserve"> recognises a provision for</w:t>
      </w:r>
      <w:r>
        <w:t xml:space="preserve"> s</w:t>
      </w:r>
      <w:r w:rsidRPr="00370DBD">
        <w:t xml:space="preserve">eparation and </w:t>
      </w:r>
      <w:r>
        <w:t xml:space="preserve">redundancies </w:t>
      </w:r>
      <w:r w:rsidRPr="009E359C">
        <w:t>when it has developed</w:t>
      </w:r>
      <w:r>
        <w:t xml:space="preserve"> a detailed formal plan </w:t>
      </w:r>
      <w:r w:rsidRPr="009E359C">
        <w:t>and has informed those</w:t>
      </w:r>
      <w:r>
        <w:t xml:space="preserve"> </w:t>
      </w:r>
      <w:r w:rsidRPr="009E359C">
        <w:t xml:space="preserve">employees affected that it will carry out the </w:t>
      </w:r>
      <w:r>
        <w:t>plan</w:t>
      </w:r>
      <w:r w:rsidRPr="009E359C">
        <w:t>.</w:t>
      </w:r>
      <w:r>
        <w:t xml:space="preserve"> </w:t>
      </w:r>
    </w:p>
    <w:p w14:paraId="05BA8CEB" w14:textId="77777777" w:rsidR="00AB6753" w:rsidRDefault="00AB6753" w:rsidP="00AB6753">
      <w:pPr>
        <w:pStyle w:val="Policytextdeptunderline"/>
        <w:pBdr>
          <w:top w:val="single" w:sz="4" w:space="1" w:color="00B2BA"/>
          <w:left w:val="single" w:sz="4" w:space="0" w:color="00B2BA"/>
          <w:bottom w:val="single" w:sz="4" w:space="1" w:color="00B2BA"/>
          <w:right w:val="single" w:sz="4" w:space="12" w:color="00B2BA"/>
        </w:pBdr>
      </w:pPr>
      <w:r w:rsidRPr="00AD36A9">
        <w:t>Superannuation</w:t>
      </w:r>
    </w:p>
    <w:p w14:paraId="60BCD109"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rsidRPr="00AD36A9">
        <w:t xml:space="preserve">Staff of </w:t>
      </w:r>
      <w:fldSimple w:instr=" DOCPROPERTY  ShortName  \* MERGEFORMAT ">
        <w:r>
          <w:t>the department</w:t>
        </w:r>
      </w:fldSimple>
      <w:r w:rsidRPr="00AD36A9">
        <w:t xml:space="preserve"> are members of the Comm</w:t>
      </w:r>
      <w:r>
        <w:t xml:space="preserve">onwealth Superannuation Scheme, </w:t>
      </w:r>
      <w:r w:rsidRPr="00AD36A9">
        <w:t>the Public Sector Superannuation Scheme, the Public Sector Superannuation accumulation plan</w:t>
      </w:r>
      <w:r>
        <w:t xml:space="preserve"> </w:t>
      </w:r>
      <w:r w:rsidRPr="00AD36A9">
        <w:t>or other superannuation funds.</w:t>
      </w:r>
    </w:p>
    <w:p w14:paraId="46AC32EA"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rsidRPr="00AD36A9">
        <w:t>The</w:t>
      </w:r>
      <w:r w:rsidRPr="00682AF5">
        <w:t xml:space="preserve"> </w:t>
      </w:r>
      <w:r w:rsidRPr="00AD36A9">
        <w:t>Comm</w:t>
      </w:r>
      <w:r>
        <w:t>onwealth Superannuation Scheme</w:t>
      </w:r>
      <w:r w:rsidRPr="00AD36A9">
        <w:t xml:space="preserve"> and Public Sector Superannuation Scheme are defined benefit schemes </w:t>
      </w:r>
      <w:r>
        <w:t xml:space="preserve">for the Australian Government. </w:t>
      </w:r>
      <w:r w:rsidRPr="00AD36A9">
        <w:t>The Public Sector Superannuation accumulation plan</w:t>
      </w:r>
      <w:r>
        <w:t xml:space="preserve"> </w:t>
      </w:r>
      <w:r w:rsidRPr="00AD36A9">
        <w:t>is a defined contribution scheme.</w:t>
      </w:r>
    </w:p>
    <w:p w14:paraId="572A2362"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rsidRPr="00AD36A9">
        <w:t xml:space="preserve">The liability for defined benefits is recognised in the financial statements of the Australian Government and </w:t>
      </w:r>
      <w:r>
        <w:t>will be</w:t>
      </w:r>
      <w:r w:rsidRPr="00AD36A9">
        <w:t xml:space="preserve"> settled by the Australian Government in due course</w:t>
      </w:r>
      <w:r>
        <w:t>. This liability is reported in</w:t>
      </w:r>
      <w:r w:rsidRPr="00AD36A9">
        <w:t xml:space="preserve"> the Department of Finance’s administered schedules and</w:t>
      </w:r>
      <w:r>
        <w:t xml:space="preserve"> disclosure</w:t>
      </w:r>
      <w:r w:rsidRPr="00AD36A9">
        <w:t xml:space="preserve"> notes.</w:t>
      </w:r>
    </w:p>
    <w:p w14:paraId="069C416B"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t xml:space="preserve">The department </w:t>
      </w:r>
      <w:r w:rsidRPr="00AD36A9">
        <w:t xml:space="preserve">makes employer contributions to </w:t>
      </w:r>
      <w:r>
        <w:t>each</w:t>
      </w:r>
      <w:r w:rsidRPr="00AD36A9">
        <w:t xml:space="preserve"> employee</w:t>
      </w:r>
      <w:r>
        <w:t>’s</w:t>
      </w:r>
      <w:r w:rsidRPr="00AD36A9">
        <w:t xml:space="preserve"> superannuation scheme at rates determined by an actuary</w:t>
      </w:r>
      <w:r>
        <w:t xml:space="preserve"> and are deemed </w:t>
      </w:r>
      <w:r w:rsidRPr="00AD36A9">
        <w:t>sufficient to meet the c</w:t>
      </w:r>
      <w:r>
        <w:t xml:space="preserve">urrent cost to the Australian Government. </w:t>
      </w:r>
      <w:fldSimple w:instr=" DOCPROPERTY  ShortName  \* MERGEFORMAT ">
        <w:r>
          <w:t>The department</w:t>
        </w:r>
      </w:fldSimple>
      <w:r w:rsidRPr="00AD36A9">
        <w:t xml:space="preserve"> accounts </w:t>
      </w:r>
      <w:r>
        <w:t>for the contributions as if these payments</w:t>
      </w:r>
      <w:r w:rsidRPr="00AD36A9">
        <w:t xml:space="preserve"> were contributions to defined contribution plans.</w:t>
      </w:r>
    </w:p>
    <w:p w14:paraId="6655FF66" w14:textId="4D935631" w:rsidR="00AB6753" w:rsidRDefault="00AB6753" w:rsidP="003965FA">
      <w:pPr>
        <w:pStyle w:val="PolicytextDept"/>
        <w:pBdr>
          <w:top w:val="single" w:sz="4" w:space="1" w:color="00B2BA"/>
          <w:left w:val="single" w:sz="4" w:space="0" w:color="00B2BA"/>
          <w:bottom w:val="single" w:sz="4" w:space="1" w:color="00B2BA"/>
          <w:right w:val="single" w:sz="4" w:space="12" w:color="00B2BA"/>
        </w:pBdr>
      </w:pPr>
      <w:r w:rsidRPr="00CC0599">
        <w:t xml:space="preserve">The liability for superannuation recognised at 30 </w:t>
      </w:r>
      <w:r>
        <w:t>June</w:t>
      </w:r>
      <w:r w:rsidRPr="00CC0599">
        <w:t xml:space="preserve"> </w:t>
      </w:r>
      <w:fldSimple w:instr=" DOCPROPERTY  crYear  \* MERGEFORMAT ">
        <w:r>
          <w:t>2020</w:t>
        </w:r>
      </w:fldSimple>
      <w:r>
        <w:t xml:space="preserve"> </w:t>
      </w:r>
      <w:r w:rsidRPr="00CC0599">
        <w:t>represents outstanding</w:t>
      </w:r>
      <w:r>
        <w:t xml:space="preserve"> employer</w:t>
      </w:r>
      <w:r w:rsidRPr="00CC0599">
        <w:t xml:space="preserve"> contributions for the financial year.</w:t>
      </w:r>
      <w:bookmarkStart w:id="211" w:name="_Toc443469546"/>
      <w:bookmarkStart w:id="212" w:name="_Toc444065801"/>
      <w:bookmarkStart w:id="213" w:name="_Toc444079997"/>
    </w:p>
    <w:p w14:paraId="0C33E54B" w14:textId="77777777" w:rsidR="00AB6753" w:rsidRDefault="00AB6753" w:rsidP="00AB6753">
      <w:pPr>
        <w:spacing w:line="240" w:lineRule="auto"/>
      </w:pPr>
      <w:r>
        <w:br w:type="page"/>
      </w:r>
    </w:p>
    <w:p w14:paraId="3DF01DAD" w14:textId="77777777" w:rsidR="00AB6753" w:rsidRPr="00BB218B" w:rsidRDefault="00AB6753" w:rsidP="00AB6753">
      <w:pPr>
        <w:pStyle w:val="SubHeading"/>
        <w:rPr>
          <w:sz w:val="20"/>
        </w:rPr>
      </w:pPr>
      <w:bookmarkStart w:id="214" w:name="_Toc45748823"/>
      <w:bookmarkEnd w:id="211"/>
      <w:bookmarkEnd w:id="212"/>
      <w:bookmarkEnd w:id="213"/>
      <w:r>
        <w:rPr>
          <w:sz w:val="20"/>
        </w:rPr>
        <w:lastRenderedPageBreak/>
        <w:t xml:space="preserve">6.2 </w:t>
      </w:r>
      <w:r w:rsidRPr="00BB218B">
        <w:rPr>
          <w:sz w:val="20"/>
        </w:rPr>
        <w:t>Key Management Personnel Remuneration</w:t>
      </w:r>
      <w:bookmarkEnd w:id="214"/>
    </w:p>
    <w:p w14:paraId="3FAF4EDD" w14:textId="77777777" w:rsidR="00AB6753" w:rsidRPr="00CC7053" w:rsidRDefault="00AB6753" w:rsidP="00AB6753">
      <w:pPr>
        <w:spacing w:line="0" w:lineRule="atLeast"/>
        <w:rPr>
          <w:sz w:val="18"/>
          <w:lang w:eastAsia="en-AU"/>
        </w:rPr>
      </w:pPr>
    </w:p>
    <w:p w14:paraId="43714608" w14:textId="77777777" w:rsidR="00AB6753" w:rsidRPr="00CC7053" w:rsidRDefault="00AB6753" w:rsidP="00AB6753">
      <w:pPr>
        <w:spacing w:before="100" w:after="100"/>
        <w:rPr>
          <w:sz w:val="18"/>
          <w:lang w:eastAsia="en-AU"/>
        </w:rPr>
      </w:pPr>
      <w:r w:rsidRPr="00CC7053">
        <w:rPr>
          <w:sz w:val="18"/>
          <w:lang w:eastAsia="en-AU"/>
        </w:rPr>
        <w:t xml:space="preserve">Key management personnel are those individuals having authority and responsibility for planning, directing and controlling the activities of the department, directly or indirectly. The department has determined the key management personnel to be the members of the Executive Management Group, which generally comprises the Secretary and Deputy Secretaries. The note includes anyone acting in a key management personnel position who has demonstrated authority and responsibility over planning, directing and controlling the activities of the department, including both departmental and administered funded activities.  </w:t>
      </w:r>
    </w:p>
    <w:p w14:paraId="6B988143" w14:textId="77777777" w:rsidR="00AB6753" w:rsidRPr="00CC7053" w:rsidRDefault="00AB6753" w:rsidP="00AB6753">
      <w:pPr>
        <w:rPr>
          <w:rFonts w:cs="Arial"/>
          <w:sz w:val="18"/>
          <w:szCs w:val="18"/>
        </w:rPr>
      </w:pPr>
      <w:r w:rsidRPr="00CC7053">
        <w:rPr>
          <w:rFonts w:cs="Arial"/>
          <w:sz w:val="18"/>
          <w:szCs w:val="18"/>
        </w:rPr>
        <w:t>Key management personnel remuneration is:</w:t>
      </w:r>
    </w:p>
    <w:tbl>
      <w:tblPr>
        <w:tblW w:w="9411" w:type="dxa"/>
        <w:tblInd w:w="80" w:type="dxa"/>
        <w:tblLayout w:type="fixed"/>
        <w:tblLook w:val="04A0" w:firstRow="1" w:lastRow="0" w:firstColumn="1" w:lastColumn="0" w:noHBand="0" w:noVBand="1"/>
        <w:tblCaption w:val="Notes to and forming part of the financial statements"/>
        <w:tblDescription w:val="People"/>
      </w:tblPr>
      <w:tblGrid>
        <w:gridCol w:w="6404"/>
        <w:gridCol w:w="1369"/>
        <w:gridCol w:w="291"/>
        <w:gridCol w:w="1347"/>
      </w:tblGrid>
      <w:tr w:rsidR="00AB6753" w14:paraId="7E88E8E3" w14:textId="77777777" w:rsidTr="002D1EA4">
        <w:trPr>
          <w:trHeight w:val="255"/>
        </w:trPr>
        <w:tc>
          <w:tcPr>
            <w:tcW w:w="5876" w:type="dxa"/>
            <w:tcBorders>
              <w:top w:val="nil"/>
              <w:left w:val="nil"/>
              <w:bottom w:val="nil"/>
              <w:right w:val="nil"/>
            </w:tcBorders>
            <w:shd w:val="clear" w:color="FFFFFF" w:fill="FFFFFF"/>
            <w:noWrap/>
            <w:vAlign w:val="bottom"/>
            <w:hideMark/>
          </w:tcPr>
          <w:p w14:paraId="54A3D7CE" w14:textId="77777777" w:rsidR="00AB6753" w:rsidRDefault="00AB6753" w:rsidP="002D1EA4">
            <w:pPr>
              <w:spacing w:after="0"/>
              <w:rPr>
                <w:rFonts w:cs="Arial"/>
                <w:b/>
                <w:bCs/>
                <w:sz w:val="18"/>
                <w:szCs w:val="18"/>
              </w:rPr>
            </w:pPr>
            <w:bookmarkStart w:id="215" w:name="Note_ERETABLE1" w:colFirst="0" w:colLast="0"/>
            <w:r>
              <w:rPr>
                <w:rFonts w:cs="Arial"/>
                <w:b/>
                <w:bCs/>
                <w:sz w:val="18"/>
                <w:szCs w:val="18"/>
              </w:rPr>
              <w:t> </w:t>
            </w:r>
          </w:p>
        </w:tc>
        <w:tc>
          <w:tcPr>
            <w:tcW w:w="1256" w:type="dxa"/>
            <w:tcBorders>
              <w:top w:val="nil"/>
              <w:left w:val="nil"/>
              <w:bottom w:val="nil"/>
              <w:right w:val="nil"/>
            </w:tcBorders>
            <w:shd w:val="clear" w:color="FFFFFF" w:fill="FFFFFF"/>
            <w:vAlign w:val="bottom"/>
            <w:hideMark/>
          </w:tcPr>
          <w:p w14:paraId="2C9AEC67" w14:textId="77777777" w:rsidR="00AB6753" w:rsidRDefault="00AB6753" w:rsidP="002D1EA4">
            <w:pPr>
              <w:spacing w:after="0"/>
              <w:jc w:val="right"/>
              <w:rPr>
                <w:rFonts w:cs="Arial"/>
                <w:b/>
                <w:bCs/>
                <w:sz w:val="18"/>
                <w:szCs w:val="18"/>
              </w:rPr>
            </w:pPr>
            <w:r>
              <w:rPr>
                <w:rFonts w:cs="Arial"/>
                <w:b/>
                <w:bCs/>
                <w:sz w:val="18"/>
                <w:szCs w:val="18"/>
              </w:rPr>
              <w:t>2020</w:t>
            </w:r>
          </w:p>
        </w:tc>
        <w:tc>
          <w:tcPr>
            <w:tcW w:w="267" w:type="dxa"/>
            <w:tcBorders>
              <w:top w:val="nil"/>
              <w:left w:val="nil"/>
              <w:bottom w:val="nil"/>
              <w:right w:val="nil"/>
            </w:tcBorders>
            <w:shd w:val="clear" w:color="FFFFFF" w:fill="FFFFFF"/>
            <w:noWrap/>
            <w:vAlign w:val="bottom"/>
            <w:hideMark/>
          </w:tcPr>
          <w:p w14:paraId="4E6BFAD7" w14:textId="77777777" w:rsidR="00AB6753" w:rsidRDefault="00AB6753" w:rsidP="002D1EA4">
            <w:pPr>
              <w:spacing w:after="0"/>
              <w:rPr>
                <w:rFonts w:cs="Arial"/>
                <w:sz w:val="18"/>
                <w:szCs w:val="18"/>
              </w:rPr>
            </w:pPr>
            <w:r>
              <w:rPr>
                <w:rFonts w:cs="Arial"/>
                <w:sz w:val="18"/>
                <w:szCs w:val="18"/>
              </w:rPr>
              <w:t> </w:t>
            </w:r>
          </w:p>
        </w:tc>
        <w:tc>
          <w:tcPr>
            <w:tcW w:w="1236" w:type="dxa"/>
            <w:tcBorders>
              <w:top w:val="nil"/>
              <w:left w:val="nil"/>
              <w:bottom w:val="nil"/>
              <w:right w:val="nil"/>
            </w:tcBorders>
            <w:shd w:val="clear" w:color="FFFFFF" w:fill="FFFFFF"/>
            <w:vAlign w:val="bottom"/>
            <w:hideMark/>
          </w:tcPr>
          <w:p w14:paraId="1F82F8A1" w14:textId="77777777" w:rsidR="00AB6753" w:rsidRDefault="00AB6753" w:rsidP="002D1EA4">
            <w:pPr>
              <w:spacing w:after="0"/>
              <w:jc w:val="right"/>
              <w:rPr>
                <w:rFonts w:cs="Arial"/>
                <w:sz w:val="18"/>
                <w:szCs w:val="18"/>
              </w:rPr>
            </w:pPr>
            <w:r>
              <w:rPr>
                <w:rFonts w:cs="Arial"/>
                <w:sz w:val="18"/>
                <w:szCs w:val="18"/>
              </w:rPr>
              <w:t>2019</w:t>
            </w:r>
          </w:p>
        </w:tc>
      </w:tr>
      <w:bookmarkEnd w:id="215"/>
      <w:tr w:rsidR="00AB6753" w14:paraId="133565B7" w14:textId="77777777" w:rsidTr="002D1EA4">
        <w:trPr>
          <w:trHeight w:val="255"/>
        </w:trPr>
        <w:tc>
          <w:tcPr>
            <w:tcW w:w="5876" w:type="dxa"/>
            <w:tcBorders>
              <w:top w:val="nil"/>
              <w:left w:val="nil"/>
              <w:bottom w:val="nil"/>
              <w:right w:val="nil"/>
            </w:tcBorders>
            <w:shd w:val="clear" w:color="FFFFFF" w:fill="FFFFFF"/>
            <w:noWrap/>
            <w:vAlign w:val="bottom"/>
            <w:hideMark/>
          </w:tcPr>
          <w:p w14:paraId="655B59B4"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7C8D375D" w14:textId="77777777" w:rsidR="00AB6753" w:rsidRDefault="00AB6753" w:rsidP="002D1EA4">
            <w:pPr>
              <w:spacing w:after="0"/>
              <w:jc w:val="right"/>
              <w:rPr>
                <w:rFonts w:cs="Arial"/>
                <w:b/>
                <w:bCs/>
                <w:sz w:val="18"/>
                <w:szCs w:val="18"/>
              </w:rPr>
            </w:pPr>
            <w:r>
              <w:rPr>
                <w:rFonts w:cs="Arial"/>
                <w:b/>
                <w:bCs/>
                <w:sz w:val="18"/>
                <w:szCs w:val="18"/>
              </w:rPr>
              <w:t>$</w:t>
            </w:r>
          </w:p>
        </w:tc>
        <w:tc>
          <w:tcPr>
            <w:tcW w:w="267" w:type="dxa"/>
            <w:tcBorders>
              <w:top w:val="nil"/>
              <w:left w:val="nil"/>
              <w:bottom w:val="nil"/>
              <w:right w:val="nil"/>
            </w:tcBorders>
            <w:shd w:val="clear" w:color="FFFFFF" w:fill="FFFFFF"/>
            <w:noWrap/>
            <w:vAlign w:val="bottom"/>
            <w:hideMark/>
          </w:tcPr>
          <w:p w14:paraId="5091D6FB" w14:textId="77777777" w:rsidR="00AB6753" w:rsidRDefault="00AB6753" w:rsidP="002D1EA4">
            <w:pPr>
              <w:spacing w:after="0"/>
              <w:rPr>
                <w:rFonts w:cs="Arial"/>
                <w:sz w:val="18"/>
                <w:szCs w:val="18"/>
              </w:rPr>
            </w:pPr>
            <w:r>
              <w:rPr>
                <w:rFonts w:cs="Arial"/>
                <w:sz w:val="18"/>
                <w:szCs w:val="18"/>
              </w:rPr>
              <w:t> </w:t>
            </w:r>
          </w:p>
        </w:tc>
        <w:tc>
          <w:tcPr>
            <w:tcW w:w="1236" w:type="dxa"/>
            <w:tcBorders>
              <w:top w:val="nil"/>
              <w:left w:val="nil"/>
              <w:bottom w:val="nil"/>
              <w:right w:val="nil"/>
            </w:tcBorders>
            <w:shd w:val="clear" w:color="FFFFFF" w:fill="FFFFFF"/>
            <w:vAlign w:val="bottom"/>
            <w:hideMark/>
          </w:tcPr>
          <w:p w14:paraId="05F1401E" w14:textId="77777777" w:rsidR="00AB6753" w:rsidRDefault="00AB6753" w:rsidP="002D1EA4">
            <w:pPr>
              <w:spacing w:after="0"/>
              <w:jc w:val="right"/>
              <w:rPr>
                <w:rFonts w:cs="Arial"/>
                <w:sz w:val="18"/>
                <w:szCs w:val="18"/>
              </w:rPr>
            </w:pPr>
            <w:r>
              <w:rPr>
                <w:rFonts w:cs="Arial"/>
                <w:sz w:val="18"/>
                <w:szCs w:val="18"/>
              </w:rPr>
              <w:t>$</w:t>
            </w:r>
          </w:p>
        </w:tc>
      </w:tr>
      <w:tr w:rsidR="00AB6753" w14:paraId="3B05A4FD" w14:textId="77777777" w:rsidTr="002D1EA4">
        <w:trPr>
          <w:trHeight w:val="255"/>
        </w:trPr>
        <w:tc>
          <w:tcPr>
            <w:tcW w:w="5876" w:type="dxa"/>
            <w:tcBorders>
              <w:top w:val="nil"/>
              <w:left w:val="nil"/>
              <w:bottom w:val="nil"/>
              <w:right w:val="nil"/>
            </w:tcBorders>
            <w:shd w:val="clear" w:color="FFFFFF" w:fill="FFFFFF"/>
            <w:vAlign w:val="bottom"/>
            <w:hideMark/>
          </w:tcPr>
          <w:p w14:paraId="028BD468" w14:textId="77777777" w:rsidR="00AB6753" w:rsidRDefault="00AB6753" w:rsidP="002D1EA4">
            <w:pPr>
              <w:spacing w:after="0"/>
              <w:rPr>
                <w:rFonts w:cs="Arial"/>
                <w:sz w:val="18"/>
                <w:szCs w:val="18"/>
              </w:rPr>
            </w:pPr>
            <w:r>
              <w:rPr>
                <w:rFonts w:cs="Arial"/>
                <w:sz w:val="18"/>
                <w:szCs w:val="18"/>
              </w:rPr>
              <w:t>Short-term employee benefits</w:t>
            </w:r>
          </w:p>
        </w:tc>
        <w:tc>
          <w:tcPr>
            <w:tcW w:w="1256" w:type="dxa"/>
            <w:tcBorders>
              <w:top w:val="nil"/>
              <w:left w:val="nil"/>
              <w:bottom w:val="nil"/>
              <w:right w:val="nil"/>
            </w:tcBorders>
            <w:shd w:val="clear" w:color="FFFFFF" w:fill="FFFFFF"/>
            <w:noWrap/>
            <w:vAlign w:val="bottom"/>
            <w:hideMark/>
          </w:tcPr>
          <w:p w14:paraId="496052BA" w14:textId="77777777" w:rsidR="00AB6753" w:rsidRDefault="00AB6753" w:rsidP="002D1EA4">
            <w:pPr>
              <w:spacing w:after="0"/>
              <w:jc w:val="right"/>
              <w:rPr>
                <w:rFonts w:cs="Arial"/>
                <w:b/>
                <w:bCs/>
                <w:sz w:val="18"/>
                <w:szCs w:val="18"/>
              </w:rPr>
            </w:pPr>
            <w:r>
              <w:rPr>
                <w:rFonts w:cs="Arial"/>
                <w:b/>
                <w:bCs/>
                <w:sz w:val="18"/>
                <w:szCs w:val="18"/>
              </w:rPr>
              <w:t>2,421,752</w:t>
            </w:r>
          </w:p>
        </w:tc>
        <w:tc>
          <w:tcPr>
            <w:tcW w:w="267" w:type="dxa"/>
            <w:tcBorders>
              <w:top w:val="nil"/>
              <w:left w:val="nil"/>
              <w:bottom w:val="nil"/>
              <w:right w:val="nil"/>
            </w:tcBorders>
            <w:shd w:val="clear" w:color="FFFFFF" w:fill="FFFFFF"/>
            <w:noWrap/>
            <w:vAlign w:val="bottom"/>
            <w:hideMark/>
          </w:tcPr>
          <w:p w14:paraId="0F528537" w14:textId="77777777" w:rsidR="00AB6753" w:rsidRDefault="00AB6753" w:rsidP="002D1EA4">
            <w:pPr>
              <w:spacing w:after="0"/>
              <w:rPr>
                <w:rFonts w:cs="Arial"/>
                <w:b/>
                <w:bCs/>
                <w:sz w:val="18"/>
                <w:szCs w:val="18"/>
              </w:rPr>
            </w:pPr>
            <w:r>
              <w:rPr>
                <w:rFonts w:cs="Arial"/>
                <w:b/>
                <w:bCs/>
                <w:sz w:val="18"/>
                <w:szCs w:val="18"/>
              </w:rPr>
              <w:t> </w:t>
            </w:r>
          </w:p>
        </w:tc>
        <w:tc>
          <w:tcPr>
            <w:tcW w:w="1236" w:type="dxa"/>
            <w:tcBorders>
              <w:top w:val="nil"/>
              <w:left w:val="nil"/>
              <w:bottom w:val="nil"/>
              <w:right w:val="nil"/>
            </w:tcBorders>
            <w:shd w:val="clear" w:color="FFFFFF" w:fill="FFFFFF"/>
            <w:noWrap/>
            <w:vAlign w:val="bottom"/>
            <w:hideMark/>
          </w:tcPr>
          <w:p w14:paraId="6BCD38B7" w14:textId="77777777" w:rsidR="00AB6753" w:rsidRDefault="00AB6753" w:rsidP="002D1EA4">
            <w:pPr>
              <w:spacing w:after="0"/>
              <w:jc w:val="right"/>
              <w:rPr>
                <w:rFonts w:cs="Arial"/>
                <w:sz w:val="18"/>
                <w:szCs w:val="18"/>
              </w:rPr>
            </w:pPr>
            <w:r>
              <w:rPr>
                <w:rFonts w:cs="Arial"/>
                <w:sz w:val="18"/>
                <w:szCs w:val="18"/>
              </w:rPr>
              <w:t xml:space="preserve">2,369,614 </w:t>
            </w:r>
          </w:p>
        </w:tc>
      </w:tr>
      <w:tr w:rsidR="00AB6753" w14:paraId="3B1D0198" w14:textId="77777777" w:rsidTr="002D1EA4">
        <w:trPr>
          <w:trHeight w:val="255"/>
        </w:trPr>
        <w:tc>
          <w:tcPr>
            <w:tcW w:w="5876" w:type="dxa"/>
            <w:tcBorders>
              <w:top w:val="nil"/>
              <w:left w:val="nil"/>
              <w:bottom w:val="nil"/>
              <w:right w:val="nil"/>
            </w:tcBorders>
            <w:shd w:val="clear" w:color="FFFFFF" w:fill="FFFFFF"/>
            <w:vAlign w:val="bottom"/>
            <w:hideMark/>
          </w:tcPr>
          <w:p w14:paraId="629755F3" w14:textId="77777777" w:rsidR="00AB6753" w:rsidRDefault="00AB6753" w:rsidP="002D1EA4">
            <w:pPr>
              <w:spacing w:after="0"/>
              <w:rPr>
                <w:rFonts w:cs="Arial"/>
                <w:sz w:val="18"/>
                <w:szCs w:val="18"/>
              </w:rPr>
            </w:pPr>
            <w:r>
              <w:rPr>
                <w:rFonts w:cs="Arial"/>
                <w:sz w:val="18"/>
                <w:szCs w:val="18"/>
              </w:rPr>
              <w:t>Post-employment benefits</w:t>
            </w:r>
          </w:p>
        </w:tc>
        <w:tc>
          <w:tcPr>
            <w:tcW w:w="1256" w:type="dxa"/>
            <w:tcBorders>
              <w:top w:val="nil"/>
              <w:left w:val="nil"/>
              <w:bottom w:val="nil"/>
              <w:right w:val="nil"/>
            </w:tcBorders>
            <w:shd w:val="clear" w:color="FFFFFF" w:fill="FFFFFF"/>
            <w:noWrap/>
            <w:vAlign w:val="bottom"/>
            <w:hideMark/>
          </w:tcPr>
          <w:p w14:paraId="62C93586" w14:textId="77777777" w:rsidR="00AB6753" w:rsidRDefault="00AB6753" w:rsidP="002D1EA4">
            <w:pPr>
              <w:spacing w:after="0"/>
              <w:jc w:val="right"/>
              <w:rPr>
                <w:rFonts w:cs="Arial"/>
                <w:b/>
                <w:bCs/>
                <w:sz w:val="18"/>
                <w:szCs w:val="18"/>
              </w:rPr>
            </w:pPr>
            <w:r>
              <w:rPr>
                <w:rFonts w:cs="Arial"/>
                <w:b/>
                <w:bCs/>
                <w:sz w:val="18"/>
                <w:szCs w:val="18"/>
              </w:rPr>
              <w:t>364,041</w:t>
            </w:r>
          </w:p>
        </w:tc>
        <w:tc>
          <w:tcPr>
            <w:tcW w:w="267" w:type="dxa"/>
            <w:tcBorders>
              <w:top w:val="nil"/>
              <w:left w:val="nil"/>
              <w:bottom w:val="nil"/>
              <w:right w:val="nil"/>
            </w:tcBorders>
            <w:shd w:val="clear" w:color="FFFFFF" w:fill="FFFFFF"/>
            <w:noWrap/>
            <w:vAlign w:val="bottom"/>
            <w:hideMark/>
          </w:tcPr>
          <w:p w14:paraId="5C17453F" w14:textId="77777777" w:rsidR="00AB6753" w:rsidRDefault="00AB6753" w:rsidP="002D1EA4">
            <w:pPr>
              <w:spacing w:after="0"/>
              <w:rPr>
                <w:rFonts w:cs="Arial"/>
                <w:b/>
                <w:bCs/>
                <w:sz w:val="18"/>
                <w:szCs w:val="18"/>
              </w:rPr>
            </w:pPr>
            <w:r>
              <w:rPr>
                <w:rFonts w:cs="Arial"/>
                <w:b/>
                <w:bCs/>
                <w:sz w:val="18"/>
                <w:szCs w:val="18"/>
              </w:rPr>
              <w:t> </w:t>
            </w:r>
          </w:p>
        </w:tc>
        <w:tc>
          <w:tcPr>
            <w:tcW w:w="1236" w:type="dxa"/>
            <w:tcBorders>
              <w:top w:val="nil"/>
              <w:left w:val="nil"/>
              <w:bottom w:val="nil"/>
              <w:right w:val="nil"/>
            </w:tcBorders>
            <w:shd w:val="clear" w:color="FFFFFF" w:fill="FFFFFF"/>
            <w:noWrap/>
            <w:vAlign w:val="bottom"/>
            <w:hideMark/>
          </w:tcPr>
          <w:p w14:paraId="03C86D7D" w14:textId="77777777" w:rsidR="00AB6753" w:rsidRDefault="00AB6753" w:rsidP="002D1EA4">
            <w:pPr>
              <w:spacing w:after="0"/>
              <w:jc w:val="right"/>
              <w:rPr>
                <w:rFonts w:cs="Arial"/>
                <w:sz w:val="18"/>
                <w:szCs w:val="18"/>
              </w:rPr>
            </w:pPr>
            <w:r>
              <w:rPr>
                <w:rFonts w:cs="Arial"/>
                <w:sz w:val="18"/>
                <w:szCs w:val="18"/>
              </w:rPr>
              <w:t xml:space="preserve">360,160 </w:t>
            </w:r>
          </w:p>
        </w:tc>
      </w:tr>
      <w:tr w:rsidR="00AB6753" w14:paraId="26C30205" w14:textId="77777777" w:rsidTr="002D1EA4">
        <w:trPr>
          <w:trHeight w:val="255"/>
        </w:trPr>
        <w:tc>
          <w:tcPr>
            <w:tcW w:w="5876" w:type="dxa"/>
            <w:tcBorders>
              <w:top w:val="nil"/>
              <w:left w:val="nil"/>
              <w:bottom w:val="nil"/>
              <w:right w:val="nil"/>
            </w:tcBorders>
            <w:shd w:val="clear" w:color="FFFFFF" w:fill="FFFFFF"/>
            <w:vAlign w:val="bottom"/>
            <w:hideMark/>
          </w:tcPr>
          <w:p w14:paraId="62D2EC00" w14:textId="77777777" w:rsidR="00AB6753" w:rsidRDefault="00AB6753" w:rsidP="002D1EA4">
            <w:pPr>
              <w:spacing w:after="0"/>
              <w:rPr>
                <w:rFonts w:cs="Arial"/>
                <w:sz w:val="18"/>
                <w:szCs w:val="18"/>
              </w:rPr>
            </w:pPr>
            <w:r>
              <w:rPr>
                <w:rFonts w:cs="Arial"/>
                <w:sz w:val="18"/>
                <w:szCs w:val="18"/>
              </w:rPr>
              <w:t>Other long-term employee benefits</w:t>
            </w:r>
          </w:p>
        </w:tc>
        <w:tc>
          <w:tcPr>
            <w:tcW w:w="1256" w:type="dxa"/>
            <w:tcBorders>
              <w:top w:val="nil"/>
              <w:left w:val="nil"/>
              <w:bottom w:val="nil"/>
              <w:right w:val="nil"/>
            </w:tcBorders>
            <w:shd w:val="clear" w:color="FFFFFF" w:fill="FFFFFF"/>
            <w:noWrap/>
            <w:vAlign w:val="bottom"/>
            <w:hideMark/>
          </w:tcPr>
          <w:p w14:paraId="50B4964A" w14:textId="77777777" w:rsidR="00AB6753" w:rsidRDefault="00AB6753" w:rsidP="002D1EA4">
            <w:pPr>
              <w:spacing w:after="0"/>
              <w:jc w:val="right"/>
              <w:rPr>
                <w:rFonts w:cs="Arial"/>
                <w:b/>
                <w:bCs/>
                <w:sz w:val="18"/>
                <w:szCs w:val="18"/>
              </w:rPr>
            </w:pPr>
            <w:r>
              <w:rPr>
                <w:rFonts w:cs="Arial"/>
                <w:b/>
                <w:bCs/>
                <w:sz w:val="18"/>
                <w:szCs w:val="18"/>
              </w:rPr>
              <w:t>62,599</w:t>
            </w:r>
          </w:p>
        </w:tc>
        <w:tc>
          <w:tcPr>
            <w:tcW w:w="267" w:type="dxa"/>
            <w:tcBorders>
              <w:top w:val="nil"/>
              <w:left w:val="nil"/>
              <w:bottom w:val="nil"/>
              <w:right w:val="nil"/>
            </w:tcBorders>
            <w:shd w:val="clear" w:color="FFFFFF" w:fill="FFFFFF"/>
            <w:noWrap/>
            <w:vAlign w:val="bottom"/>
            <w:hideMark/>
          </w:tcPr>
          <w:p w14:paraId="3AF66A01" w14:textId="77777777" w:rsidR="00AB6753" w:rsidRDefault="00AB6753" w:rsidP="002D1EA4">
            <w:pPr>
              <w:spacing w:after="0"/>
              <w:rPr>
                <w:rFonts w:cs="Arial"/>
                <w:b/>
                <w:bCs/>
                <w:sz w:val="18"/>
                <w:szCs w:val="18"/>
              </w:rPr>
            </w:pPr>
            <w:r>
              <w:rPr>
                <w:rFonts w:cs="Arial"/>
                <w:b/>
                <w:bCs/>
                <w:sz w:val="18"/>
                <w:szCs w:val="18"/>
              </w:rPr>
              <w:t> </w:t>
            </w:r>
          </w:p>
        </w:tc>
        <w:tc>
          <w:tcPr>
            <w:tcW w:w="1236" w:type="dxa"/>
            <w:tcBorders>
              <w:top w:val="nil"/>
              <w:left w:val="nil"/>
              <w:bottom w:val="nil"/>
              <w:right w:val="nil"/>
            </w:tcBorders>
            <w:shd w:val="clear" w:color="FFFFFF" w:fill="FFFFFF"/>
            <w:noWrap/>
            <w:vAlign w:val="bottom"/>
            <w:hideMark/>
          </w:tcPr>
          <w:p w14:paraId="1A4D6907" w14:textId="77777777" w:rsidR="00AB6753" w:rsidRDefault="00AB6753" w:rsidP="002D1EA4">
            <w:pPr>
              <w:spacing w:after="0"/>
              <w:jc w:val="right"/>
              <w:rPr>
                <w:rFonts w:cs="Arial"/>
                <w:sz w:val="18"/>
                <w:szCs w:val="18"/>
              </w:rPr>
            </w:pPr>
            <w:r>
              <w:rPr>
                <w:rFonts w:cs="Arial"/>
                <w:sz w:val="18"/>
                <w:szCs w:val="18"/>
              </w:rPr>
              <w:t xml:space="preserve">54,723 </w:t>
            </w:r>
          </w:p>
        </w:tc>
      </w:tr>
      <w:tr w:rsidR="00AB6753" w14:paraId="40F6CB6D" w14:textId="77777777" w:rsidTr="002D1EA4">
        <w:trPr>
          <w:trHeight w:val="255"/>
        </w:trPr>
        <w:tc>
          <w:tcPr>
            <w:tcW w:w="5876" w:type="dxa"/>
            <w:tcBorders>
              <w:top w:val="nil"/>
              <w:left w:val="nil"/>
              <w:bottom w:val="nil"/>
              <w:right w:val="nil"/>
            </w:tcBorders>
            <w:shd w:val="clear" w:color="FFFFFF" w:fill="FFFFFF"/>
            <w:vAlign w:val="bottom"/>
            <w:hideMark/>
          </w:tcPr>
          <w:p w14:paraId="22313071" w14:textId="77777777" w:rsidR="00AB6753" w:rsidRDefault="00AB6753" w:rsidP="002D1EA4">
            <w:pPr>
              <w:spacing w:after="0"/>
              <w:rPr>
                <w:rFonts w:cs="Arial"/>
                <w:sz w:val="18"/>
                <w:szCs w:val="18"/>
              </w:rPr>
            </w:pPr>
            <w:r>
              <w:rPr>
                <w:rFonts w:cs="Arial"/>
                <w:sz w:val="18"/>
                <w:szCs w:val="18"/>
              </w:rPr>
              <w:t>Termination benefits</w:t>
            </w:r>
          </w:p>
        </w:tc>
        <w:tc>
          <w:tcPr>
            <w:tcW w:w="1256" w:type="dxa"/>
            <w:tcBorders>
              <w:top w:val="nil"/>
              <w:left w:val="nil"/>
              <w:bottom w:val="nil"/>
              <w:right w:val="nil"/>
            </w:tcBorders>
            <w:shd w:val="clear" w:color="FFFFFF" w:fill="FFFFFF"/>
            <w:noWrap/>
            <w:vAlign w:val="bottom"/>
            <w:hideMark/>
          </w:tcPr>
          <w:p w14:paraId="541C227C" w14:textId="77777777" w:rsidR="00AB6753" w:rsidRDefault="00AB6753" w:rsidP="002D1EA4">
            <w:pPr>
              <w:spacing w:after="0"/>
              <w:jc w:val="right"/>
              <w:rPr>
                <w:rFonts w:cs="Arial"/>
                <w:b/>
                <w:bCs/>
                <w:sz w:val="18"/>
                <w:szCs w:val="18"/>
              </w:rPr>
            </w:pPr>
            <w:r>
              <w:rPr>
                <w:rFonts w:cs="Arial"/>
                <w:b/>
                <w:bCs/>
                <w:sz w:val="18"/>
                <w:szCs w:val="18"/>
              </w:rPr>
              <w:t>369,408</w:t>
            </w:r>
          </w:p>
        </w:tc>
        <w:tc>
          <w:tcPr>
            <w:tcW w:w="267" w:type="dxa"/>
            <w:tcBorders>
              <w:top w:val="nil"/>
              <w:left w:val="nil"/>
              <w:bottom w:val="nil"/>
              <w:right w:val="nil"/>
            </w:tcBorders>
            <w:shd w:val="clear" w:color="FFFFFF" w:fill="FFFFFF"/>
            <w:noWrap/>
            <w:vAlign w:val="bottom"/>
            <w:hideMark/>
          </w:tcPr>
          <w:p w14:paraId="5663DB2B" w14:textId="77777777" w:rsidR="00AB6753" w:rsidRDefault="00AB6753" w:rsidP="002D1EA4">
            <w:pPr>
              <w:spacing w:after="0"/>
              <w:rPr>
                <w:rFonts w:cs="Arial"/>
                <w:b/>
                <w:bCs/>
                <w:sz w:val="18"/>
                <w:szCs w:val="18"/>
              </w:rPr>
            </w:pPr>
            <w:r>
              <w:rPr>
                <w:rFonts w:cs="Arial"/>
                <w:b/>
                <w:bCs/>
                <w:sz w:val="18"/>
                <w:szCs w:val="18"/>
              </w:rPr>
              <w:t> </w:t>
            </w:r>
          </w:p>
        </w:tc>
        <w:tc>
          <w:tcPr>
            <w:tcW w:w="1236" w:type="dxa"/>
            <w:tcBorders>
              <w:top w:val="nil"/>
              <w:left w:val="nil"/>
              <w:bottom w:val="nil"/>
              <w:right w:val="nil"/>
            </w:tcBorders>
            <w:shd w:val="clear" w:color="FFFFFF" w:fill="FFFFFF"/>
            <w:noWrap/>
            <w:vAlign w:val="bottom"/>
            <w:hideMark/>
          </w:tcPr>
          <w:p w14:paraId="4FDBDE95"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12944602" w14:textId="77777777" w:rsidTr="002D1EA4">
        <w:trPr>
          <w:trHeight w:val="255"/>
        </w:trPr>
        <w:tc>
          <w:tcPr>
            <w:tcW w:w="5876" w:type="dxa"/>
            <w:tcBorders>
              <w:top w:val="nil"/>
              <w:left w:val="nil"/>
              <w:bottom w:val="nil"/>
              <w:right w:val="nil"/>
            </w:tcBorders>
            <w:shd w:val="clear" w:color="FFFFFF" w:fill="FFFFFF"/>
            <w:noWrap/>
            <w:vAlign w:val="bottom"/>
            <w:hideMark/>
          </w:tcPr>
          <w:p w14:paraId="56E6F182" w14:textId="77777777" w:rsidR="00AB6753" w:rsidRDefault="00AB6753" w:rsidP="002D1EA4">
            <w:pPr>
              <w:spacing w:after="0"/>
              <w:rPr>
                <w:rFonts w:cs="Arial"/>
                <w:b/>
                <w:bCs/>
                <w:sz w:val="18"/>
                <w:szCs w:val="18"/>
              </w:rPr>
            </w:pPr>
            <w:r>
              <w:rPr>
                <w:rFonts w:cs="Arial"/>
                <w:b/>
                <w:bCs/>
                <w:sz w:val="18"/>
                <w:szCs w:val="18"/>
              </w:rPr>
              <w:t>Total key management personnel remuneration expenses</w:t>
            </w:r>
          </w:p>
        </w:tc>
        <w:tc>
          <w:tcPr>
            <w:tcW w:w="1256" w:type="dxa"/>
            <w:tcBorders>
              <w:top w:val="single" w:sz="4" w:space="0" w:color="auto"/>
              <w:left w:val="nil"/>
              <w:bottom w:val="single" w:sz="4" w:space="0" w:color="auto"/>
              <w:right w:val="nil"/>
            </w:tcBorders>
            <w:shd w:val="clear" w:color="FFFFFF" w:fill="FFFFFF"/>
            <w:noWrap/>
            <w:vAlign w:val="bottom"/>
            <w:hideMark/>
          </w:tcPr>
          <w:p w14:paraId="74CBEB0E" w14:textId="77777777" w:rsidR="00AB6753" w:rsidRDefault="00AB6753" w:rsidP="002D1EA4">
            <w:pPr>
              <w:spacing w:after="0"/>
              <w:jc w:val="right"/>
              <w:rPr>
                <w:rFonts w:cs="Arial"/>
                <w:b/>
                <w:bCs/>
                <w:sz w:val="18"/>
                <w:szCs w:val="18"/>
              </w:rPr>
            </w:pPr>
            <w:r>
              <w:rPr>
                <w:rFonts w:cs="Arial"/>
                <w:b/>
                <w:bCs/>
                <w:sz w:val="18"/>
                <w:szCs w:val="18"/>
              </w:rPr>
              <w:t>3,217,800</w:t>
            </w:r>
          </w:p>
        </w:tc>
        <w:tc>
          <w:tcPr>
            <w:tcW w:w="267" w:type="dxa"/>
            <w:tcBorders>
              <w:top w:val="nil"/>
              <w:left w:val="nil"/>
              <w:bottom w:val="nil"/>
              <w:right w:val="nil"/>
            </w:tcBorders>
            <w:shd w:val="clear" w:color="FFFFFF" w:fill="FFFFFF"/>
            <w:noWrap/>
            <w:vAlign w:val="bottom"/>
            <w:hideMark/>
          </w:tcPr>
          <w:p w14:paraId="4E056854" w14:textId="77777777" w:rsidR="00AB6753" w:rsidRDefault="00AB6753" w:rsidP="002D1EA4">
            <w:pPr>
              <w:spacing w:after="0"/>
              <w:rPr>
                <w:rFonts w:cs="Arial"/>
                <w:sz w:val="18"/>
                <w:szCs w:val="18"/>
              </w:rPr>
            </w:pPr>
            <w:r>
              <w:rPr>
                <w:rFonts w:cs="Arial"/>
                <w:sz w:val="18"/>
                <w:szCs w:val="18"/>
              </w:rPr>
              <w:t> </w:t>
            </w:r>
          </w:p>
        </w:tc>
        <w:tc>
          <w:tcPr>
            <w:tcW w:w="1236" w:type="dxa"/>
            <w:tcBorders>
              <w:top w:val="single" w:sz="4" w:space="0" w:color="auto"/>
              <w:left w:val="nil"/>
              <w:bottom w:val="single" w:sz="4" w:space="0" w:color="auto"/>
              <w:right w:val="nil"/>
            </w:tcBorders>
            <w:shd w:val="clear" w:color="FFFFFF" w:fill="FFFFFF"/>
            <w:noWrap/>
            <w:vAlign w:val="bottom"/>
            <w:hideMark/>
          </w:tcPr>
          <w:p w14:paraId="40803C40" w14:textId="77777777" w:rsidR="00AB6753" w:rsidRDefault="00AB6753" w:rsidP="002D1EA4">
            <w:pPr>
              <w:spacing w:after="0"/>
              <w:jc w:val="right"/>
              <w:rPr>
                <w:rFonts w:cs="Arial"/>
                <w:sz w:val="18"/>
                <w:szCs w:val="18"/>
              </w:rPr>
            </w:pPr>
            <w:r>
              <w:rPr>
                <w:rFonts w:cs="Arial"/>
                <w:sz w:val="18"/>
                <w:szCs w:val="18"/>
              </w:rPr>
              <w:t>2,784,497</w:t>
            </w:r>
          </w:p>
        </w:tc>
      </w:tr>
    </w:tbl>
    <w:p w14:paraId="5D4E7DA3" w14:textId="77777777" w:rsidR="00AB6753" w:rsidRPr="003A6CE4" w:rsidRDefault="00AB6753" w:rsidP="00AB6753">
      <w:pPr>
        <w:spacing w:line="240" w:lineRule="auto"/>
        <w:rPr>
          <w:rFonts w:cs="Arial"/>
          <w:sz w:val="4"/>
          <w:szCs w:val="4"/>
          <w:highlight w:val="yellow"/>
        </w:rPr>
      </w:pPr>
    </w:p>
    <w:p w14:paraId="2736B7EC" w14:textId="77777777" w:rsidR="00AB6753" w:rsidRPr="003A6CE4" w:rsidRDefault="00AB6753" w:rsidP="00AB6753">
      <w:pPr>
        <w:spacing w:line="240" w:lineRule="auto"/>
        <w:rPr>
          <w:rFonts w:cs="Arial"/>
          <w:sz w:val="18"/>
          <w:szCs w:val="18"/>
          <w:highlight w:val="yellow"/>
        </w:rPr>
      </w:pPr>
    </w:p>
    <w:p w14:paraId="793AAD2D" w14:textId="77777777" w:rsidR="00AB6753" w:rsidRPr="00CC7053" w:rsidRDefault="00AB6753" w:rsidP="00AB6753">
      <w:pPr>
        <w:spacing w:before="100" w:after="100"/>
        <w:rPr>
          <w:sz w:val="18"/>
          <w:lang w:eastAsia="en-AU"/>
        </w:rPr>
      </w:pPr>
      <w:r w:rsidRPr="00CC7053">
        <w:rPr>
          <w:sz w:val="18"/>
          <w:lang w:eastAsia="en-AU"/>
        </w:rPr>
        <w:t>The total number of key management personnel (KMP) included in the above table is eight, being three substantive officers who held the position for the full year; three substantive officers who held the position for part of the year and two officers acting in a KMP position for part of the year (2019: 10 KMP, being three full year, five part-year and two acting).</w:t>
      </w:r>
    </w:p>
    <w:p w14:paraId="5B128C62" w14:textId="77777777" w:rsidR="00AB6753" w:rsidRPr="00CC7053" w:rsidRDefault="00AB6753" w:rsidP="00AB6753">
      <w:pPr>
        <w:spacing w:before="100" w:after="100"/>
        <w:rPr>
          <w:sz w:val="18"/>
          <w:lang w:eastAsia="en-AU"/>
        </w:rPr>
      </w:pPr>
      <w:r w:rsidRPr="00CC7053">
        <w:rPr>
          <w:sz w:val="18"/>
          <w:lang w:eastAsia="en-AU"/>
        </w:rPr>
        <w:t xml:space="preserve">There were no termination benefits paid in </w:t>
      </w:r>
      <w:r w:rsidRPr="00CC7053">
        <w:rPr>
          <w:sz w:val="18"/>
          <w:lang w:eastAsia="en-AU"/>
        </w:rPr>
        <w:fldChar w:fldCharType="begin"/>
      </w:r>
      <w:r w:rsidRPr="00CC7053">
        <w:rPr>
          <w:sz w:val="18"/>
          <w:lang w:eastAsia="en-AU"/>
        </w:rPr>
        <w:instrText xml:space="preserve"> DOCPROPERTY  crYear  \* MERGEFORMAT </w:instrText>
      </w:r>
      <w:r w:rsidRPr="00CC7053">
        <w:rPr>
          <w:sz w:val="18"/>
          <w:lang w:eastAsia="en-AU"/>
        </w:rPr>
        <w:fldChar w:fldCharType="separate"/>
      </w:r>
      <w:r w:rsidRPr="00CC7053">
        <w:rPr>
          <w:sz w:val="18"/>
          <w:lang w:eastAsia="en-AU"/>
        </w:rPr>
        <w:t>2019</w:t>
      </w:r>
      <w:r w:rsidRPr="00CC7053">
        <w:rPr>
          <w:sz w:val="18"/>
          <w:lang w:eastAsia="en-AU"/>
        </w:rPr>
        <w:fldChar w:fldCharType="end"/>
      </w:r>
      <w:r w:rsidRPr="00CC7053">
        <w:rPr>
          <w:sz w:val="18"/>
          <w:lang w:eastAsia="en-AU"/>
        </w:rPr>
        <w:t xml:space="preserve">. </w:t>
      </w:r>
    </w:p>
    <w:p w14:paraId="71A08150" w14:textId="77777777" w:rsidR="00AB6753" w:rsidRPr="00CC7053" w:rsidRDefault="00AB6753" w:rsidP="00AB6753">
      <w:pPr>
        <w:spacing w:before="100" w:after="100"/>
        <w:rPr>
          <w:sz w:val="18"/>
          <w:lang w:eastAsia="en-AU"/>
        </w:rPr>
      </w:pPr>
      <w:r w:rsidRPr="00CC7053">
        <w:rPr>
          <w:sz w:val="18"/>
          <w:lang w:eastAsia="en-AU"/>
        </w:rPr>
        <w:t>The above key management personnel remuneration excludes the remuneration and other benefits of the Cabinet Ministers, Portfolio Ministers, Assistant Ministers and Presiding Officers. The Ministers' remuneration and other benefits are set by the Remuneration Tribunal and are not paid by the department.</w:t>
      </w:r>
    </w:p>
    <w:p w14:paraId="358DC19D" w14:textId="77777777" w:rsidR="00AB6753" w:rsidRPr="003A6CE4" w:rsidRDefault="00AB6753" w:rsidP="00AB6753">
      <w:pPr>
        <w:ind w:right="-144"/>
        <w:rPr>
          <w:rFonts w:cs="Arial"/>
          <w:sz w:val="18"/>
          <w:szCs w:val="18"/>
          <w:highlight w:val="yellow"/>
        </w:rPr>
      </w:pPr>
    </w:p>
    <w:p w14:paraId="1A497F13" w14:textId="77777777" w:rsidR="00AB6753" w:rsidRPr="00BB218B" w:rsidRDefault="00AB6753" w:rsidP="00AB6753">
      <w:pPr>
        <w:pStyle w:val="SubHeading"/>
        <w:numPr>
          <w:ilvl w:val="1"/>
          <w:numId w:val="60"/>
        </w:numPr>
        <w:ind w:left="454" w:hanging="454"/>
        <w:rPr>
          <w:sz w:val="20"/>
        </w:rPr>
      </w:pPr>
      <w:bookmarkStart w:id="216" w:name="_Toc45748824"/>
      <w:r w:rsidRPr="00BB218B">
        <w:rPr>
          <w:sz w:val="20"/>
        </w:rPr>
        <w:t>Related Party Disclosures</w:t>
      </w:r>
      <w:bookmarkEnd w:id="216"/>
    </w:p>
    <w:p w14:paraId="109CC9FB" w14:textId="77777777" w:rsidR="00AB6753" w:rsidRPr="00CC7053" w:rsidRDefault="00AB6753" w:rsidP="00AB6753">
      <w:pPr>
        <w:spacing w:line="240" w:lineRule="auto"/>
      </w:pPr>
    </w:p>
    <w:p w14:paraId="69FD5FFF" w14:textId="77777777" w:rsidR="00AB6753" w:rsidRPr="00CC7053" w:rsidRDefault="00AB6753" w:rsidP="00AB6753">
      <w:pPr>
        <w:pStyle w:val="NotesText0"/>
        <w:rPr>
          <w:rFonts w:cs="Arial"/>
          <w:b/>
        </w:rPr>
      </w:pPr>
      <w:r w:rsidRPr="00CC7053">
        <w:rPr>
          <w:rFonts w:cs="Arial"/>
          <w:b/>
        </w:rPr>
        <w:t>Related party relationships</w:t>
      </w:r>
    </w:p>
    <w:p w14:paraId="3858B438" w14:textId="77777777" w:rsidR="00AB6753" w:rsidRPr="00CC7053" w:rsidRDefault="00AB6753" w:rsidP="00AB6753">
      <w:pPr>
        <w:spacing w:before="100" w:after="100"/>
        <w:rPr>
          <w:sz w:val="18"/>
          <w:lang w:eastAsia="en-AU"/>
        </w:rPr>
      </w:pPr>
      <w:r w:rsidRPr="00CC7053">
        <w:rPr>
          <w:sz w:val="18"/>
          <w:lang w:eastAsia="en-AU"/>
        </w:rPr>
        <w:t>The department is an Australian Government controlled entity. Related parties to this entity are key management personnel, including the Cabinet Ministers, Portfolio Ministers, Assistant Ministers and Presiding Officers, as well as other Australian Government entities.</w:t>
      </w:r>
    </w:p>
    <w:p w14:paraId="3E06A87A" w14:textId="77777777" w:rsidR="00AB6753" w:rsidRPr="00CC7053" w:rsidRDefault="00AB6753" w:rsidP="00AB6753">
      <w:pPr>
        <w:pStyle w:val="NotesText0"/>
        <w:rPr>
          <w:rFonts w:cs="Arial"/>
          <w:b/>
        </w:rPr>
      </w:pPr>
    </w:p>
    <w:p w14:paraId="207A2BE3" w14:textId="77777777" w:rsidR="00AB6753" w:rsidRPr="00CC7053" w:rsidRDefault="00AB6753" w:rsidP="00AB6753">
      <w:pPr>
        <w:pStyle w:val="NotesText0"/>
        <w:rPr>
          <w:rFonts w:cs="Arial"/>
          <w:b/>
        </w:rPr>
      </w:pPr>
      <w:r w:rsidRPr="00CC7053">
        <w:rPr>
          <w:rFonts w:cs="Arial"/>
          <w:b/>
        </w:rPr>
        <w:t>Transactions with related parties</w:t>
      </w:r>
    </w:p>
    <w:p w14:paraId="09F25598" w14:textId="77777777" w:rsidR="00AB6753" w:rsidRPr="00CC7053" w:rsidRDefault="00AB6753" w:rsidP="00AB6753">
      <w:pPr>
        <w:spacing w:before="100" w:after="100"/>
        <w:rPr>
          <w:sz w:val="18"/>
          <w:lang w:eastAsia="en-AU"/>
        </w:rPr>
      </w:pPr>
      <w:r w:rsidRPr="00CC7053">
        <w:rPr>
          <w:sz w:val="18"/>
          <w:lang w:eastAsia="en-AU"/>
        </w:rPr>
        <w:t>Given the breadth of Australian Government activities, related parties may transact with the government sector in the same capacity as ordinary citizens. These transactions have not been separately disclosed in this note.</w:t>
      </w:r>
    </w:p>
    <w:p w14:paraId="30CA6F8D" w14:textId="77777777" w:rsidR="00AB6753" w:rsidRPr="00236247" w:rsidRDefault="00AB6753" w:rsidP="00AB6753">
      <w:pPr>
        <w:spacing w:before="100" w:after="100"/>
        <w:rPr>
          <w:sz w:val="18"/>
          <w:lang w:eastAsia="en-AU"/>
        </w:rPr>
      </w:pPr>
      <w:r w:rsidRPr="00CC7053">
        <w:rPr>
          <w:sz w:val="18"/>
          <w:lang w:eastAsia="en-AU"/>
        </w:rPr>
        <w:t>Giving consideration to relationships with related entities, and transactions entered into during the reporting period, the department has determined there are no related party transactions that require separate disclosure.</w:t>
      </w:r>
    </w:p>
    <w:p w14:paraId="61264B10" w14:textId="77777777" w:rsidR="00AB6753" w:rsidRPr="005E0380" w:rsidRDefault="00AB6753" w:rsidP="00AB6753">
      <w:pPr>
        <w:rPr>
          <w:rFonts w:cs="Arial"/>
          <w:sz w:val="18"/>
          <w:lang w:eastAsia="en-AU"/>
        </w:rPr>
      </w:pPr>
      <w:r w:rsidRPr="005E0380">
        <w:rPr>
          <w:rFonts w:cs="Arial"/>
          <w:sz w:val="18"/>
          <w:lang w:eastAsia="en-AU"/>
        </w:rPr>
        <w:br w:type="page"/>
      </w:r>
    </w:p>
    <w:p w14:paraId="151A92A9" w14:textId="77777777" w:rsidR="00AB6753" w:rsidRPr="00A71D8D" w:rsidRDefault="00AB6753" w:rsidP="00AB6753">
      <w:pPr>
        <w:pStyle w:val="SectionHeading"/>
        <w:numPr>
          <w:ilvl w:val="0"/>
          <w:numId w:val="60"/>
        </w:numPr>
        <w:shd w:val="clear" w:color="auto" w:fill="00B2BA"/>
        <w:rPr>
          <w:rFonts w:ascii="Arial" w:hAnsi="Arial" w:cs="Arial"/>
          <w:color w:val="auto"/>
        </w:rPr>
      </w:pPr>
      <w:bookmarkStart w:id="217" w:name="_Toc443469547"/>
      <w:bookmarkStart w:id="218" w:name="_Toc444065802"/>
      <w:bookmarkStart w:id="219" w:name="_Toc444079999"/>
      <w:bookmarkStart w:id="220" w:name="_Toc450750179"/>
      <w:bookmarkStart w:id="221" w:name="_Toc45748825"/>
      <w:r w:rsidRPr="00A71D8D">
        <w:rPr>
          <w:rFonts w:ascii="Arial" w:hAnsi="Arial" w:cs="Arial"/>
          <w:color w:val="auto"/>
        </w:rPr>
        <w:lastRenderedPageBreak/>
        <w:t>Managing Uncertainties</w:t>
      </w:r>
      <w:bookmarkEnd w:id="217"/>
      <w:bookmarkEnd w:id="218"/>
      <w:bookmarkEnd w:id="219"/>
      <w:bookmarkEnd w:id="220"/>
      <w:bookmarkEnd w:id="221"/>
    </w:p>
    <w:p w14:paraId="37791BD0" w14:textId="77777777" w:rsidR="00AB6753" w:rsidRPr="00BB218B" w:rsidRDefault="00AB6753" w:rsidP="00AB6753">
      <w:pPr>
        <w:pStyle w:val="SubHeading"/>
        <w:numPr>
          <w:ilvl w:val="1"/>
          <w:numId w:val="59"/>
        </w:numPr>
        <w:rPr>
          <w:sz w:val="20"/>
        </w:rPr>
      </w:pPr>
      <w:bookmarkStart w:id="222" w:name="_Toc443469548"/>
      <w:bookmarkStart w:id="223" w:name="_Toc444065803"/>
      <w:bookmarkStart w:id="224" w:name="_Toc444080000"/>
      <w:bookmarkStart w:id="225" w:name="_Toc450750180"/>
      <w:bookmarkStart w:id="226" w:name="_Toc45748826"/>
      <w:r w:rsidRPr="00BB218B">
        <w:rPr>
          <w:sz w:val="20"/>
        </w:rPr>
        <w:t>Contingent Assets and Liabilities</w:t>
      </w:r>
      <w:bookmarkEnd w:id="222"/>
      <w:bookmarkEnd w:id="223"/>
      <w:bookmarkEnd w:id="224"/>
      <w:bookmarkEnd w:id="225"/>
      <w:bookmarkEnd w:id="226"/>
    </w:p>
    <w:p w14:paraId="3C2CB9CD" w14:textId="77777777" w:rsidR="00AB6753" w:rsidRPr="007351FE" w:rsidRDefault="00AB6753" w:rsidP="00AB6753">
      <w:pPr>
        <w:pStyle w:val="StyleNotesTextArialItalicUnderline"/>
        <w:ind w:right="0"/>
        <w:rPr>
          <w:rFonts w:ascii="Arial" w:hAnsi="Arial"/>
          <w:b/>
          <w:i w:val="0"/>
        </w:rPr>
      </w:pPr>
      <w:r w:rsidRPr="007351FE">
        <w:rPr>
          <w:rFonts w:ascii="Arial" w:hAnsi="Arial"/>
          <w:b/>
          <w:i w:val="0"/>
        </w:rPr>
        <w:t>Departmental Contingencies</w:t>
      </w:r>
    </w:p>
    <w:tbl>
      <w:tblPr>
        <w:tblW w:w="9411" w:type="dxa"/>
        <w:tblInd w:w="80" w:type="dxa"/>
        <w:tblLayout w:type="fixed"/>
        <w:tblLook w:val="04A0" w:firstRow="1" w:lastRow="0" w:firstColumn="1" w:lastColumn="0" w:noHBand="0" w:noVBand="1"/>
        <w:tblCaption w:val="Notes to and forming part of the financial statements"/>
        <w:tblDescription w:val="Managing uncertainties"/>
      </w:tblPr>
      <w:tblGrid>
        <w:gridCol w:w="6190"/>
        <w:gridCol w:w="417"/>
        <w:gridCol w:w="1402"/>
        <w:gridCol w:w="1402"/>
      </w:tblGrid>
      <w:tr w:rsidR="00AB6753" w14:paraId="01B87FCC" w14:textId="77777777" w:rsidTr="002D1EA4">
        <w:trPr>
          <w:trHeight w:val="255"/>
        </w:trPr>
        <w:tc>
          <w:tcPr>
            <w:tcW w:w="4396" w:type="dxa"/>
            <w:tcBorders>
              <w:top w:val="single" w:sz="4" w:space="0" w:color="auto"/>
              <w:left w:val="nil"/>
              <w:bottom w:val="nil"/>
              <w:right w:val="nil"/>
            </w:tcBorders>
            <w:shd w:val="clear" w:color="FFFFFF" w:fill="FFFFFF"/>
            <w:noWrap/>
            <w:vAlign w:val="bottom"/>
            <w:hideMark/>
          </w:tcPr>
          <w:p w14:paraId="1AE0D301" w14:textId="77777777" w:rsidR="00AB6753" w:rsidRDefault="00AB6753" w:rsidP="002D1EA4">
            <w:pPr>
              <w:spacing w:after="0"/>
              <w:rPr>
                <w:rFonts w:cs="Arial"/>
                <w:b/>
                <w:bCs/>
                <w:sz w:val="18"/>
                <w:szCs w:val="18"/>
              </w:rPr>
            </w:pPr>
            <w:bookmarkStart w:id="227" w:name="Note_CLATABLE1" w:colFirst="0" w:colLast="0"/>
            <w:r>
              <w:rPr>
                <w:rFonts w:cs="Arial"/>
                <w:b/>
                <w:bCs/>
                <w:sz w:val="18"/>
                <w:szCs w:val="18"/>
              </w:rPr>
              <w:t> </w:t>
            </w:r>
          </w:p>
        </w:tc>
        <w:tc>
          <w:tcPr>
            <w:tcW w:w="296" w:type="dxa"/>
            <w:tcBorders>
              <w:top w:val="single" w:sz="4" w:space="0" w:color="auto"/>
              <w:left w:val="nil"/>
              <w:bottom w:val="nil"/>
              <w:right w:val="nil"/>
            </w:tcBorders>
            <w:shd w:val="clear" w:color="FFFFFF" w:fill="FFFFFF"/>
            <w:noWrap/>
            <w:vAlign w:val="bottom"/>
            <w:hideMark/>
          </w:tcPr>
          <w:p w14:paraId="3E0B858F" w14:textId="77777777" w:rsidR="00AB6753" w:rsidRDefault="00AB6753" w:rsidP="002D1EA4">
            <w:pPr>
              <w:spacing w:after="0"/>
              <w:rPr>
                <w:rFonts w:cs="Arial"/>
                <w:b/>
                <w:bCs/>
                <w:sz w:val="18"/>
                <w:szCs w:val="18"/>
              </w:rPr>
            </w:pPr>
            <w:r>
              <w:rPr>
                <w:rFonts w:cs="Arial"/>
                <w:b/>
                <w:bCs/>
                <w:sz w:val="18"/>
                <w:szCs w:val="18"/>
              </w:rPr>
              <w:t> </w:t>
            </w:r>
          </w:p>
        </w:tc>
        <w:tc>
          <w:tcPr>
            <w:tcW w:w="1992" w:type="dxa"/>
            <w:gridSpan w:val="2"/>
            <w:tcBorders>
              <w:top w:val="single" w:sz="4" w:space="0" w:color="auto"/>
              <w:left w:val="nil"/>
              <w:bottom w:val="nil"/>
              <w:right w:val="nil"/>
            </w:tcBorders>
            <w:shd w:val="clear" w:color="FFFFFF" w:fill="FFFFFF"/>
            <w:hideMark/>
          </w:tcPr>
          <w:p w14:paraId="5B0FA1A1" w14:textId="02C782CC" w:rsidR="00AB6753" w:rsidRDefault="00AB6753" w:rsidP="002D1EA4">
            <w:pPr>
              <w:spacing w:after="0"/>
              <w:jc w:val="right"/>
              <w:rPr>
                <w:rFonts w:cs="Arial"/>
                <w:b/>
                <w:bCs/>
                <w:sz w:val="18"/>
                <w:szCs w:val="18"/>
              </w:rPr>
            </w:pPr>
            <w:r>
              <w:rPr>
                <w:rFonts w:cs="Arial"/>
                <w:b/>
                <w:bCs/>
                <w:sz w:val="18"/>
                <w:szCs w:val="18"/>
              </w:rPr>
              <w:t>Guarantees</w:t>
            </w:r>
          </w:p>
        </w:tc>
      </w:tr>
      <w:bookmarkEnd w:id="227"/>
      <w:tr w:rsidR="00AB6753" w14:paraId="0F70A2A3" w14:textId="77777777" w:rsidTr="002D1EA4">
        <w:trPr>
          <w:trHeight w:val="255"/>
        </w:trPr>
        <w:tc>
          <w:tcPr>
            <w:tcW w:w="4396" w:type="dxa"/>
            <w:tcBorders>
              <w:top w:val="nil"/>
              <w:left w:val="nil"/>
              <w:bottom w:val="nil"/>
              <w:right w:val="nil"/>
            </w:tcBorders>
            <w:shd w:val="clear" w:color="FFFFFF" w:fill="FFFFFF"/>
            <w:noWrap/>
            <w:vAlign w:val="bottom"/>
            <w:hideMark/>
          </w:tcPr>
          <w:p w14:paraId="1E0B7493" w14:textId="77777777" w:rsidR="00AB6753" w:rsidRDefault="00AB6753" w:rsidP="002D1EA4">
            <w:pPr>
              <w:spacing w:after="0"/>
              <w:rPr>
                <w:rFonts w:cs="Arial"/>
                <w:sz w:val="18"/>
                <w:szCs w:val="18"/>
              </w:rPr>
            </w:pPr>
            <w:r>
              <w:rPr>
                <w:rFonts w:cs="Arial"/>
                <w:sz w:val="18"/>
                <w:szCs w:val="18"/>
              </w:rPr>
              <w:t> </w:t>
            </w:r>
          </w:p>
        </w:tc>
        <w:tc>
          <w:tcPr>
            <w:tcW w:w="296" w:type="dxa"/>
            <w:tcBorders>
              <w:top w:val="nil"/>
              <w:left w:val="nil"/>
              <w:bottom w:val="nil"/>
              <w:right w:val="nil"/>
            </w:tcBorders>
            <w:shd w:val="clear" w:color="FFFFFF" w:fill="FFFFFF"/>
            <w:noWrap/>
            <w:vAlign w:val="bottom"/>
            <w:hideMark/>
          </w:tcPr>
          <w:p w14:paraId="3883FF7A" w14:textId="77777777" w:rsidR="00AB6753" w:rsidRDefault="00AB6753" w:rsidP="002D1EA4">
            <w:pPr>
              <w:spacing w:after="0"/>
              <w:rPr>
                <w:rFonts w:cs="Arial"/>
                <w:sz w:val="18"/>
                <w:szCs w:val="18"/>
              </w:rPr>
            </w:pPr>
            <w:r>
              <w:rPr>
                <w:rFonts w:cs="Arial"/>
                <w:sz w:val="18"/>
                <w:szCs w:val="18"/>
              </w:rPr>
              <w:t> </w:t>
            </w:r>
          </w:p>
        </w:tc>
        <w:tc>
          <w:tcPr>
            <w:tcW w:w="996" w:type="dxa"/>
            <w:tcBorders>
              <w:top w:val="nil"/>
              <w:left w:val="nil"/>
              <w:bottom w:val="nil"/>
              <w:right w:val="nil"/>
            </w:tcBorders>
            <w:shd w:val="clear" w:color="FFFFFF" w:fill="FFFFFF"/>
            <w:vAlign w:val="bottom"/>
            <w:hideMark/>
          </w:tcPr>
          <w:p w14:paraId="3AECAE28" w14:textId="77777777" w:rsidR="00AB6753" w:rsidRDefault="00AB6753" w:rsidP="002D1EA4">
            <w:pPr>
              <w:spacing w:after="0"/>
              <w:jc w:val="right"/>
              <w:rPr>
                <w:rFonts w:cs="Arial"/>
                <w:b/>
                <w:bCs/>
                <w:sz w:val="18"/>
                <w:szCs w:val="18"/>
              </w:rPr>
            </w:pPr>
            <w:r>
              <w:rPr>
                <w:rFonts w:cs="Arial"/>
                <w:b/>
                <w:bCs/>
                <w:sz w:val="18"/>
                <w:szCs w:val="18"/>
              </w:rPr>
              <w:t>2020</w:t>
            </w:r>
          </w:p>
        </w:tc>
        <w:tc>
          <w:tcPr>
            <w:tcW w:w="996" w:type="dxa"/>
            <w:tcBorders>
              <w:top w:val="nil"/>
              <w:left w:val="nil"/>
              <w:bottom w:val="nil"/>
              <w:right w:val="nil"/>
            </w:tcBorders>
            <w:shd w:val="clear" w:color="FFFFFF" w:fill="FFFFFF"/>
            <w:vAlign w:val="bottom"/>
            <w:hideMark/>
          </w:tcPr>
          <w:p w14:paraId="24E20F45" w14:textId="77777777" w:rsidR="00AB6753" w:rsidRDefault="00AB6753" w:rsidP="002D1EA4">
            <w:pPr>
              <w:spacing w:after="0"/>
              <w:jc w:val="right"/>
              <w:rPr>
                <w:rFonts w:cs="Arial"/>
                <w:sz w:val="18"/>
                <w:szCs w:val="18"/>
              </w:rPr>
            </w:pPr>
            <w:r>
              <w:rPr>
                <w:rFonts w:cs="Arial"/>
                <w:sz w:val="18"/>
                <w:szCs w:val="18"/>
              </w:rPr>
              <w:t>2019</w:t>
            </w:r>
          </w:p>
        </w:tc>
      </w:tr>
      <w:tr w:rsidR="00AB6753" w14:paraId="61E7A160" w14:textId="77777777" w:rsidTr="002D1EA4">
        <w:trPr>
          <w:trHeight w:val="255"/>
        </w:trPr>
        <w:tc>
          <w:tcPr>
            <w:tcW w:w="4396" w:type="dxa"/>
            <w:tcBorders>
              <w:top w:val="nil"/>
              <w:left w:val="nil"/>
              <w:bottom w:val="single" w:sz="4" w:space="0" w:color="auto"/>
              <w:right w:val="nil"/>
            </w:tcBorders>
            <w:shd w:val="clear" w:color="FFFFFF" w:fill="FFFFFF"/>
            <w:noWrap/>
            <w:vAlign w:val="bottom"/>
            <w:hideMark/>
          </w:tcPr>
          <w:p w14:paraId="6F1BEF26" w14:textId="77777777" w:rsidR="00AB6753" w:rsidRDefault="00AB6753" w:rsidP="002D1EA4">
            <w:pPr>
              <w:spacing w:after="0"/>
              <w:rPr>
                <w:rFonts w:cs="Arial"/>
                <w:sz w:val="18"/>
                <w:szCs w:val="18"/>
              </w:rPr>
            </w:pPr>
            <w:r>
              <w:rPr>
                <w:rFonts w:cs="Arial"/>
                <w:sz w:val="18"/>
                <w:szCs w:val="18"/>
              </w:rPr>
              <w:t> </w:t>
            </w:r>
          </w:p>
        </w:tc>
        <w:tc>
          <w:tcPr>
            <w:tcW w:w="296" w:type="dxa"/>
            <w:tcBorders>
              <w:top w:val="nil"/>
              <w:left w:val="nil"/>
              <w:bottom w:val="single" w:sz="4" w:space="0" w:color="auto"/>
              <w:right w:val="nil"/>
            </w:tcBorders>
            <w:shd w:val="clear" w:color="FFFFFF" w:fill="FFFFFF"/>
            <w:noWrap/>
            <w:vAlign w:val="bottom"/>
            <w:hideMark/>
          </w:tcPr>
          <w:p w14:paraId="1DB27DE4" w14:textId="77777777" w:rsidR="00AB6753" w:rsidRDefault="00AB6753" w:rsidP="002D1EA4">
            <w:pPr>
              <w:spacing w:after="0"/>
              <w:rPr>
                <w:rFonts w:cs="Arial"/>
                <w:sz w:val="18"/>
                <w:szCs w:val="18"/>
              </w:rPr>
            </w:pPr>
            <w:r>
              <w:rPr>
                <w:rFonts w:cs="Arial"/>
                <w:sz w:val="18"/>
                <w:szCs w:val="18"/>
              </w:rPr>
              <w:t> </w:t>
            </w:r>
          </w:p>
        </w:tc>
        <w:tc>
          <w:tcPr>
            <w:tcW w:w="996" w:type="dxa"/>
            <w:tcBorders>
              <w:top w:val="nil"/>
              <w:left w:val="nil"/>
              <w:bottom w:val="single" w:sz="4" w:space="0" w:color="auto"/>
              <w:right w:val="nil"/>
            </w:tcBorders>
            <w:shd w:val="clear" w:color="FFFFFF" w:fill="FFFFFF"/>
            <w:vAlign w:val="bottom"/>
            <w:hideMark/>
          </w:tcPr>
          <w:p w14:paraId="63945BAF" w14:textId="77777777" w:rsidR="00AB6753" w:rsidRDefault="00AB6753" w:rsidP="002D1EA4">
            <w:pPr>
              <w:spacing w:after="0"/>
              <w:jc w:val="right"/>
              <w:rPr>
                <w:rFonts w:cs="Arial"/>
                <w:b/>
                <w:bCs/>
                <w:sz w:val="18"/>
                <w:szCs w:val="18"/>
              </w:rPr>
            </w:pPr>
            <w:r>
              <w:rPr>
                <w:rFonts w:cs="Arial"/>
                <w:b/>
                <w:bCs/>
                <w:sz w:val="18"/>
                <w:szCs w:val="18"/>
              </w:rPr>
              <w:t>$'000</w:t>
            </w:r>
          </w:p>
        </w:tc>
        <w:tc>
          <w:tcPr>
            <w:tcW w:w="996" w:type="dxa"/>
            <w:tcBorders>
              <w:top w:val="nil"/>
              <w:left w:val="nil"/>
              <w:bottom w:val="single" w:sz="4" w:space="0" w:color="auto"/>
              <w:right w:val="nil"/>
            </w:tcBorders>
            <w:shd w:val="clear" w:color="FFFFFF" w:fill="FFFFFF"/>
            <w:vAlign w:val="bottom"/>
            <w:hideMark/>
          </w:tcPr>
          <w:p w14:paraId="4D8E29D5" w14:textId="77777777" w:rsidR="00AB6753" w:rsidRDefault="00AB6753" w:rsidP="002D1EA4">
            <w:pPr>
              <w:spacing w:after="0"/>
              <w:jc w:val="right"/>
              <w:rPr>
                <w:rFonts w:cs="Arial"/>
                <w:sz w:val="18"/>
                <w:szCs w:val="18"/>
              </w:rPr>
            </w:pPr>
            <w:r>
              <w:rPr>
                <w:rFonts w:cs="Arial"/>
                <w:sz w:val="18"/>
                <w:szCs w:val="18"/>
              </w:rPr>
              <w:t>$'000</w:t>
            </w:r>
          </w:p>
        </w:tc>
      </w:tr>
      <w:tr w:rsidR="00AB6753" w14:paraId="2CC2DF64" w14:textId="77777777" w:rsidTr="002D1EA4">
        <w:trPr>
          <w:trHeight w:val="255"/>
        </w:trPr>
        <w:tc>
          <w:tcPr>
            <w:tcW w:w="4396" w:type="dxa"/>
            <w:tcBorders>
              <w:top w:val="nil"/>
              <w:left w:val="nil"/>
              <w:bottom w:val="nil"/>
              <w:right w:val="nil"/>
            </w:tcBorders>
            <w:shd w:val="clear" w:color="FFFFFF" w:fill="FFFFFF"/>
            <w:vAlign w:val="bottom"/>
            <w:hideMark/>
          </w:tcPr>
          <w:p w14:paraId="0E26C748" w14:textId="77777777" w:rsidR="00AB6753" w:rsidRDefault="00AB6753" w:rsidP="002D1EA4">
            <w:pPr>
              <w:spacing w:after="0"/>
              <w:rPr>
                <w:rFonts w:cs="Arial"/>
                <w:b/>
                <w:bCs/>
                <w:sz w:val="18"/>
                <w:szCs w:val="18"/>
              </w:rPr>
            </w:pPr>
            <w:r>
              <w:rPr>
                <w:rFonts w:cs="Arial"/>
                <w:b/>
                <w:bCs/>
                <w:sz w:val="18"/>
                <w:szCs w:val="18"/>
              </w:rPr>
              <w:t>Contingent assets</w:t>
            </w:r>
          </w:p>
        </w:tc>
        <w:tc>
          <w:tcPr>
            <w:tcW w:w="296" w:type="dxa"/>
            <w:tcBorders>
              <w:top w:val="nil"/>
              <w:left w:val="nil"/>
              <w:bottom w:val="nil"/>
              <w:right w:val="nil"/>
            </w:tcBorders>
            <w:shd w:val="clear" w:color="FFFFFF" w:fill="FFFFFF"/>
            <w:noWrap/>
            <w:vAlign w:val="bottom"/>
            <w:hideMark/>
          </w:tcPr>
          <w:p w14:paraId="00B7BBC0" w14:textId="77777777" w:rsidR="00AB6753" w:rsidRDefault="00AB6753" w:rsidP="002D1EA4">
            <w:pPr>
              <w:spacing w:after="0"/>
              <w:rPr>
                <w:rFonts w:cs="Arial"/>
                <w:b/>
                <w:bCs/>
                <w:sz w:val="18"/>
                <w:szCs w:val="18"/>
              </w:rPr>
            </w:pPr>
            <w:r>
              <w:rPr>
                <w:rFonts w:cs="Arial"/>
                <w:b/>
                <w:bCs/>
                <w:sz w:val="18"/>
                <w:szCs w:val="18"/>
              </w:rPr>
              <w:t> </w:t>
            </w:r>
          </w:p>
        </w:tc>
        <w:tc>
          <w:tcPr>
            <w:tcW w:w="996" w:type="dxa"/>
            <w:tcBorders>
              <w:top w:val="nil"/>
              <w:left w:val="nil"/>
              <w:bottom w:val="nil"/>
              <w:right w:val="nil"/>
            </w:tcBorders>
            <w:shd w:val="clear" w:color="FFFFFF" w:fill="FFFFFF"/>
            <w:noWrap/>
            <w:vAlign w:val="bottom"/>
            <w:hideMark/>
          </w:tcPr>
          <w:p w14:paraId="23AA56C5" w14:textId="77777777" w:rsidR="00AB6753" w:rsidRDefault="00AB6753" w:rsidP="002D1EA4">
            <w:pPr>
              <w:spacing w:after="0"/>
              <w:rPr>
                <w:rFonts w:cs="Arial"/>
                <w:b/>
                <w:bCs/>
                <w:sz w:val="18"/>
                <w:szCs w:val="18"/>
              </w:rPr>
            </w:pPr>
            <w:r>
              <w:rPr>
                <w:rFonts w:cs="Arial"/>
                <w:b/>
                <w:bCs/>
                <w:sz w:val="18"/>
                <w:szCs w:val="18"/>
              </w:rPr>
              <w:t> </w:t>
            </w:r>
          </w:p>
        </w:tc>
        <w:tc>
          <w:tcPr>
            <w:tcW w:w="996" w:type="dxa"/>
            <w:tcBorders>
              <w:top w:val="nil"/>
              <w:left w:val="nil"/>
              <w:bottom w:val="nil"/>
              <w:right w:val="nil"/>
            </w:tcBorders>
            <w:shd w:val="clear" w:color="FFFFFF" w:fill="FFFFFF"/>
            <w:noWrap/>
            <w:vAlign w:val="bottom"/>
            <w:hideMark/>
          </w:tcPr>
          <w:p w14:paraId="58CF88E0" w14:textId="77777777" w:rsidR="00AB6753" w:rsidRDefault="00AB6753" w:rsidP="002D1EA4">
            <w:pPr>
              <w:spacing w:after="0"/>
              <w:rPr>
                <w:rFonts w:cs="Arial"/>
                <w:sz w:val="18"/>
                <w:szCs w:val="18"/>
              </w:rPr>
            </w:pPr>
            <w:r>
              <w:rPr>
                <w:rFonts w:cs="Arial"/>
                <w:sz w:val="18"/>
                <w:szCs w:val="18"/>
              </w:rPr>
              <w:t> </w:t>
            </w:r>
          </w:p>
        </w:tc>
      </w:tr>
      <w:tr w:rsidR="00AB6753" w14:paraId="58D0EF89" w14:textId="77777777" w:rsidTr="002D1EA4">
        <w:trPr>
          <w:trHeight w:val="255"/>
        </w:trPr>
        <w:tc>
          <w:tcPr>
            <w:tcW w:w="4396" w:type="dxa"/>
            <w:tcBorders>
              <w:top w:val="nil"/>
              <w:left w:val="nil"/>
              <w:bottom w:val="nil"/>
              <w:right w:val="nil"/>
            </w:tcBorders>
            <w:shd w:val="clear" w:color="FFFFFF" w:fill="FFFFFF"/>
            <w:noWrap/>
            <w:vAlign w:val="bottom"/>
            <w:hideMark/>
          </w:tcPr>
          <w:p w14:paraId="4B00D199" w14:textId="77777777" w:rsidR="00AB6753" w:rsidRDefault="00AB6753" w:rsidP="002D1EA4">
            <w:pPr>
              <w:spacing w:after="0"/>
              <w:ind w:firstLineChars="100" w:firstLine="180"/>
              <w:rPr>
                <w:rFonts w:cs="Arial"/>
                <w:sz w:val="18"/>
                <w:szCs w:val="18"/>
              </w:rPr>
            </w:pPr>
            <w:r>
              <w:rPr>
                <w:rFonts w:cs="Arial"/>
                <w:sz w:val="18"/>
                <w:szCs w:val="18"/>
              </w:rPr>
              <w:t>Balance from previous period</w:t>
            </w:r>
          </w:p>
        </w:tc>
        <w:tc>
          <w:tcPr>
            <w:tcW w:w="296" w:type="dxa"/>
            <w:tcBorders>
              <w:top w:val="nil"/>
              <w:left w:val="nil"/>
              <w:bottom w:val="nil"/>
              <w:right w:val="nil"/>
            </w:tcBorders>
            <w:shd w:val="clear" w:color="FFFFFF" w:fill="FFFFFF"/>
            <w:noWrap/>
            <w:vAlign w:val="bottom"/>
            <w:hideMark/>
          </w:tcPr>
          <w:p w14:paraId="7975C55A" w14:textId="77777777" w:rsidR="00AB6753" w:rsidRDefault="00AB6753" w:rsidP="002D1EA4">
            <w:pPr>
              <w:spacing w:after="0"/>
              <w:rPr>
                <w:rFonts w:cs="Arial"/>
                <w:sz w:val="18"/>
                <w:szCs w:val="18"/>
              </w:rPr>
            </w:pPr>
            <w:r>
              <w:rPr>
                <w:rFonts w:cs="Arial"/>
                <w:sz w:val="18"/>
                <w:szCs w:val="18"/>
              </w:rPr>
              <w:t> </w:t>
            </w:r>
          </w:p>
        </w:tc>
        <w:tc>
          <w:tcPr>
            <w:tcW w:w="996" w:type="dxa"/>
            <w:tcBorders>
              <w:top w:val="nil"/>
              <w:left w:val="nil"/>
              <w:bottom w:val="nil"/>
              <w:right w:val="nil"/>
            </w:tcBorders>
            <w:shd w:val="clear" w:color="FFFFFF" w:fill="FFFFFF"/>
            <w:noWrap/>
            <w:vAlign w:val="bottom"/>
            <w:hideMark/>
          </w:tcPr>
          <w:p w14:paraId="362107AE" w14:textId="77777777" w:rsidR="00AB6753" w:rsidRDefault="00AB6753" w:rsidP="002D1EA4">
            <w:pPr>
              <w:spacing w:after="0"/>
              <w:jc w:val="right"/>
              <w:rPr>
                <w:rFonts w:cs="Arial"/>
                <w:b/>
                <w:bCs/>
                <w:sz w:val="18"/>
                <w:szCs w:val="18"/>
              </w:rPr>
            </w:pPr>
            <w:r>
              <w:rPr>
                <w:rFonts w:cs="Arial"/>
                <w:b/>
                <w:bCs/>
                <w:sz w:val="18"/>
                <w:szCs w:val="18"/>
              </w:rPr>
              <w:t xml:space="preserve">150 </w:t>
            </w:r>
          </w:p>
        </w:tc>
        <w:tc>
          <w:tcPr>
            <w:tcW w:w="996" w:type="dxa"/>
            <w:tcBorders>
              <w:top w:val="nil"/>
              <w:left w:val="nil"/>
              <w:bottom w:val="nil"/>
              <w:right w:val="nil"/>
            </w:tcBorders>
            <w:shd w:val="clear" w:color="FFFFFF" w:fill="FFFFFF"/>
            <w:noWrap/>
            <w:vAlign w:val="bottom"/>
            <w:hideMark/>
          </w:tcPr>
          <w:p w14:paraId="2C306CF6" w14:textId="77777777" w:rsidR="00AB6753" w:rsidRDefault="00AB6753" w:rsidP="002D1EA4">
            <w:pPr>
              <w:spacing w:after="0"/>
              <w:jc w:val="right"/>
              <w:rPr>
                <w:rFonts w:cs="Arial"/>
                <w:sz w:val="18"/>
                <w:szCs w:val="18"/>
              </w:rPr>
            </w:pPr>
            <w:r>
              <w:rPr>
                <w:rFonts w:cs="Arial"/>
                <w:sz w:val="18"/>
                <w:szCs w:val="18"/>
              </w:rPr>
              <w:t xml:space="preserve">1,198 </w:t>
            </w:r>
          </w:p>
        </w:tc>
      </w:tr>
      <w:tr w:rsidR="00AB6753" w14:paraId="70DB3AA7" w14:textId="77777777" w:rsidTr="002D1EA4">
        <w:trPr>
          <w:trHeight w:val="255"/>
        </w:trPr>
        <w:tc>
          <w:tcPr>
            <w:tcW w:w="4396" w:type="dxa"/>
            <w:tcBorders>
              <w:top w:val="nil"/>
              <w:left w:val="nil"/>
              <w:bottom w:val="nil"/>
              <w:right w:val="nil"/>
            </w:tcBorders>
            <w:shd w:val="clear" w:color="FFFFFF" w:fill="FFFFFF"/>
            <w:noWrap/>
            <w:vAlign w:val="bottom"/>
            <w:hideMark/>
          </w:tcPr>
          <w:p w14:paraId="62823043" w14:textId="77777777" w:rsidR="00AB6753" w:rsidRDefault="00AB6753" w:rsidP="002D1EA4">
            <w:pPr>
              <w:spacing w:after="0"/>
              <w:ind w:firstLineChars="100" w:firstLine="180"/>
              <w:rPr>
                <w:rFonts w:cs="Arial"/>
                <w:sz w:val="18"/>
                <w:szCs w:val="18"/>
              </w:rPr>
            </w:pPr>
            <w:r>
              <w:rPr>
                <w:rFonts w:cs="Arial"/>
                <w:sz w:val="18"/>
                <w:szCs w:val="18"/>
              </w:rPr>
              <w:t>Asset reversed</w:t>
            </w:r>
          </w:p>
        </w:tc>
        <w:tc>
          <w:tcPr>
            <w:tcW w:w="296" w:type="dxa"/>
            <w:tcBorders>
              <w:top w:val="nil"/>
              <w:left w:val="nil"/>
              <w:bottom w:val="nil"/>
              <w:right w:val="nil"/>
            </w:tcBorders>
            <w:shd w:val="clear" w:color="FFFFFF" w:fill="FFFFFF"/>
            <w:noWrap/>
            <w:vAlign w:val="bottom"/>
            <w:hideMark/>
          </w:tcPr>
          <w:p w14:paraId="37825DD8" w14:textId="77777777" w:rsidR="00AB6753" w:rsidRDefault="00AB6753" w:rsidP="002D1EA4">
            <w:pPr>
              <w:spacing w:after="0"/>
              <w:rPr>
                <w:rFonts w:cs="Arial"/>
                <w:sz w:val="18"/>
                <w:szCs w:val="18"/>
              </w:rPr>
            </w:pPr>
            <w:r>
              <w:rPr>
                <w:rFonts w:cs="Arial"/>
                <w:sz w:val="18"/>
                <w:szCs w:val="18"/>
              </w:rPr>
              <w:t> </w:t>
            </w:r>
          </w:p>
        </w:tc>
        <w:tc>
          <w:tcPr>
            <w:tcW w:w="996" w:type="dxa"/>
            <w:tcBorders>
              <w:top w:val="nil"/>
              <w:left w:val="nil"/>
              <w:bottom w:val="nil"/>
              <w:right w:val="nil"/>
            </w:tcBorders>
            <w:shd w:val="clear" w:color="FFFFFF" w:fill="FFFFFF"/>
            <w:noWrap/>
            <w:vAlign w:val="bottom"/>
            <w:hideMark/>
          </w:tcPr>
          <w:p w14:paraId="1F5709B4" w14:textId="77777777" w:rsidR="00AB6753" w:rsidRDefault="00AB6753" w:rsidP="002D1EA4">
            <w:pPr>
              <w:spacing w:after="0"/>
              <w:jc w:val="right"/>
              <w:rPr>
                <w:rFonts w:cs="Arial"/>
                <w:b/>
                <w:bCs/>
                <w:sz w:val="18"/>
                <w:szCs w:val="18"/>
              </w:rPr>
            </w:pPr>
            <w:r>
              <w:rPr>
                <w:rFonts w:cs="Arial"/>
                <w:b/>
                <w:bCs/>
                <w:sz w:val="18"/>
                <w:szCs w:val="18"/>
              </w:rPr>
              <w:t>(150)</w:t>
            </w:r>
          </w:p>
        </w:tc>
        <w:tc>
          <w:tcPr>
            <w:tcW w:w="996" w:type="dxa"/>
            <w:tcBorders>
              <w:top w:val="nil"/>
              <w:left w:val="nil"/>
              <w:bottom w:val="nil"/>
              <w:right w:val="nil"/>
            </w:tcBorders>
            <w:shd w:val="clear" w:color="FFFFFF" w:fill="FFFFFF"/>
            <w:noWrap/>
            <w:vAlign w:val="bottom"/>
            <w:hideMark/>
          </w:tcPr>
          <w:p w14:paraId="691BF6E2"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6AD65146" w14:textId="77777777" w:rsidTr="002D1EA4">
        <w:trPr>
          <w:trHeight w:val="255"/>
        </w:trPr>
        <w:tc>
          <w:tcPr>
            <w:tcW w:w="4396" w:type="dxa"/>
            <w:tcBorders>
              <w:top w:val="nil"/>
              <w:left w:val="nil"/>
              <w:bottom w:val="nil"/>
              <w:right w:val="nil"/>
            </w:tcBorders>
            <w:shd w:val="clear" w:color="FFFFFF" w:fill="FFFFFF"/>
            <w:noWrap/>
            <w:vAlign w:val="bottom"/>
            <w:hideMark/>
          </w:tcPr>
          <w:p w14:paraId="256610DB" w14:textId="77777777" w:rsidR="00AB6753" w:rsidRDefault="00AB6753" w:rsidP="002D1EA4">
            <w:pPr>
              <w:spacing w:after="0"/>
              <w:ind w:firstLineChars="100" w:firstLine="180"/>
              <w:rPr>
                <w:rFonts w:cs="Arial"/>
                <w:sz w:val="18"/>
                <w:szCs w:val="18"/>
              </w:rPr>
            </w:pPr>
            <w:r>
              <w:rPr>
                <w:rFonts w:cs="Arial"/>
                <w:sz w:val="18"/>
                <w:szCs w:val="18"/>
              </w:rPr>
              <w:t>Expired</w:t>
            </w:r>
          </w:p>
        </w:tc>
        <w:tc>
          <w:tcPr>
            <w:tcW w:w="296" w:type="dxa"/>
            <w:tcBorders>
              <w:top w:val="nil"/>
              <w:left w:val="nil"/>
              <w:bottom w:val="nil"/>
              <w:right w:val="nil"/>
            </w:tcBorders>
            <w:shd w:val="clear" w:color="FFFFFF" w:fill="FFFFFF"/>
            <w:noWrap/>
            <w:vAlign w:val="bottom"/>
            <w:hideMark/>
          </w:tcPr>
          <w:p w14:paraId="57A16285" w14:textId="77777777" w:rsidR="00AB6753" w:rsidRDefault="00AB6753" w:rsidP="002D1EA4">
            <w:pPr>
              <w:spacing w:after="0"/>
              <w:rPr>
                <w:rFonts w:cs="Arial"/>
                <w:sz w:val="18"/>
                <w:szCs w:val="18"/>
              </w:rPr>
            </w:pPr>
            <w:r>
              <w:rPr>
                <w:rFonts w:cs="Arial"/>
                <w:sz w:val="18"/>
                <w:szCs w:val="18"/>
              </w:rPr>
              <w:t> </w:t>
            </w:r>
          </w:p>
        </w:tc>
        <w:tc>
          <w:tcPr>
            <w:tcW w:w="996" w:type="dxa"/>
            <w:tcBorders>
              <w:top w:val="nil"/>
              <w:left w:val="nil"/>
              <w:bottom w:val="nil"/>
              <w:right w:val="nil"/>
            </w:tcBorders>
            <w:shd w:val="clear" w:color="FFFFFF" w:fill="FFFFFF"/>
            <w:noWrap/>
            <w:vAlign w:val="bottom"/>
            <w:hideMark/>
          </w:tcPr>
          <w:p w14:paraId="654D74A9" w14:textId="77777777" w:rsidR="00AB6753" w:rsidRDefault="00AB6753" w:rsidP="002D1EA4">
            <w:pPr>
              <w:spacing w:after="0"/>
              <w:jc w:val="right"/>
              <w:rPr>
                <w:rFonts w:cs="Arial"/>
                <w:b/>
                <w:bCs/>
                <w:sz w:val="18"/>
                <w:szCs w:val="18"/>
              </w:rPr>
            </w:pPr>
            <w:r>
              <w:rPr>
                <w:rFonts w:cs="Arial"/>
                <w:b/>
                <w:bCs/>
                <w:sz w:val="18"/>
                <w:szCs w:val="18"/>
              </w:rPr>
              <w:t xml:space="preserve"> -</w:t>
            </w:r>
          </w:p>
        </w:tc>
        <w:tc>
          <w:tcPr>
            <w:tcW w:w="996" w:type="dxa"/>
            <w:tcBorders>
              <w:top w:val="nil"/>
              <w:left w:val="nil"/>
              <w:bottom w:val="nil"/>
              <w:right w:val="nil"/>
            </w:tcBorders>
            <w:shd w:val="clear" w:color="FFFFFF" w:fill="FFFFFF"/>
            <w:noWrap/>
            <w:vAlign w:val="bottom"/>
            <w:hideMark/>
          </w:tcPr>
          <w:p w14:paraId="67816A42" w14:textId="77777777" w:rsidR="00AB6753" w:rsidRDefault="00AB6753" w:rsidP="002D1EA4">
            <w:pPr>
              <w:spacing w:after="0"/>
              <w:jc w:val="right"/>
              <w:rPr>
                <w:rFonts w:cs="Arial"/>
                <w:sz w:val="18"/>
                <w:szCs w:val="18"/>
              </w:rPr>
            </w:pPr>
            <w:r>
              <w:rPr>
                <w:rFonts w:cs="Arial"/>
                <w:sz w:val="18"/>
                <w:szCs w:val="18"/>
              </w:rPr>
              <w:t>(1,048)</w:t>
            </w:r>
          </w:p>
        </w:tc>
      </w:tr>
      <w:tr w:rsidR="00AB6753" w14:paraId="76057AA2" w14:textId="77777777" w:rsidTr="002D1EA4">
        <w:trPr>
          <w:trHeight w:val="255"/>
        </w:trPr>
        <w:tc>
          <w:tcPr>
            <w:tcW w:w="4396" w:type="dxa"/>
            <w:tcBorders>
              <w:top w:val="single" w:sz="4" w:space="0" w:color="auto"/>
              <w:left w:val="nil"/>
              <w:bottom w:val="single" w:sz="4" w:space="0" w:color="auto"/>
              <w:right w:val="nil"/>
            </w:tcBorders>
            <w:shd w:val="clear" w:color="FFFFFF" w:fill="FFFFFF"/>
            <w:vAlign w:val="bottom"/>
            <w:hideMark/>
          </w:tcPr>
          <w:p w14:paraId="3AF8C877" w14:textId="77777777" w:rsidR="00AB6753" w:rsidRDefault="00AB6753" w:rsidP="002D1EA4">
            <w:pPr>
              <w:spacing w:after="0"/>
              <w:rPr>
                <w:rFonts w:cs="Arial"/>
                <w:b/>
                <w:bCs/>
                <w:sz w:val="18"/>
                <w:szCs w:val="18"/>
              </w:rPr>
            </w:pPr>
            <w:r>
              <w:rPr>
                <w:rFonts w:cs="Arial"/>
                <w:b/>
                <w:bCs/>
                <w:sz w:val="18"/>
                <w:szCs w:val="18"/>
              </w:rPr>
              <w:t>Total contingent assets</w:t>
            </w:r>
          </w:p>
        </w:tc>
        <w:tc>
          <w:tcPr>
            <w:tcW w:w="296" w:type="dxa"/>
            <w:tcBorders>
              <w:top w:val="single" w:sz="4" w:space="0" w:color="auto"/>
              <w:left w:val="nil"/>
              <w:bottom w:val="single" w:sz="4" w:space="0" w:color="auto"/>
              <w:right w:val="nil"/>
            </w:tcBorders>
            <w:shd w:val="clear" w:color="FFFFFF" w:fill="FFFFFF"/>
            <w:noWrap/>
            <w:vAlign w:val="bottom"/>
            <w:hideMark/>
          </w:tcPr>
          <w:p w14:paraId="752F5591" w14:textId="77777777" w:rsidR="00AB6753" w:rsidRDefault="00AB6753" w:rsidP="002D1EA4">
            <w:pPr>
              <w:spacing w:after="0"/>
              <w:jc w:val="right"/>
              <w:rPr>
                <w:rFonts w:cs="Arial"/>
                <w:b/>
                <w:bCs/>
                <w:sz w:val="18"/>
                <w:szCs w:val="18"/>
              </w:rPr>
            </w:pPr>
            <w:r>
              <w:rPr>
                <w:rFonts w:cs="Arial"/>
                <w:b/>
                <w:bCs/>
                <w:sz w:val="18"/>
                <w:szCs w:val="18"/>
              </w:rPr>
              <w:t> </w:t>
            </w:r>
          </w:p>
        </w:tc>
        <w:tc>
          <w:tcPr>
            <w:tcW w:w="996" w:type="dxa"/>
            <w:tcBorders>
              <w:top w:val="single" w:sz="4" w:space="0" w:color="auto"/>
              <w:left w:val="nil"/>
              <w:bottom w:val="single" w:sz="4" w:space="0" w:color="auto"/>
              <w:right w:val="nil"/>
            </w:tcBorders>
            <w:shd w:val="clear" w:color="FFFFFF" w:fill="FFFFFF"/>
            <w:noWrap/>
            <w:vAlign w:val="bottom"/>
            <w:hideMark/>
          </w:tcPr>
          <w:p w14:paraId="33F2A1CC" w14:textId="77777777" w:rsidR="00AB6753" w:rsidRDefault="00AB6753" w:rsidP="002D1EA4">
            <w:pPr>
              <w:spacing w:after="0"/>
              <w:jc w:val="right"/>
              <w:rPr>
                <w:rFonts w:cs="Arial"/>
                <w:b/>
                <w:bCs/>
                <w:sz w:val="18"/>
                <w:szCs w:val="18"/>
              </w:rPr>
            </w:pPr>
            <w:r>
              <w:rPr>
                <w:rFonts w:cs="Arial"/>
                <w:b/>
                <w:bCs/>
                <w:sz w:val="18"/>
                <w:szCs w:val="18"/>
              </w:rPr>
              <w:t>-</w:t>
            </w:r>
          </w:p>
        </w:tc>
        <w:tc>
          <w:tcPr>
            <w:tcW w:w="996" w:type="dxa"/>
            <w:tcBorders>
              <w:top w:val="single" w:sz="4" w:space="0" w:color="auto"/>
              <w:left w:val="nil"/>
              <w:bottom w:val="single" w:sz="4" w:space="0" w:color="auto"/>
              <w:right w:val="nil"/>
            </w:tcBorders>
            <w:shd w:val="clear" w:color="FFFFFF" w:fill="FFFFFF"/>
            <w:noWrap/>
            <w:vAlign w:val="bottom"/>
            <w:hideMark/>
          </w:tcPr>
          <w:p w14:paraId="7E35EE57" w14:textId="77777777" w:rsidR="00AB6753" w:rsidRDefault="00AB6753" w:rsidP="002D1EA4">
            <w:pPr>
              <w:spacing w:after="0"/>
              <w:jc w:val="right"/>
              <w:rPr>
                <w:rFonts w:cs="Arial"/>
                <w:sz w:val="18"/>
                <w:szCs w:val="18"/>
              </w:rPr>
            </w:pPr>
            <w:r>
              <w:rPr>
                <w:rFonts w:cs="Arial"/>
                <w:sz w:val="18"/>
                <w:szCs w:val="18"/>
              </w:rPr>
              <w:t>150</w:t>
            </w:r>
          </w:p>
        </w:tc>
      </w:tr>
    </w:tbl>
    <w:p w14:paraId="4B3EA2F2" w14:textId="77777777" w:rsidR="00AB6753" w:rsidRDefault="00AB6753" w:rsidP="00AB6753">
      <w:pPr>
        <w:pStyle w:val="NotesText0"/>
        <w:spacing w:before="0" w:after="0"/>
        <w:rPr>
          <w:rFonts w:cs="Arial"/>
        </w:rPr>
      </w:pPr>
    </w:p>
    <w:p w14:paraId="3CFDEEC3" w14:textId="77777777" w:rsidR="00AB6753" w:rsidRDefault="00AB6753" w:rsidP="00AB6753">
      <w:pPr>
        <w:pStyle w:val="NotesText0"/>
        <w:spacing w:before="0" w:after="0"/>
        <w:rPr>
          <w:rFonts w:cs="Arial"/>
        </w:rPr>
      </w:pPr>
      <w:r w:rsidRPr="00AE1703">
        <w:rPr>
          <w:rFonts w:cs="Arial"/>
        </w:rPr>
        <w:t>As at 30 June 2019, the department had a quantifiable contingent asset of $0.150 million in relation to one bank guarantee for the provision of logistics and letter services. As at 30 June 2020, the asset has been reversed as the likelihood of occurrence has been assessed as remote.</w:t>
      </w:r>
    </w:p>
    <w:p w14:paraId="74BD884D" w14:textId="77777777" w:rsidR="00AB6753" w:rsidRDefault="00AB6753" w:rsidP="00AB6753">
      <w:pPr>
        <w:pStyle w:val="NotesText0"/>
        <w:spacing w:before="0" w:after="0"/>
        <w:rPr>
          <w:rFonts w:cs="Arial"/>
        </w:rPr>
      </w:pPr>
    </w:p>
    <w:p w14:paraId="2622ED88" w14:textId="77777777" w:rsidR="00AB6753" w:rsidRPr="00603C08" w:rsidRDefault="00AB6753" w:rsidP="00AB6753">
      <w:pPr>
        <w:pStyle w:val="NotesText0"/>
        <w:spacing w:before="0" w:after="0"/>
        <w:rPr>
          <w:rFonts w:cs="Arial"/>
        </w:rPr>
      </w:pPr>
      <w:r w:rsidRPr="00926925">
        <w:rPr>
          <w:rFonts w:cs="Arial"/>
        </w:rPr>
        <w:t>There are no quantifiable liabilities</w:t>
      </w:r>
      <w:r>
        <w:rPr>
          <w:rFonts w:cs="Arial"/>
        </w:rPr>
        <w:t xml:space="preserve"> or</w:t>
      </w:r>
      <w:r w:rsidRPr="00926925">
        <w:rPr>
          <w:rFonts w:cs="Arial"/>
        </w:rPr>
        <w:t xml:space="preserve"> unquantifiable contingent assets or liabilities (</w:t>
      </w:r>
      <w:r>
        <w:rPr>
          <w:rFonts w:cs="Arial"/>
        </w:rPr>
        <w:fldChar w:fldCharType="begin"/>
      </w:r>
      <w:r>
        <w:rPr>
          <w:rFonts w:cs="Arial"/>
        </w:rPr>
        <w:instrText xml:space="preserve"> DOCPROPERTY  prYear  \* MERGEFORMAT </w:instrText>
      </w:r>
      <w:r>
        <w:rPr>
          <w:rFonts w:cs="Arial"/>
        </w:rPr>
        <w:fldChar w:fldCharType="separate"/>
      </w:r>
      <w:r>
        <w:rPr>
          <w:rFonts w:cs="Arial"/>
        </w:rPr>
        <w:t>2019</w:t>
      </w:r>
      <w:r>
        <w:rPr>
          <w:rFonts w:cs="Arial"/>
        </w:rPr>
        <w:fldChar w:fldCharType="end"/>
      </w:r>
      <w:r w:rsidRPr="00926925">
        <w:rPr>
          <w:rFonts w:cs="Arial"/>
        </w:rPr>
        <w:t xml:space="preserve">: </w:t>
      </w:r>
      <w:r>
        <w:rPr>
          <w:rFonts w:cs="Arial"/>
        </w:rPr>
        <w:t>n</w:t>
      </w:r>
      <w:r w:rsidRPr="00926925">
        <w:rPr>
          <w:rFonts w:cs="Arial"/>
        </w:rPr>
        <w:t>il).</w:t>
      </w:r>
    </w:p>
    <w:p w14:paraId="24FF421D" w14:textId="77777777" w:rsidR="00AB6753" w:rsidRPr="00BB6ED6" w:rsidRDefault="00AB6753" w:rsidP="00AB6753">
      <w:pPr>
        <w:spacing w:line="240" w:lineRule="auto"/>
        <w:rPr>
          <w:rFonts w:cs="Arial"/>
          <w:sz w:val="18"/>
          <w:szCs w:val="18"/>
        </w:rPr>
      </w:pPr>
    </w:p>
    <w:p w14:paraId="6F9825DA" w14:textId="77777777" w:rsidR="00AB6753" w:rsidRPr="005866FE" w:rsidRDefault="00AB6753" w:rsidP="00AB6753">
      <w:pPr>
        <w:pStyle w:val="GreyShadeTableBreak"/>
        <w:ind w:right="-11"/>
        <w:rPr>
          <w:rFonts w:ascii="Arial" w:hAnsi="Arial" w:cs="Arial"/>
          <w:b/>
          <w:sz w:val="18"/>
          <w:szCs w:val="18"/>
          <w:u w:val="single"/>
        </w:rPr>
      </w:pPr>
      <w:r w:rsidRPr="005866FE">
        <w:rPr>
          <w:rFonts w:ascii="Arial" w:hAnsi="Arial" w:cs="Arial"/>
          <w:b/>
          <w:sz w:val="18"/>
          <w:szCs w:val="18"/>
          <w:u w:val="single"/>
        </w:rPr>
        <w:t>Administered Contingencies</w:t>
      </w:r>
    </w:p>
    <w:tbl>
      <w:tblPr>
        <w:tblW w:w="9498" w:type="dxa"/>
        <w:tblLayout w:type="fixed"/>
        <w:tblLook w:val="04A0" w:firstRow="1" w:lastRow="0" w:firstColumn="1" w:lastColumn="0" w:noHBand="0" w:noVBand="1"/>
        <w:tblCaption w:val="Notes to and forming part of the financial statements"/>
        <w:tblDescription w:val="Managing uncertainties"/>
      </w:tblPr>
      <w:tblGrid>
        <w:gridCol w:w="4811"/>
        <w:gridCol w:w="344"/>
        <w:gridCol w:w="1064"/>
        <w:gridCol w:w="1064"/>
        <w:gridCol w:w="1064"/>
        <w:gridCol w:w="1151"/>
      </w:tblGrid>
      <w:tr w:rsidR="00AB6753" w14:paraId="4D2FEFE0" w14:textId="77777777" w:rsidTr="002D1EA4">
        <w:trPr>
          <w:trHeight w:val="225"/>
        </w:trPr>
        <w:tc>
          <w:tcPr>
            <w:tcW w:w="4811" w:type="dxa"/>
            <w:tcBorders>
              <w:top w:val="nil"/>
              <w:left w:val="nil"/>
              <w:bottom w:val="nil"/>
              <w:right w:val="nil"/>
            </w:tcBorders>
            <w:shd w:val="clear" w:color="000000" w:fill="D9D9D9"/>
            <w:noWrap/>
            <w:vAlign w:val="bottom"/>
            <w:hideMark/>
          </w:tcPr>
          <w:p w14:paraId="3AF11BCD" w14:textId="77777777" w:rsidR="00AB6753" w:rsidRDefault="00AB6753" w:rsidP="002D1EA4">
            <w:pPr>
              <w:spacing w:after="0"/>
              <w:rPr>
                <w:rFonts w:cs="Arial"/>
                <w:sz w:val="16"/>
                <w:szCs w:val="16"/>
              </w:rPr>
            </w:pPr>
            <w:bookmarkStart w:id="228" w:name="Note_ACLTABLE1" w:colFirst="0" w:colLast="0"/>
            <w:r>
              <w:rPr>
                <w:rFonts w:cs="Arial"/>
                <w:sz w:val="16"/>
                <w:szCs w:val="16"/>
              </w:rPr>
              <w:t> </w:t>
            </w:r>
          </w:p>
        </w:tc>
        <w:tc>
          <w:tcPr>
            <w:tcW w:w="344" w:type="dxa"/>
            <w:tcBorders>
              <w:top w:val="nil"/>
              <w:left w:val="nil"/>
              <w:bottom w:val="nil"/>
              <w:right w:val="nil"/>
            </w:tcBorders>
            <w:shd w:val="clear" w:color="000000" w:fill="D9D9D9"/>
            <w:noWrap/>
            <w:vAlign w:val="bottom"/>
            <w:hideMark/>
          </w:tcPr>
          <w:p w14:paraId="4EC447D6" w14:textId="77777777" w:rsidR="00AB6753" w:rsidRDefault="00AB6753" w:rsidP="002D1EA4">
            <w:pPr>
              <w:spacing w:after="0"/>
              <w:rPr>
                <w:rFonts w:cs="Arial"/>
                <w:sz w:val="16"/>
                <w:szCs w:val="16"/>
              </w:rPr>
            </w:pPr>
            <w:r>
              <w:rPr>
                <w:rFonts w:cs="Arial"/>
                <w:sz w:val="16"/>
                <w:szCs w:val="16"/>
              </w:rPr>
              <w:t> </w:t>
            </w:r>
          </w:p>
        </w:tc>
        <w:tc>
          <w:tcPr>
            <w:tcW w:w="1064" w:type="dxa"/>
            <w:tcBorders>
              <w:top w:val="nil"/>
              <w:left w:val="nil"/>
              <w:bottom w:val="nil"/>
              <w:right w:val="nil"/>
            </w:tcBorders>
            <w:shd w:val="clear" w:color="000000" w:fill="D9D9D9"/>
            <w:noWrap/>
            <w:vAlign w:val="bottom"/>
            <w:hideMark/>
          </w:tcPr>
          <w:p w14:paraId="5B04B7B4" w14:textId="77777777" w:rsidR="00AB6753" w:rsidRDefault="00AB6753" w:rsidP="002D1EA4">
            <w:pPr>
              <w:spacing w:after="0"/>
              <w:rPr>
                <w:rFonts w:cs="Arial"/>
                <w:sz w:val="16"/>
                <w:szCs w:val="16"/>
              </w:rPr>
            </w:pPr>
            <w:r>
              <w:rPr>
                <w:rFonts w:cs="Arial"/>
                <w:sz w:val="16"/>
                <w:szCs w:val="16"/>
              </w:rPr>
              <w:t> </w:t>
            </w:r>
          </w:p>
        </w:tc>
        <w:tc>
          <w:tcPr>
            <w:tcW w:w="1064" w:type="dxa"/>
            <w:tcBorders>
              <w:top w:val="nil"/>
              <w:left w:val="nil"/>
              <w:bottom w:val="nil"/>
              <w:right w:val="nil"/>
            </w:tcBorders>
            <w:shd w:val="clear" w:color="000000" w:fill="D9D9D9"/>
            <w:noWrap/>
            <w:vAlign w:val="bottom"/>
            <w:hideMark/>
          </w:tcPr>
          <w:p w14:paraId="5F0861DC" w14:textId="77777777" w:rsidR="00AB6753" w:rsidRDefault="00AB6753" w:rsidP="002D1EA4">
            <w:pPr>
              <w:spacing w:after="0"/>
              <w:rPr>
                <w:rFonts w:cs="Arial"/>
                <w:sz w:val="16"/>
                <w:szCs w:val="16"/>
              </w:rPr>
            </w:pPr>
            <w:r>
              <w:rPr>
                <w:rFonts w:cs="Arial"/>
                <w:sz w:val="16"/>
                <w:szCs w:val="16"/>
              </w:rPr>
              <w:t> </w:t>
            </w:r>
          </w:p>
        </w:tc>
        <w:tc>
          <w:tcPr>
            <w:tcW w:w="1064" w:type="dxa"/>
            <w:tcBorders>
              <w:top w:val="nil"/>
              <w:left w:val="nil"/>
              <w:bottom w:val="nil"/>
              <w:right w:val="nil"/>
            </w:tcBorders>
            <w:shd w:val="clear" w:color="000000" w:fill="D9D9D9"/>
            <w:noWrap/>
            <w:vAlign w:val="bottom"/>
            <w:hideMark/>
          </w:tcPr>
          <w:p w14:paraId="5F9F1D38" w14:textId="77777777" w:rsidR="00AB6753" w:rsidRDefault="00AB6753" w:rsidP="002D1EA4">
            <w:pPr>
              <w:spacing w:after="0"/>
              <w:rPr>
                <w:rFonts w:cs="Arial"/>
                <w:sz w:val="16"/>
                <w:szCs w:val="16"/>
              </w:rPr>
            </w:pPr>
            <w:r>
              <w:rPr>
                <w:rFonts w:cs="Arial"/>
                <w:sz w:val="16"/>
                <w:szCs w:val="16"/>
              </w:rPr>
              <w:t> </w:t>
            </w:r>
          </w:p>
        </w:tc>
        <w:tc>
          <w:tcPr>
            <w:tcW w:w="1151" w:type="dxa"/>
            <w:tcBorders>
              <w:top w:val="nil"/>
              <w:left w:val="nil"/>
              <w:bottom w:val="nil"/>
              <w:right w:val="nil"/>
            </w:tcBorders>
            <w:shd w:val="clear" w:color="000000" w:fill="D9D9D9"/>
            <w:noWrap/>
            <w:vAlign w:val="bottom"/>
            <w:hideMark/>
          </w:tcPr>
          <w:p w14:paraId="7630E78C" w14:textId="77777777" w:rsidR="00AB6753" w:rsidRDefault="00AB6753" w:rsidP="002D1EA4">
            <w:pPr>
              <w:spacing w:after="0"/>
              <w:rPr>
                <w:rFonts w:cs="Arial"/>
                <w:sz w:val="16"/>
                <w:szCs w:val="16"/>
              </w:rPr>
            </w:pPr>
            <w:r>
              <w:rPr>
                <w:rFonts w:cs="Arial"/>
                <w:sz w:val="16"/>
                <w:szCs w:val="16"/>
              </w:rPr>
              <w:t> </w:t>
            </w:r>
          </w:p>
        </w:tc>
      </w:tr>
      <w:bookmarkEnd w:id="228"/>
      <w:tr w:rsidR="00AB6753" w14:paraId="081D9D4D" w14:textId="77777777" w:rsidTr="002D1EA4">
        <w:trPr>
          <w:trHeight w:val="540"/>
        </w:trPr>
        <w:tc>
          <w:tcPr>
            <w:tcW w:w="4811" w:type="dxa"/>
            <w:tcBorders>
              <w:top w:val="single" w:sz="4" w:space="0" w:color="auto"/>
              <w:left w:val="nil"/>
              <w:bottom w:val="single" w:sz="4" w:space="0" w:color="D9D9D9"/>
              <w:right w:val="nil"/>
            </w:tcBorders>
            <w:shd w:val="clear" w:color="000000" w:fill="D9D9D9"/>
            <w:noWrap/>
            <w:vAlign w:val="bottom"/>
            <w:hideMark/>
          </w:tcPr>
          <w:p w14:paraId="431254B1" w14:textId="77777777" w:rsidR="00AB6753" w:rsidRDefault="00AB6753" w:rsidP="002D1EA4">
            <w:pPr>
              <w:spacing w:after="0"/>
              <w:rPr>
                <w:rFonts w:cs="Arial"/>
                <w:sz w:val="16"/>
                <w:szCs w:val="16"/>
              </w:rPr>
            </w:pPr>
            <w:r>
              <w:rPr>
                <w:rFonts w:cs="Arial"/>
                <w:sz w:val="16"/>
                <w:szCs w:val="16"/>
              </w:rPr>
              <w:t> </w:t>
            </w:r>
          </w:p>
        </w:tc>
        <w:tc>
          <w:tcPr>
            <w:tcW w:w="344" w:type="dxa"/>
            <w:tcBorders>
              <w:top w:val="single" w:sz="4" w:space="0" w:color="auto"/>
              <w:left w:val="nil"/>
              <w:bottom w:val="single" w:sz="4" w:space="0" w:color="D9D9D9"/>
              <w:right w:val="nil"/>
            </w:tcBorders>
            <w:shd w:val="clear" w:color="000000" w:fill="D9D9D9"/>
            <w:noWrap/>
            <w:vAlign w:val="bottom"/>
            <w:hideMark/>
          </w:tcPr>
          <w:p w14:paraId="3147EEDB" w14:textId="77777777" w:rsidR="00AB6753" w:rsidRDefault="00AB6753" w:rsidP="002D1EA4">
            <w:pPr>
              <w:spacing w:after="0"/>
              <w:rPr>
                <w:rFonts w:cs="Arial"/>
                <w:sz w:val="16"/>
                <w:szCs w:val="16"/>
              </w:rPr>
            </w:pPr>
            <w:r>
              <w:rPr>
                <w:rFonts w:cs="Arial"/>
                <w:sz w:val="16"/>
                <w:szCs w:val="16"/>
              </w:rPr>
              <w:t> </w:t>
            </w:r>
          </w:p>
        </w:tc>
        <w:tc>
          <w:tcPr>
            <w:tcW w:w="2128" w:type="dxa"/>
            <w:gridSpan w:val="2"/>
            <w:tcBorders>
              <w:top w:val="single" w:sz="4" w:space="0" w:color="auto"/>
              <w:left w:val="nil"/>
              <w:bottom w:val="nil"/>
              <w:right w:val="nil"/>
            </w:tcBorders>
            <w:shd w:val="clear" w:color="000000" w:fill="D9D9D9"/>
            <w:hideMark/>
          </w:tcPr>
          <w:p w14:paraId="2FA31842" w14:textId="77777777" w:rsidR="00AB6753" w:rsidRDefault="00AB6753" w:rsidP="002D1EA4">
            <w:pPr>
              <w:spacing w:after="0"/>
              <w:jc w:val="right"/>
              <w:rPr>
                <w:rFonts w:cs="Arial"/>
                <w:b/>
                <w:bCs/>
                <w:sz w:val="18"/>
                <w:szCs w:val="18"/>
              </w:rPr>
            </w:pPr>
            <w:r>
              <w:rPr>
                <w:rFonts w:cs="Arial"/>
                <w:b/>
                <w:bCs/>
                <w:sz w:val="18"/>
                <w:szCs w:val="18"/>
              </w:rPr>
              <w:t>Indemnities</w:t>
            </w:r>
          </w:p>
        </w:tc>
        <w:tc>
          <w:tcPr>
            <w:tcW w:w="2215" w:type="dxa"/>
            <w:gridSpan w:val="2"/>
            <w:tcBorders>
              <w:top w:val="single" w:sz="4" w:space="0" w:color="auto"/>
              <w:left w:val="nil"/>
              <w:bottom w:val="nil"/>
              <w:right w:val="nil"/>
            </w:tcBorders>
            <w:shd w:val="clear" w:color="000000" w:fill="D9D9D9"/>
            <w:hideMark/>
          </w:tcPr>
          <w:p w14:paraId="1EE66782" w14:textId="77777777" w:rsidR="00AB6753" w:rsidRDefault="00AB6753" w:rsidP="002D1EA4">
            <w:pPr>
              <w:spacing w:after="0"/>
              <w:jc w:val="right"/>
              <w:rPr>
                <w:rFonts w:cs="Arial"/>
                <w:b/>
                <w:bCs/>
                <w:sz w:val="18"/>
                <w:szCs w:val="18"/>
              </w:rPr>
            </w:pPr>
            <w:r>
              <w:rPr>
                <w:rFonts w:cs="Arial"/>
                <w:b/>
                <w:bCs/>
                <w:sz w:val="18"/>
                <w:szCs w:val="18"/>
              </w:rPr>
              <w:t>National Redress Scheme</w:t>
            </w:r>
          </w:p>
        </w:tc>
      </w:tr>
      <w:tr w:rsidR="00AB6753" w14:paraId="71A9E90D" w14:textId="77777777" w:rsidTr="002D1EA4">
        <w:trPr>
          <w:trHeight w:val="255"/>
        </w:trPr>
        <w:tc>
          <w:tcPr>
            <w:tcW w:w="4811" w:type="dxa"/>
            <w:tcBorders>
              <w:top w:val="nil"/>
              <w:left w:val="nil"/>
              <w:bottom w:val="single" w:sz="4" w:space="0" w:color="D9D9D9"/>
              <w:right w:val="nil"/>
            </w:tcBorders>
            <w:shd w:val="clear" w:color="000000" w:fill="D9D9D9"/>
            <w:noWrap/>
            <w:vAlign w:val="bottom"/>
            <w:hideMark/>
          </w:tcPr>
          <w:p w14:paraId="732859DA" w14:textId="77777777" w:rsidR="00AB6753" w:rsidRDefault="00AB6753" w:rsidP="002D1EA4">
            <w:pPr>
              <w:spacing w:after="0"/>
              <w:rPr>
                <w:rFonts w:cs="Arial"/>
                <w:sz w:val="16"/>
                <w:szCs w:val="16"/>
              </w:rPr>
            </w:pPr>
            <w:r>
              <w:rPr>
                <w:rFonts w:cs="Arial"/>
                <w:sz w:val="16"/>
                <w:szCs w:val="16"/>
              </w:rPr>
              <w:t> </w:t>
            </w:r>
          </w:p>
        </w:tc>
        <w:tc>
          <w:tcPr>
            <w:tcW w:w="344" w:type="dxa"/>
            <w:tcBorders>
              <w:top w:val="nil"/>
              <w:left w:val="nil"/>
              <w:bottom w:val="single" w:sz="4" w:space="0" w:color="D9D9D9"/>
              <w:right w:val="nil"/>
            </w:tcBorders>
            <w:shd w:val="clear" w:color="000000" w:fill="D9D9D9"/>
            <w:noWrap/>
            <w:vAlign w:val="bottom"/>
            <w:hideMark/>
          </w:tcPr>
          <w:p w14:paraId="6E0BF9F4" w14:textId="77777777" w:rsidR="00AB6753" w:rsidRDefault="00AB6753" w:rsidP="002D1EA4">
            <w:pPr>
              <w:spacing w:after="0"/>
              <w:rPr>
                <w:rFonts w:cs="Arial"/>
                <w:sz w:val="16"/>
                <w:szCs w:val="16"/>
              </w:rPr>
            </w:pPr>
            <w:r>
              <w:rPr>
                <w:rFonts w:cs="Arial"/>
                <w:sz w:val="16"/>
                <w:szCs w:val="16"/>
              </w:rPr>
              <w:t> </w:t>
            </w:r>
          </w:p>
        </w:tc>
        <w:tc>
          <w:tcPr>
            <w:tcW w:w="1064" w:type="dxa"/>
            <w:tcBorders>
              <w:top w:val="nil"/>
              <w:left w:val="nil"/>
              <w:bottom w:val="single" w:sz="4" w:space="0" w:color="D9D9D9"/>
              <w:right w:val="single" w:sz="4" w:space="0" w:color="D9D9D9"/>
            </w:tcBorders>
            <w:shd w:val="clear" w:color="000000" w:fill="D9D9D9"/>
            <w:noWrap/>
            <w:vAlign w:val="bottom"/>
            <w:hideMark/>
          </w:tcPr>
          <w:p w14:paraId="5C80E5EC" w14:textId="77777777" w:rsidR="00AB6753" w:rsidRDefault="00AB6753" w:rsidP="002D1EA4">
            <w:pPr>
              <w:spacing w:after="0"/>
              <w:jc w:val="right"/>
              <w:rPr>
                <w:rFonts w:cs="Arial"/>
                <w:b/>
                <w:bCs/>
                <w:sz w:val="18"/>
                <w:szCs w:val="18"/>
              </w:rPr>
            </w:pPr>
            <w:r>
              <w:rPr>
                <w:rFonts w:cs="Arial"/>
                <w:b/>
                <w:bCs/>
                <w:sz w:val="18"/>
                <w:szCs w:val="18"/>
              </w:rPr>
              <w:t>2020</w:t>
            </w:r>
          </w:p>
        </w:tc>
        <w:tc>
          <w:tcPr>
            <w:tcW w:w="1064" w:type="dxa"/>
            <w:tcBorders>
              <w:top w:val="nil"/>
              <w:left w:val="nil"/>
              <w:bottom w:val="single" w:sz="4" w:space="0" w:color="D9D9D9"/>
              <w:right w:val="single" w:sz="4" w:space="0" w:color="D9D9D9"/>
            </w:tcBorders>
            <w:shd w:val="clear" w:color="000000" w:fill="D9D9D9"/>
            <w:noWrap/>
            <w:vAlign w:val="bottom"/>
            <w:hideMark/>
          </w:tcPr>
          <w:p w14:paraId="5801784F" w14:textId="77777777" w:rsidR="00AB6753" w:rsidRDefault="00AB6753" w:rsidP="002D1EA4">
            <w:pPr>
              <w:spacing w:after="0"/>
              <w:jc w:val="right"/>
              <w:rPr>
                <w:rFonts w:cs="Arial"/>
                <w:sz w:val="18"/>
                <w:szCs w:val="18"/>
              </w:rPr>
            </w:pPr>
            <w:r>
              <w:rPr>
                <w:rFonts w:cs="Arial"/>
                <w:sz w:val="18"/>
                <w:szCs w:val="18"/>
              </w:rPr>
              <w:t>2019</w:t>
            </w:r>
          </w:p>
        </w:tc>
        <w:tc>
          <w:tcPr>
            <w:tcW w:w="1064" w:type="dxa"/>
            <w:tcBorders>
              <w:top w:val="nil"/>
              <w:left w:val="nil"/>
              <w:bottom w:val="single" w:sz="4" w:space="0" w:color="D9D9D9"/>
              <w:right w:val="single" w:sz="4" w:space="0" w:color="D9D9D9"/>
            </w:tcBorders>
            <w:shd w:val="clear" w:color="000000" w:fill="D9D9D9"/>
            <w:noWrap/>
            <w:vAlign w:val="bottom"/>
            <w:hideMark/>
          </w:tcPr>
          <w:p w14:paraId="4B7145EA" w14:textId="77777777" w:rsidR="00AB6753" w:rsidRDefault="00AB6753" w:rsidP="002D1EA4">
            <w:pPr>
              <w:spacing w:after="0"/>
              <w:jc w:val="right"/>
              <w:rPr>
                <w:rFonts w:cs="Arial"/>
                <w:b/>
                <w:bCs/>
                <w:sz w:val="18"/>
                <w:szCs w:val="18"/>
              </w:rPr>
            </w:pPr>
            <w:r>
              <w:rPr>
                <w:rFonts w:cs="Arial"/>
                <w:b/>
                <w:bCs/>
                <w:sz w:val="18"/>
                <w:szCs w:val="18"/>
              </w:rPr>
              <w:t>2020</w:t>
            </w:r>
          </w:p>
        </w:tc>
        <w:tc>
          <w:tcPr>
            <w:tcW w:w="1151" w:type="dxa"/>
            <w:tcBorders>
              <w:top w:val="nil"/>
              <w:left w:val="nil"/>
              <w:bottom w:val="single" w:sz="4" w:space="0" w:color="D9D9D9"/>
              <w:right w:val="single" w:sz="4" w:space="0" w:color="D9D9D9"/>
            </w:tcBorders>
            <w:shd w:val="clear" w:color="000000" w:fill="D9D9D9"/>
            <w:noWrap/>
            <w:vAlign w:val="bottom"/>
            <w:hideMark/>
          </w:tcPr>
          <w:p w14:paraId="53940C55" w14:textId="77777777" w:rsidR="00AB6753" w:rsidRDefault="00AB6753" w:rsidP="002D1EA4">
            <w:pPr>
              <w:spacing w:after="0"/>
              <w:jc w:val="right"/>
              <w:rPr>
                <w:rFonts w:cs="Arial"/>
                <w:sz w:val="18"/>
                <w:szCs w:val="18"/>
              </w:rPr>
            </w:pPr>
            <w:r>
              <w:rPr>
                <w:rFonts w:cs="Arial"/>
                <w:sz w:val="18"/>
                <w:szCs w:val="18"/>
              </w:rPr>
              <w:t>2019</w:t>
            </w:r>
          </w:p>
        </w:tc>
      </w:tr>
      <w:tr w:rsidR="00AB6753" w14:paraId="6847FE53" w14:textId="77777777" w:rsidTr="002D1EA4">
        <w:trPr>
          <w:trHeight w:val="255"/>
        </w:trPr>
        <w:tc>
          <w:tcPr>
            <w:tcW w:w="4811" w:type="dxa"/>
            <w:tcBorders>
              <w:top w:val="nil"/>
              <w:left w:val="nil"/>
              <w:bottom w:val="single" w:sz="4" w:space="0" w:color="auto"/>
              <w:right w:val="nil"/>
            </w:tcBorders>
            <w:shd w:val="clear" w:color="000000" w:fill="D9D9D9"/>
            <w:noWrap/>
            <w:vAlign w:val="bottom"/>
            <w:hideMark/>
          </w:tcPr>
          <w:p w14:paraId="1E5E7F33" w14:textId="77777777" w:rsidR="00AB6753" w:rsidRDefault="00AB6753" w:rsidP="002D1EA4">
            <w:pPr>
              <w:spacing w:after="0"/>
              <w:rPr>
                <w:rFonts w:cs="Arial"/>
                <w:sz w:val="16"/>
                <w:szCs w:val="16"/>
              </w:rPr>
            </w:pPr>
            <w:r>
              <w:rPr>
                <w:rFonts w:cs="Arial"/>
                <w:sz w:val="16"/>
                <w:szCs w:val="16"/>
              </w:rPr>
              <w:t> </w:t>
            </w:r>
          </w:p>
        </w:tc>
        <w:tc>
          <w:tcPr>
            <w:tcW w:w="344" w:type="dxa"/>
            <w:tcBorders>
              <w:top w:val="nil"/>
              <w:left w:val="nil"/>
              <w:bottom w:val="single" w:sz="4" w:space="0" w:color="auto"/>
              <w:right w:val="nil"/>
            </w:tcBorders>
            <w:shd w:val="clear" w:color="000000" w:fill="D9D9D9"/>
            <w:noWrap/>
            <w:vAlign w:val="bottom"/>
            <w:hideMark/>
          </w:tcPr>
          <w:p w14:paraId="2A429B86" w14:textId="77777777" w:rsidR="00AB6753" w:rsidRDefault="00AB6753" w:rsidP="002D1EA4">
            <w:pPr>
              <w:spacing w:after="0"/>
              <w:rPr>
                <w:rFonts w:cs="Arial"/>
                <w:sz w:val="16"/>
                <w:szCs w:val="16"/>
              </w:rPr>
            </w:pPr>
            <w:r>
              <w:rPr>
                <w:rFonts w:cs="Arial"/>
                <w:sz w:val="16"/>
                <w:szCs w:val="16"/>
              </w:rPr>
              <w:t> </w:t>
            </w:r>
          </w:p>
        </w:tc>
        <w:tc>
          <w:tcPr>
            <w:tcW w:w="1064" w:type="dxa"/>
            <w:tcBorders>
              <w:top w:val="nil"/>
              <w:left w:val="nil"/>
              <w:bottom w:val="single" w:sz="4" w:space="0" w:color="auto"/>
              <w:right w:val="single" w:sz="4" w:space="0" w:color="D9D9D9"/>
            </w:tcBorders>
            <w:shd w:val="clear" w:color="000000" w:fill="D9D9D9"/>
            <w:noWrap/>
            <w:vAlign w:val="bottom"/>
            <w:hideMark/>
          </w:tcPr>
          <w:p w14:paraId="58552EE8" w14:textId="77777777" w:rsidR="00AB6753" w:rsidRDefault="00AB6753" w:rsidP="002D1EA4">
            <w:pPr>
              <w:spacing w:after="0"/>
              <w:jc w:val="right"/>
              <w:rPr>
                <w:rFonts w:cs="Arial"/>
                <w:b/>
                <w:bCs/>
                <w:sz w:val="18"/>
                <w:szCs w:val="18"/>
              </w:rPr>
            </w:pPr>
            <w:r>
              <w:rPr>
                <w:rFonts w:cs="Arial"/>
                <w:b/>
                <w:bCs/>
                <w:sz w:val="18"/>
                <w:szCs w:val="18"/>
              </w:rPr>
              <w:t>$'000</w:t>
            </w:r>
          </w:p>
        </w:tc>
        <w:tc>
          <w:tcPr>
            <w:tcW w:w="1064" w:type="dxa"/>
            <w:tcBorders>
              <w:top w:val="nil"/>
              <w:left w:val="nil"/>
              <w:bottom w:val="single" w:sz="4" w:space="0" w:color="auto"/>
              <w:right w:val="single" w:sz="4" w:space="0" w:color="D9D9D9"/>
            </w:tcBorders>
            <w:shd w:val="clear" w:color="000000" w:fill="D9D9D9"/>
            <w:noWrap/>
            <w:vAlign w:val="bottom"/>
            <w:hideMark/>
          </w:tcPr>
          <w:p w14:paraId="56F56235" w14:textId="77777777" w:rsidR="00AB6753" w:rsidRDefault="00AB6753" w:rsidP="002D1EA4">
            <w:pPr>
              <w:spacing w:after="0"/>
              <w:jc w:val="right"/>
              <w:rPr>
                <w:rFonts w:cs="Arial"/>
                <w:sz w:val="18"/>
                <w:szCs w:val="18"/>
              </w:rPr>
            </w:pPr>
            <w:r>
              <w:rPr>
                <w:rFonts w:cs="Arial"/>
                <w:sz w:val="18"/>
                <w:szCs w:val="18"/>
              </w:rPr>
              <w:t>$'000</w:t>
            </w:r>
          </w:p>
        </w:tc>
        <w:tc>
          <w:tcPr>
            <w:tcW w:w="1064" w:type="dxa"/>
            <w:tcBorders>
              <w:top w:val="nil"/>
              <w:left w:val="nil"/>
              <w:bottom w:val="single" w:sz="4" w:space="0" w:color="auto"/>
              <w:right w:val="single" w:sz="4" w:space="0" w:color="D9D9D9"/>
            </w:tcBorders>
            <w:shd w:val="clear" w:color="000000" w:fill="D9D9D9"/>
            <w:noWrap/>
            <w:vAlign w:val="bottom"/>
            <w:hideMark/>
          </w:tcPr>
          <w:p w14:paraId="1EC5629F" w14:textId="77777777" w:rsidR="00AB6753" w:rsidRDefault="00AB6753" w:rsidP="002D1EA4">
            <w:pPr>
              <w:spacing w:after="0"/>
              <w:jc w:val="right"/>
              <w:rPr>
                <w:rFonts w:cs="Arial"/>
                <w:b/>
                <w:bCs/>
                <w:sz w:val="18"/>
                <w:szCs w:val="18"/>
              </w:rPr>
            </w:pPr>
            <w:r>
              <w:rPr>
                <w:rFonts w:cs="Arial"/>
                <w:b/>
                <w:bCs/>
                <w:sz w:val="18"/>
                <w:szCs w:val="18"/>
              </w:rPr>
              <w:t>$'000</w:t>
            </w:r>
          </w:p>
        </w:tc>
        <w:tc>
          <w:tcPr>
            <w:tcW w:w="1151" w:type="dxa"/>
            <w:tcBorders>
              <w:top w:val="nil"/>
              <w:left w:val="nil"/>
              <w:bottom w:val="single" w:sz="4" w:space="0" w:color="auto"/>
              <w:right w:val="single" w:sz="4" w:space="0" w:color="D9D9D9"/>
            </w:tcBorders>
            <w:shd w:val="clear" w:color="000000" w:fill="D9D9D9"/>
            <w:noWrap/>
            <w:vAlign w:val="bottom"/>
            <w:hideMark/>
          </w:tcPr>
          <w:p w14:paraId="15653FA9" w14:textId="77777777" w:rsidR="00AB6753" w:rsidRDefault="00AB6753" w:rsidP="002D1EA4">
            <w:pPr>
              <w:spacing w:after="0"/>
              <w:jc w:val="right"/>
              <w:rPr>
                <w:rFonts w:cs="Arial"/>
                <w:sz w:val="18"/>
                <w:szCs w:val="18"/>
              </w:rPr>
            </w:pPr>
            <w:r>
              <w:rPr>
                <w:rFonts w:cs="Arial"/>
                <w:sz w:val="18"/>
                <w:szCs w:val="18"/>
              </w:rPr>
              <w:t>$'000</w:t>
            </w:r>
          </w:p>
        </w:tc>
      </w:tr>
      <w:tr w:rsidR="00AB6753" w14:paraId="4B3995B5" w14:textId="77777777" w:rsidTr="002D1EA4">
        <w:trPr>
          <w:trHeight w:val="255"/>
        </w:trPr>
        <w:tc>
          <w:tcPr>
            <w:tcW w:w="4811" w:type="dxa"/>
            <w:tcBorders>
              <w:top w:val="nil"/>
              <w:left w:val="nil"/>
              <w:bottom w:val="single" w:sz="4" w:space="0" w:color="D9D9D9"/>
              <w:right w:val="nil"/>
            </w:tcBorders>
            <w:shd w:val="clear" w:color="000000" w:fill="D9D9D9"/>
            <w:vAlign w:val="bottom"/>
            <w:hideMark/>
          </w:tcPr>
          <w:p w14:paraId="2CF49E61" w14:textId="77777777" w:rsidR="00AB6753" w:rsidRDefault="00AB6753" w:rsidP="002D1EA4">
            <w:pPr>
              <w:spacing w:after="0"/>
              <w:rPr>
                <w:rFonts w:cs="Arial"/>
                <w:b/>
                <w:bCs/>
                <w:sz w:val="18"/>
                <w:szCs w:val="18"/>
              </w:rPr>
            </w:pPr>
            <w:r>
              <w:rPr>
                <w:rFonts w:cs="Arial"/>
                <w:b/>
                <w:bCs/>
                <w:sz w:val="18"/>
                <w:szCs w:val="18"/>
              </w:rPr>
              <w:t>Contingent assets</w:t>
            </w:r>
          </w:p>
        </w:tc>
        <w:tc>
          <w:tcPr>
            <w:tcW w:w="344" w:type="dxa"/>
            <w:tcBorders>
              <w:top w:val="nil"/>
              <w:left w:val="nil"/>
              <w:bottom w:val="single" w:sz="4" w:space="0" w:color="D9D9D9"/>
              <w:right w:val="nil"/>
            </w:tcBorders>
            <w:shd w:val="clear" w:color="000000" w:fill="D9D9D9"/>
            <w:noWrap/>
            <w:vAlign w:val="bottom"/>
            <w:hideMark/>
          </w:tcPr>
          <w:p w14:paraId="3F6CBC1D" w14:textId="77777777" w:rsidR="00AB6753" w:rsidRDefault="00AB6753" w:rsidP="002D1EA4">
            <w:pPr>
              <w:spacing w:after="0"/>
              <w:rPr>
                <w:rFonts w:cs="Arial"/>
                <w:sz w:val="16"/>
                <w:szCs w:val="16"/>
              </w:rPr>
            </w:pPr>
            <w:r>
              <w:rPr>
                <w:rFonts w:cs="Arial"/>
                <w:sz w:val="16"/>
                <w:szCs w:val="16"/>
              </w:rPr>
              <w:t> </w:t>
            </w:r>
          </w:p>
        </w:tc>
        <w:tc>
          <w:tcPr>
            <w:tcW w:w="1064" w:type="dxa"/>
            <w:tcBorders>
              <w:top w:val="nil"/>
              <w:left w:val="nil"/>
              <w:bottom w:val="single" w:sz="4" w:space="0" w:color="D9D9D9"/>
              <w:right w:val="nil"/>
            </w:tcBorders>
            <w:shd w:val="clear" w:color="000000" w:fill="D9D9D9"/>
            <w:noWrap/>
            <w:vAlign w:val="bottom"/>
            <w:hideMark/>
          </w:tcPr>
          <w:p w14:paraId="49798C50" w14:textId="77777777" w:rsidR="00AB6753" w:rsidRDefault="00AB6753" w:rsidP="002D1EA4">
            <w:pPr>
              <w:spacing w:after="0"/>
              <w:rPr>
                <w:rFonts w:cs="Arial"/>
                <w:sz w:val="16"/>
                <w:szCs w:val="16"/>
              </w:rPr>
            </w:pPr>
            <w:r>
              <w:rPr>
                <w:rFonts w:cs="Arial"/>
                <w:sz w:val="16"/>
                <w:szCs w:val="16"/>
              </w:rPr>
              <w:t> </w:t>
            </w:r>
          </w:p>
        </w:tc>
        <w:tc>
          <w:tcPr>
            <w:tcW w:w="1064" w:type="dxa"/>
            <w:tcBorders>
              <w:top w:val="nil"/>
              <w:left w:val="nil"/>
              <w:bottom w:val="single" w:sz="4" w:space="0" w:color="D9D9D9"/>
              <w:right w:val="nil"/>
            </w:tcBorders>
            <w:shd w:val="clear" w:color="000000" w:fill="D9D9D9"/>
            <w:noWrap/>
            <w:vAlign w:val="bottom"/>
            <w:hideMark/>
          </w:tcPr>
          <w:p w14:paraId="5708A27E" w14:textId="77777777" w:rsidR="00AB6753" w:rsidRDefault="00AB6753" w:rsidP="002D1EA4">
            <w:pPr>
              <w:spacing w:after="0"/>
              <w:rPr>
                <w:rFonts w:cs="Arial"/>
                <w:sz w:val="16"/>
                <w:szCs w:val="16"/>
              </w:rPr>
            </w:pPr>
            <w:r>
              <w:rPr>
                <w:rFonts w:cs="Arial"/>
                <w:sz w:val="16"/>
                <w:szCs w:val="16"/>
              </w:rPr>
              <w:t> </w:t>
            </w:r>
          </w:p>
        </w:tc>
        <w:tc>
          <w:tcPr>
            <w:tcW w:w="1064" w:type="dxa"/>
            <w:tcBorders>
              <w:top w:val="nil"/>
              <w:left w:val="nil"/>
              <w:bottom w:val="single" w:sz="4" w:space="0" w:color="D9D9D9"/>
              <w:right w:val="nil"/>
            </w:tcBorders>
            <w:shd w:val="clear" w:color="000000" w:fill="D9D9D9"/>
            <w:noWrap/>
            <w:vAlign w:val="bottom"/>
            <w:hideMark/>
          </w:tcPr>
          <w:p w14:paraId="014E95EB" w14:textId="77777777" w:rsidR="00AB6753" w:rsidRDefault="00AB6753" w:rsidP="002D1EA4">
            <w:pPr>
              <w:spacing w:after="0"/>
              <w:rPr>
                <w:rFonts w:cs="Arial"/>
                <w:sz w:val="16"/>
                <w:szCs w:val="16"/>
              </w:rPr>
            </w:pPr>
            <w:r>
              <w:rPr>
                <w:rFonts w:cs="Arial"/>
                <w:sz w:val="16"/>
                <w:szCs w:val="16"/>
              </w:rPr>
              <w:t> </w:t>
            </w:r>
          </w:p>
        </w:tc>
        <w:tc>
          <w:tcPr>
            <w:tcW w:w="1151" w:type="dxa"/>
            <w:tcBorders>
              <w:top w:val="nil"/>
              <w:left w:val="nil"/>
              <w:bottom w:val="single" w:sz="4" w:space="0" w:color="D9D9D9"/>
              <w:right w:val="nil"/>
            </w:tcBorders>
            <w:shd w:val="clear" w:color="000000" w:fill="D9D9D9"/>
            <w:noWrap/>
            <w:vAlign w:val="bottom"/>
            <w:hideMark/>
          </w:tcPr>
          <w:p w14:paraId="3ED9F931" w14:textId="77777777" w:rsidR="00AB6753" w:rsidRDefault="00AB6753" w:rsidP="002D1EA4">
            <w:pPr>
              <w:spacing w:after="0"/>
              <w:rPr>
                <w:rFonts w:cs="Arial"/>
                <w:sz w:val="16"/>
                <w:szCs w:val="16"/>
              </w:rPr>
            </w:pPr>
            <w:r>
              <w:rPr>
                <w:rFonts w:cs="Arial"/>
                <w:sz w:val="16"/>
                <w:szCs w:val="16"/>
              </w:rPr>
              <w:t> </w:t>
            </w:r>
          </w:p>
        </w:tc>
      </w:tr>
      <w:tr w:rsidR="00AB6753" w14:paraId="31A7A3DF" w14:textId="77777777" w:rsidTr="002D1EA4">
        <w:trPr>
          <w:trHeight w:val="255"/>
        </w:trPr>
        <w:tc>
          <w:tcPr>
            <w:tcW w:w="4811" w:type="dxa"/>
            <w:tcBorders>
              <w:top w:val="nil"/>
              <w:left w:val="nil"/>
              <w:bottom w:val="single" w:sz="4" w:space="0" w:color="D9D9D9"/>
              <w:right w:val="nil"/>
            </w:tcBorders>
            <w:shd w:val="clear" w:color="000000" w:fill="D9D9D9"/>
            <w:vAlign w:val="bottom"/>
            <w:hideMark/>
          </w:tcPr>
          <w:p w14:paraId="7B311BF0" w14:textId="77777777" w:rsidR="00AB6753" w:rsidRDefault="00AB6753" w:rsidP="002D1EA4">
            <w:pPr>
              <w:spacing w:after="0"/>
              <w:ind w:firstLineChars="100" w:firstLine="180"/>
              <w:rPr>
                <w:rFonts w:cs="Arial"/>
                <w:sz w:val="18"/>
                <w:szCs w:val="18"/>
              </w:rPr>
            </w:pPr>
            <w:r>
              <w:rPr>
                <w:rFonts w:cs="Arial"/>
                <w:sz w:val="18"/>
                <w:szCs w:val="18"/>
              </w:rPr>
              <w:t>New contingent assets recognised</w:t>
            </w:r>
          </w:p>
        </w:tc>
        <w:tc>
          <w:tcPr>
            <w:tcW w:w="344" w:type="dxa"/>
            <w:tcBorders>
              <w:top w:val="nil"/>
              <w:left w:val="nil"/>
              <w:bottom w:val="single" w:sz="4" w:space="0" w:color="D9D9D9"/>
              <w:right w:val="nil"/>
            </w:tcBorders>
            <w:shd w:val="clear" w:color="000000" w:fill="D9D9D9"/>
            <w:noWrap/>
            <w:vAlign w:val="bottom"/>
            <w:hideMark/>
          </w:tcPr>
          <w:p w14:paraId="2609C891" w14:textId="77777777" w:rsidR="00AB6753" w:rsidRDefault="00AB6753" w:rsidP="002D1EA4">
            <w:pPr>
              <w:spacing w:after="0"/>
              <w:rPr>
                <w:rFonts w:cs="Arial"/>
                <w:sz w:val="16"/>
                <w:szCs w:val="16"/>
              </w:rPr>
            </w:pPr>
            <w:r>
              <w:rPr>
                <w:rFonts w:cs="Arial"/>
                <w:sz w:val="16"/>
                <w:szCs w:val="16"/>
              </w:rPr>
              <w:t> </w:t>
            </w:r>
          </w:p>
        </w:tc>
        <w:tc>
          <w:tcPr>
            <w:tcW w:w="1064" w:type="dxa"/>
            <w:tcBorders>
              <w:top w:val="nil"/>
              <w:left w:val="nil"/>
              <w:bottom w:val="nil"/>
              <w:right w:val="nil"/>
            </w:tcBorders>
            <w:shd w:val="clear" w:color="000000" w:fill="D9D9D9"/>
            <w:noWrap/>
            <w:vAlign w:val="bottom"/>
            <w:hideMark/>
          </w:tcPr>
          <w:p w14:paraId="6060183F" w14:textId="77777777" w:rsidR="00AB6753" w:rsidRDefault="00AB6753" w:rsidP="002D1EA4">
            <w:pPr>
              <w:spacing w:after="0"/>
              <w:jc w:val="right"/>
              <w:rPr>
                <w:rFonts w:cs="Arial"/>
                <w:b/>
                <w:bCs/>
                <w:sz w:val="18"/>
                <w:szCs w:val="18"/>
              </w:rPr>
            </w:pPr>
            <w:r>
              <w:rPr>
                <w:rFonts w:cs="Arial"/>
                <w:b/>
                <w:bCs/>
                <w:sz w:val="18"/>
                <w:szCs w:val="18"/>
              </w:rPr>
              <w:t xml:space="preserve"> -</w:t>
            </w:r>
          </w:p>
        </w:tc>
        <w:tc>
          <w:tcPr>
            <w:tcW w:w="1064" w:type="dxa"/>
            <w:tcBorders>
              <w:top w:val="nil"/>
              <w:left w:val="nil"/>
              <w:bottom w:val="nil"/>
              <w:right w:val="nil"/>
            </w:tcBorders>
            <w:shd w:val="clear" w:color="000000" w:fill="D9D9D9"/>
            <w:noWrap/>
            <w:vAlign w:val="bottom"/>
            <w:hideMark/>
          </w:tcPr>
          <w:p w14:paraId="618F2438" w14:textId="77777777" w:rsidR="00AB6753" w:rsidRDefault="00AB6753" w:rsidP="002D1EA4">
            <w:pPr>
              <w:spacing w:after="0"/>
              <w:jc w:val="right"/>
              <w:rPr>
                <w:rFonts w:cs="Arial"/>
                <w:sz w:val="18"/>
                <w:szCs w:val="18"/>
              </w:rPr>
            </w:pPr>
            <w:r>
              <w:rPr>
                <w:rFonts w:cs="Arial"/>
                <w:sz w:val="18"/>
                <w:szCs w:val="18"/>
              </w:rPr>
              <w:t xml:space="preserve"> -</w:t>
            </w:r>
          </w:p>
        </w:tc>
        <w:tc>
          <w:tcPr>
            <w:tcW w:w="1064" w:type="dxa"/>
            <w:tcBorders>
              <w:top w:val="nil"/>
              <w:left w:val="nil"/>
              <w:bottom w:val="nil"/>
              <w:right w:val="nil"/>
            </w:tcBorders>
            <w:shd w:val="clear" w:color="000000" w:fill="D9D9D9"/>
            <w:noWrap/>
            <w:vAlign w:val="bottom"/>
            <w:hideMark/>
          </w:tcPr>
          <w:p w14:paraId="4B6D516F" w14:textId="77777777" w:rsidR="00AB6753" w:rsidRDefault="00AB6753" w:rsidP="002D1EA4">
            <w:pPr>
              <w:spacing w:after="0"/>
              <w:jc w:val="right"/>
              <w:rPr>
                <w:rFonts w:cs="Arial"/>
                <w:b/>
                <w:bCs/>
                <w:sz w:val="18"/>
                <w:szCs w:val="18"/>
              </w:rPr>
            </w:pPr>
            <w:r>
              <w:rPr>
                <w:rFonts w:cs="Arial"/>
                <w:b/>
                <w:bCs/>
                <w:sz w:val="18"/>
                <w:szCs w:val="18"/>
              </w:rPr>
              <w:t>59,690</w:t>
            </w:r>
          </w:p>
        </w:tc>
        <w:tc>
          <w:tcPr>
            <w:tcW w:w="1151" w:type="dxa"/>
            <w:tcBorders>
              <w:top w:val="nil"/>
              <w:left w:val="nil"/>
              <w:bottom w:val="nil"/>
              <w:right w:val="nil"/>
            </w:tcBorders>
            <w:shd w:val="clear" w:color="000000" w:fill="D9D9D9"/>
            <w:noWrap/>
            <w:vAlign w:val="bottom"/>
            <w:hideMark/>
          </w:tcPr>
          <w:p w14:paraId="3BD9E80A"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1540CAEA" w14:textId="77777777" w:rsidTr="002D1EA4">
        <w:trPr>
          <w:trHeight w:val="255"/>
        </w:trPr>
        <w:tc>
          <w:tcPr>
            <w:tcW w:w="4811" w:type="dxa"/>
            <w:tcBorders>
              <w:top w:val="single" w:sz="4" w:space="0" w:color="auto"/>
              <w:left w:val="nil"/>
              <w:bottom w:val="single" w:sz="4" w:space="0" w:color="auto"/>
              <w:right w:val="nil"/>
            </w:tcBorders>
            <w:shd w:val="clear" w:color="000000" w:fill="D9D9D9"/>
            <w:vAlign w:val="bottom"/>
            <w:hideMark/>
          </w:tcPr>
          <w:p w14:paraId="07466C7F" w14:textId="77777777" w:rsidR="00AB6753" w:rsidRDefault="00AB6753" w:rsidP="002D1EA4">
            <w:pPr>
              <w:spacing w:after="0"/>
              <w:rPr>
                <w:rFonts w:cs="Arial"/>
                <w:b/>
                <w:bCs/>
                <w:sz w:val="18"/>
                <w:szCs w:val="18"/>
              </w:rPr>
            </w:pPr>
            <w:r>
              <w:rPr>
                <w:rFonts w:cs="Arial"/>
                <w:b/>
                <w:bCs/>
                <w:sz w:val="18"/>
                <w:szCs w:val="18"/>
              </w:rPr>
              <w:t>Total contingent assets</w:t>
            </w:r>
          </w:p>
        </w:tc>
        <w:tc>
          <w:tcPr>
            <w:tcW w:w="344" w:type="dxa"/>
            <w:tcBorders>
              <w:top w:val="single" w:sz="4" w:space="0" w:color="000000"/>
              <w:left w:val="nil"/>
              <w:bottom w:val="single" w:sz="4" w:space="0" w:color="000000"/>
              <w:right w:val="nil"/>
            </w:tcBorders>
            <w:shd w:val="clear" w:color="000000" w:fill="D9D9D9"/>
            <w:vAlign w:val="bottom"/>
            <w:hideMark/>
          </w:tcPr>
          <w:p w14:paraId="33BCE661" w14:textId="77777777" w:rsidR="00AB6753" w:rsidRDefault="00AB6753" w:rsidP="002D1EA4">
            <w:pPr>
              <w:spacing w:after="0"/>
              <w:rPr>
                <w:rFonts w:cs="Arial"/>
                <w:b/>
                <w:bCs/>
                <w:sz w:val="18"/>
                <w:szCs w:val="18"/>
              </w:rPr>
            </w:pPr>
            <w:r>
              <w:rPr>
                <w:rFonts w:cs="Arial"/>
                <w:b/>
                <w:bCs/>
                <w:sz w:val="18"/>
                <w:szCs w:val="18"/>
              </w:rPr>
              <w:t> </w:t>
            </w:r>
          </w:p>
        </w:tc>
        <w:tc>
          <w:tcPr>
            <w:tcW w:w="1064" w:type="dxa"/>
            <w:tcBorders>
              <w:top w:val="single" w:sz="4" w:space="0" w:color="auto"/>
              <w:left w:val="nil"/>
              <w:bottom w:val="single" w:sz="4" w:space="0" w:color="auto"/>
              <w:right w:val="nil"/>
            </w:tcBorders>
            <w:shd w:val="clear" w:color="000000" w:fill="D9D9D9"/>
            <w:noWrap/>
            <w:vAlign w:val="bottom"/>
            <w:hideMark/>
          </w:tcPr>
          <w:p w14:paraId="70DEF173" w14:textId="77777777" w:rsidR="00AB6753" w:rsidRDefault="00AB6753" w:rsidP="002D1EA4">
            <w:pPr>
              <w:spacing w:after="0"/>
              <w:jc w:val="right"/>
              <w:rPr>
                <w:rFonts w:cs="Arial"/>
                <w:b/>
                <w:bCs/>
                <w:sz w:val="18"/>
                <w:szCs w:val="18"/>
              </w:rPr>
            </w:pPr>
            <w:r>
              <w:rPr>
                <w:rFonts w:cs="Arial"/>
                <w:b/>
                <w:bCs/>
                <w:sz w:val="18"/>
                <w:szCs w:val="18"/>
              </w:rPr>
              <w:t xml:space="preserve"> -</w:t>
            </w:r>
          </w:p>
        </w:tc>
        <w:tc>
          <w:tcPr>
            <w:tcW w:w="1064" w:type="dxa"/>
            <w:tcBorders>
              <w:top w:val="single" w:sz="4" w:space="0" w:color="auto"/>
              <w:left w:val="nil"/>
              <w:bottom w:val="single" w:sz="4" w:space="0" w:color="auto"/>
              <w:right w:val="nil"/>
            </w:tcBorders>
            <w:shd w:val="clear" w:color="000000" w:fill="D9D9D9"/>
            <w:noWrap/>
            <w:vAlign w:val="bottom"/>
            <w:hideMark/>
          </w:tcPr>
          <w:p w14:paraId="33E1BD4B" w14:textId="77777777" w:rsidR="00AB6753" w:rsidRDefault="00AB6753" w:rsidP="002D1EA4">
            <w:pPr>
              <w:spacing w:after="0"/>
              <w:jc w:val="right"/>
              <w:rPr>
                <w:rFonts w:cs="Arial"/>
                <w:sz w:val="18"/>
                <w:szCs w:val="18"/>
              </w:rPr>
            </w:pPr>
            <w:r>
              <w:rPr>
                <w:rFonts w:cs="Arial"/>
                <w:sz w:val="18"/>
                <w:szCs w:val="18"/>
              </w:rPr>
              <w:t>-</w:t>
            </w:r>
          </w:p>
        </w:tc>
        <w:tc>
          <w:tcPr>
            <w:tcW w:w="1064" w:type="dxa"/>
            <w:tcBorders>
              <w:top w:val="single" w:sz="4" w:space="0" w:color="auto"/>
              <w:left w:val="nil"/>
              <w:bottom w:val="single" w:sz="4" w:space="0" w:color="auto"/>
              <w:right w:val="nil"/>
            </w:tcBorders>
            <w:shd w:val="clear" w:color="000000" w:fill="D9D9D9"/>
            <w:noWrap/>
            <w:vAlign w:val="bottom"/>
            <w:hideMark/>
          </w:tcPr>
          <w:p w14:paraId="7627AB1A" w14:textId="77777777" w:rsidR="00AB6753" w:rsidRDefault="00AB6753" w:rsidP="002D1EA4">
            <w:pPr>
              <w:spacing w:after="0"/>
              <w:jc w:val="right"/>
              <w:rPr>
                <w:rFonts w:cs="Arial"/>
                <w:b/>
                <w:bCs/>
                <w:sz w:val="18"/>
                <w:szCs w:val="18"/>
              </w:rPr>
            </w:pPr>
            <w:r>
              <w:rPr>
                <w:rFonts w:cs="Arial"/>
                <w:b/>
                <w:bCs/>
                <w:sz w:val="18"/>
                <w:szCs w:val="18"/>
              </w:rPr>
              <w:t>59,690</w:t>
            </w:r>
          </w:p>
        </w:tc>
        <w:tc>
          <w:tcPr>
            <w:tcW w:w="1151" w:type="dxa"/>
            <w:tcBorders>
              <w:top w:val="single" w:sz="4" w:space="0" w:color="auto"/>
              <w:left w:val="nil"/>
              <w:bottom w:val="single" w:sz="4" w:space="0" w:color="auto"/>
              <w:right w:val="nil"/>
            </w:tcBorders>
            <w:shd w:val="clear" w:color="000000" w:fill="D9D9D9"/>
            <w:noWrap/>
            <w:vAlign w:val="bottom"/>
            <w:hideMark/>
          </w:tcPr>
          <w:p w14:paraId="6ADC01DF" w14:textId="77777777" w:rsidR="00AB6753" w:rsidRDefault="00AB6753" w:rsidP="002D1EA4">
            <w:pPr>
              <w:spacing w:after="0"/>
              <w:jc w:val="right"/>
              <w:rPr>
                <w:rFonts w:cs="Arial"/>
                <w:sz w:val="18"/>
                <w:szCs w:val="18"/>
              </w:rPr>
            </w:pPr>
            <w:r>
              <w:rPr>
                <w:rFonts w:cs="Arial"/>
                <w:sz w:val="18"/>
                <w:szCs w:val="18"/>
              </w:rPr>
              <w:t>-</w:t>
            </w:r>
          </w:p>
        </w:tc>
      </w:tr>
      <w:tr w:rsidR="00AB6753" w14:paraId="1714530B" w14:textId="77777777" w:rsidTr="002D1EA4">
        <w:trPr>
          <w:trHeight w:val="255"/>
        </w:trPr>
        <w:tc>
          <w:tcPr>
            <w:tcW w:w="4811" w:type="dxa"/>
            <w:tcBorders>
              <w:top w:val="nil"/>
              <w:left w:val="nil"/>
              <w:bottom w:val="single" w:sz="4" w:space="0" w:color="D9D9D9"/>
              <w:right w:val="nil"/>
            </w:tcBorders>
            <w:shd w:val="clear" w:color="000000" w:fill="D9D9D9"/>
            <w:vAlign w:val="bottom"/>
            <w:hideMark/>
          </w:tcPr>
          <w:p w14:paraId="71B53312" w14:textId="77777777" w:rsidR="00AB6753" w:rsidRDefault="00AB6753" w:rsidP="002D1EA4">
            <w:pPr>
              <w:spacing w:after="0"/>
              <w:rPr>
                <w:rFonts w:cs="Arial"/>
                <w:sz w:val="18"/>
                <w:szCs w:val="18"/>
              </w:rPr>
            </w:pPr>
            <w:r>
              <w:rPr>
                <w:rFonts w:cs="Arial"/>
                <w:sz w:val="18"/>
                <w:szCs w:val="18"/>
              </w:rPr>
              <w:t> </w:t>
            </w:r>
          </w:p>
        </w:tc>
        <w:tc>
          <w:tcPr>
            <w:tcW w:w="344" w:type="dxa"/>
            <w:tcBorders>
              <w:top w:val="nil"/>
              <w:left w:val="nil"/>
              <w:bottom w:val="single" w:sz="4" w:space="0" w:color="D9D9D9"/>
              <w:right w:val="nil"/>
            </w:tcBorders>
            <w:shd w:val="clear" w:color="000000" w:fill="D9D9D9"/>
            <w:vAlign w:val="bottom"/>
            <w:hideMark/>
          </w:tcPr>
          <w:p w14:paraId="4F751EFE" w14:textId="77777777" w:rsidR="00AB6753" w:rsidRDefault="00AB6753" w:rsidP="002D1EA4">
            <w:pPr>
              <w:spacing w:after="0"/>
              <w:rPr>
                <w:rFonts w:cs="Arial"/>
                <w:sz w:val="18"/>
                <w:szCs w:val="18"/>
              </w:rPr>
            </w:pPr>
            <w:r>
              <w:rPr>
                <w:rFonts w:cs="Arial"/>
                <w:sz w:val="18"/>
                <w:szCs w:val="18"/>
              </w:rPr>
              <w:t> </w:t>
            </w:r>
          </w:p>
        </w:tc>
        <w:tc>
          <w:tcPr>
            <w:tcW w:w="1064" w:type="dxa"/>
            <w:tcBorders>
              <w:top w:val="nil"/>
              <w:left w:val="nil"/>
              <w:bottom w:val="single" w:sz="4" w:space="0" w:color="D9D9D9"/>
              <w:right w:val="nil"/>
            </w:tcBorders>
            <w:shd w:val="clear" w:color="000000" w:fill="D9D9D9"/>
            <w:vAlign w:val="bottom"/>
            <w:hideMark/>
          </w:tcPr>
          <w:p w14:paraId="5B32CE03" w14:textId="77777777" w:rsidR="00AB6753" w:rsidRDefault="00AB6753" w:rsidP="002D1EA4">
            <w:pPr>
              <w:spacing w:after="0"/>
              <w:rPr>
                <w:rFonts w:cs="Arial"/>
                <w:sz w:val="18"/>
                <w:szCs w:val="18"/>
              </w:rPr>
            </w:pPr>
            <w:r>
              <w:rPr>
                <w:rFonts w:cs="Arial"/>
                <w:sz w:val="18"/>
                <w:szCs w:val="18"/>
              </w:rPr>
              <w:t> </w:t>
            </w:r>
          </w:p>
        </w:tc>
        <w:tc>
          <w:tcPr>
            <w:tcW w:w="1064" w:type="dxa"/>
            <w:tcBorders>
              <w:top w:val="nil"/>
              <w:left w:val="nil"/>
              <w:bottom w:val="single" w:sz="4" w:space="0" w:color="D9D9D9"/>
              <w:right w:val="nil"/>
            </w:tcBorders>
            <w:shd w:val="clear" w:color="000000" w:fill="D9D9D9"/>
            <w:vAlign w:val="bottom"/>
            <w:hideMark/>
          </w:tcPr>
          <w:p w14:paraId="47163DD4" w14:textId="77777777" w:rsidR="00AB6753" w:rsidRDefault="00AB6753" w:rsidP="002D1EA4">
            <w:pPr>
              <w:spacing w:after="0"/>
              <w:rPr>
                <w:rFonts w:cs="Arial"/>
                <w:sz w:val="18"/>
                <w:szCs w:val="18"/>
              </w:rPr>
            </w:pPr>
            <w:r>
              <w:rPr>
                <w:rFonts w:cs="Arial"/>
                <w:sz w:val="18"/>
                <w:szCs w:val="18"/>
              </w:rPr>
              <w:t> </w:t>
            </w:r>
          </w:p>
        </w:tc>
        <w:tc>
          <w:tcPr>
            <w:tcW w:w="1064" w:type="dxa"/>
            <w:tcBorders>
              <w:top w:val="nil"/>
              <w:left w:val="nil"/>
              <w:bottom w:val="single" w:sz="4" w:space="0" w:color="D9D9D9"/>
              <w:right w:val="nil"/>
            </w:tcBorders>
            <w:shd w:val="clear" w:color="000000" w:fill="D9D9D9"/>
            <w:vAlign w:val="bottom"/>
            <w:hideMark/>
          </w:tcPr>
          <w:p w14:paraId="3B4EC7B5" w14:textId="77777777" w:rsidR="00AB6753" w:rsidRDefault="00AB6753" w:rsidP="002D1EA4">
            <w:pPr>
              <w:spacing w:after="0"/>
              <w:rPr>
                <w:rFonts w:cs="Arial"/>
                <w:sz w:val="18"/>
                <w:szCs w:val="18"/>
              </w:rPr>
            </w:pPr>
            <w:r>
              <w:rPr>
                <w:rFonts w:cs="Arial"/>
                <w:sz w:val="18"/>
                <w:szCs w:val="18"/>
              </w:rPr>
              <w:t> </w:t>
            </w:r>
          </w:p>
        </w:tc>
        <w:tc>
          <w:tcPr>
            <w:tcW w:w="1151" w:type="dxa"/>
            <w:tcBorders>
              <w:top w:val="nil"/>
              <w:left w:val="nil"/>
              <w:bottom w:val="single" w:sz="4" w:space="0" w:color="D9D9D9"/>
              <w:right w:val="nil"/>
            </w:tcBorders>
            <w:shd w:val="clear" w:color="000000" w:fill="D9D9D9"/>
            <w:vAlign w:val="bottom"/>
            <w:hideMark/>
          </w:tcPr>
          <w:p w14:paraId="58502E7D" w14:textId="77777777" w:rsidR="00AB6753" w:rsidRDefault="00AB6753" w:rsidP="002D1EA4">
            <w:pPr>
              <w:spacing w:after="0"/>
              <w:rPr>
                <w:rFonts w:cs="Arial"/>
                <w:sz w:val="18"/>
                <w:szCs w:val="18"/>
              </w:rPr>
            </w:pPr>
            <w:r>
              <w:rPr>
                <w:rFonts w:cs="Arial"/>
                <w:sz w:val="18"/>
                <w:szCs w:val="18"/>
              </w:rPr>
              <w:t> </w:t>
            </w:r>
          </w:p>
        </w:tc>
      </w:tr>
      <w:tr w:rsidR="00AB6753" w14:paraId="566D5432" w14:textId="77777777" w:rsidTr="002D1EA4">
        <w:trPr>
          <w:trHeight w:val="255"/>
        </w:trPr>
        <w:tc>
          <w:tcPr>
            <w:tcW w:w="4811" w:type="dxa"/>
            <w:tcBorders>
              <w:top w:val="nil"/>
              <w:left w:val="nil"/>
              <w:bottom w:val="single" w:sz="4" w:space="0" w:color="D9D9D9"/>
              <w:right w:val="nil"/>
            </w:tcBorders>
            <w:shd w:val="clear" w:color="000000" w:fill="D9D9D9"/>
            <w:vAlign w:val="bottom"/>
            <w:hideMark/>
          </w:tcPr>
          <w:p w14:paraId="01C29A7A" w14:textId="77777777" w:rsidR="00AB6753" w:rsidRDefault="00AB6753" w:rsidP="002D1EA4">
            <w:pPr>
              <w:spacing w:after="0"/>
              <w:rPr>
                <w:rFonts w:cs="Arial"/>
                <w:b/>
                <w:bCs/>
                <w:sz w:val="18"/>
                <w:szCs w:val="18"/>
              </w:rPr>
            </w:pPr>
            <w:r>
              <w:rPr>
                <w:rFonts w:cs="Arial"/>
                <w:b/>
                <w:bCs/>
                <w:sz w:val="18"/>
                <w:szCs w:val="18"/>
              </w:rPr>
              <w:t>Contingent liabilities</w:t>
            </w:r>
          </w:p>
        </w:tc>
        <w:tc>
          <w:tcPr>
            <w:tcW w:w="344" w:type="dxa"/>
            <w:tcBorders>
              <w:top w:val="nil"/>
              <w:left w:val="nil"/>
              <w:bottom w:val="single" w:sz="4" w:space="0" w:color="D9D9D9"/>
              <w:right w:val="nil"/>
            </w:tcBorders>
            <w:shd w:val="clear" w:color="000000" w:fill="D9D9D9"/>
            <w:noWrap/>
            <w:vAlign w:val="bottom"/>
            <w:hideMark/>
          </w:tcPr>
          <w:p w14:paraId="21ACE6C1" w14:textId="77777777" w:rsidR="00AB6753" w:rsidRDefault="00AB6753" w:rsidP="002D1EA4">
            <w:pPr>
              <w:spacing w:after="0"/>
              <w:rPr>
                <w:rFonts w:cs="Arial"/>
                <w:sz w:val="16"/>
                <w:szCs w:val="16"/>
              </w:rPr>
            </w:pPr>
            <w:r>
              <w:rPr>
                <w:rFonts w:cs="Arial"/>
                <w:sz w:val="16"/>
                <w:szCs w:val="16"/>
              </w:rPr>
              <w:t> </w:t>
            </w:r>
          </w:p>
        </w:tc>
        <w:tc>
          <w:tcPr>
            <w:tcW w:w="1064" w:type="dxa"/>
            <w:tcBorders>
              <w:top w:val="nil"/>
              <w:left w:val="nil"/>
              <w:bottom w:val="single" w:sz="4" w:space="0" w:color="D9D9D9"/>
              <w:right w:val="nil"/>
            </w:tcBorders>
            <w:shd w:val="clear" w:color="000000" w:fill="D9D9D9"/>
            <w:noWrap/>
            <w:vAlign w:val="bottom"/>
            <w:hideMark/>
          </w:tcPr>
          <w:p w14:paraId="011D48F2" w14:textId="77777777" w:rsidR="00AB6753" w:rsidRDefault="00AB6753" w:rsidP="002D1EA4">
            <w:pPr>
              <w:spacing w:after="0"/>
              <w:rPr>
                <w:rFonts w:cs="Arial"/>
                <w:sz w:val="16"/>
                <w:szCs w:val="16"/>
              </w:rPr>
            </w:pPr>
            <w:r>
              <w:rPr>
                <w:rFonts w:cs="Arial"/>
                <w:sz w:val="16"/>
                <w:szCs w:val="16"/>
              </w:rPr>
              <w:t> </w:t>
            </w:r>
          </w:p>
        </w:tc>
        <w:tc>
          <w:tcPr>
            <w:tcW w:w="1064" w:type="dxa"/>
            <w:tcBorders>
              <w:top w:val="nil"/>
              <w:left w:val="nil"/>
              <w:bottom w:val="single" w:sz="4" w:space="0" w:color="D9D9D9"/>
              <w:right w:val="nil"/>
            </w:tcBorders>
            <w:shd w:val="clear" w:color="000000" w:fill="D9D9D9"/>
            <w:noWrap/>
            <w:vAlign w:val="bottom"/>
            <w:hideMark/>
          </w:tcPr>
          <w:p w14:paraId="5B841353" w14:textId="77777777" w:rsidR="00AB6753" w:rsidRDefault="00AB6753" w:rsidP="002D1EA4">
            <w:pPr>
              <w:spacing w:after="0"/>
              <w:rPr>
                <w:rFonts w:cs="Arial"/>
                <w:sz w:val="16"/>
                <w:szCs w:val="16"/>
              </w:rPr>
            </w:pPr>
            <w:r>
              <w:rPr>
                <w:rFonts w:cs="Arial"/>
                <w:sz w:val="16"/>
                <w:szCs w:val="16"/>
              </w:rPr>
              <w:t> </w:t>
            </w:r>
          </w:p>
        </w:tc>
        <w:tc>
          <w:tcPr>
            <w:tcW w:w="1064" w:type="dxa"/>
            <w:tcBorders>
              <w:top w:val="nil"/>
              <w:left w:val="nil"/>
              <w:bottom w:val="single" w:sz="4" w:space="0" w:color="D9D9D9"/>
              <w:right w:val="nil"/>
            </w:tcBorders>
            <w:shd w:val="clear" w:color="000000" w:fill="D9D9D9"/>
            <w:noWrap/>
            <w:vAlign w:val="bottom"/>
            <w:hideMark/>
          </w:tcPr>
          <w:p w14:paraId="74E645D2" w14:textId="77777777" w:rsidR="00AB6753" w:rsidRDefault="00AB6753" w:rsidP="002D1EA4">
            <w:pPr>
              <w:spacing w:after="0"/>
              <w:rPr>
                <w:rFonts w:cs="Arial"/>
                <w:sz w:val="16"/>
                <w:szCs w:val="16"/>
              </w:rPr>
            </w:pPr>
            <w:r>
              <w:rPr>
                <w:rFonts w:cs="Arial"/>
                <w:sz w:val="16"/>
                <w:szCs w:val="16"/>
              </w:rPr>
              <w:t> </w:t>
            </w:r>
          </w:p>
        </w:tc>
        <w:tc>
          <w:tcPr>
            <w:tcW w:w="1151" w:type="dxa"/>
            <w:tcBorders>
              <w:top w:val="nil"/>
              <w:left w:val="nil"/>
              <w:bottom w:val="single" w:sz="4" w:space="0" w:color="D9D9D9"/>
              <w:right w:val="nil"/>
            </w:tcBorders>
            <w:shd w:val="clear" w:color="000000" w:fill="D9D9D9"/>
            <w:noWrap/>
            <w:vAlign w:val="bottom"/>
            <w:hideMark/>
          </w:tcPr>
          <w:p w14:paraId="41117975" w14:textId="77777777" w:rsidR="00AB6753" w:rsidRDefault="00AB6753" w:rsidP="002D1EA4">
            <w:pPr>
              <w:spacing w:after="0"/>
              <w:rPr>
                <w:rFonts w:cs="Arial"/>
                <w:sz w:val="16"/>
                <w:szCs w:val="16"/>
              </w:rPr>
            </w:pPr>
            <w:r>
              <w:rPr>
                <w:rFonts w:cs="Arial"/>
                <w:sz w:val="16"/>
                <w:szCs w:val="16"/>
              </w:rPr>
              <w:t> </w:t>
            </w:r>
          </w:p>
        </w:tc>
      </w:tr>
      <w:tr w:rsidR="00AB6753" w14:paraId="224A20DC" w14:textId="77777777" w:rsidTr="002D1EA4">
        <w:trPr>
          <w:trHeight w:val="255"/>
        </w:trPr>
        <w:tc>
          <w:tcPr>
            <w:tcW w:w="4811" w:type="dxa"/>
            <w:tcBorders>
              <w:top w:val="nil"/>
              <w:left w:val="nil"/>
              <w:bottom w:val="single" w:sz="4" w:space="0" w:color="D9D9D9"/>
              <w:right w:val="nil"/>
            </w:tcBorders>
            <w:shd w:val="clear" w:color="000000" w:fill="D9D9D9"/>
            <w:vAlign w:val="bottom"/>
            <w:hideMark/>
          </w:tcPr>
          <w:p w14:paraId="3B43E213" w14:textId="77777777" w:rsidR="00AB6753" w:rsidRDefault="00AB6753" w:rsidP="002D1EA4">
            <w:pPr>
              <w:spacing w:after="0"/>
              <w:ind w:firstLineChars="100" w:firstLine="180"/>
              <w:rPr>
                <w:rFonts w:cs="Arial"/>
                <w:sz w:val="18"/>
                <w:szCs w:val="18"/>
              </w:rPr>
            </w:pPr>
            <w:r>
              <w:rPr>
                <w:rFonts w:cs="Arial"/>
                <w:sz w:val="18"/>
                <w:szCs w:val="18"/>
              </w:rPr>
              <w:t>Balance from previous period</w:t>
            </w:r>
          </w:p>
        </w:tc>
        <w:tc>
          <w:tcPr>
            <w:tcW w:w="344" w:type="dxa"/>
            <w:tcBorders>
              <w:top w:val="nil"/>
              <w:left w:val="nil"/>
              <w:bottom w:val="single" w:sz="4" w:space="0" w:color="D9D9D9"/>
              <w:right w:val="nil"/>
            </w:tcBorders>
            <w:shd w:val="clear" w:color="000000" w:fill="D9D9D9"/>
            <w:noWrap/>
            <w:vAlign w:val="bottom"/>
            <w:hideMark/>
          </w:tcPr>
          <w:p w14:paraId="3644B990" w14:textId="77777777" w:rsidR="00AB6753" w:rsidRDefault="00AB6753" w:rsidP="002D1EA4">
            <w:pPr>
              <w:spacing w:after="0"/>
              <w:rPr>
                <w:rFonts w:cs="Arial"/>
                <w:sz w:val="16"/>
                <w:szCs w:val="16"/>
              </w:rPr>
            </w:pPr>
            <w:r>
              <w:rPr>
                <w:rFonts w:cs="Arial"/>
                <w:sz w:val="16"/>
                <w:szCs w:val="16"/>
              </w:rPr>
              <w:t> </w:t>
            </w:r>
          </w:p>
        </w:tc>
        <w:tc>
          <w:tcPr>
            <w:tcW w:w="1064" w:type="dxa"/>
            <w:tcBorders>
              <w:top w:val="nil"/>
              <w:left w:val="nil"/>
              <w:bottom w:val="nil"/>
              <w:right w:val="nil"/>
            </w:tcBorders>
            <w:shd w:val="clear" w:color="000000" w:fill="D9D9D9"/>
            <w:noWrap/>
            <w:vAlign w:val="bottom"/>
            <w:hideMark/>
          </w:tcPr>
          <w:p w14:paraId="058F87CE" w14:textId="77777777" w:rsidR="00AB6753" w:rsidRDefault="00AB6753" w:rsidP="002D1EA4">
            <w:pPr>
              <w:spacing w:after="0"/>
              <w:jc w:val="right"/>
              <w:rPr>
                <w:rFonts w:cs="Arial"/>
                <w:b/>
                <w:bCs/>
                <w:sz w:val="18"/>
                <w:szCs w:val="18"/>
              </w:rPr>
            </w:pPr>
            <w:r>
              <w:rPr>
                <w:rFonts w:cs="Arial"/>
                <w:b/>
                <w:bCs/>
                <w:sz w:val="18"/>
                <w:szCs w:val="18"/>
              </w:rPr>
              <w:t>5,000</w:t>
            </w:r>
          </w:p>
        </w:tc>
        <w:tc>
          <w:tcPr>
            <w:tcW w:w="1064" w:type="dxa"/>
            <w:tcBorders>
              <w:top w:val="nil"/>
              <w:left w:val="nil"/>
              <w:bottom w:val="nil"/>
              <w:right w:val="nil"/>
            </w:tcBorders>
            <w:shd w:val="clear" w:color="000000" w:fill="D9D9D9"/>
            <w:noWrap/>
            <w:vAlign w:val="bottom"/>
            <w:hideMark/>
          </w:tcPr>
          <w:p w14:paraId="6E59B00B" w14:textId="77777777" w:rsidR="00AB6753" w:rsidRDefault="00AB6753" w:rsidP="002D1EA4">
            <w:pPr>
              <w:spacing w:after="0"/>
              <w:jc w:val="right"/>
              <w:rPr>
                <w:rFonts w:cs="Arial"/>
                <w:sz w:val="18"/>
                <w:szCs w:val="18"/>
              </w:rPr>
            </w:pPr>
            <w:r>
              <w:rPr>
                <w:rFonts w:cs="Arial"/>
                <w:sz w:val="18"/>
                <w:szCs w:val="18"/>
              </w:rPr>
              <w:t xml:space="preserve"> -</w:t>
            </w:r>
          </w:p>
        </w:tc>
        <w:tc>
          <w:tcPr>
            <w:tcW w:w="1064" w:type="dxa"/>
            <w:tcBorders>
              <w:top w:val="nil"/>
              <w:left w:val="nil"/>
              <w:bottom w:val="nil"/>
              <w:right w:val="nil"/>
            </w:tcBorders>
            <w:shd w:val="clear" w:color="000000" w:fill="D9D9D9"/>
            <w:noWrap/>
            <w:vAlign w:val="bottom"/>
            <w:hideMark/>
          </w:tcPr>
          <w:p w14:paraId="01C37768" w14:textId="77777777" w:rsidR="00AB6753" w:rsidRDefault="00AB6753" w:rsidP="002D1EA4">
            <w:pPr>
              <w:spacing w:after="0"/>
              <w:jc w:val="right"/>
              <w:rPr>
                <w:rFonts w:cs="Arial"/>
                <w:b/>
                <w:bCs/>
                <w:sz w:val="18"/>
                <w:szCs w:val="18"/>
              </w:rPr>
            </w:pPr>
            <w:r>
              <w:rPr>
                <w:rFonts w:cs="Arial"/>
                <w:b/>
                <w:bCs/>
                <w:sz w:val="18"/>
                <w:szCs w:val="18"/>
              </w:rPr>
              <w:t xml:space="preserve"> -</w:t>
            </w:r>
          </w:p>
        </w:tc>
        <w:tc>
          <w:tcPr>
            <w:tcW w:w="1151" w:type="dxa"/>
            <w:tcBorders>
              <w:top w:val="nil"/>
              <w:left w:val="nil"/>
              <w:bottom w:val="nil"/>
              <w:right w:val="nil"/>
            </w:tcBorders>
            <w:shd w:val="clear" w:color="000000" w:fill="D9D9D9"/>
            <w:noWrap/>
            <w:vAlign w:val="bottom"/>
            <w:hideMark/>
          </w:tcPr>
          <w:p w14:paraId="42C8895A"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293F1B9B" w14:textId="77777777" w:rsidTr="002D1EA4">
        <w:trPr>
          <w:trHeight w:val="255"/>
        </w:trPr>
        <w:tc>
          <w:tcPr>
            <w:tcW w:w="4811" w:type="dxa"/>
            <w:tcBorders>
              <w:top w:val="nil"/>
              <w:left w:val="nil"/>
              <w:bottom w:val="single" w:sz="4" w:space="0" w:color="D9D9D9"/>
              <w:right w:val="nil"/>
            </w:tcBorders>
            <w:shd w:val="clear" w:color="000000" w:fill="D9D9D9"/>
            <w:vAlign w:val="bottom"/>
            <w:hideMark/>
          </w:tcPr>
          <w:p w14:paraId="10DB5644" w14:textId="77777777" w:rsidR="00AB6753" w:rsidRDefault="00AB6753" w:rsidP="002D1EA4">
            <w:pPr>
              <w:spacing w:after="0"/>
              <w:ind w:firstLineChars="100" w:firstLine="180"/>
              <w:rPr>
                <w:rFonts w:cs="Arial"/>
                <w:sz w:val="18"/>
                <w:szCs w:val="18"/>
              </w:rPr>
            </w:pPr>
            <w:r>
              <w:rPr>
                <w:rFonts w:cs="Arial"/>
                <w:sz w:val="18"/>
                <w:szCs w:val="18"/>
              </w:rPr>
              <w:t>New contingent liabilities recognised</w:t>
            </w:r>
          </w:p>
        </w:tc>
        <w:tc>
          <w:tcPr>
            <w:tcW w:w="344" w:type="dxa"/>
            <w:tcBorders>
              <w:top w:val="nil"/>
              <w:left w:val="nil"/>
              <w:bottom w:val="single" w:sz="4" w:space="0" w:color="D9D9D9"/>
              <w:right w:val="nil"/>
            </w:tcBorders>
            <w:shd w:val="clear" w:color="000000" w:fill="D9D9D9"/>
            <w:noWrap/>
            <w:vAlign w:val="bottom"/>
            <w:hideMark/>
          </w:tcPr>
          <w:p w14:paraId="498926F9" w14:textId="77777777" w:rsidR="00AB6753" w:rsidRDefault="00AB6753" w:rsidP="002D1EA4">
            <w:pPr>
              <w:spacing w:after="0"/>
              <w:rPr>
                <w:rFonts w:cs="Arial"/>
                <w:sz w:val="16"/>
                <w:szCs w:val="16"/>
              </w:rPr>
            </w:pPr>
            <w:r>
              <w:rPr>
                <w:rFonts w:cs="Arial"/>
                <w:sz w:val="16"/>
                <w:szCs w:val="16"/>
              </w:rPr>
              <w:t> </w:t>
            </w:r>
          </w:p>
        </w:tc>
        <w:tc>
          <w:tcPr>
            <w:tcW w:w="1064" w:type="dxa"/>
            <w:tcBorders>
              <w:top w:val="nil"/>
              <w:left w:val="nil"/>
              <w:bottom w:val="nil"/>
              <w:right w:val="nil"/>
            </w:tcBorders>
            <w:shd w:val="clear" w:color="000000" w:fill="D9D9D9"/>
            <w:noWrap/>
            <w:vAlign w:val="bottom"/>
            <w:hideMark/>
          </w:tcPr>
          <w:p w14:paraId="2DA9081B" w14:textId="77777777" w:rsidR="00AB6753" w:rsidRDefault="00AB6753" w:rsidP="002D1EA4">
            <w:pPr>
              <w:spacing w:after="0"/>
              <w:jc w:val="right"/>
              <w:rPr>
                <w:rFonts w:cs="Arial"/>
                <w:b/>
                <w:bCs/>
                <w:sz w:val="18"/>
                <w:szCs w:val="18"/>
              </w:rPr>
            </w:pPr>
            <w:r>
              <w:rPr>
                <w:rFonts w:cs="Arial"/>
                <w:b/>
                <w:bCs/>
                <w:sz w:val="18"/>
                <w:szCs w:val="18"/>
              </w:rPr>
              <w:t xml:space="preserve"> -</w:t>
            </w:r>
          </w:p>
        </w:tc>
        <w:tc>
          <w:tcPr>
            <w:tcW w:w="1064" w:type="dxa"/>
            <w:tcBorders>
              <w:top w:val="nil"/>
              <w:left w:val="nil"/>
              <w:bottom w:val="nil"/>
              <w:right w:val="nil"/>
            </w:tcBorders>
            <w:shd w:val="clear" w:color="000000" w:fill="D9D9D9"/>
            <w:noWrap/>
            <w:vAlign w:val="bottom"/>
            <w:hideMark/>
          </w:tcPr>
          <w:p w14:paraId="48A8D1FE" w14:textId="77777777" w:rsidR="00AB6753" w:rsidRDefault="00AB6753" w:rsidP="002D1EA4">
            <w:pPr>
              <w:spacing w:after="0"/>
              <w:jc w:val="right"/>
              <w:rPr>
                <w:rFonts w:cs="Arial"/>
                <w:sz w:val="18"/>
                <w:szCs w:val="18"/>
              </w:rPr>
            </w:pPr>
            <w:r>
              <w:rPr>
                <w:rFonts w:cs="Arial"/>
                <w:sz w:val="18"/>
                <w:szCs w:val="18"/>
              </w:rPr>
              <w:t>5,000</w:t>
            </w:r>
          </w:p>
        </w:tc>
        <w:tc>
          <w:tcPr>
            <w:tcW w:w="1064" w:type="dxa"/>
            <w:tcBorders>
              <w:top w:val="nil"/>
              <w:left w:val="nil"/>
              <w:bottom w:val="nil"/>
              <w:right w:val="nil"/>
            </w:tcBorders>
            <w:shd w:val="clear" w:color="000000" w:fill="D9D9D9"/>
            <w:noWrap/>
            <w:vAlign w:val="bottom"/>
            <w:hideMark/>
          </w:tcPr>
          <w:p w14:paraId="0F8CE37B" w14:textId="77777777" w:rsidR="00AB6753" w:rsidRDefault="00AB6753" w:rsidP="002D1EA4">
            <w:pPr>
              <w:spacing w:after="0"/>
              <w:jc w:val="right"/>
              <w:rPr>
                <w:rFonts w:cs="Arial"/>
                <w:b/>
                <w:bCs/>
                <w:sz w:val="18"/>
                <w:szCs w:val="18"/>
              </w:rPr>
            </w:pPr>
            <w:r>
              <w:rPr>
                <w:rFonts w:cs="Arial"/>
                <w:b/>
                <w:bCs/>
                <w:sz w:val="18"/>
                <w:szCs w:val="18"/>
              </w:rPr>
              <w:t>59,690</w:t>
            </w:r>
          </w:p>
        </w:tc>
        <w:tc>
          <w:tcPr>
            <w:tcW w:w="1151" w:type="dxa"/>
            <w:tcBorders>
              <w:top w:val="nil"/>
              <w:left w:val="nil"/>
              <w:bottom w:val="nil"/>
              <w:right w:val="nil"/>
            </w:tcBorders>
            <w:shd w:val="clear" w:color="000000" w:fill="D9D9D9"/>
            <w:noWrap/>
            <w:vAlign w:val="bottom"/>
            <w:hideMark/>
          </w:tcPr>
          <w:p w14:paraId="2AFF8FDF"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7CD91A5E" w14:textId="77777777" w:rsidTr="002D1EA4">
        <w:trPr>
          <w:trHeight w:val="255"/>
        </w:trPr>
        <w:tc>
          <w:tcPr>
            <w:tcW w:w="4811" w:type="dxa"/>
            <w:tcBorders>
              <w:top w:val="nil"/>
              <w:left w:val="nil"/>
              <w:bottom w:val="single" w:sz="4" w:space="0" w:color="D9D9D9"/>
              <w:right w:val="nil"/>
            </w:tcBorders>
            <w:shd w:val="clear" w:color="000000" w:fill="D9D9D9"/>
            <w:vAlign w:val="bottom"/>
            <w:hideMark/>
          </w:tcPr>
          <w:p w14:paraId="7512C89F" w14:textId="77777777" w:rsidR="00AB6753" w:rsidRDefault="00AB6753" w:rsidP="002D1EA4">
            <w:pPr>
              <w:spacing w:after="0"/>
              <w:ind w:firstLineChars="100" w:firstLine="180"/>
              <w:rPr>
                <w:rFonts w:cs="Arial"/>
                <w:sz w:val="18"/>
                <w:szCs w:val="18"/>
              </w:rPr>
            </w:pPr>
            <w:r>
              <w:rPr>
                <w:rFonts w:cs="Arial"/>
                <w:sz w:val="18"/>
                <w:szCs w:val="18"/>
              </w:rPr>
              <w:t>Liability reversed</w:t>
            </w:r>
          </w:p>
        </w:tc>
        <w:tc>
          <w:tcPr>
            <w:tcW w:w="344" w:type="dxa"/>
            <w:tcBorders>
              <w:top w:val="nil"/>
              <w:left w:val="nil"/>
              <w:bottom w:val="single" w:sz="4" w:space="0" w:color="D9D9D9"/>
              <w:right w:val="nil"/>
            </w:tcBorders>
            <w:shd w:val="clear" w:color="000000" w:fill="D9D9D9"/>
            <w:noWrap/>
            <w:vAlign w:val="bottom"/>
            <w:hideMark/>
          </w:tcPr>
          <w:p w14:paraId="6CA76841" w14:textId="77777777" w:rsidR="00AB6753" w:rsidRDefault="00AB6753" w:rsidP="002D1EA4">
            <w:pPr>
              <w:spacing w:after="0"/>
              <w:rPr>
                <w:rFonts w:cs="Arial"/>
                <w:sz w:val="16"/>
                <w:szCs w:val="16"/>
              </w:rPr>
            </w:pPr>
            <w:r>
              <w:rPr>
                <w:rFonts w:cs="Arial"/>
                <w:sz w:val="16"/>
                <w:szCs w:val="16"/>
              </w:rPr>
              <w:t> </w:t>
            </w:r>
          </w:p>
        </w:tc>
        <w:tc>
          <w:tcPr>
            <w:tcW w:w="1064" w:type="dxa"/>
            <w:tcBorders>
              <w:top w:val="nil"/>
              <w:left w:val="nil"/>
              <w:bottom w:val="nil"/>
              <w:right w:val="nil"/>
            </w:tcBorders>
            <w:shd w:val="clear" w:color="000000" w:fill="D9D9D9"/>
            <w:noWrap/>
            <w:vAlign w:val="bottom"/>
            <w:hideMark/>
          </w:tcPr>
          <w:p w14:paraId="6D57866A" w14:textId="77777777" w:rsidR="00AB6753" w:rsidRDefault="00AB6753" w:rsidP="002D1EA4">
            <w:pPr>
              <w:spacing w:after="0"/>
              <w:jc w:val="right"/>
              <w:rPr>
                <w:rFonts w:cs="Arial"/>
                <w:b/>
                <w:bCs/>
                <w:sz w:val="18"/>
                <w:szCs w:val="18"/>
              </w:rPr>
            </w:pPr>
            <w:r>
              <w:rPr>
                <w:rFonts w:cs="Arial"/>
                <w:b/>
                <w:bCs/>
                <w:sz w:val="18"/>
                <w:szCs w:val="18"/>
              </w:rPr>
              <w:t>(5,000)</w:t>
            </w:r>
          </w:p>
        </w:tc>
        <w:tc>
          <w:tcPr>
            <w:tcW w:w="1064" w:type="dxa"/>
            <w:tcBorders>
              <w:top w:val="nil"/>
              <w:left w:val="nil"/>
              <w:bottom w:val="nil"/>
              <w:right w:val="nil"/>
            </w:tcBorders>
            <w:shd w:val="clear" w:color="000000" w:fill="D9D9D9"/>
            <w:noWrap/>
            <w:vAlign w:val="bottom"/>
            <w:hideMark/>
          </w:tcPr>
          <w:p w14:paraId="51CC73A3" w14:textId="77777777" w:rsidR="00AB6753" w:rsidRDefault="00AB6753" w:rsidP="002D1EA4">
            <w:pPr>
              <w:spacing w:after="0"/>
              <w:jc w:val="right"/>
              <w:rPr>
                <w:rFonts w:cs="Arial"/>
                <w:sz w:val="18"/>
                <w:szCs w:val="18"/>
              </w:rPr>
            </w:pPr>
            <w:r>
              <w:rPr>
                <w:rFonts w:cs="Arial"/>
                <w:sz w:val="18"/>
                <w:szCs w:val="18"/>
              </w:rPr>
              <w:t xml:space="preserve"> -</w:t>
            </w:r>
          </w:p>
        </w:tc>
        <w:tc>
          <w:tcPr>
            <w:tcW w:w="1064" w:type="dxa"/>
            <w:tcBorders>
              <w:top w:val="nil"/>
              <w:left w:val="nil"/>
              <w:bottom w:val="nil"/>
              <w:right w:val="nil"/>
            </w:tcBorders>
            <w:shd w:val="clear" w:color="000000" w:fill="D9D9D9"/>
            <w:noWrap/>
            <w:vAlign w:val="bottom"/>
            <w:hideMark/>
          </w:tcPr>
          <w:p w14:paraId="2B7D1A0B" w14:textId="77777777" w:rsidR="00AB6753" w:rsidRDefault="00AB6753" w:rsidP="002D1EA4">
            <w:pPr>
              <w:spacing w:after="0"/>
              <w:jc w:val="right"/>
              <w:rPr>
                <w:rFonts w:cs="Arial"/>
                <w:b/>
                <w:bCs/>
                <w:sz w:val="18"/>
                <w:szCs w:val="18"/>
              </w:rPr>
            </w:pPr>
            <w:r>
              <w:rPr>
                <w:rFonts w:cs="Arial"/>
                <w:b/>
                <w:bCs/>
                <w:sz w:val="18"/>
                <w:szCs w:val="18"/>
              </w:rPr>
              <w:t xml:space="preserve"> -</w:t>
            </w:r>
          </w:p>
        </w:tc>
        <w:tc>
          <w:tcPr>
            <w:tcW w:w="1151" w:type="dxa"/>
            <w:tcBorders>
              <w:top w:val="nil"/>
              <w:left w:val="nil"/>
              <w:bottom w:val="nil"/>
              <w:right w:val="nil"/>
            </w:tcBorders>
            <w:shd w:val="clear" w:color="000000" w:fill="D9D9D9"/>
            <w:noWrap/>
            <w:vAlign w:val="bottom"/>
            <w:hideMark/>
          </w:tcPr>
          <w:p w14:paraId="795CEC10" w14:textId="77777777" w:rsidR="00AB6753" w:rsidRDefault="00AB6753" w:rsidP="002D1EA4">
            <w:pPr>
              <w:spacing w:after="0"/>
              <w:jc w:val="right"/>
              <w:rPr>
                <w:rFonts w:cs="Arial"/>
                <w:sz w:val="18"/>
                <w:szCs w:val="18"/>
              </w:rPr>
            </w:pPr>
            <w:r>
              <w:rPr>
                <w:rFonts w:cs="Arial"/>
                <w:sz w:val="18"/>
                <w:szCs w:val="18"/>
              </w:rPr>
              <w:t xml:space="preserve"> -</w:t>
            </w:r>
          </w:p>
        </w:tc>
      </w:tr>
      <w:tr w:rsidR="00AB6753" w14:paraId="1A7B50A4" w14:textId="77777777" w:rsidTr="002D1EA4">
        <w:trPr>
          <w:trHeight w:val="255"/>
        </w:trPr>
        <w:tc>
          <w:tcPr>
            <w:tcW w:w="4811" w:type="dxa"/>
            <w:tcBorders>
              <w:top w:val="single" w:sz="4" w:space="0" w:color="000000"/>
              <w:left w:val="nil"/>
              <w:bottom w:val="single" w:sz="4" w:space="0" w:color="000000"/>
              <w:right w:val="nil"/>
            </w:tcBorders>
            <w:shd w:val="clear" w:color="000000" w:fill="D9D9D9"/>
            <w:vAlign w:val="bottom"/>
            <w:hideMark/>
          </w:tcPr>
          <w:p w14:paraId="2FD59264" w14:textId="77777777" w:rsidR="00AB6753" w:rsidRDefault="00AB6753" w:rsidP="002D1EA4">
            <w:pPr>
              <w:spacing w:after="0"/>
              <w:rPr>
                <w:rFonts w:cs="Arial"/>
                <w:b/>
                <w:bCs/>
                <w:sz w:val="18"/>
                <w:szCs w:val="18"/>
              </w:rPr>
            </w:pPr>
            <w:r>
              <w:rPr>
                <w:rFonts w:cs="Arial"/>
                <w:b/>
                <w:bCs/>
                <w:sz w:val="18"/>
                <w:szCs w:val="18"/>
              </w:rPr>
              <w:t>Total contingent liabilities</w:t>
            </w:r>
          </w:p>
        </w:tc>
        <w:tc>
          <w:tcPr>
            <w:tcW w:w="344" w:type="dxa"/>
            <w:tcBorders>
              <w:top w:val="single" w:sz="4" w:space="0" w:color="000000"/>
              <w:left w:val="nil"/>
              <w:bottom w:val="single" w:sz="4" w:space="0" w:color="000000"/>
              <w:right w:val="nil"/>
            </w:tcBorders>
            <w:shd w:val="clear" w:color="000000" w:fill="D9D9D9"/>
            <w:vAlign w:val="bottom"/>
            <w:hideMark/>
          </w:tcPr>
          <w:p w14:paraId="2F5DE51D" w14:textId="77777777" w:rsidR="00AB6753" w:rsidRDefault="00AB6753" w:rsidP="002D1EA4">
            <w:pPr>
              <w:spacing w:after="0"/>
              <w:rPr>
                <w:rFonts w:cs="Arial"/>
                <w:b/>
                <w:bCs/>
                <w:sz w:val="18"/>
                <w:szCs w:val="18"/>
              </w:rPr>
            </w:pPr>
            <w:r>
              <w:rPr>
                <w:rFonts w:cs="Arial"/>
                <w:b/>
                <w:bCs/>
                <w:sz w:val="18"/>
                <w:szCs w:val="18"/>
              </w:rPr>
              <w:t> </w:t>
            </w:r>
          </w:p>
        </w:tc>
        <w:tc>
          <w:tcPr>
            <w:tcW w:w="1064" w:type="dxa"/>
            <w:tcBorders>
              <w:top w:val="single" w:sz="4" w:space="0" w:color="auto"/>
              <w:left w:val="nil"/>
              <w:bottom w:val="single" w:sz="4" w:space="0" w:color="auto"/>
              <w:right w:val="nil"/>
            </w:tcBorders>
            <w:shd w:val="clear" w:color="000000" w:fill="D9D9D9"/>
            <w:noWrap/>
            <w:vAlign w:val="bottom"/>
            <w:hideMark/>
          </w:tcPr>
          <w:p w14:paraId="402B5AC2" w14:textId="77777777" w:rsidR="00AB6753" w:rsidRDefault="00AB6753" w:rsidP="002D1EA4">
            <w:pPr>
              <w:spacing w:after="0"/>
              <w:jc w:val="right"/>
              <w:rPr>
                <w:rFonts w:cs="Arial"/>
                <w:b/>
                <w:bCs/>
                <w:sz w:val="18"/>
                <w:szCs w:val="18"/>
              </w:rPr>
            </w:pPr>
            <w:r>
              <w:rPr>
                <w:rFonts w:cs="Arial"/>
                <w:b/>
                <w:bCs/>
                <w:sz w:val="18"/>
                <w:szCs w:val="18"/>
              </w:rPr>
              <w:t>-</w:t>
            </w:r>
          </w:p>
        </w:tc>
        <w:tc>
          <w:tcPr>
            <w:tcW w:w="1064" w:type="dxa"/>
            <w:tcBorders>
              <w:top w:val="single" w:sz="4" w:space="0" w:color="auto"/>
              <w:left w:val="nil"/>
              <w:bottom w:val="single" w:sz="4" w:space="0" w:color="auto"/>
              <w:right w:val="nil"/>
            </w:tcBorders>
            <w:shd w:val="clear" w:color="000000" w:fill="D9D9D9"/>
            <w:noWrap/>
            <w:vAlign w:val="bottom"/>
            <w:hideMark/>
          </w:tcPr>
          <w:p w14:paraId="5A459A6B" w14:textId="77777777" w:rsidR="00AB6753" w:rsidRDefault="00AB6753" w:rsidP="002D1EA4">
            <w:pPr>
              <w:spacing w:after="0"/>
              <w:jc w:val="right"/>
              <w:rPr>
                <w:rFonts w:cs="Arial"/>
                <w:sz w:val="18"/>
                <w:szCs w:val="18"/>
              </w:rPr>
            </w:pPr>
            <w:r>
              <w:rPr>
                <w:rFonts w:cs="Arial"/>
                <w:sz w:val="18"/>
                <w:szCs w:val="18"/>
              </w:rPr>
              <w:t>5,000</w:t>
            </w:r>
          </w:p>
        </w:tc>
        <w:tc>
          <w:tcPr>
            <w:tcW w:w="1064" w:type="dxa"/>
            <w:tcBorders>
              <w:top w:val="single" w:sz="4" w:space="0" w:color="auto"/>
              <w:left w:val="nil"/>
              <w:bottom w:val="single" w:sz="4" w:space="0" w:color="auto"/>
              <w:right w:val="nil"/>
            </w:tcBorders>
            <w:shd w:val="clear" w:color="000000" w:fill="D9D9D9"/>
            <w:noWrap/>
            <w:vAlign w:val="bottom"/>
            <w:hideMark/>
          </w:tcPr>
          <w:p w14:paraId="3B41E1D3" w14:textId="77777777" w:rsidR="00AB6753" w:rsidRDefault="00AB6753" w:rsidP="002D1EA4">
            <w:pPr>
              <w:spacing w:after="0"/>
              <w:jc w:val="right"/>
              <w:rPr>
                <w:rFonts w:cs="Arial"/>
                <w:b/>
                <w:bCs/>
                <w:sz w:val="18"/>
                <w:szCs w:val="18"/>
              </w:rPr>
            </w:pPr>
            <w:r>
              <w:rPr>
                <w:rFonts w:cs="Arial"/>
                <w:b/>
                <w:bCs/>
                <w:sz w:val="18"/>
                <w:szCs w:val="18"/>
              </w:rPr>
              <w:t>59,690</w:t>
            </w:r>
          </w:p>
        </w:tc>
        <w:tc>
          <w:tcPr>
            <w:tcW w:w="1151" w:type="dxa"/>
            <w:tcBorders>
              <w:top w:val="single" w:sz="4" w:space="0" w:color="auto"/>
              <w:left w:val="nil"/>
              <w:bottom w:val="single" w:sz="4" w:space="0" w:color="auto"/>
              <w:right w:val="nil"/>
            </w:tcBorders>
            <w:shd w:val="clear" w:color="000000" w:fill="D9D9D9"/>
            <w:noWrap/>
            <w:vAlign w:val="bottom"/>
            <w:hideMark/>
          </w:tcPr>
          <w:p w14:paraId="69812528" w14:textId="77777777" w:rsidR="00AB6753" w:rsidRDefault="00AB6753" w:rsidP="002D1EA4">
            <w:pPr>
              <w:spacing w:after="0"/>
              <w:jc w:val="right"/>
              <w:rPr>
                <w:rFonts w:cs="Arial"/>
                <w:sz w:val="18"/>
                <w:szCs w:val="18"/>
              </w:rPr>
            </w:pPr>
            <w:r>
              <w:rPr>
                <w:rFonts w:cs="Arial"/>
                <w:sz w:val="18"/>
                <w:szCs w:val="18"/>
              </w:rPr>
              <w:t>-</w:t>
            </w:r>
          </w:p>
        </w:tc>
      </w:tr>
    </w:tbl>
    <w:p w14:paraId="07D166A5" w14:textId="77777777" w:rsidR="00AB6753" w:rsidRPr="005866FE" w:rsidRDefault="00AB6753" w:rsidP="00AB6753">
      <w:pPr>
        <w:pStyle w:val="GreyShadeTableBreak"/>
        <w:ind w:right="-11"/>
        <w:rPr>
          <w:rFonts w:ascii="Arial" w:hAnsi="Arial" w:cs="Arial"/>
          <w:sz w:val="18"/>
          <w:szCs w:val="18"/>
        </w:rPr>
      </w:pPr>
    </w:p>
    <w:p w14:paraId="075B6ADD" w14:textId="77777777" w:rsidR="00AB6753" w:rsidRPr="005866FE" w:rsidRDefault="00AB6753" w:rsidP="00AB6753">
      <w:pPr>
        <w:pStyle w:val="GreyShadeTableBreak"/>
        <w:spacing w:after="240"/>
        <w:ind w:right="-11"/>
        <w:rPr>
          <w:rFonts w:ascii="Arial" w:hAnsi="Arial" w:cs="Arial"/>
          <w:b/>
          <w:sz w:val="18"/>
          <w:szCs w:val="18"/>
          <w:u w:val="single"/>
        </w:rPr>
      </w:pPr>
      <w:r w:rsidRPr="005866FE">
        <w:rPr>
          <w:rFonts w:ascii="Arial" w:hAnsi="Arial" w:cs="Arial"/>
          <w:b/>
          <w:sz w:val="18"/>
          <w:szCs w:val="18"/>
          <w:u w:val="single"/>
        </w:rPr>
        <w:t>Quantifiable Contingencies</w:t>
      </w:r>
    </w:p>
    <w:p w14:paraId="591F461F" w14:textId="77777777" w:rsidR="00AB6753" w:rsidRPr="005866FE" w:rsidRDefault="00AB6753" w:rsidP="00AB6753">
      <w:pPr>
        <w:pStyle w:val="GreyShadeTableBreaknon-Standard"/>
        <w:ind w:right="-11"/>
        <w:rPr>
          <w:rFonts w:ascii="Arial" w:hAnsi="Arial" w:cs="Arial"/>
          <w:color w:val="000000"/>
          <w:sz w:val="18"/>
          <w:szCs w:val="18"/>
          <w14:textFill>
            <w14:solidFill>
              <w14:srgbClr w14:val="000000"/>
            </w14:solidFill>
          </w14:textFill>
        </w:rPr>
      </w:pPr>
      <w:r w:rsidRPr="005866FE">
        <w:rPr>
          <w:rFonts w:ascii="Arial" w:hAnsi="Arial" w:cs="Arial"/>
          <w:color w:val="000000"/>
          <w:sz w:val="18"/>
          <w:szCs w:val="18"/>
          <w14:textFill>
            <w14:solidFill>
              <w14:srgbClr w14:val="000000"/>
            </w14:solidFill>
          </w14:textFill>
        </w:rPr>
        <w:t xml:space="preserve">As at 30 June 2019, the department had an administered quantifiable contingent liability of $5.000 million in relation to one contract with an indemnity clause associated with the Cashless Debit Card Trial. As at 30 June 2020, this liability has been reversed as the likelihood of occurrence has been assessed as remote. </w:t>
      </w:r>
    </w:p>
    <w:p w14:paraId="1FD2090D" w14:textId="77777777" w:rsidR="00AB6753" w:rsidRPr="005866FE" w:rsidRDefault="00AB6753" w:rsidP="00AB6753">
      <w:pPr>
        <w:pStyle w:val="GreyShadeTableBreaknon-Standard"/>
        <w:ind w:right="-11"/>
        <w:rPr>
          <w:rFonts w:ascii="Arial" w:hAnsi="Arial" w:cs="Arial"/>
          <w:color w:val="000000"/>
          <w:sz w:val="18"/>
          <w:szCs w:val="18"/>
          <w14:textFill>
            <w14:solidFill>
              <w14:srgbClr w14:val="000000"/>
            </w14:solidFill>
          </w14:textFill>
        </w:rPr>
      </w:pPr>
    </w:p>
    <w:p w14:paraId="57B1FFE1" w14:textId="77777777" w:rsidR="00AB6753" w:rsidRPr="005866FE" w:rsidRDefault="00AB6753" w:rsidP="00AB6753">
      <w:pPr>
        <w:pStyle w:val="GreyShadeTableBreaknon-Standard"/>
        <w:ind w:right="-11"/>
        <w:rPr>
          <w:rFonts w:ascii="Arial" w:hAnsi="Arial" w:cs="Arial"/>
          <w:color w:val="000000"/>
          <w:sz w:val="18"/>
          <w:szCs w:val="18"/>
          <w14:textFill>
            <w14:solidFill>
              <w14:srgbClr w14:val="000000"/>
            </w14:solidFill>
          </w14:textFill>
        </w:rPr>
      </w:pPr>
      <w:r w:rsidRPr="005866FE">
        <w:rPr>
          <w:rFonts w:ascii="Arial" w:hAnsi="Arial" w:cs="Arial"/>
          <w:color w:val="000000"/>
          <w:sz w:val="18"/>
          <w:szCs w:val="18"/>
          <w14:textFill>
            <w14:solidFill>
              <w14:srgbClr w14:val="000000"/>
            </w14:solidFill>
          </w14:textFill>
        </w:rPr>
        <w:t xml:space="preserve">The </w:t>
      </w:r>
      <w:r w:rsidRPr="005866FE">
        <w:rPr>
          <w:rFonts w:ascii="Arial" w:hAnsi="Arial" w:cs="Arial"/>
          <w:i/>
          <w:color w:val="000000"/>
          <w:sz w:val="18"/>
          <w:szCs w:val="18"/>
          <w14:textFill>
            <w14:solidFill>
              <w14:srgbClr w14:val="000000"/>
            </w14:solidFill>
          </w14:textFill>
        </w:rPr>
        <w:t>National Redress Scheme for Institutional Child Sexual Abuse Act 2018</w:t>
      </w:r>
      <w:r w:rsidRPr="005866FE">
        <w:rPr>
          <w:rFonts w:ascii="Arial" w:hAnsi="Arial" w:cs="Arial"/>
          <w:color w:val="000000"/>
          <w:sz w:val="18"/>
          <w:szCs w:val="18"/>
          <w14:textFill>
            <w14:solidFill>
              <w14:srgbClr w14:val="000000"/>
            </w14:solidFill>
          </w14:textFill>
        </w:rPr>
        <w:t xml:space="preserve"> helps people who have experienced institutional child sexual abuse from participating institutions gain access to counselling and psychological services, a direct personal response from the responsible institution, and a monetary payment. To facilitate the timely provision of the payment and services to survivors, the department administers the scheme. In this capacity, the department makes the monetary payment to the survivor and then recovers the costs from the institution determined to be responsible for the abuse.</w:t>
      </w:r>
    </w:p>
    <w:p w14:paraId="62B23181" w14:textId="77777777" w:rsidR="00AB6753" w:rsidRPr="005866FE" w:rsidRDefault="00AB6753" w:rsidP="00AB6753">
      <w:pPr>
        <w:pStyle w:val="GreyShadeTableBreaknon-Standard"/>
        <w:ind w:right="-11"/>
        <w:rPr>
          <w:rFonts w:ascii="Arial" w:hAnsi="Arial" w:cs="Arial"/>
          <w:color w:val="000000"/>
          <w:sz w:val="18"/>
          <w:szCs w:val="18"/>
          <w14:textFill>
            <w14:solidFill>
              <w14:srgbClr w14:val="000000"/>
            </w14:solidFill>
          </w14:textFill>
        </w:rPr>
      </w:pPr>
    </w:p>
    <w:p w14:paraId="692208BD" w14:textId="7585C09A" w:rsidR="00AB6753" w:rsidRPr="005866FE" w:rsidRDefault="00AB6753" w:rsidP="00AB6753">
      <w:pPr>
        <w:pStyle w:val="GreyShadeTableBreaknon-Standard"/>
        <w:ind w:right="-11"/>
        <w:rPr>
          <w:rFonts w:ascii="Arial" w:hAnsi="Arial" w:cs="Arial"/>
          <w:color w:val="000000"/>
          <w:sz w:val="18"/>
          <w:szCs w:val="18"/>
          <w14:textFill>
            <w14:solidFill>
              <w14:srgbClr w14:val="000000"/>
            </w14:solidFill>
          </w14:textFill>
        </w:rPr>
      </w:pPr>
      <w:r w:rsidRPr="005866FE">
        <w:rPr>
          <w:rFonts w:ascii="Arial" w:hAnsi="Arial" w:cs="Arial"/>
          <w:color w:val="000000"/>
          <w:sz w:val="18"/>
          <w:szCs w:val="18"/>
          <w14:textFill>
            <w14:solidFill>
              <w14:srgbClr w14:val="000000"/>
            </w14:solidFill>
          </w14:textFill>
        </w:rPr>
        <w:t>As at 30 June 2020, the department has an administered quantifiable contingent liability of $59.690 million in relation to applications made under the National Redress Scheme that have been referred to an independent decision maker for assessment. The amount is based on the number of applications and estimated payment values.</w:t>
      </w:r>
    </w:p>
    <w:p w14:paraId="59B6238F" w14:textId="77777777" w:rsidR="00AB6753" w:rsidRPr="005866FE" w:rsidRDefault="00AB6753" w:rsidP="00AB6753">
      <w:pPr>
        <w:pStyle w:val="GreyShadeTableBreaknon-Standard"/>
        <w:ind w:right="-11"/>
        <w:rPr>
          <w:rFonts w:ascii="Arial" w:hAnsi="Arial" w:cs="Arial"/>
          <w:color w:val="000000"/>
          <w:sz w:val="18"/>
          <w:szCs w:val="18"/>
          <w14:textFill>
            <w14:solidFill>
              <w14:srgbClr w14:val="000000"/>
            </w14:solidFill>
          </w14:textFill>
        </w:rPr>
      </w:pPr>
    </w:p>
    <w:p w14:paraId="3B7F0A2E" w14:textId="77777777" w:rsidR="00AB6753" w:rsidRPr="005866FE" w:rsidRDefault="00AB6753" w:rsidP="00AB6753">
      <w:pPr>
        <w:pStyle w:val="GreyShadeTableBreaknon-Standard"/>
        <w:ind w:right="-11"/>
        <w:rPr>
          <w:rFonts w:ascii="Arial" w:hAnsi="Arial" w:cs="Arial"/>
          <w:color w:val="000000"/>
          <w:sz w:val="18"/>
          <w:szCs w:val="18"/>
          <w14:textFill>
            <w14:solidFill>
              <w14:srgbClr w14:val="000000"/>
            </w14:solidFill>
          </w14:textFill>
        </w:rPr>
      </w:pPr>
      <w:r w:rsidRPr="005866FE">
        <w:rPr>
          <w:rFonts w:ascii="Arial" w:hAnsi="Arial" w:cs="Arial"/>
          <w:color w:val="000000"/>
          <w:sz w:val="18"/>
          <w:szCs w:val="18"/>
          <w14:textFill>
            <w14:solidFill>
              <w14:srgbClr w14:val="000000"/>
            </w14:solidFill>
          </w14:textFill>
        </w:rPr>
        <w:t>As at 30 June 2020, the department has a related administered quantifiable contingent asset of $59.690 million in relation to the probable recovery from responsible institutions of monetary payments that may be made to survivors under the National Redress Scheme.</w:t>
      </w:r>
    </w:p>
    <w:p w14:paraId="13B64966" w14:textId="77777777" w:rsidR="00AB6753" w:rsidRPr="005866FE" w:rsidRDefault="00AB6753" w:rsidP="00AB6753">
      <w:pPr>
        <w:spacing w:line="240" w:lineRule="auto"/>
        <w:rPr>
          <w:rFonts w:cs="Arial"/>
          <w:b/>
          <w:sz w:val="18"/>
          <w:szCs w:val="18"/>
        </w:rPr>
      </w:pPr>
      <w:r w:rsidRPr="005866FE">
        <w:rPr>
          <w:rFonts w:cs="Arial"/>
          <w:sz w:val="18"/>
          <w:szCs w:val="18"/>
        </w:rPr>
        <w:br w:type="page"/>
      </w:r>
    </w:p>
    <w:p w14:paraId="532A9ADB" w14:textId="77777777" w:rsidR="00AB6753" w:rsidRPr="00D542BD" w:rsidRDefault="00AB6753" w:rsidP="00AB6753">
      <w:pPr>
        <w:pStyle w:val="ContinuedSubHeading"/>
      </w:pPr>
      <w:r w:rsidRPr="00761FB8">
        <w:lastRenderedPageBreak/>
        <w:t xml:space="preserve">7.1 Contingent Assets and Liabilities </w:t>
      </w:r>
      <w:r w:rsidRPr="00D542BD">
        <w:t>(continued)</w:t>
      </w:r>
    </w:p>
    <w:p w14:paraId="2483A45E" w14:textId="77777777" w:rsidR="00AB6753" w:rsidRPr="005866FE" w:rsidRDefault="00AB6753" w:rsidP="00AB6753">
      <w:pPr>
        <w:pStyle w:val="GreyShadeTableBreak"/>
        <w:spacing w:after="240"/>
        <w:ind w:right="-11"/>
        <w:rPr>
          <w:rFonts w:ascii="Arial" w:hAnsi="Arial" w:cs="Arial"/>
          <w:b/>
          <w:sz w:val="18"/>
          <w:szCs w:val="18"/>
          <w:u w:val="single"/>
        </w:rPr>
      </w:pPr>
      <w:r w:rsidRPr="005866FE">
        <w:rPr>
          <w:rFonts w:ascii="Arial" w:hAnsi="Arial" w:cs="Arial"/>
          <w:b/>
          <w:sz w:val="18"/>
          <w:szCs w:val="18"/>
          <w:u w:val="single"/>
        </w:rPr>
        <w:t>Unquantifiable Contingencies</w:t>
      </w:r>
    </w:p>
    <w:p w14:paraId="694577B2" w14:textId="77777777" w:rsidR="00AB6753" w:rsidRPr="005866FE" w:rsidRDefault="00AB6753" w:rsidP="00AB6753">
      <w:pPr>
        <w:pStyle w:val="GreyShadeTableBreak"/>
        <w:ind w:right="-11"/>
        <w:rPr>
          <w:rFonts w:ascii="Arial" w:hAnsi="Arial" w:cs="Arial"/>
          <w:sz w:val="18"/>
          <w:szCs w:val="18"/>
        </w:rPr>
      </w:pPr>
      <w:r w:rsidRPr="005866FE">
        <w:rPr>
          <w:rFonts w:ascii="Arial" w:hAnsi="Arial" w:cs="Arial"/>
          <w:sz w:val="18"/>
          <w:szCs w:val="18"/>
        </w:rPr>
        <w:t xml:space="preserve">During the </w:t>
      </w:r>
      <w:r w:rsidRPr="005866FE">
        <w:rPr>
          <w:rFonts w:ascii="Arial" w:hAnsi="Arial" w:cs="Arial"/>
          <w:sz w:val="18"/>
          <w:szCs w:val="18"/>
        </w:rPr>
        <w:fldChar w:fldCharType="begin"/>
      </w:r>
      <w:r w:rsidRPr="005866FE">
        <w:rPr>
          <w:rFonts w:ascii="Arial" w:hAnsi="Arial" w:cs="Arial"/>
          <w:sz w:val="18"/>
          <w:szCs w:val="18"/>
        </w:rPr>
        <w:instrText xml:space="preserve"> DOCPROPERTY  crYear  \* MERGEFORMAT </w:instrText>
      </w:r>
      <w:r w:rsidRPr="005866FE">
        <w:rPr>
          <w:rFonts w:ascii="Arial" w:hAnsi="Arial" w:cs="Arial"/>
          <w:sz w:val="18"/>
          <w:szCs w:val="18"/>
        </w:rPr>
        <w:fldChar w:fldCharType="separate"/>
      </w:r>
      <w:r w:rsidRPr="005866FE">
        <w:rPr>
          <w:rFonts w:ascii="Arial" w:hAnsi="Arial" w:cs="Arial"/>
          <w:sz w:val="18"/>
          <w:szCs w:val="18"/>
        </w:rPr>
        <w:t>2020</w:t>
      </w:r>
      <w:r w:rsidRPr="005866FE">
        <w:rPr>
          <w:rFonts w:ascii="Arial" w:hAnsi="Arial" w:cs="Arial"/>
          <w:sz w:val="18"/>
          <w:szCs w:val="18"/>
        </w:rPr>
        <w:fldChar w:fldCharType="end"/>
      </w:r>
      <w:r w:rsidRPr="005866FE">
        <w:rPr>
          <w:rFonts w:ascii="Arial" w:hAnsi="Arial" w:cs="Arial"/>
          <w:sz w:val="18"/>
          <w:szCs w:val="18"/>
        </w:rPr>
        <w:t xml:space="preserve"> financial year, </w:t>
      </w:r>
      <w:r w:rsidRPr="005866FE">
        <w:rPr>
          <w:rFonts w:ascii="Arial" w:hAnsi="Arial" w:cs="Arial"/>
          <w:sz w:val="18"/>
          <w:szCs w:val="18"/>
        </w:rPr>
        <w:fldChar w:fldCharType="begin"/>
      </w:r>
      <w:r w:rsidRPr="005866FE">
        <w:rPr>
          <w:rFonts w:ascii="Arial" w:hAnsi="Arial" w:cs="Arial"/>
          <w:sz w:val="18"/>
          <w:szCs w:val="18"/>
        </w:rPr>
        <w:instrText xml:space="preserve"> DOCPROPERTY  ShortName  \* MERGEFORMAT </w:instrText>
      </w:r>
      <w:r w:rsidRPr="005866FE">
        <w:rPr>
          <w:rFonts w:ascii="Arial" w:hAnsi="Arial" w:cs="Arial"/>
          <w:sz w:val="18"/>
          <w:szCs w:val="18"/>
        </w:rPr>
        <w:fldChar w:fldCharType="separate"/>
      </w:r>
      <w:r w:rsidRPr="005866FE">
        <w:rPr>
          <w:rFonts w:ascii="Arial" w:hAnsi="Arial" w:cs="Arial"/>
          <w:sz w:val="18"/>
          <w:szCs w:val="18"/>
        </w:rPr>
        <w:t>the department</w:t>
      </w:r>
      <w:r w:rsidRPr="005866FE">
        <w:rPr>
          <w:rFonts w:ascii="Arial" w:hAnsi="Arial" w:cs="Arial"/>
          <w:sz w:val="18"/>
          <w:szCs w:val="18"/>
        </w:rPr>
        <w:fldChar w:fldCharType="end"/>
      </w:r>
      <w:r w:rsidRPr="005866FE">
        <w:rPr>
          <w:rFonts w:ascii="Arial" w:hAnsi="Arial" w:cs="Arial"/>
          <w:sz w:val="18"/>
          <w:szCs w:val="18"/>
        </w:rPr>
        <w:t xml:space="preserve"> was involved in a number of cases before the Administrative Appeals Tribunal. These cases relate to appeals regarding income support payments under the social security legislation. It was not possible to estimate the amounts of any eventual payments that may be required in relation to these claims.</w:t>
      </w:r>
    </w:p>
    <w:p w14:paraId="290DE7CB" w14:textId="77777777" w:rsidR="00AB6753" w:rsidRPr="005866FE" w:rsidRDefault="00AB6753" w:rsidP="00AB6753">
      <w:pPr>
        <w:pStyle w:val="GreyShadeTableBreak"/>
        <w:ind w:right="-11"/>
        <w:rPr>
          <w:rFonts w:ascii="Arial" w:hAnsi="Arial" w:cs="Arial"/>
          <w:sz w:val="18"/>
          <w:szCs w:val="18"/>
        </w:rPr>
      </w:pPr>
    </w:p>
    <w:p w14:paraId="15822174" w14:textId="77777777" w:rsidR="00AB6753" w:rsidRPr="005866FE" w:rsidRDefault="00AB6753" w:rsidP="00AB6753">
      <w:pPr>
        <w:pStyle w:val="GreyShadeTableBreak"/>
        <w:ind w:right="-11"/>
        <w:rPr>
          <w:rFonts w:ascii="Arial" w:hAnsi="Arial" w:cs="Arial"/>
          <w:sz w:val="18"/>
          <w:szCs w:val="18"/>
        </w:rPr>
      </w:pPr>
      <w:r w:rsidRPr="005866FE">
        <w:rPr>
          <w:rFonts w:ascii="Arial" w:hAnsi="Arial" w:cs="Arial"/>
          <w:sz w:val="18"/>
          <w:szCs w:val="18"/>
        </w:rPr>
        <w:t xml:space="preserve">The department has considered the potential impact on the financial statements of debts raised on the basis of averaged ATO employment income data prior to the introduction of the Income Compliance Program. Different processes were used to raise debts prior to the Income Compliance Program. The department is unable to reliably estimate any amounts that may be due to individuals in relation to these debts following any future reassessment of the debts and has not included any provisioning in the financial statements beyond that normally provided for debt review (refer Note 4.1B Receivables). The department has assessed that it is unlikely to have a material exposure, but individuals may request a review of any debt, including debts relating to earned income that were raised prior to 2015, through multiple avenues including their Centrelink online account through </w:t>
      </w:r>
      <w:proofErr w:type="spellStart"/>
      <w:r w:rsidRPr="005866FE">
        <w:rPr>
          <w:rFonts w:ascii="Arial" w:hAnsi="Arial" w:cs="Arial"/>
          <w:sz w:val="18"/>
          <w:szCs w:val="18"/>
        </w:rPr>
        <w:t>MyGov</w:t>
      </w:r>
      <w:proofErr w:type="spellEnd"/>
      <w:r w:rsidRPr="005866FE">
        <w:rPr>
          <w:rFonts w:ascii="Arial" w:hAnsi="Arial" w:cs="Arial"/>
          <w:sz w:val="18"/>
          <w:szCs w:val="18"/>
        </w:rPr>
        <w:t>.</w:t>
      </w:r>
    </w:p>
    <w:p w14:paraId="3C4A164A" w14:textId="77777777" w:rsidR="00AB6753" w:rsidRPr="005866FE" w:rsidRDefault="00AB6753" w:rsidP="00AB6753">
      <w:pPr>
        <w:pStyle w:val="GreyShadeTableBreak"/>
        <w:ind w:right="-11"/>
        <w:rPr>
          <w:rFonts w:ascii="Arial" w:hAnsi="Arial" w:cs="Arial"/>
          <w:sz w:val="18"/>
          <w:szCs w:val="18"/>
        </w:rPr>
      </w:pPr>
    </w:p>
    <w:p w14:paraId="0145E2BD" w14:textId="77777777" w:rsidR="00AB6753" w:rsidRPr="005866FE" w:rsidRDefault="00AB6753" w:rsidP="00AB6753">
      <w:pPr>
        <w:pStyle w:val="GreyShadeTableBreak"/>
        <w:ind w:right="-11"/>
        <w:rPr>
          <w:rFonts w:ascii="Arial" w:hAnsi="Arial" w:cs="Arial"/>
          <w:sz w:val="18"/>
          <w:szCs w:val="18"/>
        </w:rPr>
      </w:pPr>
      <w:r w:rsidRPr="005866FE">
        <w:rPr>
          <w:rFonts w:ascii="Arial" w:hAnsi="Arial" w:cs="Arial"/>
          <w:sz w:val="18"/>
          <w:szCs w:val="18"/>
        </w:rPr>
        <w:t>There are no quantifiable or unquantifiable contingent assets (2019: nil).</w:t>
      </w:r>
    </w:p>
    <w:p w14:paraId="71181591" w14:textId="77777777" w:rsidR="00AB6753" w:rsidRPr="005866FE" w:rsidRDefault="00AB6753" w:rsidP="00AB6753">
      <w:pPr>
        <w:pStyle w:val="GreyShadeTableBreak"/>
        <w:ind w:right="-11"/>
        <w:rPr>
          <w:rFonts w:ascii="Arial" w:hAnsi="Arial" w:cs="Arial"/>
          <w:sz w:val="18"/>
          <w:szCs w:val="18"/>
        </w:rPr>
      </w:pPr>
    </w:p>
    <w:p w14:paraId="4400629F" w14:textId="77777777" w:rsidR="00AB6753" w:rsidRDefault="00AB6753" w:rsidP="00AB6753">
      <w:pPr>
        <w:pStyle w:val="PolicyheadingDept"/>
        <w:pBdr>
          <w:top w:val="single" w:sz="4" w:space="1" w:color="00B2BA"/>
          <w:left w:val="single" w:sz="4" w:space="0" w:color="00B2BA"/>
          <w:bottom w:val="single" w:sz="4" w:space="1" w:color="00B2BA"/>
          <w:right w:val="single" w:sz="4" w:space="16" w:color="00B2BA"/>
        </w:pBdr>
      </w:pPr>
      <w:r>
        <w:t>Accounting Policy</w:t>
      </w:r>
    </w:p>
    <w:p w14:paraId="5DD45862" w14:textId="77777777" w:rsidR="00AB6753" w:rsidRPr="00EF11DD" w:rsidRDefault="00AB6753" w:rsidP="00AB6753">
      <w:pPr>
        <w:pStyle w:val="Policytextdeptunderline"/>
        <w:pBdr>
          <w:top w:val="single" w:sz="4" w:space="1" w:color="00B2BA"/>
          <w:left w:val="single" w:sz="4" w:space="0" w:color="00B2BA"/>
          <w:bottom w:val="single" w:sz="4" w:space="1" w:color="00B2BA"/>
          <w:right w:val="single" w:sz="4" w:space="16" w:color="00B2BA"/>
        </w:pBdr>
      </w:pPr>
      <w:r w:rsidRPr="00EF11DD">
        <w:t xml:space="preserve">Contingent Assets and Contingent Liabilities </w:t>
      </w:r>
    </w:p>
    <w:p w14:paraId="364F93A6" w14:textId="77777777" w:rsidR="00AB6753" w:rsidRDefault="00AB6753" w:rsidP="00AB6753">
      <w:pPr>
        <w:pStyle w:val="PolicytextDept"/>
        <w:pBdr>
          <w:top w:val="single" w:sz="4" w:space="1" w:color="00B2BA"/>
          <w:left w:val="single" w:sz="4" w:space="0" w:color="00B2BA"/>
          <w:bottom w:val="single" w:sz="4" w:space="1" w:color="00B2BA"/>
          <w:right w:val="single" w:sz="4" w:space="16" w:color="00B2BA"/>
        </w:pBdr>
      </w:pPr>
      <w:r w:rsidRPr="00EF11DD">
        <w:t xml:space="preserve">Contingent assets and contingent liabilities are not recognised in the </w:t>
      </w:r>
      <w:r>
        <w:t>s</w:t>
      </w:r>
      <w:r w:rsidRPr="00EF11DD">
        <w:t xml:space="preserve">tatement of </w:t>
      </w:r>
      <w:r>
        <w:t>financial p</w:t>
      </w:r>
      <w:r w:rsidRPr="00EF11DD">
        <w:t>osition but are reported in the notes of disclosure. These items may arise from uncert</w:t>
      </w:r>
      <w:r>
        <w:t xml:space="preserve">ainty as to the existence of an asset or liability </w:t>
      </w:r>
      <w:r w:rsidRPr="00EF11DD">
        <w:t xml:space="preserve">or represent in respect of which the amount cannot be reliably measured. Contingent assets are disclosed when settlement is probable but not virtually certain and contingent liabilities are disclosed when </w:t>
      </w:r>
      <w:r>
        <w:t xml:space="preserve">the probability of </w:t>
      </w:r>
      <w:r w:rsidRPr="00EF11DD">
        <w:t>settlement is greater than remote.</w:t>
      </w:r>
    </w:p>
    <w:p w14:paraId="25E01E4C" w14:textId="77777777" w:rsidR="00AB6753" w:rsidRDefault="00AB6753" w:rsidP="00AB6753">
      <w:pPr>
        <w:spacing w:line="240" w:lineRule="auto"/>
        <w:rPr>
          <w:rFonts w:eastAsiaTheme="minorEastAsia" w:cs="Arial"/>
          <w:sz w:val="18"/>
          <w:szCs w:val="16"/>
          <w:lang w:eastAsia="en-AU"/>
        </w:rPr>
      </w:pPr>
      <w:r>
        <w:br w:type="page"/>
      </w:r>
    </w:p>
    <w:p w14:paraId="21F71F08" w14:textId="77777777" w:rsidR="00AB6753" w:rsidRPr="00BB218B" w:rsidRDefault="00AB6753" w:rsidP="00AB6753">
      <w:pPr>
        <w:pStyle w:val="SubHeading"/>
        <w:numPr>
          <w:ilvl w:val="1"/>
          <w:numId w:val="59"/>
        </w:numPr>
        <w:rPr>
          <w:sz w:val="20"/>
        </w:rPr>
      </w:pPr>
      <w:bookmarkStart w:id="229" w:name="_Toc45748827"/>
      <w:r w:rsidRPr="00BB218B">
        <w:rPr>
          <w:sz w:val="20"/>
        </w:rPr>
        <w:lastRenderedPageBreak/>
        <w:t>Financial Instruments</w:t>
      </w:r>
      <w:bookmarkEnd w:id="229"/>
    </w:p>
    <w:tbl>
      <w:tblPr>
        <w:tblW w:w="9411" w:type="dxa"/>
        <w:tblInd w:w="80" w:type="dxa"/>
        <w:tblLayout w:type="fixed"/>
        <w:tblLook w:val="04A0" w:firstRow="1" w:lastRow="0" w:firstColumn="1" w:lastColumn="0" w:noHBand="0" w:noVBand="1"/>
        <w:tblCaption w:val="Notes to and forming part of the financial statements"/>
        <w:tblDescription w:val="Financial instruments"/>
      </w:tblPr>
      <w:tblGrid>
        <w:gridCol w:w="7007"/>
        <w:gridCol w:w="1064"/>
        <w:gridCol w:w="276"/>
        <w:gridCol w:w="1064"/>
      </w:tblGrid>
      <w:tr w:rsidR="00AB6753" w14:paraId="68C8CEFD" w14:textId="77777777" w:rsidTr="002D1EA4">
        <w:trPr>
          <w:trHeight w:val="255"/>
        </w:trPr>
        <w:tc>
          <w:tcPr>
            <w:tcW w:w="6773" w:type="dxa"/>
            <w:tcBorders>
              <w:top w:val="nil"/>
              <w:left w:val="nil"/>
              <w:bottom w:val="nil"/>
              <w:right w:val="nil"/>
            </w:tcBorders>
            <w:shd w:val="clear" w:color="FFFFFF" w:fill="FFFFFF"/>
            <w:noWrap/>
            <w:vAlign w:val="bottom"/>
            <w:hideMark/>
          </w:tcPr>
          <w:p w14:paraId="206E2C15" w14:textId="77777777" w:rsidR="00AB6753" w:rsidRDefault="00AB6753" w:rsidP="002D1EA4">
            <w:pPr>
              <w:spacing w:after="0"/>
              <w:rPr>
                <w:rFonts w:cs="Arial"/>
                <w:sz w:val="18"/>
                <w:szCs w:val="18"/>
              </w:rPr>
            </w:pPr>
            <w:bookmarkStart w:id="230" w:name="Note_FIATABLE1" w:colFirst="0" w:colLast="0"/>
            <w:r>
              <w:rPr>
                <w:rFonts w:cs="Arial"/>
                <w:sz w:val="18"/>
                <w:szCs w:val="18"/>
              </w:rPr>
              <w:t> </w:t>
            </w:r>
          </w:p>
        </w:tc>
        <w:tc>
          <w:tcPr>
            <w:tcW w:w="1029" w:type="dxa"/>
            <w:tcBorders>
              <w:top w:val="nil"/>
              <w:left w:val="nil"/>
              <w:bottom w:val="nil"/>
              <w:right w:val="nil"/>
            </w:tcBorders>
            <w:shd w:val="clear" w:color="FFFFFF" w:fill="FFFFFF"/>
            <w:vAlign w:val="bottom"/>
            <w:hideMark/>
          </w:tcPr>
          <w:p w14:paraId="3D9DE19E" w14:textId="77777777" w:rsidR="00AB6753" w:rsidRDefault="00AB6753" w:rsidP="002D1EA4">
            <w:pPr>
              <w:spacing w:after="0"/>
              <w:jc w:val="right"/>
              <w:rPr>
                <w:rFonts w:cs="Arial"/>
                <w:b/>
                <w:bCs/>
                <w:sz w:val="18"/>
                <w:szCs w:val="18"/>
              </w:rPr>
            </w:pPr>
            <w:r>
              <w:rPr>
                <w:rFonts w:cs="Arial"/>
                <w:b/>
                <w:bCs/>
                <w:sz w:val="18"/>
                <w:szCs w:val="18"/>
              </w:rPr>
              <w:t>2020</w:t>
            </w:r>
          </w:p>
        </w:tc>
        <w:tc>
          <w:tcPr>
            <w:tcW w:w="267" w:type="dxa"/>
            <w:tcBorders>
              <w:top w:val="nil"/>
              <w:left w:val="nil"/>
              <w:bottom w:val="nil"/>
              <w:right w:val="nil"/>
            </w:tcBorders>
            <w:shd w:val="clear" w:color="FFFFFF" w:fill="FFFFFF"/>
            <w:noWrap/>
            <w:vAlign w:val="bottom"/>
            <w:hideMark/>
          </w:tcPr>
          <w:p w14:paraId="6CE548E1" w14:textId="77777777" w:rsidR="00AB6753" w:rsidRDefault="00AB6753" w:rsidP="002D1EA4">
            <w:pPr>
              <w:spacing w:after="0"/>
              <w:rPr>
                <w:rFonts w:cs="Arial"/>
                <w:sz w:val="18"/>
                <w:szCs w:val="18"/>
              </w:rPr>
            </w:pPr>
            <w:r>
              <w:rPr>
                <w:rFonts w:cs="Arial"/>
                <w:sz w:val="18"/>
                <w:szCs w:val="18"/>
              </w:rPr>
              <w:t> </w:t>
            </w:r>
          </w:p>
        </w:tc>
        <w:tc>
          <w:tcPr>
            <w:tcW w:w="1029" w:type="dxa"/>
            <w:tcBorders>
              <w:top w:val="nil"/>
              <w:left w:val="nil"/>
              <w:bottom w:val="nil"/>
              <w:right w:val="nil"/>
            </w:tcBorders>
            <w:shd w:val="clear" w:color="FFFFFF" w:fill="FFFFFF"/>
            <w:vAlign w:val="bottom"/>
            <w:hideMark/>
          </w:tcPr>
          <w:p w14:paraId="3329E1D1" w14:textId="77777777" w:rsidR="00AB6753" w:rsidRDefault="00AB6753" w:rsidP="002D1EA4">
            <w:pPr>
              <w:spacing w:after="0"/>
              <w:jc w:val="right"/>
              <w:rPr>
                <w:rFonts w:cs="Arial"/>
                <w:sz w:val="18"/>
                <w:szCs w:val="18"/>
              </w:rPr>
            </w:pPr>
            <w:r>
              <w:rPr>
                <w:rFonts w:cs="Arial"/>
                <w:sz w:val="18"/>
                <w:szCs w:val="18"/>
              </w:rPr>
              <w:t>2019</w:t>
            </w:r>
          </w:p>
        </w:tc>
      </w:tr>
      <w:bookmarkEnd w:id="230"/>
      <w:tr w:rsidR="00AB6753" w14:paraId="085FE489" w14:textId="77777777" w:rsidTr="002D1EA4">
        <w:trPr>
          <w:trHeight w:val="255"/>
        </w:trPr>
        <w:tc>
          <w:tcPr>
            <w:tcW w:w="6773" w:type="dxa"/>
            <w:tcBorders>
              <w:top w:val="nil"/>
              <w:left w:val="nil"/>
              <w:bottom w:val="nil"/>
              <w:right w:val="nil"/>
            </w:tcBorders>
            <w:shd w:val="clear" w:color="FFFFFF" w:fill="FFFFFF"/>
            <w:noWrap/>
            <w:vAlign w:val="bottom"/>
            <w:hideMark/>
          </w:tcPr>
          <w:p w14:paraId="7AB9A55C" w14:textId="77777777" w:rsidR="00AB6753" w:rsidRDefault="00AB6753" w:rsidP="002D1EA4">
            <w:pPr>
              <w:spacing w:after="0"/>
              <w:rPr>
                <w:rFonts w:cs="Arial"/>
                <w:sz w:val="18"/>
                <w:szCs w:val="18"/>
              </w:rPr>
            </w:pPr>
            <w:r>
              <w:rPr>
                <w:rFonts w:cs="Arial"/>
                <w:sz w:val="18"/>
                <w:szCs w:val="18"/>
              </w:rPr>
              <w:t> </w:t>
            </w:r>
          </w:p>
        </w:tc>
        <w:tc>
          <w:tcPr>
            <w:tcW w:w="1029" w:type="dxa"/>
            <w:tcBorders>
              <w:top w:val="nil"/>
              <w:left w:val="nil"/>
              <w:bottom w:val="nil"/>
              <w:right w:val="nil"/>
            </w:tcBorders>
            <w:shd w:val="clear" w:color="FFFFFF" w:fill="FFFFFF"/>
            <w:vAlign w:val="bottom"/>
            <w:hideMark/>
          </w:tcPr>
          <w:p w14:paraId="3F09B860" w14:textId="77777777" w:rsidR="00AB6753" w:rsidRDefault="00AB6753" w:rsidP="002D1EA4">
            <w:pPr>
              <w:spacing w:after="0"/>
              <w:jc w:val="right"/>
              <w:rPr>
                <w:rFonts w:cs="Arial"/>
                <w:b/>
                <w:bCs/>
                <w:sz w:val="18"/>
                <w:szCs w:val="18"/>
              </w:rPr>
            </w:pPr>
            <w:r>
              <w:rPr>
                <w:rFonts w:cs="Arial"/>
                <w:b/>
                <w:bCs/>
                <w:sz w:val="18"/>
                <w:szCs w:val="18"/>
              </w:rPr>
              <w:t>$'000</w:t>
            </w:r>
          </w:p>
        </w:tc>
        <w:tc>
          <w:tcPr>
            <w:tcW w:w="267" w:type="dxa"/>
            <w:tcBorders>
              <w:top w:val="nil"/>
              <w:left w:val="nil"/>
              <w:bottom w:val="nil"/>
              <w:right w:val="nil"/>
            </w:tcBorders>
            <w:shd w:val="clear" w:color="FFFFFF" w:fill="FFFFFF"/>
            <w:noWrap/>
            <w:vAlign w:val="bottom"/>
            <w:hideMark/>
          </w:tcPr>
          <w:p w14:paraId="72F321C0" w14:textId="77777777" w:rsidR="00AB6753" w:rsidRDefault="00AB6753" w:rsidP="002D1EA4">
            <w:pPr>
              <w:spacing w:after="0"/>
              <w:rPr>
                <w:rFonts w:cs="Arial"/>
                <w:sz w:val="18"/>
                <w:szCs w:val="18"/>
              </w:rPr>
            </w:pPr>
            <w:r>
              <w:rPr>
                <w:rFonts w:cs="Arial"/>
                <w:sz w:val="18"/>
                <w:szCs w:val="18"/>
              </w:rPr>
              <w:t> </w:t>
            </w:r>
          </w:p>
        </w:tc>
        <w:tc>
          <w:tcPr>
            <w:tcW w:w="1029" w:type="dxa"/>
            <w:tcBorders>
              <w:top w:val="nil"/>
              <w:left w:val="nil"/>
              <w:bottom w:val="nil"/>
              <w:right w:val="nil"/>
            </w:tcBorders>
            <w:shd w:val="clear" w:color="FFFFFF" w:fill="FFFFFF"/>
            <w:vAlign w:val="bottom"/>
            <w:hideMark/>
          </w:tcPr>
          <w:p w14:paraId="7462ABA6" w14:textId="77777777" w:rsidR="00AB6753" w:rsidRDefault="00AB6753" w:rsidP="002D1EA4">
            <w:pPr>
              <w:spacing w:after="0"/>
              <w:jc w:val="right"/>
              <w:rPr>
                <w:rFonts w:cs="Arial"/>
                <w:sz w:val="18"/>
                <w:szCs w:val="18"/>
              </w:rPr>
            </w:pPr>
            <w:r>
              <w:rPr>
                <w:rFonts w:cs="Arial"/>
                <w:sz w:val="18"/>
                <w:szCs w:val="18"/>
              </w:rPr>
              <w:t>$'000</w:t>
            </w:r>
          </w:p>
        </w:tc>
      </w:tr>
      <w:tr w:rsidR="00AB6753" w14:paraId="010DB969" w14:textId="77777777" w:rsidTr="002D1EA4">
        <w:trPr>
          <w:trHeight w:val="255"/>
        </w:trPr>
        <w:tc>
          <w:tcPr>
            <w:tcW w:w="6773" w:type="dxa"/>
            <w:tcBorders>
              <w:top w:val="nil"/>
              <w:left w:val="nil"/>
              <w:bottom w:val="nil"/>
              <w:right w:val="nil"/>
            </w:tcBorders>
            <w:shd w:val="clear" w:color="FFFFFF" w:fill="FFFFFF"/>
            <w:noWrap/>
            <w:vAlign w:val="bottom"/>
            <w:hideMark/>
          </w:tcPr>
          <w:p w14:paraId="61CF1E87" w14:textId="77777777" w:rsidR="00AB6753" w:rsidRDefault="00AB6753" w:rsidP="002D1EA4">
            <w:pPr>
              <w:spacing w:after="0"/>
              <w:rPr>
                <w:rFonts w:cs="Arial"/>
                <w:b/>
                <w:bCs/>
                <w:sz w:val="18"/>
                <w:szCs w:val="18"/>
                <w:u w:val="single"/>
              </w:rPr>
            </w:pPr>
            <w:r>
              <w:rPr>
                <w:rFonts w:cs="Arial"/>
                <w:b/>
                <w:bCs/>
                <w:sz w:val="18"/>
                <w:szCs w:val="18"/>
                <w:u w:val="single"/>
              </w:rPr>
              <w:t>Note 7.2A: Categories of Financial Instruments</w:t>
            </w:r>
          </w:p>
        </w:tc>
        <w:tc>
          <w:tcPr>
            <w:tcW w:w="1029" w:type="dxa"/>
            <w:tcBorders>
              <w:top w:val="nil"/>
              <w:left w:val="nil"/>
              <w:bottom w:val="nil"/>
              <w:right w:val="nil"/>
            </w:tcBorders>
            <w:shd w:val="clear" w:color="FFFFFF" w:fill="FFFFFF"/>
            <w:noWrap/>
            <w:vAlign w:val="bottom"/>
            <w:hideMark/>
          </w:tcPr>
          <w:p w14:paraId="61D31B2D" w14:textId="77777777" w:rsidR="00AB6753" w:rsidRDefault="00AB6753" w:rsidP="002D1EA4">
            <w:pPr>
              <w:spacing w:after="0"/>
              <w:rPr>
                <w:rFonts w:cs="Arial"/>
                <w:b/>
                <w:bCs/>
                <w:sz w:val="18"/>
                <w:szCs w:val="18"/>
              </w:rPr>
            </w:pPr>
            <w:r>
              <w:rPr>
                <w:rFonts w:cs="Arial"/>
                <w:b/>
                <w:bCs/>
                <w:sz w:val="18"/>
                <w:szCs w:val="18"/>
              </w:rPr>
              <w:t> </w:t>
            </w:r>
          </w:p>
        </w:tc>
        <w:tc>
          <w:tcPr>
            <w:tcW w:w="267" w:type="dxa"/>
            <w:tcBorders>
              <w:top w:val="nil"/>
              <w:left w:val="nil"/>
              <w:bottom w:val="nil"/>
              <w:right w:val="nil"/>
            </w:tcBorders>
            <w:shd w:val="clear" w:color="FFFFFF" w:fill="FFFFFF"/>
            <w:noWrap/>
            <w:vAlign w:val="bottom"/>
            <w:hideMark/>
          </w:tcPr>
          <w:p w14:paraId="7AC66A08" w14:textId="77777777" w:rsidR="00AB6753" w:rsidRDefault="00AB6753" w:rsidP="002D1EA4">
            <w:pPr>
              <w:spacing w:after="0"/>
              <w:rPr>
                <w:rFonts w:cs="Arial"/>
                <w:sz w:val="18"/>
                <w:szCs w:val="18"/>
              </w:rPr>
            </w:pPr>
            <w:r>
              <w:rPr>
                <w:rFonts w:cs="Arial"/>
                <w:sz w:val="18"/>
                <w:szCs w:val="18"/>
              </w:rPr>
              <w:t> </w:t>
            </w:r>
          </w:p>
        </w:tc>
        <w:tc>
          <w:tcPr>
            <w:tcW w:w="1029" w:type="dxa"/>
            <w:tcBorders>
              <w:top w:val="nil"/>
              <w:left w:val="nil"/>
              <w:bottom w:val="nil"/>
              <w:right w:val="nil"/>
            </w:tcBorders>
            <w:shd w:val="clear" w:color="FFFFFF" w:fill="FFFFFF"/>
            <w:noWrap/>
            <w:vAlign w:val="bottom"/>
            <w:hideMark/>
          </w:tcPr>
          <w:p w14:paraId="28DEA932" w14:textId="77777777" w:rsidR="00AB6753" w:rsidRDefault="00AB6753" w:rsidP="002D1EA4">
            <w:pPr>
              <w:spacing w:after="0"/>
              <w:rPr>
                <w:rFonts w:cs="Arial"/>
                <w:sz w:val="18"/>
                <w:szCs w:val="18"/>
              </w:rPr>
            </w:pPr>
            <w:r>
              <w:rPr>
                <w:rFonts w:cs="Arial"/>
                <w:sz w:val="18"/>
                <w:szCs w:val="18"/>
              </w:rPr>
              <w:t> </w:t>
            </w:r>
          </w:p>
        </w:tc>
      </w:tr>
      <w:tr w:rsidR="00AB6753" w14:paraId="2AB5AD15" w14:textId="77777777" w:rsidTr="002D1EA4">
        <w:trPr>
          <w:trHeight w:val="255"/>
        </w:trPr>
        <w:tc>
          <w:tcPr>
            <w:tcW w:w="6773" w:type="dxa"/>
            <w:tcBorders>
              <w:top w:val="nil"/>
              <w:left w:val="nil"/>
              <w:bottom w:val="nil"/>
              <w:right w:val="nil"/>
            </w:tcBorders>
            <w:shd w:val="clear" w:color="FFFFFF" w:fill="FFFFFF"/>
            <w:vAlign w:val="bottom"/>
            <w:hideMark/>
          </w:tcPr>
          <w:p w14:paraId="068EA73F" w14:textId="77777777" w:rsidR="00AB6753" w:rsidRDefault="00AB6753" w:rsidP="002D1EA4">
            <w:pPr>
              <w:spacing w:after="0"/>
              <w:rPr>
                <w:rFonts w:cs="Arial"/>
                <w:b/>
                <w:bCs/>
                <w:sz w:val="18"/>
                <w:szCs w:val="18"/>
              </w:rPr>
            </w:pPr>
            <w:r>
              <w:rPr>
                <w:rFonts w:cs="Arial"/>
                <w:b/>
                <w:bCs/>
                <w:sz w:val="18"/>
                <w:szCs w:val="18"/>
              </w:rPr>
              <w:t>Financial Assets</w:t>
            </w:r>
          </w:p>
        </w:tc>
        <w:tc>
          <w:tcPr>
            <w:tcW w:w="1029" w:type="dxa"/>
            <w:tcBorders>
              <w:top w:val="nil"/>
              <w:left w:val="nil"/>
              <w:bottom w:val="nil"/>
              <w:right w:val="nil"/>
            </w:tcBorders>
            <w:shd w:val="clear" w:color="FFFFFF" w:fill="FFFFFF"/>
            <w:noWrap/>
            <w:vAlign w:val="bottom"/>
            <w:hideMark/>
          </w:tcPr>
          <w:p w14:paraId="29B2D4E9" w14:textId="77777777" w:rsidR="00AB6753" w:rsidRDefault="00AB6753" w:rsidP="002D1EA4">
            <w:pPr>
              <w:spacing w:after="0"/>
              <w:rPr>
                <w:rFonts w:cs="Arial"/>
                <w:b/>
                <w:bCs/>
                <w:sz w:val="18"/>
                <w:szCs w:val="18"/>
              </w:rPr>
            </w:pPr>
            <w:r>
              <w:rPr>
                <w:rFonts w:cs="Arial"/>
                <w:b/>
                <w:bCs/>
                <w:sz w:val="18"/>
                <w:szCs w:val="18"/>
              </w:rPr>
              <w:t> </w:t>
            </w:r>
          </w:p>
        </w:tc>
        <w:tc>
          <w:tcPr>
            <w:tcW w:w="267" w:type="dxa"/>
            <w:tcBorders>
              <w:top w:val="nil"/>
              <w:left w:val="nil"/>
              <w:bottom w:val="nil"/>
              <w:right w:val="nil"/>
            </w:tcBorders>
            <w:shd w:val="clear" w:color="FFFFFF" w:fill="FFFFFF"/>
            <w:noWrap/>
            <w:vAlign w:val="bottom"/>
            <w:hideMark/>
          </w:tcPr>
          <w:p w14:paraId="4C9EB662" w14:textId="77777777" w:rsidR="00AB6753" w:rsidRDefault="00AB6753" w:rsidP="002D1EA4">
            <w:pPr>
              <w:spacing w:after="0"/>
              <w:rPr>
                <w:rFonts w:cs="Arial"/>
                <w:sz w:val="18"/>
                <w:szCs w:val="18"/>
              </w:rPr>
            </w:pPr>
            <w:r>
              <w:rPr>
                <w:rFonts w:cs="Arial"/>
                <w:sz w:val="18"/>
                <w:szCs w:val="18"/>
              </w:rPr>
              <w:t> </w:t>
            </w:r>
          </w:p>
        </w:tc>
        <w:tc>
          <w:tcPr>
            <w:tcW w:w="1029" w:type="dxa"/>
            <w:tcBorders>
              <w:top w:val="nil"/>
              <w:left w:val="nil"/>
              <w:bottom w:val="nil"/>
              <w:right w:val="nil"/>
            </w:tcBorders>
            <w:shd w:val="clear" w:color="FFFFFF" w:fill="FFFFFF"/>
            <w:noWrap/>
            <w:vAlign w:val="bottom"/>
            <w:hideMark/>
          </w:tcPr>
          <w:p w14:paraId="7FC7AFF1" w14:textId="77777777" w:rsidR="00AB6753" w:rsidRDefault="00AB6753" w:rsidP="002D1EA4">
            <w:pPr>
              <w:spacing w:after="0"/>
              <w:rPr>
                <w:rFonts w:cs="Arial"/>
                <w:sz w:val="18"/>
                <w:szCs w:val="18"/>
              </w:rPr>
            </w:pPr>
            <w:r>
              <w:rPr>
                <w:rFonts w:cs="Arial"/>
                <w:sz w:val="18"/>
                <w:szCs w:val="18"/>
              </w:rPr>
              <w:t> </w:t>
            </w:r>
          </w:p>
        </w:tc>
      </w:tr>
      <w:tr w:rsidR="00AB6753" w14:paraId="2B3B3401" w14:textId="77777777" w:rsidTr="002D1EA4">
        <w:trPr>
          <w:trHeight w:val="255"/>
        </w:trPr>
        <w:tc>
          <w:tcPr>
            <w:tcW w:w="6773" w:type="dxa"/>
            <w:tcBorders>
              <w:top w:val="nil"/>
              <w:left w:val="nil"/>
              <w:bottom w:val="nil"/>
              <w:right w:val="nil"/>
            </w:tcBorders>
            <w:shd w:val="clear" w:color="FFFFFF" w:fill="FFFFFF"/>
            <w:vAlign w:val="bottom"/>
            <w:hideMark/>
          </w:tcPr>
          <w:p w14:paraId="16BDD446" w14:textId="77777777" w:rsidR="00AB6753" w:rsidRDefault="00AB6753" w:rsidP="002D1EA4">
            <w:pPr>
              <w:spacing w:after="0"/>
              <w:rPr>
                <w:rFonts w:cs="Arial"/>
                <w:b/>
                <w:bCs/>
                <w:sz w:val="18"/>
                <w:szCs w:val="18"/>
              </w:rPr>
            </w:pPr>
            <w:r>
              <w:rPr>
                <w:rFonts w:cs="Arial"/>
                <w:b/>
                <w:bCs/>
                <w:sz w:val="18"/>
                <w:szCs w:val="18"/>
              </w:rPr>
              <w:t>Financial assets measured at amortised cost</w:t>
            </w:r>
          </w:p>
        </w:tc>
        <w:tc>
          <w:tcPr>
            <w:tcW w:w="1029" w:type="dxa"/>
            <w:tcBorders>
              <w:top w:val="nil"/>
              <w:left w:val="nil"/>
              <w:bottom w:val="nil"/>
              <w:right w:val="nil"/>
            </w:tcBorders>
            <w:shd w:val="clear" w:color="FFFFFF" w:fill="FFFFFF"/>
            <w:noWrap/>
            <w:vAlign w:val="bottom"/>
            <w:hideMark/>
          </w:tcPr>
          <w:p w14:paraId="0B854C83" w14:textId="77777777" w:rsidR="00AB6753" w:rsidRDefault="00AB6753" w:rsidP="002D1EA4">
            <w:pPr>
              <w:spacing w:after="0"/>
              <w:rPr>
                <w:rFonts w:cs="Arial"/>
                <w:b/>
                <w:bCs/>
                <w:sz w:val="18"/>
                <w:szCs w:val="18"/>
              </w:rPr>
            </w:pPr>
            <w:r>
              <w:rPr>
                <w:rFonts w:cs="Arial"/>
                <w:b/>
                <w:bCs/>
                <w:sz w:val="18"/>
                <w:szCs w:val="18"/>
              </w:rPr>
              <w:t> </w:t>
            </w:r>
          </w:p>
        </w:tc>
        <w:tc>
          <w:tcPr>
            <w:tcW w:w="267" w:type="dxa"/>
            <w:tcBorders>
              <w:top w:val="nil"/>
              <w:left w:val="nil"/>
              <w:bottom w:val="nil"/>
              <w:right w:val="nil"/>
            </w:tcBorders>
            <w:shd w:val="clear" w:color="FFFFFF" w:fill="FFFFFF"/>
            <w:noWrap/>
            <w:vAlign w:val="bottom"/>
            <w:hideMark/>
          </w:tcPr>
          <w:p w14:paraId="13D4F138" w14:textId="77777777" w:rsidR="00AB6753" w:rsidRDefault="00AB6753" w:rsidP="002D1EA4">
            <w:pPr>
              <w:spacing w:after="0"/>
              <w:rPr>
                <w:rFonts w:cs="Arial"/>
                <w:sz w:val="18"/>
                <w:szCs w:val="18"/>
              </w:rPr>
            </w:pPr>
            <w:r>
              <w:rPr>
                <w:rFonts w:cs="Arial"/>
                <w:sz w:val="18"/>
                <w:szCs w:val="18"/>
              </w:rPr>
              <w:t> </w:t>
            </w:r>
          </w:p>
        </w:tc>
        <w:tc>
          <w:tcPr>
            <w:tcW w:w="1029" w:type="dxa"/>
            <w:tcBorders>
              <w:top w:val="nil"/>
              <w:left w:val="nil"/>
              <w:bottom w:val="nil"/>
              <w:right w:val="nil"/>
            </w:tcBorders>
            <w:shd w:val="clear" w:color="FFFFFF" w:fill="FFFFFF"/>
            <w:noWrap/>
            <w:vAlign w:val="bottom"/>
            <w:hideMark/>
          </w:tcPr>
          <w:p w14:paraId="6B36AA96" w14:textId="77777777" w:rsidR="00AB6753" w:rsidRDefault="00AB6753" w:rsidP="002D1EA4">
            <w:pPr>
              <w:spacing w:after="0"/>
              <w:rPr>
                <w:rFonts w:cs="Arial"/>
                <w:sz w:val="18"/>
                <w:szCs w:val="18"/>
              </w:rPr>
            </w:pPr>
            <w:r>
              <w:rPr>
                <w:rFonts w:cs="Arial"/>
                <w:sz w:val="18"/>
                <w:szCs w:val="18"/>
              </w:rPr>
              <w:t> </w:t>
            </w:r>
          </w:p>
        </w:tc>
      </w:tr>
      <w:tr w:rsidR="00AB6753" w14:paraId="0F0C6405" w14:textId="77777777" w:rsidTr="002D1EA4">
        <w:trPr>
          <w:trHeight w:val="255"/>
        </w:trPr>
        <w:tc>
          <w:tcPr>
            <w:tcW w:w="6773" w:type="dxa"/>
            <w:tcBorders>
              <w:top w:val="nil"/>
              <w:left w:val="nil"/>
              <w:bottom w:val="nil"/>
              <w:right w:val="nil"/>
            </w:tcBorders>
            <w:shd w:val="clear" w:color="FFFFFF" w:fill="FFFFFF"/>
            <w:noWrap/>
            <w:vAlign w:val="bottom"/>
            <w:hideMark/>
          </w:tcPr>
          <w:p w14:paraId="1946D96A" w14:textId="77777777" w:rsidR="00AB6753" w:rsidRDefault="00AB6753" w:rsidP="002D1EA4">
            <w:pPr>
              <w:spacing w:after="0"/>
              <w:ind w:firstLineChars="100" w:firstLine="180"/>
              <w:rPr>
                <w:rFonts w:cs="Arial"/>
                <w:sz w:val="18"/>
                <w:szCs w:val="18"/>
              </w:rPr>
            </w:pPr>
            <w:r>
              <w:rPr>
                <w:rFonts w:cs="Arial"/>
                <w:sz w:val="18"/>
                <w:szCs w:val="18"/>
              </w:rPr>
              <w:t>Cash and cash equivalents</w:t>
            </w:r>
          </w:p>
        </w:tc>
        <w:tc>
          <w:tcPr>
            <w:tcW w:w="1029" w:type="dxa"/>
            <w:tcBorders>
              <w:top w:val="nil"/>
              <w:left w:val="nil"/>
              <w:bottom w:val="nil"/>
              <w:right w:val="nil"/>
            </w:tcBorders>
            <w:shd w:val="clear" w:color="FFFFFF" w:fill="FFFFFF"/>
            <w:noWrap/>
            <w:vAlign w:val="bottom"/>
            <w:hideMark/>
          </w:tcPr>
          <w:p w14:paraId="4E0F832F" w14:textId="77777777" w:rsidR="00AB6753" w:rsidRDefault="00AB6753" w:rsidP="002D1EA4">
            <w:pPr>
              <w:spacing w:after="0"/>
              <w:jc w:val="right"/>
              <w:rPr>
                <w:rFonts w:cs="Arial"/>
                <w:b/>
                <w:bCs/>
                <w:sz w:val="18"/>
                <w:szCs w:val="18"/>
              </w:rPr>
            </w:pPr>
            <w:r>
              <w:rPr>
                <w:rFonts w:cs="Arial"/>
                <w:b/>
                <w:bCs/>
                <w:sz w:val="18"/>
                <w:szCs w:val="18"/>
              </w:rPr>
              <w:t xml:space="preserve">5,334 </w:t>
            </w:r>
          </w:p>
        </w:tc>
        <w:tc>
          <w:tcPr>
            <w:tcW w:w="267" w:type="dxa"/>
            <w:tcBorders>
              <w:top w:val="nil"/>
              <w:left w:val="nil"/>
              <w:bottom w:val="nil"/>
              <w:right w:val="nil"/>
            </w:tcBorders>
            <w:shd w:val="clear" w:color="FFFFFF" w:fill="FFFFFF"/>
            <w:noWrap/>
            <w:vAlign w:val="bottom"/>
            <w:hideMark/>
          </w:tcPr>
          <w:p w14:paraId="44288D72" w14:textId="77777777" w:rsidR="00AB6753" w:rsidRDefault="00AB6753" w:rsidP="002D1EA4">
            <w:pPr>
              <w:spacing w:after="0"/>
              <w:rPr>
                <w:rFonts w:cs="Arial"/>
                <w:sz w:val="18"/>
                <w:szCs w:val="18"/>
              </w:rPr>
            </w:pPr>
            <w:r>
              <w:rPr>
                <w:rFonts w:cs="Arial"/>
                <w:sz w:val="18"/>
                <w:szCs w:val="18"/>
              </w:rPr>
              <w:t> </w:t>
            </w:r>
          </w:p>
        </w:tc>
        <w:tc>
          <w:tcPr>
            <w:tcW w:w="1029" w:type="dxa"/>
            <w:tcBorders>
              <w:top w:val="nil"/>
              <w:left w:val="nil"/>
              <w:bottom w:val="nil"/>
              <w:right w:val="nil"/>
            </w:tcBorders>
            <w:shd w:val="clear" w:color="FFFFFF" w:fill="FFFFFF"/>
            <w:noWrap/>
            <w:vAlign w:val="bottom"/>
            <w:hideMark/>
          </w:tcPr>
          <w:p w14:paraId="62C7336A" w14:textId="77777777" w:rsidR="00AB6753" w:rsidRDefault="00AB6753" w:rsidP="002D1EA4">
            <w:pPr>
              <w:spacing w:after="0"/>
              <w:jc w:val="right"/>
              <w:rPr>
                <w:rFonts w:cs="Arial"/>
                <w:sz w:val="18"/>
                <w:szCs w:val="18"/>
              </w:rPr>
            </w:pPr>
            <w:r>
              <w:rPr>
                <w:rFonts w:cs="Arial"/>
                <w:sz w:val="18"/>
                <w:szCs w:val="18"/>
              </w:rPr>
              <w:t xml:space="preserve">9,313 </w:t>
            </w:r>
          </w:p>
        </w:tc>
      </w:tr>
      <w:tr w:rsidR="00AB6753" w14:paraId="7AD3A91A" w14:textId="77777777" w:rsidTr="002D1EA4">
        <w:trPr>
          <w:trHeight w:val="255"/>
        </w:trPr>
        <w:tc>
          <w:tcPr>
            <w:tcW w:w="6773" w:type="dxa"/>
            <w:tcBorders>
              <w:top w:val="nil"/>
              <w:left w:val="nil"/>
              <w:bottom w:val="nil"/>
              <w:right w:val="nil"/>
            </w:tcBorders>
            <w:shd w:val="clear" w:color="FFFFFF" w:fill="FFFFFF"/>
            <w:noWrap/>
            <w:vAlign w:val="bottom"/>
            <w:hideMark/>
          </w:tcPr>
          <w:p w14:paraId="6965C69E" w14:textId="77777777" w:rsidR="00AB6753" w:rsidRDefault="00AB6753" w:rsidP="002D1EA4">
            <w:pPr>
              <w:spacing w:after="0"/>
              <w:ind w:firstLineChars="100" w:firstLine="180"/>
              <w:rPr>
                <w:rFonts w:cs="Arial"/>
                <w:sz w:val="18"/>
                <w:szCs w:val="18"/>
              </w:rPr>
            </w:pPr>
            <w:r>
              <w:rPr>
                <w:rFonts w:cs="Arial"/>
                <w:sz w:val="18"/>
                <w:szCs w:val="18"/>
              </w:rPr>
              <w:t>Trade and other receivables</w:t>
            </w:r>
          </w:p>
        </w:tc>
        <w:tc>
          <w:tcPr>
            <w:tcW w:w="1029" w:type="dxa"/>
            <w:tcBorders>
              <w:top w:val="nil"/>
              <w:left w:val="nil"/>
              <w:bottom w:val="nil"/>
              <w:right w:val="nil"/>
            </w:tcBorders>
            <w:shd w:val="clear" w:color="FFFFFF" w:fill="FFFFFF"/>
            <w:noWrap/>
            <w:vAlign w:val="bottom"/>
            <w:hideMark/>
          </w:tcPr>
          <w:p w14:paraId="00817B16" w14:textId="77777777" w:rsidR="00AB6753" w:rsidRDefault="00AB6753" w:rsidP="002D1EA4">
            <w:pPr>
              <w:spacing w:after="0"/>
              <w:jc w:val="right"/>
              <w:rPr>
                <w:rFonts w:cs="Arial"/>
                <w:b/>
                <w:bCs/>
                <w:sz w:val="18"/>
                <w:szCs w:val="18"/>
              </w:rPr>
            </w:pPr>
            <w:r>
              <w:rPr>
                <w:rFonts w:cs="Arial"/>
                <w:b/>
                <w:bCs/>
                <w:sz w:val="18"/>
                <w:szCs w:val="18"/>
              </w:rPr>
              <w:t xml:space="preserve">4,285 </w:t>
            </w:r>
          </w:p>
        </w:tc>
        <w:tc>
          <w:tcPr>
            <w:tcW w:w="267" w:type="dxa"/>
            <w:tcBorders>
              <w:top w:val="nil"/>
              <w:left w:val="nil"/>
              <w:bottom w:val="nil"/>
              <w:right w:val="nil"/>
            </w:tcBorders>
            <w:shd w:val="clear" w:color="FFFFFF" w:fill="FFFFFF"/>
            <w:noWrap/>
            <w:vAlign w:val="bottom"/>
            <w:hideMark/>
          </w:tcPr>
          <w:p w14:paraId="025BACC0" w14:textId="77777777" w:rsidR="00AB6753" w:rsidRDefault="00AB6753" w:rsidP="002D1EA4">
            <w:pPr>
              <w:spacing w:after="0"/>
              <w:rPr>
                <w:rFonts w:cs="Arial"/>
                <w:sz w:val="18"/>
                <w:szCs w:val="18"/>
              </w:rPr>
            </w:pPr>
            <w:r>
              <w:rPr>
                <w:rFonts w:cs="Arial"/>
                <w:sz w:val="18"/>
                <w:szCs w:val="18"/>
              </w:rPr>
              <w:t> </w:t>
            </w:r>
          </w:p>
        </w:tc>
        <w:tc>
          <w:tcPr>
            <w:tcW w:w="1029" w:type="dxa"/>
            <w:tcBorders>
              <w:top w:val="nil"/>
              <w:left w:val="nil"/>
              <w:bottom w:val="nil"/>
              <w:right w:val="nil"/>
            </w:tcBorders>
            <w:shd w:val="clear" w:color="FFFFFF" w:fill="FFFFFF"/>
            <w:noWrap/>
            <w:vAlign w:val="bottom"/>
            <w:hideMark/>
          </w:tcPr>
          <w:p w14:paraId="11FEE63F" w14:textId="77777777" w:rsidR="00AB6753" w:rsidRDefault="00AB6753" w:rsidP="002D1EA4">
            <w:pPr>
              <w:spacing w:after="0"/>
              <w:jc w:val="right"/>
              <w:rPr>
                <w:rFonts w:cs="Arial"/>
                <w:sz w:val="18"/>
                <w:szCs w:val="18"/>
              </w:rPr>
            </w:pPr>
            <w:r>
              <w:rPr>
                <w:rFonts w:cs="Arial"/>
                <w:sz w:val="18"/>
                <w:szCs w:val="18"/>
              </w:rPr>
              <w:t xml:space="preserve">5,858 </w:t>
            </w:r>
          </w:p>
        </w:tc>
      </w:tr>
      <w:tr w:rsidR="00AB6753" w14:paraId="43F8FBFA" w14:textId="77777777" w:rsidTr="002D1EA4">
        <w:trPr>
          <w:trHeight w:val="255"/>
        </w:trPr>
        <w:tc>
          <w:tcPr>
            <w:tcW w:w="6773" w:type="dxa"/>
            <w:tcBorders>
              <w:top w:val="nil"/>
              <w:left w:val="nil"/>
              <w:bottom w:val="nil"/>
              <w:right w:val="nil"/>
            </w:tcBorders>
            <w:shd w:val="clear" w:color="FFFFFF" w:fill="FFFFFF"/>
            <w:vAlign w:val="bottom"/>
            <w:hideMark/>
          </w:tcPr>
          <w:p w14:paraId="250B546D" w14:textId="77777777" w:rsidR="00AB6753" w:rsidRDefault="00AB6753" w:rsidP="002D1EA4">
            <w:pPr>
              <w:spacing w:after="0"/>
              <w:rPr>
                <w:rFonts w:cs="Arial"/>
                <w:b/>
                <w:bCs/>
                <w:sz w:val="18"/>
                <w:szCs w:val="18"/>
              </w:rPr>
            </w:pPr>
            <w:r>
              <w:rPr>
                <w:rFonts w:cs="Arial"/>
                <w:b/>
                <w:bCs/>
                <w:sz w:val="18"/>
                <w:szCs w:val="18"/>
              </w:rPr>
              <w:t>Total financial assets measured at amortised cost</w:t>
            </w:r>
          </w:p>
        </w:tc>
        <w:tc>
          <w:tcPr>
            <w:tcW w:w="1029" w:type="dxa"/>
            <w:tcBorders>
              <w:top w:val="single" w:sz="4" w:space="0" w:color="auto"/>
              <w:left w:val="nil"/>
              <w:bottom w:val="single" w:sz="4" w:space="0" w:color="auto"/>
              <w:right w:val="nil"/>
            </w:tcBorders>
            <w:shd w:val="clear" w:color="FFFFFF" w:fill="FFFFFF"/>
            <w:noWrap/>
            <w:vAlign w:val="bottom"/>
            <w:hideMark/>
          </w:tcPr>
          <w:p w14:paraId="3EB2B323" w14:textId="77777777" w:rsidR="00AB6753" w:rsidRDefault="00AB6753" w:rsidP="002D1EA4">
            <w:pPr>
              <w:spacing w:after="0"/>
              <w:jc w:val="right"/>
              <w:rPr>
                <w:rFonts w:cs="Arial"/>
                <w:b/>
                <w:bCs/>
                <w:sz w:val="18"/>
                <w:szCs w:val="18"/>
              </w:rPr>
            </w:pPr>
            <w:r>
              <w:rPr>
                <w:rFonts w:cs="Arial"/>
                <w:b/>
                <w:bCs/>
                <w:sz w:val="18"/>
                <w:szCs w:val="18"/>
              </w:rPr>
              <w:t>9,619</w:t>
            </w:r>
          </w:p>
        </w:tc>
        <w:tc>
          <w:tcPr>
            <w:tcW w:w="267" w:type="dxa"/>
            <w:tcBorders>
              <w:top w:val="nil"/>
              <w:left w:val="nil"/>
              <w:bottom w:val="nil"/>
              <w:right w:val="nil"/>
            </w:tcBorders>
            <w:shd w:val="clear" w:color="FFFFFF" w:fill="FFFFFF"/>
            <w:noWrap/>
            <w:vAlign w:val="bottom"/>
            <w:hideMark/>
          </w:tcPr>
          <w:p w14:paraId="688F21E0" w14:textId="77777777" w:rsidR="00AB6753" w:rsidRDefault="00AB6753" w:rsidP="002D1EA4">
            <w:pPr>
              <w:spacing w:after="0"/>
              <w:rPr>
                <w:rFonts w:cs="Arial"/>
                <w:sz w:val="18"/>
                <w:szCs w:val="18"/>
              </w:rPr>
            </w:pPr>
            <w:r>
              <w:rPr>
                <w:rFonts w:cs="Arial"/>
                <w:sz w:val="18"/>
                <w:szCs w:val="18"/>
              </w:rPr>
              <w:t> </w:t>
            </w:r>
          </w:p>
        </w:tc>
        <w:tc>
          <w:tcPr>
            <w:tcW w:w="1029" w:type="dxa"/>
            <w:tcBorders>
              <w:top w:val="single" w:sz="4" w:space="0" w:color="auto"/>
              <w:left w:val="nil"/>
              <w:bottom w:val="single" w:sz="4" w:space="0" w:color="auto"/>
              <w:right w:val="nil"/>
            </w:tcBorders>
            <w:shd w:val="clear" w:color="FFFFFF" w:fill="FFFFFF"/>
            <w:noWrap/>
            <w:vAlign w:val="bottom"/>
            <w:hideMark/>
          </w:tcPr>
          <w:p w14:paraId="5613783F" w14:textId="77777777" w:rsidR="00AB6753" w:rsidRDefault="00AB6753" w:rsidP="002D1EA4">
            <w:pPr>
              <w:spacing w:after="0"/>
              <w:jc w:val="right"/>
              <w:rPr>
                <w:rFonts w:cs="Arial"/>
                <w:sz w:val="18"/>
                <w:szCs w:val="18"/>
              </w:rPr>
            </w:pPr>
            <w:r>
              <w:rPr>
                <w:rFonts w:cs="Arial"/>
                <w:sz w:val="18"/>
                <w:szCs w:val="18"/>
              </w:rPr>
              <w:t>15,171</w:t>
            </w:r>
          </w:p>
        </w:tc>
      </w:tr>
      <w:tr w:rsidR="00AB6753" w14:paraId="345086AC" w14:textId="77777777" w:rsidTr="002D1EA4">
        <w:trPr>
          <w:trHeight w:val="255"/>
        </w:trPr>
        <w:tc>
          <w:tcPr>
            <w:tcW w:w="6773" w:type="dxa"/>
            <w:tcBorders>
              <w:top w:val="nil"/>
              <w:left w:val="nil"/>
              <w:bottom w:val="nil"/>
              <w:right w:val="nil"/>
            </w:tcBorders>
            <w:shd w:val="clear" w:color="FFFFFF" w:fill="FFFFFF"/>
            <w:vAlign w:val="bottom"/>
            <w:hideMark/>
          </w:tcPr>
          <w:p w14:paraId="41E77FA9" w14:textId="77777777" w:rsidR="00AB6753" w:rsidRDefault="00AB6753" w:rsidP="002D1EA4">
            <w:pPr>
              <w:spacing w:after="0"/>
              <w:rPr>
                <w:rFonts w:cs="Arial"/>
                <w:b/>
                <w:bCs/>
                <w:sz w:val="18"/>
                <w:szCs w:val="18"/>
              </w:rPr>
            </w:pPr>
            <w:r>
              <w:rPr>
                <w:rFonts w:cs="Arial"/>
                <w:b/>
                <w:bCs/>
                <w:sz w:val="18"/>
                <w:szCs w:val="18"/>
              </w:rPr>
              <w:t>Total financial assets</w:t>
            </w:r>
          </w:p>
        </w:tc>
        <w:tc>
          <w:tcPr>
            <w:tcW w:w="1029" w:type="dxa"/>
            <w:tcBorders>
              <w:top w:val="nil"/>
              <w:left w:val="nil"/>
              <w:bottom w:val="single" w:sz="4" w:space="0" w:color="auto"/>
              <w:right w:val="nil"/>
            </w:tcBorders>
            <w:shd w:val="clear" w:color="FFFFFF" w:fill="FFFFFF"/>
            <w:noWrap/>
            <w:vAlign w:val="bottom"/>
            <w:hideMark/>
          </w:tcPr>
          <w:p w14:paraId="69194810" w14:textId="77777777" w:rsidR="00AB6753" w:rsidRDefault="00AB6753" w:rsidP="002D1EA4">
            <w:pPr>
              <w:spacing w:after="0"/>
              <w:jc w:val="right"/>
              <w:rPr>
                <w:rFonts w:cs="Arial"/>
                <w:b/>
                <w:bCs/>
                <w:sz w:val="18"/>
                <w:szCs w:val="18"/>
              </w:rPr>
            </w:pPr>
            <w:r>
              <w:rPr>
                <w:rFonts w:cs="Arial"/>
                <w:b/>
                <w:bCs/>
                <w:sz w:val="18"/>
                <w:szCs w:val="18"/>
              </w:rPr>
              <w:t>9,619</w:t>
            </w:r>
          </w:p>
        </w:tc>
        <w:tc>
          <w:tcPr>
            <w:tcW w:w="267" w:type="dxa"/>
            <w:tcBorders>
              <w:top w:val="nil"/>
              <w:left w:val="nil"/>
              <w:bottom w:val="nil"/>
              <w:right w:val="nil"/>
            </w:tcBorders>
            <w:shd w:val="clear" w:color="FFFFFF" w:fill="FFFFFF"/>
            <w:noWrap/>
            <w:vAlign w:val="bottom"/>
            <w:hideMark/>
          </w:tcPr>
          <w:p w14:paraId="09EE8D92" w14:textId="77777777" w:rsidR="00AB6753" w:rsidRDefault="00AB6753" w:rsidP="002D1EA4">
            <w:pPr>
              <w:spacing w:after="0"/>
              <w:rPr>
                <w:rFonts w:cs="Arial"/>
                <w:sz w:val="18"/>
                <w:szCs w:val="18"/>
              </w:rPr>
            </w:pPr>
            <w:r>
              <w:rPr>
                <w:rFonts w:cs="Arial"/>
                <w:sz w:val="18"/>
                <w:szCs w:val="18"/>
              </w:rPr>
              <w:t> </w:t>
            </w:r>
          </w:p>
        </w:tc>
        <w:tc>
          <w:tcPr>
            <w:tcW w:w="1029" w:type="dxa"/>
            <w:tcBorders>
              <w:top w:val="nil"/>
              <w:left w:val="nil"/>
              <w:bottom w:val="single" w:sz="4" w:space="0" w:color="auto"/>
              <w:right w:val="nil"/>
            </w:tcBorders>
            <w:shd w:val="clear" w:color="FFFFFF" w:fill="FFFFFF"/>
            <w:noWrap/>
            <w:vAlign w:val="bottom"/>
            <w:hideMark/>
          </w:tcPr>
          <w:p w14:paraId="1FB9C1E7" w14:textId="77777777" w:rsidR="00AB6753" w:rsidRDefault="00AB6753" w:rsidP="002D1EA4">
            <w:pPr>
              <w:spacing w:after="0"/>
              <w:jc w:val="right"/>
              <w:rPr>
                <w:rFonts w:cs="Arial"/>
                <w:sz w:val="18"/>
                <w:szCs w:val="18"/>
              </w:rPr>
            </w:pPr>
            <w:r>
              <w:rPr>
                <w:rFonts w:cs="Arial"/>
                <w:sz w:val="18"/>
                <w:szCs w:val="18"/>
              </w:rPr>
              <w:t>15,171</w:t>
            </w:r>
          </w:p>
        </w:tc>
      </w:tr>
      <w:tr w:rsidR="00AB6753" w14:paraId="2BF70232" w14:textId="77777777" w:rsidTr="002D1EA4">
        <w:trPr>
          <w:trHeight w:val="255"/>
        </w:trPr>
        <w:tc>
          <w:tcPr>
            <w:tcW w:w="6773" w:type="dxa"/>
            <w:tcBorders>
              <w:top w:val="nil"/>
              <w:left w:val="nil"/>
              <w:bottom w:val="nil"/>
              <w:right w:val="nil"/>
            </w:tcBorders>
            <w:shd w:val="clear" w:color="FFFFFF" w:fill="FFFFFF"/>
            <w:noWrap/>
            <w:vAlign w:val="bottom"/>
            <w:hideMark/>
          </w:tcPr>
          <w:p w14:paraId="104B4077" w14:textId="77777777" w:rsidR="00AB6753" w:rsidRDefault="00AB6753" w:rsidP="002D1EA4">
            <w:pPr>
              <w:spacing w:after="0"/>
              <w:rPr>
                <w:rFonts w:cs="Arial"/>
                <w:sz w:val="18"/>
                <w:szCs w:val="18"/>
              </w:rPr>
            </w:pPr>
            <w:r>
              <w:rPr>
                <w:rFonts w:cs="Arial"/>
                <w:sz w:val="18"/>
                <w:szCs w:val="18"/>
              </w:rPr>
              <w:t> </w:t>
            </w:r>
          </w:p>
        </w:tc>
        <w:tc>
          <w:tcPr>
            <w:tcW w:w="1029" w:type="dxa"/>
            <w:tcBorders>
              <w:top w:val="nil"/>
              <w:left w:val="nil"/>
              <w:bottom w:val="nil"/>
              <w:right w:val="nil"/>
            </w:tcBorders>
            <w:shd w:val="clear" w:color="FFFFFF" w:fill="FFFFFF"/>
            <w:noWrap/>
            <w:vAlign w:val="bottom"/>
            <w:hideMark/>
          </w:tcPr>
          <w:p w14:paraId="31F4CFC0" w14:textId="77777777" w:rsidR="00AB6753" w:rsidRDefault="00AB6753" w:rsidP="002D1EA4">
            <w:pPr>
              <w:spacing w:after="0"/>
              <w:rPr>
                <w:rFonts w:cs="Arial"/>
                <w:b/>
                <w:bCs/>
                <w:sz w:val="18"/>
                <w:szCs w:val="18"/>
              </w:rPr>
            </w:pPr>
            <w:r>
              <w:rPr>
                <w:rFonts w:cs="Arial"/>
                <w:b/>
                <w:bCs/>
                <w:sz w:val="18"/>
                <w:szCs w:val="18"/>
              </w:rPr>
              <w:t> </w:t>
            </w:r>
          </w:p>
        </w:tc>
        <w:tc>
          <w:tcPr>
            <w:tcW w:w="267" w:type="dxa"/>
            <w:tcBorders>
              <w:top w:val="nil"/>
              <w:left w:val="nil"/>
              <w:bottom w:val="nil"/>
              <w:right w:val="nil"/>
            </w:tcBorders>
            <w:shd w:val="clear" w:color="FFFFFF" w:fill="FFFFFF"/>
            <w:noWrap/>
            <w:vAlign w:val="bottom"/>
            <w:hideMark/>
          </w:tcPr>
          <w:p w14:paraId="17D2CD46" w14:textId="77777777" w:rsidR="00AB6753" w:rsidRDefault="00AB6753" w:rsidP="002D1EA4">
            <w:pPr>
              <w:spacing w:after="0"/>
              <w:rPr>
                <w:rFonts w:cs="Arial"/>
                <w:sz w:val="18"/>
                <w:szCs w:val="18"/>
              </w:rPr>
            </w:pPr>
            <w:r>
              <w:rPr>
                <w:rFonts w:cs="Arial"/>
                <w:sz w:val="18"/>
                <w:szCs w:val="18"/>
              </w:rPr>
              <w:t> </w:t>
            </w:r>
          </w:p>
        </w:tc>
        <w:tc>
          <w:tcPr>
            <w:tcW w:w="1029" w:type="dxa"/>
            <w:tcBorders>
              <w:top w:val="nil"/>
              <w:left w:val="nil"/>
              <w:bottom w:val="nil"/>
              <w:right w:val="nil"/>
            </w:tcBorders>
            <w:shd w:val="clear" w:color="FFFFFF" w:fill="FFFFFF"/>
            <w:noWrap/>
            <w:vAlign w:val="bottom"/>
            <w:hideMark/>
          </w:tcPr>
          <w:p w14:paraId="0D19A5B6" w14:textId="77777777" w:rsidR="00AB6753" w:rsidRDefault="00AB6753" w:rsidP="002D1EA4">
            <w:pPr>
              <w:spacing w:after="0"/>
              <w:rPr>
                <w:rFonts w:cs="Arial"/>
                <w:sz w:val="18"/>
                <w:szCs w:val="18"/>
              </w:rPr>
            </w:pPr>
            <w:r>
              <w:rPr>
                <w:rFonts w:cs="Arial"/>
                <w:sz w:val="18"/>
                <w:szCs w:val="18"/>
              </w:rPr>
              <w:t> </w:t>
            </w:r>
          </w:p>
        </w:tc>
      </w:tr>
      <w:tr w:rsidR="00AB6753" w14:paraId="065F1742" w14:textId="77777777" w:rsidTr="002D1EA4">
        <w:trPr>
          <w:trHeight w:val="255"/>
        </w:trPr>
        <w:tc>
          <w:tcPr>
            <w:tcW w:w="6773" w:type="dxa"/>
            <w:tcBorders>
              <w:top w:val="nil"/>
              <w:left w:val="nil"/>
              <w:bottom w:val="nil"/>
              <w:right w:val="nil"/>
            </w:tcBorders>
            <w:shd w:val="clear" w:color="FFFFFF" w:fill="FFFFFF"/>
            <w:vAlign w:val="bottom"/>
            <w:hideMark/>
          </w:tcPr>
          <w:p w14:paraId="3E1C1227" w14:textId="77777777" w:rsidR="00AB6753" w:rsidRDefault="00AB6753" w:rsidP="002D1EA4">
            <w:pPr>
              <w:spacing w:after="0"/>
              <w:rPr>
                <w:rFonts w:cs="Arial"/>
                <w:b/>
                <w:bCs/>
                <w:sz w:val="18"/>
                <w:szCs w:val="18"/>
              </w:rPr>
            </w:pPr>
            <w:r>
              <w:rPr>
                <w:rFonts w:cs="Arial"/>
                <w:b/>
                <w:bCs/>
                <w:sz w:val="18"/>
                <w:szCs w:val="18"/>
              </w:rPr>
              <w:t>Financial Liabilities</w:t>
            </w:r>
          </w:p>
        </w:tc>
        <w:tc>
          <w:tcPr>
            <w:tcW w:w="1029" w:type="dxa"/>
            <w:tcBorders>
              <w:top w:val="nil"/>
              <w:left w:val="nil"/>
              <w:bottom w:val="nil"/>
              <w:right w:val="nil"/>
            </w:tcBorders>
            <w:shd w:val="clear" w:color="FFFFFF" w:fill="FFFFFF"/>
            <w:noWrap/>
            <w:vAlign w:val="bottom"/>
            <w:hideMark/>
          </w:tcPr>
          <w:p w14:paraId="55F141C7" w14:textId="77777777" w:rsidR="00AB6753" w:rsidRDefault="00AB6753" w:rsidP="002D1EA4">
            <w:pPr>
              <w:spacing w:after="0"/>
              <w:rPr>
                <w:rFonts w:cs="Arial"/>
                <w:b/>
                <w:bCs/>
                <w:sz w:val="18"/>
                <w:szCs w:val="18"/>
              </w:rPr>
            </w:pPr>
            <w:r>
              <w:rPr>
                <w:rFonts w:cs="Arial"/>
                <w:b/>
                <w:bCs/>
                <w:sz w:val="18"/>
                <w:szCs w:val="18"/>
              </w:rPr>
              <w:t> </w:t>
            </w:r>
          </w:p>
        </w:tc>
        <w:tc>
          <w:tcPr>
            <w:tcW w:w="267" w:type="dxa"/>
            <w:tcBorders>
              <w:top w:val="nil"/>
              <w:left w:val="nil"/>
              <w:bottom w:val="nil"/>
              <w:right w:val="nil"/>
            </w:tcBorders>
            <w:shd w:val="clear" w:color="FFFFFF" w:fill="FFFFFF"/>
            <w:noWrap/>
            <w:vAlign w:val="bottom"/>
            <w:hideMark/>
          </w:tcPr>
          <w:p w14:paraId="23754071" w14:textId="77777777" w:rsidR="00AB6753" w:rsidRDefault="00AB6753" w:rsidP="002D1EA4">
            <w:pPr>
              <w:spacing w:after="0"/>
              <w:rPr>
                <w:rFonts w:cs="Arial"/>
                <w:sz w:val="18"/>
                <w:szCs w:val="18"/>
              </w:rPr>
            </w:pPr>
            <w:r>
              <w:rPr>
                <w:rFonts w:cs="Arial"/>
                <w:sz w:val="18"/>
                <w:szCs w:val="18"/>
              </w:rPr>
              <w:t> </w:t>
            </w:r>
          </w:p>
        </w:tc>
        <w:tc>
          <w:tcPr>
            <w:tcW w:w="1029" w:type="dxa"/>
            <w:tcBorders>
              <w:top w:val="nil"/>
              <w:left w:val="nil"/>
              <w:bottom w:val="nil"/>
              <w:right w:val="nil"/>
            </w:tcBorders>
            <w:shd w:val="clear" w:color="FFFFFF" w:fill="FFFFFF"/>
            <w:noWrap/>
            <w:vAlign w:val="bottom"/>
            <w:hideMark/>
          </w:tcPr>
          <w:p w14:paraId="6435FE06" w14:textId="77777777" w:rsidR="00AB6753" w:rsidRDefault="00AB6753" w:rsidP="002D1EA4">
            <w:pPr>
              <w:spacing w:after="0"/>
              <w:rPr>
                <w:rFonts w:cs="Arial"/>
                <w:sz w:val="18"/>
                <w:szCs w:val="18"/>
              </w:rPr>
            </w:pPr>
            <w:r>
              <w:rPr>
                <w:rFonts w:cs="Arial"/>
                <w:sz w:val="18"/>
                <w:szCs w:val="18"/>
              </w:rPr>
              <w:t> </w:t>
            </w:r>
          </w:p>
        </w:tc>
      </w:tr>
      <w:tr w:rsidR="00AB6753" w14:paraId="7406501D" w14:textId="77777777" w:rsidTr="002D1EA4">
        <w:trPr>
          <w:trHeight w:val="255"/>
        </w:trPr>
        <w:tc>
          <w:tcPr>
            <w:tcW w:w="6773" w:type="dxa"/>
            <w:tcBorders>
              <w:top w:val="nil"/>
              <w:left w:val="nil"/>
              <w:bottom w:val="nil"/>
              <w:right w:val="nil"/>
            </w:tcBorders>
            <w:shd w:val="clear" w:color="FFFFFF" w:fill="FFFFFF"/>
            <w:vAlign w:val="bottom"/>
            <w:hideMark/>
          </w:tcPr>
          <w:p w14:paraId="090BE1BF" w14:textId="77777777" w:rsidR="00AB6753" w:rsidRDefault="00AB6753" w:rsidP="002D1EA4">
            <w:pPr>
              <w:spacing w:after="0"/>
              <w:rPr>
                <w:rFonts w:cs="Arial"/>
                <w:b/>
                <w:bCs/>
                <w:sz w:val="18"/>
                <w:szCs w:val="18"/>
              </w:rPr>
            </w:pPr>
            <w:r>
              <w:rPr>
                <w:rFonts w:cs="Arial"/>
                <w:b/>
                <w:bCs/>
                <w:sz w:val="18"/>
                <w:szCs w:val="18"/>
              </w:rPr>
              <w:t>Financial liabilities measured at amortised cost</w:t>
            </w:r>
          </w:p>
        </w:tc>
        <w:tc>
          <w:tcPr>
            <w:tcW w:w="1029" w:type="dxa"/>
            <w:tcBorders>
              <w:top w:val="nil"/>
              <w:left w:val="nil"/>
              <w:bottom w:val="nil"/>
              <w:right w:val="nil"/>
            </w:tcBorders>
            <w:shd w:val="clear" w:color="FFFFFF" w:fill="FFFFFF"/>
            <w:noWrap/>
            <w:vAlign w:val="bottom"/>
            <w:hideMark/>
          </w:tcPr>
          <w:p w14:paraId="27E01AA7" w14:textId="77777777" w:rsidR="00AB6753" w:rsidRDefault="00AB6753" w:rsidP="002D1EA4">
            <w:pPr>
              <w:spacing w:after="0"/>
              <w:rPr>
                <w:rFonts w:cs="Arial"/>
                <w:b/>
                <w:bCs/>
                <w:sz w:val="18"/>
                <w:szCs w:val="18"/>
              </w:rPr>
            </w:pPr>
            <w:r>
              <w:rPr>
                <w:rFonts w:cs="Arial"/>
                <w:b/>
                <w:bCs/>
                <w:sz w:val="18"/>
                <w:szCs w:val="18"/>
              </w:rPr>
              <w:t> </w:t>
            </w:r>
          </w:p>
        </w:tc>
        <w:tc>
          <w:tcPr>
            <w:tcW w:w="267" w:type="dxa"/>
            <w:tcBorders>
              <w:top w:val="nil"/>
              <w:left w:val="nil"/>
              <w:bottom w:val="nil"/>
              <w:right w:val="nil"/>
            </w:tcBorders>
            <w:shd w:val="clear" w:color="FFFFFF" w:fill="FFFFFF"/>
            <w:noWrap/>
            <w:vAlign w:val="bottom"/>
            <w:hideMark/>
          </w:tcPr>
          <w:p w14:paraId="5B6B5055" w14:textId="77777777" w:rsidR="00AB6753" w:rsidRDefault="00AB6753" w:rsidP="002D1EA4">
            <w:pPr>
              <w:spacing w:after="0"/>
              <w:rPr>
                <w:rFonts w:cs="Arial"/>
                <w:sz w:val="18"/>
                <w:szCs w:val="18"/>
              </w:rPr>
            </w:pPr>
            <w:r>
              <w:rPr>
                <w:rFonts w:cs="Arial"/>
                <w:sz w:val="18"/>
                <w:szCs w:val="18"/>
              </w:rPr>
              <w:t> </w:t>
            </w:r>
          </w:p>
        </w:tc>
        <w:tc>
          <w:tcPr>
            <w:tcW w:w="1029" w:type="dxa"/>
            <w:tcBorders>
              <w:top w:val="nil"/>
              <w:left w:val="nil"/>
              <w:bottom w:val="nil"/>
              <w:right w:val="nil"/>
            </w:tcBorders>
            <w:shd w:val="clear" w:color="FFFFFF" w:fill="FFFFFF"/>
            <w:noWrap/>
            <w:vAlign w:val="bottom"/>
            <w:hideMark/>
          </w:tcPr>
          <w:p w14:paraId="3EF5BAA6" w14:textId="77777777" w:rsidR="00AB6753" w:rsidRDefault="00AB6753" w:rsidP="002D1EA4">
            <w:pPr>
              <w:spacing w:after="0"/>
              <w:rPr>
                <w:rFonts w:cs="Arial"/>
                <w:sz w:val="18"/>
                <w:szCs w:val="18"/>
              </w:rPr>
            </w:pPr>
            <w:r>
              <w:rPr>
                <w:rFonts w:cs="Arial"/>
                <w:sz w:val="18"/>
                <w:szCs w:val="18"/>
              </w:rPr>
              <w:t> </w:t>
            </w:r>
          </w:p>
        </w:tc>
      </w:tr>
      <w:tr w:rsidR="00AB6753" w14:paraId="0DBF893F" w14:textId="77777777" w:rsidTr="002D1EA4">
        <w:trPr>
          <w:trHeight w:val="255"/>
        </w:trPr>
        <w:tc>
          <w:tcPr>
            <w:tcW w:w="6773" w:type="dxa"/>
            <w:tcBorders>
              <w:top w:val="nil"/>
              <w:left w:val="nil"/>
              <w:bottom w:val="nil"/>
              <w:right w:val="nil"/>
            </w:tcBorders>
            <w:shd w:val="clear" w:color="FFFFFF" w:fill="FFFFFF"/>
            <w:noWrap/>
            <w:vAlign w:val="bottom"/>
            <w:hideMark/>
          </w:tcPr>
          <w:p w14:paraId="313C5243" w14:textId="77777777" w:rsidR="00AB6753" w:rsidRDefault="00AB6753" w:rsidP="002D1EA4">
            <w:pPr>
              <w:spacing w:after="0"/>
              <w:ind w:firstLineChars="100" w:firstLine="180"/>
              <w:rPr>
                <w:rFonts w:cs="Arial"/>
                <w:sz w:val="18"/>
                <w:szCs w:val="18"/>
              </w:rPr>
            </w:pPr>
            <w:r>
              <w:rPr>
                <w:rFonts w:cs="Arial"/>
                <w:sz w:val="18"/>
                <w:szCs w:val="18"/>
              </w:rPr>
              <w:t>Trade creditors</w:t>
            </w:r>
          </w:p>
        </w:tc>
        <w:tc>
          <w:tcPr>
            <w:tcW w:w="1029" w:type="dxa"/>
            <w:tcBorders>
              <w:top w:val="nil"/>
              <w:left w:val="nil"/>
              <w:bottom w:val="nil"/>
              <w:right w:val="nil"/>
            </w:tcBorders>
            <w:shd w:val="clear" w:color="FFFFFF" w:fill="FFFFFF"/>
            <w:noWrap/>
            <w:vAlign w:val="bottom"/>
            <w:hideMark/>
          </w:tcPr>
          <w:p w14:paraId="722C9334" w14:textId="77777777" w:rsidR="00AB6753" w:rsidRDefault="00AB6753" w:rsidP="002D1EA4">
            <w:pPr>
              <w:spacing w:after="0"/>
              <w:jc w:val="right"/>
              <w:rPr>
                <w:rFonts w:cs="Arial"/>
                <w:b/>
                <w:bCs/>
                <w:sz w:val="18"/>
                <w:szCs w:val="18"/>
              </w:rPr>
            </w:pPr>
            <w:r>
              <w:rPr>
                <w:rFonts w:cs="Arial"/>
                <w:b/>
                <w:bCs/>
                <w:sz w:val="18"/>
                <w:szCs w:val="18"/>
              </w:rPr>
              <w:t xml:space="preserve">17,436 </w:t>
            </w:r>
          </w:p>
        </w:tc>
        <w:tc>
          <w:tcPr>
            <w:tcW w:w="267" w:type="dxa"/>
            <w:tcBorders>
              <w:top w:val="nil"/>
              <w:left w:val="nil"/>
              <w:bottom w:val="nil"/>
              <w:right w:val="nil"/>
            </w:tcBorders>
            <w:shd w:val="clear" w:color="FFFFFF" w:fill="FFFFFF"/>
            <w:noWrap/>
            <w:vAlign w:val="bottom"/>
            <w:hideMark/>
          </w:tcPr>
          <w:p w14:paraId="33181AF1" w14:textId="77777777" w:rsidR="00AB6753" w:rsidRDefault="00AB6753" w:rsidP="002D1EA4">
            <w:pPr>
              <w:spacing w:after="0"/>
              <w:rPr>
                <w:rFonts w:cs="Arial"/>
                <w:sz w:val="18"/>
                <w:szCs w:val="18"/>
              </w:rPr>
            </w:pPr>
            <w:r>
              <w:rPr>
                <w:rFonts w:cs="Arial"/>
                <w:sz w:val="18"/>
                <w:szCs w:val="18"/>
              </w:rPr>
              <w:t> </w:t>
            </w:r>
          </w:p>
        </w:tc>
        <w:tc>
          <w:tcPr>
            <w:tcW w:w="1029" w:type="dxa"/>
            <w:tcBorders>
              <w:top w:val="nil"/>
              <w:left w:val="nil"/>
              <w:bottom w:val="nil"/>
              <w:right w:val="nil"/>
            </w:tcBorders>
            <w:shd w:val="clear" w:color="FFFFFF" w:fill="FFFFFF"/>
            <w:noWrap/>
            <w:vAlign w:val="bottom"/>
            <w:hideMark/>
          </w:tcPr>
          <w:p w14:paraId="3ECE5C81" w14:textId="77777777" w:rsidR="00AB6753" w:rsidRDefault="00AB6753" w:rsidP="002D1EA4">
            <w:pPr>
              <w:spacing w:after="0"/>
              <w:jc w:val="right"/>
              <w:rPr>
                <w:rFonts w:cs="Arial"/>
                <w:sz w:val="18"/>
                <w:szCs w:val="18"/>
              </w:rPr>
            </w:pPr>
            <w:r>
              <w:rPr>
                <w:rFonts w:cs="Arial"/>
                <w:sz w:val="18"/>
                <w:szCs w:val="18"/>
              </w:rPr>
              <w:t xml:space="preserve">23,619 </w:t>
            </w:r>
          </w:p>
        </w:tc>
      </w:tr>
      <w:tr w:rsidR="00AB6753" w14:paraId="429F7872" w14:textId="77777777" w:rsidTr="002D1EA4">
        <w:trPr>
          <w:trHeight w:val="255"/>
        </w:trPr>
        <w:tc>
          <w:tcPr>
            <w:tcW w:w="6773" w:type="dxa"/>
            <w:tcBorders>
              <w:top w:val="nil"/>
              <w:left w:val="nil"/>
              <w:bottom w:val="nil"/>
              <w:right w:val="nil"/>
            </w:tcBorders>
            <w:shd w:val="clear" w:color="FFFFFF" w:fill="FFFFFF"/>
            <w:vAlign w:val="bottom"/>
            <w:hideMark/>
          </w:tcPr>
          <w:p w14:paraId="0800FB33" w14:textId="77777777" w:rsidR="00AB6753" w:rsidRDefault="00AB6753" w:rsidP="002D1EA4">
            <w:pPr>
              <w:spacing w:after="0"/>
              <w:rPr>
                <w:rFonts w:cs="Arial"/>
                <w:b/>
                <w:bCs/>
                <w:sz w:val="18"/>
                <w:szCs w:val="18"/>
              </w:rPr>
            </w:pPr>
            <w:r>
              <w:rPr>
                <w:rFonts w:cs="Arial"/>
                <w:b/>
                <w:bCs/>
                <w:sz w:val="18"/>
                <w:szCs w:val="18"/>
              </w:rPr>
              <w:t>Total financial liabilities measured at amortised cost</w:t>
            </w:r>
          </w:p>
        </w:tc>
        <w:tc>
          <w:tcPr>
            <w:tcW w:w="1029" w:type="dxa"/>
            <w:tcBorders>
              <w:top w:val="single" w:sz="4" w:space="0" w:color="auto"/>
              <w:left w:val="nil"/>
              <w:bottom w:val="single" w:sz="4" w:space="0" w:color="auto"/>
              <w:right w:val="nil"/>
            </w:tcBorders>
            <w:shd w:val="clear" w:color="FFFFFF" w:fill="FFFFFF"/>
            <w:noWrap/>
            <w:vAlign w:val="bottom"/>
            <w:hideMark/>
          </w:tcPr>
          <w:p w14:paraId="28B187AE" w14:textId="77777777" w:rsidR="00AB6753" w:rsidRDefault="00AB6753" w:rsidP="002D1EA4">
            <w:pPr>
              <w:spacing w:after="0"/>
              <w:jc w:val="right"/>
              <w:rPr>
                <w:rFonts w:cs="Arial"/>
                <w:b/>
                <w:bCs/>
                <w:sz w:val="18"/>
                <w:szCs w:val="18"/>
              </w:rPr>
            </w:pPr>
            <w:r>
              <w:rPr>
                <w:rFonts w:cs="Arial"/>
                <w:b/>
                <w:bCs/>
                <w:sz w:val="18"/>
                <w:szCs w:val="18"/>
              </w:rPr>
              <w:t>17,436</w:t>
            </w:r>
          </w:p>
        </w:tc>
        <w:tc>
          <w:tcPr>
            <w:tcW w:w="267" w:type="dxa"/>
            <w:tcBorders>
              <w:top w:val="nil"/>
              <w:left w:val="nil"/>
              <w:bottom w:val="nil"/>
              <w:right w:val="nil"/>
            </w:tcBorders>
            <w:shd w:val="clear" w:color="FFFFFF" w:fill="FFFFFF"/>
            <w:noWrap/>
            <w:vAlign w:val="bottom"/>
            <w:hideMark/>
          </w:tcPr>
          <w:p w14:paraId="3DAEE1DF" w14:textId="77777777" w:rsidR="00AB6753" w:rsidRDefault="00AB6753" w:rsidP="002D1EA4">
            <w:pPr>
              <w:spacing w:after="0"/>
              <w:rPr>
                <w:rFonts w:cs="Arial"/>
                <w:sz w:val="18"/>
                <w:szCs w:val="18"/>
              </w:rPr>
            </w:pPr>
            <w:r>
              <w:rPr>
                <w:rFonts w:cs="Arial"/>
                <w:sz w:val="18"/>
                <w:szCs w:val="18"/>
              </w:rPr>
              <w:t> </w:t>
            </w:r>
          </w:p>
        </w:tc>
        <w:tc>
          <w:tcPr>
            <w:tcW w:w="1029" w:type="dxa"/>
            <w:tcBorders>
              <w:top w:val="single" w:sz="4" w:space="0" w:color="auto"/>
              <w:left w:val="nil"/>
              <w:bottom w:val="single" w:sz="4" w:space="0" w:color="auto"/>
              <w:right w:val="nil"/>
            </w:tcBorders>
            <w:shd w:val="clear" w:color="FFFFFF" w:fill="FFFFFF"/>
            <w:noWrap/>
            <w:vAlign w:val="bottom"/>
            <w:hideMark/>
          </w:tcPr>
          <w:p w14:paraId="791C02AC" w14:textId="77777777" w:rsidR="00AB6753" w:rsidRDefault="00AB6753" w:rsidP="002D1EA4">
            <w:pPr>
              <w:spacing w:after="0"/>
              <w:jc w:val="right"/>
              <w:rPr>
                <w:rFonts w:cs="Arial"/>
                <w:sz w:val="18"/>
                <w:szCs w:val="18"/>
              </w:rPr>
            </w:pPr>
            <w:r>
              <w:rPr>
                <w:rFonts w:cs="Arial"/>
                <w:sz w:val="18"/>
                <w:szCs w:val="18"/>
              </w:rPr>
              <w:t>23,619</w:t>
            </w:r>
          </w:p>
        </w:tc>
      </w:tr>
      <w:tr w:rsidR="00AB6753" w14:paraId="3FDA4F79" w14:textId="77777777" w:rsidTr="002D1EA4">
        <w:trPr>
          <w:trHeight w:val="255"/>
        </w:trPr>
        <w:tc>
          <w:tcPr>
            <w:tcW w:w="6773" w:type="dxa"/>
            <w:tcBorders>
              <w:top w:val="nil"/>
              <w:left w:val="nil"/>
              <w:bottom w:val="nil"/>
              <w:right w:val="nil"/>
            </w:tcBorders>
            <w:shd w:val="clear" w:color="FFFFFF" w:fill="FFFFFF"/>
            <w:vAlign w:val="bottom"/>
            <w:hideMark/>
          </w:tcPr>
          <w:p w14:paraId="7ADC7FE8" w14:textId="77777777" w:rsidR="00AB6753" w:rsidRDefault="00AB6753" w:rsidP="002D1EA4">
            <w:pPr>
              <w:spacing w:after="0"/>
              <w:rPr>
                <w:rFonts w:cs="Arial"/>
                <w:b/>
                <w:bCs/>
                <w:sz w:val="18"/>
                <w:szCs w:val="18"/>
              </w:rPr>
            </w:pPr>
            <w:r>
              <w:rPr>
                <w:rFonts w:cs="Arial"/>
                <w:b/>
                <w:bCs/>
                <w:sz w:val="18"/>
                <w:szCs w:val="18"/>
              </w:rPr>
              <w:t>Total financial liabilities</w:t>
            </w:r>
          </w:p>
        </w:tc>
        <w:tc>
          <w:tcPr>
            <w:tcW w:w="1029" w:type="dxa"/>
            <w:tcBorders>
              <w:top w:val="nil"/>
              <w:left w:val="nil"/>
              <w:bottom w:val="single" w:sz="4" w:space="0" w:color="auto"/>
              <w:right w:val="nil"/>
            </w:tcBorders>
            <w:shd w:val="clear" w:color="FFFFFF" w:fill="FFFFFF"/>
            <w:noWrap/>
            <w:vAlign w:val="bottom"/>
            <w:hideMark/>
          </w:tcPr>
          <w:p w14:paraId="7823E6F5" w14:textId="77777777" w:rsidR="00AB6753" w:rsidRDefault="00AB6753" w:rsidP="002D1EA4">
            <w:pPr>
              <w:spacing w:after="0"/>
              <w:jc w:val="right"/>
              <w:rPr>
                <w:rFonts w:cs="Arial"/>
                <w:b/>
                <w:bCs/>
                <w:sz w:val="18"/>
                <w:szCs w:val="18"/>
              </w:rPr>
            </w:pPr>
            <w:r>
              <w:rPr>
                <w:rFonts w:cs="Arial"/>
                <w:b/>
                <w:bCs/>
                <w:sz w:val="18"/>
                <w:szCs w:val="18"/>
              </w:rPr>
              <w:t>17,436</w:t>
            </w:r>
          </w:p>
        </w:tc>
        <w:tc>
          <w:tcPr>
            <w:tcW w:w="267" w:type="dxa"/>
            <w:tcBorders>
              <w:top w:val="nil"/>
              <w:left w:val="nil"/>
              <w:bottom w:val="nil"/>
              <w:right w:val="nil"/>
            </w:tcBorders>
            <w:shd w:val="clear" w:color="FFFFFF" w:fill="FFFFFF"/>
            <w:noWrap/>
            <w:vAlign w:val="bottom"/>
            <w:hideMark/>
          </w:tcPr>
          <w:p w14:paraId="146032A1" w14:textId="77777777" w:rsidR="00AB6753" w:rsidRDefault="00AB6753" w:rsidP="002D1EA4">
            <w:pPr>
              <w:spacing w:after="0"/>
              <w:rPr>
                <w:rFonts w:cs="Arial"/>
                <w:sz w:val="18"/>
                <w:szCs w:val="18"/>
              </w:rPr>
            </w:pPr>
            <w:r>
              <w:rPr>
                <w:rFonts w:cs="Arial"/>
                <w:sz w:val="18"/>
                <w:szCs w:val="18"/>
              </w:rPr>
              <w:t> </w:t>
            </w:r>
          </w:p>
        </w:tc>
        <w:tc>
          <w:tcPr>
            <w:tcW w:w="1029" w:type="dxa"/>
            <w:tcBorders>
              <w:top w:val="nil"/>
              <w:left w:val="nil"/>
              <w:bottom w:val="single" w:sz="4" w:space="0" w:color="auto"/>
              <w:right w:val="nil"/>
            </w:tcBorders>
            <w:shd w:val="clear" w:color="FFFFFF" w:fill="FFFFFF"/>
            <w:noWrap/>
            <w:vAlign w:val="bottom"/>
            <w:hideMark/>
          </w:tcPr>
          <w:p w14:paraId="4982F413" w14:textId="77777777" w:rsidR="00AB6753" w:rsidRDefault="00AB6753" w:rsidP="002D1EA4">
            <w:pPr>
              <w:spacing w:after="0"/>
              <w:jc w:val="right"/>
              <w:rPr>
                <w:rFonts w:cs="Arial"/>
                <w:sz w:val="18"/>
                <w:szCs w:val="18"/>
              </w:rPr>
            </w:pPr>
            <w:r>
              <w:rPr>
                <w:rFonts w:cs="Arial"/>
                <w:sz w:val="18"/>
                <w:szCs w:val="18"/>
              </w:rPr>
              <w:t>23,619</w:t>
            </w:r>
          </w:p>
        </w:tc>
      </w:tr>
    </w:tbl>
    <w:p w14:paraId="3527B53E" w14:textId="77777777" w:rsidR="00AB6753" w:rsidRDefault="00AB6753" w:rsidP="00AB6753">
      <w:pPr>
        <w:spacing w:line="240" w:lineRule="auto"/>
      </w:pPr>
      <w:bookmarkStart w:id="231" w:name="_Toc443469550"/>
      <w:bookmarkStart w:id="232" w:name="_Toc444065805"/>
      <w:bookmarkStart w:id="233" w:name="_Toc444080002"/>
      <w:bookmarkStart w:id="234" w:name="_Toc450750182"/>
      <w:bookmarkStart w:id="235" w:name="_Ref456959187"/>
      <w:bookmarkStart w:id="236" w:name="_Ref456959228"/>
    </w:p>
    <w:p w14:paraId="4F60CEA9" w14:textId="77777777" w:rsidR="00AB6753" w:rsidRPr="00581897" w:rsidRDefault="00AB6753" w:rsidP="00AB6753">
      <w:pPr>
        <w:pStyle w:val="PolicyheadingDept"/>
        <w:pBdr>
          <w:top w:val="single" w:sz="4" w:space="1" w:color="00B2BA"/>
          <w:left w:val="single" w:sz="4" w:space="0" w:color="00B2BA"/>
          <w:bottom w:val="single" w:sz="4" w:space="1" w:color="00B2BA"/>
          <w:right w:val="single" w:sz="4" w:space="12" w:color="00B2BA"/>
        </w:pBdr>
      </w:pPr>
      <w:r w:rsidRPr="00581897">
        <w:t>Accounting Policy</w:t>
      </w:r>
    </w:p>
    <w:p w14:paraId="4FE4F9A4" w14:textId="77777777" w:rsidR="00AB6753" w:rsidRPr="00581897" w:rsidRDefault="00AB6753" w:rsidP="00AB6753">
      <w:pPr>
        <w:pStyle w:val="Policytextdeptunderline"/>
        <w:pBdr>
          <w:top w:val="single" w:sz="4" w:space="1" w:color="00B2BA"/>
          <w:left w:val="single" w:sz="4" w:space="0" w:color="00B2BA"/>
          <w:bottom w:val="single" w:sz="4" w:space="1" w:color="00B2BA"/>
          <w:right w:val="single" w:sz="4" w:space="12" w:color="00B2BA"/>
        </w:pBdr>
      </w:pPr>
      <w:r w:rsidRPr="00581897">
        <w:t>Financial assets</w:t>
      </w:r>
    </w:p>
    <w:p w14:paraId="1E49F706" w14:textId="77777777" w:rsidR="00AB6753" w:rsidRPr="00581897" w:rsidRDefault="00AB6753" w:rsidP="00AB6753">
      <w:pPr>
        <w:pStyle w:val="PolicytextDept"/>
        <w:pBdr>
          <w:top w:val="single" w:sz="4" w:space="1" w:color="00B2BA"/>
          <w:left w:val="single" w:sz="4" w:space="0" w:color="00B2BA"/>
          <w:bottom w:val="single" w:sz="4" w:space="1" w:color="00B2BA"/>
          <w:right w:val="single" w:sz="4" w:space="12" w:color="00B2BA"/>
        </w:pBdr>
      </w:pPr>
      <w:r w:rsidRPr="00581897">
        <w:t xml:space="preserve">With the implementation of AASB 9 </w:t>
      </w:r>
      <w:r w:rsidRPr="00581897">
        <w:rPr>
          <w:i/>
        </w:rPr>
        <w:t>Financial Instruments</w:t>
      </w:r>
      <w:r w:rsidRPr="00581897">
        <w:t xml:space="preserve"> for the first time in the 2019 financial year, the department classifies its financial assets in the following categories: </w:t>
      </w:r>
    </w:p>
    <w:p w14:paraId="169670FB" w14:textId="77777777" w:rsidR="00AB6753" w:rsidRPr="00581897" w:rsidRDefault="00AB6753" w:rsidP="00AB6753">
      <w:pPr>
        <w:pStyle w:val="PolicytextDept"/>
        <w:pBdr>
          <w:top w:val="single" w:sz="4" w:space="1" w:color="00B2BA"/>
          <w:left w:val="single" w:sz="4" w:space="0" w:color="00B2BA"/>
          <w:bottom w:val="single" w:sz="4" w:space="1" w:color="00B2BA"/>
          <w:right w:val="single" w:sz="4" w:space="12" w:color="00B2BA"/>
        </w:pBdr>
      </w:pPr>
      <w:r w:rsidRPr="00581897">
        <w:t>a) financial assets at fair value through profit or loss;</w:t>
      </w:r>
    </w:p>
    <w:p w14:paraId="247911D2" w14:textId="77777777" w:rsidR="00AB6753" w:rsidRPr="00581897" w:rsidRDefault="00AB6753" w:rsidP="00AB6753">
      <w:pPr>
        <w:pStyle w:val="PolicytextDept"/>
        <w:pBdr>
          <w:top w:val="single" w:sz="4" w:space="1" w:color="00B2BA"/>
          <w:left w:val="single" w:sz="4" w:space="0" w:color="00B2BA"/>
          <w:bottom w:val="single" w:sz="4" w:space="1" w:color="00B2BA"/>
          <w:right w:val="single" w:sz="4" w:space="12" w:color="00B2BA"/>
        </w:pBdr>
      </w:pPr>
      <w:r w:rsidRPr="00581897">
        <w:t>b) financial assets at fair value through other comprehensive income; and</w:t>
      </w:r>
    </w:p>
    <w:p w14:paraId="53AD6773" w14:textId="77777777" w:rsidR="00AB6753" w:rsidRPr="00581897" w:rsidRDefault="00AB6753" w:rsidP="00AB6753">
      <w:pPr>
        <w:pStyle w:val="PolicytextDept"/>
        <w:pBdr>
          <w:top w:val="single" w:sz="4" w:space="1" w:color="00B2BA"/>
          <w:left w:val="single" w:sz="4" w:space="0" w:color="00B2BA"/>
          <w:bottom w:val="single" w:sz="4" w:space="1" w:color="00B2BA"/>
          <w:right w:val="single" w:sz="4" w:space="12" w:color="00B2BA"/>
        </w:pBdr>
      </w:pPr>
      <w:r w:rsidRPr="00581897">
        <w:t>c) financial assets measured at amortised cost.</w:t>
      </w:r>
    </w:p>
    <w:p w14:paraId="3E668F87" w14:textId="77777777" w:rsidR="00AB6753" w:rsidRPr="00581897" w:rsidRDefault="00AB6753" w:rsidP="00AB6753">
      <w:pPr>
        <w:pStyle w:val="PolicytextDept"/>
        <w:pBdr>
          <w:top w:val="single" w:sz="4" w:space="1" w:color="00B2BA"/>
          <w:left w:val="single" w:sz="4" w:space="0" w:color="00B2BA"/>
          <w:bottom w:val="single" w:sz="4" w:space="1" w:color="00B2BA"/>
          <w:right w:val="single" w:sz="4" w:space="12" w:color="00B2BA"/>
        </w:pBdr>
      </w:pPr>
      <w:r w:rsidRPr="00581897">
        <w:t xml:space="preserve">The classification depends on both the department's business model for managing the financial assets and contractual cash flow characteristics at the time of initial recognition. </w:t>
      </w:r>
    </w:p>
    <w:p w14:paraId="7F9D0555" w14:textId="77777777" w:rsidR="00AB6753" w:rsidRPr="00AC566B" w:rsidRDefault="00AB6753" w:rsidP="00AB6753">
      <w:pPr>
        <w:pStyle w:val="PolicytextDept"/>
        <w:pBdr>
          <w:top w:val="single" w:sz="4" w:space="1" w:color="00B2BA"/>
          <w:left w:val="single" w:sz="4" w:space="0" w:color="00B2BA"/>
          <w:bottom w:val="single" w:sz="4" w:space="1" w:color="00B2BA"/>
          <w:right w:val="single" w:sz="4" w:space="12" w:color="00B2BA"/>
        </w:pBdr>
      </w:pPr>
      <w:r w:rsidRPr="00581897">
        <w:t>Financial assets are recognised when the department becomes a party to the contract and, as a consequence, has a legal right to receive or a legal obligation to pay cash and are derecognised when the contractual rights to the cash flows from the financial asset expire or are transferred upon trade date.</w:t>
      </w:r>
    </w:p>
    <w:p w14:paraId="45E27F2C" w14:textId="77777777" w:rsidR="00AB6753" w:rsidRPr="00AC566B" w:rsidRDefault="00AB6753" w:rsidP="00AB6753">
      <w:pPr>
        <w:pStyle w:val="PolicytextDept"/>
        <w:pBdr>
          <w:top w:val="single" w:sz="4" w:space="1" w:color="00B2BA"/>
          <w:left w:val="single" w:sz="4" w:space="0" w:color="00B2BA"/>
          <w:bottom w:val="single" w:sz="4" w:space="1" w:color="00B2BA"/>
          <w:right w:val="single" w:sz="4" w:space="12" w:color="00B2BA"/>
        </w:pBdr>
        <w:rPr>
          <w:i/>
          <w:u w:val="single"/>
        </w:rPr>
      </w:pPr>
      <w:r w:rsidRPr="00AC566B">
        <w:rPr>
          <w:i/>
          <w:u w:val="single"/>
        </w:rPr>
        <w:t>Financial Assets at Amortised Cost</w:t>
      </w:r>
    </w:p>
    <w:p w14:paraId="1D35870A" w14:textId="77777777" w:rsidR="00AB6753" w:rsidRPr="00AC566B" w:rsidRDefault="00AB6753" w:rsidP="00AB6753">
      <w:pPr>
        <w:pStyle w:val="PolicytextDept"/>
        <w:pBdr>
          <w:top w:val="single" w:sz="4" w:space="1" w:color="00B2BA"/>
          <w:left w:val="single" w:sz="4" w:space="0" w:color="00B2BA"/>
          <w:bottom w:val="single" w:sz="4" w:space="1" w:color="00B2BA"/>
          <w:right w:val="single" w:sz="4" w:space="12" w:color="00B2BA"/>
        </w:pBdr>
      </w:pPr>
      <w:r w:rsidRPr="00AC566B">
        <w:t>Financial assets included in this category need to meet two criteria:</w:t>
      </w:r>
    </w:p>
    <w:p w14:paraId="298A4C1F" w14:textId="77777777" w:rsidR="00AB6753" w:rsidRPr="00AC566B" w:rsidRDefault="00AB6753" w:rsidP="00AB6753">
      <w:pPr>
        <w:pStyle w:val="PolicytextDept"/>
        <w:pBdr>
          <w:top w:val="single" w:sz="4" w:space="1" w:color="00B2BA"/>
          <w:left w:val="single" w:sz="4" w:space="0" w:color="00B2BA"/>
          <w:bottom w:val="single" w:sz="4" w:space="1" w:color="00B2BA"/>
          <w:right w:val="single" w:sz="4" w:space="12" w:color="00B2BA"/>
        </w:pBdr>
      </w:pPr>
      <w:r w:rsidRPr="00AC566B">
        <w:t>1. the financial asset is held in order to collect the contractual cash flows; and</w:t>
      </w:r>
    </w:p>
    <w:p w14:paraId="399711A9" w14:textId="77777777" w:rsidR="00AB6753" w:rsidRPr="00AC566B" w:rsidRDefault="00AB6753" w:rsidP="00AB6753">
      <w:pPr>
        <w:pStyle w:val="PolicytextDept"/>
        <w:pBdr>
          <w:top w:val="single" w:sz="4" w:space="1" w:color="00B2BA"/>
          <w:left w:val="single" w:sz="4" w:space="0" w:color="00B2BA"/>
          <w:bottom w:val="single" w:sz="4" w:space="1" w:color="00B2BA"/>
          <w:right w:val="single" w:sz="4" w:space="12" w:color="00B2BA"/>
        </w:pBdr>
      </w:pPr>
      <w:r w:rsidRPr="00AC566B">
        <w:t>2. the cash flows are solely payments of principal and interest (SPPI) on the principal outstanding amount.</w:t>
      </w:r>
    </w:p>
    <w:p w14:paraId="738D5669"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rPr>
          <w:b/>
          <w:bCs w:val="0"/>
          <w:u w:val="single"/>
        </w:rPr>
      </w:pPr>
      <w:r w:rsidRPr="00AC566B">
        <w:t>Amortised cost is determined using the effective interest method.</w:t>
      </w:r>
    </w:p>
    <w:p w14:paraId="1038E811" w14:textId="77777777" w:rsidR="00AB6753" w:rsidRPr="00AC566B" w:rsidRDefault="00AB6753" w:rsidP="00AB6753">
      <w:pPr>
        <w:pStyle w:val="PolicytextDept"/>
        <w:pBdr>
          <w:top w:val="single" w:sz="4" w:space="1" w:color="00B2BA"/>
          <w:left w:val="single" w:sz="4" w:space="0" w:color="00B2BA"/>
          <w:bottom w:val="single" w:sz="4" w:space="1" w:color="00B2BA"/>
          <w:right w:val="single" w:sz="4" w:space="12" w:color="00B2BA"/>
        </w:pBdr>
        <w:rPr>
          <w:i/>
          <w:u w:val="single"/>
        </w:rPr>
      </w:pPr>
      <w:r w:rsidRPr="00AC566B">
        <w:rPr>
          <w:i/>
          <w:u w:val="single"/>
        </w:rPr>
        <w:t>Effective Interest Method</w:t>
      </w:r>
    </w:p>
    <w:p w14:paraId="722B99A2" w14:textId="77777777" w:rsidR="00AB6753" w:rsidRPr="00AC566B" w:rsidRDefault="00AB6753" w:rsidP="00AB6753">
      <w:pPr>
        <w:pStyle w:val="PolicytextDept"/>
        <w:pBdr>
          <w:top w:val="single" w:sz="4" w:space="1" w:color="00B2BA"/>
          <w:left w:val="single" w:sz="4" w:space="0" w:color="00B2BA"/>
          <w:bottom w:val="single" w:sz="4" w:space="1" w:color="00B2BA"/>
          <w:right w:val="single" w:sz="4" w:space="12" w:color="00B2BA"/>
        </w:pBdr>
      </w:pPr>
      <w:r w:rsidRPr="00AC566B">
        <w:t>Income is recognised on an effective interest rate basis for financial assets that are recognised at amortised cost.</w:t>
      </w:r>
    </w:p>
    <w:p w14:paraId="0DB1C44E" w14:textId="77777777" w:rsidR="00AB6753" w:rsidRPr="00AC566B" w:rsidRDefault="00AB6753" w:rsidP="00AB6753">
      <w:pPr>
        <w:pStyle w:val="PolicytextDept"/>
        <w:pBdr>
          <w:top w:val="single" w:sz="4" w:space="1" w:color="00B2BA"/>
          <w:left w:val="single" w:sz="4" w:space="0" w:color="00B2BA"/>
          <w:bottom w:val="single" w:sz="4" w:space="1" w:color="00B2BA"/>
          <w:right w:val="single" w:sz="4" w:space="12" w:color="00B2BA"/>
        </w:pBdr>
        <w:rPr>
          <w:i/>
          <w:u w:val="single"/>
        </w:rPr>
      </w:pPr>
      <w:r w:rsidRPr="00AC566B">
        <w:rPr>
          <w:i/>
          <w:u w:val="single"/>
        </w:rPr>
        <w:t>Financial Assets at Fair Value Through Other Comprehensive Income (FVOCI)</w:t>
      </w:r>
    </w:p>
    <w:p w14:paraId="77C49FE7" w14:textId="77777777" w:rsidR="00AB6753" w:rsidRPr="00AC566B" w:rsidRDefault="00AB6753" w:rsidP="00AB6753">
      <w:pPr>
        <w:pStyle w:val="PolicytextDept"/>
        <w:pBdr>
          <w:top w:val="single" w:sz="4" w:space="1" w:color="00B2BA"/>
          <w:left w:val="single" w:sz="4" w:space="0" w:color="00B2BA"/>
          <w:bottom w:val="single" w:sz="4" w:space="1" w:color="00B2BA"/>
          <w:right w:val="single" w:sz="4" w:space="12" w:color="00B2BA"/>
        </w:pBdr>
      </w:pPr>
      <w:r w:rsidRPr="00AC566B">
        <w:t>Financial assets measured at fair value through other comprehensive income are held with the objective of both collecting contractual cash flows and selling the financial assets and the cash flows meet the SPPI test.</w:t>
      </w:r>
    </w:p>
    <w:p w14:paraId="4D374A44"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pPr>
      <w:r w:rsidRPr="00AC566B">
        <w:t>Any gains or losses as a result of fair value measurement or the recognition of an impairment loss allowance is recognised in other comprehensive income.</w:t>
      </w:r>
    </w:p>
    <w:p w14:paraId="5D28FB87" w14:textId="77777777" w:rsidR="00AB6753" w:rsidRPr="00AC566B" w:rsidRDefault="00AB6753" w:rsidP="00AB6753">
      <w:pPr>
        <w:pStyle w:val="PolicytextDept"/>
        <w:pBdr>
          <w:top w:val="single" w:sz="4" w:space="1" w:color="00B2BA"/>
          <w:left w:val="single" w:sz="4" w:space="0" w:color="00B2BA"/>
          <w:bottom w:val="single" w:sz="4" w:space="1" w:color="00B2BA"/>
          <w:right w:val="single" w:sz="4" w:space="12" w:color="00B2BA"/>
        </w:pBdr>
        <w:rPr>
          <w:i/>
          <w:u w:val="single"/>
        </w:rPr>
      </w:pPr>
      <w:r w:rsidRPr="00AC566B">
        <w:rPr>
          <w:i/>
          <w:u w:val="single"/>
        </w:rPr>
        <w:t>Financial Assets at Fair Value Through Profit or Loss (FVTPL)</w:t>
      </w:r>
    </w:p>
    <w:p w14:paraId="0846484E" w14:textId="77777777" w:rsidR="00AB6753" w:rsidRPr="00AC566B" w:rsidRDefault="00AB6753" w:rsidP="00AB6753">
      <w:pPr>
        <w:pStyle w:val="PolicytextDept"/>
        <w:pBdr>
          <w:top w:val="single" w:sz="4" w:space="1" w:color="00B2BA"/>
          <w:left w:val="single" w:sz="4" w:space="0" w:color="00B2BA"/>
          <w:bottom w:val="single" w:sz="4" w:space="1" w:color="00B2BA"/>
          <w:right w:val="single" w:sz="4" w:space="12" w:color="00B2BA"/>
        </w:pBdr>
      </w:pPr>
      <w:r w:rsidRPr="00AC566B">
        <w:t>Financial assets are classified as financial assets at fair value through profit or loss where the financial assets either does</w:t>
      </w:r>
      <w:r>
        <w:t xml:space="preserve"> </w:t>
      </w:r>
      <w:r w:rsidRPr="00AC566B">
        <w:t>n</w:t>
      </w:r>
      <w:r>
        <w:t>o</w:t>
      </w:r>
      <w:r w:rsidRPr="00AC566B">
        <w:t xml:space="preserve">t meet the criteria of financial assets held at amortised cost or at FVOCI (i.e. mandatorily held at FVTPL) or may be designated.  </w:t>
      </w:r>
    </w:p>
    <w:p w14:paraId="0B509F26" w14:textId="77777777" w:rsidR="00AB6753" w:rsidRPr="00AC566B" w:rsidRDefault="00AB6753" w:rsidP="00AB6753">
      <w:pPr>
        <w:pStyle w:val="PolicytextDept"/>
        <w:pBdr>
          <w:top w:val="single" w:sz="4" w:space="1" w:color="00B2BA"/>
          <w:left w:val="single" w:sz="4" w:space="0" w:color="00B2BA"/>
          <w:bottom w:val="single" w:sz="4" w:space="1" w:color="00B2BA"/>
          <w:right w:val="single" w:sz="4" w:space="12" w:color="00B2BA"/>
        </w:pBdr>
      </w:pPr>
      <w:r w:rsidRPr="00AC566B">
        <w:t>Financial assets at FVTPL are stated at fair value, with any resultant gain or loss</w:t>
      </w:r>
      <w:r>
        <w:t xml:space="preserve"> recognised in profit or loss. </w:t>
      </w:r>
      <w:r w:rsidRPr="00AC566B">
        <w:t xml:space="preserve">The net gain or loss recognised in profit or loss incorporates any interest earned on the financial asset. </w:t>
      </w:r>
    </w:p>
    <w:p w14:paraId="2EF61ADF" w14:textId="77777777" w:rsidR="00AB6753" w:rsidRDefault="00AB6753" w:rsidP="00AB6753">
      <w:pPr>
        <w:spacing w:line="240" w:lineRule="auto"/>
        <w:rPr>
          <w:rFonts w:cs="Arial"/>
          <w:b/>
          <w:sz w:val="20"/>
        </w:rPr>
      </w:pPr>
      <w:r>
        <w:br w:type="page"/>
      </w:r>
    </w:p>
    <w:p w14:paraId="32719AFB" w14:textId="77777777" w:rsidR="00AB6753" w:rsidRPr="00BB218B" w:rsidRDefault="00AB6753" w:rsidP="00AB6753">
      <w:pPr>
        <w:pStyle w:val="SubHeading"/>
        <w:numPr>
          <w:ilvl w:val="1"/>
          <w:numId w:val="57"/>
        </w:numPr>
        <w:ind w:left="454" w:hanging="454"/>
        <w:rPr>
          <w:sz w:val="20"/>
        </w:rPr>
      </w:pPr>
      <w:bookmarkStart w:id="237" w:name="_Toc45748828"/>
      <w:r w:rsidRPr="00BB218B">
        <w:rPr>
          <w:sz w:val="20"/>
        </w:rPr>
        <w:lastRenderedPageBreak/>
        <w:t>Financial Instruments (continued)</w:t>
      </w:r>
      <w:bookmarkEnd w:id="237"/>
    </w:p>
    <w:p w14:paraId="4B534AFA" w14:textId="77777777" w:rsidR="00AB6753" w:rsidRPr="005866FE" w:rsidRDefault="00AB6753" w:rsidP="00AB6753">
      <w:pPr>
        <w:pStyle w:val="PolicytextDept"/>
        <w:pBdr>
          <w:top w:val="single" w:sz="4" w:space="1" w:color="00B2BA"/>
          <w:left w:val="single" w:sz="4" w:space="0" w:color="00B2BA"/>
          <w:bottom w:val="single" w:sz="4" w:space="1" w:color="00B2BA"/>
          <w:right w:val="single" w:sz="4" w:space="12" w:color="00B2BA"/>
        </w:pBdr>
        <w:rPr>
          <w:i/>
          <w:u w:val="single"/>
        </w:rPr>
      </w:pPr>
      <w:r w:rsidRPr="005866FE">
        <w:rPr>
          <w:i/>
          <w:u w:val="single"/>
        </w:rPr>
        <w:t>Impairment of Financial Assets</w:t>
      </w:r>
    </w:p>
    <w:p w14:paraId="557030B6" w14:textId="77777777" w:rsidR="00AB6753" w:rsidRPr="005866FE" w:rsidRDefault="00AB6753" w:rsidP="00AB6753">
      <w:pPr>
        <w:pStyle w:val="PolicytextDept"/>
        <w:pBdr>
          <w:top w:val="single" w:sz="4" w:space="1" w:color="00B2BA"/>
          <w:left w:val="single" w:sz="4" w:space="0" w:color="00B2BA"/>
          <w:bottom w:val="single" w:sz="4" w:space="1" w:color="00B2BA"/>
          <w:right w:val="single" w:sz="4" w:space="12" w:color="00B2BA"/>
        </w:pBdr>
      </w:pPr>
      <w:r w:rsidRPr="005866FE">
        <w:t>Financial assets are assessed for impairment at the end of each reporting period based on expected credit losses, using the general approach which measures the loss allowance based on an amount equal to lifetime expected credit losses where risk has significantly increased, or an amount equal to 12</w:t>
      </w:r>
      <w:r w:rsidRPr="005866FE">
        <w:rPr>
          <w:rFonts w:ascii="Cambria Math" w:hAnsi="Cambria Math" w:cs="Cambria Math"/>
        </w:rPr>
        <w:t>‐</w:t>
      </w:r>
      <w:r w:rsidRPr="005866FE">
        <w:t>month expected credit losses if risk has not increased.</w:t>
      </w:r>
    </w:p>
    <w:p w14:paraId="4C09926E" w14:textId="77777777" w:rsidR="00AB6753" w:rsidRPr="005866FE" w:rsidRDefault="00AB6753" w:rsidP="00AB6753">
      <w:pPr>
        <w:pStyle w:val="PolicytextDept"/>
        <w:pBdr>
          <w:top w:val="single" w:sz="4" w:space="1" w:color="00B2BA"/>
          <w:left w:val="single" w:sz="4" w:space="0" w:color="00B2BA"/>
          <w:bottom w:val="single" w:sz="4" w:space="1" w:color="00B2BA"/>
          <w:right w:val="single" w:sz="4" w:space="12" w:color="00B2BA"/>
        </w:pBdr>
      </w:pPr>
      <w:r w:rsidRPr="005866FE">
        <w:t>The simplified approach for trade, contract and lease receivables is used. This approach always measures the loss allowance as the amount equal to the lifetime expected credit losses.</w:t>
      </w:r>
    </w:p>
    <w:p w14:paraId="26435769" w14:textId="77777777" w:rsidR="00AB6753" w:rsidRPr="005866FE" w:rsidRDefault="00AB6753" w:rsidP="00AB6753">
      <w:pPr>
        <w:pStyle w:val="PolicytextDept"/>
        <w:pBdr>
          <w:top w:val="single" w:sz="4" w:space="1" w:color="00B2BA"/>
          <w:left w:val="single" w:sz="4" w:space="0" w:color="00B2BA"/>
          <w:bottom w:val="single" w:sz="4" w:space="1" w:color="00B2BA"/>
          <w:right w:val="single" w:sz="4" w:space="12" w:color="00B2BA"/>
        </w:pBdr>
      </w:pPr>
      <w:r w:rsidRPr="005866FE">
        <w:t xml:space="preserve">An asset write-off constitutes a </w:t>
      </w:r>
      <w:proofErr w:type="spellStart"/>
      <w:r w:rsidRPr="005866FE">
        <w:t>derecognition</w:t>
      </w:r>
      <w:proofErr w:type="spellEnd"/>
      <w:r w:rsidRPr="005866FE">
        <w:t xml:space="preserve"> event where the write-off directly reduces the gross carrying amount of the financial asset.</w:t>
      </w:r>
    </w:p>
    <w:p w14:paraId="007D1BA2" w14:textId="77777777" w:rsidR="00AB6753" w:rsidRPr="005866FE" w:rsidRDefault="00AB6753" w:rsidP="00AB6753">
      <w:pPr>
        <w:pStyle w:val="PolicytextDept"/>
        <w:pBdr>
          <w:top w:val="single" w:sz="4" w:space="1" w:color="00B2BA"/>
          <w:left w:val="single" w:sz="4" w:space="0" w:color="00B2BA"/>
          <w:bottom w:val="single" w:sz="4" w:space="1" w:color="00B2BA"/>
          <w:right w:val="single" w:sz="4" w:space="12" w:color="00B2BA"/>
        </w:pBdr>
        <w:rPr>
          <w:i/>
          <w:u w:val="single"/>
        </w:rPr>
      </w:pPr>
      <w:r w:rsidRPr="005866FE">
        <w:rPr>
          <w:i/>
          <w:u w:val="single"/>
        </w:rPr>
        <w:t>Financial liabilities</w:t>
      </w:r>
    </w:p>
    <w:p w14:paraId="5A99CA13" w14:textId="77777777" w:rsidR="00AB6753" w:rsidRPr="005866FE" w:rsidRDefault="00AB6753" w:rsidP="00AB6753">
      <w:pPr>
        <w:pStyle w:val="PolicytextDept"/>
        <w:pBdr>
          <w:top w:val="single" w:sz="4" w:space="1" w:color="00B2BA"/>
          <w:left w:val="single" w:sz="4" w:space="0" w:color="00B2BA"/>
          <w:bottom w:val="single" w:sz="4" w:space="1" w:color="00B2BA"/>
          <w:right w:val="single" w:sz="4" w:space="12" w:color="00B2BA"/>
        </w:pBdr>
      </w:pPr>
      <w:r w:rsidRPr="005866FE">
        <w:t>Financial liabilities are classified as either financial liabilities ‘at fair value through profit or loss’ or other financial liabilities. Financial liabilities are recognised and derecognised upon ‘trade date’.</w:t>
      </w:r>
    </w:p>
    <w:p w14:paraId="58EA2BE5" w14:textId="77777777" w:rsidR="00AB6753" w:rsidRPr="005866FE" w:rsidRDefault="00AB6753" w:rsidP="00AB6753">
      <w:pPr>
        <w:pStyle w:val="PolicytextDept"/>
        <w:pBdr>
          <w:top w:val="single" w:sz="4" w:space="1" w:color="00B2BA"/>
          <w:left w:val="single" w:sz="4" w:space="0" w:color="00B2BA"/>
          <w:bottom w:val="single" w:sz="4" w:space="1" w:color="00B2BA"/>
          <w:right w:val="single" w:sz="4" w:space="12" w:color="00B2BA"/>
        </w:pBdr>
        <w:rPr>
          <w:i/>
          <w:u w:val="single"/>
        </w:rPr>
      </w:pPr>
      <w:r w:rsidRPr="005866FE">
        <w:rPr>
          <w:i/>
          <w:u w:val="single"/>
        </w:rPr>
        <w:t>Financial Liabilities at Fair Value Through Profit or Loss</w:t>
      </w:r>
    </w:p>
    <w:p w14:paraId="2AA2D233" w14:textId="77777777" w:rsidR="00AB6753" w:rsidRPr="005866FE" w:rsidRDefault="00AB6753" w:rsidP="00AB6753">
      <w:pPr>
        <w:pStyle w:val="PolicytextDept"/>
        <w:pBdr>
          <w:top w:val="single" w:sz="4" w:space="1" w:color="00B2BA"/>
          <w:left w:val="single" w:sz="4" w:space="0" w:color="00B2BA"/>
          <w:bottom w:val="single" w:sz="4" w:space="1" w:color="00B2BA"/>
          <w:right w:val="single" w:sz="4" w:space="12" w:color="00B2BA"/>
        </w:pBdr>
        <w:rPr>
          <w:bCs w:val="0"/>
        </w:rPr>
      </w:pPr>
      <w:r w:rsidRPr="005866FE">
        <w:t>Financial liabilities at fair value through profit or loss are initially measured at fair value. Subsequent fair value adjustments are recognised in profit or loss. The net gain or loss recognised in profit or loss incorporates any interest paid on the financial liability.</w:t>
      </w:r>
    </w:p>
    <w:p w14:paraId="4366B87B" w14:textId="77777777" w:rsidR="00AB6753" w:rsidRPr="005866FE" w:rsidRDefault="00AB6753" w:rsidP="00AB6753">
      <w:pPr>
        <w:pStyle w:val="PolicytextDept"/>
        <w:pBdr>
          <w:top w:val="single" w:sz="4" w:space="1" w:color="00B2BA"/>
          <w:left w:val="single" w:sz="4" w:space="0" w:color="00B2BA"/>
          <w:bottom w:val="single" w:sz="4" w:space="1" w:color="00B2BA"/>
          <w:right w:val="single" w:sz="4" w:space="12" w:color="00B2BA"/>
        </w:pBdr>
        <w:rPr>
          <w:i/>
          <w:u w:val="single"/>
        </w:rPr>
      </w:pPr>
      <w:r w:rsidRPr="005866FE">
        <w:rPr>
          <w:i/>
          <w:u w:val="single"/>
        </w:rPr>
        <w:t>Financial Liabilities at Amortised Cost</w:t>
      </w:r>
    </w:p>
    <w:p w14:paraId="56C02B3C" w14:textId="77777777" w:rsidR="00AB6753" w:rsidRPr="005866FE" w:rsidRDefault="00AB6753" w:rsidP="00AB6753">
      <w:pPr>
        <w:pStyle w:val="PolicytextDept"/>
        <w:pBdr>
          <w:top w:val="single" w:sz="4" w:space="1" w:color="00B2BA"/>
          <w:left w:val="single" w:sz="4" w:space="0" w:color="00B2BA"/>
          <w:bottom w:val="single" w:sz="4" w:space="1" w:color="00B2BA"/>
          <w:right w:val="single" w:sz="4" w:space="12" w:color="00B2BA"/>
        </w:pBdr>
      </w:pPr>
      <w:r w:rsidRPr="005866FE">
        <w:t>Financial liabilities, including borrowings, are initially measured at fair value, net of transaction costs. These liabilities are subsequently measured at amortised cost using the effective interest method, with interest expense recognised on an effective interest basis.</w:t>
      </w:r>
    </w:p>
    <w:p w14:paraId="254793DC" w14:textId="77777777" w:rsidR="00AB6753" w:rsidRDefault="00AB6753" w:rsidP="00AB6753">
      <w:pPr>
        <w:pStyle w:val="PolicytextDept"/>
        <w:pBdr>
          <w:top w:val="single" w:sz="4" w:space="1" w:color="00B2BA"/>
          <w:left w:val="single" w:sz="4" w:space="0" w:color="00B2BA"/>
          <w:bottom w:val="single" w:sz="4" w:space="1" w:color="00B2BA"/>
          <w:right w:val="single" w:sz="4" w:space="12" w:color="00B2BA"/>
        </w:pBdr>
        <w:rPr>
          <w:b/>
          <w:sz w:val="20"/>
        </w:rPr>
      </w:pPr>
      <w:r w:rsidRPr="005866FE">
        <w:t>Supplier and other payables are recognised at amortised cost. Liabilities are recognised to the extent that the goods or services have been received (and irrespective of having been invoiced).</w:t>
      </w:r>
      <w:bookmarkStart w:id="238" w:name="_Ref7620825"/>
      <w:bookmarkStart w:id="239" w:name="_Ref7620836"/>
      <w:r>
        <w:br w:type="page"/>
      </w:r>
    </w:p>
    <w:p w14:paraId="46002A73" w14:textId="77777777" w:rsidR="00AB6753" w:rsidRPr="00BB218B" w:rsidRDefault="00AB6753" w:rsidP="00AB6753">
      <w:pPr>
        <w:pStyle w:val="SubHeading"/>
        <w:numPr>
          <w:ilvl w:val="1"/>
          <w:numId w:val="57"/>
        </w:numPr>
        <w:shd w:val="clear" w:color="auto" w:fill="D9D9D9" w:themeFill="background1" w:themeFillShade="D9"/>
        <w:ind w:left="437" w:right="-11" w:hanging="454"/>
        <w:rPr>
          <w:sz w:val="20"/>
        </w:rPr>
      </w:pPr>
      <w:bookmarkStart w:id="240" w:name="_Toc45748829"/>
      <w:r w:rsidRPr="00BB218B">
        <w:rPr>
          <w:sz w:val="20"/>
        </w:rPr>
        <w:lastRenderedPageBreak/>
        <w:t>Administered – Financial Instruments</w:t>
      </w:r>
      <w:bookmarkEnd w:id="238"/>
      <w:bookmarkEnd w:id="239"/>
      <w:bookmarkEnd w:id="240"/>
    </w:p>
    <w:tbl>
      <w:tblPr>
        <w:tblW w:w="9498" w:type="dxa"/>
        <w:tblLayout w:type="fixed"/>
        <w:tblLook w:val="04A0" w:firstRow="1" w:lastRow="0" w:firstColumn="1" w:lastColumn="0" w:noHBand="0" w:noVBand="1"/>
        <w:tblCaption w:val="Notes to and forming part of the financial statements"/>
        <w:tblDescription w:val="Administered - financial instruments"/>
      </w:tblPr>
      <w:tblGrid>
        <w:gridCol w:w="6982"/>
        <w:gridCol w:w="1078"/>
        <w:gridCol w:w="273"/>
        <w:gridCol w:w="1165"/>
      </w:tblGrid>
      <w:tr w:rsidR="00AB6753" w14:paraId="687DCA66" w14:textId="77777777" w:rsidTr="002D1EA4">
        <w:trPr>
          <w:trHeight w:val="255"/>
        </w:trPr>
        <w:tc>
          <w:tcPr>
            <w:tcW w:w="6982" w:type="dxa"/>
            <w:tcBorders>
              <w:top w:val="nil"/>
              <w:left w:val="nil"/>
              <w:bottom w:val="nil"/>
              <w:right w:val="nil"/>
            </w:tcBorders>
            <w:shd w:val="clear" w:color="000000" w:fill="D9D9D9"/>
            <w:noWrap/>
            <w:vAlign w:val="bottom"/>
            <w:hideMark/>
          </w:tcPr>
          <w:p w14:paraId="0F695B37" w14:textId="77777777" w:rsidR="00AB6753" w:rsidRDefault="00AB6753" w:rsidP="002D1EA4">
            <w:pPr>
              <w:spacing w:after="0"/>
              <w:rPr>
                <w:rFonts w:cs="Arial"/>
                <w:sz w:val="16"/>
                <w:szCs w:val="16"/>
              </w:rPr>
            </w:pPr>
            <w:bookmarkStart w:id="241" w:name="Note_AFATABLE1" w:colFirst="0" w:colLast="0"/>
            <w:r>
              <w:rPr>
                <w:rFonts w:cs="Arial"/>
                <w:sz w:val="16"/>
                <w:szCs w:val="16"/>
              </w:rPr>
              <w:t> </w:t>
            </w:r>
          </w:p>
        </w:tc>
        <w:tc>
          <w:tcPr>
            <w:tcW w:w="1078" w:type="dxa"/>
            <w:tcBorders>
              <w:top w:val="nil"/>
              <w:left w:val="nil"/>
              <w:bottom w:val="nil"/>
              <w:right w:val="nil"/>
            </w:tcBorders>
            <w:shd w:val="clear" w:color="000000" w:fill="D9D9D9"/>
            <w:noWrap/>
            <w:vAlign w:val="bottom"/>
            <w:hideMark/>
          </w:tcPr>
          <w:p w14:paraId="57DD13DD" w14:textId="77777777" w:rsidR="00AB6753" w:rsidRDefault="00AB6753" w:rsidP="002D1EA4">
            <w:pPr>
              <w:spacing w:after="0"/>
              <w:jc w:val="right"/>
              <w:rPr>
                <w:rFonts w:cs="Arial"/>
                <w:b/>
                <w:bCs/>
                <w:sz w:val="18"/>
                <w:szCs w:val="18"/>
              </w:rPr>
            </w:pPr>
            <w:r>
              <w:rPr>
                <w:rFonts w:cs="Arial"/>
                <w:b/>
                <w:bCs/>
                <w:sz w:val="18"/>
                <w:szCs w:val="18"/>
              </w:rPr>
              <w:t>2020</w:t>
            </w:r>
          </w:p>
        </w:tc>
        <w:tc>
          <w:tcPr>
            <w:tcW w:w="273" w:type="dxa"/>
            <w:tcBorders>
              <w:top w:val="nil"/>
              <w:left w:val="nil"/>
              <w:bottom w:val="nil"/>
              <w:right w:val="nil"/>
            </w:tcBorders>
            <w:shd w:val="clear" w:color="000000" w:fill="D9D9D9"/>
            <w:noWrap/>
            <w:vAlign w:val="bottom"/>
            <w:hideMark/>
          </w:tcPr>
          <w:p w14:paraId="574FD8AE"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2D386B6C" w14:textId="77777777" w:rsidR="00AB6753" w:rsidRDefault="00AB6753" w:rsidP="002D1EA4">
            <w:pPr>
              <w:spacing w:after="0"/>
              <w:jc w:val="right"/>
              <w:rPr>
                <w:rFonts w:cs="Arial"/>
                <w:sz w:val="18"/>
                <w:szCs w:val="18"/>
              </w:rPr>
            </w:pPr>
            <w:r>
              <w:rPr>
                <w:rFonts w:cs="Arial"/>
                <w:sz w:val="18"/>
                <w:szCs w:val="18"/>
              </w:rPr>
              <w:t>2019</w:t>
            </w:r>
          </w:p>
        </w:tc>
      </w:tr>
      <w:bookmarkEnd w:id="241"/>
      <w:tr w:rsidR="00AB6753" w14:paraId="221443A5" w14:textId="77777777" w:rsidTr="002D1EA4">
        <w:trPr>
          <w:trHeight w:val="255"/>
        </w:trPr>
        <w:tc>
          <w:tcPr>
            <w:tcW w:w="6982" w:type="dxa"/>
            <w:tcBorders>
              <w:top w:val="nil"/>
              <w:left w:val="nil"/>
              <w:bottom w:val="nil"/>
              <w:right w:val="nil"/>
            </w:tcBorders>
            <w:shd w:val="clear" w:color="000000" w:fill="D9D9D9"/>
            <w:noWrap/>
            <w:vAlign w:val="bottom"/>
            <w:hideMark/>
          </w:tcPr>
          <w:p w14:paraId="3CCAA5CA" w14:textId="77777777" w:rsidR="00AB6753" w:rsidRDefault="00AB6753" w:rsidP="002D1EA4">
            <w:pPr>
              <w:spacing w:after="0"/>
              <w:rPr>
                <w:rFonts w:cs="Arial"/>
                <w:sz w:val="16"/>
                <w:szCs w:val="16"/>
              </w:rPr>
            </w:pPr>
            <w:r>
              <w:rPr>
                <w:rFonts w:cs="Arial"/>
                <w:sz w:val="16"/>
                <w:szCs w:val="16"/>
              </w:rPr>
              <w:t> </w:t>
            </w:r>
          </w:p>
        </w:tc>
        <w:tc>
          <w:tcPr>
            <w:tcW w:w="1078" w:type="dxa"/>
            <w:tcBorders>
              <w:top w:val="nil"/>
              <w:left w:val="nil"/>
              <w:bottom w:val="nil"/>
              <w:right w:val="nil"/>
            </w:tcBorders>
            <w:shd w:val="clear" w:color="000000" w:fill="D9D9D9"/>
            <w:noWrap/>
            <w:vAlign w:val="bottom"/>
            <w:hideMark/>
          </w:tcPr>
          <w:p w14:paraId="4546FE17" w14:textId="77777777" w:rsidR="00AB6753" w:rsidRDefault="00AB6753" w:rsidP="002D1EA4">
            <w:pPr>
              <w:spacing w:after="0"/>
              <w:jc w:val="right"/>
              <w:rPr>
                <w:rFonts w:cs="Arial"/>
                <w:b/>
                <w:bCs/>
                <w:sz w:val="18"/>
                <w:szCs w:val="18"/>
              </w:rPr>
            </w:pPr>
            <w:r>
              <w:rPr>
                <w:rFonts w:cs="Arial"/>
                <w:b/>
                <w:bCs/>
                <w:sz w:val="18"/>
                <w:szCs w:val="18"/>
              </w:rPr>
              <w:t>$'000</w:t>
            </w:r>
          </w:p>
        </w:tc>
        <w:tc>
          <w:tcPr>
            <w:tcW w:w="273" w:type="dxa"/>
            <w:tcBorders>
              <w:top w:val="nil"/>
              <w:left w:val="nil"/>
              <w:bottom w:val="nil"/>
              <w:right w:val="nil"/>
            </w:tcBorders>
            <w:shd w:val="clear" w:color="000000" w:fill="D9D9D9"/>
            <w:noWrap/>
            <w:vAlign w:val="bottom"/>
            <w:hideMark/>
          </w:tcPr>
          <w:p w14:paraId="4F8E8BAD"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2A914517" w14:textId="77777777" w:rsidR="00AB6753" w:rsidRDefault="00AB6753" w:rsidP="002D1EA4">
            <w:pPr>
              <w:spacing w:after="0"/>
              <w:jc w:val="right"/>
              <w:rPr>
                <w:rFonts w:cs="Arial"/>
                <w:sz w:val="18"/>
                <w:szCs w:val="18"/>
              </w:rPr>
            </w:pPr>
            <w:r>
              <w:rPr>
                <w:rFonts w:cs="Arial"/>
                <w:sz w:val="18"/>
                <w:szCs w:val="18"/>
              </w:rPr>
              <w:t>$'000</w:t>
            </w:r>
          </w:p>
        </w:tc>
      </w:tr>
      <w:tr w:rsidR="00AB6753" w14:paraId="786BD532" w14:textId="77777777" w:rsidTr="002D1EA4">
        <w:trPr>
          <w:trHeight w:val="255"/>
        </w:trPr>
        <w:tc>
          <w:tcPr>
            <w:tcW w:w="6982" w:type="dxa"/>
            <w:tcBorders>
              <w:top w:val="nil"/>
              <w:left w:val="nil"/>
              <w:bottom w:val="nil"/>
              <w:right w:val="nil"/>
            </w:tcBorders>
            <w:shd w:val="clear" w:color="000000" w:fill="D9D9D9"/>
            <w:noWrap/>
            <w:vAlign w:val="bottom"/>
            <w:hideMark/>
          </w:tcPr>
          <w:p w14:paraId="7E73E4EF" w14:textId="77777777" w:rsidR="00AB6753" w:rsidRDefault="00AB6753" w:rsidP="002D1EA4">
            <w:pPr>
              <w:spacing w:after="0"/>
              <w:rPr>
                <w:rFonts w:cs="Arial"/>
                <w:sz w:val="16"/>
                <w:szCs w:val="16"/>
              </w:rPr>
            </w:pPr>
            <w:r>
              <w:rPr>
                <w:rFonts w:cs="Arial"/>
                <w:sz w:val="16"/>
                <w:szCs w:val="16"/>
              </w:rPr>
              <w:t> </w:t>
            </w:r>
          </w:p>
        </w:tc>
        <w:tc>
          <w:tcPr>
            <w:tcW w:w="1078" w:type="dxa"/>
            <w:tcBorders>
              <w:top w:val="nil"/>
              <w:left w:val="nil"/>
              <w:bottom w:val="nil"/>
              <w:right w:val="nil"/>
            </w:tcBorders>
            <w:shd w:val="clear" w:color="000000" w:fill="D9D9D9"/>
            <w:noWrap/>
            <w:vAlign w:val="bottom"/>
            <w:hideMark/>
          </w:tcPr>
          <w:p w14:paraId="3F22966A" w14:textId="77777777" w:rsidR="00AB6753" w:rsidRDefault="00AB6753" w:rsidP="002D1EA4">
            <w:pPr>
              <w:spacing w:after="0"/>
              <w:jc w:val="right"/>
              <w:rPr>
                <w:rFonts w:cs="Arial"/>
                <w:b/>
                <w:bCs/>
                <w:sz w:val="18"/>
                <w:szCs w:val="18"/>
              </w:rPr>
            </w:pPr>
            <w:r>
              <w:rPr>
                <w:rFonts w:cs="Arial"/>
                <w:b/>
                <w:bCs/>
                <w:sz w:val="18"/>
                <w:szCs w:val="18"/>
              </w:rPr>
              <w:t> </w:t>
            </w:r>
          </w:p>
        </w:tc>
        <w:tc>
          <w:tcPr>
            <w:tcW w:w="273" w:type="dxa"/>
            <w:tcBorders>
              <w:top w:val="nil"/>
              <w:left w:val="nil"/>
              <w:bottom w:val="nil"/>
              <w:right w:val="nil"/>
            </w:tcBorders>
            <w:shd w:val="clear" w:color="000000" w:fill="D9D9D9"/>
            <w:noWrap/>
            <w:vAlign w:val="bottom"/>
            <w:hideMark/>
          </w:tcPr>
          <w:p w14:paraId="2CF1486F"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3F74A1B1" w14:textId="77777777" w:rsidR="00AB6753" w:rsidRDefault="00AB6753" w:rsidP="002D1EA4">
            <w:pPr>
              <w:spacing w:after="0"/>
              <w:jc w:val="right"/>
              <w:rPr>
                <w:rFonts w:cs="Arial"/>
                <w:sz w:val="18"/>
                <w:szCs w:val="18"/>
              </w:rPr>
            </w:pPr>
            <w:r>
              <w:rPr>
                <w:rFonts w:cs="Arial"/>
                <w:sz w:val="18"/>
                <w:szCs w:val="18"/>
              </w:rPr>
              <w:t> </w:t>
            </w:r>
          </w:p>
        </w:tc>
      </w:tr>
      <w:tr w:rsidR="00AB6753" w14:paraId="07BE6B41" w14:textId="77777777" w:rsidTr="002D1EA4">
        <w:trPr>
          <w:trHeight w:val="255"/>
        </w:trPr>
        <w:tc>
          <w:tcPr>
            <w:tcW w:w="6982" w:type="dxa"/>
            <w:tcBorders>
              <w:top w:val="nil"/>
              <w:left w:val="nil"/>
              <w:bottom w:val="nil"/>
              <w:right w:val="nil"/>
            </w:tcBorders>
            <w:shd w:val="clear" w:color="000000" w:fill="D9D9D9"/>
            <w:noWrap/>
            <w:hideMark/>
          </w:tcPr>
          <w:p w14:paraId="5BDECD75" w14:textId="77777777" w:rsidR="00AB6753" w:rsidRDefault="00AB6753" w:rsidP="002D1EA4">
            <w:pPr>
              <w:spacing w:after="0"/>
              <w:rPr>
                <w:rFonts w:cs="Arial"/>
                <w:b/>
                <w:bCs/>
                <w:sz w:val="18"/>
                <w:szCs w:val="18"/>
                <w:u w:val="single"/>
              </w:rPr>
            </w:pPr>
            <w:r>
              <w:rPr>
                <w:rFonts w:cs="Arial"/>
                <w:b/>
                <w:bCs/>
                <w:sz w:val="18"/>
                <w:szCs w:val="18"/>
                <w:u w:val="single"/>
              </w:rPr>
              <w:t>Note 7.3A: Categories of Financial Instruments</w:t>
            </w:r>
          </w:p>
        </w:tc>
        <w:tc>
          <w:tcPr>
            <w:tcW w:w="1078" w:type="dxa"/>
            <w:tcBorders>
              <w:top w:val="nil"/>
              <w:left w:val="nil"/>
              <w:bottom w:val="nil"/>
              <w:right w:val="nil"/>
            </w:tcBorders>
            <w:shd w:val="clear" w:color="000000" w:fill="D9D9D9"/>
            <w:noWrap/>
            <w:vAlign w:val="bottom"/>
            <w:hideMark/>
          </w:tcPr>
          <w:p w14:paraId="0D7CE9BC" w14:textId="77777777" w:rsidR="00AB6753" w:rsidRDefault="00AB6753" w:rsidP="002D1EA4">
            <w:pPr>
              <w:spacing w:after="0"/>
              <w:rPr>
                <w:rFonts w:cs="Arial"/>
                <w:b/>
                <w:bCs/>
                <w:sz w:val="16"/>
                <w:szCs w:val="16"/>
              </w:rPr>
            </w:pPr>
            <w:r>
              <w:rPr>
                <w:rFonts w:cs="Arial"/>
                <w:b/>
                <w:bCs/>
                <w:sz w:val="16"/>
                <w:szCs w:val="16"/>
              </w:rPr>
              <w:t> </w:t>
            </w:r>
          </w:p>
        </w:tc>
        <w:tc>
          <w:tcPr>
            <w:tcW w:w="273" w:type="dxa"/>
            <w:tcBorders>
              <w:top w:val="nil"/>
              <w:left w:val="nil"/>
              <w:bottom w:val="nil"/>
              <w:right w:val="nil"/>
            </w:tcBorders>
            <w:shd w:val="clear" w:color="000000" w:fill="D9D9D9"/>
            <w:noWrap/>
            <w:vAlign w:val="bottom"/>
            <w:hideMark/>
          </w:tcPr>
          <w:p w14:paraId="0C1F77D0"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2E4427FA" w14:textId="77777777" w:rsidR="00AB6753" w:rsidRDefault="00AB6753" w:rsidP="002D1EA4">
            <w:pPr>
              <w:spacing w:after="0"/>
              <w:rPr>
                <w:rFonts w:cs="Arial"/>
                <w:sz w:val="16"/>
                <w:szCs w:val="16"/>
              </w:rPr>
            </w:pPr>
            <w:r>
              <w:rPr>
                <w:rFonts w:cs="Arial"/>
                <w:sz w:val="16"/>
                <w:szCs w:val="16"/>
              </w:rPr>
              <w:t> </w:t>
            </w:r>
          </w:p>
        </w:tc>
      </w:tr>
      <w:tr w:rsidR="00AB6753" w14:paraId="71E74FF3" w14:textId="77777777" w:rsidTr="002D1EA4">
        <w:trPr>
          <w:trHeight w:val="255"/>
        </w:trPr>
        <w:tc>
          <w:tcPr>
            <w:tcW w:w="6982" w:type="dxa"/>
            <w:tcBorders>
              <w:top w:val="nil"/>
              <w:left w:val="nil"/>
              <w:bottom w:val="nil"/>
              <w:right w:val="nil"/>
            </w:tcBorders>
            <w:shd w:val="clear" w:color="000000" w:fill="D9D9D9"/>
            <w:vAlign w:val="bottom"/>
            <w:hideMark/>
          </w:tcPr>
          <w:p w14:paraId="2F255064" w14:textId="77777777" w:rsidR="00AB6753" w:rsidRDefault="00AB6753" w:rsidP="002D1EA4">
            <w:pPr>
              <w:spacing w:after="0"/>
              <w:rPr>
                <w:rFonts w:cs="Arial"/>
                <w:b/>
                <w:bCs/>
                <w:sz w:val="18"/>
                <w:szCs w:val="18"/>
              </w:rPr>
            </w:pPr>
            <w:r>
              <w:rPr>
                <w:rFonts w:cs="Arial"/>
                <w:b/>
                <w:bCs/>
                <w:sz w:val="18"/>
                <w:szCs w:val="18"/>
              </w:rPr>
              <w:t>Financial Assets</w:t>
            </w:r>
          </w:p>
        </w:tc>
        <w:tc>
          <w:tcPr>
            <w:tcW w:w="1078" w:type="dxa"/>
            <w:tcBorders>
              <w:top w:val="nil"/>
              <w:left w:val="nil"/>
              <w:bottom w:val="nil"/>
              <w:right w:val="nil"/>
            </w:tcBorders>
            <w:shd w:val="clear" w:color="000000" w:fill="D9D9D9"/>
            <w:noWrap/>
            <w:vAlign w:val="bottom"/>
            <w:hideMark/>
          </w:tcPr>
          <w:p w14:paraId="4589D383" w14:textId="77777777" w:rsidR="00AB6753" w:rsidRDefault="00AB6753" w:rsidP="002D1EA4">
            <w:pPr>
              <w:spacing w:after="0"/>
              <w:rPr>
                <w:rFonts w:cs="Arial"/>
                <w:b/>
                <w:bCs/>
                <w:sz w:val="16"/>
                <w:szCs w:val="16"/>
              </w:rPr>
            </w:pPr>
            <w:r>
              <w:rPr>
                <w:rFonts w:cs="Arial"/>
                <w:b/>
                <w:bCs/>
                <w:sz w:val="16"/>
                <w:szCs w:val="16"/>
              </w:rPr>
              <w:t> </w:t>
            </w:r>
          </w:p>
        </w:tc>
        <w:tc>
          <w:tcPr>
            <w:tcW w:w="273" w:type="dxa"/>
            <w:tcBorders>
              <w:top w:val="nil"/>
              <w:left w:val="nil"/>
              <w:bottom w:val="nil"/>
              <w:right w:val="nil"/>
            </w:tcBorders>
            <w:shd w:val="clear" w:color="000000" w:fill="D9D9D9"/>
            <w:noWrap/>
            <w:vAlign w:val="bottom"/>
            <w:hideMark/>
          </w:tcPr>
          <w:p w14:paraId="5384117F"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0CA004DD" w14:textId="77777777" w:rsidR="00AB6753" w:rsidRDefault="00AB6753" w:rsidP="002D1EA4">
            <w:pPr>
              <w:spacing w:after="0"/>
              <w:rPr>
                <w:rFonts w:cs="Arial"/>
                <w:sz w:val="18"/>
                <w:szCs w:val="18"/>
              </w:rPr>
            </w:pPr>
            <w:r>
              <w:rPr>
                <w:rFonts w:cs="Arial"/>
                <w:sz w:val="18"/>
                <w:szCs w:val="18"/>
              </w:rPr>
              <w:t> </w:t>
            </w:r>
          </w:p>
        </w:tc>
      </w:tr>
      <w:tr w:rsidR="00AB6753" w14:paraId="122EA9F5" w14:textId="77777777" w:rsidTr="002D1EA4">
        <w:trPr>
          <w:trHeight w:val="255"/>
        </w:trPr>
        <w:tc>
          <w:tcPr>
            <w:tcW w:w="6982" w:type="dxa"/>
            <w:tcBorders>
              <w:top w:val="nil"/>
              <w:left w:val="nil"/>
              <w:bottom w:val="nil"/>
              <w:right w:val="nil"/>
            </w:tcBorders>
            <w:shd w:val="clear" w:color="000000" w:fill="D9D9D9"/>
            <w:vAlign w:val="bottom"/>
            <w:hideMark/>
          </w:tcPr>
          <w:p w14:paraId="51F309EC" w14:textId="77777777" w:rsidR="00AB6753" w:rsidRDefault="00AB6753" w:rsidP="002D1EA4">
            <w:pPr>
              <w:spacing w:after="0"/>
              <w:rPr>
                <w:rFonts w:cs="Arial"/>
                <w:b/>
                <w:bCs/>
                <w:sz w:val="18"/>
                <w:szCs w:val="18"/>
              </w:rPr>
            </w:pPr>
            <w:r>
              <w:rPr>
                <w:rFonts w:cs="Arial"/>
                <w:b/>
                <w:bCs/>
                <w:sz w:val="18"/>
                <w:szCs w:val="18"/>
              </w:rPr>
              <w:t>Financial assets at amortised cost</w:t>
            </w:r>
          </w:p>
        </w:tc>
        <w:tc>
          <w:tcPr>
            <w:tcW w:w="1078" w:type="dxa"/>
            <w:tcBorders>
              <w:top w:val="nil"/>
              <w:left w:val="nil"/>
              <w:bottom w:val="nil"/>
              <w:right w:val="nil"/>
            </w:tcBorders>
            <w:shd w:val="clear" w:color="000000" w:fill="D9D9D9"/>
            <w:noWrap/>
            <w:vAlign w:val="bottom"/>
            <w:hideMark/>
          </w:tcPr>
          <w:p w14:paraId="73D08B42" w14:textId="77777777" w:rsidR="00AB6753" w:rsidRDefault="00AB6753" w:rsidP="002D1EA4">
            <w:pPr>
              <w:spacing w:after="0"/>
              <w:rPr>
                <w:rFonts w:cs="Arial"/>
                <w:b/>
                <w:bCs/>
                <w:sz w:val="16"/>
                <w:szCs w:val="16"/>
              </w:rPr>
            </w:pPr>
            <w:r>
              <w:rPr>
                <w:rFonts w:cs="Arial"/>
                <w:b/>
                <w:bCs/>
                <w:sz w:val="16"/>
                <w:szCs w:val="16"/>
              </w:rPr>
              <w:t> </w:t>
            </w:r>
          </w:p>
        </w:tc>
        <w:tc>
          <w:tcPr>
            <w:tcW w:w="273" w:type="dxa"/>
            <w:tcBorders>
              <w:top w:val="nil"/>
              <w:left w:val="nil"/>
              <w:bottom w:val="nil"/>
              <w:right w:val="nil"/>
            </w:tcBorders>
            <w:shd w:val="clear" w:color="000000" w:fill="D9D9D9"/>
            <w:noWrap/>
            <w:vAlign w:val="bottom"/>
            <w:hideMark/>
          </w:tcPr>
          <w:p w14:paraId="227B4BBA"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6F14F602" w14:textId="77777777" w:rsidR="00AB6753" w:rsidRDefault="00AB6753" w:rsidP="002D1EA4">
            <w:pPr>
              <w:spacing w:after="0"/>
              <w:rPr>
                <w:rFonts w:cs="Arial"/>
                <w:sz w:val="18"/>
                <w:szCs w:val="18"/>
              </w:rPr>
            </w:pPr>
            <w:r>
              <w:rPr>
                <w:rFonts w:cs="Arial"/>
                <w:sz w:val="18"/>
                <w:szCs w:val="18"/>
              </w:rPr>
              <w:t> </w:t>
            </w:r>
          </w:p>
        </w:tc>
      </w:tr>
      <w:tr w:rsidR="00AB6753" w14:paraId="73EB444B" w14:textId="77777777" w:rsidTr="002D1EA4">
        <w:trPr>
          <w:trHeight w:val="267"/>
        </w:trPr>
        <w:tc>
          <w:tcPr>
            <w:tcW w:w="6982" w:type="dxa"/>
            <w:tcBorders>
              <w:top w:val="nil"/>
              <w:left w:val="nil"/>
              <w:bottom w:val="nil"/>
              <w:right w:val="nil"/>
            </w:tcBorders>
            <w:shd w:val="clear" w:color="000000" w:fill="D9D9D9"/>
            <w:noWrap/>
            <w:vAlign w:val="bottom"/>
            <w:hideMark/>
          </w:tcPr>
          <w:p w14:paraId="233ADFF7" w14:textId="77777777" w:rsidR="00AB6753" w:rsidRDefault="00AB6753" w:rsidP="002D1EA4">
            <w:pPr>
              <w:spacing w:after="0"/>
              <w:ind w:firstLineChars="100" w:firstLine="180"/>
              <w:rPr>
                <w:rFonts w:cs="Arial"/>
                <w:sz w:val="18"/>
                <w:szCs w:val="18"/>
              </w:rPr>
            </w:pPr>
            <w:r>
              <w:rPr>
                <w:rFonts w:cs="Arial"/>
                <w:sz w:val="18"/>
                <w:szCs w:val="18"/>
              </w:rPr>
              <w:t>Cash and cash equivalents</w:t>
            </w:r>
          </w:p>
        </w:tc>
        <w:tc>
          <w:tcPr>
            <w:tcW w:w="1078" w:type="dxa"/>
            <w:tcBorders>
              <w:top w:val="nil"/>
              <w:left w:val="nil"/>
              <w:bottom w:val="nil"/>
              <w:right w:val="nil"/>
            </w:tcBorders>
            <w:shd w:val="clear" w:color="000000" w:fill="D9D9D9"/>
            <w:noWrap/>
            <w:vAlign w:val="bottom"/>
            <w:hideMark/>
          </w:tcPr>
          <w:p w14:paraId="24AED6E8" w14:textId="77777777" w:rsidR="00AB6753" w:rsidRDefault="00AB6753" w:rsidP="002D1EA4">
            <w:pPr>
              <w:spacing w:after="0"/>
              <w:jc w:val="right"/>
              <w:rPr>
                <w:rFonts w:cs="Arial"/>
                <w:b/>
                <w:bCs/>
                <w:sz w:val="18"/>
                <w:szCs w:val="18"/>
              </w:rPr>
            </w:pPr>
            <w:r>
              <w:rPr>
                <w:rFonts w:cs="Arial"/>
                <w:b/>
                <w:bCs/>
                <w:sz w:val="18"/>
                <w:szCs w:val="18"/>
              </w:rPr>
              <w:t>518,528</w:t>
            </w:r>
          </w:p>
        </w:tc>
        <w:tc>
          <w:tcPr>
            <w:tcW w:w="273" w:type="dxa"/>
            <w:tcBorders>
              <w:top w:val="nil"/>
              <w:left w:val="nil"/>
              <w:bottom w:val="nil"/>
              <w:right w:val="nil"/>
            </w:tcBorders>
            <w:shd w:val="clear" w:color="000000" w:fill="D9D9D9"/>
            <w:noWrap/>
            <w:vAlign w:val="bottom"/>
            <w:hideMark/>
          </w:tcPr>
          <w:p w14:paraId="62774364"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14614D9D" w14:textId="77777777" w:rsidR="00AB6753" w:rsidRDefault="00AB6753" w:rsidP="002D1EA4">
            <w:pPr>
              <w:spacing w:after="0"/>
              <w:jc w:val="right"/>
              <w:rPr>
                <w:rFonts w:cs="Arial"/>
                <w:sz w:val="18"/>
                <w:szCs w:val="18"/>
              </w:rPr>
            </w:pPr>
            <w:r>
              <w:rPr>
                <w:rFonts w:cs="Arial"/>
                <w:sz w:val="18"/>
                <w:szCs w:val="18"/>
              </w:rPr>
              <w:t>412,483</w:t>
            </w:r>
          </w:p>
        </w:tc>
      </w:tr>
      <w:tr w:rsidR="00AB6753" w14:paraId="0E11C47A" w14:textId="77777777" w:rsidTr="002D1EA4">
        <w:trPr>
          <w:trHeight w:val="267"/>
        </w:trPr>
        <w:tc>
          <w:tcPr>
            <w:tcW w:w="6982" w:type="dxa"/>
            <w:tcBorders>
              <w:top w:val="nil"/>
              <w:left w:val="nil"/>
              <w:bottom w:val="nil"/>
              <w:right w:val="nil"/>
            </w:tcBorders>
            <w:shd w:val="clear" w:color="000000" w:fill="D9D9D9"/>
            <w:noWrap/>
            <w:vAlign w:val="bottom"/>
            <w:hideMark/>
          </w:tcPr>
          <w:p w14:paraId="23A7DD4B" w14:textId="77777777" w:rsidR="00AB6753" w:rsidRDefault="00AB6753" w:rsidP="002D1EA4">
            <w:pPr>
              <w:spacing w:after="0"/>
              <w:ind w:firstLineChars="100" w:firstLine="180"/>
              <w:rPr>
                <w:rFonts w:cs="Arial"/>
                <w:sz w:val="18"/>
                <w:szCs w:val="18"/>
              </w:rPr>
            </w:pPr>
            <w:r>
              <w:rPr>
                <w:rFonts w:cs="Arial"/>
                <w:sz w:val="18"/>
                <w:szCs w:val="18"/>
              </w:rPr>
              <w:t>Other receivables</w:t>
            </w:r>
          </w:p>
        </w:tc>
        <w:tc>
          <w:tcPr>
            <w:tcW w:w="1078" w:type="dxa"/>
            <w:tcBorders>
              <w:top w:val="nil"/>
              <w:left w:val="nil"/>
              <w:bottom w:val="nil"/>
              <w:right w:val="nil"/>
            </w:tcBorders>
            <w:shd w:val="clear" w:color="000000" w:fill="D9D9D9"/>
            <w:noWrap/>
            <w:vAlign w:val="bottom"/>
            <w:hideMark/>
          </w:tcPr>
          <w:p w14:paraId="79E15D62" w14:textId="77777777" w:rsidR="00AB6753" w:rsidRDefault="00AB6753" w:rsidP="002D1EA4">
            <w:pPr>
              <w:spacing w:after="0"/>
              <w:jc w:val="right"/>
              <w:rPr>
                <w:rFonts w:cs="Arial"/>
                <w:b/>
                <w:bCs/>
                <w:sz w:val="18"/>
                <w:szCs w:val="18"/>
              </w:rPr>
            </w:pPr>
            <w:r>
              <w:rPr>
                <w:rFonts w:cs="Arial"/>
                <w:b/>
                <w:bCs/>
                <w:sz w:val="18"/>
                <w:szCs w:val="18"/>
              </w:rPr>
              <w:t>8,744</w:t>
            </w:r>
          </w:p>
        </w:tc>
        <w:tc>
          <w:tcPr>
            <w:tcW w:w="273" w:type="dxa"/>
            <w:tcBorders>
              <w:top w:val="nil"/>
              <w:left w:val="nil"/>
              <w:bottom w:val="nil"/>
              <w:right w:val="nil"/>
            </w:tcBorders>
            <w:shd w:val="clear" w:color="000000" w:fill="D9D9D9"/>
            <w:noWrap/>
            <w:vAlign w:val="bottom"/>
            <w:hideMark/>
          </w:tcPr>
          <w:p w14:paraId="55C88252"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083C583D" w14:textId="77777777" w:rsidR="00AB6753" w:rsidRDefault="00AB6753" w:rsidP="002D1EA4">
            <w:pPr>
              <w:spacing w:after="0"/>
              <w:jc w:val="right"/>
              <w:rPr>
                <w:rFonts w:cs="Arial"/>
                <w:sz w:val="18"/>
                <w:szCs w:val="18"/>
              </w:rPr>
            </w:pPr>
            <w:r>
              <w:rPr>
                <w:rFonts w:cs="Arial"/>
                <w:sz w:val="18"/>
                <w:szCs w:val="18"/>
              </w:rPr>
              <w:t>24,021</w:t>
            </w:r>
          </w:p>
        </w:tc>
      </w:tr>
      <w:tr w:rsidR="00AB6753" w14:paraId="589CD1B8" w14:textId="77777777" w:rsidTr="002D1EA4">
        <w:trPr>
          <w:trHeight w:val="312"/>
        </w:trPr>
        <w:tc>
          <w:tcPr>
            <w:tcW w:w="6982" w:type="dxa"/>
            <w:tcBorders>
              <w:top w:val="nil"/>
              <w:left w:val="nil"/>
              <w:bottom w:val="nil"/>
              <w:right w:val="nil"/>
            </w:tcBorders>
            <w:shd w:val="clear" w:color="000000" w:fill="D9D9D9"/>
            <w:vAlign w:val="bottom"/>
            <w:hideMark/>
          </w:tcPr>
          <w:p w14:paraId="5AAB2528" w14:textId="77777777" w:rsidR="00AB6753" w:rsidRDefault="00AB6753" w:rsidP="002D1EA4">
            <w:pPr>
              <w:spacing w:after="0"/>
              <w:rPr>
                <w:rFonts w:cs="Arial"/>
                <w:b/>
                <w:bCs/>
                <w:sz w:val="18"/>
                <w:szCs w:val="18"/>
              </w:rPr>
            </w:pPr>
            <w:r>
              <w:rPr>
                <w:rFonts w:cs="Arial"/>
                <w:b/>
                <w:bCs/>
                <w:sz w:val="18"/>
                <w:szCs w:val="18"/>
              </w:rPr>
              <w:t>Total financial assets at amortised cost</w:t>
            </w:r>
          </w:p>
        </w:tc>
        <w:tc>
          <w:tcPr>
            <w:tcW w:w="1078" w:type="dxa"/>
            <w:tcBorders>
              <w:top w:val="single" w:sz="4" w:space="0" w:color="auto"/>
              <w:left w:val="nil"/>
              <w:bottom w:val="single" w:sz="4" w:space="0" w:color="auto"/>
              <w:right w:val="nil"/>
            </w:tcBorders>
            <w:shd w:val="clear" w:color="000000" w:fill="D9D9D9"/>
            <w:noWrap/>
            <w:vAlign w:val="bottom"/>
            <w:hideMark/>
          </w:tcPr>
          <w:p w14:paraId="72BD4925" w14:textId="77777777" w:rsidR="00AB6753" w:rsidRDefault="00AB6753" w:rsidP="002D1EA4">
            <w:pPr>
              <w:spacing w:after="0"/>
              <w:jc w:val="right"/>
              <w:rPr>
                <w:rFonts w:cs="Arial"/>
                <w:b/>
                <w:bCs/>
                <w:sz w:val="18"/>
                <w:szCs w:val="18"/>
              </w:rPr>
            </w:pPr>
            <w:r>
              <w:rPr>
                <w:rFonts w:cs="Arial"/>
                <w:b/>
                <w:bCs/>
                <w:sz w:val="18"/>
                <w:szCs w:val="18"/>
              </w:rPr>
              <w:t>527,272</w:t>
            </w:r>
          </w:p>
        </w:tc>
        <w:tc>
          <w:tcPr>
            <w:tcW w:w="273" w:type="dxa"/>
            <w:tcBorders>
              <w:top w:val="nil"/>
              <w:left w:val="nil"/>
              <w:bottom w:val="nil"/>
              <w:right w:val="nil"/>
            </w:tcBorders>
            <w:shd w:val="clear" w:color="000000" w:fill="D9D9D9"/>
            <w:noWrap/>
            <w:vAlign w:val="bottom"/>
            <w:hideMark/>
          </w:tcPr>
          <w:p w14:paraId="62ABF392" w14:textId="77777777" w:rsidR="00AB6753" w:rsidRDefault="00AB6753" w:rsidP="002D1EA4">
            <w:pPr>
              <w:spacing w:after="0"/>
              <w:rPr>
                <w:rFonts w:cs="Arial"/>
                <w:sz w:val="16"/>
                <w:szCs w:val="16"/>
              </w:rPr>
            </w:pPr>
            <w:r>
              <w:rPr>
                <w:rFonts w:cs="Arial"/>
                <w:sz w:val="16"/>
                <w:szCs w:val="16"/>
              </w:rPr>
              <w:t> </w:t>
            </w:r>
          </w:p>
        </w:tc>
        <w:tc>
          <w:tcPr>
            <w:tcW w:w="1165" w:type="dxa"/>
            <w:tcBorders>
              <w:top w:val="single" w:sz="4" w:space="0" w:color="auto"/>
              <w:left w:val="nil"/>
              <w:bottom w:val="single" w:sz="4" w:space="0" w:color="auto"/>
              <w:right w:val="nil"/>
            </w:tcBorders>
            <w:shd w:val="clear" w:color="000000" w:fill="D9D9D9"/>
            <w:noWrap/>
            <w:vAlign w:val="bottom"/>
            <w:hideMark/>
          </w:tcPr>
          <w:p w14:paraId="79AC0DDD" w14:textId="77777777" w:rsidR="00AB6753" w:rsidRDefault="00AB6753" w:rsidP="002D1EA4">
            <w:pPr>
              <w:spacing w:after="0"/>
              <w:jc w:val="right"/>
              <w:rPr>
                <w:rFonts w:cs="Arial"/>
                <w:sz w:val="18"/>
                <w:szCs w:val="18"/>
              </w:rPr>
            </w:pPr>
            <w:r>
              <w:rPr>
                <w:rFonts w:cs="Arial"/>
                <w:sz w:val="18"/>
                <w:szCs w:val="18"/>
              </w:rPr>
              <w:t>436,504</w:t>
            </w:r>
          </w:p>
        </w:tc>
      </w:tr>
      <w:tr w:rsidR="00AB6753" w14:paraId="0F44CEAC" w14:textId="77777777" w:rsidTr="002D1EA4">
        <w:trPr>
          <w:trHeight w:val="312"/>
        </w:trPr>
        <w:tc>
          <w:tcPr>
            <w:tcW w:w="6982" w:type="dxa"/>
            <w:tcBorders>
              <w:top w:val="nil"/>
              <w:left w:val="nil"/>
              <w:bottom w:val="nil"/>
              <w:right w:val="nil"/>
            </w:tcBorders>
            <w:shd w:val="clear" w:color="000000" w:fill="D9D9D9"/>
            <w:vAlign w:val="bottom"/>
            <w:hideMark/>
          </w:tcPr>
          <w:p w14:paraId="13265231" w14:textId="77777777" w:rsidR="00AB6753" w:rsidRDefault="00AB6753" w:rsidP="002D1EA4">
            <w:pPr>
              <w:spacing w:after="0"/>
              <w:rPr>
                <w:rFonts w:cs="Arial"/>
                <w:b/>
                <w:bCs/>
                <w:sz w:val="18"/>
                <w:szCs w:val="18"/>
              </w:rPr>
            </w:pPr>
            <w:r>
              <w:rPr>
                <w:rFonts w:cs="Arial"/>
                <w:b/>
                <w:bCs/>
                <w:sz w:val="18"/>
                <w:szCs w:val="18"/>
              </w:rPr>
              <w:t> </w:t>
            </w:r>
          </w:p>
        </w:tc>
        <w:tc>
          <w:tcPr>
            <w:tcW w:w="1078" w:type="dxa"/>
            <w:tcBorders>
              <w:top w:val="nil"/>
              <w:left w:val="nil"/>
              <w:bottom w:val="nil"/>
              <w:right w:val="nil"/>
            </w:tcBorders>
            <w:shd w:val="clear" w:color="000000" w:fill="D9D9D9"/>
            <w:noWrap/>
            <w:vAlign w:val="bottom"/>
            <w:hideMark/>
          </w:tcPr>
          <w:p w14:paraId="402BED2E" w14:textId="77777777" w:rsidR="00AB6753" w:rsidRDefault="00AB6753" w:rsidP="002D1EA4">
            <w:pPr>
              <w:spacing w:after="0"/>
              <w:rPr>
                <w:rFonts w:cs="Arial"/>
                <w:b/>
                <w:bCs/>
                <w:sz w:val="16"/>
                <w:szCs w:val="16"/>
              </w:rPr>
            </w:pPr>
            <w:r>
              <w:rPr>
                <w:rFonts w:cs="Arial"/>
                <w:b/>
                <w:bCs/>
                <w:sz w:val="16"/>
                <w:szCs w:val="16"/>
              </w:rPr>
              <w:t> </w:t>
            </w:r>
          </w:p>
        </w:tc>
        <w:tc>
          <w:tcPr>
            <w:tcW w:w="273" w:type="dxa"/>
            <w:tcBorders>
              <w:top w:val="nil"/>
              <w:left w:val="nil"/>
              <w:bottom w:val="nil"/>
              <w:right w:val="nil"/>
            </w:tcBorders>
            <w:shd w:val="clear" w:color="000000" w:fill="D9D9D9"/>
            <w:noWrap/>
            <w:vAlign w:val="bottom"/>
            <w:hideMark/>
          </w:tcPr>
          <w:p w14:paraId="7036CD35"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016B5FBF" w14:textId="77777777" w:rsidR="00AB6753" w:rsidRDefault="00AB6753" w:rsidP="002D1EA4">
            <w:pPr>
              <w:spacing w:after="0"/>
              <w:rPr>
                <w:rFonts w:cs="Arial"/>
                <w:sz w:val="18"/>
                <w:szCs w:val="18"/>
              </w:rPr>
            </w:pPr>
            <w:r>
              <w:rPr>
                <w:rFonts w:cs="Arial"/>
                <w:sz w:val="18"/>
                <w:szCs w:val="18"/>
              </w:rPr>
              <w:t> </w:t>
            </w:r>
          </w:p>
        </w:tc>
      </w:tr>
      <w:tr w:rsidR="00AB6753" w14:paraId="516673A7" w14:textId="77777777" w:rsidTr="002D1EA4">
        <w:trPr>
          <w:trHeight w:val="312"/>
        </w:trPr>
        <w:tc>
          <w:tcPr>
            <w:tcW w:w="6982" w:type="dxa"/>
            <w:tcBorders>
              <w:top w:val="nil"/>
              <w:left w:val="nil"/>
              <w:bottom w:val="nil"/>
              <w:right w:val="nil"/>
            </w:tcBorders>
            <w:shd w:val="clear" w:color="000000" w:fill="D9D9D9"/>
            <w:vAlign w:val="bottom"/>
            <w:hideMark/>
          </w:tcPr>
          <w:p w14:paraId="5DB95D5F" w14:textId="77777777" w:rsidR="00AB6753" w:rsidRDefault="00AB6753" w:rsidP="002D1EA4">
            <w:pPr>
              <w:spacing w:after="0"/>
              <w:rPr>
                <w:rFonts w:cs="Arial"/>
                <w:b/>
                <w:bCs/>
                <w:sz w:val="18"/>
                <w:szCs w:val="18"/>
              </w:rPr>
            </w:pPr>
            <w:r>
              <w:rPr>
                <w:rFonts w:cs="Arial"/>
                <w:b/>
                <w:bCs/>
                <w:sz w:val="18"/>
                <w:szCs w:val="18"/>
              </w:rPr>
              <w:t>Financial assets at fair value through other comprehensive income</w:t>
            </w:r>
          </w:p>
        </w:tc>
        <w:tc>
          <w:tcPr>
            <w:tcW w:w="1078" w:type="dxa"/>
            <w:tcBorders>
              <w:top w:val="nil"/>
              <w:left w:val="nil"/>
              <w:bottom w:val="nil"/>
              <w:right w:val="nil"/>
            </w:tcBorders>
            <w:shd w:val="clear" w:color="000000" w:fill="D9D9D9"/>
            <w:noWrap/>
            <w:vAlign w:val="bottom"/>
            <w:hideMark/>
          </w:tcPr>
          <w:p w14:paraId="2B3FF665" w14:textId="77777777" w:rsidR="00AB6753" w:rsidRDefault="00AB6753" w:rsidP="002D1EA4">
            <w:pPr>
              <w:spacing w:after="0"/>
              <w:rPr>
                <w:rFonts w:cs="Arial"/>
                <w:b/>
                <w:bCs/>
                <w:sz w:val="16"/>
                <w:szCs w:val="16"/>
              </w:rPr>
            </w:pPr>
            <w:r>
              <w:rPr>
                <w:rFonts w:cs="Arial"/>
                <w:b/>
                <w:bCs/>
                <w:sz w:val="16"/>
                <w:szCs w:val="16"/>
              </w:rPr>
              <w:t> </w:t>
            </w:r>
          </w:p>
        </w:tc>
        <w:tc>
          <w:tcPr>
            <w:tcW w:w="273" w:type="dxa"/>
            <w:tcBorders>
              <w:top w:val="nil"/>
              <w:left w:val="nil"/>
              <w:bottom w:val="nil"/>
              <w:right w:val="nil"/>
            </w:tcBorders>
            <w:shd w:val="clear" w:color="000000" w:fill="D9D9D9"/>
            <w:noWrap/>
            <w:vAlign w:val="bottom"/>
            <w:hideMark/>
          </w:tcPr>
          <w:p w14:paraId="4FDC39A3"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4E9BFDDA" w14:textId="77777777" w:rsidR="00AB6753" w:rsidRDefault="00AB6753" w:rsidP="002D1EA4">
            <w:pPr>
              <w:spacing w:after="0"/>
              <w:rPr>
                <w:rFonts w:cs="Arial"/>
                <w:sz w:val="18"/>
                <w:szCs w:val="18"/>
              </w:rPr>
            </w:pPr>
            <w:r>
              <w:rPr>
                <w:rFonts w:cs="Arial"/>
                <w:sz w:val="18"/>
                <w:szCs w:val="18"/>
              </w:rPr>
              <w:t> </w:t>
            </w:r>
          </w:p>
        </w:tc>
      </w:tr>
      <w:tr w:rsidR="00AB6753" w14:paraId="3B14E931" w14:textId="77777777" w:rsidTr="002D1EA4">
        <w:trPr>
          <w:trHeight w:val="267"/>
        </w:trPr>
        <w:tc>
          <w:tcPr>
            <w:tcW w:w="6982" w:type="dxa"/>
            <w:tcBorders>
              <w:top w:val="nil"/>
              <w:left w:val="nil"/>
              <w:bottom w:val="nil"/>
              <w:right w:val="nil"/>
            </w:tcBorders>
            <w:shd w:val="clear" w:color="000000" w:fill="D9D9D9"/>
            <w:noWrap/>
            <w:vAlign w:val="bottom"/>
            <w:hideMark/>
          </w:tcPr>
          <w:p w14:paraId="626FB73D" w14:textId="77777777" w:rsidR="00AB6753" w:rsidRDefault="00AB6753" w:rsidP="002D1EA4">
            <w:pPr>
              <w:spacing w:after="0"/>
              <w:ind w:firstLineChars="100" w:firstLine="180"/>
              <w:rPr>
                <w:rFonts w:cs="Arial"/>
                <w:sz w:val="18"/>
                <w:szCs w:val="18"/>
              </w:rPr>
            </w:pPr>
            <w:r>
              <w:rPr>
                <w:rFonts w:cs="Arial"/>
                <w:sz w:val="18"/>
                <w:szCs w:val="18"/>
              </w:rPr>
              <w:t>Investments in Commonwealth entities and other interests</w:t>
            </w:r>
          </w:p>
        </w:tc>
        <w:tc>
          <w:tcPr>
            <w:tcW w:w="1078" w:type="dxa"/>
            <w:tcBorders>
              <w:top w:val="nil"/>
              <w:left w:val="nil"/>
              <w:bottom w:val="nil"/>
              <w:right w:val="nil"/>
            </w:tcBorders>
            <w:shd w:val="clear" w:color="000000" w:fill="D9D9D9"/>
            <w:noWrap/>
            <w:vAlign w:val="bottom"/>
            <w:hideMark/>
          </w:tcPr>
          <w:p w14:paraId="72D59CBD" w14:textId="77777777" w:rsidR="00AB6753" w:rsidRDefault="00AB6753" w:rsidP="002D1EA4">
            <w:pPr>
              <w:spacing w:after="0"/>
              <w:jc w:val="right"/>
              <w:rPr>
                <w:rFonts w:cs="Arial"/>
                <w:b/>
                <w:bCs/>
                <w:sz w:val="18"/>
                <w:szCs w:val="18"/>
              </w:rPr>
            </w:pPr>
            <w:r>
              <w:rPr>
                <w:rFonts w:cs="Arial"/>
                <w:b/>
                <w:bCs/>
                <w:sz w:val="18"/>
                <w:szCs w:val="18"/>
              </w:rPr>
              <w:t>1,173,527</w:t>
            </w:r>
          </w:p>
        </w:tc>
        <w:tc>
          <w:tcPr>
            <w:tcW w:w="273" w:type="dxa"/>
            <w:tcBorders>
              <w:top w:val="nil"/>
              <w:left w:val="nil"/>
              <w:bottom w:val="nil"/>
              <w:right w:val="nil"/>
            </w:tcBorders>
            <w:shd w:val="clear" w:color="000000" w:fill="D9D9D9"/>
            <w:noWrap/>
            <w:vAlign w:val="bottom"/>
            <w:hideMark/>
          </w:tcPr>
          <w:p w14:paraId="07EAE8FD"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59F8DBCB" w14:textId="77777777" w:rsidR="00AB6753" w:rsidRDefault="00AB6753" w:rsidP="002D1EA4">
            <w:pPr>
              <w:spacing w:after="0"/>
              <w:jc w:val="right"/>
              <w:rPr>
                <w:rFonts w:cs="Arial"/>
                <w:sz w:val="18"/>
                <w:szCs w:val="18"/>
              </w:rPr>
            </w:pPr>
            <w:r>
              <w:rPr>
                <w:rFonts w:cs="Arial"/>
                <w:sz w:val="18"/>
                <w:szCs w:val="18"/>
              </w:rPr>
              <w:t>2,532,466</w:t>
            </w:r>
          </w:p>
        </w:tc>
      </w:tr>
      <w:tr w:rsidR="00AB6753" w14:paraId="3590CB25" w14:textId="77777777" w:rsidTr="002D1EA4">
        <w:trPr>
          <w:trHeight w:val="312"/>
        </w:trPr>
        <w:tc>
          <w:tcPr>
            <w:tcW w:w="6982" w:type="dxa"/>
            <w:tcBorders>
              <w:top w:val="nil"/>
              <w:left w:val="nil"/>
              <w:bottom w:val="nil"/>
              <w:right w:val="nil"/>
            </w:tcBorders>
            <w:shd w:val="clear" w:color="000000" w:fill="D9D9D9"/>
            <w:vAlign w:val="bottom"/>
            <w:hideMark/>
          </w:tcPr>
          <w:p w14:paraId="2C42CC9A" w14:textId="77777777" w:rsidR="00AB6753" w:rsidRDefault="00AB6753" w:rsidP="002D1EA4">
            <w:pPr>
              <w:spacing w:after="0"/>
              <w:rPr>
                <w:rFonts w:cs="Arial"/>
                <w:b/>
                <w:bCs/>
                <w:sz w:val="18"/>
                <w:szCs w:val="18"/>
              </w:rPr>
            </w:pPr>
            <w:r>
              <w:rPr>
                <w:rFonts w:cs="Arial"/>
                <w:b/>
                <w:bCs/>
                <w:sz w:val="18"/>
                <w:szCs w:val="18"/>
              </w:rPr>
              <w:t>Total financial assets at fair value through other comprehensive income</w:t>
            </w:r>
          </w:p>
        </w:tc>
        <w:tc>
          <w:tcPr>
            <w:tcW w:w="1078" w:type="dxa"/>
            <w:tcBorders>
              <w:top w:val="single" w:sz="4" w:space="0" w:color="auto"/>
              <w:left w:val="nil"/>
              <w:bottom w:val="single" w:sz="4" w:space="0" w:color="auto"/>
              <w:right w:val="nil"/>
            </w:tcBorders>
            <w:shd w:val="clear" w:color="000000" w:fill="D9D9D9"/>
            <w:noWrap/>
            <w:vAlign w:val="bottom"/>
            <w:hideMark/>
          </w:tcPr>
          <w:p w14:paraId="19AFF495" w14:textId="77777777" w:rsidR="00AB6753" w:rsidRDefault="00AB6753" w:rsidP="002D1EA4">
            <w:pPr>
              <w:spacing w:after="0"/>
              <w:jc w:val="right"/>
              <w:rPr>
                <w:rFonts w:cs="Arial"/>
                <w:b/>
                <w:bCs/>
                <w:sz w:val="18"/>
                <w:szCs w:val="18"/>
              </w:rPr>
            </w:pPr>
            <w:r>
              <w:rPr>
                <w:rFonts w:cs="Arial"/>
                <w:b/>
                <w:bCs/>
                <w:sz w:val="18"/>
                <w:szCs w:val="18"/>
              </w:rPr>
              <w:t>1,173,527</w:t>
            </w:r>
          </w:p>
        </w:tc>
        <w:tc>
          <w:tcPr>
            <w:tcW w:w="273" w:type="dxa"/>
            <w:tcBorders>
              <w:top w:val="nil"/>
              <w:left w:val="nil"/>
              <w:bottom w:val="nil"/>
              <w:right w:val="nil"/>
            </w:tcBorders>
            <w:shd w:val="clear" w:color="000000" w:fill="D9D9D9"/>
            <w:noWrap/>
            <w:vAlign w:val="bottom"/>
            <w:hideMark/>
          </w:tcPr>
          <w:p w14:paraId="0E46BA4B" w14:textId="77777777" w:rsidR="00AB6753" w:rsidRDefault="00AB6753" w:rsidP="002D1EA4">
            <w:pPr>
              <w:spacing w:after="0"/>
              <w:rPr>
                <w:rFonts w:cs="Arial"/>
                <w:sz w:val="16"/>
                <w:szCs w:val="16"/>
              </w:rPr>
            </w:pPr>
            <w:r>
              <w:rPr>
                <w:rFonts w:cs="Arial"/>
                <w:sz w:val="16"/>
                <w:szCs w:val="16"/>
              </w:rPr>
              <w:t> </w:t>
            </w:r>
          </w:p>
        </w:tc>
        <w:tc>
          <w:tcPr>
            <w:tcW w:w="1165" w:type="dxa"/>
            <w:tcBorders>
              <w:top w:val="single" w:sz="4" w:space="0" w:color="auto"/>
              <w:left w:val="nil"/>
              <w:bottom w:val="single" w:sz="4" w:space="0" w:color="auto"/>
              <w:right w:val="nil"/>
            </w:tcBorders>
            <w:shd w:val="clear" w:color="000000" w:fill="D9D9D9"/>
            <w:noWrap/>
            <w:vAlign w:val="bottom"/>
            <w:hideMark/>
          </w:tcPr>
          <w:p w14:paraId="4A6591A2" w14:textId="77777777" w:rsidR="00AB6753" w:rsidRDefault="00AB6753" w:rsidP="002D1EA4">
            <w:pPr>
              <w:spacing w:after="0"/>
              <w:jc w:val="right"/>
              <w:rPr>
                <w:rFonts w:cs="Arial"/>
                <w:sz w:val="18"/>
                <w:szCs w:val="18"/>
              </w:rPr>
            </w:pPr>
            <w:r>
              <w:rPr>
                <w:rFonts w:cs="Arial"/>
                <w:sz w:val="18"/>
                <w:szCs w:val="18"/>
              </w:rPr>
              <w:t>2,532,466</w:t>
            </w:r>
          </w:p>
        </w:tc>
      </w:tr>
      <w:tr w:rsidR="00AB6753" w14:paraId="6D317B0C" w14:textId="77777777" w:rsidTr="002D1EA4">
        <w:trPr>
          <w:trHeight w:val="255"/>
        </w:trPr>
        <w:tc>
          <w:tcPr>
            <w:tcW w:w="6982" w:type="dxa"/>
            <w:tcBorders>
              <w:top w:val="nil"/>
              <w:left w:val="nil"/>
              <w:bottom w:val="nil"/>
              <w:right w:val="nil"/>
            </w:tcBorders>
            <w:shd w:val="clear" w:color="000000" w:fill="D9D9D9"/>
            <w:noWrap/>
            <w:vAlign w:val="bottom"/>
            <w:hideMark/>
          </w:tcPr>
          <w:p w14:paraId="0ECE155F" w14:textId="77777777" w:rsidR="00AB6753" w:rsidRDefault="00AB6753" w:rsidP="002D1EA4">
            <w:pPr>
              <w:spacing w:after="0"/>
              <w:ind w:firstLineChars="100" w:firstLine="180"/>
              <w:rPr>
                <w:rFonts w:cs="Arial"/>
                <w:sz w:val="18"/>
                <w:szCs w:val="18"/>
              </w:rPr>
            </w:pPr>
            <w:r>
              <w:rPr>
                <w:rFonts w:cs="Arial"/>
                <w:sz w:val="18"/>
                <w:szCs w:val="18"/>
              </w:rPr>
              <w:t> </w:t>
            </w:r>
          </w:p>
        </w:tc>
        <w:tc>
          <w:tcPr>
            <w:tcW w:w="1078" w:type="dxa"/>
            <w:tcBorders>
              <w:top w:val="nil"/>
              <w:left w:val="nil"/>
              <w:bottom w:val="nil"/>
              <w:right w:val="nil"/>
            </w:tcBorders>
            <w:shd w:val="clear" w:color="000000" w:fill="D9D9D9"/>
            <w:noWrap/>
            <w:vAlign w:val="bottom"/>
            <w:hideMark/>
          </w:tcPr>
          <w:p w14:paraId="1316A991" w14:textId="77777777" w:rsidR="00AB6753" w:rsidRDefault="00AB6753" w:rsidP="002D1EA4">
            <w:pPr>
              <w:spacing w:after="0"/>
              <w:rPr>
                <w:rFonts w:cs="Arial"/>
                <w:b/>
                <w:bCs/>
                <w:sz w:val="16"/>
                <w:szCs w:val="16"/>
              </w:rPr>
            </w:pPr>
            <w:r>
              <w:rPr>
                <w:rFonts w:cs="Arial"/>
                <w:b/>
                <w:bCs/>
                <w:sz w:val="16"/>
                <w:szCs w:val="16"/>
              </w:rPr>
              <w:t> </w:t>
            </w:r>
          </w:p>
        </w:tc>
        <w:tc>
          <w:tcPr>
            <w:tcW w:w="273" w:type="dxa"/>
            <w:tcBorders>
              <w:top w:val="nil"/>
              <w:left w:val="nil"/>
              <w:bottom w:val="nil"/>
              <w:right w:val="nil"/>
            </w:tcBorders>
            <w:shd w:val="clear" w:color="000000" w:fill="D9D9D9"/>
            <w:noWrap/>
            <w:vAlign w:val="bottom"/>
            <w:hideMark/>
          </w:tcPr>
          <w:p w14:paraId="6773E129"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6391D8A7" w14:textId="77777777" w:rsidR="00AB6753" w:rsidRDefault="00AB6753" w:rsidP="002D1EA4">
            <w:pPr>
              <w:spacing w:after="0"/>
              <w:rPr>
                <w:rFonts w:cs="Arial"/>
                <w:sz w:val="16"/>
                <w:szCs w:val="16"/>
              </w:rPr>
            </w:pPr>
            <w:r>
              <w:rPr>
                <w:rFonts w:cs="Arial"/>
                <w:sz w:val="16"/>
                <w:szCs w:val="16"/>
              </w:rPr>
              <w:t> </w:t>
            </w:r>
          </w:p>
        </w:tc>
      </w:tr>
      <w:tr w:rsidR="00AB6753" w14:paraId="3ED9296E" w14:textId="77777777" w:rsidTr="002D1EA4">
        <w:trPr>
          <w:trHeight w:val="255"/>
        </w:trPr>
        <w:tc>
          <w:tcPr>
            <w:tcW w:w="6982" w:type="dxa"/>
            <w:tcBorders>
              <w:top w:val="nil"/>
              <w:left w:val="nil"/>
              <w:bottom w:val="nil"/>
              <w:right w:val="nil"/>
            </w:tcBorders>
            <w:shd w:val="clear" w:color="000000" w:fill="D9D9D9"/>
            <w:vAlign w:val="bottom"/>
            <w:hideMark/>
          </w:tcPr>
          <w:p w14:paraId="1E4A6948" w14:textId="77777777" w:rsidR="00AB6753" w:rsidRDefault="00AB6753" w:rsidP="002D1EA4">
            <w:pPr>
              <w:spacing w:after="0"/>
              <w:rPr>
                <w:rFonts w:cs="Arial"/>
                <w:b/>
                <w:bCs/>
                <w:sz w:val="18"/>
                <w:szCs w:val="18"/>
              </w:rPr>
            </w:pPr>
            <w:r>
              <w:rPr>
                <w:rFonts w:cs="Arial"/>
                <w:b/>
                <w:bCs/>
                <w:sz w:val="18"/>
                <w:szCs w:val="18"/>
              </w:rPr>
              <w:t>Financial assets at fair value through profit or loss (designated)</w:t>
            </w:r>
          </w:p>
        </w:tc>
        <w:tc>
          <w:tcPr>
            <w:tcW w:w="1078" w:type="dxa"/>
            <w:tcBorders>
              <w:top w:val="nil"/>
              <w:left w:val="nil"/>
              <w:bottom w:val="nil"/>
              <w:right w:val="nil"/>
            </w:tcBorders>
            <w:shd w:val="clear" w:color="000000" w:fill="D9D9D9"/>
            <w:noWrap/>
            <w:vAlign w:val="bottom"/>
            <w:hideMark/>
          </w:tcPr>
          <w:p w14:paraId="27B5B49E" w14:textId="77777777" w:rsidR="00AB6753" w:rsidRDefault="00AB6753" w:rsidP="002D1EA4">
            <w:pPr>
              <w:spacing w:after="0"/>
              <w:rPr>
                <w:rFonts w:cs="Arial"/>
                <w:b/>
                <w:bCs/>
                <w:sz w:val="16"/>
                <w:szCs w:val="16"/>
              </w:rPr>
            </w:pPr>
            <w:r>
              <w:rPr>
                <w:rFonts w:cs="Arial"/>
                <w:b/>
                <w:bCs/>
                <w:sz w:val="16"/>
                <w:szCs w:val="16"/>
              </w:rPr>
              <w:t> </w:t>
            </w:r>
          </w:p>
        </w:tc>
        <w:tc>
          <w:tcPr>
            <w:tcW w:w="273" w:type="dxa"/>
            <w:tcBorders>
              <w:top w:val="nil"/>
              <w:left w:val="nil"/>
              <w:bottom w:val="nil"/>
              <w:right w:val="nil"/>
            </w:tcBorders>
            <w:shd w:val="clear" w:color="000000" w:fill="D9D9D9"/>
            <w:noWrap/>
            <w:vAlign w:val="bottom"/>
            <w:hideMark/>
          </w:tcPr>
          <w:p w14:paraId="00DED37D"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7F641DD3" w14:textId="77777777" w:rsidR="00AB6753" w:rsidRDefault="00AB6753" w:rsidP="002D1EA4">
            <w:pPr>
              <w:spacing w:after="0"/>
              <w:rPr>
                <w:rFonts w:cs="Arial"/>
                <w:sz w:val="16"/>
                <w:szCs w:val="16"/>
              </w:rPr>
            </w:pPr>
            <w:r>
              <w:rPr>
                <w:rFonts w:cs="Arial"/>
                <w:sz w:val="16"/>
                <w:szCs w:val="16"/>
              </w:rPr>
              <w:t> </w:t>
            </w:r>
          </w:p>
        </w:tc>
      </w:tr>
      <w:tr w:rsidR="00AB6753" w14:paraId="24A9BAC3" w14:textId="77777777" w:rsidTr="002D1EA4">
        <w:trPr>
          <w:trHeight w:val="255"/>
        </w:trPr>
        <w:tc>
          <w:tcPr>
            <w:tcW w:w="6982" w:type="dxa"/>
            <w:tcBorders>
              <w:top w:val="nil"/>
              <w:left w:val="nil"/>
              <w:bottom w:val="nil"/>
              <w:right w:val="nil"/>
            </w:tcBorders>
            <w:shd w:val="clear" w:color="000000" w:fill="D9D9D9"/>
            <w:noWrap/>
            <w:vAlign w:val="bottom"/>
            <w:hideMark/>
          </w:tcPr>
          <w:p w14:paraId="2C17370E" w14:textId="77777777" w:rsidR="00AB6753" w:rsidRDefault="00AB6753" w:rsidP="002D1EA4">
            <w:pPr>
              <w:spacing w:after="0"/>
              <w:ind w:firstLineChars="100" w:firstLine="180"/>
              <w:rPr>
                <w:rFonts w:cs="Arial"/>
                <w:sz w:val="18"/>
                <w:szCs w:val="18"/>
              </w:rPr>
            </w:pPr>
            <w:r>
              <w:rPr>
                <w:rFonts w:cs="Arial"/>
                <w:sz w:val="18"/>
                <w:szCs w:val="18"/>
              </w:rPr>
              <w:t>Student Financial Supplement Scheme</w:t>
            </w:r>
          </w:p>
        </w:tc>
        <w:tc>
          <w:tcPr>
            <w:tcW w:w="1078" w:type="dxa"/>
            <w:tcBorders>
              <w:top w:val="nil"/>
              <w:left w:val="nil"/>
              <w:bottom w:val="nil"/>
              <w:right w:val="nil"/>
            </w:tcBorders>
            <w:shd w:val="clear" w:color="000000" w:fill="D9D9D9"/>
            <w:noWrap/>
            <w:vAlign w:val="bottom"/>
            <w:hideMark/>
          </w:tcPr>
          <w:p w14:paraId="11A7E29D" w14:textId="77777777" w:rsidR="00AB6753" w:rsidRDefault="00AB6753" w:rsidP="002D1EA4">
            <w:pPr>
              <w:spacing w:after="0"/>
              <w:jc w:val="right"/>
              <w:rPr>
                <w:rFonts w:cs="Arial"/>
                <w:b/>
                <w:bCs/>
                <w:sz w:val="18"/>
                <w:szCs w:val="18"/>
              </w:rPr>
            </w:pPr>
            <w:r>
              <w:rPr>
                <w:rFonts w:cs="Arial"/>
                <w:b/>
                <w:bCs/>
                <w:sz w:val="18"/>
                <w:szCs w:val="18"/>
              </w:rPr>
              <w:t>436,900</w:t>
            </w:r>
          </w:p>
        </w:tc>
        <w:tc>
          <w:tcPr>
            <w:tcW w:w="273" w:type="dxa"/>
            <w:tcBorders>
              <w:top w:val="nil"/>
              <w:left w:val="nil"/>
              <w:bottom w:val="nil"/>
              <w:right w:val="nil"/>
            </w:tcBorders>
            <w:shd w:val="clear" w:color="000000" w:fill="D9D9D9"/>
            <w:noWrap/>
            <w:vAlign w:val="bottom"/>
            <w:hideMark/>
          </w:tcPr>
          <w:p w14:paraId="70AD624C"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46A0DF77" w14:textId="77777777" w:rsidR="00AB6753" w:rsidRDefault="00AB6753" w:rsidP="002D1EA4">
            <w:pPr>
              <w:spacing w:after="0"/>
              <w:jc w:val="right"/>
              <w:rPr>
                <w:rFonts w:cs="Arial"/>
                <w:sz w:val="18"/>
                <w:szCs w:val="18"/>
              </w:rPr>
            </w:pPr>
            <w:r>
              <w:rPr>
                <w:rFonts w:cs="Arial"/>
                <w:sz w:val="18"/>
                <w:szCs w:val="18"/>
              </w:rPr>
              <w:t>424,500</w:t>
            </w:r>
          </w:p>
        </w:tc>
      </w:tr>
      <w:tr w:rsidR="00AB6753" w14:paraId="55CD58D1" w14:textId="77777777" w:rsidTr="002D1EA4">
        <w:trPr>
          <w:trHeight w:val="255"/>
        </w:trPr>
        <w:tc>
          <w:tcPr>
            <w:tcW w:w="6982" w:type="dxa"/>
            <w:tcBorders>
              <w:top w:val="nil"/>
              <w:left w:val="nil"/>
              <w:bottom w:val="nil"/>
              <w:right w:val="nil"/>
            </w:tcBorders>
            <w:shd w:val="clear" w:color="000000" w:fill="D9D9D9"/>
            <w:noWrap/>
            <w:vAlign w:val="bottom"/>
            <w:hideMark/>
          </w:tcPr>
          <w:p w14:paraId="1E6E9F36" w14:textId="77777777" w:rsidR="00AB6753" w:rsidRDefault="00AB6753" w:rsidP="002D1EA4">
            <w:pPr>
              <w:spacing w:after="0"/>
              <w:ind w:firstLineChars="100" w:firstLine="180"/>
              <w:rPr>
                <w:rFonts w:cs="Arial"/>
                <w:sz w:val="18"/>
                <w:szCs w:val="18"/>
              </w:rPr>
            </w:pPr>
            <w:r>
              <w:rPr>
                <w:rFonts w:cs="Arial"/>
                <w:sz w:val="18"/>
                <w:szCs w:val="18"/>
              </w:rPr>
              <w:t>Student Start-up Loan</w:t>
            </w:r>
          </w:p>
        </w:tc>
        <w:tc>
          <w:tcPr>
            <w:tcW w:w="1078" w:type="dxa"/>
            <w:tcBorders>
              <w:top w:val="nil"/>
              <w:left w:val="nil"/>
              <w:bottom w:val="nil"/>
              <w:right w:val="nil"/>
            </w:tcBorders>
            <w:shd w:val="clear" w:color="000000" w:fill="D9D9D9"/>
            <w:noWrap/>
            <w:vAlign w:val="bottom"/>
            <w:hideMark/>
          </w:tcPr>
          <w:p w14:paraId="14DEA254" w14:textId="77777777" w:rsidR="00AB6753" w:rsidRDefault="00AB6753" w:rsidP="002D1EA4">
            <w:pPr>
              <w:spacing w:after="0"/>
              <w:jc w:val="right"/>
              <w:rPr>
                <w:rFonts w:cs="Arial"/>
                <w:b/>
                <w:bCs/>
                <w:sz w:val="18"/>
                <w:szCs w:val="18"/>
              </w:rPr>
            </w:pPr>
            <w:r>
              <w:rPr>
                <w:rFonts w:cs="Arial"/>
                <w:b/>
                <w:bCs/>
                <w:sz w:val="18"/>
                <w:szCs w:val="18"/>
              </w:rPr>
              <w:t>566,500</w:t>
            </w:r>
          </w:p>
        </w:tc>
        <w:tc>
          <w:tcPr>
            <w:tcW w:w="273" w:type="dxa"/>
            <w:tcBorders>
              <w:top w:val="nil"/>
              <w:left w:val="nil"/>
              <w:bottom w:val="nil"/>
              <w:right w:val="nil"/>
            </w:tcBorders>
            <w:shd w:val="clear" w:color="000000" w:fill="D9D9D9"/>
            <w:noWrap/>
            <w:vAlign w:val="bottom"/>
            <w:hideMark/>
          </w:tcPr>
          <w:p w14:paraId="3C061D79"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51A58432" w14:textId="77777777" w:rsidR="00AB6753" w:rsidRDefault="00AB6753" w:rsidP="002D1EA4">
            <w:pPr>
              <w:spacing w:after="0"/>
              <w:jc w:val="right"/>
              <w:rPr>
                <w:rFonts w:cs="Arial"/>
                <w:sz w:val="18"/>
                <w:szCs w:val="18"/>
              </w:rPr>
            </w:pPr>
            <w:r>
              <w:rPr>
                <w:rFonts w:cs="Arial"/>
                <w:sz w:val="18"/>
                <w:szCs w:val="18"/>
              </w:rPr>
              <w:t>239,401</w:t>
            </w:r>
          </w:p>
        </w:tc>
      </w:tr>
      <w:tr w:rsidR="00AB6753" w14:paraId="5638BEEE" w14:textId="77777777" w:rsidTr="002D1EA4">
        <w:trPr>
          <w:trHeight w:val="255"/>
        </w:trPr>
        <w:tc>
          <w:tcPr>
            <w:tcW w:w="6982" w:type="dxa"/>
            <w:tcBorders>
              <w:top w:val="nil"/>
              <w:left w:val="nil"/>
              <w:bottom w:val="nil"/>
              <w:right w:val="nil"/>
            </w:tcBorders>
            <w:shd w:val="clear" w:color="000000" w:fill="D9D9D9"/>
            <w:noWrap/>
            <w:vAlign w:val="bottom"/>
            <w:hideMark/>
          </w:tcPr>
          <w:p w14:paraId="41D51DEC" w14:textId="77777777" w:rsidR="00AB6753" w:rsidRDefault="00AB6753" w:rsidP="002D1EA4">
            <w:pPr>
              <w:spacing w:after="0"/>
              <w:ind w:firstLineChars="100" w:firstLine="180"/>
              <w:rPr>
                <w:rFonts w:cs="Arial"/>
                <w:sz w:val="18"/>
                <w:szCs w:val="18"/>
              </w:rPr>
            </w:pPr>
            <w:r>
              <w:rPr>
                <w:rFonts w:cs="Arial"/>
                <w:sz w:val="18"/>
                <w:szCs w:val="18"/>
              </w:rPr>
              <w:t>Pension Loan Scheme</w:t>
            </w:r>
          </w:p>
        </w:tc>
        <w:tc>
          <w:tcPr>
            <w:tcW w:w="1078" w:type="dxa"/>
            <w:tcBorders>
              <w:top w:val="nil"/>
              <w:left w:val="nil"/>
              <w:bottom w:val="nil"/>
              <w:right w:val="nil"/>
            </w:tcBorders>
            <w:shd w:val="clear" w:color="000000" w:fill="D9D9D9"/>
            <w:noWrap/>
            <w:vAlign w:val="bottom"/>
            <w:hideMark/>
          </w:tcPr>
          <w:p w14:paraId="27E9B1F7" w14:textId="77777777" w:rsidR="00AB6753" w:rsidRDefault="00AB6753" w:rsidP="002D1EA4">
            <w:pPr>
              <w:spacing w:after="0"/>
              <w:jc w:val="right"/>
              <w:rPr>
                <w:rFonts w:cs="Arial"/>
                <w:b/>
                <w:bCs/>
                <w:sz w:val="18"/>
                <w:szCs w:val="18"/>
              </w:rPr>
            </w:pPr>
            <w:r>
              <w:rPr>
                <w:rFonts w:cs="Arial"/>
                <w:b/>
                <w:bCs/>
                <w:sz w:val="18"/>
                <w:szCs w:val="18"/>
              </w:rPr>
              <w:t>41,788</w:t>
            </w:r>
          </w:p>
        </w:tc>
        <w:tc>
          <w:tcPr>
            <w:tcW w:w="273" w:type="dxa"/>
            <w:tcBorders>
              <w:top w:val="nil"/>
              <w:left w:val="nil"/>
              <w:bottom w:val="nil"/>
              <w:right w:val="nil"/>
            </w:tcBorders>
            <w:shd w:val="clear" w:color="000000" w:fill="D9D9D9"/>
            <w:noWrap/>
            <w:vAlign w:val="bottom"/>
            <w:hideMark/>
          </w:tcPr>
          <w:p w14:paraId="4B5D124B"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4C939E9D" w14:textId="77777777" w:rsidR="00AB6753" w:rsidRDefault="00AB6753" w:rsidP="002D1EA4">
            <w:pPr>
              <w:spacing w:after="0"/>
              <w:jc w:val="right"/>
              <w:rPr>
                <w:rFonts w:cs="Arial"/>
                <w:sz w:val="18"/>
                <w:szCs w:val="18"/>
              </w:rPr>
            </w:pPr>
            <w:r>
              <w:rPr>
                <w:rFonts w:cs="Arial"/>
                <w:sz w:val="18"/>
                <w:szCs w:val="18"/>
              </w:rPr>
              <w:t>26,194</w:t>
            </w:r>
          </w:p>
        </w:tc>
      </w:tr>
      <w:tr w:rsidR="00AB6753" w14:paraId="73E0DE5E" w14:textId="77777777" w:rsidTr="002D1EA4">
        <w:trPr>
          <w:trHeight w:val="255"/>
        </w:trPr>
        <w:tc>
          <w:tcPr>
            <w:tcW w:w="6982" w:type="dxa"/>
            <w:tcBorders>
              <w:top w:val="nil"/>
              <w:left w:val="nil"/>
              <w:bottom w:val="nil"/>
              <w:right w:val="nil"/>
            </w:tcBorders>
            <w:shd w:val="clear" w:color="000000" w:fill="D9D9D9"/>
            <w:vAlign w:val="bottom"/>
            <w:hideMark/>
          </w:tcPr>
          <w:p w14:paraId="5A019EC1" w14:textId="77777777" w:rsidR="00AB6753" w:rsidRDefault="00AB6753" w:rsidP="002D1EA4">
            <w:pPr>
              <w:spacing w:after="0"/>
              <w:rPr>
                <w:rFonts w:cs="Arial"/>
                <w:b/>
                <w:bCs/>
                <w:sz w:val="18"/>
                <w:szCs w:val="18"/>
              </w:rPr>
            </w:pPr>
            <w:r>
              <w:rPr>
                <w:rFonts w:cs="Arial"/>
                <w:b/>
                <w:bCs/>
                <w:sz w:val="18"/>
                <w:szCs w:val="18"/>
              </w:rPr>
              <w:t>Total financial assets at fair value through profit or loss (designated)</w:t>
            </w:r>
          </w:p>
        </w:tc>
        <w:tc>
          <w:tcPr>
            <w:tcW w:w="1078" w:type="dxa"/>
            <w:tcBorders>
              <w:top w:val="single" w:sz="4" w:space="0" w:color="auto"/>
              <w:left w:val="nil"/>
              <w:bottom w:val="single" w:sz="4" w:space="0" w:color="auto"/>
              <w:right w:val="nil"/>
            </w:tcBorders>
            <w:shd w:val="clear" w:color="000000" w:fill="D9D9D9"/>
            <w:noWrap/>
            <w:vAlign w:val="bottom"/>
            <w:hideMark/>
          </w:tcPr>
          <w:p w14:paraId="0B343A58" w14:textId="77777777" w:rsidR="00AB6753" w:rsidRDefault="00AB6753" w:rsidP="002D1EA4">
            <w:pPr>
              <w:spacing w:after="0"/>
              <w:jc w:val="right"/>
              <w:rPr>
                <w:rFonts w:cs="Arial"/>
                <w:b/>
                <w:bCs/>
                <w:sz w:val="18"/>
                <w:szCs w:val="18"/>
              </w:rPr>
            </w:pPr>
            <w:r>
              <w:rPr>
                <w:rFonts w:cs="Arial"/>
                <w:b/>
                <w:bCs/>
                <w:sz w:val="18"/>
                <w:szCs w:val="18"/>
              </w:rPr>
              <w:t>1,045,188</w:t>
            </w:r>
          </w:p>
        </w:tc>
        <w:tc>
          <w:tcPr>
            <w:tcW w:w="273" w:type="dxa"/>
            <w:tcBorders>
              <w:top w:val="nil"/>
              <w:left w:val="nil"/>
              <w:bottom w:val="nil"/>
              <w:right w:val="nil"/>
            </w:tcBorders>
            <w:shd w:val="clear" w:color="000000" w:fill="D9D9D9"/>
            <w:noWrap/>
            <w:vAlign w:val="bottom"/>
            <w:hideMark/>
          </w:tcPr>
          <w:p w14:paraId="6DAEE87B" w14:textId="77777777" w:rsidR="00AB6753" w:rsidRDefault="00AB6753" w:rsidP="002D1EA4">
            <w:pPr>
              <w:spacing w:after="0"/>
              <w:rPr>
                <w:rFonts w:cs="Arial"/>
                <w:sz w:val="16"/>
                <w:szCs w:val="16"/>
              </w:rPr>
            </w:pPr>
            <w:r>
              <w:rPr>
                <w:rFonts w:cs="Arial"/>
                <w:sz w:val="16"/>
                <w:szCs w:val="16"/>
              </w:rPr>
              <w:t> </w:t>
            </w:r>
          </w:p>
        </w:tc>
        <w:tc>
          <w:tcPr>
            <w:tcW w:w="1165" w:type="dxa"/>
            <w:tcBorders>
              <w:top w:val="single" w:sz="4" w:space="0" w:color="auto"/>
              <w:left w:val="nil"/>
              <w:bottom w:val="single" w:sz="4" w:space="0" w:color="auto"/>
              <w:right w:val="nil"/>
            </w:tcBorders>
            <w:shd w:val="clear" w:color="000000" w:fill="D9D9D9"/>
            <w:noWrap/>
            <w:vAlign w:val="bottom"/>
            <w:hideMark/>
          </w:tcPr>
          <w:p w14:paraId="6A199E75" w14:textId="77777777" w:rsidR="00AB6753" w:rsidRDefault="00AB6753" w:rsidP="002D1EA4">
            <w:pPr>
              <w:spacing w:after="0"/>
              <w:jc w:val="right"/>
              <w:rPr>
                <w:rFonts w:cs="Arial"/>
                <w:sz w:val="18"/>
                <w:szCs w:val="18"/>
              </w:rPr>
            </w:pPr>
            <w:r>
              <w:rPr>
                <w:rFonts w:cs="Arial"/>
                <w:sz w:val="18"/>
                <w:szCs w:val="18"/>
              </w:rPr>
              <w:t>690,095</w:t>
            </w:r>
          </w:p>
        </w:tc>
      </w:tr>
      <w:tr w:rsidR="00AB6753" w14:paraId="60D6E4F7" w14:textId="77777777" w:rsidTr="002D1EA4">
        <w:trPr>
          <w:trHeight w:val="255"/>
        </w:trPr>
        <w:tc>
          <w:tcPr>
            <w:tcW w:w="6982" w:type="dxa"/>
            <w:tcBorders>
              <w:top w:val="nil"/>
              <w:left w:val="nil"/>
              <w:bottom w:val="nil"/>
              <w:right w:val="nil"/>
            </w:tcBorders>
            <w:shd w:val="clear" w:color="000000" w:fill="D9D9D9"/>
            <w:vAlign w:val="bottom"/>
            <w:hideMark/>
          </w:tcPr>
          <w:p w14:paraId="14BFC39F" w14:textId="77777777" w:rsidR="00AB6753" w:rsidRDefault="00AB6753" w:rsidP="002D1EA4">
            <w:pPr>
              <w:spacing w:after="0"/>
              <w:rPr>
                <w:rFonts w:cs="Arial"/>
                <w:b/>
                <w:bCs/>
                <w:sz w:val="18"/>
                <w:szCs w:val="18"/>
              </w:rPr>
            </w:pPr>
            <w:r>
              <w:rPr>
                <w:rFonts w:cs="Arial"/>
                <w:b/>
                <w:bCs/>
                <w:sz w:val="18"/>
                <w:szCs w:val="18"/>
              </w:rPr>
              <w:t>Total financial assets</w:t>
            </w:r>
          </w:p>
        </w:tc>
        <w:tc>
          <w:tcPr>
            <w:tcW w:w="1078" w:type="dxa"/>
            <w:tcBorders>
              <w:top w:val="nil"/>
              <w:left w:val="nil"/>
              <w:bottom w:val="single" w:sz="4" w:space="0" w:color="auto"/>
              <w:right w:val="nil"/>
            </w:tcBorders>
            <w:shd w:val="clear" w:color="000000" w:fill="D9D9D9"/>
            <w:noWrap/>
            <w:vAlign w:val="bottom"/>
            <w:hideMark/>
          </w:tcPr>
          <w:p w14:paraId="1BC06DD3" w14:textId="77777777" w:rsidR="00AB6753" w:rsidRDefault="00AB6753" w:rsidP="002D1EA4">
            <w:pPr>
              <w:spacing w:after="0"/>
              <w:jc w:val="right"/>
              <w:rPr>
                <w:rFonts w:cs="Arial"/>
                <w:b/>
                <w:bCs/>
                <w:sz w:val="18"/>
                <w:szCs w:val="18"/>
              </w:rPr>
            </w:pPr>
            <w:r>
              <w:rPr>
                <w:rFonts w:cs="Arial"/>
                <w:b/>
                <w:bCs/>
                <w:sz w:val="18"/>
                <w:szCs w:val="18"/>
              </w:rPr>
              <w:t>2,745,987</w:t>
            </w:r>
          </w:p>
        </w:tc>
        <w:tc>
          <w:tcPr>
            <w:tcW w:w="273" w:type="dxa"/>
            <w:tcBorders>
              <w:top w:val="nil"/>
              <w:left w:val="nil"/>
              <w:bottom w:val="nil"/>
              <w:right w:val="nil"/>
            </w:tcBorders>
            <w:shd w:val="clear" w:color="000000" w:fill="D9D9D9"/>
            <w:noWrap/>
            <w:vAlign w:val="bottom"/>
            <w:hideMark/>
          </w:tcPr>
          <w:p w14:paraId="404200EF"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single" w:sz="4" w:space="0" w:color="auto"/>
              <w:right w:val="nil"/>
            </w:tcBorders>
            <w:shd w:val="clear" w:color="000000" w:fill="D9D9D9"/>
            <w:noWrap/>
            <w:vAlign w:val="bottom"/>
            <w:hideMark/>
          </w:tcPr>
          <w:p w14:paraId="3F2A9D07" w14:textId="77777777" w:rsidR="00AB6753" w:rsidRDefault="00AB6753" w:rsidP="002D1EA4">
            <w:pPr>
              <w:spacing w:after="0"/>
              <w:jc w:val="right"/>
              <w:rPr>
                <w:rFonts w:cs="Arial"/>
                <w:sz w:val="18"/>
                <w:szCs w:val="18"/>
              </w:rPr>
            </w:pPr>
            <w:r>
              <w:rPr>
                <w:rFonts w:cs="Arial"/>
                <w:sz w:val="18"/>
                <w:szCs w:val="18"/>
              </w:rPr>
              <w:t>3,659,065</w:t>
            </w:r>
          </w:p>
        </w:tc>
      </w:tr>
      <w:tr w:rsidR="00AB6753" w14:paraId="233936BD" w14:textId="77777777" w:rsidTr="002D1EA4">
        <w:trPr>
          <w:trHeight w:val="255"/>
        </w:trPr>
        <w:tc>
          <w:tcPr>
            <w:tcW w:w="6982" w:type="dxa"/>
            <w:tcBorders>
              <w:top w:val="nil"/>
              <w:left w:val="nil"/>
              <w:bottom w:val="nil"/>
              <w:right w:val="nil"/>
            </w:tcBorders>
            <w:shd w:val="clear" w:color="000000" w:fill="D9D9D9"/>
            <w:noWrap/>
            <w:vAlign w:val="bottom"/>
            <w:hideMark/>
          </w:tcPr>
          <w:p w14:paraId="2F1AC640" w14:textId="77777777" w:rsidR="00AB6753" w:rsidRDefault="00AB6753" w:rsidP="002D1EA4">
            <w:pPr>
              <w:spacing w:after="0"/>
              <w:rPr>
                <w:rFonts w:cs="Arial"/>
                <w:sz w:val="16"/>
                <w:szCs w:val="16"/>
              </w:rPr>
            </w:pPr>
            <w:r>
              <w:rPr>
                <w:rFonts w:cs="Arial"/>
                <w:sz w:val="16"/>
                <w:szCs w:val="16"/>
              </w:rPr>
              <w:t> </w:t>
            </w:r>
          </w:p>
        </w:tc>
        <w:tc>
          <w:tcPr>
            <w:tcW w:w="1078" w:type="dxa"/>
            <w:tcBorders>
              <w:top w:val="nil"/>
              <w:left w:val="nil"/>
              <w:bottom w:val="nil"/>
              <w:right w:val="nil"/>
            </w:tcBorders>
            <w:shd w:val="clear" w:color="000000" w:fill="D9D9D9"/>
            <w:noWrap/>
            <w:vAlign w:val="bottom"/>
            <w:hideMark/>
          </w:tcPr>
          <w:p w14:paraId="31345C05" w14:textId="77777777" w:rsidR="00AB6753" w:rsidRDefault="00AB6753" w:rsidP="002D1EA4">
            <w:pPr>
              <w:spacing w:after="0"/>
              <w:rPr>
                <w:rFonts w:cs="Arial"/>
                <w:b/>
                <w:bCs/>
                <w:sz w:val="16"/>
                <w:szCs w:val="16"/>
              </w:rPr>
            </w:pPr>
            <w:r>
              <w:rPr>
                <w:rFonts w:cs="Arial"/>
                <w:b/>
                <w:bCs/>
                <w:sz w:val="16"/>
                <w:szCs w:val="16"/>
              </w:rPr>
              <w:t> </w:t>
            </w:r>
          </w:p>
        </w:tc>
        <w:tc>
          <w:tcPr>
            <w:tcW w:w="273" w:type="dxa"/>
            <w:tcBorders>
              <w:top w:val="nil"/>
              <w:left w:val="nil"/>
              <w:bottom w:val="nil"/>
              <w:right w:val="nil"/>
            </w:tcBorders>
            <w:shd w:val="clear" w:color="000000" w:fill="D9D9D9"/>
            <w:noWrap/>
            <w:vAlign w:val="bottom"/>
            <w:hideMark/>
          </w:tcPr>
          <w:p w14:paraId="40BAEC54"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5E093B6A" w14:textId="77777777" w:rsidR="00AB6753" w:rsidRDefault="00AB6753" w:rsidP="002D1EA4">
            <w:pPr>
              <w:spacing w:after="0"/>
              <w:rPr>
                <w:rFonts w:cs="Arial"/>
                <w:sz w:val="16"/>
                <w:szCs w:val="16"/>
              </w:rPr>
            </w:pPr>
            <w:r>
              <w:rPr>
                <w:rFonts w:cs="Arial"/>
                <w:sz w:val="16"/>
                <w:szCs w:val="16"/>
              </w:rPr>
              <w:t> </w:t>
            </w:r>
          </w:p>
        </w:tc>
      </w:tr>
      <w:tr w:rsidR="00AB6753" w14:paraId="01542C2F" w14:textId="77777777" w:rsidTr="002D1EA4">
        <w:trPr>
          <w:trHeight w:val="255"/>
        </w:trPr>
        <w:tc>
          <w:tcPr>
            <w:tcW w:w="6982" w:type="dxa"/>
            <w:tcBorders>
              <w:top w:val="nil"/>
              <w:left w:val="nil"/>
              <w:bottom w:val="nil"/>
              <w:right w:val="nil"/>
            </w:tcBorders>
            <w:shd w:val="clear" w:color="000000" w:fill="D9D9D9"/>
            <w:vAlign w:val="bottom"/>
            <w:hideMark/>
          </w:tcPr>
          <w:p w14:paraId="64F5B358" w14:textId="77777777" w:rsidR="00AB6753" w:rsidRDefault="00AB6753" w:rsidP="002D1EA4">
            <w:pPr>
              <w:spacing w:after="0"/>
              <w:rPr>
                <w:rFonts w:cs="Arial"/>
                <w:b/>
                <w:bCs/>
                <w:sz w:val="18"/>
                <w:szCs w:val="18"/>
              </w:rPr>
            </w:pPr>
            <w:r>
              <w:rPr>
                <w:rFonts w:cs="Arial"/>
                <w:b/>
                <w:bCs/>
                <w:sz w:val="18"/>
                <w:szCs w:val="18"/>
              </w:rPr>
              <w:t>Financial Liabilities</w:t>
            </w:r>
          </w:p>
        </w:tc>
        <w:tc>
          <w:tcPr>
            <w:tcW w:w="1078" w:type="dxa"/>
            <w:tcBorders>
              <w:top w:val="nil"/>
              <w:left w:val="nil"/>
              <w:bottom w:val="nil"/>
              <w:right w:val="nil"/>
            </w:tcBorders>
            <w:shd w:val="clear" w:color="000000" w:fill="D9D9D9"/>
            <w:noWrap/>
            <w:vAlign w:val="bottom"/>
            <w:hideMark/>
          </w:tcPr>
          <w:p w14:paraId="40EE2A22" w14:textId="77777777" w:rsidR="00AB6753" w:rsidRDefault="00AB6753" w:rsidP="002D1EA4">
            <w:pPr>
              <w:spacing w:after="0"/>
              <w:rPr>
                <w:rFonts w:cs="Arial"/>
                <w:b/>
                <w:bCs/>
                <w:sz w:val="16"/>
                <w:szCs w:val="16"/>
              </w:rPr>
            </w:pPr>
            <w:r>
              <w:rPr>
                <w:rFonts w:cs="Arial"/>
                <w:b/>
                <w:bCs/>
                <w:sz w:val="16"/>
                <w:szCs w:val="16"/>
              </w:rPr>
              <w:t> </w:t>
            </w:r>
          </w:p>
        </w:tc>
        <w:tc>
          <w:tcPr>
            <w:tcW w:w="273" w:type="dxa"/>
            <w:tcBorders>
              <w:top w:val="nil"/>
              <w:left w:val="nil"/>
              <w:bottom w:val="nil"/>
              <w:right w:val="nil"/>
            </w:tcBorders>
            <w:shd w:val="clear" w:color="000000" w:fill="D9D9D9"/>
            <w:noWrap/>
            <w:vAlign w:val="bottom"/>
            <w:hideMark/>
          </w:tcPr>
          <w:p w14:paraId="0BD33B2A"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41916172" w14:textId="77777777" w:rsidR="00AB6753" w:rsidRDefault="00AB6753" w:rsidP="002D1EA4">
            <w:pPr>
              <w:spacing w:after="0"/>
              <w:rPr>
                <w:rFonts w:cs="Arial"/>
                <w:sz w:val="16"/>
                <w:szCs w:val="16"/>
              </w:rPr>
            </w:pPr>
            <w:r>
              <w:rPr>
                <w:rFonts w:cs="Arial"/>
                <w:sz w:val="16"/>
                <w:szCs w:val="16"/>
              </w:rPr>
              <w:t> </w:t>
            </w:r>
          </w:p>
        </w:tc>
      </w:tr>
      <w:tr w:rsidR="00AB6753" w14:paraId="54CA546D" w14:textId="77777777" w:rsidTr="002D1EA4">
        <w:trPr>
          <w:trHeight w:val="255"/>
        </w:trPr>
        <w:tc>
          <w:tcPr>
            <w:tcW w:w="6982" w:type="dxa"/>
            <w:tcBorders>
              <w:top w:val="nil"/>
              <w:left w:val="nil"/>
              <w:bottom w:val="nil"/>
              <w:right w:val="nil"/>
            </w:tcBorders>
            <w:shd w:val="clear" w:color="000000" w:fill="D9D9D9"/>
            <w:vAlign w:val="bottom"/>
            <w:hideMark/>
          </w:tcPr>
          <w:p w14:paraId="152FAB6B" w14:textId="77777777" w:rsidR="00AB6753" w:rsidRDefault="00AB6753" w:rsidP="002D1EA4">
            <w:pPr>
              <w:spacing w:after="0"/>
              <w:rPr>
                <w:rFonts w:cs="Arial"/>
                <w:b/>
                <w:bCs/>
                <w:sz w:val="18"/>
                <w:szCs w:val="18"/>
              </w:rPr>
            </w:pPr>
            <w:r>
              <w:rPr>
                <w:rFonts w:cs="Arial"/>
                <w:b/>
                <w:bCs/>
                <w:sz w:val="18"/>
                <w:szCs w:val="18"/>
              </w:rPr>
              <w:t>Financial liabilities measured at amortised cost</w:t>
            </w:r>
          </w:p>
        </w:tc>
        <w:tc>
          <w:tcPr>
            <w:tcW w:w="1078" w:type="dxa"/>
            <w:tcBorders>
              <w:top w:val="nil"/>
              <w:left w:val="nil"/>
              <w:bottom w:val="nil"/>
              <w:right w:val="nil"/>
            </w:tcBorders>
            <w:shd w:val="clear" w:color="000000" w:fill="D9D9D9"/>
            <w:noWrap/>
            <w:vAlign w:val="bottom"/>
            <w:hideMark/>
          </w:tcPr>
          <w:p w14:paraId="60CFDF05" w14:textId="77777777" w:rsidR="00AB6753" w:rsidRDefault="00AB6753" w:rsidP="002D1EA4">
            <w:pPr>
              <w:spacing w:after="0"/>
              <w:rPr>
                <w:rFonts w:cs="Arial"/>
                <w:b/>
                <w:bCs/>
                <w:sz w:val="16"/>
                <w:szCs w:val="16"/>
              </w:rPr>
            </w:pPr>
            <w:r>
              <w:rPr>
                <w:rFonts w:cs="Arial"/>
                <w:b/>
                <w:bCs/>
                <w:sz w:val="16"/>
                <w:szCs w:val="16"/>
              </w:rPr>
              <w:t> </w:t>
            </w:r>
          </w:p>
        </w:tc>
        <w:tc>
          <w:tcPr>
            <w:tcW w:w="273" w:type="dxa"/>
            <w:tcBorders>
              <w:top w:val="nil"/>
              <w:left w:val="nil"/>
              <w:bottom w:val="nil"/>
              <w:right w:val="nil"/>
            </w:tcBorders>
            <w:shd w:val="clear" w:color="000000" w:fill="D9D9D9"/>
            <w:noWrap/>
            <w:vAlign w:val="bottom"/>
            <w:hideMark/>
          </w:tcPr>
          <w:p w14:paraId="21AB9C2C"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nil"/>
              <w:right w:val="nil"/>
            </w:tcBorders>
            <w:shd w:val="clear" w:color="000000" w:fill="D9D9D9"/>
            <w:noWrap/>
            <w:vAlign w:val="bottom"/>
            <w:hideMark/>
          </w:tcPr>
          <w:p w14:paraId="4F92FB95" w14:textId="77777777" w:rsidR="00AB6753" w:rsidRDefault="00AB6753" w:rsidP="002D1EA4">
            <w:pPr>
              <w:spacing w:after="0"/>
              <w:rPr>
                <w:rFonts w:cs="Arial"/>
                <w:sz w:val="16"/>
                <w:szCs w:val="16"/>
              </w:rPr>
            </w:pPr>
            <w:r>
              <w:rPr>
                <w:rFonts w:cs="Arial"/>
                <w:sz w:val="16"/>
                <w:szCs w:val="16"/>
              </w:rPr>
              <w:t> </w:t>
            </w:r>
          </w:p>
        </w:tc>
      </w:tr>
      <w:tr w:rsidR="00AB6753" w14:paraId="5246C527" w14:textId="77777777" w:rsidTr="002D1EA4">
        <w:trPr>
          <w:trHeight w:val="255"/>
        </w:trPr>
        <w:tc>
          <w:tcPr>
            <w:tcW w:w="6982" w:type="dxa"/>
            <w:tcBorders>
              <w:top w:val="nil"/>
              <w:left w:val="nil"/>
              <w:bottom w:val="nil"/>
              <w:right w:val="nil"/>
            </w:tcBorders>
            <w:shd w:val="clear" w:color="000000" w:fill="D9D9D9"/>
            <w:noWrap/>
            <w:vAlign w:val="bottom"/>
            <w:hideMark/>
          </w:tcPr>
          <w:p w14:paraId="7115B682" w14:textId="77777777" w:rsidR="00AB6753" w:rsidRDefault="00AB6753" w:rsidP="002D1EA4">
            <w:pPr>
              <w:spacing w:after="0"/>
              <w:ind w:firstLineChars="100" w:firstLine="180"/>
              <w:rPr>
                <w:rFonts w:cs="Arial"/>
                <w:sz w:val="18"/>
                <w:szCs w:val="18"/>
              </w:rPr>
            </w:pPr>
            <w:r>
              <w:rPr>
                <w:rFonts w:cs="Arial"/>
                <w:sz w:val="18"/>
                <w:szCs w:val="18"/>
              </w:rPr>
              <w:t>Suppliers</w:t>
            </w:r>
          </w:p>
        </w:tc>
        <w:tc>
          <w:tcPr>
            <w:tcW w:w="1078" w:type="dxa"/>
            <w:tcBorders>
              <w:top w:val="nil"/>
              <w:left w:val="nil"/>
              <w:bottom w:val="nil"/>
              <w:right w:val="nil"/>
            </w:tcBorders>
            <w:shd w:val="clear" w:color="000000" w:fill="D9D9D9"/>
            <w:noWrap/>
            <w:vAlign w:val="bottom"/>
            <w:hideMark/>
          </w:tcPr>
          <w:p w14:paraId="69077C0E" w14:textId="77777777" w:rsidR="00AB6753" w:rsidRDefault="00AB6753" w:rsidP="002D1EA4">
            <w:pPr>
              <w:spacing w:after="0"/>
              <w:jc w:val="right"/>
              <w:rPr>
                <w:rFonts w:cs="Arial"/>
                <w:b/>
                <w:bCs/>
                <w:sz w:val="18"/>
                <w:szCs w:val="18"/>
              </w:rPr>
            </w:pPr>
            <w:r>
              <w:rPr>
                <w:rFonts w:cs="Arial"/>
                <w:b/>
                <w:bCs/>
                <w:sz w:val="18"/>
                <w:szCs w:val="18"/>
              </w:rPr>
              <w:t>98,706</w:t>
            </w:r>
          </w:p>
        </w:tc>
        <w:tc>
          <w:tcPr>
            <w:tcW w:w="273" w:type="dxa"/>
            <w:tcBorders>
              <w:top w:val="nil"/>
              <w:left w:val="nil"/>
              <w:bottom w:val="nil"/>
              <w:right w:val="nil"/>
            </w:tcBorders>
            <w:shd w:val="clear" w:color="000000" w:fill="D9D9D9"/>
            <w:noWrap/>
            <w:vAlign w:val="bottom"/>
            <w:hideMark/>
          </w:tcPr>
          <w:p w14:paraId="5F2F1567" w14:textId="77777777" w:rsidR="00AB6753" w:rsidRDefault="00AB6753" w:rsidP="002D1EA4">
            <w:pPr>
              <w:spacing w:after="0"/>
              <w:jc w:val="right"/>
              <w:rPr>
                <w:rFonts w:cs="Arial"/>
                <w:b/>
                <w:bCs/>
                <w:sz w:val="18"/>
                <w:szCs w:val="18"/>
              </w:rPr>
            </w:pPr>
            <w:r>
              <w:rPr>
                <w:rFonts w:cs="Arial"/>
                <w:b/>
                <w:bCs/>
                <w:sz w:val="18"/>
                <w:szCs w:val="18"/>
              </w:rPr>
              <w:t> </w:t>
            </w:r>
          </w:p>
        </w:tc>
        <w:tc>
          <w:tcPr>
            <w:tcW w:w="1165" w:type="dxa"/>
            <w:tcBorders>
              <w:top w:val="nil"/>
              <w:left w:val="nil"/>
              <w:bottom w:val="nil"/>
              <w:right w:val="nil"/>
            </w:tcBorders>
            <w:shd w:val="clear" w:color="000000" w:fill="D9D9D9"/>
            <w:noWrap/>
            <w:vAlign w:val="bottom"/>
            <w:hideMark/>
          </w:tcPr>
          <w:p w14:paraId="2C54F4F9" w14:textId="77777777" w:rsidR="00AB6753" w:rsidRDefault="00AB6753" w:rsidP="002D1EA4">
            <w:pPr>
              <w:spacing w:after="0"/>
              <w:jc w:val="right"/>
              <w:rPr>
                <w:rFonts w:cs="Arial"/>
                <w:sz w:val="18"/>
                <w:szCs w:val="18"/>
              </w:rPr>
            </w:pPr>
            <w:r>
              <w:rPr>
                <w:rFonts w:cs="Arial"/>
                <w:sz w:val="18"/>
                <w:szCs w:val="18"/>
              </w:rPr>
              <w:t>185,120</w:t>
            </w:r>
          </w:p>
        </w:tc>
      </w:tr>
      <w:tr w:rsidR="00AB6753" w14:paraId="0D60BF31" w14:textId="77777777" w:rsidTr="002D1EA4">
        <w:trPr>
          <w:trHeight w:val="255"/>
        </w:trPr>
        <w:tc>
          <w:tcPr>
            <w:tcW w:w="6982" w:type="dxa"/>
            <w:tcBorders>
              <w:top w:val="nil"/>
              <w:left w:val="nil"/>
              <w:bottom w:val="nil"/>
              <w:right w:val="nil"/>
            </w:tcBorders>
            <w:shd w:val="clear" w:color="000000" w:fill="D9D9D9"/>
            <w:noWrap/>
            <w:vAlign w:val="bottom"/>
            <w:hideMark/>
          </w:tcPr>
          <w:p w14:paraId="00065B10" w14:textId="77777777" w:rsidR="00AB6753" w:rsidRDefault="00AB6753" w:rsidP="002D1EA4">
            <w:pPr>
              <w:spacing w:after="0"/>
              <w:ind w:firstLineChars="100" w:firstLine="180"/>
              <w:rPr>
                <w:rFonts w:cs="Arial"/>
                <w:sz w:val="18"/>
                <w:szCs w:val="18"/>
              </w:rPr>
            </w:pPr>
            <w:r>
              <w:rPr>
                <w:rFonts w:cs="Arial"/>
                <w:sz w:val="18"/>
                <w:szCs w:val="18"/>
              </w:rPr>
              <w:t>Grants and subsidies</w:t>
            </w:r>
          </w:p>
        </w:tc>
        <w:tc>
          <w:tcPr>
            <w:tcW w:w="1078" w:type="dxa"/>
            <w:tcBorders>
              <w:top w:val="nil"/>
              <w:left w:val="nil"/>
              <w:bottom w:val="nil"/>
              <w:right w:val="nil"/>
            </w:tcBorders>
            <w:shd w:val="clear" w:color="000000" w:fill="D9D9D9"/>
            <w:noWrap/>
            <w:vAlign w:val="bottom"/>
            <w:hideMark/>
          </w:tcPr>
          <w:p w14:paraId="0EE02BE3" w14:textId="77777777" w:rsidR="00AB6753" w:rsidRDefault="00AB6753" w:rsidP="002D1EA4">
            <w:pPr>
              <w:spacing w:after="0"/>
              <w:jc w:val="right"/>
              <w:rPr>
                <w:rFonts w:cs="Arial"/>
                <w:b/>
                <w:bCs/>
                <w:sz w:val="18"/>
                <w:szCs w:val="18"/>
              </w:rPr>
            </w:pPr>
            <w:r>
              <w:rPr>
                <w:rFonts w:cs="Arial"/>
                <w:b/>
                <w:bCs/>
                <w:sz w:val="18"/>
                <w:szCs w:val="18"/>
              </w:rPr>
              <w:t>141,795</w:t>
            </w:r>
          </w:p>
        </w:tc>
        <w:tc>
          <w:tcPr>
            <w:tcW w:w="273" w:type="dxa"/>
            <w:tcBorders>
              <w:top w:val="nil"/>
              <w:left w:val="nil"/>
              <w:bottom w:val="nil"/>
              <w:right w:val="nil"/>
            </w:tcBorders>
            <w:shd w:val="clear" w:color="000000" w:fill="D9D9D9"/>
            <w:noWrap/>
            <w:vAlign w:val="bottom"/>
            <w:hideMark/>
          </w:tcPr>
          <w:p w14:paraId="49006A59" w14:textId="77777777" w:rsidR="00AB6753" w:rsidRDefault="00AB6753" w:rsidP="002D1EA4">
            <w:pPr>
              <w:spacing w:after="0"/>
              <w:jc w:val="right"/>
              <w:rPr>
                <w:rFonts w:cs="Arial"/>
                <w:b/>
                <w:bCs/>
                <w:sz w:val="18"/>
                <w:szCs w:val="18"/>
              </w:rPr>
            </w:pPr>
            <w:r>
              <w:rPr>
                <w:rFonts w:cs="Arial"/>
                <w:b/>
                <w:bCs/>
                <w:sz w:val="18"/>
                <w:szCs w:val="18"/>
              </w:rPr>
              <w:t> </w:t>
            </w:r>
          </w:p>
        </w:tc>
        <w:tc>
          <w:tcPr>
            <w:tcW w:w="1165" w:type="dxa"/>
            <w:tcBorders>
              <w:top w:val="nil"/>
              <w:left w:val="nil"/>
              <w:bottom w:val="nil"/>
              <w:right w:val="nil"/>
            </w:tcBorders>
            <w:shd w:val="clear" w:color="000000" w:fill="D9D9D9"/>
            <w:noWrap/>
            <w:vAlign w:val="bottom"/>
            <w:hideMark/>
          </w:tcPr>
          <w:p w14:paraId="2FFCB962" w14:textId="77777777" w:rsidR="00AB6753" w:rsidRDefault="00AB6753" w:rsidP="002D1EA4">
            <w:pPr>
              <w:spacing w:after="0"/>
              <w:jc w:val="right"/>
              <w:rPr>
                <w:rFonts w:cs="Arial"/>
                <w:sz w:val="18"/>
                <w:szCs w:val="18"/>
              </w:rPr>
            </w:pPr>
            <w:r>
              <w:rPr>
                <w:rFonts w:cs="Arial"/>
                <w:sz w:val="18"/>
                <w:szCs w:val="18"/>
              </w:rPr>
              <w:t>130,761</w:t>
            </w:r>
          </w:p>
        </w:tc>
      </w:tr>
      <w:tr w:rsidR="00AB6753" w14:paraId="4193DCAF" w14:textId="77777777" w:rsidTr="002D1EA4">
        <w:trPr>
          <w:trHeight w:val="255"/>
        </w:trPr>
        <w:tc>
          <w:tcPr>
            <w:tcW w:w="6982" w:type="dxa"/>
            <w:tcBorders>
              <w:top w:val="single" w:sz="4" w:space="0" w:color="D9D9D9"/>
              <w:left w:val="nil"/>
              <w:bottom w:val="single" w:sz="4" w:space="0" w:color="D9D9D9"/>
              <w:right w:val="nil"/>
            </w:tcBorders>
            <w:shd w:val="clear" w:color="000000" w:fill="D9D9D9"/>
            <w:vAlign w:val="bottom"/>
            <w:hideMark/>
          </w:tcPr>
          <w:p w14:paraId="5393856E" w14:textId="77777777" w:rsidR="00AB6753" w:rsidRDefault="00AB6753" w:rsidP="002D1EA4">
            <w:pPr>
              <w:spacing w:after="0"/>
              <w:rPr>
                <w:rFonts w:cs="Arial"/>
                <w:b/>
                <w:bCs/>
                <w:sz w:val="18"/>
                <w:szCs w:val="18"/>
              </w:rPr>
            </w:pPr>
            <w:r>
              <w:rPr>
                <w:rFonts w:cs="Arial"/>
                <w:b/>
                <w:bCs/>
                <w:sz w:val="18"/>
                <w:szCs w:val="18"/>
              </w:rPr>
              <w:t>Total financial liabilities measured at amortised cost</w:t>
            </w:r>
          </w:p>
        </w:tc>
        <w:tc>
          <w:tcPr>
            <w:tcW w:w="1078" w:type="dxa"/>
            <w:tcBorders>
              <w:top w:val="single" w:sz="4" w:space="0" w:color="auto"/>
              <w:left w:val="nil"/>
              <w:bottom w:val="single" w:sz="4" w:space="0" w:color="auto"/>
              <w:right w:val="nil"/>
            </w:tcBorders>
            <w:shd w:val="clear" w:color="000000" w:fill="D9D9D9"/>
            <w:noWrap/>
            <w:vAlign w:val="bottom"/>
            <w:hideMark/>
          </w:tcPr>
          <w:p w14:paraId="5D72A380" w14:textId="77777777" w:rsidR="00AB6753" w:rsidRDefault="00AB6753" w:rsidP="002D1EA4">
            <w:pPr>
              <w:spacing w:after="0"/>
              <w:jc w:val="right"/>
              <w:rPr>
                <w:rFonts w:cs="Arial"/>
                <w:b/>
                <w:bCs/>
                <w:sz w:val="18"/>
                <w:szCs w:val="18"/>
              </w:rPr>
            </w:pPr>
            <w:r>
              <w:rPr>
                <w:rFonts w:cs="Arial"/>
                <w:b/>
                <w:bCs/>
                <w:sz w:val="18"/>
                <w:szCs w:val="18"/>
              </w:rPr>
              <w:t>240,501</w:t>
            </w:r>
          </w:p>
        </w:tc>
        <w:tc>
          <w:tcPr>
            <w:tcW w:w="273" w:type="dxa"/>
            <w:tcBorders>
              <w:top w:val="single" w:sz="4" w:space="0" w:color="D9D9D9"/>
              <w:left w:val="nil"/>
              <w:bottom w:val="single" w:sz="4" w:space="0" w:color="D9D9D9"/>
              <w:right w:val="nil"/>
            </w:tcBorders>
            <w:shd w:val="clear" w:color="000000" w:fill="D9D9D9"/>
            <w:noWrap/>
            <w:vAlign w:val="bottom"/>
            <w:hideMark/>
          </w:tcPr>
          <w:p w14:paraId="11F75DD7" w14:textId="77777777" w:rsidR="00AB6753" w:rsidRDefault="00AB6753" w:rsidP="002D1EA4">
            <w:pPr>
              <w:spacing w:after="0"/>
              <w:rPr>
                <w:rFonts w:cs="Arial"/>
                <w:sz w:val="16"/>
                <w:szCs w:val="16"/>
              </w:rPr>
            </w:pPr>
            <w:r>
              <w:rPr>
                <w:rFonts w:cs="Arial"/>
                <w:sz w:val="16"/>
                <w:szCs w:val="16"/>
              </w:rPr>
              <w:t> </w:t>
            </w:r>
          </w:p>
        </w:tc>
        <w:tc>
          <w:tcPr>
            <w:tcW w:w="1165" w:type="dxa"/>
            <w:tcBorders>
              <w:top w:val="single" w:sz="4" w:space="0" w:color="auto"/>
              <w:left w:val="nil"/>
              <w:bottom w:val="single" w:sz="4" w:space="0" w:color="auto"/>
              <w:right w:val="nil"/>
            </w:tcBorders>
            <w:shd w:val="clear" w:color="000000" w:fill="D9D9D9"/>
            <w:noWrap/>
            <w:vAlign w:val="bottom"/>
            <w:hideMark/>
          </w:tcPr>
          <w:p w14:paraId="59D7A9A4" w14:textId="77777777" w:rsidR="00AB6753" w:rsidRDefault="00AB6753" w:rsidP="002D1EA4">
            <w:pPr>
              <w:spacing w:after="0"/>
              <w:jc w:val="right"/>
              <w:rPr>
                <w:rFonts w:cs="Arial"/>
                <w:sz w:val="18"/>
                <w:szCs w:val="18"/>
              </w:rPr>
            </w:pPr>
            <w:r>
              <w:rPr>
                <w:rFonts w:cs="Arial"/>
                <w:sz w:val="18"/>
                <w:szCs w:val="18"/>
              </w:rPr>
              <w:t>315,881</w:t>
            </w:r>
          </w:p>
        </w:tc>
      </w:tr>
      <w:tr w:rsidR="00AB6753" w14:paraId="10302440" w14:textId="77777777" w:rsidTr="002D1EA4">
        <w:trPr>
          <w:trHeight w:val="255"/>
        </w:trPr>
        <w:tc>
          <w:tcPr>
            <w:tcW w:w="6982" w:type="dxa"/>
            <w:tcBorders>
              <w:top w:val="nil"/>
              <w:left w:val="nil"/>
              <w:bottom w:val="single" w:sz="4" w:space="0" w:color="D9D9D9"/>
              <w:right w:val="nil"/>
            </w:tcBorders>
            <w:shd w:val="clear" w:color="000000" w:fill="D9D9D9"/>
            <w:vAlign w:val="bottom"/>
            <w:hideMark/>
          </w:tcPr>
          <w:p w14:paraId="6085F2D3" w14:textId="77777777" w:rsidR="00AB6753" w:rsidRDefault="00AB6753" w:rsidP="002D1EA4">
            <w:pPr>
              <w:spacing w:after="0"/>
              <w:rPr>
                <w:rFonts w:cs="Arial"/>
                <w:b/>
                <w:bCs/>
                <w:sz w:val="18"/>
                <w:szCs w:val="18"/>
              </w:rPr>
            </w:pPr>
            <w:r>
              <w:rPr>
                <w:rFonts w:cs="Arial"/>
                <w:b/>
                <w:bCs/>
                <w:sz w:val="18"/>
                <w:szCs w:val="18"/>
              </w:rPr>
              <w:t>Total financial liabilities</w:t>
            </w:r>
          </w:p>
        </w:tc>
        <w:tc>
          <w:tcPr>
            <w:tcW w:w="1078" w:type="dxa"/>
            <w:tcBorders>
              <w:top w:val="nil"/>
              <w:left w:val="nil"/>
              <w:bottom w:val="single" w:sz="4" w:space="0" w:color="auto"/>
              <w:right w:val="nil"/>
            </w:tcBorders>
            <w:shd w:val="clear" w:color="000000" w:fill="D9D9D9"/>
            <w:noWrap/>
            <w:vAlign w:val="bottom"/>
            <w:hideMark/>
          </w:tcPr>
          <w:p w14:paraId="0DC16CE9" w14:textId="77777777" w:rsidR="00AB6753" w:rsidRDefault="00AB6753" w:rsidP="002D1EA4">
            <w:pPr>
              <w:spacing w:after="0"/>
              <w:jc w:val="right"/>
              <w:rPr>
                <w:rFonts w:cs="Arial"/>
                <w:b/>
                <w:bCs/>
                <w:sz w:val="18"/>
                <w:szCs w:val="18"/>
              </w:rPr>
            </w:pPr>
            <w:r>
              <w:rPr>
                <w:rFonts w:cs="Arial"/>
                <w:b/>
                <w:bCs/>
                <w:sz w:val="18"/>
                <w:szCs w:val="18"/>
              </w:rPr>
              <w:t>240,501</w:t>
            </w:r>
          </w:p>
        </w:tc>
        <w:tc>
          <w:tcPr>
            <w:tcW w:w="273" w:type="dxa"/>
            <w:tcBorders>
              <w:top w:val="nil"/>
              <w:left w:val="nil"/>
              <w:bottom w:val="single" w:sz="4" w:space="0" w:color="D9D9D9"/>
              <w:right w:val="nil"/>
            </w:tcBorders>
            <w:shd w:val="clear" w:color="000000" w:fill="D9D9D9"/>
            <w:noWrap/>
            <w:vAlign w:val="bottom"/>
            <w:hideMark/>
          </w:tcPr>
          <w:p w14:paraId="507BDB78" w14:textId="77777777" w:rsidR="00AB6753" w:rsidRDefault="00AB6753" w:rsidP="002D1EA4">
            <w:pPr>
              <w:spacing w:after="0"/>
              <w:rPr>
                <w:rFonts w:cs="Arial"/>
                <w:sz w:val="16"/>
                <w:szCs w:val="16"/>
              </w:rPr>
            </w:pPr>
            <w:r>
              <w:rPr>
                <w:rFonts w:cs="Arial"/>
                <w:sz w:val="16"/>
                <w:szCs w:val="16"/>
              </w:rPr>
              <w:t> </w:t>
            </w:r>
          </w:p>
        </w:tc>
        <w:tc>
          <w:tcPr>
            <w:tcW w:w="1165" w:type="dxa"/>
            <w:tcBorders>
              <w:top w:val="nil"/>
              <w:left w:val="nil"/>
              <w:bottom w:val="single" w:sz="4" w:space="0" w:color="auto"/>
              <w:right w:val="nil"/>
            </w:tcBorders>
            <w:shd w:val="clear" w:color="000000" w:fill="D9D9D9"/>
            <w:noWrap/>
            <w:vAlign w:val="bottom"/>
            <w:hideMark/>
          </w:tcPr>
          <w:p w14:paraId="3A9F669B" w14:textId="77777777" w:rsidR="00AB6753" w:rsidRDefault="00AB6753" w:rsidP="002D1EA4">
            <w:pPr>
              <w:spacing w:after="0"/>
              <w:jc w:val="right"/>
              <w:rPr>
                <w:rFonts w:cs="Arial"/>
                <w:sz w:val="18"/>
                <w:szCs w:val="18"/>
              </w:rPr>
            </w:pPr>
            <w:r>
              <w:rPr>
                <w:rFonts w:cs="Arial"/>
                <w:sz w:val="18"/>
                <w:szCs w:val="18"/>
              </w:rPr>
              <w:t>315,881</w:t>
            </w:r>
          </w:p>
        </w:tc>
      </w:tr>
    </w:tbl>
    <w:p w14:paraId="21EB59DC" w14:textId="77777777" w:rsidR="00AB6753" w:rsidRDefault="00AB6753" w:rsidP="00AB6753">
      <w:pPr>
        <w:pStyle w:val="GreyShadeTableBreak"/>
        <w:ind w:left="142" w:right="-11" w:hanging="142"/>
      </w:pPr>
    </w:p>
    <w:tbl>
      <w:tblPr>
        <w:tblW w:w="9498" w:type="dxa"/>
        <w:tblLayout w:type="fixed"/>
        <w:tblLook w:val="04A0" w:firstRow="1" w:lastRow="0" w:firstColumn="1" w:lastColumn="0" w:noHBand="0" w:noVBand="1"/>
      </w:tblPr>
      <w:tblGrid>
        <w:gridCol w:w="7108"/>
        <w:gridCol w:w="1035"/>
        <w:gridCol w:w="239"/>
        <w:gridCol w:w="1116"/>
      </w:tblGrid>
      <w:tr w:rsidR="00AB6753" w14:paraId="58484248" w14:textId="77777777" w:rsidTr="002D1EA4">
        <w:trPr>
          <w:trHeight w:val="255"/>
        </w:trPr>
        <w:tc>
          <w:tcPr>
            <w:tcW w:w="7108" w:type="dxa"/>
            <w:tcBorders>
              <w:top w:val="nil"/>
              <w:left w:val="nil"/>
              <w:bottom w:val="nil"/>
              <w:right w:val="nil"/>
            </w:tcBorders>
            <w:shd w:val="clear" w:color="000000" w:fill="D9D9D9"/>
            <w:noWrap/>
            <w:hideMark/>
          </w:tcPr>
          <w:p w14:paraId="5CE2FFA6" w14:textId="77777777" w:rsidR="00AB6753" w:rsidRDefault="00AB6753" w:rsidP="002D1EA4">
            <w:pPr>
              <w:spacing w:after="0"/>
              <w:rPr>
                <w:rFonts w:cs="Arial"/>
                <w:b/>
                <w:bCs/>
                <w:sz w:val="18"/>
                <w:szCs w:val="18"/>
                <w:u w:val="single"/>
              </w:rPr>
            </w:pPr>
            <w:bookmarkStart w:id="242" w:name="Note_AFBTABLE1" w:colFirst="0" w:colLast="0"/>
            <w:r>
              <w:rPr>
                <w:rFonts w:cs="Arial"/>
                <w:b/>
                <w:bCs/>
                <w:sz w:val="18"/>
                <w:szCs w:val="18"/>
                <w:u w:val="single"/>
              </w:rPr>
              <w:t>Note 7.3B: Net Gains or Losses on Financial Assets</w:t>
            </w:r>
          </w:p>
        </w:tc>
        <w:tc>
          <w:tcPr>
            <w:tcW w:w="1035" w:type="dxa"/>
            <w:tcBorders>
              <w:top w:val="nil"/>
              <w:left w:val="nil"/>
              <w:bottom w:val="single" w:sz="4" w:space="0" w:color="D9D9D9"/>
              <w:right w:val="nil"/>
            </w:tcBorders>
            <w:shd w:val="clear" w:color="000000" w:fill="D9D9D9"/>
            <w:noWrap/>
            <w:vAlign w:val="bottom"/>
            <w:hideMark/>
          </w:tcPr>
          <w:p w14:paraId="0B765C06" w14:textId="77777777" w:rsidR="00AB6753" w:rsidRDefault="00AB6753" w:rsidP="002D1EA4">
            <w:pPr>
              <w:spacing w:after="0"/>
              <w:jc w:val="right"/>
              <w:rPr>
                <w:rFonts w:cs="Arial"/>
                <w:b/>
                <w:bCs/>
                <w:sz w:val="18"/>
                <w:szCs w:val="18"/>
              </w:rPr>
            </w:pPr>
            <w:r>
              <w:rPr>
                <w:rFonts w:cs="Arial"/>
                <w:b/>
                <w:bCs/>
                <w:sz w:val="18"/>
                <w:szCs w:val="18"/>
              </w:rPr>
              <w:t> </w:t>
            </w:r>
          </w:p>
        </w:tc>
        <w:tc>
          <w:tcPr>
            <w:tcW w:w="239" w:type="dxa"/>
            <w:tcBorders>
              <w:top w:val="nil"/>
              <w:left w:val="nil"/>
              <w:bottom w:val="single" w:sz="4" w:space="0" w:color="D9D9D9"/>
              <w:right w:val="nil"/>
            </w:tcBorders>
            <w:shd w:val="clear" w:color="000000" w:fill="D9D9D9"/>
            <w:noWrap/>
            <w:vAlign w:val="bottom"/>
            <w:hideMark/>
          </w:tcPr>
          <w:p w14:paraId="56B5080D" w14:textId="77777777" w:rsidR="00AB6753" w:rsidRDefault="00AB6753" w:rsidP="002D1EA4">
            <w:pPr>
              <w:spacing w:after="0"/>
              <w:jc w:val="right"/>
              <w:rPr>
                <w:rFonts w:cs="Arial"/>
                <w:b/>
                <w:bCs/>
                <w:sz w:val="18"/>
                <w:szCs w:val="18"/>
              </w:rPr>
            </w:pPr>
            <w:r>
              <w:rPr>
                <w:rFonts w:cs="Arial"/>
                <w:b/>
                <w:bCs/>
                <w:sz w:val="18"/>
                <w:szCs w:val="18"/>
              </w:rPr>
              <w:t> </w:t>
            </w:r>
          </w:p>
        </w:tc>
        <w:tc>
          <w:tcPr>
            <w:tcW w:w="1116" w:type="dxa"/>
            <w:tcBorders>
              <w:top w:val="nil"/>
              <w:left w:val="nil"/>
              <w:bottom w:val="single" w:sz="4" w:space="0" w:color="D9D9D9"/>
              <w:right w:val="nil"/>
            </w:tcBorders>
            <w:shd w:val="clear" w:color="000000" w:fill="D9D9D9"/>
            <w:noWrap/>
            <w:vAlign w:val="bottom"/>
            <w:hideMark/>
          </w:tcPr>
          <w:p w14:paraId="7A02CB90" w14:textId="77777777" w:rsidR="00AB6753" w:rsidRDefault="00AB6753" w:rsidP="002D1EA4">
            <w:pPr>
              <w:spacing w:after="0"/>
              <w:jc w:val="right"/>
              <w:rPr>
                <w:rFonts w:cs="Arial"/>
                <w:sz w:val="18"/>
                <w:szCs w:val="18"/>
              </w:rPr>
            </w:pPr>
            <w:r>
              <w:rPr>
                <w:rFonts w:cs="Arial"/>
                <w:sz w:val="18"/>
                <w:szCs w:val="18"/>
              </w:rPr>
              <w:t> </w:t>
            </w:r>
          </w:p>
        </w:tc>
      </w:tr>
      <w:bookmarkEnd w:id="242"/>
      <w:tr w:rsidR="00AB6753" w14:paraId="781EF118" w14:textId="77777777" w:rsidTr="002D1EA4">
        <w:trPr>
          <w:trHeight w:val="255"/>
        </w:trPr>
        <w:tc>
          <w:tcPr>
            <w:tcW w:w="7108" w:type="dxa"/>
            <w:tcBorders>
              <w:top w:val="nil"/>
              <w:left w:val="nil"/>
              <w:bottom w:val="nil"/>
              <w:right w:val="nil"/>
            </w:tcBorders>
            <w:shd w:val="clear" w:color="000000" w:fill="D9D9D9"/>
            <w:vAlign w:val="bottom"/>
            <w:hideMark/>
          </w:tcPr>
          <w:p w14:paraId="67239E71" w14:textId="77777777" w:rsidR="00AB6753" w:rsidRDefault="00AB6753" w:rsidP="002D1EA4">
            <w:pPr>
              <w:spacing w:after="0"/>
              <w:rPr>
                <w:rFonts w:cs="Arial"/>
                <w:b/>
                <w:bCs/>
                <w:sz w:val="18"/>
                <w:szCs w:val="18"/>
              </w:rPr>
            </w:pPr>
            <w:r>
              <w:rPr>
                <w:rFonts w:cs="Arial"/>
                <w:b/>
                <w:bCs/>
                <w:sz w:val="18"/>
                <w:szCs w:val="18"/>
              </w:rPr>
              <w:t>Financial assets at amortised cost</w:t>
            </w:r>
          </w:p>
        </w:tc>
        <w:tc>
          <w:tcPr>
            <w:tcW w:w="1035" w:type="dxa"/>
            <w:tcBorders>
              <w:top w:val="nil"/>
              <w:left w:val="nil"/>
              <w:bottom w:val="nil"/>
              <w:right w:val="nil"/>
            </w:tcBorders>
            <w:shd w:val="clear" w:color="000000" w:fill="D9D9D9"/>
            <w:noWrap/>
            <w:vAlign w:val="bottom"/>
            <w:hideMark/>
          </w:tcPr>
          <w:p w14:paraId="5C825088" w14:textId="77777777" w:rsidR="00AB6753" w:rsidRDefault="00AB6753" w:rsidP="002D1EA4">
            <w:pPr>
              <w:spacing w:after="0"/>
              <w:rPr>
                <w:rFonts w:cs="Arial"/>
                <w:b/>
                <w:bCs/>
                <w:sz w:val="16"/>
                <w:szCs w:val="16"/>
              </w:rPr>
            </w:pPr>
            <w:r>
              <w:rPr>
                <w:rFonts w:cs="Arial"/>
                <w:b/>
                <w:bCs/>
                <w:sz w:val="16"/>
                <w:szCs w:val="16"/>
              </w:rPr>
              <w:t> </w:t>
            </w:r>
          </w:p>
        </w:tc>
        <w:tc>
          <w:tcPr>
            <w:tcW w:w="239" w:type="dxa"/>
            <w:tcBorders>
              <w:top w:val="nil"/>
              <w:left w:val="nil"/>
              <w:bottom w:val="nil"/>
              <w:right w:val="nil"/>
            </w:tcBorders>
            <w:shd w:val="clear" w:color="000000" w:fill="D9D9D9"/>
            <w:noWrap/>
            <w:vAlign w:val="bottom"/>
            <w:hideMark/>
          </w:tcPr>
          <w:p w14:paraId="0E585870" w14:textId="77777777" w:rsidR="00AB6753" w:rsidRDefault="00AB6753" w:rsidP="002D1EA4">
            <w:pPr>
              <w:spacing w:after="0"/>
              <w:rPr>
                <w:rFonts w:cs="Arial"/>
                <w:sz w:val="16"/>
                <w:szCs w:val="16"/>
              </w:rPr>
            </w:pPr>
            <w:r>
              <w:rPr>
                <w:rFonts w:cs="Arial"/>
                <w:sz w:val="16"/>
                <w:szCs w:val="16"/>
              </w:rPr>
              <w:t> </w:t>
            </w:r>
          </w:p>
        </w:tc>
        <w:tc>
          <w:tcPr>
            <w:tcW w:w="1116" w:type="dxa"/>
            <w:tcBorders>
              <w:top w:val="nil"/>
              <w:left w:val="nil"/>
              <w:bottom w:val="nil"/>
              <w:right w:val="nil"/>
            </w:tcBorders>
            <w:shd w:val="clear" w:color="000000" w:fill="D9D9D9"/>
            <w:noWrap/>
            <w:vAlign w:val="bottom"/>
            <w:hideMark/>
          </w:tcPr>
          <w:p w14:paraId="6E456ACB" w14:textId="77777777" w:rsidR="00AB6753" w:rsidRDefault="00AB6753" w:rsidP="002D1EA4">
            <w:pPr>
              <w:spacing w:after="0"/>
              <w:rPr>
                <w:rFonts w:cs="Arial"/>
                <w:sz w:val="16"/>
                <w:szCs w:val="16"/>
              </w:rPr>
            </w:pPr>
            <w:r>
              <w:rPr>
                <w:rFonts w:cs="Arial"/>
                <w:sz w:val="16"/>
                <w:szCs w:val="16"/>
              </w:rPr>
              <w:t> </w:t>
            </w:r>
          </w:p>
        </w:tc>
      </w:tr>
      <w:tr w:rsidR="00AB6753" w14:paraId="219AD49D" w14:textId="77777777" w:rsidTr="002D1EA4">
        <w:trPr>
          <w:trHeight w:val="255"/>
        </w:trPr>
        <w:tc>
          <w:tcPr>
            <w:tcW w:w="7108" w:type="dxa"/>
            <w:tcBorders>
              <w:top w:val="nil"/>
              <w:left w:val="nil"/>
              <w:bottom w:val="nil"/>
              <w:right w:val="nil"/>
            </w:tcBorders>
            <w:shd w:val="clear" w:color="000000" w:fill="D9D9D9"/>
            <w:noWrap/>
            <w:vAlign w:val="bottom"/>
            <w:hideMark/>
          </w:tcPr>
          <w:p w14:paraId="56140F97" w14:textId="77777777" w:rsidR="00AB6753" w:rsidRDefault="00AB6753" w:rsidP="002D1EA4">
            <w:pPr>
              <w:spacing w:after="0"/>
              <w:ind w:firstLineChars="100" w:firstLine="180"/>
              <w:rPr>
                <w:rFonts w:cs="Arial"/>
                <w:sz w:val="18"/>
                <w:szCs w:val="18"/>
              </w:rPr>
            </w:pPr>
            <w:r>
              <w:rPr>
                <w:rFonts w:cs="Arial"/>
                <w:sz w:val="18"/>
                <w:szCs w:val="18"/>
              </w:rPr>
              <w:t>Impairment</w:t>
            </w:r>
          </w:p>
        </w:tc>
        <w:tc>
          <w:tcPr>
            <w:tcW w:w="1035" w:type="dxa"/>
            <w:tcBorders>
              <w:top w:val="nil"/>
              <w:left w:val="nil"/>
              <w:bottom w:val="nil"/>
              <w:right w:val="nil"/>
            </w:tcBorders>
            <w:shd w:val="clear" w:color="000000" w:fill="D9D9D9"/>
            <w:noWrap/>
            <w:vAlign w:val="bottom"/>
            <w:hideMark/>
          </w:tcPr>
          <w:p w14:paraId="5AA70705" w14:textId="77777777" w:rsidR="00AB6753" w:rsidRDefault="00AB6753" w:rsidP="002D1EA4">
            <w:pPr>
              <w:spacing w:after="0"/>
              <w:jc w:val="right"/>
              <w:rPr>
                <w:rFonts w:cs="Arial"/>
                <w:b/>
                <w:bCs/>
                <w:sz w:val="18"/>
                <w:szCs w:val="18"/>
              </w:rPr>
            </w:pPr>
            <w:r>
              <w:rPr>
                <w:rFonts w:cs="Arial"/>
                <w:b/>
                <w:bCs/>
                <w:sz w:val="18"/>
                <w:szCs w:val="18"/>
              </w:rPr>
              <w:t>58</w:t>
            </w:r>
          </w:p>
        </w:tc>
        <w:tc>
          <w:tcPr>
            <w:tcW w:w="239" w:type="dxa"/>
            <w:tcBorders>
              <w:top w:val="nil"/>
              <w:left w:val="nil"/>
              <w:bottom w:val="nil"/>
              <w:right w:val="nil"/>
            </w:tcBorders>
            <w:shd w:val="clear" w:color="000000" w:fill="D9D9D9"/>
            <w:noWrap/>
            <w:vAlign w:val="bottom"/>
            <w:hideMark/>
          </w:tcPr>
          <w:p w14:paraId="54C52B9F" w14:textId="77777777" w:rsidR="00AB6753" w:rsidRDefault="00AB6753" w:rsidP="002D1EA4">
            <w:pPr>
              <w:spacing w:after="0"/>
              <w:jc w:val="right"/>
              <w:rPr>
                <w:rFonts w:cs="Arial"/>
                <w:b/>
                <w:bCs/>
                <w:sz w:val="18"/>
                <w:szCs w:val="18"/>
              </w:rPr>
            </w:pPr>
            <w:r>
              <w:rPr>
                <w:rFonts w:cs="Arial"/>
                <w:b/>
                <w:bCs/>
                <w:sz w:val="18"/>
                <w:szCs w:val="18"/>
              </w:rPr>
              <w:t> </w:t>
            </w:r>
          </w:p>
        </w:tc>
        <w:tc>
          <w:tcPr>
            <w:tcW w:w="1116" w:type="dxa"/>
            <w:tcBorders>
              <w:top w:val="nil"/>
              <w:left w:val="nil"/>
              <w:bottom w:val="nil"/>
              <w:right w:val="nil"/>
            </w:tcBorders>
            <w:shd w:val="clear" w:color="000000" w:fill="D9D9D9"/>
            <w:noWrap/>
            <w:vAlign w:val="bottom"/>
            <w:hideMark/>
          </w:tcPr>
          <w:p w14:paraId="2B2766AD" w14:textId="77777777" w:rsidR="00AB6753" w:rsidRDefault="00AB6753" w:rsidP="002D1EA4">
            <w:pPr>
              <w:spacing w:after="0"/>
              <w:jc w:val="right"/>
              <w:rPr>
                <w:rFonts w:cs="Arial"/>
                <w:sz w:val="18"/>
                <w:szCs w:val="18"/>
              </w:rPr>
            </w:pPr>
            <w:r>
              <w:rPr>
                <w:rFonts w:cs="Arial"/>
                <w:sz w:val="18"/>
                <w:szCs w:val="18"/>
              </w:rPr>
              <w:t>16</w:t>
            </w:r>
          </w:p>
        </w:tc>
      </w:tr>
      <w:tr w:rsidR="00AB6753" w14:paraId="251DD930" w14:textId="77777777" w:rsidTr="002D1EA4">
        <w:trPr>
          <w:trHeight w:val="255"/>
        </w:trPr>
        <w:tc>
          <w:tcPr>
            <w:tcW w:w="7108" w:type="dxa"/>
            <w:tcBorders>
              <w:top w:val="single" w:sz="4" w:space="0" w:color="D9D9D9"/>
              <w:left w:val="nil"/>
              <w:bottom w:val="single" w:sz="4" w:space="0" w:color="D9D9D9"/>
              <w:right w:val="nil"/>
            </w:tcBorders>
            <w:shd w:val="clear" w:color="000000" w:fill="D9D9D9"/>
            <w:vAlign w:val="bottom"/>
            <w:hideMark/>
          </w:tcPr>
          <w:p w14:paraId="4BDB55BD" w14:textId="77777777" w:rsidR="00AB6753" w:rsidRDefault="00AB6753" w:rsidP="002D1EA4">
            <w:pPr>
              <w:spacing w:after="0"/>
              <w:rPr>
                <w:rFonts w:cs="Arial"/>
                <w:b/>
                <w:bCs/>
                <w:sz w:val="18"/>
                <w:szCs w:val="18"/>
              </w:rPr>
            </w:pPr>
            <w:r>
              <w:rPr>
                <w:rFonts w:cs="Arial"/>
                <w:b/>
                <w:bCs/>
                <w:sz w:val="18"/>
                <w:szCs w:val="18"/>
              </w:rPr>
              <w:t>Net gains financial assets at amortised cost</w:t>
            </w:r>
          </w:p>
        </w:tc>
        <w:tc>
          <w:tcPr>
            <w:tcW w:w="1035" w:type="dxa"/>
            <w:tcBorders>
              <w:top w:val="single" w:sz="4" w:space="0" w:color="auto"/>
              <w:left w:val="nil"/>
              <w:bottom w:val="single" w:sz="4" w:space="0" w:color="auto"/>
              <w:right w:val="nil"/>
            </w:tcBorders>
            <w:shd w:val="clear" w:color="000000" w:fill="D9D9D9"/>
            <w:noWrap/>
            <w:vAlign w:val="bottom"/>
            <w:hideMark/>
          </w:tcPr>
          <w:p w14:paraId="3875112C" w14:textId="77777777" w:rsidR="00AB6753" w:rsidRDefault="00AB6753" w:rsidP="002D1EA4">
            <w:pPr>
              <w:spacing w:after="0"/>
              <w:jc w:val="right"/>
              <w:rPr>
                <w:rFonts w:cs="Arial"/>
                <w:b/>
                <w:bCs/>
                <w:sz w:val="18"/>
                <w:szCs w:val="18"/>
              </w:rPr>
            </w:pPr>
            <w:r>
              <w:rPr>
                <w:rFonts w:cs="Arial"/>
                <w:b/>
                <w:bCs/>
                <w:sz w:val="18"/>
                <w:szCs w:val="18"/>
              </w:rPr>
              <w:t>58</w:t>
            </w:r>
          </w:p>
        </w:tc>
        <w:tc>
          <w:tcPr>
            <w:tcW w:w="239" w:type="dxa"/>
            <w:tcBorders>
              <w:top w:val="single" w:sz="4" w:space="0" w:color="D9D9D9"/>
              <w:left w:val="nil"/>
              <w:bottom w:val="single" w:sz="4" w:space="0" w:color="D9D9D9"/>
              <w:right w:val="nil"/>
            </w:tcBorders>
            <w:shd w:val="clear" w:color="000000" w:fill="D9D9D9"/>
            <w:noWrap/>
            <w:vAlign w:val="bottom"/>
            <w:hideMark/>
          </w:tcPr>
          <w:p w14:paraId="7E2092D5" w14:textId="77777777" w:rsidR="00AB6753" w:rsidRDefault="00AB6753" w:rsidP="002D1EA4">
            <w:pPr>
              <w:spacing w:after="0"/>
              <w:rPr>
                <w:rFonts w:cs="Arial"/>
                <w:sz w:val="16"/>
                <w:szCs w:val="16"/>
              </w:rPr>
            </w:pPr>
            <w:r>
              <w:rPr>
                <w:rFonts w:cs="Arial"/>
                <w:sz w:val="16"/>
                <w:szCs w:val="16"/>
              </w:rPr>
              <w:t> </w:t>
            </w:r>
          </w:p>
        </w:tc>
        <w:tc>
          <w:tcPr>
            <w:tcW w:w="1116" w:type="dxa"/>
            <w:tcBorders>
              <w:top w:val="single" w:sz="4" w:space="0" w:color="auto"/>
              <w:left w:val="nil"/>
              <w:bottom w:val="single" w:sz="4" w:space="0" w:color="auto"/>
              <w:right w:val="nil"/>
            </w:tcBorders>
            <w:shd w:val="clear" w:color="000000" w:fill="D9D9D9"/>
            <w:noWrap/>
            <w:vAlign w:val="bottom"/>
            <w:hideMark/>
          </w:tcPr>
          <w:p w14:paraId="42ADEB04" w14:textId="77777777" w:rsidR="00AB6753" w:rsidRDefault="00AB6753" w:rsidP="002D1EA4">
            <w:pPr>
              <w:spacing w:after="0"/>
              <w:jc w:val="right"/>
              <w:rPr>
                <w:rFonts w:cs="Arial"/>
                <w:sz w:val="18"/>
                <w:szCs w:val="18"/>
              </w:rPr>
            </w:pPr>
            <w:r>
              <w:rPr>
                <w:rFonts w:cs="Arial"/>
                <w:sz w:val="18"/>
                <w:szCs w:val="18"/>
              </w:rPr>
              <w:t>16</w:t>
            </w:r>
          </w:p>
        </w:tc>
      </w:tr>
      <w:tr w:rsidR="00AB6753" w14:paraId="1F20C3D5" w14:textId="77777777" w:rsidTr="002D1EA4">
        <w:trPr>
          <w:trHeight w:val="255"/>
        </w:trPr>
        <w:tc>
          <w:tcPr>
            <w:tcW w:w="7108" w:type="dxa"/>
            <w:tcBorders>
              <w:top w:val="nil"/>
              <w:left w:val="nil"/>
              <w:bottom w:val="nil"/>
              <w:right w:val="nil"/>
            </w:tcBorders>
            <w:shd w:val="clear" w:color="000000" w:fill="D9D9D9"/>
            <w:noWrap/>
            <w:vAlign w:val="bottom"/>
            <w:hideMark/>
          </w:tcPr>
          <w:p w14:paraId="0521CD06" w14:textId="77777777" w:rsidR="00AB6753" w:rsidRDefault="00AB6753" w:rsidP="002D1EA4">
            <w:pPr>
              <w:spacing w:after="0"/>
              <w:ind w:firstLineChars="100" w:firstLine="180"/>
              <w:rPr>
                <w:rFonts w:cs="Arial"/>
                <w:sz w:val="18"/>
                <w:szCs w:val="18"/>
              </w:rPr>
            </w:pPr>
            <w:r>
              <w:rPr>
                <w:rFonts w:cs="Arial"/>
                <w:sz w:val="18"/>
                <w:szCs w:val="18"/>
              </w:rPr>
              <w:t> </w:t>
            </w:r>
          </w:p>
        </w:tc>
        <w:tc>
          <w:tcPr>
            <w:tcW w:w="1035" w:type="dxa"/>
            <w:tcBorders>
              <w:top w:val="nil"/>
              <w:left w:val="nil"/>
              <w:bottom w:val="nil"/>
              <w:right w:val="nil"/>
            </w:tcBorders>
            <w:shd w:val="clear" w:color="000000" w:fill="D9D9D9"/>
            <w:noWrap/>
            <w:vAlign w:val="bottom"/>
            <w:hideMark/>
          </w:tcPr>
          <w:p w14:paraId="7CC316B3" w14:textId="77777777" w:rsidR="00AB6753" w:rsidRDefault="00AB6753" w:rsidP="002D1EA4">
            <w:pPr>
              <w:spacing w:after="0"/>
              <w:rPr>
                <w:rFonts w:cs="Arial"/>
                <w:b/>
                <w:bCs/>
                <w:sz w:val="16"/>
                <w:szCs w:val="16"/>
              </w:rPr>
            </w:pPr>
            <w:r>
              <w:rPr>
                <w:rFonts w:cs="Arial"/>
                <w:b/>
                <w:bCs/>
                <w:sz w:val="16"/>
                <w:szCs w:val="16"/>
              </w:rPr>
              <w:t> </w:t>
            </w:r>
          </w:p>
        </w:tc>
        <w:tc>
          <w:tcPr>
            <w:tcW w:w="239" w:type="dxa"/>
            <w:tcBorders>
              <w:top w:val="nil"/>
              <w:left w:val="nil"/>
              <w:bottom w:val="nil"/>
              <w:right w:val="nil"/>
            </w:tcBorders>
            <w:shd w:val="clear" w:color="000000" w:fill="D9D9D9"/>
            <w:noWrap/>
            <w:vAlign w:val="bottom"/>
            <w:hideMark/>
          </w:tcPr>
          <w:p w14:paraId="634AC1B8" w14:textId="77777777" w:rsidR="00AB6753" w:rsidRDefault="00AB6753" w:rsidP="002D1EA4">
            <w:pPr>
              <w:spacing w:after="0"/>
              <w:rPr>
                <w:rFonts w:cs="Arial"/>
                <w:sz w:val="16"/>
                <w:szCs w:val="16"/>
              </w:rPr>
            </w:pPr>
            <w:r>
              <w:rPr>
                <w:rFonts w:cs="Arial"/>
                <w:sz w:val="16"/>
                <w:szCs w:val="16"/>
              </w:rPr>
              <w:t> </w:t>
            </w:r>
          </w:p>
        </w:tc>
        <w:tc>
          <w:tcPr>
            <w:tcW w:w="1116" w:type="dxa"/>
            <w:tcBorders>
              <w:top w:val="nil"/>
              <w:left w:val="nil"/>
              <w:bottom w:val="nil"/>
              <w:right w:val="nil"/>
            </w:tcBorders>
            <w:shd w:val="clear" w:color="000000" w:fill="D9D9D9"/>
            <w:noWrap/>
            <w:vAlign w:val="bottom"/>
            <w:hideMark/>
          </w:tcPr>
          <w:p w14:paraId="45F690E0" w14:textId="77777777" w:rsidR="00AB6753" w:rsidRDefault="00AB6753" w:rsidP="002D1EA4">
            <w:pPr>
              <w:spacing w:after="0"/>
              <w:rPr>
                <w:rFonts w:cs="Arial"/>
                <w:sz w:val="16"/>
                <w:szCs w:val="16"/>
              </w:rPr>
            </w:pPr>
            <w:r>
              <w:rPr>
                <w:rFonts w:cs="Arial"/>
                <w:sz w:val="16"/>
                <w:szCs w:val="16"/>
              </w:rPr>
              <w:t> </w:t>
            </w:r>
          </w:p>
        </w:tc>
      </w:tr>
      <w:tr w:rsidR="00AB6753" w14:paraId="7477B929" w14:textId="77777777" w:rsidTr="002D1EA4">
        <w:trPr>
          <w:trHeight w:val="255"/>
        </w:trPr>
        <w:tc>
          <w:tcPr>
            <w:tcW w:w="7108" w:type="dxa"/>
            <w:tcBorders>
              <w:top w:val="nil"/>
              <w:left w:val="nil"/>
              <w:bottom w:val="nil"/>
              <w:right w:val="nil"/>
            </w:tcBorders>
            <w:shd w:val="clear" w:color="000000" w:fill="D9D9D9"/>
            <w:vAlign w:val="bottom"/>
            <w:hideMark/>
          </w:tcPr>
          <w:p w14:paraId="47058FC8" w14:textId="77777777" w:rsidR="00AB6753" w:rsidRDefault="00AB6753" w:rsidP="002D1EA4">
            <w:pPr>
              <w:spacing w:after="0"/>
              <w:rPr>
                <w:rFonts w:cs="Arial"/>
                <w:b/>
                <w:bCs/>
                <w:sz w:val="18"/>
                <w:szCs w:val="18"/>
              </w:rPr>
            </w:pPr>
            <w:r>
              <w:rPr>
                <w:rFonts w:cs="Arial"/>
                <w:b/>
                <w:bCs/>
                <w:sz w:val="18"/>
                <w:szCs w:val="18"/>
              </w:rPr>
              <w:t>Financial assets at fair value through profit or loss (designated)</w:t>
            </w:r>
          </w:p>
        </w:tc>
        <w:tc>
          <w:tcPr>
            <w:tcW w:w="1035" w:type="dxa"/>
            <w:tcBorders>
              <w:top w:val="nil"/>
              <w:left w:val="nil"/>
              <w:bottom w:val="nil"/>
              <w:right w:val="nil"/>
            </w:tcBorders>
            <w:shd w:val="clear" w:color="000000" w:fill="D9D9D9"/>
            <w:noWrap/>
            <w:vAlign w:val="bottom"/>
            <w:hideMark/>
          </w:tcPr>
          <w:p w14:paraId="3B69B77C" w14:textId="77777777" w:rsidR="00AB6753" w:rsidRDefault="00AB6753" w:rsidP="002D1EA4">
            <w:pPr>
              <w:spacing w:after="0"/>
              <w:rPr>
                <w:rFonts w:cs="Arial"/>
                <w:b/>
                <w:bCs/>
                <w:sz w:val="16"/>
                <w:szCs w:val="16"/>
              </w:rPr>
            </w:pPr>
            <w:r>
              <w:rPr>
                <w:rFonts w:cs="Arial"/>
                <w:b/>
                <w:bCs/>
                <w:sz w:val="16"/>
                <w:szCs w:val="16"/>
              </w:rPr>
              <w:t> </w:t>
            </w:r>
          </w:p>
        </w:tc>
        <w:tc>
          <w:tcPr>
            <w:tcW w:w="239" w:type="dxa"/>
            <w:tcBorders>
              <w:top w:val="nil"/>
              <w:left w:val="nil"/>
              <w:bottom w:val="nil"/>
              <w:right w:val="nil"/>
            </w:tcBorders>
            <w:shd w:val="clear" w:color="000000" w:fill="D9D9D9"/>
            <w:noWrap/>
            <w:vAlign w:val="bottom"/>
            <w:hideMark/>
          </w:tcPr>
          <w:p w14:paraId="61B0E2FE" w14:textId="77777777" w:rsidR="00AB6753" w:rsidRDefault="00AB6753" w:rsidP="002D1EA4">
            <w:pPr>
              <w:spacing w:after="0"/>
              <w:rPr>
                <w:rFonts w:cs="Arial"/>
                <w:sz w:val="16"/>
                <w:szCs w:val="16"/>
              </w:rPr>
            </w:pPr>
            <w:r>
              <w:rPr>
                <w:rFonts w:cs="Arial"/>
                <w:sz w:val="16"/>
                <w:szCs w:val="16"/>
              </w:rPr>
              <w:t> </w:t>
            </w:r>
          </w:p>
        </w:tc>
        <w:tc>
          <w:tcPr>
            <w:tcW w:w="1116" w:type="dxa"/>
            <w:tcBorders>
              <w:top w:val="nil"/>
              <w:left w:val="nil"/>
              <w:bottom w:val="nil"/>
              <w:right w:val="nil"/>
            </w:tcBorders>
            <w:shd w:val="clear" w:color="000000" w:fill="D9D9D9"/>
            <w:noWrap/>
            <w:vAlign w:val="bottom"/>
            <w:hideMark/>
          </w:tcPr>
          <w:p w14:paraId="5A010709" w14:textId="77777777" w:rsidR="00AB6753" w:rsidRDefault="00AB6753" w:rsidP="002D1EA4">
            <w:pPr>
              <w:spacing w:after="0"/>
              <w:rPr>
                <w:rFonts w:cs="Arial"/>
                <w:sz w:val="16"/>
                <w:szCs w:val="16"/>
              </w:rPr>
            </w:pPr>
            <w:r>
              <w:rPr>
                <w:rFonts w:cs="Arial"/>
                <w:sz w:val="16"/>
                <w:szCs w:val="16"/>
              </w:rPr>
              <w:t> </w:t>
            </w:r>
          </w:p>
        </w:tc>
      </w:tr>
      <w:tr w:rsidR="00AB6753" w14:paraId="487E451A" w14:textId="77777777" w:rsidTr="002D1EA4">
        <w:trPr>
          <w:trHeight w:val="255"/>
        </w:trPr>
        <w:tc>
          <w:tcPr>
            <w:tcW w:w="7108" w:type="dxa"/>
            <w:tcBorders>
              <w:top w:val="nil"/>
              <w:left w:val="nil"/>
              <w:bottom w:val="nil"/>
              <w:right w:val="nil"/>
            </w:tcBorders>
            <w:shd w:val="clear" w:color="000000" w:fill="D9D9D9"/>
            <w:noWrap/>
            <w:vAlign w:val="bottom"/>
            <w:hideMark/>
          </w:tcPr>
          <w:p w14:paraId="30075261" w14:textId="77777777" w:rsidR="00AB6753" w:rsidRDefault="00AB6753" w:rsidP="002D1EA4">
            <w:pPr>
              <w:spacing w:after="0"/>
              <w:ind w:firstLineChars="100" w:firstLine="180"/>
              <w:rPr>
                <w:rFonts w:cs="Arial"/>
                <w:sz w:val="18"/>
                <w:szCs w:val="18"/>
              </w:rPr>
            </w:pPr>
            <w:r>
              <w:rPr>
                <w:rFonts w:cs="Arial"/>
                <w:sz w:val="18"/>
                <w:szCs w:val="18"/>
              </w:rPr>
              <w:t>Change in fair value</w:t>
            </w:r>
          </w:p>
        </w:tc>
        <w:tc>
          <w:tcPr>
            <w:tcW w:w="1035" w:type="dxa"/>
            <w:tcBorders>
              <w:top w:val="nil"/>
              <w:left w:val="nil"/>
              <w:bottom w:val="nil"/>
              <w:right w:val="nil"/>
            </w:tcBorders>
            <w:shd w:val="clear" w:color="000000" w:fill="D9D9D9"/>
            <w:noWrap/>
            <w:vAlign w:val="bottom"/>
            <w:hideMark/>
          </w:tcPr>
          <w:p w14:paraId="23F03014" w14:textId="77777777" w:rsidR="00AB6753" w:rsidRDefault="00AB6753" w:rsidP="002D1EA4">
            <w:pPr>
              <w:spacing w:after="0"/>
              <w:jc w:val="right"/>
              <w:rPr>
                <w:rFonts w:cs="Arial"/>
                <w:b/>
                <w:bCs/>
                <w:sz w:val="18"/>
                <w:szCs w:val="18"/>
              </w:rPr>
            </w:pPr>
            <w:r>
              <w:rPr>
                <w:rFonts w:cs="Arial"/>
                <w:b/>
                <w:bCs/>
                <w:sz w:val="18"/>
                <w:szCs w:val="18"/>
              </w:rPr>
              <w:t>212,310</w:t>
            </w:r>
          </w:p>
        </w:tc>
        <w:tc>
          <w:tcPr>
            <w:tcW w:w="239" w:type="dxa"/>
            <w:tcBorders>
              <w:top w:val="nil"/>
              <w:left w:val="nil"/>
              <w:bottom w:val="nil"/>
              <w:right w:val="nil"/>
            </w:tcBorders>
            <w:shd w:val="clear" w:color="000000" w:fill="D9D9D9"/>
            <w:noWrap/>
            <w:vAlign w:val="bottom"/>
            <w:hideMark/>
          </w:tcPr>
          <w:p w14:paraId="507124C4" w14:textId="77777777" w:rsidR="00AB6753" w:rsidRDefault="00AB6753" w:rsidP="002D1EA4">
            <w:pPr>
              <w:spacing w:after="0"/>
              <w:jc w:val="right"/>
              <w:rPr>
                <w:rFonts w:cs="Arial"/>
                <w:b/>
                <w:bCs/>
                <w:sz w:val="18"/>
                <w:szCs w:val="18"/>
              </w:rPr>
            </w:pPr>
            <w:r>
              <w:rPr>
                <w:rFonts w:cs="Arial"/>
                <w:b/>
                <w:bCs/>
                <w:sz w:val="18"/>
                <w:szCs w:val="18"/>
              </w:rPr>
              <w:t> </w:t>
            </w:r>
          </w:p>
        </w:tc>
        <w:tc>
          <w:tcPr>
            <w:tcW w:w="1116" w:type="dxa"/>
            <w:tcBorders>
              <w:top w:val="nil"/>
              <w:left w:val="nil"/>
              <w:bottom w:val="nil"/>
              <w:right w:val="nil"/>
            </w:tcBorders>
            <w:shd w:val="clear" w:color="000000" w:fill="D9D9D9"/>
            <w:noWrap/>
            <w:vAlign w:val="bottom"/>
            <w:hideMark/>
          </w:tcPr>
          <w:p w14:paraId="1F9C4135" w14:textId="77777777" w:rsidR="00AB6753" w:rsidRDefault="00AB6753" w:rsidP="002D1EA4">
            <w:pPr>
              <w:spacing w:after="0"/>
              <w:jc w:val="right"/>
              <w:rPr>
                <w:rFonts w:cs="Arial"/>
                <w:sz w:val="18"/>
                <w:szCs w:val="18"/>
              </w:rPr>
            </w:pPr>
            <w:r>
              <w:rPr>
                <w:rFonts w:cs="Arial"/>
                <w:sz w:val="18"/>
                <w:szCs w:val="18"/>
              </w:rPr>
              <w:t>74,146</w:t>
            </w:r>
          </w:p>
        </w:tc>
      </w:tr>
      <w:tr w:rsidR="00AB6753" w14:paraId="1497E5EB" w14:textId="77777777" w:rsidTr="002D1EA4">
        <w:trPr>
          <w:trHeight w:val="255"/>
        </w:trPr>
        <w:tc>
          <w:tcPr>
            <w:tcW w:w="7108" w:type="dxa"/>
            <w:tcBorders>
              <w:top w:val="nil"/>
              <w:left w:val="nil"/>
              <w:bottom w:val="nil"/>
              <w:right w:val="nil"/>
            </w:tcBorders>
            <w:shd w:val="clear" w:color="000000" w:fill="D9D9D9"/>
            <w:vAlign w:val="bottom"/>
            <w:hideMark/>
          </w:tcPr>
          <w:p w14:paraId="2F2DCECA" w14:textId="77777777" w:rsidR="00AB6753" w:rsidRDefault="00AB6753" w:rsidP="002D1EA4">
            <w:pPr>
              <w:spacing w:after="0"/>
              <w:rPr>
                <w:rFonts w:cs="Arial"/>
                <w:b/>
                <w:bCs/>
                <w:sz w:val="18"/>
                <w:szCs w:val="18"/>
              </w:rPr>
            </w:pPr>
            <w:r>
              <w:rPr>
                <w:rFonts w:cs="Arial"/>
                <w:b/>
                <w:bCs/>
                <w:sz w:val="18"/>
                <w:szCs w:val="18"/>
              </w:rPr>
              <w:t>Net gains on financial assets at fair value through profit or loss (designated)</w:t>
            </w:r>
          </w:p>
        </w:tc>
        <w:tc>
          <w:tcPr>
            <w:tcW w:w="1035" w:type="dxa"/>
            <w:tcBorders>
              <w:top w:val="single" w:sz="4" w:space="0" w:color="auto"/>
              <w:left w:val="nil"/>
              <w:bottom w:val="single" w:sz="4" w:space="0" w:color="auto"/>
              <w:right w:val="nil"/>
            </w:tcBorders>
            <w:shd w:val="clear" w:color="000000" w:fill="D9D9D9"/>
            <w:noWrap/>
            <w:vAlign w:val="bottom"/>
            <w:hideMark/>
          </w:tcPr>
          <w:p w14:paraId="0B62D4C8" w14:textId="77777777" w:rsidR="00AB6753" w:rsidRDefault="00AB6753" w:rsidP="002D1EA4">
            <w:pPr>
              <w:spacing w:after="0"/>
              <w:jc w:val="right"/>
              <w:rPr>
                <w:rFonts w:cs="Arial"/>
                <w:b/>
                <w:bCs/>
                <w:sz w:val="18"/>
                <w:szCs w:val="18"/>
              </w:rPr>
            </w:pPr>
            <w:r>
              <w:rPr>
                <w:rFonts w:cs="Arial"/>
                <w:b/>
                <w:bCs/>
                <w:sz w:val="18"/>
                <w:szCs w:val="18"/>
              </w:rPr>
              <w:t>212,310</w:t>
            </w:r>
          </w:p>
        </w:tc>
        <w:tc>
          <w:tcPr>
            <w:tcW w:w="239" w:type="dxa"/>
            <w:tcBorders>
              <w:top w:val="single" w:sz="4" w:space="0" w:color="D9D9D9"/>
              <w:left w:val="nil"/>
              <w:bottom w:val="single" w:sz="4" w:space="0" w:color="D9D9D9"/>
              <w:right w:val="nil"/>
            </w:tcBorders>
            <w:shd w:val="clear" w:color="000000" w:fill="D9D9D9"/>
            <w:noWrap/>
            <w:vAlign w:val="bottom"/>
            <w:hideMark/>
          </w:tcPr>
          <w:p w14:paraId="6989B560" w14:textId="77777777" w:rsidR="00AB6753" w:rsidRDefault="00AB6753" w:rsidP="002D1EA4">
            <w:pPr>
              <w:spacing w:after="0"/>
              <w:rPr>
                <w:rFonts w:cs="Arial"/>
                <w:sz w:val="16"/>
                <w:szCs w:val="16"/>
              </w:rPr>
            </w:pPr>
            <w:r>
              <w:rPr>
                <w:rFonts w:cs="Arial"/>
                <w:sz w:val="16"/>
                <w:szCs w:val="16"/>
              </w:rPr>
              <w:t> </w:t>
            </w:r>
          </w:p>
        </w:tc>
        <w:tc>
          <w:tcPr>
            <w:tcW w:w="1116" w:type="dxa"/>
            <w:tcBorders>
              <w:top w:val="single" w:sz="4" w:space="0" w:color="auto"/>
              <w:left w:val="nil"/>
              <w:bottom w:val="single" w:sz="4" w:space="0" w:color="auto"/>
              <w:right w:val="nil"/>
            </w:tcBorders>
            <w:shd w:val="clear" w:color="000000" w:fill="D9D9D9"/>
            <w:noWrap/>
            <w:vAlign w:val="bottom"/>
            <w:hideMark/>
          </w:tcPr>
          <w:p w14:paraId="630010F8" w14:textId="77777777" w:rsidR="00AB6753" w:rsidRDefault="00AB6753" w:rsidP="002D1EA4">
            <w:pPr>
              <w:spacing w:after="0"/>
              <w:jc w:val="right"/>
              <w:rPr>
                <w:rFonts w:cs="Arial"/>
                <w:sz w:val="18"/>
                <w:szCs w:val="18"/>
              </w:rPr>
            </w:pPr>
            <w:r>
              <w:rPr>
                <w:rFonts w:cs="Arial"/>
                <w:sz w:val="18"/>
                <w:szCs w:val="18"/>
              </w:rPr>
              <w:t>74,146</w:t>
            </w:r>
          </w:p>
        </w:tc>
      </w:tr>
      <w:tr w:rsidR="00AB6753" w14:paraId="08DF66D1" w14:textId="77777777" w:rsidTr="002D1EA4">
        <w:trPr>
          <w:trHeight w:val="255"/>
        </w:trPr>
        <w:tc>
          <w:tcPr>
            <w:tcW w:w="7108" w:type="dxa"/>
            <w:tcBorders>
              <w:top w:val="nil"/>
              <w:left w:val="nil"/>
              <w:bottom w:val="nil"/>
              <w:right w:val="nil"/>
            </w:tcBorders>
            <w:shd w:val="clear" w:color="000000" w:fill="D9D9D9"/>
            <w:vAlign w:val="bottom"/>
            <w:hideMark/>
          </w:tcPr>
          <w:p w14:paraId="225C2A76" w14:textId="77777777" w:rsidR="00AB6753" w:rsidRDefault="00AB6753" w:rsidP="002D1EA4">
            <w:pPr>
              <w:spacing w:after="0"/>
              <w:rPr>
                <w:rFonts w:cs="Arial"/>
                <w:b/>
                <w:bCs/>
                <w:sz w:val="18"/>
                <w:szCs w:val="18"/>
              </w:rPr>
            </w:pPr>
            <w:r>
              <w:rPr>
                <w:rFonts w:cs="Arial"/>
                <w:b/>
                <w:bCs/>
                <w:sz w:val="18"/>
                <w:szCs w:val="18"/>
              </w:rPr>
              <w:t> </w:t>
            </w:r>
          </w:p>
        </w:tc>
        <w:tc>
          <w:tcPr>
            <w:tcW w:w="1035" w:type="dxa"/>
            <w:tcBorders>
              <w:top w:val="nil"/>
              <w:left w:val="nil"/>
              <w:bottom w:val="single" w:sz="4" w:space="0" w:color="auto"/>
              <w:right w:val="nil"/>
            </w:tcBorders>
            <w:shd w:val="clear" w:color="000000" w:fill="D9D9D9"/>
            <w:noWrap/>
            <w:vAlign w:val="bottom"/>
            <w:hideMark/>
          </w:tcPr>
          <w:p w14:paraId="44D5AC49" w14:textId="77777777" w:rsidR="00AB6753" w:rsidRDefault="00AB6753" w:rsidP="002D1EA4">
            <w:pPr>
              <w:spacing w:after="0"/>
              <w:rPr>
                <w:rFonts w:cs="Arial"/>
                <w:b/>
                <w:bCs/>
                <w:sz w:val="18"/>
                <w:szCs w:val="18"/>
              </w:rPr>
            </w:pPr>
            <w:r>
              <w:rPr>
                <w:rFonts w:cs="Arial"/>
                <w:b/>
                <w:bCs/>
                <w:sz w:val="18"/>
                <w:szCs w:val="18"/>
              </w:rPr>
              <w:t> </w:t>
            </w:r>
          </w:p>
        </w:tc>
        <w:tc>
          <w:tcPr>
            <w:tcW w:w="239" w:type="dxa"/>
            <w:tcBorders>
              <w:top w:val="nil"/>
              <w:left w:val="nil"/>
              <w:bottom w:val="single" w:sz="4" w:space="0" w:color="D9D9D9"/>
              <w:right w:val="nil"/>
            </w:tcBorders>
            <w:shd w:val="clear" w:color="000000" w:fill="D9D9D9"/>
            <w:noWrap/>
            <w:vAlign w:val="bottom"/>
            <w:hideMark/>
          </w:tcPr>
          <w:p w14:paraId="543F47EE" w14:textId="77777777" w:rsidR="00AB6753" w:rsidRDefault="00AB6753" w:rsidP="002D1EA4">
            <w:pPr>
              <w:spacing w:after="0"/>
              <w:rPr>
                <w:rFonts w:cs="Arial"/>
                <w:sz w:val="16"/>
                <w:szCs w:val="16"/>
              </w:rPr>
            </w:pPr>
            <w:r>
              <w:rPr>
                <w:rFonts w:cs="Arial"/>
                <w:sz w:val="16"/>
                <w:szCs w:val="16"/>
              </w:rPr>
              <w:t> </w:t>
            </w:r>
          </w:p>
        </w:tc>
        <w:tc>
          <w:tcPr>
            <w:tcW w:w="1116" w:type="dxa"/>
            <w:tcBorders>
              <w:top w:val="nil"/>
              <w:left w:val="nil"/>
              <w:bottom w:val="single" w:sz="4" w:space="0" w:color="auto"/>
              <w:right w:val="nil"/>
            </w:tcBorders>
            <w:shd w:val="clear" w:color="000000" w:fill="D9D9D9"/>
            <w:noWrap/>
            <w:vAlign w:val="bottom"/>
            <w:hideMark/>
          </w:tcPr>
          <w:p w14:paraId="1AB76661" w14:textId="77777777" w:rsidR="00AB6753" w:rsidRDefault="00AB6753" w:rsidP="002D1EA4">
            <w:pPr>
              <w:spacing w:after="0"/>
              <w:rPr>
                <w:rFonts w:cs="Arial"/>
                <w:sz w:val="18"/>
                <w:szCs w:val="18"/>
              </w:rPr>
            </w:pPr>
            <w:r>
              <w:rPr>
                <w:rFonts w:cs="Arial"/>
                <w:sz w:val="18"/>
                <w:szCs w:val="18"/>
              </w:rPr>
              <w:t> </w:t>
            </w:r>
          </w:p>
        </w:tc>
      </w:tr>
      <w:tr w:rsidR="00AB6753" w14:paraId="5C209D6A" w14:textId="77777777" w:rsidTr="002D1EA4">
        <w:trPr>
          <w:trHeight w:val="255"/>
        </w:trPr>
        <w:tc>
          <w:tcPr>
            <w:tcW w:w="7108" w:type="dxa"/>
            <w:tcBorders>
              <w:top w:val="nil"/>
              <w:left w:val="nil"/>
              <w:bottom w:val="nil"/>
              <w:right w:val="nil"/>
            </w:tcBorders>
            <w:shd w:val="clear" w:color="000000" w:fill="D9D9D9"/>
            <w:vAlign w:val="bottom"/>
            <w:hideMark/>
          </w:tcPr>
          <w:p w14:paraId="7D780FA7" w14:textId="77777777" w:rsidR="00AB6753" w:rsidRDefault="00AB6753" w:rsidP="002D1EA4">
            <w:pPr>
              <w:spacing w:after="0"/>
              <w:rPr>
                <w:rFonts w:cs="Arial"/>
                <w:b/>
                <w:bCs/>
                <w:sz w:val="18"/>
                <w:szCs w:val="18"/>
              </w:rPr>
            </w:pPr>
            <w:r>
              <w:rPr>
                <w:rFonts w:cs="Arial"/>
                <w:b/>
                <w:bCs/>
                <w:sz w:val="18"/>
                <w:szCs w:val="18"/>
              </w:rPr>
              <w:t>Net gains on financial assets</w:t>
            </w:r>
          </w:p>
        </w:tc>
        <w:tc>
          <w:tcPr>
            <w:tcW w:w="1035" w:type="dxa"/>
            <w:tcBorders>
              <w:top w:val="nil"/>
              <w:left w:val="nil"/>
              <w:bottom w:val="single" w:sz="4" w:space="0" w:color="auto"/>
              <w:right w:val="nil"/>
            </w:tcBorders>
            <w:shd w:val="clear" w:color="000000" w:fill="D9D9D9"/>
            <w:noWrap/>
            <w:vAlign w:val="bottom"/>
            <w:hideMark/>
          </w:tcPr>
          <w:p w14:paraId="01FD6E8F" w14:textId="77777777" w:rsidR="00AB6753" w:rsidRDefault="00AB6753" w:rsidP="002D1EA4">
            <w:pPr>
              <w:spacing w:after="0"/>
              <w:jc w:val="right"/>
              <w:rPr>
                <w:rFonts w:cs="Arial"/>
                <w:b/>
                <w:bCs/>
                <w:sz w:val="18"/>
                <w:szCs w:val="18"/>
              </w:rPr>
            </w:pPr>
            <w:r>
              <w:rPr>
                <w:rFonts w:cs="Arial"/>
                <w:b/>
                <w:bCs/>
                <w:sz w:val="18"/>
                <w:szCs w:val="18"/>
              </w:rPr>
              <w:t>212,368</w:t>
            </w:r>
          </w:p>
        </w:tc>
        <w:tc>
          <w:tcPr>
            <w:tcW w:w="239" w:type="dxa"/>
            <w:tcBorders>
              <w:top w:val="nil"/>
              <w:left w:val="nil"/>
              <w:bottom w:val="single" w:sz="4" w:space="0" w:color="D9D9D9"/>
              <w:right w:val="nil"/>
            </w:tcBorders>
            <w:shd w:val="clear" w:color="000000" w:fill="D9D9D9"/>
            <w:noWrap/>
            <w:vAlign w:val="bottom"/>
            <w:hideMark/>
          </w:tcPr>
          <w:p w14:paraId="72872536" w14:textId="77777777" w:rsidR="00AB6753" w:rsidRDefault="00AB6753" w:rsidP="002D1EA4">
            <w:pPr>
              <w:spacing w:after="0"/>
              <w:rPr>
                <w:rFonts w:cs="Arial"/>
                <w:sz w:val="16"/>
                <w:szCs w:val="16"/>
              </w:rPr>
            </w:pPr>
            <w:r>
              <w:rPr>
                <w:rFonts w:cs="Arial"/>
                <w:sz w:val="16"/>
                <w:szCs w:val="16"/>
              </w:rPr>
              <w:t> </w:t>
            </w:r>
          </w:p>
        </w:tc>
        <w:tc>
          <w:tcPr>
            <w:tcW w:w="1116" w:type="dxa"/>
            <w:tcBorders>
              <w:top w:val="nil"/>
              <w:left w:val="nil"/>
              <w:bottom w:val="single" w:sz="4" w:space="0" w:color="auto"/>
              <w:right w:val="nil"/>
            </w:tcBorders>
            <w:shd w:val="clear" w:color="000000" w:fill="D9D9D9"/>
            <w:noWrap/>
            <w:vAlign w:val="bottom"/>
            <w:hideMark/>
          </w:tcPr>
          <w:p w14:paraId="45AB6A7A" w14:textId="77777777" w:rsidR="00AB6753" w:rsidRDefault="00AB6753" w:rsidP="002D1EA4">
            <w:pPr>
              <w:spacing w:after="0"/>
              <w:jc w:val="right"/>
              <w:rPr>
                <w:rFonts w:cs="Arial"/>
                <w:sz w:val="18"/>
                <w:szCs w:val="18"/>
              </w:rPr>
            </w:pPr>
            <w:r>
              <w:rPr>
                <w:rFonts w:cs="Arial"/>
                <w:sz w:val="18"/>
                <w:szCs w:val="18"/>
              </w:rPr>
              <w:t>74,162</w:t>
            </w:r>
          </w:p>
        </w:tc>
      </w:tr>
    </w:tbl>
    <w:p w14:paraId="6A43D634" w14:textId="77777777" w:rsidR="00AB6753" w:rsidRPr="00477DEF" w:rsidRDefault="00AB6753" w:rsidP="00AB6753">
      <w:pPr>
        <w:pStyle w:val="GreyShadeTableBreak"/>
        <w:ind w:right="-11"/>
      </w:pPr>
    </w:p>
    <w:p w14:paraId="477D7BE8" w14:textId="77777777" w:rsidR="00AB6753" w:rsidRDefault="00AB6753" w:rsidP="00AB6753">
      <w:pPr>
        <w:spacing w:line="240" w:lineRule="auto"/>
        <w:rPr>
          <w:rFonts w:cs="Arial"/>
          <w:b/>
          <w:color w:val="FFFFFF" w:themeColor="background1"/>
          <w:sz w:val="24"/>
        </w:rPr>
      </w:pPr>
      <w:bookmarkStart w:id="243" w:name="_Toc443469553"/>
      <w:bookmarkStart w:id="244" w:name="_Toc444065808"/>
      <w:bookmarkStart w:id="245" w:name="_Toc444080005"/>
      <w:bookmarkStart w:id="246" w:name="_Toc450750185"/>
      <w:bookmarkEnd w:id="231"/>
      <w:bookmarkEnd w:id="232"/>
      <w:bookmarkEnd w:id="233"/>
      <w:bookmarkEnd w:id="234"/>
      <w:bookmarkEnd w:id="235"/>
      <w:bookmarkEnd w:id="236"/>
      <w:r>
        <w:rPr>
          <w:rFonts w:cs="Arial"/>
        </w:rPr>
        <w:br w:type="page"/>
      </w:r>
    </w:p>
    <w:p w14:paraId="34074627" w14:textId="77777777" w:rsidR="00AB6753" w:rsidRPr="005866FE" w:rsidRDefault="00AB6753" w:rsidP="00AB6753">
      <w:pPr>
        <w:pStyle w:val="SectionHeading"/>
        <w:numPr>
          <w:ilvl w:val="0"/>
          <w:numId w:val="57"/>
        </w:numPr>
        <w:shd w:val="clear" w:color="auto" w:fill="00B2BA"/>
        <w:rPr>
          <w:rFonts w:ascii="Arial" w:hAnsi="Arial" w:cs="Arial"/>
          <w:color w:val="auto"/>
        </w:rPr>
      </w:pPr>
      <w:bookmarkStart w:id="247" w:name="_Toc45748830"/>
      <w:r w:rsidRPr="005866FE">
        <w:rPr>
          <w:rFonts w:ascii="Arial" w:hAnsi="Arial" w:cs="Arial"/>
          <w:color w:val="auto"/>
        </w:rPr>
        <w:lastRenderedPageBreak/>
        <w:t>Other Information</w:t>
      </w:r>
      <w:bookmarkStart w:id="248" w:name="_Toc443469555"/>
      <w:bookmarkStart w:id="249" w:name="_Toc444065810"/>
      <w:bookmarkStart w:id="250" w:name="_Toc444080007"/>
      <w:bookmarkStart w:id="251" w:name="_Toc450750186"/>
      <w:bookmarkStart w:id="252" w:name="_Ref456959351"/>
      <w:bookmarkStart w:id="253" w:name="_Ref456959381"/>
      <w:bookmarkStart w:id="254" w:name="_Ref456959433"/>
      <w:bookmarkEnd w:id="243"/>
      <w:bookmarkEnd w:id="244"/>
      <w:bookmarkEnd w:id="245"/>
      <w:bookmarkEnd w:id="246"/>
      <w:bookmarkEnd w:id="247"/>
    </w:p>
    <w:p w14:paraId="161B1BF7" w14:textId="77777777" w:rsidR="00AB6753" w:rsidRPr="00BB218B" w:rsidRDefault="00AB6753" w:rsidP="00AB6753">
      <w:pPr>
        <w:pStyle w:val="SubHeading"/>
        <w:numPr>
          <w:ilvl w:val="1"/>
          <w:numId w:val="58"/>
        </w:numPr>
        <w:ind w:left="454" w:hanging="454"/>
        <w:rPr>
          <w:sz w:val="20"/>
        </w:rPr>
      </w:pPr>
      <w:bookmarkStart w:id="255" w:name="_Toc45748831"/>
      <w:r w:rsidRPr="00BB218B">
        <w:rPr>
          <w:sz w:val="20"/>
        </w:rPr>
        <w:t>Aggregate Assets and Liabilities</w:t>
      </w:r>
      <w:bookmarkEnd w:id="255"/>
      <w:r w:rsidRPr="00BB218B">
        <w:rPr>
          <w:sz w:val="20"/>
        </w:rPr>
        <w:t xml:space="preserve"> </w:t>
      </w:r>
    </w:p>
    <w:tbl>
      <w:tblPr>
        <w:tblW w:w="9411" w:type="dxa"/>
        <w:tblInd w:w="80" w:type="dxa"/>
        <w:tblLayout w:type="fixed"/>
        <w:tblLook w:val="04A0" w:firstRow="1" w:lastRow="0" w:firstColumn="1" w:lastColumn="0" w:noHBand="0" w:noVBand="1"/>
        <w:tblCaption w:val="Notes to and forming part of the financial statements"/>
        <w:tblDescription w:val="Other inforamation"/>
      </w:tblPr>
      <w:tblGrid>
        <w:gridCol w:w="6561"/>
        <w:gridCol w:w="1288"/>
        <w:gridCol w:w="274"/>
        <w:gridCol w:w="1288"/>
      </w:tblGrid>
      <w:tr w:rsidR="00AB6753" w14:paraId="3DC3F1E9" w14:textId="77777777" w:rsidTr="002D1EA4">
        <w:trPr>
          <w:trHeight w:val="240"/>
        </w:trPr>
        <w:tc>
          <w:tcPr>
            <w:tcW w:w="6396" w:type="dxa"/>
            <w:tcBorders>
              <w:top w:val="nil"/>
              <w:left w:val="nil"/>
              <w:bottom w:val="nil"/>
              <w:right w:val="nil"/>
            </w:tcBorders>
            <w:shd w:val="clear" w:color="FFFFFF" w:fill="FFFFFF"/>
            <w:noWrap/>
            <w:vAlign w:val="bottom"/>
            <w:hideMark/>
          </w:tcPr>
          <w:p w14:paraId="290C8562" w14:textId="77777777" w:rsidR="00AB6753" w:rsidRDefault="00AB6753" w:rsidP="002D1EA4">
            <w:pPr>
              <w:spacing w:after="0"/>
              <w:rPr>
                <w:rFonts w:cs="Arial"/>
                <w:sz w:val="18"/>
                <w:szCs w:val="18"/>
              </w:rPr>
            </w:pPr>
            <w:bookmarkStart w:id="256" w:name="Note_AGLTABLE1" w:colFirst="0" w:colLast="0"/>
            <w:r>
              <w:rPr>
                <w:rFonts w:cs="Arial"/>
                <w:sz w:val="18"/>
                <w:szCs w:val="18"/>
              </w:rPr>
              <w:t> </w:t>
            </w:r>
          </w:p>
        </w:tc>
        <w:tc>
          <w:tcPr>
            <w:tcW w:w="1256" w:type="dxa"/>
            <w:tcBorders>
              <w:top w:val="nil"/>
              <w:left w:val="nil"/>
              <w:bottom w:val="nil"/>
              <w:right w:val="nil"/>
            </w:tcBorders>
            <w:shd w:val="clear" w:color="FFFFFF" w:fill="FFFFFF"/>
            <w:vAlign w:val="bottom"/>
            <w:hideMark/>
          </w:tcPr>
          <w:p w14:paraId="6065D259" w14:textId="77777777" w:rsidR="00AB6753" w:rsidRDefault="00AB6753" w:rsidP="002D1EA4">
            <w:pPr>
              <w:spacing w:after="0"/>
              <w:jc w:val="right"/>
              <w:rPr>
                <w:rFonts w:cs="Arial"/>
                <w:b/>
                <w:bCs/>
                <w:sz w:val="18"/>
                <w:szCs w:val="18"/>
              </w:rPr>
            </w:pPr>
            <w:r>
              <w:rPr>
                <w:rFonts w:cs="Arial"/>
                <w:b/>
                <w:bCs/>
                <w:sz w:val="18"/>
                <w:szCs w:val="18"/>
              </w:rPr>
              <w:t>2020</w:t>
            </w:r>
          </w:p>
        </w:tc>
        <w:tc>
          <w:tcPr>
            <w:tcW w:w="267" w:type="dxa"/>
            <w:tcBorders>
              <w:top w:val="nil"/>
              <w:left w:val="nil"/>
              <w:bottom w:val="nil"/>
              <w:right w:val="nil"/>
            </w:tcBorders>
            <w:shd w:val="clear" w:color="FFFFFF" w:fill="FFFFFF"/>
            <w:noWrap/>
            <w:vAlign w:val="bottom"/>
            <w:hideMark/>
          </w:tcPr>
          <w:p w14:paraId="3D4380B1"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61ACD067" w14:textId="77777777" w:rsidR="00AB6753" w:rsidRDefault="00AB6753" w:rsidP="002D1EA4">
            <w:pPr>
              <w:spacing w:after="0"/>
              <w:jc w:val="right"/>
              <w:rPr>
                <w:rFonts w:cs="Arial"/>
                <w:sz w:val="18"/>
                <w:szCs w:val="18"/>
              </w:rPr>
            </w:pPr>
            <w:r>
              <w:rPr>
                <w:rFonts w:cs="Arial"/>
                <w:sz w:val="18"/>
                <w:szCs w:val="18"/>
              </w:rPr>
              <w:t>2019</w:t>
            </w:r>
          </w:p>
        </w:tc>
      </w:tr>
      <w:bookmarkEnd w:id="256"/>
      <w:tr w:rsidR="00AB6753" w14:paraId="57808B53" w14:textId="77777777" w:rsidTr="002D1EA4">
        <w:trPr>
          <w:trHeight w:val="240"/>
        </w:trPr>
        <w:tc>
          <w:tcPr>
            <w:tcW w:w="6396" w:type="dxa"/>
            <w:tcBorders>
              <w:top w:val="nil"/>
              <w:left w:val="nil"/>
              <w:bottom w:val="nil"/>
              <w:right w:val="nil"/>
            </w:tcBorders>
            <w:shd w:val="clear" w:color="FFFFFF" w:fill="FFFFFF"/>
            <w:noWrap/>
            <w:vAlign w:val="bottom"/>
            <w:hideMark/>
          </w:tcPr>
          <w:p w14:paraId="2124401A"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06BBF1BA" w14:textId="77777777" w:rsidR="00AB6753" w:rsidRDefault="00AB6753" w:rsidP="002D1EA4">
            <w:pPr>
              <w:spacing w:after="0"/>
              <w:jc w:val="right"/>
              <w:rPr>
                <w:rFonts w:cs="Arial"/>
                <w:b/>
                <w:bCs/>
                <w:sz w:val="18"/>
                <w:szCs w:val="18"/>
              </w:rPr>
            </w:pPr>
            <w:r>
              <w:rPr>
                <w:rFonts w:cs="Arial"/>
                <w:b/>
                <w:bCs/>
                <w:sz w:val="18"/>
                <w:szCs w:val="18"/>
              </w:rPr>
              <w:t>$'000</w:t>
            </w:r>
          </w:p>
        </w:tc>
        <w:tc>
          <w:tcPr>
            <w:tcW w:w="267" w:type="dxa"/>
            <w:tcBorders>
              <w:top w:val="nil"/>
              <w:left w:val="nil"/>
              <w:bottom w:val="nil"/>
              <w:right w:val="nil"/>
            </w:tcBorders>
            <w:shd w:val="clear" w:color="FFFFFF" w:fill="FFFFFF"/>
            <w:noWrap/>
            <w:vAlign w:val="bottom"/>
            <w:hideMark/>
          </w:tcPr>
          <w:p w14:paraId="73351C99"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vAlign w:val="bottom"/>
            <w:hideMark/>
          </w:tcPr>
          <w:p w14:paraId="579703FB" w14:textId="77777777" w:rsidR="00AB6753" w:rsidRDefault="00AB6753" w:rsidP="002D1EA4">
            <w:pPr>
              <w:spacing w:after="0"/>
              <w:jc w:val="right"/>
              <w:rPr>
                <w:rFonts w:cs="Arial"/>
                <w:sz w:val="18"/>
                <w:szCs w:val="18"/>
              </w:rPr>
            </w:pPr>
            <w:r>
              <w:rPr>
                <w:rFonts w:cs="Arial"/>
                <w:sz w:val="18"/>
                <w:szCs w:val="18"/>
              </w:rPr>
              <w:t>$'000</w:t>
            </w:r>
          </w:p>
        </w:tc>
      </w:tr>
      <w:tr w:rsidR="00AB6753" w14:paraId="15A4D9D2" w14:textId="77777777" w:rsidTr="002D1EA4">
        <w:trPr>
          <w:trHeight w:val="240"/>
        </w:trPr>
        <w:tc>
          <w:tcPr>
            <w:tcW w:w="6396" w:type="dxa"/>
            <w:tcBorders>
              <w:top w:val="nil"/>
              <w:left w:val="nil"/>
              <w:bottom w:val="nil"/>
              <w:right w:val="nil"/>
            </w:tcBorders>
            <w:shd w:val="clear" w:color="FFFFFF" w:fill="FFFFFF"/>
            <w:noWrap/>
            <w:vAlign w:val="bottom"/>
            <w:hideMark/>
          </w:tcPr>
          <w:p w14:paraId="796DD281" w14:textId="77777777" w:rsidR="00AB6753" w:rsidRDefault="00AB6753" w:rsidP="002D1EA4">
            <w:pPr>
              <w:spacing w:after="0"/>
              <w:rPr>
                <w:rFonts w:cs="Arial"/>
                <w:b/>
                <w:bCs/>
                <w:sz w:val="18"/>
                <w:szCs w:val="18"/>
                <w:u w:val="single"/>
              </w:rPr>
            </w:pPr>
            <w:r>
              <w:rPr>
                <w:rFonts w:cs="Arial"/>
                <w:b/>
                <w:bCs/>
                <w:sz w:val="18"/>
                <w:szCs w:val="18"/>
                <w:u w:val="single"/>
              </w:rPr>
              <w:t>Note 8.1A: Departmental - Aggregate Assets and Liabilities</w:t>
            </w:r>
          </w:p>
        </w:tc>
        <w:tc>
          <w:tcPr>
            <w:tcW w:w="1256" w:type="dxa"/>
            <w:tcBorders>
              <w:top w:val="nil"/>
              <w:left w:val="nil"/>
              <w:bottom w:val="nil"/>
              <w:right w:val="nil"/>
            </w:tcBorders>
            <w:shd w:val="clear" w:color="FFFFFF" w:fill="FFFFFF"/>
            <w:noWrap/>
            <w:vAlign w:val="bottom"/>
            <w:hideMark/>
          </w:tcPr>
          <w:p w14:paraId="05319986"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5ADB6A7E"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2E91422F" w14:textId="77777777" w:rsidR="00AB6753" w:rsidRDefault="00AB6753" w:rsidP="002D1EA4">
            <w:pPr>
              <w:spacing w:after="0"/>
              <w:rPr>
                <w:rFonts w:cs="Arial"/>
                <w:sz w:val="18"/>
                <w:szCs w:val="18"/>
              </w:rPr>
            </w:pPr>
            <w:r>
              <w:rPr>
                <w:rFonts w:cs="Arial"/>
                <w:sz w:val="18"/>
                <w:szCs w:val="18"/>
              </w:rPr>
              <w:t> </w:t>
            </w:r>
          </w:p>
        </w:tc>
      </w:tr>
      <w:tr w:rsidR="00AB6753" w14:paraId="1ADACFE5" w14:textId="77777777" w:rsidTr="002D1EA4">
        <w:trPr>
          <w:trHeight w:val="240"/>
        </w:trPr>
        <w:tc>
          <w:tcPr>
            <w:tcW w:w="6396" w:type="dxa"/>
            <w:tcBorders>
              <w:top w:val="nil"/>
              <w:left w:val="nil"/>
              <w:bottom w:val="nil"/>
              <w:right w:val="nil"/>
            </w:tcBorders>
            <w:shd w:val="clear" w:color="FFFFFF" w:fill="FFFFFF"/>
            <w:vAlign w:val="bottom"/>
            <w:hideMark/>
          </w:tcPr>
          <w:p w14:paraId="70451179" w14:textId="77777777" w:rsidR="00AB6753" w:rsidRDefault="00AB6753" w:rsidP="002D1EA4">
            <w:pPr>
              <w:spacing w:after="0"/>
              <w:rPr>
                <w:rFonts w:cs="Arial"/>
                <w:b/>
                <w:bCs/>
                <w:sz w:val="18"/>
                <w:szCs w:val="18"/>
              </w:rPr>
            </w:pPr>
            <w:r>
              <w:rPr>
                <w:rFonts w:cs="Arial"/>
                <w:b/>
                <w:bCs/>
                <w:sz w:val="18"/>
                <w:szCs w:val="18"/>
              </w:rPr>
              <w:t>Assets expected to be recovered in:</w:t>
            </w:r>
          </w:p>
        </w:tc>
        <w:tc>
          <w:tcPr>
            <w:tcW w:w="1256" w:type="dxa"/>
            <w:tcBorders>
              <w:top w:val="nil"/>
              <w:left w:val="nil"/>
              <w:bottom w:val="nil"/>
              <w:right w:val="nil"/>
            </w:tcBorders>
            <w:shd w:val="clear" w:color="FFFFFF" w:fill="FFFFFF"/>
            <w:noWrap/>
            <w:vAlign w:val="bottom"/>
            <w:hideMark/>
          </w:tcPr>
          <w:p w14:paraId="24BC340A"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63251875"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21281C85" w14:textId="77777777" w:rsidR="00AB6753" w:rsidRDefault="00AB6753" w:rsidP="002D1EA4">
            <w:pPr>
              <w:spacing w:after="0"/>
              <w:rPr>
                <w:rFonts w:cs="Arial"/>
                <w:sz w:val="18"/>
                <w:szCs w:val="18"/>
              </w:rPr>
            </w:pPr>
            <w:r>
              <w:rPr>
                <w:rFonts w:cs="Arial"/>
                <w:sz w:val="18"/>
                <w:szCs w:val="18"/>
              </w:rPr>
              <w:t> </w:t>
            </w:r>
          </w:p>
        </w:tc>
      </w:tr>
      <w:tr w:rsidR="00AB6753" w14:paraId="3F36DF52" w14:textId="77777777" w:rsidTr="002D1EA4">
        <w:trPr>
          <w:trHeight w:val="240"/>
        </w:trPr>
        <w:tc>
          <w:tcPr>
            <w:tcW w:w="6396" w:type="dxa"/>
            <w:tcBorders>
              <w:top w:val="nil"/>
              <w:left w:val="nil"/>
              <w:bottom w:val="nil"/>
              <w:right w:val="nil"/>
            </w:tcBorders>
            <w:shd w:val="clear" w:color="FFFFFF" w:fill="FFFFFF"/>
            <w:noWrap/>
            <w:vAlign w:val="bottom"/>
            <w:hideMark/>
          </w:tcPr>
          <w:p w14:paraId="576632CC" w14:textId="77777777" w:rsidR="00AB6753" w:rsidRDefault="00AB6753" w:rsidP="002D1EA4">
            <w:pPr>
              <w:spacing w:after="0"/>
              <w:ind w:firstLineChars="100" w:firstLine="180"/>
              <w:rPr>
                <w:rFonts w:cs="Arial"/>
                <w:sz w:val="18"/>
                <w:szCs w:val="18"/>
              </w:rPr>
            </w:pPr>
            <w:r>
              <w:rPr>
                <w:rFonts w:cs="Arial"/>
                <w:sz w:val="18"/>
                <w:szCs w:val="18"/>
              </w:rPr>
              <w:t>No more than 12 months</w:t>
            </w:r>
          </w:p>
        </w:tc>
        <w:tc>
          <w:tcPr>
            <w:tcW w:w="1256" w:type="dxa"/>
            <w:tcBorders>
              <w:top w:val="nil"/>
              <w:left w:val="nil"/>
              <w:bottom w:val="nil"/>
              <w:right w:val="nil"/>
            </w:tcBorders>
            <w:shd w:val="clear" w:color="FFFFFF" w:fill="FFFFFF"/>
            <w:noWrap/>
            <w:vAlign w:val="bottom"/>
            <w:hideMark/>
          </w:tcPr>
          <w:p w14:paraId="06B79534" w14:textId="77777777" w:rsidR="00AB6753" w:rsidRDefault="00AB6753" w:rsidP="002D1EA4">
            <w:pPr>
              <w:spacing w:after="0"/>
              <w:jc w:val="right"/>
              <w:rPr>
                <w:rFonts w:cs="Arial"/>
                <w:b/>
                <w:bCs/>
                <w:sz w:val="18"/>
                <w:szCs w:val="18"/>
              </w:rPr>
            </w:pPr>
            <w:r>
              <w:rPr>
                <w:rFonts w:cs="Arial"/>
                <w:b/>
                <w:bCs/>
                <w:sz w:val="18"/>
                <w:szCs w:val="18"/>
              </w:rPr>
              <w:t>91,963</w:t>
            </w:r>
          </w:p>
        </w:tc>
        <w:tc>
          <w:tcPr>
            <w:tcW w:w="267" w:type="dxa"/>
            <w:tcBorders>
              <w:top w:val="nil"/>
              <w:left w:val="nil"/>
              <w:bottom w:val="nil"/>
              <w:right w:val="nil"/>
            </w:tcBorders>
            <w:shd w:val="clear" w:color="FFFFFF" w:fill="FFFFFF"/>
            <w:noWrap/>
            <w:vAlign w:val="bottom"/>
            <w:hideMark/>
          </w:tcPr>
          <w:p w14:paraId="4BE39E3E"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763A8CC2" w14:textId="77777777" w:rsidR="00AB6753" w:rsidRDefault="00AB6753" w:rsidP="002D1EA4">
            <w:pPr>
              <w:spacing w:after="0"/>
              <w:jc w:val="right"/>
              <w:rPr>
                <w:rFonts w:cs="Arial"/>
                <w:sz w:val="18"/>
                <w:szCs w:val="18"/>
              </w:rPr>
            </w:pPr>
            <w:r>
              <w:rPr>
                <w:rFonts w:cs="Arial"/>
                <w:sz w:val="18"/>
                <w:szCs w:val="18"/>
              </w:rPr>
              <w:t xml:space="preserve">121,015 </w:t>
            </w:r>
          </w:p>
        </w:tc>
      </w:tr>
      <w:tr w:rsidR="00AB6753" w14:paraId="3620CF02" w14:textId="77777777" w:rsidTr="002D1EA4">
        <w:trPr>
          <w:trHeight w:val="240"/>
        </w:trPr>
        <w:tc>
          <w:tcPr>
            <w:tcW w:w="6396" w:type="dxa"/>
            <w:tcBorders>
              <w:top w:val="nil"/>
              <w:left w:val="nil"/>
              <w:bottom w:val="nil"/>
              <w:right w:val="nil"/>
            </w:tcBorders>
            <w:shd w:val="clear" w:color="FFFFFF" w:fill="FFFFFF"/>
            <w:noWrap/>
            <w:vAlign w:val="bottom"/>
            <w:hideMark/>
          </w:tcPr>
          <w:p w14:paraId="3722158C" w14:textId="77777777" w:rsidR="00AB6753" w:rsidRDefault="00AB6753" w:rsidP="002D1EA4">
            <w:pPr>
              <w:spacing w:after="0"/>
              <w:ind w:firstLineChars="100" w:firstLine="180"/>
              <w:rPr>
                <w:rFonts w:cs="Arial"/>
                <w:sz w:val="18"/>
                <w:szCs w:val="18"/>
              </w:rPr>
            </w:pPr>
            <w:r>
              <w:rPr>
                <w:rFonts w:cs="Arial"/>
                <w:sz w:val="18"/>
                <w:szCs w:val="18"/>
              </w:rPr>
              <w:t>More than 12 months</w:t>
            </w:r>
          </w:p>
        </w:tc>
        <w:tc>
          <w:tcPr>
            <w:tcW w:w="1256" w:type="dxa"/>
            <w:tcBorders>
              <w:top w:val="nil"/>
              <w:left w:val="nil"/>
              <w:bottom w:val="nil"/>
              <w:right w:val="nil"/>
            </w:tcBorders>
            <w:shd w:val="clear" w:color="FFFFFF" w:fill="FFFFFF"/>
            <w:noWrap/>
            <w:vAlign w:val="bottom"/>
            <w:hideMark/>
          </w:tcPr>
          <w:p w14:paraId="31A15DA6" w14:textId="77777777" w:rsidR="00AB6753" w:rsidRDefault="00AB6753" w:rsidP="002D1EA4">
            <w:pPr>
              <w:spacing w:after="0"/>
              <w:jc w:val="right"/>
              <w:rPr>
                <w:rFonts w:cs="Arial"/>
                <w:b/>
                <w:bCs/>
                <w:sz w:val="18"/>
                <w:szCs w:val="18"/>
              </w:rPr>
            </w:pPr>
            <w:r>
              <w:rPr>
                <w:rFonts w:cs="Arial"/>
                <w:b/>
                <w:bCs/>
                <w:sz w:val="18"/>
                <w:szCs w:val="18"/>
              </w:rPr>
              <w:t>582,955</w:t>
            </w:r>
          </w:p>
        </w:tc>
        <w:tc>
          <w:tcPr>
            <w:tcW w:w="267" w:type="dxa"/>
            <w:tcBorders>
              <w:top w:val="nil"/>
              <w:left w:val="nil"/>
              <w:bottom w:val="nil"/>
              <w:right w:val="nil"/>
            </w:tcBorders>
            <w:shd w:val="clear" w:color="FFFFFF" w:fill="FFFFFF"/>
            <w:noWrap/>
            <w:vAlign w:val="bottom"/>
            <w:hideMark/>
          </w:tcPr>
          <w:p w14:paraId="16926F37"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0AC15684" w14:textId="77777777" w:rsidR="00AB6753" w:rsidRDefault="00AB6753" w:rsidP="002D1EA4">
            <w:pPr>
              <w:spacing w:after="0"/>
              <w:jc w:val="right"/>
              <w:rPr>
                <w:rFonts w:cs="Arial"/>
                <w:sz w:val="18"/>
                <w:szCs w:val="18"/>
              </w:rPr>
            </w:pPr>
            <w:r>
              <w:rPr>
                <w:rFonts w:cs="Arial"/>
                <w:sz w:val="18"/>
                <w:szCs w:val="18"/>
              </w:rPr>
              <w:t xml:space="preserve">208,348 </w:t>
            </w:r>
          </w:p>
        </w:tc>
      </w:tr>
      <w:tr w:rsidR="00AB6753" w14:paraId="6BA3ACE5" w14:textId="77777777" w:rsidTr="002D1EA4">
        <w:trPr>
          <w:trHeight w:val="240"/>
        </w:trPr>
        <w:tc>
          <w:tcPr>
            <w:tcW w:w="6396" w:type="dxa"/>
            <w:tcBorders>
              <w:top w:val="nil"/>
              <w:left w:val="nil"/>
              <w:bottom w:val="nil"/>
              <w:right w:val="nil"/>
            </w:tcBorders>
            <w:shd w:val="clear" w:color="FFFFFF" w:fill="FFFFFF"/>
            <w:vAlign w:val="bottom"/>
            <w:hideMark/>
          </w:tcPr>
          <w:p w14:paraId="23B25D64" w14:textId="77777777" w:rsidR="00AB6753" w:rsidRDefault="00AB6753" w:rsidP="002D1EA4">
            <w:pPr>
              <w:spacing w:after="0"/>
              <w:rPr>
                <w:rFonts w:cs="Arial"/>
                <w:b/>
                <w:bCs/>
                <w:sz w:val="18"/>
                <w:szCs w:val="18"/>
              </w:rPr>
            </w:pPr>
            <w:r>
              <w:rPr>
                <w:rFonts w:cs="Arial"/>
                <w:b/>
                <w:bCs/>
                <w:sz w:val="18"/>
                <w:szCs w:val="18"/>
              </w:rPr>
              <w:t>Total assets</w:t>
            </w:r>
          </w:p>
        </w:tc>
        <w:tc>
          <w:tcPr>
            <w:tcW w:w="1256" w:type="dxa"/>
            <w:tcBorders>
              <w:top w:val="single" w:sz="4" w:space="0" w:color="auto"/>
              <w:left w:val="nil"/>
              <w:bottom w:val="single" w:sz="4" w:space="0" w:color="auto"/>
              <w:right w:val="nil"/>
            </w:tcBorders>
            <w:shd w:val="clear" w:color="FFFFFF" w:fill="FFFFFF"/>
            <w:noWrap/>
            <w:vAlign w:val="bottom"/>
            <w:hideMark/>
          </w:tcPr>
          <w:p w14:paraId="0CB57AC1" w14:textId="77777777" w:rsidR="00AB6753" w:rsidRDefault="00AB6753" w:rsidP="002D1EA4">
            <w:pPr>
              <w:spacing w:after="0"/>
              <w:jc w:val="right"/>
              <w:rPr>
                <w:rFonts w:cs="Arial"/>
                <w:b/>
                <w:bCs/>
                <w:sz w:val="18"/>
                <w:szCs w:val="18"/>
              </w:rPr>
            </w:pPr>
            <w:r>
              <w:rPr>
                <w:rFonts w:cs="Arial"/>
                <w:b/>
                <w:bCs/>
                <w:sz w:val="18"/>
                <w:szCs w:val="18"/>
              </w:rPr>
              <w:t>674,918</w:t>
            </w:r>
          </w:p>
        </w:tc>
        <w:tc>
          <w:tcPr>
            <w:tcW w:w="267" w:type="dxa"/>
            <w:tcBorders>
              <w:top w:val="nil"/>
              <w:left w:val="nil"/>
              <w:bottom w:val="nil"/>
              <w:right w:val="nil"/>
            </w:tcBorders>
            <w:shd w:val="clear" w:color="FFFFFF" w:fill="FFFFFF"/>
            <w:noWrap/>
            <w:vAlign w:val="bottom"/>
            <w:hideMark/>
          </w:tcPr>
          <w:p w14:paraId="29330526" w14:textId="77777777" w:rsidR="00AB6753" w:rsidRDefault="00AB6753" w:rsidP="002D1EA4">
            <w:pPr>
              <w:spacing w:after="0"/>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25593DC6" w14:textId="77777777" w:rsidR="00AB6753" w:rsidRDefault="00AB6753" w:rsidP="002D1EA4">
            <w:pPr>
              <w:spacing w:after="0"/>
              <w:jc w:val="right"/>
              <w:rPr>
                <w:rFonts w:cs="Arial"/>
                <w:sz w:val="18"/>
                <w:szCs w:val="18"/>
              </w:rPr>
            </w:pPr>
            <w:r>
              <w:rPr>
                <w:rFonts w:cs="Arial"/>
                <w:sz w:val="18"/>
                <w:szCs w:val="18"/>
              </w:rPr>
              <w:t>329,363</w:t>
            </w:r>
          </w:p>
        </w:tc>
      </w:tr>
      <w:tr w:rsidR="00AB6753" w14:paraId="7A2C711C" w14:textId="77777777" w:rsidTr="002D1EA4">
        <w:trPr>
          <w:trHeight w:val="240"/>
        </w:trPr>
        <w:tc>
          <w:tcPr>
            <w:tcW w:w="6396" w:type="dxa"/>
            <w:tcBorders>
              <w:top w:val="nil"/>
              <w:left w:val="nil"/>
              <w:bottom w:val="nil"/>
              <w:right w:val="nil"/>
            </w:tcBorders>
            <w:shd w:val="clear" w:color="FFFFFF" w:fill="FFFFFF"/>
            <w:noWrap/>
            <w:vAlign w:val="bottom"/>
            <w:hideMark/>
          </w:tcPr>
          <w:p w14:paraId="012CB07A"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2A7ADF5C"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46D79840"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57F8ADB2" w14:textId="77777777" w:rsidR="00AB6753" w:rsidRDefault="00AB6753" w:rsidP="002D1EA4">
            <w:pPr>
              <w:spacing w:after="0"/>
              <w:rPr>
                <w:rFonts w:cs="Arial"/>
                <w:sz w:val="18"/>
                <w:szCs w:val="18"/>
              </w:rPr>
            </w:pPr>
            <w:r>
              <w:rPr>
                <w:rFonts w:cs="Arial"/>
                <w:sz w:val="18"/>
                <w:szCs w:val="18"/>
              </w:rPr>
              <w:t> </w:t>
            </w:r>
          </w:p>
        </w:tc>
      </w:tr>
      <w:tr w:rsidR="00AB6753" w14:paraId="326CD6A6" w14:textId="77777777" w:rsidTr="002D1EA4">
        <w:trPr>
          <w:trHeight w:val="240"/>
        </w:trPr>
        <w:tc>
          <w:tcPr>
            <w:tcW w:w="6396" w:type="dxa"/>
            <w:tcBorders>
              <w:top w:val="nil"/>
              <w:left w:val="nil"/>
              <w:bottom w:val="nil"/>
              <w:right w:val="nil"/>
            </w:tcBorders>
            <w:shd w:val="clear" w:color="FFFFFF" w:fill="FFFFFF"/>
            <w:vAlign w:val="bottom"/>
            <w:hideMark/>
          </w:tcPr>
          <w:p w14:paraId="15FC2B25" w14:textId="77777777" w:rsidR="00AB6753" w:rsidRDefault="00AB6753" w:rsidP="002D1EA4">
            <w:pPr>
              <w:spacing w:after="0"/>
              <w:rPr>
                <w:rFonts w:cs="Arial"/>
                <w:b/>
                <w:bCs/>
                <w:sz w:val="18"/>
                <w:szCs w:val="18"/>
              </w:rPr>
            </w:pPr>
            <w:r>
              <w:rPr>
                <w:rFonts w:cs="Arial"/>
                <w:b/>
                <w:bCs/>
                <w:sz w:val="18"/>
                <w:szCs w:val="18"/>
              </w:rPr>
              <w:t>Liabilities expected to be settled in:</w:t>
            </w:r>
          </w:p>
        </w:tc>
        <w:tc>
          <w:tcPr>
            <w:tcW w:w="1256" w:type="dxa"/>
            <w:tcBorders>
              <w:top w:val="nil"/>
              <w:left w:val="nil"/>
              <w:bottom w:val="nil"/>
              <w:right w:val="nil"/>
            </w:tcBorders>
            <w:shd w:val="clear" w:color="FFFFFF" w:fill="FFFFFF"/>
            <w:noWrap/>
            <w:vAlign w:val="bottom"/>
            <w:hideMark/>
          </w:tcPr>
          <w:p w14:paraId="060FFA8B" w14:textId="77777777" w:rsidR="00AB6753" w:rsidRDefault="00AB6753" w:rsidP="002D1EA4">
            <w:pPr>
              <w:spacing w:after="0"/>
              <w:rPr>
                <w:rFonts w:cs="Arial"/>
                <w:sz w:val="18"/>
                <w:szCs w:val="18"/>
              </w:rPr>
            </w:pPr>
            <w:r>
              <w:rPr>
                <w:rFonts w:cs="Arial"/>
                <w:sz w:val="18"/>
                <w:szCs w:val="18"/>
              </w:rPr>
              <w:t> </w:t>
            </w:r>
          </w:p>
        </w:tc>
        <w:tc>
          <w:tcPr>
            <w:tcW w:w="267" w:type="dxa"/>
            <w:tcBorders>
              <w:top w:val="nil"/>
              <w:left w:val="nil"/>
              <w:bottom w:val="nil"/>
              <w:right w:val="nil"/>
            </w:tcBorders>
            <w:shd w:val="clear" w:color="FFFFFF" w:fill="FFFFFF"/>
            <w:noWrap/>
            <w:vAlign w:val="bottom"/>
            <w:hideMark/>
          </w:tcPr>
          <w:p w14:paraId="2E0B60A4"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05874B9F" w14:textId="77777777" w:rsidR="00AB6753" w:rsidRDefault="00AB6753" w:rsidP="002D1EA4">
            <w:pPr>
              <w:spacing w:after="0"/>
              <w:rPr>
                <w:rFonts w:cs="Arial"/>
                <w:sz w:val="18"/>
                <w:szCs w:val="18"/>
              </w:rPr>
            </w:pPr>
            <w:r>
              <w:rPr>
                <w:rFonts w:cs="Arial"/>
                <w:sz w:val="18"/>
                <w:szCs w:val="18"/>
              </w:rPr>
              <w:t> </w:t>
            </w:r>
          </w:p>
        </w:tc>
      </w:tr>
      <w:tr w:rsidR="00AB6753" w14:paraId="179583FE" w14:textId="77777777" w:rsidTr="002D1EA4">
        <w:trPr>
          <w:trHeight w:val="240"/>
        </w:trPr>
        <w:tc>
          <w:tcPr>
            <w:tcW w:w="6396" w:type="dxa"/>
            <w:tcBorders>
              <w:top w:val="nil"/>
              <w:left w:val="nil"/>
              <w:bottom w:val="nil"/>
              <w:right w:val="nil"/>
            </w:tcBorders>
            <w:shd w:val="clear" w:color="FFFFFF" w:fill="FFFFFF"/>
            <w:noWrap/>
            <w:vAlign w:val="bottom"/>
            <w:hideMark/>
          </w:tcPr>
          <w:p w14:paraId="14736783" w14:textId="77777777" w:rsidR="00AB6753" w:rsidRDefault="00AB6753" w:rsidP="002D1EA4">
            <w:pPr>
              <w:spacing w:after="0"/>
              <w:ind w:firstLineChars="100" w:firstLine="180"/>
              <w:rPr>
                <w:rFonts w:cs="Arial"/>
                <w:sz w:val="18"/>
                <w:szCs w:val="18"/>
              </w:rPr>
            </w:pPr>
            <w:r>
              <w:rPr>
                <w:rFonts w:cs="Arial"/>
                <w:sz w:val="18"/>
                <w:szCs w:val="18"/>
              </w:rPr>
              <w:t>No more than 12 months</w:t>
            </w:r>
          </w:p>
        </w:tc>
        <w:tc>
          <w:tcPr>
            <w:tcW w:w="1256" w:type="dxa"/>
            <w:tcBorders>
              <w:top w:val="nil"/>
              <w:left w:val="nil"/>
              <w:bottom w:val="nil"/>
              <w:right w:val="nil"/>
            </w:tcBorders>
            <w:shd w:val="clear" w:color="FFFFFF" w:fill="FFFFFF"/>
            <w:noWrap/>
            <w:vAlign w:val="bottom"/>
            <w:hideMark/>
          </w:tcPr>
          <w:p w14:paraId="2A56D1D3" w14:textId="77777777" w:rsidR="00AB6753" w:rsidRDefault="00AB6753" w:rsidP="002D1EA4">
            <w:pPr>
              <w:spacing w:after="0"/>
              <w:jc w:val="right"/>
              <w:rPr>
                <w:rFonts w:cs="Arial"/>
                <w:b/>
                <w:bCs/>
                <w:sz w:val="18"/>
                <w:szCs w:val="18"/>
              </w:rPr>
            </w:pPr>
            <w:r>
              <w:rPr>
                <w:rFonts w:cs="Arial"/>
                <w:b/>
                <w:bCs/>
                <w:sz w:val="18"/>
                <w:szCs w:val="18"/>
              </w:rPr>
              <w:t>80,967</w:t>
            </w:r>
          </w:p>
        </w:tc>
        <w:tc>
          <w:tcPr>
            <w:tcW w:w="267" w:type="dxa"/>
            <w:tcBorders>
              <w:top w:val="nil"/>
              <w:left w:val="nil"/>
              <w:bottom w:val="nil"/>
              <w:right w:val="nil"/>
            </w:tcBorders>
            <w:shd w:val="clear" w:color="FFFFFF" w:fill="FFFFFF"/>
            <w:noWrap/>
            <w:vAlign w:val="bottom"/>
            <w:hideMark/>
          </w:tcPr>
          <w:p w14:paraId="5FBC5F32"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589CEF4F" w14:textId="77777777" w:rsidR="00AB6753" w:rsidRDefault="00AB6753" w:rsidP="002D1EA4">
            <w:pPr>
              <w:spacing w:after="0"/>
              <w:jc w:val="right"/>
              <w:rPr>
                <w:rFonts w:cs="Arial"/>
                <w:sz w:val="18"/>
                <w:szCs w:val="18"/>
              </w:rPr>
            </w:pPr>
            <w:r>
              <w:rPr>
                <w:rFonts w:cs="Arial"/>
                <w:sz w:val="18"/>
                <w:szCs w:val="18"/>
              </w:rPr>
              <w:t xml:space="preserve">61,220 </w:t>
            </w:r>
          </w:p>
        </w:tc>
      </w:tr>
      <w:tr w:rsidR="00AB6753" w14:paraId="2391A534" w14:textId="77777777" w:rsidTr="002D1EA4">
        <w:trPr>
          <w:trHeight w:val="240"/>
        </w:trPr>
        <w:tc>
          <w:tcPr>
            <w:tcW w:w="6396" w:type="dxa"/>
            <w:tcBorders>
              <w:top w:val="nil"/>
              <w:left w:val="nil"/>
              <w:bottom w:val="nil"/>
              <w:right w:val="nil"/>
            </w:tcBorders>
            <w:shd w:val="clear" w:color="FFFFFF" w:fill="FFFFFF"/>
            <w:noWrap/>
            <w:vAlign w:val="bottom"/>
            <w:hideMark/>
          </w:tcPr>
          <w:p w14:paraId="5DF55607" w14:textId="77777777" w:rsidR="00AB6753" w:rsidRDefault="00AB6753" w:rsidP="002D1EA4">
            <w:pPr>
              <w:spacing w:after="0"/>
              <w:ind w:firstLineChars="100" w:firstLine="180"/>
              <w:rPr>
                <w:rFonts w:cs="Arial"/>
                <w:sz w:val="18"/>
                <w:szCs w:val="18"/>
              </w:rPr>
            </w:pPr>
            <w:r>
              <w:rPr>
                <w:rFonts w:cs="Arial"/>
                <w:sz w:val="18"/>
                <w:szCs w:val="18"/>
              </w:rPr>
              <w:t>More than 12 months</w:t>
            </w:r>
          </w:p>
        </w:tc>
        <w:tc>
          <w:tcPr>
            <w:tcW w:w="1256" w:type="dxa"/>
            <w:tcBorders>
              <w:top w:val="nil"/>
              <w:left w:val="nil"/>
              <w:bottom w:val="nil"/>
              <w:right w:val="nil"/>
            </w:tcBorders>
            <w:shd w:val="clear" w:color="FFFFFF" w:fill="FFFFFF"/>
            <w:noWrap/>
            <w:vAlign w:val="bottom"/>
            <w:hideMark/>
          </w:tcPr>
          <w:p w14:paraId="27F23192" w14:textId="77777777" w:rsidR="00AB6753" w:rsidRDefault="00AB6753" w:rsidP="002D1EA4">
            <w:pPr>
              <w:spacing w:after="0"/>
              <w:jc w:val="right"/>
              <w:rPr>
                <w:rFonts w:cs="Arial"/>
                <w:b/>
                <w:bCs/>
                <w:sz w:val="18"/>
                <w:szCs w:val="18"/>
              </w:rPr>
            </w:pPr>
            <w:r>
              <w:rPr>
                <w:rFonts w:cs="Arial"/>
                <w:b/>
                <w:bCs/>
                <w:sz w:val="18"/>
                <w:szCs w:val="18"/>
              </w:rPr>
              <w:t>587,505</w:t>
            </w:r>
          </w:p>
        </w:tc>
        <w:tc>
          <w:tcPr>
            <w:tcW w:w="267" w:type="dxa"/>
            <w:tcBorders>
              <w:top w:val="nil"/>
              <w:left w:val="nil"/>
              <w:bottom w:val="nil"/>
              <w:right w:val="nil"/>
            </w:tcBorders>
            <w:shd w:val="clear" w:color="FFFFFF" w:fill="FFFFFF"/>
            <w:noWrap/>
            <w:vAlign w:val="bottom"/>
            <w:hideMark/>
          </w:tcPr>
          <w:p w14:paraId="11647E84" w14:textId="77777777" w:rsidR="00AB6753" w:rsidRDefault="00AB6753" w:rsidP="002D1EA4">
            <w:pPr>
              <w:spacing w:after="0"/>
              <w:rPr>
                <w:rFonts w:cs="Arial"/>
                <w:sz w:val="18"/>
                <w:szCs w:val="18"/>
              </w:rPr>
            </w:pPr>
            <w:r>
              <w:rPr>
                <w:rFonts w:cs="Arial"/>
                <w:sz w:val="18"/>
                <w:szCs w:val="18"/>
              </w:rPr>
              <w:t> </w:t>
            </w:r>
          </w:p>
        </w:tc>
        <w:tc>
          <w:tcPr>
            <w:tcW w:w="1256" w:type="dxa"/>
            <w:tcBorders>
              <w:top w:val="nil"/>
              <w:left w:val="nil"/>
              <w:bottom w:val="nil"/>
              <w:right w:val="nil"/>
            </w:tcBorders>
            <w:shd w:val="clear" w:color="FFFFFF" w:fill="FFFFFF"/>
            <w:noWrap/>
            <w:vAlign w:val="bottom"/>
            <w:hideMark/>
          </w:tcPr>
          <w:p w14:paraId="57564493" w14:textId="77777777" w:rsidR="00AB6753" w:rsidRDefault="00AB6753" w:rsidP="002D1EA4">
            <w:pPr>
              <w:spacing w:after="0"/>
              <w:jc w:val="right"/>
              <w:rPr>
                <w:rFonts w:cs="Arial"/>
                <w:sz w:val="18"/>
                <w:szCs w:val="18"/>
              </w:rPr>
            </w:pPr>
            <w:r>
              <w:rPr>
                <w:rFonts w:cs="Arial"/>
                <w:sz w:val="18"/>
                <w:szCs w:val="18"/>
              </w:rPr>
              <w:t xml:space="preserve">104,976 </w:t>
            </w:r>
          </w:p>
        </w:tc>
      </w:tr>
      <w:tr w:rsidR="00AB6753" w14:paraId="1FF6527A" w14:textId="77777777" w:rsidTr="002D1EA4">
        <w:trPr>
          <w:trHeight w:val="240"/>
        </w:trPr>
        <w:tc>
          <w:tcPr>
            <w:tcW w:w="6396" w:type="dxa"/>
            <w:tcBorders>
              <w:top w:val="nil"/>
              <w:left w:val="nil"/>
              <w:bottom w:val="nil"/>
              <w:right w:val="nil"/>
            </w:tcBorders>
            <w:shd w:val="clear" w:color="FFFFFF" w:fill="FFFFFF"/>
            <w:vAlign w:val="bottom"/>
            <w:hideMark/>
          </w:tcPr>
          <w:p w14:paraId="257B81A7" w14:textId="77777777" w:rsidR="00AB6753" w:rsidRDefault="00AB6753" w:rsidP="002D1EA4">
            <w:pPr>
              <w:spacing w:after="0"/>
              <w:rPr>
                <w:rFonts w:cs="Arial"/>
                <w:b/>
                <w:bCs/>
                <w:sz w:val="18"/>
                <w:szCs w:val="18"/>
              </w:rPr>
            </w:pPr>
            <w:r>
              <w:rPr>
                <w:rFonts w:cs="Arial"/>
                <w:b/>
                <w:bCs/>
                <w:sz w:val="18"/>
                <w:szCs w:val="18"/>
              </w:rPr>
              <w:t>Total liabilities</w:t>
            </w:r>
          </w:p>
        </w:tc>
        <w:tc>
          <w:tcPr>
            <w:tcW w:w="1256" w:type="dxa"/>
            <w:tcBorders>
              <w:top w:val="single" w:sz="4" w:space="0" w:color="auto"/>
              <w:left w:val="nil"/>
              <w:bottom w:val="single" w:sz="4" w:space="0" w:color="auto"/>
              <w:right w:val="nil"/>
            </w:tcBorders>
            <w:shd w:val="clear" w:color="FFFFFF" w:fill="FFFFFF"/>
            <w:noWrap/>
            <w:vAlign w:val="bottom"/>
            <w:hideMark/>
          </w:tcPr>
          <w:p w14:paraId="0E299B45" w14:textId="77777777" w:rsidR="00AB6753" w:rsidRDefault="00AB6753" w:rsidP="002D1EA4">
            <w:pPr>
              <w:spacing w:after="0"/>
              <w:jc w:val="right"/>
              <w:rPr>
                <w:rFonts w:cs="Arial"/>
                <w:b/>
                <w:bCs/>
                <w:sz w:val="18"/>
                <w:szCs w:val="18"/>
              </w:rPr>
            </w:pPr>
            <w:r>
              <w:rPr>
                <w:rFonts w:cs="Arial"/>
                <w:b/>
                <w:bCs/>
                <w:sz w:val="18"/>
                <w:szCs w:val="18"/>
              </w:rPr>
              <w:t>668,472</w:t>
            </w:r>
          </w:p>
        </w:tc>
        <w:tc>
          <w:tcPr>
            <w:tcW w:w="267" w:type="dxa"/>
            <w:tcBorders>
              <w:top w:val="nil"/>
              <w:left w:val="nil"/>
              <w:bottom w:val="nil"/>
              <w:right w:val="nil"/>
            </w:tcBorders>
            <w:shd w:val="clear" w:color="FFFFFF" w:fill="FFFFFF"/>
            <w:noWrap/>
            <w:vAlign w:val="bottom"/>
            <w:hideMark/>
          </w:tcPr>
          <w:p w14:paraId="6D3650FF" w14:textId="77777777" w:rsidR="00AB6753" w:rsidRDefault="00AB6753" w:rsidP="002D1EA4">
            <w:pPr>
              <w:spacing w:after="0"/>
              <w:rPr>
                <w:rFonts w:cs="Arial"/>
                <w:sz w:val="18"/>
                <w:szCs w:val="18"/>
              </w:rPr>
            </w:pPr>
            <w:r>
              <w:rPr>
                <w:rFonts w:cs="Arial"/>
                <w:sz w:val="18"/>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14:paraId="57CE49E9" w14:textId="77777777" w:rsidR="00AB6753" w:rsidRDefault="00AB6753" w:rsidP="002D1EA4">
            <w:pPr>
              <w:spacing w:after="0"/>
              <w:jc w:val="right"/>
              <w:rPr>
                <w:rFonts w:cs="Arial"/>
                <w:sz w:val="18"/>
                <w:szCs w:val="18"/>
              </w:rPr>
            </w:pPr>
            <w:r>
              <w:rPr>
                <w:rFonts w:cs="Arial"/>
                <w:sz w:val="18"/>
                <w:szCs w:val="18"/>
              </w:rPr>
              <w:t>166,196</w:t>
            </w:r>
          </w:p>
        </w:tc>
      </w:tr>
    </w:tbl>
    <w:p w14:paraId="47C6DC33" w14:textId="77777777" w:rsidR="00AB6753" w:rsidRPr="009B7B21" w:rsidRDefault="00AB6753" w:rsidP="00AB6753">
      <w:pPr>
        <w:pStyle w:val="ReferenceText"/>
        <w:rPr>
          <w:highlight w:val="yellow"/>
        </w:rPr>
      </w:pPr>
    </w:p>
    <w:tbl>
      <w:tblPr>
        <w:tblW w:w="9411" w:type="dxa"/>
        <w:tblInd w:w="80" w:type="dxa"/>
        <w:tblLayout w:type="fixed"/>
        <w:tblLook w:val="04A0" w:firstRow="1" w:lastRow="0" w:firstColumn="1" w:lastColumn="0" w:noHBand="0" w:noVBand="1"/>
        <w:tblCaption w:val="Notes to and forming part of the financial statements"/>
        <w:tblDescription w:val="Other information"/>
      </w:tblPr>
      <w:tblGrid>
        <w:gridCol w:w="6566"/>
        <w:gridCol w:w="1286"/>
        <w:gridCol w:w="273"/>
        <w:gridCol w:w="1286"/>
      </w:tblGrid>
      <w:tr w:rsidR="00AB6753" w14:paraId="15BB080B" w14:textId="77777777" w:rsidTr="002D1EA4">
        <w:trPr>
          <w:trHeight w:val="255"/>
        </w:trPr>
        <w:tc>
          <w:tcPr>
            <w:tcW w:w="6416" w:type="dxa"/>
            <w:tcBorders>
              <w:top w:val="nil"/>
              <w:left w:val="nil"/>
              <w:bottom w:val="nil"/>
              <w:right w:val="nil"/>
            </w:tcBorders>
            <w:shd w:val="clear" w:color="000000" w:fill="D9D9D9"/>
            <w:noWrap/>
            <w:hideMark/>
          </w:tcPr>
          <w:p w14:paraId="32FA6E1D" w14:textId="77777777" w:rsidR="00AB6753" w:rsidRDefault="00AB6753" w:rsidP="002D1EA4">
            <w:pPr>
              <w:spacing w:after="0" w:line="240" w:lineRule="auto"/>
              <w:rPr>
                <w:rFonts w:cs="Arial"/>
                <w:b/>
                <w:bCs/>
                <w:sz w:val="18"/>
                <w:szCs w:val="18"/>
                <w:u w:val="single"/>
              </w:rPr>
            </w:pPr>
            <w:bookmarkStart w:id="257" w:name="Note_AALTABLE1" w:colFirst="0" w:colLast="0"/>
            <w:r>
              <w:rPr>
                <w:rFonts w:cs="Arial"/>
                <w:b/>
                <w:bCs/>
                <w:sz w:val="18"/>
                <w:szCs w:val="18"/>
                <w:u w:val="single"/>
              </w:rPr>
              <w:t>Note 8.1B: Administered - Aggregate Assets and Liabilities</w:t>
            </w:r>
          </w:p>
        </w:tc>
        <w:tc>
          <w:tcPr>
            <w:tcW w:w="1256" w:type="dxa"/>
            <w:tcBorders>
              <w:top w:val="nil"/>
              <w:left w:val="nil"/>
              <w:bottom w:val="nil"/>
              <w:right w:val="nil"/>
            </w:tcBorders>
            <w:shd w:val="clear" w:color="000000" w:fill="D9D9D9"/>
            <w:noWrap/>
            <w:vAlign w:val="bottom"/>
            <w:hideMark/>
          </w:tcPr>
          <w:p w14:paraId="4C5F235B" w14:textId="77777777" w:rsidR="00AB6753" w:rsidRDefault="00AB6753" w:rsidP="002D1EA4">
            <w:pPr>
              <w:spacing w:after="0" w:line="240" w:lineRule="auto"/>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78DC2535" w14:textId="77777777" w:rsidR="00AB6753" w:rsidRDefault="00AB6753" w:rsidP="002D1EA4">
            <w:pPr>
              <w:spacing w:after="0" w:line="240" w:lineRule="auto"/>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308C6993" w14:textId="77777777" w:rsidR="00AB6753" w:rsidRDefault="00AB6753" w:rsidP="002D1EA4">
            <w:pPr>
              <w:spacing w:after="0" w:line="240" w:lineRule="auto"/>
              <w:rPr>
                <w:rFonts w:cs="Arial"/>
                <w:sz w:val="16"/>
                <w:szCs w:val="16"/>
              </w:rPr>
            </w:pPr>
            <w:r>
              <w:rPr>
                <w:rFonts w:cs="Arial"/>
                <w:sz w:val="16"/>
                <w:szCs w:val="16"/>
              </w:rPr>
              <w:t> </w:t>
            </w:r>
          </w:p>
        </w:tc>
      </w:tr>
      <w:bookmarkEnd w:id="257"/>
      <w:tr w:rsidR="00AB6753" w14:paraId="19D08A29" w14:textId="77777777" w:rsidTr="002D1EA4">
        <w:trPr>
          <w:trHeight w:val="255"/>
        </w:trPr>
        <w:tc>
          <w:tcPr>
            <w:tcW w:w="6416" w:type="dxa"/>
            <w:tcBorders>
              <w:top w:val="nil"/>
              <w:left w:val="nil"/>
              <w:bottom w:val="nil"/>
              <w:right w:val="nil"/>
            </w:tcBorders>
            <w:shd w:val="clear" w:color="000000" w:fill="D9D9D9"/>
            <w:noWrap/>
            <w:vAlign w:val="bottom"/>
            <w:hideMark/>
          </w:tcPr>
          <w:p w14:paraId="43304717" w14:textId="77777777" w:rsidR="00AB6753" w:rsidRDefault="00AB6753" w:rsidP="002D1EA4">
            <w:pPr>
              <w:spacing w:after="0" w:line="240" w:lineRule="auto"/>
              <w:rPr>
                <w:rFonts w:cs="Arial"/>
                <w:b/>
                <w:bCs/>
                <w:sz w:val="18"/>
                <w:szCs w:val="18"/>
              </w:rPr>
            </w:pPr>
            <w:r>
              <w:rPr>
                <w:rFonts w:cs="Arial"/>
                <w:b/>
                <w:bCs/>
                <w:sz w:val="18"/>
                <w:szCs w:val="18"/>
              </w:rPr>
              <w:t>Assets expected to be recovered in:</w:t>
            </w:r>
          </w:p>
        </w:tc>
        <w:tc>
          <w:tcPr>
            <w:tcW w:w="1256" w:type="dxa"/>
            <w:tcBorders>
              <w:top w:val="nil"/>
              <w:left w:val="nil"/>
              <w:bottom w:val="nil"/>
              <w:right w:val="nil"/>
            </w:tcBorders>
            <w:shd w:val="clear" w:color="000000" w:fill="D9D9D9"/>
            <w:noWrap/>
            <w:vAlign w:val="bottom"/>
            <w:hideMark/>
          </w:tcPr>
          <w:p w14:paraId="2E2426EE" w14:textId="77777777" w:rsidR="00AB6753" w:rsidRDefault="00AB6753" w:rsidP="002D1EA4">
            <w:pPr>
              <w:spacing w:after="0" w:line="240" w:lineRule="auto"/>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3BF64FAE" w14:textId="77777777" w:rsidR="00AB6753" w:rsidRDefault="00AB6753" w:rsidP="002D1EA4">
            <w:pPr>
              <w:spacing w:after="0" w:line="240" w:lineRule="auto"/>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735B8A2B" w14:textId="77777777" w:rsidR="00AB6753" w:rsidRDefault="00AB6753" w:rsidP="002D1EA4">
            <w:pPr>
              <w:spacing w:after="0" w:line="240" w:lineRule="auto"/>
              <w:rPr>
                <w:rFonts w:cs="Arial"/>
                <w:sz w:val="16"/>
                <w:szCs w:val="16"/>
              </w:rPr>
            </w:pPr>
            <w:r>
              <w:rPr>
                <w:rFonts w:cs="Arial"/>
                <w:sz w:val="16"/>
                <w:szCs w:val="16"/>
              </w:rPr>
              <w:t> </w:t>
            </w:r>
          </w:p>
        </w:tc>
      </w:tr>
      <w:tr w:rsidR="00AB6753" w14:paraId="6AB76ECD" w14:textId="77777777" w:rsidTr="002D1EA4">
        <w:trPr>
          <w:trHeight w:val="255"/>
        </w:trPr>
        <w:tc>
          <w:tcPr>
            <w:tcW w:w="6416" w:type="dxa"/>
            <w:tcBorders>
              <w:top w:val="nil"/>
              <w:left w:val="nil"/>
              <w:bottom w:val="nil"/>
              <w:right w:val="nil"/>
            </w:tcBorders>
            <w:shd w:val="clear" w:color="000000" w:fill="D9D9D9"/>
            <w:noWrap/>
            <w:vAlign w:val="bottom"/>
            <w:hideMark/>
          </w:tcPr>
          <w:p w14:paraId="70510828" w14:textId="77777777" w:rsidR="00AB6753" w:rsidRDefault="00AB6753" w:rsidP="002D1EA4">
            <w:pPr>
              <w:spacing w:after="0" w:line="240" w:lineRule="auto"/>
              <w:ind w:firstLineChars="100" w:firstLine="180"/>
              <w:rPr>
                <w:rFonts w:cs="Arial"/>
                <w:sz w:val="18"/>
                <w:szCs w:val="18"/>
              </w:rPr>
            </w:pPr>
            <w:r>
              <w:rPr>
                <w:rFonts w:cs="Arial"/>
                <w:sz w:val="18"/>
                <w:szCs w:val="18"/>
              </w:rPr>
              <w:t>No more than 12 months</w:t>
            </w:r>
          </w:p>
        </w:tc>
        <w:tc>
          <w:tcPr>
            <w:tcW w:w="1256" w:type="dxa"/>
            <w:tcBorders>
              <w:top w:val="nil"/>
              <w:left w:val="nil"/>
              <w:bottom w:val="nil"/>
              <w:right w:val="nil"/>
            </w:tcBorders>
            <w:shd w:val="clear" w:color="000000" w:fill="D9D9D9"/>
            <w:noWrap/>
            <w:vAlign w:val="bottom"/>
            <w:hideMark/>
          </w:tcPr>
          <w:p w14:paraId="6FB2C863" w14:textId="77777777" w:rsidR="00AB6753" w:rsidRDefault="00AB6753" w:rsidP="002D1EA4">
            <w:pPr>
              <w:spacing w:after="0" w:line="240" w:lineRule="auto"/>
              <w:jc w:val="right"/>
              <w:rPr>
                <w:rFonts w:cs="Arial"/>
                <w:b/>
                <w:bCs/>
                <w:sz w:val="18"/>
                <w:szCs w:val="18"/>
              </w:rPr>
            </w:pPr>
            <w:r>
              <w:rPr>
                <w:rFonts w:cs="Arial"/>
                <w:b/>
                <w:bCs/>
                <w:sz w:val="18"/>
                <w:szCs w:val="18"/>
              </w:rPr>
              <w:t>4,217,083</w:t>
            </w:r>
          </w:p>
        </w:tc>
        <w:tc>
          <w:tcPr>
            <w:tcW w:w="267" w:type="dxa"/>
            <w:tcBorders>
              <w:top w:val="nil"/>
              <w:left w:val="nil"/>
              <w:bottom w:val="nil"/>
              <w:right w:val="nil"/>
            </w:tcBorders>
            <w:shd w:val="clear" w:color="000000" w:fill="D9D9D9"/>
            <w:noWrap/>
            <w:vAlign w:val="bottom"/>
            <w:hideMark/>
          </w:tcPr>
          <w:p w14:paraId="38BE607F" w14:textId="77777777" w:rsidR="00AB6753" w:rsidRDefault="00AB6753" w:rsidP="002D1EA4">
            <w:pPr>
              <w:spacing w:after="0" w:line="240" w:lineRule="auto"/>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7A88BC94" w14:textId="77777777" w:rsidR="00AB6753" w:rsidRDefault="00AB6753" w:rsidP="002D1EA4">
            <w:pPr>
              <w:spacing w:after="0" w:line="240" w:lineRule="auto"/>
              <w:jc w:val="right"/>
              <w:rPr>
                <w:rFonts w:cs="Arial"/>
                <w:sz w:val="18"/>
                <w:szCs w:val="18"/>
              </w:rPr>
            </w:pPr>
            <w:r>
              <w:rPr>
                <w:rFonts w:cs="Arial"/>
                <w:sz w:val="18"/>
                <w:szCs w:val="18"/>
              </w:rPr>
              <w:t>4,315,005</w:t>
            </w:r>
          </w:p>
        </w:tc>
      </w:tr>
      <w:tr w:rsidR="00AB6753" w14:paraId="2F16BD47" w14:textId="77777777" w:rsidTr="002D1EA4">
        <w:trPr>
          <w:trHeight w:val="255"/>
        </w:trPr>
        <w:tc>
          <w:tcPr>
            <w:tcW w:w="6416" w:type="dxa"/>
            <w:tcBorders>
              <w:top w:val="nil"/>
              <w:left w:val="nil"/>
              <w:bottom w:val="nil"/>
              <w:right w:val="nil"/>
            </w:tcBorders>
            <w:shd w:val="clear" w:color="000000" w:fill="D9D9D9"/>
            <w:noWrap/>
            <w:vAlign w:val="bottom"/>
            <w:hideMark/>
          </w:tcPr>
          <w:p w14:paraId="1A22A430" w14:textId="77777777" w:rsidR="00AB6753" w:rsidRDefault="00AB6753" w:rsidP="002D1EA4">
            <w:pPr>
              <w:spacing w:after="0" w:line="240" w:lineRule="auto"/>
              <w:ind w:firstLineChars="100" w:firstLine="180"/>
              <w:rPr>
                <w:rFonts w:cs="Arial"/>
                <w:sz w:val="18"/>
                <w:szCs w:val="18"/>
              </w:rPr>
            </w:pPr>
            <w:r>
              <w:rPr>
                <w:rFonts w:cs="Arial"/>
                <w:sz w:val="18"/>
                <w:szCs w:val="18"/>
              </w:rPr>
              <w:t>More than 12 months</w:t>
            </w:r>
          </w:p>
        </w:tc>
        <w:tc>
          <w:tcPr>
            <w:tcW w:w="1256" w:type="dxa"/>
            <w:tcBorders>
              <w:top w:val="nil"/>
              <w:left w:val="nil"/>
              <w:bottom w:val="nil"/>
              <w:right w:val="nil"/>
            </w:tcBorders>
            <w:shd w:val="clear" w:color="000000" w:fill="D9D9D9"/>
            <w:noWrap/>
            <w:vAlign w:val="bottom"/>
            <w:hideMark/>
          </w:tcPr>
          <w:p w14:paraId="3E0186A0" w14:textId="77777777" w:rsidR="00AB6753" w:rsidRDefault="00AB6753" w:rsidP="002D1EA4">
            <w:pPr>
              <w:spacing w:after="0" w:line="240" w:lineRule="auto"/>
              <w:jc w:val="right"/>
              <w:rPr>
                <w:rFonts w:cs="Arial"/>
                <w:b/>
                <w:bCs/>
                <w:sz w:val="18"/>
                <w:szCs w:val="18"/>
              </w:rPr>
            </w:pPr>
            <w:r>
              <w:rPr>
                <w:rFonts w:cs="Arial"/>
                <w:b/>
                <w:bCs/>
                <w:sz w:val="18"/>
                <w:szCs w:val="18"/>
              </w:rPr>
              <w:t>2,181,318</w:t>
            </w:r>
          </w:p>
        </w:tc>
        <w:tc>
          <w:tcPr>
            <w:tcW w:w="267" w:type="dxa"/>
            <w:tcBorders>
              <w:top w:val="nil"/>
              <w:left w:val="nil"/>
              <w:bottom w:val="nil"/>
              <w:right w:val="nil"/>
            </w:tcBorders>
            <w:shd w:val="clear" w:color="000000" w:fill="D9D9D9"/>
            <w:noWrap/>
            <w:vAlign w:val="bottom"/>
            <w:hideMark/>
          </w:tcPr>
          <w:p w14:paraId="5B968303" w14:textId="77777777" w:rsidR="00AB6753" w:rsidRDefault="00AB6753" w:rsidP="002D1EA4">
            <w:pPr>
              <w:spacing w:after="0" w:line="240" w:lineRule="auto"/>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382CF098" w14:textId="77777777" w:rsidR="00AB6753" w:rsidRDefault="00AB6753" w:rsidP="002D1EA4">
            <w:pPr>
              <w:spacing w:after="0" w:line="240" w:lineRule="auto"/>
              <w:jc w:val="right"/>
              <w:rPr>
                <w:rFonts w:cs="Arial"/>
                <w:sz w:val="18"/>
                <w:szCs w:val="18"/>
              </w:rPr>
            </w:pPr>
            <w:r>
              <w:rPr>
                <w:rFonts w:cs="Arial"/>
                <w:sz w:val="18"/>
                <w:szCs w:val="18"/>
              </w:rPr>
              <w:t>3,180,560</w:t>
            </w:r>
          </w:p>
        </w:tc>
      </w:tr>
      <w:tr w:rsidR="00AB6753" w14:paraId="74BF8497" w14:textId="77777777" w:rsidTr="002D1EA4">
        <w:trPr>
          <w:trHeight w:val="255"/>
        </w:trPr>
        <w:tc>
          <w:tcPr>
            <w:tcW w:w="6416" w:type="dxa"/>
            <w:tcBorders>
              <w:top w:val="single" w:sz="4" w:space="0" w:color="D9D9D9"/>
              <w:left w:val="nil"/>
              <w:bottom w:val="single" w:sz="4" w:space="0" w:color="D9D9D9"/>
              <w:right w:val="nil"/>
            </w:tcBorders>
            <w:shd w:val="clear" w:color="000000" w:fill="D9D9D9"/>
            <w:noWrap/>
            <w:vAlign w:val="bottom"/>
            <w:hideMark/>
          </w:tcPr>
          <w:p w14:paraId="16682044" w14:textId="77777777" w:rsidR="00AB6753" w:rsidRDefault="00AB6753" w:rsidP="002D1EA4">
            <w:pPr>
              <w:spacing w:after="0" w:line="240" w:lineRule="auto"/>
              <w:rPr>
                <w:rFonts w:cs="Arial"/>
                <w:b/>
                <w:bCs/>
                <w:sz w:val="18"/>
                <w:szCs w:val="18"/>
              </w:rPr>
            </w:pPr>
            <w:r>
              <w:rPr>
                <w:rFonts w:cs="Arial"/>
                <w:b/>
                <w:bCs/>
                <w:sz w:val="18"/>
                <w:szCs w:val="18"/>
              </w:rPr>
              <w:t>Total assets</w:t>
            </w:r>
          </w:p>
        </w:tc>
        <w:tc>
          <w:tcPr>
            <w:tcW w:w="1256" w:type="dxa"/>
            <w:tcBorders>
              <w:top w:val="single" w:sz="4" w:space="0" w:color="auto"/>
              <w:left w:val="nil"/>
              <w:bottom w:val="single" w:sz="4" w:space="0" w:color="auto"/>
              <w:right w:val="nil"/>
            </w:tcBorders>
            <w:shd w:val="clear" w:color="000000" w:fill="D9D9D9"/>
            <w:noWrap/>
            <w:vAlign w:val="bottom"/>
            <w:hideMark/>
          </w:tcPr>
          <w:p w14:paraId="33AA9184" w14:textId="77777777" w:rsidR="00AB6753" w:rsidRDefault="00AB6753" w:rsidP="002D1EA4">
            <w:pPr>
              <w:spacing w:after="0" w:line="240" w:lineRule="auto"/>
              <w:jc w:val="right"/>
              <w:rPr>
                <w:rFonts w:cs="Arial"/>
                <w:b/>
                <w:bCs/>
                <w:sz w:val="18"/>
                <w:szCs w:val="18"/>
              </w:rPr>
            </w:pPr>
            <w:r>
              <w:rPr>
                <w:rFonts w:cs="Arial"/>
                <w:b/>
                <w:bCs/>
                <w:sz w:val="18"/>
                <w:szCs w:val="18"/>
              </w:rPr>
              <w:t>6,398,401</w:t>
            </w:r>
          </w:p>
        </w:tc>
        <w:tc>
          <w:tcPr>
            <w:tcW w:w="267" w:type="dxa"/>
            <w:tcBorders>
              <w:top w:val="nil"/>
              <w:left w:val="nil"/>
              <w:bottom w:val="nil"/>
              <w:right w:val="nil"/>
            </w:tcBorders>
            <w:shd w:val="clear" w:color="000000" w:fill="D9D9D9"/>
            <w:noWrap/>
            <w:vAlign w:val="bottom"/>
            <w:hideMark/>
          </w:tcPr>
          <w:p w14:paraId="319D535D" w14:textId="77777777" w:rsidR="00AB6753" w:rsidRDefault="00AB6753" w:rsidP="002D1EA4">
            <w:pPr>
              <w:spacing w:after="0" w:line="240" w:lineRule="auto"/>
              <w:rPr>
                <w:rFonts w:cs="Arial"/>
                <w:sz w:val="16"/>
                <w:szCs w:val="16"/>
              </w:rPr>
            </w:pPr>
            <w:r>
              <w:rPr>
                <w:rFonts w:cs="Arial"/>
                <w:sz w:val="16"/>
                <w:szCs w:val="16"/>
              </w:rPr>
              <w:t> </w:t>
            </w:r>
          </w:p>
        </w:tc>
        <w:tc>
          <w:tcPr>
            <w:tcW w:w="1256" w:type="dxa"/>
            <w:tcBorders>
              <w:top w:val="single" w:sz="4" w:space="0" w:color="auto"/>
              <w:left w:val="nil"/>
              <w:bottom w:val="single" w:sz="4" w:space="0" w:color="auto"/>
              <w:right w:val="nil"/>
            </w:tcBorders>
            <w:shd w:val="clear" w:color="000000" w:fill="D9D9D9"/>
            <w:noWrap/>
            <w:vAlign w:val="bottom"/>
            <w:hideMark/>
          </w:tcPr>
          <w:p w14:paraId="7B93EB87" w14:textId="77777777" w:rsidR="00AB6753" w:rsidRDefault="00AB6753" w:rsidP="002D1EA4">
            <w:pPr>
              <w:spacing w:after="0" w:line="240" w:lineRule="auto"/>
              <w:jc w:val="right"/>
              <w:rPr>
                <w:rFonts w:cs="Arial"/>
                <w:sz w:val="18"/>
                <w:szCs w:val="18"/>
              </w:rPr>
            </w:pPr>
            <w:r>
              <w:rPr>
                <w:rFonts w:cs="Arial"/>
                <w:sz w:val="18"/>
                <w:szCs w:val="18"/>
              </w:rPr>
              <w:t>7,495,565</w:t>
            </w:r>
          </w:p>
        </w:tc>
      </w:tr>
      <w:tr w:rsidR="00AB6753" w14:paraId="4138E633" w14:textId="77777777" w:rsidTr="002D1EA4">
        <w:trPr>
          <w:trHeight w:val="255"/>
        </w:trPr>
        <w:tc>
          <w:tcPr>
            <w:tcW w:w="6416" w:type="dxa"/>
            <w:tcBorders>
              <w:top w:val="nil"/>
              <w:left w:val="nil"/>
              <w:bottom w:val="single" w:sz="4" w:space="0" w:color="D9D9D9"/>
              <w:right w:val="nil"/>
            </w:tcBorders>
            <w:shd w:val="clear" w:color="000000" w:fill="D9D9D9"/>
            <w:noWrap/>
            <w:vAlign w:val="bottom"/>
            <w:hideMark/>
          </w:tcPr>
          <w:p w14:paraId="724E7A15" w14:textId="77777777" w:rsidR="00AB6753" w:rsidRDefault="00AB6753" w:rsidP="002D1EA4">
            <w:pPr>
              <w:spacing w:after="0" w:line="240" w:lineRule="auto"/>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47AE60C1" w14:textId="77777777" w:rsidR="00AB6753" w:rsidRDefault="00AB6753" w:rsidP="002D1EA4">
            <w:pPr>
              <w:spacing w:after="0" w:line="240" w:lineRule="auto"/>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07C29FF6" w14:textId="77777777" w:rsidR="00AB6753" w:rsidRDefault="00AB6753" w:rsidP="002D1EA4">
            <w:pPr>
              <w:spacing w:after="0" w:line="240" w:lineRule="auto"/>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507F5DA8" w14:textId="77777777" w:rsidR="00AB6753" w:rsidRDefault="00AB6753" w:rsidP="002D1EA4">
            <w:pPr>
              <w:spacing w:after="0" w:line="240" w:lineRule="auto"/>
              <w:rPr>
                <w:rFonts w:cs="Arial"/>
                <w:sz w:val="16"/>
                <w:szCs w:val="16"/>
              </w:rPr>
            </w:pPr>
            <w:r>
              <w:rPr>
                <w:rFonts w:cs="Arial"/>
                <w:sz w:val="16"/>
                <w:szCs w:val="16"/>
              </w:rPr>
              <w:t> </w:t>
            </w:r>
          </w:p>
        </w:tc>
      </w:tr>
      <w:tr w:rsidR="00AB6753" w14:paraId="27380C93" w14:textId="77777777" w:rsidTr="002D1EA4">
        <w:trPr>
          <w:trHeight w:val="255"/>
        </w:trPr>
        <w:tc>
          <w:tcPr>
            <w:tcW w:w="6416" w:type="dxa"/>
            <w:tcBorders>
              <w:top w:val="nil"/>
              <w:left w:val="nil"/>
              <w:bottom w:val="nil"/>
              <w:right w:val="nil"/>
            </w:tcBorders>
            <w:shd w:val="clear" w:color="000000" w:fill="D9D9D9"/>
            <w:noWrap/>
            <w:vAlign w:val="bottom"/>
            <w:hideMark/>
          </w:tcPr>
          <w:p w14:paraId="3EE40925" w14:textId="77777777" w:rsidR="00AB6753" w:rsidRDefault="00AB6753" w:rsidP="002D1EA4">
            <w:pPr>
              <w:spacing w:after="0" w:line="240" w:lineRule="auto"/>
              <w:rPr>
                <w:rFonts w:cs="Arial"/>
                <w:b/>
                <w:bCs/>
                <w:sz w:val="18"/>
                <w:szCs w:val="18"/>
              </w:rPr>
            </w:pPr>
            <w:r>
              <w:rPr>
                <w:rFonts w:cs="Arial"/>
                <w:b/>
                <w:bCs/>
                <w:sz w:val="18"/>
                <w:szCs w:val="18"/>
              </w:rPr>
              <w:t>Liabilities expected to be settled in:</w:t>
            </w:r>
          </w:p>
        </w:tc>
        <w:tc>
          <w:tcPr>
            <w:tcW w:w="1256" w:type="dxa"/>
            <w:tcBorders>
              <w:top w:val="nil"/>
              <w:left w:val="nil"/>
              <w:bottom w:val="nil"/>
              <w:right w:val="nil"/>
            </w:tcBorders>
            <w:shd w:val="clear" w:color="000000" w:fill="D9D9D9"/>
            <w:noWrap/>
            <w:vAlign w:val="bottom"/>
            <w:hideMark/>
          </w:tcPr>
          <w:p w14:paraId="4D3FA961" w14:textId="77777777" w:rsidR="00AB6753" w:rsidRDefault="00AB6753" w:rsidP="002D1EA4">
            <w:pPr>
              <w:spacing w:after="0" w:line="240" w:lineRule="auto"/>
              <w:rPr>
                <w:rFonts w:cs="Arial"/>
                <w:sz w:val="16"/>
                <w:szCs w:val="16"/>
              </w:rPr>
            </w:pPr>
            <w:r>
              <w:rPr>
                <w:rFonts w:cs="Arial"/>
                <w:sz w:val="16"/>
                <w:szCs w:val="16"/>
              </w:rPr>
              <w:t> </w:t>
            </w:r>
          </w:p>
        </w:tc>
        <w:tc>
          <w:tcPr>
            <w:tcW w:w="267" w:type="dxa"/>
            <w:tcBorders>
              <w:top w:val="nil"/>
              <w:left w:val="nil"/>
              <w:bottom w:val="nil"/>
              <w:right w:val="nil"/>
            </w:tcBorders>
            <w:shd w:val="clear" w:color="000000" w:fill="D9D9D9"/>
            <w:noWrap/>
            <w:vAlign w:val="bottom"/>
            <w:hideMark/>
          </w:tcPr>
          <w:p w14:paraId="1E51DF62" w14:textId="77777777" w:rsidR="00AB6753" w:rsidRDefault="00AB6753" w:rsidP="002D1EA4">
            <w:pPr>
              <w:spacing w:after="0" w:line="240" w:lineRule="auto"/>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45F370B8" w14:textId="77777777" w:rsidR="00AB6753" w:rsidRDefault="00AB6753" w:rsidP="002D1EA4">
            <w:pPr>
              <w:spacing w:after="0" w:line="240" w:lineRule="auto"/>
              <w:rPr>
                <w:rFonts w:cs="Arial"/>
                <w:sz w:val="16"/>
                <w:szCs w:val="16"/>
              </w:rPr>
            </w:pPr>
            <w:r>
              <w:rPr>
                <w:rFonts w:cs="Arial"/>
                <w:sz w:val="16"/>
                <w:szCs w:val="16"/>
              </w:rPr>
              <w:t> </w:t>
            </w:r>
          </w:p>
        </w:tc>
      </w:tr>
      <w:tr w:rsidR="00AB6753" w14:paraId="016ED623" w14:textId="77777777" w:rsidTr="002D1EA4">
        <w:trPr>
          <w:trHeight w:val="255"/>
        </w:trPr>
        <w:tc>
          <w:tcPr>
            <w:tcW w:w="6416" w:type="dxa"/>
            <w:tcBorders>
              <w:top w:val="nil"/>
              <w:left w:val="nil"/>
              <w:bottom w:val="nil"/>
              <w:right w:val="nil"/>
            </w:tcBorders>
            <w:shd w:val="clear" w:color="000000" w:fill="D9D9D9"/>
            <w:noWrap/>
            <w:vAlign w:val="bottom"/>
            <w:hideMark/>
          </w:tcPr>
          <w:p w14:paraId="2C47330D" w14:textId="77777777" w:rsidR="00AB6753" w:rsidRDefault="00AB6753" w:rsidP="002D1EA4">
            <w:pPr>
              <w:spacing w:after="0" w:line="240" w:lineRule="auto"/>
              <w:ind w:firstLineChars="100" w:firstLine="180"/>
              <w:rPr>
                <w:rFonts w:cs="Arial"/>
                <w:sz w:val="18"/>
                <w:szCs w:val="18"/>
              </w:rPr>
            </w:pPr>
            <w:r>
              <w:rPr>
                <w:rFonts w:cs="Arial"/>
                <w:sz w:val="18"/>
                <w:szCs w:val="18"/>
              </w:rPr>
              <w:t>No more than 12 months</w:t>
            </w:r>
          </w:p>
        </w:tc>
        <w:tc>
          <w:tcPr>
            <w:tcW w:w="1256" w:type="dxa"/>
            <w:tcBorders>
              <w:top w:val="nil"/>
              <w:left w:val="nil"/>
              <w:bottom w:val="nil"/>
              <w:right w:val="nil"/>
            </w:tcBorders>
            <w:shd w:val="clear" w:color="000000" w:fill="D9D9D9"/>
            <w:noWrap/>
            <w:vAlign w:val="bottom"/>
            <w:hideMark/>
          </w:tcPr>
          <w:p w14:paraId="427E56C9" w14:textId="77777777" w:rsidR="00AB6753" w:rsidRDefault="00AB6753" w:rsidP="002D1EA4">
            <w:pPr>
              <w:spacing w:after="0" w:line="240" w:lineRule="auto"/>
              <w:jc w:val="right"/>
              <w:rPr>
                <w:rFonts w:cs="Arial"/>
                <w:b/>
                <w:bCs/>
                <w:sz w:val="18"/>
                <w:szCs w:val="18"/>
              </w:rPr>
            </w:pPr>
            <w:r>
              <w:rPr>
                <w:rFonts w:cs="Arial"/>
                <w:b/>
                <w:bCs/>
                <w:sz w:val="18"/>
                <w:szCs w:val="18"/>
              </w:rPr>
              <w:t>8,467,806</w:t>
            </w:r>
          </w:p>
        </w:tc>
        <w:tc>
          <w:tcPr>
            <w:tcW w:w="267" w:type="dxa"/>
            <w:tcBorders>
              <w:top w:val="nil"/>
              <w:left w:val="nil"/>
              <w:bottom w:val="nil"/>
              <w:right w:val="nil"/>
            </w:tcBorders>
            <w:shd w:val="clear" w:color="000000" w:fill="D9D9D9"/>
            <w:noWrap/>
            <w:vAlign w:val="bottom"/>
            <w:hideMark/>
          </w:tcPr>
          <w:p w14:paraId="03D4276D" w14:textId="77777777" w:rsidR="00AB6753" w:rsidRDefault="00AB6753" w:rsidP="002D1EA4">
            <w:pPr>
              <w:spacing w:after="0" w:line="240" w:lineRule="auto"/>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7CF9423B" w14:textId="77777777" w:rsidR="00AB6753" w:rsidRDefault="00AB6753" w:rsidP="002D1EA4">
            <w:pPr>
              <w:spacing w:after="0" w:line="240" w:lineRule="auto"/>
              <w:jc w:val="right"/>
              <w:rPr>
                <w:rFonts w:cs="Arial"/>
                <w:sz w:val="18"/>
                <w:szCs w:val="18"/>
              </w:rPr>
            </w:pPr>
            <w:r>
              <w:rPr>
                <w:rFonts w:cs="Arial"/>
                <w:sz w:val="18"/>
                <w:szCs w:val="18"/>
              </w:rPr>
              <w:t>6,334,643</w:t>
            </w:r>
          </w:p>
        </w:tc>
      </w:tr>
      <w:tr w:rsidR="00AB6753" w14:paraId="108430D1" w14:textId="77777777" w:rsidTr="002D1EA4">
        <w:trPr>
          <w:trHeight w:val="255"/>
        </w:trPr>
        <w:tc>
          <w:tcPr>
            <w:tcW w:w="6416" w:type="dxa"/>
            <w:tcBorders>
              <w:top w:val="nil"/>
              <w:left w:val="nil"/>
              <w:bottom w:val="nil"/>
              <w:right w:val="nil"/>
            </w:tcBorders>
            <w:shd w:val="clear" w:color="000000" w:fill="D9D9D9"/>
            <w:noWrap/>
            <w:vAlign w:val="bottom"/>
            <w:hideMark/>
          </w:tcPr>
          <w:p w14:paraId="1419A434" w14:textId="77777777" w:rsidR="00AB6753" w:rsidRDefault="00AB6753" w:rsidP="002D1EA4">
            <w:pPr>
              <w:spacing w:after="0" w:line="240" w:lineRule="auto"/>
              <w:ind w:firstLineChars="100" w:firstLine="180"/>
              <w:rPr>
                <w:rFonts w:cs="Arial"/>
                <w:sz w:val="18"/>
                <w:szCs w:val="18"/>
              </w:rPr>
            </w:pPr>
            <w:r>
              <w:rPr>
                <w:rFonts w:cs="Arial"/>
                <w:sz w:val="18"/>
                <w:szCs w:val="18"/>
              </w:rPr>
              <w:t>More than 12 months</w:t>
            </w:r>
          </w:p>
        </w:tc>
        <w:tc>
          <w:tcPr>
            <w:tcW w:w="1256" w:type="dxa"/>
            <w:tcBorders>
              <w:top w:val="nil"/>
              <w:left w:val="nil"/>
              <w:bottom w:val="nil"/>
              <w:right w:val="nil"/>
            </w:tcBorders>
            <w:shd w:val="clear" w:color="000000" w:fill="D9D9D9"/>
            <w:noWrap/>
            <w:vAlign w:val="bottom"/>
            <w:hideMark/>
          </w:tcPr>
          <w:p w14:paraId="36BD2E2B" w14:textId="77777777" w:rsidR="00AB6753" w:rsidRDefault="00AB6753" w:rsidP="002D1EA4">
            <w:pPr>
              <w:spacing w:after="0" w:line="240" w:lineRule="auto"/>
              <w:jc w:val="right"/>
              <w:rPr>
                <w:rFonts w:cs="Arial"/>
                <w:b/>
                <w:bCs/>
                <w:sz w:val="18"/>
                <w:szCs w:val="18"/>
              </w:rPr>
            </w:pPr>
            <w:r>
              <w:rPr>
                <w:rFonts w:cs="Arial"/>
                <w:b/>
                <w:bCs/>
                <w:sz w:val="18"/>
                <w:szCs w:val="18"/>
              </w:rPr>
              <w:t>398,301</w:t>
            </w:r>
          </w:p>
        </w:tc>
        <w:tc>
          <w:tcPr>
            <w:tcW w:w="267" w:type="dxa"/>
            <w:tcBorders>
              <w:top w:val="nil"/>
              <w:left w:val="nil"/>
              <w:bottom w:val="nil"/>
              <w:right w:val="nil"/>
            </w:tcBorders>
            <w:shd w:val="clear" w:color="000000" w:fill="D9D9D9"/>
            <w:noWrap/>
            <w:vAlign w:val="bottom"/>
            <w:hideMark/>
          </w:tcPr>
          <w:p w14:paraId="12A0ED58" w14:textId="77777777" w:rsidR="00AB6753" w:rsidRDefault="00AB6753" w:rsidP="002D1EA4">
            <w:pPr>
              <w:spacing w:after="0" w:line="240" w:lineRule="auto"/>
              <w:rPr>
                <w:rFonts w:cs="Arial"/>
                <w:sz w:val="16"/>
                <w:szCs w:val="16"/>
              </w:rPr>
            </w:pPr>
            <w:r>
              <w:rPr>
                <w:rFonts w:cs="Arial"/>
                <w:sz w:val="16"/>
                <w:szCs w:val="16"/>
              </w:rPr>
              <w:t> </w:t>
            </w:r>
          </w:p>
        </w:tc>
        <w:tc>
          <w:tcPr>
            <w:tcW w:w="1256" w:type="dxa"/>
            <w:tcBorders>
              <w:top w:val="nil"/>
              <w:left w:val="nil"/>
              <w:bottom w:val="nil"/>
              <w:right w:val="nil"/>
            </w:tcBorders>
            <w:shd w:val="clear" w:color="000000" w:fill="D9D9D9"/>
            <w:noWrap/>
            <w:vAlign w:val="bottom"/>
            <w:hideMark/>
          </w:tcPr>
          <w:p w14:paraId="42BE104D" w14:textId="77777777" w:rsidR="00AB6753" w:rsidRDefault="00AB6753" w:rsidP="002D1EA4">
            <w:pPr>
              <w:spacing w:after="0" w:line="240" w:lineRule="auto"/>
              <w:jc w:val="right"/>
              <w:rPr>
                <w:rFonts w:cs="Arial"/>
                <w:sz w:val="18"/>
                <w:szCs w:val="18"/>
              </w:rPr>
            </w:pPr>
            <w:r>
              <w:rPr>
                <w:rFonts w:cs="Arial"/>
                <w:sz w:val="18"/>
                <w:szCs w:val="18"/>
              </w:rPr>
              <w:t>297,915</w:t>
            </w:r>
          </w:p>
        </w:tc>
      </w:tr>
      <w:tr w:rsidR="00AB6753" w14:paraId="7532384E" w14:textId="77777777" w:rsidTr="002D1EA4">
        <w:trPr>
          <w:trHeight w:val="255"/>
        </w:trPr>
        <w:tc>
          <w:tcPr>
            <w:tcW w:w="6416" w:type="dxa"/>
            <w:tcBorders>
              <w:top w:val="single" w:sz="4" w:space="0" w:color="D9D9D9"/>
              <w:left w:val="nil"/>
              <w:bottom w:val="single" w:sz="4" w:space="0" w:color="D9D9D9"/>
              <w:right w:val="nil"/>
            </w:tcBorders>
            <w:shd w:val="clear" w:color="000000" w:fill="D9D9D9"/>
            <w:noWrap/>
            <w:vAlign w:val="bottom"/>
            <w:hideMark/>
          </w:tcPr>
          <w:p w14:paraId="3A518968" w14:textId="77777777" w:rsidR="00AB6753" w:rsidRDefault="00AB6753" w:rsidP="002D1EA4">
            <w:pPr>
              <w:spacing w:after="0" w:line="240" w:lineRule="auto"/>
              <w:rPr>
                <w:rFonts w:cs="Arial"/>
                <w:b/>
                <w:bCs/>
                <w:sz w:val="18"/>
                <w:szCs w:val="18"/>
              </w:rPr>
            </w:pPr>
            <w:r>
              <w:rPr>
                <w:rFonts w:cs="Arial"/>
                <w:b/>
                <w:bCs/>
                <w:sz w:val="18"/>
                <w:szCs w:val="18"/>
              </w:rPr>
              <w:t>Total liabilities</w:t>
            </w:r>
          </w:p>
        </w:tc>
        <w:tc>
          <w:tcPr>
            <w:tcW w:w="1256" w:type="dxa"/>
            <w:tcBorders>
              <w:top w:val="single" w:sz="4" w:space="0" w:color="auto"/>
              <w:left w:val="nil"/>
              <w:bottom w:val="single" w:sz="4" w:space="0" w:color="auto"/>
              <w:right w:val="nil"/>
            </w:tcBorders>
            <w:shd w:val="clear" w:color="000000" w:fill="D9D9D9"/>
            <w:noWrap/>
            <w:vAlign w:val="bottom"/>
            <w:hideMark/>
          </w:tcPr>
          <w:p w14:paraId="65113F8F" w14:textId="77777777" w:rsidR="00AB6753" w:rsidRDefault="00AB6753" w:rsidP="002D1EA4">
            <w:pPr>
              <w:spacing w:after="0" w:line="240" w:lineRule="auto"/>
              <w:jc w:val="right"/>
              <w:rPr>
                <w:rFonts w:cs="Arial"/>
                <w:b/>
                <w:bCs/>
                <w:sz w:val="18"/>
                <w:szCs w:val="18"/>
              </w:rPr>
            </w:pPr>
            <w:r>
              <w:rPr>
                <w:rFonts w:cs="Arial"/>
                <w:b/>
                <w:bCs/>
                <w:sz w:val="18"/>
                <w:szCs w:val="18"/>
              </w:rPr>
              <w:t>8,866,107</w:t>
            </w:r>
          </w:p>
        </w:tc>
        <w:tc>
          <w:tcPr>
            <w:tcW w:w="267" w:type="dxa"/>
            <w:tcBorders>
              <w:top w:val="nil"/>
              <w:left w:val="nil"/>
              <w:bottom w:val="nil"/>
              <w:right w:val="nil"/>
            </w:tcBorders>
            <w:shd w:val="clear" w:color="000000" w:fill="D9D9D9"/>
            <w:noWrap/>
            <w:vAlign w:val="bottom"/>
            <w:hideMark/>
          </w:tcPr>
          <w:p w14:paraId="61C0368D" w14:textId="77777777" w:rsidR="00AB6753" w:rsidRDefault="00AB6753" w:rsidP="002D1EA4">
            <w:pPr>
              <w:spacing w:after="0" w:line="240" w:lineRule="auto"/>
              <w:rPr>
                <w:rFonts w:cs="Arial"/>
                <w:sz w:val="16"/>
                <w:szCs w:val="16"/>
              </w:rPr>
            </w:pPr>
            <w:r>
              <w:rPr>
                <w:rFonts w:cs="Arial"/>
                <w:sz w:val="16"/>
                <w:szCs w:val="16"/>
              </w:rPr>
              <w:t> </w:t>
            </w:r>
          </w:p>
        </w:tc>
        <w:tc>
          <w:tcPr>
            <w:tcW w:w="1256" w:type="dxa"/>
            <w:tcBorders>
              <w:top w:val="single" w:sz="4" w:space="0" w:color="auto"/>
              <w:left w:val="nil"/>
              <w:bottom w:val="single" w:sz="4" w:space="0" w:color="auto"/>
              <w:right w:val="nil"/>
            </w:tcBorders>
            <w:shd w:val="clear" w:color="000000" w:fill="D9D9D9"/>
            <w:noWrap/>
            <w:vAlign w:val="bottom"/>
            <w:hideMark/>
          </w:tcPr>
          <w:p w14:paraId="25F9A4C1" w14:textId="77777777" w:rsidR="00AB6753" w:rsidRDefault="00AB6753" w:rsidP="002D1EA4">
            <w:pPr>
              <w:spacing w:after="0" w:line="240" w:lineRule="auto"/>
              <w:jc w:val="right"/>
              <w:rPr>
                <w:rFonts w:cs="Arial"/>
                <w:sz w:val="18"/>
                <w:szCs w:val="18"/>
              </w:rPr>
            </w:pPr>
            <w:r>
              <w:rPr>
                <w:rFonts w:cs="Arial"/>
                <w:sz w:val="18"/>
                <w:szCs w:val="18"/>
              </w:rPr>
              <w:t>6,632,558</w:t>
            </w:r>
          </w:p>
        </w:tc>
      </w:tr>
    </w:tbl>
    <w:p w14:paraId="22A71162" w14:textId="77777777" w:rsidR="00AB6753" w:rsidRDefault="00AB6753" w:rsidP="00AB6753"/>
    <w:p w14:paraId="7E52989E" w14:textId="77777777" w:rsidR="00AB6753" w:rsidRDefault="00AB6753" w:rsidP="00AB6753">
      <w:pPr>
        <w:spacing w:line="240" w:lineRule="auto"/>
      </w:pPr>
      <w:r>
        <w:br w:type="page"/>
      </w:r>
    </w:p>
    <w:p w14:paraId="41B5D232" w14:textId="77777777" w:rsidR="00AB6753" w:rsidRPr="00C9337A" w:rsidRDefault="00AB6753" w:rsidP="00AB6753">
      <w:pPr>
        <w:pStyle w:val="SubHeading"/>
        <w:numPr>
          <w:ilvl w:val="1"/>
          <w:numId w:val="58"/>
        </w:numPr>
        <w:spacing w:after="120"/>
        <w:ind w:left="419" w:hanging="357"/>
      </w:pPr>
      <w:bookmarkStart w:id="258" w:name="_Toc45748832"/>
      <w:r>
        <w:lastRenderedPageBreak/>
        <w:t>Restructuring</w:t>
      </w:r>
      <w:bookmarkEnd w:id="248"/>
      <w:bookmarkEnd w:id="249"/>
      <w:bookmarkEnd w:id="250"/>
      <w:bookmarkEnd w:id="251"/>
      <w:bookmarkEnd w:id="252"/>
      <w:bookmarkEnd w:id="253"/>
      <w:bookmarkEnd w:id="254"/>
      <w:bookmarkEnd w:id="258"/>
    </w:p>
    <w:tbl>
      <w:tblPr>
        <w:tblW w:w="9411" w:type="dxa"/>
        <w:tblInd w:w="80" w:type="dxa"/>
        <w:tblLayout w:type="fixed"/>
        <w:tblLook w:val="04A0" w:firstRow="1" w:lastRow="0" w:firstColumn="1" w:lastColumn="0" w:noHBand="0" w:noVBand="1"/>
        <w:tblCaption w:val="Notes to and forming part of the financial statements"/>
        <w:tblDescription w:val="Restructuring"/>
      </w:tblPr>
      <w:tblGrid>
        <w:gridCol w:w="2592"/>
        <w:gridCol w:w="2114"/>
        <w:gridCol w:w="1418"/>
        <w:gridCol w:w="1275"/>
        <w:gridCol w:w="1134"/>
        <w:gridCol w:w="878"/>
      </w:tblGrid>
      <w:tr w:rsidR="00AB6753" w14:paraId="76D1631A" w14:textId="77777777" w:rsidTr="002D1EA4">
        <w:trPr>
          <w:trHeight w:val="227"/>
        </w:trPr>
        <w:tc>
          <w:tcPr>
            <w:tcW w:w="9411" w:type="dxa"/>
            <w:gridSpan w:val="6"/>
            <w:tcBorders>
              <w:top w:val="nil"/>
              <w:left w:val="nil"/>
              <w:bottom w:val="nil"/>
              <w:right w:val="nil"/>
            </w:tcBorders>
            <w:shd w:val="clear" w:color="FFFFFF" w:fill="FFFFFF"/>
            <w:noWrap/>
            <w:vAlign w:val="bottom"/>
            <w:hideMark/>
          </w:tcPr>
          <w:p w14:paraId="774D981C" w14:textId="77777777" w:rsidR="00AB6753" w:rsidRDefault="00AB6753" w:rsidP="002D1EA4">
            <w:pPr>
              <w:spacing w:after="0" w:line="240" w:lineRule="auto"/>
              <w:rPr>
                <w:rFonts w:cs="Arial"/>
                <w:b/>
                <w:bCs/>
                <w:sz w:val="18"/>
                <w:szCs w:val="18"/>
                <w:u w:val="single"/>
              </w:rPr>
            </w:pPr>
            <w:bookmarkStart w:id="259" w:name="Note_RESTABLE1" w:colFirst="0" w:colLast="0"/>
            <w:r>
              <w:rPr>
                <w:rFonts w:cs="Arial"/>
                <w:b/>
                <w:bCs/>
                <w:sz w:val="18"/>
                <w:szCs w:val="18"/>
                <w:u w:val="single"/>
              </w:rPr>
              <w:t>Note 8.2A: Departmental Restructuring</w:t>
            </w:r>
          </w:p>
        </w:tc>
      </w:tr>
      <w:bookmarkEnd w:id="259"/>
      <w:tr w:rsidR="00AB6753" w:rsidRPr="00AE3CFE" w14:paraId="1690C508" w14:textId="77777777" w:rsidTr="002D1EA4">
        <w:trPr>
          <w:trHeight w:val="227"/>
        </w:trPr>
        <w:tc>
          <w:tcPr>
            <w:tcW w:w="2592" w:type="dxa"/>
            <w:tcBorders>
              <w:top w:val="nil"/>
              <w:left w:val="nil"/>
              <w:bottom w:val="nil"/>
              <w:right w:val="nil"/>
            </w:tcBorders>
            <w:shd w:val="clear" w:color="FFFFFF" w:fill="FFFFFF"/>
            <w:noWrap/>
            <w:vAlign w:val="bottom"/>
            <w:hideMark/>
          </w:tcPr>
          <w:p w14:paraId="59D3E33D" w14:textId="77777777" w:rsidR="00AB6753" w:rsidRPr="00AE3CFE" w:rsidRDefault="00AB6753" w:rsidP="002D1EA4">
            <w:pPr>
              <w:spacing w:after="0" w:line="240" w:lineRule="auto"/>
              <w:rPr>
                <w:rFonts w:cs="Arial"/>
                <w:sz w:val="16"/>
                <w:szCs w:val="16"/>
              </w:rPr>
            </w:pPr>
            <w:r w:rsidRPr="00AE3CFE">
              <w:rPr>
                <w:rFonts w:cs="Arial"/>
                <w:sz w:val="16"/>
                <w:szCs w:val="16"/>
              </w:rPr>
              <w:t> </w:t>
            </w:r>
          </w:p>
        </w:tc>
        <w:tc>
          <w:tcPr>
            <w:tcW w:w="2114" w:type="dxa"/>
            <w:tcBorders>
              <w:top w:val="nil"/>
              <w:left w:val="nil"/>
              <w:bottom w:val="nil"/>
              <w:right w:val="nil"/>
            </w:tcBorders>
            <w:shd w:val="clear" w:color="FFFFFF" w:fill="FFFFFF"/>
            <w:noWrap/>
            <w:vAlign w:val="bottom"/>
            <w:hideMark/>
          </w:tcPr>
          <w:p w14:paraId="30C192AC"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418" w:type="dxa"/>
            <w:tcBorders>
              <w:top w:val="nil"/>
              <w:left w:val="nil"/>
              <w:bottom w:val="nil"/>
              <w:right w:val="nil"/>
            </w:tcBorders>
            <w:shd w:val="clear" w:color="FFFFFF" w:fill="FFFFFF"/>
            <w:noWrap/>
            <w:vAlign w:val="bottom"/>
            <w:hideMark/>
          </w:tcPr>
          <w:p w14:paraId="0D249F76"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275" w:type="dxa"/>
            <w:tcBorders>
              <w:top w:val="nil"/>
              <w:left w:val="nil"/>
              <w:bottom w:val="nil"/>
              <w:right w:val="nil"/>
            </w:tcBorders>
            <w:shd w:val="clear" w:color="FFFFFF" w:fill="FFFFFF"/>
            <w:noWrap/>
            <w:vAlign w:val="bottom"/>
            <w:hideMark/>
          </w:tcPr>
          <w:p w14:paraId="51063693"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134" w:type="dxa"/>
            <w:tcBorders>
              <w:top w:val="nil"/>
              <w:left w:val="nil"/>
              <w:bottom w:val="nil"/>
              <w:right w:val="nil"/>
            </w:tcBorders>
            <w:shd w:val="clear" w:color="FFFFFF" w:fill="FFFFFF"/>
            <w:noWrap/>
            <w:vAlign w:val="bottom"/>
            <w:hideMark/>
          </w:tcPr>
          <w:p w14:paraId="766894E5"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878" w:type="dxa"/>
            <w:tcBorders>
              <w:top w:val="nil"/>
              <w:left w:val="nil"/>
              <w:bottom w:val="nil"/>
              <w:right w:val="nil"/>
            </w:tcBorders>
            <w:shd w:val="clear" w:color="FFFFFF" w:fill="FFFFFF"/>
            <w:noWrap/>
            <w:vAlign w:val="bottom"/>
            <w:hideMark/>
          </w:tcPr>
          <w:p w14:paraId="2524F9D2" w14:textId="77777777" w:rsidR="00AB6753" w:rsidRPr="00AE3CFE" w:rsidRDefault="00AB6753" w:rsidP="002D1EA4">
            <w:pPr>
              <w:spacing w:after="0" w:line="240" w:lineRule="auto"/>
              <w:rPr>
                <w:rFonts w:cs="Arial"/>
                <w:sz w:val="16"/>
                <w:szCs w:val="16"/>
              </w:rPr>
            </w:pPr>
            <w:r w:rsidRPr="00AE3CFE">
              <w:rPr>
                <w:rFonts w:cs="Arial"/>
                <w:sz w:val="16"/>
                <w:szCs w:val="16"/>
              </w:rPr>
              <w:t> </w:t>
            </w:r>
          </w:p>
        </w:tc>
      </w:tr>
      <w:tr w:rsidR="00AB6753" w:rsidRPr="00AE3CFE" w14:paraId="1FAD994F" w14:textId="77777777" w:rsidTr="002D1EA4">
        <w:trPr>
          <w:trHeight w:val="227"/>
        </w:trPr>
        <w:tc>
          <w:tcPr>
            <w:tcW w:w="2592" w:type="dxa"/>
            <w:tcBorders>
              <w:top w:val="single" w:sz="4" w:space="0" w:color="auto"/>
              <w:left w:val="nil"/>
              <w:bottom w:val="single" w:sz="4" w:space="0" w:color="auto"/>
              <w:right w:val="nil"/>
            </w:tcBorders>
            <w:shd w:val="clear" w:color="FFFFFF" w:fill="FFFFFF"/>
            <w:noWrap/>
            <w:vAlign w:val="bottom"/>
            <w:hideMark/>
          </w:tcPr>
          <w:p w14:paraId="4AE39248"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5941" w:type="dxa"/>
            <w:gridSpan w:val="4"/>
            <w:tcBorders>
              <w:top w:val="single" w:sz="4" w:space="0" w:color="auto"/>
              <w:left w:val="nil"/>
              <w:bottom w:val="single" w:sz="4" w:space="0" w:color="auto"/>
              <w:right w:val="nil"/>
            </w:tcBorders>
            <w:shd w:val="clear" w:color="FFFFFF" w:fill="FFFFFF"/>
            <w:vAlign w:val="bottom"/>
            <w:hideMark/>
          </w:tcPr>
          <w:p w14:paraId="176FADD9" w14:textId="77777777" w:rsidR="00AB6753" w:rsidRPr="00AE3CFE" w:rsidRDefault="00AB6753" w:rsidP="002D1EA4">
            <w:pPr>
              <w:spacing w:after="0" w:line="240" w:lineRule="auto"/>
              <w:jc w:val="center"/>
              <w:rPr>
                <w:rFonts w:cs="Arial"/>
                <w:b/>
                <w:bCs/>
                <w:sz w:val="16"/>
                <w:szCs w:val="16"/>
              </w:rPr>
            </w:pPr>
            <w:r w:rsidRPr="00AE3CFE">
              <w:rPr>
                <w:rFonts w:cs="Arial"/>
                <w:b/>
                <w:bCs/>
                <w:sz w:val="16"/>
                <w:szCs w:val="16"/>
              </w:rPr>
              <w:t>2020</w:t>
            </w:r>
          </w:p>
        </w:tc>
        <w:tc>
          <w:tcPr>
            <w:tcW w:w="878" w:type="dxa"/>
            <w:tcBorders>
              <w:top w:val="single" w:sz="4" w:space="0" w:color="auto"/>
              <w:left w:val="nil"/>
              <w:bottom w:val="single" w:sz="4" w:space="0" w:color="auto"/>
              <w:right w:val="nil"/>
            </w:tcBorders>
            <w:shd w:val="clear" w:color="FFFFFF" w:fill="FFFFFF"/>
            <w:vAlign w:val="bottom"/>
            <w:hideMark/>
          </w:tcPr>
          <w:p w14:paraId="326D2192" w14:textId="77777777" w:rsidR="00AB6753" w:rsidRPr="00AE3CFE" w:rsidRDefault="00AB6753" w:rsidP="002D1EA4">
            <w:pPr>
              <w:spacing w:after="0" w:line="240" w:lineRule="auto"/>
              <w:jc w:val="right"/>
              <w:rPr>
                <w:rFonts w:cs="Arial"/>
                <w:sz w:val="16"/>
                <w:szCs w:val="16"/>
              </w:rPr>
            </w:pPr>
            <w:r w:rsidRPr="00AE3CFE">
              <w:rPr>
                <w:rFonts w:cs="Arial"/>
                <w:sz w:val="16"/>
                <w:szCs w:val="16"/>
              </w:rPr>
              <w:t>2019</w:t>
            </w:r>
          </w:p>
        </w:tc>
      </w:tr>
      <w:tr w:rsidR="00AB6753" w:rsidRPr="00AE3CFE" w14:paraId="6773194F" w14:textId="77777777" w:rsidTr="002D1EA4">
        <w:trPr>
          <w:trHeight w:val="227"/>
        </w:trPr>
        <w:tc>
          <w:tcPr>
            <w:tcW w:w="2592" w:type="dxa"/>
            <w:tcBorders>
              <w:top w:val="nil"/>
              <w:left w:val="nil"/>
              <w:bottom w:val="nil"/>
              <w:right w:val="nil"/>
            </w:tcBorders>
            <w:shd w:val="clear" w:color="FFFFFF" w:fill="FFFFFF"/>
            <w:noWrap/>
            <w:vAlign w:val="bottom"/>
            <w:hideMark/>
          </w:tcPr>
          <w:p w14:paraId="61DF392C" w14:textId="77777777" w:rsidR="00AB6753" w:rsidRPr="00AE3CFE" w:rsidRDefault="00AB6753" w:rsidP="002D1EA4">
            <w:pPr>
              <w:spacing w:after="0" w:line="240" w:lineRule="auto"/>
              <w:rPr>
                <w:rFonts w:cs="Arial"/>
                <w:sz w:val="16"/>
                <w:szCs w:val="16"/>
              </w:rPr>
            </w:pPr>
            <w:r w:rsidRPr="00AE3CFE">
              <w:rPr>
                <w:rFonts w:cs="Arial"/>
                <w:sz w:val="16"/>
                <w:szCs w:val="16"/>
              </w:rPr>
              <w:t> </w:t>
            </w:r>
          </w:p>
        </w:tc>
        <w:tc>
          <w:tcPr>
            <w:tcW w:w="2114" w:type="dxa"/>
            <w:tcBorders>
              <w:top w:val="nil"/>
              <w:left w:val="nil"/>
              <w:bottom w:val="single" w:sz="4" w:space="0" w:color="auto"/>
              <w:right w:val="nil"/>
            </w:tcBorders>
            <w:shd w:val="clear" w:color="FFFFFF" w:fill="FFFFFF"/>
            <w:hideMark/>
          </w:tcPr>
          <w:p w14:paraId="4BA14625"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Aged Care Gateway Information Technology Systems</w:t>
            </w:r>
          </w:p>
        </w:tc>
        <w:tc>
          <w:tcPr>
            <w:tcW w:w="1418" w:type="dxa"/>
            <w:tcBorders>
              <w:top w:val="nil"/>
              <w:left w:val="nil"/>
              <w:bottom w:val="single" w:sz="4" w:space="0" w:color="auto"/>
              <w:right w:val="nil"/>
            </w:tcBorders>
            <w:shd w:val="clear" w:color="FFFFFF" w:fill="FFFFFF"/>
            <w:hideMark/>
          </w:tcPr>
          <w:p w14:paraId="050CC845"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Settlement Services</w:t>
            </w:r>
          </w:p>
        </w:tc>
        <w:tc>
          <w:tcPr>
            <w:tcW w:w="1275" w:type="dxa"/>
            <w:tcBorders>
              <w:top w:val="nil"/>
              <w:left w:val="nil"/>
              <w:bottom w:val="single" w:sz="4" w:space="0" w:color="auto"/>
              <w:right w:val="nil"/>
            </w:tcBorders>
            <w:shd w:val="clear" w:color="FFFFFF" w:fill="FFFFFF"/>
            <w:hideMark/>
          </w:tcPr>
          <w:p w14:paraId="566BB5D7"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Information Technology Group</w:t>
            </w:r>
          </w:p>
        </w:tc>
        <w:tc>
          <w:tcPr>
            <w:tcW w:w="1134" w:type="dxa"/>
            <w:tcBorders>
              <w:top w:val="nil"/>
              <w:left w:val="nil"/>
              <w:bottom w:val="single" w:sz="4" w:space="0" w:color="auto"/>
              <w:right w:val="nil"/>
            </w:tcBorders>
            <w:shd w:val="clear" w:color="FFFFFF" w:fill="FFFFFF"/>
            <w:hideMark/>
          </w:tcPr>
          <w:p w14:paraId="7D2BCA79"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National Redress Scheme</w:t>
            </w:r>
          </w:p>
        </w:tc>
        <w:tc>
          <w:tcPr>
            <w:tcW w:w="878" w:type="dxa"/>
            <w:tcBorders>
              <w:top w:val="nil"/>
              <w:left w:val="nil"/>
              <w:bottom w:val="single" w:sz="4" w:space="0" w:color="auto"/>
              <w:right w:val="nil"/>
            </w:tcBorders>
            <w:shd w:val="clear" w:color="FFFFFF" w:fill="FFFFFF"/>
            <w:hideMark/>
          </w:tcPr>
          <w:p w14:paraId="14038E34" w14:textId="77777777" w:rsidR="00AB6753" w:rsidRPr="00AE3CFE" w:rsidRDefault="00AB6753" w:rsidP="002D1EA4">
            <w:pPr>
              <w:spacing w:after="0" w:line="240" w:lineRule="auto"/>
              <w:jc w:val="right"/>
              <w:rPr>
                <w:rFonts w:cs="Arial"/>
                <w:sz w:val="16"/>
                <w:szCs w:val="16"/>
              </w:rPr>
            </w:pPr>
            <w:r w:rsidRPr="00AE3CFE">
              <w:rPr>
                <w:rFonts w:cs="Arial"/>
                <w:sz w:val="16"/>
                <w:szCs w:val="16"/>
              </w:rPr>
              <w:t> </w:t>
            </w:r>
          </w:p>
        </w:tc>
      </w:tr>
      <w:tr w:rsidR="00AB6753" w:rsidRPr="00AE3CFE" w14:paraId="774D1072" w14:textId="77777777" w:rsidTr="002D1EA4">
        <w:trPr>
          <w:trHeight w:val="227"/>
        </w:trPr>
        <w:tc>
          <w:tcPr>
            <w:tcW w:w="2592" w:type="dxa"/>
            <w:tcBorders>
              <w:top w:val="nil"/>
              <w:left w:val="nil"/>
              <w:bottom w:val="nil"/>
              <w:right w:val="nil"/>
            </w:tcBorders>
            <w:shd w:val="clear" w:color="FFFFFF" w:fill="FFFFFF"/>
            <w:noWrap/>
            <w:vAlign w:val="bottom"/>
            <w:hideMark/>
          </w:tcPr>
          <w:p w14:paraId="459EE349" w14:textId="77777777" w:rsidR="00AB6753" w:rsidRPr="00AE3CFE" w:rsidRDefault="00AB6753" w:rsidP="002D1EA4">
            <w:pPr>
              <w:spacing w:after="0" w:line="240" w:lineRule="auto"/>
              <w:rPr>
                <w:rFonts w:cs="Arial"/>
                <w:sz w:val="16"/>
                <w:szCs w:val="16"/>
              </w:rPr>
            </w:pPr>
            <w:r w:rsidRPr="00AE3CFE">
              <w:rPr>
                <w:rFonts w:cs="Arial"/>
                <w:sz w:val="16"/>
                <w:szCs w:val="16"/>
              </w:rPr>
              <w:t> </w:t>
            </w:r>
          </w:p>
        </w:tc>
        <w:tc>
          <w:tcPr>
            <w:tcW w:w="2114" w:type="dxa"/>
            <w:tcBorders>
              <w:top w:val="nil"/>
              <w:left w:val="nil"/>
              <w:bottom w:val="nil"/>
              <w:right w:val="nil"/>
            </w:tcBorders>
            <w:shd w:val="clear" w:color="FFFFFF" w:fill="FFFFFF"/>
            <w:hideMark/>
          </w:tcPr>
          <w:p w14:paraId="7B823D75"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Department of Health</w:t>
            </w:r>
            <w:r w:rsidRPr="00AE3CFE">
              <w:rPr>
                <w:rFonts w:cs="Arial"/>
                <w:b/>
                <w:bCs/>
                <w:sz w:val="16"/>
                <w:szCs w:val="16"/>
                <w:vertAlign w:val="superscript"/>
              </w:rPr>
              <w:t>1</w:t>
            </w:r>
          </w:p>
        </w:tc>
        <w:tc>
          <w:tcPr>
            <w:tcW w:w="1418" w:type="dxa"/>
            <w:tcBorders>
              <w:top w:val="nil"/>
              <w:left w:val="nil"/>
              <w:bottom w:val="nil"/>
              <w:right w:val="nil"/>
            </w:tcBorders>
            <w:shd w:val="clear" w:color="FFFFFF" w:fill="FFFFFF"/>
            <w:hideMark/>
          </w:tcPr>
          <w:p w14:paraId="4E7CBED1"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Department of Home Affairs</w:t>
            </w:r>
            <w:r w:rsidRPr="00AE3CFE">
              <w:rPr>
                <w:rFonts w:cs="Arial"/>
                <w:b/>
                <w:bCs/>
                <w:sz w:val="16"/>
                <w:szCs w:val="16"/>
                <w:vertAlign w:val="superscript"/>
              </w:rPr>
              <w:t>2</w:t>
            </w:r>
          </w:p>
        </w:tc>
        <w:tc>
          <w:tcPr>
            <w:tcW w:w="1275" w:type="dxa"/>
            <w:tcBorders>
              <w:top w:val="nil"/>
              <w:left w:val="nil"/>
              <w:bottom w:val="nil"/>
              <w:right w:val="nil"/>
            </w:tcBorders>
            <w:shd w:val="clear" w:color="FFFFFF" w:fill="FFFFFF"/>
            <w:hideMark/>
          </w:tcPr>
          <w:p w14:paraId="22B147F2"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Services Australia</w:t>
            </w:r>
            <w:r w:rsidRPr="00AE3CFE">
              <w:rPr>
                <w:rFonts w:cs="Arial"/>
                <w:b/>
                <w:bCs/>
                <w:sz w:val="16"/>
                <w:szCs w:val="16"/>
                <w:vertAlign w:val="superscript"/>
              </w:rPr>
              <w:t>3</w:t>
            </w:r>
          </w:p>
        </w:tc>
        <w:tc>
          <w:tcPr>
            <w:tcW w:w="1134" w:type="dxa"/>
            <w:tcBorders>
              <w:top w:val="nil"/>
              <w:left w:val="nil"/>
              <w:bottom w:val="nil"/>
              <w:right w:val="nil"/>
            </w:tcBorders>
            <w:shd w:val="clear" w:color="FFFFFF" w:fill="FFFFFF"/>
            <w:hideMark/>
          </w:tcPr>
          <w:p w14:paraId="0621D799"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Services Australia</w:t>
            </w:r>
            <w:r w:rsidRPr="00AE3CFE">
              <w:rPr>
                <w:rFonts w:cs="Arial"/>
                <w:b/>
                <w:bCs/>
                <w:sz w:val="16"/>
                <w:szCs w:val="16"/>
                <w:vertAlign w:val="superscript"/>
              </w:rPr>
              <w:t>4</w:t>
            </w:r>
          </w:p>
        </w:tc>
        <w:tc>
          <w:tcPr>
            <w:tcW w:w="878" w:type="dxa"/>
            <w:tcBorders>
              <w:top w:val="nil"/>
              <w:left w:val="nil"/>
              <w:bottom w:val="nil"/>
              <w:right w:val="nil"/>
            </w:tcBorders>
            <w:shd w:val="clear" w:color="FFFFFF" w:fill="FFFFFF"/>
            <w:hideMark/>
          </w:tcPr>
          <w:p w14:paraId="5B58C366" w14:textId="77777777" w:rsidR="00AB6753" w:rsidRPr="00AE3CFE" w:rsidRDefault="00AB6753" w:rsidP="002D1EA4">
            <w:pPr>
              <w:spacing w:after="0" w:line="240" w:lineRule="auto"/>
              <w:jc w:val="right"/>
              <w:rPr>
                <w:rFonts w:cs="Arial"/>
                <w:sz w:val="16"/>
                <w:szCs w:val="16"/>
              </w:rPr>
            </w:pPr>
            <w:r w:rsidRPr="00AE3CFE">
              <w:rPr>
                <w:rFonts w:cs="Arial"/>
                <w:sz w:val="16"/>
                <w:szCs w:val="16"/>
              </w:rPr>
              <w:t>Total</w:t>
            </w:r>
            <w:r w:rsidRPr="00AE3CFE">
              <w:rPr>
                <w:rFonts w:cs="Arial"/>
                <w:sz w:val="16"/>
                <w:szCs w:val="16"/>
                <w:vertAlign w:val="superscript"/>
              </w:rPr>
              <w:t>5</w:t>
            </w:r>
          </w:p>
        </w:tc>
      </w:tr>
      <w:tr w:rsidR="00AB6753" w:rsidRPr="00AE3CFE" w14:paraId="0DB2ED08" w14:textId="77777777" w:rsidTr="002D1EA4">
        <w:trPr>
          <w:trHeight w:val="227"/>
        </w:trPr>
        <w:tc>
          <w:tcPr>
            <w:tcW w:w="2592" w:type="dxa"/>
            <w:tcBorders>
              <w:top w:val="nil"/>
              <w:left w:val="nil"/>
              <w:bottom w:val="single" w:sz="4" w:space="0" w:color="auto"/>
              <w:right w:val="nil"/>
            </w:tcBorders>
            <w:shd w:val="clear" w:color="FFFFFF" w:fill="FFFFFF"/>
            <w:noWrap/>
            <w:vAlign w:val="bottom"/>
            <w:hideMark/>
          </w:tcPr>
          <w:p w14:paraId="627CD0EF" w14:textId="77777777" w:rsidR="00AB6753" w:rsidRPr="00AE3CFE" w:rsidRDefault="00AB6753" w:rsidP="002D1EA4">
            <w:pPr>
              <w:spacing w:after="0" w:line="240" w:lineRule="auto"/>
              <w:rPr>
                <w:rFonts w:cs="Arial"/>
                <w:sz w:val="16"/>
                <w:szCs w:val="16"/>
              </w:rPr>
            </w:pPr>
            <w:r w:rsidRPr="00AE3CFE">
              <w:rPr>
                <w:rFonts w:cs="Arial"/>
                <w:sz w:val="16"/>
                <w:szCs w:val="16"/>
              </w:rPr>
              <w:t> </w:t>
            </w:r>
          </w:p>
        </w:tc>
        <w:tc>
          <w:tcPr>
            <w:tcW w:w="2114" w:type="dxa"/>
            <w:tcBorders>
              <w:top w:val="nil"/>
              <w:left w:val="nil"/>
              <w:bottom w:val="single" w:sz="4" w:space="0" w:color="auto"/>
              <w:right w:val="nil"/>
            </w:tcBorders>
            <w:shd w:val="clear" w:color="FFFFFF" w:fill="FFFFFF"/>
            <w:noWrap/>
            <w:vAlign w:val="bottom"/>
            <w:hideMark/>
          </w:tcPr>
          <w:p w14:paraId="696853D6"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$'000</w:t>
            </w:r>
          </w:p>
        </w:tc>
        <w:tc>
          <w:tcPr>
            <w:tcW w:w="1418" w:type="dxa"/>
            <w:tcBorders>
              <w:top w:val="nil"/>
              <w:left w:val="nil"/>
              <w:bottom w:val="single" w:sz="4" w:space="0" w:color="auto"/>
              <w:right w:val="nil"/>
            </w:tcBorders>
            <w:shd w:val="clear" w:color="FFFFFF" w:fill="FFFFFF"/>
            <w:noWrap/>
            <w:vAlign w:val="bottom"/>
            <w:hideMark/>
          </w:tcPr>
          <w:p w14:paraId="626531F9"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$'000</w:t>
            </w:r>
          </w:p>
        </w:tc>
        <w:tc>
          <w:tcPr>
            <w:tcW w:w="1275" w:type="dxa"/>
            <w:tcBorders>
              <w:top w:val="nil"/>
              <w:left w:val="nil"/>
              <w:bottom w:val="single" w:sz="4" w:space="0" w:color="auto"/>
              <w:right w:val="nil"/>
            </w:tcBorders>
            <w:shd w:val="clear" w:color="FFFFFF" w:fill="FFFFFF"/>
            <w:noWrap/>
            <w:vAlign w:val="bottom"/>
            <w:hideMark/>
          </w:tcPr>
          <w:p w14:paraId="5F3B199D"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$'000</w:t>
            </w:r>
          </w:p>
        </w:tc>
        <w:tc>
          <w:tcPr>
            <w:tcW w:w="1134" w:type="dxa"/>
            <w:tcBorders>
              <w:top w:val="nil"/>
              <w:left w:val="nil"/>
              <w:bottom w:val="single" w:sz="4" w:space="0" w:color="auto"/>
              <w:right w:val="nil"/>
            </w:tcBorders>
            <w:shd w:val="clear" w:color="FFFFFF" w:fill="FFFFFF"/>
            <w:noWrap/>
            <w:vAlign w:val="bottom"/>
            <w:hideMark/>
          </w:tcPr>
          <w:p w14:paraId="7952750C"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$'000</w:t>
            </w:r>
          </w:p>
        </w:tc>
        <w:tc>
          <w:tcPr>
            <w:tcW w:w="878" w:type="dxa"/>
            <w:tcBorders>
              <w:top w:val="nil"/>
              <w:left w:val="nil"/>
              <w:bottom w:val="single" w:sz="4" w:space="0" w:color="auto"/>
              <w:right w:val="nil"/>
            </w:tcBorders>
            <w:shd w:val="clear" w:color="FFFFFF" w:fill="FFFFFF"/>
            <w:noWrap/>
            <w:vAlign w:val="bottom"/>
            <w:hideMark/>
          </w:tcPr>
          <w:p w14:paraId="6B614578" w14:textId="77777777" w:rsidR="00AB6753" w:rsidRPr="00AE3CFE" w:rsidRDefault="00AB6753" w:rsidP="002D1EA4">
            <w:pPr>
              <w:spacing w:after="0" w:line="240" w:lineRule="auto"/>
              <w:jc w:val="right"/>
              <w:rPr>
                <w:rFonts w:cs="Arial"/>
                <w:sz w:val="16"/>
                <w:szCs w:val="16"/>
              </w:rPr>
            </w:pPr>
            <w:r w:rsidRPr="00AE3CFE">
              <w:rPr>
                <w:rFonts w:cs="Arial"/>
                <w:sz w:val="16"/>
                <w:szCs w:val="16"/>
              </w:rPr>
              <w:t>$'000</w:t>
            </w:r>
          </w:p>
        </w:tc>
      </w:tr>
      <w:tr w:rsidR="00AB6753" w:rsidRPr="00AE3CFE" w14:paraId="75B19DE6" w14:textId="77777777" w:rsidTr="002D1EA4">
        <w:trPr>
          <w:trHeight w:val="227"/>
        </w:trPr>
        <w:tc>
          <w:tcPr>
            <w:tcW w:w="2592" w:type="dxa"/>
            <w:tcBorders>
              <w:top w:val="nil"/>
              <w:left w:val="nil"/>
              <w:bottom w:val="nil"/>
              <w:right w:val="nil"/>
            </w:tcBorders>
            <w:shd w:val="clear" w:color="FFFFFF" w:fill="FFFFFF"/>
            <w:vAlign w:val="bottom"/>
            <w:hideMark/>
          </w:tcPr>
          <w:p w14:paraId="243BF6B1" w14:textId="77777777" w:rsidR="00AB6753" w:rsidRPr="00AE3CFE" w:rsidRDefault="00AB6753" w:rsidP="002D1EA4">
            <w:pPr>
              <w:spacing w:after="0" w:line="240" w:lineRule="auto"/>
              <w:rPr>
                <w:rFonts w:cs="Arial"/>
                <w:b/>
                <w:bCs/>
                <w:sz w:val="16"/>
                <w:szCs w:val="16"/>
              </w:rPr>
            </w:pPr>
            <w:r w:rsidRPr="00AE3CFE">
              <w:rPr>
                <w:rFonts w:cs="Arial"/>
                <w:b/>
                <w:bCs/>
                <w:sz w:val="16"/>
                <w:szCs w:val="16"/>
              </w:rPr>
              <w:t>FUNCTIONS ASSUMED</w:t>
            </w:r>
          </w:p>
        </w:tc>
        <w:tc>
          <w:tcPr>
            <w:tcW w:w="2114" w:type="dxa"/>
            <w:tcBorders>
              <w:top w:val="nil"/>
              <w:left w:val="nil"/>
              <w:bottom w:val="nil"/>
              <w:right w:val="nil"/>
            </w:tcBorders>
            <w:shd w:val="clear" w:color="FFFFFF" w:fill="FFFFFF"/>
            <w:vAlign w:val="bottom"/>
            <w:hideMark/>
          </w:tcPr>
          <w:p w14:paraId="2B73B347"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418" w:type="dxa"/>
            <w:tcBorders>
              <w:top w:val="nil"/>
              <w:left w:val="nil"/>
              <w:bottom w:val="nil"/>
              <w:right w:val="nil"/>
            </w:tcBorders>
            <w:shd w:val="clear" w:color="FFFFFF" w:fill="FFFFFF"/>
            <w:vAlign w:val="bottom"/>
            <w:hideMark/>
          </w:tcPr>
          <w:p w14:paraId="10B16F81"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275" w:type="dxa"/>
            <w:tcBorders>
              <w:top w:val="nil"/>
              <w:left w:val="nil"/>
              <w:bottom w:val="nil"/>
              <w:right w:val="nil"/>
            </w:tcBorders>
            <w:shd w:val="clear" w:color="FFFFFF" w:fill="FFFFFF"/>
            <w:vAlign w:val="bottom"/>
            <w:hideMark/>
          </w:tcPr>
          <w:p w14:paraId="020F70FF"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134" w:type="dxa"/>
            <w:tcBorders>
              <w:top w:val="nil"/>
              <w:left w:val="nil"/>
              <w:bottom w:val="nil"/>
              <w:right w:val="nil"/>
            </w:tcBorders>
            <w:shd w:val="clear" w:color="FFFFFF" w:fill="FFFFFF"/>
            <w:vAlign w:val="bottom"/>
            <w:hideMark/>
          </w:tcPr>
          <w:p w14:paraId="256EA4E7"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878" w:type="dxa"/>
            <w:tcBorders>
              <w:top w:val="nil"/>
              <w:left w:val="nil"/>
              <w:bottom w:val="nil"/>
              <w:right w:val="nil"/>
            </w:tcBorders>
            <w:shd w:val="clear" w:color="FFFFFF" w:fill="FFFFFF"/>
            <w:vAlign w:val="bottom"/>
            <w:hideMark/>
          </w:tcPr>
          <w:p w14:paraId="20B90997"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r>
      <w:tr w:rsidR="00AB6753" w:rsidRPr="00AE3CFE" w14:paraId="42757398" w14:textId="77777777" w:rsidTr="002D1EA4">
        <w:trPr>
          <w:trHeight w:val="227"/>
        </w:trPr>
        <w:tc>
          <w:tcPr>
            <w:tcW w:w="2592" w:type="dxa"/>
            <w:tcBorders>
              <w:top w:val="nil"/>
              <w:left w:val="nil"/>
              <w:bottom w:val="nil"/>
              <w:right w:val="nil"/>
            </w:tcBorders>
            <w:shd w:val="clear" w:color="FFFFFF" w:fill="FFFFFF"/>
            <w:vAlign w:val="bottom"/>
            <w:hideMark/>
          </w:tcPr>
          <w:p w14:paraId="3A037BAA" w14:textId="77777777" w:rsidR="00AB6753" w:rsidRPr="00AE3CFE" w:rsidRDefault="00AB6753" w:rsidP="002D1EA4">
            <w:pPr>
              <w:spacing w:after="0" w:line="240" w:lineRule="auto"/>
              <w:rPr>
                <w:rFonts w:cs="Arial"/>
                <w:b/>
                <w:bCs/>
                <w:sz w:val="16"/>
                <w:szCs w:val="16"/>
              </w:rPr>
            </w:pPr>
            <w:r w:rsidRPr="00AE3CFE">
              <w:rPr>
                <w:rFonts w:cs="Arial"/>
                <w:b/>
                <w:bCs/>
                <w:sz w:val="16"/>
                <w:szCs w:val="16"/>
              </w:rPr>
              <w:t>Assets recognised</w:t>
            </w:r>
          </w:p>
        </w:tc>
        <w:tc>
          <w:tcPr>
            <w:tcW w:w="2114" w:type="dxa"/>
            <w:tcBorders>
              <w:top w:val="nil"/>
              <w:left w:val="nil"/>
              <w:bottom w:val="nil"/>
              <w:right w:val="nil"/>
            </w:tcBorders>
            <w:shd w:val="clear" w:color="FFFFFF" w:fill="FFFFFF"/>
            <w:vAlign w:val="bottom"/>
            <w:hideMark/>
          </w:tcPr>
          <w:p w14:paraId="32ABED05"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418" w:type="dxa"/>
            <w:tcBorders>
              <w:top w:val="nil"/>
              <w:left w:val="nil"/>
              <w:bottom w:val="nil"/>
              <w:right w:val="nil"/>
            </w:tcBorders>
            <w:shd w:val="clear" w:color="FFFFFF" w:fill="FFFFFF"/>
            <w:vAlign w:val="bottom"/>
            <w:hideMark/>
          </w:tcPr>
          <w:p w14:paraId="08B09E81"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275" w:type="dxa"/>
            <w:tcBorders>
              <w:top w:val="nil"/>
              <w:left w:val="nil"/>
              <w:bottom w:val="nil"/>
              <w:right w:val="nil"/>
            </w:tcBorders>
            <w:shd w:val="clear" w:color="FFFFFF" w:fill="FFFFFF"/>
            <w:vAlign w:val="bottom"/>
            <w:hideMark/>
          </w:tcPr>
          <w:p w14:paraId="7ABD6B7D"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134" w:type="dxa"/>
            <w:tcBorders>
              <w:top w:val="nil"/>
              <w:left w:val="nil"/>
              <w:bottom w:val="nil"/>
              <w:right w:val="nil"/>
            </w:tcBorders>
            <w:shd w:val="clear" w:color="FFFFFF" w:fill="FFFFFF"/>
            <w:vAlign w:val="bottom"/>
            <w:hideMark/>
          </w:tcPr>
          <w:p w14:paraId="4FD19631"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878" w:type="dxa"/>
            <w:tcBorders>
              <w:top w:val="nil"/>
              <w:left w:val="nil"/>
              <w:bottom w:val="nil"/>
              <w:right w:val="nil"/>
            </w:tcBorders>
            <w:shd w:val="clear" w:color="FFFFFF" w:fill="FFFFFF"/>
            <w:vAlign w:val="bottom"/>
            <w:hideMark/>
          </w:tcPr>
          <w:p w14:paraId="367BB257"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r>
      <w:tr w:rsidR="00AB6753" w:rsidRPr="00AE3CFE" w14:paraId="58ADA561" w14:textId="77777777" w:rsidTr="002D1EA4">
        <w:trPr>
          <w:trHeight w:val="227"/>
        </w:trPr>
        <w:tc>
          <w:tcPr>
            <w:tcW w:w="2592" w:type="dxa"/>
            <w:tcBorders>
              <w:top w:val="nil"/>
              <w:left w:val="nil"/>
              <w:bottom w:val="nil"/>
              <w:right w:val="nil"/>
            </w:tcBorders>
            <w:shd w:val="clear" w:color="FFFFFF" w:fill="FFFFFF"/>
            <w:noWrap/>
            <w:vAlign w:val="bottom"/>
            <w:hideMark/>
          </w:tcPr>
          <w:p w14:paraId="2EE06CB4" w14:textId="77777777" w:rsidR="00AB6753" w:rsidRPr="00AE3CFE" w:rsidRDefault="00AB6753" w:rsidP="002D1EA4">
            <w:pPr>
              <w:spacing w:after="0" w:line="240" w:lineRule="auto"/>
              <w:ind w:leftChars="100" w:left="220"/>
              <w:rPr>
                <w:rFonts w:cs="Arial"/>
                <w:sz w:val="16"/>
                <w:szCs w:val="16"/>
              </w:rPr>
            </w:pPr>
            <w:r w:rsidRPr="00AE3CFE">
              <w:rPr>
                <w:rFonts w:cs="Arial"/>
                <w:sz w:val="16"/>
                <w:szCs w:val="16"/>
              </w:rPr>
              <w:t>Appropriation receivable</w:t>
            </w:r>
          </w:p>
        </w:tc>
        <w:tc>
          <w:tcPr>
            <w:tcW w:w="2114" w:type="dxa"/>
            <w:tcBorders>
              <w:top w:val="nil"/>
              <w:left w:val="nil"/>
              <w:bottom w:val="nil"/>
              <w:right w:val="nil"/>
            </w:tcBorders>
            <w:shd w:val="clear" w:color="FFFFFF" w:fill="FFFFFF"/>
            <w:noWrap/>
            <w:vAlign w:val="bottom"/>
            <w:hideMark/>
          </w:tcPr>
          <w:p w14:paraId="72B7111A"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418" w:type="dxa"/>
            <w:tcBorders>
              <w:top w:val="nil"/>
              <w:left w:val="nil"/>
              <w:bottom w:val="nil"/>
              <w:right w:val="nil"/>
            </w:tcBorders>
            <w:shd w:val="clear" w:color="FFFFFF" w:fill="FFFFFF"/>
            <w:noWrap/>
            <w:vAlign w:val="bottom"/>
            <w:hideMark/>
          </w:tcPr>
          <w:p w14:paraId="7417F8DF"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275" w:type="dxa"/>
            <w:tcBorders>
              <w:top w:val="nil"/>
              <w:left w:val="nil"/>
              <w:bottom w:val="nil"/>
              <w:right w:val="nil"/>
            </w:tcBorders>
            <w:shd w:val="clear" w:color="FFFFFF" w:fill="FFFFFF"/>
            <w:noWrap/>
            <w:vAlign w:val="bottom"/>
            <w:hideMark/>
          </w:tcPr>
          <w:p w14:paraId="56B3688A"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134" w:type="dxa"/>
            <w:tcBorders>
              <w:top w:val="nil"/>
              <w:left w:val="nil"/>
              <w:bottom w:val="nil"/>
              <w:right w:val="nil"/>
            </w:tcBorders>
            <w:shd w:val="clear" w:color="FFFFFF" w:fill="FFFFFF"/>
            <w:noWrap/>
            <w:vAlign w:val="bottom"/>
            <w:hideMark/>
          </w:tcPr>
          <w:p w14:paraId="3BBE54C5"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1,313 </w:t>
            </w:r>
          </w:p>
        </w:tc>
        <w:tc>
          <w:tcPr>
            <w:tcW w:w="878" w:type="dxa"/>
            <w:tcBorders>
              <w:top w:val="nil"/>
              <w:left w:val="nil"/>
              <w:bottom w:val="nil"/>
              <w:right w:val="nil"/>
            </w:tcBorders>
            <w:shd w:val="clear" w:color="FFFFFF" w:fill="FFFFFF"/>
            <w:noWrap/>
            <w:vAlign w:val="bottom"/>
            <w:hideMark/>
          </w:tcPr>
          <w:p w14:paraId="0FC6CCDB" w14:textId="77777777" w:rsidR="00AB6753" w:rsidRPr="00AE3CFE" w:rsidRDefault="00AB6753" w:rsidP="002D1EA4">
            <w:pPr>
              <w:spacing w:after="0" w:line="240" w:lineRule="auto"/>
              <w:jc w:val="right"/>
              <w:rPr>
                <w:rFonts w:cs="Arial"/>
                <w:sz w:val="16"/>
                <w:szCs w:val="16"/>
              </w:rPr>
            </w:pPr>
            <w:r w:rsidRPr="00AE3CFE">
              <w:rPr>
                <w:rFonts w:cs="Arial"/>
                <w:sz w:val="16"/>
                <w:szCs w:val="16"/>
              </w:rPr>
              <w:t xml:space="preserve">7,633 </w:t>
            </w:r>
          </w:p>
        </w:tc>
      </w:tr>
      <w:tr w:rsidR="00AB6753" w:rsidRPr="00AE3CFE" w14:paraId="3285F817" w14:textId="77777777" w:rsidTr="002D1EA4">
        <w:trPr>
          <w:trHeight w:val="227"/>
        </w:trPr>
        <w:tc>
          <w:tcPr>
            <w:tcW w:w="2592" w:type="dxa"/>
            <w:tcBorders>
              <w:top w:val="single" w:sz="4" w:space="0" w:color="auto"/>
              <w:left w:val="nil"/>
              <w:bottom w:val="single" w:sz="4" w:space="0" w:color="auto"/>
              <w:right w:val="nil"/>
            </w:tcBorders>
            <w:shd w:val="clear" w:color="FFFFFF" w:fill="FFFFFF"/>
            <w:vAlign w:val="bottom"/>
            <w:hideMark/>
          </w:tcPr>
          <w:p w14:paraId="18AE6071" w14:textId="77777777" w:rsidR="00AB6753" w:rsidRPr="00AE3CFE" w:rsidRDefault="00AB6753" w:rsidP="002D1EA4">
            <w:pPr>
              <w:spacing w:after="0" w:line="240" w:lineRule="auto"/>
              <w:rPr>
                <w:rFonts w:cs="Arial"/>
                <w:b/>
                <w:bCs/>
                <w:sz w:val="16"/>
                <w:szCs w:val="16"/>
              </w:rPr>
            </w:pPr>
            <w:r w:rsidRPr="00AE3CFE">
              <w:rPr>
                <w:rFonts w:cs="Arial"/>
                <w:b/>
                <w:bCs/>
                <w:sz w:val="16"/>
                <w:szCs w:val="16"/>
              </w:rPr>
              <w:t>Total assets recognised</w:t>
            </w:r>
          </w:p>
        </w:tc>
        <w:tc>
          <w:tcPr>
            <w:tcW w:w="2114" w:type="dxa"/>
            <w:tcBorders>
              <w:top w:val="single" w:sz="4" w:space="0" w:color="auto"/>
              <w:left w:val="nil"/>
              <w:bottom w:val="single" w:sz="4" w:space="0" w:color="auto"/>
              <w:right w:val="nil"/>
            </w:tcBorders>
            <w:shd w:val="clear" w:color="FFFFFF" w:fill="FFFFFF"/>
            <w:noWrap/>
            <w:vAlign w:val="bottom"/>
            <w:hideMark/>
          </w:tcPr>
          <w:p w14:paraId="74B69F99"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w:t>
            </w:r>
          </w:p>
        </w:tc>
        <w:tc>
          <w:tcPr>
            <w:tcW w:w="1418" w:type="dxa"/>
            <w:tcBorders>
              <w:top w:val="single" w:sz="4" w:space="0" w:color="auto"/>
              <w:left w:val="nil"/>
              <w:bottom w:val="single" w:sz="4" w:space="0" w:color="auto"/>
              <w:right w:val="nil"/>
            </w:tcBorders>
            <w:shd w:val="clear" w:color="FFFFFF" w:fill="FFFFFF"/>
            <w:noWrap/>
            <w:vAlign w:val="bottom"/>
            <w:hideMark/>
          </w:tcPr>
          <w:p w14:paraId="1D15948A"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w:t>
            </w:r>
          </w:p>
        </w:tc>
        <w:tc>
          <w:tcPr>
            <w:tcW w:w="1275" w:type="dxa"/>
            <w:tcBorders>
              <w:top w:val="single" w:sz="4" w:space="0" w:color="auto"/>
              <w:left w:val="nil"/>
              <w:bottom w:val="single" w:sz="4" w:space="0" w:color="auto"/>
              <w:right w:val="nil"/>
            </w:tcBorders>
            <w:shd w:val="clear" w:color="FFFFFF" w:fill="FFFFFF"/>
            <w:noWrap/>
            <w:vAlign w:val="bottom"/>
            <w:hideMark/>
          </w:tcPr>
          <w:p w14:paraId="5FF03198"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w:t>
            </w:r>
          </w:p>
        </w:tc>
        <w:tc>
          <w:tcPr>
            <w:tcW w:w="1134" w:type="dxa"/>
            <w:tcBorders>
              <w:top w:val="single" w:sz="4" w:space="0" w:color="auto"/>
              <w:left w:val="nil"/>
              <w:bottom w:val="single" w:sz="4" w:space="0" w:color="auto"/>
              <w:right w:val="nil"/>
            </w:tcBorders>
            <w:shd w:val="clear" w:color="FFFFFF" w:fill="FFFFFF"/>
            <w:noWrap/>
            <w:vAlign w:val="bottom"/>
            <w:hideMark/>
          </w:tcPr>
          <w:p w14:paraId="1CAB8EA7"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1,313</w:t>
            </w:r>
          </w:p>
        </w:tc>
        <w:tc>
          <w:tcPr>
            <w:tcW w:w="878" w:type="dxa"/>
            <w:tcBorders>
              <w:top w:val="single" w:sz="4" w:space="0" w:color="auto"/>
              <w:left w:val="nil"/>
              <w:bottom w:val="single" w:sz="4" w:space="0" w:color="auto"/>
              <w:right w:val="nil"/>
            </w:tcBorders>
            <w:shd w:val="clear" w:color="FFFFFF" w:fill="FFFFFF"/>
            <w:noWrap/>
            <w:vAlign w:val="bottom"/>
            <w:hideMark/>
          </w:tcPr>
          <w:p w14:paraId="7C8C6EDC" w14:textId="77777777" w:rsidR="00AB6753" w:rsidRPr="00AE3CFE" w:rsidRDefault="00AB6753" w:rsidP="002D1EA4">
            <w:pPr>
              <w:spacing w:after="0" w:line="240" w:lineRule="auto"/>
              <w:jc w:val="right"/>
              <w:rPr>
                <w:rFonts w:cs="Arial"/>
                <w:sz w:val="16"/>
                <w:szCs w:val="16"/>
              </w:rPr>
            </w:pPr>
            <w:r w:rsidRPr="00AE3CFE">
              <w:rPr>
                <w:rFonts w:cs="Arial"/>
                <w:sz w:val="16"/>
                <w:szCs w:val="16"/>
              </w:rPr>
              <w:t>7,633</w:t>
            </w:r>
          </w:p>
        </w:tc>
      </w:tr>
      <w:tr w:rsidR="00AB6753" w:rsidRPr="00AE3CFE" w14:paraId="742026E5" w14:textId="77777777" w:rsidTr="002D1EA4">
        <w:trPr>
          <w:trHeight w:val="227"/>
        </w:trPr>
        <w:tc>
          <w:tcPr>
            <w:tcW w:w="2592" w:type="dxa"/>
            <w:tcBorders>
              <w:top w:val="nil"/>
              <w:left w:val="nil"/>
              <w:bottom w:val="nil"/>
              <w:right w:val="nil"/>
            </w:tcBorders>
            <w:shd w:val="clear" w:color="FFFFFF" w:fill="FFFFFF"/>
            <w:vAlign w:val="bottom"/>
            <w:hideMark/>
          </w:tcPr>
          <w:p w14:paraId="588B6218" w14:textId="77777777" w:rsidR="00AB6753" w:rsidRPr="00AE3CFE" w:rsidRDefault="00AB6753" w:rsidP="002D1EA4">
            <w:pPr>
              <w:spacing w:after="0" w:line="240" w:lineRule="auto"/>
              <w:rPr>
                <w:rFonts w:cs="Arial"/>
                <w:b/>
                <w:bCs/>
                <w:sz w:val="16"/>
                <w:szCs w:val="16"/>
              </w:rPr>
            </w:pPr>
            <w:r w:rsidRPr="00AE3CFE">
              <w:rPr>
                <w:rFonts w:cs="Arial"/>
                <w:b/>
                <w:bCs/>
                <w:sz w:val="16"/>
                <w:szCs w:val="16"/>
              </w:rPr>
              <w:t>Liabilities recognised</w:t>
            </w:r>
          </w:p>
        </w:tc>
        <w:tc>
          <w:tcPr>
            <w:tcW w:w="2114" w:type="dxa"/>
            <w:tcBorders>
              <w:top w:val="nil"/>
              <w:left w:val="nil"/>
              <w:bottom w:val="nil"/>
              <w:right w:val="nil"/>
            </w:tcBorders>
            <w:shd w:val="clear" w:color="FFFFFF" w:fill="FFFFFF"/>
            <w:vAlign w:val="bottom"/>
            <w:hideMark/>
          </w:tcPr>
          <w:p w14:paraId="763F2774"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418" w:type="dxa"/>
            <w:tcBorders>
              <w:top w:val="nil"/>
              <w:left w:val="nil"/>
              <w:bottom w:val="nil"/>
              <w:right w:val="nil"/>
            </w:tcBorders>
            <w:shd w:val="clear" w:color="FFFFFF" w:fill="FFFFFF"/>
            <w:vAlign w:val="bottom"/>
            <w:hideMark/>
          </w:tcPr>
          <w:p w14:paraId="6FD98D31"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275" w:type="dxa"/>
            <w:tcBorders>
              <w:top w:val="nil"/>
              <w:left w:val="nil"/>
              <w:bottom w:val="nil"/>
              <w:right w:val="nil"/>
            </w:tcBorders>
            <w:shd w:val="clear" w:color="FFFFFF" w:fill="FFFFFF"/>
            <w:vAlign w:val="bottom"/>
            <w:hideMark/>
          </w:tcPr>
          <w:p w14:paraId="080A7AFA"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134" w:type="dxa"/>
            <w:tcBorders>
              <w:top w:val="nil"/>
              <w:left w:val="nil"/>
              <w:bottom w:val="nil"/>
              <w:right w:val="nil"/>
            </w:tcBorders>
            <w:shd w:val="clear" w:color="FFFFFF" w:fill="FFFFFF"/>
            <w:vAlign w:val="bottom"/>
            <w:hideMark/>
          </w:tcPr>
          <w:p w14:paraId="151C8B23"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878" w:type="dxa"/>
            <w:tcBorders>
              <w:top w:val="nil"/>
              <w:left w:val="nil"/>
              <w:bottom w:val="nil"/>
              <w:right w:val="nil"/>
            </w:tcBorders>
            <w:shd w:val="clear" w:color="FFFFFF" w:fill="FFFFFF"/>
            <w:vAlign w:val="bottom"/>
            <w:hideMark/>
          </w:tcPr>
          <w:p w14:paraId="031267AE" w14:textId="77777777" w:rsidR="00AB6753" w:rsidRPr="00AE3CFE" w:rsidRDefault="00AB6753" w:rsidP="002D1EA4">
            <w:pPr>
              <w:spacing w:after="0" w:line="240" w:lineRule="auto"/>
              <w:rPr>
                <w:rFonts w:cs="Arial"/>
                <w:sz w:val="16"/>
                <w:szCs w:val="16"/>
              </w:rPr>
            </w:pPr>
            <w:r w:rsidRPr="00AE3CFE">
              <w:rPr>
                <w:rFonts w:cs="Arial"/>
                <w:sz w:val="16"/>
                <w:szCs w:val="16"/>
              </w:rPr>
              <w:t> </w:t>
            </w:r>
          </w:p>
        </w:tc>
      </w:tr>
      <w:tr w:rsidR="00AB6753" w:rsidRPr="00AE3CFE" w14:paraId="3A20CB1A" w14:textId="77777777" w:rsidTr="002D1EA4">
        <w:trPr>
          <w:trHeight w:val="227"/>
        </w:trPr>
        <w:tc>
          <w:tcPr>
            <w:tcW w:w="2592" w:type="dxa"/>
            <w:tcBorders>
              <w:top w:val="nil"/>
              <w:left w:val="nil"/>
              <w:bottom w:val="nil"/>
              <w:right w:val="nil"/>
            </w:tcBorders>
            <w:shd w:val="clear" w:color="FFFFFF" w:fill="FFFFFF"/>
            <w:vAlign w:val="bottom"/>
            <w:hideMark/>
          </w:tcPr>
          <w:p w14:paraId="1081113D" w14:textId="77777777" w:rsidR="00AB6753" w:rsidRPr="00AE3CFE" w:rsidRDefault="00AB6753" w:rsidP="002D1EA4">
            <w:pPr>
              <w:spacing w:after="0" w:line="240" w:lineRule="auto"/>
              <w:ind w:leftChars="100" w:left="220"/>
              <w:rPr>
                <w:rFonts w:cs="Arial"/>
                <w:sz w:val="16"/>
                <w:szCs w:val="16"/>
              </w:rPr>
            </w:pPr>
            <w:r w:rsidRPr="00AE3CFE">
              <w:rPr>
                <w:rFonts w:cs="Arial"/>
                <w:sz w:val="16"/>
                <w:szCs w:val="16"/>
              </w:rPr>
              <w:t>Suppliers</w:t>
            </w:r>
          </w:p>
        </w:tc>
        <w:tc>
          <w:tcPr>
            <w:tcW w:w="2114" w:type="dxa"/>
            <w:tcBorders>
              <w:top w:val="nil"/>
              <w:left w:val="nil"/>
              <w:bottom w:val="nil"/>
              <w:right w:val="nil"/>
            </w:tcBorders>
            <w:shd w:val="clear" w:color="FFFFFF" w:fill="FFFFFF"/>
            <w:noWrap/>
            <w:vAlign w:val="bottom"/>
            <w:hideMark/>
          </w:tcPr>
          <w:p w14:paraId="427F06E2"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418" w:type="dxa"/>
            <w:tcBorders>
              <w:top w:val="nil"/>
              <w:left w:val="nil"/>
              <w:bottom w:val="nil"/>
              <w:right w:val="nil"/>
            </w:tcBorders>
            <w:shd w:val="clear" w:color="FFFFFF" w:fill="FFFFFF"/>
            <w:noWrap/>
            <w:vAlign w:val="bottom"/>
            <w:hideMark/>
          </w:tcPr>
          <w:p w14:paraId="1E37EF02"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275" w:type="dxa"/>
            <w:tcBorders>
              <w:top w:val="nil"/>
              <w:left w:val="nil"/>
              <w:bottom w:val="nil"/>
              <w:right w:val="nil"/>
            </w:tcBorders>
            <w:shd w:val="clear" w:color="FFFFFF" w:fill="FFFFFF"/>
            <w:noWrap/>
            <w:vAlign w:val="bottom"/>
            <w:hideMark/>
          </w:tcPr>
          <w:p w14:paraId="62D8F093"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134" w:type="dxa"/>
            <w:tcBorders>
              <w:top w:val="nil"/>
              <w:left w:val="nil"/>
              <w:bottom w:val="nil"/>
              <w:right w:val="nil"/>
            </w:tcBorders>
            <w:shd w:val="clear" w:color="FFFFFF" w:fill="FFFFFF"/>
            <w:noWrap/>
            <w:vAlign w:val="bottom"/>
            <w:hideMark/>
          </w:tcPr>
          <w:p w14:paraId="379210DE"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(1,753)</w:t>
            </w:r>
          </w:p>
        </w:tc>
        <w:tc>
          <w:tcPr>
            <w:tcW w:w="878" w:type="dxa"/>
            <w:tcBorders>
              <w:top w:val="nil"/>
              <w:left w:val="nil"/>
              <w:bottom w:val="nil"/>
              <w:right w:val="nil"/>
            </w:tcBorders>
            <w:shd w:val="clear" w:color="FFFFFF" w:fill="FFFFFF"/>
            <w:noWrap/>
            <w:vAlign w:val="bottom"/>
            <w:hideMark/>
          </w:tcPr>
          <w:p w14:paraId="799DE9D7" w14:textId="77777777" w:rsidR="00AB6753" w:rsidRPr="00AE3CFE" w:rsidRDefault="00AB6753" w:rsidP="002D1EA4">
            <w:pPr>
              <w:spacing w:after="0" w:line="240" w:lineRule="auto"/>
              <w:jc w:val="right"/>
              <w:rPr>
                <w:rFonts w:cs="Arial"/>
                <w:sz w:val="16"/>
                <w:szCs w:val="16"/>
              </w:rPr>
            </w:pPr>
            <w:r w:rsidRPr="00AE3CFE">
              <w:rPr>
                <w:rFonts w:cs="Arial"/>
                <w:sz w:val="16"/>
                <w:szCs w:val="16"/>
              </w:rPr>
              <w:t xml:space="preserve"> -</w:t>
            </w:r>
          </w:p>
        </w:tc>
      </w:tr>
      <w:tr w:rsidR="00AB6753" w:rsidRPr="00AE3CFE" w14:paraId="518C9192" w14:textId="77777777" w:rsidTr="002D1EA4">
        <w:trPr>
          <w:trHeight w:val="227"/>
        </w:trPr>
        <w:tc>
          <w:tcPr>
            <w:tcW w:w="2592" w:type="dxa"/>
            <w:tcBorders>
              <w:top w:val="nil"/>
              <w:left w:val="nil"/>
              <w:bottom w:val="nil"/>
              <w:right w:val="nil"/>
            </w:tcBorders>
            <w:shd w:val="clear" w:color="FFFFFF" w:fill="FFFFFF"/>
            <w:vAlign w:val="bottom"/>
            <w:hideMark/>
          </w:tcPr>
          <w:p w14:paraId="171C70CD" w14:textId="77777777" w:rsidR="00AB6753" w:rsidRPr="00AE3CFE" w:rsidRDefault="00AB6753" w:rsidP="002D1EA4">
            <w:pPr>
              <w:spacing w:after="0" w:line="240" w:lineRule="auto"/>
              <w:ind w:leftChars="100" w:left="220"/>
              <w:rPr>
                <w:rFonts w:cs="Arial"/>
                <w:sz w:val="16"/>
                <w:szCs w:val="16"/>
              </w:rPr>
            </w:pPr>
            <w:r w:rsidRPr="00AE3CFE">
              <w:rPr>
                <w:rFonts w:cs="Arial"/>
                <w:sz w:val="16"/>
                <w:szCs w:val="16"/>
              </w:rPr>
              <w:t>Employee provisions</w:t>
            </w:r>
          </w:p>
        </w:tc>
        <w:tc>
          <w:tcPr>
            <w:tcW w:w="2114" w:type="dxa"/>
            <w:tcBorders>
              <w:top w:val="nil"/>
              <w:left w:val="nil"/>
              <w:bottom w:val="nil"/>
              <w:right w:val="nil"/>
            </w:tcBorders>
            <w:shd w:val="clear" w:color="FFFFFF" w:fill="FFFFFF"/>
            <w:noWrap/>
            <w:vAlign w:val="bottom"/>
            <w:hideMark/>
          </w:tcPr>
          <w:p w14:paraId="39201F79"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418" w:type="dxa"/>
            <w:tcBorders>
              <w:top w:val="nil"/>
              <w:left w:val="nil"/>
              <w:bottom w:val="nil"/>
              <w:right w:val="nil"/>
            </w:tcBorders>
            <w:shd w:val="clear" w:color="FFFFFF" w:fill="FFFFFF"/>
            <w:noWrap/>
            <w:vAlign w:val="bottom"/>
            <w:hideMark/>
          </w:tcPr>
          <w:p w14:paraId="206424E0"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275" w:type="dxa"/>
            <w:tcBorders>
              <w:top w:val="nil"/>
              <w:left w:val="nil"/>
              <w:bottom w:val="nil"/>
              <w:right w:val="nil"/>
            </w:tcBorders>
            <w:shd w:val="clear" w:color="FFFFFF" w:fill="FFFFFF"/>
            <w:noWrap/>
            <w:vAlign w:val="bottom"/>
            <w:hideMark/>
          </w:tcPr>
          <w:p w14:paraId="3CE75687"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134" w:type="dxa"/>
            <w:tcBorders>
              <w:top w:val="nil"/>
              <w:left w:val="nil"/>
              <w:bottom w:val="nil"/>
              <w:right w:val="nil"/>
            </w:tcBorders>
            <w:shd w:val="clear" w:color="FFFFFF" w:fill="FFFFFF"/>
            <w:noWrap/>
            <w:vAlign w:val="bottom"/>
            <w:hideMark/>
          </w:tcPr>
          <w:p w14:paraId="11EF58E1"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(1,448)</w:t>
            </w:r>
          </w:p>
        </w:tc>
        <w:tc>
          <w:tcPr>
            <w:tcW w:w="878" w:type="dxa"/>
            <w:tcBorders>
              <w:top w:val="nil"/>
              <w:left w:val="nil"/>
              <w:bottom w:val="nil"/>
              <w:right w:val="nil"/>
            </w:tcBorders>
            <w:shd w:val="clear" w:color="FFFFFF" w:fill="FFFFFF"/>
            <w:noWrap/>
            <w:vAlign w:val="bottom"/>
            <w:hideMark/>
          </w:tcPr>
          <w:p w14:paraId="26316F6E" w14:textId="77777777" w:rsidR="00AB6753" w:rsidRPr="00AE3CFE" w:rsidRDefault="00AB6753" w:rsidP="002D1EA4">
            <w:pPr>
              <w:spacing w:after="0" w:line="240" w:lineRule="auto"/>
              <w:jc w:val="right"/>
              <w:rPr>
                <w:rFonts w:cs="Arial"/>
                <w:sz w:val="16"/>
                <w:szCs w:val="16"/>
              </w:rPr>
            </w:pPr>
            <w:r w:rsidRPr="00AE3CFE">
              <w:rPr>
                <w:rFonts w:cs="Arial"/>
                <w:sz w:val="16"/>
                <w:szCs w:val="16"/>
              </w:rPr>
              <w:t>(7,650)</w:t>
            </w:r>
          </w:p>
        </w:tc>
      </w:tr>
      <w:tr w:rsidR="00AB6753" w:rsidRPr="00AE3CFE" w14:paraId="4915E30F" w14:textId="77777777" w:rsidTr="002D1EA4">
        <w:trPr>
          <w:trHeight w:val="227"/>
        </w:trPr>
        <w:tc>
          <w:tcPr>
            <w:tcW w:w="2592" w:type="dxa"/>
            <w:tcBorders>
              <w:top w:val="single" w:sz="4" w:space="0" w:color="auto"/>
              <w:left w:val="nil"/>
              <w:bottom w:val="single" w:sz="4" w:space="0" w:color="auto"/>
              <w:right w:val="nil"/>
            </w:tcBorders>
            <w:shd w:val="clear" w:color="FFFFFF" w:fill="FFFFFF"/>
            <w:vAlign w:val="bottom"/>
            <w:hideMark/>
          </w:tcPr>
          <w:p w14:paraId="18B97A3D" w14:textId="77777777" w:rsidR="00AB6753" w:rsidRPr="00AE3CFE" w:rsidRDefault="00AB6753" w:rsidP="002D1EA4">
            <w:pPr>
              <w:spacing w:after="0" w:line="240" w:lineRule="auto"/>
              <w:rPr>
                <w:rFonts w:cs="Arial"/>
                <w:b/>
                <w:bCs/>
                <w:sz w:val="16"/>
                <w:szCs w:val="16"/>
              </w:rPr>
            </w:pPr>
            <w:r w:rsidRPr="00AE3CFE">
              <w:rPr>
                <w:rFonts w:cs="Arial"/>
                <w:b/>
                <w:bCs/>
                <w:sz w:val="16"/>
                <w:szCs w:val="16"/>
              </w:rPr>
              <w:t>Total liabilities recognised</w:t>
            </w:r>
          </w:p>
        </w:tc>
        <w:tc>
          <w:tcPr>
            <w:tcW w:w="2114" w:type="dxa"/>
            <w:tcBorders>
              <w:top w:val="single" w:sz="4" w:space="0" w:color="auto"/>
              <w:left w:val="nil"/>
              <w:bottom w:val="single" w:sz="4" w:space="0" w:color="auto"/>
              <w:right w:val="nil"/>
            </w:tcBorders>
            <w:shd w:val="clear" w:color="FFFFFF" w:fill="FFFFFF"/>
            <w:noWrap/>
            <w:vAlign w:val="bottom"/>
            <w:hideMark/>
          </w:tcPr>
          <w:p w14:paraId="1E9334BA"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w:t>
            </w:r>
          </w:p>
        </w:tc>
        <w:tc>
          <w:tcPr>
            <w:tcW w:w="1418" w:type="dxa"/>
            <w:tcBorders>
              <w:top w:val="single" w:sz="4" w:space="0" w:color="auto"/>
              <w:left w:val="nil"/>
              <w:bottom w:val="single" w:sz="4" w:space="0" w:color="auto"/>
              <w:right w:val="nil"/>
            </w:tcBorders>
            <w:shd w:val="clear" w:color="FFFFFF" w:fill="FFFFFF"/>
            <w:noWrap/>
            <w:vAlign w:val="bottom"/>
            <w:hideMark/>
          </w:tcPr>
          <w:p w14:paraId="105A90C0"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w:t>
            </w:r>
          </w:p>
        </w:tc>
        <w:tc>
          <w:tcPr>
            <w:tcW w:w="1275" w:type="dxa"/>
            <w:tcBorders>
              <w:top w:val="single" w:sz="4" w:space="0" w:color="auto"/>
              <w:left w:val="nil"/>
              <w:bottom w:val="single" w:sz="4" w:space="0" w:color="auto"/>
              <w:right w:val="nil"/>
            </w:tcBorders>
            <w:shd w:val="clear" w:color="FFFFFF" w:fill="FFFFFF"/>
            <w:noWrap/>
            <w:vAlign w:val="bottom"/>
            <w:hideMark/>
          </w:tcPr>
          <w:p w14:paraId="7D6FCCAB"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w:t>
            </w:r>
          </w:p>
        </w:tc>
        <w:tc>
          <w:tcPr>
            <w:tcW w:w="1134" w:type="dxa"/>
            <w:tcBorders>
              <w:top w:val="single" w:sz="4" w:space="0" w:color="auto"/>
              <w:left w:val="nil"/>
              <w:bottom w:val="single" w:sz="4" w:space="0" w:color="auto"/>
              <w:right w:val="nil"/>
            </w:tcBorders>
            <w:shd w:val="clear" w:color="FFFFFF" w:fill="FFFFFF"/>
            <w:noWrap/>
            <w:vAlign w:val="bottom"/>
            <w:hideMark/>
          </w:tcPr>
          <w:p w14:paraId="450BC1CB"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(3,201)</w:t>
            </w:r>
          </w:p>
        </w:tc>
        <w:tc>
          <w:tcPr>
            <w:tcW w:w="878" w:type="dxa"/>
            <w:tcBorders>
              <w:top w:val="single" w:sz="4" w:space="0" w:color="auto"/>
              <w:left w:val="nil"/>
              <w:bottom w:val="single" w:sz="4" w:space="0" w:color="auto"/>
              <w:right w:val="nil"/>
            </w:tcBorders>
            <w:shd w:val="clear" w:color="FFFFFF" w:fill="FFFFFF"/>
            <w:noWrap/>
            <w:vAlign w:val="bottom"/>
            <w:hideMark/>
          </w:tcPr>
          <w:p w14:paraId="6F166461" w14:textId="77777777" w:rsidR="00AB6753" w:rsidRPr="00AE3CFE" w:rsidRDefault="00AB6753" w:rsidP="002D1EA4">
            <w:pPr>
              <w:spacing w:after="0" w:line="240" w:lineRule="auto"/>
              <w:jc w:val="right"/>
              <w:rPr>
                <w:rFonts w:cs="Arial"/>
                <w:sz w:val="16"/>
                <w:szCs w:val="16"/>
              </w:rPr>
            </w:pPr>
            <w:r w:rsidRPr="00AE3CFE">
              <w:rPr>
                <w:rFonts w:cs="Arial"/>
                <w:sz w:val="16"/>
                <w:szCs w:val="16"/>
              </w:rPr>
              <w:t>(7,650)</w:t>
            </w:r>
          </w:p>
        </w:tc>
      </w:tr>
      <w:tr w:rsidR="00AB6753" w:rsidRPr="00AE3CFE" w14:paraId="5D526037" w14:textId="77777777" w:rsidTr="002D1EA4">
        <w:trPr>
          <w:trHeight w:val="227"/>
        </w:trPr>
        <w:tc>
          <w:tcPr>
            <w:tcW w:w="2592" w:type="dxa"/>
            <w:tcBorders>
              <w:top w:val="nil"/>
              <w:left w:val="nil"/>
              <w:bottom w:val="single" w:sz="4" w:space="0" w:color="auto"/>
              <w:right w:val="nil"/>
            </w:tcBorders>
            <w:shd w:val="clear" w:color="FFFFFF" w:fill="FFFFFF"/>
            <w:vAlign w:val="bottom"/>
            <w:hideMark/>
          </w:tcPr>
          <w:p w14:paraId="67B4A02C" w14:textId="77777777" w:rsidR="00AB6753" w:rsidRPr="00AE3CFE" w:rsidRDefault="00AB6753" w:rsidP="002D1EA4">
            <w:pPr>
              <w:spacing w:after="0" w:line="240" w:lineRule="auto"/>
              <w:rPr>
                <w:rFonts w:cs="Arial"/>
                <w:b/>
                <w:bCs/>
                <w:sz w:val="16"/>
                <w:szCs w:val="16"/>
              </w:rPr>
            </w:pPr>
            <w:r w:rsidRPr="00AE3CFE">
              <w:rPr>
                <w:rFonts w:cs="Arial"/>
                <w:b/>
                <w:bCs/>
                <w:sz w:val="16"/>
                <w:szCs w:val="16"/>
              </w:rPr>
              <w:t>Net assets/(liabilities) recognised</w:t>
            </w:r>
            <w:r w:rsidRPr="00AE3CFE">
              <w:rPr>
                <w:rFonts w:cs="Arial"/>
                <w:b/>
                <w:bCs/>
                <w:sz w:val="16"/>
                <w:szCs w:val="16"/>
                <w:vertAlign w:val="superscript"/>
              </w:rPr>
              <w:t>6</w:t>
            </w:r>
          </w:p>
        </w:tc>
        <w:tc>
          <w:tcPr>
            <w:tcW w:w="2114" w:type="dxa"/>
            <w:tcBorders>
              <w:top w:val="nil"/>
              <w:left w:val="nil"/>
              <w:bottom w:val="single" w:sz="4" w:space="0" w:color="auto"/>
              <w:right w:val="nil"/>
            </w:tcBorders>
            <w:shd w:val="clear" w:color="FFFFFF" w:fill="FFFFFF"/>
            <w:noWrap/>
            <w:vAlign w:val="bottom"/>
            <w:hideMark/>
          </w:tcPr>
          <w:p w14:paraId="17719D24"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w:t>
            </w:r>
          </w:p>
        </w:tc>
        <w:tc>
          <w:tcPr>
            <w:tcW w:w="1418" w:type="dxa"/>
            <w:tcBorders>
              <w:top w:val="nil"/>
              <w:left w:val="nil"/>
              <w:bottom w:val="single" w:sz="4" w:space="0" w:color="auto"/>
              <w:right w:val="nil"/>
            </w:tcBorders>
            <w:shd w:val="clear" w:color="FFFFFF" w:fill="FFFFFF"/>
            <w:noWrap/>
            <w:vAlign w:val="bottom"/>
            <w:hideMark/>
          </w:tcPr>
          <w:p w14:paraId="7CA629CB"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w:t>
            </w:r>
          </w:p>
        </w:tc>
        <w:tc>
          <w:tcPr>
            <w:tcW w:w="1275" w:type="dxa"/>
            <w:tcBorders>
              <w:top w:val="nil"/>
              <w:left w:val="nil"/>
              <w:bottom w:val="single" w:sz="4" w:space="0" w:color="auto"/>
              <w:right w:val="nil"/>
            </w:tcBorders>
            <w:shd w:val="clear" w:color="FFFFFF" w:fill="FFFFFF"/>
            <w:noWrap/>
            <w:vAlign w:val="bottom"/>
            <w:hideMark/>
          </w:tcPr>
          <w:p w14:paraId="0D9E4809"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w:t>
            </w:r>
          </w:p>
        </w:tc>
        <w:tc>
          <w:tcPr>
            <w:tcW w:w="1134" w:type="dxa"/>
            <w:tcBorders>
              <w:top w:val="nil"/>
              <w:left w:val="nil"/>
              <w:bottom w:val="single" w:sz="4" w:space="0" w:color="auto"/>
              <w:right w:val="nil"/>
            </w:tcBorders>
            <w:shd w:val="clear" w:color="FFFFFF" w:fill="FFFFFF"/>
            <w:noWrap/>
            <w:vAlign w:val="bottom"/>
            <w:hideMark/>
          </w:tcPr>
          <w:p w14:paraId="0C3E3B58"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(1,888)</w:t>
            </w:r>
          </w:p>
        </w:tc>
        <w:tc>
          <w:tcPr>
            <w:tcW w:w="878" w:type="dxa"/>
            <w:tcBorders>
              <w:top w:val="nil"/>
              <w:left w:val="nil"/>
              <w:bottom w:val="single" w:sz="4" w:space="0" w:color="auto"/>
              <w:right w:val="nil"/>
            </w:tcBorders>
            <w:shd w:val="clear" w:color="FFFFFF" w:fill="FFFFFF"/>
            <w:noWrap/>
            <w:vAlign w:val="bottom"/>
            <w:hideMark/>
          </w:tcPr>
          <w:p w14:paraId="4A7749AD" w14:textId="77777777" w:rsidR="00AB6753" w:rsidRPr="00AE3CFE" w:rsidRDefault="00AB6753" w:rsidP="002D1EA4">
            <w:pPr>
              <w:spacing w:after="0" w:line="240" w:lineRule="auto"/>
              <w:jc w:val="right"/>
              <w:rPr>
                <w:rFonts w:cs="Arial"/>
                <w:sz w:val="16"/>
                <w:szCs w:val="16"/>
              </w:rPr>
            </w:pPr>
            <w:r w:rsidRPr="00AE3CFE">
              <w:rPr>
                <w:rFonts w:cs="Arial"/>
                <w:sz w:val="16"/>
                <w:szCs w:val="16"/>
              </w:rPr>
              <w:t>(17)</w:t>
            </w:r>
          </w:p>
        </w:tc>
      </w:tr>
      <w:tr w:rsidR="00AB6753" w:rsidRPr="00AE3CFE" w14:paraId="45D2C7C6" w14:textId="77777777" w:rsidTr="002D1EA4">
        <w:trPr>
          <w:trHeight w:val="227"/>
        </w:trPr>
        <w:tc>
          <w:tcPr>
            <w:tcW w:w="2592" w:type="dxa"/>
            <w:tcBorders>
              <w:top w:val="nil"/>
              <w:left w:val="nil"/>
              <w:bottom w:val="nil"/>
              <w:right w:val="nil"/>
            </w:tcBorders>
            <w:shd w:val="clear" w:color="FFFFFF" w:fill="FFFFFF"/>
            <w:vAlign w:val="bottom"/>
            <w:hideMark/>
          </w:tcPr>
          <w:p w14:paraId="3C420D2D" w14:textId="77777777" w:rsidR="00AB6753" w:rsidRPr="00AE3CFE" w:rsidRDefault="00AB6753" w:rsidP="002D1EA4">
            <w:pPr>
              <w:spacing w:after="0" w:line="240" w:lineRule="auto"/>
              <w:rPr>
                <w:rFonts w:cs="Arial"/>
                <w:b/>
                <w:bCs/>
                <w:sz w:val="16"/>
                <w:szCs w:val="16"/>
              </w:rPr>
            </w:pPr>
            <w:r w:rsidRPr="00AE3CFE">
              <w:rPr>
                <w:rFonts w:cs="Arial"/>
                <w:b/>
                <w:bCs/>
                <w:sz w:val="16"/>
                <w:szCs w:val="16"/>
              </w:rPr>
              <w:t>FUNCTIONS RELINQUISHED</w:t>
            </w:r>
          </w:p>
        </w:tc>
        <w:tc>
          <w:tcPr>
            <w:tcW w:w="2114" w:type="dxa"/>
            <w:tcBorders>
              <w:top w:val="nil"/>
              <w:left w:val="nil"/>
              <w:bottom w:val="nil"/>
              <w:right w:val="nil"/>
            </w:tcBorders>
            <w:shd w:val="clear" w:color="FFFFFF" w:fill="FFFFFF"/>
            <w:vAlign w:val="bottom"/>
            <w:hideMark/>
          </w:tcPr>
          <w:p w14:paraId="4D00401A"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418" w:type="dxa"/>
            <w:tcBorders>
              <w:top w:val="nil"/>
              <w:left w:val="nil"/>
              <w:bottom w:val="nil"/>
              <w:right w:val="nil"/>
            </w:tcBorders>
            <w:shd w:val="clear" w:color="FFFFFF" w:fill="FFFFFF"/>
            <w:vAlign w:val="bottom"/>
            <w:hideMark/>
          </w:tcPr>
          <w:p w14:paraId="1DA80D99"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275" w:type="dxa"/>
            <w:tcBorders>
              <w:top w:val="nil"/>
              <w:left w:val="nil"/>
              <w:bottom w:val="nil"/>
              <w:right w:val="nil"/>
            </w:tcBorders>
            <w:shd w:val="clear" w:color="FFFFFF" w:fill="FFFFFF"/>
            <w:vAlign w:val="bottom"/>
            <w:hideMark/>
          </w:tcPr>
          <w:p w14:paraId="531E6C7D"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134" w:type="dxa"/>
            <w:tcBorders>
              <w:top w:val="nil"/>
              <w:left w:val="nil"/>
              <w:bottom w:val="nil"/>
              <w:right w:val="nil"/>
            </w:tcBorders>
            <w:shd w:val="clear" w:color="FFFFFF" w:fill="FFFFFF"/>
            <w:vAlign w:val="bottom"/>
            <w:hideMark/>
          </w:tcPr>
          <w:p w14:paraId="5134E34E"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878" w:type="dxa"/>
            <w:tcBorders>
              <w:top w:val="nil"/>
              <w:left w:val="nil"/>
              <w:bottom w:val="nil"/>
              <w:right w:val="nil"/>
            </w:tcBorders>
            <w:shd w:val="clear" w:color="FFFFFF" w:fill="FFFFFF"/>
            <w:vAlign w:val="bottom"/>
            <w:hideMark/>
          </w:tcPr>
          <w:p w14:paraId="750116C0" w14:textId="77777777" w:rsidR="00AB6753" w:rsidRPr="00AE3CFE" w:rsidRDefault="00AB6753" w:rsidP="002D1EA4">
            <w:pPr>
              <w:spacing w:after="0" w:line="240" w:lineRule="auto"/>
              <w:rPr>
                <w:rFonts w:cs="Arial"/>
                <w:sz w:val="16"/>
                <w:szCs w:val="16"/>
              </w:rPr>
            </w:pPr>
            <w:r w:rsidRPr="00AE3CFE">
              <w:rPr>
                <w:rFonts w:cs="Arial"/>
                <w:sz w:val="16"/>
                <w:szCs w:val="16"/>
              </w:rPr>
              <w:t> </w:t>
            </w:r>
          </w:p>
        </w:tc>
      </w:tr>
      <w:tr w:rsidR="00AB6753" w:rsidRPr="00AE3CFE" w14:paraId="16FB7FD0" w14:textId="77777777" w:rsidTr="002D1EA4">
        <w:trPr>
          <w:trHeight w:val="227"/>
        </w:trPr>
        <w:tc>
          <w:tcPr>
            <w:tcW w:w="2592" w:type="dxa"/>
            <w:tcBorders>
              <w:top w:val="nil"/>
              <w:left w:val="nil"/>
              <w:bottom w:val="nil"/>
              <w:right w:val="nil"/>
            </w:tcBorders>
            <w:shd w:val="clear" w:color="FFFFFF" w:fill="FFFFFF"/>
            <w:vAlign w:val="bottom"/>
            <w:hideMark/>
          </w:tcPr>
          <w:p w14:paraId="4246D2DE" w14:textId="77777777" w:rsidR="00AB6753" w:rsidRPr="00AE3CFE" w:rsidRDefault="00AB6753" w:rsidP="002D1EA4">
            <w:pPr>
              <w:spacing w:after="0" w:line="240" w:lineRule="auto"/>
              <w:rPr>
                <w:rFonts w:cs="Arial"/>
                <w:b/>
                <w:bCs/>
                <w:sz w:val="16"/>
                <w:szCs w:val="16"/>
              </w:rPr>
            </w:pPr>
            <w:r w:rsidRPr="00AE3CFE">
              <w:rPr>
                <w:rFonts w:cs="Arial"/>
                <w:b/>
                <w:bCs/>
                <w:sz w:val="16"/>
                <w:szCs w:val="16"/>
              </w:rPr>
              <w:t>Assets relinquished</w:t>
            </w:r>
          </w:p>
        </w:tc>
        <w:tc>
          <w:tcPr>
            <w:tcW w:w="2114" w:type="dxa"/>
            <w:tcBorders>
              <w:top w:val="nil"/>
              <w:left w:val="nil"/>
              <w:bottom w:val="nil"/>
              <w:right w:val="nil"/>
            </w:tcBorders>
            <w:shd w:val="clear" w:color="FFFFFF" w:fill="FFFFFF"/>
            <w:vAlign w:val="bottom"/>
            <w:hideMark/>
          </w:tcPr>
          <w:p w14:paraId="3214639E"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418" w:type="dxa"/>
            <w:tcBorders>
              <w:top w:val="nil"/>
              <w:left w:val="nil"/>
              <w:bottom w:val="nil"/>
              <w:right w:val="nil"/>
            </w:tcBorders>
            <w:shd w:val="clear" w:color="FFFFFF" w:fill="FFFFFF"/>
            <w:vAlign w:val="bottom"/>
            <w:hideMark/>
          </w:tcPr>
          <w:p w14:paraId="533E7D7D"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275" w:type="dxa"/>
            <w:tcBorders>
              <w:top w:val="nil"/>
              <w:left w:val="nil"/>
              <w:bottom w:val="nil"/>
              <w:right w:val="nil"/>
            </w:tcBorders>
            <w:shd w:val="clear" w:color="FFFFFF" w:fill="FFFFFF"/>
            <w:vAlign w:val="bottom"/>
            <w:hideMark/>
          </w:tcPr>
          <w:p w14:paraId="1F60FD21"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134" w:type="dxa"/>
            <w:tcBorders>
              <w:top w:val="nil"/>
              <w:left w:val="nil"/>
              <w:bottom w:val="nil"/>
              <w:right w:val="nil"/>
            </w:tcBorders>
            <w:shd w:val="clear" w:color="FFFFFF" w:fill="FFFFFF"/>
            <w:vAlign w:val="bottom"/>
            <w:hideMark/>
          </w:tcPr>
          <w:p w14:paraId="66DB90DC"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878" w:type="dxa"/>
            <w:tcBorders>
              <w:top w:val="nil"/>
              <w:left w:val="nil"/>
              <w:bottom w:val="nil"/>
              <w:right w:val="nil"/>
            </w:tcBorders>
            <w:shd w:val="clear" w:color="FFFFFF" w:fill="FFFFFF"/>
            <w:vAlign w:val="bottom"/>
            <w:hideMark/>
          </w:tcPr>
          <w:p w14:paraId="105138C4" w14:textId="77777777" w:rsidR="00AB6753" w:rsidRPr="00AE3CFE" w:rsidRDefault="00AB6753" w:rsidP="002D1EA4">
            <w:pPr>
              <w:spacing w:after="0" w:line="240" w:lineRule="auto"/>
              <w:rPr>
                <w:rFonts w:cs="Arial"/>
                <w:sz w:val="16"/>
                <w:szCs w:val="16"/>
              </w:rPr>
            </w:pPr>
            <w:r w:rsidRPr="00AE3CFE">
              <w:rPr>
                <w:rFonts w:cs="Arial"/>
                <w:sz w:val="16"/>
                <w:szCs w:val="16"/>
              </w:rPr>
              <w:t> </w:t>
            </w:r>
          </w:p>
        </w:tc>
      </w:tr>
      <w:tr w:rsidR="00AB6753" w:rsidRPr="00AE3CFE" w14:paraId="2B9F264B" w14:textId="77777777" w:rsidTr="002D1EA4">
        <w:trPr>
          <w:trHeight w:val="227"/>
        </w:trPr>
        <w:tc>
          <w:tcPr>
            <w:tcW w:w="2592" w:type="dxa"/>
            <w:tcBorders>
              <w:top w:val="nil"/>
              <w:left w:val="nil"/>
              <w:bottom w:val="nil"/>
              <w:right w:val="nil"/>
            </w:tcBorders>
            <w:shd w:val="clear" w:color="FFFFFF" w:fill="FFFFFF"/>
            <w:noWrap/>
            <w:vAlign w:val="bottom"/>
            <w:hideMark/>
          </w:tcPr>
          <w:p w14:paraId="4963026A" w14:textId="77777777" w:rsidR="00AB6753" w:rsidRPr="00AE3CFE" w:rsidRDefault="00AB6753" w:rsidP="002D1EA4">
            <w:pPr>
              <w:spacing w:after="0" w:line="240" w:lineRule="auto"/>
              <w:ind w:leftChars="100" w:left="220"/>
              <w:rPr>
                <w:rFonts w:cs="Arial"/>
                <w:sz w:val="16"/>
                <w:szCs w:val="16"/>
              </w:rPr>
            </w:pPr>
            <w:r w:rsidRPr="00AE3CFE">
              <w:rPr>
                <w:rFonts w:cs="Arial"/>
                <w:sz w:val="16"/>
                <w:szCs w:val="16"/>
              </w:rPr>
              <w:t>Appropriation receivable</w:t>
            </w:r>
          </w:p>
        </w:tc>
        <w:tc>
          <w:tcPr>
            <w:tcW w:w="2114" w:type="dxa"/>
            <w:tcBorders>
              <w:top w:val="nil"/>
              <w:left w:val="nil"/>
              <w:bottom w:val="nil"/>
              <w:right w:val="nil"/>
            </w:tcBorders>
            <w:shd w:val="clear" w:color="FFFFFF" w:fill="FFFFFF"/>
            <w:noWrap/>
            <w:vAlign w:val="bottom"/>
            <w:hideMark/>
          </w:tcPr>
          <w:p w14:paraId="76606AA8"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418" w:type="dxa"/>
            <w:tcBorders>
              <w:top w:val="nil"/>
              <w:left w:val="nil"/>
              <w:bottom w:val="nil"/>
              <w:right w:val="nil"/>
            </w:tcBorders>
            <w:shd w:val="clear" w:color="FFFFFF" w:fill="FFFFFF"/>
            <w:noWrap/>
            <w:vAlign w:val="bottom"/>
            <w:hideMark/>
          </w:tcPr>
          <w:p w14:paraId="6BE89A2D"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(3,574)</w:t>
            </w:r>
          </w:p>
        </w:tc>
        <w:tc>
          <w:tcPr>
            <w:tcW w:w="1275" w:type="dxa"/>
            <w:tcBorders>
              <w:top w:val="nil"/>
              <w:left w:val="nil"/>
              <w:bottom w:val="nil"/>
              <w:right w:val="nil"/>
            </w:tcBorders>
            <w:shd w:val="clear" w:color="FFFFFF" w:fill="FFFFFF"/>
            <w:noWrap/>
            <w:vAlign w:val="bottom"/>
            <w:hideMark/>
          </w:tcPr>
          <w:p w14:paraId="556FA6F5"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(8,297)</w:t>
            </w:r>
          </w:p>
        </w:tc>
        <w:tc>
          <w:tcPr>
            <w:tcW w:w="1134" w:type="dxa"/>
            <w:tcBorders>
              <w:top w:val="nil"/>
              <w:left w:val="nil"/>
              <w:bottom w:val="nil"/>
              <w:right w:val="nil"/>
            </w:tcBorders>
            <w:shd w:val="clear" w:color="FFFFFF" w:fill="FFFFFF"/>
            <w:noWrap/>
            <w:vAlign w:val="bottom"/>
            <w:hideMark/>
          </w:tcPr>
          <w:p w14:paraId="3764F386"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878" w:type="dxa"/>
            <w:tcBorders>
              <w:top w:val="nil"/>
              <w:left w:val="nil"/>
              <w:bottom w:val="nil"/>
              <w:right w:val="nil"/>
            </w:tcBorders>
            <w:shd w:val="clear" w:color="FFFFFF" w:fill="FFFFFF"/>
            <w:noWrap/>
            <w:vAlign w:val="bottom"/>
            <w:hideMark/>
          </w:tcPr>
          <w:p w14:paraId="36DF3273" w14:textId="77777777" w:rsidR="00AB6753" w:rsidRPr="00AE3CFE" w:rsidRDefault="00AB6753" w:rsidP="002D1EA4">
            <w:pPr>
              <w:spacing w:after="0" w:line="240" w:lineRule="auto"/>
              <w:jc w:val="right"/>
              <w:rPr>
                <w:rFonts w:cs="Arial"/>
                <w:sz w:val="16"/>
                <w:szCs w:val="16"/>
              </w:rPr>
            </w:pPr>
            <w:r w:rsidRPr="00AE3CFE">
              <w:rPr>
                <w:rFonts w:cs="Arial"/>
                <w:sz w:val="16"/>
                <w:szCs w:val="16"/>
              </w:rPr>
              <w:t>(2,871)</w:t>
            </w:r>
          </w:p>
        </w:tc>
      </w:tr>
      <w:tr w:rsidR="00AB6753" w:rsidRPr="00AE3CFE" w14:paraId="14EFD770" w14:textId="77777777" w:rsidTr="002D1EA4">
        <w:trPr>
          <w:trHeight w:val="227"/>
        </w:trPr>
        <w:tc>
          <w:tcPr>
            <w:tcW w:w="2592" w:type="dxa"/>
            <w:tcBorders>
              <w:top w:val="nil"/>
              <w:left w:val="nil"/>
              <w:bottom w:val="nil"/>
              <w:right w:val="nil"/>
            </w:tcBorders>
            <w:shd w:val="clear" w:color="FFFFFF" w:fill="FFFFFF"/>
            <w:noWrap/>
            <w:vAlign w:val="bottom"/>
            <w:hideMark/>
          </w:tcPr>
          <w:p w14:paraId="138CCDC9" w14:textId="77777777" w:rsidR="00AB6753" w:rsidRPr="00AE3CFE" w:rsidRDefault="00AB6753" w:rsidP="002D1EA4">
            <w:pPr>
              <w:spacing w:after="0" w:line="240" w:lineRule="auto"/>
              <w:ind w:leftChars="100" w:left="220"/>
              <w:rPr>
                <w:rFonts w:cs="Arial"/>
                <w:sz w:val="16"/>
                <w:szCs w:val="16"/>
              </w:rPr>
            </w:pPr>
            <w:r w:rsidRPr="00AE3CFE">
              <w:rPr>
                <w:rFonts w:cs="Arial"/>
                <w:sz w:val="16"/>
                <w:szCs w:val="16"/>
              </w:rPr>
              <w:t>Trade and other receivables</w:t>
            </w:r>
          </w:p>
        </w:tc>
        <w:tc>
          <w:tcPr>
            <w:tcW w:w="2114" w:type="dxa"/>
            <w:tcBorders>
              <w:top w:val="nil"/>
              <w:left w:val="nil"/>
              <w:bottom w:val="nil"/>
              <w:right w:val="nil"/>
            </w:tcBorders>
            <w:shd w:val="clear" w:color="FFFFFF" w:fill="FFFFFF"/>
            <w:noWrap/>
            <w:vAlign w:val="bottom"/>
            <w:hideMark/>
          </w:tcPr>
          <w:p w14:paraId="1BBF56E3"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418" w:type="dxa"/>
            <w:tcBorders>
              <w:top w:val="nil"/>
              <w:left w:val="nil"/>
              <w:bottom w:val="nil"/>
              <w:right w:val="nil"/>
            </w:tcBorders>
            <w:shd w:val="clear" w:color="FFFFFF" w:fill="FFFFFF"/>
            <w:noWrap/>
            <w:vAlign w:val="bottom"/>
            <w:hideMark/>
          </w:tcPr>
          <w:p w14:paraId="16750527"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(4)</w:t>
            </w:r>
          </w:p>
        </w:tc>
        <w:tc>
          <w:tcPr>
            <w:tcW w:w="1275" w:type="dxa"/>
            <w:tcBorders>
              <w:top w:val="nil"/>
              <w:left w:val="nil"/>
              <w:bottom w:val="nil"/>
              <w:right w:val="nil"/>
            </w:tcBorders>
            <w:shd w:val="clear" w:color="FFFFFF" w:fill="FFFFFF"/>
            <w:noWrap/>
            <w:vAlign w:val="bottom"/>
            <w:hideMark/>
          </w:tcPr>
          <w:p w14:paraId="225375F9"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(5,515)</w:t>
            </w:r>
          </w:p>
        </w:tc>
        <w:tc>
          <w:tcPr>
            <w:tcW w:w="1134" w:type="dxa"/>
            <w:tcBorders>
              <w:top w:val="nil"/>
              <w:left w:val="nil"/>
              <w:bottom w:val="nil"/>
              <w:right w:val="nil"/>
            </w:tcBorders>
            <w:shd w:val="clear" w:color="FFFFFF" w:fill="FFFFFF"/>
            <w:noWrap/>
            <w:vAlign w:val="bottom"/>
            <w:hideMark/>
          </w:tcPr>
          <w:p w14:paraId="76E18BE6"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w:t>
            </w:r>
          </w:p>
        </w:tc>
        <w:tc>
          <w:tcPr>
            <w:tcW w:w="878" w:type="dxa"/>
            <w:tcBorders>
              <w:top w:val="nil"/>
              <w:left w:val="nil"/>
              <w:bottom w:val="nil"/>
              <w:right w:val="nil"/>
            </w:tcBorders>
            <w:shd w:val="clear" w:color="FFFFFF" w:fill="FFFFFF"/>
            <w:noWrap/>
            <w:vAlign w:val="bottom"/>
            <w:hideMark/>
          </w:tcPr>
          <w:p w14:paraId="45C0EA78" w14:textId="77777777" w:rsidR="00AB6753" w:rsidRPr="00AE3CFE" w:rsidRDefault="00AB6753" w:rsidP="002D1EA4">
            <w:pPr>
              <w:spacing w:after="0" w:line="240" w:lineRule="auto"/>
              <w:jc w:val="right"/>
              <w:rPr>
                <w:rFonts w:cs="Arial"/>
                <w:sz w:val="16"/>
                <w:szCs w:val="16"/>
              </w:rPr>
            </w:pPr>
            <w:r w:rsidRPr="00AE3CFE">
              <w:rPr>
                <w:rFonts w:cs="Arial"/>
                <w:sz w:val="16"/>
                <w:szCs w:val="16"/>
              </w:rPr>
              <w:t xml:space="preserve"> -</w:t>
            </w:r>
          </w:p>
        </w:tc>
      </w:tr>
      <w:tr w:rsidR="00AB6753" w:rsidRPr="00AE3CFE" w14:paraId="13981A97" w14:textId="77777777" w:rsidTr="002D1EA4">
        <w:trPr>
          <w:trHeight w:val="227"/>
        </w:trPr>
        <w:tc>
          <w:tcPr>
            <w:tcW w:w="2592" w:type="dxa"/>
            <w:tcBorders>
              <w:top w:val="nil"/>
              <w:left w:val="nil"/>
              <w:bottom w:val="nil"/>
              <w:right w:val="nil"/>
            </w:tcBorders>
            <w:shd w:val="clear" w:color="FFFFFF" w:fill="FFFFFF"/>
            <w:noWrap/>
            <w:vAlign w:val="bottom"/>
            <w:hideMark/>
          </w:tcPr>
          <w:p w14:paraId="50288EFF" w14:textId="77777777" w:rsidR="00AB6753" w:rsidRPr="00AE3CFE" w:rsidRDefault="00AB6753" w:rsidP="002D1EA4">
            <w:pPr>
              <w:spacing w:after="0" w:line="240" w:lineRule="auto"/>
              <w:ind w:leftChars="100" w:left="220"/>
              <w:rPr>
                <w:rFonts w:cs="Arial"/>
                <w:sz w:val="16"/>
                <w:szCs w:val="16"/>
              </w:rPr>
            </w:pPr>
            <w:r w:rsidRPr="00AE3CFE">
              <w:rPr>
                <w:rFonts w:cs="Arial"/>
                <w:sz w:val="16"/>
                <w:szCs w:val="16"/>
              </w:rPr>
              <w:t>Land and buildings</w:t>
            </w:r>
          </w:p>
        </w:tc>
        <w:tc>
          <w:tcPr>
            <w:tcW w:w="2114" w:type="dxa"/>
            <w:tcBorders>
              <w:top w:val="nil"/>
              <w:left w:val="nil"/>
              <w:bottom w:val="nil"/>
              <w:right w:val="nil"/>
            </w:tcBorders>
            <w:shd w:val="clear" w:color="FFFFFF" w:fill="FFFFFF"/>
            <w:noWrap/>
            <w:vAlign w:val="bottom"/>
            <w:hideMark/>
          </w:tcPr>
          <w:p w14:paraId="3F02A607"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418" w:type="dxa"/>
            <w:tcBorders>
              <w:top w:val="nil"/>
              <w:left w:val="nil"/>
              <w:bottom w:val="nil"/>
              <w:right w:val="nil"/>
            </w:tcBorders>
            <w:shd w:val="clear" w:color="FFFFFF" w:fill="FFFFFF"/>
            <w:noWrap/>
            <w:vAlign w:val="bottom"/>
            <w:hideMark/>
          </w:tcPr>
          <w:p w14:paraId="63A828C4"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275" w:type="dxa"/>
            <w:tcBorders>
              <w:top w:val="nil"/>
              <w:left w:val="nil"/>
              <w:bottom w:val="nil"/>
              <w:right w:val="nil"/>
            </w:tcBorders>
            <w:shd w:val="clear" w:color="FFFFFF" w:fill="FFFFFF"/>
            <w:noWrap/>
            <w:vAlign w:val="bottom"/>
            <w:hideMark/>
          </w:tcPr>
          <w:p w14:paraId="4530D952"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(7,347)</w:t>
            </w:r>
          </w:p>
        </w:tc>
        <w:tc>
          <w:tcPr>
            <w:tcW w:w="1134" w:type="dxa"/>
            <w:tcBorders>
              <w:top w:val="nil"/>
              <w:left w:val="nil"/>
              <w:bottom w:val="nil"/>
              <w:right w:val="nil"/>
            </w:tcBorders>
            <w:shd w:val="clear" w:color="FFFFFF" w:fill="FFFFFF"/>
            <w:noWrap/>
            <w:vAlign w:val="bottom"/>
            <w:hideMark/>
          </w:tcPr>
          <w:p w14:paraId="7E0DEAC3"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878" w:type="dxa"/>
            <w:tcBorders>
              <w:top w:val="nil"/>
              <w:left w:val="nil"/>
              <w:bottom w:val="nil"/>
              <w:right w:val="nil"/>
            </w:tcBorders>
            <w:shd w:val="clear" w:color="FFFFFF" w:fill="FFFFFF"/>
            <w:noWrap/>
            <w:vAlign w:val="bottom"/>
            <w:hideMark/>
          </w:tcPr>
          <w:p w14:paraId="76F44215" w14:textId="77777777" w:rsidR="00AB6753" w:rsidRPr="00AE3CFE" w:rsidRDefault="00AB6753" w:rsidP="002D1EA4">
            <w:pPr>
              <w:spacing w:after="0" w:line="240" w:lineRule="auto"/>
              <w:jc w:val="right"/>
              <w:rPr>
                <w:rFonts w:cs="Arial"/>
                <w:sz w:val="16"/>
                <w:szCs w:val="16"/>
              </w:rPr>
            </w:pPr>
            <w:r w:rsidRPr="00AE3CFE">
              <w:rPr>
                <w:rFonts w:cs="Arial"/>
                <w:sz w:val="16"/>
                <w:szCs w:val="16"/>
              </w:rPr>
              <w:t>(5,700)</w:t>
            </w:r>
          </w:p>
        </w:tc>
      </w:tr>
      <w:tr w:rsidR="00AB6753" w:rsidRPr="00AE3CFE" w14:paraId="6388FC6A" w14:textId="77777777" w:rsidTr="002D1EA4">
        <w:trPr>
          <w:trHeight w:val="227"/>
        </w:trPr>
        <w:tc>
          <w:tcPr>
            <w:tcW w:w="2592" w:type="dxa"/>
            <w:tcBorders>
              <w:top w:val="nil"/>
              <w:left w:val="nil"/>
              <w:bottom w:val="nil"/>
              <w:right w:val="nil"/>
            </w:tcBorders>
            <w:shd w:val="clear" w:color="FFFFFF" w:fill="FFFFFF"/>
            <w:noWrap/>
            <w:vAlign w:val="bottom"/>
            <w:hideMark/>
          </w:tcPr>
          <w:p w14:paraId="4D40C92E" w14:textId="77777777" w:rsidR="00AB6753" w:rsidRPr="00AE3CFE" w:rsidRDefault="00AB6753" w:rsidP="002D1EA4">
            <w:pPr>
              <w:spacing w:after="0" w:line="240" w:lineRule="auto"/>
              <w:ind w:leftChars="100" w:left="220"/>
              <w:rPr>
                <w:rFonts w:cs="Arial"/>
                <w:sz w:val="16"/>
                <w:szCs w:val="16"/>
              </w:rPr>
            </w:pPr>
            <w:r w:rsidRPr="00AE3CFE">
              <w:rPr>
                <w:rFonts w:cs="Arial"/>
                <w:sz w:val="16"/>
                <w:szCs w:val="16"/>
              </w:rPr>
              <w:t>Property, plant and equipment</w:t>
            </w:r>
          </w:p>
        </w:tc>
        <w:tc>
          <w:tcPr>
            <w:tcW w:w="2114" w:type="dxa"/>
            <w:tcBorders>
              <w:top w:val="nil"/>
              <w:left w:val="nil"/>
              <w:bottom w:val="nil"/>
              <w:right w:val="nil"/>
            </w:tcBorders>
            <w:shd w:val="clear" w:color="FFFFFF" w:fill="FFFFFF"/>
            <w:noWrap/>
            <w:vAlign w:val="bottom"/>
            <w:hideMark/>
          </w:tcPr>
          <w:p w14:paraId="4972B7A3"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418" w:type="dxa"/>
            <w:tcBorders>
              <w:top w:val="nil"/>
              <w:left w:val="nil"/>
              <w:bottom w:val="nil"/>
              <w:right w:val="nil"/>
            </w:tcBorders>
            <w:shd w:val="clear" w:color="FFFFFF" w:fill="FFFFFF"/>
            <w:noWrap/>
            <w:vAlign w:val="bottom"/>
            <w:hideMark/>
          </w:tcPr>
          <w:p w14:paraId="50FBBE75"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275" w:type="dxa"/>
            <w:tcBorders>
              <w:top w:val="nil"/>
              <w:left w:val="nil"/>
              <w:bottom w:val="nil"/>
              <w:right w:val="nil"/>
            </w:tcBorders>
            <w:shd w:val="clear" w:color="FFFFFF" w:fill="FFFFFF"/>
            <w:noWrap/>
            <w:vAlign w:val="bottom"/>
            <w:hideMark/>
          </w:tcPr>
          <w:p w14:paraId="64C66AF7"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(19,341)</w:t>
            </w:r>
          </w:p>
        </w:tc>
        <w:tc>
          <w:tcPr>
            <w:tcW w:w="1134" w:type="dxa"/>
            <w:tcBorders>
              <w:top w:val="nil"/>
              <w:left w:val="nil"/>
              <w:bottom w:val="nil"/>
              <w:right w:val="nil"/>
            </w:tcBorders>
            <w:shd w:val="clear" w:color="FFFFFF" w:fill="FFFFFF"/>
            <w:noWrap/>
            <w:vAlign w:val="bottom"/>
            <w:hideMark/>
          </w:tcPr>
          <w:p w14:paraId="2B02651E"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878" w:type="dxa"/>
            <w:tcBorders>
              <w:top w:val="nil"/>
              <w:left w:val="nil"/>
              <w:bottom w:val="nil"/>
              <w:right w:val="nil"/>
            </w:tcBorders>
            <w:shd w:val="clear" w:color="FFFFFF" w:fill="FFFFFF"/>
            <w:noWrap/>
            <w:vAlign w:val="bottom"/>
            <w:hideMark/>
          </w:tcPr>
          <w:p w14:paraId="15EDEC25" w14:textId="77777777" w:rsidR="00AB6753" w:rsidRPr="00AE3CFE" w:rsidRDefault="00AB6753" w:rsidP="002D1EA4">
            <w:pPr>
              <w:spacing w:after="0" w:line="240" w:lineRule="auto"/>
              <w:jc w:val="right"/>
              <w:rPr>
                <w:rFonts w:cs="Arial"/>
                <w:sz w:val="16"/>
                <w:szCs w:val="16"/>
              </w:rPr>
            </w:pPr>
            <w:r w:rsidRPr="00AE3CFE">
              <w:rPr>
                <w:rFonts w:cs="Arial"/>
                <w:sz w:val="16"/>
                <w:szCs w:val="16"/>
              </w:rPr>
              <w:t>(448)</w:t>
            </w:r>
          </w:p>
        </w:tc>
      </w:tr>
      <w:tr w:rsidR="00AB6753" w:rsidRPr="00AE3CFE" w14:paraId="3F54CA38" w14:textId="77777777" w:rsidTr="002D1EA4">
        <w:trPr>
          <w:trHeight w:val="227"/>
        </w:trPr>
        <w:tc>
          <w:tcPr>
            <w:tcW w:w="2592" w:type="dxa"/>
            <w:tcBorders>
              <w:top w:val="nil"/>
              <w:left w:val="nil"/>
              <w:bottom w:val="nil"/>
              <w:right w:val="nil"/>
            </w:tcBorders>
            <w:shd w:val="clear" w:color="FFFFFF" w:fill="FFFFFF"/>
            <w:noWrap/>
            <w:vAlign w:val="bottom"/>
            <w:hideMark/>
          </w:tcPr>
          <w:p w14:paraId="19485876" w14:textId="77777777" w:rsidR="00AB6753" w:rsidRPr="00AE3CFE" w:rsidRDefault="00AB6753" w:rsidP="002D1EA4">
            <w:pPr>
              <w:spacing w:after="0" w:line="240" w:lineRule="auto"/>
              <w:ind w:leftChars="100" w:left="220"/>
              <w:rPr>
                <w:rFonts w:cs="Arial"/>
                <w:sz w:val="16"/>
                <w:szCs w:val="16"/>
              </w:rPr>
            </w:pPr>
            <w:r w:rsidRPr="00AE3CFE">
              <w:rPr>
                <w:rFonts w:cs="Arial"/>
                <w:sz w:val="16"/>
                <w:szCs w:val="16"/>
              </w:rPr>
              <w:t>Intangibles</w:t>
            </w:r>
          </w:p>
        </w:tc>
        <w:tc>
          <w:tcPr>
            <w:tcW w:w="2114" w:type="dxa"/>
            <w:tcBorders>
              <w:top w:val="nil"/>
              <w:left w:val="nil"/>
              <w:bottom w:val="nil"/>
              <w:right w:val="nil"/>
            </w:tcBorders>
            <w:shd w:val="clear" w:color="FFFFFF" w:fill="FFFFFF"/>
            <w:noWrap/>
            <w:vAlign w:val="bottom"/>
            <w:hideMark/>
          </w:tcPr>
          <w:p w14:paraId="07765434"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(35,278)</w:t>
            </w:r>
          </w:p>
        </w:tc>
        <w:tc>
          <w:tcPr>
            <w:tcW w:w="1418" w:type="dxa"/>
            <w:tcBorders>
              <w:top w:val="nil"/>
              <w:left w:val="nil"/>
              <w:bottom w:val="nil"/>
              <w:right w:val="nil"/>
            </w:tcBorders>
            <w:shd w:val="clear" w:color="FFFFFF" w:fill="FFFFFF"/>
            <w:noWrap/>
            <w:vAlign w:val="bottom"/>
            <w:hideMark/>
          </w:tcPr>
          <w:p w14:paraId="6188FE3E"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275" w:type="dxa"/>
            <w:tcBorders>
              <w:top w:val="nil"/>
              <w:left w:val="nil"/>
              <w:bottom w:val="nil"/>
              <w:right w:val="nil"/>
            </w:tcBorders>
            <w:shd w:val="clear" w:color="FFFFFF" w:fill="FFFFFF"/>
            <w:noWrap/>
            <w:vAlign w:val="bottom"/>
            <w:hideMark/>
          </w:tcPr>
          <w:p w14:paraId="5F8E88EE"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(75,234)</w:t>
            </w:r>
          </w:p>
        </w:tc>
        <w:tc>
          <w:tcPr>
            <w:tcW w:w="1134" w:type="dxa"/>
            <w:tcBorders>
              <w:top w:val="nil"/>
              <w:left w:val="nil"/>
              <w:bottom w:val="nil"/>
              <w:right w:val="nil"/>
            </w:tcBorders>
            <w:shd w:val="clear" w:color="FFFFFF" w:fill="FFFFFF"/>
            <w:noWrap/>
            <w:vAlign w:val="bottom"/>
            <w:hideMark/>
          </w:tcPr>
          <w:p w14:paraId="7A280EB0"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878" w:type="dxa"/>
            <w:tcBorders>
              <w:top w:val="nil"/>
              <w:left w:val="nil"/>
              <w:bottom w:val="nil"/>
              <w:right w:val="nil"/>
            </w:tcBorders>
            <w:shd w:val="clear" w:color="FFFFFF" w:fill="FFFFFF"/>
            <w:noWrap/>
            <w:vAlign w:val="bottom"/>
            <w:hideMark/>
          </w:tcPr>
          <w:p w14:paraId="6DC87C48" w14:textId="77777777" w:rsidR="00AB6753" w:rsidRPr="00AE3CFE" w:rsidRDefault="00AB6753" w:rsidP="002D1EA4">
            <w:pPr>
              <w:spacing w:after="0" w:line="240" w:lineRule="auto"/>
              <w:jc w:val="right"/>
              <w:rPr>
                <w:rFonts w:cs="Arial"/>
                <w:sz w:val="16"/>
                <w:szCs w:val="16"/>
              </w:rPr>
            </w:pPr>
            <w:r w:rsidRPr="00AE3CFE">
              <w:rPr>
                <w:rFonts w:cs="Arial"/>
                <w:sz w:val="16"/>
                <w:szCs w:val="16"/>
              </w:rPr>
              <w:t xml:space="preserve"> -</w:t>
            </w:r>
          </w:p>
        </w:tc>
      </w:tr>
      <w:tr w:rsidR="00AB6753" w:rsidRPr="00AE3CFE" w14:paraId="1F357991" w14:textId="77777777" w:rsidTr="002D1EA4">
        <w:trPr>
          <w:trHeight w:val="227"/>
        </w:trPr>
        <w:tc>
          <w:tcPr>
            <w:tcW w:w="2592" w:type="dxa"/>
            <w:tcBorders>
              <w:top w:val="nil"/>
              <w:left w:val="nil"/>
              <w:bottom w:val="nil"/>
              <w:right w:val="nil"/>
            </w:tcBorders>
            <w:shd w:val="clear" w:color="FFFFFF" w:fill="FFFFFF"/>
            <w:noWrap/>
            <w:vAlign w:val="bottom"/>
            <w:hideMark/>
          </w:tcPr>
          <w:p w14:paraId="32DEAE1F" w14:textId="77777777" w:rsidR="00AB6753" w:rsidRPr="00AE3CFE" w:rsidRDefault="00AB6753" w:rsidP="002D1EA4">
            <w:pPr>
              <w:spacing w:after="0" w:line="240" w:lineRule="auto"/>
              <w:ind w:leftChars="100" w:left="220"/>
              <w:rPr>
                <w:rFonts w:cs="Arial"/>
                <w:sz w:val="16"/>
                <w:szCs w:val="16"/>
              </w:rPr>
            </w:pPr>
            <w:r w:rsidRPr="00AE3CFE">
              <w:rPr>
                <w:rFonts w:cs="Arial"/>
                <w:sz w:val="16"/>
                <w:szCs w:val="16"/>
              </w:rPr>
              <w:t>Prepayments</w:t>
            </w:r>
          </w:p>
        </w:tc>
        <w:tc>
          <w:tcPr>
            <w:tcW w:w="2114" w:type="dxa"/>
            <w:tcBorders>
              <w:top w:val="nil"/>
              <w:left w:val="nil"/>
              <w:bottom w:val="nil"/>
              <w:right w:val="nil"/>
            </w:tcBorders>
            <w:shd w:val="clear" w:color="FFFFFF" w:fill="FFFFFF"/>
            <w:noWrap/>
            <w:vAlign w:val="bottom"/>
            <w:hideMark/>
          </w:tcPr>
          <w:p w14:paraId="23CAA4B2"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418" w:type="dxa"/>
            <w:tcBorders>
              <w:top w:val="nil"/>
              <w:left w:val="nil"/>
              <w:bottom w:val="nil"/>
              <w:right w:val="nil"/>
            </w:tcBorders>
            <w:shd w:val="clear" w:color="FFFFFF" w:fill="FFFFFF"/>
            <w:noWrap/>
            <w:vAlign w:val="bottom"/>
            <w:hideMark/>
          </w:tcPr>
          <w:p w14:paraId="301CF471"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275" w:type="dxa"/>
            <w:tcBorders>
              <w:top w:val="nil"/>
              <w:left w:val="nil"/>
              <w:bottom w:val="nil"/>
              <w:right w:val="nil"/>
            </w:tcBorders>
            <w:shd w:val="clear" w:color="FFFFFF" w:fill="FFFFFF"/>
            <w:noWrap/>
            <w:vAlign w:val="bottom"/>
            <w:hideMark/>
          </w:tcPr>
          <w:p w14:paraId="61DA5A3B"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(11,343)</w:t>
            </w:r>
          </w:p>
        </w:tc>
        <w:tc>
          <w:tcPr>
            <w:tcW w:w="1134" w:type="dxa"/>
            <w:tcBorders>
              <w:top w:val="nil"/>
              <w:left w:val="nil"/>
              <w:bottom w:val="nil"/>
              <w:right w:val="nil"/>
            </w:tcBorders>
            <w:shd w:val="clear" w:color="FFFFFF" w:fill="FFFFFF"/>
            <w:noWrap/>
            <w:vAlign w:val="bottom"/>
            <w:hideMark/>
          </w:tcPr>
          <w:p w14:paraId="10C478B5"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878" w:type="dxa"/>
            <w:tcBorders>
              <w:top w:val="nil"/>
              <w:left w:val="nil"/>
              <w:bottom w:val="nil"/>
              <w:right w:val="nil"/>
            </w:tcBorders>
            <w:shd w:val="clear" w:color="FFFFFF" w:fill="FFFFFF"/>
            <w:noWrap/>
            <w:vAlign w:val="bottom"/>
            <w:hideMark/>
          </w:tcPr>
          <w:p w14:paraId="5C57611D" w14:textId="77777777" w:rsidR="00AB6753" w:rsidRPr="00AE3CFE" w:rsidRDefault="00AB6753" w:rsidP="002D1EA4">
            <w:pPr>
              <w:spacing w:after="0" w:line="240" w:lineRule="auto"/>
              <w:jc w:val="right"/>
              <w:rPr>
                <w:rFonts w:cs="Arial"/>
                <w:sz w:val="16"/>
                <w:szCs w:val="16"/>
              </w:rPr>
            </w:pPr>
            <w:r w:rsidRPr="00AE3CFE">
              <w:rPr>
                <w:rFonts w:cs="Arial"/>
                <w:sz w:val="16"/>
                <w:szCs w:val="16"/>
              </w:rPr>
              <w:t>(109)</w:t>
            </w:r>
          </w:p>
        </w:tc>
      </w:tr>
      <w:tr w:rsidR="00AB6753" w:rsidRPr="00AE3CFE" w14:paraId="5704CDD2" w14:textId="77777777" w:rsidTr="002D1EA4">
        <w:trPr>
          <w:trHeight w:val="227"/>
        </w:trPr>
        <w:tc>
          <w:tcPr>
            <w:tcW w:w="2592" w:type="dxa"/>
            <w:tcBorders>
              <w:top w:val="single" w:sz="4" w:space="0" w:color="auto"/>
              <w:left w:val="nil"/>
              <w:bottom w:val="single" w:sz="4" w:space="0" w:color="auto"/>
              <w:right w:val="nil"/>
            </w:tcBorders>
            <w:shd w:val="clear" w:color="FFFFFF" w:fill="FFFFFF"/>
            <w:vAlign w:val="bottom"/>
            <w:hideMark/>
          </w:tcPr>
          <w:p w14:paraId="618575F5" w14:textId="77777777" w:rsidR="00AB6753" w:rsidRPr="00AE3CFE" w:rsidRDefault="00AB6753" w:rsidP="002D1EA4">
            <w:pPr>
              <w:spacing w:after="0" w:line="240" w:lineRule="auto"/>
              <w:rPr>
                <w:rFonts w:cs="Arial"/>
                <w:b/>
                <w:bCs/>
                <w:sz w:val="16"/>
                <w:szCs w:val="16"/>
              </w:rPr>
            </w:pPr>
            <w:r w:rsidRPr="00AE3CFE">
              <w:rPr>
                <w:rFonts w:cs="Arial"/>
                <w:b/>
                <w:bCs/>
                <w:sz w:val="16"/>
                <w:szCs w:val="16"/>
              </w:rPr>
              <w:t>Total assets relinquished</w:t>
            </w:r>
          </w:p>
        </w:tc>
        <w:tc>
          <w:tcPr>
            <w:tcW w:w="2114" w:type="dxa"/>
            <w:tcBorders>
              <w:top w:val="single" w:sz="4" w:space="0" w:color="auto"/>
              <w:left w:val="nil"/>
              <w:bottom w:val="single" w:sz="4" w:space="0" w:color="auto"/>
              <w:right w:val="nil"/>
            </w:tcBorders>
            <w:shd w:val="clear" w:color="FFFFFF" w:fill="FFFFFF"/>
            <w:noWrap/>
            <w:vAlign w:val="bottom"/>
            <w:hideMark/>
          </w:tcPr>
          <w:p w14:paraId="580B2061"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(35,278)</w:t>
            </w:r>
          </w:p>
        </w:tc>
        <w:tc>
          <w:tcPr>
            <w:tcW w:w="1418" w:type="dxa"/>
            <w:tcBorders>
              <w:top w:val="single" w:sz="4" w:space="0" w:color="auto"/>
              <w:left w:val="nil"/>
              <w:bottom w:val="single" w:sz="4" w:space="0" w:color="auto"/>
              <w:right w:val="nil"/>
            </w:tcBorders>
            <w:shd w:val="clear" w:color="FFFFFF" w:fill="FFFFFF"/>
            <w:noWrap/>
            <w:vAlign w:val="bottom"/>
            <w:hideMark/>
          </w:tcPr>
          <w:p w14:paraId="3DE6040D"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(3,578)</w:t>
            </w:r>
          </w:p>
        </w:tc>
        <w:tc>
          <w:tcPr>
            <w:tcW w:w="1275" w:type="dxa"/>
            <w:tcBorders>
              <w:top w:val="single" w:sz="4" w:space="0" w:color="auto"/>
              <w:left w:val="nil"/>
              <w:bottom w:val="single" w:sz="4" w:space="0" w:color="auto"/>
              <w:right w:val="nil"/>
            </w:tcBorders>
            <w:shd w:val="clear" w:color="FFFFFF" w:fill="FFFFFF"/>
            <w:noWrap/>
            <w:vAlign w:val="bottom"/>
            <w:hideMark/>
          </w:tcPr>
          <w:p w14:paraId="3C364642"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(127,077)</w:t>
            </w:r>
          </w:p>
        </w:tc>
        <w:tc>
          <w:tcPr>
            <w:tcW w:w="1134" w:type="dxa"/>
            <w:tcBorders>
              <w:top w:val="single" w:sz="4" w:space="0" w:color="auto"/>
              <w:left w:val="nil"/>
              <w:bottom w:val="single" w:sz="4" w:space="0" w:color="auto"/>
              <w:right w:val="nil"/>
            </w:tcBorders>
            <w:shd w:val="clear" w:color="FFFFFF" w:fill="FFFFFF"/>
            <w:noWrap/>
            <w:vAlign w:val="bottom"/>
            <w:hideMark/>
          </w:tcPr>
          <w:p w14:paraId="09321C29"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w:t>
            </w:r>
          </w:p>
        </w:tc>
        <w:tc>
          <w:tcPr>
            <w:tcW w:w="878" w:type="dxa"/>
            <w:tcBorders>
              <w:top w:val="single" w:sz="4" w:space="0" w:color="auto"/>
              <w:left w:val="nil"/>
              <w:bottom w:val="single" w:sz="4" w:space="0" w:color="auto"/>
              <w:right w:val="nil"/>
            </w:tcBorders>
            <w:shd w:val="clear" w:color="FFFFFF" w:fill="FFFFFF"/>
            <w:noWrap/>
            <w:vAlign w:val="bottom"/>
            <w:hideMark/>
          </w:tcPr>
          <w:p w14:paraId="626EFDA0" w14:textId="77777777" w:rsidR="00AB6753" w:rsidRPr="00AE3CFE" w:rsidRDefault="00AB6753" w:rsidP="002D1EA4">
            <w:pPr>
              <w:spacing w:after="0" w:line="240" w:lineRule="auto"/>
              <w:jc w:val="right"/>
              <w:rPr>
                <w:rFonts w:cs="Arial"/>
                <w:sz w:val="16"/>
                <w:szCs w:val="16"/>
              </w:rPr>
            </w:pPr>
            <w:r w:rsidRPr="00AE3CFE">
              <w:rPr>
                <w:rFonts w:cs="Arial"/>
                <w:sz w:val="16"/>
                <w:szCs w:val="16"/>
              </w:rPr>
              <w:t>(9,128)</w:t>
            </w:r>
          </w:p>
        </w:tc>
      </w:tr>
      <w:tr w:rsidR="00AB6753" w:rsidRPr="00AE3CFE" w14:paraId="60B964E2" w14:textId="77777777" w:rsidTr="002D1EA4">
        <w:trPr>
          <w:trHeight w:val="227"/>
        </w:trPr>
        <w:tc>
          <w:tcPr>
            <w:tcW w:w="2592" w:type="dxa"/>
            <w:tcBorders>
              <w:top w:val="nil"/>
              <w:left w:val="nil"/>
              <w:bottom w:val="nil"/>
              <w:right w:val="nil"/>
            </w:tcBorders>
            <w:shd w:val="clear" w:color="FFFFFF" w:fill="FFFFFF"/>
            <w:vAlign w:val="bottom"/>
            <w:hideMark/>
          </w:tcPr>
          <w:p w14:paraId="6E58E44D" w14:textId="77777777" w:rsidR="00AB6753" w:rsidRPr="00AE3CFE" w:rsidRDefault="00AB6753" w:rsidP="002D1EA4">
            <w:pPr>
              <w:spacing w:after="0" w:line="240" w:lineRule="auto"/>
              <w:rPr>
                <w:rFonts w:cs="Arial"/>
                <w:b/>
                <w:bCs/>
                <w:sz w:val="16"/>
                <w:szCs w:val="16"/>
              </w:rPr>
            </w:pPr>
            <w:r w:rsidRPr="00AE3CFE">
              <w:rPr>
                <w:rFonts w:cs="Arial"/>
                <w:b/>
                <w:bCs/>
                <w:sz w:val="16"/>
                <w:szCs w:val="16"/>
              </w:rPr>
              <w:t>Liabilities relinquished</w:t>
            </w:r>
          </w:p>
        </w:tc>
        <w:tc>
          <w:tcPr>
            <w:tcW w:w="2114" w:type="dxa"/>
            <w:tcBorders>
              <w:top w:val="nil"/>
              <w:left w:val="nil"/>
              <w:bottom w:val="nil"/>
              <w:right w:val="nil"/>
            </w:tcBorders>
            <w:shd w:val="clear" w:color="FFFFFF" w:fill="FFFFFF"/>
            <w:vAlign w:val="bottom"/>
            <w:hideMark/>
          </w:tcPr>
          <w:p w14:paraId="633B5734"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418" w:type="dxa"/>
            <w:tcBorders>
              <w:top w:val="nil"/>
              <w:left w:val="nil"/>
              <w:bottom w:val="nil"/>
              <w:right w:val="nil"/>
            </w:tcBorders>
            <w:shd w:val="clear" w:color="FFFFFF" w:fill="FFFFFF"/>
            <w:vAlign w:val="bottom"/>
            <w:hideMark/>
          </w:tcPr>
          <w:p w14:paraId="768D6232"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275" w:type="dxa"/>
            <w:tcBorders>
              <w:top w:val="nil"/>
              <w:left w:val="nil"/>
              <w:bottom w:val="nil"/>
              <w:right w:val="nil"/>
            </w:tcBorders>
            <w:shd w:val="clear" w:color="FFFFFF" w:fill="FFFFFF"/>
            <w:vAlign w:val="bottom"/>
            <w:hideMark/>
          </w:tcPr>
          <w:p w14:paraId="28FCFF1E"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1134" w:type="dxa"/>
            <w:tcBorders>
              <w:top w:val="nil"/>
              <w:left w:val="nil"/>
              <w:bottom w:val="nil"/>
              <w:right w:val="nil"/>
            </w:tcBorders>
            <w:shd w:val="clear" w:color="FFFFFF" w:fill="FFFFFF"/>
            <w:vAlign w:val="bottom"/>
            <w:hideMark/>
          </w:tcPr>
          <w:p w14:paraId="0CD3EB8E" w14:textId="77777777" w:rsidR="00AB6753" w:rsidRPr="00AE3CFE" w:rsidRDefault="00AB6753" w:rsidP="002D1EA4">
            <w:pPr>
              <w:spacing w:after="0" w:line="240" w:lineRule="auto"/>
              <w:rPr>
                <w:rFonts w:cs="Arial"/>
                <w:b/>
                <w:bCs/>
                <w:sz w:val="16"/>
                <w:szCs w:val="16"/>
              </w:rPr>
            </w:pPr>
            <w:r w:rsidRPr="00AE3CFE">
              <w:rPr>
                <w:rFonts w:cs="Arial"/>
                <w:b/>
                <w:bCs/>
                <w:sz w:val="16"/>
                <w:szCs w:val="16"/>
              </w:rPr>
              <w:t> </w:t>
            </w:r>
          </w:p>
        </w:tc>
        <w:tc>
          <w:tcPr>
            <w:tcW w:w="878" w:type="dxa"/>
            <w:tcBorders>
              <w:top w:val="nil"/>
              <w:left w:val="nil"/>
              <w:bottom w:val="nil"/>
              <w:right w:val="nil"/>
            </w:tcBorders>
            <w:shd w:val="clear" w:color="FFFFFF" w:fill="FFFFFF"/>
            <w:vAlign w:val="bottom"/>
            <w:hideMark/>
          </w:tcPr>
          <w:p w14:paraId="39006F44" w14:textId="77777777" w:rsidR="00AB6753" w:rsidRPr="00AE3CFE" w:rsidRDefault="00AB6753" w:rsidP="002D1EA4">
            <w:pPr>
              <w:spacing w:after="0" w:line="240" w:lineRule="auto"/>
              <w:rPr>
                <w:rFonts w:cs="Arial"/>
                <w:sz w:val="16"/>
                <w:szCs w:val="16"/>
              </w:rPr>
            </w:pPr>
            <w:r w:rsidRPr="00AE3CFE">
              <w:rPr>
                <w:rFonts w:cs="Arial"/>
                <w:sz w:val="16"/>
                <w:szCs w:val="16"/>
              </w:rPr>
              <w:t> </w:t>
            </w:r>
          </w:p>
        </w:tc>
      </w:tr>
      <w:tr w:rsidR="00AB6753" w:rsidRPr="00AE3CFE" w14:paraId="2FC95B2A" w14:textId="77777777" w:rsidTr="002D1EA4">
        <w:trPr>
          <w:trHeight w:val="227"/>
        </w:trPr>
        <w:tc>
          <w:tcPr>
            <w:tcW w:w="2592" w:type="dxa"/>
            <w:tcBorders>
              <w:top w:val="nil"/>
              <w:left w:val="nil"/>
              <w:bottom w:val="nil"/>
              <w:right w:val="nil"/>
            </w:tcBorders>
            <w:shd w:val="clear" w:color="FFFFFF" w:fill="FFFFFF"/>
            <w:vAlign w:val="bottom"/>
            <w:hideMark/>
          </w:tcPr>
          <w:p w14:paraId="4360227E" w14:textId="77777777" w:rsidR="00AB6753" w:rsidRPr="00AE3CFE" w:rsidRDefault="00AB6753" w:rsidP="002D1EA4">
            <w:pPr>
              <w:spacing w:after="0" w:line="240" w:lineRule="auto"/>
              <w:ind w:leftChars="100" w:left="220"/>
              <w:rPr>
                <w:rFonts w:cs="Arial"/>
                <w:sz w:val="16"/>
                <w:szCs w:val="16"/>
              </w:rPr>
            </w:pPr>
            <w:r w:rsidRPr="00AE3CFE">
              <w:rPr>
                <w:rFonts w:cs="Arial"/>
                <w:sz w:val="16"/>
                <w:szCs w:val="16"/>
              </w:rPr>
              <w:t>Suppliers</w:t>
            </w:r>
          </w:p>
        </w:tc>
        <w:tc>
          <w:tcPr>
            <w:tcW w:w="2114" w:type="dxa"/>
            <w:tcBorders>
              <w:top w:val="nil"/>
              <w:left w:val="nil"/>
              <w:bottom w:val="nil"/>
              <w:right w:val="nil"/>
            </w:tcBorders>
            <w:shd w:val="clear" w:color="FFFFFF" w:fill="FFFFFF"/>
            <w:noWrap/>
            <w:vAlign w:val="bottom"/>
            <w:hideMark/>
          </w:tcPr>
          <w:p w14:paraId="5A18274B"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418" w:type="dxa"/>
            <w:tcBorders>
              <w:top w:val="nil"/>
              <w:left w:val="nil"/>
              <w:bottom w:val="nil"/>
              <w:right w:val="nil"/>
            </w:tcBorders>
            <w:shd w:val="clear" w:color="FFFFFF" w:fill="FFFFFF"/>
            <w:noWrap/>
            <w:vAlign w:val="bottom"/>
            <w:hideMark/>
          </w:tcPr>
          <w:p w14:paraId="6BA85B2F"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468 </w:t>
            </w:r>
          </w:p>
        </w:tc>
        <w:tc>
          <w:tcPr>
            <w:tcW w:w="1275" w:type="dxa"/>
            <w:tcBorders>
              <w:top w:val="nil"/>
              <w:left w:val="nil"/>
              <w:bottom w:val="nil"/>
              <w:right w:val="nil"/>
            </w:tcBorders>
            <w:shd w:val="clear" w:color="FFFFFF" w:fill="FFFFFF"/>
            <w:noWrap/>
            <w:vAlign w:val="bottom"/>
            <w:hideMark/>
          </w:tcPr>
          <w:p w14:paraId="34BF0C57"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134" w:type="dxa"/>
            <w:tcBorders>
              <w:top w:val="nil"/>
              <w:left w:val="nil"/>
              <w:bottom w:val="nil"/>
              <w:right w:val="nil"/>
            </w:tcBorders>
            <w:shd w:val="clear" w:color="FFFFFF" w:fill="FFFFFF"/>
            <w:noWrap/>
            <w:vAlign w:val="bottom"/>
            <w:hideMark/>
          </w:tcPr>
          <w:p w14:paraId="20493F99"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878" w:type="dxa"/>
            <w:tcBorders>
              <w:top w:val="nil"/>
              <w:left w:val="nil"/>
              <w:bottom w:val="nil"/>
              <w:right w:val="nil"/>
            </w:tcBorders>
            <w:shd w:val="clear" w:color="FFFFFF" w:fill="FFFFFF"/>
            <w:noWrap/>
            <w:vAlign w:val="bottom"/>
            <w:hideMark/>
          </w:tcPr>
          <w:p w14:paraId="351989D4" w14:textId="77777777" w:rsidR="00AB6753" w:rsidRPr="00AE3CFE" w:rsidRDefault="00AB6753" w:rsidP="002D1EA4">
            <w:pPr>
              <w:spacing w:after="0" w:line="240" w:lineRule="auto"/>
              <w:jc w:val="right"/>
              <w:rPr>
                <w:rFonts w:cs="Arial"/>
                <w:sz w:val="16"/>
                <w:szCs w:val="16"/>
              </w:rPr>
            </w:pPr>
            <w:r w:rsidRPr="00AE3CFE">
              <w:rPr>
                <w:rFonts w:cs="Arial"/>
                <w:sz w:val="16"/>
                <w:szCs w:val="16"/>
              </w:rPr>
              <w:t xml:space="preserve">709 </w:t>
            </w:r>
          </w:p>
        </w:tc>
      </w:tr>
      <w:tr w:rsidR="00AB6753" w:rsidRPr="00AE3CFE" w14:paraId="68AB984A" w14:textId="77777777" w:rsidTr="002D1EA4">
        <w:trPr>
          <w:trHeight w:val="227"/>
        </w:trPr>
        <w:tc>
          <w:tcPr>
            <w:tcW w:w="2592" w:type="dxa"/>
            <w:tcBorders>
              <w:top w:val="nil"/>
              <w:left w:val="nil"/>
              <w:bottom w:val="nil"/>
              <w:right w:val="nil"/>
            </w:tcBorders>
            <w:shd w:val="clear" w:color="FFFFFF" w:fill="FFFFFF"/>
            <w:noWrap/>
            <w:vAlign w:val="bottom"/>
            <w:hideMark/>
          </w:tcPr>
          <w:p w14:paraId="5ABB293B" w14:textId="77777777" w:rsidR="00AB6753" w:rsidRPr="00AE3CFE" w:rsidRDefault="00AB6753" w:rsidP="002D1EA4">
            <w:pPr>
              <w:spacing w:after="0" w:line="240" w:lineRule="auto"/>
              <w:ind w:leftChars="100" w:left="220"/>
              <w:rPr>
                <w:rFonts w:cs="Arial"/>
                <w:sz w:val="16"/>
                <w:szCs w:val="16"/>
              </w:rPr>
            </w:pPr>
            <w:r w:rsidRPr="00AE3CFE">
              <w:rPr>
                <w:rFonts w:cs="Arial"/>
                <w:sz w:val="16"/>
                <w:szCs w:val="16"/>
              </w:rPr>
              <w:t>Other payables</w:t>
            </w:r>
          </w:p>
        </w:tc>
        <w:tc>
          <w:tcPr>
            <w:tcW w:w="2114" w:type="dxa"/>
            <w:tcBorders>
              <w:top w:val="nil"/>
              <w:left w:val="nil"/>
              <w:bottom w:val="nil"/>
              <w:right w:val="nil"/>
            </w:tcBorders>
            <w:shd w:val="clear" w:color="FFFFFF" w:fill="FFFFFF"/>
            <w:noWrap/>
            <w:vAlign w:val="bottom"/>
            <w:hideMark/>
          </w:tcPr>
          <w:p w14:paraId="5929A781"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418" w:type="dxa"/>
            <w:tcBorders>
              <w:top w:val="nil"/>
              <w:left w:val="nil"/>
              <w:bottom w:val="nil"/>
              <w:right w:val="nil"/>
            </w:tcBorders>
            <w:shd w:val="clear" w:color="FFFFFF" w:fill="FFFFFF"/>
            <w:noWrap/>
            <w:vAlign w:val="bottom"/>
            <w:hideMark/>
          </w:tcPr>
          <w:p w14:paraId="2E0BEF5C"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275" w:type="dxa"/>
            <w:tcBorders>
              <w:top w:val="nil"/>
              <w:left w:val="nil"/>
              <w:bottom w:val="nil"/>
              <w:right w:val="nil"/>
            </w:tcBorders>
            <w:shd w:val="clear" w:color="FFFFFF" w:fill="FFFFFF"/>
            <w:noWrap/>
            <w:vAlign w:val="bottom"/>
            <w:hideMark/>
          </w:tcPr>
          <w:p w14:paraId="1AEA5AB1"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134" w:type="dxa"/>
            <w:tcBorders>
              <w:top w:val="nil"/>
              <w:left w:val="nil"/>
              <w:bottom w:val="nil"/>
              <w:right w:val="nil"/>
            </w:tcBorders>
            <w:shd w:val="clear" w:color="FFFFFF" w:fill="FFFFFF"/>
            <w:noWrap/>
            <w:vAlign w:val="bottom"/>
            <w:hideMark/>
          </w:tcPr>
          <w:p w14:paraId="2BA5E99B"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878" w:type="dxa"/>
            <w:tcBorders>
              <w:top w:val="nil"/>
              <w:left w:val="nil"/>
              <w:bottom w:val="nil"/>
              <w:right w:val="nil"/>
            </w:tcBorders>
            <w:shd w:val="clear" w:color="FFFFFF" w:fill="FFFFFF"/>
            <w:noWrap/>
            <w:vAlign w:val="bottom"/>
            <w:hideMark/>
          </w:tcPr>
          <w:p w14:paraId="16FFA6B8" w14:textId="77777777" w:rsidR="00AB6753" w:rsidRPr="00AE3CFE" w:rsidRDefault="00AB6753" w:rsidP="002D1EA4">
            <w:pPr>
              <w:spacing w:after="0" w:line="240" w:lineRule="auto"/>
              <w:jc w:val="right"/>
              <w:rPr>
                <w:rFonts w:cs="Arial"/>
                <w:sz w:val="16"/>
                <w:szCs w:val="16"/>
              </w:rPr>
            </w:pPr>
            <w:r w:rsidRPr="00AE3CFE">
              <w:rPr>
                <w:rFonts w:cs="Arial"/>
                <w:sz w:val="16"/>
                <w:szCs w:val="16"/>
              </w:rPr>
              <w:t xml:space="preserve">1,778 </w:t>
            </w:r>
          </w:p>
        </w:tc>
      </w:tr>
      <w:tr w:rsidR="00AB6753" w:rsidRPr="00AE3CFE" w14:paraId="3807730F" w14:textId="77777777" w:rsidTr="002D1EA4">
        <w:trPr>
          <w:trHeight w:val="227"/>
        </w:trPr>
        <w:tc>
          <w:tcPr>
            <w:tcW w:w="2592" w:type="dxa"/>
            <w:tcBorders>
              <w:top w:val="nil"/>
              <w:left w:val="nil"/>
              <w:bottom w:val="nil"/>
              <w:right w:val="nil"/>
            </w:tcBorders>
            <w:shd w:val="clear" w:color="FFFFFF" w:fill="FFFFFF"/>
            <w:noWrap/>
            <w:vAlign w:val="bottom"/>
            <w:hideMark/>
          </w:tcPr>
          <w:p w14:paraId="19FE389C" w14:textId="77777777" w:rsidR="00AB6753" w:rsidRPr="00AE3CFE" w:rsidRDefault="00AB6753" w:rsidP="002D1EA4">
            <w:pPr>
              <w:spacing w:after="0" w:line="240" w:lineRule="auto"/>
              <w:ind w:leftChars="100" w:left="220"/>
              <w:rPr>
                <w:rFonts w:cs="Arial"/>
                <w:sz w:val="16"/>
                <w:szCs w:val="16"/>
              </w:rPr>
            </w:pPr>
            <w:r w:rsidRPr="00AE3CFE">
              <w:rPr>
                <w:rFonts w:cs="Arial"/>
                <w:sz w:val="16"/>
                <w:szCs w:val="16"/>
              </w:rPr>
              <w:t>Employee provisions</w:t>
            </w:r>
          </w:p>
        </w:tc>
        <w:tc>
          <w:tcPr>
            <w:tcW w:w="2114" w:type="dxa"/>
            <w:tcBorders>
              <w:top w:val="nil"/>
              <w:left w:val="nil"/>
              <w:bottom w:val="nil"/>
              <w:right w:val="nil"/>
            </w:tcBorders>
            <w:shd w:val="clear" w:color="FFFFFF" w:fill="FFFFFF"/>
            <w:noWrap/>
            <w:vAlign w:val="bottom"/>
            <w:hideMark/>
          </w:tcPr>
          <w:p w14:paraId="48CE7776"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418" w:type="dxa"/>
            <w:tcBorders>
              <w:top w:val="nil"/>
              <w:left w:val="nil"/>
              <w:bottom w:val="nil"/>
              <w:right w:val="nil"/>
            </w:tcBorders>
            <w:shd w:val="clear" w:color="FFFFFF" w:fill="FFFFFF"/>
            <w:noWrap/>
            <w:vAlign w:val="bottom"/>
            <w:hideMark/>
          </w:tcPr>
          <w:p w14:paraId="33C9CBF3"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3,204 </w:t>
            </w:r>
          </w:p>
        </w:tc>
        <w:tc>
          <w:tcPr>
            <w:tcW w:w="1275" w:type="dxa"/>
            <w:tcBorders>
              <w:top w:val="nil"/>
              <w:left w:val="nil"/>
              <w:bottom w:val="nil"/>
              <w:right w:val="nil"/>
            </w:tcBorders>
            <w:shd w:val="clear" w:color="FFFFFF" w:fill="FFFFFF"/>
            <w:noWrap/>
            <w:vAlign w:val="bottom"/>
            <w:hideMark/>
          </w:tcPr>
          <w:p w14:paraId="5FA1FA33"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8,367 </w:t>
            </w:r>
          </w:p>
        </w:tc>
        <w:tc>
          <w:tcPr>
            <w:tcW w:w="1134" w:type="dxa"/>
            <w:tcBorders>
              <w:top w:val="nil"/>
              <w:left w:val="nil"/>
              <w:bottom w:val="nil"/>
              <w:right w:val="nil"/>
            </w:tcBorders>
            <w:shd w:val="clear" w:color="FFFFFF" w:fill="FFFFFF"/>
            <w:noWrap/>
            <w:vAlign w:val="bottom"/>
            <w:hideMark/>
          </w:tcPr>
          <w:p w14:paraId="640856F5"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878" w:type="dxa"/>
            <w:tcBorders>
              <w:top w:val="nil"/>
              <w:left w:val="nil"/>
              <w:bottom w:val="nil"/>
              <w:right w:val="nil"/>
            </w:tcBorders>
            <w:shd w:val="clear" w:color="FFFFFF" w:fill="FFFFFF"/>
            <w:noWrap/>
            <w:vAlign w:val="bottom"/>
            <w:hideMark/>
          </w:tcPr>
          <w:p w14:paraId="2EFCEC71" w14:textId="77777777" w:rsidR="00AB6753" w:rsidRPr="00AE3CFE" w:rsidRDefault="00AB6753" w:rsidP="002D1EA4">
            <w:pPr>
              <w:spacing w:after="0" w:line="240" w:lineRule="auto"/>
              <w:jc w:val="right"/>
              <w:rPr>
                <w:rFonts w:cs="Arial"/>
                <w:sz w:val="16"/>
                <w:szCs w:val="16"/>
              </w:rPr>
            </w:pPr>
            <w:r w:rsidRPr="00AE3CFE">
              <w:rPr>
                <w:rFonts w:cs="Arial"/>
                <w:sz w:val="16"/>
                <w:szCs w:val="16"/>
              </w:rPr>
              <w:t xml:space="preserve">1,211 </w:t>
            </w:r>
          </w:p>
        </w:tc>
      </w:tr>
      <w:tr w:rsidR="00AB6753" w:rsidRPr="00AE3CFE" w14:paraId="66DCB6B4" w14:textId="77777777" w:rsidTr="002D1EA4">
        <w:trPr>
          <w:trHeight w:val="227"/>
        </w:trPr>
        <w:tc>
          <w:tcPr>
            <w:tcW w:w="2592" w:type="dxa"/>
            <w:tcBorders>
              <w:top w:val="nil"/>
              <w:left w:val="nil"/>
              <w:bottom w:val="nil"/>
              <w:right w:val="nil"/>
            </w:tcBorders>
            <w:shd w:val="clear" w:color="FFFFFF" w:fill="FFFFFF"/>
            <w:vAlign w:val="bottom"/>
            <w:hideMark/>
          </w:tcPr>
          <w:p w14:paraId="10D5CF48" w14:textId="77777777" w:rsidR="00AB6753" w:rsidRPr="00AE3CFE" w:rsidRDefault="00AB6753" w:rsidP="002D1EA4">
            <w:pPr>
              <w:spacing w:after="0" w:line="240" w:lineRule="auto"/>
              <w:ind w:leftChars="100" w:left="220"/>
              <w:rPr>
                <w:rFonts w:cs="Arial"/>
                <w:sz w:val="16"/>
                <w:szCs w:val="16"/>
              </w:rPr>
            </w:pPr>
            <w:r w:rsidRPr="00AE3CFE">
              <w:rPr>
                <w:rFonts w:cs="Arial"/>
                <w:sz w:val="16"/>
                <w:szCs w:val="16"/>
              </w:rPr>
              <w:t>Lease liabilities</w:t>
            </w:r>
          </w:p>
        </w:tc>
        <w:tc>
          <w:tcPr>
            <w:tcW w:w="2114" w:type="dxa"/>
            <w:tcBorders>
              <w:top w:val="nil"/>
              <w:left w:val="nil"/>
              <w:bottom w:val="nil"/>
              <w:right w:val="nil"/>
            </w:tcBorders>
            <w:shd w:val="clear" w:color="FFFFFF" w:fill="FFFFFF"/>
            <w:noWrap/>
            <w:vAlign w:val="bottom"/>
            <w:hideMark/>
          </w:tcPr>
          <w:p w14:paraId="757DC5E9"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418" w:type="dxa"/>
            <w:tcBorders>
              <w:top w:val="nil"/>
              <w:left w:val="nil"/>
              <w:bottom w:val="nil"/>
              <w:right w:val="nil"/>
            </w:tcBorders>
            <w:shd w:val="clear" w:color="FFFFFF" w:fill="FFFFFF"/>
            <w:noWrap/>
            <w:vAlign w:val="bottom"/>
            <w:hideMark/>
          </w:tcPr>
          <w:p w14:paraId="751E63CB"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275" w:type="dxa"/>
            <w:tcBorders>
              <w:top w:val="nil"/>
              <w:left w:val="nil"/>
              <w:bottom w:val="nil"/>
              <w:right w:val="nil"/>
            </w:tcBorders>
            <w:shd w:val="clear" w:color="FFFFFF" w:fill="FFFFFF"/>
            <w:noWrap/>
            <w:vAlign w:val="bottom"/>
            <w:hideMark/>
          </w:tcPr>
          <w:p w14:paraId="29E74F2B"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7,421 </w:t>
            </w:r>
          </w:p>
        </w:tc>
        <w:tc>
          <w:tcPr>
            <w:tcW w:w="1134" w:type="dxa"/>
            <w:tcBorders>
              <w:top w:val="nil"/>
              <w:left w:val="nil"/>
              <w:bottom w:val="nil"/>
              <w:right w:val="nil"/>
            </w:tcBorders>
            <w:shd w:val="clear" w:color="FFFFFF" w:fill="FFFFFF"/>
            <w:noWrap/>
            <w:vAlign w:val="bottom"/>
            <w:hideMark/>
          </w:tcPr>
          <w:p w14:paraId="29D4F82B"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878" w:type="dxa"/>
            <w:tcBorders>
              <w:top w:val="nil"/>
              <w:left w:val="nil"/>
              <w:bottom w:val="nil"/>
              <w:right w:val="nil"/>
            </w:tcBorders>
            <w:shd w:val="clear" w:color="FFFFFF" w:fill="FFFFFF"/>
            <w:noWrap/>
            <w:vAlign w:val="bottom"/>
            <w:hideMark/>
          </w:tcPr>
          <w:p w14:paraId="6A415166" w14:textId="77777777" w:rsidR="00AB6753" w:rsidRPr="00AE3CFE" w:rsidRDefault="00AB6753" w:rsidP="002D1EA4">
            <w:pPr>
              <w:spacing w:after="0" w:line="240" w:lineRule="auto"/>
              <w:jc w:val="right"/>
              <w:rPr>
                <w:rFonts w:cs="Arial"/>
                <w:sz w:val="16"/>
                <w:szCs w:val="16"/>
              </w:rPr>
            </w:pPr>
            <w:r w:rsidRPr="00AE3CFE">
              <w:rPr>
                <w:rFonts w:cs="Arial"/>
                <w:sz w:val="16"/>
                <w:szCs w:val="16"/>
              </w:rPr>
              <w:t xml:space="preserve"> -</w:t>
            </w:r>
          </w:p>
        </w:tc>
      </w:tr>
      <w:tr w:rsidR="00AB6753" w:rsidRPr="00AE3CFE" w14:paraId="5BA78C5C" w14:textId="77777777" w:rsidTr="002D1EA4">
        <w:trPr>
          <w:trHeight w:val="227"/>
        </w:trPr>
        <w:tc>
          <w:tcPr>
            <w:tcW w:w="2592" w:type="dxa"/>
            <w:tcBorders>
              <w:top w:val="nil"/>
              <w:left w:val="nil"/>
              <w:bottom w:val="nil"/>
              <w:right w:val="nil"/>
            </w:tcBorders>
            <w:shd w:val="clear" w:color="FFFFFF" w:fill="FFFFFF"/>
            <w:vAlign w:val="bottom"/>
            <w:hideMark/>
          </w:tcPr>
          <w:p w14:paraId="3C5A12DF" w14:textId="77777777" w:rsidR="00AB6753" w:rsidRPr="00AE3CFE" w:rsidRDefault="00AB6753" w:rsidP="002D1EA4">
            <w:pPr>
              <w:spacing w:after="0" w:line="240" w:lineRule="auto"/>
              <w:ind w:leftChars="100" w:left="220"/>
              <w:rPr>
                <w:rFonts w:cs="Arial"/>
                <w:sz w:val="16"/>
                <w:szCs w:val="16"/>
              </w:rPr>
            </w:pPr>
            <w:r w:rsidRPr="00AE3CFE">
              <w:rPr>
                <w:rFonts w:cs="Arial"/>
                <w:sz w:val="16"/>
                <w:szCs w:val="16"/>
              </w:rPr>
              <w:t>Revenue received in advance</w:t>
            </w:r>
          </w:p>
        </w:tc>
        <w:tc>
          <w:tcPr>
            <w:tcW w:w="2114" w:type="dxa"/>
            <w:tcBorders>
              <w:top w:val="nil"/>
              <w:left w:val="nil"/>
              <w:bottom w:val="nil"/>
              <w:right w:val="nil"/>
            </w:tcBorders>
            <w:shd w:val="clear" w:color="FFFFFF" w:fill="FFFFFF"/>
            <w:noWrap/>
            <w:vAlign w:val="bottom"/>
            <w:hideMark/>
          </w:tcPr>
          <w:p w14:paraId="6692DC09"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418" w:type="dxa"/>
            <w:tcBorders>
              <w:top w:val="nil"/>
              <w:left w:val="nil"/>
              <w:bottom w:val="nil"/>
              <w:right w:val="nil"/>
            </w:tcBorders>
            <w:shd w:val="clear" w:color="FFFFFF" w:fill="FFFFFF"/>
            <w:noWrap/>
            <w:vAlign w:val="bottom"/>
            <w:hideMark/>
          </w:tcPr>
          <w:p w14:paraId="2B103C1B"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275" w:type="dxa"/>
            <w:tcBorders>
              <w:top w:val="nil"/>
              <w:left w:val="nil"/>
              <w:bottom w:val="nil"/>
              <w:right w:val="nil"/>
            </w:tcBorders>
            <w:shd w:val="clear" w:color="FFFFFF" w:fill="FFFFFF"/>
            <w:noWrap/>
            <w:vAlign w:val="bottom"/>
            <w:hideMark/>
          </w:tcPr>
          <w:p w14:paraId="28DEB4CC"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3,722 </w:t>
            </w:r>
          </w:p>
        </w:tc>
        <w:tc>
          <w:tcPr>
            <w:tcW w:w="1134" w:type="dxa"/>
            <w:tcBorders>
              <w:top w:val="nil"/>
              <w:left w:val="nil"/>
              <w:bottom w:val="nil"/>
              <w:right w:val="nil"/>
            </w:tcBorders>
            <w:shd w:val="clear" w:color="FFFFFF" w:fill="FFFFFF"/>
            <w:noWrap/>
            <w:vAlign w:val="bottom"/>
            <w:hideMark/>
          </w:tcPr>
          <w:p w14:paraId="02CAB98D"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878" w:type="dxa"/>
            <w:tcBorders>
              <w:top w:val="nil"/>
              <w:left w:val="nil"/>
              <w:bottom w:val="nil"/>
              <w:right w:val="nil"/>
            </w:tcBorders>
            <w:shd w:val="clear" w:color="FFFFFF" w:fill="FFFFFF"/>
            <w:noWrap/>
            <w:vAlign w:val="bottom"/>
            <w:hideMark/>
          </w:tcPr>
          <w:p w14:paraId="363CF59E" w14:textId="77777777" w:rsidR="00AB6753" w:rsidRPr="00AE3CFE" w:rsidRDefault="00AB6753" w:rsidP="002D1EA4">
            <w:pPr>
              <w:spacing w:after="0" w:line="240" w:lineRule="auto"/>
              <w:jc w:val="right"/>
              <w:rPr>
                <w:rFonts w:cs="Arial"/>
                <w:sz w:val="16"/>
                <w:szCs w:val="16"/>
              </w:rPr>
            </w:pPr>
            <w:r w:rsidRPr="00AE3CFE">
              <w:rPr>
                <w:rFonts w:cs="Arial"/>
                <w:sz w:val="16"/>
                <w:szCs w:val="16"/>
              </w:rPr>
              <w:t xml:space="preserve"> -</w:t>
            </w:r>
          </w:p>
        </w:tc>
      </w:tr>
      <w:tr w:rsidR="00AB6753" w:rsidRPr="00AE3CFE" w14:paraId="2F79C39A" w14:textId="77777777" w:rsidTr="002D1EA4">
        <w:trPr>
          <w:trHeight w:val="227"/>
        </w:trPr>
        <w:tc>
          <w:tcPr>
            <w:tcW w:w="2592" w:type="dxa"/>
            <w:tcBorders>
              <w:top w:val="nil"/>
              <w:left w:val="nil"/>
              <w:bottom w:val="nil"/>
              <w:right w:val="nil"/>
            </w:tcBorders>
            <w:shd w:val="clear" w:color="FFFFFF" w:fill="FFFFFF"/>
            <w:vAlign w:val="bottom"/>
            <w:hideMark/>
          </w:tcPr>
          <w:p w14:paraId="45C08DB9" w14:textId="77777777" w:rsidR="00AB6753" w:rsidRPr="00AE3CFE" w:rsidRDefault="00AB6753" w:rsidP="002D1EA4">
            <w:pPr>
              <w:spacing w:after="0" w:line="240" w:lineRule="auto"/>
              <w:ind w:leftChars="100" w:left="220"/>
              <w:rPr>
                <w:rFonts w:cs="Arial"/>
                <w:sz w:val="16"/>
                <w:szCs w:val="16"/>
              </w:rPr>
            </w:pPr>
            <w:r w:rsidRPr="00AE3CFE">
              <w:rPr>
                <w:rFonts w:cs="Arial"/>
                <w:sz w:val="16"/>
                <w:szCs w:val="16"/>
              </w:rPr>
              <w:t>Other provisions</w:t>
            </w:r>
          </w:p>
        </w:tc>
        <w:tc>
          <w:tcPr>
            <w:tcW w:w="2114" w:type="dxa"/>
            <w:tcBorders>
              <w:top w:val="nil"/>
              <w:left w:val="nil"/>
              <w:bottom w:val="nil"/>
              <w:right w:val="nil"/>
            </w:tcBorders>
            <w:shd w:val="clear" w:color="FFFFFF" w:fill="FFFFFF"/>
            <w:noWrap/>
            <w:vAlign w:val="bottom"/>
            <w:hideMark/>
          </w:tcPr>
          <w:p w14:paraId="0709C60E"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418" w:type="dxa"/>
            <w:tcBorders>
              <w:top w:val="nil"/>
              <w:left w:val="nil"/>
              <w:bottom w:val="nil"/>
              <w:right w:val="nil"/>
            </w:tcBorders>
            <w:shd w:val="clear" w:color="FFFFFF" w:fill="FFFFFF"/>
            <w:noWrap/>
            <w:vAlign w:val="bottom"/>
            <w:hideMark/>
          </w:tcPr>
          <w:p w14:paraId="1CFFC461"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275" w:type="dxa"/>
            <w:tcBorders>
              <w:top w:val="nil"/>
              <w:left w:val="nil"/>
              <w:bottom w:val="nil"/>
              <w:right w:val="nil"/>
            </w:tcBorders>
            <w:shd w:val="clear" w:color="FFFFFF" w:fill="FFFFFF"/>
            <w:noWrap/>
            <w:vAlign w:val="bottom"/>
            <w:hideMark/>
          </w:tcPr>
          <w:p w14:paraId="1B1D870C"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1134" w:type="dxa"/>
            <w:tcBorders>
              <w:top w:val="nil"/>
              <w:left w:val="nil"/>
              <w:bottom w:val="nil"/>
              <w:right w:val="nil"/>
            </w:tcBorders>
            <w:shd w:val="clear" w:color="FFFFFF" w:fill="FFFFFF"/>
            <w:noWrap/>
            <w:vAlign w:val="bottom"/>
            <w:hideMark/>
          </w:tcPr>
          <w:p w14:paraId="56D2879D"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 xml:space="preserve"> -</w:t>
            </w:r>
          </w:p>
        </w:tc>
        <w:tc>
          <w:tcPr>
            <w:tcW w:w="878" w:type="dxa"/>
            <w:tcBorders>
              <w:top w:val="nil"/>
              <w:left w:val="nil"/>
              <w:bottom w:val="nil"/>
              <w:right w:val="nil"/>
            </w:tcBorders>
            <w:shd w:val="clear" w:color="FFFFFF" w:fill="FFFFFF"/>
            <w:noWrap/>
            <w:vAlign w:val="bottom"/>
            <w:hideMark/>
          </w:tcPr>
          <w:p w14:paraId="65A96AF9" w14:textId="77777777" w:rsidR="00AB6753" w:rsidRPr="00AE3CFE" w:rsidRDefault="00AB6753" w:rsidP="002D1EA4">
            <w:pPr>
              <w:spacing w:after="0" w:line="240" w:lineRule="auto"/>
              <w:jc w:val="right"/>
              <w:rPr>
                <w:rFonts w:cs="Arial"/>
                <w:sz w:val="16"/>
                <w:szCs w:val="16"/>
              </w:rPr>
            </w:pPr>
            <w:r w:rsidRPr="00AE3CFE">
              <w:rPr>
                <w:rFonts w:cs="Arial"/>
                <w:sz w:val="16"/>
                <w:szCs w:val="16"/>
              </w:rPr>
              <w:t xml:space="preserve">330 </w:t>
            </w:r>
          </w:p>
        </w:tc>
      </w:tr>
      <w:tr w:rsidR="00AB6753" w:rsidRPr="00AE3CFE" w14:paraId="506E26ED" w14:textId="77777777" w:rsidTr="002D1EA4">
        <w:trPr>
          <w:trHeight w:val="227"/>
        </w:trPr>
        <w:tc>
          <w:tcPr>
            <w:tcW w:w="2592" w:type="dxa"/>
            <w:tcBorders>
              <w:top w:val="single" w:sz="4" w:space="0" w:color="auto"/>
              <w:left w:val="nil"/>
              <w:bottom w:val="single" w:sz="4" w:space="0" w:color="auto"/>
              <w:right w:val="nil"/>
            </w:tcBorders>
            <w:shd w:val="clear" w:color="FFFFFF" w:fill="FFFFFF"/>
            <w:vAlign w:val="bottom"/>
            <w:hideMark/>
          </w:tcPr>
          <w:p w14:paraId="6D51A90F" w14:textId="77777777" w:rsidR="00AB6753" w:rsidRPr="00AE3CFE" w:rsidRDefault="00AB6753" w:rsidP="002D1EA4">
            <w:pPr>
              <w:spacing w:after="0" w:line="240" w:lineRule="auto"/>
              <w:rPr>
                <w:rFonts w:cs="Arial"/>
                <w:b/>
                <w:bCs/>
                <w:sz w:val="16"/>
                <w:szCs w:val="16"/>
              </w:rPr>
            </w:pPr>
            <w:r w:rsidRPr="00AE3CFE">
              <w:rPr>
                <w:rFonts w:cs="Arial"/>
                <w:b/>
                <w:bCs/>
                <w:sz w:val="16"/>
                <w:szCs w:val="16"/>
              </w:rPr>
              <w:t>Total liabilities relinquished</w:t>
            </w:r>
          </w:p>
        </w:tc>
        <w:tc>
          <w:tcPr>
            <w:tcW w:w="2114" w:type="dxa"/>
            <w:tcBorders>
              <w:top w:val="single" w:sz="4" w:space="0" w:color="auto"/>
              <w:left w:val="nil"/>
              <w:bottom w:val="single" w:sz="4" w:space="0" w:color="auto"/>
              <w:right w:val="nil"/>
            </w:tcBorders>
            <w:shd w:val="clear" w:color="FFFFFF" w:fill="FFFFFF"/>
            <w:noWrap/>
            <w:vAlign w:val="bottom"/>
            <w:hideMark/>
          </w:tcPr>
          <w:p w14:paraId="70CF948A"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w:t>
            </w:r>
          </w:p>
        </w:tc>
        <w:tc>
          <w:tcPr>
            <w:tcW w:w="1418" w:type="dxa"/>
            <w:tcBorders>
              <w:top w:val="single" w:sz="4" w:space="0" w:color="auto"/>
              <w:left w:val="nil"/>
              <w:bottom w:val="single" w:sz="4" w:space="0" w:color="auto"/>
              <w:right w:val="nil"/>
            </w:tcBorders>
            <w:shd w:val="clear" w:color="FFFFFF" w:fill="FFFFFF"/>
            <w:noWrap/>
            <w:vAlign w:val="bottom"/>
            <w:hideMark/>
          </w:tcPr>
          <w:p w14:paraId="66826825"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3,672</w:t>
            </w:r>
          </w:p>
        </w:tc>
        <w:tc>
          <w:tcPr>
            <w:tcW w:w="1275" w:type="dxa"/>
            <w:tcBorders>
              <w:top w:val="single" w:sz="4" w:space="0" w:color="auto"/>
              <w:left w:val="nil"/>
              <w:bottom w:val="single" w:sz="4" w:space="0" w:color="auto"/>
              <w:right w:val="nil"/>
            </w:tcBorders>
            <w:shd w:val="clear" w:color="FFFFFF" w:fill="FFFFFF"/>
            <w:noWrap/>
            <w:vAlign w:val="bottom"/>
            <w:hideMark/>
          </w:tcPr>
          <w:p w14:paraId="33E23094"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19,510</w:t>
            </w:r>
          </w:p>
        </w:tc>
        <w:tc>
          <w:tcPr>
            <w:tcW w:w="1134" w:type="dxa"/>
            <w:tcBorders>
              <w:top w:val="single" w:sz="4" w:space="0" w:color="auto"/>
              <w:left w:val="nil"/>
              <w:bottom w:val="single" w:sz="4" w:space="0" w:color="auto"/>
              <w:right w:val="nil"/>
            </w:tcBorders>
            <w:shd w:val="clear" w:color="FFFFFF" w:fill="FFFFFF"/>
            <w:noWrap/>
            <w:vAlign w:val="bottom"/>
            <w:hideMark/>
          </w:tcPr>
          <w:p w14:paraId="076E6F24"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w:t>
            </w:r>
          </w:p>
        </w:tc>
        <w:tc>
          <w:tcPr>
            <w:tcW w:w="878" w:type="dxa"/>
            <w:tcBorders>
              <w:top w:val="single" w:sz="4" w:space="0" w:color="auto"/>
              <w:left w:val="nil"/>
              <w:bottom w:val="single" w:sz="4" w:space="0" w:color="auto"/>
              <w:right w:val="nil"/>
            </w:tcBorders>
            <w:shd w:val="clear" w:color="FFFFFF" w:fill="FFFFFF"/>
            <w:noWrap/>
            <w:vAlign w:val="bottom"/>
            <w:hideMark/>
          </w:tcPr>
          <w:p w14:paraId="32AA7598" w14:textId="77777777" w:rsidR="00AB6753" w:rsidRPr="00AE3CFE" w:rsidRDefault="00AB6753" w:rsidP="002D1EA4">
            <w:pPr>
              <w:spacing w:after="0" w:line="240" w:lineRule="auto"/>
              <w:jc w:val="right"/>
              <w:rPr>
                <w:rFonts w:cs="Arial"/>
                <w:sz w:val="16"/>
                <w:szCs w:val="16"/>
              </w:rPr>
            </w:pPr>
            <w:r w:rsidRPr="00AE3CFE">
              <w:rPr>
                <w:rFonts w:cs="Arial"/>
                <w:sz w:val="16"/>
                <w:szCs w:val="16"/>
              </w:rPr>
              <w:t>4,028</w:t>
            </w:r>
          </w:p>
        </w:tc>
      </w:tr>
      <w:tr w:rsidR="00AB6753" w:rsidRPr="00AE3CFE" w14:paraId="7042D1D7" w14:textId="77777777" w:rsidTr="002D1EA4">
        <w:trPr>
          <w:trHeight w:val="227"/>
        </w:trPr>
        <w:tc>
          <w:tcPr>
            <w:tcW w:w="2592" w:type="dxa"/>
            <w:tcBorders>
              <w:top w:val="nil"/>
              <w:left w:val="nil"/>
              <w:bottom w:val="single" w:sz="4" w:space="0" w:color="auto"/>
              <w:right w:val="nil"/>
            </w:tcBorders>
            <w:shd w:val="clear" w:color="FFFFFF" w:fill="FFFFFF"/>
            <w:vAlign w:val="bottom"/>
            <w:hideMark/>
          </w:tcPr>
          <w:p w14:paraId="2CD842B7" w14:textId="77777777" w:rsidR="00AB6753" w:rsidRPr="00AE3CFE" w:rsidRDefault="00AB6753" w:rsidP="002D1EA4">
            <w:pPr>
              <w:spacing w:after="0" w:line="240" w:lineRule="auto"/>
              <w:rPr>
                <w:rFonts w:cs="Arial"/>
                <w:b/>
                <w:bCs/>
                <w:sz w:val="16"/>
                <w:szCs w:val="16"/>
              </w:rPr>
            </w:pPr>
            <w:r w:rsidRPr="00AE3CFE">
              <w:rPr>
                <w:rFonts w:cs="Arial"/>
                <w:b/>
                <w:bCs/>
                <w:sz w:val="16"/>
                <w:szCs w:val="16"/>
              </w:rPr>
              <w:t>Net (assets)/liabilities relinquished</w:t>
            </w:r>
          </w:p>
        </w:tc>
        <w:tc>
          <w:tcPr>
            <w:tcW w:w="2114" w:type="dxa"/>
            <w:tcBorders>
              <w:top w:val="nil"/>
              <w:left w:val="nil"/>
              <w:bottom w:val="single" w:sz="4" w:space="0" w:color="auto"/>
              <w:right w:val="nil"/>
            </w:tcBorders>
            <w:shd w:val="clear" w:color="FFFFFF" w:fill="FFFFFF"/>
            <w:noWrap/>
            <w:vAlign w:val="bottom"/>
            <w:hideMark/>
          </w:tcPr>
          <w:p w14:paraId="7F84408A"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(35,278)</w:t>
            </w:r>
          </w:p>
        </w:tc>
        <w:tc>
          <w:tcPr>
            <w:tcW w:w="1418" w:type="dxa"/>
            <w:tcBorders>
              <w:top w:val="nil"/>
              <w:left w:val="nil"/>
              <w:bottom w:val="single" w:sz="4" w:space="0" w:color="auto"/>
              <w:right w:val="nil"/>
            </w:tcBorders>
            <w:shd w:val="clear" w:color="FFFFFF" w:fill="FFFFFF"/>
            <w:noWrap/>
            <w:vAlign w:val="bottom"/>
            <w:hideMark/>
          </w:tcPr>
          <w:p w14:paraId="0FACFB14"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94</w:t>
            </w:r>
          </w:p>
        </w:tc>
        <w:tc>
          <w:tcPr>
            <w:tcW w:w="1275" w:type="dxa"/>
            <w:tcBorders>
              <w:top w:val="nil"/>
              <w:left w:val="nil"/>
              <w:bottom w:val="single" w:sz="4" w:space="0" w:color="auto"/>
              <w:right w:val="nil"/>
            </w:tcBorders>
            <w:shd w:val="clear" w:color="FFFFFF" w:fill="FFFFFF"/>
            <w:noWrap/>
            <w:vAlign w:val="bottom"/>
            <w:hideMark/>
          </w:tcPr>
          <w:p w14:paraId="7A28D500"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(107,567)</w:t>
            </w:r>
          </w:p>
        </w:tc>
        <w:tc>
          <w:tcPr>
            <w:tcW w:w="1134" w:type="dxa"/>
            <w:tcBorders>
              <w:top w:val="nil"/>
              <w:left w:val="nil"/>
              <w:bottom w:val="single" w:sz="4" w:space="0" w:color="auto"/>
              <w:right w:val="nil"/>
            </w:tcBorders>
            <w:shd w:val="clear" w:color="FFFFFF" w:fill="FFFFFF"/>
            <w:noWrap/>
            <w:vAlign w:val="bottom"/>
            <w:hideMark/>
          </w:tcPr>
          <w:p w14:paraId="0B805DAF" w14:textId="77777777" w:rsidR="00AB6753" w:rsidRPr="00AE3CFE" w:rsidRDefault="00AB6753" w:rsidP="002D1EA4">
            <w:pPr>
              <w:spacing w:after="0" w:line="240" w:lineRule="auto"/>
              <w:jc w:val="right"/>
              <w:rPr>
                <w:rFonts w:cs="Arial"/>
                <w:b/>
                <w:bCs/>
                <w:sz w:val="16"/>
                <w:szCs w:val="16"/>
              </w:rPr>
            </w:pPr>
            <w:r w:rsidRPr="00AE3CFE">
              <w:rPr>
                <w:rFonts w:cs="Arial"/>
                <w:b/>
                <w:bCs/>
                <w:sz w:val="16"/>
                <w:szCs w:val="16"/>
              </w:rPr>
              <w:t>-</w:t>
            </w:r>
          </w:p>
        </w:tc>
        <w:tc>
          <w:tcPr>
            <w:tcW w:w="878" w:type="dxa"/>
            <w:tcBorders>
              <w:top w:val="nil"/>
              <w:left w:val="nil"/>
              <w:bottom w:val="single" w:sz="4" w:space="0" w:color="auto"/>
              <w:right w:val="nil"/>
            </w:tcBorders>
            <w:shd w:val="clear" w:color="FFFFFF" w:fill="FFFFFF"/>
            <w:noWrap/>
            <w:vAlign w:val="bottom"/>
            <w:hideMark/>
          </w:tcPr>
          <w:p w14:paraId="5696BFA4" w14:textId="77777777" w:rsidR="00AB6753" w:rsidRPr="00AE3CFE" w:rsidRDefault="00AB6753" w:rsidP="002D1EA4">
            <w:pPr>
              <w:spacing w:after="0" w:line="240" w:lineRule="auto"/>
              <w:jc w:val="right"/>
              <w:rPr>
                <w:rFonts w:cs="Arial"/>
                <w:sz w:val="16"/>
                <w:szCs w:val="16"/>
              </w:rPr>
            </w:pPr>
            <w:r w:rsidRPr="00AE3CFE">
              <w:rPr>
                <w:rFonts w:cs="Arial"/>
                <w:sz w:val="16"/>
                <w:szCs w:val="16"/>
              </w:rPr>
              <w:t>(5,100)</w:t>
            </w:r>
          </w:p>
        </w:tc>
      </w:tr>
    </w:tbl>
    <w:p w14:paraId="4E790816" w14:textId="77777777" w:rsidR="00AB6753" w:rsidRPr="00672551" w:rsidRDefault="00AB6753" w:rsidP="00AB6753">
      <w:pPr>
        <w:spacing w:after="0" w:line="240" w:lineRule="auto"/>
        <w:rPr>
          <w:sz w:val="16"/>
          <w:szCs w:val="16"/>
        </w:rPr>
      </w:pPr>
    </w:p>
    <w:p w14:paraId="14380BE3" w14:textId="77777777" w:rsidR="00AB6753" w:rsidRPr="00672551" w:rsidRDefault="00AB6753" w:rsidP="00AB6753">
      <w:pPr>
        <w:spacing w:after="0" w:line="240" w:lineRule="auto"/>
        <w:ind w:right="282" w:hanging="142"/>
        <w:rPr>
          <w:rFonts w:cs="Arial"/>
          <w:sz w:val="16"/>
          <w:szCs w:val="16"/>
        </w:rPr>
      </w:pPr>
    </w:p>
    <w:p w14:paraId="452CB96A" w14:textId="77777777" w:rsidR="00AB6753" w:rsidRPr="00672551" w:rsidRDefault="00AB6753" w:rsidP="00AB6753">
      <w:pPr>
        <w:pStyle w:val="NotesText0"/>
        <w:numPr>
          <w:ilvl w:val="0"/>
          <w:numId w:val="43"/>
        </w:numPr>
        <w:spacing w:before="0" w:after="0"/>
        <w:ind w:left="142" w:hanging="142"/>
        <w:rPr>
          <w:sz w:val="16"/>
          <w:szCs w:val="16"/>
        </w:rPr>
      </w:pPr>
      <w:r w:rsidRPr="00672551">
        <w:rPr>
          <w:sz w:val="16"/>
          <w:szCs w:val="16"/>
        </w:rPr>
        <w:t>The department transferred the Aged Care Gateway Information Technology systems application and development services to the Department of Health as a result of the 21 November 2019 agreement from the Minister for Finance to formally designate the transfer as a ‘Contribution by Owners’.</w:t>
      </w:r>
    </w:p>
    <w:p w14:paraId="5FD1E8F4" w14:textId="77777777" w:rsidR="00AB6753" w:rsidRPr="00672551" w:rsidRDefault="00AB6753" w:rsidP="00AB6753">
      <w:pPr>
        <w:pStyle w:val="NotesText0"/>
        <w:numPr>
          <w:ilvl w:val="0"/>
          <w:numId w:val="43"/>
        </w:numPr>
        <w:spacing w:before="0" w:after="0"/>
        <w:ind w:left="142" w:hanging="142"/>
        <w:rPr>
          <w:sz w:val="16"/>
          <w:szCs w:val="16"/>
        </w:rPr>
      </w:pPr>
      <w:r w:rsidRPr="00672551">
        <w:rPr>
          <w:sz w:val="16"/>
          <w:szCs w:val="16"/>
        </w:rPr>
        <w:t>The Settlement Services function was relinquished by the department to the Department of Home Affairs as a result of the Administrative Arrangements Order issued on 29 May 2019.</w:t>
      </w:r>
    </w:p>
    <w:p w14:paraId="12E2C37E" w14:textId="77777777" w:rsidR="00AB6753" w:rsidRPr="00672551" w:rsidRDefault="00AB6753" w:rsidP="00AB6753">
      <w:pPr>
        <w:pStyle w:val="NotesText0"/>
        <w:numPr>
          <w:ilvl w:val="0"/>
          <w:numId w:val="43"/>
        </w:numPr>
        <w:spacing w:before="0" w:after="0"/>
        <w:ind w:left="142" w:hanging="142"/>
        <w:rPr>
          <w:sz w:val="16"/>
          <w:szCs w:val="16"/>
        </w:rPr>
      </w:pPr>
      <w:r w:rsidRPr="00672551">
        <w:rPr>
          <w:sz w:val="16"/>
          <w:szCs w:val="16"/>
        </w:rPr>
        <w:t>The department transferred corporate IT services and their associated assets to Services Australia as a result of the Administrative Arrangements Order issued on 5 December 2019.</w:t>
      </w:r>
    </w:p>
    <w:p w14:paraId="20726D00" w14:textId="77777777" w:rsidR="00AB6753" w:rsidRPr="00672551" w:rsidRDefault="00AB6753" w:rsidP="00AB6753">
      <w:pPr>
        <w:pStyle w:val="NotesText0"/>
        <w:numPr>
          <w:ilvl w:val="0"/>
          <w:numId w:val="43"/>
        </w:numPr>
        <w:spacing w:before="0" w:after="0"/>
        <w:ind w:left="142" w:hanging="142"/>
        <w:rPr>
          <w:sz w:val="16"/>
          <w:szCs w:val="16"/>
        </w:rPr>
      </w:pPr>
      <w:r w:rsidRPr="00672551">
        <w:rPr>
          <w:sz w:val="16"/>
          <w:szCs w:val="16"/>
        </w:rPr>
        <w:t xml:space="preserve">The National Redress Scheme function was assumed by the department from Services Australia as a result of the Administrative Arrangements Order issued on 5 December 2019. Expenses recognised by the department in </w:t>
      </w:r>
      <w:r>
        <w:rPr>
          <w:sz w:val="16"/>
          <w:szCs w:val="16"/>
        </w:rPr>
        <w:t xml:space="preserve">the </w:t>
      </w:r>
      <w:r w:rsidRPr="00672551">
        <w:rPr>
          <w:sz w:val="16"/>
          <w:szCs w:val="16"/>
        </w:rPr>
        <w:t xml:space="preserve">2020 </w:t>
      </w:r>
      <w:r>
        <w:rPr>
          <w:sz w:val="16"/>
          <w:szCs w:val="16"/>
        </w:rPr>
        <w:t xml:space="preserve">financial year </w:t>
      </w:r>
      <w:r w:rsidRPr="00672551">
        <w:rPr>
          <w:sz w:val="16"/>
          <w:szCs w:val="16"/>
        </w:rPr>
        <w:t xml:space="preserve">were $14.704 million while expenses recognised by the losing entity were $19.528 million. Income recognised by the department in </w:t>
      </w:r>
      <w:r>
        <w:rPr>
          <w:sz w:val="16"/>
          <w:szCs w:val="16"/>
        </w:rPr>
        <w:t xml:space="preserve">the </w:t>
      </w:r>
      <w:r w:rsidRPr="00672551">
        <w:rPr>
          <w:sz w:val="16"/>
          <w:szCs w:val="16"/>
        </w:rPr>
        <w:t>2020</w:t>
      </w:r>
      <w:r>
        <w:rPr>
          <w:sz w:val="16"/>
          <w:szCs w:val="16"/>
        </w:rPr>
        <w:t xml:space="preserve"> financial year</w:t>
      </w:r>
      <w:r w:rsidRPr="00672551">
        <w:rPr>
          <w:sz w:val="16"/>
          <w:szCs w:val="16"/>
        </w:rPr>
        <w:t xml:space="preserve"> were $12.945 million while income recognised by the losing entity were $17.913 million.</w:t>
      </w:r>
    </w:p>
    <w:p w14:paraId="60CC63A0" w14:textId="77777777" w:rsidR="00AB6753" w:rsidRPr="00672551" w:rsidRDefault="00AB6753" w:rsidP="00AB6753">
      <w:pPr>
        <w:pStyle w:val="NotesText0"/>
        <w:numPr>
          <w:ilvl w:val="0"/>
          <w:numId w:val="43"/>
        </w:numPr>
        <w:spacing w:before="0" w:after="0"/>
        <w:ind w:left="142" w:hanging="142"/>
        <w:rPr>
          <w:sz w:val="16"/>
          <w:szCs w:val="16"/>
        </w:rPr>
      </w:pPr>
      <w:r w:rsidRPr="00672551">
        <w:rPr>
          <w:sz w:val="16"/>
          <w:szCs w:val="16"/>
        </w:rPr>
        <w:t>The 2019 comparative is a combination of the following functions:</w:t>
      </w:r>
    </w:p>
    <w:p w14:paraId="1C16EE08" w14:textId="77777777" w:rsidR="00AB6753" w:rsidRPr="00672551" w:rsidRDefault="00AB6753" w:rsidP="00AB6753">
      <w:pPr>
        <w:pStyle w:val="NotesText0"/>
        <w:numPr>
          <w:ilvl w:val="0"/>
          <w:numId w:val="47"/>
        </w:numPr>
        <w:spacing w:before="0" w:after="0"/>
        <w:rPr>
          <w:sz w:val="16"/>
          <w:szCs w:val="16"/>
        </w:rPr>
      </w:pPr>
      <w:r w:rsidRPr="00672551">
        <w:rPr>
          <w:sz w:val="16"/>
          <w:szCs w:val="16"/>
        </w:rPr>
        <w:t>The Budget Based Funded Programs were assumed by the department from the former Department of Education (2019: total assets recognised $0.104 million, total liabilities recognised $0.104 million).</w:t>
      </w:r>
    </w:p>
    <w:p w14:paraId="36B67AE1" w14:textId="77777777" w:rsidR="00AB6753" w:rsidRPr="00672551" w:rsidRDefault="00AB6753" w:rsidP="00AB6753">
      <w:pPr>
        <w:pStyle w:val="NotesText0"/>
        <w:numPr>
          <w:ilvl w:val="0"/>
          <w:numId w:val="47"/>
        </w:numPr>
        <w:spacing w:before="0" w:after="0"/>
        <w:rPr>
          <w:sz w:val="16"/>
          <w:szCs w:val="16"/>
        </w:rPr>
      </w:pPr>
      <w:r w:rsidRPr="00672551">
        <w:rPr>
          <w:sz w:val="16"/>
          <w:szCs w:val="16"/>
        </w:rPr>
        <w:t xml:space="preserve">The Grants Administration Transition function was assumed by the department from the Department of Health for participation in the Community Grants Hub (2019: total assets recognised $7.529 million, </w:t>
      </w:r>
      <w:r w:rsidRPr="00672551">
        <w:rPr>
          <w:sz w:val="16"/>
          <w:szCs w:val="16"/>
        </w:rPr>
        <w:br/>
        <w:t xml:space="preserve">total liabilities recognised $7.546 million). </w:t>
      </w:r>
    </w:p>
    <w:p w14:paraId="1194D8A4" w14:textId="77777777" w:rsidR="00AB6753" w:rsidRPr="00672551" w:rsidRDefault="00AB6753" w:rsidP="00AB6753">
      <w:pPr>
        <w:pStyle w:val="NotesText0"/>
        <w:numPr>
          <w:ilvl w:val="0"/>
          <w:numId w:val="47"/>
        </w:numPr>
        <w:spacing w:before="0" w:after="0"/>
        <w:rPr>
          <w:sz w:val="16"/>
          <w:szCs w:val="16"/>
        </w:rPr>
      </w:pPr>
      <w:r w:rsidRPr="00672551">
        <w:rPr>
          <w:sz w:val="16"/>
          <w:szCs w:val="16"/>
        </w:rPr>
        <w:t>The National Office for Child Safety function was relinquished by the department to the Department of the Prime Minister and Cabinet (2019: total assets relinquished $0.361 million, total liabilities relinquished $0.361 million).</w:t>
      </w:r>
    </w:p>
    <w:p w14:paraId="1647C952" w14:textId="77777777" w:rsidR="00AB6753" w:rsidRPr="00672551" w:rsidRDefault="00AB6753" w:rsidP="00AB6753">
      <w:pPr>
        <w:pStyle w:val="NotesText0"/>
        <w:numPr>
          <w:ilvl w:val="0"/>
          <w:numId w:val="47"/>
        </w:numPr>
        <w:spacing w:before="0"/>
        <w:rPr>
          <w:sz w:val="16"/>
          <w:szCs w:val="16"/>
        </w:rPr>
      </w:pPr>
      <w:r w:rsidRPr="00672551">
        <w:rPr>
          <w:sz w:val="16"/>
          <w:szCs w:val="16"/>
        </w:rPr>
        <w:t>The establishment of the National Disability Insurance Scheme Quality and Safeguards Commission occurred during the 2019 financial year (2019: total assets relinquished $8.767 million, total liabilities relinquished $3.667 million).</w:t>
      </w:r>
    </w:p>
    <w:p w14:paraId="5B031C0A" w14:textId="77777777" w:rsidR="00AB6753" w:rsidRPr="00E017ED" w:rsidRDefault="00AB6753" w:rsidP="00AB6753">
      <w:pPr>
        <w:pStyle w:val="NotesText0"/>
        <w:numPr>
          <w:ilvl w:val="0"/>
          <w:numId w:val="43"/>
        </w:numPr>
        <w:spacing w:before="0" w:after="120"/>
        <w:ind w:left="142" w:hanging="142"/>
        <w:rPr>
          <w:szCs w:val="18"/>
        </w:rPr>
      </w:pPr>
      <w:r w:rsidRPr="00672551">
        <w:rPr>
          <w:sz w:val="16"/>
          <w:szCs w:val="16"/>
        </w:rPr>
        <w:t>In respect of functions assumed and relinquished, the net book values of assets and liabilities (with the exception of leave liability provision amounts) were transferred to the department for no consideration.</w:t>
      </w:r>
      <w:r w:rsidRPr="00672551">
        <w:rPr>
          <w:sz w:val="16"/>
          <w:szCs w:val="16"/>
        </w:rPr>
        <w:br w:type="page"/>
      </w:r>
    </w:p>
    <w:p w14:paraId="21578FE4" w14:textId="77777777" w:rsidR="00AB6753" w:rsidRDefault="00AB6753" w:rsidP="00AB6753">
      <w:pPr>
        <w:pStyle w:val="ContinuedNotesHeading-Level1"/>
        <w:shd w:val="clear" w:color="auto" w:fill="D9D9D9" w:themeFill="background1" w:themeFillShade="D9"/>
        <w:spacing w:before="0" w:after="0"/>
        <w:ind w:left="-17" w:right="142"/>
      </w:pPr>
      <w:r>
        <w:lastRenderedPageBreak/>
        <w:t>8.2 Restructuring (continued)</w:t>
      </w:r>
    </w:p>
    <w:tbl>
      <w:tblPr>
        <w:tblW w:w="9411" w:type="dxa"/>
        <w:tblLayout w:type="fixed"/>
        <w:tblLook w:val="04A0" w:firstRow="1" w:lastRow="0" w:firstColumn="1" w:lastColumn="0" w:noHBand="0" w:noVBand="1"/>
        <w:tblCaption w:val="Notes to and forming part of the financial statements"/>
        <w:tblDescription w:val="Restructuring continued"/>
      </w:tblPr>
      <w:tblGrid>
        <w:gridCol w:w="4455"/>
        <w:gridCol w:w="1652"/>
        <w:gridCol w:w="1652"/>
        <w:gridCol w:w="1652"/>
      </w:tblGrid>
      <w:tr w:rsidR="00AB6753" w14:paraId="5653EB26" w14:textId="77777777" w:rsidTr="002D1EA4">
        <w:trPr>
          <w:trHeight w:val="255"/>
        </w:trPr>
        <w:tc>
          <w:tcPr>
            <w:tcW w:w="9411" w:type="dxa"/>
            <w:gridSpan w:val="4"/>
            <w:tcBorders>
              <w:top w:val="nil"/>
              <w:left w:val="nil"/>
              <w:bottom w:val="nil"/>
              <w:right w:val="nil"/>
            </w:tcBorders>
            <w:shd w:val="clear" w:color="000000" w:fill="D9D9D9"/>
            <w:noWrap/>
            <w:hideMark/>
          </w:tcPr>
          <w:p w14:paraId="3737D2A7" w14:textId="77777777" w:rsidR="00AB6753" w:rsidRDefault="00AB6753" w:rsidP="002D1EA4">
            <w:pPr>
              <w:spacing w:after="0" w:line="240" w:lineRule="auto"/>
              <w:rPr>
                <w:rFonts w:cs="Arial"/>
                <w:b/>
                <w:bCs/>
                <w:sz w:val="18"/>
                <w:szCs w:val="18"/>
                <w:u w:val="single"/>
              </w:rPr>
            </w:pPr>
            <w:bookmarkStart w:id="260" w:name="Note_AESTABLE1" w:colFirst="0" w:colLast="0"/>
          </w:p>
          <w:p w14:paraId="73992CAD" w14:textId="77777777" w:rsidR="00AB6753" w:rsidRDefault="00AB6753" w:rsidP="002D1EA4">
            <w:pPr>
              <w:spacing w:after="0" w:line="240" w:lineRule="auto"/>
              <w:rPr>
                <w:rFonts w:cs="Arial"/>
                <w:b/>
                <w:bCs/>
                <w:sz w:val="18"/>
                <w:szCs w:val="18"/>
                <w:u w:val="single"/>
              </w:rPr>
            </w:pPr>
            <w:r>
              <w:rPr>
                <w:rFonts w:cs="Arial"/>
                <w:b/>
                <w:bCs/>
                <w:sz w:val="18"/>
                <w:szCs w:val="18"/>
                <w:u w:val="single"/>
              </w:rPr>
              <w:t>Note 8.2B: Administered Restructuring</w:t>
            </w:r>
          </w:p>
        </w:tc>
      </w:tr>
      <w:bookmarkEnd w:id="260"/>
      <w:tr w:rsidR="00AB6753" w14:paraId="6A633E91" w14:textId="77777777" w:rsidTr="002D1EA4">
        <w:trPr>
          <w:trHeight w:val="255"/>
        </w:trPr>
        <w:tc>
          <w:tcPr>
            <w:tcW w:w="4455" w:type="dxa"/>
            <w:tcBorders>
              <w:top w:val="nil"/>
              <w:left w:val="nil"/>
              <w:bottom w:val="single" w:sz="4" w:space="0" w:color="D9D9D9"/>
              <w:right w:val="nil"/>
            </w:tcBorders>
            <w:shd w:val="clear" w:color="000000" w:fill="D9D9D9"/>
            <w:noWrap/>
            <w:vAlign w:val="bottom"/>
            <w:hideMark/>
          </w:tcPr>
          <w:p w14:paraId="6C70E5D9" w14:textId="77777777" w:rsidR="00AB6753" w:rsidRDefault="00AB6753" w:rsidP="002D1EA4">
            <w:pPr>
              <w:spacing w:after="0" w:line="240" w:lineRule="auto"/>
              <w:rPr>
                <w:rFonts w:cs="Arial"/>
                <w:sz w:val="18"/>
                <w:szCs w:val="18"/>
              </w:rPr>
            </w:pPr>
            <w:r>
              <w:rPr>
                <w:rFonts w:cs="Arial"/>
                <w:sz w:val="18"/>
                <w:szCs w:val="18"/>
              </w:rPr>
              <w:t> </w:t>
            </w:r>
          </w:p>
        </w:tc>
        <w:tc>
          <w:tcPr>
            <w:tcW w:w="1652" w:type="dxa"/>
            <w:tcBorders>
              <w:top w:val="nil"/>
              <w:left w:val="nil"/>
              <w:bottom w:val="single" w:sz="4" w:space="0" w:color="D9D9D9"/>
              <w:right w:val="nil"/>
            </w:tcBorders>
            <w:shd w:val="clear" w:color="000000" w:fill="D9D9D9"/>
            <w:noWrap/>
            <w:vAlign w:val="bottom"/>
            <w:hideMark/>
          </w:tcPr>
          <w:p w14:paraId="422E95E4" w14:textId="77777777" w:rsidR="00AB6753" w:rsidRDefault="00AB6753" w:rsidP="002D1EA4">
            <w:pPr>
              <w:spacing w:after="0" w:line="240" w:lineRule="auto"/>
              <w:rPr>
                <w:rFonts w:cs="Arial"/>
                <w:b/>
                <w:bCs/>
                <w:sz w:val="18"/>
                <w:szCs w:val="18"/>
              </w:rPr>
            </w:pPr>
            <w:r>
              <w:rPr>
                <w:rFonts w:cs="Arial"/>
                <w:b/>
                <w:bCs/>
                <w:sz w:val="18"/>
                <w:szCs w:val="18"/>
              </w:rPr>
              <w:t> </w:t>
            </w:r>
          </w:p>
        </w:tc>
        <w:tc>
          <w:tcPr>
            <w:tcW w:w="1652" w:type="dxa"/>
            <w:tcBorders>
              <w:top w:val="nil"/>
              <w:left w:val="nil"/>
              <w:bottom w:val="single" w:sz="4" w:space="0" w:color="D9D9D9"/>
              <w:right w:val="nil"/>
            </w:tcBorders>
            <w:shd w:val="clear" w:color="000000" w:fill="D9D9D9"/>
            <w:noWrap/>
            <w:vAlign w:val="bottom"/>
            <w:hideMark/>
          </w:tcPr>
          <w:p w14:paraId="10392093" w14:textId="77777777" w:rsidR="00AB6753" w:rsidRDefault="00AB6753" w:rsidP="002D1EA4">
            <w:pPr>
              <w:spacing w:after="0" w:line="240" w:lineRule="auto"/>
              <w:rPr>
                <w:rFonts w:cs="Arial"/>
                <w:b/>
                <w:bCs/>
                <w:sz w:val="18"/>
                <w:szCs w:val="18"/>
              </w:rPr>
            </w:pPr>
            <w:r>
              <w:rPr>
                <w:rFonts w:cs="Arial"/>
                <w:b/>
                <w:bCs/>
                <w:sz w:val="18"/>
                <w:szCs w:val="18"/>
              </w:rPr>
              <w:t> </w:t>
            </w:r>
          </w:p>
        </w:tc>
        <w:tc>
          <w:tcPr>
            <w:tcW w:w="1652" w:type="dxa"/>
            <w:tcBorders>
              <w:top w:val="nil"/>
              <w:left w:val="nil"/>
              <w:bottom w:val="single" w:sz="4" w:space="0" w:color="D9D9D9"/>
              <w:right w:val="nil"/>
            </w:tcBorders>
            <w:shd w:val="clear" w:color="000000" w:fill="D9D9D9"/>
            <w:noWrap/>
            <w:vAlign w:val="bottom"/>
            <w:hideMark/>
          </w:tcPr>
          <w:p w14:paraId="7AA36B95" w14:textId="77777777" w:rsidR="00AB6753" w:rsidRDefault="00AB6753" w:rsidP="002D1EA4">
            <w:pPr>
              <w:spacing w:after="0" w:line="240" w:lineRule="auto"/>
              <w:rPr>
                <w:rFonts w:cs="Arial"/>
                <w:sz w:val="18"/>
                <w:szCs w:val="18"/>
              </w:rPr>
            </w:pPr>
            <w:r>
              <w:rPr>
                <w:rFonts w:cs="Arial"/>
                <w:sz w:val="18"/>
                <w:szCs w:val="18"/>
              </w:rPr>
              <w:t> </w:t>
            </w:r>
          </w:p>
        </w:tc>
      </w:tr>
      <w:tr w:rsidR="00AB6753" w14:paraId="57A2EBA5" w14:textId="77777777" w:rsidTr="002D1EA4">
        <w:trPr>
          <w:trHeight w:val="255"/>
        </w:trPr>
        <w:tc>
          <w:tcPr>
            <w:tcW w:w="4455" w:type="dxa"/>
            <w:tcBorders>
              <w:top w:val="single" w:sz="4" w:space="0" w:color="auto"/>
              <w:left w:val="nil"/>
              <w:bottom w:val="single" w:sz="4" w:space="0" w:color="auto"/>
              <w:right w:val="nil"/>
            </w:tcBorders>
            <w:shd w:val="clear" w:color="000000" w:fill="D9D9D9"/>
            <w:noWrap/>
            <w:vAlign w:val="bottom"/>
            <w:hideMark/>
          </w:tcPr>
          <w:p w14:paraId="7C644239" w14:textId="77777777" w:rsidR="00AB6753" w:rsidRDefault="00AB6753" w:rsidP="002D1EA4">
            <w:pPr>
              <w:spacing w:after="0" w:line="240" w:lineRule="auto"/>
              <w:rPr>
                <w:rFonts w:cs="Arial"/>
                <w:sz w:val="18"/>
                <w:szCs w:val="18"/>
              </w:rPr>
            </w:pPr>
            <w:r>
              <w:rPr>
                <w:rFonts w:cs="Arial"/>
                <w:sz w:val="18"/>
                <w:szCs w:val="18"/>
              </w:rPr>
              <w:t> </w:t>
            </w:r>
          </w:p>
        </w:tc>
        <w:tc>
          <w:tcPr>
            <w:tcW w:w="3304" w:type="dxa"/>
            <w:gridSpan w:val="2"/>
            <w:tcBorders>
              <w:top w:val="single" w:sz="4" w:space="0" w:color="auto"/>
              <w:left w:val="nil"/>
              <w:bottom w:val="single" w:sz="4" w:space="0" w:color="auto"/>
              <w:right w:val="nil"/>
            </w:tcBorders>
            <w:shd w:val="clear" w:color="000000" w:fill="D9D9D9"/>
            <w:noWrap/>
            <w:vAlign w:val="bottom"/>
            <w:hideMark/>
          </w:tcPr>
          <w:p w14:paraId="2D4D8715" w14:textId="77777777" w:rsidR="00AB6753" w:rsidRDefault="00AB6753" w:rsidP="002D1EA4">
            <w:pPr>
              <w:spacing w:after="0" w:line="240" w:lineRule="auto"/>
              <w:jc w:val="center"/>
              <w:rPr>
                <w:rFonts w:cs="Arial"/>
                <w:b/>
                <w:bCs/>
                <w:sz w:val="18"/>
                <w:szCs w:val="18"/>
              </w:rPr>
            </w:pPr>
            <w:r>
              <w:rPr>
                <w:rFonts w:cs="Arial"/>
                <w:b/>
                <w:bCs/>
                <w:sz w:val="18"/>
                <w:szCs w:val="18"/>
              </w:rPr>
              <w:t>2020</w:t>
            </w:r>
          </w:p>
        </w:tc>
        <w:tc>
          <w:tcPr>
            <w:tcW w:w="1652" w:type="dxa"/>
            <w:tcBorders>
              <w:top w:val="single" w:sz="4" w:space="0" w:color="auto"/>
              <w:left w:val="nil"/>
              <w:bottom w:val="single" w:sz="4" w:space="0" w:color="auto"/>
              <w:right w:val="nil"/>
            </w:tcBorders>
            <w:shd w:val="clear" w:color="000000" w:fill="D9D9D9"/>
            <w:noWrap/>
            <w:vAlign w:val="bottom"/>
            <w:hideMark/>
          </w:tcPr>
          <w:p w14:paraId="12440C92" w14:textId="77777777" w:rsidR="00AB6753" w:rsidRDefault="00AB6753" w:rsidP="002D1EA4">
            <w:pPr>
              <w:spacing w:after="0" w:line="240" w:lineRule="auto"/>
              <w:jc w:val="right"/>
              <w:rPr>
                <w:rFonts w:cs="Arial"/>
                <w:sz w:val="18"/>
                <w:szCs w:val="18"/>
              </w:rPr>
            </w:pPr>
            <w:r>
              <w:rPr>
                <w:rFonts w:cs="Arial"/>
                <w:sz w:val="18"/>
                <w:szCs w:val="18"/>
              </w:rPr>
              <w:t>2019</w:t>
            </w:r>
          </w:p>
        </w:tc>
      </w:tr>
      <w:tr w:rsidR="00AB6753" w14:paraId="4399723C" w14:textId="77777777" w:rsidTr="002D1EA4">
        <w:trPr>
          <w:trHeight w:val="255"/>
        </w:trPr>
        <w:tc>
          <w:tcPr>
            <w:tcW w:w="4455" w:type="dxa"/>
            <w:tcBorders>
              <w:top w:val="nil"/>
              <w:left w:val="nil"/>
              <w:bottom w:val="nil"/>
              <w:right w:val="nil"/>
            </w:tcBorders>
            <w:shd w:val="clear" w:color="000000" w:fill="D9D9D9"/>
            <w:noWrap/>
            <w:vAlign w:val="bottom"/>
            <w:hideMark/>
          </w:tcPr>
          <w:p w14:paraId="2036F209" w14:textId="77777777" w:rsidR="00AB6753" w:rsidRDefault="00AB6753" w:rsidP="002D1EA4">
            <w:pPr>
              <w:spacing w:after="0" w:line="240" w:lineRule="auto"/>
              <w:rPr>
                <w:rFonts w:cs="Arial"/>
                <w:sz w:val="18"/>
                <w:szCs w:val="18"/>
              </w:rPr>
            </w:pPr>
            <w:r>
              <w:rPr>
                <w:rFonts w:cs="Arial"/>
                <w:sz w:val="18"/>
                <w:szCs w:val="18"/>
              </w:rPr>
              <w:t> </w:t>
            </w:r>
          </w:p>
        </w:tc>
        <w:tc>
          <w:tcPr>
            <w:tcW w:w="1652" w:type="dxa"/>
            <w:tcBorders>
              <w:top w:val="nil"/>
              <w:left w:val="nil"/>
              <w:bottom w:val="single" w:sz="4" w:space="0" w:color="auto"/>
              <w:right w:val="nil"/>
            </w:tcBorders>
            <w:shd w:val="clear" w:color="000000" w:fill="D9D9D9"/>
            <w:hideMark/>
          </w:tcPr>
          <w:p w14:paraId="76EFF59E" w14:textId="77777777" w:rsidR="00AB6753" w:rsidRDefault="00AB6753" w:rsidP="002D1EA4">
            <w:pPr>
              <w:spacing w:after="0" w:line="240" w:lineRule="auto"/>
              <w:jc w:val="right"/>
              <w:rPr>
                <w:rFonts w:cs="Arial"/>
                <w:b/>
                <w:bCs/>
                <w:sz w:val="18"/>
                <w:szCs w:val="18"/>
              </w:rPr>
            </w:pPr>
            <w:r>
              <w:rPr>
                <w:rFonts w:cs="Arial"/>
                <w:b/>
                <w:bCs/>
                <w:sz w:val="18"/>
                <w:szCs w:val="18"/>
              </w:rPr>
              <w:t>Settlement Services</w:t>
            </w:r>
          </w:p>
        </w:tc>
        <w:tc>
          <w:tcPr>
            <w:tcW w:w="1652" w:type="dxa"/>
            <w:tcBorders>
              <w:top w:val="nil"/>
              <w:left w:val="nil"/>
              <w:bottom w:val="single" w:sz="4" w:space="0" w:color="auto"/>
              <w:right w:val="nil"/>
            </w:tcBorders>
            <w:shd w:val="clear" w:color="000000" w:fill="D9D9D9"/>
            <w:hideMark/>
          </w:tcPr>
          <w:p w14:paraId="6EAEB0FF" w14:textId="77777777" w:rsidR="00AB6753" w:rsidRDefault="00AB6753" w:rsidP="002D1EA4">
            <w:pPr>
              <w:spacing w:after="0" w:line="240" w:lineRule="auto"/>
              <w:jc w:val="right"/>
              <w:rPr>
                <w:rFonts w:cs="Arial"/>
                <w:b/>
                <w:bCs/>
                <w:sz w:val="18"/>
                <w:szCs w:val="18"/>
              </w:rPr>
            </w:pPr>
            <w:r>
              <w:rPr>
                <w:rFonts w:cs="Arial"/>
                <w:b/>
                <w:bCs/>
                <w:sz w:val="18"/>
                <w:szCs w:val="18"/>
              </w:rPr>
              <w:t>Hearing Australia Investment</w:t>
            </w:r>
          </w:p>
        </w:tc>
        <w:tc>
          <w:tcPr>
            <w:tcW w:w="1652" w:type="dxa"/>
            <w:tcBorders>
              <w:top w:val="nil"/>
              <w:left w:val="nil"/>
              <w:bottom w:val="single" w:sz="4" w:space="0" w:color="auto"/>
              <w:right w:val="nil"/>
            </w:tcBorders>
            <w:shd w:val="clear" w:color="000000" w:fill="D9D9D9"/>
            <w:hideMark/>
          </w:tcPr>
          <w:p w14:paraId="3EC9178E" w14:textId="77777777" w:rsidR="00AB6753" w:rsidRDefault="00AB6753" w:rsidP="002D1EA4">
            <w:pPr>
              <w:spacing w:after="0" w:line="240" w:lineRule="auto"/>
              <w:jc w:val="right"/>
              <w:rPr>
                <w:rFonts w:cs="Arial"/>
                <w:sz w:val="18"/>
                <w:szCs w:val="18"/>
              </w:rPr>
            </w:pPr>
            <w:r>
              <w:rPr>
                <w:rFonts w:cs="Arial"/>
                <w:sz w:val="18"/>
                <w:szCs w:val="18"/>
              </w:rPr>
              <w:t> </w:t>
            </w:r>
          </w:p>
        </w:tc>
      </w:tr>
      <w:tr w:rsidR="00AB6753" w14:paraId="60DD1087" w14:textId="77777777" w:rsidTr="002D1EA4">
        <w:trPr>
          <w:trHeight w:val="255"/>
        </w:trPr>
        <w:tc>
          <w:tcPr>
            <w:tcW w:w="4455" w:type="dxa"/>
            <w:tcBorders>
              <w:top w:val="nil"/>
              <w:left w:val="nil"/>
              <w:bottom w:val="nil"/>
              <w:right w:val="nil"/>
            </w:tcBorders>
            <w:shd w:val="clear" w:color="000000" w:fill="D9D9D9"/>
            <w:noWrap/>
            <w:vAlign w:val="bottom"/>
            <w:hideMark/>
          </w:tcPr>
          <w:p w14:paraId="70C044DB" w14:textId="77777777" w:rsidR="00AB6753" w:rsidRDefault="00AB6753" w:rsidP="002D1EA4">
            <w:pPr>
              <w:spacing w:after="0" w:line="240" w:lineRule="auto"/>
              <w:rPr>
                <w:rFonts w:cs="Arial"/>
                <w:sz w:val="18"/>
                <w:szCs w:val="18"/>
              </w:rPr>
            </w:pPr>
            <w:r>
              <w:rPr>
                <w:rFonts w:cs="Arial"/>
                <w:sz w:val="18"/>
                <w:szCs w:val="18"/>
              </w:rPr>
              <w:t> </w:t>
            </w:r>
          </w:p>
        </w:tc>
        <w:tc>
          <w:tcPr>
            <w:tcW w:w="1652" w:type="dxa"/>
            <w:tcBorders>
              <w:top w:val="nil"/>
              <w:left w:val="nil"/>
              <w:bottom w:val="nil"/>
              <w:right w:val="nil"/>
            </w:tcBorders>
            <w:shd w:val="clear" w:color="000000" w:fill="D9D9D9"/>
            <w:hideMark/>
          </w:tcPr>
          <w:p w14:paraId="1B1E7654" w14:textId="77777777" w:rsidR="00AB6753" w:rsidRDefault="00AB6753" w:rsidP="002D1EA4">
            <w:pPr>
              <w:spacing w:after="0" w:line="240" w:lineRule="auto"/>
              <w:jc w:val="right"/>
              <w:rPr>
                <w:rFonts w:cs="Arial"/>
                <w:b/>
                <w:bCs/>
                <w:sz w:val="18"/>
                <w:szCs w:val="18"/>
              </w:rPr>
            </w:pPr>
            <w:r>
              <w:rPr>
                <w:rFonts w:cs="Arial"/>
                <w:b/>
                <w:bCs/>
                <w:sz w:val="18"/>
                <w:szCs w:val="18"/>
              </w:rPr>
              <w:t>Department of Home Affairs</w:t>
            </w:r>
            <w:r>
              <w:rPr>
                <w:rFonts w:cs="Arial"/>
                <w:b/>
                <w:bCs/>
                <w:sz w:val="18"/>
                <w:szCs w:val="18"/>
                <w:vertAlign w:val="superscript"/>
              </w:rPr>
              <w:t>1</w:t>
            </w:r>
          </w:p>
        </w:tc>
        <w:tc>
          <w:tcPr>
            <w:tcW w:w="1652" w:type="dxa"/>
            <w:tcBorders>
              <w:top w:val="nil"/>
              <w:left w:val="nil"/>
              <w:bottom w:val="nil"/>
              <w:right w:val="nil"/>
            </w:tcBorders>
            <w:shd w:val="clear" w:color="000000" w:fill="D9D9D9"/>
            <w:hideMark/>
          </w:tcPr>
          <w:p w14:paraId="7AAE3639" w14:textId="77777777" w:rsidR="00AB6753" w:rsidRDefault="00AB6753" w:rsidP="002D1EA4">
            <w:pPr>
              <w:spacing w:after="0" w:line="240" w:lineRule="auto"/>
              <w:jc w:val="right"/>
              <w:rPr>
                <w:rFonts w:cs="Arial"/>
                <w:b/>
                <w:bCs/>
                <w:sz w:val="18"/>
                <w:szCs w:val="18"/>
              </w:rPr>
            </w:pPr>
            <w:r>
              <w:rPr>
                <w:rFonts w:cs="Arial"/>
                <w:b/>
                <w:bCs/>
                <w:sz w:val="18"/>
                <w:szCs w:val="18"/>
              </w:rPr>
              <w:t>Services Australia</w:t>
            </w:r>
            <w:r>
              <w:rPr>
                <w:rFonts w:cs="Arial"/>
                <w:b/>
                <w:bCs/>
                <w:sz w:val="18"/>
                <w:szCs w:val="18"/>
                <w:vertAlign w:val="superscript"/>
              </w:rPr>
              <w:t>2</w:t>
            </w:r>
          </w:p>
        </w:tc>
        <w:tc>
          <w:tcPr>
            <w:tcW w:w="1652" w:type="dxa"/>
            <w:tcBorders>
              <w:top w:val="nil"/>
              <w:left w:val="nil"/>
              <w:bottom w:val="nil"/>
              <w:right w:val="nil"/>
            </w:tcBorders>
            <w:shd w:val="clear" w:color="000000" w:fill="D9D9D9"/>
            <w:hideMark/>
          </w:tcPr>
          <w:p w14:paraId="08633461" w14:textId="77777777" w:rsidR="00AB6753" w:rsidRDefault="00AB6753" w:rsidP="002D1EA4">
            <w:pPr>
              <w:spacing w:after="0" w:line="240" w:lineRule="auto"/>
              <w:jc w:val="right"/>
              <w:rPr>
                <w:rFonts w:cs="Arial"/>
                <w:sz w:val="18"/>
                <w:szCs w:val="18"/>
              </w:rPr>
            </w:pPr>
            <w:r>
              <w:rPr>
                <w:rFonts w:cs="Arial"/>
                <w:sz w:val="18"/>
                <w:szCs w:val="18"/>
              </w:rPr>
              <w:t>Total</w:t>
            </w:r>
          </w:p>
        </w:tc>
      </w:tr>
      <w:tr w:rsidR="00AB6753" w14:paraId="0B332EA3" w14:textId="77777777" w:rsidTr="002D1EA4">
        <w:trPr>
          <w:trHeight w:val="255"/>
        </w:trPr>
        <w:tc>
          <w:tcPr>
            <w:tcW w:w="4455" w:type="dxa"/>
            <w:tcBorders>
              <w:top w:val="nil"/>
              <w:left w:val="nil"/>
              <w:bottom w:val="single" w:sz="4" w:space="0" w:color="auto"/>
              <w:right w:val="nil"/>
            </w:tcBorders>
            <w:shd w:val="clear" w:color="000000" w:fill="D9D9D9"/>
            <w:noWrap/>
            <w:vAlign w:val="bottom"/>
            <w:hideMark/>
          </w:tcPr>
          <w:p w14:paraId="1BCFFA17" w14:textId="77777777" w:rsidR="00AB6753" w:rsidRDefault="00AB6753" w:rsidP="002D1EA4">
            <w:pPr>
              <w:spacing w:after="0" w:line="240" w:lineRule="auto"/>
              <w:rPr>
                <w:rFonts w:cs="Arial"/>
                <w:sz w:val="18"/>
                <w:szCs w:val="18"/>
              </w:rPr>
            </w:pPr>
            <w:r>
              <w:rPr>
                <w:rFonts w:cs="Arial"/>
                <w:sz w:val="18"/>
                <w:szCs w:val="18"/>
              </w:rPr>
              <w:t> </w:t>
            </w:r>
          </w:p>
        </w:tc>
        <w:tc>
          <w:tcPr>
            <w:tcW w:w="1652" w:type="dxa"/>
            <w:tcBorders>
              <w:top w:val="nil"/>
              <w:left w:val="nil"/>
              <w:bottom w:val="single" w:sz="4" w:space="0" w:color="auto"/>
              <w:right w:val="nil"/>
            </w:tcBorders>
            <w:shd w:val="clear" w:color="000000" w:fill="D9D9D9"/>
            <w:noWrap/>
            <w:vAlign w:val="bottom"/>
            <w:hideMark/>
          </w:tcPr>
          <w:p w14:paraId="14B9FF2D" w14:textId="77777777" w:rsidR="00AB6753" w:rsidRDefault="00AB6753" w:rsidP="002D1EA4">
            <w:pPr>
              <w:spacing w:after="0" w:line="240" w:lineRule="auto"/>
              <w:jc w:val="right"/>
              <w:rPr>
                <w:rFonts w:cs="Arial"/>
                <w:b/>
                <w:bCs/>
                <w:sz w:val="18"/>
                <w:szCs w:val="18"/>
              </w:rPr>
            </w:pPr>
            <w:r>
              <w:rPr>
                <w:rFonts w:cs="Arial"/>
                <w:b/>
                <w:bCs/>
                <w:sz w:val="18"/>
                <w:szCs w:val="18"/>
              </w:rPr>
              <w:t>$'000</w:t>
            </w:r>
          </w:p>
        </w:tc>
        <w:tc>
          <w:tcPr>
            <w:tcW w:w="1652" w:type="dxa"/>
            <w:tcBorders>
              <w:top w:val="nil"/>
              <w:left w:val="nil"/>
              <w:bottom w:val="single" w:sz="4" w:space="0" w:color="auto"/>
              <w:right w:val="nil"/>
            </w:tcBorders>
            <w:shd w:val="clear" w:color="000000" w:fill="D9D9D9"/>
            <w:noWrap/>
            <w:vAlign w:val="bottom"/>
            <w:hideMark/>
          </w:tcPr>
          <w:p w14:paraId="3E7F2B61" w14:textId="77777777" w:rsidR="00AB6753" w:rsidRDefault="00AB6753" w:rsidP="002D1EA4">
            <w:pPr>
              <w:spacing w:after="0" w:line="240" w:lineRule="auto"/>
              <w:jc w:val="right"/>
              <w:rPr>
                <w:rFonts w:cs="Arial"/>
                <w:b/>
                <w:bCs/>
                <w:sz w:val="18"/>
                <w:szCs w:val="18"/>
              </w:rPr>
            </w:pPr>
            <w:r>
              <w:rPr>
                <w:rFonts w:cs="Arial"/>
                <w:b/>
                <w:bCs/>
                <w:sz w:val="18"/>
                <w:szCs w:val="18"/>
              </w:rPr>
              <w:t>$'000</w:t>
            </w:r>
          </w:p>
        </w:tc>
        <w:tc>
          <w:tcPr>
            <w:tcW w:w="1652" w:type="dxa"/>
            <w:tcBorders>
              <w:top w:val="nil"/>
              <w:left w:val="nil"/>
              <w:bottom w:val="single" w:sz="4" w:space="0" w:color="auto"/>
              <w:right w:val="nil"/>
            </w:tcBorders>
            <w:shd w:val="clear" w:color="000000" w:fill="D9D9D9"/>
            <w:noWrap/>
            <w:vAlign w:val="bottom"/>
            <w:hideMark/>
          </w:tcPr>
          <w:p w14:paraId="2FAFED66" w14:textId="77777777" w:rsidR="00AB6753" w:rsidRDefault="00AB6753" w:rsidP="002D1EA4">
            <w:pPr>
              <w:spacing w:after="0" w:line="240" w:lineRule="auto"/>
              <w:jc w:val="right"/>
              <w:rPr>
                <w:rFonts w:cs="Arial"/>
                <w:sz w:val="18"/>
                <w:szCs w:val="18"/>
              </w:rPr>
            </w:pPr>
            <w:r>
              <w:rPr>
                <w:rFonts w:cs="Arial"/>
                <w:sz w:val="18"/>
                <w:szCs w:val="18"/>
              </w:rPr>
              <w:t>$'000</w:t>
            </w:r>
          </w:p>
        </w:tc>
      </w:tr>
      <w:tr w:rsidR="00AB6753" w14:paraId="27B85192" w14:textId="77777777" w:rsidTr="002D1EA4">
        <w:trPr>
          <w:trHeight w:val="255"/>
        </w:trPr>
        <w:tc>
          <w:tcPr>
            <w:tcW w:w="4455" w:type="dxa"/>
            <w:tcBorders>
              <w:top w:val="nil"/>
              <w:left w:val="nil"/>
              <w:bottom w:val="single" w:sz="4" w:space="0" w:color="D9D9D9"/>
              <w:right w:val="nil"/>
            </w:tcBorders>
            <w:shd w:val="clear" w:color="000000" w:fill="D9D9D9"/>
            <w:vAlign w:val="bottom"/>
            <w:hideMark/>
          </w:tcPr>
          <w:p w14:paraId="4590C8C1" w14:textId="77777777" w:rsidR="00AB6753" w:rsidRDefault="00AB6753" w:rsidP="002D1EA4">
            <w:pPr>
              <w:spacing w:after="0" w:line="240" w:lineRule="auto"/>
              <w:rPr>
                <w:rFonts w:cs="Arial"/>
                <w:b/>
                <w:bCs/>
                <w:sz w:val="18"/>
                <w:szCs w:val="18"/>
              </w:rPr>
            </w:pPr>
            <w:r>
              <w:rPr>
                <w:rFonts w:cs="Arial"/>
                <w:b/>
                <w:bCs/>
                <w:sz w:val="18"/>
                <w:szCs w:val="18"/>
              </w:rPr>
              <w:t>FUNCTIONS ASSUMED</w:t>
            </w:r>
          </w:p>
        </w:tc>
        <w:tc>
          <w:tcPr>
            <w:tcW w:w="1652" w:type="dxa"/>
            <w:tcBorders>
              <w:top w:val="nil"/>
              <w:left w:val="nil"/>
              <w:bottom w:val="single" w:sz="4" w:space="0" w:color="D9D9D9"/>
              <w:right w:val="nil"/>
            </w:tcBorders>
            <w:shd w:val="clear" w:color="000000" w:fill="D9D9D9"/>
            <w:vAlign w:val="bottom"/>
            <w:hideMark/>
          </w:tcPr>
          <w:p w14:paraId="5E726E07" w14:textId="77777777" w:rsidR="00AB6753" w:rsidRDefault="00AB6753" w:rsidP="002D1EA4">
            <w:pPr>
              <w:spacing w:after="0" w:line="240" w:lineRule="auto"/>
              <w:rPr>
                <w:rFonts w:cs="Arial"/>
                <w:b/>
                <w:bCs/>
                <w:sz w:val="18"/>
                <w:szCs w:val="18"/>
              </w:rPr>
            </w:pPr>
            <w:r>
              <w:rPr>
                <w:rFonts w:cs="Arial"/>
                <w:b/>
                <w:bCs/>
                <w:sz w:val="18"/>
                <w:szCs w:val="18"/>
              </w:rPr>
              <w:t> </w:t>
            </w:r>
          </w:p>
        </w:tc>
        <w:tc>
          <w:tcPr>
            <w:tcW w:w="1652" w:type="dxa"/>
            <w:tcBorders>
              <w:top w:val="nil"/>
              <w:left w:val="nil"/>
              <w:bottom w:val="single" w:sz="4" w:space="0" w:color="D9D9D9"/>
              <w:right w:val="nil"/>
            </w:tcBorders>
            <w:shd w:val="clear" w:color="000000" w:fill="D9D9D9"/>
            <w:vAlign w:val="bottom"/>
            <w:hideMark/>
          </w:tcPr>
          <w:p w14:paraId="66F3DB2E" w14:textId="77777777" w:rsidR="00AB6753" w:rsidRDefault="00AB6753" w:rsidP="002D1EA4">
            <w:pPr>
              <w:spacing w:after="0" w:line="240" w:lineRule="auto"/>
              <w:rPr>
                <w:rFonts w:cs="Arial"/>
                <w:b/>
                <w:bCs/>
                <w:sz w:val="18"/>
                <w:szCs w:val="18"/>
              </w:rPr>
            </w:pPr>
            <w:r>
              <w:rPr>
                <w:rFonts w:cs="Arial"/>
                <w:b/>
                <w:bCs/>
                <w:sz w:val="18"/>
                <w:szCs w:val="18"/>
              </w:rPr>
              <w:t> </w:t>
            </w:r>
          </w:p>
        </w:tc>
        <w:tc>
          <w:tcPr>
            <w:tcW w:w="1652" w:type="dxa"/>
            <w:tcBorders>
              <w:top w:val="nil"/>
              <w:left w:val="nil"/>
              <w:bottom w:val="single" w:sz="4" w:space="0" w:color="D9D9D9"/>
              <w:right w:val="nil"/>
            </w:tcBorders>
            <w:shd w:val="clear" w:color="000000" w:fill="D9D9D9"/>
            <w:noWrap/>
            <w:vAlign w:val="bottom"/>
            <w:hideMark/>
          </w:tcPr>
          <w:p w14:paraId="342C6F58" w14:textId="77777777" w:rsidR="00AB6753" w:rsidRDefault="00AB6753" w:rsidP="002D1EA4">
            <w:pPr>
              <w:spacing w:after="0" w:line="240" w:lineRule="auto"/>
              <w:rPr>
                <w:rFonts w:cs="Arial"/>
                <w:sz w:val="18"/>
                <w:szCs w:val="18"/>
              </w:rPr>
            </w:pPr>
            <w:r>
              <w:rPr>
                <w:rFonts w:cs="Arial"/>
                <w:sz w:val="18"/>
                <w:szCs w:val="18"/>
              </w:rPr>
              <w:t> </w:t>
            </w:r>
          </w:p>
        </w:tc>
      </w:tr>
      <w:tr w:rsidR="00AB6753" w14:paraId="3EF8B0AD" w14:textId="77777777" w:rsidTr="002D1EA4">
        <w:trPr>
          <w:trHeight w:val="255"/>
        </w:trPr>
        <w:tc>
          <w:tcPr>
            <w:tcW w:w="4455" w:type="dxa"/>
            <w:tcBorders>
              <w:top w:val="nil"/>
              <w:left w:val="nil"/>
              <w:bottom w:val="single" w:sz="4" w:space="0" w:color="D9D9D9"/>
              <w:right w:val="nil"/>
            </w:tcBorders>
            <w:shd w:val="clear" w:color="000000" w:fill="D9D9D9"/>
            <w:vAlign w:val="bottom"/>
            <w:hideMark/>
          </w:tcPr>
          <w:p w14:paraId="651E1645" w14:textId="77777777" w:rsidR="00AB6753" w:rsidRDefault="00AB6753" w:rsidP="002D1EA4">
            <w:pPr>
              <w:spacing w:after="0" w:line="240" w:lineRule="auto"/>
              <w:rPr>
                <w:rFonts w:cs="Arial"/>
                <w:b/>
                <w:bCs/>
                <w:sz w:val="18"/>
                <w:szCs w:val="18"/>
              </w:rPr>
            </w:pPr>
            <w:r>
              <w:rPr>
                <w:rFonts w:cs="Arial"/>
                <w:b/>
                <w:bCs/>
                <w:sz w:val="18"/>
                <w:szCs w:val="18"/>
              </w:rPr>
              <w:t>Assets recognised</w:t>
            </w:r>
          </w:p>
        </w:tc>
        <w:tc>
          <w:tcPr>
            <w:tcW w:w="1652" w:type="dxa"/>
            <w:tcBorders>
              <w:top w:val="nil"/>
              <w:left w:val="nil"/>
              <w:bottom w:val="single" w:sz="4" w:space="0" w:color="D9D9D9"/>
              <w:right w:val="nil"/>
            </w:tcBorders>
            <w:shd w:val="clear" w:color="000000" w:fill="D9D9D9"/>
            <w:vAlign w:val="bottom"/>
            <w:hideMark/>
          </w:tcPr>
          <w:p w14:paraId="4E4932CD" w14:textId="77777777" w:rsidR="00AB6753" w:rsidRDefault="00AB6753" w:rsidP="002D1EA4">
            <w:pPr>
              <w:spacing w:after="0" w:line="240" w:lineRule="auto"/>
              <w:rPr>
                <w:rFonts w:cs="Arial"/>
                <w:b/>
                <w:bCs/>
                <w:sz w:val="18"/>
                <w:szCs w:val="18"/>
              </w:rPr>
            </w:pPr>
            <w:r>
              <w:rPr>
                <w:rFonts w:cs="Arial"/>
                <w:b/>
                <w:bCs/>
                <w:sz w:val="18"/>
                <w:szCs w:val="18"/>
              </w:rPr>
              <w:t> </w:t>
            </w:r>
          </w:p>
        </w:tc>
        <w:tc>
          <w:tcPr>
            <w:tcW w:w="1652" w:type="dxa"/>
            <w:tcBorders>
              <w:top w:val="nil"/>
              <w:left w:val="nil"/>
              <w:bottom w:val="single" w:sz="4" w:space="0" w:color="D9D9D9"/>
              <w:right w:val="nil"/>
            </w:tcBorders>
            <w:shd w:val="clear" w:color="000000" w:fill="D9D9D9"/>
            <w:vAlign w:val="bottom"/>
            <w:hideMark/>
          </w:tcPr>
          <w:p w14:paraId="692EC53A" w14:textId="77777777" w:rsidR="00AB6753" w:rsidRDefault="00AB6753" w:rsidP="002D1EA4">
            <w:pPr>
              <w:spacing w:after="0" w:line="240" w:lineRule="auto"/>
              <w:rPr>
                <w:rFonts w:cs="Arial"/>
                <w:b/>
                <w:bCs/>
                <w:sz w:val="18"/>
                <w:szCs w:val="18"/>
              </w:rPr>
            </w:pPr>
            <w:r>
              <w:rPr>
                <w:rFonts w:cs="Arial"/>
                <w:b/>
                <w:bCs/>
                <w:sz w:val="18"/>
                <w:szCs w:val="18"/>
              </w:rPr>
              <w:t> </w:t>
            </w:r>
          </w:p>
        </w:tc>
        <w:tc>
          <w:tcPr>
            <w:tcW w:w="1652" w:type="dxa"/>
            <w:tcBorders>
              <w:top w:val="nil"/>
              <w:left w:val="nil"/>
              <w:bottom w:val="single" w:sz="4" w:space="0" w:color="D9D9D9"/>
              <w:right w:val="nil"/>
            </w:tcBorders>
            <w:shd w:val="clear" w:color="000000" w:fill="D9D9D9"/>
            <w:noWrap/>
            <w:vAlign w:val="bottom"/>
            <w:hideMark/>
          </w:tcPr>
          <w:p w14:paraId="42512B58" w14:textId="77777777" w:rsidR="00AB6753" w:rsidRDefault="00AB6753" w:rsidP="002D1EA4">
            <w:pPr>
              <w:spacing w:after="0" w:line="240" w:lineRule="auto"/>
              <w:rPr>
                <w:rFonts w:cs="Arial"/>
                <w:sz w:val="18"/>
                <w:szCs w:val="18"/>
              </w:rPr>
            </w:pPr>
            <w:r>
              <w:rPr>
                <w:rFonts w:cs="Arial"/>
                <w:sz w:val="18"/>
                <w:szCs w:val="18"/>
              </w:rPr>
              <w:t> </w:t>
            </w:r>
          </w:p>
        </w:tc>
      </w:tr>
      <w:tr w:rsidR="00AB6753" w14:paraId="432BB1D1" w14:textId="77777777" w:rsidTr="002D1EA4">
        <w:trPr>
          <w:trHeight w:val="255"/>
        </w:trPr>
        <w:tc>
          <w:tcPr>
            <w:tcW w:w="4455" w:type="dxa"/>
            <w:tcBorders>
              <w:top w:val="nil"/>
              <w:left w:val="nil"/>
              <w:bottom w:val="nil"/>
              <w:right w:val="nil"/>
            </w:tcBorders>
            <w:shd w:val="clear" w:color="000000" w:fill="D9D9D9"/>
            <w:noWrap/>
            <w:vAlign w:val="bottom"/>
            <w:hideMark/>
          </w:tcPr>
          <w:p w14:paraId="659EB14A" w14:textId="77777777" w:rsidR="00AB6753" w:rsidRDefault="00AB6753" w:rsidP="002D1EA4">
            <w:pPr>
              <w:spacing w:after="0" w:line="240" w:lineRule="auto"/>
              <w:ind w:firstLineChars="100" w:firstLine="180"/>
              <w:rPr>
                <w:rFonts w:cs="Arial"/>
                <w:sz w:val="18"/>
                <w:szCs w:val="18"/>
              </w:rPr>
            </w:pPr>
            <w:r>
              <w:rPr>
                <w:rFonts w:cs="Arial"/>
                <w:sz w:val="18"/>
                <w:szCs w:val="18"/>
              </w:rPr>
              <w:t>Other investments</w:t>
            </w:r>
          </w:p>
        </w:tc>
        <w:tc>
          <w:tcPr>
            <w:tcW w:w="1652" w:type="dxa"/>
            <w:tcBorders>
              <w:top w:val="nil"/>
              <w:left w:val="nil"/>
              <w:bottom w:val="nil"/>
              <w:right w:val="nil"/>
            </w:tcBorders>
            <w:shd w:val="clear" w:color="000000" w:fill="D9D9D9"/>
            <w:noWrap/>
            <w:vAlign w:val="bottom"/>
            <w:hideMark/>
          </w:tcPr>
          <w:p w14:paraId="140458EC" w14:textId="77777777" w:rsidR="00AB6753" w:rsidRDefault="00AB6753" w:rsidP="002D1EA4">
            <w:pPr>
              <w:spacing w:after="0" w:line="240" w:lineRule="auto"/>
              <w:jc w:val="right"/>
              <w:rPr>
                <w:rFonts w:cs="Arial"/>
                <w:b/>
                <w:bCs/>
                <w:sz w:val="18"/>
                <w:szCs w:val="18"/>
              </w:rPr>
            </w:pPr>
            <w:r>
              <w:rPr>
                <w:rFonts w:cs="Arial"/>
                <w:b/>
                <w:bCs/>
                <w:sz w:val="18"/>
                <w:szCs w:val="18"/>
              </w:rPr>
              <w:t xml:space="preserve"> -</w:t>
            </w:r>
          </w:p>
        </w:tc>
        <w:tc>
          <w:tcPr>
            <w:tcW w:w="1652" w:type="dxa"/>
            <w:tcBorders>
              <w:top w:val="nil"/>
              <w:left w:val="nil"/>
              <w:bottom w:val="nil"/>
              <w:right w:val="nil"/>
            </w:tcBorders>
            <w:shd w:val="clear" w:color="000000" w:fill="D9D9D9"/>
            <w:noWrap/>
            <w:vAlign w:val="bottom"/>
            <w:hideMark/>
          </w:tcPr>
          <w:p w14:paraId="05D424F0" w14:textId="77777777" w:rsidR="00AB6753" w:rsidRDefault="00AB6753" w:rsidP="002D1EA4">
            <w:pPr>
              <w:spacing w:after="0" w:line="240" w:lineRule="auto"/>
              <w:jc w:val="right"/>
              <w:rPr>
                <w:rFonts w:cs="Arial"/>
                <w:b/>
                <w:bCs/>
                <w:sz w:val="18"/>
                <w:szCs w:val="18"/>
              </w:rPr>
            </w:pPr>
            <w:r>
              <w:rPr>
                <w:rFonts w:cs="Arial"/>
                <w:b/>
                <w:bCs/>
                <w:sz w:val="18"/>
                <w:szCs w:val="18"/>
              </w:rPr>
              <w:t>78,989</w:t>
            </w:r>
          </w:p>
        </w:tc>
        <w:tc>
          <w:tcPr>
            <w:tcW w:w="1652" w:type="dxa"/>
            <w:tcBorders>
              <w:top w:val="nil"/>
              <w:left w:val="nil"/>
              <w:bottom w:val="nil"/>
              <w:right w:val="nil"/>
            </w:tcBorders>
            <w:shd w:val="clear" w:color="000000" w:fill="D9D9D9"/>
            <w:noWrap/>
            <w:vAlign w:val="bottom"/>
            <w:hideMark/>
          </w:tcPr>
          <w:p w14:paraId="3699BE70" w14:textId="77777777" w:rsidR="00AB6753" w:rsidRDefault="00AB6753" w:rsidP="002D1EA4">
            <w:pPr>
              <w:spacing w:after="0" w:line="240" w:lineRule="auto"/>
              <w:jc w:val="right"/>
              <w:rPr>
                <w:rFonts w:cs="Arial"/>
                <w:sz w:val="18"/>
                <w:szCs w:val="18"/>
              </w:rPr>
            </w:pPr>
            <w:r>
              <w:rPr>
                <w:rFonts w:cs="Arial"/>
                <w:sz w:val="18"/>
                <w:szCs w:val="18"/>
              </w:rPr>
              <w:t xml:space="preserve"> -</w:t>
            </w:r>
          </w:p>
        </w:tc>
      </w:tr>
      <w:tr w:rsidR="00AB6753" w14:paraId="6F1AF046" w14:textId="77777777" w:rsidTr="002D1EA4">
        <w:trPr>
          <w:trHeight w:val="255"/>
        </w:trPr>
        <w:tc>
          <w:tcPr>
            <w:tcW w:w="4455" w:type="dxa"/>
            <w:tcBorders>
              <w:top w:val="single" w:sz="4" w:space="0" w:color="auto"/>
              <w:left w:val="nil"/>
              <w:bottom w:val="single" w:sz="4" w:space="0" w:color="auto"/>
              <w:right w:val="nil"/>
            </w:tcBorders>
            <w:shd w:val="clear" w:color="000000" w:fill="D9D9D9"/>
            <w:vAlign w:val="bottom"/>
            <w:hideMark/>
          </w:tcPr>
          <w:p w14:paraId="7E5184AD" w14:textId="77777777" w:rsidR="00AB6753" w:rsidRDefault="00AB6753" w:rsidP="002D1EA4">
            <w:pPr>
              <w:spacing w:after="0" w:line="240" w:lineRule="auto"/>
              <w:rPr>
                <w:rFonts w:cs="Arial"/>
                <w:b/>
                <w:bCs/>
                <w:sz w:val="18"/>
                <w:szCs w:val="18"/>
              </w:rPr>
            </w:pPr>
            <w:r>
              <w:rPr>
                <w:rFonts w:cs="Arial"/>
                <w:b/>
                <w:bCs/>
                <w:sz w:val="18"/>
                <w:szCs w:val="18"/>
              </w:rPr>
              <w:t>Total assets recognised</w:t>
            </w:r>
          </w:p>
        </w:tc>
        <w:tc>
          <w:tcPr>
            <w:tcW w:w="1652" w:type="dxa"/>
            <w:tcBorders>
              <w:top w:val="single" w:sz="4" w:space="0" w:color="auto"/>
              <w:left w:val="nil"/>
              <w:bottom w:val="single" w:sz="4" w:space="0" w:color="auto"/>
              <w:right w:val="nil"/>
            </w:tcBorders>
            <w:shd w:val="clear" w:color="000000" w:fill="D9D9D9"/>
            <w:noWrap/>
            <w:vAlign w:val="bottom"/>
            <w:hideMark/>
          </w:tcPr>
          <w:p w14:paraId="185BD451"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652" w:type="dxa"/>
            <w:tcBorders>
              <w:top w:val="single" w:sz="4" w:space="0" w:color="auto"/>
              <w:left w:val="nil"/>
              <w:bottom w:val="single" w:sz="4" w:space="0" w:color="auto"/>
              <w:right w:val="nil"/>
            </w:tcBorders>
            <w:shd w:val="clear" w:color="000000" w:fill="D9D9D9"/>
            <w:noWrap/>
            <w:vAlign w:val="bottom"/>
            <w:hideMark/>
          </w:tcPr>
          <w:p w14:paraId="15ECD775" w14:textId="77777777" w:rsidR="00AB6753" w:rsidRDefault="00AB6753" w:rsidP="002D1EA4">
            <w:pPr>
              <w:spacing w:after="0" w:line="240" w:lineRule="auto"/>
              <w:jc w:val="right"/>
              <w:rPr>
                <w:rFonts w:cs="Arial"/>
                <w:b/>
                <w:bCs/>
                <w:sz w:val="18"/>
                <w:szCs w:val="18"/>
              </w:rPr>
            </w:pPr>
            <w:r>
              <w:rPr>
                <w:rFonts w:cs="Arial"/>
                <w:b/>
                <w:bCs/>
                <w:sz w:val="18"/>
                <w:szCs w:val="18"/>
              </w:rPr>
              <w:t>78,989</w:t>
            </w:r>
          </w:p>
        </w:tc>
        <w:tc>
          <w:tcPr>
            <w:tcW w:w="1652" w:type="dxa"/>
            <w:tcBorders>
              <w:top w:val="single" w:sz="4" w:space="0" w:color="auto"/>
              <w:left w:val="nil"/>
              <w:bottom w:val="single" w:sz="4" w:space="0" w:color="auto"/>
              <w:right w:val="nil"/>
            </w:tcBorders>
            <w:shd w:val="clear" w:color="000000" w:fill="D9D9D9"/>
            <w:noWrap/>
            <w:vAlign w:val="bottom"/>
            <w:hideMark/>
          </w:tcPr>
          <w:p w14:paraId="3A12678A" w14:textId="77777777" w:rsidR="00AB6753" w:rsidRDefault="00AB6753" w:rsidP="002D1EA4">
            <w:pPr>
              <w:spacing w:after="0" w:line="240" w:lineRule="auto"/>
              <w:jc w:val="right"/>
              <w:rPr>
                <w:rFonts w:cs="Arial"/>
                <w:sz w:val="18"/>
                <w:szCs w:val="18"/>
              </w:rPr>
            </w:pPr>
            <w:r>
              <w:rPr>
                <w:rFonts w:cs="Arial"/>
                <w:sz w:val="18"/>
                <w:szCs w:val="18"/>
              </w:rPr>
              <w:t>-</w:t>
            </w:r>
          </w:p>
        </w:tc>
      </w:tr>
      <w:tr w:rsidR="00AB6753" w14:paraId="28796331" w14:textId="77777777" w:rsidTr="002D1EA4">
        <w:trPr>
          <w:trHeight w:val="255"/>
        </w:trPr>
        <w:tc>
          <w:tcPr>
            <w:tcW w:w="4455" w:type="dxa"/>
            <w:tcBorders>
              <w:top w:val="nil"/>
              <w:left w:val="nil"/>
              <w:bottom w:val="single" w:sz="4" w:space="0" w:color="auto"/>
              <w:right w:val="nil"/>
            </w:tcBorders>
            <w:shd w:val="clear" w:color="000000" w:fill="D9D9D9"/>
            <w:vAlign w:val="bottom"/>
            <w:hideMark/>
          </w:tcPr>
          <w:p w14:paraId="778090C8" w14:textId="77777777" w:rsidR="00AB6753" w:rsidRDefault="00AB6753" w:rsidP="002D1EA4">
            <w:pPr>
              <w:spacing w:after="0" w:line="240" w:lineRule="auto"/>
              <w:rPr>
                <w:rFonts w:cs="Arial"/>
                <w:b/>
                <w:bCs/>
                <w:sz w:val="18"/>
                <w:szCs w:val="18"/>
              </w:rPr>
            </w:pPr>
            <w:r>
              <w:rPr>
                <w:rFonts w:cs="Arial"/>
                <w:b/>
                <w:bCs/>
                <w:sz w:val="18"/>
                <w:szCs w:val="18"/>
              </w:rPr>
              <w:t>Net assets assumed</w:t>
            </w:r>
            <w:r>
              <w:rPr>
                <w:rFonts w:cs="Arial"/>
                <w:b/>
                <w:bCs/>
                <w:sz w:val="18"/>
                <w:szCs w:val="18"/>
                <w:vertAlign w:val="superscript"/>
              </w:rPr>
              <w:t>3</w:t>
            </w:r>
          </w:p>
        </w:tc>
        <w:tc>
          <w:tcPr>
            <w:tcW w:w="1652" w:type="dxa"/>
            <w:tcBorders>
              <w:top w:val="nil"/>
              <w:left w:val="nil"/>
              <w:bottom w:val="single" w:sz="4" w:space="0" w:color="auto"/>
              <w:right w:val="nil"/>
            </w:tcBorders>
            <w:shd w:val="clear" w:color="000000" w:fill="D9D9D9"/>
            <w:noWrap/>
            <w:vAlign w:val="bottom"/>
            <w:hideMark/>
          </w:tcPr>
          <w:p w14:paraId="1A3F4377"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652" w:type="dxa"/>
            <w:tcBorders>
              <w:top w:val="nil"/>
              <w:left w:val="nil"/>
              <w:bottom w:val="single" w:sz="4" w:space="0" w:color="auto"/>
              <w:right w:val="nil"/>
            </w:tcBorders>
            <w:shd w:val="clear" w:color="000000" w:fill="D9D9D9"/>
            <w:noWrap/>
            <w:vAlign w:val="bottom"/>
            <w:hideMark/>
          </w:tcPr>
          <w:p w14:paraId="080BFAFC" w14:textId="77777777" w:rsidR="00AB6753" w:rsidRDefault="00AB6753" w:rsidP="002D1EA4">
            <w:pPr>
              <w:spacing w:after="0" w:line="240" w:lineRule="auto"/>
              <w:jc w:val="right"/>
              <w:rPr>
                <w:rFonts w:cs="Arial"/>
                <w:b/>
                <w:bCs/>
                <w:sz w:val="18"/>
                <w:szCs w:val="18"/>
              </w:rPr>
            </w:pPr>
            <w:r>
              <w:rPr>
                <w:rFonts w:cs="Arial"/>
                <w:b/>
                <w:bCs/>
                <w:sz w:val="18"/>
                <w:szCs w:val="18"/>
              </w:rPr>
              <w:t>78,989</w:t>
            </w:r>
          </w:p>
        </w:tc>
        <w:tc>
          <w:tcPr>
            <w:tcW w:w="1652" w:type="dxa"/>
            <w:tcBorders>
              <w:top w:val="nil"/>
              <w:left w:val="nil"/>
              <w:bottom w:val="single" w:sz="4" w:space="0" w:color="auto"/>
              <w:right w:val="nil"/>
            </w:tcBorders>
            <w:shd w:val="clear" w:color="000000" w:fill="D9D9D9"/>
            <w:noWrap/>
            <w:vAlign w:val="bottom"/>
            <w:hideMark/>
          </w:tcPr>
          <w:p w14:paraId="4EA8455A" w14:textId="77777777" w:rsidR="00AB6753" w:rsidRDefault="00AB6753" w:rsidP="002D1EA4">
            <w:pPr>
              <w:spacing w:after="0" w:line="240" w:lineRule="auto"/>
              <w:jc w:val="right"/>
              <w:rPr>
                <w:rFonts w:cs="Arial"/>
                <w:sz w:val="18"/>
                <w:szCs w:val="18"/>
              </w:rPr>
            </w:pPr>
            <w:r>
              <w:rPr>
                <w:rFonts w:cs="Arial"/>
                <w:sz w:val="18"/>
                <w:szCs w:val="18"/>
              </w:rPr>
              <w:t>-</w:t>
            </w:r>
          </w:p>
        </w:tc>
      </w:tr>
      <w:tr w:rsidR="00AB6753" w14:paraId="3EBC4257" w14:textId="77777777" w:rsidTr="002D1EA4">
        <w:trPr>
          <w:trHeight w:val="255"/>
        </w:trPr>
        <w:tc>
          <w:tcPr>
            <w:tcW w:w="4455" w:type="dxa"/>
            <w:tcBorders>
              <w:top w:val="nil"/>
              <w:left w:val="nil"/>
              <w:bottom w:val="single" w:sz="4" w:space="0" w:color="D9D9D9"/>
              <w:right w:val="nil"/>
            </w:tcBorders>
            <w:shd w:val="clear" w:color="000000" w:fill="D9D9D9"/>
            <w:vAlign w:val="bottom"/>
            <w:hideMark/>
          </w:tcPr>
          <w:p w14:paraId="53DF0BF1" w14:textId="77777777" w:rsidR="00AB6753" w:rsidRDefault="00AB6753" w:rsidP="002D1EA4">
            <w:pPr>
              <w:spacing w:after="0" w:line="240" w:lineRule="auto"/>
              <w:rPr>
                <w:rFonts w:cs="Arial"/>
                <w:b/>
                <w:bCs/>
                <w:sz w:val="18"/>
                <w:szCs w:val="18"/>
              </w:rPr>
            </w:pPr>
            <w:r>
              <w:rPr>
                <w:rFonts w:cs="Arial"/>
                <w:b/>
                <w:bCs/>
                <w:sz w:val="18"/>
                <w:szCs w:val="18"/>
              </w:rPr>
              <w:t>FUNCTIONS RELINQUISHED</w:t>
            </w:r>
          </w:p>
        </w:tc>
        <w:tc>
          <w:tcPr>
            <w:tcW w:w="1652" w:type="dxa"/>
            <w:tcBorders>
              <w:top w:val="nil"/>
              <w:left w:val="nil"/>
              <w:bottom w:val="single" w:sz="4" w:space="0" w:color="D9D9D9"/>
              <w:right w:val="nil"/>
            </w:tcBorders>
            <w:shd w:val="clear" w:color="000000" w:fill="D9D9D9"/>
            <w:noWrap/>
            <w:vAlign w:val="bottom"/>
            <w:hideMark/>
          </w:tcPr>
          <w:p w14:paraId="2ED9FEC8" w14:textId="77777777" w:rsidR="00AB6753" w:rsidRDefault="00AB6753" w:rsidP="002D1EA4">
            <w:pPr>
              <w:spacing w:after="0" w:line="240" w:lineRule="auto"/>
              <w:rPr>
                <w:rFonts w:cs="Arial"/>
                <w:b/>
                <w:bCs/>
                <w:sz w:val="18"/>
                <w:szCs w:val="18"/>
              </w:rPr>
            </w:pPr>
            <w:r>
              <w:rPr>
                <w:rFonts w:cs="Arial"/>
                <w:b/>
                <w:bCs/>
                <w:sz w:val="18"/>
                <w:szCs w:val="18"/>
              </w:rPr>
              <w:t> </w:t>
            </w:r>
          </w:p>
        </w:tc>
        <w:tc>
          <w:tcPr>
            <w:tcW w:w="1652" w:type="dxa"/>
            <w:tcBorders>
              <w:top w:val="nil"/>
              <w:left w:val="nil"/>
              <w:bottom w:val="single" w:sz="4" w:space="0" w:color="D9D9D9"/>
              <w:right w:val="nil"/>
            </w:tcBorders>
            <w:shd w:val="clear" w:color="000000" w:fill="D9D9D9"/>
            <w:noWrap/>
            <w:vAlign w:val="bottom"/>
            <w:hideMark/>
          </w:tcPr>
          <w:p w14:paraId="7C101D83" w14:textId="77777777" w:rsidR="00AB6753" w:rsidRDefault="00AB6753" w:rsidP="002D1EA4">
            <w:pPr>
              <w:spacing w:after="0" w:line="240" w:lineRule="auto"/>
              <w:rPr>
                <w:rFonts w:cs="Arial"/>
                <w:b/>
                <w:bCs/>
                <w:sz w:val="18"/>
                <w:szCs w:val="18"/>
              </w:rPr>
            </w:pPr>
            <w:r>
              <w:rPr>
                <w:rFonts w:cs="Arial"/>
                <w:b/>
                <w:bCs/>
                <w:sz w:val="18"/>
                <w:szCs w:val="18"/>
              </w:rPr>
              <w:t> </w:t>
            </w:r>
          </w:p>
        </w:tc>
        <w:tc>
          <w:tcPr>
            <w:tcW w:w="1652" w:type="dxa"/>
            <w:tcBorders>
              <w:top w:val="nil"/>
              <w:left w:val="nil"/>
              <w:bottom w:val="single" w:sz="4" w:space="0" w:color="D9D9D9"/>
              <w:right w:val="nil"/>
            </w:tcBorders>
            <w:shd w:val="clear" w:color="000000" w:fill="D9D9D9"/>
            <w:noWrap/>
            <w:vAlign w:val="bottom"/>
            <w:hideMark/>
          </w:tcPr>
          <w:p w14:paraId="11492926" w14:textId="77777777" w:rsidR="00AB6753" w:rsidRDefault="00AB6753" w:rsidP="002D1EA4">
            <w:pPr>
              <w:spacing w:after="0" w:line="240" w:lineRule="auto"/>
              <w:rPr>
                <w:rFonts w:cs="Arial"/>
                <w:sz w:val="18"/>
                <w:szCs w:val="18"/>
              </w:rPr>
            </w:pPr>
            <w:r>
              <w:rPr>
                <w:rFonts w:cs="Arial"/>
                <w:sz w:val="18"/>
                <w:szCs w:val="18"/>
              </w:rPr>
              <w:t> </w:t>
            </w:r>
          </w:p>
        </w:tc>
      </w:tr>
      <w:tr w:rsidR="00AB6753" w14:paraId="02D1E595" w14:textId="77777777" w:rsidTr="002D1EA4">
        <w:trPr>
          <w:trHeight w:val="255"/>
        </w:trPr>
        <w:tc>
          <w:tcPr>
            <w:tcW w:w="4455" w:type="dxa"/>
            <w:tcBorders>
              <w:top w:val="nil"/>
              <w:left w:val="nil"/>
              <w:bottom w:val="single" w:sz="4" w:space="0" w:color="D9D9D9"/>
              <w:right w:val="nil"/>
            </w:tcBorders>
            <w:shd w:val="clear" w:color="000000" w:fill="D9D9D9"/>
            <w:vAlign w:val="bottom"/>
            <w:hideMark/>
          </w:tcPr>
          <w:p w14:paraId="5749CB89" w14:textId="77777777" w:rsidR="00AB6753" w:rsidRDefault="00AB6753" w:rsidP="002D1EA4">
            <w:pPr>
              <w:spacing w:after="0" w:line="240" w:lineRule="auto"/>
              <w:rPr>
                <w:rFonts w:cs="Arial"/>
                <w:b/>
                <w:bCs/>
                <w:sz w:val="18"/>
                <w:szCs w:val="18"/>
              </w:rPr>
            </w:pPr>
            <w:r>
              <w:rPr>
                <w:rFonts w:cs="Arial"/>
                <w:b/>
                <w:bCs/>
                <w:sz w:val="18"/>
                <w:szCs w:val="18"/>
              </w:rPr>
              <w:t>Assets relinquished</w:t>
            </w:r>
          </w:p>
        </w:tc>
        <w:tc>
          <w:tcPr>
            <w:tcW w:w="1652" w:type="dxa"/>
            <w:tcBorders>
              <w:top w:val="nil"/>
              <w:left w:val="nil"/>
              <w:bottom w:val="single" w:sz="4" w:space="0" w:color="D9D9D9"/>
              <w:right w:val="nil"/>
            </w:tcBorders>
            <w:shd w:val="clear" w:color="000000" w:fill="D9D9D9"/>
            <w:noWrap/>
            <w:vAlign w:val="bottom"/>
            <w:hideMark/>
          </w:tcPr>
          <w:p w14:paraId="45122EFF" w14:textId="77777777" w:rsidR="00AB6753" w:rsidRDefault="00AB6753" w:rsidP="002D1EA4">
            <w:pPr>
              <w:spacing w:after="0" w:line="240" w:lineRule="auto"/>
              <w:rPr>
                <w:rFonts w:cs="Arial"/>
                <w:b/>
                <w:bCs/>
                <w:sz w:val="18"/>
                <w:szCs w:val="18"/>
              </w:rPr>
            </w:pPr>
            <w:r>
              <w:rPr>
                <w:rFonts w:cs="Arial"/>
                <w:b/>
                <w:bCs/>
                <w:sz w:val="18"/>
                <w:szCs w:val="18"/>
              </w:rPr>
              <w:t> </w:t>
            </w:r>
          </w:p>
        </w:tc>
        <w:tc>
          <w:tcPr>
            <w:tcW w:w="1652" w:type="dxa"/>
            <w:tcBorders>
              <w:top w:val="nil"/>
              <w:left w:val="nil"/>
              <w:bottom w:val="single" w:sz="4" w:space="0" w:color="D9D9D9"/>
              <w:right w:val="nil"/>
            </w:tcBorders>
            <w:shd w:val="clear" w:color="000000" w:fill="D9D9D9"/>
            <w:noWrap/>
            <w:vAlign w:val="bottom"/>
            <w:hideMark/>
          </w:tcPr>
          <w:p w14:paraId="65A1B983" w14:textId="77777777" w:rsidR="00AB6753" w:rsidRDefault="00AB6753" w:rsidP="002D1EA4">
            <w:pPr>
              <w:spacing w:after="0" w:line="240" w:lineRule="auto"/>
              <w:rPr>
                <w:rFonts w:cs="Arial"/>
                <w:b/>
                <w:bCs/>
                <w:sz w:val="18"/>
                <w:szCs w:val="18"/>
              </w:rPr>
            </w:pPr>
            <w:r>
              <w:rPr>
                <w:rFonts w:cs="Arial"/>
                <w:b/>
                <w:bCs/>
                <w:sz w:val="18"/>
                <w:szCs w:val="18"/>
              </w:rPr>
              <w:t> </w:t>
            </w:r>
          </w:p>
        </w:tc>
        <w:tc>
          <w:tcPr>
            <w:tcW w:w="1652" w:type="dxa"/>
            <w:tcBorders>
              <w:top w:val="nil"/>
              <w:left w:val="nil"/>
              <w:bottom w:val="single" w:sz="4" w:space="0" w:color="D9D9D9"/>
              <w:right w:val="nil"/>
            </w:tcBorders>
            <w:shd w:val="clear" w:color="000000" w:fill="D9D9D9"/>
            <w:noWrap/>
            <w:vAlign w:val="bottom"/>
            <w:hideMark/>
          </w:tcPr>
          <w:p w14:paraId="0856BE5F" w14:textId="77777777" w:rsidR="00AB6753" w:rsidRDefault="00AB6753" w:rsidP="002D1EA4">
            <w:pPr>
              <w:spacing w:after="0" w:line="240" w:lineRule="auto"/>
              <w:rPr>
                <w:rFonts w:cs="Arial"/>
                <w:sz w:val="18"/>
                <w:szCs w:val="18"/>
              </w:rPr>
            </w:pPr>
            <w:r>
              <w:rPr>
                <w:rFonts w:cs="Arial"/>
                <w:sz w:val="18"/>
                <w:szCs w:val="18"/>
              </w:rPr>
              <w:t> </w:t>
            </w:r>
          </w:p>
        </w:tc>
      </w:tr>
      <w:tr w:rsidR="00AB6753" w14:paraId="684E3C26" w14:textId="77777777" w:rsidTr="002D1EA4">
        <w:trPr>
          <w:trHeight w:val="255"/>
        </w:trPr>
        <w:tc>
          <w:tcPr>
            <w:tcW w:w="4455" w:type="dxa"/>
            <w:tcBorders>
              <w:top w:val="nil"/>
              <w:left w:val="nil"/>
              <w:bottom w:val="nil"/>
              <w:right w:val="nil"/>
            </w:tcBorders>
            <w:shd w:val="clear" w:color="000000" w:fill="D9D9D9"/>
            <w:noWrap/>
            <w:vAlign w:val="bottom"/>
            <w:hideMark/>
          </w:tcPr>
          <w:p w14:paraId="496138E7" w14:textId="77777777" w:rsidR="00AB6753" w:rsidRDefault="00AB6753" w:rsidP="002D1EA4">
            <w:pPr>
              <w:spacing w:after="0" w:line="240" w:lineRule="auto"/>
              <w:ind w:firstLineChars="100" w:firstLine="180"/>
              <w:rPr>
                <w:rFonts w:cs="Arial"/>
                <w:sz w:val="18"/>
                <w:szCs w:val="18"/>
              </w:rPr>
            </w:pPr>
            <w:r>
              <w:rPr>
                <w:rFonts w:cs="Arial"/>
                <w:sz w:val="18"/>
                <w:szCs w:val="18"/>
              </w:rPr>
              <w:t>Receivables</w:t>
            </w:r>
          </w:p>
        </w:tc>
        <w:tc>
          <w:tcPr>
            <w:tcW w:w="1652" w:type="dxa"/>
            <w:tcBorders>
              <w:top w:val="nil"/>
              <w:left w:val="nil"/>
              <w:bottom w:val="nil"/>
              <w:right w:val="nil"/>
            </w:tcBorders>
            <w:shd w:val="clear" w:color="000000" w:fill="D9D9D9"/>
            <w:noWrap/>
            <w:vAlign w:val="bottom"/>
            <w:hideMark/>
          </w:tcPr>
          <w:p w14:paraId="31D0E377" w14:textId="77777777" w:rsidR="00AB6753" w:rsidRDefault="00AB6753" w:rsidP="002D1EA4">
            <w:pPr>
              <w:spacing w:after="0" w:line="240" w:lineRule="auto"/>
              <w:jc w:val="right"/>
              <w:rPr>
                <w:rFonts w:cs="Arial"/>
                <w:b/>
                <w:bCs/>
                <w:sz w:val="18"/>
                <w:szCs w:val="18"/>
              </w:rPr>
            </w:pPr>
            <w:r>
              <w:rPr>
                <w:rFonts w:cs="Arial"/>
                <w:b/>
                <w:bCs/>
                <w:sz w:val="18"/>
                <w:szCs w:val="18"/>
              </w:rPr>
              <w:t>(1)</w:t>
            </w:r>
          </w:p>
        </w:tc>
        <w:tc>
          <w:tcPr>
            <w:tcW w:w="1652" w:type="dxa"/>
            <w:tcBorders>
              <w:top w:val="nil"/>
              <w:left w:val="nil"/>
              <w:bottom w:val="nil"/>
              <w:right w:val="nil"/>
            </w:tcBorders>
            <w:shd w:val="clear" w:color="000000" w:fill="D9D9D9"/>
            <w:noWrap/>
            <w:vAlign w:val="bottom"/>
            <w:hideMark/>
          </w:tcPr>
          <w:p w14:paraId="35B32C24" w14:textId="77777777" w:rsidR="00AB6753" w:rsidRDefault="00AB6753" w:rsidP="002D1EA4">
            <w:pPr>
              <w:spacing w:after="0" w:line="240" w:lineRule="auto"/>
              <w:jc w:val="right"/>
              <w:rPr>
                <w:rFonts w:cs="Arial"/>
                <w:b/>
                <w:bCs/>
                <w:sz w:val="18"/>
                <w:szCs w:val="18"/>
              </w:rPr>
            </w:pPr>
            <w:r>
              <w:rPr>
                <w:rFonts w:cs="Arial"/>
                <w:b/>
                <w:bCs/>
                <w:sz w:val="18"/>
                <w:szCs w:val="18"/>
              </w:rPr>
              <w:t xml:space="preserve"> -</w:t>
            </w:r>
          </w:p>
        </w:tc>
        <w:tc>
          <w:tcPr>
            <w:tcW w:w="1652" w:type="dxa"/>
            <w:tcBorders>
              <w:top w:val="nil"/>
              <w:left w:val="nil"/>
              <w:bottom w:val="nil"/>
              <w:right w:val="nil"/>
            </w:tcBorders>
            <w:shd w:val="clear" w:color="000000" w:fill="D9D9D9"/>
            <w:noWrap/>
            <w:vAlign w:val="bottom"/>
            <w:hideMark/>
          </w:tcPr>
          <w:p w14:paraId="35B127BD" w14:textId="77777777" w:rsidR="00AB6753" w:rsidRDefault="00AB6753" w:rsidP="002D1EA4">
            <w:pPr>
              <w:spacing w:after="0" w:line="240" w:lineRule="auto"/>
              <w:jc w:val="right"/>
              <w:rPr>
                <w:rFonts w:cs="Arial"/>
                <w:sz w:val="18"/>
                <w:szCs w:val="18"/>
              </w:rPr>
            </w:pPr>
            <w:r>
              <w:rPr>
                <w:rFonts w:cs="Arial"/>
                <w:sz w:val="18"/>
                <w:szCs w:val="18"/>
              </w:rPr>
              <w:t xml:space="preserve"> -</w:t>
            </w:r>
          </w:p>
        </w:tc>
      </w:tr>
      <w:tr w:rsidR="00AB6753" w14:paraId="355791CE" w14:textId="77777777" w:rsidTr="002D1EA4">
        <w:trPr>
          <w:trHeight w:val="255"/>
        </w:trPr>
        <w:tc>
          <w:tcPr>
            <w:tcW w:w="4455" w:type="dxa"/>
            <w:tcBorders>
              <w:top w:val="single" w:sz="4" w:space="0" w:color="auto"/>
              <w:left w:val="nil"/>
              <w:bottom w:val="single" w:sz="4" w:space="0" w:color="auto"/>
              <w:right w:val="nil"/>
            </w:tcBorders>
            <w:shd w:val="clear" w:color="000000" w:fill="D9D9D9"/>
            <w:vAlign w:val="bottom"/>
            <w:hideMark/>
          </w:tcPr>
          <w:p w14:paraId="1C666A61" w14:textId="77777777" w:rsidR="00AB6753" w:rsidRDefault="00AB6753" w:rsidP="002D1EA4">
            <w:pPr>
              <w:spacing w:after="0" w:line="240" w:lineRule="auto"/>
              <w:rPr>
                <w:rFonts w:cs="Arial"/>
                <w:b/>
                <w:bCs/>
                <w:sz w:val="18"/>
                <w:szCs w:val="18"/>
              </w:rPr>
            </w:pPr>
            <w:r>
              <w:rPr>
                <w:rFonts w:cs="Arial"/>
                <w:b/>
                <w:bCs/>
                <w:sz w:val="18"/>
                <w:szCs w:val="18"/>
              </w:rPr>
              <w:t>Total assets relinquished</w:t>
            </w:r>
          </w:p>
        </w:tc>
        <w:tc>
          <w:tcPr>
            <w:tcW w:w="1652" w:type="dxa"/>
            <w:tcBorders>
              <w:top w:val="single" w:sz="4" w:space="0" w:color="auto"/>
              <w:left w:val="nil"/>
              <w:bottom w:val="single" w:sz="4" w:space="0" w:color="auto"/>
              <w:right w:val="nil"/>
            </w:tcBorders>
            <w:shd w:val="clear" w:color="000000" w:fill="D9D9D9"/>
            <w:noWrap/>
            <w:vAlign w:val="bottom"/>
            <w:hideMark/>
          </w:tcPr>
          <w:p w14:paraId="200BC649" w14:textId="77777777" w:rsidR="00AB6753" w:rsidRDefault="00AB6753" w:rsidP="002D1EA4">
            <w:pPr>
              <w:spacing w:after="0" w:line="240" w:lineRule="auto"/>
              <w:jc w:val="right"/>
              <w:rPr>
                <w:rFonts w:cs="Arial"/>
                <w:b/>
                <w:bCs/>
                <w:sz w:val="18"/>
                <w:szCs w:val="18"/>
              </w:rPr>
            </w:pPr>
            <w:r>
              <w:rPr>
                <w:rFonts w:cs="Arial"/>
                <w:b/>
                <w:bCs/>
                <w:sz w:val="18"/>
                <w:szCs w:val="18"/>
              </w:rPr>
              <w:t>(1)</w:t>
            </w:r>
          </w:p>
        </w:tc>
        <w:tc>
          <w:tcPr>
            <w:tcW w:w="1652" w:type="dxa"/>
            <w:tcBorders>
              <w:top w:val="single" w:sz="4" w:space="0" w:color="auto"/>
              <w:left w:val="nil"/>
              <w:bottom w:val="single" w:sz="4" w:space="0" w:color="auto"/>
              <w:right w:val="nil"/>
            </w:tcBorders>
            <w:shd w:val="clear" w:color="000000" w:fill="D9D9D9"/>
            <w:noWrap/>
            <w:vAlign w:val="bottom"/>
            <w:hideMark/>
          </w:tcPr>
          <w:p w14:paraId="7EC29716"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652" w:type="dxa"/>
            <w:tcBorders>
              <w:top w:val="single" w:sz="4" w:space="0" w:color="auto"/>
              <w:left w:val="nil"/>
              <w:bottom w:val="single" w:sz="4" w:space="0" w:color="auto"/>
              <w:right w:val="nil"/>
            </w:tcBorders>
            <w:shd w:val="clear" w:color="000000" w:fill="D9D9D9"/>
            <w:noWrap/>
            <w:vAlign w:val="bottom"/>
            <w:hideMark/>
          </w:tcPr>
          <w:p w14:paraId="0A2B2C85" w14:textId="77777777" w:rsidR="00AB6753" w:rsidRDefault="00AB6753" w:rsidP="002D1EA4">
            <w:pPr>
              <w:spacing w:after="0" w:line="240" w:lineRule="auto"/>
              <w:jc w:val="right"/>
              <w:rPr>
                <w:rFonts w:cs="Arial"/>
                <w:sz w:val="18"/>
                <w:szCs w:val="18"/>
              </w:rPr>
            </w:pPr>
            <w:r>
              <w:rPr>
                <w:rFonts w:cs="Arial"/>
                <w:sz w:val="18"/>
                <w:szCs w:val="18"/>
              </w:rPr>
              <w:t>-</w:t>
            </w:r>
          </w:p>
        </w:tc>
      </w:tr>
      <w:tr w:rsidR="00AB6753" w14:paraId="10B0B6CD" w14:textId="77777777" w:rsidTr="002D1EA4">
        <w:trPr>
          <w:trHeight w:val="255"/>
        </w:trPr>
        <w:tc>
          <w:tcPr>
            <w:tcW w:w="4455" w:type="dxa"/>
            <w:tcBorders>
              <w:top w:val="nil"/>
              <w:left w:val="nil"/>
              <w:bottom w:val="single" w:sz="4" w:space="0" w:color="D9D9D9"/>
              <w:right w:val="nil"/>
            </w:tcBorders>
            <w:shd w:val="clear" w:color="000000" w:fill="D9D9D9"/>
            <w:vAlign w:val="bottom"/>
            <w:hideMark/>
          </w:tcPr>
          <w:p w14:paraId="7B815B1B" w14:textId="77777777" w:rsidR="00AB6753" w:rsidRDefault="00AB6753" w:rsidP="002D1EA4">
            <w:pPr>
              <w:spacing w:after="0" w:line="240" w:lineRule="auto"/>
              <w:rPr>
                <w:rFonts w:cs="Arial"/>
                <w:b/>
                <w:bCs/>
                <w:sz w:val="18"/>
                <w:szCs w:val="18"/>
              </w:rPr>
            </w:pPr>
            <w:r>
              <w:rPr>
                <w:rFonts w:cs="Arial"/>
                <w:b/>
                <w:bCs/>
                <w:sz w:val="18"/>
                <w:szCs w:val="18"/>
              </w:rPr>
              <w:t>Liabilities relinquished</w:t>
            </w:r>
          </w:p>
        </w:tc>
        <w:tc>
          <w:tcPr>
            <w:tcW w:w="1652" w:type="dxa"/>
            <w:tcBorders>
              <w:top w:val="nil"/>
              <w:left w:val="nil"/>
              <w:bottom w:val="single" w:sz="4" w:space="0" w:color="D9D9D9"/>
              <w:right w:val="nil"/>
            </w:tcBorders>
            <w:shd w:val="clear" w:color="000000" w:fill="D9D9D9"/>
            <w:noWrap/>
            <w:vAlign w:val="bottom"/>
            <w:hideMark/>
          </w:tcPr>
          <w:p w14:paraId="2C9121C2" w14:textId="77777777" w:rsidR="00AB6753" w:rsidRDefault="00AB6753" w:rsidP="002D1EA4">
            <w:pPr>
              <w:spacing w:after="0" w:line="240" w:lineRule="auto"/>
              <w:rPr>
                <w:rFonts w:cs="Arial"/>
                <w:b/>
                <w:bCs/>
                <w:sz w:val="18"/>
                <w:szCs w:val="18"/>
              </w:rPr>
            </w:pPr>
            <w:r>
              <w:rPr>
                <w:rFonts w:cs="Arial"/>
                <w:b/>
                <w:bCs/>
                <w:sz w:val="18"/>
                <w:szCs w:val="18"/>
              </w:rPr>
              <w:t> </w:t>
            </w:r>
          </w:p>
        </w:tc>
        <w:tc>
          <w:tcPr>
            <w:tcW w:w="1652" w:type="dxa"/>
            <w:tcBorders>
              <w:top w:val="nil"/>
              <w:left w:val="nil"/>
              <w:bottom w:val="single" w:sz="4" w:space="0" w:color="D9D9D9"/>
              <w:right w:val="nil"/>
            </w:tcBorders>
            <w:shd w:val="clear" w:color="000000" w:fill="D9D9D9"/>
            <w:noWrap/>
            <w:vAlign w:val="bottom"/>
            <w:hideMark/>
          </w:tcPr>
          <w:p w14:paraId="56C8C832" w14:textId="77777777" w:rsidR="00AB6753" w:rsidRDefault="00AB6753" w:rsidP="002D1EA4">
            <w:pPr>
              <w:spacing w:after="0" w:line="240" w:lineRule="auto"/>
              <w:rPr>
                <w:rFonts w:cs="Arial"/>
                <w:b/>
                <w:bCs/>
                <w:sz w:val="18"/>
                <w:szCs w:val="18"/>
              </w:rPr>
            </w:pPr>
            <w:r>
              <w:rPr>
                <w:rFonts w:cs="Arial"/>
                <w:b/>
                <w:bCs/>
                <w:sz w:val="18"/>
                <w:szCs w:val="18"/>
              </w:rPr>
              <w:t> </w:t>
            </w:r>
          </w:p>
        </w:tc>
        <w:tc>
          <w:tcPr>
            <w:tcW w:w="1652" w:type="dxa"/>
            <w:tcBorders>
              <w:top w:val="nil"/>
              <w:left w:val="nil"/>
              <w:bottom w:val="single" w:sz="4" w:space="0" w:color="D9D9D9"/>
              <w:right w:val="nil"/>
            </w:tcBorders>
            <w:shd w:val="clear" w:color="000000" w:fill="D9D9D9"/>
            <w:noWrap/>
            <w:vAlign w:val="bottom"/>
            <w:hideMark/>
          </w:tcPr>
          <w:p w14:paraId="6FB51342" w14:textId="77777777" w:rsidR="00AB6753" w:rsidRDefault="00AB6753" w:rsidP="002D1EA4">
            <w:pPr>
              <w:spacing w:after="0" w:line="240" w:lineRule="auto"/>
              <w:rPr>
                <w:rFonts w:cs="Arial"/>
                <w:sz w:val="18"/>
                <w:szCs w:val="18"/>
              </w:rPr>
            </w:pPr>
            <w:r>
              <w:rPr>
                <w:rFonts w:cs="Arial"/>
                <w:sz w:val="18"/>
                <w:szCs w:val="18"/>
              </w:rPr>
              <w:t> </w:t>
            </w:r>
          </w:p>
        </w:tc>
      </w:tr>
      <w:tr w:rsidR="00AB6753" w14:paraId="077B9769" w14:textId="77777777" w:rsidTr="002D1EA4">
        <w:trPr>
          <w:trHeight w:val="255"/>
        </w:trPr>
        <w:tc>
          <w:tcPr>
            <w:tcW w:w="4455" w:type="dxa"/>
            <w:tcBorders>
              <w:top w:val="nil"/>
              <w:left w:val="nil"/>
              <w:bottom w:val="nil"/>
              <w:right w:val="nil"/>
            </w:tcBorders>
            <w:shd w:val="clear" w:color="000000" w:fill="D9D9D9"/>
            <w:noWrap/>
            <w:vAlign w:val="bottom"/>
            <w:hideMark/>
          </w:tcPr>
          <w:p w14:paraId="666198A2" w14:textId="77777777" w:rsidR="00AB6753" w:rsidRDefault="00AB6753" w:rsidP="002D1EA4">
            <w:pPr>
              <w:spacing w:after="0" w:line="240" w:lineRule="auto"/>
              <w:ind w:firstLineChars="100" w:firstLine="180"/>
              <w:rPr>
                <w:rFonts w:cs="Arial"/>
                <w:sz w:val="18"/>
                <w:szCs w:val="18"/>
              </w:rPr>
            </w:pPr>
            <w:r>
              <w:rPr>
                <w:rFonts w:cs="Arial"/>
                <w:sz w:val="18"/>
                <w:szCs w:val="18"/>
              </w:rPr>
              <w:t>Suppliers payables</w:t>
            </w:r>
          </w:p>
        </w:tc>
        <w:tc>
          <w:tcPr>
            <w:tcW w:w="1652" w:type="dxa"/>
            <w:tcBorders>
              <w:top w:val="nil"/>
              <w:left w:val="nil"/>
              <w:bottom w:val="nil"/>
              <w:right w:val="nil"/>
            </w:tcBorders>
            <w:shd w:val="clear" w:color="000000" w:fill="D9D9D9"/>
            <w:noWrap/>
            <w:vAlign w:val="bottom"/>
            <w:hideMark/>
          </w:tcPr>
          <w:p w14:paraId="4929679A" w14:textId="77777777" w:rsidR="00AB6753" w:rsidRDefault="00AB6753" w:rsidP="002D1EA4">
            <w:pPr>
              <w:spacing w:after="0" w:line="240" w:lineRule="auto"/>
              <w:jc w:val="right"/>
              <w:rPr>
                <w:rFonts w:cs="Arial"/>
                <w:b/>
                <w:bCs/>
                <w:sz w:val="18"/>
                <w:szCs w:val="18"/>
              </w:rPr>
            </w:pPr>
            <w:r>
              <w:rPr>
                <w:rFonts w:cs="Arial"/>
                <w:b/>
                <w:bCs/>
                <w:sz w:val="18"/>
                <w:szCs w:val="18"/>
              </w:rPr>
              <w:t>2,079</w:t>
            </w:r>
          </w:p>
        </w:tc>
        <w:tc>
          <w:tcPr>
            <w:tcW w:w="1652" w:type="dxa"/>
            <w:tcBorders>
              <w:top w:val="nil"/>
              <w:left w:val="nil"/>
              <w:bottom w:val="nil"/>
              <w:right w:val="nil"/>
            </w:tcBorders>
            <w:shd w:val="clear" w:color="000000" w:fill="D9D9D9"/>
            <w:noWrap/>
            <w:vAlign w:val="bottom"/>
            <w:hideMark/>
          </w:tcPr>
          <w:p w14:paraId="5478563C" w14:textId="77777777" w:rsidR="00AB6753" w:rsidRDefault="00AB6753" w:rsidP="002D1EA4">
            <w:pPr>
              <w:spacing w:after="0" w:line="240" w:lineRule="auto"/>
              <w:jc w:val="right"/>
              <w:rPr>
                <w:rFonts w:cs="Arial"/>
                <w:b/>
                <w:bCs/>
                <w:sz w:val="18"/>
                <w:szCs w:val="18"/>
              </w:rPr>
            </w:pPr>
            <w:r>
              <w:rPr>
                <w:rFonts w:cs="Arial"/>
                <w:b/>
                <w:bCs/>
                <w:sz w:val="18"/>
                <w:szCs w:val="18"/>
              </w:rPr>
              <w:t xml:space="preserve"> -</w:t>
            </w:r>
          </w:p>
        </w:tc>
        <w:tc>
          <w:tcPr>
            <w:tcW w:w="1652" w:type="dxa"/>
            <w:tcBorders>
              <w:top w:val="nil"/>
              <w:left w:val="nil"/>
              <w:bottom w:val="nil"/>
              <w:right w:val="nil"/>
            </w:tcBorders>
            <w:shd w:val="clear" w:color="000000" w:fill="D9D9D9"/>
            <w:noWrap/>
            <w:vAlign w:val="bottom"/>
            <w:hideMark/>
          </w:tcPr>
          <w:p w14:paraId="27912D17" w14:textId="77777777" w:rsidR="00AB6753" w:rsidRDefault="00AB6753" w:rsidP="002D1EA4">
            <w:pPr>
              <w:spacing w:after="0" w:line="240" w:lineRule="auto"/>
              <w:jc w:val="right"/>
              <w:rPr>
                <w:rFonts w:cs="Arial"/>
                <w:sz w:val="18"/>
                <w:szCs w:val="18"/>
              </w:rPr>
            </w:pPr>
            <w:r>
              <w:rPr>
                <w:rFonts w:cs="Arial"/>
                <w:sz w:val="18"/>
                <w:szCs w:val="18"/>
              </w:rPr>
              <w:t xml:space="preserve"> -</w:t>
            </w:r>
          </w:p>
        </w:tc>
      </w:tr>
      <w:tr w:rsidR="00AB6753" w14:paraId="08A08583" w14:textId="77777777" w:rsidTr="002D1EA4">
        <w:trPr>
          <w:trHeight w:val="255"/>
        </w:trPr>
        <w:tc>
          <w:tcPr>
            <w:tcW w:w="4455" w:type="dxa"/>
            <w:tcBorders>
              <w:top w:val="nil"/>
              <w:left w:val="nil"/>
              <w:bottom w:val="nil"/>
              <w:right w:val="nil"/>
            </w:tcBorders>
            <w:shd w:val="clear" w:color="000000" w:fill="D9D9D9"/>
            <w:noWrap/>
            <w:vAlign w:val="bottom"/>
            <w:hideMark/>
          </w:tcPr>
          <w:p w14:paraId="2B6C58A2" w14:textId="77777777" w:rsidR="00AB6753" w:rsidRDefault="00AB6753" w:rsidP="002D1EA4">
            <w:pPr>
              <w:spacing w:after="0" w:line="240" w:lineRule="auto"/>
              <w:ind w:firstLineChars="100" w:firstLine="180"/>
              <w:rPr>
                <w:rFonts w:cs="Arial"/>
                <w:sz w:val="18"/>
                <w:szCs w:val="18"/>
              </w:rPr>
            </w:pPr>
            <w:r>
              <w:rPr>
                <w:rFonts w:cs="Arial"/>
                <w:sz w:val="18"/>
                <w:szCs w:val="18"/>
              </w:rPr>
              <w:t>Grants payables</w:t>
            </w:r>
          </w:p>
        </w:tc>
        <w:tc>
          <w:tcPr>
            <w:tcW w:w="1652" w:type="dxa"/>
            <w:tcBorders>
              <w:top w:val="nil"/>
              <w:left w:val="nil"/>
              <w:bottom w:val="nil"/>
              <w:right w:val="nil"/>
            </w:tcBorders>
            <w:shd w:val="clear" w:color="000000" w:fill="D9D9D9"/>
            <w:noWrap/>
            <w:vAlign w:val="bottom"/>
            <w:hideMark/>
          </w:tcPr>
          <w:p w14:paraId="76910F3F" w14:textId="77777777" w:rsidR="00AB6753" w:rsidRDefault="00AB6753" w:rsidP="002D1EA4">
            <w:pPr>
              <w:spacing w:after="0" w:line="240" w:lineRule="auto"/>
              <w:jc w:val="right"/>
              <w:rPr>
                <w:rFonts w:cs="Arial"/>
                <w:b/>
                <w:bCs/>
                <w:sz w:val="18"/>
                <w:szCs w:val="18"/>
              </w:rPr>
            </w:pPr>
            <w:r>
              <w:rPr>
                <w:rFonts w:cs="Arial"/>
                <w:b/>
                <w:bCs/>
                <w:sz w:val="18"/>
                <w:szCs w:val="18"/>
              </w:rPr>
              <w:t>74</w:t>
            </w:r>
          </w:p>
        </w:tc>
        <w:tc>
          <w:tcPr>
            <w:tcW w:w="1652" w:type="dxa"/>
            <w:tcBorders>
              <w:top w:val="nil"/>
              <w:left w:val="nil"/>
              <w:bottom w:val="nil"/>
              <w:right w:val="nil"/>
            </w:tcBorders>
            <w:shd w:val="clear" w:color="000000" w:fill="D9D9D9"/>
            <w:noWrap/>
            <w:vAlign w:val="bottom"/>
            <w:hideMark/>
          </w:tcPr>
          <w:p w14:paraId="3602E045" w14:textId="77777777" w:rsidR="00AB6753" w:rsidRDefault="00AB6753" w:rsidP="002D1EA4">
            <w:pPr>
              <w:spacing w:after="0" w:line="240" w:lineRule="auto"/>
              <w:jc w:val="right"/>
              <w:rPr>
                <w:rFonts w:cs="Arial"/>
                <w:b/>
                <w:bCs/>
                <w:sz w:val="18"/>
                <w:szCs w:val="18"/>
              </w:rPr>
            </w:pPr>
            <w:r>
              <w:rPr>
                <w:rFonts w:cs="Arial"/>
                <w:b/>
                <w:bCs/>
                <w:sz w:val="18"/>
                <w:szCs w:val="18"/>
              </w:rPr>
              <w:t xml:space="preserve"> -</w:t>
            </w:r>
          </w:p>
        </w:tc>
        <w:tc>
          <w:tcPr>
            <w:tcW w:w="1652" w:type="dxa"/>
            <w:tcBorders>
              <w:top w:val="nil"/>
              <w:left w:val="nil"/>
              <w:bottom w:val="nil"/>
              <w:right w:val="nil"/>
            </w:tcBorders>
            <w:shd w:val="clear" w:color="000000" w:fill="D9D9D9"/>
            <w:noWrap/>
            <w:vAlign w:val="bottom"/>
            <w:hideMark/>
          </w:tcPr>
          <w:p w14:paraId="27627EA0" w14:textId="77777777" w:rsidR="00AB6753" w:rsidRDefault="00AB6753" w:rsidP="002D1EA4">
            <w:pPr>
              <w:spacing w:after="0" w:line="240" w:lineRule="auto"/>
              <w:jc w:val="right"/>
              <w:rPr>
                <w:rFonts w:cs="Arial"/>
                <w:sz w:val="18"/>
                <w:szCs w:val="18"/>
              </w:rPr>
            </w:pPr>
            <w:r>
              <w:rPr>
                <w:rFonts w:cs="Arial"/>
                <w:sz w:val="18"/>
                <w:szCs w:val="18"/>
              </w:rPr>
              <w:t xml:space="preserve"> -</w:t>
            </w:r>
          </w:p>
        </w:tc>
      </w:tr>
      <w:tr w:rsidR="00AB6753" w14:paraId="72F0895D" w14:textId="77777777" w:rsidTr="002D1EA4">
        <w:trPr>
          <w:trHeight w:val="255"/>
        </w:trPr>
        <w:tc>
          <w:tcPr>
            <w:tcW w:w="4455" w:type="dxa"/>
            <w:tcBorders>
              <w:top w:val="nil"/>
              <w:left w:val="nil"/>
              <w:bottom w:val="nil"/>
              <w:right w:val="nil"/>
            </w:tcBorders>
            <w:shd w:val="clear" w:color="000000" w:fill="D9D9D9"/>
            <w:noWrap/>
            <w:vAlign w:val="bottom"/>
            <w:hideMark/>
          </w:tcPr>
          <w:p w14:paraId="112EADB6" w14:textId="77777777" w:rsidR="00AB6753" w:rsidRDefault="00AB6753" w:rsidP="002D1EA4">
            <w:pPr>
              <w:spacing w:after="0" w:line="240" w:lineRule="auto"/>
              <w:ind w:firstLineChars="100" w:firstLine="180"/>
              <w:rPr>
                <w:rFonts w:cs="Arial"/>
                <w:sz w:val="18"/>
                <w:szCs w:val="18"/>
              </w:rPr>
            </w:pPr>
            <w:r>
              <w:rPr>
                <w:rFonts w:cs="Arial"/>
                <w:sz w:val="18"/>
                <w:szCs w:val="18"/>
              </w:rPr>
              <w:t>Other payables</w:t>
            </w:r>
          </w:p>
        </w:tc>
        <w:tc>
          <w:tcPr>
            <w:tcW w:w="1652" w:type="dxa"/>
            <w:tcBorders>
              <w:top w:val="nil"/>
              <w:left w:val="nil"/>
              <w:bottom w:val="nil"/>
              <w:right w:val="nil"/>
            </w:tcBorders>
            <w:shd w:val="clear" w:color="000000" w:fill="D9D9D9"/>
            <w:noWrap/>
            <w:vAlign w:val="bottom"/>
            <w:hideMark/>
          </w:tcPr>
          <w:p w14:paraId="46CADEA8" w14:textId="77777777" w:rsidR="00AB6753" w:rsidRDefault="00AB6753" w:rsidP="002D1EA4">
            <w:pPr>
              <w:spacing w:after="0" w:line="240" w:lineRule="auto"/>
              <w:jc w:val="right"/>
              <w:rPr>
                <w:rFonts w:cs="Arial"/>
                <w:b/>
                <w:bCs/>
                <w:sz w:val="18"/>
                <w:szCs w:val="18"/>
              </w:rPr>
            </w:pPr>
            <w:r>
              <w:rPr>
                <w:rFonts w:cs="Arial"/>
                <w:b/>
                <w:bCs/>
                <w:sz w:val="18"/>
                <w:szCs w:val="18"/>
              </w:rPr>
              <w:t>2,963</w:t>
            </w:r>
          </w:p>
        </w:tc>
        <w:tc>
          <w:tcPr>
            <w:tcW w:w="1652" w:type="dxa"/>
            <w:tcBorders>
              <w:top w:val="nil"/>
              <w:left w:val="nil"/>
              <w:bottom w:val="nil"/>
              <w:right w:val="nil"/>
            </w:tcBorders>
            <w:shd w:val="clear" w:color="000000" w:fill="D9D9D9"/>
            <w:noWrap/>
            <w:vAlign w:val="bottom"/>
            <w:hideMark/>
          </w:tcPr>
          <w:p w14:paraId="6FCCAE11" w14:textId="77777777" w:rsidR="00AB6753" w:rsidRDefault="00AB6753" w:rsidP="002D1EA4">
            <w:pPr>
              <w:spacing w:after="0" w:line="240" w:lineRule="auto"/>
              <w:jc w:val="right"/>
              <w:rPr>
                <w:rFonts w:cs="Arial"/>
                <w:b/>
                <w:bCs/>
                <w:sz w:val="18"/>
                <w:szCs w:val="18"/>
              </w:rPr>
            </w:pPr>
            <w:r>
              <w:rPr>
                <w:rFonts w:cs="Arial"/>
                <w:b/>
                <w:bCs/>
                <w:sz w:val="18"/>
                <w:szCs w:val="18"/>
              </w:rPr>
              <w:t xml:space="preserve"> -</w:t>
            </w:r>
          </w:p>
        </w:tc>
        <w:tc>
          <w:tcPr>
            <w:tcW w:w="1652" w:type="dxa"/>
            <w:tcBorders>
              <w:top w:val="nil"/>
              <w:left w:val="nil"/>
              <w:bottom w:val="nil"/>
              <w:right w:val="nil"/>
            </w:tcBorders>
            <w:shd w:val="clear" w:color="000000" w:fill="D9D9D9"/>
            <w:noWrap/>
            <w:vAlign w:val="bottom"/>
            <w:hideMark/>
          </w:tcPr>
          <w:p w14:paraId="1A3EB69E" w14:textId="77777777" w:rsidR="00AB6753" w:rsidRDefault="00AB6753" w:rsidP="002D1EA4">
            <w:pPr>
              <w:spacing w:after="0" w:line="240" w:lineRule="auto"/>
              <w:jc w:val="right"/>
              <w:rPr>
                <w:rFonts w:cs="Arial"/>
                <w:sz w:val="18"/>
                <w:szCs w:val="18"/>
              </w:rPr>
            </w:pPr>
            <w:r>
              <w:rPr>
                <w:rFonts w:cs="Arial"/>
                <w:sz w:val="18"/>
                <w:szCs w:val="18"/>
              </w:rPr>
              <w:t xml:space="preserve"> -</w:t>
            </w:r>
          </w:p>
        </w:tc>
      </w:tr>
      <w:tr w:rsidR="00AB6753" w14:paraId="1DF8E16E" w14:textId="77777777" w:rsidTr="002D1EA4">
        <w:trPr>
          <w:trHeight w:val="255"/>
        </w:trPr>
        <w:tc>
          <w:tcPr>
            <w:tcW w:w="4455" w:type="dxa"/>
            <w:tcBorders>
              <w:top w:val="single" w:sz="4" w:space="0" w:color="auto"/>
              <w:left w:val="nil"/>
              <w:bottom w:val="single" w:sz="4" w:space="0" w:color="auto"/>
              <w:right w:val="nil"/>
            </w:tcBorders>
            <w:shd w:val="clear" w:color="000000" w:fill="D9D9D9"/>
            <w:vAlign w:val="bottom"/>
            <w:hideMark/>
          </w:tcPr>
          <w:p w14:paraId="10D296F2" w14:textId="77777777" w:rsidR="00AB6753" w:rsidRDefault="00AB6753" w:rsidP="002D1EA4">
            <w:pPr>
              <w:spacing w:after="0" w:line="240" w:lineRule="auto"/>
              <w:rPr>
                <w:rFonts w:cs="Arial"/>
                <w:b/>
                <w:bCs/>
                <w:sz w:val="18"/>
                <w:szCs w:val="18"/>
              </w:rPr>
            </w:pPr>
            <w:r>
              <w:rPr>
                <w:rFonts w:cs="Arial"/>
                <w:b/>
                <w:bCs/>
                <w:sz w:val="18"/>
                <w:szCs w:val="18"/>
              </w:rPr>
              <w:t>Total liabilities relinquished</w:t>
            </w:r>
          </w:p>
        </w:tc>
        <w:tc>
          <w:tcPr>
            <w:tcW w:w="1652" w:type="dxa"/>
            <w:tcBorders>
              <w:top w:val="single" w:sz="4" w:space="0" w:color="auto"/>
              <w:left w:val="nil"/>
              <w:bottom w:val="single" w:sz="4" w:space="0" w:color="auto"/>
              <w:right w:val="nil"/>
            </w:tcBorders>
            <w:shd w:val="clear" w:color="000000" w:fill="D9D9D9"/>
            <w:noWrap/>
            <w:vAlign w:val="bottom"/>
            <w:hideMark/>
          </w:tcPr>
          <w:p w14:paraId="79F57397" w14:textId="77777777" w:rsidR="00AB6753" w:rsidRDefault="00AB6753" w:rsidP="002D1EA4">
            <w:pPr>
              <w:spacing w:after="0" w:line="240" w:lineRule="auto"/>
              <w:jc w:val="right"/>
              <w:rPr>
                <w:rFonts w:cs="Arial"/>
                <w:b/>
                <w:bCs/>
                <w:sz w:val="18"/>
                <w:szCs w:val="18"/>
              </w:rPr>
            </w:pPr>
            <w:r>
              <w:rPr>
                <w:rFonts w:cs="Arial"/>
                <w:b/>
                <w:bCs/>
                <w:sz w:val="18"/>
                <w:szCs w:val="18"/>
              </w:rPr>
              <w:t>5,116</w:t>
            </w:r>
          </w:p>
        </w:tc>
        <w:tc>
          <w:tcPr>
            <w:tcW w:w="1652" w:type="dxa"/>
            <w:tcBorders>
              <w:top w:val="single" w:sz="4" w:space="0" w:color="auto"/>
              <w:left w:val="nil"/>
              <w:bottom w:val="single" w:sz="4" w:space="0" w:color="auto"/>
              <w:right w:val="nil"/>
            </w:tcBorders>
            <w:shd w:val="clear" w:color="000000" w:fill="D9D9D9"/>
            <w:noWrap/>
            <w:vAlign w:val="bottom"/>
            <w:hideMark/>
          </w:tcPr>
          <w:p w14:paraId="5860521A"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652" w:type="dxa"/>
            <w:tcBorders>
              <w:top w:val="single" w:sz="4" w:space="0" w:color="auto"/>
              <w:left w:val="nil"/>
              <w:bottom w:val="single" w:sz="4" w:space="0" w:color="auto"/>
              <w:right w:val="nil"/>
            </w:tcBorders>
            <w:shd w:val="clear" w:color="000000" w:fill="D9D9D9"/>
            <w:noWrap/>
            <w:vAlign w:val="bottom"/>
            <w:hideMark/>
          </w:tcPr>
          <w:p w14:paraId="023A9F2B" w14:textId="77777777" w:rsidR="00AB6753" w:rsidRDefault="00AB6753" w:rsidP="002D1EA4">
            <w:pPr>
              <w:spacing w:after="0" w:line="240" w:lineRule="auto"/>
              <w:jc w:val="right"/>
              <w:rPr>
                <w:rFonts w:cs="Arial"/>
                <w:sz w:val="18"/>
                <w:szCs w:val="18"/>
              </w:rPr>
            </w:pPr>
            <w:r>
              <w:rPr>
                <w:rFonts w:cs="Arial"/>
                <w:sz w:val="18"/>
                <w:szCs w:val="18"/>
              </w:rPr>
              <w:t>-</w:t>
            </w:r>
          </w:p>
        </w:tc>
      </w:tr>
      <w:tr w:rsidR="00AB6753" w14:paraId="387B657D" w14:textId="77777777" w:rsidTr="002D1EA4">
        <w:trPr>
          <w:trHeight w:val="255"/>
        </w:trPr>
        <w:tc>
          <w:tcPr>
            <w:tcW w:w="4455" w:type="dxa"/>
            <w:tcBorders>
              <w:top w:val="nil"/>
              <w:left w:val="nil"/>
              <w:bottom w:val="single" w:sz="4" w:space="0" w:color="auto"/>
              <w:right w:val="nil"/>
            </w:tcBorders>
            <w:shd w:val="clear" w:color="000000" w:fill="D9D9D9"/>
            <w:vAlign w:val="bottom"/>
            <w:hideMark/>
          </w:tcPr>
          <w:p w14:paraId="6FED0443" w14:textId="77777777" w:rsidR="00AB6753" w:rsidRDefault="00AB6753" w:rsidP="002D1EA4">
            <w:pPr>
              <w:spacing w:after="0" w:line="240" w:lineRule="auto"/>
              <w:rPr>
                <w:rFonts w:cs="Arial"/>
                <w:b/>
                <w:bCs/>
                <w:sz w:val="18"/>
                <w:szCs w:val="18"/>
              </w:rPr>
            </w:pPr>
            <w:r>
              <w:rPr>
                <w:rFonts w:cs="Arial"/>
                <w:b/>
                <w:bCs/>
                <w:sz w:val="18"/>
                <w:szCs w:val="18"/>
              </w:rPr>
              <w:t>Net liabilities relinquished</w:t>
            </w:r>
          </w:p>
        </w:tc>
        <w:tc>
          <w:tcPr>
            <w:tcW w:w="1652" w:type="dxa"/>
            <w:tcBorders>
              <w:top w:val="nil"/>
              <w:left w:val="nil"/>
              <w:bottom w:val="single" w:sz="4" w:space="0" w:color="auto"/>
              <w:right w:val="nil"/>
            </w:tcBorders>
            <w:shd w:val="clear" w:color="000000" w:fill="D9D9D9"/>
            <w:noWrap/>
            <w:vAlign w:val="bottom"/>
            <w:hideMark/>
          </w:tcPr>
          <w:p w14:paraId="72C9843C" w14:textId="77777777" w:rsidR="00AB6753" w:rsidRDefault="00AB6753" w:rsidP="002D1EA4">
            <w:pPr>
              <w:spacing w:after="0" w:line="240" w:lineRule="auto"/>
              <w:jc w:val="right"/>
              <w:rPr>
                <w:rFonts w:cs="Arial"/>
                <w:b/>
                <w:bCs/>
                <w:sz w:val="18"/>
                <w:szCs w:val="18"/>
              </w:rPr>
            </w:pPr>
            <w:r>
              <w:rPr>
                <w:rFonts w:cs="Arial"/>
                <w:b/>
                <w:bCs/>
                <w:sz w:val="18"/>
                <w:szCs w:val="18"/>
              </w:rPr>
              <w:t>5,115</w:t>
            </w:r>
          </w:p>
        </w:tc>
        <w:tc>
          <w:tcPr>
            <w:tcW w:w="1652" w:type="dxa"/>
            <w:tcBorders>
              <w:top w:val="nil"/>
              <w:left w:val="nil"/>
              <w:bottom w:val="single" w:sz="4" w:space="0" w:color="auto"/>
              <w:right w:val="nil"/>
            </w:tcBorders>
            <w:shd w:val="clear" w:color="000000" w:fill="D9D9D9"/>
            <w:noWrap/>
            <w:vAlign w:val="bottom"/>
            <w:hideMark/>
          </w:tcPr>
          <w:p w14:paraId="37E2E26A" w14:textId="77777777" w:rsidR="00AB6753" w:rsidRDefault="00AB6753" w:rsidP="002D1EA4">
            <w:pPr>
              <w:spacing w:after="0" w:line="240" w:lineRule="auto"/>
              <w:jc w:val="right"/>
              <w:rPr>
                <w:rFonts w:cs="Arial"/>
                <w:b/>
                <w:bCs/>
                <w:sz w:val="18"/>
                <w:szCs w:val="18"/>
              </w:rPr>
            </w:pPr>
            <w:r>
              <w:rPr>
                <w:rFonts w:cs="Arial"/>
                <w:b/>
                <w:bCs/>
                <w:sz w:val="18"/>
                <w:szCs w:val="18"/>
              </w:rPr>
              <w:t>-</w:t>
            </w:r>
          </w:p>
        </w:tc>
        <w:tc>
          <w:tcPr>
            <w:tcW w:w="1652" w:type="dxa"/>
            <w:tcBorders>
              <w:top w:val="nil"/>
              <w:left w:val="nil"/>
              <w:bottom w:val="single" w:sz="4" w:space="0" w:color="auto"/>
              <w:right w:val="nil"/>
            </w:tcBorders>
            <w:shd w:val="clear" w:color="000000" w:fill="D9D9D9"/>
            <w:noWrap/>
            <w:vAlign w:val="bottom"/>
            <w:hideMark/>
          </w:tcPr>
          <w:p w14:paraId="1614D6A6" w14:textId="77777777" w:rsidR="00AB6753" w:rsidRDefault="00AB6753" w:rsidP="002D1EA4">
            <w:pPr>
              <w:spacing w:after="0" w:line="240" w:lineRule="auto"/>
              <w:jc w:val="right"/>
              <w:rPr>
                <w:rFonts w:cs="Arial"/>
                <w:sz w:val="18"/>
                <w:szCs w:val="18"/>
              </w:rPr>
            </w:pPr>
            <w:r>
              <w:rPr>
                <w:rFonts w:cs="Arial"/>
                <w:sz w:val="18"/>
                <w:szCs w:val="18"/>
              </w:rPr>
              <w:t>-</w:t>
            </w:r>
          </w:p>
        </w:tc>
      </w:tr>
    </w:tbl>
    <w:p w14:paraId="70F13550" w14:textId="77777777" w:rsidR="00AB6753" w:rsidRPr="000B19E3" w:rsidRDefault="00AB6753" w:rsidP="00AB6753">
      <w:pPr>
        <w:pStyle w:val="NotesText0"/>
        <w:shd w:val="clear" w:color="auto" w:fill="D9D9D9" w:themeFill="background1" w:themeFillShade="D9"/>
        <w:spacing w:before="0" w:after="120"/>
        <w:ind w:left="-17" w:right="57"/>
        <w:rPr>
          <w:szCs w:val="18"/>
          <w:highlight w:val="yellow"/>
        </w:rPr>
      </w:pPr>
    </w:p>
    <w:p w14:paraId="70973426" w14:textId="77777777" w:rsidR="00AB6753" w:rsidRPr="00E4670D" w:rsidRDefault="00AB6753" w:rsidP="00AB6753">
      <w:pPr>
        <w:pStyle w:val="NotesText0"/>
        <w:numPr>
          <w:ilvl w:val="0"/>
          <w:numId w:val="52"/>
        </w:numPr>
        <w:shd w:val="clear" w:color="auto" w:fill="D9D9D9" w:themeFill="background1" w:themeFillShade="D9"/>
        <w:spacing w:before="0" w:after="120"/>
        <w:ind w:left="125" w:right="57" w:hanging="142"/>
        <w:rPr>
          <w:szCs w:val="18"/>
        </w:rPr>
      </w:pPr>
      <w:r>
        <w:rPr>
          <w:szCs w:val="18"/>
        </w:rPr>
        <w:t xml:space="preserve">The </w:t>
      </w:r>
      <w:r w:rsidRPr="00E4670D">
        <w:rPr>
          <w:szCs w:val="18"/>
        </w:rPr>
        <w:t>Settlement Services function was relinquished by the department to the Department of Home Affairs during the 2020 financial year</w:t>
      </w:r>
      <w:r>
        <w:rPr>
          <w:szCs w:val="18"/>
        </w:rPr>
        <w:t xml:space="preserve"> as a result of the Administrative Arrangements Order issued on 29 May 2019</w:t>
      </w:r>
      <w:r w:rsidRPr="00E4670D">
        <w:rPr>
          <w:szCs w:val="18"/>
        </w:rPr>
        <w:t>.</w:t>
      </w:r>
    </w:p>
    <w:p w14:paraId="73B879D5" w14:textId="77777777" w:rsidR="00AB6753" w:rsidRPr="00E4670D" w:rsidRDefault="00AB6753" w:rsidP="00AB6753">
      <w:pPr>
        <w:pStyle w:val="NotesText0"/>
        <w:numPr>
          <w:ilvl w:val="0"/>
          <w:numId w:val="52"/>
        </w:numPr>
        <w:shd w:val="clear" w:color="auto" w:fill="D9D9D9" w:themeFill="background1" w:themeFillShade="D9"/>
        <w:spacing w:before="0" w:after="120"/>
        <w:ind w:left="125" w:right="57" w:hanging="142"/>
        <w:rPr>
          <w:szCs w:val="18"/>
        </w:rPr>
      </w:pPr>
      <w:r w:rsidRPr="00E4670D">
        <w:rPr>
          <w:szCs w:val="18"/>
        </w:rPr>
        <w:t xml:space="preserve">The net asset value of Hearing Australia transferred from Services Australia to the department following the Administrative Arrangement Orders of 5 December 2019. The transfer value reflects the administered investment in Hearing Australia, being the net assets of the entity </w:t>
      </w:r>
      <w:r>
        <w:rPr>
          <w:szCs w:val="18"/>
        </w:rPr>
        <w:t>for the Administered</w:t>
      </w:r>
      <w:r w:rsidRPr="00E4670D">
        <w:rPr>
          <w:szCs w:val="18"/>
        </w:rPr>
        <w:t xml:space="preserve"> </w:t>
      </w:r>
      <w:r>
        <w:rPr>
          <w:szCs w:val="18"/>
        </w:rPr>
        <w:t>Investment value as at 30 June 2019. For the Administered Investment value as at 30 June 2020, r</w:t>
      </w:r>
      <w:r w:rsidRPr="00E4670D">
        <w:rPr>
          <w:szCs w:val="18"/>
        </w:rPr>
        <w:t xml:space="preserve">efer to </w:t>
      </w:r>
      <w:r>
        <w:rPr>
          <w:szCs w:val="18"/>
        </w:rPr>
        <w:t>N</w:t>
      </w:r>
      <w:r w:rsidRPr="00E4670D">
        <w:rPr>
          <w:szCs w:val="18"/>
        </w:rPr>
        <w:t>ote 4.1C.</w:t>
      </w:r>
    </w:p>
    <w:p w14:paraId="0726CD1B" w14:textId="77777777" w:rsidR="00AB6753" w:rsidRDefault="00AB6753" w:rsidP="00AB6753">
      <w:pPr>
        <w:pStyle w:val="NotesText0"/>
        <w:numPr>
          <w:ilvl w:val="0"/>
          <w:numId w:val="52"/>
        </w:numPr>
        <w:shd w:val="clear" w:color="auto" w:fill="D9D9D9" w:themeFill="background1" w:themeFillShade="D9"/>
        <w:spacing w:before="0" w:after="120"/>
        <w:ind w:left="125" w:right="57" w:hanging="142"/>
      </w:pPr>
      <w:r w:rsidRPr="00E4670D">
        <w:rPr>
          <w:szCs w:val="18"/>
        </w:rPr>
        <w:t>In respect of functions assumed, the net book v</w:t>
      </w:r>
      <w:r>
        <w:rPr>
          <w:szCs w:val="18"/>
        </w:rPr>
        <w:t>alues of assets and liabilities</w:t>
      </w:r>
      <w:r w:rsidRPr="00E4670D">
        <w:rPr>
          <w:szCs w:val="18"/>
        </w:rPr>
        <w:t xml:space="preserve"> were transferred to the department for no consideration.</w:t>
      </w:r>
      <w:r>
        <w:br w:type="page"/>
      </w:r>
    </w:p>
    <w:p w14:paraId="7697277F" w14:textId="77777777" w:rsidR="00AB6753" w:rsidRDefault="00AB6753" w:rsidP="00AB6753">
      <w:pPr>
        <w:spacing w:line="240" w:lineRule="auto"/>
        <w:ind w:right="282"/>
        <w:sectPr w:rsidR="00AB6753" w:rsidSect="00AF24E8">
          <w:pgSz w:w="11906" w:h="16838" w:code="9"/>
          <w:pgMar w:top="1134" w:right="1274" w:bottom="993" w:left="1134" w:header="958" w:footer="737" w:gutter="0"/>
          <w:cols w:space="708"/>
          <w:docGrid w:linePitch="360"/>
        </w:sectPr>
      </w:pPr>
    </w:p>
    <w:p w14:paraId="1FD3372A" w14:textId="77777777" w:rsidR="00AB6753" w:rsidRPr="005866FE" w:rsidRDefault="00AB6753" w:rsidP="00AB6753">
      <w:pPr>
        <w:pStyle w:val="SubHeading"/>
        <w:numPr>
          <w:ilvl w:val="1"/>
          <w:numId w:val="58"/>
        </w:numPr>
        <w:spacing w:after="120"/>
        <w:ind w:left="454" w:hanging="454"/>
        <w:rPr>
          <w:sz w:val="20"/>
          <w:szCs w:val="20"/>
        </w:rPr>
      </w:pPr>
      <w:bookmarkStart w:id="261" w:name="_Toc456015335"/>
      <w:bookmarkStart w:id="262" w:name="_Ref456959623"/>
      <w:bookmarkStart w:id="263" w:name="_Toc45748833"/>
      <w:bookmarkStart w:id="264" w:name="_Toc450750188"/>
      <w:r w:rsidRPr="005866FE">
        <w:rPr>
          <w:sz w:val="20"/>
          <w:szCs w:val="20"/>
        </w:rPr>
        <w:lastRenderedPageBreak/>
        <w:t>Breach of Section 83 of the Constitution</w:t>
      </w:r>
      <w:bookmarkEnd w:id="261"/>
      <w:bookmarkEnd w:id="262"/>
      <w:bookmarkEnd w:id="263"/>
    </w:p>
    <w:p w14:paraId="04F7FBD6" w14:textId="77777777" w:rsidR="00AB6753" w:rsidRPr="005866FE" w:rsidRDefault="00AB6753" w:rsidP="00AB6753">
      <w:pPr>
        <w:pStyle w:val="NotesHeading-Level1"/>
        <w:numPr>
          <w:ilvl w:val="0"/>
          <w:numId w:val="0"/>
        </w:numPr>
        <w:spacing w:after="120"/>
        <w:ind w:right="-46"/>
        <w:outlineLvl w:val="9"/>
        <w:rPr>
          <w:sz w:val="20"/>
          <w:szCs w:val="20"/>
        </w:rPr>
      </w:pPr>
      <w:bookmarkStart w:id="265" w:name="_Toc416981039"/>
      <w:bookmarkStart w:id="266" w:name="_Toc450750154"/>
      <w:r w:rsidRPr="005866FE">
        <w:rPr>
          <w:sz w:val="20"/>
          <w:szCs w:val="20"/>
        </w:rPr>
        <w:t>Compliance with Statutory Conditions for Payments from the Consolidated Revenue Fund</w:t>
      </w:r>
      <w:bookmarkEnd w:id="265"/>
      <w:bookmarkEnd w:id="266"/>
    </w:p>
    <w:p w14:paraId="3884EF59" w14:textId="77777777" w:rsidR="00AB6753" w:rsidRPr="00E017ED" w:rsidRDefault="00AB6753" w:rsidP="00AB6753">
      <w:pPr>
        <w:spacing w:after="0" w:line="260" w:lineRule="atLeast"/>
        <w:rPr>
          <w:rFonts w:cs="Arial"/>
          <w:sz w:val="18"/>
          <w:szCs w:val="18"/>
        </w:rPr>
      </w:pPr>
      <w:r w:rsidRPr="00E017ED">
        <w:rPr>
          <w:rFonts w:cs="Arial"/>
          <w:sz w:val="18"/>
          <w:szCs w:val="18"/>
        </w:rPr>
        <w:t xml:space="preserve">Section 83 of the </w:t>
      </w:r>
      <w:r w:rsidRPr="00E017ED">
        <w:rPr>
          <w:rFonts w:cs="Arial"/>
          <w:i/>
          <w:sz w:val="18"/>
          <w:szCs w:val="18"/>
        </w:rPr>
        <w:t>Commonwealth of Australia Constitution Act 1900</w:t>
      </w:r>
      <w:r w:rsidRPr="00E017ED">
        <w:rPr>
          <w:rFonts w:cs="Arial"/>
          <w:sz w:val="18"/>
          <w:szCs w:val="18"/>
        </w:rPr>
        <w:t xml:space="preserve"> (“the Constitution”) p</w:t>
      </w:r>
      <w:r>
        <w:rPr>
          <w:rFonts w:cs="Arial"/>
          <w:sz w:val="18"/>
          <w:szCs w:val="18"/>
        </w:rPr>
        <w:t xml:space="preserve">rovides that no amount </w:t>
      </w:r>
      <w:r w:rsidRPr="00E017ED">
        <w:rPr>
          <w:rFonts w:cs="Arial"/>
          <w:sz w:val="18"/>
          <w:szCs w:val="18"/>
        </w:rPr>
        <w:t>may be paid out of the Consolidated Revenue Fund except under an appropriation by law.</w:t>
      </w:r>
    </w:p>
    <w:p w14:paraId="5EDF026C" w14:textId="77777777" w:rsidR="00AB6753" w:rsidRPr="00E017ED" w:rsidRDefault="00AB6753" w:rsidP="00AB6753">
      <w:pPr>
        <w:spacing w:after="0" w:line="260" w:lineRule="atLeast"/>
        <w:rPr>
          <w:rFonts w:cs="Arial"/>
          <w:sz w:val="18"/>
          <w:szCs w:val="18"/>
        </w:rPr>
      </w:pPr>
    </w:p>
    <w:p w14:paraId="2C6CC1F3" w14:textId="77777777" w:rsidR="00AB6753" w:rsidRPr="00E017ED" w:rsidRDefault="00AB6753" w:rsidP="00AB6753">
      <w:pPr>
        <w:spacing w:after="0" w:line="260" w:lineRule="atLeast"/>
        <w:rPr>
          <w:rFonts w:cs="Arial"/>
          <w:sz w:val="18"/>
          <w:szCs w:val="18"/>
        </w:rPr>
      </w:pPr>
      <w:r w:rsidRPr="00E017ED">
        <w:rPr>
          <w:rFonts w:cs="Arial"/>
          <w:sz w:val="18"/>
          <w:szCs w:val="18"/>
        </w:rPr>
        <w:t xml:space="preserve">In </w:t>
      </w:r>
      <w:r>
        <w:rPr>
          <w:rFonts w:cs="Arial"/>
          <w:sz w:val="18"/>
          <w:szCs w:val="18"/>
        </w:rPr>
        <w:t>the 2020 financial year</w:t>
      </w:r>
      <w:r w:rsidRPr="00E017ED">
        <w:rPr>
          <w:rFonts w:cs="Arial"/>
          <w:sz w:val="18"/>
          <w:szCs w:val="18"/>
        </w:rPr>
        <w:t xml:space="preserve">, the department identified payments that did not meet the statutory conditions for payment under Section 83, for payments made under the </w:t>
      </w:r>
      <w:r w:rsidRPr="00E017ED">
        <w:rPr>
          <w:rFonts w:cs="Arial"/>
          <w:i/>
          <w:sz w:val="18"/>
          <w:szCs w:val="18"/>
        </w:rPr>
        <w:t xml:space="preserve">Student Assistance Act 1973 </w:t>
      </w:r>
      <w:r>
        <w:rPr>
          <w:rFonts w:cs="Arial"/>
          <w:sz w:val="18"/>
          <w:szCs w:val="18"/>
        </w:rPr>
        <w:t>and 14 </w:t>
      </w:r>
      <w:r w:rsidRPr="00E017ED">
        <w:rPr>
          <w:rFonts w:cs="Arial"/>
          <w:sz w:val="18"/>
          <w:szCs w:val="18"/>
        </w:rPr>
        <w:t xml:space="preserve">instances of adjustments from administered to departmental appropriation within </w:t>
      </w:r>
      <w:r w:rsidRPr="008E74A3">
        <w:rPr>
          <w:rFonts w:cs="Arial"/>
          <w:i/>
          <w:sz w:val="18"/>
          <w:szCs w:val="18"/>
        </w:rPr>
        <w:t>Appropriation Act (No.1) 2019-20</w:t>
      </w:r>
      <w:r w:rsidRPr="00E017ED">
        <w:rPr>
          <w:rFonts w:cs="Arial"/>
          <w:sz w:val="18"/>
          <w:szCs w:val="18"/>
        </w:rPr>
        <w:t xml:space="preserve"> to the value of $0.007 million.</w:t>
      </w:r>
    </w:p>
    <w:p w14:paraId="63596383" w14:textId="77777777" w:rsidR="00AB6753" w:rsidRPr="00E017ED" w:rsidRDefault="00AB6753" w:rsidP="00AB6753">
      <w:pPr>
        <w:spacing w:after="0" w:line="260" w:lineRule="atLeast"/>
        <w:rPr>
          <w:rFonts w:cs="Arial"/>
          <w:sz w:val="18"/>
          <w:szCs w:val="18"/>
        </w:rPr>
      </w:pPr>
    </w:p>
    <w:p w14:paraId="774B896E" w14:textId="77777777" w:rsidR="00AB6753" w:rsidRPr="00E017ED" w:rsidRDefault="00AB6753" w:rsidP="00AB6753">
      <w:pPr>
        <w:spacing w:after="0" w:line="260" w:lineRule="atLeast"/>
        <w:rPr>
          <w:rFonts w:cs="Arial"/>
          <w:sz w:val="18"/>
          <w:szCs w:val="18"/>
        </w:rPr>
      </w:pPr>
      <w:r w:rsidRPr="00E017ED">
        <w:rPr>
          <w:rFonts w:cs="Arial"/>
          <w:sz w:val="18"/>
          <w:szCs w:val="18"/>
        </w:rPr>
        <w:t xml:space="preserve">The identified breaches under the </w:t>
      </w:r>
      <w:r w:rsidRPr="00E017ED">
        <w:rPr>
          <w:rFonts w:cs="Arial"/>
          <w:i/>
          <w:sz w:val="18"/>
          <w:szCs w:val="18"/>
        </w:rPr>
        <w:t>Student Assistance Act 1973</w:t>
      </w:r>
      <w:r w:rsidRPr="00E017ED">
        <w:rPr>
          <w:rFonts w:cs="Arial"/>
          <w:sz w:val="18"/>
          <w:szCs w:val="18"/>
        </w:rPr>
        <w:t xml:space="preserve"> relate to payments of benefits under the ABSTUDY scheme and Assistance for Isolated Children scheme to persons who have not p</w:t>
      </w:r>
      <w:r>
        <w:rPr>
          <w:rFonts w:cs="Arial"/>
          <w:sz w:val="18"/>
          <w:szCs w:val="18"/>
        </w:rPr>
        <w:t xml:space="preserve">rovided their tax file numbers. </w:t>
      </w:r>
      <w:r w:rsidRPr="00E017ED">
        <w:rPr>
          <w:rFonts w:cs="Arial"/>
          <w:sz w:val="18"/>
          <w:szCs w:val="18"/>
        </w:rPr>
        <w:t xml:space="preserve">Payments were made to applicants who had not provided their tax file number as required by section 44A of the </w:t>
      </w:r>
      <w:r w:rsidRPr="00E017ED">
        <w:rPr>
          <w:rFonts w:cs="Arial"/>
          <w:i/>
          <w:sz w:val="18"/>
          <w:szCs w:val="18"/>
        </w:rPr>
        <w:t>Student Assistance Act 1973</w:t>
      </w:r>
      <w:r>
        <w:rPr>
          <w:rFonts w:cs="Arial"/>
          <w:sz w:val="18"/>
          <w:szCs w:val="18"/>
        </w:rPr>
        <w:t xml:space="preserve">. </w:t>
      </w:r>
      <w:r w:rsidRPr="00E53098">
        <w:rPr>
          <w:rFonts w:cs="Arial"/>
          <w:sz w:val="18"/>
          <w:szCs w:val="18"/>
        </w:rPr>
        <w:t>The val</w:t>
      </w:r>
      <w:r>
        <w:rPr>
          <w:rFonts w:cs="Arial"/>
          <w:sz w:val="18"/>
          <w:szCs w:val="18"/>
        </w:rPr>
        <w:t>ue of these payments was $209.06</w:t>
      </w:r>
      <w:r w:rsidRPr="00E53098">
        <w:rPr>
          <w:rFonts w:cs="Arial"/>
          <w:sz w:val="18"/>
          <w:szCs w:val="18"/>
        </w:rPr>
        <w:t>8 million for the 2020 financial year.</w:t>
      </w:r>
      <w:r>
        <w:rPr>
          <w:rFonts w:cs="Arial"/>
          <w:sz w:val="18"/>
          <w:szCs w:val="18"/>
        </w:rPr>
        <w:t xml:space="preserve"> </w:t>
      </w:r>
      <w:r w:rsidRPr="00E017ED">
        <w:rPr>
          <w:rFonts w:cs="Arial"/>
          <w:sz w:val="18"/>
          <w:szCs w:val="18"/>
        </w:rPr>
        <w:t xml:space="preserve">No debts have been raised. Amendments to the </w:t>
      </w:r>
      <w:r w:rsidRPr="00E017ED">
        <w:rPr>
          <w:rFonts w:cs="Arial"/>
          <w:i/>
          <w:sz w:val="18"/>
          <w:szCs w:val="18"/>
        </w:rPr>
        <w:t>Student Assistance Act 1973</w:t>
      </w:r>
      <w:r>
        <w:rPr>
          <w:rFonts w:cs="Arial"/>
          <w:sz w:val="18"/>
          <w:szCs w:val="18"/>
        </w:rPr>
        <w:t xml:space="preserve"> to address the S</w:t>
      </w:r>
      <w:r w:rsidRPr="00E017ED">
        <w:rPr>
          <w:rFonts w:cs="Arial"/>
          <w:sz w:val="18"/>
          <w:szCs w:val="18"/>
        </w:rPr>
        <w:t>ection 83 breaches are expected to be introduced before Parliament in the 2021 financial year.</w:t>
      </w:r>
    </w:p>
    <w:p w14:paraId="27E42FEE" w14:textId="77777777" w:rsidR="00AB6753" w:rsidRPr="00E017ED" w:rsidRDefault="00AB6753" w:rsidP="00AB6753">
      <w:pPr>
        <w:spacing w:after="0" w:line="260" w:lineRule="atLeast"/>
        <w:rPr>
          <w:rFonts w:cs="Arial"/>
          <w:sz w:val="18"/>
          <w:szCs w:val="18"/>
        </w:rPr>
      </w:pPr>
    </w:p>
    <w:p w14:paraId="780F97BF" w14:textId="77777777" w:rsidR="00AB6753" w:rsidRPr="009D194C" w:rsidRDefault="00AB6753" w:rsidP="00AB6753">
      <w:pPr>
        <w:spacing w:line="260" w:lineRule="atLeast"/>
        <w:rPr>
          <w:rFonts w:cs="Arial"/>
          <w:sz w:val="18"/>
          <w:szCs w:val="18"/>
        </w:rPr>
      </w:pPr>
      <w:r w:rsidRPr="00E017ED">
        <w:rPr>
          <w:rFonts w:cs="Arial"/>
          <w:sz w:val="18"/>
          <w:szCs w:val="18"/>
        </w:rPr>
        <w:t>As disclosed in Note 5.1</w:t>
      </w:r>
      <w:r>
        <w:rPr>
          <w:rFonts w:cs="Arial"/>
          <w:sz w:val="18"/>
          <w:szCs w:val="18"/>
        </w:rPr>
        <w:t>C</w:t>
      </w:r>
      <w:r w:rsidRPr="00E017ED">
        <w:rPr>
          <w:rFonts w:cs="Arial"/>
          <w:sz w:val="18"/>
          <w:szCs w:val="18"/>
        </w:rPr>
        <w:t xml:space="preserve"> Special Appropriations, the department administers a significant volume of special appropriation payments, with the majority of these processed by Ser</w:t>
      </w:r>
      <w:r>
        <w:rPr>
          <w:rFonts w:cs="Arial"/>
          <w:sz w:val="18"/>
          <w:szCs w:val="18"/>
        </w:rPr>
        <w:t xml:space="preserve">vices Australia on its behalf. </w:t>
      </w:r>
      <w:r w:rsidRPr="00E017ED">
        <w:rPr>
          <w:rFonts w:cs="Arial"/>
          <w:sz w:val="18"/>
          <w:szCs w:val="18"/>
        </w:rPr>
        <w:t>While payments are subject to rigorous review and compliance checking on an ongoing basis, a breach of Section 83 of</w:t>
      </w:r>
      <w:r>
        <w:rPr>
          <w:rFonts w:cs="Arial"/>
          <w:sz w:val="18"/>
          <w:szCs w:val="18"/>
        </w:rPr>
        <w:t xml:space="preserve"> the Constitution could occur. </w:t>
      </w:r>
      <w:r w:rsidRPr="00E017ED">
        <w:rPr>
          <w:rFonts w:cs="Arial"/>
          <w:sz w:val="18"/>
          <w:szCs w:val="18"/>
        </w:rPr>
        <w:t>A debt is raised to recover overpayments to recipients, however not all overpaym</w:t>
      </w:r>
      <w:r>
        <w:rPr>
          <w:rFonts w:cs="Arial"/>
          <w:sz w:val="18"/>
          <w:szCs w:val="18"/>
        </w:rPr>
        <w:t xml:space="preserve">ents will constitute a breach. </w:t>
      </w:r>
      <w:r w:rsidRPr="00E017ED">
        <w:rPr>
          <w:rFonts w:cs="Arial"/>
          <w:sz w:val="18"/>
          <w:szCs w:val="18"/>
        </w:rPr>
        <w:t>For the purposes of comprehensive disclosure, all new debts raised for payments under legislation, where it has been assessed that there could be a breach, are disclosed as potential breaches.</w:t>
      </w:r>
      <w:r>
        <w:rPr>
          <w:rFonts w:cs="Arial"/>
          <w:sz w:val="18"/>
          <w:szCs w:val="18"/>
        </w:rPr>
        <w:t xml:space="preserve"> </w:t>
      </w:r>
      <w:r w:rsidRPr="00E017ED">
        <w:rPr>
          <w:rFonts w:cs="Arial"/>
          <w:sz w:val="18"/>
          <w:szCs w:val="18"/>
        </w:rPr>
        <w:t xml:space="preserve">In </w:t>
      </w:r>
      <w:r>
        <w:rPr>
          <w:rFonts w:cs="Arial"/>
          <w:sz w:val="18"/>
          <w:szCs w:val="18"/>
        </w:rPr>
        <w:t>the 2020 financial year</w:t>
      </w:r>
      <w:r w:rsidRPr="00E017ED">
        <w:rPr>
          <w:rFonts w:cs="Arial"/>
          <w:sz w:val="18"/>
          <w:szCs w:val="18"/>
        </w:rPr>
        <w:t xml:space="preserve">, the department raised debts to recover overpayments and within this, there may be amounts that relate to </w:t>
      </w:r>
      <w:r>
        <w:rPr>
          <w:rFonts w:cs="Arial"/>
          <w:sz w:val="18"/>
          <w:szCs w:val="18"/>
        </w:rPr>
        <w:t>potential breaches, as follows:</w:t>
      </w:r>
      <w:r w:rsidRPr="00E017ED">
        <w:rPr>
          <w:rFonts w:cs="Arial"/>
          <w:sz w:val="18"/>
          <w:szCs w:val="18"/>
        </w:rPr>
        <w:t xml:space="preserve"> </w:t>
      </w:r>
      <w:r w:rsidRPr="00E017ED">
        <w:rPr>
          <w:rFonts w:cs="Arial"/>
          <w:i/>
          <w:sz w:val="18"/>
          <w:szCs w:val="18"/>
        </w:rPr>
        <w:t>A New Tax System (Family Assistance) (Administration) Act 1999</w:t>
      </w:r>
      <w:r w:rsidRPr="00E017ED">
        <w:rPr>
          <w:rFonts w:cs="Arial"/>
          <w:sz w:val="18"/>
          <w:szCs w:val="18"/>
        </w:rPr>
        <w:t>, $1,3</w:t>
      </w:r>
      <w:r>
        <w:rPr>
          <w:rFonts w:cs="Arial"/>
          <w:sz w:val="18"/>
          <w:szCs w:val="18"/>
        </w:rPr>
        <w:t>52</w:t>
      </w:r>
      <w:r w:rsidRPr="00E017ED">
        <w:rPr>
          <w:rFonts w:cs="Arial"/>
          <w:sz w:val="18"/>
          <w:szCs w:val="18"/>
        </w:rPr>
        <w:t>.</w:t>
      </w:r>
      <w:r>
        <w:rPr>
          <w:rFonts w:cs="Arial"/>
          <w:sz w:val="18"/>
          <w:szCs w:val="18"/>
        </w:rPr>
        <w:t>339</w:t>
      </w:r>
      <w:r w:rsidRPr="00E017ED">
        <w:rPr>
          <w:rFonts w:cs="Arial"/>
          <w:sz w:val="18"/>
          <w:szCs w:val="18"/>
        </w:rPr>
        <w:t xml:space="preserve"> </w:t>
      </w:r>
      <w:r>
        <w:rPr>
          <w:rFonts w:cs="Arial"/>
          <w:sz w:val="18"/>
          <w:szCs w:val="18"/>
        </w:rPr>
        <w:t>m</w:t>
      </w:r>
      <w:r w:rsidRPr="00E017ED">
        <w:rPr>
          <w:rFonts w:cs="Arial"/>
          <w:sz w:val="18"/>
          <w:szCs w:val="18"/>
        </w:rPr>
        <w:t xml:space="preserve">illion; </w:t>
      </w:r>
      <w:r>
        <w:rPr>
          <w:rFonts w:cs="Arial"/>
          <w:i/>
          <w:sz w:val="18"/>
          <w:szCs w:val="18"/>
        </w:rPr>
        <w:t>Paid </w:t>
      </w:r>
      <w:r w:rsidRPr="00E017ED">
        <w:rPr>
          <w:rFonts w:cs="Arial"/>
          <w:i/>
          <w:sz w:val="18"/>
          <w:szCs w:val="18"/>
        </w:rPr>
        <w:t>Parental Leave Act 2010</w:t>
      </w:r>
      <w:r w:rsidRPr="00E017ED">
        <w:rPr>
          <w:rFonts w:cs="Arial"/>
          <w:sz w:val="18"/>
          <w:szCs w:val="18"/>
        </w:rPr>
        <w:t>, $</w:t>
      </w:r>
      <w:r>
        <w:rPr>
          <w:rFonts w:cs="Arial"/>
          <w:sz w:val="18"/>
          <w:szCs w:val="18"/>
        </w:rPr>
        <w:t>0.085</w:t>
      </w:r>
      <w:r w:rsidRPr="00E017ED">
        <w:rPr>
          <w:rFonts w:cs="Arial"/>
          <w:sz w:val="18"/>
          <w:szCs w:val="18"/>
        </w:rPr>
        <w:t xml:space="preserve"> million; </w:t>
      </w:r>
      <w:r w:rsidRPr="00E017ED">
        <w:rPr>
          <w:rFonts w:cs="Arial"/>
          <w:i/>
          <w:sz w:val="18"/>
          <w:szCs w:val="18"/>
        </w:rPr>
        <w:t>Social Security (Administration) Act 1999</w:t>
      </w:r>
      <w:r w:rsidRPr="00E017ED">
        <w:rPr>
          <w:rFonts w:cs="Arial"/>
          <w:sz w:val="18"/>
          <w:szCs w:val="18"/>
        </w:rPr>
        <w:t>,</w:t>
      </w:r>
      <w:r>
        <w:rPr>
          <w:rFonts w:cs="Arial"/>
          <w:sz w:val="18"/>
          <w:szCs w:val="18"/>
        </w:rPr>
        <w:t xml:space="preserve"> </w:t>
      </w:r>
      <w:r w:rsidRPr="00E017ED">
        <w:rPr>
          <w:rFonts w:cs="Arial"/>
          <w:sz w:val="18"/>
          <w:szCs w:val="18"/>
        </w:rPr>
        <w:t xml:space="preserve">$746.161 million; and </w:t>
      </w:r>
      <w:r>
        <w:rPr>
          <w:rFonts w:cs="Arial"/>
          <w:i/>
          <w:sz w:val="18"/>
          <w:szCs w:val="18"/>
        </w:rPr>
        <w:t>Student </w:t>
      </w:r>
      <w:r w:rsidRPr="00E017ED">
        <w:rPr>
          <w:rFonts w:cs="Arial"/>
          <w:i/>
          <w:sz w:val="18"/>
          <w:szCs w:val="18"/>
        </w:rPr>
        <w:t>Assistance Act 1973</w:t>
      </w:r>
      <w:r w:rsidRPr="00E017ED">
        <w:rPr>
          <w:rFonts w:cs="Arial"/>
          <w:sz w:val="18"/>
          <w:szCs w:val="18"/>
        </w:rPr>
        <w:t>, $7.215 million.</w:t>
      </w:r>
    </w:p>
    <w:p w14:paraId="093D75DF" w14:textId="77777777" w:rsidR="00AB6753" w:rsidRPr="00512CF0" w:rsidRDefault="00AB6753" w:rsidP="00AB6753">
      <w:pPr>
        <w:pStyle w:val="NotesText0"/>
        <w:numPr>
          <w:ilvl w:val="0"/>
          <w:numId w:val="42"/>
        </w:numPr>
        <w:spacing w:after="60"/>
        <w:ind w:left="284" w:hanging="284"/>
        <w:rPr>
          <w:rFonts w:cs="Arial"/>
        </w:rPr>
      </w:pPr>
      <w:r w:rsidRPr="00617DFF">
        <w:br w:type="page"/>
      </w:r>
    </w:p>
    <w:p w14:paraId="15DFACAE" w14:textId="77777777" w:rsidR="00AB6753" w:rsidRPr="00BB218B" w:rsidRDefault="00AB6753" w:rsidP="00AB6753">
      <w:pPr>
        <w:pStyle w:val="SubHeading"/>
        <w:numPr>
          <w:ilvl w:val="1"/>
          <w:numId w:val="58"/>
        </w:numPr>
        <w:spacing w:after="120"/>
        <w:ind w:left="454" w:hanging="454"/>
        <w:rPr>
          <w:sz w:val="20"/>
        </w:rPr>
      </w:pPr>
      <w:bookmarkStart w:id="267" w:name="_Ref456959814"/>
      <w:bookmarkStart w:id="268" w:name="_Toc45748834"/>
      <w:r w:rsidRPr="00BB218B">
        <w:rPr>
          <w:sz w:val="20"/>
        </w:rPr>
        <w:lastRenderedPageBreak/>
        <w:t>Explanations of Major Variances to Budget</w:t>
      </w:r>
      <w:bookmarkEnd w:id="264"/>
      <w:bookmarkEnd w:id="267"/>
      <w:bookmarkEnd w:id="268"/>
    </w:p>
    <w:p w14:paraId="40F03952" w14:textId="77777777" w:rsidR="00AB6753" w:rsidRPr="00C74F16" w:rsidRDefault="00AB6753" w:rsidP="00AB6753">
      <w:pPr>
        <w:spacing w:after="120"/>
        <w:rPr>
          <w:rFonts w:cs="Arial"/>
          <w:color w:val="000000"/>
          <w:sz w:val="18"/>
          <w:szCs w:val="18"/>
        </w:rPr>
      </w:pPr>
      <w:r w:rsidRPr="00C74F16">
        <w:rPr>
          <w:rFonts w:cs="Arial"/>
          <w:sz w:val="18"/>
          <w:szCs w:val="18"/>
        </w:rPr>
        <w:t xml:space="preserve">The following major variance explanations between the </w:t>
      </w:r>
      <w:r>
        <w:rPr>
          <w:rFonts w:cs="Arial"/>
          <w:sz w:val="18"/>
          <w:szCs w:val="18"/>
        </w:rPr>
        <w:t>Original Budget</w:t>
      </w:r>
      <w:r w:rsidRPr="00C74F16">
        <w:rPr>
          <w:rFonts w:cs="Arial"/>
          <w:sz w:val="18"/>
          <w:szCs w:val="18"/>
        </w:rPr>
        <w:t xml:space="preserve"> as presented in the 2019-20 Portfolio Budget Statements and the 2020 financial statements are presented in accordance with Australian Accounting Standards. </w:t>
      </w:r>
      <w:r w:rsidRPr="00C74F16">
        <w:rPr>
          <w:rFonts w:cs="Arial"/>
          <w:color w:val="000000"/>
          <w:sz w:val="18"/>
          <w:szCs w:val="18"/>
        </w:rPr>
        <w:t xml:space="preserve">The 2019-20 </w:t>
      </w:r>
      <w:r w:rsidRPr="00C74F16">
        <w:rPr>
          <w:rFonts w:cs="Arial"/>
          <w:sz w:val="18"/>
          <w:szCs w:val="18"/>
        </w:rPr>
        <w:t>Portfolio Budget Statements</w:t>
      </w:r>
      <w:r w:rsidRPr="00C74F16">
        <w:rPr>
          <w:rFonts w:cs="Arial"/>
          <w:color w:val="000000"/>
          <w:sz w:val="18"/>
          <w:szCs w:val="18"/>
        </w:rPr>
        <w:t xml:space="preserve"> contain the original financial statements’ budget estimates presented to Parliament in respect of the 2020 financial year. The information presented below should be read in the context of the following:</w:t>
      </w:r>
    </w:p>
    <w:p w14:paraId="5AD3DBC6" w14:textId="77777777" w:rsidR="00AB6753" w:rsidRPr="00C74F16" w:rsidRDefault="00AB6753" w:rsidP="00AB6753">
      <w:pPr>
        <w:pStyle w:val="ListParagraph"/>
        <w:numPr>
          <w:ilvl w:val="0"/>
          <w:numId w:val="41"/>
        </w:numPr>
        <w:spacing w:after="0" w:line="260" w:lineRule="atLeast"/>
        <w:rPr>
          <w:rFonts w:cs="Arial"/>
          <w:color w:val="000000"/>
          <w:sz w:val="18"/>
          <w:szCs w:val="18"/>
        </w:rPr>
      </w:pPr>
      <w:r w:rsidRPr="00C74F16">
        <w:rPr>
          <w:rFonts w:cs="Arial"/>
          <w:color w:val="000000"/>
          <w:sz w:val="18"/>
          <w:szCs w:val="18"/>
        </w:rPr>
        <w:t xml:space="preserve">The original 2019-20 Social Services Portfolio Budget Statements were prepared before the 2019 final outcome was known. As a consequence, the Statement of Financial Position and Statement of Changes in Equity opening balances were estimated and, in some cases, variances between the 2019 final outcome and </w:t>
      </w:r>
      <w:r>
        <w:rPr>
          <w:rFonts w:cs="Arial"/>
          <w:color w:val="000000"/>
          <w:sz w:val="18"/>
          <w:szCs w:val="18"/>
        </w:rPr>
        <w:t>Original Budget</w:t>
      </w:r>
      <w:r w:rsidRPr="00C74F16">
        <w:rPr>
          <w:rFonts w:cs="Arial"/>
          <w:color w:val="000000"/>
          <w:sz w:val="18"/>
          <w:szCs w:val="18"/>
        </w:rPr>
        <w:t xml:space="preserve"> estimates (Budget) are a result of unanticipated movement in the prior financial year actual amounts;</w:t>
      </w:r>
    </w:p>
    <w:p w14:paraId="0CA324BB" w14:textId="77777777" w:rsidR="00AB6753" w:rsidRPr="00C74F16" w:rsidRDefault="00AB6753" w:rsidP="00AB6753">
      <w:pPr>
        <w:pStyle w:val="ListParagraph"/>
        <w:numPr>
          <w:ilvl w:val="0"/>
          <w:numId w:val="41"/>
        </w:numPr>
        <w:spacing w:after="0" w:line="260" w:lineRule="atLeast"/>
        <w:ind w:left="714" w:hanging="357"/>
        <w:rPr>
          <w:rFonts w:cs="Arial"/>
          <w:color w:val="000000"/>
          <w:sz w:val="18"/>
          <w:szCs w:val="18"/>
        </w:rPr>
      </w:pPr>
      <w:r w:rsidRPr="00C74F16">
        <w:rPr>
          <w:rFonts w:cs="Arial"/>
          <w:color w:val="000000"/>
          <w:sz w:val="18"/>
          <w:szCs w:val="18"/>
        </w:rPr>
        <w:t>Variances attributable to factors which would not reasonably have been identifiable at the time of the B</w:t>
      </w:r>
      <w:r>
        <w:rPr>
          <w:rFonts w:cs="Arial"/>
          <w:color w:val="000000"/>
          <w:sz w:val="18"/>
          <w:szCs w:val="18"/>
        </w:rPr>
        <w:t xml:space="preserve">udget preparation, such as </w:t>
      </w:r>
      <w:r w:rsidRPr="00C74F16">
        <w:rPr>
          <w:rFonts w:cs="Arial"/>
          <w:color w:val="000000"/>
          <w:sz w:val="18"/>
          <w:szCs w:val="18"/>
        </w:rPr>
        <w:t xml:space="preserve">impairment of assets or impacts of </w:t>
      </w:r>
      <w:r>
        <w:rPr>
          <w:rFonts w:cs="Arial"/>
          <w:color w:val="000000"/>
          <w:sz w:val="18"/>
          <w:szCs w:val="18"/>
        </w:rPr>
        <w:t xml:space="preserve">Australian </w:t>
      </w:r>
      <w:r w:rsidRPr="00C74F16">
        <w:rPr>
          <w:rFonts w:cs="Arial"/>
          <w:color w:val="000000"/>
          <w:sz w:val="18"/>
          <w:szCs w:val="18"/>
        </w:rPr>
        <w:t>Government bond rate changes have not been included in the explanations;</w:t>
      </w:r>
    </w:p>
    <w:p w14:paraId="69C4DFB1" w14:textId="77777777" w:rsidR="00AB6753" w:rsidRPr="00C74F16" w:rsidRDefault="00AB6753" w:rsidP="00AB6753">
      <w:pPr>
        <w:pStyle w:val="ListParagraph"/>
        <w:numPr>
          <w:ilvl w:val="0"/>
          <w:numId w:val="41"/>
        </w:numPr>
        <w:spacing w:after="0" w:line="260" w:lineRule="atLeast"/>
        <w:ind w:left="714" w:hanging="357"/>
        <w:rPr>
          <w:rFonts w:cs="Arial"/>
          <w:color w:val="000000"/>
          <w:sz w:val="18"/>
          <w:szCs w:val="18"/>
        </w:rPr>
      </w:pPr>
      <w:r w:rsidRPr="00C74F16">
        <w:rPr>
          <w:rFonts w:cs="Arial"/>
          <w:color w:val="000000"/>
          <w:sz w:val="18"/>
          <w:szCs w:val="18"/>
        </w:rPr>
        <w:t xml:space="preserve">Major variances are those deemed relevant to an analysis of the department's performance and are not focused merely on numerical differences between the Budget and actual amounts; </w:t>
      </w:r>
    </w:p>
    <w:p w14:paraId="40C66743" w14:textId="77777777" w:rsidR="00AB6753" w:rsidRPr="00C74F16" w:rsidRDefault="00AB6753" w:rsidP="00AB6753">
      <w:pPr>
        <w:pStyle w:val="ListParagraph"/>
        <w:numPr>
          <w:ilvl w:val="0"/>
          <w:numId w:val="41"/>
        </w:numPr>
        <w:spacing w:after="0" w:line="260" w:lineRule="atLeast"/>
        <w:rPr>
          <w:rFonts w:cs="Arial"/>
          <w:color w:val="000000"/>
          <w:sz w:val="18"/>
          <w:szCs w:val="18"/>
        </w:rPr>
      </w:pPr>
      <w:r w:rsidRPr="00C74F16">
        <w:rPr>
          <w:rFonts w:cs="Arial"/>
          <w:color w:val="000000"/>
          <w:sz w:val="18"/>
          <w:szCs w:val="18"/>
        </w:rPr>
        <w:t>Variances relating to cash flows are a result of the factors explained for net cost of services, assets or liabilities variations. Unless otherwise individually significant, no additional commentary has been included; and</w:t>
      </w:r>
    </w:p>
    <w:p w14:paraId="167446A4" w14:textId="77777777" w:rsidR="00AB6753" w:rsidRPr="00C74F16" w:rsidRDefault="00AB6753" w:rsidP="00AB6753">
      <w:pPr>
        <w:pStyle w:val="ListParagraph"/>
        <w:numPr>
          <w:ilvl w:val="0"/>
          <w:numId w:val="41"/>
        </w:numPr>
        <w:spacing w:after="0" w:line="260" w:lineRule="atLeast"/>
        <w:ind w:left="714" w:hanging="357"/>
        <w:rPr>
          <w:rFonts w:cs="Arial"/>
          <w:color w:val="000000"/>
          <w:sz w:val="18"/>
          <w:szCs w:val="18"/>
        </w:rPr>
      </w:pPr>
      <w:r w:rsidRPr="00C74F16">
        <w:rPr>
          <w:rFonts w:cs="Arial"/>
          <w:color w:val="000000"/>
          <w:sz w:val="18"/>
          <w:szCs w:val="18"/>
        </w:rPr>
        <w:t>The Budget is not audited.</w:t>
      </w:r>
    </w:p>
    <w:p w14:paraId="05C6B821" w14:textId="77777777" w:rsidR="00AB6753" w:rsidRDefault="00AB6753" w:rsidP="00AB6753">
      <w:pPr>
        <w:rPr>
          <w:rFonts w:cs="Arial"/>
          <w:color w:val="000000"/>
          <w:sz w:val="18"/>
          <w:szCs w:val="18"/>
        </w:rPr>
      </w:pPr>
    </w:p>
    <w:p w14:paraId="33928675" w14:textId="77777777" w:rsidR="00AB6753" w:rsidRDefault="00AB6753" w:rsidP="00AB6753">
      <w:pPr>
        <w:rPr>
          <w:rFonts w:cs="Arial"/>
          <w:b/>
          <w:bCs/>
          <w:sz w:val="18"/>
          <w:szCs w:val="18"/>
          <w:u w:val="single"/>
        </w:rPr>
      </w:pPr>
      <w:r>
        <w:rPr>
          <w:rFonts w:cs="Arial"/>
          <w:b/>
          <w:bCs/>
          <w:sz w:val="18"/>
          <w:szCs w:val="18"/>
          <w:u w:val="single"/>
        </w:rPr>
        <w:t>Note 8.4</w:t>
      </w:r>
      <w:r w:rsidRPr="00254F62">
        <w:rPr>
          <w:rFonts w:cs="Arial"/>
          <w:b/>
          <w:bCs/>
          <w:sz w:val="18"/>
          <w:szCs w:val="18"/>
          <w:u w:val="single"/>
        </w:rPr>
        <w:t xml:space="preserve">A: Departmental Major Budget Variances for </w:t>
      </w:r>
      <w:r w:rsidRPr="00254F62">
        <w:rPr>
          <w:rFonts w:cs="Arial"/>
          <w:b/>
          <w:bCs/>
          <w:sz w:val="18"/>
          <w:szCs w:val="18"/>
          <w:u w:val="single"/>
        </w:rPr>
        <w:fldChar w:fldCharType="begin"/>
      </w:r>
      <w:r w:rsidRPr="00254F62">
        <w:rPr>
          <w:rFonts w:cs="Arial"/>
          <w:b/>
          <w:bCs/>
          <w:sz w:val="18"/>
          <w:szCs w:val="18"/>
          <w:u w:val="single"/>
        </w:rPr>
        <w:instrText xml:space="preserve"> DOCPROPERTY  crYear  \* MERGEFORMAT </w:instrText>
      </w:r>
      <w:r w:rsidRPr="00254F62">
        <w:rPr>
          <w:rFonts w:cs="Arial"/>
          <w:b/>
          <w:bCs/>
          <w:sz w:val="18"/>
          <w:szCs w:val="18"/>
          <w:u w:val="single"/>
        </w:rPr>
        <w:fldChar w:fldCharType="separate"/>
      </w:r>
      <w:r>
        <w:rPr>
          <w:rFonts w:cs="Arial"/>
          <w:b/>
          <w:bCs/>
          <w:sz w:val="18"/>
          <w:szCs w:val="18"/>
          <w:u w:val="single"/>
        </w:rPr>
        <w:t>2020</w:t>
      </w:r>
      <w:r w:rsidRPr="00254F62">
        <w:rPr>
          <w:rFonts w:cs="Arial"/>
          <w:b/>
          <w:bCs/>
          <w:sz w:val="18"/>
          <w:szCs w:val="18"/>
          <w:u w:val="single"/>
        </w:rPr>
        <w:fldChar w:fldCharType="end"/>
      </w:r>
    </w:p>
    <w:tbl>
      <w:tblPr>
        <w:tblStyle w:val="TableGrid"/>
        <w:tblW w:w="9889" w:type="dxa"/>
        <w:tblBorders>
          <w:left w:val="none" w:sz="0" w:space="0" w:color="auto"/>
          <w:right w:val="none" w:sz="0" w:space="0" w:color="auto"/>
        </w:tblBorders>
        <w:tblLook w:val="04A0" w:firstRow="1" w:lastRow="0" w:firstColumn="1" w:lastColumn="0" w:noHBand="0" w:noVBand="1"/>
        <w:tblCaption w:val="Notes to and forming part of the financial statements"/>
        <w:tblDescription w:val="Departmental major budget variatins for 2020"/>
      </w:tblPr>
      <w:tblGrid>
        <w:gridCol w:w="7338"/>
        <w:gridCol w:w="2551"/>
      </w:tblGrid>
      <w:tr w:rsidR="00AB6753" w:rsidRPr="007F7264" w14:paraId="52E93F41" w14:textId="77777777" w:rsidTr="002D1EA4">
        <w:trPr>
          <w:trHeight w:val="215"/>
        </w:trPr>
        <w:tc>
          <w:tcPr>
            <w:tcW w:w="7338" w:type="dxa"/>
            <w:vAlign w:val="center"/>
          </w:tcPr>
          <w:p w14:paraId="173D0063" w14:textId="77777777" w:rsidR="00AB6753" w:rsidRPr="00254F62" w:rsidRDefault="00AB6753" w:rsidP="002D1EA4">
            <w:pPr>
              <w:rPr>
                <w:rFonts w:cs="Arial"/>
                <w:b/>
                <w:sz w:val="18"/>
                <w:szCs w:val="18"/>
              </w:rPr>
            </w:pPr>
            <w:r w:rsidRPr="00254F62">
              <w:rPr>
                <w:rFonts w:cs="Arial"/>
                <w:b/>
                <w:sz w:val="18"/>
                <w:szCs w:val="18"/>
              </w:rPr>
              <w:t>Explanations of major variances</w:t>
            </w:r>
          </w:p>
        </w:tc>
        <w:tc>
          <w:tcPr>
            <w:tcW w:w="2551" w:type="dxa"/>
            <w:vAlign w:val="center"/>
          </w:tcPr>
          <w:p w14:paraId="1A448D31" w14:textId="77777777" w:rsidR="00AB6753" w:rsidRPr="00254F62" w:rsidRDefault="00AB6753" w:rsidP="002D1EA4">
            <w:pPr>
              <w:rPr>
                <w:rFonts w:cs="Arial"/>
                <w:b/>
                <w:sz w:val="18"/>
                <w:szCs w:val="18"/>
              </w:rPr>
            </w:pPr>
            <w:r w:rsidRPr="00254F62">
              <w:rPr>
                <w:rFonts w:cs="Arial"/>
                <w:b/>
                <w:sz w:val="18"/>
                <w:szCs w:val="18"/>
              </w:rPr>
              <w:t>Affected line items</w:t>
            </w:r>
          </w:p>
        </w:tc>
      </w:tr>
      <w:tr w:rsidR="00AB6753" w:rsidRPr="0082734E" w14:paraId="2FC2D93F" w14:textId="77777777" w:rsidTr="002D1EA4">
        <w:trPr>
          <w:trHeight w:val="4578"/>
        </w:trPr>
        <w:tc>
          <w:tcPr>
            <w:tcW w:w="7338" w:type="dxa"/>
            <w:shd w:val="clear" w:color="auto" w:fill="auto"/>
          </w:tcPr>
          <w:p w14:paraId="592C9221" w14:textId="77777777" w:rsidR="00AB6753" w:rsidRPr="0082734E" w:rsidRDefault="00AB6753" w:rsidP="002D1EA4">
            <w:pPr>
              <w:rPr>
                <w:rFonts w:cs="Arial"/>
                <w:color w:val="000000"/>
                <w:sz w:val="18"/>
                <w:szCs w:val="18"/>
              </w:rPr>
            </w:pPr>
            <w:r w:rsidRPr="0082734E">
              <w:rPr>
                <w:rFonts w:cs="Arial"/>
                <w:color w:val="000000"/>
                <w:sz w:val="18"/>
                <w:szCs w:val="18"/>
              </w:rPr>
              <w:t>Total net cost of services was $</w:t>
            </w:r>
            <w:r>
              <w:rPr>
                <w:rFonts w:cs="Arial"/>
                <w:color w:val="000000"/>
                <w:sz w:val="18"/>
                <w:szCs w:val="18"/>
              </w:rPr>
              <w:t>43.990</w:t>
            </w:r>
            <w:r w:rsidRPr="0082734E">
              <w:rPr>
                <w:rFonts w:cs="Arial"/>
                <w:color w:val="000000"/>
                <w:sz w:val="18"/>
                <w:szCs w:val="18"/>
              </w:rPr>
              <w:t xml:space="preserve"> million </w:t>
            </w:r>
            <w:r>
              <w:rPr>
                <w:rFonts w:cs="Arial"/>
                <w:color w:val="000000"/>
                <w:sz w:val="18"/>
                <w:szCs w:val="18"/>
              </w:rPr>
              <w:t>lower</w:t>
            </w:r>
            <w:r w:rsidRPr="0082734E">
              <w:rPr>
                <w:rFonts w:cs="Arial"/>
                <w:color w:val="000000"/>
                <w:sz w:val="18"/>
                <w:szCs w:val="18"/>
              </w:rPr>
              <w:t xml:space="preserve"> than the </w:t>
            </w:r>
            <w:r>
              <w:rPr>
                <w:rFonts w:cs="Arial"/>
                <w:color w:val="000000"/>
                <w:sz w:val="18"/>
                <w:szCs w:val="18"/>
              </w:rPr>
              <w:t>Budget</w:t>
            </w:r>
            <w:r w:rsidRPr="0082734E">
              <w:rPr>
                <w:rFonts w:cs="Arial"/>
                <w:color w:val="000000"/>
                <w:sz w:val="18"/>
                <w:szCs w:val="18"/>
              </w:rPr>
              <w:t xml:space="preserve"> as a result of: </w:t>
            </w:r>
          </w:p>
          <w:p w14:paraId="1DEEDCF3" w14:textId="77777777" w:rsidR="00AB6753" w:rsidRDefault="00AB6753" w:rsidP="002D1EA4">
            <w:pPr>
              <w:pStyle w:val="ListParagraph"/>
              <w:numPr>
                <w:ilvl w:val="0"/>
                <w:numId w:val="41"/>
              </w:numPr>
              <w:spacing w:line="260" w:lineRule="atLeast"/>
              <w:rPr>
                <w:rFonts w:cs="Arial"/>
                <w:color w:val="000000"/>
                <w:sz w:val="18"/>
                <w:szCs w:val="18"/>
              </w:rPr>
            </w:pPr>
            <w:r>
              <w:rPr>
                <w:rFonts w:cs="Arial"/>
                <w:color w:val="000000"/>
                <w:sz w:val="18"/>
                <w:szCs w:val="18"/>
              </w:rPr>
              <w:t xml:space="preserve">a reduction in operating lease expense due to the introduction of AASB 16 </w:t>
            </w:r>
            <w:r>
              <w:rPr>
                <w:rFonts w:cs="Arial"/>
                <w:i/>
                <w:color w:val="000000"/>
                <w:sz w:val="18"/>
                <w:szCs w:val="18"/>
              </w:rPr>
              <w:t>Leases</w:t>
            </w:r>
            <w:r>
              <w:rPr>
                <w:rFonts w:cs="Arial"/>
                <w:color w:val="000000"/>
                <w:sz w:val="18"/>
                <w:szCs w:val="18"/>
              </w:rPr>
              <w:t xml:space="preserve">; </w:t>
            </w:r>
          </w:p>
          <w:p w14:paraId="6F9F0B66" w14:textId="77777777" w:rsidR="00AB6753" w:rsidRPr="00960DCF" w:rsidRDefault="00AB6753" w:rsidP="002D1EA4">
            <w:pPr>
              <w:pStyle w:val="ListParagraph"/>
              <w:numPr>
                <w:ilvl w:val="0"/>
                <w:numId w:val="41"/>
              </w:numPr>
              <w:spacing w:line="260" w:lineRule="atLeast"/>
              <w:rPr>
                <w:rFonts w:cs="Arial"/>
                <w:color w:val="000000"/>
                <w:sz w:val="18"/>
                <w:szCs w:val="18"/>
              </w:rPr>
            </w:pPr>
            <w:r w:rsidRPr="00960DCF">
              <w:rPr>
                <w:rFonts w:cs="Arial"/>
                <w:color w:val="000000"/>
                <w:sz w:val="18"/>
                <w:szCs w:val="18"/>
              </w:rPr>
              <w:t xml:space="preserve">the transfer of the Aged Care Gateway IT systems to the Department of Health and machinery of government transfer of corporate IT services to Services Australia that have as a result decreased depreciation and amortisation; </w:t>
            </w:r>
            <w:r>
              <w:rPr>
                <w:rFonts w:cs="Arial"/>
                <w:color w:val="000000"/>
                <w:sz w:val="18"/>
                <w:szCs w:val="18"/>
              </w:rPr>
              <w:t>and</w:t>
            </w:r>
          </w:p>
          <w:p w14:paraId="43853FF1" w14:textId="77777777" w:rsidR="00AB6753" w:rsidRPr="00960DCF" w:rsidRDefault="00AB6753" w:rsidP="002D1EA4">
            <w:pPr>
              <w:pStyle w:val="ListParagraph"/>
              <w:numPr>
                <w:ilvl w:val="0"/>
                <w:numId w:val="41"/>
              </w:numPr>
              <w:spacing w:line="260" w:lineRule="atLeast"/>
              <w:rPr>
                <w:rFonts w:cs="Arial"/>
                <w:color w:val="000000"/>
                <w:sz w:val="18"/>
                <w:szCs w:val="18"/>
              </w:rPr>
            </w:pPr>
            <w:r w:rsidRPr="00960DCF">
              <w:rPr>
                <w:rFonts w:cs="Arial"/>
                <w:color w:val="000000"/>
                <w:sz w:val="18"/>
                <w:szCs w:val="18"/>
              </w:rPr>
              <w:t>Offset by the department providing additional corporate services to other departments beyond the original estimate that resulted in higher revenue.</w:t>
            </w:r>
          </w:p>
          <w:p w14:paraId="69F2CC00" w14:textId="77777777" w:rsidR="00AB6753" w:rsidRPr="001707CC" w:rsidRDefault="00AB6753" w:rsidP="002D1EA4">
            <w:pPr>
              <w:rPr>
                <w:rFonts w:cs="Arial"/>
                <w:color w:val="000000"/>
                <w:sz w:val="18"/>
                <w:szCs w:val="18"/>
              </w:rPr>
            </w:pPr>
          </w:p>
          <w:p w14:paraId="228918D5" w14:textId="77777777" w:rsidR="00AB6753" w:rsidRPr="0082734E" w:rsidRDefault="00AB6753" w:rsidP="002D1EA4">
            <w:pPr>
              <w:rPr>
                <w:rFonts w:cs="Arial"/>
                <w:color w:val="000000"/>
                <w:sz w:val="18"/>
                <w:szCs w:val="18"/>
              </w:rPr>
            </w:pPr>
            <w:r w:rsidRPr="0082734E">
              <w:rPr>
                <w:rFonts w:cs="Arial"/>
                <w:color w:val="000000"/>
                <w:sz w:val="18"/>
                <w:szCs w:val="18"/>
              </w:rPr>
              <w:t xml:space="preserve">Total </w:t>
            </w:r>
            <w:r>
              <w:rPr>
                <w:rFonts w:cs="Arial"/>
                <w:color w:val="000000"/>
                <w:sz w:val="18"/>
                <w:szCs w:val="18"/>
              </w:rPr>
              <w:t>assets</w:t>
            </w:r>
            <w:r w:rsidRPr="0082734E">
              <w:rPr>
                <w:rFonts w:cs="Arial"/>
                <w:color w:val="000000"/>
                <w:sz w:val="18"/>
                <w:szCs w:val="18"/>
              </w:rPr>
              <w:t xml:space="preserve"> were $</w:t>
            </w:r>
            <w:r>
              <w:rPr>
                <w:rFonts w:cs="Arial"/>
                <w:color w:val="000000"/>
                <w:sz w:val="18"/>
                <w:szCs w:val="18"/>
              </w:rPr>
              <w:t>420.902</w:t>
            </w:r>
            <w:r w:rsidRPr="0082734E">
              <w:rPr>
                <w:rFonts w:cs="Arial"/>
                <w:color w:val="000000"/>
                <w:sz w:val="18"/>
                <w:szCs w:val="18"/>
              </w:rPr>
              <w:t xml:space="preserve"> million higher than the </w:t>
            </w:r>
            <w:r>
              <w:rPr>
                <w:rFonts w:cs="Arial"/>
                <w:color w:val="000000"/>
                <w:sz w:val="18"/>
                <w:szCs w:val="18"/>
              </w:rPr>
              <w:t xml:space="preserve">Budget as a result of an increase in right-of-use lease assets due to the introduction of AASB 16 </w:t>
            </w:r>
            <w:r>
              <w:rPr>
                <w:rFonts w:cs="Arial"/>
                <w:i/>
                <w:color w:val="000000"/>
                <w:sz w:val="18"/>
                <w:szCs w:val="18"/>
              </w:rPr>
              <w:t>Leases</w:t>
            </w:r>
            <w:r>
              <w:rPr>
                <w:rFonts w:cs="Arial"/>
                <w:color w:val="000000"/>
                <w:sz w:val="18"/>
                <w:szCs w:val="18"/>
              </w:rPr>
              <w:t xml:space="preserve">. This was offset by a decrease in non-financial assets through the </w:t>
            </w:r>
            <w:r w:rsidRPr="00960DCF">
              <w:rPr>
                <w:rFonts w:cs="Arial"/>
                <w:color w:val="000000"/>
                <w:sz w:val="18"/>
                <w:szCs w:val="18"/>
              </w:rPr>
              <w:t>machinery of government transfer of corporate IT services to Services Australia</w:t>
            </w:r>
            <w:r>
              <w:rPr>
                <w:rFonts w:cs="Arial"/>
                <w:color w:val="000000"/>
                <w:sz w:val="18"/>
                <w:szCs w:val="18"/>
              </w:rPr>
              <w:t>.</w:t>
            </w:r>
          </w:p>
          <w:p w14:paraId="008A6E63" w14:textId="77777777" w:rsidR="00AB6753" w:rsidRPr="0082734E" w:rsidRDefault="00AB6753" w:rsidP="002D1EA4">
            <w:pPr>
              <w:rPr>
                <w:rFonts w:cs="Arial"/>
                <w:color w:val="000000"/>
                <w:sz w:val="18"/>
                <w:szCs w:val="18"/>
              </w:rPr>
            </w:pPr>
          </w:p>
          <w:p w14:paraId="59B9789F" w14:textId="77777777" w:rsidR="00AB6753" w:rsidRDefault="00AB6753" w:rsidP="002D1EA4">
            <w:pPr>
              <w:rPr>
                <w:rFonts w:cs="Arial"/>
                <w:color w:val="000000"/>
                <w:sz w:val="18"/>
                <w:szCs w:val="18"/>
              </w:rPr>
            </w:pPr>
            <w:r w:rsidRPr="0082734E">
              <w:rPr>
                <w:rFonts w:cs="Arial"/>
                <w:color w:val="000000"/>
                <w:sz w:val="18"/>
                <w:szCs w:val="18"/>
              </w:rPr>
              <w:t>Total liabilities were $</w:t>
            </w:r>
            <w:r>
              <w:rPr>
                <w:rFonts w:cs="Arial"/>
                <w:color w:val="000000"/>
                <w:sz w:val="18"/>
                <w:szCs w:val="18"/>
              </w:rPr>
              <w:t>514.503</w:t>
            </w:r>
            <w:r w:rsidRPr="0082734E">
              <w:rPr>
                <w:rFonts w:cs="Arial"/>
                <w:color w:val="000000"/>
                <w:sz w:val="18"/>
                <w:szCs w:val="18"/>
              </w:rPr>
              <w:t xml:space="preserve"> million higher than the </w:t>
            </w:r>
            <w:r>
              <w:rPr>
                <w:rFonts w:cs="Arial"/>
                <w:color w:val="000000"/>
                <w:sz w:val="18"/>
                <w:szCs w:val="18"/>
              </w:rPr>
              <w:t xml:space="preserve">Budget as a result of an increase in lease liabilities due to the introduction of AASB 16 </w:t>
            </w:r>
            <w:r>
              <w:rPr>
                <w:rFonts w:cs="Arial"/>
                <w:i/>
                <w:color w:val="000000"/>
                <w:sz w:val="18"/>
                <w:szCs w:val="18"/>
              </w:rPr>
              <w:t>Leases</w:t>
            </w:r>
            <w:r>
              <w:rPr>
                <w:rFonts w:cs="Arial"/>
                <w:color w:val="000000"/>
                <w:sz w:val="18"/>
                <w:szCs w:val="18"/>
              </w:rPr>
              <w:t>, offset by:</w:t>
            </w:r>
          </w:p>
          <w:p w14:paraId="3B554F7E" w14:textId="77777777" w:rsidR="00AB6753" w:rsidRDefault="00AB6753" w:rsidP="002D1EA4">
            <w:pPr>
              <w:pStyle w:val="ListParagraph"/>
              <w:numPr>
                <w:ilvl w:val="0"/>
                <w:numId w:val="41"/>
              </w:numPr>
              <w:spacing w:line="260" w:lineRule="atLeast"/>
              <w:rPr>
                <w:rFonts w:cs="Arial"/>
                <w:color w:val="000000"/>
                <w:sz w:val="18"/>
                <w:szCs w:val="18"/>
              </w:rPr>
            </w:pPr>
            <w:r>
              <w:rPr>
                <w:rFonts w:cs="Arial"/>
                <w:color w:val="000000"/>
                <w:sz w:val="18"/>
                <w:szCs w:val="18"/>
              </w:rPr>
              <w:t>v</w:t>
            </w:r>
            <w:r w:rsidRPr="0082734E">
              <w:rPr>
                <w:rFonts w:cs="Arial"/>
                <w:color w:val="000000"/>
                <w:sz w:val="18"/>
                <w:szCs w:val="18"/>
              </w:rPr>
              <w:t>ariability that surrounds the estimates for the timing of payments to suppliers;</w:t>
            </w:r>
          </w:p>
          <w:p w14:paraId="52D77102" w14:textId="77777777" w:rsidR="00AB6753" w:rsidRDefault="00AB6753" w:rsidP="002D1EA4">
            <w:pPr>
              <w:pStyle w:val="ListParagraph"/>
              <w:numPr>
                <w:ilvl w:val="0"/>
                <w:numId w:val="41"/>
              </w:numPr>
              <w:spacing w:line="260" w:lineRule="atLeast"/>
              <w:rPr>
                <w:rFonts w:cs="Arial"/>
                <w:color w:val="000000"/>
                <w:sz w:val="18"/>
                <w:szCs w:val="18"/>
              </w:rPr>
            </w:pPr>
            <w:r>
              <w:rPr>
                <w:rFonts w:cs="Arial"/>
                <w:color w:val="000000"/>
                <w:sz w:val="18"/>
                <w:szCs w:val="18"/>
              </w:rPr>
              <w:t>a reduction in lease incentive payables and operating leases straight-lining; and</w:t>
            </w:r>
          </w:p>
          <w:p w14:paraId="2E174A92" w14:textId="77777777" w:rsidR="00AB6753" w:rsidRPr="0082734E" w:rsidRDefault="00AB6753" w:rsidP="002D1EA4">
            <w:pPr>
              <w:pStyle w:val="ListParagraph"/>
              <w:numPr>
                <w:ilvl w:val="0"/>
                <w:numId w:val="41"/>
              </w:numPr>
              <w:spacing w:line="260" w:lineRule="atLeast"/>
              <w:rPr>
                <w:rFonts w:cs="Arial"/>
                <w:color w:val="000000"/>
                <w:sz w:val="18"/>
                <w:szCs w:val="18"/>
              </w:rPr>
            </w:pPr>
            <w:r>
              <w:rPr>
                <w:rFonts w:cs="Arial"/>
                <w:color w:val="000000"/>
                <w:sz w:val="18"/>
                <w:szCs w:val="18"/>
              </w:rPr>
              <w:t xml:space="preserve">a decrease in unearned income and leases through the </w:t>
            </w:r>
            <w:r w:rsidRPr="00960DCF">
              <w:rPr>
                <w:rFonts w:cs="Arial"/>
                <w:color w:val="000000"/>
                <w:sz w:val="18"/>
                <w:szCs w:val="18"/>
              </w:rPr>
              <w:t>machinery of government transfer of corporate IT services to Services Australia</w:t>
            </w:r>
            <w:r>
              <w:rPr>
                <w:rFonts w:cs="Arial"/>
                <w:color w:val="000000"/>
                <w:sz w:val="18"/>
                <w:szCs w:val="18"/>
              </w:rPr>
              <w:t>.</w:t>
            </w:r>
          </w:p>
          <w:p w14:paraId="4E948BA5" w14:textId="77777777" w:rsidR="00AB6753" w:rsidRPr="0082734E" w:rsidRDefault="00AB6753" w:rsidP="002D1EA4">
            <w:pPr>
              <w:rPr>
                <w:rFonts w:cs="Arial"/>
                <w:color w:val="000000"/>
                <w:sz w:val="18"/>
                <w:szCs w:val="18"/>
              </w:rPr>
            </w:pPr>
          </w:p>
          <w:p w14:paraId="33BE1328" w14:textId="77777777" w:rsidR="00AB6753" w:rsidRDefault="00AB6753" w:rsidP="002D1EA4">
            <w:pPr>
              <w:rPr>
                <w:rFonts w:cs="Arial"/>
                <w:color w:val="000000"/>
                <w:sz w:val="18"/>
                <w:szCs w:val="18"/>
              </w:rPr>
            </w:pPr>
            <w:r w:rsidRPr="009E06F0">
              <w:rPr>
                <w:rFonts w:cs="Arial"/>
                <w:color w:val="000000"/>
                <w:sz w:val="18"/>
                <w:szCs w:val="18"/>
              </w:rPr>
              <w:t xml:space="preserve">Total equity was $93.601 million lower than the Budget as a result of key items that were not known at the time of the </w:t>
            </w:r>
            <w:r>
              <w:rPr>
                <w:rFonts w:cs="Arial"/>
                <w:color w:val="000000"/>
                <w:sz w:val="18"/>
                <w:szCs w:val="18"/>
              </w:rPr>
              <w:t>Original Budget</w:t>
            </w:r>
            <w:r w:rsidRPr="009E06F0">
              <w:rPr>
                <w:rFonts w:cs="Arial"/>
                <w:color w:val="000000"/>
                <w:sz w:val="18"/>
                <w:szCs w:val="18"/>
              </w:rPr>
              <w:t xml:space="preserve"> preparation that have had a material impact on the 30 June 2020 balances, including AASB 16 </w:t>
            </w:r>
            <w:r w:rsidRPr="009E06F0">
              <w:rPr>
                <w:rFonts w:cs="Arial"/>
                <w:i/>
                <w:color w:val="000000"/>
                <w:sz w:val="18"/>
                <w:szCs w:val="18"/>
              </w:rPr>
              <w:t>Leases</w:t>
            </w:r>
            <w:r>
              <w:rPr>
                <w:rFonts w:cs="Arial"/>
                <w:color w:val="000000"/>
                <w:sz w:val="18"/>
                <w:szCs w:val="18"/>
              </w:rPr>
              <w:t xml:space="preserve"> implementation and machinery of g</w:t>
            </w:r>
            <w:r w:rsidRPr="009E06F0">
              <w:rPr>
                <w:rFonts w:cs="Arial"/>
                <w:color w:val="000000"/>
                <w:sz w:val="18"/>
                <w:szCs w:val="18"/>
              </w:rPr>
              <w:t>overnment changes.</w:t>
            </w:r>
            <w:r>
              <w:rPr>
                <w:rFonts w:cs="Arial"/>
                <w:color w:val="000000"/>
                <w:sz w:val="18"/>
                <w:szCs w:val="18"/>
              </w:rPr>
              <w:t xml:space="preserve"> </w:t>
            </w:r>
          </w:p>
          <w:p w14:paraId="1DF1B3AF" w14:textId="77777777" w:rsidR="00AB6753" w:rsidRPr="0082734E" w:rsidRDefault="00AB6753" w:rsidP="002D1EA4">
            <w:pPr>
              <w:rPr>
                <w:rFonts w:cs="Arial"/>
                <w:color w:val="000000"/>
                <w:sz w:val="18"/>
                <w:szCs w:val="18"/>
              </w:rPr>
            </w:pPr>
          </w:p>
        </w:tc>
        <w:tc>
          <w:tcPr>
            <w:tcW w:w="2551" w:type="dxa"/>
            <w:shd w:val="clear" w:color="auto" w:fill="auto"/>
          </w:tcPr>
          <w:p w14:paraId="5C87055B" w14:textId="77777777" w:rsidR="00AB6753" w:rsidRPr="0082734E" w:rsidRDefault="00AB6753" w:rsidP="002D1EA4">
            <w:pPr>
              <w:rPr>
                <w:rFonts w:cs="Arial"/>
                <w:color w:val="000000"/>
                <w:sz w:val="18"/>
                <w:szCs w:val="18"/>
              </w:rPr>
            </w:pPr>
          </w:p>
          <w:p w14:paraId="42E56A85" w14:textId="77777777" w:rsidR="00AB6753" w:rsidRDefault="00AB6753" w:rsidP="002D1EA4">
            <w:pPr>
              <w:rPr>
                <w:rFonts w:cs="Arial"/>
                <w:color w:val="000000"/>
                <w:sz w:val="18"/>
                <w:szCs w:val="18"/>
              </w:rPr>
            </w:pPr>
            <w:r>
              <w:rPr>
                <w:rFonts w:cs="Arial"/>
                <w:color w:val="000000"/>
                <w:sz w:val="18"/>
                <w:szCs w:val="18"/>
              </w:rPr>
              <w:t>Suppliers</w:t>
            </w:r>
          </w:p>
          <w:p w14:paraId="763450D2" w14:textId="77777777" w:rsidR="00AB6753" w:rsidRDefault="00AB6753" w:rsidP="002D1EA4">
            <w:pPr>
              <w:rPr>
                <w:rFonts w:cs="Arial"/>
                <w:color w:val="000000"/>
                <w:sz w:val="18"/>
                <w:szCs w:val="18"/>
              </w:rPr>
            </w:pPr>
          </w:p>
          <w:p w14:paraId="500D86B1" w14:textId="77777777" w:rsidR="00AB6753" w:rsidRDefault="00AB6753" w:rsidP="00DB67B6">
            <w:pPr>
              <w:spacing w:before="120"/>
              <w:rPr>
                <w:rFonts w:cs="Arial"/>
                <w:color w:val="000000"/>
                <w:sz w:val="18"/>
                <w:szCs w:val="18"/>
              </w:rPr>
            </w:pPr>
            <w:r>
              <w:rPr>
                <w:rFonts w:cs="Arial"/>
                <w:color w:val="000000"/>
                <w:sz w:val="18"/>
                <w:szCs w:val="18"/>
              </w:rPr>
              <w:t>Depreciation and amortisation</w:t>
            </w:r>
          </w:p>
          <w:p w14:paraId="31F51EA0" w14:textId="77777777" w:rsidR="00AB6753" w:rsidRDefault="00AB6753" w:rsidP="002D1EA4">
            <w:pPr>
              <w:rPr>
                <w:rFonts w:cs="Arial"/>
                <w:color w:val="000000"/>
                <w:sz w:val="18"/>
                <w:szCs w:val="18"/>
              </w:rPr>
            </w:pPr>
          </w:p>
          <w:p w14:paraId="781FA3CD" w14:textId="77777777" w:rsidR="00DB67B6" w:rsidRDefault="00AB6753" w:rsidP="00DB67B6">
            <w:pPr>
              <w:spacing w:before="240"/>
              <w:rPr>
                <w:rFonts w:cs="Arial"/>
                <w:color w:val="000000"/>
                <w:sz w:val="18"/>
                <w:szCs w:val="18"/>
              </w:rPr>
            </w:pPr>
            <w:r>
              <w:rPr>
                <w:rFonts w:cs="Arial"/>
                <w:color w:val="000000"/>
                <w:sz w:val="18"/>
                <w:szCs w:val="18"/>
              </w:rPr>
              <w:t>Total own-source revenue</w:t>
            </w:r>
          </w:p>
          <w:p w14:paraId="78D5D426" w14:textId="5041672A" w:rsidR="00AB6753" w:rsidRPr="0082734E" w:rsidRDefault="00AB6753" w:rsidP="00DB67B6">
            <w:pPr>
              <w:spacing w:before="400"/>
              <w:rPr>
                <w:rFonts w:cs="Arial"/>
                <w:color w:val="000000"/>
                <w:sz w:val="18"/>
                <w:szCs w:val="18"/>
              </w:rPr>
            </w:pPr>
            <w:r>
              <w:rPr>
                <w:rFonts w:cs="Arial"/>
                <w:color w:val="000000"/>
                <w:sz w:val="18"/>
                <w:szCs w:val="18"/>
              </w:rPr>
              <w:t>Leasehold improvements</w:t>
            </w:r>
          </w:p>
          <w:p w14:paraId="3E389F4E" w14:textId="77777777" w:rsidR="00AB6753" w:rsidRPr="0082734E" w:rsidRDefault="00AB6753" w:rsidP="002D1EA4">
            <w:pPr>
              <w:rPr>
                <w:rFonts w:cs="Arial"/>
                <w:color w:val="000000"/>
                <w:sz w:val="18"/>
                <w:szCs w:val="18"/>
              </w:rPr>
            </w:pPr>
            <w:r>
              <w:rPr>
                <w:rFonts w:cs="Arial"/>
                <w:color w:val="000000"/>
                <w:sz w:val="18"/>
                <w:szCs w:val="18"/>
              </w:rPr>
              <w:t xml:space="preserve">Property, plant and equipment, </w:t>
            </w:r>
            <w:r w:rsidRPr="0082734E">
              <w:rPr>
                <w:rFonts w:cs="Arial"/>
                <w:color w:val="000000"/>
                <w:sz w:val="18"/>
                <w:szCs w:val="18"/>
              </w:rPr>
              <w:t>Intangibles</w:t>
            </w:r>
            <w:r>
              <w:rPr>
                <w:rFonts w:cs="Arial"/>
                <w:color w:val="000000"/>
                <w:sz w:val="18"/>
                <w:szCs w:val="18"/>
              </w:rPr>
              <w:t xml:space="preserve"> and prepayments</w:t>
            </w:r>
          </w:p>
          <w:p w14:paraId="1D444396" w14:textId="77777777" w:rsidR="00AB6753" w:rsidRPr="0082734E" w:rsidRDefault="00AB6753" w:rsidP="002D1EA4">
            <w:pPr>
              <w:rPr>
                <w:rFonts w:cs="Arial"/>
                <w:color w:val="000000"/>
                <w:sz w:val="18"/>
                <w:szCs w:val="18"/>
              </w:rPr>
            </w:pPr>
          </w:p>
          <w:p w14:paraId="5EE19992" w14:textId="77777777" w:rsidR="00AB6753" w:rsidRDefault="00AB6753" w:rsidP="002D1EA4">
            <w:pPr>
              <w:rPr>
                <w:rFonts w:cs="Arial"/>
                <w:color w:val="000000"/>
                <w:sz w:val="18"/>
                <w:szCs w:val="18"/>
              </w:rPr>
            </w:pPr>
            <w:r>
              <w:rPr>
                <w:rFonts w:cs="Arial"/>
                <w:color w:val="000000"/>
                <w:sz w:val="18"/>
                <w:szCs w:val="18"/>
              </w:rPr>
              <w:t>Leases</w:t>
            </w:r>
          </w:p>
          <w:p w14:paraId="0FCD6C34" w14:textId="77777777" w:rsidR="00AB6753" w:rsidRDefault="00AB6753" w:rsidP="002D1EA4">
            <w:pPr>
              <w:rPr>
                <w:rFonts w:cs="Arial"/>
                <w:color w:val="000000"/>
                <w:sz w:val="18"/>
                <w:szCs w:val="18"/>
              </w:rPr>
            </w:pPr>
          </w:p>
          <w:p w14:paraId="56BCCB86" w14:textId="77777777" w:rsidR="00AB6753" w:rsidRPr="0082734E" w:rsidRDefault="00AB6753" w:rsidP="002D1EA4">
            <w:pPr>
              <w:rPr>
                <w:rFonts w:cs="Arial"/>
                <w:color w:val="000000"/>
                <w:sz w:val="18"/>
                <w:szCs w:val="18"/>
              </w:rPr>
            </w:pPr>
            <w:r w:rsidRPr="0082734E">
              <w:rPr>
                <w:rFonts w:cs="Arial"/>
                <w:color w:val="000000"/>
                <w:sz w:val="18"/>
                <w:szCs w:val="18"/>
              </w:rPr>
              <w:t>Supplier payables</w:t>
            </w:r>
          </w:p>
          <w:p w14:paraId="23D8BC35" w14:textId="77777777" w:rsidR="00AB6753" w:rsidRDefault="00AB6753" w:rsidP="002D1EA4">
            <w:pPr>
              <w:rPr>
                <w:rFonts w:cs="Arial"/>
                <w:color w:val="000000"/>
                <w:sz w:val="18"/>
                <w:szCs w:val="18"/>
              </w:rPr>
            </w:pPr>
            <w:r w:rsidRPr="0082734E">
              <w:rPr>
                <w:rFonts w:cs="Arial"/>
                <w:color w:val="000000"/>
                <w:sz w:val="18"/>
                <w:szCs w:val="18"/>
              </w:rPr>
              <w:t>Other payables</w:t>
            </w:r>
          </w:p>
          <w:p w14:paraId="104F5F9B" w14:textId="27FABFA4" w:rsidR="00AB6753" w:rsidRDefault="00AB6753" w:rsidP="002D1EA4">
            <w:pPr>
              <w:rPr>
                <w:rFonts w:cs="Arial"/>
                <w:color w:val="000000"/>
                <w:sz w:val="18"/>
                <w:szCs w:val="18"/>
              </w:rPr>
            </w:pPr>
            <w:r>
              <w:rPr>
                <w:rFonts w:cs="Arial"/>
                <w:color w:val="000000"/>
                <w:sz w:val="18"/>
                <w:szCs w:val="18"/>
              </w:rPr>
              <w:t>Other payables and Leases</w:t>
            </w:r>
          </w:p>
          <w:p w14:paraId="50137ECC" w14:textId="77777777" w:rsidR="00AB6753" w:rsidRPr="0082734E" w:rsidRDefault="00AB6753" w:rsidP="003965FA">
            <w:pPr>
              <w:spacing w:before="600"/>
              <w:rPr>
                <w:rFonts w:cs="Arial"/>
                <w:color w:val="000000"/>
                <w:sz w:val="18"/>
                <w:szCs w:val="18"/>
              </w:rPr>
            </w:pPr>
            <w:r w:rsidRPr="0082734E">
              <w:rPr>
                <w:rFonts w:cs="Arial"/>
                <w:color w:val="000000"/>
                <w:sz w:val="18"/>
                <w:szCs w:val="18"/>
              </w:rPr>
              <w:t>Total equity</w:t>
            </w:r>
          </w:p>
          <w:p w14:paraId="16F42883" w14:textId="77777777" w:rsidR="00AB6753" w:rsidRPr="0082734E" w:rsidRDefault="00AB6753" w:rsidP="002D1EA4">
            <w:pPr>
              <w:rPr>
                <w:rFonts w:cs="Arial"/>
                <w:color w:val="000000"/>
                <w:sz w:val="18"/>
                <w:szCs w:val="18"/>
              </w:rPr>
            </w:pPr>
          </w:p>
        </w:tc>
      </w:tr>
    </w:tbl>
    <w:p w14:paraId="61150D71" w14:textId="77777777" w:rsidR="00AB6753" w:rsidRDefault="00AB6753" w:rsidP="00AB6753">
      <w:pPr>
        <w:spacing w:line="240" w:lineRule="auto"/>
        <w:rPr>
          <w:rFonts w:cs="Arial"/>
          <w:b/>
          <w:sz w:val="20"/>
        </w:rPr>
      </w:pPr>
      <w:r>
        <w:br w:type="page"/>
      </w:r>
    </w:p>
    <w:p w14:paraId="7FB193CB" w14:textId="6F61DDCC" w:rsidR="00AB6753" w:rsidRPr="005C17E3" w:rsidRDefault="00AB6753" w:rsidP="00AB6753">
      <w:pPr>
        <w:pStyle w:val="ContinuedSubHeading"/>
        <w:shd w:val="clear" w:color="auto" w:fill="D9D9D9" w:themeFill="background1" w:themeFillShade="D9"/>
        <w:ind w:left="454" w:right="-113" w:hanging="454"/>
      </w:pPr>
      <w:r w:rsidRPr="00E7059D">
        <w:lastRenderedPageBreak/>
        <w:fldChar w:fldCharType="begin"/>
      </w:r>
      <w:r w:rsidRPr="00E7059D">
        <w:instrText xml:space="preserve"> REF _Ref456959814 \r \h  \* MERGEFORMAT </w:instrText>
      </w:r>
      <w:r w:rsidRPr="00E7059D">
        <w:fldChar w:fldCharType="separate"/>
      </w:r>
      <w:r w:rsidR="00532B37">
        <w:t>8.4</w:t>
      </w:r>
      <w:r w:rsidRPr="00E7059D">
        <w:fldChar w:fldCharType="end"/>
      </w:r>
      <w:r w:rsidRPr="00E7059D">
        <w:t xml:space="preserve"> </w:t>
      </w:r>
      <w:r>
        <w:t>Explanation of Major Variances to Budget (continued)</w:t>
      </w:r>
    </w:p>
    <w:p w14:paraId="5A7FDA97" w14:textId="77777777" w:rsidR="00AB6753" w:rsidRPr="00E7059D" w:rsidRDefault="00AB6753" w:rsidP="00AB6753">
      <w:pPr>
        <w:pStyle w:val="ContinuedSubHeading"/>
        <w:shd w:val="clear" w:color="auto" w:fill="D9D9D9" w:themeFill="background1" w:themeFillShade="D9"/>
        <w:ind w:right="-113"/>
        <w:rPr>
          <w:bCs/>
          <w:sz w:val="18"/>
          <w:szCs w:val="18"/>
          <w:u w:val="single"/>
        </w:rPr>
      </w:pPr>
    </w:p>
    <w:p w14:paraId="75F1B8D4" w14:textId="77777777" w:rsidR="00AB6753" w:rsidRPr="00E7059D" w:rsidRDefault="00AB6753" w:rsidP="00AB6753">
      <w:pPr>
        <w:shd w:val="clear" w:color="auto" w:fill="D9D9D9" w:themeFill="background1" w:themeFillShade="D9"/>
        <w:ind w:right="-113"/>
        <w:rPr>
          <w:rFonts w:cs="Arial"/>
          <w:b/>
          <w:bCs/>
          <w:sz w:val="18"/>
          <w:szCs w:val="18"/>
          <w:u w:val="single"/>
        </w:rPr>
      </w:pPr>
      <w:r w:rsidRPr="00F73919">
        <w:rPr>
          <w:rFonts w:cs="Arial"/>
          <w:b/>
          <w:bCs/>
          <w:sz w:val="18"/>
          <w:szCs w:val="18"/>
          <w:u w:val="single"/>
        </w:rPr>
        <w:t xml:space="preserve">Note 8.4B: Administered Major Budget Variances for </w:t>
      </w:r>
      <w:r w:rsidRPr="00F73919">
        <w:rPr>
          <w:rFonts w:cs="Arial"/>
          <w:b/>
          <w:bCs/>
          <w:sz w:val="18"/>
          <w:szCs w:val="18"/>
          <w:u w:val="single"/>
        </w:rPr>
        <w:fldChar w:fldCharType="begin"/>
      </w:r>
      <w:r w:rsidRPr="00F73919">
        <w:rPr>
          <w:rFonts w:cs="Arial"/>
          <w:b/>
          <w:bCs/>
          <w:sz w:val="18"/>
          <w:szCs w:val="18"/>
          <w:u w:val="single"/>
        </w:rPr>
        <w:instrText xml:space="preserve"> DOCPROPERTY  crYear  \* MERGEFORMAT </w:instrText>
      </w:r>
      <w:r w:rsidRPr="00F73919">
        <w:rPr>
          <w:rFonts w:cs="Arial"/>
          <w:b/>
          <w:bCs/>
          <w:sz w:val="18"/>
          <w:szCs w:val="18"/>
          <w:u w:val="single"/>
        </w:rPr>
        <w:fldChar w:fldCharType="separate"/>
      </w:r>
      <w:r w:rsidRPr="00F73919">
        <w:rPr>
          <w:rFonts w:cs="Arial"/>
          <w:b/>
          <w:bCs/>
          <w:sz w:val="18"/>
          <w:szCs w:val="18"/>
          <w:u w:val="single"/>
        </w:rPr>
        <w:t>2020</w:t>
      </w:r>
      <w:r w:rsidRPr="00F73919">
        <w:rPr>
          <w:rFonts w:cs="Arial"/>
          <w:b/>
          <w:bCs/>
          <w:sz w:val="18"/>
          <w:szCs w:val="18"/>
          <w:u w:val="single"/>
        </w:rPr>
        <w:fldChar w:fldCharType="end"/>
      </w:r>
    </w:p>
    <w:p w14:paraId="554CA562" w14:textId="77777777" w:rsidR="00AB6753" w:rsidRDefault="00AB6753" w:rsidP="00AB6753">
      <w:pPr>
        <w:shd w:val="clear" w:color="auto" w:fill="D9D9D9" w:themeFill="background1" w:themeFillShade="D9"/>
        <w:spacing w:after="0"/>
        <w:ind w:right="-113"/>
        <w:rPr>
          <w:rFonts w:cs="Arial"/>
          <w:bCs/>
          <w:sz w:val="18"/>
          <w:szCs w:val="18"/>
        </w:rPr>
      </w:pPr>
    </w:p>
    <w:tbl>
      <w:tblPr>
        <w:tblStyle w:val="TableGrid"/>
        <w:tblW w:w="9639" w:type="dxa"/>
        <w:tblBorders>
          <w:left w:val="none" w:sz="0" w:space="0" w:color="auto"/>
          <w:right w:val="none" w:sz="0" w:space="0" w:color="auto"/>
        </w:tblBorders>
        <w:shd w:val="clear" w:color="auto" w:fill="D9D9D9" w:themeFill="background1" w:themeFillShade="D9"/>
        <w:tblLayout w:type="fixed"/>
        <w:tblLook w:val="04A0" w:firstRow="1" w:lastRow="0" w:firstColumn="1" w:lastColumn="0" w:noHBand="0" w:noVBand="1"/>
        <w:tblCaption w:val="Notes to and forming part of the financial statements"/>
        <w:tblDescription w:val="Explanation of major variances continued"/>
      </w:tblPr>
      <w:tblGrid>
        <w:gridCol w:w="7230"/>
        <w:gridCol w:w="2409"/>
      </w:tblGrid>
      <w:tr w:rsidR="00AB6753" w:rsidRPr="007F7264" w14:paraId="782633F1" w14:textId="77777777" w:rsidTr="002D1EA4">
        <w:trPr>
          <w:trHeight w:val="215"/>
          <w:tblHeader/>
        </w:trPr>
        <w:tc>
          <w:tcPr>
            <w:tcW w:w="7230" w:type="dxa"/>
            <w:shd w:val="clear" w:color="auto" w:fill="D9D9D9" w:themeFill="background1" w:themeFillShade="D9"/>
            <w:vAlign w:val="center"/>
          </w:tcPr>
          <w:p w14:paraId="787190EA" w14:textId="77777777" w:rsidR="00AB6753" w:rsidRPr="00BC061A" w:rsidRDefault="00AB6753" w:rsidP="002D1EA4">
            <w:pPr>
              <w:pStyle w:val="ContinuedSubHeading"/>
              <w:rPr>
                <w:sz w:val="18"/>
                <w:highlight w:val="yellow"/>
              </w:rPr>
            </w:pPr>
            <w:r w:rsidRPr="002F189C">
              <w:rPr>
                <w:sz w:val="18"/>
              </w:rPr>
              <w:t>Explanations of major variances</w:t>
            </w:r>
          </w:p>
        </w:tc>
        <w:tc>
          <w:tcPr>
            <w:tcW w:w="2409" w:type="dxa"/>
            <w:shd w:val="clear" w:color="auto" w:fill="D9D9D9" w:themeFill="background1" w:themeFillShade="D9"/>
            <w:vAlign w:val="center"/>
          </w:tcPr>
          <w:p w14:paraId="37D16BED" w14:textId="77777777" w:rsidR="00AB6753" w:rsidRPr="00BC061A" w:rsidRDefault="00AB6753" w:rsidP="002D1EA4">
            <w:pPr>
              <w:pStyle w:val="ContinuedSubHeading"/>
              <w:rPr>
                <w:sz w:val="18"/>
                <w:highlight w:val="yellow"/>
              </w:rPr>
            </w:pPr>
            <w:r w:rsidRPr="002F189C">
              <w:rPr>
                <w:sz w:val="18"/>
              </w:rPr>
              <w:t>Affected line items</w:t>
            </w:r>
          </w:p>
        </w:tc>
      </w:tr>
      <w:tr w:rsidR="00AB6753" w:rsidRPr="006C6EFE" w14:paraId="555F4E88" w14:textId="77777777" w:rsidTr="002D1EA4">
        <w:trPr>
          <w:trHeight w:val="1134"/>
        </w:trPr>
        <w:tc>
          <w:tcPr>
            <w:tcW w:w="7230" w:type="dxa"/>
            <w:shd w:val="clear" w:color="auto" w:fill="D9D9D9" w:themeFill="background1" w:themeFillShade="D9"/>
          </w:tcPr>
          <w:p w14:paraId="6CA3A460" w14:textId="77777777" w:rsidR="00AB6753" w:rsidRDefault="00AB6753" w:rsidP="002D1EA4">
            <w:pPr>
              <w:rPr>
                <w:rFonts w:cs="Arial"/>
                <w:color w:val="000000"/>
                <w:sz w:val="18"/>
                <w:szCs w:val="18"/>
              </w:rPr>
            </w:pPr>
          </w:p>
          <w:p w14:paraId="5CE5F295" w14:textId="77777777" w:rsidR="00AB6753" w:rsidRDefault="00AB6753" w:rsidP="002D1EA4">
            <w:pPr>
              <w:rPr>
                <w:rFonts w:cs="Arial"/>
                <w:color w:val="000000"/>
                <w:sz w:val="18"/>
                <w:szCs w:val="18"/>
              </w:rPr>
            </w:pPr>
            <w:r w:rsidRPr="00F73919">
              <w:rPr>
                <w:rFonts w:cs="Arial"/>
                <w:color w:val="000000"/>
                <w:sz w:val="18"/>
                <w:szCs w:val="18"/>
              </w:rPr>
              <w:t>Total ad</w:t>
            </w:r>
            <w:r>
              <w:rPr>
                <w:rFonts w:cs="Arial"/>
                <w:color w:val="000000"/>
                <w:sz w:val="18"/>
                <w:szCs w:val="18"/>
              </w:rPr>
              <w:t>ministered expenses were $14.694</w:t>
            </w:r>
            <w:r w:rsidRPr="00F73919">
              <w:rPr>
                <w:rFonts w:cs="Arial"/>
                <w:color w:val="000000"/>
                <w:sz w:val="18"/>
                <w:szCs w:val="18"/>
              </w:rPr>
              <w:t xml:space="preserve"> billion higher than the original budget estimate (Budget) and this variance is mainly due to the following key drivers:</w:t>
            </w:r>
          </w:p>
          <w:p w14:paraId="7C9813C5" w14:textId="77777777" w:rsidR="00AB6753" w:rsidRDefault="00AB6753" w:rsidP="002D1EA4">
            <w:pPr>
              <w:rPr>
                <w:rFonts w:cs="Arial"/>
                <w:color w:val="000000"/>
                <w:sz w:val="18"/>
                <w:szCs w:val="18"/>
              </w:rPr>
            </w:pPr>
          </w:p>
          <w:p w14:paraId="713B5E01" w14:textId="77777777" w:rsidR="00AB6753" w:rsidRPr="00F73919" w:rsidRDefault="00AB6753" w:rsidP="002D1EA4">
            <w:pPr>
              <w:pStyle w:val="ListParagraph"/>
              <w:numPr>
                <w:ilvl w:val="0"/>
                <w:numId w:val="41"/>
              </w:numPr>
              <w:spacing w:line="260" w:lineRule="atLeast"/>
              <w:rPr>
                <w:rFonts w:cs="Arial"/>
                <w:color w:val="000000"/>
                <w:sz w:val="18"/>
                <w:szCs w:val="18"/>
              </w:rPr>
            </w:pPr>
            <w:r w:rsidRPr="00F73919">
              <w:rPr>
                <w:rFonts w:cs="Arial"/>
                <w:color w:val="000000"/>
                <w:sz w:val="18"/>
                <w:szCs w:val="18"/>
              </w:rPr>
              <w:t xml:space="preserve">Personal benefit expenses were higher than the Budget and mainly reflects the first </w:t>
            </w:r>
            <w:r>
              <w:rPr>
                <w:rFonts w:cs="Arial"/>
                <w:color w:val="000000"/>
                <w:sz w:val="18"/>
                <w:szCs w:val="18"/>
              </w:rPr>
              <w:t>payment</w:t>
            </w:r>
            <w:r w:rsidRPr="00F73919">
              <w:rPr>
                <w:rFonts w:cs="Arial"/>
                <w:color w:val="000000"/>
                <w:sz w:val="18"/>
                <w:szCs w:val="18"/>
              </w:rPr>
              <w:t xml:space="preserve"> of</w:t>
            </w:r>
            <w:r>
              <w:rPr>
                <w:rFonts w:cs="Arial"/>
                <w:color w:val="000000"/>
                <w:sz w:val="18"/>
                <w:szCs w:val="18"/>
              </w:rPr>
              <w:t xml:space="preserve"> the</w:t>
            </w:r>
            <w:r w:rsidRPr="00F73919">
              <w:rPr>
                <w:rFonts w:cs="Arial"/>
                <w:color w:val="000000"/>
                <w:sz w:val="18"/>
                <w:szCs w:val="18"/>
              </w:rPr>
              <w:t xml:space="preserve"> $750 one-off Economic Stimulus Package and </w:t>
            </w:r>
            <w:r>
              <w:rPr>
                <w:rFonts w:cs="Arial"/>
                <w:color w:val="000000"/>
                <w:sz w:val="18"/>
                <w:szCs w:val="18"/>
              </w:rPr>
              <w:t>the $550 fortnightly coronavirus</w:t>
            </w:r>
            <w:r w:rsidRPr="00F73919">
              <w:rPr>
                <w:rFonts w:cs="Arial"/>
                <w:color w:val="000000"/>
                <w:sz w:val="18"/>
                <w:szCs w:val="18"/>
              </w:rPr>
              <w:t xml:space="preserve"> </w:t>
            </w:r>
            <w:r>
              <w:rPr>
                <w:rFonts w:cs="Arial"/>
                <w:color w:val="000000"/>
                <w:sz w:val="18"/>
                <w:szCs w:val="18"/>
              </w:rPr>
              <w:t>s</w:t>
            </w:r>
            <w:r w:rsidRPr="00F73919">
              <w:rPr>
                <w:rFonts w:cs="Arial"/>
                <w:color w:val="000000"/>
                <w:sz w:val="18"/>
                <w:szCs w:val="18"/>
              </w:rPr>
              <w:t xml:space="preserve">upplement payments, an increase in recipient numbers and an increase in average payment rates relating to the </w:t>
            </w:r>
            <w:r>
              <w:rPr>
                <w:rFonts w:cs="Arial"/>
                <w:color w:val="000000"/>
                <w:sz w:val="18"/>
                <w:szCs w:val="18"/>
              </w:rPr>
              <w:t>COVID-19</w:t>
            </w:r>
            <w:r w:rsidRPr="00F73919">
              <w:rPr>
                <w:rFonts w:cs="Arial"/>
                <w:color w:val="000000"/>
                <w:sz w:val="18"/>
                <w:szCs w:val="18"/>
              </w:rPr>
              <w:t xml:space="preserve"> impact on the economy.</w:t>
            </w:r>
          </w:p>
          <w:p w14:paraId="0D924CDE" w14:textId="77777777" w:rsidR="00AB6753" w:rsidRDefault="00AB6753" w:rsidP="002D1EA4">
            <w:pPr>
              <w:pStyle w:val="ListParagraph"/>
              <w:numPr>
                <w:ilvl w:val="0"/>
                <w:numId w:val="41"/>
              </w:numPr>
              <w:spacing w:line="260" w:lineRule="atLeast"/>
              <w:rPr>
                <w:rFonts w:cs="Arial"/>
                <w:color w:val="000000"/>
                <w:sz w:val="18"/>
                <w:szCs w:val="18"/>
              </w:rPr>
            </w:pPr>
            <w:r w:rsidRPr="004779B0">
              <w:rPr>
                <w:rFonts w:cs="Arial"/>
                <w:color w:val="000000"/>
                <w:sz w:val="18"/>
                <w:szCs w:val="18"/>
              </w:rPr>
              <w:t>Grants expenses were higher than Budget reflecting higher than expected demand in grant payments, including for the Disability Employment Services program and payments made under the COVID-19 Community Support Package, and the increase in additional grants provided in relation to the bushfires which occurred during the 2020 financial year.</w:t>
            </w:r>
          </w:p>
          <w:p w14:paraId="409BA7E8" w14:textId="77777777" w:rsidR="00AB6753" w:rsidRPr="004779B0" w:rsidRDefault="00AB6753" w:rsidP="002D1EA4">
            <w:pPr>
              <w:rPr>
                <w:rFonts w:cs="Arial"/>
                <w:color w:val="000000"/>
                <w:sz w:val="18"/>
                <w:szCs w:val="18"/>
              </w:rPr>
            </w:pPr>
          </w:p>
          <w:p w14:paraId="2E853F28" w14:textId="77777777" w:rsidR="00AB6753" w:rsidRDefault="00AB6753" w:rsidP="002D1EA4">
            <w:pPr>
              <w:rPr>
                <w:rFonts w:cs="Arial"/>
                <w:color w:val="000000"/>
                <w:sz w:val="18"/>
                <w:szCs w:val="18"/>
              </w:rPr>
            </w:pPr>
            <w:r w:rsidRPr="00F73919">
              <w:rPr>
                <w:rFonts w:cs="Arial"/>
                <w:color w:val="000000"/>
                <w:sz w:val="18"/>
                <w:szCs w:val="18"/>
              </w:rPr>
              <w:t>Administered income was $0.202 billion lower than the Budget mainly as a result of lower than expected National Redress Scheme re</w:t>
            </w:r>
            <w:r>
              <w:rPr>
                <w:rFonts w:cs="Arial"/>
                <w:color w:val="000000"/>
                <w:sz w:val="18"/>
                <w:szCs w:val="18"/>
              </w:rPr>
              <w:t xml:space="preserve">venue partially offset by the </w:t>
            </w:r>
            <w:r w:rsidRPr="00F73919">
              <w:rPr>
                <w:rFonts w:cs="Arial"/>
                <w:color w:val="000000"/>
                <w:sz w:val="18"/>
                <w:szCs w:val="18"/>
              </w:rPr>
              <w:t>increase in fair v</w:t>
            </w:r>
            <w:r>
              <w:rPr>
                <w:rFonts w:cs="Arial"/>
                <w:color w:val="000000"/>
                <w:sz w:val="18"/>
                <w:szCs w:val="18"/>
              </w:rPr>
              <w:t>alue gains on the student loans.</w:t>
            </w:r>
          </w:p>
          <w:p w14:paraId="48D4AD22" w14:textId="77777777" w:rsidR="00AB6753" w:rsidRDefault="00AB6753" w:rsidP="002D1EA4">
            <w:pPr>
              <w:rPr>
                <w:rFonts w:cs="Arial"/>
                <w:color w:val="000000"/>
                <w:sz w:val="18"/>
                <w:szCs w:val="18"/>
              </w:rPr>
            </w:pPr>
          </w:p>
          <w:p w14:paraId="2202D5C2" w14:textId="77777777" w:rsidR="00AB6753" w:rsidRDefault="00AB6753" w:rsidP="002D1EA4">
            <w:pPr>
              <w:rPr>
                <w:rFonts w:cs="Arial"/>
                <w:color w:val="000000"/>
                <w:sz w:val="18"/>
                <w:szCs w:val="18"/>
              </w:rPr>
            </w:pPr>
            <w:r w:rsidRPr="00F73919">
              <w:rPr>
                <w:rFonts w:cs="Arial"/>
                <w:color w:val="000000"/>
                <w:sz w:val="18"/>
                <w:szCs w:val="18"/>
              </w:rPr>
              <w:t>Administered assets were $0.234 billion lower than the Budget mainly due to the decrease in the National Disability Insurance Scheme investment value. This is partially offset by greater than expected student loan balances reflecting the increase in fair value gain.</w:t>
            </w:r>
          </w:p>
          <w:p w14:paraId="61CF363C" w14:textId="77777777" w:rsidR="00AB6753" w:rsidRDefault="00AB6753" w:rsidP="002D1EA4">
            <w:pPr>
              <w:rPr>
                <w:rFonts w:cs="Arial"/>
                <w:color w:val="000000"/>
                <w:sz w:val="18"/>
                <w:szCs w:val="18"/>
              </w:rPr>
            </w:pPr>
          </w:p>
          <w:p w14:paraId="656095EE" w14:textId="77777777" w:rsidR="00AB6753" w:rsidRDefault="00AB6753" w:rsidP="002D1EA4">
            <w:pPr>
              <w:rPr>
                <w:rFonts w:cs="Arial"/>
                <w:color w:val="000000"/>
                <w:sz w:val="18"/>
                <w:szCs w:val="18"/>
              </w:rPr>
            </w:pPr>
            <w:r w:rsidRPr="00F73919">
              <w:rPr>
                <w:rFonts w:cs="Arial"/>
                <w:color w:val="000000"/>
                <w:sz w:val="18"/>
                <w:szCs w:val="18"/>
              </w:rPr>
              <w:t>Admi</w:t>
            </w:r>
            <w:r>
              <w:rPr>
                <w:rFonts w:cs="Arial"/>
                <w:color w:val="000000"/>
                <w:sz w:val="18"/>
                <w:szCs w:val="18"/>
              </w:rPr>
              <w:t>nistered liabilities were $2.074</w:t>
            </w:r>
            <w:r w:rsidRPr="00F73919">
              <w:rPr>
                <w:rFonts w:cs="Arial"/>
                <w:color w:val="000000"/>
                <w:sz w:val="18"/>
                <w:szCs w:val="18"/>
              </w:rPr>
              <w:t xml:space="preserve"> billion higher than the Budget and this variance is mainly due to the following key drivers:</w:t>
            </w:r>
          </w:p>
          <w:p w14:paraId="4564A826" w14:textId="77777777" w:rsidR="00AB6753" w:rsidRDefault="00AB6753" w:rsidP="002D1EA4">
            <w:pPr>
              <w:rPr>
                <w:rFonts w:cs="Arial"/>
                <w:color w:val="000000"/>
                <w:sz w:val="18"/>
                <w:szCs w:val="18"/>
              </w:rPr>
            </w:pPr>
          </w:p>
          <w:p w14:paraId="419387BB" w14:textId="77777777" w:rsidR="00AB6753" w:rsidRPr="00F73919" w:rsidRDefault="00AB6753" w:rsidP="002D1EA4">
            <w:pPr>
              <w:pStyle w:val="ListParagraph"/>
              <w:numPr>
                <w:ilvl w:val="0"/>
                <w:numId w:val="41"/>
              </w:numPr>
              <w:spacing w:line="260" w:lineRule="atLeast"/>
              <w:rPr>
                <w:rFonts w:cs="Arial"/>
                <w:color w:val="000000"/>
                <w:sz w:val="18"/>
                <w:szCs w:val="18"/>
              </w:rPr>
            </w:pPr>
            <w:r w:rsidRPr="00F73919">
              <w:rPr>
                <w:rFonts w:cs="Arial"/>
                <w:color w:val="000000"/>
                <w:sz w:val="18"/>
                <w:szCs w:val="18"/>
              </w:rPr>
              <w:t xml:space="preserve">Greater than expected personal benefit payables reflecting the recognition of </w:t>
            </w:r>
            <w:r>
              <w:rPr>
                <w:rFonts w:cs="Arial"/>
                <w:color w:val="000000"/>
                <w:sz w:val="18"/>
                <w:szCs w:val="18"/>
              </w:rPr>
              <w:t>Income</w:t>
            </w:r>
            <w:r w:rsidRPr="00F73919">
              <w:rPr>
                <w:rFonts w:cs="Arial"/>
                <w:color w:val="000000"/>
                <w:sz w:val="18"/>
                <w:szCs w:val="18"/>
              </w:rPr>
              <w:t xml:space="preserve"> Compliance </w:t>
            </w:r>
            <w:r>
              <w:rPr>
                <w:rFonts w:cs="Arial"/>
                <w:color w:val="000000"/>
                <w:sz w:val="18"/>
                <w:szCs w:val="18"/>
              </w:rPr>
              <w:t xml:space="preserve">program refunds </w:t>
            </w:r>
            <w:r w:rsidRPr="00F73919">
              <w:rPr>
                <w:rFonts w:cs="Arial"/>
                <w:color w:val="000000"/>
                <w:sz w:val="18"/>
                <w:szCs w:val="18"/>
              </w:rPr>
              <w:t xml:space="preserve">and increased recipient numbers relating to </w:t>
            </w:r>
            <w:r>
              <w:rPr>
                <w:rFonts w:cs="Arial"/>
                <w:color w:val="000000"/>
                <w:sz w:val="18"/>
                <w:szCs w:val="18"/>
              </w:rPr>
              <w:t>COVID-19</w:t>
            </w:r>
            <w:r w:rsidRPr="00F73919">
              <w:rPr>
                <w:rFonts w:cs="Arial"/>
                <w:color w:val="000000"/>
                <w:sz w:val="18"/>
                <w:szCs w:val="18"/>
              </w:rPr>
              <w:t>; and</w:t>
            </w:r>
          </w:p>
          <w:p w14:paraId="53CAE72D" w14:textId="77777777" w:rsidR="00AB6753" w:rsidRPr="00D31907" w:rsidRDefault="00AB6753" w:rsidP="002D1EA4">
            <w:pPr>
              <w:pStyle w:val="ListParagraph"/>
              <w:numPr>
                <w:ilvl w:val="0"/>
                <w:numId w:val="41"/>
              </w:numPr>
              <w:spacing w:line="260" w:lineRule="atLeast"/>
              <w:rPr>
                <w:rFonts w:cs="Arial"/>
                <w:color w:val="000000"/>
                <w:sz w:val="18"/>
                <w:szCs w:val="18"/>
              </w:rPr>
            </w:pPr>
            <w:r w:rsidRPr="00F73919">
              <w:rPr>
                <w:rFonts w:cs="Arial"/>
                <w:color w:val="000000"/>
                <w:sz w:val="18"/>
                <w:szCs w:val="18"/>
              </w:rPr>
              <w:t xml:space="preserve">Key assumptions have been amended to account for </w:t>
            </w:r>
            <w:r>
              <w:rPr>
                <w:rFonts w:cs="Arial"/>
                <w:color w:val="000000"/>
                <w:sz w:val="18"/>
                <w:szCs w:val="18"/>
              </w:rPr>
              <w:t>COVID-19</w:t>
            </w:r>
            <w:r w:rsidRPr="00F73919">
              <w:rPr>
                <w:rFonts w:cs="Arial"/>
                <w:color w:val="000000"/>
                <w:sz w:val="18"/>
                <w:szCs w:val="18"/>
              </w:rPr>
              <w:t xml:space="preserve"> in actuarial assessments in the personal benefits and other provisions including higher claim rates.</w:t>
            </w:r>
          </w:p>
        </w:tc>
        <w:tc>
          <w:tcPr>
            <w:tcW w:w="2409" w:type="dxa"/>
            <w:shd w:val="clear" w:color="auto" w:fill="D9D9D9" w:themeFill="background1" w:themeFillShade="D9"/>
          </w:tcPr>
          <w:p w14:paraId="1B64308A" w14:textId="61CD90D8" w:rsidR="00AB6753" w:rsidRDefault="00AB6753" w:rsidP="003965FA">
            <w:pPr>
              <w:spacing w:before="880"/>
              <w:rPr>
                <w:rFonts w:cs="Arial"/>
                <w:sz w:val="18"/>
                <w:szCs w:val="18"/>
              </w:rPr>
            </w:pPr>
            <w:r w:rsidRPr="00F73919">
              <w:rPr>
                <w:rFonts w:cs="Arial"/>
                <w:sz w:val="18"/>
                <w:szCs w:val="18"/>
              </w:rPr>
              <w:t>Personal benefit expenses</w:t>
            </w:r>
          </w:p>
          <w:p w14:paraId="6DA6D7C0" w14:textId="77777777" w:rsidR="00AB6753" w:rsidRDefault="00AB6753" w:rsidP="003965FA">
            <w:pPr>
              <w:spacing w:before="1120"/>
              <w:rPr>
                <w:rFonts w:cs="Arial"/>
                <w:sz w:val="18"/>
                <w:szCs w:val="18"/>
              </w:rPr>
            </w:pPr>
            <w:r>
              <w:rPr>
                <w:rFonts w:cs="Arial"/>
                <w:sz w:val="18"/>
                <w:szCs w:val="18"/>
              </w:rPr>
              <w:t>Grants</w:t>
            </w:r>
          </w:p>
          <w:p w14:paraId="0E20AD05" w14:textId="77777777" w:rsidR="00AB6753" w:rsidRDefault="00AB6753" w:rsidP="003965FA">
            <w:pPr>
              <w:spacing w:before="1200"/>
              <w:rPr>
                <w:rFonts w:cs="Arial"/>
                <w:sz w:val="18"/>
                <w:szCs w:val="18"/>
              </w:rPr>
            </w:pPr>
            <w:r>
              <w:rPr>
                <w:rFonts w:cs="Arial"/>
                <w:sz w:val="18"/>
                <w:szCs w:val="18"/>
              </w:rPr>
              <w:t>Gains</w:t>
            </w:r>
          </w:p>
          <w:p w14:paraId="7E7F1D3A" w14:textId="77777777" w:rsidR="00AB6753" w:rsidRDefault="00AB6753" w:rsidP="003965FA">
            <w:pPr>
              <w:spacing w:before="600"/>
              <w:rPr>
                <w:rFonts w:cs="Arial"/>
                <w:sz w:val="18"/>
                <w:szCs w:val="18"/>
              </w:rPr>
            </w:pPr>
            <w:r>
              <w:rPr>
                <w:rFonts w:cs="Arial"/>
                <w:sz w:val="18"/>
                <w:szCs w:val="18"/>
              </w:rPr>
              <w:t>Investments and Receivables</w:t>
            </w:r>
          </w:p>
          <w:p w14:paraId="728282D6" w14:textId="77777777" w:rsidR="00AB6753" w:rsidRDefault="00AB6753" w:rsidP="003965FA">
            <w:pPr>
              <w:spacing w:before="1320"/>
              <w:rPr>
                <w:rFonts w:cs="Arial"/>
                <w:sz w:val="18"/>
                <w:szCs w:val="18"/>
              </w:rPr>
            </w:pPr>
            <w:r>
              <w:rPr>
                <w:rFonts w:cs="Arial"/>
                <w:sz w:val="18"/>
                <w:szCs w:val="18"/>
              </w:rPr>
              <w:t>Personal benefit payables</w:t>
            </w:r>
          </w:p>
          <w:p w14:paraId="43635922" w14:textId="77777777" w:rsidR="00AB6753" w:rsidRPr="00BC061A" w:rsidRDefault="00AB6753" w:rsidP="003965FA">
            <w:pPr>
              <w:spacing w:before="600"/>
              <w:rPr>
                <w:rFonts w:cs="Arial"/>
                <w:sz w:val="18"/>
                <w:szCs w:val="18"/>
                <w:highlight w:val="yellow"/>
              </w:rPr>
            </w:pPr>
            <w:r>
              <w:rPr>
                <w:rFonts w:cs="Arial"/>
                <w:sz w:val="18"/>
                <w:szCs w:val="18"/>
              </w:rPr>
              <w:t>Personal benefit and other provisions</w:t>
            </w:r>
          </w:p>
        </w:tc>
      </w:tr>
    </w:tbl>
    <w:p w14:paraId="2D419B6E" w14:textId="77777777" w:rsidR="00AB6753" w:rsidRPr="00BC7C3C" w:rsidRDefault="00AB6753" w:rsidP="00AB6753"/>
    <w:p w14:paraId="48F49703" w14:textId="77777777" w:rsidR="00AB6753" w:rsidRDefault="00AB6753" w:rsidP="00AB6753">
      <w:pPr>
        <w:rPr>
          <w:rFonts w:cs="Arial"/>
          <w:color w:val="2C2A29"/>
          <w:sz w:val="24"/>
          <w:szCs w:val="24"/>
          <w:highlight w:val="yellow"/>
        </w:rPr>
        <w:sectPr w:rsidR="00AB6753" w:rsidSect="00BB218B">
          <w:pgSz w:w="11906" w:h="16838"/>
          <w:pgMar w:top="1440" w:right="991" w:bottom="1440" w:left="1440" w:header="958" w:footer="680" w:gutter="0"/>
          <w:cols w:space="708"/>
          <w:docGrid w:linePitch="360"/>
        </w:sectPr>
      </w:pPr>
    </w:p>
    <w:p w14:paraId="6A5235F0" w14:textId="77777777" w:rsidR="00AB6753" w:rsidRPr="00054A67" w:rsidRDefault="00AB6753" w:rsidP="00AB6753">
      <w:pPr>
        <w:pBdr>
          <w:bottom w:val="single" w:sz="48" w:space="0" w:color="404040" w:themeColor="text1" w:themeTint="BF"/>
        </w:pBdr>
        <w:tabs>
          <w:tab w:val="right" w:pos="8364"/>
        </w:tabs>
        <w:spacing w:before="60" w:after="60"/>
        <w:ind w:left="567" w:right="1133"/>
        <w:rPr>
          <w:rFonts w:ascii="Georgia" w:hAnsi="Georgia"/>
          <w:color w:val="215868" w:themeColor="accent5" w:themeShade="80"/>
          <w:sz w:val="72"/>
          <w:szCs w:val="72"/>
        </w:rPr>
      </w:pPr>
      <w:r w:rsidRPr="00054A67">
        <w:rPr>
          <w:rFonts w:ascii="Georgia" w:hAnsi="Georgia"/>
          <w:color w:val="215868" w:themeColor="accent5" w:themeShade="80"/>
          <w:sz w:val="72"/>
          <w:szCs w:val="72"/>
        </w:rPr>
        <w:lastRenderedPageBreak/>
        <w:t>Part 6</w:t>
      </w:r>
    </w:p>
    <w:p w14:paraId="6EEC2EF2" w14:textId="77777777" w:rsidR="00AB6753" w:rsidRPr="009D1A7C" w:rsidRDefault="00AB6753" w:rsidP="00AB6753">
      <w:pPr>
        <w:tabs>
          <w:tab w:val="left" w:pos="1843"/>
          <w:tab w:val="left" w:pos="9356"/>
          <w:tab w:val="right" w:pos="9639"/>
        </w:tabs>
        <w:spacing w:before="60" w:after="60"/>
        <w:ind w:left="2268" w:right="-46" w:hanging="1701"/>
        <w:rPr>
          <w:sz w:val="20"/>
          <w:szCs w:val="20"/>
        </w:rPr>
      </w:pPr>
    </w:p>
    <w:p w14:paraId="75D1F64B" w14:textId="557874B6" w:rsidR="00AB6753" w:rsidRPr="00481422" w:rsidRDefault="00AB6753" w:rsidP="00AB6753">
      <w:pPr>
        <w:tabs>
          <w:tab w:val="left" w:pos="2268"/>
          <w:tab w:val="right" w:pos="7938"/>
          <w:tab w:val="left" w:pos="8505"/>
        </w:tabs>
        <w:ind w:left="567" w:right="-397"/>
        <w:rPr>
          <w:sz w:val="24"/>
        </w:rPr>
      </w:pPr>
      <w:r w:rsidRPr="00481422">
        <w:rPr>
          <w:sz w:val="24"/>
        </w:rPr>
        <w:t>Appendix A</w:t>
      </w:r>
      <w:r w:rsidRPr="00481422">
        <w:rPr>
          <w:sz w:val="24"/>
        </w:rPr>
        <w:tab/>
        <w:t>Resource statements</w:t>
      </w:r>
      <w:r w:rsidRPr="00481422">
        <w:rPr>
          <w:sz w:val="24"/>
        </w:rPr>
        <w:tab/>
      </w:r>
      <w:r w:rsidR="00FD6B57" w:rsidRPr="00481422">
        <w:rPr>
          <w:sz w:val="24"/>
        </w:rPr>
        <w:t>18</w:t>
      </w:r>
      <w:r w:rsidR="00ED09BA">
        <w:rPr>
          <w:sz w:val="24"/>
        </w:rPr>
        <w:t>0</w:t>
      </w:r>
    </w:p>
    <w:p w14:paraId="12E2892B" w14:textId="71F7F6FD" w:rsidR="00AB6753" w:rsidRPr="00481422" w:rsidRDefault="00AB6753" w:rsidP="00AB6753">
      <w:pPr>
        <w:tabs>
          <w:tab w:val="left" w:pos="2268"/>
          <w:tab w:val="right" w:pos="7938"/>
          <w:tab w:val="left" w:pos="8505"/>
        </w:tabs>
        <w:ind w:left="567" w:right="-397"/>
        <w:rPr>
          <w:sz w:val="24"/>
        </w:rPr>
      </w:pPr>
      <w:r w:rsidRPr="00481422">
        <w:rPr>
          <w:sz w:val="24"/>
        </w:rPr>
        <w:t>Appendix B</w:t>
      </w:r>
      <w:r w:rsidRPr="00481422">
        <w:rPr>
          <w:sz w:val="24"/>
        </w:rPr>
        <w:tab/>
        <w:t>Advertising and market research</w:t>
      </w:r>
      <w:r w:rsidRPr="00481422">
        <w:rPr>
          <w:sz w:val="24"/>
        </w:rPr>
        <w:tab/>
      </w:r>
      <w:r w:rsidR="00ED09BA">
        <w:rPr>
          <w:sz w:val="24"/>
        </w:rPr>
        <w:t>192</w:t>
      </w:r>
    </w:p>
    <w:p w14:paraId="17B4FC15" w14:textId="77777777" w:rsidR="00AB6753" w:rsidRPr="00481422" w:rsidRDefault="00AB6753" w:rsidP="00AB6753">
      <w:pPr>
        <w:tabs>
          <w:tab w:val="left" w:pos="2268"/>
          <w:tab w:val="right" w:pos="7938"/>
          <w:tab w:val="left" w:pos="8505"/>
        </w:tabs>
        <w:ind w:left="567" w:right="-397"/>
        <w:rPr>
          <w:webHidden/>
          <w:sz w:val="24"/>
        </w:rPr>
      </w:pPr>
      <w:r w:rsidRPr="00481422">
        <w:rPr>
          <w:sz w:val="24"/>
        </w:rPr>
        <w:t>Appendix C</w:t>
      </w:r>
      <w:r w:rsidRPr="00481422">
        <w:rPr>
          <w:webHidden/>
          <w:sz w:val="24"/>
        </w:rPr>
        <w:tab/>
        <w:t xml:space="preserve">Ecologically sustainable development and </w:t>
      </w:r>
    </w:p>
    <w:p w14:paraId="153773B8" w14:textId="0A817F69" w:rsidR="00AB6753" w:rsidRPr="00481422" w:rsidRDefault="00AB6753" w:rsidP="00AB6753">
      <w:pPr>
        <w:tabs>
          <w:tab w:val="left" w:pos="2268"/>
          <w:tab w:val="right" w:pos="7938"/>
          <w:tab w:val="left" w:pos="8505"/>
        </w:tabs>
        <w:ind w:left="567" w:right="-397"/>
        <w:rPr>
          <w:webHidden/>
          <w:sz w:val="24"/>
        </w:rPr>
      </w:pPr>
      <w:r w:rsidRPr="00481422">
        <w:rPr>
          <w:webHidden/>
          <w:sz w:val="24"/>
        </w:rPr>
        <w:tab/>
        <w:t>environmental performance</w:t>
      </w:r>
      <w:r w:rsidRPr="00481422">
        <w:rPr>
          <w:webHidden/>
          <w:sz w:val="24"/>
        </w:rPr>
        <w:tab/>
      </w:r>
      <w:r w:rsidR="00FD6B57" w:rsidRPr="00481422">
        <w:rPr>
          <w:webHidden/>
          <w:sz w:val="24"/>
        </w:rPr>
        <w:t>19</w:t>
      </w:r>
      <w:r w:rsidR="00ED09BA">
        <w:rPr>
          <w:webHidden/>
          <w:sz w:val="24"/>
        </w:rPr>
        <w:t>6</w:t>
      </w:r>
    </w:p>
    <w:p w14:paraId="0B5F1544" w14:textId="68019B95" w:rsidR="00AB6753" w:rsidRPr="00481422" w:rsidRDefault="00AB6753" w:rsidP="00AB6753">
      <w:pPr>
        <w:tabs>
          <w:tab w:val="left" w:pos="2268"/>
          <w:tab w:val="right" w:pos="7938"/>
          <w:tab w:val="left" w:pos="8505"/>
        </w:tabs>
        <w:ind w:left="567" w:right="-397"/>
        <w:rPr>
          <w:webHidden/>
          <w:sz w:val="24"/>
        </w:rPr>
      </w:pPr>
      <w:r w:rsidRPr="00481422">
        <w:rPr>
          <w:webHidden/>
          <w:sz w:val="24"/>
        </w:rPr>
        <w:t>Appendix D</w:t>
      </w:r>
      <w:r w:rsidRPr="00481422">
        <w:rPr>
          <w:webHidden/>
          <w:sz w:val="24"/>
        </w:rPr>
        <w:tab/>
        <w:t xml:space="preserve">Compliance with the </w:t>
      </w:r>
      <w:r w:rsidRPr="00481422">
        <w:rPr>
          <w:i/>
          <w:webHidden/>
          <w:sz w:val="24"/>
        </w:rPr>
        <w:t>Carer Recognition Act 2010</w:t>
      </w:r>
      <w:r w:rsidRPr="00481422">
        <w:rPr>
          <w:webHidden/>
          <w:sz w:val="24"/>
        </w:rPr>
        <w:tab/>
      </w:r>
      <w:r w:rsidR="00ED09BA">
        <w:rPr>
          <w:webHidden/>
          <w:sz w:val="24"/>
        </w:rPr>
        <w:t>199</w:t>
      </w:r>
    </w:p>
    <w:p w14:paraId="59BF86C0" w14:textId="2177F545" w:rsidR="00AB6753" w:rsidRPr="00481422" w:rsidRDefault="00AB6753" w:rsidP="00AB6753">
      <w:pPr>
        <w:tabs>
          <w:tab w:val="left" w:pos="2268"/>
          <w:tab w:val="right" w:pos="7938"/>
          <w:tab w:val="left" w:pos="8505"/>
        </w:tabs>
        <w:ind w:left="567" w:right="-397"/>
        <w:rPr>
          <w:webHidden/>
          <w:sz w:val="24"/>
        </w:rPr>
      </w:pPr>
      <w:r w:rsidRPr="00481422">
        <w:rPr>
          <w:webHidden/>
          <w:sz w:val="24"/>
        </w:rPr>
        <w:t>Appendix E</w:t>
      </w:r>
      <w:r w:rsidRPr="00481422">
        <w:rPr>
          <w:webHidden/>
          <w:sz w:val="24"/>
        </w:rPr>
        <w:tab/>
        <w:t>Disability reporting</w:t>
      </w:r>
      <w:r w:rsidRPr="00481422">
        <w:rPr>
          <w:webHidden/>
          <w:sz w:val="24"/>
        </w:rPr>
        <w:tab/>
      </w:r>
      <w:r w:rsidR="00FD6B57" w:rsidRPr="00481422">
        <w:rPr>
          <w:webHidden/>
          <w:sz w:val="24"/>
        </w:rPr>
        <w:t>20</w:t>
      </w:r>
      <w:r w:rsidR="00ED09BA">
        <w:rPr>
          <w:webHidden/>
          <w:sz w:val="24"/>
        </w:rPr>
        <w:t>1</w:t>
      </w:r>
    </w:p>
    <w:p w14:paraId="23A164AB" w14:textId="48DEE6E2" w:rsidR="00AB6753" w:rsidRPr="00481422" w:rsidRDefault="00AB6753" w:rsidP="00AB6753">
      <w:pPr>
        <w:tabs>
          <w:tab w:val="left" w:pos="2268"/>
          <w:tab w:val="right" w:pos="7938"/>
          <w:tab w:val="left" w:pos="8505"/>
        </w:tabs>
        <w:ind w:left="567" w:right="-397"/>
      </w:pPr>
      <w:r w:rsidRPr="00481422">
        <w:rPr>
          <w:sz w:val="24"/>
        </w:rPr>
        <w:t xml:space="preserve">Appendix F </w:t>
      </w:r>
      <w:r w:rsidRPr="00481422">
        <w:rPr>
          <w:sz w:val="24"/>
        </w:rPr>
        <w:tab/>
        <w:t xml:space="preserve">Digital reporting </w:t>
      </w:r>
      <w:r w:rsidR="002D1EA4" w:rsidRPr="00481422">
        <w:rPr>
          <w:sz w:val="24"/>
        </w:rPr>
        <w:t xml:space="preserve">tool </w:t>
      </w:r>
      <w:r w:rsidRPr="00481422">
        <w:rPr>
          <w:sz w:val="24"/>
        </w:rPr>
        <w:t>data</w:t>
      </w:r>
      <w:r w:rsidRPr="00481422">
        <w:tab/>
      </w:r>
      <w:r w:rsidR="00ED09BA">
        <w:t>202</w:t>
      </w:r>
    </w:p>
    <w:p w14:paraId="3D1F9117" w14:textId="1F246CD0" w:rsidR="00AB6753" w:rsidRDefault="00AB6753" w:rsidP="003965FA">
      <w:pPr>
        <w:tabs>
          <w:tab w:val="left" w:pos="2268"/>
          <w:tab w:val="right" w:pos="7938"/>
          <w:tab w:val="left" w:pos="8505"/>
        </w:tabs>
        <w:ind w:left="567" w:right="-397"/>
        <w:rPr>
          <w:rFonts w:ascii="HelveticaNeueLTStd-Lt" w:hAnsi="HelveticaNeueLTStd-Lt" w:cs="HelveticaNeueLTStd-Lt"/>
          <w:color w:val="000000"/>
          <w:sz w:val="19"/>
          <w:szCs w:val="19"/>
        </w:rPr>
      </w:pPr>
      <w:r w:rsidRPr="00481422">
        <w:rPr>
          <w:sz w:val="24"/>
        </w:rPr>
        <w:t>Appendix G</w:t>
      </w:r>
      <w:r>
        <w:rPr>
          <w:b/>
          <w:sz w:val="24"/>
        </w:rPr>
        <w:tab/>
      </w:r>
      <w:r w:rsidRPr="003A570D">
        <w:rPr>
          <w:sz w:val="24"/>
        </w:rPr>
        <w:t>Glossary of abbreviations and acronyms</w:t>
      </w:r>
      <w:r w:rsidRPr="003A570D">
        <w:rPr>
          <w:sz w:val="24"/>
        </w:rPr>
        <w:tab/>
      </w:r>
      <w:r w:rsidR="00ED09BA">
        <w:rPr>
          <w:sz w:val="24"/>
        </w:rPr>
        <w:t>223</w:t>
      </w:r>
    </w:p>
    <w:p w14:paraId="7F0DF931" w14:textId="77777777" w:rsidR="00AB6753" w:rsidRPr="00DF389C" w:rsidRDefault="00AB6753" w:rsidP="00AB6753">
      <w:pPr>
        <w:pStyle w:val="Heading5"/>
        <w:spacing w:after="200"/>
        <w:rPr>
          <w:color w:val="auto"/>
          <w:sz w:val="28"/>
        </w:rPr>
      </w:pPr>
      <w:r>
        <w:rPr>
          <w:rFonts w:cs="Arial"/>
          <w:sz w:val="24"/>
          <w:szCs w:val="24"/>
        </w:rPr>
        <w:br w:type="page"/>
      </w:r>
      <w:r w:rsidRPr="00DF389C">
        <w:rPr>
          <w:color w:val="auto"/>
          <w:sz w:val="28"/>
        </w:rPr>
        <w:lastRenderedPageBreak/>
        <w:t>Appendix A</w:t>
      </w:r>
    </w:p>
    <w:p w14:paraId="561DC4D6" w14:textId="77777777" w:rsidR="00AB6753" w:rsidRPr="00054A67" w:rsidRDefault="00AB6753" w:rsidP="00AB6753">
      <w:pPr>
        <w:pStyle w:val="Heading1"/>
        <w:spacing w:before="240" w:after="240"/>
        <w:rPr>
          <w:rFonts w:ascii="Georgia" w:hAnsi="Georgia"/>
          <w:b w:val="0"/>
          <w:color w:val="215868" w:themeColor="accent5" w:themeShade="80"/>
          <w:sz w:val="72"/>
        </w:rPr>
      </w:pPr>
      <w:r w:rsidRPr="00054A67">
        <w:rPr>
          <w:rFonts w:ascii="Georgia" w:hAnsi="Georgia"/>
          <w:b w:val="0"/>
          <w:color w:val="215868" w:themeColor="accent5" w:themeShade="80"/>
          <w:sz w:val="72"/>
        </w:rPr>
        <w:t>Resource statements</w:t>
      </w:r>
    </w:p>
    <w:p w14:paraId="4F151F48" w14:textId="77777777" w:rsidR="00AB6753" w:rsidRPr="00AE5924" w:rsidRDefault="00AB6753" w:rsidP="00AB6753">
      <w:pPr>
        <w:rPr>
          <w:b/>
        </w:rPr>
      </w:pPr>
      <w:r w:rsidRPr="00AE5924">
        <w:rPr>
          <w:b/>
        </w:rPr>
        <w:t>Table A–1</w:t>
      </w:r>
      <w:r>
        <w:rPr>
          <w:b/>
        </w:rPr>
        <w:t>: Agency resource statement 2019–20</w:t>
      </w:r>
    </w:p>
    <w:tbl>
      <w:tblPr>
        <w:tblW w:w="9306" w:type="dxa"/>
        <w:tblLayout w:type="fixed"/>
        <w:tblLook w:val="04A0" w:firstRow="1" w:lastRow="0" w:firstColumn="1" w:lastColumn="0" w:noHBand="0" w:noVBand="1"/>
        <w:tblCaption w:val="Table A–1 Agency resource statement 2018-19"/>
        <w:tblDescription w:val="Table A–1 Agency resource statement 2018-19"/>
      </w:tblPr>
      <w:tblGrid>
        <w:gridCol w:w="3828"/>
        <w:gridCol w:w="370"/>
        <w:gridCol w:w="1685"/>
        <w:gridCol w:w="158"/>
        <w:gridCol w:w="1539"/>
        <w:gridCol w:w="31"/>
        <w:gridCol w:w="1663"/>
        <w:gridCol w:w="32"/>
      </w:tblGrid>
      <w:tr w:rsidR="00AB6753" w:rsidRPr="004A20FC" w14:paraId="79FBC6AE" w14:textId="77777777" w:rsidTr="002D1EA4">
        <w:trPr>
          <w:gridAfter w:val="1"/>
          <w:wAfter w:w="32" w:type="dxa"/>
          <w:trHeight w:val="669"/>
          <w:tblHeader/>
        </w:trPr>
        <w:tc>
          <w:tcPr>
            <w:tcW w:w="3828" w:type="dxa"/>
            <w:tcBorders>
              <w:bottom w:val="single" w:sz="4" w:space="0" w:color="auto"/>
            </w:tcBorders>
            <w:shd w:val="clear" w:color="auto" w:fill="404040" w:themeFill="text1" w:themeFillTint="BF"/>
          </w:tcPr>
          <w:p w14:paraId="785DE951" w14:textId="77777777" w:rsidR="00AB6753" w:rsidRPr="00C94CFA" w:rsidRDefault="00AB6753" w:rsidP="002D1EA4">
            <w:pPr>
              <w:rPr>
                <w:color w:val="FFFFFF" w:themeColor="background1"/>
                <w:highlight w:val="black"/>
              </w:rPr>
            </w:pPr>
          </w:p>
        </w:tc>
        <w:tc>
          <w:tcPr>
            <w:tcW w:w="370" w:type="dxa"/>
            <w:tcBorders>
              <w:bottom w:val="single" w:sz="4" w:space="0" w:color="auto"/>
            </w:tcBorders>
            <w:shd w:val="clear" w:color="auto" w:fill="404040" w:themeFill="text1" w:themeFillTint="BF"/>
          </w:tcPr>
          <w:p w14:paraId="45CCB24D" w14:textId="77777777" w:rsidR="00AB6753" w:rsidRPr="00C94CFA" w:rsidRDefault="00AB6753" w:rsidP="002D1EA4">
            <w:pPr>
              <w:rPr>
                <w:color w:val="FFFFFF" w:themeColor="background1"/>
              </w:rPr>
            </w:pPr>
          </w:p>
        </w:tc>
        <w:tc>
          <w:tcPr>
            <w:tcW w:w="1843" w:type="dxa"/>
            <w:gridSpan w:val="2"/>
            <w:tcBorders>
              <w:bottom w:val="single" w:sz="4" w:space="0" w:color="auto"/>
              <w:right w:val="single" w:sz="4" w:space="0" w:color="auto"/>
            </w:tcBorders>
            <w:shd w:val="clear" w:color="auto" w:fill="404040" w:themeFill="text1" w:themeFillTint="BF"/>
            <w:hideMark/>
          </w:tcPr>
          <w:p w14:paraId="58E100C6" w14:textId="77777777" w:rsidR="00AB6753" w:rsidRPr="00C94CFA" w:rsidRDefault="00AB6753" w:rsidP="002D1EA4">
            <w:pPr>
              <w:rPr>
                <w:color w:val="FFFFFF" w:themeColor="background1"/>
              </w:rPr>
            </w:pPr>
            <w:r w:rsidRPr="00C94CFA">
              <w:rPr>
                <w:color w:val="FFFFFF" w:themeColor="background1"/>
              </w:rPr>
              <w:t xml:space="preserve">Actual </w:t>
            </w:r>
            <w:r>
              <w:rPr>
                <w:color w:val="FFFFFF" w:themeColor="background1"/>
              </w:rPr>
              <w:t>available appropriation for 2019–20</w:t>
            </w:r>
          </w:p>
          <w:p w14:paraId="4AE78CBD" w14:textId="77777777" w:rsidR="00AB6753" w:rsidRPr="00C94CFA" w:rsidRDefault="00AB6753" w:rsidP="002D1EA4">
            <w:pPr>
              <w:rPr>
                <w:color w:val="FFFFFF" w:themeColor="background1"/>
                <w:highlight w:val="black"/>
              </w:rPr>
            </w:pPr>
            <w:r w:rsidRPr="00C94CFA">
              <w:rPr>
                <w:color w:val="FFFFFF" w:themeColor="background1"/>
              </w:rPr>
              <w:t>$'000</w:t>
            </w:r>
          </w:p>
        </w:tc>
        <w:tc>
          <w:tcPr>
            <w:tcW w:w="1539" w:type="dxa"/>
            <w:tcBorders>
              <w:left w:val="single" w:sz="4" w:space="0" w:color="auto"/>
              <w:bottom w:val="single" w:sz="4" w:space="0" w:color="auto"/>
            </w:tcBorders>
            <w:shd w:val="clear" w:color="auto" w:fill="404040" w:themeFill="text1" w:themeFillTint="BF"/>
            <w:hideMark/>
          </w:tcPr>
          <w:p w14:paraId="300EFC36" w14:textId="77777777" w:rsidR="00AB6753" w:rsidRPr="00C94CFA" w:rsidRDefault="00AB6753" w:rsidP="002D1EA4">
            <w:pPr>
              <w:rPr>
                <w:color w:val="FFFFFF" w:themeColor="background1"/>
              </w:rPr>
            </w:pPr>
            <w:r>
              <w:rPr>
                <w:color w:val="FFFFFF" w:themeColor="background1"/>
              </w:rPr>
              <w:t xml:space="preserve">Payments made </w:t>
            </w:r>
            <w:r>
              <w:rPr>
                <w:color w:val="FFFFFF" w:themeColor="background1"/>
              </w:rPr>
              <w:br/>
              <w:t>2019–20</w:t>
            </w:r>
          </w:p>
          <w:p w14:paraId="49EE7D62" w14:textId="77777777" w:rsidR="00AB6753" w:rsidRPr="00C94CFA" w:rsidRDefault="00AB6753" w:rsidP="002D1EA4">
            <w:pPr>
              <w:rPr>
                <w:color w:val="FFFFFF" w:themeColor="background1"/>
              </w:rPr>
            </w:pPr>
            <w:r w:rsidRPr="00C94CFA">
              <w:rPr>
                <w:color w:val="FFFFFF" w:themeColor="background1"/>
              </w:rPr>
              <w:t>$'000</w:t>
            </w:r>
          </w:p>
        </w:tc>
        <w:tc>
          <w:tcPr>
            <w:tcW w:w="1694" w:type="dxa"/>
            <w:gridSpan w:val="2"/>
            <w:tcBorders>
              <w:bottom w:val="single" w:sz="4" w:space="0" w:color="auto"/>
            </w:tcBorders>
            <w:shd w:val="clear" w:color="auto" w:fill="404040" w:themeFill="text1" w:themeFillTint="BF"/>
            <w:hideMark/>
          </w:tcPr>
          <w:p w14:paraId="5D4CE34E" w14:textId="77777777" w:rsidR="00AB6753" w:rsidRPr="00C94CFA" w:rsidRDefault="00AB6753" w:rsidP="002D1EA4">
            <w:pPr>
              <w:rPr>
                <w:color w:val="FFFFFF" w:themeColor="background1"/>
              </w:rPr>
            </w:pPr>
            <w:r>
              <w:rPr>
                <w:color w:val="FFFFFF" w:themeColor="background1"/>
              </w:rPr>
              <w:t>Balance remaining</w:t>
            </w:r>
            <w:r>
              <w:rPr>
                <w:color w:val="FFFFFF" w:themeColor="background1"/>
              </w:rPr>
              <w:br/>
              <w:t>2019–20</w:t>
            </w:r>
          </w:p>
          <w:p w14:paraId="69B904D8" w14:textId="77777777" w:rsidR="00AB6753" w:rsidRPr="00C94CFA" w:rsidRDefault="00AB6753" w:rsidP="002D1EA4">
            <w:pPr>
              <w:rPr>
                <w:color w:val="FFFFFF" w:themeColor="background1"/>
              </w:rPr>
            </w:pPr>
            <w:r w:rsidRPr="00C94CFA">
              <w:rPr>
                <w:color w:val="FFFFFF" w:themeColor="background1"/>
              </w:rPr>
              <w:t>$'000</w:t>
            </w:r>
          </w:p>
        </w:tc>
      </w:tr>
      <w:tr w:rsidR="00AB6753" w:rsidRPr="004A20FC" w14:paraId="543BF111" w14:textId="77777777" w:rsidTr="002D1EA4">
        <w:trPr>
          <w:gridAfter w:val="1"/>
          <w:wAfter w:w="32" w:type="dxa"/>
          <w:trHeight w:hRule="exact" w:val="344"/>
          <w:tblHeader/>
        </w:trPr>
        <w:tc>
          <w:tcPr>
            <w:tcW w:w="3828" w:type="dxa"/>
            <w:tcBorders>
              <w:top w:val="single" w:sz="4" w:space="0" w:color="auto"/>
              <w:bottom w:val="single" w:sz="4" w:space="0" w:color="FFFFFF" w:themeColor="background1"/>
            </w:tcBorders>
            <w:shd w:val="clear" w:color="auto" w:fill="404040" w:themeFill="text1" w:themeFillTint="BF"/>
          </w:tcPr>
          <w:p w14:paraId="4B01F6D9" w14:textId="77777777" w:rsidR="00AB6753" w:rsidRPr="00C94CFA" w:rsidRDefault="00AB6753" w:rsidP="002D1EA4">
            <w:pPr>
              <w:rPr>
                <w:color w:val="FFFFFF" w:themeColor="background1"/>
              </w:rPr>
            </w:pPr>
          </w:p>
        </w:tc>
        <w:tc>
          <w:tcPr>
            <w:tcW w:w="370" w:type="dxa"/>
            <w:tcBorders>
              <w:top w:val="single" w:sz="4" w:space="0" w:color="auto"/>
              <w:bottom w:val="single" w:sz="4" w:space="0" w:color="FFFFFF" w:themeColor="background1"/>
            </w:tcBorders>
            <w:shd w:val="clear" w:color="auto" w:fill="404040" w:themeFill="text1" w:themeFillTint="BF"/>
          </w:tcPr>
          <w:p w14:paraId="2567C391" w14:textId="77777777" w:rsidR="00AB6753" w:rsidRPr="00C94CFA" w:rsidRDefault="00AB6753" w:rsidP="002D1EA4">
            <w:pPr>
              <w:rPr>
                <w:color w:val="FFFFFF" w:themeColor="background1"/>
              </w:rPr>
            </w:pPr>
          </w:p>
        </w:tc>
        <w:tc>
          <w:tcPr>
            <w:tcW w:w="1843" w:type="dxa"/>
            <w:gridSpan w:val="2"/>
            <w:tcBorders>
              <w:top w:val="single" w:sz="4" w:space="0" w:color="auto"/>
              <w:bottom w:val="single" w:sz="4" w:space="0" w:color="FFFFFF" w:themeColor="background1"/>
              <w:right w:val="single" w:sz="4" w:space="0" w:color="auto"/>
            </w:tcBorders>
            <w:shd w:val="clear" w:color="auto" w:fill="404040" w:themeFill="text1" w:themeFillTint="BF"/>
            <w:hideMark/>
          </w:tcPr>
          <w:p w14:paraId="18C65843" w14:textId="77777777" w:rsidR="00AB6753" w:rsidRPr="00C94CFA" w:rsidRDefault="00AB6753" w:rsidP="002D1EA4">
            <w:pPr>
              <w:rPr>
                <w:color w:val="FFFFFF" w:themeColor="background1"/>
              </w:rPr>
            </w:pPr>
            <w:r w:rsidRPr="00C94CFA">
              <w:rPr>
                <w:color w:val="FFFFFF" w:themeColor="background1"/>
              </w:rPr>
              <w:t>(a)</w:t>
            </w:r>
          </w:p>
        </w:tc>
        <w:tc>
          <w:tcPr>
            <w:tcW w:w="1539" w:type="dxa"/>
            <w:tcBorders>
              <w:top w:val="single" w:sz="4" w:space="0" w:color="auto"/>
              <w:left w:val="single" w:sz="4" w:space="0" w:color="auto"/>
              <w:bottom w:val="single" w:sz="4" w:space="0" w:color="FFFFFF" w:themeColor="background1"/>
            </w:tcBorders>
            <w:shd w:val="clear" w:color="auto" w:fill="404040" w:themeFill="text1" w:themeFillTint="BF"/>
            <w:hideMark/>
          </w:tcPr>
          <w:p w14:paraId="0C34B9DD" w14:textId="77777777" w:rsidR="00AB6753" w:rsidRPr="00C94CFA" w:rsidRDefault="00AB6753" w:rsidP="002D1EA4">
            <w:pPr>
              <w:rPr>
                <w:color w:val="FFFFFF" w:themeColor="background1"/>
              </w:rPr>
            </w:pPr>
            <w:r w:rsidRPr="00C94CFA">
              <w:rPr>
                <w:color w:val="FFFFFF" w:themeColor="background1"/>
              </w:rPr>
              <w:t>(b)</w:t>
            </w:r>
          </w:p>
        </w:tc>
        <w:tc>
          <w:tcPr>
            <w:tcW w:w="1694" w:type="dxa"/>
            <w:gridSpan w:val="2"/>
            <w:tcBorders>
              <w:top w:val="single" w:sz="4" w:space="0" w:color="auto"/>
              <w:bottom w:val="single" w:sz="4" w:space="0" w:color="FFFFFF" w:themeColor="background1"/>
            </w:tcBorders>
            <w:shd w:val="clear" w:color="auto" w:fill="404040" w:themeFill="text1" w:themeFillTint="BF"/>
            <w:hideMark/>
          </w:tcPr>
          <w:p w14:paraId="5DCB1D9D" w14:textId="77777777" w:rsidR="00AB6753" w:rsidRPr="00C94CFA" w:rsidRDefault="00AB6753" w:rsidP="002D1EA4">
            <w:pPr>
              <w:rPr>
                <w:color w:val="FFFFFF" w:themeColor="background1"/>
              </w:rPr>
            </w:pPr>
            <w:r w:rsidRPr="00C94CFA">
              <w:rPr>
                <w:color w:val="FFFFFF" w:themeColor="background1"/>
              </w:rPr>
              <w:t>(a)-(b)</w:t>
            </w:r>
          </w:p>
        </w:tc>
      </w:tr>
      <w:tr w:rsidR="00AB6753" w:rsidRPr="004A20FC" w14:paraId="3CDAEDF3" w14:textId="77777777" w:rsidTr="002D1EA4">
        <w:trPr>
          <w:gridAfter w:val="1"/>
          <w:wAfter w:w="32" w:type="dxa"/>
          <w:trHeight w:val="344"/>
        </w:trPr>
        <w:tc>
          <w:tcPr>
            <w:tcW w:w="3828" w:type="dxa"/>
            <w:tcBorders>
              <w:top w:val="single" w:sz="4" w:space="0" w:color="FFFFFF" w:themeColor="background1"/>
              <w:left w:val="nil"/>
              <w:bottom w:val="single" w:sz="4" w:space="0" w:color="auto"/>
              <w:right w:val="nil"/>
            </w:tcBorders>
            <w:shd w:val="clear" w:color="auto" w:fill="FFFFFF" w:themeFill="background1"/>
            <w:vAlign w:val="bottom"/>
            <w:hideMark/>
          </w:tcPr>
          <w:p w14:paraId="1A9BFBA2" w14:textId="77777777" w:rsidR="00AB6753" w:rsidRPr="004A20FC" w:rsidRDefault="00AB6753" w:rsidP="002D1EA4">
            <w:r w:rsidRPr="00BD722C">
              <w:rPr>
                <w:b/>
              </w:rPr>
              <w:t>Ordinary Annual Services</w:t>
            </w:r>
            <w:r w:rsidRPr="00C94CFA">
              <w:rPr>
                <w:vertAlign w:val="superscript"/>
              </w:rPr>
              <w:t>1</w:t>
            </w:r>
          </w:p>
        </w:tc>
        <w:tc>
          <w:tcPr>
            <w:tcW w:w="370" w:type="dxa"/>
            <w:tcBorders>
              <w:top w:val="single" w:sz="4" w:space="0" w:color="FFFFFF" w:themeColor="background1"/>
              <w:left w:val="nil"/>
              <w:bottom w:val="single" w:sz="4" w:space="0" w:color="auto"/>
              <w:right w:val="nil"/>
            </w:tcBorders>
            <w:shd w:val="clear" w:color="auto" w:fill="FFFFFF" w:themeFill="background1"/>
          </w:tcPr>
          <w:p w14:paraId="6D114340" w14:textId="77777777" w:rsidR="00AB6753" w:rsidRPr="004A20FC" w:rsidRDefault="00AB6753" w:rsidP="002D1EA4"/>
        </w:tc>
        <w:tc>
          <w:tcPr>
            <w:tcW w:w="1843" w:type="dxa"/>
            <w:gridSpan w:val="2"/>
            <w:tcBorders>
              <w:top w:val="single" w:sz="4" w:space="0" w:color="FFFFFF" w:themeColor="background1"/>
              <w:left w:val="nil"/>
              <w:bottom w:val="single" w:sz="4" w:space="0" w:color="auto"/>
              <w:right w:val="nil"/>
            </w:tcBorders>
            <w:shd w:val="clear" w:color="auto" w:fill="FFFFFF" w:themeFill="background1"/>
          </w:tcPr>
          <w:p w14:paraId="4A4DE071" w14:textId="77777777" w:rsidR="00AB6753" w:rsidRPr="00AB5C94" w:rsidRDefault="00AB6753" w:rsidP="002D1EA4">
            <w:pPr>
              <w:rPr>
                <w:highlight w:val="yellow"/>
              </w:rPr>
            </w:pPr>
          </w:p>
        </w:tc>
        <w:tc>
          <w:tcPr>
            <w:tcW w:w="1539" w:type="dxa"/>
            <w:tcBorders>
              <w:top w:val="single" w:sz="4" w:space="0" w:color="FFFFFF" w:themeColor="background1"/>
              <w:left w:val="nil"/>
              <w:bottom w:val="single" w:sz="4" w:space="0" w:color="auto"/>
              <w:right w:val="nil"/>
            </w:tcBorders>
            <w:shd w:val="clear" w:color="auto" w:fill="FFFFFF" w:themeFill="background1"/>
          </w:tcPr>
          <w:p w14:paraId="28A82200" w14:textId="77777777" w:rsidR="00AB6753" w:rsidRPr="004A20FC" w:rsidRDefault="00AB6753" w:rsidP="002D1EA4"/>
        </w:tc>
        <w:tc>
          <w:tcPr>
            <w:tcW w:w="1694" w:type="dxa"/>
            <w:gridSpan w:val="2"/>
            <w:tcBorders>
              <w:top w:val="single" w:sz="4" w:space="0" w:color="FFFFFF" w:themeColor="background1"/>
              <w:left w:val="nil"/>
              <w:bottom w:val="single" w:sz="4" w:space="0" w:color="auto"/>
              <w:right w:val="nil"/>
            </w:tcBorders>
            <w:shd w:val="clear" w:color="auto" w:fill="FFFFFF" w:themeFill="background1"/>
          </w:tcPr>
          <w:p w14:paraId="552D1066" w14:textId="77777777" w:rsidR="00AB6753" w:rsidRPr="004A20FC" w:rsidRDefault="00AB6753" w:rsidP="002D1EA4"/>
        </w:tc>
      </w:tr>
      <w:tr w:rsidR="00AB6753" w:rsidRPr="004A20FC" w14:paraId="742E4669" w14:textId="77777777" w:rsidTr="002D1EA4">
        <w:trPr>
          <w:gridAfter w:val="1"/>
          <w:wAfter w:w="32" w:type="dxa"/>
          <w:trHeight w:val="344"/>
        </w:trPr>
        <w:tc>
          <w:tcPr>
            <w:tcW w:w="3828" w:type="dxa"/>
            <w:tcBorders>
              <w:top w:val="single" w:sz="4" w:space="0" w:color="auto"/>
              <w:left w:val="nil"/>
              <w:bottom w:val="single" w:sz="4" w:space="0" w:color="FFFFFF" w:themeColor="background1"/>
              <w:right w:val="nil"/>
            </w:tcBorders>
            <w:shd w:val="clear" w:color="auto" w:fill="EAEAEA"/>
            <w:hideMark/>
          </w:tcPr>
          <w:p w14:paraId="35E75566" w14:textId="77777777" w:rsidR="00AB6753" w:rsidRPr="004A20FC" w:rsidRDefault="00AB6753" w:rsidP="002D1EA4">
            <w:r w:rsidRPr="004A20FC">
              <w:t>Departmental appropriation</w:t>
            </w:r>
            <w:r w:rsidRPr="00C94CFA">
              <w:rPr>
                <w:vertAlign w:val="superscript"/>
              </w:rPr>
              <w:t>2</w:t>
            </w:r>
          </w:p>
        </w:tc>
        <w:tc>
          <w:tcPr>
            <w:tcW w:w="370" w:type="dxa"/>
            <w:tcBorders>
              <w:top w:val="single" w:sz="4" w:space="0" w:color="auto"/>
              <w:left w:val="nil"/>
              <w:bottom w:val="single" w:sz="4" w:space="0" w:color="FFFFFF" w:themeColor="background1"/>
              <w:right w:val="nil"/>
            </w:tcBorders>
            <w:shd w:val="clear" w:color="auto" w:fill="EAEAEA"/>
          </w:tcPr>
          <w:p w14:paraId="06C406E5" w14:textId="77777777" w:rsidR="00AB6753" w:rsidRPr="004A20FC" w:rsidRDefault="00AB6753" w:rsidP="002D1EA4"/>
        </w:tc>
        <w:tc>
          <w:tcPr>
            <w:tcW w:w="1843" w:type="dxa"/>
            <w:gridSpan w:val="2"/>
            <w:tcBorders>
              <w:top w:val="single" w:sz="4" w:space="0" w:color="auto"/>
              <w:left w:val="nil"/>
              <w:bottom w:val="single" w:sz="4" w:space="0" w:color="FFFFFF" w:themeColor="background1"/>
              <w:right w:val="nil"/>
            </w:tcBorders>
            <w:shd w:val="clear" w:color="auto" w:fill="EAEAEA"/>
          </w:tcPr>
          <w:p w14:paraId="294934B1" w14:textId="77777777" w:rsidR="00AB6753" w:rsidRPr="004A20FC" w:rsidRDefault="00AB6753" w:rsidP="002D1EA4">
            <w:r>
              <w:t>561,989</w:t>
            </w:r>
          </w:p>
        </w:tc>
        <w:tc>
          <w:tcPr>
            <w:tcW w:w="1539" w:type="dxa"/>
            <w:tcBorders>
              <w:top w:val="single" w:sz="4" w:space="0" w:color="auto"/>
              <w:left w:val="nil"/>
              <w:bottom w:val="single" w:sz="4" w:space="0" w:color="FFFFFF" w:themeColor="background1"/>
              <w:right w:val="nil"/>
            </w:tcBorders>
            <w:shd w:val="clear" w:color="auto" w:fill="EAEAEA"/>
          </w:tcPr>
          <w:p w14:paraId="7877384C" w14:textId="77777777" w:rsidR="00AB6753" w:rsidRPr="004A20FC" w:rsidRDefault="00AB6753" w:rsidP="002D1EA4">
            <w:r w:rsidRPr="001C4733">
              <w:t>477,389</w:t>
            </w:r>
          </w:p>
        </w:tc>
        <w:tc>
          <w:tcPr>
            <w:tcW w:w="1694" w:type="dxa"/>
            <w:gridSpan w:val="2"/>
            <w:tcBorders>
              <w:top w:val="single" w:sz="4" w:space="0" w:color="auto"/>
              <w:left w:val="nil"/>
              <w:bottom w:val="single" w:sz="4" w:space="0" w:color="FFFFFF" w:themeColor="background1"/>
              <w:right w:val="nil"/>
            </w:tcBorders>
            <w:shd w:val="clear" w:color="auto" w:fill="EAEAEA"/>
          </w:tcPr>
          <w:p w14:paraId="10B7BF30" w14:textId="77777777" w:rsidR="00AB6753" w:rsidRPr="004A20FC" w:rsidRDefault="00AB6753" w:rsidP="002D1EA4">
            <w:r w:rsidRPr="001C4733">
              <w:t>84,600</w:t>
            </w:r>
          </w:p>
        </w:tc>
      </w:tr>
      <w:tr w:rsidR="00AB6753" w:rsidRPr="004A20FC" w14:paraId="62FAD9BF" w14:textId="77777777" w:rsidTr="002D1EA4">
        <w:trPr>
          <w:gridAfter w:val="1"/>
          <w:wAfter w:w="32" w:type="dxa"/>
          <w:trHeight w:val="344"/>
        </w:trPr>
        <w:tc>
          <w:tcPr>
            <w:tcW w:w="3828" w:type="dxa"/>
            <w:tcBorders>
              <w:top w:val="single" w:sz="4" w:space="0" w:color="FFFFFF" w:themeColor="background1"/>
              <w:left w:val="nil"/>
              <w:bottom w:val="single" w:sz="4" w:space="0" w:color="FFFFFF" w:themeColor="background1"/>
              <w:right w:val="nil"/>
            </w:tcBorders>
            <w:shd w:val="clear" w:color="auto" w:fill="F8F8F8"/>
            <w:hideMark/>
          </w:tcPr>
          <w:p w14:paraId="2E503045" w14:textId="77777777" w:rsidR="00AB6753" w:rsidRPr="00BD722C" w:rsidRDefault="00AB6753" w:rsidP="002D1EA4">
            <w:pPr>
              <w:rPr>
                <w:b/>
              </w:rPr>
            </w:pPr>
            <w:r w:rsidRPr="00BD722C">
              <w:rPr>
                <w:b/>
              </w:rPr>
              <w:t>Total</w:t>
            </w:r>
          </w:p>
        </w:tc>
        <w:tc>
          <w:tcPr>
            <w:tcW w:w="370" w:type="dxa"/>
            <w:tcBorders>
              <w:top w:val="single" w:sz="4" w:space="0" w:color="FFFFFF" w:themeColor="background1"/>
              <w:left w:val="nil"/>
              <w:bottom w:val="single" w:sz="4" w:space="0" w:color="FFFFFF" w:themeColor="background1"/>
              <w:right w:val="nil"/>
            </w:tcBorders>
            <w:shd w:val="clear" w:color="auto" w:fill="F8F8F8"/>
          </w:tcPr>
          <w:p w14:paraId="55587FF0" w14:textId="77777777" w:rsidR="00AB6753" w:rsidRPr="00BD722C" w:rsidRDefault="00AB6753" w:rsidP="002D1EA4">
            <w:pPr>
              <w:rPr>
                <w:b/>
              </w:rPr>
            </w:pPr>
          </w:p>
        </w:tc>
        <w:tc>
          <w:tcPr>
            <w:tcW w:w="1843" w:type="dxa"/>
            <w:gridSpan w:val="2"/>
            <w:tcBorders>
              <w:top w:val="single" w:sz="4" w:space="0" w:color="FFFFFF" w:themeColor="background1"/>
              <w:left w:val="nil"/>
              <w:bottom w:val="single" w:sz="4" w:space="0" w:color="FFFFFF" w:themeColor="background1"/>
              <w:right w:val="nil"/>
            </w:tcBorders>
            <w:shd w:val="clear" w:color="auto" w:fill="F8F8F8"/>
          </w:tcPr>
          <w:p w14:paraId="3F30EEDB" w14:textId="77777777" w:rsidR="00AB6753" w:rsidRPr="00BD722C" w:rsidRDefault="00AB6753" w:rsidP="002D1EA4">
            <w:pPr>
              <w:rPr>
                <w:b/>
              </w:rPr>
            </w:pPr>
            <w:r w:rsidRPr="00BD722C">
              <w:rPr>
                <w:b/>
              </w:rPr>
              <w:t>561,989</w:t>
            </w:r>
          </w:p>
        </w:tc>
        <w:tc>
          <w:tcPr>
            <w:tcW w:w="1539" w:type="dxa"/>
            <w:tcBorders>
              <w:top w:val="single" w:sz="4" w:space="0" w:color="FFFFFF" w:themeColor="background1"/>
              <w:left w:val="nil"/>
              <w:bottom w:val="single" w:sz="4" w:space="0" w:color="FFFFFF" w:themeColor="background1"/>
              <w:right w:val="nil"/>
            </w:tcBorders>
            <w:shd w:val="clear" w:color="auto" w:fill="F8F8F8"/>
          </w:tcPr>
          <w:p w14:paraId="53482B23" w14:textId="77777777" w:rsidR="00AB6753" w:rsidRPr="00BD722C" w:rsidRDefault="00AB6753" w:rsidP="002D1EA4">
            <w:pPr>
              <w:rPr>
                <w:b/>
              </w:rPr>
            </w:pPr>
            <w:r w:rsidRPr="00BD722C">
              <w:rPr>
                <w:b/>
              </w:rPr>
              <w:t>477,389</w:t>
            </w:r>
          </w:p>
        </w:tc>
        <w:tc>
          <w:tcPr>
            <w:tcW w:w="1694" w:type="dxa"/>
            <w:gridSpan w:val="2"/>
            <w:tcBorders>
              <w:top w:val="single" w:sz="4" w:space="0" w:color="FFFFFF" w:themeColor="background1"/>
              <w:left w:val="nil"/>
              <w:bottom w:val="single" w:sz="4" w:space="0" w:color="FFFFFF" w:themeColor="background1"/>
              <w:right w:val="nil"/>
            </w:tcBorders>
            <w:shd w:val="clear" w:color="auto" w:fill="F8F8F8"/>
          </w:tcPr>
          <w:p w14:paraId="12ABC6EB" w14:textId="77777777" w:rsidR="00AB6753" w:rsidRPr="00BD722C" w:rsidRDefault="00AB6753" w:rsidP="002D1EA4">
            <w:pPr>
              <w:rPr>
                <w:b/>
              </w:rPr>
            </w:pPr>
            <w:r w:rsidRPr="00BD722C">
              <w:rPr>
                <w:b/>
              </w:rPr>
              <w:t>84,600</w:t>
            </w:r>
          </w:p>
        </w:tc>
      </w:tr>
      <w:tr w:rsidR="00AB6753" w:rsidRPr="004A20FC" w14:paraId="0038874B" w14:textId="77777777" w:rsidTr="002D1EA4">
        <w:trPr>
          <w:gridAfter w:val="1"/>
          <w:wAfter w:w="32" w:type="dxa"/>
          <w:trHeight w:val="344"/>
        </w:trPr>
        <w:tc>
          <w:tcPr>
            <w:tcW w:w="3828" w:type="dxa"/>
            <w:tcBorders>
              <w:top w:val="single" w:sz="4" w:space="0" w:color="FFFFFF" w:themeColor="background1"/>
              <w:left w:val="nil"/>
              <w:bottom w:val="single" w:sz="4" w:space="0" w:color="FFFFFF" w:themeColor="background1"/>
              <w:right w:val="nil"/>
            </w:tcBorders>
            <w:shd w:val="clear" w:color="auto" w:fill="EAEAEA"/>
            <w:hideMark/>
          </w:tcPr>
          <w:p w14:paraId="4C804CF4" w14:textId="77777777" w:rsidR="00AB6753" w:rsidRPr="004A20FC" w:rsidRDefault="00AB6753" w:rsidP="002D1EA4">
            <w:r w:rsidRPr="004A20FC">
              <w:t>Administered expenses</w:t>
            </w:r>
          </w:p>
        </w:tc>
        <w:tc>
          <w:tcPr>
            <w:tcW w:w="370" w:type="dxa"/>
            <w:tcBorders>
              <w:top w:val="single" w:sz="4" w:space="0" w:color="FFFFFF" w:themeColor="background1"/>
              <w:left w:val="nil"/>
              <w:bottom w:val="single" w:sz="4" w:space="0" w:color="FFFFFF" w:themeColor="background1"/>
              <w:right w:val="nil"/>
            </w:tcBorders>
            <w:shd w:val="clear" w:color="auto" w:fill="EAEAEA"/>
          </w:tcPr>
          <w:p w14:paraId="7114FAF0" w14:textId="77777777" w:rsidR="00AB6753" w:rsidRPr="004A20FC" w:rsidRDefault="00AB6753" w:rsidP="002D1EA4"/>
        </w:tc>
        <w:tc>
          <w:tcPr>
            <w:tcW w:w="1843" w:type="dxa"/>
            <w:gridSpan w:val="2"/>
            <w:tcBorders>
              <w:top w:val="single" w:sz="4" w:space="0" w:color="FFFFFF" w:themeColor="background1"/>
              <w:left w:val="nil"/>
              <w:bottom w:val="single" w:sz="4" w:space="0" w:color="FFFFFF" w:themeColor="background1"/>
              <w:right w:val="nil"/>
            </w:tcBorders>
            <w:shd w:val="clear" w:color="auto" w:fill="EAEAEA"/>
          </w:tcPr>
          <w:p w14:paraId="4CEBC245" w14:textId="77777777" w:rsidR="00AB6753" w:rsidRPr="004A20FC" w:rsidRDefault="00AB6753" w:rsidP="002D1EA4"/>
        </w:tc>
        <w:tc>
          <w:tcPr>
            <w:tcW w:w="1539" w:type="dxa"/>
            <w:tcBorders>
              <w:top w:val="single" w:sz="4" w:space="0" w:color="FFFFFF" w:themeColor="background1"/>
              <w:left w:val="nil"/>
              <w:bottom w:val="single" w:sz="4" w:space="0" w:color="FFFFFF" w:themeColor="background1"/>
              <w:right w:val="nil"/>
            </w:tcBorders>
            <w:shd w:val="clear" w:color="auto" w:fill="EAEAEA"/>
          </w:tcPr>
          <w:p w14:paraId="0B88BF4A" w14:textId="77777777" w:rsidR="00AB6753" w:rsidRPr="004A20FC" w:rsidRDefault="00AB6753" w:rsidP="002D1EA4"/>
        </w:tc>
        <w:tc>
          <w:tcPr>
            <w:tcW w:w="1694" w:type="dxa"/>
            <w:gridSpan w:val="2"/>
            <w:tcBorders>
              <w:top w:val="single" w:sz="4" w:space="0" w:color="FFFFFF" w:themeColor="background1"/>
              <w:left w:val="nil"/>
              <w:bottom w:val="single" w:sz="4" w:space="0" w:color="FFFFFF" w:themeColor="background1"/>
              <w:right w:val="nil"/>
            </w:tcBorders>
            <w:shd w:val="clear" w:color="auto" w:fill="EAEAEA"/>
          </w:tcPr>
          <w:p w14:paraId="181F34C7" w14:textId="77777777" w:rsidR="00AB6753" w:rsidRPr="004A20FC" w:rsidRDefault="00AB6753" w:rsidP="002D1EA4"/>
        </w:tc>
      </w:tr>
      <w:tr w:rsidR="00AB6753" w:rsidRPr="004A20FC" w14:paraId="5888D6B1" w14:textId="77777777" w:rsidTr="002D1EA4">
        <w:trPr>
          <w:gridAfter w:val="1"/>
          <w:wAfter w:w="32" w:type="dxa"/>
          <w:trHeight w:val="344"/>
        </w:trPr>
        <w:tc>
          <w:tcPr>
            <w:tcW w:w="3828" w:type="dxa"/>
            <w:tcBorders>
              <w:top w:val="single" w:sz="4" w:space="0" w:color="FFFFFF" w:themeColor="background1"/>
              <w:left w:val="nil"/>
              <w:bottom w:val="single" w:sz="4" w:space="0" w:color="FFFFFF" w:themeColor="background1"/>
              <w:right w:val="nil"/>
            </w:tcBorders>
            <w:shd w:val="clear" w:color="auto" w:fill="F8F8F8"/>
            <w:hideMark/>
          </w:tcPr>
          <w:p w14:paraId="13AB0949" w14:textId="77777777" w:rsidR="00AB6753" w:rsidRPr="004A20FC" w:rsidRDefault="00AB6753" w:rsidP="002D1EA4">
            <w:r w:rsidRPr="004A20FC">
              <w:t>Outcome 1</w:t>
            </w:r>
          </w:p>
        </w:tc>
        <w:tc>
          <w:tcPr>
            <w:tcW w:w="370" w:type="dxa"/>
            <w:tcBorders>
              <w:top w:val="single" w:sz="4" w:space="0" w:color="FFFFFF" w:themeColor="background1"/>
              <w:left w:val="nil"/>
              <w:bottom w:val="single" w:sz="4" w:space="0" w:color="FFFFFF" w:themeColor="background1"/>
              <w:right w:val="nil"/>
            </w:tcBorders>
            <w:shd w:val="clear" w:color="auto" w:fill="F8F8F8"/>
          </w:tcPr>
          <w:p w14:paraId="23900279" w14:textId="77777777" w:rsidR="00AB6753" w:rsidRPr="004A20FC" w:rsidRDefault="00AB6753" w:rsidP="002D1EA4"/>
        </w:tc>
        <w:tc>
          <w:tcPr>
            <w:tcW w:w="1843" w:type="dxa"/>
            <w:gridSpan w:val="2"/>
            <w:tcBorders>
              <w:top w:val="single" w:sz="4" w:space="0" w:color="FFFFFF" w:themeColor="background1"/>
              <w:left w:val="nil"/>
              <w:bottom w:val="single" w:sz="4" w:space="0" w:color="FFFFFF" w:themeColor="background1"/>
              <w:right w:val="nil"/>
            </w:tcBorders>
            <w:shd w:val="clear" w:color="auto" w:fill="F8F8F8"/>
          </w:tcPr>
          <w:p w14:paraId="66BBB2B4" w14:textId="77777777" w:rsidR="00AB6753" w:rsidRPr="004A20FC" w:rsidRDefault="00AB6753" w:rsidP="002D1EA4">
            <w:r>
              <w:t>93,789</w:t>
            </w:r>
          </w:p>
        </w:tc>
        <w:tc>
          <w:tcPr>
            <w:tcW w:w="1539" w:type="dxa"/>
            <w:tcBorders>
              <w:top w:val="single" w:sz="4" w:space="0" w:color="FFFFFF" w:themeColor="background1"/>
              <w:left w:val="nil"/>
              <w:bottom w:val="single" w:sz="4" w:space="0" w:color="FFFFFF" w:themeColor="background1"/>
              <w:right w:val="nil"/>
            </w:tcBorders>
            <w:shd w:val="clear" w:color="auto" w:fill="F8F8F8"/>
          </w:tcPr>
          <w:p w14:paraId="49C39222" w14:textId="77777777" w:rsidR="00AB6753" w:rsidRPr="004A20FC" w:rsidRDefault="00AB6753" w:rsidP="002D1EA4">
            <w:r>
              <w:t>38,208</w:t>
            </w:r>
          </w:p>
        </w:tc>
        <w:tc>
          <w:tcPr>
            <w:tcW w:w="1694" w:type="dxa"/>
            <w:gridSpan w:val="2"/>
            <w:tcBorders>
              <w:top w:val="single" w:sz="4" w:space="0" w:color="FFFFFF" w:themeColor="background1"/>
              <w:left w:val="nil"/>
              <w:bottom w:val="single" w:sz="4" w:space="0" w:color="FFFFFF" w:themeColor="background1"/>
              <w:right w:val="nil"/>
            </w:tcBorders>
            <w:shd w:val="clear" w:color="auto" w:fill="F8F8F8"/>
          </w:tcPr>
          <w:p w14:paraId="6ECA0E05" w14:textId="77777777" w:rsidR="00AB6753" w:rsidRPr="004A20FC" w:rsidRDefault="00AB6753" w:rsidP="002D1EA4"/>
        </w:tc>
      </w:tr>
      <w:tr w:rsidR="00AB6753" w:rsidRPr="004A20FC" w14:paraId="7F67C032" w14:textId="77777777" w:rsidTr="002D1EA4">
        <w:trPr>
          <w:gridAfter w:val="1"/>
          <w:wAfter w:w="32" w:type="dxa"/>
          <w:trHeight w:val="344"/>
        </w:trPr>
        <w:tc>
          <w:tcPr>
            <w:tcW w:w="3828" w:type="dxa"/>
            <w:tcBorders>
              <w:top w:val="single" w:sz="4" w:space="0" w:color="FFFFFF" w:themeColor="background1"/>
              <w:left w:val="nil"/>
              <w:bottom w:val="single" w:sz="4" w:space="0" w:color="FFFFFF" w:themeColor="background1"/>
              <w:right w:val="nil"/>
            </w:tcBorders>
            <w:shd w:val="clear" w:color="auto" w:fill="EAEAEA"/>
            <w:hideMark/>
          </w:tcPr>
          <w:p w14:paraId="14A12E54" w14:textId="77777777" w:rsidR="00AB6753" w:rsidRPr="004A20FC" w:rsidRDefault="00AB6753" w:rsidP="002D1EA4">
            <w:r w:rsidRPr="004A20FC">
              <w:t>Outcome 2</w:t>
            </w:r>
          </w:p>
        </w:tc>
        <w:tc>
          <w:tcPr>
            <w:tcW w:w="370" w:type="dxa"/>
            <w:tcBorders>
              <w:top w:val="single" w:sz="4" w:space="0" w:color="FFFFFF" w:themeColor="background1"/>
              <w:left w:val="nil"/>
              <w:bottom w:val="single" w:sz="4" w:space="0" w:color="FFFFFF" w:themeColor="background1"/>
              <w:right w:val="nil"/>
            </w:tcBorders>
            <w:shd w:val="clear" w:color="auto" w:fill="EAEAEA"/>
          </w:tcPr>
          <w:p w14:paraId="067B00D2" w14:textId="77777777" w:rsidR="00AB6753" w:rsidRPr="004A20FC" w:rsidRDefault="00AB6753" w:rsidP="002D1EA4"/>
        </w:tc>
        <w:tc>
          <w:tcPr>
            <w:tcW w:w="1843" w:type="dxa"/>
            <w:gridSpan w:val="2"/>
            <w:tcBorders>
              <w:top w:val="single" w:sz="4" w:space="0" w:color="FFFFFF" w:themeColor="background1"/>
              <w:left w:val="nil"/>
              <w:bottom w:val="single" w:sz="4" w:space="0" w:color="FFFFFF" w:themeColor="background1"/>
              <w:right w:val="nil"/>
            </w:tcBorders>
            <w:shd w:val="clear" w:color="auto" w:fill="EAEAEA"/>
          </w:tcPr>
          <w:p w14:paraId="37DB2386" w14:textId="77777777" w:rsidR="00AB6753" w:rsidRPr="004A20FC" w:rsidRDefault="00AB6753" w:rsidP="002D1EA4">
            <w:r>
              <w:t>805,469</w:t>
            </w:r>
          </w:p>
        </w:tc>
        <w:tc>
          <w:tcPr>
            <w:tcW w:w="1539" w:type="dxa"/>
            <w:tcBorders>
              <w:top w:val="single" w:sz="4" w:space="0" w:color="FFFFFF" w:themeColor="background1"/>
              <w:left w:val="nil"/>
              <w:bottom w:val="single" w:sz="4" w:space="0" w:color="FFFFFF" w:themeColor="background1"/>
              <w:right w:val="nil"/>
            </w:tcBorders>
            <w:shd w:val="clear" w:color="auto" w:fill="EAEAEA"/>
          </w:tcPr>
          <w:p w14:paraId="6CEE9E19" w14:textId="77777777" w:rsidR="00AB6753" w:rsidRPr="004A20FC" w:rsidRDefault="00AB6753" w:rsidP="002D1EA4">
            <w:r>
              <w:t>691,855</w:t>
            </w:r>
          </w:p>
        </w:tc>
        <w:tc>
          <w:tcPr>
            <w:tcW w:w="1694" w:type="dxa"/>
            <w:gridSpan w:val="2"/>
            <w:tcBorders>
              <w:top w:val="single" w:sz="4" w:space="0" w:color="FFFFFF" w:themeColor="background1"/>
              <w:left w:val="nil"/>
              <w:bottom w:val="single" w:sz="4" w:space="0" w:color="FFFFFF" w:themeColor="background1"/>
              <w:right w:val="nil"/>
            </w:tcBorders>
            <w:shd w:val="clear" w:color="auto" w:fill="EAEAEA"/>
          </w:tcPr>
          <w:p w14:paraId="19341DCB" w14:textId="77777777" w:rsidR="00AB6753" w:rsidRPr="004A20FC" w:rsidRDefault="00AB6753" w:rsidP="002D1EA4"/>
        </w:tc>
      </w:tr>
      <w:tr w:rsidR="00AB6753" w:rsidRPr="004A20FC" w14:paraId="0E6FA5FB" w14:textId="77777777" w:rsidTr="002D1EA4">
        <w:trPr>
          <w:gridAfter w:val="1"/>
          <w:wAfter w:w="32" w:type="dxa"/>
          <w:trHeight w:val="344"/>
        </w:trPr>
        <w:tc>
          <w:tcPr>
            <w:tcW w:w="3828" w:type="dxa"/>
            <w:tcBorders>
              <w:top w:val="single" w:sz="4" w:space="0" w:color="FFFFFF" w:themeColor="background1"/>
              <w:left w:val="nil"/>
              <w:bottom w:val="single" w:sz="4" w:space="0" w:color="FFFFFF" w:themeColor="background1"/>
              <w:right w:val="nil"/>
            </w:tcBorders>
            <w:shd w:val="clear" w:color="auto" w:fill="F8F8F8"/>
            <w:hideMark/>
          </w:tcPr>
          <w:p w14:paraId="4A453AFF" w14:textId="77777777" w:rsidR="00AB6753" w:rsidRPr="004A20FC" w:rsidRDefault="00AB6753" w:rsidP="002D1EA4">
            <w:r w:rsidRPr="004A20FC">
              <w:t>Outcome 3</w:t>
            </w:r>
          </w:p>
        </w:tc>
        <w:tc>
          <w:tcPr>
            <w:tcW w:w="370" w:type="dxa"/>
            <w:tcBorders>
              <w:top w:val="single" w:sz="4" w:space="0" w:color="FFFFFF" w:themeColor="background1"/>
              <w:left w:val="nil"/>
              <w:bottom w:val="single" w:sz="4" w:space="0" w:color="FFFFFF" w:themeColor="background1"/>
              <w:right w:val="nil"/>
            </w:tcBorders>
            <w:shd w:val="clear" w:color="auto" w:fill="F8F8F8"/>
          </w:tcPr>
          <w:p w14:paraId="5CF513CA" w14:textId="77777777" w:rsidR="00AB6753" w:rsidRPr="004A20FC" w:rsidRDefault="00AB6753" w:rsidP="002D1EA4"/>
        </w:tc>
        <w:tc>
          <w:tcPr>
            <w:tcW w:w="1843" w:type="dxa"/>
            <w:gridSpan w:val="2"/>
            <w:tcBorders>
              <w:top w:val="single" w:sz="4" w:space="0" w:color="FFFFFF" w:themeColor="background1"/>
              <w:left w:val="nil"/>
              <w:bottom w:val="single" w:sz="4" w:space="0" w:color="FFFFFF" w:themeColor="background1"/>
              <w:right w:val="nil"/>
            </w:tcBorders>
            <w:shd w:val="clear" w:color="auto" w:fill="F8F8F8"/>
          </w:tcPr>
          <w:p w14:paraId="41050D57" w14:textId="77777777" w:rsidR="00AB6753" w:rsidRPr="004A20FC" w:rsidRDefault="00AB6753" w:rsidP="002D1EA4">
            <w:r>
              <w:t>11,486,516</w:t>
            </w:r>
          </w:p>
        </w:tc>
        <w:tc>
          <w:tcPr>
            <w:tcW w:w="1539" w:type="dxa"/>
            <w:tcBorders>
              <w:top w:val="single" w:sz="4" w:space="0" w:color="FFFFFF" w:themeColor="background1"/>
              <w:left w:val="nil"/>
              <w:bottom w:val="single" w:sz="4" w:space="0" w:color="FFFFFF" w:themeColor="background1"/>
              <w:right w:val="nil"/>
            </w:tcBorders>
            <w:shd w:val="clear" w:color="auto" w:fill="F8F8F8"/>
          </w:tcPr>
          <w:p w14:paraId="79DD9E17" w14:textId="77777777" w:rsidR="00AB6753" w:rsidRPr="004A20FC" w:rsidRDefault="00AB6753" w:rsidP="002D1EA4">
            <w:r>
              <w:t>8,674,648</w:t>
            </w:r>
          </w:p>
        </w:tc>
        <w:tc>
          <w:tcPr>
            <w:tcW w:w="1694" w:type="dxa"/>
            <w:gridSpan w:val="2"/>
            <w:tcBorders>
              <w:top w:val="single" w:sz="4" w:space="0" w:color="FFFFFF" w:themeColor="background1"/>
              <w:left w:val="nil"/>
              <w:bottom w:val="single" w:sz="4" w:space="0" w:color="FFFFFF" w:themeColor="background1"/>
              <w:right w:val="nil"/>
            </w:tcBorders>
            <w:shd w:val="clear" w:color="auto" w:fill="F8F8F8"/>
          </w:tcPr>
          <w:p w14:paraId="4606D03E" w14:textId="77777777" w:rsidR="00AB6753" w:rsidRPr="004A20FC" w:rsidRDefault="00AB6753" w:rsidP="002D1EA4"/>
        </w:tc>
      </w:tr>
      <w:tr w:rsidR="00AB6753" w:rsidRPr="004A20FC" w14:paraId="5B5467E0" w14:textId="77777777" w:rsidTr="002D1EA4">
        <w:trPr>
          <w:gridAfter w:val="1"/>
          <w:wAfter w:w="32" w:type="dxa"/>
          <w:trHeight w:val="344"/>
        </w:trPr>
        <w:tc>
          <w:tcPr>
            <w:tcW w:w="3828" w:type="dxa"/>
            <w:tcBorders>
              <w:top w:val="single" w:sz="4" w:space="0" w:color="FFFFFF" w:themeColor="background1"/>
              <w:left w:val="nil"/>
              <w:bottom w:val="single" w:sz="4" w:space="0" w:color="FFFFFF" w:themeColor="background1"/>
              <w:right w:val="nil"/>
            </w:tcBorders>
            <w:shd w:val="clear" w:color="auto" w:fill="EAEAEA"/>
            <w:hideMark/>
          </w:tcPr>
          <w:p w14:paraId="6C3F3E49" w14:textId="77777777" w:rsidR="00AB6753" w:rsidRPr="004A20FC" w:rsidRDefault="00AB6753" w:rsidP="002D1EA4">
            <w:r w:rsidRPr="004A20FC">
              <w:t>Outcome 4</w:t>
            </w:r>
          </w:p>
        </w:tc>
        <w:tc>
          <w:tcPr>
            <w:tcW w:w="370" w:type="dxa"/>
            <w:tcBorders>
              <w:top w:val="single" w:sz="4" w:space="0" w:color="FFFFFF" w:themeColor="background1"/>
              <w:left w:val="nil"/>
              <w:bottom w:val="single" w:sz="4" w:space="0" w:color="FFFFFF" w:themeColor="background1"/>
              <w:right w:val="nil"/>
            </w:tcBorders>
            <w:shd w:val="clear" w:color="auto" w:fill="EAEAEA"/>
          </w:tcPr>
          <w:p w14:paraId="514567E3" w14:textId="77777777" w:rsidR="00AB6753" w:rsidRPr="004A20FC" w:rsidRDefault="00AB6753" w:rsidP="002D1EA4"/>
        </w:tc>
        <w:tc>
          <w:tcPr>
            <w:tcW w:w="1843" w:type="dxa"/>
            <w:gridSpan w:val="2"/>
            <w:tcBorders>
              <w:top w:val="single" w:sz="4" w:space="0" w:color="FFFFFF" w:themeColor="background1"/>
              <w:left w:val="nil"/>
              <w:bottom w:val="single" w:sz="4" w:space="0" w:color="FFFFFF" w:themeColor="background1"/>
              <w:right w:val="nil"/>
            </w:tcBorders>
            <w:shd w:val="clear" w:color="auto" w:fill="EAEAEA"/>
          </w:tcPr>
          <w:p w14:paraId="6EAF428F" w14:textId="77777777" w:rsidR="00AB6753" w:rsidRPr="004A20FC" w:rsidRDefault="00AB6753" w:rsidP="002D1EA4">
            <w:r>
              <w:t>281,024</w:t>
            </w:r>
          </w:p>
        </w:tc>
        <w:tc>
          <w:tcPr>
            <w:tcW w:w="1539" w:type="dxa"/>
            <w:tcBorders>
              <w:top w:val="single" w:sz="4" w:space="0" w:color="FFFFFF" w:themeColor="background1"/>
              <w:left w:val="nil"/>
              <w:bottom w:val="single" w:sz="4" w:space="0" w:color="FFFFFF" w:themeColor="background1"/>
              <w:right w:val="nil"/>
            </w:tcBorders>
            <w:shd w:val="clear" w:color="auto" w:fill="EAEAEA"/>
          </w:tcPr>
          <w:p w14:paraId="549952A5" w14:textId="77777777" w:rsidR="00AB6753" w:rsidRPr="004A20FC" w:rsidRDefault="00AB6753" w:rsidP="002D1EA4">
            <w:r>
              <w:t>119,115</w:t>
            </w:r>
          </w:p>
        </w:tc>
        <w:tc>
          <w:tcPr>
            <w:tcW w:w="1694" w:type="dxa"/>
            <w:gridSpan w:val="2"/>
            <w:tcBorders>
              <w:top w:val="single" w:sz="4" w:space="0" w:color="FFFFFF" w:themeColor="background1"/>
              <w:left w:val="nil"/>
              <w:bottom w:val="single" w:sz="4" w:space="0" w:color="FFFFFF" w:themeColor="background1"/>
              <w:right w:val="nil"/>
            </w:tcBorders>
            <w:shd w:val="clear" w:color="auto" w:fill="EAEAEA"/>
          </w:tcPr>
          <w:p w14:paraId="190476F6" w14:textId="77777777" w:rsidR="00AB6753" w:rsidRPr="004A20FC" w:rsidRDefault="00AB6753" w:rsidP="002D1EA4"/>
        </w:tc>
      </w:tr>
      <w:tr w:rsidR="00AB6753" w:rsidRPr="004A20FC" w14:paraId="30CF8CFA" w14:textId="77777777" w:rsidTr="002D1EA4">
        <w:trPr>
          <w:gridAfter w:val="1"/>
          <w:wAfter w:w="32" w:type="dxa"/>
          <w:trHeight w:val="344"/>
        </w:trPr>
        <w:tc>
          <w:tcPr>
            <w:tcW w:w="3828" w:type="dxa"/>
            <w:tcBorders>
              <w:top w:val="single" w:sz="4" w:space="0" w:color="FFFFFF" w:themeColor="background1"/>
              <w:left w:val="nil"/>
              <w:bottom w:val="single" w:sz="4" w:space="0" w:color="FFFFFF" w:themeColor="background1"/>
              <w:right w:val="nil"/>
            </w:tcBorders>
            <w:shd w:val="clear" w:color="auto" w:fill="EAEAEA"/>
            <w:hideMark/>
          </w:tcPr>
          <w:p w14:paraId="5021D22B" w14:textId="77777777" w:rsidR="00AB6753" w:rsidRPr="004A20FC" w:rsidRDefault="00AB6753" w:rsidP="002D1EA4">
            <w:r w:rsidRPr="004A20FC">
              <w:t>Payments to corporate Commonwealth entities</w:t>
            </w:r>
            <w:r w:rsidRPr="00C94CFA">
              <w:rPr>
                <w:vertAlign w:val="superscript"/>
              </w:rPr>
              <w:t>3</w:t>
            </w:r>
          </w:p>
        </w:tc>
        <w:tc>
          <w:tcPr>
            <w:tcW w:w="370" w:type="dxa"/>
            <w:tcBorders>
              <w:top w:val="single" w:sz="4" w:space="0" w:color="FFFFFF" w:themeColor="background1"/>
              <w:left w:val="nil"/>
              <w:bottom w:val="single" w:sz="4" w:space="0" w:color="FFFFFF" w:themeColor="background1"/>
              <w:right w:val="nil"/>
            </w:tcBorders>
            <w:shd w:val="clear" w:color="auto" w:fill="EAEAEA"/>
          </w:tcPr>
          <w:p w14:paraId="3C8894A3" w14:textId="77777777" w:rsidR="00AB6753" w:rsidRPr="004A20FC" w:rsidRDefault="00AB6753" w:rsidP="002D1EA4"/>
        </w:tc>
        <w:tc>
          <w:tcPr>
            <w:tcW w:w="1843" w:type="dxa"/>
            <w:gridSpan w:val="2"/>
            <w:tcBorders>
              <w:top w:val="single" w:sz="4" w:space="0" w:color="FFFFFF" w:themeColor="background1"/>
              <w:left w:val="nil"/>
              <w:bottom w:val="single" w:sz="4" w:space="0" w:color="FFFFFF" w:themeColor="background1"/>
              <w:right w:val="nil"/>
            </w:tcBorders>
            <w:shd w:val="clear" w:color="auto" w:fill="EAEAEA"/>
          </w:tcPr>
          <w:p w14:paraId="5EBB02F6" w14:textId="77777777" w:rsidR="00AB6753" w:rsidRPr="004A20FC" w:rsidRDefault="00AB6753" w:rsidP="002D1EA4">
            <w:r>
              <w:t>1,413,257</w:t>
            </w:r>
          </w:p>
        </w:tc>
        <w:tc>
          <w:tcPr>
            <w:tcW w:w="1539" w:type="dxa"/>
            <w:tcBorders>
              <w:top w:val="single" w:sz="4" w:space="0" w:color="FFFFFF" w:themeColor="background1"/>
              <w:left w:val="nil"/>
              <w:bottom w:val="single" w:sz="4" w:space="0" w:color="FFFFFF" w:themeColor="background1"/>
              <w:right w:val="nil"/>
            </w:tcBorders>
            <w:shd w:val="clear" w:color="auto" w:fill="EAEAEA"/>
          </w:tcPr>
          <w:p w14:paraId="476D77BA" w14:textId="77777777" w:rsidR="00AB6753" w:rsidRPr="004A20FC" w:rsidRDefault="00AB6753" w:rsidP="002D1EA4">
            <w:r>
              <w:t>1,413,257</w:t>
            </w:r>
          </w:p>
        </w:tc>
        <w:tc>
          <w:tcPr>
            <w:tcW w:w="1694" w:type="dxa"/>
            <w:gridSpan w:val="2"/>
            <w:tcBorders>
              <w:top w:val="single" w:sz="4" w:space="0" w:color="FFFFFF" w:themeColor="background1"/>
              <w:left w:val="nil"/>
              <w:bottom w:val="single" w:sz="4" w:space="0" w:color="FFFFFF" w:themeColor="background1"/>
              <w:right w:val="nil"/>
            </w:tcBorders>
            <w:shd w:val="clear" w:color="auto" w:fill="EAEAEA"/>
          </w:tcPr>
          <w:p w14:paraId="4D96E4AD" w14:textId="77777777" w:rsidR="00AB6753" w:rsidRPr="004A20FC" w:rsidRDefault="00AB6753" w:rsidP="002D1EA4"/>
        </w:tc>
      </w:tr>
      <w:tr w:rsidR="00AB6753" w:rsidRPr="004A20FC" w14:paraId="2DA9310F" w14:textId="77777777" w:rsidTr="002D1EA4">
        <w:trPr>
          <w:gridAfter w:val="1"/>
          <w:wAfter w:w="32" w:type="dxa"/>
          <w:trHeight w:val="344"/>
        </w:trPr>
        <w:tc>
          <w:tcPr>
            <w:tcW w:w="3828" w:type="dxa"/>
            <w:tcBorders>
              <w:top w:val="single" w:sz="4" w:space="0" w:color="FFFFFF" w:themeColor="background1"/>
              <w:left w:val="nil"/>
              <w:bottom w:val="single" w:sz="4" w:space="0" w:color="FFFFFF" w:themeColor="background1"/>
              <w:right w:val="nil"/>
            </w:tcBorders>
            <w:shd w:val="clear" w:color="auto" w:fill="F8F8F8"/>
            <w:hideMark/>
          </w:tcPr>
          <w:p w14:paraId="25601B47" w14:textId="77777777" w:rsidR="00AB6753" w:rsidRPr="00BD722C" w:rsidRDefault="00AB6753" w:rsidP="002D1EA4">
            <w:pPr>
              <w:rPr>
                <w:b/>
              </w:rPr>
            </w:pPr>
            <w:r w:rsidRPr="00BD722C">
              <w:rPr>
                <w:b/>
              </w:rPr>
              <w:t>Total</w:t>
            </w:r>
          </w:p>
        </w:tc>
        <w:tc>
          <w:tcPr>
            <w:tcW w:w="370" w:type="dxa"/>
            <w:tcBorders>
              <w:top w:val="single" w:sz="4" w:space="0" w:color="FFFFFF" w:themeColor="background1"/>
              <w:left w:val="nil"/>
              <w:bottom w:val="single" w:sz="4" w:space="0" w:color="FFFFFF" w:themeColor="background1"/>
              <w:right w:val="nil"/>
            </w:tcBorders>
            <w:shd w:val="clear" w:color="auto" w:fill="F8F8F8"/>
          </w:tcPr>
          <w:p w14:paraId="73033F11" w14:textId="77777777" w:rsidR="00AB6753" w:rsidRPr="00BD722C" w:rsidRDefault="00AB6753" w:rsidP="002D1EA4">
            <w:pPr>
              <w:rPr>
                <w:b/>
              </w:rPr>
            </w:pPr>
          </w:p>
        </w:tc>
        <w:tc>
          <w:tcPr>
            <w:tcW w:w="1843" w:type="dxa"/>
            <w:gridSpan w:val="2"/>
            <w:tcBorders>
              <w:top w:val="single" w:sz="4" w:space="0" w:color="FFFFFF" w:themeColor="background1"/>
              <w:left w:val="nil"/>
              <w:bottom w:val="single" w:sz="4" w:space="0" w:color="FFFFFF" w:themeColor="background1"/>
              <w:right w:val="nil"/>
            </w:tcBorders>
            <w:shd w:val="clear" w:color="auto" w:fill="F8F8F8"/>
          </w:tcPr>
          <w:p w14:paraId="5E976BEE" w14:textId="77777777" w:rsidR="00AB6753" w:rsidRPr="00BD722C" w:rsidRDefault="00AB6753" w:rsidP="002D1EA4">
            <w:pPr>
              <w:rPr>
                <w:b/>
              </w:rPr>
            </w:pPr>
            <w:r>
              <w:rPr>
                <w:b/>
              </w:rPr>
              <w:t>14,080,05</w:t>
            </w:r>
            <w:r w:rsidRPr="003D205F">
              <w:rPr>
                <w:b/>
              </w:rPr>
              <w:t>5</w:t>
            </w:r>
            <w:r>
              <w:rPr>
                <w:b/>
              </w:rPr>
              <w:t xml:space="preserve"> </w:t>
            </w:r>
          </w:p>
        </w:tc>
        <w:tc>
          <w:tcPr>
            <w:tcW w:w="1539" w:type="dxa"/>
            <w:tcBorders>
              <w:top w:val="single" w:sz="4" w:space="0" w:color="FFFFFF" w:themeColor="background1"/>
              <w:left w:val="nil"/>
              <w:bottom w:val="single" w:sz="4" w:space="0" w:color="FFFFFF" w:themeColor="background1"/>
              <w:right w:val="nil"/>
            </w:tcBorders>
            <w:shd w:val="clear" w:color="auto" w:fill="F8F8F8"/>
          </w:tcPr>
          <w:p w14:paraId="721473EE" w14:textId="77777777" w:rsidR="00AB6753" w:rsidRPr="00BD722C" w:rsidRDefault="00AB6753" w:rsidP="002D1EA4">
            <w:pPr>
              <w:rPr>
                <w:b/>
              </w:rPr>
            </w:pPr>
            <w:r>
              <w:rPr>
                <w:b/>
              </w:rPr>
              <w:t>10,937,083</w:t>
            </w:r>
          </w:p>
        </w:tc>
        <w:tc>
          <w:tcPr>
            <w:tcW w:w="1694" w:type="dxa"/>
            <w:gridSpan w:val="2"/>
            <w:tcBorders>
              <w:top w:val="single" w:sz="4" w:space="0" w:color="FFFFFF" w:themeColor="background1"/>
              <w:left w:val="nil"/>
              <w:bottom w:val="single" w:sz="4" w:space="0" w:color="FFFFFF" w:themeColor="background1"/>
              <w:right w:val="nil"/>
            </w:tcBorders>
            <w:shd w:val="clear" w:color="auto" w:fill="F8F8F8"/>
          </w:tcPr>
          <w:p w14:paraId="15B075F0" w14:textId="77777777" w:rsidR="00AB6753" w:rsidRPr="00BD722C" w:rsidRDefault="00AB6753" w:rsidP="002D1EA4">
            <w:pPr>
              <w:rPr>
                <w:b/>
              </w:rPr>
            </w:pPr>
          </w:p>
        </w:tc>
      </w:tr>
      <w:tr w:rsidR="00AB6753" w:rsidRPr="004A20FC" w14:paraId="59FA76F7" w14:textId="77777777" w:rsidTr="002D1EA4">
        <w:trPr>
          <w:gridAfter w:val="1"/>
          <w:wAfter w:w="32" w:type="dxa"/>
          <w:trHeight w:val="344"/>
        </w:trPr>
        <w:tc>
          <w:tcPr>
            <w:tcW w:w="3828" w:type="dxa"/>
            <w:tcBorders>
              <w:top w:val="single" w:sz="4" w:space="0" w:color="FFFFFF" w:themeColor="background1"/>
              <w:left w:val="nil"/>
              <w:bottom w:val="single" w:sz="4" w:space="0" w:color="FFFFFF" w:themeColor="background1"/>
              <w:right w:val="nil"/>
            </w:tcBorders>
            <w:shd w:val="clear" w:color="auto" w:fill="EAEAEA"/>
            <w:hideMark/>
          </w:tcPr>
          <w:p w14:paraId="4ECBE11E" w14:textId="77777777" w:rsidR="00AB6753" w:rsidRPr="004A20FC" w:rsidRDefault="00AB6753" w:rsidP="002D1EA4">
            <w:r w:rsidRPr="004A20FC">
              <w:t>Total ordinary annual services</w:t>
            </w:r>
          </w:p>
        </w:tc>
        <w:tc>
          <w:tcPr>
            <w:tcW w:w="370" w:type="dxa"/>
            <w:tcBorders>
              <w:top w:val="single" w:sz="4" w:space="0" w:color="FFFFFF" w:themeColor="background1"/>
              <w:left w:val="nil"/>
              <w:bottom w:val="single" w:sz="4" w:space="0" w:color="FFFFFF" w:themeColor="background1"/>
              <w:right w:val="nil"/>
            </w:tcBorders>
            <w:shd w:val="clear" w:color="auto" w:fill="EAEAEA"/>
            <w:hideMark/>
          </w:tcPr>
          <w:p w14:paraId="7E881F7A" w14:textId="77777777" w:rsidR="00AB6753" w:rsidRPr="00AB5C94" w:rsidRDefault="00AB6753" w:rsidP="002D1EA4">
            <w:pPr>
              <w:rPr>
                <w:b/>
              </w:rPr>
            </w:pPr>
            <w:r w:rsidRPr="00AB5C94">
              <w:rPr>
                <w:b/>
              </w:rPr>
              <w:t>A</w:t>
            </w:r>
          </w:p>
        </w:tc>
        <w:tc>
          <w:tcPr>
            <w:tcW w:w="1843" w:type="dxa"/>
            <w:gridSpan w:val="2"/>
            <w:tcBorders>
              <w:top w:val="single" w:sz="4" w:space="0" w:color="FFFFFF" w:themeColor="background1"/>
              <w:left w:val="nil"/>
              <w:bottom w:val="single" w:sz="4" w:space="0" w:color="FFFFFF" w:themeColor="background1"/>
              <w:right w:val="nil"/>
            </w:tcBorders>
            <w:shd w:val="clear" w:color="auto" w:fill="EAEAEA"/>
          </w:tcPr>
          <w:p w14:paraId="472C7485" w14:textId="77777777" w:rsidR="00AB6753" w:rsidRPr="00F00242" w:rsidRDefault="00AB6753" w:rsidP="002D1EA4">
            <w:pPr>
              <w:rPr>
                <w:b/>
              </w:rPr>
            </w:pPr>
            <w:r w:rsidRPr="0037252C">
              <w:rPr>
                <w:b/>
              </w:rPr>
              <w:t>14,642,044</w:t>
            </w:r>
          </w:p>
        </w:tc>
        <w:tc>
          <w:tcPr>
            <w:tcW w:w="1539" w:type="dxa"/>
            <w:tcBorders>
              <w:top w:val="single" w:sz="4" w:space="0" w:color="FFFFFF" w:themeColor="background1"/>
              <w:left w:val="nil"/>
              <w:bottom w:val="single" w:sz="4" w:space="0" w:color="FFFFFF" w:themeColor="background1"/>
              <w:right w:val="nil"/>
            </w:tcBorders>
            <w:shd w:val="clear" w:color="auto" w:fill="EAEAEA"/>
          </w:tcPr>
          <w:p w14:paraId="0F7EED0F" w14:textId="77777777" w:rsidR="00AB6753" w:rsidRPr="00F00242" w:rsidRDefault="00AB6753" w:rsidP="002D1EA4">
            <w:pPr>
              <w:rPr>
                <w:b/>
              </w:rPr>
            </w:pPr>
            <w:r w:rsidRPr="009256AA">
              <w:rPr>
                <w:b/>
              </w:rPr>
              <w:t>11,414,472</w:t>
            </w:r>
          </w:p>
        </w:tc>
        <w:tc>
          <w:tcPr>
            <w:tcW w:w="1694" w:type="dxa"/>
            <w:gridSpan w:val="2"/>
            <w:tcBorders>
              <w:top w:val="single" w:sz="4" w:space="0" w:color="FFFFFF" w:themeColor="background1"/>
              <w:left w:val="nil"/>
              <w:bottom w:val="single" w:sz="4" w:space="0" w:color="FFFFFF" w:themeColor="background1"/>
              <w:right w:val="nil"/>
            </w:tcBorders>
            <w:shd w:val="clear" w:color="auto" w:fill="EAEAEA"/>
          </w:tcPr>
          <w:p w14:paraId="13590AA7" w14:textId="77777777" w:rsidR="00AB6753" w:rsidRPr="00F00242" w:rsidRDefault="00AB6753" w:rsidP="002D1EA4">
            <w:pPr>
              <w:rPr>
                <w:b/>
                <w:highlight w:val="green"/>
              </w:rPr>
            </w:pPr>
          </w:p>
        </w:tc>
      </w:tr>
      <w:tr w:rsidR="00AB6753" w:rsidRPr="00BD722C" w14:paraId="5F68CB71" w14:textId="77777777" w:rsidTr="002D1EA4">
        <w:trPr>
          <w:gridAfter w:val="1"/>
          <w:wAfter w:w="32" w:type="dxa"/>
          <w:trHeight w:val="587"/>
        </w:trPr>
        <w:tc>
          <w:tcPr>
            <w:tcW w:w="3828" w:type="dxa"/>
            <w:tcBorders>
              <w:top w:val="single" w:sz="4" w:space="0" w:color="FFFFFF" w:themeColor="background1"/>
              <w:left w:val="nil"/>
              <w:bottom w:val="single" w:sz="4" w:space="0" w:color="auto"/>
              <w:right w:val="nil"/>
            </w:tcBorders>
            <w:shd w:val="clear" w:color="auto" w:fill="FFFFFF" w:themeFill="background1"/>
            <w:vAlign w:val="bottom"/>
            <w:hideMark/>
          </w:tcPr>
          <w:p w14:paraId="78B2DAD0" w14:textId="77777777" w:rsidR="00AB6753" w:rsidRPr="00BD722C" w:rsidRDefault="00AB6753" w:rsidP="002D1EA4">
            <w:pPr>
              <w:rPr>
                <w:b/>
              </w:rPr>
            </w:pPr>
            <w:r w:rsidRPr="00BD722C">
              <w:rPr>
                <w:b/>
              </w:rPr>
              <w:t>Other services</w:t>
            </w:r>
            <w:r w:rsidRPr="00BD722C">
              <w:rPr>
                <w:b/>
                <w:sz w:val="20"/>
                <w:vertAlign w:val="superscript"/>
              </w:rPr>
              <w:t>4</w:t>
            </w:r>
          </w:p>
        </w:tc>
        <w:tc>
          <w:tcPr>
            <w:tcW w:w="370" w:type="dxa"/>
            <w:tcBorders>
              <w:top w:val="single" w:sz="4" w:space="0" w:color="FFFFFF" w:themeColor="background1"/>
              <w:left w:val="nil"/>
              <w:bottom w:val="single" w:sz="4" w:space="0" w:color="auto"/>
              <w:right w:val="nil"/>
            </w:tcBorders>
            <w:shd w:val="clear" w:color="auto" w:fill="FFFFFF" w:themeFill="background1"/>
          </w:tcPr>
          <w:p w14:paraId="00814BC9" w14:textId="77777777" w:rsidR="00AB6753" w:rsidRPr="00BD722C" w:rsidRDefault="00AB6753" w:rsidP="002D1EA4">
            <w:pPr>
              <w:rPr>
                <w:b/>
              </w:rPr>
            </w:pPr>
          </w:p>
        </w:tc>
        <w:tc>
          <w:tcPr>
            <w:tcW w:w="1843" w:type="dxa"/>
            <w:gridSpan w:val="2"/>
            <w:tcBorders>
              <w:top w:val="single" w:sz="4" w:space="0" w:color="FFFFFF" w:themeColor="background1"/>
              <w:left w:val="nil"/>
              <w:bottom w:val="single" w:sz="4" w:space="0" w:color="auto"/>
              <w:right w:val="nil"/>
            </w:tcBorders>
            <w:shd w:val="clear" w:color="auto" w:fill="FFFFFF" w:themeFill="background1"/>
          </w:tcPr>
          <w:p w14:paraId="7B4518FC" w14:textId="77777777" w:rsidR="00AB6753" w:rsidRPr="00BD722C" w:rsidRDefault="00AB6753" w:rsidP="002D1EA4">
            <w:pPr>
              <w:rPr>
                <w:b/>
              </w:rPr>
            </w:pPr>
          </w:p>
        </w:tc>
        <w:tc>
          <w:tcPr>
            <w:tcW w:w="1539" w:type="dxa"/>
            <w:tcBorders>
              <w:top w:val="single" w:sz="4" w:space="0" w:color="FFFFFF" w:themeColor="background1"/>
              <w:left w:val="nil"/>
              <w:bottom w:val="single" w:sz="4" w:space="0" w:color="auto"/>
              <w:right w:val="nil"/>
            </w:tcBorders>
            <w:shd w:val="clear" w:color="auto" w:fill="FFFFFF" w:themeFill="background1"/>
          </w:tcPr>
          <w:p w14:paraId="24DC79E1" w14:textId="77777777" w:rsidR="00AB6753" w:rsidRPr="00BD722C" w:rsidRDefault="00AB6753" w:rsidP="002D1EA4">
            <w:pPr>
              <w:rPr>
                <w:b/>
              </w:rPr>
            </w:pPr>
          </w:p>
        </w:tc>
        <w:tc>
          <w:tcPr>
            <w:tcW w:w="1694" w:type="dxa"/>
            <w:gridSpan w:val="2"/>
            <w:tcBorders>
              <w:top w:val="single" w:sz="4" w:space="0" w:color="FFFFFF" w:themeColor="background1"/>
              <w:left w:val="nil"/>
              <w:bottom w:val="single" w:sz="4" w:space="0" w:color="auto"/>
              <w:right w:val="nil"/>
            </w:tcBorders>
            <w:shd w:val="clear" w:color="auto" w:fill="FFFFFF" w:themeFill="background1"/>
          </w:tcPr>
          <w:p w14:paraId="393C7532" w14:textId="77777777" w:rsidR="00AB6753" w:rsidRPr="00BD722C" w:rsidRDefault="00AB6753" w:rsidP="002D1EA4">
            <w:pPr>
              <w:rPr>
                <w:b/>
              </w:rPr>
            </w:pPr>
          </w:p>
        </w:tc>
      </w:tr>
      <w:tr w:rsidR="00AB6753" w:rsidRPr="004A20FC" w14:paraId="313A2D63" w14:textId="77777777" w:rsidTr="002D1EA4">
        <w:trPr>
          <w:gridAfter w:val="1"/>
          <w:wAfter w:w="32" w:type="dxa"/>
          <w:trHeight w:val="344"/>
        </w:trPr>
        <w:tc>
          <w:tcPr>
            <w:tcW w:w="3828" w:type="dxa"/>
            <w:tcBorders>
              <w:top w:val="nil"/>
              <w:left w:val="nil"/>
              <w:bottom w:val="single" w:sz="4" w:space="0" w:color="FFFFFF" w:themeColor="background1"/>
              <w:right w:val="nil"/>
            </w:tcBorders>
            <w:shd w:val="clear" w:color="auto" w:fill="F8F8F8"/>
            <w:vAlign w:val="bottom"/>
          </w:tcPr>
          <w:p w14:paraId="52518471" w14:textId="77777777" w:rsidR="00AB6753" w:rsidRPr="00BD722C" w:rsidRDefault="00AB6753" w:rsidP="002D1EA4">
            <w:pPr>
              <w:rPr>
                <w:b/>
              </w:rPr>
            </w:pPr>
            <w:r w:rsidRPr="00BD722C">
              <w:rPr>
                <w:b/>
              </w:rPr>
              <w:t>Departmental non-operating</w:t>
            </w:r>
          </w:p>
        </w:tc>
        <w:tc>
          <w:tcPr>
            <w:tcW w:w="370" w:type="dxa"/>
            <w:tcBorders>
              <w:top w:val="nil"/>
              <w:left w:val="nil"/>
              <w:bottom w:val="single" w:sz="4" w:space="0" w:color="FFFFFF" w:themeColor="background1"/>
              <w:right w:val="nil"/>
            </w:tcBorders>
            <w:shd w:val="clear" w:color="auto" w:fill="F8F8F8"/>
          </w:tcPr>
          <w:p w14:paraId="1C52CD74" w14:textId="77777777" w:rsidR="00AB6753" w:rsidRPr="004A20FC" w:rsidRDefault="00AB6753" w:rsidP="002D1EA4"/>
        </w:tc>
        <w:tc>
          <w:tcPr>
            <w:tcW w:w="1685" w:type="dxa"/>
            <w:tcBorders>
              <w:top w:val="nil"/>
              <w:left w:val="nil"/>
              <w:bottom w:val="single" w:sz="4" w:space="0" w:color="FFFFFF" w:themeColor="background1"/>
              <w:right w:val="nil"/>
            </w:tcBorders>
            <w:shd w:val="clear" w:color="auto" w:fill="F8F8F8"/>
          </w:tcPr>
          <w:p w14:paraId="2FA08BEC" w14:textId="77777777" w:rsidR="00AB6753" w:rsidRPr="004A20FC" w:rsidRDefault="00AB6753" w:rsidP="002D1EA4"/>
        </w:tc>
        <w:tc>
          <w:tcPr>
            <w:tcW w:w="1697" w:type="dxa"/>
            <w:gridSpan w:val="2"/>
            <w:tcBorders>
              <w:top w:val="nil"/>
              <w:left w:val="nil"/>
              <w:bottom w:val="single" w:sz="4" w:space="0" w:color="FFFFFF" w:themeColor="background1"/>
              <w:right w:val="nil"/>
            </w:tcBorders>
            <w:shd w:val="clear" w:color="auto" w:fill="F8F8F8"/>
          </w:tcPr>
          <w:p w14:paraId="3D2499BA" w14:textId="77777777" w:rsidR="00AB6753" w:rsidRPr="004A20FC" w:rsidRDefault="00AB6753" w:rsidP="002D1EA4"/>
        </w:tc>
        <w:tc>
          <w:tcPr>
            <w:tcW w:w="1694" w:type="dxa"/>
            <w:gridSpan w:val="2"/>
            <w:tcBorders>
              <w:top w:val="nil"/>
              <w:left w:val="nil"/>
              <w:bottom w:val="single" w:sz="4" w:space="0" w:color="FFFFFF" w:themeColor="background1"/>
              <w:right w:val="nil"/>
            </w:tcBorders>
            <w:shd w:val="clear" w:color="auto" w:fill="F8F8F8"/>
          </w:tcPr>
          <w:p w14:paraId="402A48DD" w14:textId="77777777" w:rsidR="00AB6753" w:rsidRPr="004A20FC" w:rsidRDefault="00AB6753" w:rsidP="002D1EA4"/>
        </w:tc>
      </w:tr>
      <w:tr w:rsidR="00AB6753" w:rsidRPr="004A20FC" w14:paraId="7E9306B5" w14:textId="77777777" w:rsidTr="002D1EA4">
        <w:trPr>
          <w:gridAfter w:val="1"/>
          <w:wAfter w:w="32" w:type="dxa"/>
          <w:trHeight w:val="344"/>
        </w:trPr>
        <w:tc>
          <w:tcPr>
            <w:tcW w:w="3828"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FEC0669" w14:textId="77777777" w:rsidR="00AB6753" w:rsidRPr="004A20FC" w:rsidRDefault="00AB6753" w:rsidP="002D1EA4">
            <w:r w:rsidRPr="004A20FC">
              <w:t>Equity injections</w:t>
            </w:r>
            <w:r w:rsidRPr="00C94CFA">
              <w:rPr>
                <w:vertAlign w:val="superscript"/>
              </w:rPr>
              <w:t>5</w:t>
            </w:r>
          </w:p>
        </w:tc>
        <w:tc>
          <w:tcPr>
            <w:tcW w:w="370"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CBE9CA6" w14:textId="77777777" w:rsidR="00AB6753" w:rsidRPr="004A20FC" w:rsidRDefault="00AB6753" w:rsidP="002D1EA4"/>
        </w:tc>
        <w:tc>
          <w:tcPr>
            <w:tcW w:w="168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78C501D" w14:textId="77777777" w:rsidR="00AB6753" w:rsidRPr="004A20FC" w:rsidRDefault="00AB6753" w:rsidP="002D1EA4">
            <w:r w:rsidRPr="002A11BA">
              <w:t>8,303</w:t>
            </w:r>
          </w:p>
        </w:tc>
        <w:tc>
          <w:tcPr>
            <w:tcW w:w="1697" w:type="dxa"/>
            <w:gridSpan w:val="2"/>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CEA5122" w14:textId="77777777" w:rsidR="00AB6753" w:rsidRPr="004A20FC" w:rsidRDefault="00AB6753" w:rsidP="002D1EA4">
            <w:r w:rsidRPr="002A11BA">
              <w:t>6,894</w:t>
            </w:r>
          </w:p>
        </w:tc>
        <w:tc>
          <w:tcPr>
            <w:tcW w:w="1694" w:type="dxa"/>
            <w:gridSpan w:val="2"/>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4377512" w14:textId="77777777" w:rsidR="00AB6753" w:rsidRPr="004A20FC" w:rsidRDefault="00AB6753" w:rsidP="002D1EA4">
            <w:r w:rsidRPr="002A11BA">
              <w:t>1,409</w:t>
            </w:r>
          </w:p>
        </w:tc>
      </w:tr>
      <w:tr w:rsidR="00AB6753" w:rsidRPr="004A20FC" w14:paraId="7EDD3056" w14:textId="77777777" w:rsidTr="002D1EA4">
        <w:trPr>
          <w:gridAfter w:val="1"/>
          <w:wAfter w:w="32" w:type="dxa"/>
          <w:trHeight w:val="344"/>
        </w:trPr>
        <w:tc>
          <w:tcPr>
            <w:tcW w:w="3828" w:type="dxa"/>
            <w:tcBorders>
              <w:top w:val="single" w:sz="4" w:space="0" w:color="FFFFFF" w:themeColor="background1"/>
              <w:left w:val="nil"/>
              <w:bottom w:val="single" w:sz="4" w:space="0" w:color="FFFFFF" w:themeColor="background1"/>
              <w:right w:val="nil"/>
            </w:tcBorders>
            <w:shd w:val="clear" w:color="auto" w:fill="F2F2F2" w:themeFill="background1" w:themeFillShade="F2"/>
            <w:hideMark/>
          </w:tcPr>
          <w:p w14:paraId="69753F6B" w14:textId="77777777" w:rsidR="00AB6753" w:rsidRPr="00743408" w:rsidRDefault="00AB6753" w:rsidP="002D1EA4">
            <w:pPr>
              <w:rPr>
                <w:b/>
              </w:rPr>
            </w:pPr>
            <w:r w:rsidRPr="00743408">
              <w:rPr>
                <w:b/>
              </w:rPr>
              <w:t>Total</w:t>
            </w:r>
          </w:p>
        </w:tc>
        <w:tc>
          <w:tcPr>
            <w:tcW w:w="370"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520EDAD7" w14:textId="77777777" w:rsidR="00AB6753" w:rsidRPr="004A20FC" w:rsidRDefault="00AB6753" w:rsidP="002D1EA4"/>
        </w:tc>
        <w:tc>
          <w:tcPr>
            <w:tcW w:w="168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EEE4452" w14:textId="77777777" w:rsidR="00AB6753" w:rsidRPr="00743408" w:rsidRDefault="00AB6753" w:rsidP="002D1EA4">
            <w:pPr>
              <w:rPr>
                <w:b/>
              </w:rPr>
            </w:pPr>
            <w:r w:rsidRPr="00743408">
              <w:rPr>
                <w:b/>
              </w:rPr>
              <w:t>8,303</w:t>
            </w:r>
          </w:p>
        </w:tc>
        <w:tc>
          <w:tcPr>
            <w:tcW w:w="1697" w:type="dxa"/>
            <w:gridSpan w:val="2"/>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35BFCBF1" w14:textId="77777777" w:rsidR="00AB6753" w:rsidRPr="00743408" w:rsidRDefault="00AB6753" w:rsidP="002D1EA4">
            <w:pPr>
              <w:rPr>
                <w:b/>
              </w:rPr>
            </w:pPr>
            <w:r w:rsidRPr="00743408">
              <w:rPr>
                <w:b/>
              </w:rPr>
              <w:t>6,894</w:t>
            </w:r>
          </w:p>
        </w:tc>
        <w:tc>
          <w:tcPr>
            <w:tcW w:w="1694" w:type="dxa"/>
            <w:gridSpan w:val="2"/>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9FFA156" w14:textId="77777777" w:rsidR="00AB6753" w:rsidRPr="00743408" w:rsidRDefault="00AB6753" w:rsidP="002D1EA4">
            <w:pPr>
              <w:rPr>
                <w:b/>
              </w:rPr>
            </w:pPr>
            <w:r w:rsidRPr="00743408">
              <w:rPr>
                <w:b/>
              </w:rPr>
              <w:t>1,409</w:t>
            </w:r>
          </w:p>
        </w:tc>
      </w:tr>
      <w:tr w:rsidR="00AB6753" w:rsidRPr="004A20FC" w14:paraId="36FE3038" w14:textId="77777777" w:rsidTr="002D1EA4">
        <w:trPr>
          <w:trHeight w:val="311"/>
        </w:trPr>
        <w:tc>
          <w:tcPr>
            <w:tcW w:w="3828" w:type="dxa"/>
            <w:tcBorders>
              <w:top w:val="single" w:sz="4" w:space="0" w:color="FFFFFF" w:themeColor="background1"/>
              <w:left w:val="nil"/>
              <w:bottom w:val="single" w:sz="4" w:space="0" w:color="FFFFFF" w:themeColor="background1"/>
              <w:right w:val="nil"/>
            </w:tcBorders>
            <w:shd w:val="clear" w:color="auto" w:fill="D9D9D9" w:themeFill="background1" w:themeFillShade="D9"/>
            <w:hideMark/>
          </w:tcPr>
          <w:p w14:paraId="06945A1E" w14:textId="77777777" w:rsidR="00AB6753" w:rsidRPr="00743408" w:rsidRDefault="00AB6753" w:rsidP="002D1EA4">
            <w:pPr>
              <w:rPr>
                <w:b/>
              </w:rPr>
            </w:pPr>
            <w:r w:rsidRPr="00743408">
              <w:rPr>
                <w:b/>
              </w:rPr>
              <w:t xml:space="preserve">Total other services </w:t>
            </w:r>
          </w:p>
        </w:tc>
        <w:tc>
          <w:tcPr>
            <w:tcW w:w="370" w:type="dxa"/>
            <w:tcBorders>
              <w:top w:val="single" w:sz="4" w:space="0" w:color="FFFFFF" w:themeColor="background1"/>
              <w:left w:val="nil"/>
              <w:bottom w:val="single" w:sz="4" w:space="0" w:color="FFFFFF" w:themeColor="background1"/>
              <w:right w:val="nil"/>
            </w:tcBorders>
            <w:shd w:val="clear" w:color="auto" w:fill="D9D9D9" w:themeFill="background1" w:themeFillShade="D9"/>
            <w:hideMark/>
          </w:tcPr>
          <w:p w14:paraId="0451E294" w14:textId="77777777" w:rsidR="00AB6753" w:rsidRPr="00AB5C94" w:rsidRDefault="00AB6753" w:rsidP="002D1EA4">
            <w:pPr>
              <w:rPr>
                <w:b/>
              </w:rPr>
            </w:pPr>
            <w:r w:rsidRPr="00AB5C94">
              <w:rPr>
                <w:b/>
              </w:rPr>
              <w:t>B</w:t>
            </w:r>
          </w:p>
        </w:tc>
        <w:tc>
          <w:tcPr>
            <w:tcW w:w="168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46E0BA6" w14:textId="77777777" w:rsidR="00AB6753" w:rsidRPr="00F00242" w:rsidRDefault="00AB6753" w:rsidP="002D1EA4">
            <w:pPr>
              <w:rPr>
                <w:b/>
              </w:rPr>
            </w:pPr>
            <w:r w:rsidRPr="00F00242">
              <w:rPr>
                <w:b/>
              </w:rPr>
              <w:t>8,303</w:t>
            </w:r>
          </w:p>
        </w:tc>
        <w:tc>
          <w:tcPr>
            <w:tcW w:w="1728" w:type="dxa"/>
            <w:gridSpan w:val="3"/>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CC1CEE0" w14:textId="77777777" w:rsidR="00AB6753" w:rsidRPr="00F00242" w:rsidRDefault="00AB6753" w:rsidP="002D1EA4">
            <w:pPr>
              <w:rPr>
                <w:b/>
              </w:rPr>
            </w:pPr>
            <w:r w:rsidRPr="00F00242">
              <w:rPr>
                <w:b/>
              </w:rPr>
              <w:t>6,894</w:t>
            </w:r>
          </w:p>
        </w:tc>
        <w:tc>
          <w:tcPr>
            <w:tcW w:w="1695" w:type="dxa"/>
            <w:gridSpan w:val="2"/>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22A2C9C" w14:textId="77777777" w:rsidR="00AB6753" w:rsidRPr="00F00242" w:rsidRDefault="00AB6753" w:rsidP="002D1EA4">
            <w:pPr>
              <w:rPr>
                <w:b/>
              </w:rPr>
            </w:pPr>
            <w:r w:rsidRPr="00F00242">
              <w:rPr>
                <w:b/>
              </w:rPr>
              <w:t>1,409</w:t>
            </w:r>
          </w:p>
        </w:tc>
      </w:tr>
      <w:tr w:rsidR="00AB6753" w:rsidRPr="004A20FC" w14:paraId="6A30C99A" w14:textId="77777777" w:rsidTr="002D1EA4">
        <w:trPr>
          <w:trHeight w:val="311"/>
        </w:trPr>
        <w:tc>
          <w:tcPr>
            <w:tcW w:w="3828" w:type="dxa"/>
            <w:tcBorders>
              <w:top w:val="single" w:sz="4" w:space="0" w:color="FFFFFF" w:themeColor="background1"/>
              <w:left w:val="nil"/>
              <w:bottom w:val="single" w:sz="4" w:space="0" w:color="FFFFFF" w:themeColor="background1"/>
              <w:right w:val="nil"/>
            </w:tcBorders>
            <w:shd w:val="clear" w:color="auto" w:fill="EAEAEA"/>
            <w:hideMark/>
          </w:tcPr>
          <w:p w14:paraId="508C9C20" w14:textId="77777777" w:rsidR="00AB6753" w:rsidRPr="00743408" w:rsidRDefault="00AB6753" w:rsidP="002D1EA4">
            <w:pPr>
              <w:rPr>
                <w:b/>
              </w:rPr>
            </w:pPr>
            <w:r w:rsidRPr="00743408">
              <w:rPr>
                <w:b/>
              </w:rPr>
              <w:t>Total available annual appropriations and payments</w:t>
            </w:r>
          </w:p>
        </w:tc>
        <w:tc>
          <w:tcPr>
            <w:tcW w:w="370" w:type="dxa"/>
            <w:tcBorders>
              <w:top w:val="single" w:sz="4" w:space="0" w:color="FFFFFF" w:themeColor="background1"/>
              <w:left w:val="nil"/>
              <w:bottom w:val="single" w:sz="4" w:space="0" w:color="FFFFFF" w:themeColor="background1"/>
              <w:right w:val="nil"/>
            </w:tcBorders>
            <w:shd w:val="clear" w:color="auto" w:fill="EAEAEA"/>
          </w:tcPr>
          <w:p w14:paraId="3D4E51EA" w14:textId="77777777" w:rsidR="00AB6753" w:rsidRPr="0037252C" w:rsidRDefault="00AB6753" w:rsidP="002D1EA4"/>
        </w:tc>
        <w:tc>
          <w:tcPr>
            <w:tcW w:w="1685" w:type="dxa"/>
            <w:tcBorders>
              <w:top w:val="single" w:sz="4" w:space="0" w:color="FFFFFF" w:themeColor="background1"/>
              <w:left w:val="nil"/>
              <w:bottom w:val="single" w:sz="4" w:space="0" w:color="FFFFFF" w:themeColor="background1"/>
              <w:right w:val="nil"/>
            </w:tcBorders>
            <w:shd w:val="clear" w:color="auto" w:fill="EAEAEA"/>
          </w:tcPr>
          <w:p w14:paraId="00A95321" w14:textId="77777777" w:rsidR="00AB6753" w:rsidRPr="0037252C" w:rsidRDefault="00AB6753" w:rsidP="002D1EA4">
            <w:pPr>
              <w:rPr>
                <w:b/>
              </w:rPr>
            </w:pPr>
            <w:r>
              <w:rPr>
                <w:b/>
              </w:rPr>
              <w:t>14,</w:t>
            </w:r>
            <w:r w:rsidRPr="0037252C">
              <w:rPr>
                <w:b/>
              </w:rPr>
              <w:t>650,347</w:t>
            </w:r>
          </w:p>
        </w:tc>
        <w:tc>
          <w:tcPr>
            <w:tcW w:w="1728" w:type="dxa"/>
            <w:gridSpan w:val="3"/>
            <w:tcBorders>
              <w:top w:val="single" w:sz="4" w:space="0" w:color="FFFFFF" w:themeColor="background1"/>
              <w:left w:val="nil"/>
              <w:bottom w:val="single" w:sz="4" w:space="0" w:color="FFFFFF" w:themeColor="background1"/>
              <w:right w:val="nil"/>
            </w:tcBorders>
            <w:shd w:val="clear" w:color="auto" w:fill="EAEAEA"/>
          </w:tcPr>
          <w:p w14:paraId="7AE6D9A6" w14:textId="77777777" w:rsidR="00AB6753" w:rsidRPr="00743408" w:rsidRDefault="00AB6753" w:rsidP="002D1EA4">
            <w:pPr>
              <w:rPr>
                <w:b/>
              </w:rPr>
            </w:pPr>
            <w:r w:rsidRPr="009256AA">
              <w:rPr>
                <w:b/>
              </w:rPr>
              <w:t>11,421,366</w:t>
            </w:r>
          </w:p>
        </w:tc>
        <w:tc>
          <w:tcPr>
            <w:tcW w:w="1695" w:type="dxa"/>
            <w:gridSpan w:val="2"/>
            <w:tcBorders>
              <w:top w:val="single" w:sz="4" w:space="0" w:color="FFFFFF" w:themeColor="background1"/>
              <w:left w:val="nil"/>
              <w:bottom w:val="single" w:sz="4" w:space="0" w:color="FFFFFF" w:themeColor="background1"/>
              <w:right w:val="nil"/>
            </w:tcBorders>
            <w:shd w:val="clear" w:color="auto" w:fill="EAEAEA"/>
            <w:hideMark/>
          </w:tcPr>
          <w:p w14:paraId="0538AC25" w14:textId="77777777" w:rsidR="00AB6753" w:rsidRPr="00743408" w:rsidRDefault="00AB6753" w:rsidP="002D1EA4">
            <w:pPr>
              <w:rPr>
                <w:b/>
              </w:rPr>
            </w:pPr>
          </w:p>
        </w:tc>
      </w:tr>
      <w:tr w:rsidR="00AB6753" w:rsidRPr="004A20FC" w14:paraId="41BAA7AC" w14:textId="77777777" w:rsidTr="002D1EA4">
        <w:trPr>
          <w:trHeight w:val="459"/>
        </w:trPr>
        <w:tc>
          <w:tcPr>
            <w:tcW w:w="3828" w:type="dxa"/>
            <w:tcBorders>
              <w:top w:val="single" w:sz="4" w:space="0" w:color="FFFFFF" w:themeColor="background1"/>
              <w:left w:val="nil"/>
              <w:bottom w:val="single" w:sz="4" w:space="0" w:color="auto"/>
              <w:right w:val="nil"/>
            </w:tcBorders>
            <w:shd w:val="clear" w:color="auto" w:fill="FFFFFF" w:themeFill="background1"/>
            <w:vAlign w:val="bottom"/>
            <w:hideMark/>
          </w:tcPr>
          <w:p w14:paraId="6CB301B1" w14:textId="77777777" w:rsidR="00AB6753" w:rsidRPr="00C94CFA" w:rsidRDefault="00AB6753" w:rsidP="002D1EA4">
            <w:pPr>
              <w:rPr>
                <w:b/>
              </w:rPr>
            </w:pPr>
            <w:r>
              <w:rPr>
                <w:b/>
              </w:rPr>
              <w:lastRenderedPageBreak/>
              <w:br/>
            </w:r>
            <w:r w:rsidRPr="00C94CFA">
              <w:rPr>
                <w:b/>
              </w:rPr>
              <w:t>Special appropriations</w:t>
            </w:r>
          </w:p>
        </w:tc>
        <w:tc>
          <w:tcPr>
            <w:tcW w:w="370" w:type="dxa"/>
            <w:tcBorders>
              <w:top w:val="single" w:sz="4" w:space="0" w:color="FFFFFF" w:themeColor="background1"/>
              <w:left w:val="nil"/>
              <w:bottom w:val="single" w:sz="4" w:space="0" w:color="auto"/>
              <w:right w:val="nil"/>
            </w:tcBorders>
            <w:shd w:val="clear" w:color="auto" w:fill="FFFFFF" w:themeFill="background1"/>
          </w:tcPr>
          <w:p w14:paraId="2A54E0F5" w14:textId="77777777" w:rsidR="00AB6753" w:rsidRPr="004A20FC" w:rsidRDefault="00AB6753" w:rsidP="002D1EA4"/>
        </w:tc>
        <w:tc>
          <w:tcPr>
            <w:tcW w:w="1685" w:type="dxa"/>
            <w:tcBorders>
              <w:top w:val="single" w:sz="4" w:space="0" w:color="FFFFFF" w:themeColor="background1"/>
              <w:left w:val="nil"/>
              <w:bottom w:val="single" w:sz="4" w:space="0" w:color="auto"/>
              <w:right w:val="nil"/>
            </w:tcBorders>
            <w:shd w:val="clear" w:color="auto" w:fill="FFFFFF" w:themeFill="background1"/>
          </w:tcPr>
          <w:p w14:paraId="1546E203" w14:textId="77777777" w:rsidR="00AB6753" w:rsidRPr="004A20FC" w:rsidRDefault="00AB6753" w:rsidP="002D1EA4"/>
        </w:tc>
        <w:tc>
          <w:tcPr>
            <w:tcW w:w="1728" w:type="dxa"/>
            <w:gridSpan w:val="3"/>
            <w:tcBorders>
              <w:top w:val="single" w:sz="4" w:space="0" w:color="FFFFFF" w:themeColor="background1"/>
              <w:left w:val="nil"/>
              <w:bottom w:val="single" w:sz="4" w:space="0" w:color="auto"/>
              <w:right w:val="nil"/>
            </w:tcBorders>
            <w:shd w:val="clear" w:color="auto" w:fill="FFFFFF" w:themeFill="background1"/>
          </w:tcPr>
          <w:p w14:paraId="5B5939BF" w14:textId="77777777" w:rsidR="00AB6753" w:rsidRPr="004A20FC" w:rsidRDefault="00AB6753" w:rsidP="002D1EA4"/>
        </w:tc>
        <w:tc>
          <w:tcPr>
            <w:tcW w:w="1695" w:type="dxa"/>
            <w:gridSpan w:val="2"/>
            <w:tcBorders>
              <w:top w:val="single" w:sz="4" w:space="0" w:color="FFFFFF" w:themeColor="background1"/>
              <w:left w:val="nil"/>
              <w:bottom w:val="single" w:sz="4" w:space="0" w:color="auto"/>
              <w:right w:val="nil"/>
            </w:tcBorders>
            <w:shd w:val="clear" w:color="auto" w:fill="FFFFFF" w:themeFill="background1"/>
          </w:tcPr>
          <w:p w14:paraId="0909381F" w14:textId="77777777" w:rsidR="00AB6753" w:rsidRPr="004A20FC" w:rsidRDefault="00AB6753" w:rsidP="002D1EA4"/>
        </w:tc>
      </w:tr>
      <w:tr w:rsidR="00AB6753" w:rsidRPr="004A20FC" w14:paraId="080FC7D5" w14:textId="77777777" w:rsidTr="002D1EA4">
        <w:trPr>
          <w:trHeight w:val="311"/>
        </w:trPr>
        <w:tc>
          <w:tcPr>
            <w:tcW w:w="3828" w:type="dxa"/>
            <w:tcBorders>
              <w:top w:val="single" w:sz="4" w:space="0" w:color="auto"/>
              <w:left w:val="nil"/>
              <w:bottom w:val="single" w:sz="4" w:space="0" w:color="FFFFFF" w:themeColor="background1"/>
              <w:right w:val="nil"/>
            </w:tcBorders>
            <w:shd w:val="clear" w:color="auto" w:fill="F8F8F8"/>
            <w:hideMark/>
          </w:tcPr>
          <w:p w14:paraId="30BF43FB" w14:textId="77777777" w:rsidR="00AB6753" w:rsidRPr="004A20FC" w:rsidRDefault="00AB6753" w:rsidP="002D1EA4">
            <w:r w:rsidRPr="004A20FC">
              <w:t>Social Security (Administration) Act 1999</w:t>
            </w:r>
          </w:p>
        </w:tc>
        <w:tc>
          <w:tcPr>
            <w:tcW w:w="370" w:type="dxa"/>
            <w:tcBorders>
              <w:top w:val="single" w:sz="4" w:space="0" w:color="auto"/>
              <w:left w:val="nil"/>
              <w:bottom w:val="single" w:sz="4" w:space="0" w:color="FFFFFF" w:themeColor="background1"/>
              <w:right w:val="nil"/>
            </w:tcBorders>
            <w:shd w:val="clear" w:color="auto" w:fill="F8F8F8"/>
          </w:tcPr>
          <w:p w14:paraId="349FCD80" w14:textId="77777777" w:rsidR="00AB6753" w:rsidRPr="004A20FC" w:rsidRDefault="00AB6753" w:rsidP="002D1EA4"/>
        </w:tc>
        <w:tc>
          <w:tcPr>
            <w:tcW w:w="1685" w:type="dxa"/>
            <w:tcBorders>
              <w:top w:val="single" w:sz="4" w:space="0" w:color="auto"/>
              <w:left w:val="nil"/>
              <w:bottom w:val="single" w:sz="4" w:space="0" w:color="FFFFFF" w:themeColor="background1"/>
              <w:right w:val="nil"/>
            </w:tcBorders>
            <w:shd w:val="clear" w:color="auto" w:fill="F8F8F8"/>
          </w:tcPr>
          <w:p w14:paraId="719B6EC1" w14:textId="77777777" w:rsidR="00AB6753" w:rsidRPr="004A20FC" w:rsidRDefault="00AB6753" w:rsidP="002D1EA4"/>
        </w:tc>
        <w:tc>
          <w:tcPr>
            <w:tcW w:w="1728" w:type="dxa"/>
            <w:gridSpan w:val="3"/>
            <w:tcBorders>
              <w:top w:val="single" w:sz="4" w:space="0" w:color="auto"/>
              <w:left w:val="nil"/>
              <w:bottom w:val="single" w:sz="4" w:space="0" w:color="FFFFFF" w:themeColor="background1"/>
              <w:right w:val="nil"/>
            </w:tcBorders>
            <w:shd w:val="clear" w:color="auto" w:fill="F8F8F8"/>
          </w:tcPr>
          <w:p w14:paraId="72F4D859" w14:textId="77777777" w:rsidR="00AB6753" w:rsidRPr="004A20FC" w:rsidRDefault="00AB6753" w:rsidP="002D1EA4">
            <w:r>
              <w:t>106,241,123</w:t>
            </w:r>
          </w:p>
        </w:tc>
        <w:tc>
          <w:tcPr>
            <w:tcW w:w="1695" w:type="dxa"/>
            <w:gridSpan w:val="2"/>
            <w:tcBorders>
              <w:top w:val="single" w:sz="4" w:space="0" w:color="auto"/>
              <w:left w:val="nil"/>
              <w:bottom w:val="single" w:sz="4" w:space="0" w:color="FFFFFF" w:themeColor="background1"/>
              <w:right w:val="nil"/>
            </w:tcBorders>
            <w:shd w:val="clear" w:color="auto" w:fill="F8F8F8"/>
          </w:tcPr>
          <w:p w14:paraId="361CC073" w14:textId="77777777" w:rsidR="00AB6753" w:rsidRPr="004A20FC" w:rsidRDefault="00AB6753" w:rsidP="002D1EA4"/>
        </w:tc>
      </w:tr>
      <w:tr w:rsidR="00AB6753" w:rsidRPr="004A20FC" w14:paraId="3F1E0820" w14:textId="77777777" w:rsidTr="002D1EA4">
        <w:trPr>
          <w:trHeight w:val="884"/>
        </w:trPr>
        <w:tc>
          <w:tcPr>
            <w:tcW w:w="3828"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071F7DD" w14:textId="77777777" w:rsidR="00AB6753" w:rsidRPr="004A20FC" w:rsidRDefault="00AB6753" w:rsidP="002D1EA4">
            <w:r w:rsidRPr="004A20FC">
              <w:t>A New Tax System (Family Assistance) (Administration) Act 1999</w:t>
            </w:r>
          </w:p>
        </w:tc>
        <w:tc>
          <w:tcPr>
            <w:tcW w:w="370"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F3ED00D" w14:textId="77777777" w:rsidR="00AB6753" w:rsidRPr="004A20FC" w:rsidRDefault="00AB6753" w:rsidP="002D1EA4"/>
        </w:tc>
        <w:tc>
          <w:tcPr>
            <w:tcW w:w="168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7C03260" w14:textId="77777777" w:rsidR="00AB6753" w:rsidRPr="004A20FC" w:rsidRDefault="00AB6753" w:rsidP="002D1EA4"/>
        </w:tc>
        <w:tc>
          <w:tcPr>
            <w:tcW w:w="1728" w:type="dxa"/>
            <w:gridSpan w:val="3"/>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3597ACC" w14:textId="77777777" w:rsidR="00AB6753" w:rsidRPr="004A20FC" w:rsidRDefault="00AB6753" w:rsidP="002D1EA4">
            <w:r>
              <w:t>18,055,843</w:t>
            </w:r>
          </w:p>
        </w:tc>
        <w:tc>
          <w:tcPr>
            <w:tcW w:w="1695" w:type="dxa"/>
            <w:gridSpan w:val="2"/>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AC8A992" w14:textId="77777777" w:rsidR="00AB6753" w:rsidRPr="004A20FC" w:rsidRDefault="00AB6753" w:rsidP="002D1EA4"/>
        </w:tc>
      </w:tr>
      <w:tr w:rsidR="00AB6753" w:rsidRPr="004A20FC" w14:paraId="42DE0441" w14:textId="77777777" w:rsidTr="002D1EA4">
        <w:trPr>
          <w:trHeight w:val="311"/>
        </w:trPr>
        <w:tc>
          <w:tcPr>
            <w:tcW w:w="3828" w:type="dxa"/>
            <w:tcBorders>
              <w:top w:val="single" w:sz="4" w:space="0" w:color="FFFFFF" w:themeColor="background1"/>
              <w:left w:val="nil"/>
              <w:bottom w:val="single" w:sz="4" w:space="0" w:color="FFFFFF" w:themeColor="background1"/>
              <w:right w:val="nil"/>
            </w:tcBorders>
            <w:shd w:val="clear" w:color="auto" w:fill="F2F2F2" w:themeFill="background1" w:themeFillShade="F2"/>
            <w:hideMark/>
          </w:tcPr>
          <w:p w14:paraId="7E2A9567" w14:textId="77777777" w:rsidR="00AB6753" w:rsidRPr="004A20FC" w:rsidRDefault="00AB6753" w:rsidP="002D1EA4">
            <w:r w:rsidRPr="004A20FC">
              <w:t>Paid Parental Leave Act 2010</w:t>
            </w:r>
          </w:p>
        </w:tc>
        <w:tc>
          <w:tcPr>
            <w:tcW w:w="370"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2B29232" w14:textId="77777777" w:rsidR="00AB6753" w:rsidRPr="004A20FC" w:rsidRDefault="00AB6753" w:rsidP="002D1EA4"/>
        </w:tc>
        <w:tc>
          <w:tcPr>
            <w:tcW w:w="168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579F52B7" w14:textId="77777777" w:rsidR="00AB6753" w:rsidRPr="004A20FC" w:rsidRDefault="00AB6753" w:rsidP="002D1EA4"/>
        </w:tc>
        <w:tc>
          <w:tcPr>
            <w:tcW w:w="1728" w:type="dxa"/>
            <w:gridSpan w:val="3"/>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6352C6C" w14:textId="77777777" w:rsidR="00AB6753" w:rsidRPr="004A20FC" w:rsidRDefault="00AB6753" w:rsidP="002D1EA4">
            <w:r>
              <w:t>2,414,060</w:t>
            </w:r>
          </w:p>
        </w:tc>
        <w:tc>
          <w:tcPr>
            <w:tcW w:w="1695" w:type="dxa"/>
            <w:gridSpan w:val="2"/>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0F5DAF8" w14:textId="77777777" w:rsidR="00AB6753" w:rsidRPr="004A20FC" w:rsidRDefault="00AB6753" w:rsidP="002D1EA4"/>
        </w:tc>
      </w:tr>
      <w:tr w:rsidR="00AB6753" w:rsidRPr="004A20FC" w14:paraId="41B682FE" w14:textId="77777777" w:rsidTr="002D1EA4">
        <w:trPr>
          <w:trHeight w:val="439"/>
        </w:trPr>
        <w:tc>
          <w:tcPr>
            <w:tcW w:w="3828" w:type="dxa"/>
            <w:tcBorders>
              <w:top w:val="single" w:sz="4" w:space="0" w:color="FFFFFF" w:themeColor="background1"/>
              <w:left w:val="nil"/>
              <w:bottom w:val="single" w:sz="4" w:space="0" w:color="FFFFFF" w:themeColor="background1"/>
              <w:right w:val="nil"/>
            </w:tcBorders>
            <w:shd w:val="clear" w:color="auto" w:fill="D9D9D9" w:themeFill="background1" w:themeFillShade="D9"/>
            <w:hideMark/>
          </w:tcPr>
          <w:p w14:paraId="5A56193D" w14:textId="77777777" w:rsidR="00AB6753" w:rsidRPr="004A20FC" w:rsidRDefault="00AB6753" w:rsidP="002D1EA4">
            <w:r w:rsidRPr="004A20FC">
              <w:t>Social and Community Services Pay Equity Special Account Act 2012</w:t>
            </w:r>
          </w:p>
        </w:tc>
        <w:tc>
          <w:tcPr>
            <w:tcW w:w="370"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4131B04" w14:textId="77777777" w:rsidR="00AB6753" w:rsidRPr="004A20FC" w:rsidRDefault="00AB6753" w:rsidP="002D1EA4"/>
          <w:p w14:paraId="5C004AD5" w14:textId="77777777" w:rsidR="00AB6753" w:rsidRPr="004A20FC" w:rsidRDefault="00AB6753" w:rsidP="002D1EA4"/>
        </w:tc>
        <w:tc>
          <w:tcPr>
            <w:tcW w:w="168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243BA2E" w14:textId="77777777" w:rsidR="00AB6753" w:rsidRPr="004A20FC" w:rsidRDefault="00AB6753" w:rsidP="002D1EA4"/>
        </w:tc>
        <w:tc>
          <w:tcPr>
            <w:tcW w:w="1728" w:type="dxa"/>
            <w:gridSpan w:val="3"/>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B4A204C" w14:textId="77777777" w:rsidR="00AB6753" w:rsidRPr="004A20FC" w:rsidRDefault="00AB6753" w:rsidP="002D1EA4">
            <w:r>
              <w:t>-</w:t>
            </w:r>
          </w:p>
        </w:tc>
        <w:tc>
          <w:tcPr>
            <w:tcW w:w="1695" w:type="dxa"/>
            <w:gridSpan w:val="2"/>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5C5D62D" w14:textId="77777777" w:rsidR="00AB6753" w:rsidRPr="004A20FC" w:rsidRDefault="00AB6753" w:rsidP="002D1EA4"/>
        </w:tc>
      </w:tr>
      <w:tr w:rsidR="00AB6753" w:rsidRPr="004A20FC" w14:paraId="0E7D5206" w14:textId="77777777" w:rsidTr="002D1EA4">
        <w:trPr>
          <w:trHeight w:val="311"/>
        </w:trPr>
        <w:tc>
          <w:tcPr>
            <w:tcW w:w="3828" w:type="dxa"/>
            <w:tcBorders>
              <w:top w:val="single" w:sz="4" w:space="0" w:color="FFFFFF" w:themeColor="background1"/>
              <w:left w:val="nil"/>
              <w:bottom w:val="single" w:sz="4" w:space="0" w:color="FFFFFF" w:themeColor="background1"/>
              <w:right w:val="nil"/>
            </w:tcBorders>
            <w:shd w:val="clear" w:color="auto" w:fill="F8F8F8"/>
            <w:hideMark/>
          </w:tcPr>
          <w:p w14:paraId="11CC33DA" w14:textId="77777777" w:rsidR="00AB6753" w:rsidRPr="004A20FC" w:rsidRDefault="00AB6753" w:rsidP="002D1EA4">
            <w:r w:rsidRPr="004A20FC">
              <w:t xml:space="preserve">Student Assistance Act 1973 – Section 55A </w:t>
            </w:r>
          </w:p>
        </w:tc>
        <w:tc>
          <w:tcPr>
            <w:tcW w:w="370" w:type="dxa"/>
            <w:tcBorders>
              <w:top w:val="single" w:sz="4" w:space="0" w:color="FFFFFF" w:themeColor="background1"/>
              <w:left w:val="nil"/>
              <w:bottom w:val="single" w:sz="4" w:space="0" w:color="FFFFFF" w:themeColor="background1"/>
              <w:right w:val="nil"/>
            </w:tcBorders>
            <w:shd w:val="clear" w:color="auto" w:fill="F8F8F8"/>
          </w:tcPr>
          <w:p w14:paraId="61EDE30C" w14:textId="77777777" w:rsidR="00AB6753" w:rsidRPr="004A20FC" w:rsidRDefault="00AB6753" w:rsidP="002D1EA4"/>
        </w:tc>
        <w:tc>
          <w:tcPr>
            <w:tcW w:w="1685" w:type="dxa"/>
            <w:tcBorders>
              <w:top w:val="single" w:sz="4" w:space="0" w:color="FFFFFF" w:themeColor="background1"/>
              <w:left w:val="nil"/>
              <w:bottom w:val="single" w:sz="4" w:space="0" w:color="FFFFFF" w:themeColor="background1"/>
              <w:right w:val="nil"/>
            </w:tcBorders>
            <w:shd w:val="clear" w:color="auto" w:fill="F8F8F8"/>
          </w:tcPr>
          <w:p w14:paraId="7E2C2DAE" w14:textId="77777777" w:rsidR="00AB6753" w:rsidRPr="004A20FC" w:rsidRDefault="00AB6753" w:rsidP="002D1EA4"/>
        </w:tc>
        <w:tc>
          <w:tcPr>
            <w:tcW w:w="1728" w:type="dxa"/>
            <w:gridSpan w:val="3"/>
            <w:tcBorders>
              <w:top w:val="single" w:sz="4" w:space="0" w:color="FFFFFF" w:themeColor="background1"/>
              <w:left w:val="nil"/>
              <w:bottom w:val="single" w:sz="4" w:space="0" w:color="FFFFFF" w:themeColor="background1"/>
              <w:right w:val="nil"/>
            </w:tcBorders>
            <w:shd w:val="clear" w:color="auto" w:fill="F8F8F8"/>
          </w:tcPr>
          <w:p w14:paraId="7FE162BE" w14:textId="77777777" w:rsidR="00AB6753" w:rsidRPr="004A20FC" w:rsidRDefault="00AB6753" w:rsidP="002D1EA4">
            <w:r>
              <w:t>420,016</w:t>
            </w:r>
          </w:p>
        </w:tc>
        <w:tc>
          <w:tcPr>
            <w:tcW w:w="1695" w:type="dxa"/>
            <w:gridSpan w:val="2"/>
            <w:tcBorders>
              <w:top w:val="single" w:sz="4" w:space="0" w:color="FFFFFF" w:themeColor="background1"/>
              <w:left w:val="nil"/>
              <w:bottom w:val="single" w:sz="4" w:space="0" w:color="FFFFFF" w:themeColor="background1"/>
              <w:right w:val="nil"/>
            </w:tcBorders>
            <w:shd w:val="clear" w:color="auto" w:fill="F8F8F8"/>
          </w:tcPr>
          <w:p w14:paraId="04962104" w14:textId="77777777" w:rsidR="00AB6753" w:rsidRPr="004A20FC" w:rsidRDefault="00AB6753" w:rsidP="002D1EA4"/>
        </w:tc>
      </w:tr>
      <w:tr w:rsidR="00AB6753" w:rsidRPr="004A20FC" w14:paraId="62D4015F" w14:textId="77777777" w:rsidTr="002D1EA4">
        <w:trPr>
          <w:trHeight w:val="311"/>
        </w:trPr>
        <w:tc>
          <w:tcPr>
            <w:tcW w:w="3828" w:type="dxa"/>
            <w:tcBorders>
              <w:top w:val="single" w:sz="4" w:space="0" w:color="FFFFFF" w:themeColor="background1"/>
              <w:left w:val="nil"/>
              <w:bottom w:val="single" w:sz="4" w:space="0" w:color="FFFFFF" w:themeColor="background1"/>
              <w:right w:val="nil"/>
            </w:tcBorders>
            <w:shd w:val="clear" w:color="auto" w:fill="D9D9D9" w:themeFill="background1" w:themeFillShade="D9"/>
            <w:hideMark/>
          </w:tcPr>
          <w:p w14:paraId="78C0732A" w14:textId="77777777" w:rsidR="00AB6753" w:rsidRPr="004A20FC" w:rsidRDefault="00AB6753" w:rsidP="002D1EA4">
            <w:r w:rsidRPr="004A20FC">
              <w:t>Business Services Wage Assessment Tool Payment Scheme Act 2015 – Section 99</w:t>
            </w:r>
          </w:p>
        </w:tc>
        <w:tc>
          <w:tcPr>
            <w:tcW w:w="370"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A0EFAF0" w14:textId="77777777" w:rsidR="00AB6753" w:rsidRPr="004A20FC" w:rsidRDefault="00AB6753" w:rsidP="002D1EA4"/>
        </w:tc>
        <w:tc>
          <w:tcPr>
            <w:tcW w:w="1685" w:type="dxa"/>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BBD7338" w14:textId="77777777" w:rsidR="00AB6753" w:rsidRPr="004A20FC" w:rsidRDefault="00AB6753" w:rsidP="002D1EA4"/>
        </w:tc>
        <w:tc>
          <w:tcPr>
            <w:tcW w:w="1728" w:type="dxa"/>
            <w:gridSpan w:val="3"/>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DFA27BA" w14:textId="77777777" w:rsidR="00AB6753" w:rsidRPr="004A20FC" w:rsidRDefault="00AB6753" w:rsidP="002D1EA4">
            <w:r>
              <w:t>-</w:t>
            </w:r>
          </w:p>
        </w:tc>
        <w:tc>
          <w:tcPr>
            <w:tcW w:w="1695" w:type="dxa"/>
            <w:gridSpan w:val="2"/>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0D2D220" w14:textId="77777777" w:rsidR="00AB6753" w:rsidRPr="004A20FC" w:rsidRDefault="00AB6753" w:rsidP="002D1EA4"/>
        </w:tc>
      </w:tr>
      <w:tr w:rsidR="00AB6753" w:rsidRPr="004A20FC" w14:paraId="41ADA600" w14:textId="77777777" w:rsidTr="002D1EA4">
        <w:trPr>
          <w:trHeight w:val="311"/>
        </w:trPr>
        <w:tc>
          <w:tcPr>
            <w:tcW w:w="3828" w:type="dxa"/>
            <w:tcBorders>
              <w:top w:val="single" w:sz="4" w:space="0" w:color="FFFFFF" w:themeColor="background1"/>
              <w:left w:val="nil"/>
              <w:bottom w:val="single" w:sz="4" w:space="0" w:color="FFFFFF" w:themeColor="background1"/>
              <w:right w:val="nil"/>
            </w:tcBorders>
            <w:shd w:val="clear" w:color="auto" w:fill="F2F2F2" w:themeFill="background1" w:themeFillShade="F2"/>
            <w:hideMark/>
          </w:tcPr>
          <w:p w14:paraId="7A457B24" w14:textId="77777777" w:rsidR="00AB6753" w:rsidRPr="004A20FC" w:rsidRDefault="00AB6753" w:rsidP="002D1EA4">
            <w:r w:rsidRPr="004A20FC">
              <w:t>National Redress Scheme for Institutional Child Sexual Abuse Act 2018</w:t>
            </w:r>
          </w:p>
        </w:tc>
        <w:tc>
          <w:tcPr>
            <w:tcW w:w="370"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569207EB" w14:textId="77777777" w:rsidR="00AB6753" w:rsidRPr="004A20FC" w:rsidRDefault="00AB6753" w:rsidP="002D1EA4"/>
        </w:tc>
        <w:tc>
          <w:tcPr>
            <w:tcW w:w="168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3B469551" w14:textId="77777777" w:rsidR="00AB6753" w:rsidRPr="004A20FC" w:rsidRDefault="00AB6753" w:rsidP="002D1EA4"/>
        </w:tc>
        <w:tc>
          <w:tcPr>
            <w:tcW w:w="1728" w:type="dxa"/>
            <w:gridSpan w:val="3"/>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DDB2130" w14:textId="77777777" w:rsidR="00AB6753" w:rsidRPr="004A20FC" w:rsidRDefault="00AB6753" w:rsidP="002D1EA4">
            <w:r>
              <w:t>205,307</w:t>
            </w:r>
          </w:p>
        </w:tc>
        <w:tc>
          <w:tcPr>
            <w:tcW w:w="1695" w:type="dxa"/>
            <w:gridSpan w:val="2"/>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7A950354" w14:textId="77777777" w:rsidR="00AB6753" w:rsidRPr="004A20FC" w:rsidRDefault="00AB6753" w:rsidP="002D1EA4"/>
        </w:tc>
      </w:tr>
      <w:tr w:rsidR="00AB6753" w:rsidRPr="004A20FC" w14:paraId="7C739931" w14:textId="77777777" w:rsidTr="002D1EA4">
        <w:trPr>
          <w:trHeight w:val="372"/>
        </w:trPr>
        <w:tc>
          <w:tcPr>
            <w:tcW w:w="3828" w:type="dxa"/>
            <w:tcBorders>
              <w:top w:val="single" w:sz="4" w:space="0" w:color="FFFFFF" w:themeColor="background1"/>
              <w:left w:val="nil"/>
              <w:bottom w:val="nil"/>
              <w:right w:val="nil"/>
            </w:tcBorders>
            <w:shd w:val="clear" w:color="auto" w:fill="D9D9D9" w:themeFill="background1" w:themeFillShade="D9"/>
          </w:tcPr>
          <w:p w14:paraId="3DC62AD6" w14:textId="77777777" w:rsidR="00AB6753" w:rsidRPr="004A20FC" w:rsidRDefault="00AB6753" w:rsidP="002D1EA4">
            <w:r w:rsidRPr="004A20FC">
              <w:t>Public Governance, Performance and Accountability Act 2013 – Section 77</w:t>
            </w:r>
          </w:p>
        </w:tc>
        <w:tc>
          <w:tcPr>
            <w:tcW w:w="370" w:type="dxa"/>
            <w:tcBorders>
              <w:top w:val="single" w:sz="4" w:space="0" w:color="FFFFFF" w:themeColor="background1"/>
              <w:left w:val="nil"/>
              <w:bottom w:val="nil"/>
              <w:right w:val="nil"/>
            </w:tcBorders>
            <w:shd w:val="clear" w:color="auto" w:fill="D9D9D9" w:themeFill="background1" w:themeFillShade="D9"/>
          </w:tcPr>
          <w:p w14:paraId="76662F9A" w14:textId="77777777" w:rsidR="00AB6753" w:rsidRPr="004A20FC" w:rsidRDefault="00AB6753" w:rsidP="002D1EA4"/>
        </w:tc>
        <w:tc>
          <w:tcPr>
            <w:tcW w:w="1685" w:type="dxa"/>
            <w:tcBorders>
              <w:top w:val="single" w:sz="4" w:space="0" w:color="FFFFFF" w:themeColor="background1"/>
              <w:left w:val="nil"/>
              <w:bottom w:val="nil"/>
              <w:right w:val="nil"/>
            </w:tcBorders>
            <w:shd w:val="clear" w:color="auto" w:fill="D9D9D9" w:themeFill="background1" w:themeFillShade="D9"/>
          </w:tcPr>
          <w:p w14:paraId="493D1B4F" w14:textId="77777777" w:rsidR="00AB6753" w:rsidRPr="004A20FC" w:rsidRDefault="00AB6753" w:rsidP="002D1EA4"/>
        </w:tc>
        <w:tc>
          <w:tcPr>
            <w:tcW w:w="1728" w:type="dxa"/>
            <w:gridSpan w:val="3"/>
            <w:tcBorders>
              <w:top w:val="single" w:sz="4" w:space="0" w:color="FFFFFF" w:themeColor="background1"/>
              <w:left w:val="nil"/>
              <w:bottom w:val="nil"/>
              <w:right w:val="nil"/>
            </w:tcBorders>
            <w:shd w:val="clear" w:color="auto" w:fill="D9D9D9" w:themeFill="background1" w:themeFillShade="D9"/>
          </w:tcPr>
          <w:p w14:paraId="484D82FC" w14:textId="77777777" w:rsidR="00AB6753" w:rsidRPr="004A20FC" w:rsidRDefault="00AB6753" w:rsidP="002D1EA4">
            <w:r>
              <w:t>119</w:t>
            </w:r>
          </w:p>
        </w:tc>
        <w:tc>
          <w:tcPr>
            <w:tcW w:w="1695" w:type="dxa"/>
            <w:gridSpan w:val="2"/>
            <w:tcBorders>
              <w:top w:val="single" w:sz="4" w:space="0" w:color="FFFFFF" w:themeColor="background1"/>
              <w:left w:val="nil"/>
              <w:bottom w:val="nil"/>
              <w:right w:val="nil"/>
            </w:tcBorders>
            <w:shd w:val="clear" w:color="auto" w:fill="D9D9D9" w:themeFill="background1" w:themeFillShade="D9"/>
          </w:tcPr>
          <w:p w14:paraId="60A6DCDB" w14:textId="77777777" w:rsidR="00AB6753" w:rsidRPr="004A20FC" w:rsidRDefault="00AB6753" w:rsidP="002D1EA4"/>
        </w:tc>
      </w:tr>
      <w:tr w:rsidR="00AB6753" w:rsidRPr="004A20FC" w14:paraId="48A37398" w14:textId="77777777" w:rsidTr="002D1EA4">
        <w:trPr>
          <w:trHeight w:val="372"/>
        </w:trPr>
        <w:tc>
          <w:tcPr>
            <w:tcW w:w="3828" w:type="dxa"/>
            <w:tcBorders>
              <w:top w:val="nil"/>
              <w:left w:val="nil"/>
              <w:bottom w:val="nil"/>
              <w:right w:val="nil"/>
            </w:tcBorders>
            <w:shd w:val="clear" w:color="auto" w:fill="F8F8F8"/>
            <w:hideMark/>
          </w:tcPr>
          <w:p w14:paraId="79C8F29F" w14:textId="77777777" w:rsidR="00AB6753" w:rsidRPr="00743408" w:rsidRDefault="00AB6753" w:rsidP="002D1EA4">
            <w:pPr>
              <w:rPr>
                <w:b/>
              </w:rPr>
            </w:pPr>
            <w:r w:rsidRPr="00743408">
              <w:rPr>
                <w:b/>
              </w:rPr>
              <w:t>Total special appropriations</w:t>
            </w:r>
          </w:p>
        </w:tc>
        <w:tc>
          <w:tcPr>
            <w:tcW w:w="370" w:type="dxa"/>
            <w:tcBorders>
              <w:top w:val="nil"/>
              <w:left w:val="nil"/>
              <w:bottom w:val="nil"/>
              <w:right w:val="nil"/>
            </w:tcBorders>
            <w:shd w:val="clear" w:color="auto" w:fill="F8F8F8"/>
            <w:hideMark/>
          </w:tcPr>
          <w:p w14:paraId="2D10A77D" w14:textId="77777777" w:rsidR="00AB6753" w:rsidRPr="00AB5C94" w:rsidRDefault="00AB6753" w:rsidP="002D1EA4">
            <w:pPr>
              <w:rPr>
                <w:b/>
              </w:rPr>
            </w:pPr>
            <w:r w:rsidRPr="00AB5C94">
              <w:rPr>
                <w:b/>
              </w:rPr>
              <w:t>C</w:t>
            </w:r>
          </w:p>
        </w:tc>
        <w:tc>
          <w:tcPr>
            <w:tcW w:w="1685" w:type="dxa"/>
            <w:tcBorders>
              <w:top w:val="nil"/>
              <w:left w:val="nil"/>
              <w:bottom w:val="nil"/>
              <w:right w:val="nil"/>
            </w:tcBorders>
            <w:shd w:val="clear" w:color="auto" w:fill="F8F8F8"/>
          </w:tcPr>
          <w:p w14:paraId="72F62546" w14:textId="77777777" w:rsidR="00AB6753" w:rsidRPr="00F00242" w:rsidRDefault="00AB6753" w:rsidP="002D1EA4">
            <w:pPr>
              <w:rPr>
                <w:b/>
              </w:rPr>
            </w:pPr>
          </w:p>
        </w:tc>
        <w:tc>
          <w:tcPr>
            <w:tcW w:w="1728" w:type="dxa"/>
            <w:gridSpan w:val="3"/>
            <w:tcBorders>
              <w:top w:val="nil"/>
              <w:left w:val="nil"/>
              <w:bottom w:val="nil"/>
              <w:right w:val="nil"/>
            </w:tcBorders>
            <w:shd w:val="clear" w:color="auto" w:fill="F8F8F8"/>
          </w:tcPr>
          <w:p w14:paraId="6800D77A" w14:textId="77777777" w:rsidR="00AB6753" w:rsidRPr="00F00242" w:rsidRDefault="00AB6753" w:rsidP="002D1EA4">
            <w:pPr>
              <w:rPr>
                <w:b/>
              </w:rPr>
            </w:pPr>
            <w:r>
              <w:rPr>
                <w:b/>
              </w:rPr>
              <w:t>127,336,468</w:t>
            </w:r>
          </w:p>
        </w:tc>
        <w:tc>
          <w:tcPr>
            <w:tcW w:w="1695" w:type="dxa"/>
            <w:gridSpan w:val="2"/>
            <w:tcBorders>
              <w:top w:val="nil"/>
              <w:left w:val="nil"/>
              <w:bottom w:val="nil"/>
              <w:right w:val="nil"/>
            </w:tcBorders>
            <w:shd w:val="clear" w:color="auto" w:fill="F8F8F8"/>
          </w:tcPr>
          <w:p w14:paraId="035756A4" w14:textId="77777777" w:rsidR="00AB6753" w:rsidRPr="00F00242" w:rsidRDefault="00AB6753" w:rsidP="002D1EA4">
            <w:pPr>
              <w:rPr>
                <w:b/>
              </w:rPr>
            </w:pPr>
          </w:p>
        </w:tc>
      </w:tr>
    </w:tbl>
    <w:p w14:paraId="419679E4" w14:textId="77777777" w:rsidR="00AB6753" w:rsidRPr="004A20FC" w:rsidRDefault="00AB6753" w:rsidP="00AB6753"/>
    <w:tbl>
      <w:tblPr>
        <w:tblpPr w:leftFromText="180" w:rightFromText="180" w:topFromText="120" w:bottomFromText="120" w:vertAnchor="text" w:tblpY="1"/>
        <w:tblOverlap w:val="never"/>
        <w:tblW w:w="9214" w:type="dxa"/>
        <w:tblLayout w:type="fixed"/>
        <w:tblLook w:val="04A0" w:firstRow="1" w:lastRow="0" w:firstColumn="1" w:lastColumn="0" w:noHBand="0" w:noVBand="1"/>
        <w:tblCaption w:val="Table A–1 Agency resource statement 2018–19 (continued)"/>
        <w:tblDescription w:val="Table A–1 Agency resource statement 2018–19 (continued)"/>
      </w:tblPr>
      <w:tblGrid>
        <w:gridCol w:w="3576"/>
        <w:gridCol w:w="393"/>
        <w:gridCol w:w="1787"/>
        <w:gridCol w:w="1688"/>
        <w:gridCol w:w="1770"/>
      </w:tblGrid>
      <w:tr w:rsidR="00AB6753" w:rsidRPr="004A20FC" w14:paraId="33952526" w14:textId="77777777" w:rsidTr="002D1EA4">
        <w:trPr>
          <w:trHeight w:val="70"/>
          <w:tblHeader/>
        </w:trPr>
        <w:tc>
          <w:tcPr>
            <w:tcW w:w="3576" w:type="dxa"/>
            <w:shd w:val="clear" w:color="auto" w:fill="595959" w:themeFill="text1" w:themeFillTint="A6"/>
            <w:vAlign w:val="center"/>
          </w:tcPr>
          <w:p w14:paraId="44CEFA57" w14:textId="77777777" w:rsidR="00AB6753" w:rsidRPr="00743408" w:rsidRDefault="00AB6753" w:rsidP="002D1EA4">
            <w:pPr>
              <w:rPr>
                <w:b/>
                <w:color w:val="F2F2F2" w:themeColor="background1" w:themeShade="F2"/>
              </w:rPr>
            </w:pPr>
          </w:p>
        </w:tc>
        <w:tc>
          <w:tcPr>
            <w:tcW w:w="393" w:type="dxa"/>
            <w:shd w:val="clear" w:color="auto" w:fill="595959" w:themeFill="text1" w:themeFillTint="A6"/>
          </w:tcPr>
          <w:p w14:paraId="5366C5A1" w14:textId="77777777" w:rsidR="00AB6753" w:rsidRPr="00743408" w:rsidRDefault="00AB6753" w:rsidP="002D1EA4">
            <w:pPr>
              <w:rPr>
                <w:color w:val="F2F2F2" w:themeColor="background1" w:themeShade="F2"/>
              </w:rPr>
            </w:pPr>
          </w:p>
        </w:tc>
        <w:tc>
          <w:tcPr>
            <w:tcW w:w="1787" w:type="dxa"/>
            <w:shd w:val="clear" w:color="auto" w:fill="595959" w:themeFill="text1" w:themeFillTint="A6"/>
          </w:tcPr>
          <w:p w14:paraId="28B88C27" w14:textId="77777777" w:rsidR="00AB6753" w:rsidRPr="00743408" w:rsidRDefault="00AB6753" w:rsidP="002D1EA4">
            <w:pPr>
              <w:rPr>
                <w:color w:val="F2F2F2" w:themeColor="background1" w:themeShade="F2"/>
              </w:rPr>
            </w:pPr>
            <w:r w:rsidRPr="00743408">
              <w:rPr>
                <w:color w:val="F2F2F2" w:themeColor="background1" w:themeShade="F2"/>
              </w:rPr>
              <w:t>Actual available appropriation for 2019–20</w:t>
            </w:r>
          </w:p>
          <w:p w14:paraId="4AE585C4" w14:textId="77777777" w:rsidR="00AB6753" w:rsidRPr="00743408" w:rsidRDefault="00AB6753" w:rsidP="002D1EA4">
            <w:pPr>
              <w:rPr>
                <w:color w:val="F2F2F2" w:themeColor="background1" w:themeShade="F2"/>
              </w:rPr>
            </w:pPr>
            <w:r w:rsidRPr="00743408">
              <w:rPr>
                <w:color w:val="F2F2F2" w:themeColor="background1" w:themeShade="F2"/>
              </w:rPr>
              <w:t>$'000</w:t>
            </w:r>
          </w:p>
        </w:tc>
        <w:tc>
          <w:tcPr>
            <w:tcW w:w="1688" w:type="dxa"/>
            <w:shd w:val="clear" w:color="auto" w:fill="595959" w:themeFill="text1" w:themeFillTint="A6"/>
          </w:tcPr>
          <w:p w14:paraId="6249829F" w14:textId="77777777" w:rsidR="00AB6753" w:rsidRPr="00743408" w:rsidRDefault="00AB6753" w:rsidP="002D1EA4">
            <w:pPr>
              <w:rPr>
                <w:color w:val="F2F2F2" w:themeColor="background1" w:themeShade="F2"/>
              </w:rPr>
            </w:pPr>
            <w:r w:rsidRPr="00743408">
              <w:rPr>
                <w:color w:val="F2F2F2" w:themeColor="background1" w:themeShade="F2"/>
              </w:rPr>
              <w:t xml:space="preserve">Payments made </w:t>
            </w:r>
            <w:r w:rsidRPr="00743408">
              <w:rPr>
                <w:color w:val="F2F2F2" w:themeColor="background1" w:themeShade="F2"/>
              </w:rPr>
              <w:br/>
              <w:t>2019–20</w:t>
            </w:r>
          </w:p>
          <w:p w14:paraId="39250679" w14:textId="77777777" w:rsidR="00AB6753" w:rsidRPr="00743408" w:rsidRDefault="00AB6753" w:rsidP="002D1EA4">
            <w:pPr>
              <w:rPr>
                <w:color w:val="F2F2F2" w:themeColor="background1" w:themeShade="F2"/>
              </w:rPr>
            </w:pPr>
            <w:r w:rsidRPr="00743408">
              <w:rPr>
                <w:color w:val="F2F2F2" w:themeColor="background1" w:themeShade="F2"/>
              </w:rPr>
              <w:t>$'000</w:t>
            </w:r>
          </w:p>
        </w:tc>
        <w:tc>
          <w:tcPr>
            <w:tcW w:w="1770" w:type="dxa"/>
            <w:shd w:val="clear" w:color="auto" w:fill="595959" w:themeFill="text1" w:themeFillTint="A6"/>
          </w:tcPr>
          <w:p w14:paraId="5C761B55" w14:textId="77777777" w:rsidR="00AB6753" w:rsidRPr="00743408" w:rsidRDefault="00AB6753" w:rsidP="002D1EA4">
            <w:pPr>
              <w:rPr>
                <w:color w:val="F2F2F2" w:themeColor="background1" w:themeShade="F2"/>
              </w:rPr>
            </w:pPr>
            <w:r w:rsidRPr="00743408">
              <w:rPr>
                <w:color w:val="F2F2F2" w:themeColor="background1" w:themeShade="F2"/>
              </w:rPr>
              <w:t>Balance remaining</w:t>
            </w:r>
            <w:r w:rsidRPr="00743408">
              <w:rPr>
                <w:color w:val="F2F2F2" w:themeColor="background1" w:themeShade="F2"/>
              </w:rPr>
              <w:br/>
              <w:t>2019–20</w:t>
            </w:r>
          </w:p>
          <w:p w14:paraId="3A0381BE" w14:textId="77777777" w:rsidR="00AB6753" w:rsidRPr="00743408" w:rsidRDefault="00AB6753" w:rsidP="002D1EA4">
            <w:pPr>
              <w:rPr>
                <w:color w:val="F2F2F2" w:themeColor="background1" w:themeShade="F2"/>
              </w:rPr>
            </w:pPr>
            <w:r w:rsidRPr="00743408">
              <w:rPr>
                <w:color w:val="F2F2F2" w:themeColor="background1" w:themeShade="F2"/>
              </w:rPr>
              <w:t>$'000</w:t>
            </w:r>
          </w:p>
        </w:tc>
      </w:tr>
      <w:tr w:rsidR="00AB6753" w:rsidRPr="004A20FC" w14:paraId="2C1A8F26" w14:textId="77777777" w:rsidTr="002D1EA4">
        <w:trPr>
          <w:trHeight w:val="70"/>
          <w:tblHeader/>
        </w:trPr>
        <w:tc>
          <w:tcPr>
            <w:tcW w:w="3576" w:type="dxa"/>
            <w:shd w:val="clear" w:color="auto" w:fill="595959" w:themeFill="text1" w:themeFillTint="A6"/>
            <w:vAlign w:val="center"/>
          </w:tcPr>
          <w:p w14:paraId="7BBEF573" w14:textId="77777777" w:rsidR="00AB6753" w:rsidRPr="00743408" w:rsidRDefault="00AB6753" w:rsidP="002D1EA4">
            <w:pPr>
              <w:rPr>
                <w:b/>
                <w:color w:val="F2F2F2" w:themeColor="background1" w:themeShade="F2"/>
              </w:rPr>
            </w:pPr>
          </w:p>
        </w:tc>
        <w:tc>
          <w:tcPr>
            <w:tcW w:w="393" w:type="dxa"/>
            <w:shd w:val="clear" w:color="auto" w:fill="595959" w:themeFill="text1" w:themeFillTint="A6"/>
          </w:tcPr>
          <w:p w14:paraId="67DB2407" w14:textId="77777777" w:rsidR="00AB6753" w:rsidRPr="00743408" w:rsidRDefault="00AB6753" w:rsidP="002D1EA4">
            <w:pPr>
              <w:rPr>
                <w:color w:val="F2F2F2" w:themeColor="background1" w:themeShade="F2"/>
              </w:rPr>
            </w:pPr>
          </w:p>
        </w:tc>
        <w:tc>
          <w:tcPr>
            <w:tcW w:w="1787" w:type="dxa"/>
            <w:shd w:val="clear" w:color="auto" w:fill="595959" w:themeFill="text1" w:themeFillTint="A6"/>
          </w:tcPr>
          <w:p w14:paraId="5D020612" w14:textId="77777777" w:rsidR="00AB6753" w:rsidRPr="00743408" w:rsidRDefault="00AB6753" w:rsidP="002D1EA4">
            <w:pPr>
              <w:rPr>
                <w:color w:val="F2F2F2" w:themeColor="background1" w:themeShade="F2"/>
              </w:rPr>
            </w:pPr>
            <w:r w:rsidRPr="00743408">
              <w:rPr>
                <w:color w:val="F2F2F2" w:themeColor="background1" w:themeShade="F2"/>
              </w:rPr>
              <w:t>(a)</w:t>
            </w:r>
          </w:p>
        </w:tc>
        <w:tc>
          <w:tcPr>
            <w:tcW w:w="1688" w:type="dxa"/>
            <w:shd w:val="clear" w:color="auto" w:fill="595959" w:themeFill="text1" w:themeFillTint="A6"/>
          </w:tcPr>
          <w:p w14:paraId="31AFBF1A" w14:textId="77777777" w:rsidR="00AB6753" w:rsidRPr="00743408" w:rsidRDefault="00AB6753" w:rsidP="002D1EA4">
            <w:pPr>
              <w:rPr>
                <w:color w:val="F2F2F2" w:themeColor="background1" w:themeShade="F2"/>
              </w:rPr>
            </w:pPr>
            <w:r w:rsidRPr="00743408">
              <w:rPr>
                <w:color w:val="F2F2F2" w:themeColor="background1" w:themeShade="F2"/>
              </w:rPr>
              <w:t>(b)</w:t>
            </w:r>
          </w:p>
        </w:tc>
        <w:tc>
          <w:tcPr>
            <w:tcW w:w="1770" w:type="dxa"/>
            <w:shd w:val="clear" w:color="auto" w:fill="595959" w:themeFill="text1" w:themeFillTint="A6"/>
          </w:tcPr>
          <w:p w14:paraId="3E4304C3" w14:textId="77777777" w:rsidR="00AB6753" w:rsidRPr="00743408" w:rsidRDefault="00AB6753" w:rsidP="002D1EA4">
            <w:pPr>
              <w:rPr>
                <w:color w:val="F2F2F2" w:themeColor="background1" w:themeShade="F2"/>
              </w:rPr>
            </w:pPr>
            <w:r w:rsidRPr="00743408">
              <w:rPr>
                <w:color w:val="F2F2F2" w:themeColor="background1" w:themeShade="F2"/>
              </w:rPr>
              <w:t>(a)-(b)</w:t>
            </w:r>
          </w:p>
        </w:tc>
      </w:tr>
      <w:tr w:rsidR="00AB6753" w:rsidRPr="004A20FC" w14:paraId="7C6660B0" w14:textId="77777777" w:rsidTr="002D1EA4">
        <w:trPr>
          <w:trHeight w:val="70"/>
          <w:tblHeader/>
        </w:trPr>
        <w:tc>
          <w:tcPr>
            <w:tcW w:w="3576" w:type="dxa"/>
            <w:shd w:val="clear" w:color="auto" w:fill="FFFFFF" w:themeFill="background1"/>
            <w:vAlign w:val="center"/>
            <w:hideMark/>
          </w:tcPr>
          <w:p w14:paraId="11F26446" w14:textId="77777777" w:rsidR="00AB6753" w:rsidRPr="00AE5924" w:rsidRDefault="00AB6753" w:rsidP="002D1EA4">
            <w:pPr>
              <w:rPr>
                <w:b/>
              </w:rPr>
            </w:pPr>
            <w:r w:rsidRPr="00AE5924">
              <w:rPr>
                <w:b/>
              </w:rPr>
              <w:t>Special Accounts</w:t>
            </w:r>
          </w:p>
        </w:tc>
        <w:tc>
          <w:tcPr>
            <w:tcW w:w="393" w:type="dxa"/>
            <w:shd w:val="clear" w:color="auto" w:fill="FFFFFF" w:themeFill="background1"/>
          </w:tcPr>
          <w:p w14:paraId="1AFD7F23" w14:textId="77777777" w:rsidR="00AB6753" w:rsidRPr="004A20FC" w:rsidRDefault="00AB6753" w:rsidP="002D1EA4"/>
        </w:tc>
        <w:tc>
          <w:tcPr>
            <w:tcW w:w="1787" w:type="dxa"/>
            <w:shd w:val="clear" w:color="auto" w:fill="FFFFFF" w:themeFill="background1"/>
          </w:tcPr>
          <w:p w14:paraId="0A0333EA" w14:textId="77777777" w:rsidR="00AB6753" w:rsidRPr="004A20FC" w:rsidRDefault="00AB6753" w:rsidP="002D1EA4"/>
        </w:tc>
        <w:tc>
          <w:tcPr>
            <w:tcW w:w="1688" w:type="dxa"/>
            <w:shd w:val="clear" w:color="auto" w:fill="FFFFFF" w:themeFill="background1"/>
          </w:tcPr>
          <w:p w14:paraId="37EB5573" w14:textId="77777777" w:rsidR="00AB6753" w:rsidRPr="004A20FC" w:rsidRDefault="00AB6753" w:rsidP="002D1EA4"/>
        </w:tc>
        <w:tc>
          <w:tcPr>
            <w:tcW w:w="1770" w:type="dxa"/>
            <w:shd w:val="clear" w:color="auto" w:fill="FFFFFF" w:themeFill="background1"/>
          </w:tcPr>
          <w:p w14:paraId="5A39F484" w14:textId="77777777" w:rsidR="00AB6753" w:rsidRPr="004A20FC" w:rsidRDefault="00AB6753" w:rsidP="002D1EA4"/>
        </w:tc>
      </w:tr>
      <w:tr w:rsidR="00AB6753" w:rsidRPr="004A20FC" w14:paraId="15026818" w14:textId="77777777" w:rsidTr="002D1EA4">
        <w:trPr>
          <w:trHeight w:val="321"/>
        </w:trPr>
        <w:tc>
          <w:tcPr>
            <w:tcW w:w="3576" w:type="dxa"/>
            <w:tcBorders>
              <w:top w:val="nil"/>
              <w:left w:val="nil"/>
              <w:bottom w:val="single" w:sz="4" w:space="0" w:color="FFFFFF" w:themeColor="background1"/>
              <w:right w:val="nil"/>
            </w:tcBorders>
            <w:shd w:val="clear" w:color="auto" w:fill="EAEAEA"/>
            <w:hideMark/>
          </w:tcPr>
          <w:p w14:paraId="7E983FFD" w14:textId="77777777" w:rsidR="00AB6753" w:rsidRPr="004A20FC" w:rsidRDefault="00AB6753" w:rsidP="002D1EA4">
            <w:r w:rsidRPr="004A20FC">
              <w:t>Opening balance</w:t>
            </w:r>
          </w:p>
        </w:tc>
        <w:tc>
          <w:tcPr>
            <w:tcW w:w="393" w:type="dxa"/>
            <w:tcBorders>
              <w:top w:val="nil"/>
              <w:left w:val="nil"/>
              <w:bottom w:val="single" w:sz="4" w:space="0" w:color="FFFFFF" w:themeColor="background1"/>
              <w:right w:val="nil"/>
            </w:tcBorders>
            <w:shd w:val="clear" w:color="auto" w:fill="EAEAEA"/>
          </w:tcPr>
          <w:p w14:paraId="31DBB716" w14:textId="77777777" w:rsidR="00AB6753" w:rsidRPr="004A20FC" w:rsidRDefault="00AB6753" w:rsidP="002D1EA4"/>
        </w:tc>
        <w:tc>
          <w:tcPr>
            <w:tcW w:w="1787" w:type="dxa"/>
            <w:tcBorders>
              <w:top w:val="nil"/>
              <w:left w:val="nil"/>
              <w:bottom w:val="single" w:sz="4" w:space="0" w:color="FFFFFF" w:themeColor="background1"/>
              <w:right w:val="nil"/>
            </w:tcBorders>
            <w:shd w:val="clear" w:color="auto" w:fill="EAEAEA"/>
          </w:tcPr>
          <w:p w14:paraId="550B894E" w14:textId="77777777" w:rsidR="00AB6753" w:rsidRPr="004A20FC" w:rsidRDefault="00AB6753" w:rsidP="002D1EA4">
            <w:r>
              <w:t>402,363</w:t>
            </w:r>
          </w:p>
        </w:tc>
        <w:tc>
          <w:tcPr>
            <w:tcW w:w="1688" w:type="dxa"/>
            <w:tcBorders>
              <w:top w:val="nil"/>
              <w:left w:val="nil"/>
              <w:bottom w:val="single" w:sz="4" w:space="0" w:color="FFFFFF" w:themeColor="background1"/>
              <w:right w:val="nil"/>
            </w:tcBorders>
            <w:shd w:val="clear" w:color="auto" w:fill="EAEAEA"/>
          </w:tcPr>
          <w:p w14:paraId="369F45A9" w14:textId="77777777" w:rsidR="00AB6753" w:rsidRPr="004A20FC" w:rsidRDefault="00AB6753" w:rsidP="002D1EA4"/>
        </w:tc>
        <w:tc>
          <w:tcPr>
            <w:tcW w:w="1770" w:type="dxa"/>
            <w:tcBorders>
              <w:top w:val="nil"/>
              <w:left w:val="nil"/>
              <w:bottom w:val="single" w:sz="4" w:space="0" w:color="FFFFFF" w:themeColor="background1"/>
              <w:right w:val="nil"/>
            </w:tcBorders>
            <w:shd w:val="clear" w:color="auto" w:fill="EAEAEA"/>
          </w:tcPr>
          <w:p w14:paraId="17403372" w14:textId="77777777" w:rsidR="00AB6753" w:rsidRPr="004A20FC" w:rsidRDefault="00AB6753" w:rsidP="002D1EA4"/>
        </w:tc>
      </w:tr>
      <w:tr w:rsidR="00AB6753" w:rsidRPr="004A20FC" w14:paraId="16988767" w14:textId="77777777" w:rsidTr="002D1EA4">
        <w:trPr>
          <w:trHeight w:val="321"/>
        </w:trPr>
        <w:tc>
          <w:tcPr>
            <w:tcW w:w="3576" w:type="dxa"/>
            <w:tcBorders>
              <w:top w:val="single" w:sz="4" w:space="0" w:color="FFFFFF" w:themeColor="background1"/>
              <w:left w:val="nil"/>
              <w:bottom w:val="single" w:sz="4" w:space="0" w:color="FFFFFF" w:themeColor="background1"/>
              <w:right w:val="nil"/>
            </w:tcBorders>
            <w:hideMark/>
          </w:tcPr>
          <w:p w14:paraId="186025BB" w14:textId="77777777" w:rsidR="00AB6753" w:rsidRPr="004A20FC" w:rsidRDefault="00AB6753" w:rsidP="002D1EA4">
            <w:r w:rsidRPr="004A20FC">
              <w:t>Appropriation receipts</w:t>
            </w:r>
            <w:r w:rsidRPr="00AE5924">
              <w:rPr>
                <w:vertAlign w:val="superscript"/>
              </w:rPr>
              <w:t>6</w:t>
            </w:r>
          </w:p>
        </w:tc>
        <w:tc>
          <w:tcPr>
            <w:tcW w:w="393" w:type="dxa"/>
            <w:tcBorders>
              <w:top w:val="single" w:sz="4" w:space="0" w:color="FFFFFF" w:themeColor="background1"/>
              <w:left w:val="nil"/>
              <w:bottom w:val="single" w:sz="4" w:space="0" w:color="FFFFFF" w:themeColor="background1"/>
              <w:right w:val="nil"/>
            </w:tcBorders>
          </w:tcPr>
          <w:p w14:paraId="3B943593" w14:textId="77777777" w:rsidR="00AB6753" w:rsidRPr="004A20FC" w:rsidRDefault="00AB6753" w:rsidP="002D1EA4"/>
        </w:tc>
        <w:tc>
          <w:tcPr>
            <w:tcW w:w="1787" w:type="dxa"/>
            <w:tcBorders>
              <w:top w:val="single" w:sz="4" w:space="0" w:color="FFFFFF" w:themeColor="background1"/>
              <w:left w:val="nil"/>
              <w:bottom w:val="single" w:sz="4" w:space="0" w:color="FFFFFF" w:themeColor="background1"/>
              <w:right w:val="nil"/>
            </w:tcBorders>
          </w:tcPr>
          <w:p w14:paraId="3FD81C8C" w14:textId="77777777" w:rsidR="00AB6753" w:rsidRPr="004A20FC" w:rsidRDefault="00AB6753" w:rsidP="002D1EA4">
            <w:r>
              <w:t>513,890</w:t>
            </w:r>
          </w:p>
        </w:tc>
        <w:tc>
          <w:tcPr>
            <w:tcW w:w="1688" w:type="dxa"/>
            <w:tcBorders>
              <w:top w:val="single" w:sz="4" w:space="0" w:color="FFFFFF" w:themeColor="background1"/>
              <w:left w:val="nil"/>
              <w:bottom w:val="single" w:sz="4" w:space="0" w:color="FFFFFF" w:themeColor="background1"/>
              <w:right w:val="nil"/>
            </w:tcBorders>
          </w:tcPr>
          <w:p w14:paraId="60CC0006" w14:textId="77777777" w:rsidR="00AB6753" w:rsidRPr="004A20FC" w:rsidRDefault="00AB6753" w:rsidP="002D1EA4"/>
        </w:tc>
        <w:tc>
          <w:tcPr>
            <w:tcW w:w="1770" w:type="dxa"/>
            <w:tcBorders>
              <w:top w:val="single" w:sz="4" w:space="0" w:color="FFFFFF" w:themeColor="background1"/>
              <w:left w:val="nil"/>
              <w:bottom w:val="single" w:sz="4" w:space="0" w:color="FFFFFF" w:themeColor="background1"/>
              <w:right w:val="nil"/>
            </w:tcBorders>
          </w:tcPr>
          <w:p w14:paraId="0D29C5DE" w14:textId="77777777" w:rsidR="00AB6753" w:rsidRPr="004A20FC" w:rsidRDefault="00AB6753" w:rsidP="002D1EA4"/>
        </w:tc>
      </w:tr>
      <w:tr w:rsidR="00AB6753" w:rsidRPr="004A20FC" w14:paraId="057DC93A" w14:textId="77777777" w:rsidTr="002D1EA4">
        <w:trPr>
          <w:trHeight w:val="321"/>
        </w:trPr>
        <w:tc>
          <w:tcPr>
            <w:tcW w:w="3576" w:type="dxa"/>
            <w:tcBorders>
              <w:top w:val="single" w:sz="4" w:space="0" w:color="FFFFFF" w:themeColor="background1"/>
              <w:left w:val="nil"/>
              <w:bottom w:val="single" w:sz="4" w:space="0" w:color="FFFFFF" w:themeColor="background1"/>
              <w:right w:val="nil"/>
            </w:tcBorders>
            <w:shd w:val="clear" w:color="auto" w:fill="EAEAEA"/>
            <w:hideMark/>
          </w:tcPr>
          <w:p w14:paraId="748F4545" w14:textId="77777777" w:rsidR="00AB6753" w:rsidRPr="004A20FC" w:rsidRDefault="00AB6753" w:rsidP="002D1EA4">
            <w:r w:rsidRPr="004A20FC">
              <w:t>Non-appropriation receipts to Special Accounts</w:t>
            </w:r>
          </w:p>
        </w:tc>
        <w:tc>
          <w:tcPr>
            <w:tcW w:w="393" w:type="dxa"/>
            <w:tcBorders>
              <w:top w:val="single" w:sz="4" w:space="0" w:color="FFFFFF" w:themeColor="background1"/>
              <w:left w:val="nil"/>
              <w:bottom w:val="single" w:sz="4" w:space="0" w:color="FFFFFF" w:themeColor="background1"/>
              <w:right w:val="nil"/>
            </w:tcBorders>
            <w:shd w:val="clear" w:color="auto" w:fill="EAEAEA"/>
          </w:tcPr>
          <w:p w14:paraId="37615384" w14:textId="77777777" w:rsidR="00AB6753" w:rsidRPr="004A20FC" w:rsidRDefault="00AB6753" w:rsidP="002D1EA4"/>
        </w:tc>
        <w:tc>
          <w:tcPr>
            <w:tcW w:w="1787" w:type="dxa"/>
            <w:tcBorders>
              <w:top w:val="single" w:sz="4" w:space="0" w:color="FFFFFF" w:themeColor="background1"/>
              <w:left w:val="nil"/>
              <w:bottom w:val="single" w:sz="4" w:space="0" w:color="FFFFFF" w:themeColor="background1"/>
              <w:right w:val="nil"/>
            </w:tcBorders>
            <w:shd w:val="clear" w:color="auto" w:fill="EAEAEA"/>
          </w:tcPr>
          <w:p w14:paraId="2BCDB4B7" w14:textId="77777777" w:rsidR="00AB6753" w:rsidRPr="004A20FC" w:rsidRDefault="00AB6753" w:rsidP="002D1EA4">
            <w:r>
              <w:t>7,704</w:t>
            </w:r>
          </w:p>
        </w:tc>
        <w:tc>
          <w:tcPr>
            <w:tcW w:w="1688" w:type="dxa"/>
            <w:tcBorders>
              <w:top w:val="single" w:sz="4" w:space="0" w:color="FFFFFF" w:themeColor="background1"/>
              <w:left w:val="nil"/>
              <w:bottom w:val="single" w:sz="4" w:space="0" w:color="FFFFFF" w:themeColor="background1"/>
              <w:right w:val="nil"/>
            </w:tcBorders>
            <w:shd w:val="clear" w:color="auto" w:fill="EAEAEA"/>
          </w:tcPr>
          <w:p w14:paraId="0D9A8815" w14:textId="77777777" w:rsidR="00AB6753" w:rsidRPr="004A20FC" w:rsidRDefault="00AB6753" w:rsidP="002D1EA4"/>
        </w:tc>
        <w:tc>
          <w:tcPr>
            <w:tcW w:w="1770" w:type="dxa"/>
            <w:tcBorders>
              <w:top w:val="single" w:sz="4" w:space="0" w:color="FFFFFF" w:themeColor="background1"/>
              <w:left w:val="nil"/>
              <w:bottom w:val="single" w:sz="4" w:space="0" w:color="FFFFFF" w:themeColor="background1"/>
              <w:right w:val="nil"/>
            </w:tcBorders>
            <w:shd w:val="clear" w:color="auto" w:fill="EAEAEA"/>
          </w:tcPr>
          <w:p w14:paraId="7C63388F" w14:textId="77777777" w:rsidR="00AB6753" w:rsidRPr="004A20FC" w:rsidRDefault="00AB6753" w:rsidP="002D1EA4"/>
        </w:tc>
      </w:tr>
      <w:tr w:rsidR="00AB6753" w:rsidRPr="004A20FC" w14:paraId="22B0D864" w14:textId="77777777" w:rsidTr="002D1EA4">
        <w:trPr>
          <w:trHeight w:val="321"/>
        </w:trPr>
        <w:tc>
          <w:tcPr>
            <w:tcW w:w="3576" w:type="dxa"/>
            <w:tcBorders>
              <w:top w:val="single" w:sz="4" w:space="0" w:color="FFFFFF" w:themeColor="background1"/>
              <w:left w:val="nil"/>
              <w:bottom w:val="single" w:sz="4" w:space="0" w:color="FFFFFF" w:themeColor="background1"/>
              <w:right w:val="nil"/>
            </w:tcBorders>
            <w:shd w:val="clear" w:color="auto" w:fill="F2F2F2" w:themeFill="background1" w:themeFillShade="F2"/>
            <w:hideMark/>
          </w:tcPr>
          <w:p w14:paraId="459D728A" w14:textId="77777777" w:rsidR="00AB6753" w:rsidRPr="004A20FC" w:rsidRDefault="00AB6753" w:rsidP="002D1EA4">
            <w:r w:rsidRPr="004A20FC">
              <w:t>Payments made</w:t>
            </w:r>
          </w:p>
        </w:tc>
        <w:tc>
          <w:tcPr>
            <w:tcW w:w="393"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43FE203" w14:textId="77777777" w:rsidR="00AB6753" w:rsidRPr="004A20FC" w:rsidRDefault="00AB6753" w:rsidP="002D1EA4"/>
        </w:tc>
        <w:tc>
          <w:tcPr>
            <w:tcW w:w="1787"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61CE6AAC" w14:textId="77777777" w:rsidR="00AB6753" w:rsidRPr="004A20FC" w:rsidRDefault="00AB6753" w:rsidP="002D1EA4"/>
        </w:tc>
        <w:tc>
          <w:tcPr>
            <w:tcW w:w="1688"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6DF43AB" w14:textId="77777777" w:rsidR="00AB6753" w:rsidRPr="004A20FC" w:rsidRDefault="00AB6753" w:rsidP="002D1EA4">
            <w:pPr>
              <w:rPr>
                <w:highlight w:val="green"/>
              </w:rPr>
            </w:pPr>
            <w:r w:rsidRPr="00684D65">
              <w:t>416,802</w:t>
            </w:r>
          </w:p>
        </w:tc>
        <w:tc>
          <w:tcPr>
            <w:tcW w:w="1770"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7E33C245" w14:textId="77777777" w:rsidR="00AB6753" w:rsidRPr="004A20FC" w:rsidRDefault="00AB6753" w:rsidP="002D1EA4"/>
        </w:tc>
      </w:tr>
      <w:tr w:rsidR="00AB6753" w:rsidRPr="004A20FC" w14:paraId="3216BC9E" w14:textId="77777777" w:rsidTr="002D1EA4">
        <w:trPr>
          <w:trHeight w:val="321"/>
        </w:trPr>
        <w:tc>
          <w:tcPr>
            <w:tcW w:w="3576" w:type="dxa"/>
            <w:tcBorders>
              <w:top w:val="single" w:sz="4" w:space="0" w:color="FFFFFF" w:themeColor="background1"/>
              <w:left w:val="nil"/>
              <w:bottom w:val="single" w:sz="4" w:space="0" w:color="FFFFFF" w:themeColor="background1"/>
              <w:right w:val="nil"/>
            </w:tcBorders>
            <w:shd w:val="clear" w:color="auto" w:fill="F8F8F8"/>
            <w:hideMark/>
          </w:tcPr>
          <w:p w14:paraId="756A2999" w14:textId="77777777" w:rsidR="00AB6753" w:rsidRPr="00743408" w:rsidRDefault="00AB6753" w:rsidP="002D1EA4">
            <w:pPr>
              <w:rPr>
                <w:b/>
              </w:rPr>
            </w:pPr>
            <w:r w:rsidRPr="00743408">
              <w:rPr>
                <w:b/>
              </w:rPr>
              <w:t>Total special accounts</w:t>
            </w:r>
          </w:p>
        </w:tc>
        <w:tc>
          <w:tcPr>
            <w:tcW w:w="393" w:type="dxa"/>
            <w:tcBorders>
              <w:top w:val="single" w:sz="4" w:space="0" w:color="FFFFFF" w:themeColor="background1"/>
              <w:left w:val="nil"/>
              <w:bottom w:val="single" w:sz="4" w:space="0" w:color="FFFFFF" w:themeColor="background1"/>
              <w:right w:val="nil"/>
            </w:tcBorders>
            <w:shd w:val="clear" w:color="auto" w:fill="F8F8F8"/>
            <w:hideMark/>
          </w:tcPr>
          <w:p w14:paraId="04CAD868" w14:textId="77777777" w:rsidR="00AB6753" w:rsidRPr="00AB5C94" w:rsidRDefault="00AB6753" w:rsidP="002D1EA4">
            <w:pPr>
              <w:rPr>
                <w:b/>
              </w:rPr>
            </w:pPr>
            <w:r w:rsidRPr="00AB5C94">
              <w:rPr>
                <w:b/>
              </w:rPr>
              <w:t>D</w:t>
            </w:r>
          </w:p>
        </w:tc>
        <w:tc>
          <w:tcPr>
            <w:tcW w:w="1787" w:type="dxa"/>
            <w:tcBorders>
              <w:top w:val="single" w:sz="4" w:space="0" w:color="FFFFFF" w:themeColor="background1"/>
              <w:left w:val="nil"/>
              <w:bottom w:val="single" w:sz="4" w:space="0" w:color="FFFFFF" w:themeColor="background1"/>
              <w:right w:val="nil"/>
            </w:tcBorders>
            <w:shd w:val="clear" w:color="auto" w:fill="F8F8F8"/>
          </w:tcPr>
          <w:p w14:paraId="74DCD124" w14:textId="77777777" w:rsidR="00AB6753" w:rsidRPr="00F00242" w:rsidRDefault="00AB6753" w:rsidP="002D1EA4">
            <w:pPr>
              <w:rPr>
                <w:b/>
              </w:rPr>
            </w:pPr>
            <w:r>
              <w:rPr>
                <w:b/>
              </w:rPr>
              <w:t>923,957</w:t>
            </w:r>
          </w:p>
        </w:tc>
        <w:tc>
          <w:tcPr>
            <w:tcW w:w="1688" w:type="dxa"/>
            <w:tcBorders>
              <w:top w:val="single" w:sz="4" w:space="0" w:color="FFFFFF" w:themeColor="background1"/>
              <w:left w:val="nil"/>
              <w:bottom w:val="single" w:sz="4" w:space="0" w:color="FFFFFF" w:themeColor="background1"/>
              <w:right w:val="nil"/>
            </w:tcBorders>
            <w:shd w:val="clear" w:color="auto" w:fill="F8F8F8"/>
          </w:tcPr>
          <w:p w14:paraId="5650373B" w14:textId="77777777" w:rsidR="00AB6753" w:rsidRPr="00F00242" w:rsidRDefault="00AB6753" w:rsidP="002D1EA4">
            <w:pPr>
              <w:rPr>
                <w:b/>
                <w:highlight w:val="green"/>
              </w:rPr>
            </w:pPr>
            <w:r w:rsidRPr="00684D65">
              <w:rPr>
                <w:b/>
              </w:rPr>
              <w:t>416,802</w:t>
            </w:r>
          </w:p>
        </w:tc>
        <w:tc>
          <w:tcPr>
            <w:tcW w:w="1770" w:type="dxa"/>
            <w:tcBorders>
              <w:top w:val="single" w:sz="4" w:space="0" w:color="FFFFFF" w:themeColor="background1"/>
              <w:left w:val="nil"/>
              <w:bottom w:val="single" w:sz="4" w:space="0" w:color="FFFFFF" w:themeColor="background1"/>
              <w:right w:val="nil"/>
            </w:tcBorders>
            <w:shd w:val="clear" w:color="auto" w:fill="F8F8F8"/>
          </w:tcPr>
          <w:p w14:paraId="5E63B4AA" w14:textId="77777777" w:rsidR="00AB6753" w:rsidRPr="00F00242" w:rsidRDefault="00AB6753" w:rsidP="002D1EA4">
            <w:pPr>
              <w:rPr>
                <w:b/>
              </w:rPr>
            </w:pPr>
            <w:r>
              <w:rPr>
                <w:b/>
              </w:rPr>
              <w:t>507,155</w:t>
            </w:r>
          </w:p>
        </w:tc>
      </w:tr>
      <w:tr w:rsidR="00AB6753" w:rsidRPr="004A20FC" w14:paraId="0A28505B" w14:textId="77777777" w:rsidTr="002D1EA4">
        <w:trPr>
          <w:trHeight w:val="321"/>
        </w:trPr>
        <w:tc>
          <w:tcPr>
            <w:tcW w:w="3576" w:type="dxa"/>
            <w:tcBorders>
              <w:top w:val="single" w:sz="4" w:space="0" w:color="FFFFFF" w:themeColor="background1"/>
              <w:left w:val="nil"/>
              <w:bottom w:val="single" w:sz="4" w:space="0" w:color="FFFFFF" w:themeColor="background1"/>
              <w:right w:val="nil"/>
            </w:tcBorders>
            <w:shd w:val="clear" w:color="auto" w:fill="EAEAEA"/>
            <w:hideMark/>
          </w:tcPr>
          <w:p w14:paraId="2D4ED197" w14:textId="77777777" w:rsidR="00AB6753" w:rsidRPr="00743408" w:rsidRDefault="00AB6753" w:rsidP="002D1EA4">
            <w:pPr>
              <w:rPr>
                <w:b/>
              </w:rPr>
            </w:pPr>
            <w:r w:rsidRPr="00743408">
              <w:rPr>
                <w:b/>
              </w:rPr>
              <w:t>Total resourcing and payments A+B+C+D</w:t>
            </w:r>
          </w:p>
        </w:tc>
        <w:tc>
          <w:tcPr>
            <w:tcW w:w="393" w:type="dxa"/>
            <w:tcBorders>
              <w:top w:val="single" w:sz="4" w:space="0" w:color="FFFFFF" w:themeColor="background1"/>
              <w:left w:val="nil"/>
              <w:bottom w:val="single" w:sz="4" w:space="0" w:color="FFFFFF" w:themeColor="background1"/>
              <w:right w:val="nil"/>
            </w:tcBorders>
            <w:shd w:val="clear" w:color="auto" w:fill="EAEAEA"/>
          </w:tcPr>
          <w:p w14:paraId="43CB5FAD" w14:textId="77777777" w:rsidR="00AB6753" w:rsidRPr="005B07BA" w:rsidRDefault="00AB6753" w:rsidP="002D1EA4"/>
        </w:tc>
        <w:tc>
          <w:tcPr>
            <w:tcW w:w="1787" w:type="dxa"/>
            <w:tcBorders>
              <w:top w:val="single" w:sz="4" w:space="0" w:color="FFFFFF" w:themeColor="background1"/>
              <w:left w:val="nil"/>
              <w:bottom w:val="single" w:sz="4" w:space="0" w:color="FFFFFF" w:themeColor="background1"/>
              <w:right w:val="nil"/>
            </w:tcBorders>
            <w:shd w:val="clear" w:color="auto" w:fill="EAEAEA"/>
          </w:tcPr>
          <w:p w14:paraId="6C22572C" w14:textId="77777777" w:rsidR="00AB6753" w:rsidRPr="005B07BA" w:rsidRDefault="00AB6753" w:rsidP="002D1EA4">
            <w:pPr>
              <w:rPr>
                <w:b/>
              </w:rPr>
            </w:pPr>
            <w:r>
              <w:rPr>
                <w:b/>
              </w:rPr>
              <w:t>15,574,304</w:t>
            </w:r>
          </w:p>
        </w:tc>
        <w:tc>
          <w:tcPr>
            <w:tcW w:w="1688" w:type="dxa"/>
            <w:tcBorders>
              <w:top w:val="single" w:sz="4" w:space="0" w:color="FFFFFF" w:themeColor="background1"/>
              <w:left w:val="nil"/>
              <w:bottom w:val="single" w:sz="4" w:space="0" w:color="FFFFFF" w:themeColor="background1"/>
              <w:right w:val="nil"/>
            </w:tcBorders>
            <w:shd w:val="clear" w:color="auto" w:fill="EAEAEA"/>
          </w:tcPr>
          <w:p w14:paraId="7C771F54" w14:textId="77777777" w:rsidR="00AB6753" w:rsidRPr="00F00242" w:rsidRDefault="00AB6753" w:rsidP="002D1EA4">
            <w:pPr>
              <w:rPr>
                <w:b/>
              </w:rPr>
            </w:pPr>
            <w:r w:rsidRPr="005B07BA">
              <w:rPr>
                <w:b/>
              </w:rPr>
              <w:t>139,174,636</w:t>
            </w:r>
          </w:p>
        </w:tc>
        <w:tc>
          <w:tcPr>
            <w:tcW w:w="1770" w:type="dxa"/>
            <w:tcBorders>
              <w:top w:val="single" w:sz="4" w:space="0" w:color="FFFFFF" w:themeColor="background1"/>
              <w:left w:val="nil"/>
              <w:bottom w:val="single" w:sz="4" w:space="0" w:color="FFFFFF" w:themeColor="background1"/>
              <w:right w:val="nil"/>
            </w:tcBorders>
            <w:shd w:val="clear" w:color="auto" w:fill="EAEAEA"/>
          </w:tcPr>
          <w:p w14:paraId="00F9CC89" w14:textId="77777777" w:rsidR="00AB6753" w:rsidRPr="00F00242" w:rsidRDefault="00AB6753" w:rsidP="002D1EA4">
            <w:pPr>
              <w:rPr>
                <w:b/>
              </w:rPr>
            </w:pPr>
          </w:p>
        </w:tc>
      </w:tr>
      <w:tr w:rsidR="00AB6753" w:rsidRPr="004A20FC" w14:paraId="7803FA6D" w14:textId="77777777" w:rsidTr="002D1EA4">
        <w:trPr>
          <w:trHeight w:val="321"/>
        </w:trPr>
        <w:tc>
          <w:tcPr>
            <w:tcW w:w="3576" w:type="dxa"/>
            <w:tcBorders>
              <w:top w:val="single" w:sz="4" w:space="0" w:color="FFFFFF" w:themeColor="background1"/>
              <w:left w:val="nil"/>
              <w:bottom w:val="single" w:sz="4" w:space="0" w:color="FFFFFF" w:themeColor="background1"/>
              <w:right w:val="nil"/>
            </w:tcBorders>
            <w:shd w:val="clear" w:color="auto" w:fill="F8F8F8"/>
            <w:hideMark/>
          </w:tcPr>
          <w:p w14:paraId="479F6975" w14:textId="77777777" w:rsidR="00AB6753" w:rsidRPr="004A20FC" w:rsidRDefault="00AB6753" w:rsidP="002D1EA4">
            <w:r w:rsidRPr="004A20FC">
              <w:t>Less appropriations drawn from annual or special appropriations above and credited to special accounts and/or corporate Commonwealth entities through annual appropriations</w:t>
            </w:r>
          </w:p>
        </w:tc>
        <w:tc>
          <w:tcPr>
            <w:tcW w:w="393" w:type="dxa"/>
            <w:tcBorders>
              <w:top w:val="single" w:sz="4" w:space="0" w:color="FFFFFF" w:themeColor="background1"/>
              <w:left w:val="nil"/>
              <w:bottom w:val="single" w:sz="4" w:space="0" w:color="FFFFFF" w:themeColor="background1"/>
              <w:right w:val="nil"/>
            </w:tcBorders>
            <w:shd w:val="clear" w:color="auto" w:fill="F8F8F8"/>
          </w:tcPr>
          <w:p w14:paraId="499D8DE6" w14:textId="77777777" w:rsidR="00AB6753" w:rsidRPr="004A20FC" w:rsidRDefault="00AB6753" w:rsidP="002D1EA4"/>
        </w:tc>
        <w:tc>
          <w:tcPr>
            <w:tcW w:w="1787" w:type="dxa"/>
            <w:tcBorders>
              <w:top w:val="single" w:sz="4" w:space="0" w:color="FFFFFF" w:themeColor="background1"/>
              <w:left w:val="nil"/>
              <w:bottom w:val="single" w:sz="4" w:space="0" w:color="FFFFFF" w:themeColor="background1"/>
              <w:right w:val="nil"/>
            </w:tcBorders>
            <w:shd w:val="clear" w:color="auto" w:fill="F8F8F8"/>
          </w:tcPr>
          <w:p w14:paraId="3C59915D" w14:textId="77777777" w:rsidR="00AB6753" w:rsidRPr="004A20FC" w:rsidRDefault="00AB6753" w:rsidP="002D1EA4">
            <w:r>
              <w:t>8,388,897</w:t>
            </w:r>
          </w:p>
        </w:tc>
        <w:tc>
          <w:tcPr>
            <w:tcW w:w="1688" w:type="dxa"/>
            <w:tcBorders>
              <w:top w:val="single" w:sz="4" w:space="0" w:color="FFFFFF" w:themeColor="background1"/>
              <w:left w:val="nil"/>
              <w:bottom w:val="single" w:sz="4" w:space="0" w:color="FFFFFF" w:themeColor="background1"/>
              <w:right w:val="nil"/>
            </w:tcBorders>
            <w:shd w:val="clear" w:color="auto" w:fill="F8F8F8"/>
          </w:tcPr>
          <w:p w14:paraId="532A6A56" w14:textId="77777777" w:rsidR="00AB6753" w:rsidRPr="004A20FC" w:rsidRDefault="00AB6753" w:rsidP="002D1EA4">
            <w:r>
              <w:t>8,388,897</w:t>
            </w:r>
          </w:p>
        </w:tc>
        <w:tc>
          <w:tcPr>
            <w:tcW w:w="1770" w:type="dxa"/>
            <w:tcBorders>
              <w:top w:val="single" w:sz="4" w:space="0" w:color="FFFFFF" w:themeColor="background1"/>
              <w:left w:val="nil"/>
              <w:bottom w:val="single" w:sz="4" w:space="0" w:color="FFFFFF" w:themeColor="background1"/>
              <w:right w:val="nil"/>
            </w:tcBorders>
            <w:shd w:val="clear" w:color="auto" w:fill="F8F8F8"/>
          </w:tcPr>
          <w:p w14:paraId="1D3E3F02" w14:textId="77777777" w:rsidR="00AB6753" w:rsidRPr="004A20FC" w:rsidRDefault="00AB6753" w:rsidP="002D1EA4"/>
        </w:tc>
      </w:tr>
      <w:tr w:rsidR="00AB6753" w:rsidRPr="004A20FC" w14:paraId="13AAF46C" w14:textId="77777777" w:rsidTr="002D1EA4">
        <w:trPr>
          <w:trHeight w:val="321"/>
        </w:trPr>
        <w:tc>
          <w:tcPr>
            <w:tcW w:w="3576" w:type="dxa"/>
            <w:tcBorders>
              <w:top w:val="single" w:sz="4" w:space="0" w:color="FFFFFF" w:themeColor="background1"/>
              <w:left w:val="nil"/>
              <w:bottom w:val="single" w:sz="4" w:space="0" w:color="FFFFFF" w:themeColor="background1"/>
              <w:right w:val="nil"/>
            </w:tcBorders>
            <w:shd w:val="clear" w:color="auto" w:fill="EAEAEA"/>
            <w:hideMark/>
          </w:tcPr>
          <w:p w14:paraId="4BAB2B79" w14:textId="77777777" w:rsidR="00AB6753" w:rsidRPr="004A20FC" w:rsidRDefault="00AB6753" w:rsidP="002D1EA4">
            <w:r w:rsidRPr="004A20FC">
              <w:t>Total net resourcing and payments for the department</w:t>
            </w:r>
            <w:r w:rsidRPr="006F7003">
              <w:rPr>
                <w:vertAlign w:val="superscript"/>
              </w:rPr>
              <w:t>7</w:t>
            </w:r>
          </w:p>
        </w:tc>
        <w:tc>
          <w:tcPr>
            <w:tcW w:w="393" w:type="dxa"/>
            <w:tcBorders>
              <w:top w:val="single" w:sz="4" w:space="0" w:color="FFFFFF" w:themeColor="background1"/>
              <w:left w:val="nil"/>
              <w:bottom w:val="single" w:sz="4" w:space="0" w:color="FFFFFF" w:themeColor="background1"/>
              <w:right w:val="nil"/>
            </w:tcBorders>
            <w:shd w:val="clear" w:color="auto" w:fill="EAEAEA"/>
          </w:tcPr>
          <w:p w14:paraId="00AF8ED0" w14:textId="77777777" w:rsidR="00AB6753" w:rsidRPr="004A20FC" w:rsidRDefault="00AB6753" w:rsidP="002D1EA4"/>
        </w:tc>
        <w:tc>
          <w:tcPr>
            <w:tcW w:w="1787" w:type="dxa"/>
            <w:tcBorders>
              <w:top w:val="single" w:sz="4" w:space="0" w:color="FFFFFF" w:themeColor="background1"/>
              <w:left w:val="nil"/>
              <w:bottom w:val="single" w:sz="4" w:space="0" w:color="FFFFFF" w:themeColor="background1"/>
              <w:right w:val="nil"/>
            </w:tcBorders>
            <w:shd w:val="clear" w:color="auto" w:fill="EAEAEA"/>
          </w:tcPr>
          <w:p w14:paraId="6A066A79" w14:textId="77777777" w:rsidR="00AB6753" w:rsidRPr="005B07BA" w:rsidRDefault="00AB6753" w:rsidP="002D1EA4">
            <w:pPr>
              <w:rPr>
                <w:b/>
              </w:rPr>
            </w:pPr>
            <w:r>
              <w:rPr>
                <w:b/>
              </w:rPr>
              <w:t>7</w:t>
            </w:r>
            <w:r w:rsidRPr="005B07BA">
              <w:rPr>
                <w:b/>
              </w:rPr>
              <w:t>,</w:t>
            </w:r>
            <w:r>
              <w:rPr>
                <w:b/>
              </w:rPr>
              <w:t>185</w:t>
            </w:r>
            <w:r w:rsidRPr="005B07BA">
              <w:rPr>
                <w:b/>
              </w:rPr>
              <w:t>,</w:t>
            </w:r>
            <w:r>
              <w:rPr>
                <w:b/>
              </w:rPr>
              <w:t>407</w:t>
            </w:r>
          </w:p>
        </w:tc>
        <w:tc>
          <w:tcPr>
            <w:tcW w:w="1688" w:type="dxa"/>
            <w:tcBorders>
              <w:top w:val="single" w:sz="4" w:space="0" w:color="FFFFFF" w:themeColor="background1"/>
              <w:left w:val="nil"/>
              <w:bottom w:val="single" w:sz="4" w:space="0" w:color="FFFFFF" w:themeColor="background1"/>
              <w:right w:val="nil"/>
            </w:tcBorders>
            <w:shd w:val="clear" w:color="auto" w:fill="EAEAEA"/>
          </w:tcPr>
          <w:p w14:paraId="132F848B" w14:textId="77777777" w:rsidR="00AB6753" w:rsidRPr="005B07BA" w:rsidRDefault="00AB6753" w:rsidP="002D1EA4">
            <w:pPr>
              <w:rPr>
                <w:b/>
              </w:rPr>
            </w:pPr>
            <w:r w:rsidRPr="005B07BA">
              <w:rPr>
                <w:b/>
              </w:rPr>
              <w:t>130,</w:t>
            </w:r>
            <w:r>
              <w:rPr>
                <w:b/>
              </w:rPr>
              <w:t>785</w:t>
            </w:r>
            <w:r w:rsidRPr="005B07BA">
              <w:rPr>
                <w:b/>
              </w:rPr>
              <w:t>,</w:t>
            </w:r>
            <w:r>
              <w:rPr>
                <w:b/>
              </w:rPr>
              <w:t>7</w:t>
            </w:r>
            <w:r w:rsidRPr="005B07BA">
              <w:rPr>
                <w:b/>
              </w:rPr>
              <w:t>39</w:t>
            </w:r>
          </w:p>
        </w:tc>
        <w:tc>
          <w:tcPr>
            <w:tcW w:w="1770" w:type="dxa"/>
            <w:tcBorders>
              <w:top w:val="single" w:sz="4" w:space="0" w:color="FFFFFF" w:themeColor="background1"/>
              <w:left w:val="nil"/>
              <w:bottom w:val="single" w:sz="4" w:space="0" w:color="FFFFFF" w:themeColor="background1"/>
              <w:right w:val="nil"/>
            </w:tcBorders>
            <w:shd w:val="clear" w:color="auto" w:fill="EAEAEA"/>
          </w:tcPr>
          <w:p w14:paraId="20FC8C9C" w14:textId="77777777" w:rsidR="00AB6753" w:rsidRPr="004A20FC" w:rsidRDefault="00AB6753" w:rsidP="002D1EA4"/>
        </w:tc>
      </w:tr>
      <w:tr w:rsidR="00AB6753" w:rsidRPr="004A20FC" w14:paraId="5C468EA6" w14:textId="77777777" w:rsidTr="002D1EA4">
        <w:trPr>
          <w:trHeight w:val="321"/>
        </w:trPr>
        <w:tc>
          <w:tcPr>
            <w:tcW w:w="3576" w:type="dxa"/>
            <w:tcBorders>
              <w:top w:val="single" w:sz="4" w:space="0" w:color="FFFFFF" w:themeColor="background1"/>
              <w:left w:val="nil"/>
              <w:bottom w:val="single" w:sz="4" w:space="0" w:color="FFFFFF" w:themeColor="background1"/>
              <w:right w:val="nil"/>
            </w:tcBorders>
            <w:shd w:val="clear" w:color="auto" w:fill="auto"/>
          </w:tcPr>
          <w:p w14:paraId="206F8C1B" w14:textId="77777777" w:rsidR="00AB6753" w:rsidRPr="004A20FC" w:rsidRDefault="00AB6753" w:rsidP="002D1EA4"/>
        </w:tc>
        <w:tc>
          <w:tcPr>
            <w:tcW w:w="393" w:type="dxa"/>
            <w:tcBorders>
              <w:top w:val="single" w:sz="4" w:space="0" w:color="FFFFFF" w:themeColor="background1"/>
              <w:left w:val="nil"/>
              <w:bottom w:val="single" w:sz="4" w:space="0" w:color="FFFFFF" w:themeColor="background1"/>
              <w:right w:val="nil"/>
            </w:tcBorders>
            <w:shd w:val="clear" w:color="auto" w:fill="auto"/>
          </w:tcPr>
          <w:p w14:paraId="725EBC7A" w14:textId="77777777" w:rsidR="00AB6753" w:rsidRPr="004A20FC" w:rsidRDefault="00AB6753" w:rsidP="002D1EA4"/>
        </w:tc>
        <w:tc>
          <w:tcPr>
            <w:tcW w:w="1787" w:type="dxa"/>
            <w:tcBorders>
              <w:top w:val="single" w:sz="4" w:space="0" w:color="FFFFFF" w:themeColor="background1"/>
              <w:left w:val="nil"/>
              <w:bottom w:val="single" w:sz="4" w:space="0" w:color="FFFFFF" w:themeColor="background1"/>
              <w:right w:val="nil"/>
            </w:tcBorders>
            <w:shd w:val="clear" w:color="auto" w:fill="auto"/>
          </w:tcPr>
          <w:p w14:paraId="377177E7" w14:textId="77777777" w:rsidR="00AB6753" w:rsidRPr="004A20FC" w:rsidRDefault="00AB6753" w:rsidP="002D1EA4"/>
        </w:tc>
        <w:tc>
          <w:tcPr>
            <w:tcW w:w="1688" w:type="dxa"/>
            <w:tcBorders>
              <w:top w:val="single" w:sz="4" w:space="0" w:color="FFFFFF" w:themeColor="background1"/>
              <w:left w:val="nil"/>
              <w:bottom w:val="single" w:sz="4" w:space="0" w:color="FFFFFF" w:themeColor="background1"/>
              <w:right w:val="nil"/>
            </w:tcBorders>
            <w:shd w:val="clear" w:color="auto" w:fill="auto"/>
          </w:tcPr>
          <w:p w14:paraId="17119BD5" w14:textId="77777777" w:rsidR="00AB6753" w:rsidRPr="004A20FC" w:rsidRDefault="00AB6753" w:rsidP="002D1EA4"/>
        </w:tc>
        <w:tc>
          <w:tcPr>
            <w:tcW w:w="1770" w:type="dxa"/>
            <w:tcBorders>
              <w:top w:val="single" w:sz="4" w:space="0" w:color="FFFFFF" w:themeColor="background1"/>
              <w:left w:val="nil"/>
              <w:bottom w:val="single" w:sz="4" w:space="0" w:color="FFFFFF" w:themeColor="background1"/>
              <w:right w:val="nil"/>
            </w:tcBorders>
            <w:shd w:val="clear" w:color="auto" w:fill="auto"/>
          </w:tcPr>
          <w:p w14:paraId="1993F5BA" w14:textId="77777777" w:rsidR="00AB6753" w:rsidRPr="004A20FC" w:rsidRDefault="00AB6753" w:rsidP="002D1EA4"/>
        </w:tc>
      </w:tr>
      <w:tr w:rsidR="00AB6753" w:rsidRPr="004A20FC" w14:paraId="636A122A" w14:textId="77777777" w:rsidTr="002D1EA4">
        <w:trPr>
          <w:trHeight w:val="321"/>
        </w:trPr>
        <w:tc>
          <w:tcPr>
            <w:tcW w:w="3576" w:type="dxa"/>
            <w:tcBorders>
              <w:top w:val="single" w:sz="4" w:space="0" w:color="FFFFFF" w:themeColor="background1"/>
              <w:left w:val="nil"/>
              <w:bottom w:val="single" w:sz="4" w:space="0" w:color="FFFFFF" w:themeColor="background1"/>
              <w:right w:val="nil"/>
            </w:tcBorders>
            <w:shd w:val="clear" w:color="auto" w:fill="404040" w:themeFill="text1" w:themeFillTint="BF"/>
          </w:tcPr>
          <w:p w14:paraId="19DB6B58" w14:textId="77777777" w:rsidR="00AB6753" w:rsidRPr="00C94CFA" w:rsidRDefault="00AB6753" w:rsidP="002D1EA4">
            <w:pPr>
              <w:rPr>
                <w:color w:val="FFFFFF" w:themeColor="background1"/>
              </w:rPr>
            </w:pPr>
          </w:p>
        </w:tc>
        <w:tc>
          <w:tcPr>
            <w:tcW w:w="393" w:type="dxa"/>
            <w:tcBorders>
              <w:top w:val="single" w:sz="4" w:space="0" w:color="FFFFFF" w:themeColor="background1"/>
              <w:left w:val="nil"/>
              <w:bottom w:val="single" w:sz="4" w:space="0" w:color="FFFFFF" w:themeColor="background1"/>
              <w:right w:val="nil"/>
            </w:tcBorders>
            <w:shd w:val="clear" w:color="auto" w:fill="404040" w:themeFill="text1" w:themeFillTint="BF"/>
          </w:tcPr>
          <w:p w14:paraId="11B1DE2C" w14:textId="77777777" w:rsidR="00AB6753" w:rsidRPr="00C94CFA" w:rsidRDefault="00AB6753" w:rsidP="002D1EA4">
            <w:pPr>
              <w:rPr>
                <w:color w:val="FFFFFF" w:themeColor="background1"/>
              </w:rPr>
            </w:pPr>
          </w:p>
        </w:tc>
        <w:tc>
          <w:tcPr>
            <w:tcW w:w="1787" w:type="dxa"/>
            <w:tcBorders>
              <w:top w:val="single" w:sz="4" w:space="0" w:color="FFFFFF" w:themeColor="background1"/>
              <w:left w:val="nil"/>
              <w:bottom w:val="single" w:sz="4" w:space="0" w:color="FFFFFF" w:themeColor="background1"/>
              <w:right w:val="nil"/>
            </w:tcBorders>
            <w:shd w:val="clear" w:color="auto" w:fill="404040" w:themeFill="text1" w:themeFillTint="BF"/>
          </w:tcPr>
          <w:p w14:paraId="6FA4F13C" w14:textId="77777777" w:rsidR="00AB6753" w:rsidRPr="00C94CFA" w:rsidRDefault="00AB6753" w:rsidP="002D1EA4">
            <w:pPr>
              <w:rPr>
                <w:color w:val="FFFFFF" w:themeColor="background1"/>
              </w:rPr>
            </w:pPr>
          </w:p>
        </w:tc>
        <w:tc>
          <w:tcPr>
            <w:tcW w:w="1688" w:type="dxa"/>
            <w:tcBorders>
              <w:top w:val="single" w:sz="4" w:space="0" w:color="FFFFFF" w:themeColor="background1"/>
              <w:left w:val="nil"/>
              <w:bottom w:val="single" w:sz="4" w:space="0" w:color="FFFFFF" w:themeColor="background1"/>
              <w:right w:val="nil"/>
            </w:tcBorders>
            <w:shd w:val="clear" w:color="auto" w:fill="404040" w:themeFill="text1" w:themeFillTint="BF"/>
          </w:tcPr>
          <w:p w14:paraId="25C76DEE" w14:textId="77777777" w:rsidR="00AB6753" w:rsidRPr="00C94CFA" w:rsidRDefault="00AB6753" w:rsidP="002D1EA4">
            <w:pPr>
              <w:rPr>
                <w:color w:val="FFFFFF" w:themeColor="background1"/>
              </w:rPr>
            </w:pPr>
            <w:r>
              <w:rPr>
                <w:color w:val="FFFFFF" w:themeColor="background1"/>
              </w:rPr>
              <w:t>2019–20</w:t>
            </w:r>
          </w:p>
        </w:tc>
        <w:tc>
          <w:tcPr>
            <w:tcW w:w="1770" w:type="dxa"/>
            <w:tcBorders>
              <w:top w:val="single" w:sz="4" w:space="0" w:color="FFFFFF" w:themeColor="background1"/>
              <w:left w:val="nil"/>
              <w:bottom w:val="single" w:sz="4" w:space="0" w:color="FFFFFF" w:themeColor="background1"/>
              <w:right w:val="nil"/>
            </w:tcBorders>
            <w:shd w:val="clear" w:color="auto" w:fill="404040" w:themeFill="text1" w:themeFillTint="BF"/>
          </w:tcPr>
          <w:p w14:paraId="6ED102EC" w14:textId="77777777" w:rsidR="00AB6753" w:rsidRPr="00C94CFA" w:rsidRDefault="00AB6753" w:rsidP="002D1EA4">
            <w:pPr>
              <w:rPr>
                <w:color w:val="FFFFFF" w:themeColor="background1"/>
              </w:rPr>
            </w:pPr>
            <w:r>
              <w:rPr>
                <w:color w:val="FFFFFF" w:themeColor="background1"/>
              </w:rPr>
              <w:t>2018</w:t>
            </w:r>
            <w:r w:rsidRPr="00C94CFA">
              <w:rPr>
                <w:color w:val="FFFFFF" w:themeColor="background1"/>
              </w:rPr>
              <w:t>–1</w:t>
            </w:r>
            <w:r>
              <w:rPr>
                <w:color w:val="FFFFFF" w:themeColor="background1"/>
              </w:rPr>
              <w:t>9</w:t>
            </w:r>
          </w:p>
        </w:tc>
      </w:tr>
      <w:tr w:rsidR="00AB6753" w:rsidRPr="004A20FC" w14:paraId="5679B915" w14:textId="77777777" w:rsidTr="002D1EA4">
        <w:trPr>
          <w:trHeight w:val="321"/>
        </w:trPr>
        <w:tc>
          <w:tcPr>
            <w:tcW w:w="3576" w:type="dxa"/>
            <w:tcBorders>
              <w:top w:val="single" w:sz="4" w:space="0" w:color="FFFFFF" w:themeColor="background1"/>
              <w:left w:val="nil"/>
              <w:bottom w:val="nil"/>
              <w:right w:val="nil"/>
            </w:tcBorders>
            <w:shd w:val="clear" w:color="auto" w:fill="auto"/>
          </w:tcPr>
          <w:p w14:paraId="7747CDF7" w14:textId="77777777" w:rsidR="00AB6753" w:rsidRPr="004A20FC" w:rsidRDefault="00AB6753" w:rsidP="002D1EA4">
            <w:r w:rsidRPr="004A20FC">
              <w:t>Staffing resources (number)</w:t>
            </w:r>
          </w:p>
        </w:tc>
        <w:tc>
          <w:tcPr>
            <w:tcW w:w="393" w:type="dxa"/>
            <w:tcBorders>
              <w:top w:val="single" w:sz="4" w:space="0" w:color="FFFFFF" w:themeColor="background1"/>
              <w:left w:val="nil"/>
              <w:bottom w:val="nil"/>
              <w:right w:val="nil"/>
            </w:tcBorders>
            <w:shd w:val="clear" w:color="auto" w:fill="auto"/>
          </w:tcPr>
          <w:p w14:paraId="18B56E79" w14:textId="77777777" w:rsidR="00AB6753" w:rsidRPr="004A20FC" w:rsidRDefault="00AB6753" w:rsidP="002D1EA4"/>
        </w:tc>
        <w:tc>
          <w:tcPr>
            <w:tcW w:w="1787" w:type="dxa"/>
            <w:tcBorders>
              <w:top w:val="single" w:sz="4" w:space="0" w:color="FFFFFF" w:themeColor="background1"/>
              <w:left w:val="nil"/>
              <w:bottom w:val="nil"/>
              <w:right w:val="nil"/>
            </w:tcBorders>
            <w:shd w:val="clear" w:color="auto" w:fill="auto"/>
          </w:tcPr>
          <w:p w14:paraId="035BE79C" w14:textId="77777777" w:rsidR="00AB6753" w:rsidRPr="004A20FC" w:rsidRDefault="00AB6753" w:rsidP="002D1EA4">
            <w:pPr>
              <w:rPr>
                <w:highlight w:val="yellow"/>
              </w:rPr>
            </w:pPr>
          </w:p>
        </w:tc>
        <w:tc>
          <w:tcPr>
            <w:tcW w:w="1688" w:type="dxa"/>
            <w:tcBorders>
              <w:top w:val="single" w:sz="4" w:space="0" w:color="FFFFFF" w:themeColor="background1"/>
              <w:left w:val="nil"/>
              <w:bottom w:val="nil"/>
              <w:right w:val="nil"/>
            </w:tcBorders>
            <w:shd w:val="clear" w:color="auto" w:fill="auto"/>
          </w:tcPr>
          <w:p w14:paraId="77D1025E" w14:textId="77777777" w:rsidR="00AB6753" w:rsidRPr="004A20FC" w:rsidRDefault="00AB6753" w:rsidP="002D1EA4">
            <w:r>
              <w:t>2,099</w:t>
            </w:r>
          </w:p>
        </w:tc>
        <w:tc>
          <w:tcPr>
            <w:tcW w:w="1770" w:type="dxa"/>
            <w:tcBorders>
              <w:top w:val="single" w:sz="4" w:space="0" w:color="FFFFFF" w:themeColor="background1"/>
              <w:left w:val="nil"/>
              <w:bottom w:val="nil"/>
              <w:right w:val="nil"/>
            </w:tcBorders>
            <w:shd w:val="clear" w:color="auto" w:fill="auto"/>
          </w:tcPr>
          <w:p w14:paraId="2854C0EB" w14:textId="77777777" w:rsidR="00AB6753" w:rsidRPr="004A20FC" w:rsidRDefault="00AB6753" w:rsidP="002D1EA4">
            <w:r w:rsidRPr="004A20FC">
              <w:t>2,128</w:t>
            </w:r>
          </w:p>
        </w:tc>
      </w:tr>
    </w:tbl>
    <w:p w14:paraId="16BE3FEF" w14:textId="77777777" w:rsidR="00AB6753" w:rsidRPr="009146A9" w:rsidRDefault="00AB6753" w:rsidP="00DB67B6">
      <w:pPr>
        <w:pStyle w:val="ListParagraph"/>
        <w:numPr>
          <w:ilvl w:val="0"/>
          <w:numId w:val="122"/>
        </w:numPr>
        <w:tabs>
          <w:tab w:val="left" w:pos="851"/>
        </w:tabs>
        <w:rPr>
          <w:sz w:val="18"/>
        </w:rPr>
      </w:pPr>
      <w:r w:rsidRPr="00870367">
        <w:rPr>
          <w:i/>
          <w:sz w:val="18"/>
        </w:rPr>
        <w:t>Supply Act (No. 1) 2019-20, Appropriation Act (No. 1) 2019–20</w:t>
      </w:r>
      <w:r w:rsidRPr="009146A9">
        <w:rPr>
          <w:sz w:val="18"/>
        </w:rPr>
        <w:t xml:space="preserve"> and </w:t>
      </w:r>
      <w:r w:rsidRPr="00870367">
        <w:rPr>
          <w:i/>
          <w:sz w:val="18"/>
        </w:rPr>
        <w:t>Appropriation Act (No. 3) 2019–20</w:t>
      </w:r>
      <w:r w:rsidRPr="009146A9">
        <w:rPr>
          <w:sz w:val="18"/>
        </w:rPr>
        <w:t>. This may also include prior year departmental appropriation, section 74 retained revenue receipts, section 75 transfers and repealed appropriations.</w:t>
      </w:r>
    </w:p>
    <w:p w14:paraId="1BA77D7B" w14:textId="77777777" w:rsidR="00AB6753" w:rsidRPr="009146A9" w:rsidRDefault="00AB6753" w:rsidP="00DB67B6">
      <w:pPr>
        <w:pStyle w:val="ListParagraph"/>
        <w:numPr>
          <w:ilvl w:val="0"/>
          <w:numId w:val="122"/>
        </w:numPr>
        <w:rPr>
          <w:sz w:val="18"/>
        </w:rPr>
      </w:pPr>
      <w:r w:rsidRPr="009146A9">
        <w:rPr>
          <w:sz w:val="18"/>
        </w:rPr>
        <w:t>This item includes an amount of $16.843 million in 2019–20 for the departmental capital budget. For accounting purposes, this amount has been designated as ‘contributions by owners’.</w:t>
      </w:r>
    </w:p>
    <w:p w14:paraId="0385A05E" w14:textId="77777777" w:rsidR="00AB6753" w:rsidRPr="009146A9" w:rsidRDefault="00AB6753" w:rsidP="00DB67B6">
      <w:pPr>
        <w:pStyle w:val="ListParagraph"/>
        <w:numPr>
          <w:ilvl w:val="0"/>
          <w:numId w:val="122"/>
        </w:numPr>
        <w:rPr>
          <w:sz w:val="18"/>
        </w:rPr>
      </w:pPr>
      <w:r w:rsidRPr="009146A9">
        <w:rPr>
          <w:sz w:val="18"/>
        </w:rPr>
        <w:t xml:space="preserve">‘Corporate entities’ are corporate Commonwealth entities and Commonwealth companies as defined under the </w:t>
      </w:r>
      <w:r w:rsidRPr="00870367">
        <w:rPr>
          <w:i/>
          <w:sz w:val="18"/>
        </w:rPr>
        <w:t>Public Governance, Performance and Accountability Act 2013</w:t>
      </w:r>
      <w:r w:rsidRPr="009146A9">
        <w:rPr>
          <w:sz w:val="18"/>
        </w:rPr>
        <w:t>.</w:t>
      </w:r>
    </w:p>
    <w:p w14:paraId="3865F0F8" w14:textId="77777777" w:rsidR="00AB6753" w:rsidRPr="009146A9" w:rsidRDefault="00AB6753" w:rsidP="00DB67B6">
      <w:pPr>
        <w:pStyle w:val="ListParagraph"/>
        <w:numPr>
          <w:ilvl w:val="0"/>
          <w:numId w:val="122"/>
        </w:numPr>
        <w:rPr>
          <w:sz w:val="18"/>
        </w:rPr>
      </w:pPr>
      <w:r w:rsidRPr="00870367">
        <w:rPr>
          <w:i/>
          <w:sz w:val="18"/>
        </w:rPr>
        <w:t>Appropriation Act (No. 2) 2019–20</w:t>
      </w:r>
      <w:r w:rsidRPr="009146A9">
        <w:rPr>
          <w:sz w:val="18"/>
        </w:rPr>
        <w:t>.</w:t>
      </w:r>
    </w:p>
    <w:p w14:paraId="39DA2420" w14:textId="77777777" w:rsidR="00AB6753" w:rsidRPr="009146A9" w:rsidRDefault="00AB6753" w:rsidP="00DB67B6">
      <w:pPr>
        <w:pStyle w:val="ListParagraph"/>
        <w:numPr>
          <w:ilvl w:val="0"/>
          <w:numId w:val="122"/>
        </w:numPr>
        <w:rPr>
          <w:sz w:val="18"/>
        </w:rPr>
      </w:pPr>
      <w:r w:rsidRPr="009146A9">
        <w:rPr>
          <w:sz w:val="18"/>
        </w:rPr>
        <w:t>The equity injections may also include prior year appropriation and repealed appropriations.</w:t>
      </w:r>
    </w:p>
    <w:p w14:paraId="00A8A4CA" w14:textId="77777777" w:rsidR="00AB6753" w:rsidRPr="009146A9" w:rsidRDefault="00AB6753" w:rsidP="00DB67B6">
      <w:pPr>
        <w:pStyle w:val="ListParagraph"/>
        <w:numPr>
          <w:ilvl w:val="0"/>
          <w:numId w:val="122"/>
        </w:numPr>
        <w:rPr>
          <w:sz w:val="18"/>
        </w:rPr>
      </w:pPr>
      <w:r w:rsidRPr="009146A9">
        <w:rPr>
          <w:sz w:val="18"/>
        </w:rPr>
        <w:t>Appropriation receipts from DSS annual and special appropriations for 2019–20 are included above.</w:t>
      </w:r>
    </w:p>
    <w:p w14:paraId="60C67F98" w14:textId="77777777" w:rsidR="00AB6753" w:rsidRPr="009146A9" w:rsidRDefault="00AB6753" w:rsidP="00DB67B6">
      <w:pPr>
        <w:pStyle w:val="ListParagraph"/>
        <w:numPr>
          <w:ilvl w:val="0"/>
          <w:numId w:val="122"/>
        </w:numPr>
        <w:rPr>
          <w:sz w:val="18"/>
        </w:rPr>
      </w:pPr>
      <w:r w:rsidRPr="009146A9">
        <w:rPr>
          <w:sz w:val="18"/>
        </w:rPr>
        <w:t>The actual available appropriation for 2019–20 does not include total special appropriations.</w:t>
      </w:r>
    </w:p>
    <w:p w14:paraId="3A19DC7C" w14:textId="77777777" w:rsidR="00AB6753" w:rsidRDefault="00AB6753" w:rsidP="00AB6753"/>
    <w:p w14:paraId="0D2C666E" w14:textId="77777777" w:rsidR="00AB6753" w:rsidRPr="00AE5924" w:rsidRDefault="00AB6753" w:rsidP="00AB6753">
      <w:pPr>
        <w:rPr>
          <w:b/>
        </w:rPr>
      </w:pPr>
      <w:bookmarkStart w:id="269" w:name="TableB_2"/>
      <w:r w:rsidRPr="00AE5924">
        <w:rPr>
          <w:b/>
        </w:rPr>
        <w:lastRenderedPageBreak/>
        <w:t>Table A–2: Expenses and resources for Outcome 1: Social Security</w:t>
      </w:r>
      <w:bookmarkEnd w:id="269"/>
    </w:p>
    <w:tbl>
      <w:tblPr>
        <w:tblW w:w="9161" w:type="dxa"/>
        <w:tblLayout w:type="fixed"/>
        <w:tblLook w:val="00A0" w:firstRow="1" w:lastRow="0" w:firstColumn="1" w:lastColumn="0" w:noHBand="0" w:noVBand="0"/>
        <w:tblCaption w:val="Table A–2 Expenses and resources for Outcome 1: Social Security"/>
        <w:tblDescription w:val="Table A–2 Expenses and resources for Outcome 1: Social Security"/>
      </w:tblPr>
      <w:tblGrid>
        <w:gridCol w:w="4034"/>
        <w:gridCol w:w="1709"/>
        <w:gridCol w:w="1709"/>
        <w:gridCol w:w="1709"/>
      </w:tblGrid>
      <w:tr w:rsidR="00AB6753" w:rsidRPr="004A20FC" w14:paraId="073F821B" w14:textId="77777777" w:rsidTr="002D1EA4">
        <w:trPr>
          <w:trHeight w:val="318"/>
          <w:tblHeader/>
        </w:trPr>
        <w:tc>
          <w:tcPr>
            <w:tcW w:w="4034" w:type="dxa"/>
            <w:tcBorders>
              <w:top w:val="nil"/>
              <w:left w:val="nil"/>
              <w:bottom w:val="single" w:sz="4" w:space="0" w:color="auto"/>
              <w:right w:val="nil"/>
            </w:tcBorders>
            <w:shd w:val="clear" w:color="auto" w:fill="404040" w:themeFill="text1" w:themeFillTint="BF"/>
            <w:vAlign w:val="bottom"/>
            <w:hideMark/>
          </w:tcPr>
          <w:p w14:paraId="7B623438" w14:textId="77777777" w:rsidR="00AB6753" w:rsidRPr="00C94CFA" w:rsidRDefault="00AB6753" w:rsidP="002D1EA4">
            <w:pPr>
              <w:rPr>
                <w:color w:val="FFFFFF" w:themeColor="background1"/>
              </w:rPr>
            </w:pPr>
          </w:p>
        </w:tc>
        <w:tc>
          <w:tcPr>
            <w:tcW w:w="1709" w:type="dxa"/>
            <w:tcBorders>
              <w:top w:val="nil"/>
              <w:left w:val="nil"/>
              <w:bottom w:val="single" w:sz="4" w:space="0" w:color="auto"/>
              <w:right w:val="nil"/>
            </w:tcBorders>
            <w:shd w:val="clear" w:color="auto" w:fill="404040" w:themeFill="text1" w:themeFillTint="BF"/>
            <w:noWrap/>
            <w:vAlign w:val="bottom"/>
            <w:hideMark/>
          </w:tcPr>
          <w:p w14:paraId="017A3345" w14:textId="77777777" w:rsidR="00AB6753" w:rsidRPr="00C94CFA" w:rsidRDefault="00AB6753" w:rsidP="002D1EA4">
            <w:pPr>
              <w:rPr>
                <w:color w:val="FFFFFF" w:themeColor="background1"/>
              </w:rPr>
            </w:pPr>
            <w:r w:rsidRPr="00C94CFA">
              <w:rPr>
                <w:color w:val="FFFFFF" w:themeColor="background1"/>
              </w:rPr>
              <w:t xml:space="preserve">Estimated </w:t>
            </w:r>
            <w:proofErr w:type="spellStart"/>
            <w:r w:rsidRPr="00C94CFA">
              <w:rPr>
                <w:color w:val="FFFFFF" w:themeColor="background1"/>
              </w:rPr>
              <w:t>actual</w:t>
            </w:r>
            <w:r w:rsidRPr="00A01176">
              <w:rPr>
                <w:color w:val="FFFFFF" w:themeColor="background1"/>
                <w:vertAlign w:val="superscript"/>
              </w:rPr>
              <w:t>a</w:t>
            </w:r>
            <w:proofErr w:type="spellEnd"/>
            <w:r w:rsidRPr="00C94CFA">
              <w:rPr>
                <w:color w:val="FFFFFF" w:themeColor="background1"/>
              </w:rPr>
              <w:t xml:space="preserve"> </w:t>
            </w:r>
            <w:r w:rsidRPr="00C94CFA">
              <w:rPr>
                <w:color w:val="FFFFFF" w:themeColor="background1"/>
              </w:rPr>
              <w:br/>
              <w:t>201</w:t>
            </w:r>
            <w:r>
              <w:rPr>
                <w:color w:val="FFFFFF" w:themeColor="background1"/>
              </w:rPr>
              <w:t>9–20</w:t>
            </w:r>
            <w:r w:rsidRPr="00C94CFA">
              <w:rPr>
                <w:color w:val="FFFFFF" w:themeColor="background1"/>
              </w:rPr>
              <w:br/>
              <w:t xml:space="preserve">$'000 </w:t>
            </w:r>
          </w:p>
        </w:tc>
        <w:tc>
          <w:tcPr>
            <w:tcW w:w="1709" w:type="dxa"/>
            <w:tcBorders>
              <w:top w:val="nil"/>
              <w:left w:val="nil"/>
              <w:bottom w:val="single" w:sz="4" w:space="0" w:color="auto"/>
              <w:right w:val="nil"/>
            </w:tcBorders>
            <w:shd w:val="clear" w:color="auto" w:fill="404040" w:themeFill="text1" w:themeFillTint="BF"/>
            <w:noWrap/>
            <w:vAlign w:val="bottom"/>
            <w:hideMark/>
          </w:tcPr>
          <w:p w14:paraId="480D9956" w14:textId="77777777" w:rsidR="00AB6753" w:rsidRPr="00C94CFA" w:rsidRDefault="00AB6753" w:rsidP="002D1EA4">
            <w:pPr>
              <w:rPr>
                <w:color w:val="FFFFFF" w:themeColor="background1"/>
              </w:rPr>
            </w:pPr>
            <w:r w:rsidRPr="00C94CFA">
              <w:rPr>
                <w:color w:val="FFFFFF" w:themeColor="background1"/>
              </w:rPr>
              <w:t>Ac</w:t>
            </w:r>
            <w:r>
              <w:rPr>
                <w:color w:val="FFFFFF" w:themeColor="background1"/>
              </w:rPr>
              <w:t>tual Expenses 2019–20</w:t>
            </w:r>
            <w:r w:rsidRPr="00C94CFA">
              <w:rPr>
                <w:color w:val="FFFFFF" w:themeColor="background1"/>
              </w:rPr>
              <w:t xml:space="preserve"> </w:t>
            </w:r>
            <w:r w:rsidRPr="00C94CFA">
              <w:rPr>
                <w:color w:val="FFFFFF" w:themeColor="background1"/>
              </w:rPr>
              <w:br/>
              <w:t>$'000</w:t>
            </w:r>
          </w:p>
        </w:tc>
        <w:tc>
          <w:tcPr>
            <w:tcW w:w="1709" w:type="dxa"/>
            <w:tcBorders>
              <w:top w:val="nil"/>
              <w:left w:val="nil"/>
              <w:bottom w:val="single" w:sz="4" w:space="0" w:color="auto"/>
              <w:right w:val="nil"/>
            </w:tcBorders>
            <w:shd w:val="clear" w:color="auto" w:fill="404040" w:themeFill="text1" w:themeFillTint="BF"/>
            <w:noWrap/>
            <w:vAlign w:val="bottom"/>
            <w:hideMark/>
          </w:tcPr>
          <w:p w14:paraId="4CC045B8" w14:textId="77777777" w:rsidR="00AB6753" w:rsidRPr="00C94CFA" w:rsidRDefault="00AB6753" w:rsidP="002D1EA4">
            <w:pPr>
              <w:rPr>
                <w:color w:val="FFFFFF" w:themeColor="background1"/>
              </w:rPr>
            </w:pPr>
            <w:r w:rsidRPr="00C94CFA">
              <w:rPr>
                <w:color w:val="FFFFFF" w:themeColor="background1"/>
              </w:rPr>
              <w:t xml:space="preserve">Variation </w:t>
            </w:r>
            <w:r w:rsidRPr="00C94CFA">
              <w:rPr>
                <w:color w:val="FFFFFF" w:themeColor="background1"/>
              </w:rPr>
              <w:br/>
              <w:t>201</w:t>
            </w:r>
            <w:r>
              <w:rPr>
                <w:color w:val="FFFFFF" w:themeColor="background1"/>
              </w:rPr>
              <w:t>9–20</w:t>
            </w:r>
            <w:r w:rsidRPr="00C94CFA">
              <w:rPr>
                <w:color w:val="FFFFFF" w:themeColor="background1"/>
              </w:rPr>
              <w:t xml:space="preserve"> </w:t>
            </w:r>
            <w:r w:rsidRPr="00C94CFA">
              <w:rPr>
                <w:color w:val="FFFFFF" w:themeColor="background1"/>
              </w:rPr>
              <w:br/>
              <w:t>$'000</w:t>
            </w:r>
          </w:p>
        </w:tc>
      </w:tr>
      <w:tr w:rsidR="00AB6753" w:rsidRPr="004A20FC" w14:paraId="3EF34B00" w14:textId="77777777" w:rsidTr="002D1EA4">
        <w:trPr>
          <w:trHeight w:val="318"/>
          <w:tblHeader/>
        </w:trPr>
        <w:tc>
          <w:tcPr>
            <w:tcW w:w="4034" w:type="dxa"/>
            <w:tcBorders>
              <w:top w:val="single" w:sz="4" w:space="0" w:color="auto"/>
              <w:left w:val="nil"/>
              <w:bottom w:val="single" w:sz="4" w:space="0" w:color="FFFFFF" w:themeColor="background1"/>
              <w:right w:val="nil"/>
            </w:tcBorders>
            <w:shd w:val="clear" w:color="auto" w:fill="404040" w:themeFill="text1" w:themeFillTint="BF"/>
            <w:noWrap/>
            <w:vAlign w:val="bottom"/>
            <w:hideMark/>
          </w:tcPr>
          <w:p w14:paraId="2A6F0C9E" w14:textId="77777777" w:rsidR="00AB6753" w:rsidRPr="00C94CFA" w:rsidRDefault="00AB6753" w:rsidP="002D1EA4">
            <w:pPr>
              <w:rPr>
                <w:color w:val="FFFFFF" w:themeColor="background1"/>
              </w:rPr>
            </w:pPr>
          </w:p>
        </w:tc>
        <w:tc>
          <w:tcPr>
            <w:tcW w:w="1709" w:type="dxa"/>
            <w:tcBorders>
              <w:top w:val="single" w:sz="4" w:space="0" w:color="auto"/>
              <w:left w:val="nil"/>
              <w:bottom w:val="single" w:sz="4" w:space="0" w:color="FFFFFF" w:themeColor="background1"/>
              <w:right w:val="nil"/>
            </w:tcBorders>
            <w:shd w:val="clear" w:color="auto" w:fill="404040" w:themeFill="text1" w:themeFillTint="BF"/>
            <w:noWrap/>
            <w:vAlign w:val="bottom"/>
            <w:hideMark/>
          </w:tcPr>
          <w:p w14:paraId="0143D5D4" w14:textId="77777777" w:rsidR="00AB6753" w:rsidRPr="00C94CFA" w:rsidRDefault="00AB6753" w:rsidP="002D1EA4">
            <w:pPr>
              <w:rPr>
                <w:color w:val="FFFFFF" w:themeColor="background1"/>
              </w:rPr>
            </w:pPr>
            <w:r w:rsidRPr="00C94CFA">
              <w:rPr>
                <w:color w:val="FFFFFF" w:themeColor="background1"/>
              </w:rPr>
              <w:t>(a)</w:t>
            </w:r>
          </w:p>
        </w:tc>
        <w:tc>
          <w:tcPr>
            <w:tcW w:w="1709" w:type="dxa"/>
            <w:tcBorders>
              <w:top w:val="single" w:sz="4" w:space="0" w:color="auto"/>
              <w:left w:val="nil"/>
              <w:bottom w:val="single" w:sz="4" w:space="0" w:color="FFFFFF" w:themeColor="background1"/>
              <w:right w:val="nil"/>
            </w:tcBorders>
            <w:shd w:val="clear" w:color="auto" w:fill="404040" w:themeFill="text1" w:themeFillTint="BF"/>
            <w:noWrap/>
            <w:vAlign w:val="bottom"/>
            <w:hideMark/>
          </w:tcPr>
          <w:p w14:paraId="226EE3FC" w14:textId="77777777" w:rsidR="00AB6753" w:rsidRPr="00C94CFA" w:rsidRDefault="00AB6753" w:rsidP="002D1EA4">
            <w:pPr>
              <w:rPr>
                <w:color w:val="FFFFFF" w:themeColor="background1"/>
              </w:rPr>
            </w:pPr>
            <w:r w:rsidRPr="00C94CFA">
              <w:rPr>
                <w:color w:val="FFFFFF" w:themeColor="background1"/>
              </w:rPr>
              <w:t>(b)</w:t>
            </w:r>
          </w:p>
        </w:tc>
        <w:tc>
          <w:tcPr>
            <w:tcW w:w="1709" w:type="dxa"/>
            <w:tcBorders>
              <w:top w:val="single" w:sz="4" w:space="0" w:color="auto"/>
              <w:left w:val="nil"/>
              <w:bottom w:val="single" w:sz="4" w:space="0" w:color="FFFFFF" w:themeColor="background1"/>
              <w:right w:val="nil"/>
            </w:tcBorders>
            <w:shd w:val="clear" w:color="auto" w:fill="404040" w:themeFill="text1" w:themeFillTint="BF"/>
            <w:noWrap/>
            <w:vAlign w:val="bottom"/>
            <w:hideMark/>
          </w:tcPr>
          <w:p w14:paraId="132CF658" w14:textId="77777777" w:rsidR="00AB6753" w:rsidRPr="00C94CFA" w:rsidRDefault="00AB6753" w:rsidP="002D1EA4">
            <w:pPr>
              <w:rPr>
                <w:color w:val="FFFFFF" w:themeColor="background1"/>
              </w:rPr>
            </w:pPr>
            <w:r w:rsidRPr="00C94CFA">
              <w:rPr>
                <w:color w:val="FFFFFF" w:themeColor="background1"/>
              </w:rPr>
              <w:t>(a)–(b)</w:t>
            </w:r>
          </w:p>
        </w:tc>
      </w:tr>
      <w:tr w:rsidR="00AB6753" w:rsidRPr="004A20FC" w14:paraId="5443D667" w14:textId="77777777" w:rsidTr="002D1EA4">
        <w:trPr>
          <w:trHeight w:val="374"/>
        </w:trPr>
        <w:tc>
          <w:tcPr>
            <w:tcW w:w="9161" w:type="dxa"/>
            <w:gridSpan w:val="4"/>
            <w:tcBorders>
              <w:top w:val="single" w:sz="4" w:space="0" w:color="FFFFFF" w:themeColor="background1"/>
              <w:left w:val="nil"/>
              <w:bottom w:val="single" w:sz="4" w:space="0" w:color="auto"/>
              <w:right w:val="nil"/>
            </w:tcBorders>
            <w:shd w:val="clear" w:color="auto" w:fill="FFFFFF" w:themeFill="background1"/>
            <w:vAlign w:val="bottom"/>
            <w:hideMark/>
          </w:tcPr>
          <w:p w14:paraId="1691039A" w14:textId="77777777" w:rsidR="00AB6753" w:rsidRPr="00AE5924" w:rsidRDefault="00AB6753" w:rsidP="002D1EA4">
            <w:pPr>
              <w:rPr>
                <w:b/>
              </w:rPr>
            </w:pPr>
            <w:r w:rsidRPr="00AE5924">
              <w:rPr>
                <w:b/>
              </w:rPr>
              <w:t>Program 1.1: Family Tax Benefit</w:t>
            </w:r>
          </w:p>
        </w:tc>
      </w:tr>
      <w:tr w:rsidR="00AB6753" w:rsidRPr="004A20FC" w14:paraId="0E323801" w14:textId="77777777" w:rsidTr="002D1EA4">
        <w:trPr>
          <w:trHeight w:val="215"/>
        </w:trPr>
        <w:tc>
          <w:tcPr>
            <w:tcW w:w="4034" w:type="dxa"/>
            <w:tcBorders>
              <w:top w:val="single" w:sz="4" w:space="0" w:color="auto"/>
              <w:left w:val="nil"/>
              <w:bottom w:val="single" w:sz="4" w:space="0" w:color="FFFFFF" w:themeColor="background1"/>
              <w:right w:val="nil"/>
            </w:tcBorders>
            <w:shd w:val="clear" w:color="auto" w:fill="EAEAEA"/>
            <w:noWrap/>
            <w:hideMark/>
          </w:tcPr>
          <w:p w14:paraId="498514BE" w14:textId="77777777" w:rsidR="00AB6753" w:rsidRPr="004A20FC" w:rsidRDefault="00AB6753" w:rsidP="002D1EA4">
            <w:r w:rsidRPr="004A20FC">
              <w:t>Administered expenses</w:t>
            </w:r>
          </w:p>
        </w:tc>
        <w:tc>
          <w:tcPr>
            <w:tcW w:w="1709" w:type="dxa"/>
            <w:tcBorders>
              <w:top w:val="single" w:sz="4" w:space="0" w:color="auto"/>
              <w:left w:val="nil"/>
              <w:bottom w:val="single" w:sz="4" w:space="0" w:color="FFFFFF" w:themeColor="background1"/>
              <w:right w:val="nil"/>
            </w:tcBorders>
            <w:shd w:val="clear" w:color="auto" w:fill="EAEAEA"/>
          </w:tcPr>
          <w:p w14:paraId="1179A95F" w14:textId="77777777" w:rsidR="00AB6753" w:rsidRPr="004A53B9" w:rsidRDefault="00AB6753" w:rsidP="002D1EA4">
            <w:pPr>
              <w:rPr>
                <w:highlight w:val="green"/>
              </w:rPr>
            </w:pPr>
          </w:p>
        </w:tc>
        <w:tc>
          <w:tcPr>
            <w:tcW w:w="1709" w:type="dxa"/>
            <w:tcBorders>
              <w:top w:val="single" w:sz="4" w:space="0" w:color="auto"/>
              <w:left w:val="nil"/>
              <w:bottom w:val="single" w:sz="4" w:space="0" w:color="FFFFFF" w:themeColor="background1"/>
              <w:right w:val="nil"/>
            </w:tcBorders>
            <w:shd w:val="clear" w:color="auto" w:fill="EAEAEA"/>
          </w:tcPr>
          <w:p w14:paraId="03636E04" w14:textId="77777777" w:rsidR="00AB6753" w:rsidRPr="004A20FC"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18805464" w14:textId="77777777" w:rsidR="00AB6753" w:rsidRPr="004A20FC" w:rsidRDefault="00AB6753" w:rsidP="002D1EA4"/>
        </w:tc>
      </w:tr>
      <w:tr w:rsidR="00AB6753" w:rsidRPr="00A30AFF" w14:paraId="3A43D57A"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EAEAEA"/>
            <w:noWrap/>
            <w:hideMark/>
          </w:tcPr>
          <w:p w14:paraId="379B3044" w14:textId="77777777" w:rsidR="00AB6753" w:rsidRPr="00A30AFF" w:rsidRDefault="00AB6753" w:rsidP="002D1EA4">
            <w:r w:rsidRPr="00A30AFF">
              <w:t>Special Appropriations</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5797797E" w14:textId="77777777" w:rsidR="00AB6753" w:rsidRPr="00A30AFF" w:rsidRDefault="00AB6753" w:rsidP="002D1EA4">
            <w:r w:rsidRPr="00A30AFF">
              <w:t>18,070,909</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691CB9FA" w14:textId="77777777" w:rsidR="00AB6753" w:rsidRPr="00A30AFF" w:rsidRDefault="00AB6753" w:rsidP="002D1EA4">
            <w:r w:rsidRPr="00A30AFF">
              <w:t>18,621,625</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0E17988B" w14:textId="77777777" w:rsidR="00AB6753" w:rsidRPr="00A30AFF" w:rsidRDefault="00AB6753" w:rsidP="002D1EA4">
            <w:r w:rsidRPr="00A30AFF">
              <w:t>(</w:t>
            </w:r>
            <w:r>
              <w:t>550,716)</w:t>
            </w:r>
          </w:p>
        </w:tc>
      </w:tr>
      <w:tr w:rsidR="00AB6753" w:rsidRPr="00A30AFF" w14:paraId="6DF28CAC"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hideMark/>
          </w:tcPr>
          <w:p w14:paraId="57618003" w14:textId="77777777" w:rsidR="00AB6753" w:rsidRPr="00521F86" w:rsidRDefault="00AB6753" w:rsidP="002D1EA4">
            <w:pPr>
              <w:rPr>
                <w:b/>
              </w:rPr>
            </w:pPr>
            <w:r w:rsidRPr="00521F86">
              <w:rPr>
                <w:b/>
              </w:rPr>
              <w:t>Total for Program 1.1</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5278D2FF" w14:textId="77777777" w:rsidR="00AB6753" w:rsidRPr="00521F86" w:rsidRDefault="00AB6753" w:rsidP="002D1EA4">
            <w:pPr>
              <w:rPr>
                <w:b/>
              </w:rPr>
            </w:pPr>
            <w:r w:rsidRPr="00521F86">
              <w:rPr>
                <w:b/>
              </w:rPr>
              <w:t>18,070,909</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00436DA9" w14:textId="77777777" w:rsidR="00AB6753" w:rsidRPr="00521F86" w:rsidRDefault="00AB6753" w:rsidP="002D1EA4">
            <w:pPr>
              <w:rPr>
                <w:b/>
              </w:rPr>
            </w:pPr>
            <w:r w:rsidRPr="00521F86">
              <w:rPr>
                <w:b/>
              </w:rPr>
              <w:t>18,621,625</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35D2AAE3" w14:textId="77777777" w:rsidR="00AB6753" w:rsidRPr="00521F86" w:rsidRDefault="00AB6753" w:rsidP="002D1EA4">
            <w:pPr>
              <w:rPr>
                <w:b/>
              </w:rPr>
            </w:pPr>
            <w:r w:rsidRPr="00521F86">
              <w:rPr>
                <w:b/>
              </w:rPr>
              <w:t>(550,716)</w:t>
            </w:r>
          </w:p>
        </w:tc>
      </w:tr>
      <w:tr w:rsidR="00AB6753" w:rsidRPr="00A30AFF" w14:paraId="0FF787EF" w14:textId="77777777" w:rsidTr="002D1EA4">
        <w:trPr>
          <w:trHeight w:val="367"/>
        </w:trPr>
        <w:tc>
          <w:tcPr>
            <w:tcW w:w="9161" w:type="dxa"/>
            <w:gridSpan w:val="4"/>
            <w:tcBorders>
              <w:top w:val="single" w:sz="4" w:space="0" w:color="FFFFFF" w:themeColor="background1"/>
              <w:left w:val="nil"/>
              <w:bottom w:val="single" w:sz="4" w:space="0" w:color="auto"/>
              <w:right w:val="nil"/>
            </w:tcBorders>
            <w:shd w:val="clear" w:color="auto" w:fill="FFFFFF" w:themeFill="background1"/>
            <w:vAlign w:val="bottom"/>
            <w:hideMark/>
          </w:tcPr>
          <w:p w14:paraId="0D0B9248" w14:textId="77777777" w:rsidR="00AB6753" w:rsidRPr="00A30AFF" w:rsidRDefault="00AB6753" w:rsidP="002D1EA4">
            <w:pPr>
              <w:rPr>
                <w:b/>
              </w:rPr>
            </w:pPr>
            <w:r w:rsidRPr="00A30AFF">
              <w:rPr>
                <w:b/>
              </w:rPr>
              <w:t>Program 1.2: Child Payments</w:t>
            </w:r>
          </w:p>
        </w:tc>
      </w:tr>
      <w:tr w:rsidR="00AB6753" w:rsidRPr="00A30AFF" w14:paraId="60D489AE" w14:textId="77777777" w:rsidTr="002D1EA4">
        <w:trPr>
          <w:trHeight w:val="215"/>
        </w:trPr>
        <w:tc>
          <w:tcPr>
            <w:tcW w:w="4034" w:type="dxa"/>
            <w:tcBorders>
              <w:top w:val="single" w:sz="4" w:space="0" w:color="auto"/>
              <w:left w:val="nil"/>
              <w:bottom w:val="single" w:sz="4" w:space="0" w:color="FFFFFF" w:themeColor="background1"/>
              <w:right w:val="nil"/>
            </w:tcBorders>
            <w:shd w:val="clear" w:color="auto" w:fill="EAEAEA"/>
            <w:noWrap/>
            <w:hideMark/>
          </w:tcPr>
          <w:p w14:paraId="2626A302" w14:textId="77777777" w:rsidR="00AB6753" w:rsidRPr="00A30AFF" w:rsidRDefault="00AB6753" w:rsidP="002D1EA4">
            <w:r w:rsidRPr="00A30AFF">
              <w:t>Administered expenses</w:t>
            </w:r>
          </w:p>
        </w:tc>
        <w:tc>
          <w:tcPr>
            <w:tcW w:w="1709" w:type="dxa"/>
            <w:tcBorders>
              <w:top w:val="single" w:sz="4" w:space="0" w:color="auto"/>
              <w:left w:val="nil"/>
              <w:bottom w:val="single" w:sz="4" w:space="0" w:color="FFFFFF" w:themeColor="background1"/>
              <w:right w:val="nil"/>
            </w:tcBorders>
            <w:shd w:val="clear" w:color="auto" w:fill="EAEAEA"/>
          </w:tcPr>
          <w:p w14:paraId="33484CA2"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77B0B292"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50BF956E" w14:textId="77777777" w:rsidR="00AB6753" w:rsidRPr="00A30AFF" w:rsidRDefault="00AB6753" w:rsidP="002D1EA4"/>
        </w:tc>
      </w:tr>
      <w:tr w:rsidR="00AB6753" w:rsidRPr="00A30AFF" w14:paraId="1A4C594A"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EAEAEA"/>
            <w:noWrap/>
            <w:hideMark/>
          </w:tcPr>
          <w:p w14:paraId="54B2C78E" w14:textId="77777777" w:rsidR="00AB6753" w:rsidRPr="00A30AFF" w:rsidRDefault="00AB6753" w:rsidP="002D1EA4">
            <w:r w:rsidRPr="00A30AFF">
              <w:t>Special Appropriations</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699E6947" w14:textId="77777777" w:rsidR="00AB6753" w:rsidRPr="00A30AFF" w:rsidRDefault="00AB6753" w:rsidP="002D1EA4">
            <w:r w:rsidRPr="00A30AFF">
              <w:t>97,820</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7D39A8B3" w14:textId="77777777" w:rsidR="00AB6753" w:rsidRPr="00A30AFF" w:rsidRDefault="00AB6753" w:rsidP="002D1EA4">
            <w:r w:rsidRPr="00A30AFF">
              <w:t>105,157</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2809C80D" w14:textId="77777777" w:rsidR="00AB6753" w:rsidRPr="00A30AFF" w:rsidRDefault="00AB6753" w:rsidP="002D1EA4">
            <w:r>
              <w:t>(7,337)</w:t>
            </w:r>
          </w:p>
        </w:tc>
      </w:tr>
      <w:tr w:rsidR="00AB6753" w:rsidRPr="00A30AFF" w14:paraId="227CE644"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hideMark/>
          </w:tcPr>
          <w:p w14:paraId="7E0A390E" w14:textId="77777777" w:rsidR="00AB6753" w:rsidRPr="00521F86" w:rsidRDefault="00AB6753" w:rsidP="002D1EA4">
            <w:pPr>
              <w:rPr>
                <w:b/>
              </w:rPr>
            </w:pPr>
            <w:r w:rsidRPr="00521F86">
              <w:rPr>
                <w:b/>
              </w:rPr>
              <w:t>Total for Program 1.2</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693BD1BC" w14:textId="77777777" w:rsidR="00AB6753" w:rsidRPr="00521F86" w:rsidRDefault="00AB6753" w:rsidP="002D1EA4">
            <w:pPr>
              <w:rPr>
                <w:b/>
              </w:rPr>
            </w:pPr>
            <w:r w:rsidRPr="00521F86">
              <w:rPr>
                <w:b/>
              </w:rPr>
              <w:t>97,820</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36E9F8AE" w14:textId="77777777" w:rsidR="00AB6753" w:rsidRPr="00521F86" w:rsidRDefault="00AB6753" w:rsidP="002D1EA4">
            <w:pPr>
              <w:rPr>
                <w:b/>
              </w:rPr>
            </w:pPr>
            <w:r w:rsidRPr="00521F86">
              <w:rPr>
                <w:b/>
              </w:rPr>
              <w:t>105,157</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48F60DD1" w14:textId="77777777" w:rsidR="00AB6753" w:rsidRPr="00521F86" w:rsidRDefault="00AB6753" w:rsidP="002D1EA4">
            <w:pPr>
              <w:rPr>
                <w:b/>
              </w:rPr>
            </w:pPr>
            <w:r w:rsidRPr="00521F86">
              <w:rPr>
                <w:b/>
              </w:rPr>
              <w:t>(7,337)</w:t>
            </w:r>
          </w:p>
        </w:tc>
      </w:tr>
      <w:tr w:rsidR="00AB6753" w:rsidRPr="00A30AFF" w14:paraId="3E852494" w14:textId="77777777" w:rsidTr="002D1EA4">
        <w:trPr>
          <w:trHeight w:val="398"/>
        </w:trPr>
        <w:tc>
          <w:tcPr>
            <w:tcW w:w="9161" w:type="dxa"/>
            <w:gridSpan w:val="4"/>
            <w:tcBorders>
              <w:top w:val="single" w:sz="4" w:space="0" w:color="FFFFFF" w:themeColor="background1"/>
              <w:left w:val="nil"/>
              <w:bottom w:val="single" w:sz="4" w:space="0" w:color="auto"/>
              <w:right w:val="nil"/>
            </w:tcBorders>
            <w:shd w:val="clear" w:color="auto" w:fill="FFFFFF" w:themeFill="background1"/>
            <w:vAlign w:val="bottom"/>
            <w:hideMark/>
          </w:tcPr>
          <w:p w14:paraId="2C9A824A" w14:textId="77777777" w:rsidR="00AB6753" w:rsidRPr="00A30AFF" w:rsidRDefault="00AB6753" w:rsidP="002D1EA4">
            <w:pPr>
              <w:rPr>
                <w:b/>
              </w:rPr>
            </w:pPr>
            <w:r w:rsidRPr="00A30AFF">
              <w:rPr>
                <w:b/>
              </w:rPr>
              <w:t>Program 1.3: Income Support for Vulnerable People</w:t>
            </w:r>
          </w:p>
        </w:tc>
      </w:tr>
      <w:tr w:rsidR="00AB6753" w:rsidRPr="00A30AFF" w14:paraId="5C00F005" w14:textId="77777777" w:rsidTr="002D1EA4">
        <w:trPr>
          <w:trHeight w:val="215"/>
        </w:trPr>
        <w:tc>
          <w:tcPr>
            <w:tcW w:w="4034" w:type="dxa"/>
            <w:tcBorders>
              <w:top w:val="single" w:sz="4" w:space="0" w:color="auto"/>
              <w:left w:val="nil"/>
              <w:bottom w:val="single" w:sz="4" w:space="0" w:color="FFFFFF" w:themeColor="background1"/>
              <w:right w:val="nil"/>
            </w:tcBorders>
            <w:shd w:val="clear" w:color="auto" w:fill="EAEAEA"/>
            <w:noWrap/>
            <w:hideMark/>
          </w:tcPr>
          <w:p w14:paraId="14D9177D" w14:textId="77777777" w:rsidR="00AB6753" w:rsidRPr="00A30AFF" w:rsidRDefault="00AB6753" w:rsidP="002D1EA4">
            <w:r w:rsidRPr="00A30AFF">
              <w:t>Administered expenses</w:t>
            </w:r>
          </w:p>
        </w:tc>
        <w:tc>
          <w:tcPr>
            <w:tcW w:w="1709" w:type="dxa"/>
            <w:tcBorders>
              <w:top w:val="single" w:sz="4" w:space="0" w:color="auto"/>
              <w:left w:val="nil"/>
              <w:bottom w:val="single" w:sz="4" w:space="0" w:color="FFFFFF" w:themeColor="background1"/>
              <w:right w:val="nil"/>
            </w:tcBorders>
            <w:shd w:val="clear" w:color="auto" w:fill="EAEAEA"/>
          </w:tcPr>
          <w:p w14:paraId="6766C217"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6C30E896"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2B57A27A" w14:textId="77777777" w:rsidR="00AB6753" w:rsidRPr="00A30AFF" w:rsidRDefault="00AB6753" w:rsidP="002D1EA4"/>
        </w:tc>
      </w:tr>
      <w:tr w:rsidR="00AB6753" w:rsidRPr="00A30AFF" w14:paraId="3FA0EBDC"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EAEAEA"/>
            <w:noWrap/>
            <w:hideMark/>
          </w:tcPr>
          <w:p w14:paraId="2B04D785" w14:textId="77777777" w:rsidR="00AB6753" w:rsidRPr="00A30AFF" w:rsidRDefault="00AB6753" w:rsidP="002D1EA4">
            <w:r w:rsidRPr="00A30AFF">
              <w:t>Special Appropriations</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73CCCBC6" w14:textId="77777777" w:rsidR="00AB6753" w:rsidRPr="00A30AFF" w:rsidRDefault="00AB6753" w:rsidP="002D1EA4">
            <w:r w:rsidRPr="00A30AFF">
              <w:t>142,129</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12B26F8E" w14:textId="77777777" w:rsidR="00AB6753" w:rsidRPr="00A30AFF" w:rsidRDefault="00AB6753" w:rsidP="002D1EA4">
            <w:r w:rsidRPr="00A30AFF">
              <w:t>151,117</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626E618B" w14:textId="77777777" w:rsidR="00AB6753" w:rsidRPr="00A30AFF" w:rsidRDefault="00AB6753" w:rsidP="002D1EA4">
            <w:r>
              <w:t>(8,988)</w:t>
            </w:r>
          </w:p>
        </w:tc>
      </w:tr>
      <w:tr w:rsidR="00AB6753" w:rsidRPr="00A30AFF" w14:paraId="3768CFF8"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hideMark/>
          </w:tcPr>
          <w:p w14:paraId="1B853303" w14:textId="77777777" w:rsidR="00AB6753" w:rsidRPr="00521F86" w:rsidRDefault="00AB6753" w:rsidP="002D1EA4">
            <w:pPr>
              <w:rPr>
                <w:b/>
              </w:rPr>
            </w:pPr>
            <w:r w:rsidRPr="00521F86">
              <w:rPr>
                <w:b/>
              </w:rPr>
              <w:t>Total for Program 1.3</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6002B6A1" w14:textId="77777777" w:rsidR="00AB6753" w:rsidRPr="00521F86" w:rsidRDefault="00AB6753" w:rsidP="002D1EA4">
            <w:pPr>
              <w:rPr>
                <w:b/>
              </w:rPr>
            </w:pPr>
            <w:r w:rsidRPr="00521F86">
              <w:rPr>
                <w:b/>
              </w:rPr>
              <w:t>142,129</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632535B3" w14:textId="77777777" w:rsidR="00AB6753" w:rsidRPr="00521F86" w:rsidRDefault="00AB6753" w:rsidP="002D1EA4">
            <w:pPr>
              <w:rPr>
                <w:b/>
              </w:rPr>
            </w:pPr>
            <w:r w:rsidRPr="00521F86">
              <w:rPr>
                <w:b/>
              </w:rPr>
              <w:t>151,117</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2589ED7E" w14:textId="77777777" w:rsidR="00AB6753" w:rsidRPr="00521F86" w:rsidRDefault="00AB6753" w:rsidP="002D1EA4">
            <w:pPr>
              <w:rPr>
                <w:b/>
              </w:rPr>
            </w:pPr>
            <w:r w:rsidRPr="00521F86">
              <w:rPr>
                <w:b/>
              </w:rPr>
              <w:t>(8,988)</w:t>
            </w:r>
          </w:p>
        </w:tc>
      </w:tr>
      <w:tr w:rsidR="00AB6753" w:rsidRPr="00A30AFF" w14:paraId="3930BFEC" w14:textId="77777777" w:rsidTr="002D1EA4">
        <w:trPr>
          <w:trHeight w:val="444"/>
        </w:trPr>
        <w:tc>
          <w:tcPr>
            <w:tcW w:w="9161" w:type="dxa"/>
            <w:gridSpan w:val="4"/>
            <w:tcBorders>
              <w:top w:val="single" w:sz="4" w:space="0" w:color="FFFFFF" w:themeColor="background1"/>
              <w:left w:val="nil"/>
              <w:bottom w:val="single" w:sz="4" w:space="0" w:color="auto"/>
              <w:right w:val="nil"/>
            </w:tcBorders>
            <w:shd w:val="clear" w:color="auto" w:fill="FFFFFF" w:themeFill="background1"/>
            <w:vAlign w:val="bottom"/>
            <w:hideMark/>
          </w:tcPr>
          <w:p w14:paraId="4AFF24BA" w14:textId="77777777" w:rsidR="00AB6753" w:rsidRPr="00A30AFF" w:rsidRDefault="00AB6753" w:rsidP="002D1EA4">
            <w:pPr>
              <w:rPr>
                <w:b/>
              </w:rPr>
            </w:pPr>
            <w:r w:rsidRPr="00A30AFF">
              <w:rPr>
                <w:b/>
              </w:rPr>
              <w:t>Program 1.4: Income Support for People in Special Circumstances</w:t>
            </w:r>
          </w:p>
        </w:tc>
      </w:tr>
      <w:tr w:rsidR="00AB6753" w:rsidRPr="00A30AFF" w14:paraId="04DA3022" w14:textId="77777777" w:rsidTr="002D1EA4">
        <w:trPr>
          <w:trHeight w:val="215"/>
        </w:trPr>
        <w:tc>
          <w:tcPr>
            <w:tcW w:w="4034" w:type="dxa"/>
            <w:tcBorders>
              <w:top w:val="single" w:sz="4" w:space="0" w:color="auto"/>
              <w:left w:val="nil"/>
              <w:bottom w:val="single" w:sz="4" w:space="0" w:color="FFFFFF" w:themeColor="background1"/>
              <w:right w:val="nil"/>
            </w:tcBorders>
            <w:shd w:val="clear" w:color="auto" w:fill="EAEAEA"/>
            <w:noWrap/>
            <w:hideMark/>
          </w:tcPr>
          <w:p w14:paraId="1E3F9E19" w14:textId="77777777" w:rsidR="00AB6753" w:rsidRPr="00A30AFF" w:rsidRDefault="00AB6753" w:rsidP="002D1EA4">
            <w:r w:rsidRPr="00A30AFF">
              <w:t>Administered expenses</w:t>
            </w:r>
          </w:p>
        </w:tc>
        <w:tc>
          <w:tcPr>
            <w:tcW w:w="1709" w:type="dxa"/>
            <w:tcBorders>
              <w:top w:val="single" w:sz="4" w:space="0" w:color="auto"/>
              <w:left w:val="nil"/>
              <w:bottom w:val="single" w:sz="4" w:space="0" w:color="FFFFFF" w:themeColor="background1"/>
              <w:right w:val="nil"/>
            </w:tcBorders>
            <w:shd w:val="clear" w:color="auto" w:fill="EAEAEA"/>
          </w:tcPr>
          <w:p w14:paraId="09A0E500"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7C7DE226"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0459D201" w14:textId="77777777" w:rsidR="00AB6753" w:rsidRPr="00A30AFF" w:rsidRDefault="00AB6753" w:rsidP="002D1EA4"/>
        </w:tc>
      </w:tr>
      <w:tr w:rsidR="00AB6753" w:rsidRPr="00A30AFF" w14:paraId="6245E3B4"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noWrap/>
            <w:hideMark/>
          </w:tcPr>
          <w:p w14:paraId="41752B91" w14:textId="77777777" w:rsidR="00AB6753" w:rsidRPr="00A30AFF" w:rsidRDefault="00AB6753" w:rsidP="002D1EA4">
            <w:r w:rsidRPr="00A30AFF">
              <w:t>Ordinary Annual Services (Appropriation Act No. 1 and No. 3)</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471541C0" w14:textId="77777777" w:rsidR="00AB6753" w:rsidRPr="00A30AFF" w:rsidRDefault="00AB6753" w:rsidP="002D1EA4">
            <w:r w:rsidRPr="00A30AFF">
              <w:t>1,367</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1588480E" w14:textId="77777777" w:rsidR="00AB6753" w:rsidRPr="00A30AFF" w:rsidRDefault="00AB6753" w:rsidP="002D1EA4">
            <w:r w:rsidRPr="00A30AFF">
              <w:t>667</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28410ABE" w14:textId="77777777" w:rsidR="00AB6753" w:rsidRPr="00A30AFF" w:rsidRDefault="00AB6753" w:rsidP="002D1EA4">
            <w:r>
              <w:t>700</w:t>
            </w:r>
          </w:p>
        </w:tc>
      </w:tr>
      <w:tr w:rsidR="00AB6753" w:rsidRPr="00A30AFF" w14:paraId="7FAE2386"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EAEAEA"/>
            <w:noWrap/>
            <w:hideMark/>
          </w:tcPr>
          <w:p w14:paraId="2E3D5193" w14:textId="77777777" w:rsidR="00AB6753" w:rsidRPr="00A30AFF" w:rsidRDefault="00AB6753" w:rsidP="002D1EA4">
            <w:r w:rsidRPr="00A30AFF">
              <w:t>Special Appropriations</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016F3E70" w14:textId="77777777" w:rsidR="00AB6753" w:rsidRPr="00A30AFF" w:rsidRDefault="00AB6753" w:rsidP="002D1EA4">
            <w:r w:rsidRPr="00A30AFF">
              <w:t>3,284</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23BAED7C" w14:textId="77777777" w:rsidR="00AB6753" w:rsidRPr="00A30AFF" w:rsidRDefault="00AB6753" w:rsidP="002D1EA4">
            <w:r w:rsidRPr="00A30AFF">
              <w:t>3,063</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55357AA0" w14:textId="77777777" w:rsidR="00AB6753" w:rsidRPr="00A30AFF" w:rsidRDefault="00AB6753" w:rsidP="002D1EA4">
            <w:r>
              <w:t>221</w:t>
            </w:r>
          </w:p>
        </w:tc>
      </w:tr>
      <w:tr w:rsidR="00AB6753" w:rsidRPr="00A30AFF" w14:paraId="4CAD6BE6"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hideMark/>
          </w:tcPr>
          <w:p w14:paraId="5695DAA4" w14:textId="77777777" w:rsidR="00AB6753" w:rsidRPr="00521F86" w:rsidRDefault="00AB6753" w:rsidP="002D1EA4">
            <w:pPr>
              <w:rPr>
                <w:b/>
              </w:rPr>
            </w:pPr>
            <w:r w:rsidRPr="00521F86">
              <w:rPr>
                <w:b/>
              </w:rPr>
              <w:t>Total for Program 1.4</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4DF1B54C" w14:textId="77777777" w:rsidR="00AB6753" w:rsidRPr="00521F86" w:rsidRDefault="00AB6753" w:rsidP="002D1EA4">
            <w:pPr>
              <w:rPr>
                <w:b/>
              </w:rPr>
            </w:pPr>
            <w:r w:rsidRPr="00521F86">
              <w:rPr>
                <w:b/>
              </w:rPr>
              <w:t>4,651</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4CC4F7C8" w14:textId="77777777" w:rsidR="00AB6753" w:rsidRPr="00521F86" w:rsidRDefault="00AB6753" w:rsidP="002D1EA4">
            <w:pPr>
              <w:rPr>
                <w:b/>
              </w:rPr>
            </w:pPr>
            <w:r w:rsidRPr="00521F86">
              <w:rPr>
                <w:b/>
              </w:rPr>
              <w:t>3,730</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3B627EF6" w14:textId="77777777" w:rsidR="00AB6753" w:rsidRPr="00521F86" w:rsidRDefault="00AB6753" w:rsidP="002D1EA4">
            <w:pPr>
              <w:rPr>
                <w:b/>
              </w:rPr>
            </w:pPr>
            <w:r w:rsidRPr="00521F86">
              <w:rPr>
                <w:b/>
              </w:rPr>
              <w:t>921</w:t>
            </w:r>
          </w:p>
        </w:tc>
      </w:tr>
      <w:tr w:rsidR="00AB6753" w:rsidRPr="00A30AFF" w14:paraId="117D6FBF" w14:textId="77777777" w:rsidTr="002D1EA4">
        <w:trPr>
          <w:trHeight w:val="429"/>
        </w:trPr>
        <w:tc>
          <w:tcPr>
            <w:tcW w:w="9161" w:type="dxa"/>
            <w:gridSpan w:val="4"/>
            <w:tcBorders>
              <w:top w:val="single" w:sz="4" w:space="0" w:color="FFFFFF" w:themeColor="background1"/>
              <w:left w:val="nil"/>
              <w:bottom w:val="single" w:sz="4" w:space="0" w:color="auto"/>
              <w:right w:val="nil"/>
            </w:tcBorders>
            <w:shd w:val="clear" w:color="auto" w:fill="FFFFFF" w:themeFill="background1"/>
            <w:vAlign w:val="bottom"/>
            <w:hideMark/>
          </w:tcPr>
          <w:p w14:paraId="341129CD" w14:textId="77777777" w:rsidR="00AB6753" w:rsidRPr="00A30AFF" w:rsidRDefault="00AB6753" w:rsidP="002D1EA4">
            <w:pPr>
              <w:rPr>
                <w:b/>
              </w:rPr>
            </w:pPr>
            <w:r w:rsidRPr="00A30AFF">
              <w:rPr>
                <w:b/>
              </w:rPr>
              <w:t>Program 1.5: Supplementary Payments and Support for Income Support Recipients</w:t>
            </w:r>
          </w:p>
        </w:tc>
      </w:tr>
      <w:tr w:rsidR="00AB6753" w:rsidRPr="00A30AFF" w14:paraId="0A29C4AC" w14:textId="77777777" w:rsidTr="002D1EA4">
        <w:trPr>
          <w:trHeight w:val="215"/>
        </w:trPr>
        <w:tc>
          <w:tcPr>
            <w:tcW w:w="4034" w:type="dxa"/>
            <w:tcBorders>
              <w:top w:val="single" w:sz="4" w:space="0" w:color="auto"/>
              <w:left w:val="nil"/>
              <w:bottom w:val="single" w:sz="4" w:space="0" w:color="FFFFFF" w:themeColor="background1"/>
              <w:right w:val="nil"/>
            </w:tcBorders>
            <w:shd w:val="clear" w:color="auto" w:fill="EAEAEA"/>
            <w:noWrap/>
            <w:hideMark/>
          </w:tcPr>
          <w:p w14:paraId="1434B6CD" w14:textId="77777777" w:rsidR="00AB6753" w:rsidRPr="00A30AFF" w:rsidRDefault="00AB6753" w:rsidP="002D1EA4">
            <w:r w:rsidRPr="00A30AFF">
              <w:t>Administered expenses</w:t>
            </w:r>
          </w:p>
        </w:tc>
        <w:tc>
          <w:tcPr>
            <w:tcW w:w="1709" w:type="dxa"/>
            <w:tcBorders>
              <w:top w:val="single" w:sz="4" w:space="0" w:color="auto"/>
              <w:left w:val="nil"/>
              <w:bottom w:val="single" w:sz="4" w:space="0" w:color="FFFFFF" w:themeColor="background1"/>
              <w:right w:val="nil"/>
            </w:tcBorders>
            <w:shd w:val="clear" w:color="auto" w:fill="EAEAEA"/>
          </w:tcPr>
          <w:p w14:paraId="455583BB"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7CAB6BAE"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574EEEBE" w14:textId="77777777" w:rsidR="00AB6753" w:rsidRPr="00A30AFF" w:rsidRDefault="00AB6753" w:rsidP="002D1EA4"/>
        </w:tc>
      </w:tr>
      <w:tr w:rsidR="00AB6753" w:rsidRPr="00A30AFF" w14:paraId="30AAFCBC"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EAEAEA"/>
            <w:noWrap/>
            <w:hideMark/>
          </w:tcPr>
          <w:p w14:paraId="7F6A9F32" w14:textId="77777777" w:rsidR="00AB6753" w:rsidRPr="00A30AFF" w:rsidRDefault="00AB6753" w:rsidP="002D1EA4">
            <w:r w:rsidRPr="00A30AFF">
              <w:t>Special Appropriations</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386A4184" w14:textId="77777777" w:rsidR="00AB6753" w:rsidRPr="00A30AFF" w:rsidRDefault="00AB6753" w:rsidP="002D1EA4">
            <w:r w:rsidRPr="00A30AFF">
              <w:t>24,870</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5F6044A3" w14:textId="77777777" w:rsidR="00AB6753" w:rsidRPr="00A30AFF" w:rsidRDefault="00AB6753" w:rsidP="002D1EA4">
            <w:r w:rsidRPr="00A30AFF">
              <w:t>25,359</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0B35F956" w14:textId="77777777" w:rsidR="00AB6753" w:rsidRPr="00A30AFF" w:rsidRDefault="00AB6753" w:rsidP="002D1EA4">
            <w:r>
              <w:t>(489)</w:t>
            </w:r>
          </w:p>
        </w:tc>
      </w:tr>
      <w:tr w:rsidR="00AB6753" w:rsidRPr="00A30AFF" w14:paraId="277CC011"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hideMark/>
          </w:tcPr>
          <w:p w14:paraId="2AAE7D62" w14:textId="77777777" w:rsidR="00AB6753" w:rsidRPr="00521F86" w:rsidRDefault="00AB6753" w:rsidP="002D1EA4">
            <w:pPr>
              <w:rPr>
                <w:b/>
              </w:rPr>
            </w:pPr>
            <w:r w:rsidRPr="00521F86">
              <w:rPr>
                <w:b/>
              </w:rPr>
              <w:t>Total for Program 1.5</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030CDE37" w14:textId="77777777" w:rsidR="00AB6753" w:rsidRPr="00521F86" w:rsidRDefault="00AB6753" w:rsidP="002D1EA4">
            <w:pPr>
              <w:rPr>
                <w:b/>
              </w:rPr>
            </w:pPr>
            <w:r w:rsidRPr="00521F86">
              <w:rPr>
                <w:b/>
              </w:rPr>
              <w:t>24,870</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1FB58DA5" w14:textId="77777777" w:rsidR="00AB6753" w:rsidRPr="00521F86" w:rsidRDefault="00AB6753" w:rsidP="002D1EA4">
            <w:pPr>
              <w:rPr>
                <w:b/>
              </w:rPr>
            </w:pPr>
            <w:r w:rsidRPr="00521F86">
              <w:rPr>
                <w:b/>
              </w:rPr>
              <w:t>25,359</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1307A61F" w14:textId="77777777" w:rsidR="00AB6753" w:rsidRPr="00521F86" w:rsidRDefault="00AB6753" w:rsidP="002D1EA4">
            <w:pPr>
              <w:rPr>
                <w:b/>
              </w:rPr>
            </w:pPr>
            <w:r w:rsidRPr="00521F86">
              <w:rPr>
                <w:b/>
              </w:rPr>
              <w:t>(489)</w:t>
            </w:r>
          </w:p>
        </w:tc>
      </w:tr>
      <w:tr w:rsidR="00AB6753" w:rsidRPr="00A30AFF" w14:paraId="0EC7CF51" w14:textId="77777777" w:rsidTr="002D1EA4">
        <w:trPr>
          <w:trHeight w:val="425"/>
        </w:trPr>
        <w:tc>
          <w:tcPr>
            <w:tcW w:w="9161" w:type="dxa"/>
            <w:gridSpan w:val="4"/>
            <w:tcBorders>
              <w:top w:val="single" w:sz="4" w:space="0" w:color="FFFFFF" w:themeColor="background1"/>
              <w:left w:val="nil"/>
              <w:bottom w:val="single" w:sz="4" w:space="0" w:color="auto"/>
              <w:right w:val="nil"/>
            </w:tcBorders>
            <w:shd w:val="clear" w:color="auto" w:fill="FFFFFF" w:themeFill="background1"/>
            <w:vAlign w:val="bottom"/>
          </w:tcPr>
          <w:p w14:paraId="77E1069E" w14:textId="77777777" w:rsidR="00AB6753" w:rsidRPr="00A30AFF" w:rsidRDefault="00AB6753" w:rsidP="002D1EA4">
            <w:pPr>
              <w:rPr>
                <w:b/>
              </w:rPr>
            </w:pPr>
          </w:p>
        </w:tc>
      </w:tr>
      <w:tr w:rsidR="00AB6753" w:rsidRPr="00A30AFF" w14:paraId="4CF5DE3F" w14:textId="77777777" w:rsidTr="002D1EA4">
        <w:trPr>
          <w:trHeight w:val="215"/>
        </w:trPr>
        <w:tc>
          <w:tcPr>
            <w:tcW w:w="7452" w:type="dxa"/>
            <w:gridSpan w:val="3"/>
            <w:tcBorders>
              <w:top w:val="single" w:sz="4" w:space="0" w:color="FFFFFF" w:themeColor="background1"/>
              <w:left w:val="nil"/>
              <w:bottom w:val="single" w:sz="4" w:space="0" w:color="FFFFFF" w:themeColor="background1"/>
              <w:right w:val="nil"/>
            </w:tcBorders>
            <w:shd w:val="clear" w:color="auto" w:fill="auto"/>
            <w:noWrap/>
            <w:vAlign w:val="bottom"/>
          </w:tcPr>
          <w:p w14:paraId="226909E7" w14:textId="77777777" w:rsidR="00AB6753" w:rsidRPr="00A30AFF" w:rsidRDefault="00AB6753" w:rsidP="002D1EA4">
            <w:r w:rsidRPr="00A30AFF">
              <w:rPr>
                <w:b/>
              </w:rPr>
              <w:lastRenderedPageBreak/>
              <w:t>Program 1.6: Income Support for Seniors</w:t>
            </w:r>
          </w:p>
        </w:tc>
        <w:tc>
          <w:tcPr>
            <w:tcW w:w="1709" w:type="dxa"/>
            <w:tcBorders>
              <w:top w:val="single" w:sz="4" w:space="0" w:color="FFFFFF" w:themeColor="background1"/>
              <w:left w:val="nil"/>
              <w:bottom w:val="single" w:sz="4" w:space="0" w:color="FFFFFF" w:themeColor="background1"/>
              <w:right w:val="nil"/>
            </w:tcBorders>
            <w:shd w:val="clear" w:color="auto" w:fill="auto"/>
            <w:noWrap/>
          </w:tcPr>
          <w:p w14:paraId="32ADB497" w14:textId="77777777" w:rsidR="00AB6753" w:rsidRPr="00A30AFF" w:rsidRDefault="00AB6753" w:rsidP="002D1EA4"/>
        </w:tc>
      </w:tr>
      <w:tr w:rsidR="00AB6753" w:rsidRPr="00A30AFF" w14:paraId="091C465C"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EAEAEA"/>
            <w:noWrap/>
          </w:tcPr>
          <w:p w14:paraId="0F5BE51D" w14:textId="77777777" w:rsidR="00AB6753" w:rsidRPr="00A30AFF" w:rsidRDefault="00AB6753" w:rsidP="002D1EA4">
            <w:r w:rsidRPr="00A30AFF">
              <w:t>Administered expenses</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53715549" w14:textId="77777777" w:rsidR="00AB6753" w:rsidRPr="00A30AFF" w:rsidRDefault="00AB6753" w:rsidP="002D1EA4"/>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3DE1C3DC" w14:textId="77777777" w:rsidR="00AB6753" w:rsidRPr="00A30AFF" w:rsidRDefault="00AB6753" w:rsidP="002D1EA4"/>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1923AFCF" w14:textId="77777777" w:rsidR="00AB6753" w:rsidRPr="00A30AFF" w:rsidRDefault="00AB6753" w:rsidP="002D1EA4"/>
        </w:tc>
      </w:tr>
      <w:tr w:rsidR="00AB6753" w:rsidRPr="00A30AFF" w14:paraId="5C5A81CE"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EAEAEA"/>
            <w:noWrap/>
            <w:hideMark/>
          </w:tcPr>
          <w:p w14:paraId="1CC3E6B4" w14:textId="77777777" w:rsidR="00AB6753" w:rsidRPr="00A30AFF" w:rsidRDefault="00AB6753" w:rsidP="002D1EA4">
            <w:r w:rsidRPr="00A30AFF">
              <w:t>Special Appropriations</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22765279" w14:textId="77777777" w:rsidR="00AB6753" w:rsidRPr="00A30AFF" w:rsidRDefault="00AB6753" w:rsidP="002D1EA4">
            <w:r w:rsidRPr="00A30AFF">
              <w:t>50,155,810</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30469F95" w14:textId="77777777" w:rsidR="00AB6753" w:rsidRPr="00A30AFF" w:rsidRDefault="00AB6753" w:rsidP="002D1EA4">
            <w:r w:rsidRPr="00A30AFF">
              <w:t>50,133,912</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2064F6BD" w14:textId="77777777" w:rsidR="00AB6753" w:rsidRPr="00A30AFF" w:rsidRDefault="00AB6753" w:rsidP="002D1EA4">
            <w:r>
              <w:t>21,898</w:t>
            </w:r>
          </w:p>
        </w:tc>
      </w:tr>
      <w:tr w:rsidR="00AB6753" w:rsidRPr="00A30AFF" w14:paraId="2F8DDC5C"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hideMark/>
          </w:tcPr>
          <w:p w14:paraId="1732B12D" w14:textId="77777777" w:rsidR="00AB6753" w:rsidRPr="00521F86" w:rsidRDefault="00AB6753" w:rsidP="002D1EA4">
            <w:pPr>
              <w:rPr>
                <w:b/>
              </w:rPr>
            </w:pPr>
            <w:r w:rsidRPr="00521F86">
              <w:rPr>
                <w:b/>
              </w:rPr>
              <w:t>Total for Program 1.6</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0EC3D00F" w14:textId="77777777" w:rsidR="00AB6753" w:rsidRPr="00521F86" w:rsidRDefault="00AB6753" w:rsidP="002D1EA4">
            <w:pPr>
              <w:rPr>
                <w:b/>
              </w:rPr>
            </w:pPr>
            <w:r w:rsidRPr="00521F86">
              <w:rPr>
                <w:b/>
              </w:rPr>
              <w:t>50,155,810</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09119895" w14:textId="77777777" w:rsidR="00AB6753" w:rsidRPr="00521F86" w:rsidRDefault="00AB6753" w:rsidP="002D1EA4">
            <w:pPr>
              <w:rPr>
                <w:b/>
              </w:rPr>
            </w:pPr>
            <w:r w:rsidRPr="00521F86">
              <w:rPr>
                <w:b/>
              </w:rPr>
              <w:t>50,133,912</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03174A66" w14:textId="77777777" w:rsidR="00AB6753" w:rsidRPr="00521F86" w:rsidRDefault="00AB6753" w:rsidP="002D1EA4">
            <w:pPr>
              <w:rPr>
                <w:b/>
              </w:rPr>
            </w:pPr>
            <w:r w:rsidRPr="00521F86">
              <w:rPr>
                <w:b/>
              </w:rPr>
              <w:t>21,898</w:t>
            </w:r>
          </w:p>
        </w:tc>
      </w:tr>
      <w:tr w:rsidR="00AB6753" w:rsidRPr="00A30AFF" w14:paraId="1B00C5D5" w14:textId="77777777" w:rsidTr="002D1EA4">
        <w:trPr>
          <w:trHeight w:val="414"/>
        </w:trPr>
        <w:tc>
          <w:tcPr>
            <w:tcW w:w="9161" w:type="dxa"/>
            <w:gridSpan w:val="4"/>
            <w:tcBorders>
              <w:top w:val="single" w:sz="4" w:space="0" w:color="FFFFFF" w:themeColor="background1"/>
              <w:left w:val="nil"/>
              <w:bottom w:val="single" w:sz="4" w:space="0" w:color="auto"/>
              <w:right w:val="nil"/>
            </w:tcBorders>
            <w:shd w:val="clear" w:color="auto" w:fill="FFFFFF" w:themeFill="background1"/>
            <w:vAlign w:val="bottom"/>
            <w:hideMark/>
          </w:tcPr>
          <w:p w14:paraId="704B7CD4" w14:textId="77777777" w:rsidR="00AB6753" w:rsidRPr="00A30AFF" w:rsidRDefault="00AB6753" w:rsidP="002D1EA4">
            <w:pPr>
              <w:rPr>
                <w:b/>
              </w:rPr>
            </w:pPr>
            <w:r w:rsidRPr="00A30AFF">
              <w:rPr>
                <w:b/>
              </w:rPr>
              <w:t>Program 1.7: Allowances and Concessions for Seniors</w:t>
            </w:r>
          </w:p>
        </w:tc>
      </w:tr>
      <w:tr w:rsidR="00AB6753" w:rsidRPr="00A30AFF" w14:paraId="6CBBE370" w14:textId="77777777" w:rsidTr="002D1EA4">
        <w:trPr>
          <w:trHeight w:val="215"/>
        </w:trPr>
        <w:tc>
          <w:tcPr>
            <w:tcW w:w="4034" w:type="dxa"/>
            <w:tcBorders>
              <w:top w:val="single" w:sz="4" w:space="0" w:color="auto"/>
              <w:left w:val="nil"/>
              <w:bottom w:val="single" w:sz="4" w:space="0" w:color="FFFFFF" w:themeColor="background1"/>
              <w:right w:val="nil"/>
            </w:tcBorders>
            <w:shd w:val="clear" w:color="auto" w:fill="EAEAEA"/>
            <w:noWrap/>
            <w:hideMark/>
          </w:tcPr>
          <w:p w14:paraId="07B236C0" w14:textId="77777777" w:rsidR="00AB6753" w:rsidRPr="00A30AFF" w:rsidRDefault="00AB6753" w:rsidP="002D1EA4">
            <w:r w:rsidRPr="00A30AFF">
              <w:t>Administered expenses</w:t>
            </w:r>
          </w:p>
        </w:tc>
        <w:tc>
          <w:tcPr>
            <w:tcW w:w="1709" w:type="dxa"/>
            <w:tcBorders>
              <w:top w:val="single" w:sz="4" w:space="0" w:color="auto"/>
              <w:left w:val="nil"/>
              <w:bottom w:val="single" w:sz="4" w:space="0" w:color="FFFFFF" w:themeColor="background1"/>
              <w:right w:val="nil"/>
            </w:tcBorders>
            <w:shd w:val="clear" w:color="auto" w:fill="EAEAEA"/>
          </w:tcPr>
          <w:p w14:paraId="5AEB2A55"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0AC3DCC5"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16F91589" w14:textId="77777777" w:rsidR="00AB6753" w:rsidRPr="00A30AFF" w:rsidRDefault="00AB6753" w:rsidP="002D1EA4"/>
        </w:tc>
      </w:tr>
      <w:tr w:rsidR="00AB6753" w:rsidRPr="00A30AFF" w14:paraId="4A0F40CB"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EAEAEA"/>
            <w:noWrap/>
            <w:hideMark/>
          </w:tcPr>
          <w:p w14:paraId="7F112224" w14:textId="77777777" w:rsidR="00AB6753" w:rsidRPr="00A30AFF" w:rsidRDefault="00AB6753" w:rsidP="002D1EA4">
            <w:r w:rsidRPr="00A30AFF">
              <w:t>Special Appropriations</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4F57B2FE" w14:textId="77777777" w:rsidR="00AB6753" w:rsidRPr="00A30AFF" w:rsidRDefault="00AB6753" w:rsidP="002D1EA4">
            <w:r w:rsidRPr="00A30AFF">
              <w:t>369,220</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727A941C" w14:textId="77777777" w:rsidR="00AB6753" w:rsidRPr="00A30AFF" w:rsidRDefault="00AB6753" w:rsidP="002D1EA4">
            <w:r w:rsidRPr="00A30AFF">
              <w:t>378,734</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6390EE35" w14:textId="77777777" w:rsidR="00AB6753" w:rsidRPr="00A30AFF" w:rsidRDefault="00AB6753" w:rsidP="002D1EA4">
            <w:r>
              <w:t>(9,514)</w:t>
            </w:r>
          </w:p>
        </w:tc>
      </w:tr>
      <w:tr w:rsidR="00AB6753" w:rsidRPr="00A30AFF" w14:paraId="55FFCCAC"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hideMark/>
          </w:tcPr>
          <w:p w14:paraId="463587E8" w14:textId="77777777" w:rsidR="00AB6753" w:rsidRPr="00521F86" w:rsidRDefault="00AB6753" w:rsidP="002D1EA4">
            <w:pPr>
              <w:rPr>
                <w:b/>
              </w:rPr>
            </w:pPr>
            <w:r w:rsidRPr="00521F86">
              <w:rPr>
                <w:b/>
              </w:rPr>
              <w:t>Total for Program 1.7</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0EABB929" w14:textId="77777777" w:rsidR="00AB6753" w:rsidRPr="00521F86" w:rsidRDefault="00AB6753" w:rsidP="002D1EA4">
            <w:pPr>
              <w:rPr>
                <w:b/>
              </w:rPr>
            </w:pPr>
            <w:r w:rsidRPr="00521F86">
              <w:rPr>
                <w:b/>
              </w:rPr>
              <w:t>369,220</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6CEB0041" w14:textId="77777777" w:rsidR="00AB6753" w:rsidRPr="00521F86" w:rsidRDefault="00AB6753" w:rsidP="002D1EA4">
            <w:pPr>
              <w:rPr>
                <w:b/>
              </w:rPr>
            </w:pPr>
            <w:r w:rsidRPr="00521F86">
              <w:rPr>
                <w:b/>
              </w:rPr>
              <w:t>378,734</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0E75BDD2" w14:textId="77777777" w:rsidR="00AB6753" w:rsidRPr="00521F86" w:rsidRDefault="00AB6753" w:rsidP="002D1EA4">
            <w:pPr>
              <w:rPr>
                <w:b/>
              </w:rPr>
            </w:pPr>
            <w:r w:rsidRPr="00521F86">
              <w:rPr>
                <w:b/>
              </w:rPr>
              <w:t>(9,514)</w:t>
            </w:r>
          </w:p>
        </w:tc>
      </w:tr>
      <w:tr w:rsidR="00AB6753" w:rsidRPr="00A30AFF" w14:paraId="484EA293" w14:textId="77777777" w:rsidTr="002D1EA4">
        <w:trPr>
          <w:trHeight w:val="429"/>
        </w:trPr>
        <w:tc>
          <w:tcPr>
            <w:tcW w:w="9161" w:type="dxa"/>
            <w:gridSpan w:val="4"/>
            <w:tcBorders>
              <w:top w:val="single" w:sz="4" w:space="0" w:color="FFFFFF" w:themeColor="background1"/>
              <w:left w:val="nil"/>
              <w:bottom w:val="single" w:sz="4" w:space="0" w:color="auto"/>
              <w:right w:val="nil"/>
            </w:tcBorders>
            <w:shd w:val="clear" w:color="auto" w:fill="FFFFFF" w:themeFill="background1"/>
            <w:vAlign w:val="bottom"/>
            <w:hideMark/>
          </w:tcPr>
          <w:p w14:paraId="515BC2D7" w14:textId="77777777" w:rsidR="00AB6753" w:rsidRPr="00A30AFF" w:rsidRDefault="00AB6753" w:rsidP="002D1EA4">
            <w:pPr>
              <w:rPr>
                <w:b/>
              </w:rPr>
            </w:pPr>
            <w:r w:rsidRPr="00A30AFF">
              <w:rPr>
                <w:b/>
              </w:rPr>
              <w:t>Program 1.8: Income Support for People with Disability</w:t>
            </w:r>
          </w:p>
        </w:tc>
      </w:tr>
      <w:tr w:rsidR="00AB6753" w:rsidRPr="00A30AFF" w14:paraId="75F829C9" w14:textId="77777777" w:rsidTr="002D1EA4">
        <w:trPr>
          <w:trHeight w:val="215"/>
        </w:trPr>
        <w:tc>
          <w:tcPr>
            <w:tcW w:w="4034" w:type="dxa"/>
            <w:tcBorders>
              <w:top w:val="single" w:sz="4" w:space="0" w:color="auto"/>
              <w:left w:val="nil"/>
              <w:bottom w:val="single" w:sz="4" w:space="0" w:color="FFFFFF" w:themeColor="background1"/>
              <w:right w:val="nil"/>
            </w:tcBorders>
            <w:shd w:val="clear" w:color="auto" w:fill="EAEAEA"/>
            <w:noWrap/>
            <w:hideMark/>
          </w:tcPr>
          <w:p w14:paraId="0BBFAD88" w14:textId="77777777" w:rsidR="00AB6753" w:rsidRPr="00A30AFF" w:rsidRDefault="00AB6753" w:rsidP="002D1EA4">
            <w:r w:rsidRPr="00A30AFF">
              <w:t>Administered expenses</w:t>
            </w:r>
          </w:p>
        </w:tc>
        <w:tc>
          <w:tcPr>
            <w:tcW w:w="1709" w:type="dxa"/>
            <w:tcBorders>
              <w:top w:val="single" w:sz="4" w:space="0" w:color="auto"/>
              <w:left w:val="nil"/>
              <w:bottom w:val="single" w:sz="4" w:space="0" w:color="FFFFFF" w:themeColor="background1"/>
              <w:right w:val="nil"/>
            </w:tcBorders>
            <w:shd w:val="clear" w:color="auto" w:fill="EAEAEA"/>
          </w:tcPr>
          <w:p w14:paraId="537102DC"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3187A490"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3BC0FEB5" w14:textId="77777777" w:rsidR="00AB6753" w:rsidRPr="00A30AFF" w:rsidRDefault="00AB6753" w:rsidP="002D1EA4"/>
        </w:tc>
      </w:tr>
      <w:tr w:rsidR="00AB6753" w:rsidRPr="00A30AFF" w14:paraId="6B40B726"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EAEAEA"/>
            <w:noWrap/>
            <w:hideMark/>
          </w:tcPr>
          <w:p w14:paraId="4C680186" w14:textId="77777777" w:rsidR="00AB6753" w:rsidRPr="00A30AFF" w:rsidRDefault="00AB6753" w:rsidP="002D1EA4">
            <w:r w:rsidRPr="00A30AFF">
              <w:t>Special Appropriations</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4D0F551C" w14:textId="77777777" w:rsidR="00AB6753" w:rsidRPr="00A30AFF" w:rsidRDefault="00AB6753" w:rsidP="002D1EA4">
            <w:r w:rsidRPr="00A30AFF">
              <w:t>17,781,418</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6040EE6F" w14:textId="77777777" w:rsidR="00AB6753" w:rsidRPr="00A30AFF" w:rsidRDefault="00AB6753" w:rsidP="002D1EA4">
            <w:r w:rsidRPr="00A30AFF">
              <w:t>17,781,051</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3607FB4E" w14:textId="77777777" w:rsidR="00AB6753" w:rsidRPr="00A30AFF" w:rsidRDefault="00AB6753" w:rsidP="002D1EA4">
            <w:r>
              <w:t>367</w:t>
            </w:r>
          </w:p>
        </w:tc>
      </w:tr>
      <w:tr w:rsidR="00AB6753" w:rsidRPr="00A30AFF" w14:paraId="5A5DB164"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hideMark/>
          </w:tcPr>
          <w:p w14:paraId="2CBF2883" w14:textId="77777777" w:rsidR="00AB6753" w:rsidRPr="00521F86" w:rsidRDefault="00AB6753" w:rsidP="002D1EA4">
            <w:pPr>
              <w:rPr>
                <w:b/>
              </w:rPr>
            </w:pPr>
            <w:r w:rsidRPr="00521F86">
              <w:rPr>
                <w:b/>
              </w:rPr>
              <w:t>Total for Program 1.8</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3C81FF3C" w14:textId="77777777" w:rsidR="00AB6753" w:rsidRPr="00521F86" w:rsidRDefault="00AB6753" w:rsidP="002D1EA4">
            <w:pPr>
              <w:rPr>
                <w:b/>
              </w:rPr>
            </w:pPr>
            <w:r w:rsidRPr="00521F86">
              <w:rPr>
                <w:b/>
              </w:rPr>
              <w:t>17,781,418</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62296BE0" w14:textId="77777777" w:rsidR="00AB6753" w:rsidRPr="00521F86" w:rsidRDefault="00AB6753" w:rsidP="002D1EA4">
            <w:pPr>
              <w:rPr>
                <w:b/>
              </w:rPr>
            </w:pPr>
            <w:r w:rsidRPr="00521F86">
              <w:rPr>
                <w:b/>
              </w:rPr>
              <w:t>17,781,051</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6A1C4A5D" w14:textId="77777777" w:rsidR="00AB6753" w:rsidRPr="00521F86" w:rsidRDefault="00AB6753" w:rsidP="002D1EA4">
            <w:pPr>
              <w:rPr>
                <w:b/>
              </w:rPr>
            </w:pPr>
            <w:r w:rsidRPr="00521F86">
              <w:rPr>
                <w:b/>
              </w:rPr>
              <w:t>367</w:t>
            </w:r>
          </w:p>
        </w:tc>
      </w:tr>
      <w:tr w:rsidR="00AB6753" w:rsidRPr="00A30AFF" w14:paraId="48A34714" w14:textId="77777777" w:rsidTr="002D1EA4">
        <w:trPr>
          <w:trHeight w:val="382"/>
        </w:trPr>
        <w:tc>
          <w:tcPr>
            <w:tcW w:w="9161" w:type="dxa"/>
            <w:gridSpan w:val="4"/>
            <w:tcBorders>
              <w:top w:val="single" w:sz="4" w:space="0" w:color="FFFFFF" w:themeColor="background1"/>
              <w:left w:val="nil"/>
              <w:bottom w:val="single" w:sz="4" w:space="0" w:color="auto"/>
              <w:right w:val="nil"/>
            </w:tcBorders>
            <w:shd w:val="clear" w:color="auto" w:fill="FFFFFF" w:themeFill="background1"/>
            <w:vAlign w:val="bottom"/>
            <w:hideMark/>
          </w:tcPr>
          <w:p w14:paraId="576B40D6" w14:textId="77777777" w:rsidR="00AB6753" w:rsidRPr="00A30AFF" w:rsidRDefault="00AB6753" w:rsidP="002D1EA4">
            <w:pPr>
              <w:rPr>
                <w:b/>
              </w:rPr>
            </w:pPr>
            <w:r w:rsidRPr="00A30AFF">
              <w:rPr>
                <w:b/>
              </w:rPr>
              <w:t>Program 1.9: Income Support for Carers</w:t>
            </w:r>
          </w:p>
        </w:tc>
      </w:tr>
      <w:tr w:rsidR="00AB6753" w:rsidRPr="00A30AFF" w14:paraId="2F4CA49C" w14:textId="77777777" w:rsidTr="002D1EA4">
        <w:trPr>
          <w:trHeight w:val="215"/>
        </w:trPr>
        <w:tc>
          <w:tcPr>
            <w:tcW w:w="4034" w:type="dxa"/>
            <w:tcBorders>
              <w:top w:val="single" w:sz="4" w:space="0" w:color="auto"/>
              <w:left w:val="nil"/>
              <w:bottom w:val="single" w:sz="4" w:space="0" w:color="FFFFFF" w:themeColor="background1"/>
              <w:right w:val="nil"/>
            </w:tcBorders>
            <w:shd w:val="clear" w:color="auto" w:fill="EAEAEA"/>
            <w:noWrap/>
            <w:hideMark/>
          </w:tcPr>
          <w:p w14:paraId="3AEAB557" w14:textId="77777777" w:rsidR="00AB6753" w:rsidRPr="00A30AFF" w:rsidRDefault="00AB6753" w:rsidP="002D1EA4">
            <w:r w:rsidRPr="00A30AFF">
              <w:t>Administered expenses</w:t>
            </w:r>
          </w:p>
        </w:tc>
        <w:tc>
          <w:tcPr>
            <w:tcW w:w="1709" w:type="dxa"/>
            <w:tcBorders>
              <w:top w:val="single" w:sz="4" w:space="0" w:color="auto"/>
              <w:left w:val="nil"/>
              <w:bottom w:val="single" w:sz="4" w:space="0" w:color="FFFFFF" w:themeColor="background1"/>
              <w:right w:val="nil"/>
            </w:tcBorders>
            <w:shd w:val="clear" w:color="auto" w:fill="EAEAEA"/>
          </w:tcPr>
          <w:p w14:paraId="593B93BC"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5D9F77ED"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49C896C3" w14:textId="77777777" w:rsidR="00AB6753" w:rsidRPr="00A30AFF" w:rsidRDefault="00AB6753" w:rsidP="002D1EA4"/>
        </w:tc>
      </w:tr>
      <w:tr w:rsidR="00AB6753" w:rsidRPr="00A30AFF" w14:paraId="2008F2F3"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noWrap/>
            <w:hideMark/>
          </w:tcPr>
          <w:p w14:paraId="2A53D27C" w14:textId="77777777" w:rsidR="00AB6753" w:rsidRPr="00A30AFF" w:rsidRDefault="00AB6753" w:rsidP="002D1EA4">
            <w:r w:rsidRPr="00A30AFF">
              <w:t>Ordinary Annual Services (Appropriation Act No. 1 and No. 3)</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6CBEA268" w14:textId="77777777" w:rsidR="00AB6753" w:rsidRPr="00A30AFF" w:rsidRDefault="00AB6753" w:rsidP="002D1EA4">
            <w:r w:rsidRPr="00A30AFF">
              <w:t>2,800</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686954EF" w14:textId="77777777" w:rsidR="00AB6753" w:rsidRPr="00A30AFF" w:rsidRDefault="00AB6753" w:rsidP="002D1EA4">
            <w:r w:rsidRPr="00A30AFF">
              <w:t>1,406</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2BEC370F" w14:textId="77777777" w:rsidR="00AB6753" w:rsidRPr="00A30AFF" w:rsidRDefault="00AB6753" w:rsidP="002D1EA4">
            <w:r>
              <w:t>1,394</w:t>
            </w:r>
          </w:p>
        </w:tc>
      </w:tr>
      <w:tr w:rsidR="00AB6753" w:rsidRPr="00A30AFF" w14:paraId="6B33C825"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EAEAEA"/>
            <w:noWrap/>
            <w:hideMark/>
          </w:tcPr>
          <w:p w14:paraId="125D061C" w14:textId="77777777" w:rsidR="00AB6753" w:rsidRPr="00A30AFF" w:rsidRDefault="00AB6753" w:rsidP="002D1EA4">
            <w:r w:rsidRPr="00A30AFF">
              <w:t>Special Appropriations</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15C00BA2" w14:textId="77777777" w:rsidR="00AB6753" w:rsidRPr="00A30AFF" w:rsidRDefault="00AB6753" w:rsidP="002D1EA4">
            <w:r w:rsidRPr="00A30AFF">
              <w:t>9,445,073</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038B06D2" w14:textId="77777777" w:rsidR="00AB6753" w:rsidRPr="00A30AFF" w:rsidRDefault="00AB6753" w:rsidP="002D1EA4">
            <w:r w:rsidRPr="00A30AFF">
              <w:t>9,375,816</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079145EA" w14:textId="77777777" w:rsidR="00AB6753" w:rsidRPr="00A30AFF" w:rsidRDefault="00AB6753" w:rsidP="002D1EA4">
            <w:r>
              <w:t>69,257</w:t>
            </w:r>
          </w:p>
        </w:tc>
      </w:tr>
      <w:tr w:rsidR="00AB6753" w:rsidRPr="00A30AFF" w14:paraId="6C4D2374"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hideMark/>
          </w:tcPr>
          <w:p w14:paraId="3C921EBD" w14:textId="77777777" w:rsidR="00AB6753" w:rsidRPr="00521F86" w:rsidRDefault="00AB6753" w:rsidP="002D1EA4">
            <w:pPr>
              <w:rPr>
                <w:b/>
              </w:rPr>
            </w:pPr>
            <w:r w:rsidRPr="00521F86">
              <w:rPr>
                <w:b/>
              </w:rPr>
              <w:t>Total for Program 1.9</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4CB216B2" w14:textId="77777777" w:rsidR="00AB6753" w:rsidRPr="00521F86" w:rsidRDefault="00AB6753" w:rsidP="002D1EA4">
            <w:pPr>
              <w:rPr>
                <w:b/>
              </w:rPr>
            </w:pPr>
            <w:r w:rsidRPr="00521F86">
              <w:rPr>
                <w:b/>
              </w:rPr>
              <w:t>9,447,873</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671D82ED" w14:textId="77777777" w:rsidR="00AB6753" w:rsidRPr="00521F86" w:rsidRDefault="00AB6753" w:rsidP="002D1EA4">
            <w:pPr>
              <w:rPr>
                <w:b/>
              </w:rPr>
            </w:pPr>
            <w:r w:rsidRPr="00521F86">
              <w:rPr>
                <w:b/>
              </w:rPr>
              <w:t>9,377,222</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7234BD40" w14:textId="77777777" w:rsidR="00AB6753" w:rsidRPr="00521F86" w:rsidRDefault="00AB6753" w:rsidP="002D1EA4">
            <w:pPr>
              <w:rPr>
                <w:b/>
              </w:rPr>
            </w:pPr>
            <w:r w:rsidRPr="00521F86">
              <w:rPr>
                <w:b/>
              </w:rPr>
              <w:t>70,651</w:t>
            </w:r>
          </w:p>
        </w:tc>
      </w:tr>
      <w:tr w:rsidR="00AB6753" w:rsidRPr="00A30AFF" w14:paraId="0D2BB858" w14:textId="77777777" w:rsidTr="002D1EA4">
        <w:trPr>
          <w:trHeight w:val="442"/>
        </w:trPr>
        <w:tc>
          <w:tcPr>
            <w:tcW w:w="9161" w:type="dxa"/>
            <w:gridSpan w:val="4"/>
            <w:tcBorders>
              <w:top w:val="single" w:sz="4" w:space="0" w:color="FFFFFF" w:themeColor="background1"/>
              <w:left w:val="nil"/>
              <w:bottom w:val="single" w:sz="4" w:space="0" w:color="auto"/>
              <w:right w:val="nil"/>
            </w:tcBorders>
            <w:shd w:val="clear" w:color="auto" w:fill="FFFFFF" w:themeFill="background1"/>
            <w:vAlign w:val="bottom"/>
            <w:hideMark/>
          </w:tcPr>
          <w:p w14:paraId="665605DC" w14:textId="77777777" w:rsidR="00AB6753" w:rsidRPr="00A30AFF" w:rsidRDefault="00AB6753" w:rsidP="002D1EA4">
            <w:pPr>
              <w:rPr>
                <w:b/>
              </w:rPr>
            </w:pPr>
            <w:r w:rsidRPr="00A30AFF">
              <w:rPr>
                <w:b/>
              </w:rPr>
              <w:t>Program 1.10: Working Age Payments</w:t>
            </w:r>
          </w:p>
        </w:tc>
      </w:tr>
      <w:tr w:rsidR="00AB6753" w:rsidRPr="00A30AFF" w14:paraId="30DE1C97" w14:textId="77777777" w:rsidTr="002D1EA4">
        <w:trPr>
          <w:trHeight w:val="215"/>
        </w:trPr>
        <w:tc>
          <w:tcPr>
            <w:tcW w:w="4034" w:type="dxa"/>
            <w:tcBorders>
              <w:top w:val="single" w:sz="4" w:space="0" w:color="auto"/>
              <w:left w:val="nil"/>
              <w:bottom w:val="single" w:sz="4" w:space="0" w:color="FFFFFF" w:themeColor="background1"/>
              <w:right w:val="nil"/>
            </w:tcBorders>
            <w:shd w:val="clear" w:color="auto" w:fill="EAEAEA"/>
            <w:noWrap/>
            <w:hideMark/>
          </w:tcPr>
          <w:p w14:paraId="614BBF44" w14:textId="77777777" w:rsidR="00AB6753" w:rsidRPr="00A30AFF" w:rsidRDefault="00AB6753" w:rsidP="002D1EA4">
            <w:r w:rsidRPr="00A30AFF">
              <w:t>Administered expenses</w:t>
            </w:r>
          </w:p>
        </w:tc>
        <w:tc>
          <w:tcPr>
            <w:tcW w:w="1709" w:type="dxa"/>
            <w:tcBorders>
              <w:top w:val="single" w:sz="4" w:space="0" w:color="auto"/>
              <w:left w:val="nil"/>
              <w:bottom w:val="single" w:sz="4" w:space="0" w:color="FFFFFF" w:themeColor="background1"/>
              <w:right w:val="nil"/>
            </w:tcBorders>
            <w:shd w:val="clear" w:color="auto" w:fill="EAEAEA"/>
          </w:tcPr>
          <w:p w14:paraId="31F56F7E"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2FC2FBCF"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6642EF2A" w14:textId="77777777" w:rsidR="00AB6753" w:rsidRPr="00A30AFF" w:rsidRDefault="00AB6753" w:rsidP="002D1EA4"/>
        </w:tc>
      </w:tr>
      <w:tr w:rsidR="00AB6753" w:rsidRPr="00A30AFF" w14:paraId="51972775"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noWrap/>
            <w:hideMark/>
          </w:tcPr>
          <w:p w14:paraId="53FB89C5" w14:textId="77777777" w:rsidR="00AB6753" w:rsidRPr="00A30AFF" w:rsidRDefault="00AB6753" w:rsidP="002D1EA4">
            <w:r w:rsidRPr="00A30AFF">
              <w:t>Ordinary Annual Services (Appropriation Act No. 1 and No. 3)</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73E13E41" w14:textId="77777777" w:rsidR="00AB6753" w:rsidRPr="00A30AFF" w:rsidRDefault="00AB6753" w:rsidP="002D1EA4">
            <w:r w:rsidRPr="00A30AFF">
              <w:t>37,561</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231E2ED6" w14:textId="77777777" w:rsidR="00AB6753" w:rsidRPr="00A30AFF" w:rsidRDefault="00AB6753" w:rsidP="002D1EA4">
            <w:r w:rsidRPr="00A30AFF">
              <w:t>36,013</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57F79EE2" w14:textId="77777777" w:rsidR="00AB6753" w:rsidRPr="00A30AFF" w:rsidRDefault="00AB6753" w:rsidP="002D1EA4">
            <w:r>
              <w:t>1,548</w:t>
            </w:r>
          </w:p>
        </w:tc>
      </w:tr>
      <w:tr w:rsidR="00AB6753" w:rsidRPr="00A30AFF" w14:paraId="55C8DA3C"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EAEAEA"/>
            <w:noWrap/>
            <w:hideMark/>
          </w:tcPr>
          <w:p w14:paraId="2ED187CD" w14:textId="77777777" w:rsidR="00AB6753" w:rsidRPr="00A30AFF" w:rsidRDefault="00AB6753" w:rsidP="002D1EA4">
            <w:r w:rsidRPr="00A30AFF">
              <w:t>Special Appropriations</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37538436" w14:textId="77777777" w:rsidR="00AB6753" w:rsidRPr="00A30AFF" w:rsidRDefault="00AB6753" w:rsidP="002D1EA4">
            <w:r w:rsidRPr="00A30AFF">
              <w:t>26,204,264</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1A03E310" w14:textId="77777777" w:rsidR="00AB6753" w:rsidRPr="00A30AFF" w:rsidRDefault="00AB6753" w:rsidP="002D1EA4">
            <w:r w:rsidRPr="00A30AFF">
              <w:t>26,836,280</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222A8F51" w14:textId="77777777" w:rsidR="00AB6753" w:rsidRPr="00A30AFF" w:rsidRDefault="00AB6753" w:rsidP="002D1EA4">
            <w:r>
              <w:t>(632,016)</w:t>
            </w:r>
          </w:p>
        </w:tc>
      </w:tr>
      <w:tr w:rsidR="00AB6753" w:rsidRPr="00A30AFF" w14:paraId="45A13D48"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noWrap/>
            <w:hideMark/>
          </w:tcPr>
          <w:p w14:paraId="15691866" w14:textId="77777777" w:rsidR="00AB6753" w:rsidRPr="00521F86" w:rsidRDefault="00AB6753" w:rsidP="002D1EA4">
            <w:pPr>
              <w:rPr>
                <w:b/>
              </w:rPr>
            </w:pPr>
            <w:r w:rsidRPr="00521F86">
              <w:rPr>
                <w:b/>
              </w:rPr>
              <w:t>Total for Program 1.10</w:t>
            </w:r>
          </w:p>
        </w:tc>
        <w:tc>
          <w:tcPr>
            <w:tcW w:w="1709" w:type="dxa"/>
            <w:tcBorders>
              <w:top w:val="single" w:sz="4" w:space="0" w:color="FFFFFF" w:themeColor="background1"/>
              <w:left w:val="nil"/>
              <w:bottom w:val="single" w:sz="4" w:space="0" w:color="FFFFFF" w:themeColor="background1"/>
              <w:right w:val="nil"/>
            </w:tcBorders>
            <w:shd w:val="clear" w:color="auto" w:fill="auto"/>
            <w:noWrap/>
          </w:tcPr>
          <w:p w14:paraId="7BD9CA68" w14:textId="77777777" w:rsidR="00AB6753" w:rsidRPr="00521F86" w:rsidRDefault="00AB6753" w:rsidP="002D1EA4">
            <w:pPr>
              <w:rPr>
                <w:b/>
              </w:rPr>
            </w:pPr>
            <w:r w:rsidRPr="00521F86">
              <w:rPr>
                <w:b/>
              </w:rPr>
              <w:t>26,241,825</w:t>
            </w:r>
          </w:p>
        </w:tc>
        <w:tc>
          <w:tcPr>
            <w:tcW w:w="1709" w:type="dxa"/>
            <w:tcBorders>
              <w:top w:val="single" w:sz="4" w:space="0" w:color="FFFFFF" w:themeColor="background1"/>
              <w:left w:val="nil"/>
              <w:bottom w:val="single" w:sz="4" w:space="0" w:color="FFFFFF" w:themeColor="background1"/>
              <w:right w:val="nil"/>
            </w:tcBorders>
            <w:shd w:val="clear" w:color="auto" w:fill="auto"/>
            <w:noWrap/>
          </w:tcPr>
          <w:p w14:paraId="6D36F150" w14:textId="77777777" w:rsidR="00AB6753" w:rsidRPr="00521F86" w:rsidRDefault="00AB6753" w:rsidP="002D1EA4">
            <w:pPr>
              <w:rPr>
                <w:b/>
              </w:rPr>
            </w:pPr>
            <w:r w:rsidRPr="00521F86">
              <w:rPr>
                <w:b/>
              </w:rPr>
              <w:t>26,872,293</w:t>
            </w:r>
          </w:p>
        </w:tc>
        <w:tc>
          <w:tcPr>
            <w:tcW w:w="1709" w:type="dxa"/>
            <w:tcBorders>
              <w:top w:val="single" w:sz="4" w:space="0" w:color="FFFFFF" w:themeColor="background1"/>
              <w:left w:val="nil"/>
              <w:bottom w:val="single" w:sz="4" w:space="0" w:color="FFFFFF" w:themeColor="background1"/>
              <w:right w:val="nil"/>
            </w:tcBorders>
            <w:shd w:val="clear" w:color="auto" w:fill="auto"/>
            <w:noWrap/>
          </w:tcPr>
          <w:p w14:paraId="6FD47BE0" w14:textId="77777777" w:rsidR="00AB6753" w:rsidRPr="00521F86" w:rsidRDefault="00AB6753" w:rsidP="002D1EA4">
            <w:pPr>
              <w:rPr>
                <w:b/>
              </w:rPr>
            </w:pPr>
            <w:r w:rsidRPr="00521F86">
              <w:rPr>
                <w:b/>
              </w:rPr>
              <w:t>(630,468)</w:t>
            </w:r>
          </w:p>
        </w:tc>
      </w:tr>
      <w:tr w:rsidR="00AB6753" w:rsidRPr="00A30AFF" w14:paraId="2C7231C3" w14:textId="77777777" w:rsidTr="002D1EA4">
        <w:trPr>
          <w:trHeight w:val="446"/>
        </w:trPr>
        <w:tc>
          <w:tcPr>
            <w:tcW w:w="9161" w:type="dxa"/>
            <w:gridSpan w:val="4"/>
            <w:tcBorders>
              <w:top w:val="single" w:sz="4" w:space="0" w:color="FFFFFF" w:themeColor="background1"/>
              <w:left w:val="nil"/>
              <w:bottom w:val="single" w:sz="4" w:space="0" w:color="auto"/>
              <w:right w:val="nil"/>
            </w:tcBorders>
            <w:shd w:val="clear" w:color="auto" w:fill="FFFFFF" w:themeFill="background1"/>
            <w:vAlign w:val="bottom"/>
            <w:hideMark/>
          </w:tcPr>
          <w:p w14:paraId="55B8C534" w14:textId="77777777" w:rsidR="00AB6753" w:rsidRPr="00A30AFF" w:rsidRDefault="00AB6753" w:rsidP="002D1EA4">
            <w:pPr>
              <w:rPr>
                <w:b/>
              </w:rPr>
            </w:pPr>
            <w:r w:rsidRPr="00A30AFF">
              <w:rPr>
                <w:b/>
              </w:rPr>
              <w:lastRenderedPageBreak/>
              <w:t>Program 1.11: Student Payments</w:t>
            </w:r>
          </w:p>
        </w:tc>
      </w:tr>
      <w:tr w:rsidR="00AB6753" w:rsidRPr="00A30AFF" w14:paraId="657E0CF4" w14:textId="77777777" w:rsidTr="002D1EA4">
        <w:trPr>
          <w:trHeight w:val="215"/>
        </w:trPr>
        <w:tc>
          <w:tcPr>
            <w:tcW w:w="4034" w:type="dxa"/>
            <w:tcBorders>
              <w:top w:val="single" w:sz="4" w:space="0" w:color="auto"/>
              <w:left w:val="nil"/>
              <w:bottom w:val="single" w:sz="4" w:space="0" w:color="FFFFFF" w:themeColor="background1"/>
              <w:right w:val="nil"/>
            </w:tcBorders>
            <w:shd w:val="clear" w:color="auto" w:fill="EAEAEA"/>
            <w:noWrap/>
            <w:hideMark/>
          </w:tcPr>
          <w:p w14:paraId="33EBBF76" w14:textId="77777777" w:rsidR="00AB6753" w:rsidRPr="00A30AFF" w:rsidRDefault="00AB6753" w:rsidP="002D1EA4">
            <w:r w:rsidRPr="00A30AFF">
              <w:t>Administered expenses</w:t>
            </w:r>
          </w:p>
        </w:tc>
        <w:tc>
          <w:tcPr>
            <w:tcW w:w="1709" w:type="dxa"/>
            <w:tcBorders>
              <w:top w:val="single" w:sz="4" w:space="0" w:color="auto"/>
              <w:left w:val="nil"/>
              <w:bottom w:val="single" w:sz="4" w:space="0" w:color="FFFFFF" w:themeColor="background1"/>
              <w:right w:val="nil"/>
            </w:tcBorders>
            <w:shd w:val="clear" w:color="auto" w:fill="EAEAEA"/>
          </w:tcPr>
          <w:p w14:paraId="761CDF7D"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4CB6C581"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1AC3D2E3" w14:textId="77777777" w:rsidR="00AB6753" w:rsidRPr="00A30AFF" w:rsidRDefault="00AB6753" w:rsidP="002D1EA4"/>
        </w:tc>
      </w:tr>
      <w:tr w:rsidR="00AB6753" w:rsidRPr="00A30AFF" w14:paraId="71F7285D"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EAEAEA"/>
            <w:noWrap/>
            <w:hideMark/>
          </w:tcPr>
          <w:p w14:paraId="2FC3D937" w14:textId="77777777" w:rsidR="00AB6753" w:rsidRPr="00A30AFF" w:rsidRDefault="00AB6753" w:rsidP="002D1EA4">
            <w:r w:rsidRPr="00A30AFF">
              <w:t>Special Appropriations</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0770CE07" w14:textId="77777777" w:rsidR="00AB6753" w:rsidRPr="00A30AFF" w:rsidRDefault="00AB6753" w:rsidP="002D1EA4">
            <w:r w:rsidRPr="00A30AFF">
              <w:t>3,516,712</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0D9C9B1E" w14:textId="77777777" w:rsidR="00AB6753" w:rsidRPr="00A30AFF" w:rsidRDefault="00AB6753" w:rsidP="002D1EA4">
            <w:r w:rsidRPr="00A30AFF">
              <w:t>3,617,377</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4BF786B2" w14:textId="77777777" w:rsidR="00AB6753" w:rsidRPr="00A30AFF" w:rsidRDefault="00AB6753" w:rsidP="002D1EA4">
            <w:r>
              <w:t>(100,665)</w:t>
            </w:r>
          </w:p>
        </w:tc>
      </w:tr>
      <w:tr w:rsidR="00AB6753" w:rsidRPr="00A30AFF" w14:paraId="09BDF5AA"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hideMark/>
          </w:tcPr>
          <w:p w14:paraId="31D45F7D" w14:textId="77777777" w:rsidR="00AB6753" w:rsidRPr="00521F86" w:rsidRDefault="00AB6753" w:rsidP="002D1EA4">
            <w:pPr>
              <w:rPr>
                <w:b/>
              </w:rPr>
            </w:pPr>
            <w:r w:rsidRPr="00521F86">
              <w:rPr>
                <w:b/>
              </w:rPr>
              <w:t>Total for Program 1.11</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3B6000DF" w14:textId="77777777" w:rsidR="00AB6753" w:rsidRPr="00521F86" w:rsidRDefault="00AB6753" w:rsidP="002D1EA4">
            <w:pPr>
              <w:rPr>
                <w:b/>
              </w:rPr>
            </w:pPr>
            <w:r w:rsidRPr="00521F86">
              <w:rPr>
                <w:b/>
              </w:rPr>
              <w:t>3,516,712</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6D0E4945" w14:textId="77777777" w:rsidR="00AB6753" w:rsidRPr="00521F86" w:rsidRDefault="00AB6753" w:rsidP="002D1EA4">
            <w:pPr>
              <w:rPr>
                <w:b/>
              </w:rPr>
            </w:pPr>
            <w:r w:rsidRPr="00521F86">
              <w:rPr>
                <w:b/>
              </w:rPr>
              <w:t>3,617,377</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581DC93C" w14:textId="77777777" w:rsidR="00AB6753" w:rsidRPr="00521F86" w:rsidRDefault="00AB6753" w:rsidP="002D1EA4">
            <w:pPr>
              <w:rPr>
                <w:b/>
              </w:rPr>
            </w:pPr>
            <w:r w:rsidRPr="00521F86">
              <w:rPr>
                <w:b/>
              </w:rPr>
              <w:t>(100,665)</w:t>
            </w:r>
          </w:p>
        </w:tc>
      </w:tr>
      <w:tr w:rsidR="00AB6753" w:rsidRPr="00A30AFF" w14:paraId="54464756" w14:textId="77777777" w:rsidTr="002D1EA4">
        <w:trPr>
          <w:trHeight w:val="421"/>
        </w:trPr>
        <w:tc>
          <w:tcPr>
            <w:tcW w:w="9161" w:type="dxa"/>
            <w:gridSpan w:val="4"/>
            <w:tcBorders>
              <w:top w:val="single" w:sz="4" w:space="0" w:color="FFFFFF" w:themeColor="background1"/>
              <w:left w:val="nil"/>
              <w:bottom w:val="single" w:sz="4" w:space="0" w:color="auto"/>
              <w:right w:val="nil"/>
            </w:tcBorders>
            <w:shd w:val="clear" w:color="auto" w:fill="FFFFFF" w:themeFill="background1"/>
            <w:vAlign w:val="bottom"/>
            <w:hideMark/>
          </w:tcPr>
          <w:p w14:paraId="57863FB1" w14:textId="77777777" w:rsidR="00AB6753" w:rsidRPr="00A30AFF" w:rsidRDefault="00AB6753" w:rsidP="002D1EA4">
            <w:pPr>
              <w:rPr>
                <w:b/>
              </w:rPr>
            </w:pPr>
            <w:r w:rsidRPr="00A30AFF">
              <w:rPr>
                <w:b/>
              </w:rPr>
              <w:t>Program 1.12: Program Support for Outcome 1</w:t>
            </w:r>
          </w:p>
        </w:tc>
      </w:tr>
      <w:tr w:rsidR="00AB6753" w:rsidRPr="00A30AFF" w14:paraId="188D3019" w14:textId="77777777" w:rsidTr="002D1EA4">
        <w:trPr>
          <w:trHeight w:val="215"/>
        </w:trPr>
        <w:tc>
          <w:tcPr>
            <w:tcW w:w="4034" w:type="dxa"/>
            <w:tcBorders>
              <w:top w:val="single" w:sz="4" w:space="0" w:color="auto"/>
              <w:left w:val="nil"/>
              <w:bottom w:val="single" w:sz="4" w:space="0" w:color="FFFFFF" w:themeColor="background1"/>
              <w:right w:val="nil"/>
            </w:tcBorders>
            <w:shd w:val="clear" w:color="auto" w:fill="EAEAEA"/>
            <w:noWrap/>
            <w:hideMark/>
          </w:tcPr>
          <w:p w14:paraId="272B8682" w14:textId="77777777" w:rsidR="00AB6753" w:rsidRPr="00A30AFF" w:rsidRDefault="00AB6753" w:rsidP="002D1EA4">
            <w:r w:rsidRPr="00A30AFF">
              <w:t>Departmental expenses</w:t>
            </w:r>
          </w:p>
        </w:tc>
        <w:tc>
          <w:tcPr>
            <w:tcW w:w="1709" w:type="dxa"/>
            <w:tcBorders>
              <w:top w:val="single" w:sz="4" w:space="0" w:color="auto"/>
              <w:left w:val="nil"/>
              <w:bottom w:val="single" w:sz="4" w:space="0" w:color="FFFFFF" w:themeColor="background1"/>
              <w:right w:val="nil"/>
            </w:tcBorders>
            <w:shd w:val="clear" w:color="auto" w:fill="EAEAEA"/>
            <w:noWrap/>
          </w:tcPr>
          <w:p w14:paraId="4BD40204"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noWrap/>
          </w:tcPr>
          <w:p w14:paraId="1F5E36A9"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noWrap/>
          </w:tcPr>
          <w:p w14:paraId="7C63B7C0" w14:textId="77777777" w:rsidR="00AB6753" w:rsidRPr="00A30AFF" w:rsidRDefault="00AB6753" w:rsidP="002D1EA4"/>
        </w:tc>
      </w:tr>
      <w:tr w:rsidR="00AB6753" w:rsidRPr="00A30AFF" w14:paraId="3599FB77"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noWrap/>
            <w:hideMark/>
          </w:tcPr>
          <w:p w14:paraId="7B7ADF8F" w14:textId="77777777" w:rsidR="00AB6753" w:rsidRPr="00A30AFF" w:rsidRDefault="00AB6753" w:rsidP="002D1EA4">
            <w:r w:rsidRPr="00A30AFF">
              <w:t xml:space="preserve">Departmental </w:t>
            </w:r>
            <w:proofErr w:type="spellStart"/>
            <w:r w:rsidRPr="00A30AFF">
              <w:t>appropriation</w:t>
            </w:r>
            <w:r w:rsidRPr="00A30AFF">
              <w:rPr>
                <w:vertAlign w:val="superscript"/>
              </w:rPr>
              <w:t>b</w:t>
            </w:r>
            <w:proofErr w:type="spellEnd"/>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33DF5ECC" w14:textId="77777777" w:rsidR="00AB6753" w:rsidRPr="00A30AFF" w:rsidRDefault="00AB6753" w:rsidP="002D1EA4">
            <w:r w:rsidRPr="00A30AFF">
              <w:t>102,301</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1B4476AD" w14:textId="77777777" w:rsidR="00AB6753" w:rsidRPr="00A30AFF" w:rsidRDefault="00AB6753" w:rsidP="002D1EA4">
            <w:r w:rsidRPr="00A30AFF">
              <w:t>107,912</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2C899806" w14:textId="77777777" w:rsidR="00AB6753" w:rsidRPr="00A30AFF" w:rsidRDefault="00AB6753" w:rsidP="002D1EA4">
            <w:r>
              <w:t>(5,611)</w:t>
            </w:r>
          </w:p>
        </w:tc>
      </w:tr>
      <w:tr w:rsidR="00AB6753" w:rsidRPr="00A30AFF" w14:paraId="5816AD5F"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EAEAEA"/>
            <w:noWrap/>
            <w:hideMark/>
          </w:tcPr>
          <w:p w14:paraId="6F50E389" w14:textId="77777777" w:rsidR="00AB6753" w:rsidRPr="00A30AFF" w:rsidRDefault="00AB6753" w:rsidP="002D1EA4">
            <w:r w:rsidRPr="00A30AFF">
              <w:t>Expenses not requiring appropriation in the Budget year</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0D3600C6" w14:textId="77777777" w:rsidR="00AB6753" w:rsidRPr="00A30AFF" w:rsidRDefault="00AB6753" w:rsidP="002D1EA4">
            <w:r w:rsidRPr="00A30AFF">
              <w:t>9,686</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6BC86519" w14:textId="77777777" w:rsidR="00AB6753" w:rsidRPr="00A30AFF" w:rsidRDefault="00AB6753" w:rsidP="002D1EA4">
            <w:r>
              <w:t>17,574</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01DB60A1" w14:textId="77777777" w:rsidR="00AB6753" w:rsidRPr="00A30AFF" w:rsidRDefault="00AB6753" w:rsidP="002D1EA4">
            <w:r>
              <w:t>(7,888)</w:t>
            </w:r>
          </w:p>
        </w:tc>
      </w:tr>
      <w:tr w:rsidR="00AB6753" w:rsidRPr="00A30AFF" w14:paraId="30CC0307"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noWrap/>
            <w:hideMark/>
          </w:tcPr>
          <w:p w14:paraId="7905E7C8" w14:textId="77777777" w:rsidR="00AB6753" w:rsidRPr="00521F86" w:rsidRDefault="00AB6753" w:rsidP="002D1EA4">
            <w:pPr>
              <w:rPr>
                <w:b/>
              </w:rPr>
            </w:pPr>
            <w:r w:rsidRPr="00521F86">
              <w:rPr>
                <w:b/>
              </w:rPr>
              <w:t>Total for Program 1.12</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7299E56E" w14:textId="77777777" w:rsidR="00AB6753" w:rsidRPr="00521F86" w:rsidRDefault="00AB6753" w:rsidP="002D1EA4">
            <w:pPr>
              <w:rPr>
                <w:b/>
              </w:rPr>
            </w:pPr>
            <w:r w:rsidRPr="00521F86">
              <w:rPr>
                <w:b/>
              </w:rPr>
              <w:t>111,987</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15039DE1" w14:textId="77777777" w:rsidR="00AB6753" w:rsidRPr="00521F86" w:rsidRDefault="00AB6753" w:rsidP="002D1EA4">
            <w:pPr>
              <w:rPr>
                <w:b/>
              </w:rPr>
            </w:pPr>
            <w:r w:rsidRPr="00521F86">
              <w:rPr>
                <w:b/>
              </w:rPr>
              <w:t>125,486</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46CC9063" w14:textId="77777777" w:rsidR="00AB6753" w:rsidRPr="00521F86" w:rsidRDefault="00AB6753" w:rsidP="002D1EA4">
            <w:pPr>
              <w:rPr>
                <w:b/>
              </w:rPr>
            </w:pPr>
            <w:r w:rsidRPr="00521F86">
              <w:rPr>
                <w:b/>
              </w:rPr>
              <w:t>(13,499)</w:t>
            </w:r>
          </w:p>
        </w:tc>
      </w:tr>
      <w:tr w:rsidR="00AB6753" w:rsidRPr="00A30AFF" w14:paraId="286144EB" w14:textId="77777777" w:rsidTr="002D1EA4">
        <w:trPr>
          <w:trHeight w:val="318"/>
        </w:trPr>
        <w:tc>
          <w:tcPr>
            <w:tcW w:w="9161" w:type="dxa"/>
            <w:gridSpan w:val="4"/>
            <w:tcBorders>
              <w:top w:val="single" w:sz="4" w:space="0" w:color="FFFFFF" w:themeColor="background1"/>
              <w:left w:val="nil"/>
              <w:bottom w:val="single" w:sz="4" w:space="0" w:color="auto"/>
              <w:right w:val="nil"/>
            </w:tcBorders>
            <w:shd w:val="clear" w:color="auto" w:fill="FFFFFF" w:themeFill="background1"/>
            <w:noWrap/>
            <w:vAlign w:val="bottom"/>
            <w:hideMark/>
          </w:tcPr>
          <w:p w14:paraId="1D9CEDF3" w14:textId="77777777" w:rsidR="00AB6753" w:rsidRPr="00A30AFF" w:rsidRDefault="00AB6753" w:rsidP="002D1EA4">
            <w:pPr>
              <w:rPr>
                <w:b/>
              </w:rPr>
            </w:pPr>
            <w:r w:rsidRPr="00A30AFF">
              <w:rPr>
                <w:b/>
              </w:rPr>
              <w:t>Outcome 1 Totals by appropriation type</w:t>
            </w:r>
          </w:p>
        </w:tc>
      </w:tr>
      <w:tr w:rsidR="00AB6753" w:rsidRPr="00A30AFF" w14:paraId="4F3EC6FF" w14:textId="77777777" w:rsidTr="002D1EA4">
        <w:trPr>
          <w:trHeight w:val="215"/>
        </w:trPr>
        <w:tc>
          <w:tcPr>
            <w:tcW w:w="4034" w:type="dxa"/>
            <w:tcBorders>
              <w:top w:val="single" w:sz="4" w:space="0" w:color="auto"/>
              <w:left w:val="nil"/>
              <w:bottom w:val="single" w:sz="4" w:space="0" w:color="FFFFFF" w:themeColor="background1"/>
              <w:right w:val="nil"/>
            </w:tcBorders>
            <w:shd w:val="clear" w:color="auto" w:fill="EAEAEA"/>
            <w:noWrap/>
            <w:hideMark/>
          </w:tcPr>
          <w:p w14:paraId="369DA358" w14:textId="77777777" w:rsidR="00AB6753" w:rsidRPr="00A30AFF" w:rsidRDefault="00AB6753" w:rsidP="002D1EA4">
            <w:r w:rsidRPr="00A30AFF">
              <w:t>Administered expenses</w:t>
            </w:r>
          </w:p>
        </w:tc>
        <w:tc>
          <w:tcPr>
            <w:tcW w:w="1709" w:type="dxa"/>
            <w:tcBorders>
              <w:top w:val="single" w:sz="4" w:space="0" w:color="auto"/>
              <w:left w:val="nil"/>
              <w:bottom w:val="single" w:sz="4" w:space="0" w:color="FFFFFF" w:themeColor="background1"/>
              <w:right w:val="nil"/>
            </w:tcBorders>
            <w:shd w:val="clear" w:color="auto" w:fill="EAEAEA"/>
          </w:tcPr>
          <w:p w14:paraId="589034BE"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2F444BB2" w14:textId="77777777" w:rsidR="00AB6753" w:rsidRPr="00A30AFF"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6A18AA01" w14:textId="77777777" w:rsidR="00AB6753" w:rsidRPr="00A30AFF" w:rsidRDefault="00AB6753" w:rsidP="002D1EA4"/>
        </w:tc>
      </w:tr>
      <w:tr w:rsidR="00AB6753" w:rsidRPr="00A30AFF" w14:paraId="1DFCA929"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noWrap/>
            <w:hideMark/>
          </w:tcPr>
          <w:p w14:paraId="36650E49" w14:textId="77777777" w:rsidR="00AB6753" w:rsidRPr="00A30AFF" w:rsidRDefault="00AB6753" w:rsidP="002D1EA4">
            <w:r w:rsidRPr="00A30AFF">
              <w:t>Ordinary Annual Services (Appropriation Act No. 1 and No. 3)</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5DE1E4B4" w14:textId="77777777" w:rsidR="00AB6753" w:rsidRPr="00A30AFF" w:rsidRDefault="00AB6753" w:rsidP="002D1EA4">
            <w:r w:rsidRPr="00A30AFF">
              <w:t>41,728</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3E0FB398" w14:textId="77777777" w:rsidR="00AB6753" w:rsidRPr="00A30AFF" w:rsidRDefault="00AB6753" w:rsidP="002D1EA4">
            <w:r w:rsidRPr="00A30AFF">
              <w:t>38,086</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7B699EC3" w14:textId="77777777" w:rsidR="00AB6753" w:rsidRPr="00A30AFF" w:rsidRDefault="00AB6753" w:rsidP="002D1EA4">
            <w:r>
              <w:t>3,642</w:t>
            </w:r>
          </w:p>
        </w:tc>
      </w:tr>
      <w:tr w:rsidR="00AB6753" w:rsidRPr="00A30AFF" w14:paraId="46680995"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EAEAEA"/>
            <w:noWrap/>
            <w:hideMark/>
          </w:tcPr>
          <w:p w14:paraId="00F2495D" w14:textId="77777777" w:rsidR="00AB6753" w:rsidRPr="00A30AFF" w:rsidRDefault="00AB6753" w:rsidP="002D1EA4">
            <w:r w:rsidRPr="00A30AFF">
              <w:t>Special Appropriations</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69F5227D" w14:textId="77777777" w:rsidR="00AB6753" w:rsidRPr="00A30AFF" w:rsidRDefault="00AB6753" w:rsidP="002D1EA4">
            <w:r w:rsidRPr="00A30AFF">
              <w:t>125,811,509</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7C390DF8" w14:textId="77777777" w:rsidR="00AB6753" w:rsidRPr="00A30AFF" w:rsidRDefault="00AB6753" w:rsidP="002D1EA4">
            <w:r w:rsidRPr="00A30AFF">
              <w:t>127,029,491</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33D9D25D" w14:textId="77777777" w:rsidR="00AB6753" w:rsidRPr="00A30AFF" w:rsidRDefault="00AB6753" w:rsidP="002D1EA4">
            <w:r>
              <w:t>(1,217,982)</w:t>
            </w:r>
          </w:p>
        </w:tc>
      </w:tr>
      <w:tr w:rsidR="00AB6753" w:rsidRPr="00A30AFF" w14:paraId="0B5E5A7D"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noWrap/>
            <w:hideMark/>
          </w:tcPr>
          <w:p w14:paraId="20448421" w14:textId="77777777" w:rsidR="00AB6753" w:rsidRPr="00A30AFF" w:rsidRDefault="00AB6753" w:rsidP="002D1EA4">
            <w:r w:rsidRPr="00A30AFF">
              <w:t>Departmental expenses</w:t>
            </w:r>
          </w:p>
        </w:tc>
        <w:tc>
          <w:tcPr>
            <w:tcW w:w="1709" w:type="dxa"/>
            <w:tcBorders>
              <w:top w:val="single" w:sz="4" w:space="0" w:color="FFFFFF" w:themeColor="background1"/>
              <w:left w:val="nil"/>
              <w:bottom w:val="single" w:sz="4" w:space="0" w:color="FFFFFF" w:themeColor="background1"/>
              <w:right w:val="nil"/>
            </w:tcBorders>
            <w:shd w:val="clear" w:color="auto" w:fill="F8F8F8"/>
          </w:tcPr>
          <w:p w14:paraId="7F8DA825" w14:textId="77777777" w:rsidR="00AB6753" w:rsidRPr="00A30AFF" w:rsidRDefault="00AB6753" w:rsidP="002D1EA4"/>
        </w:tc>
        <w:tc>
          <w:tcPr>
            <w:tcW w:w="1709" w:type="dxa"/>
            <w:tcBorders>
              <w:top w:val="single" w:sz="4" w:space="0" w:color="FFFFFF" w:themeColor="background1"/>
              <w:left w:val="nil"/>
              <w:bottom w:val="single" w:sz="4" w:space="0" w:color="FFFFFF" w:themeColor="background1"/>
              <w:right w:val="nil"/>
            </w:tcBorders>
            <w:shd w:val="clear" w:color="auto" w:fill="F8F8F8"/>
          </w:tcPr>
          <w:p w14:paraId="7878A28D" w14:textId="77777777" w:rsidR="00AB6753" w:rsidRPr="00A30AFF" w:rsidRDefault="00AB6753" w:rsidP="002D1EA4"/>
        </w:tc>
        <w:tc>
          <w:tcPr>
            <w:tcW w:w="1709" w:type="dxa"/>
            <w:tcBorders>
              <w:top w:val="single" w:sz="4" w:space="0" w:color="FFFFFF" w:themeColor="background1"/>
              <w:left w:val="nil"/>
              <w:bottom w:val="single" w:sz="4" w:space="0" w:color="FFFFFF" w:themeColor="background1"/>
              <w:right w:val="nil"/>
            </w:tcBorders>
            <w:shd w:val="clear" w:color="auto" w:fill="F8F8F8"/>
          </w:tcPr>
          <w:p w14:paraId="4700F907" w14:textId="77777777" w:rsidR="00AB6753" w:rsidRPr="00A30AFF" w:rsidRDefault="00AB6753" w:rsidP="002D1EA4"/>
        </w:tc>
      </w:tr>
      <w:tr w:rsidR="00AB6753" w:rsidRPr="00A30AFF" w14:paraId="48A363DB"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EAEAEA"/>
            <w:noWrap/>
            <w:hideMark/>
          </w:tcPr>
          <w:p w14:paraId="3DC211D3" w14:textId="77777777" w:rsidR="00AB6753" w:rsidRPr="00A30AFF" w:rsidRDefault="00AB6753" w:rsidP="002D1EA4">
            <w:r w:rsidRPr="00A30AFF">
              <w:t xml:space="preserve">Departmental </w:t>
            </w:r>
            <w:proofErr w:type="spellStart"/>
            <w:r w:rsidRPr="00A30AFF">
              <w:t>appropriation</w:t>
            </w:r>
            <w:r w:rsidRPr="00A30AFF">
              <w:rPr>
                <w:vertAlign w:val="superscript"/>
              </w:rPr>
              <w:t>b</w:t>
            </w:r>
            <w:proofErr w:type="spellEnd"/>
            <w:r w:rsidRPr="00A30AFF">
              <w:t xml:space="preserve"> </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5932B021" w14:textId="77777777" w:rsidR="00AB6753" w:rsidRPr="00A30AFF" w:rsidRDefault="00AB6753" w:rsidP="002D1EA4">
            <w:r w:rsidRPr="00A30AFF">
              <w:t>102,301</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089BD216" w14:textId="77777777" w:rsidR="00AB6753" w:rsidRPr="00A30AFF" w:rsidRDefault="00AB6753" w:rsidP="002D1EA4">
            <w:r w:rsidRPr="00A30AFF">
              <w:t>107,912</w:t>
            </w:r>
          </w:p>
        </w:tc>
        <w:tc>
          <w:tcPr>
            <w:tcW w:w="1709" w:type="dxa"/>
            <w:tcBorders>
              <w:top w:val="single" w:sz="4" w:space="0" w:color="FFFFFF" w:themeColor="background1"/>
              <w:left w:val="nil"/>
              <w:bottom w:val="single" w:sz="4" w:space="0" w:color="FFFFFF" w:themeColor="background1"/>
              <w:right w:val="nil"/>
            </w:tcBorders>
            <w:shd w:val="clear" w:color="auto" w:fill="EAEAEA"/>
          </w:tcPr>
          <w:p w14:paraId="5CD73F47" w14:textId="77777777" w:rsidR="00AB6753" w:rsidRPr="00A30AFF" w:rsidRDefault="00AB6753" w:rsidP="002D1EA4">
            <w:r>
              <w:t>(5,611)</w:t>
            </w:r>
          </w:p>
        </w:tc>
      </w:tr>
      <w:tr w:rsidR="00AB6753" w:rsidRPr="00A30AFF" w14:paraId="10DC9FF6" w14:textId="77777777" w:rsidTr="002D1EA4">
        <w:trPr>
          <w:trHeight w:val="215"/>
        </w:trPr>
        <w:tc>
          <w:tcPr>
            <w:tcW w:w="4034" w:type="dxa"/>
            <w:tcBorders>
              <w:top w:val="single" w:sz="4" w:space="0" w:color="FFFFFF" w:themeColor="background1"/>
              <w:left w:val="nil"/>
              <w:bottom w:val="single" w:sz="4" w:space="0" w:color="FFFFFF" w:themeColor="background1"/>
              <w:right w:val="nil"/>
            </w:tcBorders>
            <w:shd w:val="clear" w:color="auto" w:fill="F8F8F8"/>
            <w:noWrap/>
            <w:hideMark/>
          </w:tcPr>
          <w:p w14:paraId="3F3A92F6" w14:textId="77777777" w:rsidR="00AB6753" w:rsidRPr="00A30AFF" w:rsidRDefault="00AB6753" w:rsidP="002D1EA4">
            <w:r w:rsidRPr="00A30AFF">
              <w:t>Expenses not requiring appropriation in the Budget year</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4524CF5E" w14:textId="77777777" w:rsidR="00AB6753" w:rsidRPr="00A30AFF" w:rsidRDefault="00AB6753" w:rsidP="002D1EA4">
            <w:r w:rsidRPr="00A30AFF">
              <w:t>9,686</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3034277C" w14:textId="77777777" w:rsidR="00AB6753" w:rsidRPr="00A30AFF" w:rsidRDefault="00AB6753" w:rsidP="002D1EA4">
            <w:r>
              <w:t>17,574</w:t>
            </w:r>
          </w:p>
        </w:tc>
        <w:tc>
          <w:tcPr>
            <w:tcW w:w="1709" w:type="dxa"/>
            <w:tcBorders>
              <w:top w:val="single" w:sz="4" w:space="0" w:color="FFFFFF" w:themeColor="background1"/>
              <w:left w:val="nil"/>
              <w:bottom w:val="single" w:sz="4" w:space="0" w:color="FFFFFF" w:themeColor="background1"/>
              <w:right w:val="nil"/>
            </w:tcBorders>
            <w:shd w:val="clear" w:color="auto" w:fill="F8F8F8"/>
          </w:tcPr>
          <w:p w14:paraId="5BDB8DD2" w14:textId="77777777" w:rsidR="00AB6753" w:rsidRPr="00A30AFF" w:rsidRDefault="00AB6753" w:rsidP="002D1EA4">
            <w:r>
              <w:t>(7,888)</w:t>
            </w:r>
          </w:p>
        </w:tc>
      </w:tr>
      <w:tr w:rsidR="00AB6753" w:rsidRPr="00A30AFF" w14:paraId="6E76106F" w14:textId="77777777" w:rsidTr="002D1EA4">
        <w:trPr>
          <w:trHeight w:val="392"/>
        </w:trPr>
        <w:tc>
          <w:tcPr>
            <w:tcW w:w="4034" w:type="dxa"/>
            <w:tcBorders>
              <w:top w:val="single" w:sz="4" w:space="0" w:color="FFFFFF" w:themeColor="background1"/>
              <w:left w:val="nil"/>
              <w:bottom w:val="nil"/>
              <w:right w:val="nil"/>
            </w:tcBorders>
            <w:shd w:val="clear" w:color="auto" w:fill="EAEAEA"/>
            <w:noWrap/>
            <w:hideMark/>
          </w:tcPr>
          <w:p w14:paraId="7AF15EB4" w14:textId="77777777" w:rsidR="00AB6753" w:rsidRPr="00A30AFF" w:rsidRDefault="00AB6753" w:rsidP="002D1EA4">
            <w:pPr>
              <w:rPr>
                <w:b/>
              </w:rPr>
            </w:pPr>
            <w:r w:rsidRPr="00A30AFF">
              <w:rPr>
                <w:b/>
              </w:rPr>
              <w:t>Total expenses for Outcome 1</w:t>
            </w:r>
          </w:p>
        </w:tc>
        <w:tc>
          <w:tcPr>
            <w:tcW w:w="1709" w:type="dxa"/>
            <w:tcBorders>
              <w:top w:val="single" w:sz="4" w:space="0" w:color="FFFFFF" w:themeColor="background1"/>
              <w:left w:val="nil"/>
              <w:bottom w:val="nil"/>
              <w:right w:val="nil"/>
            </w:tcBorders>
            <w:shd w:val="clear" w:color="auto" w:fill="EAEAEA"/>
            <w:noWrap/>
          </w:tcPr>
          <w:p w14:paraId="18CB2464" w14:textId="77777777" w:rsidR="00AB6753" w:rsidRPr="00A30AFF" w:rsidRDefault="00AB6753" w:rsidP="002D1EA4">
            <w:pPr>
              <w:rPr>
                <w:b/>
              </w:rPr>
            </w:pPr>
            <w:r w:rsidRPr="00A30AFF">
              <w:t>125,965,224</w:t>
            </w:r>
          </w:p>
        </w:tc>
        <w:tc>
          <w:tcPr>
            <w:tcW w:w="1709" w:type="dxa"/>
            <w:tcBorders>
              <w:top w:val="single" w:sz="4" w:space="0" w:color="FFFFFF" w:themeColor="background1"/>
              <w:left w:val="nil"/>
              <w:bottom w:val="nil"/>
              <w:right w:val="nil"/>
            </w:tcBorders>
            <w:shd w:val="clear" w:color="auto" w:fill="EAEAEA"/>
            <w:noWrap/>
          </w:tcPr>
          <w:p w14:paraId="443FD3B0" w14:textId="77777777" w:rsidR="00AB6753" w:rsidRPr="00A30AFF" w:rsidRDefault="00AB6753" w:rsidP="002D1EA4">
            <w:pPr>
              <w:rPr>
                <w:b/>
              </w:rPr>
            </w:pPr>
            <w:r w:rsidRPr="00A30AFF">
              <w:t>127,193,06</w:t>
            </w:r>
            <w:r>
              <w:t>3</w:t>
            </w:r>
          </w:p>
        </w:tc>
        <w:tc>
          <w:tcPr>
            <w:tcW w:w="1709" w:type="dxa"/>
            <w:tcBorders>
              <w:top w:val="single" w:sz="4" w:space="0" w:color="FFFFFF" w:themeColor="background1"/>
              <w:left w:val="nil"/>
              <w:bottom w:val="nil"/>
              <w:right w:val="nil"/>
            </w:tcBorders>
            <w:shd w:val="clear" w:color="auto" w:fill="EAEAEA"/>
            <w:noWrap/>
          </w:tcPr>
          <w:p w14:paraId="5FA8EC17" w14:textId="77777777" w:rsidR="00AB6753" w:rsidRPr="00A30AFF" w:rsidRDefault="00AB6753" w:rsidP="002D1EA4">
            <w:pPr>
              <w:rPr>
                <w:b/>
              </w:rPr>
            </w:pPr>
            <w:r>
              <w:t>(1,227,839)</w:t>
            </w:r>
          </w:p>
        </w:tc>
      </w:tr>
    </w:tbl>
    <w:p w14:paraId="4261699C" w14:textId="77777777" w:rsidR="00AB6753" w:rsidRPr="00A30AFF" w:rsidRDefault="00AB6753" w:rsidP="00AB6753">
      <w:pPr>
        <w:spacing w:after="0"/>
        <w:ind w:left="284" w:hanging="284"/>
        <w:rPr>
          <w:sz w:val="18"/>
        </w:rPr>
      </w:pPr>
      <w:r w:rsidRPr="00A30AFF">
        <w:rPr>
          <w:sz w:val="18"/>
        </w:rPr>
        <w:t>a</w:t>
      </w:r>
      <w:r w:rsidRPr="00A30AFF">
        <w:rPr>
          <w:sz w:val="18"/>
        </w:rPr>
        <w:tab/>
        <w:t>Represents estimated actual expenses for the 2019–20 financial year reported in the Economic and Fiscal Update July 2020.</w:t>
      </w:r>
    </w:p>
    <w:p w14:paraId="2E1D661B" w14:textId="77777777" w:rsidR="00AB6753" w:rsidRPr="00574F9A" w:rsidRDefault="00AB6753" w:rsidP="00AB6753">
      <w:pPr>
        <w:ind w:left="284" w:hanging="284"/>
        <w:rPr>
          <w:sz w:val="18"/>
        </w:rPr>
      </w:pPr>
      <w:r w:rsidRPr="00A30AFF">
        <w:rPr>
          <w:sz w:val="18"/>
        </w:rPr>
        <w:t>b</w:t>
      </w:r>
      <w:r w:rsidRPr="00A30AFF">
        <w:rPr>
          <w:sz w:val="18"/>
        </w:rPr>
        <w:tab/>
        <w:t>Departmental appropriation includes section 74 retained revenue receipts.</w:t>
      </w:r>
    </w:p>
    <w:p w14:paraId="38E2EAE2" w14:textId="77777777" w:rsidR="00AB6753" w:rsidRPr="004A20FC" w:rsidRDefault="00AB6753" w:rsidP="00AB6753">
      <w:r w:rsidRPr="004A20FC">
        <w:br w:type="page"/>
      </w:r>
    </w:p>
    <w:p w14:paraId="7459A81B" w14:textId="77777777" w:rsidR="00AB6753" w:rsidRPr="00574F9A" w:rsidRDefault="00AB6753" w:rsidP="00AB6753">
      <w:pPr>
        <w:rPr>
          <w:b/>
        </w:rPr>
      </w:pPr>
      <w:bookmarkStart w:id="270" w:name="TableB_3"/>
      <w:r w:rsidRPr="00574F9A">
        <w:rPr>
          <w:b/>
        </w:rPr>
        <w:lastRenderedPageBreak/>
        <w:t>Table A–3: Expenses and resources for Outcome 2: Families and Communities</w:t>
      </w:r>
      <w:bookmarkEnd w:id="270"/>
    </w:p>
    <w:tbl>
      <w:tblPr>
        <w:tblW w:w="9092" w:type="dxa"/>
        <w:tblInd w:w="108" w:type="dxa"/>
        <w:tblLayout w:type="fixed"/>
        <w:tblLook w:val="00A0" w:firstRow="1" w:lastRow="0" w:firstColumn="1" w:lastColumn="0" w:noHBand="0" w:noVBand="0"/>
        <w:tblCaption w:val="Table A–3 Expenses and resources for Outcome 2: Families and Communities"/>
        <w:tblDescription w:val="Table A–3 Expenses and resources for Outcome 2: Families and Communities"/>
      </w:tblPr>
      <w:tblGrid>
        <w:gridCol w:w="4022"/>
        <w:gridCol w:w="1964"/>
        <w:gridCol w:w="18"/>
        <w:gridCol w:w="1399"/>
        <w:gridCol w:w="1689"/>
      </w:tblGrid>
      <w:tr w:rsidR="00AB6753" w:rsidRPr="004A20FC" w14:paraId="3CB5E163" w14:textId="77777777" w:rsidTr="002D1EA4">
        <w:trPr>
          <w:trHeight w:val="1061"/>
          <w:tblHeader/>
        </w:trPr>
        <w:tc>
          <w:tcPr>
            <w:tcW w:w="4022" w:type="dxa"/>
            <w:tcBorders>
              <w:top w:val="nil"/>
              <w:left w:val="nil"/>
              <w:bottom w:val="single" w:sz="4" w:space="0" w:color="auto"/>
              <w:right w:val="nil"/>
            </w:tcBorders>
            <w:shd w:val="clear" w:color="auto" w:fill="404040" w:themeFill="text1" w:themeFillTint="BF"/>
            <w:vAlign w:val="bottom"/>
            <w:hideMark/>
          </w:tcPr>
          <w:p w14:paraId="2E930301" w14:textId="77777777" w:rsidR="00AB6753" w:rsidRPr="00574F9A" w:rsidRDefault="00AB6753" w:rsidP="002D1EA4">
            <w:pPr>
              <w:rPr>
                <w:color w:val="FFFFFF" w:themeColor="background1"/>
              </w:rPr>
            </w:pPr>
          </w:p>
        </w:tc>
        <w:tc>
          <w:tcPr>
            <w:tcW w:w="1982" w:type="dxa"/>
            <w:gridSpan w:val="2"/>
            <w:tcBorders>
              <w:top w:val="nil"/>
              <w:left w:val="nil"/>
              <w:bottom w:val="single" w:sz="4" w:space="0" w:color="auto"/>
              <w:right w:val="nil"/>
            </w:tcBorders>
            <w:shd w:val="clear" w:color="auto" w:fill="404040" w:themeFill="text1" w:themeFillTint="BF"/>
            <w:noWrap/>
            <w:vAlign w:val="bottom"/>
            <w:hideMark/>
          </w:tcPr>
          <w:p w14:paraId="58E7061E" w14:textId="77777777" w:rsidR="00AB6753" w:rsidRPr="00574F9A" w:rsidRDefault="00AB6753" w:rsidP="002D1EA4">
            <w:pPr>
              <w:rPr>
                <w:color w:val="FFFFFF" w:themeColor="background1"/>
              </w:rPr>
            </w:pPr>
            <w:r w:rsidRPr="00574F9A">
              <w:rPr>
                <w:color w:val="FFFFFF" w:themeColor="background1"/>
              </w:rPr>
              <w:t xml:space="preserve">Estimated </w:t>
            </w:r>
            <w:r>
              <w:rPr>
                <w:color w:val="FFFFFF" w:themeColor="background1"/>
              </w:rPr>
              <w:br/>
            </w:r>
            <w:proofErr w:type="spellStart"/>
            <w:r w:rsidRPr="00574F9A">
              <w:rPr>
                <w:color w:val="FFFFFF" w:themeColor="background1"/>
              </w:rPr>
              <w:t>actual</w:t>
            </w:r>
            <w:r w:rsidRPr="00574F9A">
              <w:rPr>
                <w:color w:val="FFFFFF" w:themeColor="background1"/>
                <w:vertAlign w:val="superscript"/>
              </w:rPr>
              <w:t>a</w:t>
            </w:r>
            <w:proofErr w:type="spellEnd"/>
            <w:r>
              <w:rPr>
                <w:color w:val="FFFFFF" w:themeColor="background1"/>
              </w:rPr>
              <w:br/>
              <w:t>2019–20</w:t>
            </w:r>
            <w:r w:rsidRPr="00574F9A">
              <w:rPr>
                <w:color w:val="FFFFFF" w:themeColor="background1"/>
              </w:rPr>
              <w:t xml:space="preserve"> </w:t>
            </w:r>
            <w:r w:rsidRPr="00574F9A">
              <w:rPr>
                <w:color w:val="FFFFFF" w:themeColor="background1"/>
              </w:rPr>
              <w:br/>
              <w:t xml:space="preserve">$'000 </w:t>
            </w:r>
          </w:p>
        </w:tc>
        <w:tc>
          <w:tcPr>
            <w:tcW w:w="1399" w:type="dxa"/>
            <w:tcBorders>
              <w:top w:val="nil"/>
              <w:left w:val="nil"/>
              <w:bottom w:val="single" w:sz="4" w:space="0" w:color="auto"/>
              <w:right w:val="nil"/>
            </w:tcBorders>
            <w:shd w:val="clear" w:color="auto" w:fill="404040" w:themeFill="text1" w:themeFillTint="BF"/>
            <w:noWrap/>
            <w:vAlign w:val="bottom"/>
            <w:hideMark/>
          </w:tcPr>
          <w:p w14:paraId="31E2950D" w14:textId="77777777" w:rsidR="00AB6753" w:rsidRPr="00574F9A" w:rsidRDefault="00AB6753" w:rsidP="002D1EA4">
            <w:pPr>
              <w:rPr>
                <w:color w:val="FFFFFF" w:themeColor="background1"/>
              </w:rPr>
            </w:pPr>
            <w:r w:rsidRPr="00574F9A">
              <w:rPr>
                <w:color w:val="FFFFFF" w:themeColor="background1"/>
              </w:rPr>
              <w:t xml:space="preserve">Actual Expenses </w:t>
            </w:r>
            <w:r w:rsidRPr="00574F9A">
              <w:rPr>
                <w:color w:val="FFFFFF" w:themeColor="background1"/>
              </w:rPr>
              <w:br/>
              <w:t>201</w:t>
            </w:r>
            <w:r>
              <w:rPr>
                <w:color w:val="FFFFFF" w:themeColor="background1"/>
              </w:rPr>
              <w:t>9–20</w:t>
            </w:r>
            <w:r w:rsidRPr="00574F9A">
              <w:rPr>
                <w:color w:val="FFFFFF" w:themeColor="background1"/>
              </w:rPr>
              <w:t xml:space="preserve"> </w:t>
            </w:r>
            <w:r w:rsidRPr="00574F9A">
              <w:rPr>
                <w:color w:val="FFFFFF" w:themeColor="background1"/>
              </w:rPr>
              <w:br/>
              <w:t xml:space="preserve">$'000 </w:t>
            </w:r>
          </w:p>
        </w:tc>
        <w:tc>
          <w:tcPr>
            <w:tcW w:w="1689" w:type="dxa"/>
            <w:tcBorders>
              <w:top w:val="nil"/>
              <w:left w:val="nil"/>
              <w:bottom w:val="single" w:sz="4" w:space="0" w:color="auto"/>
              <w:right w:val="nil"/>
            </w:tcBorders>
            <w:shd w:val="clear" w:color="auto" w:fill="404040" w:themeFill="text1" w:themeFillTint="BF"/>
            <w:noWrap/>
            <w:vAlign w:val="bottom"/>
            <w:hideMark/>
          </w:tcPr>
          <w:p w14:paraId="5C7CD9A1" w14:textId="77777777" w:rsidR="00AB6753" w:rsidRPr="00574F9A" w:rsidRDefault="00AB6753" w:rsidP="002D1EA4">
            <w:pPr>
              <w:rPr>
                <w:color w:val="FFFFFF" w:themeColor="background1"/>
              </w:rPr>
            </w:pPr>
            <w:r w:rsidRPr="00574F9A">
              <w:rPr>
                <w:color w:val="FFFFFF" w:themeColor="background1"/>
              </w:rPr>
              <w:t> Variation</w:t>
            </w:r>
            <w:r w:rsidRPr="00574F9A">
              <w:rPr>
                <w:color w:val="FFFFFF" w:themeColor="background1"/>
              </w:rPr>
              <w:br/>
              <w:t>201</w:t>
            </w:r>
            <w:r>
              <w:rPr>
                <w:color w:val="FFFFFF" w:themeColor="background1"/>
              </w:rPr>
              <w:t>9–20</w:t>
            </w:r>
            <w:r w:rsidRPr="00574F9A">
              <w:rPr>
                <w:color w:val="FFFFFF" w:themeColor="background1"/>
              </w:rPr>
              <w:t xml:space="preserve"> </w:t>
            </w:r>
            <w:r w:rsidRPr="00574F9A">
              <w:rPr>
                <w:color w:val="FFFFFF" w:themeColor="background1"/>
              </w:rPr>
              <w:br/>
              <w:t>$'000</w:t>
            </w:r>
          </w:p>
        </w:tc>
      </w:tr>
      <w:tr w:rsidR="00AB6753" w:rsidRPr="004A20FC" w14:paraId="7D4B9238" w14:textId="77777777" w:rsidTr="002D1EA4">
        <w:trPr>
          <w:trHeight w:hRule="exact" w:val="404"/>
        </w:trPr>
        <w:tc>
          <w:tcPr>
            <w:tcW w:w="4022" w:type="dxa"/>
            <w:tcBorders>
              <w:top w:val="single" w:sz="4" w:space="0" w:color="auto"/>
              <w:left w:val="nil"/>
              <w:bottom w:val="single" w:sz="4" w:space="0" w:color="FFFFFF" w:themeColor="background1"/>
              <w:right w:val="nil"/>
            </w:tcBorders>
            <w:shd w:val="clear" w:color="auto" w:fill="404040" w:themeFill="text1" w:themeFillTint="BF"/>
            <w:noWrap/>
            <w:hideMark/>
          </w:tcPr>
          <w:p w14:paraId="28945C06" w14:textId="77777777" w:rsidR="00AB6753" w:rsidRPr="00574F9A" w:rsidRDefault="00AB6753" w:rsidP="002D1EA4">
            <w:pPr>
              <w:rPr>
                <w:color w:val="FFFFFF" w:themeColor="background1"/>
              </w:rPr>
            </w:pPr>
          </w:p>
        </w:tc>
        <w:tc>
          <w:tcPr>
            <w:tcW w:w="1982" w:type="dxa"/>
            <w:gridSpan w:val="2"/>
            <w:tcBorders>
              <w:top w:val="single" w:sz="4" w:space="0" w:color="auto"/>
              <w:left w:val="nil"/>
              <w:bottom w:val="single" w:sz="4" w:space="0" w:color="FFFFFF" w:themeColor="background1"/>
              <w:right w:val="nil"/>
            </w:tcBorders>
            <w:shd w:val="clear" w:color="auto" w:fill="404040" w:themeFill="text1" w:themeFillTint="BF"/>
            <w:noWrap/>
            <w:hideMark/>
          </w:tcPr>
          <w:p w14:paraId="5E9B097A" w14:textId="77777777" w:rsidR="00AB6753" w:rsidRPr="00574F9A" w:rsidRDefault="00AB6753" w:rsidP="002D1EA4">
            <w:pPr>
              <w:rPr>
                <w:color w:val="FFFFFF" w:themeColor="background1"/>
              </w:rPr>
            </w:pPr>
            <w:r w:rsidRPr="00574F9A">
              <w:rPr>
                <w:color w:val="FFFFFF" w:themeColor="background1"/>
              </w:rPr>
              <w:t xml:space="preserve"> (a) </w:t>
            </w:r>
          </w:p>
        </w:tc>
        <w:tc>
          <w:tcPr>
            <w:tcW w:w="1399" w:type="dxa"/>
            <w:tcBorders>
              <w:top w:val="single" w:sz="4" w:space="0" w:color="auto"/>
              <w:left w:val="nil"/>
              <w:bottom w:val="single" w:sz="4" w:space="0" w:color="FFFFFF" w:themeColor="background1"/>
              <w:right w:val="nil"/>
            </w:tcBorders>
            <w:shd w:val="clear" w:color="auto" w:fill="404040" w:themeFill="text1" w:themeFillTint="BF"/>
            <w:noWrap/>
            <w:hideMark/>
          </w:tcPr>
          <w:p w14:paraId="7CC7691B" w14:textId="77777777" w:rsidR="00AB6753" w:rsidRPr="00574F9A" w:rsidRDefault="00AB6753" w:rsidP="002D1EA4">
            <w:pPr>
              <w:rPr>
                <w:color w:val="FFFFFF" w:themeColor="background1"/>
              </w:rPr>
            </w:pPr>
            <w:r w:rsidRPr="00574F9A">
              <w:rPr>
                <w:color w:val="FFFFFF" w:themeColor="background1"/>
              </w:rPr>
              <w:t xml:space="preserve"> (b) </w:t>
            </w:r>
          </w:p>
        </w:tc>
        <w:tc>
          <w:tcPr>
            <w:tcW w:w="1689" w:type="dxa"/>
            <w:tcBorders>
              <w:top w:val="single" w:sz="4" w:space="0" w:color="auto"/>
              <w:left w:val="nil"/>
              <w:bottom w:val="single" w:sz="4" w:space="0" w:color="FFFFFF" w:themeColor="background1"/>
              <w:right w:val="nil"/>
            </w:tcBorders>
            <w:shd w:val="clear" w:color="auto" w:fill="404040" w:themeFill="text1" w:themeFillTint="BF"/>
            <w:hideMark/>
          </w:tcPr>
          <w:p w14:paraId="09181E35" w14:textId="77777777" w:rsidR="00AB6753" w:rsidRPr="00574F9A" w:rsidRDefault="00AB6753" w:rsidP="002D1EA4">
            <w:pPr>
              <w:rPr>
                <w:color w:val="FFFFFF" w:themeColor="background1"/>
              </w:rPr>
            </w:pPr>
            <w:r w:rsidRPr="00574F9A">
              <w:rPr>
                <w:color w:val="FFFFFF" w:themeColor="background1"/>
              </w:rPr>
              <w:t xml:space="preserve"> (a)–(b) </w:t>
            </w:r>
          </w:p>
        </w:tc>
      </w:tr>
      <w:tr w:rsidR="00AB6753" w:rsidRPr="004A20FC" w14:paraId="3796E5EA" w14:textId="77777777" w:rsidTr="002D1EA4">
        <w:trPr>
          <w:trHeight w:val="322"/>
        </w:trPr>
        <w:tc>
          <w:tcPr>
            <w:tcW w:w="9092" w:type="dxa"/>
            <w:gridSpan w:val="5"/>
            <w:tcBorders>
              <w:top w:val="single" w:sz="4" w:space="0" w:color="FFFFFF" w:themeColor="background1"/>
              <w:left w:val="nil"/>
              <w:bottom w:val="single" w:sz="4" w:space="0" w:color="auto"/>
              <w:right w:val="nil"/>
            </w:tcBorders>
            <w:shd w:val="clear" w:color="auto" w:fill="FFFFFF" w:themeFill="background1"/>
            <w:hideMark/>
          </w:tcPr>
          <w:p w14:paraId="57356CAC" w14:textId="77777777" w:rsidR="00AB6753" w:rsidRPr="00574F9A" w:rsidRDefault="00AB6753" w:rsidP="002D1EA4">
            <w:pPr>
              <w:rPr>
                <w:b/>
              </w:rPr>
            </w:pPr>
            <w:r w:rsidRPr="00574F9A">
              <w:rPr>
                <w:b/>
              </w:rPr>
              <w:t>Program 2.1: Families and Communities</w:t>
            </w:r>
          </w:p>
        </w:tc>
      </w:tr>
      <w:tr w:rsidR="00AB6753" w:rsidRPr="00A30AFF" w14:paraId="245E6395" w14:textId="77777777" w:rsidTr="002D1EA4">
        <w:trPr>
          <w:trHeight w:val="404"/>
        </w:trPr>
        <w:tc>
          <w:tcPr>
            <w:tcW w:w="4022" w:type="dxa"/>
            <w:tcBorders>
              <w:top w:val="single" w:sz="4" w:space="0" w:color="auto"/>
              <w:left w:val="nil"/>
              <w:bottom w:val="single" w:sz="4" w:space="0" w:color="FFFFFF" w:themeColor="background1"/>
              <w:right w:val="nil"/>
            </w:tcBorders>
            <w:shd w:val="clear" w:color="auto" w:fill="EAEAEA"/>
            <w:noWrap/>
            <w:hideMark/>
          </w:tcPr>
          <w:p w14:paraId="32FF1D46" w14:textId="77777777" w:rsidR="00AB6753" w:rsidRPr="00A30AFF" w:rsidRDefault="00AB6753" w:rsidP="002D1EA4">
            <w:r w:rsidRPr="00A30AFF">
              <w:t>Administered expenses</w:t>
            </w:r>
          </w:p>
        </w:tc>
        <w:tc>
          <w:tcPr>
            <w:tcW w:w="1982" w:type="dxa"/>
            <w:gridSpan w:val="2"/>
            <w:tcBorders>
              <w:top w:val="single" w:sz="4" w:space="0" w:color="auto"/>
              <w:left w:val="nil"/>
              <w:bottom w:val="single" w:sz="4" w:space="0" w:color="FFFFFF" w:themeColor="background1"/>
              <w:right w:val="nil"/>
            </w:tcBorders>
            <w:shd w:val="clear" w:color="auto" w:fill="EAEAEA"/>
          </w:tcPr>
          <w:p w14:paraId="0012C30D" w14:textId="77777777" w:rsidR="00AB6753" w:rsidRPr="00A30AFF" w:rsidRDefault="00AB6753" w:rsidP="002D1EA4"/>
        </w:tc>
        <w:tc>
          <w:tcPr>
            <w:tcW w:w="1399" w:type="dxa"/>
            <w:tcBorders>
              <w:top w:val="single" w:sz="4" w:space="0" w:color="auto"/>
              <w:left w:val="nil"/>
              <w:bottom w:val="single" w:sz="4" w:space="0" w:color="FFFFFF" w:themeColor="background1"/>
              <w:right w:val="nil"/>
            </w:tcBorders>
            <w:shd w:val="clear" w:color="auto" w:fill="EAEAEA"/>
          </w:tcPr>
          <w:p w14:paraId="6AD17B2C" w14:textId="77777777" w:rsidR="00AB6753" w:rsidRPr="00A30AFF" w:rsidRDefault="00AB6753" w:rsidP="002D1EA4"/>
        </w:tc>
        <w:tc>
          <w:tcPr>
            <w:tcW w:w="1689" w:type="dxa"/>
            <w:tcBorders>
              <w:top w:val="single" w:sz="4" w:space="0" w:color="auto"/>
              <w:left w:val="nil"/>
              <w:bottom w:val="single" w:sz="4" w:space="0" w:color="FFFFFF" w:themeColor="background1"/>
              <w:right w:val="nil"/>
            </w:tcBorders>
            <w:shd w:val="clear" w:color="auto" w:fill="EAEAEA"/>
          </w:tcPr>
          <w:p w14:paraId="016F42B2" w14:textId="77777777" w:rsidR="00AB6753" w:rsidRPr="00A30AFF" w:rsidRDefault="00AB6753" w:rsidP="002D1EA4"/>
        </w:tc>
      </w:tr>
      <w:tr w:rsidR="00AB6753" w:rsidRPr="00A30AFF" w14:paraId="4F1A129D" w14:textId="77777777" w:rsidTr="002D1EA4">
        <w:trPr>
          <w:trHeight w:val="322"/>
        </w:trPr>
        <w:tc>
          <w:tcPr>
            <w:tcW w:w="4022" w:type="dxa"/>
            <w:tcBorders>
              <w:top w:val="single" w:sz="4" w:space="0" w:color="FFFFFF" w:themeColor="background1"/>
              <w:left w:val="nil"/>
              <w:bottom w:val="single" w:sz="4" w:space="0" w:color="FFFFFF" w:themeColor="background1"/>
              <w:right w:val="nil"/>
            </w:tcBorders>
            <w:shd w:val="clear" w:color="auto" w:fill="F8F8F8"/>
            <w:noWrap/>
            <w:hideMark/>
          </w:tcPr>
          <w:p w14:paraId="541F1875" w14:textId="77777777" w:rsidR="00AB6753" w:rsidRPr="00A30AFF" w:rsidRDefault="00AB6753" w:rsidP="002D1EA4">
            <w:r w:rsidRPr="00A30AFF">
              <w:t>Ordinary Annual Services (Appropriation Act No. 1 and No. 3)</w:t>
            </w:r>
          </w:p>
        </w:tc>
        <w:tc>
          <w:tcPr>
            <w:tcW w:w="1982" w:type="dxa"/>
            <w:gridSpan w:val="2"/>
            <w:tcBorders>
              <w:top w:val="single" w:sz="4" w:space="0" w:color="FFFFFF" w:themeColor="background1"/>
              <w:left w:val="nil"/>
              <w:bottom w:val="single" w:sz="4" w:space="0" w:color="FFFFFF" w:themeColor="background1"/>
              <w:right w:val="nil"/>
            </w:tcBorders>
            <w:shd w:val="clear" w:color="auto" w:fill="F8F8F8"/>
            <w:noWrap/>
          </w:tcPr>
          <w:p w14:paraId="47FA10DD" w14:textId="77777777" w:rsidR="00AB6753" w:rsidRPr="00A30AFF" w:rsidRDefault="00AB6753" w:rsidP="002D1EA4">
            <w:r w:rsidRPr="00A30AFF">
              <w:t>712,627</w:t>
            </w:r>
          </w:p>
        </w:tc>
        <w:tc>
          <w:tcPr>
            <w:tcW w:w="1399" w:type="dxa"/>
            <w:tcBorders>
              <w:top w:val="single" w:sz="4" w:space="0" w:color="FFFFFF" w:themeColor="background1"/>
              <w:left w:val="nil"/>
              <w:bottom w:val="single" w:sz="4" w:space="0" w:color="FFFFFF" w:themeColor="background1"/>
              <w:right w:val="nil"/>
            </w:tcBorders>
            <w:shd w:val="clear" w:color="auto" w:fill="F8F8F8"/>
          </w:tcPr>
          <w:p w14:paraId="5F65D409" w14:textId="77777777" w:rsidR="00AB6753" w:rsidRPr="00A30AFF" w:rsidRDefault="00AB6753" w:rsidP="002D1EA4">
            <w:r w:rsidRPr="00A30AFF">
              <w:t>692,330</w:t>
            </w:r>
          </w:p>
        </w:tc>
        <w:tc>
          <w:tcPr>
            <w:tcW w:w="1689" w:type="dxa"/>
            <w:tcBorders>
              <w:top w:val="single" w:sz="4" w:space="0" w:color="FFFFFF" w:themeColor="background1"/>
              <w:left w:val="nil"/>
              <w:bottom w:val="single" w:sz="4" w:space="0" w:color="FFFFFF" w:themeColor="background1"/>
              <w:right w:val="nil"/>
            </w:tcBorders>
            <w:shd w:val="clear" w:color="auto" w:fill="F8F8F8"/>
            <w:noWrap/>
          </w:tcPr>
          <w:p w14:paraId="608450BB" w14:textId="77777777" w:rsidR="00AB6753" w:rsidRPr="00A30AFF" w:rsidRDefault="00AB6753" w:rsidP="002D1EA4">
            <w:r>
              <w:t>20,297</w:t>
            </w:r>
          </w:p>
        </w:tc>
      </w:tr>
      <w:tr w:rsidR="00AB6753" w:rsidRPr="00A30AFF" w14:paraId="64C7DECD" w14:textId="77777777" w:rsidTr="002D1EA4">
        <w:trPr>
          <w:trHeight w:val="322"/>
        </w:trPr>
        <w:tc>
          <w:tcPr>
            <w:tcW w:w="4022" w:type="dxa"/>
            <w:tcBorders>
              <w:top w:val="single" w:sz="4" w:space="0" w:color="FFFFFF" w:themeColor="background1"/>
              <w:left w:val="nil"/>
              <w:bottom w:val="single" w:sz="4" w:space="0" w:color="FFFFFF" w:themeColor="background1"/>
              <w:right w:val="nil"/>
            </w:tcBorders>
            <w:shd w:val="clear" w:color="auto" w:fill="EAEAEA"/>
            <w:noWrap/>
            <w:hideMark/>
          </w:tcPr>
          <w:p w14:paraId="3648F477" w14:textId="77777777" w:rsidR="00AB6753" w:rsidRPr="00A30AFF" w:rsidRDefault="00AB6753" w:rsidP="002D1EA4">
            <w:r w:rsidRPr="00A30AFF">
              <w:t>Special Appropriations</w:t>
            </w:r>
          </w:p>
        </w:tc>
        <w:tc>
          <w:tcPr>
            <w:tcW w:w="1982" w:type="dxa"/>
            <w:gridSpan w:val="2"/>
            <w:tcBorders>
              <w:top w:val="single" w:sz="4" w:space="0" w:color="FFFFFF" w:themeColor="background1"/>
              <w:left w:val="nil"/>
              <w:bottom w:val="single" w:sz="4" w:space="0" w:color="FFFFFF" w:themeColor="background1"/>
              <w:right w:val="nil"/>
            </w:tcBorders>
            <w:shd w:val="clear" w:color="auto" w:fill="EAEAEA"/>
            <w:noWrap/>
          </w:tcPr>
          <w:p w14:paraId="27D7547F" w14:textId="77777777" w:rsidR="00AB6753" w:rsidRPr="00A30AFF" w:rsidRDefault="00AB6753" w:rsidP="002D1EA4">
            <w:r w:rsidRPr="00A30AFF">
              <w:t>213,650</w:t>
            </w:r>
          </w:p>
        </w:tc>
        <w:tc>
          <w:tcPr>
            <w:tcW w:w="1399" w:type="dxa"/>
            <w:tcBorders>
              <w:top w:val="single" w:sz="4" w:space="0" w:color="FFFFFF" w:themeColor="background1"/>
              <w:left w:val="nil"/>
              <w:bottom w:val="single" w:sz="4" w:space="0" w:color="FFFFFF" w:themeColor="background1"/>
              <w:right w:val="nil"/>
            </w:tcBorders>
            <w:shd w:val="clear" w:color="auto" w:fill="EAEAEA"/>
            <w:noWrap/>
          </w:tcPr>
          <w:p w14:paraId="0AD148C2" w14:textId="77777777" w:rsidR="00AB6753" w:rsidRPr="00A30AFF" w:rsidRDefault="00AB6753" w:rsidP="002D1EA4">
            <w:r w:rsidRPr="00A30AFF">
              <w:t>255,277</w:t>
            </w:r>
          </w:p>
        </w:tc>
        <w:tc>
          <w:tcPr>
            <w:tcW w:w="1689" w:type="dxa"/>
            <w:tcBorders>
              <w:top w:val="single" w:sz="4" w:space="0" w:color="FFFFFF" w:themeColor="background1"/>
              <w:left w:val="nil"/>
              <w:bottom w:val="single" w:sz="4" w:space="0" w:color="FFFFFF" w:themeColor="background1"/>
              <w:right w:val="nil"/>
            </w:tcBorders>
            <w:shd w:val="clear" w:color="auto" w:fill="EAEAEA"/>
            <w:noWrap/>
          </w:tcPr>
          <w:p w14:paraId="19E0EBEF" w14:textId="77777777" w:rsidR="00AB6753" w:rsidRPr="00A30AFF" w:rsidRDefault="00AB6753" w:rsidP="002D1EA4">
            <w:r>
              <w:t>(41,627)</w:t>
            </w:r>
          </w:p>
        </w:tc>
      </w:tr>
      <w:tr w:rsidR="00AB6753" w:rsidRPr="00A30AFF" w14:paraId="08B440E8" w14:textId="77777777" w:rsidTr="002D1EA4">
        <w:trPr>
          <w:trHeight w:val="322"/>
        </w:trPr>
        <w:tc>
          <w:tcPr>
            <w:tcW w:w="4022" w:type="dxa"/>
            <w:tcBorders>
              <w:top w:val="single" w:sz="4" w:space="0" w:color="FFFFFF" w:themeColor="background1"/>
              <w:left w:val="nil"/>
              <w:bottom w:val="single" w:sz="4" w:space="0" w:color="FFFFFF" w:themeColor="background1"/>
              <w:right w:val="nil"/>
            </w:tcBorders>
            <w:shd w:val="clear" w:color="auto" w:fill="F8F8F8"/>
            <w:noWrap/>
            <w:hideMark/>
          </w:tcPr>
          <w:p w14:paraId="62BB5A67" w14:textId="77777777" w:rsidR="00AB6753" w:rsidRPr="00A30AFF" w:rsidRDefault="00AB6753" w:rsidP="002D1EA4">
            <w:r>
              <w:t>Special Accounts</w:t>
            </w:r>
          </w:p>
        </w:tc>
        <w:tc>
          <w:tcPr>
            <w:tcW w:w="1982" w:type="dxa"/>
            <w:gridSpan w:val="2"/>
            <w:tcBorders>
              <w:top w:val="single" w:sz="4" w:space="0" w:color="FFFFFF" w:themeColor="background1"/>
              <w:left w:val="nil"/>
              <w:bottom w:val="single" w:sz="4" w:space="0" w:color="FFFFFF" w:themeColor="background1"/>
              <w:right w:val="nil"/>
            </w:tcBorders>
            <w:shd w:val="clear" w:color="auto" w:fill="F8F8F8"/>
            <w:noWrap/>
          </w:tcPr>
          <w:p w14:paraId="48880BE4" w14:textId="77777777" w:rsidR="00AB6753" w:rsidRPr="00A30AFF" w:rsidRDefault="00AB6753" w:rsidP="002D1EA4">
            <w:r w:rsidRPr="00A30AFF">
              <w:t>5,689</w:t>
            </w:r>
          </w:p>
        </w:tc>
        <w:tc>
          <w:tcPr>
            <w:tcW w:w="1399" w:type="dxa"/>
            <w:tcBorders>
              <w:top w:val="single" w:sz="4" w:space="0" w:color="FFFFFF" w:themeColor="background1"/>
              <w:left w:val="nil"/>
              <w:bottom w:val="single" w:sz="4" w:space="0" w:color="FFFFFF" w:themeColor="background1"/>
              <w:right w:val="nil"/>
            </w:tcBorders>
            <w:shd w:val="clear" w:color="auto" w:fill="F8F8F8"/>
          </w:tcPr>
          <w:p w14:paraId="263D07F1" w14:textId="77777777" w:rsidR="00AB6753" w:rsidRPr="00A30AFF" w:rsidRDefault="00AB6753" w:rsidP="002D1EA4">
            <w:r w:rsidRPr="00A30AFF">
              <w:t>5,689</w:t>
            </w:r>
          </w:p>
        </w:tc>
        <w:tc>
          <w:tcPr>
            <w:tcW w:w="1689" w:type="dxa"/>
            <w:tcBorders>
              <w:top w:val="single" w:sz="4" w:space="0" w:color="FFFFFF" w:themeColor="background1"/>
              <w:left w:val="nil"/>
              <w:bottom w:val="single" w:sz="4" w:space="0" w:color="FFFFFF" w:themeColor="background1"/>
              <w:right w:val="nil"/>
            </w:tcBorders>
            <w:shd w:val="clear" w:color="auto" w:fill="F8F8F8"/>
            <w:noWrap/>
          </w:tcPr>
          <w:p w14:paraId="0E66616D" w14:textId="77777777" w:rsidR="00AB6753" w:rsidRPr="00A30AFF" w:rsidRDefault="00AB6753" w:rsidP="002D1EA4">
            <w:r>
              <w:t>-</w:t>
            </w:r>
          </w:p>
        </w:tc>
      </w:tr>
      <w:tr w:rsidR="00AB6753" w:rsidRPr="00A30AFF" w14:paraId="4010C00D" w14:textId="77777777" w:rsidTr="002D1EA4">
        <w:trPr>
          <w:trHeight w:val="322"/>
        </w:trPr>
        <w:tc>
          <w:tcPr>
            <w:tcW w:w="4022" w:type="dxa"/>
            <w:tcBorders>
              <w:top w:val="single" w:sz="4" w:space="0" w:color="FFFFFF" w:themeColor="background1"/>
              <w:left w:val="nil"/>
              <w:bottom w:val="single" w:sz="4" w:space="0" w:color="FFFFFF" w:themeColor="background1"/>
              <w:right w:val="nil"/>
            </w:tcBorders>
            <w:shd w:val="clear" w:color="auto" w:fill="EAEAEA"/>
            <w:hideMark/>
          </w:tcPr>
          <w:p w14:paraId="062AC180" w14:textId="77777777" w:rsidR="00AB6753" w:rsidRPr="00521F86" w:rsidRDefault="00AB6753" w:rsidP="002D1EA4">
            <w:pPr>
              <w:rPr>
                <w:b/>
              </w:rPr>
            </w:pPr>
            <w:r w:rsidRPr="00521F86">
              <w:rPr>
                <w:b/>
              </w:rPr>
              <w:t>Total for Program 2.1</w:t>
            </w:r>
          </w:p>
        </w:tc>
        <w:tc>
          <w:tcPr>
            <w:tcW w:w="1982" w:type="dxa"/>
            <w:gridSpan w:val="2"/>
            <w:tcBorders>
              <w:top w:val="single" w:sz="4" w:space="0" w:color="FFFFFF" w:themeColor="background1"/>
              <w:left w:val="nil"/>
              <w:bottom w:val="single" w:sz="4" w:space="0" w:color="FFFFFF" w:themeColor="background1"/>
              <w:right w:val="nil"/>
            </w:tcBorders>
            <w:shd w:val="clear" w:color="auto" w:fill="EAEAEA"/>
          </w:tcPr>
          <w:p w14:paraId="314E0E56" w14:textId="77777777" w:rsidR="00AB6753" w:rsidRPr="00521F86" w:rsidRDefault="00AB6753" w:rsidP="002D1EA4">
            <w:pPr>
              <w:rPr>
                <w:b/>
              </w:rPr>
            </w:pPr>
            <w:r w:rsidRPr="00521F86">
              <w:rPr>
                <w:b/>
              </w:rPr>
              <w:t>931,996</w:t>
            </w:r>
          </w:p>
        </w:tc>
        <w:tc>
          <w:tcPr>
            <w:tcW w:w="1399" w:type="dxa"/>
            <w:tcBorders>
              <w:top w:val="single" w:sz="4" w:space="0" w:color="FFFFFF" w:themeColor="background1"/>
              <w:left w:val="nil"/>
              <w:bottom w:val="single" w:sz="4" w:space="0" w:color="FFFFFF" w:themeColor="background1"/>
              <w:right w:val="nil"/>
            </w:tcBorders>
            <w:shd w:val="clear" w:color="auto" w:fill="EAEAEA"/>
          </w:tcPr>
          <w:p w14:paraId="1A88D3FC" w14:textId="77777777" w:rsidR="00AB6753" w:rsidRPr="00521F86" w:rsidRDefault="00AB6753" w:rsidP="002D1EA4">
            <w:pPr>
              <w:rPr>
                <w:b/>
              </w:rPr>
            </w:pPr>
            <w:r w:rsidRPr="00521F86">
              <w:rPr>
                <w:b/>
              </w:rPr>
              <w:t>953,296</w:t>
            </w:r>
          </w:p>
        </w:tc>
        <w:tc>
          <w:tcPr>
            <w:tcW w:w="1689" w:type="dxa"/>
            <w:tcBorders>
              <w:top w:val="single" w:sz="4" w:space="0" w:color="FFFFFF" w:themeColor="background1"/>
              <w:left w:val="nil"/>
              <w:bottom w:val="single" w:sz="4" w:space="0" w:color="FFFFFF" w:themeColor="background1"/>
              <w:right w:val="nil"/>
            </w:tcBorders>
            <w:shd w:val="clear" w:color="auto" w:fill="EAEAEA"/>
          </w:tcPr>
          <w:p w14:paraId="0E391CC1" w14:textId="77777777" w:rsidR="00AB6753" w:rsidRPr="00521F86" w:rsidRDefault="00AB6753" w:rsidP="002D1EA4">
            <w:pPr>
              <w:rPr>
                <w:b/>
              </w:rPr>
            </w:pPr>
            <w:r w:rsidRPr="00521F86">
              <w:rPr>
                <w:b/>
              </w:rPr>
              <w:t>(21,300)</w:t>
            </w:r>
          </w:p>
        </w:tc>
      </w:tr>
      <w:tr w:rsidR="00AB6753" w:rsidRPr="00A30AFF" w14:paraId="2C891435" w14:textId="77777777" w:rsidTr="002D1EA4">
        <w:trPr>
          <w:trHeight w:val="322"/>
        </w:trPr>
        <w:tc>
          <w:tcPr>
            <w:tcW w:w="4022" w:type="dxa"/>
            <w:tcBorders>
              <w:top w:val="single" w:sz="4" w:space="0" w:color="FFFFFF" w:themeColor="background1"/>
              <w:left w:val="nil"/>
              <w:bottom w:val="single" w:sz="4" w:space="0" w:color="auto"/>
              <w:right w:val="nil"/>
            </w:tcBorders>
            <w:shd w:val="clear" w:color="auto" w:fill="FFFFFF" w:themeFill="background1"/>
            <w:hideMark/>
          </w:tcPr>
          <w:p w14:paraId="5DA48571" w14:textId="77777777" w:rsidR="00AB6753" w:rsidRPr="00A30AFF" w:rsidRDefault="00AB6753" w:rsidP="002D1EA4">
            <w:pPr>
              <w:rPr>
                <w:b/>
              </w:rPr>
            </w:pPr>
            <w:r w:rsidRPr="00A30AFF">
              <w:rPr>
                <w:b/>
              </w:rPr>
              <w:t>Program 2.2: Paid Parental Leave</w:t>
            </w:r>
          </w:p>
        </w:tc>
        <w:tc>
          <w:tcPr>
            <w:tcW w:w="1982" w:type="dxa"/>
            <w:gridSpan w:val="2"/>
            <w:tcBorders>
              <w:top w:val="single" w:sz="4" w:space="0" w:color="FFFFFF" w:themeColor="background1"/>
              <w:left w:val="nil"/>
              <w:bottom w:val="single" w:sz="4" w:space="0" w:color="auto"/>
              <w:right w:val="nil"/>
            </w:tcBorders>
            <w:shd w:val="clear" w:color="auto" w:fill="FFFFFF" w:themeFill="background1"/>
          </w:tcPr>
          <w:p w14:paraId="0BA02E46" w14:textId="77777777" w:rsidR="00AB6753" w:rsidRPr="00A30AFF" w:rsidRDefault="00AB6753" w:rsidP="002D1EA4">
            <w:pPr>
              <w:rPr>
                <w:b/>
              </w:rPr>
            </w:pPr>
          </w:p>
        </w:tc>
        <w:tc>
          <w:tcPr>
            <w:tcW w:w="1399" w:type="dxa"/>
            <w:tcBorders>
              <w:top w:val="single" w:sz="4" w:space="0" w:color="FFFFFF" w:themeColor="background1"/>
              <w:left w:val="nil"/>
              <w:bottom w:val="single" w:sz="4" w:space="0" w:color="auto"/>
              <w:right w:val="nil"/>
            </w:tcBorders>
            <w:shd w:val="clear" w:color="auto" w:fill="FFFFFF" w:themeFill="background1"/>
          </w:tcPr>
          <w:p w14:paraId="1B1BEE53" w14:textId="77777777" w:rsidR="00AB6753" w:rsidRPr="00A30AFF" w:rsidRDefault="00AB6753" w:rsidP="002D1EA4">
            <w:pPr>
              <w:rPr>
                <w:b/>
              </w:rPr>
            </w:pPr>
          </w:p>
        </w:tc>
        <w:tc>
          <w:tcPr>
            <w:tcW w:w="1689" w:type="dxa"/>
            <w:tcBorders>
              <w:top w:val="single" w:sz="4" w:space="0" w:color="FFFFFF" w:themeColor="background1"/>
              <w:left w:val="nil"/>
              <w:bottom w:val="single" w:sz="4" w:space="0" w:color="auto"/>
              <w:right w:val="nil"/>
            </w:tcBorders>
            <w:shd w:val="clear" w:color="auto" w:fill="FFFFFF" w:themeFill="background1"/>
          </w:tcPr>
          <w:p w14:paraId="1992B727" w14:textId="77777777" w:rsidR="00AB6753" w:rsidRPr="00A30AFF" w:rsidRDefault="00AB6753" w:rsidP="002D1EA4">
            <w:pPr>
              <w:rPr>
                <w:b/>
              </w:rPr>
            </w:pPr>
          </w:p>
        </w:tc>
      </w:tr>
      <w:tr w:rsidR="00AB6753" w:rsidRPr="00A30AFF" w14:paraId="528B95D3" w14:textId="77777777" w:rsidTr="002D1EA4">
        <w:trPr>
          <w:trHeight w:val="322"/>
        </w:trPr>
        <w:tc>
          <w:tcPr>
            <w:tcW w:w="4022" w:type="dxa"/>
            <w:tcBorders>
              <w:top w:val="single" w:sz="4" w:space="0" w:color="auto"/>
              <w:left w:val="nil"/>
              <w:bottom w:val="single" w:sz="4" w:space="0" w:color="FFFFFF" w:themeColor="background1"/>
              <w:right w:val="nil"/>
            </w:tcBorders>
            <w:shd w:val="clear" w:color="auto" w:fill="EAEAEA"/>
            <w:noWrap/>
            <w:hideMark/>
          </w:tcPr>
          <w:p w14:paraId="21D90235" w14:textId="77777777" w:rsidR="00AB6753" w:rsidRPr="00A30AFF" w:rsidRDefault="00AB6753" w:rsidP="002D1EA4">
            <w:r w:rsidRPr="00A30AFF">
              <w:t>Administered expenses</w:t>
            </w:r>
          </w:p>
        </w:tc>
        <w:tc>
          <w:tcPr>
            <w:tcW w:w="1982" w:type="dxa"/>
            <w:gridSpan w:val="2"/>
            <w:tcBorders>
              <w:top w:val="single" w:sz="4" w:space="0" w:color="auto"/>
              <w:left w:val="nil"/>
              <w:bottom w:val="single" w:sz="4" w:space="0" w:color="FFFFFF" w:themeColor="background1"/>
              <w:right w:val="nil"/>
            </w:tcBorders>
            <w:shd w:val="clear" w:color="auto" w:fill="EAEAEA"/>
          </w:tcPr>
          <w:p w14:paraId="1D3673A3" w14:textId="77777777" w:rsidR="00AB6753" w:rsidRPr="00A30AFF" w:rsidRDefault="00AB6753" w:rsidP="002D1EA4"/>
        </w:tc>
        <w:tc>
          <w:tcPr>
            <w:tcW w:w="1399" w:type="dxa"/>
            <w:tcBorders>
              <w:top w:val="single" w:sz="4" w:space="0" w:color="auto"/>
              <w:left w:val="nil"/>
              <w:bottom w:val="single" w:sz="4" w:space="0" w:color="FFFFFF" w:themeColor="background1"/>
              <w:right w:val="nil"/>
            </w:tcBorders>
            <w:shd w:val="clear" w:color="auto" w:fill="EAEAEA"/>
          </w:tcPr>
          <w:p w14:paraId="4CFEF986" w14:textId="77777777" w:rsidR="00AB6753" w:rsidRPr="00A30AFF" w:rsidRDefault="00AB6753" w:rsidP="002D1EA4"/>
        </w:tc>
        <w:tc>
          <w:tcPr>
            <w:tcW w:w="1689" w:type="dxa"/>
            <w:tcBorders>
              <w:top w:val="single" w:sz="4" w:space="0" w:color="auto"/>
              <w:left w:val="nil"/>
              <w:bottom w:val="single" w:sz="4" w:space="0" w:color="FFFFFF" w:themeColor="background1"/>
              <w:right w:val="nil"/>
            </w:tcBorders>
            <w:shd w:val="clear" w:color="auto" w:fill="EAEAEA"/>
          </w:tcPr>
          <w:p w14:paraId="6CB76431" w14:textId="77777777" w:rsidR="00AB6753" w:rsidRPr="00A30AFF" w:rsidRDefault="00AB6753" w:rsidP="002D1EA4"/>
        </w:tc>
      </w:tr>
      <w:tr w:rsidR="00AB6753" w:rsidRPr="00A30AFF" w14:paraId="550C68FE" w14:textId="77777777" w:rsidTr="002D1EA4">
        <w:trPr>
          <w:trHeight w:val="322"/>
        </w:trPr>
        <w:tc>
          <w:tcPr>
            <w:tcW w:w="4022" w:type="dxa"/>
            <w:tcBorders>
              <w:top w:val="single" w:sz="4" w:space="0" w:color="FFFFFF" w:themeColor="background1"/>
              <w:left w:val="nil"/>
              <w:bottom w:val="single" w:sz="4" w:space="0" w:color="FFFFFF" w:themeColor="background1"/>
              <w:right w:val="nil"/>
            </w:tcBorders>
            <w:shd w:val="clear" w:color="auto" w:fill="EAEAEA"/>
            <w:noWrap/>
            <w:hideMark/>
          </w:tcPr>
          <w:p w14:paraId="4FFF9A64" w14:textId="77777777" w:rsidR="00AB6753" w:rsidRPr="00A30AFF" w:rsidRDefault="00AB6753" w:rsidP="002D1EA4">
            <w:r w:rsidRPr="00A30AFF">
              <w:t>Special Appropriations</w:t>
            </w:r>
          </w:p>
        </w:tc>
        <w:tc>
          <w:tcPr>
            <w:tcW w:w="1982" w:type="dxa"/>
            <w:gridSpan w:val="2"/>
            <w:tcBorders>
              <w:top w:val="single" w:sz="4" w:space="0" w:color="FFFFFF" w:themeColor="background1"/>
              <w:left w:val="nil"/>
              <w:bottom w:val="single" w:sz="4" w:space="0" w:color="FFFFFF" w:themeColor="background1"/>
              <w:right w:val="nil"/>
            </w:tcBorders>
            <w:shd w:val="clear" w:color="auto" w:fill="EAEAEA"/>
            <w:noWrap/>
          </w:tcPr>
          <w:p w14:paraId="1BD2C6E5" w14:textId="77777777" w:rsidR="00AB6753" w:rsidRPr="00A30AFF" w:rsidRDefault="00AB6753" w:rsidP="002D1EA4">
            <w:r w:rsidRPr="00A30AFF">
              <w:t>2,388,941</w:t>
            </w:r>
          </w:p>
        </w:tc>
        <w:tc>
          <w:tcPr>
            <w:tcW w:w="1399" w:type="dxa"/>
            <w:tcBorders>
              <w:top w:val="single" w:sz="4" w:space="0" w:color="FFFFFF" w:themeColor="background1"/>
              <w:left w:val="nil"/>
              <w:bottom w:val="single" w:sz="4" w:space="0" w:color="FFFFFF" w:themeColor="background1"/>
              <w:right w:val="nil"/>
            </w:tcBorders>
            <w:shd w:val="clear" w:color="auto" w:fill="EAEAEA"/>
            <w:noWrap/>
          </w:tcPr>
          <w:p w14:paraId="00250D7F" w14:textId="77777777" w:rsidR="00AB6753" w:rsidRPr="00A30AFF" w:rsidRDefault="00AB6753" w:rsidP="002D1EA4">
            <w:r w:rsidRPr="00A30AFF">
              <w:t>2,399,563</w:t>
            </w:r>
          </w:p>
        </w:tc>
        <w:tc>
          <w:tcPr>
            <w:tcW w:w="1689" w:type="dxa"/>
            <w:tcBorders>
              <w:top w:val="single" w:sz="4" w:space="0" w:color="FFFFFF" w:themeColor="background1"/>
              <w:left w:val="nil"/>
              <w:bottom w:val="single" w:sz="4" w:space="0" w:color="FFFFFF" w:themeColor="background1"/>
              <w:right w:val="nil"/>
            </w:tcBorders>
            <w:shd w:val="clear" w:color="auto" w:fill="EAEAEA"/>
            <w:noWrap/>
          </w:tcPr>
          <w:p w14:paraId="28836D7F" w14:textId="77777777" w:rsidR="00AB6753" w:rsidRPr="00A30AFF" w:rsidRDefault="00AB6753" w:rsidP="002D1EA4">
            <w:r>
              <w:t>(10,622)</w:t>
            </w:r>
          </w:p>
        </w:tc>
      </w:tr>
      <w:tr w:rsidR="00AB6753" w:rsidRPr="00A30AFF" w14:paraId="6CE833D3" w14:textId="77777777" w:rsidTr="002D1EA4">
        <w:trPr>
          <w:trHeight w:val="322"/>
        </w:trPr>
        <w:tc>
          <w:tcPr>
            <w:tcW w:w="4022" w:type="dxa"/>
            <w:tcBorders>
              <w:top w:val="single" w:sz="4" w:space="0" w:color="FFFFFF" w:themeColor="background1"/>
              <w:left w:val="nil"/>
              <w:bottom w:val="single" w:sz="4" w:space="0" w:color="FFFFFF" w:themeColor="background1"/>
              <w:right w:val="nil"/>
            </w:tcBorders>
            <w:shd w:val="clear" w:color="auto" w:fill="F8F8F8"/>
            <w:hideMark/>
          </w:tcPr>
          <w:p w14:paraId="5824C7EA" w14:textId="77777777" w:rsidR="00AB6753" w:rsidRPr="00521F86" w:rsidRDefault="00AB6753" w:rsidP="002D1EA4">
            <w:pPr>
              <w:rPr>
                <w:b/>
              </w:rPr>
            </w:pPr>
            <w:r w:rsidRPr="00521F86">
              <w:rPr>
                <w:b/>
              </w:rPr>
              <w:t>Total for Program 2.2</w:t>
            </w:r>
          </w:p>
        </w:tc>
        <w:tc>
          <w:tcPr>
            <w:tcW w:w="1982" w:type="dxa"/>
            <w:gridSpan w:val="2"/>
            <w:tcBorders>
              <w:top w:val="single" w:sz="4" w:space="0" w:color="FFFFFF" w:themeColor="background1"/>
              <w:left w:val="nil"/>
              <w:bottom w:val="single" w:sz="4" w:space="0" w:color="FFFFFF" w:themeColor="background1"/>
              <w:right w:val="nil"/>
            </w:tcBorders>
            <w:shd w:val="clear" w:color="auto" w:fill="F8F8F8"/>
          </w:tcPr>
          <w:p w14:paraId="16164E93" w14:textId="77777777" w:rsidR="00AB6753" w:rsidRPr="00521F86" w:rsidRDefault="00AB6753" w:rsidP="002D1EA4">
            <w:pPr>
              <w:rPr>
                <w:b/>
              </w:rPr>
            </w:pPr>
            <w:r w:rsidRPr="00521F86">
              <w:rPr>
                <w:b/>
              </w:rPr>
              <w:t>2,388,941</w:t>
            </w:r>
          </w:p>
        </w:tc>
        <w:tc>
          <w:tcPr>
            <w:tcW w:w="1399" w:type="dxa"/>
            <w:tcBorders>
              <w:top w:val="single" w:sz="4" w:space="0" w:color="FFFFFF" w:themeColor="background1"/>
              <w:left w:val="nil"/>
              <w:bottom w:val="single" w:sz="4" w:space="0" w:color="FFFFFF" w:themeColor="background1"/>
              <w:right w:val="nil"/>
            </w:tcBorders>
            <w:shd w:val="clear" w:color="auto" w:fill="F8F8F8"/>
          </w:tcPr>
          <w:p w14:paraId="70D12CD3" w14:textId="77777777" w:rsidR="00AB6753" w:rsidRPr="00521F86" w:rsidRDefault="00AB6753" w:rsidP="002D1EA4">
            <w:pPr>
              <w:rPr>
                <w:b/>
              </w:rPr>
            </w:pPr>
            <w:r w:rsidRPr="00521F86">
              <w:rPr>
                <w:b/>
              </w:rPr>
              <w:t>2,399,563</w:t>
            </w:r>
          </w:p>
        </w:tc>
        <w:tc>
          <w:tcPr>
            <w:tcW w:w="1689" w:type="dxa"/>
            <w:tcBorders>
              <w:top w:val="single" w:sz="4" w:space="0" w:color="FFFFFF" w:themeColor="background1"/>
              <w:left w:val="nil"/>
              <w:bottom w:val="single" w:sz="4" w:space="0" w:color="FFFFFF" w:themeColor="background1"/>
              <w:right w:val="nil"/>
            </w:tcBorders>
            <w:shd w:val="clear" w:color="auto" w:fill="F8F8F8"/>
          </w:tcPr>
          <w:p w14:paraId="23B1892C" w14:textId="77777777" w:rsidR="00AB6753" w:rsidRPr="00521F86" w:rsidRDefault="00AB6753" w:rsidP="002D1EA4">
            <w:pPr>
              <w:rPr>
                <w:b/>
              </w:rPr>
            </w:pPr>
            <w:r w:rsidRPr="00521F86">
              <w:rPr>
                <w:b/>
              </w:rPr>
              <w:t>(10,622)</w:t>
            </w:r>
          </w:p>
        </w:tc>
      </w:tr>
      <w:tr w:rsidR="00AB6753" w:rsidRPr="00A30AFF" w14:paraId="140DD411" w14:textId="77777777" w:rsidTr="002D1EA4">
        <w:trPr>
          <w:trHeight w:val="322"/>
        </w:trPr>
        <w:tc>
          <w:tcPr>
            <w:tcW w:w="9092" w:type="dxa"/>
            <w:gridSpan w:val="5"/>
            <w:tcBorders>
              <w:top w:val="single" w:sz="4" w:space="0" w:color="FFFFFF" w:themeColor="background1"/>
              <w:left w:val="nil"/>
              <w:bottom w:val="single" w:sz="4" w:space="0" w:color="auto"/>
              <w:right w:val="nil"/>
            </w:tcBorders>
            <w:shd w:val="clear" w:color="auto" w:fill="FFFFFF" w:themeFill="background1"/>
            <w:hideMark/>
          </w:tcPr>
          <w:p w14:paraId="23191380" w14:textId="77777777" w:rsidR="00AB6753" w:rsidRPr="00A30AFF" w:rsidRDefault="00AB6753" w:rsidP="002D1EA4">
            <w:pPr>
              <w:rPr>
                <w:b/>
              </w:rPr>
            </w:pPr>
            <w:r w:rsidRPr="00A30AFF">
              <w:rPr>
                <w:b/>
              </w:rPr>
              <w:t>Program 2.3: Social and Community Services</w:t>
            </w:r>
          </w:p>
        </w:tc>
      </w:tr>
      <w:tr w:rsidR="00AB6753" w:rsidRPr="00A30AFF" w14:paraId="6B07B47E" w14:textId="77777777" w:rsidTr="002D1EA4">
        <w:trPr>
          <w:trHeight w:val="322"/>
        </w:trPr>
        <w:tc>
          <w:tcPr>
            <w:tcW w:w="4022" w:type="dxa"/>
            <w:tcBorders>
              <w:top w:val="single" w:sz="4" w:space="0" w:color="auto"/>
              <w:left w:val="nil"/>
              <w:bottom w:val="single" w:sz="4" w:space="0" w:color="FFFFFF" w:themeColor="background1"/>
              <w:right w:val="nil"/>
            </w:tcBorders>
            <w:shd w:val="clear" w:color="auto" w:fill="EAEAEA"/>
            <w:noWrap/>
            <w:hideMark/>
          </w:tcPr>
          <w:p w14:paraId="718D5D59" w14:textId="77777777" w:rsidR="00AB6753" w:rsidRPr="00A30AFF" w:rsidRDefault="00AB6753" w:rsidP="002D1EA4">
            <w:r w:rsidRPr="00A30AFF">
              <w:t>Administered expenses</w:t>
            </w:r>
          </w:p>
        </w:tc>
        <w:tc>
          <w:tcPr>
            <w:tcW w:w="1982" w:type="dxa"/>
            <w:gridSpan w:val="2"/>
            <w:tcBorders>
              <w:top w:val="single" w:sz="4" w:space="0" w:color="auto"/>
              <w:left w:val="nil"/>
              <w:bottom w:val="single" w:sz="4" w:space="0" w:color="FFFFFF" w:themeColor="background1"/>
              <w:right w:val="nil"/>
            </w:tcBorders>
            <w:shd w:val="clear" w:color="auto" w:fill="EAEAEA"/>
          </w:tcPr>
          <w:p w14:paraId="574322FB" w14:textId="77777777" w:rsidR="00AB6753" w:rsidRPr="00A30AFF" w:rsidRDefault="00AB6753" w:rsidP="002D1EA4"/>
        </w:tc>
        <w:tc>
          <w:tcPr>
            <w:tcW w:w="1399" w:type="dxa"/>
            <w:tcBorders>
              <w:top w:val="single" w:sz="4" w:space="0" w:color="auto"/>
              <w:left w:val="nil"/>
              <w:bottom w:val="single" w:sz="4" w:space="0" w:color="FFFFFF" w:themeColor="background1"/>
              <w:right w:val="nil"/>
            </w:tcBorders>
            <w:shd w:val="clear" w:color="auto" w:fill="EAEAEA"/>
          </w:tcPr>
          <w:p w14:paraId="45A1D691" w14:textId="77777777" w:rsidR="00AB6753" w:rsidRPr="00A30AFF" w:rsidRDefault="00AB6753" w:rsidP="002D1EA4"/>
        </w:tc>
        <w:tc>
          <w:tcPr>
            <w:tcW w:w="1689" w:type="dxa"/>
            <w:tcBorders>
              <w:top w:val="single" w:sz="4" w:space="0" w:color="auto"/>
              <w:left w:val="nil"/>
              <w:bottom w:val="single" w:sz="4" w:space="0" w:color="FFFFFF" w:themeColor="background1"/>
              <w:right w:val="nil"/>
            </w:tcBorders>
            <w:shd w:val="clear" w:color="auto" w:fill="EAEAEA"/>
          </w:tcPr>
          <w:p w14:paraId="6CB15B47" w14:textId="77777777" w:rsidR="00AB6753" w:rsidRPr="00A30AFF" w:rsidRDefault="00AB6753" w:rsidP="002D1EA4"/>
        </w:tc>
      </w:tr>
      <w:tr w:rsidR="00AB6753" w:rsidRPr="00A30AFF" w14:paraId="352C50C8" w14:textId="77777777" w:rsidTr="002D1EA4">
        <w:trPr>
          <w:trHeight w:val="322"/>
        </w:trPr>
        <w:tc>
          <w:tcPr>
            <w:tcW w:w="4022" w:type="dxa"/>
            <w:tcBorders>
              <w:top w:val="single" w:sz="4" w:space="0" w:color="FFFFFF" w:themeColor="background1"/>
              <w:left w:val="nil"/>
              <w:bottom w:val="single" w:sz="4" w:space="0" w:color="FFFFFF" w:themeColor="background1"/>
              <w:right w:val="nil"/>
            </w:tcBorders>
            <w:shd w:val="clear" w:color="auto" w:fill="F8F8F8"/>
            <w:noWrap/>
            <w:hideMark/>
          </w:tcPr>
          <w:p w14:paraId="21A42FCD" w14:textId="77777777" w:rsidR="00AB6753" w:rsidRPr="00A30AFF" w:rsidRDefault="00AB6753" w:rsidP="002D1EA4">
            <w:r w:rsidRPr="00A30AFF">
              <w:t>Special Account</w:t>
            </w:r>
            <w:r>
              <w:t>s</w:t>
            </w:r>
          </w:p>
        </w:tc>
        <w:tc>
          <w:tcPr>
            <w:tcW w:w="1982" w:type="dxa"/>
            <w:gridSpan w:val="2"/>
            <w:tcBorders>
              <w:top w:val="single" w:sz="4" w:space="0" w:color="FFFFFF" w:themeColor="background1"/>
              <w:left w:val="nil"/>
              <w:bottom w:val="single" w:sz="4" w:space="0" w:color="FFFFFF" w:themeColor="background1"/>
              <w:right w:val="nil"/>
            </w:tcBorders>
            <w:shd w:val="clear" w:color="auto" w:fill="F8F8F8"/>
            <w:noWrap/>
          </w:tcPr>
          <w:p w14:paraId="32CA7FD9" w14:textId="77777777" w:rsidR="00AB6753" w:rsidRPr="00A30AFF" w:rsidRDefault="00AB6753" w:rsidP="002D1EA4">
            <w:r w:rsidRPr="00A30AFF">
              <w:t>437,566</w:t>
            </w:r>
          </w:p>
        </w:tc>
        <w:tc>
          <w:tcPr>
            <w:tcW w:w="1399" w:type="dxa"/>
            <w:tcBorders>
              <w:top w:val="single" w:sz="4" w:space="0" w:color="FFFFFF" w:themeColor="background1"/>
              <w:left w:val="nil"/>
              <w:bottom w:val="single" w:sz="4" w:space="0" w:color="FFFFFF" w:themeColor="background1"/>
              <w:right w:val="nil"/>
            </w:tcBorders>
            <w:shd w:val="clear" w:color="auto" w:fill="F8F8F8"/>
            <w:noWrap/>
          </w:tcPr>
          <w:p w14:paraId="1D978066" w14:textId="77777777" w:rsidR="00AB6753" w:rsidRPr="00A30AFF" w:rsidRDefault="00AB6753" w:rsidP="002D1EA4">
            <w:r w:rsidRPr="00A30AFF">
              <w:t>411,920</w:t>
            </w:r>
          </w:p>
        </w:tc>
        <w:tc>
          <w:tcPr>
            <w:tcW w:w="1689" w:type="dxa"/>
            <w:tcBorders>
              <w:top w:val="single" w:sz="4" w:space="0" w:color="FFFFFF" w:themeColor="background1"/>
              <w:left w:val="nil"/>
              <w:bottom w:val="single" w:sz="4" w:space="0" w:color="FFFFFF" w:themeColor="background1"/>
              <w:right w:val="nil"/>
            </w:tcBorders>
            <w:shd w:val="clear" w:color="auto" w:fill="F8F8F8"/>
            <w:noWrap/>
          </w:tcPr>
          <w:p w14:paraId="5825975B" w14:textId="77777777" w:rsidR="00AB6753" w:rsidRPr="00A30AFF" w:rsidRDefault="00AB6753" w:rsidP="002D1EA4">
            <w:r>
              <w:t>25,646</w:t>
            </w:r>
          </w:p>
        </w:tc>
      </w:tr>
      <w:tr w:rsidR="00AB6753" w:rsidRPr="00A30AFF" w14:paraId="70822FDC" w14:textId="77777777" w:rsidTr="002D1EA4">
        <w:trPr>
          <w:trHeight w:val="322"/>
        </w:trPr>
        <w:tc>
          <w:tcPr>
            <w:tcW w:w="4022" w:type="dxa"/>
            <w:tcBorders>
              <w:top w:val="single" w:sz="4" w:space="0" w:color="FFFFFF" w:themeColor="background1"/>
              <w:left w:val="nil"/>
              <w:bottom w:val="single" w:sz="4" w:space="0" w:color="FFFFFF" w:themeColor="background1"/>
              <w:right w:val="nil"/>
            </w:tcBorders>
            <w:shd w:val="clear" w:color="auto" w:fill="EAEAEA"/>
            <w:hideMark/>
          </w:tcPr>
          <w:p w14:paraId="0023D084" w14:textId="77777777" w:rsidR="00AB6753" w:rsidRPr="00521F86" w:rsidRDefault="00AB6753" w:rsidP="002D1EA4">
            <w:pPr>
              <w:rPr>
                <w:b/>
              </w:rPr>
            </w:pPr>
            <w:r w:rsidRPr="00521F86">
              <w:rPr>
                <w:b/>
              </w:rPr>
              <w:t>Total for Program 2.3</w:t>
            </w:r>
          </w:p>
        </w:tc>
        <w:tc>
          <w:tcPr>
            <w:tcW w:w="1982" w:type="dxa"/>
            <w:gridSpan w:val="2"/>
            <w:tcBorders>
              <w:top w:val="single" w:sz="4" w:space="0" w:color="FFFFFF" w:themeColor="background1"/>
              <w:left w:val="nil"/>
              <w:bottom w:val="single" w:sz="4" w:space="0" w:color="FFFFFF" w:themeColor="background1"/>
              <w:right w:val="nil"/>
            </w:tcBorders>
            <w:shd w:val="clear" w:color="auto" w:fill="EAEAEA"/>
          </w:tcPr>
          <w:p w14:paraId="790312D8" w14:textId="77777777" w:rsidR="00AB6753" w:rsidRPr="00521F86" w:rsidRDefault="00AB6753" w:rsidP="002D1EA4">
            <w:pPr>
              <w:rPr>
                <w:b/>
              </w:rPr>
            </w:pPr>
            <w:r w:rsidRPr="00521F86">
              <w:rPr>
                <w:b/>
              </w:rPr>
              <w:t>437,566</w:t>
            </w:r>
          </w:p>
        </w:tc>
        <w:tc>
          <w:tcPr>
            <w:tcW w:w="1399" w:type="dxa"/>
            <w:tcBorders>
              <w:top w:val="single" w:sz="4" w:space="0" w:color="FFFFFF" w:themeColor="background1"/>
              <w:left w:val="nil"/>
              <w:bottom w:val="single" w:sz="4" w:space="0" w:color="FFFFFF" w:themeColor="background1"/>
              <w:right w:val="nil"/>
            </w:tcBorders>
            <w:shd w:val="clear" w:color="auto" w:fill="EAEAEA"/>
          </w:tcPr>
          <w:p w14:paraId="05F6DFD6" w14:textId="77777777" w:rsidR="00AB6753" w:rsidRPr="00521F86" w:rsidRDefault="00AB6753" w:rsidP="002D1EA4">
            <w:pPr>
              <w:rPr>
                <w:b/>
              </w:rPr>
            </w:pPr>
            <w:r w:rsidRPr="00521F86">
              <w:rPr>
                <w:b/>
              </w:rPr>
              <w:t>411,920</w:t>
            </w:r>
          </w:p>
        </w:tc>
        <w:tc>
          <w:tcPr>
            <w:tcW w:w="1689" w:type="dxa"/>
            <w:tcBorders>
              <w:top w:val="single" w:sz="4" w:space="0" w:color="FFFFFF" w:themeColor="background1"/>
              <w:left w:val="nil"/>
              <w:bottom w:val="single" w:sz="4" w:space="0" w:color="FFFFFF" w:themeColor="background1"/>
              <w:right w:val="nil"/>
            </w:tcBorders>
            <w:shd w:val="clear" w:color="auto" w:fill="EAEAEA"/>
          </w:tcPr>
          <w:p w14:paraId="6AF5BDE0" w14:textId="77777777" w:rsidR="00AB6753" w:rsidRPr="00521F86" w:rsidRDefault="00AB6753" w:rsidP="002D1EA4">
            <w:pPr>
              <w:rPr>
                <w:b/>
              </w:rPr>
            </w:pPr>
            <w:r w:rsidRPr="00521F86">
              <w:rPr>
                <w:b/>
              </w:rPr>
              <w:t>25,646</w:t>
            </w:r>
          </w:p>
        </w:tc>
      </w:tr>
      <w:tr w:rsidR="00AB6753" w:rsidRPr="00A30AFF" w14:paraId="506AA8C9" w14:textId="77777777" w:rsidTr="002D1EA4">
        <w:trPr>
          <w:trHeight w:val="322"/>
        </w:trPr>
        <w:tc>
          <w:tcPr>
            <w:tcW w:w="9092" w:type="dxa"/>
            <w:gridSpan w:val="5"/>
            <w:tcBorders>
              <w:top w:val="single" w:sz="4" w:space="0" w:color="FFFFFF" w:themeColor="background1"/>
              <w:left w:val="nil"/>
              <w:bottom w:val="single" w:sz="4" w:space="0" w:color="auto"/>
              <w:right w:val="nil"/>
            </w:tcBorders>
            <w:shd w:val="clear" w:color="auto" w:fill="FFFFFF" w:themeFill="background1"/>
            <w:hideMark/>
          </w:tcPr>
          <w:p w14:paraId="4D7303EE" w14:textId="77777777" w:rsidR="00AB6753" w:rsidRPr="00A30AFF" w:rsidRDefault="00AB6753" w:rsidP="002D1EA4">
            <w:pPr>
              <w:rPr>
                <w:b/>
              </w:rPr>
            </w:pPr>
            <w:r w:rsidRPr="00A30AFF">
              <w:rPr>
                <w:b/>
              </w:rPr>
              <w:t>Program 2.4: Program Support for Outcome 2</w:t>
            </w:r>
          </w:p>
        </w:tc>
      </w:tr>
      <w:tr w:rsidR="00AB6753" w:rsidRPr="00A30AFF" w14:paraId="1D575274" w14:textId="77777777" w:rsidTr="002D1EA4">
        <w:trPr>
          <w:trHeight w:val="52"/>
        </w:trPr>
        <w:tc>
          <w:tcPr>
            <w:tcW w:w="4022" w:type="dxa"/>
            <w:tcBorders>
              <w:top w:val="single" w:sz="4" w:space="0" w:color="auto"/>
              <w:left w:val="nil"/>
              <w:bottom w:val="single" w:sz="8" w:space="0" w:color="FFFFFF" w:themeColor="background1"/>
              <w:right w:val="nil"/>
            </w:tcBorders>
            <w:shd w:val="clear" w:color="auto" w:fill="EAEAEA"/>
            <w:noWrap/>
            <w:hideMark/>
          </w:tcPr>
          <w:p w14:paraId="26DA135E" w14:textId="77777777" w:rsidR="00AB6753" w:rsidRPr="00A30AFF" w:rsidRDefault="00AB6753" w:rsidP="002D1EA4">
            <w:r w:rsidRPr="00A30AFF">
              <w:t>Departmental expenses</w:t>
            </w:r>
          </w:p>
        </w:tc>
        <w:tc>
          <w:tcPr>
            <w:tcW w:w="1964" w:type="dxa"/>
            <w:tcBorders>
              <w:top w:val="single" w:sz="4" w:space="0" w:color="auto"/>
              <w:left w:val="nil"/>
              <w:bottom w:val="single" w:sz="8" w:space="0" w:color="FFFFFF" w:themeColor="background1"/>
              <w:right w:val="nil"/>
            </w:tcBorders>
            <w:shd w:val="clear" w:color="auto" w:fill="EAEAEA"/>
          </w:tcPr>
          <w:p w14:paraId="1725C9A7" w14:textId="77777777" w:rsidR="00AB6753" w:rsidRPr="00A30AFF" w:rsidRDefault="00AB6753" w:rsidP="002D1EA4"/>
        </w:tc>
        <w:tc>
          <w:tcPr>
            <w:tcW w:w="1417" w:type="dxa"/>
            <w:gridSpan w:val="2"/>
            <w:tcBorders>
              <w:top w:val="single" w:sz="4" w:space="0" w:color="auto"/>
              <w:left w:val="nil"/>
              <w:bottom w:val="single" w:sz="8" w:space="0" w:color="FFFFFF" w:themeColor="background1"/>
              <w:right w:val="nil"/>
            </w:tcBorders>
            <w:shd w:val="clear" w:color="auto" w:fill="EAEAEA"/>
          </w:tcPr>
          <w:p w14:paraId="1FB5D09B" w14:textId="77777777" w:rsidR="00AB6753" w:rsidRPr="00A30AFF" w:rsidRDefault="00AB6753" w:rsidP="002D1EA4"/>
        </w:tc>
        <w:tc>
          <w:tcPr>
            <w:tcW w:w="1689" w:type="dxa"/>
            <w:tcBorders>
              <w:top w:val="single" w:sz="4" w:space="0" w:color="auto"/>
              <w:left w:val="nil"/>
              <w:bottom w:val="single" w:sz="8" w:space="0" w:color="FFFFFF" w:themeColor="background1"/>
              <w:right w:val="nil"/>
            </w:tcBorders>
            <w:shd w:val="clear" w:color="auto" w:fill="EAEAEA"/>
          </w:tcPr>
          <w:p w14:paraId="1D1081FC" w14:textId="77777777" w:rsidR="00AB6753" w:rsidRPr="00A30AFF" w:rsidRDefault="00AB6753" w:rsidP="002D1EA4"/>
        </w:tc>
      </w:tr>
      <w:tr w:rsidR="00AB6753" w:rsidRPr="00A30AFF" w14:paraId="5A99A986" w14:textId="77777777" w:rsidTr="002D1EA4">
        <w:trPr>
          <w:trHeight w:val="322"/>
        </w:trPr>
        <w:tc>
          <w:tcPr>
            <w:tcW w:w="4022" w:type="dxa"/>
            <w:tcBorders>
              <w:top w:val="single" w:sz="4" w:space="0" w:color="C2E189"/>
              <w:left w:val="nil"/>
              <w:bottom w:val="single" w:sz="4" w:space="0" w:color="FFFFFF" w:themeColor="background1"/>
              <w:right w:val="nil"/>
            </w:tcBorders>
            <w:shd w:val="clear" w:color="auto" w:fill="F8F8F8"/>
            <w:noWrap/>
            <w:hideMark/>
          </w:tcPr>
          <w:p w14:paraId="3A02DE91" w14:textId="77777777" w:rsidR="00AB6753" w:rsidRPr="00A30AFF" w:rsidRDefault="00AB6753" w:rsidP="002D1EA4">
            <w:r w:rsidRPr="00A30AFF">
              <w:t xml:space="preserve">Departmental </w:t>
            </w:r>
            <w:proofErr w:type="spellStart"/>
            <w:r w:rsidRPr="00A30AFF">
              <w:t>appropriation</w:t>
            </w:r>
            <w:r w:rsidRPr="00A30AFF">
              <w:rPr>
                <w:vertAlign w:val="superscript"/>
              </w:rPr>
              <w:t>b</w:t>
            </w:r>
            <w:proofErr w:type="spellEnd"/>
            <w:r w:rsidRPr="00A30AFF">
              <w:t xml:space="preserve"> </w:t>
            </w:r>
          </w:p>
        </w:tc>
        <w:tc>
          <w:tcPr>
            <w:tcW w:w="1982" w:type="dxa"/>
            <w:gridSpan w:val="2"/>
            <w:tcBorders>
              <w:top w:val="single" w:sz="4" w:space="0" w:color="C2E189"/>
              <w:left w:val="nil"/>
              <w:bottom w:val="single" w:sz="4" w:space="0" w:color="FFFFFF" w:themeColor="background1"/>
              <w:right w:val="nil"/>
            </w:tcBorders>
            <w:shd w:val="clear" w:color="auto" w:fill="F8F8F8"/>
            <w:noWrap/>
          </w:tcPr>
          <w:p w14:paraId="1B2143E2" w14:textId="77777777" w:rsidR="00AB6753" w:rsidRPr="00A30AFF" w:rsidRDefault="00AB6753" w:rsidP="002D1EA4">
            <w:r w:rsidRPr="00A30AFF">
              <w:t xml:space="preserve">256,448 </w:t>
            </w:r>
          </w:p>
        </w:tc>
        <w:tc>
          <w:tcPr>
            <w:tcW w:w="1399" w:type="dxa"/>
            <w:tcBorders>
              <w:top w:val="single" w:sz="4" w:space="0" w:color="C2E189"/>
              <w:left w:val="nil"/>
              <w:bottom w:val="single" w:sz="4" w:space="0" w:color="FFFFFF" w:themeColor="background1"/>
              <w:right w:val="nil"/>
            </w:tcBorders>
            <w:shd w:val="clear" w:color="auto" w:fill="F8F8F8"/>
          </w:tcPr>
          <w:p w14:paraId="6635FB75" w14:textId="77777777" w:rsidR="00AB6753" w:rsidRPr="00A30AFF" w:rsidRDefault="00AB6753" w:rsidP="002D1EA4">
            <w:r w:rsidRPr="00A30AFF">
              <w:t xml:space="preserve"> 202,334 </w:t>
            </w:r>
          </w:p>
        </w:tc>
        <w:tc>
          <w:tcPr>
            <w:tcW w:w="1689" w:type="dxa"/>
            <w:tcBorders>
              <w:top w:val="single" w:sz="4" w:space="0" w:color="C2E189"/>
              <w:left w:val="nil"/>
              <w:bottom w:val="single" w:sz="4" w:space="0" w:color="FFFFFF" w:themeColor="background1"/>
              <w:right w:val="nil"/>
            </w:tcBorders>
            <w:shd w:val="clear" w:color="auto" w:fill="F8F8F8"/>
            <w:noWrap/>
          </w:tcPr>
          <w:p w14:paraId="3FFCA6D9" w14:textId="77777777" w:rsidR="00AB6753" w:rsidRPr="00A30AFF" w:rsidRDefault="00AB6753" w:rsidP="002D1EA4">
            <w:r>
              <w:t>54,114</w:t>
            </w:r>
          </w:p>
        </w:tc>
      </w:tr>
      <w:tr w:rsidR="00AB6753" w:rsidRPr="00A30AFF" w14:paraId="4090262C" w14:textId="77777777" w:rsidTr="002D1EA4">
        <w:trPr>
          <w:trHeight w:val="322"/>
        </w:trPr>
        <w:tc>
          <w:tcPr>
            <w:tcW w:w="4022" w:type="dxa"/>
            <w:tcBorders>
              <w:top w:val="single" w:sz="4" w:space="0" w:color="FFFFFF" w:themeColor="background1"/>
              <w:left w:val="nil"/>
              <w:bottom w:val="single" w:sz="4" w:space="0" w:color="FFFFFF" w:themeColor="background1"/>
              <w:right w:val="nil"/>
            </w:tcBorders>
            <w:shd w:val="clear" w:color="auto" w:fill="EAEAEA"/>
            <w:noWrap/>
            <w:hideMark/>
          </w:tcPr>
          <w:p w14:paraId="54095996" w14:textId="77777777" w:rsidR="00AB6753" w:rsidRPr="00A30AFF" w:rsidRDefault="00AB6753" w:rsidP="002D1EA4">
            <w:r w:rsidRPr="00A30AFF">
              <w:t>Expenses not requiring appropriation in the Budget year</w:t>
            </w:r>
          </w:p>
        </w:tc>
        <w:tc>
          <w:tcPr>
            <w:tcW w:w="1982" w:type="dxa"/>
            <w:gridSpan w:val="2"/>
            <w:tcBorders>
              <w:top w:val="single" w:sz="4" w:space="0" w:color="FFFFFF" w:themeColor="background1"/>
              <w:left w:val="nil"/>
              <w:bottom w:val="single" w:sz="4" w:space="0" w:color="FFFFFF" w:themeColor="background1"/>
              <w:right w:val="nil"/>
            </w:tcBorders>
            <w:shd w:val="clear" w:color="auto" w:fill="EAEAEA"/>
            <w:noWrap/>
          </w:tcPr>
          <w:p w14:paraId="05BEBC84" w14:textId="77777777" w:rsidR="00AB6753" w:rsidRPr="00A30AFF" w:rsidRDefault="00AB6753" w:rsidP="002D1EA4">
            <w:r w:rsidRPr="00A30AFF">
              <w:t>18,067</w:t>
            </w:r>
          </w:p>
        </w:tc>
        <w:tc>
          <w:tcPr>
            <w:tcW w:w="1399" w:type="dxa"/>
            <w:tcBorders>
              <w:top w:val="single" w:sz="4" w:space="0" w:color="FFFFFF" w:themeColor="background1"/>
              <w:left w:val="nil"/>
              <w:bottom w:val="single" w:sz="4" w:space="0" w:color="FFFFFF" w:themeColor="background1"/>
              <w:right w:val="nil"/>
            </w:tcBorders>
            <w:shd w:val="clear" w:color="auto" w:fill="EAEAEA"/>
          </w:tcPr>
          <w:p w14:paraId="0152D273" w14:textId="77777777" w:rsidR="00AB6753" w:rsidRPr="00A30AFF" w:rsidRDefault="00AB6753" w:rsidP="002D1EA4">
            <w:r w:rsidRPr="00A30AFF">
              <w:t xml:space="preserve"> 32,951 </w:t>
            </w:r>
          </w:p>
        </w:tc>
        <w:tc>
          <w:tcPr>
            <w:tcW w:w="1689" w:type="dxa"/>
            <w:tcBorders>
              <w:top w:val="single" w:sz="4" w:space="0" w:color="FFFFFF" w:themeColor="background1"/>
              <w:left w:val="nil"/>
              <w:bottom w:val="single" w:sz="4" w:space="0" w:color="FFFFFF" w:themeColor="background1"/>
              <w:right w:val="nil"/>
            </w:tcBorders>
            <w:shd w:val="clear" w:color="auto" w:fill="EAEAEA"/>
          </w:tcPr>
          <w:p w14:paraId="6160259F" w14:textId="77777777" w:rsidR="00AB6753" w:rsidRPr="00A30AFF" w:rsidRDefault="00AB6753" w:rsidP="002D1EA4">
            <w:r>
              <w:t>(14,884)</w:t>
            </w:r>
          </w:p>
        </w:tc>
      </w:tr>
      <w:tr w:rsidR="00AB6753" w:rsidRPr="00A30AFF" w14:paraId="54ACE879" w14:textId="77777777" w:rsidTr="002D1EA4">
        <w:trPr>
          <w:trHeight w:val="322"/>
        </w:trPr>
        <w:tc>
          <w:tcPr>
            <w:tcW w:w="4022" w:type="dxa"/>
            <w:tcBorders>
              <w:top w:val="single" w:sz="4" w:space="0" w:color="FFFFFF" w:themeColor="background1"/>
              <w:left w:val="nil"/>
              <w:bottom w:val="single" w:sz="4" w:space="0" w:color="FFFFFF" w:themeColor="background1"/>
              <w:right w:val="nil"/>
            </w:tcBorders>
            <w:shd w:val="clear" w:color="auto" w:fill="F8F8F8"/>
            <w:hideMark/>
          </w:tcPr>
          <w:p w14:paraId="75152A04" w14:textId="77777777" w:rsidR="00AB6753" w:rsidRPr="00521F86" w:rsidRDefault="00AB6753" w:rsidP="002D1EA4">
            <w:pPr>
              <w:rPr>
                <w:b/>
              </w:rPr>
            </w:pPr>
            <w:r w:rsidRPr="00521F86">
              <w:rPr>
                <w:b/>
              </w:rPr>
              <w:t>Total for Program 2.4</w:t>
            </w:r>
          </w:p>
        </w:tc>
        <w:tc>
          <w:tcPr>
            <w:tcW w:w="1982" w:type="dxa"/>
            <w:gridSpan w:val="2"/>
            <w:tcBorders>
              <w:top w:val="single" w:sz="4" w:space="0" w:color="FFFFFF" w:themeColor="background1"/>
              <w:left w:val="nil"/>
              <w:bottom w:val="single" w:sz="4" w:space="0" w:color="FFFFFF" w:themeColor="background1"/>
              <w:right w:val="nil"/>
            </w:tcBorders>
            <w:shd w:val="clear" w:color="auto" w:fill="F8F8F8"/>
          </w:tcPr>
          <w:p w14:paraId="47F9D8F5" w14:textId="77777777" w:rsidR="00AB6753" w:rsidRPr="00521F86" w:rsidRDefault="00AB6753" w:rsidP="002D1EA4">
            <w:pPr>
              <w:rPr>
                <w:b/>
              </w:rPr>
            </w:pPr>
            <w:r w:rsidRPr="00521F86">
              <w:rPr>
                <w:b/>
              </w:rPr>
              <w:t>274,515</w:t>
            </w:r>
          </w:p>
        </w:tc>
        <w:tc>
          <w:tcPr>
            <w:tcW w:w="1399" w:type="dxa"/>
            <w:tcBorders>
              <w:top w:val="single" w:sz="4" w:space="0" w:color="FFFFFF" w:themeColor="background1"/>
              <w:left w:val="nil"/>
              <w:bottom w:val="single" w:sz="4" w:space="0" w:color="FFFFFF" w:themeColor="background1"/>
              <w:right w:val="nil"/>
            </w:tcBorders>
            <w:shd w:val="clear" w:color="auto" w:fill="F8F8F8"/>
          </w:tcPr>
          <w:p w14:paraId="5705126F" w14:textId="77777777" w:rsidR="00AB6753" w:rsidRPr="00521F86" w:rsidRDefault="00AB6753" w:rsidP="002D1EA4">
            <w:pPr>
              <w:rPr>
                <w:b/>
              </w:rPr>
            </w:pPr>
            <w:r w:rsidRPr="00521F86">
              <w:rPr>
                <w:b/>
              </w:rPr>
              <w:t xml:space="preserve"> 235,285 </w:t>
            </w:r>
          </w:p>
        </w:tc>
        <w:tc>
          <w:tcPr>
            <w:tcW w:w="1689" w:type="dxa"/>
            <w:tcBorders>
              <w:top w:val="single" w:sz="4" w:space="0" w:color="FFFFFF" w:themeColor="background1"/>
              <w:left w:val="nil"/>
              <w:bottom w:val="single" w:sz="4" w:space="0" w:color="FFFFFF" w:themeColor="background1"/>
              <w:right w:val="nil"/>
            </w:tcBorders>
            <w:shd w:val="clear" w:color="auto" w:fill="F8F8F8"/>
          </w:tcPr>
          <w:p w14:paraId="78A10795" w14:textId="77777777" w:rsidR="00AB6753" w:rsidRPr="00521F86" w:rsidRDefault="00AB6753" w:rsidP="002D1EA4">
            <w:pPr>
              <w:rPr>
                <w:b/>
              </w:rPr>
            </w:pPr>
            <w:r w:rsidRPr="00521F86">
              <w:rPr>
                <w:b/>
              </w:rPr>
              <w:t>39,230</w:t>
            </w:r>
          </w:p>
        </w:tc>
      </w:tr>
    </w:tbl>
    <w:p w14:paraId="085F41DA" w14:textId="77777777" w:rsidR="00AB6753" w:rsidRPr="00A30AFF" w:rsidRDefault="00AB6753" w:rsidP="00AB6753">
      <w:r w:rsidRPr="00A30AFF">
        <w:br w:type="page"/>
      </w:r>
    </w:p>
    <w:tbl>
      <w:tblPr>
        <w:tblW w:w="9106" w:type="dxa"/>
        <w:tblInd w:w="108" w:type="dxa"/>
        <w:tblLayout w:type="fixed"/>
        <w:tblLook w:val="00A0" w:firstRow="1" w:lastRow="0" w:firstColumn="1" w:lastColumn="0" w:noHBand="0" w:noVBand="0"/>
        <w:tblCaption w:val="Table A–3 Expenses and resources for Outcome 2: Families and Communities"/>
        <w:tblDescription w:val="Table A–3 Expenses and resources for Outcome 2: Families and Communities"/>
      </w:tblPr>
      <w:tblGrid>
        <w:gridCol w:w="3962"/>
        <w:gridCol w:w="2024"/>
        <w:gridCol w:w="1417"/>
        <w:gridCol w:w="1703"/>
      </w:tblGrid>
      <w:tr w:rsidR="00AB6753" w:rsidRPr="00A30AFF" w14:paraId="1BBBA2E4" w14:textId="77777777" w:rsidTr="002D1EA4">
        <w:trPr>
          <w:trHeight w:val="320"/>
        </w:trPr>
        <w:tc>
          <w:tcPr>
            <w:tcW w:w="9106" w:type="dxa"/>
            <w:gridSpan w:val="4"/>
            <w:tcBorders>
              <w:top w:val="single" w:sz="4" w:space="0" w:color="FFFFFF" w:themeColor="background1"/>
              <w:left w:val="nil"/>
              <w:bottom w:val="single" w:sz="4" w:space="0" w:color="auto"/>
              <w:right w:val="nil"/>
            </w:tcBorders>
            <w:shd w:val="clear" w:color="auto" w:fill="FFFFFF" w:themeFill="background1"/>
            <w:noWrap/>
            <w:hideMark/>
          </w:tcPr>
          <w:p w14:paraId="496DFE25" w14:textId="77777777" w:rsidR="00AB6753" w:rsidRPr="00A30AFF" w:rsidRDefault="00AB6753" w:rsidP="002D1EA4">
            <w:pPr>
              <w:rPr>
                <w:b/>
              </w:rPr>
            </w:pPr>
            <w:r w:rsidRPr="00A30AFF">
              <w:rPr>
                <w:b/>
              </w:rPr>
              <w:lastRenderedPageBreak/>
              <w:t>Outcome 2 Totals by appropriation type</w:t>
            </w:r>
          </w:p>
        </w:tc>
      </w:tr>
      <w:tr w:rsidR="00AB6753" w:rsidRPr="00A30AFF" w14:paraId="62152123" w14:textId="77777777" w:rsidTr="002D1EA4">
        <w:trPr>
          <w:trHeight w:val="320"/>
        </w:trPr>
        <w:tc>
          <w:tcPr>
            <w:tcW w:w="3962" w:type="dxa"/>
            <w:tcBorders>
              <w:top w:val="single" w:sz="4" w:space="0" w:color="auto"/>
              <w:left w:val="nil"/>
              <w:bottom w:val="single" w:sz="4" w:space="0" w:color="FFFFFF" w:themeColor="background1"/>
              <w:right w:val="nil"/>
            </w:tcBorders>
            <w:shd w:val="clear" w:color="auto" w:fill="EAEAEA"/>
            <w:noWrap/>
            <w:hideMark/>
          </w:tcPr>
          <w:p w14:paraId="0864C951" w14:textId="77777777" w:rsidR="00AB6753" w:rsidRPr="00A30AFF" w:rsidRDefault="00AB6753" w:rsidP="002D1EA4">
            <w:r w:rsidRPr="00A30AFF">
              <w:t>Administered expenses</w:t>
            </w:r>
          </w:p>
        </w:tc>
        <w:tc>
          <w:tcPr>
            <w:tcW w:w="2024" w:type="dxa"/>
            <w:tcBorders>
              <w:top w:val="single" w:sz="4" w:space="0" w:color="auto"/>
              <w:left w:val="nil"/>
              <w:bottom w:val="single" w:sz="4" w:space="0" w:color="FFFFFF" w:themeColor="background1"/>
              <w:right w:val="nil"/>
            </w:tcBorders>
            <w:shd w:val="clear" w:color="auto" w:fill="EAEAEA"/>
          </w:tcPr>
          <w:p w14:paraId="1D8BDCA7" w14:textId="77777777" w:rsidR="00AB6753" w:rsidRPr="00A30AFF" w:rsidRDefault="00AB6753" w:rsidP="002D1EA4"/>
        </w:tc>
        <w:tc>
          <w:tcPr>
            <w:tcW w:w="1417" w:type="dxa"/>
            <w:tcBorders>
              <w:top w:val="single" w:sz="4" w:space="0" w:color="auto"/>
              <w:left w:val="nil"/>
              <w:bottom w:val="single" w:sz="4" w:space="0" w:color="FFFFFF" w:themeColor="background1"/>
              <w:right w:val="nil"/>
            </w:tcBorders>
            <w:shd w:val="clear" w:color="auto" w:fill="EAEAEA"/>
          </w:tcPr>
          <w:p w14:paraId="199CBD4D" w14:textId="77777777" w:rsidR="00AB6753" w:rsidRPr="00A30AFF" w:rsidRDefault="00AB6753" w:rsidP="002D1EA4"/>
        </w:tc>
        <w:tc>
          <w:tcPr>
            <w:tcW w:w="1703" w:type="dxa"/>
            <w:tcBorders>
              <w:top w:val="single" w:sz="4" w:space="0" w:color="auto"/>
              <w:left w:val="nil"/>
              <w:bottom w:val="single" w:sz="4" w:space="0" w:color="FFFFFF" w:themeColor="background1"/>
              <w:right w:val="nil"/>
            </w:tcBorders>
            <w:shd w:val="clear" w:color="auto" w:fill="EAEAEA"/>
          </w:tcPr>
          <w:p w14:paraId="2D16E327" w14:textId="77777777" w:rsidR="00AB6753" w:rsidRPr="00A30AFF" w:rsidRDefault="00AB6753" w:rsidP="002D1EA4"/>
        </w:tc>
      </w:tr>
      <w:tr w:rsidR="00AB6753" w:rsidRPr="00A30AFF" w14:paraId="647AF2AE" w14:textId="77777777" w:rsidTr="002D1EA4">
        <w:trPr>
          <w:trHeight w:val="320"/>
        </w:trPr>
        <w:tc>
          <w:tcPr>
            <w:tcW w:w="3962" w:type="dxa"/>
            <w:tcBorders>
              <w:top w:val="single" w:sz="4" w:space="0" w:color="FFFFFF" w:themeColor="background1"/>
              <w:left w:val="nil"/>
              <w:bottom w:val="single" w:sz="4" w:space="0" w:color="FFFFFF" w:themeColor="background1"/>
              <w:right w:val="nil"/>
            </w:tcBorders>
            <w:shd w:val="clear" w:color="auto" w:fill="F8F8F8"/>
            <w:noWrap/>
            <w:hideMark/>
          </w:tcPr>
          <w:p w14:paraId="5FA530FA" w14:textId="77777777" w:rsidR="00AB6753" w:rsidRPr="00A30AFF" w:rsidRDefault="00AB6753" w:rsidP="002D1EA4">
            <w:r w:rsidRPr="00A30AFF">
              <w:t>Ordinary Annual Services (Appropriation Act No. 1 and No. 3)</w:t>
            </w:r>
          </w:p>
        </w:tc>
        <w:tc>
          <w:tcPr>
            <w:tcW w:w="2024" w:type="dxa"/>
            <w:tcBorders>
              <w:top w:val="single" w:sz="4" w:space="0" w:color="FFFFFF" w:themeColor="background1"/>
              <w:left w:val="nil"/>
              <w:bottom w:val="single" w:sz="4" w:space="0" w:color="FFFFFF" w:themeColor="background1"/>
              <w:right w:val="nil"/>
            </w:tcBorders>
            <w:shd w:val="clear" w:color="auto" w:fill="F8F8F8"/>
            <w:noWrap/>
          </w:tcPr>
          <w:p w14:paraId="5F54CAEC" w14:textId="77777777" w:rsidR="00AB6753" w:rsidRPr="00A30AFF" w:rsidRDefault="00AB6753" w:rsidP="002D1EA4">
            <w:r w:rsidRPr="00A30AFF">
              <w:t>712,627</w:t>
            </w:r>
          </w:p>
        </w:tc>
        <w:tc>
          <w:tcPr>
            <w:tcW w:w="1417" w:type="dxa"/>
            <w:tcBorders>
              <w:top w:val="single" w:sz="4" w:space="0" w:color="FFFFFF" w:themeColor="background1"/>
              <w:left w:val="nil"/>
              <w:bottom w:val="single" w:sz="4" w:space="0" w:color="FFFFFF" w:themeColor="background1"/>
              <w:right w:val="nil"/>
            </w:tcBorders>
            <w:shd w:val="clear" w:color="auto" w:fill="F8F8F8"/>
            <w:noWrap/>
          </w:tcPr>
          <w:p w14:paraId="52F9B359" w14:textId="77777777" w:rsidR="00AB6753" w:rsidRPr="00A30AFF" w:rsidRDefault="00AB6753" w:rsidP="002D1EA4">
            <w:r w:rsidRPr="00A30AFF">
              <w:t>692,330</w:t>
            </w:r>
          </w:p>
        </w:tc>
        <w:tc>
          <w:tcPr>
            <w:tcW w:w="1703" w:type="dxa"/>
            <w:tcBorders>
              <w:top w:val="single" w:sz="4" w:space="0" w:color="FFFFFF" w:themeColor="background1"/>
              <w:left w:val="nil"/>
              <w:bottom w:val="single" w:sz="4" w:space="0" w:color="FFFFFF" w:themeColor="background1"/>
              <w:right w:val="nil"/>
            </w:tcBorders>
            <w:shd w:val="clear" w:color="auto" w:fill="F8F8F8"/>
            <w:noWrap/>
          </w:tcPr>
          <w:p w14:paraId="50624196" w14:textId="77777777" w:rsidR="00AB6753" w:rsidRPr="00A30AFF" w:rsidRDefault="00AB6753" w:rsidP="002D1EA4">
            <w:r>
              <w:t>20,297</w:t>
            </w:r>
          </w:p>
        </w:tc>
      </w:tr>
      <w:tr w:rsidR="00AB6753" w:rsidRPr="00A30AFF" w14:paraId="606440D4" w14:textId="77777777" w:rsidTr="002D1EA4">
        <w:trPr>
          <w:trHeight w:val="320"/>
        </w:trPr>
        <w:tc>
          <w:tcPr>
            <w:tcW w:w="3962" w:type="dxa"/>
            <w:tcBorders>
              <w:top w:val="single" w:sz="4" w:space="0" w:color="FFFFFF" w:themeColor="background1"/>
              <w:left w:val="nil"/>
              <w:bottom w:val="single" w:sz="4" w:space="0" w:color="FFFFFF" w:themeColor="background1"/>
              <w:right w:val="nil"/>
            </w:tcBorders>
            <w:shd w:val="clear" w:color="auto" w:fill="EAEAEA"/>
            <w:noWrap/>
            <w:hideMark/>
          </w:tcPr>
          <w:p w14:paraId="5BBCD939" w14:textId="77777777" w:rsidR="00AB6753" w:rsidRPr="00A30AFF" w:rsidRDefault="00AB6753" w:rsidP="002D1EA4">
            <w:r w:rsidRPr="00A30AFF">
              <w:t>Special Appropriations</w:t>
            </w:r>
          </w:p>
        </w:tc>
        <w:tc>
          <w:tcPr>
            <w:tcW w:w="2024" w:type="dxa"/>
            <w:tcBorders>
              <w:top w:val="single" w:sz="4" w:space="0" w:color="FFFFFF" w:themeColor="background1"/>
              <w:left w:val="nil"/>
              <w:bottom w:val="single" w:sz="4" w:space="0" w:color="FFFFFF" w:themeColor="background1"/>
              <w:right w:val="nil"/>
            </w:tcBorders>
            <w:shd w:val="clear" w:color="auto" w:fill="EAEAEA"/>
            <w:noWrap/>
          </w:tcPr>
          <w:p w14:paraId="76E63BA4" w14:textId="77777777" w:rsidR="00AB6753" w:rsidRPr="00A30AFF" w:rsidRDefault="00AB6753" w:rsidP="002D1EA4">
            <w:r w:rsidRPr="00A30AFF">
              <w:t>2,602,591</w:t>
            </w:r>
          </w:p>
        </w:tc>
        <w:tc>
          <w:tcPr>
            <w:tcW w:w="1417" w:type="dxa"/>
            <w:tcBorders>
              <w:top w:val="single" w:sz="4" w:space="0" w:color="FFFFFF" w:themeColor="background1"/>
              <w:left w:val="nil"/>
              <w:bottom w:val="single" w:sz="4" w:space="0" w:color="FFFFFF" w:themeColor="background1"/>
              <w:right w:val="nil"/>
            </w:tcBorders>
            <w:shd w:val="clear" w:color="auto" w:fill="EAEAEA"/>
            <w:noWrap/>
          </w:tcPr>
          <w:p w14:paraId="798AFDE8" w14:textId="77777777" w:rsidR="00AB6753" w:rsidRPr="00A30AFF" w:rsidRDefault="00AB6753" w:rsidP="002D1EA4">
            <w:r w:rsidRPr="00A30AFF">
              <w:t>2,654,840</w:t>
            </w:r>
          </w:p>
        </w:tc>
        <w:tc>
          <w:tcPr>
            <w:tcW w:w="1703" w:type="dxa"/>
            <w:tcBorders>
              <w:top w:val="single" w:sz="4" w:space="0" w:color="FFFFFF" w:themeColor="background1"/>
              <w:left w:val="nil"/>
              <w:bottom w:val="single" w:sz="4" w:space="0" w:color="FFFFFF" w:themeColor="background1"/>
              <w:right w:val="nil"/>
            </w:tcBorders>
            <w:shd w:val="clear" w:color="auto" w:fill="EAEAEA"/>
            <w:noWrap/>
          </w:tcPr>
          <w:p w14:paraId="643BACE2" w14:textId="77777777" w:rsidR="00AB6753" w:rsidRPr="00A30AFF" w:rsidRDefault="00AB6753" w:rsidP="002D1EA4">
            <w:r>
              <w:t>(52,249)</w:t>
            </w:r>
          </w:p>
        </w:tc>
      </w:tr>
      <w:tr w:rsidR="00AB6753" w:rsidRPr="00A30AFF" w14:paraId="55813736" w14:textId="77777777" w:rsidTr="002D1EA4">
        <w:trPr>
          <w:trHeight w:val="320"/>
        </w:trPr>
        <w:tc>
          <w:tcPr>
            <w:tcW w:w="3962" w:type="dxa"/>
            <w:tcBorders>
              <w:top w:val="single" w:sz="4" w:space="0" w:color="FFFFFF" w:themeColor="background1"/>
              <w:left w:val="nil"/>
              <w:bottom w:val="single" w:sz="4" w:space="0" w:color="FFFFFF" w:themeColor="background1"/>
              <w:right w:val="nil"/>
            </w:tcBorders>
            <w:shd w:val="clear" w:color="auto" w:fill="F8F8F8"/>
            <w:noWrap/>
            <w:hideMark/>
          </w:tcPr>
          <w:p w14:paraId="0117DFFC" w14:textId="77777777" w:rsidR="00AB6753" w:rsidRPr="00A30AFF" w:rsidRDefault="00AB6753" w:rsidP="002D1EA4">
            <w:r w:rsidRPr="00A30AFF">
              <w:t>Special Accounts</w:t>
            </w:r>
          </w:p>
        </w:tc>
        <w:tc>
          <w:tcPr>
            <w:tcW w:w="2024" w:type="dxa"/>
            <w:tcBorders>
              <w:top w:val="single" w:sz="4" w:space="0" w:color="FFFFFF" w:themeColor="background1"/>
              <w:left w:val="nil"/>
              <w:bottom w:val="single" w:sz="4" w:space="0" w:color="FFFFFF" w:themeColor="background1"/>
              <w:right w:val="nil"/>
            </w:tcBorders>
            <w:shd w:val="clear" w:color="auto" w:fill="F8F8F8"/>
            <w:noWrap/>
          </w:tcPr>
          <w:p w14:paraId="0BF8674B" w14:textId="77777777" w:rsidR="00AB6753" w:rsidRPr="00A30AFF" w:rsidRDefault="00AB6753" w:rsidP="002D1EA4">
            <w:r w:rsidRPr="00A30AFF">
              <w:t>443,255</w:t>
            </w:r>
          </w:p>
        </w:tc>
        <w:tc>
          <w:tcPr>
            <w:tcW w:w="1417" w:type="dxa"/>
            <w:tcBorders>
              <w:top w:val="single" w:sz="4" w:space="0" w:color="FFFFFF" w:themeColor="background1"/>
              <w:left w:val="nil"/>
              <w:bottom w:val="single" w:sz="4" w:space="0" w:color="FFFFFF" w:themeColor="background1"/>
              <w:right w:val="nil"/>
            </w:tcBorders>
            <w:shd w:val="clear" w:color="auto" w:fill="F8F8F8"/>
            <w:noWrap/>
          </w:tcPr>
          <w:p w14:paraId="539F6A2F" w14:textId="77777777" w:rsidR="00AB6753" w:rsidRPr="00A30AFF" w:rsidRDefault="00AB6753" w:rsidP="002D1EA4">
            <w:r w:rsidRPr="00A30AFF">
              <w:t>417,609</w:t>
            </w:r>
          </w:p>
        </w:tc>
        <w:tc>
          <w:tcPr>
            <w:tcW w:w="1703" w:type="dxa"/>
            <w:tcBorders>
              <w:top w:val="single" w:sz="4" w:space="0" w:color="FFFFFF" w:themeColor="background1"/>
              <w:left w:val="nil"/>
              <w:bottom w:val="single" w:sz="4" w:space="0" w:color="FFFFFF" w:themeColor="background1"/>
              <w:right w:val="nil"/>
            </w:tcBorders>
            <w:shd w:val="clear" w:color="auto" w:fill="F8F8F8"/>
            <w:noWrap/>
          </w:tcPr>
          <w:p w14:paraId="25B96C6C" w14:textId="77777777" w:rsidR="00AB6753" w:rsidRPr="00A30AFF" w:rsidRDefault="00AB6753" w:rsidP="002D1EA4">
            <w:r>
              <w:t>25,646</w:t>
            </w:r>
          </w:p>
        </w:tc>
      </w:tr>
      <w:tr w:rsidR="00AB6753" w:rsidRPr="00A30AFF" w14:paraId="68C6820D" w14:textId="77777777" w:rsidTr="002D1EA4">
        <w:trPr>
          <w:trHeight w:val="320"/>
        </w:trPr>
        <w:tc>
          <w:tcPr>
            <w:tcW w:w="3962" w:type="dxa"/>
            <w:tcBorders>
              <w:top w:val="single" w:sz="4" w:space="0" w:color="FFFFFF" w:themeColor="background1"/>
              <w:left w:val="nil"/>
              <w:bottom w:val="single" w:sz="4" w:space="0" w:color="FFFFFF" w:themeColor="background1"/>
              <w:right w:val="nil"/>
            </w:tcBorders>
            <w:shd w:val="clear" w:color="auto" w:fill="EAEAEA"/>
            <w:noWrap/>
            <w:hideMark/>
          </w:tcPr>
          <w:p w14:paraId="592FF380" w14:textId="77777777" w:rsidR="00AB6753" w:rsidRPr="00A30AFF" w:rsidRDefault="00AB6753" w:rsidP="002D1EA4">
            <w:r w:rsidRPr="00A30AFF">
              <w:t>Departmental expenses</w:t>
            </w:r>
          </w:p>
        </w:tc>
        <w:tc>
          <w:tcPr>
            <w:tcW w:w="2024" w:type="dxa"/>
            <w:tcBorders>
              <w:top w:val="single" w:sz="4" w:space="0" w:color="FFFFFF" w:themeColor="background1"/>
              <w:left w:val="nil"/>
              <w:bottom w:val="single" w:sz="4" w:space="0" w:color="FFFFFF" w:themeColor="background1"/>
              <w:right w:val="nil"/>
            </w:tcBorders>
            <w:shd w:val="clear" w:color="auto" w:fill="EAEAEA"/>
          </w:tcPr>
          <w:p w14:paraId="1F9D4A05" w14:textId="77777777" w:rsidR="00AB6753" w:rsidRPr="00A30AFF" w:rsidRDefault="00AB6753" w:rsidP="002D1EA4"/>
        </w:tc>
        <w:tc>
          <w:tcPr>
            <w:tcW w:w="1417" w:type="dxa"/>
            <w:tcBorders>
              <w:top w:val="single" w:sz="4" w:space="0" w:color="FFFFFF" w:themeColor="background1"/>
              <w:left w:val="nil"/>
              <w:bottom w:val="single" w:sz="4" w:space="0" w:color="FFFFFF" w:themeColor="background1"/>
              <w:right w:val="nil"/>
            </w:tcBorders>
            <w:shd w:val="clear" w:color="auto" w:fill="EAEAEA"/>
          </w:tcPr>
          <w:p w14:paraId="702D7775" w14:textId="77777777" w:rsidR="00AB6753" w:rsidRPr="00A30AFF" w:rsidRDefault="00AB6753" w:rsidP="002D1EA4"/>
        </w:tc>
        <w:tc>
          <w:tcPr>
            <w:tcW w:w="1703" w:type="dxa"/>
            <w:tcBorders>
              <w:top w:val="single" w:sz="4" w:space="0" w:color="FFFFFF" w:themeColor="background1"/>
              <w:left w:val="nil"/>
              <w:bottom w:val="single" w:sz="4" w:space="0" w:color="FFFFFF" w:themeColor="background1"/>
              <w:right w:val="nil"/>
            </w:tcBorders>
            <w:shd w:val="clear" w:color="auto" w:fill="EAEAEA"/>
          </w:tcPr>
          <w:p w14:paraId="1B4CB4F3" w14:textId="77777777" w:rsidR="00AB6753" w:rsidRPr="00A30AFF" w:rsidRDefault="00AB6753" w:rsidP="002D1EA4"/>
        </w:tc>
      </w:tr>
      <w:tr w:rsidR="00AB6753" w:rsidRPr="00A30AFF" w14:paraId="7832DC4E" w14:textId="77777777" w:rsidTr="002D1EA4">
        <w:trPr>
          <w:trHeight w:val="320"/>
        </w:trPr>
        <w:tc>
          <w:tcPr>
            <w:tcW w:w="3962" w:type="dxa"/>
            <w:tcBorders>
              <w:top w:val="single" w:sz="4" w:space="0" w:color="FFFFFF" w:themeColor="background1"/>
              <w:left w:val="nil"/>
              <w:bottom w:val="single" w:sz="4" w:space="0" w:color="FFFFFF" w:themeColor="background1"/>
              <w:right w:val="nil"/>
            </w:tcBorders>
            <w:shd w:val="clear" w:color="auto" w:fill="F8F8F8"/>
            <w:noWrap/>
            <w:hideMark/>
          </w:tcPr>
          <w:p w14:paraId="22781A45" w14:textId="77777777" w:rsidR="00AB6753" w:rsidRPr="00A30AFF" w:rsidRDefault="00AB6753" w:rsidP="002D1EA4">
            <w:r w:rsidRPr="00A30AFF">
              <w:t xml:space="preserve">Departmental </w:t>
            </w:r>
            <w:proofErr w:type="spellStart"/>
            <w:r w:rsidRPr="00A30AFF">
              <w:t>appropriation</w:t>
            </w:r>
            <w:r w:rsidRPr="00A30AFF">
              <w:rPr>
                <w:vertAlign w:val="superscript"/>
              </w:rPr>
              <w:t>b</w:t>
            </w:r>
            <w:proofErr w:type="spellEnd"/>
          </w:p>
        </w:tc>
        <w:tc>
          <w:tcPr>
            <w:tcW w:w="2024" w:type="dxa"/>
            <w:tcBorders>
              <w:top w:val="single" w:sz="4" w:space="0" w:color="FFFFFF" w:themeColor="background1"/>
              <w:left w:val="nil"/>
              <w:bottom w:val="single" w:sz="4" w:space="0" w:color="FFFFFF" w:themeColor="background1"/>
              <w:right w:val="nil"/>
            </w:tcBorders>
            <w:shd w:val="clear" w:color="auto" w:fill="F8F8F8"/>
            <w:noWrap/>
          </w:tcPr>
          <w:p w14:paraId="749491F8" w14:textId="77777777" w:rsidR="00AB6753" w:rsidRPr="00A30AFF" w:rsidRDefault="00AB6753" w:rsidP="002D1EA4">
            <w:r w:rsidRPr="00A30AFF">
              <w:t xml:space="preserve">256,448 </w:t>
            </w:r>
          </w:p>
        </w:tc>
        <w:tc>
          <w:tcPr>
            <w:tcW w:w="1417" w:type="dxa"/>
            <w:tcBorders>
              <w:top w:val="single" w:sz="4" w:space="0" w:color="FFFFFF" w:themeColor="background1"/>
              <w:left w:val="nil"/>
              <w:bottom w:val="single" w:sz="4" w:space="0" w:color="FFFFFF" w:themeColor="background1"/>
              <w:right w:val="nil"/>
            </w:tcBorders>
            <w:shd w:val="clear" w:color="auto" w:fill="F8F8F8"/>
            <w:noWrap/>
          </w:tcPr>
          <w:p w14:paraId="02B0CD2F" w14:textId="77777777" w:rsidR="00AB6753" w:rsidRPr="00A30AFF" w:rsidRDefault="00AB6753" w:rsidP="002D1EA4">
            <w:r w:rsidRPr="00A30AFF">
              <w:t xml:space="preserve"> 202,334 </w:t>
            </w:r>
          </w:p>
        </w:tc>
        <w:tc>
          <w:tcPr>
            <w:tcW w:w="1703" w:type="dxa"/>
            <w:tcBorders>
              <w:top w:val="single" w:sz="4" w:space="0" w:color="FFFFFF" w:themeColor="background1"/>
              <w:left w:val="nil"/>
              <w:bottom w:val="single" w:sz="4" w:space="0" w:color="FFFFFF" w:themeColor="background1"/>
              <w:right w:val="nil"/>
            </w:tcBorders>
            <w:shd w:val="clear" w:color="auto" w:fill="F8F8F8"/>
            <w:noWrap/>
          </w:tcPr>
          <w:p w14:paraId="53BC41BD" w14:textId="77777777" w:rsidR="00AB6753" w:rsidRPr="00A30AFF" w:rsidRDefault="00AB6753" w:rsidP="002D1EA4">
            <w:r>
              <w:t>54,114</w:t>
            </w:r>
          </w:p>
        </w:tc>
      </w:tr>
      <w:tr w:rsidR="00AB6753" w:rsidRPr="00A30AFF" w14:paraId="54806060" w14:textId="77777777" w:rsidTr="002D1EA4">
        <w:trPr>
          <w:trHeight w:val="320"/>
        </w:trPr>
        <w:tc>
          <w:tcPr>
            <w:tcW w:w="3962" w:type="dxa"/>
            <w:tcBorders>
              <w:top w:val="single" w:sz="4" w:space="0" w:color="FFFFFF" w:themeColor="background1"/>
              <w:left w:val="nil"/>
              <w:bottom w:val="single" w:sz="4" w:space="0" w:color="FFFFFF" w:themeColor="background1"/>
              <w:right w:val="nil"/>
            </w:tcBorders>
            <w:shd w:val="clear" w:color="auto" w:fill="EAEAEA"/>
            <w:noWrap/>
            <w:hideMark/>
          </w:tcPr>
          <w:p w14:paraId="523A9BB7" w14:textId="77777777" w:rsidR="00AB6753" w:rsidRPr="00A30AFF" w:rsidRDefault="00AB6753" w:rsidP="002D1EA4">
            <w:r w:rsidRPr="00A30AFF">
              <w:t>Expenses not requiring appropriation in the Budget year</w:t>
            </w:r>
          </w:p>
        </w:tc>
        <w:tc>
          <w:tcPr>
            <w:tcW w:w="2024" w:type="dxa"/>
            <w:tcBorders>
              <w:top w:val="single" w:sz="4" w:space="0" w:color="FFFFFF" w:themeColor="background1"/>
              <w:left w:val="nil"/>
              <w:bottom w:val="single" w:sz="4" w:space="0" w:color="FFFFFF" w:themeColor="background1"/>
              <w:right w:val="nil"/>
            </w:tcBorders>
            <w:shd w:val="clear" w:color="auto" w:fill="EAEAEA"/>
            <w:noWrap/>
          </w:tcPr>
          <w:p w14:paraId="2D748D3B" w14:textId="77777777" w:rsidR="00AB6753" w:rsidRPr="00A30AFF" w:rsidRDefault="00AB6753" w:rsidP="002D1EA4">
            <w:r w:rsidRPr="00A30AFF">
              <w:t>18,067</w:t>
            </w:r>
          </w:p>
        </w:tc>
        <w:tc>
          <w:tcPr>
            <w:tcW w:w="1417" w:type="dxa"/>
            <w:tcBorders>
              <w:top w:val="single" w:sz="4" w:space="0" w:color="FFFFFF" w:themeColor="background1"/>
              <w:left w:val="nil"/>
              <w:bottom w:val="single" w:sz="4" w:space="0" w:color="FFFFFF" w:themeColor="background1"/>
              <w:right w:val="nil"/>
            </w:tcBorders>
            <w:shd w:val="clear" w:color="auto" w:fill="EAEAEA"/>
            <w:noWrap/>
          </w:tcPr>
          <w:p w14:paraId="6B5ACA6D" w14:textId="77777777" w:rsidR="00AB6753" w:rsidRPr="00A30AFF" w:rsidRDefault="00AB6753" w:rsidP="002D1EA4">
            <w:r w:rsidRPr="00A30AFF">
              <w:t xml:space="preserve"> 32,951 </w:t>
            </w:r>
          </w:p>
        </w:tc>
        <w:tc>
          <w:tcPr>
            <w:tcW w:w="1703" w:type="dxa"/>
            <w:tcBorders>
              <w:top w:val="single" w:sz="4" w:space="0" w:color="FFFFFF" w:themeColor="background1"/>
              <w:left w:val="nil"/>
              <w:bottom w:val="single" w:sz="4" w:space="0" w:color="FFFFFF" w:themeColor="background1"/>
              <w:right w:val="nil"/>
            </w:tcBorders>
            <w:shd w:val="clear" w:color="auto" w:fill="EAEAEA"/>
            <w:noWrap/>
          </w:tcPr>
          <w:p w14:paraId="1514A811" w14:textId="77777777" w:rsidR="00AB6753" w:rsidRPr="00A30AFF" w:rsidRDefault="00AB6753" w:rsidP="002D1EA4">
            <w:r>
              <w:t>(14,884)</w:t>
            </w:r>
          </w:p>
        </w:tc>
      </w:tr>
      <w:tr w:rsidR="00AB6753" w:rsidRPr="00A30AFF" w14:paraId="3B112DBC" w14:textId="77777777" w:rsidTr="002D1EA4">
        <w:trPr>
          <w:trHeight w:val="320"/>
        </w:trPr>
        <w:tc>
          <w:tcPr>
            <w:tcW w:w="3962" w:type="dxa"/>
            <w:tcBorders>
              <w:top w:val="single" w:sz="4" w:space="0" w:color="FFFFFF" w:themeColor="background1"/>
              <w:left w:val="nil"/>
              <w:bottom w:val="single" w:sz="4" w:space="0" w:color="FFFFFF" w:themeColor="background1"/>
              <w:right w:val="nil"/>
            </w:tcBorders>
            <w:shd w:val="clear" w:color="auto" w:fill="F8F8F8"/>
            <w:noWrap/>
            <w:hideMark/>
          </w:tcPr>
          <w:p w14:paraId="5BFE38A9" w14:textId="77777777" w:rsidR="00AB6753" w:rsidRPr="00521F86" w:rsidRDefault="00AB6753" w:rsidP="002D1EA4">
            <w:pPr>
              <w:rPr>
                <w:b/>
              </w:rPr>
            </w:pPr>
            <w:r w:rsidRPr="00521F86">
              <w:rPr>
                <w:b/>
              </w:rPr>
              <w:t>Total expenses for Outcome 2</w:t>
            </w:r>
          </w:p>
        </w:tc>
        <w:tc>
          <w:tcPr>
            <w:tcW w:w="2024" w:type="dxa"/>
            <w:tcBorders>
              <w:top w:val="single" w:sz="4" w:space="0" w:color="FFFFFF" w:themeColor="background1"/>
              <w:left w:val="nil"/>
              <w:bottom w:val="single" w:sz="4" w:space="0" w:color="FFFFFF" w:themeColor="background1"/>
              <w:right w:val="nil"/>
            </w:tcBorders>
            <w:shd w:val="clear" w:color="auto" w:fill="F8F8F8"/>
            <w:noWrap/>
          </w:tcPr>
          <w:p w14:paraId="42D099EA" w14:textId="77777777" w:rsidR="00AB6753" w:rsidRPr="00521F86" w:rsidRDefault="00AB6753" w:rsidP="002D1EA4">
            <w:pPr>
              <w:rPr>
                <w:b/>
              </w:rPr>
            </w:pPr>
            <w:r w:rsidRPr="00521F86">
              <w:rPr>
                <w:b/>
              </w:rPr>
              <w:t>4,032,988</w:t>
            </w:r>
          </w:p>
        </w:tc>
        <w:tc>
          <w:tcPr>
            <w:tcW w:w="1417" w:type="dxa"/>
            <w:tcBorders>
              <w:top w:val="single" w:sz="4" w:space="0" w:color="FFFFFF" w:themeColor="background1"/>
              <w:left w:val="nil"/>
              <w:bottom w:val="single" w:sz="4" w:space="0" w:color="FFFFFF" w:themeColor="background1"/>
              <w:right w:val="nil"/>
            </w:tcBorders>
            <w:shd w:val="clear" w:color="auto" w:fill="F8F8F8"/>
            <w:noWrap/>
          </w:tcPr>
          <w:p w14:paraId="57AD7CC6" w14:textId="77777777" w:rsidR="00AB6753" w:rsidRPr="00521F86" w:rsidRDefault="00AB6753" w:rsidP="002D1EA4">
            <w:pPr>
              <w:rPr>
                <w:b/>
              </w:rPr>
            </w:pPr>
            <w:r w:rsidRPr="00521F86">
              <w:rPr>
                <w:b/>
              </w:rPr>
              <w:t>4,000,064</w:t>
            </w:r>
          </w:p>
        </w:tc>
        <w:tc>
          <w:tcPr>
            <w:tcW w:w="1703" w:type="dxa"/>
            <w:tcBorders>
              <w:top w:val="single" w:sz="4" w:space="0" w:color="FFFFFF" w:themeColor="background1"/>
              <w:left w:val="nil"/>
              <w:bottom w:val="single" w:sz="4" w:space="0" w:color="FFFFFF" w:themeColor="background1"/>
              <w:right w:val="nil"/>
            </w:tcBorders>
            <w:shd w:val="clear" w:color="auto" w:fill="F8F8F8"/>
            <w:noWrap/>
          </w:tcPr>
          <w:p w14:paraId="35989ECF" w14:textId="77777777" w:rsidR="00AB6753" w:rsidRPr="00521F86" w:rsidRDefault="00AB6753" w:rsidP="002D1EA4">
            <w:pPr>
              <w:rPr>
                <w:b/>
              </w:rPr>
            </w:pPr>
            <w:r w:rsidRPr="00521F86">
              <w:rPr>
                <w:b/>
              </w:rPr>
              <w:t>32,924</w:t>
            </w:r>
          </w:p>
        </w:tc>
      </w:tr>
    </w:tbl>
    <w:p w14:paraId="1D146A87" w14:textId="77777777" w:rsidR="00AB6753" w:rsidRPr="00E42540" w:rsidRDefault="00AB6753" w:rsidP="00AB6753">
      <w:pPr>
        <w:spacing w:after="0"/>
        <w:ind w:left="284" w:hanging="284"/>
        <w:rPr>
          <w:sz w:val="18"/>
        </w:rPr>
      </w:pPr>
      <w:r w:rsidRPr="00A30AFF">
        <w:rPr>
          <w:sz w:val="18"/>
          <w:szCs w:val="18"/>
        </w:rPr>
        <w:t>a</w:t>
      </w:r>
      <w:r w:rsidRPr="00A30AFF">
        <w:rPr>
          <w:sz w:val="18"/>
          <w:szCs w:val="18"/>
        </w:rPr>
        <w:tab/>
      </w:r>
      <w:r w:rsidRPr="00E42540">
        <w:rPr>
          <w:sz w:val="18"/>
        </w:rPr>
        <w:t xml:space="preserve">Represents estimated actual expenses for the 2019–20 financial year reported in the </w:t>
      </w:r>
      <w:r w:rsidRPr="00A30AFF">
        <w:rPr>
          <w:sz w:val="18"/>
        </w:rPr>
        <w:t>Economic and Fiscal Update July 2020</w:t>
      </w:r>
      <w:r w:rsidRPr="00E42540">
        <w:rPr>
          <w:sz w:val="18"/>
        </w:rPr>
        <w:t>.</w:t>
      </w:r>
    </w:p>
    <w:p w14:paraId="33477FBB" w14:textId="77777777" w:rsidR="00AB6753" w:rsidRPr="00E42540" w:rsidRDefault="00AB6753" w:rsidP="00AB6753">
      <w:pPr>
        <w:spacing w:after="0"/>
        <w:ind w:left="284" w:hanging="284"/>
        <w:rPr>
          <w:sz w:val="18"/>
        </w:rPr>
      </w:pPr>
      <w:r w:rsidRPr="00E42540">
        <w:rPr>
          <w:sz w:val="18"/>
        </w:rPr>
        <w:t>b</w:t>
      </w:r>
      <w:r w:rsidRPr="00E42540">
        <w:rPr>
          <w:sz w:val="18"/>
        </w:rPr>
        <w:tab/>
        <w:t>Departmental appropriation includes section 74 retained revenue receipts.</w:t>
      </w:r>
    </w:p>
    <w:p w14:paraId="58FBF5BC" w14:textId="77777777" w:rsidR="00AB6753" w:rsidRPr="004A20FC" w:rsidRDefault="00AB6753" w:rsidP="00AB6753"/>
    <w:p w14:paraId="550F0E1A" w14:textId="77777777" w:rsidR="00AB6753" w:rsidRPr="004A20FC" w:rsidRDefault="00AB6753" w:rsidP="00AB6753">
      <w:r w:rsidRPr="004A20FC">
        <w:br w:type="page"/>
      </w:r>
    </w:p>
    <w:p w14:paraId="3D9CEF5C" w14:textId="77777777" w:rsidR="00AB6753" w:rsidRPr="00574F9A" w:rsidRDefault="00AB6753" w:rsidP="00AB6753">
      <w:pPr>
        <w:rPr>
          <w:b/>
        </w:rPr>
      </w:pPr>
      <w:bookmarkStart w:id="271" w:name="TableB_6"/>
      <w:bookmarkStart w:id="272" w:name="TableB_4"/>
      <w:r w:rsidRPr="00574F9A">
        <w:rPr>
          <w:b/>
        </w:rPr>
        <w:lastRenderedPageBreak/>
        <w:t>Table A–4: Expenses and resources for Outcome 3: Disability and Carers</w:t>
      </w:r>
      <w:bookmarkEnd w:id="271"/>
    </w:p>
    <w:tbl>
      <w:tblPr>
        <w:tblW w:w="9184" w:type="dxa"/>
        <w:tblLayout w:type="fixed"/>
        <w:tblLook w:val="00A0" w:firstRow="1" w:lastRow="0" w:firstColumn="1" w:lastColumn="0" w:noHBand="0" w:noVBand="0"/>
        <w:tblCaption w:val="Table A–4 Expenses and resources for Outcome 3: Disability and Carers"/>
        <w:tblDescription w:val="Table A–4 Expenses and resources for Outcome 3: Disability and Carers"/>
      </w:tblPr>
      <w:tblGrid>
        <w:gridCol w:w="4067"/>
        <w:gridCol w:w="1705"/>
        <w:gridCol w:w="1705"/>
        <w:gridCol w:w="1707"/>
      </w:tblGrid>
      <w:tr w:rsidR="00AB6753" w:rsidRPr="004A20FC" w14:paraId="7FCFF906" w14:textId="77777777" w:rsidTr="002D1EA4">
        <w:trPr>
          <w:trHeight w:val="895"/>
          <w:tblHeader/>
        </w:trPr>
        <w:tc>
          <w:tcPr>
            <w:tcW w:w="4067" w:type="dxa"/>
            <w:tcBorders>
              <w:top w:val="nil"/>
              <w:left w:val="nil"/>
              <w:bottom w:val="single" w:sz="4" w:space="0" w:color="auto"/>
              <w:right w:val="nil"/>
            </w:tcBorders>
            <w:shd w:val="clear" w:color="auto" w:fill="404040" w:themeFill="text1" w:themeFillTint="BF"/>
            <w:vAlign w:val="bottom"/>
          </w:tcPr>
          <w:p w14:paraId="48977630" w14:textId="77777777" w:rsidR="00AB6753" w:rsidRPr="00574F9A" w:rsidRDefault="00AB6753" w:rsidP="002D1EA4">
            <w:pPr>
              <w:rPr>
                <w:color w:val="FFFFFF" w:themeColor="background1"/>
              </w:rPr>
            </w:pPr>
          </w:p>
        </w:tc>
        <w:tc>
          <w:tcPr>
            <w:tcW w:w="1705" w:type="dxa"/>
            <w:tcBorders>
              <w:top w:val="nil"/>
              <w:left w:val="nil"/>
              <w:bottom w:val="single" w:sz="4" w:space="0" w:color="auto"/>
              <w:right w:val="nil"/>
            </w:tcBorders>
            <w:shd w:val="clear" w:color="auto" w:fill="404040" w:themeFill="text1" w:themeFillTint="BF"/>
            <w:noWrap/>
            <w:hideMark/>
          </w:tcPr>
          <w:p w14:paraId="759DDA23" w14:textId="77777777" w:rsidR="00AB6753" w:rsidRPr="00574F9A" w:rsidRDefault="00AB6753" w:rsidP="002D1EA4">
            <w:pPr>
              <w:rPr>
                <w:color w:val="FFFFFF" w:themeColor="background1"/>
              </w:rPr>
            </w:pPr>
            <w:r w:rsidRPr="00574F9A">
              <w:rPr>
                <w:color w:val="FFFFFF" w:themeColor="background1"/>
              </w:rPr>
              <w:t xml:space="preserve">Estimated </w:t>
            </w:r>
            <w:proofErr w:type="spellStart"/>
            <w:r w:rsidRPr="00574F9A">
              <w:rPr>
                <w:color w:val="FFFFFF" w:themeColor="background1"/>
              </w:rPr>
              <w:t>actual</w:t>
            </w:r>
            <w:r w:rsidRPr="00574F9A">
              <w:rPr>
                <w:color w:val="FFFFFF" w:themeColor="background1"/>
                <w:vertAlign w:val="superscript"/>
              </w:rPr>
              <w:t>a</w:t>
            </w:r>
            <w:proofErr w:type="spellEnd"/>
            <w:r>
              <w:rPr>
                <w:color w:val="FFFFFF" w:themeColor="background1"/>
              </w:rPr>
              <w:br/>
              <w:t>2019–20</w:t>
            </w:r>
            <w:r w:rsidRPr="00574F9A">
              <w:rPr>
                <w:color w:val="FFFFFF" w:themeColor="background1"/>
              </w:rPr>
              <w:t xml:space="preserve"> </w:t>
            </w:r>
            <w:r w:rsidRPr="00574F9A">
              <w:rPr>
                <w:color w:val="FFFFFF" w:themeColor="background1"/>
              </w:rPr>
              <w:br/>
              <w:t xml:space="preserve">$'000 </w:t>
            </w:r>
          </w:p>
        </w:tc>
        <w:tc>
          <w:tcPr>
            <w:tcW w:w="1705" w:type="dxa"/>
            <w:tcBorders>
              <w:top w:val="nil"/>
              <w:left w:val="nil"/>
              <w:bottom w:val="single" w:sz="4" w:space="0" w:color="auto"/>
              <w:right w:val="nil"/>
            </w:tcBorders>
            <w:shd w:val="clear" w:color="auto" w:fill="404040" w:themeFill="text1" w:themeFillTint="BF"/>
            <w:noWrap/>
            <w:hideMark/>
          </w:tcPr>
          <w:p w14:paraId="43C67497" w14:textId="77777777" w:rsidR="00AB6753" w:rsidRPr="00574F9A" w:rsidRDefault="00AB6753" w:rsidP="002D1EA4">
            <w:pPr>
              <w:rPr>
                <w:color w:val="FFFFFF" w:themeColor="background1"/>
              </w:rPr>
            </w:pPr>
            <w:r w:rsidRPr="00574F9A">
              <w:rPr>
                <w:color w:val="FFFFFF" w:themeColor="background1"/>
              </w:rPr>
              <w:t>Actual</w:t>
            </w:r>
            <w:r w:rsidRPr="00574F9A">
              <w:rPr>
                <w:color w:val="FFFFFF" w:themeColor="background1"/>
              </w:rPr>
              <w:br/>
              <w:t>Expenses</w:t>
            </w:r>
            <w:r w:rsidRPr="00574F9A">
              <w:rPr>
                <w:color w:val="FFFFFF" w:themeColor="background1"/>
              </w:rPr>
              <w:br/>
              <w:t>201</w:t>
            </w:r>
            <w:r>
              <w:rPr>
                <w:color w:val="FFFFFF" w:themeColor="background1"/>
              </w:rPr>
              <w:t>9–20</w:t>
            </w:r>
            <w:r w:rsidRPr="00574F9A">
              <w:rPr>
                <w:color w:val="FFFFFF" w:themeColor="background1"/>
              </w:rPr>
              <w:br/>
              <w:t>$'000</w:t>
            </w:r>
          </w:p>
        </w:tc>
        <w:tc>
          <w:tcPr>
            <w:tcW w:w="1707" w:type="dxa"/>
            <w:tcBorders>
              <w:top w:val="nil"/>
              <w:left w:val="nil"/>
              <w:bottom w:val="single" w:sz="4" w:space="0" w:color="auto"/>
              <w:right w:val="nil"/>
            </w:tcBorders>
            <w:shd w:val="clear" w:color="auto" w:fill="404040" w:themeFill="text1" w:themeFillTint="BF"/>
            <w:noWrap/>
            <w:hideMark/>
          </w:tcPr>
          <w:p w14:paraId="2F7392B5" w14:textId="77777777" w:rsidR="00AB6753" w:rsidRPr="00574F9A" w:rsidRDefault="00AB6753" w:rsidP="002D1EA4">
            <w:pPr>
              <w:rPr>
                <w:color w:val="FFFFFF" w:themeColor="background1"/>
              </w:rPr>
            </w:pPr>
            <w:r>
              <w:rPr>
                <w:color w:val="FFFFFF" w:themeColor="background1"/>
              </w:rPr>
              <w:t>Variation</w:t>
            </w:r>
            <w:r>
              <w:rPr>
                <w:color w:val="FFFFFF" w:themeColor="background1"/>
              </w:rPr>
              <w:br/>
              <w:t>2019–20</w:t>
            </w:r>
            <w:r w:rsidRPr="00574F9A">
              <w:rPr>
                <w:color w:val="FFFFFF" w:themeColor="background1"/>
              </w:rPr>
              <w:br/>
              <w:t>$'000</w:t>
            </w:r>
          </w:p>
        </w:tc>
      </w:tr>
      <w:tr w:rsidR="00AB6753" w:rsidRPr="004A20FC" w14:paraId="1FDC5F1F" w14:textId="77777777" w:rsidTr="002D1EA4">
        <w:trPr>
          <w:trHeight w:val="180"/>
        </w:trPr>
        <w:tc>
          <w:tcPr>
            <w:tcW w:w="4067" w:type="dxa"/>
            <w:tcBorders>
              <w:top w:val="single" w:sz="4" w:space="0" w:color="auto"/>
              <w:left w:val="nil"/>
              <w:bottom w:val="single" w:sz="4" w:space="0" w:color="FFFFFF" w:themeColor="background1"/>
              <w:right w:val="nil"/>
            </w:tcBorders>
            <w:shd w:val="clear" w:color="auto" w:fill="404040" w:themeFill="text1" w:themeFillTint="BF"/>
            <w:noWrap/>
            <w:hideMark/>
          </w:tcPr>
          <w:p w14:paraId="68916220" w14:textId="77777777" w:rsidR="00AB6753" w:rsidRPr="00574F9A" w:rsidRDefault="00AB6753" w:rsidP="002D1EA4">
            <w:pPr>
              <w:rPr>
                <w:color w:val="FFFFFF" w:themeColor="background1"/>
              </w:rPr>
            </w:pPr>
          </w:p>
        </w:tc>
        <w:tc>
          <w:tcPr>
            <w:tcW w:w="1705" w:type="dxa"/>
            <w:tcBorders>
              <w:top w:val="single" w:sz="4" w:space="0" w:color="auto"/>
              <w:left w:val="nil"/>
              <w:bottom w:val="single" w:sz="4" w:space="0" w:color="FFFFFF" w:themeColor="background1"/>
              <w:right w:val="nil"/>
            </w:tcBorders>
            <w:shd w:val="clear" w:color="auto" w:fill="404040" w:themeFill="text1" w:themeFillTint="BF"/>
            <w:noWrap/>
            <w:hideMark/>
          </w:tcPr>
          <w:p w14:paraId="2C6E44B6" w14:textId="77777777" w:rsidR="00AB6753" w:rsidRPr="00574F9A" w:rsidRDefault="00AB6753" w:rsidP="002D1EA4">
            <w:pPr>
              <w:rPr>
                <w:color w:val="FFFFFF" w:themeColor="background1"/>
              </w:rPr>
            </w:pPr>
            <w:r w:rsidRPr="00574F9A">
              <w:rPr>
                <w:color w:val="FFFFFF" w:themeColor="background1"/>
              </w:rPr>
              <w:t xml:space="preserve"> (a) </w:t>
            </w:r>
          </w:p>
        </w:tc>
        <w:tc>
          <w:tcPr>
            <w:tcW w:w="1705" w:type="dxa"/>
            <w:tcBorders>
              <w:top w:val="single" w:sz="4" w:space="0" w:color="auto"/>
              <w:left w:val="nil"/>
              <w:bottom w:val="single" w:sz="4" w:space="0" w:color="FFFFFF" w:themeColor="background1"/>
              <w:right w:val="nil"/>
            </w:tcBorders>
            <w:shd w:val="clear" w:color="auto" w:fill="404040" w:themeFill="text1" w:themeFillTint="BF"/>
            <w:noWrap/>
            <w:hideMark/>
          </w:tcPr>
          <w:p w14:paraId="1D4EC0DA" w14:textId="77777777" w:rsidR="00AB6753" w:rsidRPr="00574F9A" w:rsidRDefault="00AB6753" w:rsidP="002D1EA4">
            <w:pPr>
              <w:rPr>
                <w:color w:val="FFFFFF" w:themeColor="background1"/>
              </w:rPr>
            </w:pPr>
            <w:r w:rsidRPr="00574F9A">
              <w:rPr>
                <w:color w:val="FFFFFF" w:themeColor="background1"/>
              </w:rPr>
              <w:t>(b)</w:t>
            </w:r>
          </w:p>
        </w:tc>
        <w:tc>
          <w:tcPr>
            <w:tcW w:w="1707" w:type="dxa"/>
            <w:tcBorders>
              <w:top w:val="single" w:sz="4" w:space="0" w:color="auto"/>
              <w:left w:val="nil"/>
              <w:bottom w:val="single" w:sz="4" w:space="0" w:color="FFFFFF" w:themeColor="background1"/>
              <w:right w:val="nil"/>
            </w:tcBorders>
            <w:shd w:val="clear" w:color="auto" w:fill="404040" w:themeFill="text1" w:themeFillTint="BF"/>
            <w:hideMark/>
          </w:tcPr>
          <w:p w14:paraId="714930A7" w14:textId="77777777" w:rsidR="00AB6753" w:rsidRPr="00574F9A" w:rsidRDefault="00AB6753" w:rsidP="002D1EA4">
            <w:pPr>
              <w:rPr>
                <w:color w:val="FFFFFF" w:themeColor="background1"/>
              </w:rPr>
            </w:pPr>
            <w:r w:rsidRPr="00574F9A">
              <w:rPr>
                <w:color w:val="FFFFFF" w:themeColor="background1"/>
              </w:rPr>
              <w:t>(a)–(b)</w:t>
            </w:r>
          </w:p>
        </w:tc>
      </w:tr>
      <w:tr w:rsidR="00AB6753" w:rsidRPr="004A20FC" w14:paraId="1BE6255E" w14:textId="77777777" w:rsidTr="002D1EA4">
        <w:trPr>
          <w:trHeight w:val="357"/>
        </w:trPr>
        <w:tc>
          <w:tcPr>
            <w:tcW w:w="9184" w:type="dxa"/>
            <w:gridSpan w:val="4"/>
            <w:tcBorders>
              <w:top w:val="single" w:sz="4" w:space="0" w:color="FFFFFF" w:themeColor="background1"/>
              <w:left w:val="nil"/>
              <w:bottom w:val="single" w:sz="4" w:space="0" w:color="auto"/>
              <w:right w:val="nil"/>
            </w:tcBorders>
            <w:shd w:val="clear" w:color="auto" w:fill="FFFFFF" w:themeFill="background1"/>
            <w:vAlign w:val="bottom"/>
            <w:hideMark/>
          </w:tcPr>
          <w:p w14:paraId="6439E3D4" w14:textId="77777777" w:rsidR="00AB6753" w:rsidRPr="00574F9A" w:rsidRDefault="00AB6753" w:rsidP="002D1EA4">
            <w:pPr>
              <w:rPr>
                <w:b/>
              </w:rPr>
            </w:pPr>
            <w:r w:rsidRPr="00574F9A">
              <w:rPr>
                <w:b/>
              </w:rPr>
              <w:t>Program 3.1: Disability Mental Health and Carers</w:t>
            </w:r>
          </w:p>
        </w:tc>
      </w:tr>
      <w:tr w:rsidR="00AB6753" w:rsidRPr="004A20FC" w14:paraId="29F51E63" w14:textId="77777777" w:rsidTr="002D1EA4">
        <w:trPr>
          <w:trHeight w:val="180"/>
        </w:trPr>
        <w:tc>
          <w:tcPr>
            <w:tcW w:w="4067" w:type="dxa"/>
            <w:tcBorders>
              <w:top w:val="single" w:sz="4" w:space="0" w:color="auto"/>
              <w:left w:val="nil"/>
              <w:bottom w:val="single" w:sz="4" w:space="0" w:color="FFFFFF" w:themeColor="background1"/>
              <w:right w:val="nil"/>
            </w:tcBorders>
            <w:shd w:val="clear" w:color="auto" w:fill="EAEAEA"/>
            <w:noWrap/>
            <w:hideMark/>
          </w:tcPr>
          <w:p w14:paraId="67344975" w14:textId="77777777" w:rsidR="00AB6753" w:rsidRPr="004A20FC" w:rsidRDefault="00AB6753" w:rsidP="002D1EA4">
            <w:r w:rsidRPr="004A20FC">
              <w:t>Administered expenses</w:t>
            </w:r>
          </w:p>
        </w:tc>
        <w:tc>
          <w:tcPr>
            <w:tcW w:w="1705" w:type="dxa"/>
            <w:tcBorders>
              <w:top w:val="single" w:sz="4" w:space="0" w:color="auto"/>
              <w:left w:val="nil"/>
              <w:bottom w:val="single" w:sz="4" w:space="0" w:color="FFFFFF" w:themeColor="background1"/>
              <w:right w:val="nil"/>
            </w:tcBorders>
            <w:shd w:val="clear" w:color="auto" w:fill="EAEAEA"/>
          </w:tcPr>
          <w:p w14:paraId="5BF30430" w14:textId="77777777" w:rsidR="00AB6753" w:rsidRPr="004A53B9" w:rsidRDefault="00AB6753" w:rsidP="002D1EA4">
            <w:pPr>
              <w:rPr>
                <w:highlight w:val="green"/>
              </w:rPr>
            </w:pPr>
          </w:p>
        </w:tc>
        <w:tc>
          <w:tcPr>
            <w:tcW w:w="1705" w:type="dxa"/>
            <w:tcBorders>
              <w:top w:val="single" w:sz="4" w:space="0" w:color="auto"/>
              <w:left w:val="nil"/>
              <w:bottom w:val="single" w:sz="4" w:space="0" w:color="FFFFFF" w:themeColor="background1"/>
              <w:right w:val="nil"/>
            </w:tcBorders>
            <w:shd w:val="clear" w:color="auto" w:fill="EAEAEA"/>
          </w:tcPr>
          <w:p w14:paraId="14F49ADA" w14:textId="77777777" w:rsidR="00AB6753" w:rsidRPr="00A30AFF" w:rsidRDefault="00AB6753" w:rsidP="002D1EA4"/>
        </w:tc>
        <w:tc>
          <w:tcPr>
            <w:tcW w:w="1707" w:type="dxa"/>
            <w:tcBorders>
              <w:top w:val="single" w:sz="4" w:space="0" w:color="auto"/>
              <w:left w:val="nil"/>
              <w:bottom w:val="single" w:sz="4" w:space="0" w:color="FFFFFF" w:themeColor="background1"/>
              <w:right w:val="nil"/>
            </w:tcBorders>
            <w:shd w:val="clear" w:color="auto" w:fill="EAEAEA"/>
          </w:tcPr>
          <w:p w14:paraId="06E568E0" w14:textId="77777777" w:rsidR="00AB6753" w:rsidRPr="00A30AFF" w:rsidRDefault="00AB6753" w:rsidP="002D1EA4"/>
        </w:tc>
      </w:tr>
      <w:tr w:rsidR="00AB6753" w:rsidRPr="004A20FC" w14:paraId="456EED8D" w14:textId="77777777" w:rsidTr="002D1EA4">
        <w:trPr>
          <w:trHeight w:val="180"/>
        </w:trPr>
        <w:tc>
          <w:tcPr>
            <w:tcW w:w="4067" w:type="dxa"/>
            <w:tcBorders>
              <w:top w:val="single" w:sz="4" w:space="0" w:color="FFFFFF" w:themeColor="background1"/>
              <w:left w:val="nil"/>
              <w:bottom w:val="single" w:sz="4" w:space="0" w:color="FFFFFF" w:themeColor="background1"/>
              <w:right w:val="nil"/>
            </w:tcBorders>
            <w:shd w:val="clear" w:color="auto" w:fill="F8F8F8"/>
            <w:noWrap/>
            <w:hideMark/>
          </w:tcPr>
          <w:p w14:paraId="3B9B7A9B" w14:textId="77777777" w:rsidR="00AB6753" w:rsidRPr="004A20FC" w:rsidRDefault="00AB6753" w:rsidP="002D1EA4">
            <w:r w:rsidRPr="004A20FC">
              <w:t>Ordinary Annual Services</w:t>
            </w:r>
          </w:p>
          <w:p w14:paraId="56BB6074" w14:textId="77777777" w:rsidR="00AB6753" w:rsidRPr="004A20FC" w:rsidRDefault="00AB6753" w:rsidP="002D1EA4">
            <w:r w:rsidRPr="004A20FC">
              <w:t>(Appropriation Act No. 1 and No. 3)</w:t>
            </w:r>
          </w:p>
        </w:tc>
        <w:tc>
          <w:tcPr>
            <w:tcW w:w="1705" w:type="dxa"/>
            <w:tcBorders>
              <w:top w:val="single" w:sz="4" w:space="0" w:color="FFFFFF" w:themeColor="background1"/>
              <w:left w:val="nil"/>
              <w:bottom w:val="single" w:sz="4" w:space="0" w:color="FFFFFF" w:themeColor="background1"/>
              <w:right w:val="nil"/>
            </w:tcBorders>
            <w:shd w:val="clear" w:color="auto" w:fill="F8F8F8"/>
            <w:noWrap/>
          </w:tcPr>
          <w:p w14:paraId="6D701B4E" w14:textId="77777777" w:rsidR="00AB6753" w:rsidRPr="004A53B9" w:rsidRDefault="00AB6753" w:rsidP="002D1EA4">
            <w:pPr>
              <w:rPr>
                <w:highlight w:val="green"/>
              </w:rPr>
            </w:pPr>
            <w:r w:rsidRPr="00980718">
              <w:t>1,519,323</w:t>
            </w:r>
          </w:p>
        </w:tc>
        <w:tc>
          <w:tcPr>
            <w:tcW w:w="1705" w:type="dxa"/>
            <w:tcBorders>
              <w:top w:val="single" w:sz="4" w:space="0" w:color="FFFFFF" w:themeColor="background1"/>
              <w:left w:val="nil"/>
              <w:bottom w:val="single" w:sz="4" w:space="0" w:color="FFFFFF" w:themeColor="background1"/>
              <w:right w:val="nil"/>
            </w:tcBorders>
            <w:shd w:val="clear" w:color="auto" w:fill="F8F8F8"/>
          </w:tcPr>
          <w:p w14:paraId="00D45F06" w14:textId="77777777" w:rsidR="00AB6753" w:rsidRPr="00A30AFF" w:rsidRDefault="00AB6753" w:rsidP="002D1EA4">
            <w:r w:rsidRPr="00A30AFF">
              <w:t>1,501,020</w:t>
            </w:r>
          </w:p>
        </w:tc>
        <w:tc>
          <w:tcPr>
            <w:tcW w:w="1707" w:type="dxa"/>
            <w:tcBorders>
              <w:top w:val="single" w:sz="4" w:space="0" w:color="FFFFFF" w:themeColor="background1"/>
              <w:left w:val="nil"/>
              <w:bottom w:val="single" w:sz="4" w:space="0" w:color="FFFFFF" w:themeColor="background1"/>
              <w:right w:val="nil"/>
            </w:tcBorders>
            <w:shd w:val="clear" w:color="auto" w:fill="F8F8F8"/>
            <w:noWrap/>
          </w:tcPr>
          <w:p w14:paraId="6E4E1B01" w14:textId="77777777" w:rsidR="00AB6753" w:rsidRPr="00A30AFF" w:rsidRDefault="00AB6753" w:rsidP="002D1EA4">
            <w:r>
              <w:t>18,303</w:t>
            </w:r>
          </w:p>
        </w:tc>
      </w:tr>
      <w:tr w:rsidR="00AB6753" w:rsidRPr="004A20FC" w14:paraId="14FD6015" w14:textId="77777777" w:rsidTr="002D1EA4">
        <w:trPr>
          <w:trHeight w:val="180"/>
        </w:trPr>
        <w:tc>
          <w:tcPr>
            <w:tcW w:w="4067" w:type="dxa"/>
            <w:tcBorders>
              <w:top w:val="single" w:sz="4" w:space="0" w:color="FFFFFF" w:themeColor="background1"/>
              <w:left w:val="nil"/>
              <w:bottom w:val="single" w:sz="4" w:space="0" w:color="FFFFFF" w:themeColor="background1"/>
              <w:right w:val="nil"/>
            </w:tcBorders>
            <w:shd w:val="clear" w:color="auto" w:fill="EAEAEA"/>
            <w:noWrap/>
            <w:hideMark/>
          </w:tcPr>
          <w:p w14:paraId="4B9C06B9" w14:textId="77777777" w:rsidR="00AB6753" w:rsidRPr="004A20FC" w:rsidRDefault="00AB6753" w:rsidP="002D1EA4">
            <w:r w:rsidRPr="004A20FC">
              <w:t>Special Appropriations</w:t>
            </w:r>
          </w:p>
        </w:tc>
        <w:tc>
          <w:tcPr>
            <w:tcW w:w="1705" w:type="dxa"/>
            <w:tcBorders>
              <w:top w:val="single" w:sz="4" w:space="0" w:color="FFFFFF" w:themeColor="background1"/>
              <w:left w:val="nil"/>
              <w:bottom w:val="single" w:sz="4" w:space="0" w:color="FFFFFF" w:themeColor="background1"/>
              <w:right w:val="nil"/>
            </w:tcBorders>
            <w:shd w:val="clear" w:color="auto" w:fill="EAEAEA"/>
            <w:noWrap/>
          </w:tcPr>
          <w:p w14:paraId="3BBAD281" w14:textId="77777777" w:rsidR="00AB6753" w:rsidRPr="00980718" w:rsidRDefault="00AB6753" w:rsidP="002D1EA4">
            <w:r w:rsidRPr="00980718">
              <w:t>-</w:t>
            </w:r>
          </w:p>
        </w:tc>
        <w:tc>
          <w:tcPr>
            <w:tcW w:w="1705" w:type="dxa"/>
            <w:tcBorders>
              <w:top w:val="single" w:sz="4" w:space="0" w:color="FFFFFF" w:themeColor="background1"/>
              <w:left w:val="nil"/>
              <w:bottom w:val="single" w:sz="4" w:space="0" w:color="FFFFFF" w:themeColor="background1"/>
              <w:right w:val="nil"/>
            </w:tcBorders>
            <w:shd w:val="clear" w:color="auto" w:fill="EAEAEA"/>
          </w:tcPr>
          <w:p w14:paraId="092A7CE7" w14:textId="77777777" w:rsidR="00AB6753" w:rsidRPr="00A30AFF" w:rsidRDefault="00AB6753" w:rsidP="002D1EA4">
            <w:r w:rsidRPr="00A30AFF">
              <w:t>-</w:t>
            </w:r>
          </w:p>
        </w:tc>
        <w:tc>
          <w:tcPr>
            <w:tcW w:w="1707" w:type="dxa"/>
            <w:tcBorders>
              <w:top w:val="single" w:sz="4" w:space="0" w:color="FFFFFF" w:themeColor="background1"/>
              <w:left w:val="nil"/>
              <w:bottom w:val="single" w:sz="4" w:space="0" w:color="FFFFFF" w:themeColor="background1"/>
              <w:right w:val="nil"/>
            </w:tcBorders>
            <w:shd w:val="clear" w:color="auto" w:fill="EAEAEA"/>
            <w:noWrap/>
          </w:tcPr>
          <w:p w14:paraId="3E065BD2" w14:textId="77777777" w:rsidR="00AB6753" w:rsidRPr="00A30AFF" w:rsidRDefault="00AB6753" w:rsidP="002D1EA4">
            <w:r w:rsidRPr="00A30AFF">
              <w:t>-</w:t>
            </w:r>
          </w:p>
        </w:tc>
      </w:tr>
      <w:tr w:rsidR="00AB6753" w:rsidRPr="004A20FC" w14:paraId="4F1F339B" w14:textId="77777777" w:rsidTr="002D1EA4">
        <w:trPr>
          <w:trHeight w:val="180"/>
        </w:trPr>
        <w:tc>
          <w:tcPr>
            <w:tcW w:w="4067" w:type="dxa"/>
            <w:tcBorders>
              <w:top w:val="single" w:sz="4" w:space="0" w:color="FFFFFF" w:themeColor="background1"/>
              <w:left w:val="nil"/>
              <w:bottom w:val="single" w:sz="4" w:space="0" w:color="FFFFFF" w:themeColor="background1"/>
              <w:right w:val="nil"/>
            </w:tcBorders>
            <w:shd w:val="clear" w:color="auto" w:fill="F8F8F8"/>
            <w:noWrap/>
            <w:hideMark/>
          </w:tcPr>
          <w:p w14:paraId="575BC278" w14:textId="77777777" w:rsidR="00AB6753" w:rsidRPr="004A20FC" w:rsidRDefault="00AB6753" w:rsidP="002D1EA4">
            <w:r w:rsidRPr="004A20FC">
              <w:t>Special Account</w:t>
            </w:r>
            <w:r>
              <w:t>s</w:t>
            </w:r>
          </w:p>
        </w:tc>
        <w:tc>
          <w:tcPr>
            <w:tcW w:w="1705" w:type="dxa"/>
            <w:tcBorders>
              <w:top w:val="single" w:sz="4" w:space="0" w:color="FFFFFF" w:themeColor="background1"/>
              <w:left w:val="nil"/>
              <w:bottom w:val="single" w:sz="4" w:space="0" w:color="FFFFFF" w:themeColor="background1"/>
              <w:right w:val="nil"/>
            </w:tcBorders>
            <w:shd w:val="clear" w:color="auto" w:fill="F8F8F8"/>
            <w:noWrap/>
          </w:tcPr>
          <w:p w14:paraId="76406250" w14:textId="77777777" w:rsidR="00AB6753" w:rsidRPr="004A53B9" w:rsidRDefault="00AB6753" w:rsidP="002D1EA4">
            <w:pPr>
              <w:rPr>
                <w:highlight w:val="green"/>
              </w:rPr>
            </w:pPr>
            <w:r w:rsidRPr="00980718">
              <w:t>1,559</w:t>
            </w:r>
          </w:p>
        </w:tc>
        <w:tc>
          <w:tcPr>
            <w:tcW w:w="1705" w:type="dxa"/>
            <w:tcBorders>
              <w:top w:val="single" w:sz="4" w:space="0" w:color="FFFFFF" w:themeColor="background1"/>
              <w:left w:val="nil"/>
              <w:bottom w:val="single" w:sz="4" w:space="0" w:color="FFFFFF" w:themeColor="background1"/>
              <w:right w:val="nil"/>
            </w:tcBorders>
            <w:shd w:val="clear" w:color="auto" w:fill="F8F8F8"/>
          </w:tcPr>
          <w:p w14:paraId="1F088669" w14:textId="77777777" w:rsidR="00AB6753" w:rsidRPr="00A30AFF" w:rsidRDefault="00AB6753" w:rsidP="002D1EA4">
            <w:r w:rsidRPr="00A30AFF">
              <w:t>713</w:t>
            </w:r>
          </w:p>
        </w:tc>
        <w:tc>
          <w:tcPr>
            <w:tcW w:w="1707" w:type="dxa"/>
            <w:tcBorders>
              <w:top w:val="single" w:sz="4" w:space="0" w:color="FFFFFF" w:themeColor="background1"/>
              <w:left w:val="nil"/>
              <w:bottom w:val="single" w:sz="4" w:space="0" w:color="FFFFFF" w:themeColor="background1"/>
              <w:right w:val="nil"/>
            </w:tcBorders>
            <w:shd w:val="clear" w:color="auto" w:fill="F8F8F8"/>
            <w:noWrap/>
          </w:tcPr>
          <w:p w14:paraId="25191AA0" w14:textId="77777777" w:rsidR="00AB6753" w:rsidRPr="00A30AFF" w:rsidRDefault="00AB6753" w:rsidP="002D1EA4">
            <w:r>
              <w:t>846</w:t>
            </w:r>
          </w:p>
        </w:tc>
      </w:tr>
      <w:tr w:rsidR="00AB6753" w:rsidRPr="004A20FC" w14:paraId="0FB51699" w14:textId="77777777" w:rsidTr="002D1EA4">
        <w:trPr>
          <w:trHeight w:val="180"/>
        </w:trPr>
        <w:tc>
          <w:tcPr>
            <w:tcW w:w="4067" w:type="dxa"/>
            <w:tcBorders>
              <w:top w:val="single" w:sz="4" w:space="0" w:color="FFFFFF" w:themeColor="background1"/>
              <w:left w:val="nil"/>
              <w:bottom w:val="single" w:sz="4" w:space="0" w:color="FFFFFF" w:themeColor="background1"/>
              <w:right w:val="nil"/>
            </w:tcBorders>
            <w:noWrap/>
            <w:hideMark/>
          </w:tcPr>
          <w:p w14:paraId="7B0BA615" w14:textId="77777777" w:rsidR="00AB6753" w:rsidRPr="00521F86" w:rsidRDefault="00AB6753" w:rsidP="002D1EA4">
            <w:pPr>
              <w:rPr>
                <w:b/>
              </w:rPr>
            </w:pPr>
            <w:r w:rsidRPr="00521F86">
              <w:rPr>
                <w:b/>
              </w:rPr>
              <w:t>Total for Program 3.1</w:t>
            </w:r>
          </w:p>
        </w:tc>
        <w:tc>
          <w:tcPr>
            <w:tcW w:w="1705" w:type="dxa"/>
            <w:tcBorders>
              <w:top w:val="single" w:sz="4" w:space="0" w:color="FFFFFF" w:themeColor="background1"/>
              <w:left w:val="nil"/>
              <w:bottom w:val="single" w:sz="4" w:space="0" w:color="FFFFFF" w:themeColor="background1"/>
              <w:right w:val="nil"/>
            </w:tcBorders>
            <w:shd w:val="clear" w:color="auto" w:fill="auto"/>
            <w:noWrap/>
          </w:tcPr>
          <w:p w14:paraId="08EF7F99" w14:textId="77777777" w:rsidR="00AB6753" w:rsidRPr="00521F86" w:rsidRDefault="00AB6753" w:rsidP="002D1EA4">
            <w:pPr>
              <w:rPr>
                <w:b/>
              </w:rPr>
            </w:pPr>
            <w:r w:rsidRPr="00521F86">
              <w:rPr>
                <w:b/>
              </w:rPr>
              <w:t>1,520,882</w:t>
            </w:r>
          </w:p>
        </w:tc>
        <w:tc>
          <w:tcPr>
            <w:tcW w:w="1705" w:type="dxa"/>
            <w:tcBorders>
              <w:top w:val="single" w:sz="4" w:space="0" w:color="FFFFFF" w:themeColor="background1"/>
              <w:left w:val="nil"/>
              <w:bottom w:val="single" w:sz="4" w:space="0" w:color="FFFFFF" w:themeColor="background1"/>
              <w:right w:val="nil"/>
            </w:tcBorders>
            <w:shd w:val="clear" w:color="auto" w:fill="auto"/>
          </w:tcPr>
          <w:p w14:paraId="66FECFBF" w14:textId="77777777" w:rsidR="00AB6753" w:rsidRPr="00521F86" w:rsidRDefault="00AB6753" w:rsidP="002D1EA4">
            <w:pPr>
              <w:rPr>
                <w:b/>
              </w:rPr>
            </w:pPr>
            <w:r w:rsidRPr="00521F86">
              <w:rPr>
                <w:b/>
              </w:rPr>
              <w:t>1,501,733</w:t>
            </w:r>
          </w:p>
        </w:tc>
        <w:tc>
          <w:tcPr>
            <w:tcW w:w="1707" w:type="dxa"/>
            <w:tcBorders>
              <w:top w:val="single" w:sz="4" w:space="0" w:color="FFFFFF" w:themeColor="background1"/>
              <w:left w:val="nil"/>
              <w:bottom w:val="single" w:sz="4" w:space="0" w:color="FFFFFF" w:themeColor="background1"/>
              <w:right w:val="nil"/>
            </w:tcBorders>
            <w:shd w:val="clear" w:color="auto" w:fill="auto"/>
            <w:noWrap/>
          </w:tcPr>
          <w:p w14:paraId="5874B0F2" w14:textId="77777777" w:rsidR="00AB6753" w:rsidRPr="00521F86" w:rsidRDefault="00AB6753" w:rsidP="002D1EA4">
            <w:pPr>
              <w:rPr>
                <w:b/>
              </w:rPr>
            </w:pPr>
            <w:r w:rsidRPr="00521F86">
              <w:rPr>
                <w:b/>
              </w:rPr>
              <w:t>19,149</w:t>
            </w:r>
          </w:p>
        </w:tc>
      </w:tr>
      <w:tr w:rsidR="00AB6753" w:rsidRPr="00574F9A" w14:paraId="3297A582" w14:textId="77777777" w:rsidTr="002D1EA4">
        <w:trPr>
          <w:trHeight w:val="310"/>
        </w:trPr>
        <w:tc>
          <w:tcPr>
            <w:tcW w:w="9184" w:type="dxa"/>
            <w:gridSpan w:val="4"/>
            <w:tcBorders>
              <w:top w:val="single" w:sz="4" w:space="0" w:color="FFFFFF" w:themeColor="background1"/>
              <w:left w:val="nil"/>
              <w:bottom w:val="single" w:sz="4" w:space="0" w:color="auto"/>
              <w:right w:val="nil"/>
            </w:tcBorders>
            <w:shd w:val="clear" w:color="auto" w:fill="FFFFFF" w:themeFill="background1"/>
            <w:hideMark/>
          </w:tcPr>
          <w:p w14:paraId="3130A787" w14:textId="77777777" w:rsidR="00AB6753" w:rsidRPr="00A30AFF" w:rsidRDefault="00AB6753" w:rsidP="002D1EA4">
            <w:pPr>
              <w:rPr>
                <w:b/>
              </w:rPr>
            </w:pPr>
            <w:r w:rsidRPr="00A30AFF">
              <w:rPr>
                <w:b/>
              </w:rPr>
              <w:t>Program 3.2: National Disability Insurance Scheme</w:t>
            </w:r>
          </w:p>
        </w:tc>
      </w:tr>
      <w:tr w:rsidR="00AB6753" w:rsidRPr="004A20FC" w14:paraId="5408FC0E" w14:textId="77777777" w:rsidTr="002D1EA4">
        <w:trPr>
          <w:trHeight w:val="180"/>
        </w:trPr>
        <w:tc>
          <w:tcPr>
            <w:tcW w:w="4067" w:type="dxa"/>
            <w:tcBorders>
              <w:top w:val="single" w:sz="4" w:space="0" w:color="auto"/>
              <w:left w:val="nil"/>
              <w:bottom w:val="single" w:sz="4" w:space="0" w:color="FFFFFF" w:themeColor="background1"/>
              <w:right w:val="nil"/>
            </w:tcBorders>
            <w:shd w:val="clear" w:color="auto" w:fill="EAEAEA"/>
            <w:noWrap/>
            <w:hideMark/>
          </w:tcPr>
          <w:p w14:paraId="7EB5404B" w14:textId="77777777" w:rsidR="00AB6753" w:rsidRPr="004A20FC" w:rsidRDefault="00AB6753" w:rsidP="002D1EA4">
            <w:r w:rsidRPr="004A20FC">
              <w:t>Administered expenses</w:t>
            </w:r>
          </w:p>
        </w:tc>
        <w:tc>
          <w:tcPr>
            <w:tcW w:w="1705" w:type="dxa"/>
            <w:tcBorders>
              <w:top w:val="single" w:sz="4" w:space="0" w:color="auto"/>
              <w:left w:val="nil"/>
              <w:bottom w:val="single" w:sz="4" w:space="0" w:color="FFFFFF" w:themeColor="background1"/>
              <w:right w:val="nil"/>
            </w:tcBorders>
            <w:shd w:val="clear" w:color="auto" w:fill="EAEAEA"/>
          </w:tcPr>
          <w:p w14:paraId="0A7075CF" w14:textId="77777777" w:rsidR="00AB6753" w:rsidRPr="004A53B9" w:rsidRDefault="00AB6753" w:rsidP="002D1EA4">
            <w:pPr>
              <w:rPr>
                <w:highlight w:val="green"/>
              </w:rPr>
            </w:pPr>
          </w:p>
        </w:tc>
        <w:tc>
          <w:tcPr>
            <w:tcW w:w="1705" w:type="dxa"/>
            <w:tcBorders>
              <w:top w:val="single" w:sz="4" w:space="0" w:color="auto"/>
              <w:left w:val="nil"/>
              <w:bottom w:val="single" w:sz="4" w:space="0" w:color="FFFFFF" w:themeColor="background1"/>
              <w:right w:val="nil"/>
            </w:tcBorders>
            <w:shd w:val="clear" w:color="auto" w:fill="EAEAEA"/>
          </w:tcPr>
          <w:p w14:paraId="176443B8" w14:textId="77777777" w:rsidR="00AB6753" w:rsidRPr="00A30AFF" w:rsidRDefault="00AB6753" w:rsidP="002D1EA4"/>
        </w:tc>
        <w:tc>
          <w:tcPr>
            <w:tcW w:w="1707" w:type="dxa"/>
            <w:tcBorders>
              <w:top w:val="single" w:sz="4" w:space="0" w:color="auto"/>
              <w:left w:val="nil"/>
              <w:bottom w:val="single" w:sz="4" w:space="0" w:color="FFFFFF" w:themeColor="background1"/>
              <w:right w:val="nil"/>
            </w:tcBorders>
            <w:shd w:val="clear" w:color="auto" w:fill="EAEAEA"/>
          </w:tcPr>
          <w:p w14:paraId="7C86A230" w14:textId="77777777" w:rsidR="00AB6753" w:rsidRPr="00A30AFF" w:rsidRDefault="00AB6753" w:rsidP="002D1EA4"/>
        </w:tc>
      </w:tr>
      <w:tr w:rsidR="00AB6753" w:rsidRPr="004A20FC" w14:paraId="44812E72" w14:textId="77777777" w:rsidTr="002D1EA4">
        <w:trPr>
          <w:trHeight w:val="180"/>
        </w:trPr>
        <w:tc>
          <w:tcPr>
            <w:tcW w:w="4067" w:type="dxa"/>
            <w:tcBorders>
              <w:top w:val="single" w:sz="4" w:space="0" w:color="FFFFFF" w:themeColor="background1"/>
              <w:left w:val="nil"/>
              <w:bottom w:val="single" w:sz="4" w:space="0" w:color="FFFFFF" w:themeColor="background1"/>
              <w:right w:val="nil"/>
            </w:tcBorders>
            <w:shd w:val="clear" w:color="auto" w:fill="F8F8F8"/>
            <w:noWrap/>
            <w:hideMark/>
          </w:tcPr>
          <w:p w14:paraId="77BA7F39" w14:textId="77777777" w:rsidR="00AB6753" w:rsidRPr="004A20FC" w:rsidRDefault="00AB6753" w:rsidP="002D1EA4">
            <w:r w:rsidRPr="004A20FC">
              <w:t>Ordinary Annual Services</w:t>
            </w:r>
          </w:p>
          <w:p w14:paraId="48AF9B41" w14:textId="77777777" w:rsidR="00AB6753" w:rsidRPr="004A20FC" w:rsidRDefault="00AB6753" w:rsidP="002D1EA4">
            <w:r w:rsidRPr="004A20FC">
              <w:t>(Appropriation Act No. 1 and No. 3)</w:t>
            </w:r>
          </w:p>
        </w:tc>
        <w:tc>
          <w:tcPr>
            <w:tcW w:w="1705" w:type="dxa"/>
            <w:tcBorders>
              <w:top w:val="single" w:sz="4" w:space="0" w:color="FFFFFF" w:themeColor="background1"/>
              <w:left w:val="nil"/>
              <w:bottom w:val="single" w:sz="4" w:space="0" w:color="FFFFFF" w:themeColor="background1"/>
              <w:right w:val="nil"/>
            </w:tcBorders>
            <w:shd w:val="clear" w:color="auto" w:fill="F8F8F8"/>
            <w:noWrap/>
          </w:tcPr>
          <w:p w14:paraId="13E3D5AC" w14:textId="77777777" w:rsidR="00AB6753" w:rsidRPr="00980718" w:rsidRDefault="00AB6753" w:rsidP="002D1EA4">
            <w:r w:rsidRPr="00980718">
              <w:t>7,061,234</w:t>
            </w:r>
          </w:p>
        </w:tc>
        <w:tc>
          <w:tcPr>
            <w:tcW w:w="1705" w:type="dxa"/>
            <w:tcBorders>
              <w:top w:val="single" w:sz="4" w:space="0" w:color="FFFFFF" w:themeColor="background1"/>
              <w:left w:val="nil"/>
              <w:bottom w:val="single" w:sz="4" w:space="0" w:color="FFFFFF" w:themeColor="background1"/>
              <w:right w:val="nil"/>
            </w:tcBorders>
            <w:shd w:val="clear" w:color="auto" w:fill="F8F8F8"/>
          </w:tcPr>
          <w:p w14:paraId="2688DEC9" w14:textId="77777777" w:rsidR="00AB6753" w:rsidRPr="00A30AFF" w:rsidRDefault="00AB6753" w:rsidP="002D1EA4">
            <w:r w:rsidRPr="00A30AFF">
              <w:t>7,100,732</w:t>
            </w:r>
          </w:p>
        </w:tc>
        <w:tc>
          <w:tcPr>
            <w:tcW w:w="1707" w:type="dxa"/>
            <w:tcBorders>
              <w:top w:val="single" w:sz="4" w:space="0" w:color="FFFFFF" w:themeColor="background1"/>
              <w:left w:val="nil"/>
              <w:bottom w:val="single" w:sz="4" w:space="0" w:color="FFFFFF" w:themeColor="background1"/>
              <w:right w:val="nil"/>
            </w:tcBorders>
            <w:shd w:val="clear" w:color="auto" w:fill="F8F8F8"/>
            <w:noWrap/>
          </w:tcPr>
          <w:p w14:paraId="6BD77A71" w14:textId="77777777" w:rsidR="00AB6753" w:rsidRPr="00A30AFF" w:rsidRDefault="00AB6753" w:rsidP="002D1EA4">
            <w:r>
              <w:t>(39,498)</w:t>
            </w:r>
          </w:p>
        </w:tc>
      </w:tr>
      <w:tr w:rsidR="00AB6753" w:rsidRPr="004A20FC" w14:paraId="13DB80AB" w14:textId="77777777" w:rsidTr="002D1EA4">
        <w:trPr>
          <w:trHeight w:val="180"/>
        </w:trPr>
        <w:tc>
          <w:tcPr>
            <w:tcW w:w="4067" w:type="dxa"/>
            <w:tcBorders>
              <w:top w:val="single" w:sz="4" w:space="0" w:color="FFFFFF" w:themeColor="background1"/>
              <w:left w:val="nil"/>
              <w:bottom w:val="single" w:sz="8" w:space="0" w:color="FFFFFF" w:themeColor="background1"/>
              <w:right w:val="nil"/>
            </w:tcBorders>
            <w:shd w:val="clear" w:color="auto" w:fill="EAEAEA"/>
            <w:noWrap/>
            <w:hideMark/>
          </w:tcPr>
          <w:p w14:paraId="2ADFACBF" w14:textId="77777777" w:rsidR="00AB6753" w:rsidRPr="004A20FC" w:rsidRDefault="00AB6753" w:rsidP="002D1EA4">
            <w:r w:rsidRPr="004A20FC">
              <w:t>Payments to corporate entities</w:t>
            </w:r>
          </w:p>
        </w:tc>
        <w:tc>
          <w:tcPr>
            <w:tcW w:w="1705" w:type="dxa"/>
            <w:tcBorders>
              <w:top w:val="single" w:sz="4" w:space="0" w:color="FFFFFF" w:themeColor="background1"/>
              <w:left w:val="nil"/>
              <w:bottom w:val="single" w:sz="8" w:space="0" w:color="FFFFFF" w:themeColor="background1"/>
              <w:right w:val="nil"/>
            </w:tcBorders>
            <w:shd w:val="clear" w:color="auto" w:fill="EAEAEA"/>
            <w:noWrap/>
          </w:tcPr>
          <w:p w14:paraId="61F2F35A" w14:textId="77777777" w:rsidR="00AB6753" w:rsidRPr="00980718" w:rsidRDefault="00AB6753" w:rsidP="002D1EA4">
            <w:r w:rsidRPr="00980718">
              <w:t>1,403,557</w:t>
            </w:r>
          </w:p>
        </w:tc>
        <w:tc>
          <w:tcPr>
            <w:tcW w:w="1705" w:type="dxa"/>
            <w:tcBorders>
              <w:top w:val="single" w:sz="4" w:space="0" w:color="FFFFFF" w:themeColor="background1"/>
              <w:left w:val="nil"/>
              <w:bottom w:val="single" w:sz="8" w:space="0" w:color="FFFFFF" w:themeColor="background1"/>
              <w:right w:val="nil"/>
            </w:tcBorders>
            <w:shd w:val="clear" w:color="auto" w:fill="EAEAEA"/>
            <w:noWrap/>
          </w:tcPr>
          <w:p w14:paraId="406EA6FA" w14:textId="77777777" w:rsidR="00AB6753" w:rsidRPr="00A30AFF" w:rsidRDefault="00AB6753" w:rsidP="002D1EA4">
            <w:r w:rsidRPr="00A30AFF">
              <w:t>1,413,257</w:t>
            </w:r>
          </w:p>
        </w:tc>
        <w:tc>
          <w:tcPr>
            <w:tcW w:w="1707" w:type="dxa"/>
            <w:tcBorders>
              <w:top w:val="single" w:sz="4" w:space="0" w:color="FFFFFF" w:themeColor="background1"/>
              <w:left w:val="nil"/>
              <w:bottom w:val="single" w:sz="8" w:space="0" w:color="FFFFFF" w:themeColor="background1"/>
              <w:right w:val="nil"/>
            </w:tcBorders>
            <w:shd w:val="clear" w:color="auto" w:fill="EAEAEA"/>
            <w:noWrap/>
          </w:tcPr>
          <w:p w14:paraId="70089225" w14:textId="77777777" w:rsidR="00AB6753" w:rsidRPr="00A30AFF" w:rsidRDefault="00AB6753" w:rsidP="002D1EA4">
            <w:r>
              <w:t>(9,700)</w:t>
            </w:r>
          </w:p>
        </w:tc>
      </w:tr>
      <w:tr w:rsidR="00AB6753" w:rsidRPr="004A20FC" w14:paraId="73785452" w14:textId="77777777" w:rsidTr="002D1EA4">
        <w:trPr>
          <w:trHeight w:val="180"/>
        </w:trPr>
        <w:tc>
          <w:tcPr>
            <w:tcW w:w="4067" w:type="dxa"/>
            <w:tcBorders>
              <w:top w:val="single" w:sz="4" w:space="0" w:color="FFFFFF" w:themeColor="background1"/>
              <w:left w:val="nil"/>
              <w:bottom w:val="single" w:sz="4" w:space="0" w:color="FFFFFF" w:themeColor="background1"/>
              <w:right w:val="nil"/>
            </w:tcBorders>
            <w:shd w:val="clear" w:color="auto" w:fill="F8F8F8"/>
            <w:hideMark/>
          </w:tcPr>
          <w:p w14:paraId="66E3D0E6" w14:textId="77777777" w:rsidR="00AB6753" w:rsidRPr="00521F86" w:rsidRDefault="00AB6753" w:rsidP="002D1EA4">
            <w:pPr>
              <w:rPr>
                <w:b/>
              </w:rPr>
            </w:pPr>
            <w:r w:rsidRPr="00521F86">
              <w:rPr>
                <w:b/>
              </w:rPr>
              <w:t>Total for Program 3.2</w:t>
            </w:r>
          </w:p>
        </w:tc>
        <w:tc>
          <w:tcPr>
            <w:tcW w:w="1705" w:type="dxa"/>
            <w:tcBorders>
              <w:top w:val="single" w:sz="4" w:space="0" w:color="FFFFFF" w:themeColor="background1"/>
              <w:left w:val="nil"/>
              <w:bottom w:val="single" w:sz="4" w:space="0" w:color="FFFFFF" w:themeColor="background1"/>
              <w:right w:val="nil"/>
            </w:tcBorders>
            <w:shd w:val="clear" w:color="auto" w:fill="F8F8F8"/>
            <w:noWrap/>
          </w:tcPr>
          <w:p w14:paraId="4CD1EAE9" w14:textId="77777777" w:rsidR="00AB6753" w:rsidRPr="00521F86" w:rsidRDefault="00AB6753" w:rsidP="002D1EA4">
            <w:pPr>
              <w:rPr>
                <w:b/>
              </w:rPr>
            </w:pPr>
            <w:r w:rsidRPr="00521F86">
              <w:rPr>
                <w:b/>
              </w:rPr>
              <w:t>8,464,791</w:t>
            </w:r>
          </w:p>
        </w:tc>
        <w:tc>
          <w:tcPr>
            <w:tcW w:w="1705" w:type="dxa"/>
            <w:tcBorders>
              <w:top w:val="single" w:sz="4" w:space="0" w:color="FFFFFF" w:themeColor="background1"/>
              <w:left w:val="nil"/>
              <w:bottom w:val="single" w:sz="4" w:space="0" w:color="FFFFFF" w:themeColor="background1"/>
              <w:right w:val="nil"/>
            </w:tcBorders>
            <w:shd w:val="clear" w:color="auto" w:fill="F8F8F8"/>
            <w:noWrap/>
          </w:tcPr>
          <w:p w14:paraId="2C2DC0F1" w14:textId="77777777" w:rsidR="00AB6753" w:rsidRPr="00521F86" w:rsidRDefault="00AB6753" w:rsidP="002D1EA4">
            <w:pPr>
              <w:rPr>
                <w:b/>
              </w:rPr>
            </w:pPr>
            <w:r w:rsidRPr="00521F86">
              <w:rPr>
                <w:b/>
              </w:rPr>
              <w:t>8,513,989</w:t>
            </w:r>
          </w:p>
        </w:tc>
        <w:tc>
          <w:tcPr>
            <w:tcW w:w="1707" w:type="dxa"/>
            <w:tcBorders>
              <w:top w:val="single" w:sz="4" w:space="0" w:color="FFFFFF" w:themeColor="background1"/>
              <w:left w:val="nil"/>
              <w:bottom w:val="single" w:sz="4" w:space="0" w:color="FFFFFF" w:themeColor="background1"/>
              <w:right w:val="nil"/>
            </w:tcBorders>
            <w:shd w:val="clear" w:color="auto" w:fill="F8F8F8"/>
            <w:noWrap/>
          </w:tcPr>
          <w:p w14:paraId="724F9E49" w14:textId="77777777" w:rsidR="00AB6753" w:rsidRPr="00521F86" w:rsidRDefault="00AB6753" w:rsidP="002D1EA4">
            <w:pPr>
              <w:rPr>
                <w:b/>
              </w:rPr>
            </w:pPr>
            <w:r w:rsidRPr="00521F86">
              <w:rPr>
                <w:b/>
              </w:rPr>
              <w:t>(49,198)</w:t>
            </w:r>
          </w:p>
        </w:tc>
      </w:tr>
      <w:tr w:rsidR="00AB6753" w:rsidRPr="00574F9A" w14:paraId="5F93DC92" w14:textId="77777777" w:rsidTr="002D1EA4">
        <w:trPr>
          <w:trHeight w:val="336"/>
        </w:trPr>
        <w:tc>
          <w:tcPr>
            <w:tcW w:w="9184" w:type="dxa"/>
            <w:gridSpan w:val="4"/>
            <w:tcBorders>
              <w:top w:val="single" w:sz="4" w:space="0" w:color="FFFFFF" w:themeColor="background1"/>
              <w:left w:val="nil"/>
              <w:bottom w:val="single" w:sz="4" w:space="0" w:color="auto"/>
              <w:right w:val="nil"/>
            </w:tcBorders>
            <w:shd w:val="clear" w:color="auto" w:fill="FFFFFF" w:themeFill="background1"/>
            <w:hideMark/>
          </w:tcPr>
          <w:p w14:paraId="6A47CD17" w14:textId="77777777" w:rsidR="00AB6753" w:rsidRPr="00574F9A" w:rsidRDefault="00AB6753" w:rsidP="002D1EA4">
            <w:pPr>
              <w:rPr>
                <w:b/>
              </w:rPr>
            </w:pPr>
            <w:r w:rsidRPr="00574F9A">
              <w:rPr>
                <w:b/>
              </w:rPr>
              <w:t>Program 3.3: Program Support for Outcome 3</w:t>
            </w:r>
          </w:p>
        </w:tc>
      </w:tr>
      <w:tr w:rsidR="00AB6753" w:rsidRPr="004A20FC" w14:paraId="5497C71A" w14:textId="77777777" w:rsidTr="002D1EA4">
        <w:trPr>
          <w:trHeight w:val="180"/>
        </w:trPr>
        <w:tc>
          <w:tcPr>
            <w:tcW w:w="4067" w:type="dxa"/>
            <w:tcBorders>
              <w:top w:val="single" w:sz="4" w:space="0" w:color="auto"/>
              <w:left w:val="nil"/>
              <w:bottom w:val="single" w:sz="8" w:space="0" w:color="FFFFFF" w:themeColor="background1"/>
              <w:right w:val="nil"/>
            </w:tcBorders>
            <w:shd w:val="clear" w:color="auto" w:fill="EAEAEA"/>
            <w:noWrap/>
            <w:hideMark/>
          </w:tcPr>
          <w:p w14:paraId="4681B87C" w14:textId="77777777" w:rsidR="00AB6753" w:rsidRPr="004A20FC" w:rsidRDefault="00AB6753" w:rsidP="002D1EA4">
            <w:r w:rsidRPr="004A20FC">
              <w:t>Departmental expenses</w:t>
            </w:r>
          </w:p>
        </w:tc>
        <w:tc>
          <w:tcPr>
            <w:tcW w:w="1705" w:type="dxa"/>
            <w:tcBorders>
              <w:top w:val="single" w:sz="4" w:space="0" w:color="auto"/>
              <w:left w:val="nil"/>
              <w:bottom w:val="single" w:sz="8" w:space="0" w:color="FFFFFF" w:themeColor="background1"/>
              <w:right w:val="nil"/>
            </w:tcBorders>
            <w:shd w:val="clear" w:color="auto" w:fill="EAEAEA"/>
          </w:tcPr>
          <w:p w14:paraId="798F5904" w14:textId="77777777" w:rsidR="00AB6753" w:rsidRPr="004A20FC" w:rsidRDefault="00AB6753" w:rsidP="002D1EA4"/>
        </w:tc>
        <w:tc>
          <w:tcPr>
            <w:tcW w:w="1705" w:type="dxa"/>
            <w:tcBorders>
              <w:top w:val="single" w:sz="4" w:space="0" w:color="auto"/>
              <w:left w:val="nil"/>
              <w:bottom w:val="single" w:sz="8" w:space="0" w:color="FFFFFF" w:themeColor="background1"/>
              <w:right w:val="nil"/>
            </w:tcBorders>
            <w:shd w:val="clear" w:color="auto" w:fill="EAEAEA"/>
          </w:tcPr>
          <w:p w14:paraId="0B56E4D8" w14:textId="77777777" w:rsidR="00AB6753" w:rsidRPr="004A20FC" w:rsidRDefault="00AB6753" w:rsidP="002D1EA4"/>
        </w:tc>
        <w:tc>
          <w:tcPr>
            <w:tcW w:w="1707" w:type="dxa"/>
            <w:tcBorders>
              <w:top w:val="single" w:sz="4" w:space="0" w:color="auto"/>
              <w:left w:val="nil"/>
              <w:bottom w:val="single" w:sz="8" w:space="0" w:color="FFFFFF" w:themeColor="background1"/>
              <w:right w:val="nil"/>
            </w:tcBorders>
            <w:shd w:val="clear" w:color="auto" w:fill="EAEAEA"/>
          </w:tcPr>
          <w:p w14:paraId="1F95E5A6" w14:textId="77777777" w:rsidR="00AB6753" w:rsidRPr="004A20FC" w:rsidRDefault="00AB6753" w:rsidP="002D1EA4"/>
        </w:tc>
      </w:tr>
      <w:tr w:rsidR="00AB6753" w:rsidRPr="004A20FC" w14:paraId="6EB21C42" w14:textId="77777777" w:rsidTr="002D1EA4">
        <w:trPr>
          <w:trHeight w:val="180"/>
        </w:trPr>
        <w:tc>
          <w:tcPr>
            <w:tcW w:w="4067" w:type="dxa"/>
            <w:tcBorders>
              <w:top w:val="single" w:sz="8" w:space="0" w:color="FFFFFF" w:themeColor="background1"/>
              <w:left w:val="nil"/>
              <w:bottom w:val="single" w:sz="4" w:space="0" w:color="FFFFFF" w:themeColor="background1"/>
              <w:right w:val="nil"/>
            </w:tcBorders>
            <w:shd w:val="clear" w:color="auto" w:fill="F8F8F8"/>
            <w:noWrap/>
            <w:hideMark/>
          </w:tcPr>
          <w:p w14:paraId="5DBE1A51" w14:textId="77777777" w:rsidR="00AB6753" w:rsidRPr="004A20FC" w:rsidRDefault="00AB6753" w:rsidP="002D1EA4">
            <w:r w:rsidRPr="004A20FC">
              <w:t xml:space="preserve">Departmental </w:t>
            </w:r>
            <w:proofErr w:type="spellStart"/>
            <w:r w:rsidRPr="004A20FC">
              <w:t>appropriation</w:t>
            </w:r>
            <w:r w:rsidRPr="00574F9A">
              <w:rPr>
                <w:vertAlign w:val="superscript"/>
              </w:rPr>
              <w:t>b</w:t>
            </w:r>
            <w:proofErr w:type="spellEnd"/>
          </w:p>
        </w:tc>
        <w:tc>
          <w:tcPr>
            <w:tcW w:w="1705" w:type="dxa"/>
            <w:tcBorders>
              <w:top w:val="single" w:sz="8" w:space="0" w:color="FFFFFF" w:themeColor="background1"/>
              <w:left w:val="nil"/>
              <w:bottom w:val="single" w:sz="4" w:space="0" w:color="FFFFFF" w:themeColor="background1"/>
              <w:right w:val="nil"/>
            </w:tcBorders>
            <w:shd w:val="clear" w:color="auto" w:fill="F8F8F8"/>
            <w:noWrap/>
          </w:tcPr>
          <w:p w14:paraId="61048884" w14:textId="77777777" w:rsidR="00AB6753" w:rsidRPr="001B365F" w:rsidRDefault="00AB6753" w:rsidP="002D1EA4">
            <w:r w:rsidRPr="001B365F">
              <w:t xml:space="preserve">119,940 </w:t>
            </w:r>
          </w:p>
        </w:tc>
        <w:tc>
          <w:tcPr>
            <w:tcW w:w="1705" w:type="dxa"/>
            <w:tcBorders>
              <w:top w:val="single" w:sz="8" w:space="0" w:color="FFFFFF" w:themeColor="background1"/>
              <w:left w:val="nil"/>
              <w:bottom w:val="single" w:sz="4" w:space="0" w:color="FFFFFF" w:themeColor="background1"/>
              <w:right w:val="nil"/>
            </w:tcBorders>
            <w:shd w:val="clear" w:color="auto" w:fill="F8F8F8"/>
            <w:noWrap/>
          </w:tcPr>
          <w:p w14:paraId="05F609CC" w14:textId="77777777" w:rsidR="00AB6753" w:rsidRPr="004A20FC" w:rsidRDefault="00AB6753" w:rsidP="002D1EA4">
            <w:r w:rsidRPr="006E083C">
              <w:t xml:space="preserve"> 116,905 </w:t>
            </w:r>
          </w:p>
        </w:tc>
        <w:tc>
          <w:tcPr>
            <w:tcW w:w="1707" w:type="dxa"/>
            <w:tcBorders>
              <w:top w:val="single" w:sz="8" w:space="0" w:color="FFFFFF" w:themeColor="background1"/>
              <w:left w:val="nil"/>
              <w:bottom w:val="single" w:sz="4" w:space="0" w:color="FFFFFF" w:themeColor="background1"/>
              <w:right w:val="nil"/>
            </w:tcBorders>
            <w:shd w:val="clear" w:color="auto" w:fill="F8F8F8"/>
            <w:noWrap/>
          </w:tcPr>
          <w:p w14:paraId="4AE2826B" w14:textId="77777777" w:rsidR="00AB6753" w:rsidRPr="004A20FC" w:rsidRDefault="00AB6753" w:rsidP="002D1EA4">
            <w:r>
              <w:t>3,035</w:t>
            </w:r>
          </w:p>
        </w:tc>
      </w:tr>
      <w:tr w:rsidR="00AB6753" w:rsidRPr="004A20FC" w14:paraId="2CA4A00F" w14:textId="77777777" w:rsidTr="002D1EA4">
        <w:trPr>
          <w:trHeight w:val="180"/>
        </w:trPr>
        <w:tc>
          <w:tcPr>
            <w:tcW w:w="4067" w:type="dxa"/>
            <w:tcBorders>
              <w:top w:val="single" w:sz="4" w:space="0" w:color="FFFFFF" w:themeColor="background1"/>
              <w:left w:val="nil"/>
              <w:bottom w:val="single" w:sz="4" w:space="0" w:color="FFFFFF" w:themeColor="background1"/>
              <w:right w:val="nil"/>
            </w:tcBorders>
            <w:shd w:val="clear" w:color="auto" w:fill="EAEAEA"/>
            <w:noWrap/>
            <w:hideMark/>
          </w:tcPr>
          <w:p w14:paraId="41F30491" w14:textId="77777777" w:rsidR="00AB6753" w:rsidRPr="004A20FC" w:rsidRDefault="00AB6753" w:rsidP="002D1EA4">
            <w:r w:rsidRPr="004A20FC">
              <w:t>Expenses not requiring appropriation in the Budget year</w:t>
            </w:r>
          </w:p>
        </w:tc>
        <w:tc>
          <w:tcPr>
            <w:tcW w:w="1705" w:type="dxa"/>
            <w:tcBorders>
              <w:top w:val="single" w:sz="4" w:space="0" w:color="FFFFFF" w:themeColor="background1"/>
              <w:left w:val="nil"/>
              <w:bottom w:val="single" w:sz="4" w:space="0" w:color="FFFFFF" w:themeColor="background1"/>
              <w:right w:val="nil"/>
            </w:tcBorders>
            <w:shd w:val="clear" w:color="auto" w:fill="EAEAEA"/>
            <w:noWrap/>
          </w:tcPr>
          <w:p w14:paraId="2302FA6E" w14:textId="77777777" w:rsidR="00AB6753" w:rsidRPr="001B365F" w:rsidRDefault="00AB6753" w:rsidP="002D1EA4">
            <w:r w:rsidRPr="001B365F">
              <w:t>10,467</w:t>
            </w:r>
          </w:p>
        </w:tc>
        <w:tc>
          <w:tcPr>
            <w:tcW w:w="1705" w:type="dxa"/>
            <w:tcBorders>
              <w:top w:val="single" w:sz="4" w:space="0" w:color="FFFFFF" w:themeColor="background1"/>
              <w:left w:val="nil"/>
              <w:bottom w:val="single" w:sz="4" w:space="0" w:color="FFFFFF" w:themeColor="background1"/>
              <w:right w:val="nil"/>
            </w:tcBorders>
            <w:shd w:val="clear" w:color="auto" w:fill="EAEAEA"/>
            <w:noWrap/>
          </w:tcPr>
          <w:p w14:paraId="444E19F0" w14:textId="77777777" w:rsidR="00AB6753" w:rsidRPr="004A20FC" w:rsidRDefault="00AB6753" w:rsidP="002D1EA4">
            <w:r w:rsidRPr="006E083C">
              <w:t xml:space="preserve"> 19,039 </w:t>
            </w:r>
          </w:p>
        </w:tc>
        <w:tc>
          <w:tcPr>
            <w:tcW w:w="1707" w:type="dxa"/>
            <w:tcBorders>
              <w:top w:val="single" w:sz="4" w:space="0" w:color="FFFFFF" w:themeColor="background1"/>
              <w:left w:val="nil"/>
              <w:bottom w:val="single" w:sz="4" w:space="0" w:color="FFFFFF" w:themeColor="background1"/>
              <w:right w:val="nil"/>
            </w:tcBorders>
            <w:shd w:val="clear" w:color="auto" w:fill="EAEAEA"/>
            <w:noWrap/>
          </w:tcPr>
          <w:p w14:paraId="0345ED13" w14:textId="77777777" w:rsidR="00AB6753" w:rsidRPr="004A20FC" w:rsidRDefault="00AB6753" w:rsidP="002D1EA4">
            <w:r>
              <w:t>(8,572)</w:t>
            </w:r>
          </w:p>
        </w:tc>
      </w:tr>
      <w:tr w:rsidR="00AB6753" w:rsidRPr="004A20FC" w14:paraId="0451EBB4" w14:textId="77777777" w:rsidTr="002D1EA4">
        <w:trPr>
          <w:trHeight w:val="180"/>
        </w:trPr>
        <w:tc>
          <w:tcPr>
            <w:tcW w:w="4067" w:type="dxa"/>
            <w:tcBorders>
              <w:top w:val="single" w:sz="4" w:space="0" w:color="FFFFFF" w:themeColor="background1"/>
              <w:left w:val="nil"/>
              <w:bottom w:val="single" w:sz="4" w:space="0" w:color="FFFFFF" w:themeColor="background1"/>
              <w:right w:val="nil"/>
            </w:tcBorders>
            <w:shd w:val="clear" w:color="auto" w:fill="F8F8F8"/>
            <w:noWrap/>
            <w:hideMark/>
          </w:tcPr>
          <w:p w14:paraId="429D3518" w14:textId="77777777" w:rsidR="00AB6753" w:rsidRPr="00521F86" w:rsidRDefault="00AB6753" w:rsidP="002D1EA4">
            <w:pPr>
              <w:rPr>
                <w:b/>
              </w:rPr>
            </w:pPr>
            <w:r w:rsidRPr="00521F86">
              <w:rPr>
                <w:b/>
              </w:rPr>
              <w:t>Total for Program 3.3</w:t>
            </w:r>
          </w:p>
        </w:tc>
        <w:tc>
          <w:tcPr>
            <w:tcW w:w="1705" w:type="dxa"/>
            <w:tcBorders>
              <w:top w:val="single" w:sz="4" w:space="0" w:color="FFFFFF" w:themeColor="background1"/>
              <w:left w:val="nil"/>
              <w:bottom w:val="single" w:sz="4" w:space="0" w:color="FFFFFF" w:themeColor="background1"/>
              <w:right w:val="nil"/>
            </w:tcBorders>
            <w:shd w:val="clear" w:color="auto" w:fill="F8F8F8"/>
            <w:noWrap/>
          </w:tcPr>
          <w:p w14:paraId="240ABBCD" w14:textId="77777777" w:rsidR="00AB6753" w:rsidRPr="00521F86" w:rsidRDefault="00AB6753" w:rsidP="002D1EA4">
            <w:pPr>
              <w:rPr>
                <w:b/>
              </w:rPr>
            </w:pPr>
            <w:r w:rsidRPr="00521F86">
              <w:rPr>
                <w:b/>
              </w:rPr>
              <w:t>130,407</w:t>
            </w:r>
          </w:p>
        </w:tc>
        <w:tc>
          <w:tcPr>
            <w:tcW w:w="1705" w:type="dxa"/>
            <w:tcBorders>
              <w:top w:val="single" w:sz="4" w:space="0" w:color="FFFFFF" w:themeColor="background1"/>
              <w:left w:val="nil"/>
              <w:bottom w:val="single" w:sz="4" w:space="0" w:color="FFFFFF" w:themeColor="background1"/>
              <w:right w:val="nil"/>
            </w:tcBorders>
            <w:shd w:val="clear" w:color="auto" w:fill="F8F8F8"/>
            <w:noWrap/>
          </w:tcPr>
          <w:p w14:paraId="4AD37865" w14:textId="77777777" w:rsidR="00AB6753" w:rsidRPr="00521F86" w:rsidRDefault="00AB6753" w:rsidP="002D1EA4">
            <w:pPr>
              <w:rPr>
                <w:b/>
              </w:rPr>
            </w:pPr>
            <w:r w:rsidRPr="00521F86">
              <w:rPr>
                <w:b/>
              </w:rPr>
              <w:t xml:space="preserve"> 135,944 </w:t>
            </w:r>
          </w:p>
        </w:tc>
        <w:tc>
          <w:tcPr>
            <w:tcW w:w="1707" w:type="dxa"/>
            <w:tcBorders>
              <w:top w:val="single" w:sz="4" w:space="0" w:color="FFFFFF" w:themeColor="background1"/>
              <w:left w:val="nil"/>
              <w:bottom w:val="single" w:sz="4" w:space="0" w:color="FFFFFF" w:themeColor="background1"/>
              <w:right w:val="nil"/>
            </w:tcBorders>
            <w:shd w:val="clear" w:color="auto" w:fill="F8F8F8"/>
            <w:noWrap/>
          </w:tcPr>
          <w:p w14:paraId="2DBE9B20" w14:textId="77777777" w:rsidR="00AB6753" w:rsidRPr="00521F86" w:rsidRDefault="00AB6753" w:rsidP="002D1EA4">
            <w:pPr>
              <w:rPr>
                <w:b/>
              </w:rPr>
            </w:pPr>
            <w:r w:rsidRPr="00521F86">
              <w:rPr>
                <w:b/>
              </w:rPr>
              <w:t>(5,537)</w:t>
            </w:r>
          </w:p>
        </w:tc>
      </w:tr>
    </w:tbl>
    <w:p w14:paraId="55CBFA08" w14:textId="77777777" w:rsidR="00AB6753" w:rsidRDefault="00AB6753" w:rsidP="00AB6753">
      <w:r>
        <w:br w:type="page"/>
      </w:r>
    </w:p>
    <w:tbl>
      <w:tblPr>
        <w:tblW w:w="9184" w:type="dxa"/>
        <w:tblLayout w:type="fixed"/>
        <w:tblLook w:val="00A0" w:firstRow="1" w:lastRow="0" w:firstColumn="1" w:lastColumn="0" w:noHBand="0" w:noVBand="0"/>
        <w:tblCaption w:val="Table A–4 Expenses and resources for Outcome 3: Disability and Carers"/>
        <w:tblDescription w:val="Table A–4 Expenses and resources for Outcome 3: Disability and Carers"/>
      </w:tblPr>
      <w:tblGrid>
        <w:gridCol w:w="4067"/>
        <w:gridCol w:w="1705"/>
        <w:gridCol w:w="1705"/>
        <w:gridCol w:w="1707"/>
      </w:tblGrid>
      <w:tr w:rsidR="00AB6753" w:rsidRPr="00574F9A" w14:paraId="02F85234" w14:textId="77777777" w:rsidTr="002D1EA4">
        <w:trPr>
          <w:trHeight w:val="292"/>
        </w:trPr>
        <w:tc>
          <w:tcPr>
            <w:tcW w:w="9184" w:type="dxa"/>
            <w:gridSpan w:val="4"/>
            <w:tcBorders>
              <w:top w:val="single" w:sz="4" w:space="0" w:color="FFFFFF" w:themeColor="background1"/>
              <w:left w:val="nil"/>
              <w:bottom w:val="single" w:sz="4" w:space="0" w:color="auto"/>
              <w:right w:val="nil"/>
            </w:tcBorders>
            <w:shd w:val="clear" w:color="auto" w:fill="FFFFFF" w:themeFill="background1"/>
            <w:noWrap/>
            <w:hideMark/>
          </w:tcPr>
          <w:p w14:paraId="0D43F41A" w14:textId="77777777" w:rsidR="00AB6753" w:rsidRPr="00574F9A" w:rsidRDefault="00AB6753" w:rsidP="002D1EA4">
            <w:pPr>
              <w:rPr>
                <w:b/>
              </w:rPr>
            </w:pPr>
            <w:r w:rsidRPr="00574F9A">
              <w:rPr>
                <w:b/>
              </w:rPr>
              <w:lastRenderedPageBreak/>
              <w:t>Outcome 3 Totals by appropriation type</w:t>
            </w:r>
          </w:p>
        </w:tc>
      </w:tr>
      <w:tr w:rsidR="00AB6753" w:rsidRPr="004A20FC" w14:paraId="406B002A" w14:textId="77777777" w:rsidTr="002D1EA4">
        <w:trPr>
          <w:trHeight w:val="180"/>
        </w:trPr>
        <w:tc>
          <w:tcPr>
            <w:tcW w:w="4067" w:type="dxa"/>
            <w:tcBorders>
              <w:top w:val="single" w:sz="4" w:space="0" w:color="auto"/>
              <w:left w:val="nil"/>
              <w:bottom w:val="single" w:sz="4" w:space="0" w:color="FFFFFF" w:themeColor="background1"/>
              <w:right w:val="nil"/>
            </w:tcBorders>
            <w:shd w:val="clear" w:color="auto" w:fill="EAEAEA"/>
            <w:noWrap/>
            <w:hideMark/>
          </w:tcPr>
          <w:p w14:paraId="0B7656AE" w14:textId="77777777" w:rsidR="00AB6753" w:rsidRPr="004A20FC" w:rsidRDefault="00AB6753" w:rsidP="002D1EA4">
            <w:r w:rsidRPr="004A20FC">
              <w:t>Administered expenses</w:t>
            </w:r>
          </w:p>
        </w:tc>
        <w:tc>
          <w:tcPr>
            <w:tcW w:w="1705" w:type="dxa"/>
            <w:tcBorders>
              <w:top w:val="single" w:sz="4" w:space="0" w:color="auto"/>
              <w:left w:val="nil"/>
              <w:bottom w:val="single" w:sz="4" w:space="0" w:color="FFFFFF" w:themeColor="background1"/>
              <w:right w:val="nil"/>
            </w:tcBorders>
            <w:shd w:val="clear" w:color="auto" w:fill="EAEAEA"/>
          </w:tcPr>
          <w:p w14:paraId="55E8171F" w14:textId="77777777" w:rsidR="00AB6753" w:rsidRPr="004A53B9" w:rsidRDefault="00AB6753" w:rsidP="002D1EA4">
            <w:pPr>
              <w:rPr>
                <w:highlight w:val="green"/>
              </w:rPr>
            </w:pPr>
          </w:p>
        </w:tc>
        <w:tc>
          <w:tcPr>
            <w:tcW w:w="1705" w:type="dxa"/>
            <w:tcBorders>
              <w:top w:val="single" w:sz="4" w:space="0" w:color="auto"/>
              <w:left w:val="nil"/>
              <w:bottom w:val="single" w:sz="4" w:space="0" w:color="FFFFFF" w:themeColor="background1"/>
              <w:right w:val="nil"/>
            </w:tcBorders>
            <w:shd w:val="clear" w:color="auto" w:fill="EAEAEA"/>
          </w:tcPr>
          <w:p w14:paraId="43CBDCCA" w14:textId="77777777" w:rsidR="00AB6753" w:rsidRPr="004A20FC" w:rsidRDefault="00AB6753" w:rsidP="002D1EA4"/>
        </w:tc>
        <w:tc>
          <w:tcPr>
            <w:tcW w:w="1707" w:type="dxa"/>
            <w:tcBorders>
              <w:top w:val="single" w:sz="4" w:space="0" w:color="auto"/>
              <w:left w:val="nil"/>
              <w:bottom w:val="single" w:sz="4" w:space="0" w:color="FFFFFF" w:themeColor="background1"/>
              <w:right w:val="nil"/>
            </w:tcBorders>
            <w:shd w:val="clear" w:color="auto" w:fill="EAEAEA"/>
          </w:tcPr>
          <w:p w14:paraId="7EE20872" w14:textId="77777777" w:rsidR="00AB6753" w:rsidRPr="004A20FC" w:rsidRDefault="00AB6753" w:rsidP="002D1EA4"/>
        </w:tc>
      </w:tr>
      <w:tr w:rsidR="00AB6753" w:rsidRPr="004A20FC" w14:paraId="3099B4A7" w14:textId="77777777" w:rsidTr="002D1EA4">
        <w:trPr>
          <w:trHeight w:val="180"/>
        </w:trPr>
        <w:tc>
          <w:tcPr>
            <w:tcW w:w="4067" w:type="dxa"/>
            <w:tcBorders>
              <w:top w:val="single" w:sz="4" w:space="0" w:color="FFFFFF" w:themeColor="background1"/>
              <w:left w:val="nil"/>
              <w:bottom w:val="single" w:sz="4" w:space="0" w:color="FFFFFF" w:themeColor="background1"/>
              <w:right w:val="nil"/>
            </w:tcBorders>
            <w:shd w:val="clear" w:color="auto" w:fill="F8F8F8"/>
            <w:noWrap/>
            <w:hideMark/>
          </w:tcPr>
          <w:p w14:paraId="63F223BF" w14:textId="77777777" w:rsidR="00AB6753" w:rsidRPr="004A20FC" w:rsidRDefault="00AB6753" w:rsidP="002D1EA4">
            <w:r w:rsidRPr="004A20FC">
              <w:t>Ordinary Annual Services</w:t>
            </w:r>
          </w:p>
          <w:p w14:paraId="5B524415" w14:textId="77777777" w:rsidR="00AB6753" w:rsidRPr="004A20FC" w:rsidRDefault="00AB6753" w:rsidP="002D1EA4">
            <w:r w:rsidRPr="004A20FC">
              <w:t>(Appropriation Act No. 1 and No. 3)</w:t>
            </w:r>
          </w:p>
        </w:tc>
        <w:tc>
          <w:tcPr>
            <w:tcW w:w="1705" w:type="dxa"/>
            <w:tcBorders>
              <w:top w:val="single" w:sz="4" w:space="0" w:color="FFFFFF" w:themeColor="background1"/>
              <w:left w:val="nil"/>
              <w:bottom w:val="single" w:sz="4" w:space="0" w:color="FFFFFF" w:themeColor="background1"/>
              <w:right w:val="nil"/>
            </w:tcBorders>
            <w:shd w:val="clear" w:color="auto" w:fill="F8F8F8"/>
            <w:noWrap/>
          </w:tcPr>
          <w:p w14:paraId="7E0AB078" w14:textId="77777777" w:rsidR="00AB6753" w:rsidRPr="001B365F" w:rsidRDefault="00AB6753" w:rsidP="002D1EA4">
            <w:r w:rsidRPr="001B365F">
              <w:t>8,580,557</w:t>
            </w:r>
          </w:p>
        </w:tc>
        <w:tc>
          <w:tcPr>
            <w:tcW w:w="1705" w:type="dxa"/>
            <w:tcBorders>
              <w:top w:val="single" w:sz="4" w:space="0" w:color="FFFFFF" w:themeColor="background1"/>
              <w:left w:val="nil"/>
              <w:bottom w:val="single" w:sz="4" w:space="0" w:color="FFFFFF" w:themeColor="background1"/>
              <w:right w:val="nil"/>
            </w:tcBorders>
            <w:shd w:val="clear" w:color="auto" w:fill="F8F8F8"/>
            <w:noWrap/>
          </w:tcPr>
          <w:p w14:paraId="7B20D96F" w14:textId="77777777" w:rsidR="00AB6753" w:rsidRPr="001B365F" w:rsidRDefault="00AB6753" w:rsidP="002D1EA4">
            <w:r w:rsidRPr="001B365F">
              <w:t>8,601,752</w:t>
            </w:r>
          </w:p>
        </w:tc>
        <w:tc>
          <w:tcPr>
            <w:tcW w:w="1707" w:type="dxa"/>
            <w:tcBorders>
              <w:top w:val="single" w:sz="4" w:space="0" w:color="FFFFFF" w:themeColor="background1"/>
              <w:left w:val="nil"/>
              <w:bottom w:val="single" w:sz="4" w:space="0" w:color="FFFFFF" w:themeColor="background1"/>
              <w:right w:val="nil"/>
            </w:tcBorders>
            <w:shd w:val="clear" w:color="auto" w:fill="F8F8F8"/>
            <w:noWrap/>
          </w:tcPr>
          <w:p w14:paraId="3642829E" w14:textId="77777777" w:rsidR="00AB6753" w:rsidRPr="001B365F" w:rsidRDefault="00AB6753" w:rsidP="002D1EA4">
            <w:r>
              <w:t>(21,195)</w:t>
            </w:r>
          </w:p>
        </w:tc>
      </w:tr>
      <w:tr w:rsidR="00AB6753" w:rsidRPr="004A20FC" w14:paraId="16F6C9A9" w14:textId="77777777" w:rsidTr="002D1EA4">
        <w:trPr>
          <w:trHeight w:val="180"/>
        </w:trPr>
        <w:tc>
          <w:tcPr>
            <w:tcW w:w="4067" w:type="dxa"/>
            <w:tcBorders>
              <w:top w:val="single" w:sz="4" w:space="0" w:color="FFFFFF" w:themeColor="background1"/>
              <w:left w:val="nil"/>
              <w:bottom w:val="single" w:sz="4" w:space="0" w:color="FFFFFF" w:themeColor="background1"/>
              <w:right w:val="nil"/>
            </w:tcBorders>
            <w:shd w:val="clear" w:color="auto" w:fill="F8F8F8"/>
            <w:noWrap/>
            <w:hideMark/>
          </w:tcPr>
          <w:p w14:paraId="13B42890" w14:textId="77777777" w:rsidR="00AB6753" w:rsidRPr="004A20FC" w:rsidRDefault="00AB6753" w:rsidP="002D1EA4">
            <w:r w:rsidRPr="004A20FC">
              <w:t>Payments to corporate entities</w:t>
            </w:r>
          </w:p>
        </w:tc>
        <w:tc>
          <w:tcPr>
            <w:tcW w:w="1705" w:type="dxa"/>
            <w:tcBorders>
              <w:top w:val="single" w:sz="4" w:space="0" w:color="FFFFFF" w:themeColor="background1"/>
              <w:left w:val="nil"/>
              <w:bottom w:val="single" w:sz="4" w:space="0" w:color="FFFFFF" w:themeColor="background1"/>
              <w:right w:val="nil"/>
            </w:tcBorders>
            <w:shd w:val="clear" w:color="auto" w:fill="F8F8F8"/>
            <w:noWrap/>
          </w:tcPr>
          <w:p w14:paraId="0184D124" w14:textId="77777777" w:rsidR="00AB6753" w:rsidRPr="001B365F" w:rsidRDefault="00AB6753" w:rsidP="002D1EA4">
            <w:r w:rsidRPr="001B365F">
              <w:t>1,403,557</w:t>
            </w:r>
          </w:p>
        </w:tc>
        <w:tc>
          <w:tcPr>
            <w:tcW w:w="1705" w:type="dxa"/>
            <w:tcBorders>
              <w:top w:val="single" w:sz="4" w:space="0" w:color="FFFFFF" w:themeColor="background1"/>
              <w:left w:val="nil"/>
              <w:bottom w:val="single" w:sz="4" w:space="0" w:color="FFFFFF" w:themeColor="background1"/>
              <w:right w:val="nil"/>
            </w:tcBorders>
            <w:shd w:val="clear" w:color="auto" w:fill="F8F8F8"/>
            <w:noWrap/>
          </w:tcPr>
          <w:p w14:paraId="5F5807BA" w14:textId="77777777" w:rsidR="00AB6753" w:rsidRPr="001B365F" w:rsidRDefault="00AB6753" w:rsidP="002D1EA4">
            <w:r w:rsidRPr="001B365F">
              <w:t>1,413,257</w:t>
            </w:r>
          </w:p>
        </w:tc>
        <w:tc>
          <w:tcPr>
            <w:tcW w:w="1707" w:type="dxa"/>
            <w:tcBorders>
              <w:top w:val="single" w:sz="4" w:space="0" w:color="FFFFFF" w:themeColor="background1"/>
              <w:left w:val="nil"/>
              <w:bottom w:val="single" w:sz="4" w:space="0" w:color="FFFFFF" w:themeColor="background1"/>
              <w:right w:val="nil"/>
            </w:tcBorders>
            <w:shd w:val="clear" w:color="auto" w:fill="F8F8F8"/>
            <w:noWrap/>
          </w:tcPr>
          <w:p w14:paraId="4F2D4682" w14:textId="77777777" w:rsidR="00AB6753" w:rsidRPr="001B365F" w:rsidRDefault="00AB6753" w:rsidP="002D1EA4">
            <w:r>
              <w:t>(9,700)</w:t>
            </w:r>
          </w:p>
        </w:tc>
      </w:tr>
      <w:tr w:rsidR="00AB6753" w:rsidRPr="004A20FC" w14:paraId="20C40783" w14:textId="77777777" w:rsidTr="002D1EA4">
        <w:trPr>
          <w:trHeight w:val="180"/>
        </w:trPr>
        <w:tc>
          <w:tcPr>
            <w:tcW w:w="4067" w:type="dxa"/>
            <w:tcBorders>
              <w:top w:val="single" w:sz="4" w:space="0" w:color="FFFFFF" w:themeColor="background1"/>
              <w:left w:val="nil"/>
              <w:bottom w:val="single" w:sz="4" w:space="0" w:color="FFFFFF" w:themeColor="background1"/>
              <w:right w:val="nil"/>
            </w:tcBorders>
            <w:shd w:val="clear" w:color="auto" w:fill="EAEAEA"/>
            <w:noWrap/>
            <w:hideMark/>
          </w:tcPr>
          <w:p w14:paraId="14A32978" w14:textId="77777777" w:rsidR="00AB6753" w:rsidRPr="004A20FC" w:rsidRDefault="00AB6753" w:rsidP="002D1EA4">
            <w:r w:rsidRPr="004A20FC">
              <w:t>Special Appropriations</w:t>
            </w:r>
          </w:p>
        </w:tc>
        <w:tc>
          <w:tcPr>
            <w:tcW w:w="1705" w:type="dxa"/>
            <w:tcBorders>
              <w:top w:val="single" w:sz="4" w:space="0" w:color="FFFFFF" w:themeColor="background1"/>
              <w:left w:val="nil"/>
              <w:bottom w:val="single" w:sz="4" w:space="0" w:color="FFFFFF" w:themeColor="background1"/>
              <w:right w:val="nil"/>
            </w:tcBorders>
            <w:shd w:val="clear" w:color="auto" w:fill="EAEAEA"/>
            <w:noWrap/>
          </w:tcPr>
          <w:p w14:paraId="527AA899" w14:textId="77777777" w:rsidR="00AB6753" w:rsidRPr="001B365F" w:rsidRDefault="00AB6753" w:rsidP="002D1EA4">
            <w:r w:rsidRPr="001B365F">
              <w:t>-</w:t>
            </w:r>
          </w:p>
        </w:tc>
        <w:tc>
          <w:tcPr>
            <w:tcW w:w="1705" w:type="dxa"/>
            <w:tcBorders>
              <w:top w:val="single" w:sz="4" w:space="0" w:color="FFFFFF" w:themeColor="background1"/>
              <w:left w:val="nil"/>
              <w:bottom w:val="single" w:sz="4" w:space="0" w:color="FFFFFF" w:themeColor="background1"/>
              <w:right w:val="nil"/>
            </w:tcBorders>
            <w:shd w:val="clear" w:color="auto" w:fill="EAEAEA"/>
            <w:noWrap/>
          </w:tcPr>
          <w:p w14:paraId="46A2E4C7" w14:textId="77777777" w:rsidR="00AB6753" w:rsidRPr="001B365F" w:rsidRDefault="00AB6753" w:rsidP="002D1EA4">
            <w:r w:rsidRPr="001B365F">
              <w:t>-</w:t>
            </w:r>
          </w:p>
        </w:tc>
        <w:tc>
          <w:tcPr>
            <w:tcW w:w="1707" w:type="dxa"/>
            <w:tcBorders>
              <w:top w:val="single" w:sz="4" w:space="0" w:color="FFFFFF" w:themeColor="background1"/>
              <w:left w:val="nil"/>
              <w:bottom w:val="single" w:sz="4" w:space="0" w:color="FFFFFF" w:themeColor="background1"/>
              <w:right w:val="nil"/>
            </w:tcBorders>
            <w:shd w:val="clear" w:color="auto" w:fill="EAEAEA"/>
            <w:noWrap/>
          </w:tcPr>
          <w:p w14:paraId="722F6F0C" w14:textId="77777777" w:rsidR="00AB6753" w:rsidRPr="001B365F" w:rsidRDefault="00AB6753" w:rsidP="002D1EA4">
            <w:r w:rsidRPr="001B365F">
              <w:t>-</w:t>
            </w:r>
          </w:p>
        </w:tc>
      </w:tr>
      <w:tr w:rsidR="00AB6753" w:rsidRPr="004A20FC" w14:paraId="030596F6" w14:textId="77777777" w:rsidTr="002D1EA4">
        <w:trPr>
          <w:trHeight w:val="180"/>
        </w:trPr>
        <w:tc>
          <w:tcPr>
            <w:tcW w:w="4067" w:type="dxa"/>
            <w:tcBorders>
              <w:top w:val="single" w:sz="4" w:space="0" w:color="FFFFFF" w:themeColor="background1"/>
              <w:left w:val="nil"/>
              <w:bottom w:val="single" w:sz="4" w:space="0" w:color="FFFFFF" w:themeColor="background1"/>
              <w:right w:val="nil"/>
            </w:tcBorders>
            <w:shd w:val="clear" w:color="auto" w:fill="F8F8F8"/>
            <w:noWrap/>
            <w:hideMark/>
          </w:tcPr>
          <w:p w14:paraId="1B60F2A6" w14:textId="77777777" w:rsidR="00AB6753" w:rsidRPr="004A20FC" w:rsidRDefault="00AB6753" w:rsidP="002D1EA4">
            <w:r w:rsidRPr="004A20FC">
              <w:t>Special Accounts</w:t>
            </w:r>
          </w:p>
        </w:tc>
        <w:tc>
          <w:tcPr>
            <w:tcW w:w="1705" w:type="dxa"/>
            <w:tcBorders>
              <w:top w:val="single" w:sz="4" w:space="0" w:color="FFFFFF" w:themeColor="background1"/>
              <w:left w:val="nil"/>
              <w:bottom w:val="single" w:sz="4" w:space="0" w:color="FFFFFF" w:themeColor="background1"/>
              <w:right w:val="nil"/>
            </w:tcBorders>
            <w:shd w:val="clear" w:color="auto" w:fill="F8F8F8"/>
            <w:noWrap/>
          </w:tcPr>
          <w:p w14:paraId="71499DC6" w14:textId="77777777" w:rsidR="00AB6753" w:rsidRPr="001B365F" w:rsidRDefault="00AB6753" w:rsidP="002D1EA4">
            <w:r w:rsidRPr="001B365F">
              <w:t>1,559</w:t>
            </w:r>
          </w:p>
        </w:tc>
        <w:tc>
          <w:tcPr>
            <w:tcW w:w="1705" w:type="dxa"/>
            <w:tcBorders>
              <w:top w:val="single" w:sz="4" w:space="0" w:color="FFFFFF" w:themeColor="background1"/>
              <w:left w:val="nil"/>
              <w:bottom w:val="single" w:sz="4" w:space="0" w:color="FFFFFF" w:themeColor="background1"/>
              <w:right w:val="nil"/>
            </w:tcBorders>
            <w:shd w:val="clear" w:color="auto" w:fill="F8F8F8"/>
            <w:noWrap/>
          </w:tcPr>
          <w:p w14:paraId="30369C1B" w14:textId="77777777" w:rsidR="00AB6753" w:rsidRPr="004A20FC" w:rsidRDefault="00AB6753" w:rsidP="002D1EA4">
            <w:r>
              <w:t>713</w:t>
            </w:r>
          </w:p>
        </w:tc>
        <w:tc>
          <w:tcPr>
            <w:tcW w:w="1707" w:type="dxa"/>
            <w:tcBorders>
              <w:top w:val="single" w:sz="4" w:space="0" w:color="FFFFFF" w:themeColor="background1"/>
              <w:left w:val="nil"/>
              <w:bottom w:val="single" w:sz="4" w:space="0" w:color="FFFFFF" w:themeColor="background1"/>
              <w:right w:val="nil"/>
            </w:tcBorders>
            <w:shd w:val="clear" w:color="auto" w:fill="F8F8F8"/>
            <w:noWrap/>
          </w:tcPr>
          <w:p w14:paraId="3A0F964B" w14:textId="77777777" w:rsidR="00AB6753" w:rsidRPr="004A20FC" w:rsidRDefault="00AB6753" w:rsidP="002D1EA4">
            <w:r>
              <w:t>846</w:t>
            </w:r>
          </w:p>
        </w:tc>
      </w:tr>
      <w:tr w:rsidR="00AB6753" w:rsidRPr="004A20FC" w14:paraId="709AC65A" w14:textId="77777777" w:rsidTr="002D1EA4">
        <w:trPr>
          <w:trHeight w:val="180"/>
        </w:trPr>
        <w:tc>
          <w:tcPr>
            <w:tcW w:w="4067" w:type="dxa"/>
            <w:tcBorders>
              <w:top w:val="single" w:sz="4" w:space="0" w:color="FFFFFF" w:themeColor="background1"/>
              <w:left w:val="nil"/>
              <w:bottom w:val="single" w:sz="4" w:space="0" w:color="FFFFFF" w:themeColor="background1"/>
              <w:right w:val="nil"/>
            </w:tcBorders>
            <w:shd w:val="clear" w:color="auto" w:fill="F8F8F8"/>
            <w:noWrap/>
            <w:hideMark/>
          </w:tcPr>
          <w:p w14:paraId="087D1B6F" w14:textId="77777777" w:rsidR="00AB6753" w:rsidRPr="004A20FC" w:rsidRDefault="00AB6753" w:rsidP="002D1EA4">
            <w:r w:rsidRPr="004A20FC">
              <w:t>Departmental expenses</w:t>
            </w:r>
          </w:p>
        </w:tc>
        <w:tc>
          <w:tcPr>
            <w:tcW w:w="1705" w:type="dxa"/>
            <w:tcBorders>
              <w:top w:val="single" w:sz="4" w:space="0" w:color="FFFFFF" w:themeColor="background1"/>
              <w:left w:val="nil"/>
              <w:bottom w:val="single" w:sz="4" w:space="0" w:color="FFFFFF" w:themeColor="background1"/>
              <w:right w:val="nil"/>
            </w:tcBorders>
            <w:shd w:val="clear" w:color="auto" w:fill="F8F8F8"/>
          </w:tcPr>
          <w:p w14:paraId="4292306B" w14:textId="77777777" w:rsidR="00AB6753" w:rsidRPr="004A20FC" w:rsidRDefault="00AB6753" w:rsidP="002D1EA4"/>
        </w:tc>
        <w:tc>
          <w:tcPr>
            <w:tcW w:w="1705" w:type="dxa"/>
            <w:tcBorders>
              <w:top w:val="single" w:sz="4" w:space="0" w:color="FFFFFF" w:themeColor="background1"/>
              <w:left w:val="nil"/>
              <w:bottom w:val="single" w:sz="4" w:space="0" w:color="FFFFFF" w:themeColor="background1"/>
              <w:right w:val="nil"/>
            </w:tcBorders>
            <w:shd w:val="clear" w:color="auto" w:fill="F8F8F8"/>
          </w:tcPr>
          <w:p w14:paraId="7D584117" w14:textId="77777777" w:rsidR="00AB6753" w:rsidRPr="004A20FC" w:rsidRDefault="00AB6753" w:rsidP="002D1EA4"/>
        </w:tc>
        <w:tc>
          <w:tcPr>
            <w:tcW w:w="1707" w:type="dxa"/>
            <w:tcBorders>
              <w:top w:val="single" w:sz="4" w:space="0" w:color="FFFFFF" w:themeColor="background1"/>
              <w:left w:val="nil"/>
              <w:bottom w:val="single" w:sz="4" w:space="0" w:color="FFFFFF" w:themeColor="background1"/>
              <w:right w:val="nil"/>
            </w:tcBorders>
            <w:shd w:val="clear" w:color="auto" w:fill="F8F8F8"/>
          </w:tcPr>
          <w:p w14:paraId="3DC6042B" w14:textId="77777777" w:rsidR="00AB6753" w:rsidRPr="004A20FC" w:rsidRDefault="00AB6753" w:rsidP="002D1EA4"/>
        </w:tc>
      </w:tr>
      <w:tr w:rsidR="00AB6753" w:rsidRPr="004A20FC" w14:paraId="530CF316" w14:textId="77777777" w:rsidTr="002D1EA4">
        <w:trPr>
          <w:trHeight w:val="180"/>
        </w:trPr>
        <w:tc>
          <w:tcPr>
            <w:tcW w:w="4067" w:type="dxa"/>
            <w:tcBorders>
              <w:top w:val="single" w:sz="4" w:space="0" w:color="FFFFFF" w:themeColor="background1"/>
              <w:left w:val="nil"/>
              <w:bottom w:val="single" w:sz="4" w:space="0" w:color="FFFFFF" w:themeColor="background1"/>
              <w:right w:val="nil"/>
            </w:tcBorders>
            <w:shd w:val="clear" w:color="auto" w:fill="EAEAEA"/>
            <w:noWrap/>
            <w:hideMark/>
          </w:tcPr>
          <w:p w14:paraId="7CB857A3" w14:textId="77777777" w:rsidR="00AB6753" w:rsidRPr="004A20FC" w:rsidRDefault="00AB6753" w:rsidP="002D1EA4">
            <w:r w:rsidRPr="004A20FC">
              <w:t xml:space="preserve">Departmental </w:t>
            </w:r>
            <w:proofErr w:type="spellStart"/>
            <w:r w:rsidRPr="004A20FC">
              <w:t>appropriation</w:t>
            </w:r>
            <w:r w:rsidRPr="00574F9A">
              <w:rPr>
                <w:vertAlign w:val="superscript"/>
              </w:rPr>
              <w:t>b</w:t>
            </w:r>
            <w:proofErr w:type="spellEnd"/>
          </w:p>
        </w:tc>
        <w:tc>
          <w:tcPr>
            <w:tcW w:w="1705" w:type="dxa"/>
            <w:tcBorders>
              <w:top w:val="single" w:sz="4" w:space="0" w:color="FFFFFF" w:themeColor="background1"/>
              <w:left w:val="nil"/>
              <w:bottom w:val="single" w:sz="4" w:space="0" w:color="FFFFFF" w:themeColor="background1"/>
              <w:right w:val="nil"/>
            </w:tcBorders>
            <w:shd w:val="clear" w:color="auto" w:fill="EAEAEA"/>
            <w:noWrap/>
          </w:tcPr>
          <w:p w14:paraId="47070C9D" w14:textId="77777777" w:rsidR="00AB6753" w:rsidRPr="001B365F" w:rsidRDefault="00AB6753" w:rsidP="002D1EA4">
            <w:r w:rsidRPr="001B365F">
              <w:t xml:space="preserve">119,940 </w:t>
            </w:r>
          </w:p>
        </w:tc>
        <w:tc>
          <w:tcPr>
            <w:tcW w:w="1705" w:type="dxa"/>
            <w:tcBorders>
              <w:top w:val="single" w:sz="4" w:space="0" w:color="FFFFFF" w:themeColor="background1"/>
              <w:left w:val="nil"/>
              <w:bottom w:val="single" w:sz="4" w:space="0" w:color="FFFFFF" w:themeColor="background1"/>
              <w:right w:val="nil"/>
            </w:tcBorders>
            <w:shd w:val="clear" w:color="auto" w:fill="EAEAEA"/>
          </w:tcPr>
          <w:p w14:paraId="747BBB5F" w14:textId="77777777" w:rsidR="00AB6753" w:rsidRPr="004A20FC" w:rsidRDefault="00AB6753" w:rsidP="002D1EA4">
            <w:r w:rsidRPr="006E083C">
              <w:t xml:space="preserve"> 116,905 </w:t>
            </w:r>
          </w:p>
        </w:tc>
        <w:tc>
          <w:tcPr>
            <w:tcW w:w="1707" w:type="dxa"/>
            <w:tcBorders>
              <w:top w:val="single" w:sz="4" w:space="0" w:color="FFFFFF" w:themeColor="background1"/>
              <w:left w:val="nil"/>
              <w:bottom w:val="single" w:sz="4" w:space="0" w:color="FFFFFF" w:themeColor="background1"/>
              <w:right w:val="nil"/>
            </w:tcBorders>
            <w:shd w:val="clear" w:color="auto" w:fill="EAEAEA"/>
            <w:noWrap/>
          </w:tcPr>
          <w:p w14:paraId="49D031A2" w14:textId="77777777" w:rsidR="00AB6753" w:rsidRPr="004A20FC" w:rsidRDefault="00AB6753" w:rsidP="002D1EA4">
            <w:r>
              <w:t>3,035</w:t>
            </w:r>
          </w:p>
        </w:tc>
      </w:tr>
      <w:tr w:rsidR="00AB6753" w:rsidRPr="004A20FC" w14:paraId="1AF2CF22" w14:textId="77777777" w:rsidTr="002D1EA4">
        <w:trPr>
          <w:trHeight w:val="180"/>
        </w:trPr>
        <w:tc>
          <w:tcPr>
            <w:tcW w:w="4067" w:type="dxa"/>
            <w:tcBorders>
              <w:top w:val="single" w:sz="4" w:space="0" w:color="FFFFFF" w:themeColor="background1"/>
              <w:left w:val="nil"/>
              <w:bottom w:val="single" w:sz="4" w:space="0" w:color="FFFFFF" w:themeColor="background1"/>
              <w:right w:val="nil"/>
            </w:tcBorders>
            <w:shd w:val="clear" w:color="auto" w:fill="F8F8F8"/>
            <w:noWrap/>
            <w:hideMark/>
          </w:tcPr>
          <w:p w14:paraId="32D667AA" w14:textId="77777777" w:rsidR="00AB6753" w:rsidRPr="004A20FC" w:rsidRDefault="00AB6753" w:rsidP="002D1EA4">
            <w:r w:rsidRPr="004A20FC">
              <w:t>Expenses not requiring appropriation in the Budget year</w:t>
            </w:r>
          </w:p>
        </w:tc>
        <w:tc>
          <w:tcPr>
            <w:tcW w:w="1705" w:type="dxa"/>
            <w:tcBorders>
              <w:top w:val="single" w:sz="4" w:space="0" w:color="FFFFFF" w:themeColor="background1"/>
              <w:left w:val="nil"/>
              <w:bottom w:val="single" w:sz="4" w:space="0" w:color="FFFFFF" w:themeColor="background1"/>
              <w:right w:val="nil"/>
            </w:tcBorders>
            <w:shd w:val="clear" w:color="auto" w:fill="F8F8F8"/>
            <w:noWrap/>
          </w:tcPr>
          <w:p w14:paraId="6653A1F9" w14:textId="77777777" w:rsidR="00AB6753" w:rsidRPr="001B365F" w:rsidRDefault="00AB6753" w:rsidP="002D1EA4">
            <w:r w:rsidRPr="001B365F">
              <w:t>10,467</w:t>
            </w:r>
          </w:p>
        </w:tc>
        <w:tc>
          <w:tcPr>
            <w:tcW w:w="1705" w:type="dxa"/>
            <w:tcBorders>
              <w:top w:val="single" w:sz="4" w:space="0" w:color="FFFFFF" w:themeColor="background1"/>
              <w:left w:val="nil"/>
              <w:bottom w:val="single" w:sz="4" w:space="0" w:color="FFFFFF" w:themeColor="background1"/>
              <w:right w:val="nil"/>
            </w:tcBorders>
            <w:shd w:val="clear" w:color="auto" w:fill="F8F8F8"/>
          </w:tcPr>
          <w:p w14:paraId="3179B6A8" w14:textId="77777777" w:rsidR="00AB6753" w:rsidRPr="004A20FC" w:rsidRDefault="00AB6753" w:rsidP="002D1EA4">
            <w:r w:rsidRPr="006E083C">
              <w:t xml:space="preserve"> 19,039 </w:t>
            </w:r>
          </w:p>
        </w:tc>
        <w:tc>
          <w:tcPr>
            <w:tcW w:w="1707" w:type="dxa"/>
            <w:tcBorders>
              <w:top w:val="single" w:sz="4" w:space="0" w:color="FFFFFF" w:themeColor="background1"/>
              <w:left w:val="nil"/>
              <w:bottom w:val="single" w:sz="4" w:space="0" w:color="FFFFFF" w:themeColor="background1"/>
              <w:right w:val="nil"/>
            </w:tcBorders>
            <w:shd w:val="clear" w:color="auto" w:fill="F8F8F8"/>
            <w:noWrap/>
          </w:tcPr>
          <w:p w14:paraId="256125C5" w14:textId="77777777" w:rsidR="00AB6753" w:rsidRPr="004A20FC" w:rsidRDefault="00AB6753" w:rsidP="002D1EA4">
            <w:r>
              <w:t>(8,572)</w:t>
            </w:r>
          </w:p>
        </w:tc>
      </w:tr>
      <w:tr w:rsidR="00AB6753" w:rsidRPr="004A20FC" w14:paraId="611BB3D2" w14:textId="77777777" w:rsidTr="002D1EA4">
        <w:trPr>
          <w:trHeight w:val="180"/>
        </w:trPr>
        <w:tc>
          <w:tcPr>
            <w:tcW w:w="4067" w:type="dxa"/>
            <w:tcBorders>
              <w:top w:val="single" w:sz="4" w:space="0" w:color="FFFFFF" w:themeColor="background1"/>
              <w:left w:val="nil"/>
              <w:bottom w:val="single" w:sz="4" w:space="0" w:color="FFFFFF" w:themeColor="background1"/>
              <w:right w:val="nil"/>
            </w:tcBorders>
            <w:shd w:val="clear" w:color="auto" w:fill="EAEAEA"/>
            <w:noWrap/>
            <w:hideMark/>
          </w:tcPr>
          <w:p w14:paraId="700119A6" w14:textId="77777777" w:rsidR="00AB6753" w:rsidRPr="00521F86" w:rsidRDefault="00AB6753" w:rsidP="002D1EA4">
            <w:pPr>
              <w:rPr>
                <w:b/>
              </w:rPr>
            </w:pPr>
            <w:r w:rsidRPr="00521F86">
              <w:rPr>
                <w:b/>
              </w:rPr>
              <w:t>Total expenses for Outcome 3</w:t>
            </w:r>
          </w:p>
        </w:tc>
        <w:tc>
          <w:tcPr>
            <w:tcW w:w="1705" w:type="dxa"/>
            <w:tcBorders>
              <w:top w:val="single" w:sz="4" w:space="0" w:color="FFFFFF" w:themeColor="background1"/>
              <w:left w:val="nil"/>
              <w:bottom w:val="single" w:sz="4" w:space="0" w:color="FFFFFF" w:themeColor="background1"/>
              <w:right w:val="nil"/>
            </w:tcBorders>
            <w:shd w:val="clear" w:color="auto" w:fill="EAEAEA"/>
            <w:noWrap/>
          </w:tcPr>
          <w:p w14:paraId="7541EE63" w14:textId="77777777" w:rsidR="00AB6753" w:rsidRPr="00521F86" w:rsidRDefault="00AB6753" w:rsidP="002D1EA4">
            <w:pPr>
              <w:rPr>
                <w:b/>
              </w:rPr>
            </w:pPr>
            <w:r w:rsidRPr="00521F86">
              <w:rPr>
                <w:b/>
              </w:rPr>
              <w:t>10,116,080</w:t>
            </w:r>
          </w:p>
        </w:tc>
        <w:tc>
          <w:tcPr>
            <w:tcW w:w="1705" w:type="dxa"/>
            <w:tcBorders>
              <w:top w:val="single" w:sz="4" w:space="0" w:color="FFFFFF" w:themeColor="background1"/>
              <w:left w:val="nil"/>
              <w:bottom w:val="single" w:sz="4" w:space="0" w:color="FFFFFF" w:themeColor="background1"/>
              <w:right w:val="nil"/>
            </w:tcBorders>
            <w:shd w:val="clear" w:color="auto" w:fill="EAEAEA"/>
            <w:noWrap/>
          </w:tcPr>
          <w:p w14:paraId="7D633A2E" w14:textId="77777777" w:rsidR="00AB6753" w:rsidRPr="00521F86" w:rsidRDefault="00AB6753" w:rsidP="002D1EA4">
            <w:pPr>
              <w:rPr>
                <w:b/>
              </w:rPr>
            </w:pPr>
            <w:r w:rsidRPr="00521F86">
              <w:rPr>
                <w:b/>
              </w:rPr>
              <w:t>10,151,666</w:t>
            </w:r>
          </w:p>
        </w:tc>
        <w:tc>
          <w:tcPr>
            <w:tcW w:w="1707" w:type="dxa"/>
            <w:tcBorders>
              <w:top w:val="single" w:sz="4" w:space="0" w:color="FFFFFF" w:themeColor="background1"/>
              <w:left w:val="nil"/>
              <w:bottom w:val="single" w:sz="4" w:space="0" w:color="FFFFFF" w:themeColor="background1"/>
              <w:right w:val="nil"/>
            </w:tcBorders>
            <w:shd w:val="clear" w:color="auto" w:fill="EAEAEA"/>
            <w:noWrap/>
          </w:tcPr>
          <w:p w14:paraId="62BBFE67" w14:textId="77777777" w:rsidR="00AB6753" w:rsidRPr="00521F86" w:rsidRDefault="00AB6753" w:rsidP="002D1EA4">
            <w:pPr>
              <w:rPr>
                <w:b/>
              </w:rPr>
            </w:pPr>
            <w:r w:rsidRPr="00521F86">
              <w:rPr>
                <w:b/>
              </w:rPr>
              <w:t>(35,586)</w:t>
            </w:r>
          </w:p>
        </w:tc>
      </w:tr>
    </w:tbl>
    <w:p w14:paraId="7ECE6989" w14:textId="42987B9C" w:rsidR="00AB6753" w:rsidRPr="004A53B9" w:rsidRDefault="00AB6753" w:rsidP="00AB6753">
      <w:pPr>
        <w:spacing w:after="0"/>
        <w:ind w:left="284" w:hanging="284"/>
        <w:rPr>
          <w:sz w:val="18"/>
        </w:rPr>
      </w:pPr>
      <w:r w:rsidRPr="004A53B9">
        <w:rPr>
          <w:sz w:val="18"/>
        </w:rPr>
        <w:t>a</w:t>
      </w:r>
      <w:r w:rsidRPr="004A53B9">
        <w:rPr>
          <w:sz w:val="18"/>
        </w:rPr>
        <w:tab/>
      </w:r>
      <w:r w:rsidRPr="001B365F">
        <w:rPr>
          <w:sz w:val="18"/>
        </w:rPr>
        <w:t>Represents estimated actual expenses for the 201</w:t>
      </w:r>
      <w:r w:rsidR="007B7F28">
        <w:rPr>
          <w:sz w:val="18"/>
        </w:rPr>
        <w:t>9</w:t>
      </w:r>
      <w:r w:rsidRPr="001B365F">
        <w:rPr>
          <w:sz w:val="18"/>
        </w:rPr>
        <w:t>–</w:t>
      </w:r>
      <w:r w:rsidR="007B7F28">
        <w:rPr>
          <w:sz w:val="18"/>
        </w:rPr>
        <w:t>20</w:t>
      </w:r>
      <w:r w:rsidRPr="001B365F">
        <w:rPr>
          <w:sz w:val="18"/>
        </w:rPr>
        <w:t xml:space="preserve"> financial year reported in the Economic and Fiscal Update July 2020.</w:t>
      </w:r>
    </w:p>
    <w:p w14:paraId="4FB39C56" w14:textId="77777777" w:rsidR="00AB6753" w:rsidRPr="004A53B9" w:rsidRDefault="00AB6753" w:rsidP="00AB6753">
      <w:pPr>
        <w:spacing w:after="0"/>
        <w:ind w:left="284" w:hanging="284"/>
        <w:rPr>
          <w:sz w:val="18"/>
        </w:rPr>
      </w:pPr>
      <w:r w:rsidRPr="004A53B9">
        <w:rPr>
          <w:sz w:val="18"/>
        </w:rPr>
        <w:t>b</w:t>
      </w:r>
      <w:r w:rsidRPr="004A53B9">
        <w:rPr>
          <w:sz w:val="18"/>
        </w:rPr>
        <w:tab/>
        <w:t>Departmental appropriation includes section 74 retained revenue receipts.</w:t>
      </w:r>
    </w:p>
    <w:p w14:paraId="38817AEA" w14:textId="77777777" w:rsidR="00AB6753" w:rsidRPr="004A20FC" w:rsidRDefault="00AB6753" w:rsidP="00AB6753">
      <w:r w:rsidRPr="004A20FC">
        <w:t xml:space="preserve"> </w:t>
      </w:r>
    </w:p>
    <w:p w14:paraId="5A553D85" w14:textId="77777777" w:rsidR="00AB6753" w:rsidRPr="004A20FC" w:rsidRDefault="00AB6753" w:rsidP="00AB6753">
      <w:bookmarkStart w:id="273" w:name="TableB_5"/>
      <w:bookmarkEnd w:id="272"/>
      <w:r w:rsidRPr="004A20FC">
        <w:br w:type="page"/>
      </w:r>
    </w:p>
    <w:p w14:paraId="13260158" w14:textId="77777777" w:rsidR="00AB6753" w:rsidRPr="001C0BE2" w:rsidRDefault="00AB6753" w:rsidP="00AB6753">
      <w:pPr>
        <w:rPr>
          <w:b/>
        </w:rPr>
      </w:pPr>
      <w:r w:rsidRPr="001C0BE2">
        <w:rPr>
          <w:b/>
        </w:rPr>
        <w:lastRenderedPageBreak/>
        <w:t>Table A–5: Expenses and resources for Outcome 4: Housing</w:t>
      </w:r>
      <w:bookmarkEnd w:id="273"/>
    </w:p>
    <w:tbl>
      <w:tblPr>
        <w:tblW w:w="9199" w:type="dxa"/>
        <w:tblLook w:val="00A0" w:firstRow="1" w:lastRow="0" w:firstColumn="1" w:lastColumn="0" w:noHBand="0" w:noVBand="0"/>
        <w:tblCaption w:val="Table A–5 Expenses and resources for Outcome 4: Housing"/>
        <w:tblDescription w:val="Table A–5 Expenses and resources for Outcome 4: Housing"/>
      </w:tblPr>
      <w:tblGrid>
        <w:gridCol w:w="4074"/>
        <w:gridCol w:w="1708"/>
        <w:gridCol w:w="1708"/>
        <w:gridCol w:w="1709"/>
      </w:tblGrid>
      <w:tr w:rsidR="00AB6753" w:rsidRPr="004A20FC" w14:paraId="1C0E0AD4" w14:textId="77777777" w:rsidTr="002D1EA4">
        <w:trPr>
          <w:trHeight w:val="221"/>
          <w:tblHeader/>
        </w:trPr>
        <w:tc>
          <w:tcPr>
            <w:tcW w:w="4074" w:type="dxa"/>
            <w:tcBorders>
              <w:top w:val="nil"/>
              <w:left w:val="nil"/>
              <w:bottom w:val="single" w:sz="4" w:space="0" w:color="auto"/>
              <w:right w:val="nil"/>
            </w:tcBorders>
            <w:shd w:val="clear" w:color="auto" w:fill="404040" w:themeFill="text1" w:themeFillTint="BF"/>
            <w:vAlign w:val="bottom"/>
          </w:tcPr>
          <w:p w14:paraId="340E4145" w14:textId="77777777" w:rsidR="00AB6753" w:rsidRPr="004A20FC" w:rsidRDefault="00AB6753" w:rsidP="002D1EA4"/>
        </w:tc>
        <w:tc>
          <w:tcPr>
            <w:tcW w:w="1708" w:type="dxa"/>
            <w:tcBorders>
              <w:top w:val="nil"/>
              <w:left w:val="nil"/>
              <w:bottom w:val="single" w:sz="4" w:space="0" w:color="auto"/>
              <w:right w:val="nil"/>
            </w:tcBorders>
            <w:shd w:val="clear" w:color="auto" w:fill="404040" w:themeFill="text1" w:themeFillTint="BF"/>
            <w:noWrap/>
            <w:vAlign w:val="bottom"/>
            <w:hideMark/>
          </w:tcPr>
          <w:p w14:paraId="21EAC5AA" w14:textId="77777777" w:rsidR="00AB6753" w:rsidRPr="006E2578" w:rsidRDefault="00AB6753" w:rsidP="002D1EA4">
            <w:pPr>
              <w:rPr>
                <w:color w:val="FFFFFF" w:themeColor="background1"/>
              </w:rPr>
            </w:pPr>
            <w:r w:rsidRPr="006E2578">
              <w:rPr>
                <w:color w:val="FFFFFF" w:themeColor="background1"/>
              </w:rPr>
              <w:t xml:space="preserve">Estimated </w:t>
            </w:r>
            <w:proofErr w:type="spellStart"/>
            <w:r w:rsidRPr="006E2578">
              <w:rPr>
                <w:color w:val="FFFFFF" w:themeColor="background1"/>
              </w:rPr>
              <w:t>actual</w:t>
            </w:r>
            <w:r w:rsidRPr="006E2578">
              <w:rPr>
                <w:color w:val="FFFFFF" w:themeColor="background1"/>
                <w:vertAlign w:val="superscript"/>
              </w:rPr>
              <w:t>a</w:t>
            </w:r>
            <w:proofErr w:type="spellEnd"/>
            <w:r w:rsidRPr="006E2578">
              <w:rPr>
                <w:color w:val="FFFFFF" w:themeColor="background1"/>
              </w:rPr>
              <w:br/>
              <w:t>201</w:t>
            </w:r>
            <w:r>
              <w:rPr>
                <w:color w:val="FFFFFF" w:themeColor="background1"/>
              </w:rPr>
              <w:t>9–20</w:t>
            </w:r>
            <w:r w:rsidRPr="006E2578">
              <w:rPr>
                <w:color w:val="FFFFFF" w:themeColor="background1"/>
              </w:rPr>
              <w:t xml:space="preserve"> </w:t>
            </w:r>
            <w:r w:rsidRPr="006E2578">
              <w:rPr>
                <w:color w:val="FFFFFF" w:themeColor="background1"/>
              </w:rPr>
              <w:br/>
              <w:t xml:space="preserve">$'000 </w:t>
            </w:r>
          </w:p>
        </w:tc>
        <w:tc>
          <w:tcPr>
            <w:tcW w:w="1708" w:type="dxa"/>
            <w:tcBorders>
              <w:top w:val="nil"/>
              <w:left w:val="nil"/>
              <w:bottom w:val="single" w:sz="4" w:space="0" w:color="auto"/>
              <w:right w:val="nil"/>
            </w:tcBorders>
            <w:shd w:val="clear" w:color="auto" w:fill="404040" w:themeFill="text1" w:themeFillTint="BF"/>
            <w:noWrap/>
            <w:vAlign w:val="bottom"/>
            <w:hideMark/>
          </w:tcPr>
          <w:p w14:paraId="46ADDD2E" w14:textId="77777777" w:rsidR="00AB6753" w:rsidRPr="006E2578" w:rsidRDefault="00AB6753" w:rsidP="002D1EA4">
            <w:pPr>
              <w:rPr>
                <w:color w:val="FFFFFF" w:themeColor="background1"/>
              </w:rPr>
            </w:pPr>
            <w:r w:rsidRPr="006E2578">
              <w:rPr>
                <w:color w:val="FFFFFF" w:themeColor="background1"/>
              </w:rPr>
              <w:t>A</w:t>
            </w:r>
            <w:r>
              <w:rPr>
                <w:color w:val="FFFFFF" w:themeColor="background1"/>
              </w:rPr>
              <w:t>ctual</w:t>
            </w:r>
            <w:r>
              <w:rPr>
                <w:color w:val="FFFFFF" w:themeColor="background1"/>
              </w:rPr>
              <w:br/>
              <w:t>Expenses</w:t>
            </w:r>
            <w:r>
              <w:rPr>
                <w:color w:val="FFFFFF" w:themeColor="background1"/>
              </w:rPr>
              <w:br/>
              <w:t>2019–20</w:t>
            </w:r>
            <w:r w:rsidRPr="006E2578">
              <w:rPr>
                <w:color w:val="FFFFFF" w:themeColor="background1"/>
              </w:rPr>
              <w:br/>
              <w:t>$'000</w:t>
            </w:r>
          </w:p>
        </w:tc>
        <w:tc>
          <w:tcPr>
            <w:tcW w:w="1709" w:type="dxa"/>
            <w:tcBorders>
              <w:top w:val="nil"/>
              <w:left w:val="nil"/>
              <w:bottom w:val="single" w:sz="4" w:space="0" w:color="auto"/>
              <w:right w:val="nil"/>
            </w:tcBorders>
            <w:shd w:val="clear" w:color="auto" w:fill="404040" w:themeFill="text1" w:themeFillTint="BF"/>
            <w:noWrap/>
            <w:hideMark/>
          </w:tcPr>
          <w:p w14:paraId="170B000F" w14:textId="77777777" w:rsidR="00AB6753" w:rsidRPr="006E2578" w:rsidRDefault="00AB6753" w:rsidP="002D1EA4">
            <w:pPr>
              <w:rPr>
                <w:color w:val="FFFFFF" w:themeColor="background1"/>
              </w:rPr>
            </w:pPr>
            <w:r>
              <w:rPr>
                <w:color w:val="FFFFFF" w:themeColor="background1"/>
              </w:rPr>
              <w:t>Variation</w:t>
            </w:r>
            <w:r>
              <w:rPr>
                <w:color w:val="FFFFFF" w:themeColor="background1"/>
              </w:rPr>
              <w:br/>
              <w:t>2019–20</w:t>
            </w:r>
            <w:r w:rsidRPr="006E2578">
              <w:rPr>
                <w:color w:val="FFFFFF" w:themeColor="background1"/>
              </w:rPr>
              <w:br/>
              <w:t>$'000</w:t>
            </w:r>
          </w:p>
        </w:tc>
      </w:tr>
      <w:tr w:rsidR="00AB6753" w:rsidRPr="004A20FC" w14:paraId="16322571" w14:textId="77777777" w:rsidTr="002D1EA4">
        <w:trPr>
          <w:trHeight w:val="45"/>
        </w:trPr>
        <w:tc>
          <w:tcPr>
            <w:tcW w:w="4074" w:type="dxa"/>
            <w:tcBorders>
              <w:top w:val="single" w:sz="4" w:space="0" w:color="auto"/>
              <w:left w:val="nil"/>
              <w:bottom w:val="single" w:sz="4" w:space="0" w:color="FFFFFF" w:themeColor="background1"/>
              <w:right w:val="nil"/>
            </w:tcBorders>
            <w:shd w:val="clear" w:color="auto" w:fill="404040" w:themeFill="text1" w:themeFillTint="BF"/>
            <w:noWrap/>
            <w:hideMark/>
          </w:tcPr>
          <w:p w14:paraId="61C23683" w14:textId="77777777" w:rsidR="00AB6753" w:rsidRPr="004A20FC" w:rsidRDefault="00AB6753" w:rsidP="002D1EA4"/>
        </w:tc>
        <w:tc>
          <w:tcPr>
            <w:tcW w:w="1708" w:type="dxa"/>
            <w:tcBorders>
              <w:top w:val="single" w:sz="4" w:space="0" w:color="auto"/>
              <w:left w:val="nil"/>
              <w:bottom w:val="single" w:sz="4" w:space="0" w:color="FFFFFF" w:themeColor="background1"/>
              <w:right w:val="nil"/>
            </w:tcBorders>
            <w:shd w:val="clear" w:color="auto" w:fill="404040" w:themeFill="text1" w:themeFillTint="BF"/>
            <w:noWrap/>
            <w:hideMark/>
          </w:tcPr>
          <w:p w14:paraId="72B23513" w14:textId="77777777" w:rsidR="00AB6753" w:rsidRPr="006E2578" w:rsidRDefault="00AB6753" w:rsidP="002D1EA4">
            <w:pPr>
              <w:rPr>
                <w:color w:val="FFFFFF" w:themeColor="background1"/>
              </w:rPr>
            </w:pPr>
            <w:r w:rsidRPr="006E2578">
              <w:rPr>
                <w:color w:val="FFFFFF" w:themeColor="background1"/>
              </w:rPr>
              <w:t xml:space="preserve"> (a) </w:t>
            </w:r>
          </w:p>
        </w:tc>
        <w:tc>
          <w:tcPr>
            <w:tcW w:w="1708" w:type="dxa"/>
            <w:tcBorders>
              <w:top w:val="single" w:sz="4" w:space="0" w:color="auto"/>
              <w:left w:val="nil"/>
              <w:bottom w:val="single" w:sz="4" w:space="0" w:color="FFFFFF" w:themeColor="background1"/>
              <w:right w:val="nil"/>
            </w:tcBorders>
            <w:shd w:val="clear" w:color="auto" w:fill="404040" w:themeFill="text1" w:themeFillTint="BF"/>
            <w:noWrap/>
            <w:hideMark/>
          </w:tcPr>
          <w:p w14:paraId="39AB12EA" w14:textId="77777777" w:rsidR="00AB6753" w:rsidRPr="006E2578" w:rsidRDefault="00AB6753" w:rsidP="002D1EA4">
            <w:pPr>
              <w:rPr>
                <w:color w:val="FFFFFF" w:themeColor="background1"/>
              </w:rPr>
            </w:pPr>
            <w:r w:rsidRPr="006E2578">
              <w:rPr>
                <w:color w:val="FFFFFF" w:themeColor="background1"/>
              </w:rPr>
              <w:t>(b)</w:t>
            </w:r>
          </w:p>
        </w:tc>
        <w:tc>
          <w:tcPr>
            <w:tcW w:w="1709" w:type="dxa"/>
            <w:tcBorders>
              <w:top w:val="single" w:sz="4" w:space="0" w:color="auto"/>
              <w:left w:val="nil"/>
              <w:bottom w:val="single" w:sz="4" w:space="0" w:color="FFFFFF" w:themeColor="background1"/>
              <w:right w:val="nil"/>
            </w:tcBorders>
            <w:shd w:val="clear" w:color="auto" w:fill="404040" w:themeFill="text1" w:themeFillTint="BF"/>
            <w:hideMark/>
          </w:tcPr>
          <w:p w14:paraId="73015BF8" w14:textId="77777777" w:rsidR="00AB6753" w:rsidRPr="006E2578" w:rsidRDefault="00AB6753" w:rsidP="002D1EA4">
            <w:pPr>
              <w:rPr>
                <w:color w:val="FFFFFF" w:themeColor="background1"/>
              </w:rPr>
            </w:pPr>
            <w:r w:rsidRPr="006E2578">
              <w:rPr>
                <w:color w:val="FFFFFF" w:themeColor="background1"/>
              </w:rPr>
              <w:t>(a)–(b)</w:t>
            </w:r>
          </w:p>
        </w:tc>
      </w:tr>
      <w:tr w:rsidR="00AB6753" w:rsidRPr="004A20FC" w14:paraId="6C66C842" w14:textId="77777777" w:rsidTr="002D1EA4">
        <w:trPr>
          <w:trHeight w:val="93"/>
        </w:trPr>
        <w:tc>
          <w:tcPr>
            <w:tcW w:w="9199" w:type="dxa"/>
            <w:gridSpan w:val="4"/>
            <w:tcBorders>
              <w:top w:val="single" w:sz="4" w:space="0" w:color="FFFFFF" w:themeColor="background1"/>
              <w:left w:val="nil"/>
              <w:bottom w:val="single" w:sz="4" w:space="0" w:color="auto"/>
              <w:right w:val="nil"/>
            </w:tcBorders>
            <w:shd w:val="clear" w:color="auto" w:fill="FFFFFF" w:themeFill="background1"/>
            <w:vAlign w:val="bottom"/>
            <w:hideMark/>
          </w:tcPr>
          <w:p w14:paraId="1CD32CB4" w14:textId="77777777" w:rsidR="00AB6753" w:rsidRPr="001C0BE2" w:rsidRDefault="00AB6753" w:rsidP="002D1EA4">
            <w:pPr>
              <w:rPr>
                <w:b/>
              </w:rPr>
            </w:pPr>
            <w:r w:rsidRPr="001C0BE2">
              <w:rPr>
                <w:b/>
              </w:rPr>
              <w:t>Program 4.1: Housing and Homelessness</w:t>
            </w:r>
          </w:p>
        </w:tc>
      </w:tr>
      <w:tr w:rsidR="00AB6753" w:rsidRPr="004A20FC" w14:paraId="43F92488" w14:textId="77777777" w:rsidTr="002D1EA4">
        <w:trPr>
          <w:trHeight w:val="45"/>
        </w:trPr>
        <w:tc>
          <w:tcPr>
            <w:tcW w:w="4074" w:type="dxa"/>
            <w:tcBorders>
              <w:top w:val="single" w:sz="4" w:space="0" w:color="auto"/>
              <w:left w:val="nil"/>
              <w:bottom w:val="single" w:sz="4" w:space="0" w:color="FFFFFF" w:themeColor="background1"/>
              <w:right w:val="nil"/>
            </w:tcBorders>
            <w:shd w:val="clear" w:color="auto" w:fill="EAEAEA"/>
            <w:noWrap/>
            <w:hideMark/>
          </w:tcPr>
          <w:p w14:paraId="3E1D8822" w14:textId="77777777" w:rsidR="00AB6753" w:rsidRPr="004A20FC" w:rsidRDefault="00AB6753" w:rsidP="002D1EA4">
            <w:r w:rsidRPr="004A20FC">
              <w:t>Administered expenses</w:t>
            </w:r>
          </w:p>
        </w:tc>
        <w:tc>
          <w:tcPr>
            <w:tcW w:w="1708" w:type="dxa"/>
            <w:tcBorders>
              <w:top w:val="single" w:sz="4" w:space="0" w:color="auto"/>
              <w:left w:val="nil"/>
              <w:bottom w:val="single" w:sz="4" w:space="0" w:color="FFFFFF" w:themeColor="background1"/>
              <w:right w:val="nil"/>
            </w:tcBorders>
            <w:shd w:val="clear" w:color="auto" w:fill="EAEAEA"/>
          </w:tcPr>
          <w:p w14:paraId="0DFC5972" w14:textId="77777777" w:rsidR="00AB6753" w:rsidRPr="004A53B9" w:rsidRDefault="00AB6753" w:rsidP="002D1EA4">
            <w:pPr>
              <w:rPr>
                <w:highlight w:val="green"/>
              </w:rPr>
            </w:pPr>
          </w:p>
        </w:tc>
        <w:tc>
          <w:tcPr>
            <w:tcW w:w="1708" w:type="dxa"/>
            <w:tcBorders>
              <w:top w:val="single" w:sz="4" w:space="0" w:color="auto"/>
              <w:left w:val="nil"/>
              <w:bottom w:val="single" w:sz="4" w:space="0" w:color="FFFFFF" w:themeColor="background1"/>
              <w:right w:val="nil"/>
            </w:tcBorders>
            <w:shd w:val="clear" w:color="auto" w:fill="EAEAEA"/>
          </w:tcPr>
          <w:p w14:paraId="25001CC5" w14:textId="77777777" w:rsidR="00AB6753" w:rsidRPr="004A20FC"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105C6771" w14:textId="77777777" w:rsidR="00AB6753" w:rsidRPr="004A20FC" w:rsidRDefault="00AB6753" w:rsidP="002D1EA4"/>
        </w:tc>
      </w:tr>
      <w:tr w:rsidR="00AB6753" w:rsidRPr="004A20FC" w14:paraId="5F2879D9" w14:textId="77777777" w:rsidTr="002D1EA4">
        <w:trPr>
          <w:trHeight w:val="45"/>
        </w:trPr>
        <w:tc>
          <w:tcPr>
            <w:tcW w:w="4074" w:type="dxa"/>
            <w:tcBorders>
              <w:top w:val="single" w:sz="4" w:space="0" w:color="FFFFFF" w:themeColor="background1"/>
              <w:left w:val="nil"/>
              <w:bottom w:val="single" w:sz="4" w:space="0" w:color="FFFFFF" w:themeColor="background1"/>
              <w:right w:val="nil"/>
            </w:tcBorders>
            <w:shd w:val="clear" w:color="auto" w:fill="F8F8F8"/>
            <w:noWrap/>
            <w:hideMark/>
          </w:tcPr>
          <w:p w14:paraId="47FB3E03" w14:textId="77777777" w:rsidR="00AB6753" w:rsidRPr="004A20FC" w:rsidRDefault="00AB6753" w:rsidP="002D1EA4">
            <w:pPr>
              <w:spacing w:line="240" w:lineRule="auto"/>
            </w:pPr>
            <w:r w:rsidRPr="004A20FC">
              <w:t>Ordinary Annual Services</w:t>
            </w:r>
          </w:p>
          <w:p w14:paraId="0C86D34F" w14:textId="77777777" w:rsidR="00AB6753" w:rsidRPr="004A20FC" w:rsidRDefault="00AB6753" w:rsidP="002D1EA4">
            <w:pPr>
              <w:spacing w:line="240" w:lineRule="auto"/>
            </w:pPr>
            <w:r w:rsidRPr="004A20FC">
              <w:t>(Appropriation Act No. 1 and No. 3)</w:t>
            </w:r>
          </w:p>
        </w:tc>
        <w:tc>
          <w:tcPr>
            <w:tcW w:w="1708" w:type="dxa"/>
            <w:tcBorders>
              <w:top w:val="single" w:sz="4" w:space="0" w:color="FFFFFF" w:themeColor="background1"/>
              <w:left w:val="nil"/>
              <w:bottom w:val="single" w:sz="4" w:space="0" w:color="FFFFFF" w:themeColor="background1"/>
              <w:right w:val="nil"/>
            </w:tcBorders>
            <w:shd w:val="clear" w:color="auto" w:fill="F8F8F8"/>
            <w:noWrap/>
          </w:tcPr>
          <w:p w14:paraId="2B65257D" w14:textId="77777777" w:rsidR="00AB6753" w:rsidRPr="004560C2" w:rsidRDefault="00AB6753" w:rsidP="002D1EA4">
            <w:pPr>
              <w:spacing w:line="240" w:lineRule="auto"/>
            </w:pPr>
            <w:r w:rsidRPr="004560C2">
              <w:t>13,786</w:t>
            </w:r>
          </w:p>
        </w:tc>
        <w:tc>
          <w:tcPr>
            <w:tcW w:w="1708" w:type="dxa"/>
            <w:tcBorders>
              <w:top w:val="single" w:sz="4" w:space="0" w:color="FFFFFF" w:themeColor="background1"/>
              <w:left w:val="nil"/>
              <w:bottom w:val="single" w:sz="4" w:space="0" w:color="FFFFFF" w:themeColor="background1"/>
              <w:right w:val="nil"/>
            </w:tcBorders>
            <w:shd w:val="clear" w:color="auto" w:fill="F8F8F8"/>
            <w:noWrap/>
          </w:tcPr>
          <w:p w14:paraId="625BF131" w14:textId="77777777" w:rsidR="00AB6753" w:rsidRPr="004A20FC" w:rsidRDefault="00AB6753" w:rsidP="002D1EA4">
            <w:pPr>
              <w:spacing w:line="240" w:lineRule="auto"/>
            </w:pPr>
            <w:r>
              <w:t>6,277</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7C40DB42" w14:textId="77777777" w:rsidR="00AB6753" w:rsidRPr="00414849" w:rsidRDefault="00AB6753" w:rsidP="002D1EA4">
            <w:pPr>
              <w:spacing w:line="240" w:lineRule="auto"/>
            </w:pPr>
            <w:r w:rsidRPr="00414849">
              <w:t>7,509</w:t>
            </w:r>
          </w:p>
        </w:tc>
      </w:tr>
      <w:tr w:rsidR="00AB6753" w:rsidRPr="004A20FC" w14:paraId="4D35A143" w14:textId="77777777" w:rsidTr="002D1EA4">
        <w:trPr>
          <w:trHeight w:val="45"/>
        </w:trPr>
        <w:tc>
          <w:tcPr>
            <w:tcW w:w="4074" w:type="dxa"/>
            <w:tcBorders>
              <w:top w:val="single" w:sz="4" w:space="0" w:color="FFFFFF" w:themeColor="background1"/>
              <w:left w:val="nil"/>
              <w:bottom w:val="single" w:sz="4" w:space="0" w:color="FFFFFF" w:themeColor="background1"/>
              <w:right w:val="nil"/>
            </w:tcBorders>
            <w:shd w:val="clear" w:color="auto" w:fill="F8F8F8"/>
            <w:hideMark/>
          </w:tcPr>
          <w:p w14:paraId="2ED751E0" w14:textId="77777777" w:rsidR="00AB6753" w:rsidRPr="00521F86" w:rsidRDefault="00AB6753" w:rsidP="002D1EA4">
            <w:pPr>
              <w:rPr>
                <w:b/>
              </w:rPr>
            </w:pPr>
            <w:r w:rsidRPr="00521F86">
              <w:rPr>
                <w:b/>
              </w:rPr>
              <w:t>Total for Program 4.1</w:t>
            </w:r>
          </w:p>
        </w:tc>
        <w:tc>
          <w:tcPr>
            <w:tcW w:w="1708" w:type="dxa"/>
            <w:tcBorders>
              <w:top w:val="single" w:sz="4" w:space="0" w:color="FFFFFF" w:themeColor="background1"/>
              <w:left w:val="nil"/>
              <w:bottom w:val="single" w:sz="4" w:space="0" w:color="FFFFFF" w:themeColor="background1"/>
              <w:right w:val="nil"/>
            </w:tcBorders>
            <w:shd w:val="clear" w:color="auto" w:fill="F8F8F8"/>
            <w:noWrap/>
          </w:tcPr>
          <w:p w14:paraId="156CC243" w14:textId="77777777" w:rsidR="00AB6753" w:rsidRPr="00521F86" w:rsidRDefault="00AB6753" w:rsidP="002D1EA4">
            <w:pPr>
              <w:rPr>
                <w:b/>
              </w:rPr>
            </w:pPr>
            <w:r w:rsidRPr="00521F86">
              <w:rPr>
                <w:b/>
              </w:rPr>
              <w:t>13,786</w:t>
            </w:r>
          </w:p>
        </w:tc>
        <w:tc>
          <w:tcPr>
            <w:tcW w:w="1708" w:type="dxa"/>
            <w:tcBorders>
              <w:top w:val="single" w:sz="4" w:space="0" w:color="FFFFFF" w:themeColor="background1"/>
              <w:left w:val="nil"/>
              <w:bottom w:val="single" w:sz="4" w:space="0" w:color="FFFFFF" w:themeColor="background1"/>
              <w:right w:val="nil"/>
            </w:tcBorders>
            <w:shd w:val="clear" w:color="auto" w:fill="F8F8F8"/>
            <w:noWrap/>
          </w:tcPr>
          <w:p w14:paraId="08654D8C" w14:textId="77777777" w:rsidR="00AB6753" w:rsidRPr="00521F86" w:rsidRDefault="00AB6753" w:rsidP="002D1EA4">
            <w:pPr>
              <w:rPr>
                <w:b/>
              </w:rPr>
            </w:pPr>
            <w:r w:rsidRPr="00521F86">
              <w:rPr>
                <w:b/>
              </w:rPr>
              <w:t>6,277</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315CB918" w14:textId="77777777" w:rsidR="00AB6753" w:rsidRPr="00521F86" w:rsidRDefault="00AB6753" w:rsidP="002D1EA4">
            <w:pPr>
              <w:rPr>
                <w:b/>
              </w:rPr>
            </w:pPr>
            <w:r w:rsidRPr="00521F86">
              <w:rPr>
                <w:b/>
              </w:rPr>
              <w:t>7,509</w:t>
            </w:r>
          </w:p>
        </w:tc>
      </w:tr>
      <w:tr w:rsidR="00AB6753" w:rsidRPr="004560C2" w14:paraId="2FB92454" w14:textId="77777777" w:rsidTr="002D1EA4">
        <w:trPr>
          <w:trHeight w:val="84"/>
        </w:trPr>
        <w:tc>
          <w:tcPr>
            <w:tcW w:w="4074" w:type="dxa"/>
            <w:tcBorders>
              <w:top w:val="single" w:sz="4" w:space="0" w:color="FFFFFF" w:themeColor="background1"/>
              <w:left w:val="nil"/>
              <w:bottom w:val="single" w:sz="4" w:space="0" w:color="auto"/>
              <w:right w:val="nil"/>
            </w:tcBorders>
            <w:shd w:val="clear" w:color="auto" w:fill="FFFFFF" w:themeFill="background1"/>
            <w:vAlign w:val="bottom"/>
            <w:hideMark/>
          </w:tcPr>
          <w:p w14:paraId="1D78757D" w14:textId="77777777" w:rsidR="00AB6753" w:rsidRPr="004560C2" w:rsidRDefault="00AB6753" w:rsidP="002D1EA4">
            <w:pPr>
              <w:rPr>
                <w:b/>
              </w:rPr>
            </w:pPr>
            <w:r w:rsidRPr="004560C2">
              <w:rPr>
                <w:b/>
              </w:rPr>
              <w:t>Program 4.2: Affordable Housing</w:t>
            </w:r>
          </w:p>
        </w:tc>
        <w:tc>
          <w:tcPr>
            <w:tcW w:w="1708" w:type="dxa"/>
            <w:tcBorders>
              <w:top w:val="single" w:sz="4" w:space="0" w:color="FFFFFF" w:themeColor="background1"/>
              <w:left w:val="nil"/>
              <w:bottom w:val="single" w:sz="4" w:space="0" w:color="auto"/>
              <w:right w:val="nil"/>
            </w:tcBorders>
            <w:shd w:val="clear" w:color="auto" w:fill="FFFFFF" w:themeFill="background1"/>
          </w:tcPr>
          <w:p w14:paraId="313FF056" w14:textId="77777777" w:rsidR="00AB6753" w:rsidRPr="004560C2" w:rsidRDefault="00AB6753" w:rsidP="002D1EA4">
            <w:pPr>
              <w:rPr>
                <w:b/>
                <w:highlight w:val="green"/>
              </w:rPr>
            </w:pPr>
          </w:p>
        </w:tc>
        <w:tc>
          <w:tcPr>
            <w:tcW w:w="1708" w:type="dxa"/>
            <w:tcBorders>
              <w:top w:val="single" w:sz="4" w:space="0" w:color="FFFFFF" w:themeColor="background1"/>
              <w:left w:val="nil"/>
              <w:bottom w:val="single" w:sz="4" w:space="0" w:color="auto"/>
              <w:right w:val="nil"/>
            </w:tcBorders>
            <w:shd w:val="clear" w:color="auto" w:fill="FFFFFF" w:themeFill="background1"/>
          </w:tcPr>
          <w:p w14:paraId="7CF3E85B" w14:textId="77777777" w:rsidR="00AB6753" w:rsidRPr="004560C2" w:rsidRDefault="00AB6753" w:rsidP="002D1EA4">
            <w:pPr>
              <w:rPr>
                <w:b/>
              </w:rPr>
            </w:pPr>
          </w:p>
        </w:tc>
        <w:tc>
          <w:tcPr>
            <w:tcW w:w="1709" w:type="dxa"/>
            <w:tcBorders>
              <w:top w:val="single" w:sz="4" w:space="0" w:color="FFFFFF" w:themeColor="background1"/>
              <w:left w:val="nil"/>
              <w:bottom w:val="single" w:sz="4" w:space="0" w:color="auto"/>
              <w:right w:val="nil"/>
            </w:tcBorders>
            <w:shd w:val="clear" w:color="auto" w:fill="FFFFFF" w:themeFill="background1"/>
          </w:tcPr>
          <w:p w14:paraId="3425F873" w14:textId="77777777" w:rsidR="00AB6753" w:rsidRPr="00414849" w:rsidRDefault="00AB6753" w:rsidP="002D1EA4">
            <w:pPr>
              <w:rPr>
                <w:b/>
              </w:rPr>
            </w:pPr>
          </w:p>
        </w:tc>
      </w:tr>
      <w:tr w:rsidR="00AB6753" w:rsidRPr="004A20FC" w14:paraId="056D39C6" w14:textId="77777777" w:rsidTr="002D1EA4">
        <w:trPr>
          <w:trHeight w:val="45"/>
        </w:trPr>
        <w:tc>
          <w:tcPr>
            <w:tcW w:w="4074" w:type="dxa"/>
            <w:tcBorders>
              <w:top w:val="single" w:sz="4" w:space="0" w:color="auto"/>
              <w:left w:val="nil"/>
              <w:bottom w:val="single" w:sz="4" w:space="0" w:color="FFFFFF" w:themeColor="background1"/>
              <w:right w:val="nil"/>
            </w:tcBorders>
            <w:shd w:val="clear" w:color="auto" w:fill="EAEAEA"/>
            <w:noWrap/>
            <w:hideMark/>
          </w:tcPr>
          <w:p w14:paraId="6CB3681B" w14:textId="77777777" w:rsidR="00AB6753" w:rsidRPr="004A20FC" w:rsidRDefault="00AB6753" w:rsidP="002D1EA4">
            <w:r w:rsidRPr="004A20FC">
              <w:t>Administered expenses</w:t>
            </w:r>
          </w:p>
        </w:tc>
        <w:tc>
          <w:tcPr>
            <w:tcW w:w="1708" w:type="dxa"/>
            <w:tcBorders>
              <w:top w:val="single" w:sz="4" w:space="0" w:color="auto"/>
              <w:left w:val="nil"/>
              <w:bottom w:val="single" w:sz="4" w:space="0" w:color="FFFFFF" w:themeColor="background1"/>
              <w:right w:val="nil"/>
            </w:tcBorders>
            <w:shd w:val="clear" w:color="auto" w:fill="EAEAEA"/>
          </w:tcPr>
          <w:p w14:paraId="39ADB97D" w14:textId="77777777" w:rsidR="00AB6753" w:rsidRPr="004A53B9" w:rsidRDefault="00AB6753" w:rsidP="002D1EA4">
            <w:pPr>
              <w:rPr>
                <w:highlight w:val="green"/>
              </w:rPr>
            </w:pPr>
          </w:p>
        </w:tc>
        <w:tc>
          <w:tcPr>
            <w:tcW w:w="1708" w:type="dxa"/>
            <w:tcBorders>
              <w:top w:val="single" w:sz="4" w:space="0" w:color="auto"/>
              <w:left w:val="nil"/>
              <w:bottom w:val="single" w:sz="4" w:space="0" w:color="FFFFFF" w:themeColor="background1"/>
              <w:right w:val="nil"/>
            </w:tcBorders>
            <w:shd w:val="clear" w:color="auto" w:fill="EAEAEA"/>
          </w:tcPr>
          <w:p w14:paraId="58B1B69E" w14:textId="77777777" w:rsidR="00AB6753" w:rsidRPr="004A20FC"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34B7ACCE" w14:textId="77777777" w:rsidR="00AB6753" w:rsidRPr="00414849" w:rsidRDefault="00AB6753" w:rsidP="002D1EA4"/>
        </w:tc>
      </w:tr>
      <w:tr w:rsidR="00AB6753" w:rsidRPr="004A20FC" w14:paraId="59ADC7A4" w14:textId="77777777" w:rsidTr="002D1EA4">
        <w:trPr>
          <w:trHeight w:val="45"/>
        </w:trPr>
        <w:tc>
          <w:tcPr>
            <w:tcW w:w="4074" w:type="dxa"/>
            <w:tcBorders>
              <w:top w:val="single" w:sz="4" w:space="0" w:color="FFFFFF" w:themeColor="background1"/>
              <w:left w:val="nil"/>
              <w:bottom w:val="single" w:sz="4" w:space="0" w:color="FFFFFF" w:themeColor="background1"/>
              <w:right w:val="nil"/>
            </w:tcBorders>
            <w:shd w:val="clear" w:color="auto" w:fill="F8F8F8"/>
            <w:noWrap/>
            <w:hideMark/>
          </w:tcPr>
          <w:p w14:paraId="4A4E19BA" w14:textId="77777777" w:rsidR="00AB6753" w:rsidRPr="004A20FC" w:rsidRDefault="00AB6753" w:rsidP="002D1EA4">
            <w:r w:rsidRPr="004A20FC">
              <w:t>Ordinary Annual Services</w:t>
            </w:r>
          </w:p>
          <w:p w14:paraId="313DC246" w14:textId="77777777" w:rsidR="00AB6753" w:rsidRPr="004A20FC" w:rsidRDefault="00AB6753" w:rsidP="002D1EA4">
            <w:r w:rsidRPr="004A20FC">
              <w:t>(Appropriation Act No. 1 and No. 3)</w:t>
            </w:r>
          </w:p>
        </w:tc>
        <w:tc>
          <w:tcPr>
            <w:tcW w:w="1708" w:type="dxa"/>
            <w:tcBorders>
              <w:top w:val="single" w:sz="4" w:space="0" w:color="FFFFFF" w:themeColor="background1"/>
              <w:left w:val="nil"/>
              <w:bottom w:val="single" w:sz="4" w:space="0" w:color="FFFFFF" w:themeColor="background1"/>
              <w:right w:val="nil"/>
            </w:tcBorders>
            <w:shd w:val="clear" w:color="auto" w:fill="F8F8F8"/>
          </w:tcPr>
          <w:p w14:paraId="2952B8C5" w14:textId="77777777" w:rsidR="00AB6753" w:rsidRPr="004560C2" w:rsidRDefault="00AB6753" w:rsidP="002D1EA4">
            <w:r w:rsidRPr="004560C2">
              <w:t>119,315</w:t>
            </w:r>
          </w:p>
        </w:tc>
        <w:tc>
          <w:tcPr>
            <w:tcW w:w="1708" w:type="dxa"/>
            <w:tcBorders>
              <w:top w:val="single" w:sz="4" w:space="0" w:color="FFFFFF" w:themeColor="background1"/>
              <w:left w:val="nil"/>
              <w:bottom w:val="single" w:sz="4" w:space="0" w:color="FFFFFF" w:themeColor="background1"/>
              <w:right w:val="nil"/>
            </w:tcBorders>
            <w:shd w:val="clear" w:color="auto" w:fill="F8F8F8"/>
          </w:tcPr>
          <w:p w14:paraId="65872007" w14:textId="77777777" w:rsidR="00AB6753" w:rsidRPr="001C0BE2" w:rsidRDefault="00AB6753" w:rsidP="002D1EA4">
            <w:r>
              <w:t>114,864</w:t>
            </w:r>
          </w:p>
        </w:tc>
        <w:tc>
          <w:tcPr>
            <w:tcW w:w="1709" w:type="dxa"/>
            <w:tcBorders>
              <w:top w:val="single" w:sz="4" w:space="0" w:color="FFFFFF" w:themeColor="background1"/>
              <w:left w:val="nil"/>
              <w:bottom w:val="single" w:sz="4" w:space="0" w:color="FFFFFF" w:themeColor="background1"/>
              <w:right w:val="nil"/>
            </w:tcBorders>
            <w:shd w:val="clear" w:color="auto" w:fill="F8F8F8"/>
          </w:tcPr>
          <w:p w14:paraId="0BE48ACE" w14:textId="77777777" w:rsidR="00AB6753" w:rsidRPr="00414849" w:rsidRDefault="00AB6753" w:rsidP="002D1EA4">
            <w:r>
              <w:t>4,451</w:t>
            </w:r>
          </w:p>
        </w:tc>
      </w:tr>
      <w:tr w:rsidR="00AB6753" w:rsidRPr="004A20FC" w14:paraId="374C7AF8" w14:textId="77777777" w:rsidTr="002D1EA4">
        <w:trPr>
          <w:trHeight w:val="45"/>
        </w:trPr>
        <w:tc>
          <w:tcPr>
            <w:tcW w:w="4074" w:type="dxa"/>
            <w:tcBorders>
              <w:top w:val="single" w:sz="4" w:space="0" w:color="FFFFFF" w:themeColor="background1"/>
              <w:left w:val="nil"/>
              <w:bottom w:val="single" w:sz="4" w:space="0" w:color="FFFFFF" w:themeColor="background1"/>
              <w:right w:val="nil"/>
            </w:tcBorders>
            <w:shd w:val="clear" w:color="auto" w:fill="F8F8F8"/>
            <w:hideMark/>
          </w:tcPr>
          <w:p w14:paraId="7AD0D15D" w14:textId="77777777" w:rsidR="00AB6753" w:rsidRPr="00521F86" w:rsidRDefault="00AB6753" w:rsidP="002D1EA4">
            <w:pPr>
              <w:rPr>
                <w:b/>
              </w:rPr>
            </w:pPr>
            <w:r w:rsidRPr="00521F86">
              <w:rPr>
                <w:b/>
              </w:rPr>
              <w:t>Total for Program 4.2</w:t>
            </w:r>
          </w:p>
        </w:tc>
        <w:tc>
          <w:tcPr>
            <w:tcW w:w="1708" w:type="dxa"/>
            <w:tcBorders>
              <w:top w:val="single" w:sz="4" w:space="0" w:color="FFFFFF" w:themeColor="background1"/>
              <w:left w:val="nil"/>
              <w:bottom w:val="single" w:sz="4" w:space="0" w:color="FFFFFF" w:themeColor="background1"/>
              <w:right w:val="nil"/>
            </w:tcBorders>
            <w:shd w:val="clear" w:color="auto" w:fill="F8F8F8"/>
            <w:noWrap/>
          </w:tcPr>
          <w:p w14:paraId="37FCE77A" w14:textId="77777777" w:rsidR="00AB6753" w:rsidRPr="00521F86" w:rsidRDefault="00AB6753" w:rsidP="002D1EA4">
            <w:pPr>
              <w:rPr>
                <w:b/>
              </w:rPr>
            </w:pPr>
            <w:r w:rsidRPr="00521F86">
              <w:rPr>
                <w:b/>
              </w:rPr>
              <w:t>119,315</w:t>
            </w:r>
          </w:p>
        </w:tc>
        <w:tc>
          <w:tcPr>
            <w:tcW w:w="1708" w:type="dxa"/>
            <w:tcBorders>
              <w:top w:val="single" w:sz="4" w:space="0" w:color="FFFFFF" w:themeColor="background1"/>
              <w:left w:val="nil"/>
              <w:bottom w:val="single" w:sz="4" w:space="0" w:color="FFFFFF" w:themeColor="background1"/>
              <w:right w:val="nil"/>
            </w:tcBorders>
            <w:shd w:val="clear" w:color="auto" w:fill="F8F8F8"/>
            <w:noWrap/>
          </w:tcPr>
          <w:p w14:paraId="7C49158C" w14:textId="77777777" w:rsidR="00AB6753" w:rsidRPr="00521F86" w:rsidRDefault="00AB6753" w:rsidP="002D1EA4">
            <w:pPr>
              <w:rPr>
                <w:b/>
              </w:rPr>
            </w:pPr>
            <w:r w:rsidRPr="00521F86">
              <w:rPr>
                <w:b/>
              </w:rPr>
              <w:t>114,864</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1ACCA116" w14:textId="77777777" w:rsidR="00AB6753" w:rsidRPr="00521F86" w:rsidRDefault="00AB6753" w:rsidP="002D1EA4">
            <w:pPr>
              <w:rPr>
                <w:b/>
              </w:rPr>
            </w:pPr>
            <w:r w:rsidRPr="00521F86">
              <w:rPr>
                <w:b/>
              </w:rPr>
              <w:t>4,451</w:t>
            </w:r>
          </w:p>
        </w:tc>
      </w:tr>
      <w:tr w:rsidR="00AB6753" w:rsidRPr="004560C2" w14:paraId="50CE9947" w14:textId="77777777" w:rsidTr="002D1EA4">
        <w:trPr>
          <w:trHeight w:val="84"/>
        </w:trPr>
        <w:tc>
          <w:tcPr>
            <w:tcW w:w="9199" w:type="dxa"/>
            <w:gridSpan w:val="4"/>
            <w:tcBorders>
              <w:top w:val="single" w:sz="4" w:space="0" w:color="FFFFFF" w:themeColor="background1"/>
              <w:left w:val="nil"/>
              <w:bottom w:val="single" w:sz="4" w:space="0" w:color="auto"/>
              <w:right w:val="nil"/>
            </w:tcBorders>
            <w:shd w:val="clear" w:color="auto" w:fill="FFFFFF" w:themeFill="background1"/>
            <w:vAlign w:val="bottom"/>
            <w:hideMark/>
          </w:tcPr>
          <w:p w14:paraId="0C165BDB" w14:textId="77777777" w:rsidR="00AB6753" w:rsidRPr="00414849" w:rsidRDefault="00AB6753" w:rsidP="002D1EA4">
            <w:pPr>
              <w:rPr>
                <w:b/>
              </w:rPr>
            </w:pPr>
            <w:r w:rsidRPr="00414849">
              <w:rPr>
                <w:b/>
              </w:rPr>
              <w:t>Program 4.3: Program Support for Outcome 4</w:t>
            </w:r>
          </w:p>
        </w:tc>
      </w:tr>
      <w:tr w:rsidR="00AB6753" w:rsidRPr="004A20FC" w14:paraId="1465E8CA" w14:textId="77777777" w:rsidTr="002D1EA4">
        <w:trPr>
          <w:trHeight w:val="45"/>
        </w:trPr>
        <w:tc>
          <w:tcPr>
            <w:tcW w:w="4074" w:type="dxa"/>
            <w:tcBorders>
              <w:top w:val="single" w:sz="4" w:space="0" w:color="auto"/>
              <w:left w:val="nil"/>
              <w:bottom w:val="single" w:sz="8" w:space="0" w:color="FFFFFF" w:themeColor="background1"/>
              <w:right w:val="nil"/>
            </w:tcBorders>
            <w:shd w:val="clear" w:color="auto" w:fill="EAEAEA"/>
            <w:noWrap/>
            <w:hideMark/>
          </w:tcPr>
          <w:p w14:paraId="20DB25E4" w14:textId="77777777" w:rsidR="00AB6753" w:rsidRPr="004A20FC" w:rsidRDefault="00AB6753" w:rsidP="002D1EA4">
            <w:r w:rsidRPr="004A20FC">
              <w:t>Departmental expenses</w:t>
            </w:r>
          </w:p>
        </w:tc>
        <w:tc>
          <w:tcPr>
            <w:tcW w:w="1708" w:type="dxa"/>
            <w:tcBorders>
              <w:top w:val="single" w:sz="4" w:space="0" w:color="auto"/>
              <w:left w:val="nil"/>
              <w:bottom w:val="single" w:sz="8" w:space="0" w:color="FFFFFF" w:themeColor="background1"/>
              <w:right w:val="nil"/>
            </w:tcBorders>
            <w:shd w:val="clear" w:color="auto" w:fill="EAEAEA"/>
            <w:noWrap/>
          </w:tcPr>
          <w:p w14:paraId="1249614A" w14:textId="77777777" w:rsidR="00AB6753" w:rsidRPr="004A20FC" w:rsidRDefault="00AB6753" w:rsidP="002D1EA4"/>
        </w:tc>
        <w:tc>
          <w:tcPr>
            <w:tcW w:w="1708" w:type="dxa"/>
            <w:tcBorders>
              <w:top w:val="single" w:sz="4" w:space="0" w:color="auto"/>
              <w:left w:val="nil"/>
              <w:bottom w:val="single" w:sz="8" w:space="0" w:color="FFFFFF" w:themeColor="background1"/>
              <w:right w:val="nil"/>
            </w:tcBorders>
            <w:shd w:val="clear" w:color="auto" w:fill="EAEAEA"/>
            <w:noWrap/>
          </w:tcPr>
          <w:p w14:paraId="242615F9" w14:textId="77777777" w:rsidR="00AB6753" w:rsidRPr="004A20FC" w:rsidRDefault="00AB6753" w:rsidP="002D1EA4">
            <w:pPr>
              <w:jc w:val="center"/>
            </w:pPr>
          </w:p>
        </w:tc>
        <w:tc>
          <w:tcPr>
            <w:tcW w:w="1709" w:type="dxa"/>
            <w:tcBorders>
              <w:top w:val="single" w:sz="4" w:space="0" w:color="auto"/>
              <w:left w:val="nil"/>
              <w:bottom w:val="single" w:sz="8" w:space="0" w:color="FFFFFF" w:themeColor="background1"/>
              <w:right w:val="nil"/>
            </w:tcBorders>
            <w:shd w:val="clear" w:color="auto" w:fill="EAEAEA"/>
            <w:noWrap/>
          </w:tcPr>
          <w:p w14:paraId="6425ACE0" w14:textId="77777777" w:rsidR="00AB6753" w:rsidRPr="004A20FC" w:rsidRDefault="00AB6753" w:rsidP="002D1EA4"/>
        </w:tc>
      </w:tr>
      <w:tr w:rsidR="00AB6753" w:rsidRPr="004A20FC" w14:paraId="2444E3F6" w14:textId="77777777" w:rsidTr="002D1EA4">
        <w:trPr>
          <w:trHeight w:val="45"/>
        </w:trPr>
        <w:tc>
          <w:tcPr>
            <w:tcW w:w="4074" w:type="dxa"/>
            <w:tcBorders>
              <w:top w:val="single" w:sz="8" w:space="0" w:color="FFFFFF" w:themeColor="background1"/>
              <w:left w:val="nil"/>
              <w:bottom w:val="single" w:sz="4" w:space="0" w:color="FFFFFF" w:themeColor="background1"/>
              <w:right w:val="nil"/>
            </w:tcBorders>
            <w:shd w:val="clear" w:color="auto" w:fill="F8F8F8"/>
            <w:noWrap/>
            <w:hideMark/>
          </w:tcPr>
          <w:p w14:paraId="24A057F0" w14:textId="77777777" w:rsidR="00AB6753" w:rsidRPr="004A20FC" w:rsidRDefault="00AB6753" w:rsidP="002D1EA4">
            <w:r w:rsidRPr="004A20FC">
              <w:t xml:space="preserve">Departmental </w:t>
            </w:r>
            <w:proofErr w:type="spellStart"/>
            <w:r w:rsidRPr="004A20FC">
              <w:t>appropriation</w:t>
            </w:r>
            <w:r w:rsidRPr="001C0BE2">
              <w:rPr>
                <w:vertAlign w:val="superscript"/>
              </w:rPr>
              <w:t>b</w:t>
            </w:r>
            <w:proofErr w:type="spellEnd"/>
          </w:p>
        </w:tc>
        <w:tc>
          <w:tcPr>
            <w:tcW w:w="1708" w:type="dxa"/>
            <w:tcBorders>
              <w:top w:val="single" w:sz="8" w:space="0" w:color="FFFFFF" w:themeColor="background1"/>
              <w:left w:val="nil"/>
              <w:bottom w:val="single" w:sz="4" w:space="0" w:color="FFFFFF" w:themeColor="background1"/>
              <w:right w:val="nil"/>
            </w:tcBorders>
            <w:shd w:val="clear" w:color="auto" w:fill="F8F8F8"/>
            <w:noWrap/>
          </w:tcPr>
          <w:p w14:paraId="365A61C3" w14:textId="77777777" w:rsidR="00AB6753" w:rsidRPr="004560C2" w:rsidRDefault="00AB6753" w:rsidP="002D1EA4">
            <w:r w:rsidRPr="004560C2">
              <w:t xml:space="preserve">17,512 </w:t>
            </w:r>
          </w:p>
        </w:tc>
        <w:tc>
          <w:tcPr>
            <w:tcW w:w="1708" w:type="dxa"/>
            <w:tcBorders>
              <w:top w:val="single" w:sz="8" w:space="0" w:color="FFFFFF" w:themeColor="background1"/>
              <w:left w:val="nil"/>
              <w:bottom w:val="single" w:sz="4" w:space="0" w:color="FFFFFF" w:themeColor="background1"/>
              <w:right w:val="nil"/>
            </w:tcBorders>
            <w:shd w:val="clear" w:color="auto" w:fill="F8F8F8"/>
            <w:noWrap/>
          </w:tcPr>
          <w:p w14:paraId="44654BEF" w14:textId="77777777" w:rsidR="00AB6753" w:rsidRPr="004A20FC" w:rsidRDefault="00AB6753" w:rsidP="002D1EA4">
            <w:r w:rsidRPr="00EC458B">
              <w:t xml:space="preserve"> 22,482 </w:t>
            </w:r>
          </w:p>
        </w:tc>
        <w:tc>
          <w:tcPr>
            <w:tcW w:w="1709" w:type="dxa"/>
            <w:tcBorders>
              <w:top w:val="single" w:sz="8" w:space="0" w:color="FFFFFF" w:themeColor="background1"/>
              <w:left w:val="nil"/>
              <w:bottom w:val="single" w:sz="4" w:space="0" w:color="FFFFFF" w:themeColor="background1"/>
              <w:right w:val="nil"/>
            </w:tcBorders>
            <w:shd w:val="clear" w:color="auto" w:fill="F8F8F8"/>
            <w:noWrap/>
          </w:tcPr>
          <w:p w14:paraId="7D1EDE58" w14:textId="77777777" w:rsidR="00AB6753" w:rsidRPr="004A20FC" w:rsidRDefault="00AB6753" w:rsidP="002D1EA4">
            <w:r>
              <w:t>(4,970)</w:t>
            </w:r>
          </w:p>
        </w:tc>
      </w:tr>
      <w:tr w:rsidR="00AB6753" w:rsidRPr="004A20FC" w14:paraId="4FD9962D" w14:textId="77777777" w:rsidTr="002D1EA4">
        <w:trPr>
          <w:trHeight w:val="45"/>
        </w:trPr>
        <w:tc>
          <w:tcPr>
            <w:tcW w:w="4074" w:type="dxa"/>
            <w:tcBorders>
              <w:top w:val="single" w:sz="4" w:space="0" w:color="FFFFFF" w:themeColor="background1"/>
              <w:left w:val="nil"/>
              <w:bottom w:val="single" w:sz="4" w:space="0" w:color="FFFFFF" w:themeColor="background1"/>
              <w:right w:val="nil"/>
            </w:tcBorders>
            <w:shd w:val="clear" w:color="auto" w:fill="EAEAEA"/>
            <w:noWrap/>
            <w:hideMark/>
          </w:tcPr>
          <w:p w14:paraId="01EA0FF0" w14:textId="77777777" w:rsidR="00AB6753" w:rsidRPr="004A20FC" w:rsidRDefault="00AB6753" w:rsidP="002D1EA4">
            <w:r w:rsidRPr="004A20FC">
              <w:t>Expenses not requiring appropriation in the Budget year</w:t>
            </w:r>
          </w:p>
        </w:tc>
        <w:tc>
          <w:tcPr>
            <w:tcW w:w="1708" w:type="dxa"/>
            <w:tcBorders>
              <w:top w:val="single" w:sz="4" w:space="0" w:color="FFFFFF" w:themeColor="background1"/>
              <w:left w:val="nil"/>
              <w:bottom w:val="single" w:sz="4" w:space="0" w:color="FFFFFF" w:themeColor="background1"/>
              <w:right w:val="nil"/>
            </w:tcBorders>
            <w:shd w:val="clear" w:color="auto" w:fill="EAEAEA"/>
            <w:noWrap/>
          </w:tcPr>
          <w:p w14:paraId="0B722D2D" w14:textId="77777777" w:rsidR="00AB6753" w:rsidRPr="004560C2" w:rsidRDefault="00AB6753" w:rsidP="002D1EA4">
            <w:r w:rsidRPr="004560C2">
              <w:t>2,013</w:t>
            </w:r>
          </w:p>
        </w:tc>
        <w:tc>
          <w:tcPr>
            <w:tcW w:w="1708" w:type="dxa"/>
            <w:tcBorders>
              <w:top w:val="single" w:sz="4" w:space="0" w:color="FFFFFF" w:themeColor="background1"/>
              <w:left w:val="nil"/>
              <w:bottom w:val="single" w:sz="4" w:space="0" w:color="FFFFFF" w:themeColor="background1"/>
              <w:right w:val="nil"/>
            </w:tcBorders>
            <w:shd w:val="clear" w:color="auto" w:fill="EAEAEA"/>
            <w:noWrap/>
          </w:tcPr>
          <w:p w14:paraId="363BD9AA" w14:textId="77777777" w:rsidR="00AB6753" w:rsidRPr="004A20FC" w:rsidRDefault="00AB6753" w:rsidP="002D1EA4">
            <w:r>
              <w:t xml:space="preserve"> 3,661</w:t>
            </w:r>
            <w:r w:rsidRPr="00EC458B">
              <w:t xml:space="preserve"> </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311A0FB6" w14:textId="77777777" w:rsidR="00AB6753" w:rsidRPr="004A20FC" w:rsidRDefault="00AB6753" w:rsidP="002D1EA4">
            <w:r>
              <w:t>(1,648)</w:t>
            </w:r>
          </w:p>
        </w:tc>
      </w:tr>
      <w:tr w:rsidR="00AB6753" w:rsidRPr="004A20FC" w14:paraId="52682ACC" w14:textId="77777777" w:rsidTr="002D1EA4">
        <w:trPr>
          <w:trHeight w:val="45"/>
        </w:trPr>
        <w:tc>
          <w:tcPr>
            <w:tcW w:w="4074" w:type="dxa"/>
            <w:tcBorders>
              <w:top w:val="single" w:sz="4" w:space="0" w:color="FFFFFF" w:themeColor="background1"/>
              <w:left w:val="nil"/>
              <w:bottom w:val="single" w:sz="4" w:space="0" w:color="FFFFFF" w:themeColor="background1"/>
              <w:right w:val="nil"/>
            </w:tcBorders>
            <w:shd w:val="clear" w:color="auto" w:fill="F8F8F8"/>
            <w:noWrap/>
            <w:hideMark/>
          </w:tcPr>
          <w:p w14:paraId="69632D1D" w14:textId="77777777" w:rsidR="00AB6753" w:rsidRPr="00521F86" w:rsidRDefault="00AB6753" w:rsidP="002D1EA4">
            <w:pPr>
              <w:rPr>
                <w:b/>
              </w:rPr>
            </w:pPr>
            <w:bookmarkStart w:id="274" w:name="_GoBack" w:colFirst="0" w:colLast="3"/>
            <w:r w:rsidRPr="00521F86">
              <w:rPr>
                <w:b/>
              </w:rPr>
              <w:t>Total for Program 4.3</w:t>
            </w:r>
          </w:p>
        </w:tc>
        <w:tc>
          <w:tcPr>
            <w:tcW w:w="1708" w:type="dxa"/>
            <w:tcBorders>
              <w:top w:val="single" w:sz="4" w:space="0" w:color="FFFFFF" w:themeColor="background1"/>
              <w:left w:val="nil"/>
              <w:bottom w:val="single" w:sz="4" w:space="0" w:color="FFFFFF" w:themeColor="background1"/>
              <w:right w:val="nil"/>
            </w:tcBorders>
            <w:shd w:val="clear" w:color="auto" w:fill="F8F8F8"/>
            <w:noWrap/>
          </w:tcPr>
          <w:p w14:paraId="1CC6998A" w14:textId="77777777" w:rsidR="00AB6753" w:rsidRPr="00521F86" w:rsidRDefault="00AB6753" w:rsidP="002D1EA4">
            <w:pPr>
              <w:rPr>
                <w:b/>
              </w:rPr>
            </w:pPr>
            <w:r w:rsidRPr="00521F86">
              <w:rPr>
                <w:b/>
              </w:rPr>
              <w:t>19,525</w:t>
            </w:r>
          </w:p>
        </w:tc>
        <w:tc>
          <w:tcPr>
            <w:tcW w:w="1708" w:type="dxa"/>
            <w:tcBorders>
              <w:top w:val="single" w:sz="4" w:space="0" w:color="FFFFFF" w:themeColor="background1"/>
              <w:left w:val="nil"/>
              <w:bottom w:val="single" w:sz="4" w:space="0" w:color="FFFFFF" w:themeColor="background1"/>
              <w:right w:val="nil"/>
            </w:tcBorders>
            <w:shd w:val="clear" w:color="auto" w:fill="F8F8F8"/>
            <w:noWrap/>
          </w:tcPr>
          <w:p w14:paraId="09FCFB1C" w14:textId="77777777" w:rsidR="00AB6753" w:rsidRPr="00521F86" w:rsidRDefault="00AB6753" w:rsidP="002D1EA4">
            <w:pPr>
              <w:rPr>
                <w:b/>
              </w:rPr>
            </w:pPr>
            <w:r w:rsidRPr="00521F86">
              <w:rPr>
                <w:b/>
              </w:rPr>
              <w:t xml:space="preserve"> 26,143 </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493A0895" w14:textId="77777777" w:rsidR="00AB6753" w:rsidRPr="00521F86" w:rsidRDefault="00AB6753" w:rsidP="002D1EA4">
            <w:pPr>
              <w:rPr>
                <w:b/>
              </w:rPr>
            </w:pPr>
            <w:r w:rsidRPr="00521F86">
              <w:rPr>
                <w:b/>
              </w:rPr>
              <w:t>(6,618)</w:t>
            </w:r>
          </w:p>
        </w:tc>
      </w:tr>
      <w:bookmarkEnd w:id="274"/>
      <w:tr w:rsidR="00AB6753" w:rsidRPr="004560C2" w14:paraId="5E44E232" w14:textId="77777777" w:rsidTr="002D1EA4">
        <w:trPr>
          <w:trHeight w:val="346"/>
        </w:trPr>
        <w:tc>
          <w:tcPr>
            <w:tcW w:w="9199" w:type="dxa"/>
            <w:gridSpan w:val="4"/>
            <w:tcBorders>
              <w:top w:val="single" w:sz="4" w:space="0" w:color="FFFFFF" w:themeColor="background1"/>
              <w:left w:val="nil"/>
              <w:bottom w:val="single" w:sz="4" w:space="0" w:color="auto"/>
              <w:right w:val="nil"/>
            </w:tcBorders>
            <w:shd w:val="clear" w:color="auto" w:fill="FFFFFF" w:themeFill="background1"/>
            <w:noWrap/>
            <w:vAlign w:val="bottom"/>
            <w:hideMark/>
          </w:tcPr>
          <w:p w14:paraId="013EB8D1" w14:textId="77777777" w:rsidR="00AB6753" w:rsidRPr="004560C2" w:rsidRDefault="00AB6753" w:rsidP="002D1EA4">
            <w:pPr>
              <w:rPr>
                <w:b/>
              </w:rPr>
            </w:pPr>
            <w:r w:rsidRPr="004560C2">
              <w:rPr>
                <w:b/>
              </w:rPr>
              <w:t>Outcome 4 Totals by appropriation type</w:t>
            </w:r>
          </w:p>
        </w:tc>
      </w:tr>
      <w:tr w:rsidR="00AB6753" w:rsidRPr="004A20FC" w14:paraId="6AE61A44" w14:textId="77777777" w:rsidTr="002D1EA4">
        <w:trPr>
          <w:trHeight w:val="45"/>
        </w:trPr>
        <w:tc>
          <w:tcPr>
            <w:tcW w:w="4074" w:type="dxa"/>
            <w:tcBorders>
              <w:top w:val="single" w:sz="4" w:space="0" w:color="auto"/>
              <w:left w:val="nil"/>
              <w:bottom w:val="single" w:sz="4" w:space="0" w:color="FFFFFF" w:themeColor="background1"/>
              <w:right w:val="nil"/>
            </w:tcBorders>
            <w:shd w:val="clear" w:color="auto" w:fill="EAEAEA"/>
            <w:noWrap/>
            <w:hideMark/>
          </w:tcPr>
          <w:p w14:paraId="13A681D1" w14:textId="77777777" w:rsidR="00AB6753" w:rsidRPr="004A20FC" w:rsidRDefault="00AB6753" w:rsidP="002D1EA4">
            <w:r w:rsidRPr="004A20FC">
              <w:t>Administered expenses</w:t>
            </w:r>
          </w:p>
        </w:tc>
        <w:tc>
          <w:tcPr>
            <w:tcW w:w="1708" w:type="dxa"/>
            <w:tcBorders>
              <w:top w:val="single" w:sz="4" w:space="0" w:color="auto"/>
              <w:left w:val="nil"/>
              <w:bottom w:val="single" w:sz="4" w:space="0" w:color="FFFFFF" w:themeColor="background1"/>
              <w:right w:val="nil"/>
            </w:tcBorders>
            <w:shd w:val="clear" w:color="auto" w:fill="EAEAEA"/>
          </w:tcPr>
          <w:p w14:paraId="75CEF235" w14:textId="77777777" w:rsidR="00AB6753" w:rsidRPr="004A53B9" w:rsidRDefault="00AB6753" w:rsidP="002D1EA4">
            <w:pPr>
              <w:rPr>
                <w:highlight w:val="green"/>
              </w:rPr>
            </w:pPr>
          </w:p>
        </w:tc>
        <w:tc>
          <w:tcPr>
            <w:tcW w:w="1708" w:type="dxa"/>
            <w:tcBorders>
              <w:top w:val="single" w:sz="4" w:space="0" w:color="auto"/>
              <w:left w:val="nil"/>
              <w:bottom w:val="single" w:sz="4" w:space="0" w:color="FFFFFF" w:themeColor="background1"/>
              <w:right w:val="nil"/>
            </w:tcBorders>
            <w:shd w:val="clear" w:color="auto" w:fill="EAEAEA"/>
          </w:tcPr>
          <w:p w14:paraId="1F2EDFCE" w14:textId="77777777" w:rsidR="00AB6753" w:rsidRPr="004A20FC" w:rsidRDefault="00AB6753" w:rsidP="002D1EA4"/>
        </w:tc>
        <w:tc>
          <w:tcPr>
            <w:tcW w:w="1709" w:type="dxa"/>
            <w:tcBorders>
              <w:top w:val="single" w:sz="4" w:space="0" w:color="auto"/>
              <w:left w:val="nil"/>
              <w:bottom w:val="single" w:sz="4" w:space="0" w:color="FFFFFF" w:themeColor="background1"/>
              <w:right w:val="nil"/>
            </w:tcBorders>
            <w:shd w:val="clear" w:color="auto" w:fill="EAEAEA"/>
          </w:tcPr>
          <w:p w14:paraId="644CA1BF" w14:textId="77777777" w:rsidR="00AB6753" w:rsidRPr="004A20FC" w:rsidRDefault="00AB6753" w:rsidP="002D1EA4"/>
        </w:tc>
      </w:tr>
      <w:tr w:rsidR="00AB6753" w:rsidRPr="004A20FC" w14:paraId="6119F571" w14:textId="77777777" w:rsidTr="002D1EA4">
        <w:trPr>
          <w:trHeight w:val="899"/>
        </w:trPr>
        <w:tc>
          <w:tcPr>
            <w:tcW w:w="4074" w:type="dxa"/>
            <w:tcBorders>
              <w:top w:val="single" w:sz="4" w:space="0" w:color="FFFFFF" w:themeColor="background1"/>
              <w:left w:val="nil"/>
              <w:bottom w:val="single" w:sz="4" w:space="0" w:color="FFFFFF" w:themeColor="background1"/>
              <w:right w:val="nil"/>
            </w:tcBorders>
            <w:shd w:val="clear" w:color="auto" w:fill="F8F8F8"/>
            <w:noWrap/>
            <w:hideMark/>
          </w:tcPr>
          <w:p w14:paraId="188A828A" w14:textId="77777777" w:rsidR="00AB6753" w:rsidRPr="004A20FC" w:rsidRDefault="00AB6753" w:rsidP="002D1EA4">
            <w:r w:rsidRPr="004A20FC">
              <w:t>Ordinary Annual Services</w:t>
            </w:r>
          </w:p>
          <w:p w14:paraId="14BEA7E6" w14:textId="77777777" w:rsidR="00AB6753" w:rsidRPr="004A20FC" w:rsidRDefault="00AB6753" w:rsidP="002D1EA4">
            <w:r w:rsidRPr="004A20FC">
              <w:t>(Appropriation Act No. 1 and No. 3)</w:t>
            </w:r>
          </w:p>
        </w:tc>
        <w:tc>
          <w:tcPr>
            <w:tcW w:w="1708" w:type="dxa"/>
            <w:tcBorders>
              <w:top w:val="single" w:sz="4" w:space="0" w:color="FFFFFF" w:themeColor="background1"/>
              <w:left w:val="nil"/>
              <w:bottom w:val="single" w:sz="4" w:space="0" w:color="FFFFFF" w:themeColor="background1"/>
              <w:right w:val="nil"/>
            </w:tcBorders>
            <w:shd w:val="clear" w:color="auto" w:fill="F8F8F8"/>
            <w:noWrap/>
          </w:tcPr>
          <w:p w14:paraId="713BEC22" w14:textId="77777777" w:rsidR="00AB6753" w:rsidRPr="004A1D23" w:rsidRDefault="00AB6753" w:rsidP="002D1EA4">
            <w:r w:rsidRPr="004A1D23">
              <w:t>133,101</w:t>
            </w:r>
          </w:p>
        </w:tc>
        <w:tc>
          <w:tcPr>
            <w:tcW w:w="1708" w:type="dxa"/>
            <w:tcBorders>
              <w:top w:val="single" w:sz="4" w:space="0" w:color="FFFFFF" w:themeColor="background1"/>
              <w:left w:val="nil"/>
              <w:bottom w:val="single" w:sz="4" w:space="0" w:color="FFFFFF" w:themeColor="background1"/>
              <w:right w:val="nil"/>
            </w:tcBorders>
            <w:shd w:val="clear" w:color="auto" w:fill="F8F8F8"/>
            <w:noWrap/>
          </w:tcPr>
          <w:p w14:paraId="22DEBC6E" w14:textId="77777777" w:rsidR="00AB6753" w:rsidRPr="004A20FC" w:rsidRDefault="00AB6753" w:rsidP="002D1EA4">
            <w:r>
              <w:t>121,141</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55EF86FA" w14:textId="77777777" w:rsidR="00AB6753" w:rsidRPr="004A20FC" w:rsidRDefault="00AB6753" w:rsidP="002D1EA4">
            <w:r>
              <w:t>11,960</w:t>
            </w:r>
          </w:p>
        </w:tc>
      </w:tr>
      <w:tr w:rsidR="00AB6753" w:rsidRPr="004A20FC" w14:paraId="102CADF9" w14:textId="77777777" w:rsidTr="002D1EA4">
        <w:trPr>
          <w:trHeight w:val="45"/>
        </w:trPr>
        <w:tc>
          <w:tcPr>
            <w:tcW w:w="4074" w:type="dxa"/>
            <w:tcBorders>
              <w:top w:val="single" w:sz="4" w:space="0" w:color="FFFFFF" w:themeColor="background1"/>
              <w:left w:val="nil"/>
              <w:bottom w:val="single" w:sz="4" w:space="0" w:color="FFFFFF" w:themeColor="background1"/>
              <w:right w:val="nil"/>
            </w:tcBorders>
            <w:shd w:val="clear" w:color="auto" w:fill="F8F8F8"/>
            <w:noWrap/>
            <w:hideMark/>
          </w:tcPr>
          <w:p w14:paraId="3BE9DAF9" w14:textId="77777777" w:rsidR="00AB6753" w:rsidRPr="004A20FC" w:rsidRDefault="00AB6753" w:rsidP="002D1EA4">
            <w:r w:rsidRPr="004A20FC">
              <w:t>Departmental expenses</w:t>
            </w:r>
          </w:p>
        </w:tc>
        <w:tc>
          <w:tcPr>
            <w:tcW w:w="1708" w:type="dxa"/>
            <w:tcBorders>
              <w:top w:val="single" w:sz="4" w:space="0" w:color="FFFFFF" w:themeColor="background1"/>
              <w:left w:val="nil"/>
              <w:bottom w:val="single" w:sz="4" w:space="0" w:color="FFFFFF" w:themeColor="background1"/>
              <w:right w:val="nil"/>
            </w:tcBorders>
            <w:shd w:val="clear" w:color="auto" w:fill="F8F8F8"/>
          </w:tcPr>
          <w:p w14:paraId="15826404" w14:textId="77777777" w:rsidR="00AB6753" w:rsidRPr="004A1D23" w:rsidRDefault="00AB6753" w:rsidP="002D1EA4"/>
        </w:tc>
        <w:tc>
          <w:tcPr>
            <w:tcW w:w="1708" w:type="dxa"/>
            <w:tcBorders>
              <w:top w:val="single" w:sz="4" w:space="0" w:color="FFFFFF" w:themeColor="background1"/>
              <w:left w:val="nil"/>
              <w:bottom w:val="single" w:sz="4" w:space="0" w:color="FFFFFF" w:themeColor="background1"/>
              <w:right w:val="nil"/>
            </w:tcBorders>
            <w:shd w:val="clear" w:color="auto" w:fill="F8F8F8"/>
          </w:tcPr>
          <w:p w14:paraId="4643B3F6" w14:textId="77777777" w:rsidR="00AB6753" w:rsidRPr="004A20FC" w:rsidRDefault="00AB6753" w:rsidP="002D1EA4"/>
        </w:tc>
        <w:tc>
          <w:tcPr>
            <w:tcW w:w="1709" w:type="dxa"/>
            <w:tcBorders>
              <w:top w:val="single" w:sz="4" w:space="0" w:color="FFFFFF" w:themeColor="background1"/>
              <w:left w:val="nil"/>
              <w:bottom w:val="single" w:sz="4" w:space="0" w:color="FFFFFF" w:themeColor="background1"/>
              <w:right w:val="nil"/>
            </w:tcBorders>
            <w:shd w:val="clear" w:color="auto" w:fill="F8F8F8"/>
          </w:tcPr>
          <w:p w14:paraId="2E5BBB49" w14:textId="77777777" w:rsidR="00AB6753" w:rsidRPr="004A20FC" w:rsidRDefault="00AB6753" w:rsidP="002D1EA4"/>
        </w:tc>
      </w:tr>
      <w:tr w:rsidR="00AB6753" w:rsidRPr="004A20FC" w14:paraId="0AB36567" w14:textId="77777777" w:rsidTr="002D1EA4">
        <w:trPr>
          <w:trHeight w:val="45"/>
        </w:trPr>
        <w:tc>
          <w:tcPr>
            <w:tcW w:w="4074" w:type="dxa"/>
            <w:tcBorders>
              <w:top w:val="single" w:sz="4" w:space="0" w:color="FFFFFF" w:themeColor="background1"/>
              <w:left w:val="nil"/>
              <w:bottom w:val="single" w:sz="4" w:space="0" w:color="FFFFFF" w:themeColor="background1"/>
              <w:right w:val="nil"/>
            </w:tcBorders>
            <w:shd w:val="clear" w:color="auto" w:fill="EAEAEA"/>
            <w:noWrap/>
            <w:hideMark/>
          </w:tcPr>
          <w:p w14:paraId="1D1AE3C1" w14:textId="77777777" w:rsidR="00AB6753" w:rsidRPr="004A20FC" w:rsidRDefault="00AB6753" w:rsidP="002D1EA4">
            <w:r w:rsidRPr="004A20FC">
              <w:t xml:space="preserve">Departmental </w:t>
            </w:r>
            <w:proofErr w:type="spellStart"/>
            <w:r w:rsidRPr="004A20FC">
              <w:t>appropriation</w:t>
            </w:r>
            <w:r w:rsidRPr="001C0BE2">
              <w:rPr>
                <w:vertAlign w:val="superscript"/>
              </w:rPr>
              <w:t>b</w:t>
            </w:r>
            <w:proofErr w:type="spellEnd"/>
          </w:p>
        </w:tc>
        <w:tc>
          <w:tcPr>
            <w:tcW w:w="1708" w:type="dxa"/>
            <w:tcBorders>
              <w:top w:val="single" w:sz="4" w:space="0" w:color="FFFFFF" w:themeColor="background1"/>
              <w:left w:val="nil"/>
              <w:bottom w:val="single" w:sz="4" w:space="0" w:color="FFFFFF" w:themeColor="background1"/>
              <w:right w:val="nil"/>
            </w:tcBorders>
            <w:shd w:val="clear" w:color="auto" w:fill="EAEAEA"/>
            <w:noWrap/>
          </w:tcPr>
          <w:p w14:paraId="2BA022BB" w14:textId="77777777" w:rsidR="00AB6753" w:rsidRPr="004A1D23" w:rsidRDefault="00AB6753" w:rsidP="002D1EA4">
            <w:r w:rsidRPr="004A1D23">
              <w:t xml:space="preserve">17,512 </w:t>
            </w:r>
          </w:p>
        </w:tc>
        <w:tc>
          <w:tcPr>
            <w:tcW w:w="1708" w:type="dxa"/>
            <w:tcBorders>
              <w:top w:val="single" w:sz="4" w:space="0" w:color="FFFFFF" w:themeColor="background1"/>
              <w:left w:val="nil"/>
              <w:bottom w:val="single" w:sz="4" w:space="0" w:color="FFFFFF" w:themeColor="background1"/>
              <w:right w:val="nil"/>
            </w:tcBorders>
            <w:shd w:val="clear" w:color="auto" w:fill="EAEAEA"/>
            <w:noWrap/>
          </w:tcPr>
          <w:p w14:paraId="39611B94" w14:textId="77777777" w:rsidR="00AB6753" w:rsidRPr="004A20FC" w:rsidRDefault="00AB6753" w:rsidP="002D1EA4">
            <w:r w:rsidRPr="00F76FE3">
              <w:t xml:space="preserve"> 22,482 </w:t>
            </w:r>
          </w:p>
        </w:tc>
        <w:tc>
          <w:tcPr>
            <w:tcW w:w="1709" w:type="dxa"/>
            <w:tcBorders>
              <w:top w:val="single" w:sz="4" w:space="0" w:color="FFFFFF" w:themeColor="background1"/>
              <w:left w:val="nil"/>
              <w:bottom w:val="single" w:sz="4" w:space="0" w:color="FFFFFF" w:themeColor="background1"/>
              <w:right w:val="nil"/>
            </w:tcBorders>
            <w:shd w:val="clear" w:color="auto" w:fill="EAEAEA"/>
            <w:noWrap/>
          </w:tcPr>
          <w:p w14:paraId="5D6BC6B8" w14:textId="77777777" w:rsidR="00AB6753" w:rsidRPr="004A20FC" w:rsidRDefault="00AB6753" w:rsidP="002D1EA4">
            <w:r>
              <w:t>(4,970)</w:t>
            </w:r>
          </w:p>
        </w:tc>
      </w:tr>
      <w:tr w:rsidR="00AB6753" w:rsidRPr="004A20FC" w14:paraId="7F10CCC9" w14:textId="77777777" w:rsidTr="002D1EA4">
        <w:trPr>
          <w:trHeight w:val="45"/>
        </w:trPr>
        <w:tc>
          <w:tcPr>
            <w:tcW w:w="4074" w:type="dxa"/>
            <w:tcBorders>
              <w:top w:val="single" w:sz="4" w:space="0" w:color="FFFFFF" w:themeColor="background1"/>
              <w:left w:val="nil"/>
              <w:bottom w:val="single" w:sz="4" w:space="0" w:color="FFFFFF" w:themeColor="background1"/>
              <w:right w:val="nil"/>
            </w:tcBorders>
            <w:shd w:val="clear" w:color="auto" w:fill="F8F8F8"/>
            <w:noWrap/>
            <w:hideMark/>
          </w:tcPr>
          <w:p w14:paraId="1F45CAC1" w14:textId="77777777" w:rsidR="00AB6753" w:rsidRPr="004A20FC" w:rsidRDefault="00AB6753" w:rsidP="002D1EA4">
            <w:r w:rsidRPr="004A20FC">
              <w:t>Expenses not requiring appropriation in the Budget year</w:t>
            </w:r>
          </w:p>
        </w:tc>
        <w:tc>
          <w:tcPr>
            <w:tcW w:w="1708" w:type="dxa"/>
            <w:tcBorders>
              <w:top w:val="single" w:sz="4" w:space="0" w:color="FFFFFF" w:themeColor="background1"/>
              <w:left w:val="nil"/>
              <w:bottom w:val="single" w:sz="4" w:space="0" w:color="FFFFFF" w:themeColor="background1"/>
              <w:right w:val="nil"/>
            </w:tcBorders>
            <w:shd w:val="clear" w:color="auto" w:fill="F8F8F8"/>
            <w:noWrap/>
          </w:tcPr>
          <w:p w14:paraId="538019A4" w14:textId="77777777" w:rsidR="00AB6753" w:rsidRPr="004A1D23" w:rsidRDefault="00AB6753" w:rsidP="002D1EA4">
            <w:r w:rsidRPr="004A1D23">
              <w:t xml:space="preserve"> 2,013 </w:t>
            </w:r>
          </w:p>
        </w:tc>
        <w:tc>
          <w:tcPr>
            <w:tcW w:w="1708" w:type="dxa"/>
            <w:tcBorders>
              <w:top w:val="single" w:sz="4" w:space="0" w:color="FFFFFF" w:themeColor="background1"/>
              <w:left w:val="nil"/>
              <w:bottom w:val="single" w:sz="4" w:space="0" w:color="FFFFFF" w:themeColor="background1"/>
              <w:right w:val="nil"/>
            </w:tcBorders>
            <w:shd w:val="clear" w:color="auto" w:fill="F8F8F8"/>
            <w:noWrap/>
          </w:tcPr>
          <w:p w14:paraId="74648603" w14:textId="77777777" w:rsidR="00AB6753" w:rsidRPr="004A20FC" w:rsidRDefault="00AB6753" w:rsidP="002D1EA4">
            <w:r w:rsidRPr="00F76FE3">
              <w:t xml:space="preserve"> 3,66</w:t>
            </w:r>
            <w:r>
              <w:t>1</w:t>
            </w:r>
            <w:r w:rsidRPr="00F76FE3">
              <w:t xml:space="preserve"> </w:t>
            </w:r>
          </w:p>
        </w:tc>
        <w:tc>
          <w:tcPr>
            <w:tcW w:w="1709" w:type="dxa"/>
            <w:tcBorders>
              <w:top w:val="single" w:sz="4" w:space="0" w:color="FFFFFF" w:themeColor="background1"/>
              <w:left w:val="nil"/>
              <w:bottom w:val="single" w:sz="4" w:space="0" w:color="FFFFFF" w:themeColor="background1"/>
              <w:right w:val="nil"/>
            </w:tcBorders>
            <w:shd w:val="clear" w:color="auto" w:fill="F8F8F8"/>
            <w:noWrap/>
          </w:tcPr>
          <w:p w14:paraId="4F760E56" w14:textId="77777777" w:rsidR="00AB6753" w:rsidRPr="004A20FC" w:rsidRDefault="00AB6753" w:rsidP="002D1EA4">
            <w:r>
              <w:t>(1,648)</w:t>
            </w:r>
          </w:p>
        </w:tc>
      </w:tr>
      <w:tr w:rsidR="00AB6753" w:rsidRPr="006E2578" w14:paraId="6D4377B5" w14:textId="77777777" w:rsidTr="002D1EA4">
        <w:trPr>
          <w:trHeight w:val="91"/>
        </w:trPr>
        <w:tc>
          <w:tcPr>
            <w:tcW w:w="4074" w:type="dxa"/>
            <w:tcBorders>
              <w:top w:val="single" w:sz="4" w:space="0" w:color="FFFFFF" w:themeColor="background1"/>
              <w:left w:val="nil"/>
              <w:bottom w:val="nil"/>
              <w:right w:val="nil"/>
            </w:tcBorders>
            <w:shd w:val="clear" w:color="auto" w:fill="EAEAEA"/>
            <w:noWrap/>
            <w:hideMark/>
          </w:tcPr>
          <w:p w14:paraId="428D292A" w14:textId="77777777" w:rsidR="00AB6753" w:rsidRPr="00521F86" w:rsidRDefault="00AB6753" w:rsidP="002D1EA4">
            <w:pPr>
              <w:rPr>
                <w:b/>
              </w:rPr>
            </w:pPr>
            <w:r w:rsidRPr="00521F86">
              <w:rPr>
                <w:b/>
              </w:rPr>
              <w:lastRenderedPageBreak/>
              <w:t>Total expenses for Outcome 4</w:t>
            </w:r>
          </w:p>
        </w:tc>
        <w:tc>
          <w:tcPr>
            <w:tcW w:w="1708" w:type="dxa"/>
            <w:tcBorders>
              <w:top w:val="single" w:sz="4" w:space="0" w:color="FFFFFF" w:themeColor="background1"/>
              <w:left w:val="nil"/>
              <w:bottom w:val="nil"/>
              <w:right w:val="nil"/>
            </w:tcBorders>
            <w:shd w:val="clear" w:color="auto" w:fill="EAEAEA"/>
            <w:noWrap/>
          </w:tcPr>
          <w:p w14:paraId="3C710AB2" w14:textId="77777777" w:rsidR="00AB6753" w:rsidRPr="00521F86" w:rsidRDefault="00AB6753" w:rsidP="002D1EA4">
            <w:pPr>
              <w:rPr>
                <w:b/>
              </w:rPr>
            </w:pPr>
            <w:r w:rsidRPr="00521F86">
              <w:rPr>
                <w:b/>
              </w:rPr>
              <w:t>152,626</w:t>
            </w:r>
          </w:p>
        </w:tc>
        <w:tc>
          <w:tcPr>
            <w:tcW w:w="1708" w:type="dxa"/>
            <w:tcBorders>
              <w:top w:val="single" w:sz="4" w:space="0" w:color="FFFFFF" w:themeColor="background1"/>
              <w:left w:val="nil"/>
              <w:bottom w:val="nil"/>
              <w:right w:val="nil"/>
            </w:tcBorders>
            <w:shd w:val="clear" w:color="auto" w:fill="EAEAEA"/>
            <w:noWrap/>
          </w:tcPr>
          <w:p w14:paraId="57B431B8" w14:textId="77777777" w:rsidR="00AB6753" w:rsidRPr="00521F86" w:rsidRDefault="00AB6753" w:rsidP="002D1EA4">
            <w:pPr>
              <w:rPr>
                <w:b/>
              </w:rPr>
            </w:pPr>
            <w:r w:rsidRPr="00521F86">
              <w:rPr>
                <w:b/>
              </w:rPr>
              <w:t>147,284</w:t>
            </w:r>
          </w:p>
        </w:tc>
        <w:tc>
          <w:tcPr>
            <w:tcW w:w="1709" w:type="dxa"/>
            <w:tcBorders>
              <w:top w:val="single" w:sz="4" w:space="0" w:color="FFFFFF" w:themeColor="background1"/>
              <w:left w:val="nil"/>
              <w:bottom w:val="nil"/>
              <w:right w:val="nil"/>
            </w:tcBorders>
            <w:shd w:val="clear" w:color="auto" w:fill="EAEAEA"/>
            <w:noWrap/>
          </w:tcPr>
          <w:p w14:paraId="36E43EA1" w14:textId="77777777" w:rsidR="00AB6753" w:rsidRPr="00521F86" w:rsidRDefault="00AB6753" w:rsidP="002D1EA4">
            <w:pPr>
              <w:rPr>
                <w:b/>
              </w:rPr>
            </w:pPr>
            <w:r w:rsidRPr="00521F86">
              <w:rPr>
                <w:b/>
              </w:rPr>
              <w:t>5,342</w:t>
            </w:r>
          </w:p>
        </w:tc>
      </w:tr>
    </w:tbl>
    <w:p w14:paraId="5054570F" w14:textId="77777777" w:rsidR="00AB6753" w:rsidRPr="00E42540" w:rsidRDefault="00AB6753" w:rsidP="00AB6753">
      <w:pPr>
        <w:spacing w:after="0"/>
        <w:ind w:left="284" w:hanging="284"/>
        <w:rPr>
          <w:sz w:val="18"/>
        </w:rPr>
      </w:pPr>
      <w:r w:rsidRPr="006E2578">
        <w:rPr>
          <w:sz w:val="18"/>
          <w:szCs w:val="18"/>
        </w:rPr>
        <w:t>a</w:t>
      </w:r>
      <w:r w:rsidRPr="006E2578">
        <w:rPr>
          <w:sz w:val="18"/>
          <w:szCs w:val="18"/>
        </w:rPr>
        <w:tab/>
      </w:r>
      <w:r w:rsidRPr="00E42540">
        <w:rPr>
          <w:sz w:val="18"/>
        </w:rPr>
        <w:t xml:space="preserve">Represents estimated actual expenses for the 2019–20 financial year reported in the </w:t>
      </w:r>
      <w:r w:rsidRPr="004560C2">
        <w:rPr>
          <w:sz w:val="18"/>
        </w:rPr>
        <w:t>Economic and Fiscal Update July 2020</w:t>
      </w:r>
      <w:r w:rsidRPr="00E42540">
        <w:rPr>
          <w:sz w:val="18"/>
        </w:rPr>
        <w:t>.</w:t>
      </w:r>
    </w:p>
    <w:p w14:paraId="4E9CC17A" w14:textId="77777777" w:rsidR="00AB6753" w:rsidRPr="00E42540" w:rsidRDefault="00AB6753" w:rsidP="00AB6753">
      <w:pPr>
        <w:spacing w:after="0"/>
        <w:ind w:left="284" w:hanging="284"/>
        <w:rPr>
          <w:sz w:val="18"/>
        </w:rPr>
      </w:pPr>
      <w:r w:rsidRPr="00E42540">
        <w:rPr>
          <w:sz w:val="18"/>
        </w:rPr>
        <w:t>b</w:t>
      </w:r>
      <w:r w:rsidRPr="00E42540">
        <w:rPr>
          <w:sz w:val="18"/>
        </w:rPr>
        <w:tab/>
        <w:t>Departmental appropriation includes section 74 retained revenue receipts.</w:t>
      </w:r>
    </w:p>
    <w:p w14:paraId="6EB735CA" w14:textId="77777777" w:rsidR="00AB6753" w:rsidRDefault="00AB6753" w:rsidP="00AB6753">
      <w:pPr>
        <w:rPr>
          <w:rFonts w:cs="Arial"/>
          <w:sz w:val="24"/>
          <w:szCs w:val="24"/>
        </w:rPr>
      </w:pPr>
      <w:r>
        <w:rPr>
          <w:rFonts w:cs="Arial"/>
          <w:sz w:val="24"/>
          <w:szCs w:val="24"/>
        </w:rPr>
        <w:br w:type="page"/>
      </w:r>
    </w:p>
    <w:p w14:paraId="059789BC" w14:textId="77777777" w:rsidR="00AB6753" w:rsidRPr="00DF389C" w:rsidRDefault="00AB6753" w:rsidP="00AB6753">
      <w:pPr>
        <w:pStyle w:val="Heading5"/>
        <w:spacing w:after="200"/>
        <w:rPr>
          <w:color w:val="auto"/>
          <w:sz w:val="28"/>
        </w:rPr>
      </w:pPr>
      <w:r w:rsidRPr="00DF389C">
        <w:rPr>
          <w:color w:val="auto"/>
          <w:sz w:val="28"/>
        </w:rPr>
        <w:lastRenderedPageBreak/>
        <w:t>Appendix B</w:t>
      </w:r>
    </w:p>
    <w:p w14:paraId="218BB4CF" w14:textId="77777777" w:rsidR="00AB6753" w:rsidRPr="00054A67" w:rsidRDefault="00AB6753" w:rsidP="00AB6753">
      <w:pPr>
        <w:pStyle w:val="Heading1"/>
        <w:spacing w:before="240" w:after="240"/>
        <w:rPr>
          <w:rFonts w:ascii="Georgia" w:hAnsi="Georgia"/>
          <w:b w:val="0"/>
          <w:color w:val="215868" w:themeColor="accent5" w:themeShade="80"/>
          <w:sz w:val="72"/>
        </w:rPr>
      </w:pPr>
      <w:r w:rsidRPr="00054A67">
        <w:rPr>
          <w:rFonts w:ascii="Georgia" w:hAnsi="Georgia"/>
          <w:b w:val="0"/>
          <w:color w:val="215868" w:themeColor="accent5" w:themeShade="80"/>
          <w:sz w:val="72"/>
        </w:rPr>
        <w:t>Advertising and market research</w:t>
      </w:r>
    </w:p>
    <w:p w14:paraId="07A435EE" w14:textId="77777777" w:rsidR="00AB6753" w:rsidRPr="00BD6D19" w:rsidRDefault="00AB6753" w:rsidP="00AB6753">
      <w:pPr>
        <w:autoSpaceDE w:val="0"/>
        <w:autoSpaceDN w:val="0"/>
        <w:adjustRightInd w:val="0"/>
        <w:spacing w:before="120" w:after="180" w:line="280" w:lineRule="atLeast"/>
        <w:ind w:right="-164"/>
        <w:rPr>
          <w:sz w:val="20"/>
          <w:szCs w:val="20"/>
        </w:rPr>
      </w:pPr>
      <w:r w:rsidRPr="00BD6D19">
        <w:rPr>
          <w:sz w:val="20"/>
          <w:szCs w:val="20"/>
        </w:rPr>
        <w:t xml:space="preserve">In 2019–20, the </w:t>
      </w:r>
      <w:r>
        <w:rPr>
          <w:sz w:val="20"/>
          <w:szCs w:val="20"/>
        </w:rPr>
        <w:t>department</w:t>
      </w:r>
      <w:r w:rsidRPr="00BD6D19">
        <w:rPr>
          <w:sz w:val="20"/>
          <w:szCs w:val="20"/>
        </w:rPr>
        <w:t xml:space="preserve"> conducted the following advertising campaigns: </w:t>
      </w:r>
    </w:p>
    <w:p w14:paraId="41B59EF0"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Stop it at the Start – the campaign aims to help break the cycle of violence by encouraging adults to reflect on their attitudes and talk with young people about respectful relationships and gender equality. It was jointly funded by the Australian and state and territory governments</w:t>
      </w:r>
    </w:p>
    <w:p w14:paraId="6F9F2EDB"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Help is Here – the campaign provides information on support services available to anyone affected by domestic and family violence, to help them access the support they need, when they need it.</w:t>
      </w:r>
    </w:p>
    <w:p w14:paraId="48D58750" w14:textId="77777777" w:rsidR="00AB6753" w:rsidRDefault="00AB6753" w:rsidP="00AB6753">
      <w:pPr>
        <w:autoSpaceDE w:val="0"/>
        <w:autoSpaceDN w:val="0"/>
        <w:adjustRightInd w:val="0"/>
        <w:spacing w:before="120" w:after="180" w:line="280" w:lineRule="atLeast"/>
        <w:ind w:right="-164"/>
        <w:rPr>
          <w:sz w:val="20"/>
          <w:szCs w:val="20"/>
        </w:rPr>
      </w:pPr>
      <w:r>
        <w:rPr>
          <w:sz w:val="20"/>
          <w:szCs w:val="20"/>
        </w:rPr>
        <w:t>For f</w:t>
      </w:r>
      <w:r w:rsidRPr="00BD6D19">
        <w:rPr>
          <w:sz w:val="20"/>
          <w:szCs w:val="20"/>
        </w:rPr>
        <w:t>urther information on the advertising campaigns</w:t>
      </w:r>
      <w:r>
        <w:rPr>
          <w:sz w:val="20"/>
          <w:szCs w:val="20"/>
        </w:rPr>
        <w:t>, go to</w:t>
      </w:r>
      <w:r w:rsidRPr="00BD6D19">
        <w:rPr>
          <w:sz w:val="20"/>
          <w:szCs w:val="20"/>
        </w:rPr>
        <w:t xml:space="preserve"> dss.gov.au</w:t>
      </w:r>
    </w:p>
    <w:p w14:paraId="42B4D65D" w14:textId="77777777" w:rsidR="00AB6753" w:rsidRPr="00BD6D19" w:rsidRDefault="00AB6753" w:rsidP="00AB6753">
      <w:pPr>
        <w:autoSpaceDE w:val="0"/>
        <w:autoSpaceDN w:val="0"/>
        <w:adjustRightInd w:val="0"/>
        <w:spacing w:before="120" w:after="180" w:line="280" w:lineRule="atLeast"/>
        <w:ind w:right="-164"/>
        <w:rPr>
          <w:sz w:val="20"/>
          <w:szCs w:val="20"/>
        </w:rPr>
      </w:pPr>
      <w:r>
        <w:rPr>
          <w:sz w:val="20"/>
          <w:szCs w:val="20"/>
        </w:rPr>
        <w:t xml:space="preserve">For further information on </w:t>
      </w:r>
      <w:r w:rsidRPr="00BD6D19">
        <w:rPr>
          <w:sz w:val="20"/>
          <w:szCs w:val="20"/>
        </w:rPr>
        <w:t>the reports on Australian Government advertising prepared by the Department of Finance,</w:t>
      </w:r>
      <w:r>
        <w:rPr>
          <w:sz w:val="20"/>
          <w:szCs w:val="20"/>
        </w:rPr>
        <w:t xml:space="preserve"> go to</w:t>
      </w:r>
      <w:r w:rsidRPr="00BD6D19">
        <w:rPr>
          <w:sz w:val="20"/>
          <w:szCs w:val="20"/>
        </w:rPr>
        <w:t xml:space="preserve"> finance.gov.au</w:t>
      </w:r>
    </w:p>
    <w:p w14:paraId="2E908082" w14:textId="77777777" w:rsidR="00AB6753" w:rsidRPr="00BD6D19" w:rsidRDefault="00AB6753" w:rsidP="00AB6753">
      <w:pPr>
        <w:autoSpaceDE w:val="0"/>
        <w:autoSpaceDN w:val="0"/>
        <w:adjustRightInd w:val="0"/>
        <w:spacing w:before="120" w:after="180" w:line="280" w:lineRule="atLeast"/>
        <w:ind w:right="-164"/>
        <w:rPr>
          <w:sz w:val="20"/>
          <w:szCs w:val="20"/>
        </w:rPr>
      </w:pPr>
      <w:r w:rsidRPr="00BD6D19">
        <w:rPr>
          <w:sz w:val="20"/>
          <w:szCs w:val="20"/>
        </w:rPr>
        <w:t xml:space="preserve">Tables </w:t>
      </w:r>
      <w:r>
        <w:rPr>
          <w:sz w:val="20"/>
          <w:szCs w:val="20"/>
        </w:rPr>
        <w:t>B</w:t>
      </w:r>
      <w:r w:rsidRPr="00BD6D19">
        <w:rPr>
          <w:sz w:val="20"/>
          <w:szCs w:val="20"/>
        </w:rPr>
        <w:t xml:space="preserve">-1 to </w:t>
      </w:r>
      <w:r>
        <w:rPr>
          <w:sz w:val="20"/>
          <w:szCs w:val="20"/>
        </w:rPr>
        <w:t>B</w:t>
      </w:r>
      <w:r w:rsidRPr="00BD6D19">
        <w:rPr>
          <w:sz w:val="20"/>
          <w:szCs w:val="20"/>
        </w:rPr>
        <w:t xml:space="preserve">-4 list payments of $14,000 or more (GST inclusive) to advertising agencies and market research, polling, direct mail and media advertising organisations, as required under section 311A of the </w:t>
      </w:r>
      <w:r w:rsidRPr="006C0163">
        <w:rPr>
          <w:i/>
          <w:sz w:val="20"/>
          <w:szCs w:val="20"/>
        </w:rPr>
        <w:t>Commonwealth Electoral Act 1918</w:t>
      </w:r>
      <w:r w:rsidRPr="00BD6D19">
        <w:rPr>
          <w:sz w:val="20"/>
          <w:szCs w:val="20"/>
        </w:rPr>
        <w:t>.</w:t>
      </w:r>
    </w:p>
    <w:p w14:paraId="789EC314" w14:textId="77777777" w:rsidR="00AB6753" w:rsidRDefault="00AB6753" w:rsidP="00AB6753">
      <w:pPr>
        <w:rPr>
          <w:rFonts w:asciiTheme="minorHAnsi" w:hAnsiTheme="minorHAnsi" w:cs="Calibri"/>
          <w:b/>
          <w:sz w:val="24"/>
        </w:rPr>
      </w:pPr>
      <w:r>
        <w:rPr>
          <w:rFonts w:asciiTheme="minorHAnsi" w:hAnsiTheme="minorHAnsi" w:cs="Calibri"/>
          <w:b/>
          <w:sz w:val="24"/>
        </w:rPr>
        <w:br w:type="page"/>
      </w:r>
    </w:p>
    <w:p w14:paraId="7DAEDDE2" w14:textId="77777777" w:rsidR="00AB6753" w:rsidRPr="00A050FC" w:rsidRDefault="00AB6753" w:rsidP="00AB6753">
      <w:pPr>
        <w:rPr>
          <w:rFonts w:ascii="Arial Narrow" w:hAnsi="Arial Narrow" w:cs="Calibri"/>
          <w:b/>
          <w:sz w:val="20"/>
          <w:szCs w:val="20"/>
        </w:rPr>
      </w:pPr>
      <w:r w:rsidRPr="00A050FC">
        <w:rPr>
          <w:rFonts w:ascii="Arial Narrow" w:hAnsi="Arial Narrow" w:cs="Calibri"/>
          <w:b/>
          <w:sz w:val="20"/>
          <w:szCs w:val="20"/>
        </w:rPr>
        <w:lastRenderedPageBreak/>
        <w:t xml:space="preserve">Table </w:t>
      </w:r>
      <w:r>
        <w:rPr>
          <w:rFonts w:ascii="Arial Narrow" w:hAnsi="Arial Narrow" w:cs="Calibri"/>
          <w:b/>
          <w:sz w:val="20"/>
          <w:szCs w:val="20"/>
        </w:rPr>
        <w:t>B</w:t>
      </w:r>
      <w:r w:rsidRPr="00A050FC">
        <w:rPr>
          <w:rFonts w:ascii="Arial Narrow" w:hAnsi="Arial Narrow" w:cs="Calibri"/>
          <w:b/>
          <w:sz w:val="20"/>
          <w:szCs w:val="20"/>
        </w:rPr>
        <w:t>-1 Payments to advertising agencies in 2019-20</w:t>
      </w:r>
    </w:p>
    <w:tbl>
      <w:tblPr>
        <w:tblStyle w:val="Verticaltable3"/>
        <w:tblW w:w="4973" w:type="pct"/>
        <w:tblLayout w:type="fixed"/>
        <w:tblLook w:val="01E0" w:firstRow="1" w:lastRow="1" w:firstColumn="1" w:lastColumn="1" w:noHBand="0" w:noVBand="0"/>
        <w:tblCaption w:val="Table B-1 Payments to advertising agencies in 2019-20"/>
        <w:tblDescription w:val="This table lists the name of the provider, the service provided and the amount paid inclusive of GST."/>
      </w:tblPr>
      <w:tblGrid>
        <w:gridCol w:w="2932"/>
        <w:gridCol w:w="4894"/>
        <w:gridCol w:w="1151"/>
      </w:tblGrid>
      <w:tr w:rsidR="00AB6753" w:rsidRPr="00BD6D19" w14:paraId="646E027E" w14:textId="77777777" w:rsidTr="002D1EA4">
        <w:trPr>
          <w:cnfStyle w:val="100000000000" w:firstRow="1" w:lastRow="0" w:firstColumn="0" w:lastColumn="0" w:oddVBand="0" w:evenVBand="0" w:oddHBand="0"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33" w:type="pct"/>
          </w:tcPr>
          <w:p w14:paraId="38831E9D" w14:textId="77777777" w:rsidR="00AB6753" w:rsidRPr="00BD6D19" w:rsidRDefault="00AB6753" w:rsidP="002D1EA4">
            <w:pPr>
              <w:rPr>
                <w:b w:val="0"/>
                <w:bCs/>
                <w:sz w:val="20"/>
                <w:szCs w:val="20"/>
              </w:rPr>
            </w:pPr>
            <w:r w:rsidRPr="00BD6D19">
              <w:rPr>
                <w:b w:val="0"/>
                <w:bCs/>
                <w:sz w:val="20"/>
                <w:szCs w:val="20"/>
              </w:rPr>
              <w:t>Provider name</w:t>
            </w:r>
          </w:p>
        </w:tc>
        <w:tc>
          <w:tcPr>
            <w:cnfStyle w:val="000001000000" w:firstRow="0" w:lastRow="0" w:firstColumn="0" w:lastColumn="0" w:oddVBand="0" w:evenVBand="1" w:oddHBand="0" w:evenHBand="0" w:firstRowFirstColumn="0" w:firstRowLastColumn="0" w:lastRowFirstColumn="0" w:lastRowLastColumn="0"/>
            <w:tcW w:w="2726" w:type="pct"/>
          </w:tcPr>
          <w:p w14:paraId="193A3C16" w14:textId="77777777" w:rsidR="00AB6753" w:rsidRPr="00BD6D19" w:rsidRDefault="00AB6753" w:rsidP="002D1EA4">
            <w:pPr>
              <w:rPr>
                <w:b w:val="0"/>
                <w:bCs/>
                <w:sz w:val="20"/>
                <w:szCs w:val="20"/>
              </w:rPr>
            </w:pPr>
            <w:r w:rsidRPr="00BD6D19">
              <w:rPr>
                <w:b w:val="0"/>
                <w:bCs/>
                <w:sz w:val="20"/>
                <w:szCs w:val="20"/>
              </w:rPr>
              <w:t>Service provided</w:t>
            </w:r>
          </w:p>
        </w:tc>
        <w:tc>
          <w:tcPr>
            <w:cnfStyle w:val="000010000000" w:firstRow="0" w:lastRow="0" w:firstColumn="0" w:lastColumn="0" w:oddVBand="1" w:evenVBand="0" w:oddHBand="0" w:evenHBand="0" w:firstRowFirstColumn="0" w:firstRowLastColumn="0" w:lastRowFirstColumn="0" w:lastRowLastColumn="0"/>
            <w:tcW w:w="641" w:type="pct"/>
          </w:tcPr>
          <w:p w14:paraId="6A1FE3AB" w14:textId="77777777" w:rsidR="00AB6753" w:rsidRPr="00BD6D19" w:rsidRDefault="00AB6753" w:rsidP="002D1EA4">
            <w:pPr>
              <w:rPr>
                <w:b w:val="0"/>
                <w:bCs/>
                <w:sz w:val="20"/>
                <w:szCs w:val="20"/>
              </w:rPr>
            </w:pPr>
            <w:r w:rsidRPr="00BD6D19">
              <w:rPr>
                <w:b w:val="0"/>
                <w:bCs/>
                <w:sz w:val="20"/>
                <w:szCs w:val="20"/>
              </w:rPr>
              <w:t xml:space="preserve">Amount paid $ </w:t>
            </w:r>
            <w:proofErr w:type="spellStart"/>
            <w:r w:rsidRPr="00BD6D19">
              <w:rPr>
                <w:b w:val="0"/>
                <w:bCs/>
                <w:sz w:val="20"/>
                <w:szCs w:val="20"/>
              </w:rPr>
              <w:t>incl</w:t>
            </w:r>
            <w:proofErr w:type="spellEnd"/>
            <w:r w:rsidRPr="00BD6D19">
              <w:rPr>
                <w:b w:val="0"/>
                <w:bCs/>
                <w:sz w:val="20"/>
                <w:szCs w:val="20"/>
              </w:rPr>
              <w:t xml:space="preserve"> GST</w:t>
            </w:r>
          </w:p>
        </w:tc>
      </w:tr>
      <w:tr w:rsidR="00AB6753" w:rsidRPr="00BD6D19" w14:paraId="12D0BDC1"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33" w:type="pct"/>
          </w:tcPr>
          <w:p w14:paraId="6B6280C6" w14:textId="77777777" w:rsidR="00AB6753" w:rsidRPr="00BD6D19" w:rsidRDefault="00AB6753" w:rsidP="002D1EA4">
            <w:pPr>
              <w:rPr>
                <w:sz w:val="20"/>
                <w:szCs w:val="20"/>
              </w:rPr>
            </w:pPr>
            <w:r w:rsidRPr="00BD6D19">
              <w:rPr>
                <w:sz w:val="20"/>
                <w:szCs w:val="20"/>
              </w:rPr>
              <w:t>33 Creative Pty Ltd</w:t>
            </w:r>
          </w:p>
        </w:tc>
        <w:tc>
          <w:tcPr>
            <w:cnfStyle w:val="000001000000" w:firstRow="0" w:lastRow="0" w:firstColumn="0" w:lastColumn="0" w:oddVBand="0" w:evenVBand="1" w:oddHBand="0" w:evenHBand="0" w:firstRowFirstColumn="0" w:firstRowLastColumn="0" w:lastRowFirstColumn="0" w:lastRowLastColumn="0"/>
            <w:tcW w:w="2726" w:type="pct"/>
          </w:tcPr>
          <w:p w14:paraId="3CF32670" w14:textId="77777777" w:rsidR="00AB6753" w:rsidRPr="00BD6D19" w:rsidRDefault="00AB6753" w:rsidP="002D1EA4">
            <w:pPr>
              <w:rPr>
                <w:sz w:val="20"/>
                <w:szCs w:val="20"/>
              </w:rPr>
            </w:pPr>
            <w:r w:rsidRPr="00BD6D19">
              <w:rPr>
                <w:sz w:val="20"/>
                <w:szCs w:val="20"/>
              </w:rPr>
              <w:t>Indigenous and creative communication services – Help is Here</w:t>
            </w:r>
          </w:p>
        </w:tc>
        <w:tc>
          <w:tcPr>
            <w:cnfStyle w:val="000010000000" w:firstRow="0" w:lastRow="0" w:firstColumn="0" w:lastColumn="0" w:oddVBand="1" w:evenVBand="0" w:oddHBand="0" w:evenHBand="0" w:firstRowFirstColumn="0" w:firstRowLastColumn="0" w:lastRowFirstColumn="0" w:lastRowLastColumn="0"/>
            <w:tcW w:w="641" w:type="pct"/>
          </w:tcPr>
          <w:p w14:paraId="57166FED" w14:textId="77777777" w:rsidR="00AB6753" w:rsidRPr="00BD6D19" w:rsidRDefault="00AB6753" w:rsidP="002D1EA4">
            <w:pPr>
              <w:jc w:val="right"/>
              <w:rPr>
                <w:sz w:val="20"/>
                <w:szCs w:val="20"/>
                <w:highlight w:val="cyan"/>
              </w:rPr>
            </w:pPr>
            <w:r w:rsidRPr="00BD6D19">
              <w:rPr>
                <w:sz w:val="20"/>
                <w:szCs w:val="20"/>
              </w:rPr>
              <w:t xml:space="preserve"> 91,582 </w:t>
            </w:r>
          </w:p>
        </w:tc>
      </w:tr>
      <w:tr w:rsidR="00AB6753" w:rsidRPr="00BD6D19" w14:paraId="77552EBB"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33" w:type="pct"/>
          </w:tcPr>
          <w:p w14:paraId="6D0C42BE" w14:textId="77777777" w:rsidR="00AB6753" w:rsidRPr="00BD6D19" w:rsidRDefault="00AB6753" w:rsidP="002D1EA4">
            <w:pPr>
              <w:rPr>
                <w:sz w:val="20"/>
                <w:szCs w:val="20"/>
              </w:rPr>
            </w:pPr>
            <w:r w:rsidRPr="00BD6D19">
              <w:rPr>
                <w:sz w:val="20"/>
                <w:szCs w:val="20"/>
              </w:rPr>
              <w:t>33 Creative Pty Ltd</w:t>
            </w:r>
          </w:p>
        </w:tc>
        <w:tc>
          <w:tcPr>
            <w:cnfStyle w:val="000001000000" w:firstRow="0" w:lastRow="0" w:firstColumn="0" w:lastColumn="0" w:oddVBand="0" w:evenVBand="1" w:oddHBand="0" w:evenHBand="0" w:firstRowFirstColumn="0" w:firstRowLastColumn="0" w:lastRowFirstColumn="0" w:lastRowLastColumn="0"/>
            <w:tcW w:w="2726" w:type="pct"/>
          </w:tcPr>
          <w:p w14:paraId="0A69649E" w14:textId="77777777" w:rsidR="00AB6753" w:rsidRPr="00BD6D19" w:rsidRDefault="00AB6753" w:rsidP="002D1EA4">
            <w:pPr>
              <w:rPr>
                <w:sz w:val="20"/>
                <w:szCs w:val="20"/>
              </w:rPr>
            </w:pPr>
            <w:r w:rsidRPr="00BD6D19">
              <w:rPr>
                <w:sz w:val="20"/>
                <w:szCs w:val="20"/>
              </w:rPr>
              <w:t>Indigenous and creative communication services – Stop it at the Start, Phase 2</w:t>
            </w:r>
          </w:p>
        </w:tc>
        <w:tc>
          <w:tcPr>
            <w:cnfStyle w:val="000010000000" w:firstRow="0" w:lastRow="0" w:firstColumn="0" w:lastColumn="0" w:oddVBand="1" w:evenVBand="0" w:oddHBand="0" w:evenHBand="0" w:firstRowFirstColumn="0" w:firstRowLastColumn="0" w:lastRowFirstColumn="0" w:lastRowLastColumn="0"/>
            <w:tcW w:w="641" w:type="pct"/>
          </w:tcPr>
          <w:p w14:paraId="0845C2F7" w14:textId="77777777" w:rsidR="00AB6753" w:rsidRPr="00BD6D19" w:rsidRDefault="00AB6753" w:rsidP="002D1EA4">
            <w:pPr>
              <w:jc w:val="right"/>
              <w:rPr>
                <w:sz w:val="20"/>
                <w:szCs w:val="20"/>
                <w:highlight w:val="cyan"/>
              </w:rPr>
            </w:pPr>
            <w:r w:rsidRPr="00BD6D19">
              <w:rPr>
                <w:sz w:val="20"/>
                <w:szCs w:val="20"/>
              </w:rPr>
              <w:t xml:space="preserve"> 43,890</w:t>
            </w:r>
          </w:p>
        </w:tc>
      </w:tr>
      <w:tr w:rsidR="00AB6753" w:rsidRPr="00BD6D19" w14:paraId="205874AF"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33" w:type="pct"/>
          </w:tcPr>
          <w:p w14:paraId="19EEB432" w14:textId="77777777" w:rsidR="00AB6753" w:rsidRPr="00BD6D19" w:rsidRDefault="00AB6753" w:rsidP="002D1EA4">
            <w:pPr>
              <w:rPr>
                <w:sz w:val="20"/>
                <w:szCs w:val="20"/>
              </w:rPr>
            </w:pPr>
            <w:r w:rsidRPr="00BD6D19">
              <w:rPr>
                <w:sz w:val="20"/>
                <w:szCs w:val="20"/>
              </w:rPr>
              <w:t>Carbon Media Pty Ltd</w:t>
            </w:r>
          </w:p>
        </w:tc>
        <w:tc>
          <w:tcPr>
            <w:cnfStyle w:val="000001000000" w:firstRow="0" w:lastRow="0" w:firstColumn="0" w:lastColumn="0" w:oddVBand="0" w:evenVBand="1" w:oddHBand="0" w:evenHBand="0" w:firstRowFirstColumn="0" w:firstRowLastColumn="0" w:lastRowFirstColumn="0" w:lastRowLastColumn="0"/>
            <w:tcW w:w="2726" w:type="pct"/>
          </w:tcPr>
          <w:p w14:paraId="7583AA2B" w14:textId="77777777" w:rsidR="00AB6753" w:rsidRPr="00BD6D19" w:rsidRDefault="00AB6753" w:rsidP="002D1EA4">
            <w:pPr>
              <w:rPr>
                <w:sz w:val="20"/>
                <w:szCs w:val="20"/>
              </w:rPr>
            </w:pPr>
            <w:r w:rsidRPr="00BD6D19">
              <w:rPr>
                <w:sz w:val="20"/>
                <w:szCs w:val="20"/>
              </w:rPr>
              <w:t>Graphic design, video and photography, and editorial services – Disability Royal Commission</w:t>
            </w:r>
          </w:p>
        </w:tc>
        <w:tc>
          <w:tcPr>
            <w:cnfStyle w:val="000010000000" w:firstRow="0" w:lastRow="0" w:firstColumn="0" w:lastColumn="0" w:oddVBand="1" w:evenVBand="0" w:oddHBand="0" w:evenHBand="0" w:firstRowFirstColumn="0" w:firstRowLastColumn="0" w:lastRowFirstColumn="0" w:lastRowLastColumn="0"/>
            <w:tcW w:w="641" w:type="pct"/>
          </w:tcPr>
          <w:p w14:paraId="572422D0" w14:textId="77777777" w:rsidR="00AB6753" w:rsidRPr="00BD6D19" w:rsidRDefault="00AB6753" w:rsidP="002D1EA4">
            <w:pPr>
              <w:jc w:val="right"/>
              <w:rPr>
                <w:sz w:val="20"/>
                <w:szCs w:val="20"/>
              </w:rPr>
            </w:pPr>
            <w:r w:rsidRPr="00BD6D19">
              <w:rPr>
                <w:sz w:val="20"/>
                <w:szCs w:val="20"/>
              </w:rPr>
              <w:t xml:space="preserve"> 176,899</w:t>
            </w:r>
          </w:p>
        </w:tc>
      </w:tr>
      <w:tr w:rsidR="00AB6753" w:rsidRPr="00BD6D19" w14:paraId="39AE6F74"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33" w:type="pct"/>
          </w:tcPr>
          <w:p w14:paraId="7C811F5C" w14:textId="77777777" w:rsidR="00AB6753" w:rsidRPr="00BD6D19" w:rsidRDefault="00AB6753" w:rsidP="002D1EA4">
            <w:pPr>
              <w:rPr>
                <w:sz w:val="20"/>
                <w:szCs w:val="20"/>
              </w:rPr>
            </w:pPr>
            <w:r w:rsidRPr="00BD6D19">
              <w:rPr>
                <w:sz w:val="20"/>
                <w:szCs w:val="20"/>
              </w:rPr>
              <w:t>Clemenger BBDO (Melbourne) Pty Ltd</w:t>
            </w:r>
          </w:p>
        </w:tc>
        <w:tc>
          <w:tcPr>
            <w:cnfStyle w:val="000001000000" w:firstRow="0" w:lastRow="0" w:firstColumn="0" w:lastColumn="0" w:oddVBand="0" w:evenVBand="1" w:oddHBand="0" w:evenHBand="0" w:firstRowFirstColumn="0" w:firstRowLastColumn="0" w:lastRowFirstColumn="0" w:lastRowLastColumn="0"/>
            <w:tcW w:w="2726" w:type="pct"/>
          </w:tcPr>
          <w:p w14:paraId="009CF8B3" w14:textId="77777777" w:rsidR="00AB6753" w:rsidRPr="00BD6D19" w:rsidRDefault="00AB6753" w:rsidP="002D1EA4">
            <w:pPr>
              <w:rPr>
                <w:sz w:val="20"/>
                <w:szCs w:val="20"/>
              </w:rPr>
            </w:pPr>
            <w:r w:rsidRPr="00BD6D19">
              <w:rPr>
                <w:sz w:val="20"/>
                <w:szCs w:val="20"/>
              </w:rPr>
              <w:t>Creative pitch – Stop it at the Start, Phase 3</w:t>
            </w:r>
          </w:p>
        </w:tc>
        <w:tc>
          <w:tcPr>
            <w:cnfStyle w:val="000010000000" w:firstRow="0" w:lastRow="0" w:firstColumn="0" w:lastColumn="0" w:oddVBand="1" w:evenVBand="0" w:oddHBand="0" w:evenHBand="0" w:firstRowFirstColumn="0" w:firstRowLastColumn="0" w:lastRowFirstColumn="0" w:lastRowLastColumn="0"/>
            <w:tcW w:w="641" w:type="pct"/>
          </w:tcPr>
          <w:p w14:paraId="20FD8A46" w14:textId="77777777" w:rsidR="00AB6753" w:rsidRPr="00BD6D19" w:rsidRDefault="00AB6753" w:rsidP="002D1EA4">
            <w:pPr>
              <w:jc w:val="right"/>
              <w:rPr>
                <w:sz w:val="20"/>
                <w:szCs w:val="20"/>
              </w:rPr>
            </w:pPr>
            <w:r w:rsidRPr="00BD6D19">
              <w:rPr>
                <w:sz w:val="20"/>
                <w:szCs w:val="20"/>
              </w:rPr>
              <w:t xml:space="preserve"> 16,500</w:t>
            </w:r>
          </w:p>
        </w:tc>
      </w:tr>
      <w:tr w:rsidR="00AB6753" w:rsidRPr="00BD6D19" w14:paraId="3ACCE981"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33" w:type="pct"/>
          </w:tcPr>
          <w:p w14:paraId="73F69A2E" w14:textId="77777777" w:rsidR="00AB6753" w:rsidRPr="00BD6D19" w:rsidRDefault="00AB6753" w:rsidP="002D1EA4">
            <w:pPr>
              <w:rPr>
                <w:sz w:val="20"/>
                <w:szCs w:val="20"/>
              </w:rPr>
            </w:pPr>
            <w:r w:rsidRPr="00BD6D19">
              <w:rPr>
                <w:sz w:val="20"/>
                <w:szCs w:val="20"/>
              </w:rPr>
              <w:t>Cre8ive Australasia Pty Ltd</w:t>
            </w:r>
          </w:p>
        </w:tc>
        <w:tc>
          <w:tcPr>
            <w:cnfStyle w:val="000001000000" w:firstRow="0" w:lastRow="0" w:firstColumn="0" w:lastColumn="0" w:oddVBand="0" w:evenVBand="1" w:oddHBand="0" w:evenHBand="0" w:firstRowFirstColumn="0" w:firstRowLastColumn="0" w:lastRowFirstColumn="0" w:lastRowLastColumn="0"/>
            <w:tcW w:w="2726" w:type="pct"/>
          </w:tcPr>
          <w:p w14:paraId="5685C18F" w14:textId="77777777" w:rsidR="00AB6753" w:rsidRPr="00BD6D19" w:rsidRDefault="00AB6753" w:rsidP="002D1EA4">
            <w:pPr>
              <w:rPr>
                <w:sz w:val="20"/>
                <w:szCs w:val="20"/>
              </w:rPr>
            </w:pPr>
            <w:r w:rsidRPr="00BD6D19">
              <w:rPr>
                <w:sz w:val="20"/>
                <w:szCs w:val="20"/>
              </w:rPr>
              <w:t>Graphic design services – Signage</w:t>
            </w:r>
          </w:p>
        </w:tc>
        <w:tc>
          <w:tcPr>
            <w:cnfStyle w:val="000010000000" w:firstRow="0" w:lastRow="0" w:firstColumn="0" w:lastColumn="0" w:oddVBand="1" w:evenVBand="0" w:oddHBand="0" w:evenHBand="0" w:firstRowFirstColumn="0" w:firstRowLastColumn="0" w:lastRowFirstColumn="0" w:lastRowLastColumn="0"/>
            <w:tcW w:w="641" w:type="pct"/>
          </w:tcPr>
          <w:p w14:paraId="645F65AF" w14:textId="77777777" w:rsidR="00AB6753" w:rsidRPr="00BD6D19" w:rsidRDefault="00AB6753" w:rsidP="002D1EA4">
            <w:pPr>
              <w:jc w:val="right"/>
              <w:rPr>
                <w:sz w:val="20"/>
                <w:szCs w:val="20"/>
              </w:rPr>
            </w:pPr>
            <w:r w:rsidRPr="00BD6D19">
              <w:rPr>
                <w:sz w:val="20"/>
                <w:szCs w:val="20"/>
              </w:rPr>
              <w:t xml:space="preserve"> 17,160</w:t>
            </w:r>
          </w:p>
        </w:tc>
      </w:tr>
      <w:tr w:rsidR="00AB6753" w:rsidRPr="00BD6D19" w14:paraId="07C7BEE5"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33" w:type="pct"/>
          </w:tcPr>
          <w:p w14:paraId="6226C829" w14:textId="77777777" w:rsidR="00AB6753" w:rsidRPr="00BD6D19" w:rsidRDefault="00AB6753" w:rsidP="002D1EA4">
            <w:pPr>
              <w:rPr>
                <w:sz w:val="20"/>
                <w:szCs w:val="20"/>
              </w:rPr>
            </w:pPr>
            <w:r w:rsidRPr="00BD6D19">
              <w:rPr>
                <w:sz w:val="20"/>
                <w:szCs w:val="20"/>
              </w:rPr>
              <w:t>Cre8ive Australasia Pty Ltd</w:t>
            </w:r>
          </w:p>
        </w:tc>
        <w:tc>
          <w:tcPr>
            <w:cnfStyle w:val="000001000000" w:firstRow="0" w:lastRow="0" w:firstColumn="0" w:lastColumn="0" w:oddVBand="0" w:evenVBand="1" w:oddHBand="0" w:evenHBand="0" w:firstRowFirstColumn="0" w:firstRowLastColumn="0" w:lastRowFirstColumn="0" w:lastRowLastColumn="0"/>
            <w:tcW w:w="2726" w:type="pct"/>
          </w:tcPr>
          <w:p w14:paraId="04D9C5FC" w14:textId="77777777" w:rsidR="00AB6753" w:rsidRPr="00BD6D19" w:rsidRDefault="00AB6753" w:rsidP="002D1EA4">
            <w:pPr>
              <w:rPr>
                <w:sz w:val="20"/>
                <w:szCs w:val="20"/>
              </w:rPr>
            </w:pPr>
            <w:r w:rsidRPr="00BD6D19">
              <w:rPr>
                <w:sz w:val="20"/>
                <w:szCs w:val="20"/>
              </w:rPr>
              <w:t>Graphic design services – Evidence Portal</w:t>
            </w:r>
          </w:p>
        </w:tc>
        <w:tc>
          <w:tcPr>
            <w:cnfStyle w:val="000010000000" w:firstRow="0" w:lastRow="0" w:firstColumn="0" w:lastColumn="0" w:oddVBand="1" w:evenVBand="0" w:oddHBand="0" w:evenHBand="0" w:firstRowFirstColumn="0" w:firstRowLastColumn="0" w:lastRowFirstColumn="0" w:lastRowLastColumn="0"/>
            <w:tcW w:w="641" w:type="pct"/>
          </w:tcPr>
          <w:p w14:paraId="318CF60B" w14:textId="77777777" w:rsidR="00AB6753" w:rsidRPr="00BD6D19" w:rsidRDefault="00AB6753" w:rsidP="002D1EA4">
            <w:pPr>
              <w:jc w:val="right"/>
              <w:rPr>
                <w:sz w:val="20"/>
                <w:szCs w:val="20"/>
              </w:rPr>
            </w:pPr>
            <w:r w:rsidRPr="00BD6D19">
              <w:rPr>
                <w:sz w:val="20"/>
                <w:szCs w:val="20"/>
              </w:rPr>
              <w:t xml:space="preserve"> 55,000</w:t>
            </w:r>
          </w:p>
        </w:tc>
      </w:tr>
      <w:tr w:rsidR="00AB6753" w:rsidRPr="00BD6D19" w14:paraId="69061103"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33" w:type="pct"/>
          </w:tcPr>
          <w:p w14:paraId="14F301D4" w14:textId="77777777" w:rsidR="00AB6753" w:rsidRPr="00BD6D19" w:rsidRDefault="00AB6753" w:rsidP="002D1EA4">
            <w:pPr>
              <w:rPr>
                <w:sz w:val="20"/>
                <w:szCs w:val="20"/>
              </w:rPr>
            </w:pPr>
            <w:r w:rsidRPr="00BD6D19">
              <w:rPr>
                <w:sz w:val="20"/>
                <w:szCs w:val="20"/>
              </w:rPr>
              <w:t>Marmalade Melbourne Pty Ltd</w:t>
            </w:r>
          </w:p>
        </w:tc>
        <w:tc>
          <w:tcPr>
            <w:cnfStyle w:val="000001000000" w:firstRow="0" w:lastRow="0" w:firstColumn="0" w:lastColumn="0" w:oddVBand="0" w:evenVBand="1" w:oddHBand="0" w:evenHBand="0" w:firstRowFirstColumn="0" w:firstRowLastColumn="0" w:lastRowFirstColumn="0" w:lastRowLastColumn="0"/>
            <w:tcW w:w="2726" w:type="pct"/>
          </w:tcPr>
          <w:p w14:paraId="4999E30E" w14:textId="77777777" w:rsidR="00AB6753" w:rsidRPr="00BD6D19" w:rsidRDefault="00AB6753" w:rsidP="002D1EA4">
            <w:pPr>
              <w:rPr>
                <w:sz w:val="20"/>
                <w:szCs w:val="20"/>
              </w:rPr>
            </w:pPr>
            <w:r w:rsidRPr="00BD6D19">
              <w:rPr>
                <w:sz w:val="20"/>
                <w:szCs w:val="20"/>
              </w:rPr>
              <w:t>Graphic design services – National Disability Information Gateway</w:t>
            </w:r>
          </w:p>
        </w:tc>
        <w:tc>
          <w:tcPr>
            <w:cnfStyle w:val="000010000000" w:firstRow="0" w:lastRow="0" w:firstColumn="0" w:lastColumn="0" w:oddVBand="1" w:evenVBand="0" w:oddHBand="0" w:evenHBand="0" w:firstRowFirstColumn="0" w:firstRowLastColumn="0" w:lastRowFirstColumn="0" w:lastRowLastColumn="0"/>
            <w:tcW w:w="641" w:type="pct"/>
          </w:tcPr>
          <w:p w14:paraId="2FA85D0A" w14:textId="77777777" w:rsidR="00AB6753" w:rsidRPr="00BD6D19" w:rsidRDefault="00AB6753" w:rsidP="002D1EA4">
            <w:pPr>
              <w:jc w:val="right"/>
              <w:rPr>
                <w:sz w:val="20"/>
                <w:szCs w:val="20"/>
              </w:rPr>
            </w:pPr>
            <w:r w:rsidRPr="00BD6D19">
              <w:rPr>
                <w:sz w:val="20"/>
                <w:szCs w:val="20"/>
              </w:rPr>
              <w:t xml:space="preserve"> 17,116</w:t>
            </w:r>
          </w:p>
        </w:tc>
      </w:tr>
      <w:tr w:rsidR="00AB6753" w:rsidRPr="00BD6D19" w14:paraId="31711D82"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33" w:type="pct"/>
          </w:tcPr>
          <w:p w14:paraId="28C78BC3" w14:textId="77777777" w:rsidR="00AB6753" w:rsidRPr="00BD6D19" w:rsidRDefault="00AB6753" w:rsidP="002D1EA4">
            <w:pPr>
              <w:rPr>
                <w:sz w:val="20"/>
                <w:szCs w:val="20"/>
              </w:rPr>
            </w:pPr>
            <w:r w:rsidRPr="00BD6D19">
              <w:rPr>
                <w:sz w:val="20"/>
                <w:szCs w:val="20"/>
              </w:rPr>
              <w:t>Nation Creative Pty Ltd</w:t>
            </w:r>
          </w:p>
        </w:tc>
        <w:tc>
          <w:tcPr>
            <w:cnfStyle w:val="000001000000" w:firstRow="0" w:lastRow="0" w:firstColumn="0" w:lastColumn="0" w:oddVBand="0" w:evenVBand="1" w:oddHBand="0" w:evenHBand="0" w:firstRowFirstColumn="0" w:firstRowLastColumn="0" w:lastRowFirstColumn="0" w:lastRowLastColumn="0"/>
            <w:tcW w:w="2726" w:type="pct"/>
          </w:tcPr>
          <w:p w14:paraId="0A49925B" w14:textId="77777777" w:rsidR="00AB6753" w:rsidRPr="00BD6D19" w:rsidRDefault="00AB6753" w:rsidP="002D1EA4">
            <w:pPr>
              <w:rPr>
                <w:sz w:val="20"/>
                <w:szCs w:val="20"/>
              </w:rPr>
            </w:pPr>
            <w:r w:rsidRPr="00BD6D19">
              <w:rPr>
                <w:sz w:val="20"/>
                <w:szCs w:val="20"/>
              </w:rPr>
              <w:t>Graphic design and editorial services – Carer Gateway</w:t>
            </w:r>
          </w:p>
        </w:tc>
        <w:tc>
          <w:tcPr>
            <w:cnfStyle w:val="000010000000" w:firstRow="0" w:lastRow="0" w:firstColumn="0" w:lastColumn="0" w:oddVBand="1" w:evenVBand="0" w:oddHBand="0" w:evenHBand="0" w:firstRowFirstColumn="0" w:firstRowLastColumn="0" w:lastRowFirstColumn="0" w:lastRowLastColumn="0"/>
            <w:tcW w:w="641" w:type="pct"/>
          </w:tcPr>
          <w:p w14:paraId="438070B8" w14:textId="77777777" w:rsidR="00AB6753" w:rsidRPr="00BD6D19" w:rsidRDefault="00AB6753" w:rsidP="002D1EA4">
            <w:pPr>
              <w:jc w:val="right"/>
              <w:rPr>
                <w:sz w:val="20"/>
                <w:szCs w:val="20"/>
              </w:rPr>
            </w:pPr>
            <w:r w:rsidRPr="00BD6D19">
              <w:rPr>
                <w:sz w:val="20"/>
                <w:szCs w:val="20"/>
              </w:rPr>
              <w:t xml:space="preserve"> 29,486</w:t>
            </w:r>
          </w:p>
        </w:tc>
      </w:tr>
      <w:tr w:rsidR="00AB6753" w:rsidRPr="00BD6D19" w14:paraId="1E8063A1"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33" w:type="pct"/>
          </w:tcPr>
          <w:p w14:paraId="5B85D5D2" w14:textId="77777777" w:rsidR="00AB6753" w:rsidRPr="00BD6D19" w:rsidRDefault="00AB6753" w:rsidP="002D1EA4">
            <w:pPr>
              <w:rPr>
                <w:sz w:val="20"/>
                <w:szCs w:val="20"/>
              </w:rPr>
            </w:pPr>
            <w:r w:rsidRPr="00BD6D19">
              <w:rPr>
                <w:sz w:val="20"/>
                <w:szCs w:val="20"/>
              </w:rPr>
              <w:t>Nation Creative Pty Ltd</w:t>
            </w:r>
          </w:p>
        </w:tc>
        <w:tc>
          <w:tcPr>
            <w:cnfStyle w:val="000001000000" w:firstRow="0" w:lastRow="0" w:firstColumn="0" w:lastColumn="0" w:oddVBand="0" w:evenVBand="1" w:oddHBand="0" w:evenHBand="0" w:firstRowFirstColumn="0" w:firstRowLastColumn="0" w:lastRowFirstColumn="0" w:lastRowLastColumn="0"/>
            <w:tcW w:w="2726" w:type="pct"/>
          </w:tcPr>
          <w:p w14:paraId="3868D213" w14:textId="77777777" w:rsidR="00AB6753" w:rsidRPr="00BD6D19" w:rsidRDefault="00AB6753" w:rsidP="002D1EA4">
            <w:pPr>
              <w:rPr>
                <w:sz w:val="20"/>
                <w:szCs w:val="20"/>
              </w:rPr>
            </w:pPr>
            <w:r w:rsidRPr="00BD6D19">
              <w:rPr>
                <w:sz w:val="20"/>
                <w:szCs w:val="20"/>
              </w:rPr>
              <w:t>Graphic design and editorial services – Carer Gateway, Phase 2</w:t>
            </w:r>
          </w:p>
        </w:tc>
        <w:tc>
          <w:tcPr>
            <w:cnfStyle w:val="000010000000" w:firstRow="0" w:lastRow="0" w:firstColumn="0" w:lastColumn="0" w:oddVBand="1" w:evenVBand="0" w:oddHBand="0" w:evenHBand="0" w:firstRowFirstColumn="0" w:firstRowLastColumn="0" w:lastRowFirstColumn="0" w:lastRowLastColumn="0"/>
            <w:tcW w:w="641" w:type="pct"/>
          </w:tcPr>
          <w:p w14:paraId="284FF540" w14:textId="77777777" w:rsidR="00AB6753" w:rsidRPr="00BD6D19" w:rsidRDefault="00AB6753" w:rsidP="002D1EA4">
            <w:pPr>
              <w:jc w:val="right"/>
              <w:rPr>
                <w:sz w:val="20"/>
                <w:szCs w:val="20"/>
              </w:rPr>
            </w:pPr>
            <w:r w:rsidRPr="00BD6D19">
              <w:rPr>
                <w:sz w:val="20"/>
                <w:szCs w:val="20"/>
              </w:rPr>
              <w:t xml:space="preserve"> 118,597</w:t>
            </w:r>
          </w:p>
        </w:tc>
      </w:tr>
      <w:tr w:rsidR="00AB6753" w:rsidRPr="00BD6D19" w14:paraId="2C365643"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33" w:type="pct"/>
          </w:tcPr>
          <w:p w14:paraId="3E7AE6FD" w14:textId="77777777" w:rsidR="00AB6753" w:rsidRPr="00BD6D19" w:rsidRDefault="00AB6753" w:rsidP="002D1EA4">
            <w:pPr>
              <w:rPr>
                <w:sz w:val="20"/>
                <w:szCs w:val="20"/>
              </w:rPr>
            </w:pPr>
            <w:r w:rsidRPr="00BD6D19">
              <w:rPr>
                <w:sz w:val="20"/>
                <w:szCs w:val="20"/>
              </w:rPr>
              <w:t>Ogilvy Australia Pty Ltd</w:t>
            </w:r>
          </w:p>
        </w:tc>
        <w:tc>
          <w:tcPr>
            <w:cnfStyle w:val="000001000000" w:firstRow="0" w:lastRow="0" w:firstColumn="0" w:lastColumn="0" w:oddVBand="0" w:evenVBand="1" w:oddHBand="0" w:evenHBand="0" w:firstRowFirstColumn="0" w:firstRowLastColumn="0" w:lastRowFirstColumn="0" w:lastRowLastColumn="0"/>
            <w:tcW w:w="2726" w:type="pct"/>
          </w:tcPr>
          <w:p w14:paraId="0BFC470A" w14:textId="77777777" w:rsidR="00AB6753" w:rsidRPr="00BD6D19" w:rsidRDefault="00AB6753" w:rsidP="002D1EA4">
            <w:pPr>
              <w:rPr>
                <w:sz w:val="20"/>
                <w:szCs w:val="20"/>
              </w:rPr>
            </w:pPr>
            <w:r w:rsidRPr="00BD6D19">
              <w:rPr>
                <w:sz w:val="20"/>
                <w:szCs w:val="20"/>
              </w:rPr>
              <w:t>CALD creative and communication services – Help is Here</w:t>
            </w:r>
          </w:p>
        </w:tc>
        <w:tc>
          <w:tcPr>
            <w:cnfStyle w:val="000010000000" w:firstRow="0" w:lastRow="0" w:firstColumn="0" w:lastColumn="0" w:oddVBand="1" w:evenVBand="0" w:oddHBand="0" w:evenHBand="0" w:firstRowFirstColumn="0" w:firstRowLastColumn="0" w:lastRowFirstColumn="0" w:lastRowLastColumn="0"/>
            <w:tcW w:w="641" w:type="pct"/>
          </w:tcPr>
          <w:p w14:paraId="683DF6EA" w14:textId="77777777" w:rsidR="00AB6753" w:rsidRPr="00BD6D19" w:rsidRDefault="00AB6753" w:rsidP="002D1EA4">
            <w:pPr>
              <w:jc w:val="right"/>
              <w:rPr>
                <w:sz w:val="20"/>
                <w:szCs w:val="20"/>
              </w:rPr>
            </w:pPr>
            <w:r w:rsidRPr="00BD6D19">
              <w:rPr>
                <w:sz w:val="20"/>
                <w:szCs w:val="20"/>
              </w:rPr>
              <w:t xml:space="preserve"> 172,999</w:t>
            </w:r>
          </w:p>
        </w:tc>
      </w:tr>
      <w:tr w:rsidR="00AB6753" w:rsidRPr="00BD6D19" w14:paraId="120BADE9"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33" w:type="pct"/>
          </w:tcPr>
          <w:p w14:paraId="3B98075B" w14:textId="77777777" w:rsidR="00AB6753" w:rsidRPr="00BD6D19" w:rsidRDefault="00AB6753" w:rsidP="002D1EA4">
            <w:pPr>
              <w:rPr>
                <w:sz w:val="20"/>
                <w:szCs w:val="20"/>
              </w:rPr>
            </w:pPr>
            <w:r w:rsidRPr="00BD6D19">
              <w:rPr>
                <w:sz w:val="20"/>
                <w:szCs w:val="20"/>
              </w:rPr>
              <w:t>Ogilvy Australia Pty Ltd</w:t>
            </w:r>
          </w:p>
        </w:tc>
        <w:tc>
          <w:tcPr>
            <w:cnfStyle w:val="000001000000" w:firstRow="0" w:lastRow="0" w:firstColumn="0" w:lastColumn="0" w:oddVBand="0" w:evenVBand="1" w:oddHBand="0" w:evenHBand="0" w:firstRowFirstColumn="0" w:firstRowLastColumn="0" w:lastRowFirstColumn="0" w:lastRowLastColumn="0"/>
            <w:tcW w:w="2726" w:type="pct"/>
          </w:tcPr>
          <w:p w14:paraId="525EFEAE" w14:textId="77777777" w:rsidR="00AB6753" w:rsidRPr="00BD6D19" w:rsidRDefault="00AB6753" w:rsidP="002D1EA4">
            <w:pPr>
              <w:rPr>
                <w:sz w:val="20"/>
                <w:szCs w:val="20"/>
              </w:rPr>
            </w:pPr>
            <w:r w:rsidRPr="00BD6D19">
              <w:rPr>
                <w:sz w:val="20"/>
                <w:szCs w:val="20"/>
              </w:rPr>
              <w:t>CALD creative and communication services – Stop it at the Start, Phase 2</w:t>
            </w:r>
          </w:p>
        </w:tc>
        <w:tc>
          <w:tcPr>
            <w:cnfStyle w:val="000010000000" w:firstRow="0" w:lastRow="0" w:firstColumn="0" w:lastColumn="0" w:oddVBand="1" w:evenVBand="0" w:oddHBand="0" w:evenHBand="0" w:firstRowFirstColumn="0" w:firstRowLastColumn="0" w:lastRowFirstColumn="0" w:lastRowLastColumn="0"/>
            <w:tcW w:w="641" w:type="pct"/>
          </w:tcPr>
          <w:p w14:paraId="215D4423" w14:textId="77777777" w:rsidR="00AB6753" w:rsidRPr="00BD6D19" w:rsidRDefault="00AB6753" w:rsidP="002D1EA4">
            <w:pPr>
              <w:jc w:val="right"/>
              <w:rPr>
                <w:sz w:val="20"/>
                <w:szCs w:val="20"/>
              </w:rPr>
            </w:pPr>
            <w:r w:rsidRPr="00BD6D19">
              <w:rPr>
                <w:sz w:val="20"/>
                <w:szCs w:val="20"/>
              </w:rPr>
              <w:t xml:space="preserve"> 43,021 </w:t>
            </w:r>
          </w:p>
        </w:tc>
      </w:tr>
      <w:tr w:rsidR="00AB6753" w:rsidRPr="00BD6D19" w14:paraId="2D0B5AC9"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33" w:type="pct"/>
          </w:tcPr>
          <w:p w14:paraId="651B8A26" w14:textId="77777777" w:rsidR="00AB6753" w:rsidRPr="00BD6D19" w:rsidRDefault="00AB6753" w:rsidP="002D1EA4">
            <w:pPr>
              <w:rPr>
                <w:sz w:val="20"/>
                <w:szCs w:val="20"/>
              </w:rPr>
            </w:pPr>
            <w:r w:rsidRPr="00BD6D19">
              <w:rPr>
                <w:sz w:val="20"/>
                <w:szCs w:val="20"/>
              </w:rPr>
              <w:t>The Trustee for the BMF Unit Trust</w:t>
            </w:r>
          </w:p>
        </w:tc>
        <w:tc>
          <w:tcPr>
            <w:cnfStyle w:val="000001000000" w:firstRow="0" w:lastRow="0" w:firstColumn="0" w:lastColumn="0" w:oddVBand="0" w:evenVBand="1" w:oddHBand="0" w:evenHBand="0" w:firstRowFirstColumn="0" w:firstRowLastColumn="0" w:lastRowFirstColumn="0" w:lastRowLastColumn="0"/>
            <w:tcW w:w="2726" w:type="pct"/>
          </w:tcPr>
          <w:p w14:paraId="6C8FD115" w14:textId="77777777" w:rsidR="00AB6753" w:rsidRPr="00BD6D19" w:rsidRDefault="00AB6753" w:rsidP="002D1EA4">
            <w:pPr>
              <w:rPr>
                <w:sz w:val="20"/>
                <w:szCs w:val="20"/>
              </w:rPr>
            </w:pPr>
            <w:r w:rsidRPr="00BD6D19">
              <w:rPr>
                <w:sz w:val="20"/>
                <w:szCs w:val="20"/>
              </w:rPr>
              <w:t>Creative development – Help is Here</w:t>
            </w:r>
          </w:p>
        </w:tc>
        <w:tc>
          <w:tcPr>
            <w:cnfStyle w:val="000010000000" w:firstRow="0" w:lastRow="0" w:firstColumn="0" w:lastColumn="0" w:oddVBand="1" w:evenVBand="0" w:oddHBand="0" w:evenHBand="0" w:firstRowFirstColumn="0" w:firstRowLastColumn="0" w:lastRowFirstColumn="0" w:lastRowLastColumn="0"/>
            <w:tcW w:w="641" w:type="pct"/>
          </w:tcPr>
          <w:p w14:paraId="64550771" w14:textId="77777777" w:rsidR="00AB6753" w:rsidRPr="00BD6D19" w:rsidRDefault="00AB6753" w:rsidP="002D1EA4">
            <w:pPr>
              <w:jc w:val="right"/>
              <w:rPr>
                <w:sz w:val="20"/>
                <w:szCs w:val="20"/>
              </w:rPr>
            </w:pPr>
            <w:r w:rsidRPr="00BD6D19">
              <w:rPr>
                <w:sz w:val="20"/>
                <w:szCs w:val="20"/>
              </w:rPr>
              <w:t xml:space="preserve"> 877,094</w:t>
            </w:r>
          </w:p>
        </w:tc>
      </w:tr>
      <w:tr w:rsidR="00AB6753" w:rsidRPr="00BD6D19" w14:paraId="25A1EDCA"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33" w:type="pct"/>
          </w:tcPr>
          <w:p w14:paraId="27A6979B" w14:textId="77777777" w:rsidR="00AB6753" w:rsidRPr="00BD6D19" w:rsidRDefault="00AB6753" w:rsidP="002D1EA4">
            <w:pPr>
              <w:rPr>
                <w:sz w:val="20"/>
                <w:szCs w:val="20"/>
              </w:rPr>
            </w:pPr>
            <w:r w:rsidRPr="00BD6D19">
              <w:rPr>
                <w:sz w:val="20"/>
                <w:szCs w:val="20"/>
              </w:rPr>
              <w:t>The Trustee for the BMF Unit Trust</w:t>
            </w:r>
          </w:p>
        </w:tc>
        <w:tc>
          <w:tcPr>
            <w:cnfStyle w:val="000001000000" w:firstRow="0" w:lastRow="0" w:firstColumn="0" w:lastColumn="0" w:oddVBand="0" w:evenVBand="1" w:oddHBand="0" w:evenHBand="0" w:firstRowFirstColumn="0" w:firstRowLastColumn="0" w:lastRowFirstColumn="0" w:lastRowLastColumn="0"/>
            <w:tcW w:w="2726" w:type="pct"/>
          </w:tcPr>
          <w:p w14:paraId="3D12CCD5" w14:textId="77777777" w:rsidR="00AB6753" w:rsidRPr="00BD6D19" w:rsidRDefault="00AB6753" w:rsidP="002D1EA4">
            <w:pPr>
              <w:rPr>
                <w:sz w:val="20"/>
                <w:szCs w:val="20"/>
              </w:rPr>
            </w:pPr>
            <w:r w:rsidRPr="00BD6D19">
              <w:rPr>
                <w:sz w:val="20"/>
                <w:szCs w:val="20"/>
              </w:rPr>
              <w:t>Creative development – Stop it at the Start, Phase 2</w:t>
            </w:r>
          </w:p>
        </w:tc>
        <w:tc>
          <w:tcPr>
            <w:cnfStyle w:val="000010000000" w:firstRow="0" w:lastRow="0" w:firstColumn="0" w:lastColumn="0" w:oddVBand="1" w:evenVBand="0" w:oddHBand="0" w:evenHBand="0" w:firstRowFirstColumn="0" w:firstRowLastColumn="0" w:lastRowFirstColumn="0" w:lastRowLastColumn="0"/>
            <w:tcW w:w="641" w:type="pct"/>
          </w:tcPr>
          <w:p w14:paraId="1548D1B6" w14:textId="77777777" w:rsidR="00AB6753" w:rsidRPr="00BD6D19" w:rsidRDefault="00AB6753" w:rsidP="002D1EA4">
            <w:pPr>
              <w:jc w:val="right"/>
              <w:rPr>
                <w:sz w:val="20"/>
                <w:szCs w:val="20"/>
              </w:rPr>
            </w:pPr>
            <w:r w:rsidRPr="00BD6D19">
              <w:rPr>
                <w:sz w:val="20"/>
                <w:szCs w:val="20"/>
              </w:rPr>
              <w:t>108,690</w:t>
            </w:r>
          </w:p>
        </w:tc>
      </w:tr>
      <w:tr w:rsidR="00AB6753" w:rsidRPr="00BD6D19" w14:paraId="58997C37"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33" w:type="pct"/>
          </w:tcPr>
          <w:p w14:paraId="502C1A7A" w14:textId="77777777" w:rsidR="00AB6753" w:rsidRPr="00BD6D19" w:rsidRDefault="00AB6753" w:rsidP="002D1EA4">
            <w:pPr>
              <w:rPr>
                <w:sz w:val="20"/>
                <w:szCs w:val="20"/>
              </w:rPr>
            </w:pPr>
            <w:r w:rsidRPr="00BD6D19">
              <w:rPr>
                <w:sz w:val="20"/>
                <w:szCs w:val="20"/>
              </w:rPr>
              <w:t>The Trustee for the BMF Unit Trust</w:t>
            </w:r>
          </w:p>
        </w:tc>
        <w:tc>
          <w:tcPr>
            <w:cnfStyle w:val="000001000000" w:firstRow="0" w:lastRow="0" w:firstColumn="0" w:lastColumn="0" w:oddVBand="0" w:evenVBand="1" w:oddHBand="0" w:evenHBand="0" w:firstRowFirstColumn="0" w:firstRowLastColumn="0" w:lastRowFirstColumn="0" w:lastRowLastColumn="0"/>
            <w:tcW w:w="2726" w:type="pct"/>
          </w:tcPr>
          <w:p w14:paraId="470087B9" w14:textId="77777777" w:rsidR="00AB6753" w:rsidRPr="00BD6D19" w:rsidRDefault="00AB6753" w:rsidP="002D1EA4">
            <w:pPr>
              <w:rPr>
                <w:sz w:val="20"/>
                <w:szCs w:val="20"/>
              </w:rPr>
            </w:pPr>
            <w:r w:rsidRPr="00BD6D19">
              <w:rPr>
                <w:sz w:val="20"/>
                <w:szCs w:val="20"/>
              </w:rPr>
              <w:t>Creative pitch – Stop it at the Start, Phase 3</w:t>
            </w:r>
          </w:p>
        </w:tc>
        <w:tc>
          <w:tcPr>
            <w:cnfStyle w:val="000010000000" w:firstRow="0" w:lastRow="0" w:firstColumn="0" w:lastColumn="0" w:oddVBand="1" w:evenVBand="0" w:oddHBand="0" w:evenHBand="0" w:firstRowFirstColumn="0" w:firstRowLastColumn="0" w:lastRowFirstColumn="0" w:lastRowLastColumn="0"/>
            <w:tcW w:w="641" w:type="pct"/>
          </w:tcPr>
          <w:p w14:paraId="7A639008" w14:textId="77777777" w:rsidR="00AB6753" w:rsidRPr="00BD6D19" w:rsidRDefault="00AB6753" w:rsidP="002D1EA4">
            <w:pPr>
              <w:jc w:val="right"/>
              <w:rPr>
                <w:sz w:val="20"/>
                <w:szCs w:val="20"/>
              </w:rPr>
            </w:pPr>
            <w:r w:rsidRPr="00BD6D19">
              <w:rPr>
                <w:sz w:val="20"/>
                <w:szCs w:val="20"/>
              </w:rPr>
              <w:t xml:space="preserve"> 16,500</w:t>
            </w:r>
          </w:p>
        </w:tc>
      </w:tr>
      <w:tr w:rsidR="00AB6753" w:rsidRPr="00BD6D19" w14:paraId="6C6786E3"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33" w:type="pct"/>
          </w:tcPr>
          <w:p w14:paraId="133F26D2" w14:textId="77777777" w:rsidR="00AB6753" w:rsidRPr="00BD6D19" w:rsidRDefault="00AB6753" w:rsidP="002D1EA4">
            <w:pPr>
              <w:rPr>
                <w:sz w:val="20"/>
                <w:szCs w:val="20"/>
              </w:rPr>
            </w:pPr>
            <w:r w:rsidRPr="00BD6D19">
              <w:rPr>
                <w:sz w:val="20"/>
                <w:szCs w:val="20"/>
              </w:rPr>
              <w:t>The Trustee for the BMF Unit Trust</w:t>
            </w:r>
          </w:p>
        </w:tc>
        <w:tc>
          <w:tcPr>
            <w:cnfStyle w:val="000001000000" w:firstRow="0" w:lastRow="0" w:firstColumn="0" w:lastColumn="0" w:oddVBand="0" w:evenVBand="1" w:oddHBand="0" w:evenHBand="0" w:firstRowFirstColumn="0" w:firstRowLastColumn="0" w:lastRowFirstColumn="0" w:lastRowLastColumn="0"/>
            <w:tcW w:w="2726" w:type="pct"/>
          </w:tcPr>
          <w:p w14:paraId="78C0FBC9" w14:textId="77777777" w:rsidR="00AB6753" w:rsidRPr="00BD6D19" w:rsidRDefault="00AB6753" w:rsidP="002D1EA4">
            <w:pPr>
              <w:rPr>
                <w:sz w:val="20"/>
                <w:szCs w:val="20"/>
              </w:rPr>
            </w:pPr>
            <w:r w:rsidRPr="00BD6D19">
              <w:rPr>
                <w:sz w:val="20"/>
                <w:szCs w:val="20"/>
              </w:rPr>
              <w:t>Creative services – Stop it at the Start, Phase 1 and 2</w:t>
            </w:r>
          </w:p>
        </w:tc>
        <w:tc>
          <w:tcPr>
            <w:cnfStyle w:val="000010000000" w:firstRow="0" w:lastRow="0" w:firstColumn="0" w:lastColumn="0" w:oddVBand="1" w:evenVBand="0" w:oddHBand="0" w:evenHBand="0" w:firstRowFirstColumn="0" w:firstRowLastColumn="0" w:lastRowFirstColumn="0" w:lastRowLastColumn="0"/>
            <w:tcW w:w="641" w:type="pct"/>
          </w:tcPr>
          <w:p w14:paraId="1E884263" w14:textId="77777777" w:rsidR="00AB6753" w:rsidRPr="00BD6D19" w:rsidRDefault="00AB6753" w:rsidP="002D1EA4">
            <w:pPr>
              <w:jc w:val="right"/>
              <w:rPr>
                <w:sz w:val="20"/>
                <w:szCs w:val="20"/>
              </w:rPr>
            </w:pPr>
            <w:r w:rsidRPr="00BD6D19">
              <w:rPr>
                <w:sz w:val="20"/>
                <w:szCs w:val="20"/>
              </w:rPr>
              <w:t xml:space="preserve"> 95,647</w:t>
            </w:r>
          </w:p>
        </w:tc>
      </w:tr>
      <w:tr w:rsidR="00AB6753" w:rsidRPr="00BD6D19" w14:paraId="363FC814" w14:textId="77777777" w:rsidTr="002D1EA4">
        <w:trPr>
          <w:cnfStyle w:val="010000000000" w:firstRow="0" w:lastRow="1" w:firstColumn="0" w:lastColumn="0" w:oddVBand="0" w:evenVBand="0" w:oddHBand="0"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33" w:type="pct"/>
          </w:tcPr>
          <w:p w14:paraId="5AAE91C6" w14:textId="77777777" w:rsidR="00AB6753" w:rsidRPr="00BD6D19" w:rsidRDefault="00AB6753" w:rsidP="002D1EA4">
            <w:pPr>
              <w:rPr>
                <w:b w:val="0"/>
                <w:sz w:val="20"/>
                <w:szCs w:val="20"/>
              </w:rPr>
            </w:pPr>
            <w:r w:rsidRPr="00BD6D19">
              <w:rPr>
                <w:b w:val="0"/>
                <w:sz w:val="20"/>
                <w:szCs w:val="20"/>
              </w:rPr>
              <w:t>TOTAL</w:t>
            </w:r>
          </w:p>
        </w:tc>
        <w:tc>
          <w:tcPr>
            <w:cnfStyle w:val="000001000000" w:firstRow="0" w:lastRow="0" w:firstColumn="0" w:lastColumn="0" w:oddVBand="0" w:evenVBand="1" w:oddHBand="0" w:evenHBand="0" w:firstRowFirstColumn="0" w:firstRowLastColumn="0" w:lastRowFirstColumn="0" w:lastRowLastColumn="0"/>
            <w:tcW w:w="2726" w:type="pct"/>
          </w:tcPr>
          <w:p w14:paraId="761B3490" w14:textId="77777777" w:rsidR="00AB6753" w:rsidRPr="00BD6D19" w:rsidRDefault="00AB6753" w:rsidP="002D1EA4">
            <w:pPr>
              <w:rPr>
                <w:b w:val="0"/>
                <w:sz w:val="20"/>
                <w:szCs w:val="20"/>
              </w:rPr>
            </w:pPr>
          </w:p>
        </w:tc>
        <w:tc>
          <w:tcPr>
            <w:cnfStyle w:val="000010000000" w:firstRow="0" w:lastRow="0" w:firstColumn="0" w:lastColumn="0" w:oddVBand="1" w:evenVBand="0" w:oddHBand="0" w:evenHBand="0" w:firstRowFirstColumn="0" w:firstRowLastColumn="0" w:lastRowFirstColumn="0" w:lastRowLastColumn="0"/>
            <w:tcW w:w="641" w:type="pct"/>
          </w:tcPr>
          <w:p w14:paraId="0CBC7E23" w14:textId="77777777" w:rsidR="00AB6753" w:rsidRPr="00BD6D19" w:rsidRDefault="00AB6753" w:rsidP="002D1EA4">
            <w:pPr>
              <w:jc w:val="right"/>
              <w:rPr>
                <w:b w:val="0"/>
                <w:sz w:val="20"/>
                <w:szCs w:val="20"/>
              </w:rPr>
            </w:pPr>
            <w:r w:rsidRPr="00BD6D19">
              <w:rPr>
                <w:b w:val="0"/>
                <w:sz w:val="20"/>
                <w:szCs w:val="20"/>
              </w:rPr>
              <w:t>1,880,181</w:t>
            </w:r>
          </w:p>
        </w:tc>
      </w:tr>
    </w:tbl>
    <w:p w14:paraId="47EB660E" w14:textId="77777777" w:rsidR="00AB6753" w:rsidRDefault="00AB6753" w:rsidP="00AB6753">
      <w:pPr>
        <w:rPr>
          <w:rFonts w:asciiTheme="minorHAnsi" w:hAnsiTheme="minorHAnsi" w:cs="Calibri"/>
          <w:b/>
          <w:sz w:val="24"/>
        </w:rPr>
      </w:pPr>
    </w:p>
    <w:p w14:paraId="2CB7092B" w14:textId="77777777" w:rsidR="00AB6753" w:rsidRDefault="00AB6753" w:rsidP="00AB6753">
      <w:pPr>
        <w:rPr>
          <w:rFonts w:asciiTheme="minorHAnsi" w:hAnsiTheme="minorHAnsi" w:cs="Calibri"/>
          <w:b/>
          <w:sz w:val="24"/>
        </w:rPr>
      </w:pPr>
      <w:r>
        <w:rPr>
          <w:rFonts w:asciiTheme="minorHAnsi" w:hAnsiTheme="minorHAnsi" w:cs="Calibri"/>
          <w:b/>
          <w:sz w:val="24"/>
        </w:rPr>
        <w:br w:type="page"/>
      </w:r>
    </w:p>
    <w:p w14:paraId="04E7878C" w14:textId="77777777" w:rsidR="00AB6753" w:rsidRPr="00A050FC" w:rsidRDefault="00AB6753" w:rsidP="00AB6753">
      <w:pPr>
        <w:rPr>
          <w:rFonts w:ascii="Arial Narrow" w:hAnsi="Arial Narrow" w:cs="Calibri"/>
          <w:b/>
          <w:sz w:val="20"/>
          <w:szCs w:val="20"/>
        </w:rPr>
      </w:pPr>
      <w:r w:rsidRPr="00A050FC">
        <w:rPr>
          <w:rFonts w:ascii="Arial Narrow" w:hAnsi="Arial Narrow" w:cs="Calibri"/>
          <w:b/>
          <w:sz w:val="20"/>
          <w:szCs w:val="20"/>
        </w:rPr>
        <w:lastRenderedPageBreak/>
        <w:t xml:space="preserve">Table </w:t>
      </w:r>
      <w:r>
        <w:rPr>
          <w:rFonts w:ascii="Arial Narrow" w:hAnsi="Arial Narrow" w:cs="Calibri"/>
          <w:b/>
          <w:sz w:val="20"/>
          <w:szCs w:val="20"/>
        </w:rPr>
        <w:t>B</w:t>
      </w:r>
      <w:r w:rsidRPr="00A050FC">
        <w:rPr>
          <w:rFonts w:ascii="Arial Narrow" w:hAnsi="Arial Narrow" w:cs="Calibri"/>
          <w:b/>
          <w:sz w:val="20"/>
          <w:szCs w:val="20"/>
        </w:rPr>
        <w:t>-2 Payments to market research and polling organisations in 2019-20</w:t>
      </w:r>
    </w:p>
    <w:tbl>
      <w:tblPr>
        <w:tblStyle w:val="Verticaltable3"/>
        <w:tblW w:w="5000" w:type="pct"/>
        <w:tblLayout w:type="fixed"/>
        <w:tblLook w:val="01E0" w:firstRow="1" w:lastRow="1" w:firstColumn="1" w:lastColumn="1" w:noHBand="0" w:noVBand="0"/>
        <w:tblCaption w:val="Table B-2 Payments to market research and pollling organisations in 2019-20"/>
        <w:tblDescription w:val="This table lists the name of the provider, the service provided and the amount paid inclusive of GST."/>
      </w:tblPr>
      <w:tblGrid>
        <w:gridCol w:w="2931"/>
        <w:gridCol w:w="4896"/>
        <w:gridCol w:w="1199"/>
      </w:tblGrid>
      <w:tr w:rsidR="00AB6753" w:rsidRPr="00BD6D19" w14:paraId="117C9C34" w14:textId="77777777" w:rsidTr="002D1EA4">
        <w:trPr>
          <w:cnfStyle w:val="100000000000" w:firstRow="1" w:lastRow="0" w:firstColumn="0" w:lastColumn="0" w:oddVBand="0" w:evenVBand="0" w:oddHBand="0"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4147BFEE" w14:textId="77777777" w:rsidR="00AB6753" w:rsidRPr="00BD6D19" w:rsidRDefault="00AB6753" w:rsidP="002D1EA4">
            <w:pPr>
              <w:rPr>
                <w:b w:val="0"/>
                <w:bCs/>
                <w:sz w:val="20"/>
                <w:szCs w:val="20"/>
              </w:rPr>
            </w:pPr>
            <w:r w:rsidRPr="00BD6D19">
              <w:rPr>
                <w:b w:val="0"/>
                <w:bCs/>
                <w:sz w:val="20"/>
                <w:szCs w:val="20"/>
              </w:rPr>
              <w:t>Provider name</w:t>
            </w:r>
          </w:p>
        </w:tc>
        <w:tc>
          <w:tcPr>
            <w:cnfStyle w:val="000001000000" w:firstRow="0" w:lastRow="0" w:firstColumn="0" w:lastColumn="0" w:oddVBand="0" w:evenVBand="1" w:oddHBand="0" w:evenHBand="0" w:firstRowFirstColumn="0" w:firstRowLastColumn="0" w:lastRowFirstColumn="0" w:lastRowLastColumn="0"/>
            <w:tcW w:w="2712" w:type="pct"/>
          </w:tcPr>
          <w:p w14:paraId="789ADE88" w14:textId="77777777" w:rsidR="00AB6753" w:rsidRPr="00BD6D19" w:rsidRDefault="00AB6753" w:rsidP="002D1EA4">
            <w:pPr>
              <w:rPr>
                <w:b w:val="0"/>
                <w:bCs/>
                <w:sz w:val="20"/>
                <w:szCs w:val="20"/>
              </w:rPr>
            </w:pPr>
            <w:r w:rsidRPr="00BD6D19">
              <w:rPr>
                <w:b w:val="0"/>
                <w:bCs/>
                <w:sz w:val="20"/>
                <w:szCs w:val="20"/>
              </w:rPr>
              <w:t>Service provided</w:t>
            </w:r>
          </w:p>
        </w:tc>
        <w:tc>
          <w:tcPr>
            <w:cnfStyle w:val="000010000000" w:firstRow="0" w:lastRow="0" w:firstColumn="0" w:lastColumn="0" w:oddVBand="1" w:evenVBand="0" w:oddHBand="0" w:evenHBand="0" w:firstRowFirstColumn="0" w:firstRowLastColumn="0" w:lastRowFirstColumn="0" w:lastRowLastColumn="0"/>
            <w:tcW w:w="664" w:type="pct"/>
          </w:tcPr>
          <w:p w14:paraId="6857F5C6" w14:textId="77777777" w:rsidR="00AB6753" w:rsidRPr="00BD6D19" w:rsidRDefault="00AB6753" w:rsidP="002D1EA4">
            <w:pPr>
              <w:rPr>
                <w:b w:val="0"/>
                <w:bCs/>
                <w:sz w:val="20"/>
                <w:szCs w:val="20"/>
              </w:rPr>
            </w:pPr>
            <w:r w:rsidRPr="00BD6D19">
              <w:rPr>
                <w:b w:val="0"/>
                <w:bCs/>
                <w:sz w:val="20"/>
                <w:szCs w:val="20"/>
              </w:rPr>
              <w:t>Amount paid $ (</w:t>
            </w:r>
            <w:proofErr w:type="spellStart"/>
            <w:r w:rsidRPr="00BD6D19">
              <w:rPr>
                <w:b w:val="0"/>
                <w:bCs/>
                <w:sz w:val="20"/>
                <w:szCs w:val="20"/>
              </w:rPr>
              <w:t>incl</w:t>
            </w:r>
            <w:proofErr w:type="spellEnd"/>
            <w:r w:rsidRPr="00BD6D19">
              <w:rPr>
                <w:b w:val="0"/>
                <w:bCs/>
                <w:sz w:val="20"/>
                <w:szCs w:val="20"/>
              </w:rPr>
              <w:t xml:space="preserve"> GST)</w:t>
            </w:r>
          </w:p>
        </w:tc>
      </w:tr>
      <w:tr w:rsidR="00AB6753" w:rsidRPr="00BD6D19" w14:paraId="1C0B13F0"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74812040" w14:textId="77777777" w:rsidR="00AB6753" w:rsidRPr="00BD6D19" w:rsidRDefault="00AB6753" w:rsidP="002D1EA4">
            <w:pPr>
              <w:rPr>
                <w:sz w:val="20"/>
                <w:szCs w:val="20"/>
              </w:rPr>
            </w:pPr>
            <w:r w:rsidRPr="00BD6D19">
              <w:rPr>
                <w:sz w:val="20"/>
                <w:szCs w:val="20"/>
              </w:rPr>
              <w:t>Australian Survey Research Group Pty Ltd</w:t>
            </w:r>
          </w:p>
        </w:tc>
        <w:tc>
          <w:tcPr>
            <w:cnfStyle w:val="000001000000" w:firstRow="0" w:lastRow="0" w:firstColumn="0" w:lastColumn="0" w:oddVBand="0" w:evenVBand="1" w:oddHBand="0" w:evenHBand="0" w:firstRowFirstColumn="0" w:firstRowLastColumn="0" w:lastRowFirstColumn="0" w:lastRowLastColumn="0"/>
            <w:tcW w:w="2712" w:type="pct"/>
          </w:tcPr>
          <w:p w14:paraId="18BF1B48" w14:textId="77777777" w:rsidR="00AB6753" w:rsidRPr="00BD6D19" w:rsidRDefault="00AB6753" w:rsidP="002D1EA4">
            <w:pPr>
              <w:rPr>
                <w:bCs/>
                <w:sz w:val="20"/>
                <w:szCs w:val="20"/>
              </w:rPr>
            </w:pPr>
            <w:r w:rsidRPr="00BD6D19">
              <w:rPr>
                <w:bCs/>
                <w:sz w:val="20"/>
                <w:szCs w:val="20"/>
              </w:rPr>
              <w:t>Market research – Try, Test and Learn</w:t>
            </w:r>
          </w:p>
        </w:tc>
        <w:tc>
          <w:tcPr>
            <w:cnfStyle w:val="000010000000" w:firstRow="0" w:lastRow="0" w:firstColumn="0" w:lastColumn="0" w:oddVBand="1" w:evenVBand="0" w:oddHBand="0" w:evenHBand="0" w:firstRowFirstColumn="0" w:firstRowLastColumn="0" w:lastRowFirstColumn="0" w:lastRowLastColumn="0"/>
            <w:tcW w:w="664" w:type="pct"/>
          </w:tcPr>
          <w:p w14:paraId="76865F83" w14:textId="77777777" w:rsidR="00AB6753" w:rsidRPr="00BD6D19" w:rsidRDefault="00AB6753" w:rsidP="002D1EA4">
            <w:pPr>
              <w:jc w:val="right"/>
              <w:rPr>
                <w:bCs/>
                <w:sz w:val="20"/>
                <w:szCs w:val="20"/>
              </w:rPr>
            </w:pPr>
            <w:r w:rsidRPr="00BD6D19">
              <w:rPr>
                <w:bCs/>
                <w:sz w:val="20"/>
                <w:szCs w:val="20"/>
              </w:rPr>
              <w:t>81,811</w:t>
            </w:r>
          </w:p>
        </w:tc>
      </w:tr>
      <w:tr w:rsidR="00AB6753" w:rsidRPr="00BD6D19" w14:paraId="3B5C1B8D"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24" w:type="pct"/>
          </w:tcPr>
          <w:p w14:paraId="70088EAA" w14:textId="77777777" w:rsidR="00AB6753" w:rsidRPr="00BD6D19" w:rsidRDefault="00AB6753" w:rsidP="002D1EA4">
            <w:pPr>
              <w:rPr>
                <w:sz w:val="20"/>
                <w:szCs w:val="20"/>
              </w:rPr>
            </w:pPr>
            <w:r w:rsidRPr="00BD6D19">
              <w:rPr>
                <w:sz w:val="20"/>
                <w:szCs w:val="20"/>
              </w:rPr>
              <w:t xml:space="preserve">Colmar </w:t>
            </w:r>
            <w:proofErr w:type="spellStart"/>
            <w:r w:rsidRPr="00BD6D19">
              <w:rPr>
                <w:sz w:val="20"/>
                <w:szCs w:val="20"/>
              </w:rPr>
              <w:t>Brunton</w:t>
            </w:r>
            <w:proofErr w:type="spellEnd"/>
            <w:r w:rsidRPr="00BD6D19">
              <w:rPr>
                <w:sz w:val="20"/>
                <w:szCs w:val="20"/>
              </w:rPr>
              <w:t xml:space="preserve"> Pty Ltd</w:t>
            </w:r>
          </w:p>
        </w:tc>
        <w:tc>
          <w:tcPr>
            <w:cnfStyle w:val="000001000000" w:firstRow="0" w:lastRow="0" w:firstColumn="0" w:lastColumn="0" w:oddVBand="0" w:evenVBand="1" w:oddHBand="0" w:evenHBand="0" w:firstRowFirstColumn="0" w:firstRowLastColumn="0" w:lastRowFirstColumn="0" w:lastRowLastColumn="0"/>
            <w:tcW w:w="2712" w:type="pct"/>
          </w:tcPr>
          <w:p w14:paraId="1355FD9B" w14:textId="77777777" w:rsidR="00AB6753" w:rsidRPr="00BD6D19" w:rsidRDefault="00AB6753" w:rsidP="002D1EA4">
            <w:pPr>
              <w:rPr>
                <w:bCs/>
                <w:sz w:val="20"/>
                <w:szCs w:val="20"/>
              </w:rPr>
            </w:pPr>
            <w:r w:rsidRPr="00BD6D19">
              <w:rPr>
                <w:bCs/>
                <w:sz w:val="20"/>
                <w:szCs w:val="20"/>
              </w:rPr>
              <w:t>Data services – Longitudinal Study of Indigenous Children</w:t>
            </w:r>
          </w:p>
        </w:tc>
        <w:tc>
          <w:tcPr>
            <w:cnfStyle w:val="000010000000" w:firstRow="0" w:lastRow="0" w:firstColumn="0" w:lastColumn="0" w:oddVBand="1" w:evenVBand="0" w:oddHBand="0" w:evenHBand="0" w:firstRowFirstColumn="0" w:firstRowLastColumn="0" w:lastRowFirstColumn="0" w:lastRowLastColumn="0"/>
            <w:tcW w:w="664" w:type="pct"/>
          </w:tcPr>
          <w:p w14:paraId="64EEE1DF" w14:textId="77777777" w:rsidR="00AB6753" w:rsidRPr="00BD6D19" w:rsidRDefault="00AB6753" w:rsidP="002D1EA4">
            <w:pPr>
              <w:jc w:val="right"/>
              <w:rPr>
                <w:bCs/>
                <w:sz w:val="20"/>
                <w:szCs w:val="20"/>
              </w:rPr>
            </w:pPr>
            <w:r w:rsidRPr="00BD6D19">
              <w:rPr>
                <w:bCs/>
                <w:sz w:val="20"/>
                <w:szCs w:val="20"/>
              </w:rPr>
              <w:t>191,064</w:t>
            </w:r>
          </w:p>
        </w:tc>
      </w:tr>
      <w:tr w:rsidR="00AB6753" w:rsidRPr="00BD6D19" w14:paraId="14F1173E"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5799CD82" w14:textId="77777777" w:rsidR="00AB6753" w:rsidRPr="00BD6D19" w:rsidRDefault="00AB6753" w:rsidP="002D1EA4">
            <w:pPr>
              <w:rPr>
                <w:b/>
                <w:bCs/>
                <w:sz w:val="20"/>
                <w:szCs w:val="20"/>
              </w:rPr>
            </w:pPr>
            <w:r w:rsidRPr="00BD6D19">
              <w:rPr>
                <w:sz w:val="20"/>
                <w:szCs w:val="20"/>
              </w:rPr>
              <w:t>Hall &amp; Partners Pty Ltd</w:t>
            </w:r>
          </w:p>
        </w:tc>
        <w:tc>
          <w:tcPr>
            <w:cnfStyle w:val="000001000000" w:firstRow="0" w:lastRow="0" w:firstColumn="0" w:lastColumn="0" w:oddVBand="0" w:evenVBand="1" w:oddHBand="0" w:evenHBand="0" w:firstRowFirstColumn="0" w:firstRowLastColumn="0" w:lastRowFirstColumn="0" w:lastRowLastColumn="0"/>
            <w:tcW w:w="2712" w:type="pct"/>
          </w:tcPr>
          <w:p w14:paraId="426DD389" w14:textId="77777777" w:rsidR="00AB6753" w:rsidRPr="00BD6D19" w:rsidRDefault="00AB6753" w:rsidP="002D1EA4">
            <w:pPr>
              <w:rPr>
                <w:b/>
                <w:bCs/>
                <w:sz w:val="20"/>
                <w:szCs w:val="20"/>
              </w:rPr>
            </w:pPr>
            <w:r w:rsidRPr="00BD6D19">
              <w:rPr>
                <w:sz w:val="20"/>
                <w:szCs w:val="20"/>
              </w:rPr>
              <w:t>Market research – Help is Here</w:t>
            </w:r>
          </w:p>
        </w:tc>
        <w:tc>
          <w:tcPr>
            <w:cnfStyle w:val="000010000000" w:firstRow="0" w:lastRow="0" w:firstColumn="0" w:lastColumn="0" w:oddVBand="1" w:evenVBand="0" w:oddHBand="0" w:evenHBand="0" w:firstRowFirstColumn="0" w:firstRowLastColumn="0" w:lastRowFirstColumn="0" w:lastRowLastColumn="0"/>
            <w:tcW w:w="664" w:type="pct"/>
          </w:tcPr>
          <w:p w14:paraId="0A590A69" w14:textId="77777777" w:rsidR="00AB6753" w:rsidRPr="00BD6D19" w:rsidRDefault="00AB6753" w:rsidP="002D1EA4">
            <w:pPr>
              <w:jc w:val="right"/>
              <w:rPr>
                <w:b/>
                <w:bCs/>
                <w:sz w:val="20"/>
                <w:szCs w:val="20"/>
              </w:rPr>
            </w:pPr>
            <w:r w:rsidRPr="00BD6D19">
              <w:rPr>
                <w:sz w:val="20"/>
                <w:szCs w:val="20"/>
              </w:rPr>
              <w:t>205,507</w:t>
            </w:r>
          </w:p>
        </w:tc>
      </w:tr>
      <w:tr w:rsidR="00AB6753" w:rsidRPr="00BD6D19" w14:paraId="13B9D0D2"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24" w:type="pct"/>
          </w:tcPr>
          <w:p w14:paraId="001568BD" w14:textId="77777777" w:rsidR="00AB6753" w:rsidRPr="00BD6D19" w:rsidRDefault="00AB6753" w:rsidP="002D1EA4">
            <w:pPr>
              <w:rPr>
                <w:b/>
                <w:bCs/>
                <w:sz w:val="20"/>
                <w:szCs w:val="20"/>
              </w:rPr>
            </w:pPr>
            <w:r w:rsidRPr="00BD6D19">
              <w:rPr>
                <w:sz w:val="20"/>
                <w:szCs w:val="20"/>
              </w:rPr>
              <w:t>Hall &amp; Partners Pty Ltd</w:t>
            </w:r>
          </w:p>
        </w:tc>
        <w:tc>
          <w:tcPr>
            <w:cnfStyle w:val="000001000000" w:firstRow="0" w:lastRow="0" w:firstColumn="0" w:lastColumn="0" w:oddVBand="0" w:evenVBand="1" w:oddHBand="0" w:evenHBand="0" w:firstRowFirstColumn="0" w:firstRowLastColumn="0" w:lastRowFirstColumn="0" w:lastRowLastColumn="0"/>
            <w:tcW w:w="2712" w:type="pct"/>
          </w:tcPr>
          <w:p w14:paraId="505FCB83" w14:textId="77777777" w:rsidR="00AB6753" w:rsidRPr="00BD6D19" w:rsidRDefault="00AB6753" w:rsidP="002D1EA4">
            <w:pPr>
              <w:rPr>
                <w:b/>
                <w:bCs/>
                <w:sz w:val="20"/>
                <w:szCs w:val="20"/>
              </w:rPr>
            </w:pPr>
            <w:r w:rsidRPr="00BD6D19">
              <w:rPr>
                <w:sz w:val="20"/>
                <w:szCs w:val="20"/>
              </w:rPr>
              <w:t>Market research – Stop it at the Start, Phase 2</w:t>
            </w:r>
          </w:p>
        </w:tc>
        <w:tc>
          <w:tcPr>
            <w:cnfStyle w:val="000010000000" w:firstRow="0" w:lastRow="0" w:firstColumn="0" w:lastColumn="0" w:oddVBand="1" w:evenVBand="0" w:oddHBand="0" w:evenHBand="0" w:firstRowFirstColumn="0" w:firstRowLastColumn="0" w:lastRowFirstColumn="0" w:lastRowLastColumn="0"/>
            <w:tcW w:w="664" w:type="pct"/>
          </w:tcPr>
          <w:p w14:paraId="060F4AEB" w14:textId="77777777" w:rsidR="00AB6753" w:rsidRPr="00BD6D19" w:rsidRDefault="00AB6753" w:rsidP="002D1EA4">
            <w:pPr>
              <w:jc w:val="right"/>
              <w:rPr>
                <w:b/>
                <w:bCs/>
                <w:sz w:val="20"/>
                <w:szCs w:val="20"/>
              </w:rPr>
            </w:pPr>
            <w:r w:rsidRPr="00BD6D19">
              <w:rPr>
                <w:sz w:val="20"/>
                <w:szCs w:val="20"/>
              </w:rPr>
              <w:t>89,870</w:t>
            </w:r>
          </w:p>
        </w:tc>
      </w:tr>
      <w:tr w:rsidR="00AB6753" w:rsidRPr="00BD6D19" w14:paraId="3B5C716A"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5A8CCBA6" w14:textId="77777777" w:rsidR="00AB6753" w:rsidRPr="00BD6D19" w:rsidRDefault="00AB6753" w:rsidP="002D1EA4">
            <w:pPr>
              <w:rPr>
                <w:b/>
                <w:bCs/>
                <w:sz w:val="20"/>
                <w:szCs w:val="20"/>
              </w:rPr>
            </w:pPr>
            <w:r w:rsidRPr="00BD6D19">
              <w:rPr>
                <w:sz w:val="20"/>
                <w:szCs w:val="20"/>
              </w:rPr>
              <w:t>Kantar Public Australia Pty Ltd</w:t>
            </w:r>
          </w:p>
        </w:tc>
        <w:tc>
          <w:tcPr>
            <w:cnfStyle w:val="000001000000" w:firstRow="0" w:lastRow="0" w:firstColumn="0" w:lastColumn="0" w:oddVBand="0" w:evenVBand="1" w:oddHBand="0" w:evenHBand="0" w:firstRowFirstColumn="0" w:firstRowLastColumn="0" w:lastRowFirstColumn="0" w:lastRowLastColumn="0"/>
            <w:tcW w:w="2712" w:type="pct"/>
          </w:tcPr>
          <w:p w14:paraId="666D8475" w14:textId="77777777" w:rsidR="00AB6753" w:rsidRPr="00BD6D19" w:rsidRDefault="00AB6753" w:rsidP="002D1EA4">
            <w:pPr>
              <w:rPr>
                <w:b/>
                <w:bCs/>
                <w:sz w:val="20"/>
                <w:szCs w:val="20"/>
              </w:rPr>
            </w:pPr>
            <w:r w:rsidRPr="00BD6D19">
              <w:rPr>
                <w:sz w:val="20"/>
                <w:szCs w:val="20"/>
              </w:rPr>
              <w:t>Market research – Help is Here</w:t>
            </w:r>
          </w:p>
        </w:tc>
        <w:tc>
          <w:tcPr>
            <w:cnfStyle w:val="000010000000" w:firstRow="0" w:lastRow="0" w:firstColumn="0" w:lastColumn="0" w:oddVBand="1" w:evenVBand="0" w:oddHBand="0" w:evenHBand="0" w:firstRowFirstColumn="0" w:firstRowLastColumn="0" w:lastRowFirstColumn="0" w:lastRowLastColumn="0"/>
            <w:tcW w:w="664" w:type="pct"/>
          </w:tcPr>
          <w:p w14:paraId="127F5E97" w14:textId="77777777" w:rsidR="00AB6753" w:rsidRPr="00BD6D19" w:rsidRDefault="00AB6753" w:rsidP="002D1EA4">
            <w:pPr>
              <w:jc w:val="right"/>
              <w:rPr>
                <w:b/>
                <w:bCs/>
                <w:sz w:val="20"/>
                <w:szCs w:val="20"/>
              </w:rPr>
            </w:pPr>
            <w:r w:rsidRPr="00BD6D19">
              <w:rPr>
                <w:sz w:val="20"/>
                <w:szCs w:val="20"/>
              </w:rPr>
              <w:t>274,350</w:t>
            </w:r>
          </w:p>
        </w:tc>
      </w:tr>
      <w:tr w:rsidR="00AB6753" w:rsidRPr="00BD6D19" w14:paraId="2468442F"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24" w:type="pct"/>
          </w:tcPr>
          <w:p w14:paraId="6477CFF0" w14:textId="77777777" w:rsidR="00AB6753" w:rsidRPr="00BD6D19" w:rsidRDefault="00AB6753" w:rsidP="002D1EA4">
            <w:pPr>
              <w:rPr>
                <w:sz w:val="20"/>
                <w:szCs w:val="20"/>
              </w:rPr>
            </w:pPr>
            <w:r w:rsidRPr="00BD6D19">
              <w:rPr>
                <w:sz w:val="20"/>
                <w:szCs w:val="20"/>
              </w:rPr>
              <w:t>Kantar Public Australia Pty Ltd</w:t>
            </w:r>
          </w:p>
        </w:tc>
        <w:tc>
          <w:tcPr>
            <w:cnfStyle w:val="000001000000" w:firstRow="0" w:lastRow="0" w:firstColumn="0" w:lastColumn="0" w:oddVBand="0" w:evenVBand="1" w:oddHBand="0" w:evenHBand="0" w:firstRowFirstColumn="0" w:firstRowLastColumn="0" w:lastRowFirstColumn="0" w:lastRowLastColumn="0"/>
            <w:tcW w:w="2712" w:type="pct"/>
          </w:tcPr>
          <w:p w14:paraId="6371219F" w14:textId="77777777" w:rsidR="00AB6753" w:rsidRPr="00BD6D19" w:rsidRDefault="00AB6753" w:rsidP="002D1EA4">
            <w:pPr>
              <w:rPr>
                <w:sz w:val="20"/>
                <w:szCs w:val="20"/>
              </w:rPr>
            </w:pPr>
            <w:r w:rsidRPr="00BD6D19">
              <w:rPr>
                <w:sz w:val="20"/>
                <w:szCs w:val="20"/>
              </w:rPr>
              <w:t>Market research – National Disability Information Gateway</w:t>
            </w:r>
          </w:p>
        </w:tc>
        <w:tc>
          <w:tcPr>
            <w:cnfStyle w:val="000010000000" w:firstRow="0" w:lastRow="0" w:firstColumn="0" w:lastColumn="0" w:oddVBand="1" w:evenVBand="0" w:oddHBand="0" w:evenHBand="0" w:firstRowFirstColumn="0" w:firstRowLastColumn="0" w:lastRowFirstColumn="0" w:lastRowLastColumn="0"/>
            <w:tcW w:w="664" w:type="pct"/>
          </w:tcPr>
          <w:p w14:paraId="0623BF23" w14:textId="77777777" w:rsidR="00AB6753" w:rsidRPr="00BD6D19" w:rsidRDefault="00AB6753" w:rsidP="002D1EA4">
            <w:pPr>
              <w:jc w:val="right"/>
              <w:rPr>
                <w:sz w:val="20"/>
                <w:szCs w:val="20"/>
              </w:rPr>
            </w:pPr>
            <w:r w:rsidRPr="00BD6D19">
              <w:rPr>
                <w:sz w:val="20"/>
                <w:szCs w:val="20"/>
              </w:rPr>
              <w:t>154,880</w:t>
            </w:r>
          </w:p>
        </w:tc>
      </w:tr>
      <w:tr w:rsidR="00AB6753" w:rsidRPr="00BD6D19" w14:paraId="49C999F0"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4F0C87D4" w14:textId="77777777" w:rsidR="00AB6753" w:rsidRPr="00BD6D19" w:rsidRDefault="00AB6753" w:rsidP="002D1EA4">
            <w:pPr>
              <w:rPr>
                <w:b/>
                <w:bCs/>
                <w:sz w:val="20"/>
                <w:szCs w:val="20"/>
              </w:rPr>
            </w:pPr>
            <w:r w:rsidRPr="00BD6D19">
              <w:rPr>
                <w:sz w:val="20"/>
                <w:szCs w:val="20"/>
              </w:rPr>
              <w:t>Kantar Public Australia Pty Ltd</w:t>
            </w:r>
          </w:p>
        </w:tc>
        <w:tc>
          <w:tcPr>
            <w:cnfStyle w:val="000001000000" w:firstRow="0" w:lastRow="0" w:firstColumn="0" w:lastColumn="0" w:oddVBand="0" w:evenVBand="1" w:oddHBand="0" w:evenHBand="0" w:firstRowFirstColumn="0" w:firstRowLastColumn="0" w:lastRowFirstColumn="0" w:lastRowLastColumn="0"/>
            <w:tcW w:w="2712" w:type="pct"/>
          </w:tcPr>
          <w:p w14:paraId="2EC3B82B" w14:textId="77777777" w:rsidR="00AB6753" w:rsidRPr="00BD6D19" w:rsidRDefault="00AB6753" w:rsidP="002D1EA4">
            <w:pPr>
              <w:rPr>
                <w:b/>
                <w:bCs/>
                <w:sz w:val="20"/>
                <w:szCs w:val="20"/>
              </w:rPr>
            </w:pPr>
            <w:r w:rsidRPr="00BD6D19">
              <w:rPr>
                <w:sz w:val="20"/>
                <w:szCs w:val="20"/>
              </w:rPr>
              <w:t>Market research – Stop it at the Start, Phase 3</w:t>
            </w:r>
          </w:p>
        </w:tc>
        <w:tc>
          <w:tcPr>
            <w:cnfStyle w:val="000010000000" w:firstRow="0" w:lastRow="0" w:firstColumn="0" w:lastColumn="0" w:oddVBand="1" w:evenVBand="0" w:oddHBand="0" w:evenHBand="0" w:firstRowFirstColumn="0" w:firstRowLastColumn="0" w:lastRowFirstColumn="0" w:lastRowLastColumn="0"/>
            <w:tcW w:w="664" w:type="pct"/>
          </w:tcPr>
          <w:p w14:paraId="257D0F88" w14:textId="77777777" w:rsidR="00AB6753" w:rsidRPr="00BD6D19" w:rsidRDefault="00AB6753" w:rsidP="002D1EA4">
            <w:pPr>
              <w:jc w:val="right"/>
              <w:rPr>
                <w:b/>
                <w:bCs/>
                <w:sz w:val="20"/>
                <w:szCs w:val="20"/>
              </w:rPr>
            </w:pPr>
            <w:r w:rsidRPr="00BD6D19">
              <w:rPr>
                <w:sz w:val="20"/>
                <w:szCs w:val="20"/>
              </w:rPr>
              <w:t>651,652</w:t>
            </w:r>
          </w:p>
        </w:tc>
      </w:tr>
      <w:tr w:rsidR="00AB6753" w:rsidRPr="00BD6D19" w14:paraId="4E32EC22"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24" w:type="pct"/>
          </w:tcPr>
          <w:p w14:paraId="56237B9B" w14:textId="77777777" w:rsidR="00AB6753" w:rsidRPr="00BD6D19" w:rsidRDefault="00AB6753" w:rsidP="002D1EA4">
            <w:pPr>
              <w:rPr>
                <w:sz w:val="20"/>
                <w:szCs w:val="20"/>
              </w:rPr>
            </w:pPr>
            <w:proofErr w:type="spellStart"/>
            <w:r w:rsidRPr="00BD6D19">
              <w:rPr>
                <w:sz w:val="20"/>
                <w:szCs w:val="20"/>
              </w:rPr>
              <w:t>Orima</w:t>
            </w:r>
            <w:proofErr w:type="spellEnd"/>
            <w:r w:rsidRPr="00BD6D19">
              <w:rPr>
                <w:sz w:val="20"/>
                <w:szCs w:val="20"/>
              </w:rPr>
              <w:t xml:space="preserve"> Research Pty Ltd</w:t>
            </w:r>
          </w:p>
        </w:tc>
        <w:tc>
          <w:tcPr>
            <w:cnfStyle w:val="000001000000" w:firstRow="0" w:lastRow="0" w:firstColumn="0" w:lastColumn="0" w:oddVBand="0" w:evenVBand="1" w:oddHBand="0" w:evenHBand="0" w:firstRowFirstColumn="0" w:firstRowLastColumn="0" w:lastRowFirstColumn="0" w:lastRowLastColumn="0"/>
            <w:tcW w:w="2712" w:type="pct"/>
          </w:tcPr>
          <w:p w14:paraId="2A49C6F8" w14:textId="77777777" w:rsidR="00AB6753" w:rsidRPr="00BD6D19" w:rsidRDefault="00AB6753" w:rsidP="002D1EA4">
            <w:pPr>
              <w:rPr>
                <w:sz w:val="20"/>
                <w:szCs w:val="20"/>
              </w:rPr>
            </w:pPr>
            <w:r w:rsidRPr="00BD6D19" w:rsidDel="00EF1F12">
              <w:rPr>
                <w:sz w:val="20"/>
                <w:szCs w:val="20"/>
              </w:rPr>
              <w:t>M</w:t>
            </w:r>
            <w:r w:rsidRPr="00BD6D19">
              <w:rPr>
                <w:sz w:val="20"/>
                <w:szCs w:val="20"/>
              </w:rPr>
              <w:t>arket analysis – APS Employee Census</w:t>
            </w:r>
          </w:p>
        </w:tc>
        <w:tc>
          <w:tcPr>
            <w:cnfStyle w:val="000010000000" w:firstRow="0" w:lastRow="0" w:firstColumn="0" w:lastColumn="0" w:oddVBand="1" w:evenVBand="0" w:oddHBand="0" w:evenHBand="0" w:firstRowFirstColumn="0" w:firstRowLastColumn="0" w:lastRowFirstColumn="0" w:lastRowLastColumn="0"/>
            <w:tcW w:w="664" w:type="pct"/>
          </w:tcPr>
          <w:p w14:paraId="6B62F3E1" w14:textId="77777777" w:rsidR="00AB6753" w:rsidRPr="00BD6D19" w:rsidRDefault="00AB6753" w:rsidP="002D1EA4">
            <w:pPr>
              <w:jc w:val="right"/>
              <w:rPr>
                <w:sz w:val="20"/>
                <w:szCs w:val="20"/>
              </w:rPr>
            </w:pPr>
            <w:r w:rsidRPr="00BD6D19">
              <w:rPr>
                <w:sz w:val="20"/>
                <w:szCs w:val="20"/>
              </w:rPr>
              <w:t>24,000</w:t>
            </w:r>
          </w:p>
        </w:tc>
      </w:tr>
      <w:tr w:rsidR="00AB6753" w:rsidRPr="00BD6D19" w14:paraId="6B763ED5"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1299B5B0" w14:textId="77777777" w:rsidR="00AB6753" w:rsidRPr="00BD6D19" w:rsidRDefault="00AB6753" w:rsidP="002D1EA4">
            <w:pPr>
              <w:rPr>
                <w:sz w:val="20"/>
                <w:szCs w:val="20"/>
              </w:rPr>
            </w:pPr>
            <w:proofErr w:type="spellStart"/>
            <w:r w:rsidRPr="00BD6D19">
              <w:rPr>
                <w:sz w:val="20"/>
                <w:szCs w:val="20"/>
              </w:rPr>
              <w:t>Orima</w:t>
            </w:r>
            <w:proofErr w:type="spellEnd"/>
            <w:r w:rsidRPr="00BD6D19">
              <w:rPr>
                <w:sz w:val="20"/>
                <w:szCs w:val="20"/>
              </w:rPr>
              <w:t xml:space="preserve"> Research Pty Ltd</w:t>
            </w:r>
          </w:p>
        </w:tc>
        <w:tc>
          <w:tcPr>
            <w:cnfStyle w:val="000001000000" w:firstRow="0" w:lastRow="0" w:firstColumn="0" w:lastColumn="0" w:oddVBand="0" w:evenVBand="1" w:oddHBand="0" w:evenHBand="0" w:firstRowFirstColumn="0" w:firstRowLastColumn="0" w:lastRowFirstColumn="0" w:lastRowLastColumn="0"/>
            <w:tcW w:w="2712" w:type="pct"/>
          </w:tcPr>
          <w:p w14:paraId="2DDBD28B" w14:textId="77777777" w:rsidR="00AB6753" w:rsidRPr="00BD6D19" w:rsidRDefault="00AB6753" w:rsidP="002D1EA4">
            <w:pPr>
              <w:rPr>
                <w:sz w:val="20"/>
                <w:szCs w:val="20"/>
              </w:rPr>
            </w:pPr>
            <w:r w:rsidRPr="00BD6D19">
              <w:rPr>
                <w:sz w:val="20"/>
                <w:szCs w:val="20"/>
              </w:rPr>
              <w:t>Research services – National Disability Insurance Scheme Quality and Safeguards</w:t>
            </w:r>
          </w:p>
        </w:tc>
        <w:tc>
          <w:tcPr>
            <w:cnfStyle w:val="000010000000" w:firstRow="0" w:lastRow="0" w:firstColumn="0" w:lastColumn="0" w:oddVBand="1" w:evenVBand="0" w:oddHBand="0" w:evenHBand="0" w:firstRowFirstColumn="0" w:firstRowLastColumn="0" w:lastRowFirstColumn="0" w:lastRowLastColumn="0"/>
            <w:tcW w:w="664" w:type="pct"/>
          </w:tcPr>
          <w:p w14:paraId="6528DB69" w14:textId="77777777" w:rsidR="00AB6753" w:rsidRPr="00BD6D19" w:rsidRDefault="00AB6753" w:rsidP="002D1EA4">
            <w:pPr>
              <w:jc w:val="right"/>
              <w:rPr>
                <w:sz w:val="20"/>
                <w:szCs w:val="20"/>
              </w:rPr>
            </w:pPr>
            <w:r w:rsidRPr="00BD6D19">
              <w:rPr>
                <w:sz w:val="20"/>
                <w:szCs w:val="20"/>
              </w:rPr>
              <w:t>49,170</w:t>
            </w:r>
          </w:p>
        </w:tc>
      </w:tr>
      <w:tr w:rsidR="00AB6753" w:rsidRPr="00BD6D19" w14:paraId="7F328C9F"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24" w:type="pct"/>
          </w:tcPr>
          <w:p w14:paraId="32555C9A" w14:textId="77777777" w:rsidR="00AB6753" w:rsidRPr="00BD6D19" w:rsidRDefault="00AB6753" w:rsidP="002D1EA4">
            <w:pPr>
              <w:rPr>
                <w:sz w:val="20"/>
                <w:szCs w:val="20"/>
              </w:rPr>
            </w:pPr>
            <w:r w:rsidRPr="00BD6D19">
              <w:rPr>
                <w:sz w:val="20"/>
                <w:szCs w:val="20"/>
              </w:rPr>
              <w:t>Roy Morgan Research Ltd</w:t>
            </w:r>
          </w:p>
        </w:tc>
        <w:tc>
          <w:tcPr>
            <w:cnfStyle w:val="000001000000" w:firstRow="0" w:lastRow="0" w:firstColumn="0" w:lastColumn="0" w:oddVBand="0" w:evenVBand="1" w:oddHBand="0" w:evenHBand="0" w:firstRowFirstColumn="0" w:firstRowLastColumn="0" w:lastRowFirstColumn="0" w:lastRowLastColumn="0"/>
            <w:tcW w:w="2712" w:type="pct"/>
          </w:tcPr>
          <w:p w14:paraId="0FCE5717" w14:textId="77777777" w:rsidR="00AB6753" w:rsidRPr="00BD6D19" w:rsidRDefault="00AB6753" w:rsidP="002D1EA4">
            <w:pPr>
              <w:rPr>
                <w:sz w:val="20"/>
                <w:szCs w:val="20"/>
              </w:rPr>
            </w:pPr>
            <w:r w:rsidRPr="00BD6D19">
              <w:rPr>
                <w:bCs/>
                <w:sz w:val="20"/>
                <w:szCs w:val="20"/>
              </w:rPr>
              <w:t>Data services – Longitudinal Study of Indigenous Children</w:t>
            </w:r>
          </w:p>
        </w:tc>
        <w:tc>
          <w:tcPr>
            <w:cnfStyle w:val="000010000000" w:firstRow="0" w:lastRow="0" w:firstColumn="0" w:lastColumn="0" w:oddVBand="1" w:evenVBand="0" w:oddHBand="0" w:evenHBand="0" w:firstRowFirstColumn="0" w:firstRowLastColumn="0" w:lastRowFirstColumn="0" w:lastRowLastColumn="0"/>
            <w:tcW w:w="664" w:type="pct"/>
          </w:tcPr>
          <w:p w14:paraId="79EFCA58" w14:textId="77777777" w:rsidR="00AB6753" w:rsidRPr="00BD6D19" w:rsidRDefault="00AB6753" w:rsidP="002D1EA4">
            <w:pPr>
              <w:jc w:val="right"/>
              <w:rPr>
                <w:sz w:val="20"/>
                <w:szCs w:val="20"/>
              </w:rPr>
            </w:pPr>
            <w:r w:rsidRPr="00BD6D19">
              <w:rPr>
                <w:sz w:val="20"/>
                <w:szCs w:val="20"/>
              </w:rPr>
              <w:t>947,883</w:t>
            </w:r>
          </w:p>
        </w:tc>
      </w:tr>
      <w:tr w:rsidR="00AB6753" w:rsidRPr="00BD6D19" w14:paraId="5401D168"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5149BD4D" w14:textId="77777777" w:rsidR="00AB6753" w:rsidRPr="00BD6D19" w:rsidRDefault="00AB6753" w:rsidP="002D1EA4">
            <w:pPr>
              <w:rPr>
                <w:sz w:val="20"/>
                <w:szCs w:val="20"/>
              </w:rPr>
            </w:pPr>
            <w:r w:rsidRPr="00BD6D19">
              <w:rPr>
                <w:sz w:val="20"/>
                <w:szCs w:val="20"/>
              </w:rPr>
              <w:t>The Trustee for Essence Communications Trust</w:t>
            </w:r>
          </w:p>
        </w:tc>
        <w:tc>
          <w:tcPr>
            <w:cnfStyle w:val="000001000000" w:firstRow="0" w:lastRow="0" w:firstColumn="0" w:lastColumn="0" w:oddVBand="0" w:evenVBand="1" w:oddHBand="0" w:evenHBand="0" w:firstRowFirstColumn="0" w:firstRowLastColumn="0" w:lastRowFirstColumn="0" w:lastRowLastColumn="0"/>
            <w:tcW w:w="2712" w:type="pct"/>
          </w:tcPr>
          <w:p w14:paraId="14F01176" w14:textId="77777777" w:rsidR="00AB6753" w:rsidRPr="00BD6D19" w:rsidRDefault="00AB6753" w:rsidP="002D1EA4">
            <w:pPr>
              <w:rPr>
                <w:bCs/>
                <w:sz w:val="20"/>
                <w:szCs w:val="20"/>
              </w:rPr>
            </w:pPr>
            <w:r w:rsidRPr="00BD6D19">
              <w:rPr>
                <w:sz w:val="20"/>
                <w:szCs w:val="20"/>
              </w:rPr>
              <w:t>Market research – National Disability Information Gateway</w:t>
            </w:r>
          </w:p>
        </w:tc>
        <w:tc>
          <w:tcPr>
            <w:cnfStyle w:val="000010000000" w:firstRow="0" w:lastRow="0" w:firstColumn="0" w:lastColumn="0" w:oddVBand="1" w:evenVBand="0" w:oddHBand="0" w:evenHBand="0" w:firstRowFirstColumn="0" w:firstRowLastColumn="0" w:lastRowFirstColumn="0" w:lastRowLastColumn="0"/>
            <w:tcW w:w="664" w:type="pct"/>
          </w:tcPr>
          <w:p w14:paraId="58DA9137" w14:textId="77777777" w:rsidR="00AB6753" w:rsidRPr="00BD6D19" w:rsidRDefault="00AB6753" w:rsidP="002D1EA4">
            <w:pPr>
              <w:jc w:val="right"/>
              <w:rPr>
                <w:sz w:val="20"/>
                <w:szCs w:val="20"/>
              </w:rPr>
            </w:pPr>
            <w:r w:rsidRPr="00BD6D19">
              <w:rPr>
                <w:sz w:val="20"/>
                <w:szCs w:val="20"/>
              </w:rPr>
              <w:t>322,584</w:t>
            </w:r>
          </w:p>
        </w:tc>
      </w:tr>
      <w:tr w:rsidR="00AB6753" w:rsidRPr="00BD6D19" w14:paraId="78C3D222"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24" w:type="pct"/>
          </w:tcPr>
          <w:p w14:paraId="64CB683B" w14:textId="77777777" w:rsidR="00AB6753" w:rsidRPr="00BD6D19" w:rsidRDefault="00AB6753" w:rsidP="002D1EA4">
            <w:pPr>
              <w:rPr>
                <w:sz w:val="20"/>
                <w:szCs w:val="20"/>
              </w:rPr>
            </w:pPr>
            <w:r w:rsidRPr="00BD6D19">
              <w:rPr>
                <w:sz w:val="20"/>
                <w:szCs w:val="20"/>
              </w:rPr>
              <w:t>Urbis Pty Ltd</w:t>
            </w:r>
          </w:p>
        </w:tc>
        <w:tc>
          <w:tcPr>
            <w:cnfStyle w:val="000001000000" w:firstRow="0" w:lastRow="0" w:firstColumn="0" w:lastColumn="0" w:oddVBand="0" w:evenVBand="1" w:oddHBand="0" w:evenHBand="0" w:firstRowFirstColumn="0" w:firstRowLastColumn="0" w:lastRowFirstColumn="0" w:lastRowLastColumn="0"/>
            <w:tcW w:w="2712" w:type="pct"/>
          </w:tcPr>
          <w:p w14:paraId="6A6A9D63" w14:textId="77777777" w:rsidR="00AB6753" w:rsidRPr="00BD6D19" w:rsidRDefault="00AB6753" w:rsidP="002D1EA4">
            <w:pPr>
              <w:rPr>
                <w:bCs/>
                <w:sz w:val="20"/>
                <w:szCs w:val="20"/>
              </w:rPr>
            </w:pPr>
            <w:r w:rsidRPr="00BD6D19">
              <w:rPr>
                <w:sz w:val="20"/>
                <w:szCs w:val="20"/>
              </w:rPr>
              <w:t>Social policy research – Outcome Measurement Initiative</w:t>
            </w:r>
          </w:p>
        </w:tc>
        <w:tc>
          <w:tcPr>
            <w:cnfStyle w:val="000010000000" w:firstRow="0" w:lastRow="0" w:firstColumn="0" w:lastColumn="0" w:oddVBand="1" w:evenVBand="0" w:oddHBand="0" w:evenHBand="0" w:firstRowFirstColumn="0" w:firstRowLastColumn="0" w:lastRowFirstColumn="0" w:lastRowLastColumn="0"/>
            <w:tcW w:w="664" w:type="pct"/>
          </w:tcPr>
          <w:p w14:paraId="1724C5C5" w14:textId="77777777" w:rsidR="00AB6753" w:rsidRPr="00BD6D19" w:rsidRDefault="00AB6753" w:rsidP="002D1EA4">
            <w:pPr>
              <w:jc w:val="right"/>
              <w:rPr>
                <w:sz w:val="20"/>
                <w:szCs w:val="20"/>
              </w:rPr>
            </w:pPr>
            <w:r w:rsidRPr="00BD6D19">
              <w:rPr>
                <w:sz w:val="20"/>
                <w:szCs w:val="20"/>
              </w:rPr>
              <w:t>473,122</w:t>
            </w:r>
          </w:p>
        </w:tc>
      </w:tr>
      <w:tr w:rsidR="00AB6753" w:rsidRPr="00BD6D19" w14:paraId="75BE5E4F"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0B614BB4" w14:textId="77777777" w:rsidR="00AB6753" w:rsidRPr="00BD6D19" w:rsidRDefault="00AB6753" w:rsidP="002D1EA4">
            <w:pPr>
              <w:rPr>
                <w:sz w:val="20"/>
                <w:szCs w:val="20"/>
              </w:rPr>
            </w:pPr>
            <w:r w:rsidRPr="00BD6D19">
              <w:rPr>
                <w:sz w:val="20"/>
                <w:szCs w:val="20"/>
              </w:rPr>
              <w:t>Urbis Pty Ltd</w:t>
            </w:r>
          </w:p>
        </w:tc>
        <w:tc>
          <w:tcPr>
            <w:cnfStyle w:val="000001000000" w:firstRow="0" w:lastRow="0" w:firstColumn="0" w:lastColumn="0" w:oddVBand="0" w:evenVBand="1" w:oddHBand="0" w:evenHBand="0" w:firstRowFirstColumn="0" w:firstRowLastColumn="0" w:lastRowFirstColumn="0" w:lastRowLastColumn="0"/>
            <w:tcW w:w="2712" w:type="pct"/>
          </w:tcPr>
          <w:p w14:paraId="2EA1FADA" w14:textId="77777777" w:rsidR="00AB6753" w:rsidRPr="00BD6D19" w:rsidRDefault="00AB6753" w:rsidP="002D1EA4">
            <w:pPr>
              <w:rPr>
                <w:bCs/>
                <w:sz w:val="20"/>
                <w:szCs w:val="20"/>
              </w:rPr>
            </w:pPr>
            <w:r w:rsidRPr="00BD6D19">
              <w:rPr>
                <w:sz w:val="20"/>
                <w:szCs w:val="20"/>
              </w:rPr>
              <w:t>Social policy research – Outcome Measurement Initiative</w:t>
            </w:r>
          </w:p>
        </w:tc>
        <w:tc>
          <w:tcPr>
            <w:cnfStyle w:val="000010000000" w:firstRow="0" w:lastRow="0" w:firstColumn="0" w:lastColumn="0" w:oddVBand="1" w:evenVBand="0" w:oddHBand="0" w:evenHBand="0" w:firstRowFirstColumn="0" w:firstRowLastColumn="0" w:lastRowFirstColumn="0" w:lastRowLastColumn="0"/>
            <w:tcW w:w="664" w:type="pct"/>
          </w:tcPr>
          <w:p w14:paraId="17215B75" w14:textId="77777777" w:rsidR="00AB6753" w:rsidRPr="00BD6D19" w:rsidRDefault="00AB6753" w:rsidP="002D1EA4">
            <w:pPr>
              <w:jc w:val="right"/>
              <w:rPr>
                <w:sz w:val="20"/>
                <w:szCs w:val="20"/>
              </w:rPr>
            </w:pPr>
            <w:r w:rsidRPr="00BD6D19">
              <w:rPr>
                <w:sz w:val="20"/>
                <w:szCs w:val="20"/>
              </w:rPr>
              <w:t>89,102</w:t>
            </w:r>
          </w:p>
        </w:tc>
      </w:tr>
      <w:tr w:rsidR="00AB6753" w:rsidRPr="00BD6D19" w14:paraId="63D38FD1"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24" w:type="pct"/>
          </w:tcPr>
          <w:p w14:paraId="2334EF7E" w14:textId="77777777" w:rsidR="00AB6753" w:rsidRPr="00BD6D19" w:rsidRDefault="00AB6753" w:rsidP="002D1EA4">
            <w:pPr>
              <w:rPr>
                <w:sz w:val="20"/>
                <w:szCs w:val="20"/>
              </w:rPr>
            </w:pPr>
            <w:proofErr w:type="spellStart"/>
            <w:r w:rsidRPr="00BD6D19">
              <w:rPr>
                <w:sz w:val="20"/>
                <w:szCs w:val="20"/>
              </w:rPr>
              <w:t>Whereto</w:t>
            </w:r>
            <w:proofErr w:type="spellEnd"/>
            <w:r w:rsidRPr="00BD6D19">
              <w:rPr>
                <w:sz w:val="20"/>
                <w:szCs w:val="20"/>
              </w:rPr>
              <w:t xml:space="preserve"> Research Based Consulting Pty Ltd</w:t>
            </w:r>
          </w:p>
        </w:tc>
        <w:tc>
          <w:tcPr>
            <w:cnfStyle w:val="000001000000" w:firstRow="0" w:lastRow="0" w:firstColumn="0" w:lastColumn="0" w:oddVBand="0" w:evenVBand="1" w:oddHBand="0" w:evenHBand="0" w:firstRowFirstColumn="0" w:firstRowLastColumn="0" w:lastRowFirstColumn="0" w:lastRowLastColumn="0"/>
            <w:tcW w:w="2712" w:type="pct"/>
          </w:tcPr>
          <w:p w14:paraId="40D472BD" w14:textId="77777777" w:rsidR="00AB6753" w:rsidRPr="00BD6D19" w:rsidRDefault="00AB6753" w:rsidP="002D1EA4">
            <w:pPr>
              <w:rPr>
                <w:sz w:val="20"/>
                <w:szCs w:val="20"/>
              </w:rPr>
            </w:pPr>
            <w:r w:rsidRPr="00BD6D19">
              <w:rPr>
                <w:sz w:val="20"/>
                <w:szCs w:val="20"/>
              </w:rPr>
              <w:t>Evaluation services – Technology Trials</w:t>
            </w:r>
          </w:p>
        </w:tc>
        <w:tc>
          <w:tcPr>
            <w:cnfStyle w:val="000010000000" w:firstRow="0" w:lastRow="0" w:firstColumn="0" w:lastColumn="0" w:oddVBand="1" w:evenVBand="0" w:oddHBand="0" w:evenHBand="0" w:firstRowFirstColumn="0" w:firstRowLastColumn="0" w:lastRowFirstColumn="0" w:lastRowLastColumn="0"/>
            <w:tcW w:w="664" w:type="pct"/>
          </w:tcPr>
          <w:p w14:paraId="31429ED1" w14:textId="77777777" w:rsidR="00AB6753" w:rsidRPr="00BD6D19" w:rsidRDefault="00AB6753" w:rsidP="002D1EA4">
            <w:pPr>
              <w:jc w:val="right"/>
              <w:rPr>
                <w:sz w:val="20"/>
                <w:szCs w:val="20"/>
              </w:rPr>
            </w:pPr>
            <w:r w:rsidRPr="00BD6D19">
              <w:rPr>
                <w:sz w:val="20"/>
                <w:szCs w:val="20"/>
              </w:rPr>
              <w:t>188,200</w:t>
            </w:r>
          </w:p>
        </w:tc>
      </w:tr>
      <w:tr w:rsidR="00AB6753" w:rsidRPr="00BD6D19" w14:paraId="0DDE4C1F"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4641213D" w14:textId="77777777" w:rsidR="00AB6753" w:rsidRPr="00BD6D19" w:rsidRDefault="00AB6753" w:rsidP="002D1EA4">
            <w:pPr>
              <w:rPr>
                <w:sz w:val="20"/>
                <w:szCs w:val="20"/>
              </w:rPr>
            </w:pPr>
            <w:proofErr w:type="spellStart"/>
            <w:r w:rsidRPr="00BD6D19">
              <w:rPr>
                <w:sz w:val="20"/>
                <w:szCs w:val="20"/>
              </w:rPr>
              <w:t>Whereto</w:t>
            </w:r>
            <w:proofErr w:type="spellEnd"/>
            <w:r w:rsidRPr="00BD6D19">
              <w:rPr>
                <w:sz w:val="20"/>
                <w:szCs w:val="20"/>
              </w:rPr>
              <w:t xml:space="preserve"> Research Based Consulting Pty Ltd</w:t>
            </w:r>
          </w:p>
        </w:tc>
        <w:tc>
          <w:tcPr>
            <w:cnfStyle w:val="000001000000" w:firstRow="0" w:lastRow="0" w:firstColumn="0" w:lastColumn="0" w:oddVBand="0" w:evenVBand="1" w:oddHBand="0" w:evenHBand="0" w:firstRowFirstColumn="0" w:firstRowLastColumn="0" w:lastRowFirstColumn="0" w:lastRowLastColumn="0"/>
            <w:tcW w:w="2712" w:type="pct"/>
          </w:tcPr>
          <w:p w14:paraId="4BA4F29B" w14:textId="77777777" w:rsidR="00AB6753" w:rsidRPr="00BD6D19" w:rsidRDefault="00AB6753" w:rsidP="002D1EA4">
            <w:pPr>
              <w:rPr>
                <w:sz w:val="20"/>
                <w:szCs w:val="20"/>
              </w:rPr>
            </w:pPr>
            <w:r w:rsidRPr="00BD6D19">
              <w:rPr>
                <w:sz w:val="20"/>
                <w:szCs w:val="20"/>
              </w:rPr>
              <w:t>Market research – Disability Royal Commission</w:t>
            </w:r>
          </w:p>
        </w:tc>
        <w:tc>
          <w:tcPr>
            <w:cnfStyle w:val="000010000000" w:firstRow="0" w:lastRow="0" w:firstColumn="0" w:lastColumn="0" w:oddVBand="1" w:evenVBand="0" w:oddHBand="0" w:evenHBand="0" w:firstRowFirstColumn="0" w:firstRowLastColumn="0" w:lastRowFirstColumn="0" w:lastRowLastColumn="0"/>
            <w:tcW w:w="664" w:type="pct"/>
          </w:tcPr>
          <w:p w14:paraId="11FC0F29" w14:textId="77777777" w:rsidR="00AB6753" w:rsidRPr="00BD6D19" w:rsidRDefault="00AB6753" w:rsidP="002D1EA4">
            <w:pPr>
              <w:jc w:val="right"/>
              <w:rPr>
                <w:sz w:val="20"/>
                <w:szCs w:val="20"/>
              </w:rPr>
            </w:pPr>
            <w:r w:rsidRPr="00BD6D19">
              <w:rPr>
                <w:sz w:val="20"/>
                <w:szCs w:val="20"/>
              </w:rPr>
              <w:t xml:space="preserve"> 55,000</w:t>
            </w:r>
          </w:p>
        </w:tc>
      </w:tr>
      <w:tr w:rsidR="00AB6753" w:rsidRPr="00BD6D19" w14:paraId="28CB79F3"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24" w:type="pct"/>
          </w:tcPr>
          <w:p w14:paraId="241B0BE4" w14:textId="77777777" w:rsidR="00AB6753" w:rsidRPr="00BD6D19" w:rsidRDefault="00AB6753" w:rsidP="002D1EA4">
            <w:pPr>
              <w:rPr>
                <w:b/>
                <w:bCs/>
                <w:sz w:val="20"/>
                <w:szCs w:val="20"/>
              </w:rPr>
            </w:pPr>
            <w:proofErr w:type="spellStart"/>
            <w:r w:rsidRPr="00BD6D19">
              <w:rPr>
                <w:sz w:val="20"/>
                <w:szCs w:val="20"/>
              </w:rPr>
              <w:t>Whereto</w:t>
            </w:r>
            <w:proofErr w:type="spellEnd"/>
            <w:r w:rsidRPr="00BD6D19">
              <w:rPr>
                <w:sz w:val="20"/>
                <w:szCs w:val="20"/>
              </w:rPr>
              <w:t xml:space="preserve"> Research Based Consulting Pty Ltd</w:t>
            </w:r>
          </w:p>
        </w:tc>
        <w:tc>
          <w:tcPr>
            <w:cnfStyle w:val="000001000000" w:firstRow="0" w:lastRow="0" w:firstColumn="0" w:lastColumn="0" w:oddVBand="0" w:evenVBand="1" w:oddHBand="0" w:evenHBand="0" w:firstRowFirstColumn="0" w:firstRowLastColumn="0" w:lastRowFirstColumn="0" w:lastRowLastColumn="0"/>
            <w:tcW w:w="2712" w:type="pct"/>
          </w:tcPr>
          <w:p w14:paraId="3CA4005F" w14:textId="77777777" w:rsidR="00AB6753" w:rsidRPr="00BD6D19" w:rsidRDefault="00AB6753" w:rsidP="002D1EA4">
            <w:pPr>
              <w:rPr>
                <w:b/>
                <w:bCs/>
                <w:sz w:val="20"/>
                <w:szCs w:val="20"/>
              </w:rPr>
            </w:pPr>
            <w:r w:rsidRPr="00BD6D19">
              <w:rPr>
                <w:sz w:val="20"/>
                <w:szCs w:val="20"/>
              </w:rPr>
              <w:t>Market research – National Disability Insurance Scheme</w:t>
            </w:r>
          </w:p>
        </w:tc>
        <w:tc>
          <w:tcPr>
            <w:cnfStyle w:val="000010000000" w:firstRow="0" w:lastRow="0" w:firstColumn="0" w:lastColumn="0" w:oddVBand="1" w:evenVBand="0" w:oddHBand="0" w:evenHBand="0" w:firstRowFirstColumn="0" w:firstRowLastColumn="0" w:lastRowFirstColumn="0" w:lastRowLastColumn="0"/>
            <w:tcW w:w="664" w:type="pct"/>
          </w:tcPr>
          <w:p w14:paraId="7AAF0E7B" w14:textId="77777777" w:rsidR="00AB6753" w:rsidRPr="00BD6D19" w:rsidRDefault="00AB6753" w:rsidP="002D1EA4">
            <w:pPr>
              <w:jc w:val="right"/>
              <w:rPr>
                <w:b/>
                <w:bCs/>
                <w:sz w:val="20"/>
                <w:szCs w:val="20"/>
              </w:rPr>
            </w:pPr>
            <w:r w:rsidRPr="00BD6D19">
              <w:rPr>
                <w:sz w:val="20"/>
                <w:szCs w:val="20"/>
              </w:rPr>
              <w:t xml:space="preserve"> 328,664</w:t>
            </w:r>
          </w:p>
        </w:tc>
      </w:tr>
      <w:tr w:rsidR="00AB6753" w:rsidRPr="00BD6D19" w14:paraId="62649D5A"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21121D18" w14:textId="77777777" w:rsidR="00AB6753" w:rsidRPr="00BD6D19" w:rsidRDefault="00AB6753" w:rsidP="002D1EA4">
            <w:pPr>
              <w:rPr>
                <w:sz w:val="20"/>
                <w:szCs w:val="20"/>
              </w:rPr>
            </w:pPr>
            <w:proofErr w:type="spellStart"/>
            <w:r w:rsidRPr="00BD6D19">
              <w:rPr>
                <w:sz w:val="20"/>
                <w:szCs w:val="20"/>
              </w:rPr>
              <w:t>Whereto</w:t>
            </w:r>
            <w:proofErr w:type="spellEnd"/>
            <w:r w:rsidRPr="00BD6D19">
              <w:rPr>
                <w:sz w:val="20"/>
                <w:szCs w:val="20"/>
              </w:rPr>
              <w:t xml:space="preserve"> Research Based Consulting Pty Ltd</w:t>
            </w:r>
          </w:p>
        </w:tc>
        <w:tc>
          <w:tcPr>
            <w:cnfStyle w:val="000001000000" w:firstRow="0" w:lastRow="0" w:firstColumn="0" w:lastColumn="0" w:oddVBand="0" w:evenVBand="1" w:oddHBand="0" w:evenHBand="0" w:firstRowFirstColumn="0" w:firstRowLastColumn="0" w:lastRowFirstColumn="0" w:lastRowLastColumn="0"/>
            <w:tcW w:w="2712" w:type="pct"/>
          </w:tcPr>
          <w:p w14:paraId="4EF2F5F0" w14:textId="77777777" w:rsidR="00AB6753" w:rsidRPr="00BD6D19" w:rsidRDefault="00AB6753" w:rsidP="002D1EA4">
            <w:pPr>
              <w:rPr>
                <w:sz w:val="20"/>
                <w:szCs w:val="20"/>
              </w:rPr>
            </w:pPr>
            <w:r w:rsidRPr="00BD6D19">
              <w:rPr>
                <w:sz w:val="20"/>
                <w:szCs w:val="20"/>
              </w:rPr>
              <w:t>Social policy research – Domestic Violence Alert</w:t>
            </w:r>
          </w:p>
        </w:tc>
        <w:tc>
          <w:tcPr>
            <w:cnfStyle w:val="000010000000" w:firstRow="0" w:lastRow="0" w:firstColumn="0" w:lastColumn="0" w:oddVBand="1" w:evenVBand="0" w:oddHBand="0" w:evenHBand="0" w:firstRowFirstColumn="0" w:firstRowLastColumn="0" w:lastRowFirstColumn="0" w:lastRowLastColumn="0"/>
            <w:tcW w:w="664" w:type="pct"/>
          </w:tcPr>
          <w:p w14:paraId="59D1D852" w14:textId="77777777" w:rsidR="00AB6753" w:rsidRPr="00BD6D19" w:rsidRDefault="00AB6753" w:rsidP="002D1EA4">
            <w:pPr>
              <w:jc w:val="right"/>
              <w:rPr>
                <w:sz w:val="20"/>
                <w:szCs w:val="20"/>
              </w:rPr>
            </w:pPr>
            <w:r w:rsidRPr="00BD6D19">
              <w:rPr>
                <w:sz w:val="20"/>
                <w:szCs w:val="20"/>
              </w:rPr>
              <w:t>110,000</w:t>
            </w:r>
          </w:p>
        </w:tc>
      </w:tr>
      <w:tr w:rsidR="00AB6753" w:rsidRPr="00BD6D19" w14:paraId="64287DA0"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24" w:type="pct"/>
          </w:tcPr>
          <w:p w14:paraId="48F55E2F" w14:textId="77777777" w:rsidR="00AB6753" w:rsidRPr="00BD6D19" w:rsidRDefault="00AB6753" w:rsidP="002D1EA4">
            <w:pPr>
              <w:rPr>
                <w:sz w:val="20"/>
                <w:szCs w:val="20"/>
              </w:rPr>
            </w:pPr>
            <w:proofErr w:type="spellStart"/>
            <w:r w:rsidRPr="00BD6D19">
              <w:rPr>
                <w:sz w:val="20"/>
                <w:szCs w:val="20"/>
              </w:rPr>
              <w:t>Whereto</w:t>
            </w:r>
            <w:proofErr w:type="spellEnd"/>
            <w:r w:rsidRPr="00BD6D19">
              <w:rPr>
                <w:sz w:val="20"/>
                <w:szCs w:val="20"/>
              </w:rPr>
              <w:t xml:space="preserve"> Research Based Consulting Pty Ltd</w:t>
            </w:r>
          </w:p>
        </w:tc>
        <w:tc>
          <w:tcPr>
            <w:cnfStyle w:val="000001000000" w:firstRow="0" w:lastRow="0" w:firstColumn="0" w:lastColumn="0" w:oddVBand="0" w:evenVBand="1" w:oddHBand="0" w:evenHBand="0" w:firstRowFirstColumn="0" w:firstRowLastColumn="0" w:lastRowFirstColumn="0" w:lastRowLastColumn="0"/>
            <w:tcW w:w="2712" w:type="pct"/>
          </w:tcPr>
          <w:p w14:paraId="082B1EC6" w14:textId="77777777" w:rsidR="00AB6753" w:rsidRPr="00BD6D19" w:rsidRDefault="00AB6753" w:rsidP="002D1EA4">
            <w:pPr>
              <w:rPr>
                <w:sz w:val="20"/>
                <w:szCs w:val="20"/>
              </w:rPr>
            </w:pPr>
            <w:r w:rsidRPr="00BD6D19">
              <w:rPr>
                <w:sz w:val="20"/>
                <w:szCs w:val="20"/>
              </w:rPr>
              <w:t>Social policy research – National Centre and Adult Specialist Support</w:t>
            </w:r>
          </w:p>
        </w:tc>
        <w:tc>
          <w:tcPr>
            <w:cnfStyle w:val="000010000000" w:firstRow="0" w:lastRow="0" w:firstColumn="0" w:lastColumn="0" w:oddVBand="1" w:evenVBand="0" w:oddHBand="0" w:evenHBand="0" w:firstRowFirstColumn="0" w:firstRowLastColumn="0" w:lastRowFirstColumn="0" w:lastRowLastColumn="0"/>
            <w:tcW w:w="664" w:type="pct"/>
          </w:tcPr>
          <w:p w14:paraId="79484268" w14:textId="77777777" w:rsidR="00AB6753" w:rsidRPr="00BD6D19" w:rsidRDefault="00AB6753" w:rsidP="002D1EA4">
            <w:pPr>
              <w:jc w:val="right"/>
              <w:rPr>
                <w:sz w:val="20"/>
                <w:szCs w:val="20"/>
              </w:rPr>
            </w:pPr>
            <w:r w:rsidRPr="00BD6D19">
              <w:rPr>
                <w:sz w:val="20"/>
                <w:szCs w:val="20"/>
              </w:rPr>
              <w:t>269,500</w:t>
            </w:r>
          </w:p>
        </w:tc>
      </w:tr>
      <w:tr w:rsidR="00AB6753" w:rsidRPr="00BD6D19" w14:paraId="038AD0D3" w14:textId="77777777" w:rsidTr="002D1EA4">
        <w:trPr>
          <w:cnfStyle w:val="010000000000" w:firstRow="0" w:lastRow="1" w:firstColumn="0" w:lastColumn="0" w:oddVBand="0" w:evenVBand="0" w:oddHBand="0"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0068480F" w14:textId="77777777" w:rsidR="00AB6753" w:rsidRPr="00BD6D19" w:rsidRDefault="00AB6753" w:rsidP="002D1EA4">
            <w:pPr>
              <w:rPr>
                <w:b w:val="0"/>
                <w:sz w:val="20"/>
                <w:szCs w:val="20"/>
              </w:rPr>
            </w:pPr>
            <w:r w:rsidRPr="00BD6D19">
              <w:rPr>
                <w:b w:val="0"/>
                <w:sz w:val="20"/>
                <w:szCs w:val="20"/>
              </w:rPr>
              <w:t>TOTAL</w:t>
            </w:r>
          </w:p>
        </w:tc>
        <w:tc>
          <w:tcPr>
            <w:cnfStyle w:val="000001000000" w:firstRow="0" w:lastRow="0" w:firstColumn="0" w:lastColumn="0" w:oddVBand="0" w:evenVBand="1" w:oddHBand="0" w:evenHBand="0" w:firstRowFirstColumn="0" w:firstRowLastColumn="0" w:lastRowFirstColumn="0" w:lastRowLastColumn="0"/>
            <w:tcW w:w="2712" w:type="pct"/>
          </w:tcPr>
          <w:p w14:paraId="3BA10E43" w14:textId="77777777" w:rsidR="00AB6753" w:rsidRPr="00BD6D19" w:rsidRDefault="00AB6753" w:rsidP="002D1EA4">
            <w:pPr>
              <w:rPr>
                <w:b w:val="0"/>
                <w:sz w:val="20"/>
                <w:szCs w:val="20"/>
              </w:rPr>
            </w:pPr>
          </w:p>
        </w:tc>
        <w:tc>
          <w:tcPr>
            <w:cnfStyle w:val="000010000000" w:firstRow="0" w:lastRow="0" w:firstColumn="0" w:lastColumn="0" w:oddVBand="1" w:evenVBand="0" w:oddHBand="0" w:evenHBand="0" w:firstRowFirstColumn="0" w:firstRowLastColumn="0" w:lastRowFirstColumn="0" w:lastRowLastColumn="0"/>
            <w:tcW w:w="664" w:type="pct"/>
          </w:tcPr>
          <w:p w14:paraId="2CACFDA1" w14:textId="77777777" w:rsidR="00AB6753" w:rsidRPr="00BD6D19" w:rsidRDefault="00AB6753" w:rsidP="002D1EA4">
            <w:pPr>
              <w:jc w:val="right"/>
              <w:rPr>
                <w:b w:val="0"/>
                <w:sz w:val="20"/>
                <w:szCs w:val="20"/>
              </w:rPr>
            </w:pPr>
            <w:r w:rsidRPr="00BD6D19">
              <w:rPr>
                <w:b w:val="0"/>
                <w:sz w:val="20"/>
                <w:szCs w:val="20"/>
              </w:rPr>
              <w:t>4,506,359</w:t>
            </w:r>
          </w:p>
        </w:tc>
      </w:tr>
    </w:tbl>
    <w:p w14:paraId="7F79DF21" w14:textId="77777777" w:rsidR="00AB6753" w:rsidRPr="004003CD" w:rsidRDefault="00AB6753" w:rsidP="00AB6753">
      <w:pPr>
        <w:rPr>
          <w:rFonts w:asciiTheme="minorHAnsi" w:hAnsiTheme="minorHAnsi" w:cs="Calibri"/>
          <w:b/>
        </w:rPr>
      </w:pPr>
    </w:p>
    <w:p w14:paraId="0171E2D6" w14:textId="77777777" w:rsidR="00AB6753" w:rsidRPr="00A050FC" w:rsidRDefault="00AB6753" w:rsidP="00AB6753">
      <w:pPr>
        <w:rPr>
          <w:rFonts w:ascii="Arial Narrow" w:hAnsi="Arial Narrow" w:cs="Calibri"/>
          <w:b/>
          <w:sz w:val="20"/>
          <w:szCs w:val="20"/>
        </w:rPr>
      </w:pPr>
      <w:r w:rsidRPr="00A050FC">
        <w:rPr>
          <w:rFonts w:ascii="Arial Narrow" w:hAnsi="Arial Narrow" w:cs="Calibri"/>
          <w:b/>
          <w:sz w:val="20"/>
          <w:szCs w:val="20"/>
        </w:rPr>
        <w:t xml:space="preserve">Table </w:t>
      </w:r>
      <w:r>
        <w:rPr>
          <w:rFonts w:ascii="Arial Narrow" w:hAnsi="Arial Narrow" w:cs="Calibri"/>
          <w:b/>
          <w:sz w:val="20"/>
          <w:szCs w:val="20"/>
        </w:rPr>
        <w:t>B</w:t>
      </w:r>
      <w:r w:rsidRPr="00A050FC">
        <w:rPr>
          <w:rFonts w:ascii="Arial Narrow" w:hAnsi="Arial Narrow" w:cs="Calibri"/>
          <w:b/>
          <w:sz w:val="20"/>
          <w:szCs w:val="20"/>
        </w:rPr>
        <w:t>-3 Payments to direct mail organisations in 2019-20</w:t>
      </w:r>
    </w:p>
    <w:tbl>
      <w:tblPr>
        <w:tblStyle w:val="Verticaltable3"/>
        <w:tblW w:w="5000" w:type="pct"/>
        <w:tblLayout w:type="fixed"/>
        <w:tblLook w:val="01E0" w:firstRow="1" w:lastRow="1" w:firstColumn="1" w:lastColumn="1" w:noHBand="0" w:noVBand="0"/>
        <w:tblCaption w:val="Table B-3 Payments to direct mail organisations in 2019-20"/>
        <w:tblDescription w:val="This table lists the name of the provider, the service provided and the amount paid inclusive of GST."/>
      </w:tblPr>
      <w:tblGrid>
        <w:gridCol w:w="2931"/>
        <w:gridCol w:w="4896"/>
        <w:gridCol w:w="1199"/>
      </w:tblGrid>
      <w:tr w:rsidR="00AB6753" w:rsidRPr="00A050FC" w14:paraId="2F07F1F7" w14:textId="77777777" w:rsidTr="002D1EA4">
        <w:trPr>
          <w:cnfStyle w:val="100000000000" w:firstRow="1" w:lastRow="0" w:firstColumn="0" w:lastColumn="0" w:oddVBand="0" w:evenVBand="0" w:oddHBand="0"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0917EA50" w14:textId="77777777" w:rsidR="00AB6753" w:rsidRPr="00A050FC" w:rsidRDefault="00AB6753" w:rsidP="002D1EA4">
            <w:pPr>
              <w:rPr>
                <w:b w:val="0"/>
                <w:bCs/>
                <w:sz w:val="20"/>
                <w:szCs w:val="20"/>
              </w:rPr>
            </w:pPr>
            <w:r w:rsidRPr="00A050FC">
              <w:rPr>
                <w:b w:val="0"/>
                <w:bCs/>
                <w:sz w:val="20"/>
                <w:szCs w:val="20"/>
              </w:rPr>
              <w:t>Provider name</w:t>
            </w:r>
          </w:p>
        </w:tc>
        <w:tc>
          <w:tcPr>
            <w:cnfStyle w:val="000001000000" w:firstRow="0" w:lastRow="0" w:firstColumn="0" w:lastColumn="0" w:oddVBand="0" w:evenVBand="1" w:oddHBand="0" w:evenHBand="0" w:firstRowFirstColumn="0" w:firstRowLastColumn="0" w:lastRowFirstColumn="0" w:lastRowLastColumn="0"/>
            <w:tcW w:w="2712" w:type="pct"/>
          </w:tcPr>
          <w:p w14:paraId="7584A5E0" w14:textId="77777777" w:rsidR="00AB6753" w:rsidRPr="00A050FC" w:rsidRDefault="00AB6753" w:rsidP="002D1EA4">
            <w:pPr>
              <w:rPr>
                <w:b w:val="0"/>
                <w:bCs/>
                <w:sz w:val="20"/>
                <w:szCs w:val="20"/>
              </w:rPr>
            </w:pPr>
            <w:r w:rsidRPr="00A050FC">
              <w:rPr>
                <w:b w:val="0"/>
                <w:bCs/>
                <w:sz w:val="20"/>
                <w:szCs w:val="20"/>
              </w:rPr>
              <w:t>Service provided</w:t>
            </w:r>
          </w:p>
        </w:tc>
        <w:tc>
          <w:tcPr>
            <w:cnfStyle w:val="000010000000" w:firstRow="0" w:lastRow="0" w:firstColumn="0" w:lastColumn="0" w:oddVBand="1" w:evenVBand="0" w:oddHBand="0" w:evenHBand="0" w:firstRowFirstColumn="0" w:firstRowLastColumn="0" w:lastRowFirstColumn="0" w:lastRowLastColumn="0"/>
            <w:tcW w:w="664" w:type="pct"/>
          </w:tcPr>
          <w:p w14:paraId="7CDC6B29" w14:textId="77777777" w:rsidR="00AB6753" w:rsidRPr="00A050FC" w:rsidRDefault="00AB6753" w:rsidP="002D1EA4">
            <w:pPr>
              <w:rPr>
                <w:b w:val="0"/>
                <w:bCs/>
                <w:sz w:val="20"/>
                <w:szCs w:val="20"/>
              </w:rPr>
            </w:pPr>
            <w:r w:rsidRPr="00A050FC">
              <w:rPr>
                <w:b w:val="0"/>
                <w:bCs/>
                <w:sz w:val="20"/>
                <w:szCs w:val="20"/>
              </w:rPr>
              <w:t>Amount paid $ (</w:t>
            </w:r>
            <w:proofErr w:type="spellStart"/>
            <w:r w:rsidRPr="00A050FC">
              <w:rPr>
                <w:b w:val="0"/>
                <w:bCs/>
                <w:sz w:val="20"/>
                <w:szCs w:val="20"/>
              </w:rPr>
              <w:t>incl</w:t>
            </w:r>
            <w:proofErr w:type="spellEnd"/>
            <w:r w:rsidRPr="00A050FC">
              <w:rPr>
                <w:b w:val="0"/>
                <w:bCs/>
                <w:sz w:val="20"/>
                <w:szCs w:val="20"/>
              </w:rPr>
              <w:t xml:space="preserve"> GST)</w:t>
            </w:r>
          </w:p>
        </w:tc>
      </w:tr>
      <w:tr w:rsidR="00AB6753" w:rsidRPr="00A050FC" w14:paraId="66666F16"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5EDA6420" w14:textId="77777777" w:rsidR="00AB6753" w:rsidRPr="00A050FC" w:rsidRDefault="00AB6753" w:rsidP="002D1EA4">
            <w:pPr>
              <w:rPr>
                <w:sz w:val="20"/>
                <w:szCs w:val="20"/>
              </w:rPr>
            </w:pPr>
            <w:r w:rsidRPr="00A050FC">
              <w:rPr>
                <w:sz w:val="20"/>
                <w:szCs w:val="20"/>
              </w:rPr>
              <w:t>National Mailing &amp; Marketing Pty Ltd</w:t>
            </w:r>
          </w:p>
        </w:tc>
        <w:tc>
          <w:tcPr>
            <w:cnfStyle w:val="000001000000" w:firstRow="0" w:lastRow="0" w:firstColumn="0" w:lastColumn="0" w:oddVBand="0" w:evenVBand="1" w:oddHBand="0" w:evenHBand="0" w:firstRowFirstColumn="0" w:firstRowLastColumn="0" w:lastRowFirstColumn="0" w:lastRowLastColumn="0"/>
            <w:tcW w:w="2712" w:type="pct"/>
          </w:tcPr>
          <w:p w14:paraId="7B3FFFD4" w14:textId="77777777" w:rsidR="00AB6753" w:rsidRPr="00A050FC" w:rsidRDefault="00AB6753" w:rsidP="002D1EA4">
            <w:pPr>
              <w:rPr>
                <w:sz w:val="20"/>
                <w:szCs w:val="20"/>
              </w:rPr>
            </w:pPr>
            <w:r w:rsidRPr="00A050FC">
              <w:rPr>
                <w:sz w:val="20"/>
                <w:szCs w:val="20"/>
              </w:rPr>
              <w:t>Distribution, warehousing and related services</w:t>
            </w:r>
          </w:p>
        </w:tc>
        <w:tc>
          <w:tcPr>
            <w:cnfStyle w:val="000010000000" w:firstRow="0" w:lastRow="0" w:firstColumn="0" w:lastColumn="0" w:oddVBand="1" w:evenVBand="0" w:oddHBand="0" w:evenHBand="0" w:firstRowFirstColumn="0" w:firstRowLastColumn="0" w:lastRowFirstColumn="0" w:lastRowLastColumn="0"/>
            <w:tcW w:w="664" w:type="pct"/>
          </w:tcPr>
          <w:p w14:paraId="614670E8" w14:textId="77777777" w:rsidR="00AB6753" w:rsidRPr="00A050FC" w:rsidRDefault="00AB6753" w:rsidP="002D1EA4">
            <w:pPr>
              <w:jc w:val="right"/>
              <w:rPr>
                <w:sz w:val="20"/>
                <w:szCs w:val="20"/>
              </w:rPr>
            </w:pPr>
            <w:r w:rsidRPr="00A050FC">
              <w:rPr>
                <w:sz w:val="20"/>
                <w:szCs w:val="20"/>
              </w:rPr>
              <w:t>255,528</w:t>
            </w:r>
          </w:p>
        </w:tc>
      </w:tr>
      <w:tr w:rsidR="00AB6753" w:rsidRPr="00A050FC" w14:paraId="031AD05F" w14:textId="77777777" w:rsidTr="002D1EA4">
        <w:trPr>
          <w:cnfStyle w:val="010000000000" w:firstRow="0" w:lastRow="1" w:firstColumn="0" w:lastColumn="0" w:oddVBand="0" w:evenVBand="0" w:oddHBand="0"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02C09409" w14:textId="77777777" w:rsidR="00AB6753" w:rsidRPr="00A050FC" w:rsidRDefault="00AB6753" w:rsidP="002D1EA4">
            <w:pPr>
              <w:rPr>
                <w:b w:val="0"/>
                <w:sz w:val="20"/>
                <w:szCs w:val="20"/>
              </w:rPr>
            </w:pPr>
            <w:r w:rsidRPr="00A050FC">
              <w:rPr>
                <w:b w:val="0"/>
                <w:sz w:val="20"/>
                <w:szCs w:val="20"/>
              </w:rPr>
              <w:t>TOTAL</w:t>
            </w:r>
          </w:p>
        </w:tc>
        <w:tc>
          <w:tcPr>
            <w:cnfStyle w:val="000001000000" w:firstRow="0" w:lastRow="0" w:firstColumn="0" w:lastColumn="0" w:oddVBand="0" w:evenVBand="1" w:oddHBand="0" w:evenHBand="0" w:firstRowFirstColumn="0" w:firstRowLastColumn="0" w:lastRowFirstColumn="0" w:lastRowLastColumn="0"/>
            <w:tcW w:w="2712" w:type="pct"/>
          </w:tcPr>
          <w:p w14:paraId="30FBC61B" w14:textId="77777777" w:rsidR="00AB6753" w:rsidRPr="00A050FC" w:rsidRDefault="00AB6753" w:rsidP="002D1EA4">
            <w:pPr>
              <w:rPr>
                <w:b w:val="0"/>
                <w:sz w:val="20"/>
                <w:szCs w:val="20"/>
                <w:highlight w:val="magenta"/>
              </w:rPr>
            </w:pPr>
          </w:p>
        </w:tc>
        <w:tc>
          <w:tcPr>
            <w:cnfStyle w:val="000010000000" w:firstRow="0" w:lastRow="0" w:firstColumn="0" w:lastColumn="0" w:oddVBand="1" w:evenVBand="0" w:oddHBand="0" w:evenHBand="0" w:firstRowFirstColumn="0" w:firstRowLastColumn="0" w:lastRowFirstColumn="0" w:lastRowLastColumn="0"/>
            <w:tcW w:w="664" w:type="pct"/>
          </w:tcPr>
          <w:p w14:paraId="45EBD36D" w14:textId="77777777" w:rsidR="00AB6753" w:rsidRPr="00A050FC" w:rsidRDefault="00AB6753" w:rsidP="002D1EA4">
            <w:pPr>
              <w:jc w:val="right"/>
              <w:rPr>
                <w:b w:val="0"/>
                <w:sz w:val="20"/>
                <w:szCs w:val="20"/>
              </w:rPr>
            </w:pPr>
            <w:r w:rsidRPr="00A050FC">
              <w:rPr>
                <w:b w:val="0"/>
                <w:sz w:val="20"/>
                <w:szCs w:val="20"/>
              </w:rPr>
              <w:t>255,528</w:t>
            </w:r>
          </w:p>
        </w:tc>
      </w:tr>
    </w:tbl>
    <w:p w14:paraId="36B882D6" w14:textId="77777777" w:rsidR="00AB6753" w:rsidRDefault="00AB6753" w:rsidP="00AB6753">
      <w:pPr>
        <w:rPr>
          <w:rFonts w:asciiTheme="minorHAnsi" w:hAnsiTheme="minorHAnsi" w:cs="Calibri"/>
          <w:b/>
          <w:sz w:val="24"/>
        </w:rPr>
      </w:pPr>
    </w:p>
    <w:p w14:paraId="5F8019AB" w14:textId="77777777" w:rsidR="00AB6753" w:rsidRDefault="00AB6753" w:rsidP="00AB6753">
      <w:pPr>
        <w:rPr>
          <w:rFonts w:asciiTheme="minorHAnsi" w:hAnsiTheme="minorHAnsi" w:cs="Calibri"/>
          <w:b/>
          <w:sz w:val="24"/>
        </w:rPr>
      </w:pPr>
      <w:r>
        <w:rPr>
          <w:rFonts w:asciiTheme="minorHAnsi" w:hAnsiTheme="minorHAnsi" w:cs="Calibri"/>
          <w:b/>
          <w:sz w:val="24"/>
        </w:rPr>
        <w:br w:type="page"/>
      </w:r>
    </w:p>
    <w:p w14:paraId="5065A25E" w14:textId="77777777" w:rsidR="00AB6753" w:rsidRPr="00A050FC" w:rsidRDefault="00AB6753" w:rsidP="00AB6753">
      <w:pPr>
        <w:rPr>
          <w:rFonts w:ascii="Arial Narrow" w:hAnsi="Arial Narrow" w:cs="Calibri"/>
          <w:b/>
          <w:sz w:val="20"/>
          <w:szCs w:val="20"/>
        </w:rPr>
      </w:pPr>
      <w:r w:rsidRPr="00A050FC">
        <w:rPr>
          <w:rFonts w:ascii="Arial Narrow" w:hAnsi="Arial Narrow" w:cs="Calibri"/>
          <w:b/>
          <w:sz w:val="20"/>
          <w:szCs w:val="20"/>
        </w:rPr>
        <w:lastRenderedPageBreak/>
        <w:t xml:space="preserve">Table </w:t>
      </w:r>
      <w:r>
        <w:rPr>
          <w:rFonts w:ascii="Arial Narrow" w:hAnsi="Arial Narrow" w:cs="Calibri"/>
          <w:b/>
          <w:sz w:val="20"/>
          <w:szCs w:val="20"/>
        </w:rPr>
        <w:t>B</w:t>
      </w:r>
      <w:r w:rsidRPr="00A050FC">
        <w:rPr>
          <w:rFonts w:ascii="Arial Narrow" w:hAnsi="Arial Narrow" w:cs="Calibri"/>
          <w:b/>
          <w:sz w:val="20"/>
          <w:szCs w:val="20"/>
        </w:rPr>
        <w:t>-4 Payments to media advertising organisations in 2019-20</w:t>
      </w:r>
    </w:p>
    <w:tbl>
      <w:tblPr>
        <w:tblStyle w:val="Verticaltable3"/>
        <w:tblW w:w="5000" w:type="pct"/>
        <w:tblLook w:val="01E0" w:firstRow="1" w:lastRow="1" w:firstColumn="1" w:lastColumn="1" w:noHBand="0" w:noVBand="0"/>
        <w:tblCaption w:val="Table B-4 Payments to media advertising organisations in 2019-20"/>
        <w:tblDescription w:val="This table lists the name of the provider, the service provided and the amount paid inclusive of GST."/>
      </w:tblPr>
      <w:tblGrid>
        <w:gridCol w:w="2931"/>
        <w:gridCol w:w="4896"/>
        <w:gridCol w:w="1199"/>
      </w:tblGrid>
      <w:tr w:rsidR="00AB6753" w:rsidRPr="00BD6D19" w14:paraId="3E3CE42E" w14:textId="77777777" w:rsidTr="002D1EA4">
        <w:trPr>
          <w:cnfStyle w:val="100000000000" w:firstRow="1" w:lastRow="0" w:firstColumn="0" w:lastColumn="0" w:oddVBand="0" w:evenVBand="0" w:oddHBand="0"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6612C38B" w14:textId="77777777" w:rsidR="00AB6753" w:rsidRPr="00BD6D19" w:rsidRDefault="00AB6753" w:rsidP="002D1EA4">
            <w:pPr>
              <w:rPr>
                <w:b w:val="0"/>
                <w:bCs/>
                <w:sz w:val="20"/>
                <w:szCs w:val="20"/>
              </w:rPr>
            </w:pPr>
            <w:r w:rsidRPr="00BD6D19">
              <w:rPr>
                <w:b w:val="0"/>
                <w:bCs/>
                <w:sz w:val="20"/>
                <w:szCs w:val="20"/>
              </w:rPr>
              <w:t>Provider name</w:t>
            </w:r>
          </w:p>
        </w:tc>
        <w:tc>
          <w:tcPr>
            <w:cnfStyle w:val="000001000000" w:firstRow="0" w:lastRow="0" w:firstColumn="0" w:lastColumn="0" w:oddVBand="0" w:evenVBand="1" w:oddHBand="0" w:evenHBand="0" w:firstRowFirstColumn="0" w:firstRowLastColumn="0" w:lastRowFirstColumn="0" w:lastRowLastColumn="0"/>
            <w:tcW w:w="2712" w:type="pct"/>
          </w:tcPr>
          <w:p w14:paraId="78E48BB3" w14:textId="77777777" w:rsidR="00AB6753" w:rsidRPr="00BD6D19" w:rsidRDefault="00AB6753" w:rsidP="002D1EA4">
            <w:pPr>
              <w:rPr>
                <w:b w:val="0"/>
                <w:bCs/>
                <w:sz w:val="20"/>
                <w:szCs w:val="20"/>
              </w:rPr>
            </w:pPr>
            <w:r w:rsidRPr="00BD6D19">
              <w:rPr>
                <w:b w:val="0"/>
                <w:bCs/>
                <w:sz w:val="20"/>
                <w:szCs w:val="20"/>
              </w:rPr>
              <w:t>Service provided</w:t>
            </w:r>
          </w:p>
        </w:tc>
        <w:tc>
          <w:tcPr>
            <w:cnfStyle w:val="000010000000" w:firstRow="0" w:lastRow="0" w:firstColumn="0" w:lastColumn="0" w:oddVBand="1" w:evenVBand="0" w:oddHBand="0" w:evenHBand="0" w:firstRowFirstColumn="0" w:firstRowLastColumn="0" w:lastRowFirstColumn="0" w:lastRowLastColumn="0"/>
            <w:tcW w:w="664" w:type="pct"/>
          </w:tcPr>
          <w:p w14:paraId="72D05AEB" w14:textId="77777777" w:rsidR="00AB6753" w:rsidRPr="00BD6D19" w:rsidRDefault="00AB6753" w:rsidP="002D1EA4">
            <w:pPr>
              <w:rPr>
                <w:b w:val="0"/>
                <w:bCs/>
                <w:sz w:val="20"/>
                <w:szCs w:val="20"/>
              </w:rPr>
            </w:pPr>
            <w:r w:rsidRPr="00BD6D19">
              <w:rPr>
                <w:b w:val="0"/>
                <w:bCs/>
                <w:sz w:val="20"/>
                <w:szCs w:val="20"/>
              </w:rPr>
              <w:t>Amount paid $ (</w:t>
            </w:r>
            <w:proofErr w:type="spellStart"/>
            <w:r w:rsidRPr="00BD6D19">
              <w:rPr>
                <w:b w:val="0"/>
                <w:bCs/>
                <w:sz w:val="20"/>
                <w:szCs w:val="20"/>
              </w:rPr>
              <w:t>incl</w:t>
            </w:r>
            <w:proofErr w:type="spellEnd"/>
            <w:r w:rsidRPr="00BD6D19">
              <w:rPr>
                <w:b w:val="0"/>
                <w:bCs/>
                <w:sz w:val="20"/>
                <w:szCs w:val="20"/>
              </w:rPr>
              <w:t xml:space="preserve"> GST)</w:t>
            </w:r>
          </w:p>
        </w:tc>
      </w:tr>
      <w:tr w:rsidR="00AB6753" w:rsidRPr="00BD6D19" w14:paraId="5BF8E258"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410A8776" w14:textId="77777777" w:rsidR="00AB6753" w:rsidRPr="00BD6D19" w:rsidRDefault="00AB6753" w:rsidP="002D1EA4">
            <w:pPr>
              <w:rPr>
                <w:b/>
                <w:bCs/>
                <w:sz w:val="20"/>
                <w:szCs w:val="20"/>
              </w:rPr>
            </w:pPr>
            <w:proofErr w:type="spellStart"/>
            <w:r w:rsidRPr="00BD6D19">
              <w:rPr>
                <w:sz w:val="20"/>
                <w:szCs w:val="20"/>
              </w:rPr>
              <w:t>Mediabrands</w:t>
            </w:r>
            <w:proofErr w:type="spellEnd"/>
            <w:r w:rsidRPr="00BD6D19">
              <w:rPr>
                <w:sz w:val="20"/>
                <w:szCs w:val="20"/>
              </w:rPr>
              <w:t xml:space="preserve"> Australia Pty Ltd</w:t>
            </w:r>
          </w:p>
        </w:tc>
        <w:tc>
          <w:tcPr>
            <w:cnfStyle w:val="000001000000" w:firstRow="0" w:lastRow="0" w:firstColumn="0" w:lastColumn="0" w:oddVBand="0" w:evenVBand="1" w:oddHBand="0" w:evenHBand="0" w:firstRowFirstColumn="0" w:firstRowLastColumn="0" w:lastRowFirstColumn="0" w:lastRowLastColumn="0"/>
            <w:tcW w:w="2712" w:type="pct"/>
          </w:tcPr>
          <w:p w14:paraId="4BFB9009" w14:textId="77777777" w:rsidR="00AB6753" w:rsidRPr="00BD6D19" w:rsidRDefault="00AB6753" w:rsidP="002D1EA4">
            <w:pPr>
              <w:rPr>
                <w:b/>
                <w:bCs/>
                <w:sz w:val="20"/>
                <w:szCs w:val="20"/>
              </w:rPr>
            </w:pPr>
            <w:r w:rsidRPr="00BD6D19">
              <w:rPr>
                <w:sz w:val="20"/>
                <w:szCs w:val="20"/>
              </w:rPr>
              <w:t xml:space="preserve">Advertising – </w:t>
            </w:r>
            <w:proofErr w:type="spellStart"/>
            <w:r w:rsidRPr="00BD6D19">
              <w:rPr>
                <w:sz w:val="20"/>
                <w:szCs w:val="20"/>
              </w:rPr>
              <w:t>AccessAbility</w:t>
            </w:r>
            <w:proofErr w:type="spellEnd"/>
            <w:r w:rsidRPr="00BD6D19">
              <w:rPr>
                <w:sz w:val="20"/>
                <w:szCs w:val="20"/>
              </w:rPr>
              <w:t xml:space="preserve"> Day 2019</w:t>
            </w:r>
          </w:p>
        </w:tc>
        <w:tc>
          <w:tcPr>
            <w:cnfStyle w:val="000010000000" w:firstRow="0" w:lastRow="0" w:firstColumn="0" w:lastColumn="0" w:oddVBand="1" w:evenVBand="0" w:oddHBand="0" w:evenHBand="0" w:firstRowFirstColumn="0" w:firstRowLastColumn="0" w:lastRowFirstColumn="0" w:lastRowLastColumn="0"/>
            <w:tcW w:w="664" w:type="pct"/>
          </w:tcPr>
          <w:p w14:paraId="0CD17EC4" w14:textId="77777777" w:rsidR="00AB6753" w:rsidRPr="00BD6D19" w:rsidRDefault="00AB6753" w:rsidP="002D1EA4">
            <w:pPr>
              <w:jc w:val="right"/>
              <w:rPr>
                <w:b/>
                <w:bCs/>
                <w:sz w:val="20"/>
                <w:szCs w:val="20"/>
              </w:rPr>
            </w:pPr>
            <w:r w:rsidRPr="00BD6D19">
              <w:rPr>
                <w:sz w:val="20"/>
                <w:szCs w:val="20"/>
              </w:rPr>
              <w:t>32,507</w:t>
            </w:r>
          </w:p>
        </w:tc>
      </w:tr>
      <w:tr w:rsidR="00AB6753" w:rsidRPr="00BD6D19" w14:paraId="697D7D18"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24" w:type="pct"/>
          </w:tcPr>
          <w:p w14:paraId="76102C32" w14:textId="77777777" w:rsidR="00AB6753" w:rsidRPr="00BD6D19" w:rsidRDefault="00AB6753" w:rsidP="002D1EA4">
            <w:pPr>
              <w:rPr>
                <w:b/>
                <w:bCs/>
                <w:sz w:val="20"/>
                <w:szCs w:val="20"/>
              </w:rPr>
            </w:pPr>
            <w:proofErr w:type="spellStart"/>
            <w:r w:rsidRPr="00BD6D19">
              <w:rPr>
                <w:sz w:val="20"/>
                <w:szCs w:val="20"/>
              </w:rPr>
              <w:t>Mediabrands</w:t>
            </w:r>
            <w:proofErr w:type="spellEnd"/>
            <w:r w:rsidRPr="00BD6D19">
              <w:rPr>
                <w:sz w:val="20"/>
                <w:szCs w:val="20"/>
              </w:rPr>
              <w:t xml:space="preserve"> Australia Pty Ltd</w:t>
            </w:r>
          </w:p>
        </w:tc>
        <w:tc>
          <w:tcPr>
            <w:cnfStyle w:val="000001000000" w:firstRow="0" w:lastRow="0" w:firstColumn="0" w:lastColumn="0" w:oddVBand="0" w:evenVBand="1" w:oddHBand="0" w:evenHBand="0" w:firstRowFirstColumn="0" w:firstRowLastColumn="0" w:lastRowFirstColumn="0" w:lastRowLastColumn="0"/>
            <w:tcW w:w="2712" w:type="pct"/>
          </w:tcPr>
          <w:p w14:paraId="657C7F62" w14:textId="77777777" w:rsidR="00AB6753" w:rsidRPr="00BD6D19" w:rsidRDefault="00AB6753" w:rsidP="002D1EA4">
            <w:pPr>
              <w:rPr>
                <w:b/>
                <w:bCs/>
                <w:sz w:val="20"/>
                <w:szCs w:val="20"/>
              </w:rPr>
            </w:pPr>
            <w:r w:rsidRPr="00BD6D19">
              <w:rPr>
                <w:sz w:val="20"/>
                <w:szCs w:val="20"/>
              </w:rPr>
              <w:t>Advertising – Carer Gateway</w:t>
            </w:r>
          </w:p>
        </w:tc>
        <w:tc>
          <w:tcPr>
            <w:cnfStyle w:val="000010000000" w:firstRow="0" w:lastRow="0" w:firstColumn="0" w:lastColumn="0" w:oddVBand="1" w:evenVBand="0" w:oddHBand="0" w:evenHBand="0" w:firstRowFirstColumn="0" w:firstRowLastColumn="0" w:lastRowFirstColumn="0" w:lastRowLastColumn="0"/>
            <w:tcW w:w="664" w:type="pct"/>
          </w:tcPr>
          <w:p w14:paraId="742FD14D" w14:textId="77777777" w:rsidR="00AB6753" w:rsidRPr="00BD6D19" w:rsidRDefault="00AB6753" w:rsidP="002D1EA4">
            <w:pPr>
              <w:jc w:val="right"/>
              <w:rPr>
                <w:b/>
                <w:bCs/>
                <w:sz w:val="20"/>
                <w:szCs w:val="20"/>
              </w:rPr>
            </w:pPr>
            <w:r w:rsidRPr="00BD6D19">
              <w:rPr>
                <w:sz w:val="20"/>
                <w:szCs w:val="20"/>
              </w:rPr>
              <w:t>44,872</w:t>
            </w:r>
          </w:p>
        </w:tc>
      </w:tr>
      <w:tr w:rsidR="00AB6753" w:rsidRPr="00BD6D19" w14:paraId="0110CBFF"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0E34E0F5" w14:textId="77777777" w:rsidR="00AB6753" w:rsidRPr="00BD6D19" w:rsidRDefault="00AB6753" w:rsidP="002D1EA4">
            <w:pPr>
              <w:rPr>
                <w:b/>
                <w:bCs/>
                <w:sz w:val="20"/>
                <w:szCs w:val="20"/>
              </w:rPr>
            </w:pPr>
            <w:proofErr w:type="spellStart"/>
            <w:r w:rsidRPr="00BD6D19">
              <w:rPr>
                <w:sz w:val="20"/>
                <w:szCs w:val="20"/>
              </w:rPr>
              <w:t>Mediabrands</w:t>
            </w:r>
            <w:proofErr w:type="spellEnd"/>
            <w:r w:rsidRPr="00BD6D19">
              <w:rPr>
                <w:sz w:val="20"/>
                <w:szCs w:val="20"/>
              </w:rPr>
              <w:t xml:space="preserve"> Australia Pty Ltd</w:t>
            </w:r>
          </w:p>
        </w:tc>
        <w:tc>
          <w:tcPr>
            <w:cnfStyle w:val="000001000000" w:firstRow="0" w:lastRow="0" w:firstColumn="0" w:lastColumn="0" w:oddVBand="0" w:evenVBand="1" w:oddHBand="0" w:evenHBand="0" w:firstRowFirstColumn="0" w:firstRowLastColumn="0" w:lastRowFirstColumn="0" w:lastRowLastColumn="0"/>
            <w:tcW w:w="2712" w:type="pct"/>
          </w:tcPr>
          <w:p w14:paraId="1DA6C550" w14:textId="77777777" w:rsidR="00AB6753" w:rsidRPr="00BD6D19" w:rsidRDefault="00AB6753" w:rsidP="002D1EA4">
            <w:pPr>
              <w:rPr>
                <w:b/>
                <w:bCs/>
                <w:sz w:val="20"/>
                <w:szCs w:val="20"/>
              </w:rPr>
            </w:pPr>
            <w:r w:rsidRPr="00BD6D19">
              <w:rPr>
                <w:sz w:val="20"/>
                <w:szCs w:val="20"/>
              </w:rPr>
              <w:t>Advertising – Cashless Debit Card</w:t>
            </w:r>
          </w:p>
        </w:tc>
        <w:tc>
          <w:tcPr>
            <w:cnfStyle w:val="000010000000" w:firstRow="0" w:lastRow="0" w:firstColumn="0" w:lastColumn="0" w:oddVBand="1" w:evenVBand="0" w:oddHBand="0" w:evenHBand="0" w:firstRowFirstColumn="0" w:firstRowLastColumn="0" w:lastRowFirstColumn="0" w:lastRowLastColumn="0"/>
            <w:tcW w:w="664" w:type="pct"/>
          </w:tcPr>
          <w:p w14:paraId="21EC4B48" w14:textId="77777777" w:rsidR="00AB6753" w:rsidRPr="00BD6D19" w:rsidRDefault="00AB6753" w:rsidP="002D1EA4">
            <w:pPr>
              <w:jc w:val="right"/>
              <w:rPr>
                <w:b/>
                <w:bCs/>
                <w:sz w:val="20"/>
                <w:szCs w:val="20"/>
              </w:rPr>
            </w:pPr>
            <w:r w:rsidRPr="00BD6D19">
              <w:rPr>
                <w:sz w:val="20"/>
                <w:szCs w:val="20"/>
              </w:rPr>
              <w:t>188,196</w:t>
            </w:r>
          </w:p>
        </w:tc>
      </w:tr>
      <w:tr w:rsidR="00AB6753" w:rsidRPr="00BD6D19" w14:paraId="20AA9FB0"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24" w:type="pct"/>
          </w:tcPr>
          <w:p w14:paraId="7C6EAA02" w14:textId="77777777" w:rsidR="00AB6753" w:rsidRPr="00BD6D19" w:rsidRDefault="00AB6753" w:rsidP="002D1EA4">
            <w:pPr>
              <w:rPr>
                <w:b/>
                <w:bCs/>
                <w:sz w:val="20"/>
                <w:szCs w:val="20"/>
              </w:rPr>
            </w:pPr>
            <w:proofErr w:type="spellStart"/>
            <w:r w:rsidRPr="00BD6D19">
              <w:rPr>
                <w:sz w:val="20"/>
                <w:szCs w:val="20"/>
              </w:rPr>
              <w:t>Mediabrands</w:t>
            </w:r>
            <w:proofErr w:type="spellEnd"/>
            <w:r w:rsidRPr="00BD6D19">
              <w:rPr>
                <w:sz w:val="20"/>
                <w:szCs w:val="20"/>
              </w:rPr>
              <w:t xml:space="preserve"> Australia Pty Ltd</w:t>
            </w:r>
          </w:p>
        </w:tc>
        <w:tc>
          <w:tcPr>
            <w:cnfStyle w:val="000001000000" w:firstRow="0" w:lastRow="0" w:firstColumn="0" w:lastColumn="0" w:oddVBand="0" w:evenVBand="1" w:oddHBand="0" w:evenHBand="0" w:firstRowFirstColumn="0" w:firstRowLastColumn="0" w:lastRowFirstColumn="0" w:lastRowLastColumn="0"/>
            <w:tcW w:w="2712" w:type="pct"/>
          </w:tcPr>
          <w:p w14:paraId="3C7D0DA8" w14:textId="77777777" w:rsidR="00AB6753" w:rsidRPr="00BD6D19" w:rsidRDefault="00AB6753" w:rsidP="002D1EA4">
            <w:pPr>
              <w:rPr>
                <w:b/>
                <w:bCs/>
                <w:sz w:val="20"/>
                <w:szCs w:val="20"/>
              </w:rPr>
            </w:pPr>
            <w:r w:rsidRPr="00BD6D19">
              <w:rPr>
                <w:sz w:val="20"/>
                <w:szCs w:val="20"/>
              </w:rPr>
              <w:t>Advertising – Help is Here</w:t>
            </w:r>
          </w:p>
        </w:tc>
        <w:tc>
          <w:tcPr>
            <w:cnfStyle w:val="000010000000" w:firstRow="0" w:lastRow="0" w:firstColumn="0" w:lastColumn="0" w:oddVBand="1" w:evenVBand="0" w:oddHBand="0" w:evenHBand="0" w:firstRowFirstColumn="0" w:firstRowLastColumn="0" w:lastRowFirstColumn="0" w:lastRowLastColumn="0"/>
            <w:tcW w:w="664" w:type="pct"/>
          </w:tcPr>
          <w:p w14:paraId="2481BFDF" w14:textId="77777777" w:rsidR="00AB6753" w:rsidRPr="00BD6D19" w:rsidRDefault="00AB6753" w:rsidP="002D1EA4">
            <w:pPr>
              <w:jc w:val="right"/>
              <w:rPr>
                <w:b/>
                <w:bCs/>
                <w:sz w:val="20"/>
                <w:szCs w:val="20"/>
              </w:rPr>
            </w:pPr>
            <w:r w:rsidRPr="00BD6D19">
              <w:rPr>
                <w:sz w:val="20"/>
                <w:szCs w:val="20"/>
              </w:rPr>
              <w:t>6,138,683</w:t>
            </w:r>
          </w:p>
        </w:tc>
      </w:tr>
      <w:tr w:rsidR="00AB6753" w:rsidRPr="00BD6D19" w14:paraId="7AF45A73"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4CBCD5F7" w14:textId="77777777" w:rsidR="00AB6753" w:rsidRPr="00BD6D19" w:rsidRDefault="00AB6753" w:rsidP="002D1EA4">
            <w:pPr>
              <w:rPr>
                <w:sz w:val="20"/>
                <w:szCs w:val="20"/>
              </w:rPr>
            </w:pPr>
            <w:proofErr w:type="spellStart"/>
            <w:r w:rsidRPr="00BD6D19">
              <w:rPr>
                <w:sz w:val="20"/>
                <w:szCs w:val="20"/>
              </w:rPr>
              <w:t>Mediabrands</w:t>
            </w:r>
            <w:proofErr w:type="spellEnd"/>
            <w:r w:rsidRPr="00BD6D19">
              <w:rPr>
                <w:sz w:val="20"/>
                <w:szCs w:val="20"/>
              </w:rPr>
              <w:t xml:space="preserve"> Australia Pty Ltd</w:t>
            </w:r>
          </w:p>
        </w:tc>
        <w:tc>
          <w:tcPr>
            <w:cnfStyle w:val="000001000000" w:firstRow="0" w:lastRow="0" w:firstColumn="0" w:lastColumn="0" w:oddVBand="0" w:evenVBand="1" w:oddHBand="0" w:evenHBand="0" w:firstRowFirstColumn="0" w:firstRowLastColumn="0" w:lastRowFirstColumn="0" w:lastRowLastColumn="0"/>
            <w:tcW w:w="2712" w:type="pct"/>
          </w:tcPr>
          <w:p w14:paraId="036932F6" w14:textId="77777777" w:rsidR="00AB6753" w:rsidRPr="00BD6D19" w:rsidRDefault="00AB6753" w:rsidP="002D1EA4">
            <w:pPr>
              <w:rPr>
                <w:sz w:val="20"/>
                <w:szCs w:val="20"/>
              </w:rPr>
            </w:pPr>
            <w:r w:rsidRPr="00BD6D19">
              <w:rPr>
                <w:sz w:val="20"/>
                <w:szCs w:val="20"/>
              </w:rPr>
              <w:t xml:space="preserve">Advertising – </w:t>
            </w:r>
            <w:proofErr w:type="spellStart"/>
            <w:r w:rsidRPr="00BD6D19">
              <w:rPr>
                <w:sz w:val="20"/>
                <w:szCs w:val="20"/>
              </w:rPr>
              <w:t>JobAccess</w:t>
            </w:r>
            <w:proofErr w:type="spellEnd"/>
          </w:p>
        </w:tc>
        <w:tc>
          <w:tcPr>
            <w:cnfStyle w:val="000010000000" w:firstRow="0" w:lastRow="0" w:firstColumn="0" w:lastColumn="0" w:oddVBand="1" w:evenVBand="0" w:oddHBand="0" w:evenHBand="0" w:firstRowFirstColumn="0" w:firstRowLastColumn="0" w:lastRowFirstColumn="0" w:lastRowLastColumn="0"/>
            <w:tcW w:w="664" w:type="pct"/>
          </w:tcPr>
          <w:p w14:paraId="75D4ACC1" w14:textId="77777777" w:rsidR="00AB6753" w:rsidRPr="00BD6D19" w:rsidRDefault="00AB6753" w:rsidP="002D1EA4">
            <w:pPr>
              <w:jc w:val="right"/>
              <w:rPr>
                <w:sz w:val="20"/>
                <w:szCs w:val="20"/>
              </w:rPr>
            </w:pPr>
            <w:r w:rsidRPr="00BD6D19">
              <w:rPr>
                <w:sz w:val="20"/>
                <w:szCs w:val="20"/>
              </w:rPr>
              <w:t>22,080</w:t>
            </w:r>
          </w:p>
        </w:tc>
      </w:tr>
      <w:tr w:rsidR="00AB6753" w:rsidRPr="00BD6D19" w14:paraId="4D1976DC"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24" w:type="pct"/>
          </w:tcPr>
          <w:p w14:paraId="0B3EF52D" w14:textId="77777777" w:rsidR="00AB6753" w:rsidRPr="00BD6D19" w:rsidRDefault="00AB6753" w:rsidP="002D1EA4">
            <w:pPr>
              <w:rPr>
                <w:sz w:val="20"/>
                <w:szCs w:val="20"/>
              </w:rPr>
            </w:pPr>
            <w:proofErr w:type="spellStart"/>
            <w:r w:rsidRPr="00BD6D19">
              <w:rPr>
                <w:sz w:val="20"/>
                <w:szCs w:val="20"/>
              </w:rPr>
              <w:t>Mediabrands</w:t>
            </w:r>
            <w:proofErr w:type="spellEnd"/>
            <w:r w:rsidRPr="00BD6D19">
              <w:rPr>
                <w:sz w:val="20"/>
                <w:szCs w:val="20"/>
              </w:rPr>
              <w:t xml:space="preserve"> Australia Pty Ltd</w:t>
            </w:r>
          </w:p>
        </w:tc>
        <w:tc>
          <w:tcPr>
            <w:cnfStyle w:val="000001000000" w:firstRow="0" w:lastRow="0" w:firstColumn="0" w:lastColumn="0" w:oddVBand="0" w:evenVBand="1" w:oddHBand="0" w:evenHBand="0" w:firstRowFirstColumn="0" w:firstRowLastColumn="0" w:lastRowFirstColumn="0" w:lastRowLastColumn="0"/>
            <w:tcW w:w="2712" w:type="pct"/>
          </w:tcPr>
          <w:p w14:paraId="09507B85" w14:textId="77777777" w:rsidR="00AB6753" w:rsidRPr="00BD6D19" w:rsidRDefault="00AB6753" w:rsidP="002D1EA4">
            <w:pPr>
              <w:rPr>
                <w:sz w:val="20"/>
                <w:szCs w:val="20"/>
              </w:rPr>
            </w:pPr>
            <w:r w:rsidRPr="00BD6D19">
              <w:rPr>
                <w:sz w:val="20"/>
                <w:szCs w:val="20"/>
              </w:rPr>
              <w:t>Advertising – Promoting public consultations for the Tune Review of the NDIS Act</w:t>
            </w:r>
          </w:p>
        </w:tc>
        <w:tc>
          <w:tcPr>
            <w:cnfStyle w:val="000010000000" w:firstRow="0" w:lastRow="0" w:firstColumn="0" w:lastColumn="0" w:oddVBand="1" w:evenVBand="0" w:oddHBand="0" w:evenHBand="0" w:firstRowFirstColumn="0" w:firstRowLastColumn="0" w:lastRowFirstColumn="0" w:lastRowLastColumn="0"/>
            <w:tcW w:w="664" w:type="pct"/>
          </w:tcPr>
          <w:p w14:paraId="6F9F4B52" w14:textId="77777777" w:rsidR="00AB6753" w:rsidRPr="00BD6D19" w:rsidRDefault="00AB6753" w:rsidP="002D1EA4">
            <w:pPr>
              <w:jc w:val="right"/>
              <w:rPr>
                <w:sz w:val="20"/>
                <w:szCs w:val="20"/>
              </w:rPr>
            </w:pPr>
            <w:r w:rsidRPr="00BD6D19">
              <w:rPr>
                <w:sz w:val="20"/>
                <w:szCs w:val="20"/>
              </w:rPr>
              <w:t>33,884</w:t>
            </w:r>
          </w:p>
        </w:tc>
      </w:tr>
      <w:tr w:rsidR="00AB6753" w:rsidRPr="00BD6D19" w14:paraId="064C10FA" w14:textId="77777777" w:rsidTr="002D1EA4">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64F1A951" w14:textId="77777777" w:rsidR="00AB6753" w:rsidRPr="00BD6D19" w:rsidRDefault="00AB6753" w:rsidP="002D1EA4">
            <w:pPr>
              <w:rPr>
                <w:sz w:val="20"/>
                <w:szCs w:val="20"/>
              </w:rPr>
            </w:pPr>
            <w:proofErr w:type="spellStart"/>
            <w:r w:rsidRPr="00BD6D19">
              <w:rPr>
                <w:sz w:val="20"/>
                <w:szCs w:val="20"/>
              </w:rPr>
              <w:t>Mediabrands</w:t>
            </w:r>
            <w:proofErr w:type="spellEnd"/>
            <w:r w:rsidRPr="00BD6D19">
              <w:rPr>
                <w:sz w:val="20"/>
                <w:szCs w:val="20"/>
              </w:rPr>
              <w:t xml:space="preserve"> Australia Pty Ltd</w:t>
            </w:r>
          </w:p>
        </w:tc>
        <w:tc>
          <w:tcPr>
            <w:cnfStyle w:val="000001000000" w:firstRow="0" w:lastRow="0" w:firstColumn="0" w:lastColumn="0" w:oddVBand="0" w:evenVBand="1" w:oddHBand="0" w:evenHBand="0" w:firstRowFirstColumn="0" w:firstRowLastColumn="0" w:lastRowFirstColumn="0" w:lastRowLastColumn="0"/>
            <w:tcW w:w="2712" w:type="pct"/>
          </w:tcPr>
          <w:p w14:paraId="25F968A3" w14:textId="77777777" w:rsidR="00AB6753" w:rsidRPr="00BD6D19" w:rsidRDefault="00AB6753" w:rsidP="002D1EA4">
            <w:pPr>
              <w:rPr>
                <w:sz w:val="20"/>
                <w:szCs w:val="20"/>
              </w:rPr>
            </w:pPr>
            <w:r w:rsidRPr="00BD6D19">
              <w:rPr>
                <w:sz w:val="20"/>
                <w:szCs w:val="20"/>
              </w:rPr>
              <w:t>Advertising – Recruitment</w:t>
            </w:r>
          </w:p>
        </w:tc>
        <w:tc>
          <w:tcPr>
            <w:cnfStyle w:val="000010000000" w:firstRow="0" w:lastRow="0" w:firstColumn="0" w:lastColumn="0" w:oddVBand="1" w:evenVBand="0" w:oddHBand="0" w:evenHBand="0" w:firstRowFirstColumn="0" w:firstRowLastColumn="0" w:lastRowFirstColumn="0" w:lastRowLastColumn="0"/>
            <w:tcW w:w="664" w:type="pct"/>
          </w:tcPr>
          <w:p w14:paraId="6C2FF161" w14:textId="77777777" w:rsidR="00AB6753" w:rsidRPr="00BD6D19" w:rsidRDefault="00AB6753" w:rsidP="002D1EA4">
            <w:pPr>
              <w:jc w:val="right"/>
              <w:rPr>
                <w:sz w:val="20"/>
                <w:szCs w:val="20"/>
              </w:rPr>
            </w:pPr>
            <w:r w:rsidRPr="00BD6D19">
              <w:rPr>
                <w:sz w:val="20"/>
                <w:szCs w:val="20"/>
              </w:rPr>
              <w:t>31,320</w:t>
            </w:r>
          </w:p>
        </w:tc>
      </w:tr>
      <w:tr w:rsidR="00AB6753" w:rsidRPr="00BD6D19" w14:paraId="22D54E7F" w14:textId="77777777" w:rsidTr="002D1EA4">
        <w:trPr>
          <w:trHeight w:val="340"/>
        </w:trPr>
        <w:tc>
          <w:tcPr>
            <w:cnfStyle w:val="000010000000" w:firstRow="0" w:lastRow="0" w:firstColumn="0" w:lastColumn="0" w:oddVBand="1" w:evenVBand="0" w:oddHBand="0" w:evenHBand="0" w:firstRowFirstColumn="0" w:firstRowLastColumn="0" w:lastRowFirstColumn="0" w:lastRowLastColumn="0"/>
            <w:tcW w:w="1624" w:type="pct"/>
          </w:tcPr>
          <w:p w14:paraId="2F33E851" w14:textId="77777777" w:rsidR="00AB6753" w:rsidRPr="00BD6D19" w:rsidRDefault="00AB6753" w:rsidP="002D1EA4">
            <w:pPr>
              <w:rPr>
                <w:b/>
                <w:bCs/>
                <w:sz w:val="20"/>
                <w:szCs w:val="20"/>
              </w:rPr>
            </w:pPr>
            <w:proofErr w:type="spellStart"/>
            <w:r w:rsidRPr="00BD6D19">
              <w:rPr>
                <w:sz w:val="20"/>
                <w:szCs w:val="20"/>
              </w:rPr>
              <w:t>Mediabrands</w:t>
            </w:r>
            <w:proofErr w:type="spellEnd"/>
            <w:r w:rsidRPr="00BD6D19">
              <w:rPr>
                <w:sz w:val="20"/>
                <w:szCs w:val="20"/>
              </w:rPr>
              <w:t xml:space="preserve"> Australia Pty Ltd</w:t>
            </w:r>
          </w:p>
        </w:tc>
        <w:tc>
          <w:tcPr>
            <w:cnfStyle w:val="000001000000" w:firstRow="0" w:lastRow="0" w:firstColumn="0" w:lastColumn="0" w:oddVBand="0" w:evenVBand="1" w:oddHBand="0" w:evenHBand="0" w:firstRowFirstColumn="0" w:firstRowLastColumn="0" w:lastRowFirstColumn="0" w:lastRowLastColumn="0"/>
            <w:tcW w:w="2712" w:type="pct"/>
          </w:tcPr>
          <w:p w14:paraId="75642651" w14:textId="77777777" w:rsidR="00AB6753" w:rsidRPr="00BD6D19" w:rsidRDefault="00AB6753" w:rsidP="002D1EA4">
            <w:pPr>
              <w:rPr>
                <w:b/>
                <w:bCs/>
                <w:sz w:val="20"/>
                <w:szCs w:val="20"/>
              </w:rPr>
            </w:pPr>
            <w:r w:rsidRPr="00BD6D19">
              <w:rPr>
                <w:sz w:val="20"/>
                <w:szCs w:val="20"/>
              </w:rPr>
              <w:t>Advertising – Stop it at the Start, Phase 2</w:t>
            </w:r>
          </w:p>
        </w:tc>
        <w:tc>
          <w:tcPr>
            <w:cnfStyle w:val="000010000000" w:firstRow="0" w:lastRow="0" w:firstColumn="0" w:lastColumn="0" w:oddVBand="1" w:evenVBand="0" w:oddHBand="0" w:evenHBand="0" w:firstRowFirstColumn="0" w:firstRowLastColumn="0" w:lastRowFirstColumn="0" w:lastRowLastColumn="0"/>
            <w:tcW w:w="664" w:type="pct"/>
          </w:tcPr>
          <w:p w14:paraId="1E1EE8CA" w14:textId="77777777" w:rsidR="00AB6753" w:rsidRPr="00BD6D19" w:rsidRDefault="00AB6753" w:rsidP="002D1EA4">
            <w:pPr>
              <w:jc w:val="right"/>
              <w:rPr>
                <w:b/>
                <w:bCs/>
                <w:sz w:val="20"/>
                <w:szCs w:val="20"/>
              </w:rPr>
            </w:pPr>
            <w:r w:rsidRPr="00BD6D19">
              <w:rPr>
                <w:sz w:val="20"/>
                <w:szCs w:val="20"/>
              </w:rPr>
              <w:t>1,331,877</w:t>
            </w:r>
          </w:p>
        </w:tc>
      </w:tr>
      <w:tr w:rsidR="00AB6753" w:rsidRPr="00BD6D19" w14:paraId="3D62C356" w14:textId="77777777" w:rsidTr="002D1EA4">
        <w:trPr>
          <w:cnfStyle w:val="010000000000" w:firstRow="0" w:lastRow="1" w:firstColumn="0" w:lastColumn="0" w:oddVBand="0" w:evenVBand="0" w:oddHBand="0"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624" w:type="pct"/>
          </w:tcPr>
          <w:p w14:paraId="6C31320E" w14:textId="77777777" w:rsidR="00AB6753" w:rsidRPr="00BD6D19" w:rsidRDefault="00AB6753" w:rsidP="002D1EA4">
            <w:pPr>
              <w:rPr>
                <w:b w:val="0"/>
                <w:sz w:val="20"/>
                <w:szCs w:val="20"/>
              </w:rPr>
            </w:pPr>
            <w:r w:rsidRPr="00BD6D19">
              <w:rPr>
                <w:b w:val="0"/>
                <w:sz w:val="20"/>
                <w:szCs w:val="20"/>
              </w:rPr>
              <w:t>TOTAL</w:t>
            </w:r>
          </w:p>
        </w:tc>
        <w:tc>
          <w:tcPr>
            <w:cnfStyle w:val="000001000000" w:firstRow="0" w:lastRow="0" w:firstColumn="0" w:lastColumn="0" w:oddVBand="0" w:evenVBand="1" w:oddHBand="0" w:evenHBand="0" w:firstRowFirstColumn="0" w:firstRowLastColumn="0" w:lastRowFirstColumn="0" w:lastRowLastColumn="0"/>
            <w:tcW w:w="2712" w:type="pct"/>
          </w:tcPr>
          <w:p w14:paraId="365A2DB6" w14:textId="77777777" w:rsidR="00AB6753" w:rsidRPr="00BD6D19" w:rsidRDefault="00AB6753" w:rsidP="002D1EA4">
            <w:pPr>
              <w:rPr>
                <w:b w:val="0"/>
                <w:sz w:val="20"/>
                <w:szCs w:val="20"/>
                <w:highlight w:val="magenta"/>
              </w:rPr>
            </w:pPr>
          </w:p>
        </w:tc>
        <w:tc>
          <w:tcPr>
            <w:cnfStyle w:val="000010000000" w:firstRow="0" w:lastRow="0" w:firstColumn="0" w:lastColumn="0" w:oddVBand="1" w:evenVBand="0" w:oddHBand="0" w:evenHBand="0" w:firstRowFirstColumn="0" w:firstRowLastColumn="0" w:lastRowFirstColumn="0" w:lastRowLastColumn="0"/>
            <w:tcW w:w="664" w:type="pct"/>
          </w:tcPr>
          <w:p w14:paraId="3C9864E0" w14:textId="77777777" w:rsidR="00AB6753" w:rsidRPr="00BD6D19" w:rsidRDefault="00AB6753" w:rsidP="002D1EA4">
            <w:pPr>
              <w:jc w:val="right"/>
              <w:rPr>
                <w:b w:val="0"/>
                <w:sz w:val="20"/>
                <w:szCs w:val="20"/>
              </w:rPr>
            </w:pPr>
            <w:r w:rsidRPr="00BD6D19">
              <w:rPr>
                <w:b w:val="0"/>
                <w:sz w:val="20"/>
                <w:szCs w:val="20"/>
              </w:rPr>
              <w:t>7,823,419</w:t>
            </w:r>
          </w:p>
        </w:tc>
      </w:tr>
    </w:tbl>
    <w:p w14:paraId="10EC8B8B" w14:textId="77777777" w:rsidR="00AB6753" w:rsidRPr="00B91E3E" w:rsidRDefault="00AB6753" w:rsidP="00AB6753"/>
    <w:p w14:paraId="5DB20A0B" w14:textId="77777777" w:rsidR="00AB6753" w:rsidRPr="003A570D" w:rsidRDefault="00AB6753" w:rsidP="00AB6753">
      <w:pPr>
        <w:tabs>
          <w:tab w:val="left" w:pos="1418"/>
          <w:tab w:val="left" w:pos="1843"/>
          <w:tab w:val="left" w:pos="2268"/>
          <w:tab w:val="right" w:pos="7938"/>
        </w:tabs>
        <w:ind w:right="566"/>
        <w:rPr>
          <w:sz w:val="20"/>
          <w:szCs w:val="20"/>
        </w:rPr>
        <w:sectPr w:rsidR="00AB6753" w:rsidRPr="003A570D" w:rsidSect="003C69D5">
          <w:headerReference w:type="default" r:id="rId70"/>
          <w:pgSz w:w="11906" w:h="16838"/>
          <w:pgMar w:top="1440" w:right="1440" w:bottom="1440" w:left="1440" w:header="709" w:footer="709" w:gutter="0"/>
          <w:cols w:space="708"/>
          <w:docGrid w:linePitch="360"/>
        </w:sectPr>
      </w:pPr>
    </w:p>
    <w:p w14:paraId="12382AD4" w14:textId="77777777" w:rsidR="00AB6753" w:rsidRDefault="00AB6753" w:rsidP="00AB6753">
      <w:pPr>
        <w:spacing w:line="240" w:lineRule="auto"/>
      </w:pPr>
      <w:r w:rsidRPr="00C658E7">
        <w:rPr>
          <w:b/>
          <w:sz w:val="28"/>
        </w:rPr>
        <w:lastRenderedPageBreak/>
        <w:t xml:space="preserve">Appendix </w:t>
      </w:r>
      <w:r>
        <w:rPr>
          <w:b/>
          <w:sz w:val="28"/>
        </w:rPr>
        <w:t>C</w:t>
      </w:r>
    </w:p>
    <w:p w14:paraId="0FCFD0E6" w14:textId="77777777" w:rsidR="00AB6753" w:rsidRPr="00054A67" w:rsidRDefault="00AB6753" w:rsidP="00AB6753">
      <w:pPr>
        <w:pStyle w:val="Heading1"/>
        <w:spacing w:before="240" w:after="240"/>
        <w:rPr>
          <w:rFonts w:ascii="Georgia" w:hAnsi="Georgia"/>
          <w:b w:val="0"/>
          <w:color w:val="215868" w:themeColor="accent5" w:themeShade="80"/>
          <w:sz w:val="72"/>
        </w:rPr>
      </w:pPr>
      <w:r w:rsidRPr="00054A67">
        <w:rPr>
          <w:rFonts w:ascii="Georgia" w:hAnsi="Georgia"/>
          <w:b w:val="0"/>
          <w:color w:val="215868" w:themeColor="accent5" w:themeShade="80"/>
          <w:sz w:val="72"/>
        </w:rPr>
        <w:t>Ecologically sustainable development and environmental performance</w:t>
      </w:r>
    </w:p>
    <w:p w14:paraId="328DBEC7" w14:textId="77777777" w:rsidR="00AB6753" w:rsidRPr="00A73454" w:rsidRDefault="00AB6753" w:rsidP="00AB6753">
      <w:pPr>
        <w:autoSpaceDE w:val="0"/>
        <w:autoSpaceDN w:val="0"/>
        <w:adjustRightInd w:val="0"/>
        <w:spacing w:before="120" w:after="180" w:line="280" w:lineRule="atLeast"/>
        <w:ind w:right="-164"/>
        <w:rPr>
          <w:sz w:val="20"/>
          <w:szCs w:val="20"/>
        </w:rPr>
      </w:pPr>
      <w:r w:rsidRPr="00A73454">
        <w:rPr>
          <w:sz w:val="20"/>
          <w:szCs w:val="20"/>
        </w:rPr>
        <w:t xml:space="preserve">Section 516A of the </w:t>
      </w:r>
      <w:r w:rsidRPr="00B45A34">
        <w:rPr>
          <w:i/>
          <w:sz w:val="20"/>
          <w:szCs w:val="20"/>
        </w:rPr>
        <w:t>Environment Protection and Biodiversity Conservation Act 1999</w:t>
      </w:r>
      <w:r w:rsidRPr="00A73454">
        <w:rPr>
          <w:sz w:val="20"/>
          <w:szCs w:val="20"/>
        </w:rPr>
        <w:t xml:space="preserve"> requires Commonwealth agencies to report against two core criteria:</w:t>
      </w:r>
    </w:p>
    <w:p w14:paraId="02DCAD1E"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how the agency accords with and contributes to the principles of ecologically sustainable development</w:t>
      </w:r>
    </w:p>
    <w:p w14:paraId="66E9FCB0"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the environmental performance of the agency, including the impact of its activities on the natural environment, how these are mitigated and how they will be further mitigated.</w:t>
      </w:r>
    </w:p>
    <w:p w14:paraId="398FCCE6" w14:textId="77777777" w:rsidR="00AB6753" w:rsidRPr="00A526BE" w:rsidRDefault="00AB6753" w:rsidP="00AB6753">
      <w:pPr>
        <w:pStyle w:val="Heading4"/>
        <w:spacing w:after="200"/>
        <w:rPr>
          <w:rFonts w:ascii="Georgia" w:hAnsi="Georgia"/>
          <w:b w:val="0"/>
          <w:sz w:val="36"/>
        </w:rPr>
      </w:pPr>
      <w:r w:rsidRPr="00A526BE">
        <w:rPr>
          <w:rFonts w:ascii="Georgia" w:hAnsi="Georgia"/>
          <w:b w:val="0"/>
          <w:i w:val="0"/>
          <w:sz w:val="36"/>
        </w:rPr>
        <w:t>How the department accords with and contributes to environmentally sustainable development</w:t>
      </w:r>
    </w:p>
    <w:p w14:paraId="5CB45FAE" w14:textId="77777777" w:rsidR="00AB6753" w:rsidRPr="00A73454" w:rsidRDefault="00AB6753" w:rsidP="00AB6753">
      <w:pPr>
        <w:autoSpaceDE w:val="0"/>
        <w:autoSpaceDN w:val="0"/>
        <w:adjustRightInd w:val="0"/>
        <w:spacing w:before="120" w:after="180" w:line="280" w:lineRule="atLeast"/>
        <w:ind w:right="-164"/>
        <w:rPr>
          <w:sz w:val="20"/>
          <w:szCs w:val="20"/>
        </w:rPr>
      </w:pPr>
      <w:r w:rsidRPr="00A73454">
        <w:rPr>
          <w:sz w:val="20"/>
          <w:szCs w:val="20"/>
        </w:rPr>
        <w:t>We do not administer any legislation that has a direct impact on ecologically sustainable development. The</w:t>
      </w:r>
      <w:r>
        <w:rPr>
          <w:sz w:val="20"/>
          <w:szCs w:val="20"/>
        </w:rPr>
        <w:t xml:space="preserve"> </w:t>
      </w:r>
      <w:r w:rsidRPr="00A73454">
        <w:rPr>
          <w:sz w:val="20"/>
          <w:szCs w:val="20"/>
        </w:rPr>
        <w:t>principles relating to scientific certainty and biological diversity are generally of limited application to our activities.</w:t>
      </w:r>
    </w:p>
    <w:p w14:paraId="0EC78509" w14:textId="77777777" w:rsidR="00AB6753" w:rsidRPr="00A73454" w:rsidRDefault="00AB6753" w:rsidP="00AB6753">
      <w:pPr>
        <w:autoSpaceDE w:val="0"/>
        <w:autoSpaceDN w:val="0"/>
        <w:adjustRightInd w:val="0"/>
        <w:spacing w:before="120" w:after="180" w:line="280" w:lineRule="atLeast"/>
        <w:ind w:right="-164"/>
        <w:rPr>
          <w:sz w:val="20"/>
          <w:szCs w:val="20"/>
        </w:rPr>
      </w:pPr>
      <w:r w:rsidRPr="00A73454">
        <w:rPr>
          <w:sz w:val="20"/>
          <w:szCs w:val="20"/>
        </w:rPr>
        <w:t>Our operations fall into five categories of environmental impact:</w:t>
      </w:r>
    </w:p>
    <w:p w14:paraId="17475030"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electricity/gas consumption</w:t>
      </w:r>
    </w:p>
    <w:p w14:paraId="25DBF178"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water use</w:t>
      </w:r>
    </w:p>
    <w:p w14:paraId="01CB4CA2"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waste generation</w:t>
      </w:r>
    </w:p>
    <w:p w14:paraId="6F4793A1"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paper use</w:t>
      </w:r>
    </w:p>
    <w:p w14:paraId="27F76AD9" w14:textId="77777777" w:rsidR="00AB6753" w:rsidRPr="002013B1" w:rsidRDefault="00AB6753" w:rsidP="00AB6753">
      <w:pPr>
        <w:pStyle w:val="ListParagraph"/>
        <w:numPr>
          <w:ilvl w:val="0"/>
          <w:numId w:val="6"/>
        </w:numPr>
        <w:autoSpaceDE w:val="0"/>
        <w:autoSpaceDN w:val="0"/>
        <w:adjustRightInd w:val="0"/>
        <w:spacing w:before="120" w:after="180" w:line="280" w:lineRule="atLeast"/>
        <w:ind w:right="-164" w:hanging="357"/>
        <w:rPr>
          <w:rFonts w:cs="Arial"/>
          <w:sz w:val="20"/>
        </w:rPr>
      </w:pPr>
      <w:r w:rsidRPr="002013B1">
        <w:rPr>
          <w:rFonts w:cs="Arial"/>
          <w:sz w:val="20"/>
        </w:rPr>
        <w:t>transportation.</w:t>
      </w:r>
    </w:p>
    <w:p w14:paraId="59CACBD7" w14:textId="77777777" w:rsidR="00AB6753" w:rsidRPr="00A73454" w:rsidRDefault="00AB6753" w:rsidP="00AB6753">
      <w:pPr>
        <w:autoSpaceDE w:val="0"/>
        <w:autoSpaceDN w:val="0"/>
        <w:adjustRightInd w:val="0"/>
        <w:spacing w:before="120" w:after="180" w:line="280" w:lineRule="atLeast"/>
        <w:ind w:right="-164"/>
        <w:rPr>
          <w:sz w:val="20"/>
          <w:szCs w:val="20"/>
        </w:rPr>
      </w:pPr>
      <w:r w:rsidRPr="00A73454">
        <w:rPr>
          <w:sz w:val="20"/>
          <w:szCs w:val="20"/>
        </w:rPr>
        <w:t>We continue to improve our collection and monitoring of data on energy use, water consumption</w:t>
      </w:r>
      <w:r>
        <w:rPr>
          <w:sz w:val="20"/>
          <w:szCs w:val="20"/>
        </w:rPr>
        <w:t>,</w:t>
      </w:r>
      <w:r w:rsidRPr="00A73454">
        <w:rPr>
          <w:sz w:val="20"/>
          <w:szCs w:val="20"/>
        </w:rPr>
        <w:t xml:space="preserve"> and waste management in all National Office buildings. We also assess the effectiveness of current processes through our procurement policy and the Green Lea</w:t>
      </w:r>
      <w:r>
        <w:rPr>
          <w:sz w:val="20"/>
          <w:szCs w:val="20"/>
        </w:rPr>
        <w:t>se Schedule to property leases.</w:t>
      </w:r>
    </w:p>
    <w:p w14:paraId="53FADC1C" w14:textId="77777777" w:rsidR="00AB6753" w:rsidRPr="00833C50" w:rsidRDefault="00AB6753" w:rsidP="00AB6753">
      <w:pPr>
        <w:pStyle w:val="Heading4"/>
        <w:spacing w:after="200"/>
        <w:rPr>
          <w:rFonts w:ascii="Georgia" w:hAnsi="Georgia"/>
          <w:b w:val="0"/>
          <w:i w:val="0"/>
          <w:sz w:val="36"/>
        </w:rPr>
      </w:pPr>
      <w:r w:rsidRPr="00833C50">
        <w:rPr>
          <w:rFonts w:ascii="Georgia" w:hAnsi="Georgia"/>
          <w:b w:val="0"/>
          <w:i w:val="0"/>
          <w:sz w:val="36"/>
        </w:rPr>
        <w:t>Measures taken to minimise the effect of activities on the environment</w:t>
      </w:r>
    </w:p>
    <w:p w14:paraId="68310E89" w14:textId="24A96B33" w:rsidR="00AB6753" w:rsidRDefault="00AB6753" w:rsidP="003965FA">
      <w:pPr>
        <w:autoSpaceDE w:val="0"/>
        <w:autoSpaceDN w:val="0"/>
        <w:adjustRightInd w:val="0"/>
        <w:spacing w:before="120" w:after="180" w:line="280" w:lineRule="atLeast"/>
        <w:ind w:right="-164"/>
        <w:rPr>
          <w:sz w:val="20"/>
          <w:szCs w:val="20"/>
        </w:rPr>
      </w:pPr>
      <w:r w:rsidRPr="00A73454">
        <w:rPr>
          <w:sz w:val="20"/>
          <w:szCs w:val="20"/>
        </w:rPr>
        <w:t>The following tables provide quantitative information on measures taken to minimise the effect of activities on the environment and environmental performance data on our energy and waste production.</w:t>
      </w:r>
    </w:p>
    <w:p w14:paraId="3D079C40" w14:textId="77777777" w:rsidR="00AB6753" w:rsidRPr="00ED4F3A" w:rsidRDefault="00AB6753" w:rsidP="00AB6753">
      <w:pPr>
        <w:rPr>
          <w:sz w:val="20"/>
          <w:szCs w:val="20"/>
        </w:rPr>
        <w:sectPr w:rsidR="00AB6753" w:rsidRPr="00ED4F3A" w:rsidSect="00A432B8">
          <w:headerReference w:type="default" r:id="rId71"/>
          <w:pgSz w:w="11906" w:h="16838"/>
          <w:pgMar w:top="709" w:right="992" w:bottom="992" w:left="709" w:header="709" w:footer="1127" w:gutter="0"/>
          <w:cols w:space="708"/>
          <w:docGrid w:linePitch="360"/>
        </w:sectPr>
      </w:pPr>
    </w:p>
    <w:p w14:paraId="68020E1A" w14:textId="77777777" w:rsidR="00AB6753" w:rsidRDefault="00AB6753" w:rsidP="00AB6753">
      <w:pPr>
        <w:rPr>
          <w:sz w:val="20"/>
          <w:szCs w:val="20"/>
        </w:rPr>
      </w:pPr>
    </w:p>
    <w:p w14:paraId="31E3E6E5" w14:textId="77777777" w:rsidR="00AB6753" w:rsidRPr="00E91F8D" w:rsidRDefault="00AB6753" w:rsidP="00AB6753">
      <w:pPr>
        <w:rPr>
          <w:rFonts w:ascii="Arial Narrow" w:eastAsia="Times New Roman" w:hAnsi="Arial Narrow" w:cs="Times New Roman"/>
          <w:b/>
          <w:bCs/>
          <w:sz w:val="20"/>
          <w:szCs w:val="18"/>
        </w:rPr>
      </w:pPr>
      <w:bookmarkStart w:id="275" w:name="_Toc457747549"/>
      <w:bookmarkStart w:id="276" w:name="TableJ_1"/>
      <w:r>
        <w:rPr>
          <w:rFonts w:ascii="Arial Narrow" w:eastAsia="Times New Roman" w:hAnsi="Arial Narrow" w:cs="Times New Roman"/>
          <w:b/>
          <w:bCs/>
          <w:sz w:val="20"/>
          <w:szCs w:val="18"/>
        </w:rPr>
        <w:t>Table C</w:t>
      </w:r>
      <w:r w:rsidRPr="00E91F8D">
        <w:rPr>
          <w:rFonts w:ascii="Arial Narrow" w:eastAsia="Times New Roman" w:hAnsi="Arial Narrow" w:cs="Times New Roman"/>
          <w:b/>
          <w:bCs/>
          <w:sz w:val="20"/>
          <w:szCs w:val="18"/>
        </w:rPr>
        <w:t>–1: Energy, waste and water efficiency measures and monitoring mechanisms</w:t>
      </w:r>
      <w:bookmarkEnd w:id="275"/>
      <w:bookmarkEnd w:id="276"/>
    </w:p>
    <w:tbl>
      <w:tblPr>
        <w:tblStyle w:val="Verticaltable"/>
        <w:tblW w:w="5000" w:type="pct"/>
        <w:tblLook w:val="0220" w:firstRow="1" w:lastRow="0" w:firstColumn="0" w:lastColumn="0" w:noHBand="1" w:noVBand="0"/>
        <w:tblCaption w:val="Table D–1: Energy, waste and water efficiency measures and monitoring mechanisms"/>
        <w:tblDescription w:val="Table D–1: Energy, waste and water efficiency measures and monitoring mechanisms. Table shows measures taken and mechanisms for monitoring and reviewing Energy, Waste and Water usage across DSS."/>
      </w:tblPr>
      <w:tblGrid>
        <w:gridCol w:w="5294"/>
        <w:gridCol w:w="4911"/>
      </w:tblGrid>
      <w:tr w:rsidR="00AB6753" w14:paraId="0C7A0DAE" w14:textId="77777777" w:rsidTr="002D1EA4">
        <w:trPr>
          <w:cnfStyle w:val="100000000000" w:firstRow="1" w:lastRow="0" w:firstColumn="0" w:lastColumn="0" w:oddVBand="0" w:evenVBand="0" w:oddHBand="0"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711" w:type="pct"/>
            <w:hideMark/>
          </w:tcPr>
          <w:p w14:paraId="0F1DA4CE" w14:textId="77777777" w:rsidR="00AB6753" w:rsidRPr="00054A67" w:rsidRDefault="00AB6753" w:rsidP="002D1EA4">
            <w:pPr>
              <w:keepNext/>
              <w:keepLines/>
              <w:spacing w:before="40" w:after="40"/>
              <w:rPr>
                <w:sz w:val="20"/>
                <w:szCs w:val="20"/>
              </w:rPr>
            </w:pPr>
            <w:r w:rsidRPr="00054A67">
              <w:rPr>
                <w:sz w:val="20"/>
                <w:szCs w:val="20"/>
              </w:rPr>
              <w:t>Measures taken</w:t>
            </w:r>
          </w:p>
        </w:tc>
        <w:tc>
          <w:tcPr>
            <w:cnfStyle w:val="000001000000" w:firstRow="0" w:lastRow="0" w:firstColumn="0" w:lastColumn="0" w:oddVBand="0" w:evenVBand="1" w:oddHBand="0" w:evenHBand="0" w:firstRowFirstColumn="0" w:firstRowLastColumn="0" w:lastRowFirstColumn="0" w:lastRowLastColumn="0"/>
            <w:tcW w:w="2289" w:type="pct"/>
            <w:noWrap/>
            <w:hideMark/>
          </w:tcPr>
          <w:p w14:paraId="7F481C7E" w14:textId="77777777" w:rsidR="00AB6753" w:rsidRPr="00054A67" w:rsidRDefault="00AB6753" w:rsidP="002D1EA4">
            <w:pPr>
              <w:keepNext/>
              <w:keepLines/>
              <w:spacing w:before="40" w:after="40"/>
              <w:rPr>
                <w:sz w:val="20"/>
                <w:szCs w:val="20"/>
              </w:rPr>
            </w:pPr>
            <w:r w:rsidRPr="00054A67">
              <w:rPr>
                <w:sz w:val="20"/>
                <w:szCs w:val="20"/>
              </w:rPr>
              <w:t>Mechanisms for monitoring and review</w:t>
            </w:r>
          </w:p>
        </w:tc>
      </w:tr>
      <w:tr w:rsidR="00AB6753" w14:paraId="0D9DFA91" w14:textId="77777777" w:rsidTr="002D1EA4">
        <w:trPr>
          <w:trHeight w:val="270"/>
        </w:trPr>
        <w:tc>
          <w:tcPr>
            <w:cnfStyle w:val="000010000000" w:firstRow="0" w:lastRow="0" w:firstColumn="0" w:lastColumn="0" w:oddVBand="1" w:evenVBand="0" w:oddHBand="0" w:evenHBand="0" w:firstRowFirstColumn="0" w:firstRowLastColumn="0" w:lastRowFirstColumn="0" w:lastRowLastColumn="0"/>
            <w:tcW w:w="2711" w:type="pct"/>
            <w:noWrap/>
            <w:hideMark/>
          </w:tcPr>
          <w:p w14:paraId="416B8216" w14:textId="77777777" w:rsidR="00AB6753" w:rsidRPr="002A5764" w:rsidRDefault="00AB6753" w:rsidP="002D1EA4">
            <w:pPr>
              <w:keepNext/>
              <w:keepLines/>
              <w:spacing w:before="40" w:after="40"/>
              <w:rPr>
                <w:b/>
                <w:sz w:val="20"/>
                <w:szCs w:val="20"/>
              </w:rPr>
            </w:pPr>
            <w:r w:rsidRPr="002A5764">
              <w:rPr>
                <w:b/>
                <w:sz w:val="20"/>
                <w:szCs w:val="20"/>
              </w:rPr>
              <w:t>Energy</w:t>
            </w:r>
          </w:p>
        </w:tc>
        <w:tc>
          <w:tcPr>
            <w:cnfStyle w:val="000001000000" w:firstRow="0" w:lastRow="0" w:firstColumn="0" w:lastColumn="0" w:oddVBand="0" w:evenVBand="1" w:oddHBand="0" w:evenHBand="0" w:firstRowFirstColumn="0" w:firstRowLastColumn="0" w:lastRowFirstColumn="0" w:lastRowLastColumn="0"/>
            <w:tcW w:w="2289" w:type="pct"/>
            <w:noWrap/>
          </w:tcPr>
          <w:p w14:paraId="546A5078" w14:textId="77777777" w:rsidR="00AB6753" w:rsidRPr="002A5764" w:rsidRDefault="00AB6753" w:rsidP="002D1EA4">
            <w:pPr>
              <w:spacing w:before="40" w:after="40"/>
              <w:rPr>
                <w:spacing w:val="4"/>
                <w:sz w:val="20"/>
                <w:szCs w:val="20"/>
                <w:lang w:val="en-GB"/>
              </w:rPr>
            </w:pPr>
          </w:p>
        </w:tc>
      </w:tr>
      <w:tr w:rsidR="00AB6753" w14:paraId="5B5DFC0D" w14:textId="77777777" w:rsidTr="002D1EA4">
        <w:trPr>
          <w:trHeight w:val="270"/>
        </w:trPr>
        <w:tc>
          <w:tcPr>
            <w:cnfStyle w:val="000010000000" w:firstRow="0" w:lastRow="0" w:firstColumn="0" w:lastColumn="0" w:oddVBand="1" w:evenVBand="0" w:oddHBand="0" w:evenHBand="0" w:firstRowFirstColumn="0" w:firstRowLastColumn="0" w:lastRowFirstColumn="0" w:lastRowLastColumn="0"/>
            <w:tcW w:w="2711" w:type="pct"/>
            <w:noWrap/>
          </w:tcPr>
          <w:p w14:paraId="00A24088" w14:textId="77777777" w:rsidR="00AB6753" w:rsidRPr="002A5764" w:rsidRDefault="00AB6753" w:rsidP="002D1EA4">
            <w:pPr>
              <w:spacing w:before="40" w:after="120"/>
              <w:rPr>
                <w:sz w:val="20"/>
                <w:szCs w:val="20"/>
                <w:lang w:val="en-GB"/>
              </w:rPr>
            </w:pPr>
            <w:r w:rsidRPr="002A5764">
              <w:rPr>
                <w:sz w:val="20"/>
                <w:szCs w:val="20"/>
                <w:lang w:val="en-GB"/>
              </w:rPr>
              <w:t>The following departmental offices have Green Lease Schedules in place:</w:t>
            </w:r>
          </w:p>
          <w:p w14:paraId="6B924931" w14:textId="77777777" w:rsidR="00AB6753" w:rsidRPr="007904EE" w:rsidRDefault="00AB6753" w:rsidP="002D1EA4">
            <w:pPr>
              <w:pStyle w:val="ListParagraph"/>
              <w:numPr>
                <w:ilvl w:val="0"/>
                <w:numId w:val="35"/>
              </w:numPr>
              <w:spacing w:before="40" w:after="40"/>
              <w:rPr>
                <w:sz w:val="20"/>
                <w:szCs w:val="20"/>
                <w:lang w:val="en-GB"/>
              </w:rPr>
            </w:pPr>
            <w:r w:rsidRPr="007904EE">
              <w:rPr>
                <w:sz w:val="20"/>
                <w:szCs w:val="20"/>
                <w:lang w:val="en-GB"/>
              </w:rPr>
              <w:t>Centennial Plaza (levels 8 and 9), Sydney</w:t>
            </w:r>
          </w:p>
          <w:p w14:paraId="660EC7F3" w14:textId="77777777" w:rsidR="00AB6753" w:rsidRPr="007904EE" w:rsidRDefault="00AB6753" w:rsidP="002D1EA4">
            <w:pPr>
              <w:pStyle w:val="ListParagraph"/>
              <w:numPr>
                <w:ilvl w:val="0"/>
                <w:numId w:val="35"/>
              </w:numPr>
              <w:spacing w:before="40" w:after="40"/>
              <w:rPr>
                <w:sz w:val="20"/>
                <w:szCs w:val="20"/>
                <w:lang w:val="en-GB"/>
              </w:rPr>
            </w:pPr>
            <w:r w:rsidRPr="007904EE">
              <w:rPr>
                <w:sz w:val="20"/>
                <w:szCs w:val="20"/>
                <w:lang w:val="en-GB"/>
              </w:rPr>
              <w:t>Jacana House (levels 2 and 3), Darwin</w:t>
            </w:r>
          </w:p>
          <w:p w14:paraId="601990EA" w14:textId="77777777" w:rsidR="00AB6753" w:rsidRPr="007904EE" w:rsidRDefault="00AB6753" w:rsidP="002D1EA4">
            <w:pPr>
              <w:pStyle w:val="ListParagraph"/>
              <w:numPr>
                <w:ilvl w:val="0"/>
                <w:numId w:val="35"/>
              </w:numPr>
              <w:spacing w:before="40" w:after="40"/>
              <w:rPr>
                <w:sz w:val="20"/>
                <w:szCs w:val="20"/>
                <w:lang w:val="en-GB"/>
              </w:rPr>
            </w:pPr>
            <w:r w:rsidRPr="007904EE">
              <w:rPr>
                <w:sz w:val="20"/>
                <w:szCs w:val="20"/>
                <w:lang w:val="en-GB"/>
              </w:rPr>
              <w:t xml:space="preserve">National Office, Enid Lyons Building, 71 </w:t>
            </w:r>
            <w:proofErr w:type="spellStart"/>
            <w:r w:rsidRPr="007904EE">
              <w:rPr>
                <w:sz w:val="20"/>
                <w:szCs w:val="20"/>
                <w:lang w:val="en-GB"/>
              </w:rPr>
              <w:t>Athllon</w:t>
            </w:r>
            <w:proofErr w:type="spellEnd"/>
            <w:r w:rsidRPr="007904EE">
              <w:rPr>
                <w:sz w:val="20"/>
                <w:szCs w:val="20"/>
                <w:lang w:val="en-GB"/>
              </w:rPr>
              <w:t xml:space="preserve"> Drive, Tuggeranong</w:t>
            </w:r>
          </w:p>
          <w:p w14:paraId="4FD94077" w14:textId="77777777" w:rsidR="00AB6753" w:rsidRPr="007904EE" w:rsidRDefault="00AB6753" w:rsidP="002D1EA4">
            <w:pPr>
              <w:pStyle w:val="ListParagraph"/>
              <w:numPr>
                <w:ilvl w:val="0"/>
                <w:numId w:val="35"/>
              </w:numPr>
              <w:spacing w:before="40" w:after="40"/>
              <w:rPr>
                <w:sz w:val="20"/>
                <w:szCs w:val="20"/>
                <w:lang w:val="en-GB"/>
              </w:rPr>
            </w:pPr>
            <w:r w:rsidRPr="007904EE">
              <w:rPr>
                <w:sz w:val="20"/>
                <w:szCs w:val="20"/>
                <w:lang w:val="en-GB"/>
              </w:rPr>
              <w:t>Aviation House (levels 5 – 8), Phillip</w:t>
            </w:r>
            <w:r>
              <w:rPr>
                <w:sz w:val="20"/>
                <w:szCs w:val="20"/>
                <w:lang w:val="en-GB"/>
              </w:rPr>
              <w:t>.</w:t>
            </w:r>
          </w:p>
        </w:tc>
        <w:tc>
          <w:tcPr>
            <w:cnfStyle w:val="000001000000" w:firstRow="0" w:lastRow="0" w:firstColumn="0" w:lastColumn="0" w:oddVBand="0" w:evenVBand="1" w:oddHBand="0" w:evenHBand="0" w:firstRowFirstColumn="0" w:firstRowLastColumn="0" w:lastRowFirstColumn="0" w:lastRowLastColumn="0"/>
            <w:tcW w:w="2289" w:type="pct"/>
            <w:noWrap/>
            <w:hideMark/>
          </w:tcPr>
          <w:p w14:paraId="5C8AFECE" w14:textId="77777777" w:rsidR="00AB6753" w:rsidRPr="002A5764" w:rsidRDefault="00AB6753" w:rsidP="002D1EA4">
            <w:pPr>
              <w:spacing w:before="40" w:after="40"/>
              <w:rPr>
                <w:color w:val="FF0000"/>
                <w:sz w:val="20"/>
                <w:szCs w:val="20"/>
                <w:lang w:val="en-GB"/>
              </w:rPr>
            </w:pPr>
            <w:r w:rsidRPr="002A5764">
              <w:rPr>
                <w:sz w:val="20"/>
                <w:szCs w:val="20"/>
                <w:lang w:val="en-GB"/>
              </w:rPr>
              <w:t>Conduct annual National Australian Built Environment Rating System (NABERS) assessments to ensure energy consumption is minimised.</w:t>
            </w:r>
          </w:p>
        </w:tc>
      </w:tr>
      <w:tr w:rsidR="00AB6753" w14:paraId="1F2265E2" w14:textId="77777777" w:rsidTr="002D1EA4">
        <w:trPr>
          <w:trHeight w:val="270"/>
        </w:trPr>
        <w:tc>
          <w:tcPr>
            <w:cnfStyle w:val="000010000000" w:firstRow="0" w:lastRow="0" w:firstColumn="0" w:lastColumn="0" w:oddVBand="1" w:evenVBand="0" w:oddHBand="0" w:evenHBand="0" w:firstRowFirstColumn="0" w:firstRowLastColumn="0" w:lastRowFirstColumn="0" w:lastRowLastColumn="0"/>
            <w:tcW w:w="2711" w:type="pct"/>
            <w:noWrap/>
            <w:hideMark/>
          </w:tcPr>
          <w:p w14:paraId="3F9B690C" w14:textId="77777777" w:rsidR="00AB6753" w:rsidRPr="002A5764" w:rsidRDefault="00AB6753" w:rsidP="002D1EA4">
            <w:pPr>
              <w:spacing w:before="40" w:after="40"/>
              <w:rPr>
                <w:sz w:val="20"/>
                <w:szCs w:val="20"/>
                <w:lang w:val="en-GB"/>
              </w:rPr>
            </w:pPr>
            <w:r w:rsidRPr="002A5764">
              <w:rPr>
                <w:sz w:val="20"/>
                <w:szCs w:val="20"/>
                <w:lang w:val="en-GB"/>
              </w:rPr>
              <w:t>Building Management Committee meetings are conducted as required under the Green Lease Schedule.</w:t>
            </w:r>
          </w:p>
        </w:tc>
        <w:tc>
          <w:tcPr>
            <w:cnfStyle w:val="000001000000" w:firstRow="0" w:lastRow="0" w:firstColumn="0" w:lastColumn="0" w:oddVBand="0" w:evenVBand="1" w:oddHBand="0" w:evenHBand="0" w:firstRowFirstColumn="0" w:firstRowLastColumn="0" w:lastRowFirstColumn="0" w:lastRowLastColumn="0"/>
            <w:tcW w:w="2289" w:type="pct"/>
            <w:noWrap/>
            <w:hideMark/>
          </w:tcPr>
          <w:p w14:paraId="4819C188" w14:textId="77777777" w:rsidR="00AB6753" w:rsidRPr="002A5764" w:rsidRDefault="00AB6753" w:rsidP="002D1EA4">
            <w:pPr>
              <w:spacing w:before="40" w:after="40"/>
              <w:rPr>
                <w:sz w:val="20"/>
                <w:szCs w:val="20"/>
                <w:lang w:val="en-GB"/>
              </w:rPr>
            </w:pPr>
            <w:r w:rsidRPr="002A5764">
              <w:rPr>
                <w:sz w:val="20"/>
                <w:szCs w:val="20"/>
                <w:lang w:val="en-GB"/>
              </w:rPr>
              <w:t>Continue to conduct Building Management Committee meetings.</w:t>
            </w:r>
          </w:p>
        </w:tc>
      </w:tr>
      <w:tr w:rsidR="00AB6753" w14:paraId="4EF831BC" w14:textId="77777777" w:rsidTr="002D1EA4">
        <w:trPr>
          <w:trHeight w:val="270"/>
        </w:trPr>
        <w:tc>
          <w:tcPr>
            <w:cnfStyle w:val="000010000000" w:firstRow="0" w:lastRow="0" w:firstColumn="0" w:lastColumn="0" w:oddVBand="1" w:evenVBand="0" w:oddHBand="0" w:evenHBand="0" w:firstRowFirstColumn="0" w:firstRowLastColumn="0" w:lastRowFirstColumn="0" w:lastRowLastColumn="0"/>
            <w:tcW w:w="2711" w:type="pct"/>
            <w:noWrap/>
            <w:hideMark/>
          </w:tcPr>
          <w:p w14:paraId="05AB6306" w14:textId="77777777" w:rsidR="00AB6753" w:rsidRPr="002A5764" w:rsidRDefault="00AB6753" w:rsidP="002D1EA4">
            <w:pPr>
              <w:spacing w:before="40" w:after="40"/>
              <w:rPr>
                <w:sz w:val="20"/>
                <w:szCs w:val="20"/>
                <w:lang w:val="en-GB"/>
              </w:rPr>
            </w:pPr>
            <w:r w:rsidRPr="002A5764">
              <w:rPr>
                <w:sz w:val="20"/>
                <w:szCs w:val="20"/>
                <w:lang w:val="en-GB"/>
              </w:rPr>
              <w:t>Continue to reduce electricity through use of efficient lighting solutions, including sensor lighting and fit-out designs that take advantage of natural light.</w:t>
            </w:r>
          </w:p>
        </w:tc>
        <w:tc>
          <w:tcPr>
            <w:cnfStyle w:val="000001000000" w:firstRow="0" w:lastRow="0" w:firstColumn="0" w:lastColumn="0" w:oddVBand="0" w:evenVBand="1" w:oddHBand="0" w:evenHBand="0" w:firstRowFirstColumn="0" w:firstRowLastColumn="0" w:lastRowFirstColumn="0" w:lastRowLastColumn="0"/>
            <w:tcW w:w="2289" w:type="pct"/>
            <w:noWrap/>
            <w:hideMark/>
          </w:tcPr>
          <w:p w14:paraId="1B02A171" w14:textId="77777777" w:rsidR="00AB6753" w:rsidRPr="002A5764" w:rsidRDefault="00AB6753" w:rsidP="002D1EA4">
            <w:pPr>
              <w:spacing w:before="40" w:after="40"/>
              <w:rPr>
                <w:sz w:val="20"/>
                <w:szCs w:val="20"/>
                <w:lang w:val="en-GB"/>
              </w:rPr>
            </w:pPr>
            <w:r w:rsidRPr="002A5764">
              <w:rPr>
                <w:sz w:val="20"/>
                <w:szCs w:val="20"/>
                <w:lang w:val="en-GB"/>
              </w:rPr>
              <w:t>Careful consideration of</w:t>
            </w:r>
            <w:r>
              <w:rPr>
                <w:sz w:val="20"/>
                <w:szCs w:val="20"/>
                <w:lang w:val="en-GB"/>
              </w:rPr>
              <w:t xml:space="preserve"> </w:t>
            </w:r>
            <w:r w:rsidRPr="008B15CA">
              <w:rPr>
                <w:sz w:val="20"/>
                <w:szCs w:val="20"/>
                <w:lang w:val="en-GB"/>
              </w:rPr>
              <w:t>fit-out design.</w:t>
            </w:r>
          </w:p>
        </w:tc>
      </w:tr>
      <w:tr w:rsidR="00AB6753" w14:paraId="2B5C7283" w14:textId="77777777" w:rsidTr="002D1EA4">
        <w:trPr>
          <w:trHeight w:val="270"/>
        </w:trPr>
        <w:tc>
          <w:tcPr>
            <w:cnfStyle w:val="000010000000" w:firstRow="0" w:lastRow="0" w:firstColumn="0" w:lastColumn="0" w:oddVBand="1" w:evenVBand="0" w:oddHBand="0" w:evenHBand="0" w:firstRowFirstColumn="0" w:firstRowLastColumn="0" w:lastRowFirstColumn="0" w:lastRowLastColumn="0"/>
            <w:tcW w:w="2711" w:type="pct"/>
            <w:noWrap/>
            <w:hideMark/>
          </w:tcPr>
          <w:p w14:paraId="2298D04A" w14:textId="77777777" w:rsidR="00AB6753" w:rsidRPr="002A5764" w:rsidRDefault="00AB6753" w:rsidP="002D1EA4">
            <w:pPr>
              <w:spacing w:before="40" w:after="40"/>
              <w:rPr>
                <w:sz w:val="20"/>
                <w:szCs w:val="20"/>
                <w:lang w:val="en-GB"/>
              </w:rPr>
            </w:pPr>
            <w:r w:rsidRPr="002A5764">
              <w:rPr>
                <w:sz w:val="20"/>
                <w:szCs w:val="20"/>
                <w:lang w:val="en-GB"/>
              </w:rPr>
              <w:t>We participated in Earth Hour 20</w:t>
            </w:r>
            <w:r>
              <w:rPr>
                <w:sz w:val="20"/>
                <w:szCs w:val="20"/>
                <w:lang w:val="en-GB"/>
              </w:rPr>
              <w:t>20</w:t>
            </w:r>
            <w:r w:rsidRPr="002A5764">
              <w:rPr>
                <w:sz w:val="20"/>
                <w:szCs w:val="20"/>
                <w:lang w:val="en-GB"/>
              </w:rPr>
              <w:t>.</w:t>
            </w:r>
          </w:p>
        </w:tc>
        <w:tc>
          <w:tcPr>
            <w:cnfStyle w:val="000001000000" w:firstRow="0" w:lastRow="0" w:firstColumn="0" w:lastColumn="0" w:oddVBand="0" w:evenVBand="1" w:oddHBand="0" w:evenHBand="0" w:firstRowFirstColumn="0" w:firstRowLastColumn="0" w:lastRowFirstColumn="0" w:lastRowLastColumn="0"/>
            <w:tcW w:w="2289" w:type="pct"/>
            <w:noWrap/>
            <w:hideMark/>
          </w:tcPr>
          <w:p w14:paraId="5B7B7C4D" w14:textId="77777777" w:rsidR="00AB6753" w:rsidRPr="002A5764" w:rsidRDefault="00AB6753" w:rsidP="002D1EA4">
            <w:pPr>
              <w:spacing w:before="40" w:after="40"/>
              <w:rPr>
                <w:sz w:val="20"/>
                <w:szCs w:val="20"/>
                <w:lang w:val="en-GB"/>
              </w:rPr>
            </w:pPr>
            <w:r w:rsidRPr="002A5764">
              <w:rPr>
                <w:sz w:val="20"/>
                <w:szCs w:val="20"/>
                <w:lang w:val="en-GB"/>
              </w:rPr>
              <w:t>Continue to participate in Earth Hour each year.</w:t>
            </w:r>
          </w:p>
        </w:tc>
      </w:tr>
      <w:tr w:rsidR="00AB6753" w14:paraId="458131F6" w14:textId="77777777" w:rsidTr="002D1EA4">
        <w:trPr>
          <w:trHeight w:val="270"/>
        </w:trPr>
        <w:tc>
          <w:tcPr>
            <w:cnfStyle w:val="000010000000" w:firstRow="0" w:lastRow="0" w:firstColumn="0" w:lastColumn="0" w:oddVBand="1" w:evenVBand="0" w:oddHBand="0" w:evenHBand="0" w:firstRowFirstColumn="0" w:firstRowLastColumn="0" w:lastRowFirstColumn="0" w:lastRowLastColumn="0"/>
            <w:tcW w:w="2711" w:type="pct"/>
            <w:noWrap/>
            <w:hideMark/>
          </w:tcPr>
          <w:p w14:paraId="14A1CB95" w14:textId="77777777" w:rsidR="00AB6753" w:rsidRPr="002A5764" w:rsidRDefault="00AB6753" w:rsidP="002D1EA4">
            <w:pPr>
              <w:keepNext/>
              <w:keepLines/>
              <w:spacing w:before="40" w:after="40"/>
              <w:rPr>
                <w:rFonts w:cs="Times New Roman"/>
                <w:b/>
                <w:sz w:val="20"/>
                <w:szCs w:val="20"/>
              </w:rPr>
            </w:pPr>
            <w:r w:rsidRPr="002A5764">
              <w:rPr>
                <w:b/>
                <w:sz w:val="20"/>
                <w:szCs w:val="20"/>
              </w:rPr>
              <w:t>Waste</w:t>
            </w:r>
          </w:p>
        </w:tc>
        <w:tc>
          <w:tcPr>
            <w:cnfStyle w:val="000001000000" w:firstRow="0" w:lastRow="0" w:firstColumn="0" w:lastColumn="0" w:oddVBand="0" w:evenVBand="1" w:oddHBand="0" w:evenHBand="0" w:firstRowFirstColumn="0" w:firstRowLastColumn="0" w:lastRowFirstColumn="0" w:lastRowLastColumn="0"/>
            <w:tcW w:w="2289" w:type="pct"/>
            <w:noWrap/>
          </w:tcPr>
          <w:p w14:paraId="1E0BCB41" w14:textId="77777777" w:rsidR="00AB6753" w:rsidRPr="002A5764" w:rsidRDefault="00AB6753" w:rsidP="002D1EA4">
            <w:pPr>
              <w:spacing w:before="40" w:after="40"/>
              <w:rPr>
                <w:spacing w:val="4"/>
                <w:sz w:val="20"/>
                <w:szCs w:val="20"/>
                <w:lang w:val="en-GB"/>
              </w:rPr>
            </w:pPr>
          </w:p>
        </w:tc>
      </w:tr>
      <w:tr w:rsidR="00AB6753" w14:paraId="7A681B5E" w14:textId="77777777" w:rsidTr="002D1EA4">
        <w:trPr>
          <w:trHeight w:val="270"/>
        </w:trPr>
        <w:tc>
          <w:tcPr>
            <w:cnfStyle w:val="000010000000" w:firstRow="0" w:lastRow="0" w:firstColumn="0" w:lastColumn="0" w:oddVBand="1" w:evenVBand="0" w:oddHBand="0" w:evenHBand="0" w:firstRowFirstColumn="0" w:firstRowLastColumn="0" w:lastRowFirstColumn="0" w:lastRowLastColumn="0"/>
            <w:tcW w:w="2711" w:type="pct"/>
            <w:noWrap/>
            <w:hideMark/>
          </w:tcPr>
          <w:p w14:paraId="086690CC" w14:textId="77777777" w:rsidR="00AB6753" w:rsidRPr="002A5764" w:rsidRDefault="00AB6753" w:rsidP="002D1EA4">
            <w:pPr>
              <w:spacing w:before="40" w:after="40"/>
              <w:rPr>
                <w:sz w:val="20"/>
                <w:szCs w:val="20"/>
                <w:lang w:val="en-GB"/>
              </w:rPr>
            </w:pPr>
            <w:r w:rsidRPr="002A5764">
              <w:rPr>
                <w:sz w:val="20"/>
                <w:szCs w:val="20"/>
                <w:lang w:val="en-GB"/>
              </w:rPr>
              <w:t>Some initiatives promoted throughout our leased office portfolio include:</w:t>
            </w:r>
          </w:p>
          <w:p w14:paraId="61CDA132" w14:textId="77777777" w:rsidR="00AB6753" w:rsidRPr="007904EE" w:rsidRDefault="00AB6753" w:rsidP="002D1EA4">
            <w:pPr>
              <w:pStyle w:val="ListParagraph"/>
              <w:numPr>
                <w:ilvl w:val="0"/>
                <w:numId w:val="36"/>
              </w:numPr>
              <w:spacing w:before="40" w:after="40"/>
              <w:rPr>
                <w:sz w:val="20"/>
                <w:szCs w:val="20"/>
                <w:lang w:val="en-GB"/>
              </w:rPr>
            </w:pPr>
            <w:r w:rsidRPr="007904EE">
              <w:rPr>
                <w:sz w:val="20"/>
                <w:szCs w:val="20"/>
                <w:lang w:val="en-GB"/>
              </w:rPr>
              <w:t>reducing storage requirements as a result of our Electronic Document and Records Management System and the digitisation of records</w:t>
            </w:r>
          </w:p>
          <w:p w14:paraId="28ADF91F" w14:textId="77777777" w:rsidR="00AB6753" w:rsidRPr="007904EE" w:rsidRDefault="00AB6753" w:rsidP="002D1EA4">
            <w:pPr>
              <w:pStyle w:val="ListParagraph"/>
              <w:numPr>
                <w:ilvl w:val="0"/>
                <w:numId w:val="36"/>
              </w:numPr>
              <w:spacing w:before="40" w:after="40"/>
              <w:rPr>
                <w:sz w:val="20"/>
                <w:szCs w:val="20"/>
                <w:lang w:val="en-GB"/>
              </w:rPr>
            </w:pPr>
            <w:r w:rsidRPr="007904EE">
              <w:rPr>
                <w:sz w:val="20"/>
                <w:szCs w:val="20"/>
                <w:lang w:val="en-GB"/>
              </w:rPr>
              <w:t>digital signage promoting correct waste management behaviours displayed on monitors through tenancies</w:t>
            </w:r>
          </w:p>
          <w:p w14:paraId="353ADAB3" w14:textId="77777777" w:rsidR="00AB6753" w:rsidRPr="007904EE" w:rsidRDefault="00AB6753" w:rsidP="002D1EA4">
            <w:pPr>
              <w:pStyle w:val="ListParagraph"/>
              <w:numPr>
                <w:ilvl w:val="0"/>
                <w:numId w:val="36"/>
              </w:numPr>
              <w:spacing w:before="40" w:after="40"/>
              <w:rPr>
                <w:sz w:val="20"/>
                <w:szCs w:val="20"/>
                <w:lang w:val="en-GB"/>
              </w:rPr>
            </w:pPr>
            <w:r w:rsidRPr="007904EE">
              <w:rPr>
                <w:sz w:val="20"/>
                <w:szCs w:val="20"/>
                <w:lang w:val="en-GB"/>
              </w:rPr>
              <w:t>bin signage updated throughout Canberra sites to support improved waste management.</w:t>
            </w:r>
          </w:p>
        </w:tc>
        <w:tc>
          <w:tcPr>
            <w:cnfStyle w:val="000001000000" w:firstRow="0" w:lastRow="0" w:firstColumn="0" w:lastColumn="0" w:oddVBand="0" w:evenVBand="1" w:oddHBand="0" w:evenHBand="0" w:firstRowFirstColumn="0" w:firstRowLastColumn="0" w:lastRowFirstColumn="0" w:lastRowLastColumn="0"/>
            <w:tcW w:w="2289" w:type="pct"/>
            <w:noWrap/>
            <w:hideMark/>
          </w:tcPr>
          <w:p w14:paraId="2DE4E6F6" w14:textId="77777777" w:rsidR="00AB6753" w:rsidRPr="002A5764" w:rsidRDefault="00AB6753" w:rsidP="002D1EA4">
            <w:pPr>
              <w:spacing w:before="40" w:after="40"/>
              <w:rPr>
                <w:sz w:val="20"/>
                <w:szCs w:val="20"/>
                <w:lang w:val="en-GB"/>
              </w:rPr>
            </w:pPr>
            <w:r w:rsidRPr="002A5764">
              <w:rPr>
                <w:sz w:val="20"/>
                <w:szCs w:val="20"/>
                <w:lang w:val="en-GB"/>
              </w:rPr>
              <w:t>Regularly monitor the amount of waste removed from Canberra based sites.</w:t>
            </w:r>
          </w:p>
          <w:p w14:paraId="417D2E5A" w14:textId="77777777" w:rsidR="00AB6753" w:rsidRPr="002A5764" w:rsidRDefault="00AB6753" w:rsidP="002D1EA4">
            <w:pPr>
              <w:spacing w:before="40" w:after="40"/>
              <w:rPr>
                <w:sz w:val="20"/>
                <w:szCs w:val="20"/>
                <w:lang w:val="en-GB"/>
              </w:rPr>
            </w:pPr>
            <w:r w:rsidRPr="002A5764">
              <w:rPr>
                <w:sz w:val="20"/>
                <w:szCs w:val="20"/>
                <w:lang w:val="en-GB"/>
              </w:rPr>
              <w:t>Continue to examine new ways of reducing waste to landfill.</w:t>
            </w:r>
            <w:r>
              <w:rPr>
                <w:sz w:val="20"/>
                <w:szCs w:val="20"/>
                <w:lang w:val="en-GB"/>
              </w:rPr>
              <w:br/>
            </w:r>
            <w:r>
              <w:rPr>
                <w:sz w:val="20"/>
                <w:szCs w:val="20"/>
                <w:lang w:val="en-GB"/>
              </w:rPr>
              <w:br/>
            </w:r>
          </w:p>
        </w:tc>
      </w:tr>
    </w:tbl>
    <w:p w14:paraId="06EEDBD7" w14:textId="77777777" w:rsidR="00AB6753" w:rsidRDefault="00AB6753" w:rsidP="00AB6753">
      <w:pPr>
        <w:rPr>
          <w:rFonts w:ascii="Arial Narrow" w:eastAsia="Times New Roman" w:hAnsi="Arial Narrow" w:cs="Times New Roman"/>
          <w:b/>
          <w:bCs/>
          <w:sz w:val="20"/>
          <w:szCs w:val="18"/>
        </w:rPr>
      </w:pPr>
      <w:bookmarkStart w:id="277" w:name="_Toc457747550"/>
      <w:bookmarkStart w:id="278" w:name="TableJ_2"/>
      <w:r>
        <w:rPr>
          <w:rFonts w:ascii="Arial Narrow" w:eastAsia="Times New Roman" w:hAnsi="Arial Narrow" w:cs="Times New Roman"/>
          <w:b/>
          <w:bCs/>
          <w:sz w:val="20"/>
          <w:szCs w:val="18"/>
        </w:rPr>
        <w:br w:type="page"/>
      </w:r>
    </w:p>
    <w:p w14:paraId="14746FCB" w14:textId="77777777" w:rsidR="00AB6753" w:rsidRPr="00E91F8D" w:rsidRDefault="00AB6753" w:rsidP="00AB6753">
      <w:pPr>
        <w:spacing w:before="360" w:after="0" w:line="240" w:lineRule="auto"/>
        <w:rPr>
          <w:rFonts w:ascii="Arial Narrow" w:eastAsia="Times New Roman" w:hAnsi="Arial Narrow" w:cs="Times New Roman"/>
          <w:b/>
          <w:bCs/>
          <w:sz w:val="20"/>
          <w:szCs w:val="18"/>
        </w:rPr>
      </w:pPr>
      <w:r>
        <w:rPr>
          <w:rFonts w:ascii="Arial Narrow" w:eastAsia="Times New Roman" w:hAnsi="Arial Narrow" w:cs="Times New Roman"/>
          <w:b/>
          <w:bCs/>
          <w:sz w:val="20"/>
          <w:szCs w:val="18"/>
        </w:rPr>
        <w:lastRenderedPageBreak/>
        <w:t>Table C</w:t>
      </w:r>
      <w:r w:rsidRPr="00E91F8D">
        <w:rPr>
          <w:rFonts w:ascii="Arial Narrow" w:eastAsia="Times New Roman" w:hAnsi="Arial Narrow" w:cs="Times New Roman"/>
          <w:b/>
          <w:bCs/>
          <w:sz w:val="20"/>
          <w:szCs w:val="18"/>
        </w:rPr>
        <w:t xml:space="preserve">–2: </w:t>
      </w:r>
      <w:bookmarkStart w:id="279" w:name="_Toc457747551"/>
      <w:bookmarkEnd w:id="277"/>
      <w:r w:rsidRPr="00E91F8D">
        <w:rPr>
          <w:rFonts w:ascii="Arial Narrow" w:eastAsia="Times New Roman" w:hAnsi="Arial Narrow" w:cs="Times New Roman"/>
          <w:b/>
          <w:bCs/>
          <w:sz w:val="20"/>
          <w:szCs w:val="18"/>
        </w:rPr>
        <w:t xml:space="preserve">Environmental performance </w:t>
      </w:r>
      <w:bookmarkEnd w:id="279"/>
      <w:r w:rsidRPr="00E91F8D">
        <w:rPr>
          <w:rFonts w:ascii="Arial Narrow" w:eastAsia="Times New Roman" w:hAnsi="Arial Narrow" w:cs="Times New Roman"/>
          <w:b/>
          <w:bCs/>
          <w:sz w:val="20"/>
          <w:szCs w:val="18"/>
        </w:rPr>
        <w:t>indicators</w:t>
      </w:r>
      <w:bookmarkEnd w:id="278"/>
      <w:r>
        <w:rPr>
          <w:rFonts w:ascii="Arial Narrow" w:eastAsia="Times New Roman" w:hAnsi="Arial Narrow" w:cs="Times New Roman"/>
          <w:b/>
          <w:bCs/>
          <w:sz w:val="20"/>
          <w:szCs w:val="18"/>
        </w:rPr>
        <w:t xml:space="preserve"> </w:t>
      </w:r>
    </w:p>
    <w:p w14:paraId="51F18A6C" w14:textId="77777777" w:rsidR="00AB6753" w:rsidRPr="00E91F8D" w:rsidRDefault="00AB6753" w:rsidP="00AB6753">
      <w:pPr>
        <w:spacing w:after="0" w:line="240" w:lineRule="auto"/>
        <w:rPr>
          <w:rFonts w:ascii="Arial Narrow" w:eastAsia="Times New Roman" w:hAnsi="Arial Narrow" w:cs="Times New Roman"/>
          <w:b/>
          <w:bCs/>
          <w:sz w:val="20"/>
          <w:szCs w:val="18"/>
        </w:rPr>
      </w:pPr>
    </w:p>
    <w:tbl>
      <w:tblPr>
        <w:tblStyle w:val="Verticaltable"/>
        <w:tblW w:w="5000" w:type="pct"/>
        <w:tblLayout w:type="fixed"/>
        <w:tblLook w:val="0220" w:firstRow="1" w:lastRow="0" w:firstColumn="0" w:lastColumn="0" w:noHBand="1" w:noVBand="0"/>
        <w:tblCaption w:val="Table D-2: Environmental performance indicators"/>
        <w:tblDescription w:val="Table D-2 shows the performance of DSS in the areas of energy efficiency and waste in the 2018-19 and 2017-18 financial years."/>
      </w:tblPr>
      <w:tblGrid>
        <w:gridCol w:w="3967"/>
        <w:gridCol w:w="3690"/>
        <w:gridCol w:w="1278"/>
        <w:gridCol w:w="1270"/>
      </w:tblGrid>
      <w:tr w:rsidR="00AB6753" w14:paraId="7E88FA8D" w14:textId="77777777" w:rsidTr="002D1EA4">
        <w:trPr>
          <w:cnfStyle w:val="100000000000" w:firstRow="1" w:lastRow="0" w:firstColumn="0" w:lastColumn="0" w:oddVBand="0" w:evenVBand="0" w:oddHBand="0"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944" w:type="pct"/>
            <w:hideMark/>
          </w:tcPr>
          <w:p w14:paraId="3A583C9B" w14:textId="77777777" w:rsidR="00AB6753" w:rsidRPr="00054A67" w:rsidRDefault="00AB6753" w:rsidP="002D1EA4">
            <w:pPr>
              <w:keepNext/>
              <w:keepLines/>
              <w:spacing w:before="40" w:after="40"/>
              <w:rPr>
                <w:sz w:val="20"/>
                <w:szCs w:val="20"/>
              </w:rPr>
            </w:pPr>
            <w:r w:rsidRPr="00054A67">
              <w:rPr>
                <w:sz w:val="20"/>
                <w:szCs w:val="20"/>
              </w:rPr>
              <w:t>Performance measure</w:t>
            </w:r>
          </w:p>
        </w:tc>
        <w:tc>
          <w:tcPr>
            <w:cnfStyle w:val="000001000000" w:firstRow="0" w:lastRow="0" w:firstColumn="0" w:lastColumn="0" w:oddVBand="0" w:evenVBand="1" w:oddHBand="0" w:evenHBand="0" w:firstRowFirstColumn="0" w:firstRowLastColumn="0" w:lastRowFirstColumn="0" w:lastRowLastColumn="0"/>
            <w:tcW w:w="1808" w:type="pct"/>
            <w:noWrap/>
            <w:hideMark/>
          </w:tcPr>
          <w:p w14:paraId="6619EB4F" w14:textId="77777777" w:rsidR="00AB6753" w:rsidRPr="00054A67" w:rsidRDefault="00AB6753" w:rsidP="002D1EA4">
            <w:pPr>
              <w:keepNext/>
              <w:keepLines/>
              <w:spacing w:before="40" w:after="40"/>
              <w:rPr>
                <w:sz w:val="20"/>
                <w:szCs w:val="20"/>
              </w:rPr>
            </w:pPr>
            <w:r w:rsidRPr="00054A67">
              <w:rPr>
                <w:sz w:val="20"/>
                <w:szCs w:val="20"/>
              </w:rPr>
              <w:t>Indicator</w:t>
            </w:r>
          </w:p>
        </w:tc>
        <w:tc>
          <w:tcPr>
            <w:cnfStyle w:val="000010000000" w:firstRow="0" w:lastRow="0" w:firstColumn="0" w:lastColumn="0" w:oddVBand="1" w:evenVBand="0" w:oddHBand="0" w:evenHBand="0" w:firstRowFirstColumn="0" w:firstRowLastColumn="0" w:lastRowFirstColumn="0" w:lastRowLastColumn="0"/>
            <w:tcW w:w="626" w:type="pct"/>
          </w:tcPr>
          <w:p w14:paraId="0B653036" w14:textId="77777777" w:rsidR="00AB6753" w:rsidRPr="00054A67" w:rsidRDefault="00AB6753" w:rsidP="002D1EA4">
            <w:pPr>
              <w:keepNext/>
              <w:keepLines/>
              <w:spacing w:before="40" w:after="40"/>
              <w:jc w:val="right"/>
              <w:rPr>
                <w:rFonts w:eastAsia="Times New Roman" w:cs="Times New Roman"/>
                <w:sz w:val="20"/>
                <w:szCs w:val="20"/>
              </w:rPr>
            </w:pPr>
            <w:r w:rsidRPr="00054A67">
              <w:rPr>
                <w:rFonts w:eastAsia="Times New Roman" w:cs="Times New Roman"/>
                <w:sz w:val="20"/>
                <w:szCs w:val="20"/>
              </w:rPr>
              <w:t>2019</w:t>
            </w:r>
            <w:r w:rsidRPr="00054A67">
              <w:rPr>
                <w:rFonts w:ascii="Arial Narrow" w:eastAsia="Times New Roman" w:hAnsi="Arial Narrow" w:cs="Times New Roman"/>
                <w:bCs/>
                <w:sz w:val="20"/>
              </w:rPr>
              <w:t>–20</w:t>
            </w:r>
          </w:p>
        </w:tc>
        <w:tc>
          <w:tcPr>
            <w:cnfStyle w:val="000001000000" w:firstRow="0" w:lastRow="0" w:firstColumn="0" w:lastColumn="0" w:oddVBand="0" w:evenVBand="1" w:oddHBand="0" w:evenHBand="0" w:firstRowFirstColumn="0" w:firstRowLastColumn="0" w:lastRowFirstColumn="0" w:lastRowLastColumn="0"/>
            <w:tcW w:w="622" w:type="pct"/>
          </w:tcPr>
          <w:p w14:paraId="43F73A6B" w14:textId="77777777" w:rsidR="00AB6753" w:rsidRPr="00054A67" w:rsidRDefault="00AB6753" w:rsidP="002D1EA4">
            <w:pPr>
              <w:keepNext/>
              <w:keepLines/>
              <w:spacing w:before="40" w:after="40"/>
              <w:jc w:val="right"/>
              <w:rPr>
                <w:rFonts w:eastAsia="Times New Roman" w:cs="Times New Roman"/>
                <w:sz w:val="20"/>
                <w:szCs w:val="20"/>
              </w:rPr>
            </w:pPr>
            <w:r w:rsidRPr="00054A67">
              <w:rPr>
                <w:rFonts w:eastAsia="Times New Roman" w:cs="Times New Roman"/>
                <w:sz w:val="20"/>
                <w:szCs w:val="20"/>
              </w:rPr>
              <w:t>2018</w:t>
            </w:r>
            <w:r w:rsidRPr="00054A67">
              <w:rPr>
                <w:rFonts w:ascii="Arial Narrow" w:eastAsia="Times New Roman" w:hAnsi="Arial Narrow" w:cs="Times New Roman"/>
                <w:bCs/>
                <w:sz w:val="20"/>
              </w:rPr>
              <w:t>–</w:t>
            </w:r>
            <w:r w:rsidRPr="00054A67">
              <w:rPr>
                <w:rFonts w:eastAsia="Times New Roman" w:cs="Times New Roman"/>
                <w:sz w:val="20"/>
                <w:szCs w:val="20"/>
              </w:rPr>
              <w:t>19</w:t>
            </w:r>
          </w:p>
        </w:tc>
      </w:tr>
      <w:tr w:rsidR="00AB6753" w14:paraId="2EB88C33" w14:textId="77777777" w:rsidTr="002D1EA4">
        <w:trPr>
          <w:trHeight w:val="317"/>
        </w:trPr>
        <w:tc>
          <w:tcPr>
            <w:cnfStyle w:val="000010000000" w:firstRow="0" w:lastRow="0" w:firstColumn="0" w:lastColumn="0" w:oddVBand="1" w:evenVBand="0" w:oddHBand="0" w:evenHBand="0" w:firstRowFirstColumn="0" w:firstRowLastColumn="0" w:lastRowFirstColumn="0" w:lastRowLastColumn="0"/>
            <w:tcW w:w="1944" w:type="pct"/>
            <w:noWrap/>
            <w:hideMark/>
          </w:tcPr>
          <w:p w14:paraId="6800F1B3" w14:textId="77777777" w:rsidR="00AB6753" w:rsidRPr="002A5764" w:rsidRDefault="00AB6753" w:rsidP="002D1EA4">
            <w:pPr>
              <w:keepNext/>
              <w:keepLines/>
              <w:spacing w:before="40" w:after="40"/>
              <w:rPr>
                <w:b/>
                <w:sz w:val="20"/>
                <w:szCs w:val="20"/>
              </w:rPr>
            </w:pPr>
            <w:r w:rsidRPr="002A5764">
              <w:rPr>
                <w:b/>
                <w:sz w:val="20"/>
                <w:szCs w:val="20"/>
              </w:rPr>
              <w:t>Energy efficiency</w:t>
            </w:r>
          </w:p>
        </w:tc>
        <w:tc>
          <w:tcPr>
            <w:cnfStyle w:val="000001000000" w:firstRow="0" w:lastRow="0" w:firstColumn="0" w:lastColumn="0" w:oddVBand="0" w:evenVBand="1" w:oddHBand="0" w:evenHBand="0" w:firstRowFirstColumn="0" w:firstRowLastColumn="0" w:lastRowFirstColumn="0" w:lastRowLastColumn="0"/>
            <w:tcW w:w="1808" w:type="pct"/>
            <w:noWrap/>
          </w:tcPr>
          <w:p w14:paraId="0745513F" w14:textId="77777777" w:rsidR="00AB6753" w:rsidRPr="002A5764" w:rsidRDefault="00AB6753" w:rsidP="002D1EA4">
            <w:pPr>
              <w:spacing w:before="40" w:after="40"/>
              <w:rPr>
                <w:b/>
                <w:spacing w:val="4"/>
                <w:sz w:val="20"/>
                <w:szCs w:val="20"/>
                <w:lang w:val="en-GB"/>
              </w:rPr>
            </w:pPr>
          </w:p>
        </w:tc>
        <w:tc>
          <w:tcPr>
            <w:cnfStyle w:val="000010000000" w:firstRow="0" w:lastRow="0" w:firstColumn="0" w:lastColumn="0" w:oddVBand="1" w:evenVBand="0" w:oddHBand="0" w:evenHBand="0" w:firstRowFirstColumn="0" w:firstRowLastColumn="0" w:lastRowFirstColumn="0" w:lastRowLastColumn="0"/>
            <w:tcW w:w="626" w:type="pct"/>
          </w:tcPr>
          <w:p w14:paraId="094AA2F9" w14:textId="77777777" w:rsidR="00AB6753" w:rsidRPr="002A5764" w:rsidRDefault="00AB6753" w:rsidP="002D1EA4">
            <w:pPr>
              <w:spacing w:before="40" w:after="40"/>
              <w:jc w:val="right"/>
              <w:rPr>
                <w:rFonts w:eastAsia="Cambria"/>
                <w:sz w:val="20"/>
                <w:szCs w:val="20"/>
                <w:lang w:val="en-GB"/>
              </w:rPr>
            </w:pPr>
          </w:p>
        </w:tc>
        <w:tc>
          <w:tcPr>
            <w:cnfStyle w:val="000001000000" w:firstRow="0" w:lastRow="0" w:firstColumn="0" w:lastColumn="0" w:oddVBand="0" w:evenVBand="1" w:oddHBand="0" w:evenHBand="0" w:firstRowFirstColumn="0" w:firstRowLastColumn="0" w:lastRowFirstColumn="0" w:lastRowLastColumn="0"/>
            <w:tcW w:w="622" w:type="pct"/>
          </w:tcPr>
          <w:p w14:paraId="0F5AF012" w14:textId="77777777" w:rsidR="00AB6753" w:rsidRPr="002A5764" w:rsidRDefault="00AB6753" w:rsidP="002D1EA4">
            <w:pPr>
              <w:spacing w:before="40" w:after="40"/>
              <w:jc w:val="right"/>
              <w:rPr>
                <w:rFonts w:eastAsia="Cambria"/>
                <w:sz w:val="20"/>
                <w:szCs w:val="20"/>
                <w:lang w:val="en-GB"/>
              </w:rPr>
            </w:pPr>
          </w:p>
        </w:tc>
      </w:tr>
      <w:tr w:rsidR="00AB6753" w14:paraId="775A5DBE" w14:textId="77777777" w:rsidTr="002D1EA4">
        <w:trPr>
          <w:trHeight w:val="325"/>
        </w:trPr>
        <w:tc>
          <w:tcPr>
            <w:cnfStyle w:val="000010000000" w:firstRow="0" w:lastRow="0" w:firstColumn="0" w:lastColumn="0" w:oddVBand="1" w:evenVBand="0" w:oddHBand="0" w:evenHBand="0" w:firstRowFirstColumn="0" w:firstRowLastColumn="0" w:lastRowFirstColumn="0" w:lastRowLastColumn="0"/>
            <w:tcW w:w="1944" w:type="pct"/>
            <w:noWrap/>
            <w:hideMark/>
          </w:tcPr>
          <w:p w14:paraId="78E75A10" w14:textId="77777777" w:rsidR="00AB6753" w:rsidRPr="002A5764" w:rsidRDefault="00AB6753" w:rsidP="002D1EA4">
            <w:pPr>
              <w:spacing w:before="40" w:after="40"/>
              <w:rPr>
                <w:rFonts w:eastAsia="Times New Roman"/>
                <w:sz w:val="20"/>
                <w:szCs w:val="20"/>
                <w:lang w:val="en-GB"/>
              </w:rPr>
            </w:pPr>
            <w:r w:rsidRPr="002A5764">
              <w:rPr>
                <w:sz w:val="20"/>
                <w:szCs w:val="20"/>
                <w:lang w:val="en-GB"/>
              </w:rPr>
              <w:t>Total consumption of energy in buildings</w:t>
            </w:r>
          </w:p>
        </w:tc>
        <w:tc>
          <w:tcPr>
            <w:cnfStyle w:val="000001000000" w:firstRow="0" w:lastRow="0" w:firstColumn="0" w:lastColumn="0" w:oddVBand="0" w:evenVBand="1" w:oddHBand="0" w:evenHBand="0" w:firstRowFirstColumn="0" w:firstRowLastColumn="0" w:lastRowFirstColumn="0" w:lastRowLastColumn="0"/>
            <w:tcW w:w="1808" w:type="pct"/>
            <w:noWrap/>
            <w:hideMark/>
          </w:tcPr>
          <w:p w14:paraId="5E771A56" w14:textId="77777777" w:rsidR="00AB6753" w:rsidRPr="002A5764" w:rsidRDefault="00AB6753" w:rsidP="002D1EA4">
            <w:pPr>
              <w:spacing w:before="40" w:after="40"/>
              <w:rPr>
                <w:sz w:val="20"/>
                <w:szCs w:val="20"/>
                <w:lang w:val="en-GB"/>
              </w:rPr>
            </w:pPr>
            <w:r w:rsidRPr="002A5764">
              <w:rPr>
                <w:sz w:val="20"/>
                <w:szCs w:val="20"/>
                <w:lang w:val="en-GB"/>
              </w:rPr>
              <w:t>Electricity consumption</w:t>
            </w:r>
            <w:r>
              <w:rPr>
                <w:sz w:val="20"/>
                <w:szCs w:val="20"/>
                <w:lang w:val="en-GB"/>
              </w:rPr>
              <w:t xml:space="preserve"> </w:t>
            </w:r>
            <w:r w:rsidRPr="002A5764">
              <w:rPr>
                <w:sz w:val="20"/>
                <w:szCs w:val="20"/>
                <w:lang w:val="en-GB"/>
              </w:rPr>
              <w:t>(kWh)</w:t>
            </w:r>
          </w:p>
        </w:tc>
        <w:tc>
          <w:tcPr>
            <w:cnfStyle w:val="000010000000" w:firstRow="0" w:lastRow="0" w:firstColumn="0" w:lastColumn="0" w:oddVBand="1" w:evenVBand="0" w:oddHBand="0" w:evenHBand="0" w:firstRowFirstColumn="0" w:firstRowLastColumn="0" w:lastRowFirstColumn="0" w:lastRowLastColumn="0"/>
            <w:tcW w:w="626" w:type="pct"/>
          </w:tcPr>
          <w:p w14:paraId="1A3A3F45" w14:textId="77777777" w:rsidR="00AB6753" w:rsidRPr="002A5764" w:rsidRDefault="00AB6753" w:rsidP="002D1EA4">
            <w:pPr>
              <w:spacing w:before="40" w:after="40"/>
              <w:jc w:val="right"/>
              <w:rPr>
                <w:rFonts w:eastAsia="Cambria"/>
                <w:sz w:val="20"/>
                <w:szCs w:val="20"/>
                <w:lang w:val="en-GB"/>
              </w:rPr>
            </w:pPr>
            <w:r>
              <w:rPr>
                <w:rFonts w:eastAsia="Cambria"/>
                <w:sz w:val="20"/>
                <w:szCs w:val="20"/>
                <w:lang w:val="en-GB"/>
              </w:rPr>
              <w:t>2,510,556</w:t>
            </w:r>
          </w:p>
        </w:tc>
        <w:tc>
          <w:tcPr>
            <w:cnfStyle w:val="000001000000" w:firstRow="0" w:lastRow="0" w:firstColumn="0" w:lastColumn="0" w:oddVBand="0" w:evenVBand="1" w:oddHBand="0" w:evenHBand="0" w:firstRowFirstColumn="0" w:firstRowLastColumn="0" w:lastRowFirstColumn="0" w:lastRowLastColumn="0"/>
            <w:tcW w:w="622" w:type="pct"/>
          </w:tcPr>
          <w:p w14:paraId="4799EE5E" w14:textId="77777777" w:rsidR="00AB6753" w:rsidRPr="002A5764" w:rsidRDefault="00AB6753" w:rsidP="002D1EA4">
            <w:pPr>
              <w:spacing w:before="40" w:after="40"/>
              <w:jc w:val="right"/>
              <w:rPr>
                <w:rFonts w:eastAsia="Cambria"/>
                <w:sz w:val="20"/>
                <w:szCs w:val="20"/>
                <w:lang w:val="en-GB"/>
              </w:rPr>
            </w:pPr>
            <w:r w:rsidRPr="002A5764">
              <w:rPr>
                <w:rFonts w:eastAsia="Cambria"/>
                <w:sz w:val="20"/>
                <w:szCs w:val="20"/>
                <w:lang w:val="en-GB"/>
              </w:rPr>
              <w:t>2,993,150</w:t>
            </w:r>
          </w:p>
        </w:tc>
      </w:tr>
      <w:tr w:rsidR="00AB6753" w14:paraId="31FD2C43" w14:textId="77777777" w:rsidTr="002D1EA4">
        <w:trPr>
          <w:trHeight w:val="270"/>
        </w:trPr>
        <w:tc>
          <w:tcPr>
            <w:cnfStyle w:val="000010000000" w:firstRow="0" w:lastRow="0" w:firstColumn="0" w:lastColumn="0" w:oddVBand="1" w:evenVBand="0" w:oddHBand="0" w:evenHBand="0" w:firstRowFirstColumn="0" w:firstRowLastColumn="0" w:lastRowFirstColumn="0" w:lastRowLastColumn="0"/>
            <w:tcW w:w="1944" w:type="pct"/>
            <w:noWrap/>
            <w:hideMark/>
          </w:tcPr>
          <w:p w14:paraId="60CB3ACE" w14:textId="77777777" w:rsidR="00AB6753" w:rsidRPr="008B15CA" w:rsidRDefault="00AB6753" w:rsidP="002D1EA4">
            <w:pPr>
              <w:spacing w:before="40" w:after="40"/>
              <w:rPr>
                <w:rFonts w:eastAsia="Times New Roman"/>
                <w:sz w:val="20"/>
                <w:szCs w:val="20"/>
                <w:vertAlign w:val="superscript"/>
                <w:lang w:val="en-GB"/>
              </w:rPr>
            </w:pPr>
            <w:r w:rsidRPr="008B15CA">
              <w:rPr>
                <w:sz w:val="20"/>
                <w:szCs w:val="20"/>
                <w:lang w:val="en-GB"/>
              </w:rPr>
              <w:t>Total consumption of energy in vehicles</w:t>
            </w:r>
          </w:p>
        </w:tc>
        <w:tc>
          <w:tcPr>
            <w:cnfStyle w:val="000001000000" w:firstRow="0" w:lastRow="0" w:firstColumn="0" w:lastColumn="0" w:oddVBand="0" w:evenVBand="1" w:oddHBand="0" w:evenHBand="0" w:firstRowFirstColumn="0" w:firstRowLastColumn="0" w:lastRowFirstColumn="0" w:lastRowLastColumn="0"/>
            <w:tcW w:w="1808" w:type="pct"/>
            <w:noWrap/>
            <w:hideMark/>
          </w:tcPr>
          <w:p w14:paraId="6F9BE98B" w14:textId="77777777" w:rsidR="00AB6753" w:rsidRPr="008B15CA" w:rsidRDefault="00AB6753" w:rsidP="002D1EA4">
            <w:pPr>
              <w:spacing w:before="40" w:after="40"/>
              <w:rPr>
                <w:sz w:val="20"/>
                <w:szCs w:val="20"/>
                <w:lang w:val="en-GB"/>
              </w:rPr>
            </w:pPr>
            <w:r w:rsidRPr="008B15CA">
              <w:rPr>
                <w:sz w:val="20"/>
                <w:szCs w:val="20"/>
                <w:lang w:val="en-GB"/>
              </w:rPr>
              <w:t>Diesel (L)</w:t>
            </w:r>
            <w:r w:rsidRPr="008B15CA">
              <w:rPr>
                <w:sz w:val="20"/>
                <w:szCs w:val="20"/>
                <w:vertAlign w:val="superscript"/>
                <w:lang w:val="en-GB"/>
              </w:rPr>
              <w:t xml:space="preserve"> </w:t>
            </w:r>
          </w:p>
        </w:tc>
        <w:tc>
          <w:tcPr>
            <w:cnfStyle w:val="000010000000" w:firstRow="0" w:lastRow="0" w:firstColumn="0" w:lastColumn="0" w:oddVBand="1" w:evenVBand="0" w:oddHBand="0" w:evenHBand="0" w:firstRowFirstColumn="0" w:firstRowLastColumn="0" w:lastRowFirstColumn="0" w:lastRowLastColumn="0"/>
            <w:tcW w:w="626" w:type="pct"/>
          </w:tcPr>
          <w:p w14:paraId="4B5B6B3D" w14:textId="77777777" w:rsidR="00AB6753" w:rsidRPr="008B15CA" w:rsidRDefault="00AB6753" w:rsidP="002D1EA4">
            <w:pPr>
              <w:spacing w:before="40" w:after="40"/>
              <w:jc w:val="right"/>
              <w:rPr>
                <w:rFonts w:eastAsia="Cambria"/>
                <w:sz w:val="20"/>
                <w:szCs w:val="20"/>
                <w:lang w:val="en-GB"/>
              </w:rPr>
            </w:pPr>
            <w:r>
              <w:rPr>
                <w:rFonts w:eastAsia="Cambria"/>
                <w:sz w:val="20"/>
                <w:szCs w:val="20"/>
                <w:lang w:val="en-GB"/>
              </w:rPr>
              <w:t>9,855</w:t>
            </w:r>
          </w:p>
        </w:tc>
        <w:tc>
          <w:tcPr>
            <w:cnfStyle w:val="000001000000" w:firstRow="0" w:lastRow="0" w:firstColumn="0" w:lastColumn="0" w:oddVBand="0" w:evenVBand="1" w:oddHBand="0" w:evenHBand="0" w:firstRowFirstColumn="0" w:firstRowLastColumn="0" w:lastRowFirstColumn="0" w:lastRowLastColumn="0"/>
            <w:tcW w:w="622" w:type="pct"/>
          </w:tcPr>
          <w:p w14:paraId="0D2DD2D0" w14:textId="77777777" w:rsidR="00AB6753" w:rsidRPr="008B15CA" w:rsidRDefault="00AB6753" w:rsidP="002D1EA4">
            <w:pPr>
              <w:spacing w:before="40" w:after="40"/>
              <w:jc w:val="right"/>
              <w:rPr>
                <w:rFonts w:eastAsia="Cambria"/>
                <w:sz w:val="20"/>
                <w:szCs w:val="20"/>
                <w:lang w:val="en-GB"/>
              </w:rPr>
            </w:pPr>
            <w:r w:rsidRPr="008B15CA">
              <w:rPr>
                <w:rFonts w:eastAsia="Cambria"/>
                <w:sz w:val="20"/>
                <w:szCs w:val="20"/>
                <w:lang w:val="en-GB"/>
              </w:rPr>
              <w:t>16,258</w:t>
            </w:r>
          </w:p>
        </w:tc>
      </w:tr>
      <w:tr w:rsidR="00AB6753" w14:paraId="26D78864" w14:textId="77777777" w:rsidTr="002D1EA4">
        <w:trPr>
          <w:trHeight w:val="270"/>
        </w:trPr>
        <w:tc>
          <w:tcPr>
            <w:cnfStyle w:val="000010000000" w:firstRow="0" w:lastRow="0" w:firstColumn="0" w:lastColumn="0" w:oddVBand="1" w:evenVBand="0" w:oddHBand="0" w:evenHBand="0" w:firstRowFirstColumn="0" w:firstRowLastColumn="0" w:lastRowFirstColumn="0" w:lastRowLastColumn="0"/>
            <w:tcW w:w="1944" w:type="pct"/>
            <w:noWrap/>
          </w:tcPr>
          <w:p w14:paraId="5897D0BE" w14:textId="77777777" w:rsidR="00AB6753" w:rsidRPr="008B15CA" w:rsidRDefault="00AB6753" w:rsidP="002D1EA4">
            <w:pPr>
              <w:spacing w:before="40" w:after="40"/>
              <w:rPr>
                <w:rFonts w:eastAsia="Times New Roman"/>
                <w:sz w:val="20"/>
                <w:szCs w:val="20"/>
                <w:lang w:val="en-GB"/>
              </w:rPr>
            </w:pPr>
          </w:p>
        </w:tc>
        <w:tc>
          <w:tcPr>
            <w:cnfStyle w:val="000001000000" w:firstRow="0" w:lastRow="0" w:firstColumn="0" w:lastColumn="0" w:oddVBand="0" w:evenVBand="1" w:oddHBand="0" w:evenHBand="0" w:firstRowFirstColumn="0" w:firstRowLastColumn="0" w:lastRowFirstColumn="0" w:lastRowLastColumn="0"/>
            <w:tcW w:w="1808" w:type="pct"/>
            <w:noWrap/>
            <w:hideMark/>
          </w:tcPr>
          <w:p w14:paraId="532FF106" w14:textId="77777777" w:rsidR="00AB6753" w:rsidRPr="008B15CA" w:rsidRDefault="00AB6753" w:rsidP="002D1EA4">
            <w:pPr>
              <w:spacing w:before="40" w:after="40"/>
              <w:rPr>
                <w:sz w:val="20"/>
                <w:szCs w:val="20"/>
                <w:lang w:val="en-GB"/>
              </w:rPr>
            </w:pPr>
            <w:r w:rsidRPr="008B15CA">
              <w:rPr>
                <w:sz w:val="20"/>
                <w:szCs w:val="20"/>
                <w:lang w:val="en-GB"/>
              </w:rPr>
              <w:t>E10 (Biofuel) (L)</w:t>
            </w:r>
          </w:p>
        </w:tc>
        <w:tc>
          <w:tcPr>
            <w:cnfStyle w:val="000010000000" w:firstRow="0" w:lastRow="0" w:firstColumn="0" w:lastColumn="0" w:oddVBand="1" w:evenVBand="0" w:oddHBand="0" w:evenHBand="0" w:firstRowFirstColumn="0" w:firstRowLastColumn="0" w:lastRowFirstColumn="0" w:lastRowLastColumn="0"/>
            <w:tcW w:w="626" w:type="pct"/>
          </w:tcPr>
          <w:p w14:paraId="713E5183" w14:textId="77777777" w:rsidR="00AB6753" w:rsidRPr="008B15CA" w:rsidRDefault="00AB6753" w:rsidP="002D1EA4">
            <w:pPr>
              <w:spacing w:before="40" w:after="40"/>
              <w:jc w:val="right"/>
              <w:rPr>
                <w:rFonts w:eastAsia="Cambria"/>
                <w:sz w:val="20"/>
                <w:szCs w:val="20"/>
                <w:lang w:val="en-GB"/>
              </w:rPr>
            </w:pPr>
            <w:r>
              <w:rPr>
                <w:rFonts w:eastAsia="Cambria"/>
                <w:sz w:val="20"/>
                <w:szCs w:val="20"/>
                <w:lang w:val="en-GB"/>
              </w:rPr>
              <w:t>2,848</w:t>
            </w:r>
          </w:p>
        </w:tc>
        <w:tc>
          <w:tcPr>
            <w:cnfStyle w:val="000001000000" w:firstRow="0" w:lastRow="0" w:firstColumn="0" w:lastColumn="0" w:oddVBand="0" w:evenVBand="1" w:oddHBand="0" w:evenHBand="0" w:firstRowFirstColumn="0" w:firstRowLastColumn="0" w:lastRowFirstColumn="0" w:lastRowLastColumn="0"/>
            <w:tcW w:w="622" w:type="pct"/>
          </w:tcPr>
          <w:p w14:paraId="7ECA02BA" w14:textId="77777777" w:rsidR="00AB6753" w:rsidRPr="008B15CA" w:rsidRDefault="00AB6753" w:rsidP="002D1EA4">
            <w:pPr>
              <w:spacing w:before="40" w:after="40"/>
              <w:jc w:val="right"/>
              <w:rPr>
                <w:rFonts w:eastAsia="Cambria"/>
                <w:sz w:val="20"/>
                <w:szCs w:val="20"/>
                <w:lang w:val="en-GB"/>
              </w:rPr>
            </w:pPr>
            <w:r w:rsidRPr="008B15CA">
              <w:rPr>
                <w:rFonts w:eastAsia="Cambria"/>
                <w:sz w:val="20"/>
                <w:szCs w:val="20"/>
                <w:lang w:val="en-GB"/>
              </w:rPr>
              <w:t>3,524</w:t>
            </w:r>
          </w:p>
        </w:tc>
      </w:tr>
      <w:tr w:rsidR="00AB6753" w14:paraId="5C6AEE62" w14:textId="77777777" w:rsidTr="002D1EA4">
        <w:trPr>
          <w:trHeight w:val="270"/>
        </w:trPr>
        <w:tc>
          <w:tcPr>
            <w:cnfStyle w:val="000010000000" w:firstRow="0" w:lastRow="0" w:firstColumn="0" w:lastColumn="0" w:oddVBand="1" w:evenVBand="0" w:oddHBand="0" w:evenHBand="0" w:firstRowFirstColumn="0" w:firstRowLastColumn="0" w:lastRowFirstColumn="0" w:lastRowLastColumn="0"/>
            <w:tcW w:w="1944" w:type="pct"/>
            <w:noWrap/>
          </w:tcPr>
          <w:p w14:paraId="359830AE" w14:textId="77777777" w:rsidR="00AB6753" w:rsidRPr="008B15CA" w:rsidRDefault="00AB6753" w:rsidP="002D1EA4">
            <w:pPr>
              <w:spacing w:before="40" w:after="40"/>
              <w:rPr>
                <w:rFonts w:eastAsia="Times New Roman"/>
                <w:sz w:val="20"/>
                <w:szCs w:val="20"/>
                <w:lang w:val="en-GB"/>
              </w:rPr>
            </w:pPr>
          </w:p>
        </w:tc>
        <w:tc>
          <w:tcPr>
            <w:cnfStyle w:val="000001000000" w:firstRow="0" w:lastRow="0" w:firstColumn="0" w:lastColumn="0" w:oddVBand="0" w:evenVBand="1" w:oddHBand="0" w:evenHBand="0" w:firstRowFirstColumn="0" w:firstRowLastColumn="0" w:lastRowFirstColumn="0" w:lastRowLastColumn="0"/>
            <w:tcW w:w="1808" w:type="pct"/>
            <w:noWrap/>
            <w:hideMark/>
          </w:tcPr>
          <w:p w14:paraId="2A906093" w14:textId="77777777" w:rsidR="00AB6753" w:rsidRPr="008B15CA" w:rsidRDefault="00AB6753" w:rsidP="002D1EA4">
            <w:pPr>
              <w:spacing w:before="40" w:after="40"/>
              <w:rPr>
                <w:sz w:val="20"/>
                <w:szCs w:val="20"/>
                <w:lang w:val="en-GB"/>
              </w:rPr>
            </w:pPr>
            <w:r w:rsidRPr="008B15CA">
              <w:rPr>
                <w:sz w:val="20"/>
                <w:szCs w:val="20"/>
                <w:lang w:val="en-GB"/>
              </w:rPr>
              <w:t>Unleaded petrol (L)</w:t>
            </w:r>
          </w:p>
        </w:tc>
        <w:tc>
          <w:tcPr>
            <w:cnfStyle w:val="000010000000" w:firstRow="0" w:lastRow="0" w:firstColumn="0" w:lastColumn="0" w:oddVBand="1" w:evenVBand="0" w:oddHBand="0" w:evenHBand="0" w:firstRowFirstColumn="0" w:firstRowLastColumn="0" w:lastRowFirstColumn="0" w:lastRowLastColumn="0"/>
            <w:tcW w:w="626" w:type="pct"/>
          </w:tcPr>
          <w:p w14:paraId="7FD5A750" w14:textId="77777777" w:rsidR="00AB6753" w:rsidRPr="008B15CA" w:rsidRDefault="00AB6753" w:rsidP="002D1EA4">
            <w:pPr>
              <w:spacing w:before="40" w:after="40"/>
              <w:jc w:val="right"/>
              <w:rPr>
                <w:rFonts w:eastAsia="Cambria"/>
                <w:sz w:val="20"/>
                <w:szCs w:val="20"/>
                <w:lang w:val="en-GB"/>
              </w:rPr>
            </w:pPr>
            <w:r>
              <w:rPr>
                <w:rFonts w:eastAsia="Cambria"/>
                <w:sz w:val="20"/>
                <w:szCs w:val="20"/>
                <w:lang w:val="en-GB"/>
              </w:rPr>
              <w:t>9,369</w:t>
            </w:r>
          </w:p>
        </w:tc>
        <w:tc>
          <w:tcPr>
            <w:cnfStyle w:val="000001000000" w:firstRow="0" w:lastRow="0" w:firstColumn="0" w:lastColumn="0" w:oddVBand="0" w:evenVBand="1" w:oddHBand="0" w:evenHBand="0" w:firstRowFirstColumn="0" w:firstRowLastColumn="0" w:lastRowFirstColumn="0" w:lastRowLastColumn="0"/>
            <w:tcW w:w="622" w:type="pct"/>
          </w:tcPr>
          <w:p w14:paraId="4280A5F1" w14:textId="77777777" w:rsidR="00AB6753" w:rsidRPr="008B15CA" w:rsidRDefault="00AB6753" w:rsidP="002D1EA4">
            <w:pPr>
              <w:spacing w:before="40" w:after="40"/>
              <w:jc w:val="right"/>
              <w:rPr>
                <w:rFonts w:eastAsia="Cambria"/>
                <w:sz w:val="20"/>
                <w:szCs w:val="20"/>
                <w:lang w:val="en-GB"/>
              </w:rPr>
            </w:pPr>
            <w:r w:rsidRPr="008B15CA">
              <w:rPr>
                <w:rFonts w:eastAsia="Cambria"/>
                <w:sz w:val="20"/>
                <w:szCs w:val="20"/>
                <w:lang w:val="en-GB"/>
              </w:rPr>
              <w:t>10,082</w:t>
            </w:r>
          </w:p>
        </w:tc>
      </w:tr>
      <w:tr w:rsidR="00AB6753" w14:paraId="66EB722C" w14:textId="77777777" w:rsidTr="002D1EA4">
        <w:trPr>
          <w:trHeight w:val="270"/>
        </w:trPr>
        <w:tc>
          <w:tcPr>
            <w:cnfStyle w:val="000010000000" w:firstRow="0" w:lastRow="0" w:firstColumn="0" w:lastColumn="0" w:oddVBand="1" w:evenVBand="0" w:oddHBand="0" w:evenHBand="0" w:firstRowFirstColumn="0" w:firstRowLastColumn="0" w:lastRowFirstColumn="0" w:lastRowLastColumn="0"/>
            <w:tcW w:w="1944" w:type="pct"/>
            <w:noWrap/>
            <w:hideMark/>
          </w:tcPr>
          <w:p w14:paraId="0D480BA8" w14:textId="77777777" w:rsidR="00AB6753" w:rsidRPr="008B15CA" w:rsidRDefault="00AB6753" w:rsidP="002D1EA4">
            <w:pPr>
              <w:spacing w:before="40" w:after="40"/>
              <w:rPr>
                <w:rFonts w:eastAsia="Times New Roman"/>
                <w:sz w:val="20"/>
                <w:szCs w:val="20"/>
                <w:lang w:val="en-GB"/>
              </w:rPr>
            </w:pPr>
            <w:r w:rsidRPr="008B15CA">
              <w:rPr>
                <w:sz w:val="20"/>
                <w:szCs w:val="20"/>
                <w:lang w:val="en-GB"/>
              </w:rPr>
              <w:t>Total vehicle distance travelled</w:t>
            </w:r>
          </w:p>
        </w:tc>
        <w:tc>
          <w:tcPr>
            <w:cnfStyle w:val="000001000000" w:firstRow="0" w:lastRow="0" w:firstColumn="0" w:lastColumn="0" w:oddVBand="0" w:evenVBand="1" w:oddHBand="0" w:evenHBand="0" w:firstRowFirstColumn="0" w:firstRowLastColumn="0" w:lastRowFirstColumn="0" w:lastRowLastColumn="0"/>
            <w:tcW w:w="1808" w:type="pct"/>
            <w:noWrap/>
            <w:hideMark/>
          </w:tcPr>
          <w:p w14:paraId="1FF3EEA5" w14:textId="77777777" w:rsidR="00AB6753" w:rsidRPr="008B15CA" w:rsidRDefault="00AB6753" w:rsidP="002D1EA4">
            <w:pPr>
              <w:spacing w:before="40" w:after="40"/>
              <w:rPr>
                <w:sz w:val="20"/>
                <w:szCs w:val="20"/>
                <w:lang w:val="en-GB"/>
              </w:rPr>
            </w:pPr>
            <w:r w:rsidRPr="008B15CA">
              <w:rPr>
                <w:sz w:val="20"/>
                <w:szCs w:val="20"/>
                <w:lang w:val="en-GB"/>
              </w:rPr>
              <w:t>Motor vehicle distance travelled (km)</w:t>
            </w:r>
          </w:p>
        </w:tc>
        <w:tc>
          <w:tcPr>
            <w:cnfStyle w:val="000010000000" w:firstRow="0" w:lastRow="0" w:firstColumn="0" w:lastColumn="0" w:oddVBand="1" w:evenVBand="0" w:oddHBand="0" w:evenHBand="0" w:firstRowFirstColumn="0" w:firstRowLastColumn="0" w:lastRowFirstColumn="0" w:lastRowLastColumn="0"/>
            <w:tcW w:w="626" w:type="pct"/>
          </w:tcPr>
          <w:p w14:paraId="6C16F5C6" w14:textId="77777777" w:rsidR="00AB6753" w:rsidRPr="008B15CA" w:rsidRDefault="00AB6753" w:rsidP="002D1EA4">
            <w:pPr>
              <w:spacing w:before="40" w:after="40"/>
              <w:jc w:val="right"/>
              <w:rPr>
                <w:rFonts w:eastAsia="Cambria"/>
                <w:sz w:val="20"/>
                <w:szCs w:val="20"/>
                <w:lang w:val="en-GB"/>
              </w:rPr>
            </w:pPr>
            <w:r>
              <w:rPr>
                <w:rFonts w:eastAsia="Cambria"/>
                <w:sz w:val="20"/>
                <w:szCs w:val="20"/>
                <w:lang w:val="en-GB"/>
              </w:rPr>
              <w:t>270,408</w:t>
            </w:r>
          </w:p>
        </w:tc>
        <w:tc>
          <w:tcPr>
            <w:cnfStyle w:val="000001000000" w:firstRow="0" w:lastRow="0" w:firstColumn="0" w:lastColumn="0" w:oddVBand="0" w:evenVBand="1" w:oddHBand="0" w:evenHBand="0" w:firstRowFirstColumn="0" w:firstRowLastColumn="0" w:lastRowFirstColumn="0" w:lastRowLastColumn="0"/>
            <w:tcW w:w="622" w:type="pct"/>
          </w:tcPr>
          <w:p w14:paraId="47DF91DC" w14:textId="77777777" w:rsidR="00AB6753" w:rsidRPr="008B15CA" w:rsidRDefault="00AB6753" w:rsidP="002D1EA4">
            <w:pPr>
              <w:spacing w:before="40" w:after="40"/>
              <w:jc w:val="right"/>
              <w:rPr>
                <w:rFonts w:eastAsia="Cambria"/>
                <w:sz w:val="20"/>
                <w:szCs w:val="20"/>
                <w:lang w:val="en-GB"/>
              </w:rPr>
            </w:pPr>
            <w:r w:rsidRPr="008B15CA">
              <w:rPr>
                <w:rFonts w:eastAsia="Cambria"/>
                <w:sz w:val="20"/>
                <w:szCs w:val="20"/>
                <w:lang w:val="en-GB"/>
              </w:rPr>
              <w:t>389,042</w:t>
            </w:r>
          </w:p>
        </w:tc>
      </w:tr>
      <w:tr w:rsidR="00AB6753" w14:paraId="2D2C0524" w14:textId="77777777" w:rsidTr="002D1EA4">
        <w:trPr>
          <w:trHeight w:val="270"/>
        </w:trPr>
        <w:tc>
          <w:tcPr>
            <w:cnfStyle w:val="000010000000" w:firstRow="0" w:lastRow="0" w:firstColumn="0" w:lastColumn="0" w:oddVBand="1" w:evenVBand="0" w:oddHBand="0" w:evenHBand="0" w:firstRowFirstColumn="0" w:firstRowLastColumn="0" w:lastRowFirstColumn="0" w:lastRowLastColumn="0"/>
            <w:tcW w:w="1944" w:type="pct"/>
            <w:noWrap/>
            <w:hideMark/>
          </w:tcPr>
          <w:p w14:paraId="7187E63C" w14:textId="77777777" w:rsidR="00AB6753" w:rsidRPr="002A5764" w:rsidRDefault="00AB6753" w:rsidP="002D1EA4">
            <w:pPr>
              <w:spacing w:before="40" w:after="40"/>
              <w:rPr>
                <w:rFonts w:eastAsia="Times New Roman"/>
                <w:sz w:val="20"/>
                <w:szCs w:val="20"/>
                <w:lang w:val="en-GB"/>
              </w:rPr>
            </w:pPr>
            <w:r w:rsidRPr="002A5764">
              <w:rPr>
                <w:sz w:val="20"/>
                <w:szCs w:val="20"/>
                <w:lang w:val="en-GB"/>
              </w:rPr>
              <w:t>Total air travel distance</w:t>
            </w:r>
          </w:p>
        </w:tc>
        <w:tc>
          <w:tcPr>
            <w:cnfStyle w:val="000001000000" w:firstRow="0" w:lastRow="0" w:firstColumn="0" w:lastColumn="0" w:oddVBand="0" w:evenVBand="1" w:oddHBand="0" w:evenHBand="0" w:firstRowFirstColumn="0" w:firstRowLastColumn="0" w:lastRowFirstColumn="0" w:lastRowLastColumn="0"/>
            <w:tcW w:w="1808" w:type="pct"/>
            <w:noWrap/>
            <w:hideMark/>
          </w:tcPr>
          <w:p w14:paraId="05988D5A" w14:textId="77777777" w:rsidR="00AB6753" w:rsidRPr="002A5764" w:rsidRDefault="00AB6753" w:rsidP="002D1EA4">
            <w:pPr>
              <w:spacing w:before="40" w:after="40"/>
              <w:rPr>
                <w:sz w:val="20"/>
                <w:szCs w:val="20"/>
                <w:vertAlign w:val="superscript"/>
                <w:lang w:val="en-GB"/>
              </w:rPr>
            </w:pPr>
            <w:r w:rsidRPr="002A5764">
              <w:rPr>
                <w:sz w:val="20"/>
                <w:szCs w:val="20"/>
                <w:lang w:val="en-GB"/>
              </w:rPr>
              <w:t>Air travel distance (km)</w:t>
            </w:r>
          </w:p>
        </w:tc>
        <w:tc>
          <w:tcPr>
            <w:cnfStyle w:val="000010000000" w:firstRow="0" w:lastRow="0" w:firstColumn="0" w:lastColumn="0" w:oddVBand="1" w:evenVBand="0" w:oddHBand="0" w:evenHBand="0" w:firstRowFirstColumn="0" w:firstRowLastColumn="0" w:lastRowFirstColumn="0" w:lastRowLastColumn="0"/>
            <w:tcW w:w="626" w:type="pct"/>
          </w:tcPr>
          <w:p w14:paraId="48736B6B" w14:textId="77777777" w:rsidR="00AB6753" w:rsidRPr="002A5764" w:rsidRDefault="00AB6753" w:rsidP="002D1EA4">
            <w:pPr>
              <w:spacing w:before="40" w:after="40"/>
              <w:jc w:val="right"/>
              <w:rPr>
                <w:rFonts w:eastAsia="Cambria"/>
                <w:sz w:val="20"/>
                <w:szCs w:val="20"/>
                <w:lang w:val="en-GB"/>
              </w:rPr>
            </w:pPr>
            <w:r>
              <w:rPr>
                <w:rFonts w:eastAsia="Cambria"/>
                <w:sz w:val="20"/>
                <w:szCs w:val="20"/>
                <w:lang w:val="en-GB"/>
              </w:rPr>
              <w:t>6,159,048</w:t>
            </w:r>
          </w:p>
        </w:tc>
        <w:tc>
          <w:tcPr>
            <w:cnfStyle w:val="000001000000" w:firstRow="0" w:lastRow="0" w:firstColumn="0" w:lastColumn="0" w:oddVBand="0" w:evenVBand="1" w:oddHBand="0" w:evenHBand="0" w:firstRowFirstColumn="0" w:firstRowLastColumn="0" w:lastRowFirstColumn="0" w:lastRowLastColumn="0"/>
            <w:tcW w:w="622" w:type="pct"/>
          </w:tcPr>
          <w:p w14:paraId="0EECCAC8" w14:textId="77777777" w:rsidR="00AB6753" w:rsidRPr="002A5764" w:rsidRDefault="00AB6753" w:rsidP="002D1EA4">
            <w:pPr>
              <w:spacing w:before="40" w:after="40"/>
              <w:jc w:val="right"/>
              <w:rPr>
                <w:rFonts w:eastAsia="Cambria"/>
                <w:sz w:val="20"/>
                <w:szCs w:val="20"/>
                <w:lang w:val="en-GB"/>
              </w:rPr>
            </w:pPr>
            <w:r w:rsidRPr="002A5764">
              <w:rPr>
                <w:rFonts w:eastAsia="Cambria"/>
                <w:sz w:val="20"/>
                <w:szCs w:val="20"/>
                <w:lang w:val="en-GB"/>
              </w:rPr>
              <w:t>10,125,387</w:t>
            </w:r>
          </w:p>
        </w:tc>
      </w:tr>
      <w:tr w:rsidR="00AB6753" w14:paraId="56B2A5B5" w14:textId="77777777" w:rsidTr="002D1EA4">
        <w:trPr>
          <w:trHeight w:val="270"/>
        </w:trPr>
        <w:tc>
          <w:tcPr>
            <w:cnfStyle w:val="000010000000" w:firstRow="0" w:lastRow="0" w:firstColumn="0" w:lastColumn="0" w:oddVBand="1" w:evenVBand="0" w:oddHBand="0" w:evenHBand="0" w:firstRowFirstColumn="0" w:firstRowLastColumn="0" w:lastRowFirstColumn="0" w:lastRowLastColumn="0"/>
            <w:tcW w:w="1944" w:type="pct"/>
            <w:noWrap/>
          </w:tcPr>
          <w:p w14:paraId="0CCE0F8C" w14:textId="77777777" w:rsidR="00AB6753" w:rsidRPr="002A5764" w:rsidRDefault="00AB6753" w:rsidP="002D1EA4">
            <w:pPr>
              <w:spacing w:before="40" w:after="40"/>
              <w:rPr>
                <w:sz w:val="20"/>
                <w:szCs w:val="20"/>
                <w:lang w:val="en-GB"/>
              </w:rPr>
            </w:pPr>
            <w:r w:rsidRPr="002A5764">
              <w:rPr>
                <w:b/>
                <w:sz w:val="20"/>
                <w:szCs w:val="20"/>
              </w:rPr>
              <w:t>Waste</w:t>
            </w:r>
          </w:p>
        </w:tc>
        <w:tc>
          <w:tcPr>
            <w:cnfStyle w:val="000001000000" w:firstRow="0" w:lastRow="0" w:firstColumn="0" w:lastColumn="0" w:oddVBand="0" w:evenVBand="1" w:oddHBand="0" w:evenHBand="0" w:firstRowFirstColumn="0" w:firstRowLastColumn="0" w:lastRowFirstColumn="0" w:lastRowLastColumn="0"/>
            <w:tcW w:w="1808" w:type="pct"/>
            <w:noWrap/>
          </w:tcPr>
          <w:p w14:paraId="58371CB0" w14:textId="77777777" w:rsidR="00AB6753" w:rsidRPr="002A5764" w:rsidRDefault="00AB6753" w:rsidP="002D1EA4">
            <w:pPr>
              <w:spacing w:before="40" w:after="40"/>
              <w:rPr>
                <w:sz w:val="20"/>
                <w:szCs w:val="20"/>
                <w:lang w:val="en-GB"/>
              </w:rPr>
            </w:pPr>
          </w:p>
        </w:tc>
        <w:tc>
          <w:tcPr>
            <w:cnfStyle w:val="000010000000" w:firstRow="0" w:lastRow="0" w:firstColumn="0" w:lastColumn="0" w:oddVBand="1" w:evenVBand="0" w:oddHBand="0" w:evenHBand="0" w:firstRowFirstColumn="0" w:firstRowLastColumn="0" w:lastRowFirstColumn="0" w:lastRowLastColumn="0"/>
            <w:tcW w:w="626" w:type="pct"/>
          </w:tcPr>
          <w:p w14:paraId="555479EE" w14:textId="77777777" w:rsidR="00AB6753" w:rsidRDefault="00AB6753" w:rsidP="002D1EA4">
            <w:pPr>
              <w:spacing w:before="40" w:after="40"/>
              <w:jc w:val="right"/>
              <w:rPr>
                <w:rFonts w:eastAsia="Cambria"/>
                <w:sz w:val="20"/>
                <w:szCs w:val="20"/>
                <w:lang w:val="en-GB"/>
              </w:rPr>
            </w:pPr>
          </w:p>
        </w:tc>
        <w:tc>
          <w:tcPr>
            <w:cnfStyle w:val="000001000000" w:firstRow="0" w:lastRow="0" w:firstColumn="0" w:lastColumn="0" w:oddVBand="0" w:evenVBand="1" w:oddHBand="0" w:evenHBand="0" w:firstRowFirstColumn="0" w:firstRowLastColumn="0" w:lastRowFirstColumn="0" w:lastRowLastColumn="0"/>
            <w:tcW w:w="622" w:type="pct"/>
          </w:tcPr>
          <w:p w14:paraId="24D6922E" w14:textId="77777777" w:rsidR="00AB6753" w:rsidRPr="002A5764" w:rsidRDefault="00AB6753" w:rsidP="002D1EA4">
            <w:pPr>
              <w:spacing w:before="40" w:after="40"/>
              <w:jc w:val="right"/>
              <w:rPr>
                <w:rFonts w:eastAsia="Cambria"/>
                <w:sz w:val="20"/>
                <w:szCs w:val="20"/>
                <w:lang w:val="en-GB"/>
              </w:rPr>
            </w:pPr>
          </w:p>
        </w:tc>
      </w:tr>
      <w:tr w:rsidR="00AB6753" w14:paraId="074083EB" w14:textId="77777777" w:rsidTr="002D1EA4">
        <w:trPr>
          <w:trHeight w:val="270"/>
        </w:trPr>
        <w:tc>
          <w:tcPr>
            <w:cnfStyle w:val="000010000000" w:firstRow="0" w:lastRow="0" w:firstColumn="0" w:lastColumn="0" w:oddVBand="1" w:evenVBand="0" w:oddHBand="0" w:evenHBand="0" w:firstRowFirstColumn="0" w:firstRowLastColumn="0" w:lastRowFirstColumn="0" w:lastRowLastColumn="0"/>
            <w:tcW w:w="1944" w:type="pct"/>
            <w:noWrap/>
          </w:tcPr>
          <w:p w14:paraId="1E8BF709" w14:textId="77777777" w:rsidR="00AB6753" w:rsidRPr="002A5764" w:rsidRDefault="00AB6753" w:rsidP="002D1EA4">
            <w:pPr>
              <w:spacing w:before="40" w:after="40"/>
              <w:rPr>
                <w:sz w:val="20"/>
                <w:szCs w:val="20"/>
                <w:lang w:val="en-GB"/>
              </w:rPr>
            </w:pPr>
            <w:r w:rsidRPr="002A5764">
              <w:rPr>
                <w:sz w:val="20"/>
                <w:szCs w:val="20"/>
                <w:lang w:val="en-GB"/>
              </w:rPr>
              <w:t>Office paper waste production (National)</w:t>
            </w:r>
          </w:p>
        </w:tc>
        <w:tc>
          <w:tcPr>
            <w:cnfStyle w:val="000001000000" w:firstRow="0" w:lastRow="0" w:firstColumn="0" w:lastColumn="0" w:oddVBand="0" w:evenVBand="1" w:oddHBand="0" w:evenHBand="0" w:firstRowFirstColumn="0" w:firstRowLastColumn="0" w:lastRowFirstColumn="0" w:lastRowLastColumn="0"/>
            <w:tcW w:w="1808" w:type="pct"/>
            <w:noWrap/>
          </w:tcPr>
          <w:p w14:paraId="7A90C56B" w14:textId="77777777" w:rsidR="00AB6753" w:rsidRPr="002A5764" w:rsidRDefault="00AB6753" w:rsidP="002D1EA4">
            <w:pPr>
              <w:spacing w:before="40" w:after="40"/>
              <w:rPr>
                <w:sz w:val="20"/>
                <w:szCs w:val="20"/>
                <w:lang w:val="en-GB"/>
              </w:rPr>
            </w:pPr>
            <w:r w:rsidRPr="002A5764">
              <w:rPr>
                <w:sz w:val="20"/>
                <w:szCs w:val="20"/>
                <w:lang w:val="en-GB"/>
              </w:rPr>
              <w:t>Waste</w:t>
            </w:r>
            <w:r>
              <w:rPr>
                <w:sz w:val="20"/>
                <w:szCs w:val="20"/>
                <w:lang w:val="en-GB"/>
              </w:rPr>
              <w:t>-</w:t>
            </w:r>
            <w:r w:rsidRPr="002A5764">
              <w:rPr>
                <w:sz w:val="20"/>
                <w:szCs w:val="20"/>
                <w:lang w:val="en-GB"/>
              </w:rPr>
              <w:t>paper to recycling facilities (tonnes)</w:t>
            </w:r>
          </w:p>
        </w:tc>
        <w:tc>
          <w:tcPr>
            <w:cnfStyle w:val="000010000000" w:firstRow="0" w:lastRow="0" w:firstColumn="0" w:lastColumn="0" w:oddVBand="1" w:evenVBand="0" w:oddHBand="0" w:evenHBand="0" w:firstRowFirstColumn="0" w:firstRowLastColumn="0" w:lastRowFirstColumn="0" w:lastRowLastColumn="0"/>
            <w:tcW w:w="626" w:type="pct"/>
          </w:tcPr>
          <w:p w14:paraId="1EF2A012" w14:textId="77777777" w:rsidR="00AB6753" w:rsidRDefault="00AB6753" w:rsidP="002D1EA4">
            <w:pPr>
              <w:spacing w:before="40" w:after="40"/>
              <w:jc w:val="right"/>
              <w:rPr>
                <w:rFonts w:eastAsia="Cambria"/>
                <w:sz w:val="20"/>
                <w:szCs w:val="20"/>
                <w:lang w:val="en-GB"/>
              </w:rPr>
            </w:pPr>
            <w:r>
              <w:rPr>
                <w:rFonts w:eastAsia="Cambria"/>
                <w:sz w:val="20"/>
                <w:szCs w:val="20"/>
                <w:lang w:val="en-GB"/>
              </w:rPr>
              <w:t>149</w:t>
            </w:r>
          </w:p>
        </w:tc>
        <w:tc>
          <w:tcPr>
            <w:cnfStyle w:val="000001000000" w:firstRow="0" w:lastRow="0" w:firstColumn="0" w:lastColumn="0" w:oddVBand="0" w:evenVBand="1" w:oddHBand="0" w:evenHBand="0" w:firstRowFirstColumn="0" w:firstRowLastColumn="0" w:lastRowFirstColumn="0" w:lastRowLastColumn="0"/>
            <w:tcW w:w="622" w:type="pct"/>
          </w:tcPr>
          <w:p w14:paraId="5CF3924D" w14:textId="77777777" w:rsidR="00AB6753" w:rsidRPr="002A5764" w:rsidRDefault="00AB6753" w:rsidP="002D1EA4">
            <w:pPr>
              <w:spacing w:before="40" w:after="40"/>
              <w:jc w:val="right"/>
              <w:rPr>
                <w:rFonts w:eastAsia="Cambria"/>
                <w:sz w:val="20"/>
                <w:szCs w:val="20"/>
                <w:lang w:val="en-GB"/>
              </w:rPr>
            </w:pPr>
            <w:r w:rsidRPr="002A5764">
              <w:rPr>
                <w:rFonts w:eastAsia="Cambria"/>
                <w:sz w:val="20"/>
                <w:szCs w:val="20"/>
                <w:lang w:val="en-GB"/>
              </w:rPr>
              <w:t>165.8</w:t>
            </w:r>
          </w:p>
        </w:tc>
      </w:tr>
      <w:tr w:rsidR="00AB6753" w14:paraId="45DD77F8" w14:textId="77777777" w:rsidTr="002D1EA4">
        <w:trPr>
          <w:trHeight w:val="270"/>
        </w:trPr>
        <w:tc>
          <w:tcPr>
            <w:cnfStyle w:val="000010000000" w:firstRow="0" w:lastRow="0" w:firstColumn="0" w:lastColumn="0" w:oddVBand="1" w:evenVBand="0" w:oddHBand="0" w:evenHBand="0" w:firstRowFirstColumn="0" w:firstRowLastColumn="0" w:lastRowFirstColumn="0" w:lastRowLastColumn="0"/>
            <w:tcW w:w="1944" w:type="pct"/>
            <w:noWrap/>
          </w:tcPr>
          <w:p w14:paraId="51119015" w14:textId="77777777" w:rsidR="00AB6753" w:rsidRPr="002A5764" w:rsidRDefault="00AB6753" w:rsidP="002D1EA4">
            <w:pPr>
              <w:spacing w:before="40" w:after="40"/>
              <w:rPr>
                <w:sz w:val="20"/>
                <w:szCs w:val="20"/>
                <w:lang w:val="en-GB"/>
              </w:rPr>
            </w:pPr>
            <w:r w:rsidRPr="002A5764">
              <w:rPr>
                <w:sz w:val="20"/>
                <w:szCs w:val="20"/>
                <w:lang w:val="en-GB"/>
              </w:rPr>
              <w:t xml:space="preserve">Commingled </w:t>
            </w:r>
            <w:r>
              <w:rPr>
                <w:sz w:val="20"/>
                <w:szCs w:val="20"/>
                <w:lang w:val="en-GB"/>
              </w:rPr>
              <w:t>r</w:t>
            </w:r>
            <w:r w:rsidRPr="002A5764">
              <w:rPr>
                <w:sz w:val="20"/>
                <w:szCs w:val="20"/>
                <w:lang w:val="en-GB"/>
              </w:rPr>
              <w:t>ecycling (including cardboard but excluding office paper)</w:t>
            </w:r>
            <w:r>
              <w:rPr>
                <w:sz w:val="20"/>
                <w:szCs w:val="20"/>
                <w:lang w:val="en-GB"/>
              </w:rPr>
              <w:br/>
            </w:r>
            <w:r w:rsidRPr="002A5764">
              <w:rPr>
                <w:sz w:val="20"/>
                <w:szCs w:val="20"/>
                <w:lang w:val="en-GB"/>
              </w:rPr>
              <w:t>(Canberra Sites – sole tenant)</w:t>
            </w:r>
          </w:p>
        </w:tc>
        <w:tc>
          <w:tcPr>
            <w:cnfStyle w:val="000001000000" w:firstRow="0" w:lastRow="0" w:firstColumn="0" w:lastColumn="0" w:oddVBand="0" w:evenVBand="1" w:oddHBand="0" w:evenHBand="0" w:firstRowFirstColumn="0" w:firstRowLastColumn="0" w:lastRowFirstColumn="0" w:lastRowLastColumn="0"/>
            <w:tcW w:w="1808" w:type="pct"/>
            <w:noWrap/>
          </w:tcPr>
          <w:p w14:paraId="29D15AEF" w14:textId="77777777" w:rsidR="00AB6753" w:rsidRPr="002A5764" w:rsidRDefault="00AB6753" w:rsidP="002D1EA4">
            <w:pPr>
              <w:spacing w:before="40" w:after="40"/>
              <w:rPr>
                <w:sz w:val="20"/>
                <w:szCs w:val="20"/>
                <w:lang w:val="en-GB"/>
              </w:rPr>
            </w:pPr>
            <w:r w:rsidRPr="002A5764">
              <w:rPr>
                <w:sz w:val="20"/>
                <w:szCs w:val="20"/>
                <w:lang w:val="en-GB"/>
              </w:rPr>
              <w:t>Commingled waste to recycling facilities (tonnes)</w:t>
            </w:r>
            <w:r w:rsidDel="00FC1CEF">
              <w:rPr>
                <w:rStyle w:val="FootnoteReference"/>
                <w:sz w:val="20"/>
                <w:szCs w:val="20"/>
                <w:lang w:val="en-GB"/>
              </w:rPr>
              <w:t xml:space="preserve"> </w:t>
            </w:r>
          </w:p>
        </w:tc>
        <w:tc>
          <w:tcPr>
            <w:cnfStyle w:val="000010000000" w:firstRow="0" w:lastRow="0" w:firstColumn="0" w:lastColumn="0" w:oddVBand="1" w:evenVBand="0" w:oddHBand="0" w:evenHBand="0" w:firstRowFirstColumn="0" w:firstRowLastColumn="0" w:lastRowFirstColumn="0" w:lastRowLastColumn="0"/>
            <w:tcW w:w="626" w:type="pct"/>
          </w:tcPr>
          <w:p w14:paraId="5F9A4C7A" w14:textId="77777777" w:rsidR="00AB6753" w:rsidRDefault="00AB6753" w:rsidP="002D1EA4">
            <w:pPr>
              <w:spacing w:before="40" w:after="40"/>
              <w:jc w:val="right"/>
              <w:rPr>
                <w:rFonts w:eastAsia="Cambria"/>
                <w:sz w:val="20"/>
                <w:szCs w:val="20"/>
                <w:lang w:val="en-GB"/>
              </w:rPr>
            </w:pPr>
            <w:r>
              <w:rPr>
                <w:rFonts w:eastAsia="Cambria"/>
                <w:sz w:val="20"/>
                <w:szCs w:val="20"/>
                <w:lang w:val="en-GB"/>
              </w:rPr>
              <w:t>21</w:t>
            </w:r>
          </w:p>
        </w:tc>
        <w:tc>
          <w:tcPr>
            <w:cnfStyle w:val="000001000000" w:firstRow="0" w:lastRow="0" w:firstColumn="0" w:lastColumn="0" w:oddVBand="0" w:evenVBand="1" w:oddHBand="0" w:evenHBand="0" w:firstRowFirstColumn="0" w:firstRowLastColumn="0" w:lastRowFirstColumn="0" w:lastRowLastColumn="0"/>
            <w:tcW w:w="622" w:type="pct"/>
          </w:tcPr>
          <w:p w14:paraId="3D74D35D" w14:textId="77777777" w:rsidR="00AB6753" w:rsidRPr="002A5764" w:rsidRDefault="00AB6753" w:rsidP="002D1EA4">
            <w:pPr>
              <w:spacing w:before="40" w:after="40"/>
              <w:jc w:val="right"/>
              <w:rPr>
                <w:rFonts w:eastAsia="Cambria"/>
                <w:sz w:val="20"/>
                <w:szCs w:val="20"/>
                <w:lang w:val="en-GB"/>
              </w:rPr>
            </w:pPr>
            <w:r w:rsidRPr="002A5764">
              <w:rPr>
                <w:rFonts w:eastAsia="Cambria"/>
                <w:sz w:val="20"/>
                <w:szCs w:val="20"/>
                <w:lang w:val="en-GB"/>
              </w:rPr>
              <w:t>16.82</w:t>
            </w:r>
          </w:p>
        </w:tc>
      </w:tr>
      <w:tr w:rsidR="00AB6753" w14:paraId="0DF855F7" w14:textId="77777777" w:rsidTr="002D1EA4">
        <w:trPr>
          <w:trHeight w:val="270"/>
        </w:trPr>
        <w:tc>
          <w:tcPr>
            <w:cnfStyle w:val="000010000000" w:firstRow="0" w:lastRow="0" w:firstColumn="0" w:lastColumn="0" w:oddVBand="1" w:evenVBand="0" w:oddHBand="0" w:evenHBand="0" w:firstRowFirstColumn="0" w:firstRowLastColumn="0" w:lastRowFirstColumn="0" w:lastRowLastColumn="0"/>
            <w:tcW w:w="1944" w:type="pct"/>
            <w:noWrap/>
          </w:tcPr>
          <w:p w14:paraId="5C502F1F" w14:textId="77777777" w:rsidR="00AB6753" w:rsidRPr="002A5764" w:rsidRDefault="00AB6753" w:rsidP="002D1EA4">
            <w:pPr>
              <w:spacing w:before="40" w:after="40"/>
              <w:rPr>
                <w:sz w:val="20"/>
                <w:szCs w:val="20"/>
                <w:lang w:val="en-GB"/>
              </w:rPr>
            </w:pPr>
            <w:r w:rsidRPr="002A5764">
              <w:rPr>
                <w:sz w:val="20"/>
                <w:szCs w:val="20"/>
                <w:lang w:val="en-GB"/>
              </w:rPr>
              <w:t>Landfill</w:t>
            </w:r>
            <w:r>
              <w:rPr>
                <w:sz w:val="20"/>
                <w:szCs w:val="20"/>
                <w:lang w:val="en-GB"/>
              </w:rPr>
              <w:t xml:space="preserve"> </w:t>
            </w:r>
            <w:r w:rsidRPr="002A5764">
              <w:rPr>
                <w:sz w:val="20"/>
                <w:szCs w:val="20"/>
                <w:lang w:val="en-GB"/>
              </w:rPr>
              <w:t>(Canberra Sites – sole tenant)</w:t>
            </w:r>
          </w:p>
        </w:tc>
        <w:tc>
          <w:tcPr>
            <w:cnfStyle w:val="000001000000" w:firstRow="0" w:lastRow="0" w:firstColumn="0" w:lastColumn="0" w:oddVBand="0" w:evenVBand="1" w:oddHBand="0" w:evenHBand="0" w:firstRowFirstColumn="0" w:firstRowLastColumn="0" w:lastRowFirstColumn="0" w:lastRowLastColumn="0"/>
            <w:tcW w:w="1808" w:type="pct"/>
            <w:noWrap/>
          </w:tcPr>
          <w:p w14:paraId="0B2CA3CA" w14:textId="77777777" w:rsidR="00AB6753" w:rsidRPr="002A5764" w:rsidRDefault="00AB6753" w:rsidP="002D1EA4">
            <w:pPr>
              <w:spacing w:before="40" w:after="40"/>
              <w:rPr>
                <w:sz w:val="20"/>
                <w:szCs w:val="20"/>
                <w:lang w:val="en-GB"/>
              </w:rPr>
            </w:pPr>
            <w:r w:rsidRPr="002A5764">
              <w:rPr>
                <w:sz w:val="20"/>
                <w:szCs w:val="20"/>
                <w:lang w:val="en-GB"/>
              </w:rPr>
              <w:t>Landfill waste to ACT landfill (tonnes)</w:t>
            </w:r>
          </w:p>
        </w:tc>
        <w:tc>
          <w:tcPr>
            <w:cnfStyle w:val="000010000000" w:firstRow="0" w:lastRow="0" w:firstColumn="0" w:lastColumn="0" w:oddVBand="1" w:evenVBand="0" w:oddHBand="0" w:evenHBand="0" w:firstRowFirstColumn="0" w:firstRowLastColumn="0" w:lastRowFirstColumn="0" w:lastRowLastColumn="0"/>
            <w:tcW w:w="626" w:type="pct"/>
          </w:tcPr>
          <w:p w14:paraId="4A942299" w14:textId="77777777" w:rsidR="00AB6753" w:rsidRDefault="00AB6753" w:rsidP="002D1EA4">
            <w:pPr>
              <w:spacing w:before="40" w:after="40"/>
              <w:jc w:val="right"/>
              <w:rPr>
                <w:rFonts w:eastAsia="Cambria"/>
                <w:sz w:val="20"/>
                <w:szCs w:val="20"/>
                <w:lang w:val="en-GB"/>
              </w:rPr>
            </w:pPr>
            <w:r>
              <w:rPr>
                <w:rFonts w:eastAsia="Cambria"/>
                <w:sz w:val="20"/>
                <w:szCs w:val="20"/>
                <w:lang w:val="en-GB"/>
              </w:rPr>
              <w:t>65</w:t>
            </w:r>
          </w:p>
        </w:tc>
        <w:tc>
          <w:tcPr>
            <w:cnfStyle w:val="000001000000" w:firstRow="0" w:lastRow="0" w:firstColumn="0" w:lastColumn="0" w:oddVBand="0" w:evenVBand="1" w:oddHBand="0" w:evenHBand="0" w:firstRowFirstColumn="0" w:firstRowLastColumn="0" w:lastRowFirstColumn="0" w:lastRowLastColumn="0"/>
            <w:tcW w:w="622" w:type="pct"/>
          </w:tcPr>
          <w:p w14:paraId="3000137C" w14:textId="77777777" w:rsidR="00AB6753" w:rsidRPr="002A5764" w:rsidRDefault="00AB6753" w:rsidP="002D1EA4">
            <w:pPr>
              <w:spacing w:before="40" w:after="40"/>
              <w:jc w:val="right"/>
              <w:rPr>
                <w:rFonts w:eastAsia="Cambria"/>
                <w:sz w:val="20"/>
                <w:szCs w:val="20"/>
                <w:lang w:val="en-GB"/>
              </w:rPr>
            </w:pPr>
            <w:r w:rsidRPr="002A5764">
              <w:rPr>
                <w:rFonts w:eastAsia="Cambria"/>
                <w:sz w:val="20"/>
                <w:szCs w:val="20"/>
                <w:lang w:val="en-GB"/>
              </w:rPr>
              <w:t>82</w:t>
            </w:r>
          </w:p>
        </w:tc>
      </w:tr>
    </w:tbl>
    <w:p w14:paraId="0B069703" w14:textId="77777777" w:rsidR="00AB6753" w:rsidRDefault="00AB6753" w:rsidP="00AB6753">
      <w:pPr>
        <w:pStyle w:val="Heading5"/>
        <w:rPr>
          <w:rFonts w:cs="Arial"/>
          <w:sz w:val="24"/>
          <w:szCs w:val="24"/>
        </w:rPr>
        <w:sectPr w:rsidR="00AB6753" w:rsidSect="00A432B8">
          <w:pgSz w:w="11906" w:h="16838"/>
          <w:pgMar w:top="709" w:right="992" w:bottom="992" w:left="709" w:header="709" w:footer="1127" w:gutter="0"/>
          <w:cols w:space="708"/>
          <w:docGrid w:linePitch="360"/>
        </w:sectPr>
      </w:pPr>
    </w:p>
    <w:p w14:paraId="16DBFCFF" w14:textId="77777777" w:rsidR="00AB6753" w:rsidRPr="006746FE" w:rsidRDefault="00AB6753" w:rsidP="00AB6753">
      <w:pPr>
        <w:pStyle w:val="Heading5"/>
        <w:rPr>
          <w:color w:val="auto"/>
          <w:sz w:val="28"/>
        </w:rPr>
      </w:pPr>
      <w:r w:rsidRPr="006746FE">
        <w:rPr>
          <w:color w:val="auto"/>
          <w:sz w:val="28"/>
        </w:rPr>
        <w:lastRenderedPageBreak/>
        <w:t>Appendix D</w:t>
      </w:r>
    </w:p>
    <w:p w14:paraId="1085913D" w14:textId="77777777" w:rsidR="00AB6753" w:rsidRPr="00054A67" w:rsidRDefault="00AB6753" w:rsidP="00AB6753">
      <w:pPr>
        <w:pStyle w:val="Heading1"/>
        <w:spacing w:before="240" w:after="240"/>
        <w:rPr>
          <w:rFonts w:ascii="Georgia" w:hAnsi="Georgia"/>
          <w:b w:val="0"/>
          <w:color w:val="215868" w:themeColor="accent5" w:themeShade="80"/>
          <w:sz w:val="72"/>
        </w:rPr>
      </w:pPr>
      <w:r w:rsidRPr="00054A67">
        <w:rPr>
          <w:rFonts w:ascii="Georgia" w:hAnsi="Georgia"/>
          <w:b w:val="0"/>
          <w:color w:val="215868" w:themeColor="accent5" w:themeShade="80"/>
          <w:sz w:val="72"/>
        </w:rPr>
        <w:t xml:space="preserve">Compliance with the </w:t>
      </w:r>
      <w:r w:rsidRPr="00054A67">
        <w:rPr>
          <w:rFonts w:ascii="Georgia" w:hAnsi="Georgia"/>
          <w:b w:val="0"/>
          <w:i/>
          <w:color w:val="215868" w:themeColor="accent5" w:themeShade="80"/>
          <w:sz w:val="72"/>
        </w:rPr>
        <w:t>Carer Recognition Act 2010</w:t>
      </w:r>
    </w:p>
    <w:p w14:paraId="6F219963" w14:textId="77777777" w:rsidR="00AB6753" w:rsidRPr="00ED333A" w:rsidRDefault="00AB6753" w:rsidP="00AB6753">
      <w:pPr>
        <w:autoSpaceDE w:val="0"/>
        <w:autoSpaceDN w:val="0"/>
        <w:adjustRightInd w:val="0"/>
        <w:spacing w:before="120" w:after="180" w:line="280" w:lineRule="atLeast"/>
        <w:ind w:right="-164"/>
        <w:rPr>
          <w:sz w:val="20"/>
          <w:szCs w:val="20"/>
        </w:rPr>
      </w:pPr>
      <w:r w:rsidRPr="00ED333A">
        <w:rPr>
          <w:sz w:val="20"/>
          <w:szCs w:val="20"/>
        </w:rPr>
        <w:t>The Australian Government recognises the exceptional contribution made by unpaid carers through</w:t>
      </w:r>
      <w:r w:rsidRPr="006746FE">
        <w:rPr>
          <w:sz w:val="20"/>
          <w:szCs w:val="20"/>
        </w:rPr>
        <w:t xml:space="preserve"> </w:t>
      </w:r>
      <w:r w:rsidRPr="00ED333A">
        <w:rPr>
          <w:sz w:val="20"/>
          <w:szCs w:val="20"/>
        </w:rPr>
        <w:t>the</w:t>
      </w:r>
      <w:r w:rsidRPr="006746FE">
        <w:rPr>
          <w:sz w:val="20"/>
          <w:szCs w:val="20"/>
        </w:rPr>
        <w:t xml:space="preserve"> </w:t>
      </w:r>
      <w:r w:rsidRPr="006746FE">
        <w:rPr>
          <w:i/>
          <w:sz w:val="20"/>
          <w:szCs w:val="20"/>
        </w:rPr>
        <w:t>Carer Recognition Act 2010</w:t>
      </w:r>
      <w:r w:rsidRPr="006746FE">
        <w:rPr>
          <w:sz w:val="20"/>
          <w:szCs w:val="20"/>
        </w:rPr>
        <w:t>.</w:t>
      </w:r>
      <w:r>
        <w:rPr>
          <w:sz w:val="20"/>
          <w:szCs w:val="20"/>
        </w:rPr>
        <w:t xml:space="preserve"> </w:t>
      </w:r>
      <w:r w:rsidRPr="00ED333A">
        <w:rPr>
          <w:sz w:val="20"/>
          <w:szCs w:val="20"/>
        </w:rPr>
        <w:t xml:space="preserve">The </w:t>
      </w:r>
      <w:r w:rsidRPr="006746FE">
        <w:rPr>
          <w:i/>
          <w:sz w:val="20"/>
          <w:szCs w:val="20"/>
        </w:rPr>
        <w:t>Carer Recognition Act 2010</w:t>
      </w:r>
      <w:r w:rsidRPr="00ED333A">
        <w:rPr>
          <w:sz w:val="20"/>
          <w:szCs w:val="20"/>
        </w:rPr>
        <w:t xml:space="preserve"> stipulates that carers should have the same rights, choices</w:t>
      </w:r>
      <w:r>
        <w:rPr>
          <w:sz w:val="20"/>
          <w:szCs w:val="20"/>
        </w:rPr>
        <w:t>,</w:t>
      </w:r>
      <w:r w:rsidRPr="00ED333A">
        <w:rPr>
          <w:sz w:val="20"/>
          <w:szCs w:val="20"/>
        </w:rPr>
        <w:t xml:space="preserve"> and oppo</w:t>
      </w:r>
      <w:r>
        <w:rPr>
          <w:sz w:val="20"/>
          <w:szCs w:val="20"/>
        </w:rPr>
        <w:t>rtunities as other Australians.</w:t>
      </w:r>
    </w:p>
    <w:p w14:paraId="77066F0F" w14:textId="77777777" w:rsidR="00AB6753" w:rsidRPr="0031106E" w:rsidRDefault="00AB6753" w:rsidP="00AB6753">
      <w:pPr>
        <w:autoSpaceDE w:val="0"/>
        <w:autoSpaceDN w:val="0"/>
        <w:adjustRightInd w:val="0"/>
        <w:spacing w:before="120" w:after="180" w:line="280" w:lineRule="atLeast"/>
        <w:ind w:right="-164"/>
        <w:rPr>
          <w:i/>
          <w:sz w:val="20"/>
          <w:szCs w:val="20"/>
        </w:rPr>
      </w:pPr>
      <w:r w:rsidRPr="0031106E">
        <w:rPr>
          <w:i/>
          <w:sz w:val="20"/>
          <w:szCs w:val="20"/>
        </w:rPr>
        <w:t>Subsection 7(1) — Each public service agency is to take all practicable measures to ensure that its employees and agents have an awareness and understanding of the Statement for Australia’s Carers.</w:t>
      </w:r>
    </w:p>
    <w:p w14:paraId="4CDF9BA4" w14:textId="77777777" w:rsidR="00AB6753" w:rsidRPr="00ED333A" w:rsidRDefault="00AB6753" w:rsidP="00AB6753">
      <w:pPr>
        <w:autoSpaceDE w:val="0"/>
        <w:autoSpaceDN w:val="0"/>
        <w:adjustRightInd w:val="0"/>
        <w:spacing w:before="120" w:after="180" w:line="280" w:lineRule="atLeast"/>
        <w:ind w:right="-164"/>
        <w:rPr>
          <w:sz w:val="20"/>
          <w:szCs w:val="20"/>
        </w:rPr>
      </w:pPr>
      <w:r w:rsidRPr="006746FE">
        <w:rPr>
          <w:sz w:val="20"/>
          <w:szCs w:val="20"/>
        </w:rPr>
        <w:t xml:space="preserve">We promote staff awareness and understanding of the </w:t>
      </w:r>
      <w:r w:rsidRPr="00130D01">
        <w:rPr>
          <w:i/>
          <w:iCs/>
          <w:sz w:val="20"/>
          <w:szCs w:val="20"/>
        </w:rPr>
        <w:t>Carer Recognition Act 2010</w:t>
      </w:r>
      <w:r w:rsidRPr="006746FE">
        <w:rPr>
          <w:sz w:val="20"/>
          <w:szCs w:val="20"/>
        </w:rPr>
        <w:t xml:space="preserve"> and the Statement for Australia’s Carers through our intranet and other departmental resources.</w:t>
      </w:r>
    </w:p>
    <w:p w14:paraId="3962D2E5" w14:textId="77777777" w:rsidR="00AB6753" w:rsidRPr="00ED333A" w:rsidRDefault="00AB6753" w:rsidP="00AB6753">
      <w:pPr>
        <w:autoSpaceDE w:val="0"/>
        <w:autoSpaceDN w:val="0"/>
        <w:adjustRightInd w:val="0"/>
        <w:spacing w:before="120" w:after="180" w:line="280" w:lineRule="atLeast"/>
        <w:ind w:right="-164"/>
        <w:rPr>
          <w:sz w:val="20"/>
          <w:szCs w:val="20"/>
        </w:rPr>
      </w:pPr>
      <w:r w:rsidRPr="00ED333A">
        <w:rPr>
          <w:sz w:val="20"/>
          <w:szCs w:val="20"/>
        </w:rPr>
        <w:t>We inform the general public about</w:t>
      </w:r>
      <w:r>
        <w:rPr>
          <w:sz w:val="20"/>
          <w:szCs w:val="20"/>
        </w:rPr>
        <w:t xml:space="preserve"> the statement on Carer Gateway. For further information, go to</w:t>
      </w:r>
      <w:r w:rsidRPr="00ED333A">
        <w:rPr>
          <w:sz w:val="20"/>
          <w:szCs w:val="20"/>
        </w:rPr>
        <w:t xml:space="preserve"> </w:t>
      </w:r>
      <w:hyperlink r:id="rId72" w:history="1">
        <w:r w:rsidRPr="006746FE">
          <w:rPr>
            <w:sz w:val="20"/>
            <w:szCs w:val="20"/>
          </w:rPr>
          <w:t>carergateway.gov.au</w:t>
        </w:r>
      </w:hyperlink>
      <w:r>
        <w:rPr>
          <w:sz w:val="20"/>
          <w:szCs w:val="20"/>
        </w:rPr>
        <w:t>.</w:t>
      </w:r>
      <w:r w:rsidRPr="008B15CA">
        <w:rPr>
          <w:sz w:val="20"/>
          <w:szCs w:val="20"/>
        </w:rPr>
        <w:t xml:space="preserve"> We</w:t>
      </w:r>
      <w:r w:rsidRPr="00ED333A">
        <w:rPr>
          <w:sz w:val="20"/>
          <w:szCs w:val="20"/>
        </w:rPr>
        <w:t xml:space="preserve"> also fund Carers Australia to coordinate and manage National Carers Week activities each October. These activities raise the awareness of carers and their role and inform carers about available services and assistance.</w:t>
      </w:r>
    </w:p>
    <w:p w14:paraId="1F417FBF" w14:textId="77777777" w:rsidR="00AB6753" w:rsidRPr="0031106E" w:rsidRDefault="00AB6753" w:rsidP="00AB6753">
      <w:pPr>
        <w:autoSpaceDE w:val="0"/>
        <w:autoSpaceDN w:val="0"/>
        <w:adjustRightInd w:val="0"/>
        <w:spacing w:before="120" w:after="180" w:line="280" w:lineRule="atLeast"/>
        <w:ind w:right="-164"/>
        <w:rPr>
          <w:i/>
          <w:sz w:val="20"/>
          <w:szCs w:val="20"/>
        </w:rPr>
      </w:pPr>
      <w:r w:rsidRPr="0031106E">
        <w:rPr>
          <w:i/>
          <w:sz w:val="20"/>
          <w:szCs w:val="20"/>
        </w:rPr>
        <w:t>Subsection 7(2) — Each public service agency’s internal human resources policies, so far as they may significantly affect an employee’s caring role, are to be developed having due regard to the Statement for Australia’s Carers.</w:t>
      </w:r>
    </w:p>
    <w:p w14:paraId="2ECE9316" w14:textId="77777777" w:rsidR="00AB6753" w:rsidRDefault="00AB6753" w:rsidP="00AB6753">
      <w:pPr>
        <w:autoSpaceDE w:val="0"/>
        <w:autoSpaceDN w:val="0"/>
        <w:adjustRightInd w:val="0"/>
        <w:spacing w:before="120" w:after="180" w:line="280" w:lineRule="atLeast"/>
        <w:ind w:right="-164"/>
        <w:rPr>
          <w:sz w:val="20"/>
          <w:szCs w:val="20"/>
        </w:rPr>
      </w:pPr>
      <w:r w:rsidRPr="006746FE">
        <w:rPr>
          <w:sz w:val="20"/>
          <w:szCs w:val="20"/>
        </w:rPr>
        <w:t>Our human resources policies comply with the principles contained in the statement.</w:t>
      </w:r>
    </w:p>
    <w:p w14:paraId="45ED7E85" w14:textId="77777777" w:rsidR="00AB6753" w:rsidRPr="00ED333A" w:rsidRDefault="00AB6753" w:rsidP="00AB6753">
      <w:pPr>
        <w:autoSpaceDE w:val="0"/>
        <w:autoSpaceDN w:val="0"/>
        <w:adjustRightInd w:val="0"/>
        <w:spacing w:before="120" w:after="180" w:line="280" w:lineRule="atLeast"/>
        <w:ind w:right="-164"/>
        <w:rPr>
          <w:sz w:val="20"/>
          <w:szCs w:val="20"/>
        </w:rPr>
      </w:pPr>
      <w:r w:rsidRPr="00ED333A">
        <w:rPr>
          <w:sz w:val="20"/>
          <w:szCs w:val="20"/>
        </w:rPr>
        <w:t>Our Enterprise Agreement includes carer</w:t>
      </w:r>
      <w:r>
        <w:rPr>
          <w:sz w:val="20"/>
          <w:szCs w:val="20"/>
        </w:rPr>
        <w:t>’</w:t>
      </w:r>
      <w:r w:rsidRPr="00ED333A">
        <w:rPr>
          <w:sz w:val="20"/>
          <w:szCs w:val="20"/>
        </w:rPr>
        <w:t>s leave entitlements. Staff have access to health and diversity rooms to help manage unforeseen caring responsibilities.</w:t>
      </w:r>
      <w:r>
        <w:rPr>
          <w:sz w:val="20"/>
          <w:szCs w:val="20"/>
        </w:rPr>
        <w:t xml:space="preserve"> </w:t>
      </w:r>
      <w:r w:rsidRPr="00ED333A">
        <w:rPr>
          <w:sz w:val="20"/>
          <w:szCs w:val="20"/>
        </w:rPr>
        <w:t>Staff can access free counselling arranged through the Employee Assistance Program.</w:t>
      </w:r>
    </w:p>
    <w:p w14:paraId="431B91C1" w14:textId="77777777" w:rsidR="00AB6753" w:rsidRPr="00ED333A" w:rsidRDefault="00AB6753" w:rsidP="00AB6753">
      <w:pPr>
        <w:autoSpaceDE w:val="0"/>
        <w:autoSpaceDN w:val="0"/>
        <w:adjustRightInd w:val="0"/>
        <w:spacing w:before="120" w:after="180" w:line="280" w:lineRule="atLeast"/>
        <w:ind w:right="-164"/>
        <w:rPr>
          <w:sz w:val="20"/>
          <w:szCs w:val="20"/>
        </w:rPr>
      </w:pPr>
      <w:r w:rsidRPr="00ED333A">
        <w:rPr>
          <w:sz w:val="20"/>
          <w:szCs w:val="20"/>
        </w:rPr>
        <w:t>Our intranet also provides employees and managers with information about carers’ entitlements and internal and external resources.</w:t>
      </w:r>
    </w:p>
    <w:p w14:paraId="13B36000" w14:textId="77777777" w:rsidR="00AB6753" w:rsidRPr="0031106E" w:rsidRDefault="00AB6753" w:rsidP="00AB6753">
      <w:pPr>
        <w:autoSpaceDE w:val="0"/>
        <w:autoSpaceDN w:val="0"/>
        <w:adjustRightInd w:val="0"/>
        <w:spacing w:before="120" w:after="180" w:line="280" w:lineRule="atLeast"/>
        <w:ind w:right="-164"/>
        <w:rPr>
          <w:i/>
          <w:sz w:val="20"/>
          <w:szCs w:val="20"/>
        </w:rPr>
      </w:pPr>
      <w:r w:rsidRPr="0031106E">
        <w:rPr>
          <w:i/>
          <w:sz w:val="20"/>
          <w:szCs w:val="20"/>
        </w:rPr>
        <w:t>Subsection 8(1) — Each public service care agency is to take all practicable measures to ensure that it, and its employees and agents, take action to reflect the principles of the Statement for Australia’s Carers in developing, implementing, providing or evaluating care supports.</w:t>
      </w:r>
    </w:p>
    <w:p w14:paraId="63768D08" w14:textId="77777777" w:rsidR="00AB6753" w:rsidRPr="00ED333A" w:rsidRDefault="00AB6753" w:rsidP="00AB6753">
      <w:pPr>
        <w:autoSpaceDE w:val="0"/>
        <w:autoSpaceDN w:val="0"/>
        <w:adjustRightInd w:val="0"/>
        <w:spacing w:before="120" w:after="180" w:line="280" w:lineRule="atLeast"/>
        <w:ind w:right="-164"/>
        <w:rPr>
          <w:sz w:val="20"/>
          <w:szCs w:val="20"/>
        </w:rPr>
      </w:pPr>
      <w:r w:rsidRPr="00ED333A">
        <w:rPr>
          <w:sz w:val="20"/>
          <w:szCs w:val="20"/>
        </w:rPr>
        <w:t>Our standard funding agreement terms and conditions oblige funding recipients to comply with relevant laws, Australian Government policies, codes of ethics, regulations</w:t>
      </w:r>
      <w:r>
        <w:rPr>
          <w:sz w:val="20"/>
          <w:szCs w:val="20"/>
        </w:rPr>
        <w:t>,</w:t>
      </w:r>
      <w:r w:rsidRPr="00ED333A">
        <w:rPr>
          <w:sz w:val="20"/>
          <w:szCs w:val="20"/>
        </w:rPr>
        <w:t xml:space="preserve"> or industry standards relevant to the activity.</w:t>
      </w:r>
    </w:p>
    <w:p w14:paraId="560D4C1D" w14:textId="77777777" w:rsidR="00AB6753" w:rsidRPr="0031106E" w:rsidRDefault="00AB6753" w:rsidP="00AB6753">
      <w:pPr>
        <w:autoSpaceDE w:val="0"/>
        <w:autoSpaceDN w:val="0"/>
        <w:adjustRightInd w:val="0"/>
        <w:spacing w:before="120" w:after="180" w:line="280" w:lineRule="atLeast"/>
        <w:ind w:right="-164"/>
        <w:rPr>
          <w:i/>
          <w:sz w:val="20"/>
          <w:szCs w:val="20"/>
        </w:rPr>
      </w:pPr>
      <w:r w:rsidRPr="0031106E">
        <w:rPr>
          <w:i/>
          <w:sz w:val="20"/>
          <w:szCs w:val="20"/>
        </w:rPr>
        <w:t>Subsection 8(2) — Each public service care agency is to consult carers, or bodies that represent carers, when developing or evaluating care supports.</w:t>
      </w:r>
    </w:p>
    <w:p w14:paraId="572DD711" w14:textId="77777777" w:rsidR="00AB6753" w:rsidRDefault="00AB6753" w:rsidP="00AB6753">
      <w:pPr>
        <w:autoSpaceDE w:val="0"/>
        <w:autoSpaceDN w:val="0"/>
        <w:adjustRightInd w:val="0"/>
        <w:spacing w:before="120" w:after="180" w:line="280" w:lineRule="atLeast"/>
        <w:ind w:right="-164"/>
        <w:rPr>
          <w:sz w:val="20"/>
          <w:szCs w:val="20"/>
        </w:rPr>
      </w:pPr>
      <w:r>
        <w:rPr>
          <w:sz w:val="20"/>
          <w:szCs w:val="20"/>
        </w:rPr>
        <w:t>The Sector Working Group is a group of sector subject matter experts, brought together in June 2018 to provide advice relating to operational aspects of the Carer Gateway’s implementation. The group met five times, most recently in July 2019 to discuss the decommissioning of Commonwealth-funded carer programs, and the safe transition of carers onto the new Carer Gateway services.</w:t>
      </w:r>
    </w:p>
    <w:p w14:paraId="14A07B8C" w14:textId="77777777" w:rsidR="00AB6753" w:rsidRDefault="00AB6753" w:rsidP="00AB6753">
      <w:pPr>
        <w:autoSpaceDE w:val="0"/>
        <w:autoSpaceDN w:val="0"/>
        <w:adjustRightInd w:val="0"/>
        <w:spacing w:before="120" w:after="180" w:line="280" w:lineRule="atLeast"/>
        <w:ind w:right="-164"/>
        <w:rPr>
          <w:sz w:val="20"/>
          <w:szCs w:val="20"/>
        </w:rPr>
      </w:pPr>
      <w:r>
        <w:rPr>
          <w:sz w:val="20"/>
          <w:szCs w:val="20"/>
        </w:rPr>
        <w:lastRenderedPageBreak/>
        <w:t>From</w:t>
      </w:r>
      <w:r w:rsidRPr="00C327D7">
        <w:rPr>
          <w:sz w:val="20"/>
          <w:szCs w:val="20"/>
        </w:rPr>
        <w:t xml:space="preserve"> July 2019, new online supports</w:t>
      </w:r>
      <w:r>
        <w:rPr>
          <w:sz w:val="20"/>
          <w:szCs w:val="20"/>
        </w:rPr>
        <w:t xml:space="preserve"> became</w:t>
      </w:r>
      <w:r w:rsidRPr="00C327D7">
        <w:rPr>
          <w:sz w:val="20"/>
          <w:szCs w:val="20"/>
        </w:rPr>
        <w:t xml:space="preserve"> available through the Carer Gateway website</w:t>
      </w:r>
      <w:r>
        <w:rPr>
          <w:sz w:val="20"/>
          <w:szCs w:val="20"/>
        </w:rPr>
        <w:t xml:space="preserve">. For further information, go to </w:t>
      </w:r>
      <w:r w:rsidRPr="00C327D7">
        <w:rPr>
          <w:sz w:val="20"/>
          <w:szCs w:val="20"/>
        </w:rPr>
        <w:t>carergateway.gov.au</w:t>
      </w:r>
      <w:r>
        <w:rPr>
          <w:sz w:val="20"/>
          <w:szCs w:val="20"/>
        </w:rPr>
        <w:t>.</w:t>
      </w:r>
      <w:r w:rsidRPr="00C327D7">
        <w:rPr>
          <w:sz w:val="20"/>
          <w:szCs w:val="20"/>
        </w:rPr>
        <w:t xml:space="preserve"> These new supports include free phone counselling, online peer support, self-guided coaching</w:t>
      </w:r>
      <w:r>
        <w:rPr>
          <w:sz w:val="20"/>
          <w:szCs w:val="20"/>
        </w:rPr>
        <w:t>,</w:t>
      </w:r>
      <w:r w:rsidRPr="00C327D7">
        <w:rPr>
          <w:sz w:val="20"/>
          <w:szCs w:val="20"/>
        </w:rPr>
        <w:t xml:space="preserve"> and practical educational resources to improve carer wellbeing, skills</w:t>
      </w:r>
      <w:r>
        <w:rPr>
          <w:sz w:val="20"/>
          <w:szCs w:val="20"/>
        </w:rPr>
        <w:t>,</w:t>
      </w:r>
      <w:r w:rsidRPr="00C327D7">
        <w:rPr>
          <w:sz w:val="20"/>
          <w:szCs w:val="20"/>
        </w:rPr>
        <w:t xml:space="preserve"> and knowledge.</w:t>
      </w:r>
    </w:p>
    <w:p w14:paraId="6BB07190" w14:textId="77777777" w:rsidR="00AB6753" w:rsidRDefault="00AB6753" w:rsidP="00AB6753">
      <w:pPr>
        <w:autoSpaceDE w:val="0"/>
        <w:autoSpaceDN w:val="0"/>
        <w:adjustRightInd w:val="0"/>
        <w:spacing w:before="120" w:after="180" w:line="280" w:lineRule="atLeast"/>
        <w:ind w:right="-164"/>
        <w:rPr>
          <w:sz w:val="20"/>
          <w:szCs w:val="20"/>
        </w:rPr>
      </w:pPr>
      <w:r w:rsidRPr="00801E7E">
        <w:rPr>
          <w:sz w:val="20"/>
          <w:szCs w:val="20"/>
        </w:rPr>
        <w:t xml:space="preserve">From </w:t>
      </w:r>
      <w:r>
        <w:rPr>
          <w:sz w:val="20"/>
          <w:szCs w:val="20"/>
        </w:rPr>
        <w:t>A</w:t>
      </w:r>
      <w:r w:rsidRPr="00801E7E">
        <w:rPr>
          <w:sz w:val="20"/>
          <w:szCs w:val="20"/>
        </w:rPr>
        <w:t xml:space="preserve">pril 2020, </w:t>
      </w:r>
      <w:r>
        <w:rPr>
          <w:sz w:val="20"/>
          <w:szCs w:val="20"/>
        </w:rPr>
        <w:t>a</w:t>
      </w:r>
      <w:r w:rsidRPr="00801E7E">
        <w:rPr>
          <w:sz w:val="20"/>
          <w:szCs w:val="20"/>
        </w:rPr>
        <w:t xml:space="preserve"> new national network of Carer Gateway service providers commenced providing access to individually tailored services for all carers. Supports include carer needs assessment, advice and support planning, counselling, peer support, financial support packages assisting carers to access employment, education, respite and transport, and online self-guided coaching.</w:t>
      </w:r>
    </w:p>
    <w:p w14:paraId="6B019AFE" w14:textId="77777777" w:rsidR="00AB6753" w:rsidRPr="006746FE" w:rsidRDefault="00AB6753" w:rsidP="00AB6753">
      <w:pPr>
        <w:autoSpaceDE w:val="0"/>
        <w:autoSpaceDN w:val="0"/>
        <w:adjustRightInd w:val="0"/>
        <w:spacing w:before="120" w:after="180" w:line="280" w:lineRule="atLeast"/>
        <w:ind w:right="-164"/>
        <w:rPr>
          <w:sz w:val="20"/>
          <w:szCs w:val="20"/>
        </w:rPr>
      </w:pPr>
      <w:r>
        <w:rPr>
          <w:sz w:val="20"/>
          <w:szCs w:val="20"/>
        </w:rPr>
        <w:t xml:space="preserve">We </w:t>
      </w:r>
      <w:r w:rsidRPr="00733C61">
        <w:rPr>
          <w:sz w:val="20"/>
          <w:szCs w:val="20"/>
        </w:rPr>
        <w:t>will undertak</w:t>
      </w:r>
      <w:r>
        <w:rPr>
          <w:sz w:val="20"/>
          <w:szCs w:val="20"/>
        </w:rPr>
        <w:t>e</w:t>
      </w:r>
      <w:r w:rsidRPr="00733C61">
        <w:rPr>
          <w:sz w:val="20"/>
          <w:szCs w:val="20"/>
        </w:rPr>
        <w:t xml:space="preserve"> further consultation with </w:t>
      </w:r>
      <w:r>
        <w:rPr>
          <w:sz w:val="20"/>
          <w:szCs w:val="20"/>
        </w:rPr>
        <w:t xml:space="preserve">carers and </w:t>
      </w:r>
      <w:r w:rsidRPr="00733C61">
        <w:rPr>
          <w:sz w:val="20"/>
          <w:szCs w:val="20"/>
        </w:rPr>
        <w:t>key stakeholders as the implementation</w:t>
      </w:r>
      <w:r>
        <w:rPr>
          <w:sz w:val="20"/>
          <w:szCs w:val="20"/>
        </w:rPr>
        <w:t xml:space="preserve"> and evaluation</w:t>
      </w:r>
      <w:r w:rsidRPr="00733C61">
        <w:rPr>
          <w:sz w:val="20"/>
          <w:szCs w:val="20"/>
        </w:rPr>
        <w:t xml:space="preserve"> of </w:t>
      </w:r>
      <w:r>
        <w:rPr>
          <w:sz w:val="20"/>
          <w:szCs w:val="20"/>
        </w:rPr>
        <w:t>Carer Gateway</w:t>
      </w:r>
      <w:r w:rsidRPr="00733C61">
        <w:rPr>
          <w:sz w:val="20"/>
          <w:szCs w:val="20"/>
        </w:rPr>
        <w:t xml:space="preserve"> progresses.</w:t>
      </w:r>
      <w:r w:rsidRPr="006746FE">
        <w:rPr>
          <w:sz w:val="20"/>
          <w:szCs w:val="20"/>
        </w:rPr>
        <w:br w:type="page"/>
      </w:r>
    </w:p>
    <w:p w14:paraId="37A401E1" w14:textId="77777777" w:rsidR="00AB6753" w:rsidRPr="006746FE" w:rsidRDefault="00AB6753" w:rsidP="00AB6753">
      <w:pPr>
        <w:pStyle w:val="Heading5"/>
        <w:rPr>
          <w:color w:val="auto"/>
          <w:sz w:val="28"/>
        </w:rPr>
      </w:pPr>
      <w:r w:rsidRPr="006746FE">
        <w:rPr>
          <w:color w:val="auto"/>
          <w:sz w:val="28"/>
        </w:rPr>
        <w:lastRenderedPageBreak/>
        <w:t>Appendix E</w:t>
      </w:r>
    </w:p>
    <w:p w14:paraId="29E8D51A" w14:textId="77777777" w:rsidR="00AB6753" w:rsidRPr="00054A67" w:rsidRDefault="00AB6753" w:rsidP="00AB6753">
      <w:pPr>
        <w:pStyle w:val="Heading1"/>
        <w:spacing w:before="240" w:after="240"/>
        <w:rPr>
          <w:rFonts w:ascii="Georgia" w:hAnsi="Georgia"/>
          <w:b w:val="0"/>
          <w:color w:val="215868" w:themeColor="accent5" w:themeShade="80"/>
          <w:sz w:val="72"/>
        </w:rPr>
      </w:pPr>
      <w:r w:rsidRPr="00054A67">
        <w:rPr>
          <w:rFonts w:ascii="Georgia" w:hAnsi="Georgia"/>
          <w:b w:val="0"/>
          <w:color w:val="215868" w:themeColor="accent5" w:themeShade="80"/>
          <w:sz w:val="72"/>
        </w:rPr>
        <w:t>Disability reporting</w:t>
      </w:r>
    </w:p>
    <w:p w14:paraId="64442168" w14:textId="77777777" w:rsidR="00AB6753" w:rsidRPr="00ED333A" w:rsidRDefault="00AB6753" w:rsidP="00AB6753">
      <w:pPr>
        <w:autoSpaceDE w:val="0"/>
        <w:autoSpaceDN w:val="0"/>
        <w:adjustRightInd w:val="0"/>
        <w:spacing w:before="120" w:after="180" w:line="280" w:lineRule="atLeast"/>
        <w:ind w:right="-164"/>
        <w:rPr>
          <w:sz w:val="20"/>
          <w:szCs w:val="20"/>
        </w:rPr>
      </w:pPr>
      <w:r w:rsidRPr="00ED333A">
        <w:rPr>
          <w:sz w:val="20"/>
          <w:szCs w:val="20"/>
        </w:rPr>
        <w:t xml:space="preserve">The </w:t>
      </w:r>
      <w:r w:rsidRPr="006746FE">
        <w:rPr>
          <w:i/>
          <w:sz w:val="20"/>
          <w:szCs w:val="20"/>
        </w:rPr>
        <w:t>National Disability Strategy 2010–2020</w:t>
      </w:r>
      <w:r w:rsidRPr="00ED333A">
        <w:rPr>
          <w:sz w:val="20"/>
          <w:szCs w:val="20"/>
        </w:rPr>
        <w:t xml:space="preserve"> is Australia’s overarching framework for disability reform. It acts to ensure the principles underpinning the </w:t>
      </w:r>
      <w:r w:rsidRPr="006746FE">
        <w:rPr>
          <w:i/>
          <w:sz w:val="20"/>
          <w:szCs w:val="20"/>
        </w:rPr>
        <w:t>United Nations Convention on the Rights of Persons with Disabilities</w:t>
      </w:r>
      <w:r w:rsidRPr="006746FE">
        <w:rPr>
          <w:sz w:val="20"/>
          <w:szCs w:val="20"/>
        </w:rPr>
        <w:t xml:space="preserve"> </w:t>
      </w:r>
      <w:r w:rsidRPr="00ED333A">
        <w:rPr>
          <w:sz w:val="20"/>
          <w:szCs w:val="20"/>
        </w:rPr>
        <w:t>are incorporated into Australia’s policies and programs that affect people with disabil</w:t>
      </w:r>
      <w:r>
        <w:rPr>
          <w:sz w:val="20"/>
          <w:szCs w:val="20"/>
        </w:rPr>
        <w:t>ity, their families and carers.</w:t>
      </w:r>
    </w:p>
    <w:p w14:paraId="24C28041" w14:textId="77777777" w:rsidR="00AB6753" w:rsidRDefault="00AB6753" w:rsidP="00AB6753">
      <w:pPr>
        <w:autoSpaceDE w:val="0"/>
        <w:autoSpaceDN w:val="0"/>
        <w:adjustRightInd w:val="0"/>
        <w:spacing w:before="120" w:after="180" w:line="280" w:lineRule="atLeast"/>
        <w:ind w:right="-164"/>
        <w:rPr>
          <w:sz w:val="20"/>
          <w:szCs w:val="20"/>
        </w:rPr>
      </w:pPr>
      <w:r w:rsidRPr="00ED333A">
        <w:rPr>
          <w:sz w:val="20"/>
          <w:szCs w:val="20"/>
        </w:rPr>
        <w:t xml:space="preserve">All levels of government will continue to be held accountable for the implementation of the strategy through biennial progress reporting. </w:t>
      </w:r>
      <w:r>
        <w:rPr>
          <w:sz w:val="20"/>
          <w:szCs w:val="20"/>
        </w:rPr>
        <w:t xml:space="preserve">For progress reports, go to </w:t>
      </w:r>
      <w:hyperlink r:id="rId73" w:history="1">
        <w:r w:rsidRPr="00130D01">
          <w:rPr>
            <w:rFonts w:cs="Arial"/>
            <w:sz w:val="20"/>
            <w:szCs w:val="20"/>
          </w:rPr>
          <w:t>dss.gov.au</w:t>
        </w:r>
      </w:hyperlink>
      <w:r>
        <w:rPr>
          <w:rFonts w:cs="Arial"/>
          <w:sz w:val="20"/>
          <w:szCs w:val="20"/>
        </w:rPr>
        <w:t>.</w:t>
      </w:r>
      <w:r w:rsidRPr="006746FE">
        <w:t xml:space="preserve"> </w:t>
      </w:r>
      <w:r w:rsidRPr="00ED333A">
        <w:rPr>
          <w:sz w:val="20"/>
          <w:szCs w:val="20"/>
        </w:rPr>
        <w:t>Disability reporting is included in the A</w:t>
      </w:r>
      <w:r>
        <w:rPr>
          <w:sz w:val="20"/>
          <w:szCs w:val="20"/>
        </w:rPr>
        <w:t xml:space="preserve">ustralian Public Service Commission’s </w:t>
      </w:r>
      <w:r w:rsidRPr="003E2F76">
        <w:rPr>
          <w:sz w:val="20"/>
          <w:szCs w:val="20"/>
        </w:rPr>
        <w:t xml:space="preserve">State of the Service </w:t>
      </w:r>
      <w:r>
        <w:rPr>
          <w:sz w:val="20"/>
          <w:szCs w:val="20"/>
        </w:rPr>
        <w:t>r</w:t>
      </w:r>
      <w:r w:rsidRPr="003E2F76">
        <w:rPr>
          <w:sz w:val="20"/>
          <w:szCs w:val="20"/>
        </w:rPr>
        <w:t>eport</w:t>
      </w:r>
      <w:r>
        <w:rPr>
          <w:sz w:val="20"/>
          <w:szCs w:val="20"/>
        </w:rPr>
        <w:t>s</w:t>
      </w:r>
      <w:r w:rsidRPr="00ED333A">
        <w:rPr>
          <w:sz w:val="20"/>
          <w:szCs w:val="20"/>
        </w:rPr>
        <w:t xml:space="preserve"> and the</w:t>
      </w:r>
      <w:r>
        <w:rPr>
          <w:i/>
          <w:sz w:val="20"/>
          <w:szCs w:val="20"/>
        </w:rPr>
        <w:t xml:space="preserve"> </w:t>
      </w:r>
      <w:r w:rsidRPr="006746FE">
        <w:rPr>
          <w:i/>
          <w:sz w:val="20"/>
          <w:szCs w:val="20"/>
        </w:rPr>
        <w:t>APS Statistical Bulletin</w:t>
      </w:r>
      <w:r>
        <w:rPr>
          <w:sz w:val="20"/>
          <w:szCs w:val="20"/>
        </w:rPr>
        <w:t>. To access these reports, go to apsc.gov.au</w:t>
      </w:r>
    </w:p>
    <w:p w14:paraId="54BEFF8D" w14:textId="77777777" w:rsidR="00AB6753" w:rsidRDefault="00AB6753" w:rsidP="00AB6753">
      <w:pPr>
        <w:autoSpaceDE w:val="0"/>
        <w:autoSpaceDN w:val="0"/>
        <w:adjustRightInd w:val="0"/>
        <w:spacing w:before="120" w:after="180" w:line="280" w:lineRule="atLeast"/>
        <w:ind w:right="-164"/>
        <w:rPr>
          <w:b/>
          <w:sz w:val="28"/>
        </w:rPr>
      </w:pPr>
    </w:p>
    <w:p w14:paraId="3E5E9811" w14:textId="77777777" w:rsidR="00AB6753" w:rsidRDefault="00AB6753" w:rsidP="00AB6753">
      <w:pPr>
        <w:pStyle w:val="Heading5"/>
        <w:rPr>
          <w:color w:val="auto"/>
          <w:sz w:val="28"/>
        </w:rPr>
      </w:pPr>
    </w:p>
    <w:p w14:paraId="4DFCA7D4" w14:textId="77777777" w:rsidR="00AB6753" w:rsidRPr="00F903A2" w:rsidRDefault="00AB6753" w:rsidP="00AB6753">
      <w:pPr>
        <w:sectPr w:rsidR="00AB6753" w:rsidRPr="00F903A2" w:rsidSect="006746FE">
          <w:pgSz w:w="11906" w:h="16838"/>
          <w:pgMar w:top="1440" w:right="1440" w:bottom="1440" w:left="1440" w:header="709" w:footer="709" w:gutter="0"/>
          <w:cols w:space="708"/>
          <w:docGrid w:linePitch="360"/>
        </w:sectPr>
      </w:pPr>
    </w:p>
    <w:p w14:paraId="70BF602E" w14:textId="77777777" w:rsidR="00AB6753" w:rsidRPr="006746FE" w:rsidRDefault="00AB6753" w:rsidP="00AB6753">
      <w:pPr>
        <w:pStyle w:val="Heading5"/>
        <w:rPr>
          <w:color w:val="auto"/>
          <w:sz w:val="28"/>
        </w:rPr>
      </w:pPr>
      <w:r w:rsidRPr="006746FE">
        <w:rPr>
          <w:color w:val="auto"/>
          <w:sz w:val="28"/>
        </w:rPr>
        <w:lastRenderedPageBreak/>
        <w:t>Appendix F</w:t>
      </w:r>
    </w:p>
    <w:p w14:paraId="78D9C1B0" w14:textId="77777777" w:rsidR="00AB6753" w:rsidRPr="00054A67" w:rsidRDefault="00AB6753" w:rsidP="00AB6753">
      <w:pPr>
        <w:pStyle w:val="Heading1"/>
        <w:spacing w:before="240" w:after="240"/>
        <w:rPr>
          <w:rFonts w:ascii="Georgia" w:hAnsi="Georgia"/>
          <w:b w:val="0"/>
          <w:color w:val="215868" w:themeColor="accent5" w:themeShade="80"/>
          <w:sz w:val="72"/>
        </w:rPr>
      </w:pPr>
      <w:r w:rsidRPr="00054A67">
        <w:rPr>
          <w:rFonts w:ascii="Georgia" w:hAnsi="Georgia"/>
          <w:b w:val="0"/>
          <w:color w:val="215868" w:themeColor="accent5" w:themeShade="80"/>
          <w:sz w:val="72"/>
        </w:rPr>
        <w:t>Digital reporting tool data — non-corporate Commonwealth entities</w:t>
      </w:r>
    </w:p>
    <w:p w14:paraId="54E87C3D" w14:textId="77777777" w:rsidR="00AB6753" w:rsidRPr="00F903A2" w:rsidRDefault="00AB6753" w:rsidP="00AB6753">
      <w:pPr>
        <w:rPr>
          <w:b/>
          <w:sz w:val="18"/>
          <w:szCs w:val="32"/>
          <w:u w:val="single"/>
        </w:rPr>
      </w:pPr>
      <w:bookmarkStart w:id="280" w:name="_Toc5705950"/>
      <w:r>
        <w:rPr>
          <w:rFonts w:ascii="Arial Narrow" w:hAnsi="Arial Narrow" w:cs="Calibri"/>
          <w:b/>
          <w:sz w:val="20"/>
          <w:szCs w:val="20"/>
        </w:rPr>
        <w:t xml:space="preserve">Table F-1 </w:t>
      </w:r>
      <w:r w:rsidRPr="00A65287">
        <w:rPr>
          <w:rFonts w:ascii="Arial Narrow" w:hAnsi="Arial Narrow" w:cs="Calibri"/>
          <w:b/>
          <w:sz w:val="20"/>
          <w:szCs w:val="20"/>
        </w:rPr>
        <w:t xml:space="preserve">PGPA Rule Section 17AD(da) </w:t>
      </w:r>
      <w:r w:rsidRPr="00A050FC">
        <w:rPr>
          <w:rFonts w:ascii="Arial Narrow" w:hAnsi="Arial Narrow" w:cs="Calibri"/>
          <w:b/>
          <w:sz w:val="20"/>
          <w:szCs w:val="20"/>
        </w:rPr>
        <w:t>—</w:t>
      </w:r>
      <w:r w:rsidRPr="00A65287">
        <w:rPr>
          <w:rFonts w:ascii="Arial Narrow" w:hAnsi="Arial Narrow" w:cs="Calibri"/>
          <w:b/>
          <w:sz w:val="20"/>
          <w:szCs w:val="20"/>
        </w:rPr>
        <w:t xml:space="preserve"> Executive Remuneration</w:t>
      </w:r>
      <w:r>
        <w:rPr>
          <w:rFonts w:ascii="Arial Narrow" w:hAnsi="Arial Narrow" w:cs="Calibri"/>
          <w:b/>
          <w:sz w:val="20"/>
          <w:szCs w:val="20"/>
        </w:rPr>
        <w:t xml:space="preserve"> </w:t>
      </w:r>
      <w:r w:rsidRPr="00A050FC">
        <w:rPr>
          <w:rFonts w:ascii="Arial Narrow" w:hAnsi="Arial Narrow" w:cs="Calibri"/>
          <w:b/>
          <w:sz w:val="20"/>
          <w:szCs w:val="20"/>
        </w:rPr>
        <w:t>—</w:t>
      </w:r>
      <w:r>
        <w:rPr>
          <w:rFonts w:ascii="Arial Narrow" w:hAnsi="Arial Narrow" w:cs="Calibri"/>
          <w:b/>
          <w:sz w:val="20"/>
          <w:szCs w:val="20"/>
        </w:rPr>
        <w:t xml:space="preserve"> </w:t>
      </w:r>
      <w:bookmarkStart w:id="281" w:name="_Toc5705949"/>
      <w:r w:rsidRPr="00A65287">
        <w:rPr>
          <w:rFonts w:ascii="Arial Narrow" w:hAnsi="Arial Narrow" w:cs="Calibri"/>
          <w:b/>
          <w:sz w:val="20"/>
          <w:szCs w:val="20"/>
        </w:rPr>
        <w:t>Information about remuneration for key management personnel</w:t>
      </w:r>
      <w:bookmarkEnd w:id="281"/>
    </w:p>
    <w:tbl>
      <w:tblPr>
        <w:tblW w:w="150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Caption w:val="Table F-1 PGPA Rule Section 17AD(da) — Executive Remuneration — Information about remuneration for key management personnel"/>
        <w:tblDescription w:val="Table F-1 PGPA Rule Section 17AD(da) — Executive Remuneration — Information about remuneration for key management personnel"/>
      </w:tblPr>
      <w:tblGrid>
        <w:gridCol w:w="2127"/>
        <w:gridCol w:w="1984"/>
        <w:gridCol w:w="1134"/>
        <w:gridCol w:w="1134"/>
        <w:gridCol w:w="1417"/>
        <w:gridCol w:w="1985"/>
        <w:gridCol w:w="992"/>
        <w:gridCol w:w="1276"/>
        <w:gridCol w:w="1417"/>
        <w:gridCol w:w="1146"/>
        <w:gridCol w:w="414"/>
      </w:tblGrid>
      <w:tr w:rsidR="00AB6753" w:rsidRPr="009D3A97" w14:paraId="12DD453B" w14:textId="77777777" w:rsidTr="002D1EA4">
        <w:tc>
          <w:tcPr>
            <w:tcW w:w="2127" w:type="dxa"/>
            <w:tcBorders>
              <w:top w:val="nil"/>
              <w:left w:val="nil"/>
              <w:bottom w:val="single" w:sz="12" w:space="0" w:color="auto"/>
              <w:right w:val="nil"/>
            </w:tcBorders>
            <w:shd w:val="clear" w:color="auto" w:fill="auto"/>
          </w:tcPr>
          <w:p w14:paraId="75F32160" w14:textId="77777777" w:rsidR="00AB6753" w:rsidRPr="00A526BE" w:rsidRDefault="00AB6753" w:rsidP="002D1EA4">
            <w:pPr>
              <w:pStyle w:val="TableHeading"/>
              <w:spacing w:before="0" w:line="240" w:lineRule="auto"/>
              <w:rPr>
                <w:rFonts w:ascii="Arial" w:hAnsi="Arial" w:cs="Arial"/>
              </w:rPr>
            </w:pPr>
          </w:p>
        </w:tc>
        <w:tc>
          <w:tcPr>
            <w:tcW w:w="1984" w:type="dxa"/>
            <w:tcBorders>
              <w:top w:val="nil"/>
              <w:left w:val="nil"/>
              <w:bottom w:val="single" w:sz="12" w:space="0" w:color="auto"/>
              <w:right w:val="single" w:sz="12" w:space="0" w:color="auto"/>
            </w:tcBorders>
            <w:shd w:val="clear" w:color="auto" w:fill="auto"/>
          </w:tcPr>
          <w:p w14:paraId="0B544B53" w14:textId="77777777" w:rsidR="00AB6753" w:rsidRPr="00A526BE" w:rsidRDefault="00AB6753" w:rsidP="002D1EA4">
            <w:pPr>
              <w:pStyle w:val="TableHeading"/>
              <w:spacing w:before="0" w:line="240" w:lineRule="auto"/>
              <w:rPr>
                <w:rFonts w:ascii="Arial" w:hAnsi="Arial" w:cs="Arial"/>
              </w:rPr>
            </w:pPr>
          </w:p>
        </w:tc>
        <w:tc>
          <w:tcPr>
            <w:tcW w:w="3685" w:type="dxa"/>
            <w:gridSpan w:val="3"/>
            <w:tcBorders>
              <w:top w:val="single" w:sz="12" w:space="0" w:color="auto"/>
              <w:left w:val="single" w:sz="12" w:space="0" w:color="auto"/>
              <w:bottom w:val="single" w:sz="12" w:space="0" w:color="auto"/>
              <w:right w:val="single" w:sz="12" w:space="0" w:color="auto"/>
            </w:tcBorders>
            <w:shd w:val="clear" w:color="auto" w:fill="auto"/>
          </w:tcPr>
          <w:p w14:paraId="3BDA74E9" w14:textId="77777777" w:rsidR="00AB6753" w:rsidRPr="00A526BE" w:rsidRDefault="00AB6753" w:rsidP="002D1EA4">
            <w:pPr>
              <w:pStyle w:val="TableHeading"/>
              <w:spacing w:before="0" w:line="240" w:lineRule="auto"/>
              <w:jc w:val="center"/>
              <w:rPr>
                <w:rFonts w:ascii="Arial" w:hAnsi="Arial" w:cs="Arial"/>
              </w:rPr>
            </w:pPr>
            <w:r w:rsidRPr="00A526BE">
              <w:rPr>
                <w:rFonts w:ascii="Arial" w:hAnsi="Arial" w:cs="Arial"/>
              </w:rPr>
              <w:t>S</w:t>
            </w:r>
            <w:bookmarkStart w:id="282" w:name="BK_S4P1L9C2"/>
            <w:bookmarkEnd w:id="282"/>
            <w:r w:rsidRPr="00A526BE">
              <w:rPr>
                <w:rFonts w:ascii="Arial" w:hAnsi="Arial" w:cs="Arial"/>
              </w:rPr>
              <w:t>hort</w:t>
            </w:r>
            <w:r w:rsidRPr="00A526BE">
              <w:rPr>
                <w:rFonts w:ascii="Arial" w:hAnsi="Arial" w:cs="Arial"/>
              </w:rPr>
              <w:noBreakHyphen/>
              <w:t>term benefits</w:t>
            </w:r>
          </w:p>
        </w:tc>
        <w:tc>
          <w:tcPr>
            <w:tcW w:w="1985" w:type="dxa"/>
            <w:tcBorders>
              <w:top w:val="single" w:sz="12" w:space="0" w:color="auto"/>
              <w:left w:val="single" w:sz="12" w:space="0" w:color="auto"/>
              <w:bottom w:val="single" w:sz="12" w:space="0" w:color="auto"/>
              <w:right w:val="single" w:sz="12" w:space="0" w:color="auto"/>
            </w:tcBorders>
            <w:shd w:val="clear" w:color="auto" w:fill="auto"/>
          </w:tcPr>
          <w:p w14:paraId="46C3EC9B" w14:textId="77777777" w:rsidR="00AB6753" w:rsidRPr="00A526BE" w:rsidRDefault="00AB6753" w:rsidP="002D1EA4">
            <w:pPr>
              <w:pStyle w:val="TableHeading"/>
              <w:spacing w:before="0" w:line="240" w:lineRule="auto"/>
              <w:jc w:val="center"/>
              <w:rPr>
                <w:rFonts w:ascii="Arial" w:hAnsi="Arial" w:cs="Arial"/>
              </w:rPr>
            </w:pPr>
            <w:r w:rsidRPr="00A526BE">
              <w:rPr>
                <w:rFonts w:ascii="Arial" w:hAnsi="Arial" w:cs="Arial"/>
              </w:rPr>
              <w:t>Post</w:t>
            </w:r>
            <w:r w:rsidRPr="00A526BE">
              <w:rPr>
                <w:rFonts w:ascii="Arial" w:hAnsi="Arial" w:cs="Arial"/>
              </w:rPr>
              <w:noBreakHyphen/>
              <w:t>employment benefits</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auto"/>
          </w:tcPr>
          <w:p w14:paraId="6558C79B" w14:textId="77777777" w:rsidR="00AB6753" w:rsidRPr="00A526BE" w:rsidRDefault="00AB6753" w:rsidP="002D1EA4">
            <w:pPr>
              <w:pStyle w:val="TableHeading"/>
              <w:spacing w:before="0" w:line="240" w:lineRule="auto"/>
              <w:jc w:val="center"/>
              <w:rPr>
                <w:rFonts w:ascii="Arial" w:hAnsi="Arial" w:cs="Arial"/>
              </w:rPr>
            </w:pPr>
            <w:r w:rsidRPr="00A526BE">
              <w:rPr>
                <w:rFonts w:ascii="Arial" w:hAnsi="Arial" w:cs="Arial"/>
              </w:rPr>
              <w:t>Other long</w:t>
            </w:r>
            <w:r w:rsidRPr="00A526BE">
              <w:rPr>
                <w:rFonts w:ascii="Arial" w:hAnsi="Arial" w:cs="Arial"/>
              </w:rPr>
              <w:noBreakHyphen/>
              <w:t>term benefits</w:t>
            </w:r>
          </w:p>
        </w:tc>
        <w:tc>
          <w:tcPr>
            <w:tcW w:w="1417" w:type="dxa"/>
            <w:tcBorders>
              <w:top w:val="single" w:sz="12" w:space="0" w:color="auto"/>
              <w:left w:val="single" w:sz="12" w:space="0" w:color="auto"/>
              <w:bottom w:val="single" w:sz="12" w:space="0" w:color="auto"/>
              <w:right w:val="single" w:sz="12" w:space="0" w:color="auto"/>
            </w:tcBorders>
            <w:shd w:val="clear" w:color="auto" w:fill="auto"/>
          </w:tcPr>
          <w:p w14:paraId="19EE6239" w14:textId="77777777" w:rsidR="00AB6753" w:rsidRPr="00A526BE" w:rsidRDefault="00AB6753" w:rsidP="002D1EA4">
            <w:pPr>
              <w:pStyle w:val="TableHeading"/>
              <w:spacing w:before="0" w:line="240" w:lineRule="auto"/>
              <w:jc w:val="center"/>
              <w:rPr>
                <w:rFonts w:ascii="Arial" w:hAnsi="Arial" w:cs="Arial"/>
              </w:rPr>
            </w:pPr>
            <w:r w:rsidRPr="00A526BE">
              <w:rPr>
                <w:rFonts w:ascii="Arial" w:hAnsi="Arial" w:cs="Arial"/>
              </w:rPr>
              <w:t>Termination benefits</w:t>
            </w:r>
          </w:p>
        </w:tc>
        <w:tc>
          <w:tcPr>
            <w:tcW w:w="1560" w:type="dxa"/>
            <w:gridSpan w:val="2"/>
            <w:tcBorders>
              <w:top w:val="single" w:sz="12" w:space="0" w:color="auto"/>
              <w:left w:val="single" w:sz="12" w:space="0" w:color="auto"/>
              <w:bottom w:val="single" w:sz="12" w:space="0" w:color="auto"/>
            </w:tcBorders>
            <w:shd w:val="clear" w:color="auto" w:fill="auto"/>
          </w:tcPr>
          <w:p w14:paraId="693AE12C" w14:textId="77777777" w:rsidR="00AB6753" w:rsidRPr="00A526BE" w:rsidRDefault="00AB6753" w:rsidP="002D1EA4">
            <w:pPr>
              <w:pStyle w:val="TableHeading"/>
              <w:spacing w:before="0" w:line="240" w:lineRule="auto"/>
              <w:jc w:val="center"/>
              <w:rPr>
                <w:rFonts w:ascii="Arial" w:hAnsi="Arial" w:cs="Arial"/>
              </w:rPr>
            </w:pPr>
            <w:r w:rsidRPr="00A526BE">
              <w:rPr>
                <w:rFonts w:ascii="Arial" w:hAnsi="Arial" w:cs="Arial"/>
              </w:rPr>
              <w:t>Total remuneration</w:t>
            </w:r>
          </w:p>
        </w:tc>
      </w:tr>
      <w:tr w:rsidR="00AB6753" w:rsidRPr="009D3A97" w14:paraId="44816512" w14:textId="77777777" w:rsidTr="002D1EA4">
        <w:tc>
          <w:tcPr>
            <w:tcW w:w="2127" w:type="dxa"/>
            <w:tcBorders>
              <w:top w:val="single" w:sz="12" w:space="0" w:color="auto"/>
              <w:bottom w:val="single" w:sz="12" w:space="0" w:color="auto"/>
              <w:right w:val="single" w:sz="12" w:space="0" w:color="auto"/>
            </w:tcBorders>
            <w:shd w:val="clear" w:color="auto" w:fill="auto"/>
          </w:tcPr>
          <w:p w14:paraId="4DB59FA8" w14:textId="77777777" w:rsidR="00AB6753" w:rsidRPr="00A526BE" w:rsidRDefault="00AB6753" w:rsidP="002D1EA4">
            <w:pPr>
              <w:pStyle w:val="TableHeading"/>
              <w:spacing w:before="0" w:line="240" w:lineRule="auto"/>
              <w:rPr>
                <w:rFonts w:ascii="Arial" w:hAnsi="Arial" w:cs="Arial"/>
              </w:rPr>
            </w:pPr>
            <w:r w:rsidRPr="009D3A97">
              <w:rPr>
                <w:rFonts w:ascii="Arial" w:hAnsi="Arial" w:cs="Arial"/>
              </w:rPr>
              <w:t>Name</w:t>
            </w:r>
          </w:p>
        </w:tc>
        <w:tc>
          <w:tcPr>
            <w:tcW w:w="1984" w:type="dxa"/>
            <w:tcBorders>
              <w:top w:val="single" w:sz="12" w:space="0" w:color="auto"/>
              <w:left w:val="single" w:sz="12" w:space="0" w:color="auto"/>
              <w:bottom w:val="single" w:sz="12" w:space="0" w:color="auto"/>
              <w:right w:val="single" w:sz="12" w:space="0" w:color="auto"/>
            </w:tcBorders>
            <w:shd w:val="clear" w:color="auto" w:fill="auto"/>
          </w:tcPr>
          <w:p w14:paraId="4BBAC4DA" w14:textId="77777777" w:rsidR="00AB6753" w:rsidRPr="00A526BE" w:rsidRDefault="00AB6753" w:rsidP="002D1EA4">
            <w:pPr>
              <w:pStyle w:val="TableHeading"/>
              <w:spacing w:before="0" w:line="240" w:lineRule="auto"/>
              <w:rPr>
                <w:rFonts w:ascii="Arial" w:hAnsi="Arial" w:cs="Arial"/>
              </w:rPr>
            </w:pPr>
            <w:r w:rsidRPr="00E53675">
              <w:rPr>
                <w:rFonts w:ascii="Arial" w:hAnsi="Arial" w:cs="Arial"/>
              </w:rPr>
              <w:t>Position title</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571EAA59" w14:textId="77777777" w:rsidR="00AB6753" w:rsidRDefault="00AB6753" w:rsidP="002D1EA4">
            <w:pPr>
              <w:pStyle w:val="TableHeading"/>
              <w:tabs>
                <w:tab w:val="left" w:pos="-567"/>
              </w:tabs>
              <w:spacing w:before="0" w:line="240" w:lineRule="auto"/>
              <w:jc w:val="center"/>
              <w:rPr>
                <w:rFonts w:ascii="Arial" w:hAnsi="Arial" w:cs="Arial"/>
                <w:bCs/>
                <w:color w:val="000000"/>
              </w:rPr>
            </w:pPr>
            <w:r>
              <w:rPr>
                <w:rFonts w:ascii="Arial" w:hAnsi="Arial" w:cs="Arial"/>
                <w:bCs/>
                <w:color w:val="000000"/>
              </w:rPr>
              <w:t xml:space="preserve">$ </w:t>
            </w:r>
          </w:p>
          <w:p w14:paraId="4E79F94A" w14:textId="77777777" w:rsidR="00AB6753" w:rsidRPr="00A526BE" w:rsidRDefault="00AB6753" w:rsidP="002D1EA4">
            <w:pPr>
              <w:pStyle w:val="TableHeading"/>
              <w:tabs>
                <w:tab w:val="left" w:pos="-567"/>
              </w:tabs>
              <w:spacing w:before="0" w:line="240" w:lineRule="auto"/>
              <w:jc w:val="center"/>
              <w:rPr>
                <w:rFonts w:ascii="Arial" w:hAnsi="Arial" w:cs="Arial"/>
                <w:bCs/>
                <w:color w:val="000000"/>
                <w:vertAlign w:val="superscript"/>
              </w:rPr>
            </w:pPr>
            <w:r w:rsidRPr="00E53675">
              <w:rPr>
                <w:rFonts w:ascii="Arial" w:hAnsi="Arial" w:cs="Arial"/>
                <w:bCs/>
                <w:color w:val="000000"/>
              </w:rPr>
              <w:t>Base salary</w:t>
            </w:r>
            <w:r w:rsidRPr="00E53675">
              <w:rPr>
                <w:rFonts w:ascii="Arial" w:hAnsi="Arial" w:cs="Arial"/>
                <w:b w:val="0"/>
                <w:bCs/>
                <w:color w:val="000000"/>
                <w:vertAlign w:val="superscript"/>
              </w:rPr>
              <w:t>1</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385D675F" w14:textId="77777777" w:rsidR="00AB6753" w:rsidRPr="00A526BE" w:rsidRDefault="00AB6753" w:rsidP="002D1EA4">
            <w:pPr>
              <w:pStyle w:val="TableHeading"/>
              <w:tabs>
                <w:tab w:val="left" w:pos="-567"/>
              </w:tabs>
              <w:spacing w:before="0" w:line="240" w:lineRule="auto"/>
              <w:jc w:val="center"/>
              <w:rPr>
                <w:rFonts w:ascii="Arial" w:hAnsi="Arial" w:cs="Arial"/>
              </w:rPr>
            </w:pPr>
            <w:r>
              <w:rPr>
                <w:rFonts w:ascii="Arial" w:hAnsi="Arial" w:cs="Arial"/>
              </w:rPr>
              <w:t xml:space="preserve">$ </w:t>
            </w:r>
            <w:r w:rsidRPr="00E53675">
              <w:rPr>
                <w:rFonts w:ascii="Arial" w:hAnsi="Arial" w:cs="Arial"/>
              </w:rPr>
              <w:t>Bonuses</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14:paraId="72537908" w14:textId="77777777" w:rsidR="00AB6753" w:rsidRDefault="00AB6753" w:rsidP="002D1EA4">
            <w:pPr>
              <w:pStyle w:val="TableHeading"/>
              <w:spacing w:before="0" w:line="240" w:lineRule="auto"/>
              <w:jc w:val="center"/>
              <w:rPr>
                <w:rFonts w:ascii="Arial" w:hAnsi="Arial" w:cs="Arial"/>
                <w:bCs/>
                <w:color w:val="000000"/>
              </w:rPr>
            </w:pPr>
            <w:r>
              <w:rPr>
                <w:rFonts w:ascii="Arial" w:hAnsi="Arial" w:cs="Arial"/>
                <w:bCs/>
                <w:color w:val="000000"/>
              </w:rPr>
              <w:t xml:space="preserve">$ </w:t>
            </w:r>
          </w:p>
          <w:p w14:paraId="075719BA" w14:textId="77777777" w:rsidR="00AB6753" w:rsidRPr="00A526BE" w:rsidRDefault="00AB6753" w:rsidP="002D1EA4">
            <w:pPr>
              <w:pStyle w:val="TableHeading"/>
              <w:spacing w:before="0" w:line="240" w:lineRule="auto"/>
              <w:jc w:val="center"/>
              <w:rPr>
                <w:rFonts w:ascii="Arial" w:hAnsi="Arial" w:cs="Arial"/>
              </w:rPr>
            </w:pPr>
            <w:r w:rsidRPr="00E53675">
              <w:rPr>
                <w:rFonts w:ascii="Arial" w:hAnsi="Arial" w:cs="Arial"/>
                <w:bCs/>
                <w:color w:val="000000"/>
              </w:rPr>
              <w:t>Other benefits and allowances</w:t>
            </w:r>
            <w:r w:rsidRPr="00E53675">
              <w:rPr>
                <w:rFonts w:ascii="Arial" w:hAnsi="Arial" w:cs="Arial"/>
                <w:b w:val="0"/>
                <w:bCs/>
                <w:color w:val="000000"/>
                <w:vertAlign w:val="superscript"/>
              </w:rPr>
              <w:t>2</w:t>
            </w:r>
          </w:p>
        </w:tc>
        <w:tc>
          <w:tcPr>
            <w:tcW w:w="1985" w:type="dxa"/>
            <w:tcBorders>
              <w:top w:val="single" w:sz="12" w:space="0" w:color="auto"/>
              <w:left w:val="single" w:sz="12" w:space="0" w:color="auto"/>
              <w:bottom w:val="single" w:sz="12" w:space="0" w:color="auto"/>
              <w:right w:val="single" w:sz="12" w:space="0" w:color="auto"/>
            </w:tcBorders>
            <w:shd w:val="clear" w:color="auto" w:fill="auto"/>
            <w:vAlign w:val="center"/>
          </w:tcPr>
          <w:p w14:paraId="3382A4C0" w14:textId="77777777" w:rsidR="00AB6753" w:rsidRDefault="00AB6753" w:rsidP="002D1EA4">
            <w:pPr>
              <w:pStyle w:val="TableHeading"/>
              <w:spacing w:before="0" w:line="240" w:lineRule="auto"/>
              <w:jc w:val="center"/>
              <w:rPr>
                <w:rFonts w:ascii="Arial" w:hAnsi="Arial" w:cs="Arial"/>
                <w:bCs/>
                <w:color w:val="000000"/>
              </w:rPr>
            </w:pPr>
            <w:r>
              <w:rPr>
                <w:rFonts w:ascii="Arial" w:hAnsi="Arial" w:cs="Arial"/>
                <w:bCs/>
                <w:color w:val="000000"/>
              </w:rPr>
              <w:t>$</w:t>
            </w:r>
          </w:p>
          <w:p w14:paraId="35F72BB9" w14:textId="77777777" w:rsidR="00AB6753" w:rsidRPr="00A526BE" w:rsidRDefault="00AB6753" w:rsidP="002D1EA4">
            <w:pPr>
              <w:pStyle w:val="TableHeading"/>
              <w:spacing w:before="0" w:line="240" w:lineRule="auto"/>
              <w:jc w:val="center"/>
              <w:rPr>
                <w:rFonts w:ascii="Arial" w:hAnsi="Arial" w:cs="Arial"/>
              </w:rPr>
            </w:pPr>
            <w:r w:rsidRPr="00E53675">
              <w:rPr>
                <w:rFonts w:ascii="Arial" w:hAnsi="Arial" w:cs="Arial"/>
                <w:bCs/>
                <w:color w:val="000000"/>
              </w:rPr>
              <w:t>Superannuation contributions</w:t>
            </w:r>
            <w:r w:rsidRPr="00E53675">
              <w:rPr>
                <w:rFonts w:ascii="Arial" w:hAnsi="Arial" w:cs="Arial"/>
                <w:b w:val="0"/>
                <w:bCs/>
                <w:color w:val="000000"/>
                <w:vertAlign w:val="superscript"/>
              </w:rPr>
              <w:t>3</w:t>
            </w:r>
          </w:p>
        </w:tc>
        <w:tc>
          <w:tcPr>
            <w:tcW w:w="992" w:type="dxa"/>
            <w:tcBorders>
              <w:top w:val="single" w:sz="12" w:space="0" w:color="auto"/>
              <w:left w:val="single" w:sz="12" w:space="0" w:color="auto"/>
              <w:bottom w:val="single" w:sz="12" w:space="0" w:color="auto"/>
              <w:right w:val="single" w:sz="12" w:space="0" w:color="auto"/>
            </w:tcBorders>
            <w:shd w:val="clear" w:color="auto" w:fill="auto"/>
            <w:vAlign w:val="center"/>
          </w:tcPr>
          <w:p w14:paraId="6655271B" w14:textId="77777777" w:rsidR="00AB6753" w:rsidRDefault="00AB6753" w:rsidP="002D1EA4">
            <w:pPr>
              <w:pStyle w:val="TableHeading"/>
              <w:spacing w:before="0" w:line="240" w:lineRule="auto"/>
              <w:jc w:val="center"/>
              <w:rPr>
                <w:rFonts w:ascii="Arial" w:hAnsi="Arial" w:cs="Arial"/>
                <w:bCs/>
                <w:color w:val="000000"/>
              </w:rPr>
            </w:pPr>
            <w:r>
              <w:rPr>
                <w:rFonts w:ascii="Arial" w:hAnsi="Arial" w:cs="Arial"/>
                <w:bCs/>
                <w:color w:val="000000"/>
              </w:rPr>
              <w:t>$</w:t>
            </w:r>
          </w:p>
          <w:p w14:paraId="6BCA1AE9" w14:textId="77777777" w:rsidR="00AB6753" w:rsidRPr="00A526BE" w:rsidRDefault="00AB6753" w:rsidP="002D1EA4">
            <w:pPr>
              <w:pStyle w:val="TableHeading"/>
              <w:spacing w:before="0" w:line="240" w:lineRule="auto"/>
              <w:jc w:val="center"/>
              <w:rPr>
                <w:rFonts w:ascii="Arial" w:hAnsi="Arial" w:cs="Arial"/>
              </w:rPr>
            </w:pPr>
            <w:r w:rsidRPr="00E53675">
              <w:rPr>
                <w:rFonts w:ascii="Arial" w:hAnsi="Arial" w:cs="Arial"/>
                <w:bCs/>
                <w:color w:val="000000"/>
              </w:rPr>
              <w:t>Long service leave</w:t>
            </w:r>
            <w:r w:rsidRPr="00E53675">
              <w:rPr>
                <w:rFonts w:ascii="Arial" w:hAnsi="Arial" w:cs="Arial"/>
                <w:b w:val="0"/>
                <w:bCs/>
                <w:color w:val="000000"/>
                <w:vertAlign w:val="superscript"/>
              </w:rPr>
              <w:t>4</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14:paraId="43775042" w14:textId="77777777" w:rsidR="00AB6753" w:rsidRDefault="00AB6753" w:rsidP="002D1EA4">
            <w:pPr>
              <w:pStyle w:val="TableHeading"/>
              <w:tabs>
                <w:tab w:val="left" w:pos="-567"/>
              </w:tabs>
              <w:spacing w:before="0" w:line="240" w:lineRule="auto"/>
              <w:jc w:val="center"/>
              <w:rPr>
                <w:rFonts w:ascii="Arial" w:hAnsi="Arial" w:cs="Arial"/>
              </w:rPr>
            </w:pPr>
            <w:r>
              <w:rPr>
                <w:rFonts w:ascii="Arial" w:hAnsi="Arial" w:cs="Arial"/>
              </w:rPr>
              <w:t>$</w:t>
            </w:r>
          </w:p>
          <w:p w14:paraId="534ED84E" w14:textId="77777777" w:rsidR="00AB6753" w:rsidRPr="00A526BE" w:rsidRDefault="00AB6753" w:rsidP="002D1EA4">
            <w:pPr>
              <w:pStyle w:val="TableHeading"/>
              <w:tabs>
                <w:tab w:val="left" w:pos="-567"/>
              </w:tabs>
              <w:spacing w:before="0" w:line="240" w:lineRule="auto"/>
              <w:jc w:val="center"/>
              <w:rPr>
                <w:rFonts w:ascii="Arial" w:hAnsi="Arial" w:cs="Arial"/>
              </w:rPr>
            </w:pPr>
            <w:r w:rsidRPr="00E53675">
              <w:rPr>
                <w:rFonts w:ascii="Arial" w:hAnsi="Arial" w:cs="Arial"/>
              </w:rPr>
              <w:t>Other long</w:t>
            </w:r>
            <w:r w:rsidRPr="00E53675">
              <w:rPr>
                <w:rFonts w:ascii="Arial" w:hAnsi="Arial" w:cs="Arial"/>
              </w:rPr>
              <w:noBreakHyphen/>
              <w:t>term benefits</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14:paraId="12CD0A7F" w14:textId="77777777" w:rsidR="00AB6753" w:rsidRPr="00A526BE" w:rsidRDefault="00AB6753" w:rsidP="002D1EA4">
            <w:pPr>
              <w:pStyle w:val="TableHeading"/>
              <w:spacing w:before="0" w:line="240" w:lineRule="auto"/>
              <w:jc w:val="center"/>
              <w:rPr>
                <w:rFonts w:ascii="Arial" w:hAnsi="Arial" w:cs="Arial"/>
              </w:rPr>
            </w:pPr>
            <w:r>
              <w:rPr>
                <w:rFonts w:ascii="Arial" w:hAnsi="Arial" w:cs="Arial"/>
              </w:rPr>
              <w:t>$</w:t>
            </w:r>
          </w:p>
        </w:tc>
        <w:tc>
          <w:tcPr>
            <w:tcW w:w="1560" w:type="dxa"/>
            <w:gridSpan w:val="2"/>
            <w:tcBorders>
              <w:top w:val="single" w:sz="12" w:space="0" w:color="auto"/>
              <w:left w:val="single" w:sz="12" w:space="0" w:color="auto"/>
              <w:bottom w:val="single" w:sz="12" w:space="0" w:color="auto"/>
            </w:tcBorders>
            <w:shd w:val="clear" w:color="auto" w:fill="auto"/>
            <w:vAlign w:val="center"/>
          </w:tcPr>
          <w:p w14:paraId="5F185BAA" w14:textId="77777777" w:rsidR="00AB6753" w:rsidRPr="00A526BE" w:rsidRDefault="00AB6753" w:rsidP="002D1EA4">
            <w:pPr>
              <w:pStyle w:val="TableHeading"/>
              <w:spacing w:before="0" w:line="240" w:lineRule="auto"/>
              <w:jc w:val="center"/>
              <w:rPr>
                <w:rFonts w:ascii="Arial" w:hAnsi="Arial" w:cs="Arial"/>
              </w:rPr>
            </w:pPr>
            <w:r>
              <w:rPr>
                <w:rFonts w:ascii="Arial" w:hAnsi="Arial" w:cs="Arial"/>
              </w:rPr>
              <w:t>$</w:t>
            </w:r>
          </w:p>
        </w:tc>
      </w:tr>
      <w:tr w:rsidR="00AB6753" w:rsidRPr="009D3A97" w14:paraId="399B046A" w14:textId="77777777" w:rsidTr="002D1EA4">
        <w:tc>
          <w:tcPr>
            <w:tcW w:w="2127" w:type="dxa"/>
            <w:tcBorders>
              <w:top w:val="single" w:sz="12" w:space="0" w:color="auto"/>
              <w:left w:val="single" w:sz="12" w:space="0" w:color="auto"/>
              <w:bottom w:val="single" w:sz="4" w:space="0" w:color="auto"/>
              <w:right w:val="single" w:sz="12" w:space="0" w:color="auto"/>
            </w:tcBorders>
            <w:shd w:val="clear" w:color="auto" w:fill="auto"/>
            <w:vAlign w:val="center"/>
          </w:tcPr>
          <w:p w14:paraId="330F34FD" w14:textId="77777777" w:rsidR="00AB6753" w:rsidRPr="00A526BE" w:rsidRDefault="00AB6753" w:rsidP="002D1EA4">
            <w:pPr>
              <w:pStyle w:val="Tabletext"/>
              <w:spacing w:before="0" w:line="240" w:lineRule="auto"/>
              <w:rPr>
                <w:rFonts w:ascii="Arial" w:hAnsi="Arial" w:cs="Arial"/>
              </w:rPr>
            </w:pPr>
            <w:r w:rsidRPr="009D3A97">
              <w:rPr>
                <w:rFonts w:ascii="Arial" w:hAnsi="Arial" w:cs="Arial"/>
                <w:color w:val="000000"/>
              </w:rPr>
              <w:t>Kathryn Campbell</w:t>
            </w:r>
          </w:p>
        </w:tc>
        <w:tc>
          <w:tcPr>
            <w:tcW w:w="1984" w:type="dxa"/>
            <w:tcBorders>
              <w:top w:val="single" w:sz="12" w:space="0" w:color="auto"/>
              <w:left w:val="single" w:sz="12" w:space="0" w:color="auto"/>
              <w:bottom w:val="single" w:sz="6" w:space="0" w:color="auto"/>
              <w:right w:val="single" w:sz="12" w:space="0" w:color="auto"/>
            </w:tcBorders>
            <w:shd w:val="clear" w:color="auto" w:fill="auto"/>
            <w:vAlign w:val="center"/>
          </w:tcPr>
          <w:p w14:paraId="69709264" w14:textId="77777777" w:rsidR="00AB6753" w:rsidRPr="00A526BE" w:rsidRDefault="00AB6753" w:rsidP="002D1EA4">
            <w:pPr>
              <w:pStyle w:val="Tabletext"/>
              <w:spacing w:before="0" w:line="240" w:lineRule="auto"/>
              <w:rPr>
                <w:rFonts w:ascii="Arial" w:hAnsi="Arial" w:cs="Arial"/>
              </w:rPr>
            </w:pPr>
            <w:r w:rsidRPr="00E53675">
              <w:rPr>
                <w:rFonts w:ascii="Arial" w:hAnsi="Arial" w:cs="Arial"/>
                <w:color w:val="000000"/>
              </w:rPr>
              <w:t>Secretary</w:t>
            </w:r>
          </w:p>
        </w:tc>
        <w:tc>
          <w:tcPr>
            <w:tcW w:w="1134" w:type="dxa"/>
            <w:tcBorders>
              <w:top w:val="single" w:sz="12" w:space="0" w:color="auto"/>
              <w:left w:val="single" w:sz="12" w:space="0" w:color="auto"/>
              <w:bottom w:val="single" w:sz="6" w:space="0" w:color="auto"/>
              <w:right w:val="single" w:sz="12" w:space="0" w:color="auto"/>
            </w:tcBorders>
            <w:shd w:val="clear" w:color="auto" w:fill="auto"/>
            <w:vAlign w:val="center"/>
          </w:tcPr>
          <w:p w14:paraId="1EAD0748"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677,371</w:t>
            </w:r>
          </w:p>
        </w:tc>
        <w:tc>
          <w:tcPr>
            <w:tcW w:w="1134" w:type="dxa"/>
            <w:tcBorders>
              <w:top w:val="single" w:sz="12" w:space="0" w:color="auto"/>
              <w:left w:val="single" w:sz="12" w:space="0" w:color="auto"/>
              <w:right w:val="single" w:sz="12" w:space="0" w:color="auto"/>
            </w:tcBorders>
            <w:shd w:val="clear" w:color="auto" w:fill="auto"/>
            <w:vAlign w:val="center"/>
          </w:tcPr>
          <w:p w14:paraId="6EFD1FC8"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417" w:type="dxa"/>
            <w:tcBorders>
              <w:top w:val="single" w:sz="12" w:space="0" w:color="auto"/>
              <w:left w:val="single" w:sz="12" w:space="0" w:color="auto"/>
              <w:bottom w:val="single" w:sz="6" w:space="0" w:color="auto"/>
              <w:right w:val="single" w:sz="12" w:space="0" w:color="auto"/>
            </w:tcBorders>
            <w:shd w:val="clear" w:color="auto" w:fill="auto"/>
            <w:vAlign w:val="center"/>
          </w:tcPr>
          <w:p w14:paraId="7FB9388F"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52,823</w:t>
            </w:r>
          </w:p>
        </w:tc>
        <w:tc>
          <w:tcPr>
            <w:tcW w:w="1985" w:type="dxa"/>
            <w:tcBorders>
              <w:top w:val="single" w:sz="12" w:space="0" w:color="auto"/>
              <w:left w:val="single" w:sz="12" w:space="0" w:color="auto"/>
              <w:right w:val="single" w:sz="12" w:space="0" w:color="auto"/>
            </w:tcBorders>
            <w:shd w:val="clear" w:color="auto" w:fill="auto"/>
            <w:vAlign w:val="center"/>
          </w:tcPr>
          <w:p w14:paraId="7FBBBE5B"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101,294</w:t>
            </w:r>
          </w:p>
        </w:tc>
        <w:tc>
          <w:tcPr>
            <w:tcW w:w="992" w:type="dxa"/>
            <w:tcBorders>
              <w:top w:val="single" w:sz="12" w:space="0" w:color="auto"/>
              <w:left w:val="single" w:sz="12" w:space="0" w:color="auto"/>
              <w:bottom w:val="single" w:sz="6" w:space="0" w:color="auto"/>
              <w:right w:val="single" w:sz="12" w:space="0" w:color="auto"/>
            </w:tcBorders>
            <w:shd w:val="clear" w:color="auto" w:fill="auto"/>
            <w:vAlign w:val="center"/>
          </w:tcPr>
          <w:p w14:paraId="6082A55D"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19,430</w:t>
            </w:r>
          </w:p>
        </w:tc>
        <w:tc>
          <w:tcPr>
            <w:tcW w:w="1276" w:type="dxa"/>
            <w:tcBorders>
              <w:top w:val="single" w:sz="12" w:space="0" w:color="auto"/>
              <w:left w:val="single" w:sz="12" w:space="0" w:color="auto"/>
              <w:bottom w:val="single" w:sz="6" w:space="0" w:color="auto"/>
              <w:right w:val="single" w:sz="12" w:space="0" w:color="auto"/>
            </w:tcBorders>
            <w:shd w:val="clear" w:color="auto" w:fill="auto"/>
            <w:vAlign w:val="center"/>
          </w:tcPr>
          <w:p w14:paraId="0F0EC7D1"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417" w:type="dxa"/>
            <w:tcBorders>
              <w:top w:val="single" w:sz="12" w:space="0" w:color="auto"/>
              <w:left w:val="single" w:sz="12" w:space="0" w:color="auto"/>
              <w:bottom w:val="single" w:sz="6" w:space="0" w:color="auto"/>
              <w:right w:val="single" w:sz="12" w:space="0" w:color="auto"/>
            </w:tcBorders>
            <w:shd w:val="clear" w:color="auto" w:fill="auto"/>
            <w:vAlign w:val="center"/>
          </w:tcPr>
          <w:p w14:paraId="45144709"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560" w:type="dxa"/>
            <w:gridSpan w:val="2"/>
            <w:tcBorders>
              <w:top w:val="single" w:sz="12" w:space="0" w:color="auto"/>
              <w:left w:val="single" w:sz="12" w:space="0" w:color="auto"/>
            </w:tcBorders>
            <w:shd w:val="clear" w:color="auto" w:fill="auto"/>
            <w:vAlign w:val="center"/>
          </w:tcPr>
          <w:p w14:paraId="35F60142"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850,918</w:t>
            </w:r>
          </w:p>
        </w:tc>
      </w:tr>
      <w:tr w:rsidR="00AB6753" w:rsidRPr="009D3A97" w14:paraId="18BF6CB2" w14:textId="77777777" w:rsidTr="002D1EA4">
        <w:tc>
          <w:tcPr>
            <w:tcW w:w="2127" w:type="dxa"/>
            <w:tcBorders>
              <w:top w:val="single" w:sz="4" w:space="0" w:color="auto"/>
              <w:left w:val="single" w:sz="12" w:space="0" w:color="auto"/>
              <w:bottom w:val="single" w:sz="4" w:space="0" w:color="auto"/>
              <w:right w:val="single" w:sz="12" w:space="0" w:color="auto"/>
            </w:tcBorders>
            <w:shd w:val="clear" w:color="auto" w:fill="auto"/>
            <w:vAlign w:val="center"/>
          </w:tcPr>
          <w:p w14:paraId="0B051C45" w14:textId="77777777" w:rsidR="00AB6753" w:rsidRPr="00A526BE" w:rsidRDefault="00AB6753" w:rsidP="002D1EA4">
            <w:pPr>
              <w:pStyle w:val="Tabletext"/>
              <w:spacing w:before="0" w:line="240" w:lineRule="auto"/>
              <w:rPr>
                <w:rFonts w:ascii="Arial" w:hAnsi="Arial" w:cs="Arial"/>
              </w:rPr>
            </w:pPr>
            <w:r w:rsidRPr="009D3A97">
              <w:rPr>
                <w:rFonts w:ascii="Arial" w:hAnsi="Arial" w:cs="Arial"/>
                <w:color w:val="000000"/>
              </w:rPr>
              <w:t>Margaret McKinnon</w:t>
            </w:r>
          </w:p>
        </w:tc>
        <w:tc>
          <w:tcPr>
            <w:tcW w:w="1984" w:type="dxa"/>
            <w:tcBorders>
              <w:top w:val="single" w:sz="6" w:space="0" w:color="auto"/>
              <w:left w:val="single" w:sz="12" w:space="0" w:color="auto"/>
              <w:bottom w:val="single" w:sz="6" w:space="0" w:color="auto"/>
              <w:right w:val="single" w:sz="12" w:space="0" w:color="auto"/>
            </w:tcBorders>
            <w:shd w:val="clear" w:color="auto" w:fill="auto"/>
            <w:vAlign w:val="center"/>
          </w:tcPr>
          <w:p w14:paraId="5E1A3AA9" w14:textId="77777777" w:rsidR="00AB6753" w:rsidRPr="00A526BE" w:rsidRDefault="00AB6753" w:rsidP="002D1EA4">
            <w:pPr>
              <w:pStyle w:val="Tabletext"/>
              <w:spacing w:before="0" w:line="240" w:lineRule="auto"/>
              <w:rPr>
                <w:rFonts w:ascii="Arial" w:hAnsi="Arial" w:cs="Arial"/>
              </w:rPr>
            </w:pPr>
            <w:r w:rsidRPr="00E53675">
              <w:rPr>
                <w:rFonts w:ascii="Arial" w:hAnsi="Arial" w:cs="Arial"/>
                <w:color w:val="000000"/>
              </w:rPr>
              <w:t>Deputy Secretary</w:t>
            </w:r>
            <w:r w:rsidRPr="00E53675">
              <w:rPr>
                <w:rFonts w:ascii="Arial" w:hAnsi="Arial" w:cs="Arial"/>
                <w:color w:val="000000"/>
                <w:vertAlign w:val="superscript"/>
              </w:rPr>
              <w:t>5</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2F495D0E"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186,574</w:t>
            </w:r>
          </w:p>
        </w:tc>
        <w:tc>
          <w:tcPr>
            <w:tcW w:w="1134" w:type="dxa"/>
            <w:tcBorders>
              <w:left w:val="single" w:sz="12" w:space="0" w:color="auto"/>
              <w:right w:val="single" w:sz="12" w:space="0" w:color="auto"/>
            </w:tcBorders>
            <w:shd w:val="clear" w:color="auto" w:fill="auto"/>
            <w:vAlign w:val="center"/>
          </w:tcPr>
          <w:p w14:paraId="2C83BF00"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417" w:type="dxa"/>
            <w:tcBorders>
              <w:top w:val="single" w:sz="6" w:space="0" w:color="auto"/>
              <w:left w:val="single" w:sz="12" w:space="0" w:color="auto"/>
              <w:bottom w:val="single" w:sz="4" w:space="0" w:color="auto"/>
              <w:right w:val="single" w:sz="12" w:space="0" w:color="auto"/>
            </w:tcBorders>
            <w:shd w:val="clear" w:color="auto" w:fill="auto"/>
            <w:vAlign w:val="center"/>
          </w:tcPr>
          <w:p w14:paraId="55431F77"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21,570</w:t>
            </w:r>
          </w:p>
        </w:tc>
        <w:tc>
          <w:tcPr>
            <w:tcW w:w="1985" w:type="dxa"/>
            <w:tcBorders>
              <w:left w:val="single" w:sz="12" w:space="0" w:color="auto"/>
              <w:right w:val="single" w:sz="12" w:space="0" w:color="auto"/>
            </w:tcBorders>
            <w:shd w:val="clear" w:color="auto" w:fill="auto"/>
            <w:vAlign w:val="center"/>
          </w:tcPr>
          <w:p w14:paraId="0B1B087A"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34,188</w:t>
            </w:r>
          </w:p>
        </w:tc>
        <w:tc>
          <w:tcPr>
            <w:tcW w:w="992" w:type="dxa"/>
            <w:tcBorders>
              <w:top w:val="single" w:sz="6" w:space="0" w:color="auto"/>
              <w:left w:val="single" w:sz="12" w:space="0" w:color="auto"/>
              <w:bottom w:val="single" w:sz="6" w:space="0" w:color="auto"/>
              <w:right w:val="single" w:sz="12" w:space="0" w:color="auto"/>
            </w:tcBorders>
            <w:shd w:val="clear" w:color="auto" w:fill="auto"/>
            <w:vAlign w:val="center"/>
          </w:tcPr>
          <w:p w14:paraId="2720E78B"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6,024</w:t>
            </w:r>
          </w:p>
        </w:tc>
        <w:tc>
          <w:tcPr>
            <w:tcW w:w="1276" w:type="dxa"/>
            <w:tcBorders>
              <w:top w:val="single" w:sz="6" w:space="0" w:color="auto"/>
              <w:left w:val="single" w:sz="12" w:space="0" w:color="auto"/>
              <w:bottom w:val="single" w:sz="6" w:space="0" w:color="auto"/>
              <w:right w:val="single" w:sz="12" w:space="0" w:color="auto"/>
            </w:tcBorders>
            <w:shd w:val="clear" w:color="auto" w:fill="auto"/>
            <w:vAlign w:val="center"/>
          </w:tcPr>
          <w:p w14:paraId="345F9451"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14:paraId="51C9B294"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369,408</w:t>
            </w:r>
          </w:p>
        </w:tc>
        <w:tc>
          <w:tcPr>
            <w:tcW w:w="1560" w:type="dxa"/>
            <w:gridSpan w:val="2"/>
            <w:tcBorders>
              <w:left w:val="single" w:sz="12" w:space="0" w:color="auto"/>
            </w:tcBorders>
            <w:shd w:val="clear" w:color="auto" w:fill="auto"/>
            <w:vAlign w:val="center"/>
          </w:tcPr>
          <w:p w14:paraId="41D4B8B9"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617,764</w:t>
            </w:r>
          </w:p>
        </w:tc>
      </w:tr>
      <w:tr w:rsidR="00AB6753" w:rsidRPr="009D3A97" w14:paraId="4EFB8F5D" w14:textId="77777777" w:rsidTr="002D1EA4">
        <w:tc>
          <w:tcPr>
            <w:tcW w:w="2127" w:type="dxa"/>
            <w:tcBorders>
              <w:top w:val="single" w:sz="4" w:space="0" w:color="auto"/>
              <w:left w:val="single" w:sz="12" w:space="0" w:color="auto"/>
              <w:bottom w:val="single" w:sz="4" w:space="0" w:color="auto"/>
              <w:right w:val="single" w:sz="12" w:space="0" w:color="auto"/>
            </w:tcBorders>
            <w:shd w:val="clear" w:color="auto" w:fill="auto"/>
            <w:vAlign w:val="center"/>
          </w:tcPr>
          <w:p w14:paraId="02B9BA31" w14:textId="77777777" w:rsidR="00AB6753" w:rsidRPr="00A526BE" w:rsidRDefault="00AB6753" w:rsidP="002D1EA4">
            <w:pPr>
              <w:pStyle w:val="Tabletext"/>
              <w:spacing w:before="0" w:line="240" w:lineRule="auto"/>
              <w:rPr>
                <w:rFonts w:ascii="Arial" w:hAnsi="Arial" w:cs="Arial"/>
              </w:rPr>
            </w:pPr>
            <w:r w:rsidRPr="009D3A97">
              <w:rPr>
                <w:rFonts w:ascii="Arial" w:hAnsi="Arial" w:cs="Arial"/>
                <w:color w:val="000000"/>
              </w:rPr>
              <w:t>Elizabeth</w:t>
            </w:r>
            <w:r>
              <w:rPr>
                <w:rFonts w:ascii="Arial" w:hAnsi="Arial" w:cs="Arial"/>
                <w:color w:val="000000"/>
              </w:rPr>
              <w:br/>
            </w:r>
            <w:proofErr w:type="spellStart"/>
            <w:r w:rsidRPr="009D3A97">
              <w:rPr>
                <w:rFonts w:ascii="Arial" w:hAnsi="Arial" w:cs="Arial"/>
                <w:color w:val="000000"/>
              </w:rPr>
              <w:t>Hefren-Webb</w:t>
            </w:r>
            <w:proofErr w:type="spellEnd"/>
          </w:p>
        </w:tc>
        <w:tc>
          <w:tcPr>
            <w:tcW w:w="1984" w:type="dxa"/>
            <w:tcBorders>
              <w:top w:val="single" w:sz="6" w:space="0" w:color="auto"/>
              <w:left w:val="single" w:sz="12" w:space="0" w:color="auto"/>
              <w:bottom w:val="single" w:sz="6" w:space="0" w:color="auto"/>
              <w:right w:val="single" w:sz="12" w:space="0" w:color="auto"/>
            </w:tcBorders>
            <w:shd w:val="clear" w:color="auto" w:fill="auto"/>
            <w:vAlign w:val="center"/>
          </w:tcPr>
          <w:p w14:paraId="2A288EE4" w14:textId="77777777" w:rsidR="00AB6753" w:rsidRPr="00A526BE" w:rsidRDefault="00AB6753" w:rsidP="002D1EA4">
            <w:pPr>
              <w:pStyle w:val="Tabletext"/>
              <w:spacing w:before="0" w:line="240" w:lineRule="auto"/>
              <w:rPr>
                <w:rFonts w:ascii="Arial" w:hAnsi="Arial" w:cs="Arial"/>
              </w:rPr>
            </w:pPr>
            <w:r w:rsidRPr="00E53675">
              <w:rPr>
                <w:rFonts w:ascii="Arial" w:hAnsi="Arial" w:cs="Arial"/>
                <w:color w:val="000000"/>
              </w:rPr>
              <w:t>Deputy Secretary</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70FE974C"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351,776</w:t>
            </w:r>
          </w:p>
        </w:tc>
        <w:tc>
          <w:tcPr>
            <w:tcW w:w="1134" w:type="dxa"/>
            <w:tcBorders>
              <w:left w:val="single" w:sz="12" w:space="0" w:color="auto"/>
              <w:right w:val="single" w:sz="12" w:space="0" w:color="auto"/>
            </w:tcBorders>
            <w:shd w:val="clear" w:color="auto" w:fill="auto"/>
            <w:vAlign w:val="center"/>
          </w:tcPr>
          <w:p w14:paraId="71FF209D"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417" w:type="dxa"/>
            <w:tcBorders>
              <w:top w:val="single" w:sz="4" w:space="0" w:color="auto"/>
              <w:left w:val="single" w:sz="12" w:space="0" w:color="auto"/>
              <w:bottom w:val="single" w:sz="6" w:space="0" w:color="auto"/>
              <w:right w:val="single" w:sz="12" w:space="0" w:color="auto"/>
            </w:tcBorders>
            <w:shd w:val="clear" w:color="auto" w:fill="auto"/>
            <w:vAlign w:val="center"/>
          </w:tcPr>
          <w:p w14:paraId="6393175A"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33,754</w:t>
            </w:r>
          </w:p>
        </w:tc>
        <w:tc>
          <w:tcPr>
            <w:tcW w:w="1985" w:type="dxa"/>
            <w:tcBorders>
              <w:left w:val="single" w:sz="12" w:space="0" w:color="auto"/>
              <w:right w:val="single" w:sz="12" w:space="0" w:color="auto"/>
            </w:tcBorders>
            <w:shd w:val="clear" w:color="auto" w:fill="auto"/>
            <w:vAlign w:val="center"/>
          </w:tcPr>
          <w:p w14:paraId="1CF3BC54"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63,255</w:t>
            </w:r>
          </w:p>
        </w:tc>
        <w:tc>
          <w:tcPr>
            <w:tcW w:w="992" w:type="dxa"/>
            <w:tcBorders>
              <w:top w:val="single" w:sz="6" w:space="0" w:color="auto"/>
              <w:left w:val="single" w:sz="12" w:space="0" w:color="auto"/>
              <w:bottom w:val="single" w:sz="6" w:space="0" w:color="auto"/>
              <w:right w:val="single" w:sz="12" w:space="0" w:color="auto"/>
            </w:tcBorders>
            <w:shd w:val="clear" w:color="auto" w:fill="auto"/>
            <w:vAlign w:val="center"/>
          </w:tcPr>
          <w:p w14:paraId="4D8C93D1"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10,506</w:t>
            </w:r>
          </w:p>
        </w:tc>
        <w:tc>
          <w:tcPr>
            <w:tcW w:w="1276" w:type="dxa"/>
            <w:tcBorders>
              <w:top w:val="single" w:sz="6" w:space="0" w:color="auto"/>
              <w:left w:val="single" w:sz="12" w:space="0" w:color="auto"/>
              <w:bottom w:val="single" w:sz="6" w:space="0" w:color="auto"/>
              <w:right w:val="single" w:sz="12" w:space="0" w:color="auto"/>
            </w:tcBorders>
            <w:shd w:val="clear" w:color="auto" w:fill="auto"/>
            <w:vAlign w:val="center"/>
          </w:tcPr>
          <w:p w14:paraId="250FA6B3"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14:paraId="647AD879"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560" w:type="dxa"/>
            <w:gridSpan w:val="2"/>
            <w:tcBorders>
              <w:left w:val="single" w:sz="12" w:space="0" w:color="auto"/>
            </w:tcBorders>
            <w:shd w:val="clear" w:color="auto" w:fill="auto"/>
            <w:vAlign w:val="center"/>
          </w:tcPr>
          <w:p w14:paraId="57CF83AE"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459,291</w:t>
            </w:r>
          </w:p>
        </w:tc>
      </w:tr>
      <w:tr w:rsidR="00AB6753" w:rsidRPr="009D3A97" w14:paraId="7122E169" w14:textId="77777777" w:rsidTr="002D1EA4">
        <w:tc>
          <w:tcPr>
            <w:tcW w:w="2127" w:type="dxa"/>
            <w:tcBorders>
              <w:top w:val="single" w:sz="4" w:space="0" w:color="auto"/>
              <w:left w:val="single" w:sz="12" w:space="0" w:color="auto"/>
              <w:bottom w:val="single" w:sz="4" w:space="0" w:color="auto"/>
              <w:right w:val="single" w:sz="12" w:space="0" w:color="auto"/>
            </w:tcBorders>
            <w:shd w:val="clear" w:color="auto" w:fill="auto"/>
            <w:vAlign w:val="center"/>
          </w:tcPr>
          <w:p w14:paraId="23B7C4DE" w14:textId="77777777" w:rsidR="00AB6753" w:rsidRPr="00A526BE" w:rsidRDefault="00AB6753" w:rsidP="002D1EA4">
            <w:pPr>
              <w:pStyle w:val="Tabletext"/>
              <w:spacing w:before="0" w:line="240" w:lineRule="auto"/>
              <w:rPr>
                <w:rFonts w:ascii="Arial" w:hAnsi="Arial" w:cs="Arial"/>
              </w:rPr>
            </w:pPr>
            <w:r w:rsidRPr="009D3A97">
              <w:rPr>
                <w:rFonts w:ascii="Arial" w:hAnsi="Arial" w:cs="Arial"/>
                <w:color w:val="000000"/>
              </w:rPr>
              <w:t>Nathan Williamson</w:t>
            </w:r>
          </w:p>
        </w:tc>
        <w:tc>
          <w:tcPr>
            <w:tcW w:w="1984" w:type="dxa"/>
            <w:tcBorders>
              <w:top w:val="single" w:sz="6" w:space="0" w:color="auto"/>
              <w:left w:val="single" w:sz="12" w:space="0" w:color="auto"/>
              <w:bottom w:val="single" w:sz="6" w:space="0" w:color="auto"/>
              <w:right w:val="single" w:sz="12" w:space="0" w:color="auto"/>
            </w:tcBorders>
            <w:shd w:val="clear" w:color="auto" w:fill="auto"/>
            <w:vAlign w:val="center"/>
          </w:tcPr>
          <w:p w14:paraId="5C084992" w14:textId="77777777" w:rsidR="00AB6753" w:rsidRPr="00A526BE" w:rsidRDefault="00AB6753" w:rsidP="002D1EA4">
            <w:pPr>
              <w:pStyle w:val="Tabletext"/>
              <w:spacing w:before="0" w:line="240" w:lineRule="auto"/>
              <w:rPr>
                <w:rFonts w:ascii="Arial" w:hAnsi="Arial" w:cs="Arial"/>
              </w:rPr>
            </w:pPr>
            <w:r w:rsidRPr="00E53675">
              <w:rPr>
                <w:rFonts w:ascii="Arial" w:hAnsi="Arial" w:cs="Arial"/>
                <w:color w:val="000000"/>
              </w:rPr>
              <w:t>Deputy Secretary</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44FB4679"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394,820</w:t>
            </w:r>
          </w:p>
        </w:tc>
        <w:tc>
          <w:tcPr>
            <w:tcW w:w="1134" w:type="dxa"/>
            <w:tcBorders>
              <w:left w:val="single" w:sz="12" w:space="0" w:color="auto"/>
              <w:right w:val="single" w:sz="12" w:space="0" w:color="auto"/>
            </w:tcBorders>
            <w:shd w:val="clear" w:color="auto" w:fill="auto"/>
            <w:vAlign w:val="center"/>
          </w:tcPr>
          <w:p w14:paraId="76CB6107"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14:paraId="735637E9"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33,754</w:t>
            </w:r>
          </w:p>
        </w:tc>
        <w:tc>
          <w:tcPr>
            <w:tcW w:w="1985" w:type="dxa"/>
            <w:tcBorders>
              <w:left w:val="single" w:sz="12" w:space="0" w:color="auto"/>
              <w:right w:val="single" w:sz="12" w:space="0" w:color="auto"/>
            </w:tcBorders>
            <w:shd w:val="clear" w:color="auto" w:fill="auto"/>
            <w:vAlign w:val="center"/>
          </w:tcPr>
          <w:p w14:paraId="4DABD4EA"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63,255</w:t>
            </w:r>
          </w:p>
        </w:tc>
        <w:tc>
          <w:tcPr>
            <w:tcW w:w="992" w:type="dxa"/>
            <w:tcBorders>
              <w:top w:val="single" w:sz="6" w:space="0" w:color="auto"/>
              <w:left w:val="single" w:sz="12" w:space="0" w:color="auto"/>
              <w:bottom w:val="single" w:sz="6" w:space="0" w:color="auto"/>
              <w:right w:val="single" w:sz="12" w:space="0" w:color="auto"/>
            </w:tcBorders>
            <w:shd w:val="clear" w:color="auto" w:fill="auto"/>
            <w:vAlign w:val="center"/>
          </w:tcPr>
          <w:p w14:paraId="5413E4CE"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10,506</w:t>
            </w:r>
          </w:p>
        </w:tc>
        <w:tc>
          <w:tcPr>
            <w:tcW w:w="1276" w:type="dxa"/>
            <w:tcBorders>
              <w:top w:val="single" w:sz="6" w:space="0" w:color="auto"/>
              <w:left w:val="single" w:sz="12" w:space="0" w:color="auto"/>
              <w:bottom w:val="single" w:sz="6" w:space="0" w:color="auto"/>
              <w:right w:val="single" w:sz="12" w:space="0" w:color="auto"/>
            </w:tcBorders>
            <w:shd w:val="clear" w:color="auto" w:fill="auto"/>
            <w:vAlign w:val="center"/>
          </w:tcPr>
          <w:p w14:paraId="1A3D9DD6"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14:paraId="48DCDCE7"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560" w:type="dxa"/>
            <w:gridSpan w:val="2"/>
            <w:tcBorders>
              <w:left w:val="single" w:sz="12" w:space="0" w:color="auto"/>
            </w:tcBorders>
            <w:shd w:val="clear" w:color="auto" w:fill="auto"/>
            <w:vAlign w:val="center"/>
          </w:tcPr>
          <w:p w14:paraId="5C1372AB"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502,335</w:t>
            </w:r>
          </w:p>
        </w:tc>
      </w:tr>
      <w:tr w:rsidR="00AB6753" w:rsidRPr="009D3A97" w14:paraId="71D05B1E" w14:textId="77777777" w:rsidTr="002D1EA4">
        <w:tc>
          <w:tcPr>
            <w:tcW w:w="2127" w:type="dxa"/>
            <w:tcBorders>
              <w:top w:val="single" w:sz="4" w:space="0" w:color="auto"/>
              <w:left w:val="single" w:sz="12" w:space="0" w:color="auto"/>
              <w:bottom w:val="single" w:sz="4" w:space="0" w:color="auto"/>
              <w:right w:val="single" w:sz="12" w:space="0" w:color="auto"/>
            </w:tcBorders>
            <w:shd w:val="clear" w:color="auto" w:fill="auto"/>
            <w:vAlign w:val="center"/>
          </w:tcPr>
          <w:p w14:paraId="622E6A6F" w14:textId="77777777" w:rsidR="00AB6753" w:rsidRPr="00A526BE" w:rsidRDefault="00AB6753" w:rsidP="002D1EA4">
            <w:pPr>
              <w:pStyle w:val="Tabletext"/>
              <w:spacing w:before="0" w:line="240" w:lineRule="auto"/>
              <w:rPr>
                <w:rFonts w:ascii="Arial" w:hAnsi="Arial" w:cs="Arial"/>
              </w:rPr>
            </w:pPr>
            <w:r w:rsidRPr="009D3A97">
              <w:rPr>
                <w:rFonts w:ascii="Arial" w:hAnsi="Arial" w:cs="Arial"/>
                <w:color w:val="000000"/>
              </w:rPr>
              <w:t>Michael Lye</w:t>
            </w:r>
          </w:p>
        </w:tc>
        <w:tc>
          <w:tcPr>
            <w:tcW w:w="1984" w:type="dxa"/>
            <w:tcBorders>
              <w:top w:val="single" w:sz="6" w:space="0" w:color="auto"/>
              <w:left w:val="single" w:sz="12" w:space="0" w:color="auto"/>
              <w:bottom w:val="single" w:sz="6" w:space="0" w:color="auto"/>
              <w:right w:val="single" w:sz="12" w:space="0" w:color="auto"/>
            </w:tcBorders>
            <w:shd w:val="clear" w:color="auto" w:fill="auto"/>
            <w:vAlign w:val="center"/>
          </w:tcPr>
          <w:p w14:paraId="29B616BE" w14:textId="77777777" w:rsidR="00AB6753" w:rsidRPr="00A526BE" w:rsidRDefault="00AB6753" w:rsidP="002D1EA4">
            <w:pPr>
              <w:pStyle w:val="Tabletext"/>
              <w:spacing w:before="0" w:line="240" w:lineRule="auto"/>
              <w:rPr>
                <w:rFonts w:ascii="Arial" w:hAnsi="Arial" w:cs="Arial"/>
              </w:rPr>
            </w:pPr>
            <w:r w:rsidRPr="00E53675">
              <w:rPr>
                <w:rFonts w:ascii="Arial" w:hAnsi="Arial" w:cs="Arial"/>
                <w:color w:val="000000"/>
              </w:rPr>
              <w:t>Deputy Secretary</w:t>
            </w:r>
            <w:r w:rsidRPr="00E53675">
              <w:rPr>
                <w:rFonts w:ascii="Arial" w:hAnsi="Arial" w:cs="Arial"/>
                <w:color w:val="000000"/>
                <w:vertAlign w:val="superscript"/>
              </w:rPr>
              <w:t>5</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49933883"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146,709</w:t>
            </w:r>
          </w:p>
        </w:tc>
        <w:tc>
          <w:tcPr>
            <w:tcW w:w="1134" w:type="dxa"/>
            <w:tcBorders>
              <w:left w:val="single" w:sz="12" w:space="0" w:color="auto"/>
              <w:right w:val="single" w:sz="12" w:space="0" w:color="auto"/>
            </w:tcBorders>
            <w:shd w:val="clear" w:color="auto" w:fill="auto"/>
            <w:vAlign w:val="center"/>
          </w:tcPr>
          <w:p w14:paraId="2FEBC9FD"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14:paraId="03B0C4EF"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17,888</w:t>
            </w:r>
          </w:p>
        </w:tc>
        <w:tc>
          <w:tcPr>
            <w:tcW w:w="1985" w:type="dxa"/>
            <w:tcBorders>
              <w:left w:val="single" w:sz="12" w:space="0" w:color="auto"/>
              <w:right w:val="single" w:sz="12" w:space="0" w:color="auto"/>
            </w:tcBorders>
            <w:shd w:val="clear" w:color="auto" w:fill="auto"/>
            <w:vAlign w:val="center"/>
          </w:tcPr>
          <w:p w14:paraId="2F7FA605"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27,332</w:t>
            </w:r>
          </w:p>
        </w:tc>
        <w:tc>
          <w:tcPr>
            <w:tcW w:w="992" w:type="dxa"/>
            <w:tcBorders>
              <w:top w:val="single" w:sz="6" w:space="0" w:color="auto"/>
              <w:left w:val="single" w:sz="12" w:space="0" w:color="auto"/>
              <w:bottom w:val="single" w:sz="6" w:space="0" w:color="auto"/>
              <w:right w:val="single" w:sz="12" w:space="0" w:color="auto"/>
            </w:tcBorders>
            <w:shd w:val="clear" w:color="auto" w:fill="auto"/>
            <w:vAlign w:val="center"/>
          </w:tcPr>
          <w:p w14:paraId="4F10D333"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4,670</w:t>
            </w:r>
          </w:p>
        </w:tc>
        <w:tc>
          <w:tcPr>
            <w:tcW w:w="1276" w:type="dxa"/>
            <w:tcBorders>
              <w:top w:val="single" w:sz="6" w:space="0" w:color="auto"/>
              <w:left w:val="single" w:sz="12" w:space="0" w:color="auto"/>
              <w:bottom w:val="single" w:sz="6" w:space="0" w:color="auto"/>
              <w:right w:val="single" w:sz="12" w:space="0" w:color="auto"/>
            </w:tcBorders>
            <w:shd w:val="clear" w:color="auto" w:fill="auto"/>
            <w:vAlign w:val="center"/>
          </w:tcPr>
          <w:p w14:paraId="53832D02"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14:paraId="6A628BA0"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560" w:type="dxa"/>
            <w:gridSpan w:val="2"/>
            <w:tcBorders>
              <w:left w:val="single" w:sz="12" w:space="0" w:color="auto"/>
            </w:tcBorders>
            <w:shd w:val="clear" w:color="auto" w:fill="auto"/>
            <w:vAlign w:val="center"/>
          </w:tcPr>
          <w:p w14:paraId="61937A86"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196,599</w:t>
            </w:r>
          </w:p>
        </w:tc>
      </w:tr>
      <w:tr w:rsidR="00AB6753" w:rsidRPr="009D3A97" w14:paraId="28EC05AE" w14:textId="77777777" w:rsidTr="002D1EA4">
        <w:tc>
          <w:tcPr>
            <w:tcW w:w="2127" w:type="dxa"/>
            <w:tcBorders>
              <w:top w:val="single" w:sz="4" w:space="0" w:color="auto"/>
              <w:left w:val="single" w:sz="12" w:space="0" w:color="auto"/>
              <w:bottom w:val="single" w:sz="4" w:space="0" w:color="auto"/>
              <w:right w:val="single" w:sz="12" w:space="0" w:color="auto"/>
            </w:tcBorders>
            <w:shd w:val="clear" w:color="auto" w:fill="auto"/>
            <w:vAlign w:val="center"/>
          </w:tcPr>
          <w:p w14:paraId="61447213" w14:textId="77777777" w:rsidR="00AB6753" w:rsidRPr="00A526BE" w:rsidRDefault="00AB6753" w:rsidP="002D1EA4">
            <w:pPr>
              <w:pStyle w:val="Tabletext"/>
              <w:spacing w:before="0" w:line="240" w:lineRule="auto"/>
              <w:rPr>
                <w:rFonts w:ascii="Arial" w:hAnsi="Arial" w:cs="Arial"/>
              </w:rPr>
            </w:pPr>
            <w:r w:rsidRPr="009D3A97">
              <w:rPr>
                <w:rFonts w:ascii="Arial" w:hAnsi="Arial" w:cs="Arial"/>
                <w:color w:val="000000"/>
              </w:rPr>
              <w:t>Catherine Rule</w:t>
            </w:r>
          </w:p>
        </w:tc>
        <w:tc>
          <w:tcPr>
            <w:tcW w:w="1984" w:type="dxa"/>
            <w:tcBorders>
              <w:top w:val="single" w:sz="6" w:space="0" w:color="auto"/>
              <w:left w:val="single" w:sz="12" w:space="0" w:color="auto"/>
              <w:bottom w:val="single" w:sz="6" w:space="0" w:color="auto"/>
              <w:right w:val="single" w:sz="12" w:space="0" w:color="auto"/>
            </w:tcBorders>
            <w:shd w:val="clear" w:color="auto" w:fill="auto"/>
            <w:vAlign w:val="center"/>
          </w:tcPr>
          <w:p w14:paraId="19D93D90" w14:textId="77777777" w:rsidR="00AB6753" w:rsidRPr="00A526BE" w:rsidRDefault="00AB6753" w:rsidP="002D1EA4">
            <w:pPr>
              <w:pStyle w:val="Tabletext"/>
              <w:spacing w:before="0" w:line="240" w:lineRule="auto"/>
              <w:rPr>
                <w:rFonts w:ascii="Arial" w:hAnsi="Arial" w:cs="Arial"/>
              </w:rPr>
            </w:pPr>
            <w:r w:rsidRPr="00E53675">
              <w:rPr>
                <w:rFonts w:ascii="Arial" w:hAnsi="Arial" w:cs="Arial"/>
                <w:color w:val="000000"/>
              </w:rPr>
              <w:t>Deputy Secretary</w:t>
            </w:r>
            <w:r w:rsidRPr="009D3A97">
              <w:rPr>
                <w:rFonts w:ascii="Arial" w:hAnsi="Arial" w:cs="Arial"/>
                <w:color w:val="000000"/>
                <w:vertAlign w:val="superscript"/>
              </w:rPr>
              <w:t>5</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3E1B7E0D"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135,719</w:t>
            </w:r>
          </w:p>
        </w:tc>
        <w:tc>
          <w:tcPr>
            <w:tcW w:w="1134" w:type="dxa"/>
            <w:tcBorders>
              <w:left w:val="single" w:sz="12" w:space="0" w:color="auto"/>
              <w:right w:val="single" w:sz="12" w:space="0" w:color="auto"/>
            </w:tcBorders>
            <w:shd w:val="clear" w:color="auto" w:fill="auto"/>
            <w:vAlign w:val="center"/>
          </w:tcPr>
          <w:p w14:paraId="3FBF902A"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14:paraId="330A7420"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10,531</w:t>
            </w:r>
          </w:p>
        </w:tc>
        <w:tc>
          <w:tcPr>
            <w:tcW w:w="1985" w:type="dxa"/>
            <w:tcBorders>
              <w:left w:val="single" w:sz="12" w:space="0" w:color="auto"/>
              <w:right w:val="single" w:sz="12" w:space="0" w:color="auto"/>
            </w:tcBorders>
            <w:shd w:val="clear" w:color="auto" w:fill="auto"/>
            <w:vAlign w:val="center"/>
          </w:tcPr>
          <w:p w14:paraId="3315B370"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24,365</w:t>
            </w:r>
          </w:p>
        </w:tc>
        <w:tc>
          <w:tcPr>
            <w:tcW w:w="992" w:type="dxa"/>
            <w:tcBorders>
              <w:top w:val="single" w:sz="6" w:space="0" w:color="auto"/>
              <w:left w:val="single" w:sz="12" w:space="0" w:color="auto"/>
              <w:bottom w:val="single" w:sz="6" w:space="0" w:color="auto"/>
              <w:right w:val="single" w:sz="12" w:space="0" w:color="auto"/>
            </w:tcBorders>
            <w:shd w:val="clear" w:color="auto" w:fill="auto"/>
            <w:vAlign w:val="center"/>
          </w:tcPr>
          <w:p w14:paraId="629191EC"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3,874</w:t>
            </w:r>
          </w:p>
        </w:tc>
        <w:tc>
          <w:tcPr>
            <w:tcW w:w="1276" w:type="dxa"/>
            <w:tcBorders>
              <w:top w:val="single" w:sz="6" w:space="0" w:color="auto"/>
              <w:left w:val="single" w:sz="12" w:space="0" w:color="auto"/>
              <w:bottom w:val="single" w:sz="6" w:space="0" w:color="auto"/>
              <w:right w:val="single" w:sz="12" w:space="0" w:color="auto"/>
            </w:tcBorders>
            <w:shd w:val="clear" w:color="auto" w:fill="auto"/>
            <w:vAlign w:val="center"/>
          </w:tcPr>
          <w:p w14:paraId="0597FA75"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14:paraId="32700750"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560" w:type="dxa"/>
            <w:gridSpan w:val="2"/>
            <w:tcBorders>
              <w:left w:val="single" w:sz="12" w:space="0" w:color="auto"/>
            </w:tcBorders>
            <w:shd w:val="clear" w:color="auto" w:fill="auto"/>
            <w:vAlign w:val="center"/>
          </w:tcPr>
          <w:p w14:paraId="0ED5535E"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174,489</w:t>
            </w:r>
          </w:p>
        </w:tc>
      </w:tr>
      <w:tr w:rsidR="00AB6753" w:rsidRPr="009D3A97" w14:paraId="083955DE" w14:textId="77777777" w:rsidTr="002D1EA4">
        <w:tc>
          <w:tcPr>
            <w:tcW w:w="2127" w:type="dxa"/>
            <w:tcBorders>
              <w:top w:val="single" w:sz="4" w:space="0" w:color="auto"/>
              <w:left w:val="single" w:sz="12" w:space="0" w:color="auto"/>
              <w:bottom w:val="single" w:sz="4" w:space="0" w:color="auto"/>
              <w:right w:val="single" w:sz="12" w:space="0" w:color="auto"/>
            </w:tcBorders>
            <w:shd w:val="clear" w:color="auto" w:fill="auto"/>
            <w:vAlign w:val="center"/>
          </w:tcPr>
          <w:p w14:paraId="01A2B776" w14:textId="77777777" w:rsidR="00AB6753" w:rsidRPr="00A526BE" w:rsidRDefault="00AB6753" w:rsidP="002D1EA4">
            <w:pPr>
              <w:pStyle w:val="Tabletext"/>
              <w:spacing w:before="0" w:line="240" w:lineRule="auto"/>
              <w:rPr>
                <w:rFonts w:ascii="Arial" w:hAnsi="Arial" w:cs="Arial"/>
              </w:rPr>
            </w:pPr>
            <w:r w:rsidRPr="009D3A97">
              <w:rPr>
                <w:rFonts w:ascii="Arial" w:hAnsi="Arial" w:cs="Arial"/>
                <w:color w:val="000000"/>
              </w:rPr>
              <w:t>Adrian Hudson</w:t>
            </w:r>
          </w:p>
        </w:tc>
        <w:tc>
          <w:tcPr>
            <w:tcW w:w="1984" w:type="dxa"/>
            <w:tcBorders>
              <w:top w:val="single" w:sz="6" w:space="0" w:color="auto"/>
              <w:left w:val="single" w:sz="12" w:space="0" w:color="auto"/>
              <w:bottom w:val="single" w:sz="6" w:space="0" w:color="auto"/>
              <w:right w:val="single" w:sz="12" w:space="0" w:color="auto"/>
            </w:tcBorders>
            <w:shd w:val="clear" w:color="auto" w:fill="auto"/>
            <w:vAlign w:val="center"/>
          </w:tcPr>
          <w:p w14:paraId="5A64D5C6" w14:textId="77777777" w:rsidR="00AB6753" w:rsidRPr="00A526BE" w:rsidRDefault="00AB6753" w:rsidP="002D1EA4">
            <w:pPr>
              <w:pStyle w:val="Tabletext"/>
              <w:spacing w:before="0" w:line="240" w:lineRule="auto"/>
              <w:rPr>
                <w:rFonts w:ascii="Arial" w:hAnsi="Arial" w:cs="Arial"/>
              </w:rPr>
            </w:pPr>
            <w:r w:rsidRPr="00E53675">
              <w:rPr>
                <w:rFonts w:ascii="Arial" w:hAnsi="Arial" w:cs="Arial"/>
                <w:color w:val="000000"/>
              </w:rPr>
              <w:t>Acting Deputy Secretary</w:t>
            </w:r>
            <w:r w:rsidRPr="00E53675">
              <w:rPr>
                <w:rFonts w:ascii="Arial" w:hAnsi="Arial" w:cs="Arial"/>
                <w:color w:val="000000"/>
                <w:vertAlign w:val="superscript"/>
              </w:rPr>
              <w:t>5</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6969F7B4"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169,411</w:t>
            </w:r>
          </w:p>
        </w:tc>
        <w:tc>
          <w:tcPr>
            <w:tcW w:w="1134" w:type="dxa"/>
            <w:tcBorders>
              <w:left w:val="single" w:sz="12" w:space="0" w:color="auto"/>
              <w:right w:val="single" w:sz="12" w:space="0" w:color="auto"/>
            </w:tcBorders>
            <w:shd w:val="clear" w:color="auto" w:fill="auto"/>
            <w:vAlign w:val="center"/>
          </w:tcPr>
          <w:p w14:paraId="2150937A"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14:paraId="2B36760E"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10,242</w:t>
            </w:r>
          </w:p>
        </w:tc>
        <w:tc>
          <w:tcPr>
            <w:tcW w:w="1985" w:type="dxa"/>
            <w:tcBorders>
              <w:left w:val="single" w:sz="12" w:space="0" w:color="auto"/>
              <w:right w:val="single" w:sz="12" w:space="0" w:color="auto"/>
            </w:tcBorders>
            <w:shd w:val="clear" w:color="auto" w:fill="auto"/>
            <w:vAlign w:val="center"/>
          </w:tcPr>
          <w:p w14:paraId="635BBC8B" w14:textId="77777777" w:rsidR="00AB6753" w:rsidRPr="00A526BE" w:rsidRDefault="00AB6753" w:rsidP="002D1EA4">
            <w:pPr>
              <w:pStyle w:val="Tabletext"/>
              <w:tabs>
                <w:tab w:val="left" w:pos="1452"/>
              </w:tabs>
              <w:spacing w:before="0" w:line="240" w:lineRule="auto"/>
              <w:jc w:val="right"/>
              <w:rPr>
                <w:rFonts w:ascii="Arial" w:hAnsi="Arial" w:cs="Arial"/>
              </w:rPr>
            </w:pPr>
            <w:r w:rsidRPr="00E53675">
              <w:rPr>
                <w:rFonts w:ascii="Arial" w:hAnsi="Arial" w:cs="Arial"/>
                <w:color w:val="000000"/>
              </w:rPr>
              <w:t>25,012</w:t>
            </w:r>
          </w:p>
        </w:tc>
        <w:tc>
          <w:tcPr>
            <w:tcW w:w="992" w:type="dxa"/>
            <w:tcBorders>
              <w:top w:val="single" w:sz="6" w:space="0" w:color="auto"/>
              <w:left w:val="single" w:sz="12" w:space="0" w:color="auto"/>
              <w:bottom w:val="single" w:sz="6" w:space="0" w:color="auto"/>
              <w:right w:val="single" w:sz="12" w:space="0" w:color="auto"/>
            </w:tcBorders>
            <w:shd w:val="clear" w:color="auto" w:fill="auto"/>
            <w:vAlign w:val="center"/>
          </w:tcPr>
          <w:p w14:paraId="515D08F2"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3,768</w:t>
            </w:r>
          </w:p>
        </w:tc>
        <w:tc>
          <w:tcPr>
            <w:tcW w:w="1276" w:type="dxa"/>
            <w:tcBorders>
              <w:top w:val="single" w:sz="6" w:space="0" w:color="auto"/>
              <w:left w:val="single" w:sz="12" w:space="0" w:color="auto"/>
              <w:bottom w:val="single" w:sz="6" w:space="0" w:color="auto"/>
              <w:right w:val="single" w:sz="12" w:space="0" w:color="auto"/>
            </w:tcBorders>
            <w:shd w:val="clear" w:color="auto" w:fill="auto"/>
            <w:vAlign w:val="center"/>
          </w:tcPr>
          <w:p w14:paraId="792D0DB1"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14:paraId="50734113"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560" w:type="dxa"/>
            <w:gridSpan w:val="2"/>
            <w:tcBorders>
              <w:left w:val="single" w:sz="12" w:space="0" w:color="auto"/>
            </w:tcBorders>
            <w:shd w:val="clear" w:color="auto" w:fill="auto"/>
            <w:vAlign w:val="center"/>
          </w:tcPr>
          <w:p w14:paraId="709466D1"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208,433</w:t>
            </w:r>
          </w:p>
        </w:tc>
      </w:tr>
      <w:tr w:rsidR="00AB6753" w:rsidRPr="009D3A97" w14:paraId="78C07551" w14:textId="77777777" w:rsidTr="002D1EA4">
        <w:tc>
          <w:tcPr>
            <w:tcW w:w="2127" w:type="dxa"/>
            <w:tcBorders>
              <w:top w:val="single" w:sz="4" w:space="0" w:color="auto"/>
              <w:left w:val="single" w:sz="12" w:space="0" w:color="auto"/>
              <w:bottom w:val="single" w:sz="4" w:space="0" w:color="auto"/>
              <w:right w:val="single" w:sz="12" w:space="0" w:color="auto"/>
            </w:tcBorders>
            <w:shd w:val="clear" w:color="auto" w:fill="auto"/>
            <w:vAlign w:val="center"/>
          </w:tcPr>
          <w:p w14:paraId="1A9FD588" w14:textId="77777777" w:rsidR="00AB6753" w:rsidRPr="00A526BE" w:rsidRDefault="00AB6753" w:rsidP="002D1EA4">
            <w:pPr>
              <w:pStyle w:val="Tabletext"/>
              <w:spacing w:before="0" w:line="240" w:lineRule="auto"/>
              <w:rPr>
                <w:rFonts w:ascii="Arial" w:hAnsi="Arial" w:cs="Arial"/>
              </w:rPr>
            </w:pPr>
            <w:r w:rsidRPr="009D3A97">
              <w:rPr>
                <w:rFonts w:ascii="Arial" w:hAnsi="Arial" w:cs="Arial"/>
                <w:color w:val="000000"/>
              </w:rPr>
              <w:t>Shane Bennett</w:t>
            </w:r>
          </w:p>
        </w:tc>
        <w:tc>
          <w:tcPr>
            <w:tcW w:w="1984" w:type="dxa"/>
            <w:tcBorders>
              <w:top w:val="single" w:sz="6" w:space="0" w:color="auto"/>
              <w:left w:val="single" w:sz="12" w:space="0" w:color="auto"/>
              <w:bottom w:val="single" w:sz="6" w:space="0" w:color="auto"/>
              <w:right w:val="single" w:sz="12" w:space="0" w:color="auto"/>
            </w:tcBorders>
            <w:shd w:val="clear" w:color="auto" w:fill="auto"/>
            <w:vAlign w:val="center"/>
          </w:tcPr>
          <w:p w14:paraId="00CF7882" w14:textId="77777777" w:rsidR="00AB6753" w:rsidRPr="00A526BE" w:rsidRDefault="00AB6753" w:rsidP="002D1EA4">
            <w:pPr>
              <w:pStyle w:val="Tabletext"/>
              <w:spacing w:before="0" w:line="240" w:lineRule="auto"/>
              <w:rPr>
                <w:rFonts w:ascii="Arial" w:hAnsi="Arial" w:cs="Arial"/>
              </w:rPr>
            </w:pPr>
            <w:r w:rsidRPr="00E53675">
              <w:rPr>
                <w:rFonts w:ascii="Arial" w:hAnsi="Arial" w:cs="Arial"/>
                <w:color w:val="000000"/>
              </w:rPr>
              <w:t>Acting Deputy Secretary</w:t>
            </w:r>
            <w:r w:rsidRPr="00E53675">
              <w:rPr>
                <w:rFonts w:ascii="Arial" w:hAnsi="Arial" w:cs="Arial"/>
                <w:color w:val="000000"/>
                <w:vertAlign w:val="superscript"/>
              </w:rPr>
              <w:t>5</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324ECC40"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168,421</w:t>
            </w:r>
          </w:p>
        </w:tc>
        <w:tc>
          <w:tcPr>
            <w:tcW w:w="1134" w:type="dxa"/>
            <w:tcBorders>
              <w:left w:val="single" w:sz="12" w:space="0" w:color="auto"/>
              <w:right w:val="single" w:sz="12" w:space="0" w:color="auto"/>
            </w:tcBorders>
            <w:shd w:val="clear" w:color="auto" w:fill="auto"/>
            <w:vAlign w:val="center"/>
          </w:tcPr>
          <w:p w14:paraId="13FE6F7F"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14:paraId="23081B9D"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10,389</w:t>
            </w:r>
          </w:p>
        </w:tc>
        <w:tc>
          <w:tcPr>
            <w:tcW w:w="1985" w:type="dxa"/>
            <w:tcBorders>
              <w:left w:val="single" w:sz="12" w:space="0" w:color="auto"/>
              <w:right w:val="single" w:sz="12" w:space="0" w:color="auto"/>
            </w:tcBorders>
            <w:shd w:val="clear" w:color="auto" w:fill="auto"/>
            <w:vAlign w:val="center"/>
          </w:tcPr>
          <w:p w14:paraId="09182846"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25,340</w:t>
            </w:r>
          </w:p>
        </w:tc>
        <w:tc>
          <w:tcPr>
            <w:tcW w:w="992" w:type="dxa"/>
            <w:tcBorders>
              <w:top w:val="single" w:sz="6" w:space="0" w:color="auto"/>
              <w:left w:val="single" w:sz="12" w:space="0" w:color="auto"/>
              <w:bottom w:val="single" w:sz="6" w:space="0" w:color="auto"/>
              <w:right w:val="single" w:sz="12" w:space="0" w:color="auto"/>
            </w:tcBorders>
            <w:shd w:val="clear" w:color="auto" w:fill="auto"/>
            <w:vAlign w:val="center"/>
          </w:tcPr>
          <w:p w14:paraId="7ECDB32B"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3,821</w:t>
            </w:r>
          </w:p>
        </w:tc>
        <w:tc>
          <w:tcPr>
            <w:tcW w:w="1276" w:type="dxa"/>
            <w:tcBorders>
              <w:top w:val="single" w:sz="6" w:space="0" w:color="auto"/>
              <w:left w:val="single" w:sz="12" w:space="0" w:color="auto"/>
              <w:bottom w:val="single" w:sz="6" w:space="0" w:color="auto"/>
              <w:right w:val="single" w:sz="12" w:space="0" w:color="auto"/>
            </w:tcBorders>
            <w:shd w:val="clear" w:color="auto" w:fill="auto"/>
            <w:vAlign w:val="center"/>
          </w:tcPr>
          <w:p w14:paraId="345F87D9"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14:paraId="4FEB5E6E"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w:t>
            </w:r>
          </w:p>
        </w:tc>
        <w:tc>
          <w:tcPr>
            <w:tcW w:w="1560" w:type="dxa"/>
            <w:gridSpan w:val="2"/>
            <w:tcBorders>
              <w:left w:val="single" w:sz="12" w:space="0" w:color="auto"/>
            </w:tcBorders>
            <w:shd w:val="clear" w:color="auto" w:fill="auto"/>
            <w:vAlign w:val="center"/>
          </w:tcPr>
          <w:p w14:paraId="1392908F"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color w:val="000000"/>
              </w:rPr>
              <w:t>207,971</w:t>
            </w:r>
          </w:p>
        </w:tc>
      </w:tr>
      <w:tr w:rsidR="00AB6753" w:rsidRPr="009D3A97" w14:paraId="7D6877A8" w14:textId="77777777" w:rsidTr="002D1EA4">
        <w:tc>
          <w:tcPr>
            <w:tcW w:w="4111"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0A61AD8C" w14:textId="77777777" w:rsidR="00AB6753" w:rsidRPr="00A526BE" w:rsidRDefault="00AB6753" w:rsidP="002D1EA4">
            <w:pPr>
              <w:pStyle w:val="Tabletext"/>
              <w:spacing w:before="0" w:line="240" w:lineRule="auto"/>
              <w:rPr>
                <w:rFonts w:ascii="Arial" w:hAnsi="Arial" w:cs="Arial"/>
              </w:rPr>
            </w:pPr>
            <w:r w:rsidRPr="009D3A97">
              <w:rPr>
                <w:rFonts w:ascii="Arial" w:hAnsi="Arial" w:cs="Arial"/>
                <w:b/>
                <w:color w:val="000000"/>
              </w:rPr>
              <w:t>Total</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604B96EB"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b/>
                <w:bCs/>
                <w:color w:val="000000"/>
              </w:rPr>
              <w:t>2,230,801</w:t>
            </w:r>
          </w:p>
        </w:tc>
        <w:tc>
          <w:tcPr>
            <w:tcW w:w="1134" w:type="dxa"/>
            <w:tcBorders>
              <w:left w:val="single" w:sz="12" w:space="0" w:color="auto"/>
              <w:right w:val="single" w:sz="12" w:space="0" w:color="auto"/>
            </w:tcBorders>
            <w:shd w:val="clear" w:color="auto" w:fill="auto"/>
            <w:vAlign w:val="center"/>
          </w:tcPr>
          <w:p w14:paraId="4EE9A503"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rPr>
              <w:t>-</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14:paraId="746C56A7"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b/>
                <w:bCs/>
                <w:color w:val="000000"/>
              </w:rPr>
              <w:t>190,951</w:t>
            </w:r>
          </w:p>
        </w:tc>
        <w:tc>
          <w:tcPr>
            <w:tcW w:w="1985" w:type="dxa"/>
            <w:tcBorders>
              <w:left w:val="single" w:sz="12" w:space="0" w:color="auto"/>
              <w:right w:val="single" w:sz="12" w:space="0" w:color="auto"/>
            </w:tcBorders>
            <w:shd w:val="clear" w:color="auto" w:fill="auto"/>
            <w:vAlign w:val="center"/>
          </w:tcPr>
          <w:p w14:paraId="7B453A74"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b/>
                <w:bCs/>
                <w:color w:val="000000"/>
              </w:rPr>
              <w:t>364,041</w:t>
            </w:r>
          </w:p>
        </w:tc>
        <w:tc>
          <w:tcPr>
            <w:tcW w:w="992" w:type="dxa"/>
            <w:tcBorders>
              <w:top w:val="single" w:sz="6" w:space="0" w:color="auto"/>
              <w:left w:val="single" w:sz="12" w:space="0" w:color="auto"/>
              <w:bottom w:val="single" w:sz="6" w:space="0" w:color="auto"/>
              <w:right w:val="single" w:sz="12" w:space="0" w:color="auto"/>
            </w:tcBorders>
            <w:shd w:val="clear" w:color="auto" w:fill="auto"/>
            <w:vAlign w:val="center"/>
          </w:tcPr>
          <w:p w14:paraId="29E062A9"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b/>
                <w:bCs/>
                <w:color w:val="000000"/>
              </w:rPr>
              <w:t>62,599</w:t>
            </w:r>
          </w:p>
        </w:tc>
        <w:tc>
          <w:tcPr>
            <w:tcW w:w="1276" w:type="dxa"/>
            <w:tcBorders>
              <w:top w:val="single" w:sz="6" w:space="0" w:color="auto"/>
              <w:left w:val="single" w:sz="12" w:space="0" w:color="auto"/>
              <w:bottom w:val="single" w:sz="6" w:space="0" w:color="auto"/>
              <w:right w:val="single" w:sz="12" w:space="0" w:color="auto"/>
            </w:tcBorders>
            <w:shd w:val="clear" w:color="auto" w:fill="auto"/>
          </w:tcPr>
          <w:p w14:paraId="2035C43D"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rPr>
              <w:t>-</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14:paraId="49B61FA4"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b/>
                <w:bCs/>
                <w:color w:val="000000"/>
              </w:rPr>
              <w:t>369,408</w:t>
            </w:r>
          </w:p>
        </w:tc>
        <w:tc>
          <w:tcPr>
            <w:tcW w:w="1560" w:type="dxa"/>
            <w:gridSpan w:val="2"/>
            <w:tcBorders>
              <w:left w:val="single" w:sz="12" w:space="0" w:color="auto"/>
            </w:tcBorders>
            <w:shd w:val="clear" w:color="auto" w:fill="auto"/>
          </w:tcPr>
          <w:p w14:paraId="6AE8BB5B" w14:textId="77777777" w:rsidR="00AB6753" w:rsidRPr="00A526BE" w:rsidRDefault="00AB6753" w:rsidP="002D1EA4">
            <w:pPr>
              <w:pStyle w:val="Tabletext"/>
              <w:spacing w:before="0" w:line="240" w:lineRule="auto"/>
              <w:jc w:val="right"/>
              <w:rPr>
                <w:rFonts w:ascii="Arial" w:hAnsi="Arial" w:cs="Arial"/>
              </w:rPr>
            </w:pPr>
            <w:r w:rsidRPr="00E53675">
              <w:rPr>
                <w:rFonts w:ascii="Arial" w:hAnsi="Arial" w:cs="Arial"/>
                <w:b/>
                <w:bCs/>
                <w:color w:val="000000"/>
              </w:rPr>
              <w:t>3,217,800</w:t>
            </w:r>
          </w:p>
        </w:tc>
      </w:tr>
      <w:tr w:rsidR="00AB6753" w:rsidRPr="00C60439" w14:paraId="0443035F" w14:textId="77777777" w:rsidTr="002D1E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4" w:type="dxa"/>
          <w:trHeight w:val="371"/>
        </w:trPr>
        <w:tc>
          <w:tcPr>
            <w:tcW w:w="14612" w:type="dxa"/>
            <w:gridSpan w:val="10"/>
            <w:tcBorders>
              <w:top w:val="nil"/>
              <w:left w:val="nil"/>
              <w:bottom w:val="nil"/>
              <w:right w:val="nil"/>
            </w:tcBorders>
            <w:shd w:val="clear" w:color="auto" w:fill="auto"/>
            <w:vAlign w:val="center"/>
            <w:hideMark/>
          </w:tcPr>
          <w:p w14:paraId="2BC373ED" w14:textId="77777777" w:rsidR="00AB6753" w:rsidRPr="00F903A2" w:rsidRDefault="00AB6753" w:rsidP="002D1EA4">
            <w:pPr>
              <w:pStyle w:val="ListParagraph"/>
              <w:numPr>
                <w:ilvl w:val="0"/>
                <w:numId w:val="38"/>
              </w:numPr>
              <w:spacing w:after="0" w:line="240" w:lineRule="auto"/>
              <w:ind w:left="357" w:hanging="357"/>
              <w:rPr>
                <w:rFonts w:cs="Arial"/>
                <w:color w:val="000000"/>
                <w:sz w:val="16"/>
                <w:szCs w:val="20"/>
                <w:lang w:eastAsia="en-AU"/>
              </w:rPr>
            </w:pPr>
            <w:r w:rsidRPr="00F903A2">
              <w:rPr>
                <w:rFonts w:cs="Arial"/>
                <w:color w:val="000000"/>
                <w:sz w:val="16"/>
                <w:szCs w:val="20"/>
                <w:lang w:eastAsia="en-AU"/>
              </w:rPr>
              <w:t>Base salary is calculated as total cash salary paid during the financial year, less amounts paid for annual leave and long service leave, with an adjustment for accruals at the beginning and end of the year.</w:t>
            </w:r>
          </w:p>
        </w:tc>
      </w:tr>
      <w:tr w:rsidR="00AB6753" w:rsidRPr="00C60439" w14:paraId="04A86E4C" w14:textId="77777777" w:rsidTr="002D1E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4" w:type="dxa"/>
          <w:trHeight w:val="476"/>
        </w:trPr>
        <w:tc>
          <w:tcPr>
            <w:tcW w:w="14612" w:type="dxa"/>
            <w:gridSpan w:val="10"/>
            <w:tcBorders>
              <w:top w:val="nil"/>
              <w:left w:val="nil"/>
              <w:bottom w:val="nil"/>
              <w:right w:val="nil"/>
            </w:tcBorders>
            <w:shd w:val="clear" w:color="auto" w:fill="auto"/>
            <w:vAlign w:val="center"/>
            <w:hideMark/>
          </w:tcPr>
          <w:p w14:paraId="19E516CD" w14:textId="77777777" w:rsidR="00AB6753" w:rsidRPr="00F903A2" w:rsidRDefault="00AB6753" w:rsidP="002D1EA4">
            <w:pPr>
              <w:pStyle w:val="ListParagraph"/>
              <w:numPr>
                <w:ilvl w:val="0"/>
                <w:numId w:val="38"/>
              </w:numPr>
              <w:spacing w:after="0" w:line="240" w:lineRule="auto"/>
              <w:ind w:left="357" w:hanging="357"/>
              <w:rPr>
                <w:rFonts w:cs="Arial"/>
                <w:color w:val="000000"/>
                <w:sz w:val="16"/>
                <w:szCs w:val="20"/>
                <w:lang w:eastAsia="en-AU"/>
              </w:rPr>
            </w:pPr>
            <w:r w:rsidRPr="00F903A2">
              <w:rPr>
                <w:rFonts w:cs="Arial"/>
                <w:color w:val="000000"/>
                <w:sz w:val="16"/>
                <w:szCs w:val="20"/>
                <w:lang w:eastAsia="en-AU"/>
              </w:rPr>
              <w:t xml:space="preserve">Other benefits and allowances comprise executive vehicle allowances and annual leave expenses. Annual leave expense is calculated on an accrual basis as </w:t>
            </w:r>
            <w:r w:rsidRPr="00F903A2">
              <w:rPr>
                <w:rFonts w:cs="Arial"/>
                <w:color w:val="000000"/>
                <w:sz w:val="16"/>
                <w:szCs w:val="20"/>
                <w:lang w:eastAsia="en-AU"/>
              </w:rPr>
              <w:br/>
              <w:t>20 workings days per year based on the point in time substantive salary.</w:t>
            </w:r>
          </w:p>
        </w:tc>
      </w:tr>
      <w:tr w:rsidR="00AB6753" w:rsidRPr="00C60439" w14:paraId="1B892154" w14:textId="77777777" w:rsidTr="002D1E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4" w:type="dxa"/>
          <w:trHeight w:val="300"/>
        </w:trPr>
        <w:tc>
          <w:tcPr>
            <w:tcW w:w="14612" w:type="dxa"/>
            <w:gridSpan w:val="10"/>
            <w:tcBorders>
              <w:top w:val="nil"/>
              <w:left w:val="nil"/>
              <w:bottom w:val="nil"/>
              <w:right w:val="nil"/>
            </w:tcBorders>
            <w:shd w:val="clear" w:color="auto" w:fill="auto"/>
            <w:vAlign w:val="center"/>
            <w:hideMark/>
          </w:tcPr>
          <w:p w14:paraId="4C9C1973" w14:textId="77777777" w:rsidR="00AB6753" w:rsidRPr="00F903A2" w:rsidRDefault="00AB6753" w:rsidP="002D1EA4">
            <w:pPr>
              <w:pStyle w:val="ListParagraph"/>
              <w:numPr>
                <w:ilvl w:val="0"/>
                <w:numId w:val="38"/>
              </w:numPr>
              <w:spacing w:after="0" w:line="240" w:lineRule="auto"/>
              <w:ind w:left="357" w:hanging="357"/>
              <w:rPr>
                <w:rFonts w:cs="Arial"/>
                <w:color w:val="000000"/>
                <w:sz w:val="16"/>
                <w:szCs w:val="20"/>
                <w:lang w:eastAsia="en-AU"/>
              </w:rPr>
            </w:pPr>
            <w:r w:rsidRPr="00F903A2">
              <w:rPr>
                <w:rFonts w:cs="Arial"/>
                <w:color w:val="000000"/>
                <w:sz w:val="16"/>
                <w:szCs w:val="20"/>
                <w:lang w:eastAsia="en-AU"/>
              </w:rPr>
              <w:t>Superannuation is calculated as actual superannuation contributions made during the year, with an adjustment for accruals at the beginning and end of the year.</w:t>
            </w:r>
          </w:p>
        </w:tc>
      </w:tr>
      <w:tr w:rsidR="00AB6753" w:rsidRPr="00C60439" w14:paraId="30C45E7D" w14:textId="77777777" w:rsidTr="002D1E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4" w:type="dxa"/>
          <w:trHeight w:val="300"/>
        </w:trPr>
        <w:tc>
          <w:tcPr>
            <w:tcW w:w="14612" w:type="dxa"/>
            <w:gridSpan w:val="10"/>
            <w:tcBorders>
              <w:top w:val="nil"/>
              <w:left w:val="nil"/>
              <w:bottom w:val="nil"/>
              <w:right w:val="nil"/>
            </w:tcBorders>
            <w:shd w:val="clear" w:color="auto" w:fill="auto"/>
            <w:vAlign w:val="center"/>
            <w:hideMark/>
          </w:tcPr>
          <w:p w14:paraId="76D0511B" w14:textId="77777777" w:rsidR="00AB6753" w:rsidRPr="00F903A2" w:rsidRDefault="00AB6753" w:rsidP="002D1EA4">
            <w:pPr>
              <w:pStyle w:val="ListParagraph"/>
              <w:numPr>
                <w:ilvl w:val="0"/>
                <w:numId w:val="38"/>
              </w:numPr>
              <w:spacing w:after="0" w:line="240" w:lineRule="auto"/>
              <w:ind w:left="357" w:hanging="357"/>
              <w:rPr>
                <w:rFonts w:cs="Arial"/>
                <w:color w:val="000000"/>
                <w:sz w:val="16"/>
                <w:szCs w:val="20"/>
                <w:lang w:eastAsia="en-AU"/>
              </w:rPr>
            </w:pPr>
            <w:r w:rsidRPr="00F903A2">
              <w:rPr>
                <w:rFonts w:cs="Arial"/>
                <w:color w:val="000000"/>
                <w:sz w:val="16"/>
                <w:szCs w:val="20"/>
                <w:lang w:eastAsia="en-AU"/>
              </w:rPr>
              <w:t>Long service leave is calculated on an accrual basis as nine calendar days leave per financial year based on the point in time substantive salary.</w:t>
            </w:r>
          </w:p>
        </w:tc>
      </w:tr>
      <w:tr w:rsidR="00AB6753" w:rsidRPr="00C60439" w14:paraId="085039CF" w14:textId="77777777" w:rsidTr="002D1E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4" w:type="dxa"/>
          <w:trHeight w:val="123"/>
        </w:trPr>
        <w:tc>
          <w:tcPr>
            <w:tcW w:w="14612" w:type="dxa"/>
            <w:gridSpan w:val="10"/>
            <w:tcBorders>
              <w:top w:val="nil"/>
              <w:left w:val="nil"/>
              <w:bottom w:val="nil"/>
              <w:right w:val="nil"/>
            </w:tcBorders>
            <w:shd w:val="clear" w:color="auto" w:fill="auto"/>
            <w:vAlign w:val="center"/>
            <w:hideMark/>
          </w:tcPr>
          <w:p w14:paraId="7869A79D" w14:textId="77777777" w:rsidR="00AB6753" w:rsidRPr="00F903A2" w:rsidRDefault="00AB6753" w:rsidP="002D1EA4">
            <w:pPr>
              <w:pStyle w:val="ListParagraph"/>
              <w:numPr>
                <w:ilvl w:val="0"/>
                <w:numId w:val="38"/>
              </w:numPr>
              <w:spacing w:after="0" w:line="240" w:lineRule="auto"/>
              <w:ind w:left="357" w:hanging="357"/>
              <w:rPr>
                <w:rFonts w:cs="Arial"/>
                <w:color w:val="000000"/>
                <w:sz w:val="16"/>
                <w:szCs w:val="20"/>
                <w:lang w:eastAsia="en-AU"/>
              </w:rPr>
            </w:pPr>
            <w:r w:rsidRPr="00F903A2">
              <w:rPr>
                <w:rFonts w:cs="Arial"/>
                <w:color w:val="000000"/>
                <w:sz w:val="16"/>
                <w:szCs w:val="20"/>
                <w:lang w:eastAsia="en-AU"/>
              </w:rPr>
              <w:t>The officer occupied a Deputy Secretary position for part of the year. The remuneration is the amount calculated for that period.</w:t>
            </w:r>
          </w:p>
        </w:tc>
      </w:tr>
    </w:tbl>
    <w:p w14:paraId="08C672C6" w14:textId="77777777" w:rsidR="00AB6753" w:rsidRDefault="00AB6753" w:rsidP="00AB6753">
      <w:pPr>
        <w:rPr>
          <w:rFonts w:ascii="Arial Narrow" w:hAnsi="Arial Narrow" w:cs="Calibri"/>
          <w:b/>
          <w:sz w:val="20"/>
          <w:szCs w:val="20"/>
        </w:rPr>
      </w:pPr>
      <w:r>
        <w:rPr>
          <w:rFonts w:ascii="Arial Narrow" w:hAnsi="Arial Narrow" w:cs="Calibri"/>
          <w:b/>
          <w:sz w:val="20"/>
          <w:szCs w:val="20"/>
        </w:rPr>
        <w:br w:type="page"/>
      </w:r>
    </w:p>
    <w:p w14:paraId="402DCEBA" w14:textId="77777777" w:rsidR="00AB6753" w:rsidRPr="00A050FC" w:rsidRDefault="00AB6753" w:rsidP="00AB6753">
      <w:pPr>
        <w:rPr>
          <w:rFonts w:ascii="Arial Narrow" w:hAnsi="Arial Narrow" w:cs="Calibri"/>
          <w:b/>
          <w:sz w:val="20"/>
          <w:szCs w:val="20"/>
        </w:rPr>
      </w:pPr>
      <w:r>
        <w:rPr>
          <w:rFonts w:ascii="Arial Narrow" w:hAnsi="Arial Narrow" w:cs="Calibri"/>
          <w:b/>
          <w:sz w:val="20"/>
          <w:szCs w:val="20"/>
        </w:rPr>
        <w:lastRenderedPageBreak/>
        <w:t xml:space="preserve">Table F-2 </w:t>
      </w:r>
      <w:r w:rsidRPr="00A050FC">
        <w:rPr>
          <w:rFonts w:ascii="Arial Narrow" w:hAnsi="Arial Narrow" w:cs="Calibri"/>
          <w:b/>
          <w:sz w:val="20"/>
          <w:szCs w:val="20"/>
        </w:rPr>
        <w:t>17AD (da) — Executive Remuneration — Information about remuneration for senior executives</w:t>
      </w:r>
      <w:bookmarkEnd w:id="280"/>
    </w:p>
    <w:tbl>
      <w:tblPr>
        <w:tblW w:w="1420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Caption w:val="Table F-2 17AD (da) Executive remuneration"/>
        <w:tblDescription w:val="Table 17AD (da) Executive remuneration. Information about remuneration for senior executives"/>
      </w:tblPr>
      <w:tblGrid>
        <w:gridCol w:w="2019"/>
        <w:gridCol w:w="1275"/>
        <w:gridCol w:w="1134"/>
        <w:gridCol w:w="1134"/>
        <w:gridCol w:w="1418"/>
        <w:gridCol w:w="1843"/>
        <w:gridCol w:w="1134"/>
        <w:gridCol w:w="1275"/>
        <w:gridCol w:w="1418"/>
        <w:gridCol w:w="1559"/>
      </w:tblGrid>
      <w:tr w:rsidR="00AB6753" w:rsidRPr="00F32D92" w14:paraId="4BB1EA7A" w14:textId="77777777" w:rsidTr="002D1EA4">
        <w:trPr>
          <w:tblHeader/>
        </w:trPr>
        <w:tc>
          <w:tcPr>
            <w:tcW w:w="2019" w:type="dxa"/>
            <w:tcBorders>
              <w:top w:val="nil"/>
              <w:left w:val="nil"/>
              <w:bottom w:val="single" w:sz="12" w:space="0" w:color="auto"/>
              <w:right w:val="nil"/>
            </w:tcBorders>
            <w:shd w:val="clear" w:color="auto" w:fill="FFFFFF" w:themeFill="background1"/>
          </w:tcPr>
          <w:p w14:paraId="38608346" w14:textId="77777777" w:rsidR="00AB6753" w:rsidRPr="00F32D92" w:rsidRDefault="00AB6753" w:rsidP="002D1EA4">
            <w:pPr>
              <w:rPr>
                <w:rFonts w:cs="Arial"/>
                <w:sz w:val="20"/>
                <w:szCs w:val="20"/>
              </w:rPr>
            </w:pPr>
          </w:p>
        </w:tc>
        <w:tc>
          <w:tcPr>
            <w:tcW w:w="1275" w:type="dxa"/>
            <w:tcBorders>
              <w:top w:val="nil"/>
              <w:left w:val="nil"/>
              <w:bottom w:val="single" w:sz="12" w:space="0" w:color="auto"/>
              <w:right w:val="single" w:sz="12" w:space="0" w:color="auto"/>
            </w:tcBorders>
            <w:shd w:val="clear" w:color="auto" w:fill="FFFFFF" w:themeFill="background1"/>
          </w:tcPr>
          <w:p w14:paraId="6998D5C4" w14:textId="77777777" w:rsidR="00AB6753" w:rsidRPr="00F32D92" w:rsidRDefault="00AB6753" w:rsidP="002D1EA4">
            <w:pPr>
              <w:rPr>
                <w:rFonts w:cs="Arial"/>
                <w:sz w:val="20"/>
                <w:szCs w:val="20"/>
              </w:rPr>
            </w:pPr>
          </w:p>
        </w:tc>
        <w:tc>
          <w:tcPr>
            <w:tcW w:w="3686" w:type="dxa"/>
            <w:gridSpan w:val="3"/>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74DA908" w14:textId="77777777" w:rsidR="00AB6753" w:rsidRPr="00F32D92" w:rsidRDefault="00AB6753" w:rsidP="002D1EA4">
            <w:pPr>
              <w:rPr>
                <w:rFonts w:cs="Arial"/>
                <w:sz w:val="20"/>
                <w:szCs w:val="20"/>
              </w:rPr>
            </w:pPr>
            <w:r w:rsidRPr="00F32D92">
              <w:rPr>
                <w:rFonts w:cs="Arial"/>
                <w:sz w:val="20"/>
                <w:szCs w:val="20"/>
              </w:rPr>
              <w:t>Short</w:t>
            </w:r>
            <w:r w:rsidRPr="00F32D92">
              <w:rPr>
                <w:rFonts w:cs="Arial"/>
                <w:sz w:val="20"/>
                <w:szCs w:val="20"/>
              </w:rPr>
              <w:noBreakHyphen/>
              <w:t>term benefits</w:t>
            </w:r>
          </w:p>
        </w:tc>
        <w:tc>
          <w:tcPr>
            <w:tcW w:w="184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95A4FCD" w14:textId="77777777" w:rsidR="00AB6753" w:rsidRPr="00F32D92" w:rsidRDefault="00AB6753" w:rsidP="002D1EA4">
            <w:pPr>
              <w:rPr>
                <w:rFonts w:cs="Arial"/>
                <w:sz w:val="20"/>
                <w:szCs w:val="20"/>
              </w:rPr>
            </w:pPr>
            <w:r w:rsidRPr="00F32D92">
              <w:rPr>
                <w:rFonts w:cs="Arial"/>
                <w:sz w:val="20"/>
                <w:szCs w:val="20"/>
              </w:rPr>
              <w:t>Post</w:t>
            </w:r>
            <w:r w:rsidRPr="00F32D92">
              <w:rPr>
                <w:rFonts w:cs="Arial"/>
                <w:sz w:val="20"/>
                <w:szCs w:val="20"/>
              </w:rPr>
              <w:noBreakHyphen/>
              <w:t>employment benefits</w:t>
            </w:r>
          </w:p>
        </w:tc>
        <w:tc>
          <w:tcPr>
            <w:tcW w:w="2409"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8B458A5" w14:textId="77777777" w:rsidR="00AB6753" w:rsidRPr="00F32D92" w:rsidRDefault="00AB6753" w:rsidP="002D1EA4">
            <w:pPr>
              <w:rPr>
                <w:rFonts w:cs="Arial"/>
                <w:sz w:val="20"/>
                <w:szCs w:val="20"/>
              </w:rPr>
            </w:pPr>
            <w:r w:rsidRPr="00F32D92">
              <w:rPr>
                <w:rFonts w:cs="Arial"/>
                <w:sz w:val="20"/>
                <w:szCs w:val="20"/>
              </w:rPr>
              <w:t>Other long</w:t>
            </w:r>
            <w:r w:rsidRPr="00F32D92">
              <w:rPr>
                <w:rFonts w:cs="Arial"/>
                <w:sz w:val="20"/>
                <w:szCs w:val="20"/>
              </w:rPr>
              <w:noBreakHyphen/>
              <w:t>term benefits</w:t>
            </w:r>
          </w:p>
        </w:tc>
        <w:tc>
          <w:tcPr>
            <w:tcW w:w="141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9B97E5E" w14:textId="77777777" w:rsidR="00AB6753" w:rsidRPr="00F32D92" w:rsidRDefault="00AB6753" w:rsidP="002D1EA4">
            <w:pPr>
              <w:rPr>
                <w:rFonts w:cs="Arial"/>
                <w:sz w:val="20"/>
                <w:szCs w:val="20"/>
              </w:rPr>
            </w:pPr>
            <w:r w:rsidRPr="00F32D92">
              <w:rPr>
                <w:rFonts w:cs="Arial"/>
                <w:sz w:val="20"/>
                <w:szCs w:val="20"/>
              </w:rPr>
              <w:t>Termination benefits</w:t>
            </w:r>
          </w:p>
        </w:tc>
        <w:tc>
          <w:tcPr>
            <w:tcW w:w="1559" w:type="dxa"/>
            <w:tcBorders>
              <w:top w:val="single" w:sz="12" w:space="0" w:color="auto"/>
              <w:left w:val="single" w:sz="12" w:space="0" w:color="auto"/>
              <w:bottom w:val="single" w:sz="12" w:space="0" w:color="auto"/>
            </w:tcBorders>
            <w:shd w:val="clear" w:color="auto" w:fill="BFBFBF" w:themeFill="background1" w:themeFillShade="BF"/>
          </w:tcPr>
          <w:p w14:paraId="6C31C07A" w14:textId="77777777" w:rsidR="00AB6753" w:rsidRPr="00F32D92" w:rsidRDefault="00AB6753" w:rsidP="002D1EA4">
            <w:pPr>
              <w:rPr>
                <w:rFonts w:cs="Arial"/>
                <w:sz w:val="20"/>
                <w:szCs w:val="20"/>
              </w:rPr>
            </w:pPr>
            <w:r w:rsidRPr="00F32D92">
              <w:rPr>
                <w:rFonts w:cs="Arial"/>
                <w:sz w:val="20"/>
                <w:szCs w:val="20"/>
              </w:rPr>
              <w:t>Total remuneration</w:t>
            </w:r>
          </w:p>
        </w:tc>
      </w:tr>
      <w:tr w:rsidR="00AB6753" w:rsidRPr="00F32D92" w14:paraId="3F8FFD12" w14:textId="77777777" w:rsidTr="002D1EA4">
        <w:trPr>
          <w:tblHeader/>
        </w:trPr>
        <w:tc>
          <w:tcPr>
            <w:tcW w:w="2019" w:type="dxa"/>
            <w:tcBorders>
              <w:top w:val="single" w:sz="12" w:space="0" w:color="auto"/>
              <w:bottom w:val="single" w:sz="12" w:space="0" w:color="auto"/>
              <w:right w:val="single" w:sz="12" w:space="0" w:color="auto"/>
            </w:tcBorders>
            <w:shd w:val="clear" w:color="auto" w:fill="auto"/>
          </w:tcPr>
          <w:p w14:paraId="037D225D" w14:textId="77777777" w:rsidR="00AB6753" w:rsidRPr="00F32D92" w:rsidRDefault="00AB6753" w:rsidP="002D1EA4">
            <w:pPr>
              <w:rPr>
                <w:rFonts w:cs="Arial"/>
                <w:sz w:val="20"/>
                <w:szCs w:val="20"/>
              </w:rPr>
            </w:pPr>
            <w:r w:rsidRPr="00F32D92">
              <w:rPr>
                <w:rFonts w:cs="Arial"/>
                <w:sz w:val="20"/>
                <w:szCs w:val="20"/>
              </w:rPr>
              <w:t>Total remuneration bands</w:t>
            </w:r>
          </w:p>
        </w:tc>
        <w:tc>
          <w:tcPr>
            <w:tcW w:w="1275" w:type="dxa"/>
            <w:tcBorders>
              <w:top w:val="single" w:sz="12" w:space="0" w:color="auto"/>
              <w:left w:val="single" w:sz="12" w:space="0" w:color="auto"/>
              <w:bottom w:val="single" w:sz="12" w:space="0" w:color="auto"/>
              <w:right w:val="single" w:sz="12" w:space="0" w:color="auto"/>
            </w:tcBorders>
            <w:shd w:val="clear" w:color="auto" w:fill="auto"/>
          </w:tcPr>
          <w:p w14:paraId="729C0DAB" w14:textId="77777777" w:rsidR="00AB6753" w:rsidRPr="00F32D92" w:rsidRDefault="00AB6753" w:rsidP="002D1EA4">
            <w:pPr>
              <w:rPr>
                <w:rFonts w:cs="Arial"/>
                <w:sz w:val="20"/>
                <w:szCs w:val="20"/>
              </w:rPr>
            </w:pPr>
            <w:r w:rsidRPr="00F32D92">
              <w:rPr>
                <w:rFonts w:cs="Arial"/>
                <w:sz w:val="20"/>
                <w:szCs w:val="20"/>
              </w:rPr>
              <w:t>Number of senior executives</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14:paraId="67C548B0" w14:textId="77777777" w:rsidR="00AB6753" w:rsidRPr="00E42540" w:rsidRDefault="00AB6753" w:rsidP="002D1EA4">
            <w:pPr>
              <w:spacing w:after="0"/>
              <w:jc w:val="center"/>
              <w:rPr>
                <w:rFonts w:cs="Arial"/>
                <w:b/>
                <w:sz w:val="20"/>
                <w:szCs w:val="20"/>
              </w:rPr>
            </w:pPr>
            <w:r w:rsidRPr="00E42540">
              <w:rPr>
                <w:rFonts w:cs="Arial"/>
                <w:b/>
                <w:sz w:val="20"/>
                <w:szCs w:val="20"/>
              </w:rPr>
              <w:t>$</w:t>
            </w:r>
          </w:p>
          <w:p w14:paraId="1682739D" w14:textId="77777777" w:rsidR="00AB6753" w:rsidRPr="00E42540" w:rsidRDefault="00AB6753" w:rsidP="002D1EA4">
            <w:pPr>
              <w:spacing w:after="0"/>
              <w:jc w:val="center"/>
              <w:rPr>
                <w:rFonts w:cs="Arial"/>
                <w:b/>
                <w:sz w:val="20"/>
                <w:szCs w:val="20"/>
              </w:rPr>
            </w:pPr>
            <w:r w:rsidRPr="00E42540">
              <w:rPr>
                <w:rFonts w:cs="Arial"/>
                <w:b/>
                <w:sz w:val="20"/>
                <w:szCs w:val="20"/>
              </w:rPr>
              <w:t>Average base salary</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14:paraId="259A0230" w14:textId="77777777" w:rsidR="00AB6753" w:rsidRPr="00E42540" w:rsidRDefault="00AB6753" w:rsidP="002D1EA4">
            <w:pPr>
              <w:spacing w:after="0"/>
              <w:jc w:val="center"/>
              <w:rPr>
                <w:rFonts w:cs="Arial"/>
                <w:b/>
                <w:sz w:val="20"/>
                <w:szCs w:val="20"/>
              </w:rPr>
            </w:pPr>
            <w:r w:rsidRPr="00E42540">
              <w:rPr>
                <w:rFonts w:cs="Arial"/>
                <w:b/>
                <w:sz w:val="20"/>
                <w:szCs w:val="20"/>
              </w:rPr>
              <w:t>$ Average bonuses</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2052AF1A" w14:textId="77777777" w:rsidR="00AB6753" w:rsidRDefault="00AB6753" w:rsidP="002D1EA4">
            <w:pPr>
              <w:spacing w:after="0"/>
              <w:jc w:val="center"/>
              <w:rPr>
                <w:rFonts w:cs="Arial"/>
                <w:b/>
                <w:sz w:val="20"/>
                <w:szCs w:val="20"/>
              </w:rPr>
            </w:pPr>
            <w:r w:rsidRPr="00E42540">
              <w:rPr>
                <w:rFonts w:cs="Arial"/>
                <w:b/>
                <w:sz w:val="20"/>
                <w:szCs w:val="20"/>
              </w:rPr>
              <w:t xml:space="preserve">$ </w:t>
            </w:r>
          </w:p>
          <w:p w14:paraId="1F142CBF" w14:textId="77777777" w:rsidR="00AB6753" w:rsidRPr="00E42540" w:rsidRDefault="00AB6753" w:rsidP="002D1EA4">
            <w:pPr>
              <w:spacing w:after="0"/>
              <w:jc w:val="center"/>
              <w:rPr>
                <w:rFonts w:cs="Arial"/>
                <w:b/>
                <w:sz w:val="20"/>
                <w:szCs w:val="20"/>
              </w:rPr>
            </w:pPr>
            <w:r w:rsidRPr="00E42540">
              <w:rPr>
                <w:rFonts w:cs="Arial"/>
                <w:b/>
                <w:sz w:val="20"/>
                <w:szCs w:val="20"/>
              </w:rPr>
              <w:t>Average other benefits and allowances</w:t>
            </w: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64056CFB" w14:textId="77777777" w:rsidR="00AB6753" w:rsidRDefault="00AB6753" w:rsidP="002D1EA4">
            <w:pPr>
              <w:spacing w:after="0"/>
              <w:jc w:val="center"/>
              <w:rPr>
                <w:rFonts w:cs="Arial"/>
                <w:b/>
                <w:sz w:val="20"/>
                <w:szCs w:val="20"/>
              </w:rPr>
            </w:pPr>
            <w:r w:rsidRPr="00E42540">
              <w:rPr>
                <w:rFonts w:cs="Arial"/>
                <w:b/>
                <w:sz w:val="20"/>
                <w:szCs w:val="20"/>
              </w:rPr>
              <w:t xml:space="preserve">$ </w:t>
            </w:r>
          </w:p>
          <w:p w14:paraId="3F32D1F8" w14:textId="77777777" w:rsidR="00AB6753" w:rsidRPr="00E42540" w:rsidRDefault="00AB6753" w:rsidP="002D1EA4">
            <w:pPr>
              <w:spacing w:after="0"/>
              <w:jc w:val="center"/>
              <w:rPr>
                <w:rFonts w:cs="Arial"/>
                <w:b/>
                <w:sz w:val="20"/>
                <w:szCs w:val="20"/>
              </w:rPr>
            </w:pPr>
            <w:r w:rsidRPr="00E42540">
              <w:rPr>
                <w:rFonts w:cs="Arial"/>
                <w:b/>
                <w:sz w:val="20"/>
                <w:szCs w:val="20"/>
              </w:rPr>
              <w:t>Average superannuation contributions</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14:paraId="1BADE971" w14:textId="77777777" w:rsidR="00AB6753" w:rsidRPr="00E42540" w:rsidRDefault="00AB6753" w:rsidP="002D1EA4">
            <w:pPr>
              <w:spacing w:after="0"/>
              <w:jc w:val="center"/>
              <w:rPr>
                <w:rFonts w:cs="Arial"/>
                <w:b/>
                <w:sz w:val="20"/>
                <w:szCs w:val="20"/>
              </w:rPr>
            </w:pPr>
            <w:r w:rsidRPr="00E42540">
              <w:rPr>
                <w:rFonts w:cs="Arial"/>
                <w:b/>
                <w:sz w:val="20"/>
                <w:szCs w:val="20"/>
              </w:rPr>
              <w:t>$ Average long service leave</w:t>
            </w:r>
          </w:p>
        </w:tc>
        <w:tc>
          <w:tcPr>
            <w:tcW w:w="1275" w:type="dxa"/>
            <w:tcBorders>
              <w:top w:val="single" w:sz="12" w:space="0" w:color="auto"/>
              <w:left w:val="single" w:sz="12" w:space="0" w:color="auto"/>
              <w:bottom w:val="single" w:sz="12" w:space="0" w:color="auto"/>
              <w:right w:val="single" w:sz="12" w:space="0" w:color="auto"/>
            </w:tcBorders>
            <w:shd w:val="clear" w:color="auto" w:fill="auto"/>
          </w:tcPr>
          <w:p w14:paraId="79E15F6D" w14:textId="77777777" w:rsidR="00AB6753" w:rsidRDefault="00AB6753" w:rsidP="002D1EA4">
            <w:pPr>
              <w:spacing w:after="0"/>
              <w:jc w:val="center"/>
              <w:rPr>
                <w:rFonts w:cs="Arial"/>
                <w:b/>
                <w:sz w:val="20"/>
                <w:szCs w:val="20"/>
              </w:rPr>
            </w:pPr>
            <w:r w:rsidRPr="00E42540">
              <w:rPr>
                <w:rFonts w:cs="Arial"/>
                <w:b/>
                <w:sz w:val="20"/>
                <w:szCs w:val="20"/>
              </w:rPr>
              <w:t xml:space="preserve">$ </w:t>
            </w:r>
          </w:p>
          <w:p w14:paraId="5616CE75" w14:textId="77777777" w:rsidR="00AB6753" w:rsidRPr="00E42540" w:rsidRDefault="00AB6753" w:rsidP="002D1EA4">
            <w:pPr>
              <w:spacing w:after="0"/>
              <w:jc w:val="center"/>
              <w:rPr>
                <w:rFonts w:cs="Arial"/>
                <w:b/>
                <w:sz w:val="20"/>
                <w:szCs w:val="20"/>
              </w:rPr>
            </w:pPr>
            <w:r w:rsidRPr="00E42540">
              <w:rPr>
                <w:rFonts w:cs="Arial"/>
                <w:b/>
                <w:sz w:val="20"/>
                <w:szCs w:val="20"/>
              </w:rPr>
              <w:t>Average other long</w:t>
            </w:r>
            <w:r w:rsidRPr="00E42540">
              <w:rPr>
                <w:rFonts w:cs="Arial"/>
                <w:b/>
                <w:sz w:val="20"/>
                <w:szCs w:val="20"/>
              </w:rPr>
              <w:noBreakHyphen/>
              <w:t>term benefits</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43FB5411" w14:textId="77777777" w:rsidR="00AB6753" w:rsidRDefault="00AB6753" w:rsidP="002D1EA4">
            <w:pPr>
              <w:spacing w:after="0"/>
              <w:jc w:val="center"/>
              <w:rPr>
                <w:rFonts w:cs="Arial"/>
                <w:b/>
                <w:sz w:val="20"/>
                <w:szCs w:val="20"/>
              </w:rPr>
            </w:pPr>
            <w:r w:rsidRPr="00E42540">
              <w:rPr>
                <w:rFonts w:cs="Arial"/>
                <w:b/>
                <w:sz w:val="20"/>
                <w:szCs w:val="20"/>
              </w:rPr>
              <w:t xml:space="preserve">$ </w:t>
            </w:r>
          </w:p>
          <w:p w14:paraId="1BD4E9CB" w14:textId="77777777" w:rsidR="00AB6753" w:rsidRPr="00E42540" w:rsidRDefault="00AB6753" w:rsidP="002D1EA4">
            <w:pPr>
              <w:spacing w:after="0"/>
              <w:jc w:val="center"/>
              <w:rPr>
                <w:rFonts w:cs="Arial"/>
                <w:b/>
                <w:sz w:val="20"/>
                <w:szCs w:val="20"/>
              </w:rPr>
            </w:pPr>
            <w:r w:rsidRPr="00E42540">
              <w:rPr>
                <w:rFonts w:cs="Arial"/>
                <w:b/>
                <w:sz w:val="20"/>
                <w:szCs w:val="20"/>
              </w:rPr>
              <w:t>Average termination benefits</w:t>
            </w:r>
          </w:p>
        </w:tc>
        <w:tc>
          <w:tcPr>
            <w:tcW w:w="1559" w:type="dxa"/>
            <w:tcBorders>
              <w:top w:val="single" w:sz="12" w:space="0" w:color="auto"/>
              <w:left w:val="single" w:sz="12" w:space="0" w:color="auto"/>
              <w:bottom w:val="single" w:sz="12" w:space="0" w:color="auto"/>
            </w:tcBorders>
            <w:shd w:val="clear" w:color="auto" w:fill="auto"/>
          </w:tcPr>
          <w:p w14:paraId="5219CD83" w14:textId="77777777" w:rsidR="00AB6753" w:rsidRDefault="00AB6753" w:rsidP="002D1EA4">
            <w:pPr>
              <w:spacing w:after="0"/>
              <w:jc w:val="center"/>
              <w:rPr>
                <w:rFonts w:cs="Arial"/>
                <w:b/>
                <w:sz w:val="20"/>
                <w:szCs w:val="20"/>
              </w:rPr>
            </w:pPr>
            <w:r w:rsidRPr="00E42540">
              <w:rPr>
                <w:rFonts w:cs="Arial"/>
                <w:b/>
                <w:sz w:val="20"/>
                <w:szCs w:val="20"/>
              </w:rPr>
              <w:t xml:space="preserve">$ </w:t>
            </w:r>
          </w:p>
          <w:p w14:paraId="42EE0058" w14:textId="77777777" w:rsidR="00AB6753" w:rsidRPr="00E42540" w:rsidRDefault="00AB6753" w:rsidP="002D1EA4">
            <w:pPr>
              <w:spacing w:after="0"/>
              <w:jc w:val="center"/>
              <w:rPr>
                <w:rFonts w:cs="Arial"/>
                <w:b/>
                <w:sz w:val="20"/>
                <w:szCs w:val="20"/>
              </w:rPr>
            </w:pPr>
            <w:r w:rsidRPr="00E42540">
              <w:rPr>
                <w:rFonts w:cs="Arial"/>
                <w:b/>
                <w:sz w:val="20"/>
                <w:szCs w:val="20"/>
              </w:rPr>
              <w:t>Average total remuneration</w:t>
            </w:r>
          </w:p>
        </w:tc>
      </w:tr>
      <w:tr w:rsidR="00AB6753" w:rsidRPr="00F32D92" w14:paraId="00352B56" w14:textId="77777777" w:rsidTr="002D1EA4">
        <w:tc>
          <w:tcPr>
            <w:tcW w:w="2019" w:type="dxa"/>
            <w:tcBorders>
              <w:top w:val="single" w:sz="12" w:space="0" w:color="auto"/>
              <w:bottom w:val="single" w:sz="4" w:space="0" w:color="auto"/>
              <w:right w:val="single" w:sz="12" w:space="0" w:color="auto"/>
            </w:tcBorders>
            <w:shd w:val="clear" w:color="auto" w:fill="auto"/>
            <w:vAlign w:val="bottom"/>
          </w:tcPr>
          <w:p w14:paraId="11EC71DC" w14:textId="77777777" w:rsidR="00AB6753" w:rsidRPr="00F32D92" w:rsidRDefault="00AB6753" w:rsidP="002D1EA4">
            <w:pPr>
              <w:rPr>
                <w:rFonts w:cs="Arial"/>
                <w:sz w:val="20"/>
                <w:szCs w:val="20"/>
              </w:rPr>
            </w:pPr>
            <w:r w:rsidRPr="00F32D92">
              <w:rPr>
                <w:rFonts w:cs="Arial"/>
                <w:sz w:val="20"/>
                <w:szCs w:val="20"/>
              </w:rPr>
              <w:t>$0–$220,000</w:t>
            </w:r>
          </w:p>
        </w:tc>
        <w:tc>
          <w:tcPr>
            <w:tcW w:w="1275" w:type="dxa"/>
            <w:tcBorders>
              <w:top w:val="single" w:sz="12" w:space="0" w:color="auto"/>
              <w:left w:val="single" w:sz="12" w:space="0" w:color="auto"/>
              <w:bottom w:val="single" w:sz="6" w:space="0" w:color="auto"/>
              <w:right w:val="single" w:sz="12" w:space="0" w:color="auto"/>
            </w:tcBorders>
            <w:shd w:val="clear" w:color="auto" w:fill="auto"/>
            <w:vAlign w:val="center"/>
          </w:tcPr>
          <w:p w14:paraId="36D8C1FD" w14:textId="77777777" w:rsidR="00AB6753" w:rsidRPr="00F32D92" w:rsidRDefault="00AB6753" w:rsidP="002D1EA4">
            <w:pPr>
              <w:rPr>
                <w:rFonts w:cs="Arial"/>
                <w:sz w:val="20"/>
                <w:szCs w:val="20"/>
              </w:rPr>
            </w:pPr>
            <w:r>
              <w:t>34</w:t>
            </w:r>
          </w:p>
        </w:tc>
        <w:tc>
          <w:tcPr>
            <w:tcW w:w="1134" w:type="dxa"/>
            <w:tcBorders>
              <w:top w:val="single" w:sz="12" w:space="0" w:color="auto"/>
              <w:left w:val="single" w:sz="12" w:space="0" w:color="auto"/>
              <w:bottom w:val="single" w:sz="6" w:space="0" w:color="auto"/>
              <w:right w:val="single" w:sz="12" w:space="0" w:color="auto"/>
            </w:tcBorders>
            <w:shd w:val="clear" w:color="auto" w:fill="auto"/>
            <w:vAlign w:val="center"/>
          </w:tcPr>
          <w:p w14:paraId="3496E22D" w14:textId="77777777" w:rsidR="00AB6753" w:rsidRPr="00F32D92" w:rsidRDefault="00AB6753" w:rsidP="002D1EA4">
            <w:pPr>
              <w:rPr>
                <w:rFonts w:cs="Arial"/>
                <w:sz w:val="20"/>
                <w:szCs w:val="20"/>
              </w:rPr>
            </w:pPr>
            <w:r>
              <w:t>92,124</w:t>
            </w:r>
          </w:p>
        </w:tc>
        <w:tc>
          <w:tcPr>
            <w:tcW w:w="1134" w:type="dxa"/>
            <w:tcBorders>
              <w:top w:val="single" w:sz="12" w:space="0" w:color="auto"/>
              <w:left w:val="single" w:sz="12" w:space="0" w:color="auto"/>
              <w:right w:val="single" w:sz="12" w:space="0" w:color="auto"/>
            </w:tcBorders>
            <w:shd w:val="clear" w:color="auto" w:fill="auto"/>
            <w:vAlign w:val="center"/>
          </w:tcPr>
          <w:p w14:paraId="1B6F94F8" w14:textId="77777777" w:rsidR="00AB6753" w:rsidRPr="00F32D92" w:rsidRDefault="00AB6753" w:rsidP="002D1EA4">
            <w:pPr>
              <w:rPr>
                <w:rFonts w:cs="Arial"/>
                <w:sz w:val="20"/>
                <w:szCs w:val="20"/>
              </w:rPr>
            </w:pPr>
            <w:r>
              <w:t>-</w:t>
            </w:r>
          </w:p>
        </w:tc>
        <w:tc>
          <w:tcPr>
            <w:tcW w:w="1418" w:type="dxa"/>
            <w:tcBorders>
              <w:top w:val="single" w:sz="12" w:space="0" w:color="auto"/>
              <w:left w:val="single" w:sz="12" w:space="0" w:color="auto"/>
              <w:bottom w:val="single" w:sz="6" w:space="0" w:color="auto"/>
              <w:right w:val="single" w:sz="12" w:space="0" w:color="auto"/>
            </w:tcBorders>
            <w:shd w:val="clear" w:color="auto" w:fill="auto"/>
            <w:vAlign w:val="center"/>
          </w:tcPr>
          <w:p w14:paraId="22B29F8C" w14:textId="77777777" w:rsidR="00AB6753" w:rsidRPr="00F32D92" w:rsidRDefault="00AB6753" w:rsidP="002D1EA4">
            <w:pPr>
              <w:rPr>
                <w:rFonts w:cs="Arial"/>
                <w:sz w:val="20"/>
                <w:szCs w:val="20"/>
              </w:rPr>
            </w:pPr>
            <w:r>
              <w:t>11,262</w:t>
            </w:r>
          </w:p>
        </w:tc>
        <w:tc>
          <w:tcPr>
            <w:tcW w:w="1843" w:type="dxa"/>
            <w:tcBorders>
              <w:top w:val="single" w:sz="12" w:space="0" w:color="auto"/>
              <w:left w:val="single" w:sz="12" w:space="0" w:color="auto"/>
              <w:right w:val="single" w:sz="12" w:space="0" w:color="auto"/>
            </w:tcBorders>
            <w:shd w:val="clear" w:color="auto" w:fill="auto"/>
            <w:vAlign w:val="center"/>
          </w:tcPr>
          <w:p w14:paraId="399F9334" w14:textId="77777777" w:rsidR="00AB6753" w:rsidRPr="00F32D92" w:rsidRDefault="00AB6753" w:rsidP="002D1EA4">
            <w:pPr>
              <w:rPr>
                <w:rFonts w:cs="Arial"/>
                <w:sz w:val="20"/>
                <w:szCs w:val="20"/>
              </w:rPr>
            </w:pPr>
            <w:r>
              <w:t>17,349</w:t>
            </w:r>
          </w:p>
        </w:tc>
        <w:tc>
          <w:tcPr>
            <w:tcW w:w="1134" w:type="dxa"/>
            <w:tcBorders>
              <w:top w:val="single" w:sz="12" w:space="0" w:color="auto"/>
              <w:left w:val="single" w:sz="12" w:space="0" w:color="auto"/>
              <w:bottom w:val="single" w:sz="6" w:space="0" w:color="auto"/>
              <w:right w:val="single" w:sz="12" w:space="0" w:color="auto"/>
            </w:tcBorders>
            <w:shd w:val="clear" w:color="auto" w:fill="auto"/>
            <w:vAlign w:val="center"/>
          </w:tcPr>
          <w:p w14:paraId="39DF0776" w14:textId="77777777" w:rsidR="00AB6753" w:rsidRPr="00F32D92" w:rsidRDefault="00AB6753" w:rsidP="002D1EA4">
            <w:pPr>
              <w:rPr>
                <w:rFonts w:cs="Arial"/>
                <w:sz w:val="20"/>
                <w:szCs w:val="20"/>
              </w:rPr>
            </w:pPr>
            <w:r>
              <w:t>2,915</w:t>
            </w:r>
          </w:p>
        </w:tc>
        <w:tc>
          <w:tcPr>
            <w:tcW w:w="1275" w:type="dxa"/>
            <w:tcBorders>
              <w:top w:val="single" w:sz="12" w:space="0" w:color="auto"/>
              <w:left w:val="single" w:sz="12" w:space="0" w:color="auto"/>
              <w:bottom w:val="single" w:sz="6" w:space="0" w:color="auto"/>
              <w:right w:val="single" w:sz="12" w:space="0" w:color="auto"/>
            </w:tcBorders>
            <w:shd w:val="clear" w:color="auto" w:fill="auto"/>
            <w:vAlign w:val="center"/>
          </w:tcPr>
          <w:p w14:paraId="3C2DFDFA" w14:textId="77777777" w:rsidR="00AB6753" w:rsidRPr="00F32D92" w:rsidRDefault="00AB6753" w:rsidP="002D1EA4">
            <w:pPr>
              <w:rPr>
                <w:rFonts w:cs="Arial"/>
                <w:sz w:val="20"/>
                <w:szCs w:val="20"/>
              </w:rPr>
            </w:pPr>
            <w:r>
              <w:t>-</w:t>
            </w:r>
          </w:p>
        </w:tc>
        <w:tc>
          <w:tcPr>
            <w:tcW w:w="1418" w:type="dxa"/>
            <w:tcBorders>
              <w:top w:val="single" w:sz="12" w:space="0" w:color="auto"/>
              <w:left w:val="single" w:sz="12" w:space="0" w:color="auto"/>
              <w:bottom w:val="single" w:sz="6" w:space="0" w:color="auto"/>
              <w:right w:val="single" w:sz="12" w:space="0" w:color="auto"/>
            </w:tcBorders>
            <w:shd w:val="clear" w:color="auto" w:fill="auto"/>
            <w:vAlign w:val="center"/>
          </w:tcPr>
          <w:p w14:paraId="4B753DEE" w14:textId="77777777" w:rsidR="00AB6753" w:rsidRPr="00F32D92" w:rsidRDefault="00AB6753" w:rsidP="002D1EA4">
            <w:pPr>
              <w:rPr>
                <w:rFonts w:cs="Arial"/>
                <w:sz w:val="20"/>
                <w:szCs w:val="20"/>
              </w:rPr>
            </w:pPr>
            <w:r>
              <w:t>-</w:t>
            </w:r>
          </w:p>
        </w:tc>
        <w:tc>
          <w:tcPr>
            <w:tcW w:w="1559" w:type="dxa"/>
            <w:tcBorders>
              <w:top w:val="single" w:sz="12" w:space="0" w:color="auto"/>
              <w:left w:val="single" w:sz="12" w:space="0" w:color="auto"/>
            </w:tcBorders>
            <w:shd w:val="clear" w:color="auto" w:fill="auto"/>
            <w:vAlign w:val="center"/>
          </w:tcPr>
          <w:p w14:paraId="6BD5B2B1" w14:textId="77777777" w:rsidR="00AB6753" w:rsidRPr="00F32D92" w:rsidRDefault="00AB6753" w:rsidP="002D1EA4">
            <w:pPr>
              <w:rPr>
                <w:rFonts w:cs="Arial"/>
                <w:sz w:val="20"/>
                <w:szCs w:val="20"/>
              </w:rPr>
            </w:pPr>
            <w:r>
              <w:t>123,650</w:t>
            </w:r>
          </w:p>
        </w:tc>
      </w:tr>
      <w:tr w:rsidR="00AB6753" w:rsidRPr="00F32D92" w14:paraId="0616C274" w14:textId="77777777" w:rsidTr="002D1EA4">
        <w:tc>
          <w:tcPr>
            <w:tcW w:w="2019" w:type="dxa"/>
            <w:tcBorders>
              <w:top w:val="single" w:sz="4" w:space="0" w:color="auto"/>
              <w:bottom w:val="single" w:sz="4" w:space="0" w:color="auto"/>
              <w:right w:val="single" w:sz="12" w:space="0" w:color="auto"/>
            </w:tcBorders>
            <w:shd w:val="clear" w:color="auto" w:fill="auto"/>
            <w:vAlign w:val="bottom"/>
          </w:tcPr>
          <w:p w14:paraId="12CC3F9D" w14:textId="77777777" w:rsidR="00AB6753" w:rsidRPr="00F32D92" w:rsidRDefault="00AB6753" w:rsidP="002D1EA4">
            <w:pPr>
              <w:rPr>
                <w:rFonts w:cs="Arial"/>
                <w:sz w:val="20"/>
                <w:szCs w:val="20"/>
              </w:rPr>
            </w:pPr>
            <w:r w:rsidRPr="00F32D92">
              <w:rPr>
                <w:rFonts w:cs="Arial"/>
                <w:sz w:val="20"/>
                <w:szCs w:val="20"/>
              </w:rPr>
              <w:t>$220,001–$245,000</w:t>
            </w:r>
          </w:p>
        </w:tc>
        <w:tc>
          <w:tcPr>
            <w:tcW w:w="1275" w:type="dxa"/>
            <w:tcBorders>
              <w:top w:val="single" w:sz="6" w:space="0" w:color="auto"/>
              <w:left w:val="single" w:sz="12" w:space="0" w:color="auto"/>
              <w:bottom w:val="single" w:sz="6" w:space="0" w:color="auto"/>
              <w:right w:val="single" w:sz="12" w:space="0" w:color="auto"/>
            </w:tcBorders>
            <w:shd w:val="clear" w:color="auto" w:fill="auto"/>
            <w:vAlign w:val="center"/>
          </w:tcPr>
          <w:p w14:paraId="40B11472" w14:textId="77777777" w:rsidR="00AB6753" w:rsidRPr="00F32D92" w:rsidRDefault="00AB6753" w:rsidP="002D1EA4">
            <w:pPr>
              <w:rPr>
                <w:rFonts w:cs="Arial"/>
                <w:sz w:val="20"/>
                <w:szCs w:val="20"/>
              </w:rPr>
            </w:pPr>
            <w:r>
              <w:t>10</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646A3A47" w14:textId="77777777" w:rsidR="00AB6753" w:rsidRPr="00F32D92" w:rsidRDefault="00AB6753" w:rsidP="002D1EA4">
            <w:pPr>
              <w:rPr>
                <w:rFonts w:cs="Arial"/>
                <w:sz w:val="20"/>
                <w:szCs w:val="20"/>
              </w:rPr>
            </w:pPr>
            <w:r w:rsidRPr="002245DD">
              <w:t>182,047</w:t>
            </w:r>
          </w:p>
        </w:tc>
        <w:tc>
          <w:tcPr>
            <w:tcW w:w="1134" w:type="dxa"/>
            <w:tcBorders>
              <w:left w:val="single" w:sz="12" w:space="0" w:color="auto"/>
              <w:right w:val="single" w:sz="12" w:space="0" w:color="auto"/>
            </w:tcBorders>
            <w:shd w:val="clear" w:color="auto" w:fill="auto"/>
            <w:vAlign w:val="center"/>
          </w:tcPr>
          <w:p w14:paraId="5A4A922E" w14:textId="77777777" w:rsidR="00AB6753" w:rsidRPr="00F32D92" w:rsidRDefault="00AB6753" w:rsidP="002D1EA4">
            <w:pPr>
              <w:rPr>
                <w:rFonts w:cs="Arial"/>
                <w:sz w:val="20"/>
                <w:szCs w:val="20"/>
              </w:rPr>
            </w:pPr>
            <w:r w:rsidRPr="00BB570E">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79D6C720" w14:textId="77777777" w:rsidR="00AB6753" w:rsidRPr="00F32D92" w:rsidRDefault="00AB6753" w:rsidP="002D1EA4">
            <w:pPr>
              <w:rPr>
                <w:rFonts w:cs="Arial"/>
                <w:sz w:val="20"/>
                <w:szCs w:val="20"/>
              </w:rPr>
            </w:pPr>
            <w:r w:rsidRPr="00BB570E">
              <w:t>19,728</w:t>
            </w:r>
          </w:p>
        </w:tc>
        <w:tc>
          <w:tcPr>
            <w:tcW w:w="1843" w:type="dxa"/>
            <w:tcBorders>
              <w:left w:val="single" w:sz="12" w:space="0" w:color="auto"/>
              <w:right w:val="single" w:sz="12" w:space="0" w:color="auto"/>
            </w:tcBorders>
            <w:shd w:val="clear" w:color="auto" w:fill="auto"/>
            <w:vAlign w:val="center"/>
          </w:tcPr>
          <w:p w14:paraId="3FA1FD5A" w14:textId="77777777" w:rsidR="00AB6753" w:rsidRPr="00F32D92" w:rsidRDefault="00AB6753" w:rsidP="002D1EA4">
            <w:pPr>
              <w:rPr>
                <w:rFonts w:cs="Arial"/>
                <w:sz w:val="20"/>
                <w:szCs w:val="20"/>
              </w:rPr>
            </w:pPr>
            <w:r w:rsidRPr="00BB570E">
              <w:t>31,225</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448140BC" w14:textId="77777777" w:rsidR="00AB6753" w:rsidRPr="00F32D92" w:rsidRDefault="00AB6753" w:rsidP="002D1EA4">
            <w:pPr>
              <w:rPr>
                <w:rFonts w:cs="Arial"/>
                <w:sz w:val="20"/>
                <w:szCs w:val="20"/>
              </w:rPr>
            </w:pPr>
            <w:r w:rsidRPr="00BB570E">
              <w:t>5,593</w:t>
            </w:r>
          </w:p>
        </w:tc>
        <w:tc>
          <w:tcPr>
            <w:tcW w:w="1275" w:type="dxa"/>
            <w:tcBorders>
              <w:top w:val="single" w:sz="6" w:space="0" w:color="auto"/>
              <w:left w:val="single" w:sz="12" w:space="0" w:color="auto"/>
              <w:bottom w:val="single" w:sz="6" w:space="0" w:color="auto"/>
              <w:right w:val="single" w:sz="12" w:space="0" w:color="auto"/>
            </w:tcBorders>
            <w:shd w:val="clear" w:color="auto" w:fill="auto"/>
            <w:vAlign w:val="center"/>
          </w:tcPr>
          <w:p w14:paraId="2D9D3A60" w14:textId="77777777" w:rsidR="00AB6753" w:rsidRPr="00F32D92" w:rsidRDefault="00AB6753" w:rsidP="002D1EA4">
            <w:pPr>
              <w:rPr>
                <w:rFonts w:cs="Arial"/>
                <w:sz w:val="20"/>
                <w:szCs w:val="20"/>
              </w:rPr>
            </w:pPr>
            <w:r w:rsidRPr="00BB570E">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03D532B2" w14:textId="77777777" w:rsidR="00AB6753" w:rsidRPr="00F32D92" w:rsidRDefault="00AB6753" w:rsidP="002D1EA4">
            <w:pPr>
              <w:rPr>
                <w:rFonts w:cs="Arial"/>
                <w:sz w:val="20"/>
                <w:szCs w:val="20"/>
              </w:rPr>
            </w:pPr>
            <w:r w:rsidRPr="00BB570E">
              <w:t>-</w:t>
            </w:r>
          </w:p>
        </w:tc>
        <w:tc>
          <w:tcPr>
            <w:tcW w:w="1559" w:type="dxa"/>
            <w:tcBorders>
              <w:left w:val="single" w:sz="12" w:space="0" w:color="auto"/>
            </w:tcBorders>
            <w:shd w:val="clear" w:color="auto" w:fill="auto"/>
            <w:vAlign w:val="center"/>
          </w:tcPr>
          <w:p w14:paraId="25068486" w14:textId="77777777" w:rsidR="00AB6753" w:rsidRPr="00F32D92" w:rsidRDefault="00AB6753" w:rsidP="002D1EA4">
            <w:pPr>
              <w:rPr>
                <w:rFonts w:cs="Arial"/>
                <w:sz w:val="20"/>
                <w:szCs w:val="20"/>
              </w:rPr>
            </w:pPr>
            <w:r w:rsidRPr="00BB570E">
              <w:t>238,592</w:t>
            </w:r>
          </w:p>
        </w:tc>
      </w:tr>
      <w:tr w:rsidR="00AB6753" w:rsidRPr="00F32D92" w14:paraId="681D034D" w14:textId="77777777" w:rsidTr="002D1EA4">
        <w:tc>
          <w:tcPr>
            <w:tcW w:w="2019" w:type="dxa"/>
            <w:tcBorders>
              <w:top w:val="single" w:sz="4" w:space="0" w:color="auto"/>
              <w:bottom w:val="single" w:sz="4" w:space="0" w:color="auto"/>
              <w:right w:val="single" w:sz="12" w:space="0" w:color="auto"/>
            </w:tcBorders>
            <w:shd w:val="clear" w:color="auto" w:fill="auto"/>
            <w:vAlign w:val="bottom"/>
          </w:tcPr>
          <w:p w14:paraId="322E9157" w14:textId="77777777" w:rsidR="00AB6753" w:rsidRPr="00F32D92" w:rsidRDefault="00AB6753" w:rsidP="002D1EA4">
            <w:pPr>
              <w:rPr>
                <w:rFonts w:cs="Arial"/>
                <w:sz w:val="20"/>
                <w:szCs w:val="20"/>
              </w:rPr>
            </w:pPr>
            <w:r w:rsidRPr="00F32D92">
              <w:rPr>
                <w:rFonts w:cs="Arial"/>
                <w:sz w:val="20"/>
                <w:szCs w:val="20"/>
              </w:rPr>
              <w:t>$245,001–$270,000</w:t>
            </w:r>
          </w:p>
        </w:tc>
        <w:tc>
          <w:tcPr>
            <w:tcW w:w="1275" w:type="dxa"/>
            <w:tcBorders>
              <w:top w:val="single" w:sz="6" w:space="0" w:color="auto"/>
              <w:left w:val="single" w:sz="12" w:space="0" w:color="auto"/>
              <w:bottom w:val="single" w:sz="6" w:space="0" w:color="auto"/>
              <w:right w:val="single" w:sz="12" w:space="0" w:color="auto"/>
            </w:tcBorders>
            <w:shd w:val="clear" w:color="auto" w:fill="auto"/>
            <w:vAlign w:val="center"/>
          </w:tcPr>
          <w:p w14:paraId="3F8A8F19" w14:textId="77777777" w:rsidR="00AB6753" w:rsidRPr="00F32D92" w:rsidRDefault="00AB6753" w:rsidP="002D1EA4">
            <w:pPr>
              <w:rPr>
                <w:rFonts w:cs="Arial"/>
                <w:sz w:val="20"/>
                <w:szCs w:val="20"/>
              </w:rPr>
            </w:pPr>
            <w:r>
              <w:t>20</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41A0796A" w14:textId="77777777" w:rsidR="00AB6753" w:rsidRPr="00F32D92" w:rsidRDefault="00AB6753" w:rsidP="002D1EA4">
            <w:pPr>
              <w:rPr>
                <w:rFonts w:cs="Arial"/>
                <w:sz w:val="20"/>
                <w:szCs w:val="20"/>
              </w:rPr>
            </w:pPr>
            <w:r w:rsidRPr="002245DD">
              <w:t>192,272</w:t>
            </w:r>
          </w:p>
        </w:tc>
        <w:tc>
          <w:tcPr>
            <w:tcW w:w="1134" w:type="dxa"/>
            <w:tcBorders>
              <w:left w:val="single" w:sz="12" w:space="0" w:color="auto"/>
              <w:right w:val="single" w:sz="12" w:space="0" w:color="auto"/>
            </w:tcBorders>
            <w:shd w:val="clear" w:color="auto" w:fill="auto"/>
            <w:vAlign w:val="center"/>
          </w:tcPr>
          <w:p w14:paraId="445EAE5A" w14:textId="77777777" w:rsidR="00AB6753" w:rsidRPr="00F32D92" w:rsidRDefault="00AB6753" w:rsidP="002D1EA4">
            <w:pPr>
              <w:rPr>
                <w:rFonts w:cs="Arial"/>
                <w:sz w:val="20"/>
                <w:szCs w:val="20"/>
              </w:rPr>
            </w:pPr>
            <w:r w:rsidRPr="00BB570E">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7F537A2C" w14:textId="77777777" w:rsidR="00AB6753" w:rsidRPr="00F32D92" w:rsidRDefault="00AB6753" w:rsidP="002D1EA4">
            <w:pPr>
              <w:rPr>
                <w:rFonts w:cs="Arial"/>
                <w:sz w:val="20"/>
                <w:szCs w:val="20"/>
              </w:rPr>
            </w:pPr>
            <w:r w:rsidRPr="00BB570E">
              <w:t>21,822</w:t>
            </w:r>
          </w:p>
        </w:tc>
        <w:tc>
          <w:tcPr>
            <w:tcW w:w="1843" w:type="dxa"/>
            <w:tcBorders>
              <w:left w:val="single" w:sz="12" w:space="0" w:color="auto"/>
              <w:right w:val="single" w:sz="12" w:space="0" w:color="auto"/>
            </w:tcBorders>
            <w:shd w:val="clear" w:color="auto" w:fill="auto"/>
            <w:vAlign w:val="center"/>
          </w:tcPr>
          <w:p w14:paraId="4082F520" w14:textId="77777777" w:rsidR="00AB6753" w:rsidRPr="00F32D92" w:rsidRDefault="00AB6753" w:rsidP="002D1EA4">
            <w:pPr>
              <w:rPr>
                <w:rFonts w:cs="Arial"/>
                <w:sz w:val="20"/>
                <w:szCs w:val="20"/>
              </w:rPr>
            </w:pPr>
            <w:r w:rsidRPr="00BB570E">
              <w:t>35,467</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7B02B24D" w14:textId="77777777" w:rsidR="00AB6753" w:rsidRPr="00F32D92" w:rsidRDefault="00AB6753" w:rsidP="002D1EA4">
            <w:pPr>
              <w:rPr>
                <w:rFonts w:cs="Arial"/>
                <w:sz w:val="20"/>
                <w:szCs w:val="20"/>
              </w:rPr>
            </w:pPr>
            <w:r w:rsidRPr="00BB570E">
              <w:t>5,966</w:t>
            </w:r>
          </w:p>
        </w:tc>
        <w:tc>
          <w:tcPr>
            <w:tcW w:w="1275" w:type="dxa"/>
            <w:tcBorders>
              <w:top w:val="single" w:sz="6" w:space="0" w:color="auto"/>
              <w:left w:val="single" w:sz="12" w:space="0" w:color="auto"/>
              <w:bottom w:val="single" w:sz="6" w:space="0" w:color="auto"/>
              <w:right w:val="single" w:sz="12" w:space="0" w:color="auto"/>
            </w:tcBorders>
            <w:shd w:val="clear" w:color="auto" w:fill="auto"/>
            <w:vAlign w:val="center"/>
          </w:tcPr>
          <w:p w14:paraId="317F2078" w14:textId="77777777" w:rsidR="00AB6753" w:rsidRPr="00F32D92" w:rsidRDefault="00AB6753" w:rsidP="002D1EA4">
            <w:pPr>
              <w:rPr>
                <w:rFonts w:cs="Arial"/>
                <w:sz w:val="20"/>
                <w:szCs w:val="20"/>
              </w:rPr>
            </w:pPr>
            <w:r w:rsidRPr="00BB570E">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750D7607" w14:textId="77777777" w:rsidR="00AB6753" w:rsidRPr="00F32D92" w:rsidRDefault="00AB6753" w:rsidP="002D1EA4">
            <w:pPr>
              <w:rPr>
                <w:rFonts w:cs="Arial"/>
                <w:sz w:val="20"/>
                <w:szCs w:val="20"/>
              </w:rPr>
            </w:pPr>
            <w:r w:rsidRPr="00BB570E">
              <w:t>-</w:t>
            </w:r>
          </w:p>
        </w:tc>
        <w:tc>
          <w:tcPr>
            <w:tcW w:w="1559" w:type="dxa"/>
            <w:tcBorders>
              <w:left w:val="single" w:sz="12" w:space="0" w:color="auto"/>
            </w:tcBorders>
            <w:shd w:val="clear" w:color="auto" w:fill="auto"/>
            <w:vAlign w:val="center"/>
          </w:tcPr>
          <w:p w14:paraId="2075F3F7" w14:textId="77777777" w:rsidR="00AB6753" w:rsidRPr="00F32D92" w:rsidRDefault="00AB6753" w:rsidP="002D1EA4">
            <w:pPr>
              <w:rPr>
                <w:rFonts w:cs="Arial"/>
                <w:sz w:val="20"/>
                <w:szCs w:val="20"/>
              </w:rPr>
            </w:pPr>
            <w:r w:rsidRPr="00BB570E">
              <w:t>255,527</w:t>
            </w:r>
          </w:p>
        </w:tc>
      </w:tr>
      <w:tr w:rsidR="00AB6753" w:rsidRPr="00F32D92" w14:paraId="60DEF7D5" w14:textId="77777777" w:rsidTr="002D1EA4">
        <w:tc>
          <w:tcPr>
            <w:tcW w:w="2019" w:type="dxa"/>
            <w:tcBorders>
              <w:top w:val="single" w:sz="4" w:space="0" w:color="auto"/>
              <w:bottom w:val="single" w:sz="4" w:space="0" w:color="auto"/>
              <w:right w:val="single" w:sz="12" w:space="0" w:color="auto"/>
            </w:tcBorders>
            <w:shd w:val="clear" w:color="auto" w:fill="auto"/>
            <w:vAlign w:val="bottom"/>
          </w:tcPr>
          <w:p w14:paraId="3C148022" w14:textId="77777777" w:rsidR="00AB6753" w:rsidRPr="00F32D92" w:rsidRDefault="00AB6753" w:rsidP="002D1EA4">
            <w:pPr>
              <w:rPr>
                <w:rFonts w:cs="Arial"/>
                <w:sz w:val="20"/>
                <w:szCs w:val="20"/>
              </w:rPr>
            </w:pPr>
            <w:r w:rsidRPr="00F32D92">
              <w:rPr>
                <w:rFonts w:cs="Arial"/>
                <w:sz w:val="20"/>
                <w:szCs w:val="20"/>
              </w:rPr>
              <w:t>$270,001–$295,000</w:t>
            </w:r>
          </w:p>
        </w:tc>
        <w:tc>
          <w:tcPr>
            <w:tcW w:w="1275" w:type="dxa"/>
            <w:tcBorders>
              <w:top w:val="single" w:sz="6" w:space="0" w:color="auto"/>
              <w:left w:val="single" w:sz="12" w:space="0" w:color="auto"/>
              <w:bottom w:val="single" w:sz="6" w:space="0" w:color="auto"/>
              <w:right w:val="single" w:sz="12" w:space="0" w:color="auto"/>
            </w:tcBorders>
            <w:shd w:val="clear" w:color="auto" w:fill="auto"/>
            <w:vAlign w:val="center"/>
          </w:tcPr>
          <w:p w14:paraId="7984660D" w14:textId="77777777" w:rsidR="00AB6753" w:rsidRPr="00F32D92" w:rsidRDefault="00AB6753" w:rsidP="002D1EA4">
            <w:pPr>
              <w:rPr>
                <w:rFonts w:cs="Arial"/>
                <w:sz w:val="20"/>
                <w:szCs w:val="20"/>
              </w:rPr>
            </w:pPr>
            <w:r>
              <w:t>10</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674BE86C" w14:textId="77777777" w:rsidR="00AB6753" w:rsidRPr="00F32D92" w:rsidRDefault="00AB6753" w:rsidP="002D1EA4">
            <w:pPr>
              <w:rPr>
                <w:rFonts w:cs="Arial"/>
                <w:sz w:val="20"/>
                <w:szCs w:val="20"/>
              </w:rPr>
            </w:pPr>
            <w:r w:rsidRPr="002245DD">
              <w:t>210,957</w:t>
            </w:r>
          </w:p>
        </w:tc>
        <w:tc>
          <w:tcPr>
            <w:tcW w:w="1134" w:type="dxa"/>
            <w:tcBorders>
              <w:left w:val="single" w:sz="12" w:space="0" w:color="auto"/>
              <w:right w:val="single" w:sz="12" w:space="0" w:color="auto"/>
            </w:tcBorders>
            <w:shd w:val="clear" w:color="auto" w:fill="auto"/>
            <w:vAlign w:val="center"/>
          </w:tcPr>
          <w:p w14:paraId="6620600F" w14:textId="77777777" w:rsidR="00AB6753" w:rsidRPr="00F32D92" w:rsidRDefault="00AB6753" w:rsidP="002D1EA4">
            <w:pPr>
              <w:rPr>
                <w:rFonts w:cs="Arial"/>
                <w:sz w:val="20"/>
                <w:szCs w:val="20"/>
              </w:rPr>
            </w:pPr>
            <w:r w:rsidRPr="00BB570E">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0311FDB7" w14:textId="77777777" w:rsidR="00AB6753" w:rsidRPr="00F32D92" w:rsidRDefault="00AB6753" w:rsidP="002D1EA4">
            <w:pPr>
              <w:rPr>
                <w:rFonts w:cs="Arial"/>
                <w:sz w:val="20"/>
                <w:szCs w:val="20"/>
              </w:rPr>
            </w:pPr>
            <w:r w:rsidRPr="00BB570E">
              <w:t>21,807</w:t>
            </w:r>
          </w:p>
        </w:tc>
        <w:tc>
          <w:tcPr>
            <w:tcW w:w="1843" w:type="dxa"/>
            <w:tcBorders>
              <w:left w:val="single" w:sz="12" w:space="0" w:color="auto"/>
              <w:right w:val="single" w:sz="12" w:space="0" w:color="auto"/>
            </w:tcBorders>
            <w:shd w:val="clear" w:color="auto" w:fill="auto"/>
            <w:vAlign w:val="center"/>
          </w:tcPr>
          <w:p w14:paraId="643EF5EC" w14:textId="77777777" w:rsidR="00AB6753" w:rsidRPr="00F32D92" w:rsidRDefault="00AB6753" w:rsidP="002D1EA4">
            <w:pPr>
              <w:rPr>
                <w:rFonts w:cs="Arial"/>
                <w:sz w:val="20"/>
                <w:szCs w:val="20"/>
              </w:rPr>
            </w:pPr>
            <w:r w:rsidRPr="00BB570E">
              <w:t>38,800</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5E6D5186" w14:textId="77777777" w:rsidR="00AB6753" w:rsidRPr="00F32D92" w:rsidRDefault="00AB6753" w:rsidP="002D1EA4">
            <w:pPr>
              <w:rPr>
                <w:rFonts w:cs="Arial"/>
                <w:sz w:val="20"/>
                <w:szCs w:val="20"/>
              </w:rPr>
            </w:pPr>
            <w:r w:rsidRPr="00BB570E">
              <w:t>6,532</w:t>
            </w:r>
          </w:p>
        </w:tc>
        <w:tc>
          <w:tcPr>
            <w:tcW w:w="1275" w:type="dxa"/>
            <w:tcBorders>
              <w:top w:val="single" w:sz="6" w:space="0" w:color="auto"/>
              <w:left w:val="single" w:sz="12" w:space="0" w:color="auto"/>
              <w:bottom w:val="single" w:sz="6" w:space="0" w:color="auto"/>
              <w:right w:val="single" w:sz="12" w:space="0" w:color="auto"/>
            </w:tcBorders>
            <w:shd w:val="clear" w:color="auto" w:fill="auto"/>
            <w:vAlign w:val="center"/>
          </w:tcPr>
          <w:p w14:paraId="22DD7D04" w14:textId="77777777" w:rsidR="00AB6753" w:rsidRPr="00F32D92" w:rsidRDefault="00AB6753" w:rsidP="002D1EA4">
            <w:pPr>
              <w:rPr>
                <w:rFonts w:cs="Arial"/>
                <w:sz w:val="20"/>
                <w:szCs w:val="20"/>
              </w:rPr>
            </w:pPr>
            <w:r w:rsidRPr="00BB570E">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2611B52E" w14:textId="77777777" w:rsidR="00AB6753" w:rsidRPr="00F32D92" w:rsidRDefault="00AB6753" w:rsidP="002D1EA4">
            <w:pPr>
              <w:rPr>
                <w:rFonts w:cs="Arial"/>
                <w:sz w:val="20"/>
                <w:szCs w:val="20"/>
              </w:rPr>
            </w:pPr>
            <w:r w:rsidRPr="00BB570E">
              <w:t>-</w:t>
            </w:r>
          </w:p>
        </w:tc>
        <w:tc>
          <w:tcPr>
            <w:tcW w:w="1559" w:type="dxa"/>
            <w:tcBorders>
              <w:left w:val="single" w:sz="12" w:space="0" w:color="auto"/>
            </w:tcBorders>
            <w:shd w:val="clear" w:color="auto" w:fill="auto"/>
            <w:vAlign w:val="center"/>
          </w:tcPr>
          <w:p w14:paraId="10607E6E" w14:textId="77777777" w:rsidR="00AB6753" w:rsidRPr="00F32D92" w:rsidRDefault="00AB6753" w:rsidP="002D1EA4">
            <w:pPr>
              <w:rPr>
                <w:rFonts w:cs="Arial"/>
                <w:sz w:val="20"/>
                <w:szCs w:val="20"/>
              </w:rPr>
            </w:pPr>
            <w:r w:rsidRPr="00BB570E">
              <w:t>278,095</w:t>
            </w:r>
          </w:p>
        </w:tc>
      </w:tr>
      <w:tr w:rsidR="00AB6753" w:rsidRPr="00F32D92" w14:paraId="0026C6B2" w14:textId="77777777" w:rsidTr="002D1EA4">
        <w:tc>
          <w:tcPr>
            <w:tcW w:w="2019" w:type="dxa"/>
            <w:tcBorders>
              <w:top w:val="single" w:sz="4" w:space="0" w:color="auto"/>
              <w:bottom w:val="single" w:sz="4" w:space="0" w:color="auto"/>
              <w:right w:val="single" w:sz="12" w:space="0" w:color="auto"/>
            </w:tcBorders>
            <w:shd w:val="clear" w:color="auto" w:fill="auto"/>
            <w:vAlign w:val="bottom"/>
          </w:tcPr>
          <w:p w14:paraId="64D69738" w14:textId="77777777" w:rsidR="00AB6753" w:rsidRPr="00F32D92" w:rsidRDefault="00AB6753" w:rsidP="002D1EA4">
            <w:pPr>
              <w:rPr>
                <w:rFonts w:cs="Arial"/>
                <w:sz w:val="20"/>
                <w:szCs w:val="20"/>
              </w:rPr>
            </w:pPr>
            <w:r w:rsidRPr="00F32D92">
              <w:rPr>
                <w:rFonts w:cs="Arial"/>
                <w:sz w:val="20"/>
                <w:szCs w:val="20"/>
              </w:rPr>
              <w:t>$295,001–$320,000</w:t>
            </w:r>
          </w:p>
        </w:tc>
        <w:tc>
          <w:tcPr>
            <w:tcW w:w="1275" w:type="dxa"/>
            <w:tcBorders>
              <w:top w:val="single" w:sz="6" w:space="0" w:color="auto"/>
              <w:left w:val="single" w:sz="12" w:space="0" w:color="auto"/>
              <w:bottom w:val="single" w:sz="6" w:space="0" w:color="auto"/>
              <w:right w:val="single" w:sz="12" w:space="0" w:color="auto"/>
            </w:tcBorders>
            <w:shd w:val="clear" w:color="auto" w:fill="auto"/>
            <w:vAlign w:val="center"/>
          </w:tcPr>
          <w:p w14:paraId="17742E51" w14:textId="77777777" w:rsidR="00AB6753" w:rsidRPr="00F32D92" w:rsidRDefault="00AB6753" w:rsidP="002D1EA4">
            <w:pPr>
              <w:rPr>
                <w:rFonts w:cs="Arial"/>
                <w:sz w:val="20"/>
                <w:szCs w:val="20"/>
              </w:rPr>
            </w:pPr>
            <w:r>
              <w:t>3</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5F218D46" w14:textId="77777777" w:rsidR="00AB6753" w:rsidRPr="00F32D92" w:rsidRDefault="00AB6753" w:rsidP="002D1EA4">
            <w:pPr>
              <w:rPr>
                <w:rFonts w:cs="Arial"/>
                <w:sz w:val="20"/>
                <w:szCs w:val="20"/>
              </w:rPr>
            </w:pPr>
            <w:r w:rsidRPr="002245DD">
              <w:t>217,386</w:t>
            </w:r>
          </w:p>
        </w:tc>
        <w:tc>
          <w:tcPr>
            <w:tcW w:w="1134" w:type="dxa"/>
            <w:tcBorders>
              <w:left w:val="single" w:sz="12" w:space="0" w:color="auto"/>
              <w:right w:val="single" w:sz="12" w:space="0" w:color="auto"/>
            </w:tcBorders>
            <w:shd w:val="clear" w:color="auto" w:fill="auto"/>
            <w:vAlign w:val="center"/>
          </w:tcPr>
          <w:p w14:paraId="2535AAF2" w14:textId="77777777" w:rsidR="00AB6753" w:rsidRPr="00F32D92" w:rsidRDefault="00AB6753" w:rsidP="002D1EA4">
            <w:pPr>
              <w:rPr>
                <w:rFonts w:cs="Arial"/>
                <w:sz w:val="20"/>
                <w:szCs w:val="20"/>
              </w:rPr>
            </w:pPr>
            <w:r w:rsidRPr="00BB570E">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16EBCAB3" w14:textId="77777777" w:rsidR="00AB6753" w:rsidRPr="00F32D92" w:rsidRDefault="00AB6753" w:rsidP="002D1EA4">
            <w:pPr>
              <w:rPr>
                <w:rFonts w:cs="Arial"/>
                <w:sz w:val="20"/>
                <w:szCs w:val="20"/>
              </w:rPr>
            </w:pPr>
            <w:r w:rsidRPr="00BB570E">
              <w:t>20,723</w:t>
            </w:r>
          </w:p>
        </w:tc>
        <w:tc>
          <w:tcPr>
            <w:tcW w:w="1843" w:type="dxa"/>
            <w:tcBorders>
              <w:left w:val="single" w:sz="12" w:space="0" w:color="auto"/>
              <w:right w:val="single" w:sz="12" w:space="0" w:color="auto"/>
            </w:tcBorders>
            <w:shd w:val="clear" w:color="auto" w:fill="auto"/>
            <w:vAlign w:val="center"/>
          </w:tcPr>
          <w:p w14:paraId="6ECC0520" w14:textId="77777777" w:rsidR="00AB6753" w:rsidRPr="00F32D92" w:rsidRDefault="00AB6753" w:rsidP="002D1EA4">
            <w:pPr>
              <w:rPr>
                <w:rFonts w:cs="Arial"/>
                <w:sz w:val="20"/>
                <w:szCs w:val="20"/>
              </w:rPr>
            </w:pPr>
            <w:r w:rsidRPr="00BB570E">
              <w:t>39,748</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23ED7D22" w14:textId="77777777" w:rsidR="00AB6753" w:rsidRPr="00F32D92" w:rsidRDefault="00AB6753" w:rsidP="002D1EA4">
            <w:pPr>
              <w:rPr>
                <w:rFonts w:cs="Arial"/>
                <w:sz w:val="20"/>
                <w:szCs w:val="20"/>
              </w:rPr>
            </w:pPr>
            <w:r w:rsidRPr="00BB570E">
              <w:t>5,968</w:t>
            </w:r>
          </w:p>
        </w:tc>
        <w:tc>
          <w:tcPr>
            <w:tcW w:w="1275" w:type="dxa"/>
            <w:tcBorders>
              <w:top w:val="single" w:sz="6" w:space="0" w:color="auto"/>
              <w:left w:val="single" w:sz="12" w:space="0" w:color="auto"/>
              <w:bottom w:val="single" w:sz="6" w:space="0" w:color="auto"/>
              <w:right w:val="single" w:sz="12" w:space="0" w:color="auto"/>
            </w:tcBorders>
            <w:shd w:val="clear" w:color="auto" w:fill="auto"/>
            <w:vAlign w:val="center"/>
          </w:tcPr>
          <w:p w14:paraId="68E65964" w14:textId="77777777" w:rsidR="00AB6753" w:rsidRPr="00F32D92" w:rsidRDefault="00AB6753" w:rsidP="002D1EA4">
            <w:pPr>
              <w:rPr>
                <w:rFonts w:cs="Arial"/>
                <w:sz w:val="20"/>
                <w:szCs w:val="20"/>
              </w:rPr>
            </w:pPr>
            <w:r w:rsidRPr="00BB570E">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68003B93" w14:textId="77777777" w:rsidR="00AB6753" w:rsidRPr="00F32D92" w:rsidRDefault="00AB6753" w:rsidP="002D1EA4">
            <w:pPr>
              <w:rPr>
                <w:rFonts w:cs="Arial"/>
                <w:sz w:val="20"/>
                <w:szCs w:val="20"/>
              </w:rPr>
            </w:pPr>
            <w:r w:rsidRPr="00BB570E">
              <w:t>21,863</w:t>
            </w:r>
          </w:p>
        </w:tc>
        <w:tc>
          <w:tcPr>
            <w:tcW w:w="1559" w:type="dxa"/>
            <w:tcBorders>
              <w:left w:val="single" w:sz="12" w:space="0" w:color="auto"/>
            </w:tcBorders>
            <w:shd w:val="clear" w:color="auto" w:fill="auto"/>
            <w:vAlign w:val="center"/>
          </w:tcPr>
          <w:p w14:paraId="6BFA65F8" w14:textId="77777777" w:rsidR="00AB6753" w:rsidRPr="00F32D92" w:rsidRDefault="00AB6753" w:rsidP="002D1EA4">
            <w:pPr>
              <w:rPr>
                <w:rFonts w:cs="Arial"/>
                <w:sz w:val="20"/>
                <w:szCs w:val="20"/>
              </w:rPr>
            </w:pPr>
            <w:r w:rsidRPr="00BB570E">
              <w:t>305,687</w:t>
            </w:r>
          </w:p>
        </w:tc>
      </w:tr>
      <w:tr w:rsidR="00AB6753" w:rsidRPr="00F32D92" w14:paraId="39390692" w14:textId="77777777" w:rsidTr="002D1EA4">
        <w:tc>
          <w:tcPr>
            <w:tcW w:w="2019" w:type="dxa"/>
            <w:tcBorders>
              <w:top w:val="single" w:sz="4" w:space="0" w:color="auto"/>
              <w:bottom w:val="single" w:sz="4" w:space="0" w:color="auto"/>
              <w:right w:val="single" w:sz="12" w:space="0" w:color="auto"/>
            </w:tcBorders>
            <w:shd w:val="clear" w:color="auto" w:fill="auto"/>
            <w:vAlign w:val="bottom"/>
          </w:tcPr>
          <w:p w14:paraId="6AA147D8" w14:textId="77777777" w:rsidR="00AB6753" w:rsidRPr="00F32D92" w:rsidRDefault="00AB6753" w:rsidP="002D1EA4">
            <w:pPr>
              <w:rPr>
                <w:rFonts w:cs="Arial"/>
                <w:sz w:val="20"/>
                <w:szCs w:val="20"/>
              </w:rPr>
            </w:pPr>
            <w:r w:rsidRPr="00F32D92">
              <w:rPr>
                <w:rFonts w:cs="Arial"/>
                <w:sz w:val="20"/>
                <w:szCs w:val="20"/>
              </w:rPr>
              <w:t>$320,001–$345,000</w:t>
            </w:r>
          </w:p>
        </w:tc>
        <w:tc>
          <w:tcPr>
            <w:tcW w:w="1275" w:type="dxa"/>
            <w:tcBorders>
              <w:top w:val="single" w:sz="6" w:space="0" w:color="auto"/>
              <w:left w:val="single" w:sz="12" w:space="0" w:color="auto"/>
              <w:bottom w:val="single" w:sz="6" w:space="0" w:color="auto"/>
              <w:right w:val="single" w:sz="12" w:space="0" w:color="auto"/>
            </w:tcBorders>
            <w:shd w:val="clear" w:color="auto" w:fill="auto"/>
            <w:vAlign w:val="center"/>
          </w:tcPr>
          <w:p w14:paraId="484E179D" w14:textId="77777777" w:rsidR="00AB6753" w:rsidRPr="00F32D92" w:rsidRDefault="00AB6753" w:rsidP="002D1EA4">
            <w:pPr>
              <w:rPr>
                <w:rFonts w:cs="Arial"/>
                <w:sz w:val="20"/>
                <w:szCs w:val="20"/>
              </w:rPr>
            </w:pPr>
            <w:r>
              <w:t>6</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76ECCAB5" w14:textId="77777777" w:rsidR="00AB6753" w:rsidRPr="00F32D92" w:rsidRDefault="00AB6753" w:rsidP="002D1EA4">
            <w:pPr>
              <w:rPr>
                <w:rFonts w:cs="Arial"/>
                <w:sz w:val="20"/>
                <w:szCs w:val="20"/>
              </w:rPr>
            </w:pPr>
            <w:r w:rsidRPr="002245DD">
              <w:t>238,090</w:t>
            </w:r>
          </w:p>
        </w:tc>
        <w:tc>
          <w:tcPr>
            <w:tcW w:w="1134" w:type="dxa"/>
            <w:tcBorders>
              <w:left w:val="single" w:sz="12" w:space="0" w:color="auto"/>
              <w:right w:val="single" w:sz="12" w:space="0" w:color="auto"/>
            </w:tcBorders>
            <w:shd w:val="clear" w:color="auto" w:fill="auto"/>
            <w:vAlign w:val="center"/>
          </w:tcPr>
          <w:p w14:paraId="75297870" w14:textId="77777777" w:rsidR="00AB6753" w:rsidRPr="00F32D92" w:rsidRDefault="00AB6753" w:rsidP="002D1EA4">
            <w:pPr>
              <w:rPr>
                <w:rFonts w:cs="Arial"/>
                <w:sz w:val="20"/>
                <w:szCs w:val="20"/>
              </w:rPr>
            </w:pPr>
            <w:r w:rsidRPr="00BB570E">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52FE5619" w14:textId="77777777" w:rsidR="00AB6753" w:rsidRPr="00F32D92" w:rsidRDefault="00AB6753" w:rsidP="002D1EA4">
            <w:pPr>
              <w:rPr>
                <w:rFonts w:cs="Arial"/>
                <w:sz w:val="20"/>
                <w:szCs w:val="20"/>
              </w:rPr>
            </w:pPr>
            <w:r w:rsidRPr="00BB570E">
              <w:t>27,036</w:t>
            </w:r>
          </w:p>
        </w:tc>
        <w:tc>
          <w:tcPr>
            <w:tcW w:w="1843" w:type="dxa"/>
            <w:tcBorders>
              <w:left w:val="single" w:sz="12" w:space="0" w:color="auto"/>
              <w:right w:val="single" w:sz="12" w:space="0" w:color="auto"/>
            </w:tcBorders>
            <w:shd w:val="clear" w:color="auto" w:fill="auto"/>
            <w:vAlign w:val="center"/>
          </w:tcPr>
          <w:p w14:paraId="0239EF34" w14:textId="77777777" w:rsidR="00AB6753" w:rsidRPr="00F32D92" w:rsidRDefault="00AB6753" w:rsidP="002D1EA4">
            <w:pPr>
              <w:rPr>
                <w:rFonts w:cs="Arial"/>
                <w:sz w:val="20"/>
                <w:szCs w:val="20"/>
              </w:rPr>
            </w:pPr>
            <w:r w:rsidRPr="00BB570E">
              <w:t>44,801</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039A4382" w14:textId="77777777" w:rsidR="00AB6753" w:rsidRPr="00F32D92" w:rsidRDefault="00AB6753" w:rsidP="002D1EA4">
            <w:pPr>
              <w:rPr>
                <w:rFonts w:cs="Arial"/>
                <w:sz w:val="20"/>
                <w:szCs w:val="20"/>
              </w:rPr>
            </w:pPr>
            <w:r w:rsidRPr="00BB570E">
              <w:t>7,258</w:t>
            </w:r>
          </w:p>
        </w:tc>
        <w:tc>
          <w:tcPr>
            <w:tcW w:w="1275" w:type="dxa"/>
            <w:tcBorders>
              <w:top w:val="single" w:sz="6" w:space="0" w:color="auto"/>
              <w:left w:val="single" w:sz="12" w:space="0" w:color="auto"/>
              <w:bottom w:val="single" w:sz="6" w:space="0" w:color="auto"/>
              <w:right w:val="single" w:sz="12" w:space="0" w:color="auto"/>
            </w:tcBorders>
            <w:shd w:val="clear" w:color="auto" w:fill="auto"/>
            <w:vAlign w:val="center"/>
          </w:tcPr>
          <w:p w14:paraId="501C8CBF" w14:textId="77777777" w:rsidR="00AB6753" w:rsidRPr="00F32D92" w:rsidRDefault="00AB6753" w:rsidP="002D1EA4">
            <w:pPr>
              <w:rPr>
                <w:rFonts w:cs="Arial"/>
                <w:sz w:val="20"/>
                <w:szCs w:val="20"/>
              </w:rPr>
            </w:pPr>
            <w:r w:rsidRPr="00BB570E">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725066E6" w14:textId="77777777" w:rsidR="00AB6753" w:rsidRPr="00F32D92" w:rsidRDefault="00AB6753" w:rsidP="002D1EA4">
            <w:pPr>
              <w:rPr>
                <w:rFonts w:cs="Arial"/>
                <w:sz w:val="20"/>
                <w:szCs w:val="20"/>
              </w:rPr>
            </w:pPr>
            <w:r w:rsidRPr="00BB570E">
              <w:t>19,566</w:t>
            </w:r>
          </w:p>
        </w:tc>
        <w:tc>
          <w:tcPr>
            <w:tcW w:w="1559" w:type="dxa"/>
            <w:tcBorders>
              <w:left w:val="single" w:sz="12" w:space="0" w:color="auto"/>
            </w:tcBorders>
            <w:shd w:val="clear" w:color="auto" w:fill="auto"/>
            <w:vAlign w:val="center"/>
          </w:tcPr>
          <w:p w14:paraId="11886936" w14:textId="77777777" w:rsidR="00AB6753" w:rsidRPr="00F32D92" w:rsidRDefault="00AB6753" w:rsidP="002D1EA4">
            <w:pPr>
              <w:rPr>
                <w:rFonts w:cs="Arial"/>
                <w:sz w:val="20"/>
                <w:szCs w:val="20"/>
              </w:rPr>
            </w:pPr>
            <w:r w:rsidRPr="00BB570E">
              <w:t>336,751</w:t>
            </w:r>
          </w:p>
        </w:tc>
      </w:tr>
      <w:tr w:rsidR="00AB6753" w:rsidRPr="00F32D92" w14:paraId="322283E4" w14:textId="77777777" w:rsidTr="002D1EA4">
        <w:tc>
          <w:tcPr>
            <w:tcW w:w="2019" w:type="dxa"/>
            <w:tcBorders>
              <w:top w:val="single" w:sz="4" w:space="0" w:color="auto"/>
              <w:bottom w:val="single" w:sz="4" w:space="0" w:color="auto"/>
              <w:right w:val="single" w:sz="12" w:space="0" w:color="auto"/>
            </w:tcBorders>
            <w:shd w:val="clear" w:color="auto" w:fill="auto"/>
            <w:vAlign w:val="bottom"/>
          </w:tcPr>
          <w:p w14:paraId="5BBDF397" w14:textId="77777777" w:rsidR="00AB6753" w:rsidRPr="00F32D92" w:rsidRDefault="00AB6753" w:rsidP="002D1EA4">
            <w:pPr>
              <w:rPr>
                <w:rFonts w:cs="Arial"/>
                <w:sz w:val="20"/>
                <w:szCs w:val="20"/>
              </w:rPr>
            </w:pPr>
            <w:r w:rsidRPr="00F32D92">
              <w:rPr>
                <w:rFonts w:cs="Arial"/>
                <w:sz w:val="20"/>
                <w:szCs w:val="20"/>
              </w:rPr>
              <w:t>$345,001–$370,000</w:t>
            </w:r>
          </w:p>
        </w:tc>
        <w:tc>
          <w:tcPr>
            <w:tcW w:w="1275" w:type="dxa"/>
            <w:tcBorders>
              <w:top w:val="single" w:sz="6" w:space="0" w:color="auto"/>
              <w:left w:val="single" w:sz="12" w:space="0" w:color="auto"/>
              <w:bottom w:val="single" w:sz="6" w:space="0" w:color="auto"/>
              <w:right w:val="single" w:sz="12" w:space="0" w:color="auto"/>
            </w:tcBorders>
            <w:shd w:val="clear" w:color="auto" w:fill="auto"/>
            <w:vAlign w:val="center"/>
          </w:tcPr>
          <w:p w14:paraId="2136DEEB" w14:textId="77777777" w:rsidR="00AB6753" w:rsidRPr="00F32D92" w:rsidRDefault="00AB6753" w:rsidP="002D1EA4">
            <w:pPr>
              <w:rPr>
                <w:rFonts w:cs="Arial"/>
                <w:sz w:val="20"/>
                <w:szCs w:val="20"/>
              </w:rPr>
            </w:pPr>
            <w:r w:rsidRPr="00BB570E">
              <w:t>2</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5112A8E6" w14:textId="77777777" w:rsidR="00AB6753" w:rsidRPr="00F32D92" w:rsidRDefault="00AB6753" w:rsidP="002D1EA4">
            <w:pPr>
              <w:rPr>
                <w:rFonts w:cs="Arial"/>
                <w:sz w:val="20"/>
                <w:szCs w:val="20"/>
              </w:rPr>
            </w:pPr>
            <w:r w:rsidRPr="002245DD">
              <w:t>267,270</w:t>
            </w:r>
          </w:p>
        </w:tc>
        <w:tc>
          <w:tcPr>
            <w:tcW w:w="1134" w:type="dxa"/>
            <w:tcBorders>
              <w:left w:val="single" w:sz="12" w:space="0" w:color="auto"/>
              <w:right w:val="single" w:sz="12" w:space="0" w:color="auto"/>
            </w:tcBorders>
            <w:shd w:val="clear" w:color="auto" w:fill="auto"/>
            <w:vAlign w:val="center"/>
          </w:tcPr>
          <w:p w14:paraId="53E65CFD" w14:textId="77777777" w:rsidR="00AB6753" w:rsidRPr="00F32D92" w:rsidRDefault="00AB6753" w:rsidP="002D1EA4">
            <w:pPr>
              <w:rPr>
                <w:rFonts w:cs="Arial"/>
                <w:sz w:val="20"/>
                <w:szCs w:val="20"/>
              </w:rPr>
            </w:pPr>
            <w:r w:rsidRPr="00BB570E">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478A4328" w14:textId="77777777" w:rsidR="00AB6753" w:rsidRPr="00F32D92" w:rsidRDefault="00AB6753" w:rsidP="002D1EA4">
            <w:pPr>
              <w:rPr>
                <w:rFonts w:cs="Arial"/>
                <w:sz w:val="20"/>
                <w:szCs w:val="20"/>
              </w:rPr>
            </w:pPr>
            <w:r w:rsidRPr="00BB570E">
              <w:t>24,408</w:t>
            </w:r>
          </w:p>
        </w:tc>
        <w:tc>
          <w:tcPr>
            <w:tcW w:w="1843" w:type="dxa"/>
            <w:tcBorders>
              <w:left w:val="single" w:sz="12" w:space="0" w:color="auto"/>
              <w:right w:val="single" w:sz="12" w:space="0" w:color="auto"/>
            </w:tcBorders>
            <w:shd w:val="clear" w:color="auto" w:fill="auto"/>
            <w:vAlign w:val="center"/>
          </w:tcPr>
          <w:p w14:paraId="1E3F28EE" w14:textId="77777777" w:rsidR="00AB6753" w:rsidRPr="00F32D92" w:rsidRDefault="00AB6753" w:rsidP="002D1EA4">
            <w:pPr>
              <w:rPr>
                <w:rFonts w:cs="Arial"/>
                <w:sz w:val="20"/>
                <w:szCs w:val="20"/>
              </w:rPr>
            </w:pPr>
            <w:r w:rsidRPr="00BB570E">
              <w:t>49,701</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7811EC4D" w14:textId="77777777" w:rsidR="00AB6753" w:rsidRPr="00F32D92" w:rsidRDefault="00AB6753" w:rsidP="002D1EA4">
            <w:pPr>
              <w:rPr>
                <w:rFonts w:cs="Arial"/>
                <w:sz w:val="20"/>
                <w:szCs w:val="20"/>
              </w:rPr>
            </w:pPr>
            <w:r w:rsidRPr="00BB570E">
              <w:t>8,119</w:t>
            </w:r>
          </w:p>
        </w:tc>
        <w:tc>
          <w:tcPr>
            <w:tcW w:w="1275" w:type="dxa"/>
            <w:tcBorders>
              <w:top w:val="single" w:sz="6" w:space="0" w:color="auto"/>
              <w:left w:val="single" w:sz="12" w:space="0" w:color="auto"/>
              <w:bottom w:val="single" w:sz="6" w:space="0" w:color="auto"/>
              <w:right w:val="single" w:sz="12" w:space="0" w:color="auto"/>
            </w:tcBorders>
            <w:shd w:val="clear" w:color="auto" w:fill="auto"/>
            <w:vAlign w:val="center"/>
          </w:tcPr>
          <w:p w14:paraId="62A34EDD" w14:textId="77777777" w:rsidR="00AB6753" w:rsidRPr="00F32D92" w:rsidRDefault="00AB6753" w:rsidP="002D1EA4">
            <w:pPr>
              <w:rPr>
                <w:rFonts w:cs="Arial"/>
                <w:sz w:val="20"/>
                <w:szCs w:val="20"/>
              </w:rPr>
            </w:pPr>
            <w:r w:rsidRPr="00BB570E">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2E156F18" w14:textId="77777777" w:rsidR="00AB6753" w:rsidRPr="00F32D92" w:rsidRDefault="00AB6753" w:rsidP="002D1EA4">
            <w:pPr>
              <w:rPr>
                <w:rFonts w:cs="Arial"/>
                <w:sz w:val="20"/>
                <w:szCs w:val="20"/>
              </w:rPr>
            </w:pPr>
            <w:r w:rsidRPr="00BB570E">
              <w:t>-</w:t>
            </w:r>
          </w:p>
        </w:tc>
        <w:tc>
          <w:tcPr>
            <w:tcW w:w="1559" w:type="dxa"/>
            <w:tcBorders>
              <w:left w:val="single" w:sz="12" w:space="0" w:color="auto"/>
            </w:tcBorders>
            <w:shd w:val="clear" w:color="auto" w:fill="auto"/>
            <w:vAlign w:val="center"/>
          </w:tcPr>
          <w:p w14:paraId="0753BA66" w14:textId="77777777" w:rsidR="00AB6753" w:rsidRPr="00F32D92" w:rsidRDefault="00AB6753" w:rsidP="002D1EA4">
            <w:pPr>
              <w:rPr>
                <w:rFonts w:cs="Arial"/>
                <w:sz w:val="20"/>
                <w:szCs w:val="20"/>
              </w:rPr>
            </w:pPr>
            <w:r w:rsidRPr="00BB570E">
              <w:t>349,497</w:t>
            </w:r>
          </w:p>
        </w:tc>
      </w:tr>
      <w:tr w:rsidR="00AB6753" w:rsidRPr="00F32D92" w14:paraId="062B4FC2" w14:textId="77777777" w:rsidTr="002D1EA4">
        <w:tc>
          <w:tcPr>
            <w:tcW w:w="2019" w:type="dxa"/>
            <w:tcBorders>
              <w:top w:val="single" w:sz="4" w:space="0" w:color="auto"/>
              <w:bottom w:val="single" w:sz="4" w:space="0" w:color="auto"/>
              <w:right w:val="single" w:sz="12" w:space="0" w:color="auto"/>
            </w:tcBorders>
            <w:shd w:val="clear" w:color="auto" w:fill="auto"/>
            <w:vAlign w:val="bottom"/>
          </w:tcPr>
          <w:p w14:paraId="712A9B71" w14:textId="77777777" w:rsidR="00AB6753" w:rsidRPr="00F32D92" w:rsidRDefault="00AB6753" w:rsidP="002D1EA4">
            <w:pPr>
              <w:rPr>
                <w:rFonts w:cs="Arial"/>
                <w:sz w:val="20"/>
                <w:szCs w:val="20"/>
              </w:rPr>
            </w:pPr>
            <w:r w:rsidRPr="00F32D92">
              <w:rPr>
                <w:rFonts w:cs="Arial"/>
                <w:sz w:val="20"/>
                <w:szCs w:val="20"/>
              </w:rPr>
              <w:t>$370,001–$395,000</w:t>
            </w:r>
          </w:p>
        </w:tc>
        <w:tc>
          <w:tcPr>
            <w:tcW w:w="1275" w:type="dxa"/>
            <w:tcBorders>
              <w:top w:val="single" w:sz="6" w:space="0" w:color="auto"/>
              <w:left w:val="single" w:sz="12" w:space="0" w:color="auto"/>
              <w:bottom w:val="single" w:sz="6" w:space="0" w:color="auto"/>
              <w:right w:val="single" w:sz="12" w:space="0" w:color="auto"/>
            </w:tcBorders>
            <w:shd w:val="clear" w:color="auto" w:fill="auto"/>
          </w:tcPr>
          <w:p w14:paraId="0A9A212F" w14:textId="77777777" w:rsidR="00AB6753" w:rsidRPr="00EE642F" w:rsidRDefault="00AB6753" w:rsidP="002D1EA4">
            <w:pPr>
              <w:rPr>
                <w:rFonts w:cs="Arial"/>
              </w:rPr>
            </w:pPr>
            <w:r>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55F7C78A" w14:textId="77777777" w:rsidR="00AB6753" w:rsidRPr="00EE642F" w:rsidRDefault="00AB6753" w:rsidP="002D1EA4">
            <w:pPr>
              <w:rPr>
                <w:rFonts w:cs="Arial"/>
              </w:rPr>
            </w:pPr>
            <w:r w:rsidRPr="00BD4F80">
              <w:rPr>
                <w:rFonts w:cs="Arial"/>
              </w:rPr>
              <w:t>0</w:t>
            </w:r>
          </w:p>
        </w:tc>
        <w:tc>
          <w:tcPr>
            <w:tcW w:w="1134" w:type="dxa"/>
            <w:tcBorders>
              <w:left w:val="single" w:sz="12" w:space="0" w:color="auto"/>
              <w:right w:val="single" w:sz="12" w:space="0" w:color="auto"/>
            </w:tcBorders>
            <w:shd w:val="clear" w:color="auto" w:fill="auto"/>
          </w:tcPr>
          <w:p w14:paraId="1DAECD34" w14:textId="77777777" w:rsidR="00AB6753" w:rsidRPr="00EE642F" w:rsidRDefault="00AB6753" w:rsidP="002D1EA4">
            <w:pPr>
              <w:rPr>
                <w:rFonts w:cs="Arial"/>
              </w:rPr>
            </w:pPr>
            <w:r w:rsidRPr="00BD4F80">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56031616" w14:textId="77777777" w:rsidR="00AB6753" w:rsidRPr="00EE642F" w:rsidRDefault="00AB6753" w:rsidP="002D1EA4">
            <w:pPr>
              <w:rPr>
                <w:rFonts w:cs="Arial"/>
              </w:rPr>
            </w:pPr>
            <w:r w:rsidRPr="00BD4F80">
              <w:rPr>
                <w:rFonts w:cs="Arial"/>
              </w:rPr>
              <w:t>0</w:t>
            </w:r>
          </w:p>
        </w:tc>
        <w:tc>
          <w:tcPr>
            <w:tcW w:w="1843" w:type="dxa"/>
            <w:tcBorders>
              <w:left w:val="single" w:sz="12" w:space="0" w:color="auto"/>
              <w:right w:val="single" w:sz="12" w:space="0" w:color="auto"/>
            </w:tcBorders>
            <w:shd w:val="clear" w:color="auto" w:fill="auto"/>
          </w:tcPr>
          <w:p w14:paraId="4F732DCC" w14:textId="77777777" w:rsidR="00AB6753" w:rsidRPr="00EE642F" w:rsidRDefault="00AB6753" w:rsidP="002D1EA4">
            <w:pPr>
              <w:rPr>
                <w:rFonts w:cs="Arial"/>
              </w:rPr>
            </w:pPr>
            <w:r w:rsidRPr="00BD4F80">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10B0C2DB" w14:textId="77777777" w:rsidR="00AB6753" w:rsidRPr="00EE642F" w:rsidRDefault="00AB6753" w:rsidP="002D1EA4">
            <w:pPr>
              <w:rPr>
                <w:rFonts w:cs="Arial"/>
              </w:rPr>
            </w:pPr>
            <w:r w:rsidRPr="00BD4F80">
              <w:rPr>
                <w:rFonts w:cs="Arial"/>
              </w:rPr>
              <w:t>0</w:t>
            </w:r>
          </w:p>
        </w:tc>
        <w:tc>
          <w:tcPr>
            <w:tcW w:w="1275" w:type="dxa"/>
            <w:tcBorders>
              <w:top w:val="single" w:sz="6" w:space="0" w:color="auto"/>
              <w:left w:val="single" w:sz="12" w:space="0" w:color="auto"/>
              <w:bottom w:val="single" w:sz="6" w:space="0" w:color="auto"/>
              <w:right w:val="single" w:sz="12" w:space="0" w:color="auto"/>
            </w:tcBorders>
            <w:shd w:val="clear" w:color="auto" w:fill="auto"/>
          </w:tcPr>
          <w:p w14:paraId="682FF391" w14:textId="77777777" w:rsidR="00AB6753" w:rsidRPr="00EE642F" w:rsidRDefault="00AB6753" w:rsidP="002D1EA4">
            <w:pPr>
              <w:rPr>
                <w:rFonts w:cs="Arial"/>
              </w:rPr>
            </w:pPr>
            <w:r w:rsidRPr="00BD4F80">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12A001BB" w14:textId="77777777" w:rsidR="00AB6753" w:rsidRPr="00EE642F" w:rsidRDefault="00AB6753" w:rsidP="002D1EA4">
            <w:pPr>
              <w:rPr>
                <w:rFonts w:cs="Arial"/>
              </w:rPr>
            </w:pPr>
            <w:r w:rsidRPr="00BD4F80">
              <w:rPr>
                <w:rFonts w:cs="Arial"/>
              </w:rPr>
              <w:t>0</w:t>
            </w:r>
          </w:p>
        </w:tc>
        <w:tc>
          <w:tcPr>
            <w:tcW w:w="1559" w:type="dxa"/>
            <w:tcBorders>
              <w:left w:val="single" w:sz="12" w:space="0" w:color="auto"/>
            </w:tcBorders>
            <w:shd w:val="clear" w:color="auto" w:fill="auto"/>
          </w:tcPr>
          <w:p w14:paraId="1F6F26AC" w14:textId="77777777" w:rsidR="00AB6753" w:rsidRPr="00EE642F" w:rsidRDefault="00AB6753" w:rsidP="002D1EA4">
            <w:pPr>
              <w:rPr>
                <w:rFonts w:cs="Arial"/>
              </w:rPr>
            </w:pPr>
            <w:r w:rsidRPr="00BD4F80">
              <w:rPr>
                <w:rFonts w:cs="Arial"/>
              </w:rPr>
              <w:t>0</w:t>
            </w:r>
          </w:p>
        </w:tc>
      </w:tr>
      <w:tr w:rsidR="00AB6753" w:rsidRPr="00F32D92" w14:paraId="27B7E50F" w14:textId="77777777" w:rsidTr="002D1EA4">
        <w:tc>
          <w:tcPr>
            <w:tcW w:w="2019" w:type="dxa"/>
            <w:tcBorders>
              <w:top w:val="single" w:sz="4" w:space="0" w:color="auto"/>
              <w:bottom w:val="single" w:sz="4" w:space="0" w:color="auto"/>
              <w:right w:val="single" w:sz="12" w:space="0" w:color="auto"/>
            </w:tcBorders>
            <w:shd w:val="clear" w:color="auto" w:fill="auto"/>
            <w:vAlign w:val="bottom"/>
          </w:tcPr>
          <w:p w14:paraId="469F6C97" w14:textId="77777777" w:rsidR="00AB6753" w:rsidRPr="00F32D92" w:rsidRDefault="00AB6753" w:rsidP="002D1EA4">
            <w:pPr>
              <w:rPr>
                <w:rFonts w:cs="Arial"/>
                <w:sz w:val="20"/>
                <w:szCs w:val="20"/>
              </w:rPr>
            </w:pPr>
            <w:r w:rsidRPr="00F32D92">
              <w:rPr>
                <w:rFonts w:cs="Arial"/>
                <w:sz w:val="20"/>
                <w:szCs w:val="20"/>
              </w:rPr>
              <w:t>$395,001–$420,000</w:t>
            </w:r>
          </w:p>
        </w:tc>
        <w:tc>
          <w:tcPr>
            <w:tcW w:w="1275" w:type="dxa"/>
            <w:tcBorders>
              <w:top w:val="single" w:sz="6" w:space="0" w:color="auto"/>
              <w:left w:val="single" w:sz="12" w:space="0" w:color="auto"/>
              <w:bottom w:val="single" w:sz="6" w:space="0" w:color="auto"/>
              <w:right w:val="single" w:sz="12" w:space="0" w:color="auto"/>
            </w:tcBorders>
            <w:shd w:val="clear" w:color="auto" w:fill="auto"/>
          </w:tcPr>
          <w:p w14:paraId="6D15AFA6" w14:textId="77777777" w:rsidR="00AB6753" w:rsidRPr="00EE642F" w:rsidRDefault="00AB6753" w:rsidP="002D1EA4">
            <w:pPr>
              <w:rPr>
                <w:rFonts w:cs="Arial"/>
              </w:rPr>
            </w:pPr>
            <w:r w:rsidRPr="00DB6817">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7400687D" w14:textId="77777777" w:rsidR="00AB6753" w:rsidRPr="00EE642F" w:rsidRDefault="00AB6753" w:rsidP="002D1EA4">
            <w:pPr>
              <w:rPr>
                <w:rFonts w:cs="Arial"/>
              </w:rPr>
            </w:pPr>
            <w:r w:rsidRPr="00DB6817">
              <w:rPr>
                <w:rFonts w:cs="Arial"/>
              </w:rPr>
              <w:t>0</w:t>
            </w:r>
          </w:p>
        </w:tc>
        <w:tc>
          <w:tcPr>
            <w:tcW w:w="1134" w:type="dxa"/>
            <w:tcBorders>
              <w:left w:val="single" w:sz="12" w:space="0" w:color="auto"/>
              <w:right w:val="single" w:sz="12" w:space="0" w:color="auto"/>
            </w:tcBorders>
            <w:shd w:val="clear" w:color="auto" w:fill="auto"/>
          </w:tcPr>
          <w:p w14:paraId="4EB586E9" w14:textId="77777777" w:rsidR="00AB6753" w:rsidRPr="00EE642F" w:rsidRDefault="00AB6753" w:rsidP="002D1EA4">
            <w:pPr>
              <w:rPr>
                <w:rFonts w:cs="Arial"/>
              </w:rPr>
            </w:pPr>
            <w:r w:rsidRPr="00DB6817">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25056A18" w14:textId="77777777" w:rsidR="00AB6753" w:rsidRPr="00EE642F" w:rsidRDefault="00AB6753" w:rsidP="002D1EA4">
            <w:pPr>
              <w:rPr>
                <w:rFonts w:cs="Arial"/>
              </w:rPr>
            </w:pPr>
            <w:r w:rsidRPr="00DB6817">
              <w:rPr>
                <w:rFonts w:cs="Arial"/>
              </w:rPr>
              <w:t>0</w:t>
            </w:r>
          </w:p>
        </w:tc>
        <w:tc>
          <w:tcPr>
            <w:tcW w:w="1843" w:type="dxa"/>
            <w:tcBorders>
              <w:left w:val="single" w:sz="12" w:space="0" w:color="auto"/>
              <w:right w:val="single" w:sz="12" w:space="0" w:color="auto"/>
            </w:tcBorders>
            <w:shd w:val="clear" w:color="auto" w:fill="auto"/>
          </w:tcPr>
          <w:p w14:paraId="5BC3DF34" w14:textId="77777777" w:rsidR="00AB6753" w:rsidRPr="00EE642F" w:rsidRDefault="00AB6753" w:rsidP="002D1EA4">
            <w:pPr>
              <w:rPr>
                <w:rFonts w:cs="Arial"/>
              </w:rPr>
            </w:pPr>
            <w:r w:rsidRPr="00DB6817">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0456A87C" w14:textId="77777777" w:rsidR="00AB6753" w:rsidRPr="00EE642F" w:rsidRDefault="00AB6753" w:rsidP="002D1EA4">
            <w:pPr>
              <w:rPr>
                <w:rFonts w:cs="Arial"/>
              </w:rPr>
            </w:pPr>
            <w:r w:rsidRPr="00DB6817">
              <w:rPr>
                <w:rFonts w:cs="Arial"/>
              </w:rPr>
              <w:t>0</w:t>
            </w:r>
          </w:p>
        </w:tc>
        <w:tc>
          <w:tcPr>
            <w:tcW w:w="1275" w:type="dxa"/>
            <w:tcBorders>
              <w:top w:val="single" w:sz="6" w:space="0" w:color="auto"/>
              <w:left w:val="single" w:sz="12" w:space="0" w:color="auto"/>
              <w:bottom w:val="single" w:sz="6" w:space="0" w:color="auto"/>
              <w:right w:val="single" w:sz="12" w:space="0" w:color="auto"/>
            </w:tcBorders>
            <w:shd w:val="clear" w:color="auto" w:fill="auto"/>
          </w:tcPr>
          <w:p w14:paraId="0B8A4151" w14:textId="77777777" w:rsidR="00AB6753" w:rsidRPr="00EE642F" w:rsidRDefault="00AB6753" w:rsidP="002D1EA4">
            <w:pPr>
              <w:rPr>
                <w:rFonts w:cs="Arial"/>
              </w:rPr>
            </w:pPr>
            <w:r w:rsidRPr="00DB6817">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51F8709B" w14:textId="77777777" w:rsidR="00AB6753" w:rsidRPr="00EE642F" w:rsidRDefault="00AB6753" w:rsidP="002D1EA4">
            <w:pPr>
              <w:rPr>
                <w:rFonts w:cs="Arial"/>
              </w:rPr>
            </w:pPr>
            <w:r w:rsidRPr="00DB6817">
              <w:rPr>
                <w:rFonts w:cs="Arial"/>
              </w:rPr>
              <w:t>0</w:t>
            </w:r>
          </w:p>
        </w:tc>
        <w:tc>
          <w:tcPr>
            <w:tcW w:w="1559" w:type="dxa"/>
            <w:tcBorders>
              <w:left w:val="single" w:sz="12" w:space="0" w:color="auto"/>
            </w:tcBorders>
            <w:shd w:val="clear" w:color="auto" w:fill="auto"/>
          </w:tcPr>
          <w:p w14:paraId="4304BC48" w14:textId="77777777" w:rsidR="00AB6753" w:rsidRPr="00EE642F" w:rsidRDefault="00AB6753" w:rsidP="002D1EA4">
            <w:pPr>
              <w:rPr>
                <w:rFonts w:cs="Arial"/>
              </w:rPr>
            </w:pPr>
            <w:r w:rsidRPr="00DB6817">
              <w:rPr>
                <w:rFonts w:cs="Arial"/>
              </w:rPr>
              <w:t>0</w:t>
            </w:r>
          </w:p>
        </w:tc>
      </w:tr>
      <w:tr w:rsidR="00AB6753" w:rsidRPr="00F32D92" w14:paraId="6C3763C5" w14:textId="77777777" w:rsidTr="002D1EA4">
        <w:tc>
          <w:tcPr>
            <w:tcW w:w="2019" w:type="dxa"/>
            <w:tcBorders>
              <w:top w:val="single" w:sz="4" w:space="0" w:color="auto"/>
              <w:bottom w:val="single" w:sz="4" w:space="0" w:color="auto"/>
              <w:right w:val="single" w:sz="12" w:space="0" w:color="auto"/>
            </w:tcBorders>
            <w:shd w:val="clear" w:color="auto" w:fill="auto"/>
            <w:vAlign w:val="bottom"/>
          </w:tcPr>
          <w:p w14:paraId="54DB2E30" w14:textId="77777777" w:rsidR="00AB6753" w:rsidRPr="00F32D92" w:rsidRDefault="00AB6753" w:rsidP="002D1EA4">
            <w:pPr>
              <w:rPr>
                <w:rFonts w:cs="Arial"/>
                <w:sz w:val="20"/>
                <w:szCs w:val="20"/>
              </w:rPr>
            </w:pPr>
            <w:r w:rsidRPr="00F32D92">
              <w:rPr>
                <w:rFonts w:cs="Arial"/>
                <w:sz w:val="20"/>
                <w:szCs w:val="20"/>
              </w:rPr>
              <w:t>$420,001–$445,000</w:t>
            </w:r>
          </w:p>
        </w:tc>
        <w:tc>
          <w:tcPr>
            <w:tcW w:w="1275" w:type="dxa"/>
            <w:tcBorders>
              <w:top w:val="single" w:sz="6" w:space="0" w:color="auto"/>
              <w:left w:val="single" w:sz="12" w:space="0" w:color="auto"/>
              <w:bottom w:val="single" w:sz="6" w:space="0" w:color="auto"/>
              <w:right w:val="single" w:sz="12" w:space="0" w:color="auto"/>
            </w:tcBorders>
            <w:shd w:val="clear" w:color="auto" w:fill="auto"/>
          </w:tcPr>
          <w:p w14:paraId="7787DB0C" w14:textId="77777777" w:rsidR="00AB6753" w:rsidRPr="00F32D92" w:rsidRDefault="00AB6753" w:rsidP="002D1EA4">
            <w:pPr>
              <w:rPr>
                <w:rFonts w:cs="Arial"/>
                <w:sz w:val="20"/>
                <w:szCs w:val="20"/>
              </w:rPr>
            </w:pPr>
            <w:r>
              <w:t>1</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31EB65FA" w14:textId="77777777" w:rsidR="00AB6753" w:rsidRPr="00F32D92" w:rsidRDefault="00AB6753" w:rsidP="002D1EA4">
            <w:pPr>
              <w:rPr>
                <w:rFonts w:cs="Arial"/>
                <w:sz w:val="20"/>
                <w:szCs w:val="20"/>
              </w:rPr>
            </w:pPr>
            <w:r w:rsidRPr="002245DD">
              <w:t>215,617</w:t>
            </w:r>
          </w:p>
        </w:tc>
        <w:tc>
          <w:tcPr>
            <w:tcW w:w="1134" w:type="dxa"/>
            <w:tcBorders>
              <w:left w:val="single" w:sz="12" w:space="0" w:color="auto"/>
              <w:right w:val="single" w:sz="12" w:space="0" w:color="auto"/>
            </w:tcBorders>
            <w:shd w:val="clear" w:color="auto" w:fill="auto"/>
            <w:vAlign w:val="center"/>
          </w:tcPr>
          <w:p w14:paraId="2EB40329" w14:textId="77777777" w:rsidR="00AB6753" w:rsidRPr="00F32D92" w:rsidRDefault="00AB6753" w:rsidP="002D1EA4">
            <w:pPr>
              <w:rPr>
                <w:rFonts w:cs="Arial"/>
                <w:sz w:val="20"/>
                <w:szCs w:val="20"/>
              </w:rPr>
            </w:pPr>
            <w:r w:rsidRPr="00BB570E">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4AE9FF7B" w14:textId="77777777" w:rsidR="00AB6753" w:rsidRPr="00F32D92" w:rsidRDefault="00AB6753" w:rsidP="002D1EA4">
            <w:pPr>
              <w:rPr>
                <w:rFonts w:cs="Arial"/>
                <w:sz w:val="20"/>
                <w:szCs w:val="20"/>
              </w:rPr>
            </w:pPr>
            <w:r w:rsidRPr="00BB570E">
              <w:t>22,660</w:t>
            </w:r>
          </w:p>
        </w:tc>
        <w:tc>
          <w:tcPr>
            <w:tcW w:w="1843" w:type="dxa"/>
            <w:tcBorders>
              <w:left w:val="single" w:sz="12" w:space="0" w:color="auto"/>
              <w:right w:val="single" w:sz="12" w:space="0" w:color="auto"/>
            </w:tcBorders>
            <w:shd w:val="clear" w:color="auto" w:fill="auto"/>
            <w:vAlign w:val="center"/>
          </w:tcPr>
          <w:p w14:paraId="0DFAE562" w14:textId="77777777" w:rsidR="00AB6753" w:rsidRPr="00F32D92" w:rsidRDefault="00AB6753" w:rsidP="002D1EA4">
            <w:pPr>
              <w:rPr>
                <w:rFonts w:cs="Arial"/>
                <w:sz w:val="20"/>
                <w:szCs w:val="20"/>
              </w:rPr>
            </w:pPr>
            <w:r w:rsidRPr="00BB570E">
              <w:t>42,296</w:t>
            </w:r>
          </w:p>
        </w:tc>
        <w:tc>
          <w:tcPr>
            <w:tcW w:w="1134" w:type="dxa"/>
            <w:tcBorders>
              <w:top w:val="single" w:sz="6" w:space="0" w:color="auto"/>
              <w:left w:val="single" w:sz="12" w:space="0" w:color="auto"/>
              <w:bottom w:val="single" w:sz="6" w:space="0" w:color="auto"/>
              <w:right w:val="single" w:sz="12" w:space="0" w:color="auto"/>
            </w:tcBorders>
            <w:shd w:val="clear" w:color="auto" w:fill="auto"/>
            <w:vAlign w:val="center"/>
          </w:tcPr>
          <w:p w14:paraId="6D3E8FF4" w14:textId="77777777" w:rsidR="00AB6753" w:rsidRPr="00F32D92" w:rsidRDefault="00AB6753" w:rsidP="002D1EA4">
            <w:pPr>
              <w:rPr>
                <w:rFonts w:cs="Arial"/>
                <w:sz w:val="20"/>
                <w:szCs w:val="20"/>
              </w:rPr>
            </w:pPr>
            <w:r w:rsidRPr="00BB570E">
              <w:t>6,616</w:t>
            </w:r>
          </w:p>
        </w:tc>
        <w:tc>
          <w:tcPr>
            <w:tcW w:w="1275" w:type="dxa"/>
            <w:tcBorders>
              <w:top w:val="single" w:sz="6" w:space="0" w:color="auto"/>
              <w:left w:val="single" w:sz="12" w:space="0" w:color="auto"/>
              <w:bottom w:val="single" w:sz="6" w:space="0" w:color="auto"/>
              <w:right w:val="single" w:sz="12" w:space="0" w:color="auto"/>
            </w:tcBorders>
            <w:shd w:val="clear" w:color="auto" w:fill="auto"/>
            <w:vAlign w:val="center"/>
          </w:tcPr>
          <w:p w14:paraId="14257C0E" w14:textId="77777777" w:rsidR="00AB6753" w:rsidRPr="00F32D92" w:rsidRDefault="00AB6753" w:rsidP="002D1EA4">
            <w:pPr>
              <w:rPr>
                <w:rFonts w:cs="Arial"/>
                <w:sz w:val="20"/>
                <w:szCs w:val="20"/>
              </w:rPr>
            </w:pPr>
            <w:r w:rsidRPr="00BB570E">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7D14D4A9" w14:textId="77777777" w:rsidR="00AB6753" w:rsidRPr="00F32D92" w:rsidRDefault="00AB6753" w:rsidP="002D1EA4">
            <w:pPr>
              <w:rPr>
                <w:rFonts w:cs="Arial"/>
                <w:sz w:val="20"/>
                <w:szCs w:val="20"/>
              </w:rPr>
            </w:pPr>
            <w:r w:rsidRPr="00BB570E">
              <w:t>156,489</w:t>
            </w:r>
          </w:p>
        </w:tc>
        <w:tc>
          <w:tcPr>
            <w:tcW w:w="1559" w:type="dxa"/>
            <w:tcBorders>
              <w:left w:val="single" w:sz="12" w:space="0" w:color="auto"/>
            </w:tcBorders>
            <w:shd w:val="clear" w:color="auto" w:fill="auto"/>
            <w:vAlign w:val="center"/>
          </w:tcPr>
          <w:p w14:paraId="232F64B6" w14:textId="77777777" w:rsidR="00AB6753" w:rsidRPr="00F32D92" w:rsidRDefault="00AB6753" w:rsidP="002D1EA4">
            <w:pPr>
              <w:rPr>
                <w:rFonts w:cs="Arial"/>
                <w:sz w:val="20"/>
                <w:szCs w:val="20"/>
              </w:rPr>
            </w:pPr>
            <w:r w:rsidRPr="00BB570E">
              <w:t>443,678</w:t>
            </w:r>
          </w:p>
        </w:tc>
      </w:tr>
      <w:tr w:rsidR="00AB6753" w:rsidRPr="00F32D92" w14:paraId="1BE550D8" w14:textId="77777777" w:rsidTr="002D1EA4">
        <w:tc>
          <w:tcPr>
            <w:tcW w:w="2019" w:type="dxa"/>
            <w:tcBorders>
              <w:top w:val="single" w:sz="4" w:space="0" w:color="auto"/>
              <w:bottom w:val="single" w:sz="4" w:space="0" w:color="auto"/>
              <w:right w:val="single" w:sz="12" w:space="0" w:color="auto"/>
            </w:tcBorders>
            <w:shd w:val="clear" w:color="auto" w:fill="auto"/>
            <w:vAlign w:val="bottom"/>
          </w:tcPr>
          <w:p w14:paraId="23FB6B9D" w14:textId="77777777" w:rsidR="00AB6753" w:rsidRPr="00F32D92" w:rsidRDefault="00AB6753" w:rsidP="002D1EA4">
            <w:pPr>
              <w:rPr>
                <w:rFonts w:cs="Arial"/>
                <w:sz w:val="20"/>
                <w:szCs w:val="20"/>
              </w:rPr>
            </w:pPr>
            <w:r w:rsidRPr="00F32D92">
              <w:rPr>
                <w:rFonts w:cs="Arial"/>
                <w:sz w:val="20"/>
                <w:szCs w:val="20"/>
              </w:rPr>
              <w:t>$445,001–$470,000</w:t>
            </w:r>
          </w:p>
        </w:tc>
        <w:tc>
          <w:tcPr>
            <w:tcW w:w="1275" w:type="dxa"/>
            <w:tcBorders>
              <w:top w:val="single" w:sz="6" w:space="0" w:color="auto"/>
              <w:left w:val="single" w:sz="12" w:space="0" w:color="auto"/>
              <w:bottom w:val="single" w:sz="6" w:space="0" w:color="auto"/>
              <w:right w:val="single" w:sz="12" w:space="0" w:color="auto"/>
            </w:tcBorders>
            <w:shd w:val="clear" w:color="auto" w:fill="auto"/>
          </w:tcPr>
          <w:p w14:paraId="7F5C2100" w14:textId="77777777" w:rsidR="00AB6753" w:rsidRPr="00EE642F" w:rsidRDefault="00AB6753" w:rsidP="002D1EA4">
            <w:pPr>
              <w:rPr>
                <w:rFonts w:cs="Arial"/>
              </w:rPr>
            </w:pPr>
            <w:r w:rsidRPr="00C34468">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0C6AFB55" w14:textId="77777777" w:rsidR="00AB6753" w:rsidRPr="00EE642F" w:rsidRDefault="00AB6753" w:rsidP="002D1EA4">
            <w:pPr>
              <w:rPr>
                <w:rFonts w:cs="Arial"/>
              </w:rPr>
            </w:pPr>
            <w:r w:rsidRPr="00C34468">
              <w:rPr>
                <w:rFonts w:cs="Arial"/>
              </w:rPr>
              <w:t>0</w:t>
            </w:r>
          </w:p>
        </w:tc>
        <w:tc>
          <w:tcPr>
            <w:tcW w:w="1134" w:type="dxa"/>
            <w:tcBorders>
              <w:left w:val="single" w:sz="12" w:space="0" w:color="auto"/>
              <w:right w:val="single" w:sz="12" w:space="0" w:color="auto"/>
            </w:tcBorders>
            <w:shd w:val="clear" w:color="auto" w:fill="auto"/>
          </w:tcPr>
          <w:p w14:paraId="7F38A8F1" w14:textId="77777777" w:rsidR="00AB6753" w:rsidRPr="00EE642F" w:rsidRDefault="00AB6753" w:rsidP="002D1EA4">
            <w:pPr>
              <w:rPr>
                <w:rFonts w:cs="Arial"/>
              </w:rPr>
            </w:pPr>
            <w:r w:rsidRPr="00C34468">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3BB6272D" w14:textId="77777777" w:rsidR="00AB6753" w:rsidRPr="00EE642F" w:rsidRDefault="00AB6753" w:rsidP="002D1EA4">
            <w:pPr>
              <w:rPr>
                <w:rFonts w:cs="Arial"/>
              </w:rPr>
            </w:pPr>
            <w:r w:rsidRPr="00C34468">
              <w:rPr>
                <w:rFonts w:cs="Arial"/>
              </w:rPr>
              <w:t>0</w:t>
            </w:r>
          </w:p>
        </w:tc>
        <w:tc>
          <w:tcPr>
            <w:tcW w:w="1843" w:type="dxa"/>
            <w:tcBorders>
              <w:left w:val="single" w:sz="12" w:space="0" w:color="auto"/>
              <w:right w:val="single" w:sz="12" w:space="0" w:color="auto"/>
            </w:tcBorders>
            <w:shd w:val="clear" w:color="auto" w:fill="auto"/>
          </w:tcPr>
          <w:p w14:paraId="5609CC7A" w14:textId="77777777" w:rsidR="00AB6753" w:rsidRPr="00EE642F" w:rsidRDefault="00AB6753" w:rsidP="002D1EA4">
            <w:pPr>
              <w:rPr>
                <w:rFonts w:cs="Arial"/>
              </w:rPr>
            </w:pPr>
            <w:r w:rsidRPr="00C34468">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50F64A12" w14:textId="77777777" w:rsidR="00AB6753" w:rsidRPr="00EE642F" w:rsidRDefault="00AB6753" w:rsidP="002D1EA4">
            <w:pPr>
              <w:rPr>
                <w:rFonts w:cs="Arial"/>
              </w:rPr>
            </w:pPr>
            <w:r w:rsidRPr="00C34468">
              <w:rPr>
                <w:rFonts w:cs="Arial"/>
              </w:rPr>
              <w:t>0</w:t>
            </w:r>
          </w:p>
        </w:tc>
        <w:tc>
          <w:tcPr>
            <w:tcW w:w="1275" w:type="dxa"/>
            <w:tcBorders>
              <w:top w:val="single" w:sz="6" w:space="0" w:color="auto"/>
              <w:left w:val="single" w:sz="12" w:space="0" w:color="auto"/>
              <w:bottom w:val="single" w:sz="6" w:space="0" w:color="auto"/>
              <w:right w:val="single" w:sz="12" w:space="0" w:color="auto"/>
            </w:tcBorders>
            <w:shd w:val="clear" w:color="auto" w:fill="auto"/>
          </w:tcPr>
          <w:p w14:paraId="13848802" w14:textId="77777777" w:rsidR="00AB6753" w:rsidRPr="00EE642F" w:rsidRDefault="00AB6753" w:rsidP="002D1EA4">
            <w:pPr>
              <w:rPr>
                <w:rFonts w:cs="Arial"/>
              </w:rPr>
            </w:pPr>
            <w:r w:rsidRPr="00C34468">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5E6264AE" w14:textId="77777777" w:rsidR="00AB6753" w:rsidRPr="00EE642F" w:rsidRDefault="00AB6753" w:rsidP="002D1EA4">
            <w:pPr>
              <w:rPr>
                <w:rFonts w:cs="Arial"/>
              </w:rPr>
            </w:pPr>
            <w:r w:rsidRPr="00C34468">
              <w:rPr>
                <w:rFonts w:cs="Arial"/>
              </w:rPr>
              <w:t>0</w:t>
            </w:r>
          </w:p>
        </w:tc>
        <w:tc>
          <w:tcPr>
            <w:tcW w:w="1559" w:type="dxa"/>
            <w:tcBorders>
              <w:left w:val="single" w:sz="12" w:space="0" w:color="auto"/>
            </w:tcBorders>
            <w:shd w:val="clear" w:color="auto" w:fill="auto"/>
          </w:tcPr>
          <w:p w14:paraId="7FBD4AA3" w14:textId="77777777" w:rsidR="00AB6753" w:rsidRPr="00EE642F" w:rsidRDefault="00AB6753" w:rsidP="002D1EA4">
            <w:pPr>
              <w:rPr>
                <w:rFonts w:cs="Arial"/>
              </w:rPr>
            </w:pPr>
            <w:r w:rsidRPr="00C34468">
              <w:rPr>
                <w:rFonts w:cs="Arial"/>
              </w:rPr>
              <w:t>0</w:t>
            </w:r>
          </w:p>
        </w:tc>
      </w:tr>
      <w:tr w:rsidR="00AB6753" w:rsidRPr="00F32D92" w14:paraId="48185A0F" w14:textId="77777777" w:rsidTr="002D1EA4">
        <w:tc>
          <w:tcPr>
            <w:tcW w:w="2019" w:type="dxa"/>
            <w:tcBorders>
              <w:top w:val="single" w:sz="4" w:space="0" w:color="auto"/>
              <w:bottom w:val="single" w:sz="4" w:space="0" w:color="auto"/>
              <w:right w:val="single" w:sz="12" w:space="0" w:color="auto"/>
            </w:tcBorders>
            <w:shd w:val="clear" w:color="auto" w:fill="auto"/>
            <w:vAlign w:val="bottom"/>
          </w:tcPr>
          <w:p w14:paraId="475B2B3C" w14:textId="77777777" w:rsidR="00AB6753" w:rsidRPr="00F32D92" w:rsidRDefault="00AB6753" w:rsidP="002D1EA4">
            <w:pPr>
              <w:rPr>
                <w:rFonts w:cs="Arial"/>
                <w:sz w:val="20"/>
                <w:szCs w:val="20"/>
              </w:rPr>
            </w:pPr>
            <w:r w:rsidRPr="00F32D92">
              <w:rPr>
                <w:rFonts w:cs="Arial"/>
                <w:sz w:val="20"/>
                <w:szCs w:val="20"/>
              </w:rPr>
              <w:t>$470,001–$495,000</w:t>
            </w:r>
          </w:p>
        </w:tc>
        <w:tc>
          <w:tcPr>
            <w:tcW w:w="1275" w:type="dxa"/>
            <w:tcBorders>
              <w:top w:val="single" w:sz="6" w:space="0" w:color="auto"/>
              <w:left w:val="single" w:sz="12" w:space="0" w:color="auto"/>
              <w:bottom w:val="single" w:sz="6" w:space="0" w:color="auto"/>
              <w:right w:val="single" w:sz="12" w:space="0" w:color="auto"/>
            </w:tcBorders>
            <w:shd w:val="clear" w:color="auto" w:fill="auto"/>
          </w:tcPr>
          <w:p w14:paraId="0F96828E" w14:textId="77777777" w:rsidR="00AB6753" w:rsidRPr="00EE642F" w:rsidRDefault="00AB6753" w:rsidP="002D1EA4">
            <w:pPr>
              <w:rPr>
                <w:rFonts w:cs="Arial"/>
              </w:rPr>
            </w:pPr>
            <w:r w:rsidRPr="00C34468">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1C1B2854" w14:textId="77777777" w:rsidR="00AB6753" w:rsidRPr="00EE642F" w:rsidRDefault="00AB6753" w:rsidP="002D1EA4">
            <w:pPr>
              <w:rPr>
                <w:rFonts w:cs="Arial"/>
              </w:rPr>
            </w:pPr>
            <w:r w:rsidRPr="00C34468">
              <w:rPr>
                <w:rFonts w:cs="Arial"/>
              </w:rPr>
              <w:t>0</w:t>
            </w:r>
          </w:p>
        </w:tc>
        <w:tc>
          <w:tcPr>
            <w:tcW w:w="1134" w:type="dxa"/>
            <w:tcBorders>
              <w:left w:val="single" w:sz="12" w:space="0" w:color="auto"/>
              <w:right w:val="single" w:sz="12" w:space="0" w:color="auto"/>
            </w:tcBorders>
            <w:shd w:val="clear" w:color="auto" w:fill="auto"/>
          </w:tcPr>
          <w:p w14:paraId="58E6CE78" w14:textId="77777777" w:rsidR="00AB6753" w:rsidRPr="00EE642F" w:rsidRDefault="00AB6753" w:rsidP="002D1EA4">
            <w:pPr>
              <w:rPr>
                <w:rFonts w:cs="Arial"/>
              </w:rPr>
            </w:pPr>
            <w:r w:rsidRPr="00C34468">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298BB506" w14:textId="77777777" w:rsidR="00AB6753" w:rsidRPr="00EE642F" w:rsidRDefault="00AB6753" w:rsidP="002D1EA4">
            <w:pPr>
              <w:rPr>
                <w:rFonts w:cs="Arial"/>
              </w:rPr>
            </w:pPr>
            <w:r w:rsidRPr="00C34468">
              <w:rPr>
                <w:rFonts w:cs="Arial"/>
              </w:rPr>
              <w:t>0</w:t>
            </w:r>
          </w:p>
        </w:tc>
        <w:tc>
          <w:tcPr>
            <w:tcW w:w="1843" w:type="dxa"/>
            <w:tcBorders>
              <w:left w:val="single" w:sz="12" w:space="0" w:color="auto"/>
              <w:right w:val="single" w:sz="12" w:space="0" w:color="auto"/>
            </w:tcBorders>
            <w:shd w:val="clear" w:color="auto" w:fill="auto"/>
          </w:tcPr>
          <w:p w14:paraId="6FAC8271" w14:textId="77777777" w:rsidR="00AB6753" w:rsidRPr="00EE642F" w:rsidRDefault="00AB6753" w:rsidP="002D1EA4">
            <w:pPr>
              <w:rPr>
                <w:rFonts w:cs="Arial"/>
              </w:rPr>
            </w:pPr>
            <w:r w:rsidRPr="00C34468">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48150C08" w14:textId="77777777" w:rsidR="00AB6753" w:rsidRPr="00EE642F" w:rsidRDefault="00AB6753" w:rsidP="002D1EA4">
            <w:pPr>
              <w:rPr>
                <w:rFonts w:cs="Arial"/>
              </w:rPr>
            </w:pPr>
            <w:r w:rsidRPr="00C34468">
              <w:rPr>
                <w:rFonts w:cs="Arial"/>
              </w:rPr>
              <w:t>0</w:t>
            </w:r>
          </w:p>
        </w:tc>
        <w:tc>
          <w:tcPr>
            <w:tcW w:w="1275" w:type="dxa"/>
            <w:tcBorders>
              <w:top w:val="single" w:sz="6" w:space="0" w:color="auto"/>
              <w:left w:val="single" w:sz="12" w:space="0" w:color="auto"/>
              <w:bottom w:val="single" w:sz="6" w:space="0" w:color="auto"/>
              <w:right w:val="single" w:sz="12" w:space="0" w:color="auto"/>
            </w:tcBorders>
            <w:shd w:val="clear" w:color="auto" w:fill="auto"/>
          </w:tcPr>
          <w:p w14:paraId="6A7B66CB" w14:textId="77777777" w:rsidR="00AB6753" w:rsidRPr="00EE642F" w:rsidRDefault="00AB6753" w:rsidP="002D1EA4">
            <w:pPr>
              <w:rPr>
                <w:rFonts w:cs="Arial"/>
              </w:rPr>
            </w:pPr>
            <w:r w:rsidRPr="00C34468">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1B237C6C" w14:textId="77777777" w:rsidR="00AB6753" w:rsidRPr="00EE642F" w:rsidRDefault="00AB6753" w:rsidP="002D1EA4">
            <w:pPr>
              <w:rPr>
                <w:rFonts w:cs="Arial"/>
              </w:rPr>
            </w:pPr>
            <w:r w:rsidRPr="00C34468">
              <w:rPr>
                <w:rFonts w:cs="Arial"/>
              </w:rPr>
              <w:t>0</w:t>
            </w:r>
          </w:p>
        </w:tc>
        <w:tc>
          <w:tcPr>
            <w:tcW w:w="1559" w:type="dxa"/>
            <w:tcBorders>
              <w:left w:val="single" w:sz="12" w:space="0" w:color="auto"/>
            </w:tcBorders>
            <w:shd w:val="clear" w:color="auto" w:fill="auto"/>
          </w:tcPr>
          <w:p w14:paraId="3B690CAF" w14:textId="77777777" w:rsidR="00AB6753" w:rsidRPr="00EE642F" w:rsidRDefault="00AB6753" w:rsidP="002D1EA4">
            <w:pPr>
              <w:rPr>
                <w:rFonts w:cs="Arial"/>
              </w:rPr>
            </w:pPr>
            <w:r w:rsidRPr="00C34468">
              <w:rPr>
                <w:rFonts w:cs="Arial"/>
              </w:rPr>
              <w:t>0</w:t>
            </w:r>
          </w:p>
        </w:tc>
      </w:tr>
      <w:tr w:rsidR="00AB6753" w:rsidRPr="00F32D92" w14:paraId="6E662AD6" w14:textId="77777777" w:rsidTr="002D1EA4">
        <w:tc>
          <w:tcPr>
            <w:tcW w:w="2019" w:type="dxa"/>
            <w:tcBorders>
              <w:top w:val="single" w:sz="4" w:space="0" w:color="auto"/>
              <w:bottom w:val="single" w:sz="12" w:space="0" w:color="auto"/>
              <w:right w:val="single" w:sz="12" w:space="0" w:color="auto"/>
            </w:tcBorders>
            <w:shd w:val="clear" w:color="auto" w:fill="auto"/>
            <w:vAlign w:val="bottom"/>
          </w:tcPr>
          <w:p w14:paraId="6943CC09" w14:textId="77777777" w:rsidR="00AB6753" w:rsidRPr="00F32D92" w:rsidRDefault="00AB6753" w:rsidP="002D1EA4">
            <w:pPr>
              <w:rPr>
                <w:rFonts w:cs="Arial"/>
                <w:sz w:val="20"/>
                <w:szCs w:val="20"/>
              </w:rPr>
            </w:pPr>
            <w:r w:rsidRPr="00F32D92">
              <w:rPr>
                <w:rFonts w:cs="Arial"/>
                <w:sz w:val="20"/>
                <w:szCs w:val="20"/>
              </w:rPr>
              <w:t>$495,001</w:t>
            </w:r>
          </w:p>
        </w:tc>
        <w:tc>
          <w:tcPr>
            <w:tcW w:w="1275" w:type="dxa"/>
            <w:tcBorders>
              <w:top w:val="single" w:sz="6" w:space="0" w:color="auto"/>
              <w:left w:val="single" w:sz="12" w:space="0" w:color="auto"/>
              <w:bottom w:val="single" w:sz="12" w:space="0" w:color="auto"/>
              <w:right w:val="single" w:sz="12" w:space="0" w:color="auto"/>
            </w:tcBorders>
            <w:shd w:val="clear" w:color="auto" w:fill="auto"/>
          </w:tcPr>
          <w:p w14:paraId="68F76642" w14:textId="77777777" w:rsidR="00AB6753" w:rsidRPr="00EE642F" w:rsidRDefault="00AB6753" w:rsidP="002D1EA4">
            <w:pPr>
              <w:rPr>
                <w:rFonts w:cs="Arial"/>
              </w:rPr>
            </w:pPr>
            <w:r w:rsidRPr="00C34468">
              <w:rPr>
                <w:rFonts w:cs="Arial"/>
              </w:rPr>
              <w:t>0</w:t>
            </w:r>
          </w:p>
        </w:tc>
        <w:tc>
          <w:tcPr>
            <w:tcW w:w="1134" w:type="dxa"/>
            <w:tcBorders>
              <w:top w:val="single" w:sz="6" w:space="0" w:color="auto"/>
              <w:left w:val="single" w:sz="12" w:space="0" w:color="auto"/>
              <w:bottom w:val="single" w:sz="12" w:space="0" w:color="auto"/>
              <w:right w:val="single" w:sz="12" w:space="0" w:color="auto"/>
            </w:tcBorders>
            <w:shd w:val="clear" w:color="auto" w:fill="auto"/>
          </w:tcPr>
          <w:p w14:paraId="761AEEE1" w14:textId="77777777" w:rsidR="00AB6753" w:rsidRPr="00EE642F" w:rsidRDefault="00AB6753" w:rsidP="002D1EA4">
            <w:pPr>
              <w:rPr>
                <w:rFonts w:cs="Arial"/>
              </w:rPr>
            </w:pPr>
            <w:r w:rsidRPr="00C34468">
              <w:rPr>
                <w:rFonts w:cs="Arial"/>
              </w:rPr>
              <w:t>0</w:t>
            </w:r>
          </w:p>
        </w:tc>
        <w:tc>
          <w:tcPr>
            <w:tcW w:w="1134" w:type="dxa"/>
            <w:tcBorders>
              <w:left w:val="single" w:sz="12" w:space="0" w:color="auto"/>
              <w:bottom w:val="single" w:sz="12" w:space="0" w:color="auto"/>
              <w:right w:val="single" w:sz="12" w:space="0" w:color="auto"/>
            </w:tcBorders>
            <w:shd w:val="clear" w:color="auto" w:fill="auto"/>
          </w:tcPr>
          <w:p w14:paraId="024B2614" w14:textId="77777777" w:rsidR="00AB6753" w:rsidRPr="00EE642F" w:rsidRDefault="00AB6753" w:rsidP="002D1EA4">
            <w:pPr>
              <w:rPr>
                <w:rFonts w:cs="Arial"/>
              </w:rPr>
            </w:pPr>
            <w:r w:rsidRPr="00C34468">
              <w:rPr>
                <w:rFonts w:cs="Arial"/>
              </w:rPr>
              <w:t>0</w:t>
            </w:r>
          </w:p>
        </w:tc>
        <w:tc>
          <w:tcPr>
            <w:tcW w:w="1418" w:type="dxa"/>
            <w:tcBorders>
              <w:top w:val="single" w:sz="6" w:space="0" w:color="auto"/>
              <w:left w:val="single" w:sz="12" w:space="0" w:color="auto"/>
              <w:bottom w:val="single" w:sz="12" w:space="0" w:color="auto"/>
              <w:right w:val="single" w:sz="12" w:space="0" w:color="auto"/>
            </w:tcBorders>
            <w:shd w:val="clear" w:color="auto" w:fill="auto"/>
          </w:tcPr>
          <w:p w14:paraId="180075F4" w14:textId="77777777" w:rsidR="00AB6753" w:rsidRPr="00EE642F" w:rsidRDefault="00AB6753" w:rsidP="002D1EA4">
            <w:pPr>
              <w:rPr>
                <w:rFonts w:cs="Arial"/>
              </w:rPr>
            </w:pPr>
            <w:r w:rsidRPr="00C34468">
              <w:rPr>
                <w:rFonts w:cs="Arial"/>
              </w:rPr>
              <w:t>0</w:t>
            </w:r>
          </w:p>
        </w:tc>
        <w:tc>
          <w:tcPr>
            <w:tcW w:w="1843" w:type="dxa"/>
            <w:tcBorders>
              <w:left w:val="single" w:sz="12" w:space="0" w:color="auto"/>
              <w:bottom w:val="single" w:sz="12" w:space="0" w:color="auto"/>
              <w:right w:val="single" w:sz="12" w:space="0" w:color="auto"/>
            </w:tcBorders>
            <w:shd w:val="clear" w:color="auto" w:fill="auto"/>
          </w:tcPr>
          <w:p w14:paraId="64B9DD52" w14:textId="77777777" w:rsidR="00AB6753" w:rsidRPr="00EE642F" w:rsidRDefault="00AB6753" w:rsidP="002D1EA4">
            <w:pPr>
              <w:rPr>
                <w:rFonts w:cs="Arial"/>
              </w:rPr>
            </w:pPr>
            <w:r w:rsidRPr="00C34468">
              <w:rPr>
                <w:rFonts w:cs="Arial"/>
              </w:rPr>
              <w:t>0</w:t>
            </w:r>
          </w:p>
        </w:tc>
        <w:tc>
          <w:tcPr>
            <w:tcW w:w="1134" w:type="dxa"/>
            <w:tcBorders>
              <w:top w:val="single" w:sz="6" w:space="0" w:color="auto"/>
              <w:left w:val="single" w:sz="12" w:space="0" w:color="auto"/>
              <w:bottom w:val="single" w:sz="12" w:space="0" w:color="auto"/>
              <w:right w:val="single" w:sz="12" w:space="0" w:color="auto"/>
            </w:tcBorders>
            <w:shd w:val="clear" w:color="auto" w:fill="auto"/>
          </w:tcPr>
          <w:p w14:paraId="496C6ECD" w14:textId="77777777" w:rsidR="00AB6753" w:rsidRPr="00EE642F" w:rsidRDefault="00AB6753" w:rsidP="002D1EA4">
            <w:pPr>
              <w:rPr>
                <w:rFonts w:cs="Arial"/>
              </w:rPr>
            </w:pPr>
            <w:r w:rsidRPr="00C34468">
              <w:rPr>
                <w:rFonts w:cs="Arial"/>
              </w:rPr>
              <w:t>0</w:t>
            </w:r>
          </w:p>
        </w:tc>
        <w:tc>
          <w:tcPr>
            <w:tcW w:w="1275" w:type="dxa"/>
            <w:tcBorders>
              <w:top w:val="single" w:sz="6" w:space="0" w:color="auto"/>
              <w:left w:val="single" w:sz="12" w:space="0" w:color="auto"/>
              <w:bottom w:val="single" w:sz="12" w:space="0" w:color="auto"/>
              <w:right w:val="single" w:sz="12" w:space="0" w:color="auto"/>
            </w:tcBorders>
            <w:shd w:val="clear" w:color="auto" w:fill="auto"/>
          </w:tcPr>
          <w:p w14:paraId="5FE38A68" w14:textId="77777777" w:rsidR="00AB6753" w:rsidRPr="00EE642F" w:rsidRDefault="00AB6753" w:rsidP="002D1EA4">
            <w:pPr>
              <w:rPr>
                <w:rFonts w:cs="Arial"/>
              </w:rPr>
            </w:pPr>
            <w:r w:rsidRPr="00C34468">
              <w:rPr>
                <w:rFonts w:cs="Arial"/>
              </w:rPr>
              <w:t>0</w:t>
            </w:r>
          </w:p>
        </w:tc>
        <w:tc>
          <w:tcPr>
            <w:tcW w:w="1418" w:type="dxa"/>
            <w:tcBorders>
              <w:top w:val="single" w:sz="6" w:space="0" w:color="auto"/>
              <w:left w:val="single" w:sz="12" w:space="0" w:color="auto"/>
              <w:bottom w:val="single" w:sz="12" w:space="0" w:color="auto"/>
              <w:right w:val="single" w:sz="12" w:space="0" w:color="auto"/>
            </w:tcBorders>
            <w:shd w:val="clear" w:color="auto" w:fill="auto"/>
          </w:tcPr>
          <w:p w14:paraId="3741B31D" w14:textId="77777777" w:rsidR="00AB6753" w:rsidRPr="00EE642F" w:rsidRDefault="00AB6753" w:rsidP="002D1EA4">
            <w:pPr>
              <w:rPr>
                <w:rFonts w:cs="Arial"/>
              </w:rPr>
            </w:pPr>
            <w:r w:rsidRPr="00C34468">
              <w:rPr>
                <w:rFonts w:cs="Arial"/>
              </w:rPr>
              <w:t>0</w:t>
            </w:r>
          </w:p>
        </w:tc>
        <w:tc>
          <w:tcPr>
            <w:tcW w:w="1559" w:type="dxa"/>
            <w:tcBorders>
              <w:left w:val="single" w:sz="12" w:space="0" w:color="auto"/>
              <w:bottom w:val="single" w:sz="12" w:space="0" w:color="auto"/>
            </w:tcBorders>
            <w:shd w:val="clear" w:color="auto" w:fill="auto"/>
          </w:tcPr>
          <w:p w14:paraId="6E81389F" w14:textId="77777777" w:rsidR="00AB6753" w:rsidRPr="00EE642F" w:rsidRDefault="00AB6753" w:rsidP="002D1EA4">
            <w:pPr>
              <w:rPr>
                <w:rFonts w:cs="Arial"/>
              </w:rPr>
            </w:pPr>
            <w:r w:rsidRPr="00C34468">
              <w:rPr>
                <w:rFonts w:cs="Arial"/>
              </w:rPr>
              <w:t>0</w:t>
            </w:r>
          </w:p>
        </w:tc>
      </w:tr>
    </w:tbl>
    <w:p w14:paraId="245DE34F" w14:textId="77777777" w:rsidR="007D0877" w:rsidRDefault="007D0877" w:rsidP="00AB6753">
      <w:pPr>
        <w:autoSpaceDE w:val="0"/>
        <w:autoSpaceDN w:val="0"/>
        <w:adjustRightInd w:val="0"/>
        <w:spacing w:before="200" w:line="221" w:lineRule="atLeast"/>
        <w:ind w:right="-164"/>
        <w:rPr>
          <w:sz w:val="20"/>
          <w:szCs w:val="20"/>
        </w:rPr>
      </w:pPr>
    </w:p>
    <w:p w14:paraId="60865657" w14:textId="2B6031A9" w:rsidR="00AB6753" w:rsidRPr="00123D6C" w:rsidRDefault="00AB6753" w:rsidP="00AB6753">
      <w:pPr>
        <w:autoSpaceDE w:val="0"/>
        <w:autoSpaceDN w:val="0"/>
        <w:adjustRightInd w:val="0"/>
        <w:spacing w:before="200" w:line="221" w:lineRule="atLeast"/>
        <w:ind w:right="-164"/>
        <w:rPr>
          <w:sz w:val="20"/>
          <w:szCs w:val="20"/>
        </w:rPr>
      </w:pPr>
      <w:r w:rsidRPr="00123D6C">
        <w:rPr>
          <w:sz w:val="20"/>
          <w:szCs w:val="20"/>
        </w:rPr>
        <w:lastRenderedPageBreak/>
        <w:t>Notes:</w:t>
      </w:r>
    </w:p>
    <w:p w14:paraId="1CAB3886" w14:textId="77777777" w:rsidR="00AB6753" w:rsidRPr="00123D6C" w:rsidRDefault="00AB6753" w:rsidP="00AB6753">
      <w:pPr>
        <w:pStyle w:val="ListParagraph"/>
        <w:numPr>
          <w:ilvl w:val="0"/>
          <w:numId w:val="37"/>
        </w:numPr>
        <w:autoSpaceDE w:val="0"/>
        <w:autoSpaceDN w:val="0"/>
        <w:adjustRightInd w:val="0"/>
        <w:spacing w:before="200" w:line="221" w:lineRule="atLeast"/>
        <w:ind w:right="-164"/>
        <w:rPr>
          <w:sz w:val="20"/>
          <w:szCs w:val="20"/>
        </w:rPr>
      </w:pPr>
      <w:r w:rsidRPr="00123D6C">
        <w:rPr>
          <w:sz w:val="20"/>
          <w:szCs w:val="20"/>
        </w:rPr>
        <w:t xml:space="preserve">Includes </w:t>
      </w:r>
      <w:r>
        <w:rPr>
          <w:sz w:val="20"/>
          <w:szCs w:val="20"/>
        </w:rPr>
        <w:t>16</w:t>
      </w:r>
      <w:r w:rsidRPr="00123D6C">
        <w:rPr>
          <w:sz w:val="20"/>
          <w:szCs w:val="20"/>
        </w:rPr>
        <w:t xml:space="preserve"> individuals who acted in an SES position continuously for three months </w:t>
      </w:r>
      <w:r>
        <w:rPr>
          <w:sz w:val="20"/>
          <w:szCs w:val="20"/>
        </w:rPr>
        <w:t xml:space="preserve">(90 days) </w:t>
      </w:r>
      <w:r w:rsidRPr="00123D6C">
        <w:rPr>
          <w:sz w:val="20"/>
          <w:szCs w:val="20"/>
        </w:rPr>
        <w:t>or more</w:t>
      </w:r>
    </w:p>
    <w:p w14:paraId="6FA43C40" w14:textId="77777777" w:rsidR="00AB6753" w:rsidRPr="00123D6C" w:rsidRDefault="00AB6753" w:rsidP="00AB6753">
      <w:pPr>
        <w:pStyle w:val="ListParagraph"/>
        <w:numPr>
          <w:ilvl w:val="0"/>
          <w:numId w:val="37"/>
        </w:numPr>
        <w:autoSpaceDE w:val="0"/>
        <w:autoSpaceDN w:val="0"/>
        <w:adjustRightInd w:val="0"/>
        <w:spacing w:before="200" w:line="221" w:lineRule="atLeast"/>
        <w:ind w:right="-164"/>
        <w:rPr>
          <w:sz w:val="20"/>
          <w:szCs w:val="20"/>
        </w:rPr>
      </w:pPr>
      <w:r w:rsidRPr="00123D6C">
        <w:rPr>
          <w:sz w:val="20"/>
          <w:szCs w:val="20"/>
        </w:rPr>
        <w:t xml:space="preserve">Includes individuals who were promoted into SES positions within the </w:t>
      </w:r>
      <w:r>
        <w:rPr>
          <w:sz w:val="20"/>
          <w:szCs w:val="20"/>
        </w:rPr>
        <w:t>f</w:t>
      </w:r>
      <w:r w:rsidRPr="00123D6C">
        <w:rPr>
          <w:sz w:val="20"/>
          <w:szCs w:val="20"/>
        </w:rPr>
        <w:t xml:space="preserve">inancial </w:t>
      </w:r>
      <w:r>
        <w:rPr>
          <w:sz w:val="20"/>
          <w:szCs w:val="20"/>
        </w:rPr>
        <w:t>y</w:t>
      </w:r>
      <w:r w:rsidRPr="00123D6C">
        <w:rPr>
          <w:sz w:val="20"/>
          <w:szCs w:val="20"/>
        </w:rPr>
        <w:t>ear</w:t>
      </w:r>
    </w:p>
    <w:p w14:paraId="0AA85FB6" w14:textId="77777777" w:rsidR="00AB6753" w:rsidRPr="00CF02C1" w:rsidRDefault="00AB6753" w:rsidP="00AB6753">
      <w:pPr>
        <w:pStyle w:val="ListParagraph"/>
        <w:numPr>
          <w:ilvl w:val="0"/>
          <w:numId w:val="37"/>
        </w:numPr>
        <w:autoSpaceDE w:val="0"/>
        <w:autoSpaceDN w:val="0"/>
        <w:adjustRightInd w:val="0"/>
        <w:spacing w:before="200" w:line="221" w:lineRule="atLeast"/>
        <w:ind w:right="-164"/>
      </w:pPr>
      <w:r w:rsidRPr="00123D6C">
        <w:rPr>
          <w:sz w:val="20"/>
          <w:szCs w:val="20"/>
        </w:rPr>
        <w:t xml:space="preserve">Remuneration has been adjusted for SES who have been on secondment out to only include the period of time at </w:t>
      </w:r>
      <w:r>
        <w:rPr>
          <w:sz w:val="20"/>
          <w:szCs w:val="20"/>
        </w:rPr>
        <w:t>the Department of Social Services</w:t>
      </w:r>
      <w:r w:rsidRPr="00123D6C">
        <w:rPr>
          <w:sz w:val="20"/>
          <w:szCs w:val="20"/>
        </w:rPr>
        <w:t xml:space="preserve"> only.</w:t>
      </w:r>
      <w:r w:rsidRPr="00CF02C1">
        <w:br w:type="page"/>
      </w:r>
    </w:p>
    <w:p w14:paraId="786C715A" w14:textId="77777777" w:rsidR="00AB6753" w:rsidRPr="00A050FC" w:rsidRDefault="00AB6753" w:rsidP="00AB6753">
      <w:pPr>
        <w:rPr>
          <w:rFonts w:ascii="Arial Narrow" w:hAnsi="Arial Narrow" w:cs="Calibri"/>
          <w:b/>
          <w:sz w:val="20"/>
          <w:szCs w:val="20"/>
        </w:rPr>
      </w:pPr>
      <w:bookmarkStart w:id="283" w:name="_Toc5705951"/>
      <w:r>
        <w:rPr>
          <w:rFonts w:ascii="Arial Narrow" w:hAnsi="Arial Narrow" w:cs="Calibri"/>
          <w:b/>
          <w:sz w:val="20"/>
          <w:szCs w:val="20"/>
        </w:rPr>
        <w:lastRenderedPageBreak/>
        <w:t xml:space="preserve">Table F-3 </w:t>
      </w:r>
      <w:r w:rsidRPr="00A050FC">
        <w:rPr>
          <w:rFonts w:ascii="Arial Narrow" w:hAnsi="Arial Narrow" w:cs="Calibri"/>
          <w:b/>
          <w:sz w:val="20"/>
          <w:szCs w:val="20"/>
        </w:rPr>
        <w:t>17AD (da) — Executive Remuneration—Information about remuneration for other highly paid staff</w:t>
      </w:r>
      <w:bookmarkEnd w:id="283"/>
    </w:p>
    <w:tbl>
      <w:tblPr>
        <w:tblW w:w="1463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Caption w:val="Table F-3 17AD (da) Executive remuneration"/>
        <w:tblDescription w:val="Table 17AD (da) Executive remuneration. Information about remuneration for other highly paid staff"/>
      </w:tblPr>
      <w:tblGrid>
        <w:gridCol w:w="1735"/>
        <w:gridCol w:w="1559"/>
        <w:gridCol w:w="1134"/>
        <w:gridCol w:w="1134"/>
        <w:gridCol w:w="1418"/>
        <w:gridCol w:w="1843"/>
        <w:gridCol w:w="1134"/>
        <w:gridCol w:w="1275"/>
        <w:gridCol w:w="1418"/>
        <w:gridCol w:w="1984"/>
      </w:tblGrid>
      <w:tr w:rsidR="00AB6753" w:rsidRPr="00F32D92" w14:paraId="6E34FD3F" w14:textId="77777777" w:rsidTr="002D1EA4">
        <w:trPr>
          <w:tblHeader/>
        </w:trPr>
        <w:tc>
          <w:tcPr>
            <w:tcW w:w="1735" w:type="dxa"/>
            <w:tcBorders>
              <w:top w:val="nil"/>
              <w:left w:val="nil"/>
              <w:bottom w:val="single" w:sz="12" w:space="0" w:color="auto"/>
              <w:right w:val="nil"/>
            </w:tcBorders>
            <w:shd w:val="clear" w:color="auto" w:fill="FFFFFF" w:themeFill="background1"/>
          </w:tcPr>
          <w:p w14:paraId="73457849" w14:textId="77777777" w:rsidR="00AB6753" w:rsidRPr="00F32D92" w:rsidRDefault="00AB6753" w:rsidP="002D1EA4">
            <w:pPr>
              <w:rPr>
                <w:rFonts w:cs="Arial"/>
                <w:sz w:val="20"/>
                <w:szCs w:val="20"/>
              </w:rPr>
            </w:pPr>
          </w:p>
        </w:tc>
        <w:tc>
          <w:tcPr>
            <w:tcW w:w="1559" w:type="dxa"/>
            <w:tcBorders>
              <w:top w:val="nil"/>
              <w:left w:val="nil"/>
              <w:bottom w:val="single" w:sz="12" w:space="0" w:color="auto"/>
              <w:right w:val="single" w:sz="12" w:space="0" w:color="auto"/>
            </w:tcBorders>
            <w:shd w:val="clear" w:color="auto" w:fill="FFFFFF" w:themeFill="background1"/>
          </w:tcPr>
          <w:p w14:paraId="4B248C9E" w14:textId="77777777" w:rsidR="00AB6753" w:rsidRPr="00F32D92" w:rsidRDefault="00AB6753" w:rsidP="002D1EA4">
            <w:pPr>
              <w:rPr>
                <w:rFonts w:cs="Arial"/>
                <w:sz w:val="20"/>
                <w:szCs w:val="20"/>
              </w:rPr>
            </w:pPr>
          </w:p>
        </w:tc>
        <w:tc>
          <w:tcPr>
            <w:tcW w:w="3686" w:type="dxa"/>
            <w:gridSpan w:val="3"/>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4336C3A" w14:textId="77777777" w:rsidR="00AB6753" w:rsidRPr="00F32D92" w:rsidRDefault="00AB6753" w:rsidP="002D1EA4">
            <w:pPr>
              <w:rPr>
                <w:rFonts w:cs="Arial"/>
                <w:sz w:val="20"/>
                <w:szCs w:val="20"/>
              </w:rPr>
            </w:pPr>
            <w:r w:rsidRPr="00F32D92">
              <w:rPr>
                <w:rFonts w:cs="Arial"/>
                <w:sz w:val="20"/>
                <w:szCs w:val="20"/>
              </w:rPr>
              <w:t>Short</w:t>
            </w:r>
            <w:r w:rsidRPr="00F32D92">
              <w:rPr>
                <w:rFonts w:cs="Arial"/>
                <w:sz w:val="20"/>
                <w:szCs w:val="20"/>
              </w:rPr>
              <w:noBreakHyphen/>
              <w:t>term benefits</w:t>
            </w:r>
          </w:p>
        </w:tc>
        <w:tc>
          <w:tcPr>
            <w:tcW w:w="184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3CBDD50" w14:textId="77777777" w:rsidR="00AB6753" w:rsidRPr="00F32D92" w:rsidRDefault="00AB6753" w:rsidP="002D1EA4">
            <w:pPr>
              <w:rPr>
                <w:rFonts w:cs="Arial"/>
                <w:sz w:val="20"/>
                <w:szCs w:val="20"/>
              </w:rPr>
            </w:pPr>
            <w:r w:rsidRPr="00F32D92">
              <w:rPr>
                <w:rFonts w:cs="Arial"/>
                <w:sz w:val="20"/>
                <w:szCs w:val="20"/>
              </w:rPr>
              <w:t>Post</w:t>
            </w:r>
            <w:r w:rsidRPr="00F32D92">
              <w:rPr>
                <w:rFonts w:cs="Arial"/>
                <w:sz w:val="20"/>
                <w:szCs w:val="20"/>
              </w:rPr>
              <w:noBreakHyphen/>
              <w:t>employment benefits</w:t>
            </w:r>
          </w:p>
        </w:tc>
        <w:tc>
          <w:tcPr>
            <w:tcW w:w="2409"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EF623A6" w14:textId="77777777" w:rsidR="00AB6753" w:rsidRPr="00F32D92" w:rsidRDefault="00AB6753" w:rsidP="002D1EA4">
            <w:pPr>
              <w:rPr>
                <w:rFonts w:cs="Arial"/>
                <w:sz w:val="20"/>
                <w:szCs w:val="20"/>
              </w:rPr>
            </w:pPr>
            <w:r w:rsidRPr="00F32D92">
              <w:rPr>
                <w:rFonts w:cs="Arial"/>
                <w:sz w:val="20"/>
                <w:szCs w:val="20"/>
              </w:rPr>
              <w:t>Other long</w:t>
            </w:r>
            <w:r w:rsidRPr="00F32D92">
              <w:rPr>
                <w:rFonts w:cs="Arial"/>
                <w:sz w:val="20"/>
                <w:szCs w:val="20"/>
              </w:rPr>
              <w:noBreakHyphen/>
              <w:t>term benefits</w:t>
            </w:r>
          </w:p>
        </w:tc>
        <w:tc>
          <w:tcPr>
            <w:tcW w:w="141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3C26C1F" w14:textId="77777777" w:rsidR="00AB6753" w:rsidRPr="00F32D92" w:rsidRDefault="00AB6753" w:rsidP="002D1EA4">
            <w:pPr>
              <w:rPr>
                <w:rFonts w:cs="Arial"/>
                <w:sz w:val="20"/>
                <w:szCs w:val="20"/>
              </w:rPr>
            </w:pPr>
            <w:r w:rsidRPr="00F32D92">
              <w:rPr>
                <w:rFonts w:cs="Arial"/>
                <w:sz w:val="20"/>
                <w:szCs w:val="20"/>
              </w:rPr>
              <w:t>Termination benefits</w:t>
            </w:r>
          </w:p>
        </w:tc>
        <w:tc>
          <w:tcPr>
            <w:tcW w:w="1984" w:type="dxa"/>
            <w:tcBorders>
              <w:top w:val="single" w:sz="12" w:space="0" w:color="auto"/>
              <w:left w:val="single" w:sz="12" w:space="0" w:color="auto"/>
              <w:bottom w:val="single" w:sz="12" w:space="0" w:color="auto"/>
            </w:tcBorders>
            <w:shd w:val="clear" w:color="auto" w:fill="BFBFBF" w:themeFill="background1" w:themeFillShade="BF"/>
          </w:tcPr>
          <w:p w14:paraId="64BAD2C7" w14:textId="77777777" w:rsidR="00AB6753" w:rsidRPr="00F32D92" w:rsidRDefault="00AB6753" w:rsidP="002D1EA4">
            <w:pPr>
              <w:rPr>
                <w:rFonts w:cs="Arial"/>
                <w:sz w:val="20"/>
                <w:szCs w:val="20"/>
              </w:rPr>
            </w:pPr>
            <w:r w:rsidRPr="00F32D92">
              <w:rPr>
                <w:rFonts w:cs="Arial"/>
                <w:sz w:val="20"/>
                <w:szCs w:val="20"/>
              </w:rPr>
              <w:t>Total remuneration</w:t>
            </w:r>
          </w:p>
        </w:tc>
      </w:tr>
      <w:tr w:rsidR="00AB6753" w:rsidRPr="00F32D92" w14:paraId="2F609BA4" w14:textId="77777777" w:rsidTr="002D1EA4">
        <w:trPr>
          <w:tblHeader/>
        </w:trPr>
        <w:tc>
          <w:tcPr>
            <w:tcW w:w="1735" w:type="dxa"/>
            <w:tcBorders>
              <w:top w:val="single" w:sz="12" w:space="0" w:color="auto"/>
              <w:bottom w:val="single" w:sz="12" w:space="0" w:color="auto"/>
              <w:right w:val="single" w:sz="12" w:space="0" w:color="auto"/>
            </w:tcBorders>
            <w:shd w:val="clear" w:color="auto" w:fill="auto"/>
            <w:vAlign w:val="center"/>
          </w:tcPr>
          <w:p w14:paraId="01E45BBE" w14:textId="77777777" w:rsidR="00AB6753" w:rsidRPr="00F32D92" w:rsidRDefault="00AB6753" w:rsidP="002D1EA4">
            <w:pPr>
              <w:spacing w:after="0" w:line="240" w:lineRule="auto"/>
              <w:jc w:val="center"/>
              <w:rPr>
                <w:rFonts w:cs="Arial"/>
                <w:sz w:val="20"/>
                <w:szCs w:val="20"/>
              </w:rPr>
            </w:pPr>
            <w:r w:rsidRPr="00F32D92">
              <w:rPr>
                <w:rFonts w:cs="Arial"/>
                <w:sz w:val="20"/>
                <w:szCs w:val="20"/>
              </w:rPr>
              <w:t>Total remuneration bands</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14:paraId="30A03342" w14:textId="77777777" w:rsidR="00AB6753" w:rsidRDefault="00AB6753" w:rsidP="002D1EA4">
            <w:pPr>
              <w:spacing w:after="0" w:line="240" w:lineRule="auto"/>
              <w:jc w:val="center"/>
              <w:rPr>
                <w:rFonts w:cs="Arial"/>
                <w:sz w:val="20"/>
                <w:szCs w:val="20"/>
              </w:rPr>
            </w:pPr>
            <w:r>
              <w:rPr>
                <w:rFonts w:cs="Arial"/>
                <w:sz w:val="20"/>
                <w:szCs w:val="20"/>
              </w:rPr>
              <w:t>$</w:t>
            </w:r>
          </w:p>
          <w:p w14:paraId="0CDB3D67" w14:textId="77777777" w:rsidR="00AB6753" w:rsidRPr="00F32D92" w:rsidRDefault="00AB6753" w:rsidP="002D1EA4">
            <w:pPr>
              <w:spacing w:after="0" w:line="240" w:lineRule="auto"/>
              <w:jc w:val="center"/>
              <w:rPr>
                <w:rFonts w:cs="Arial"/>
                <w:sz w:val="20"/>
                <w:szCs w:val="20"/>
              </w:rPr>
            </w:pPr>
            <w:r w:rsidRPr="00F32D92">
              <w:rPr>
                <w:rFonts w:cs="Arial"/>
                <w:sz w:val="20"/>
                <w:szCs w:val="20"/>
              </w:rPr>
              <w:t>Number of other highly paid staff</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51CF5B67" w14:textId="77777777" w:rsidR="00AB6753" w:rsidRDefault="00AB6753" w:rsidP="002D1EA4">
            <w:pPr>
              <w:spacing w:after="0" w:line="240" w:lineRule="auto"/>
              <w:jc w:val="center"/>
              <w:rPr>
                <w:rFonts w:cs="Arial"/>
                <w:sz w:val="20"/>
                <w:szCs w:val="20"/>
              </w:rPr>
            </w:pPr>
            <w:r>
              <w:rPr>
                <w:rFonts w:cs="Arial"/>
                <w:sz w:val="20"/>
                <w:szCs w:val="20"/>
              </w:rPr>
              <w:t>$</w:t>
            </w:r>
          </w:p>
          <w:p w14:paraId="1AF26718" w14:textId="77777777" w:rsidR="00AB6753" w:rsidRPr="00F32D92" w:rsidRDefault="00AB6753" w:rsidP="002D1EA4">
            <w:pPr>
              <w:spacing w:after="0" w:line="240" w:lineRule="auto"/>
              <w:jc w:val="center"/>
              <w:rPr>
                <w:rFonts w:cs="Arial"/>
                <w:sz w:val="20"/>
                <w:szCs w:val="20"/>
              </w:rPr>
            </w:pPr>
            <w:r w:rsidRPr="00F32D92">
              <w:rPr>
                <w:rFonts w:cs="Arial"/>
                <w:sz w:val="20"/>
                <w:szCs w:val="20"/>
              </w:rPr>
              <w:t>Average base salary</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6069D40A" w14:textId="77777777" w:rsidR="00AB6753" w:rsidRDefault="00AB6753" w:rsidP="002D1EA4">
            <w:pPr>
              <w:spacing w:after="0" w:line="240" w:lineRule="auto"/>
              <w:jc w:val="center"/>
              <w:rPr>
                <w:rFonts w:cs="Arial"/>
                <w:sz w:val="20"/>
                <w:szCs w:val="20"/>
              </w:rPr>
            </w:pPr>
            <w:r>
              <w:rPr>
                <w:rFonts w:cs="Arial"/>
                <w:sz w:val="20"/>
                <w:szCs w:val="20"/>
              </w:rPr>
              <w:t>$</w:t>
            </w:r>
          </w:p>
          <w:p w14:paraId="56F8790B" w14:textId="77777777" w:rsidR="00AB6753" w:rsidRPr="00F32D92" w:rsidRDefault="00AB6753" w:rsidP="002D1EA4">
            <w:pPr>
              <w:spacing w:after="0" w:line="240" w:lineRule="auto"/>
              <w:jc w:val="center"/>
              <w:rPr>
                <w:rFonts w:cs="Arial"/>
                <w:sz w:val="20"/>
                <w:szCs w:val="20"/>
              </w:rPr>
            </w:pPr>
            <w:r w:rsidRPr="00F32D92">
              <w:rPr>
                <w:rFonts w:cs="Arial"/>
                <w:sz w:val="20"/>
                <w:szCs w:val="20"/>
              </w:rPr>
              <w:t>Average bonuses</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5488D0A" w14:textId="77777777" w:rsidR="00AB6753" w:rsidRDefault="00AB6753" w:rsidP="002D1EA4">
            <w:pPr>
              <w:spacing w:after="0" w:line="240" w:lineRule="auto"/>
              <w:jc w:val="center"/>
              <w:rPr>
                <w:rFonts w:cs="Arial"/>
                <w:sz w:val="20"/>
                <w:szCs w:val="20"/>
              </w:rPr>
            </w:pPr>
            <w:r>
              <w:rPr>
                <w:rFonts w:cs="Arial"/>
                <w:sz w:val="20"/>
                <w:szCs w:val="20"/>
              </w:rPr>
              <w:t>$</w:t>
            </w:r>
          </w:p>
          <w:p w14:paraId="1B577DA5" w14:textId="77777777" w:rsidR="00AB6753" w:rsidRPr="00F32D92" w:rsidRDefault="00AB6753" w:rsidP="002D1EA4">
            <w:pPr>
              <w:spacing w:after="0" w:line="240" w:lineRule="auto"/>
              <w:jc w:val="center"/>
              <w:rPr>
                <w:rFonts w:cs="Arial"/>
                <w:sz w:val="20"/>
                <w:szCs w:val="20"/>
              </w:rPr>
            </w:pPr>
            <w:r w:rsidRPr="00F32D92">
              <w:rPr>
                <w:rFonts w:cs="Arial"/>
                <w:sz w:val="20"/>
                <w:szCs w:val="20"/>
              </w:rPr>
              <w:t>Average other benefits and allowances</w:t>
            </w: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14:paraId="067BE196" w14:textId="77777777" w:rsidR="00AB6753" w:rsidRDefault="00AB6753" w:rsidP="002D1EA4">
            <w:pPr>
              <w:spacing w:after="0" w:line="240" w:lineRule="auto"/>
              <w:jc w:val="center"/>
              <w:rPr>
                <w:rFonts w:cs="Arial"/>
                <w:sz w:val="20"/>
                <w:szCs w:val="20"/>
              </w:rPr>
            </w:pPr>
            <w:r>
              <w:rPr>
                <w:rFonts w:cs="Arial"/>
                <w:sz w:val="20"/>
                <w:szCs w:val="20"/>
              </w:rPr>
              <w:t>$</w:t>
            </w:r>
          </w:p>
          <w:p w14:paraId="5989E546" w14:textId="77777777" w:rsidR="00AB6753" w:rsidRPr="00F32D92" w:rsidRDefault="00AB6753" w:rsidP="002D1EA4">
            <w:pPr>
              <w:spacing w:after="0" w:line="240" w:lineRule="auto"/>
              <w:jc w:val="center"/>
              <w:rPr>
                <w:rFonts w:cs="Arial"/>
                <w:sz w:val="20"/>
                <w:szCs w:val="20"/>
              </w:rPr>
            </w:pPr>
            <w:r w:rsidRPr="00F32D92">
              <w:rPr>
                <w:rFonts w:cs="Arial"/>
                <w:sz w:val="20"/>
                <w:szCs w:val="20"/>
              </w:rPr>
              <w:t>Average superannuation contributions</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14:paraId="1A2D8799" w14:textId="77777777" w:rsidR="00AB6753" w:rsidRDefault="00AB6753" w:rsidP="002D1EA4">
            <w:pPr>
              <w:spacing w:after="0" w:line="240" w:lineRule="auto"/>
              <w:jc w:val="center"/>
              <w:rPr>
                <w:rFonts w:cs="Arial"/>
                <w:sz w:val="20"/>
                <w:szCs w:val="20"/>
              </w:rPr>
            </w:pPr>
            <w:r>
              <w:rPr>
                <w:rFonts w:cs="Arial"/>
                <w:sz w:val="20"/>
                <w:szCs w:val="20"/>
              </w:rPr>
              <w:t>$</w:t>
            </w:r>
          </w:p>
          <w:p w14:paraId="5FB7B1E7" w14:textId="77777777" w:rsidR="00AB6753" w:rsidRPr="00F32D92" w:rsidRDefault="00AB6753" w:rsidP="002D1EA4">
            <w:pPr>
              <w:spacing w:after="0" w:line="240" w:lineRule="auto"/>
              <w:jc w:val="center"/>
              <w:rPr>
                <w:rFonts w:cs="Arial"/>
                <w:sz w:val="20"/>
                <w:szCs w:val="20"/>
              </w:rPr>
            </w:pPr>
            <w:r w:rsidRPr="00F32D92">
              <w:rPr>
                <w:rFonts w:cs="Arial"/>
                <w:sz w:val="20"/>
                <w:szCs w:val="20"/>
              </w:rPr>
              <w:t>Average long service leave</w:t>
            </w:r>
          </w:p>
        </w:tc>
        <w:tc>
          <w:tcPr>
            <w:tcW w:w="1275" w:type="dxa"/>
            <w:tcBorders>
              <w:top w:val="single" w:sz="12" w:space="0" w:color="auto"/>
              <w:left w:val="single" w:sz="12" w:space="0" w:color="auto"/>
              <w:bottom w:val="single" w:sz="12" w:space="0" w:color="auto"/>
              <w:right w:val="single" w:sz="12" w:space="0" w:color="auto"/>
            </w:tcBorders>
            <w:shd w:val="clear" w:color="auto" w:fill="auto"/>
            <w:vAlign w:val="center"/>
          </w:tcPr>
          <w:p w14:paraId="2530C309" w14:textId="77777777" w:rsidR="00AB6753" w:rsidRDefault="00AB6753" w:rsidP="002D1EA4">
            <w:pPr>
              <w:spacing w:after="0" w:line="240" w:lineRule="auto"/>
              <w:jc w:val="center"/>
              <w:rPr>
                <w:rFonts w:cs="Arial"/>
                <w:sz w:val="20"/>
                <w:szCs w:val="20"/>
              </w:rPr>
            </w:pPr>
            <w:r>
              <w:rPr>
                <w:rFonts w:cs="Arial"/>
                <w:sz w:val="20"/>
                <w:szCs w:val="20"/>
              </w:rPr>
              <w:t>$</w:t>
            </w:r>
          </w:p>
          <w:p w14:paraId="5AB6FB1F" w14:textId="77777777" w:rsidR="00AB6753" w:rsidRPr="00F32D92" w:rsidRDefault="00AB6753" w:rsidP="002D1EA4">
            <w:pPr>
              <w:spacing w:after="0" w:line="240" w:lineRule="auto"/>
              <w:jc w:val="center"/>
              <w:rPr>
                <w:rFonts w:cs="Arial"/>
                <w:sz w:val="20"/>
                <w:szCs w:val="20"/>
              </w:rPr>
            </w:pPr>
            <w:r w:rsidRPr="00F32D92">
              <w:rPr>
                <w:rFonts w:cs="Arial"/>
                <w:sz w:val="20"/>
                <w:szCs w:val="20"/>
              </w:rPr>
              <w:t>Average other long</w:t>
            </w:r>
            <w:r w:rsidRPr="00F32D92">
              <w:rPr>
                <w:rFonts w:cs="Arial"/>
                <w:sz w:val="20"/>
                <w:szCs w:val="20"/>
              </w:rPr>
              <w:noBreakHyphen/>
              <w:t>term benefits</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8CCBFB6" w14:textId="77777777" w:rsidR="00AB6753" w:rsidRDefault="00AB6753" w:rsidP="002D1EA4">
            <w:pPr>
              <w:spacing w:after="0" w:line="240" w:lineRule="auto"/>
              <w:jc w:val="center"/>
              <w:rPr>
                <w:rFonts w:cs="Arial"/>
                <w:sz w:val="20"/>
                <w:szCs w:val="20"/>
              </w:rPr>
            </w:pPr>
            <w:r>
              <w:rPr>
                <w:rFonts w:cs="Arial"/>
                <w:sz w:val="20"/>
                <w:szCs w:val="20"/>
              </w:rPr>
              <w:t>$</w:t>
            </w:r>
          </w:p>
          <w:p w14:paraId="21E36EBA" w14:textId="77777777" w:rsidR="00AB6753" w:rsidRPr="00F32D92" w:rsidRDefault="00AB6753" w:rsidP="002D1EA4">
            <w:pPr>
              <w:spacing w:after="0" w:line="240" w:lineRule="auto"/>
              <w:jc w:val="center"/>
              <w:rPr>
                <w:rFonts w:cs="Arial"/>
                <w:sz w:val="20"/>
                <w:szCs w:val="20"/>
              </w:rPr>
            </w:pPr>
            <w:r w:rsidRPr="00F32D92">
              <w:rPr>
                <w:rFonts w:cs="Arial"/>
                <w:sz w:val="20"/>
                <w:szCs w:val="20"/>
              </w:rPr>
              <w:t>Average termination benefits</w:t>
            </w:r>
          </w:p>
        </w:tc>
        <w:tc>
          <w:tcPr>
            <w:tcW w:w="1984" w:type="dxa"/>
            <w:tcBorders>
              <w:top w:val="single" w:sz="12" w:space="0" w:color="auto"/>
              <w:left w:val="single" w:sz="12" w:space="0" w:color="auto"/>
              <w:bottom w:val="single" w:sz="12" w:space="0" w:color="auto"/>
            </w:tcBorders>
            <w:shd w:val="clear" w:color="auto" w:fill="auto"/>
            <w:vAlign w:val="center"/>
          </w:tcPr>
          <w:p w14:paraId="2D1BA598" w14:textId="77777777" w:rsidR="00AB6753" w:rsidRDefault="00AB6753" w:rsidP="002D1EA4">
            <w:pPr>
              <w:spacing w:after="0" w:line="240" w:lineRule="auto"/>
              <w:jc w:val="center"/>
              <w:rPr>
                <w:rFonts w:cs="Arial"/>
                <w:sz w:val="20"/>
                <w:szCs w:val="20"/>
              </w:rPr>
            </w:pPr>
            <w:r>
              <w:rPr>
                <w:rFonts w:cs="Arial"/>
                <w:sz w:val="20"/>
                <w:szCs w:val="20"/>
              </w:rPr>
              <w:t>$</w:t>
            </w:r>
          </w:p>
          <w:p w14:paraId="18AC91C3" w14:textId="77777777" w:rsidR="00AB6753" w:rsidRPr="00F32D92" w:rsidRDefault="00AB6753" w:rsidP="002D1EA4">
            <w:pPr>
              <w:spacing w:after="0" w:line="240" w:lineRule="auto"/>
              <w:jc w:val="center"/>
              <w:rPr>
                <w:rFonts w:cs="Arial"/>
                <w:sz w:val="20"/>
                <w:szCs w:val="20"/>
              </w:rPr>
            </w:pPr>
            <w:r w:rsidRPr="00F32D92">
              <w:rPr>
                <w:rFonts w:cs="Arial"/>
                <w:sz w:val="20"/>
                <w:szCs w:val="20"/>
              </w:rPr>
              <w:t>Average total remuneration</w:t>
            </w:r>
          </w:p>
        </w:tc>
      </w:tr>
      <w:tr w:rsidR="00AB6753" w:rsidRPr="00F32D92" w14:paraId="196387E5" w14:textId="77777777" w:rsidTr="002D1EA4">
        <w:tc>
          <w:tcPr>
            <w:tcW w:w="1735" w:type="dxa"/>
            <w:tcBorders>
              <w:top w:val="single" w:sz="4" w:space="0" w:color="auto"/>
              <w:bottom w:val="single" w:sz="4" w:space="0" w:color="auto"/>
              <w:right w:val="single" w:sz="12" w:space="0" w:color="auto"/>
            </w:tcBorders>
            <w:shd w:val="clear" w:color="auto" w:fill="auto"/>
          </w:tcPr>
          <w:p w14:paraId="283FA617" w14:textId="77777777" w:rsidR="00AB6753" w:rsidRPr="00F32D92" w:rsidRDefault="00AB6753" w:rsidP="002D1EA4">
            <w:pPr>
              <w:rPr>
                <w:rFonts w:cs="Arial"/>
                <w:sz w:val="20"/>
                <w:szCs w:val="20"/>
              </w:rPr>
            </w:pPr>
            <w:r w:rsidRPr="000170FB">
              <w:t>$225,001 - $245,000</w:t>
            </w:r>
          </w:p>
        </w:tc>
        <w:tc>
          <w:tcPr>
            <w:tcW w:w="1559" w:type="dxa"/>
            <w:tcBorders>
              <w:top w:val="single" w:sz="6" w:space="0" w:color="auto"/>
              <w:left w:val="single" w:sz="12" w:space="0" w:color="auto"/>
              <w:bottom w:val="single" w:sz="6" w:space="0" w:color="auto"/>
              <w:right w:val="single" w:sz="12" w:space="0" w:color="auto"/>
            </w:tcBorders>
            <w:shd w:val="clear" w:color="auto" w:fill="auto"/>
            <w:vAlign w:val="center"/>
          </w:tcPr>
          <w:p w14:paraId="2CD38D15" w14:textId="77777777" w:rsidR="00AB6753" w:rsidRPr="00433B49" w:rsidRDefault="00AB6753" w:rsidP="002D1EA4">
            <w:pPr>
              <w:rPr>
                <w:rFonts w:cs="Arial"/>
              </w:rPr>
            </w:pPr>
            <w:r w:rsidRPr="00433B49">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4AD83878" w14:textId="77777777" w:rsidR="00AB6753" w:rsidRPr="00433B49" w:rsidRDefault="00AB6753" w:rsidP="002D1EA4">
            <w:pPr>
              <w:rPr>
                <w:rFonts w:cs="Arial"/>
              </w:rPr>
            </w:pPr>
            <w:r>
              <w:rPr>
                <w:rFonts w:cs="Arial"/>
              </w:rPr>
              <w:t>0</w:t>
            </w:r>
          </w:p>
        </w:tc>
        <w:tc>
          <w:tcPr>
            <w:tcW w:w="1134" w:type="dxa"/>
            <w:tcBorders>
              <w:left w:val="single" w:sz="12" w:space="0" w:color="auto"/>
              <w:right w:val="single" w:sz="12" w:space="0" w:color="auto"/>
            </w:tcBorders>
            <w:shd w:val="clear" w:color="auto" w:fill="auto"/>
          </w:tcPr>
          <w:p w14:paraId="63FB2544" w14:textId="77777777" w:rsidR="00AB6753" w:rsidRPr="00433B49" w:rsidRDefault="00AB6753" w:rsidP="002D1EA4">
            <w:pPr>
              <w:rPr>
                <w:rFonts w:cs="Arial"/>
              </w:rPr>
            </w:pPr>
            <w:r>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34D17B18" w14:textId="77777777" w:rsidR="00AB6753" w:rsidRPr="00433B49" w:rsidRDefault="00AB6753" w:rsidP="002D1EA4">
            <w:pPr>
              <w:rPr>
                <w:rFonts w:cs="Arial"/>
              </w:rPr>
            </w:pPr>
            <w:r>
              <w:rPr>
                <w:rFonts w:cs="Arial"/>
              </w:rPr>
              <w:t>0</w:t>
            </w:r>
          </w:p>
        </w:tc>
        <w:tc>
          <w:tcPr>
            <w:tcW w:w="1843" w:type="dxa"/>
            <w:tcBorders>
              <w:left w:val="single" w:sz="12" w:space="0" w:color="auto"/>
              <w:right w:val="single" w:sz="12" w:space="0" w:color="auto"/>
            </w:tcBorders>
            <w:shd w:val="clear" w:color="auto" w:fill="auto"/>
          </w:tcPr>
          <w:p w14:paraId="636C15F1" w14:textId="77777777" w:rsidR="00AB6753" w:rsidRPr="00433B49" w:rsidRDefault="00AB6753" w:rsidP="002D1EA4">
            <w:pPr>
              <w:rPr>
                <w:rFonts w:cs="Arial"/>
              </w:rPr>
            </w:pPr>
            <w:r>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4492B0AB" w14:textId="77777777" w:rsidR="00AB6753" w:rsidRPr="00433B49" w:rsidRDefault="00AB6753" w:rsidP="002D1EA4">
            <w:pPr>
              <w:rPr>
                <w:rFonts w:cs="Arial"/>
              </w:rPr>
            </w:pPr>
            <w:r>
              <w:rPr>
                <w:rFonts w:cs="Arial"/>
              </w:rPr>
              <w:t>0</w:t>
            </w:r>
          </w:p>
        </w:tc>
        <w:tc>
          <w:tcPr>
            <w:tcW w:w="1275" w:type="dxa"/>
            <w:tcBorders>
              <w:top w:val="single" w:sz="6" w:space="0" w:color="auto"/>
              <w:left w:val="single" w:sz="12" w:space="0" w:color="auto"/>
              <w:bottom w:val="single" w:sz="6" w:space="0" w:color="auto"/>
              <w:right w:val="single" w:sz="12" w:space="0" w:color="auto"/>
            </w:tcBorders>
            <w:shd w:val="clear" w:color="auto" w:fill="auto"/>
          </w:tcPr>
          <w:p w14:paraId="4A905C19" w14:textId="77777777" w:rsidR="00AB6753" w:rsidRPr="00433B49" w:rsidRDefault="00AB6753" w:rsidP="002D1EA4">
            <w:pPr>
              <w:rPr>
                <w:rFonts w:cs="Arial"/>
              </w:rPr>
            </w:pPr>
            <w:r>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1F2A0BF7" w14:textId="77777777" w:rsidR="00AB6753" w:rsidRPr="00433B49" w:rsidRDefault="00AB6753" w:rsidP="002D1EA4">
            <w:pPr>
              <w:rPr>
                <w:rFonts w:cs="Arial"/>
              </w:rPr>
            </w:pPr>
            <w:r>
              <w:rPr>
                <w:rFonts w:cs="Arial"/>
              </w:rPr>
              <w:t>0</w:t>
            </w:r>
          </w:p>
        </w:tc>
        <w:tc>
          <w:tcPr>
            <w:tcW w:w="1984" w:type="dxa"/>
            <w:tcBorders>
              <w:left w:val="single" w:sz="12" w:space="0" w:color="auto"/>
            </w:tcBorders>
            <w:shd w:val="clear" w:color="auto" w:fill="auto"/>
          </w:tcPr>
          <w:p w14:paraId="2B19D740" w14:textId="77777777" w:rsidR="00AB6753" w:rsidRPr="00433B49" w:rsidRDefault="00AB6753" w:rsidP="002D1EA4">
            <w:pPr>
              <w:rPr>
                <w:rFonts w:cs="Arial"/>
              </w:rPr>
            </w:pPr>
            <w:r>
              <w:rPr>
                <w:rFonts w:cs="Arial"/>
              </w:rPr>
              <w:t>0</w:t>
            </w:r>
          </w:p>
        </w:tc>
      </w:tr>
      <w:tr w:rsidR="00AB6753" w:rsidRPr="00F32D92" w14:paraId="121D4E11" w14:textId="77777777" w:rsidTr="002D1EA4">
        <w:tc>
          <w:tcPr>
            <w:tcW w:w="1735" w:type="dxa"/>
            <w:tcBorders>
              <w:top w:val="single" w:sz="4" w:space="0" w:color="auto"/>
              <w:bottom w:val="single" w:sz="4" w:space="0" w:color="auto"/>
              <w:right w:val="single" w:sz="12" w:space="0" w:color="auto"/>
            </w:tcBorders>
            <w:shd w:val="clear" w:color="auto" w:fill="auto"/>
          </w:tcPr>
          <w:p w14:paraId="1A612746" w14:textId="77777777" w:rsidR="00AB6753" w:rsidRPr="00F32D92" w:rsidRDefault="00AB6753" w:rsidP="002D1EA4">
            <w:pPr>
              <w:rPr>
                <w:rFonts w:cs="Arial"/>
                <w:sz w:val="20"/>
                <w:szCs w:val="20"/>
              </w:rPr>
            </w:pPr>
            <w:r w:rsidRPr="000170FB">
              <w:t>$245,001 - $270,000</w:t>
            </w:r>
          </w:p>
        </w:tc>
        <w:tc>
          <w:tcPr>
            <w:tcW w:w="1559" w:type="dxa"/>
            <w:tcBorders>
              <w:top w:val="single" w:sz="6" w:space="0" w:color="auto"/>
              <w:left w:val="single" w:sz="12" w:space="0" w:color="auto"/>
              <w:bottom w:val="single" w:sz="6" w:space="0" w:color="auto"/>
              <w:right w:val="single" w:sz="12" w:space="0" w:color="auto"/>
            </w:tcBorders>
            <w:shd w:val="clear" w:color="auto" w:fill="auto"/>
            <w:vAlign w:val="center"/>
          </w:tcPr>
          <w:p w14:paraId="1C2C5C0F" w14:textId="77777777" w:rsidR="00AB6753" w:rsidRPr="00433B49" w:rsidRDefault="00AB6753" w:rsidP="002D1EA4">
            <w:pPr>
              <w:rPr>
                <w:rFonts w:cs="Arial"/>
              </w:rPr>
            </w:pPr>
            <w:r w:rsidRPr="00433B49">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6CD464B1" w14:textId="77777777" w:rsidR="00AB6753" w:rsidRPr="00433B49" w:rsidRDefault="00AB6753" w:rsidP="002D1EA4">
            <w:pPr>
              <w:rPr>
                <w:rFonts w:cs="Arial"/>
              </w:rPr>
            </w:pPr>
            <w:r>
              <w:rPr>
                <w:rFonts w:cs="Arial"/>
              </w:rPr>
              <w:t>0</w:t>
            </w:r>
          </w:p>
        </w:tc>
        <w:tc>
          <w:tcPr>
            <w:tcW w:w="1134" w:type="dxa"/>
            <w:tcBorders>
              <w:left w:val="single" w:sz="12" w:space="0" w:color="auto"/>
              <w:right w:val="single" w:sz="12" w:space="0" w:color="auto"/>
            </w:tcBorders>
            <w:shd w:val="clear" w:color="auto" w:fill="auto"/>
          </w:tcPr>
          <w:p w14:paraId="2B27D1D0" w14:textId="77777777" w:rsidR="00AB6753" w:rsidRPr="00433B49" w:rsidRDefault="00AB6753" w:rsidP="002D1EA4">
            <w:pPr>
              <w:rPr>
                <w:rFonts w:cs="Arial"/>
              </w:rPr>
            </w:pPr>
            <w:r>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31A8E79D" w14:textId="77777777" w:rsidR="00AB6753" w:rsidRPr="00433B49" w:rsidRDefault="00AB6753" w:rsidP="002D1EA4">
            <w:pPr>
              <w:rPr>
                <w:rFonts w:cs="Arial"/>
              </w:rPr>
            </w:pPr>
            <w:r>
              <w:rPr>
                <w:rFonts w:cs="Arial"/>
              </w:rPr>
              <w:t>0</w:t>
            </w:r>
          </w:p>
        </w:tc>
        <w:tc>
          <w:tcPr>
            <w:tcW w:w="1843" w:type="dxa"/>
            <w:tcBorders>
              <w:left w:val="single" w:sz="12" w:space="0" w:color="auto"/>
              <w:right w:val="single" w:sz="12" w:space="0" w:color="auto"/>
            </w:tcBorders>
            <w:shd w:val="clear" w:color="auto" w:fill="auto"/>
          </w:tcPr>
          <w:p w14:paraId="37CA3DB7" w14:textId="77777777" w:rsidR="00AB6753" w:rsidRPr="00433B49" w:rsidRDefault="00AB6753" w:rsidP="002D1EA4">
            <w:pPr>
              <w:rPr>
                <w:rFonts w:cs="Arial"/>
              </w:rPr>
            </w:pPr>
            <w:r>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64AE5A7D" w14:textId="77777777" w:rsidR="00AB6753" w:rsidRPr="00433B49" w:rsidRDefault="00AB6753" w:rsidP="002D1EA4">
            <w:pPr>
              <w:rPr>
                <w:rFonts w:cs="Arial"/>
              </w:rPr>
            </w:pPr>
            <w:r>
              <w:rPr>
                <w:rFonts w:cs="Arial"/>
              </w:rPr>
              <w:t>0</w:t>
            </w:r>
          </w:p>
        </w:tc>
        <w:tc>
          <w:tcPr>
            <w:tcW w:w="1275" w:type="dxa"/>
            <w:tcBorders>
              <w:top w:val="single" w:sz="6" w:space="0" w:color="auto"/>
              <w:left w:val="single" w:sz="12" w:space="0" w:color="auto"/>
              <w:bottom w:val="single" w:sz="6" w:space="0" w:color="auto"/>
              <w:right w:val="single" w:sz="12" w:space="0" w:color="auto"/>
            </w:tcBorders>
            <w:shd w:val="clear" w:color="auto" w:fill="auto"/>
          </w:tcPr>
          <w:p w14:paraId="0FD2526B" w14:textId="77777777" w:rsidR="00AB6753" w:rsidRPr="00433B49" w:rsidRDefault="00AB6753" w:rsidP="002D1EA4">
            <w:pPr>
              <w:rPr>
                <w:rFonts w:cs="Arial"/>
              </w:rPr>
            </w:pPr>
            <w:r>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12B080A8" w14:textId="77777777" w:rsidR="00AB6753" w:rsidRPr="00433B49" w:rsidRDefault="00AB6753" w:rsidP="002D1EA4">
            <w:pPr>
              <w:rPr>
                <w:rFonts w:cs="Arial"/>
              </w:rPr>
            </w:pPr>
            <w:r>
              <w:rPr>
                <w:rFonts w:cs="Arial"/>
              </w:rPr>
              <w:t>0</w:t>
            </w:r>
          </w:p>
        </w:tc>
        <w:tc>
          <w:tcPr>
            <w:tcW w:w="1984" w:type="dxa"/>
            <w:tcBorders>
              <w:left w:val="single" w:sz="12" w:space="0" w:color="auto"/>
            </w:tcBorders>
            <w:shd w:val="clear" w:color="auto" w:fill="auto"/>
          </w:tcPr>
          <w:p w14:paraId="18445FD6" w14:textId="77777777" w:rsidR="00AB6753" w:rsidRPr="00433B49" w:rsidRDefault="00AB6753" w:rsidP="002D1EA4">
            <w:pPr>
              <w:rPr>
                <w:rFonts w:cs="Arial"/>
              </w:rPr>
            </w:pPr>
            <w:r>
              <w:rPr>
                <w:rFonts w:cs="Arial"/>
              </w:rPr>
              <w:t>0</w:t>
            </w:r>
          </w:p>
        </w:tc>
      </w:tr>
      <w:tr w:rsidR="00AB6753" w:rsidRPr="00F32D92" w14:paraId="409D2137" w14:textId="77777777" w:rsidTr="002D1EA4">
        <w:tc>
          <w:tcPr>
            <w:tcW w:w="1735" w:type="dxa"/>
            <w:tcBorders>
              <w:top w:val="single" w:sz="4" w:space="0" w:color="auto"/>
              <w:bottom w:val="single" w:sz="4" w:space="0" w:color="auto"/>
              <w:right w:val="single" w:sz="12" w:space="0" w:color="auto"/>
            </w:tcBorders>
            <w:shd w:val="clear" w:color="auto" w:fill="auto"/>
          </w:tcPr>
          <w:p w14:paraId="094893EF" w14:textId="77777777" w:rsidR="00AB6753" w:rsidRPr="00F32D92" w:rsidRDefault="00AB6753" w:rsidP="002D1EA4">
            <w:pPr>
              <w:rPr>
                <w:rFonts w:cs="Arial"/>
                <w:sz w:val="20"/>
                <w:szCs w:val="20"/>
              </w:rPr>
            </w:pPr>
            <w:r w:rsidRPr="000170FB">
              <w:t>$270,001 - $295,000</w:t>
            </w:r>
          </w:p>
        </w:tc>
        <w:tc>
          <w:tcPr>
            <w:tcW w:w="1559" w:type="dxa"/>
            <w:tcBorders>
              <w:top w:val="single" w:sz="6" w:space="0" w:color="auto"/>
              <w:left w:val="single" w:sz="12" w:space="0" w:color="auto"/>
              <w:bottom w:val="single" w:sz="6" w:space="0" w:color="auto"/>
              <w:right w:val="single" w:sz="12" w:space="0" w:color="auto"/>
            </w:tcBorders>
            <w:shd w:val="clear" w:color="auto" w:fill="auto"/>
            <w:vAlign w:val="center"/>
          </w:tcPr>
          <w:p w14:paraId="405FDC51" w14:textId="77777777" w:rsidR="00AB6753" w:rsidRPr="00433B49" w:rsidRDefault="00AB6753" w:rsidP="002D1EA4">
            <w:pPr>
              <w:rPr>
                <w:rFonts w:cs="Arial"/>
              </w:rPr>
            </w:pPr>
            <w:r w:rsidRPr="00433B49">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3893D483" w14:textId="77777777" w:rsidR="00AB6753" w:rsidRPr="00433B49" w:rsidRDefault="00AB6753" w:rsidP="002D1EA4">
            <w:pPr>
              <w:rPr>
                <w:rFonts w:cs="Arial"/>
              </w:rPr>
            </w:pPr>
            <w:r>
              <w:rPr>
                <w:rFonts w:cs="Arial"/>
              </w:rPr>
              <w:t>0</w:t>
            </w:r>
          </w:p>
        </w:tc>
        <w:tc>
          <w:tcPr>
            <w:tcW w:w="1134" w:type="dxa"/>
            <w:tcBorders>
              <w:left w:val="single" w:sz="12" w:space="0" w:color="auto"/>
              <w:right w:val="single" w:sz="12" w:space="0" w:color="auto"/>
            </w:tcBorders>
            <w:shd w:val="clear" w:color="auto" w:fill="auto"/>
          </w:tcPr>
          <w:p w14:paraId="1A4C6B33" w14:textId="77777777" w:rsidR="00AB6753" w:rsidRPr="00433B49" w:rsidRDefault="00AB6753" w:rsidP="002D1EA4">
            <w:pPr>
              <w:rPr>
                <w:rFonts w:cs="Arial"/>
              </w:rPr>
            </w:pPr>
            <w:r>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00B9538E" w14:textId="77777777" w:rsidR="00AB6753" w:rsidRPr="00433B49" w:rsidRDefault="00AB6753" w:rsidP="002D1EA4">
            <w:pPr>
              <w:rPr>
                <w:rFonts w:cs="Arial"/>
              </w:rPr>
            </w:pPr>
            <w:r>
              <w:rPr>
                <w:rFonts w:cs="Arial"/>
              </w:rPr>
              <w:t>0</w:t>
            </w:r>
          </w:p>
        </w:tc>
        <w:tc>
          <w:tcPr>
            <w:tcW w:w="1843" w:type="dxa"/>
            <w:tcBorders>
              <w:left w:val="single" w:sz="12" w:space="0" w:color="auto"/>
              <w:right w:val="single" w:sz="12" w:space="0" w:color="auto"/>
            </w:tcBorders>
            <w:shd w:val="clear" w:color="auto" w:fill="auto"/>
          </w:tcPr>
          <w:p w14:paraId="60C721C3" w14:textId="77777777" w:rsidR="00AB6753" w:rsidRPr="00433B49" w:rsidRDefault="00AB6753" w:rsidP="002D1EA4">
            <w:pPr>
              <w:rPr>
                <w:rFonts w:cs="Arial"/>
              </w:rPr>
            </w:pPr>
            <w:r>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52671201" w14:textId="77777777" w:rsidR="00AB6753" w:rsidRPr="00433B49" w:rsidRDefault="00AB6753" w:rsidP="002D1EA4">
            <w:pPr>
              <w:rPr>
                <w:rFonts w:cs="Arial"/>
              </w:rPr>
            </w:pPr>
            <w:r>
              <w:rPr>
                <w:rFonts w:cs="Arial"/>
              </w:rPr>
              <w:t>0</w:t>
            </w:r>
          </w:p>
        </w:tc>
        <w:tc>
          <w:tcPr>
            <w:tcW w:w="1275" w:type="dxa"/>
            <w:tcBorders>
              <w:top w:val="single" w:sz="6" w:space="0" w:color="auto"/>
              <w:left w:val="single" w:sz="12" w:space="0" w:color="auto"/>
              <w:bottom w:val="single" w:sz="6" w:space="0" w:color="auto"/>
              <w:right w:val="single" w:sz="12" w:space="0" w:color="auto"/>
            </w:tcBorders>
            <w:shd w:val="clear" w:color="auto" w:fill="auto"/>
          </w:tcPr>
          <w:p w14:paraId="572A7F56" w14:textId="77777777" w:rsidR="00AB6753" w:rsidRPr="00433B49" w:rsidRDefault="00AB6753" w:rsidP="002D1EA4">
            <w:pPr>
              <w:rPr>
                <w:rFonts w:cs="Arial"/>
              </w:rPr>
            </w:pPr>
            <w:r>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1463F151" w14:textId="77777777" w:rsidR="00AB6753" w:rsidRPr="00433B49" w:rsidRDefault="00AB6753" w:rsidP="002D1EA4">
            <w:pPr>
              <w:rPr>
                <w:rFonts w:cs="Arial"/>
              </w:rPr>
            </w:pPr>
            <w:r>
              <w:rPr>
                <w:rFonts w:cs="Arial"/>
              </w:rPr>
              <w:t>0</w:t>
            </w:r>
          </w:p>
        </w:tc>
        <w:tc>
          <w:tcPr>
            <w:tcW w:w="1984" w:type="dxa"/>
            <w:tcBorders>
              <w:left w:val="single" w:sz="12" w:space="0" w:color="auto"/>
            </w:tcBorders>
            <w:shd w:val="clear" w:color="auto" w:fill="auto"/>
          </w:tcPr>
          <w:p w14:paraId="592D798E" w14:textId="77777777" w:rsidR="00AB6753" w:rsidRPr="00433B49" w:rsidRDefault="00AB6753" w:rsidP="002D1EA4">
            <w:pPr>
              <w:rPr>
                <w:rFonts w:cs="Arial"/>
              </w:rPr>
            </w:pPr>
            <w:r>
              <w:rPr>
                <w:rFonts w:cs="Arial"/>
              </w:rPr>
              <w:t>0</w:t>
            </w:r>
          </w:p>
        </w:tc>
      </w:tr>
      <w:tr w:rsidR="00AB6753" w:rsidRPr="00F32D92" w14:paraId="6FDE15CA" w14:textId="77777777" w:rsidTr="002D1EA4">
        <w:tc>
          <w:tcPr>
            <w:tcW w:w="1735" w:type="dxa"/>
            <w:tcBorders>
              <w:top w:val="single" w:sz="4" w:space="0" w:color="auto"/>
              <w:bottom w:val="single" w:sz="4" w:space="0" w:color="auto"/>
              <w:right w:val="single" w:sz="12" w:space="0" w:color="auto"/>
            </w:tcBorders>
            <w:shd w:val="clear" w:color="auto" w:fill="auto"/>
          </w:tcPr>
          <w:p w14:paraId="671012A5" w14:textId="77777777" w:rsidR="00AB6753" w:rsidRPr="00F32D92" w:rsidRDefault="00AB6753" w:rsidP="002D1EA4">
            <w:pPr>
              <w:rPr>
                <w:rFonts w:cs="Arial"/>
                <w:sz w:val="20"/>
                <w:szCs w:val="20"/>
              </w:rPr>
            </w:pPr>
            <w:r w:rsidRPr="000170FB">
              <w:t>$295,001 - $320,000</w:t>
            </w:r>
          </w:p>
        </w:tc>
        <w:tc>
          <w:tcPr>
            <w:tcW w:w="1559" w:type="dxa"/>
            <w:tcBorders>
              <w:top w:val="single" w:sz="6" w:space="0" w:color="auto"/>
              <w:left w:val="single" w:sz="12" w:space="0" w:color="auto"/>
              <w:bottom w:val="single" w:sz="6" w:space="0" w:color="auto"/>
              <w:right w:val="single" w:sz="12" w:space="0" w:color="auto"/>
            </w:tcBorders>
            <w:shd w:val="clear" w:color="auto" w:fill="auto"/>
            <w:vAlign w:val="center"/>
          </w:tcPr>
          <w:p w14:paraId="6EA831B5" w14:textId="77777777" w:rsidR="00AB6753" w:rsidRPr="00433B49" w:rsidRDefault="00AB6753" w:rsidP="002D1EA4">
            <w:pPr>
              <w:rPr>
                <w:rFonts w:cs="Arial"/>
              </w:rPr>
            </w:pPr>
            <w:r w:rsidRPr="00433B49">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4587F0ED" w14:textId="77777777" w:rsidR="00AB6753" w:rsidRPr="00433B49" w:rsidRDefault="00AB6753" w:rsidP="002D1EA4">
            <w:pPr>
              <w:rPr>
                <w:rFonts w:cs="Arial"/>
              </w:rPr>
            </w:pPr>
            <w:r>
              <w:rPr>
                <w:rFonts w:cs="Arial"/>
              </w:rPr>
              <w:t>0</w:t>
            </w:r>
          </w:p>
        </w:tc>
        <w:tc>
          <w:tcPr>
            <w:tcW w:w="1134" w:type="dxa"/>
            <w:tcBorders>
              <w:left w:val="single" w:sz="12" w:space="0" w:color="auto"/>
              <w:right w:val="single" w:sz="12" w:space="0" w:color="auto"/>
            </w:tcBorders>
            <w:shd w:val="clear" w:color="auto" w:fill="auto"/>
          </w:tcPr>
          <w:p w14:paraId="0B329DD3" w14:textId="77777777" w:rsidR="00AB6753" w:rsidRPr="00433B49" w:rsidRDefault="00AB6753" w:rsidP="002D1EA4">
            <w:pPr>
              <w:rPr>
                <w:rFonts w:cs="Arial"/>
              </w:rPr>
            </w:pPr>
            <w:r>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2FDD6672" w14:textId="77777777" w:rsidR="00AB6753" w:rsidRPr="00433B49" w:rsidRDefault="00AB6753" w:rsidP="002D1EA4">
            <w:pPr>
              <w:rPr>
                <w:rFonts w:cs="Arial"/>
              </w:rPr>
            </w:pPr>
            <w:r>
              <w:rPr>
                <w:rFonts w:cs="Arial"/>
              </w:rPr>
              <w:t>0</w:t>
            </w:r>
          </w:p>
        </w:tc>
        <w:tc>
          <w:tcPr>
            <w:tcW w:w="1843" w:type="dxa"/>
            <w:tcBorders>
              <w:left w:val="single" w:sz="12" w:space="0" w:color="auto"/>
              <w:right w:val="single" w:sz="12" w:space="0" w:color="auto"/>
            </w:tcBorders>
            <w:shd w:val="clear" w:color="auto" w:fill="auto"/>
          </w:tcPr>
          <w:p w14:paraId="5BAFDF21" w14:textId="77777777" w:rsidR="00AB6753" w:rsidRPr="00433B49" w:rsidRDefault="00AB6753" w:rsidP="002D1EA4">
            <w:pPr>
              <w:rPr>
                <w:rFonts w:cs="Arial"/>
              </w:rPr>
            </w:pPr>
            <w:r>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050FEC47" w14:textId="77777777" w:rsidR="00AB6753" w:rsidRPr="00433B49" w:rsidRDefault="00AB6753" w:rsidP="002D1EA4">
            <w:pPr>
              <w:rPr>
                <w:rFonts w:cs="Arial"/>
              </w:rPr>
            </w:pPr>
            <w:r>
              <w:rPr>
                <w:rFonts w:cs="Arial"/>
              </w:rPr>
              <w:t>0</w:t>
            </w:r>
          </w:p>
        </w:tc>
        <w:tc>
          <w:tcPr>
            <w:tcW w:w="1275" w:type="dxa"/>
            <w:tcBorders>
              <w:top w:val="single" w:sz="6" w:space="0" w:color="auto"/>
              <w:left w:val="single" w:sz="12" w:space="0" w:color="auto"/>
              <w:bottom w:val="single" w:sz="6" w:space="0" w:color="auto"/>
              <w:right w:val="single" w:sz="12" w:space="0" w:color="auto"/>
            </w:tcBorders>
            <w:shd w:val="clear" w:color="auto" w:fill="auto"/>
          </w:tcPr>
          <w:p w14:paraId="4EE819DD" w14:textId="77777777" w:rsidR="00AB6753" w:rsidRPr="00433B49" w:rsidRDefault="00AB6753" w:rsidP="002D1EA4">
            <w:pPr>
              <w:rPr>
                <w:rFonts w:cs="Arial"/>
              </w:rPr>
            </w:pPr>
            <w:r>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3935045C" w14:textId="77777777" w:rsidR="00AB6753" w:rsidRPr="00433B49" w:rsidRDefault="00AB6753" w:rsidP="002D1EA4">
            <w:pPr>
              <w:rPr>
                <w:rFonts w:cs="Arial"/>
              </w:rPr>
            </w:pPr>
            <w:r>
              <w:rPr>
                <w:rFonts w:cs="Arial"/>
              </w:rPr>
              <w:t>0</w:t>
            </w:r>
          </w:p>
        </w:tc>
        <w:tc>
          <w:tcPr>
            <w:tcW w:w="1984" w:type="dxa"/>
            <w:tcBorders>
              <w:left w:val="single" w:sz="12" w:space="0" w:color="auto"/>
            </w:tcBorders>
            <w:shd w:val="clear" w:color="auto" w:fill="auto"/>
          </w:tcPr>
          <w:p w14:paraId="41F5056E" w14:textId="77777777" w:rsidR="00AB6753" w:rsidRPr="00433B49" w:rsidRDefault="00AB6753" w:rsidP="002D1EA4">
            <w:pPr>
              <w:rPr>
                <w:rFonts w:cs="Arial"/>
              </w:rPr>
            </w:pPr>
            <w:r>
              <w:rPr>
                <w:rFonts w:cs="Arial"/>
              </w:rPr>
              <w:t>0</w:t>
            </w:r>
          </w:p>
        </w:tc>
      </w:tr>
      <w:tr w:rsidR="00AB6753" w:rsidRPr="00F32D92" w14:paraId="3F9167D7" w14:textId="77777777" w:rsidTr="002D1EA4">
        <w:tc>
          <w:tcPr>
            <w:tcW w:w="1735" w:type="dxa"/>
            <w:tcBorders>
              <w:top w:val="single" w:sz="4" w:space="0" w:color="auto"/>
              <w:bottom w:val="single" w:sz="4" w:space="0" w:color="auto"/>
              <w:right w:val="single" w:sz="12" w:space="0" w:color="auto"/>
            </w:tcBorders>
            <w:shd w:val="clear" w:color="auto" w:fill="auto"/>
          </w:tcPr>
          <w:p w14:paraId="35F6D581" w14:textId="77777777" w:rsidR="00AB6753" w:rsidRPr="00F32D92" w:rsidRDefault="00AB6753" w:rsidP="002D1EA4">
            <w:pPr>
              <w:rPr>
                <w:rFonts w:cs="Arial"/>
                <w:sz w:val="20"/>
                <w:szCs w:val="20"/>
              </w:rPr>
            </w:pPr>
            <w:r w:rsidRPr="000170FB">
              <w:t>$320,001 - $345,000</w:t>
            </w:r>
          </w:p>
        </w:tc>
        <w:tc>
          <w:tcPr>
            <w:tcW w:w="1559" w:type="dxa"/>
            <w:tcBorders>
              <w:top w:val="single" w:sz="6" w:space="0" w:color="auto"/>
              <w:left w:val="single" w:sz="12" w:space="0" w:color="auto"/>
              <w:bottom w:val="single" w:sz="6" w:space="0" w:color="auto"/>
              <w:right w:val="single" w:sz="12" w:space="0" w:color="auto"/>
            </w:tcBorders>
            <w:shd w:val="clear" w:color="auto" w:fill="auto"/>
            <w:vAlign w:val="center"/>
          </w:tcPr>
          <w:p w14:paraId="596977B9" w14:textId="77777777" w:rsidR="00AB6753" w:rsidRPr="00433B49" w:rsidRDefault="00AB6753" w:rsidP="002D1EA4">
            <w:pPr>
              <w:rPr>
                <w:rFonts w:cs="Arial"/>
              </w:rPr>
            </w:pPr>
            <w:r w:rsidRPr="00433B49">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3E22E772" w14:textId="77777777" w:rsidR="00AB6753" w:rsidRPr="00433B49" w:rsidRDefault="00AB6753" w:rsidP="002D1EA4">
            <w:pPr>
              <w:rPr>
                <w:rFonts w:cs="Arial"/>
              </w:rPr>
            </w:pPr>
            <w:r>
              <w:rPr>
                <w:rFonts w:cs="Arial"/>
              </w:rPr>
              <w:t>0</w:t>
            </w:r>
          </w:p>
        </w:tc>
        <w:tc>
          <w:tcPr>
            <w:tcW w:w="1134" w:type="dxa"/>
            <w:tcBorders>
              <w:left w:val="single" w:sz="12" w:space="0" w:color="auto"/>
              <w:right w:val="single" w:sz="12" w:space="0" w:color="auto"/>
            </w:tcBorders>
            <w:shd w:val="clear" w:color="auto" w:fill="auto"/>
          </w:tcPr>
          <w:p w14:paraId="5C15E830" w14:textId="77777777" w:rsidR="00AB6753" w:rsidRPr="00433B49" w:rsidRDefault="00AB6753" w:rsidP="002D1EA4">
            <w:pPr>
              <w:rPr>
                <w:rFonts w:cs="Arial"/>
              </w:rPr>
            </w:pPr>
            <w:r>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4F79693B" w14:textId="77777777" w:rsidR="00AB6753" w:rsidRPr="00433B49" w:rsidRDefault="00AB6753" w:rsidP="002D1EA4">
            <w:pPr>
              <w:rPr>
                <w:rFonts w:cs="Arial"/>
              </w:rPr>
            </w:pPr>
            <w:r>
              <w:rPr>
                <w:rFonts w:cs="Arial"/>
              </w:rPr>
              <w:t>0</w:t>
            </w:r>
          </w:p>
        </w:tc>
        <w:tc>
          <w:tcPr>
            <w:tcW w:w="1843" w:type="dxa"/>
            <w:tcBorders>
              <w:left w:val="single" w:sz="12" w:space="0" w:color="auto"/>
              <w:right w:val="single" w:sz="12" w:space="0" w:color="auto"/>
            </w:tcBorders>
            <w:shd w:val="clear" w:color="auto" w:fill="auto"/>
          </w:tcPr>
          <w:p w14:paraId="7FC6D692" w14:textId="77777777" w:rsidR="00AB6753" w:rsidRPr="00433B49" w:rsidRDefault="00AB6753" w:rsidP="002D1EA4">
            <w:pPr>
              <w:rPr>
                <w:rFonts w:cs="Arial"/>
              </w:rPr>
            </w:pPr>
            <w:r>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0A228C96" w14:textId="77777777" w:rsidR="00AB6753" w:rsidRPr="00433B49" w:rsidRDefault="00AB6753" w:rsidP="002D1EA4">
            <w:pPr>
              <w:rPr>
                <w:rFonts w:cs="Arial"/>
              </w:rPr>
            </w:pPr>
            <w:r>
              <w:rPr>
                <w:rFonts w:cs="Arial"/>
              </w:rPr>
              <w:t>0</w:t>
            </w:r>
          </w:p>
        </w:tc>
        <w:tc>
          <w:tcPr>
            <w:tcW w:w="1275" w:type="dxa"/>
            <w:tcBorders>
              <w:top w:val="single" w:sz="6" w:space="0" w:color="auto"/>
              <w:left w:val="single" w:sz="12" w:space="0" w:color="auto"/>
              <w:bottom w:val="single" w:sz="6" w:space="0" w:color="auto"/>
              <w:right w:val="single" w:sz="12" w:space="0" w:color="auto"/>
            </w:tcBorders>
            <w:shd w:val="clear" w:color="auto" w:fill="auto"/>
          </w:tcPr>
          <w:p w14:paraId="6A781F8C" w14:textId="77777777" w:rsidR="00AB6753" w:rsidRPr="00433B49" w:rsidRDefault="00AB6753" w:rsidP="002D1EA4">
            <w:pPr>
              <w:rPr>
                <w:rFonts w:cs="Arial"/>
              </w:rPr>
            </w:pPr>
            <w:r>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1D5F1B86" w14:textId="77777777" w:rsidR="00AB6753" w:rsidRPr="00433B49" w:rsidRDefault="00AB6753" w:rsidP="002D1EA4">
            <w:pPr>
              <w:rPr>
                <w:rFonts w:cs="Arial"/>
              </w:rPr>
            </w:pPr>
            <w:r>
              <w:rPr>
                <w:rFonts w:cs="Arial"/>
              </w:rPr>
              <w:t>0</w:t>
            </w:r>
          </w:p>
        </w:tc>
        <w:tc>
          <w:tcPr>
            <w:tcW w:w="1984" w:type="dxa"/>
            <w:tcBorders>
              <w:left w:val="single" w:sz="12" w:space="0" w:color="auto"/>
            </w:tcBorders>
            <w:shd w:val="clear" w:color="auto" w:fill="auto"/>
          </w:tcPr>
          <w:p w14:paraId="64AF991A" w14:textId="77777777" w:rsidR="00AB6753" w:rsidRPr="00433B49" w:rsidRDefault="00AB6753" w:rsidP="002D1EA4">
            <w:pPr>
              <w:rPr>
                <w:rFonts w:cs="Arial"/>
              </w:rPr>
            </w:pPr>
            <w:r>
              <w:rPr>
                <w:rFonts w:cs="Arial"/>
              </w:rPr>
              <w:t>0</w:t>
            </w:r>
          </w:p>
        </w:tc>
      </w:tr>
      <w:tr w:rsidR="00AB6753" w:rsidRPr="00F32D92" w14:paraId="42201BB6" w14:textId="77777777" w:rsidTr="002D1EA4">
        <w:tc>
          <w:tcPr>
            <w:tcW w:w="1735" w:type="dxa"/>
            <w:tcBorders>
              <w:top w:val="single" w:sz="4" w:space="0" w:color="auto"/>
              <w:bottom w:val="single" w:sz="4" w:space="0" w:color="auto"/>
              <w:right w:val="single" w:sz="12" w:space="0" w:color="auto"/>
            </w:tcBorders>
            <w:shd w:val="clear" w:color="auto" w:fill="auto"/>
          </w:tcPr>
          <w:p w14:paraId="48498470" w14:textId="77777777" w:rsidR="00AB6753" w:rsidRPr="00F32D92" w:rsidRDefault="00AB6753" w:rsidP="002D1EA4">
            <w:pPr>
              <w:rPr>
                <w:rFonts w:cs="Arial"/>
                <w:sz w:val="20"/>
                <w:szCs w:val="20"/>
              </w:rPr>
            </w:pPr>
            <w:r w:rsidRPr="000170FB">
              <w:t>$345,001 - $370,000</w:t>
            </w:r>
          </w:p>
        </w:tc>
        <w:tc>
          <w:tcPr>
            <w:tcW w:w="1559" w:type="dxa"/>
            <w:tcBorders>
              <w:top w:val="single" w:sz="6" w:space="0" w:color="auto"/>
              <w:left w:val="single" w:sz="12" w:space="0" w:color="auto"/>
              <w:bottom w:val="single" w:sz="6" w:space="0" w:color="auto"/>
              <w:right w:val="single" w:sz="12" w:space="0" w:color="auto"/>
            </w:tcBorders>
            <w:shd w:val="clear" w:color="auto" w:fill="auto"/>
            <w:vAlign w:val="center"/>
          </w:tcPr>
          <w:p w14:paraId="476A94A7" w14:textId="77777777" w:rsidR="00AB6753" w:rsidRPr="00433B49" w:rsidRDefault="00AB6753" w:rsidP="002D1EA4">
            <w:pPr>
              <w:rPr>
                <w:rFonts w:cs="Arial"/>
              </w:rPr>
            </w:pPr>
            <w:r w:rsidRPr="00433B49">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5ED5ADF2" w14:textId="77777777" w:rsidR="00AB6753" w:rsidRPr="00433B49" w:rsidRDefault="00AB6753" w:rsidP="002D1EA4">
            <w:pPr>
              <w:rPr>
                <w:rFonts w:cs="Arial"/>
              </w:rPr>
            </w:pPr>
            <w:r>
              <w:rPr>
                <w:rFonts w:cs="Arial"/>
              </w:rPr>
              <w:t>0</w:t>
            </w:r>
          </w:p>
        </w:tc>
        <w:tc>
          <w:tcPr>
            <w:tcW w:w="1134" w:type="dxa"/>
            <w:tcBorders>
              <w:left w:val="single" w:sz="12" w:space="0" w:color="auto"/>
              <w:right w:val="single" w:sz="12" w:space="0" w:color="auto"/>
            </w:tcBorders>
            <w:shd w:val="clear" w:color="auto" w:fill="auto"/>
          </w:tcPr>
          <w:p w14:paraId="467F109A" w14:textId="77777777" w:rsidR="00AB6753" w:rsidRPr="00433B49" w:rsidRDefault="00AB6753" w:rsidP="002D1EA4">
            <w:pPr>
              <w:rPr>
                <w:rFonts w:cs="Arial"/>
              </w:rPr>
            </w:pPr>
            <w:r>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13ACCF2C" w14:textId="77777777" w:rsidR="00AB6753" w:rsidRPr="00433B49" w:rsidRDefault="00AB6753" w:rsidP="002D1EA4">
            <w:pPr>
              <w:rPr>
                <w:rFonts w:cs="Arial"/>
              </w:rPr>
            </w:pPr>
            <w:r>
              <w:rPr>
                <w:rFonts w:cs="Arial"/>
              </w:rPr>
              <w:t>0</w:t>
            </w:r>
          </w:p>
        </w:tc>
        <w:tc>
          <w:tcPr>
            <w:tcW w:w="1843" w:type="dxa"/>
            <w:tcBorders>
              <w:left w:val="single" w:sz="12" w:space="0" w:color="auto"/>
              <w:right w:val="single" w:sz="12" w:space="0" w:color="auto"/>
            </w:tcBorders>
            <w:shd w:val="clear" w:color="auto" w:fill="auto"/>
          </w:tcPr>
          <w:p w14:paraId="67947BB0" w14:textId="77777777" w:rsidR="00AB6753" w:rsidRPr="00433B49" w:rsidRDefault="00AB6753" w:rsidP="002D1EA4">
            <w:pPr>
              <w:rPr>
                <w:rFonts w:cs="Arial"/>
              </w:rPr>
            </w:pPr>
            <w:r>
              <w:rPr>
                <w:rFonts w:cs="Arial"/>
              </w:rPr>
              <w:t>0</w:t>
            </w:r>
          </w:p>
        </w:tc>
        <w:tc>
          <w:tcPr>
            <w:tcW w:w="1134" w:type="dxa"/>
            <w:tcBorders>
              <w:top w:val="single" w:sz="6" w:space="0" w:color="auto"/>
              <w:left w:val="single" w:sz="12" w:space="0" w:color="auto"/>
              <w:bottom w:val="single" w:sz="6" w:space="0" w:color="auto"/>
              <w:right w:val="single" w:sz="12" w:space="0" w:color="auto"/>
            </w:tcBorders>
            <w:shd w:val="clear" w:color="auto" w:fill="auto"/>
          </w:tcPr>
          <w:p w14:paraId="4659EB53" w14:textId="77777777" w:rsidR="00AB6753" w:rsidRPr="00433B49" w:rsidRDefault="00AB6753" w:rsidP="002D1EA4">
            <w:pPr>
              <w:rPr>
                <w:rFonts w:cs="Arial"/>
              </w:rPr>
            </w:pPr>
            <w:r>
              <w:rPr>
                <w:rFonts w:cs="Arial"/>
              </w:rPr>
              <w:t>0</w:t>
            </w:r>
          </w:p>
        </w:tc>
        <w:tc>
          <w:tcPr>
            <w:tcW w:w="1275" w:type="dxa"/>
            <w:tcBorders>
              <w:top w:val="single" w:sz="6" w:space="0" w:color="auto"/>
              <w:left w:val="single" w:sz="12" w:space="0" w:color="auto"/>
              <w:bottom w:val="single" w:sz="6" w:space="0" w:color="auto"/>
              <w:right w:val="single" w:sz="12" w:space="0" w:color="auto"/>
            </w:tcBorders>
            <w:shd w:val="clear" w:color="auto" w:fill="auto"/>
          </w:tcPr>
          <w:p w14:paraId="02A5A792" w14:textId="77777777" w:rsidR="00AB6753" w:rsidRPr="00433B49" w:rsidRDefault="00AB6753" w:rsidP="002D1EA4">
            <w:pPr>
              <w:rPr>
                <w:rFonts w:cs="Arial"/>
              </w:rPr>
            </w:pPr>
            <w:r>
              <w:rPr>
                <w:rFonts w:cs="Arial"/>
              </w:rPr>
              <w:t>0</w:t>
            </w:r>
          </w:p>
        </w:tc>
        <w:tc>
          <w:tcPr>
            <w:tcW w:w="1418" w:type="dxa"/>
            <w:tcBorders>
              <w:top w:val="single" w:sz="6" w:space="0" w:color="auto"/>
              <w:left w:val="single" w:sz="12" w:space="0" w:color="auto"/>
              <w:bottom w:val="single" w:sz="6" w:space="0" w:color="auto"/>
              <w:right w:val="single" w:sz="12" w:space="0" w:color="auto"/>
            </w:tcBorders>
            <w:shd w:val="clear" w:color="auto" w:fill="auto"/>
          </w:tcPr>
          <w:p w14:paraId="281A4C67" w14:textId="77777777" w:rsidR="00AB6753" w:rsidRPr="00433B49" w:rsidRDefault="00AB6753" w:rsidP="002D1EA4">
            <w:pPr>
              <w:rPr>
                <w:rFonts w:cs="Arial"/>
              </w:rPr>
            </w:pPr>
            <w:r>
              <w:rPr>
                <w:rFonts w:cs="Arial"/>
              </w:rPr>
              <w:t>0</w:t>
            </w:r>
          </w:p>
        </w:tc>
        <w:tc>
          <w:tcPr>
            <w:tcW w:w="1984" w:type="dxa"/>
            <w:tcBorders>
              <w:left w:val="single" w:sz="12" w:space="0" w:color="auto"/>
            </w:tcBorders>
            <w:shd w:val="clear" w:color="auto" w:fill="auto"/>
          </w:tcPr>
          <w:p w14:paraId="13F1E663" w14:textId="77777777" w:rsidR="00AB6753" w:rsidRPr="00433B49" w:rsidRDefault="00AB6753" w:rsidP="002D1EA4">
            <w:pPr>
              <w:rPr>
                <w:rFonts w:cs="Arial"/>
              </w:rPr>
            </w:pPr>
            <w:r>
              <w:rPr>
                <w:rFonts w:cs="Arial"/>
              </w:rPr>
              <w:t>0</w:t>
            </w:r>
          </w:p>
        </w:tc>
      </w:tr>
      <w:tr w:rsidR="00AB6753" w:rsidRPr="00F32D92" w14:paraId="6E4BE4C4" w14:textId="77777777" w:rsidTr="002D1EA4">
        <w:tc>
          <w:tcPr>
            <w:tcW w:w="1735" w:type="dxa"/>
            <w:tcBorders>
              <w:top w:val="single" w:sz="4" w:space="0" w:color="auto"/>
              <w:bottom w:val="single" w:sz="2" w:space="0" w:color="auto"/>
              <w:right w:val="single" w:sz="12" w:space="0" w:color="auto"/>
            </w:tcBorders>
            <w:shd w:val="clear" w:color="auto" w:fill="auto"/>
          </w:tcPr>
          <w:p w14:paraId="64D3F459" w14:textId="77777777" w:rsidR="00AB6753" w:rsidRPr="00F32D92" w:rsidRDefault="00AB6753" w:rsidP="002D1EA4">
            <w:pPr>
              <w:rPr>
                <w:rFonts w:cs="Arial"/>
                <w:sz w:val="20"/>
                <w:szCs w:val="20"/>
              </w:rPr>
            </w:pPr>
            <w:r w:rsidRPr="000170FB">
              <w:t>$370,001 - $395,000</w:t>
            </w:r>
          </w:p>
        </w:tc>
        <w:tc>
          <w:tcPr>
            <w:tcW w:w="1559" w:type="dxa"/>
            <w:tcBorders>
              <w:top w:val="single" w:sz="6" w:space="0" w:color="auto"/>
              <w:left w:val="single" w:sz="12" w:space="0" w:color="auto"/>
              <w:bottom w:val="single" w:sz="2" w:space="0" w:color="auto"/>
              <w:right w:val="single" w:sz="12" w:space="0" w:color="auto"/>
            </w:tcBorders>
            <w:shd w:val="clear" w:color="auto" w:fill="auto"/>
            <w:vAlign w:val="center"/>
          </w:tcPr>
          <w:p w14:paraId="3251F55E" w14:textId="77777777" w:rsidR="00AB6753" w:rsidRPr="00433B49" w:rsidRDefault="00AB6753" w:rsidP="002D1EA4">
            <w:pPr>
              <w:rPr>
                <w:rFonts w:cs="Arial"/>
              </w:rPr>
            </w:pPr>
            <w:r w:rsidRPr="00433B49">
              <w:rPr>
                <w:rFonts w:cs="Arial"/>
              </w:rPr>
              <w:t>0</w:t>
            </w:r>
          </w:p>
        </w:tc>
        <w:tc>
          <w:tcPr>
            <w:tcW w:w="1134" w:type="dxa"/>
            <w:tcBorders>
              <w:top w:val="single" w:sz="6" w:space="0" w:color="auto"/>
              <w:left w:val="single" w:sz="12" w:space="0" w:color="auto"/>
              <w:bottom w:val="single" w:sz="2" w:space="0" w:color="auto"/>
              <w:right w:val="single" w:sz="12" w:space="0" w:color="auto"/>
            </w:tcBorders>
            <w:shd w:val="clear" w:color="auto" w:fill="auto"/>
          </w:tcPr>
          <w:p w14:paraId="0D3ED45E" w14:textId="77777777" w:rsidR="00AB6753" w:rsidRPr="00433B49" w:rsidRDefault="00AB6753" w:rsidP="002D1EA4">
            <w:pPr>
              <w:rPr>
                <w:rFonts w:cs="Arial"/>
              </w:rPr>
            </w:pPr>
            <w:r>
              <w:rPr>
                <w:rFonts w:cs="Arial"/>
              </w:rPr>
              <w:t>0</w:t>
            </w:r>
          </w:p>
        </w:tc>
        <w:tc>
          <w:tcPr>
            <w:tcW w:w="1134" w:type="dxa"/>
            <w:tcBorders>
              <w:left w:val="single" w:sz="12" w:space="0" w:color="auto"/>
              <w:bottom w:val="single" w:sz="2" w:space="0" w:color="auto"/>
              <w:right w:val="single" w:sz="12" w:space="0" w:color="auto"/>
            </w:tcBorders>
            <w:shd w:val="clear" w:color="auto" w:fill="auto"/>
          </w:tcPr>
          <w:p w14:paraId="3E65DCFC" w14:textId="77777777" w:rsidR="00AB6753" w:rsidRPr="00433B49" w:rsidRDefault="00AB6753" w:rsidP="002D1EA4">
            <w:pPr>
              <w:rPr>
                <w:rFonts w:cs="Arial"/>
              </w:rPr>
            </w:pPr>
            <w:r>
              <w:rPr>
                <w:rFonts w:cs="Arial"/>
              </w:rPr>
              <w:t>0</w:t>
            </w:r>
          </w:p>
        </w:tc>
        <w:tc>
          <w:tcPr>
            <w:tcW w:w="1418" w:type="dxa"/>
            <w:tcBorders>
              <w:top w:val="single" w:sz="6" w:space="0" w:color="auto"/>
              <w:left w:val="single" w:sz="12" w:space="0" w:color="auto"/>
              <w:bottom w:val="single" w:sz="2" w:space="0" w:color="auto"/>
              <w:right w:val="single" w:sz="12" w:space="0" w:color="auto"/>
            </w:tcBorders>
            <w:shd w:val="clear" w:color="auto" w:fill="auto"/>
          </w:tcPr>
          <w:p w14:paraId="64DB8A48" w14:textId="77777777" w:rsidR="00AB6753" w:rsidRPr="00433B49" w:rsidRDefault="00AB6753" w:rsidP="002D1EA4">
            <w:pPr>
              <w:rPr>
                <w:rFonts w:cs="Arial"/>
              </w:rPr>
            </w:pPr>
            <w:r>
              <w:rPr>
                <w:rFonts w:cs="Arial"/>
              </w:rPr>
              <w:t>0</w:t>
            </w:r>
          </w:p>
        </w:tc>
        <w:tc>
          <w:tcPr>
            <w:tcW w:w="1843" w:type="dxa"/>
            <w:tcBorders>
              <w:left w:val="single" w:sz="12" w:space="0" w:color="auto"/>
              <w:bottom w:val="single" w:sz="2" w:space="0" w:color="auto"/>
              <w:right w:val="single" w:sz="12" w:space="0" w:color="auto"/>
            </w:tcBorders>
            <w:shd w:val="clear" w:color="auto" w:fill="auto"/>
          </w:tcPr>
          <w:p w14:paraId="5554EB15" w14:textId="77777777" w:rsidR="00AB6753" w:rsidRPr="00433B49" w:rsidRDefault="00AB6753" w:rsidP="002D1EA4">
            <w:pPr>
              <w:rPr>
                <w:rFonts w:cs="Arial"/>
              </w:rPr>
            </w:pPr>
            <w:r>
              <w:rPr>
                <w:rFonts w:cs="Arial"/>
              </w:rPr>
              <w:t>0</w:t>
            </w:r>
          </w:p>
        </w:tc>
        <w:tc>
          <w:tcPr>
            <w:tcW w:w="1134" w:type="dxa"/>
            <w:tcBorders>
              <w:top w:val="single" w:sz="6" w:space="0" w:color="auto"/>
              <w:left w:val="single" w:sz="12" w:space="0" w:color="auto"/>
              <w:bottom w:val="single" w:sz="2" w:space="0" w:color="auto"/>
              <w:right w:val="single" w:sz="12" w:space="0" w:color="auto"/>
            </w:tcBorders>
            <w:shd w:val="clear" w:color="auto" w:fill="auto"/>
          </w:tcPr>
          <w:p w14:paraId="35CB794B" w14:textId="77777777" w:rsidR="00AB6753" w:rsidRPr="00433B49" w:rsidRDefault="00AB6753" w:rsidP="002D1EA4">
            <w:pPr>
              <w:rPr>
                <w:rFonts w:cs="Arial"/>
              </w:rPr>
            </w:pPr>
            <w:r>
              <w:rPr>
                <w:rFonts w:cs="Arial"/>
              </w:rPr>
              <w:t>0</w:t>
            </w:r>
          </w:p>
        </w:tc>
        <w:tc>
          <w:tcPr>
            <w:tcW w:w="1275" w:type="dxa"/>
            <w:tcBorders>
              <w:top w:val="single" w:sz="6" w:space="0" w:color="auto"/>
              <w:left w:val="single" w:sz="12" w:space="0" w:color="auto"/>
              <w:bottom w:val="single" w:sz="2" w:space="0" w:color="auto"/>
              <w:right w:val="single" w:sz="12" w:space="0" w:color="auto"/>
            </w:tcBorders>
            <w:shd w:val="clear" w:color="auto" w:fill="auto"/>
          </w:tcPr>
          <w:p w14:paraId="59F904F7" w14:textId="77777777" w:rsidR="00AB6753" w:rsidRPr="00433B49" w:rsidRDefault="00AB6753" w:rsidP="002D1EA4">
            <w:pPr>
              <w:rPr>
                <w:rFonts w:cs="Arial"/>
              </w:rPr>
            </w:pPr>
            <w:r>
              <w:rPr>
                <w:rFonts w:cs="Arial"/>
              </w:rPr>
              <w:t>0</w:t>
            </w:r>
          </w:p>
        </w:tc>
        <w:tc>
          <w:tcPr>
            <w:tcW w:w="1418" w:type="dxa"/>
            <w:tcBorders>
              <w:top w:val="single" w:sz="6" w:space="0" w:color="auto"/>
              <w:left w:val="single" w:sz="12" w:space="0" w:color="auto"/>
              <w:bottom w:val="single" w:sz="2" w:space="0" w:color="auto"/>
              <w:right w:val="single" w:sz="12" w:space="0" w:color="auto"/>
            </w:tcBorders>
            <w:shd w:val="clear" w:color="auto" w:fill="auto"/>
          </w:tcPr>
          <w:p w14:paraId="414065F3" w14:textId="77777777" w:rsidR="00AB6753" w:rsidRPr="00433B49" w:rsidRDefault="00AB6753" w:rsidP="002D1EA4">
            <w:pPr>
              <w:rPr>
                <w:rFonts w:cs="Arial"/>
              </w:rPr>
            </w:pPr>
            <w:r>
              <w:rPr>
                <w:rFonts w:cs="Arial"/>
              </w:rPr>
              <w:t>0</w:t>
            </w:r>
          </w:p>
        </w:tc>
        <w:tc>
          <w:tcPr>
            <w:tcW w:w="1984" w:type="dxa"/>
            <w:tcBorders>
              <w:left w:val="single" w:sz="12" w:space="0" w:color="auto"/>
              <w:bottom w:val="single" w:sz="2" w:space="0" w:color="auto"/>
            </w:tcBorders>
            <w:shd w:val="clear" w:color="auto" w:fill="auto"/>
          </w:tcPr>
          <w:p w14:paraId="5E93FC88" w14:textId="77777777" w:rsidR="00AB6753" w:rsidRPr="00433B49" w:rsidRDefault="00AB6753" w:rsidP="002D1EA4">
            <w:pPr>
              <w:rPr>
                <w:rFonts w:cs="Arial"/>
              </w:rPr>
            </w:pPr>
            <w:r>
              <w:rPr>
                <w:rFonts w:cs="Arial"/>
              </w:rPr>
              <w:t>0</w:t>
            </w:r>
          </w:p>
        </w:tc>
      </w:tr>
      <w:tr w:rsidR="00AB6753" w:rsidRPr="00F32D92" w14:paraId="43183635" w14:textId="77777777" w:rsidTr="002D1EA4">
        <w:tc>
          <w:tcPr>
            <w:tcW w:w="1735" w:type="dxa"/>
            <w:tcBorders>
              <w:top w:val="single" w:sz="2" w:space="0" w:color="auto"/>
              <w:bottom w:val="single" w:sz="2" w:space="0" w:color="auto"/>
              <w:right w:val="single" w:sz="12" w:space="0" w:color="auto"/>
            </w:tcBorders>
            <w:shd w:val="clear" w:color="auto" w:fill="auto"/>
            <w:vAlign w:val="bottom"/>
          </w:tcPr>
          <w:p w14:paraId="70941A9A" w14:textId="77777777" w:rsidR="00AB6753" w:rsidRPr="00F32D92" w:rsidRDefault="00AB6753" w:rsidP="002D1EA4">
            <w:pPr>
              <w:rPr>
                <w:rFonts w:cs="Arial"/>
                <w:sz w:val="20"/>
                <w:szCs w:val="20"/>
              </w:rPr>
            </w:pPr>
            <w:r w:rsidRPr="00F32D92">
              <w:rPr>
                <w:rFonts w:cs="Arial"/>
                <w:sz w:val="20"/>
                <w:szCs w:val="20"/>
              </w:rPr>
              <w:t>$395,001</w:t>
            </w:r>
            <w:r>
              <w:rPr>
                <w:rFonts w:cs="Arial"/>
                <w:sz w:val="20"/>
                <w:szCs w:val="20"/>
              </w:rPr>
              <w:t xml:space="preserve"> - </w:t>
            </w:r>
            <w:r w:rsidRPr="00F32D92">
              <w:rPr>
                <w:rFonts w:cs="Arial"/>
                <w:sz w:val="20"/>
                <w:szCs w:val="20"/>
              </w:rPr>
              <w:t>$420,000</w:t>
            </w:r>
          </w:p>
        </w:tc>
        <w:tc>
          <w:tcPr>
            <w:tcW w:w="1559" w:type="dxa"/>
            <w:tcBorders>
              <w:top w:val="single" w:sz="2" w:space="0" w:color="auto"/>
              <w:left w:val="single" w:sz="12" w:space="0" w:color="auto"/>
              <w:bottom w:val="single" w:sz="2" w:space="0" w:color="auto"/>
              <w:right w:val="single" w:sz="12" w:space="0" w:color="auto"/>
            </w:tcBorders>
            <w:shd w:val="clear" w:color="auto" w:fill="auto"/>
            <w:vAlign w:val="center"/>
          </w:tcPr>
          <w:p w14:paraId="7CCD7942" w14:textId="77777777" w:rsidR="00AB6753" w:rsidRPr="00F32D92" w:rsidRDefault="00AB6753" w:rsidP="002D1EA4">
            <w:pPr>
              <w:rPr>
                <w:rFonts w:cs="Arial"/>
                <w:sz w:val="20"/>
                <w:szCs w:val="20"/>
              </w:rPr>
            </w:pPr>
            <w:r w:rsidRPr="00433B49">
              <w:rPr>
                <w:rFonts w:cs="Arial"/>
              </w:rPr>
              <w:t>0</w:t>
            </w:r>
          </w:p>
        </w:tc>
        <w:tc>
          <w:tcPr>
            <w:tcW w:w="1134" w:type="dxa"/>
            <w:tcBorders>
              <w:top w:val="single" w:sz="2" w:space="0" w:color="auto"/>
              <w:left w:val="single" w:sz="12" w:space="0" w:color="auto"/>
              <w:bottom w:val="single" w:sz="2" w:space="0" w:color="auto"/>
              <w:right w:val="single" w:sz="12" w:space="0" w:color="auto"/>
            </w:tcBorders>
            <w:shd w:val="clear" w:color="auto" w:fill="auto"/>
          </w:tcPr>
          <w:p w14:paraId="71B1C7CB" w14:textId="77777777" w:rsidR="00AB6753" w:rsidRPr="00F32D92" w:rsidRDefault="00AB6753" w:rsidP="002D1EA4">
            <w:pPr>
              <w:rPr>
                <w:rFonts w:cs="Arial"/>
                <w:sz w:val="20"/>
                <w:szCs w:val="20"/>
              </w:rPr>
            </w:pPr>
            <w:r>
              <w:rPr>
                <w:rFonts w:cs="Arial"/>
              </w:rPr>
              <w:t>0</w:t>
            </w:r>
          </w:p>
        </w:tc>
        <w:tc>
          <w:tcPr>
            <w:tcW w:w="1134" w:type="dxa"/>
            <w:tcBorders>
              <w:top w:val="single" w:sz="2" w:space="0" w:color="auto"/>
              <w:left w:val="single" w:sz="12" w:space="0" w:color="auto"/>
              <w:bottom w:val="single" w:sz="2" w:space="0" w:color="auto"/>
              <w:right w:val="single" w:sz="12" w:space="0" w:color="auto"/>
            </w:tcBorders>
            <w:shd w:val="clear" w:color="auto" w:fill="auto"/>
          </w:tcPr>
          <w:p w14:paraId="4C4AA976" w14:textId="77777777" w:rsidR="00AB6753" w:rsidRPr="00F32D92" w:rsidRDefault="00AB6753" w:rsidP="002D1EA4">
            <w:pPr>
              <w:rPr>
                <w:rFonts w:cs="Arial"/>
                <w:sz w:val="20"/>
                <w:szCs w:val="20"/>
              </w:rPr>
            </w:pPr>
            <w:r>
              <w:rPr>
                <w:rFonts w:cs="Arial"/>
              </w:rPr>
              <w:t>0</w:t>
            </w:r>
          </w:p>
        </w:tc>
        <w:tc>
          <w:tcPr>
            <w:tcW w:w="1418" w:type="dxa"/>
            <w:tcBorders>
              <w:top w:val="single" w:sz="2" w:space="0" w:color="auto"/>
              <w:left w:val="single" w:sz="12" w:space="0" w:color="auto"/>
              <w:bottom w:val="single" w:sz="2" w:space="0" w:color="auto"/>
              <w:right w:val="single" w:sz="12" w:space="0" w:color="auto"/>
            </w:tcBorders>
            <w:shd w:val="clear" w:color="auto" w:fill="auto"/>
          </w:tcPr>
          <w:p w14:paraId="6753F14D" w14:textId="77777777" w:rsidR="00AB6753" w:rsidRPr="00F32D92" w:rsidRDefault="00AB6753" w:rsidP="002D1EA4">
            <w:pPr>
              <w:rPr>
                <w:rFonts w:cs="Arial"/>
                <w:sz w:val="20"/>
                <w:szCs w:val="20"/>
              </w:rPr>
            </w:pPr>
            <w:r>
              <w:rPr>
                <w:rFonts w:cs="Arial"/>
              </w:rPr>
              <w:t>0</w:t>
            </w:r>
          </w:p>
        </w:tc>
        <w:tc>
          <w:tcPr>
            <w:tcW w:w="1843" w:type="dxa"/>
            <w:tcBorders>
              <w:top w:val="single" w:sz="2" w:space="0" w:color="auto"/>
              <w:left w:val="single" w:sz="12" w:space="0" w:color="auto"/>
              <w:bottom w:val="single" w:sz="2" w:space="0" w:color="auto"/>
              <w:right w:val="single" w:sz="12" w:space="0" w:color="auto"/>
            </w:tcBorders>
            <w:shd w:val="clear" w:color="auto" w:fill="auto"/>
          </w:tcPr>
          <w:p w14:paraId="1A5D0439" w14:textId="77777777" w:rsidR="00AB6753" w:rsidRPr="00F32D92" w:rsidRDefault="00AB6753" w:rsidP="002D1EA4">
            <w:pPr>
              <w:rPr>
                <w:rFonts w:cs="Arial"/>
                <w:sz w:val="20"/>
                <w:szCs w:val="20"/>
              </w:rPr>
            </w:pPr>
            <w:r>
              <w:rPr>
                <w:rFonts w:cs="Arial"/>
              </w:rPr>
              <w:t>0</w:t>
            </w:r>
          </w:p>
        </w:tc>
        <w:tc>
          <w:tcPr>
            <w:tcW w:w="1134" w:type="dxa"/>
            <w:tcBorders>
              <w:top w:val="single" w:sz="2" w:space="0" w:color="auto"/>
              <w:left w:val="single" w:sz="12" w:space="0" w:color="auto"/>
              <w:bottom w:val="single" w:sz="2" w:space="0" w:color="auto"/>
              <w:right w:val="single" w:sz="12" w:space="0" w:color="auto"/>
            </w:tcBorders>
            <w:shd w:val="clear" w:color="auto" w:fill="auto"/>
          </w:tcPr>
          <w:p w14:paraId="7D77ABBC" w14:textId="77777777" w:rsidR="00AB6753" w:rsidRPr="00F32D92" w:rsidRDefault="00AB6753" w:rsidP="002D1EA4">
            <w:pPr>
              <w:rPr>
                <w:rFonts w:cs="Arial"/>
                <w:sz w:val="20"/>
                <w:szCs w:val="20"/>
              </w:rPr>
            </w:pPr>
            <w:r>
              <w:rPr>
                <w:rFonts w:cs="Arial"/>
              </w:rPr>
              <w:t>0</w:t>
            </w:r>
          </w:p>
        </w:tc>
        <w:tc>
          <w:tcPr>
            <w:tcW w:w="1275" w:type="dxa"/>
            <w:tcBorders>
              <w:top w:val="single" w:sz="2" w:space="0" w:color="auto"/>
              <w:left w:val="single" w:sz="12" w:space="0" w:color="auto"/>
              <w:bottom w:val="single" w:sz="2" w:space="0" w:color="auto"/>
              <w:right w:val="single" w:sz="12" w:space="0" w:color="auto"/>
            </w:tcBorders>
            <w:shd w:val="clear" w:color="auto" w:fill="auto"/>
          </w:tcPr>
          <w:p w14:paraId="730451DE" w14:textId="77777777" w:rsidR="00AB6753" w:rsidRPr="00F32D92" w:rsidRDefault="00AB6753" w:rsidP="002D1EA4">
            <w:pPr>
              <w:rPr>
                <w:rFonts w:cs="Arial"/>
                <w:sz w:val="20"/>
                <w:szCs w:val="20"/>
              </w:rPr>
            </w:pPr>
            <w:r>
              <w:rPr>
                <w:rFonts w:cs="Arial"/>
              </w:rPr>
              <w:t>0</w:t>
            </w:r>
          </w:p>
        </w:tc>
        <w:tc>
          <w:tcPr>
            <w:tcW w:w="1418" w:type="dxa"/>
            <w:tcBorders>
              <w:top w:val="single" w:sz="2" w:space="0" w:color="auto"/>
              <w:left w:val="single" w:sz="12" w:space="0" w:color="auto"/>
              <w:bottom w:val="single" w:sz="2" w:space="0" w:color="auto"/>
              <w:right w:val="single" w:sz="12" w:space="0" w:color="auto"/>
            </w:tcBorders>
            <w:shd w:val="clear" w:color="auto" w:fill="auto"/>
          </w:tcPr>
          <w:p w14:paraId="07C5942F" w14:textId="77777777" w:rsidR="00AB6753" w:rsidRPr="00F32D92" w:rsidRDefault="00AB6753" w:rsidP="002D1EA4">
            <w:pPr>
              <w:rPr>
                <w:rFonts w:cs="Arial"/>
                <w:sz w:val="20"/>
                <w:szCs w:val="20"/>
              </w:rPr>
            </w:pPr>
            <w:r>
              <w:rPr>
                <w:rFonts w:cs="Arial"/>
              </w:rPr>
              <w:t>0</w:t>
            </w:r>
          </w:p>
        </w:tc>
        <w:tc>
          <w:tcPr>
            <w:tcW w:w="1984" w:type="dxa"/>
            <w:tcBorders>
              <w:top w:val="single" w:sz="2" w:space="0" w:color="auto"/>
              <w:left w:val="single" w:sz="12" w:space="0" w:color="auto"/>
              <w:bottom w:val="single" w:sz="2" w:space="0" w:color="auto"/>
            </w:tcBorders>
            <w:shd w:val="clear" w:color="auto" w:fill="auto"/>
          </w:tcPr>
          <w:p w14:paraId="41D27D28" w14:textId="77777777" w:rsidR="00AB6753" w:rsidRPr="00F32D92" w:rsidRDefault="00AB6753" w:rsidP="002D1EA4">
            <w:pPr>
              <w:rPr>
                <w:rFonts w:cs="Arial"/>
                <w:sz w:val="20"/>
                <w:szCs w:val="20"/>
              </w:rPr>
            </w:pPr>
            <w:r>
              <w:rPr>
                <w:rFonts w:cs="Arial"/>
              </w:rPr>
              <w:t>0</w:t>
            </w:r>
          </w:p>
        </w:tc>
      </w:tr>
      <w:tr w:rsidR="00AB6753" w:rsidRPr="00F32D92" w14:paraId="1513AB7E" w14:textId="77777777" w:rsidTr="002D1EA4">
        <w:tc>
          <w:tcPr>
            <w:tcW w:w="1735" w:type="dxa"/>
            <w:tcBorders>
              <w:top w:val="single" w:sz="2" w:space="0" w:color="auto"/>
              <w:bottom w:val="single" w:sz="2" w:space="0" w:color="auto"/>
              <w:right w:val="single" w:sz="12" w:space="0" w:color="auto"/>
            </w:tcBorders>
            <w:shd w:val="clear" w:color="auto" w:fill="auto"/>
            <w:vAlign w:val="bottom"/>
          </w:tcPr>
          <w:p w14:paraId="12E45E75" w14:textId="77777777" w:rsidR="00AB6753" w:rsidRPr="00F32D92" w:rsidRDefault="00AB6753" w:rsidP="002D1EA4">
            <w:pPr>
              <w:rPr>
                <w:rFonts w:cs="Arial"/>
                <w:sz w:val="20"/>
                <w:szCs w:val="20"/>
              </w:rPr>
            </w:pPr>
            <w:r w:rsidRPr="00F32D92">
              <w:rPr>
                <w:rFonts w:cs="Arial"/>
                <w:sz w:val="20"/>
                <w:szCs w:val="20"/>
              </w:rPr>
              <w:t>$420,001</w:t>
            </w:r>
            <w:r>
              <w:rPr>
                <w:rFonts w:cs="Arial"/>
                <w:sz w:val="20"/>
                <w:szCs w:val="20"/>
              </w:rPr>
              <w:t xml:space="preserve"> - </w:t>
            </w:r>
            <w:r w:rsidRPr="00F32D92">
              <w:rPr>
                <w:rFonts w:cs="Arial"/>
                <w:sz w:val="20"/>
                <w:szCs w:val="20"/>
              </w:rPr>
              <w:t>$445,000</w:t>
            </w:r>
          </w:p>
        </w:tc>
        <w:tc>
          <w:tcPr>
            <w:tcW w:w="1559" w:type="dxa"/>
            <w:tcBorders>
              <w:top w:val="single" w:sz="2" w:space="0" w:color="auto"/>
              <w:left w:val="single" w:sz="12" w:space="0" w:color="auto"/>
              <w:bottom w:val="single" w:sz="2" w:space="0" w:color="auto"/>
              <w:right w:val="single" w:sz="12" w:space="0" w:color="auto"/>
            </w:tcBorders>
            <w:shd w:val="clear" w:color="auto" w:fill="auto"/>
            <w:vAlign w:val="center"/>
          </w:tcPr>
          <w:p w14:paraId="5E0861C1" w14:textId="77777777" w:rsidR="00AB6753" w:rsidRPr="00F32D92" w:rsidRDefault="00AB6753" w:rsidP="002D1EA4">
            <w:pPr>
              <w:rPr>
                <w:rFonts w:cs="Arial"/>
                <w:sz w:val="20"/>
                <w:szCs w:val="20"/>
              </w:rPr>
            </w:pPr>
            <w:r w:rsidRPr="00433B49">
              <w:rPr>
                <w:rFonts w:cs="Arial"/>
              </w:rPr>
              <w:t>0</w:t>
            </w:r>
          </w:p>
        </w:tc>
        <w:tc>
          <w:tcPr>
            <w:tcW w:w="1134" w:type="dxa"/>
            <w:tcBorders>
              <w:top w:val="single" w:sz="2" w:space="0" w:color="auto"/>
              <w:left w:val="single" w:sz="12" w:space="0" w:color="auto"/>
              <w:bottom w:val="single" w:sz="2" w:space="0" w:color="auto"/>
              <w:right w:val="single" w:sz="12" w:space="0" w:color="auto"/>
            </w:tcBorders>
            <w:shd w:val="clear" w:color="auto" w:fill="auto"/>
          </w:tcPr>
          <w:p w14:paraId="029B0C3F" w14:textId="77777777" w:rsidR="00AB6753" w:rsidRPr="00F32D92" w:rsidRDefault="00AB6753" w:rsidP="002D1EA4">
            <w:pPr>
              <w:rPr>
                <w:rFonts w:cs="Arial"/>
                <w:sz w:val="20"/>
                <w:szCs w:val="20"/>
              </w:rPr>
            </w:pPr>
            <w:r>
              <w:rPr>
                <w:rFonts w:cs="Arial"/>
              </w:rPr>
              <w:t>0</w:t>
            </w:r>
          </w:p>
        </w:tc>
        <w:tc>
          <w:tcPr>
            <w:tcW w:w="1134" w:type="dxa"/>
            <w:tcBorders>
              <w:top w:val="single" w:sz="2" w:space="0" w:color="auto"/>
              <w:left w:val="single" w:sz="12" w:space="0" w:color="auto"/>
              <w:bottom w:val="single" w:sz="2" w:space="0" w:color="auto"/>
              <w:right w:val="single" w:sz="12" w:space="0" w:color="auto"/>
            </w:tcBorders>
            <w:shd w:val="clear" w:color="auto" w:fill="auto"/>
          </w:tcPr>
          <w:p w14:paraId="11318C47" w14:textId="77777777" w:rsidR="00AB6753" w:rsidRPr="00F32D92" w:rsidRDefault="00AB6753" w:rsidP="002D1EA4">
            <w:pPr>
              <w:rPr>
                <w:rFonts w:cs="Arial"/>
                <w:sz w:val="20"/>
                <w:szCs w:val="20"/>
              </w:rPr>
            </w:pPr>
            <w:r>
              <w:rPr>
                <w:rFonts w:cs="Arial"/>
              </w:rPr>
              <w:t>0</w:t>
            </w:r>
          </w:p>
        </w:tc>
        <w:tc>
          <w:tcPr>
            <w:tcW w:w="1418" w:type="dxa"/>
            <w:tcBorders>
              <w:top w:val="single" w:sz="2" w:space="0" w:color="auto"/>
              <w:left w:val="single" w:sz="12" w:space="0" w:color="auto"/>
              <w:bottom w:val="single" w:sz="2" w:space="0" w:color="auto"/>
              <w:right w:val="single" w:sz="12" w:space="0" w:color="auto"/>
            </w:tcBorders>
            <w:shd w:val="clear" w:color="auto" w:fill="auto"/>
          </w:tcPr>
          <w:p w14:paraId="34DF4CE6" w14:textId="77777777" w:rsidR="00AB6753" w:rsidRPr="00F32D92" w:rsidRDefault="00AB6753" w:rsidP="002D1EA4">
            <w:pPr>
              <w:rPr>
                <w:rFonts w:cs="Arial"/>
                <w:sz w:val="20"/>
                <w:szCs w:val="20"/>
              </w:rPr>
            </w:pPr>
            <w:r>
              <w:rPr>
                <w:rFonts w:cs="Arial"/>
              </w:rPr>
              <w:t>0</w:t>
            </w:r>
          </w:p>
        </w:tc>
        <w:tc>
          <w:tcPr>
            <w:tcW w:w="1843" w:type="dxa"/>
            <w:tcBorders>
              <w:top w:val="single" w:sz="2" w:space="0" w:color="auto"/>
              <w:left w:val="single" w:sz="12" w:space="0" w:color="auto"/>
              <w:bottom w:val="single" w:sz="2" w:space="0" w:color="auto"/>
              <w:right w:val="single" w:sz="12" w:space="0" w:color="auto"/>
            </w:tcBorders>
            <w:shd w:val="clear" w:color="auto" w:fill="auto"/>
          </w:tcPr>
          <w:p w14:paraId="7595DA82" w14:textId="77777777" w:rsidR="00AB6753" w:rsidRPr="00F32D92" w:rsidRDefault="00AB6753" w:rsidP="002D1EA4">
            <w:pPr>
              <w:rPr>
                <w:rFonts w:cs="Arial"/>
                <w:sz w:val="20"/>
                <w:szCs w:val="20"/>
              </w:rPr>
            </w:pPr>
            <w:r>
              <w:rPr>
                <w:rFonts w:cs="Arial"/>
              </w:rPr>
              <w:t>0</w:t>
            </w:r>
          </w:p>
        </w:tc>
        <w:tc>
          <w:tcPr>
            <w:tcW w:w="1134" w:type="dxa"/>
            <w:tcBorders>
              <w:top w:val="single" w:sz="2" w:space="0" w:color="auto"/>
              <w:left w:val="single" w:sz="12" w:space="0" w:color="auto"/>
              <w:bottom w:val="single" w:sz="2" w:space="0" w:color="auto"/>
              <w:right w:val="single" w:sz="12" w:space="0" w:color="auto"/>
            </w:tcBorders>
            <w:shd w:val="clear" w:color="auto" w:fill="auto"/>
          </w:tcPr>
          <w:p w14:paraId="10ECADF5" w14:textId="77777777" w:rsidR="00AB6753" w:rsidRPr="00F32D92" w:rsidRDefault="00AB6753" w:rsidP="002D1EA4">
            <w:pPr>
              <w:rPr>
                <w:rFonts w:cs="Arial"/>
                <w:sz w:val="20"/>
                <w:szCs w:val="20"/>
              </w:rPr>
            </w:pPr>
            <w:r>
              <w:rPr>
                <w:rFonts w:cs="Arial"/>
              </w:rPr>
              <w:t>0</w:t>
            </w:r>
          </w:p>
        </w:tc>
        <w:tc>
          <w:tcPr>
            <w:tcW w:w="1275" w:type="dxa"/>
            <w:tcBorders>
              <w:top w:val="single" w:sz="2" w:space="0" w:color="auto"/>
              <w:left w:val="single" w:sz="12" w:space="0" w:color="auto"/>
              <w:bottom w:val="single" w:sz="2" w:space="0" w:color="auto"/>
              <w:right w:val="single" w:sz="12" w:space="0" w:color="auto"/>
            </w:tcBorders>
            <w:shd w:val="clear" w:color="auto" w:fill="auto"/>
          </w:tcPr>
          <w:p w14:paraId="62DA45E0" w14:textId="77777777" w:rsidR="00AB6753" w:rsidRPr="00F32D92" w:rsidRDefault="00AB6753" w:rsidP="002D1EA4">
            <w:pPr>
              <w:rPr>
                <w:rFonts w:cs="Arial"/>
                <w:sz w:val="20"/>
                <w:szCs w:val="20"/>
              </w:rPr>
            </w:pPr>
            <w:r>
              <w:rPr>
                <w:rFonts w:cs="Arial"/>
              </w:rPr>
              <w:t>0</w:t>
            </w:r>
          </w:p>
        </w:tc>
        <w:tc>
          <w:tcPr>
            <w:tcW w:w="1418" w:type="dxa"/>
            <w:tcBorders>
              <w:top w:val="single" w:sz="2" w:space="0" w:color="auto"/>
              <w:left w:val="single" w:sz="12" w:space="0" w:color="auto"/>
              <w:bottom w:val="single" w:sz="2" w:space="0" w:color="auto"/>
              <w:right w:val="single" w:sz="12" w:space="0" w:color="auto"/>
            </w:tcBorders>
            <w:shd w:val="clear" w:color="auto" w:fill="auto"/>
          </w:tcPr>
          <w:p w14:paraId="6AB79337" w14:textId="77777777" w:rsidR="00AB6753" w:rsidRPr="00F32D92" w:rsidRDefault="00AB6753" w:rsidP="002D1EA4">
            <w:pPr>
              <w:rPr>
                <w:rFonts w:cs="Arial"/>
                <w:sz w:val="20"/>
                <w:szCs w:val="20"/>
              </w:rPr>
            </w:pPr>
            <w:r>
              <w:rPr>
                <w:rFonts w:cs="Arial"/>
              </w:rPr>
              <w:t>0</w:t>
            </w:r>
          </w:p>
        </w:tc>
        <w:tc>
          <w:tcPr>
            <w:tcW w:w="1984" w:type="dxa"/>
            <w:tcBorders>
              <w:top w:val="single" w:sz="2" w:space="0" w:color="auto"/>
              <w:left w:val="single" w:sz="12" w:space="0" w:color="auto"/>
              <w:bottom w:val="single" w:sz="2" w:space="0" w:color="auto"/>
            </w:tcBorders>
            <w:shd w:val="clear" w:color="auto" w:fill="auto"/>
          </w:tcPr>
          <w:p w14:paraId="1F9793F4" w14:textId="77777777" w:rsidR="00AB6753" w:rsidRPr="00F32D92" w:rsidRDefault="00AB6753" w:rsidP="002D1EA4">
            <w:pPr>
              <w:rPr>
                <w:rFonts w:cs="Arial"/>
                <w:sz w:val="20"/>
                <w:szCs w:val="20"/>
              </w:rPr>
            </w:pPr>
            <w:r>
              <w:rPr>
                <w:rFonts w:cs="Arial"/>
              </w:rPr>
              <w:t>0</w:t>
            </w:r>
          </w:p>
        </w:tc>
      </w:tr>
      <w:tr w:rsidR="00AB6753" w:rsidRPr="00F32D92" w14:paraId="7716795D" w14:textId="77777777" w:rsidTr="002D1EA4">
        <w:tc>
          <w:tcPr>
            <w:tcW w:w="1735" w:type="dxa"/>
            <w:tcBorders>
              <w:top w:val="single" w:sz="2" w:space="0" w:color="auto"/>
              <w:bottom w:val="single" w:sz="2" w:space="0" w:color="auto"/>
              <w:right w:val="single" w:sz="12" w:space="0" w:color="auto"/>
            </w:tcBorders>
            <w:shd w:val="clear" w:color="auto" w:fill="auto"/>
            <w:vAlign w:val="bottom"/>
          </w:tcPr>
          <w:p w14:paraId="2EA6CEED" w14:textId="77777777" w:rsidR="00AB6753" w:rsidRPr="00F32D92" w:rsidRDefault="00AB6753" w:rsidP="002D1EA4">
            <w:pPr>
              <w:rPr>
                <w:rFonts w:cs="Arial"/>
                <w:sz w:val="20"/>
                <w:szCs w:val="20"/>
              </w:rPr>
            </w:pPr>
            <w:r w:rsidRPr="00F32D92">
              <w:rPr>
                <w:rFonts w:cs="Arial"/>
                <w:sz w:val="20"/>
                <w:szCs w:val="20"/>
              </w:rPr>
              <w:lastRenderedPageBreak/>
              <w:t>$445,001</w:t>
            </w:r>
            <w:r>
              <w:rPr>
                <w:rFonts w:cs="Arial"/>
                <w:sz w:val="20"/>
                <w:szCs w:val="20"/>
              </w:rPr>
              <w:t xml:space="preserve"> - </w:t>
            </w:r>
            <w:r w:rsidRPr="00F32D92">
              <w:rPr>
                <w:rFonts w:cs="Arial"/>
                <w:sz w:val="20"/>
                <w:szCs w:val="20"/>
              </w:rPr>
              <w:t>$470,000</w:t>
            </w:r>
          </w:p>
        </w:tc>
        <w:tc>
          <w:tcPr>
            <w:tcW w:w="1559" w:type="dxa"/>
            <w:tcBorders>
              <w:top w:val="single" w:sz="2" w:space="0" w:color="auto"/>
              <w:left w:val="single" w:sz="12" w:space="0" w:color="auto"/>
              <w:bottom w:val="single" w:sz="2" w:space="0" w:color="auto"/>
              <w:right w:val="single" w:sz="12" w:space="0" w:color="auto"/>
            </w:tcBorders>
            <w:shd w:val="clear" w:color="auto" w:fill="auto"/>
            <w:vAlign w:val="center"/>
          </w:tcPr>
          <w:p w14:paraId="505D1EE2" w14:textId="77777777" w:rsidR="00AB6753" w:rsidRPr="00F32D92" w:rsidRDefault="00AB6753" w:rsidP="002D1EA4">
            <w:pPr>
              <w:rPr>
                <w:rFonts w:cs="Arial"/>
                <w:sz w:val="20"/>
                <w:szCs w:val="20"/>
              </w:rPr>
            </w:pPr>
            <w:r w:rsidRPr="00433B49">
              <w:rPr>
                <w:rFonts w:cs="Arial"/>
              </w:rPr>
              <w:t>0</w:t>
            </w:r>
          </w:p>
        </w:tc>
        <w:tc>
          <w:tcPr>
            <w:tcW w:w="1134" w:type="dxa"/>
            <w:tcBorders>
              <w:top w:val="single" w:sz="2" w:space="0" w:color="auto"/>
              <w:left w:val="single" w:sz="12" w:space="0" w:color="auto"/>
              <w:bottom w:val="single" w:sz="2" w:space="0" w:color="auto"/>
              <w:right w:val="single" w:sz="12" w:space="0" w:color="auto"/>
            </w:tcBorders>
            <w:shd w:val="clear" w:color="auto" w:fill="auto"/>
          </w:tcPr>
          <w:p w14:paraId="1F769434" w14:textId="77777777" w:rsidR="00AB6753" w:rsidRPr="00F32D92" w:rsidRDefault="00AB6753" w:rsidP="002D1EA4">
            <w:pPr>
              <w:rPr>
                <w:rFonts w:cs="Arial"/>
                <w:sz w:val="20"/>
                <w:szCs w:val="20"/>
              </w:rPr>
            </w:pPr>
            <w:r>
              <w:rPr>
                <w:rFonts w:cs="Arial"/>
              </w:rPr>
              <w:t>0</w:t>
            </w:r>
          </w:p>
        </w:tc>
        <w:tc>
          <w:tcPr>
            <w:tcW w:w="1134" w:type="dxa"/>
            <w:tcBorders>
              <w:top w:val="single" w:sz="2" w:space="0" w:color="auto"/>
              <w:left w:val="single" w:sz="12" w:space="0" w:color="auto"/>
              <w:bottom w:val="single" w:sz="2" w:space="0" w:color="auto"/>
              <w:right w:val="single" w:sz="12" w:space="0" w:color="auto"/>
            </w:tcBorders>
            <w:shd w:val="clear" w:color="auto" w:fill="auto"/>
          </w:tcPr>
          <w:p w14:paraId="23204909" w14:textId="77777777" w:rsidR="00AB6753" w:rsidRPr="00F32D92" w:rsidRDefault="00AB6753" w:rsidP="002D1EA4">
            <w:pPr>
              <w:rPr>
                <w:rFonts w:cs="Arial"/>
                <w:sz w:val="20"/>
                <w:szCs w:val="20"/>
              </w:rPr>
            </w:pPr>
            <w:r>
              <w:rPr>
                <w:rFonts w:cs="Arial"/>
              </w:rPr>
              <w:t>0</w:t>
            </w:r>
          </w:p>
        </w:tc>
        <w:tc>
          <w:tcPr>
            <w:tcW w:w="1418" w:type="dxa"/>
            <w:tcBorders>
              <w:top w:val="single" w:sz="2" w:space="0" w:color="auto"/>
              <w:left w:val="single" w:sz="12" w:space="0" w:color="auto"/>
              <w:bottom w:val="single" w:sz="2" w:space="0" w:color="auto"/>
              <w:right w:val="single" w:sz="12" w:space="0" w:color="auto"/>
            </w:tcBorders>
            <w:shd w:val="clear" w:color="auto" w:fill="auto"/>
          </w:tcPr>
          <w:p w14:paraId="289EB650" w14:textId="77777777" w:rsidR="00AB6753" w:rsidRPr="00F32D92" w:rsidRDefault="00AB6753" w:rsidP="002D1EA4">
            <w:pPr>
              <w:rPr>
                <w:rFonts w:cs="Arial"/>
                <w:sz w:val="20"/>
                <w:szCs w:val="20"/>
              </w:rPr>
            </w:pPr>
            <w:r>
              <w:rPr>
                <w:rFonts w:cs="Arial"/>
              </w:rPr>
              <w:t>0</w:t>
            </w:r>
          </w:p>
        </w:tc>
        <w:tc>
          <w:tcPr>
            <w:tcW w:w="1843" w:type="dxa"/>
            <w:tcBorders>
              <w:top w:val="single" w:sz="2" w:space="0" w:color="auto"/>
              <w:left w:val="single" w:sz="12" w:space="0" w:color="auto"/>
              <w:bottom w:val="single" w:sz="2" w:space="0" w:color="auto"/>
              <w:right w:val="single" w:sz="12" w:space="0" w:color="auto"/>
            </w:tcBorders>
            <w:shd w:val="clear" w:color="auto" w:fill="auto"/>
          </w:tcPr>
          <w:p w14:paraId="6BC4DEF2" w14:textId="77777777" w:rsidR="00AB6753" w:rsidRPr="00F32D92" w:rsidRDefault="00AB6753" w:rsidP="002D1EA4">
            <w:pPr>
              <w:rPr>
                <w:rFonts w:cs="Arial"/>
                <w:sz w:val="20"/>
                <w:szCs w:val="20"/>
              </w:rPr>
            </w:pPr>
            <w:r>
              <w:rPr>
                <w:rFonts w:cs="Arial"/>
              </w:rPr>
              <w:t>0</w:t>
            </w:r>
          </w:p>
        </w:tc>
        <w:tc>
          <w:tcPr>
            <w:tcW w:w="1134" w:type="dxa"/>
            <w:tcBorders>
              <w:top w:val="single" w:sz="2" w:space="0" w:color="auto"/>
              <w:left w:val="single" w:sz="12" w:space="0" w:color="auto"/>
              <w:bottom w:val="single" w:sz="2" w:space="0" w:color="auto"/>
              <w:right w:val="single" w:sz="12" w:space="0" w:color="auto"/>
            </w:tcBorders>
            <w:shd w:val="clear" w:color="auto" w:fill="auto"/>
          </w:tcPr>
          <w:p w14:paraId="7AA9D97B" w14:textId="77777777" w:rsidR="00AB6753" w:rsidRPr="00F32D92" w:rsidRDefault="00AB6753" w:rsidP="002D1EA4">
            <w:pPr>
              <w:rPr>
                <w:rFonts w:cs="Arial"/>
                <w:sz w:val="20"/>
                <w:szCs w:val="20"/>
              </w:rPr>
            </w:pPr>
            <w:r>
              <w:rPr>
                <w:rFonts w:cs="Arial"/>
              </w:rPr>
              <w:t>0</w:t>
            </w:r>
          </w:p>
        </w:tc>
        <w:tc>
          <w:tcPr>
            <w:tcW w:w="1275" w:type="dxa"/>
            <w:tcBorders>
              <w:top w:val="single" w:sz="2" w:space="0" w:color="auto"/>
              <w:left w:val="single" w:sz="12" w:space="0" w:color="auto"/>
              <w:bottom w:val="single" w:sz="2" w:space="0" w:color="auto"/>
              <w:right w:val="single" w:sz="12" w:space="0" w:color="auto"/>
            </w:tcBorders>
            <w:shd w:val="clear" w:color="auto" w:fill="auto"/>
          </w:tcPr>
          <w:p w14:paraId="61092F5B" w14:textId="77777777" w:rsidR="00AB6753" w:rsidRPr="00F32D92" w:rsidRDefault="00AB6753" w:rsidP="002D1EA4">
            <w:pPr>
              <w:rPr>
                <w:rFonts w:cs="Arial"/>
                <w:sz w:val="20"/>
                <w:szCs w:val="20"/>
              </w:rPr>
            </w:pPr>
            <w:r>
              <w:rPr>
                <w:rFonts w:cs="Arial"/>
              </w:rPr>
              <w:t>0</w:t>
            </w:r>
          </w:p>
        </w:tc>
        <w:tc>
          <w:tcPr>
            <w:tcW w:w="1418" w:type="dxa"/>
            <w:tcBorders>
              <w:top w:val="single" w:sz="2" w:space="0" w:color="auto"/>
              <w:left w:val="single" w:sz="12" w:space="0" w:color="auto"/>
              <w:bottom w:val="single" w:sz="2" w:space="0" w:color="auto"/>
              <w:right w:val="single" w:sz="12" w:space="0" w:color="auto"/>
            </w:tcBorders>
            <w:shd w:val="clear" w:color="auto" w:fill="auto"/>
          </w:tcPr>
          <w:p w14:paraId="386A90A6" w14:textId="77777777" w:rsidR="00AB6753" w:rsidRPr="00F32D92" w:rsidRDefault="00AB6753" w:rsidP="002D1EA4">
            <w:pPr>
              <w:rPr>
                <w:rFonts w:cs="Arial"/>
                <w:sz w:val="20"/>
                <w:szCs w:val="20"/>
              </w:rPr>
            </w:pPr>
            <w:r>
              <w:rPr>
                <w:rFonts w:cs="Arial"/>
              </w:rPr>
              <w:t>0</w:t>
            </w:r>
          </w:p>
        </w:tc>
        <w:tc>
          <w:tcPr>
            <w:tcW w:w="1984" w:type="dxa"/>
            <w:tcBorders>
              <w:top w:val="single" w:sz="2" w:space="0" w:color="auto"/>
              <w:left w:val="single" w:sz="12" w:space="0" w:color="auto"/>
              <w:bottom w:val="single" w:sz="2" w:space="0" w:color="auto"/>
            </w:tcBorders>
            <w:shd w:val="clear" w:color="auto" w:fill="auto"/>
          </w:tcPr>
          <w:p w14:paraId="6B3BFAEE" w14:textId="77777777" w:rsidR="00AB6753" w:rsidRPr="00F32D92" w:rsidRDefault="00AB6753" w:rsidP="002D1EA4">
            <w:pPr>
              <w:rPr>
                <w:rFonts w:cs="Arial"/>
                <w:sz w:val="20"/>
                <w:szCs w:val="20"/>
              </w:rPr>
            </w:pPr>
            <w:r>
              <w:rPr>
                <w:rFonts w:cs="Arial"/>
              </w:rPr>
              <w:t>0</w:t>
            </w:r>
          </w:p>
        </w:tc>
      </w:tr>
      <w:tr w:rsidR="00AB6753" w:rsidRPr="00F32D92" w14:paraId="2D3E0BBE" w14:textId="77777777" w:rsidTr="002D1EA4">
        <w:tc>
          <w:tcPr>
            <w:tcW w:w="1735" w:type="dxa"/>
            <w:tcBorders>
              <w:top w:val="single" w:sz="2" w:space="0" w:color="auto"/>
              <w:bottom w:val="single" w:sz="2" w:space="0" w:color="auto"/>
              <w:right w:val="single" w:sz="12" w:space="0" w:color="auto"/>
            </w:tcBorders>
            <w:shd w:val="clear" w:color="auto" w:fill="auto"/>
            <w:vAlign w:val="bottom"/>
          </w:tcPr>
          <w:p w14:paraId="343ADD32" w14:textId="77777777" w:rsidR="00AB6753" w:rsidRPr="00F32D92" w:rsidRDefault="00AB6753" w:rsidP="002D1EA4">
            <w:pPr>
              <w:rPr>
                <w:rFonts w:cs="Arial"/>
                <w:sz w:val="20"/>
                <w:szCs w:val="20"/>
              </w:rPr>
            </w:pPr>
            <w:r w:rsidRPr="00F32D92">
              <w:rPr>
                <w:rFonts w:cs="Arial"/>
                <w:sz w:val="20"/>
                <w:szCs w:val="20"/>
              </w:rPr>
              <w:t>$470,001</w:t>
            </w:r>
            <w:r>
              <w:rPr>
                <w:rFonts w:cs="Arial"/>
                <w:sz w:val="20"/>
                <w:szCs w:val="20"/>
              </w:rPr>
              <w:t xml:space="preserve"> - </w:t>
            </w:r>
            <w:r w:rsidRPr="00F32D92">
              <w:rPr>
                <w:rFonts w:cs="Arial"/>
                <w:sz w:val="20"/>
                <w:szCs w:val="20"/>
              </w:rPr>
              <w:t>$495,000</w:t>
            </w:r>
          </w:p>
        </w:tc>
        <w:tc>
          <w:tcPr>
            <w:tcW w:w="1559" w:type="dxa"/>
            <w:tcBorders>
              <w:top w:val="single" w:sz="2" w:space="0" w:color="auto"/>
              <w:left w:val="single" w:sz="12" w:space="0" w:color="auto"/>
              <w:bottom w:val="single" w:sz="2" w:space="0" w:color="auto"/>
              <w:right w:val="single" w:sz="12" w:space="0" w:color="auto"/>
            </w:tcBorders>
            <w:shd w:val="clear" w:color="auto" w:fill="auto"/>
            <w:vAlign w:val="center"/>
          </w:tcPr>
          <w:p w14:paraId="51449D1B" w14:textId="77777777" w:rsidR="00AB6753" w:rsidRPr="00F32D92" w:rsidRDefault="00AB6753" w:rsidP="002D1EA4">
            <w:pPr>
              <w:rPr>
                <w:rFonts w:cs="Arial"/>
                <w:sz w:val="20"/>
                <w:szCs w:val="20"/>
              </w:rPr>
            </w:pPr>
            <w:r w:rsidRPr="00433B49">
              <w:rPr>
                <w:rFonts w:cs="Arial"/>
              </w:rPr>
              <w:t>0</w:t>
            </w:r>
          </w:p>
        </w:tc>
        <w:tc>
          <w:tcPr>
            <w:tcW w:w="1134" w:type="dxa"/>
            <w:tcBorders>
              <w:top w:val="single" w:sz="2" w:space="0" w:color="auto"/>
              <w:left w:val="single" w:sz="12" w:space="0" w:color="auto"/>
              <w:bottom w:val="single" w:sz="2" w:space="0" w:color="auto"/>
              <w:right w:val="single" w:sz="12" w:space="0" w:color="auto"/>
            </w:tcBorders>
            <w:shd w:val="clear" w:color="auto" w:fill="auto"/>
          </w:tcPr>
          <w:p w14:paraId="504BFBC2" w14:textId="77777777" w:rsidR="00AB6753" w:rsidRPr="00F32D92" w:rsidRDefault="00AB6753" w:rsidP="002D1EA4">
            <w:pPr>
              <w:rPr>
                <w:rFonts w:cs="Arial"/>
                <w:sz w:val="20"/>
                <w:szCs w:val="20"/>
              </w:rPr>
            </w:pPr>
            <w:r>
              <w:rPr>
                <w:rFonts w:cs="Arial"/>
              </w:rPr>
              <w:t>0</w:t>
            </w:r>
          </w:p>
        </w:tc>
        <w:tc>
          <w:tcPr>
            <w:tcW w:w="1134" w:type="dxa"/>
            <w:tcBorders>
              <w:top w:val="single" w:sz="2" w:space="0" w:color="auto"/>
              <w:left w:val="single" w:sz="12" w:space="0" w:color="auto"/>
              <w:bottom w:val="single" w:sz="2" w:space="0" w:color="auto"/>
              <w:right w:val="single" w:sz="12" w:space="0" w:color="auto"/>
            </w:tcBorders>
            <w:shd w:val="clear" w:color="auto" w:fill="auto"/>
          </w:tcPr>
          <w:p w14:paraId="0E063159" w14:textId="77777777" w:rsidR="00AB6753" w:rsidRPr="00F32D92" w:rsidRDefault="00AB6753" w:rsidP="002D1EA4">
            <w:pPr>
              <w:rPr>
                <w:rFonts w:cs="Arial"/>
                <w:sz w:val="20"/>
                <w:szCs w:val="20"/>
              </w:rPr>
            </w:pPr>
            <w:r>
              <w:rPr>
                <w:rFonts w:cs="Arial"/>
              </w:rPr>
              <w:t>0</w:t>
            </w:r>
          </w:p>
        </w:tc>
        <w:tc>
          <w:tcPr>
            <w:tcW w:w="1418" w:type="dxa"/>
            <w:tcBorders>
              <w:top w:val="single" w:sz="2" w:space="0" w:color="auto"/>
              <w:left w:val="single" w:sz="12" w:space="0" w:color="auto"/>
              <w:bottom w:val="single" w:sz="2" w:space="0" w:color="auto"/>
              <w:right w:val="single" w:sz="12" w:space="0" w:color="auto"/>
            </w:tcBorders>
            <w:shd w:val="clear" w:color="auto" w:fill="auto"/>
          </w:tcPr>
          <w:p w14:paraId="1E9FDE14" w14:textId="77777777" w:rsidR="00AB6753" w:rsidRPr="00F32D92" w:rsidRDefault="00AB6753" w:rsidP="002D1EA4">
            <w:pPr>
              <w:rPr>
                <w:rFonts w:cs="Arial"/>
                <w:sz w:val="20"/>
                <w:szCs w:val="20"/>
              </w:rPr>
            </w:pPr>
            <w:r>
              <w:rPr>
                <w:rFonts w:cs="Arial"/>
              </w:rPr>
              <w:t>0</w:t>
            </w:r>
          </w:p>
        </w:tc>
        <w:tc>
          <w:tcPr>
            <w:tcW w:w="1843" w:type="dxa"/>
            <w:tcBorders>
              <w:top w:val="single" w:sz="2" w:space="0" w:color="auto"/>
              <w:left w:val="single" w:sz="12" w:space="0" w:color="auto"/>
              <w:bottom w:val="single" w:sz="2" w:space="0" w:color="auto"/>
              <w:right w:val="single" w:sz="12" w:space="0" w:color="auto"/>
            </w:tcBorders>
            <w:shd w:val="clear" w:color="auto" w:fill="auto"/>
          </w:tcPr>
          <w:p w14:paraId="76176853" w14:textId="77777777" w:rsidR="00AB6753" w:rsidRPr="00F32D92" w:rsidRDefault="00AB6753" w:rsidP="002D1EA4">
            <w:pPr>
              <w:rPr>
                <w:rFonts w:cs="Arial"/>
                <w:sz w:val="20"/>
                <w:szCs w:val="20"/>
              </w:rPr>
            </w:pPr>
            <w:r>
              <w:rPr>
                <w:rFonts w:cs="Arial"/>
              </w:rPr>
              <w:t>0</w:t>
            </w:r>
          </w:p>
        </w:tc>
        <w:tc>
          <w:tcPr>
            <w:tcW w:w="1134" w:type="dxa"/>
            <w:tcBorders>
              <w:top w:val="single" w:sz="2" w:space="0" w:color="auto"/>
              <w:left w:val="single" w:sz="12" w:space="0" w:color="auto"/>
              <w:bottom w:val="single" w:sz="2" w:space="0" w:color="auto"/>
              <w:right w:val="single" w:sz="12" w:space="0" w:color="auto"/>
            </w:tcBorders>
            <w:shd w:val="clear" w:color="auto" w:fill="auto"/>
          </w:tcPr>
          <w:p w14:paraId="7B0A27CB" w14:textId="77777777" w:rsidR="00AB6753" w:rsidRPr="00F32D92" w:rsidRDefault="00AB6753" w:rsidP="002D1EA4">
            <w:pPr>
              <w:rPr>
                <w:rFonts w:cs="Arial"/>
                <w:sz w:val="20"/>
                <w:szCs w:val="20"/>
              </w:rPr>
            </w:pPr>
            <w:r>
              <w:rPr>
                <w:rFonts w:cs="Arial"/>
              </w:rPr>
              <w:t>0</w:t>
            </w:r>
          </w:p>
        </w:tc>
        <w:tc>
          <w:tcPr>
            <w:tcW w:w="1275" w:type="dxa"/>
            <w:tcBorders>
              <w:top w:val="single" w:sz="2" w:space="0" w:color="auto"/>
              <w:left w:val="single" w:sz="12" w:space="0" w:color="auto"/>
              <w:bottom w:val="single" w:sz="2" w:space="0" w:color="auto"/>
              <w:right w:val="single" w:sz="12" w:space="0" w:color="auto"/>
            </w:tcBorders>
            <w:shd w:val="clear" w:color="auto" w:fill="auto"/>
          </w:tcPr>
          <w:p w14:paraId="4FA58976" w14:textId="77777777" w:rsidR="00AB6753" w:rsidRPr="00F32D92" w:rsidRDefault="00AB6753" w:rsidP="002D1EA4">
            <w:pPr>
              <w:rPr>
                <w:rFonts w:cs="Arial"/>
                <w:sz w:val="20"/>
                <w:szCs w:val="20"/>
              </w:rPr>
            </w:pPr>
            <w:r>
              <w:rPr>
                <w:rFonts w:cs="Arial"/>
              </w:rPr>
              <w:t>0</w:t>
            </w:r>
          </w:p>
        </w:tc>
        <w:tc>
          <w:tcPr>
            <w:tcW w:w="1418" w:type="dxa"/>
            <w:tcBorders>
              <w:top w:val="single" w:sz="2" w:space="0" w:color="auto"/>
              <w:left w:val="single" w:sz="12" w:space="0" w:color="auto"/>
              <w:bottom w:val="single" w:sz="2" w:space="0" w:color="auto"/>
              <w:right w:val="single" w:sz="12" w:space="0" w:color="auto"/>
            </w:tcBorders>
            <w:shd w:val="clear" w:color="auto" w:fill="auto"/>
          </w:tcPr>
          <w:p w14:paraId="1C97514E" w14:textId="77777777" w:rsidR="00AB6753" w:rsidRPr="00F32D92" w:rsidRDefault="00AB6753" w:rsidP="002D1EA4">
            <w:pPr>
              <w:rPr>
                <w:rFonts w:cs="Arial"/>
                <w:sz w:val="20"/>
                <w:szCs w:val="20"/>
              </w:rPr>
            </w:pPr>
            <w:r>
              <w:rPr>
                <w:rFonts w:cs="Arial"/>
              </w:rPr>
              <w:t>0</w:t>
            </w:r>
          </w:p>
        </w:tc>
        <w:tc>
          <w:tcPr>
            <w:tcW w:w="1984" w:type="dxa"/>
            <w:tcBorders>
              <w:top w:val="single" w:sz="2" w:space="0" w:color="auto"/>
              <w:left w:val="single" w:sz="12" w:space="0" w:color="auto"/>
              <w:bottom w:val="single" w:sz="2" w:space="0" w:color="auto"/>
            </w:tcBorders>
            <w:shd w:val="clear" w:color="auto" w:fill="auto"/>
          </w:tcPr>
          <w:p w14:paraId="7416E437" w14:textId="77777777" w:rsidR="00AB6753" w:rsidRPr="00F32D92" w:rsidRDefault="00AB6753" w:rsidP="002D1EA4">
            <w:pPr>
              <w:rPr>
                <w:rFonts w:cs="Arial"/>
                <w:sz w:val="20"/>
                <w:szCs w:val="20"/>
              </w:rPr>
            </w:pPr>
            <w:r>
              <w:rPr>
                <w:rFonts w:cs="Arial"/>
              </w:rPr>
              <w:t>0</w:t>
            </w:r>
          </w:p>
        </w:tc>
      </w:tr>
      <w:tr w:rsidR="00AB6753" w:rsidRPr="00F32D92" w14:paraId="171C88DE" w14:textId="77777777" w:rsidTr="002D1EA4">
        <w:tc>
          <w:tcPr>
            <w:tcW w:w="1735" w:type="dxa"/>
            <w:tcBorders>
              <w:top w:val="single" w:sz="2" w:space="0" w:color="auto"/>
              <w:bottom w:val="single" w:sz="12" w:space="0" w:color="auto"/>
              <w:right w:val="single" w:sz="12" w:space="0" w:color="auto"/>
            </w:tcBorders>
            <w:shd w:val="clear" w:color="auto" w:fill="auto"/>
            <w:vAlign w:val="bottom"/>
          </w:tcPr>
          <w:p w14:paraId="405531F1" w14:textId="77777777" w:rsidR="00AB6753" w:rsidRPr="00F32D92" w:rsidRDefault="00AB6753" w:rsidP="002D1EA4">
            <w:pPr>
              <w:rPr>
                <w:rFonts w:cs="Arial"/>
                <w:sz w:val="20"/>
                <w:szCs w:val="20"/>
              </w:rPr>
            </w:pPr>
            <w:r w:rsidRPr="00F32D92">
              <w:rPr>
                <w:rFonts w:cs="Arial"/>
                <w:sz w:val="20"/>
                <w:szCs w:val="20"/>
              </w:rPr>
              <w:t>$495,001</w:t>
            </w:r>
          </w:p>
        </w:tc>
        <w:tc>
          <w:tcPr>
            <w:tcW w:w="1559" w:type="dxa"/>
            <w:tcBorders>
              <w:top w:val="single" w:sz="2" w:space="0" w:color="auto"/>
              <w:left w:val="single" w:sz="12" w:space="0" w:color="auto"/>
              <w:bottom w:val="single" w:sz="12" w:space="0" w:color="auto"/>
              <w:right w:val="single" w:sz="12" w:space="0" w:color="auto"/>
            </w:tcBorders>
            <w:shd w:val="clear" w:color="auto" w:fill="auto"/>
            <w:vAlign w:val="center"/>
          </w:tcPr>
          <w:p w14:paraId="1F69D40D" w14:textId="77777777" w:rsidR="00AB6753" w:rsidRPr="00F32D92" w:rsidRDefault="00AB6753" w:rsidP="002D1EA4">
            <w:pPr>
              <w:rPr>
                <w:rFonts w:cs="Arial"/>
                <w:sz w:val="20"/>
                <w:szCs w:val="20"/>
              </w:rPr>
            </w:pPr>
            <w:r w:rsidRPr="00433B49">
              <w:rPr>
                <w:rFonts w:cs="Arial"/>
              </w:rPr>
              <w:t>0</w:t>
            </w:r>
          </w:p>
        </w:tc>
        <w:tc>
          <w:tcPr>
            <w:tcW w:w="1134" w:type="dxa"/>
            <w:tcBorders>
              <w:top w:val="single" w:sz="2" w:space="0" w:color="auto"/>
              <w:left w:val="single" w:sz="12" w:space="0" w:color="auto"/>
              <w:bottom w:val="single" w:sz="12" w:space="0" w:color="auto"/>
              <w:right w:val="single" w:sz="12" w:space="0" w:color="auto"/>
            </w:tcBorders>
            <w:shd w:val="clear" w:color="auto" w:fill="auto"/>
          </w:tcPr>
          <w:p w14:paraId="39F8C6F9" w14:textId="77777777" w:rsidR="00AB6753" w:rsidRPr="00F32D92" w:rsidRDefault="00AB6753" w:rsidP="002D1EA4">
            <w:pPr>
              <w:rPr>
                <w:rFonts w:cs="Arial"/>
                <w:sz w:val="20"/>
                <w:szCs w:val="20"/>
              </w:rPr>
            </w:pPr>
            <w:r>
              <w:rPr>
                <w:rFonts w:cs="Arial"/>
              </w:rPr>
              <w:t>0</w:t>
            </w:r>
          </w:p>
        </w:tc>
        <w:tc>
          <w:tcPr>
            <w:tcW w:w="1134" w:type="dxa"/>
            <w:tcBorders>
              <w:top w:val="single" w:sz="2" w:space="0" w:color="auto"/>
              <w:left w:val="single" w:sz="12" w:space="0" w:color="auto"/>
              <w:bottom w:val="single" w:sz="12" w:space="0" w:color="auto"/>
              <w:right w:val="single" w:sz="12" w:space="0" w:color="auto"/>
            </w:tcBorders>
            <w:shd w:val="clear" w:color="auto" w:fill="auto"/>
          </w:tcPr>
          <w:p w14:paraId="17F6068A" w14:textId="77777777" w:rsidR="00AB6753" w:rsidRPr="00F32D92" w:rsidRDefault="00AB6753" w:rsidP="002D1EA4">
            <w:pPr>
              <w:rPr>
                <w:rFonts w:cs="Arial"/>
                <w:sz w:val="20"/>
                <w:szCs w:val="20"/>
              </w:rPr>
            </w:pPr>
            <w:r>
              <w:rPr>
                <w:rFonts w:cs="Arial"/>
              </w:rPr>
              <w:t>0</w:t>
            </w:r>
          </w:p>
        </w:tc>
        <w:tc>
          <w:tcPr>
            <w:tcW w:w="1418" w:type="dxa"/>
            <w:tcBorders>
              <w:top w:val="single" w:sz="2" w:space="0" w:color="auto"/>
              <w:left w:val="single" w:sz="12" w:space="0" w:color="auto"/>
              <w:bottom w:val="single" w:sz="12" w:space="0" w:color="auto"/>
              <w:right w:val="single" w:sz="12" w:space="0" w:color="auto"/>
            </w:tcBorders>
            <w:shd w:val="clear" w:color="auto" w:fill="auto"/>
          </w:tcPr>
          <w:p w14:paraId="5465ABEE" w14:textId="77777777" w:rsidR="00AB6753" w:rsidRPr="00F32D92" w:rsidRDefault="00AB6753" w:rsidP="002D1EA4">
            <w:pPr>
              <w:rPr>
                <w:rFonts w:cs="Arial"/>
                <w:sz w:val="20"/>
                <w:szCs w:val="20"/>
              </w:rPr>
            </w:pPr>
            <w:r>
              <w:rPr>
                <w:rFonts w:cs="Arial"/>
              </w:rPr>
              <w:t>0</w:t>
            </w:r>
          </w:p>
        </w:tc>
        <w:tc>
          <w:tcPr>
            <w:tcW w:w="1843" w:type="dxa"/>
            <w:tcBorders>
              <w:top w:val="single" w:sz="2" w:space="0" w:color="auto"/>
              <w:left w:val="single" w:sz="12" w:space="0" w:color="auto"/>
              <w:bottom w:val="single" w:sz="12" w:space="0" w:color="auto"/>
              <w:right w:val="single" w:sz="12" w:space="0" w:color="auto"/>
            </w:tcBorders>
            <w:shd w:val="clear" w:color="auto" w:fill="auto"/>
          </w:tcPr>
          <w:p w14:paraId="5B81B475" w14:textId="77777777" w:rsidR="00AB6753" w:rsidRPr="00F32D92" w:rsidRDefault="00AB6753" w:rsidP="002D1EA4">
            <w:pPr>
              <w:rPr>
                <w:rFonts w:cs="Arial"/>
                <w:sz w:val="20"/>
                <w:szCs w:val="20"/>
              </w:rPr>
            </w:pPr>
            <w:r>
              <w:rPr>
                <w:rFonts w:cs="Arial"/>
              </w:rPr>
              <w:t>0</w:t>
            </w:r>
          </w:p>
        </w:tc>
        <w:tc>
          <w:tcPr>
            <w:tcW w:w="1134" w:type="dxa"/>
            <w:tcBorders>
              <w:top w:val="single" w:sz="2" w:space="0" w:color="auto"/>
              <w:left w:val="single" w:sz="12" w:space="0" w:color="auto"/>
              <w:bottom w:val="single" w:sz="12" w:space="0" w:color="auto"/>
              <w:right w:val="single" w:sz="12" w:space="0" w:color="auto"/>
            </w:tcBorders>
            <w:shd w:val="clear" w:color="auto" w:fill="auto"/>
          </w:tcPr>
          <w:p w14:paraId="19F4D508" w14:textId="77777777" w:rsidR="00AB6753" w:rsidRPr="00F32D92" w:rsidRDefault="00AB6753" w:rsidP="002D1EA4">
            <w:pPr>
              <w:rPr>
                <w:rFonts w:cs="Arial"/>
                <w:sz w:val="20"/>
                <w:szCs w:val="20"/>
              </w:rPr>
            </w:pPr>
            <w:r>
              <w:rPr>
                <w:rFonts w:cs="Arial"/>
              </w:rPr>
              <w:t>0</w:t>
            </w:r>
          </w:p>
        </w:tc>
        <w:tc>
          <w:tcPr>
            <w:tcW w:w="1275" w:type="dxa"/>
            <w:tcBorders>
              <w:top w:val="single" w:sz="2" w:space="0" w:color="auto"/>
              <w:left w:val="single" w:sz="12" w:space="0" w:color="auto"/>
              <w:bottom w:val="single" w:sz="12" w:space="0" w:color="auto"/>
              <w:right w:val="single" w:sz="12" w:space="0" w:color="auto"/>
            </w:tcBorders>
            <w:shd w:val="clear" w:color="auto" w:fill="auto"/>
          </w:tcPr>
          <w:p w14:paraId="609D564B" w14:textId="77777777" w:rsidR="00AB6753" w:rsidRPr="00F32D92" w:rsidRDefault="00AB6753" w:rsidP="002D1EA4">
            <w:pPr>
              <w:rPr>
                <w:rFonts w:cs="Arial"/>
                <w:sz w:val="20"/>
                <w:szCs w:val="20"/>
              </w:rPr>
            </w:pPr>
            <w:r>
              <w:rPr>
                <w:rFonts w:cs="Arial"/>
              </w:rPr>
              <w:t>0</w:t>
            </w:r>
          </w:p>
        </w:tc>
        <w:tc>
          <w:tcPr>
            <w:tcW w:w="1418" w:type="dxa"/>
            <w:tcBorders>
              <w:top w:val="single" w:sz="2" w:space="0" w:color="auto"/>
              <w:left w:val="single" w:sz="12" w:space="0" w:color="auto"/>
              <w:bottom w:val="single" w:sz="12" w:space="0" w:color="auto"/>
              <w:right w:val="single" w:sz="12" w:space="0" w:color="auto"/>
            </w:tcBorders>
            <w:shd w:val="clear" w:color="auto" w:fill="auto"/>
          </w:tcPr>
          <w:p w14:paraId="0F04528A" w14:textId="77777777" w:rsidR="00AB6753" w:rsidRPr="00F32D92" w:rsidRDefault="00AB6753" w:rsidP="002D1EA4">
            <w:pPr>
              <w:rPr>
                <w:rFonts w:cs="Arial"/>
                <w:sz w:val="20"/>
                <w:szCs w:val="20"/>
              </w:rPr>
            </w:pPr>
            <w:r>
              <w:rPr>
                <w:rFonts w:cs="Arial"/>
              </w:rPr>
              <w:t>0</w:t>
            </w:r>
          </w:p>
        </w:tc>
        <w:tc>
          <w:tcPr>
            <w:tcW w:w="1984" w:type="dxa"/>
            <w:tcBorders>
              <w:top w:val="single" w:sz="2" w:space="0" w:color="auto"/>
              <w:left w:val="single" w:sz="12" w:space="0" w:color="auto"/>
              <w:bottom w:val="single" w:sz="12" w:space="0" w:color="auto"/>
            </w:tcBorders>
            <w:shd w:val="clear" w:color="auto" w:fill="auto"/>
          </w:tcPr>
          <w:p w14:paraId="33DF4310" w14:textId="77777777" w:rsidR="00AB6753" w:rsidRPr="00F32D92" w:rsidRDefault="00AB6753" w:rsidP="002D1EA4">
            <w:pPr>
              <w:rPr>
                <w:rFonts w:cs="Arial"/>
                <w:sz w:val="20"/>
                <w:szCs w:val="20"/>
              </w:rPr>
            </w:pPr>
            <w:r>
              <w:rPr>
                <w:rFonts w:cs="Arial"/>
              </w:rPr>
              <w:t>0</w:t>
            </w:r>
          </w:p>
        </w:tc>
      </w:tr>
    </w:tbl>
    <w:p w14:paraId="6673F252" w14:textId="77777777" w:rsidR="007D0877" w:rsidRPr="007D0877" w:rsidRDefault="00AB6753" w:rsidP="007D0877">
      <w:pPr>
        <w:autoSpaceDE w:val="0"/>
        <w:autoSpaceDN w:val="0"/>
        <w:adjustRightInd w:val="0"/>
        <w:spacing w:before="200" w:line="221" w:lineRule="atLeast"/>
        <w:ind w:right="-164"/>
        <w:rPr>
          <w:sz w:val="20"/>
          <w:szCs w:val="20"/>
        </w:rPr>
      </w:pPr>
      <w:r w:rsidRPr="007D0877">
        <w:rPr>
          <w:sz w:val="20"/>
          <w:szCs w:val="20"/>
        </w:rPr>
        <w:t xml:space="preserve">Note: </w:t>
      </w:r>
    </w:p>
    <w:p w14:paraId="3CBB6E23" w14:textId="4B03A8EA" w:rsidR="00AB6753" w:rsidRPr="00CF02C1" w:rsidRDefault="00AB6753" w:rsidP="002F6A94">
      <w:pPr>
        <w:pStyle w:val="ListParagraph"/>
        <w:numPr>
          <w:ilvl w:val="0"/>
          <w:numId w:val="37"/>
        </w:numPr>
        <w:autoSpaceDE w:val="0"/>
        <w:autoSpaceDN w:val="0"/>
        <w:adjustRightInd w:val="0"/>
        <w:spacing w:before="200" w:line="221" w:lineRule="atLeast"/>
        <w:ind w:right="-164"/>
      </w:pPr>
      <w:r w:rsidRPr="00123D6C">
        <w:rPr>
          <w:sz w:val="20"/>
          <w:szCs w:val="20"/>
        </w:rPr>
        <w:t>No employees qualify for reporting in this table. All non-SES employees had remunerations below $220,000 threshold.</w:t>
      </w:r>
      <w:r w:rsidRPr="00CF02C1">
        <w:br w:type="page"/>
      </w:r>
    </w:p>
    <w:p w14:paraId="7D7D051C" w14:textId="77777777" w:rsidR="00AB6753" w:rsidRPr="00CF02C1" w:rsidRDefault="00AB6753" w:rsidP="00AB6753">
      <w:pPr>
        <w:sectPr w:rsidR="00AB6753" w:rsidRPr="00CF02C1" w:rsidSect="00F903A2">
          <w:headerReference w:type="default" r:id="rId74"/>
          <w:pgSz w:w="16838" w:h="11906" w:orient="landscape"/>
          <w:pgMar w:top="851" w:right="1440" w:bottom="1134" w:left="1440" w:header="709" w:footer="709" w:gutter="0"/>
          <w:cols w:space="708"/>
          <w:docGrid w:linePitch="360"/>
        </w:sectPr>
      </w:pPr>
      <w:bookmarkStart w:id="284" w:name="_Toc5705952"/>
    </w:p>
    <w:p w14:paraId="4039FF8E" w14:textId="77777777" w:rsidR="00AB6753" w:rsidRPr="00A050FC" w:rsidRDefault="00AB6753" w:rsidP="00AB6753">
      <w:pPr>
        <w:rPr>
          <w:rFonts w:ascii="Arial Narrow" w:hAnsi="Arial Narrow" w:cs="Calibri"/>
          <w:b/>
          <w:sz w:val="20"/>
          <w:szCs w:val="20"/>
        </w:rPr>
      </w:pPr>
      <w:bookmarkStart w:id="285" w:name="_Toc5705953"/>
      <w:bookmarkEnd w:id="284"/>
      <w:r>
        <w:rPr>
          <w:rFonts w:ascii="Arial Narrow" w:hAnsi="Arial Narrow" w:cs="Calibri"/>
          <w:b/>
          <w:sz w:val="20"/>
          <w:szCs w:val="20"/>
        </w:rPr>
        <w:lastRenderedPageBreak/>
        <w:t xml:space="preserve">Table F-4 </w:t>
      </w:r>
      <w:r w:rsidRPr="00A050FC">
        <w:rPr>
          <w:rFonts w:ascii="Arial Narrow" w:hAnsi="Arial Narrow" w:cs="Calibri"/>
          <w:b/>
          <w:sz w:val="20"/>
          <w:szCs w:val="20"/>
        </w:rPr>
        <w:t>17AE (1)(aa)(</w:t>
      </w:r>
      <w:proofErr w:type="spellStart"/>
      <w:r w:rsidRPr="00A050FC">
        <w:rPr>
          <w:rFonts w:ascii="Arial Narrow" w:hAnsi="Arial Narrow" w:cs="Calibri"/>
          <w:b/>
          <w:sz w:val="20"/>
          <w:szCs w:val="20"/>
        </w:rPr>
        <w:t>i</w:t>
      </w:r>
      <w:proofErr w:type="spellEnd"/>
      <w:r w:rsidRPr="00A050FC">
        <w:rPr>
          <w:rFonts w:ascii="Arial Narrow" w:hAnsi="Arial Narrow" w:cs="Calibri"/>
          <w:b/>
          <w:sz w:val="20"/>
          <w:szCs w:val="20"/>
        </w:rPr>
        <w:t>) – (iii) — Accountable Authority details of Accountable Authority during the reporting period Current Report Period (2019–20)</w:t>
      </w:r>
      <w:bookmarkEnd w:id="285"/>
    </w:p>
    <w:tbl>
      <w:tblPr>
        <w:tblW w:w="0" w:type="auto"/>
        <w:jc w:val="center"/>
        <w:tblCellMar>
          <w:left w:w="0" w:type="dxa"/>
          <w:right w:w="0" w:type="dxa"/>
        </w:tblCellMar>
        <w:tblLook w:val="06A0" w:firstRow="1" w:lastRow="0" w:firstColumn="1" w:lastColumn="0" w:noHBand="1" w:noVBand="1"/>
        <w:tblCaption w:val="Table F-4 17AE (1)(aa)(i)–(iii) Accountable Authority"/>
        <w:tblDescription w:val="Table 17AE (1)(aa)(i)–(iii) Accountable Authority. Details of Accountable Authority during the reporting period. Current Report Period (2019-20)."/>
      </w:tblPr>
      <w:tblGrid>
        <w:gridCol w:w="1838"/>
        <w:gridCol w:w="2009"/>
        <w:gridCol w:w="2947"/>
        <w:gridCol w:w="2212"/>
      </w:tblGrid>
      <w:tr w:rsidR="00AB6753" w:rsidRPr="00F32D92" w14:paraId="3101C841" w14:textId="77777777" w:rsidTr="002D1EA4">
        <w:trPr>
          <w:trHeight w:val="254"/>
          <w:jc w:val="center"/>
        </w:trPr>
        <w:tc>
          <w:tcPr>
            <w:tcW w:w="0" w:type="auto"/>
            <w:tcBorders>
              <w:top w:val="single" w:sz="8" w:space="0" w:color="666666"/>
              <w:left w:val="single" w:sz="8" w:space="0" w:color="666666"/>
              <w:bottom w:val="single" w:sz="8" w:space="0" w:color="666666"/>
              <w:right w:val="single" w:sz="4" w:space="0" w:color="auto"/>
            </w:tcBorders>
            <w:shd w:val="clear" w:color="auto" w:fill="BFBFBF" w:themeFill="background1" w:themeFillShade="BF"/>
            <w:noWrap/>
            <w:tcMar>
              <w:top w:w="0" w:type="dxa"/>
              <w:left w:w="108" w:type="dxa"/>
              <w:bottom w:w="0" w:type="dxa"/>
              <w:right w:w="108" w:type="dxa"/>
            </w:tcMar>
          </w:tcPr>
          <w:p w14:paraId="0C0DB225" w14:textId="77777777" w:rsidR="00AB6753" w:rsidRPr="00F32D92" w:rsidRDefault="00AB6753" w:rsidP="002D1EA4">
            <w:pPr>
              <w:rPr>
                <w:rFonts w:cs="Arial"/>
                <w:sz w:val="20"/>
                <w:szCs w:val="20"/>
              </w:rPr>
            </w:pPr>
          </w:p>
        </w:tc>
        <w:tc>
          <w:tcPr>
            <w:tcW w:w="0" w:type="auto"/>
            <w:tcBorders>
              <w:top w:val="single" w:sz="8" w:space="0" w:color="666666"/>
              <w:left w:val="single" w:sz="4" w:space="0" w:color="auto"/>
              <w:bottom w:val="single" w:sz="8" w:space="0" w:color="666666"/>
              <w:right w:val="single" w:sz="8" w:space="0" w:color="auto"/>
            </w:tcBorders>
            <w:shd w:val="clear" w:color="auto" w:fill="BFBFBF" w:themeFill="background1" w:themeFillShade="BF"/>
            <w:tcMar>
              <w:top w:w="0" w:type="dxa"/>
              <w:left w:w="108" w:type="dxa"/>
              <w:bottom w:w="0" w:type="dxa"/>
              <w:right w:w="108" w:type="dxa"/>
            </w:tcMar>
          </w:tcPr>
          <w:p w14:paraId="0477FAD4" w14:textId="77777777" w:rsidR="00AB6753" w:rsidRPr="00F32D92" w:rsidRDefault="00AB6753" w:rsidP="002D1EA4">
            <w:pPr>
              <w:rPr>
                <w:rFonts w:cs="Arial"/>
                <w:sz w:val="20"/>
                <w:szCs w:val="20"/>
              </w:rPr>
            </w:pPr>
          </w:p>
        </w:tc>
        <w:tc>
          <w:tcPr>
            <w:tcW w:w="0" w:type="auto"/>
            <w:gridSpan w:val="2"/>
            <w:tcBorders>
              <w:top w:val="single" w:sz="8" w:space="0" w:color="666666"/>
              <w:left w:val="nil"/>
              <w:bottom w:val="single" w:sz="8" w:space="0" w:color="666666"/>
              <w:right w:val="single" w:sz="8" w:space="0" w:color="auto"/>
            </w:tcBorders>
            <w:shd w:val="clear" w:color="auto" w:fill="BFBFBF" w:themeFill="background1" w:themeFillShade="BF"/>
            <w:tcMar>
              <w:top w:w="0" w:type="dxa"/>
              <w:left w:w="108" w:type="dxa"/>
              <w:bottom w:w="0" w:type="dxa"/>
              <w:right w:w="108" w:type="dxa"/>
            </w:tcMar>
            <w:hideMark/>
          </w:tcPr>
          <w:p w14:paraId="09DE5223" w14:textId="77777777" w:rsidR="00AB6753" w:rsidRPr="00F32D92" w:rsidRDefault="00AB6753" w:rsidP="002D1EA4">
            <w:pPr>
              <w:jc w:val="center"/>
              <w:rPr>
                <w:rFonts w:cs="Arial"/>
                <w:sz w:val="20"/>
                <w:szCs w:val="20"/>
              </w:rPr>
            </w:pPr>
            <w:r w:rsidRPr="00F32D92">
              <w:rPr>
                <w:rFonts w:cs="Arial"/>
                <w:sz w:val="20"/>
                <w:szCs w:val="20"/>
              </w:rPr>
              <w:t>Period as the accountable authority or member within the reporting period</w:t>
            </w:r>
          </w:p>
        </w:tc>
      </w:tr>
      <w:tr w:rsidR="00AB6753" w:rsidRPr="00F32D92" w14:paraId="64C93E4E" w14:textId="77777777" w:rsidTr="002D1EA4">
        <w:trPr>
          <w:trHeight w:val="317"/>
          <w:jc w:val="center"/>
        </w:trPr>
        <w:tc>
          <w:tcPr>
            <w:tcW w:w="0" w:type="auto"/>
            <w:tcBorders>
              <w:top w:val="nil"/>
              <w:left w:val="single" w:sz="8" w:space="0" w:color="666666"/>
              <w:bottom w:val="single" w:sz="8" w:space="0" w:color="666666"/>
              <w:right w:val="single" w:sz="4" w:space="0" w:color="auto"/>
            </w:tcBorders>
            <w:shd w:val="clear" w:color="auto" w:fill="BFBFBF" w:themeFill="background1" w:themeFillShade="BF"/>
            <w:noWrap/>
            <w:tcMar>
              <w:top w:w="0" w:type="dxa"/>
              <w:left w:w="108" w:type="dxa"/>
              <w:bottom w:w="0" w:type="dxa"/>
              <w:right w:w="108" w:type="dxa"/>
            </w:tcMar>
            <w:hideMark/>
          </w:tcPr>
          <w:p w14:paraId="2C6C40A7" w14:textId="77777777" w:rsidR="00AB6753" w:rsidRPr="00F32D92" w:rsidRDefault="00AB6753" w:rsidP="002D1EA4">
            <w:pPr>
              <w:rPr>
                <w:rFonts w:cs="Arial"/>
                <w:sz w:val="20"/>
                <w:szCs w:val="20"/>
              </w:rPr>
            </w:pPr>
            <w:r w:rsidRPr="00F32D92">
              <w:rPr>
                <w:rFonts w:cs="Arial"/>
                <w:sz w:val="20"/>
                <w:szCs w:val="20"/>
              </w:rPr>
              <w:t xml:space="preserve">Name </w:t>
            </w:r>
          </w:p>
        </w:tc>
        <w:tc>
          <w:tcPr>
            <w:tcW w:w="0" w:type="auto"/>
            <w:tcBorders>
              <w:top w:val="single" w:sz="8" w:space="0" w:color="666666"/>
              <w:left w:val="single" w:sz="4" w:space="0" w:color="auto"/>
              <w:bottom w:val="single" w:sz="8" w:space="0" w:color="666666"/>
              <w:right w:val="single" w:sz="8" w:space="0" w:color="auto"/>
            </w:tcBorders>
            <w:shd w:val="clear" w:color="auto" w:fill="BFBFBF" w:themeFill="background1" w:themeFillShade="BF"/>
            <w:tcMar>
              <w:top w:w="0" w:type="dxa"/>
              <w:left w:w="108" w:type="dxa"/>
              <w:bottom w:w="0" w:type="dxa"/>
              <w:right w:w="108" w:type="dxa"/>
            </w:tcMar>
            <w:hideMark/>
          </w:tcPr>
          <w:p w14:paraId="4FF914BE" w14:textId="77777777" w:rsidR="00AB6753" w:rsidRPr="00F32D92" w:rsidRDefault="00AB6753" w:rsidP="002D1EA4">
            <w:pPr>
              <w:rPr>
                <w:rFonts w:cs="Arial"/>
                <w:sz w:val="20"/>
                <w:szCs w:val="20"/>
              </w:rPr>
            </w:pPr>
            <w:r w:rsidRPr="00F32D92">
              <w:rPr>
                <w:rFonts w:cs="Arial"/>
                <w:sz w:val="20"/>
                <w:szCs w:val="20"/>
              </w:rPr>
              <w:t>Position title/Position held</w:t>
            </w:r>
          </w:p>
        </w:tc>
        <w:tc>
          <w:tcPr>
            <w:tcW w:w="0" w:type="auto"/>
            <w:tcBorders>
              <w:top w:val="nil"/>
              <w:left w:val="nil"/>
              <w:bottom w:val="single" w:sz="8" w:space="0" w:color="666666"/>
              <w:right w:val="single" w:sz="8" w:space="0" w:color="auto"/>
            </w:tcBorders>
            <w:shd w:val="clear" w:color="auto" w:fill="BFBFBF" w:themeFill="background1" w:themeFillShade="BF"/>
            <w:tcMar>
              <w:top w:w="0" w:type="dxa"/>
              <w:left w:w="108" w:type="dxa"/>
              <w:bottom w:w="0" w:type="dxa"/>
              <w:right w:w="108" w:type="dxa"/>
            </w:tcMar>
            <w:hideMark/>
          </w:tcPr>
          <w:p w14:paraId="219DA134" w14:textId="77777777" w:rsidR="00AB6753" w:rsidRPr="00F32D92" w:rsidRDefault="00AB6753" w:rsidP="002D1EA4">
            <w:pPr>
              <w:rPr>
                <w:rFonts w:cs="Arial"/>
                <w:sz w:val="20"/>
                <w:szCs w:val="20"/>
              </w:rPr>
            </w:pPr>
            <w:r w:rsidRPr="00F32D92">
              <w:rPr>
                <w:rFonts w:cs="Arial"/>
                <w:sz w:val="20"/>
                <w:szCs w:val="20"/>
              </w:rPr>
              <w:t xml:space="preserve">Date of commencement </w:t>
            </w:r>
          </w:p>
        </w:tc>
        <w:tc>
          <w:tcPr>
            <w:tcW w:w="0" w:type="auto"/>
            <w:tcBorders>
              <w:top w:val="nil"/>
              <w:left w:val="nil"/>
              <w:bottom w:val="single" w:sz="8" w:space="0" w:color="666666"/>
              <w:right w:val="single" w:sz="8" w:space="0" w:color="auto"/>
            </w:tcBorders>
            <w:shd w:val="clear" w:color="auto" w:fill="BFBFBF" w:themeFill="background1" w:themeFillShade="BF"/>
            <w:tcMar>
              <w:top w:w="0" w:type="dxa"/>
              <w:left w:w="108" w:type="dxa"/>
              <w:bottom w:w="0" w:type="dxa"/>
              <w:right w:w="108" w:type="dxa"/>
            </w:tcMar>
            <w:hideMark/>
          </w:tcPr>
          <w:p w14:paraId="373E1C1C" w14:textId="77777777" w:rsidR="00AB6753" w:rsidRPr="00F32D92" w:rsidRDefault="00AB6753" w:rsidP="002D1EA4">
            <w:pPr>
              <w:rPr>
                <w:rFonts w:cs="Arial"/>
                <w:sz w:val="20"/>
                <w:szCs w:val="20"/>
              </w:rPr>
            </w:pPr>
            <w:r w:rsidRPr="00F32D92">
              <w:rPr>
                <w:rFonts w:cs="Arial"/>
                <w:sz w:val="20"/>
                <w:szCs w:val="20"/>
              </w:rPr>
              <w:t>Date of cessation</w:t>
            </w:r>
          </w:p>
        </w:tc>
      </w:tr>
      <w:tr w:rsidR="00AB6753" w:rsidRPr="00F32D92" w14:paraId="075EF7ED" w14:textId="77777777" w:rsidTr="002D1EA4">
        <w:trPr>
          <w:trHeight w:val="267"/>
          <w:jc w:val="center"/>
        </w:trPr>
        <w:tc>
          <w:tcPr>
            <w:tcW w:w="0" w:type="auto"/>
            <w:tcBorders>
              <w:top w:val="nil"/>
              <w:left w:val="single" w:sz="8" w:space="0" w:color="666666"/>
              <w:bottom w:val="single" w:sz="8" w:space="0" w:color="666666"/>
              <w:right w:val="single" w:sz="8" w:space="0" w:color="666666"/>
            </w:tcBorders>
            <w:tcMar>
              <w:top w:w="0" w:type="dxa"/>
              <w:left w:w="108" w:type="dxa"/>
              <w:bottom w:w="0" w:type="dxa"/>
              <w:right w:w="108" w:type="dxa"/>
            </w:tcMar>
            <w:vAlign w:val="center"/>
          </w:tcPr>
          <w:p w14:paraId="176811E7" w14:textId="77777777" w:rsidR="00AB6753" w:rsidRPr="00F32D92" w:rsidRDefault="00AB6753" w:rsidP="002D1EA4">
            <w:pPr>
              <w:rPr>
                <w:rFonts w:cs="Arial"/>
                <w:sz w:val="20"/>
                <w:szCs w:val="20"/>
              </w:rPr>
            </w:pPr>
            <w:r w:rsidRPr="00F32D92">
              <w:rPr>
                <w:rFonts w:cs="Arial"/>
                <w:sz w:val="20"/>
                <w:szCs w:val="20"/>
              </w:rPr>
              <w:t>Kathryn Campbell</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0E837D0C" w14:textId="77777777" w:rsidR="00AB6753" w:rsidRPr="00F32D92" w:rsidRDefault="00AB6753" w:rsidP="002D1EA4">
            <w:pPr>
              <w:rPr>
                <w:rFonts w:cs="Arial"/>
                <w:sz w:val="20"/>
                <w:szCs w:val="20"/>
              </w:rPr>
            </w:pPr>
            <w:r w:rsidRPr="00F32D92">
              <w:rPr>
                <w:rFonts w:cs="Arial"/>
                <w:sz w:val="20"/>
                <w:szCs w:val="20"/>
              </w:rPr>
              <w:t>Secretary</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6560FCB0" w14:textId="77777777" w:rsidR="00AB6753" w:rsidRPr="00F32D92" w:rsidRDefault="00AB6753" w:rsidP="002D1EA4">
            <w:pPr>
              <w:rPr>
                <w:rFonts w:cs="Arial"/>
                <w:sz w:val="20"/>
                <w:szCs w:val="20"/>
              </w:rPr>
            </w:pPr>
            <w:r>
              <w:rPr>
                <w:rFonts w:cs="Arial"/>
                <w:sz w:val="20"/>
                <w:szCs w:val="20"/>
              </w:rPr>
              <w:t>0</w:t>
            </w:r>
            <w:r w:rsidRPr="00F32D92">
              <w:rPr>
                <w:rFonts w:cs="Arial"/>
                <w:sz w:val="20"/>
                <w:szCs w:val="20"/>
              </w:rPr>
              <w:t>1/07/2019</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54CAE924" w14:textId="77777777" w:rsidR="00AB6753" w:rsidRPr="00F32D92" w:rsidRDefault="00AB6753" w:rsidP="002D1EA4">
            <w:pPr>
              <w:rPr>
                <w:rFonts w:cs="Arial"/>
                <w:sz w:val="20"/>
                <w:szCs w:val="20"/>
              </w:rPr>
            </w:pPr>
            <w:r>
              <w:rPr>
                <w:rFonts w:cs="Arial"/>
                <w:sz w:val="20"/>
                <w:szCs w:val="20"/>
              </w:rPr>
              <w:t>0</w:t>
            </w:r>
            <w:r w:rsidRPr="00F32D92">
              <w:rPr>
                <w:rFonts w:cs="Arial"/>
                <w:sz w:val="20"/>
                <w:szCs w:val="20"/>
              </w:rPr>
              <w:t>4/07/2019</w:t>
            </w:r>
          </w:p>
        </w:tc>
      </w:tr>
      <w:tr w:rsidR="00AB6753" w:rsidRPr="00F32D92" w14:paraId="76F751BB" w14:textId="77777777" w:rsidTr="002D1EA4">
        <w:trPr>
          <w:trHeight w:val="257"/>
          <w:jc w:val="center"/>
        </w:trPr>
        <w:tc>
          <w:tcPr>
            <w:tcW w:w="0" w:type="auto"/>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vAlign w:val="center"/>
          </w:tcPr>
          <w:p w14:paraId="6159FD83" w14:textId="77777777" w:rsidR="00AB6753" w:rsidRPr="00F32D92" w:rsidRDefault="00AB6753" w:rsidP="002D1EA4">
            <w:pPr>
              <w:rPr>
                <w:rFonts w:cs="Arial"/>
                <w:sz w:val="20"/>
                <w:szCs w:val="20"/>
              </w:rPr>
            </w:pPr>
            <w:r w:rsidRPr="00F32D92">
              <w:rPr>
                <w:rFonts w:cs="Arial"/>
                <w:sz w:val="20"/>
                <w:szCs w:val="20"/>
              </w:rPr>
              <w:t>Michael Lye</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tcPr>
          <w:p w14:paraId="545F7031" w14:textId="77777777" w:rsidR="00AB6753" w:rsidRPr="00F32D92" w:rsidRDefault="00AB6753" w:rsidP="002D1EA4">
            <w:pPr>
              <w:rPr>
                <w:rFonts w:cs="Arial"/>
                <w:sz w:val="20"/>
                <w:szCs w:val="20"/>
              </w:rPr>
            </w:pPr>
            <w:r w:rsidRPr="00F32D92">
              <w:rPr>
                <w:rFonts w:cs="Arial"/>
                <w:sz w:val="20"/>
                <w:szCs w:val="20"/>
              </w:rPr>
              <w:t>Acting Secretary</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vAlign w:val="bottom"/>
          </w:tcPr>
          <w:p w14:paraId="6C5FED54" w14:textId="77777777" w:rsidR="00AB6753" w:rsidRPr="00F32D92" w:rsidRDefault="00AB6753" w:rsidP="002D1EA4">
            <w:pPr>
              <w:rPr>
                <w:rFonts w:cs="Arial"/>
                <w:sz w:val="20"/>
                <w:szCs w:val="20"/>
              </w:rPr>
            </w:pPr>
            <w:r>
              <w:rPr>
                <w:rFonts w:cs="Arial"/>
                <w:sz w:val="20"/>
                <w:szCs w:val="20"/>
              </w:rPr>
              <w:t>0</w:t>
            </w:r>
            <w:r w:rsidRPr="00F32D92">
              <w:rPr>
                <w:rFonts w:cs="Arial"/>
                <w:sz w:val="20"/>
                <w:szCs w:val="20"/>
              </w:rPr>
              <w:t>5/07/2019</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vAlign w:val="bottom"/>
          </w:tcPr>
          <w:p w14:paraId="37208E13" w14:textId="77777777" w:rsidR="00AB6753" w:rsidRPr="00F32D92" w:rsidRDefault="00AB6753" w:rsidP="002D1EA4">
            <w:pPr>
              <w:rPr>
                <w:rFonts w:cs="Arial"/>
                <w:sz w:val="20"/>
                <w:szCs w:val="20"/>
              </w:rPr>
            </w:pPr>
            <w:r>
              <w:rPr>
                <w:rFonts w:cs="Arial"/>
                <w:sz w:val="20"/>
                <w:szCs w:val="20"/>
              </w:rPr>
              <w:t>0</w:t>
            </w:r>
            <w:r w:rsidRPr="00F32D92">
              <w:rPr>
                <w:rFonts w:cs="Arial"/>
                <w:sz w:val="20"/>
                <w:szCs w:val="20"/>
              </w:rPr>
              <w:t>5/07/2019</w:t>
            </w:r>
          </w:p>
        </w:tc>
      </w:tr>
      <w:tr w:rsidR="00AB6753" w:rsidRPr="00F32D92" w14:paraId="3F6791D3" w14:textId="77777777" w:rsidTr="002D1EA4">
        <w:trPr>
          <w:trHeight w:val="113"/>
          <w:jc w:val="center"/>
        </w:trPr>
        <w:tc>
          <w:tcPr>
            <w:tcW w:w="0" w:type="auto"/>
            <w:tcBorders>
              <w:top w:val="nil"/>
              <w:left w:val="single" w:sz="8" w:space="0" w:color="666666"/>
              <w:bottom w:val="single" w:sz="8" w:space="0" w:color="666666"/>
              <w:right w:val="single" w:sz="8" w:space="0" w:color="666666"/>
            </w:tcBorders>
            <w:tcMar>
              <w:top w:w="0" w:type="dxa"/>
              <w:left w:w="108" w:type="dxa"/>
              <w:bottom w:w="0" w:type="dxa"/>
              <w:right w:w="108" w:type="dxa"/>
            </w:tcMar>
            <w:vAlign w:val="center"/>
          </w:tcPr>
          <w:p w14:paraId="0907632E" w14:textId="77777777" w:rsidR="00AB6753" w:rsidRPr="00F32D92" w:rsidRDefault="00AB6753" w:rsidP="002D1EA4">
            <w:pPr>
              <w:rPr>
                <w:rFonts w:cs="Arial"/>
                <w:sz w:val="20"/>
                <w:szCs w:val="20"/>
              </w:rPr>
            </w:pPr>
            <w:r w:rsidRPr="00F32D92">
              <w:rPr>
                <w:rFonts w:cs="Arial"/>
                <w:sz w:val="20"/>
                <w:szCs w:val="20"/>
              </w:rPr>
              <w:t>Kathryn Campbell</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7B749314" w14:textId="77777777" w:rsidR="00AB6753" w:rsidRPr="00F32D92" w:rsidRDefault="00AB6753" w:rsidP="002D1EA4">
            <w:pPr>
              <w:rPr>
                <w:rFonts w:cs="Arial"/>
                <w:sz w:val="20"/>
                <w:szCs w:val="20"/>
              </w:rPr>
            </w:pPr>
            <w:r w:rsidRPr="00F32D92">
              <w:rPr>
                <w:rFonts w:cs="Arial"/>
                <w:sz w:val="20"/>
                <w:szCs w:val="20"/>
              </w:rPr>
              <w:t>Secretary</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423B6F62" w14:textId="77777777" w:rsidR="00AB6753" w:rsidRPr="00F32D92" w:rsidRDefault="00AB6753" w:rsidP="002D1EA4">
            <w:pPr>
              <w:rPr>
                <w:rFonts w:cs="Arial"/>
                <w:sz w:val="20"/>
                <w:szCs w:val="20"/>
              </w:rPr>
            </w:pPr>
            <w:r>
              <w:rPr>
                <w:rFonts w:cs="Arial"/>
                <w:sz w:val="20"/>
                <w:szCs w:val="20"/>
              </w:rPr>
              <w:t>0</w:t>
            </w:r>
            <w:r w:rsidRPr="00F32D92">
              <w:rPr>
                <w:rFonts w:cs="Arial"/>
                <w:sz w:val="20"/>
                <w:szCs w:val="20"/>
              </w:rPr>
              <w:t>6/07/2019</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7D2CEC06" w14:textId="77777777" w:rsidR="00AB6753" w:rsidRPr="00F32D92" w:rsidRDefault="00AB6753" w:rsidP="002D1EA4">
            <w:pPr>
              <w:rPr>
                <w:rFonts w:cs="Arial"/>
                <w:sz w:val="20"/>
                <w:szCs w:val="20"/>
              </w:rPr>
            </w:pPr>
            <w:r w:rsidRPr="00F32D92">
              <w:rPr>
                <w:rFonts w:cs="Arial"/>
                <w:sz w:val="20"/>
                <w:szCs w:val="20"/>
              </w:rPr>
              <w:t>18/07/2019</w:t>
            </w:r>
          </w:p>
        </w:tc>
      </w:tr>
      <w:tr w:rsidR="00AB6753" w:rsidRPr="00F32D92" w14:paraId="7C95A684" w14:textId="77777777" w:rsidTr="002D1EA4">
        <w:trPr>
          <w:trHeight w:val="113"/>
          <w:jc w:val="center"/>
        </w:trPr>
        <w:tc>
          <w:tcPr>
            <w:tcW w:w="0" w:type="auto"/>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vAlign w:val="center"/>
          </w:tcPr>
          <w:p w14:paraId="03521802" w14:textId="77777777" w:rsidR="00AB6753" w:rsidRPr="00F32D92" w:rsidRDefault="00AB6753" w:rsidP="002D1EA4">
            <w:pPr>
              <w:rPr>
                <w:rFonts w:cs="Arial"/>
                <w:sz w:val="20"/>
                <w:szCs w:val="20"/>
              </w:rPr>
            </w:pPr>
            <w:r w:rsidRPr="00F32D92">
              <w:rPr>
                <w:rFonts w:cs="Arial"/>
                <w:sz w:val="20"/>
                <w:szCs w:val="20"/>
              </w:rPr>
              <w:t>Michael Lye</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tcPr>
          <w:p w14:paraId="7F6FBBB8" w14:textId="77777777" w:rsidR="00AB6753" w:rsidRPr="00F32D92" w:rsidRDefault="00AB6753" w:rsidP="002D1EA4">
            <w:pPr>
              <w:rPr>
                <w:rFonts w:cs="Arial"/>
                <w:sz w:val="20"/>
                <w:szCs w:val="20"/>
              </w:rPr>
            </w:pPr>
            <w:r w:rsidRPr="00F32D92">
              <w:rPr>
                <w:rFonts w:cs="Arial"/>
                <w:sz w:val="20"/>
                <w:szCs w:val="20"/>
              </w:rPr>
              <w:t>Acting Secretary</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vAlign w:val="bottom"/>
          </w:tcPr>
          <w:p w14:paraId="7C818E7C" w14:textId="77777777" w:rsidR="00AB6753" w:rsidRPr="00F32D92" w:rsidRDefault="00AB6753" w:rsidP="002D1EA4">
            <w:pPr>
              <w:rPr>
                <w:rFonts w:cs="Arial"/>
                <w:sz w:val="20"/>
                <w:szCs w:val="20"/>
              </w:rPr>
            </w:pPr>
            <w:r w:rsidRPr="00F32D92">
              <w:rPr>
                <w:rFonts w:cs="Arial"/>
                <w:sz w:val="20"/>
                <w:szCs w:val="20"/>
              </w:rPr>
              <w:t>19/07/2019</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vAlign w:val="bottom"/>
          </w:tcPr>
          <w:p w14:paraId="11441992" w14:textId="77777777" w:rsidR="00AB6753" w:rsidRPr="00F32D92" w:rsidRDefault="00AB6753" w:rsidP="002D1EA4">
            <w:pPr>
              <w:rPr>
                <w:rFonts w:cs="Arial"/>
                <w:sz w:val="20"/>
                <w:szCs w:val="20"/>
              </w:rPr>
            </w:pPr>
            <w:r w:rsidRPr="00F32D92">
              <w:rPr>
                <w:rFonts w:cs="Arial"/>
                <w:sz w:val="20"/>
                <w:szCs w:val="20"/>
              </w:rPr>
              <w:t>19/07/2019</w:t>
            </w:r>
          </w:p>
        </w:tc>
      </w:tr>
      <w:tr w:rsidR="00AB6753" w:rsidRPr="00F32D92" w14:paraId="0EC2C01A" w14:textId="77777777" w:rsidTr="002D1EA4">
        <w:trPr>
          <w:trHeight w:val="113"/>
          <w:jc w:val="center"/>
        </w:trPr>
        <w:tc>
          <w:tcPr>
            <w:tcW w:w="0" w:type="auto"/>
            <w:tcBorders>
              <w:top w:val="nil"/>
              <w:left w:val="single" w:sz="8" w:space="0" w:color="666666"/>
              <w:bottom w:val="single" w:sz="8" w:space="0" w:color="666666"/>
              <w:right w:val="single" w:sz="8" w:space="0" w:color="666666"/>
            </w:tcBorders>
            <w:tcMar>
              <w:top w:w="0" w:type="dxa"/>
              <w:left w:w="108" w:type="dxa"/>
              <w:bottom w:w="0" w:type="dxa"/>
              <w:right w:w="108" w:type="dxa"/>
            </w:tcMar>
            <w:vAlign w:val="center"/>
          </w:tcPr>
          <w:p w14:paraId="142203CD" w14:textId="77777777" w:rsidR="00AB6753" w:rsidRPr="00F32D92" w:rsidRDefault="00AB6753" w:rsidP="002D1EA4">
            <w:pPr>
              <w:rPr>
                <w:rFonts w:cs="Arial"/>
                <w:sz w:val="20"/>
                <w:szCs w:val="20"/>
              </w:rPr>
            </w:pPr>
            <w:r w:rsidRPr="00F32D92">
              <w:rPr>
                <w:rFonts w:cs="Arial"/>
                <w:sz w:val="20"/>
                <w:szCs w:val="20"/>
              </w:rPr>
              <w:t>Kathryn Campbell</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77F88E09" w14:textId="77777777" w:rsidR="00AB6753" w:rsidRPr="00F32D92" w:rsidRDefault="00AB6753" w:rsidP="002D1EA4">
            <w:pPr>
              <w:rPr>
                <w:rFonts w:cs="Arial"/>
                <w:sz w:val="20"/>
                <w:szCs w:val="20"/>
              </w:rPr>
            </w:pPr>
            <w:r w:rsidRPr="00F32D92">
              <w:rPr>
                <w:rFonts w:cs="Arial"/>
                <w:sz w:val="20"/>
                <w:szCs w:val="20"/>
              </w:rPr>
              <w:t>Secretary</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156DE2D0" w14:textId="77777777" w:rsidR="00AB6753" w:rsidRPr="00F32D92" w:rsidRDefault="00AB6753" w:rsidP="002D1EA4">
            <w:pPr>
              <w:rPr>
                <w:rFonts w:cs="Arial"/>
                <w:sz w:val="20"/>
                <w:szCs w:val="20"/>
              </w:rPr>
            </w:pPr>
            <w:r w:rsidRPr="00F32D92">
              <w:rPr>
                <w:rFonts w:cs="Arial"/>
                <w:sz w:val="20"/>
                <w:szCs w:val="20"/>
              </w:rPr>
              <w:t>20/07/2019</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33A2FCA3" w14:textId="77777777" w:rsidR="00AB6753" w:rsidRPr="00F32D92" w:rsidRDefault="00AB6753" w:rsidP="002D1EA4">
            <w:pPr>
              <w:rPr>
                <w:rFonts w:cs="Arial"/>
                <w:sz w:val="20"/>
                <w:szCs w:val="20"/>
              </w:rPr>
            </w:pPr>
            <w:r w:rsidRPr="00F32D92">
              <w:rPr>
                <w:rFonts w:cs="Arial"/>
                <w:sz w:val="20"/>
                <w:szCs w:val="20"/>
              </w:rPr>
              <w:t>28/07/2019</w:t>
            </w:r>
          </w:p>
        </w:tc>
      </w:tr>
      <w:tr w:rsidR="00AB6753" w:rsidRPr="00F32D92" w14:paraId="0F2B81A4" w14:textId="77777777" w:rsidTr="002D1EA4">
        <w:trPr>
          <w:trHeight w:val="113"/>
          <w:jc w:val="center"/>
        </w:trPr>
        <w:tc>
          <w:tcPr>
            <w:tcW w:w="0" w:type="auto"/>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vAlign w:val="center"/>
          </w:tcPr>
          <w:p w14:paraId="6050527A" w14:textId="77777777" w:rsidR="00AB6753" w:rsidRPr="00F32D92" w:rsidRDefault="00AB6753" w:rsidP="002D1EA4">
            <w:pPr>
              <w:rPr>
                <w:rFonts w:cs="Arial"/>
                <w:sz w:val="20"/>
                <w:szCs w:val="20"/>
              </w:rPr>
            </w:pPr>
            <w:r w:rsidRPr="00F32D92">
              <w:rPr>
                <w:rFonts w:cs="Arial"/>
                <w:sz w:val="20"/>
                <w:szCs w:val="20"/>
              </w:rPr>
              <w:t>Michael Lye</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tcPr>
          <w:p w14:paraId="0478F288" w14:textId="77777777" w:rsidR="00AB6753" w:rsidRPr="00F32D92" w:rsidRDefault="00AB6753" w:rsidP="002D1EA4">
            <w:pPr>
              <w:rPr>
                <w:rFonts w:cs="Arial"/>
                <w:sz w:val="20"/>
                <w:szCs w:val="20"/>
              </w:rPr>
            </w:pPr>
            <w:r w:rsidRPr="00F32D92">
              <w:rPr>
                <w:rFonts w:cs="Arial"/>
                <w:sz w:val="20"/>
                <w:szCs w:val="20"/>
              </w:rPr>
              <w:t>Acting Secretary</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vAlign w:val="bottom"/>
          </w:tcPr>
          <w:p w14:paraId="2EFD0793" w14:textId="77777777" w:rsidR="00AB6753" w:rsidRPr="00F32D92" w:rsidRDefault="00AB6753" w:rsidP="002D1EA4">
            <w:pPr>
              <w:rPr>
                <w:rFonts w:cs="Arial"/>
                <w:sz w:val="20"/>
                <w:szCs w:val="20"/>
              </w:rPr>
            </w:pPr>
            <w:r w:rsidRPr="00F32D92">
              <w:rPr>
                <w:rFonts w:cs="Arial"/>
                <w:sz w:val="20"/>
                <w:szCs w:val="20"/>
              </w:rPr>
              <w:t>29/07/2019</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vAlign w:val="bottom"/>
          </w:tcPr>
          <w:p w14:paraId="3C1866C6" w14:textId="77777777" w:rsidR="00AB6753" w:rsidRPr="00F32D92" w:rsidRDefault="00AB6753" w:rsidP="002D1EA4">
            <w:pPr>
              <w:rPr>
                <w:rFonts w:cs="Arial"/>
                <w:sz w:val="20"/>
                <w:szCs w:val="20"/>
              </w:rPr>
            </w:pPr>
            <w:r w:rsidRPr="00F32D92">
              <w:rPr>
                <w:rFonts w:cs="Arial"/>
                <w:sz w:val="20"/>
                <w:szCs w:val="20"/>
              </w:rPr>
              <w:t>29/07/2019</w:t>
            </w:r>
          </w:p>
        </w:tc>
      </w:tr>
      <w:tr w:rsidR="00AB6753" w:rsidRPr="00F32D92" w14:paraId="6D732F06" w14:textId="77777777" w:rsidTr="002D1EA4">
        <w:trPr>
          <w:trHeight w:val="113"/>
          <w:jc w:val="center"/>
        </w:trPr>
        <w:tc>
          <w:tcPr>
            <w:tcW w:w="0" w:type="auto"/>
            <w:tcBorders>
              <w:top w:val="nil"/>
              <w:left w:val="single" w:sz="8" w:space="0" w:color="666666"/>
              <w:bottom w:val="single" w:sz="8" w:space="0" w:color="666666"/>
              <w:right w:val="single" w:sz="8" w:space="0" w:color="666666"/>
            </w:tcBorders>
            <w:tcMar>
              <w:top w:w="0" w:type="dxa"/>
              <w:left w:w="108" w:type="dxa"/>
              <w:bottom w:w="0" w:type="dxa"/>
              <w:right w:w="108" w:type="dxa"/>
            </w:tcMar>
            <w:vAlign w:val="center"/>
          </w:tcPr>
          <w:p w14:paraId="13191D8A" w14:textId="77777777" w:rsidR="00AB6753" w:rsidRPr="00F32D92" w:rsidRDefault="00AB6753" w:rsidP="002D1EA4">
            <w:pPr>
              <w:rPr>
                <w:rFonts w:cs="Arial"/>
                <w:sz w:val="20"/>
                <w:szCs w:val="20"/>
              </w:rPr>
            </w:pPr>
            <w:r w:rsidRPr="00F32D92">
              <w:rPr>
                <w:rFonts w:cs="Arial"/>
                <w:sz w:val="20"/>
                <w:szCs w:val="20"/>
              </w:rPr>
              <w:t>Kathryn Campbell</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458EEA02" w14:textId="77777777" w:rsidR="00AB6753" w:rsidRPr="00F32D92" w:rsidRDefault="00AB6753" w:rsidP="002D1EA4">
            <w:pPr>
              <w:rPr>
                <w:rFonts w:cs="Arial"/>
                <w:sz w:val="20"/>
                <w:szCs w:val="20"/>
              </w:rPr>
            </w:pPr>
            <w:r w:rsidRPr="00F32D92">
              <w:rPr>
                <w:rFonts w:cs="Arial"/>
                <w:sz w:val="20"/>
                <w:szCs w:val="20"/>
              </w:rPr>
              <w:t>Secretary</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16B43562" w14:textId="77777777" w:rsidR="00AB6753" w:rsidRPr="00F32D92" w:rsidRDefault="00AB6753" w:rsidP="002D1EA4">
            <w:pPr>
              <w:rPr>
                <w:rFonts w:cs="Arial"/>
                <w:sz w:val="20"/>
                <w:szCs w:val="20"/>
              </w:rPr>
            </w:pPr>
            <w:r w:rsidRPr="00F32D92">
              <w:rPr>
                <w:rFonts w:cs="Arial"/>
                <w:sz w:val="20"/>
                <w:szCs w:val="20"/>
              </w:rPr>
              <w:t>30/07/2019</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1A709E3C" w14:textId="77777777" w:rsidR="00AB6753" w:rsidRPr="00F32D92" w:rsidRDefault="00AB6753" w:rsidP="002D1EA4">
            <w:pPr>
              <w:rPr>
                <w:rFonts w:cs="Arial"/>
                <w:sz w:val="20"/>
                <w:szCs w:val="20"/>
              </w:rPr>
            </w:pPr>
            <w:r w:rsidRPr="00F32D92">
              <w:rPr>
                <w:rFonts w:cs="Arial"/>
                <w:sz w:val="20"/>
                <w:szCs w:val="20"/>
              </w:rPr>
              <w:t>23/08/2019</w:t>
            </w:r>
          </w:p>
        </w:tc>
      </w:tr>
      <w:tr w:rsidR="00AB6753" w:rsidRPr="00F32D92" w14:paraId="65C77C64" w14:textId="77777777" w:rsidTr="002D1EA4">
        <w:trPr>
          <w:trHeight w:val="113"/>
          <w:jc w:val="center"/>
        </w:trPr>
        <w:tc>
          <w:tcPr>
            <w:tcW w:w="0" w:type="auto"/>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vAlign w:val="center"/>
          </w:tcPr>
          <w:p w14:paraId="76DFE11A" w14:textId="77777777" w:rsidR="00AB6753" w:rsidRPr="00F32D92" w:rsidRDefault="00AB6753" w:rsidP="002D1EA4">
            <w:pPr>
              <w:rPr>
                <w:rFonts w:cs="Arial"/>
                <w:sz w:val="20"/>
                <w:szCs w:val="20"/>
              </w:rPr>
            </w:pPr>
            <w:r w:rsidRPr="00F32D92">
              <w:rPr>
                <w:rFonts w:cs="Arial"/>
                <w:sz w:val="20"/>
                <w:szCs w:val="20"/>
              </w:rPr>
              <w:t>Michael Lye</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tcPr>
          <w:p w14:paraId="05CBA041" w14:textId="77777777" w:rsidR="00AB6753" w:rsidRPr="00F32D92" w:rsidRDefault="00AB6753" w:rsidP="002D1EA4">
            <w:pPr>
              <w:rPr>
                <w:rFonts w:cs="Arial"/>
                <w:sz w:val="20"/>
                <w:szCs w:val="20"/>
              </w:rPr>
            </w:pPr>
            <w:r w:rsidRPr="00F32D92">
              <w:rPr>
                <w:rFonts w:cs="Arial"/>
                <w:sz w:val="20"/>
                <w:szCs w:val="20"/>
              </w:rPr>
              <w:t>Acting Secretary</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vAlign w:val="bottom"/>
          </w:tcPr>
          <w:p w14:paraId="6FCF9030" w14:textId="77777777" w:rsidR="00AB6753" w:rsidRPr="00F32D92" w:rsidRDefault="00AB6753" w:rsidP="002D1EA4">
            <w:pPr>
              <w:rPr>
                <w:rFonts w:cs="Arial"/>
                <w:sz w:val="20"/>
                <w:szCs w:val="20"/>
              </w:rPr>
            </w:pPr>
            <w:r w:rsidRPr="00F32D92">
              <w:rPr>
                <w:rFonts w:cs="Arial"/>
                <w:sz w:val="20"/>
                <w:szCs w:val="20"/>
              </w:rPr>
              <w:t>24/08/2019</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vAlign w:val="bottom"/>
          </w:tcPr>
          <w:p w14:paraId="08DB7295" w14:textId="77777777" w:rsidR="00AB6753" w:rsidRPr="00F32D92" w:rsidRDefault="00AB6753" w:rsidP="002D1EA4">
            <w:pPr>
              <w:rPr>
                <w:rFonts w:cs="Arial"/>
                <w:sz w:val="20"/>
                <w:szCs w:val="20"/>
              </w:rPr>
            </w:pPr>
            <w:r>
              <w:rPr>
                <w:rFonts w:cs="Arial"/>
                <w:sz w:val="20"/>
                <w:szCs w:val="20"/>
              </w:rPr>
              <w:t>0</w:t>
            </w:r>
            <w:r w:rsidRPr="00F32D92">
              <w:rPr>
                <w:rFonts w:cs="Arial"/>
                <w:sz w:val="20"/>
                <w:szCs w:val="20"/>
              </w:rPr>
              <w:t>1/09/2019</w:t>
            </w:r>
          </w:p>
        </w:tc>
      </w:tr>
      <w:tr w:rsidR="00AB6753" w:rsidRPr="00F32D92" w14:paraId="5A4D9807" w14:textId="77777777" w:rsidTr="002D1EA4">
        <w:trPr>
          <w:trHeight w:val="113"/>
          <w:jc w:val="center"/>
        </w:trPr>
        <w:tc>
          <w:tcPr>
            <w:tcW w:w="0" w:type="auto"/>
            <w:tcBorders>
              <w:top w:val="nil"/>
              <w:left w:val="single" w:sz="8" w:space="0" w:color="666666"/>
              <w:bottom w:val="single" w:sz="8" w:space="0" w:color="666666"/>
              <w:right w:val="single" w:sz="8" w:space="0" w:color="666666"/>
            </w:tcBorders>
            <w:tcMar>
              <w:top w:w="0" w:type="dxa"/>
              <w:left w:w="108" w:type="dxa"/>
              <w:bottom w:w="0" w:type="dxa"/>
              <w:right w:w="108" w:type="dxa"/>
            </w:tcMar>
            <w:vAlign w:val="center"/>
          </w:tcPr>
          <w:p w14:paraId="30FC065C" w14:textId="77777777" w:rsidR="00AB6753" w:rsidRPr="00F32D92" w:rsidRDefault="00AB6753" w:rsidP="002D1EA4">
            <w:pPr>
              <w:rPr>
                <w:rFonts w:cs="Arial"/>
                <w:sz w:val="20"/>
                <w:szCs w:val="20"/>
              </w:rPr>
            </w:pPr>
            <w:r w:rsidRPr="00F32D92">
              <w:rPr>
                <w:rFonts w:cs="Arial"/>
                <w:sz w:val="20"/>
                <w:szCs w:val="20"/>
              </w:rPr>
              <w:t>Kathryn Campbell</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4F8CBED4" w14:textId="77777777" w:rsidR="00AB6753" w:rsidRPr="00F32D92" w:rsidRDefault="00AB6753" w:rsidP="002D1EA4">
            <w:pPr>
              <w:rPr>
                <w:rFonts w:cs="Arial"/>
                <w:sz w:val="20"/>
                <w:szCs w:val="20"/>
              </w:rPr>
            </w:pPr>
            <w:r w:rsidRPr="00F32D92">
              <w:rPr>
                <w:rFonts w:cs="Arial"/>
                <w:sz w:val="20"/>
                <w:szCs w:val="20"/>
              </w:rPr>
              <w:t>Secretary</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6581A8D3" w14:textId="77777777" w:rsidR="00AB6753" w:rsidRPr="00F32D92" w:rsidRDefault="00AB6753" w:rsidP="002D1EA4">
            <w:pPr>
              <w:rPr>
                <w:rFonts w:cs="Arial"/>
                <w:sz w:val="20"/>
                <w:szCs w:val="20"/>
              </w:rPr>
            </w:pPr>
            <w:r>
              <w:rPr>
                <w:rFonts w:cs="Arial"/>
                <w:sz w:val="20"/>
                <w:szCs w:val="20"/>
              </w:rPr>
              <w:t>0</w:t>
            </w:r>
            <w:r w:rsidRPr="00F32D92">
              <w:rPr>
                <w:rFonts w:cs="Arial"/>
                <w:sz w:val="20"/>
                <w:szCs w:val="20"/>
              </w:rPr>
              <w:t>2/09/2019</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3A369060" w14:textId="77777777" w:rsidR="00AB6753" w:rsidRPr="00F32D92" w:rsidRDefault="00AB6753" w:rsidP="002D1EA4">
            <w:pPr>
              <w:rPr>
                <w:rFonts w:cs="Arial"/>
                <w:sz w:val="20"/>
                <w:szCs w:val="20"/>
              </w:rPr>
            </w:pPr>
            <w:r w:rsidRPr="00F32D92">
              <w:rPr>
                <w:rFonts w:cs="Arial"/>
                <w:sz w:val="20"/>
                <w:szCs w:val="20"/>
              </w:rPr>
              <w:t>23/09/2019</w:t>
            </w:r>
          </w:p>
        </w:tc>
      </w:tr>
      <w:tr w:rsidR="00AB6753" w:rsidRPr="00F32D92" w14:paraId="3A31154C" w14:textId="77777777" w:rsidTr="002D1EA4">
        <w:trPr>
          <w:trHeight w:val="113"/>
          <w:jc w:val="center"/>
        </w:trPr>
        <w:tc>
          <w:tcPr>
            <w:tcW w:w="0" w:type="auto"/>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vAlign w:val="center"/>
          </w:tcPr>
          <w:p w14:paraId="6DCE269F" w14:textId="77777777" w:rsidR="00AB6753" w:rsidRPr="00F32D92" w:rsidRDefault="00AB6753" w:rsidP="002D1EA4">
            <w:pPr>
              <w:rPr>
                <w:rFonts w:cs="Arial"/>
                <w:sz w:val="20"/>
                <w:szCs w:val="20"/>
              </w:rPr>
            </w:pPr>
            <w:r w:rsidRPr="00F32D92">
              <w:rPr>
                <w:rFonts w:cs="Arial"/>
                <w:sz w:val="20"/>
                <w:szCs w:val="20"/>
              </w:rPr>
              <w:t>Nathan Williamson</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tcPr>
          <w:p w14:paraId="18AC990D" w14:textId="77777777" w:rsidR="00AB6753" w:rsidRPr="00F32D92" w:rsidRDefault="00AB6753" w:rsidP="002D1EA4">
            <w:pPr>
              <w:rPr>
                <w:rFonts w:cs="Arial"/>
                <w:sz w:val="20"/>
                <w:szCs w:val="20"/>
              </w:rPr>
            </w:pPr>
            <w:r w:rsidRPr="00F32D92">
              <w:rPr>
                <w:rFonts w:cs="Arial"/>
                <w:sz w:val="20"/>
                <w:szCs w:val="20"/>
              </w:rPr>
              <w:t>Acting Secretary</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vAlign w:val="bottom"/>
          </w:tcPr>
          <w:p w14:paraId="307841CB" w14:textId="77777777" w:rsidR="00AB6753" w:rsidRPr="00F32D92" w:rsidRDefault="00AB6753" w:rsidP="002D1EA4">
            <w:pPr>
              <w:rPr>
                <w:rFonts w:cs="Arial"/>
                <w:sz w:val="20"/>
                <w:szCs w:val="20"/>
              </w:rPr>
            </w:pPr>
            <w:r w:rsidRPr="00F32D92">
              <w:rPr>
                <w:rFonts w:cs="Arial"/>
                <w:sz w:val="20"/>
                <w:szCs w:val="20"/>
              </w:rPr>
              <w:t>24/09/2019</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vAlign w:val="bottom"/>
          </w:tcPr>
          <w:p w14:paraId="1080D9D2" w14:textId="77777777" w:rsidR="00AB6753" w:rsidRPr="00F32D92" w:rsidRDefault="00AB6753" w:rsidP="002D1EA4">
            <w:pPr>
              <w:rPr>
                <w:rFonts w:cs="Arial"/>
                <w:sz w:val="20"/>
                <w:szCs w:val="20"/>
              </w:rPr>
            </w:pPr>
            <w:r w:rsidRPr="00F32D92">
              <w:rPr>
                <w:rFonts w:cs="Arial"/>
                <w:sz w:val="20"/>
                <w:szCs w:val="20"/>
              </w:rPr>
              <w:t>24/09/2019</w:t>
            </w:r>
          </w:p>
        </w:tc>
      </w:tr>
      <w:tr w:rsidR="00AB6753" w:rsidRPr="00F32D92" w14:paraId="7FF536D2" w14:textId="77777777" w:rsidTr="002D1EA4">
        <w:trPr>
          <w:trHeight w:val="113"/>
          <w:jc w:val="center"/>
        </w:trPr>
        <w:tc>
          <w:tcPr>
            <w:tcW w:w="0" w:type="auto"/>
            <w:tcBorders>
              <w:top w:val="nil"/>
              <w:left w:val="single" w:sz="8" w:space="0" w:color="666666"/>
              <w:bottom w:val="single" w:sz="8" w:space="0" w:color="666666"/>
              <w:right w:val="single" w:sz="8" w:space="0" w:color="666666"/>
            </w:tcBorders>
            <w:tcMar>
              <w:top w:w="0" w:type="dxa"/>
              <w:left w:w="108" w:type="dxa"/>
              <w:bottom w:w="0" w:type="dxa"/>
              <w:right w:w="108" w:type="dxa"/>
            </w:tcMar>
            <w:vAlign w:val="center"/>
          </w:tcPr>
          <w:p w14:paraId="080ACD72" w14:textId="77777777" w:rsidR="00AB6753" w:rsidRPr="00F32D92" w:rsidRDefault="00AB6753" w:rsidP="002D1EA4">
            <w:pPr>
              <w:rPr>
                <w:rFonts w:cs="Arial"/>
                <w:sz w:val="20"/>
                <w:szCs w:val="20"/>
              </w:rPr>
            </w:pPr>
            <w:r w:rsidRPr="00F32D92">
              <w:rPr>
                <w:rFonts w:cs="Arial"/>
                <w:sz w:val="20"/>
                <w:szCs w:val="20"/>
              </w:rPr>
              <w:t>Kathryn Campbell</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217830CF" w14:textId="77777777" w:rsidR="00AB6753" w:rsidRPr="00F32D92" w:rsidRDefault="00AB6753" w:rsidP="002D1EA4">
            <w:pPr>
              <w:rPr>
                <w:rFonts w:cs="Arial"/>
                <w:sz w:val="20"/>
                <w:szCs w:val="20"/>
              </w:rPr>
            </w:pPr>
            <w:r w:rsidRPr="00F32D92">
              <w:rPr>
                <w:rFonts w:cs="Arial"/>
                <w:sz w:val="20"/>
                <w:szCs w:val="20"/>
              </w:rPr>
              <w:t>Secretary</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1AF536FD" w14:textId="77777777" w:rsidR="00AB6753" w:rsidRPr="00F32D92" w:rsidRDefault="00AB6753" w:rsidP="002D1EA4">
            <w:pPr>
              <w:rPr>
                <w:rFonts w:cs="Arial"/>
                <w:sz w:val="20"/>
                <w:szCs w:val="20"/>
              </w:rPr>
            </w:pPr>
            <w:r w:rsidRPr="00F32D92">
              <w:rPr>
                <w:rFonts w:cs="Arial"/>
                <w:sz w:val="20"/>
                <w:szCs w:val="20"/>
              </w:rPr>
              <w:t>25/09/2019</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4C4B4DD1" w14:textId="77777777" w:rsidR="00AB6753" w:rsidRPr="00F32D92" w:rsidRDefault="00AB6753" w:rsidP="002D1EA4">
            <w:pPr>
              <w:rPr>
                <w:rFonts w:cs="Arial"/>
                <w:sz w:val="20"/>
                <w:szCs w:val="20"/>
              </w:rPr>
            </w:pPr>
            <w:r w:rsidRPr="00F32D92">
              <w:rPr>
                <w:rFonts w:cs="Arial"/>
                <w:sz w:val="20"/>
                <w:szCs w:val="20"/>
              </w:rPr>
              <w:t>25/09/2019</w:t>
            </w:r>
          </w:p>
        </w:tc>
      </w:tr>
      <w:tr w:rsidR="00AB6753" w:rsidRPr="00F32D92" w14:paraId="355EA527" w14:textId="77777777" w:rsidTr="002D1EA4">
        <w:trPr>
          <w:trHeight w:val="113"/>
          <w:jc w:val="center"/>
        </w:trPr>
        <w:tc>
          <w:tcPr>
            <w:tcW w:w="0" w:type="auto"/>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vAlign w:val="center"/>
          </w:tcPr>
          <w:p w14:paraId="7D4505B4" w14:textId="77777777" w:rsidR="00AB6753" w:rsidRPr="00F32D92" w:rsidRDefault="00AB6753" w:rsidP="002D1EA4">
            <w:pPr>
              <w:rPr>
                <w:rFonts w:cs="Arial"/>
                <w:sz w:val="20"/>
                <w:szCs w:val="20"/>
              </w:rPr>
            </w:pPr>
            <w:r w:rsidRPr="00F32D92">
              <w:rPr>
                <w:rFonts w:cs="Arial"/>
                <w:sz w:val="20"/>
                <w:szCs w:val="20"/>
              </w:rPr>
              <w:t>Nathan Williamson</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tcPr>
          <w:p w14:paraId="5BF8CE7D" w14:textId="77777777" w:rsidR="00AB6753" w:rsidRPr="00F32D92" w:rsidRDefault="00AB6753" w:rsidP="002D1EA4">
            <w:pPr>
              <w:rPr>
                <w:rFonts w:cs="Arial"/>
                <w:sz w:val="20"/>
                <w:szCs w:val="20"/>
              </w:rPr>
            </w:pPr>
            <w:r w:rsidRPr="00F32D92">
              <w:rPr>
                <w:rFonts w:cs="Arial"/>
                <w:sz w:val="20"/>
                <w:szCs w:val="20"/>
              </w:rPr>
              <w:t>Acting Secretary</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vAlign w:val="bottom"/>
          </w:tcPr>
          <w:p w14:paraId="7316743D" w14:textId="77777777" w:rsidR="00AB6753" w:rsidRPr="00F32D92" w:rsidRDefault="00AB6753" w:rsidP="002D1EA4">
            <w:pPr>
              <w:rPr>
                <w:rFonts w:cs="Arial"/>
                <w:sz w:val="20"/>
                <w:szCs w:val="20"/>
              </w:rPr>
            </w:pPr>
            <w:r w:rsidRPr="00F32D92">
              <w:rPr>
                <w:rFonts w:cs="Arial"/>
                <w:sz w:val="20"/>
                <w:szCs w:val="20"/>
              </w:rPr>
              <w:t>26/09/2019</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vAlign w:val="bottom"/>
          </w:tcPr>
          <w:p w14:paraId="3F763867" w14:textId="77777777" w:rsidR="00AB6753" w:rsidRPr="00F32D92" w:rsidRDefault="00AB6753" w:rsidP="002D1EA4">
            <w:pPr>
              <w:rPr>
                <w:rFonts w:cs="Arial"/>
                <w:sz w:val="20"/>
                <w:szCs w:val="20"/>
              </w:rPr>
            </w:pPr>
            <w:r w:rsidRPr="00F32D92">
              <w:rPr>
                <w:rFonts w:cs="Arial"/>
                <w:sz w:val="20"/>
                <w:szCs w:val="20"/>
              </w:rPr>
              <w:t>27/09/2019</w:t>
            </w:r>
          </w:p>
        </w:tc>
      </w:tr>
      <w:tr w:rsidR="00AB6753" w:rsidRPr="00F32D92" w14:paraId="56054E51" w14:textId="77777777" w:rsidTr="002D1EA4">
        <w:trPr>
          <w:trHeight w:val="113"/>
          <w:jc w:val="center"/>
        </w:trPr>
        <w:tc>
          <w:tcPr>
            <w:tcW w:w="0" w:type="auto"/>
            <w:tcBorders>
              <w:top w:val="nil"/>
              <w:left w:val="single" w:sz="8" w:space="0" w:color="666666"/>
              <w:bottom w:val="single" w:sz="8" w:space="0" w:color="666666"/>
              <w:right w:val="single" w:sz="8" w:space="0" w:color="666666"/>
            </w:tcBorders>
            <w:tcMar>
              <w:top w:w="0" w:type="dxa"/>
              <w:left w:w="108" w:type="dxa"/>
              <w:bottom w:w="0" w:type="dxa"/>
              <w:right w:w="108" w:type="dxa"/>
            </w:tcMar>
            <w:vAlign w:val="center"/>
          </w:tcPr>
          <w:p w14:paraId="0AF2ABED" w14:textId="77777777" w:rsidR="00AB6753" w:rsidRPr="00F32D92" w:rsidRDefault="00AB6753" w:rsidP="002D1EA4">
            <w:pPr>
              <w:rPr>
                <w:rFonts w:cs="Arial"/>
                <w:sz w:val="20"/>
                <w:szCs w:val="20"/>
              </w:rPr>
            </w:pPr>
            <w:r w:rsidRPr="00F32D92">
              <w:rPr>
                <w:rFonts w:cs="Arial"/>
                <w:sz w:val="20"/>
                <w:szCs w:val="20"/>
              </w:rPr>
              <w:t>Kathryn Campbell</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1ABA6603" w14:textId="77777777" w:rsidR="00AB6753" w:rsidRPr="00F32D92" w:rsidRDefault="00AB6753" w:rsidP="002D1EA4">
            <w:pPr>
              <w:rPr>
                <w:rFonts w:cs="Arial"/>
                <w:sz w:val="20"/>
                <w:szCs w:val="20"/>
              </w:rPr>
            </w:pPr>
            <w:r w:rsidRPr="00F32D92">
              <w:rPr>
                <w:rFonts w:cs="Arial"/>
                <w:sz w:val="20"/>
                <w:szCs w:val="20"/>
              </w:rPr>
              <w:t>Secretary</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7BE83C6E" w14:textId="77777777" w:rsidR="00AB6753" w:rsidRPr="00F32D92" w:rsidRDefault="00AB6753" w:rsidP="002D1EA4">
            <w:pPr>
              <w:rPr>
                <w:rFonts w:cs="Arial"/>
                <w:sz w:val="20"/>
                <w:szCs w:val="20"/>
              </w:rPr>
            </w:pPr>
            <w:r w:rsidRPr="00F32D92">
              <w:rPr>
                <w:rFonts w:cs="Arial"/>
                <w:sz w:val="20"/>
                <w:szCs w:val="20"/>
              </w:rPr>
              <w:t>28/09/2019</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176342C5" w14:textId="77777777" w:rsidR="00AB6753" w:rsidRPr="00F32D92" w:rsidRDefault="00AB6753" w:rsidP="002D1EA4">
            <w:pPr>
              <w:rPr>
                <w:rFonts w:cs="Arial"/>
                <w:sz w:val="20"/>
                <w:szCs w:val="20"/>
              </w:rPr>
            </w:pPr>
            <w:r w:rsidRPr="00F32D92">
              <w:rPr>
                <w:rFonts w:cs="Arial"/>
                <w:sz w:val="20"/>
                <w:szCs w:val="20"/>
              </w:rPr>
              <w:t>31/10/2019</w:t>
            </w:r>
          </w:p>
        </w:tc>
      </w:tr>
      <w:tr w:rsidR="00AB6753" w:rsidRPr="00F32D92" w14:paraId="3F896C22" w14:textId="77777777" w:rsidTr="002D1EA4">
        <w:trPr>
          <w:trHeight w:val="113"/>
          <w:jc w:val="center"/>
        </w:trPr>
        <w:tc>
          <w:tcPr>
            <w:tcW w:w="0" w:type="auto"/>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vAlign w:val="center"/>
          </w:tcPr>
          <w:p w14:paraId="249A4F98" w14:textId="77777777" w:rsidR="00AB6753" w:rsidRPr="00F32D92" w:rsidRDefault="00AB6753" w:rsidP="002D1EA4">
            <w:pPr>
              <w:rPr>
                <w:rFonts w:cs="Arial"/>
                <w:sz w:val="20"/>
                <w:szCs w:val="20"/>
              </w:rPr>
            </w:pPr>
            <w:r w:rsidRPr="00F32D92">
              <w:rPr>
                <w:rFonts w:cs="Arial"/>
                <w:sz w:val="20"/>
                <w:szCs w:val="20"/>
              </w:rPr>
              <w:t>Nathan Williamson</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tcPr>
          <w:p w14:paraId="4EEC4FB6" w14:textId="77777777" w:rsidR="00AB6753" w:rsidRPr="00F32D92" w:rsidRDefault="00AB6753" w:rsidP="002D1EA4">
            <w:pPr>
              <w:rPr>
                <w:rFonts w:cs="Arial"/>
                <w:sz w:val="20"/>
                <w:szCs w:val="20"/>
              </w:rPr>
            </w:pPr>
            <w:r w:rsidRPr="00F32D92">
              <w:rPr>
                <w:rFonts w:cs="Arial"/>
                <w:sz w:val="20"/>
                <w:szCs w:val="20"/>
              </w:rPr>
              <w:t>Acting Secretary</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vAlign w:val="bottom"/>
          </w:tcPr>
          <w:p w14:paraId="5ABADC9F" w14:textId="77777777" w:rsidR="00AB6753" w:rsidRPr="00F32D92" w:rsidRDefault="00AB6753" w:rsidP="002D1EA4">
            <w:pPr>
              <w:rPr>
                <w:rFonts w:cs="Arial"/>
                <w:sz w:val="20"/>
                <w:szCs w:val="20"/>
              </w:rPr>
            </w:pPr>
            <w:r>
              <w:rPr>
                <w:rFonts w:cs="Arial"/>
                <w:sz w:val="20"/>
                <w:szCs w:val="20"/>
              </w:rPr>
              <w:t>0</w:t>
            </w:r>
            <w:r w:rsidRPr="00F32D92">
              <w:rPr>
                <w:rFonts w:cs="Arial"/>
                <w:sz w:val="20"/>
                <w:szCs w:val="20"/>
              </w:rPr>
              <w:t>1/11/2019</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vAlign w:val="bottom"/>
          </w:tcPr>
          <w:p w14:paraId="4DAEA1FE" w14:textId="77777777" w:rsidR="00AB6753" w:rsidRPr="00F32D92" w:rsidRDefault="00AB6753" w:rsidP="002D1EA4">
            <w:pPr>
              <w:rPr>
                <w:rFonts w:cs="Arial"/>
                <w:sz w:val="20"/>
                <w:szCs w:val="20"/>
              </w:rPr>
            </w:pPr>
            <w:r>
              <w:rPr>
                <w:rFonts w:cs="Arial"/>
                <w:sz w:val="20"/>
                <w:szCs w:val="20"/>
              </w:rPr>
              <w:t>0</w:t>
            </w:r>
            <w:r w:rsidRPr="00F32D92">
              <w:rPr>
                <w:rFonts w:cs="Arial"/>
                <w:sz w:val="20"/>
                <w:szCs w:val="20"/>
              </w:rPr>
              <w:t>1/11/2019</w:t>
            </w:r>
          </w:p>
        </w:tc>
      </w:tr>
      <w:tr w:rsidR="00AB6753" w:rsidRPr="00F32D92" w14:paraId="7CC33995" w14:textId="77777777" w:rsidTr="002D1EA4">
        <w:trPr>
          <w:trHeight w:val="113"/>
          <w:jc w:val="center"/>
        </w:trPr>
        <w:tc>
          <w:tcPr>
            <w:tcW w:w="0" w:type="auto"/>
            <w:tcBorders>
              <w:top w:val="nil"/>
              <w:left w:val="single" w:sz="8" w:space="0" w:color="666666"/>
              <w:bottom w:val="single" w:sz="8" w:space="0" w:color="666666"/>
              <w:right w:val="single" w:sz="8" w:space="0" w:color="666666"/>
            </w:tcBorders>
            <w:tcMar>
              <w:top w:w="0" w:type="dxa"/>
              <w:left w:w="108" w:type="dxa"/>
              <w:bottom w:w="0" w:type="dxa"/>
              <w:right w:w="108" w:type="dxa"/>
            </w:tcMar>
            <w:vAlign w:val="center"/>
          </w:tcPr>
          <w:p w14:paraId="16062C8C" w14:textId="77777777" w:rsidR="00AB6753" w:rsidRPr="00F32D92" w:rsidRDefault="00AB6753" w:rsidP="002D1EA4">
            <w:pPr>
              <w:rPr>
                <w:rFonts w:cs="Arial"/>
                <w:sz w:val="20"/>
                <w:szCs w:val="20"/>
              </w:rPr>
            </w:pPr>
            <w:r w:rsidRPr="00F32D92">
              <w:rPr>
                <w:rFonts w:cs="Arial"/>
                <w:sz w:val="20"/>
                <w:szCs w:val="20"/>
              </w:rPr>
              <w:t>Kathryn Campbell</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05E7A252" w14:textId="77777777" w:rsidR="00AB6753" w:rsidRPr="00F32D92" w:rsidRDefault="00AB6753" w:rsidP="002D1EA4">
            <w:pPr>
              <w:rPr>
                <w:rFonts w:cs="Arial"/>
                <w:sz w:val="20"/>
                <w:szCs w:val="20"/>
              </w:rPr>
            </w:pPr>
            <w:r w:rsidRPr="00F32D92">
              <w:rPr>
                <w:rFonts w:cs="Arial"/>
                <w:sz w:val="20"/>
                <w:szCs w:val="20"/>
              </w:rPr>
              <w:t>Secretary</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224AE4C1" w14:textId="77777777" w:rsidR="00AB6753" w:rsidRPr="00F32D92" w:rsidRDefault="00AB6753" w:rsidP="002D1EA4">
            <w:pPr>
              <w:rPr>
                <w:rFonts w:cs="Arial"/>
                <w:sz w:val="20"/>
                <w:szCs w:val="20"/>
              </w:rPr>
            </w:pPr>
            <w:r>
              <w:rPr>
                <w:rFonts w:cs="Arial"/>
                <w:sz w:val="20"/>
                <w:szCs w:val="20"/>
              </w:rPr>
              <w:t>0</w:t>
            </w:r>
            <w:r w:rsidRPr="00F32D92">
              <w:rPr>
                <w:rFonts w:cs="Arial"/>
                <w:sz w:val="20"/>
                <w:szCs w:val="20"/>
              </w:rPr>
              <w:t>2/11/2019</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2E368619" w14:textId="77777777" w:rsidR="00AB6753" w:rsidRPr="00F32D92" w:rsidRDefault="00AB6753" w:rsidP="002D1EA4">
            <w:pPr>
              <w:rPr>
                <w:rFonts w:cs="Arial"/>
                <w:sz w:val="20"/>
                <w:szCs w:val="20"/>
              </w:rPr>
            </w:pPr>
            <w:r w:rsidRPr="00F32D92">
              <w:rPr>
                <w:rFonts w:cs="Arial"/>
                <w:sz w:val="20"/>
                <w:szCs w:val="20"/>
              </w:rPr>
              <w:t>18/12/2019</w:t>
            </w:r>
          </w:p>
        </w:tc>
      </w:tr>
      <w:tr w:rsidR="00AB6753" w:rsidRPr="00F32D92" w14:paraId="0F876825" w14:textId="77777777" w:rsidTr="002D1EA4">
        <w:trPr>
          <w:trHeight w:val="113"/>
          <w:jc w:val="center"/>
        </w:trPr>
        <w:tc>
          <w:tcPr>
            <w:tcW w:w="0" w:type="auto"/>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vAlign w:val="center"/>
          </w:tcPr>
          <w:p w14:paraId="6884F46D" w14:textId="77777777" w:rsidR="00AB6753" w:rsidRPr="00F32D92" w:rsidRDefault="00AB6753" w:rsidP="002D1EA4">
            <w:pPr>
              <w:rPr>
                <w:rFonts w:cs="Arial"/>
                <w:sz w:val="20"/>
                <w:szCs w:val="20"/>
              </w:rPr>
            </w:pPr>
            <w:r w:rsidRPr="00F32D92">
              <w:rPr>
                <w:rFonts w:cs="Arial"/>
                <w:sz w:val="20"/>
                <w:szCs w:val="20"/>
              </w:rPr>
              <w:t xml:space="preserve">Elizabeth </w:t>
            </w:r>
            <w:proofErr w:type="spellStart"/>
            <w:r w:rsidRPr="00F32D92">
              <w:rPr>
                <w:rFonts w:cs="Arial"/>
                <w:sz w:val="20"/>
                <w:szCs w:val="20"/>
              </w:rPr>
              <w:t>Hefren-Webb</w:t>
            </w:r>
            <w:proofErr w:type="spellEnd"/>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tcPr>
          <w:p w14:paraId="4FA1D7A2" w14:textId="77777777" w:rsidR="00AB6753" w:rsidRPr="00F32D92" w:rsidRDefault="00AB6753" w:rsidP="002D1EA4">
            <w:pPr>
              <w:rPr>
                <w:rFonts w:cs="Arial"/>
                <w:sz w:val="20"/>
                <w:szCs w:val="20"/>
              </w:rPr>
            </w:pPr>
            <w:r w:rsidRPr="00F32D92">
              <w:rPr>
                <w:rFonts w:cs="Arial"/>
                <w:sz w:val="20"/>
                <w:szCs w:val="20"/>
              </w:rPr>
              <w:t>Acting Secretary</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vAlign w:val="bottom"/>
          </w:tcPr>
          <w:p w14:paraId="0EDA3A1F" w14:textId="77777777" w:rsidR="00AB6753" w:rsidRPr="00F32D92" w:rsidRDefault="00AB6753" w:rsidP="002D1EA4">
            <w:pPr>
              <w:rPr>
                <w:rFonts w:cs="Arial"/>
                <w:sz w:val="20"/>
                <w:szCs w:val="20"/>
              </w:rPr>
            </w:pPr>
            <w:r w:rsidRPr="00F32D92">
              <w:rPr>
                <w:rFonts w:cs="Arial"/>
                <w:sz w:val="20"/>
                <w:szCs w:val="20"/>
              </w:rPr>
              <w:t>19/12/2019</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vAlign w:val="bottom"/>
          </w:tcPr>
          <w:p w14:paraId="64F469B0" w14:textId="77777777" w:rsidR="00AB6753" w:rsidRPr="00F32D92" w:rsidRDefault="00AB6753" w:rsidP="002D1EA4">
            <w:pPr>
              <w:rPr>
                <w:rFonts w:cs="Arial"/>
                <w:sz w:val="20"/>
                <w:szCs w:val="20"/>
              </w:rPr>
            </w:pPr>
            <w:r w:rsidRPr="00F32D92">
              <w:rPr>
                <w:rFonts w:cs="Arial"/>
                <w:sz w:val="20"/>
                <w:szCs w:val="20"/>
              </w:rPr>
              <w:t>20/12/2019</w:t>
            </w:r>
          </w:p>
        </w:tc>
      </w:tr>
      <w:tr w:rsidR="00AB6753" w:rsidRPr="00F32D92" w14:paraId="7379828A" w14:textId="77777777" w:rsidTr="002D1EA4">
        <w:trPr>
          <w:trHeight w:val="113"/>
          <w:jc w:val="center"/>
        </w:trPr>
        <w:tc>
          <w:tcPr>
            <w:tcW w:w="0" w:type="auto"/>
            <w:tcBorders>
              <w:top w:val="nil"/>
              <w:left w:val="single" w:sz="8" w:space="0" w:color="666666"/>
              <w:bottom w:val="single" w:sz="8" w:space="0" w:color="666666"/>
              <w:right w:val="single" w:sz="8" w:space="0" w:color="666666"/>
            </w:tcBorders>
            <w:tcMar>
              <w:top w:w="0" w:type="dxa"/>
              <w:left w:w="108" w:type="dxa"/>
              <w:bottom w:w="0" w:type="dxa"/>
              <w:right w:w="108" w:type="dxa"/>
            </w:tcMar>
            <w:vAlign w:val="center"/>
          </w:tcPr>
          <w:p w14:paraId="58B319CC" w14:textId="77777777" w:rsidR="00AB6753" w:rsidRPr="00F32D92" w:rsidRDefault="00AB6753" w:rsidP="002D1EA4">
            <w:pPr>
              <w:rPr>
                <w:rFonts w:cs="Arial"/>
                <w:sz w:val="20"/>
                <w:szCs w:val="20"/>
              </w:rPr>
            </w:pPr>
            <w:r w:rsidRPr="00F32D92">
              <w:rPr>
                <w:rFonts w:cs="Arial"/>
                <w:sz w:val="20"/>
                <w:szCs w:val="20"/>
              </w:rPr>
              <w:t>Nathan Williamson</w:t>
            </w:r>
          </w:p>
        </w:tc>
        <w:tc>
          <w:tcPr>
            <w:tcW w:w="0" w:type="auto"/>
            <w:tcBorders>
              <w:top w:val="nil"/>
              <w:left w:val="nil"/>
              <w:bottom w:val="single" w:sz="8" w:space="0" w:color="666666"/>
              <w:right w:val="single" w:sz="8" w:space="0" w:color="auto"/>
            </w:tcBorders>
            <w:tcMar>
              <w:top w:w="0" w:type="dxa"/>
              <w:left w:w="108" w:type="dxa"/>
              <w:bottom w:w="0" w:type="dxa"/>
              <w:right w:w="108" w:type="dxa"/>
            </w:tcMar>
          </w:tcPr>
          <w:p w14:paraId="69F19673" w14:textId="77777777" w:rsidR="00AB6753" w:rsidRPr="00F32D92" w:rsidRDefault="00AB6753" w:rsidP="002D1EA4">
            <w:pPr>
              <w:rPr>
                <w:rFonts w:cs="Arial"/>
                <w:sz w:val="20"/>
                <w:szCs w:val="20"/>
              </w:rPr>
            </w:pPr>
            <w:r w:rsidRPr="00F32D92">
              <w:rPr>
                <w:rFonts w:cs="Arial"/>
                <w:sz w:val="20"/>
                <w:szCs w:val="20"/>
              </w:rPr>
              <w:t>Acting Secretary</w:t>
            </w:r>
          </w:p>
        </w:tc>
        <w:tc>
          <w:tcPr>
            <w:tcW w:w="0" w:type="auto"/>
            <w:tcBorders>
              <w:top w:val="nil"/>
              <w:left w:val="nil"/>
              <w:bottom w:val="single" w:sz="8" w:space="0" w:color="666666"/>
              <w:right w:val="single" w:sz="8" w:space="0" w:color="auto"/>
            </w:tcBorders>
            <w:tcMar>
              <w:top w:w="0" w:type="dxa"/>
              <w:left w:w="108" w:type="dxa"/>
              <w:bottom w:w="0" w:type="dxa"/>
              <w:right w:w="108" w:type="dxa"/>
            </w:tcMar>
            <w:vAlign w:val="bottom"/>
          </w:tcPr>
          <w:p w14:paraId="7425B6D4" w14:textId="77777777" w:rsidR="00AB6753" w:rsidRPr="00F32D92" w:rsidRDefault="00AB6753" w:rsidP="002D1EA4">
            <w:pPr>
              <w:rPr>
                <w:rFonts w:cs="Arial"/>
                <w:sz w:val="20"/>
                <w:szCs w:val="20"/>
              </w:rPr>
            </w:pPr>
            <w:r w:rsidRPr="00F32D92">
              <w:rPr>
                <w:rFonts w:cs="Arial"/>
                <w:sz w:val="20"/>
                <w:szCs w:val="20"/>
              </w:rPr>
              <w:t>21/12/2019</w:t>
            </w:r>
          </w:p>
        </w:tc>
        <w:tc>
          <w:tcPr>
            <w:tcW w:w="0" w:type="auto"/>
            <w:tcBorders>
              <w:top w:val="nil"/>
              <w:left w:val="nil"/>
              <w:bottom w:val="single" w:sz="8" w:space="0" w:color="666666"/>
              <w:right w:val="single" w:sz="8" w:space="0" w:color="auto"/>
            </w:tcBorders>
            <w:tcMar>
              <w:top w:w="0" w:type="dxa"/>
              <w:left w:w="108" w:type="dxa"/>
              <w:bottom w:w="0" w:type="dxa"/>
              <w:right w:w="108" w:type="dxa"/>
            </w:tcMar>
            <w:vAlign w:val="bottom"/>
          </w:tcPr>
          <w:p w14:paraId="65E3E949" w14:textId="77777777" w:rsidR="00AB6753" w:rsidRPr="00F32D92" w:rsidRDefault="00AB6753" w:rsidP="002D1EA4">
            <w:pPr>
              <w:rPr>
                <w:rFonts w:cs="Arial"/>
                <w:sz w:val="20"/>
                <w:szCs w:val="20"/>
              </w:rPr>
            </w:pPr>
            <w:r>
              <w:rPr>
                <w:rFonts w:cs="Arial"/>
                <w:sz w:val="20"/>
                <w:szCs w:val="20"/>
              </w:rPr>
              <w:t>0</w:t>
            </w:r>
            <w:r w:rsidRPr="00F32D92">
              <w:rPr>
                <w:rFonts w:cs="Arial"/>
                <w:sz w:val="20"/>
                <w:szCs w:val="20"/>
              </w:rPr>
              <w:t>2/02/2020</w:t>
            </w:r>
          </w:p>
        </w:tc>
      </w:tr>
      <w:tr w:rsidR="00AB6753" w:rsidRPr="00F32D92" w14:paraId="6BF325A1" w14:textId="77777777" w:rsidTr="002D1EA4">
        <w:trPr>
          <w:trHeight w:val="113"/>
          <w:jc w:val="center"/>
        </w:trPr>
        <w:tc>
          <w:tcPr>
            <w:tcW w:w="0" w:type="auto"/>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vAlign w:val="center"/>
          </w:tcPr>
          <w:p w14:paraId="1791CCFD" w14:textId="77777777" w:rsidR="00AB6753" w:rsidRPr="00F32D92" w:rsidRDefault="00AB6753" w:rsidP="002D1EA4">
            <w:pPr>
              <w:rPr>
                <w:rFonts w:cs="Arial"/>
                <w:sz w:val="20"/>
                <w:szCs w:val="20"/>
              </w:rPr>
            </w:pPr>
            <w:r w:rsidRPr="00F32D92">
              <w:rPr>
                <w:rFonts w:cs="Arial"/>
                <w:sz w:val="20"/>
                <w:szCs w:val="20"/>
              </w:rPr>
              <w:t>Kathryn Campbell</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tcPr>
          <w:p w14:paraId="4F71CC44" w14:textId="77777777" w:rsidR="00AB6753" w:rsidRPr="00F32D92" w:rsidRDefault="00AB6753" w:rsidP="002D1EA4">
            <w:pPr>
              <w:rPr>
                <w:rFonts w:cs="Arial"/>
                <w:sz w:val="20"/>
                <w:szCs w:val="20"/>
              </w:rPr>
            </w:pPr>
            <w:r w:rsidRPr="00F32D92">
              <w:rPr>
                <w:rFonts w:cs="Arial"/>
                <w:sz w:val="20"/>
                <w:szCs w:val="20"/>
              </w:rPr>
              <w:t>Secretary</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tcPr>
          <w:p w14:paraId="5BB63C0C" w14:textId="77777777" w:rsidR="00AB6753" w:rsidRPr="00F32D92" w:rsidRDefault="00AB6753" w:rsidP="002D1EA4">
            <w:pPr>
              <w:rPr>
                <w:rFonts w:cs="Arial"/>
                <w:sz w:val="20"/>
                <w:szCs w:val="20"/>
              </w:rPr>
            </w:pPr>
            <w:r w:rsidRPr="00F32D92">
              <w:rPr>
                <w:rFonts w:cs="Arial"/>
                <w:sz w:val="20"/>
                <w:szCs w:val="20"/>
              </w:rPr>
              <w:t>03/02/2020</w:t>
            </w:r>
          </w:p>
        </w:tc>
        <w:tc>
          <w:tcPr>
            <w:tcW w:w="0" w:type="auto"/>
            <w:tcBorders>
              <w:top w:val="nil"/>
              <w:left w:val="nil"/>
              <w:bottom w:val="single" w:sz="8" w:space="0" w:color="666666"/>
              <w:right w:val="single" w:sz="8" w:space="0" w:color="auto"/>
            </w:tcBorders>
            <w:shd w:val="clear" w:color="auto" w:fill="CCCCCC"/>
            <w:tcMar>
              <w:top w:w="0" w:type="dxa"/>
              <w:left w:w="108" w:type="dxa"/>
              <w:bottom w:w="0" w:type="dxa"/>
              <w:right w:w="108" w:type="dxa"/>
            </w:tcMar>
          </w:tcPr>
          <w:p w14:paraId="792A6F0C" w14:textId="77777777" w:rsidR="00AB6753" w:rsidRPr="00F32D92" w:rsidRDefault="00AB6753" w:rsidP="002D1EA4">
            <w:pPr>
              <w:rPr>
                <w:rFonts w:cs="Arial"/>
                <w:sz w:val="20"/>
                <w:szCs w:val="20"/>
              </w:rPr>
            </w:pPr>
            <w:r w:rsidRPr="00F32D92">
              <w:rPr>
                <w:rFonts w:cs="Arial"/>
                <w:sz w:val="20"/>
                <w:szCs w:val="20"/>
              </w:rPr>
              <w:t>30/06/2020</w:t>
            </w:r>
          </w:p>
        </w:tc>
      </w:tr>
    </w:tbl>
    <w:p w14:paraId="69F77E82" w14:textId="77777777" w:rsidR="00AB6753" w:rsidRDefault="00AB6753" w:rsidP="00AB6753">
      <w:bookmarkStart w:id="286" w:name="_Toc5705957"/>
    </w:p>
    <w:p w14:paraId="56BD2627" w14:textId="77777777" w:rsidR="00AB6753" w:rsidRDefault="00AB6753" w:rsidP="00AB6753">
      <w:pPr>
        <w:sectPr w:rsidR="00AB6753" w:rsidSect="00123D6C">
          <w:pgSz w:w="11906" w:h="16838"/>
          <w:pgMar w:top="1440" w:right="1440" w:bottom="1440" w:left="1440" w:header="709" w:footer="709" w:gutter="0"/>
          <w:cols w:space="708"/>
          <w:docGrid w:linePitch="360"/>
        </w:sectPr>
      </w:pPr>
    </w:p>
    <w:p w14:paraId="316D99B5" w14:textId="77777777" w:rsidR="00AB6753" w:rsidRDefault="00AB6753" w:rsidP="00AB6753"/>
    <w:p w14:paraId="54AE920A" w14:textId="77777777" w:rsidR="00AB6753" w:rsidRPr="00A050FC" w:rsidRDefault="00AB6753" w:rsidP="00AB6753">
      <w:pPr>
        <w:rPr>
          <w:rFonts w:ascii="Arial Narrow" w:hAnsi="Arial Narrow" w:cs="Calibri"/>
          <w:b/>
          <w:sz w:val="20"/>
          <w:szCs w:val="20"/>
        </w:rPr>
      </w:pPr>
      <w:r>
        <w:rPr>
          <w:rFonts w:ascii="Arial Narrow" w:hAnsi="Arial Narrow" w:cs="Calibri"/>
          <w:b/>
          <w:sz w:val="20"/>
          <w:szCs w:val="20"/>
        </w:rPr>
        <w:t xml:space="preserve">Table F-5 </w:t>
      </w:r>
      <w:r w:rsidRPr="00A050FC">
        <w:rPr>
          <w:rFonts w:ascii="Arial Narrow" w:hAnsi="Arial Narrow" w:cs="Calibri"/>
          <w:b/>
          <w:sz w:val="20"/>
          <w:szCs w:val="20"/>
        </w:rPr>
        <w:t>17AG (4)(aa) — Management of Human Resources all Ongoing Employees Current Report Period</w:t>
      </w:r>
      <w:r>
        <w:rPr>
          <w:rFonts w:ascii="Arial Narrow" w:hAnsi="Arial Narrow" w:cs="Calibri"/>
          <w:b/>
          <w:sz w:val="20"/>
          <w:szCs w:val="20"/>
        </w:rPr>
        <w:t xml:space="preserve"> </w:t>
      </w:r>
      <w:r w:rsidRPr="00A050FC">
        <w:rPr>
          <w:rFonts w:ascii="Arial Narrow" w:hAnsi="Arial Narrow" w:cs="Calibri"/>
          <w:b/>
          <w:sz w:val="20"/>
          <w:szCs w:val="20"/>
        </w:rPr>
        <w:t>(2019–20)</w:t>
      </w:r>
      <w:bookmarkEnd w:id="286"/>
    </w:p>
    <w:tbl>
      <w:tblPr>
        <w:tblW w:w="9918" w:type="dxa"/>
        <w:jc w:val="center"/>
        <w:tblLayout w:type="fixed"/>
        <w:tblLook w:val="04A0" w:firstRow="1" w:lastRow="0" w:firstColumn="1" w:lastColumn="0" w:noHBand="0" w:noVBand="1"/>
        <w:tblCaption w:val="Table F-5 17AG (4)(aa) Management of Human Resources "/>
        <w:tblDescription w:val="17AG (4)(aa) Management of Human Resources. All Ongoing Employees. Current Report Period (2019-20)"/>
      </w:tblPr>
      <w:tblGrid>
        <w:gridCol w:w="1127"/>
        <w:gridCol w:w="853"/>
        <w:gridCol w:w="711"/>
        <w:gridCol w:w="186"/>
        <w:gridCol w:w="662"/>
        <w:gridCol w:w="709"/>
        <w:gridCol w:w="8"/>
        <w:gridCol w:w="844"/>
        <w:gridCol w:w="991"/>
        <w:gridCol w:w="708"/>
        <w:gridCol w:w="709"/>
        <w:gridCol w:w="1559"/>
        <w:gridCol w:w="851"/>
      </w:tblGrid>
      <w:tr w:rsidR="00AB6753" w:rsidRPr="00F32D92" w14:paraId="176CFC32" w14:textId="77777777" w:rsidTr="002D1EA4">
        <w:trPr>
          <w:trHeight w:val="300"/>
          <w:tblHeader/>
          <w:jc w:val="center"/>
        </w:trPr>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82568F1" w14:textId="77777777" w:rsidR="00AB6753" w:rsidRPr="00F32D92" w:rsidRDefault="00AB6753" w:rsidP="002D1EA4">
            <w:pPr>
              <w:rPr>
                <w:rFonts w:cs="Arial"/>
                <w:sz w:val="20"/>
                <w:szCs w:val="20"/>
              </w:rPr>
            </w:pPr>
          </w:p>
        </w:tc>
        <w:tc>
          <w:tcPr>
            <w:tcW w:w="2412"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E37C130" w14:textId="77777777" w:rsidR="00AB6753" w:rsidRPr="00F32D92" w:rsidRDefault="00AB6753" w:rsidP="002D1EA4">
            <w:pPr>
              <w:rPr>
                <w:rFonts w:cs="Arial"/>
                <w:sz w:val="20"/>
                <w:szCs w:val="20"/>
              </w:rPr>
            </w:pPr>
            <w:r w:rsidRPr="00F32D92">
              <w:rPr>
                <w:rFonts w:cs="Arial"/>
                <w:sz w:val="20"/>
                <w:szCs w:val="20"/>
              </w:rPr>
              <w:t>Male</w:t>
            </w:r>
          </w:p>
        </w:tc>
        <w:tc>
          <w:tcPr>
            <w:tcW w:w="2552"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BFB2DE6" w14:textId="77777777" w:rsidR="00AB6753" w:rsidRPr="00F32D92" w:rsidRDefault="00AB6753" w:rsidP="002D1EA4">
            <w:pPr>
              <w:rPr>
                <w:rFonts w:cs="Arial"/>
                <w:sz w:val="20"/>
                <w:szCs w:val="20"/>
              </w:rPr>
            </w:pPr>
            <w:r w:rsidRPr="00F32D92">
              <w:rPr>
                <w:rFonts w:cs="Arial"/>
                <w:sz w:val="20"/>
                <w:szCs w:val="20"/>
              </w:rPr>
              <w:t>Female</w:t>
            </w:r>
          </w:p>
        </w:tc>
        <w:tc>
          <w:tcPr>
            <w:tcW w:w="297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E1C93C5" w14:textId="77777777" w:rsidR="00AB6753" w:rsidRPr="00F32D92" w:rsidRDefault="00AB6753" w:rsidP="002D1EA4">
            <w:pPr>
              <w:rPr>
                <w:rFonts w:cs="Arial"/>
                <w:sz w:val="20"/>
                <w:szCs w:val="20"/>
              </w:rPr>
            </w:pPr>
            <w:r w:rsidRPr="00F32D92">
              <w:rPr>
                <w:rFonts w:cs="Arial"/>
                <w:sz w:val="20"/>
                <w:szCs w:val="20"/>
              </w:rPr>
              <w:t>Indeterminate</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5D9D6B" w14:textId="77777777" w:rsidR="00AB6753" w:rsidRPr="00F32D92" w:rsidRDefault="00AB6753" w:rsidP="002D1EA4">
            <w:pPr>
              <w:rPr>
                <w:rFonts w:cs="Arial"/>
                <w:sz w:val="20"/>
                <w:szCs w:val="20"/>
              </w:rPr>
            </w:pPr>
            <w:r w:rsidRPr="00F32D92">
              <w:rPr>
                <w:rFonts w:cs="Arial"/>
                <w:sz w:val="20"/>
                <w:szCs w:val="20"/>
              </w:rPr>
              <w:t>Total</w:t>
            </w:r>
          </w:p>
        </w:tc>
      </w:tr>
      <w:tr w:rsidR="00AB6753" w:rsidRPr="00F32D92" w14:paraId="0D8C10E9" w14:textId="77777777" w:rsidTr="002D1EA4">
        <w:trPr>
          <w:trHeight w:val="615"/>
          <w:jc w:val="center"/>
        </w:trPr>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B13DA69" w14:textId="77777777" w:rsidR="00AB6753" w:rsidRPr="00F32D92" w:rsidRDefault="00AB6753" w:rsidP="002D1EA4">
            <w:pPr>
              <w:rPr>
                <w:rFonts w:cs="Arial"/>
                <w:sz w:val="20"/>
                <w:szCs w:val="20"/>
              </w:rPr>
            </w:pPr>
          </w:p>
        </w:tc>
        <w:tc>
          <w:tcPr>
            <w:tcW w:w="853" w:type="dxa"/>
            <w:tcBorders>
              <w:top w:val="single" w:sz="4" w:space="0" w:color="auto"/>
              <w:left w:val="single" w:sz="4" w:space="0" w:color="auto"/>
            </w:tcBorders>
            <w:shd w:val="clear" w:color="auto" w:fill="BFBFBF" w:themeFill="background1" w:themeFillShade="BF"/>
            <w:noWrap/>
            <w:hideMark/>
          </w:tcPr>
          <w:p w14:paraId="53AEDC97" w14:textId="77777777" w:rsidR="00AB6753" w:rsidRPr="00F32D92" w:rsidRDefault="00AB6753" w:rsidP="002D1EA4">
            <w:pPr>
              <w:rPr>
                <w:rFonts w:cs="Arial"/>
                <w:sz w:val="20"/>
                <w:szCs w:val="20"/>
              </w:rPr>
            </w:pPr>
            <w:r w:rsidRPr="00F32D92">
              <w:rPr>
                <w:rFonts w:cs="Arial"/>
                <w:sz w:val="20"/>
                <w:szCs w:val="20"/>
              </w:rPr>
              <w:t>Full-time</w:t>
            </w:r>
          </w:p>
        </w:tc>
        <w:tc>
          <w:tcPr>
            <w:tcW w:w="711" w:type="dxa"/>
            <w:tcBorders>
              <w:top w:val="single" w:sz="4" w:space="0" w:color="auto"/>
            </w:tcBorders>
            <w:shd w:val="clear" w:color="auto" w:fill="BFBFBF" w:themeFill="background1" w:themeFillShade="BF"/>
            <w:noWrap/>
            <w:hideMark/>
          </w:tcPr>
          <w:p w14:paraId="76515CA7" w14:textId="77777777" w:rsidR="00AB6753" w:rsidRPr="00F32D92" w:rsidRDefault="00AB6753" w:rsidP="002D1EA4">
            <w:pPr>
              <w:rPr>
                <w:rFonts w:cs="Arial"/>
                <w:sz w:val="20"/>
                <w:szCs w:val="20"/>
              </w:rPr>
            </w:pPr>
            <w:r w:rsidRPr="00F32D92">
              <w:rPr>
                <w:rFonts w:cs="Arial"/>
                <w:sz w:val="20"/>
                <w:szCs w:val="20"/>
              </w:rPr>
              <w:t>Part-time</w:t>
            </w:r>
          </w:p>
        </w:tc>
        <w:tc>
          <w:tcPr>
            <w:tcW w:w="848" w:type="dxa"/>
            <w:gridSpan w:val="2"/>
            <w:tcBorders>
              <w:top w:val="single" w:sz="4" w:space="0" w:color="auto"/>
              <w:right w:val="single" w:sz="4" w:space="0" w:color="auto"/>
            </w:tcBorders>
            <w:shd w:val="clear" w:color="auto" w:fill="BFBFBF" w:themeFill="background1" w:themeFillShade="BF"/>
            <w:noWrap/>
            <w:hideMark/>
          </w:tcPr>
          <w:p w14:paraId="2A5C5DAB" w14:textId="77777777" w:rsidR="00AB6753" w:rsidRPr="00F32D92" w:rsidRDefault="00AB6753" w:rsidP="002D1EA4">
            <w:pPr>
              <w:rPr>
                <w:rFonts w:cs="Arial"/>
                <w:sz w:val="20"/>
                <w:szCs w:val="20"/>
              </w:rPr>
            </w:pPr>
            <w:r w:rsidRPr="00F32D92">
              <w:rPr>
                <w:rFonts w:cs="Arial"/>
                <w:sz w:val="20"/>
                <w:szCs w:val="20"/>
              </w:rPr>
              <w:t>Total Male</w:t>
            </w:r>
          </w:p>
        </w:tc>
        <w:tc>
          <w:tcPr>
            <w:tcW w:w="709" w:type="dxa"/>
            <w:tcBorders>
              <w:top w:val="single" w:sz="4" w:space="0" w:color="auto"/>
              <w:left w:val="single" w:sz="4" w:space="0" w:color="auto"/>
            </w:tcBorders>
            <w:shd w:val="clear" w:color="auto" w:fill="BFBFBF" w:themeFill="background1" w:themeFillShade="BF"/>
            <w:noWrap/>
            <w:hideMark/>
          </w:tcPr>
          <w:p w14:paraId="34822B49" w14:textId="77777777" w:rsidR="00AB6753" w:rsidRPr="00F32D92" w:rsidRDefault="00AB6753" w:rsidP="002D1EA4">
            <w:pPr>
              <w:rPr>
                <w:rFonts w:cs="Arial"/>
                <w:sz w:val="20"/>
                <w:szCs w:val="20"/>
              </w:rPr>
            </w:pPr>
            <w:r w:rsidRPr="00F32D92">
              <w:rPr>
                <w:rFonts w:cs="Arial"/>
                <w:sz w:val="20"/>
                <w:szCs w:val="20"/>
              </w:rPr>
              <w:t>Full-time</w:t>
            </w:r>
          </w:p>
        </w:tc>
        <w:tc>
          <w:tcPr>
            <w:tcW w:w="852" w:type="dxa"/>
            <w:gridSpan w:val="2"/>
            <w:tcBorders>
              <w:top w:val="single" w:sz="4" w:space="0" w:color="auto"/>
            </w:tcBorders>
            <w:shd w:val="clear" w:color="auto" w:fill="BFBFBF" w:themeFill="background1" w:themeFillShade="BF"/>
            <w:noWrap/>
            <w:hideMark/>
          </w:tcPr>
          <w:p w14:paraId="00C351E9" w14:textId="77777777" w:rsidR="00AB6753" w:rsidRPr="00F32D92" w:rsidRDefault="00AB6753" w:rsidP="002D1EA4">
            <w:pPr>
              <w:rPr>
                <w:rFonts w:cs="Arial"/>
                <w:sz w:val="20"/>
                <w:szCs w:val="20"/>
              </w:rPr>
            </w:pPr>
            <w:r w:rsidRPr="00F32D92">
              <w:rPr>
                <w:rFonts w:cs="Arial"/>
                <w:sz w:val="20"/>
                <w:szCs w:val="20"/>
              </w:rPr>
              <w:t>Part-time</w:t>
            </w:r>
          </w:p>
        </w:tc>
        <w:tc>
          <w:tcPr>
            <w:tcW w:w="991" w:type="dxa"/>
            <w:tcBorders>
              <w:top w:val="single" w:sz="4" w:space="0" w:color="auto"/>
              <w:right w:val="single" w:sz="4" w:space="0" w:color="auto"/>
            </w:tcBorders>
            <w:shd w:val="clear" w:color="auto" w:fill="BFBFBF" w:themeFill="background1" w:themeFillShade="BF"/>
            <w:noWrap/>
            <w:hideMark/>
          </w:tcPr>
          <w:p w14:paraId="602A0892" w14:textId="77777777" w:rsidR="00AB6753" w:rsidRPr="00F32D92" w:rsidRDefault="00AB6753" w:rsidP="002D1EA4">
            <w:pPr>
              <w:rPr>
                <w:rFonts w:cs="Arial"/>
                <w:sz w:val="20"/>
                <w:szCs w:val="20"/>
              </w:rPr>
            </w:pPr>
            <w:r w:rsidRPr="00F32D92">
              <w:rPr>
                <w:rFonts w:cs="Arial"/>
                <w:sz w:val="20"/>
                <w:szCs w:val="20"/>
              </w:rPr>
              <w:t>Total Female</w:t>
            </w:r>
          </w:p>
        </w:tc>
        <w:tc>
          <w:tcPr>
            <w:tcW w:w="708" w:type="dxa"/>
            <w:tcBorders>
              <w:top w:val="single" w:sz="4" w:space="0" w:color="auto"/>
              <w:left w:val="single" w:sz="4" w:space="0" w:color="auto"/>
            </w:tcBorders>
            <w:shd w:val="clear" w:color="auto" w:fill="BFBFBF" w:themeFill="background1" w:themeFillShade="BF"/>
            <w:noWrap/>
            <w:hideMark/>
          </w:tcPr>
          <w:p w14:paraId="4797BA55" w14:textId="77777777" w:rsidR="00AB6753" w:rsidRPr="00F32D92" w:rsidRDefault="00AB6753" w:rsidP="002D1EA4">
            <w:pPr>
              <w:rPr>
                <w:rFonts w:cs="Arial"/>
                <w:sz w:val="20"/>
                <w:szCs w:val="20"/>
              </w:rPr>
            </w:pPr>
            <w:r w:rsidRPr="00F32D92">
              <w:rPr>
                <w:rFonts w:cs="Arial"/>
                <w:sz w:val="20"/>
                <w:szCs w:val="20"/>
              </w:rPr>
              <w:t>Full-time</w:t>
            </w:r>
          </w:p>
        </w:tc>
        <w:tc>
          <w:tcPr>
            <w:tcW w:w="709" w:type="dxa"/>
            <w:tcBorders>
              <w:top w:val="single" w:sz="4" w:space="0" w:color="auto"/>
            </w:tcBorders>
            <w:shd w:val="clear" w:color="auto" w:fill="BFBFBF" w:themeFill="background1" w:themeFillShade="BF"/>
            <w:noWrap/>
            <w:hideMark/>
          </w:tcPr>
          <w:p w14:paraId="22D42666" w14:textId="77777777" w:rsidR="00AB6753" w:rsidRPr="00F32D92" w:rsidRDefault="00AB6753" w:rsidP="002D1EA4">
            <w:pPr>
              <w:rPr>
                <w:rFonts w:cs="Arial"/>
                <w:sz w:val="20"/>
                <w:szCs w:val="20"/>
              </w:rPr>
            </w:pPr>
            <w:r w:rsidRPr="00F32D92">
              <w:rPr>
                <w:rFonts w:cs="Arial"/>
                <w:sz w:val="20"/>
                <w:szCs w:val="20"/>
              </w:rPr>
              <w:t>Part-time</w:t>
            </w:r>
          </w:p>
        </w:tc>
        <w:tc>
          <w:tcPr>
            <w:tcW w:w="1559" w:type="dxa"/>
            <w:tcBorders>
              <w:top w:val="single" w:sz="4" w:space="0" w:color="auto"/>
              <w:right w:val="single" w:sz="4" w:space="0" w:color="auto"/>
            </w:tcBorders>
            <w:shd w:val="clear" w:color="auto" w:fill="BFBFBF" w:themeFill="background1" w:themeFillShade="BF"/>
            <w:hideMark/>
          </w:tcPr>
          <w:p w14:paraId="3FD1D086" w14:textId="77777777" w:rsidR="00AB6753" w:rsidRPr="00F32D92" w:rsidRDefault="00AB6753" w:rsidP="002D1EA4">
            <w:pPr>
              <w:rPr>
                <w:rFonts w:cs="Arial"/>
                <w:sz w:val="20"/>
                <w:szCs w:val="20"/>
              </w:rPr>
            </w:pPr>
            <w:r w:rsidRPr="00F32D92">
              <w:rPr>
                <w:rFonts w:cs="Arial"/>
                <w:sz w:val="20"/>
                <w:szCs w:val="20"/>
              </w:rPr>
              <w:t>Total Indeterminate</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398ABB" w14:textId="77777777" w:rsidR="00AB6753" w:rsidRPr="00F32D92" w:rsidRDefault="00AB6753" w:rsidP="002D1EA4">
            <w:pPr>
              <w:rPr>
                <w:rFonts w:cs="Arial"/>
                <w:sz w:val="20"/>
                <w:szCs w:val="20"/>
              </w:rPr>
            </w:pPr>
          </w:p>
        </w:tc>
      </w:tr>
      <w:tr w:rsidR="00AB6753" w:rsidRPr="00F32D92" w14:paraId="4002CF3D" w14:textId="77777777" w:rsidTr="002D1EA4">
        <w:trPr>
          <w:trHeight w:val="315"/>
          <w:jc w:val="center"/>
        </w:trPr>
        <w:tc>
          <w:tcPr>
            <w:tcW w:w="1127" w:type="dxa"/>
            <w:tcBorders>
              <w:top w:val="single" w:sz="4" w:space="0" w:color="auto"/>
              <w:left w:val="single" w:sz="4" w:space="0" w:color="auto"/>
              <w:bottom w:val="single" w:sz="4" w:space="0" w:color="auto"/>
              <w:right w:val="single" w:sz="4" w:space="0" w:color="auto"/>
            </w:tcBorders>
            <w:hideMark/>
          </w:tcPr>
          <w:p w14:paraId="5171808D" w14:textId="77777777" w:rsidR="00AB6753" w:rsidRPr="00F32D92" w:rsidRDefault="00AB6753" w:rsidP="002D1EA4">
            <w:pPr>
              <w:rPr>
                <w:rFonts w:cs="Arial"/>
                <w:sz w:val="20"/>
                <w:szCs w:val="20"/>
              </w:rPr>
            </w:pPr>
            <w:r w:rsidRPr="00F32D92">
              <w:rPr>
                <w:rFonts w:cs="Arial"/>
                <w:sz w:val="20"/>
                <w:szCs w:val="20"/>
              </w:rPr>
              <w:t>NSW</w:t>
            </w:r>
          </w:p>
        </w:tc>
        <w:tc>
          <w:tcPr>
            <w:tcW w:w="853" w:type="dxa"/>
            <w:tcBorders>
              <w:left w:val="single" w:sz="4" w:space="0" w:color="auto"/>
            </w:tcBorders>
            <w:noWrap/>
            <w:vAlign w:val="center"/>
          </w:tcPr>
          <w:p w14:paraId="0A5D8D1F" w14:textId="77777777" w:rsidR="00AB6753" w:rsidRPr="00F32D92" w:rsidRDefault="00AB6753" w:rsidP="002D1EA4">
            <w:pPr>
              <w:rPr>
                <w:rFonts w:cs="Arial"/>
                <w:color w:val="000000"/>
                <w:sz w:val="20"/>
                <w:szCs w:val="20"/>
              </w:rPr>
            </w:pPr>
            <w:r w:rsidRPr="00F32D92">
              <w:rPr>
                <w:rFonts w:cs="Arial"/>
                <w:color w:val="000000"/>
                <w:sz w:val="20"/>
                <w:szCs w:val="20"/>
              </w:rPr>
              <w:t>53</w:t>
            </w:r>
          </w:p>
        </w:tc>
        <w:tc>
          <w:tcPr>
            <w:tcW w:w="711" w:type="dxa"/>
            <w:noWrap/>
            <w:vAlign w:val="center"/>
            <w:hideMark/>
          </w:tcPr>
          <w:p w14:paraId="41FBA751" w14:textId="77777777" w:rsidR="00AB6753" w:rsidRPr="00F32D92" w:rsidRDefault="00AB6753" w:rsidP="002D1EA4">
            <w:pPr>
              <w:rPr>
                <w:rFonts w:cs="Arial"/>
                <w:color w:val="000000"/>
                <w:sz w:val="20"/>
                <w:szCs w:val="20"/>
              </w:rPr>
            </w:pPr>
            <w:r w:rsidRPr="00F32D92">
              <w:rPr>
                <w:rFonts w:cs="Arial"/>
                <w:color w:val="000000"/>
                <w:sz w:val="20"/>
                <w:szCs w:val="20"/>
              </w:rPr>
              <w:t>3</w:t>
            </w:r>
          </w:p>
        </w:tc>
        <w:tc>
          <w:tcPr>
            <w:tcW w:w="848" w:type="dxa"/>
            <w:gridSpan w:val="2"/>
            <w:tcBorders>
              <w:right w:val="single" w:sz="4" w:space="0" w:color="auto"/>
            </w:tcBorders>
            <w:noWrap/>
            <w:vAlign w:val="center"/>
            <w:hideMark/>
          </w:tcPr>
          <w:p w14:paraId="6E4EAC15" w14:textId="77777777" w:rsidR="00AB6753" w:rsidRPr="00F32D92" w:rsidRDefault="00AB6753" w:rsidP="002D1EA4">
            <w:pPr>
              <w:rPr>
                <w:rFonts w:cs="Arial"/>
                <w:color w:val="000000"/>
                <w:sz w:val="20"/>
                <w:szCs w:val="20"/>
              </w:rPr>
            </w:pPr>
            <w:r w:rsidRPr="00F32D92">
              <w:rPr>
                <w:rFonts w:cs="Arial"/>
                <w:color w:val="000000"/>
                <w:sz w:val="20"/>
                <w:szCs w:val="20"/>
              </w:rPr>
              <w:t>56</w:t>
            </w:r>
          </w:p>
        </w:tc>
        <w:tc>
          <w:tcPr>
            <w:tcW w:w="709" w:type="dxa"/>
            <w:tcBorders>
              <w:left w:val="single" w:sz="4" w:space="0" w:color="auto"/>
            </w:tcBorders>
            <w:noWrap/>
            <w:vAlign w:val="bottom"/>
            <w:hideMark/>
          </w:tcPr>
          <w:p w14:paraId="5B2CA3C7" w14:textId="77777777" w:rsidR="00AB6753" w:rsidRPr="00F32D92" w:rsidRDefault="00AB6753" w:rsidP="002D1EA4">
            <w:pPr>
              <w:rPr>
                <w:rFonts w:cs="Arial"/>
                <w:sz w:val="20"/>
                <w:szCs w:val="20"/>
              </w:rPr>
            </w:pPr>
            <w:r w:rsidRPr="00F32D92">
              <w:rPr>
                <w:rFonts w:cs="Arial"/>
                <w:color w:val="000000"/>
                <w:sz w:val="20"/>
                <w:szCs w:val="20"/>
              </w:rPr>
              <w:t>77</w:t>
            </w:r>
          </w:p>
        </w:tc>
        <w:tc>
          <w:tcPr>
            <w:tcW w:w="852" w:type="dxa"/>
            <w:gridSpan w:val="2"/>
            <w:noWrap/>
            <w:vAlign w:val="bottom"/>
            <w:hideMark/>
          </w:tcPr>
          <w:p w14:paraId="5A93F6C3" w14:textId="77777777" w:rsidR="00AB6753" w:rsidRPr="00F32D92" w:rsidRDefault="00AB6753" w:rsidP="002D1EA4">
            <w:pPr>
              <w:rPr>
                <w:rFonts w:cs="Arial"/>
                <w:sz w:val="20"/>
                <w:szCs w:val="20"/>
              </w:rPr>
            </w:pPr>
            <w:r w:rsidRPr="00F32D92">
              <w:rPr>
                <w:rFonts w:cs="Arial"/>
                <w:color w:val="000000"/>
                <w:sz w:val="20"/>
                <w:szCs w:val="20"/>
              </w:rPr>
              <w:t>27</w:t>
            </w:r>
          </w:p>
        </w:tc>
        <w:tc>
          <w:tcPr>
            <w:tcW w:w="991" w:type="dxa"/>
            <w:tcBorders>
              <w:right w:val="single" w:sz="4" w:space="0" w:color="auto"/>
            </w:tcBorders>
            <w:noWrap/>
            <w:vAlign w:val="bottom"/>
            <w:hideMark/>
          </w:tcPr>
          <w:p w14:paraId="796E7F23" w14:textId="77777777" w:rsidR="00AB6753" w:rsidRPr="00F32D92" w:rsidRDefault="00AB6753" w:rsidP="002D1EA4">
            <w:pPr>
              <w:rPr>
                <w:rFonts w:cs="Arial"/>
                <w:sz w:val="20"/>
                <w:szCs w:val="20"/>
              </w:rPr>
            </w:pPr>
            <w:r w:rsidRPr="00F32D92">
              <w:rPr>
                <w:rFonts w:cs="Arial"/>
                <w:color w:val="000000"/>
                <w:sz w:val="20"/>
                <w:szCs w:val="20"/>
              </w:rPr>
              <w:t>104</w:t>
            </w:r>
          </w:p>
        </w:tc>
        <w:tc>
          <w:tcPr>
            <w:tcW w:w="708" w:type="dxa"/>
            <w:tcBorders>
              <w:left w:val="single" w:sz="4" w:space="0" w:color="auto"/>
            </w:tcBorders>
            <w:noWrap/>
            <w:hideMark/>
          </w:tcPr>
          <w:p w14:paraId="1F105BED" w14:textId="77777777" w:rsidR="00AB6753" w:rsidRPr="00F32D92" w:rsidRDefault="00AB6753" w:rsidP="002D1EA4">
            <w:pPr>
              <w:rPr>
                <w:rFonts w:cs="Arial"/>
                <w:sz w:val="20"/>
                <w:szCs w:val="20"/>
              </w:rPr>
            </w:pPr>
            <w:r w:rsidRPr="00F32D92">
              <w:rPr>
                <w:rFonts w:cs="Arial"/>
                <w:sz w:val="20"/>
                <w:szCs w:val="20"/>
              </w:rPr>
              <w:t>-</w:t>
            </w:r>
          </w:p>
        </w:tc>
        <w:tc>
          <w:tcPr>
            <w:tcW w:w="709" w:type="dxa"/>
            <w:noWrap/>
            <w:hideMark/>
          </w:tcPr>
          <w:p w14:paraId="51A35077" w14:textId="77777777" w:rsidR="00AB6753" w:rsidRPr="00F32D92" w:rsidRDefault="00AB6753" w:rsidP="002D1EA4">
            <w:pPr>
              <w:rPr>
                <w:rFonts w:cs="Arial"/>
                <w:sz w:val="20"/>
                <w:szCs w:val="20"/>
              </w:rPr>
            </w:pPr>
            <w:r w:rsidRPr="00F32D92">
              <w:rPr>
                <w:rFonts w:cs="Arial"/>
                <w:sz w:val="20"/>
                <w:szCs w:val="20"/>
              </w:rPr>
              <w:t>-</w:t>
            </w:r>
          </w:p>
        </w:tc>
        <w:tc>
          <w:tcPr>
            <w:tcW w:w="1559" w:type="dxa"/>
            <w:tcBorders>
              <w:right w:val="single" w:sz="4" w:space="0" w:color="auto"/>
            </w:tcBorders>
            <w:noWrap/>
            <w:hideMark/>
          </w:tcPr>
          <w:p w14:paraId="0152B602" w14:textId="77777777" w:rsidR="00AB6753" w:rsidRPr="00F32D92" w:rsidRDefault="00AB6753" w:rsidP="002D1EA4">
            <w:pPr>
              <w:rPr>
                <w:rFonts w:cs="Arial"/>
                <w:sz w:val="20"/>
                <w:szCs w:val="20"/>
              </w:rPr>
            </w:pPr>
            <w:r w:rsidRPr="00F32D92">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vAlign w:val="bottom"/>
          </w:tcPr>
          <w:p w14:paraId="5D1D16DC" w14:textId="77777777" w:rsidR="00AB6753" w:rsidRPr="00F32D92" w:rsidRDefault="00AB6753" w:rsidP="002D1EA4">
            <w:pPr>
              <w:rPr>
                <w:rFonts w:cs="Arial"/>
                <w:sz w:val="20"/>
                <w:szCs w:val="20"/>
              </w:rPr>
            </w:pPr>
            <w:r w:rsidRPr="00F32D92">
              <w:rPr>
                <w:rFonts w:cs="Arial"/>
                <w:color w:val="000000"/>
                <w:sz w:val="20"/>
                <w:szCs w:val="20"/>
              </w:rPr>
              <w:t>160</w:t>
            </w:r>
          </w:p>
        </w:tc>
      </w:tr>
      <w:tr w:rsidR="00AB6753" w:rsidRPr="00F32D92" w14:paraId="4E8613C1" w14:textId="77777777" w:rsidTr="002D1EA4">
        <w:trPr>
          <w:trHeight w:val="315"/>
          <w:jc w:val="center"/>
        </w:trPr>
        <w:tc>
          <w:tcPr>
            <w:tcW w:w="1127" w:type="dxa"/>
            <w:tcBorders>
              <w:top w:val="single" w:sz="4" w:space="0" w:color="auto"/>
              <w:left w:val="single" w:sz="4" w:space="0" w:color="auto"/>
              <w:bottom w:val="single" w:sz="4" w:space="0" w:color="auto"/>
              <w:right w:val="single" w:sz="4" w:space="0" w:color="auto"/>
            </w:tcBorders>
            <w:hideMark/>
          </w:tcPr>
          <w:p w14:paraId="46D529E2" w14:textId="77777777" w:rsidR="00AB6753" w:rsidRPr="00F32D92" w:rsidRDefault="00AB6753" w:rsidP="002D1EA4">
            <w:pPr>
              <w:rPr>
                <w:rFonts w:cs="Arial"/>
                <w:sz w:val="20"/>
                <w:szCs w:val="20"/>
              </w:rPr>
            </w:pPr>
            <w:r w:rsidRPr="00F32D92">
              <w:rPr>
                <w:rFonts w:cs="Arial"/>
                <w:sz w:val="20"/>
                <w:szCs w:val="20"/>
              </w:rPr>
              <w:t>Qld</w:t>
            </w:r>
          </w:p>
        </w:tc>
        <w:tc>
          <w:tcPr>
            <w:tcW w:w="853" w:type="dxa"/>
            <w:tcBorders>
              <w:left w:val="single" w:sz="4" w:space="0" w:color="auto"/>
            </w:tcBorders>
            <w:noWrap/>
            <w:vAlign w:val="center"/>
          </w:tcPr>
          <w:p w14:paraId="7AB48AF4" w14:textId="77777777" w:rsidR="00AB6753" w:rsidRPr="00F32D92" w:rsidRDefault="00AB6753" w:rsidP="002D1EA4">
            <w:pPr>
              <w:rPr>
                <w:rFonts w:cs="Arial"/>
                <w:color w:val="000000"/>
                <w:sz w:val="20"/>
                <w:szCs w:val="20"/>
              </w:rPr>
            </w:pPr>
            <w:r w:rsidRPr="00F32D92">
              <w:rPr>
                <w:rFonts w:cs="Arial"/>
                <w:color w:val="000000"/>
                <w:sz w:val="20"/>
                <w:szCs w:val="20"/>
              </w:rPr>
              <w:t>20</w:t>
            </w:r>
          </w:p>
        </w:tc>
        <w:tc>
          <w:tcPr>
            <w:tcW w:w="711" w:type="dxa"/>
            <w:noWrap/>
            <w:vAlign w:val="center"/>
            <w:hideMark/>
          </w:tcPr>
          <w:p w14:paraId="7B43BA42" w14:textId="77777777" w:rsidR="00AB6753" w:rsidRPr="00F32D92" w:rsidRDefault="00AB6753" w:rsidP="002D1EA4">
            <w:pPr>
              <w:rPr>
                <w:rFonts w:cs="Arial"/>
                <w:color w:val="000000"/>
                <w:sz w:val="20"/>
                <w:szCs w:val="20"/>
              </w:rPr>
            </w:pPr>
            <w:r w:rsidRPr="00F32D92">
              <w:rPr>
                <w:rFonts w:cs="Arial"/>
                <w:color w:val="000000"/>
                <w:sz w:val="20"/>
                <w:szCs w:val="20"/>
              </w:rPr>
              <w:t>1</w:t>
            </w:r>
          </w:p>
        </w:tc>
        <w:tc>
          <w:tcPr>
            <w:tcW w:w="848" w:type="dxa"/>
            <w:gridSpan w:val="2"/>
            <w:tcBorders>
              <w:right w:val="single" w:sz="4" w:space="0" w:color="auto"/>
            </w:tcBorders>
            <w:noWrap/>
            <w:vAlign w:val="center"/>
            <w:hideMark/>
          </w:tcPr>
          <w:p w14:paraId="704D6D7C" w14:textId="77777777" w:rsidR="00AB6753" w:rsidRPr="00F32D92" w:rsidRDefault="00AB6753" w:rsidP="002D1EA4">
            <w:pPr>
              <w:rPr>
                <w:rFonts w:cs="Arial"/>
                <w:color w:val="000000"/>
                <w:sz w:val="20"/>
                <w:szCs w:val="20"/>
              </w:rPr>
            </w:pPr>
            <w:r w:rsidRPr="00F32D92">
              <w:rPr>
                <w:rFonts w:cs="Arial"/>
                <w:color w:val="000000"/>
                <w:sz w:val="20"/>
                <w:szCs w:val="20"/>
              </w:rPr>
              <w:t>21</w:t>
            </w:r>
          </w:p>
        </w:tc>
        <w:tc>
          <w:tcPr>
            <w:tcW w:w="709" w:type="dxa"/>
            <w:tcBorders>
              <w:left w:val="single" w:sz="4" w:space="0" w:color="auto"/>
            </w:tcBorders>
            <w:noWrap/>
            <w:vAlign w:val="bottom"/>
            <w:hideMark/>
          </w:tcPr>
          <w:p w14:paraId="656E2375" w14:textId="77777777" w:rsidR="00AB6753" w:rsidRPr="00F32D92" w:rsidRDefault="00AB6753" w:rsidP="002D1EA4">
            <w:pPr>
              <w:rPr>
                <w:rFonts w:cs="Arial"/>
                <w:sz w:val="20"/>
                <w:szCs w:val="20"/>
              </w:rPr>
            </w:pPr>
            <w:r w:rsidRPr="00F32D92">
              <w:rPr>
                <w:rFonts w:cs="Arial"/>
                <w:color w:val="000000"/>
                <w:sz w:val="20"/>
                <w:szCs w:val="20"/>
              </w:rPr>
              <w:t>69</w:t>
            </w:r>
          </w:p>
        </w:tc>
        <w:tc>
          <w:tcPr>
            <w:tcW w:w="852" w:type="dxa"/>
            <w:gridSpan w:val="2"/>
            <w:noWrap/>
            <w:vAlign w:val="bottom"/>
            <w:hideMark/>
          </w:tcPr>
          <w:p w14:paraId="4D53319F" w14:textId="77777777" w:rsidR="00AB6753" w:rsidRPr="00F32D92" w:rsidRDefault="00AB6753" w:rsidP="002D1EA4">
            <w:pPr>
              <w:rPr>
                <w:rFonts w:cs="Arial"/>
                <w:sz w:val="20"/>
                <w:szCs w:val="20"/>
              </w:rPr>
            </w:pPr>
            <w:r w:rsidRPr="00F32D92">
              <w:rPr>
                <w:rFonts w:cs="Arial"/>
                <w:color w:val="000000"/>
                <w:sz w:val="20"/>
                <w:szCs w:val="20"/>
              </w:rPr>
              <w:t>21</w:t>
            </w:r>
          </w:p>
        </w:tc>
        <w:tc>
          <w:tcPr>
            <w:tcW w:w="991" w:type="dxa"/>
            <w:tcBorders>
              <w:right w:val="single" w:sz="4" w:space="0" w:color="auto"/>
            </w:tcBorders>
            <w:noWrap/>
            <w:vAlign w:val="bottom"/>
            <w:hideMark/>
          </w:tcPr>
          <w:p w14:paraId="0BA36CBE" w14:textId="77777777" w:rsidR="00AB6753" w:rsidRPr="00F32D92" w:rsidRDefault="00AB6753" w:rsidP="002D1EA4">
            <w:pPr>
              <w:rPr>
                <w:rFonts w:cs="Arial"/>
                <w:sz w:val="20"/>
                <w:szCs w:val="20"/>
              </w:rPr>
            </w:pPr>
            <w:r w:rsidRPr="00F32D92">
              <w:rPr>
                <w:rFonts w:cs="Arial"/>
                <w:color w:val="000000"/>
                <w:sz w:val="20"/>
                <w:szCs w:val="20"/>
              </w:rPr>
              <w:t>90</w:t>
            </w:r>
          </w:p>
        </w:tc>
        <w:tc>
          <w:tcPr>
            <w:tcW w:w="708" w:type="dxa"/>
            <w:tcBorders>
              <w:left w:val="single" w:sz="4" w:space="0" w:color="auto"/>
            </w:tcBorders>
            <w:noWrap/>
            <w:hideMark/>
          </w:tcPr>
          <w:p w14:paraId="178F6F8C" w14:textId="77777777" w:rsidR="00AB6753" w:rsidRPr="00F32D92" w:rsidRDefault="00AB6753" w:rsidP="002D1EA4">
            <w:pPr>
              <w:rPr>
                <w:rFonts w:cs="Arial"/>
                <w:sz w:val="20"/>
                <w:szCs w:val="20"/>
              </w:rPr>
            </w:pPr>
            <w:r w:rsidRPr="00F32D92">
              <w:rPr>
                <w:rFonts w:cs="Arial"/>
                <w:sz w:val="20"/>
                <w:szCs w:val="20"/>
              </w:rPr>
              <w:t>-</w:t>
            </w:r>
          </w:p>
        </w:tc>
        <w:tc>
          <w:tcPr>
            <w:tcW w:w="709" w:type="dxa"/>
            <w:noWrap/>
            <w:hideMark/>
          </w:tcPr>
          <w:p w14:paraId="74B6FC03" w14:textId="77777777" w:rsidR="00AB6753" w:rsidRPr="00F32D92" w:rsidRDefault="00AB6753" w:rsidP="002D1EA4">
            <w:pPr>
              <w:rPr>
                <w:rFonts w:cs="Arial"/>
                <w:sz w:val="20"/>
                <w:szCs w:val="20"/>
              </w:rPr>
            </w:pPr>
            <w:r w:rsidRPr="00F32D92">
              <w:rPr>
                <w:rFonts w:cs="Arial"/>
                <w:sz w:val="20"/>
                <w:szCs w:val="20"/>
              </w:rPr>
              <w:t>-</w:t>
            </w:r>
          </w:p>
        </w:tc>
        <w:tc>
          <w:tcPr>
            <w:tcW w:w="1559" w:type="dxa"/>
            <w:tcBorders>
              <w:right w:val="single" w:sz="4" w:space="0" w:color="auto"/>
            </w:tcBorders>
            <w:noWrap/>
            <w:hideMark/>
          </w:tcPr>
          <w:p w14:paraId="2AEEFB19" w14:textId="77777777" w:rsidR="00AB6753" w:rsidRPr="00F32D92" w:rsidRDefault="00AB6753" w:rsidP="002D1EA4">
            <w:pPr>
              <w:rPr>
                <w:rFonts w:cs="Arial"/>
                <w:sz w:val="20"/>
                <w:szCs w:val="20"/>
              </w:rPr>
            </w:pPr>
            <w:r w:rsidRPr="00F32D92">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vAlign w:val="bottom"/>
          </w:tcPr>
          <w:p w14:paraId="2D23B93D" w14:textId="77777777" w:rsidR="00AB6753" w:rsidRPr="00F32D92" w:rsidRDefault="00AB6753" w:rsidP="002D1EA4">
            <w:pPr>
              <w:rPr>
                <w:rFonts w:cs="Arial"/>
                <w:sz w:val="20"/>
                <w:szCs w:val="20"/>
              </w:rPr>
            </w:pPr>
            <w:r w:rsidRPr="00F32D92">
              <w:rPr>
                <w:rFonts w:cs="Arial"/>
                <w:color w:val="000000"/>
                <w:sz w:val="20"/>
                <w:szCs w:val="20"/>
              </w:rPr>
              <w:t>111</w:t>
            </w:r>
          </w:p>
        </w:tc>
      </w:tr>
      <w:tr w:rsidR="00AB6753" w:rsidRPr="00F32D92" w14:paraId="63666198" w14:textId="77777777" w:rsidTr="002D1EA4">
        <w:trPr>
          <w:trHeight w:val="315"/>
          <w:jc w:val="center"/>
        </w:trPr>
        <w:tc>
          <w:tcPr>
            <w:tcW w:w="1127" w:type="dxa"/>
            <w:tcBorders>
              <w:top w:val="single" w:sz="4" w:space="0" w:color="auto"/>
              <w:left w:val="single" w:sz="4" w:space="0" w:color="auto"/>
              <w:bottom w:val="single" w:sz="4" w:space="0" w:color="auto"/>
              <w:right w:val="single" w:sz="4" w:space="0" w:color="auto"/>
            </w:tcBorders>
            <w:hideMark/>
          </w:tcPr>
          <w:p w14:paraId="08B0AE9B" w14:textId="77777777" w:rsidR="00AB6753" w:rsidRPr="00F32D92" w:rsidRDefault="00AB6753" w:rsidP="002D1EA4">
            <w:pPr>
              <w:rPr>
                <w:rFonts w:cs="Arial"/>
                <w:sz w:val="20"/>
                <w:szCs w:val="20"/>
              </w:rPr>
            </w:pPr>
            <w:r w:rsidRPr="00F32D92">
              <w:rPr>
                <w:rFonts w:cs="Arial"/>
                <w:sz w:val="20"/>
                <w:szCs w:val="20"/>
              </w:rPr>
              <w:t>SA</w:t>
            </w:r>
          </w:p>
        </w:tc>
        <w:tc>
          <w:tcPr>
            <w:tcW w:w="853" w:type="dxa"/>
            <w:tcBorders>
              <w:left w:val="single" w:sz="4" w:space="0" w:color="auto"/>
            </w:tcBorders>
            <w:noWrap/>
            <w:vAlign w:val="center"/>
            <w:hideMark/>
          </w:tcPr>
          <w:p w14:paraId="7D271B77" w14:textId="77777777" w:rsidR="00AB6753" w:rsidRPr="00F32D92" w:rsidRDefault="00AB6753" w:rsidP="002D1EA4">
            <w:pPr>
              <w:rPr>
                <w:rFonts w:cs="Arial"/>
                <w:color w:val="000000"/>
                <w:sz w:val="20"/>
                <w:szCs w:val="20"/>
              </w:rPr>
            </w:pPr>
            <w:r w:rsidRPr="00F32D92">
              <w:rPr>
                <w:rFonts w:cs="Arial"/>
                <w:color w:val="000000"/>
                <w:sz w:val="20"/>
                <w:szCs w:val="20"/>
              </w:rPr>
              <w:t>13</w:t>
            </w:r>
          </w:p>
        </w:tc>
        <w:tc>
          <w:tcPr>
            <w:tcW w:w="897" w:type="dxa"/>
            <w:gridSpan w:val="2"/>
            <w:noWrap/>
            <w:vAlign w:val="center"/>
            <w:hideMark/>
          </w:tcPr>
          <w:p w14:paraId="6055960B" w14:textId="77777777" w:rsidR="00AB6753" w:rsidRPr="00F32D92" w:rsidRDefault="00AB6753" w:rsidP="002D1EA4">
            <w:pPr>
              <w:rPr>
                <w:rFonts w:cs="Arial"/>
                <w:color w:val="000000"/>
                <w:sz w:val="20"/>
                <w:szCs w:val="20"/>
              </w:rPr>
            </w:pPr>
            <w:r w:rsidRPr="00F32D92">
              <w:rPr>
                <w:rFonts w:cs="Arial"/>
                <w:color w:val="000000"/>
                <w:sz w:val="20"/>
                <w:szCs w:val="20"/>
              </w:rPr>
              <w:t>2</w:t>
            </w:r>
          </w:p>
        </w:tc>
        <w:tc>
          <w:tcPr>
            <w:tcW w:w="662" w:type="dxa"/>
            <w:tcBorders>
              <w:right w:val="single" w:sz="4" w:space="0" w:color="auto"/>
            </w:tcBorders>
            <w:noWrap/>
            <w:vAlign w:val="center"/>
            <w:hideMark/>
          </w:tcPr>
          <w:p w14:paraId="4E6A20E7" w14:textId="77777777" w:rsidR="00AB6753" w:rsidRPr="00F32D92" w:rsidRDefault="00AB6753" w:rsidP="002D1EA4">
            <w:pPr>
              <w:rPr>
                <w:rFonts w:cs="Arial"/>
                <w:color w:val="000000"/>
                <w:sz w:val="20"/>
                <w:szCs w:val="20"/>
              </w:rPr>
            </w:pPr>
            <w:r w:rsidRPr="00F32D92">
              <w:rPr>
                <w:rFonts w:cs="Arial"/>
                <w:color w:val="000000"/>
                <w:sz w:val="20"/>
                <w:szCs w:val="20"/>
              </w:rPr>
              <w:t>15</w:t>
            </w:r>
          </w:p>
        </w:tc>
        <w:tc>
          <w:tcPr>
            <w:tcW w:w="709" w:type="dxa"/>
            <w:tcBorders>
              <w:left w:val="single" w:sz="4" w:space="0" w:color="auto"/>
            </w:tcBorders>
            <w:noWrap/>
            <w:vAlign w:val="bottom"/>
            <w:hideMark/>
          </w:tcPr>
          <w:p w14:paraId="587D0FE3" w14:textId="77777777" w:rsidR="00AB6753" w:rsidRPr="00F32D92" w:rsidRDefault="00AB6753" w:rsidP="002D1EA4">
            <w:pPr>
              <w:rPr>
                <w:rFonts w:cs="Arial"/>
                <w:sz w:val="20"/>
                <w:szCs w:val="20"/>
              </w:rPr>
            </w:pPr>
            <w:r w:rsidRPr="00F32D92">
              <w:rPr>
                <w:rFonts w:cs="Arial"/>
                <w:color w:val="000000"/>
                <w:sz w:val="20"/>
                <w:szCs w:val="20"/>
              </w:rPr>
              <w:t>51</w:t>
            </w:r>
          </w:p>
        </w:tc>
        <w:tc>
          <w:tcPr>
            <w:tcW w:w="852" w:type="dxa"/>
            <w:gridSpan w:val="2"/>
            <w:noWrap/>
            <w:vAlign w:val="bottom"/>
            <w:hideMark/>
          </w:tcPr>
          <w:p w14:paraId="50D76CBA" w14:textId="77777777" w:rsidR="00AB6753" w:rsidRPr="00F32D92" w:rsidRDefault="00AB6753" w:rsidP="002D1EA4">
            <w:pPr>
              <w:rPr>
                <w:rFonts w:cs="Arial"/>
                <w:sz w:val="20"/>
                <w:szCs w:val="20"/>
              </w:rPr>
            </w:pPr>
            <w:r w:rsidRPr="00F32D92">
              <w:rPr>
                <w:rFonts w:cs="Arial"/>
                <w:color w:val="000000"/>
                <w:sz w:val="20"/>
                <w:szCs w:val="20"/>
              </w:rPr>
              <w:t>10</w:t>
            </w:r>
          </w:p>
        </w:tc>
        <w:tc>
          <w:tcPr>
            <w:tcW w:w="991" w:type="dxa"/>
            <w:tcBorders>
              <w:right w:val="single" w:sz="4" w:space="0" w:color="auto"/>
            </w:tcBorders>
            <w:noWrap/>
            <w:vAlign w:val="bottom"/>
            <w:hideMark/>
          </w:tcPr>
          <w:p w14:paraId="7372FFAC" w14:textId="77777777" w:rsidR="00AB6753" w:rsidRPr="00F32D92" w:rsidRDefault="00AB6753" w:rsidP="002D1EA4">
            <w:pPr>
              <w:rPr>
                <w:rFonts w:cs="Arial"/>
                <w:sz w:val="20"/>
                <w:szCs w:val="20"/>
              </w:rPr>
            </w:pPr>
            <w:r w:rsidRPr="00F32D92">
              <w:rPr>
                <w:rFonts w:cs="Arial"/>
                <w:color w:val="000000"/>
                <w:sz w:val="20"/>
                <w:szCs w:val="20"/>
              </w:rPr>
              <w:t>61</w:t>
            </w:r>
          </w:p>
        </w:tc>
        <w:tc>
          <w:tcPr>
            <w:tcW w:w="708" w:type="dxa"/>
            <w:tcBorders>
              <w:left w:val="single" w:sz="4" w:space="0" w:color="auto"/>
            </w:tcBorders>
            <w:noWrap/>
            <w:hideMark/>
          </w:tcPr>
          <w:p w14:paraId="1DC75D1A" w14:textId="77777777" w:rsidR="00AB6753" w:rsidRPr="00F32D92" w:rsidRDefault="00AB6753" w:rsidP="002D1EA4">
            <w:pPr>
              <w:rPr>
                <w:rFonts w:cs="Arial"/>
                <w:sz w:val="20"/>
                <w:szCs w:val="20"/>
              </w:rPr>
            </w:pPr>
            <w:r w:rsidRPr="00F32D92">
              <w:rPr>
                <w:rFonts w:cs="Arial"/>
                <w:sz w:val="20"/>
                <w:szCs w:val="20"/>
              </w:rPr>
              <w:t>-</w:t>
            </w:r>
          </w:p>
        </w:tc>
        <w:tc>
          <w:tcPr>
            <w:tcW w:w="709" w:type="dxa"/>
            <w:noWrap/>
            <w:hideMark/>
          </w:tcPr>
          <w:p w14:paraId="044B6C6A" w14:textId="77777777" w:rsidR="00AB6753" w:rsidRPr="00F32D92" w:rsidRDefault="00AB6753" w:rsidP="002D1EA4">
            <w:pPr>
              <w:rPr>
                <w:rFonts w:cs="Arial"/>
                <w:sz w:val="20"/>
                <w:szCs w:val="20"/>
              </w:rPr>
            </w:pPr>
            <w:r w:rsidRPr="00F32D92">
              <w:rPr>
                <w:rFonts w:cs="Arial"/>
                <w:sz w:val="20"/>
                <w:szCs w:val="20"/>
              </w:rPr>
              <w:t>-</w:t>
            </w:r>
          </w:p>
        </w:tc>
        <w:tc>
          <w:tcPr>
            <w:tcW w:w="1559" w:type="dxa"/>
            <w:tcBorders>
              <w:right w:val="single" w:sz="4" w:space="0" w:color="auto"/>
            </w:tcBorders>
            <w:noWrap/>
            <w:hideMark/>
          </w:tcPr>
          <w:p w14:paraId="5C8ADA4D" w14:textId="77777777" w:rsidR="00AB6753" w:rsidRPr="00F32D92" w:rsidRDefault="00AB6753" w:rsidP="002D1EA4">
            <w:pPr>
              <w:rPr>
                <w:rFonts w:cs="Arial"/>
                <w:sz w:val="20"/>
                <w:szCs w:val="20"/>
              </w:rPr>
            </w:pPr>
            <w:r w:rsidRPr="00F32D92">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vAlign w:val="bottom"/>
          </w:tcPr>
          <w:p w14:paraId="55E593DD" w14:textId="77777777" w:rsidR="00AB6753" w:rsidRPr="00F32D92" w:rsidRDefault="00AB6753" w:rsidP="002D1EA4">
            <w:pPr>
              <w:rPr>
                <w:rFonts w:cs="Arial"/>
                <w:sz w:val="20"/>
                <w:szCs w:val="20"/>
              </w:rPr>
            </w:pPr>
            <w:r w:rsidRPr="00F32D92">
              <w:rPr>
                <w:rFonts w:cs="Arial"/>
                <w:color w:val="000000"/>
                <w:sz w:val="20"/>
                <w:szCs w:val="20"/>
              </w:rPr>
              <w:t>76</w:t>
            </w:r>
          </w:p>
        </w:tc>
      </w:tr>
      <w:tr w:rsidR="00AB6753" w:rsidRPr="00F32D92" w14:paraId="72B8276C" w14:textId="77777777" w:rsidTr="002D1EA4">
        <w:trPr>
          <w:trHeight w:val="315"/>
          <w:jc w:val="center"/>
        </w:trPr>
        <w:tc>
          <w:tcPr>
            <w:tcW w:w="1127" w:type="dxa"/>
            <w:tcBorders>
              <w:top w:val="single" w:sz="4" w:space="0" w:color="auto"/>
              <w:left w:val="single" w:sz="4" w:space="0" w:color="auto"/>
              <w:bottom w:val="single" w:sz="4" w:space="0" w:color="auto"/>
              <w:right w:val="single" w:sz="4" w:space="0" w:color="auto"/>
            </w:tcBorders>
            <w:hideMark/>
          </w:tcPr>
          <w:p w14:paraId="69BAFC07" w14:textId="77777777" w:rsidR="00AB6753" w:rsidRPr="00F32D92" w:rsidRDefault="00AB6753" w:rsidP="002D1EA4">
            <w:pPr>
              <w:rPr>
                <w:rFonts w:cs="Arial"/>
                <w:sz w:val="20"/>
                <w:szCs w:val="20"/>
              </w:rPr>
            </w:pPr>
            <w:proofErr w:type="spellStart"/>
            <w:r w:rsidRPr="00F32D92">
              <w:rPr>
                <w:rFonts w:cs="Arial"/>
                <w:sz w:val="20"/>
                <w:szCs w:val="20"/>
              </w:rPr>
              <w:t>Tas</w:t>
            </w:r>
            <w:proofErr w:type="spellEnd"/>
          </w:p>
        </w:tc>
        <w:tc>
          <w:tcPr>
            <w:tcW w:w="853" w:type="dxa"/>
            <w:tcBorders>
              <w:left w:val="single" w:sz="4" w:space="0" w:color="auto"/>
            </w:tcBorders>
            <w:noWrap/>
            <w:vAlign w:val="center"/>
            <w:hideMark/>
          </w:tcPr>
          <w:p w14:paraId="45638364" w14:textId="77777777" w:rsidR="00AB6753" w:rsidRPr="00F32D92" w:rsidRDefault="00AB6753" w:rsidP="002D1EA4">
            <w:pPr>
              <w:rPr>
                <w:rFonts w:cs="Arial"/>
                <w:color w:val="000000"/>
                <w:sz w:val="20"/>
                <w:szCs w:val="20"/>
              </w:rPr>
            </w:pPr>
            <w:r w:rsidRPr="00F32D92">
              <w:rPr>
                <w:rFonts w:cs="Arial"/>
                <w:color w:val="000000"/>
                <w:sz w:val="20"/>
                <w:szCs w:val="20"/>
              </w:rPr>
              <w:t>12</w:t>
            </w:r>
          </w:p>
        </w:tc>
        <w:tc>
          <w:tcPr>
            <w:tcW w:w="897" w:type="dxa"/>
            <w:gridSpan w:val="2"/>
            <w:noWrap/>
            <w:vAlign w:val="center"/>
            <w:hideMark/>
          </w:tcPr>
          <w:p w14:paraId="15B46DEB" w14:textId="77777777" w:rsidR="00AB6753" w:rsidRPr="00F32D92" w:rsidRDefault="00AB6753" w:rsidP="002D1EA4">
            <w:pPr>
              <w:rPr>
                <w:rFonts w:cs="Arial"/>
                <w:color w:val="000000"/>
                <w:sz w:val="20"/>
                <w:szCs w:val="20"/>
              </w:rPr>
            </w:pPr>
            <w:r w:rsidRPr="00F32D92">
              <w:rPr>
                <w:rFonts w:cs="Arial"/>
                <w:color w:val="000000"/>
                <w:sz w:val="20"/>
                <w:szCs w:val="20"/>
              </w:rPr>
              <w:t>1</w:t>
            </w:r>
          </w:p>
        </w:tc>
        <w:tc>
          <w:tcPr>
            <w:tcW w:w="662" w:type="dxa"/>
            <w:tcBorders>
              <w:right w:val="single" w:sz="4" w:space="0" w:color="auto"/>
            </w:tcBorders>
            <w:noWrap/>
            <w:vAlign w:val="center"/>
            <w:hideMark/>
          </w:tcPr>
          <w:p w14:paraId="45E99B00" w14:textId="77777777" w:rsidR="00AB6753" w:rsidRPr="00F32D92" w:rsidRDefault="00AB6753" w:rsidP="002D1EA4">
            <w:pPr>
              <w:rPr>
                <w:rFonts w:cs="Arial"/>
                <w:color w:val="000000"/>
                <w:sz w:val="20"/>
                <w:szCs w:val="20"/>
              </w:rPr>
            </w:pPr>
            <w:r w:rsidRPr="00F32D92">
              <w:rPr>
                <w:rFonts w:cs="Arial"/>
                <w:color w:val="000000"/>
                <w:sz w:val="20"/>
                <w:szCs w:val="20"/>
              </w:rPr>
              <w:t>13</w:t>
            </w:r>
          </w:p>
        </w:tc>
        <w:tc>
          <w:tcPr>
            <w:tcW w:w="709" w:type="dxa"/>
            <w:tcBorders>
              <w:left w:val="single" w:sz="4" w:space="0" w:color="auto"/>
            </w:tcBorders>
            <w:noWrap/>
            <w:vAlign w:val="bottom"/>
            <w:hideMark/>
          </w:tcPr>
          <w:p w14:paraId="2DEC258B" w14:textId="77777777" w:rsidR="00AB6753" w:rsidRPr="00F32D92" w:rsidRDefault="00AB6753" w:rsidP="002D1EA4">
            <w:pPr>
              <w:rPr>
                <w:rFonts w:cs="Arial"/>
                <w:sz w:val="20"/>
                <w:szCs w:val="20"/>
              </w:rPr>
            </w:pPr>
            <w:r w:rsidRPr="00F32D92">
              <w:rPr>
                <w:rFonts w:cs="Arial"/>
                <w:color w:val="000000"/>
                <w:sz w:val="20"/>
                <w:szCs w:val="20"/>
              </w:rPr>
              <w:t>22</w:t>
            </w:r>
          </w:p>
        </w:tc>
        <w:tc>
          <w:tcPr>
            <w:tcW w:w="852" w:type="dxa"/>
            <w:gridSpan w:val="2"/>
            <w:noWrap/>
            <w:vAlign w:val="bottom"/>
            <w:hideMark/>
          </w:tcPr>
          <w:p w14:paraId="57691777" w14:textId="77777777" w:rsidR="00AB6753" w:rsidRPr="00F32D92" w:rsidRDefault="00AB6753" w:rsidP="002D1EA4">
            <w:pPr>
              <w:rPr>
                <w:rFonts w:cs="Arial"/>
                <w:sz w:val="20"/>
                <w:szCs w:val="20"/>
              </w:rPr>
            </w:pPr>
            <w:r w:rsidRPr="00F32D92">
              <w:rPr>
                <w:rFonts w:cs="Arial"/>
                <w:color w:val="000000"/>
                <w:sz w:val="20"/>
                <w:szCs w:val="20"/>
              </w:rPr>
              <w:t>17</w:t>
            </w:r>
          </w:p>
        </w:tc>
        <w:tc>
          <w:tcPr>
            <w:tcW w:w="991" w:type="dxa"/>
            <w:tcBorders>
              <w:right w:val="single" w:sz="4" w:space="0" w:color="auto"/>
            </w:tcBorders>
            <w:noWrap/>
            <w:vAlign w:val="bottom"/>
            <w:hideMark/>
          </w:tcPr>
          <w:p w14:paraId="75B6257E" w14:textId="77777777" w:rsidR="00AB6753" w:rsidRPr="00F32D92" w:rsidRDefault="00AB6753" w:rsidP="002D1EA4">
            <w:pPr>
              <w:rPr>
                <w:rFonts w:cs="Arial"/>
                <w:sz w:val="20"/>
                <w:szCs w:val="20"/>
              </w:rPr>
            </w:pPr>
            <w:r w:rsidRPr="00F32D92">
              <w:rPr>
                <w:rFonts w:cs="Arial"/>
                <w:color w:val="000000"/>
                <w:sz w:val="20"/>
                <w:szCs w:val="20"/>
              </w:rPr>
              <w:t>39</w:t>
            </w:r>
          </w:p>
        </w:tc>
        <w:tc>
          <w:tcPr>
            <w:tcW w:w="708" w:type="dxa"/>
            <w:tcBorders>
              <w:left w:val="single" w:sz="4" w:space="0" w:color="auto"/>
            </w:tcBorders>
            <w:noWrap/>
            <w:hideMark/>
          </w:tcPr>
          <w:p w14:paraId="67C936E0" w14:textId="77777777" w:rsidR="00AB6753" w:rsidRPr="00F32D92" w:rsidRDefault="00AB6753" w:rsidP="002D1EA4">
            <w:pPr>
              <w:rPr>
                <w:rFonts w:cs="Arial"/>
                <w:sz w:val="20"/>
                <w:szCs w:val="20"/>
              </w:rPr>
            </w:pPr>
            <w:r w:rsidRPr="00F32D92">
              <w:rPr>
                <w:rFonts w:cs="Arial"/>
                <w:sz w:val="20"/>
                <w:szCs w:val="20"/>
              </w:rPr>
              <w:t>-</w:t>
            </w:r>
          </w:p>
        </w:tc>
        <w:tc>
          <w:tcPr>
            <w:tcW w:w="709" w:type="dxa"/>
            <w:noWrap/>
            <w:hideMark/>
          </w:tcPr>
          <w:p w14:paraId="2D4B22FE" w14:textId="77777777" w:rsidR="00AB6753" w:rsidRPr="00F32D92" w:rsidRDefault="00AB6753" w:rsidP="002D1EA4">
            <w:pPr>
              <w:rPr>
                <w:rFonts w:cs="Arial"/>
                <w:sz w:val="20"/>
                <w:szCs w:val="20"/>
              </w:rPr>
            </w:pPr>
            <w:r w:rsidRPr="00F32D92">
              <w:rPr>
                <w:rFonts w:cs="Arial"/>
                <w:sz w:val="20"/>
                <w:szCs w:val="20"/>
              </w:rPr>
              <w:t>-</w:t>
            </w:r>
          </w:p>
        </w:tc>
        <w:tc>
          <w:tcPr>
            <w:tcW w:w="1559" w:type="dxa"/>
            <w:tcBorders>
              <w:right w:val="single" w:sz="4" w:space="0" w:color="auto"/>
            </w:tcBorders>
            <w:noWrap/>
            <w:hideMark/>
          </w:tcPr>
          <w:p w14:paraId="368A282A" w14:textId="77777777" w:rsidR="00AB6753" w:rsidRPr="00F32D92" w:rsidRDefault="00AB6753" w:rsidP="002D1EA4">
            <w:pPr>
              <w:rPr>
                <w:rFonts w:cs="Arial"/>
                <w:sz w:val="20"/>
                <w:szCs w:val="20"/>
              </w:rPr>
            </w:pPr>
            <w:r w:rsidRPr="00F32D92">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vAlign w:val="bottom"/>
          </w:tcPr>
          <w:p w14:paraId="6D33AE71" w14:textId="77777777" w:rsidR="00AB6753" w:rsidRPr="00F32D92" w:rsidRDefault="00AB6753" w:rsidP="002D1EA4">
            <w:pPr>
              <w:rPr>
                <w:rFonts w:cs="Arial"/>
                <w:sz w:val="20"/>
                <w:szCs w:val="20"/>
              </w:rPr>
            </w:pPr>
            <w:r w:rsidRPr="00F32D92">
              <w:rPr>
                <w:rFonts w:cs="Arial"/>
                <w:color w:val="000000"/>
                <w:sz w:val="20"/>
                <w:szCs w:val="20"/>
              </w:rPr>
              <w:t>52</w:t>
            </w:r>
          </w:p>
        </w:tc>
      </w:tr>
      <w:tr w:rsidR="00AB6753" w:rsidRPr="00F32D92" w14:paraId="0787736E" w14:textId="77777777" w:rsidTr="002D1EA4">
        <w:trPr>
          <w:trHeight w:val="315"/>
          <w:jc w:val="center"/>
        </w:trPr>
        <w:tc>
          <w:tcPr>
            <w:tcW w:w="1127" w:type="dxa"/>
            <w:tcBorders>
              <w:top w:val="single" w:sz="4" w:space="0" w:color="auto"/>
              <w:left w:val="single" w:sz="4" w:space="0" w:color="auto"/>
              <w:bottom w:val="single" w:sz="4" w:space="0" w:color="auto"/>
              <w:right w:val="single" w:sz="4" w:space="0" w:color="auto"/>
            </w:tcBorders>
            <w:hideMark/>
          </w:tcPr>
          <w:p w14:paraId="1DCD5C89" w14:textId="77777777" w:rsidR="00AB6753" w:rsidRPr="00F32D92" w:rsidRDefault="00AB6753" w:rsidP="002D1EA4">
            <w:pPr>
              <w:rPr>
                <w:rFonts w:cs="Arial"/>
                <w:sz w:val="20"/>
                <w:szCs w:val="20"/>
              </w:rPr>
            </w:pPr>
            <w:r w:rsidRPr="00F32D92">
              <w:rPr>
                <w:rFonts w:cs="Arial"/>
                <w:sz w:val="20"/>
                <w:szCs w:val="20"/>
              </w:rPr>
              <w:t>Vic</w:t>
            </w:r>
          </w:p>
        </w:tc>
        <w:tc>
          <w:tcPr>
            <w:tcW w:w="853" w:type="dxa"/>
            <w:tcBorders>
              <w:left w:val="single" w:sz="4" w:space="0" w:color="auto"/>
            </w:tcBorders>
            <w:noWrap/>
            <w:vAlign w:val="center"/>
            <w:hideMark/>
          </w:tcPr>
          <w:p w14:paraId="6A63C8D0" w14:textId="77777777" w:rsidR="00AB6753" w:rsidRPr="00F32D92" w:rsidRDefault="00AB6753" w:rsidP="002D1EA4">
            <w:pPr>
              <w:rPr>
                <w:rFonts w:cs="Arial"/>
                <w:color w:val="000000"/>
                <w:sz w:val="20"/>
                <w:szCs w:val="20"/>
              </w:rPr>
            </w:pPr>
            <w:r w:rsidRPr="00F32D92">
              <w:rPr>
                <w:rFonts w:cs="Arial"/>
                <w:color w:val="000000"/>
                <w:sz w:val="20"/>
                <w:szCs w:val="20"/>
              </w:rPr>
              <w:t>38</w:t>
            </w:r>
          </w:p>
        </w:tc>
        <w:tc>
          <w:tcPr>
            <w:tcW w:w="897" w:type="dxa"/>
            <w:gridSpan w:val="2"/>
            <w:noWrap/>
            <w:vAlign w:val="center"/>
            <w:hideMark/>
          </w:tcPr>
          <w:p w14:paraId="111BB3A0" w14:textId="77777777" w:rsidR="00AB6753" w:rsidRPr="00F32D92" w:rsidRDefault="00AB6753" w:rsidP="002D1EA4">
            <w:pPr>
              <w:rPr>
                <w:rFonts w:cs="Arial"/>
                <w:color w:val="000000"/>
                <w:sz w:val="20"/>
                <w:szCs w:val="20"/>
              </w:rPr>
            </w:pPr>
            <w:r w:rsidRPr="00F32D92">
              <w:rPr>
                <w:rFonts w:cs="Arial"/>
                <w:color w:val="000000"/>
                <w:sz w:val="20"/>
                <w:szCs w:val="20"/>
              </w:rPr>
              <w:t>6</w:t>
            </w:r>
          </w:p>
        </w:tc>
        <w:tc>
          <w:tcPr>
            <w:tcW w:w="662" w:type="dxa"/>
            <w:tcBorders>
              <w:right w:val="single" w:sz="4" w:space="0" w:color="auto"/>
            </w:tcBorders>
            <w:noWrap/>
            <w:vAlign w:val="center"/>
            <w:hideMark/>
          </w:tcPr>
          <w:p w14:paraId="6EC6AF5A" w14:textId="77777777" w:rsidR="00AB6753" w:rsidRPr="00F32D92" w:rsidRDefault="00AB6753" w:rsidP="002D1EA4">
            <w:pPr>
              <w:rPr>
                <w:rFonts w:cs="Arial"/>
                <w:color w:val="000000"/>
                <w:sz w:val="20"/>
                <w:szCs w:val="20"/>
              </w:rPr>
            </w:pPr>
            <w:r w:rsidRPr="00F32D92">
              <w:rPr>
                <w:rFonts w:cs="Arial"/>
                <w:color w:val="000000"/>
                <w:sz w:val="20"/>
                <w:szCs w:val="20"/>
              </w:rPr>
              <w:t>44</w:t>
            </w:r>
          </w:p>
        </w:tc>
        <w:tc>
          <w:tcPr>
            <w:tcW w:w="717" w:type="dxa"/>
            <w:gridSpan w:val="2"/>
            <w:tcBorders>
              <w:left w:val="single" w:sz="4" w:space="0" w:color="auto"/>
            </w:tcBorders>
            <w:noWrap/>
            <w:vAlign w:val="bottom"/>
            <w:hideMark/>
          </w:tcPr>
          <w:p w14:paraId="574212AB" w14:textId="77777777" w:rsidR="00AB6753" w:rsidRPr="00F32D92" w:rsidRDefault="00AB6753" w:rsidP="002D1EA4">
            <w:pPr>
              <w:rPr>
                <w:rFonts w:cs="Arial"/>
                <w:sz w:val="20"/>
                <w:szCs w:val="20"/>
              </w:rPr>
            </w:pPr>
            <w:r w:rsidRPr="00F32D92">
              <w:rPr>
                <w:rFonts w:cs="Arial"/>
                <w:color w:val="000000"/>
                <w:sz w:val="20"/>
                <w:szCs w:val="20"/>
              </w:rPr>
              <w:t>74</w:t>
            </w:r>
          </w:p>
        </w:tc>
        <w:tc>
          <w:tcPr>
            <w:tcW w:w="844" w:type="dxa"/>
            <w:noWrap/>
            <w:vAlign w:val="bottom"/>
            <w:hideMark/>
          </w:tcPr>
          <w:p w14:paraId="1CD31772" w14:textId="77777777" w:rsidR="00AB6753" w:rsidRPr="00F32D92" w:rsidRDefault="00AB6753" w:rsidP="002D1EA4">
            <w:pPr>
              <w:rPr>
                <w:rFonts w:cs="Arial"/>
                <w:sz w:val="20"/>
                <w:szCs w:val="20"/>
              </w:rPr>
            </w:pPr>
            <w:r w:rsidRPr="00F32D92">
              <w:rPr>
                <w:rFonts w:cs="Arial"/>
                <w:color w:val="000000"/>
                <w:sz w:val="20"/>
                <w:szCs w:val="20"/>
              </w:rPr>
              <w:t>27</w:t>
            </w:r>
          </w:p>
        </w:tc>
        <w:tc>
          <w:tcPr>
            <w:tcW w:w="991" w:type="dxa"/>
            <w:tcBorders>
              <w:right w:val="single" w:sz="4" w:space="0" w:color="auto"/>
            </w:tcBorders>
            <w:noWrap/>
            <w:vAlign w:val="bottom"/>
            <w:hideMark/>
          </w:tcPr>
          <w:p w14:paraId="6937246A" w14:textId="77777777" w:rsidR="00AB6753" w:rsidRPr="00F32D92" w:rsidRDefault="00AB6753" w:rsidP="002D1EA4">
            <w:pPr>
              <w:rPr>
                <w:rFonts w:cs="Arial"/>
                <w:sz w:val="20"/>
                <w:szCs w:val="20"/>
              </w:rPr>
            </w:pPr>
            <w:r w:rsidRPr="00F32D92">
              <w:rPr>
                <w:rFonts w:cs="Arial"/>
                <w:color w:val="000000"/>
                <w:sz w:val="20"/>
                <w:szCs w:val="20"/>
              </w:rPr>
              <w:t>101</w:t>
            </w:r>
          </w:p>
        </w:tc>
        <w:tc>
          <w:tcPr>
            <w:tcW w:w="708" w:type="dxa"/>
            <w:tcBorders>
              <w:left w:val="single" w:sz="4" w:space="0" w:color="auto"/>
            </w:tcBorders>
            <w:noWrap/>
            <w:hideMark/>
          </w:tcPr>
          <w:p w14:paraId="037CD299" w14:textId="77777777" w:rsidR="00AB6753" w:rsidRPr="00F32D92" w:rsidRDefault="00AB6753" w:rsidP="002D1EA4">
            <w:pPr>
              <w:rPr>
                <w:rFonts w:cs="Arial"/>
                <w:sz w:val="20"/>
                <w:szCs w:val="20"/>
              </w:rPr>
            </w:pPr>
            <w:r w:rsidRPr="00F32D92">
              <w:rPr>
                <w:rFonts w:cs="Arial"/>
                <w:sz w:val="20"/>
                <w:szCs w:val="20"/>
              </w:rPr>
              <w:t>-</w:t>
            </w:r>
          </w:p>
        </w:tc>
        <w:tc>
          <w:tcPr>
            <w:tcW w:w="709" w:type="dxa"/>
            <w:noWrap/>
            <w:hideMark/>
          </w:tcPr>
          <w:p w14:paraId="66A7F41F" w14:textId="77777777" w:rsidR="00AB6753" w:rsidRPr="00F32D92" w:rsidRDefault="00AB6753" w:rsidP="002D1EA4">
            <w:pPr>
              <w:rPr>
                <w:rFonts w:cs="Arial"/>
                <w:sz w:val="20"/>
                <w:szCs w:val="20"/>
              </w:rPr>
            </w:pPr>
            <w:r w:rsidRPr="00F32D92">
              <w:rPr>
                <w:rFonts w:cs="Arial"/>
                <w:sz w:val="20"/>
                <w:szCs w:val="20"/>
              </w:rPr>
              <w:t>-</w:t>
            </w:r>
          </w:p>
        </w:tc>
        <w:tc>
          <w:tcPr>
            <w:tcW w:w="1559" w:type="dxa"/>
            <w:tcBorders>
              <w:right w:val="single" w:sz="4" w:space="0" w:color="auto"/>
            </w:tcBorders>
            <w:noWrap/>
            <w:hideMark/>
          </w:tcPr>
          <w:p w14:paraId="544D4079" w14:textId="77777777" w:rsidR="00AB6753" w:rsidRPr="00F32D92" w:rsidRDefault="00AB6753" w:rsidP="002D1EA4">
            <w:pPr>
              <w:rPr>
                <w:rFonts w:cs="Arial"/>
                <w:sz w:val="20"/>
                <w:szCs w:val="20"/>
              </w:rPr>
            </w:pPr>
            <w:r w:rsidRPr="00F32D92">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vAlign w:val="bottom"/>
          </w:tcPr>
          <w:p w14:paraId="32AF3B6C" w14:textId="77777777" w:rsidR="00AB6753" w:rsidRPr="00F32D92" w:rsidRDefault="00AB6753" w:rsidP="002D1EA4">
            <w:pPr>
              <w:rPr>
                <w:rFonts w:cs="Arial"/>
                <w:sz w:val="20"/>
                <w:szCs w:val="20"/>
              </w:rPr>
            </w:pPr>
            <w:r w:rsidRPr="00F32D92">
              <w:rPr>
                <w:rFonts w:cs="Arial"/>
                <w:color w:val="000000"/>
                <w:sz w:val="20"/>
                <w:szCs w:val="20"/>
              </w:rPr>
              <w:t>145</w:t>
            </w:r>
          </w:p>
        </w:tc>
      </w:tr>
      <w:tr w:rsidR="00AB6753" w:rsidRPr="00F32D92" w14:paraId="3A291DFE" w14:textId="77777777" w:rsidTr="002D1EA4">
        <w:trPr>
          <w:trHeight w:val="315"/>
          <w:jc w:val="center"/>
        </w:trPr>
        <w:tc>
          <w:tcPr>
            <w:tcW w:w="1127" w:type="dxa"/>
            <w:tcBorders>
              <w:top w:val="single" w:sz="4" w:space="0" w:color="auto"/>
              <w:left w:val="single" w:sz="4" w:space="0" w:color="auto"/>
              <w:bottom w:val="single" w:sz="4" w:space="0" w:color="auto"/>
              <w:right w:val="single" w:sz="4" w:space="0" w:color="auto"/>
            </w:tcBorders>
            <w:hideMark/>
          </w:tcPr>
          <w:p w14:paraId="72640A97" w14:textId="77777777" w:rsidR="00AB6753" w:rsidRPr="00F32D92" w:rsidRDefault="00AB6753" w:rsidP="002D1EA4">
            <w:pPr>
              <w:rPr>
                <w:rFonts w:cs="Arial"/>
                <w:sz w:val="20"/>
                <w:szCs w:val="20"/>
              </w:rPr>
            </w:pPr>
            <w:r w:rsidRPr="00F32D92">
              <w:rPr>
                <w:rFonts w:cs="Arial"/>
                <w:sz w:val="20"/>
                <w:szCs w:val="20"/>
              </w:rPr>
              <w:t>WA</w:t>
            </w:r>
          </w:p>
        </w:tc>
        <w:tc>
          <w:tcPr>
            <w:tcW w:w="853" w:type="dxa"/>
            <w:tcBorders>
              <w:left w:val="single" w:sz="4" w:space="0" w:color="auto"/>
            </w:tcBorders>
            <w:noWrap/>
            <w:vAlign w:val="center"/>
            <w:hideMark/>
          </w:tcPr>
          <w:p w14:paraId="02F73593" w14:textId="77777777" w:rsidR="00AB6753" w:rsidRPr="00F32D92" w:rsidRDefault="00AB6753" w:rsidP="002D1EA4">
            <w:pPr>
              <w:rPr>
                <w:rFonts w:cs="Arial"/>
                <w:color w:val="000000"/>
                <w:sz w:val="20"/>
                <w:szCs w:val="20"/>
              </w:rPr>
            </w:pPr>
            <w:r w:rsidRPr="00F32D92">
              <w:rPr>
                <w:rFonts w:cs="Arial"/>
                <w:color w:val="000000"/>
                <w:sz w:val="20"/>
                <w:szCs w:val="20"/>
              </w:rPr>
              <w:t>15</w:t>
            </w:r>
          </w:p>
        </w:tc>
        <w:tc>
          <w:tcPr>
            <w:tcW w:w="897" w:type="dxa"/>
            <w:gridSpan w:val="2"/>
            <w:noWrap/>
            <w:vAlign w:val="center"/>
            <w:hideMark/>
          </w:tcPr>
          <w:p w14:paraId="60CEFF79" w14:textId="77777777" w:rsidR="00AB6753" w:rsidRPr="00F32D92" w:rsidRDefault="00AB6753" w:rsidP="002D1EA4">
            <w:pPr>
              <w:rPr>
                <w:rFonts w:cs="Arial"/>
                <w:color w:val="000000"/>
                <w:sz w:val="20"/>
                <w:szCs w:val="20"/>
              </w:rPr>
            </w:pPr>
            <w:r w:rsidRPr="00F32D92">
              <w:rPr>
                <w:rFonts w:cs="Arial"/>
                <w:color w:val="000000"/>
                <w:sz w:val="20"/>
                <w:szCs w:val="20"/>
              </w:rPr>
              <w:t>4</w:t>
            </w:r>
          </w:p>
        </w:tc>
        <w:tc>
          <w:tcPr>
            <w:tcW w:w="662" w:type="dxa"/>
            <w:tcBorders>
              <w:right w:val="single" w:sz="4" w:space="0" w:color="auto"/>
            </w:tcBorders>
            <w:noWrap/>
            <w:vAlign w:val="center"/>
            <w:hideMark/>
          </w:tcPr>
          <w:p w14:paraId="002BB236" w14:textId="77777777" w:rsidR="00AB6753" w:rsidRPr="00F32D92" w:rsidRDefault="00AB6753" w:rsidP="002D1EA4">
            <w:pPr>
              <w:rPr>
                <w:rFonts w:cs="Arial"/>
                <w:color w:val="000000"/>
                <w:sz w:val="20"/>
                <w:szCs w:val="20"/>
              </w:rPr>
            </w:pPr>
            <w:r w:rsidRPr="00F32D92">
              <w:rPr>
                <w:rFonts w:cs="Arial"/>
                <w:color w:val="000000"/>
                <w:sz w:val="20"/>
                <w:szCs w:val="20"/>
              </w:rPr>
              <w:t>19</w:t>
            </w:r>
          </w:p>
        </w:tc>
        <w:tc>
          <w:tcPr>
            <w:tcW w:w="717" w:type="dxa"/>
            <w:gridSpan w:val="2"/>
            <w:tcBorders>
              <w:left w:val="single" w:sz="4" w:space="0" w:color="auto"/>
            </w:tcBorders>
            <w:noWrap/>
            <w:vAlign w:val="bottom"/>
            <w:hideMark/>
          </w:tcPr>
          <w:p w14:paraId="27605F4A" w14:textId="77777777" w:rsidR="00AB6753" w:rsidRPr="00F32D92" w:rsidRDefault="00AB6753" w:rsidP="002D1EA4">
            <w:pPr>
              <w:rPr>
                <w:rFonts w:cs="Arial"/>
                <w:sz w:val="20"/>
                <w:szCs w:val="20"/>
              </w:rPr>
            </w:pPr>
            <w:r w:rsidRPr="00F32D92">
              <w:rPr>
                <w:rFonts w:cs="Arial"/>
                <w:color w:val="000000"/>
                <w:sz w:val="20"/>
                <w:szCs w:val="20"/>
              </w:rPr>
              <w:t>37</w:t>
            </w:r>
          </w:p>
        </w:tc>
        <w:tc>
          <w:tcPr>
            <w:tcW w:w="844" w:type="dxa"/>
            <w:noWrap/>
            <w:vAlign w:val="bottom"/>
            <w:hideMark/>
          </w:tcPr>
          <w:p w14:paraId="37347107" w14:textId="77777777" w:rsidR="00AB6753" w:rsidRPr="00F32D92" w:rsidRDefault="00AB6753" w:rsidP="002D1EA4">
            <w:pPr>
              <w:rPr>
                <w:rFonts w:cs="Arial"/>
                <w:sz w:val="20"/>
                <w:szCs w:val="20"/>
              </w:rPr>
            </w:pPr>
            <w:r w:rsidRPr="00F32D92">
              <w:rPr>
                <w:rFonts w:cs="Arial"/>
                <w:color w:val="000000"/>
                <w:sz w:val="20"/>
                <w:szCs w:val="20"/>
              </w:rPr>
              <w:t>18</w:t>
            </w:r>
          </w:p>
        </w:tc>
        <w:tc>
          <w:tcPr>
            <w:tcW w:w="991" w:type="dxa"/>
            <w:tcBorders>
              <w:right w:val="single" w:sz="4" w:space="0" w:color="auto"/>
            </w:tcBorders>
            <w:noWrap/>
            <w:vAlign w:val="bottom"/>
            <w:hideMark/>
          </w:tcPr>
          <w:p w14:paraId="71E0E4EB" w14:textId="77777777" w:rsidR="00AB6753" w:rsidRPr="00F32D92" w:rsidRDefault="00AB6753" w:rsidP="002D1EA4">
            <w:pPr>
              <w:rPr>
                <w:rFonts w:cs="Arial"/>
                <w:sz w:val="20"/>
                <w:szCs w:val="20"/>
              </w:rPr>
            </w:pPr>
            <w:r w:rsidRPr="00F32D92">
              <w:rPr>
                <w:rFonts w:cs="Arial"/>
                <w:color w:val="000000"/>
                <w:sz w:val="20"/>
                <w:szCs w:val="20"/>
              </w:rPr>
              <w:t>55</w:t>
            </w:r>
          </w:p>
        </w:tc>
        <w:tc>
          <w:tcPr>
            <w:tcW w:w="708" w:type="dxa"/>
            <w:tcBorders>
              <w:left w:val="single" w:sz="4" w:space="0" w:color="auto"/>
            </w:tcBorders>
            <w:noWrap/>
            <w:hideMark/>
          </w:tcPr>
          <w:p w14:paraId="5BBB013B" w14:textId="77777777" w:rsidR="00AB6753" w:rsidRPr="00F32D92" w:rsidRDefault="00AB6753" w:rsidP="002D1EA4">
            <w:pPr>
              <w:rPr>
                <w:rFonts w:cs="Arial"/>
                <w:sz w:val="20"/>
                <w:szCs w:val="20"/>
              </w:rPr>
            </w:pPr>
            <w:r w:rsidRPr="00F32D92">
              <w:rPr>
                <w:rFonts w:cs="Arial"/>
                <w:sz w:val="20"/>
                <w:szCs w:val="20"/>
              </w:rPr>
              <w:t>-</w:t>
            </w:r>
          </w:p>
        </w:tc>
        <w:tc>
          <w:tcPr>
            <w:tcW w:w="709" w:type="dxa"/>
            <w:noWrap/>
            <w:hideMark/>
          </w:tcPr>
          <w:p w14:paraId="302B29FF" w14:textId="77777777" w:rsidR="00AB6753" w:rsidRPr="00F32D92" w:rsidRDefault="00AB6753" w:rsidP="002D1EA4">
            <w:pPr>
              <w:rPr>
                <w:rFonts w:cs="Arial"/>
                <w:sz w:val="20"/>
                <w:szCs w:val="20"/>
              </w:rPr>
            </w:pPr>
            <w:r w:rsidRPr="00F32D92">
              <w:rPr>
                <w:rFonts w:cs="Arial"/>
                <w:sz w:val="20"/>
                <w:szCs w:val="20"/>
              </w:rPr>
              <w:t>-</w:t>
            </w:r>
          </w:p>
        </w:tc>
        <w:tc>
          <w:tcPr>
            <w:tcW w:w="1559" w:type="dxa"/>
            <w:tcBorders>
              <w:right w:val="single" w:sz="4" w:space="0" w:color="auto"/>
            </w:tcBorders>
            <w:noWrap/>
            <w:hideMark/>
          </w:tcPr>
          <w:p w14:paraId="02F6F541" w14:textId="77777777" w:rsidR="00AB6753" w:rsidRPr="00F32D92" w:rsidRDefault="00AB6753" w:rsidP="002D1EA4">
            <w:pPr>
              <w:rPr>
                <w:rFonts w:cs="Arial"/>
                <w:sz w:val="20"/>
                <w:szCs w:val="20"/>
              </w:rPr>
            </w:pPr>
            <w:r w:rsidRPr="00F32D92">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vAlign w:val="bottom"/>
          </w:tcPr>
          <w:p w14:paraId="572B7B61" w14:textId="77777777" w:rsidR="00AB6753" w:rsidRPr="00F32D92" w:rsidRDefault="00AB6753" w:rsidP="002D1EA4">
            <w:pPr>
              <w:rPr>
                <w:rFonts w:cs="Arial"/>
                <w:sz w:val="20"/>
                <w:szCs w:val="20"/>
              </w:rPr>
            </w:pPr>
            <w:r w:rsidRPr="00F32D92">
              <w:rPr>
                <w:rFonts w:cs="Arial"/>
                <w:color w:val="000000"/>
                <w:sz w:val="20"/>
                <w:szCs w:val="20"/>
              </w:rPr>
              <w:t>74</w:t>
            </w:r>
          </w:p>
        </w:tc>
      </w:tr>
      <w:tr w:rsidR="00AB6753" w:rsidRPr="00F32D92" w14:paraId="19D19203" w14:textId="77777777" w:rsidTr="002D1EA4">
        <w:trPr>
          <w:trHeight w:val="315"/>
          <w:jc w:val="center"/>
        </w:trPr>
        <w:tc>
          <w:tcPr>
            <w:tcW w:w="1127" w:type="dxa"/>
            <w:tcBorders>
              <w:top w:val="single" w:sz="4" w:space="0" w:color="auto"/>
              <w:left w:val="single" w:sz="4" w:space="0" w:color="auto"/>
              <w:bottom w:val="single" w:sz="4" w:space="0" w:color="auto"/>
              <w:right w:val="single" w:sz="4" w:space="0" w:color="auto"/>
            </w:tcBorders>
            <w:hideMark/>
          </w:tcPr>
          <w:p w14:paraId="56707D60" w14:textId="77777777" w:rsidR="00AB6753" w:rsidRPr="00F32D92" w:rsidRDefault="00AB6753" w:rsidP="002D1EA4">
            <w:pPr>
              <w:rPr>
                <w:rFonts w:cs="Arial"/>
                <w:sz w:val="20"/>
                <w:szCs w:val="20"/>
              </w:rPr>
            </w:pPr>
            <w:r w:rsidRPr="00F32D92">
              <w:rPr>
                <w:rFonts w:cs="Arial"/>
                <w:sz w:val="20"/>
                <w:szCs w:val="20"/>
              </w:rPr>
              <w:t>ACT</w:t>
            </w:r>
          </w:p>
        </w:tc>
        <w:tc>
          <w:tcPr>
            <w:tcW w:w="853" w:type="dxa"/>
            <w:tcBorders>
              <w:left w:val="single" w:sz="4" w:space="0" w:color="auto"/>
            </w:tcBorders>
            <w:noWrap/>
            <w:vAlign w:val="center"/>
            <w:hideMark/>
          </w:tcPr>
          <w:p w14:paraId="3486BF7E" w14:textId="77777777" w:rsidR="00AB6753" w:rsidRPr="00F32D92" w:rsidRDefault="00AB6753" w:rsidP="002D1EA4">
            <w:pPr>
              <w:rPr>
                <w:rFonts w:cs="Arial"/>
                <w:color w:val="000000"/>
                <w:sz w:val="20"/>
                <w:szCs w:val="20"/>
              </w:rPr>
            </w:pPr>
            <w:r w:rsidRPr="00F32D92">
              <w:rPr>
                <w:rFonts w:cs="Arial"/>
                <w:color w:val="000000"/>
                <w:sz w:val="20"/>
                <w:szCs w:val="20"/>
              </w:rPr>
              <w:t>456</w:t>
            </w:r>
          </w:p>
        </w:tc>
        <w:tc>
          <w:tcPr>
            <w:tcW w:w="897" w:type="dxa"/>
            <w:gridSpan w:val="2"/>
            <w:noWrap/>
            <w:vAlign w:val="center"/>
            <w:hideMark/>
          </w:tcPr>
          <w:p w14:paraId="306D02AA" w14:textId="77777777" w:rsidR="00AB6753" w:rsidRPr="00F32D92" w:rsidRDefault="00AB6753" w:rsidP="002D1EA4">
            <w:pPr>
              <w:rPr>
                <w:rFonts w:cs="Arial"/>
                <w:color w:val="000000"/>
                <w:sz w:val="20"/>
                <w:szCs w:val="20"/>
              </w:rPr>
            </w:pPr>
            <w:r w:rsidRPr="00F32D92">
              <w:rPr>
                <w:rFonts w:cs="Arial"/>
                <w:color w:val="000000"/>
                <w:sz w:val="20"/>
                <w:szCs w:val="20"/>
              </w:rPr>
              <w:t>28</w:t>
            </w:r>
          </w:p>
        </w:tc>
        <w:tc>
          <w:tcPr>
            <w:tcW w:w="662" w:type="dxa"/>
            <w:tcBorders>
              <w:right w:val="single" w:sz="4" w:space="0" w:color="auto"/>
            </w:tcBorders>
            <w:noWrap/>
            <w:vAlign w:val="center"/>
            <w:hideMark/>
          </w:tcPr>
          <w:p w14:paraId="610C0EF2" w14:textId="77777777" w:rsidR="00AB6753" w:rsidRPr="00F32D92" w:rsidRDefault="00AB6753" w:rsidP="002D1EA4">
            <w:pPr>
              <w:rPr>
                <w:rFonts w:cs="Arial"/>
                <w:color w:val="000000"/>
                <w:sz w:val="20"/>
                <w:szCs w:val="20"/>
              </w:rPr>
            </w:pPr>
            <w:r w:rsidRPr="00F32D92">
              <w:rPr>
                <w:rFonts w:cs="Arial"/>
                <w:color w:val="000000"/>
                <w:sz w:val="20"/>
                <w:szCs w:val="20"/>
              </w:rPr>
              <w:t>484</w:t>
            </w:r>
          </w:p>
        </w:tc>
        <w:tc>
          <w:tcPr>
            <w:tcW w:w="717" w:type="dxa"/>
            <w:gridSpan w:val="2"/>
            <w:tcBorders>
              <w:left w:val="single" w:sz="4" w:space="0" w:color="auto"/>
            </w:tcBorders>
            <w:noWrap/>
            <w:vAlign w:val="bottom"/>
            <w:hideMark/>
          </w:tcPr>
          <w:p w14:paraId="26A635EE" w14:textId="77777777" w:rsidR="00AB6753" w:rsidRPr="00F32D92" w:rsidRDefault="00AB6753" w:rsidP="002D1EA4">
            <w:pPr>
              <w:rPr>
                <w:rFonts w:cs="Arial"/>
                <w:sz w:val="20"/>
                <w:szCs w:val="20"/>
              </w:rPr>
            </w:pPr>
            <w:r w:rsidRPr="00F32D92">
              <w:rPr>
                <w:rFonts w:cs="Arial"/>
                <w:color w:val="000000"/>
                <w:sz w:val="20"/>
                <w:szCs w:val="20"/>
              </w:rPr>
              <w:t>933</w:t>
            </w:r>
          </w:p>
        </w:tc>
        <w:tc>
          <w:tcPr>
            <w:tcW w:w="844" w:type="dxa"/>
            <w:noWrap/>
            <w:vAlign w:val="bottom"/>
            <w:hideMark/>
          </w:tcPr>
          <w:p w14:paraId="516FA109" w14:textId="77777777" w:rsidR="00AB6753" w:rsidRPr="00F32D92" w:rsidRDefault="00AB6753" w:rsidP="002D1EA4">
            <w:pPr>
              <w:rPr>
                <w:rFonts w:cs="Arial"/>
                <w:sz w:val="20"/>
                <w:szCs w:val="20"/>
              </w:rPr>
            </w:pPr>
            <w:r w:rsidRPr="00F32D92">
              <w:rPr>
                <w:rFonts w:cs="Arial"/>
                <w:color w:val="000000"/>
                <w:sz w:val="20"/>
                <w:szCs w:val="20"/>
              </w:rPr>
              <w:t>247</w:t>
            </w:r>
          </w:p>
        </w:tc>
        <w:tc>
          <w:tcPr>
            <w:tcW w:w="991" w:type="dxa"/>
            <w:tcBorders>
              <w:right w:val="single" w:sz="4" w:space="0" w:color="auto"/>
            </w:tcBorders>
            <w:noWrap/>
            <w:vAlign w:val="bottom"/>
            <w:hideMark/>
          </w:tcPr>
          <w:p w14:paraId="4281AB3D" w14:textId="77777777" w:rsidR="00AB6753" w:rsidRPr="00F32D92" w:rsidRDefault="00AB6753" w:rsidP="002D1EA4">
            <w:pPr>
              <w:rPr>
                <w:rFonts w:cs="Arial"/>
                <w:sz w:val="20"/>
                <w:szCs w:val="20"/>
              </w:rPr>
            </w:pPr>
            <w:r w:rsidRPr="00F32D92">
              <w:rPr>
                <w:rFonts w:cs="Arial"/>
                <w:color w:val="000000"/>
                <w:sz w:val="20"/>
                <w:szCs w:val="20"/>
              </w:rPr>
              <w:t>1</w:t>
            </w:r>
            <w:r>
              <w:rPr>
                <w:rFonts w:cs="Arial"/>
                <w:color w:val="000000"/>
                <w:sz w:val="20"/>
                <w:szCs w:val="20"/>
              </w:rPr>
              <w:t>,</w:t>
            </w:r>
            <w:r w:rsidRPr="00F32D92">
              <w:rPr>
                <w:rFonts w:cs="Arial"/>
                <w:color w:val="000000"/>
                <w:sz w:val="20"/>
                <w:szCs w:val="20"/>
              </w:rPr>
              <w:t>180</w:t>
            </w:r>
          </w:p>
        </w:tc>
        <w:tc>
          <w:tcPr>
            <w:tcW w:w="708" w:type="dxa"/>
            <w:tcBorders>
              <w:left w:val="single" w:sz="4" w:space="0" w:color="auto"/>
            </w:tcBorders>
            <w:noWrap/>
            <w:hideMark/>
          </w:tcPr>
          <w:p w14:paraId="03931C41" w14:textId="77777777" w:rsidR="00AB6753" w:rsidRPr="00F32D92" w:rsidRDefault="00AB6753" w:rsidP="002D1EA4">
            <w:pPr>
              <w:rPr>
                <w:rFonts w:cs="Arial"/>
                <w:sz w:val="20"/>
                <w:szCs w:val="20"/>
              </w:rPr>
            </w:pPr>
            <w:r w:rsidRPr="00F32D92">
              <w:rPr>
                <w:rFonts w:cs="Arial"/>
                <w:sz w:val="20"/>
                <w:szCs w:val="20"/>
              </w:rPr>
              <w:t>-</w:t>
            </w:r>
          </w:p>
        </w:tc>
        <w:tc>
          <w:tcPr>
            <w:tcW w:w="709" w:type="dxa"/>
            <w:noWrap/>
            <w:hideMark/>
          </w:tcPr>
          <w:p w14:paraId="3DAF9BF7" w14:textId="77777777" w:rsidR="00AB6753" w:rsidRPr="00F32D92" w:rsidRDefault="00AB6753" w:rsidP="002D1EA4">
            <w:pPr>
              <w:rPr>
                <w:rFonts w:cs="Arial"/>
                <w:sz w:val="20"/>
                <w:szCs w:val="20"/>
              </w:rPr>
            </w:pPr>
            <w:r w:rsidRPr="00F32D92">
              <w:rPr>
                <w:rFonts w:cs="Arial"/>
                <w:sz w:val="20"/>
                <w:szCs w:val="20"/>
              </w:rPr>
              <w:t>-</w:t>
            </w:r>
          </w:p>
        </w:tc>
        <w:tc>
          <w:tcPr>
            <w:tcW w:w="1559" w:type="dxa"/>
            <w:tcBorders>
              <w:right w:val="single" w:sz="4" w:space="0" w:color="auto"/>
            </w:tcBorders>
            <w:noWrap/>
            <w:hideMark/>
          </w:tcPr>
          <w:p w14:paraId="14FF2EF8" w14:textId="77777777" w:rsidR="00AB6753" w:rsidRPr="00F32D92" w:rsidRDefault="00AB6753" w:rsidP="002D1EA4">
            <w:pPr>
              <w:rPr>
                <w:rFonts w:cs="Arial"/>
                <w:sz w:val="20"/>
                <w:szCs w:val="20"/>
              </w:rPr>
            </w:pPr>
            <w:r w:rsidRPr="00F32D92">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vAlign w:val="bottom"/>
          </w:tcPr>
          <w:p w14:paraId="1CB9AA93" w14:textId="77777777" w:rsidR="00AB6753" w:rsidRPr="00F32D92" w:rsidRDefault="00AB6753" w:rsidP="002D1EA4">
            <w:pPr>
              <w:rPr>
                <w:rFonts w:cs="Arial"/>
                <w:sz w:val="20"/>
                <w:szCs w:val="20"/>
              </w:rPr>
            </w:pPr>
            <w:r w:rsidRPr="00F32D92">
              <w:rPr>
                <w:rFonts w:cs="Arial"/>
                <w:color w:val="000000"/>
                <w:sz w:val="20"/>
                <w:szCs w:val="20"/>
              </w:rPr>
              <w:t>1</w:t>
            </w:r>
            <w:r>
              <w:rPr>
                <w:rFonts w:cs="Arial"/>
                <w:color w:val="000000"/>
                <w:sz w:val="20"/>
                <w:szCs w:val="20"/>
              </w:rPr>
              <w:t>,</w:t>
            </w:r>
            <w:r w:rsidRPr="00F32D92">
              <w:rPr>
                <w:rFonts w:cs="Arial"/>
                <w:color w:val="000000"/>
                <w:sz w:val="20"/>
                <w:szCs w:val="20"/>
              </w:rPr>
              <w:t>664</w:t>
            </w:r>
          </w:p>
        </w:tc>
      </w:tr>
      <w:tr w:rsidR="00AB6753" w:rsidRPr="00F32D92" w14:paraId="5EE0620B" w14:textId="77777777" w:rsidTr="002D1EA4">
        <w:trPr>
          <w:trHeight w:val="315"/>
          <w:jc w:val="center"/>
        </w:trPr>
        <w:tc>
          <w:tcPr>
            <w:tcW w:w="1127" w:type="dxa"/>
            <w:tcBorders>
              <w:top w:val="single" w:sz="4" w:space="0" w:color="auto"/>
              <w:left w:val="single" w:sz="4" w:space="0" w:color="auto"/>
              <w:bottom w:val="single" w:sz="4" w:space="0" w:color="auto"/>
              <w:right w:val="single" w:sz="4" w:space="0" w:color="auto"/>
            </w:tcBorders>
          </w:tcPr>
          <w:p w14:paraId="17DB30F1" w14:textId="77777777" w:rsidR="00AB6753" w:rsidRPr="00F32D92" w:rsidRDefault="00AB6753" w:rsidP="002D1EA4">
            <w:pPr>
              <w:rPr>
                <w:rFonts w:cs="Arial"/>
                <w:sz w:val="20"/>
                <w:szCs w:val="20"/>
              </w:rPr>
            </w:pPr>
            <w:r w:rsidRPr="00F32D92">
              <w:rPr>
                <w:rFonts w:cs="Arial"/>
                <w:sz w:val="20"/>
                <w:szCs w:val="20"/>
              </w:rPr>
              <w:t>NT</w:t>
            </w:r>
          </w:p>
        </w:tc>
        <w:tc>
          <w:tcPr>
            <w:tcW w:w="853" w:type="dxa"/>
            <w:tcBorders>
              <w:left w:val="single" w:sz="4" w:space="0" w:color="auto"/>
            </w:tcBorders>
            <w:noWrap/>
            <w:vAlign w:val="center"/>
          </w:tcPr>
          <w:p w14:paraId="4EF15BB3" w14:textId="77777777" w:rsidR="00AB6753" w:rsidRPr="00F32D92" w:rsidRDefault="00AB6753" w:rsidP="002D1EA4">
            <w:pPr>
              <w:rPr>
                <w:rFonts w:cs="Arial"/>
                <w:color w:val="000000"/>
                <w:sz w:val="20"/>
                <w:szCs w:val="20"/>
              </w:rPr>
            </w:pPr>
            <w:r w:rsidRPr="00F32D92">
              <w:rPr>
                <w:rFonts w:cs="Arial"/>
                <w:color w:val="000000"/>
                <w:sz w:val="20"/>
                <w:szCs w:val="20"/>
              </w:rPr>
              <w:t>5</w:t>
            </w:r>
          </w:p>
        </w:tc>
        <w:tc>
          <w:tcPr>
            <w:tcW w:w="897" w:type="dxa"/>
            <w:gridSpan w:val="2"/>
            <w:noWrap/>
            <w:vAlign w:val="center"/>
          </w:tcPr>
          <w:p w14:paraId="1C57CD2D" w14:textId="77777777" w:rsidR="00AB6753" w:rsidRPr="00F32D92" w:rsidRDefault="00AB6753" w:rsidP="002D1EA4">
            <w:pPr>
              <w:rPr>
                <w:rFonts w:cs="Arial"/>
                <w:color w:val="000000"/>
                <w:sz w:val="20"/>
                <w:szCs w:val="20"/>
              </w:rPr>
            </w:pPr>
            <w:r w:rsidRPr="00F32D92">
              <w:rPr>
                <w:rFonts w:cs="Arial"/>
                <w:color w:val="000000"/>
                <w:sz w:val="20"/>
                <w:szCs w:val="20"/>
              </w:rPr>
              <w:t>0</w:t>
            </w:r>
          </w:p>
        </w:tc>
        <w:tc>
          <w:tcPr>
            <w:tcW w:w="662" w:type="dxa"/>
            <w:tcBorders>
              <w:right w:val="single" w:sz="4" w:space="0" w:color="auto"/>
            </w:tcBorders>
            <w:noWrap/>
            <w:vAlign w:val="center"/>
          </w:tcPr>
          <w:p w14:paraId="6F670772" w14:textId="77777777" w:rsidR="00AB6753" w:rsidRPr="00F32D92" w:rsidRDefault="00AB6753" w:rsidP="002D1EA4">
            <w:pPr>
              <w:rPr>
                <w:rFonts w:cs="Arial"/>
                <w:color w:val="000000"/>
                <w:sz w:val="20"/>
                <w:szCs w:val="20"/>
              </w:rPr>
            </w:pPr>
            <w:r w:rsidRPr="00F32D92">
              <w:rPr>
                <w:rFonts w:cs="Arial"/>
                <w:color w:val="000000"/>
                <w:sz w:val="20"/>
                <w:szCs w:val="20"/>
              </w:rPr>
              <w:t>5</w:t>
            </w:r>
          </w:p>
        </w:tc>
        <w:tc>
          <w:tcPr>
            <w:tcW w:w="717" w:type="dxa"/>
            <w:gridSpan w:val="2"/>
            <w:tcBorders>
              <w:left w:val="single" w:sz="4" w:space="0" w:color="auto"/>
            </w:tcBorders>
            <w:noWrap/>
            <w:vAlign w:val="bottom"/>
          </w:tcPr>
          <w:p w14:paraId="5E9580EC" w14:textId="77777777" w:rsidR="00AB6753" w:rsidRPr="00F32D92" w:rsidRDefault="00AB6753" w:rsidP="002D1EA4">
            <w:pPr>
              <w:rPr>
                <w:rFonts w:cs="Arial"/>
                <w:sz w:val="20"/>
                <w:szCs w:val="20"/>
              </w:rPr>
            </w:pPr>
            <w:r w:rsidRPr="00F32D92">
              <w:rPr>
                <w:rFonts w:cs="Arial"/>
                <w:color w:val="000000"/>
                <w:sz w:val="20"/>
                <w:szCs w:val="20"/>
              </w:rPr>
              <w:t>28</w:t>
            </w:r>
          </w:p>
        </w:tc>
        <w:tc>
          <w:tcPr>
            <w:tcW w:w="844" w:type="dxa"/>
            <w:noWrap/>
            <w:vAlign w:val="bottom"/>
          </w:tcPr>
          <w:p w14:paraId="287FB5C7" w14:textId="77777777" w:rsidR="00AB6753" w:rsidRPr="00F32D92" w:rsidRDefault="00AB6753" w:rsidP="002D1EA4">
            <w:pPr>
              <w:rPr>
                <w:rFonts w:cs="Arial"/>
                <w:sz w:val="20"/>
                <w:szCs w:val="20"/>
              </w:rPr>
            </w:pPr>
            <w:r w:rsidRPr="00F32D92">
              <w:rPr>
                <w:rFonts w:cs="Arial"/>
                <w:color w:val="000000"/>
                <w:sz w:val="20"/>
                <w:szCs w:val="20"/>
              </w:rPr>
              <w:t>4</w:t>
            </w:r>
          </w:p>
        </w:tc>
        <w:tc>
          <w:tcPr>
            <w:tcW w:w="991" w:type="dxa"/>
            <w:tcBorders>
              <w:right w:val="single" w:sz="4" w:space="0" w:color="auto"/>
            </w:tcBorders>
            <w:noWrap/>
            <w:vAlign w:val="bottom"/>
          </w:tcPr>
          <w:p w14:paraId="466D572E" w14:textId="77777777" w:rsidR="00AB6753" w:rsidRPr="00F32D92" w:rsidRDefault="00AB6753" w:rsidP="002D1EA4">
            <w:pPr>
              <w:rPr>
                <w:rFonts w:cs="Arial"/>
                <w:sz w:val="20"/>
                <w:szCs w:val="20"/>
              </w:rPr>
            </w:pPr>
            <w:r w:rsidRPr="00F32D92">
              <w:rPr>
                <w:rFonts w:cs="Arial"/>
                <w:color w:val="000000"/>
                <w:sz w:val="20"/>
                <w:szCs w:val="20"/>
              </w:rPr>
              <w:t>32</w:t>
            </w:r>
          </w:p>
        </w:tc>
        <w:tc>
          <w:tcPr>
            <w:tcW w:w="708" w:type="dxa"/>
            <w:tcBorders>
              <w:left w:val="single" w:sz="4" w:space="0" w:color="auto"/>
            </w:tcBorders>
            <w:noWrap/>
          </w:tcPr>
          <w:p w14:paraId="6BB648EA" w14:textId="77777777" w:rsidR="00AB6753" w:rsidRPr="00F32D92" w:rsidRDefault="00AB6753" w:rsidP="002D1EA4">
            <w:pPr>
              <w:rPr>
                <w:rFonts w:cs="Arial"/>
                <w:sz w:val="20"/>
                <w:szCs w:val="20"/>
              </w:rPr>
            </w:pPr>
            <w:r w:rsidRPr="00F32D92">
              <w:rPr>
                <w:rFonts w:cs="Arial"/>
                <w:sz w:val="20"/>
                <w:szCs w:val="20"/>
              </w:rPr>
              <w:t>-</w:t>
            </w:r>
          </w:p>
        </w:tc>
        <w:tc>
          <w:tcPr>
            <w:tcW w:w="709" w:type="dxa"/>
            <w:noWrap/>
          </w:tcPr>
          <w:p w14:paraId="4B18249B" w14:textId="77777777" w:rsidR="00AB6753" w:rsidRPr="00F32D92" w:rsidRDefault="00AB6753" w:rsidP="002D1EA4">
            <w:pPr>
              <w:rPr>
                <w:rFonts w:cs="Arial"/>
                <w:sz w:val="20"/>
                <w:szCs w:val="20"/>
              </w:rPr>
            </w:pPr>
            <w:r w:rsidRPr="00F32D92">
              <w:rPr>
                <w:rFonts w:cs="Arial"/>
                <w:sz w:val="20"/>
                <w:szCs w:val="20"/>
              </w:rPr>
              <w:t>-</w:t>
            </w:r>
          </w:p>
        </w:tc>
        <w:tc>
          <w:tcPr>
            <w:tcW w:w="1559" w:type="dxa"/>
            <w:tcBorders>
              <w:right w:val="single" w:sz="4" w:space="0" w:color="auto"/>
            </w:tcBorders>
            <w:noWrap/>
          </w:tcPr>
          <w:p w14:paraId="784121DA" w14:textId="77777777" w:rsidR="00AB6753" w:rsidRPr="00F32D92" w:rsidRDefault="00AB6753" w:rsidP="002D1EA4">
            <w:pPr>
              <w:rPr>
                <w:rFonts w:cs="Arial"/>
                <w:sz w:val="20"/>
                <w:szCs w:val="20"/>
              </w:rPr>
            </w:pPr>
            <w:r w:rsidRPr="00F32D92">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vAlign w:val="bottom"/>
          </w:tcPr>
          <w:p w14:paraId="75BC9656" w14:textId="77777777" w:rsidR="00AB6753" w:rsidRPr="00F32D92" w:rsidRDefault="00AB6753" w:rsidP="002D1EA4">
            <w:pPr>
              <w:rPr>
                <w:rFonts w:cs="Arial"/>
                <w:sz w:val="20"/>
                <w:szCs w:val="20"/>
              </w:rPr>
            </w:pPr>
            <w:r w:rsidRPr="00F32D92">
              <w:rPr>
                <w:rFonts w:cs="Arial"/>
                <w:color w:val="000000"/>
                <w:sz w:val="20"/>
                <w:szCs w:val="20"/>
              </w:rPr>
              <w:t>37</w:t>
            </w:r>
          </w:p>
        </w:tc>
      </w:tr>
      <w:tr w:rsidR="00AB6753" w:rsidRPr="00F32D92" w14:paraId="2A0CFA70" w14:textId="77777777" w:rsidTr="002D1EA4">
        <w:trPr>
          <w:trHeight w:val="315"/>
          <w:jc w:val="center"/>
        </w:trPr>
        <w:tc>
          <w:tcPr>
            <w:tcW w:w="1127" w:type="dxa"/>
            <w:tcBorders>
              <w:top w:val="single" w:sz="4" w:space="0" w:color="auto"/>
              <w:left w:val="single" w:sz="4" w:space="0" w:color="auto"/>
              <w:bottom w:val="single" w:sz="4" w:space="0" w:color="auto"/>
              <w:right w:val="single" w:sz="4" w:space="0" w:color="auto"/>
            </w:tcBorders>
            <w:hideMark/>
          </w:tcPr>
          <w:p w14:paraId="611E2320" w14:textId="77777777" w:rsidR="00AB6753" w:rsidRPr="00F32D92" w:rsidRDefault="00AB6753" w:rsidP="002D1EA4">
            <w:pPr>
              <w:rPr>
                <w:rFonts w:cs="Arial"/>
                <w:sz w:val="20"/>
                <w:szCs w:val="20"/>
              </w:rPr>
            </w:pPr>
            <w:r w:rsidRPr="00F32D92">
              <w:rPr>
                <w:rFonts w:cs="Arial"/>
                <w:sz w:val="20"/>
                <w:szCs w:val="20"/>
              </w:rPr>
              <w:t>Overseas</w:t>
            </w:r>
          </w:p>
        </w:tc>
        <w:tc>
          <w:tcPr>
            <w:tcW w:w="853" w:type="dxa"/>
            <w:tcBorders>
              <w:left w:val="single" w:sz="4" w:space="0" w:color="auto"/>
            </w:tcBorders>
            <w:noWrap/>
            <w:vAlign w:val="center"/>
            <w:hideMark/>
          </w:tcPr>
          <w:p w14:paraId="5C366860" w14:textId="77777777" w:rsidR="00AB6753" w:rsidRPr="00F32D92" w:rsidRDefault="00AB6753" w:rsidP="002D1EA4">
            <w:pPr>
              <w:rPr>
                <w:rFonts w:cs="Arial"/>
                <w:sz w:val="20"/>
                <w:szCs w:val="20"/>
              </w:rPr>
            </w:pPr>
            <w:r w:rsidRPr="00F32D92">
              <w:rPr>
                <w:rFonts w:cs="Arial"/>
                <w:sz w:val="20"/>
                <w:szCs w:val="20"/>
              </w:rPr>
              <w:t>0</w:t>
            </w:r>
          </w:p>
        </w:tc>
        <w:tc>
          <w:tcPr>
            <w:tcW w:w="897" w:type="dxa"/>
            <w:gridSpan w:val="2"/>
            <w:noWrap/>
            <w:vAlign w:val="center"/>
            <w:hideMark/>
          </w:tcPr>
          <w:p w14:paraId="2E4F1E57" w14:textId="77777777" w:rsidR="00AB6753" w:rsidRPr="00F32D92" w:rsidRDefault="00AB6753" w:rsidP="002D1EA4">
            <w:pPr>
              <w:rPr>
                <w:rFonts w:cs="Arial"/>
                <w:sz w:val="20"/>
                <w:szCs w:val="20"/>
              </w:rPr>
            </w:pPr>
            <w:r w:rsidRPr="00F32D92">
              <w:rPr>
                <w:rFonts w:cs="Arial"/>
                <w:sz w:val="20"/>
                <w:szCs w:val="20"/>
              </w:rPr>
              <w:t>0</w:t>
            </w:r>
          </w:p>
        </w:tc>
        <w:tc>
          <w:tcPr>
            <w:tcW w:w="662" w:type="dxa"/>
            <w:tcBorders>
              <w:right w:val="single" w:sz="4" w:space="0" w:color="auto"/>
            </w:tcBorders>
            <w:noWrap/>
            <w:vAlign w:val="center"/>
            <w:hideMark/>
          </w:tcPr>
          <w:p w14:paraId="2C4BC5ED" w14:textId="77777777" w:rsidR="00AB6753" w:rsidRPr="00F32D92" w:rsidRDefault="00AB6753" w:rsidP="002D1EA4">
            <w:pPr>
              <w:rPr>
                <w:rFonts w:cs="Arial"/>
                <w:sz w:val="20"/>
                <w:szCs w:val="20"/>
              </w:rPr>
            </w:pPr>
            <w:r w:rsidRPr="00F32D92">
              <w:rPr>
                <w:rFonts w:cs="Arial"/>
                <w:sz w:val="20"/>
                <w:szCs w:val="20"/>
              </w:rPr>
              <w:t>0</w:t>
            </w:r>
          </w:p>
        </w:tc>
        <w:tc>
          <w:tcPr>
            <w:tcW w:w="717" w:type="dxa"/>
            <w:gridSpan w:val="2"/>
            <w:tcBorders>
              <w:left w:val="single" w:sz="4" w:space="0" w:color="auto"/>
            </w:tcBorders>
            <w:noWrap/>
            <w:vAlign w:val="center"/>
            <w:hideMark/>
          </w:tcPr>
          <w:p w14:paraId="71F4D229" w14:textId="77777777" w:rsidR="00AB6753" w:rsidRPr="00F32D92" w:rsidRDefault="00AB6753" w:rsidP="002D1EA4">
            <w:pPr>
              <w:rPr>
                <w:rFonts w:cs="Arial"/>
                <w:sz w:val="20"/>
                <w:szCs w:val="20"/>
              </w:rPr>
            </w:pPr>
            <w:r w:rsidRPr="00F32D92">
              <w:rPr>
                <w:rFonts w:cs="Arial"/>
                <w:sz w:val="20"/>
                <w:szCs w:val="20"/>
              </w:rPr>
              <w:t>0</w:t>
            </w:r>
          </w:p>
        </w:tc>
        <w:tc>
          <w:tcPr>
            <w:tcW w:w="844" w:type="dxa"/>
            <w:noWrap/>
            <w:vAlign w:val="center"/>
            <w:hideMark/>
          </w:tcPr>
          <w:p w14:paraId="582F7085" w14:textId="77777777" w:rsidR="00AB6753" w:rsidRPr="00F32D92" w:rsidRDefault="00AB6753" w:rsidP="002D1EA4">
            <w:pPr>
              <w:rPr>
                <w:rFonts w:cs="Arial"/>
                <w:sz w:val="20"/>
                <w:szCs w:val="20"/>
              </w:rPr>
            </w:pPr>
            <w:r w:rsidRPr="00F32D92">
              <w:rPr>
                <w:rFonts w:cs="Arial"/>
                <w:sz w:val="20"/>
                <w:szCs w:val="20"/>
              </w:rPr>
              <w:t>0</w:t>
            </w:r>
          </w:p>
        </w:tc>
        <w:tc>
          <w:tcPr>
            <w:tcW w:w="991" w:type="dxa"/>
            <w:tcBorders>
              <w:right w:val="single" w:sz="4" w:space="0" w:color="auto"/>
            </w:tcBorders>
            <w:noWrap/>
            <w:vAlign w:val="center"/>
            <w:hideMark/>
          </w:tcPr>
          <w:p w14:paraId="2EFC8173" w14:textId="77777777" w:rsidR="00AB6753" w:rsidRPr="00F32D92" w:rsidRDefault="00AB6753" w:rsidP="002D1EA4">
            <w:pPr>
              <w:rPr>
                <w:rFonts w:cs="Arial"/>
                <w:sz w:val="20"/>
                <w:szCs w:val="20"/>
              </w:rPr>
            </w:pPr>
            <w:r w:rsidRPr="00F32D92">
              <w:rPr>
                <w:rFonts w:cs="Arial"/>
                <w:sz w:val="20"/>
                <w:szCs w:val="20"/>
              </w:rPr>
              <w:t>0</w:t>
            </w:r>
          </w:p>
        </w:tc>
        <w:tc>
          <w:tcPr>
            <w:tcW w:w="708" w:type="dxa"/>
            <w:tcBorders>
              <w:left w:val="single" w:sz="4" w:space="0" w:color="auto"/>
            </w:tcBorders>
            <w:noWrap/>
            <w:vAlign w:val="center"/>
            <w:hideMark/>
          </w:tcPr>
          <w:p w14:paraId="27FED82B" w14:textId="77777777" w:rsidR="00AB6753" w:rsidRPr="00F32D92" w:rsidRDefault="00AB6753" w:rsidP="002D1EA4">
            <w:pPr>
              <w:rPr>
                <w:rFonts w:cs="Arial"/>
                <w:sz w:val="20"/>
                <w:szCs w:val="20"/>
              </w:rPr>
            </w:pPr>
            <w:r w:rsidRPr="00F32D92">
              <w:rPr>
                <w:rFonts w:cs="Arial"/>
                <w:sz w:val="20"/>
                <w:szCs w:val="20"/>
              </w:rPr>
              <w:t>-</w:t>
            </w:r>
          </w:p>
        </w:tc>
        <w:tc>
          <w:tcPr>
            <w:tcW w:w="709" w:type="dxa"/>
            <w:noWrap/>
            <w:vAlign w:val="center"/>
            <w:hideMark/>
          </w:tcPr>
          <w:p w14:paraId="76B7B6B8" w14:textId="77777777" w:rsidR="00AB6753" w:rsidRPr="00F32D92" w:rsidRDefault="00AB6753" w:rsidP="002D1EA4">
            <w:pPr>
              <w:rPr>
                <w:rFonts w:cs="Arial"/>
                <w:sz w:val="20"/>
                <w:szCs w:val="20"/>
              </w:rPr>
            </w:pPr>
            <w:r w:rsidRPr="00F32D92">
              <w:rPr>
                <w:rFonts w:cs="Arial"/>
                <w:sz w:val="20"/>
                <w:szCs w:val="20"/>
              </w:rPr>
              <w:t>-</w:t>
            </w:r>
          </w:p>
        </w:tc>
        <w:tc>
          <w:tcPr>
            <w:tcW w:w="1559" w:type="dxa"/>
            <w:tcBorders>
              <w:right w:val="single" w:sz="4" w:space="0" w:color="auto"/>
            </w:tcBorders>
            <w:noWrap/>
            <w:vAlign w:val="center"/>
            <w:hideMark/>
          </w:tcPr>
          <w:p w14:paraId="00E9AD87" w14:textId="77777777" w:rsidR="00AB6753" w:rsidRPr="00F32D92" w:rsidRDefault="00AB6753" w:rsidP="002D1EA4">
            <w:pPr>
              <w:rPr>
                <w:rFonts w:cs="Arial"/>
                <w:sz w:val="20"/>
                <w:szCs w:val="20"/>
              </w:rPr>
            </w:pPr>
            <w:r w:rsidRPr="00F32D92">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1FB2D11D"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753EE87F" w14:textId="77777777" w:rsidTr="002D1EA4">
        <w:trPr>
          <w:trHeight w:val="315"/>
          <w:jc w:val="center"/>
        </w:trPr>
        <w:tc>
          <w:tcPr>
            <w:tcW w:w="1127" w:type="dxa"/>
            <w:tcBorders>
              <w:top w:val="single" w:sz="4" w:space="0" w:color="auto"/>
              <w:left w:val="single" w:sz="4" w:space="0" w:color="auto"/>
              <w:bottom w:val="single" w:sz="4" w:space="0" w:color="auto"/>
              <w:right w:val="single" w:sz="4" w:space="0" w:color="auto"/>
            </w:tcBorders>
          </w:tcPr>
          <w:p w14:paraId="4EF062CE" w14:textId="77777777" w:rsidR="00AB6753" w:rsidRPr="00F32D92" w:rsidRDefault="00AB6753" w:rsidP="002D1EA4">
            <w:pPr>
              <w:rPr>
                <w:rFonts w:cs="Arial"/>
                <w:sz w:val="20"/>
                <w:szCs w:val="20"/>
              </w:rPr>
            </w:pPr>
            <w:r w:rsidRPr="00F32D92">
              <w:rPr>
                <w:rFonts w:cs="Arial"/>
                <w:sz w:val="20"/>
                <w:szCs w:val="20"/>
              </w:rPr>
              <w:t>Total</w:t>
            </w:r>
          </w:p>
        </w:tc>
        <w:tc>
          <w:tcPr>
            <w:tcW w:w="853" w:type="dxa"/>
            <w:tcBorders>
              <w:left w:val="single" w:sz="4" w:space="0" w:color="auto"/>
              <w:bottom w:val="single" w:sz="4" w:space="0" w:color="auto"/>
            </w:tcBorders>
            <w:noWrap/>
            <w:vAlign w:val="bottom"/>
          </w:tcPr>
          <w:p w14:paraId="770B5F4C" w14:textId="77777777" w:rsidR="00AB6753" w:rsidRPr="00F32D92" w:rsidRDefault="00AB6753" w:rsidP="002D1EA4">
            <w:pPr>
              <w:rPr>
                <w:rFonts w:cs="Arial"/>
                <w:sz w:val="20"/>
                <w:szCs w:val="20"/>
              </w:rPr>
            </w:pPr>
            <w:r w:rsidRPr="00F32D92">
              <w:rPr>
                <w:rFonts w:cs="Arial"/>
                <w:b/>
                <w:bCs/>
                <w:color w:val="000000"/>
                <w:sz w:val="20"/>
                <w:szCs w:val="20"/>
              </w:rPr>
              <w:t>612</w:t>
            </w:r>
          </w:p>
        </w:tc>
        <w:tc>
          <w:tcPr>
            <w:tcW w:w="897" w:type="dxa"/>
            <w:gridSpan w:val="2"/>
            <w:tcBorders>
              <w:bottom w:val="single" w:sz="4" w:space="0" w:color="auto"/>
            </w:tcBorders>
            <w:noWrap/>
            <w:vAlign w:val="bottom"/>
          </w:tcPr>
          <w:p w14:paraId="0A53E2B2" w14:textId="77777777" w:rsidR="00AB6753" w:rsidRPr="00F32D92" w:rsidRDefault="00AB6753" w:rsidP="002D1EA4">
            <w:pPr>
              <w:rPr>
                <w:rFonts w:cs="Arial"/>
                <w:sz w:val="20"/>
                <w:szCs w:val="20"/>
              </w:rPr>
            </w:pPr>
            <w:r w:rsidRPr="00F32D92">
              <w:rPr>
                <w:rFonts w:cs="Arial"/>
                <w:b/>
                <w:bCs/>
                <w:color w:val="000000"/>
                <w:sz w:val="20"/>
                <w:szCs w:val="20"/>
              </w:rPr>
              <w:t>45</w:t>
            </w:r>
          </w:p>
        </w:tc>
        <w:tc>
          <w:tcPr>
            <w:tcW w:w="662" w:type="dxa"/>
            <w:tcBorders>
              <w:bottom w:val="single" w:sz="4" w:space="0" w:color="auto"/>
              <w:right w:val="single" w:sz="4" w:space="0" w:color="auto"/>
            </w:tcBorders>
            <w:noWrap/>
            <w:vAlign w:val="bottom"/>
          </w:tcPr>
          <w:p w14:paraId="4F2C7259" w14:textId="77777777" w:rsidR="00AB6753" w:rsidRPr="00F32D92" w:rsidRDefault="00AB6753" w:rsidP="002D1EA4">
            <w:pPr>
              <w:rPr>
                <w:rFonts w:cs="Arial"/>
                <w:sz w:val="20"/>
                <w:szCs w:val="20"/>
              </w:rPr>
            </w:pPr>
            <w:r w:rsidRPr="00F32D92">
              <w:rPr>
                <w:rFonts w:cs="Arial"/>
                <w:b/>
                <w:bCs/>
                <w:color w:val="000000"/>
                <w:sz w:val="20"/>
                <w:szCs w:val="20"/>
              </w:rPr>
              <w:t>657</w:t>
            </w:r>
          </w:p>
        </w:tc>
        <w:tc>
          <w:tcPr>
            <w:tcW w:w="717" w:type="dxa"/>
            <w:gridSpan w:val="2"/>
            <w:tcBorders>
              <w:left w:val="single" w:sz="4" w:space="0" w:color="auto"/>
              <w:bottom w:val="single" w:sz="4" w:space="0" w:color="auto"/>
            </w:tcBorders>
            <w:noWrap/>
            <w:vAlign w:val="bottom"/>
          </w:tcPr>
          <w:p w14:paraId="772B9632" w14:textId="77777777" w:rsidR="00AB6753" w:rsidRPr="00F32D92" w:rsidRDefault="00AB6753" w:rsidP="002D1EA4">
            <w:pPr>
              <w:rPr>
                <w:rFonts w:cs="Arial"/>
                <w:sz w:val="20"/>
                <w:szCs w:val="20"/>
              </w:rPr>
            </w:pPr>
            <w:r w:rsidRPr="00F32D92">
              <w:rPr>
                <w:rFonts w:cs="Arial"/>
                <w:b/>
                <w:bCs/>
                <w:color w:val="000000"/>
                <w:sz w:val="20"/>
                <w:szCs w:val="20"/>
              </w:rPr>
              <w:t>1</w:t>
            </w:r>
            <w:r>
              <w:rPr>
                <w:rFonts w:cs="Arial"/>
                <w:b/>
                <w:bCs/>
                <w:color w:val="000000"/>
                <w:sz w:val="20"/>
                <w:szCs w:val="20"/>
              </w:rPr>
              <w:t>,</w:t>
            </w:r>
            <w:r w:rsidRPr="00F32D92">
              <w:rPr>
                <w:rFonts w:cs="Arial"/>
                <w:b/>
                <w:bCs/>
                <w:color w:val="000000"/>
                <w:sz w:val="20"/>
                <w:szCs w:val="20"/>
              </w:rPr>
              <w:t>291</w:t>
            </w:r>
          </w:p>
        </w:tc>
        <w:tc>
          <w:tcPr>
            <w:tcW w:w="844" w:type="dxa"/>
            <w:tcBorders>
              <w:bottom w:val="single" w:sz="4" w:space="0" w:color="auto"/>
            </w:tcBorders>
            <w:noWrap/>
            <w:vAlign w:val="bottom"/>
          </w:tcPr>
          <w:p w14:paraId="5E2E0282" w14:textId="77777777" w:rsidR="00AB6753" w:rsidRPr="00F32D92" w:rsidRDefault="00AB6753" w:rsidP="002D1EA4">
            <w:pPr>
              <w:rPr>
                <w:rFonts w:cs="Arial"/>
                <w:sz w:val="20"/>
                <w:szCs w:val="20"/>
              </w:rPr>
            </w:pPr>
            <w:r w:rsidRPr="00F32D92">
              <w:rPr>
                <w:rFonts w:cs="Arial"/>
                <w:b/>
                <w:bCs/>
                <w:color w:val="000000"/>
                <w:sz w:val="20"/>
                <w:szCs w:val="20"/>
              </w:rPr>
              <w:t>371</w:t>
            </w:r>
          </w:p>
        </w:tc>
        <w:tc>
          <w:tcPr>
            <w:tcW w:w="991" w:type="dxa"/>
            <w:tcBorders>
              <w:bottom w:val="single" w:sz="4" w:space="0" w:color="auto"/>
              <w:right w:val="single" w:sz="4" w:space="0" w:color="auto"/>
            </w:tcBorders>
            <w:noWrap/>
            <w:vAlign w:val="bottom"/>
          </w:tcPr>
          <w:p w14:paraId="2623294B" w14:textId="77777777" w:rsidR="00AB6753" w:rsidRPr="00F32D92" w:rsidRDefault="00AB6753" w:rsidP="002D1EA4">
            <w:pPr>
              <w:rPr>
                <w:rFonts w:cs="Arial"/>
                <w:sz w:val="20"/>
                <w:szCs w:val="20"/>
              </w:rPr>
            </w:pPr>
            <w:r w:rsidRPr="00F32D92">
              <w:rPr>
                <w:rFonts w:cs="Arial"/>
                <w:b/>
                <w:bCs/>
                <w:color w:val="000000"/>
                <w:sz w:val="20"/>
                <w:szCs w:val="20"/>
              </w:rPr>
              <w:t>1</w:t>
            </w:r>
            <w:r>
              <w:rPr>
                <w:rFonts w:cs="Arial"/>
                <w:b/>
                <w:bCs/>
                <w:color w:val="000000"/>
                <w:sz w:val="20"/>
                <w:szCs w:val="20"/>
              </w:rPr>
              <w:t>,</w:t>
            </w:r>
            <w:r w:rsidRPr="00F32D92">
              <w:rPr>
                <w:rFonts w:cs="Arial"/>
                <w:b/>
                <w:bCs/>
                <w:color w:val="000000"/>
                <w:sz w:val="20"/>
                <w:szCs w:val="20"/>
              </w:rPr>
              <w:t>662</w:t>
            </w:r>
          </w:p>
        </w:tc>
        <w:tc>
          <w:tcPr>
            <w:tcW w:w="708" w:type="dxa"/>
            <w:tcBorders>
              <w:left w:val="single" w:sz="4" w:space="0" w:color="auto"/>
              <w:bottom w:val="single" w:sz="4" w:space="0" w:color="auto"/>
            </w:tcBorders>
            <w:noWrap/>
          </w:tcPr>
          <w:p w14:paraId="2DF3E396" w14:textId="77777777" w:rsidR="00AB6753" w:rsidRPr="00F32D92" w:rsidRDefault="00AB6753" w:rsidP="002D1EA4">
            <w:pPr>
              <w:rPr>
                <w:rFonts w:cs="Arial"/>
                <w:sz w:val="20"/>
                <w:szCs w:val="20"/>
              </w:rPr>
            </w:pPr>
            <w:r w:rsidRPr="00F32D92">
              <w:rPr>
                <w:rFonts w:cs="Arial"/>
                <w:sz w:val="20"/>
                <w:szCs w:val="20"/>
              </w:rPr>
              <w:t>-</w:t>
            </w:r>
          </w:p>
        </w:tc>
        <w:tc>
          <w:tcPr>
            <w:tcW w:w="709" w:type="dxa"/>
            <w:tcBorders>
              <w:bottom w:val="single" w:sz="4" w:space="0" w:color="auto"/>
            </w:tcBorders>
            <w:noWrap/>
          </w:tcPr>
          <w:p w14:paraId="006EB3F5" w14:textId="77777777" w:rsidR="00AB6753" w:rsidRPr="00F32D92" w:rsidRDefault="00AB6753" w:rsidP="002D1EA4">
            <w:pPr>
              <w:rPr>
                <w:rFonts w:cs="Arial"/>
                <w:sz w:val="20"/>
                <w:szCs w:val="20"/>
              </w:rPr>
            </w:pPr>
            <w:r w:rsidRPr="00F32D92">
              <w:rPr>
                <w:rFonts w:cs="Arial"/>
                <w:sz w:val="20"/>
                <w:szCs w:val="20"/>
              </w:rPr>
              <w:t>-</w:t>
            </w:r>
          </w:p>
        </w:tc>
        <w:tc>
          <w:tcPr>
            <w:tcW w:w="1559" w:type="dxa"/>
            <w:tcBorders>
              <w:bottom w:val="single" w:sz="4" w:space="0" w:color="auto"/>
              <w:right w:val="single" w:sz="4" w:space="0" w:color="auto"/>
            </w:tcBorders>
            <w:noWrap/>
          </w:tcPr>
          <w:p w14:paraId="31FA75E7" w14:textId="77777777" w:rsidR="00AB6753" w:rsidRPr="00F32D92" w:rsidRDefault="00AB6753" w:rsidP="002D1EA4">
            <w:pPr>
              <w:rPr>
                <w:rFonts w:cs="Arial"/>
                <w:sz w:val="20"/>
                <w:szCs w:val="20"/>
              </w:rPr>
            </w:pPr>
            <w:r w:rsidRPr="00F32D92">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7089E5B9" w14:textId="77777777" w:rsidR="00AB6753" w:rsidRPr="00F32D92" w:rsidRDefault="00AB6753" w:rsidP="002D1EA4">
            <w:pPr>
              <w:rPr>
                <w:rFonts w:cs="Arial"/>
                <w:b/>
                <w:bCs/>
                <w:color w:val="000000"/>
                <w:sz w:val="20"/>
                <w:szCs w:val="20"/>
              </w:rPr>
            </w:pPr>
            <w:r w:rsidRPr="00F32D92">
              <w:rPr>
                <w:rFonts w:cs="Arial"/>
                <w:b/>
                <w:bCs/>
                <w:color w:val="000000"/>
                <w:sz w:val="20"/>
                <w:szCs w:val="20"/>
              </w:rPr>
              <w:t>2</w:t>
            </w:r>
            <w:r>
              <w:rPr>
                <w:rFonts w:cs="Arial"/>
                <w:b/>
                <w:bCs/>
                <w:color w:val="000000"/>
                <w:sz w:val="20"/>
                <w:szCs w:val="20"/>
              </w:rPr>
              <w:t>,</w:t>
            </w:r>
            <w:r w:rsidRPr="00F32D92">
              <w:rPr>
                <w:rFonts w:cs="Arial"/>
                <w:b/>
                <w:bCs/>
                <w:color w:val="000000"/>
                <w:sz w:val="20"/>
                <w:szCs w:val="20"/>
              </w:rPr>
              <w:t>319</w:t>
            </w:r>
          </w:p>
        </w:tc>
      </w:tr>
    </w:tbl>
    <w:p w14:paraId="096A4328" w14:textId="77777777" w:rsidR="00AB6753" w:rsidRDefault="00AB6753" w:rsidP="00AB6753"/>
    <w:p w14:paraId="4C9F021D" w14:textId="77777777" w:rsidR="00AB6753" w:rsidRDefault="00AB6753" w:rsidP="00AB6753">
      <w:r>
        <w:br w:type="page"/>
      </w:r>
    </w:p>
    <w:p w14:paraId="0B20EF4D" w14:textId="77777777" w:rsidR="00AB6753" w:rsidRPr="00CF02C1" w:rsidRDefault="00AB6753" w:rsidP="00AB6753"/>
    <w:p w14:paraId="09890B82" w14:textId="77777777" w:rsidR="00AB6753" w:rsidRPr="00A050FC" w:rsidRDefault="00AB6753" w:rsidP="00AB6753">
      <w:pPr>
        <w:rPr>
          <w:rFonts w:ascii="Arial Narrow" w:hAnsi="Arial Narrow" w:cs="Calibri"/>
          <w:b/>
          <w:sz w:val="20"/>
          <w:szCs w:val="20"/>
        </w:rPr>
      </w:pPr>
      <w:bookmarkStart w:id="287" w:name="_Toc5705958"/>
      <w:r>
        <w:rPr>
          <w:rFonts w:ascii="Arial Narrow" w:hAnsi="Arial Narrow" w:cs="Calibri"/>
          <w:b/>
          <w:sz w:val="20"/>
          <w:szCs w:val="20"/>
        </w:rPr>
        <w:t xml:space="preserve">Table F-6 </w:t>
      </w:r>
      <w:r w:rsidRPr="00A050FC">
        <w:rPr>
          <w:rFonts w:ascii="Arial Narrow" w:hAnsi="Arial Narrow" w:cs="Calibri"/>
          <w:b/>
          <w:sz w:val="20"/>
          <w:szCs w:val="20"/>
        </w:rPr>
        <w:t>17AG (4)(aa) — Management of Human Resources all Non-Ongoing Employees Current Report Period</w:t>
      </w:r>
      <w:r>
        <w:rPr>
          <w:rFonts w:ascii="Arial Narrow" w:hAnsi="Arial Narrow" w:cs="Calibri"/>
          <w:b/>
          <w:sz w:val="20"/>
          <w:szCs w:val="20"/>
        </w:rPr>
        <w:t xml:space="preserve"> </w:t>
      </w:r>
      <w:r w:rsidRPr="00A050FC">
        <w:rPr>
          <w:rFonts w:ascii="Arial Narrow" w:hAnsi="Arial Narrow" w:cs="Calibri"/>
          <w:b/>
          <w:sz w:val="20"/>
          <w:szCs w:val="20"/>
        </w:rPr>
        <w:t>(2019–20)</w:t>
      </w:r>
      <w:bookmarkEnd w:id="287"/>
    </w:p>
    <w:tbl>
      <w:tblPr>
        <w:tblW w:w="10195" w:type="dxa"/>
        <w:jc w:val="center"/>
        <w:tblLook w:val="04A0" w:firstRow="1" w:lastRow="0" w:firstColumn="1" w:lastColumn="0" w:noHBand="0" w:noVBand="1"/>
        <w:tblCaption w:val="Table F-6 17AG (4)(aa) Management of Human Resources"/>
        <w:tblDescription w:val="Table 17AG (4)(aa) Management of Human Resources. All Non-Ongoing Employees. Current Report Period (2019-20) "/>
      </w:tblPr>
      <w:tblGrid>
        <w:gridCol w:w="1157"/>
        <w:gridCol w:w="895"/>
        <w:gridCol w:w="692"/>
        <w:gridCol w:w="902"/>
        <w:gridCol w:w="896"/>
        <w:gridCol w:w="693"/>
        <w:gridCol w:w="950"/>
        <w:gridCol w:w="992"/>
        <w:gridCol w:w="751"/>
        <w:gridCol w:w="1561"/>
        <w:gridCol w:w="706"/>
      </w:tblGrid>
      <w:tr w:rsidR="00AB6753" w:rsidRPr="00F32D92" w14:paraId="38B76EEA" w14:textId="77777777" w:rsidTr="002D1EA4">
        <w:trPr>
          <w:trHeight w:val="300"/>
          <w:tblHeader/>
          <w:jc w:val="center"/>
        </w:trPr>
        <w:tc>
          <w:tcPr>
            <w:tcW w:w="1157" w:type="dxa"/>
            <w:tcBorders>
              <w:top w:val="single" w:sz="4" w:space="0" w:color="666666" w:themeColor="text1" w:themeTint="99"/>
              <w:left w:val="single" w:sz="4" w:space="0" w:color="666666" w:themeColor="text1" w:themeTint="99"/>
              <w:bottom w:val="single" w:sz="4" w:space="0" w:color="auto"/>
              <w:right w:val="single" w:sz="4" w:space="0" w:color="auto"/>
            </w:tcBorders>
            <w:shd w:val="clear" w:color="auto" w:fill="BFBFBF" w:themeFill="background1" w:themeFillShade="BF"/>
            <w:noWrap/>
            <w:hideMark/>
          </w:tcPr>
          <w:p w14:paraId="698B25FC" w14:textId="77777777" w:rsidR="00AB6753" w:rsidRPr="00F32D92" w:rsidRDefault="00AB6753" w:rsidP="002D1EA4">
            <w:pPr>
              <w:rPr>
                <w:rFonts w:cs="Arial"/>
                <w:sz w:val="20"/>
                <w:szCs w:val="20"/>
              </w:rPr>
            </w:pPr>
            <w:bookmarkStart w:id="288" w:name="_Toc5705959"/>
          </w:p>
          <w:p w14:paraId="1A3D1163" w14:textId="77777777" w:rsidR="00AB6753" w:rsidRPr="00F32D92" w:rsidRDefault="00AB6753" w:rsidP="002D1EA4">
            <w:pPr>
              <w:rPr>
                <w:rFonts w:cs="Arial"/>
                <w:sz w:val="20"/>
                <w:szCs w:val="20"/>
              </w:rPr>
            </w:pPr>
          </w:p>
        </w:tc>
        <w:tc>
          <w:tcPr>
            <w:tcW w:w="2489" w:type="dxa"/>
            <w:gridSpan w:val="3"/>
            <w:tcBorders>
              <w:top w:val="single" w:sz="4" w:space="0" w:color="666666" w:themeColor="text1" w:themeTint="99"/>
              <w:left w:val="single" w:sz="4" w:space="0" w:color="auto"/>
              <w:bottom w:val="single" w:sz="4" w:space="0" w:color="auto"/>
              <w:right w:val="single" w:sz="4" w:space="0" w:color="auto"/>
            </w:tcBorders>
            <w:shd w:val="clear" w:color="auto" w:fill="BFBFBF" w:themeFill="background1" w:themeFillShade="BF"/>
            <w:noWrap/>
            <w:hideMark/>
          </w:tcPr>
          <w:p w14:paraId="33D0B877" w14:textId="77777777" w:rsidR="00AB6753" w:rsidRPr="00F32D92" w:rsidRDefault="00AB6753" w:rsidP="002D1EA4">
            <w:pPr>
              <w:rPr>
                <w:rFonts w:cs="Arial"/>
                <w:sz w:val="20"/>
                <w:szCs w:val="20"/>
              </w:rPr>
            </w:pPr>
            <w:r w:rsidRPr="00F32D92">
              <w:rPr>
                <w:rFonts w:cs="Arial"/>
                <w:sz w:val="20"/>
                <w:szCs w:val="20"/>
              </w:rPr>
              <w:t xml:space="preserve">Male </w:t>
            </w:r>
          </w:p>
        </w:tc>
        <w:tc>
          <w:tcPr>
            <w:tcW w:w="2539" w:type="dxa"/>
            <w:gridSpan w:val="3"/>
            <w:tcBorders>
              <w:top w:val="single" w:sz="4" w:space="0" w:color="666666" w:themeColor="text1" w:themeTint="99"/>
              <w:left w:val="single" w:sz="4" w:space="0" w:color="auto"/>
              <w:bottom w:val="single" w:sz="4" w:space="0" w:color="auto"/>
              <w:right w:val="single" w:sz="4" w:space="0" w:color="auto"/>
            </w:tcBorders>
            <w:shd w:val="clear" w:color="auto" w:fill="BFBFBF" w:themeFill="background1" w:themeFillShade="BF"/>
            <w:noWrap/>
            <w:hideMark/>
          </w:tcPr>
          <w:p w14:paraId="69417B3B" w14:textId="77777777" w:rsidR="00AB6753" w:rsidRPr="00F32D92" w:rsidRDefault="00AB6753" w:rsidP="002D1EA4">
            <w:pPr>
              <w:rPr>
                <w:rFonts w:cs="Arial"/>
                <w:sz w:val="20"/>
                <w:szCs w:val="20"/>
              </w:rPr>
            </w:pPr>
            <w:r w:rsidRPr="00F32D92">
              <w:rPr>
                <w:rFonts w:cs="Arial"/>
                <w:sz w:val="20"/>
                <w:szCs w:val="20"/>
              </w:rPr>
              <w:t xml:space="preserve">Female </w:t>
            </w:r>
          </w:p>
        </w:tc>
        <w:tc>
          <w:tcPr>
            <w:tcW w:w="3304" w:type="dxa"/>
            <w:gridSpan w:val="3"/>
            <w:tcBorders>
              <w:top w:val="single" w:sz="4" w:space="0" w:color="666666" w:themeColor="text1" w:themeTint="99"/>
              <w:left w:val="single" w:sz="4" w:space="0" w:color="auto"/>
              <w:bottom w:val="single" w:sz="4" w:space="0" w:color="auto"/>
              <w:right w:val="single" w:sz="4" w:space="0" w:color="auto"/>
            </w:tcBorders>
            <w:shd w:val="clear" w:color="auto" w:fill="BFBFBF" w:themeFill="background1" w:themeFillShade="BF"/>
            <w:noWrap/>
            <w:hideMark/>
          </w:tcPr>
          <w:p w14:paraId="102163A6" w14:textId="77777777" w:rsidR="00AB6753" w:rsidRPr="00F32D92" w:rsidRDefault="00AB6753" w:rsidP="002D1EA4">
            <w:pPr>
              <w:rPr>
                <w:rFonts w:cs="Arial"/>
                <w:sz w:val="20"/>
                <w:szCs w:val="20"/>
              </w:rPr>
            </w:pPr>
            <w:r w:rsidRPr="00F32D92">
              <w:rPr>
                <w:rFonts w:cs="Arial"/>
                <w:sz w:val="20"/>
                <w:szCs w:val="20"/>
              </w:rPr>
              <w:t>Indeterminate</w:t>
            </w:r>
          </w:p>
        </w:tc>
        <w:tc>
          <w:tcPr>
            <w:tcW w:w="706" w:type="dxa"/>
            <w:tcBorders>
              <w:top w:val="single" w:sz="4" w:space="0" w:color="666666" w:themeColor="text1" w:themeTint="99"/>
              <w:left w:val="single" w:sz="4" w:space="0" w:color="auto"/>
              <w:bottom w:val="single" w:sz="4" w:space="0" w:color="auto"/>
              <w:right w:val="single" w:sz="4" w:space="0" w:color="666666" w:themeColor="text1" w:themeTint="99"/>
            </w:tcBorders>
            <w:shd w:val="clear" w:color="auto" w:fill="BFBFBF" w:themeFill="background1" w:themeFillShade="BF"/>
          </w:tcPr>
          <w:p w14:paraId="6BF88948" w14:textId="77777777" w:rsidR="00AB6753" w:rsidRPr="00F32D92" w:rsidRDefault="00AB6753" w:rsidP="002D1EA4">
            <w:pPr>
              <w:rPr>
                <w:rFonts w:cs="Arial"/>
                <w:sz w:val="20"/>
                <w:szCs w:val="20"/>
              </w:rPr>
            </w:pPr>
            <w:r w:rsidRPr="00F32D92">
              <w:rPr>
                <w:rFonts w:cs="Arial"/>
                <w:sz w:val="20"/>
                <w:szCs w:val="20"/>
              </w:rPr>
              <w:t>Total</w:t>
            </w:r>
          </w:p>
        </w:tc>
      </w:tr>
      <w:tr w:rsidR="00AB6753" w:rsidRPr="00F32D92" w14:paraId="5CA65582" w14:textId="77777777" w:rsidTr="002D1EA4">
        <w:trPr>
          <w:trHeight w:val="615"/>
          <w:jc w:val="center"/>
        </w:trPr>
        <w:tc>
          <w:tcPr>
            <w:tcW w:w="1157" w:type="dxa"/>
            <w:tcBorders>
              <w:top w:val="single" w:sz="4" w:space="0" w:color="auto"/>
              <w:left w:val="single" w:sz="4" w:space="0" w:color="666666" w:themeColor="text1" w:themeTint="99"/>
              <w:right w:val="single" w:sz="4" w:space="0" w:color="auto"/>
            </w:tcBorders>
            <w:shd w:val="clear" w:color="auto" w:fill="BFBFBF" w:themeFill="background1" w:themeFillShade="BF"/>
            <w:noWrap/>
            <w:hideMark/>
          </w:tcPr>
          <w:p w14:paraId="7026E63D" w14:textId="77777777" w:rsidR="00AB6753" w:rsidRPr="00F32D92" w:rsidRDefault="00AB6753" w:rsidP="002D1EA4">
            <w:pPr>
              <w:rPr>
                <w:rFonts w:cs="Arial"/>
                <w:sz w:val="20"/>
                <w:szCs w:val="20"/>
              </w:rPr>
            </w:pPr>
          </w:p>
        </w:tc>
        <w:tc>
          <w:tcPr>
            <w:tcW w:w="895" w:type="dxa"/>
            <w:tcBorders>
              <w:top w:val="single" w:sz="4" w:space="0" w:color="auto"/>
              <w:left w:val="single" w:sz="4" w:space="0" w:color="auto"/>
            </w:tcBorders>
            <w:shd w:val="clear" w:color="auto" w:fill="BFBFBF" w:themeFill="background1" w:themeFillShade="BF"/>
            <w:noWrap/>
            <w:hideMark/>
          </w:tcPr>
          <w:p w14:paraId="1F5BAD32" w14:textId="77777777" w:rsidR="00AB6753" w:rsidRPr="00F32D92" w:rsidRDefault="00AB6753" w:rsidP="002D1EA4">
            <w:pPr>
              <w:rPr>
                <w:rFonts w:cs="Arial"/>
                <w:sz w:val="20"/>
                <w:szCs w:val="20"/>
              </w:rPr>
            </w:pPr>
            <w:r w:rsidRPr="00F32D92">
              <w:rPr>
                <w:rFonts w:cs="Arial"/>
                <w:sz w:val="20"/>
                <w:szCs w:val="20"/>
              </w:rPr>
              <w:t>Full-time</w:t>
            </w:r>
          </w:p>
        </w:tc>
        <w:tc>
          <w:tcPr>
            <w:tcW w:w="692" w:type="dxa"/>
            <w:tcBorders>
              <w:top w:val="single" w:sz="4" w:space="0" w:color="auto"/>
            </w:tcBorders>
            <w:shd w:val="clear" w:color="auto" w:fill="BFBFBF" w:themeFill="background1" w:themeFillShade="BF"/>
            <w:noWrap/>
            <w:hideMark/>
          </w:tcPr>
          <w:p w14:paraId="1B101488" w14:textId="77777777" w:rsidR="00AB6753" w:rsidRPr="00F32D92" w:rsidRDefault="00AB6753" w:rsidP="002D1EA4">
            <w:pPr>
              <w:rPr>
                <w:rFonts w:cs="Arial"/>
                <w:sz w:val="20"/>
                <w:szCs w:val="20"/>
              </w:rPr>
            </w:pPr>
            <w:r w:rsidRPr="00F32D92">
              <w:rPr>
                <w:rFonts w:cs="Arial"/>
                <w:sz w:val="20"/>
                <w:szCs w:val="20"/>
              </w:rPr>
              <w:t>Part-time</w:t>
            </w:r>
          </w:p>
        </w:tc>
        <w:tc>
          <w:tcPr>
            <w:tcW w:w="902" w:type="dxa"/>
            <w:tcBorders>
              <w:top w:val="single" w:sz="4" w:space="0" w:color="auto"/>
              <w:right w:val="single" w:sz="4" w:space="0" w:color="auto"/>
            </w:tcBorders>
            <w:shd w:val="clear" w:color="auto" w:fill="BFBFBF" w:themeFill="background1" w:themeFillShade="BF"/>
            <w:noWrap/>
            <w:hideMark/>
          </w:tcPr>
          <w:p w14:paraId="52F0762E" w14:textId="77777777" w:rsidR="00AB6753" w:rsidRPr="00F32D92" w:rsidRDefault="00AB6753" w:rsidP="002D1EA4">
            <w:pPr>
              <w:rPr>
                <w:rFonts w:cs="Arial"/>
                <w:sz w:val="20"/>
                <w:szCs w:val="20"/>
              </w:rPr>
            </w:pPr>
            <w:r w:rsidRPr="00F32D92">
              <w:rPr>
                <w:rFonts w:cs="Arial"/>
                <w:sz w:val="20"/>
                <w:szCs w:val="20"/>
              </w:rPr>
              <w:t>Total Male</w:t>
            </w:r>
          </w:p>
        </w:tc>
        <w:tc>
          <w:tcPr>
            <w:tcW w:w="896" w:type="dxa"/>
            <w:tcBorders>
              <w:top w:val="single" w:sz="4" w:space="0" w:color="auto"/>
              <w:left w:val="single" w:sz="4" w:space="0" w:color="auto"/>
            </w:tcBorders>
            <w:shd w:val="clear" w:color="auto" w:fill="BFBFBF" w:themeFill="background1" w:themeFillShade="BF"/>
            <w:noWrap/>
            <w:hideMark/>
          </w:tcPr>
          <w:p w14:paraId="6DF29534" w14:textId="77777777" w:rsidR="00AB6753" w:rsidRPr="00F32D92" w:rsidRDefault="00AB6753" w:rsidP="002D1EA4">
            <w:pPr>
              <w:rPr>
                <w:rFonts w:cs="Arial"/>
                <w:sz w:val="20"/>
                <w:szCs w:val="20"/>
              </w:rPr>
            </w:pPr>
            <w:r w:rsidRPr="00F32D92">
              <w:rPr>
                <w:rFonts w:cs="Arial"/>
                <w:sz w:val="20"/>
                <w:szCs w:val="20"/>
              </w:rPr>
              <w:t>Full-time</w:t>
            </w:r>
          </w:p>
        </w:tc>
        <w:tc>
          <w:tcPr>
            <w:tcW w:w="693" w:type="dxa"/>
            <w:tcBorders>
              <w:top w:val="single" w:sz="4" w:space="0" w:color="auto"/>
            </w:tcBorders>
            <w:shd w:val="clear" w:color="auto" w:fill="BFBFBF" w:themeFill="background1" w:themeFillShade="BF"/>
            <w:noWrap/>
            <w:hideMark/>
          </w:tcPr>
          <w:p w14:paraId="0E52EB92" w14:textId="77777777" w:rsidR="00AB6753" w:rsidRPr="00F32D92" w:rsidRDefault="00AB6753" w:rsidP="002D1EA4">
            <w:pPr>
              <w:rPr>
                <w:rFonts w:cs="Arial"/>
                <w:sz w:val="20"/>
                <w:szCs w:val="20"/>
              </w:rPr>
            </w:pPr>
            <w:r w:rsidRPr="00F32D92">
              <w:rPr>
                <w:rFonts w:cs="Arial"/>
                <w:sz w:val="20"/>
                <w:szCs w:val="20"/>
              </w:rPr>
              <w:t>Part-time</w:t>
            </w:r>
          </w:p>
        </w:tc>
        <w:tc>
          <w:tcPr>
            <w:tcW w:w="950" w:type="dxa"/>
            <w:tcBorders>
              <w:top w:val="single" w:sz="4" w:space="0" w:color="auto"/>
              <w:right w:val="single" w:sz="4" w:space="0" w:color="auto"/>
            </w:tcBorders>
            <w:shd w:val="clear" w:color="auto" w:fill="BFBFBF" w:themeFill="background1" w:themeFillShade="BF"/>
            <w:noWrap/>
            <w:hideMark/>
          </w:tcPr>
          <w:p w14:paraId="1E24074C" w14:textId="77777777" w:rsidR="00AB6753" w:rsidRPr="00F32D92" w:rsidRDefault="00AB6753" w:rsidP="002D1EA4">
            <w:pPr>
              <w:rPr>
                <w:rFonts w:cs="Arial"/>
                <w:sz w:val="20"/>
                <w:szCs w:val="20"/>
              </w:rPr>
            </w:pPr>
            <w:r w:rsidRPr="00F32D92">
              <w:rPr>
                <w:rFonts w:cs="Arial"/>
                <w:sz w:val="20"/>
                <w:szCs w:val="20"/>
              </w:rPr>
              <w:t>Total Female</w:t>
            </w:r>
          </w:p>
        </w:tc>
        <w:tc>
          <w:tcPr>
            <w:tcW w:w="992" w:type="dxa"/>
            <w:tcBorders>
              <w:top w:val="single" w:sz="4" w:space="0" w:color="auto"/>
              <w:left w:val="single" w:sz="4" w:space="0" w:color="auto"/>
            </w:tcBorders>
            <w:shd w:val="clear" w:color="auto" w:fill="BFBFBF" w:themeFill="background1" w:themeFillShade="BF"/>
            <w:noWrap/>
            <w:hideMark/>
          </w:tcPr>
          <w:p w14:paraId="6738BE7B" w14:textId="77777777" w:rsidR="00AB6753" w:rsidRPr="00F32D92" w:rsidRDefault="00AB6753" w:rsidP="002D1EA4">
            <w:pPr>
              <w:rPr>
                <w:rFonts w:cs="Arial"/>
                <w:sz w:val="20"/>
                <w:szCs w:val="20"/>
              </w:rPr>
            </w:pPr>
            <w:r w:rsidRPr="00F32D92">
              <w:rPr>
                <w:rFonts w:cs="Arial"/>
                <w:sz w:val="20"/>
                <w:szCs w:val="20"/>
              </w:rPr>
              <w:t>Full-time</w:t>
            </w:r>
          </w:p>
        </w:tc>
        <w:tc>
          <w:tcPr>
            <w:tcW w:w="751" w:type="dxa"/>
            <w:tcBorders>
              <w:top w:val="single" w:sz="4" w:space="0" w:color="auto"/>
            </w:tcBorders>
            <w:shd w:val="clear" w:color="auto" w:fill="BFBFBF" w:themeFill="background1" w:themeFillShade="BF"/>
            <w:noWrap/>
            <w:hideMark/>
          </w:tcPr>
          <w:p w14:paraId="06F066A7" w14:textId="77777777" w:rsidR="00AB6753" w:rsidRPr="00F32D92" w:rsidRDefault="00AB6753" w:rsidP="002D1EA4">
            <w:pPr>
              <w:rPr>
                <w:rFonts w:cs="Arial"/>
                <w:sz w:val="20"/>
                <w:szCs w:val="20"/>
              </w:rPr>
            </w:pPr>
            <w:r w:rsidRPr="00F32D92">
              <w:rPr>
                <w:rFonts w:cs="Arial"/>
                <w:sz w:val="20"/>
                <w:szCs w:val="20"/>
              </w:rPr>
              <w:t>Part-time</w:t>
            </w:r>
          </w:p>
        </w:tc>
        <w:tc>
          <w:tcPr>
            <w:tcW w:w="1561" w:type="dxa"/>
            <w:tcBorders>
              <w:top w:val="single" w:sz="4" w:space="0" w:color="auto"/>
              <w:right w:val="single" w:sz="4" w:space="0" w:color="auto"/>
            </w:tcBorders>
            <w:shd w:val="clear" w:color="auto" w:fill="BFBFBF" w:themeFill="background1" w:themeFillShade="BF"/>
            <w:hideMark/>
          </w:tcPr>
          <w:p w14:paraId="4F9ED2B5" w14:textId="77777777" w:rsidR="00AB6753" w:rsidRPr="00F32D92" w:rsidRDefault="00AB6753" w:rsidP="002D1EA4">
            <w:pPr>
              <w:rPr>
                <w:rFonts w:cs="Arial"/>
                <w:sz w:val="20"/>
                <w:szCs w:val="20"/>
              </w:rPr>
            </w:pPr>
            <w:r w:rsidRPr="00F32D92">
              <w:rPr>
                <w:rFonts w:cs="Arial"/>
                <w:sz w:val="20"/>
                <w:szCs w:val="20"/>
              </w:rPr>
              <w:t>Total Indeterminate</w:t>
            </w:r>
          </w:p>
        </w:tc>
        <w:tc>
          <w:tcPr>
            <w:tcW w:w="706" w:type="dxa"/>
            <w:tcBorders>
              <w:top w:val="single" w:sz="4" w:space="0" w:color="auto"/>
              <w:left w:val="single" w:sz="4" w:space="0" w:color="auto"/>
              <w:right w:val="single" w:sz="4" w:space="0" w:color="666666" w:themeColor="text1" w:themeTint="99"/>
            </w:tcBorders>
            <w:shd w:val="clear" w:color="auto" w:fill="BFBFBF" w:themeFill="background1" w:themeFillShade="BF"/>
          </w:tcPr>
          <w:p w14:paraId="1B0652E2" w14:textId="77777777" w:rsidR="00AB6753" w:rsidRPr="00F32D92" w:rsidRDefault="00AB6753" w:rsidP="002D1EA4">
            <w:pPr>
              <w:rPr>
                <w:rFonts w:cs="Arial"/>
                <w:sz w:val="20"/>
                <w:szCs w:val="20"/>
              </w:rPr>
            </w:pPr>
          </w:p>
        </w:tc>
      </w:tr>
      <w:tr w:rsidR="00AB6753" w:rsidRPr="00F32D92" w14:paraId="0ED479F4" w14:textId="77777777" w:rsidTr="002D1EA4">
        <w:trPr>
          <w:trHeight w:val="315"/>
          <w:jc w:val="center"/>
        </w:trPr>
        <w:tc>
          <w:tcPr>
            <w:tcW w:w="1157" w:type="dxa"/>
            <w:tcBorders>
              <w:left w:val="single" w:sz="4" w:space="0" w:color="666666" w:themeColor="text1" w:themeTint="99"/>
              <w:right w:val="single" w:sz="4" w:space="0" w:color="auto"/>
            </w:tcBorders>
            <w:hideMark/>
          </w:tcPr>
          <w:p w14:paraId="742B38E9" w14:textId="77777777" w:rsidR="00AB6753" w:rsidRPr="00F32D92" w:rsidRDefault="00AB6753" w:rsidP="002D1EA4">
            <w:pPr>
              <w:rPr>
                <w:rFonts w:cs="Arial"/>
                <w:sz w:val="20"/>
                <w:szCs w:val="20"/>
              </w:rPr>
            </w:pPr>
            <w:r w:rsidRPr="00F32D92">
              <w:rPr>
                <w:rFonts w:cs="Arial"/>
                <w:sz w:val="20"/>
                <w:szCs w:val="20"/>
              </w:rPr>
              <w:t>NSW</w:t>
            </w:r>
          </w:p>
        </w:tc>
        <w:tc>
          <w:tcPr>
            <w:tcW w:w="895" w:type="dxa"/>
            <w:tcBorders>
              <w:left w:val="single" w:sz="4" w:space="0" w:color="auto"/>
            </w:tcBorders>
            <w:noWrap/>
          </w:tcPr>
          <w:p w14:paraId="393336EF" w14:textId="77777777" w:rsidR="00AB6753" w:rsidRPr="00F32D92" w:rsidRDefault="00AB6753" w:rsidP="002D1EA4">
            <w:pPr>
              <w:rPr>
                <w:rFonts w:cs="Arial"/>
                <w:sz w:val="20"/>
                <w:szCs w:val="20"/>
              </w:rPr>
            </w:pPr>
            <w:r w:rsidRPr="00F32D92">
              <w:rPr>
                <w:rFonts w:cs="Arial"/>
                <w:sz w:val="20"/>
                <w:szCs w:val="20"/>
              </w:rPr>
              <w:t>0</w:t>
            </w:r>
          </w:p>
        </w:tc>
        <w:tc>
          <w:tcPr>
            <w:tcW w:w="692" w:type="dxa"/>
            <w:noWrap/>
            <w:hideMark/>
          </w:tcPr>
          <w:p w14:paraId="7CCF4510" w14:textId="77777777" w:rsidR="00AB6753" w:rsidRPr="00F32D92" w:rsidRDefault="00AB6753" w:rsidP="002D1EA4">
            <w:pPr>
              <w:rPr>
                <w:rFonts w:cs="Arial"/>
                <w:sz w:val="20"/>
                <w:szCs w:val="20"/>
              </w:rPr>
            </w:pPr>
            <w:r w:rsidRPr="00F32D92">
              <w:rPr>
                <w:rFonts w:cs="Arial"/>
                <w:sz w:val="20"/>
                <w:szCs w:val="20"/>
              </w:rPr>
              <w:t>0</w:t>
            </w:r>
          </w:p>
        </w:tc>
        <w:tc>
          <w:tcPr>
            <w:tcW w:w="902" w:type="dxa"/>
            <w:tcBorders>
              <w:right w:val="single" w:sz="4" w:space="0" w:color="auto"/>
            </w:tcBorders>
            <w:noWrap/>
            <w:hideMark/>
          </w:tcPr>
          <w:p w14:paraId="369979A3"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bottom"/>
            <w:hideMark/>
          </w:tcPr>
          <w:p w14:paraId="38DC41C0" w14:textId="77777777" w:rsidR="00AB6753" w:rsidRPr="00F32D92" w:rsidRDefault="00AB6753" w:rsidP="002D1EA4">
            <w:pPr>
              <w:rPr>
                <w:rFonts w:cs="Arial"/>
                <w:sz w:val="20"/>
                <w:szCs w:val="20"/>
              </w:rPr>
            </w:pPr>
            <w:r w:rsidRPr="00F32D92">
              <w:rPr>
                <w:rFonts w:cs="Arial"/>
                <w:color w:val="000000"/>
                <w:sz w:val="20"/>
                <w:szCs w:val="20"/>
              </w:rPr>
              <w:t>1</w:t>
            </w:r>
          </w:p>
        </w:tc>
        <w:tc>
          <w:tcPr>
            <w:tcW w:w="693" w:type="dxa"/>
            <w:noWrap/>
            <w:vAlign w:val="bottom"/>
            <w:hideMark/>
          </w:tcPr>
          <w:p w14:paraId="74D32CED" w14:textId="77777777" w:rsidR="00AB6753" w:rsidRPr="00F32D92" w:rsidRDefault="00AB6753" w:rsidP="002D1EA4">
            <w:pPr>
              <w:rPr>
                <w:rFonts w:cs="Arial"/>
                <w:sz w:val="20"/>
                <w:szCs w:val="20"/>
              </w:rPr>
            </w:pPr>
            <w:r w:rsidRPr="00F32D92">
              <w:rPr>
                <w:rFonts w:cs="Arial"/>
                <w:sz w:val="20"/>
                <w:szCs w:val="20"/>
              </w:rPr>
              <w:t>0</w:t>
            </w:r>
          </w:p>
        </w:tc>
        <w:tc>
          <w:tcPr>
            <w:tcW w:w="950" w:type="dxa"/>
            <w:tcBorders>
              <w:right w:val="single" w:sz="4" w:space="0" w:color="auto"/>
            </w:tcBorders>
            <w:noWrap/>
            <w:vAlign w:val="bottom"/>
            <w:hideMark/>
          </w:tcPr>
          <w:p w14:paraId="646F798E" w14:textId="77777777" w:rsidR="00AB6753" w:rsidRPr="00F32D92" w:rsidRDefault="00AB6753" w:rsidP="002D1EA4">
            <w:pPr>
              <w:rPr>
                <w:rFonts w:cs="Arial"/>
                <w:sz w:val="20"/>
                <w:szCs w:val="20"/>
              </w:rPr>
            </w:pPr>
            <w:r w:rsidRPr="00F32D92">
              <w:rPr>
                <w:rFonts w:cs="Arial"/>
                <w:color w:val="000000"/>
                <w:sz w:val="20"/>
                <w:szCs w:val="20"/>
              </w:rPr>
              <w:t>1</w:t>
            </w:r>
          </w:p>
        </w:tc>
        <w:tc>
          <w:tcPr>
            <w:tcW w:w="992" w:type="dxa"/>
            <w:tcBorders>
              <w:left w:val="single" w:sz="4" w:space="0" w:color="auto"/>
            </w:tcBorders>
            <w:noWrap/>
            <w:hideMark/>
          </w:tcPr>
          <w:p w14:paraId="2397275C" w14:textId="77777777" w:rsidR="00AB6753" w:rsidRPr="00F32D92" w:rsidRDefault="00AB6753" w:rsidP="002D1EA4">
            <w:pPr>
              <w:rPr>
                <w:rFonts w:cs="Arial"/>
                <w:sz w:val="20"/>
                <w:szCs w:val="20"/>
              </w:rPr>
            </w:pPr>
            <w:r w:rsidRPr="00F32D92">
              <w:rPr>
                <w:rFonts w:cs="Arial"/>
                <w:sz w:val="20"/>
                <w:szCs w:val="20"/>
              </w:rPr>
              <w:t>-</w:t>
            </w:r>
          </w:p>
        </w:tc>
        <w:tc>
          <w:tcPr>
            <w:tcW w:w="751" w:type="dxa"/>
            <w:noWrap/>
            <w:hideMark/>
          </w:tcPr>
          <w:p w14:paraId="78CDC80A" w14:textId="77777777" w:rsidR="00AB6753" w:rsidRPr="00F32D92" w:rsidRDefault="00AB6753" w:rsidP="002D1EA4">
            <w:pPr>
              <w:rPr>
                <w:rFonts w:cs="Arial"/>
                <w:sz w:val="20"/>
                <w:szCs w:val="20"/>
              </w:rPr>
            </w:pPr>
            <w:r w:rsidRPr="00F32D92">
              <w:rPr>
                <w:rFonts w:cs="Arial"/>
                <w:sz w:val="20"/>
                <w:szCs w:val="20"/>
              </w:rPr>
              <w:t>-</w:t>
            </w:r>
          </w:p>
        </w:tc>
        <w:tc>
          <w:tcPr>
            <w:tcW w:w="1561" w:type="dxa"/>
            <w:tcBorders>
              <w:right w:val="single" w:sz="4" w:space="0" w:color="auto"/>
            </w:tcBorders>
            <w:noWrap/>
            <w:hideMark/>
          </w:tcPr>
          <w:p w14:paraId="09801CC0"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666666" w:themeColor="text1" w:themeTint="99"/>
            </w:tcBorders>
            <w:vAlign w:val="bottom"/>
          </w:tcPr>
          <w:p w14:paraId="12DBA1A2" w14:textId="77777777" w:rsidR="00AB6753" w:rsidRPr="00F32D92" w:rsidRDefault="00AB6753" w:rsidP="002D1EA4">
            <w:pPr>
              <w:rPr>
                <w:rFonts w:cs="Arial"/>
                <w:sz w:val="20"/>
                <w:szCs w:val="20"/>
              </w:rPr>
            </w:pPr>
            <w:r w:rsidRPr="00F32D92">
              <w:rPr>
                <w:rFonts w:cs="Arial"/>
                <w:color w:val="000000"/>
                <w:sz w:val="20"/>
                <w:szCs w:val="20"/>
              </w:rPr>
              <w:t>1</w:t>
            </w:r>
          </w:p>
        </w:tc>
      </w:tr>
      <w:tr w:rsidR="00AB6753" w:rsidRPr="00F32D92" w14:paraId="4C6A0FC1" w14:textId="77777777" w:rsidTr="002D1EA4">
        <w:trPr>
          <w:trHeight w:val="315"/>
          <w:jc w:val="center"/>
        </w:trPr>
        <w:tc>
          <w:tcPr>
            <w:tcW w:w="1157" w:type="dxa"/>
            <w:tcBorders>
              <w:left w:val="single" w:sz="4" w:space="0" w:color="666666" w:themeColor="text1" w:themeTint="99"/>
              <w:right w:val="single" w:sz="4" w:space="0" w:color="auto"/>
            </w:tcBorders>
            <w:hideMark/>
          </w:tcPr>
          <w:p w14:paraId="08573EAA" w14:textId="77777777" w:rsidR="00AB6753" w:rsidRPr="00F32D92" w:rsidRDefault="00AB6753" w:rsidP="002D1EA4">
            <w:pPr>
              <w:rPr>
                <w:rFonts w:cs="Arial"/>
                <w:sz w:val="20"/>
                <w:szCs w:val="20"/>
              </w:rPr>
            </w:pPr>
            <w:r w:rsidRPr="00F32D92">
              <w:rPr>
                <w:rFonts w:cs="Arial"/>
                <w:sz w:val="20"/>
                <w:szCs w:val="20"/>
              </w:rPr>
              <w:t>Qld</w:t>
            </w:r>
          </w:p>
        </w:tc>
        <w:tc>
          <w:tcPr>
            <w:tcW w:w="895" w:type="dxa"/>
            <w:tcBorders>
              <w:left w:val="single" w:sz="4" w:space="0" w:color="auto"/>
            </w:tcBorders>
            <w:noWrap/>
          </w:tcPr>
          <w:p w14:paraId="160BBC01" w14:textId="77777777" w:rsidR="00AB6753" w:rsidRPr="00F32D92" w:rsidRDefault="00AB6753" w:rsidP="002D1EA4">
            <w:pPr>
              <w:rPr>
                <w:rFonts w:cs="Arial"/>
                <w:sz w:val="20"/>
                <w:szCs w:val="20"/>
              </w:rPr>
            </w:pPr>
            <w:r w:rsidRPr="00F32D92">
              <w:rPr>
                <w:rFonts w:cs="Arial"/>
                <w:sz w:val="20"/>
                <w:szCs w:val="20"/>
              </w:rPr>
              <w:t>0</w:t>
            </w:r>
          </w:p>
        </w:tc>
        <w:tc>
          <w:tcPr>
            <w:tcW w:w="692" w:type="dxa"/>
            <w:noWrap/>
            <w:hideMark/>
          </w:tcPr>
          <w:p w14:paraId="5B382756" w14:textId="77777777" w:rsidR="00AB6753" w:rsidRPr="00F32D92" w:rsidRDefault="00AB6753" w:rsidP="002D1EA4">
            <w:pPr>
              <w:rPr>
                <w:rFonts w:cs="Arial"/>
                <w:sz w:val="20"/>
                <w:szCs w:val="20"/>
              </w:rPr>
            </w:pPr>
            <w:r w:rsidRPr="00F32D92">
              <w:rPr>
                <w:rFonts w:cs="Arial"/>
                <w:sz w:val="20"/>
                <w:szCs w:val="20"/>
              </w:rPr>
              <w:t>0</w:t>
            </w:r>
          </w:p>
        </w:tc>
        <w:tc>
          <w:tcPr>
            <w:tcW w:w="902" w:type="dxa"/>
            <w:tcBorders>
              <w:right w:val="single" w:sz="4" w:space="0" w:color="auto"/>
            </w:tcBorders>
            <w:noWrap/>
            <w:hideMark/>
          </w:tcPr>
          <w:p w14:paraId="1449F832"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bottom"/>
            <w:hideMark/>
          </w:tcPr>
          <w:p w14:paraId="74C3437E" w14:textId="77777777" w:rsidR="00AB6753" w:rsidRPr="00F32D92" w:rsidRDefault="00AB6753" w:rsidP="002D1EA4">
            <w:pPr>
              <w:rPr>
                <w:rFonts w:cs="Arial"/>
                <w:sz w:val="20"/>
                <w:szCs w:val="20"/>
              </w:rPr>
            </w:pPr>
            <w:r w:rsidRPr="00F32D92">
              <w:rPr>
                <w:rFonts w:cs="Arial"/>
                <w:color w:val="000000"/>
                <w:sz w:val="20"/>
                <w:szCs w:val="20"/>
              </w:rPr>
              <w:t>2</w:t>
            </w:r>
          </w:p>
        </w:tc>
        <w:tc>
          <w:tcPr>
            <w:tcW w:w="693" w:type="dxa"/>
            <w:noWrap/>
            <w:vAlign w:val="bottom"/>
            <w:hideMark/>
          </w:tcPr>
          <w:p w14:paraId="020134DC" w14:textId="77777777" w:rsidR="00AB6753" w:rsidRPr="00F32D92" w:rsidRDefault="00AB6753" w:rsidP="002D1EA4">
            <w:pPr>
              <w:rPr>
                <w:rFonts w:cs="Arial"/>
                <w:sz w:val="20"/>
                <w:szCs w:val="20"/>
              </w:rPr>
            </w:pPr>
            <w:r w:rsidRPr="00F32D92">
              <w:rPr>
                <w:rFonts w:cs="Arial"/>
                <w:color w:val="000000"/>
                <w:sz w:val="20"/>
                <w:szCs w:val="20"/>
              </w:rPr>
              <w:t>1</w:t>
            </w:r>
          </w:p>
        </w:tc>
        <w:tc>
          <w:tcPr>
            <w:tcW w:w="950" w:type="dxa"/>
            <w:tcBorders>
              <w:right w:val="single" w:sz="4" w:space="0" w:color="auto"/>
            </w:tcBorders>
            <w:noWrap/>
            <w:vAlign w:val="bottom"/>
            <w:hideMark/>
          </w:tcPr>
          <w:p w14:paraId="0355879C" w14:textId="77777777" w:rsidR="00AB6753" w:rsidRPr="00F32D92" w:rsidRDefault="00AB6753" w:rsidP="002D1EA4">
            <w:pPr>
              <w:rPr>
                <w:rFonts w:cs="Arial"/>
                <w:sz w:val="20"/>
                <w:szCs w:val="20"/>
              </w:rPr>
            </w:pPr>
            <w:r w:rsidRPr="00F32D92">
              <w:rPr>
                <w:rFonts w:cs="Arial"/>
                <w:color w:val="000000"/>
                <w:sz w:val="20"/>
                <w:szCs w:val="20"/>
              </w:rPr>
              <w:t>3</w:t>
            </w:r>
          </w:p>
        </w:tc>
        <w:tc>
          <w:tcPr>
            <w:tcW w:w="992" w:type="dxa"/>
            <w:tcBorders>
              <w:left w:val="single" w:sz="4" w:space="0" w:color="auto"/>
            </w:tcBorders>
            <w:noWrap/>
            <w:hideMark/>
          </w:tcPr>
          <w:p w14:paraId="03401B2F" w14:textId="77777777" w:rsidR="00AB6753" w:rsidRPr="00F32D92" w:rsidRDefault="00AB6753" w:rsidP="002D1EA4">
            <w:pPr>
              <w:rPr>
                <w:rFonts w:cs="Arial"/>
                <w:sz w:val="20"/>
                <w:szCs w:val="20"/>
              </w:rPr>
            </w:pPr>
            <w:r w:rsidRPr="00F32D92">
              <w:rPr>
                <w:rFonts w:cs="Arial"/>
                <w:sz w:val="20"/>
                <w:szCs w:val="20"/>
              </w:rPr>
              <w:t>-</w:t>
            </w:r>
          </w:p>
        </w:tc>
        <w:tc>
          <w:tcPr>
            <w:tcW w:w="751" w:type="dxa"/>
            <w:noWrap/>
            <w:hideMark/>
          </w:tcPr>
          <w:p w14:paraId="4D5F8454" w14:textId="77777777" w:rsidR="00AB6753" w:rsidRPr="00F32D92" w:rsidRDefault="00AB6753" w:rsidP="002D1EA4">
            <w:pPr>
              <w:rPr>
                <w:rFonts w:cs="Arial"/>
                <w:sz w:val="20"/>
                <w:szCs w:val="20"/>
              </w:rPr>
            </w:pPr>
            <w:r w:rsidRPr="00F32D92">
              <w:rPr>
                <w:rFonts w:cs="Arial"/>
                <w:sz w:val="20"/>
                <w:szCs w:val="20"/>
              </w:rPr>
              <w:t>-</w:t>
            </w:r>
          </w:p>
        </w:tc>
        <w:tc>
          <w:tcPr>
            <w:tcW w:w="1561" w:type="dxa"/>
            <w:tcBorders>
              <w:right w:val="single" w:sz="4" w:space="0" w:color="auto"/>
            </w:tcBorders>
            <w:noWrap/>
            <w:hideMark/>
          </w:tcPr>
          <w:p w14:paraId="64646DCF"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666666" w:themeColor="text1" w:themeTint="99"/>
            </w:tcBorders>
            <w:vAlign w:val="bottom"/>
          </w:tcPr>
          <w:p w14:paraId="7BD59961" w14:textId="77777777" w:rsidR="00AB6753" w:rsidRPr="00F32D92" w:rsidRDefault="00AB6753" w:rsidP="002D1EA4">
            <w:pPr>
              <w:rPr>
                <w:rFonts w:cs="Arial"/>
                <w:sz w:val="20"/>
                <w:szCs w:val="20"/>
              </w:rPr>
            </w:pPr>
            <w:r w:rsidRPr="00F32D92">
              <w:rPr>
                <w:rFonts w:cs="Arial"/>
                <w:color w:val="000000"/>
                <w:sz w:val="20"/>
                <w:szCs w:val="20"/>
              </w:rPr>
              <w:t>3</w:t>
            </w:r>
          </w:p>
        </w:tc>
      </w:tr>
      <w:tr w:rsidR="00AB6753" w:rsidRPr="00F32D92" w14:paraId="5D2CB2D5" w14:textId="77777777" w:rsidTr="002D1EA4">
        <w:trPr>
          <w:trHeight w:val="315"/>
          <w:jc w:val="center"/>
        </w:trPr>
        <w:tc>
          <w:tcPr>
            <w:tcW w:w="1157" w:type="dxa"/>
            <w:tcBorders>
              <w:left w:val="single" w:sz="4" w:space="0" w:color="666666" w:themeColor="text1" w:themeTint="99"/>
              <w:right w:val="single" w:sz="4" w:space="0" w:color="auto"/>
            </w:tcBorders>
            <w:hideMark/>
          </w:tcPr>
          <w:p w14:paraId="1BEB4026" w14:textId="77777777" w:rsidR="00AB6753" w:rsidRPr="00F32D92" w:rsidRDefault="00AB6753" w:rsidP="002D1EA4">
            <w:pPr>
              <w:rPr>
                <w:rFonts w:cs="Arial"/>
                <w:sz w:val="20"/>
                <w:szCs w:val="20"/>
              </w:rPr>
            </w:pPr>
            <w:r w:rsidRPr="00F32D92">
              <w:rPr>
                <w:rFonts w:cs="Arial"/>
                <w:sz w:val="20"/>
                <w:szCs w:val="20"/>
              </w:rPr>
              <w:t>SA</w:t>
            </w:r>
          </w:p>
        </w:tc>
        <w:tc>
          <w:tcPr>
            <w:tcW w:w="895" w:type="dxa"/>
            <w:tcBorders>
              <w:left w:val="single" w:sz="4" w:space="0" w:color="auto"/>
            </w:tcBorders>
            <w:noWrap/>
            <w:vAlign w:val="bottom"/>
            <w:hideMark/>
          </w:tcPr>
          <w:p w14:paraId="2B08ADE6" w14:textId="77777777" w:rsidR="00AB6753" w:rsidRPr="00F32D92" w:rsidRDefault="00AB6753" w:rsidP="002D1EA4">
            <w:pPr>
              <w:rPr>
                <w:rFonts w:cs="Arial"/>
                <w:sz w:val="20"/>
                <w:szCs w:val="20"/>
              </w:rPr>
            </w:pPr>
            <w:r w:rsidRPr="00F32D92">
              <w:rPr>
                <w:rFonts w:cs="Arial"/>
                <w:color w:val="000000"/>
                <w:sz w:val="20"/>
                <w:szCs w:val="20"/>
              </w:rPr>
              <w:t>4</w:t>
            </w:r>
          </w:p>
        </w:tc>
        <w:tc>
          <w:tcPr>
            <w:tcW w:w="692" w:type="dxa"/>
            <w:noWrap/>
            <w:vAlign w:val="bottom"/>
            <w:hideMark/>
          </w:tcPr>
          <w:p w14:paraId="07041DF6" w14:textId="77777777" w:rsidR="00AB6753" w:rsidRPr="00F32D92" w:rsidRDefault="00AB6753" w:rsidP="002D1EA4">
            <w:pPr>
              <w:rPr>
                <w:rFonts w:cs="Arial"/>
                <w:sz w:val="20"/>
                <w:szCs w:val="20"/>
              </w:rPr>
            </w:pPr>
            <w:r w:rsidRPr="00F32D92">
              <w:rPr>
                <w:rFonts w:cs="Arial"/>
                <w:sz w:val="20"/>
                <w:szCs w:val="20"/>
              </w:rPr>
              <w:t>0</w:t>
            </w:r>
          </w:p>
        </w:tc>
        <w:tc>
          <w:tcPr>
            <w:tcW w:w="902" w:type="dxa"/>
            <w:tcBorders>
              <w:right w:val="single" w:sz="4" w:space="0" w:color="auto"/>
            </w:tcBorders>
            <w:noWrap/>
            <w:vAlign w:val="bottom"/>
            <w:hideMark/>
          </w:tcPr>
          <w:p w14:paraId="43FE0BD5" w14:textId="77777777" w:rsidR="00AB6753" w:rsidRPr="00F32D92" w:rsidRDefault="00AB6753" w:rsidP="002D1EA4">
            <w:pPr>
              <w:rPr>
                <w:rFonts w:cs="Arial"/>
                <w:sz w:val="20"/>
                <w:szCs w:val="20"/>
              </w:rPr>
            </w:pPr>
            <w:r w:rsidRPr="00F32D92">
              <w:rPr>
                <w:rFonts w:cs="Arial"/>
                <w:color w:val="000000"/>
                <w:sz w:val="20"/>
                <w:szCs w:val="20"/>
              </w:rPr>
              <w:t>4</w:t>
            </w:r>
          </w:p>
        </w:tc>
        <w:tc>
          <w:tcPr>
            <w:tcW w:w="896" w:type="dxa"/>
            <w:tcBorders>
              <w:left w:val="single" w:sz="4" w:space="0" w:color="auto"/>
            </w:tcBorders>
            <w:noWrap/>
            <w:vAlign w:val="bottom"/>
            <w:hideMark/>
          </w:tcPr>
          <w:p w14:paraId="0418BD54" w14:textId="77777777" w:rsidR="00AB6753" w:rsidRPr="00F32D92" w:rsidRDefault="00AB6753" w:rsidP="002D1EA4">
            <w:pPr>
              <w:rPr>
                <w:rFonts w:cs="Arial"/>
                <w:sz w:val="20"/>
                <w:szCs w:val="20"/>
              </w:rPr>
            </w:pPr>
            <w:r w:rsidRPr="00F32D92">
              <w:rPr>
                <w:rFonts w:cs="Arial"/>
                <w:color w:val="000000"/>
                <w:sz w:val="20"/>
                <w:szCs w:val="20"/>
              </w:rPr>
              <w:t>4</w:t>
            </w:r>
          </w:p>
        </w:tc>
        <w:tc>
          <w:tcPr>
            <w:tcW w:w="693" w:type="dxa"/>
            <w:noWrap/>
            <w:vAlign w:val="bottom"/>
            <w:hideMark/>
          </w:tcPr>
          <w:p w14:paraId="4423F5EA" w14:textId="77777777" w:rsidR="00AB6753" w:rsidRPr="00F32D92" w:rsidRDefault="00AB6753" w:rsidP="002D1EA4">
            <w:pPr>
              <w:rPr>
                <w:rFonts w:cs="Arial"/>
                <w:sz w:val="20"/>
                <w:szCs w:val="20"/>
              </w:rPr>
            </w:pPr>
            <w:r w:rsidRPr="00F32D92">
              <w:rPr>
                <w:rFonts w:cs="Arial"/>
                <w:sz w:val="20"/>
                <w:szCs w:val="20"/>
              </w:rPr>
              <w:t>0</w:t>
            </w:r>
          </w:p>
        </w:tc>
        <w:tc>
          <w:tcPr>
            <w:tcW w:w="950" w:type="dxa"/>
            <w:tcBorders>
              <w:right w:val="single" w:sz="4" w:space="0" w:color="auto"/>
            </w:tcBorders>
            <w:noWrap/>
            <w:vAlign w:val="bottom"/>
            <w:hideMark/>
          </w:tcPr>
          <w:p w14:paraId="329DE6E7" w14:textId="77777777" w:rsidR="00AB6753" w:rsidRPr="00F32D92" w:rsidRDefault="00AB6753" w:rsidP="002D1EA4">
            <w:pPr>
              <w:rPr>
                <w:rFonts w:cs="Arial"/>
                <w:sz w:val="20"/>
                <w:szCs w:val="20"/>
              </w:rPr>
            </w:pPr>
            <w:r w:rsidRPr="00F32D92">
              <w:rPr>
                <w:rFonts w:cs="Arial"/>
                <w:color w:val="000000"/>
                <w:sz w:val="20"/>
                <w:szCs w:val="20"/>
              </w:rPr>
              <w:t>4</w:t>
            </w:r>
          </w:p>
        </w:tc>
        <w:tc>
          <w:tcPr>
            <w:tcW w:w="992" w:type="dxa"/>
            <w:tcBorders>
              <w:left w:val="single" w:sz="4" w:space="0" w:color="auto"/>
            </w:tcBorders>
            <w:noWrap/>
            <w:hideMark/>
          </w:tcPr>
          <w:p w14:paraId="6EAFFE09" w14:textId="77777777" w:rsidR="00AB6753" w:rsidRPr="00F32D92" w:rsidRDefault="00AB6753" w:rsidP="002D1EA4">
            <w:pPr>
              <w:rPr>
                <w:rFonts w:cs="Arial"/>
                <w:sz w:val="20"/>
                <w:szCs w:val="20"/>
              </w:rPr>
            </w:pPr>
            <w:r w:rsidRPr="00F32D92">
              <w:rPr>
                <w:rFonts w:cs="Arial"/>
                <w:sz w:val="20"/>
                <w:szCs w:val="20"/>
              </w:rPr>
              <w:t>-</w:t>
            </w:r>
          </w:p>
        </w:tc>
        <w:tc>
          <w:tcPr>
            <w:tcW w:w="751" w:type="dxa"/>
            <w:noWrap/>
            <w:hideMark/>
          </w:tcPr>
          <w:p w14:paraId="70B1A277" w14:textId="77777777" w:rsidR="00AB6753" w:rsidRPr="00F32D92" w:rsidRDefault="00AB6753" w:rsidP="002D1EA4">
            <w:pPr>
              <w:rPr>
                <w:rFonts w:cs="Arial"/>
                <w:sz w:val="20"/>
                <w:szCs w:val="20"/>
              </w:rPr>
            </w:pPr>
            <w:r w:rsidRPr="00F32D92">
              <w:rPr>
                <w:rFonts w:cs="Arial"/>
                <w:sz w:val="20"/>
                <w:szCs w:val="20"/>
              </w:rPr>
              <w:t>-</w:t>
            </w:r>
          </w:p>
        </w:tc>
        <w:tc>
          <w:tcPr>
            <w:tcW w:w="1561" w:type="dxa"/>
            <w:tcBorders>
              <w:right w:val="single" w:sz="4" w:space="0" w:color="auto"/>
            </w:tcBorders>
            <w:noWrap/>
            <w:hideMark/>
          </w:tcPr>
          <w:p w14:paraId="69B2B187"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666666" w:themeColor="text1" w:themeTint="99"/>
            </w:tcBorders>
            <w:vAlign w:val="bottom"/>
          </w:tcPr>
          <w:p w14:paraId="07518374" w14:textId="77777777" w:rsidR="00AB6753" w:rsidRPr="00F32D92" w:rsidRDefault="00AB6753" w:rsidP="002D1EA4">
            <w:pPr>
              <w:rPr>
                <w:rFonts w:cs="Arial"/>
                <w:sz w:val="20"/>
                <w:szCs w:val="20"/>
              </w:rPr>
            </w:pPr>
            <w:r w:rsidRPr="00F32D92">
              <w:rPr>
                <w:rFonts w:cs="Arial"/>
                <w:color w:val="000000"/>
                <w:sz w:val="20"/>
                <w:szCs w:val="20"/>
              </w:rPr>
              <w:t>8</w:t>
            </w:r>
          </w:p>
        </w:tc>
      </w:tr>
      <w:tr w:rsidR="00AB6753" w:rsidRPr="00F32D92" w14:paraId="481E74AD" w14:textId="77777777" w:rsidTr="002D1EA4">
        <w:trPr>
          <w:trHeight w:val="315"/>
          <w:jc w:val="center"/>
        </w:trPr>
        <w:tc>
          <w:tcPr>
            <w:tcW w:w="1157" w:type="dxa"/>
            <w:tcBorders>
              <w:left w:val="single" w:sz="4" w:space="0" w:color="666666" w:themeColor="text1" w:themeTint="99"/>
              <w:right w:val="single" w:sz="4" w:space="0" w:color="auto"/>
            </w:tcBorders>
            <w:hideMark/>
          </w:tcPr>
          <w:p w14:paraId="16D59057" w14:textId="77777777" w:rsidR="00AB6753" w:rsidRPr="00F32D92" w:rsidRDefault="00AB6753" w:rsidP="002D1EA4">
            <w:pPr>
              <w:rPr>
                <w:rFonts w:cs="Arial"/>
                <w:sz w:val="20"/>
                <w:szCs w:val="20"/>
              </w:rPr>
            </w:pPr>
            <w:proofErr w:type="spellStart"/>
            <w:r w:rsidRPr="00F32D92">
              <w:rPr>
                <w:rFonts w:cs="Arial"/>
                <w:sz w:val="20"/>
                <w:szCs w:val="20"/>
              </w:rPr>
              <w:t>Tas</w:t>
            </w:r>
            <w:proofErr w:type="spellEnd"/>
          </w:p>
        </w:tc>
        <w:tc>
          <w:tcPr>
            <w:tcW w:w="895" w:type="dxa"/>
            <w:tcBorders>
              <w:left w:val="single" w:sz="4" w:space="0" w:color="auto"/>
            </w:tcBorders>
            <w:noWrap/>
            <w:hideMark/>
          </w:tcPr>
          <w:p w14:paraId="1A0F0FDB" w14:textId="77777777" w:rsidR="00AB6753" w:rsidRPr="00F32D92" w:rsidRDefault="00AB6753" w:rsidP="002D1EA4">
            <w:pPr>
              <w:rPr>
                <w:rFonts w:cs="Arial"/>
                <w:sz w:val="20"/>
                <w:szCs w:val="20"/>
              </w:rPr>
            </w:pPr>
            <w:r w:rsidRPr="00F32D92">
              <w:rPr>
                <w:rFonts w:cs="Arial"/>
                <w:sz w:val="20"/>
                <w:szCs w:val="20"/>
              </w:rPr>
              <w:t>0</w:t>
            </w:r>
          </w:p>
        </w:tc>
        <w:tc>
          <w:tcPr>
            <w:tcW w:w="692" w:type="dxa"/>
            <w:noWrap/>
            <w:hideMark/>
          </w:tcPr>
          <w:p w14:paraId="4EE00B84" w14:textId="77777777" w:rsidR="00AB6753" w:rsidRPr="00F32D92" w:rsidRDefault="00AB6753" w:rsidP="002D1EA4">
            <w:pPr>
              <w:rPr>
                <w:rFonts w:cs="Arial"/>
                <w:sz w:val="20"/>
                <w:szCs w:val="20"/>
              </w:rPr>
            </w:pPr>
            <w:r w:rsidRPr="00F32D92">
              <w:rPr>
                <w:rFonts w:cs="Arial"/>
                <w:sz w:val="20"/>
                <w:szCs w:val="20"/>
              </w:rPr>
              <w:t>0</w:t>
            </w:r>
          </w:p>
        </w:tc>
        <w:tc>
          <w:tcPr>
            <w:tcW w:w="902" w:type="dxa"/>
            <w:tcBorders>
              <w:right w:val="single" w:sz="4" w:space="0" w:color="auto"/>
            </w:tcBorders>
            <w:noWrap/>
            <w:hideMark/>
          </w:tcPr>
          <w:p w14:paraId="0426A152"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bottom"/>
            <w:hideMark/>
          </w:tcPr>
          <w:p w14:paraId="59077C83" w14:textId="77777777" w:rsidR="00AB6753" w:rsidRPr="00F32D92" w:rsidRDefault="00AB6753" w:rsidP="002D1EA4">
            <w:pPr>
              <w:rPr>
                <w:rFonts w:cs="Arial"/>
                <w:sz w:val="20"/>
                <w:szCs w:val="20"/>
              </w:rPr>
            </w:pPr>
            <w:r w:rsidRPr="00F32D92">
              <w:rPr>
                <w:rFonts w:cs="Arial"/>
                <w:color w:val="000000"/>
                <w:sz w:val="20"/>
                <w:szCs w:val="20"/>
              </w:rPr>
              <w:t>2</w:t>
            </w:r>
          </w:p>
        </w:tc>
        <w:tc>
          <w:tcPr>
            <w:tcW w:w="693" w:type="dxa"/>
            <w:noWrap/>
            <w:vAlign w:val="bottom"/>
            <w:hideMark/>
          </w:tcPr>
          <w:p w14:paraId="0F409080" w14:textId="77777777" w:rsidR="00AB6753" w:rsidRPr="00F32D92" w:rsidRDefault="00AB6753" w:rsidP="002D1EA4">
            <w:pPr>
              <w:rPr>
                <w:rFonts w:cs="Arial"/>
                <w:sz w:val="20"/>
                <w:szCs w:val="20"/>
              </w:rPr>
            </w:pPr>
            <w:r w:rsidRPr="00F32D92">
              <w:rPr>
                <w:rFonts w:cs="Arial"/>
                <w:sz w:val="20"/>
                <w:szCs w:val="20"/>
              </w:rPr>
              <w:t>0</w:t>
            </w:r>
          </w:p>
        </w:tc>
        <w:tc>
          <w:tcPr>
            <w:tcW w:w="950" w:type="dxa"/>
            <w:tcBorders>
              <w:right w:val="single" w:sz="4" w:space="0" w:color="auto"/>
            </w:tcBorders>
            <w:noWrap/>
            <w:vAlign w:val="bottom"/>
            <w:hideMark/>
          </w:tcPr>
          <w:p w14:paraId="3AF428FC" w14:textId="77777777" w:rsidR="00AB6753" w:rsidRPr="00F32D92" w:rsidRDefault="00AB6753" w:rsidP="002D1EA4">
            <w:pPr>
              <w:rPr>
                <w:rFonts w:cs="Arial"/>
                <w:sz w:val="20"/>
                <w:szCs w:val="20"/>
              </w:rPr>
            </w:pPr>
            <w:r w:rsidRPr="00F32D92">
              <w:rPr>
                <w:rFonts w:cs="Arial"/>
                <w:color w:val="000000"/>
                <w:sz w:val="20"/>
                <w:szCs w:val="20"/>
              </w:rPr>
              <w:t>2</w:t>
            </w:r>
          </w:p>
        </w:tc>
        <w:tc>
          <w:tcPr>
            <w:tcW w:w="992" w:type="dxa"/>
            <w:tcBorders>
              <w:left w:val="single" w:sz="4" w:space="0" w:color="auto"/>
            </w:tcBorders>
            <w:noWrap/>
            <w:hideMark/>
          </w:tcPr>
          <w:p w14:paraId="43D52503" w14:textId="77777777" w:rsidR="00AB6753" w:rsidRPr="00F32D92" w:rsidRDefault="00AB6753" w:rsidP="002D1EA4">
            <w:pPr>
              <w:rPr>
                <w:rFonts w:cs="Arial"/>
                <w:sz w:val="20"/>
                <w:szCs w:val="20"/>
              </w:rPr>
            </w:pPr>
            <w:r w:rsidRPr="00F32D92">
              <w:rPr>
                <w:rFonts w:cs="Arial"/>
                <w:sz w:val="20"/>
                <w:szCs w:val="20"/>
              </w:rPr>
              <w:t>-</w:t>
            </w:r>
          </w:p>
        </w:tc>
        <w:tc>
          <w:tcPr>
            <w:tcW w:w="751" w:type="dxa"/>
            <w:noWrap/>
            <w:hideMark/>
          </w:tcPr>
          <w:p w14:paraId="62F9B948" w14:textId="77777777" w:rsidR="00AB6753" w:rsidRPr="00F32D92" w:rsidRDefault="00AB6753" w:rsidP="002D1EA4">
            <w:pPr>
              <w:rPr>
                <w:rFonts w:cs="Arial"/>
                <w:sz w:val="20"/>
                <w:szCs w:val="20"/>
              </w:rPr>
            </w:pPr>
            <w:r w:rsidRPr="00F32D92">
              <w:rPr>
                <w:rFonts w:cs="Arial"/>
                <w:sz w:val="20"/>
                <w:szCs w:val="20"/>
              </w:rPr>
              <w:t>-</w:t>
            </w:r>
          </w:p>
        </w:tc>
        <w:tc>
          <w:tcPr>
            <w:tcW w:w="1561" w:type="dxa"/>
            <w:tcBorders>
              <w:right w:val="single" w:sz="4" w:space="0" w:color="auto"/>
            </w:tcBorders>
            <w:noWrap/>
            <w:hideMark/>
          </w:tcPr>
          <w:p w14:paraId="2145ED27"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666666" w:themeColor="text1" w:themeTint="99"/>
            </w:tcBorders>
            <w:vAlign w:val="bottom"/>
          </w:tcPr>
          <w:p w14:paraId="12A7BD86" w14:textId="77777777" w:rsidR="00AB6753" w:rsidRPr="00F32D92" w:rsidRDefault="00AB6753" w:rsidP="002D1EA4">
            <w:pPr>
              <w:rPr>
                <w:rFonts w:cs="Arial"/>
                <w:sz w:val="20"/>
                <w:szCs w:val="20"/>
              </w:rPr>
            </w:pPr>
            <w:r w:rsidRPr="00F32D92">
              <w:rPr>
                <w:rFonts w:cs="Arial"/>
                <w:color w:val="000000"/>
                <w:sz w:val="20"/>
                <w:szCs w:val="20"/>
              </w:rPr>
              <w:t>2</w:t>
            </w:r>
          </w:p>
        </w:tc>
      </w:tr>
      <w:tr w:rsidR="00AB6753" w:rsidRPr="00F32D92" w14:paraId="5FB019CF" w14:textId="77777777" w:rsidTr="002D1EA4">
        <w:trPr>
          <w:trHeight w:val="315"/>
          <w:jc w:val="center"/>
        </w:trPr>
        <w:tc>
          <w:tcPr>
            <w:tcW w:w="1157" w:type="dxa"/>
            <w:tcBorders>
              <w:left w:val="single" w:sz="4" w:space="0" w:color="666666" w:themeColor="text1" w:themeTint="99"/>
              <w:right w:val="single" w:sz="4" w:space="0" w:color="auto"/>
            </w:tcBorders>
            <w:hideMark/>
          </w:tcPr>
          <w:p w14:paraId="536EF720" w14:textId="77777777" w:rsidR="00AB6753" w:rsidRPr="00F32D92" w:rsidRDefault="00AB6753" w:rsidP="002D1EA4">
            <w:pPr>
              <w:rPr>
                <w:rFonts w:cs="Arial"/>
                <w:sz w:val="20"/>
                <w:szCs w:val="20"/>
              </w:rPr>
            </w:pPr>
            <w:r w:rsidRPr="00F32D92">
              <w:rPr>
                <w:rFonts w:cs="Arial"/>
                <w:sz w:val="20"/>
                <w:szCs w:val="20"/>
              </w:rPr>
              <w:t>Vic</w:t>
            </w:r>
          </w:p>
        </w:tc>
        <w:tc>
          <w:tcPr>
            <w:tcW w:w="895" w:type="dxa"/>
            <w:tcBorders>
              <w:left w:val="single" w:sz="4" w:space="0" w:color="auto"/>
            </w:tcBorders>
            <w:noWrap/>
            <w:hideMark/>
          </w:tcPr>
          <w:p w14:paraId="630B5E24" w14:textId="77777777" w:rsidR="00AB6753" w:rsidRPr="00F32D92" w:rsidRDefault="00AB6753" w:rsidP="002D1EA4">
            <w:pPr>
              <w:rPr>
                <w:rFonts w:cs="Arial"/>
                <w:sz w:val="20"/>
                <w:szCs w:val="20"/>
              </w:rPr>
            </w:pPr>
            <w:r w:rsidRPr="00F32D92">
              <w:rPr>
                <w:rFonts w:cs="Arial"/>
                <w:sz w:val="20"/>
                <w:szCs w:val="20"/>
              </w:rPr>
              <w:t>0</w:t>
            </w:r>
          </w:p>
        </w:tc>
        <w:tc>
          <w:tcPr>
            <w:tcW w:w="692" w:type="dxa"/>
            <w:noWrap/>
            <w:hideMark/>
          </w:tcPr>
          <w:p w14:paraId="46276AE9" w14:textId="77777777" w:rsidR="00AB6753" w:rsidRPr="00F32D92" w:rsidRDefault="00AB6753" w:rsidP="002D1EA4">
            <w:pPr>
              <w:rPr>
                <w:rFonts w:cs="Arial"/>
                <w:sz w:val="20"/>
                <w:szCs w:val="20"/>
              </w:rPr>
            </w:pPr>
            <w:r w:rsidRPr="00F32D92">
              <w:rPr>
                <w:rFonts w:cs="Arial"/>
                <w:sz w:val="20"/>
                <w:szCs w:val="20"/>
              </w:rPr>
              <w:t>0</w:t>
            </w:r>
          </w:p>
        </w:tc>
        <w:tc>
          <w:tcPr>
            <w:tcW w:w="902" w:type="dxa"/>
            <w:tcBorders>
              <w:right w:val="single" w:sz="4" w:space="0" w:color="auto"/>
            </w:tcBorders>
            <w:noWrap/>
            <w:hideMark/>
          </w:tcPr>
          <w:p w14:paraId="713D52B2"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bottom"/>
            <w:hideMark/>
          </w:tcPr>
          <w:p w14:paraId="589A5FA3" w14:textId="77777777" w:rsidR="00AB6753" w:rsidRPr="00F32D92" w:rsidRDefault="00AB6753" w:rsidP="002D1EA4">
            <w:pPr>
              <w:rPr>
                <w:rFonts w:cs="Arial"/>
                <w:sz w:val="20"/>
                <w:szCs w:val="20"/>
              </w:rPr>
            </w:pPr>
            <w:r w:rsidRPr="00F32D92">
              <w:rPr>
                <w:rFonts w:cs="Arial"/>
                <w:color w:val="000000"/>
                <w:sz w:val="20"/>
                <w:szCs w:val="20"/>
              </w:rPr>
              <w:t>3</w:t>
            </w:r>
          </w:p>
        </w:tc>
        <w:tc>
          <w:tcPr>
            <w:tcW w:w="693" w:type="dxa"/>
            <w:noWrap/>
            <w:vAlign w:val="bottom"/>
            <w:hideMark/>
          </w:tcPr>
          <w:p w14:paraId="3553DC7D" w14:textId="77777777" w:rsidR="00AB6753" w:rsidRPr="00F32D92" w:rsidRDefault="00AB6753" w:rsidP="002D1EA4">
            <w:pPr>
              <w:rPr>
                <w:rFonts w:cs="Arial"/>
                <w:sz w:val="20"/>
                <w:szCs w:val="20"/>
              </w:rPr>
            </w:pPr>
            <w:r w:rsidRPr="00F32D92">
              <w:rPr>
                <w:rFonts w:cs="Arial"/>
                <w:sz w:val="20"/>
                <w:szCs w:val="20"/>
              </w:rPr>
              <w:t>0</w:t>
            </w:r>
          </w:p>
        </w:tc>
        <w:tc>
          <w:tcPr>
            <w:tcW w:w="950" w:type="dxa"/>
            <w:tcBorders>
              <w:right w:val="single" w:sz="4" w:space="0" w:color="auto"/>
            </w:tcBorders>
            <w:noWrap/>
            <w:vAlign w:val="bottom"/>
            <w:hideMark/>
          </w:tcPr>
          <w:p w14:paraId="6D3E6CF1" w14:textId="77777777" w:rsidR="00AB6753" w:rsidRPr="00F32D92" w:rsidRDefault="00AB6753" w:rsidP="002D1EA4">
            <w:pPr>
              <w:rPr>
                <w:rFonts w:cs="Arial"/>
                <w:sz w:val="20"/>
                <w:szCs w:val="20"/>
              </w:rPr>
            </w:pPr>
            <w:r w:rsidRPr="00F32D92">
              <w:rPr>
                <w:rFonts w:cs="Arial"/>
                <w:color w:val="000000"/>
                <w:sz w:val="20"/>
                <w:szCs w:val="20"/>
              </w:rPr>
              <w:t>3</w:t>
            </w:r>
          </w:p>
        </w:tc>
        <w:tc>
          <w:tcPr>
            <w:tcW w:w="992" w:type="dxa"/>
            <w:tcBorders>
              <w:left w:val="single" w:sz="4" w:space="0" w:color="auto"/>
            </w:tcBorders>
            <w:noWrap/>
            <w:hideMark/>
          </w:tcPr>
          <w:p w14:paraId="0EE648F9" w14:textId="77777777" w:rsidR="00AB6753" w:rsidRPr="00F32D92" w:rsidRDefault="00AB6753" w:rsidP="002D1EA4">
            <w:pPr>
              <w:rPr>
                <w:rFonts w:cs="Arial"/>
                <w:sz w:val="20"/>
                <w:szCs w:val="20"/>
              </w:rPr>
            </w:pPr>
            <w:r w:rsidRPr="00F32D92">
              <w:rPr>
                <w:rFonts w:cs="Arial"/>
                <w:sz w:val="20"/>
                <w:szCs w:val="20"/>
              </w:rPr>
              <w:t>-</w:t>
            </w:r>
          </w:p>
        </w:tc>
        <w:tc>
          <w:tcPr>
            <w:tcW w:w="751" w:type="dxa"/>
            <w:noWrap/>
            <w:hideMark/>
          </w:tcPr>
          <w:p w14:paraId="338A2FD5" w14:textId="77777777" w:rsidR="00AB6753" w:rsidRPr="00F32D92" w:rsidRDefault="00AB6753" w:rsidP="002D1EA4">
            <w:pPr>
              <w:rPr>
                <w:rFonts w:cs="Arial"/>
                <w:sz w:val="20"/>
                <w:szCs w:val="20"/>
              </w:rPr>
            </w:pPr>
            <w:r w:rsidRPr="00F32D92">
              <w:rPr>
                <w:rFonts w:cs="Arial"/>
                <w:sz w:val="20"/>
                <w:szCs w:val="20"/>
              </w:rPr>
              <w:t>-</w:t>
            </w:r>
          </w:p>
        </w:tc>
        <w:tc>
          <w:tcPr>
            <w:tcW w:w="1561" w:type="dxa"/>
            <w:tcBorders>
              <w:right w:val="single" w:sz="4" w:space="0" w:color="auto"/>
            </w:tcBorders>
            <w:noWrap/>
            <w:hideMark/>
          </w:tcPr>
          <w:p w14:paraId="5759BAC5"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666666" w:themeColor="text1" w:themeTint="99"/>
            </w:tcBorders>
            <w:vAlign w:val="bottom"/>
          </w:tcPr>
          <w:p w14:paraId="285F00D8" w14:textId="77777777" w:rsidR="00AB6753" w:rsidRPr="00F32D92" w:rsidRDefault="00AB6753" w:rsidP="002D1EA4">
            <w:pPr>
              <w:rPr>
                <w:rFonts w:cs="Arial"/>
                <w:sz w:val="20"/>
                <w:szCs w:val="20"/>
              </w:rPr>
            </w:pPr>
            <w:r w:rsidRPr="00F32D92">
              <w:rPr>
                <w:rFonts w:cs="Arial"/>
                <w:color w:val="000000"/>
                <w:sz w:val="20"/>
                <w:szCs w:val="20"/>
              </w:rPr>
              <w:t>3</w:t>
            </w:r>
          </w:p>
        </w:tc>
      </w:tr>
      <w:tr w:rsidR="00AB6753" w:rsidRPr="00F32D92" w14:paraId="129A8AC4" w14:textId="77777777" w:rsidTr="002D1EA4">
        <w:trPr>
          <w:trHeight w:val="315"/>
          <w:jc w:val="center"/>
        </w:trPr>
        <w:tc>
          <w:tcPr>
            <w:tcW w:w="1157" w:type="dxa"/>
            <w:tcBorders>
              <w:left w:val="single" w:sz="4" w:space="0" w:color="666666" w:themeColor="text1" w:themeTint="99"/>
              <w:right w:val="single" w:sz="4" w:space="0" w:color="auto"/>
            </w:tcBorders>
            <w:hideMark/>
          </w:tcPr>
          <w:p w14:paraId="01DB1503" w14:textId="77777777" w:rsidR="00AB6753" w:rsidRPr="00F32D92" w:rsidRDefault="00AB6753" w:rsidP="002D1EA4">
            <w:pPr>
              <w:rPr>
                <w:rFonts w:cs="Arial"/>
                <w:sz w:val="20"/>
                <w:szCs w:val="20"/>
              </w:rPr>
            </w:pPr>
            <w:r w:rsidRPr="00F32D92">
              <w:rPr>
                <w:rFonts w:cs="Arial"/>
                <w:sz w:val="20"/>
                <w:szCs w:val="20"/>
              </w:rPr>
              <w:t>WA</w:t>
            </w:r>
          </w:p>
        </w:tc>
        <w:tc>
          <w:tcPr>
            <w:tcW w:w="895" w:type="dxa"/>
            <w:tcBorders>
              <w:left w:val="single" w:sz="4" w:space="0" w:color="auto"/>
            </w:tcBorders>
            <w:noWrap/>
            <w:hideMark/>
          </w:tcPr>
          <w:p w14:paraId="4CC1BC67" w14:textId="77777777" w:rsidR="00AB6753" w:rsidRPr="00F32D92" w:rsidRDefault="00AB6753" w:rsidP="002D1EA4">
            <w:pPr>
              <w:rPr>
                <w:rFonts w:cs="Arial"/>
                <w:sz w:val="20"/>
                <w:szCs w:val="20"/>
              </w:rPr>
            </w:pPr>
            <w:r w:rsidRPr="00F32D92">
              <w:rPr>
                <w:rFonts w:cs="Arial"/>
                <w:sz w:val="20"/>
                <w:szCs w:val="20"/>
              </w:rPr>
              <w:t>0</w:t>
            </w:r>
          </w:p>
        </w:tc>
        <w:tc>
          <w:tcPr>
            <w:tcW w:w="692" w:type="dxa"/>
            <w:noWrap/>
            <w:hideMark/>
          </w:tcPr>
          <w:p w14:paraId="3F658A9F" w14:textId="77777777" w:rsidR="00AB6753" w:rsidRPr="00F32D92" w:rsidRDefault="00AB6753" w:rsidP="002D1EA4">
            <w:pPr>
              <w:rPr>
                <w:rFonts w:cs="Arial"/>
                <w:sz w:val="20"/>
                <w:szCs w:val="20"/>
              </w:rPr>
            </w:pPr>
            <w:r w:rsidRPr="00F32D92">
              <w:rPr>
                <w:rFonts w:cs="Arial"/>
                <w:sz w:val="20"/>
                <w:szCs w:val="20"/>
              </w:rPr>
              <w:t>0</w:t>
            </w:r>
          </w:p>
        </w:tc>
        <w:tc>
          <w:tcPr>
            <w:tcW w:w="902" w:type="dxa"/>
            <w:tcBorders>
              <w:right w:val="single" w:sz="4" w:space="0" w:color="auto"/>
            </w:tcBorders>
            <w:noWrap/>
            <w:hideMark/>
          </w:tcPr>
          <w:p w14:paraId="3583C004"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hideMark/>
          </w:tcPr>
          <w:p w14:paraId="1A6A3385" w14:textId="77777777" w:rsidR="00AB6753" w:rsidRPr="00F32D92" w:rsidRDefault="00AB6753" w:rsidP="002D1EA4">
            <w:pPr>
              <w:rPr>
                <w:rFonts w:cs="Arial"/>
                <w:sz w:val="20"/>
                <w:szCs w:val="20"/>
              </w:rPr>
            </w:pPr>
            <w:r w:rsidRPr="00F32D92">
              <w:rPr>
                <w:rFonts w:cs="Arial"/>
                <w:sz w:val="20"/>
                <w:szCs w:val="20"/>
              </w:rPr>
              <w:t>0</w:t>
            </w:r>
          </w:p>
        </w:tc>
        <w:tc>
          <w:tcPr>
            <w:tcW w:w="693" w:type="dxa"/>
            <w:noWrap/>
            <w:hideMark/>
          </w:tcPr>
          <w:p w14:paraId="77473587" w14:textId="77777777" w:rsidR="00AB6753" w:rsidRPr="00F32D92" w:rsidRDefault="00AB6753" w:rsidP="002D1EA4">
            <w:pPr>
              <w:rPr>
                <w:rFonts w:cs="Arial"/>
                <w:sz w:val="20"/>
                <w:szCs w:val="20"/>
              </w:rPr>
            </w:pPr>
            <w:r w:rsidRPr="00F32D92">
              <w:rPr>
                <w:rFonts w:cs="Arial"/>
                <w:sz w:val="20"/>
                <w:szCs w:val="20"/>
              </w:rPr>
              <w:t>0</w:t>
            </w:r>
          </w:p>
        </w:tc>
        <w:tc>
          <w:tcPr>
            <w:tcW w:w="950" w:type="dxa"/>
            <w:tcBorders>
              <w:right w:val="single" w:sz="4" w:space="0" w:color="auto"/>
            </w:tcBorders>
            <w:noWrap/>
            <w:hideMark/>
          </w:tcPr>
          <w:p w14:paraId="01DD6F70" w14:textId="77777777" w:rsidR="00AB6753" w:rsidRPr="00F32D92" w:rsidRDefault="00AB6753" w:rsidP="002D1EA4">
            <w:pPr>
              <w:rPr>
                <w:rFonts w:cs="Arial"/>
                <w:sz w:val="20"/>
                <w:szCs w:val="20"/>
              </w:rPr>
            </w:pPr>
            <w:r w:rsidRPr="00F32D92">
              <w:rPr>
                <w:rFonts w:cs="Arial"/>
                <w:sz w:val="20"/>
                <w:szCs w:val="20"/>
              </w:rPr>
              <w:t>0</w:t>
            </w:r>
          </w:p>
        </w:tc>
        <w:tc>
          <w:tcPr>
            <w:tcW w:w="992" w:type="dxa"/>
            <w:tcBorders>
              <w:left w:val="single" w:sz="4" w:space="0" w:color="auto"/>
            </w:tcBorders>
            <w:noWrap/>
            <w:hideMark/>
          </w:tcPr>
          <w:p w14:paraId="2708C4AD" w14:textId="77777777" w:rsidR="00AB6753" w:rsidRPr="00F32D92" w:rsidRDefault="00AB6753" w:rsidP="002D1EA4">
            <w:pPr>
              <w:rPr>
                <w:rFonts w:cs="Arial"/>
                <w:sz w:val="20"/>
                <w:szCs w:val="20"/>
              </w:rPr>
            </w:pPr>
            <w:r w:rsidRPr="00F32D92">
              <w:rPr>
                <w:rFonts w:cs="Arial"/>
                <w:sz w:val="20"/>
                <w:szCs w:val="20"/>
              </w:rPr>
              <w:t>-</w:t>
            </w:r>
          </w:p>
        </w:tc>
        <w:tc>
          <w:tcPr>
            <w:tcW w:w="751" w:type="dxa"/>
            <w:noWrap/>
            <w:hideMark/>
          </w:tcPr>
          <w:p w14:paraId="166DE20A" w14:textId="77777777" w:rsidR="00AB6753" w:rsidRPr="00F32D92" w:rsidRDefault="00AB6753" w:rsidP="002D1EA4">
            <w:pPr>
              <w:rPr>
                <w:rFonts w:cs="Arial"/>
                <w:sz w:val="20"/>
                <w:szCs w:val="20"/>
              </w:rPr>
            </w:pPr>
            <w:r w:rsidRPr="00F32D92">
              <w:rPr>
                <w:rFonts w:cs="Arial"/>
                <w:sz w:val="20"/>
                <w:szCs w:val="20"/>
              </w:rPr>
              <w:t>-</w:t>
            </w:r>
          </w:p>
        </w:tc>
        <w:tc>
          <w:tcPr>
            <w:tcW w:w="1561" w:type="dxa"/>
            <w:tcBorders>
              <w:right w:val="single" w:sz="4" w:space="0" w:color="auto"/>
            </w:tcBorders>
            <w:noWrap/>
            <w:hideMark/>
          </w:tcPr>
          <w:p w14:paraId="1085652A"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666666" w:themeColor="text1" w:themeTint="99"/>
            </w:tcBorders>
          </w:tcPr>
          <w:p w14:paraId="6886B354"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05707711" w14:textId="77777777" w:rsidTr="002D1EA4">
        <w:trPr>
          <w:trHeight w:val="315"/>
          <w:jc w:val="center"/>
        </w:trPr>
        <w:tc>
          <w:tcPr>
            <w:tcW w:w="1157" w:type="dxa"/>
            <w:tcBorders>
              <w:left w:val="single" w:sz="4" w:space="0" w:color="666666" w:themeColor="text1" w:themeTint="99"/>
              <w:right w:val="single" w:sz="4" w:space="0" w:color="auto"/>
            </w:tcBorders>
            <w:hideMark/>
          </w:tcPr>
          <w:p w14:paraId="4DCA2E3C" w14:textId="77777777" w:rsidR="00AB6753" w:rsidRPr="00F32D92" w:rsidRDefault="00AB6753" w:rsidP="002D1EA4">
            <w:pPr>
              <w:rPr>
                <w:rFonts w:cs="Arial"/>
                <w:sz w:val="20"/>
                <w:szCs w:val="20"/>
              </w:rPr>
            </w:pPr>
            <w:r w:rsidRPr="00F32D92">
              <w:rPr>
                <w:rFonts w:cs="Arial"/>
                <w:sz w:val="20"/>
                <w:szCs w:val="20"/>
              </w:rPr>
              <w:t>ACT</w:t>
            </w:r>
          </w:p>
        </w:tc>
        <w:tc>
          <w:tcPr>
            <w:tcW w:w="895" w:type="dxa"/>
            <w:tcBorders>
              <w:left w:val="single" w:sz="4" w:space="0" w:color="auto"/>
            </w:tcBorders>
            <w:noWrap/>
            <w:vAlign w:val="bottom"/>
            <w:hideMark/>
          </w:tcPr>
          <w:p w14:paraId="605C9401" w14:textId="77777777" w:rsidR="00AB6753" w:rsidRPr="00F32D92" w:rsidRDefault="00AB6753" w:rsidP="002D1EA4">
            <w:pPr>
              <w:rPr>
                <w:rFonts w:cs="Arial"/>
                <w:sz w:val="20"/>
                <w:szCs w:val="20"/>
              </w:rPr>
            </w:pPr>
            <w:r w:rsidRPr="00F32D92">
              <w:rPr>
                <w:rFonts w:cs="Arial"/>
                <w:color w:val="000000"/>
                <w:sz w:val="20"/>
                <w:szCs w:val="20"/>
              </w:rPr>
              <w:t>6</w:t>
            </w:r>
          </w:p>
        </w:tc>
        <w:tc>
          <w:tcPr>
            <w:tcW w:w="692" w:type="dxa"/>
            <w:noWrap/>
            <w:vAlign w:val="bottom"/>
            <w:hideMark/>
          </w:tcPr>
          <w:p w14:paraId="5AA6CCE5" w14:textId="77777777" w:rsidR="00AB6753" w:rsidRPr="00F32D92" w:rsidRDefault="00AB6753" w:rsidP="002D1EA4">
            <w:pPr>
              <w:rPr>
                <w:rFonts w:cs="Arial"/>
                <w:sz w:val="20"/>
                <w:szCs w:val="20"/>
              </w:rPr>
            </w:pPr>
            <w:r w:rsidRPr="00F32D92">
              <w:rPr>
                <w:rFonts w:cs="Arial"/>
                <w:color w:val="000000"/>
                <w:sz w:val="20"/>
                <w:szCs w:val="20"/>
              </w:rPr>
              <w:t>2</w:t>
            </w:r>
          </w:p>
        </w:tc>
        <w:tc>
          <w:tcPr>
            <w:tcW w:w="902" w:type="dxa"/>
            <w:tcBorders>
              <w:right w:val="single" w:sz="4" w:space="0" w:color="auto"/>
            </w:tcBorders>
            <w:noWrap/>
            <w:vAlign w:val="bottom"/>
            <w:hideMark/>
          </w:tcPr>
          <w:p w14:paraId="4C0F418F" w14:textId="77777777" w:rsidR="00AB6753" w:rsidRPr="00F32D92" w:rsidRDefault="00AB6753" w:rsidP="002D1EA4">
            <w:pPr>
              <w:rPr>
                <w:rFonts w:cs="Arial"/>
                <w:sz w:val="20"/>
                <w:szCs w:val="20"/>
              </w:rPr>
            </w:pPr>
            <w:r w:rsidRPr="00F32D92">
              <w:rPr>
                <w:rFonts w:cs="Arial"/>
                <w:color w:val="000000"/>
                <w:sz w:val="20"/>
                <w:szCs w:val="20"/>
              </w:rPr>
              <w:t>8</w:t>
            </w:r>
          </w:p>
        </w:tc>
        <w:tc>
          <w:tcPr>
            <w:tcW w:w="896" w:type="dxa"/>
            <w:tcBorders>
              <w:left w:val="single" w:sz="4" w:space="0" w:color="auto"/>
            </w:tcBorders>
            <w:noWrap/>
            <w:vAlign w:val="bottom"/>
            <w:hideMark/>
          </w:tcPr>
          <w:p w14:paraId="0052F906" w14:textId="77777777" w:rsidR="00AB6753" w:rsidRPr="00F32D92" w:rsidRDefault="00AB6753" w:rsidP="002D1EA4">
            <w:pPr>
              <w:rPr>
                <w:rFonts w:cs="Arial"/>
                <w:sz w:val="20"/>
                <w:szCs w:val="20"/>
              </w:rPr>
            </w:pPr>
            <w:r w:rsidRPr="00F32D92">
              <w:rPr>
                <w:rFonts w:cs="Arial"/>
                <w:color w:val="000000"/>
                <w:sz w:val="20"/>
                <w:szCs w:val="20"/>
              </w:rPr>
              <w:t>16</w:t>
            </w:r>
          </w:p>
        </w:tc>
        <w:tc>
          <w:tcPr>
            <w:tcW w:w="693" w:type="dxa"/>
            <w:noWrap/>
            <w:vAlign w:val="bottom"/>
            <w:hideMark/>
          </w:tcPr>
          <w:p w14:paraId="0A280824" w14:textId="77777777" w:rsidR="00AB6753" w:rsidRPr="00F32D92" w:rsidRDefault="00AB6753" w:rsidP="002D1EA4">
            <w:pPr>
              <w:rPr>
                <w:rFonts w:cs="Arial"/>
                <w:sz w:val="20"/>
                <w:szCs w:val="20"/>
              </w:rPr>
            </w:pPr>
            <w:r w:rsidRPr="00F32D92">
              <w:rPr>
                <w:rFonts w:cs="Arial"/>
                <w:color w:val="000000"/>
                <w:sz w:val="20"/>
                <w:szCs w:val="20"/>
              </w:rPr>
              <w:t>6</w:t>
            </w:r>
          </w:p>
        </w:tc>
        <w:tc>
          <w:tcPr>
            <w:tcW w:w="950" w:type="dxa"/>
            <w:tcBorders>
              <w:right w:val="single" w:sz="4" w:space="0" w:color="auto"/>
            </w:tcBorders>
            <w:noWrap/>
            <w:vAlign w:val="bottom"/>
            <w:hideMark/>
          </w:tcPr>
          <w:p w14:paraId="3CCCFFF5" w14:textId="77777777" w:rsidR="00AB6753" w:rsidRPr="00F32D92" w:rsidRDefault="00AB6753" w:rsidP="002D1EA4">
            <w:pPr>
              <w:rPr>
                <w:rFonts w:cs="Arial"/>
                <w:sz w:val="20"/>
                <w:szCs w:val="20"/>
              </w:rPr>
            </w:pPr>
            <w:r w:rsidRPr="00F32D92">
              <w:rPr>
                <w:rFonts w:cs="Arial"/>
                <w:color w:val="000000"/>
                <w:sz w:val="20"/>
                <w:szCs w:val="20"/>
              </w:rPr>
              <w:t>22</w:t>
            </w:r>
          </w:p>
        </w:tc>
        <w:tc>
          <w:tcPr>
            <w:tcW w:w="992" w:type="dxa"/>
            <w:tcBorders>
              <w:left w:val="single" w:sz="4" w:space="0" w:color="auto"/>
            </w:tcBorders>
            <w:noWrap/>
            <w:hideMark/>
          </w:tcPr>
          <w:p w14:paraId="1F8428AC" w14:textId="77777777" w:rsidR="00AB6753" w:rsidRPr="00F32D92" w:rsidRDefault="00AB6753" w:rsidP="002D1EA4">
            <w:pPr>
              <w:rPr>
                <w:rFonts w:cs="Arial"/>
                <w:sz w:val="20"/>
                <w:szCs w:val="20"/>
              </w:rPr>
            </w:pPr>
            <w:r w:rsidRPr="00F32D92">
              <w:rPr>
                <w:rFonts w:cs="Arial"/>
                <w:sz w:val="20"/>
                <w:szCs w:val="20"/>
              </w:rPr>
              <w:t>-</w:t>
            </w:r>
          </w:p>
        </w:tc>
        <w:tc>
          <w:tcPr>
            <w:tcW w:w="751" w:type="dxa"/>
            <w:noWrap/>
            <w:hideMark/>
          </w:tcPr>
          <w:p w14:paraId="2C190E66" w14:textId="77777777" w:rsidR="00AB6753" w:rsidRPr="00F32D92" w:rsidRDefault="00AB6753" w:rsidP="002D1EA4">
            <w:pPr>
              <w:rPr>
                <w:rFonts w:cs="Arial"/>
                <w:sz w:val="20"/>
                <w:szCs w:val="20"/>
              </w:rPr>
            </w:pPr>
            <w:r w:rsidRPr="00F32D92">
              <w:rPr>
                <w:rFonts w:cs="Arial"/>
                <w:sz w:val="20"/>
                <w:szCs w:val="20"/>
              </w:rPr>
              <w:t>-</w:t>
            </w:r>
          </w:p>
        </w:tc>
        <w:tc>
          <w:tcPr>
            <w:tcW w:w="1561" w:type="dxa"/>
            <w:tcBorders>
              <w:right w:val="single" w:sz="4" w:space="0" w:color="auto"/>
            </w:tcBorders>
            <w:noWrap/>
            <w:hideMark/>
          </w:tcPr>
          <w:p w14:paraId="584A3692"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666666" w:themeColor="text1" w:themeTint="99"/>
            </w:tcBorders>
          </w:tcPr>
          <w:p w14:paraId="321C5EE0" w14:textId="77777777" w:rsidR="00AB6753" w:rsidRPr="00F32D92" w:rsidRDefault="00AB6753" w:rsidP="002D1EA4">
            <w:pPr>
              <w:rPr>
                <w:rFonts w:cs="Arial"/>
                <w:color w:val="000000"/>
                <w:sz w:val="20"/>
                <w:szCs w:val="20"/>
              </w:rPr>
            </w:pPr>
            <w:r w:rsidRPr="00F32D92">
              <w:rPr>
                <w:rFonts w:cs="Arial"/>
                <w:color w:val="000000"/>
                <w:sz w:val="20"/>
                <w:szCs w:val="20"/>
              </w:rPr>
              <w:t>30</w:t>
            </w:r>
          </w:p>
        </w:tc>
      </w:tr>
      <w:tr w:rsidR="00AB6753" w:rsidRPr="00F32D92" w14:paraId="09532C94" w14:textId="77777777" w:rsidTr="002D1EA4">
        <w:trPr>
          <w:trHeight w:val="315"/>
          <w:jc w:val="center"/>
        </w:trPr>
        <w:tc>
          <w:tcPr>
            <w:tcW w:w="1157" w:type="dxa"/>
            <w:tcBorders>
              <w:left w:val="single" w:sz="4" w:space="0" w:color="666666" w:themeColor="text1" w:themeTint="99"/>
              <w:right w:val="single" w:sz="4" w:space="0" w:color="auto"/>
            </w:tcBorders>
          </w:tcPr>
          <w:p w14:paraId="469489C9" w14:textId="77777777" w:rsidR="00AB6753" w:rsidRPr="00F32D92" w:rsidRDefault="00AB6753" w:rsidP="002D1EA4">
            <w:pPr>
              <w:rPr>
                <w:rFonts w:cs="Arial"/>
                <w:sz w:val="20"/>
                <w:szCs w:val="20"/>
              </w:rPr>
            </w:pPr>
            <w:r w:rsidRPr="00F32D92">
              <w:rPr>
                <w:rFonts w:cs="Arial"/>
                <w:sz w:val="20"/>
                <w:szCs w:val="20"/>
              </w:rPr>
              <w:t>NT</w:t>
            </w:r>
          </w:p>
        </w:tc>
        <w:tc>
          <w:tcPr>
            <w:tcW w:w="895" w:type="dxa"/>
            <w:tcBorders>
              <w:left w:val="single" w:sz="4" w:space="0" w:color="auto"/>
            </w:tcBorders>
            <w:noWrap/>
          </w:tcPr>
          <w:p w14:paraId="4B76D037" w14:textId="77777777" w:rsidR="00AB6753" w:rsidRPr="00F32D92" w:rsidRDefault="00AB6753" w:rsidP="002D1EA4">
            <w:pPr>
              <w:rPr>
                <w:rFonts w:cs="Arial"/>
                <w:sz w:val="20"/>
                <w:szCs w:val="20"/>
              </w:rPr>
            </w:pPr>
            <w:r w:rsidRPr="00F32D92">
              <w:rPr>
                <w:rFonts w:cs="Arial"/>
                <w:sz w:val="20"/>
                <w:szCs w:val="20"/>
              </w:rPr>
              <w:t>0</w:t>
            </w:r>
          </w:p>
        </w:tc>
        <w:tc>
          <w:tcPr>
            <w:tcW w:w="692" w:type="dxa"/>
            <w:noWrap/>
          </w:tcPr>
          <w:p w14:paraId="281EB2E9" w14:textId="77777777" w:rsidR="00AB6753" w:rsidRPr="00F32D92" w:rsidRDefault="00AB6753" w:rsidP="002D1EA4">
            <w:pPr>
              <w:rPr>
                <w:rFonts w:cs="Arial"/>
                <w:sz w:val="20"/>
                <w:szCs w:val="20"/>
              </w:rPr>
            </w:pPr>
            <w:r w:rsidRPr="00F32D92">
              <w:rPr>
                <w:rFonts w:cs="Arial"/>
                <w:sz w:val="20"/>
                <w:szCs w:val="20"/>
              </w:rPr>
              <w:t>0</w:t>
            </w:r>
          </w:p>
        </w:tc>
        <w:tc>
          <w:tcPr>
            <w:tcW w:w="902" w:type="dxa"/>
            <w:tcBorders>
              <w:right w:val="single" w:sz="4" w:space="0" w:color="auto"/>
            </w:tcBorders>
            <w:noWrap/>
          </w:tcPr>
          <w:p w14:paraId="3CC261D2"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tcPr>
          <w:p w14:paraId="082F9294" w14:textId="77777777" w:rsidR="00AB6753" w:rsidRPr="00F32D92" w:rsidRDefault="00AB6753" w:rsidP="002D1EA4">
            <w:pPr>
              <w:rPr>
                <w:rFonts w:cs="Arial"/>
                <w:sz w:val="20"/>
                <w:szCs w:val="20"/>
              </w:rPr>
            </w:pPr>
            <w:r w:rsidRPr="00F32D92">
              <w:rPr>
                <w:rFonts w:cs="Arial"/>
                <w:sz w:val="20"/>
                <w:szCs w:val="20"/>
              </w:rPr>
              <w:t>0</w:t>
            </w:r>
          </w:p>
        </w:tc>
        <w:tc>
          <w:tcPr>
            <w:tcW w:w="693" w:type="dxa"/>
            <w:noWrap/>
          </w:tcPr>
          <w:p w14:paraId="2416F0B7" w14:textId="77777777" w:rsidR="00AB6753" w:rsidRPr="00F32D92" w:rsidRDefault="00AB6753" w:rsidP="002D1EA4">
            <w:pPr>
              <w:rPr>
                <w:rFonts w:cs="Arial"/>
                <w:sz w:val="20"/>
                <w:szCs w:val="20"/>
              </w:rPr>
            </w:pPr>
            <w:r w:rsidRPr="00F32D92">
              <w:rPr>
                <w:rFonts w:cs="Arial"/>
                <w:sz w:val="20"/>
                <w:szCs w:val="20"/>
              </w:rPr>
              <w:t>0</w:t>
            </w:r>
          </w:p>
        </w:tc>
        <w:tc>
          <w:tcPr>
            <w:tcW w:w="950" w:type="dxa"/>
            <w:tcBorders>
              <w:right w:val="single" w:sz="4" w:space="0" w:color="auto"/>
            </w:tcBorders>
            <w:noWrap/>
          </w:tcPr>
          <w:p w14:paraId="1F1D51C2" w14:textId="77777777" w:rsidR="00AB6753" w:rsidRPr="00F32D92" w:rsidRDefault="00AB6753" w:rsidP="002D1EA4">
            <w:pPr>
              <w:rPr>
                <w:rFonts w:cs="Arial"/>
                <w:sz w:val="20"/>
                <w:szCs w:val="20"/>
              </w:rPr>
            </w:pPr>
            <w:r w:rsidRPr="00F32D92">
              <w:rPr>
                <w:rFonts w:cs="Arial"/>
                <w:sz w:val="20"/>
                <w:szCs w:val="20"/>
              </w:rPr>
              <w:t>0</w:t>
            </w:r>
          </w:p>
        </w:tc>
        <w:tc>
          <w:tcPr>
            <w:tcW w:w="992" w:type="dxa"/>
            <w:tcBorders>
              <w:left w:val="single" w:sz="4" w:space="0" w:color="auto"/>
            </w:tcBorders>
            <w:noWrap/>
          </w:tcPr>
          <w:p w14:paraId="42D63892" w14:textId="77777777" w:rsidR="00AB6753" w:rsidRPr="00F32D92" w:rsidRDefault="00AB6753" w:rsidP="002D1EA4">
            <w:pPr>
              <w:rPr>
                <w:rFonts w:cs="Arial"/>
                <w:sz w:val="20"/>
                <w:szCs w:val="20"/>
              </w:rPr>
            </w:pPr>
            <w:r w:rsidRPr="00F32D92">
              <w:rPr>
                <w:rFonts w:cs="Arial"/>
                <w:sz w:val="20"/>
                <w:szCs w:val="20"/>
              </w:rPr>
              <w:t>-</w:t>
            </w:r>
          </w:p>
        </w:tc>
        <w:tc>
          <w:tcPr>
            <w:tcW w:w="751" w:type="dxa"/>
            <w:noWrap/>
          </w:tcPr>
          <w:p w14:paraId="2F45229D" w14:textId="77777777" w:rsidR="00AB6753" w:rsidRPr="00F32D92" w:rsidRDefault="00AB6753" w:rsidP="002D1EA4">
            <w:pPr>
              <w:rPr>
                <w:rFonts w:cs="Arial"/>
                <w:sz w:val="20"/>
                <w:szCs w:val="20"/>
              </w:rPr>
            </w:pPr>
            <w:r w:rsidRPr="00F32D92">
              <w:rPr>
                <w:rFonts w:cs="Arial"/>
                <w:sz w:val="20"/>
                <w:szCs w:val="20"/>
              </w:rPr>
              <w:t>-</w:t>
            </w:r>
          </w:p>
        </w:tc>
        <w:tc>
          <w:tcPr>
            <w:tcW w:w="1561" w:type="dxa"/>
            <w:tcBorders>
              <w:right w:val="single" w:sz="4" w:space="0" w:color="auto"/>
            </w:tcBorders>
            <w:noWrap/>
          </w:tcPr>
          <w:p w14:paraId="0A4DB841"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666666" w:themeColor="text1" w:themeTint="99"/>
            </w:tcBorders>
          </w:tcPr>
          <w:p w14:paraId="62A25992"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587DF0A5" w14:textId="77777777" w:rsidTr="002D1EA4">
        <w:trPr>
          <w:trHeight w:val="315"/>
          <w:jc w:val="center"/>
        </w:trPr>
        <w:tc>
          <w:tcPr>
            <w:tcW w:w="1157" w:type="dxa"/>
            <w:tcBorders>
              <w:left w:val="single" w:sz="4" w:space="0" w:color="666666" w:themeColor="text1" w:themeTint="99"/>
              <w:right w:val="single" w:sz="4" w:space="0" w:color="auto"/>
            </w:tcBorders>
          </w:tcPr>
          <w:p w14:paraId="56E1EAE1" w14:textId="77777777" w:rsidR="00AB6753" w:rsidRPr="00F32D92" w:rsidRDefault="00AB6753" w:rsidP="002D1EA4">
            <w:pPr>
              <w:rPr>
                <w:rFonts w:cs="Arial"/>
                <w:sz w:val="20"/>
                <w:szCs w:val="20"/>
              </w:rPr>
            </w:pPr>
            <w:r w:rsidRPr="00F32D92">
              <w:rPr>
                <w:rFonts w:cs="Arial"/>
                <w:sz w:val="20"/>
                <w:szCs w:val="20"/>
              </w:rPr>
              <w:t>External Territories</w:t>
            </w:r>
          </w:p>
        </w:tc>
        <w:tc>
          <w:tcPr>
            <w:tcW w:w="895" w:type="dxa"/>
            <w:tcBorders>
              <w:left w:val="single" w:sz="4" w:space="0" w:color="auto"/>
            </w:tcBorders>
            <w:noWrap/>
          </w:tcPr>
          <w:p w14:paraId="33FC8DA9" w14:textId="77777777" w:rsidR="00AB6753" w:rsidRPr="00F32D92" w:rsidRDefault="00AB6753" w:rsidP="002D1EA4">
            <w:pPr>
              <w:rPr>
                <w:rFonts w:cs="Arial"/>
                <w:sz w:val="20"/>
                <w:szCs w:val="20"/>
              </w:rPr>
            </w:pPr>
            <w:r w:rsidRPr="00F32D92">
              <w:rPr>
                <w:rFonts w:cs="Arial"/>
                <w:sz w:val="20"/>
                <w:szCs w:val="20"/>
              </w:rPr>
              <w:t>0</w:t>
            </w:r>
          </w:p>
        </w:tc>
        <w:tc>
          <w:tcPr>
            <w:tcW w:w="692" w:type="dxa"/>
            <w:noWrap/>
          </w:tcPr>
          <w:p w14:paraId="7AD350A7" w14:textId="77777777" w:rsidR="00AB6753" w:rsidRPr="00F32D92" w:rsidRDefault="00AB6753" w:rsidP="002D1EA4">
            <w:pPr>
              <w:rPr>
                <w:rFonts w:cs="Arial"/>
                <w:sz w:val="20"/>
                <w:szCs w:val="20"/>
              </w:rPr>
            </w:pPr>
            <w:r w:rsidRPr="00F32D92">
              <w:rPr>
                <w:rFonts w:cs="Arial"/>
                <w:sz w:val="20"/>
                <w:szCs w:val="20"/>
              </w:rPr>
              <w:t>0</w:t>
            </w:r>
          </w:p>
        </w:tc>
        <w:tc>
          <w:tcPr>
            <w:tcW w:w="902" w:type="dxa"/>
            <w:tcBorders>
              <w:right w:val="single" w:sz="4" w:space="0" w:color="auto"/>
            </w:tcBorders>
            <w:noWrap/>
          </w:tcPr>
          <w:p w14:paraId="17CA02B8"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tcPr>
          <w:p w14:paraId="3BD6FD9F" w14:textId="77777777" w:rsidR="00AB6753" w:rsidRPr="00F32D92" w:rsidRDefault="00AB6753" w:rsidP="002D1EA4">
            <w:pPr>
              <w:rPr>
                <w:rFonts w:cs="Arial"/>
                <w:sz w:val="20"/>
                <w:szCs w:val="20"/>
              </w:rPr>
            </w:pPr>
            <w:r w:rsidRPr="00F32D92">
              <w:rPr>
                <w:rFonts w:cs="Arial"/>
                <w:sz w:val="20"/>
                <w:szCs w:val="20"/>
              </w:rPr>
              <w:t>0</w:t>
            </w:r>
          </w:p>
        </w:tc>
        <w:tc>
          <w:tcPr>
            <w:tcW w:w="693" w:type="dxa"/>
            <w:noWrap/>
          </w:tcPr>
          <w:p w14:paraId="41CCA01E" w14:textId="77777777" w:rsidR="00AB6753" w:rsidRPr="00F32D92" w:rsidRDefault="00AB6753" w:rsidP="002D1EA4">
            <w:pPr>
              <w:rPr>
                <w:rFonts w:cs="Arial"/>
                <w:sz w:val="20"/>
                <w:szCs w:val="20"/>
              </w:rPr>
            </w:pPr>
            <w:r w:rsidRPr="00F32D92">
              <w:rPr>
                <w:rFonts w:cs="Arial"/>
                <w:sz w:val="20"/>
                <w:szCs w:val="20"/>
              </w:rPr>
              <w:t>0</w:t>
            </w:r>
          </w:p>
        </w:tc>
        <w:tc>
          <w:tcPr>
            <w:tcW w:w="950" w:type="dxa"/>
            <w:tcBorders>
              <w:right w:val="single" w:sz="4" w:space="0" w:color="auto"/>
            </w:tcBorders>
            <w:noWrap/>
          </w:tcPr>
          <w:p w14:paraId="62277331" w14:textId="77777777" w:rsidR="00AB6753" w:rsidRPr="00F32D92" w:rsidRDefault="00AB6753" w:rsidP="002D1EA4">
            <w:pPr>
              <w:rPr>
                <w:rFonts w:cs="Arial"/>
                <w:sz w:val="20"/>
                <w:szCs w:val="20"/>
              </w:rPr>
            </w:pPr>
            <w:r w:rsidRPr="00F32D92">
              <w:rPr>
                <w:rFonts w:cs="Arial"/>
                <w:sz w:val="20"/>
                <w:szCs w:val="20"/>
              </w:rPr>
              <w:t>0</w:t>
            </w:r>
          </w:p>
        </w:tc>
        <w:tc>
          <w:tcPr>
            <w:tcW w:w="992" w:type="dxa"/>
            <w:tcBorders>
              <w:left w:val="single" w:sz="4" w:space="0" w:color="auto"/>
            </w:tcBorders>
            <w:noWrap/>
          </w:tcPr>
          <w:p w14:paraId="1E7B05E8" w14:textId="77777777" w:rsidR="00AB6753" w:rsidRPr="00F32D92" w:rsidRDefault="00AB6753" w:rsidP="002D1EA4">
            <w:pPr>
              <w:rPr>
                <w:rFonts w:cs="Arial"/>
                <w:sz w:val="20"/>
                <w:szCs w:val="20"/>
              </w:rPr>
            </w:pPr>
            <w:r w:rsidRPr="00F32D92">
              <w:rPr>
                <w:rFonts w:cs="Arial"/>
                <w:sz w:val="20"/>
                <w:szCs w:val="20"/>
              </w:rPr>
              <w:t>-</w:t>
            </w:r>
          </w:p>
        </w:tc>
        <w:tc>
          <w:tcPr>
            <w:tcW w:w="751" w:type="dxa"/>
            <w:noWrap/>
          </w:tcPr>
          <w:p w14:paraId="709E465B" w14:textId="77777777" w:rsidR="00AB6753" w:rsidRPr="00F32D92" w:rsidRDefault="00AB6753" w:rsidP="002D1EA4">
            <w:pPr>
              <w:rPr>
                <w:rFonts w:cs="Arial"/>
                <w:sz w:val="20"/>
                <w:szCs w:val="20"/>
              </w:rPr>
            </w:pPr>
            <w:r w:rsidRPr="00F32D92">
              <w:rPr>
                <w:rFonts w:cs="Arial"/>
                <w:sz w:val="20"/>
                <w:szCs w:val="20"/>
              </w:rPr>
              <w:t>-</w:t>
            </w:r>
          </w:p>
        </w:tc>
        <w:tc>
          <w:tcPr>
            <w:tcW w:w="1561" w:type="dxa"/>
            <w:tcBorders>
              <w:right w:val="single" w:sz="4" w:space="0" w:color="auto"/>
            </w:tcBorders>
            <w:noWrap/>
          </w:tcPr>
          <w:p w14:paraId="02FE104A"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666666" w:themeColor="text1" w:themeTint="99"/>
            </w:tcBorders>
          </w:tcPr>
          <w:p w14:paraId="67C3AAD7"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1E4CE096" w14:textId="77777777" w:rsidTr="002D1EA4">
        <w:trPr>
          <w:trHeight w:val="315"/>
          <w:jc w:val="center"/>
        </w:trPr>
        <w:tc>
          <w:tcPr>
            <w:tcW w:w="1157" w:type="dxa"/>
            <w:tcBorders>
              <w:left w:val="single" w:sz="4" w:space="0" w:color="666666" w:themeColor="text1" w:themeTint="99"/>
              <w:right w:val="single" w:sz="4" w:space="0" w:color="auto"/>
            </w:tcBorders>
            <w:hideMark/>
          </w:tcPr>
          <w:p w14:paraId="7285C20E" w14:textId="77777777" w:rsidR="00AB6753" w:rsidRPr="00F32D92" w:rsidRDefault="00AB6753" w:rsidP="002D1EA4">
            <w:pPr>
              <w:rPr>
                <w:rFonts w:cs="Arial"/>
                <w:sz w:val="20"/>
                <w:szCs w:val="20"/>
              </w:rPr>
            </w:pPr>
            <w:r w:rsidRPr="00F32D92">
              <w:rPr>
                <w:rFonts w:cs="Arial"/>
                <w:sz w:val="20"/>
                <w:szCs w:val="20"/>
              </w:rPr>
              <w:t>Overseas</w:t>
            </w:r>
          </w:p>
        </w:tc>
        <w:tc>
          <w:tcPr>
            <w:tcW w:w="895" w:type="dxa"/>
            <w:tcBorders>
              <w:left w:val="single" w:sz="4" w:space="0" w:color="auto"/>
            </w:tcBorders>
            <w:noWrap/>
            <w:hideMark/>
          </w:tcPr>
          <w:p w14:paraId="1072844E" w14:textId="77777777" w:rsidR="00AB6753" w:rsidRPr="00F32D92" w:rsidRDefault="00AB6753" w:rsidP="002D1EA4">
            <w:pPr>
              <w:rPr>
                <w:rFonts w:cs="Arial"/>
                <w:sz w:val="20"/>
                <w:szCs w:val="20"/>
              </w:rPr>
            </w:pPr>
            <w:r w:rsidRPr="00F32D92">
              <w:rPr>
                <w:rFonts w:cs="Arial"/>
                <w:sz w:val="20"/>
                <w:szCs w:val="20"/>
              </w:rPr>
              <w:t>0</w:t>
            </w:r>
          </w:p>
        </w:tc>
        <w:tc>
          <w:tcPr>
            <w:tcW w:w="692" w:type="dxa"/>
            <w:noWrap/>
            <w:hideMark/>
          </w:tcPr>
          <w:p w14:paraId="144A697F" w14:textId="77777777" w:rsidR="00AB6753" w:rsidRPr="00F32D92" w:rsidRDefault="00AB6753" w:rsidP="002D1EA4">
            <w:pPr>
              <w:rPr>
                <w:rFonts w:cs="Arial"/>
                <w:sz w:val="20"/>
                <w:szCs w:val="20"/>
              </w:rPr>
            </w:pPr>
            <w:r w:rsidRPr="00F32D92">
              <w:rPr>
                <w:rFonts w:cs="Arial"/>
                <w:sz w:val="20"/>
                <w:szCs w:val="20"/>
              </w:rPr>
              <w:t>0</w:t>
            </w:r>
          </w:p>
        </w:tc>
        <w:tc>
          <w:tcPr>
            <w:tcW w:w="902" w:type="dxa"/>
            <w:tcBorders>
              <w:right w:val="single" w:sz="4" w:space="0" w:color="auto"/>
            </w:tcBorders>
            <w:noWrap/>
            <w:hideMark/>
          </w:tcPr>
          <w:p w14:paraId="05BDF9B8"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hideMark/>
          </w:tcPr>
          <w:p w14:paraId="6421AD62" w14:textId="77777777" w:rsidR="00AB6753" w:rsidRPr="00F32D92" w:rsidRDefault="00AB6753" w:rsidP="002D1EA4">
            <w:pPr>
              <w:rPr>
                <w:rFonts w:cs="Arial"/>
                <w:sz w:val="20"/>
                <w:szCs w:val="20"/>
              </w:rPr>
            </w:pPr>
            <w:r w:rsidRPr="00F32D92">
              <w:rPr>
                <w:rFonts w:cs="Arial"/>
                <w:sz w:val="20"/>
                <w:szCs w:val="20"/>
              </w:rPr>
              <w:t>0</w:t>
            </w:r>
          </w:p>
        </w:tc>
        <w:tc>
          <w:tcPr>
            <w:tcW w:w="693" w:type="dxa"/>
            <w:noWrap/>
            <w:hideMark/>
          </w:tcPr>
          <w:p w14:paraId="7B056283" w14:textId="77777777" w:rsidR="00AB6753" w:rsidRPr="00F32D92" w:rsidRDefault="00AB6753" w:rsidP="002D1EA4">
            <w:pPr>
              <w:rPr>
                <w:rFonts w:cs="Arial"/>
                <w:sz w:val="20"/>
                <w:szCs w:val="20"/>
              </w:rPr>
            </w:pPr>
            <w:r w:rsidRPr="00F32D92">
              <w:rPr>
                <w:rFonts w:cs="Arial"/>
                <w:sz w:val="20"/>
                <w:szCs w:val="20"/>
              </w:rPr>
              <w:t>0</w:t>
            </w:r>
          </w:p>
        </w:tc>
        <w:tc>
          <w:tcPr>
            <w:tcW w:w="950" w:type="dxa"/>
            <w:tcBorders>
              <w:right w:val="single" w:sz="4" w:space="0" w:color="auto"/>
            </w:tcBorders>
            <w:noWrap/>
            <w:hideMark/>
          </w:tcPr>
          <w:p w14:paraId="18A13A99" w14:textId="77777777" w:rsidR="00AB6753" w:rsidRPr="00F32D92" w:rsidRDefault="00AB6753" w:rsidP="002D1EA4">
            <w:pPr>
              <w:rPr>
                <w:rFonts w:cs="Arial"/>
                <w:sz w:val="20"/>
                <w:szCs w:val="20"/>
              </w:rPr>
            </w:pPr>
            <w:r w:rsidRPr="00F32D92">
              <w:rPr>
                <w:rFonts w:cs="Arial"/>
                <w:sz w:val="20"/>
                <w:szCs w:val="20"/>
              </w:rPr>
              <w:t>0</w:t>
            </w:r>
          </w:p>
        </w:tc>
        <w:tc>
          <w:tcPr>
            <w:tcW w:w="992" w:type="dxa"/>
            <w:tcBorders>
              <w:left w:val="single" w:sz="4" w:space="0" w:color="auto"/>
            </w:tcBorders>
            <w:noWrap/>
            <w:hideMark/>
          </w:tcPr>
          <w:p w14:paraId="7C51AE8F" w14:textId="77777777" w:rsidR="00AB6753" w:rsidRPr="00F32D92" w:rsidRDefault="00AB6753" w:rsidP="002D1EA4">
            <w:pPr>
              <w:rPr>
                <w:rFonts w:cs="Arial"/>
                <w:sz w:val="20"/>
                <w:szCs w:val="20"/>
              </w:rPr>
            </w:pPr>
            <w:r w:rsidRPr="00F32D92">
              <w:rPr>
                <w:rFonts w:cs="Arial"/>
                <w:sz w:val="20"/>
                <w:szCs w:val="20"/>
              </w:rPr>
              <w:t>-</w:t>
            </w:r>
          </w:p>
        </w:tc>
        <w:tc>
          <w:tcPr>
            <w:tcW w:w="751" w:type="dxa"/>
            <w:noWrap/>
            <w:hideMark/>
          </w:tcPr>
          <w:p w14:paraId="64A29FE1" w14:textId="77777777" w:rsidR="00AB6753" w:rsidRPr="00F32D92" w:rsidRDefault="00AB6753" w:rsidP="002D1EA4">
            <w:pPr>
              <w:rPr>
                <w:rFonts w:cs="Arial"/>
                <w:sz w:val="20"/>
                <w:szCs w:val="20"/>
              </w:rPr>
            </w:pPr>
            <w:r w:rsidRPr="00F32D92">
              <w:rPr>
                <w:rFonts w:cs="Arial"/>
                <w:sz w:val="20"/>
                <w:szCs w:val="20"/>
              </w:rPr>
              <w:t>-</w:t>
            </w:r>
          </w:p>
        </w:tc>
        <w:tc>
          <w:tcPr>
            <w:tcW w:w="1561" w:type="dxa"/>
            <w:tcBorders>
              <w:right w:val="single" w:sz="4" w:space="0" w:color="auto"/>
            </w:tcBorders>
            <w:noWrap/>
            <w:hideMark/>
          </w:tcPr>
          <w:p w14:paraId="4DDC655C"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666666" w:themeColor="text1" w:themeTint="99"/>
            </w:tcBorders>
          </w:tcPr>
          <w:p w14:paraId="1B296679"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428D13A8" w14:textId="77777777" w:rsidTr="002D1EA4">
        <w:trPr>
          <w:trHeight w:val="315"/>
          <w:jc w:val="center"/>
        </w:trPr>
        <w:tc>
          <w:tcPr>
            <w:tcW w:w="1157" w:type="dxa"/>
            <w:tcBorders>
              <w:left w:val="single" w:sz="4" w:space="0" w:color="666666" w:themeColor="text1" w:themeTint="99"/>
              <w:bottom w:val="single" w:sz="4" w:space="0" w:color="666666" w:themeColor="text1" w:themeTint="99"/>
              <w:right w:val="single" w:sz="4" w:space="0" w:color="auto"/>
            </w:tcBorders>
          </w:tcPr>
          <w:p w14:paraId="0650AFEA" w14:textId="77777777" w:rsidR="00AB6753" w:rsidRPr="00F32D92" w:rsidRDefault="00AB6753" w:rsidP="002D1EA4">
            <w:pPr>
              <w:rPr>
                <w:rFonts w:cs="Arial"/>
                <w:sz w:val="20"/>
                <w:szCs w:val="20"/>
              </w:rPr>
            </w:pPr>
            <w:r w:rsidRPr="00F32D92">
              <w:rPr>
                <w:rFonts w:cs="Arial"/>
                <w:sz w:val="20"/>
                <w:szCs w:val="20"/>
              </w:rPr>
              <w:t>Total</w:t>
            </w:r>
          </w:p>
        </w:tc>
        <w:tc>
          <w:tcPr>
            <w:tcW w:w="895" w:type="dxa"/>
            <w:tcBorders>
              <w:left w:val="single" w:sz="4" w:space="0" w:color="auto"/>
              <w:bottom w:val="single" w:sz="4" w:space="0" w:color="666666" w:themeColor="text1" w:themeTint="99"/>
            </w:tcBorders>
            <w:noWrap/>
            <w:vAlign w:val="bottom"/>
          </w:tcPr>
          <w:p w14:paraId="60795A2E" w14:textId="77777777" w:rsidR="00AB6753" w:rsidRPr="00F32D92" w:rsidRDefault="00AB6753" w:rsidP="002D1EA4">
            <w:pPr>
              <w:rPr>
                <w:rFonts w:cs="Arial"/>
                <w:sz w:val="20"/>
                <w:szCs w:val="20"/>
              </w:rPr>
            </w:pPr>
            <w:r w:rsidRPr="00F32D92">
              <w:rPr>
                <w:rFonts w:cs="Arial"/>
                <w:b/>
                <w:bCs/>
                <w:color w:val="000000"/>
                <w:sz w:val="20"/>
                <w:szCs w:val="20"/>
              </w:rPr>
              <w:t>10</w:t>
            </w:r>
          </w:p>
        </w:tc>
        <w:tc>
          <w:tcPr>
            <w:tcW w:w="692" w:type="dxa"/>
            <w:tcBorders>
              <w:bottom w:val="single" w:sz="4" w:space="0" w:color="666666" w:themeColor="text1" w:themeTint="99"/>
            </w:tcBorders>
            <w:noWrap/>
            <w:vAlign w:val="bottom"/>
          </w:tcPr>
          <w:p w14:paraId="2A857D11" w14:textId="77777777" w:rsidR="00AB6753" w:rsidRPr="00F32D92" w:rsidRDefault="00AB6753" w:rsidP="002D1EA4">
            <w:pPr>
              <w:rPr>
                <w:rFonts w:cs="Arial"/>
                <w:sz w:val="20"/>
                <w:szCs w:val="20"/>
              </w:rPr>
            </w:pPr>
            <w:r w:rsidRPr="00F32D92">
              <w:rPr>
                <w:rFonts w:cs="Arial"/>
                <w:b/>
                <w:bCs/>
                <w:color w:val="000000"/>
                <w:sz w:val="20"/>
                <w:szCs w:val="20"/>
              </w:rPr>
              <w:t>2</w:t>
            </w:r>
          </w:p>
        </w:tc>
        <w:tc>
          <w:tcPr>
            <w:tcW w:w="902" w:type="dxa"/>
            <w:tcBorders>
              <w:bottom w:val="single" w:sz="4" w:space="0" w:color="666666" w:themeColor="text1" w:themeTint="99"/>
              <w:right w:val="single" w:sz="4" w:space="0" w:color="auto"/>
            </w:tcBorders>
            <w:noWrap/>
            <w:vAlign w:val="bottom"/>
          </w:tcPr>
          <w:p w14:paraId="5E1BAD4C" w14:textId="77777777" w:rsidR="00AB6753" w:rsidRPr="00F32D92" w:rsidRDefault="00AB6753" w:rsidP="002D1EA4">
            <w:pPr>
              <w:rPr>
                <w:rFonts w:cs="Arial"/>
                <w:sz w:val="20"/>
                <w:szCs w:val="20"/>
              </w:rPr>
            </w:pPr>
            <w:r w:rsidRPr="00F32D92">
              <w:rPr>
                <w:rFonts w:cs="Arial"/>
                <w:b/>
                <w:bCs/>
                <w:color w:val="000000"/>
                <w:sz w:val="20"/>
                <w:szCs w:val="20"/>
              </w:rPr>
              <w:t>12</w:t>
            </w:r>
          </w:p>
        </w:tc>
        <w:tc>
          <w:tcPr>
            <w:tcW w:w="896" w:type="dxa"/>
            <w:tcBorders>
              <w:left w:val="single" w:sz="4" w:space="0" w:color="auto"/>
              <w:bottom w:val="single" w:sz="4" w:space="0" w:color="666666" w:themeColor="text1" w:themeTint="99"/>
            </w:tcBorders>
            <w:noWrap/>
            <w:vAlign w:val="bottom"/>
          </w:tcPr>
          <w:p w14:paraId="66D41852" w14:textId="77777777" w:rsidR="00AB6753" w:rsidRPr="00F32D92" w:rsidRDefault="00AB6753" w:rsidP="002D1EA4">
            <w:pPr>
              <w:rPr>
                <w:rFonts w:cs="Arial"/>
                <w:sz w:val="20"/>
                <w:szCs w:val="20"/>
              </w:rPr>
            </w:pPr>
            <w:r w:rsidRPr="00F32D92">
              <w:rPr>
                <w:rFonts w:cs="Arial"/>
                <w:b/>
                <w:bCs/>
                <w:color w:val="000000"/>
                <w:sz w:val="20"/>
                <w:szCs w:val="20"/>
              </w:rPr>
              <w:t>28</w:t>
            </w:r>
          </w:p>
        </w:tc>
        <w:tc>
          <w:tcPr>
            <w:tcW w:w="693" w:type="dxa"/>
            <w:tcBorders>
              <w:bottom w:val="single" w:sz="4" w:space="0" w:color="666666" w:themeColor="text1" w:themeTint="99"/>
            </w:tcBorders>
            <w:noWrap/>
            <w:vAlign w:val="bottom"/>
          </w:tcPr>
          <w:p w14:paraId="71B5E837" w14:textId="77777777" w:rsidR="00AB6753" w:rsidRPr="00F32D92" w:rsidRDefault="00AB6753" w:rsidP="002D1EA4">
            <w:pPr>
              <w:rPr>
                <w:rFonts w:cs="Arial"/>
                <w:sz w:val="20"/>
                <w:szCs w:val="20"/>
              </w:rPr>
            </w:pPr>
            <w:r w:rsidRPr="00F32D92">
              <w:rPr>
                <w:rFonts w:cs="Arial"/>
                <w:b/>
                <w:bCs/>
                <w:color w:val="000000"/>
                <w:sz w:val="20"/>
                <w:szCs w:val="20"/>
              </w:rPr>
              <w:t>7</w:t>
            </w:r>
          </w:p>
        </w:tc>
        <w:tc>
          <w:tcPr>
            <w:tcW w:w="950" w:type="dxa"/>
            <w:tcBorders>
              <w:bottom w:val="single" w:sz="4" w:space="0" w:color="666666" w:themeColor="text1" w:themeTint="99"/>
              <w:right w:val="single" w:sz="4" w:space="0" w:color="auto"/>
            </w:tcBorders>
            <w:noWrap/>
            <w:vAlign w:val="bottom"/>
          </w:tcPr>
          <w:p w14:paraId="6A9A6B6E" w14:textId="77777777" w:rsidR="00AB6753" w:rsidRPr="00F32D92" w:rsidRDefault="00AB6753" w:rsidP="002D1EA4">
            <w:pPr>
              <w:rPr>
                <w:rFonts w:cs="Arial"/>
                <w:sz w:val="20"/>
                <w:szCs w:val="20"/>
              </w:rPr>
            </w:pPr>
            <w:r w:rsidRPr="00F32D92">
              <w:rPr>
                <w:rFonts w:cs="Arial"/>
                <w:b/>
                <w:bCs/>
                <w:color w:val="000000"/>
                <w:sz w:val="20"/>
                <w:szCs w:val="20"/>
              </w:rPr>
              <w:t>35</w:t>
            </w:r>
          </w:p>
        </w:tc>
        <w:tc>
          <w:tcPr>
            <w:tcW w:w="992" w:type="dxa"/>
            <w:tcBorders>
              <w:left w:val="single" w:sz="4" w:space="0" w:color="auto"/>
              <w:bottom w:val="single" w:sz="4" w:space="0" w:color="666666" w:themeColor="text1" w:themeTint="99"/>
            </w:tcBorders>
            <w:noWrap/>
          </w:tcPr>
          <w:p w14:paraId="41185911" w14:textId="77777777" w:rsidR="00AB6753" w:rsidRPr="00F32D92" w:rsidRDefault="00AB6753" w:rsidP="002D1EA4">
            <w:pPr>
              <w:rPr>
                <w:rFonts w:cs="Arial"/>
                <w:sz w:val="20"/>
                <w:szCs w:val="20"/>
              </w:rPr>
            </w:pPr>
            <w:r w:rsidRPr="00F32D92">
              <w:rPr>
                <w:rFonts w:cs="Arial"/>
                <w:sz w:val="20"/>
                <w:szCs w:val="20"/>
              </w:rPr>
              <w:t>-</w:t>
            </w:r>
          </w:p>
        </w:tc>
        <w:tc>
          <w:tcPr>
            <w:tcW w:w="751" w:type="dxa"/>
            <w:tcBorders>
              <w:bottom w:val="single" w:sz="4" w:space="0" w:color="666666" w:themeColor="text1" w:themeTint="99"/>
            </w:tcBorders>
            <w:noWrap/>
          </w:tcPr>
          <w:p w14:paraId="5E1DAF8D" w14:textId="77777777" w:rsidR="00AB6753" w:rsidRPr="00F32D92" w:rsidRDefault="00AB6753" w:rsidP="002D1EA4">
            <w:pPr>
              <w:rPr>
                <w:rFonts w:cs="Arial"/>
                <w:sz w:val="20"/>
                <w:szCs w:val="20"/>
              </w:rPr>
            </w:pPr>
            <w:r w:rsidRPr="00F32D92">
              <w:rPr>
                <w:rFonts w:cs="Arial"/>
                <w:sz w:val="20"/>
                <w:szCs w:val="20"/>
              </w:rPr>
              <w:t>-</w:t>
            </w:r>
          </w:p>
        </w:tc>
        <w:tc>
          <w:tcPr>
            <w:tcW w:w="1561" w:type="dxa"/>
            <w:tcBorders>
              <w:bottom w:val="single" w:sz="4" w:space="0" w:color="666666" w:themeColor="text1" w:themeTint="99"/>
              <w:right w:val="single" w:sz="4" w:space="0" w:color="auto"/>
            </w:tcBorders>
            <w:noWrap/>
          </w:tcPr>
          <w:p w14:paraId="33E48DEA"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bottom w:val="single" w:sz="4" w:space="0" w:color="666666" w:themeColor="text1" w:themeTint="99"/>
              <w:right w:val="single" w:sz="4" w:space="0" w:color="666666" w:themeColor="text1" w:themeTint="99"/>
            </w:tcBorders>
          </w:tcPr>
          <w:p w14:paraId="62250DBE" w14:textId="77777777" w:rsidR="00AB6753" w:rsidRPr="00F32D92" w:rsidRDefault="00AB6753" w:rsidP="002D1EA4">
            <w:pPr>
              <w:rPr>
                <w:rFonts w:cs="Arial"/>
                <w:b/>
                <w:bCs/>
                <w:color w:val="000000"/>
                <w:sz w:val="20"/>
                <w:szCs w:val="20"/>
              </w:rPr>
            </w:pPr>
            <w:r w:rsidRPr="00F32D92">
              <w:rPr>
                <w:rFonts w:cs="Arial"/>
                <w:b/>
                <w:bCs/>
                <w:color w:val="000000"/>
                <w:sz w:val="20"/>
                <w:szCs w:val="20"/>
              </w:rPr>
              <w:t>47</w:t>
            </w:r>
          </w:p>
        </w:tc>
      </w:tr>
    </w:tbl>
    <w:p w14:paraId="3937E182" w14:textId="77777777" w:rsidR="00AB6753" w:rsidRPr="00CF02C1" w:rsidRDefault="00AB6753" w:rsidP="00AB6753"/>
    <w:p w14:paraId="2FD30B06" w14:textId="77777777" w:rsidR="00AB6753" w:rsidRDefault="00AB6753" w:rsidP="00AB6753">
      <w:r>
        <w:br w:type="page"/>
      </w:r>
    </w:p>
    <w:p w14:paraId="4E5AB401" w14:textId="77777777" w:rsidR="00AB6753" w:rsidRPr="00CF02C1" w:rsidRDefault="00AB6753" w:rsidP="00AB6753"/>
    <w:p w14:paraId="08B86781" w14:textId="77777777" w:rsidR="00AB6753" w:rsidRPr="00A050FC" w:rsidRDefault="00AB6753" w:rsidP="00AB6753">
      <w:pPr>
        <w:rPr>
          <w:rFonts w:ascii="Arial Narrow" w:hAnsi="Arial Narrow" w:cs="Calibri"/>
          <w:b/>
          <w:sz w:val="20"/>
          <w:szCs w:val="20"/>
        </w:rPr>
      </w:pPr>
      <w:r>
        <w:rPr>
          <w:rFonts w:ascii="Arial Narrow" w:hAnsi="Arial Narrow" w:cs="Calibri"/>
          <w:b/>
          <w:sz w:val="20"/>
          <w:szCs w:val="20"/>
        </w:rPr>
        <w:t xml:space="preserve">Table F-7 </w:t>
      </w:r>
      <w:r w:rsidRPr="00A050FC">
        <w:rPr>
          <w:rFonts w:ascii="Arial Narrow" w:hAnsi="Arial Narrow" w:cs="Calibri"/>
          <w:b/>
          <w:sz w:val="20"/>
          <w:szCs w:val="20"/>
        </w:rPr>
        <w:t>17AG (4)(aa) — Management of Human Resources all Ongoing Employees Previous Report Period</w:t>
      </w:r>
      <w:r>
        <w:rPr>
          <w:rFonts w:ascii="Arial Narrow" w:hAnsi="Arial Narrow" w:cs="Calibri"/>
          <w:b/>
          <w:sz w:val="20"/>
          <w:szCs w:val="20"/>
        </w:rPr>
        <w:t xml:space="preserve"> </w:t>
      </w:r>
      <w:r w:rsidRPr="00A050FC">
        <w:rPr>
          <w:rFonts w:ascii="Arial Narrow" w:hAnsi="Arial Narrow" w:cs="Calibri"/>
          <w:b/>
          <w:sz w:val="20"/>
          <w:szCs w:val="20"/>
        </w:rPr>
        <w:t>(2018–19)</w:t>
      </w:r>
      <w:bookmarkEnd w:id="288"/>
    </w:p>
    <w:tbl>
      <w:tblPr>
        <w:tblW w:w="10060" w:type="dxa"/>
        <w:jc w:val="center"/>
        <w:tblLayout w:type="fixed"/>
        <w:tblLook w:val="04A0" w:firstRow="1" w:lastRow="0" w:firstColumn="1" w:lastColumn="0" w:noHBand="0" w:noVBand="1"/>
        <w:tblCaption w:val="Table F-7 17AG (4)(aa) Management of Human Resources"/>
        <w:tblDescription w:val="Table 17AG (4)(aa) Management of Human Resources. All Ongoing Employees. Previous Report Period (2018-19) "/>
      </w:tblPr>
      <w:tblGrid>
        <w:gridCol w:w="1129"/>
        <w:gridCol w:w="851"/>
        <w:gridCol w:w="850"/>
        <w:gridCol w:w="709"/>
        <w:gridCol w:w="851"/>
        <w:gridCol w:w="850"/>
        <w:gridCol w:w="992"/>
        <w:gridCol w:w="709"/>
        <w:gridCol w:w="709"/>
        <w:gridCol w:w="1559"/>
        <w:gridCol w:w="851"/>
      </w:tblGrid>
      <w:tr w:rsidR="00AB6753" w:rsidRPr="00F32D92" w14:paraId="7DD4181E" w14:textId="77777777" w:rsidTr="002D1EA4">
        <w:trPr>
          <w:trHeight w:val="300"/>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5676AE0" w14:textId="77777777" w:rsidR="00AB6753" w:rsidRPr="00F32D92" w:rsidRDefault="00AB6753" w:rsidP="002D1EA4">
            <w:pPr>
              <w:rPr>
                <w:rFonts w:cs="Arial"/>
                <w:sz w:val="20"/>
                <w:szCs w:val="20"/>
              </w:rPr>
            </w:pPr>
            <w:bookmarkStart w:id="289" w:name="_Toc5705960"/>
          </w:p>
        </w:tc>
        <w:tc>
          <w:tcPr>
            <w:tcW w:w="241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B7BD0E5" w14:textId="77777777" w:rsidR="00AB6753" w:rsidRPr="00F32D92" w:rsidRDefault="00AB6753" w:rsidP="002D1EA4">
            <w:pPr>
              <w:rPr>
                <w:rFonts w:cs="Arial"/>
                <w:sz w:val="20"/>
                <w:szCs w:val="20"/>
              </w:rPr>
            </w:pPr>
            <w:r w:rsidRPr="00F32D92">
              <w:rPr>
                <w:rFonts w:cs="Arial"/>
                <w:sz w:val="20"/>
                <w:szCs w:val="20"/>
              </w:rPr>
              <w:t>Male</w:t>
            </w:r>
          </w:p>
        </w:tc>
        <w:tc>
          <w:tcPr>
            <w:tcW w:w="269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809998A" w14:textId="77777777" w:rsidR="00AB6753" w:rsidRPr="00F32D92" w:rsidRDefault="00AB6753" w:rsidP="002D1EA4">
            <w:pPr>
              <w:rPr>
                <w:rFonts w:cs="Arial"/>
                <w:sz w:val="20"/>
                <w:szCs w:val="20"/>
              </w:rPr>
            </w:pPr>
            <w:r w:rsidRPr="00F32D92">
              <w:rPr>
                <w:rFonts w:cs="Arial"/>
                <w:sz w:val="20"/>
                <w:szCs w:val="20"/>
              </w:rPr>
              <w:t>Female</w:t>
            </w:r>
          </w:p>
        </w:tc>
        <w:tc>
          <w:tcPr>
            <w:tcW w:w="297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3540D64" w14:textId="77777777" w:rsidR="00AB6753" w:rsidRPr="00F32D92" w:rsidRDefault="00AB6753" w:rsidP="002D1EA4">
            <w:pPr>
              <w:rPr>
                <w:rFonts w:cs="Arial"/>
                <w:sz w:val="20"/>
                <w:szCs w:val="20"/>
              </w:rPr>
            </w:pPr>
            <w:r w:rsidRPr="00F32D92">
              <w:rPr>
                <w:rFonts w:cs="Arial"/>
                <w:sz w:val="20"/>
                <w:szCs w:val="20"/>
              </w:rPr>
              <w:t>Indeterminate</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926908" w14:textId="77777777" w:rsidR="00AB6753" w:rsidRPr="00F32D92" w:rsidRDefault="00AB6753" w:rsidP="002D1EA4">
            <w:pPr>
              <w:rPr>
                <w:rFonts w:cs="Arial"/>
                <w:sz w:val="20"/>
                <w:szCs w:val="20"/>
              </w:rPr>
            </w:pPr>
            <w:r w:rsidRPr="00F32D92">
              <w:rPr>
                <w:rFonts w:cs="Arial"/>
                <w:sz w:val="20"/>
                <w:szCs w:val="20"/>
              </w:rPr>
              <w:t>Total</w:t>
            </w:r>
          </w:p>
        </w:tc>
      </w:tr>
      <w:tr w:rsidR="00AB6753" w:rsidRPr="00F32D92" w14:paraId="2D308987" w14:textId="77777777" w:rsidTr="002D1EA4">
        <w:trPr>
          <w:trHeight w:val="615"/>
          <w:jc w:val="center"/>
        </w:trPr>
        <w:tc>
          <w:tcPr>
            <w:tcW w:w="1129" w:type="dxa"/>
            <w:tcBorders>
              <w:top w:val="single" w:sz="4" w:space="0" w:color="auto"/>
              <w:left w:val="single" w:sz="4" w:space="0" w:color="auto"/>
              <w:right w:val="single" w:sz="4" w:space="0" w:color="auto"/>
            </w:tcBorders>
            <w:shd w:val="clear" w:color="auto" w:fill="BFBFBF" w:themeFill="background1" w:themeFillShade="BF"/>
            <w:noWrap/>
            <w:hideMark/>
          </w:tcPr>
          <w:p w14:paraId="4CAE2A4A" w14:textId="77777777" w:rsidR="00AB6753" w:rsidRPr="00F32D92" w:rsidRDefault="00AB6753" w:rsidP="002D1EA4">
            <w:pPr>
              <w:rPr>
                <w:rFonts w:cs="Arial"/>
                <w:sz w:val="20"/>
                <w:szCs w:val="20"/>
              </w:rPr>
            </w:pPr>
          </w:p>
        </w:tc>
        <w:tc>
          <w:tcPr>
            <w:tcW w:w="851" w:type="dxa"/>
            <w:tcBorders>
              <w:top w:val="single" w:sz="4" w:space="0" w:color="auto"/>
              <w:left w:val="single" w:sz="4" w:space="0" w:color="auto"/>
            </w:tcBorders>
            <w:shd w:val="clear" w:color="auto" w:fill="BFBFBF" w:themeFill="background1" w:themeFillShade="BF"/>
            <w:noWrap/>
            <w:hideMark/>
          </w:tcPr>
          <w:p w14:paraId="5099283B" w14:textId="77777777" w:rsidR="00AB6753" w:rsidRPr="00F32D92" w:rsidRDefault="00AB6753" w:rsidP="002D1EA4">
            <w:pPr>
              <w:rPr>
                <w:rFonts w:cs="Arial"/>
                <w:sz w:val="20"/>
                <w:szCs w:val="20"/>
              </w:rPr>
            </w:pPr>
            <w:r w:rsidRPr="00F32D92">
              <w:rPr>
                <w:rFonts w:cs="Arial"/>
                <w:sz w:val="20"/>
                <w:szCs w:val="20"/>
              </w:rPr>
              <w:t>Full-time</w:t>
            </w:r>
          </w:p>
        </w:tc>
        <w:tc>
          <w:tcPr>
            <w:tcW w:w="850" w:type="dxa"/>
            <w:tcBorders>
              <w:top w:val="single" w:sz="4" w:space="0" w:color="auto"/>
            </w:tcBorders>
            <w:shd w:val="clear" w:color="auto" w:fill="BFBFBF" w:themeFill="background1" w:themeFillShade="BF"/>
            <w:noWrap/>
            <w:hideMark/>
          </w:tcPr>
          <w:p w14:paraId="1EA946FD" w14:textId="77777777" w:rsidR="00AB6753" w:rsidRPr="00F32D92" w:rsidRDefault="00AB6753" w:rsidP="002D1EA4">
            <w:pPr>
              <w:rPr>
                <w:rFonts w:cs="Arial"/>
                <w:sz w:val="20"/>
                <w:szCs w:val="20"/>
              </w:rPr>
            </w:pPr>
            <w:r w:rsidRPr="00F32D92">
              <w:rPr>
                <w:rFonts w:cs="Arial"/>
                <w:sz w:val="20"/>
                <w:szCs w:val="20"/>
              </w:rPr>
              <w:t>Part-Time</w:t>
            </w:r>
          </w:p>
        </w:tc>
        <w:tc>
          <w:tcPr>
            <w:tcW w:w="709" w:type="dxa"/>
            <w:tcBorders>
              <w:top w:val="single" w:sz="4" w:space="0" w:color="auto"/>
              <w:right w:val="single" w:sz="4" w:space="0" w:color="auto"/>
            </w:tcBorders>
            <w:shd w:val="clear" w:color="auto" w:fill="BFBFBF" w:themeFill="background1" w:themeFillShade="BF"/>
            <w:noWrap/>
            <w:hideMark/>
          </w:tcPr>
          <w:p w14:paraId="5F150C6F" w14:textId="77777777" w:rsidR="00AB6753" w:rsidRPr="00F32D92" w:rsidRDefault="00AB6753" w:rsidP="002D1EA4">
            <w:pPr>
              <w:rPr>
                <w:rFonts w:cs="Arial"/>
                <w:sz w:val="20"/>
                <w:szCs w:val="20"/>
              </w:rPr>
            </w:pPr>
            <w:r w:rsidRPr="00F32D92">
              <w:rPr>
                <w:rFonts w:cs="Arial"/>
                <w:sz w:val="20"/>
                <w:szCs w:val="20"/>
              </w:rPr>
              <w:t>Total Male</w:t>
            </w:r>
          </w:p>
        </w:tc>
        <w:tc>
          <w:tcPr>
            <w:tcW w:w="851" w:type="dxa"/>
            <w:tcBorders>
              <w:top w:val="single" w:sz="4" w:space="0" w:color="auto"/>
              <w:left w:val="single" w:sz="4" w:space="0" w:color="auto"/>
            </w:tcBorders>
            <w:shd w:val="clear" w:color="auto" w:fill="BFBFBF" w:themeFill="background1" w:themeFillShade="BF"/>
            <w:noWrap/>
            <w:hideMark/>
          </w:tcPr>
          <w:p w14:paraId="458AE4D3" w14:textId="77777777" w:rsidR="00AB6753" w:rsidRPr="00F32D92" w:rsidRDefault="00AB6753" w:rsidP="002D1EA4">
            <w:pPr>
              <w:rPr>
                <w:rFonts w:cs="Arial"/>
                <w:sz w:val="20"/>
                <w:szCs w:val="20"/>
              </w:rPr>
            </w:pPr>
            <w:r w:rsidRPr="00F32D92">
              <w:rPr>
                <w:rFonts w:cs="Arial"/>
                <w:sz w:val="20"/>
                <w:szCs w:val="20"/>
              </w:rPr>
              <w:t>Full-time</w:t>
            </w:r>
          </w:p>
        </w:tc>
        <w:tc>
          <w:tcPr>
            <w:tcW w:w="850" w:type="dxa"/>
            <w:tcBorders>
              <w:top w:val="single" w:sz="4" w:space="0" w:color="auto"/>
            </w:tcBorders>
            <w:shd w:val="clear" w:color="auto" w:fill="BFBFBF" w:themeFill="background1" w:themeFillShade="BF"/>
            <w:noWrap/>
            <w:hideMark/>
          </w:tcPr>
          <w:p w14:paraId="7C795F12" w14:textId="77777777" w:rsidR="00AB6753" w:rsidRPr="00F32D92" w:rsidRDefault="00AB6753" w:rsidP="002D1EA4">
            <w:pPr>
              <w:rPr>
                <w:rFonts w:cs="Arial"/>
                <w:sz w:val="20"/>
                <w:szCs w:val="20"/>
              </w:rPr>
            </w:pPr>
            <w:r w:rsidRPr="00F32D92">
              <w:rPr>
                <w:rFonts w:cs="Arial"/>
                <w:sz w:val="20"/>
                <w:szCs w:val="20"/>
              </w:rPr>
              <w:t>Part-Time</w:t>
            </w:r>
          </w:p>
        </w:tc>
        <w:tc>
          <w:tcPr>
            <w:tcW w:w="992" w:type="dxa"/>
            <w:tcBorders>
              <w:top w:val="single" w:sz="4" w:space="0" w:color="auto"/>
              <w:right w:val="single" w:sz="4" w:space="0" w:color="auto"/>
            </w:tcBorders>
            <w:shd w:val="clear" w:color="auto" w:fill="BFBFBF" w:themeFill="background1" w:themeFillShade="BF"/>
            <w:noWrap/>
            <w:hideMark/>
          </w:tcPr>
          <w:p w14:paraId="57412F5F" w14:textId="77777777" w:rsidR="00AB6753" w:rsidRPr="00F32D92" w:rsidRDefault="00AB6753" w:rsidP="002D1EA4">
            <w:pPr>
              <w:rPr>
                <w:rFonts w:cs="Arial"/>
                <w:sz w:val="20"/>
                <w:szCs w:val="20"/>
              </w:rPr>
            </w:pPr>
            <w:r w:rsidRPr="00F32D92">
              <w:rPr>
                <w:rFonts w:cs="Arial"/>
                <w:sz w:val="20"/>
                <w:szCs w:val="20"/>
              </w:rPr>
              <w:t>Total Female</w:t>
            </w:r>
          </w:p>
        </w:tc>
        <w:tc>
          <w:tcPr>
            <w:tcW w:w="709" w:type="dxa"/>
            <w:tcBorders>
              <w:top w:val="single" w:sz="4" w:space="0" w:color="auto"/>
              <w:left w:val="single" w:sz="4" w:space="0" w:color="auto"/>
            </w:tcBorders>
            <w:shd w:val="clear" w:color="auto" w:fill="BFBFBF" w:themeFill="background1" w:themeFillShade="BF"/>
            <w:noWrap/>
            <w:hideMark/>
          </w:tcPr>
          <w:p w14:paraId="7AC336D6" w14:textId="77777777" w:rsidR="00AB6753" w:rsidRPr="00F32D92" w:rsidRDefault="00AB6753" w:rsidP="002D1EA4">
            <w:pPr>
              <w:rPr>
                <w:rFonts w:cs="Arial"/>
                <w:sz w:val="20"/>
                <w:szCs w:val="20"/>
              </w:rPr>
            </w:pPr>
            <w:r w:rsidRPr="00F32D92">
              <w:rPr>
                <w:rFonts w:cs="Arial"/>
                <w:sz w:val="20"/>
                <w:szCs w:val="20"/>
              </w:rPr>
              <w:t>Full-time</w:t>
            </w:r>
          </w:p>
        </w:tc>
        <w:tc>
          <w:tcPr>
            <w:tcW w:w="709" w:type="dxa"/>
            <w:tcBorders>
              <w:top w:val="single" w:sz="4" w:space="0" w:color="auto"/>
            </w:tcBorders>
            <w:shd w:val="clear" w:color="auto" w:fill="BFBFBF" w:themeFill="background1" w:themeFillShade="BF"/>
            <w:noWrap/>
            <w:hideMark/>
          </w:tcPr>
          <w:p w14:paraId="2E1B9C17" w14:textId="77777777" w:rsidR="00AB6753" w:rsidRPr="00F32D92" w:rsidRDefault="00AB6753" w:rsidP="002D1EA4">
            <w:pPr>
              <w:rPr>
                <w:rFonts w:cs="Arial"/>
                <w:sz w:val="20"/>
                <w:szCs w:val="20"/>
              </w:rPr>
            </w:pPr>
            <w:r w:rsidRPr="00F32D92">
              <w:rPr>
                <w:rFonts w:cs="Arial"/>
                <w:sz w:val="20"/>
                <w:szCs w:val="20"/>
              </w:rPr>
              <w:t>Part- Time</w:t>
            </w:r>
          </w:p>
        </w:tc>
        <w:tc>
          <w:tcPr>
            <w:tcW w:w="1559" w:type="dxa"/>
            <w:tcBorders>
              <w:top w:val="single" w:sz="4" w:space="0" w:color="auto"/>
              <w:right w:val="single" w:sz="4" w:space="0" w:color="auto"/>
            </w:tcBorders>
            <w:shd w:val="clear" w:color="auto" w:fill="BFBFBF" w:themeFill="background1" w:themeFillShade="BF"/>
            <w:hideMark/>
          </w:tcPr>
          <w:p w14:paraId="743FEB01" w14:textId="77777777" w:rsidR="00AB6753" w:rsidRPr="00F32D92" w:rsidRDefault="00AB6753" w:rsidP="002D1EA4">
            <w:pPr>
              <w:rPr>
                <w:rFonts w:cs="Arial"/>
                <w:sz w:val="20"/>
                <w:szCs w:val="20"/>
              </w:rPr>
            </w:pPr>
            <w:r w:rsidRPr="00F32D92">
              <w:rPr>
                <w:rFonts w:cs="Arial"/>
                <w:sz w:val="20"/>
                <w:szCs w:val="20"/>
              </w:rPr>
              <w:t>Total Indeterminate</w:t>
            </w:r>
          </w:p>
        </w:tc>
        <w:tc>
          <w:tcPr>
            <w:tcW w:w="851" w:type="dxa"/>
            <w:tcBorders>
              <w:top w:val="single" w:sz="4" w:space="0" w:color="auto"/>
              <w:left w:val="single" w:sz="4" w:space="0" w:color="auto"/>
              <w:right w:val="single" w:sz="4" w:space="0" w:color="auto"/>
            </w:tcBorders>
            <w:shd w:val="clear" w:color="auto" w:fill="BFBFBF" w:themeFill="background1" w:themeFillShade="BF"/>
          </w:tcPr>
          <w:p w14:paraId="53277E99" w14:textId="77777777" w:rsidR="00AB6753" w:rsidRPr="00F32D92" w:rsidRDefault="00AB6753" w:rsidP="002D1EA4">
            <w:pPr>
              <w:rPr>
                <w:rFonts w:cs="Arial"/>
                <w:sz w:val="20"/>
                <w:szCs w:val="20"/>
              </w:rPr>
            </w:pPr>
          </w:p>
        </w:tc>
      </w:tr>
      <w:tr w:rsidR="00AB6753" w:rsidRPr="00F32D92" w14:paraId="7B1A8AF6" w14:textId="77777777" w:rsidTr="002D1EA4">
        <w:trPr>
          <w:trHeight w:val="315"/>
          <w:jc w:val="center"/>
        </w:trPr>
        <w:tc>
          <w:tcPr>
            <w:tcW w:w="1129" w:type="dxa"/>
            <w:tcBorders>
              <w:left w:val="single" w:sz="4" w:space="0" w:color="auto"/>
              <w:right w:val="single" w:sz="4" w:space="0" w:color="auto"/>
            </w:tcBorders>
            <w:hideMark/>
          </w:tcPr>
          <w:p w14:paraId="3A18C0A2" w14:textId="77777777" w:rsidR="00AB6753" w:rsidRPr="00F32D92" w:rsidRDefault="00AB6753" w:rsidP="002D1EA4">
            <w:pPr>
              <w:rPr>
                <w:rFonts w:cs="Arial"/>
                <w:sz w:val="20"/>
                <w:szCs w:val="20"/>
              </w:rPr>
            </w:pPr>
            <w:r w:rsidRPr="00F32D92">
              <w:rPr>
                <w:rFonts w:cs="Arial"/>
                <w:sz w:val="20"/>
                <w:szCs w:val="20"/>
              </w:rPr>
              <w:t>NSW</w:t>
            </w:r>
          </w:p>
        </w:tc>
        <w:tc>
          <w:tcPr>
            <w:tcW w:w="851" w:type="dxa"/>
            <w:tcBorders>
              <w:left w:val="single" w:sz="4" w:space="0" w:color="auto"/>
            </w:tcBorders>
            <w:noWrap/>
            <w:vAlign w:val="bottom"/>
          </w:tcPr>
          <w:p w14:paraId="62A2D05B" w14:textId="77777777" w:rsidR="00AB6753" w:rsidRPr="00F32D92" w:rsidRDefault="00AB6753" w:rsidP="002D1EA4">
            <w:pPr>
              <w:rPr>
                <w:rFonts w:cs="Arial"/>
                <w:sz w:val="20"/>
                <w:szCs w:val="20"/>
              </w:rPr>
            </w:pPr>
            <w:r w:rsidRPr="00F32D92">
              <w:rPr>
                <w:rFonts w:cs="Arial"/>
                <w:color w:val="000000"/>
                <w:sz w:val="20"/>
                <w:szCs w:val="20"/>
              </w:rPr>
              <w:t>54</w:t>
            </w:r>
          </w:p>
        </w:tc>
        <w:tc>
          <w:tcPr>
            <w:tcW w:w="850" w:type="dxa"/>
            <w:noWrap/>
            <w:vAlign w:val="bottom"/>
            <w:hideMark/>
          </w:tcPr>
          <w:p w14:paraId="1B20142B" w14:textId="77777777" w:rsidR="00AB6753" w:rsidRPr="00F32D92" w:rsidRDefault="00AB6753" w:rsidP="002D1EA4">
            <w:pPr>
              <w:rPr>
                <w:rFonts w:cs="Arial"/>
                <w:sz w:val="20"/>
                <w:szCs w:val="20"/>
              </w:rPr>
            </w:pPr>
            <w:r w:rsidRPr="00F32D92">
              <w:rPr>
                <w:rFonts w:cs="Arial"/>
                <w:color w:val="000000"/>
                <w:sz w:val="20"/>
                <w:szCs w:val="20"/>
              </w:rPr>
              <w:t>5</w:t>
            </w:r>
          </w:p>
        </w:tc>
        <w:tc>
          <w:tcPr>
            <w:tcW w:w="709" w:type="dxa"/>
            <w:tcBorders>
              <w:right w:val="single" w:sz="4" w:space="0" w:color="auto"/>
            </w:tcBorders>
            <w:noWrap/>
            <w:vAlign w:val="bottom"/>
            <w:hideMark/>
          </w:tcPr>
          <w:p w14:paraId="38B278AF" w14:textId="77777777" w:rsidR="00AB6753" w:rsidRPr="00F32D92" w:rsidRDefault="00AB6753" w:rsidP="002D1EA4">
            <w:pPr>
              <w:rPr>
                <w:rFonts w:cs="Arial"/>
                <w:sz w:val="20"/>
                <w:szCs w:val="20"/>
              </w:rPr>
            </w:pPr>
            <w:r w:rsidRPr="00F32D92">
              <w:rPr>
                <w:rFonts w:cs="Arial"/>
                <w:color w:val="000000"/>
                <w:sz w:val="20"/>
                <w:szCs w:val="20"/>
              </w:rPr>
              <w:t>59</w:t>
            </w:r>
          </w:p>
        </w:tc>
        <w:tc>
          <w:tcPr>
            <w:tcW w:w="851" w:type="dxa"/>
            <w:tcBorders>
              <w:left w:val="single" w:sz="4" w:space="0" w:color="auto"/>
            </w:tcBorders>
            <w:noWrap/>
            <w:vAlign w:val="bottom"/>
            <w:hideMark/>
          </w:tcPr>
          <w:p w14:paraId="31CC9ADB" w14:textId="77777777" w:rsidR="00AB6753" w:rsidRPr="00F32D92" w:rsidRDefault="00AB6753" w:rsidP="002D1EA4">
            <w:pPr>
              <w:rPr>
                <w:rFonts w:cs="Arial"/>
                <w:sz w:val="20"/>
                <w:szCs w:val="20"/>
              </w:rPr>
            </w:pPr>
            <w:r w:rsidRPr="00F32D92">
              <w:rPr>
                <w:rFonts w:cs="Arial"/>
                <w:color w:val="000000"/>
                <w:sz w:val="20"/>
                <w:szCs w:val="20"/>
              </w:rPr>
              <w:t>78</w:t>
            </w:r>
          </w:p>
        </w:tc>
        <w:tc>
          <w:tcPr>
            <w:tcW w:w="850" w:type="dxa"/>
            <w:noWrap/>
            <w:vAlign w:val="bottom"/>
            <w:hideMark/>
          </w:tcPr>
          <w:p w14:paraId="115D8FC4" w14:textId="77777777" w:rsidR="00AB6753" w:rsidRPr="00F32D92" w:rsidRDefault="00AB6753" w:rsidP="002D1EA4">
            <w:pPr>
              <w:rPr>
                <w:rFonts w:cs="Arial"/>
                <w:sz w:val="20"/>
                <w:szCs w:val="20"/>
              </w:rPr>
            </w:pPr>
            <w:r w:rsidRPr="00F32D92">
              <w:rPr>
                <w:rFonts w:cs="Arial"/>
                <w:color w:val="000000"/>
                <w:sz w:val="20"/>
                <w:szCs w:val="20"/>
              </w:rPr>
              <w:t>33</w:t>
            </w:r>
          </w:p>
        </w:tc>
        <w:tc>
          <w:tcPr>
            <w:tcW w:w="992" w:type="dxa"/>
            <w:tcBorders>
              <w:right w:val="single" w:sz="4" w:space="0" w:color="auto"/>
            </w:tcBorders>
            <w:noWrap/>
            <w:vAlign w:val="bottom"/>
            <w:hideMark/>
          </w:tcPr>
          <w:p w14:paraId="4D60FB43" w14:textId="77777777" w:rsidR="00AB6753" w:rsidRPr="00F32D92" w:rsidRDefault="00AB6753" w:rsidP="002D1EA4">
            <w:pPr>
              <w:rPr>
                <w:rFonts w:cs="Arial"/>
                <w:sz w:val="20"/>
                <w:szCs w:val="20"/>
              </w:rPr>
            </w:pPr>
            <w:r w:rsidRPr="00F32D92">
              <w:rPr>
                <w:rFonts w:cs="Arial"/>
                <w:color w:val="000000"/>
                <w:sz w:val="20"/>
                <w:szCs w:val="20"/>
              </w:rPr>
              <w:t>111</w:t>
            </w:r>
          </w:p>
        </w:tc>
        <w:tc>
          <w:tcPr>
            <w:tcW w:w="709" w:type="dxa"/>
            <w:tcBorders>
              <w:left w:val="single" w:sz="4" w:space="0" w:color="auto"/>
            </w:tcBorders>
            <w:noWrap/>
            <w:hideMark/>
          </w:tcPr>
          <w:p w14:paraId="1C9427DD" w14:textId="77777777" w:rsidR="00AB6753" w:rsidRPr="00F32D92" w:rsidRDefault="00AB6753" w:rsidP="002D1EA4">
            <w:pPr>
              <w:rPr>
                <w:rFonts w:cs="Arial"/>
                <w:sz w:val="20"/>
                <w:szCs w:val="20"/>
              </w:rPr>
            </w:pPr>
            <w:r w:rsidRPr="00F32D92">
              <w:rPr>
                <w:rFonts w:cs="Arial"/>
                <w:sz w:val="20"/>
                <w:szCs w:val="20"/>
              </w:rPr>
              <w:t>-</w:t>
            </w:r>
          </w:p>
        </w:tc>
        <w:tc>
          <w:tcPr>
            <w:tcW w:w="709" w:type="dxa"/>
            <w:noWrap/>
            <w:hideMark/>
          </w:tcPr>
          <w:p w14:paraId="7AC9F9B0" w14:textId="77777777" w:rsidR="00AB6753" w:rsidRPr="00F32D92" w:rsidRDefault="00AB6753" w:rsidP="002D1EA4">
            <w:pPr>
              <w:rPr>
                <w:rFonts w:cs="Arial"/>
                <w:sz w:val="20"/>
                <w:szCs w:val="20"/>
              </w:rPr>
            </w:pPr>
            <w:r w:rsidRPr="00F32D92">
              <w:rPr>
                <w:rFonts w:cs="Arial"/>
                <w:sz w:val="20"/>
                <w:szCs w:val="20"/>
              </w:rPr>
              <w:t>-</w:t>
            </w:r>
          </w:p>
        </w:tc>
        <w:tc>
          <w:tcPr>
            <w:tcW w:w="1559" w:type="dxa"/>
            <w:tcBorders>
              <w:right w:val="single" w:sz="4" w:space="0" w:color="auto"/>
            </w:tcBorders>
            <w:noWrap/>
            <w:hideMark/>
          </w:tcPr>
          <w:p w14:paraId="317CBBD1" w14:textId="77777777" w:rsidR="00AB6753" w:rsidRPr="00F32D92" w:rsidRDefault="00AB6753" w:rsidP="002D1EA4">
            <w:pPr>
              <w:rPr>
                <w:rFonts w:cs="Arial"/>
                <w:sz w:val="20"/>
                <w:szCs w:val="20"/>
              </w:rPr>
            </w:pPr>
            <w:r w:rsidRPr="00F32D92">
              <w:rPr>
                <w:rFonts w:cs="Arial"/>
                <w:sz w:val="20"/>
                <w:szCs w:val="20"/>
              </w:rPr>
              <w:t>-</w:t>
            </w:r>
          </w:p>
        </w:tc>
        <w:tc>
          <w:tcPr>
            <w:tcW w:w="851" w:type="dxa"/>
            <w:tcBorders>
              <w:left w:val="single" w:sz="4" w:space="0" w:color="auto"/>
              <w:right w:val="single" w:sz="4" w:space="0" w:color="auto"/>
            </w:tcBorders>
            <w:vAlign w:val="bottom"/>
          </w:tcPr>
          <w:p w14:paraId="193E038A" w14:textId="77777777" w:rsidR="00AB6753" w:rsidRPr="00F32D92" w:rsidRDefault="00AB6753" w:rsidP="002D1EA4">
            <w:pPr>
              <w:rPr>
                <w:rFonts w:cs="Arial"/>
                <w:sz w:val="20"/>
                <w:szCs w:val="20"/>
              </w:rPr>
            </w:pPr>
            <w:r w:rsidRPr="00F32D92">
              <w:rPr>
                <w:rFonts w:cs="Arial"/>
                <w:color w:val="000000"/>
                <w:sz w:val="20"/>
                <w:szCs w:val="20"/>
              </w:rPr>
              <w:t>170</w:t>
            </w:r>
          </w:p>
        </w:tc>
      </w:tr>
      <w:tr w:rsidR="00AB6753" w:rsidRPr="00F32D92" w14:paraId="19676407" w14:textId="77777777" w:rsidTr="002D1EA4">
        <w:trPr>
          <w:trHeight w:val="315"/>
          <w:jc w:val="center"/>
        </w:trPr>
        <w:tc>
          <w:tcPr>
            <w:tcW w:w="1129" w:type="dxa"/>
            <w:tcBorders>
              <w:left w:val="single" w:sz="4" w:space="0" w:color="auto"/>
              <w:right w:val="single" w:sz="4" w:space="0" w:color="auto"/>
            </w:tcBorders>
            <w:hideMark/>
          </w:tcPr>
          <w:p w14:paraId="44520AA9" w14:textId="77777777" w:rsidR="00AB6753" w:rsidRPr="00F32D92" w:rsidRDefault="00AB6753" w:rsidP="002D1EA4">
            <w:pPr>
              <w:rPr>
                <w:rFonts w:cs="Arial"/>
                <w:sz w:val="20"/>
                <w:szCs w:val="20"/>
              </w:rPr>
            </w:pPr>
            <w:r w:rsidRPr="00F32D92">
              <w:rPr>
                <w:rFonts w:cs="Arial"/>
                <w:sz w:val="20"/>
                <w:szCs w:val="20"/>
              </w:rPr>
              <w:t>Qld</w:t>
            </w:r>
          </w:p>
        </w:tc>
        <w:tc>
          <w:tcPr>
            <w:tcW w:w="851" w:type="dxa"/>
            <w:tcBorders>
              <w:left w:val="single" w:sz="4" w:space="0" w:color="auto"/>
            </w:tcBorders>
            <w:noWrap/>
            <w:vAlign w:val="bottom"/>
          </w:tcPr>
          <w:p w14:paraId="1A6FC2A6" w14:textId="77777777" w:rsidR="00AB6753" w:rsidRPr="00F32D92" w:rsidRDefault="00AB6753" w:rsidP="002D1EA4">
            <w:pPr>
              <w:rPr>
                <w:rFonts w:cs="Arial"/>
                <w:color w:val="000000"/>
                <w:sz w:val="20"/>
                <w:szCs w:val="20"/>
              </w:rPr>
            </w:pPr>
            <w:r w:rsidRPr="00F32D92">
              <w:rPr>
                <w:rFonts w:cs="Arial"/>
                <w:color w:val="000000"/>
                <w:sz w:val="20"/>
                <w:szCs w:val="20"/>
              </w:rPr>
              <w:t>24</w:t>
            </w:r>
          </w:p>
        </w:tc>
        <w:tc>
          <w:tcPr>
            <w:tcW w:w="850" w:type="dxa"/>
            <w:noWrap/>
            <w:vAlign w:val="bottom"/>
            <w:hideMark/>
          </w:tcPr>
          <w:p w14:paraId="4C8B1832" w14:textId="77777777" w:rsidR="00AB6753" w:rsidRPr="00F32D92" w:rsidRDefault="00AB6753" w:rsidP="002D1EA4">
            <w:pPr>
              <w:rPr>
                <w:rFonts w:cs="Arial"/>
                <w:color w:val="000000"/>
                <w:sz w:val="20"/>
                <w:szCs w:val="20"/>
              </w:rPr>
            </w:pPr>
            <w:r w:rsidRPr="00F32D92">
              <w:rPr>
                <w:rFonts w:cs="Arial"/>
                <w:color w:val="000000"/>
                <w:sz w:val="20"/>
                <w:szCs w:val="20"/>
              </w:rPr>
              <w:t>2</w:t>
            </w:r>
          </w:p>
        </w:tc>
        <w:tc>
          <w:tcPr>
            <w:tcW w:w="709" w:type="dxa"/>
            <w:tcBorders>
              <w:right w:val="single" w:sz="4" w:space="0" w:color="auto"/>
            </w:tcBorders>
            <w:noWrap/>
            <w:vAlign w:val="bottom"/>
            <w:hideMark/>
          </w:tcPr>
          <w:p w14:paraId="0F2C115B" w14:textId="77777777" w:rsidR="00AB6753" w:rsidRPr="00F32D92" w:rsidRDefault="00AB6753" w:rsidP="002D1EA4">
            <w:pPr>
              <w:rPr>
                <w:rFonts w:cs="Arial"/>
                <w:color w:val="000000"/>
                <w:sz w:val="20"/>
                <w:szCs w:val="20"/>
              </w:rPr>
            </w:pPr>
            <w:r w:rsidRPr="00F32D92">
              <w:rPr>
                <w:rFonts w:cs="Arial"/>
                <w:color w:val="000000"/>
                <w:sz w:val="20"/>
                <w:szCs w:val="20"/>
              </w:rPr>
              <w:t>26</w:t>
            </w:r>
          </w:p>
        </w:tc>
        <w:tc>
          <w:tcPr>
            <w:tcW w:w="851" w:type="dxa"/>
            <w:tcBorders>
              <w:left w:val="single" w:sz="4" w:space="0" w:color="auto"/>
            </w:tcBorders>
            <w:noWrap/>
            <w:vAlign w:val="bottom"/>
            <w:hideMark/>
          </w:tcPr>
          <w:p w14:paraId="28A285B6" w14:textId="77777777" w:rsidR="00AB6753" w:rsidRPr="00F32D92" w:rsidRDefault="00AB6753" w:rsidP="002D1EA4">
            <w:pPr>
              <w:rPr>
                <w:rFonts w:cs="Arial"/>
                <w:color w:val="000000"/>
                <w:sz w:val="20"/>
                <w:szCs w:val="20"/>
              </w:rPr>
            </w:pPr>
            <w:r w:rsidRPr="00F32D92">
              <w:rPr>
                <w:rFonts w:cs="Arial"/>
                <w:color w:val="000000"/>
                <w:sz w:val="20"/>
                <w:szCs w:val="20"/>
              </w:rPr>
              <w:t>65</w:t>
            </w:r>
          </w:p>
        </w:tc>
        <w:tc>
          <w:tcPr>
            <w:tcW w:w="850" w:type="dxa"/>
            <w:noWrap/>
            <w:vAlign w:val="bottom"/>
            <w:hideMark/>
          </w:tcPr>
          <w:p w14:paraId="7DF04CB0" w14:textId="77777777" w:rsidR="00AB6753" w:rsidRPr="00F32D92" w:rsidRDefault="00AB6753" w:rsidP="002D1EA4">
            <w:pPr>
              <w:rPr>
                <w:rFonts w:cs="Arial"/>
                <w:color w:val="000000"/>
                <w:sz w:val="20"/>
                <w:szCs w:val="20"/>
              </w:rPr>
            </w:pPr>
            <w:r w:rsidRPr="00F32D92">
              <w:rPr>
                <w:rFonts w:cs="Arial"/>
                <w:color w:val="000000"/>
                <w:sz w:val="20"/>
                <w:szCs w:val="20"/>
              </w:rPr>
              <w:t>21</w:t>
            </w:r>
          </w:p>
        </w:tc>
        <w:tc>
          <w:tcPr>
            <w:tcW w:w="992" w:type="dxa"/>
            <w:tcBorders>
              <w:right w:val="single" w:sz="4" w:space="0" w:color="auto"/>
            </w:tcBorders>
            <w:noWrap/>
            <w:vAlign w:val="bottom"/>
            <w:hideMark/>
          </w:tcPr>
          <w:p w14:paraId="06BAF746" w14:textId="77777777" w:rsidR="00AB6753" w:rsidRPr="00F32D92" w:rsidRDefault="00AB6753" w:rsidP="002D1EA4">
            <w:pPr>
              <w:rPr>
                <w:rFonts w:cs="Arial"/>
                <w:color w:val="000000"/>
                <w:sz w:val="20"/>
                <w:szCs w:val="20"/>
              </w:rPr>
            </w:pPr>
            <w:r w:rsidRPr="00F32D92">
              <w:rPr>
                <w:rFonts w:cs="Arial"/>
                <w:color w:val="000000"/>
                <w:sz w:val="20"/>
                <w:szCs w:val="20"/>
              </w:rPr>
              <w:t>86</w:t>
            </w:r>
          </w:p>
        </w:tc>
        <w:tc>
          <w:tcPr>
            <w:tcW w:w="709" w:type="dxa"/>
            <w:tcBorders>
              <w:left w:val="single" w:sz="4" w:space="0" w:color="auto"/>
            </w:tcBorders>
            <w:noWrap/>
            <w:hideMark/>
          </w:tcPr>
          <w:p w14:paraId="4DACEB4E"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709" w:type="dxa"/>
            <w:noWrap/>
            <w:hideMark/>
          </w:tcPr>
          <w:p w14:paraId="7DCBF5FC"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1559" w:type="dxa"/>
            <w:tcBorders>
              <w:right w:val="single" w:sz="4" w:space="0" w:color="auto"/>
            </w:tcBorders>
            <w:noWrap/>
            <w:hideMark/>
          </w:tcPr>
          <w:p w14:paraId="14A8BEE8"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851" w:type="dxa"/>
            <w:tcBorders>
              <w:left w:val="single" w:sz="4" w:space="0" w:color="auto"/>
              <w:right w:val="single" w:sz="4" w:space="0" w:color="auto"/>
            </w:tcBorders>
            <w:vAlign w:val="bottom"/>
          </w:tcPr>
          <w:p w14:paraId="28B09596" w14:textId="77777777" w:rsidR="00AB6753" w:rsidRPr="00F32D92" w:rsidRDefault="00AB6753" w:rsidP="002D1EA4">
            <w:pPr>
              <w:rPr>
                <w:rFonts w:cs="Arial"/>
                <w:color w:val="000000"/>
                <w:sz w:val="20"/>
                <w:szCs w:val="20"/>
              </w:rPr>
            </w:pPr>
            <w:r w:rsidRPr="00F32D92">
              <w:rPr>
                <w:rFonts w:cs="Arial"/>
                <w:color w:val="000000"/>
                <w:sz w:val="20"/>
                <w:szCs w:val="20"/>
              </w:rPr>
              <w:t>112</w:t>
            </w:r>
          </w:p>
        </w:tc>
      </w:tr>
      <w:tr w:rsidR="00AB6753" w:rsidRPr="00F32D92" w14:paraId="12F2D328" w14:textId="77777777" w:rsidTr="002D1EA4">
        <w:trPr>
          <w:trHeight w:val="315"/>
          <w:jc w:val="center"/>
        </w:trPr>
        <w:tc>
          <w:tcPr>
            <w:tcW w:w="1129" w:type="dxa"/>
            <w:tcBorders>
              <w:left w:val="single" w:sz="4" w:space="0" w:color="auto"/>
              <w:right w:val="single" w:sz="4" w:space="0" w:color="auto"/>
            </w:tcBorders>
            <w:hideMark/>
          </w:tcPr>
          <w:p w14:paraId="2E750D6D" w14:textId="77777777" w:rsidR="00AB6753" w:rsidRPr="00F32D92" w:rsidRDefault="00AB6753" w:rsidP="002D1EA4">
            <w:pPr>
              <w:rPr>
                <w:rFonts w:cs="Arial"/>
                <w:sz w:val="20"/>
                <w:szCs w:val="20"/>
              </w:rPr>
            </w:pPr>
            <w:r w:rsidRPr="00F32D92">
              <w:rPr>
                <w:rFonts w:cs="Arial"/>
                <w:sz w:val="20"/>
                <w:szCs w:val="20"/>
              </w:rPr>
              <w:t>SA</w:t>
            </w:r>
          </w:p>
        </w:tc>
        <w:tc>
          <w:tcPr>
            <w:tcW w:w="851" w:type="dxa"/>
            <w:tcBorders>
              <w:left w:val="single" w:sz="4" w:space="0" w:color="auto"/>
            </w:tcBorders>
            <w:noWrap/>
            <w:vAlign w:val="bottom"/>
            <w:hideMark/>
          </w:tcPr>
          <w:p w14:paraId="5B90E0DE" w14:textId="77777777" w:rsidR="00AB6753" w:rsidRPr="00F32D92" w:rsidRDefault="00AB6753" w:rsidP="002D1EA4">
            <w:pPr>
              <w:rPr>
                <w:rFonts w:cs="Arial"/>
                <w:color w:val="000000"/>
                <w:sz w:val="20"/>
                <w:szCs w:val="20"/>
              </w:rPr>
            </w:pPr>
            <w:r w:rsidRPr="00F32D92">
              <w:rPr>
                <w:rFonts w:cs="Arial"/>
                <w:color w:val="000000"/>
                <w:sz w:val="20"/>
                <w:szCs w:val="20"/>
              </w:rPr>
              <w:t>14</w:t>
            </w:r>
          </w:p>
        </w:tc>
        <w:tc>
          <w:tcPr>
            <w:tcW w:w="850" w:type="dxa"/>
            <w:noWrap/>
            <w:vAlign w:val="bottom"/>
            <w:hideMark/>
          </w:tcPr>
          <w:p w14:paraId="600F8F6B" w14:textId="77777777" w:rsidR="00AB6753" w:rsidRPr="00F32D92" w:rsidRDefault="00AB6753" w:rsidP="002D1EA4">
            <w:pPr>
              <w:rPr>
                <w:rFonts w:cs="Arial"/>
                <w:color w:val="000000"/>
                <w:sz w:val="20"/>
                <w:szCs w:val="20"/>
              </w:rPr>
            </w:pPr>
            <w:r w:rsidRPr="00F32D92">
              <w:rPr>
                <w:rFonts w:cs="Arial"/>
                <w:color w:val="000000"/>
                <w:sz w:val="20"/>
                <w:szCs w:val="20"/>
              </w:rPr>
              <w:t>0</w:t>
            </w:r>
          </w:p>
        </w:tc>
        <w:tc>
          <w:tcPr>
            <w:tcW w:w="709" w:type="dxa"/>
            <w:tcBorders>
              <w:right w:val="single" w:sz="4" w:space="0" w:color="auto"/>
            </w:tcBorders>
            <w:noWrap/>
            <w:vAlign w:val="bottom"/>
            <w:hideMark/>
          </w:tcPr>
          <w:p w14:paraId="4FFDF5DB" w14:textId="77777777" w:rsidR="00AB6753" w:rsidRPr="00F32D92" w:rsidRDefault="00AB6753" w:rsidP="002D1EA4">
            <w:pPr>
              <w:rPr>
                <w:rFonts w:cs="Arial"/>
                <w:color w:val="000000"/>
                <w:sz w:val="20"/>
                <w:szCs w:val="20"/>
              </w:rPr>
            </w:pPr>
            <w:r w:rsidRPr="00F32D92">
              <w:rPr>
                <w:rFonts w:cs="Arial"/>
                <w:color w:val="000000"/>
                <w:sz w:val="20"/>
                <w:szCs w:val="20"/>
              </w:rPr>
              <w:t>14</w:t>
            </w:r>
          </w:p>
        </w:tc>
        <w:tc>
          <w:tcPr>
            <w:tcW w:w="851" w:type="dxa"/>
            <w:tcBorders>
              <w:left w:val="single" w:sz="4" w:space="0" w:color="auto"/>
            </w:tcBorders>
            <w:noWrap/>
            <w:vAlign w:val="bottom"/>
            <w:hideMark/>
          </w:tcPr>
          <w:p w14:paraId="5CCDA14F" w14:textId="77777777" w:rsidR="00AB6753" w:rsidRPr="00F32D92" w:rsidRDefault="00AB6753" w:rsidP="002D1EA4">
            <w:pPr>
              <w:rPr>
                <w:rFonts w:cs="Arial"/>
                <w:color w:val="000000"/>
                <w:sz w:val="20"/>
                <w:szCs w:val="20"/>
              </w:rPr>
            </w:pPr>
            <w:r w:rsidRPr="00F32D92">
              <w:rPr>
                <w:rFonts w:cs="Arial"/>
                <w:color w:val="000000"/>
                <w:sz w:val="20"/>
                <w:szCs w:val="20"/>
              </w:rPr>
              <w:t>45</w:t>
            </w:r>
          </w:p>
        </w:tc>
        <w:tc>
          <w:tcPr>
            <w:tcW w:w="850" w:type="dxa"/>
            <w:noWrap/>
            <w:vAlign w:val="bottom"/>
            <w:hideMark/>
          </w:tcPr>
          <w:p w14:paraId="57B229DE" w14:textId="77777777" w:rsidR="00AB6753" w:rsidRPr="00F32D92" w:rsidRDefault="00AB6753" w:rsidP="002D1EA4">
            <w:pPr>
              <w:rPr>
                <w:rFonts w:cs="Arial"/>
                <w:color w:val="000000"/>
                <w:sz w:val="20"/>
                <w:szCs w:val="20"/>
              </w:rPr>
            </w:pPr>
            <w:r w:rsidRPr="00F32D92">
              <w:rPr>
                <w:rFonts w:cs="Arial"/>
                <w:color w:val="000000"/>
                <w:sz w:val="20"/>
                <w:szCs w:val="20"/>
              </w:rPr>
              <w:t>12</w:t>
            </w:r>
          </w:p>
        </w:tc>
        <w:tc>
          <w:tcPr>
            <w:tcW w:w="992" w:type="dxa"/>
            <w:tcBorders>
              <w:right w:val="single" w:sz="4" w:space="0" w:color="auto"/>
            </w:tcBorders>
            <w:noWrap/>
            <w:vAlign w:val="bottom"/>
            <w:hideMark/>
          </w:tcPr>
          <w:p w14:paraId="68FCFF24" w14:textId="77777777" w:rsidR="00AB6753" w:rsidRPr="00F32D92" w:rsidRDefault="00AB6753" w:rsidP="002D1EA4">
            <w:pPr>
              <w:rPr>
                <w:rFonts w:cs="Arial"/>
                <w:color w:val="000000"/>
                <w:sz w:val="20"/>
                <w:szCs w:val="20"/>
              </w:rPr>
            </w:pPr>
            <w:r w:rsidRPr="00F32D92">
              <w:rPr>
                <w:rFonts w:cs="Arial"/>
                <w:color w:val="000000"/>
                <w:sz w:val="20"/>
                <w:szCs w:val="20"/>
              </w:rPr>
              <w:t>57</w:t>
            </w:r>
          </w:p>
        </w:tc>
        <w:tc>
          <w:tcPr>
            <w:tcW w:w="709" w:type="dxa"/>
            <w:tcBorders>
              <w:left w:val="single" w:sz="4" w:space="0" w:color="auto"/>
            </w:tcBorders>
            <w:noWrap/>
            <w:hideMark/>
          </w:tcPr>
          <w:p w14:paraId="4CD4EB95"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709" w:type="dxa"/>
            <w:noWrap/>
            <w:hideMark/>
          </w:tcPr>
          <w:p w14:paraId="1F5E955D"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1559" w:type="dxa"/>
            <w:tcBorders>
              <w:right w:val="single" w:sz="4" w:space="0" w:color="auto"/>
            </w:tcBorders>
            <w:noWrap/>
            <w:hideMark/>
          </w:tcPr>
          <w:p w14:paraId="0A94C949"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851" w:type="dxa"/>
            <w:tcBorders>
              <w:left w:val="single" w:sz="4" w:space="0" w:color="auto"/>
              <w:right w:val="single" w:sz="4" w:space="0" w:color="auto"/>
            </w:tcBorders>
            <w:vAlign w:val="bottom"/>
          </w:tcPr>
          <w:p w14:paraId="08FAA75A" w14:textId="77777777" w:rsidR="00AB6753" w:rsidRPr="00F32D92" w:rsidRDefault="00AB6753" w:rsidP="002D1EA4">
            <w:pPr>
              <w:rPr>
                <w:rFonts w:cs="Arial"/>
                <w:color w:val="000000"/>
                <w:sz w:val="20"/>
                <w:szCs w:val="20"/>
              </w:rPr>
            </w:pPr>
            <w:r w:rsidRPr="00F32D92">
              <w:rPr>
                <w:rFonts w:cs="Arial"/>
                <w:color w:val="000000"/>
                <w:sz w:val="20"/>
                <w:szCs w:val="20"/>
              </w:rPr>
              <w:t>71</w:t>
            </w:r>
          </w:p>
        </w:tc>
      </w:tr>
      <w:tr w:rsidR="00AB6753" w:rsidRPr="00F32D92" w14:paraId="0B27E3C0" w14:textId="77777777" w:rsidTr="002D1EA4">
        <w:trPr>
          <w:trHeight w:val="315"/>
          <w:jc w:val="center"/>
        </w:trPr>
        <w:tc>
          <w:tcPr>
            <w:tcW w:w="1129" w:type="dxa"/>
            <w:tcBorders>
              <w:left w:val="single" w:sz="4" w:space="0" w:color="auto"/>
              <w:right w:val="single" w:sz="4" w:space="0" w:color="auto"/>
            </w:tcBorders>
            <w:hideMark/>
          </w:tcPr>
          <w:p w14:paraId="089B667F" w14:textId="77777777" w:rsidR="00AB6753" w:rsidRPr="00F32D92" w:rsidRDefault="00AB6753" w:rsidP="002D1EA4">
            <w:pPr>
              <w:rPr>
                <w:rFonts w:cs="Arial"/>
                <w:sz w:val="20"/>
                <w:szCs w:val="20"/>
              </w:rPr>
            </w:pPr>
            <w:proofErr w:type="spellStart"/>
            <w:r w:rsidRPr="00F32D92">
              <w:rPr>
                <w:rFonts w:cs="Arial"/>
                <w:sz w:val="20"/>
                <w:szCs w:val="20"/>
              </w:rPr>
              <w:t>Tas</w:t>
            </w:r>
            <w:proofErr w:type="spellEnd"/>
          </w:p>
        </w:tc>
        <w:tc>
          <w:tcPr>
            <w:tcW w:w="851" w:type="dxa"/>
            <w:tcBorders>
              <w:left w:val="single" w:sz="4" w:space="0" w:color="auto"/>
            </w:tcBorders>
            <w:noWrap/>
            <w:vAlign w:val="bottom"/>
            <w:hideMark/>
          </w:tcPr>
          <w:p w14:paraId="4CB7DC1F" w14:textId="77777777" w:rsidR="00AB6753" w:rsidRPr="00F32D92" w:rsidRDefault="00AB6753" w:rsidP="002D1EA4">
            <w:pPr>
              <w:rPr>
                <w:rFonts w:cs="Arial"/>
                <w:color w:val="000000"/>
                <w:sz w:val="20"/>
                <w:szCs w:val="20"/>
              </w:rPr>
            </w:pPr>
            <w:r w:rsidRPr="00F32D92">
              <w:rPr>
                <w:rFonts w:cs="Arial"/>
                <w:color w:val="000000"/>
                <w:sz w:val="20"/>
                <w:szCs w:val="20"/>
              </w:rPr>
              <w:t>9</w:t>
            </w:r>
          </w:p>
        </w:tc>
        <w:tc>
          <w:tcPr>
            <w:tcW w:w="850" w:type="dxa"/>
            <w:noWrap/>
            <w:vAlign w:val="bottom"/>
            <w:hideMark/>
          </w:tcPr>
          <w:p w14:paraId="44845DC3" w14:textId="77777777" w:rsidR="00AB6753" w:rsidRPr="00F32D92" w:rsidRDefault="00AB6753" w:rsidP="002D1EA4">
            <w:pPr>
              <w:rPr>
                <w:rFonts w:cs="Arial"/>
                <w:color w:val="000000"/>
                <w:sz w:val="20"/>
                <w:szCs w:val="20"/>
              </w:rPr>
            </w:pPr>
            <w:r w:rsidRPr="00F32D92">
              <w:rPr>
                <w:rFonts w:cs="Arial"/>
                <w:color w:val="000000"/>
                <w:sz w:val="20"/>
                <w:szCs w:val="20"/>
              </w:rPr>
              <w:t>1</w:t>
            </w:r>
          </w:p>
        </w:tc>
        <w:tc>
          <w:tcPr>
            <w:tcW w:w="709" w:type="dxa"/>
            <w:tcBorders>
              <w:right w:val="single" w:sz="4" w:space="0" w:color="auto"/>
            </w:tcBorders>
            <w:noWrap/>
            <w:vAlign w:val="bottom"/>
            <w:hideMark/>
          </w:tcPr>
          <w:p w14:paraId="250DED24" w14:textId="77777777" w:rsidR="00AB6753" w:rsidRPr="00F32D92" w:rsidRDefault="00AB6753" w:rsidP="002D1EA4">
            <w:pPr>
              <w:rPr>
                <w:rFonts w:cs="Arial"/>
                <w:color w:val="000000"/>
                <w:sz w:val="20"/>
                <w:szCs w:val="20"/>
              </w:rPr>
            </w:pPr>
            <w:r w:rsidRPr="00F32D92">
              <w:rPr>
                <w:rFonts w:cs="Arial"/>
                <w:color w:val="000000"/>
                <w:sz w:val="20"/>
                <w:szCs w:val="20"/>
              </w:rPr>
              <w:t>10</w:t>
            </w:r>
          </w:p>
        </w:tc>
        <w:tc>
          <w:tcPr>
            <w:tcW w:w="851" w:type="dxa"/>
            <w:tcBorders>
              <w:left w:val="single" w:sz="4" w:space="0" w:color="auto"/>
            </w:tcBorders>
            <w:noWrap/>
            <w:vAlign w:val="bottom"/>
            <w:hideMark/>
          </w:tcPr>
          <w:p w14:paraId="224F35C1" w14:textId="77777777" w:rsidR="00AB6753" w:rsidRPr="00F32D92" w:rsidRDefault="00AB6753" w:rsidP="002D1EA4">
            <w:pPr>
              <w:rPr>
                <w:rFonts w:cs="Arial"/>
                <w:color w:val="000000"/>
                <w:sz w:val="20"/>
                <w:szCs w:val="20"/>
              </w:rPr>
            </w:pPr>
            <w:r w:rsidRPr="00F32D92">
              <w:rPr>
                <w:rFonts w:cs="Arial"/>
                <w:color w:val="000000"/>
                <w:sz w:val="20"/>
                <w:szCs w:val="20"/>
              </w:rPr>
              <w:t>27</w:t>
            </w:r>
          </w:p>
        </w:tc>
        <w:tc>
          <w:tcPr>
            <w:tcW w:w="850" w:type="dxa"/>
            <w:noWrap/>
            <w:vAlign w:val="bottom"/>
            <w:hideMark/>
          </w:tcPr>
          <w:p w14:paraId="53CDDF04" w14:textId="77777777" w:rsidR="00AB6753" w:rsidRPr="00F32D92" w:rsidRDefault="00AB6753" w:rsidP="002D1EA4">
            <w:pPr>
              <w:rPr>
                <w:rFonts w:cs="Arial"/>
                <w:color w:val="000000"/>
                <w:sz w:val="20"/>
                <w:szCs w:val="20"/>
              </w:rPr>
            </w:pPr>
            <w:r w:rsidRPr="00F32D92">
              <w:rPr>
                <w:rFonts w:cs="Arial"/>
                <w:color w:val="000000"/>
                <w:sz w:val="20"/>
                <w:szCs w:val="20"/>
              </w:rPr>
              <w:t>15</w:t>
            </w:r>
          </w:p>
        </w:tc>
        <w:tc>
          <w:tcPr>
            <w:tcW w:w="992" w:type="dxa"/>
            <w:tcBorders>
              <w:right w:val="single" w:sz="4" w:space="0" w:color="auto"/>
            </w:tcBorders>
            <w:noWrap/>
            <w:vAlign w:val="bottom"/>
            <w:hideMark/>
          </w:tcPr>
          <w:p w14:paraId="1BF1753F" w14:textId="77777777" w:rsidR="00AB6753" w:rsidRPr="00F32D92" w:rsidRDefault="00AB6753" w:rsidP="002D1EA4">
            <w:pPr>
              <w:rPr>
                <w:rFonts w:cs="Arial"/>
                <w:color w:val="000000"/>
                <w:sz w:val="20"/>
                <w:szCs w:val="20"/>
              </w:rPr>
            </w:pPr>
            <w:r w:rsidRPr="00F32D92">
              <w:rPr>
                <w:rFonts w:cs="Arial"/>
                <w:color w:val="000000"/>
                <w:sz w:val="20"/>
                <w:szCs w:val="20"/>
              </w:rPr>
              <w:t>42</w:t>
            </w:r>
          </w:p>
        </w:tc>
        <w:tc>
          <w:tcPr>
            <w:tcW w:w="709" w:type="dxa"/>
            <w:tcBorders>
              <w:left w:val="single" w:sz="4" w:space="0" w:color="auto"/>
            </w:tcBorders>
            <w:noWrap/>
            <w:hideMark/>
          </w:tcPr>
          <w:p w14:paraId="192BAEBB"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709" w:type="dxa"/>
            <w:noWrap/>
            <w:hideMark/>
          </w:tcPr>
          <w:p w14:paraId="3BDB024B"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1559" w:type="dxa"/>
            <w:tcBorders>
              <w:right w:val="single" w:sz="4" w:space="0" w:color="auto"/>
            </w:tcBorders>
            <w:noWrap/>
            <w:hideMark/>
          </w:tcPr>
          <w:p w14:paraId="5BF3C03A"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851" w:type="dxa"/>
            <w:tcBorders>
              <w:left w:val="single" w:sz="4" w:space="0" w:color="auto"/>
              <w:right w:val="single" w:sz="4" w:space="0" w:color="auto"/>
            </w:tcBorders>
            <w:vAlign w:val="bottom"/>
          </w:tcPr>
          <w:p w14:paraId="312247C3" w14:textId="77777777" w:rsidR="00AB6753" w:rsidRPr="00F32D92" w:rsidRDefault="00AB6753" w:rsidP="002D1EA4">
            <w:pPr>
              <w:rPr>
                <w:rFonts w:cs="Arial"/>
                <w:color w:val="000000"/>
                <w:sz w:val="20"/>
                <w:szCs w:val="20"/>
              </w:rPr>
            </w:pPr>
            <w:r w:rsidRPr="00F32D92">
              <w:rPr>
                <w:rFonts w:cs="Arial"/>
                <w:color w:val="000000"/>
                <w:sz w:val="20"/>
                <w:szCs w:val="20"/>
              </w:rPr>
              <w:t>52</w:t>
            </w:r>
          </w:p>
        </w:tc>
      </w:tr>
      <w:tr w:rsidR="00AB6753" w:rsidRPr="00F32D92" w14:paraId="03AC6254" w14:textId="77777777" w:rsidTr="002D1EA4">
        <w:trPr>
          <w:trHeight w:val="315"/>
          <w:jc w:val="center"/>
        </w:trPr>
        <w:tc>
          <w:tcPr>
            <w:tcW w:w="1129" w:type="dxa"/>
            <w:tcBorders>
              <w:left w:val="single" w:sz="4" w:space="0" w:color="auto"/>
              <w:right w:val="single" w:sz="4" w:space="0" w:color="auto"/>
            </w:tcBorders>
            <w:hideMark/>
          </w:tcPr>
          <w:p w14:paraId="14590369" w14:textId="77777777" w:rsidR="00AB6753" w:rsidRPr="00F32D92" w:rsidRDefault="00AB6753" w:rsidP="002D1EA4">
            <w:pPr>
              <w:rPr>
                <w:rFonts w:cs="Arial"/>
                <w:sz w:val="20"/>
                <w:szCs w:val="20"/>
              </w:rPr>
            </w:pPr>
            <w:r w:rsidRPr="00F32D92">
              <w:rPr>
                <w:rFonts w:cs="Arial"/>
                <w:sz w:val="20"/>
                <w:szCs w:val="20"/>
              </w:rPr>
              <w:t>Vic</w:t>
            </w:r>
          </w:p>
        </w:tc>
        <w:tc>
          <w:tcPr>
            <w:tcW w:w="851" w:type="dxa"/>
            <w:tcBorders>
              <w:left w:val="single" w:sz="4" w:space="0" w:color="auto"/>
            </w:tcBorders>
            <w:noWrap/>
            <w:vAlign w:val="bottom"/>
            <w:hideMark/>
          </w:tcPr>
          <w:p w14:paraId="35E491A3" w14:textId="77777777" w:rsidR="00AB6753" w:rsidRPr="00F32D92" w:rsidRDefault="00AB6753" w:rsidP="002D1EA4">
            <w:pPr>
              <w:rPr>
                <w:rFonts w:cs="Arial"/>
                <w:color w:val="000000"/>
                <w:sz w:val="20"/>
                <w:szCs w:val="20"/>
              </w:rPr>
            </w:pPr>
            <w:r w:rsidRPr="00F32D92">
              <w:rPr>
                <w:rFonts w:cs="Arial"/>
                <w:color w:val="000000"/>
                <w:sz w:val="20"/>
                <w:szCs w:val="20"/>
              </w:rPr>
              <w:t>38</w:t>
            </w:r>
          </w:p>
        </w:tc>
        <w:tc>
          <w:tcPr>
            <w:tcW w:w="850" w:type="dxa"/>
            <w:noWrap/>
            <w:vAlign w:val="bottom"/>
            <w:hideMark/>
          </w:tcPr>
          <w:p w14:paraId="1CB3E06D" w14:textId="77777777" w:rsidR="00AB6753" w:rsidRPr="00F32D92" w:rsidRDefault="00AB6753" w:rsidP="002D1EA4">
            <w:pPr>
              <w:rPr>
                <w:rFonts w:cs="Arial"/>
                <w:color w:val="000000"/>
                <w:sz w:val="20"/>
                <w:szCs w:val="20"/>
              </w:rPr>
            </w:pPr>
            <w:r w:rsidRPr="00F32D92">
              <w:rPr>
                <w:rFonts w:cs="Arial"/>
                <w:color w:val="000000"/>
                <w:sz w:val="20"/>
                <w:szCs w:val="20"/>
              </w:rPr>
              <w:t>4</w:t>
            </w:r>
          </w:p>
        </w:tc>
        <w:tc>
          <w:tcPr>
            <w:tcW w:w="709" w:type="dxa"/>
            <w:tcBorders>
              <w:right w:val="single" w:sz="4" w:space="0" w:color="auto"/>
            </w:tcBorders>
            <w:noWrap/>
            <w:vAlign w:val="bottom"/>
            <w:hideMark/>
          </w:tcPr>
          <w:p w14:paraId="3BB570A4" w14:textId="77777777" w:rsidR="00AB6753" w:rsidRPr="00F32D92" w:rsidRDefault="00AB6753" w:rsidP="002D1EA4">
            <w:pPr>
              <w:rPr>
                <w:rFonts w:cs="Arial"/>
                <w:color w:val="000000"/>
                <w:sz w:val="20"/>
                <w:szCs w:val="20"/>
              </w:rPr>
            </w:pPr>
            <w:r w:rsidRPr="00F32D92">
              <w:rPr>
                <w:rFonts w:cs="Arial"/>
                <w:color w:val="000000"/>
                <w:sz w:val="20"/>
                <w:szCs w:val="20"/>
              </w:rPr>
              <w:t>42</w:t>
            </w:r>
          </w:p>
        </w:tc>
        <w:tc>
          <w:tcPr>
            <w:tcW w:w="851" w:type="dxa"/>
            <w:tcBorders>
              <w:left w:val="single" w:sz="4" w:space="0" w:color="auto"/>
            </w:tcBorders>
            <w:noWrap/>
            <w:vAlign w:val="bottom"/>
            <w:hideMark/>
          </w:tcPr>
          <w:p w14:paraId="3AAF2283" w14:textId="77777777" w:rsidR="00AB6753" w:rsidRPr="00F32D92" w:rsidRDefault="00AB6753" w:rsidP="002D1EA4">
            <w:pPr>
              <w:rPr>
                <w:rFonts w:cs="Arial"/>
                <w:color w:val="000000"/>
                <w:sz w:val="20"/>
                <w:szCs w:val="20"/>
              </w:rPr>
            </w:pPr>
            <w:r w:rsidRPr="00F32D92">
              <w:rPr>
                <w:rFonts w:cs="Arial"/>
                <w:color w:val="000000"/>
                <w:sz w:val="20"/>
                <w:szCs w:val="20"/>
              </w:rPr>
              <w:t>75</w:t>
            </w:r>
          </w:p>
        </w:tc>
        <w:tc>
          <w:tcPr>
            <w:tcW w:w="850" w:type="dxa"/>
            <w:noWrap/>
            <w:vAlign w:val="bottom"/>
            <w:hideMark/>
          </w:tcPr>
          <w:p w14:paraId="6BCBDABF" w14:textId="77777777" w:rsidR="00AB6753" w:rsidRPr="00F32D92" w:rsidRDefault="00AB6753" w:rsidP="002D1EA4">
            <w:pPr>
              <w:rPr>
                <w:rFonts w:cs="Arial"/>
                <w:color w:val="000000"/>
                <w:sz w:val="20"/>
                <w:szCs w:val="20"/>
              </w:rPr>
            </w:pPr>
            <w:r w:rsidRPr="00F32D92">
              <w:rPr>
                <w:rFonts w:cs="Arial"/>
                <w:color w:val="000000"/>
                <w:sz w:val="20"/>
                <w:szCs w:val="20"/>
              </w:rPr>
              <w:t>35</w:t>
            </w:r>
          </w:p>
        </w:tc>
        <w:tc>
          <w:tcPr>
            <w:tcW w:w="992" w:type="dxa"/>
            <w:tcBorders>
              <w:right w:val="single" w:sz="4" w:space="0" w:color="auto"/>
            </w:tcBorders>
            <w:noWrap/>
            <w:vAlign w:val="bottom"/>
            <w:hideMark/>
          </w:tcPr>
          <w:p w14:paraId="0693C574" w14:textId="77777777" w:rsidR="00AB6753" w:rsidRPr="00F32D92" w:rsidRDefault="00AB6753" w:rsidP="002D1EA4">
            <w:pPr>
              <w:rPr>
                <w:rFonts w:cs="Arial"/>
                <w:color w:val="000000"/>
                <w:sz w:val="20"/>
                <w:szCs w:val="20"/>
              </w:rPr>
            </w:pPr>
            <w:r w:rsidRPr="00F32D92">
              <w:rPr>
                <w:rFonts w:cs="Arial"/>
                <w:color w:val="000000"/>
                <w:sz w:val="20"/>
                <w:szCs w:val="20"/>
              </w:rPr>
              <w:t>110</w:t>
            </w:r>
          </w:p>
        </w:tc>
        <w:tc>
          <w:tcPr>
            <w:tcW w:w="709" w:type="dxa"/>
            <w:tcBorders>
              <w:left w:val="single" w:sz="4" w:space="0" w:color="auto"/>
            </w:tcBorders>
            <w:noWrap/>
            <w:hideMark/>
          </w:tcPr>
          <w:p w14:paraId="6E0AB48D"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709" w:type="dxa"/>
            <w:noWrap/>
            <w:hideMark/>
          </w:tcPr>
          <w:p w14:paraId="2BBD7504"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1559" w:type="dxa"/>
            <w:tcBorders>
              <w:right w:val="single" w:sz="4" w:space="0" w:color="auto"/>
            </w:tcBorders>
            <w:noWrap/>
            <w:hideMark/>
          </w:tcPr>
          <w:p w14:paraId="1E3EF498"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851" w:type="dxa"/>
            <w:tcBorders>
              <w:left w:val="single" w:sz="4" w:space="0" w:color="auto"/>
              <w:right w:val="single" w:sz="4" w:space="0" w:color="auto"/>
            </w:tcBorders>
            <w:vAlign w:val="bottom"/>
          </w:tcPr>
          <w:p w14:paraId="703A3266" w14:textId="77777777" w:rsidR="00AB6753" w:rsidRPr="00F32D92" w:rsidRDefault="00AB6753" w:rsidP="002D1EA4">
            <w:pPr>
              <w:rPr>
                <w:rFonts w:cs="Arial"/>
                <w:color w:val="000000"/>
                <w:sz w:val="20"/>
                <w:szCs w:val="20"/>
              </w:rPr>
            </w:pPr>
            <w:r w:rsidRPr="00F32D92">
              <w:rPr>
                <w:rFonts w:cs="Arial"/>
                <w:color w:val="000000"/>
                <w:sz w:val="20"/>
                <w:szCs w:val="20"/>
              </w:rPr>
              <w:t>152</w:t>
            </w:r>
          </w:p>
        </w:tc>
      </w:tr>
      <w:tr w:rsidR="00AB6753" w:rsidRPr="00F32D92" w14:paraId="121A9659" w14:textId="77777777" w:rsidTr="002D1EA4">
        <w:trPr>
          <w:trHeight w:val="315"/>
          <w:jc w:val="center"/>
        </w:trPr>
        <w:tc>
          <w:tcPr>
            <w:tcW w:w="1129" w:type="dxa"/>
            <w:tcBorders>
              <w:left w:val="single" w:sz="4" w:space="0" w:color="auto"/>
              <w:right w:val="single" w:sz="4" w:space="0" w:color="auto"/>
            </w:tcBorders>
            <w:hideMark/>
          </w:tcPr>
          <w:p w14:paraId="0744D9F4" w14:textId="77777777" w:rsidR="00AB6753" w:rsidRPr="00F32D92" w:rsidRDefault="00AB6753" w:rsidP="002D1EA4">
            <w:pPr>
              <w:rPr>
                <w:rFonts w:cs="Arial"/>
                <w:sz w:val="20"/>
                <w:szCs w:val="20"/>
              </w:rPr>
            </w:pPr>
            <w:r w:rsidRPr="00F32D92">
              <w:rPr>
                <w:rFonts w:cs="Arial"/>
                <w:sz w:val="20"/>
                <w:szCs w:val="20"/>
              </w:rPr>
              <w:t>WA</w:t>
            </w:r>
          </w:p>
        </w:tc>
        <w:tc>
          <w:tcPr>
            <w:tcW w:w="851" w:type="dxa"/>
            <w:tcBorders>
              <w:left w:val="single" w:sz="4" w:space="0" w:color="auto"/>
            </w:tcBorders>
            <w:noWrap/>
            <w:vAlign w:val="bottom"/>
            <w:hideMark/>
          </w:tcPr>
          <w:p w14:paraId="776A2A46" w14:textId="77777777" w:rsidR="00AB6753" w:rsidRPr="00F32D92" w:rsidRDefault="00AB6753" w:rsidP="002D1EA4">
            <w:pPr>
              <w:rPr>
                <w:rFonts w:cs="Arial"/>
                <w:color w:val="000000"/>
                <w:sz w:val="20"/>
                <w:szCs w:val="20"/>
              </w:rPr>
            </w:pPr>
            <w:r w:rsidRPr="00F32D92">
              <w:rPr>
                <w:rFonts w:cs="Arial"/>
                <w:color w:val="000000"/>
                <w:sz w:val="20"/>
                <w:szCs w:val="20"/>
              </w:rPr>
              <w:t>16</w:t>
            </w:r>
          </w:p>
        </w:tc>
        <w:tc>
          <w:tcPr>
            <w:tcW w:w="850" w:type="dxa"/>
            <w:noWrap/>
            <w:vAlign w:val="bottom"/>
            <w:hideMark/>
          </w:tcPr>
          <w:p w14:paraId="3EE4A7F4" w14:textId="77777777" w:rsidR="00AB6753" w:rsidRPr="00F32D92" w:rsidRDefault="00AB6753" w:rsidP="002D1EA4">
            <w:pPr>
              <w:rPr>
                <w:rFonts w:cs="Arial"/>
                <w:color w:val="000000"/>
                <w:sz w:val="20"/>
                <w:szCs w:val="20"/>
              </w:rPr>
            </w:pPr>
            <w:r w:rsidRPr="00F32D92">
              <w:rPr>
                <w:rFonts w:cs="Arial"/>
                <w:color w:val="000000"/>
                <w:sz w:val="20"/>
                <w:szCs w:val="20"/>
              </w:rPr>
              <w:t>4</w:t>
            </w:r>
          </w:p>
        </w:tc>
        <w:tc>
          <w:tcPr>
            <w:tcW w:w="709" w:type="dxa"/>
            <w:tcBorders>
              <w:right w:val="single" w:sz="4" w:space="0" w:color="auto"/>
            </w:tcBorders>
            <w:noWrap/>
            <w:vAlign w:val="bottom"/>
            <w:hideMark/>
          </w:tcPr>
          <w:p w14:paraId="650C2477" w14:textId="77777777" w:rsidR="00AB6753" w:rsidRPr="00F32D92" w:rsidRDefault="00AB6753" w:rsidP="002D1EA4">
            <w:pPr>
              <w:rPr>
                <w:rFonts w:cs="Arial"/>
                <w:color w:val="000000"/>
                <w:sz w:val="20"/>
                <w:szCs w:val="20"/>
              </w:rPr>
            </w:pPr>
            <w:r w:rsidRPr="00F32D92">
              <w:rPr>
                <w:rFonts w:cs="Arial"/>
                <w:color w:val="000000"/>
                <w:sz w:val="20"/>
                <w:szCs w:val="20"/>
              </w:rPr>
              <w:t>20</w:t>
            </w:r>
          </w:p>
        </w:tc>
        <w:tc>
          <w:tcPr>
            <w:tcW w:w="851" w:type="dxa"/>
            <w:tcBorders>
              <w:left w:val="single" w:sz="4" w:space="0" w:color="auto"/>
            </w:tcBorders>
            <w:noWrap/>
            <w:vAlign w:val="bottom"/>
            <w:hideMark/>
          </w:tcPr>
          <w:p w14:paraId="1DDFC77E" w14:textId="77777777" w:rsidR="00AB6753" w:rsidRPr="00F32D92" w:rsidRDefault="00AB6753" w:rsidP="002D1EA4">
            <w:pPr>
              <w:rPr>
                <w:rFonts w:cs="Arial"/>
                <w:color w:val="000000"/>
                <w:sz w:val="20"/>
                <w:szCs w:val="20"/>
              </w:rPr>
            </w:pPr>
            <w:r w:rsidRPr="00F32D92">
              <w:rPr>
                <w:rFonts w:cs="Arial"/>
                <w:color w:val="000000"/>
                <w:sz w:val="20"/>
                <w:szCs w:val="20"/>
              </w:rPr>
              <w:t>38</w:t>
            </w:r>
          </w:p>
        </w:tc>
        <w:tc>
          <w:tcPr>
            <w:tcW w:w="850" w:type="dxa"/>
            <w:noWrap/>
            <w:vAlign w:val="bottom"/>
            <w:hideMark/>
          </w:tcPr>
          <w:p w14:paraId="2CF4F395" w14:textId="77777777" w:rsidR="00AB6753" w:rsidRPr="00F32D92" w:rsidRDefault="00AB6753" w:rsidP="002D1EA4">
            <w:pPr>
              <w:rPr>
                <w:rFonts w:cs="Arial"/>
                <w:color w:val="000000"/>
                <w:sz w:val="20"/>
                <w:szCs w:val="20"/>
              </w:rPr>
            </w:pPr>
            <w:r w:rsidRPr="00F32D92">
              <w:rPr>
                <w:rFonts w:cs="Arial"/>
                <w:color w:val="000000"/>
                <w:sz w:val="20"/>
                <w:szCs w:val="20"/>
              </w:rPr>
              <w:t>19</w:t>
            </w:r>
          </w:p>
        </w:tc>
        <w:tc>
          <w:tcPr>
            <w:tcW w:w="992" w:type="dxa"/>
            <w:tcBorders>
              <w:right w:val="single" w:sz="4" w:space="0" w:color="auto"/>
            </w:tcBorders>
            <w:noWrap/>
            <w:vAlign w:val="bottom"/>
            <w:hideMark/>
          </w:tcPr>
          <w:p w14:paraId="4C31678E" w14:textId="77777777" w:rsidR="00AB6753" w:rsidRPr="00F32D92" w:rsidRDefault="00AB6753" w:rsidP="002D1EA4">
            <w:pPr>
              <w:rPr>
                <w:rFonts w:cs="Arial"/>
                <w:color w:val="000000"/>
                <w:sz w:val="20"/>
                <w:szCs w:val="20"/>
              </w:rPr>
            </w:pPr>
            <w:r w:rsidRPr="00F32D92">
              <w:rPr>
                <w:rFonts w:cs="Arial"/>
                <w:color w:val="000000"/>
                <w:sz w:val="20"/>
                <w:szCs w:val="20"/>
              </w:rPr>
              <w:t>57</w:t>
            </w:r>
          </w:p>
        </w:tc>
        <w:tc>
          <w:tcPr>
            <w:tcW w:w="709" w:type="dxa"/>
            <w:tcBorders>
              <w:left w:val="single" w:sz="4" w:space="0" w:color="auto"/>
            </w:tcBorders>
            <w:noWrap/>
            <w:hideMark/>
          </w:tcPr>
          <w:p w14:paraId="1E5E96EB"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709" w:type="dxa"/>
            <w:noWrap/>
            <w:hideMark/>
          </w:tcPr>
          <w:p w14:paraId="2DD0712A"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1559" w:type="dxa"/>
            <w:tcBorders>
              <w:right w:val="single" w:sz="4" w:space="0" w:color="auto"/>
            </w:tcBorders>
            <w:noWrap/>
            <w:hideMark/>
          </w:tcPr>
          <w:p w14:paraId="30923026"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851" w:type="dxa"/>
            <w:tcBorders>
              <w:left w:val="single" w:sz="4" w:space="0" w:color="auto"/>
              <w:right w:val="single" w:sz="4" w:space="0" w:color="auto"/>
            </w:tcBorders>
            <w:vAlign w:val="bottom"/>
          </w:tcPr>
          <w:p w14:paraId="734DFE1D" w14:textId="77777777" w:rsidR="00AB6753" w:rsidRPr="00F32D92" w:rsidRDefault="00AB6753" w:rsidP="002D1EA4">
            <w:pPr>
              <w:rPr>
                <w:rFonts w:cs="Arial"/>
                <w:color w:val="000000"/>
                <w:sz w:val="20"/>
                <w:szCs w:val="20"/>
              </w:rPr>
            </w:pPr>
            <w:r w:rsidRPr="00F32D92">
              <w:rPr>
                <w:rFonts w:cs="Arial"/>
                <w:color w:val="000000"/>
                <w:sz w:val="20"/>
                <w:szCs w:val="20"/>
              </w:rPr>
              <w:t>77</w:t>
            </w:r>
          </w:p>
        </w:tc>
      </w:tr>
      <w:tr w:rsidR="00AB6753" w:rsidRPr="00F32D92" w14:paraId="648DB77F" w14:textId="77777777" w:rsidTr="002D1EA4">
        <w:trPr>
          <w:trHeight w:val="315"/>
          <w:jc w:val="center"/>
        </w:trPr>
        <w:tc>
          <w:tcPr>
            <w:tcW w:w="1129" w:type="dxa"/>
            <w:tcBorders>
              <w:left w:val="single" w:sz="4" w:space="0" w:color="auto"/>
              <w:right w:val="single" w:sz="4" w:space="0" w:color="auto"/>
            </w:tcBorders>
            <w:hideMark/>
          </w:tcPr>
          <w:p w14:paraId="210698E5" w14:textId="77777777" w:rsidR="00AB6753" w:rsidRPr="00F32D92" w:rsidRDefault="00AB6753" w:rsidP="002D1EA4">
            <w:pPr>
              <w:rPr>
                <w:rFonts w:cs="Arial"/>
                <w:sz w:val="20"/>
                <w:szCs w:val="20"/>
              </w:rPr>
            </w:pPr>
            <w:r w:rsidRPr="00F32D92">
              <w:rPr>
                <w:rFonts w:cs="Arial"/>
                <w:sz w:val="20"/>
                <w:szCs w:val="20"/>
              </w:rPr>
              <w:t>ACT</w:t>
            </w:r>
          </w:p>
        </w:tc>
        <w:tc>
          <w:tcPr>
            <w:tcW w:w="851" w:type="dxa"/>
            <w:tcBorders>
              <w:left w:val="single" w:sz="4" w:space="0" w:color="auto"/>
            </w:tcBorders>
            <w:noWrap/>
            <w:vAlign w:val="bottom"/>
            <w:hideMark/>
          </w:tcPr>
          <w:p w14:paraId="15244463" w14:textId="77777777" w:rsidR="00AB6753" w:rsidRPr="00F32D92" w:rsidRDefault="00AB6753" w:rsidP="002D1EA4">
            <w:pPr>
              <w:rPr>
                <w:rFonts w:cs="Arial"/>
                <w:color w:val="000000"/>
                <w:sz w:val="20"/>
                <w:szCs w:val="20"/>
              </w:rPr>
            </w:pPr>
            <w:r w:rsidRPr="00F32D92">
              <w:rPr>
                <w:rFonts w:cs="Arial"/>
                <w:color w:val="000000"/>
                <w:sz w:val="20"/>
                <w:szCs w:val="20"/>
              </w:rPr>
              <w:t>589</w:t>
            </w:r>
          </w:p>
        </w:tc>
        <w:tc>
          <w:tcPr>
            <w:tcW w:w="850" w:type="dxa"/>
            <w:noWrap/>
            <w:vAlign w:val="bottom"/>
            <w:hideMark/>
          </w:tcPr>
          <w:p w14:paraId="2B605079" w14:textId="77777777" w:rsidR="00AB6753" w:rsidRPr="00F32D92" w:rsidRDefault="00AB6753" w:rsidP="002D1EA4">
            <w:pPr>
              <w:rPr>
                <w:rFonts w:cs="Arial"/>
                <w:color w:val="000000"/>
                <w:sz w:val="20"/>
                <w:szCs w:val="20"/>
              </w:rPr>
            </w:pPr>
            <w:r w:rsidRPr="00F32D92">
              <w:rPr>
                <w:rFonts w:cs="Arial"/>
                <w:color w:val="000000"/>
                <w:sz w:val="20"/>
                <w:szCs w:val="20"/>
              </w:rPr>
              <w:t>33</w:t>
            </w:r>
          </w:p>
        </w:tc>
        <w:tc>
          <w:tcPr>
            <w:tcW w:w="709" w:type="dxa"/>
            <w:tcBorders>
              <w:right w:val="single" w:sz="4" w:space="0" w:color="auto"/>
            </w:tcBorders>
            <w:noWrap/>
            <w:vAlign w:val="bottom"/>
            <w:hideMark/>
          </w:tcPr>
          <w:p w14:paraId="28FC08E0" w14:textId="77777777" w:rsidR="00AB6753" w:rsidRPr="00F32D92" w:rsidRDefault="00AB6753" w:rsidP="002D1EA4">
            <w:pPr>
              <w:rPr>
                <w:rFonts w:cs="Arial"/>
                <w:color w:val="000000"/>
                <w:sz w:val="20"/>
                <w:szCs w:val="20"/>
              </w:rPr>
            </w:pPr>
            <w:r w:rsidRPr="00F32D92">
              <w:rPr>
                <w:rFonts w:cs="Arial"/>
                <w:color w:val="000000"/>
                <w:sz w:val="20"/>
                <w:szCs w:val="20"/>
              </w:rPr>
              <w:t>622</w:t>
            </w:r>
          </w:p>
        </w:tc>
        <w:tc>
          <w:tcPr>
            <w:tcW w:w="851" w:type="dxa"/>
            <w:tcBorders>
              <w:left w:val="single" w:sz="4" w:space="0" w:color="auto"/>
            </w:tcBorders>
            <w:noWrap/>
            <w:vAlign w:val="bottom"/>
            <w:hideMark/>
          </w:tcPr>
          <w:p w14:paraId="67ED47D3" w14:textId="77777777" w:rsidR="00AB6753" w:rsidRPr="00F32D92" w:rsidRDefault="00AB6753" w:rsidP="002D1EA4">
            <w:pPr>
              <w:rPr>
                <w:rFonts w:cs="Arial"/>
                <w:color w:val="000000"/>
                <w:sz w:val="20"/>
                <w:szCs w:val="20"/>
              </w:rPr>
            </w:pPr>
            <w:r w:rsidRPr="00F32D92">
              <w:rPr>
                <w:rFonts w:cs="Arial"/>
                <w:color w:val="000000"/>
                <w:sz w:val="20"/>
                <w:szCs w:val="20"/>
              </w:rPr>
              <w:t>934</w:t>
            </w:r>
          </w:p>
        </w:tc>
        <w:tc>
          <w:tcPr>
            <w:tcW w:w="850" w:type="dxa"/>
            <w:noWrap/>
            <w:vAlign w:val="bottom"/>
            <w:hideMark/>
          </w:tcPr>
          <w:p w14:paraId="14E94A50" w14:textId="77777777" w:rsidR="00AB6753" w:rsidRPr="00F32D92" w:rsidRDefault="00AB6753" w:rsidP="002D1EA4">
            <w:pPr>
              <w:rPr>
                <w:rFonts w:cs="Arial"/>
                <w:color w:val="000000"/>
                <w:sz w:val="20"/>
                <w:szCs w:val="20"/>
              </w:rPr>
            </w:pPr>
            <w:r w:rsidRPr="00F32D92">
              <w:rPr>
                <w:rFonts w:cs="Arial"/>
                <w:color w:val="000000"/>
                <w:sz w:val="20"/>
                <w:szCs w:val="20"/>
              </w:rPr>
              <w:t>293</w:t>
            </w:r>
          </w:p>
        </w:tc>
        <w:tc>
          <w:tcPr>
            <w:tcW w:w="992" w:type="dxa"/>
            <w:tcBorders>
              <w:right w:val="single" w:sz="4" w:space="0" w:color="auto"/>
            </w:tcBorders>
            <w:noWrap/>
            <w:vAlign w:val="bottom"/>
            <w:hideMark/>
          </w:tcPr>
          <w:p w14:paraId="54D49EAD" w14:textId="77777777" w:rsidR="00AB6753" w:rsidRPr="00F32D92" w:rsidRDefault="00AB6753" w:rsidP="002D1EA4">
            <w:pPr>
              <w:rPr>
                <w:rFonts w:cs="Arial"/>
                <w:color w:val="000000"/>
                <w:sz w:val="20"/>
                <w:szCs w:val="20"/>
              </w:rPr>
            </w:pPr>
            <w:r w:rsidRPr="00F32D92">
              <w:rPr>
                <w:rFonts w:cs="Arial"/>
                <w:color w:val="000000"/>
                <w:sz w:val="20"/>
                <w:szCs w:val="20"/>
              </w:rPr>
              <w:t>1</w:t>
            </w:r>
            <w:r>
              <w:rPr>
                <w:rFonts w:cs="Arial"/>
                <w:color w:val="000000"/>
                <w:sz w:val="20"/>
                <w:szCs w:val="20"/>
              </w:rPr>
              <w:t>,</w:t>
            </w:r>
            <w:r w:rsidRPr="00F32D92">
              <w:rPr>
                <w:rFonts w:cs="Arial"/>
                <w:color w:val="000000"/>
                <w:sz w:val="20"/>
                <w:szCs w:val="20"/>
              </w:rPr>
              <w:t>227</w:t>
            </w:r>
          </w:p>
        </w:tc>
        <w:tc>
          <w:tcPr>
            <w:tcW w:w="709" w:type="dxa"/>
            <w:tcBorders>
              <w:left w:val="single" w:sz="4" w:space="0" w:color="auto"/>
            </w:tcBorders>
            <w:noWrap/>
            <w:hideMark/>
          </w:tcPr>
          <w:p w14:paraId="7BD834DA"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709" w:type="dxa"/>
            <w:noWrap/>
            <w:hideMark/>
          </w:tcPr>
          <w:p w14:paraId="30707F84"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1559" w:type="dxa"/>
            <w:tcBorders>
              <w:right w:val="single" w:sz="4" w:space="0" w:color="auto"/>
            </w:tcBorders>
            <w:noWrap/>
            <w:hideMark/>
          </w:tcPr>
          <w:p w14:paraId="66D8A937"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851" w:type="dxa"/>
            <w:tcBorders>
              <w:left w:val="single" w:sz="4" w:space="0" w:color="auto"/>
              <w:right w:val="single" w:sz="4" w:space="0" w:color="auto"/>
            </w:tcBorders>
            <w:vAlign w:val="bottom"/>
          </w:tcPr>
          <w:p w14:paraId="20E0A103" w14:textId="77777777" w:rsidR="00AB6753" w:rsidRPr="00F32D92" w:rsidRDefault="00AB6753" w:rsidP="002D1EA4">
            <w:pPr>
              <w:rPr>
                <w:rFonts w:cs="Arial"/>
                <w:color w:val="000000"/>
                <w:sz w:val="20"/>
                <w:szCs w:val="20"/>
              </w:rPr>
            </w:pPr>
            <w:r w:rsidRPr="00F32D92">
              <w:rPr>
                <w:rFonts w:cs="Arial"/>
                <w:color w:val="000000"/>
                <w:sz w:val="20"/>
                <w:szCs w:val="20"/>
              </w:rPr>
              <w:t>1</w:t>
            </w:r>
            <w:r>
              <w:rPr>
                <w:rFonts w:cs="Arial"/>
                <w:color w:val="000000"/>
                <w:sz w:val="20"/>
                <w:szCs w:val="20"/>
              </w:rPr>
              <w:t>,</w:t>
            </w:r>
            <w:r w:rsidRPr="00F32D92">
              <w:rPr>
                <w:rFonts w:cs="Arial"/>
                <w:color w:val="000000"/>
                <w:sz w:val="20"/>
                <w:szCs w:val="20"/>
              </w:rPr>
              <w:t>849</w:t>
            </w:r>
          </w:p>
        </w:tc>
      </w:tr>
      <w:tr w:rsidR="00AB6753" w:rsidRPr="00F32D92" w14:paraId="4D089F5F" w14:textId="77777777" w:rsidTr="002D1EA4">
        <w:trPr>
          <w:trHeight w:val="315"/>
          <w:jc w:val="center"/>
        </w:trPr>
        <w:tc>
          <w:tcPr>
            <w:tcW w:w="1129" w:type="dxa"/>
            <w:tcBorders>
              <w:left w:val="single" w:sz="4" w:space="0" w:color="auto"/>
              <w:right w:val="single" w:sz="4" w:space="0" w:color="auto"/>
            </w:tcBorders>
          </w:tcPr>
          <w:p w14:paraId="2BC560F3" w14:textId="77777777" w:rsidR="00AB6753" w:rsidRPr="00F32D92" w:rsidRDefault="00AB6753" w:rsidP="002D1EA4">
            <w:pPr>
              <w:rPr>
                <w:rFonts w:cs="Arial"/>
                <w:sz w:val="20"/>
                <w:szCs w:val="20"/>
              </w:rPr>
            </w:pPr>
            <w:r w:rsidRPr="00F32D92">
              <w:rPr>
                <w:rFonts w:cs="Arial"/>
                <w:sz w:val="20"/>
                <w:szCs w:val="20"/>
              </w:rPr>
              <w:t>NT</w:t>
            </w:r>
          </w:p>
        </w:tc>
        <w:tc>
          <w:tcPr>
            <w:tcW w:w="851" w:type="dxa"/>
            <w:tcBorders>
              <w:left w:val="single" w:sz="4" w:space="0" w:color="auto"/>
            </w:tcBorders>
            <w:noWrap/>
            <w:vAlign w:val="bottom"/>
          </w:tcPr>
          <w:p w14:paraId="4E250DA3" w14:textId="77777777" w:rsidR="00AB6753" w:rsidRPr="00F32D92" w:rsidRDefault="00AB6753" w:rsidP="002D1EA4">
            <w:pPr>
              <w:rPr>
                <w:rFonts w:cs="Arial"/>
                <w:color w:val="000000"/>
                <w:sz w:val="20"/>
                <w:szCs w:val="20"/>
              </w:rPr>
            </w:pPr>
            <w:r w:rsidRPr="00F32D92">
              <w:rPr>
                <w:rFonts w:cs="Arial"/>
                <w:color w:val="000000"/>
                <w:sz w:val="20"/>
                <w:szCs w:val="20"/>
              </w:rPr>
              <w:t>7</w:t>
            </w:r>
          </w:p>
        </w:tc>
        <w:tc>
          <w:tcPr>
            <w:tcW w:w="850" w:type="dxa"/>
            <w:noWrap/>
            <w:vAlign w:val="bottom"/>
          </w:tcPr>
          <w:p w14:paraId="7E890B5D" w14:textId="77777777" w:rsidR="00AB6753" w:rsidRPr="00F32D92" w:rsidRDefault="00AB6753" w:rsidP="002D1EA4">
            <w:pPr>
              <w:rPr>
                <w:rFonts w:cs="Arial"/>
                <w:color w:val="000000"/>
                <w:sz w:val="20"/>
                <w:szCs w:val="20"/>
              </w:rPr>
            </w:pPr>
            <w:r w:rsidRPr="00F32D92">
              <w:rPr>
                <w:rFonts w:cs="Arial"/>
                <w:color w:val="000000"/>
                <w:sz w:val="20"/>
                <w:szCs w:val="20"/>
              </w:rPr>
              <w:t>0</w:t>
            </w:r>
          </w:p>
        </w:tc>
        <w:tc>
          <w:tcPr>
            <w:tcW w:w="709" w:type="dxa"/>
            <w:tcBorders>
              <w:right w:val="single" w:sz="4" w:space="0" w:color="auto"/>
            </w:tcBorders>
            <w:noWrap/>
            <w:vAlign w:val="bottom"/>
          </w:tcPr>
          <w:p w14:paraId="6A85F73A" w14:textId="77777777" w:rsidR="00AB6753" w:rsidRPr="00F32D92" w:rsidRDefault="00AB6753" w:rsidP="002D1EA4">
            <w:pPr>
              <w:rPr>
                <w:rFonts w:cs="Arial"/>
                <w:color w:val="000000"/>
                <w:sz w:val="20"/>
                <w:szCs w:val="20"/>
              </w:rPr>
            </w:pPr>
            <w:r w:rsidRPr="00F32D92">
              <w:rPr>
                <w:rFonts w:cs="Arial"/>
                <w:color w:val="000000"/>
                <w:sz w:val="20"/>
                <w:szCs w:val="20"/>
              </w:rPr>
              <w:t>7</w:t>
            </w:r>
          </w:p>
        </w:tc>
        <w:tc>
          <w:tcPr>
            <w:tcW w:w="851" w:type="dxa"/>
            <w:tcBorders>
              <w:left w:val="single" w:sz="4" w:space="0" w:color="auto"/>
            </w:tcBorders>
            <w:noWrap/>
            <w:vAlign w:val="bottom"/>
          </w:tcPr>
          <w:p w14:paraId="306A636F" w14:textId="77777777" w:rsidR="00AB6753" w:rsidRPr="00F32D92" w:rsidRDefault="00AB6753" w:rsidP="002D1EA4">
            <w:pPr>
              <w:rPr>
                <w:rFonts w:cs="Arial"/>
                <w:color w:val="000000"/>
                <w:sz w:val="20"/>
                <w:szCs w:val="20"/>
              </w:rPr>
            </w:pPr>
            <w:r w:rsidRPr="00F32D92">
              <w:rPr>
                <w:rFonts w:cs="Arial"/>
                <w:color w:val="000000"/>
                <w:sz w:val="20"/>
                <w:szCs w:val="20"/>
              </w:rPr>
              <w:t>25</w:t>
            </w:r>
          </w:p>
        </w:tc>
        <w:tc>
          <w:tcPr>
            <w:tcW w:w="850" w:type="dxa"/>
            <w:noWrap/>
            <w:vAlign w:val="bottom"/>
          </w:tcPr>
          <w:p w14:paraId="7C755A5C" w14:textId="77777777" w:rsidR="00AB6753" w:rsidRPr="00F32D92" w:rsidRDefault="00AB6753" w:rsidP="002D1EA4">
            <w:pPr>
              <w:rPr>
                <w:rFonts w:cs="Arial"/>
                <w:color w:val="000000"/>
                <w:sz w:val="20"/>
                <w:szCs w:val="20"/>
              </w:rPr>
            </w:pPr>
            <w:r w:rsidRPr="00F32D92">
              <w:rPr>
                <w:rFonts w:cs="Arial"/>
                <w:color w:val="000000"/>
                <w:sz w:val="20"/>
                <w:szCs w:val="20"/>
              </w:rPr>
              <w:t>5</w:t>
            </w:r>
          </w:p>
        </w:tc>
        <w:tc>
          <w:tcPr>
            <w:tcW w:w="992" w:type="dxa"/>
            <w:tcBorders>
              <w:right w:val="single" w:sz="4" w:space="0" w:color="auto"/>
            </w:tcBorders>
            <w:noWrap/>
            <w:vAlign w:val="bottom"/>
          </w:tcPr>
          <w:p w14:paraId="3D186EBD" w14:textId="77777777" w:rsidR="00AB6753" w:rsidRPr="00F32D92" w:rsidRDefault="00AB6753" w:rsidP="002D1EA4">
            <w:pPr>
              <w:rPr>
                <w:rFonts w:cs="Arial"/>
                <w:color w:val="000000"/>
                <w:sz w:val="20"/>
                <w:szCs w:val="20"/>
              </w:rPr>
            </w:pPr>
            <w:r w:rsidRPr="00F32D92">
              <w:rPr>
                <w:rFonts w:cs="Arial"/>
                <w:color w:val="000000"/>
                <w:sz w:val="20"/>
                <w:szCs w:val="20"/>
              </w:rPr>
              <w:t>30</w:t>
            </w:r>
          </w:p>
        </w:tc>
        <w:tc>
          <w:tcPr>
            <w:tcW w:w="709" w:type="dxa"/>
            <w:tcBorders>
              <w:left w:val="single" w:sz="4" w:space="0" w:color="auto"/>
            </w:tcBorders>
            <w:noWrap/>
          </w:tcPr>
          <w:p w14:paraId="6D5D111D"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709" w:type="dxa"/>
            <w:noWrap/>
          </w:tcPr>
          <w:p w14:paraId="2666782D"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1559" w:type="dxa"/>
            <w:tcBorders>
              <w:right w:val="single" w:sz="4" w:space="0" w:color="auto"/>
            </w:tcBorders>
            <w:noWrap/>
          </w:tcPr>
          <w:p w14:paraId="441D2CE4"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851" w:type="dxa"/>
            <w:tcBorders>
              <w:left w:val="single" w:sz="4" w:space="0" w:color="auto"/>
              <w:right w:val="single" w:sz="4" w:space="0" w:color="auto"/>
            </w:tcBorders>
            <w:vAlign w:val="bottom"/>
          </w:tcPr>
          <w:p w14:paraId="2E4FF8CD" w14:textId="77777777" w:rsidR="00AB6753" w:rsidRPr="00F32D92" w:rsidRDefault="00AB6753" w:rsidP="002D1EA4">
            <w:pPr>
              <w:rPr>
                <w:rFonts w:cs="Arial"/>
                <w:color w:val="000000"/>
                <w:sz w:val="20"/>
                <w:szCs w:val="20"/>
              </w:rPr>
            </w:pPr>
            <w:r w:rsidRPr="00F32D92">
              <w:rPr>
                <w:rFonts w:cs="Arial"/>
                <w:color w:val="000000"/>
                <w:sz w:val="20"/>
                <w:szCs w:val="20"/>
              </w:rPr>
              <w:t>37</w:t>
            </w:r>
          </w:p>
        </w:tc>
      </w:tr>
      <w:tr w:rsidR="00AB6753" w:rsidRPr="00F32D92" w14:paraId="18F7BB4B" w14:textId="77777777" w:rsidTr="002D1EA4">
        <w:trPr>
          <w:trHeight w:val="315"/>
          <w:jc w:val="center"/>
        </w:trPr>
        <w:tc>
          <w:tcPr>
            <w:tcW w:w="1129" w:type="dxa"/>
            <w:tcBorders>
              <w:left w:val="single" w:sz="4" w:space="0" w:color="auto"/>
              <w:right w:val="single" w:sz="4" w:space="0" w:color="auto"/>
            </w:tcBorders>
          </w:tcPr>
          <w:p w14:paraId="5ED6E39D" w14:textId="77777777" w:rsidR="00AB6753" w:rsidRPr="00F32D92" w:rsidRDefault="00AB6753" w:rsidP="002D1EA4">
            <w:pPr>
              <w:rPr>
                <w:rFonts w:cs="Arial"/>
                <w:sz w:val="20"/>
                <w:szCs w:val="20"/>
              </w:rPr>
            </w:pPr>
            <w:r w:rsidRPr="00F32D92">
              <w:rPr>
                <w:rFonts w:cs="Arial"/>
                <w:sz w:val="20"/>
                <w:szCs w:val="20"/>
              </w:rPr>
              <w:t>External Territories</w:t>
            </w:r>
          </w:p>
        </w:tc>
        <w:tc>
          <w:tcPr>
            <w:tcW w:w="851" w:type="dxa"/>
            <w:tcBorders>
              <w:left w:val="single" w:sz="4" w:space="0" w:color="auto"/>
            </w:tcBorders>
            <w:noWrap/>
          </w:tcPr>
          <w:p w14:paraId="74E6F1A6" w14:textId="77777777" w:rsidR="00AB6753" w:rsidRPr="00F32D92" w:rsidRDefault="00AB6753" w:rsidP="002D1EA4">
            <w:pPr>
              <w:rPr>
                <w:rFonts w:cs="Arial"/>
                <w:color w:val="000000"/>
                <w:sz w:val="20"/>
                <w:szCs w:val="20"/>
              </w:rPr>
            </w:pPr>
            <w:r w:rsidRPr="00F32D92">
              <w:rPr>
                <w:rFonts w:cs="Arial"/>
                <w:color w:val="000000"/>
                <w:sz w:val="20"/>
                <w:szCs w:val="20"/>
              </w:rPr>
              <w:t>0</w:t>
            </w:r>
          </w:p>
        </w:tc>
        <w:tc>
          <w:tcPr>
            <w:tcW w:w="850" w:type="dxa"/>
            <w:noWrap/>
          </w:tcPr>
          <w:p w14:paraId="5AD1518F" w14:textId="77777777" w:rsidR="00AB6753" w:rsidRPr="00F32D92" w:rsidRDefault="00AB6753" w:rsidP="002D1EA4">
            <w:pPr>
              <w:rPr>
                <w:rFonts w:cs="Arial"/>
                <w:color w:val="000000"/>
                <w:sz w:val="20"/>
                <w:szCs w:val="20"/>
              </w:rPr>
            </w:pPr>
            <w:r w:rsidRPr="00F32D92">
              <w:rPr>
                <w:rFonts w:cs="Arial"/>
                <w:color w:val="000000"/>
                <w:sz w:val="20"/>
                <w:szCs w:val="20"/>
              </w:rPr>
              <w:t>0</w:t>
            </w:r>
          </w:p>
        </w:tc>
        <w:tc>
          <w:tcPr>
            <w:tcW w:w="709" w:type="dxa"/>
            <w:tcBorders>
              <w:right w:val="single" w:sz="4" w:space="0" w:color="auto"/>
            </w:tcBorders>
            <w:noWrap/>
          </w:tcPr>
          <w:p w14:paraId="2B32B64A" w14:textId="77777777" w:rsidR="00AB6753" w:rsidRPr="00F32D92" w:rsidRDefault="00AB6753" w:rsidP="002D1EA4">
            <w:pPr>
              <w:rPr>
                <w:rFonts w:cs="Arial"/>
                <w:color w:val="000000"/>
                <w:sz w:val="20"/>
                <w:szCs w:val="20"/>
              </w:rPr>
            </w:pPr>
            <w:r w:rsidRPr="00F32D92">
              <w:rPr>
                <w:rFonts w:cs="Arial"/>
                <w:color w:val="000000"/>
                <w:sz w:val="20"/>
                <w:szCs w:val="20"/>
              </w:rPr>
              <w:t>0</w:t>
            </w:r>
          </w:p>
        </w:tc>
        <w:tc>
          <w:tcPr>
            <w:tcW w:w="851" w:type="dxa"/>
            <w:tcBorders>
              <w:left w:val="single" w:sz="4" w:space="0" w:color="auto"/>
            </w:tcBorders>
            <w:noWrap/>
          </w:tcPr>
          <w:p w14:paraId="5387F878" w14:textId="77777777" w:rsidR="00AB6753" w:rsidRPr="00F32D92" w:rsidRDefault="00AB6753" w:rsidP="002D1EA4">
            <w:pPr>
              <w:rPr>
                <w:rFonts w:cs="Arial"/>
                <w:color w:val="000000"/>
                <w:sz w:val="20"/>
                <w:szCs w:val="20"/>
              </w:rPr>
            </w:pPr>
            <w:r w:rsidRPr="00F32D92">
              <w:rPr>
                <w:rFonts w:cs="Arial"/>
                <w:color w:val="000000"/>
                <w:sz w:val="20"/>
                <w:szCs w:val="20"/>
              </w:rPr>
              <w:t>0</w:t>
            </w:r>
          </w:p>
        </w:tc>
        <w:tc>
          <w:tcPr>
            <w:tcW w:w="850" w:type="dxa"/>
            <w:noWrap/>
          </w:tcPr>
          <w:p w14:paraId="2253E74A" w14:textId="77777777" w:rsidR="00AB6753" w:rsidRPr="00F32D92" w:rsidRDefault="00AB6753" w:rsidP="002D1EA4">
            <w:pPr>
              <w:rPr>
                <w:rFonts w:cs="Arial"/>
                <w:color w:val="000000"/>
                <w:sz w:val="20"/>
                <w:szCs w:val="20"/>
              </w:rPr>
            </w:pPr>
            <w:r w:rsidRPr="00F32D92">
              <w:rPr>
                <w:rFonts w:cs="Arial"/>
                <w:color w:val="000000"/>
                <w:sz w:val="20"/>
                <w:szCs w:val="20"/>
              </w:rPr>
              <w:t>0</w:t>
            </w:r>
          </w:p>
        </w:tc>
        <w:tc>
          <w:tcPr>
            <w:tcW w:w="992" w:type="dxa"/>
            <w:tcBorders>
              <w:right w:val="single" w:sz="4" w:space="0" w:color="auto"/>
            </w:tcBorders>
            <w:noWrap/>
          </w:tcPr>
          <w:p w14:paraId="07DCD79B" w14:textId="77777777" w:rsidR="00AB6753" w:rsidRPr="00F32D92" w:rsidRDefault="00AB6753" w:rsidP="002D1EA4">
            <w:pPr>
              <w:rPr>
                <w:rFonts w:cs="Arial"/>
                <w:color w:val="000000"/>
                <w:sz w:val="20"/>
                <w:szCs w:val="20"/>
              </w:rPr>
            </w:pPr>
            <w:r w:rsidRPr="00F32D92">
              <w:rPr>
                <w:rFonts w:cs="Arial"/>
                <w:color w:val="000000"/>
                <w:sz w:val="20"/>
                <w:szCs w:val="20"/>
              </w:rPr>
              <w:t>0</w:t>
            </w:r>
          </w:p>
        </w:tc>
        <w:tc>
          <w:tcPr>
            <w:tcW w:w="709" w:type="dxa"/>
            <w:tcBorders>
              <w:left w:val="single" w:sz="4" w:space="0" w:color="auto"/>
            </w:tcBorders>
            <w:noWrap/>
          </w:tcPr>
          <w:p w14:paraId="3E4800FE"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709" w:type="dxa"/>
            <w:noWrap/>
          </w:tcPr>
          <w:p w14:paraId="6B5AE624"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1559" w:type="dxa"/>
            <w:tcBorders>
              <w:right w:val="single" w:sz="4" w:space="0" w:color="auto"/>
            </w:tcBorders>
            <w:noWrap/>
          </w:tcPr>
          <w:p w14:paraId="193BD310"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851" w:type="dxa"/>
            <w:tcBorders>
              <w:left w:val="single" w:sz="4" w:space="0" w:color="auto"/>
              <w:right w:val="single" w:sz="4" w:space="0" w:color="auto"/>
            </w:tcBorders>
          </w:tcPr>
          <w:p w14:paraId="271CDA84" w14:textId="77777777" w:rsidR="00AB6753" w:rsidRPr="00F32D92" w:rsidRDefault="00AB6753" w:rsidP="002D1EA4">
            <w:pPr>
              <w:rPr>
                <w:rFonts w:cs="Arial"/>
                <w:color w:val="000000"/>
                <w:sz w:val="20"/>
                <w:szCs w:val="20"/>
              </w:rPr>
            </w:pPr>
            <w:r w:rsidRPr="00F32D92">
              <w:rPr>
                <w:rFonts w:cs="Arial"/>
                <w:color w:val="000000"/>
                <w:sz w:val="20"/>
                <w:szCs w:val="20"/>
              </w:rPr>
              <w:t>0</w:t>
            </w:r>
          </w:p>
        </w:tc>
      </w:tr>
      <w:tr w:rsidR="00AB6753" w:rsidRPr="00F32D92" w14:paraId="437E14E6" w14:textId="77777777" w:rsidTr="002D1EA4">
        <w:trPr>
          <w:trHeight w:val="315"/>
          <w:jc w:val="center"/>
        </w:trPr>
        <w:tc>
          <w:tcPr>
            <w:tcW w:w="1129" w:type="dxa"/>
            <w:tcBorders>
              <w:left w:val="single" w:sz="4" w:space="0" w:color="auto"/>
              <w:right w:val="single" w:sz="4" w:space="0" w:color="auto"/>
            </w:tcBorders>
            <w:hideMark/>
          </w:tcPr>
          <w:p w14:paraId="72D8EEB4" w14:textId="77777777" w:rsidR="00AB6753" w:rsidRPr="00F32D92" w:rsidRDefault="00AB6753" w:rsidP="002D1EA4">
            <w:pPr>
              <w:rPr>
                <w:rFonts w:cs="Arial"/>
                <w:sz w:val="20"/>
                <w:szCs w:val="20"/>
              </w:rPr>
            </w:pPr>
            <w:r w:rsidRPr="00F32D92">
              <w:rPr>
                <w:rFonts w:cs="Arial"/>
                <w:sz w:val="20"/>
                <w:szCs w:val="20"/>
              </w:rPr>
              <w:t>Overseas</w:t>
            </w:r>
          </w:p>
        </w:tc>
        <w:tc>
          <w:tcPr>
            <w:tcW w:w="851" w:type="dxa"/>
            <w:tcBorders>
              <w:left w:val="single" w:sz="4" w:space="0" w:color="auto"/>
            </w:tcBorders>
            <w:noWrap/>
            <w:hideMark/>
          </w:tcPr>
          <w:p w14:paraId="074A7404" w14:textId="77777777" w:rsidR="00AB6753" w:rsidRPr="00F32D92" w:rsidRDefault="00AB6753" w:rsidP="002D1EA4">
            <w:pPr>
              <w:rPr>
                <w:rFonts w:cs="Arial"/>
                <w:color w:val="000000"/>
                <w:sz w:val="20"/>
                <w:szCs w:val="20"/>
              </w:rPr>
            </w:pPr>
            <w:r w:rsidRPr="00F32D92">
              <w:rPr>
                <w:rFonts w:cs="Arial"/>
                <w:color w:val="000000"/>
                <w:sz w:val="20"/>
                <w:szCs w:val="20"/>
              </w:rPr>
              <w:t>0</w:t>
            </w:r>
          </w:p>
        </w:tc>
        <w:tc>
          <w:tcPr>
            <w:tcW w:w="850" w:type="dxa"/>
            <w:noWrap/>
            <w:hideMark/>
          </w:tcPr>
          <w:p w14:paraId="4E518469" w14:textId="77777777" w:rsidR="00AB6753" w:rsidRPr="00F32D92" w:rsidRDefault="00AB6753" w:rsidP="002D1EA4">
            <w:pPr>
              <w:rPr>
                <w:rFonts w:cs="Arial"/>
                <w:color w:val="000000"/>
                <w:sz w:val="20"/>
                <w:szCs w:val="20"/>
              </w:rPr>
            </w:pPr>
            <w:r w:rsidRPr="00F32D92">
              <w:rPr>
                <w:rFonts w:cs="Arial"/>
                <w:color w:val="000000"/>
                <w:sz w:val="20"/>
                <w:szCs w:val="20"/>
              </w:rPr>
              <w:t>0</w:t>
            </w:r>
          </w:p>
        </w:tc>
        <w:tc>
          <w:tcPr>
            <w:tcW w:w="709" w:type="dxa"/>
            <w:tcBorders>
              <w:right w:val="single" w:sz="4" w:space="0" w:color="auto"/>
            </w:tcBorders>
            <w:noWrap/>
            <w:hideMark/>
          </w:tcPr>
          <w:p w14:paraId="28518A83" w14:textId="77777777" w:rsidR="00AB6753" w:rsidRPr="00F32D92" w:rsidRDefault="00AB6753" w:rsidP="002D1EA4">
            <w:pPr>
              <w:rPr>
                <w:rFonts w:cs="Arial"/>
                <w:color w:val="000000"/>
                <w:sz w:val="20"/>
                <w:szCs w:val="20"/>
              </w:rPr>
            </w:pPr>
            <w:r w:rsidRPr="00F32D92">
              <w:rPr>
                <w:rFonts w:cs="Arial"/>
                <w:color w:val="000000"/>
                <w:sz w:val="20"/>
                <w:szCs w:val="20"/>
              </w:rPr>
              <w:t>0</w:t>
            </w:r>
          </w:p>
        </w:tc>
        <w:tc>
          <w:tcPr>
            <w:tcW w:w="851" w:type="dxa"/>
            <w:tcBorders>
              <w:left w:val="single" w:sz="4" w:space="0" w:color="auto"/>
            </w:tcBorders>
            <w:noWrap/>
            <w:hideMark/>
          </w:tcPr>
          <w:p w14:paraId="5B3B7950" w14:textId="77777777" w:rsidR="00AB6753" w:rsidRPr="00F32D92" w:rsidRDefault="00AB6753" w:rsidP="002D1EA4">
            <w:pPr>
              <w:rPr>
                <w:rFonts w:cs="Arial"/>
                <w:color w:val="000000"/>
                <w:sz w:val="20"/>
                <w:szCs w:val="20"/>
              </w:rPr>
            </w:pPr>
            <w:r w:rsidRPr="00F32D92">
              <w:rPr>
                <w:rFonts w:cs="Arial"/>
                <w:color w:val="000000"/>
                <w:sz w:val="20"/>
                <w:szCs w:val="20"/>
              </w:rPr>
              <w:t>0</w:t>
            </w:r>
          </w:p>
        </w:tc>
        <w:tc>
          <w:tcPr>
            <w:tcW w:w="850" w:type="dxa"/>
            <w:noWrap/>
            <w:hideMark/>
          </w:tcPr>
          <w:p w14:paraId="13A9D4F9" w14:textId="77777777" w:rsidR="00AB6753" w:rsidRPr="00F32D92" w:rsidRDefault="00AB6753" w:rsidP="002D1EA4">
            <w:pPr>
              <w:rPr>
                <w:rFonts w:cs="Arial"/>
                <w:color w:val="000000"/>
                <w:sz w:val="20"/>
                <w:szCs w:val="20"/>
              </w:rPr>
            </w:pPr>
            <w:r w:rsidRPr="00F32D92">
              <w:rPr>
                <w:rFonts w:cs="Arial"/>
                <w:color w:val="000000"/>
                <w:sz w:val="20"/>
                <w:szCs w:val="20"/>
              </w:rPr>
              <w:t>0</w:t>
            </w:r>
          </w:p>
        </w:tc>
        <w:tc>
          <w:tcPr>
            <w:tcW w:w="992" w:type="dxa"/>
            <w:tcBorders>
              <w:right w:val="single" w:sz="4" w:space="0" w:color="auto"/>
            </w:tcBorders>
            <w:noWrap/>
            <w:hideMark/>
          </w:tcPr>
          <w:p w14:paraId="755BFEF0" w14:textId="77777777" w:rsidR="00AB6753" w:rsidRPr="00F32D92" w:rsidRDefault="00AB6753" w:rsidP="002D1EA4">
            <w:pPr>
              <w:rPr>
                <w:rFonts w:cs="Arial"/>
                <w:color w:val="000000"/>
                <w:sz w:val="20"/>
                <w:szCs w:val="20"/>
              </w:rPr>
            </w:pPr>
            <w:r w:rsidRPr="00F32D92">
              <w:rPr>
                <w:rFonts w:cs="Arial"/>
                <w:color w:val="000000"/>
                <w:sz w:val="20"/>
                <w:szCs w:val="20"/>
              </w:rPr>
              <w:t>0</w:t>
            </w:r>
          </w:p>
        </w:tc>
        <w:tc>
          <w:tcPr>
            <w:tcW w:w="709" w:type="dxa"/>
            <w:tcBorders>
              <w:left w:val="single" w:sz="4" w:space="0" w:color="auto"/>
            </w:tcBorders>
            <w:noWrap/>
            <w:hideMark/>
          </w:tcPr>
          <w:p w14:paraId="65503D03"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709" w:type="dxa"/>
            <w:noWrap/>
            <w:hideMark/>
          </w:tcPr>
          <w:p w14:paraId="524197CC"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1559" w:type="dxa"/>
            <w:tcBorders>
              <w:right w:val="single" w:sz="4" w:space="0" w:color="auto"/>
            </w:tcBorders>
            <w:noWrap/>
            <w:hideMark/>
          </w:tcPr>
          <w:p w14:paraId="396942AE" w14:textId="77777777" w:rsidR="00AB6753" w:rsidRPr="00F32D92" w:rsidRDefault="00AB6753" w:rsidP="002D1EA4">
            <w:pPr>
              <w:rPr>
                <w:rFonts w:cs="Arial"/>
                <w:color w:val="000000"/>
                <w:sz w:val="20"/>
                <w:szCs w:val="20"/>
              </w:rPr>
            </w:pPr>
            <w:r w:rsidRPr="00F32D92">
              <w:rPr>
                <w:rFonts w:cs="Arial"/>
                <w:color w:val="000000"/>
                <w:sz w:val="20"/>
                <w:szCs w:val="20"/>
              </w:rPr>
              <w:t>-</w:t>
            </w:r>
          </w:p>
        </w:tc>
        <w:tc>
          <w:tcPr>
            <w:tcW w:w="851" w:type="dxa"/>
            <w:tcBorders>
              <w:left w:val="single" w:sz="4" w:space="0" w:color="auto"/>
              <w:right w:val="single" w:sz="4" w:space="0" w:color="auto"/>
            </w:tcBorders>
          </w:tcPr>
          <w:p w14:paraId="162FD153" w14:textId="77777777" w:rsidR="00AB6753" w:rsidRPr="00F32D92" w:rsidRDefault="00AB6753" w:rsidP="002D1EA4">
            <w:pPr>
              <w:rPr>
                <w:rFonts w:cs="Arial"/>
                <w:color w:val="000000"/>
                <w:sz w:val="20"/>
                <w:szCs w:val="20"/>
              </w:rPr>
            </w:pPr>
            <w:r w:rsidRPr="00F32D92">
              <w:rPr>
                <w:rFonts w:cs="Arial"/>
                <w:color w:val="000000"/>
                <w:sz w:val="20"/>
                <w:szCs w:val="20"/>
              </w:rPr>
              <w:t>0</w:t>
            </w:r>
          </w:p>
        </w:tc>
      </w:tr>
      <w:tr w:rsidR="00AB6753" w:rsidRPr="00F32D92" w14:paraId="2A900891" w14:textId="77777777" w:rsidTr="002D1EA4">
        <w:trPr>
          <w:trHeight w:val="315"/>
          <w:jc w:val="center"/>
        </w:trPr>
        <w:tc>
          <w:tcPr>
            <w:tcW w:w="1129" w:type="dxa"/>
            <w:tcBorders>
              <w:left w:val="single" w:sz="4" w:space="0" w:color="auto"/>
              <w:bottom w:val="single" w:sz="4" w:space="0" w:color="auto"/>
              <w:right w:val="single" w:sz="4" w:space="0" w:color="auto"/>
            </w:tcBorders>
          </w:tcPr>
          <w:p w14:paraId="56F49ACA" w14:textId="77777777" w:rsidR="00AB6753" w:rsidRPr="00F32D92" w:rsidRDefault="00AB6753" w:rsidP="002D1EA4">
            <w:pPr>
              <w:rPr>
                <w:rFonts w:cs="Arial"/>
                <w:sz w:val="20"/>
                <w:szCs w:val="20"/>
              </w:rPr>
            </w:pPr>
            <w:r w:rsidRPr="00F32D92">
              <w:rPr>
                <w:rFonts w:cs="Arial"/>
                <w:sz w:val="20"/>
                <w:szCs w:val="20"/>
              </w:rPr>
              <w:t>Total</w:t>
            </w:r>
          </w:p>
        </w:tc>
        <w:tc>
          <w:tcPr>
            <w:tcW w:w="851" w:type="dxa"/>
            <w:tcBorders>
              <w:left w:val="single" w:sz="4" w:space="0" w:color="auto"/>
              <w:bottom w:val="single" w:sz="4" w:space="0" w:color="auto"/>
            </w:tcBorders>
            <w:noWrap/>
            <w:vAlign w:val="bottom"/>
          </w:tcPr>
          <w:p w14:paraId="00E30C0E" w14:textId="77777777" w:rsidR="00AB6753" w:rsidRPr="00F32D92" w:rsidRDefault="00AB6753" w:rsidP="002D1EA4">
            <w:pPr>
              <w:rPr>
                <w:rFonts w:cs="Arial"/>
                <w:b/>
                <w:color w:val="000000"/>
                <w:sz w:val="20"/>
                <w:szCs w:val="20"/>
              </w:rPr>
            </w:pPr>
            <w:r w:rsidRPr="00F32D92">
              <w:rPr>
                <w:rFonts w:cs="Arial"/>
                <w:b/>
                <w:color w:val="000000"/>
                <w:sz w:val="20"/>
                <w:szCs w:val="20"/>
              </w:rPr>
              <w:t>751</w:t>
            </w:r>
          </w:p>
        </w:tc>
        <w:tc>
          <w:tcPr>
            <w:tcW w:w="850" w:type="dxa"/>
            <w:tcBorders>
              <w:bottom w:val="single" w:sz="4" w:space="0" w:color="auto"/>
            </w:tcBorders>
            <w:noWrap/>
            <w:vAlign w:val="bottom"/>
          </w:tcPr>
          <w:p w14:paraId="2152324E" w14:textId="77777777" w:rsidR="00AB6753" w:rsidRPr="00F32D92" w:rsidRDefault="00AB6753" w:rsidP="002D1EA4">
            <w:pPr>
              <w:rPr>
                <w:rFonts w:cs="Arial"/>
                <w:b/>
                <w:color w:val="000000"/>
                <w:sz w:val="20"/>
                <w:szCs w:val="20"/>
              </w:rPr>
            </w:pPr>
            <w:r w:rsidRPr="00F32D92">
              <w:rPr>
                <w:rFonts w:cs="Arial"/>
                <w:b/>
                <w:color w:val="000000"/>
                <w:sz w:val="20"/>
                <w:szCs w:val="20"/>
              </w:rPr>
              <w:t>49</w:t>
            </w:r>
          </w:p>
        </w:tc>
        <w:tc>
          <w:tcPr>
            <w:tcW w:w="709" w:type="dxa"/>
            <w:tcBorders>
              <w:bottom w:val="single" w:sz="4" w:space="0" w:color="auto"/>
              <w:right w:val="single" w:sz="4" w:space="0" w:color="auto"/>
            </w:tcBorders>
            <w:noWrap/>
            <w:vAlign w:val="bottom"/>
          </w:tcPr>
          <w:p w14:paraId="69609D2C" w14:textId="77777777" w:rsidR="00AB6753" w:rsidRPr="00F32D92" w:rsidRDefault="00AB6753" w:rsidP="002D1EA4">
            <w:pPr>
              <w:rPr>
                <w:rFonts w:cs="Arial"/>
                <w:b/>
                <w:color w:val="000000"/>
                <w:sz w:val="20"/>
                <w:szCs w:val="20"/>
              </w:rPr>
            </w:pPr>
            <w:r w:rsidRPr="00F32D92">
              <w:rPr>
                <w:rFonts w:cs="Arial"/>
                <w:b/>
                <w:color w:val="000000"/>
                <w:sz w:val="20"/>
                <w:szCs w:val="20"/>
              </w:rPr>
              <w:t>800</w:t>
            </w:r>
          </w:p>
        </w:tc>
        <w:tc>
          <w:tcPr>
            <w:tcW w:w="851" w:type="dxa"/>
            <w:tcBorders>
              <w:left w:val="single" w:sz="4" w:space="0" w:color="auto"/>
              <w:bottom w:val="single" w:sz="4" w:space="0" w:color="auto"/>
            </w:tcBorders>
            <w:noWrap/>
            <w:vAlign w:val="bottom"/>
          </w:tcPr>
          <w:p w14:paraId="3A7A873A" w14:textId="77777777" w:rsidR="00AB6753" w:rsidRPr="00F32D92" w:rsidRDefault="00AB6753" w:rsidP="002D1EA4">
            <w:pPr>
              <w:rPr>
                <w:rFonts w:cs="Arial"/>
                <w:b/>
                <w:color w:val="000000"/>
                <w:sz w:val="20"/>
                <w:szCs w:val="20"/>
              </w:rPr>
            </w:pPr>
            <w:r w:rsidRPr="00F32D92">
              <w:rPr>
                <w:rFonts w:cs="Arial"/>
                <w:b/>
                <w:color w:val="000000"/>
                <w:sz w:val="20"/>
                <w:szCs w:val="20"/>
              </w:rPr>
              <w:t>1</w:t>
            </w:r>
            <w:r>
              <w:rPr>
                <w:rFonts w:cs="Arial"/>
                <w:b/>
                <w:color w:val="000000"/>
                <w:sz w:val="20"/>
                <w:szCs w:val="20"/>
              </w:rPr>
              <w:t>,</w:t>
            </w:r>
            <w:r w:rsidRPr="00F32D92">
              <w:rPr>
                <w:rFonts w:cs="Arial"/>
                <w:b/>
                <w:color w:val="000000"/>
                <w:sz w:val="20"/>
                <w:szCs w:val="20"/>
              </w:rPr>
              <w:t>287</w:t>
            </w:r>
          </w:p>
        </w:tc>
        <w:tc>
          <w:tcPr>
            <w:tcW w:w="850" w:type="dxa"/>
            <w:tcBorders>
              <w:bottom w:val="single" w:sz="4" w:space="0" w:color="auto"/>
            </w:tcBorders>
            <w:noWrap/>
            <w:vAlign w:val="bottom"/>
          </w:tcPr>
          <w:p w14:paraId="09A27CF6" w14:textId="77777777" w:rsidR="00AB6753" w:rsidRPr="00F32D92" w:rsidRDefault="00AB6753" w:rsidP="002D1EA4">
            <w:pPr>
              <w:rPr>
                <w:rFonts w:cs="Arial"/>
                <w:b/>
                <w:color w:val="000000"/>
                <w:sz w:val="20"/>
                <w:szCs w:val="20"/>
              </w:rPr>
            </w:pPr>
            <w:r w:rsidRPr="00F32D92">
              <w:rPr>
                <w:rFonts w:cs="Arial"/>
                <w:b/>
                <w:color w:val="000000"/>
                <w:sz w:val="20"/>
                <w:szCs w:val="20"/>
              </w:rPr>
              <w:t>433</w:t>
            </w:r>
          </w:p>
        </w:tc>
        <w:tc>
          <w:tcPr>
            <w:tcW w:w="992" w:type="dxa"/>
            <w:tcBorders>
              <w:bottom w:val="single" w:sz="4" w:space="0" w:color="auto"/>
              <w:right w:val="single" w:sz="4" w:space="0" w:color="auto"/>
            </w:tcBorders>
            <w:noWrap/>
            <w:vAlign w:val="bottom"/>
          </w:tcPr>
          <w:p w14:paraId="39A0A862" w14:textId="77777777" w:rsidR="00AB6753" w:rsidRPr="00F32D92" w:rsidRDefault="00AB6753" w:rsidP="002D1EA4">
            <w:pPr>
              <w:rPr>
                <w:rFonts w:cs="Arial"/>
                <w:b/>
                <w:color w:val="000000"/>
                <w:sz w:val="20"/>
                <w:szCs w:val="20"/>
              </w:rPr>
            </w:pPr>
            <w:r w:rsidRPr="00F32D92">
              <w:rPr>
                <w:rFonts w:cs="Arial"/>
                <w:b/>
                <w:color w:val="000000"/>
                <w:sz w:val="20"/>
                <w:szCs w:val="20"/>
              </w:rPr>
              <w:t>1</w:t>
            </w:r>
            <w:r>
              <w:rPr>
                <w:rFonts w:cs="Arial"/>
                <w:b/>
                <w:color w:val="000000"/>
                <w:sz w:val="20"/>
                <w:szCs w:val="20"/>
              </w:rPr>
              <w:t>,</w:t>
            </w:r>
            <w:r w:rsidRPr="00F32D92">
              <w:rPr>
                <w:rFonts w:cs="Arial"/>
                <w:b/>
                <w:color w:val="000000"/>
                <w:sz w:val="20"/>
                <w:szCs w:val="20"/>
              </w:rPr>
              <w:t>720</w:t>
            </w:r>
          </w:p>
        </w:tc>
        <w:tc>
          <w:tcPr>
            <w:tcW w:w="709" w:type="dxa"/>
            <w:tcBorders>
              <w:left w:val="single" w:sz="4" w:space="0" w:color="auto"/>
              <w:bottom w:val="single" w:sz="4" w:space="0" w:color="auto"/>
            </w:tcBorders>
            <w:noWrap/>
          </w:tcPr>
          <w:p w14:paraId="63688839" w14:textId="77777777" w:rsidR="00AB6753" w:rsidRPr="00F32D92" w:rsidRDefault="00AB6753" w:rsidP="002D1EA4">
            <w:pPr>
              <w:rPr>
                <w:rFonts w:cs="Arial"/>
                <w:b/>
                <w:color w:val="000000"/>
                <w:sz w:val="20"/>
                <w:szCs w:val="20"/>
              </w:rPr>
            </w:pPr>
            <w:r w:rsidRPr="00F32D92">
              <w:rPr>
                <w:rFonts w:cs="Arial"/>
                <w:b/>
                <w:color w:val="000000"/>
                <w:sz w:val="20"/>
                <w:szCs w:val="20"/>
              </w:rPr>
              <w:t>-</w:t>
            </w:r>
          </w:p>
        </w:tc>
        <w:tc>
          <w:tcPr>
            <w:tcW w:w="709" w:type="dxa"/>
            <w:tcBorders>
              <w:bottom w:val="single" w:sz="4" w:space="0" w:color="auto"/>
            </w:tcBorders>
            <w:noWrap/>
          </w:tcPr>
          <w:p w14:paraId="3C3EDDA1" w14:textId="77777777" w:rsidR="00AB6753" w:rsidRPr="00F32D92" w:rsidRDefault="00AB6753" w:rsidP="002D1EA4">
            <w:pPr>
              <w:rPr>
                <w:rFonts w:cs="Arial"/>
                <w:b/>
                <w:color w:val="000000"/>
                <w:sz w:val="20"/>
                <w:szCs w:val="20"/>
              </w:rPr>
            </w:pPr>
            <w:r w:rsidRPr="00F32D92">
              <w:rPr>
                <w:rFonts w:cs="Arial"/>
                <w:b/>
                <w:color w:val="000000"/>
                <w:sz w:val="20"/>
                <w:szCs w:val="20"/>
              </w:rPr>
              <w:t>-</w:t>
            </w:r>
          </w:p>
        </w:tc>
        <w:tc>
          <w:tcPr>
            <w:tcW w:w="1559" w:type="dxa"/>
            <w:tcBorders>
              <w:bottom w:val="single" w:sz="4" w:space="0" w:color="auto"/>
              <w:right w:val="single" w:sz="4" w:space="0" w:color="auto"/>
            </w:tcBorders>
            <w:noWrap/>
          </w:tcPr>
          <w:p w14:paraId="52C94B0B" w14:textId="77777777" w:rsidR="00AB6753" w:rsidRPr="00F32D92" w:rsidRDefault="00AB6753" w:rsidP="002D1EA4">
            <w:pPr>
              <w:rPr>
                <w:rFonts w:cs="Arial"/>
                <w:b/>
                <w:color w:val="000000"/>
                <w:sz w:val="20"/>
                <w:szCs w:val="20"/>
              </w:rPr>
            </w:pPr>
            <w:r w:rsidRPr="00F32D92">
              <w:rPr>
                <w:rFonts w:cs="Arial"/>
                <w:b/>
                <w:color w:val="000000"/>
                <w:sz w:val="20"/>
                <w:szCs w:val="20"/>
              </w:rPr>
              <w:t>-</w:t>
            </w:r>
          </w:p>
        </w:tc>
        <w:tc>
          <w:tcPr>
            <w:tcW w:w="851" w:type="dxa"/>
            <w:tcBorders>
              <w:left w:val="single" w:sz="4" w:space="0" w:color="auto"/>
              <w:bottom w:val="single" w:sz="4" w:space="0" w:color="auto"/>
              <w:right w:val="single" w:sz="4" w:space="0" w:color="auto"/>
            </w:tcBorders>
          </w:tcPr>
          <w:p w14:paraId="0F50D1DF" w14:textId="77777777" w:rsidR="00AB6753" w:rsidRPr="00F32D92" w:rsidRDefault="00AB6753" w:rsidP="002D1EA4">
            <w:pPr>
              <w:rPr>
                <w:rFonts w:cs="Arial"/>
                <w:b/>
                <w:color w:val="000000"/>
                <w:sz w:val="20"/>
                <w:szCs w:val="20"/>
              </w:rPr>
            </w:pPr>
            <w:r w:rsidRPr="00F32D92">
              <w:rPr>
                <w:rFonts w:cs="Arial"/>
                <w:b/>
                <w:color w:val="000000"/>
                <w:sz w:val="20"/>
                <w:szCs w:val="20"/>
              </w:rPr>
              <w:t>2</w:t>
            </w:r>
            <w:r>
              <w:rPr>
                <w:rFonts w:cs="Arial"/>
                <w:b/>
                <w:color w:val="000000"/>
                <w:sz w:val="20"/>
                <w:szCs w:val="20"/>
              </w:rPr>
              <w:t>,</w:t>
            </w:r>
            <w:r w:rsidRPr="00F32D92">
              <w:rPr>
                <w:rFonts w:cs="Arial"/>
                <w:b/>
                <w:color w:val="000000"/>
                <w:sz w:val="20"/>
                <w:szCs w:val="20"/>
              </w:rPr>
              <w:t>520</w:t>
            </w:r>
          </w:p>
        </w:tc>
      </w:tr>
    </w:tbl>
    <w:p w14:paraId="72A5711F" w14:textId="77777777" w:rsidR="00AB6753" w:rsidRDefault="00AB6753" w:rsidP="00AB6753"/>
    <w:p w14:paraId="4FF1B948" w14:textId="77777777" w:rsidR="00AB6753" w:rsidRDefault="00AB6753" w:rsidP="00AB6753">
      <w:r>
        <w:br w:type="page"/>
      </w:r>
    </w:p>
    <w:p w14:paraId="075DE54A" w14:textId="77777777" w:rsidR="00AB6753" w:rsidRPr="00CF02C1" w:rsidRDefault="00AB6753" w:rsidP="00AB6753"/>
    <w:p w14:paraId="3831EB1A" w14:textId="77777777" w:rsidR="00AB6753" w:rsidRPr="00A050FC" w:rsidRDefault="00AB6753" w:rsidP="00AB6753">
      <w:pPr>
        <w:rPr>
          <w:rFonts w:ascii="Arial Narrow" w:hAnsi="Arial Narrow" w:cs="Calibri"/>
          <w:b/>
          <w:sz w:val="20"/>
          <w:szCs w:val="20"/>
        </w:rPr>
      </w:pPr>
      <w:r>
        <w:rPr>
          <w:rFonts w:ascii="Arial Narrow" w:hAnsi="Arial Narrow" w:cs="Calibri"/>
          <w:b/>
          <w:sz w:val="20"/>
          <w:szCs w:val="20"/>
        </w:rPr>
        <w:t xml:space="preserve">Table F-8 </w:t>
      </w:r>
      <w:r w:rsidRPr="00A050FC">
        <w:rPr>
          <w:rFonts w:ascii="Arial Narrow" w:hAnsi="Arial Narrow" w:cs="Calibri"/>
          <w:b/>
          <w:sz w:val="20"/>
          <w:szCs w:val="20"/>
        </w:rPr>
        <w:t>17AG (4)(aa) — Management of Human Resources all Non-Ongoing Employees Previous Report Period</w:t>
      </w:r>
      <w:r>
        <w:rPr>
          <w:rFonts w:ascii="Arial Narrow" w:hAnsi="Arial Narrow" w:cs="Calibri"/>
          <w:b/>
          <w:sz w:val="20"/>
          <w:szCs w:val="20"/>
        </w:rPr>
        <w:t xml:space="preserve"> </w:t>
      </w:r>
      <w:r w:rsidRPr="00A050FC">
        <w:rPr>
          <w:rFonts w:ascii="Arial Narrow" w:hAnsi="Arial Narrow" w:cs="Calibri"/>
          <w:b/>
          <w:sz w:val="20"/>
          <w:szCs w:val="20"/>
        </w:rPr>
        <w:t>(2018–19)</w:t>
      </w:r>
      <w:bookmarkEnd w:id="289"/>
    </w:p>
    <w:tbl>
      <w:tblPr>
        <w:tblW w:w="9901" w:type="dxa"/>
        <w:jc w:val="center"/>
        <w:tblLook w:val="04A0" w:firstRow="1" w:lastRow="0" w:firstColumn="1" w:lastColumn="0" w:noHBand="0" w:noVBand="1"/>
        <w:tblCaption w:val="Table F-8 17AG (4)(aa) Management of Human Resources"/>
        <w:tblDescription w:val="Table 17AG (4)(aa) Management of Human Resources. All Non-Ongoing Employees. Previous Report Period (2018-19) "/>
      </w:tblPr>
      <w:tblGrid>
        <w:gridCol w:w="1207"/>
        <w:gridCol w:w="896"/>
        <w:gridCol w:w="693"/>
        <w:gridCol w:w="709"/>
        <w:gridCol w:w="896"/>
        <w:gridCol w:w="693"/>
        <w:gridCol w:w="950"/>
        <w:gridCol w:w="896"/>
        <w:gridCol w:w="693"/>
        <w:gridCol w:w="1562"/>
        <w:gridCol w:w="706"/>
      </w:tblGrid>
      <w:tr w:rsidR="00AB6753" w:rsidRPr="00F32D92" w14:paraId="572472B6" w14:textId="77777777" w:rsidTr="002D1EA4">
        <w:trPr>
          <w:trHeight w:val="300"/>
          <w:tblHeader/>
          <w:jc w:val="center"/>
        </w:trPr>
        <w:tc>
          <w:tcPr>
            <w:tcW w:w="1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E150628" w14:textId="77777777" w:rsidR="00AB6753" w:rsidRPr="00F32D92" w:rsidRDefault="00AB6753" w:rsidP="002D1EA4">
            <w:pPr>
              <w:rPr>
                <w:rFonts w:cs="Arial"/>
                <w:sz w:val="20"/>
                <w:szCs w:val="20"/>
              </w:rPr>
            </w:pPr>
          </w:p>
        </w:tc>
        <w:tc>
          <w:tcPr>
            <w:tcW w:w="229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79A11D6" w14:textId="77777777" w:rsidR="00AB6753" w:rsidRPr="00F32D92" w:rsidRDefault="00AB6753" w:rsidP="002D1EA4">
            <w:pPr>
              <w:rPr>
                <w:rFonts w:cs="Arial"/>
                <w:sz w:val="20"/>
                <w:szCs w:val="20"/>
              </w:rPr>
            </w:pPr>
            <w:r w:rsidRPr="00F32D92">
              <w:rPr>
                <w:rFonts w:cs="Arial"/>
                <w:sz w:val="20"/>
                <w:szCs w:val="20"/>
              </w:rPr>
              <w:t>Male</w:t>
            </w:r>
          </w:p>
        </w:tc>
        <w:tc>
          <w:tcPr>
            <w:tcW w:w="253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CAB0866" w14:textId="77777777" w:rsidR="00AB6753" w:rsidRPr="00F32D92" w:rsidRDefault="00AB6753" w:rsidP="002D1EA4">
            <w:pPr>
              <w:rPr>
                <w:rFonts w:cs="Arial"/>
                <w:sz w:val="20"/>
                <w:szCs w:val="20"/>
              </w:rPr>
            </w:pPr>
            <w:r w:rsidRPr="00F32D92">
              <w:rPr>
                <w:rFonts w:cs="Arial"/>
                <w:sz w:val="20"/>
                <w:szCs w:val="20"/>
              </w:rPr>
              <w:t>Female</w:t>
            </w:r>
          </w:p>
        </w:tc>
        <w:tc>
          <w:tcPr>
            <w:tcW w:w="315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86DF9BC" w14:textId="77777777" w:rsidR="00AB6753" w:rsidRPr="00F32D92" w:rsidRDefault="00AB6753" w:rsidP="002D1EA4">
            <w:pPr>
              <w:rPr>
                <w:rFonts w:cs="Arial"/>
                <w:sz w:val="20"/>
                <w:szCs w:val="20"/>
              </w:rPr>
            </w:pPr>
            <w:r w:rsidRPr="00F32D92">
              <w:rPr>
                <w:rFonts w:cs="Arial"/>
                <w:sz w:val="20"/>
                <w:szCs w:val="20"/>
              </w:rPr>
              <w:t>Indeterminate</w:t>
            </w:r>
          </w:p>
        </w:tc>
        <w:tc>
          <w:tcPr>
            <w:tcW w:w="70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12827A" w14:textId="77777777" w:rsidR="00AB6753" w:rsidRPr="00F32D92" w:rsidRDefault="00AB6753" w:rsidP="002D1EA4">
            <w:pPr>
              <w:rPr>
                <w:rFonts w:cs="Arial"/>
                <w:sz w:val="20"/>
                <w:szCs w:val="20"/>
              </w:rPr>
            </w:pPr>
            <w:r w:rsidRPr="00F32D92">
              <w:rPr>
                <w:rFonts w:cs="Arial"/>
                <w:sz w:val="20"/>
                <w:szCs w:val="20"/>
              </w:rPr>
              <w:t>Total</w:t>
            </w:r>
          </w:p>
        </w:tc>
      </w:tr>
      <w:tr w:rsidR="00AB6753" w:rsidRPr="00F32D92" w14:paraId="19EAF6D2" w14:textId="77777777" w:rsidTr="002D1EA4">
        <w:trPr>
          <w:trHeight w:val="615"/>
          <w:jc w:val="center"/>
        </w:trPr>
        <w:tc>
          <w:tcPr>
            <w:tcW w:w="1207" w:type="dxa"/>
            <w:tcBorders>
              <w:top w:val="single" w:sz="4" w:space="0" w:color="auto"/>
              <w:left w:val="single" w:sz="4" w:space="0" w:color="auto"/>
              <w:right w:val="single" w:sz="4" w:space="0" w:color="auto"/>
            </w:tcBorders>
            <w:shd w:val="clear" w:color="auto" w:fill="BFBFBF" w:themeFill="background1" w:themeFillShade="BF"/>
            <w:noWrap/>
            <w:hideMark/>
          </w:tcPr>
          <w:p w14:paraId="2C519BA4" w14:textId="77777777" w:rsidR="00AB6753" w:rsidRPr="00F32D92" w:rsidRDefault="00AB6753" w:rsidP="002D1EA4">
            <w:pPr>
              <w:rPr>
                <w:rFonts w:cs="Arial"/>
                <w:sz w:val="20"/>
                <w:szCs w:val="20"/>
              </w:rPr>
            </w:pPr>
          </w:p>
        </w:tc>
        <w:tc>
          <w:tcPr>
            <w:tcW w:w="896" w:type="dxa"/>
            <w:tcBorders>
              <w:top w:val="single" w:sz="4" w:space="0" w:color="auto"/>
              <w:left w:val="single" w:sz="4" w:space="0" w:color="auto"/>
            </w:tcBorders>
            <w:shd w:val="clear" w:color="auto" w:fill="BFBFBF" w:themeFill="background1" w:themeFillShade="BF"/>
            <w:noWrap/>
            <w:hideMark/>
          </w:tcPr>
          <w:p w14:paraId="51CCAF27" w14:textId="77777777" w:rsidR="00AB6753" w:rsidRPr="00F32D92" w:rsidRDefault="00AB6753" w:rsidP="002D1EA4">
            <w:pPr>
              <w:rPr>
                <w:rFonts w:cs="Arial"/>
                <w:sz w:val="20"/>
                <w:szCs w:val="20"/>
              </w:rPr>
            </w:pPr>
            <w:r w:rsidRPr="00F32D92">
              <w:rPr>
                <w:rFonts w:cs="Arial"/>
                <w:sz w:val="20"/>
                <w:szCs w:val="20"/>
              </w:rPr>
              <w:t>Full-time</w:t>
            </w:r>
          </w:p>
        </w:tc>
        <w:tc>
          <w:tcPr>
            <w:tcW w:w="693" w:type="dxa"/>
            <w:tcBorders>
              <w:top w:val="single" w:sz="4" w:space="0" w:color="auto"/>
            </w:tcBorders>
            <w:shd w:val="clear" w:color="auto" w:fill="BFBFBF" w:themeFill="background1" w:themeFillShade="BF"/>
            <w:noWrap/>
            <w:hideMark/>
          </w:tcPr>
          <w:p w14:paraId="34685D6F" w14:textId="77777777" w:rsidR="00AB6753" w:rsidRPr="00F32D92" w:rsidRDefault="00AB6753" w:rsidP="002D1EA4">
            <w:pPr>
              <w:rPr>
                <w:rFonts w:cs="Arial"/>
                <w:sz w:val="20"/>
                <w:szCs w:val="20"/>
              </w:rPr>
            </w:pPr>
            <w:r w:rsidRPr="00F32D92">
              <w:rPr>
                <w:rFonts w:cs="Arial"/>
                <w:sz w:val="20"/>
                <w:szCs w:val="20"/>
              </w:rPr>
              <w:t>Part-time</w:t>
            </w:r>
          </w:p>
        </w:tc>
        <w:tc>
          <w:tcPr>
            <w:tcW w:w="709" w:type="dxa"/>
            <w:tcBorders>
              <w:top w:val="single" w:sz="4" w:space="0" w:color="auto"/>
              <w:right w:val="single" w:sz="4" w:space="0" w:color="auto"/>
            </w:tcBorders>
            <w:shd w:val="clear" w:color="auto" w:fill="BFBFBF" w:themeFill="background1" w:themeFillShade="BF"/>
            <w:noWrap/>
            <w:hideMark/>
          </w:tcPr>
          <w:p w14:paraId="22D5453E" w14:textId="77777777" w:rsidR="00AB6753" w:rsidRPr="00F32D92" w:rsidRDefault="00AB6753" w:rsidP="002D1EA4">
            <w:pPr>
              <w:rPr>
                <w:rFonts w:cs="Arial"/>
                <w:sz w:val="20"/>
                <w:szCs w:val="20"/>
              </w:rPr>
            </w:pPr>
            <w:r w:rsidRPr="00F32D92">
              <w:rPr>
                <w:rFonts w:cs="Arial"/>
                <w:sz w:val="20"/>
                <w:szCs w:val="20"/>
              </w:rPr>
              <w:t>Total Male</w:t>
            </w:r>
          </w:p>
        </w:tc>
        <w:tc>
          <w:tcPr>
            <w:tcW w:w="896" w:type="dxa"/>
            <w:tcBorders>
              <w:top w:val="single" w:sz="4" w:space="0" w:color="auto"/>
              <w:left w:val="single" w:sz="4" w:space="0" w:color="auto"/>
            </w:tcBorders>
            <w:shd w:val="clear" w:color="auto" w:fill="BFBFBF" w:themeFill="background1" w:themeFillShade="BF"/>
            <w:noWrap/>
            <w:hideMark/>
          </w:tcPr>
          <w:p w14:paraId="6ACE0DCC" w14:textId="77777777" w:rsidR="00AB6753" w:rsidRPr="00F32D92" w:rsidRDefault="00AB6753" w:rsidP="002D1EA4">
            <w:pPr>
              <w:rPr>
                <w:rFonts w:cs="Arial"/>
                <w:sz w:val="20"/>
                <w:szCs w:val="20"/>
              </w:rPr>
            </w:pPr>
            <w:r w:rsidRPr="00F32D92">
              <w:rPr>
                <w:rFonts w:cs="Arial"/>
                <w:sz w:val="20"/>
                <w:szCs w:val="20"/>
              </w:rPr>
              <w:t>Full-time</w:t>
            </w:r>
          </w:p>
        </w:tc>
        <w:tc>
          <w:tcPr>
            <w:tcW w:w="693" w:type="dxa"/>
            <w:tcBorders>
              <w:top w:val="single" w:sz="4" w:space="0" w:color="auto"/>
            </w:tcBorders>
            <w:shd w:val="clear" w:color="auto" w:fill="BFBFBF" w:themeFill="background1" w:themeFillShade="BF"/>
            <w:noWrap/>
            <w:hideMark/>
          </w:tcPr>
          <w:p w14:paraId="7DF446BD" w14:textId="77777777" w:rsidR="00AB6753" w:rsidRPr="00F32D92" w:rsidRDefault="00AB6753" w:rsidP="002D1EA4">
            <w:pPr>
              <w:rPr>
                <w:rFonts w:cs="Arial"/>
                <w:sz w:val="20"/>
                <w:szCs w:val="20"/>
              </w:rPr>
            </w:pPr>
            <w:r w:rsidRPr="00F32D92">
              <w:rPr>
                <w:rFonts w:cs="Arial"/>
                <w:sz w:val="20"/>
                <w:szCs w:val="20"/>
              </w:rPr>
              <w:t>Part-time</w:t>
            </w:r>
          </w:p>
        </w:tc>
        <w:tc>
          <w:tcPr>
            <w:tcW w:w="950" w:type="dxa"/>
            <w:tcBorders>
              <w:top w:val="single" w:sz="4" w:space="0" w:color="auto"/>
              <w:right w:val="single" w:sz="4" w:space="0" w:color="auto"/>
            </w:tcBorders>
            <w:shd w:val="clear" w:color="auto" w:fill="BFBFBF" w:themeFill="background1" w:themeFillShade="BF"/>
            <w:noWrap/>
            <w:hideMark/>
          </w:tcPr>
          <w:p w14:paraId="1F4AB5C7" w14:textId="77777777" w:rsidR="00AB6753" w:rsidRPr="00F32D92" w:rsidRDefault="00AB6753" w:rsidP="002D1EA4">
            <w:pPr>
              <w:rPr>
                <w:rFonts w:cs="Arial"/>
                <w:sz w:val="20"/>
                <w:szCs w:val="20"/>
              </w:rPr>
            </w:pPr>
            <w:r w:rsidRPr="00F32D92">
              <w:rPr>
                <w:rFonts w:cs="Arial"/>
                <w:sz w:val="20"/>
                <w:szCs w:val="20"/>
              </w:rPr>
              <w:t>Total Female</w:t>
            </w:r>
          </w:p>
        </w:tc>
        <w:tc>
          <w:tcPr>
            <w:tcW w:w="896" w:type="dxa"/>
            <w:tcBorders>
              <w:top w:val="single" w:sz="4" w:space="0" w:color="auto"/>
              <w:left w:val="single" w:sz="4" w:space="0" w:color="auto"/>
            </w:tcBorders>
            <w:shd w:val="clear" w:color="auto" w:fill="BFBFBF" w:themeFill="background1" w:themeFillShade="BF"/>
            <w:noWrap/>
            <w:hideMark/>
          </w:tcPr>
          <w:p w14:paraId="102C432D" w14:textId="77777777" w:rsidR="00AB6753" w:rsidRPr="00F32D92" w:rsidRDefault="00AB6753" w:rsidP="002D1EA4">
            <w:pPr>
              <w:rPr>
                <w:rFonts w:cs="Arial"/>
                <w:sz w:val="20"/>
                <w:szCs w:val="20"/>
              </w:rPr>
            </w:pPr>
            <w:r w:rsidRPr="00F32D92">
              <w:rPr>
                <w:rFonts w:cs="Arial"/>
                <w:sz w:val="20"/>
                <w:szCs w:val="20"/>
              </w:rPr>
              <w:t>Full-time</w:t>
            </w:r>
          </w:p>
        </w:tc>
        <w:tc>
          <w:tcPr>
            <w:tcW w:w="693" w:type="dxa"/>
            <w:tcBorders>
              <w:top w:val="single" w:sz="4" w:space="0" w:color="auto"/>
            </w:tcBorders>
            <w:shd w:val="clear" w:color="auto" w:fill="BFBFBF" w:themeFill="background1" w:themeFillShade="BF"/>
            <w:noWrap/>
            <w:hideMark/>
          </w:tcPr>
          <w:p w14:paraId="0D19CB73" w14:textId="77777777" w:rsidR="00AB6753" w:rsidRPr="00F32D92" w:rsidRDefault="00AB6753" w:rsidP="002D1EA4">
            <w:pPr>
              <w:rPr>
                <w:rFonts w:cs="Arial"/>
                <w:sz w:val="20"/>
                <w:szCs w:val="20"/>
              </w:rPr>
            </w:pPr>
            <w:r w:rsidRPr="00F32D92">
              <w:rPr>
                <w:rFonts w:cs="Arial"/>
                <w:sz w:val="20"/>
                <w:szCs w:val="20"/>
              </w:rPr>
              <w:t>Part-time</w:t>
            </w:r>
          </w:p>
        </w:tc>
        <w:tc>
          <w:tcPr>
            <w:tcW w:w="1562" w:type="dxa"/>
            <w:tcBorders>
              <w:top w:val="single" w:sz="4" w:space="0" w:color="auto"/>
              <w:right w:val="single" w:sz="4" w:space="0" w:color="auto"/>
            </w:tcBorders>
            <w:shd w:val="clear" w:color="auto" w:fill="BFBFBF" w:themeFill="background1" w:themeFillShade="BF"/>
            <w:hideMark/>
          </w:tcPr>
          <w:p w14:paraId="319EB3CD" w14:textId="77777777" w:rsidR="00AB6753" w:rsidRPr="00F32D92" w:rsidRDefault="00AB6753" w:rsidP="002D1EA4">
            <w:pPr>
              <w:rPr>
                <w:rFonts w:cs="Arial"/>
                <w:sz w:val="20"/>
                <w:szCs w:val="20"/>
              </w:rPr>
            </w:pPr>
            <w:r w:rsidRPr="00F32D92">
              <w:rPr>
                <w:rFonts w:cs="Arial"/>
                <w:sz w:val="20"/>
                <w:szCs w:val="20"/>
              </w:rPr>
              <w:t>Total Indeterminate</w:t>
            </w:r>
          </w:p>
        </w:tc>
        <w:tc>
          <w:tcPr>
            <w:tcW w:w="706" w:type="dxa"/>
            <w:tcBorders>
              <w:top w:val="single" w:sz="4" w:space="0" w:color="auto"/>
              <w:left w:val="single" w:sz="4" w:space="0" w:color="auto"/>
              <w:right w:val="single" w:sz="4" w:space="0" w:color="auto"/>
            </w:tcBorders>
            <w:shd w:val="clear" w:color="auto" w:fill="BFBFBF" w:themeFill="background1" w:themeFillShade="BF"/>
          </w:tcPr>
          <w:p w14:paraId="30647BB7" w14:textId="77777777" w:rsidR="00AB6753" w:rsidRPr="00F32D92" w:rsidRDefault="00AB6753" w:rsidP="002D1EA4">
            <w:pPr>
              <w:rPr>
                <w:rFonts w:cs="Arial"/>
                <w:sz w:val="20"/>
                <w:szCs w:val="20"/>
              </w:rPr>
            </w:pPr>
          </w:p>
        </w:tc>
      </w:tr>
      <w:tr w:rsidR="00AB6753" w:rsidRPr="00F32D92" w14:paraId="4222F3C3" w14:textId="77777777" w:rsidTr="002D1EA4">
        <w:trPr>
          <w:trHeight w:val="315"/>
          <w:jc w:val="center"/>
        </w:trPr>
        <w:tc>
          <w:tcPr>
            <w:tcW w:w="1207" w:type="dxa"/>
            <w:tcBorders>
              <w:left w:val="single" w:sz="4" w:space="0" w:color="auto"/>
              <w:right w:val="single" w:sz="4" w:space="0" w:color="auto"/>
            </w:tcBorders>
            <w:hideMark/>
          </w:tcPr>
          <w:p w14:paraId="660B99DF" w14:textId="77777777" w:rsidR="00AB6753" w:rsidRPr="00F32D92" w:rsidRDefault="00AB6753" w:rsidP="002D1EA4">
            <w:pPr>
              <w:rPr>
                <w:rFonts w:cs="Arial"/>
                <w:sz w:val="20"/>
                <w:szCs w:val="20"/>
              </w:rPr>
            </w:pPr>
            <w:r w:rsidRPr="00F32D92">
              <w:rPr>
                <w:rFonts w:cs="Arial"/>
                <w:sz w:val="20"/>
                <w:szCs w:val="20"/>
              </w:rPr>
              <w:t>NSW</w:t>
            </w:r>
          </w:p>
        </w:tc>
        <w:tc>
          <w:tcPr>
            <w:tcW w:w="896" w:type="dxa"/>
            <w:tcBorders>
              <w:left w:val="single" w:sz="4" w:space="0" w:color="auto"/>
            </w:tcBorders>
            <w:noWrap/>
          </w:tcPr>
          <w:p w14:paraId="661AFA11" w14:textId="77777777" w:rsidR="00AB6753" w:rsidRPr="00F32D92" w:rsidRDefault="00AB6753" w:rsidP="002D1EA4">
            <w:pPr>
              <w:rPr>
                <w:rFonts w:cs="Arial"/>
                <w:sz w:val="20"/>
                <w:szCs w:val="20"/>
              </w:rPr>
            </w:pPr>
            <w:r w:rsidRPr="00F32D92">
              <w:rPr>
                <w:rFonts w:cs="Arial"/>
                <w:color w:val="000000"/>
                <w:sz w:val="20"/>
                <w:szCs w:val="20"/>
              </w:rPr>
              <w:t>1</w:t>
            </w:r>
          </w:p>
        </w:tc>
        <w:tc>
          <w:tcPr>
            <w:tcW w:w="693" w:type="dxa"/>
            <w:noWrap/>
            <w:hideMark/>
          </w:tcPr>
          <w:p w14:paraId="33F85A42"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hideMark/>
          </w:tcPr>
          <w:p w14:paraId="59AB6806" w14:textId="77777777" w:rsidR="00AB6753" w:rsidRPr="00F32D92" w:rsidRDefault="00AB6753" w:rsidP="002D1EA4">
            <w:pPr>
              <w:rPr>
                <w:rFonts w:cs="Arial"/>
                <w:sz w:val="20"/>
                <w:szCs w:val="20"/>
              </w:rPr>
            </w:pPr>
            <w:r w:rsidRPr="00F32D92">
              <w:rPr>
                <w:rFonts w:cs="Arial"/>
                <w:color w:val="000000"/>
                <w:sz w:val="20"/>
                <w:szCs w:val="20"/>
              </w:rPr>
              <w:t>1</w:t>
            </w:r>
          </w:p>
        </w:tc>
        <w:tc>
          <w:tcPr>
            <w:tcW w:w="896" w:type="dxa"/>
            <w:tcBorders>
              <w:left w:val="single" w:sz="4" w:space="0" w:color="auto"/>
            </w:tcBorders>
            <w:noWrap/>
            <w:hideMark/>
          </w:tcPr>
          <w:p w14:paraId="1FC2840D" w14:textId="77777777" w:rsidR="00AB6753" w:rsidRPr="00F32D92" w:rsidRDefault="00AB6753" w:rsidP="002D1EA4">
            <w:pPr>
              <w:rPr>
                <w:rFonts w:cs="Arial"/>
                <w:sz w:val="20"/>
                <w:szCs w:val="20"/>
              </w:rPr>
            </w:pPr>
            <w:r w:rsidRPr="00F32D92">
              <w:rPr>
                <w:rFonts w:cs="Arial"/>
                <w:color w:val="000000"/>
                <w:sz w:val="20"/>
                <w:szCs w:val="20"/>
              </w:rPr>
              <w:t>4</w:t>
            </w:r>
          </w:p>
        </w:tc>
        <w:tc>
          <w:tcPr>
            <w:tcW w:w="693" w:type="dxa"/>
            <w:noWrap/>
            <w:hideMark/>
          </w:tcPr>
          <w:p w14:paraId="0450A059" w14:textId="77777777" w:rsidR="00AB6753" w:rsidRPr="00F32D92" w:rsidRDefault="00AB6753" w:rsidP="002D1EA4">
            <w:pPr>
              <w:rPr>
                <w:rFonts w:cs="Arial"/>
                <w:sz w:val="20"/>
                <w:szCs w:val="20"/>
              </w:rPr>
            </w:pPr>
            <w:r w:rsidRPr="00F32D92">
              <w:rPr>
                <w:rFonts w:cs="Arial"/>
                <w:color w:val="000000"/>
                <w:sz w:val="20"/>
                <w:szCs w:val="20"/>
              </w:rPr>
              <w:t>1</w:t>
            </w:r>
          </w:p>
        </w:tc>
        <w:tc>
          <w:tcPr>
            <w:tcW w:w="950" w:type="dxa"/>
            <w:tcBorders>
              <w:right w:val="single" w:sz="4" w:space="0" w:color="auto"/>
            </w:tcBorders>
            <w:noWrap/>
            <w:hideMark/>
          </w:tcPr>
          <w:p w14:paraId="24241D99" w14:textId="77777777" w:rsidR="00AB6753" w:rsidRPr="00F32D92" w:rsidRDefault="00AB6753" w:rsidP="002D1EA4">
            <w:pPr>
              <w:rPr>
                <w:rFonts w:cs="Arial"/>
                <w:sz w:val="20"/>
                <w:szCs w:val="20"/>
              </w:rPr>
            </w:pPr>
            <w:r w:rsidRPr="00F32D92">
              <w:rPr>
                <w:rFonts w:cs="Arial"/>
                <w:color w:val="000000"/>
                <w:sz w:val="20"/>
                <w:szCs w:val="20"/>
              </w:rPr>
              <w:t>5</w:t>
            </w:r>
          </w:p>
        </w:tc>
        <w:tc>
          <w:tcPr>
            <w:tcW w:w="896" w:type="dxa"/>
            <w:tcBorders>
              <w:left w:val="single" w:sz="4" w:space="0" w:color="auto"/>
            </w:tcBorders>
            <w:noWrap/>
            <w:hideMark/>
          </w:tcPr>
          <w:p w14:paraId="189030F4" w14:textId="77777777" w:rsidR="00AB6753" w:rsidRPr="00F32D92" w:rsidRDefault="00AB6753" w:rsidP="002D1EA4">
            <w:pPr>
              <w:rPr>
                <w:rFonts w:cs="Arial"/>
                <w:sz w:val="20"/>
                <w:szCs w:val="20"/>
              </w:rPr>
            </w:pPr>
            <w:r w:rsidRPr="00F32D92">
              <w:rPr>
                <w:rFonts w:cs="Arial"/>
                <w:sz w:val="20"/>
                <w:szCs w:val="20"/>
              </w:rPr>
              <w:t>-</w:t>
            </w:r>
          </w:p>
        </w:tc>
        <w:tc>
          <w:tcPr>
            <w:tcW w:w="693" w:type="dxa"/>
            <w:noWrap/>
            <w:hideMark/>
          </w:tcPr>
          <w:p w14:paraId="6EB2C738" w14:textId="77777777" w:rsidR="00AB6753" w:rsidRPr="00F32D92" w:rsidRDefault="00AB6753" w:rsidP="002D1EA4">
            <w:pPr>
              <w:rPr>
                <w:rFonts w:cs="Arial"/>
                <w:sz w:val="20"/>
                <w:szCs w:val="20"/>
              </w:rPr>
            </w:pPr>
            <w:r w:rsidRPr="00F32D92">
              <w:rPr>
                <w:rFonts w:cs="Arial"/>
                <w:sz w:val="20"/>
                <w:szCs w:val="20"/>
              </w:rPr>
              <w:t>-</w:t>
            </w:r>
          </w:p>
        </w:tc>
        <w:tc>
          <w:tcPr>
            <w:tcW w:w="1562" w:type="dxa"/>
            <w:tcBorders>
              <w:right w:val="single" w:sz="4" w:space="0" w:color="auto"/>
            </w:tcBorders>
            <w:noWrap/>
            <w:hideMark/>
          </w:tcPr>
          <w:p w14:paraId="5B91B397"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auto"/>
            </w:tcBorders>
          </w:tcPr>
          <w:p w14:paraId="7FA3989E" w14:textId="77777777" w:rsidR="00AB6753" w:rsidRPr="00F32D92" w:rsidRDefault="00AB6753" w:rsidP="002D1EA4">
            <w:pPr>
              <w:rPr>
                <w:rFonts w:cs="Arial"/>
                <w:sz w:val="20"/>
                <w:szCs w:val="20"/>
              </w:rPr>
            </w:pPr>
            <w:r w:rsidRPr="00F32D92">
              <w:rPr>
                <w:rFonts w:cs="Arial"/>
                <w:color w:val="000000"/>
                <w:sz w:val="20"/>
                <w:szCs w:val="20"/>
              </w:rPr>
              <w:t>6</w:t>
            </w:r>
          </w:p>
        </w:tc>
      </w:tr>
      <w:tr w:rsidR="00AB6753" w:rsidRPr="00F32D92" w14:paraId="1345F2F8" w14:textId="77777777" w:rsidTr="002D1EA4">
        <w:trPr>
          <w:trHeight w:val="315"/>
          <w:jc w:val="center"/>
        </w:trPr>
        <w:tc>
          <w:tcPr>
            <w:tcW w:w="1207" w:type="dxa"/>
            <w:tcBorders>
              <w:left w:val="single" w:sz="4" w:space="0" w:color="auto"/>
              <w:right w:val="single" w:sz="4" w:space="0" w:color="auto"/>
            </w:tcBorders>
            <w:hideMark/>
          </w:tcPr>
          <w:p w14:paraId="51EE5E2C" w14:textId="77777777" w:rsidR="00AB6753" w:rsidRPr="00F32D92" w:rsidRDefault="00AB6753" w:rsidP="002D1EA4">
            <w:pPr>
              <w:rPr>
                <w:rFonts w:cs="Arial"/>
                <w:sz w:val="20"/>
                <w:szCs w:val="20"/>
              </w:rPr>
            </w:pPr>
            <w:r w:rsidRPr="00F32D92">
              <w:rPr>
                <w:rFonts w:cs="Arial"/>
                <w:sz w:val="20"/>
                <w:szCs w:val="20"/>
              </w:rPr>
              <w:t>Qld</w:t>
            </w:r>
          </w:p>
        </w:tc>
        <w:tc>
          <w:tcPr>
            <w:tcW w:w="896" w:type="dxa"/>
            <w:tcBorders>
              <w:left w:val="single" w:sz="4" w:space="0" w:color="auto"/>
            </w:tcBorders>
            <w:noWrap/>
          </w:tcPr>
          <w:p w14:paraId="409FB220" w14:textId="77777777" w:rsidR="00AB6753" w:rsidRPr="00F32D92" w:rsidRDefault="00AB6753" w:rsidP="002D1EA4">
            <w:pPr>
              <w:rPr>
                <w:rFonts w:cs="Arial"/>
                <w:sz w:val="20"/>
                <w:szCs w:val="20"/>
              </w:rPr>
            </w:pPr>
            <w:r w:rsidRPr="00F32D92">
              <w:rPr>
                <w:rFonts w:cs="Arial"/>
                <w:color w:val="000000"/>
                <w:sz w:val="20"/>
                <w:szCs w:val="20"/>
              </w:rPr>
              <w:t>2</w:t>
            </w:r>
          </w:p>
        </w:tc>
        <w:tc>
          <w:tcPr>
            <w:tcW w:w="693" w:type="dxa"/>
            <w:noWrap/>
            <w:hideMark/>
          </w:tcPr>
          <w:p w14:paraId="49813DEE"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hideMark/>
          </w:tcPr>
          <w:p w14:paraId="7E31B829" w14:textId="77777777" w:rsidR="00AB6753" w:rsidRPr="00F32D92" w:rsidRDefault="00AB6753" w:rsidP="002D1EA4">
            <w:pPr>
              <w:rPr>
                <w:rFonts w:cs="Arial"/>
                <w:sz w:val="20"/>
                <w:szCs w:val="20"/>
              </w:rPr>
            </w:pPr>
            <w:r w:rsidRPr="00F32D92">
              <w:rPr>
                <w:rFonts w:cs="Arial"/>
                <w:color w:val="000000"/>
                <w:sz w:val="20"/>
                <w:szCs w:val="20"/>
              </w:rPr>
              <w:t>2</w:t>
            </w:r>
          </w:p>
        </w:tc>
        <w:tc>
          <w:tcPr>
            <w:tcW w:w="896" w:type="dxa"/>
            <w:tcBorders>
              <w:left w:val="single" w:sz="4" w:space="0" w:color="auto"/>
            </w:tcBorders>
            <w:noWrap/>
            <w:hideMark/>
          </w:tcPr>
          <w:p w14:paraId="547301E4" w14:textId="77777777" w:rsidR="00AB6753" w:rsidRPr="00F32D92" w:rsidRDefault="00AB6753" w:rsidP="002D1EA4">
            <w:pPr>
              <w:rPr>
                <w:rFonts w:cs="Arial"/>
                <w:sz w:val="20"/>
                <w:szCs w:val="20"/>
              </w:rPr>
            </w:pPr>
            <w:r w:rsidRPr="00F32D92">
              <w:rPr>
                <w:rFonts w:cs="Arial"/>
                <w:color w:val="000000"/>
                <w:sz w:val="20"/>
                <w:szCs w:val="20"/>
              </w:rPr>
              <w:t>4</w:t>
            </w:r>
          </w:p>
        </w:tc>
        <w:tc>
          <w:tcPr>
            <w:tcW w:w="693" w:type="dxa"/>
            <w:noWrap/>
            <w:hideMark/>
          </w:tcPr>
          <w:p w14:paraId="5B1C718D" w14:textId="77777777" w:rsidR="00AB6753" w:rsidRPr="00F32D92" w:rsidRDefault="00AB6753" w:rsidP="002D1EA4">
            <w:pPr>
              <w:rPr>
                <w:rFonts w:cs="Arial"/>
                <w:sz w:val="20"/>
                <w:szCs w:val="20"/>
              </w:rPr>
            </w:pPr>
            <w:r w:rsidRPr="00F32D92">
              <w:rPr>
                <w:rFonts w:cs="Arial"/>
                <w:color w:val="000000"/>
                <w:sz w:val="20"/>
                <w:szCs w:val="20"/>
              </w:rPr>
              <w:t>2</w:t>
            </w:r>
          </w:p>
        </w:tc>
        <w:tc>
          <w:tcPr>
            <w:tcW w:w="950" w:type="dxa"/>
            <w:tcBorders>
              <w:right w:val="single" w:sz="4" w:space="0" w:color="auto"/>
            </w:tcBorders>
            <w:noWrap/>
            <w:hideMark/>
          </w:tcPr>
          <w:p w14:paraId="6D3D1360" w14:textId="77777777" w:rsidR="00AB6753" w:rsidRPr="00F32D92" w:rsidRDefault="00AB6753" w:rsidP="002D1EA4">
            <w:pPr>
              <w:rPr>
                <w:rFonts w:cs="Arial"/>
                <w:sz w:val="20"/>
                <w:szCs w:val="20"/>
              </w:rPr>
            </w:pPr>
            <w:r w:rsidRPr="00F32D92">
              <w:rPr>
                <w:rFonts w:cs="Arial"/>
                <w:color w:val="000000"/>
                <w:sz w:val="20"/>
                <w:szCs w:val="20"/>
              </w:rPr>
              <w:t>6</w:t>
            </w:r>
          </w:p>
        </w:tc>
        <w:tc>
          <w:tcPr>
            <w:tcW w:w="896" w:type="dxa"/>
            <w:tcBorders>
              <w:left w:val="single" w:sz="4" w:space="0" w:color="auto"/>
            </w:tcBorders>
            <w:noWrap/>
            <w:hideMark/>
          </w:tcPr>
          <w:p w14:paraId="5B1D2BF4" w14:textId="77777777" w:rsidR="00AB6753" w:rsidRPr="00F32D92" w:rsidRDefault="00AB6753" w:rsidP="002D1EA4">
            <w:pPr>
              <w:rPr>
                <w:rFonts w:cs="Arial"/>
                <w:sz w:val="20"/>
                <w:szCs w:val="20"/>
              </w:rPr>
            </w:pPr>
            <w:r w:rsidRPr="00F32D92">
              <w:rPr>
                <w:rFonts w:cs="Arial"/>
                <w:sz w:val="20"/>
                <w:szCs w:val="20"/>
              </w:rPr>
              <w:t>-</w:t>
            </w:r>
          </w:p>
        </w:tc>
        <w:tc>
          <w:tcPr>
            <w:tcW w:w="693" w:type="dxa"/>
            <w:noWrap/>
            <w:hideMark/>
          </w:tcPr>
          <w:p w14:paraId="092C2701" w14:textId="77777777" w:rsidR="00AB6753" w:rsidRPr="00F32D92" w:rsidRDefault="00AB6753" w:rsidP="002D1EA4">
            <w:pPr>
              <w:rPr>
                <w:rFonts w:cs="Arial"/>
                <w:sz w:val="20"/>
                <w:szCs w:val="20"/>
              </w:rPr>
            </w:pPr>
            <w:r w:rsidRPr="00F32D92">
              <w:rPr>
                <w:rFonts w:cs="Arial"/>
                <w:sz w:val="20"/>
                <w:szCs w:val="20"/>
              </w:rPr>
              <w:t>-</w:t>
            </w:r>
          </w:p>
        </w:tc>
        <w:tc>
          <w:tcPr>
            <w:tcW w:w="1562" w:type="dxa"/>
            <w:tcBorders>
              <w:right w:val="single" w:sz="4" w:space="0" w:color="auto"/>
            </w:tcBorders>
            <w:noWrap/>
            <w:hideMark/>
          </w:tcPr>
          <w:p w14:paraId="7DE11266"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auto"/>
            </w:tcBorders>
          </w:tcPr>
          <w:p w14:paraId="3E8BC65F" w14:textId="77777777" w:rsidR="00AB6753" w:rsidRPr="00F32D92" w:rsidRDefault="00AB6753" w:rsidP="002D1EA4">
            <w:pPr>
              <w:rPr>
                <w:rFonts w:cs="Arial"/>
                <w:sz w:val="20"/>
                <w:szCs w:val="20"/>
              </w:rPr>
            </w:pPr>
            <w:r w:rsidRPr="00F32D92">
              <w:rPr>
                <w:rFonts w:cs="Arial"/>
                <w:color w:val="000000"/>
                <w:sz w:val="20"/>
                <w:szCs w:val="20"/>
              </w:rPr>
              <w:t>8</w:t>
            </w:r>
          </w:p>
        </w:tc>
      </w:tr>
      <w:tr w:rsidR="00AB6753" w:rsidRPr="00F32D92" w14:paraId="5E2711F1" w14:textId="77777777" w:rsidTr="002D1EA4">
        <w:trPr>
          <w:trHeight w:val="315"/>
          <w:jc w:val="center"/>
        </w:trPr>
        <w:tc>
          <w:tcPr>
            <w:tcW w:w="1207" w:type="dxa"/>
            <w:tcBorders>
              <w:left w:val="single" w:sz="4" w:space="0" w:color="auto"/>
              <w:right w:val="single" w:sz="4" w:space="0" w:color="auto"/>
            </w:tcBorders>
            <w:hideMark/>
          </w:tcPr>
          <w:p w14:paraId="7D86E05E" w14:textId="77777777" w:rsidR="00AB6753" w:rsidRPr="00F32D92" w:rsidRDefault="00AB6753" w:rsidP="002D1EA4">
            <w:pPr>
              <w:rPr>
                <w:rFonts w:cs="Arial"/>
                <w:sz w:val="20"/>
                <w:szCs w:val="20"/>
              </w:rPr>
            </w:pPr>
            <w:r w:rsidRPr="00F32D92">
              <w:rPr>
                <w:rFonts w:cs="Arial"/>
                <w:sz w:val="20"/>
                <w:szCs w:val="20"/>
              </w:rPr>
              <w:t>SA</w:t>
            </w:r>
          </w:p>
        </w:tc>
        <w:tc>
          <w:tcPr>
            <w:tcW w:w="896" w:type="dxa"/>
            <w:tcBorders>
              <w:left w:val="single" w:sz="4" w:space="0" w:color="auto"/>
            </w:tcBorders>
            <w:noWrap/>
            <w:hideMark/>
          </w:tcPr>
          <w:p w14:paraId="3A5A72E8" w14:textId="77777777" w:rsidR="00AB6753" w:rsidRPr="00F32D92" w:rsidRDefault="00AB6753" w:rsidP="002D1EA4">
            <w:pPr>
              <w:rPr>
                <w:rFonts w:cs="Arial"/>
                <w:sz w:val="20"/>
                <w:szCs w:val="20"/>
              </w:rPr>
            </w:pPr>
            <w:r w:rsidRPr="00F32D92">
              <w:rPr>
                <w:rFonts w:cs="Arial"/>
                <w:sz w:val="20"/>
                <w:szCs w:val="20"/>
              </w:rPr>
              <w:t>0</w:t>
            </w:r>
          </w:p>
        </w:tc>
        <w:tc>
          <w:tcPr>
            <w:tcW w:w="693" w:type="dxa"/>
            <w:noWrap/>
            <w:hideMark/>
          </w:tcPr>
          <w:p w14:paraId="3AF6F264"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hideMark/>
          </w:tcPr>
          <w:p w14:paraId="2EBDC470"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hideMark/>
          </w:tcPr>
          <w:p w14:paraId="4125DBEC" w14:textId="77777777" w:rsidR="00AB6753" w:rsidRPr="00F32D92" w:rsidRDefault="00AB6753" w:rsidP="002D1EA4">
            <w:pPr>
              <w:rPr>
                <w:rFonts w:cs="Arial"/>
                <w:sz w:val="20"/>
                <w:szCs w:val="20"/>
              </w:rPr>
            </w:pPr>
            <w:r w:rsidRPr="00F32D92">
              <w:rPr>
                <w:rFonts w:cs="Arial"/>
                <w:color w:val="000000"/>
                <w:sz w:val="20"/>
                <w:szCs w:val="20"/>
              </w:rPr>
              <w:t>3</w:t>
            </w:r>
          </w:p>
        </w:tc>
        <w:tc>
          <w:tcPr>
            <w:tcW w:w="693" w:type="dxa"/>
            <w:noWrap/>
            <w:hideMark/>
          </w:tcPr>
          <w:p w14:paraId="6472C167" w14:textId="77777777" w:rsidR="00AB6753" w:rsidRPr="00F32D92" w:rsidRDefault="00AB6753" w:rsidP="002D1EA4">
            <w:pPr>
              <w:rPr>
                <w:rFonts w:cs="Arial"/>
                <w:sz w:val="20"/>
                <w:szCs w:val="20"/>
              </w:rPr>
            </w:pPr>
            <w:r w:rsidRPr="00F32D92">
              <w:rPr>
                <w:rFonts w:cs="Arial"/>
                <w:color w:val="000000"/>
                <w:sz w:val="20"/>
                <w:szCs w:val="20"/>
              </w:rPr>
              <w:t>1</w:t>
            </w:r>
          </w:p>
        </w:tc>
        <w:tc>
          <w:tcPr>
            <w:tcW w:w="950" w:type="dxa"/>
            <w:tcBorders>
              <w:right w:val="single" w:sz="4" w:space="0" w:color="auto"/>
            </w:tcBorders>
            <w:noWrap/>
            <w:hideMark/>
          </w:tcPr>
          <w:p w14:paraId="21727000" w14:textId="77777777" w:rsidR="00AB6753" w:rsidRPr="00F32D92" w:rsidRDefault="00AB6753" w:rsidP="002D1EA4">
            <w:pPr>
              <w:rPr>
                <w:rFonts w:cs="Arial"/>
                <w:sz w:val="20"/>
                <w:szCs w:val="20"/>
              </w:rPr>
            </w:pPr>
            <w:r w:rsidRPr="00F32D92">
              <w:rPr>
                <w:rFonts w:cs="Arial"/>
                <w:color w:val="000000"/>
                <w:sz w:val="20"/>
                <w:szCs w:val="20"/>
              </w:rPr>
              <w:t>4</w:t>
            </w:r>
          </w:p>
        </w:tc>
        <w:tc>
          <w:tcPr>
            <w:tcW w:w="896" w:type="dxa"/>
            <w:tcBorders>
              <w:left w:val="single" w:sz="4" w:space="0" w:color="auto"/>
            </w:tcBorders>
            <w:noWrap/>
            <w:hideMark/>
          </w:tcPr>
          <w:p w14:paraId="3E3F72D6" w14:textId="77777777" w:rsidR="00AB6753" w:rsidRPr="00F32D92" w:rsidRDefault="00AB6753" w:rsidP="002D1EA4">
            <w:pPr>
              <w:rPr>
                <w:rFonts w:cs="Arial"/>
                <w:sz w:val="20"/>
                <w:szCs w:val="20"/>
              </w:rPr>
            </w:pPr>
            <w:r w:rsidRPr="00F32D92">
              <w:rPr>
                <w:rFonts w:cs="Arial"/>
                <w:sz w:val="20"/>
                <w:szCs w:val="20"/>
              </w:rPr>
              <w:t>-</w:t>
            </w:r>
          </w:p>
        </w:tc>
        <w:tc>
          <w:tcPr>
            <w:tcW w:w="693" w:type="dxa"/>
            <w:noWrap/>
            <w:hideMark/>
          </w:tcPr>
          <w:p w14:paraId="2325567C" w14:textId="77777777" w:rsidR="00AB6753" w:rsidRPr="00F32D92" w:rsidRDefault="00AB6753" w:rsidP="002D1EA4">
            <w:pPr>
              <w:rPr>
                <w:rFonts w:cs="Arial"/>
                <w:sz w:val="20"/>
                <w:szCs w:val="20"/>
              </w:rPr>
            </w:pPr>
            <w:r w:rsidRPr="00F32D92">
              <w:rPr>
                <w:rFonts w:cs="Arial"/>
                <w:sz w:val="20"/>
                <w:szCs w:val="20"/>
              </w:rPr>
              <w:t>-</w:t>
            </w:r>
          </w:p>
        </w:tc>
        <w:tc>
          <w:tcPr>
            <w:tcW w:w="1562" w:type="dxa"/>
            <w:tcBorders>
              <w:right w:val="single" w:sz="4" w:space="0" w:color="auto"/>
            </w:tcBorders>
            <w:noWrap/>
            <w:hideMark/>
          </w:tcPr>
          <w:p w14:paraId="6A73853F"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auto"/>
            </w:tcBorders>
          </w:tcPr>
          <w:p w14:paraId="6CCBB68C" w14:textId="77777777" w:rsidR="00AB6753" w:rsidRPr="00F32D92" w:rsidRDefault="00AB6753" w:rsidP="002D1EA4">
            <w:pPr>
              <w:rPr>
                <w:rFonts w:cs="Arial"/>
                <w:sz w:val="20"/>
                <w:szCs w:val="20"/>
              </w:rPr>
            </w:pPr>
            <w:r w:rsidRPr="00F32D92">
              <w:rPr>
                <w:rFonts w:cs="Arial"/>
                <w:color w:val="000000"/>
                <w:sz w:val="20"/>
                <w:szCs w:val="20"/>
              </w:rPr>
              <w:t>4</w:t>
            </w:r>
          </w:p>
        </w:tc>
      </w:tr>
      <w:tr w:rsidR="00AB6753" w:rsidRPr="00F32D92" w14:paraId="54E2AB29" w14:textId="77777777" w:rsidTr="002D1EA4">
        <w:trPr>
          <w:trHeight w:val="315"/>
          <w:jc w:val="center"/>
        </w:trPr>
        <w:tc>
          <w:tcPr>
            <w:tcW w:w="1207" w:type="dxa"/>
            <w:tcBorders>
              <w:left w:val="single" w:sz="4" w:space="0" w:color="auto"/>
              <w:right w:val="single" w:sz="4" w:space="0" w:color="auto"/>
            </w:tcBorders>
            <w:hideMark/>
          </w:tcPr>
          <w:p w14:paraId="1BE838C6" w14:textId="77777777" w:rsidR="00AB6753" w:rsidRPr="00F32D92" w:rsidRDefault="00AB6753" w:rsidP="002D1EA4">
            <w:pPr>
              <w:rPr>
                <w:rFonts w:cs="Arial"/>
                <w:sz w:val="20"/>
                <w:szCs w:val="20"/>
              </w:rPr>
            </w:pPr>
            <w:proofErr w:type="spellStart"/>
            <w:r w:rsidRPr="00F32D92">
              <w:rPr>
                <w:rFonts w:cs="Arial"/>
                <w:sz w:val="20"/>
                <w:szCs w:val="20"/>
              </w:rPr>
              <w:t>Tas</w:t>
            </w:r>
            <w:proofErr w:type="spellEnd"/>
          </w:p>
        </w:tc>
        <w:tc>
          <w:tcPr>
            <w:tcW w:w="896" w:type="dxa"/>
            <w:tcBorders>
              <w:left w:val="single" w:sz="4" w:space="0" w:color="auto"/>
            </w:tcBorders>
            <w:noWrap/>
            <w:hideMark/>
          </w:tcPr>
          <w:p w14:paraId="36D6BED3" w14:textId="77777777" w:rsidR="00AB6753" w:rsidRPr="00F32D92" w:rsidRDefault="00AB6753" w:rsidP="002D1EA4">
            <w:pPr>
              <w:rPr>
                <w:rFonts w:cs="Arial"/>
                <w:sz w:val="20"/>
                <w:szCs w:val="20"/>
              </w:rPr>
            </w:pPr>
            <w:r w:rsidRPr="00F32D92">
              <w:rPr>
                <w:rFonts w:cs="Arial"/>
                <w:sz w:val="20"/>
                <w:szCs w:val="20"/>
              </w:rPr>
              <w:t>0</w:t>
            </w:r>
          </w:p>
        </w:tc>
        <w:tc>
          <w:tcPr>
            <w:tcW w:w="693" w:type="dxa"/>
            <w:noWrap/>
            <w:hideMark/>
          </w:tcPr>
          <w:p w14:paraId="676375A6"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hideMark/>
          </w:tcPr>
          <w:p w14:paraId="6DA548B4"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hideMark/>
          </w:tcPr>
          <w:p w14:paraId="78E314B4" w14:textId="77777777" w:rsidR="00AB6753" w:rsidRPr="00F32D92" w:rsidRDefault="00AB6753" w:rsidP="002D1EA4">
            <w:pPr>
              <w:rPr>
                <w:rFonts w:cs="Arial"/>
                <w:sz w:val="20"/>
                <w:szCs w:val="20"/>
              </w:rPr>
            </w:pPr>
            <w:r w:rsidRPr="00F32D92">
              <w:rPr>
                <w:rFonts w:cs="Arial"/>
                <w:color w:val="000000"/>
                <w:sz w:val="20"/>
                <w:szCs w:val="20"/>
              </w:rPr>
              <w:t>4</w:t>
            </w:r>
          </w:p>
        </w:tc>
        <w:tc>
          <w:tcPr>
            <w:tcW w:w="693" w:type="dxa"/>
            <w:noWrap/>
            <w:hideMark/>
          </w:tcPr>
          <w:p w14:paraId="3A9E2C36" w14:textId="77777777" w:rsidR="00AB6753" w:rsidRPr="00F32D92" w:rsidRDefault="00AB6753" w:rsidP="002D1EA4">
            <w:pPr>
              <w:rPr>
                <w:rFonts w:cs="Arial"/>
                <w:sz w:val="20"/>
                <w:szCs w:val="20"/>
              </w:rPr>
            </w:pPr>
            <w:r w:rsidRPr="00F32D92">
              <w:rPr>
                <w:rFonts w:cs="Arial"/>
                <w:sz w:val="20"/>
                <w:szCs w:val="20"/>
              </w:rPr>
              <w:t>0</w:t>
            </w:r>
          </w:p>
        </w:tc>
        <w:tc>
          <w:tcPr>
            <w:tcW w:w="950" w:type="dxa"/>
            <w:tcBorders>
              <w:right w:val="single" w:sz="4" w:space="0" w:color="auto"/>
            </w:tcBorders>
            <w:noWrap/>
            <w:hideMark/>
          </w:tcPr>
          <w:p w14:paraId="6112DFF8" w14:textId="77777777" w:rsidR="00AB6753" w:rsidRPr="00F32D92" w:rsidRDefault="00AB6753" w:rsidP="002D1EA4">
            <w:pPr>
              <w:rPr>
                <w:rFonts w:cs="Arial"/>
                <w:sz w:val="20"/>
                <w:szCs w:val="20"/>
              </w:rPr>
            </w:pPr>
            <w:r w:rsidRPr="00F32D92">
              <w:rPr>
                <w:rFonts w:cs="Arial"/>
                <w:color w:val="000000"/>
                <w:sz w:val="20"/>
                <w:szCs w:val="20"/>
              </w:rPr>
              <w:t>4</w:t>
            </w:r>
          </w:p>
        </w:tc>
        <w:tc>
          <w:tcPr>
            <w:tcW w:w="896" w:type="dxa"/>
            <w:tcBorders>
              <w:left w:val="single" w:sz="4" w:space="0" w:color="auto"/>
            </w:tcBorders>
            <w:noWrap/>
            <w:hideMark/>
          </w:tcPr>
          <w:p w14:paraId="2C270A75" w14:textId="77777777" w:rsidR="00AB6753" w:rsidRPr="00F32D92" w:rsidRDefault="00AB6753" w:rsidP="002D1EA4">
            <w:pPr>
              <w:rPr>
                <w:rFonts w:cs="Arial"/>
                <w:sz w:val="20"/>
                <w:szCs w:val="20"/>
              </w:rPr>
            </w:pPr>
            <w:r w:rsidRPr="00F32D92">
              <w:rPr>
                <w:rFonts w:cs="Arial"/>
                <w:sz w:val="20"/>
                <w:szCs w:val="20"/>
              </w:rPr>
              <w:t>-</w:t>
            </w:r>
          </w:p>
        </w:tc>
        <w:tc>
          <w:tcPr>
            <w:tcW w:w="693" w:type="dxa"/>
            <w:noWrap/>
            <w:hideMark/>
          </w:tcPr>
          <w:p w14:paraId="70C8EA6A" w14:textId="77777777" w:rsidR="00AB6753" w:rsidRPr="00F32D92" w:rsidRDefault="00AB6753" w:rsidP="002D1EA4">
            <w:pPr>
              <w:rPr>
                <w:rFonts w:cs="Arial"/>
                <w:sz w:val="20"/>
                <w:szCs w:val="20"/>
              </w:rPr>
            </w:pPr>
            <w:r w:rsidRPr="00F32D92">
              <w:rPr>
                <w:rFonts w:cs="Arial"/>
                <w:sz w:val="20"/>
                <w:szCs w:val="20"/>
              </w:rPr>
              <w:t>-</w:t>
            </w:r>
          </w:p>
        </w:tc>
        <w:tc>
          <w:tcPr>
            <w:tcW w:w="1562" w:type="dxa"/>
            <w:tcBorders>
              <w:right w:val="single" w:sz="4" w:space="0" w:color="auto"/>
            </w:tcBorders>
            <w:noWrap/>
            <w:hideMark/>
          </w:tcPr>
          <w:p w14:paraId="66D5E263"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auto"/>
            </w:tcBorders>
          </w:tcPr>
          <w:p w14:paraId="365ACFCD" w14:textId="77777777" w:rsidR="00AB6753" w:rsidRPr="00F32D92" w:rsidRDefault="00AB6753" w:rsidP="002D1EA4">
            <w:pPr>
              <w:rPr>
                <w:rFonts w:cs="Arial"/>
                <w:sz w:val="20"/>
                <w:szCs w:val="20"/>
              </w:rPr>
            </w:pPr>
            <w:r w:rsidRPr="00F32D92">
              <w:rPr>
                <w:rFonts w:cs="Arial"/>
                <w:color w:val="000000"/>
                <w:sz w:val="20"/>
                <w:szCs w:val="20"/>
              </w:rPr>
              <w:t>4</w:t>
            </w:r>
          </w:p>
        </w:tc>
      </w:tr>
      <w:tr w:rsidR="00AB6753" w:rsidRPr="00F32D92" w14:paraId="0C670DF9" w14:textId="77777777" w:rsidTr="002D1EA4">
        <w:trPr>
          <w:trHeight w:val="315"/>
          <w:jc w:val="center"/>
        </w:trPr>
        <w:tc>
          <w:tcPr>
            <w:tcW w:w="1207" w:type="dxa"/>
            <w:tcBorders>
              <w:left w:val="single" w:sz="4" w:space="0" w:color="auto"/>
              <w:right w:val="single" w:sz="4" w:space="0" w:color="auto"/>
            </w:tcBorders>
            <w:hideMark/>
          </w:tcPr>
          <w:p w14:paraId="16CD2CDF" w14:textId="77777777" w:rsidR="00AB6753" w:rsidRPr="00F32D92" w:rsidRDefault="00AB6753" w:rsidP="002D1EA4">
            <w:pPr>
              <w:rPr>
                <w:rFonts w:cs="Arial"/>
                <w:sz w:val="20"/>
                <w:szCs w:val="20"/>
              </w:rPr>
            </w:pPr>
            <w:r w:rsidRPr="00F32D92">
              <w:rPr>
                <w:rFonts w:cs="Arial"/>
                <w:sz w:val="20"/>
                <w:szCs w:val="20"/>
              </w:rPr>
              <w:t>Vic</w:t>
            </w:r>
          </w:p>
        </w:tc>
        <w:tc>
          <w:tcPr>
            <w:tcW w:w="896" w:type="dxa"/>
            <w:tcBorders>
              <w:left w:val="single" w:sz="4" w:space="0" w:color="auto"/>
            </w:tcBorders>
            <w:noWrap/>
            <w:hideMark/>
          </w:tcPr>
          <w:p w14:paraId="583F2CD8" w14:textId="77777777" w:rsidR="00AB6753" w:rsidRPr="00F32D92" w:rsidRDefault="00AB6753" w:rsidP="002D1EA4">
            <w:pPr>
              <w:rPr>
                <w:rFonts w:cs="Arial"/>
                <w:sz w:val="20"/>
                <w:szCs w:val="20"/>
              </w:rPr>
            </w:pPr>
            <w:r w:rsidRPr="00F32D92">
              <w:rPr>
                <w:rFonts w:cs="Arial"/>
                <w:sz w:val="20"/>
                <w:szCs w:val="20"/>
              </w:rPr>
              <w:t>0</w:t>
            </w:r>
          </w:p>
        </w:tc>
        <w:tc>
          <w:tcPr>
            <w:tcW w:w="693" w:type="dxa"/>
            <w:noWrap/>
            <w:hideMark/>
          </w:tcPr>
          <w:p w14:paraId="0AA83F67" w14:textId="77777777" w:rsidR="00AB6753" w:rsidRPr="00F32D92" w:rsidRDefault="00AB6753" w:rsidP="002D1EA4">
            <w:pPr>
              <w:rPr>
                <w:rFonts w:cs="Arial"/>
                <w:sz w:val="20"/>
                <w:szCs w:val="20"/>
              </w:rPr>
            </w:pPr>
            <w:r w:rsidRPr="00F32D92">
              <w:rPr>
                <w:rFonts w:cs="Arial"/>
                <w:color w:val="000000"/>
                <w:sz w:val="20"/>
                <w:szCs w:val="20"/>
              </w:rPr>
              <w:t>1</w:t>
            </w:r>
          </w:p>
        </w:tc>
        <w:tc>
          <w:tcPr>
            <w:tcW w:w="709" w:type="dxa"/>
            <w:tcBorders>
              <w:right w:val="single" w:sz="4" w:space="0" w:color="auto"/>
            </w:tcBorders>
            <w:noWrap/>
            <w:hideMark/>
          </w:tcPr>
          <w:p w14:paraId="7394F93A" w14:textId="77777777" w:rsidR="00AB6753" w:rsidRPr="00F32D92" w:rsidRDefault="00AB6753" w:rsidP="002D1EA4">
            <w:pPr>
              <w:rPr>
                <w:rFonts w:cs="Arial"/>
                <w:sz w:val="20"/>
                <w:szCs w:val="20"/>
              </w:rPr>
            </w:pPr>
            <w:r w:rsidRPr="00F32D92">
              <w:rPr>
                <w:rFonts w:cs="Arial"/>
                <w:color w:val="000000"/>
                <w:sz w:val="20"/>
                <w:szCs w:val="20"/>
              </w:rPr>
              <w:t>1</w:t>
            </w:r>
          </w:p>
        </w:tc>
        <w:tc>
          <w:tcPr>
            <w:tcW w:w="896" w:type="dxa"/>
            <w:tcBorders>
              <w:left w:val="single" w:sz="4" w:space="0" w:color="auto"/>
            </w:tcBorders>
            <w:noWrap/>
            <w:hideMark/>
          </w:tcPr>
          <w:p w14:paraId="352A29B8" w14:textId="77777777" w:rsidR="00AB6753" w:rsidRPr="00F32D92" w:rsidRDefault="00AB6753" w:rsidP="002D1EA4">
            <w:pPr>
              <w:rPr>
                <w:rFonts w:cs="Arial"/>
                <w:sz w:val="20"/>
                <w:szCs w:val="20"/>
              </w:rPr>
            </w:pPr>
            <w:r w:rsidRPr="00F32D92">
              <w:rPr>
                <w:rFonts w:cs="Arial"/>
                <w:color w:val="000000"/>
                <w:sz w:val="20"/>
                <w:szCs w:val="20"/>
              </w:rPr>
              <w:t>5</w:t>
            </w:r>
          </w:p>
        </w:tc>
        <w:tc>
          <w:tcPr>
            <w:tcW w:w="693" w:type="dxa"/>
            <w:noWrap/>
            <w:hideMark/>
          </w:tcPr>
          <w:p w14:paraId="2D8F573B" w14:textId="77777777" w:rsidR="00AB6753" w:rsidRPr="00F32D92" w:rsidRDefault="00AB6753" w:rsidP="002D1EA4">
            <w:pPr>
              <w:rPr>
                <w:rFonts w:cs="Arial"/>
                <w:sz w:val="20"/>
                <w:szCs w:val="20"/>
              </w:rPr>
            </w:pPr>
            <w:r w:rsidRPr="00F32D92">
              <w:rPr>
                <w:rFonts w:cs="Arial"/>
                <w:sz w:val="20"/>
                <w:szCs w:val="20"/>
              </w:rPr>
              <w:t>0</w:t>
            </w:r>
          </w:p>
        </w:tc>
        <w:tc>
          <w:tcPr>
            <w:tcW w:w="950" w:type="dxa"/>
            <w:tcBorders>
              <w:right w:val="single" w:sz="4" w:space="0" w:color="auto"/>
            </w:tcBorders>
            <w:noWrap/>
            <w:hideMark/>
          </w:tcPr>
          <w:p w14:paraId="6F122EAC" w14:textId="77777777" w:rsidR="00AB6753" w:rsidRPr="00F32D92" w:rsidRDefault="00AB6753" w:rsidP="002D1EA4">
            <w:pPr>
              <w:rPr>
                <w:rFonts w:cs="Arial"/>
                <w:sz w:val="20"/>
                <w:szCs w:val="20"/>
              </w:rPr>
            </w:pPr>
            <w:r w:rsidRPr="00F32D92">
              <w:rPr>
                <w:rFonts w:cs="Arial"/>
                <w:color w:val="000000"/>
                <w:sz w:val="20"/>
                <w:szCs w:val="20"/>
              </w:rPr>
              <w:t>5</w:t>
            </w:r>
          </w:p>
        </w:tc>
        <w:tc>
          <w:tcPr>
            <w:tcW w:w="896" w:type="dxa"/>
            <w:tcBorders>
              <w:left w:val="single" w:sz="4" w:space="0" w:color="auto"/>
            </w:tcBorders>
            <w:noWrap/>
            <w:hideMark/>
          </w:tcPr>
          <w:p w14:paraId="27957E30" w14:textId="77777777" w:rsidR="00AB6753" w:rsidRPr="00F32D92" w:rsidRDefault="00AB6753" w:rsidP="002D1EA4">
            <w:pPr>
              <w:rPr>
                <w:rFonts w:cs="Arial"/>
                <w:sz w:val="20"/>
                <w:szCs w:val="20"/>
              </w:rPr>
            </w:pPr>
            <w:r w:rsidRPr="00F32D92">
              <w:rPr>
                <w:rFonts w:cs="Arial"/>
                <w:sz w:val="20"/>
                <w:szCs w:val="20"/>
              </w:rPr>
              <w:t>-</w:t>
            </w:r>
          </w:p>
        </w:tc>
        <w:tc>
          <w:tcPr>
            <w:tcW w:w="693" w:type="dxa"/>
            <w:noWrap/>
            <w:hideMark/>
          </w:tcPr>
          <w:p w14:paraId="2D16BB19" w14:textId="77777777" w:rsidR="00AB6753" w:rsidRPr="00F32D92" w:rsidRDefault="00AB6753" w:rsidP="002D1EA4">
            <w:pPr>
              <w:rPr>
                <w:rFonts w:cs="Arial"/>
                <w:sz w:val="20"/>
                <w:szCs w:val="20"/>
              </w:rPr>
            </w:pPr>
            <w:r w:rsidRPr="00F32D92">
              <w:rPr>
                <w:rFonts w:cs="Arial"/>
                <w:sz w:val="20"/>
                <w:szCs w:val="20"/>
              </w:rPr>
              <w:t>-</w:t>
            </w:r>
          </w:p>
        </w:tc>
        <w:tc>
          <w:tcPr>
            <w:tcW w:w="1562" w:type="dxa"/>
            <w:tcBorders>
              <w:right w:val="single" w:sz="4" w:space="0" w:color="auto"/>
            </w:tcBorders>
            <w:noWrap/>
            <w:hideMark/>
          </w:tcPr>
          <w:p w14:paraId="5C1488BE"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auto"/>
            </w:tcBorders>
          </w:tcPr>
          <w:p w14:paraId="1ACED8FC" w14:textId="77777777" w:rsidR="00AB6753" w:rsidRPr="00F32D92" w:rsidRDefault="00AB6753" w:rsidP="002D1EA4">
            <w:pPr>
              <w:rPr>
                <w:rFonts w:cs="Arial"/>
                <w:sz w:val="20"/>
                <w:szCs w:val="20"/>
              </w:rPr>
            </w:pPr>
            <w:r w:rsidRPr="00F32D92">
              <w:rPr>
                <w:rFonts w:cs="Arial"/>
                <w:color w:val="000000"/>
                <w:sz w:val="20"/>
                <w:szCs w:val="20"/>
              </w:rPr>
              <w:t>6</w:t>
            </w:r>
          </w:p>
        </w:tc>
      </w:tr>
      <w:tr w:rsidR="00AB6753" w:rsidRPr="00F32D92" w14:paraId="42B7BFB4" w14:textId="77777777" w:rsidTr="002D1EA4">
        <w:trPr>
          <w:trHeight w:val="315"/>
          <w:jc w:val="center"/>
        </w:trPr>
        <w:tc>
          <w:tcPr>
            <w:tcW w:w="1207" w:type="dxa"/>
            <w:tcBorders>
              <w:left w:val="single" w:sz="4" w:space="0" w:color="auto"/>
              <w:right w:val="single" w:sz="4" w:space="0" w:color="auto"/>
            </w:tcBorders>
            <w:hideMark/>
          </w:tcPr>
          <w:p w14:paraId="688FB570" w14:textId="77777777" w:rsidR="00AB6753" w:rsidRPr="00F32D92" w:rsidRDefault="00AB6753" w:rsidP="002D1EA4">
            <w:pPr>
              <w:rPr>
                <w:rFonts w:cs="Arial"/>
                <w:sz w:val="20"/>
                <w:szCs w:val="20"/>
              </w:rPr>
            </w:pPr>
            <w:r w:rsidRPr="00F32D92">
              <w:rPr>
                <w:rFonts w:cs="Arial"/>
                <w:sz w:val="20"/>
                <w:szCs w:val="20"/>
              </w:rPr>
              <w:t>WA</w:t>
            </w:r>
          </w:p>
        </w:tc>
        <w:tc>
          <w:tcPr>
            <w:tcW w:w="896" w:type="dxa"/>
            <w:tcBorders>
              <w:left w:val="single" w:sz="4" w:space="0" w:color="auto"/>
            </w:tcBorders>
            <w:noWrap/>
            <w:hideMark/>
          </w:tcPr>
          <w:p w14:paraId="6C307B6D" w14:textId="77777777" w:rsidR="00AB6753" w:rsidRPr="00F32D92" w:rsidRDefault="00AB6753" w:rsidP="002D1EA4">
            <w:pPr>
              <w:rPr>
                <w:rFonts w:cs="Arial"/>
                <w:sz w:val="20"/>
                <w:szCs w:val="20"/>
              </w:rPr>
            </w:pPr>
            <w:r w:rsidRPr="00F32D92">
              <w:rPr>
                <w:rFonts w:cs="Arial"/>
                <w:sz w:val="20"/>
                <w:szCs w:val="20"/>
              </w:rPr>
              <w:t>0</w:t>
            </w:r>
          </w:p>
        </w:tc>
        <w:tc>
          <w:tcPr>
            <w:tcW w:w="693" w:type="dxa"/>
            <w:noWrap/>
            <w:hideMark/>
          </w:tcPr>
          <w:p w14:paraId="1AFBFA76"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hideMark/>
          </w:tcPr>
          <w:p w14:paraId="4FC45011"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hideMark/>
          </w:tcPr>
          <w:p w14:paraId="394075CA" w14:textId="77777777" w:rsidR="00AB6753" w:rsidRPr="00F32D92" w:rsidRDefault="00AB6753" w:rsidP="002D1EA4">
            <w:pPr>
              <w:rPr>
                <w:rFonts w:cs="Arial"/>
                <w:sz w:val="20"/>
                <w:szCs w:val="20"/>
              </w:rPr>
            </w:pPr>
            <w:r w:rsidRPr="00F32D92">
              <w:rPr>
                <w:rFonts w:cs="Arial"/>
                <w:color w:val="000000"/>
                <w:sz w:val="20"/>
                <w:szCs w:val="20"/>
              </w:rPr>
              <w:t>4</w:t>
            </w:r>
          </w:p>
        </w:tc>
        <w:tc>
          <w:tcPr>
            <w:tcW w:w="693" w:type="dxa"/>
            <w:noWrap/>
            <w:hideMark/>
          </w:tcPr>
          <w:p w14:paraId="78F3A983" w14:textId="77777777" w:rsidR="00AB6753" w:rsidRPr="00F32D92" w:rsidRDefault="00AB6753" w:rsidP="002D1EA4">
            <w:pPr>
              <w:rPr>
                <w:rFonts w:cs="Arial"/>
                <w:sz w:val="20"/>
                <w:szCs w:val="20"/>
              </w:rPr>
            </w:pPr>
            <w:r w:rsidRPr="00F32D92">
              <w:rPr>
                <w:rFonts w:cs="Arial"/>
                <w:sz w:val="20"/>
                <w:szCs w:val="20"/>
              </w:rPr>
              <w:t>0</w:t>
            </w:r>
          </w:p>
        </w:tc>
        <w:tc>
          <w:tcPr>
            <w:tcW w:w="950" w:type="dxa"/>
            <w:tcBorders>
              <w:right w:val="single" w:sz="4" w:space="0" w:color="auto"/>
            </w:tcBorders>
            <w:noWrap/>
            <w:hideMark/>
          </w:tcPr>
          <w:p w14:paraId="36BAEC58" w14:textId="77777777" w:rsidR="00AB6753" w:rsidRPr="00F32D92" w:rsidRDefault="00AB6753" w:rsidP="002D1EA4">
            <w:pPr>
              <w:rPr>
                <w:rFonts w:cs="Arial"/>
                <w:sz w:val="20"/>
                <w:szCs w:val="20"/>
              </w:rPr>
            </w:pPr>
            <w:r w:rsidRPr="00F32D92">
              <w:rPr>
                <w:rFonts w:cs="Arial"/>
                <w:color w:val="000000"/>
                <w:sz w:val="20"/>
                <w:szCs w:val="20"/>
              </w:rPr>
              <w:t>4</w:t>
            </w:r>
          </w:p>
        </w:tc>
        <w:tc>
          <w:tcPr>
            <w:tcW w:w="896" w:type="dxa"/>
            <w:tcBorders>
              <w:left w:val="single" w:sz="4" w:space="0" w:color="auto"/>
            </w:tcBorders>
            <w:noWrap/>
            <w:hideMark/>
          </w:tcPr>
          <w:p w14:paraId="3C09B938" w14:textId="77777777" w:rsidR="00AB6753" w:rsidRPr="00F32D92" w:rsidRDefault="00AB6753" w:rsidP="002D1EA4">
            <w:pPr>
              <w:rPr>
                <w:rFonts w:cs="Arial"/>
                <w:sz w:val="20"/>
                <w:szCs w:val="20"/>
              </w:rPr>
            </w:pPr>
            <w:r w:rsidRPr="00F32D92">
              <w:rPr>
                <w:rFonts w:cs="Arial"/>
                <w:sz w:val="20"/>
                <w:szCs w:val="20"/>
              </w:rPr>
              <w:t>-</w:t>
            </w:r>
          </w:p>
        </w:tc>
        <w:tc>
          <w:tcPr>
            <w:tcW w:w="693" w:type="dxa"/>
            <w:noWrap/>
            <w:hideMark/>
          </w:tcPr>
          <w:p w14:paraId="5C137D99" w14:textId="77777777" w:rsidR="00AB6753" w:rsidRPr="00F32D92" w:rsidRDefault="00AB6753" w:rsidP="002D1EA4">
            <w:pPr>
              <w:rPr>
                <w:rFonts w:cs="Arial"/>
                <w:sz w:val="20"/>
                <w:szCs w:val="20"/>
              </w:rPr>
            </w:pPr>
            <w:r w:rsidRPr="00F32D92">
              <w:rPr>
                <w:rFonts w:cs="Arial"/>
                <w:sz w:val="20"/>
                <w:szCs w:val="20"/>
              </w:rPr>
              <w:t>-</w:t>
            </w:r>
          </w:p>
        </w:tc>
        <w:tc>
          <w:tcPr>
            <w:tcW w:w="1562" w:type="dxa"/>
            <w:tcBorders>
              <w:right w:val="single" w:sz="4" w:space="0" w:color="auto"/>
            </w:tcBorders>
            <w:noWrap/>
            <w:hideMark/>
          </w:tcPr>
          <w:p w14:paraId="72C631C4"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auto"/>
            </w:tcBorders>
          </w:tcPr>
          <w:p w14:paraId="38702E94" w14:textId="77777777" w:rsidR="00AB6753" w:rsidRPr="00F32D92" w:rsidRDefault="00AB6753" w:rsidP="002D1EA4">
            <w:pPr>
              <w:rPr>
                <w:rFonts w:cs="Arial"/>
                <w:sz w:val="20"/>
                <w:szCs w:val="20"/>
              </w:rPr>
            </w:pPr>
            <w:r w:rsidRPr="00F32D92">
              <w:rPr>
                <w:rFonts w:cs="Arial"/>
                <w:color w:val="000000"/>
                <w:sz w:val="20"/>
                <w:szCs w:val="20"/>
              </w:rPr>
              <w:t>4</w:t>
            </w:r>
          </w:p>
        </w:tc>
      </w:tr>
      <w:tr w:rsidR="00AB6753" w:rsidRPr="00F32D92" w14:paraId="48737541" w14:textId="77777777" w:rsidTr="002D1EA4">
        <w:trPr>
          <w:trHeight w:val="315"/>
          <w:jc w:val="center"/>
        </w:trPr>
        <w:tc>
          <w:tcPr>
            <w:tcW w:w="1207" w:type="dxa"/>
            <w:tcBorders>
              <w:left w:val="single" w:sz="4" w:space="0" w:color="auto"/>
              <w:right w:val="single" w:sz="4" w:space="0" w:color="auto"/>
            </w:tcBorders>
            <w:hideMark/>
          </w:tcPr>
          <w:p w14:paraId="1E42315D" w14:textId="77777777" w:rsidR="00AB6753" w:rsidRPr="00F32D92" w:rsidRDefault="00AB6753" w:rsidP="002D1EA4">
            <w:pPr>
              <w:rPr>
                <w:rFonts w:cs="Arial"/>
                <w:sz w:val="20"/>
                <w:szCs w:val="20"/>
              </w:rPr>
            </w:pPr>
            <w:r w:rsidRPr="00F32D92">
              <w:rPr>
                <w:rFonts w:cs="Arial"/>
                <w:sz w:val="20"/>
                <w:szCs w:val="20"/>
              </w:rPr>
              <w:t>ACT</w:t>
            </w:r>
          </w:p>
        </w:tc>
        <w:tc>
          <w:tcPr>
            <w:tcW w:w="896" w:type="dxa"/>
            <w:tcBorders>
              <w:left w:val="single" w:sz="4" w:space="0" w:color="auto"/>
            </w:tcBorders>
            <w:noWrap/>
            <w:hideMark/>
          </w:tcPr>
          <w:p w14:paraId="6C6C6F82" w14:textId="77777777" w:rsidR="00AB6753" w:rsidRPr="00F32D92" w:rsidRDefault="00AB6753" w:rsidP="002D1EA4">
            <w:pPr>
              <w:rPr>
                <w:rFonts w:cs="Arial"/>
                <w:sz w:val="20"/>
                <w:szCs w:val="20"/>
              </w:rPr>
            </w:pPr>
            <w:r w:rsidRPr="00F32D92">
              <w:rPr>
                <w:rFonts w:cs="Arial"/>
                <w:color w:val="000000"/>
                <w:sz w:val="20"/>
                <w:szCs w:val="20"/>
              </w:rPr>
              <w:t>10</w:t>
            </w:r>
          </w:p>
        </w:tc>
        <w:tc>
          <w:tcPr>
            <w:tcW w:w="693" w:type="dxa"/>
            <w:noWrap/>
            <w:hideMark/>
          </w:tcPr>
          <w:p w14:paraId="16FECD4F" w14:textId="77777777" w:rsidR="00AB6753" w:rsidRPr="00F32D92" w:rsidRDefault="00AB6753" w:rsidP="002D1EA4">
            <w:pPr>
              <w:rPr>
                <w:rFonts w:cs="Arial"/>
                <w:sz w:val="20"/>
                <w:szCs w:val="20"/>
              </w:rPr>
            </w:pPr>
            <w:r w:rsidRPr="00F32D92">
              <w:rPr>
                <w:rFonts w:cs="Arial"/>
                <w:color w:val="000000"/>
                <w:sz w:val="20"/>
                <w:szCs w:val="20"/>
              </w:rPr>
              <w:t>1</w:t>
            </w:r>
          </w:p>
        </w:tc>
        <w:tc>
          <w:tcPr>
            <w:tcW w:w="709" w:type="dxa"/>
            <w:tcBorders>
              <w:right w:val="single" w:sz="4" w:space="0" w:color="auto"/>
            </w:tcBorders>
            <w:noWrap/>
            <w:hideMark/>
          </w:tcPr>
          <w:p w14:paraId="48170593" w14:textId="77777777" w:rsidR="00AB6753" w:rsidRPr="00F32D92" w:rsidRDefault="00AB6753" w:rsidP="002D1EA4">
            <w:pPr>
              <w:rPr>
                <w:rFonts w:cs="Arial"/>
                <w:sz w:val="20"/>
                <w:szCs w:val="20"/>
              </w:rPr>
            </w:pPr>
            <w:r w:rsidRPr="00F32D92">
              <w:rPr>
                <w:rFonts w:cs="Arial"/>
                <w:color w:val="000000"/>
                <w:sz w:val="20"/>
                <w:szCs w:val="20"/>
              </w:rPr>
              <w:t>11</w:t>
            </w:r>
          </w:p>
        </w:tc>
        <w:tc>
          <w:tcPr>
            <w:tcW w:w="896" w:type="dxa"/>
            <w:tcBorders>
              <w:left w:val="single" w:sz="4" w:space="0" w:color="auto"/>
            </w:tcBorders>
            <w:noWrap/>
            <w:hideMark/>
          </w:tcPr>
          <w:p w14:paraId="363DA2E2" w14:textId="77777777" w:rsidR="00AB6753" w:rsidRPr="00F32D92" w:rsidRDefault="00AB6753" w:rsidP="002D1EA4">
            <w:pPr>
              <w:rPr>
                <w:rFonts w:cs="Arial"/>
                <w:sz w:val="20"/>
                <w:szCs w:val="20"/>
              </w:rPr>
            </w:pPr>
            <w:r w:rsidRPr="00F32D92">
              <w:rPr>
                <w:rFonts w:cs="Arial"/>
                <w:color w:val="000000"/>
                <w:sz w:val="20"/>
                <w:szCs w:val="20"/>
              </w:rPr>
              <w:t>16</w:t>
            </w:r>
          </w:p>
        </w:tc>
        <w:tc>
          <w:tcPr>
            <w:tcW w:w="693" w:type="dxa"/>
            <w:noWrap/>
            <w:hideMark/>
          </w:tcPr>
          <w:p w14:paraId="759E80B4" w14:textId="77777777" w:rsidR="00AB6753" w:rsidRPr="00F32D92" w:rsidRDefault="00AB6753" w:rsidP="002D1EA4">
            <w:pPr>
              <w:rPr>
                <w:rFonts w:cs="Arial"/>
                <w:sz w:val="20"/>
                <w:szCs w:val="20"/>
              </w:rPr>
            </w:pPr>
            <w:r w:rsidRPr="00F32D92">
              <w:rPr>
                <w:rFonts w:cs="Arial"/>
                <w:color w:val="000000"/>
                <w:sz w:val="20"/>
                <w:szCs w:val="20"/>
              </w:rPr>
              <w:t>6</w:t>
            </w:r>
          </w:p>
        </w:tc>
        <w:tc>
          <w:tcPr>
            <w:tcW w:w="950" w:type="dxa"/>
            <w:tcBorders>
              <w:right w:val="single" w:sz="4" w:space="0" w:color="auto"/>
            </w:tcBorders>
            <w:noWrap/>
            <w:hideMark/>
          </w:tcPr>
          <w:p w14:paraId="5CBC79F7" w14:textId="77777777" w:rsidR="00AB6753" w:rsidRPr="00F32D92" w:rsidRDefault="00AB6753" w:rsidP="002D1EA4">
            <w:pPr>
              <w:rPr>
                <w:rFonts w:cs="Arial"/>
                <w:sz w:val="20"/>
                <w:szCs w:val="20"/>
              </w:rPr>
            </w:pPr>
            <w:r w:rsidRPr="00F32D92">
              <w:rPr>
                <w:rFonts w:cs="Arial"/>
                <w:color w:val="000000"/>
                <w:sz w:val="20"/>
                <w:szCs w:val="20"/>
              </w:rPr>
              <w:t>22</w:t>
            </w:r>
          </w:p>
        </w:tc>
        <w:tc>
          <w:tcPr>
            <w:tcW w:w="896" w:type="dxa"/>
            <w:tcBorders>
              <w:left w:val="single" w:sz="4" w:space="0" w:color="auto"/>
            </w:tcBorders>
            <w:noWrap/>
            <w:hideMark/>
          </w:tcPr>
          <w:p w14:paraId="459FED3E" w14:textId="77777777" w:rsidR="00AB6753" w:rsidRPr="00F32D92" w:rsidRDefault="00AB6753" w:rsidP="002D1EA4">
            <w:pPr>
              <w:rPr>
                <w:rFonts w:cs="Arial"/>
                <w:sz w:val="20"/>
                <w:szCs w:val="20"/>
              </w:rPr>
            </w:pPr>
            <w:r w:rsidRPr="00F32D92">
              <w:rPr>
                <w:rFonts w:cs="Arial"/>
                <w:sz w:val="20"/>
                <w:szCs w:val="20"/>
              </w:rPr>
              <w:t>-</w:t>
            </w:r>
          </w:p>
        </w:tc>
        <w:tc>
          <w:tcPr>
            <w:tcW w:w="693" w:type="dxa"/>
            <w:noWrap/>
            <w:hideMark/>
          </w:tcPr>
          <w:p w14:paraId="235D4EAC" w14:textId="77777777" w:rsidR="00AB6753" w:rsidRPr="00F32D92" w:rsidRDefault="00AB6753" w:rsidP="002D1EA4">
            <w:pPr>
              <w:rPr>
                <w:rFonts w:cs="Arial"/>
                <w:sz w:val="20"/>
                <w:szCs w:val="20"/>
              </w:rPr>
            </w:pPr>
            <w:r w:rsidRPr="00F32D92">
              <w:rPr>
                <w:rFonts w:cs="Arial"/>
                <w:sz w:val="20"/>
                <w:szCs w:val="20"/>
              </w:rPr>
              <w:t>-</w:t>
            </w:r>
          </w:p>
        </w:tc>
        <w:tc>
          <w:tcPr>
            <w:tcW w:w="1562" w:type="dxa"/>
            <w:tcBorders>
              <w:right w:val="single" w:sz="4" w:space="0" w:color="auto"/>
            </w:tcBorders>
            <w:noWrap/>
            <w:hideMark/>
          </w:tcPr>
          <w:p w14:paraId="4D9FEC95"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auto"/>
            </w:tcBorders>
          </w:tcPr>
          <w:p w14:paraId="0B43F0A4" w14:textId="77777777" w:rsidR="00AB6753" w:rsidRPr="00F32D92" w:rsidRDefault="00AB6753" w:rsidP="002D1EA4">
            <w:pPr>
              <w:rPr>
                <w:rFonts w:cs="Arial"/>
                <w:sz w:val="20"/>
                <w:szCs w:val="20"/>
              </w:rPr>
            </w:pPr>
            <w:r w:rsidRPr="00F32D92">
              <w:rPr>
                <w:rFonts w:cs="Arial"/>
                <w:color w:val="000000"/>
                <w:sz w:val="20"/>
                <w:szCs w:val="20"/>
              </w:rPr>
              <w:t>33</w:t>
            </w:r>
          </w:p>
        </w:tc>
      </w:tr>
      <w:tr w:rsidR="00AB6753" w:rsidRPr="00F32D92" w14:paraId="16953B57" w14:textId="77777777" w:rsidTr="002D1EA4">
        <w:trPr>
          <w:trHeight w:val="315"/>
          <w:jc w:val="center"/>
        </w:trPr>
        <w:tc>
          <w:tcPr>
            <w:tcW w:w="1207" w:type="dxa"/>
            <w:tcBorders>
              <w:left w:val="single" w:sz="4" w:space="0" w:color="auto"/>
              <w:right w:val="single" w:sz="4" w:space="0" w:color="auto"/>
            </w:tcBorders>
          </w:tcPr>
          <w:p w14:paraId="106628DD" w14:textId="77777777" w:rsidR="00AB6753" w:rsidRPr="00F32D92" w:rsidRDefault="00AB6753" w:rsidP="002D1EA4">
            <w:pPr>
              <w:rPr>
                <w:rFonts w:cs="Arial"/>
                <w:sz w:val="20"/>
                <w:szCs w:val="20"/>
              </w:rPr>
            </w:pPr>
            <w:r w:rsidRPr="00F32D92">
              <w:rPr>
                <w:rFonts w:cs="Arial"/>
                <w:sz w:val="20"/>
                <w:szCs w:val="20"/>
              </w:rPr>
              <w:t>NT</w:t>
            </w:r>
          </w:p>
        </w:tc>
        <w:tc>
          <w:tcPr>
            <w:tcW w:w="896" w:type="dxa"/>
            <w:tcBorders>
              <w:left w:val="single" w:sz="4" w:space="0" w:color="auto"/>
            </w:tcBorders>
            <w:noWrap/>
          </w:tcPr>
          <w:p w14:paraId="3A3A6F7E" w14:textId="77777777" w:rsidR="00AB6753" w:rsidRPr="00F32D92" w:rsidRDefault="00AB6753" w:rsidP="002D1EA4">
            <w:pPr>
              <w:rPr>
                <w:rFonts w:cs="Arial"/>
                <w:sz w:val="20"/>
                <w:szCs w:val="20"/>
              </w:rPr>
            </w:pPr>
            <w:r w:rsidRPr="00F32D92">
              <w:rPr>
                <w:rFonts w:cs="Arial"/>
                <w:sz w:val="20"/>
                <w:szCs w:val="20"/>
              </w:rPr>
              <w:t>0</w:t>
            </w:r>
          </w:p>
        </w:tc>
        <w:tc>
          <w:tcPr>
            <w:tcW w:w="693" w:type="dxa"/>
            <w:noWrap/>
          </w:tcPr>
          <w:p w14:paraId="6ED3FA01"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tcPr>
          <w:p w14:paraId="552AF245"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tcPr>
          <w:p w14:paraId="6B9D2F49" w14:textId="77777777" w:rsidR="00AB6753" w:rsidRPr="00F32D92" w:rsidRDefault="00AB6753" w:rsidP="002D1EA4">
            <w:pPr>
              <w:rPr>
                <w:rFonts w:cs="Arial"/>
                <w:sz w:val="20"/>
                <w:szCs w:val="20"/>
              </w:rPr>
            </w:pPr>
            <w:r w:rsidRPr="00F32D92">
              <w:rPr>
                <w:rFonts w:cs="Arial"/>
                <w:color w:val="000000"/>
                <w:sz w:val="20"/>
                <w:szCs w:val="20"/>
              </w:rPr>
              <w:t>1</w:t>
            </w:r>
          </w:p>
        </w:tc>
        <w:tc>
          <w:tcPr>
            <w:tcW w:w="693" w:type="dxa"/>
            <w:noWrap/>
          </w:tcPr>
          <w:p w14:paraId="082BE4C8" w14:textId="77777777" w:rsidR="00AB6753" w:rsidRPr="00F32D92" w:rsidRDefault="00AB6753" w:rsidP="002D1EA4">
            <w:pPr>
              <w:rPr>
                <w:rFonts w:cs="Arial"/>
                <w:sz w:val="20"/>
                <w:szCs w:val="20"/>
              </w:rPr>
            </w:pPr>
            <w:r w:rsidRPr="00F32D92">
              <w:rPr>
                <w:rFonts w:cs="Arial"/>
                <w:sz w:val="20"/>
                <w:szCs w:val="20"/>
              </w:rPr>
              <w:t>0</w:t>
            </w:r>
          </w:p>
        </w:tc>
        <w:tc>
          <w:tcPr>
            <w:tcW w:w="950" w:type="dxa"/>
            <w:tcBorders>
              <w:right w:val="single" w:sz="4" w:space="0" w:color="auto"/>
            </w:tcBorders>
            <w:noWrap/>
          </w:tcPr>
          <w:p w14:paraId="16F47771" w14:textId="77777777" w:rsidR="00AB6753" w:rsidRPr="00F32D92" w:rsidRDefault="00AB6753" w:rsidP="002D1EA4">
            <w:pPr>
              <w:rPr>
                <w:rFonts w:cs="Arial"/>
                <w:sz w:val="20"/>
                <w:szCs w:val="20"/>
              </w:rPr>
            </w:pPr>
            <w:r w:rsidRPr="00F32D92">
              <w:rPr>
                <w:rFonts w:cs="Arial"/>
                <w:color w:val="000000"/>
                <w:sz w:val="20"/>
                <w:szCs w:val="20"/>
              </w:rPr>
              <w:t>1</w:t>
            </w:r>
          </w:p>
        </w:tc>
        <w:tc>
          <w:tcPr>
            <w:tcW w:w="896" w:type="dxa"/>
            <w:tcBorders>
              <w:left w:val="single" w:sz="4" w:space="0" w:color="auto"/>
            </w:tcBorders>
            <w:noWrap/>
          </w:tcPr>
          <w:p w14:paraId="3B96F907" w14:textId="77777777" w:rsidR="00AB6753" w:rsidRPr="00F32D92" w:rsidRDefault="00AB6753" w:rsidP="002D1EA4">
            <w:pPr>
              <w:rPr>
                <w:rFonts w:cs="Arial"/>
                <w:sz w:val="20"/>
                <w:szCs w:val="20"/>
              </w:rPr>
            </w:pPr>
            <w:r w:rsidRPr="00F32D92">
              <w:rPr>
                <w:rFonts w:cs="Arial"/>
                <w:sz w:val="20"/>
                <w:szCs w:val="20"/>
              </w:rPr>
              <w:t>-</w:t>
            </w:r>
          </w:p>
        </w:tc>
        <w:tc>
          <w:tcPr>
            <w:tcW w:w="693" w:type="dxa"/>
            <w:noWrap/>
          </w:tcPr>
          <w:p w14:paraId="29DC4641" w14:textId="77777777" w:rsidR="00AB6753" w:rsidRPr="00F32D92" w:rsidRDefault="00AB6753" w:rsidP="002D1EA4">
            <w:pPr>
              <w:rPr>
                <w:rFonts w:cs="Arial"/>
                <w:sz w:val="20"/>
                <w:szCs w:val="20"/>
              </w:rPr>
            </w:pPr>
            <w:r w:rsidRPr="00F32D92">
              <w:rPr>
                <w:rFonts w:cs="Arial"/>
                <w:sz w:val="20"/>
                <w:szCs w:val="20"/>
              </w:rPr>
              <w:t>-</w:t>
            </w:r>
          </w:p>
        </w:tc>
        <w:tc>
          <w:tcPr>
            <w:tcW w:w="1562" w:type="dxa"/>
            <w:tcBorders>
              <w:right w:val="single" w:sz="4" w:space="0" w:color="auto"/>
            </w:tcBorders>
            <w:noWrap/>
          </w:tcPr>
          <w:p w14:paraId="027FF4BF"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auto"/>
            </w:tcBorders>
          </w:tcPr>
          <w:p w14:paraId="01DD01A8" w14:textId="77777777" w:rsidR="00AB6753" w:rsidRPr="00F32D92" w:rsidRDefault="00AB6753" w:rsidP="002D1EA4">
            <w:pPr>
              <w:rPr>
                <w:rFonts w:cs="Arial"/>
                <w:sz w:val="20"/>
                <w:szCs w:val="20"/>
              </w:rPr>
            </w:pPr>
            <w:r w:rsidRPr="00F32D92">
              <w:rPr>
                <w:rFonts w:cs="Arial"/>
                <w:color w:val="000000"/>
                <w:sz w:val="20"/>
                <w:szCs w:val="20"/>
              </w:rPr>
              <w:t>1</w:t>
            </w:r>
          </w:p>
        </w:tc>
      </w:tr>
      <w:tr w:rsidR="00AB6753" w:rsidRPr="00F32D92" w14:paraId="382C0A41" w14:textId="77777777" w:rsidTr="002D1EA4">
        <w:trPr>
          <w:trHeight w:val="315"/>
          <w:jc w:val="center"/>
        </w:trPr>
        <w:tc>
          <w:tcPr>
            <w:tcW w:w="1207" w:type="dxa"/>
            <w:tcBorders>
              <w:left w:val="single" w:sz="4" w:space="0" w:color="auto"/>
              <w:right w:val="single" w:sz="4" w:space="0" w:color="auto"/>
            </w:tcBorders>
          </w:tcPr>
          <w:p w14:paraId="761230A5" w14:textId="77777777" w:rsidR="00AB6753" w:rsidRPr="00F32D92" w:rsidRDefault="00AB6753" w:rsidP="002D1EA4">
            <w:pPr>
              <w:rPr>
                <w:rFonts w:cs="Arial"/>
                <w:sz w:val="20"/>
                <w:szCs w:val="20"/>
              </w:rPr>
            </w:pPr>
            <w:r w:rsidRPr="00F32D92">
              <w:rPr>
                <w:rFonts w:cs="Arial"/>
                <w:sz w:val="20"/>
                <w:szCs w:val="20"/>
              </w:rPr>
              <w:t>External Territories</w:t>
            </w:r>
          </w:p>
        </w:tc>
        <w:tc>
          <w:tcPr>
            <w:tcW w:w="896" w:type="dxa"/>
            <w:tcBorders>
              <w:left w:val="single" w:sz="4" w:space="0" w:color="auto"/>
            </w:tcBorders>
            <w:noWrap/>
          </w:tcPr>
          <w:p w14:paraId="32E11D6D" w14:textId="77777777" w:rsidR="00AB6753" w:rsidRPr="00F32D92" w:rsidRDefault="00AB6753" w:rsidP="002D1EA4">
            <w:pPr>
              <w:rPr>
                <w:rFonts w:cs="Arial"/>
                <w:sz w:val="20"/>
                <w:szCs w:val="20"/>
              </w:rPr>
            </w:pPr>
            <w:r w:rsidRPr="00F32D92">
              <w:rPr>
                <w:rFonts w:cs="Arial"/>
                <w:sz w:val="20"/>
                <w:szCs w:val="20"/>
              </w:rPr>
              <w:t>0</w:t>
            </w:r>
          </w:p>
        </w:tc>
        <w:tc>
          <w:tcPr>
            <w:tcW w:w="693" w:type="dxa"/>
            <w:noWrap/>
          </w:tcPr>
          <w:p w14:paraId="0132AD34"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tcPr>
          <w:p w14:paraId="102B45C3"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tcPr>
          <w:p w14:paraId="67200136" w14:textId="77777777" w:rsidR="00AB6753" w:rsidRPr="00F32D92" w:rsidRDefault="00AB6753" w:rsidP="002D1EA4">
            <w:pPr>
              <w:rPr>
                <w:rFonts w:cs="Arial"/>
                <w:sz w:val="20"/>
                <w:szCs w:val="20"/>
              </w:rPr>
            </w:pPr>
            <w:r w:rsidRPr="00F32D92">
              <w:rPr>
                <w:rFonts w:cs="Arial"/>
                <w:sz w:val="20"/>
                <w:szCs w:val="20"/>
              </w:rPr>
              <w:t>0</w:t>
            </w:r>
          </w:p>
        </w:tc>
        <w:tc>
          <w:tcPr>
            <w:tcW w:w="693" w:type="dxa"/>
            <w:noWrap/>
          </w:tcPr>
          <w:p w14:paraId="51DB62E0" w14:textId="77777777" w:rsidR="00AB6753" w:rsidRPr="00F32D92" w:rsidRDefault="00AB6753" w:rsidP="002D1EA4">
            <w:pPr>
              <w:rPr>
                <w:rFonts w:cs="Arial"/>
                <w:sz w:val="20"/>
                <w:szCs w:val="20"/>
              </w:rPr>
            </w:pPr>
            <w:r w:rsidRPr="00F32D92">
              <w:rPr>
                <w:rFonts w:cs="Arial"/>
                <w:sz w:val="20"/>
                <w:szCs w:val="20"/>
              </w:rPr>
              <w:t>0</w:t>
            </w:r>
          </w:p>
        </w:tc>
        <w:tc>
          <w:tcPr>
            <w:tcW w:w="950" w:type="dxa"/>
            <w:tcBorders>
              <w:right w:val="single" w:sz="4" w:space="0" w:color="auto"/>
            </w:tcBorders>
            <w:noWrap/>
          </w:tcPr>
          <w:p w14:paraId="686CFCE5"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tcPr>
          <w:p w14:paraId="382ECF02" w14:textId="77777777" w:rsidR="00AB6753" w:rsidRPr="00F32D92" w:rsidRDefault="00AB6753" w:rsidP="002D1EA4">
            <w:pPr>
              <w:rPr>
                <w:rFonts w:cs="Arial"/>
                <w:sz w:val="20"/>
                <w:szCs w:val="20"/>
              </w:rPr>
            </w:pPr>
            <w:r w:rsidRPr="00F32D92">
              <w:rPr>
                <w:rFonts w:cs="Arial"/>
                <w:sz w:val="20"/>
                <w:szCs w:val="20"/>
              </w:rPr>
              <w:t>-</w:t>
            </w:r>
          </w:p>
        </w:tc>
        <w:tc>
          <w:tcPr>
            <w:tcW w:w="693" w:type="dxa"/>
            <w:noWrap/>
          </w:tcPr>
          <w:p w14:paraId="76C85631" w14:textId="77777777" w:rsidR="00AB6753" w:rsidRPr="00F32D92" w:rsidRDefault="00AB6753" w:rsidP="002D1EA4">
            <w:pPr>
              <w:rPr>
                <w:rFonts w:cs="Arial"/>
                <w:sz w:val="20"/>
                <w:szCs w:val="20"/>
              </w:rPr>
            </w:pPr>
            <w:r w:rsidRPr="00F32D92">
              <w:rPr>
                <w:rFonts w:cs="Arial"/>
                <w:sz w:val="20"/>
                <w:szCs w:val="20"/>
              </w:rPr>
              <w:t>-</w:t>
            </w:r>
          </w:p>
        </w:tc>
        <w:tc>
          <w:tcPr>
            <w:tcW w:w="1562" w:type="dxa"/>
            <w:tcBorders>
              <w:right w:val="single" w:sz="4" w:space="0" w:color="auto"/>
            </w:tcBorders>
            <w:noWrap/>
          </w:tcPr>
          <w:p w14:paraId="7E9F872A"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auto"/>
            </w:tcBorders>
          </w:tcPr>
          <w:p w14:paraId="49114FB7"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161B5FC9" w14:textId="77777777" w:rsidTr="002D1EA4">
        <w:trPr>
          <w:trHeight w:val="315"/>
          <w:jc w:val="center"/>
        </w:trPr>
        <w:tc>
          <w:tcPr>
            <w:tcW w:w="1207" w:type="dxa"/>
            <w:tcBorders>
              <w:left w:val="single" w:sz="4" w:space="0" w:color="auto"/>
              <w:right w:val="single" w:sz="4" w:space="0" w:color="auto"/>
            </w:tcBorders>
            <w:hideMark/>
          </w:tcPr>
          <w:p w14:paraId="0C92333D" w14:textId="77777777" w:rsidR="00AB6753" w:rsidRPr="00F32D92" w:rsidRDefault="00AB6753" w:rsidP="002D1EA4">
            <w:pPr>
              <w:rPr>
                <w:rFonts w:cs="Arial"/>
                <w:sz w:val="20"/>
                <w:szCs w:val="20"/>
              </w:rPr>
            </w:pPr>
            <w:r w:rsidRPr="00F32D92">
              <w:rPr>
                <w:rFonts w:cs="Arial"/>
                <w:sz w:val="20"/>
                <w:szCs w:val="20"/>
              </w:rPr>
              <w:t>Overseas</w:t>
            </w:r>
          </w:p>
        </w:tc>
        <w:tc>
          <w:tcPr>
            <w:tcW w:w="896" w:type="dxa"/>
            <w:tcBorders>
              <w:left w:val="single" w:sz="4" w:space="0" w:color="auto"/>
            </w:tcBorders>
            <w:noWrap/>
            <w:hideMark/>
          </w:tcPr>
          <w:p w14:paraId="5FC4538B" w14:textId="77777777" w:rsidR="00AB6753" w:rsidRPr="00F32D92" w:rsidRDefault="00AB6753" w:rsidP="002D1EA4">
            <w:pPr>
              <w:rPr>
                <w:rFonts w:cs="Arial"/>
                <w:sz w:val="20"/>
                <w:szCs w:val="20"/>
              </w:rPr>
            </w:pPr>
            <w:r w:rsidRPr="00F32D92">
              <w:rPr>
                <w:rFonts w:cs="Arial"/>
                <w:sz w:val="20"/>
                <w:szCs w:val="20"/>
              </w:rPr>
              <w:t>0</w:t>
            </w:r>
          </w:p>
        </w:tc>
        <w:tc>
          <w:tcPr>
            <w:tcW w:w="693" w:type="dxa"/>
            <w:noWrap/>
            <w:hideMark/>
          </w:tcPr>
          <w:p w14:paraId="09C5F808"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hideMark/>
          </w:tcPr>
          <w:p w14:paraId="0AC8FA0A"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hideMark/>
          </w:tcPr>
          <w:p w14:paraId="5B2D0EC6" w14:textId="77777777" w:rsidR="00AB6753" w:rsidRPr="00F32D92" w:rsidRDefault="00AB6753" w:rsidP="002D1EA4">
            <w:pPr>
              <w:rPr>
                <w:rFonts w:cs="Arial"/>
                <w:sz w:val="20"/>
                <w:szCs w:val="20"/>
              </w:rPr>
            </w:pPr>
            <w:r w:rsidRPr="00F32D92">
              <w:rPr>
                <w:rFonts w:cs="Arial"/>
                <w:sz w:val="20"/>
                <w:szCs w:val="20"/>
              </w:rPr>
              <w:t>0</w:t>
            </w:r>
          </w:p>
        </w:tc>
        <w:tc>
          <w:tcPr>
            <w:tcW w:w="693" w:type="dxa"/>
            <w:noWrap/>
            <w:hideMark/>
          </w:tcPr>
          <w:p w14:paraId="6A9CA429" w14:textId="77777777" w:rsidR="00AB6753" w:rsidRPr="00F32D92" w:rsidRDefault="00AB6753" w:rsidP="002D1EA4">
            <w:pPr>
              <w:rPr>
                <w:rFonts w:cs="Arial"/>
                <w:sz w:val="20"/>
                <w:szCs w:val="20"/>
              </w:rPr>
            </w:pPr>
            <w:r w:rsidRPr="00F32D92">
              <w:rPr>
                <w:rFonts w:cs="Arial"/>
                <w:sz w:val="20"/>
                <w:szCs w:val="20"/>
              </w:rPr>
              <w:t>0</w:t>
            </w:r>
          </w:p>
        </w:tc>
        <w:tc>
          <w:tcPr>
            <w:tcW w:w="950" w:type="dxa"/>
            <w:tcBorders>
              <w:right w:val="single" w:sz="4" w:space="0" w:color="auto"/>
            </w:tcBorders>
            <w:noWrap/>
            <w:hideMark/>
          </w:tcPr>
          <w:p w14:paraId="165297C2"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hideMark/>
          </w:tcPr>
          <w:p w14:paraId="79949F4D" w14:textId="77777777" w:rsidR="00AB6753" w:rsidRPr="00F32D92" w:rsidRDefault="00AB6753" w:rsidP="002D1EA4">
            <w:pPr>
              <w:rPr>
                <w:rFonts w:cs="Arial"/>
                <w:sz w:val="20"/>
                <w:szCs w:val="20"/>
              </w:rPr>
            </w:pPr>
            <w:r w:rsidRPr="00F32D92">
              <w:rPr>
                <w:rFonts w:cs="Arial"/>
                <w:sz w:val="20"/>
                <w:szCs w:val="20"/>
              </w:rPr>
              <w:t>-</w:t>
            </w:r>
          </w:p>
        </w:tc>
        <w:tc>
          <w:tcPr>
            <w:tcW w:w="693" w:type="dxa"/>
            <w:noWrap/>
            <w:hideMark/>
          </w:tcPr>
          <w:p w14:paraId="55B04528" w14:textId="77777777" w:rsidR="00AB6753" w:rsidRPr="00F32D92" w:rsidRDefault="00AB6753" w:rsidP="002D1EA4">
            <w:pPr>
              <w:rPr>
                <w:rFonts w:cs="Arial"/>
                <w:sz w:val="20"/>
                <w:szCs w:val="20"/>
              </w:rPr>
            </w:pPr>
            <w:r w:rsidRPr="00F32D92">
              <w:rPr>
                <w:rFonts w:cs="Arial"/>
                <w:sz w:val="20"/>
                <w:szCs w:val="20"/>
              </w:rPr>
              <w:t>-</w:t>
            </w:r>
          </w:p>
        </w:tc>
        <w:tc>
          <w:tcPr>
            <w:tcW w:w="1562" w:type="dxa"/>
            <w:tcBorders>
              <w:right w:val="single" w:sz="4" w:space="0" w:color="auto"/>
            </w:tcBorders>
            <w:noWrap/>
            <w:hideMark/>
          </w:tcPr>
          <w:p w14:paraId="6659F6DB"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auto"/>
            </w:tcBorders>
          </w:tcPr>
          <w:p w14:paraId="24601BE8"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2BDAED92" w14:textId="77777777" w:rsidTr="002D1EA4">
        <w:trPr>
          <w:trHeight w:val="315"/>
          <w:jc w:val="center"/>
        </w:trPr>
        <w:tc>
          <w:tcPr>
            <w:tcW w:w="1207" w:type="dxa"/>
            <w:tcBorders>
              <w:left w:val="single" w:sz="4" w:space="0" w:color="auto"/>
              <w:bottom w:val="single" w:sz="4" w:space="0" w:color="auto"/>
              <w:right w:val="single" w:sz="4" w:space="0" w:color="auto"/>
            </w:tcBorders>
          </w:tcPr>
          <w:p w14:paraId="333666F4" w14:textId="77777777" w:rsidR="00AB6753" w:rsidRPr="00F32D92" w:rsidRDefault="00AB6753" w:rsidP="002D1EA4">
            <w:pPr>
              <w:rPr>
                <w:rFonts w:cs="Arial"/>
                <w:sz w:val="20"/>
                <w:szCs w:val="20"/>
              </w:rPr>
            </w:pPr>
            <w:r w:rsidRPr="00F32D92">
              <w:rPr>
                <w:rFonts w:cs="Arial"/>
                <w:sz w:val="20"/>
                <w:szCs w:val="20"/>
              </w:rPr>
              <w:t>Total</w:t>
            </w:r>
          </w:p>
        </w:tc>
        <w:tc>
          <w:tcPr>
            <w:tcW w:w="896" w:type="dxa"/>
            <w:tcBorders>
              <w:left w:val="single" w:sz="4" w:space="0" w:color="auto"/>
              <w:bottom w:val="single" w:sz="4" w:space="0" w:color="auto"/>
            </w:tcBorders>
            <w:noWrap/>
          </w:tcPr>
          <w:p w14:paraId="49187CAD" w14:textId="77777777" w:rsidR="00AB6753" w:rsidRPr="00F32D92" w:rsidRDefault="00AB6753" w:rsidP="002D1EA4">
            <w:pPr>
              <w:rPr>
                <w:rFonts w:cs="Arial"/>
                <w:sz w:val="20"/>
                <w:szCs w:val="20"/>
              </w:rPr>
            </w:pPr>
            <w:r w:rsidRPr="00F32D92">
              <w:rPr>
                <w:rFonts w:cs="Arial"/>
                <w:b/>
                <w:bCs/>
                <w:color w:val="000000"/>
                <w:sz w:val="20"/>
                <w:szCs w:val="20"/>
              </w:rPr>
              <w:t>13</w:t>
            </w:r>
          </w:p>
        </w:tc>
        <w:tc>
          <w:tcPr>
            <w:tcW w:w="693" w:type="dxa"/>
            <w:tcBorders>
              <w:bottom w:val="single" w:sz="4" w:space="0" w:color="auto"/>
            </w:tcBorders>
            <w:noWrap/>
          </w:tcPr>
          <w:p w14:paraId="4B73D11D" w14:textId="77777777" w:rsidR="00AB6753" w:rsidRPr="00F32D92" w:rsidRDefault="00AB6753" w:rsidP="002D1EA4">
            <w:pPr>
              <w:rPr>
                <w:rFonts w:cs="Arial"/>
                <w:sz w:val="20"/>
                <w:szCs w:val="20"/>
              </w:rPr>
            </w:pPr>
            <w:r w:rsidRPr="00F32D92">
              <w:rPr>
                <w:rFonts w:cs="Arial"/>
                <w:b/>
                <w:bCs/>
                <w:color w:val="000000"/>
                <w:sz w:val="20"/>
                <w:szCs w:val="20"/>
              </w:rPr>
              <w:t>2</w:t>
            </w:r>
          </w:p>
        </w:tc>
        <w:tc>
          <w:tcPr>
            <w:tcW w:w="709" w:type="dxa"/>
            <w:tcBorders>
              <w:bottom w:val="single" w:sz="4" w:space="0" w:color="auto"/>
              <w:right w:val="single" w:sz="4" w:space="0" w:color="auto"/>
            </w:tcBorders>
            <w:noWrap/>
          </w:tcPr>
          <w:p w14:paraId="352A1E53" w14:textId="77777777" w:rsidR="00AB6753" w:rsidRPr="00F32D92" w:rsidRDefault="00AB6753" w:rsidP="002D1EA4">
            <w:pPr>
              <w:rPr>
                <w:rFonts w:cs="Arial"/>
                <w:sz w:val="20"/>
                <w:szCs w:val="20"/>
              </w:rPr>
            </w:pPr>
            <w:r w:rsidRPr="00F32D92">
              <w:rPr>
                <w:rFonts w:cs="Arial"/>
                <w:b/>
                <w:bCs/>
                <w:color w:val="000000"/>
                <w:sz w:val="20"/>
                <w:szCs w:val="20"/>
              </w:rPr>
              <w:t>15</w:t>
            </w:r>
          </w:p>
        </w:tc>
        <w:tc>
          <w:tcPr>
            <w:tcW w:w="896" w:type="dxa"/>
            <w:tcBorders>
              <w:left w:val="single" w:sz="4" w:space="0" w:color="auto"/>
              <w:bottom w:val="single" w:sz="4" w:space="0" w:color="auto"/>
            </w:tcBorders>
            <w:noWrap/>
          </w:tcPr>
          <w:p w14:paraId="2BDA395C" w14:textId="77777777" w:rsidR="00AB6753" w:rsidRPr="00F32D92" w:rsidRDefault="00AB6753" w:rsidP="002D1EA4">
            <w:pPr>
              <w:rPr>
                <w:rFonts w:cs="Arial"/>
                <w:sz w:val="20"/>
                <w:szCs w:val="20"/>
              </w:rPr>
            </w:pPr>
            <w:r w:rsidRPr="00F32D92">
              <w:rPr>
                <w:rFonts w:cs="Arial"/>
                <w:b/>
                <w:bCs/>
                <w:color w:val="000000"/>
                <w:sz w:val="20"/>
                <w:szCs w:val="20"/>
              </w:rPr>
              <w:t>41</w:t>
            </w:r>
          </w:p>
        </w:tc>
        <w:tc>
          <w:tcPr>
            <w:tcW w:w="693" w:type="dxa"/>
            <w:tcBorders>
              <w:bottom w:val="single" w:sz="4" w:space="0" w:color="auto"/>
            </w:tcBorders>
            <w:noWrap/>
          </w:tcPr>
          <w:p w14:paraId="6DD744C7" w14:textId="77777777" w:rsidR="00AB6753" w:rsidRPr="00F32D92" w:rsidRDefault="00AB6753" w:rsidP="002D1EA4">
            <w:pPr>
              <w:rPr>
                <w:rFonts w:cs="Arial"/>
                <w:sz w:val="20"/>
                <w:szCs w:val="20"/>
              </w:rPr>
            </w:pPr>
            <w:r w:rsidRPr="00F32D92">
              <w:rPr>
                <w:rFonts w:cs="Arial"/>
                <w:b/>
                <w:bCs/>
                <w:color w:val="000000"/>
                <w:sz w:val="20"/>
                <w:szCs w:val="20"/>
              </w:rPr>
              <w:t>10</w:t>
            </w:r>
          </w:p>
        </w:tc>
        <w:tc>
          <w:tcPr>
            <w:tcW w:w="950" w:type="dxa"/>
            <w:tcBorders>
              <w:bottom w:val="single" w:sz="4" w:space="0" w:color="auto"/>
              <w:right w:val="single" w:sz="4" w:space="0" w:color="auto"/>
            </w:tcBorders>
            <w:noWrap/>
          </w:tcPr>
          <w:p w14:paraId="767675A2" w14:textId="77777777" w:rsidR="00AB6753" w:rsidRPr="00F32D92" w:rsidRDefault="00AB6753" w:rsidP="002D1EA4">
            <w:pPr>
              <w:rPr>
                <w:rFonts w:cs="Arial"/>
                <w:sz w:val="20"/>
                <w:szCs w:val="20"/>
              </w:rPr>
            </w:pPr>
            <w:r w:rsidRPr="00F32D92">
              <w:rPr>
                <w:rFonts w:cs="Arial"/>
                <w:b/>
                <w:bCs/>
                <w:color w:val="000000"/>
                <w:sz w:val="20"/>
                <w:szCs w:val="20"/>
              </w:rPr>
              <w:t>51</w:t>
            </w:r>
          </w:p>
        </w:tc>
        <w:tc>
          <w:tcPr>
            <w:tcW w:w="896" w:type="dxa"/>
            <w:tcBorders>
              <w:left w:val="single" w:sz="4" w:space="0" w:color="auto"/>
              <w:bottom w:val="single" w:sz="4" w:space="0" w:color="auto"/>
            </w:tcBorders>
            <w:noWrap/>
          </w:tcPr>
          <w:p w14:paraId="398BC50F" w14:textId="77777777" w:rsidR="00AB6753" w:rsidRPr="00F32D92" w:rsidRDefault="00AB6753" w:rsidP="002D1EA4">
            <w:pPr>
              <w:rPr>
                <w:rFonts w:cs="Arial"/>
                <w:sz w:val="20"/>
                <w:szCs w:val="20"/>
              </w:rPr>
            </w:pPr>
            <w:r w:rsidRPr="00F32D92">
              <w:rPr>
                <w:rFonts w:cs="Arial"/>
                <w:sz w:val="20"/>
                <w:szCs w:val="20"/>
              </w:rPr>
              <w:t>-</w:t>
            </w:r>
          </w:p>
        </w:tc>
        <w:tc>
          <w:tcPr>
            <w:tcW w:w="693" w:type="dxa"/>
            <w:tcBorders>
              <w:bottom w:val="single" w:sz="4" w:space="0" w:color="auto"/>
            </w:tcBorders>
            <w:noWrap/>
          </w:tcPr>
          <w:p w14:paraId="42139802" w14:textId="77777777" w:rsidR="00AB6753" w:rsidRPr="00F32D92" w:rsidRDefault="00AB6753" w:rsidP="002D1EA4">
            <w:pPr>
              <w:rPr>
                <w:rFonts w:cs="Arial"/>
                <w:sz w:val="20"/>
                <w:szCs w:val="20"/>
              </w:rPr>
            </w:pPr>
            <w:r w:rsidRPr="00F32D92">
              <w:rPr>
                <w:rFonts w:cs="Arial"/>
                <w:sz w:val="20"/>
                <w:szCs w:val="20"/>
              </w:rPr>
              <w:t>-</w:t>
            </w:r>
          </w:p>
        </w:tc>
        <w:tc>
          <w:tcPr>
            <w:tcW w:w="1562" w:type="dxa"/>
            <w:tcBorders>
              <w:bottom w:val="single" w:sz="4" w:space="0" w:color="auto"/>
              <w:right w:val="single" w:sz="4" w:space="0" w:color="auto"/>
            </w:tcBorders>
            <w:noWrap/>
          </w:tcPr>
          <w:p w14:paraId="04BB4A1D"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bottom w:val="single" w:sz="4" w:space="0" w:color="auto"/>
              <w:right w:val="single" w:sz="4" w:space="0" w:color="auto"/>
            </w:tcBorders>
          </w:tcPr>
          <w:p w14:paraId="2016F5A8" w14:textId="77777777" w:rsidR="00AB6753" w:rsidRPr="00F32D92" w:rsidRDefault="00AB6753" w:rsidP="002D1EA4">
            <w:pPr>
              <w:rPr>
                <w:rFonts w:cs="Arial"/>
                <w:b/>
                <w:bCs/>
                <w:color w:val="000000"/>
                <w:sz w:val="20"/>
                <w:szCs w:val="20"/>
              </w:rPr>
            </w:pPr>
            <w:r w:rsidRPr="00F32D92">
              <w:rPr>
                <w:rFonts w:cs="Arial"/>
                <w:b/>
                <w:bCs/>
                <w:color w:val="000000"/>
                <w:sz w:val="20"/>
                <w:szCs w:val="20"/>
              </w:rPr>
              <w:t>66</w:t>
            </w:r>
          </w:p>
        </w:tc>
      </w:tr>
    </w:tbl>
    <w:p w14:paraId="08D8D515" w14:textId="77777777" w:rsidR="00AB6753" w:rsidRPr="00CF02C1" w:rsidRDefault="00AB6753" w:rsidP="00AB6753"/>
    <w:p w14:paraId="01732E58" w14:textId="77777777" w:rsidR="00AB6753" w:rsidRPr="00CF02C1" w:rsidRDefault="00AB6753" w:rsidP="00AB6753">
      <w:r w:rsidRPr="00CF02C1">
        <w:br w:type="page"/>
      </w:r>
    </w:p>
    <w:p w14:paraId="3AC5A3C9" w14:textId="77777777" w:rsidR="00AB6753" w:rsidRPr="00A050FC" w:rsidRDefault="00AB6753" w:rsidP="00AB6753">
      <w:pPr>
        <w:rPr>
          <w:rFonts w:ascii="Arial Narrow" w:hAnsi="Arial Narrow" w:cs="Calibri"/>
          <w:b/>
          <w:sz w:val="20"/>
          <w:szCs w:val="20"/>
        </w:rPr>
      </w:pPr>
      <w:bookmarkStart w:id="290" w:name="_Toc5705963"/>
      <w:r>
        <w:rPr>
          <w:rFonts w:ascii="Arial Narrow" w:hAnsi="Arial Narrow" w:cs="Calibri"/>
          <w:b/>
          <w:sz w:val="20"/>
          <w:szCs w:val="20"/>
        </w:rPr>
        <w:lastRenderedPageBreak/>
        <w:t xml:space="preserve">Table F-9 </w:t>
      </w:r>
      <w:r w:rsidRPr="00A050FC">
        <w:rPr>
          <w:rFonts w:ascii="Arial Narrow" w:hAnsi="Arial Narrow" w:cs="Calibri"/>
          <w:b/>
          <w:sz w:val="20"/>
          <w:szCs w:val="20"/>
        </w:rPr>
        <w:t>17AG (4)(b)(</w:t>
      </w:r>
      <w:proofErr w:type="spellStart"/>
      <w:r w:rsidRPr="00A050FC">
        <w:rPr>
          <w:rFonts w:ascii="Arial Narrow" w:hAnsi="Arial Narrow" w:cs="Calibri"/>
          <w:b/>
          <w:sz w:val="20"/>
          <w:szCs w:val="20"/>
        </w:rPr>
        <w:t>i</w:t>
      </w:r>
      <w:proofErr w:type="spellEnd"/>
      <w:r w:rsidRPr="00A050FC">
        <w:rPr>
          <w:rFonts w:ascii="Arial Narrow" w:hAnsi="Arial Narrow" w:cs="Calibri"/>
          <w:b/>
          <w:sz w:val="20"/>
          <w:szCs w:val="20"/>
        </w:rPr>
        <w:t>) – (iv) Australian Public Service Act Ongoing Employees Current Report Period (2019–20)</w:t>
      </w:r>
      <w:bookmarkEnd w:id="290"/>
    </w:p>
    <w:tbl>
      <w:tblPr>
        <w:tblW w:w="10044" w:type="dxa"/>
        <w:jc w:val="center"/>
        <w:tblLook w:val="04A0" w:firstRow="1" w:lastRow="0" w:firstColumn="1" w:lastColumn="0" w:noHBand="0" w:noVBand="1"/>
        <w:tblCaption w:val="Table F-9 17AG (4)(b)(i)–(iv) Australian Public Service Act Ongoing Employees"/>
        <w:tblDescription w:val="Table 17AG (4)(b)(i)–(iv) Australian Public Service Act Ongoing Employees. Current Report Period (2019-20) "/>
      </w:tblPr>
      <w:tblGrid>
        <w:gridCol w:w="1696"/>
        <w:gridCol w:w="896"/>
        <w:gridCol w:w="668"/>
        <w:gridCol w:w="709"/>
        <w:gridCol w:w="896"/>
        <w:gridCol w:w="650"/>
        <w:gridCol w:w="883"/>
        <w:gridCol w:w="896"/>
        <w:gridCol w:w="650"/>
        <w:gridCol w:w="1439"/>
        <w:gridCol w:w="717"/>
      </w:tblGrid>
      <w:tr w:rsidR="00AB6753" w:rsidRPr="00F32D92" w14:paraId="555BB0E4" w14:textId="77777777" w:rsidTr="002D1EA4">
        <w:trPr>
          <w:trHeight w:val="300"/>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B292A3D" w14:textId="77777777" w:rsidR="00AB6753" w:rsidRPr="00F32D92" w:rsidRDefault="00AB6753" w:rsidP="002D1EA4">
            <w:pPr>
              <w:rPr>
                <w:rFonts w:cs="Arial"/>
                <w:sz w:val="20"/>
                <w:szCs w:val="20"/>
              </w:rPr>
            </w:pPr>
          </w:p>
        </w:tc>
        <w:tc>
          <w:tcPr>
            <w:tcW w:w="22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54651C3" w14:textId="77777777" w:rsidR="00AB6753" w:rsidRPr="00F32D92" w:rsidRDefault="00AB6753" w:rsidP="002D1EA4">
            <w:pPr>
              <w:rPr>
                <w:rFonts w:cs="Arial"/>
                <w:sz w:val="20"/>
                <w:szCs w:val="20"/>
              </w:rPr>
            </w:pPr>
            <w:r w:rsidRPr="00F32D92">
              <w:rPr>
                <w:rFonts w:cs="Arial"/>
                <w:sz w:val="20"/>
                <w:szCs w:val="20"/>
              </w:rPr>
              <w:t>Male</w:t>
            </w:r>
          </w:p>
        </w:tc>
        <w:tc>
          <w:tcPr>
            <w:tcW w:w="242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5BB5305" w14:textId="77777777" w:rsidR="00AB6753" w:rsidRPr="00F32D92" w:rsidRDefault="00AB6753" w:rsidP="002D1EA4">
            <w:pPr>
              <w:rPr>
                <w:rFonts w:cs="Arial"/>
                <w:sz w:val="20"/>
                <w:szCs w:val="20"/>
              </w:rPr>
            </w:pPr>
            <w:r w:rsidRPr="00F32D92">
              <w:rPr>
                <w:rFonts w:cs="Arial"/>
                <w:sz w:val="20"/>
                <w:szCs w:val="20"/>
              </w:rPr>
              <w:t>Female</w:t>
            </w:r>
          </w:p>
        </w:tc>
        <w:tc>
          <w:tcPr>
            <w:tcW w:w="298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E6CD4F6" w14:textId="77777777" w:rsidR="00AB6753" w:rsidRPr="00F32D92" w:rsidRDefault="00AB6753" w:rsidP="002D1EA4">
            <w:pPr>
              <w:rPr>
                <w:rFonts w:cs="Arial"/>
                <w:sz w:val="20"/>
                <w:szCs w:val="20"/>
              </w:rPr>
            </w:pPr>
            <w:r w:rsidRPr="00F32D92">
              <w:rPr>
                <w:rFonts w:cs="Arial"/>
                <w:sz w:val="20"/>
                <w:szCs w:val="20"/>
              </w:rPr>
              <w:t>Indeterminate</w:t>
            </w:r>
          </w:p>
        </w:tc>
        <w:tc>
          <w:tcPr>
            <w:tcW w:w="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32BBCF" w14:textId="77777777" w:rsidR="00AB6753" w:rsidRPr="00F32D92" w:rsidRDefault="00AB6753" w:rsidP="002D1EA4">
            <w:pPr>
              <w:rPr>
                <w:rFonts w:cs="Arial"/>
                <w:sz w:val="20"/>
                <w:szCs w:val="20"/>
              </w:rPr>
            </w:pPr>
            <w:r w:rsidRPr="00F32D92">
              <w:rPr>
                <w:rFonts w:cs="Arial"/>
                <w:sz w:val="20"/>
                <w:szCs w:val="20"/>
              </w:rPr>
              <w:t>Total</w:t>
            </w:r>
          </w:p>
        </w:tc>
      </w:tr>
      <w:tr w:rsidR="00AB6753" w:rsidRPr="00F32D92" w14:paraId="06F66570" w14:textId="77777777" w:rsidTr="002D1EA4">
        <w:trPr>
          <w:trHeight w:val="615"/>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99DF99D" w14:textId="77777777" w:rsidR="00AB6753" w:rsidRPr="00F32D92" w:rsidRDefault="00AB6753" w:rsidP="002D1EA4">
            <w:pPr>
              <w:rPr>
                <w:rFonts w:cs="Arial"/>
                <w:sz w:val="20"/>
                <w:szCs w:val="20"/>
              </w:rPr>
            </w:pPr>
          </w:p>
        </w:tc>
        <w:tc>
          <w:tcPr>
            <w:tcW w:w="8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C7DCD41" w14:textId="77777777" w:rsidR="00AB6753" w:rsidRPr="00F32D92" w:rsidRDefault="00AB6753" w:rsidP="002D1EA4">
            <w:pPr>
              <w:rPr>
                <w:rFonts w:cs="Arial"/>
                <w:sz w:val="20"/>
                <w:szCs w:val="20"/>
              </w:rPr>
            </w:pPr>
            <w:r w:rsidRPr="00F32D92">
              <w:rPr>
                <w:rFonts w:cs="Arial"/>
                <w:sz w:val="20"/>
                <w:szCs w:val="20"/>
              </w:rPr>
              <w:t>Full-time</w:t>
            </w:r>
          </w:p>
        </w:tc>
        <w:tc>
          <w:tcPr>
            <w:tcW w:w="66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13832EC" w14:textId="77777777" w:rsidR="00AB6753" w:rsidRPr="00F32D92" w:rsidRDefault="00AB6753" w:rsidP="002D1EA4">
            <w:pPr>
              <w:rPr>
                <w:rFonts w:cs="Arial"/>
                <w:sz w:val="20"/>
                <w:szCs w:val="20"/>
              </w:rPr>
            </w:pPr>
            <w:r w:rsidRPr="00F32D92">
              <w:rPr>
                <w:rFonts w:cs="Arial"/>
                <w:sz w:val="20"/>
                <w:szCs w:val="20"/>
              </w:rPr>
              <w:t>Part-time</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4064865" w14:textId="77777777" w:rsidR="00AB6753" w:rsidRPr="00F32D92" w:rsidRDefault="00AB6753" w:rsidP="002D1EA4">
            <w:pPr>
              <w:rPr>
                <w:rFonts w:cs="Arial"/>
                <w:sz w:val="20"/>
                <w:szCs w:val="20"/>
              </w:rPr>
            </w:pPr>
            <w:r w:rsidRPr="00F32D92">
              <w:rPr>
                <w:rFonts w:cs="Arial"/>
                <w:sz w:val="20"/>
                <w:szCs w:val="20"/>
              </w:rPr>
              <w:t>Total Male</w:t>
            </w:r>
          </w:p>
        </w:tc>
        <w:tc>
          <w:tcPr>
            <w:tcW w:w="8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0144187" w14:textId="77777777" w:rsidR="00AB6753" w:rsidRPr="00F32D92" w:rsidRDefault="00AB6753" w:rsidP="002D1EA4">
            <w:pPr>
              <w:rPr>
                <w:rFonts w:cs="Arial"/>
                <w:sz w:val="20"/>
                <w:szCs w:val="20"/>
              </w:rPr>
            </w:pPr>
            <w:r w:rsidRPr="00F32D92">
              <w:rPr>
                <w:rFonts w:cs="Arial"/>
                <w:sz w:val="20"/>
                <w:szCs w:val="20"/>
              </w:rPr>
              <w:t>Full-time</w:t>
            </w:r>
          </w:p>
        </w:tc>
        <w:tc>
          <w:tcPr>
            <w:tcW w:w="65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422C07F" w14:textId="77777777" w:rsidR="00AB6753" w:rsidRPr="00F32D92" w:rsidRDefault="00AB6753" w:rsidP="002D1EA4">
            <w:pPr>
              <w:rPr>
                <w:rFonts w:cs="Arial"/>
                <w:sz w:val="20"/>
                <w:szCs w:val="20"/>
              </w:rPr>
            </w:pPr>
            <w:r w:rsidRPr="00F32D92">
              <w:rPr>
                <w:rFonts w:cs="Arial"/>
                <w:sz w:val="20"/>
                <w:szCs w:val="20"/>
              </w:rPr>
              <w:t>Part-time</w:t>
            </w:r>
          </w:p>
        </w:tc>
        <w:tc>
          <w:tcPr>
            <w:tcW w:w="8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43F838E" w14:textId="77777777" w:rsidR="00AB6753" w:rsidRPr="00F32D92" w:rsidRDefault="00AB6753" w:rsidP="002D1EA4">
            <w:pPr>
              <w:rPr>
                <w:rFonts w:cs="Arial"/>
                <w:sz w:val="20"/>
                <w:szCs w:val="20"/>
              </w:rPr>
            </w:pPr>
            <w:r w:rsidRPr="00F32D92">
              <w:rPr>
                <w:rFonts w:cs="Arial"/>
                <w:sz w:val="20"/>
                <w:szCs w:val="20"/>
              </w:rPr>
              <w:t>Total Female</w:t>
            </w:r>
          </w:p>
        </w:tc>
        <w:tc>
          <w:tcPr>
            <w:tcW w:w="8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3A6B9FF" w14:textId="77777777" w:rsidR="00AB6753" w:rsidRPr="00F32D92" w:rsidRDefault="00AB6753" w:rsidP="002D1EA4">
            <w:pPr>
              <w:rPr>
                <w:rFonts w:cs="Arial"/>
                <w:sz w:val="20"/>
                <w:szCs w:val="20"/>
              </w:rPr>
            </w:pPr>
            <w:r w:rsidRPr="00F32D92">
              <w:rPr>
                <w:rFonts w:cs="Arial"/>
                <w:sz w:val="20"/>
                <w:szCs w:val="20"/>
              </w:rPr>
              <w:t>Full-time</w:t>
            </w:r>
          </w:p>
        </w:tc>
        <w:tc>
          <w:tcPr>
            <w:tcW w:w="65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E3A5C8E" w14:textId="77777777" w:rsidR="00AB6753" w:rsidRPr="00F32D92" w:rsidRDefault="00AB6753" w:rsidP="002D1EA4">
            <w:pPr>
              <w:rPr>
                <w:rFonts w:cs="Arial"/>
                <w:sz w:val="20"/>
                <w:szCs w:val="20"/>
              </w:rPr>
            </w:pPr>
            <w:r w:rsidRPr="00F32D92">
              <w:rPr>
                <w:rFonts w:cs="Arial"/>
                <w:sz w:val="20"/>
                <w:szCs w:val="20"/>
              </w:rPr>
              <w:t>Part-time</w:t>
            </w:r>
          </w:p>
        </w:tc>
        <w:tc>
          <w:tcPr>
            <w:tcW w:w="14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FD8328" w14:textId="77777777" w:rsidR="00AB6753" w:rsidRPr="00F32D92" w:rsidRDefault="00AB6753" w:rsidP="002D1EA4">
            <w:pPr>
              <w:rPr>
                <w:rFonts w:cs="Arial"/>
                <w:sz w:val="20"/>
                <w:szCs w:val="20"/>
              </w:rPr>
            </w:pPr>
            <w:r w:rsidRPr="00F32D92">
              <w:rPr>
                <w:rFonts w:cs="Arial"/>
                <w:sz w:val="20"/>
                <w:szCs w:val="20"/>
              </w:rPr>
              <w:t>Total Indeterminate</w:t>
            </w:r>
          </w:p>
        </w:tc>
        <w:tc>
          <w:tcPr>
            <w:tcW w:w="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9D91FD" w14:textId="77777777" w:rsidR="00AB6753" w:rsidRPr="00F32D92" w:rsidRDefault="00AB6753" w:rsidP="002D1EA4">
            <w:pPr>
              <w:rPr>
                <w:rFonts w:cs="Arial"/>
                <w:sz w:val="20"/>
                <w:szCs w:val="20"/>
              </w:rPr>
            </w:pPr>
          </w:p>
        </w:tc>
      </w:tr>
      <w:tr w:rsidR="00AB6753" w:rsidRPr="00F32D92" w14:paraId="0D1FD09D" w14:textId="77777777" w:rsidTr="002D1EA4">
        <w:trPr>
          <w:trHeight w:val="315"/>
          <w:jc w:val="center"/>
        </w:trPr>
        <w:tc>
          <w:tcPr>
            <w:tcW w:w="1696" w:type="dxa"/>
            <w:tcBorders>
              <w:top w:val="single" w:sz="4" w:space="0" w:color="auto"/>
              <w:left w:val="single" w:sz="4" w:space="0" w:color="auto"/>
              <w:right w:val="single" w:sz="4" w:space="0" w:color="auto"/>
            </w:tcBorders>
            <w:vAlign w:val="center"/>
            <w:hideMark/>
          </w:tcPr>
          <w:p w14:paraId="359E3AF3" w14:textId="77777777" w:rsidR="00AB6753" w:rsidRPr="00F32D92" w:rsidRDefault="00AB6753" w:rsidP="002D1EA4">
            <w:pPr>
              <w:rPr>
                <w:rFonts w:cs="Arial"/>
                <w:sz w:val="20"/>
                <w:szCs w:val="20"/>
              </w:rPr>
            </w:pPr>
            <w:r w:rsidRPr="00F32D92">
              <w:rPr>
                <w:rFonts w:cs="Arial"/>
                <w:sz w:val="20"/>
                <w:szCs w:val="20"/>
              </w:rPr>
              <w:t>Secretary*</w:t>
            </w:r>
          </w:p>
        </w:tc>
        <w:tc>
          <w:tcPr>
            <w:tcW w:w="896" w:type="dxa"/>
            <w:tcBorders>
              <w:top w:val="single" w:sz="4" w:space="0" w:color="auto"/>
              <w:left w:val="single" w:sz="4" w:space="0" w:color="auto"/>
            </w:tcBorders>
            <w:noWrap/>
          </w:tcPr>
          <w:p w14:paraId="12485E23" w14:textId="77777777" w:rsidR="00AB6753" w:rsidRPr="00F32D92" w:rsidRDefault="00AB6753" w:rsidP="002D1EA4">
            <w:pPr>
              <w:rPr>
                <w:rFonts w:cs="Arial"/>
                <w:sz w:val="20"/>
                <w:szCs w:val="20"/>
              </w:rPr>
            </w:pPr>
            <w:r w:rsidRPr="00F32D92">
              <w:rPr>
                <w:rFonts w:cs="Arial"/>
                <w:sz w:val="20"/>
                <w:szCs w:val="20"/>
              </w:rPr>
              <w:t>-</w:t>
            </w:r>
          </w:p>
        </w:tc>
        <w:tc>
          <w:tcPr>
            <w:tcW w:w="668" w:type="dxa"/>
            <w:tcBorders>
              <w:top w:val="single" w:sz="4" w:space="0" w:color="auto"/>
            </w:tcBorders>
            <w:noWrap/>
            <w:hideMark/>
          </w:tcPr>
          <w:p w14:paraId="7D5020BB" w14:textId="77777777" w:rsidR="00AB6753" w:rsidRPr="00F32D92" w:rsidRDefault="00AB6753" w:rsidP="002D1EA4">
            <w:pPr>
              <w:rPr>
                <w:rFonts w:cs="Arial"/>
                <w:sz w:val="20"/>
                <w:szCs w:val="20"/>
              </w:rPr>
            </w:pPr>
            <w:r w:rsidRPr="00F32D92">
              <w:rPr>
                <w:rFonts w:cs="Arial"/>
                <w:sz w:val="20"/>
                <w:szCs w:val="20"/>
              </w:rPr>
              <w:t>-</w:t>
            </w:r>
          </w:p>
        </w:tc>
        <w:tc>
          <w:tcPr>
            <w:tcW w:w="709" w:type="dxa"/>
            <w:tcBorders>
              <w:top w:val="single" w:sz="4" w:space="0" w:color="auto"/>
              <w:right w:val="single" w:sz="4" w:space="0" w:color="auto"/>
            </w:tcBorders>
            <w:noWrap/>
            <w:hideMark/>
          </w:tcPr>
          <w:p w14:paraId="060492BC" w14:textId="77777777" w:rsidR="00AB6753" w:rsidRPr="00F32D92" w:rsidRDefault="00AB6753" w:rsidP="002D1EA4">
            <w:pPr>
              <w:rPr>
                <w:rFonts w:cs="Arial"/>
                <w:sz w:val="20"/>
                <w:szCs w:val="20"/>
              </w:rPr>
            </w:pPr>
            <w:r w:rsidRPr="00F32D92">
              <w:rPr>
                <w:rFonts w:cs="Arial"/>
                <w:sz w:val="20"/>
                <w:szCs w:val="20"/>
              </w:rPr>
              <w:t>-</w:t>
            </w:r>
          </w:p>
        </w:tc>
        <w:tc>
          <w:tcPr>
            <w:tcW w:w="896" w:type="dxa"/>
            <w:tcBorders>
              <w:top w:val="single" w:sz="4" w:space="0" w:color="auto"/>
              <w:left w:val="single" w:sz="4" w:space="0" w:color="auto"/>
            </w:tcBorders>
            <w:noWrap/>
            <w:hideMark/>
          </w:tcPr>
          <w:p w14:paraId="787DDFE1"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single" w:sz="4" w:space="0" w:color="auto"/>
            </w:tcBorders>
            <w:noWrap/>
            <w:hideMark/>
          </w:tcPr>
          <w:p w14:paraId="1002B3AD" w14:textId="77777777" w:rsidR="00AB6753" w:rsidRPr="00F32D92" w:rsidRDefault="00AB6753" w:rsidP="002D1EA4">
            <w:pPr>
              <w:rPr>
                <w:rFonts w:cs="Arial"/>
                <w:sz w:val="20"/>
                <w:szCs w:val="20"/>
              </w:rPr>
            </w:pPr>
            <w:r w:rsidRPr="00F32D92">
              <w:rPr>
                <w:rFonts w:cs="Arial"/>
                <w:sz w:val="20"/>
                <w:szCs w:val="20"/>
              </w:rPr>
              <w:t>-</w:t>
            </w:r>
          </w:p>
        </w:tc>
        <w:tc>
          <w:tcPr>
            <w:tcW w:w="883" w:type="dxa"/>
            <w:tcBorders>
              <w:top w:val="single" w:sz="4" w:space="0" w:color="auto"/>
              <w:right w:val="single" w:sz="4" w:space="0" w:color="auto"/>
            </w:tcBorders>
            <w:noWrap/>
            <w:hideMark/>
          </w:tcPr>
          <w:p w14:paraId="52B3ADEB" w14:textId="77777777" w:rsidR="00AB6753" w:rsidRPr="00F32D92" w:rsidRDefault="00AB6753" w:rsidP="002D1EA4">
            <w:pPr>
              <w:rPr>
                <w:rFonts w:cs="Arial"/>
                <w:sz w:val="20"/>
                <w:szCs w:val="20"/>
              </w:rPr>
            </w:pPr>
            <w:r w:rsidRPr="00F32D92">
              <w:rPr>
                <w:rFonts w:cs="Arial"/>
                <w:sz w:val="20"/>
                <w:szCs w:val="20"/>
              </w:rPr>
              <w:t>-</w:t>
            </w:r>
          </w:p>
        </w:tc>
        <w:tc>
          <w:tcPr>
            <w:tcW w:w="896" w:type="dxa"/>
            <w:tcBorders>
              <w:top w:val="single" w:sz="4" w:space="0" w:color="auto"/>
              <w:left w:val="single" w:sz="4" w:space="0" w:color="auto"/>
            </w:tcBorders>
            <w:noWrap/>
            <w:hideMark/>
          </w:tcPr>
          <w:p w14:paraId="5223E171"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single" w:sz="4" w:space="0" w:color="auto"/>
            </w:tcBorders>
            <w:noWrap/>
            <w:hideMark/>
          </w:tcPr>
          <w:p w14:paraId="458C9A6C"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single" w:sz="4" w:space="0" w:color="auto"/>
              <w:right w:val="single" w:sz="4" w:space="0" w:color="auto"/>
            </w:tcBorders>
            <w:noWrap/>
            <w:hideMark/>
          </w:tcPr>
          <w:p w14:paraId="3E0CEA11" w14:textId="77777777" w:rsidR="00AB6753" w:rsidRPr="00F32D92" w:rsidRDefault="00AB6753" w:rsidP="002D1EA4">
            <w:pPr>
              <w:rPr>
                <w:rFonts w:cs="Arial"/>
                <w:sz w:val="20"/>
                <w:szCs w:val="20"/>
              </w:rPr>
            </w:pPr>
            <w:r w:rsidRPr="00F32D92">
              <w:rPr>
                <w:rFonts w:cs="Arial"/>
                <w:sz w:val="20"/>
                <w:szCs w:val="20"/>
              </w:rPr>
              <w:t>-</w:t>
            </w:r>
          </w:p>
        </w:tc>
        <w:tc>
          <w:tcPr>
            <w:tcW w:w="661" w:type="dxa"/>
            <w:tcBorders>
              <w:top w:val="single" w:sz="4" w:space="0" w:color="auto"/>
              <w:left w:val="single" w:sz="4" w:space="0" w:color="auto"/>
              <w:right w:val="single" w:sz="4" w:space="0" w:color="auto"/>
            </w:tcBorders>
          </w:tcPr>
          <w:p w14:paraId="107C56EF" w14:textId="77777777" w:rsidR="00AB6753" w:rsidRPr="00F32D92" w:rsidRDefault="00AB6753" w:rsidP="002D1EA4">
            <w:pPr>
              <w:rPr>
                <w:rFonts w:cs="Arial"/>
                <w:sz w:val="20"/>
                <w:szCs w:val="20"/>
              </w:rPr>
            </w:pPr>
          </w:p>
        </w:tc>
      </w:tr>
      <w:tr w:rsidR="00AB6753" w:rsidRPr="00F32D92" w14:paraId="03114556" w14:textId="77777777" w:rsidTr="002D1EA4">
        <w:trPr>
          <w:trHeight w:val="315"/>
          <w:jc w:val="center"/>
        </w:trPr>
        <w:tc>
          <w:tcPr>
            <w:tcW w:w="1696" w:type="dxa"/>
            <w:tcBorders>
              <w:left w:val="single" w:sz="4" w:space="0" w:color="auto"/>
              <w:right w:val="single" w:sz="4" w:space="0" w:color="auto"/>
            </w:tcBorders>
            <w:vAlign w:val="center"/>
          </w:tcPr>
          <w:p w14:paraId="1892DCF2" w14:textId="77777777" w:rsidR="00AB6753" w:rsidRPr="00F32D92" w:rsidRDefault="00AB6753" w:rsidP="002D1EA4">
            <w:pPr>
              <w:rPr>
                <w:rFonts w:cs="Arial"/>
                <w:sz w:val="20"/>
                <w:szCs w:val="20"/>
              </w:rPr>
            </w:pPr>
            <w:r w:rsidRPr="00F32D92">
              <w:rPr>
                <w:rFonts w:cs="Arial"/>
                <w:sz w:val="20"/>
                <w:szCs w:val="20"/>
              </w:rPr>
              <w:t>SES 3</w:t>
            </w:r>
          </w:p>
        </w:tc>
        <w:tc>
          <w:tcPr>
            <w:tcW w:w="896" w:type="dxa"/>
            <w:tcBorders>
              <w:left w:val="single" w:sz="4" w:space="0" w:color="auto"/>
            </w:tcBorders>
            <w:noWrap/>
          </w:tcPr>
          <w:p w14:paraId="5532F572" w14:textId="77777777" w:rsidR="00AB6753" w:rsidRPr="00F32D92" w:rsidRDefault="00AB6753" w:rsidP="002D1EA4">
            <w:pPr>
              <w:rPr>
                <w:rFonts w:cs="Arial"/>
                <w:sz w:val="20"/>
                <w:szCs w:val="20"/>
              </w:rPr>
            </w:pPr>
            <w:r w:rsidRPr="00F32D92">
              <w:rPr>
                <w:rFonts w:cs="Arial"/>
                <w:color w:val="000000"/>
                <w:sz w:val="20"/>
                <w:szCs w:val="20"/>
              </w:rPr>
              <w:t>3</w:t>
            </w:r>
          </w:p>
        </w:tc>
        <w:tc>
          <w:tcPr>
            <w:tcW w:w="668" w:type="dxa"/>
            <w:noWrap/>
          </w:tcPr>
          <w:p w14:paraId="1EFF05D6"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tcPr>
          <w:p w14:paraId="388F9A0A" w14:textId="77777777" w:rsidR="00AB6753" w:rsidRPr="00F32D92" w:rsidRDefault="00AB6753" w:rsidP="002D1EA4">
            <w:pPr>
              <w:rPr>
                <w:rFonts w:cs="Arial"/>
                <w:sz w:val="20"/>
                <w:szCs w:val="20"/>
              </w:rPr>
            </w:pPr>
            <w:r w:rsidRPr="00F32D92">
              <w:rPr>
                <w:rFonts w:cs="Arial"/>
                <w:color w:val="000000"/>
                <w:sz w:val="20"/>
                <w:szCs w:val="20"/>
              </w:rPr>
              <w:t>3</w:t>
            </w:r>
          </w:p>
        </w:tc>
        <w:tc>
          <w:tcPr>
            <w:tcW w:w="896" w:type="dxa"/>
            <w:tcBorders>
              <w:left w:val="single" w:sz="4" w:space="0" w:color="auto"/>
            </w:tcBorders>
            <w:noWrap/>
          </w:tcPr>
          <w:p w14:paraId="78154D6B" w14:textId="77777777" w:rsidR="00AB6753" w:rsidRPr="00F32D92" w:rsidRDefault="00AB6753" w:rsidP="002D1EA4">
            <w:pPr>
              <w:rPr>
                <w:rFonts w:cs="Arial"/>
                <w:sz w:val="20"/>
                <w:szCs w:val="20"/>
              </w:rPr>
            </w:pPr>
            <w:r w:rsidRPr="00F32D92">
              <w:rPr>
                <w:rFonts w:cs="Arial"/>
                <w:color w:val="000000"/>
                <w:sz w:val="20"/>
                <w:szCs w:val="20"/>
              </w:rPr>
              <w:t>2</w:t>
            </w:r>
          </w:p>
        </w:tc>
        <w:tc>
          <w:tcPr>
            <w:tcW w:w="650" w:type="dxa"/>
            <w:noWrap/>
          </w:tcPr>
          <w:p w14:paraId="6447EF44"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tcPr>
          <w:p w14:paraId="36B2E509" w14:textId="77777777" w:rsidR="00AB6753" w:rsidRPr="00F32D92" w:rsidRDefault="00AB6753" w:rsidP="002D1EA4">
            <w:pPr>
              <w:rPr>
                <w:rFonts w:cs="Arial"/>
                <w:sz w:val="20"/>
                <w:szCs w:val="20"/>
              </w:rPr>
            </w:pPr>
            <w:r w:rsidRPr="00F32D92">
              <w:rPr>
                <w:rFonts w:cs="Arial"/>
                <w:color w:val="000000"/>
                <w:sz w:val="20"/>
                <w:szCs w:val="20"/>
              </w:rPr>
              <w:t>2</w:t>
            </w:r>
          </w:p>
        </w:tc>
        <w:tc>
          <w:tcPr>
            <w:tcW w:w="896" w:type="dxa"/>
            <w:tcBorders>
              <w:left w:val="single" w:sz="4" w:space="0" w:color="auto"/>
            </w:tcBorders>
            <w:noWrap/>
          </w:tcPr>
          <w:p w14:paraId="0809623D" w14:textId="77777777" w:rsidR="00AB6753" w:rsidRPr="00F32D92" w:rsidRDefault="00AB6753" w:rsidP="002D1EA4">
            <w:pPr>
              <w:rPr>
                <w:rFonts w:cs="Arial"/>
                <w:sz w:val="20"/>
                <w:szCs w:val="20"/>
              </w:rPr>
            </w:pPr>
            <w:r w:rsidRPr="00F32D92">
              <w:rPr>
                <w:rFonts w:cs="Arial"/>
                <w:sz w:val="20"/>
                <w:szCs w:val="20"/>
              </w:rPr>
              <w:t>-</w:t>
            </w:r>
          </w:p>
        </w:tc>
        <w:tc>
          <w:tcPr>
            <w:tcW w:w="650" w:type="dxa"/>
            <w:noWrap/>
          </w:tcPr>
          <w:p w14:paraId="6B0A7B13"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tcPr>
          <w:p w14:paraId="0C207B98"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55323B14" w14:textId="77777777" w:rsidR="00AB6753" w:rsidRPr="00F32D92" w:rsidRDefault="00AB6753" w:rsidP="002D1EA4">
            <w:pPr>
              <w:rPr>
                <w:rFonts w:cs="Arial"/>
                <w:sz w:val="20"/>
                <w:szCs w:val="20"/>
              </w:rPr>
            </w:pPr>
            <w:r w:rsidRPr="00F32D92">
              <w:rPr>
                <w:rFonts w:cs="Arial"/>
                <w:color w:val="000000"/>
                <w:sz w:val="20"/>
                <w:szCs w:val="20"/>
              </w:rPr>
              <w:t>5</w:t>
            </w:r>
          </w:p>
        </w:tc>
      </w:tr>
      <w:tr w:rsidR="00AB6753" w:rsidRPr="00F32D92" w14:paraId="1B2EBBD6" w14:textId="77777777" w:rsidTr="002D1EA4">
        <w:trPr>
          <w:trHeight w:val="315"/>
          <w:jc w:val="center"/>
        </w:trPr>
        <w:tc>
          <w:tcPr>
            <w:tcW w:w="1696" w:type="dxa"/>
            <w:tcBorders>
              <w:left w:val="single" w:sz="4" w:space="0" w:color="auto"/>
              <w:right w:val="single" w:sz="4" w:space="0" w:color="auto"/>
            </w:tcBorders>
            <w:vAlign w:val="center"/>
            <w:hideMark/>
          </w:tcPr>
          <w:p w14:paraId="489DAA44" w14:textId="77777777" w:rsidR="00AB6753" w:rsidRPr="00F32D92" w:rsidRDefault="00AB6753" w:rsidP="002D1EA4">
            <w:pPr>
              <w:rPr>
                <w:rFonts w:cs="Arial"/>
                <w:sz w:val="20"/>
                <w:szCs w:val="20"/>
              </w:rPr>
            </w:pPr>
            <w:r w:rsidRPr="00F32D92">
              <w:rPr>
                <w:rFonts w:cs="Arial"/>
                <w:sz w:val="20"/>
                <w:szCs w:val="20"/>
              </w:rPr>
              <w:t>SES 2</w:t>
            </w:r>
          </w:p>
        </w:tc>
        <w:tc>
          <w:tcPr>
            <w:tcW w:w="896" w:type="dxa"/>
            <w:tcBorders>
              <w:left w:val="single" w:sz="4" w:space="0" w:color="auto"/>
            </w:tcBorders>
            <w:noWrap/>
          </w:tcPr>
          <w:p w14:paraId="6399CB1E" w14:textId="77777777" w:rsidR="00AB6753" w:rsidRPr="00F32D92" w:rsidRDefault="00AB6753" w:rsidP="002D1EA4">
            <w:pPr>
              <w:rPr>
                <w:rFonts w:cs="Arial"/>
                <w:sz w:val="20"/>
                <w:szCs w:val="20"/>
              </w:rPr>
            </w:pPr>
            <w:r w:rsidRPr="00F32D92">
              <w:rPr>
                <w:rFonts w:cs="Arial"/>
                <w:color w:val="000000"/>
                <w:sz w:val="20"/>
                <w:szCs w:val="20"/>
              </w:rPr>
              <w:t>11</w:t>
            </w:r>
          </w:p>
        </w:tc>
        <w:tc>
          <w:tcPr>
            <w:tcW w:w="668" w:type="dxa"/>
            <w:noWrap/>
            <w:hideMark/>
          </w:tcPr>
          <w:p w14:paraId="1E123BA1"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hideMark/>
          </w:tcPr>
          <w:p w14:paraId="3C866163" w14:textId="77777777" w:rsidR="00AB6753" w:rsidRPr="00F32D92" w:rsidRDefault="00AB6753" w:rsidP="002D1EA4">
            <w:pPr>
              <w:rPr>
                <w:rFonts w:cs="Arial"/>
                <w:sz w:val="20"/>
                <w:szCs w:val="20"/>
              </w:rPr>
            </w:pPr>
            <w:r w:rsidRPr="00F32D92">
              <w:rPr>
                <w:rFonts w:cs="Arial"/>
                <w:color w:val="000000"/>
                <w:sz w:val="20"/>
                <w:szCs w:val="20"/>
              </w:rPr>
              <w:t>11</w:t>
            </w:r>
          </w:p>
        </w:tc>
        <w:tc>
          <w:tcPr>
            <w:tcW w:w="896" w:type="dxa"/>
            <w:tcBorders>
              <w:left w:val="single" w:sz="4" w:space="0" w:color="auto"/>
            </w:tcBorders>
            <w:noWrap/>
            <w:hideMark/>
          </w:tcPr>
          <w:p w14:paraId="0A52DAE6" w14:textId="77777777" w:rsidR="00AB6753" w:rsidRPr="00F32D92" w:rsidRDefault="00AB6753" w:rsidP="002D1EA4">
            <w:pPr>
              <w:rPr>
                <w:rFonts w:cs="Arial"/>
                <w:sz w:val="20"/>
                <w:szCs w:val="20"/>
              </w:rPr>
            </w:pPr>
            <w:r w:rsidRPr="00F32D92">
              <w:rPr>
                <w:rFonts w:cs="Arial"/>
                <w:color w:val="000000"/>
                <w:sz w:val="20"/>
                <w:szCs w:val="20"/>
              </w:rPr>
              <w:t>5</w:t>
            </w:r>
          </w:p>
        </w:tc>
        <w:tc>
          <w:tcPr>
            <w:tcW w:w="650" w:type="dxa"/>
            <w:noWrap/>
            <w:hideMark/>
          </w:tcPr>
          <w:p w14:paraId="27A46B6B" w14:textId="77777777" w:rsidR="00AB6753" w:rsidRPr="00F32D92" w:rsidRDefault="00AB6753" w:rsidP="002D1EA4">
            <w:pPr>
              <w:rPr>
                <w:rFonts w:cs="Arial"/>
                <w:sz w:val="20"/>
                <w:szCs w:val="20"/>
              </w:rPr>
            </w:pPr>
            <w:r w:rsidRPr="00F32D92">
              <w:rPr>
                <w:rFonts w:cs="Arial"/>
                <w:color w:val="000000"/>
                <w:sz w:val="20"/>
                <w:szCs w:val="20"/>
              </w:rPr>
              <w:t>1</w:t>
            </w:r>
          </w:p>
        </w:tc>
        <w:tc>
          <w:tcPr>
            <w:tcW w:w="883" w:type="dxa"/>
            <w:tcBorders>
              <w:right w:val="single" w:sz="4" w:space="0" w:color="auto"/>
            </w:tcBorders>
            <w:noWrap/>
            <w:hideMark/>
          </w:tcPr>
          <w:p w14:paraId="69B9B4BF" w14:textId="77777777" w:rsidR="00AB6753" w:rsidRPr="00F32D92" w:rsidRDefault="00AB6753" w:rsidP="002D1EA4">
            <w:pPr>
              <w:rPr>
                <w:rFonts w:cs="Arial"/>
                <w:sz w:val="20"/>
                <w:szCs w:val="20"/>
              </w:rPr>
            </w:pPr>
            <w:r w:rsidRPr="00F32D92">
              <w:rPr>
                <w:rFonts w:cs="Arial"/>
                <w:color w:val="000000"/>
                <w:sz w:val="20"/>
                <w:szCs w:val="20"/>
              </w:rPr>
              <w:t>6</w:t>
            </w:r>
          </w:p>
        </w:tc>
        <w:tc>
          <w:tcPr>
            <w:tcW w:w="896" w:type="dxa"/>
            <w:tcBorders>
              <w:left w:val="single" w:sz="4" w:space="0" w:color="auto"/>
            </w:tcBorders>
            <w:noWrap/>
            <w:hideMark/>
          </w:tcPr>
          <w:p w14:paraId="1457EB2A" w14:textId="77777777" w:rsidR="00AB6753" w:rsidRPr="00F32D92" w:rsidRDefault="00AB6753" w:rsidP="002D1EA4">
            <w:pPr>
              <w:rPr>
                <w:rFonts w:cs="Arial"/>
                <w:sz w:val="20"/>
                <w:szCs w:val="20"/>
              </w:rPr>
            </w:pPr>
            <w:r w:rsidRPr="00F32D92">
              <w:rPr>
                <w:rFonts w:cs="Arial"/>
                <w:sz w:val="20"/>
                <w:szCs w:val="20"/>
              </w:rPr>
              <w:t>-</w:t>
            </w:r>
          </w:p>
        </w:tc>
        <w:tc>
          <w:tcPr>
            <w:tcW w:w="650" w:type="dxa"/>
            <w:noWrap/>
            <w:hideMark/>
          </w:tcPr>
          <w:p w14:paraId="0BE573B1"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hideMark/>
          </w:tcPr>
          <w:p w14:paraId="7C940113"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54FA2372" w14:textId="77777777" w:rsidR="00AB6753" w:rsidRPr="00F32D92" w:rsidRDefault="00AB6753" w:rsidP="002D1EA4">
            <w:pPr>
              <w:rPr>
                <w:rFonts w:cs="Arial"/>
                <w:sz w:val="20"/>
                <w:szCs w:val="20"/>
              </w:rPr>
            </w:pPr>
            <w:r w:rsidRPr="00F32D92">
              <w:rPr>
                <w:rFonts w:cs="Arial"/>
                <w:color w:val="000000"/>
                <w:sz w:val="20"/>
                <w:szCs w:val="20"/>
              </w:rPr>
              <w:t>17</w:t>
            </w:r>
          </w:p>
        </w:tc>
      </w:tr>
      <w:tr w:rsidR="00AB6753" w:rsidRPr="00F32D92" w14:paraId="0BD27D1B" w14:textId="77777777" w:rsidTr="002D1EA4">
        <w:trPr>
          <w:trHeight w:val="315"/>
          <w:jc w:val="center"/>
        </w:trPr>
        <w:tc>
          <w:tcPr>
            <w:tcW w:w="1696" w:type="dxa"/>
            <w:tcBorders>
              <w:left w:val="single" w:sz="4" w:space="0" w:color="auto"/>
              <w:right w:val="single" w:sz="4" w:space="0" w:color="auto"/>
            </w:tcBorders>
            <w:vAlign w:val="center"/>
            <w:hideMark/>
          </w:tcPr>
          <w:p w14:paraId="6AE8B809" w14:textId="77777777" w:rsidR="00AB6753" w:rsidRPr="00F32D92" w:rsidRDefault="00AB6753" w:rsidP="002D1EA4">
            <w:pPr>
              <w:rPr>
                <w:rFonts w:cs="Arial"/>
                <w:sz w:val="20"/>
                <w:szCs w:val="20"/>
              </w:rPr>
            </w:pPr>
            <w:r w:rsidRPr="00F32D92">
              <w:rPr>
                <w:rFonts w:cs="Arial"/>
                <w:sz w:val="20"/>
                <w:szCs w:val="20"/>
              </w:rPr>
              <w:t>SES 1</w:t>
            </w:r>
          </w:p>
        </w:tc>
        <w:tc>
          <w:tcPr>
            <w:tcW w:w="896" w:type="dxa"/>
            <w:tcBorders>
              <w:left w:val="single" w:sz="4" w:space="0" w:color="auto"/>
            </w:tcBorders>
            <w:noWrap/>
            <w:hideMark/>
          </w:tcPr>
          <w:p w14:paraId="7CE9336B" w14:textId="77777777" w:rsidR="00AB6753" w:rsidRPr="00F32D92" w:rsidRDefault="00AB6753" w:rsidP="002D1EA4">
            <w:pPr>
              <w:rPr>
                <w:rFonts w:cs="Arial"/>
                <w:sz w:val="20"/>
                <w:szCs w:val="20"/>
              </w:rPr>
            </w:pPr>
            <w:r w:rsidRPr="00F32D92">
              <w:rPr>
                <w:rFonts w:cs="Arial"/>
                <w:color w:val="000000"/>
                <w:sz w:val="20"/>
                <w:szCs w:val="20"/>
              </w:rPr>
              <w:t>23</w:t>
            </w:r>
          </w:p>
        </w:tc>
        <w:tc>
          <w:tcPr>
            <w:tcW w:w="668" w:type="dxa"/>
            <w:noWrap/>
            <w:hideMark/>
          </w:tcPr>
          <w:p w14:paraId="19667D58"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hideMark/>
          </w:tcPr>
          <w:p w14:paraId="0BE35AFC" w14:textId="77777777" w:rsidR="00AB6753" w:rsidRPr="00F32D92" w:rsidRDefault="00AB6753" w:rsidP="002D1EA4">
            <w:pPr>
              <w:rPr>
                <w:rFonts w:cs="Arial"/>
                <w:sz w:val="20"/>
                <w:szCs w:val="20"/>
              </w:rPr>
            </w:pPr>
            <w:r w:rsidRPr="00F32D92">
              <w:rPr>
                <w:rFonts w:cs="Arial"/>
                <w:color w:val="000000"/>
                <w:sz w:val="20"/>
                <w:szCs w:val="20"/>
              </w:rPr>
              <w:t>23</w:t>
            </w:r>
          </w:p>
        </w:tc>
        <w:tc>
          <w:tcPr>
            <w:tcW w:w="896" w:type="dxa"/>
            <w:tcBorders>
              <w:left w:val="single" w:sz="4" w:space="0" w:color="auto"/>
            </w:tcBorders>
            <w:noWrap/>
            <w:hideMark/>
          </w:tcPr>
          <w:p w14:paraId="2C262A00" w14:textId="77777777" w:rsidR="00AB6753" w:rsidRPr="00F32D92" w:rsidRDefault="00AB6753" w:rsidP="002D1EA4">
            <w:pPr>
              <w:rPr>
                <w:rFonts w:cs="Arial"/>
                <w:sz w:val="20"/>
                <w:szCs w:val="20"/>
              </w:rPr>
            </w:pPr>
            <w:r w:rsidRPr="00F32D92">
              <w:rPr>
                <w:rFonts w:cs="Arial"/>
                <w:color w:val="000000"/>
                <w:sz w:val="20"/>
                <w:szCs w:val="20"/>
              </w:rPr>
              <w:t>40</w:t>
            </w:r>
          </w:p>
        </w:tc>
        <w:tc>
          <w:tcPr>
            <w:tcW w:w="650" w:type="dxa"/>
            <w:noWrap/>
            <w:hideMark/>
          </w:tcPr>
          <w:p w14:paraId="4F25FB2B"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hideMark/>
          </w:tcPr>
          <w:p w14:paraId="7F219129" w14:textId="77777777" w:rsidR="00AB6753" w:rsidRPr="00F32D92" w:rsidRDefault="00AB6753" w:rsidP="002D1EA4">
            <w:pPr>
              <w:rPr>
                <w:rFonts w:cs="Arial"/>
                <w:sz w:val="20"/>
                <w:szCs w:val="20"/>
              </w:rPr>
            </w:pPr>
            <w:r w:rsidRPr="00F32D92">
              <w:rPr>
                <w:rFonts w:cs="Arial"/>
                <w:color w:val="000000"/>
                <w:sz w:val="20"/>
                <w:szCs w:val="20"/>
              </w:rPr>
              <w:t>40</w:t>
            </w:r>
          </w:p>
        </w:tc>
        <w:tc>
          <w:tcPr>
            <w:tcW w:w="896" w:type="dxa"/>
            <w:tcBorders>
              <w:left w:val="single" w:sz="4" w:space="0" w:color="auto"/>
            </w:tcBorders>
            <w:noWrap/>
            <w:hideMark/>
          </w:tcPr>
          <w:p w14:paraId="45CACB5A" w14:textId="77777777" w:rsidR="00AB6753" w:rsidRPr="00F32D92" w:rsidRDefault="00AB6753" w:rsidP="002D1EA4">
            <w:pPr>
              <w:rPr>
                <w:rFonts w:cs="Arial"/>
                <w:sz w:val="20"/>
                <w:szCs w:val="20"/>
              </w:rPr>
            </w:pPr>
            <w:r w:rsidRPr="00F32D92">
              <w:rPr>
                <w:rFonts w:cs="Arial"/>
                <w:sz w:val="20"/>
                <w:szCs w:val="20"/>
              </w:rPr>
              <w:t>-</w:t>
            </w:r>
          </w:p>
        </w:tc>
        <w:tc>
          <w:tcPr>
            <w:tcW w:w="650" w:type="dxa"/>
            <w:noWrap/>
            <w:hideMark/>
          </w:tcPr>
          <w:p w14:paraId="0FE82679"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hideMark/>
          </w:tcPr>
          <w:p w14:paraId="58189D36"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435415BB" w14:textId="77777777" w:rsidR="00AB6753" w:rsidRPr="00F32D92" w:rsidRDefault="00AB6753" w:rsidP="002D1EA4">
            <w:pPr>
              <w:rPr>
                <w:rFonts w:cs="Arial"/>
                <w:sz w:val="20"/>
                <w:szCs w:val="20"/>
              </w:rPr>
            </w:pPr>
            <w:r w:rsidRPr="00F32D92">
              <w:rPr>
                <w:rFonts w:cs="Arial"/>
                <w:color w:val="000000"/>
                <w:sz w:val="20"/>
                <w:szCs w:val="20"/>
              </w:rPr>
              <w:t>63</w:t>
            </w:r>
          </w:p>
        </w:tc>
      </w:tr>
      <w:tr w:rsidR="00AB6753" w:rsidRPr="00F32D92" w14:paraId="71C86860" w14:textId="77777777" w:rsidTr="002D1EA4">
        <w:trPr>
          <w:trHeight w:val="315"/>
          <w:jc w:val="center"/>
        </w:trPr>
        <w:tc>
          <w:tcPr>
            <w:tcW w:w="1696" w:type="dxa"/>
            <w:tcBorders>
              <w:left w:val="single" w:sz="4" w:space="0" w:color="auto"/>
              <w:right w:val="single" w:sz="4" w:space="0" w:color="auto"/>
            </w:tcBorders>
            <w:vAlign w:val="center"/>
            <w:hideMark/>
          </w:tcPr>
          <w:p w14:paraId="251623F1" w14:textId="77777777" w:rsidR="00AB6753" w:rsidRPr="00F32D92" w:rsidRDefault="00AB6753" w:rsidP="002D1EA4">
            <w:pPr>
              <w:rPr>
                <w:rFonts w:cs="Arial"/>
                <w:sz w:val="20"/>
                <w:szCs w:val="20"/>
              </w:rPr>
            </w:pPr>
            <w:r w:rsidRPr="00F32D92">
              <w:rPr>
                <w:rFonts w:cs="Arial"/>
                <w:sz w:val="20"/>
                <w:szCs w:val="20"/>
              </w:rPr>
              <w:t>EL 2</w:t>
            </w:r>
          </w:p>
        </w:tc>
        <w:tc>
          <w:tcPr>
            <w:tcW w:w="896" w:type="dxa"/>
            <w:tcBorders>
              <w:left w:val="single" w:sz="4" w:space="0" w:color="auto"/>
            </w:tcBorders>
            <w:noWrap/>
            <w:hideMark/>
          </w:tcPr>
          <w:p w14:paraId="5D6D91B1" w14:textId="77777777" w:rsidR="00AB6753" w:rsidRPr="00F32D92" w:rsidRDefault="00AB6753" w:rsidP="002D1EA4">
            <w:pPr>
              <w:rPr>
                <w:rFonts w:cs="Arial"/>
                <w:sz w:val="20"/>
                <w:szCs w:val="20"/>
              </w:rPr>
            </w:pPr>
            <w:r w:rsidRPr="00F32D92">
              <w:rPr>
                <w:rFonts w:cs="Arial"/>
                <w:color w:val="000000"/>
                <w:sz w:val="20"/>
                <w:szCs w:val="20"/>
              </w:rPr>
              <w:t>88</w:t>
            </w:r>
          </w:p>
        </w:tc>
        <w:tc>
          <w:tcPr>
            <w:tcW w:w="668" w:type="dxa"/>
            <w:noWrap/>
            <w:hideMark/>
          </w:tcPr>
          <w:p w14:paraId="4F7B1588" w14:textId="77777777" w:rsidR="00AB6753" w:rsidRPr="00F32D92" w:rsidRDefault="00AB6753" w:rsidP="002D1EA4">
            <w:pPr>
              <w:rPr>
                <w:rFonts w:cs="Arial"/>
                <w:sz w:val="20"/>
                <w:szCs w:val="20"/>
              </w:rPr>
            </w:pPr>
            <w:r w:rsidRPr="00F32D92">
              <w:rPr>
                <w:rFonts w:cs="Arial"/>
                <w:color w:val="000000"/>
                <w:sz w:val="20"/>
                <w:szCs w:val="20"/>
              </w:rPr>
              <w:t>1</w:t>
            </w:r>
          </w:p>
        </w:tc>
        <w:tc>
          <w:tcPr>
            <w:tcW w:w="709" w:type="dxa"/>
            <w:tcBorders>
              <w:right w:val="single" w:sz="4" w:space="0" w:color="auto"/>
            </w:tcBorders>
            <w:noWrap/>
            <w:hideMark/>
          </w:tcPr>
          <w:p w14:paraId="3FF5E144" w14:textId="77777777" w:rsidR="00AB6753" w:rsidRPr="00F32D92" w:rsidRDefault="00AB6753" w:rsidP="002D1EA4">
            <w:pPr>
              <w:rPr>
                <w:rFonts w:cs="Arial"/>
                <w:sz w:val="20"/>
                <w:szCs w:val="20"/>
              </w:rPr>
            </w:pPr>
            <w:r w:rsidRPr="00F32D92">
              <w:rPr>
                <w:rFonts w:cs="Arial"/>
                <w:color w:val="000000"/>
                <w:sz w:val="20"/>
                <w:szCs w:val="20"/>
              </w:rPr>
              <w:t>89</w:t>
            </w:r>
          </w:p>
        </w:tc>
        <w:tc>
          <w:tcPr>
            <w:tcW w:w="896" w:type="dxa"/>
            <w:tcBorders>
              <w:left w:val="single" w:sz="4" w:space="0" w:color="auto"/>
            </w:tcBorders>
            <w:noWrap/>
            <w:hideMark/>
          </w:tcPr>
          <w:p w14:paraId="56CFC5E5" w14:textId="77777777" w:rsidR="00AB6753" w:rsidRPr="00F32D92" w:rsidRDefault="00AB6753" w:rsidP="002D1EA4">
            <w:pPr>
              <w:rPr>
                <w:rFonts w:cs="Arial"/>
                <w:sz w:val="20"/>
                <w:szCs w:val="20"/>
              </w:rPr>
            </w:pPr>
            <w:r w:rsidRPr="00F32D92">
              <w:rPr>
                <w:rFonts w:cs="Arial"/>
                <w:color w:val="000000"/>
                <w:sz w:val="20"/>
                <w:szCs w:val="20"/>
              </w:rPr>
              <w:t>165</w:t>
            </w:r>
          </w:p>
        </w:tc>
        <w:tc>
          <w:tcPr>
            <w:tcW w:w="650" w:type="dxa"/>
            <w:noWrap/>
            <w:hideMark/>
          </w:tcPr>
          <w:p w14:paraId="7BE7B403" w14:textId="77777777" w:rsidR="00AB6753" w:rsidRPr="00F32D92" w:rsidRDefault="00AB6753" w:rsidP="002D1EA4">
            <w:pPr>
              <w:rPr>
                <w:rFonts w:cs="Arial"/>
                <w:sz w:val="20"/>
                <w:szCs w:val="20"/>
              </w:rPr>
            </w:pPr>
            <w:r w:rsidRPr="00F32D92">
              <w:rPr>
                <w:rFonts w:cs="Arial"/>
                <w:color w:val="000000"/>
                <w:sz w:val="20"/>
                <w:szCs w:val="20"/>
              </w:rPr>
              <w:t>16</w:t>
            </w:r>
          </w:p>
        </w:tc>
        <w:tc>
          <w:tcPr>
            <w:tcW w:w="883" w:type="dxa"/>
            <w:tcBorders>
              <w:right w:val="single" w:sz="4" w:space="0" w:color="auto"/>
            </w:tcBorders>
            <w:noWrap/>
            <w:hideMark/>
          </w:tcPr>
          <w:p w14:paraId="02F1BE6C" w14:textId="77777777" w:rsidR="00AB6753" w:rsidRPr="00F32D92" w:rsidRDefault="00AB6753" w:rsidP="002D1EA4">
            <w:pPr>
              <w:rPr>
                <w:rFonts w:cs="Arial"/>
                <w:sz w:val="20"/>
                <w:szCs w:val="20"/>
              </w:rPr>
            </w:pPr>
            <w:r w:rsidRPr="00F32D92">
              <w:rPr>
                <w:rFonts w:cs="Arial"/>
                <w:color w:val="000000"/>
                <w:sz w:val="20"/>
                <w:szCs w:val="20"/>
              </w:rPr>
              <w:t>181</w:t>
            </w:r>
          </w:p>
        </w:tc>
        <w:tc>
          <w:tcPr>
            <w:tcW w:w="896" w:type="dxa"/>
            <w:tcBorders>
              <w:left w:val="single" w:sz="4" w:space="0" w:color="auto"/>
            </w:tcBorders>
            <w:noWrap/>
            <w:hideMark/>
          </w:tcPr>
          <w:p w14:paraId="0F22D4EF" w14:textId="77777777" w:rsidR="00AB6753" w:rsidRPr="00F32D92" w:rsidRDefault="00AB6753" w:rsidP="002D1EA4">
            <w:pPr>
              <w:rPr>
                <w:rFonts w:cs="Arial"/>
                <w:sz w:val="20"/>
                <w:szCs w:val="20"/>
              </w:rPr>
            </w:pPr>
            <w:r w:rsidRPr="00F32D92">
              <w:rPr>
                <w:rFonts w:cs="Arial"/>
                <w:sz w:val="20"/>
                <w:szCs w:val="20"/>
              </w:rPr>
              <w:t>-</w:t>
            </w:r>
          </w:p>
        </w:tc>
        <w:tc>
          <w:tcPr>
            <w:tcW w:w="650" w:type="dxa"/>
            <w:noWrap/>
            <w:hideMark/>
          </w:tcPr>
          <w:p w14:paraId="464F81EF"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hideMark/>
          </w:tcPr>
          <w:p w14:paraId="733885A3"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5A6BB9EC" w14:textId="77777777" w:rsidR="00AB6753" w:rsidRPr="00F32D92" w:rsidRDefault="00AB6753" w:rsidP="002D1EA4">
            <w:pPr>
              <w:rPr>
                <w:rFonts w:cs="Arial"/>
                <w:sz w:val="20"/>
                <w:szCs w:val="20"/>
              </w:rPr>
            </w:pPr>
            <w:r w:rsidRPr="00F32D92">
              <w:rPr>
                <w:rFonts w:cs="Arial"/>
                <w:color w:val="000000"/>
                <w:sz w:val="20"/>
                <w:szCs w:val="20"/>
              </w:rPr>
              <w:t>270</w:t>
            </w:r>
          </w:p>
        </w:tc>
      </w:tr>
      <w:tr w:rsidR="00AB6753" w:rsidRPr="00F32D92" w14:paraId="0A1E2444" w14:textId="77777777" w:rsidTr="002D1EA4">
        <w:trPr>
          <w:trHeight w:val="315"/>
          <w:jc w:val="center"/>
        </w:trPr>
        <w:tc>
          <w:tcPr>
            <w:tcW w:w="1696" w:type="dxa"/>
            <w:tcBorders>
              <w:left w:val="single" w:sz="4" w:space="0" w:color="auto"/>
              <w:right w:val="single" w:sz="4" w:space="0" w:color="auto"/>
            </w:tcBorders>
            <w:vAlign w:val="center"/>
            <w:hideMark/>
          </w:tcPr>
          <w:p w14:paraId="30591C51" w14:textId="77777777" w:rsidR="00AB6753" w:rsidRPr="00F32D92" w:rsidRDefault="00AB6753" w:rsidP="002D1EA4">
            <w:pPr>
              <w:rPr>
                <w:rFonts w:cs="Arial"/>
                <w:sz w:val="20"/>
                <w:szCs w:val="20"/>
              </w:rPr>
            </w:pPr>
            <w:r w:rsidRPr="00F32D92">
              <w:rPr>
                <w:rFonts w:cs="Arial"/>
                <w:sz w:val="20"/>
                <w:szCs w:val="20"/>
              </w:rPr>
              <w:t>EL 1</w:t>
            </w:r>
          </w:p>
        </w:tc>
        <w:tc>
          <w:tcPr>
            <w:tcW w:w="896" w:type="dxa"/>
            <w:tcBorders>
              <w:left w:val="single" w:sz="4" w:space="0" w:color="auto"/>
            </w:tcBorders>
            <w:noWrap/>
            <w:hideMark/>
          </w:tcPr>
          <w:p w14:paraId="65A02990" w14:textId="77777777" w:rsidR="00AB6753" w:rsidRPr="00F32D92" w:rsidRDefault="00AB6753" w:rsidP="002D1EA4">
            <w:pPr>
              <w:rPr>
                <w:rFonts w:cs="Arial"/>
                <w:sz w:val="20"/>
                <w:szCs w:val="20"/>
              </w:rPr>
            </w:pPr>
            <w:r w:rsidRPr="00F32D92">
              <w:rPr>
                <w:rFonts w:cs="Arial"/>
                <w:color w:val="000000"/>
                <w:sz w:val="20"/>
                <w:szCs w:val="20"/>
              </w:rPr>
              <w:t>168</w:t>
            </w:r>
          </w:p>
        </w:tc>
        <w:tc>
          <w:tcPr>
            <w:tcW w:w="668" w:type="dxa"/>
            <w:noWrap/>
            <w:hideMark/>
          </w:tcPr>
          <w:p w14:paraId="4C6766DB" w14:textId="77777777" w:rsidR="00AB6753" w:rsidRPr="00F32D92" w:rsidRDefault="00AB6753" w:rsidP="002D1EA4">
            <w:pPr>
              <w:rPr>
                <w:rFonts w:cs="Arial"/>
                <w:sz w:val="20"/>
                <w:szCs w:val="20"/>
              </w:rPr>
            </w:pPr>
            <w:r w:rsidRPr="00F32D92">
              <w:rPr>
                <w:rFonts w:cs="Arial"/>
                <w:color w:val="000000"/>
                <w:sz w:val="20"/>
                <w:szCs w:val="20"/>
              </w:rPr>
              <w:t>20</w:t>
            </w:r>
          </w:p>
        </w:tc>
        <w:tc>
          <w:tcPr>
            <w:tcW w:w="709" w:type="dxa"/>
            <w:tcBorders>
              <w:right w:val="single" w:sz="4" w:space="0" w:color="auto"/>
            </w:tcBorders>
            <w:noWrap/>
            <w:hideMark/>
          </w:tcPr>
          <w:p w14:paraId="35E1CED4" w14:textId="77777777" w:rsidR="00AB6753" w:rsidRPr="00F32D92" w:rsidRDefault="00AB6753" w:rsidP="002D1EA4">
            <w:pPr>
              <w:rPr>
                <w:rFonts w:cs="Arial"/>
                <w:sz w:val="20"/>
                <w:szCs w:val="20"/>
              </w:rPr>
            </w:pPr>
            <w:r w:rsidRPr="00F32D92">
              <w:rPr>
                <w:rFonts w:cs="Arial"/>
                <w:color w:val="000000"/>
                <w:sz w:val="20"/>
                <w:szCs w:val="20"/>
              </w:rPr>
              <w:t>188</w:t>
            </w:r>
          </w:p>
        </w:tc>
        <w:tc>
          <w:tcPr>
            <w:tcW w:w="896" w:type="dxa"/>
            <w:tcBorders>
              <w:left w:val="single" w:sz="4" w:space="0" w:color="auto"/>
            </w:tcBorders>
            <w:noWrap/>
            <w:hideMark/>
          </w:tcPr>
          <w:p w14:paraId="32C86ABE" w14:textId="77777777" w:rsidR="00AB6753" w:rsidRPr="00F32D92" w:rsidRDefault="00AB6753" w:rsidP="002D1EA4">
            <w:pPr>
              <w:rPr>
                <w:rFonts w:cs="Arial"/>
                <w:sz w:val="20"/>
                <w:szCs w:val="20"/>
              </w:rPr>
            </w:pPr>
            <w:r w:rsidRPr="00F32D92">
              <w:rPr>
                <w:rFonts w:cs="Arial"/>
                <w:color w:val="000000"/>
                <w:sz w:val="20"/>
                <w:szCs w:val="20"/>
              </w:rPr>
              <w:t>319</w:t>
            </w:r>
          </w:p>
        </w:tc>
        <w:tc>
          <w:tcPr>
            <w:tcW w:w="650" w:type="dxa"/>
            <w:noWrap/>
            <w:hideMark/>
          </w:tcPr>
          <w:p w14:paraId="4DB3B8B0" w14:textId="77777777" w:rsidR="00AB6753" w:rsidRPr="00F32D92" w:rsidRDefault="00AB6753" w:rsidP="002D1EA4">
            <w:pPr>
              <w:rPr>
                <w:rFonts w:cs="Arial"/>
                <w:sz w:val="20"/>
                <w:szCs w:val="20"/>
              </w:rPr>
            </w:pPr>
            <w:r w:rsidRPr="00F32D92">
              <w:rPr>
                <w:rFonts w:cs="Arial"/>
                <w:color w:val="000000"/>
                <w:sz w:val="20"/>
                <w:szCs w:val="20"/>
              </w:rPr>
              <w:t>116</w:t>
            </w:r>
          </w:p>
        </w:tc>
        <w:tc>
          <w:tcPr>
            <w:tcW w:w="883" w:type="dxa"/>
            <w:tcBorders>
              <w:right w:val="single" w:sz="4" w:space="0" w:color="auto"/>
            </w:tcBorders>
            <w:noWrap/>
            <w:hideMark/>
          </w:tcPr>
          <w:p w14:paraId="02C12496" w14:textId="77777777" w:rsidR="00AB6753" w:rsidRPr="00F32D92" w:rsidRDefault="00AB6753" w:rsidP="002D1EA4">
            <w:pPr>
              <w:rPr>
                <w:rFonts w:cs="Arial"/>
                <w:sz w:val="20"/>
                <w:szCs w:val="20"/>
              </w:rPr>
            </w:pPr>
            <w:r w:rsidRPr="00F32D92">
              <w:rPr>
                <w:rFonts w:cs="Arial"/>
                <w:color w:val="000000"/>
                <w:sz w:val="20"/>
                <w:szCs w:val="20"/>
              </w:rPr>
              <w:t>435</w:t>
            </w:r>
          </w:p>
        </w:tc>
        <w:tc>
          <w:tcPr>
            <w:tcW w:w="896" w:type="dxa"/>
            <w:tcBorders>
              <w:left w:val="single" w:sz="4" w:space="0" w:color="auto"/>
            </w:tcBorders>
            <w:noWrap/>
            <w:hideMark/>
          </w:tcPr>
          <w:p w14:paraId="46A55081" w14:textId="77777777" w:rsidR="00AB6753" w:rsidRPr="00F32D92" w:rsidRDefault="00AB6753" w:rsidP="002D1EA4">
            <w:pPr>
              <w:rPr>
                <w:rFonts w:cs="Arial"/>
                <w:sz w:val="20"/>
                <w:szCs w:val="20"/>
              </w:rPr>
            </w:pPr>
            <w:r w:rsidRPr="00F32D92">
              <w:rPr>
                <w:rFonts w:cs="Arial"/>
                <w:sz w:val="20"/>
                <w:szCs w:val="20"/>
              </w:rPr>
              <w:t>-</w:t>
            </w:r>
          </w:p>
        </w:tc>
        <w:tc>
          <w:tcPr>
            <w:tcW w:w="650" w:type="dxa"/>
            <w:noWrap/>
            <w:hideMark/>
          </w:tcPr>
          <w:p w14:paraId="4F0E3FAE"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hideMark/>
          </w:tcPr>
          <w:p w14:paraId="70ADC662"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55A08514" w14:textId="77777777" w:rsidR="00AB6753" w:rsidRPr="00F32D92" w:rsidRDefault="00AB6753" w:rsidP="002D1EA4">
            <w:pPr>
              <w:rPr>
                <w:rFonts w:cs="Arial"/>
                <w:sz w:val="20"/>
                <w:szCs w:val="20"/>
              </w:rPr>
            </w:pPr>
            <w:r w:rsidRPr="00F32D92">
              <w:rPr>
                <w:rFonts w:cs="Arial"/>
                <w:color w:val="000000"/>
                <w:sz w:val="20"/>
                <w:szCs w:val="20"/>
              </w:rPr>
              <w:t>623</w:t>
            </w:r>
          </w:p>
        </w:tc>
      </w:tr>
      <w:tr w:rsidR="00AB6753" w:rsidRPr="00F32D92" w14:paraId="430EE6D6" w14:textId="77777777" w:rsidTr="002D1EA4">
        <w:trPr>
          <w:trHeight w:val="315"/>
          <w:jc w:val="center"/>
        </w:trPr>
        <w:tc>
          <w:tcPr>
            <w:tcW w:w="1696" w:type="dxa"/>
            <w:tcBorders>
              <w:left w:val="single" w:sz="4" w:space="0" w:color="auto"/>
              <w:right w:val="single" w:sz="4" w:space="0" w:color="auto"/>
            </w:tcBorders>
            <w:vAlign w:val="center"/>
          </w:tcPr>
          <w:p w14:paraId="4161E991" w14:textId="77777777" w:rsidR="00AB6753" w:rsidRPr="00F32D92" w:rsidRDefault="00AB6753" w:rsidP="002D1EA4">
            <w:pPr>
              <w:rPr>
                <w:rFonts w:cs="Arial"/>
                <w:sz w:val="20"/>
                <w:szCs w:val="20"/>
              </w:rPr>
            </w:pPr>
            <w:r w:rsidRPr="00F32D92">
              <w:rPr>
                <w:rFonts w:cs="Arial"/>
                <w:sz w:val="20"/>
                <w:szCs w:val="20"/>
              </w:rPr>
              <w:t>Senior Public Affairs Officer</w:t>
            </w:r>
          </w:p>
        </w:tc>
        <w:tc>
          <w:tcPr>
            <w:tcW w:w="896" w:type="dxa"/>
            <w:tcBorders>
              <w:left w:val="single" w:sz="4" w:space="0" w:color="auto"/>
            </w:tcBorders>
            <w:noWrap/>
          </w:tcPr>
          <w:p w14:paraId="644A4799" w14:textId="77777777" w:rsidR="00AB6753" w:rsidRPr="00F32D92" w:rsidRDefault="00AB6753" w:rsidP="002D1EA4">
            <w:pPr>
              <w:rPr>
                <w:rFonts w:cs="Arial"/>
                <w:sz w:val="20"/>
                <w:szCs w:val="20"/>
              </w:rPr>
            </w:pPr>
            <w:r w:rsidRPr="00F32D92">
              <w:rPr>
                <w:rFonts w:cs="Arial"/>
                <w:sz w:val="20"/>
                <w:szCs w:val="20"/>
              </w:rPr>
              <w:t>0</w:t>
            </w:r>
          </w:p>
        </w:tc>
        <w:tc>
          <w:tcPr>
            <w:tcW w:w="668" w:type="dxa"/>
            <w:noWrap/>
          </w:tcPr>
          <w:p w14:paraId="10A9B651"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tcPr>
          <w:p w14:paraId="59C3ECF5"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tcPr>
          <w:p w14:paraId="4C66614C" w14:textId="77777777" w:rsidR="00AB6753" w:rsidRPr="00F32D92" w:rsidRDefault="00AB6753" w:rsidP="002D1EA4">
            <w:pPr>
              <w:rPr>
                <w:rFonts w:cs="Arial"/>
                <w:sz w:val="20"/>
                <w:szCs w:val="20"/>
              </w:rPr>
            </w:pPr>
            <w:r w:rsidRPr="00F32D92">
              <w:rPr>
                <w:rFonts w:cs="Arial"/>
                <w:color w:val="000000"/>
                <w:sz w:val="20"/>
                <w:szCs w:val="20"/>
              </w:rPr>
              <w:t>10</w:t>
            </w:r>
          </w:p>
        </w:tc>
        <w:tc>
          <w:tcPr>
            <w:tcW w:w="650" w:type="dxa"/>
            <w:noWrap/>
          </w:tcPr>
          <w:p w14:paraId="0EAF88D7" w14:textId="77777777" w:rsidR="00AB6753" w:rsidRPr="00F32D92" w:rsidRDefault="00AB6753" w:rsidP="002D1EA4">
            <w:pPr>
              <w:rPr>
                <w:rFonts w:cs="Arial"/>
                <w:sz w:val="20"/>
                <w:szCs w:val="20"/>
              </w:rPr>
            </w:pPr>
            <w:r w:rsidRPr="00F32D92">
              <w:rPr>
                <w:rFonts w:cs="Arial"/>
                <w:color w:val="000000"/>
                <w:sz w:val="20"/>
                <w:szCs w:val="20"/>
              </w:rPr>
              <w:t>1</w:t>
            </w:r>
          </w:p>
        </w:tc>
        <w:tc>
          <w:tcPr>
            <w:tcW w:w="883" w:type="dxa"/>
            <w:tcBorders>
              <w:right w:val="single" w:sz="4" w:space="0" w:color="auto"/>
            </w:tcBorders>
            <w:noWrap/>
          </w:tcPr>
          <w:p w14:paraId="7F21469D" w14:textId="77777777" w:rsidR="00AB6753" w:rsidRPr="00F32D92" w:rsidRDefault="00AB6753" w:rsidP="002D1EA4">
            <w:pPr>
              <w:rPr>
                <w:rFonts w:cs="Arial"/>
                <w:sz w:val="20"/>
                <w:szCs w:val="20"/>
              </w:rPr>
            </w:pPr>
            <w:r w:rsidRPr="00F32D92">
              <w:rPr>
                <w:rFonts w:cs="Arial"/>
                <w:color w:val="000000"/>
                <w:sz w:val="20"/>
                <w:szCs w:val="20"/>
              </w:rPr>
              <w:t>11</w:t>
            </w:r>
          </w:p>
        </w:tc>
        <w:tc>
          <w:tcPr>
            <w:tcW w:w="896" w:type="dxa"/>
            <w:tcBorders>
              <w:left w:val="single" w:sz="4" w:space="0" w:color="auto"/>
            </w:tcBorders>
            <w:noWrap/>
          </w:tcPr>
          <w:p w14:paraId="3A9F032D" w14:textId="77777777" w:rsidR="00AB6753" w:rsidRPr="00F32D92" w:rsidRDefault="00AB6753" w:rsidP="002D1EA4">
            <w:pPr>
              <w:rPr>
                <w:rFonts w:cs="Arial"/>
                <w:sz w:val="20"/>
                <w:szCs w:val="20"/>
              </w:rPr>
            </w:pPr>
            <w:r w:rsidRPr="00F32D92">
              <w:rPr>
                <w:rFonts w:cs="Arial"/>
                <w:sz w:val="20"/>
                <w:szCs w:val="20"/>
              </w:rPr>
              <w:t>-</w:t>
            </w:r>
          </w:p>
        </w:tc>
        <w:tc>
          <w:tcPr>
            <w:tcW w:w="650" w:type="dxa"/>
            <w:noWrap/>
          </w:tcPr>
          <w:p w14:paraId="01499EDB"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tcPr>
          <w:p w14:paraId="005FF24E"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7BDF5D65" w14:textId="77777777" w:rsidR="00AB6753" w:rsidRPr="00F32D92" w:rsidRDefault="00AB6753" w:rsidP="002D1EA4">
            <w:pPr>
              <w:rPr>
                <w:rFonts w:cs="Arial"/>
                <w:sz w:val="20"/>
                <w:szCs w:val="20"/>
              </w:rPr>
            </w:pPr>
            <w:r w:rsidRPr="00F32D92">
              <w:rPr>
                <w:rFonts w:cs="Arial"/>
                <w:color w:val="000000"/>
                <w:sz w:val="20"/>
                <w:szCs w:val="20"/>
              </w:rPr>
              <w:t>11</w:t>
            </w:r>
          </w:p>
        </w:tc>
      </w:tr>
      <w:tr w:rsidR="00AB6753" w:rsidRPr="00F32D92" w14:paraId="153796B5" w14:textId="77777777" w:rsidTr="002D1EA4">
        <w:trPr>
          <w:trHeight w:val="315"/>
          <w:jc w:val="center"/>
        </w:trPr>
        <w:tc>
          <w:tcPr>
            <w:tcW w:w="1696" w:type="dxa"/>
            <w:tcBorders>
              <w:left w:val="single" w:sz="4" w:space="0" w:color="auto"/>
              <w:right w:val="single" w:sz="4" w:space="0" w:color="auto"/>
            </w:tcBorders>
            <w:vAlign w:val="bottom"/>
          </w:tcPr>
          <w:p w14:paraId="2DBA668D" w14:textId="77777777" w:rsidR="00AB6753" w:rsidRPr="00F32D92" w:rsidRDefault="00AB6753" w:rsidP="002D1EA4">
            <w:pPr>
              <w:rPr>
                <w:rFonts w:cs="Arial"/>
                <w:sz w:val="20"/>
                <w:szCs w:val="20"/>
              </w:rPr>
            </w:pPr>
            <w:r w:rsidRPr="00F32D92">
              <w:rPr>
                <w:rFonts w:cs="Arial"/>
                <w:sz w:val="20"/>
                <w:szCs w:val="20"/>
              </w:rPr>
              <w:t>Public Affairs Officer Grade 3</w:t>
            </w:r>
          </w:p>
        </w:tc>
        <w:tc>
          <w:tcPr>
            <w:tcW w:w="896" w:type="dxa"/>
            <w:tcBorders>
              <w:left w:val="single" w:sz="4" w:space="0" w:color="auto"/>
            </w:tcBorders>
            <w:noWrap/>
          </w:tcPr>
          <w:p w14:paraId="62FCFBA6" w14:textId="77777777" w:rsidR="00AB6753" w:rsidRPr="00F32D92" w:rsidRDefault="00AB6753" w:rsidP="002D1EA4">
            <w:pPr>
              <w:rPr>
                <w:rFonts w:cs="Arial"/>
                <w:sz w:val="20"/>
                <w:szCs w:val="20"/>
              </w:rPr>
            </w:pPr>
            <w:r w:rsidRPr="00F32D92">
              <w:rPr>
                <w:rFonts w:cs="Arial"/>
                <w:color w:val="000000"/>
                <w:sz w:val="20"/>
                <w:szCs w:val="20"/>
              </w:rPr>
              <w:t>4</w:t>
            </w:r>
          </w:p>
        </w:tc>
        <w:tc>
          <w:tcPr>
            <w:tcW w:w="668" w:type="dxa"/>
            <w:noWrap/>
          </w:tcPr>
          <w:p w14:paraId="1E4EF3A3"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tcPr>
          <w:p w14:paraId="55E57002" w14:textId="77777777" w:rsidR="00AB6753" w:rsidRPr="00F32D92" w:rsidRDefault="00AB6753" w:rsidP="002D1EA4">
            <w:pPr>
              <w:rPr>
                <w:rFonts w:cs="Arial"/>
                <w:sz w:val="20"/>
                <w:szCs w:val="20"/>
              </w:rPr>
            </w:pPr>
            <w:r w:rsidRPr="00F32D92">
              <w:rPr>
                <w:rFonts w:cs="Arial"/>
                <w:color w:val="000000"/>
                <w:sz w:val="20"/>
                <w:szCs w:val="20"/>
              </w:rPr>
              <w:t>4</w:t>
            </w:r>
          </w:p>
        </w:tc>
        <w:tc>
          <w:tcPr>
            <w:tcW w:w="896" w:type="dxa"/>
            <w:tcBorders>
              <w:left w:val="single" w:sz="4" w:space="0" w:color="auto"/>
            </w:tcBorders>
            <w:noWrap/>
          </w:tcPr>
          <w:p w14:paraId="5E06D49E" w14:textId="77777777" w:rsidR="00AB6753" w:rsidRPr="00F32D92" w:rsidRDefault="00AB6753" w:rsidP="002D1EA4">
            <w:pPr>
              <w:rPr>
                <w:rFonts w:cs="Arial"/>
                <w:sz w:val="20"/>
                <w:szCs w:val="20"/>
              </w:rPr>
            </w:pPr>
            <w:r w:rsidRPr="00F32D92">
              <w:rPr>
                <w:rFonts w:cs="Arial"/>
                <w:color w:val="000000"/>
                <w:sz w:val="20"/>
                <w:szCs w:val="20"/>
              </w:rPr>
              <w:t>18</w:t>
            </w:r>
          </w:p>
        </w:tc>
        <w:tc>
          <w:tcPr>
            <w:tcW w:w="650" w:type="dxa"/>
            <w:noWrap/>
          </w:tcPr>
          <w:p w14:paraId="47178DB6" w14:textId="77777777" w:rsidR="00AB6753" w:rsidRPr="00F32D92" w:rsidRDefault="00AB6753" w:rsidP="002D1EA4">
            <w:pPr>
              <w:rPr>
                <w:rFonts w:cs="Arial"/>
                <w:sz w:val="20"/>
                <w:szCs w:val="20"/>
              </w:rPr>
            </w:pPr>
            <w:r w:rsidRPr="00F32D92">
              <w:rPr>
                <w:rFonts w:cs="Arial"/>
                <w:color w:val="000000"/>
                <w:sz w:val="20"/>
                <w:szCs w:val="20"/>
              </w:rPr>
              <w:t>6</w:t>
            </w:r>
          </w:p>
        </w:tc>
        <w:tc>
          <w:tcPr>
            <w:tcW w:w="883" w:type="dxa"/>
            <w:tcBorders>
              <w:right w:val="single" w:sz="4" w:space="0" w:color="auto"/>
            </w:tcBorders>
            <w:noWrap/>
          </w:tcPr>
          <w:p w14:paraId="6DA45090" w14:textId="77777777" w:rsidR="00AB6753" w:rsidRPr="00F32D92" w:rsidRDefault="00AB6753" w:rsidP="002D1EA4">
            <w:pPr>
              <w:rPr>
                <w:rFonts w:cs="Arial"/>
                <w:sz w:val="20"/>
                <w:szCs w:val="20"/>
              </w:rPr>
            </w:pPr>
            <w:r w:rsidRPr="00F32D92">
              <w:rPr>
                <w:rFonts w:cs="Arial"/>
                <w:color w:val="000000"/>
                <w:sz w:val="20"/>
                <w:szCs w:val="20"/>
              </w:rPr>
              <w:t>24</w:t>
            </w:r>
          </w:p>
        </w:tc>
        <w:tc>
          <w:tcPr>
            <w:tcW w:w="896" w:type="dxa"/>
            <w:tcBorders>
              <w:left w:val="single" w:sz="4" w:space="0" w:color="auto"/>
            </w:tcBorders>
            <w:noWrap/>
          </w:tcPr>
          <w:p w14:paraId="53B38F29" w14:textId="77777777" w:rsidR="00AB6753" w:rsidRPr="00F32D92" w:rsidRDefault="00AB6753" w:rsidP="002D1EA4">
            <w:pPr>
              <w:rPr>
                <w:rFonts w:cs="Arial"/>
                <w:sz w:val="20"/>
                <w:szCs w:val="20"/>
              </w:rPr>
            </w:pPr>
            <w:r w:rsidRPr="00F32D92">
              <w:rPr>
                <w:rFonts w:cs="Arial"/>
                <w:sz w:val="20"/>
                <w:szCs w:val="20"/>
              </w:rPr>
              <w:t>-</w:t>
            </w:r>
          </w:p>
        </w:tc>
        <w:tc>
          <w:tcPr>
            <w:tcW w:w="650" w:type="dxa"/>
            <w:noWrap/>
          </w:tcPr>
          <w:p w14:paraId="2A87F2A2"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tcPr>
          <w:p w14:paraId="3C74096B"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4A9A1C2C" w14:textId="77777777" w:rsidR="00AB6753" w:rsidRPr="00F32D92" w:rsidRDefault="00AB6753" w:rsidP="002D1EA4">
            <w:pPr>
              <w:rPr>
                <w:rFonts w:cs="Arial"/>
                <w:sz w:val="20"/>
                <w:szCs w:val="20"/>
              </w:rPr>
            </w:pPr>
            <w:r w:rsidRPr="00F32D92">
              <w:rPr>
                <w:rFonts w:cs="Arial"/>
                <w:color w:val="000000"/>
                <w:sz w:val="20"/>
                <w:szCs w:val="20"/>
              </w:rPr>
              <w:t>28</w:t>
            </w:r>
          </w:p>
        </w:tc>
      </w:tr>
      <w:tr w:rsidR="00AB6753" w:rsidRPr="00F32D92" w14:paraId="14A24EBE" w14:textId="77777777" w:rsidTr="002D1EA4">
        <w:trPr>
          <w:trHeight w:val="315"/>
          <w:jc w:val="center"/>
        </w:trPr>
        <w:tc>
          <w:tcPr>
            <w:tcW w:w="1696" w:type="dxa"/>
            <w:tcBorders>
              <w:left w:val="single" w:sz="4" w:space="0" w:color="auto"/>
              <w:right w:val="single" w:sz="4" w:space="0" w:color="auto"/>
            </w:tcBorders>
            <w:vAlign w:val="bottom"/>
          </w:tcPr>
          <w:p w14:paraId="109D659D" w14:textId="77777777" w:rsidR="00AB6753" w:rsidRPr="00F32D92" w:rsidRDefault="00AB6753" w:rsidP="002D1EA4">
            <w:pPr>
              <w:rPr>
                <w:rFonts w:cs="Arial"/>
                <w:sz w:val="20"/>
                <w:szCs w:val="20"/>
              </w:rPr>
            </w:pPr>
            <w:r w:rsidRPr="00F32D92">
              <w:rPr>
                <w:rFonts w:cs="Arial"/>
                <w:sz w:val="20"/>
                <w:szCs w:val="20"/>
              </w:rPr>
              <w:t>Public Affairs Officer Grade 2</w:t>
            </w:r>
          </w:p>
        </w:tc>
        <w:tc>
          <w:tcPr>
            <w:tcW w:w="896" w:type="dxa"/>
            <w:tcBorders>
              <w:left w:val="single" w:sz="4" w:space="0" w:color="auto"/>
            </w:tcBorders>
            <w:noWrap/>
          </w:tcPr>
          <w:p w14:paraId="014FF2EF" w14:textId="77777777" w:rsidR="00AB6753" w:rsidRPr="00F32D92" w:rsidRDefault="00AB6753" w:rsidP="002D1EA4">
            <w:pPr>
              <w:rPr>
                <w:rFonts w:cs="Arial"/>
                <w:sz w:val="20"/>
                <w:szCs w:val="20"/>
              </w:rPr>
            </w:pPr>
            <w:r w:rsidRPr="00F32D92">
              <w:rPr>
                <w:rFonts w:cs="Arial"/>
                <w:color w:val="000000"/>
                <w:sz w:val="20"/>
                <w:szCs w:val="20"/>
              </w:rPr>
              <w:t>2</w:t>
            </w:r>
          </w:p>
        </w:tc>
        <w:tc>
          <w:tcPr>
            <w:tcW w:w="668" w:type="dxa"/>
            <w:noWrap/>
          </w:tcPr>
          <w:p w14:paraId="73276575"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tcPr>
          <w:p w14:paraId="496C20E8" w14:textId="77777777" w:rsidR="00AB6753" w:rsidRPr="00F32D92" w:rsidRDefault="00AB6753" w:rsidP="002D1EA4">
            <w:pPr>
              <w:rPr>
                <w:rFonts w:cs="Arial"/>
                <w:sz w:val="20"/>
                <w:szCs w:val="20"/>
              </w:rPr>
            </w:pPr>
            <w:r w:rsidRPr="00F32D92">
              <w:rPr>
                <w:rFonts w:cs="Arial"/>
                <w:color w:val="000000"/>
                <w:sz w:val="20"/>
                <w:szCs w:val="20"/>
              </w:rPr>
              <w:t>2</w:t>
            </w:r>
          </w:p>
        </w:tc>
        <w:tc>
          <w:tcPr>
            <w:tcW w:w="896" w:type="dxa"/>
            <w:tcBorders>
              <w:left w:val="single" w:sz="4" w:space="0" w:color="auto"/>
            </w:tcBorders>
            <w:noWrap/>
          </w:tcPr>
          <w:p w14:paraId="54373CC5" w14:textId="77777777" w:rsidR="00AB6753" w:rsidRPr="00F32D92" w:rsidRDefault="00AB6753" w:rsidP="002D1EA4">
            <w:pPr>
              <w:rPr>
                <w:rFonts w:cs="Arial"/>
                <w:sz w:val="20"/>
                <w:szCs w:val="20"/>
              </w:rPr>
            </w:pPr>
            <w:r w:rsidRPr="00F32D92">
              <w:rPr>
                <w:rFonts w:cs="Arial"/>
                <w:color w:val="000000"/>
                <w:sz w:val="20"/>
                <w:szCs w:val="20"/>
              </w:rPr>
              <w:t>9</w:t>
            </w:r>
          </w:p>
        </w:tc>
        <w:tc>
          <w:tcPr>
            <w:tcW w:w="650" w:type="dxa"/>
            <w:noWrap/>
          </w:tcPr>
          <w:p w14:paraId="66233F42" w14:textId="77777777" w:rsidR="00AB6753" w:rsidRPr="00F32D92" w:rsidRDefault="00AB6753" w:rsidP="002D1EA4">
            <w:pPr>
              <w:rPr>
                <w:rFonts w:cs="Arial"/>
                <w:sz w:val="20"/>
                <w:szCs w:val="20"/>
              </w:rPr>
            </w:pPr>
            <w:r w:rsidRPr="00F32D92">
              <w:rPr>
                <w:rFonts w:cs="Arial"/>
                <w:color w:val="000000"/>
                <w:sz w:val="20"/>
                <w:szCs w:val="20"/>
              </w:rPr>
              <w:t>5</w:t>
            </w:r>
          </w:p>
        </w:tc>
        <w:tc>
          <w:tcPr>
            <w:tcW w:w="883" w:type="dxa"/>
            <w:tcBorders>
              <w:right w:val="single" w:sz="4" w:space="0" w:color="auto"/>
            </w:tcBorders>
            <w:noWrap/>
          </w:tcPr>
          <w:p w14:paraId="713EC42E" w14:textId="77777777" w:rsidR="00AB6753" w:rsidRPr="00F32D92" w:rsidRDefault="00AB6753" w:rsidP="002D1EA4">
            <w:pPr>
              <w:rPr>
                <w:rFonts w:cs="Arial"/>
                <w:sz w:val="20"/>
                <w:szCs w:val="20"/>
              </w:rPr>
            </w:pPr>
            <w:r w:rsidRPr="00F32D92">
              <w:rPr>
                <w:rFonts w:cs="Arial"/>
                <w:color w:val="000000"/>
                <w:sz w:val="20"/>
                <w:szCs w:val="20"/>
              </w:rPr>
              <w:t>14</w:t>
            </w:r>
          </w:p>
        </w:tc>
        <w:tc>
          <w:tcPr>
            <w:tcW w:w="896" w:type="dxa"/>
            <w:tcBorders>
              <w:left w:val="single" w:sz="4" w:space="0" w:color="auto"/>
            </w:tcBorders>
            <w:noWrap/>
          </w:tcPr>
          <w:p w14:paraId="0FF9068F" w14:textId="77777777" w:rsidR="00AB6753" w:rsidRPr="00F32D92" w:rsidRDefault="00AB6753" w:rsidP="002D1EA4">
            <w:pPr>
              <w:rPr>
                <w:rFonts w:cs="Arial"/>
                <w:sz w:val="20"/>
                <w:szCs w:val="20"/>
              </w:rPr>
            </w:pPr>
            <w:r w:rsidRPr="00F32D92">
              <w:rPr>
                <w:rFonts w:cs="Arial"/>
                <w:sz w:val="20"/>
                <w:szCs w:val="20"/>
              </w:rPr>
              <w:t>-</w:t>
            </w:r>
          </w:p>
        </w:tc>
        <w:tc>
          <w:tcPr>
            <w:tcW w:w="650" w:type="dxa"/>
            <w:noWrap/>
          </w:tcPr>
          <w:p w14:paraId="5F7D5A83"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tcPr>
          <w:p w14:paraId="67064721"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76E39A45" w14:textId="77777777" w:rsidR="00AB6753" w:rsidRPr="00F32D92" w:rsidRDefault="00AB6753" w:rsidP="002D1EA4">
            <w:pPr>
              <w:rPr>
                <w:rFonts w:cs="Arial"/>
                <w:sz w:val="20"/>
                <w:szCs w:val="20"/>
              </w:rPr>
            </w:pPr>
            <w:r w:rsidRPr="00F32D92">
              <w:rPr>
                <w:rFonts w:cs="Arial"/>
                <w:color w:val="000000"/>
                <w:sz w:val="20"/>
                <w:szCs w:val="20"/>
              </w:rPr>
              <w:t>16</w:t>
            </w:r>
          </w:p>
        </w:tc>
      </w:tr>
      <w:tr w:rsidR="00AB6753" w:rsidRPr="00F32D92" w14:paraId="35CE8F9F" w14:textId="77777777" w:rsidTr="002D1EA4">
        <w:trPr>
          <w:trHeight w:val="315"/>
          <w:jc w:val="center"/>
        </w:trPr>
        <w:tc>
          <w:tcPr>
            <w:tcW w:w="1696" w:type="dxa"/>
            <w:tcBorders>
              <w:left w:val="single" w:sz="4" w:space="0" w:color="auto"/>
              <w:right w:val="single" w:sz="4" w:space="0" w:color="auto"/>
            </w:tcBorders>
            <w:vAlign w:val="bottom"/>
          </w:tcPr>
          <w:p w14:paraId="31B3844C" w14:textId="77777777" w:rsidR="00AB6753" w:rsidRPr="00F32D92" w:rsidRDefault="00AB6753" w:rsidP="002D1EA4">
            <w:pPr>
              <w:rPr>
                <w:rFonts w:cs="Arial"/>
                <w:sz w:val="20"/>
                <w:szCs w:val="20"/>
              </w:rPr>
            </w:pPr>
            <w:r w:rsidRPr="00F32D92">
              <w:rPr>
                <w:rFonts w:cs="Arial"/>
                <w:sz w:val="20"/>
                <w:szCs w:val="20"/>
              </w:rPr>
              <w:t>Public Affairs Officer Grade 1</w:t>
            </w:r>
          </w:p>
        </w:tc>
        <w:tc>
          <w:tcPr>
            <w:tcW w:w="896" w:type="dxa"/>
            <w:tcBorders>
              <w:left w:val="single" w:sz="4" w:space="0" w:color="auto"/>
            </w:tcBorders>
            <w:noWrap/>
          </w:tcPr>
          <w:p w14:paraId="4EE73711" w14:textId="77777777" w:rsidR="00AB6753" w:rsidRPr="00F32D92" w:rsidRDefault="00AB6753" w:rsidP="002D1EA4">
            <w:pPr>
              <w:rPr>
                <w:rFonts w:cs="Arial"/>
                <w:sz w:val="20"/>
                <w:szCs w:val="20"/>
              </w:rPr>
            </w:pPr>
            <w:r w:rsidRPr="00F32D92">
              <w:rPr>
                <w:rFonts w:cs="Arial"/>
                <w:sz w:val="20"/>
                <w:szCs w:val="20"/>
              </w:rPr>
              <w:t>0</w:t>
            </w:r>
          </w:p>
        </w:tc>
        <w:tc>
          <w:tcPr>
            <w:tcW w:w="668" w:type="dxa"/>
            <w:noWrap/>
          </w:tcPr>
          <w:p w14:paraId="173870C1"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tcPr>
          <w:p w14:paraId="6B4A4CF7"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tcPr>
          <w:p w14:paraId="1C778A0E" w14:textId="77777777" w:rsidR="00AB6753" w:rsidRPr="00F32D92" w:rsidRDefault="00AB6753" w:rsidP="002D1EA4">
            <w:pPr>
              <w:rPr>
                <w:rFonts w:cs="Arial"/>
                <w:sz w:val="20"/>
                <w:szCs w:val="20"/>
              </w:rPr>
            </w:pPr>
            <w:r w:rsidRPr="00F32D92">
              <w:rPr>
                <w:rFonts w:cs="Arial"/>
                <w:sz w:val="20"/>
                <w:szCs w:val="20"/>
              </w:rPr>
              <w:t>0</w:t>
            </w:r>
          </w:p>
        </w:tc>
        <w:tc>
          <w:tcPr>
            <w:tcW w:w="650" w:type="dxa"/>
            <w:noWrap/>
          </w:tcPr>
          <w:p w14:paraId="30F80B56"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tcPr>
          <w:p w14:paraId="36D7AA53"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tcPr>
          <w:p w14:paraId="0AAE01F4" w14:textId="77777777" w:rsidR="00AB6753" w:rsidRPr="00F32D92" w:rsidRDefault="00AB6753" w:rsidP="002D1EA4">
            <w:pPr>
              <w:rPr>
                <w:rFonts w:cs="Arial"/>
                <w:sz w:val="20"/>
                <w:szCs w:val="20"/>
              </w:rPr>
            </w:pPr>
            <w:r w:rsidRPr="00F32D92">
              <w:rPr>
                <w:rFonts w:cs="Arial"/>
                <w:sz w:val="20"/>
                <w:szCs w:val="20"/>
              </w:rPr>
              <w:t>-</w:t>
            </w:r>
          </w:p>
        </w:tc>
        <w:tc>
          <w:tcPr>
            <w:tcW w:w="650" w:type="dxa"/>
            <w:noWrap/>
          </w:tcPr>
          <w:p w14:paraId="508DB246"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tcPr>
          <w:p w14:paraId="66FD0FF4"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1559EC65" w14:textId="77777777" w:rsidR="00AB6753" w:rsidRPr="00F32D92" w:rsidRDefault="00AB6753" w:rsidP="002D1EA4">
            <w:pPr>
              <w:rPr>
                <w:rFonts w:cs="Arial"/>
                <w:sz w:val="20"/>
                <w:szCs w:val="20"/>
              </w:rPr>
            </w:pPr>
            <w:r w:rsidRPr="00F32D92">
              <w:rPr>
                <w:rFonts w:cs="Arial"/>
                <w:color w:val="000000"/>
                <w:sz w:val="20"/>
                <w:szCs w:val="20"/>
              </w:rPr>
              <w:t>0</w:t>
            </w:r>
          </w:p>
        </w:tc>
      </w:tr>
      <w:tr w:rsidR="00AB6753" w:rsidRPr="00F32D92" w14:paraId="2F53E179" w14:textId="77777777" w:rsidTr="002D1EA4">
        <w:trPr>
          <w:trHeight w:val="315"/>
          <w:jc w:val="center"/>
        </w:trPr>
        <w:tc>
          <w:tcPr>
            <w:tcW w:w="1696" w:type="dxa"/>
            <w:tcBorders>
              <w:left w:val="single" w:sz="4" w:space="0" w:color="auto"/>
              <w:right w:val="single" w:sz="4" w:space="0" w:color="auto"/>
            </w:tcBorders>
            <w:vAlign w:val="bottom"/>
          </w:tcPr>
          <w:p w14:paraId="506891B0" w14:textId="77777777" w:rsidR="00AB6753" w:rsidRPr="00F32D92" w:rsidRDefault="00AB6753" w:rsidP="002D1EA4">
            <w:pPr>
              <w:rPr>
                <w:rFonts w:cs="Arial"/>
                <w:sz w:val="20"/>
                <w:szCs w:val="20"/>
              </w:rPr>
            </w:pPr>
            <w:r w:rsidRPr="00F32D92">
              <w:rPr>
                <w:rFonts w:cs="Arial"/>
                <w:sz w:val="20"/>
                <w:szCs w:val="20"/>
              </w:rPr>
              <w:t>Principal Legal Officer</w:t>
            </w:r>
          </w:p>
        </w:tc>
        <w:tc>
          <w:tcPr>
            <w:tcW w:w="896" w:type="dxa"/>
            <w:tcBorders>
              <w:left w:val="single" w:sz="4" w:space="0" w:color="auto"/>
            </w:tcBorders>
            <w:noWrap/>
          </w:tcPr>
          <w:p w14:paraId="56A9FF5A" w14:textId="77777777" w:rsidR="00AB6753" w:rsidRPr="00F32D92" w:rsidRDefault="00AB6753" w:rsidP="002D1EA4">
            <w:pPr>
              <w:rPr>
                <w:rFonts w:cs="Arial"/>
                <w:sz w:val="20"/>
                <w:szCs w:val="20"/>
              </w:rPr>
            </w:pPr>
            <w:r w:rsidRPr="00F32D92">
              <w:rPr>
                <w:rFonts w:cs="Arial"/>
                <w:color w:val="000000"/>
                <w:sz w:val="20"/>
                <w:szCs w:val="20"/>
              </w:rPr>
              <w:t>2</w:t>
            </w:r>
          </w:p>
        </w:tc>
        <w:tc>
          <w:tcPr>
            <w:tcW w:w="668" w:type="dxa"/>
            <w:noWrap/>
          </w:tcPr>
          <w:p w14:paraId="52B6078C"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tcPr>
          <w:p w14:paraId="2C4C5642" w14:textId="77777777" w:rsidR="00AB6753" w:rsidRPr="00F32D92" w:rsidRDefault="00AB6753" w:rsidP="002D1EA4">
            <w:pPr>
              <w:rPr>
                <w:rFonts w:cs="Arial"/>
                <w:sz w:val="20"/>
                <w:szCs w:val="20"/>
              </w:rPr>
            </w:pPr>
            <w:r w:rsidRPr="00F32D92">
              <w:rPr>
                <w:rFonts w:cs="Arial"/>
                <w:color w:val="000000"/>
                <w:sz w:val="20"/>
                <w:szCs w:val="20"/>
              </w:rPr>
              <w:t>2</w:t>
            </w:r>
          </w:p>
        </w:tc>
        <w:tc>
          <w:tcPr>
            <w:tcW w:w="896" w:type="dxa"/>
            <w:tcBorders>
              <w:left w:val="single" w:sz="4" w:space="0" w:color="auto"/>
            </w:tcBorders>
            <w:noWrap/>
          </w:tcPr>
          <w:p w14:paraId="0795F7FF" w14:textId="77777777" w:rsidR="00AB6753" w:rsidRPr="00F32D92" w:rsidRDefault="00AB6753" w:rsidP="002D1EA4">
            <w:pPr>
              <w:rPr>
                <w:rFonts w:cs="Arial"/>
                <w:sz w:val="20"/>
                <w:szCs w:val="20"/>
              </w:rPr>
            </w:pPr>
            <w:r w:rsidRPr="00F32D92">
              <w:rPr>
                <w:rFonts w:cs="Arial"/>
                <w:color w:val="000000"/>
                <w:sz w:val="20"/>
                <w:szCs w:val="20"/>
              </w:rPr>
              <w:t>5</w:t>
            </w:r>
          </w:p>
        </w:tc>
        <w:tc>
          <w:tcPr>
            <w:tcW w:w="650" w:type="dxa"/>
            <w:noWrap/>
          </w:tcPr>
          <w:p w14:paraId="1F57B932" w14:textId="77777777" w:rsidR="00AB6753" w:rsidRPr="00F32D92" w:rsidRDefault="00AB6753" w:rsidP="002D1EA4">
            <w:pPr>
              <w:rPr>
                <w:rFonts w:cs="Arial"/>
                <w:sz w:val="20"/>
                <w:szCs w:val="20"/>
              </w:rPr>
            </w:pPr>
            <w:r w:rsidRPr="00F32D92">
              <w:rPr>
                <w:rFonts w:cs="Arial"/>
                <w:color w:val="000000"/>
                <w:sz w:val="20"/>
                <w:szCs w:val="20"/>
              </w:rPr>
              <w:t>3</w:t>
            </w:r>
          </w:p>
        </w:tc>
        <w:tc>
          <w:tcPr>
            <w:tcW w:w="883" w:type="dxa"/>
            <w:tcBorders>
              <w:right w:val="single" w:sz="4" w:space="0" w:color="auto"/>
            </w:tcBorders>
            <w:noWrap/>
          </w:tcPr>
          <w:p w14:paraId="0368788D" w14:textId="77777777" w:rsidR="00AB6753" w:rsidRPr="00F32D92" w:rsidRDefault="00AB6753" w:rsidP="002D1EA4">
            <w:pPr>
              <w:rPr>
                <w:rFonts w:cs="Arial"/>
                <w:sz w:val="20"/>
                <w:szCs w:val="20"/>
              </w:rPr>
            </w:pPr>
            <w:r w:rsidRPr="00F32D92">
              <w:rPr>
                <w:rFonts w:cs="Arial"/>
                <w:color w:val="000000"/>
                <w:sz w:val="20"/>
                <w:szCs w:val="20"/>
              </w:rPr>
              <w:t>8</w:t>
            </w:r>
          </w:p>
        </w:tc>
        <w:tc>
          <w:tcPr>
            <w:tcW w:w="896" w:type="dxa"/>
            <w:tcBorders>
              <w:left w:val="single" w:sz="4" w:space="0" w:color="auto"/>
            </w:tcBorders>
            <w:noWrap/>
          </w:tcPr>
          <w:p w14:paraId="59E57457" w14:textId="77777777" w:rsidR="00AB6753" w:rsidRPr="00F32D92" w:rsidRDefault="00AB6753" w:rsidP="002D1EA4">
            <w:pPr>
              <w:rPr>
                <w:rFonts w:cs="Arial"/>
                <w:sz w:val="20"/>
                <w:szCs w:val="20"/>
              </w:rPr>
            </w:pPr>
            <w:r w:rsidRPr="00F32D92">
              <w:rPr>
                <w:rFonts w:cs="Arial"/>
                <w:sz w:val="20"/>
                <w:szCs w:val="20"/>
              </w:rPr>
              <w:t>-</w:t>
            </w:r>
          </w:p>
        </w:tc>
        <w:tc>
          <w:tcPr>
            <w:tcW w:w="650" w:type="dxa"/>
            <w:noWrap/>
          </w:tcPr>
          <w:p w14:paraId="52AD1382"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tcPr>
          <w:p w14:paraId="54D23D43"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208527C8" w14:textId="77777777" w:rsidR="00AB6753" w:rsidRPr="00F32D92" w:rsidRDefault="00AB6753" w:rsidP="002D1EA4">
            <w:pPr>
              <w:rPr>
                <w:rFonts w:cs="Arial"/>
                <w:sz w:val="20"/>
                <w:szCs w:val="20"/>
              </w:rPr>
            </w:pPr>
            <w:r w:rsidRPr="00F32D92">
              <w:rPr>
                <w:rFonts w:cs="Arial"/>
                <w:color w:val="000000"/>
                <w:sz w:val="20"/>
                <w:szCs w:val="20"/>
              </w:rPr>
              <w:t>10</w:t>
            </w:r>
          </w:p>
        </w:tc>
      </w:tr>
      <w:tr w:rsidR="00AB6753" w:rsidRPr="00F32D92" w14:paraId="3B523A54" w14:textId="77777777" w:rsidTr="002D1EA4">
        <w:trPr>
          <w:trHeight w:val="315"/>
          <w:jc w:val="center"/>
        </w:trPr>
        <w:tc>
          <w:tcPr>
            <w:tcW w:w="1696" w:type="dxa"/>
            <w:tcBorders>
              <w:left w:val="single" w:sz="4" w:space="0" w:color="auto"/>
              <w:right w:val="single" w:sz="4" w:space="0" w:color="auto"/>
            </w:tcBorders>
            <w:vAlign w:val="bottom"/>
          </w:tcPr>
          <w:p w14:paraId="3FFDB32D" w14:textId="77777777" w:rsidR="00AB6753" w:rsidRPr="00F32D92" w:rsidRDefault="00AB6753" w:rsidP="002D1EA4">
            <w:pPr>
              <w:rPr>
                <w:rFonts w:cs="Arial"/>
                <w:sz w:val="20"/>
                <w:szCs w:val="20"/>
              </w:rPr>
            </w:pPr>
            <w:r w:rsidRPr="00F32D92">
              <w:rPr>
                <w:rFonts w:cs="Arial"/>
                <w:sz w:val="20"/>
                <w:szCs w:val="20"/>
              </w:rPr>
              <w:t>Senior Legal Officer</w:t>
            </w:r>
          </w:p>
        </w:tc>
        <w:tc>
          <w:tcPr>
            <w:tcW w:w="896" w:type="dxa"/>
            <w:tcBorders>
              <w:left w:val="single" w:sz="4" w:space="0" w:color="auto"/>
            </w:tcBorders>
            <w:noWrap/>
          </w:tcPr>
          <w:p w14:paraId="02CFA57C" w14:textId="77777777" w:rsidR="00AB6753" w:rsidRPr="00F32D92" w:rsidRDefault="00AB6753" w:rsidP="002D1EA4">
            <w:pPr>
              <w:rPr>
                <w:rFonts w:cs="Arial"/>
                <w:sz w:val="20"/>
                <w:szCs w:val="20"/>
              </w:rPr>
            </w:pPr>
            <w:r w:rsidRPr="00F32D92">
              <w:rPr>
                <w:rFonts w:cs="Arial"/>
                <w:sz w:val="20"/>
                <w:szCs w:val="20"/>
              </w:rPr>
              <w:t>0</w:t>
            </w:r>
          </w:p>
        </w:tc>
        <w:tc>
          <w:tcPr>
            <w:tcW w:w="668" w:type="dxa"/>
            <w:noWrap/>
          </w:tcPr>
          <w:p w14:paraId="730C3B3E" w14:textId="77777777" w:rsidR="00AB6753" w:rsidRPr="00F32D92" w:rsidRDefault="00AB6753" w:rsidP="002D1EA4">
            <w:pPr>
              <w:rPr>
                <w:rFonts w:cs="Arial"/>
                <w:sz w:val="20"/>
                <w:szCs w:val="20"/>
              </w:rPr>
            </w:pPr>
            <w:r w:rsidRPr="00F32D92">
              <w:rPr>
                <w:rFonts w:cs="Arial"/>
                <w:color w:val="000000"/>
                <w:sz w:val="20"/>
                <w:szCs w:val="20"/>
              </w:rPr>
              <w:t>1</w:t>
            </w:r>
          </w:p>
        </w:tc>
        <w:tc>
          <w:tcPr>
            <w:tcW w:w="709" w:type="dxa"/>
            <w:tcBorders>
              <w:right w:val="single" w:sz="4" w:space="0" w:color="auto"/>
            </w:tcBorders>
            <w:noWrap/>
          </w:tcPr>
          <w:p w14:paraId="3749B861" w14:textId="77777777" w:rsidR="00AB6753" w:rsidRPr="00F32D92" w:rsidRDefault="00AB6753" w:rsidP="002D1EA4">
            <w:pPr>
              <w:rPr>
                <w:rFonts w:cs="Arial"/>
                <w:sz w:val="20"/>
                <w:szCs w:val="20"/>
              </w:rPr>
            </w:pPr>
            <w:r w:rsidRPr="00F32D92">
              <w:rPr>
                <w:rFonts w:cs="Arial"/>
                <w:color w:val="000000"/>
                <w:sz w:val="20"/>
                <w:szCs w:val="20"/>
              </w:rPr>
              <w:t>1</w:t>
            </w:r>
          </w:p>
        </w:tc>
        <w:tc>
          <w:tcPr>
            <w:tcW w:w="896" w:type="dxa"/>
            <w:tcBorders>
              <w:left w:val="single" w:sz="4" w:space="0" w:color="auto"/>
            </w:tcBorders>
            <w:noWrap/>
          </w:tcPr>
          <w:p w14:paraId="22333F93" w14:textId="77777777" w:rsidR="00AB6753" w:rsidRPr="00F32D92" w:rsidRDefault="00AB6753" w:rsidP="002D1EA4">
            <w:pPr>
              <w:rPr>
                <w:rFonts w:cs="Arial"/>
                <w:sz w:val="20"/>
                <w:szCs w:val="20"/>
              </w:rPr>
            </w:pPr>
            <w:r w:rsidRPr="00F32D92">
              <w:rPr>
                <w:rFonts w:cs="Arial"/>
                <w:color w:val="000000"/>
                <w:sz w:val="20"/>
                <w:szCs w:val="20"/>
              </w:rPr>
              <w:t>7</w:t>
            </w:r>
          </w:p>
        </w:tc>
        <w:tc>
          <w:tcPr>
            <w:tcW w:w="650" w:type="dxa"/>
            <w:noWrap/>
          </w:tcPr>
          <w:p w14:paraId="231AB82E" w14:textId="77777777" w:rsidR="00AB6753" w:rsidRPr="00F32D92" w:rsidRDefault="00AB6753" w:rsidP="002D1EA4">
            <w:pPr>
              <w:rPr>
                <w:rFonts w:cs="Arial"/>
                <w:sz w:val="20"/>
                <w:szCs w:val="20"/>
              </w:rPr>
            </w:pPr>
            <w:r w:rsidRPr="00F32D92">
              <w:rPr>
                <w:rFonts w:cs="Arial"/>
                <w:color w:val="000000"/>
                <w:sz w:val="20"/>
                <w:szCs w:val="20"/>
              </w:rPr>
              <w:t>2</w:t>
            </w:r>
          </w:p>
        </w:tc>
        <w:tc>
          <w:tcPr>
            <w:tcW w:w="883" w:type="dxa"/>
            <w:tcBorders>
              <w:right w:val="single" w:sz="4" w:space="0" w:color="auto"/>
            </w:tcBorders>
            <w:noWrap/>
          </w:tcPr>
          <w:p w14:paraId="53188504" w14:textId="77777777" w:rsidR="00AB6753" w:rsidRPr="00F32D92" w:rsidRDefault="00AB6753" w:rsidP="002D1EA4">
            <w:pPr>
              <w:rPr>
                <w:rFonts w:cs="Arial"/>
                <w:sz w:val="20"/>
                <w:szCs w:val="20"/>
              </w:rPr>
            </w:pPr>
            <w:r w:rsidRPr="00F32D92">
              <w:rPr>
                <w:rFonts w:cs="Arial"/>
                <w:color w:val="000000"/>
                <w:sz w:val="20"/>
                <w:szCs w:val="20"/>
              </w:rPr>
              <w:t>9</w:t>
            </w:r>
          </w:p>
        </w:tc>
        <w:tc>
          <w:tcPr>
            <w:tcW w:w="896" w:type="dxa"/>
            <w:tcBorders>
              <w:left w:val="single" w:sz="4" w:space="0" w:color="auto"/>
            </w:tcBorders>
            <w:noWrap/>
          </w:tcPr>
          <w:p w14:paraId="6EB3CF27" w14:textId="77777777" w:rsidR="00AB6753" w:rsidRPr="00F32D92" w:rsidRDefault="00AB6753" w:rsidP="002D1EA4">
            <w:pPr>
              <w:rPr>
                <w:rFonts w:cs="Arial"/>
                <w:sz w:val="20"/>
                <w:szCs w:val="20"/>
              </w:rPr>
            </w:pPr>
            <w:r w:rsidRPr="00F32D92">
              <w:rPr>
                <w:rFonts w:cs="Arial"/>
                <w:sz w:val="20"/>
                <w:szCs w:val="20"/>
              </w:rPr>
              <w:t>-</w:t>
            </w:r>
          </w:p>
        </w:tc>
        <w:tc>
          <w:tcPr>
            <w:tcW w:w="650" w:type="dxa"/>
            <w:noWrap/>
          </w:tcPr>
          <w:p w14:paraId="031F102B"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tcPr>
          <w:p w14:paraId="59BC04FB"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1D17F657" w14:textId="77777777" w:rsidR="00AB6753" w:rsidRPr="00F32D92" w:rsidRDefault="00AB6753" w:rsidP="002D1EA4">
            <w:pPr>
              <w:rPr>
                <w:rFonts w:cs="Arial"/>
                <w:sz w:val="20"/>
                <w:szCs w:val="20"/>
              </w:rPr>
            </w:pPr>
            <w:r w:rsidRPr="00F32D92">
              <w:rPr>
                <w:rFonts w:cs="Arial"/>
                <w:color w:val="000000"/>
                <w:sz w:val="20"/>
                <w:szCs w:val="20"/>
              </w:rPr>
              <w:t>10</w:t>
            </w:r>
          </w:p>
        </w:tc>
      </w:tr>
      <w:tr w:rsidR="00AB6753" w:rsidRPr="00F32D92" w14:paraId="7AAA3699" w14:textId="77777777" w:rsidTr="002D1EA4">
        <w:trPr>
          <w:trHeight w:val="315"/>
          <w:jc w:val="center"/>
        </w:trPr>
        <w:tc>
          <w:tcPr>
            <w:tcW w:w="1696" w:type="dxa"/>
            <w:tcBorders>
              <w:left w:val="single" w:sz="4" w:space="0" w:color="auto"/>
              <w:right w:val="single" w:sz="4" w:space="0" w:color="auto"/>
            </w:tcBorders>
            <w:vAlign w:val="bottom"/>
          </w:tcPr>
          <w:p w14:paraId="5C94705F" w14:textId="77777777" w:rsidR="00AB6753" w:rsidRPr="00F32D92" w:rsidRDefault="00AB6753" w:rsidP="002D1EA4">
            <w:pPr>
              <w:rPr>
                <w:rFonts w:cs="Arial"/>
                <w:sz w:val="20"/>
                <w:szCs w:val="20"/>
              </w:rPr>
            </w:pPr>
            <w:r w:rsidRPr="00F32D92">
              <w:rPr>
                <w:rFonts w:cs="Arial"/>
                <w:sz w:val="20"/>
                <w:szCs w:val="20"/>
              </w:rPr>
              <w:t>Legal Officer</w:t>
            </w:r>
          </w:p>
        </w:tc>
        <w:tc>
          <w:tcPr>
            <w:tcW w:w="896" w:type="dxa"/>
            <w:tcBorders>
              <w:left w:val="single" w:sz="4" w:space="0" w:color="auto"/>
            </w:tcBorders>
            <w:noWrap/>
          </w:tcPr>
          <w:p w14:paraId="45A7CDC5" w14:textId="77777777" w:rsidR="00AB6753" w:rsidRPr="00F32D92" w:rsidRDefault="00AB6753" w:rsidP="002D1EA4">
            <w:pPr>
              <w:rPr>
                <w:rFonts w:cs="Arial"/>
                <w:sz w:val="20"/>
                <w:szCs w:val="20"/>
              </w:rPr>
            </w:pPr>
            <w:r w:rsidRPr="00F32D92">
              <w:rPr>
                <w:rFonts w:cs="Arial"/>
                <w:color w:val="000000"/>
                <w:sz w:val="20"/>
                <w:szCs w:val="20"/>
              </w:rPr>
              <w:t>2</w:t>
            </w:r>
          </w:p>
        </w:tc>
        <w:tc>
          <w:tcPr>
            <w:tcW w:w="668" w:type="dxa"/>
            <w:noWrap/>
          </w:tcPr>
          <w:p w14:paraId="518DCF90"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tcPr>
          <w:p w14:paraId="4860AEB7" w14:textId="77777777" w:rsidR="00AB6753" w:rsidRPr="00F32D92" w:rsidRDefault="00AB6753" w:rsidP="002D1EA4">
            <w:pPr>
              <w:rPr>
                <w:rFonts w:cs="Arial"/>
                <w:sz w:val="20"/>
                <w:szCs w:val="20"/>
              </w:rPr>
            </w:pPr>
            <w:r w:rsidRPr="00F32D92">
              <w:rPr>
                <w:rFonts w:cs="Arial"/>
                <w:color w:val="000000"/>
                <w:sz w:val="20"/>
                <w:szCs w:val="20"/>
              </w:rPr>
              <w:t>2</w:t>
            </w:r>
          </w:p>
        </w:tc>
        <w:tc>
          <w:tcPr>
            <w:tcW w:w="896" w:type="dxa"/>
            <w:tcBorders>
              <w:left w:val="single" w:sz="4" w:space="0" w:color="auto"/>
            </w:tcBorders>
            <w:noWrap/>
          </w:tcPr>
          <w:p w14:paraId="401B6F6F" w14:textId="77777777" w:rsidR="00AB6753" w:rsidRPr="00F32D92" w:rsidRDefault="00AB6753" w:rsidP="002D1EA4">
            <w:pPr>
              <w:rPr>
                <w:rFonts w:cs="Arial"/>
                <w:sz w:val="20"/>
                <w:szCs w:val="20"/>
              </w:rPr>
            </w:pPr>
            <w:r w:rsidRPr="00F32D92">
              <w:rPr>
                <w:rFonts w:cs="Arial"/>
                <w:color w:val="000000"/>
                <w:sz w:val="20"/>
                <w:szCs w:val="20"/>
              </w:rPr>
              <w:t>7</w:t>
            </w:r>
          </w:p>
        </w:tc>
        <w:tc>
          <w:tcPr>
            <w:tcW w:w="650" w:type="dxa"/>
            <w:noWrap/>
          </w:tcPr>
          <w:p w14:paraId="778EBDB4" w14:textId="77777777" w:rsidR="00AB6753" w:rsidRPr="00F32D92" w:rsidRDefault="00AB6753" w:rsidP="002D1EA4">
            <w:pPr>
              <w:rPr>
                <w:rFonts w:cs="Arial"/>
                <w:sz w:val="20"/>
                <w:szCs w:val="20"/>
              </w:rPr>
            </w:pPr>
            <w:r w:rsidRPr="00F32D92">
              <w:rPr>
                <w:rFonts w:cs="Arial"/>
                <w:color w:val="000000"/>
                <w:sz w:val="20"/>
                <w:szCs w:val="20"/>
              </w:rPr>
              <w:t>1</w:t>
            </w:r>
          </w:p>
        </w:tc>
        <w:tc>
          <w:tcPr>
            <w:tcW w:w="883" w:type="dxa"/>
            <w:tcBorders>
              <w:right w:val="single" w:sz="4" w:space="0" w:color="auto"/>
            </w:tcBorders>
            <w:noWrap/>
          </w:tcPr>
          <w:p w14:paraId="3A108E10" w14:textId="77777777" w:rsidR="00AB6753" w:rsidRPr="00F32D92" w:rsidRDefault="00AB6753" w:rsidP="002D1EA4">
            <w:pPr>
              <w:rPr>
                <w:rFonts w:cs="Arial"/>
                <w:sz w:val="20"/>
                <w:szCs w:val="20"/>
              </w:rPr>
            </w:pPr>
            <w:r w:rsidRPr="00F32D92">
              <w:rPr>
                <w:rFonts w:cs="Arial"/>
                <w:color w:val="000000"/>
                <w:sz w:val="20"/>
                <w:szCs w:val="20"/>
              </w:rPr>
              <w:t>8</w:t>
            </w:r>
          </w:p>
        </w:tc>
        <w:tc>
          <w:tcPr>
            <w:tcW w:w="896" w:type="dxa"/>
            <w:tcBorders>
              <w:left w:val="single" w:sz="4" w:space="0" w:color="auto"/>
            </w:tcBorders>
            <w:noWrap/>
          </w:tcPr>
          <w:p w14:paraId="2826D667" w14:textId="77777777" w:rsidR="00AB6753" w:rsidRPr="00F32D92" w:rsidRDefault="00AB6753" w:rsidP="002D1EA4">
            <w:pPr>
              <w:rPr>
                <w:rFonts w:cs="Arial"/>
                <w:sz w:val="20"/>
                <w:szCs w:val="20"/>
              </w:rPr>
            </w:pPr>
            <w:r w:rsidRPr="00F32D92">
              <w:rPr>
                <w:rFonts w:cs="Arial"/>
                <w:sz w:val="20"/>
                <w:szCs w:val="20"/>
              </w:rPr>
              <w:t>-</w:t>
            </w:r>
          </w:p>
        </w:tc>
        <w:tc>
          <w:tcPr>
            <w:tcW w:w="650" w:type="dxa"/>
            <w:noWrap/>
          </w:tcPr>
          <w:p w14:paraId="74FBF80B"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tcPr>
          <w:p w14:paraId="0167BAE8"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037A01F8" w14:textId="77777777" w:rsidR="00AB6753" w:rsidRPr="00F32D92" w:rsidRDefault="00AB6753" w:rsidP="002D1EA4">
            <w:pPr>
              <w:rPr>
                <w:rFonts w:cs="Arial"/>
                <w:sz w:val="20"/>
                <w:szCs w:val="20"/>
              </w:rPr>
            </w:pPr>
            <w:r w:rsidRPr="00F32D92">
              <w:rPr>
                <w:rFonts w:cs="Arial"/>
                <w:color w:val="000000"/>
                <w:sz w:val="20"/>
                <w:szCs w:val="20"/>
              </w:rPr>
              <w:t>10</w:t>
            </w:r>
          </w:p>
        </w:tc>
      </w:tr>
      <w:tr w:rsidR="00AB6753" w:rsidRPr="00F32D92" w14:paraId="16B74665" w14:textId="77777777" w:rsidTr="002D1EA4">
        <w:trPr>
          <w:trHeight w:val="315"/>
          <w:jc w:val="center"/>
        </w:trPr>
        <w:tc>
          <w:tcPr>
            <w:tcW w:w="1696" w:type="dxa"/>
            <w:tcBorders>
              <w:left w:val="single" w:sz="4" w:space="0" w:color="auto"/>
              <w:right w:val="single" w:sz="4" w:space="0" w:color="auto"/>
            </w:tcBorders>
            <w:vAlign w:val="center"/>
            <w:hideMark/>
          </w:tcPr>
          <w:p w14:paraId="6EFD770F" w14:textId="77777777" w:rsidR="00AB6753" w:rsidRPr="00F32D92" w:rsidRDefault="00AB6753" w:rsidP="002D1EA4">
            <w:pPr>
              <w:rPr>
                <w:rFonts w:cs="Arial"/>
                <w:sz w:val="20"/>
                <w:szCs w:val="20"/>
              </w:rPr>
            </w:pPr>
            <w:r w:rsidRPr="00F32D92">
              <w:rPr>
                <w:rFonts w:cs="Arial"/>
                <w:sz w:val="20"/>
                <w:szCs w:val="20"/>
              </w:rPr>
              <w:t>APS 6</w:t>
            </w:r>
          </w:p>
        </w:tc>
        <w:tc>
          <w:tcPr>
            <w:tcW w:w="896" w:type="dxa"/>
            <w:tcBorders>
              <w:left w:val="single" w:sz="4" w:space="0" w:color="auto"/>
            </w:tcBorders>
            <w:noWrap/>
            <w:hideMark/>
          </w:tcPr>
          <w:p w14:paraId="0CCD758F" w14:textId="77777777" w:rsidR="00AB6753" w:rsidRPr="00F32D92" w:rsidRDefault="00AB6753" w:rsidP="002D1EA4">
            <w:pPr>
              <w:rPr>
                <w:rFonts w:cs="Arial"/>
                <w:sz w:val="20"/>
                <w:szCs w:val="20"/>
              </w:rPr>
            </w:pPr>
            <w:r w:rsidRPr="00F32D92">
              <w:rPr>
                <w:rFonts w:cs="Arial"/>
                <w:color w:val="000000"/>
                <w:sz w:val="20"/>
                <w:szCs w:val="20"/>
              </w:rPr>
              <w:t>150</w:t>
            </w:r>
          </w:p>
        </w:tc>
        <w:tc>
          <w:tcPr>
            <w:tcW w:w="668" w:type="dxa"/>
            <w:noWrap/>
            <w:hideMark/>
          </w:tcPr>
          <w:p w14:paraId="4123B336" w14:textId="77777777" w:rsidR="00AB6753" w:rsidRPr="00F32D92" w:rsidRDefault="00AB6753" w:rsidP="002D1EA4">
            <w:pPr>
              <w:rPr>
                <w:rFonts w:cs="Arial"/>
                <w:sz w:val="20"/>
                <w:szCs w:val="20"/>
              </w:rPr>
            </w:pPr>
            <w:r w:rsidRPr="00F32D92">
              <w:rPr>
                <w:rFonts w:cs="Arial"/>
                <w:color w:val="000000"/>
                <w:sz w:val="20"/>
                <w:szCs w:val="20"/>
              </w:rPr>
              <w:t>11</w:t>
            </w:r>
          </w:p>
        </w:tc>
        <w:tc>
          <w:tcPr>
            <w:tcW w:w="709" w:type="dxa"/>
            <w:tcBorders>
              <w:right w:val="single" w:sz="4" w:space="0" w:color="auto"/>
            </w:tcBorders>
            <w:noWrap/>
            <w:hideMark/>
          </w:tcPr>
          <w:p w14:paraId="119EE44E" w14:textId="77777777" w:rsidR="00AB6753" w:rsidRPr="00F32D92" w:rsidRDefault="00AB6753" w:rsidP="002D1EA4">
            <w:pPr>
              <w:rPr>
                <w:rFonts w:cs="Arial"/>
                <w:sz w:val="20"/>
                <w:szCs w:val="20"/>
              </w:rPr>
            </w:pPr>
            <w:r w:rsidRPr="00F32D92">
              <w:rPr>
                <w:rFonts w:cs="Arial"/>
                <w:color w:val="000000"/>
                <w:sz w:val="20"/>
                <w:szCs w:val="20"/>
              </w:rPr>
              <w:t>161</w:t>
            </w:r>
          </w:p>
        </w:tc>
        <w:tc>
          <w:tcPr>
            <w:tcW w:w="896" w:type="dxa"/>
            <w:tcBorders>
              <w:left w:val="single" w:sz="4" w:space="0" w:color="auto"/>
            </w:tcBorders>
            <w:noWrap/>
            <w:hideMark/>
          </w:tcPr>
          <w:p w14:paraId="17A934F8" w14:textId="77777777" w:rsidR="00AB6753" w:rsidRPr="00F32D92" w:rsidRDefault="00AB6753" w:rsidP="002D1EA4">
            <w:pPr>
              <w:rPr>
                <w:rFonts w:cs="Arial"/>
                <w:sz w:val="20"/>
                <w:szCs w:val="20"/>
              </w:rPr>
            </w:pPr>
            <w:r w:rsidRPr="00F32D92">
              <w:rPr>
                <w:rFonts w:cs="Arial"/>
                <w:color w:val="000000"/>
                <w:sz w:val="20"/>
                <w:szCs w:val="20"/>
              </w:rPr>
              <w:t>336</w:t>
            </w:r>
          </w:p>
        </w:tc>
        <w:tc>
          <w:tcPr>
            <w:tcW w:w="650" w:type="dxa"/>
            <w:noWrap/>
            <w:hideMark/>
          </w:tcPr>
          <w:p w14:paraId="5161BD26" w14:textId="77777777" w:rsidR="00AB6753" w:rsidRPr="00F32D92" w:rsidRDefault="00AB6753" w:rsidP="002D1EA4">
            <w:pPr>
              <w:rPr>
                <w:rFonts w:cs="Arial"/>
                <w:sz w:val="20"/>
                <w:szCs w:val="20"/>
              </w:rPr>
            </w:pPr>
            <w:r w:rsidRPr="00F32D92">
              <w:rPr>
                <w:rFonts w:cs="Arial"/>
                <w:color w:val="000000"/>
                <w:sz w:val="20"/>
                <w:szCs w:val="20"/>
              </w:rPr>
              <w:t>125</w:t>
            </w:r>
          </w:p>
        </w:tc>
        <w:tc>
          <w:tcPr>
            <w:tcW w:w="883" w:type="dxa"/>
            <w:tcBorders>
              <w:right w:val="single" w:sz="4" w:space="0" w:color="auto"/>
            </w:tcBorders>
            <w:noWrap/>
            <w:hideMark/>
          </w:tcPr>
          <w:p w14:paraId="2DA23758" w14:textId="77777777" w:rsidR="00AB6753" w:rsidRPr="00F32D92" w:rsidRDefault="00AB6753" w:rsidP="002D1EA4">
            <w:pPr>
              <w:rPr>
                <w:rFonts w:cs="Arial"/>
                <w:sz w:val="20"/>
                <w:szCs w:val="20"/>
              </w:rPr>
            </w:pPr>
            <w:r w:rsidRPr="00F32D92">
              <w:rPr>
                <w:rFonts w:cs="Arial"/>
                <w:color w:val="000000"/>
                <w:sz w:val="20"/>
                <w:szCs w:val="20"/>
              </w:rPr>
              <w:t>461</w:t>
            </w:r>
          </w:p>
        </w:tc>
        <w:tc>
          <w:tcPr>
            <w:tcW w:w="896" w:type="dxa"/>
            <w:tcBorders>
              <w:left w:val="single" w:sz="4" w:space="0" w:color="auto"/>
            </w:tcBorders>
            <w:noWrap/>
            <w:hideMark/>
          </w:tcPr>
          <w:p w14:paraId="4331EAF5" w14:textId="77777777" w:rsidR="00AB6753" w:rsidRPr="00F32D92" w:rsidRDefault="00AB6753" w:rsidP="002D1EA4">
            <w:pPr>
              <w:rPr>
                <w:rFonts w:cs="Arial"/>
                <w:sz w:val="20"/>
                <w:szCs w:val="20"/>
              </w:rPr>
            </w:pPr>
            <w:r w:rsidRPr="00F32D92">
              <w:rPr>
                <w:rFonts w:cs="Arial"/>
                <w:sz w:val="20"/>
                <w:szCs w:val="20"/>
              </w:rPr>
              <w:t>-</w:t>
            </w:r>
          </w:p>
        </w:tc>
        <w:tc>
          <w:tcPr>
            <w:tcW w:w="650" w:type="dxa"/>
            <w:noWrap/>
            <w:hideMark/>
          </w:tcPr>
          <w:p w14:paraId="6D0F977C"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hideMark/>
          </w:tcPr>
          <w:p w14:paraId="0A337220"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72ADF5B0" w14:textId="77777777" w:rsidR="00AB6753" w:rsidRPr="00F32D92" w:rsidRDefault="00AB6753" w:rsidP="002D1EA4">
            <w:pPr>
              <w:rPr>
                <w:rFonts w:cs="Arial"/>
                <w:sz w:val="20"/>
                <w:szCs w:val="20"/>
              </w:rPr>
            </w:pPr>
            <w:r w:rsidRPr="00F32D92">
              <w:rPr>
                <w:rFonts w:cs="Arial"/>
                <w:color w:val="000000"/>
                <w:sz w:val="20"/>
                <w:szCs w:val="20"/>
              </w:rPr>
              <w:t>622</w:t>
            </w:r>
          </w:p>
        </w:tc>
      </w:tr>
      <w:tr w:rsidR="00AB6753" w:rsidRPr="00F32D92" w14:paraId="0A887FB0" w14:textId="77777777" w:rsidTr="002D1EA4">
        <w:trPr>
          <w:trHeight w:val="315"/>
          <w:jc w:val="center"/>
        </w:trPr>
        <w:tc>
          <w:tcPr>
            <w:tcW w:w="1696" w:type="dxa"/>
            <w:tcBorders>
              <w:left w:val="single" w:sz="4" w:space="0" w:color="auto"/>
              <w:right w:val="single" w:sz="4" w:space="0" w:color="auto"/>
            </w:tcBorders>
            <w:vAlign w:val="center"/>
            <w:hideMark/>
          </w:tcPr>
          <w:p w14:paraId="10144213" w14:textId="77777777" w:rsidR="00AB6753" w:rsidRPr="00F32D92" w:rsidRDefault="00AB6753" w:rsidP="002D1EA4">
            <w:pPr>
              <w:rPr>
                <w:rFonts w:cs="Arial"/>
                <w:sz w:val="20"/>
                <w:szCs w:val="20"/>
              </w:rPr>
            </w:pPr>
            <w:r w:rsidRPr="00F32D92">
              <w:rPr>
                <w:rFonts w:cs="Arial"/>
                <w:sz w:val="20"/>
                <w:szCs w:val="20"/>
              </w:rPr>
              <w:t>APS 5</w:t>
            </w:r>
          </w:p>
        </w:tc>
        <w:tc>
          <w:tcPr>
            <w:tcW w:w="896" w:type="dxa"/>
            <w:tcBorders>
              <w:left w:val="single" w:sz="4" w:space="0" w:color="auto"/>
            </w:tcBorders>
            <w:noWrap/>
            <w:hideMark/>
          </w:tcPr>
          <w:p w14:paraId="74377AE9" w14:textId="77777777" w:rsidR="00AB6753" w:rsidRPr="00F32D92" w:rsidRDefault="00AB6753" w:rsidP="002D1EA4">
            <w:pPr>
              <w:rPr>
                <w:rFonts w:cs="Arial"/>
                <w:sz w:val="20"/>
                <w:szCs w:val="20"/>
              </w:rPr>
            </w:pPr>
            <w:r w:rsidRPr="00F32D92">
              <w:rPr>
                <w:rFonts w:cs="Arial"/>
                <w:color w:val="000000"/>
                <w:sz w:val="20"/>
                <w:szCs w:val="20"/>
              </w:rPr>
              <w:t>106</w:t>
            </w:r>
          </w:p>
        </w:tc>
        <w:tc>
          <w:tcPr>
            <w:tcW w:w="668" w:type="dxa"/>
            <w:noWrap/>
            <w:hideMark/>
          </w:tcPr>
          <w:p w14:paraId="0F733CB3" w14:textId="77777777" w:rsidR="00AB6753" w:rsidRPr="00F32D92" w:rsidRDefault="00AB6753" w:rsidP="002D1EA4">
            <w:pPr>
              <w:rPr>
                <w:rFonts w:cs="Arial"/>
                <w:sz w:val="20"/>
                <w:szCs w:val="20"/>
              </w:rPr>
            </w:pPr>
            <w:r w:rsidRPr="00F32D92">
              <w:rPr>
                <w:rFonts w:cs="Arial"/>
                <w:color w:val="000000"/>
                <w:sz w:val="20"/>
                <w:szCs w:val="20"/>
              </w:rPr>
              <w:t>9</w:t>
            </w:r>
          </w:p>
        </w:tc>
        <w:tc>
          <w:tcPr>
            <w:tcW w:w="709" w:type="dxa"/>
            <w:tcBorders>
              <w:right w:val="single" w:sz="4" w:space="0" w:color="auto"/>
            </w:tcBorders>
            <w:noWrap/>
            <w:hideMark/>
          </w:tcPr>
          <w:p w14:paraId="52EC62D6" w14:textId="77777777" w:rsidR="00AB6753" w:rsidRPr="00F32D92" w:rsidRDefault="00AB6753" w:rsidP="002D1EA4">
            <w:pPr>
              <w:rPr>
                <w:rFonts w:cs="Arial"/>
                <w:sz w:val="20"/>
                <w:szCs w:val="20"/>
              </w:rPr>
            </w:pPr>
            <w:r w:rsidRPr="00F32D92">
              <w:rPr>
                <w:rFonts w:cs="Arial"/>
                <w:color w:val="000000"/>
                <w:sz w:val="20"/>
                <w:szCs w:val="20"/>
              </w:rPr>
              <w:t>115</w:t>
            </w:r>
          </w:p>
        </w:tc>
        <w:tc>
          <w:tcPr>
            <w:tcW w:w="896" w:type="dxa"/>
            <w:tcBorders>
              <w:left w:val="single" w:sz="4" w:space="0" w:color="auto"/>
            </w:tcBorders>
            <w:noWrap/>
            <w:hideMark/>
          </w:tcPr>
          <w:p w14:paraId="51989457" w14:textId="77777777" w:rsidR="00AB6753" w:rsidRPr="00F32D92" w:rsidRDefault="00AB6753" w:rsidP="002D1EA4">
            <w:pPr>
              <w:rPr>
                <w:rFonts w:cs="Arial"/>
                <w:sz w:val="20"/>
                <w:szCs w:val="20"/>
              </w:rPr>
            </w:pPr>
            <w:r w:rsidRPr="00F32D92">
              <w:rPr>
                <w:rFonts w:cs="Arial"/>
                <w:color w:val="000000"/>
                <w:sz w:val="20"/>
                <w:szCs w:val="20"/>
              </w:rPr>
              <w:t>215</w:t>
            </w:r>
          </w:p>
        </w:tc>
        <w:tc>
          <w:tcPr>
            <w:tcW w:w="650" w:type="dxa"/>
            <w:noWrap/>
            <w:hideMark/>
          </w:tcPr>
          <w:p w14:paraId="657FBD52" w14:textId="77777777" w:rsidR="00AB6753" w:rsidRPr="00F32D92" w:rsidRDefault="00AB6753" w:rsidP="002D1EA4">
            <w:pPr>
              <w:rPr>
                <w:rFonts w:cs="Arial"/>
                <w:sz w:val="20"/>
                <w:szCs w:val="20"/>
              </w:rPr>
            </w:pPr>
            <w:r w:rsidRPr="00F32D92">
              <w:rPr>
                <w:rFonts w:cs="Arial"/>
                <w:color w:val="000000"/>
                <w:sz w:val="20"/>
                <w:szCs w:val="20"/>
              </w:rPr>
              <w:t>62</w:t>
            </w:r>
          </w:p>
        </w:tc>
        <w:tc>
          <w:tcPr>
            <w:tcW w:w="883" w:type="dxa"/>
            <w:tcBorders>
              <w:right w:val="single" w:sz="4" w:space="0" w:color="auto"/>
            </w:tcBorders>
            <w:noWrap/>
            <w:hideMark/>
          </w:tcPr>
          <w:p w14:paraId="708EEC52" w14:textId="77777777" w:rsidR="00AB6753" w:rsidRPr="00F32D92" w:rsidRDefault="00AB6753" w:rsidP="002D1EA4">
            <w:pPr>
              <w:rPr>
                <w:rFonts w:cs="Arial"/>
                <w:sz w:val="20"/>
                <w:szCs w:val="20"/>
              </w:rPr>
            </w:pPr>
            <w:r w:rsidRPr="00F32D92">
              <w:rPr>
                <w:rFonts w:cs="Arial"/>
                <w:color w:val="000000"/>
                <w:sz w:val="20"/>
                <w:szCs w:val="20"/>
              </w:rPr>
              <w:t>277</w:t>
            </w:r>
          </w:p>
        </w:tc>
        <w:tc>
          <w:tcPr>
            <w:tcW w:w="896" w:type="dxa"/>
            <w:tcBorders>
              <w:left w:val="single" w:sz="4" w:space="0" w:color="auto"/>
            </w:tcBorders>
            <w:noWrap/>
            <w:hideMark/>
          </w:tcPr>
          <w:p w14:paraId="360CF775" w14:textId="77777777" w:rsidR="00AB6753" w:rsidRPr="00F32D92" w:rsidRDefault="00AB6753" w:rsidP="002D1EA4">
            <w:pPr>
              <w:rPr>
                <w:rFonts w:cs="Arial"/>
                <w:sz w:val="20"/>
                <w:szCs w:val="20"/>
              </w:rPr>
            </w:pPr>
            <w:r w:rsidRPr="00F32D92">
              <w:rPr>
                <w:rFonts w:cs="Arial"/>
                <w:sz w:val="20"/>
                <w:szCs w:val="20"/>
              </w:rPr>
              <w:t>-</w:t>
            </w:r>
          </w:p>
        </w:tc>
        <w:tc>
          <w:tcPr>
            <w:tcW w:w="650" w:type="dxa"/>
            <w:noWrap/>
            <w:hideMark/>
          </w:tcPr>
          <w:p w14:paraId="2A7E0C1C"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hideMark/>
          </w:tcPr>
          <w:p w14:paraId="40A36863"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57E86C1D" w14:textId="77777777" w:rsidR="00AB6753" w:rsidRPr="00F32D92" w:rsidRDefault="00AB6753" w:rsidP="002D1EA4">
            <w:pPr>
              <w:rPr>
                <w:rFonts w:cs="Arial"/>
                <w:sz w:val="20"/>
                <w:szCs w:val="20"/>
              </w:rPr>
            </w:pPr>
            <w:r w:rsidRPr="00F32D92">
              <w:rPr>
                <w:rFonts w:cs="Arial"/>
                <w:color w:val="000000"/>
                <w:sz w:val="20"/>
                <w:szCs w:val="20"/>
              </w:rPr>
              <w:t>392</w:t>
            </w:r>
          </w:p>
        </w:tc>
      </w:tr>
      <w:tr w:rsidR="00AB6753" w:rsidRPr="00F32D92" w14:paraId="5FC9FACB" w14:textId="77777777" w:rsidTr="002D1EA4">
        <w:trPr>
          <w:trHeight w:val="315"/>
          <w:jc w:val="center"/>
        </w:trPr>
        <w:tc>
          <w:tcPr>
            <w:tcW w:w="1696" w:type="dxa"/>
            <w:tcBorders>
              <w:left w:val="single" w:sz="4" w:space="0" w:color="auto"/>
              <w:right w:val="single" w:sz="4" w:space="0" w:color="auto"/>
            </w:tcBorders>
            <w:vAlign w:val="center"/>
            <w:hideMark/>
          </w:tcPr>
          <w:p w14:paraId="31972CAC" w14:textId="77777777" w:rsidR="00AB6753" w:rsidRPr="00F32D92" w:rsidRDefault="00AB6753" w:rsidP="002D1EA4">
            <w:pPr>
              <w:rPr>
                <w:rFonts w:cs="Arial"/>
                <w:sz w:val="20"/>
                <w:szCs w:val="20"/>
              </w:rPr>
            </w:pPr>
            <w:r w:rsidRPr="00F32D92">
              <w:rPr>
                <w:rFonts w:cs="Arial"/>
                <w:sz w:val="20"/>
                <w:szCs w:val="20"/>
              </w:rPr>
              <w:t>APS 4</w:t>
            </w:r>
          </w:p>
        </w:tc>
        <w:tc>
          <w:tcPr>
            <w:tcW w:w="896" w:type="dxa"/>
            <w:tcBorders>
              <w:left w:val="single" w:sz="4" w:space="0" w:color="auto"/>
            </w:tcBorders>
            <w:noWrap/>
            <w:hideMark/>
          </w:tcPr>
          <w:p w14:paraId="0F99A2FF" w14:textId="77777777" w:rsidR="00AB6753" w:rsidRPr="00F32D92" w:rsidRDefault="00AB6753" w:rsidP="002D1EA4">
            <w:pPr>
              <w:rPr>
                <w:rFonts w:cs="Arial"/>
                <w:sz w:val="20"/>
                <w:szCs w:val="20"/>
              </w:rPr>
            </w:pPr>
            <w:r w:rsidRPr="00F32D92">
              <w:rPr>
                <w:rFonts w:cs="Arial"/>
                <w:color w:val="000000"/>
                <w:sz w:val="20"/>
                <w:szCs w:val="20"/>
              </w:rPr>
              <w:t>27</w:t>
            </w:r>
          </w:p>
        </w:tc>
        <w:tc>
          <w:tcPr>
            <w:tcW w:w="668" w:type="dxa"/>
            <w:noWrap/>
            <w:hideMark/>
          </w:tcPr>
          <w:p w14:paraId="140EC251"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hideMark/>
          </w:tcPr>
          <w:p w14:paraId="15416150" w14:textId="77777777" w:rsidR="00AB6753" w:rsidRPr="00F32D92" w:rsidRDefault="00AB6753" w:rsidP="002D1EA4">
            <w:pPr>
              <w:rPr>
                <w:rFonts w:cs="Arial"/>
                <w:sz w:val="20"/>
                <w:szCs w:val="20"/>
              </w:rPr>
            </w:pPr>
            <w:r w:rsidRPr="00F32D92">
              <w:rPr>
                <w:rFonts w:cs="Arial"/>
                <w:color w:val="000000"/>
                <w:sz w:val="20"/>
                <w:szCs w:val="20"/>
              </w:rPr>
              <w:t>27</w:t>
            </w:r>
          </w:p>
        </w:tc>
        <w:tc>
          <w:tcPr>
            <w:tcW w:w="896" w:type="dxa"/>
            <w:tcBorders>
              <w:left w:val="single" w:sz="4" w:space="0" w:color="auto"/>
            </w:tcBorders>
            <w:noWrap/>
            <w:hideMark/>
          </w:tcPr>
          <w:p w14:paraId="083F0345" w14:textId="77777777" w:rsidR="00AB6753" w:rsidRPr="00F32D92" w:rsidRDefault="00AB6753" w:rsidP="002D1EA4">
            <w:pPr>
              <w:rPr>
                <w:rFonts w:cs="Arial"/>
                <w:sz w:val="20"/>
                <w:szCs w:val="20"/>
              </w:rPr>
            </w:pPr>
            <w:r w:rsidRPr="00F32D92">
              <w:rPr>
                <w:rFonts w:cs="Arial"/>
                <w:color w:val="000000"/>
                <w:sz w:val="20"/>
                <w:szCs w:val="20"/>
              </w:rPr>
              <w:t>88</w:t>
            </w:r>
          </w:p>
        </w:tc>
        <w:tc>
          <w:tcPr>
            <w:tcW w:w="650" w:type="dxa"/>
            <w:noWrap/>
            <w:hideMark/>
          </w:tcPr>
          <w:p w14:paraId="746D334C" w14:textId="77777777" w:rsidR="00AB6753" w:rsidRPr="00F32D92" w:rsidRDefault="00AB6753" w:rsidP="002D1EA4">
            <w:pPr>
              <w:rPr>
                <w:rFonts w:cs="Arial"/>
                <w:sz w:val="20"/>
                <w:szCs w:val="20"/>
              </w:rPr>
            </w:pPr>
            <w:r w:rsidRPr="00F32D92">
              <w:rPr>
                <w:rFonts w:cs="Arial"/>
                <w:color w:val="000000"/>
                <w:sz w:val="20"/>
                <w:szCs w:val="20"/>
              </w:rPr>
              <w:t>27</w:t>
            </w:r>
          </w:p>
        </w:tc>
        <w:tc>
          <w:tcPr>
            <w:tcW w:w="883" w:type="dxa"/>
            <w:tcBorders>
              <w:right w:val="single" w:sz="4" w:space="0" w:color="auto"/>
            </w:tcBorders>
            <w:noWrap/>
            <w:hideMark/>
          </w:tcPr>
          <w:p w14:paraId="1C55E485" w14:textId="77777777" w:rsidR="00AB6753" w:rsidRPr="00F32D92" w:rsidRDefault="00AB6753" w:rsidP="002D1EA4">
            <w:pPr>
              <w:rPr>
                <w:rFonts w:cs="Arial"/>
                <w:sz w:val="20"/>
                <w:szCs w:val="20"/>
              </w:rPr>
            </w:pPr>
            <w:r w:rsidRPr="00F32D92">
              <w:rPr>
                <w:rFonts w:cs="Arial"/>
                <w:color w:val="000000"/>
                <w:sz w:val="20"/>
                <w:szCs w:val="20"/>
              </w:rPr>
              <w:t>115</w:t>
            </w:r>
          </w:p>
        </w:tc>
        <w:tc>
          <w:tcPr>
            <w:tcW w:w="896" w:type="dxa"/>
            <w:tcBorders>
              <w:left w:val="single" w:sz="4" w:space="0" w:color="auto"/>
            </w:tcBorders>
            <w:noWrap/>
            <w:hideMark/>
          </w:tcPr>
          <w:p w14:paraId="262C8A2D" w14:textId="77777777" w:rsidR="00AB6753" w:rsidRPr="00F32D92" w:rsidRDefault="00AB6753" w:rsidP="002D1EA4">
            <w:pPr>
              <w:rPr>
                <w:rFonts w:cs="Arial"/>
                <w:sz w:val="20"/>
                <w:szCs w:val="20"/>
              </w:rPr>
            </w:pPr>
            <w:r w:rsidRPr="00F32D92">
              <w:rPr>
                <w:rFonts w:cs="Arial"/>
                <w:sz w:val="20"/>
                <w:szCs w:val="20"/>
              </w:rPr>
              <w:t>-</w:t>
            </w:r>
          </w:p>
        </w:tc>
        <w:tc>
          <w:tcPr>
            <w:tcW w:w="650" w:type="dxa"/>
            <w:noWrap/>
            <w:hideMark/>
          </w:tcPr>
          <w:p w14:paraId="15BD9B3F"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hideMark/>
          </w:tcPr>
          <w:p w14:paraId="25F96A86"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6C7857B7" w14:textId="77777777" w:rsidR="00AB6753" w:rsidRPr="00F32D92" w:rsidRDefault="00AB6753" w:rsidP="002D1EA4">
            <w:pPr>
              <w:rPr>
                <w:rFonts w:cs="Arial"/>
                <w:sz w:val="20"/>
                <w:szCs w:val="20"/>
              </w:rPr>
            </w:pPr>
            <w:r w:rsidRPr="00F32D92">
              <w:rPr>
                <w:rFonts w:cs="Arial"/>
                <w:color w:val="000000"/>
                <w:sz w:val="20"/>
                <w:szCs w:val="20"/>
              </w:rPr>
              <w:t>142</w:t>
            </w:r>
          </w:p>
        </w:tc>
      </w:tr>
      <w:tr w:rsidR="00AB6753" w:rsidRPr="00F32D92" w14:paraId="79367EF9" w14:textId="77777777" w:rsidTr="002D1EA4">
        <w:trPr>
          <w:trHeight w:val="315"/>
          <w:jc w:val="center"/>
        </w:trPr>
        <w:tc>
          <w:tcPr>
            <w:tcW w:w="1696" w:type="dxa"/>
            <w:tcBorders>
              <w:left w:val="single" w:sz="4" w:space="0" w:color="auto"/>
              <w:right w:val="single" w:sz="4" w:space="0" w:color="auto"/>
            </w:tcBorders>
            <w:vAlign w:val="center"/>
          </w:tcPr>
          <w:p w14:paraId="62A72C90" w14:textId="77777777" w:rsidR="00AB6753" w:rsidRPr="00F32D92" w:rsidRDefault="00AB6753" w:rsidP="002D1EA4">
            <w:pPr>
              <w:rPr>
                <w:rFonts w:cs="Arial"/>
                <w:sz w:val="20"/>
                <w:szCs w:val="20"/>
              </w:rPr>
            </w:pPr>
            <w:r w:rsidRPr="00F32D92">
              <w:rPr>
                <w:rFonts w:cs="Arial"/>
                <w:sz w:val="20"/>
                <w:szCs w:val="20"/>
              </w:rPr>
              <w:t>APS 3</w:t>
            </w:r>
          </w:p>
        </w:tc>
        <w:tc>
          <w:tcPr>
            <w:tcW w:w="896" w:type="dxa"/>
            <w:tcBorders>
              <w:left w:val="single" w:sz="4" w:space="0" w:color="auto"/>
            </w:tcBorders>
            <w:noWrap/>
          </w:tcPr>
          <w:p w14:paraId="426582F4" w14:textId="77777777" w:rsidR="00AB6753" w:rsidRPr="00F32D92" w:rsidRDefault="00AB6753" w:rsidP="002D1EA4">
            <w:pPr>
              <w:rPr>
                <w:rFonts w:cs="Arial"/>
                <w:sz w:val="20"/>
                <w:szCs w:val="20"/>
              </w:rPr>
            </w:pPr>
            <w:r w:rsidRPr="00F32D92">
              <w:rPr>
                <w:rFonts w:cs="Arial"/>
                <w:color w:val="000000"/>
                <w:sz w:val="20"/>
                <w:szCs w:val="20"/>
              </w:rPr>
              <w:t>24</w:t>
            </w:r>
          </w:p>
        </w:tc>
        <w:tc>
          <w:tcPr>
            <w:tcW w:w="668" w:type="dxa"/>
            <w:noWrap/>
          </w:tcPr>
          <w:p w14:paraId="4B5DA108" w14:textId="77777777" w:rsidR="00AB6753" w:rsidRPr="00F32D92" w:rsidRDefault="00AB6753" w:rsidP="002D1EA4">
            <w:pPr>
              <w:rPr>
                <w:rFonts w:cs="Arial"/>
                <w:sz w:val="20"/>
                <w:szCs w:val="20"/>
              </w:rPr>
            </w:pPr>
            <w:r w:rsidRPr="00F32D92">
              <w:rPr>
                <w:rFonts w:cs="Arial"/>
                <w:color w:val="000000"/>
                <w:sz w:val="20"/>
                <w:szCs w:val="20"/>
              </w:rPr>
              <w:t>0</w:t>
            </w:r>
          </w:p>
        </w:tc>
        <w:tc>
          <w:tcPr>
            <w:tcW w:w="709" w:type="dxa"/>
            <w:tcBorders>
              <w:right w:val="single" w:sz="4" w:space="0" w:color="auto"/>
            </w:tcBorders>
            <w:noWrap/>
          </w:tcPr>
          <w:p w14:paraId="61F79A4D" w14:textId="77777777" w:rsidR="00AB6753" w:rsidRPr="00F32D92" w:rsidRDefault="00AB6753" w:rsidP="002D1EA4">
            <w:pPr>
              <w:rPr>
                <w:rFonts w:cs="Arial"/>
                <w:sz w:val="20"/>
                <w:szCs w:val="20"/>
              </w:rPr>
            </w:pPr>
            <w:r w:rsidRPr="00F32D92">
              <w:rPr>
                <w:rFonts w:cs="Arial"/>
                <w:color w:val="000000"/>
                <w:sz w:val="20"/>
                <w:szCs w:val="20"/>
              </w:rPr>
              <w:t>24</w:t>
            </w:r>
          </w:p>
        </w:tc>
        <w:tc>
          <w:tcPr>
            <w:tcW w:w="896" w:type="dxa"/>
            <w:tcBorders>
              <w:left w:val="single" w:sz="4" w:space="0" w:color="auto"/>
            </w:tcBorders>
            <w:noWrap/>
          </w:tcPr>
          <w:p w14:paraId="72E7797A" w14:textId="77777777" w:rsidR="00AB6753" w:rsidRPr="00F32D92" w:rsidRDefault="00AB6753" w:rsidP="002D1EA4">
            <w:pPr>
              <w:rPr>
                <w:rFonts w:cs="Arial"/>
                <w:sz w:val="20"/>
                <w:szCs w:val="20"/>
              </w:rPr>
            </w:pPr>
            <w:r w:rsidRPr="00F32D92">
              <w:rPr>
                <w:rFonts w:cs="Arial"/>
                <w:color w:val="000000"/>
                <w:sz w:val="20"/>
                <w:szCs w:val="20"/>
              </w:rPr>
              <w:t>65</w:t>
            </w:r>
          </w:p>
        </w:tc>
        <w:tc>
          <w:tcPr>
            <w:tcW w:w="650" w:type="dxa"/>
            <w:noWrap/>
          </w:tcPr>
          <w:p w14:paraId="352C20AD" w14:textId="77777777" w:rsidR="00AB6753" w:rsidRPr="00F32D92" w:rsidRDefault="00AB6753" w:rsidP="002D1EA4">
            <w:pPr>
              <w:rPr>
                <w:rFonts w:cs="Arial"/>
                <w:sz w:val="20"/>
                <w:szCs w:val="20"/>
              </w:rPr>
            </w:pPr>
            <w:r w:rsidRPr="00F32D92">
              <w:rPr>
                <w:rFonts w:cs="Arial"/>
                <w:color w:val="000000"/>
                <w:sz w:val="20"/>
                <w:szCs w:val="20"/>
              </w:rPr>
              <w:t>3</w:t>
            </w:r>
          </w:p>
        </w:tc>
        <w:tc>
          <w:tcPr>
            <w:tcW w:w="883" w:type="dxa"/>
            <w:tcBorders>
              <w:right w:val="single" w:sz="4" w:space="0" w:color="auto"/>
            </w:tcBorders>
            <w:noWrap/>
          </w:tcPr>
          <w:p w14:paraId="78EE614A" w14:textId="77777777" w:rsidR="00AB6753" w:rsidRPr="00F32D92" w:rsidRDefault="00AB6753" w:rsidP="002D1EA4">
            <w:pPr>
              <w:rPr>
                <w:rFonts w:cs="Arial"/>
                <w:sz w:val="20"/>
                <w:szCs w:val="20"/>
              </w:rPr>
            </w:pPr>
            <w:r w:rsidRPr="00F32D92">
              <w:rPr>
                <w:rFonts w:cs="Arial"/>
                <w:color w:val="000000"/>
                <w:sz w:val="20"/>
                <w:szCs w:val="20"/>
              </w:rPr>
              <w:t>68</w:t>
            </w:r>
          </w:p>
        </w:tc>
        <w:tc>
          <w:tcPr>
            <w:tcW w:w="896" w:type="dxa"/>
            <w:tcBorders>
              <w:left w:val="single" w:sz="4" w:space="0" w:color="auto"/>
            </w:tcBorders>
            <w:noWrap/>
          </w:tcPr>
          <w:p w14:paraId="6C1748EB" w14:textId="77777777" w:rsidR="00AB6753" w:rsidRPr="00F32D92" w:rsidRDefault="00AB6753" w:rsidP="002D1EA4">
            <w:pPr>
              <w:rPr>
                <w:rFonts w:cs="Arial"/>
                <w:sz w:val="20"/>
                <w:szCs w:val="20"/>
              </w:rPr>
            </w:pPr>
            <w:r w:rsidRPr="00F32D92">
              <w:rPr>
                <w:rFonts w:cs="Arial"/>
                <w:sz w:val="20"/>
                <w:szCs w:val="20"/>
              </w:rPr>
              <w:t>-</w:t>
            </w:r>
          </w:p>
        </w:tc>
        <w:tc>
          <w:tcPr>
            <w:tcW w:w="650" w:type="dxa"/>
            <w:noWrap/>
          </w:tcPr>
          <w:p w14:paraId="54555515"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tcPr>
          <w:p w14:paraId="68ADEE41"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739A1578" w14:textId="77777777" w:rsidR="00AB6753" w:rsidRPr="00F32D92" w:rsidRDefault="00AB6753" w:rsidP="002D1EA4">
            <w:pPr>
              <w:rPr>
                <w:rFonts w:cs="Arial"/>
                <w:color w:val="000000"/>
                <w:sz w:val="20"/>
                <w:szCs w:val="20"/>
              </w:rPr>
            </w:pPr>
            <w:r w:rsidRPr="00F32D92">
              <w:rPr>
                <w:rFonts w:cs="Arial"/>
                <w:color w:val="000000"/>
                <w:sz w:val="20"/>
                <w:szCs w:val="20"/>
              </w:rPr>
              <w:t>92</w:t>
            </w:r>
          </w:p>
        </w:tc>
      </w:tr>
      <w:tr w:rsidR="00AB6753" w:rsidRPr="00F32D92" w14:paraId="03F4A6EE" w14:textId="77777777" w:rsidTr="002D1EA4">
        <w:trPr>
          <w:trHeight w:val="315"/>
          <w:jc w:val="center"/>
        </w:trPr>
        <w:tc>
          <w:tcPr>
            <w:tcW w:w="1696" w:type="dxa"/>
            <w:tcBorders>
              <w:left w:val="single" w:sz="4" w:space="0" w:color="auto"/>
              <w:right w:val="single" w:sz="4" w:space="0" w:color="auto"/>
            </w:tcBorders>
            <w:vAlign w:val="center"/>
          </w:tcPr>
          <w:p w14:paraId="3AB20354" w14:textId="77777777" w:rsidR="00AB6753" w:rsidRPr="00F32D92" w:rsidRDefault="00AB6753" w:rsidP="002D1EA4">
            <w:pPr>
              <w:rPr>
                <w:rFonts w:cs="Arial"/>
                <w:sz w:val="20"/>
                <w:szCs w:val="20"/>
              </w:rPr>
            </w:pPr>
            <w:r w:rsidRPr="00F32D92">
              <w:rPr>
                <w:rFonts w:cs="Arial"/>
                <w:sz w:val="20"/>
                <w:szCs w:val="20"/>
              </w:rPr>
              <w:t>APS 2</w:t>
            </w:r>
          </w:p>
        </w:tc>
        <w:tc>
          <w:tcPr>
            <w:tcW w:w="896" w:type="dxa"/>
            <w:tcBorders>
              <w:left w:val="single" w:sz="4" w:space="0" w:color="auto"/>
            </w:tcBorders>
            <w:noWrap/>
          </w:tcPr>
          <w:p w14:paraId="5A368482" w14:textId="77777777" w:rsidR="00AB6753" w:rsidRPr="00F32D92" w:rsidRDefault="00AB6753" w:rsidP="002D1EA4">
            <w:pPr>
              <w:rPr>
                <w:rFonts w:cs="Arial"/>
                <w:sz w:val="20"/>
                <w:szCs w:val="20"/>
              </w:rPr>
            </w:pPr>
            <w:r w:rsidRPr="00F32D92">
              <w:rPr>
                <w:rFonts w:cs="Arial"/>
                <w:color w:val="000000"/>
                <w:sz w:val="20"/>
                <w:szCs w:val="20"/>
              </w:rPr>
              <w:t>2</w:t>
            </w:r>
          </w:p>
        </w:tc>
        <w:tc>
          <w:tcPr>
            <w:tcW w:w="668" w:type="dxa"/>
            <w:noWrap/>
          </w:tcPr>
          <w:p w14:paraId="788644A4" w14:textId="77777777" w:rsidR="00AB6753" w:rsidRPr="00F32D92" w:rsidRDefault="00AB6753" w:rsidP="002D1EA4">
            <w:pPr>
              <w:rPr>
                <w:rFonts w:cs="Arial"/>
                <w:sz w:val="20"/>
                <w:szCs w:val="20"/>
              </w:rPr>
            </w:pPr>
            <w:r w:rsidRPr="00F32D92">
              <w:rPr>
                <w:rFonts w:cs="Arial"/>
                <w:color w:val="000000"/>
                <w:sz w:val="20"/>
                <w:szCs w:val="20"/>
              </w:rPr>
              <w:t>1</w:t>
            </w:r>
          </w:p>
        </w:tc>
        <w:tc>
          <w:tcPr>
            <w:tcW w:w="709" w:type="dxa"/>
            <w:tcBorders>
              <w:right w:val="single" w:sz="4" w:space="0" w:color="auto"/>
            </w:tcBorders>
            <w:noWrap/>
          </w:tcPr>
          <w:p w14:paraId="52044A7A" w14:textId="77777777" w:rsidR="00AB6753" w:rsidRPr="00F32D92" w:rsidRDefault="00AB6753" w:rsidP="002D1EA4">
            <w:pPr>
              <w:rPr>
                <w:rFonts w:cs="Arial"/>
                <w:sz w:val="20"/>
                <w:szCs w:val="20"/>
              </w:rPr>
            </w:pPr>
            <w:r w:rsidRPr="00F32D92">
              <w:rPr>
                <w:rFonts w:cs="Arial"/>
                <w:color w:val="000000"/>
                <w:sz w:val="20"/>
                <w:szCs w:val="20"/>
              </w:rPr>
              <w:t>3</w:t>
            </w:r>
          </w:p>
        </w:tc>
        <w:tc>
          <w:tcPr>
            <w:tcW w:w="896" w:type="dxa"/>
            <w:tcBorders>
              <w:left w:val="single" w:sz="4" w:space="0" w:color="auto"/>
            </w:tcBorders>
            <w:noWrap/>
          </w:tcPr>
          <w:p w14:paraId="09AA10C0" w14:textId="77777777" w:rsidR="00AB6753" w:rsidRPr="00F32D92" w:rsidRDefault="00AB6753" w:rsidP="002D1EA4">
            <w:pPr>
              <w:rPr>
                <w:rFonts w:cs="Arial"/>
                <w:sz w:val="20"/>
                <w:szCs w:val="20"/>
              </w:rPr>
            </w:pPr>
            <w:r w:rsidRPr="00F32D92">
              <w:rPr>
                <w:rFonts w:cs="Arial"/>
                <w:sz w:val="20"/>
                <w:szCs w:val="20"/>
              </w:rPr>
              <w:t>0</w:t>
            </w:r>
          </w:p>
        </w:tc>
        <w:tc>
          <w:tcPr>
            <w:tcW w:w="650" w:type="dxa"/>
            <w:noWrap/>
          </w:tcPr>
          <w:p w14:paraId="5C5154D7" w14:textId="77777777" w:rsidR="00AB6753" w:rsidRPr="00F32D92" w:rsidRDefault="00AB6753" w:rsidP="002D1EA4">
            <w:pPr>
              <w:rPr>
                <w:rFonts w:cs="Arial"/>
                <w:sz w:val="20"/>
                <w:szCs w:val="20"/>
              </w:rPr>
            </w:pPr>
            <w:r w:rsidRPr="00F32D92">
              <w:rPr>
                <w:rFonts w:cs="Arial"/>
                <w:color w:val="000000"/>
                <w:sz w:val="20"/>
                <w:szCs w:val="20"/>
              </w:rPr>
              <w:t>1</w:t>
            </w:r>
          </w:p>
        </w:tc>
        <w:tc>
          <w:tcPr>
            <w:tcW w:w="883" w:type="dxa"/>
            <w:tcBorders>
              <w:right w:val="single" w:sz="4" w:space="0" w:color="auto"/>
            </w:tcBorders>
            <w:noWrap/>
          </w:tcPr>
          <w:p w14:paraId="373093B3" w14:textId="77777777" w:rsidR="00AB6753" w:rsidRPr="00F32D92" w:rsidRDefault="00AB6753" w:rsidP="002D1EA4">
            <w:pPr>
              <w:rPr>
                <w:rFonts w:cs="Arial"/>
                <w:sz w:val="20"/>
                <w:szCs w:val="20"/>
              </w:rPr>
            </w:pPr>
            <w:r w:rsidRPr="00F32D92">
              <w:rPr>
                <w:rFonts w:cs="Arial"/>
                <w:color w:val="000000"/>
                <w:sz w:val="20"/>
                <w:szCs w:val="20"/>
              </w:rPr>
              <w:t>1</w:t>
            </w:r>
          </w:p>
        </w:tc>
        <w:tc>
          <w:tcPr>
            <w:tcW w:w="896" w:type="dxa"/>
            <w:tcBorders>
              <w:left w:val="single" w:sz="4" w:space="0" w:color="auto"/>
            </w:tcBorders>
            <w:noWrap/>
          </w:tcPr>
          <w:p w14:paraId="5D9EFA77" w14:textId="77777777" w:rsidR="00AB6753" w:rsidRPr="00F32D92" w:rsidRDefault="00AB6753" w:rsidP="002D1EA4">
            <w:pPr>
              <w:rPr>
                <w:rFonts w:cs="Arial"/>
                <w:sz w:val="20"/>
                <w:szCs w:val="20"/>
              </w:rPr>
            </w:pPr>
            <w:r w:rsidRPr="00F32D92">
              <w:rPr>
                <w:rFonts w:cs="Arial"/>
                <w:sz w:val="20"/>
                <w:szCs w:val="20"/>
              </w:rPr>
              <w:t>-</w:t>
            </w:r>
          </w:p>
        </w:tc>
        <w:tc>
          <w:tcPr>
            <w:tcW w:w="650" w:type="dxa"/>
            <w:noWrap/>
          </w:tcPr>
          <w:p w14:paraId="36FB892A"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tcPr>
          <w:p w14:paraId="6AC9D33E"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5BB9DA32" w14:textId="77777777" w:rsidR="00AB6753" w:rsidRPr="00F32D92" w:rsidRDefault="00AB6753" w:rsidP="002D1EA4">
            <w:pPr>
              <w:rPr>
                <w:rFonts w:cs="Arial"/>
                <w:sz w:val="20"/>
                <w:szCs w:val="20"/>
              </w:rPr>
            </w:pPr>
            <w:r w:rsidRPr="00F32D92">
              <w:rPr>
                <w:rFonts w:cs="Arial"/>
                <w:color w:val="000000"/>
                <w:sz w:val="20"/>
                <w:szCs w:val="20"/>
              </w:rPr>
              <w:t>4</w:t>
            </w:r>
          </w:p>
        </w:tc>
      </w:tr>
      <w:tr w:rsidR="00AB6753" w:rsidRPr="00F32D92" w14:paraId="0EA3DA10" w14:textId="77777777" w:rsidTr="002D1EA4">
        <w:trPr>
          <w:trHeight w:val="315"/>
          <w:jc w:val="center"/>
        </w:trPr>
        <w:tc>
          <w:tcPr>
            <w:tcW w:w="1696" w:type="dxa"/>
            <w:tcBorders>
              <w:left w:val="single" w:sz="4" w:space="0" w:color="auto"/>
              <w:right w:val="single" w:sz="4" w:space="0" w:color="auto"/>
            </w:tcBorders>
            <w:vAlign w:val="center"/>
          </w:tcPr>
          <w:p w14:paraId="5BB4A81D" w14:textId="77777777" w:rsidR="00AB6753" w:rsidRPr="00F32D92" w:rsidRDefault="00AB6753" w:rsidP="002D1EA4">
            <w:pPr>
              <w:rPr>
                <w:rFonts w:cs="Arial"/>
                <w:sz w:val="20"/>
                <w:szCs w:val="20"/>
              </w:rPr>
            </w:pPr>
            <w:r w:rsidRPr="00F32D92">
              <w:rPr>
                <w:rFonts w:cs="Arial"/>
                <w:sz w:val="20"/>
                <w:szCs w:val="20"/>
              </w:rPr>
              <w:t>APS 1</w:t>
            </w:r>
          </w:p>
        </w:tc>
        <w:tc>
          <w:tcPr>
            <w:tcW w:w="896" w:type="dxa"/>
            <w:tcBorders>
              <w:left w:val="single" w:sz="4" w:space="0" w:color="auto"/>
            </w:tcBorders>
            <w:noWrap/>
          </w:tcPr>
          <w:p w14:paraId="3CA24E75" w14:textId="77777777" w:rsidR="00AB6753" w:rsidRPr="00F32D92" w:rsidRDefault="00AB6753" w:rsidP="002D1EA4">
            <w:pPr>
              <w:rPr>
                <w:rFonts w:cs="Arial"/>
                <w:sz w:val="20"/>
                <w:szCs w:val="20"/>
              </w:rPr>
            </w:pPr>
            <w:r w:rsidRPr="00F32D92">
              <w:rPr>
                <w:rFonts w:cs="Arial"/>
                <w:sz w:val="20"/>
                <w:szCs w:val="20"/>
              </w:rPr>
              <w:t>0</w:t>
            </w:r>
          </w:p>
        </w:tc>
        <w:tc>
          <w:tcPr>
            <w:tcW w:w="668" w:type="dxa"/>
            <w:noWrap/>
          </w:tcPr>
          <w:p w14:paraId="39A8A3E3" w14:textId="77777777" w:rsidR="00AB6753" w:rsidRPr="00F32D92" w:rsidRDefault="00AB6753" w:rsidP="002D1EA4">
            <w:pPr>
              <w:rPr>
                <w:rFonts w:cs="Arial"/>
                <w:sz w:val="20"/>
                <w:szCs w:val="20"/>
              </w:rPr>
            </w:pPr>
            <w:r w:rsidRPr="00F32D92">
              <w:rPr>
                <w:rFonts w:cs="Arial"/>
                <w:color w:val="000000"/>
                <w:sz w:val="20"/>
                <w:szCs w:val="20"/>
              </w:rPr>
              <w:t>2</w:t>
            </w:r>
          </w:p>
        </w:tc>
        <w:tc>
          <w:tcPr>
            <w:tcW w:w="709" w:type="dxa"/>
            <w:tcBorders>
              <w:right w:val="single" w:sz="4" w:space="0" w:color="auto"/>
            </w:tcBorders>
            <w:noWrap/>
          </w:tcPr>
          <w:p w14:paraId="15A41CF3" w14:textId="77777777" w:rsidR="00AB6753" w:rsidRPr="00F32D92" w:rsidRDefault="00AB6753" w:rsidP="002D1EA4">
            <w:pPr>
              <w:rPr>
                <w:rFonts w:cs="Arial"/>
                <w:sz w:val="20"/>
                <w:szCs w:val="20"/>
              </w:rPr>
            </w:pPr>
            <w:r w:rsidRPr="00F32D92">
              <w:rPr>
                <w:rFonts w:cs="Arial"/>
                <w:color w:val="000000"/>
                <w:sz w:val="20"/>
                <w:szCs w:val="20"/>
              </w:rPr>
              <w:t>2</w:t>
            </w:r>
          </w:p>
        </w:tc>
        <w:tc>
          <w:tcPr>
            <w:tcW w:w="896" w:type="dxa"/>
            <w:tcBorders>
              <w:left w:val="single" w:sz="4" w:space="0" w:color="auto"/>
            </w:tcBorders>
            <w:noWrap/>
          </w:tcPr>
          <w:p w14:paraId="53F755D1" w14:textId="77777777" w:rsidR="00AB6753" w:rsidRPr="00F32D92" w:rsidRDefault="00AB6753" w:rsidP="002D1EA4">
            <w:pPr>
              <w:rPr>
                <w:rFonts w:cs="Arial"/>
                <w:sz w:val="20"/>
                <w:szCs w:val="20"/>
              </w:rPr>
            </w:pPr>
            <w:r w:rsidRPr="00F32D92">
              <w:rPr>
                <w:rFonts w:cs="Arial"/>
                <w:sz w:val="20"/>
                <w:szCs w:val="20"/>
              </w:rPr>
              <w:t>0</w:t>
            </w:r>
          </w:p>
        </w:tc>
        <w:tc>
          <w:tcPr>
            <w:tcW w:w="650" w:type="dxa"/>
            <w:noWrap/>
          </w:tcPr>
          <w:p w14:paraId="52A40DF6" w14:textId="77777777" w:rsidR="00AB6753" w:rsidRPr="00F32D92" w:rsidRDefault="00AB6753" w:rsidP="002D1EA4">
            <w:pPr>
              <w:rPr>
                <w:rFonts w:cs="Arial"/>
                <w:sz w:val="20"/>
                <w:szCs w:val="20"/>
              </w:rPr>
            </w:pPr>
            <w:r w:rsidRPr="00F32D92">
              <w:rPr>
                <w:rFonts w:cs="Arial"/>
                <w:color w:val="000000"/>
                <w:sz w:val="20"/>
                <w:szCs w:val="20"/>
              </w:rPr>
              <w:t>2</w:t>
            </w:r>
          </w:p>
        </w:tc>
        <w:tc>
          <w:tcPr>
            <w:tcW w:w="883" w:type="dxa"/>
            <w:tcBorders>
              <w:right w:val="single" w:sz="4" w:space="0" w:color="auto"/>
            </w:tcBorders>
            <w:noWrap/>
          </w:tcPr>
          <w:p w14:paraId="7AB88ACD" w14:textId="77777777" w:rsidR="00AB6753" w:rsidRPr="00F32D92" w:rsidRDefault="00AB6753" w:rsidP="002D1EA4">
            <w:pPr>
              <w:rPr>
                <w:rFonts w:cs="Arial"/>
                <w:sz w:val="20"/>
                <w:szCs w:val="20"/>
              </w:rPr>
            </w:pPr>
            <w:r w:rsidRPr="00F32D92">
              <w:rPr>
                <w:rFonts w:cs="Arial"/>
                <w:color w:val="000000"/>
                <w:sz w:val="20"/>
                <w:szCs w:val="20"/>
              </w:rPr>
              <w:t>2</w:t>
            </w:r>
          </w:p>
        </w:tc>
        <w:tc>
          <w:tcPr>
            <w:tcW w:w="896" w:type="dxa"/>
            <w:tcBorders>
              <w:left w:val="single" w:sz="4" w:space="0" w:color="auto"/>
            </w:tcBorders>
            <w:noWrap/>
          </w:tcPr>
          <w:p w14:paraId="14B1E505" w14:textId="77777777" w:rsidR="00AB6753" w:rsidRPr="00F32D92" w:rsidRDefault="00AB6753" w:rsidP="002D1EA4">
            <w:pPr>
              <w:rPr>
                <w:rFonts w:cs="Arial"/>
                <w:sz w:val="20"/>
                <w:szCs w:val="20"/>
              </w:rPr>
            </w:pPr>
            <w:r w:rsidRPr="00F32D92">
              <w:rPr>
                <w:rFonts w:cs="Arial"/>
                <w:sz w:val="20"/>
                <w:szCs w:val="20"/>
              </w:rPr>
              <w:t>-</w:t>
            </w:r>
          </w:p>
        </w:tc>
        <w:tc>
          <w:tcPr>
            <w:tcW w:w="650" w:type="dxa"/>
            <w:noWrap/>
          </w:tcPr>
          <w:p w14:paraId="07AB9EC0"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tcPr>
          <w:p w14:paraId="5DF5EC7D"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3E7E4EDA" w14:textId="77777777" w:rsidR="00AB6753" w:rsidRPr="00F32D92" w:rsidRDefault="00AB6753" w:rsidP="002D1EA4">
            <w:pPr>
              <w:rPr>
                <w:rFonts w:cs="Arial"/>
                <w:sz w:val="20"/>
                <w:szCs w:val="20"/>
              </w:rPr>
            </w:pPr>
            <w:r w:rsidRPr="00F32D92">
              <w:rPr>
                <w:rFonts w:cs="Arial"/>
                <w:color w:val="000000"/>
                <w:sz w:val="20"/>
                <w:szCs w:val="20"/>
              </w:rPr>
              <w:t>4</w:t>
            </w:r>
          </w:p>
        </w:tc>
      </w:tr>
      <w:tr w:rsidR="00AB6753" w:rsidRPr="00F32D92" w14:paraId="731E836C" w14:textId="77777777" w:rsidTr="002D1EA4">
        <w:trPr>
          <w:trHeight w:val="315"/>
          <w:jc w:val="center"/>
        </w:trPr>
        <w:tc>
          <w:tcPr>
            <w:tcW w:w="1696" w:type="dxa"/>
            <w:tcBorders>
              <w:left w:val="single" w:sz="4" w:space="0" w:color="auto"/>
              <w:right w:val="single" w:sz="4" w:space="0" w:color="auto"/>
            </w:tcBorders>
            <w:vAlign w:val="center"/>
          </w:tcPr>
          <w:p w14:paraId="3EF15B9F" w14:textId="77777777" w:rsidR="00AB6753" w:rsidRPr="00F32D92" w:rsidRDefault="00AB6753" w:rsidP="002D1EA4">
            <w:pPr>
              <w:rPr>
                <w:rFonts w:cs="Arial"/>
                <w:sz w:val="20"/>
                <w:szCs w:val="20"/>
              </w:rPr>
            </w:pPr>
            <w:r w:rsidRPr="00F32D92">
              <w:rPr>
                <w:rFonts w:cs="Arial"/>
                <w:sz w:val="20"/>
                <w:szCs w:val="20"/>
              </w:rPr>
              <w:t>Other</w:t>
            </w:r>
          </w:p>
        </w:tc>
        <w:tc>
          <w:tcPr>
            <w:tcW w:w="896" w:type="dxa"/>
            <w:tcBorders>
              <w:left w:val="single" w:sz="4" w:space="0" w:color="auto"/>
            </w:tcBorders>
            <w:noWrap/>
          </w:tcPr>
          <w:p w14:paraId="4C54CB5C" w14:textId="77777777" w:rsidR="00AB6753" w:rsidRPr="00F32D92" w:rsidRDefault="00AB6753" w:rsidP="002D1EA4">
            <w:pPr>
              <w:rPr>
                <w:rFonts w:cs="Arial"/>
                <w:sz w:val="20"/>
                <w:szCs w:val="20"/>
              </w:rPr>
            </w:pPr>
            <w:r w:rsidRPr="00F32D92">
              <w:rPr>
                <w:rFonts w:cs="Arial"/>
                <w:sz w:val="20"/>
                <w:szCs w:val="20"/>
              </w:rPr>
              <w:t>0</w:t>
            </w:r>
          </w:p>
        </w:tc>
        <w:tc>
          <w:tcPr>
            <w:tcW w:w="668" w:type="dxa"/>
            <w:noWrap/>
          </w:tcPr>
          <w:p w14:paraId="6C0A7823" w14:textId="77777777" w:rsidR="00AB6753" w:rsidRPr="00F32D92" w:rsidRDefault="00AB6753" w:rsidP="002D1EA4">
            <w:pPr>
              <w:rPr>
                <w:rFonts w:cs="Arial"/>
                <w:sz w:val="20"/>
                <w:szCs w:val="20"/>
              </w:rPr>
            </w:pPr>
            <w:r w:rsidRPr="00F32D92">
              <w:rPr>
                <w:rFonts w:cs="Arial"/>
                <w:sz w:val="20"/>
                <w:szCs w:val="20"/>
              </w:rPr>
              <w:t>0</w:t>
            </w:r>
          </w:p>
        </w:tc>
        <w:tc>
          <w:tcPr>
            <w:tcW w:w="709" w:type="dxa"/>
            <w:tcBorders>
              <w:right w:val="single" w:sz="4" w:space="0" w:color="auto"/>
            </w:tcBorders>
            <w:noWrap/>
          </w:tcPr>
          <w:p w14:paraId="68AFD03F"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tcPr>
          <w:p w14:paraId="3BD4F2B4" w14:textId="77777777" w:rsidR="00AB6753" w:rsidRPr="00F32D92" w:rsidRDefault="00AB6753" w:rsidP="002D1EA4">
            <w:pPr>
              <w:rPr>
                <w:rFonts w:cs="Arial"/>
                <w:sz w:val="20"/>
                <w:szCs w:val="20"/>
              </w:rPr>
            </w:pPr>
            <w:r w:rsidRPr="00F32D92">
              <w:rPr>
                <w:rFonts w:cs="Arial"/>
                <w:sz w:val="20"/>
                <w:szCs w:val="20"/>
              </w:rPr>
              <w:t>0</w:t>
            </w:r>
          </w:p>
        </w:tc>
        <w:tc>
          <w:tcPr>
            <w:tcW w:w="650" w:type="dxa"/>
            <w:noWrap/>
          </w:tcPr>
          <w:p w14:paraId="736FB9DB"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tcPr>
          <w:p w14:paraId="2039F7ED"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tcPr>
          <w:p w14:paraId="6AE91231" w14:textId="77777777" w:rsidR="00AB6753" w:rsidRPr="00F32D92" w:rsidRDefault="00AB6753" w:rsidP="002D1EA4">
            <w:pPr>
              <w:rPr>
                <w:rFonts w:cs="Arial"/>
                <w:sz w:val="20"/>
                <w:szCs w:val="20"/>
              </w:rPr>
            </w:pPr>
            <w:r w:rsidRPr="00F32D92">
              <w:rPr>
                <w:rFonts w:cs="Arial"/>
                <w:sz w:val="20"/>
                <w:szCs w:val="20"/>
              </w:rPr>
              <w:t>-</w:t>
            </w:r>
          </w:p>
        </w:tc>
        <w:tc>
          <w:tcPr>
            <w:tcW w:w="650" w:type="dxa"/>
            <w:noWrap/>
          </w:tcPr>
          <w:p w14:paraId="0A6BCC81"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tcPr>
          <w:p w14:paraId="64911726"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tcPr>
          <w:p w14:paraId="2D32060A"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2F1528CA" w14:textId="77777777" w:rsidTr="002D1EA4">
        <w:trPr>
          <w:trHeight w:val="315"/>
          <w:jc w:val="center"/>
        </w:trPr>
        <w:tc>
          <w:tcPr>
            <w:tcW w:w="1696" w:type="dxa"/>
            <w:tcBorders>
              <w:left w:val="single" w:sz="4" w:space="0" w:color="auto"/>
              <w:bottom w:val="single" w:sz="4" w:space="0" w:color="auto"/>
              <w:right w:val="single" w:sz="4" w:space="0" w:color="auto"/>
            </w:tcBorders>
            <w:vAlign w:val="center"/>
          </w:tcPr>
          <w:p w14:paraId="74A4C59C" w14:textId="77777777" w:rsidR="00AB6753" w:rsidRPr="00F32D92" w:rsidRDefault="00AB6753" w:rsidP="002D1EA4">
            <w:pPr>
              <w:rPr>
                <w:rFonts w:cs="Arial"/>
                <w:sz w:val="20"/>
                <w:szCs w:val="20"/>
              </w:rPr>
            </w:pPr>
            <w:r w:rsidRPr="00F32D92">
              <w:rPr>
                <w:rFonts w:cs="Arial"/>
                <w:sz w:val="20"/>
                <w:szCs w:val="20"/>
              </w:rPr>
              <w:t>Total</w:t>
            </w:r>
          </w:p>
        </w:tc>
        <w:tc>
          <w:tcPr>
            <w:tcW w:w="896" w:type="dxa"/>
            <w:tcBorders>
              <w:left w:val="single" w:sz="4" w:space="0" w:color="auto"/>
              <w:bottom w:val="single" w:sz="4" w:space="0" w:color="auto"/>
            </w:tcBorders>
            <w:noWrap/>
          </w:tcPr>
          <w:p w14:paraId="703DE9C8" w14:textId="77777777" w:rsidR="00AB6753" w:rsidRPr="00F32D92" w:rsidRDefault="00AB6753" w:rsidP="002D1EA4">
            <w:pPr>
              <w:rPr>
                <w:rFonts w:cs="Arial"/>
                <w:sz w:val="20"/>
                <w:szCs w:val="20"/>
              </w:rPr>
            </w:pPr>
            <w:r w:rsidRPr="00F32D92">
              <w:rPr>
                <w:rFonts w:cs="Arial"/>
                <w:b/>
                <w:bCs/>
                <w:color w:val="000000"/>
                <w:sz w:val="20"/>
                <w:szCs w:val="20"/>
              </w:rPr>
              <w:t>612</w:t>
            </w:r>
          </w:p>
        </w:tc>
        <w:tc>
          <w:tcPr>
            <w:tcW w:w="668" w:type="dxa"/>
            <w:tcBorders>
              <w:bottom w:val="single" w:sz="4" w:space="0" w:color="auto"/>
            </w:tcBorders>
            <w:noWrap/>
          </w:tcPr>
          <w:p w14:paraId="123E7E18" w14:textId="77777777" w:rsidR="00AB6753" w:rsidRPr="00F32D92" w:rsidRDefault="00AB6753" w:rsidP="002D1EA4">
            <w:pPr>
              <w:rPr>
                <w:rFonts w:cs="Arial"/>
                <w:sz w:val="20"/>
                <w:szCs w:val="20"/>
              </w:rPr>
            </w:pPr>
            <w:r w:rsidRPr="00F32D92">
              <w:rPr>
                <w:rFonts w:cs="Arial"/>
                <w:b/>
                <w:bCs/>
                <w:color w:val="000000"/>
                <w:sz w:val="20"/>
                <w:szCs w:val="20"/>
              </w:rPr>
              <w:t>45</w:t>
            </w:r>
          </w:p>
        </w:tc>
        <w:tc>
          <w:tcPr>
            <w:tcW w:w="709" w:type="dxa"/>
            <w:tcBorders>
              <w:bottom w:val="single" w:sz="4" w:space="0" w:color="auto"/>
              <w:right w:val="single" w:sz="4" w:space="0" w:color="auto"/>
            </w:tcBorders>
            <w:noWrap/>
          </w:tcPr>
          <w:p w14:paraId="02780982" w14:textId="77777777" w:rsidR="00AB6753" w:rsidRPr="00F32D92" w:rsidRDefault="00AB6753" w:rsidP="002D1EA4">
            <w:pPr>
              <w:rPr>
                <w:rFonts w:cs="Arial"/>
                <w:sz w:val="20"/>
                <w:szCs w:val="20"/>
              </w:rPr>
            </w:pPr>
            <w:r w:rsidRPr="00F32D92">
              <w:rPr>
                <w:rFonts w:cs="Arial"/>
                <w:b/>
                <w:bCs/>
                <w:color w:val="000000"/>
                <w:sz w:val="20"/>
                <w:szCs w:val="20"/>
              </w:rPr>
              <w:t>657</w:t>
            </w:r>
          </w:p>
        </w:tc>
        <w:tc>
          <w:tcPr>
            <w:tcW w:w="896" w:type="dxa"/>
            <w:tcBorders>
              <w:left w:val="single" w:sz="4" w:space="0" w:color="auto"/>
              <w:bottom w:val="single" w:sz="4" w:space="0" w:color="auto"/>
            </w:tcBorders>
            <w:noWrap/>
          </w:tcPr>
          <w:p w14:paraId="521168D6" w14:textId="77777777" w:rsidR="00AB6753" w:rsidRPr="00F32D92" w:rsidRDefault="00AB6753" w:rsidP="002D1EA4">
            <w:pPr>
              <w:rPr>
                <w:rFonts w:cs="Arial"/>
                <w:sz w:val="20"/>
                <w:szCs w:val="20"/>
              </w:rPr>
            </w:pPr>
            <w:r w:rsidRPr="00F32D92">
              <w:rPr>
                <w:rFonts w:cs="Arial"/>
                <w:b/>
                <w:bCs/>
                <w:color w:val="000000"/>
                <w:sz w:val="20"/>
                <w:szCs w:val="20"/>
              </w:rPr>
              <w:t>1</w:t>
            </w:r>
            <w:r>
              <w:rPr>
                <w:rFonts w:cs="Arial"/>
                <w:b/>
                <w:bCs/>
                <w:color w:val="000000"/>
                <w:sz w:val="20"/>
                <w:szCs w:val="20"/>
              </w:rPr>
              <w:t>,</w:t>
            </w:r>
            <w:r w:rsidRPr="00F32D92">
              <w:rPr>
                <w:rFonts w:cs="Arial"/>
                <w:b/>
                <w:bCs/>
                <w:color w:val="000000"/>
                <w:sz w:val="20"/>
                <w:szCs w:val="20"/>
              </w:rPr>
              <w:t>291</w:t>
            </w:r>
          </w:p>
        </w:tc>
        <w:tc>
          <w:tcPr>
            <w:tcW w:w="650" w:type="dxa"/>
            <w:tcBorders>
              <w:bottom w:val="single" w:sz="4" w:space="0" w:color="auto"/>
            </w:tcBorders>
            <w:noWrap/>
          </w:tcPr>
          <w:p w14:paraId="00EFC4D2" w14:textId="77777777" w:rsidR="00AB6753" w:rsidRPr="00F32D92" w:rsidRDefault="00AB6753" w:rsidP="002D1EA4">
            <w:pPr>
              <w:rPr>
                <w:rFonts w:cs="Arial"/>
                <w:sz w:val="20"/>
                <w:szCs w:val="20"/>
              </w:rPr>
            </w:pPr>
            <w:r w:rsidRPr="00F32D92">
              <w:rPr>
                <w:rFonts w:cs="Arial"/>
                <w:b/>
                <w:bCs/>
                <w:color w:val="000000"/>
                <w:sz w:val="20"/>
                <w:szCs w:val="20"/>
              </w:rPr>
              <w:t>371</w:t>
            </w:r>
          </w:p>
        </w:tc>
        <w:tc>
          <w:tcPr>
            <w:tcW w:w="883" w:type="dxa"/>
            <w:tcBorders>
              <w:bottom w:val="single" w:sz="4" w:space="0" w:color="auto"/>
              <w:right w:val="single" w:sz="4" w:space="0" w:color="auto"/>
            </w:tcBorders>
            <w:noWrap/>
          </w:tcPr>
          <w:p w14:paraId="095E6610" w14:textId="77777777" w:rsidR="00AB6753" w:rsidRPr="00F32D92" w:rsidRDefault="00AB6753" w:rsidP="002D1EA4">
            <w:pPr>
              <w:rPr>
                <w:rFonts w:cs="Arial"/>
                <w:sz w:val="20"/>
                <w:szCs w:val="20"/>
              </w:rPr>
            </w:pPr>
            <w:r w:rsidRPr="00F32D92">
              <w:rPr>
                <w:rFonts w:cs="Arial"/>
                <w:b/>
                <w:bCs/>
                <w:color w:val="000000"/>
                <w:sz w:val="20"/>
                <w:szCs w:val="20"/>
              </w:rPr>
              <w:t>1</w:t>
            </w:r>
            <w:r>
              <w:rPr>
                <w:rFonts w:cs="Arial"/>
                <w:b/>
                <w:bCs/>
                <w:color w:val="000000"/>
                <w:sz w:val="20"/>
                <w:szCs w:val="20"/>
              </w:rPr>
              <w:t>,</w:t>
            </w:r>
            <w:r w:rsidRPr="00F32D92">
              <w:rPr>
                <w:rFonts w:cs="Arial"/>
                <w:b/>
                <w:bCs/>
                <w:color w:val="000000"/>
                <w:sz w:val="20"/>
                <w:szCs w:val="20"/>
              </w:rPr>
              <w:t>662</w:t>
            </w:r>
          </w:p>
        </w:tc>
        <w:tc>
          <w:tcPr>
            <w:tcW w:w="896" w:type="dxa"/>
            <w:tcBorders>
              <w:left w:val="single" w:sz="4" w:space="0" w:color="auto"/>
              <w:bottom w:val="single" w:sz="4" w:space="0" w:color="auto"/>
            </w:tcBorders>
            <w:noWrap/>
          </w:tcPr>
          <w:p w14:paraId="057E2904" w14:textId="77777777" w:rsidR="00AB6753" w:rsidRPr="00F32D92" w:rsidRDefault="00AB6753" w:rsidP="002D1EA4">
            <w:pPr>
              <w:rPr>
                <w:rFonts w:cs="Arial"/>
                <w:sz w:val="20"/>
                <w:szCs w:val="20"/>
              </w:rPr>
            </w:pPr>
            <w:r w:rsidRPr="00F32D92">
              <w:rPr>
                <w:rFonts w:cs="Arial"/>
                <w:sz w:val="20"/>
                <w:szCs w:val="20"/>
              </w:rPr>
              <w:t>-</w:t>
            </w:r>
          </w:p>
        </w:tc>
        <w:tc>
          <w:tcPr>
            <w:tcW w:w="650" w:type="dxa"/>
            <w:tcBorders>
              <w:bottom w:val="single" w:sz="4" w:space="0" w:color="auto"/>
            </w:tcBorders>
            <w:noWrap/>
          </w:tcPr>
          <w:p w14:paraId="53F83C15" w14:textId="77777777" w:rsidR="00AB6753" w:rsidRPr="00F32D92" w:rsidRDefault="00AB6753" w:rsidP="002D1EA4">
            <w:pPr>
              <w:rPr>
                <w:rFonts w:cs="Arial"/>
                <w:sz w:val="20"/>
                <w:szCs w:val="20"/>
              </w:rPr>
            </w:pPr>
            <w:r w:rsidRPr="00F32D92">
              <w:rPr>
                <w:rFonts w:cs="Arial"/>
                <w:sz w:val="20"/>
                <w:szCs w:val="20"/>
              </w:rPr>
              <w:t>-</w:t>
            </w:r>
          </w:p>
        </w:tc>
        <w:tc>
          <w:tcPr>
            <w:tcW w:w="1439" w:type="dxa"/>
            <w:tcBorders>
              <w:bottom w:val="single" w:sz="4" w:space="0" w:color="auto"/>
              <w:right w:val="single" w:sz="4" w:space="0" w:color="auto"/>
            </w:tcBorders>
            <w:noWrap/>
          </w:tcPr>
          <w:p w14:paraId="7525C79B"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bottom w:val="single" w:sz="4" w:space="0" w:color="auto"/>
              <w:right w:val="single" w:sz="4" w:space="0" w:color="auto"/>
            </w:tcBorders>
          </w:tcPr>
          <w:p w14:paraId="456782E3" w14:textId="77777777" w:rsidR="00AB6753" w:rsidRPr="00F32D92" w:rsidRDefault="00AB6753" w:rsidP="002D1EA4">
            <w:pPr>
              <w:rPr>
                <w:rFonts w:cs="Arial"/>
                <w:b/>
                <w:bCs/>
                <w:color w:val="000000"/>
                <w:sz w:val="20"/>
                <w:szCs w:val="20"/>
              </w:rPr>
            </w:pPr>
            <w:r w:rsidRPr="00F32D92">
              <w:rPr>
                <w:rFonts w:cs="Arial"/>
                <w:b/>
                <w:bCs/>
                <w:color w:val="000000"/>
                <w:sz w:val="20"/>
                <w:szCs w:val="20"/>
              </w:rPr>
              <w:t>2</w:t>
            </w:r>
            <w:r>
              <w:rPr>
                <w:rFonts w:cs="Arial"/>
                <w:b/>
                <w:bCs/>
                <w:color w:val="000000"/>
                <w:sz w:val="20"/>
                <w:szCs w:val="20"/>
              </w:rPr>
              <w:t>,</w:t>
            </w:r>
            <w:r w:rsidRPr="00F32D92">
              <w:rPr>
                <w:rFonts w:cs="Arial"/>
                <w:b/>
                <w:bCs/>
                <w:color w:val="000000"/>
                <w:sz w:val="20"/>
                <w:szCs w:val="20"/>
              </w:rPr>
              <w:t>319</w:t>
            </w:r>
          </w:p>
        </w:tc>
      </w:tr>
    </w:tbl>
    <w:p w14:paraId="59CA9D8E" w14:textId="77777777" w:rsidR="00AB6753" w:rsidRPr="00123D6C" w:rsidRDefault="00AB6753" w:rsidP="00AB6753">
      <w:pPr>
        <w:autoSpaceDE w:val="0"/>
        <w:autoSpaceDN w:val="0"/>
        <w:adjustRightInd w:val="0"/>
        <w:spacing w:before="200" w:line="221" w:lineRule="atLeast"/>
        <w:ind w:right="-164"/>
        <w:rPr>
          <w:sz w:val="20"/>
          <w:szCs w:val="20"/>
        </w:rPr>
      </w:pPr>
      <w:bookmarkStart w:id="291" w:name="_Toc5705964"/>
      <w:r w:rsidRPr="00123D6C">
        <w:rPr>
          <w:sz w:val="20"/>
          <w:szCs w:val="20"/>
        </w:rPr>
        <w:t>*The Secretary has been excluded from staffing figures for 2019</w:t>
      </w:r>
      <w:r>
        <w:rPr>
          <w:sz w:val="20"/>
          <w:szCs w:val="20"/>
        </w:rPr>
        <w:t>–</w:t>
      </w:r>
      <w:r w:rsidRPr="00123D6C">
        <w:rPr>
          <w:sz w:val="20"/>
          <w:szCs w:val="20"/>
        </w:rPr>
        <w:t>20 as a non-APS employee.</w:t>
      </w:r>
    </w:p>
    <w:p w14:paraId="4D0B3810" w14:textId="77777777" w:rsidR="00AB6753" w:rsidRPr="00CF02C1" w:rsidRDefault="00AB6753" w:rsidP="00AB6753">
      <w:r w:rsidRPr="00CF02C1">
        <w:br w:type="page"/>
      </w:r>
    </w:p>
    <w:p w14:paraId="427291BB" w14:textId="77777777" w:rsidR="00AB6753" w:rsidRPr="00A050FC" w:rsidRDefault="00AB6753" w:rsidP="00AB6753">
      <w:pPr>
        <w:rPr>
          <w:rFonts w:ascii="Arial Narrow" w:hAnsi="Arial Narrow" w:cs="Calibri"/>
          <w:b/>
          <w:sz w:val="20"/>
          <w:szCs w:val="20"/>
        </w:rPr>
      </w:pPr>
      <w:r>
        <w:rPr>
          <w:rFonts w:ascii="Arial Narrow" w:hAnsi="Arial Narrow" w:cs="Calibri"/>
          <w:b/>
          <w:sz w:val="20"/>
          <w:szCs w:val="20"/>
        </w:rPr>
        <w:lastRenderedPageBreak/>
        <w:t xml:space="preserve">Table F-10 </w:t>
      </w:r>
      <w:r w:rsidRPr="00A050FC">
        <w:rPr>
          <w:rFonts w:ascii="Arial Narrow" w:hAnsi="Arial Narrow" w:cs="Calibri"/>
          <w:b/>
          <w:sz w:val="20"/>
          <w:szCs w:val="20"/>
        </w:rPr>
        <w:t>17AG (4)(b)(</w:t>
      </w:r>
      <w:proofErr w:type="spellStart"/>
      <w:r w:rsidRPr="00A050FC">
        <w:rPr>
          <w:rFonts w:ascii="Arial Narrow" w:hAnsi="Arial Narrow" w:cs="Calibri"/>
          <w:b/>
          <w:sz w:val="20"/>
          <w:szCs w:val="20"/>
        </w:rPr>
        <w:t>i</w:t>
      </w:r>
      <w:proofErr w:type="spellEnd"/>
      <w:r w:rsidRPr="00A050FC">
        <w:rPr>
          <w:rFonts w:ascii="Arial Narrow" w:hAnsi="Arial Narrow" w:cs="Calibri"/>
          <w:b/>
          <w:sz w:val="20"/>
          <w:szCs w:val="20"/>
        </w:rPr>
        <w:t>) – (iv) — Australian Public Service Act Non-Ongoing Employees Current Report Period</w:t>
      </w:r>
      <w:r>
        <w:rPr>
          <w:rFonts w:ascii="Arial Narrow" w:hAnsi="Arial Narrow" w:cs="Calibri"/>
          <w:b/>
          <w:sz w:val="20"/>
          <w:szCs w:val="20"/>
        </w:rPr>
        <w:t xml:space="preserve"> </w:t>
      </w:r>
      <w:r w:rsidRPr="00A050FC">
        <w:rPr>
          <w:rFonts w:ascii="Arial Narrow" w:hAnsi="Arial Narrow" w:cs="Calibri"/>
          <w:b/>
          <w:sz w:val="20"/>
          <w:szCs w:val="20"/>
        </w:rPr>
        <w:t>(2019–20)</w:t>
      </w:r>
      <w:bookmarkEnd w:id="291"/>
    </w:p>
    <w:tbl>
      <w:tblPr>
        <w:tblW w:w="10066" w:type="dxa"/>
        <w:jc w:val="center"/>
        <w:tblLook w:val="04A0" w:firstRow="1" w:lastRow="0" w:firstColumn="1" w:lastColumn="0" w:noHBand="0" w:noVBand="1"/>
        <w:tblCaption w:val="Table F-10 17AG (4)(b)(i)–(iv) Australian Public Service Act Non-Ongoing Employees"/>
        <w:tblDescription w:val="Table 17AG (4)(b)(i)–(iv) Australian Public Service Act Non-Ongoing Employees. Current Report Period (2019-20)"/>
      </w:tblPr>
      <w:tblGrid>
        <w:gridCol w:w="1696"/>
        <w:gridCol w:w="896"/>
        <w:gridCol w:w="650"/>
        <w:gridCol w:w="749"/>
        <w:gridCol w:w="896"/>
        <w:gridCol w:w="650"/>
        <w:gridCol w:w="883"/>
        <w:gridCol w:w="896"/>
        <w:gridCol w:w="650"/>
        <w:gridCol w:w="1439"/>
        <w:gridCol w:w="661"/>
      </w:tblGrid>
      <w:tr w:rsidR="00AB6753" w:rsidRPr="00F32D92" w14:paraId="14E0851E" w14:textId="77777777" w:rsidTr="002D1EA4">
        <w:trPr>
          <w:trHeight w:val="300"/>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04D9D8F" w14:textId="77777777" w:rsidR="00AB6753" w:rsidRPr="00F32D92" w:rsidRDefault="00AB6753" w:rsidP="002D1EA4">
            <w:pPr>
              <w:rPr>
                <w:rFonts w:cs="Arial"/>
                <w:sz w:val="20"/>
                <w:szCs w:val="20"/>
              </w:rPr>
            </w:pPr>
          </w:p>
        </w:tc>
        <w:tc>
          <w:tcPr>
            <w:tcW w:w="229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CA23CA1" w14:textId="77777777" w:rsidR="00AB6753" w:rsidRPr="00F32D92" w:rsidRDefault="00AB6753" w:rsidP="002D1EA4">
            <w:pPr>
              <w:rPr>
                <w:rFonts w:cs="Arial"/>
                <w:sz w:val="20"/>
                <w:szCs w:val="20"/>
              </w:rPr>
            </w:pPr>
            <w:r w:rsidRPr="00F32D92">
              <w:rPr>
                <w:rFonts w:cs="Arial"/>
                <w:sz w:val="20"/>
                <w:szCs w:val="20"/>
              </w:rPr>
              <w:t>Male</w:t>
            </w:r>
          </w:p>
        </w:tc>
        <w:tc>
          <w:tcPr>
            <w:tcW w:w="242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6FCE9D7" w14:textId="77777777" w:rsidR="00AB6753" w:rsidRPr="00F32D92" w:rsidRDefault="00AB6753" w:rsidP="002D1EA4">
            <w:pPr>
              <w:rPr>
                <w:rFonts w:cs="Arial"/>
                <w:sz w:val="20"/>
                <w:szCs w:val="20"/>
              </w:rPr>
            </w:pPr>
            <w:r w:rsidRPr="00F32D92">
              <w:rPr>
                <w:rFonts w:cs="Arial"/>
                <w:sz w:val="20"/>
                <w:szCs w:val="20"/>
              </w:rPr>
              <w:t>Female</w:t>
            </w:r>
          </w:p>
        </w:tc>
        <w:tc>
          <w:tcPr>
            <w:tcW w:w="298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FA3D8F6" w14:textId="77777777" w:rsidR="00AB6753" w:rsidRPr="00F32D92" w:rsidRDefault="00AB6753" w:rsidP="002D1EA4">
            <w:pPr>
              <w:rPr>
                <w:rFonts w:cs="Arial"/>
                <w:sz w:val="20"/>
                <w:szCs w:val="20"/>
              </w:rPr>
            </w:pPr>
            <w:r w:rsidRPr="00F32D92">
              <w:rPr>
                <w:rFonts w:cs="Arial"/>
                <w:sz w:val="20"/>
                <w:szCs w:val="20"/>
              </w:rPr>
              <w:t>Indeterminate</w:t>
            </w:r>
          </w:p>
        </w:tc>
        <w:tc>
          <w:tcPr>
            <w:tcW w:w="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C738F3" w14:textId="77777777" w:rsidR="00AB6753" w:rsidRPr="00F32D92" w:rsidRDefault="00AB6753" w:rsidP="002D1EA4">
            <w:pPr>
              <w:rPr>
                <w:rFonts w:cs="Arial"/>
                <w:sz w:val="20"/>
                <w:szCs w:val="20"/>
              </w:rPr>
            </w:pPr>
            <w:r w:rsidRPr="00F32D92">
              <w:rPr>
                <w:rFonts w:cs="Arial"/>
                <w:sz w:val="20"/>
                <w:szCs w:val="20"/>
              </w:rPr>
              <w:t>Total</w:t>
            </w:r>
          </w:p>
        </w:tc>
      </w:tr>
      <w:tr w:rsidR="00AB6753" w:rsidRPr="00F32D92" w14:paraId="2E0A8030" w14:textId="77777777" w:rsidTr="002D1EA4">
        <w:trPr>
          <w:trHeight w:val="615"/>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45F8447" w14:textId="77777777" w:rsidR="00AB6753" w:rsidRPr="00F32D92" w:rsidRDefault="00AB6753" w:rsidP="002D1EA4">
            <w:pPr>
              <w:rPr>
                <w:rFonts w:cs="Arial"/>
                <w:sz w:val="20"/>
                <w:szCs w:val="20"/>
              </w:rPr>
            </w:pPr>
          </w:p>
        </w:tc>
        <w:tc>
          <w:tcPr>
            <w:tcW w:w="8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F6249FE" w14:textId="77777777" w:rsidR="00AB6753" w:rsidRPr="00F32D92" w:rsidRDefault="00AB6753" w:rsidP="002D1EA4">
            <w:pPr>
              <w:rPr>
                <w:rFonts w:cs="Arial"/>
                <w:sz w:val="20"/>
                <w:szCs w:val="20"/>
              </w:rPr>
            </w:pPr>
            <w:r w:rsidRPr="00F32D92">
              <w:rPr>
                <w:rFonts w:cs="Arial"/>
                <w:sz w:val="20"/>
                <w:szCs w:val="20"/>
              </w:rPr>
              <w:t>Full-time</w:t>
            </w:r>
          </w:p>
        </w:tc>
        <w:tc>
          <w:tcPr>
            <w:tcW w:w="65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8BD89F0" w14:textId="77777777" w:rsidR="00AB6753" w:rsidRPr="00F32D92" w:rsidRDefault="00AB6753" w:rsidP="002D1EA4">
            <w:pPr>
              <w:rPr>
                <w:rFonts w:cs="Arial"/>
                <w:sz w:val="20"/>
                <w:szCs w:val="20"/>
              </w:rPr>
            </w:pPr>
            <w:r w:rsidRPr="00F32D92">
              <w:rPr>
                <w:rFonts w:cs="Arial"/>
                <w:sz w:val="20"/>
                <w:szCs w:val="20"/>
              </w:rPr>
              <w:t>Part-time</w:t>
            </w:r>
          </w:p>
        </w:tc>
        <w:tc>
          <w:tcPr>
            <w:tcW w:w="74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A618EE8" w14:textId="77777777" w:rsidR="00AB6753" w:rsidRPr="00F32D92" w:rsidRDefault="00AB6753" w:rsidP="002D1EA4">
            <w:pPr>
              <w:rPr>
                <w:rFonts w:cs="Arial"/>
                <w:sz w:val="20"/>
                <w:szCs w:val="20"/>
              </w:rPr>
            </w:pPr>
            <w:r w:rsidRPr="00F32D92">
              <w:rPr>
                <w:rFonts w:cs="Arial"/>
                <w:sz w:val="20"/>
                <w:szCs w:val="20"/>
              </w:rPr>
              <w:t>Total Male</w:t>
            </w:r>
          </w:p>
        </w:tc>
        <w:tc>
          <w:tcPr>
            <w:tcW w:w="8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BB44881" w14:textId="77777777" w:rsidR="00AB6753" w:rsidRPr="00F32D92" w:rsidRDefault="00AB6753" w:rsidP="002D1EA4">
            <w:pPr>
              <w:rPr>
                <w:rFonts w:cs="Arial"/>
                <w:sz w:val="20"/>
                <w:szCs w:val="20"/>
              </w:rPr>
            </w:pPr>
            <w:r w:rsidRPr="00F32D92">
              <w:rPr>
                <w:rFonts w:cs="Arial"/>
                <w:sz w:val="20"/>
                <w:szCs w:val="20"/>
              </w:rPr>
              <w:t>Full-time</w:t>
            </w:r>
          </w:p>
        </w:tc>
        <w:tc>
          <w:tcPr>
            <w:tcW w:w="65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E4E37D6" w14:textId="77777777" w:rsidR="00AB6753" w:rsidRPr="00F32D92" w:rsidRDefault="00AB6753" w:rsidP="002D1EA4">
            <w:pPr>
              <w:rPr>
                <w:rFonts w:cs="Arial"/>
                <w:sz w:val="20"/>
                <w:szCs w:val="20"/>
              </w:rPr>
            </w:pPr>
            <w:r w:rsidRPr="00F32D92">
              <w:rPr>
                <w:rFonts w:cs="Arial"/>
                <w:sz w:val="20"/>
                <w:szCs w:val="20"/>
              </w:rPr>
              <w:t>Part-time</w:t>
            </w:r>
          </w:p>
        </w:tc>
        <w:tc>
          <w:tcPr>
            <w:tcW w:w="88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9C0BE58" w14:textId="77777777" w:rsidR="00AB6753" w:rsidRPr="00F32D92" w:rsidRDefault="00AB6753" w:rsidP="002D1EA4">
            <w:pPr>
              <w:rPr>
                <w:rFonts w:cs="Arial"/>
                <w:sz w:val="20"/>
                <w:szCs w:val="20"/>
              </w:rPr>
            </w:pPr>
            <w:r w:rsidRPr="00F32D92">
              <w:rPr>
                <w:rFonts w:cs="Arial"/>
                <w:sz w:val="20"/>
                <w:szCs w:val="20"/>
              </w:rPr>
              <w:t>Total Female</w:t>
            </w:r>
          </w:p>
        </w:tc>
        <w:tc>
          <w:tcPr>
            <w:tcW w:w="8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2531940" w14:textId="77777777" w:rsidR="00AB6753" w:rsidRPr="00F32D92" w:rsidRDefault="00AB6753" w:rsidP="002D1EA4">
            <w:pPr>
              <w:rPr>
                <w:rFonts w:cs="Arial"/>
                <w:sz w:val="20"/>
                <w:szCs w:val="20"/>
              </w:rPr>
            </w:pPr>
            <w:r w:rsidRPr="00F32D92">
              <w:rPr>
                <w:rFonts w:cs="Arial"/>
                <w:sz w:val="20"/>
                <w:szCs w:val="20"/>
              </w:rPr>
              <w:t>Full-time</w:t>
            </w:r>
          </w:p>
        </w:tc>
        <w:tc>
          <w:tcPr>
            <w:tcW w:w="65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8FC7994" w14:textId="77777777" w:rsidR="00AB6753" w:rsidRPr="00F32D92" w:rsidRDefault="00AB6753" w:rsidP="002D1EA4">
            <w:pPr>
              <w:rPr>
                <w:rFonts w:cs="Arial"/>
                <w:sz w:val="20"/>
                <w:szCs w:val="20"/>
              </w:rPr>
            </w:pPr>
            <w:r w:rsidRPr="00F32D92">
              <w:rPr>
                <w:rFonts w:cs="Arial"/>
                <w:sz w:val="20"/>
                <w:szCs w:val="20"/>
              </w:rPr>
              <w:t>Part-time</w:t>
            </w:r>
          </w:p>
        </w:tc>
        <w:tc>
          <w:tcPr>
            <w:tcW w:w="14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D0E7A0" w14:textId="77777777" w:rsidR="00AB6753" w:rsidRPr="00F32D92" w:rsidRDefault="00AB6753" w:rsidP="002D1EA4">
            <w:pPr>
              <w:rPr>
                <w:rFonts w:cs="Arial"/>
                <w:sz w:val="20"/>
                <w:szCs w:val="20"/>
              </w:rPr>
            </w:pPr>
            <w:r w:rsidRPr="00F32D92">
              <w:rPr>
                <w:rFonts w:cs="Arial"/>
                <w:sz w:val="20"/>
                <w:szCs w:val="20"/>
              </w:rPr>
              <w:t>Total Indeterminate</w:t>
            </w:r>
          </w:p>
        </w:tc>
        <w:tc>
          <w:tcPr>
            <w:tcW w:w="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52BC32" w14:textId="77777777" w:rsidR="00AB6753" w:rsidRPr="00F32D92" w:rsidRDefault="00AB6753" w:rsidP="002D1EA4">
            <w:pPr>
              <w:rPr>
                <w:rFonts w:cs="Arial"/>
                <w:sz w:val="20"/>
                <w:szCs w:val="20"/>
              </w:rPr>
            </w:pPr>
          </w:p>
        </w:tc>
      </w:tr>
      <w:tr w:rsidR="00AB6753" w:rsidRPr="00F32D92" w14:paraId="6E1177D2" w14:textId="77777777" w:rsidTr="002D1EA4">
        <w:trPr>
          <w:trHeight w:val="315"/>
          <w:jc w:val="center"/>
        </w:trPr>
        <w:tc>
          <w:tcPr>
            <w:tcW w:w="1696" w:type="dxa"/>
            <w:tcBorders>
              <w:top w:val="single" w:sz="4" w:space="0" w:color="auto"/>
              <w:left w:val="single" w:sz="4" w:space="0" w:color="auto"/>
              <w:right w:val="single" w:sz="4" w:space="0" w:color="auto"/>
            </w:tcBorders>
            <w:vAlign w:val="center"/>
            <w:hideMark/>
          </w:tcPr>
          <w:p w14:paraId="63E489DA" w14:textId="77777777" w:rsidR="00AB6753" w:rsidRPr="00F32D92" w:rsidRDefault="00AB6753" w:rsidP="002D1EA4">
            <w:pPr>
              <w:rPr>
                <w:rFonts w:cs="Arial"/>
                <w:sz w:val="20"/>
                <w:szCs w:val="20"/>
              </w:rPr>
            </w:pPr>
            <w:r w:rsidRPr="00F32D92">
              <w:rPr>
                <w:rFonts w:cs="Arial"/>
                <w:sz w:val="20"/>
                <w:szCs w:val="20"/>
              </w:rPr>
              <w:t>SES 3</w:t>
            </w:r>
          </w:p>
        </w:tc>
        <w:tc>
          <w:tcPr>
            <w:tcW w:w="896" w:type="dxa"/>
            <w:tcBorders>
              <w:top w:val="single" w:sz="4" w:space="0" w:color="auto"/>
              <w:left w:val="single" w:sz="4" w:space="0" w:color="auto"/>
            </w:tcBorders>
            <w:noWrap/>
            <w:vAlign w:val="center"/>
          </w:tcPr>
          <w:p w14:paraId="518956EC" w14:textId="77777777" w:rsidR="00AB6753" w:rsidRPr="00F32D92" w:rsidRDefault="00AB6753" w:rsidP="002D1EA4">
            <w:pPr>
              <w:rPr>
                <w:rFonts w:cs="Arial"/>
                <w:sz w:val="20"/>
                <w:szCs w:val="20"/>
              </w:rPr>
            </w:pPr>
            <w:r w:rsidRPr="00F32D92">
              <w:rPr>
                <w:rFonts w:cs="Arial"/>
                <w:sz w:val="20"/>
                <w:szCs w:val="20"/>
              </w:rPr>
              <w:t>0</w:t>
            </w:r>
          </w:p>
        </w:tc>
        <w:tc>
          <w:tcPr>
            <w:tcW w:w="650" w:type="dxa"/>
            <w:tcBorders>
              <w:top w:val="single" w:sz="4" w:space="0" w:color="auto"/>
            </w:tcBorders>
            <w:noWrap/>
            <w:vAlign w:val="center"/>
            <w:hideMark/>
          </w:tcPr>
          <w:p w14:paraId="1CD876B3" w14:textId="77777777" w:rsidR="00AB6753" w:rsidRPr="00F32D92" w:rsidRDefault="00AB6753" w:rsidP="002D1EA4">
            <w:pPr>
              <w:rPr>
                <w:rFonts w:cs="Arial"/>
                <w:sz w:val="20"/>
                <w:szCs w:val="20"/>
              </w:rPr>
            </w:pPr>
            <w:r w:rsidRPr="00F32D92">
              <w:rPr>
                <w:rFonts w:cs="Arial"/>
                <w:sz w:val="20"/>
                <w:szCs w:val="20"/>
              </w:rPr>
              <w:t>0</w:t>
            </w:r>
          </w:p>
        </w:tc>
        <w:tc>
          <w:tcPr>
            <w:tcW w:w="749" w:type="dxa"/>
            <w:tcBorders>
              <w:top w:val="single" w:sz="4" w:space="0" w:color="auto"/>
              <w:right w:val="single" w:sz="4" w:space="0" w:color="auto"/>
            </w:tcBorders>
            <w:noWrap/>
            <w:vAlign w:val="center"/>
            <w:hideMark/>
          </w:tcPr>
          <w:p w14:paraId="374E7823" w14:textId="77777777" w:rsidR="00AB6753" w:rsidRPr="00F32D92" w:rsidRDefault="00AB6753" w:rsidP="002D1EA4">
            <w:pPr>
              <w:rPr>
                <w:rFonts w:cs="Arial"/>
                <w:sz w:val="20"/>
                <w:szCs w:val="20"/>
              </w:rPr>
            </w:pPr>
            <w:r w:rsidRPr="00F32D92">
              <w:rPr>
                <w:rFonts w:cs="Arial"/>
                <w:sz w:val="20"/>
                <w:szCs w:val="20"/>
              </w:rPr>
              <w:t>0</w:t>
            </w:r>
          </w:p>
        </w:tc>
        <w:tc>
          <w:tcPr>
            <w:tcW w:w="896" w:type="dxa"/>
            <w:tcBorders>
              <w:top w:val="single" w:sz="4" w:space="0" w:color="auto"/>
              <w:left w:val="single" w:sz="4" w:space="0" w:color="auto"/>
            </w:tcBorders>
            <w:noWrap/>
            <w:vAlign w:val="center"/>
            <w:hideMark/>
          </w:tcPr>
          <w:p w14:paraId="586398A7" w14:textId="77777777" w:rsidR="00AB6753" w:rsidRPr="00F32D92" w:rsidRDefault="00AB6753" w:rsidP="002D1EA4">
            <w:pPr>
              <w:rPr>
                <w:rFonts w:cs="Arial"/>
                <w:sz w:val="20"/>
                <w:szCs w:val="20"/>
              </w:rPr>
            </w:pPr>
            <w:r w:rsidRPr="00F32D92">
              <w:rPr>
                <w:rFonts w:cs="Arial"/>
                <w:sz w:val="20"/>
                <w:szCs w:val="20"/>
              </w:rPr>
              <w:t>0</w:t>
            </w:r>
          </w:p>
        </w:tc>
        <w:tc>
          <w:tcPr>
            <w:tcW w:w="650" w:type="dxa"/>
            <w:tcBorders>
              <w:top w:val="single" w:sz="4" w:space="0" w:color="auto"/>
            </w:tcBorders>
            <w:noWrap/>
            <w:vAlign w:val="center"/>
            <w:hideMark/>
          </w:tcPr>
          <w:p w14:paraId="7FE41282" w14:textId="77777777" w:rsidR="00AB6753" w:rsidRPr="00F32D92" w:rsidRDefault="00AB6753" w:rsidP="002D1EA4">
            <w:pPr>
              <w:rPr>
                <w:rFonts w:cs="Arial"/>
                <w:sz w:val="20"/>
                <w:szCs w:val="20"/>
              </w:rPr>
            </w:pPr>
            <w:r w:rsidRPr="00F32D92">
              <w:rPr>
                <w:rFonts w:cs="Arial"/>
                <w:sz w:val="20"/>
                <w:szCs w:val="20"/>
              </w:rPr>
              <w:t>0</w:t>
            </w:r>
          </w:p>
        </w:tc>
        <w:tc>
          <w:tcPr>
            <w:tcW w:w="883" w:type="dxa"/>
            <w:tcBorders>
              <w:top w:val="single" w:sz="4" w:space="0" w:color="auto"/>
              <w:right w:val="single" w:sz="4" w:space="0" w:color="auto"/>
            </w:tcBorders>
            <w:noWrap/>
            <w:vAlign w:val="center"/>
            <w:hideMark/>
          </w:tcPr>
          <w:p w14:paraId="6BA70F3E" w14:textId="77777777" w:rsidR="00AB6753" w:rsidRPr="00F32D92" w:rsidRDefault="00AB6753" w:rsidP="002D1EA4">
            <w:pPr>
              <w:rPr>
                <w:rFonts w:cs="Arial"/>
                <w:sz w:val="20"/>
                <w:szCs w:val="20"/>
              </w:rPr>
            </w:pPr>
            <w:r w:rsidRPr="00F32D92">
              <w:rPr>
                <w:rFonts w:cs="Arial"/>
                <w:sz w:val="20"/>
                <w:szCs w:val="20"/>
              </w:rPr>
              <w:t>0</w:t>
            </w:r>
          </w:p>
        </w:tc>
        <w:tc>
          <w:tcPr>
            <w:tcW w:w="896" w:type="dxa"/>
            <w:tcBorders>
              <w:top w:val="single" w:sz="4" w:space="0" w:color="auto"/>
              <w:left w:val="single" w:sz="4" w:space="0" w:color="auto"/>
            </w:tcBorders>
            <w:noWrap/>
            <w:vAlign w:val="center"/>
            <w:hideMark/>
          </w:tcPr>
          <w:p w14:paraId="0300ADD8"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single" w:sz="4" w:space="0" w:color="auto"/>
            </w:tcBorders>
            <w:noWrap/>
            <w:vAlign w:val="center"/>
            <w:hideMark/>
          </w:tcPr>
          <w:p w14:paraId="4C19F5BC"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single" w:sz="4" w:space="0" w:color="auto"/>
              <w:right w:val="single" w:sz="4" w:space="0" w:color="auto"/>
            </w:tcBorders>
            <w:noWrap/>
            <w:vAlign w:val="center"/>
            <w:hideMark/>
          </w:tcPr>
          <w:p w14:paraId="1AF504F8" w14:textId="77777777" w:rsidR="00AB6753" w:rsidRPr="00F32D92" w:rsidRDefault="00AB6753" w:rsidP="002D1EA4">
            <w:pPr>
              <w:rPr>
                <w:rFonts w:cs="Arial"/>
                <w:sz w:val="20"/>
                <w:szCs w:val="20"/>
              </w:rPr>
            </w:pPr>
            <w:r w:rsidRPr="00F32D92">
              <w:rPr>
                <w:rFonts w:cs="Arial"/>
                <w:sz w:val="20"/>
                <w:szCs w:val="20"/>
              </w:rPr>
              <w:t>-</w:t>
            </w:r>
          </w:p>
        </w:tc>
        <w:tc>
          <w:tcPr>
            <w:tcW w:w="661" w:type="dxa"/>
            <w:tcBorders>
              <w:top w:val="single" w:sz="4" w:space="0" w:color="auto"/>
              <w:left w:val="single" w:sz="4" w:space="0" w:color="auto"/>
              <w:right w:val="single" w:sz="4" w:space="0" w:color="auto"/>
            </w:tcBorders>
            <w:vAlign w:val="center"/>
          </w:tcPr>
          <w:p w14:paraId="44CC5624"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05AC6EE5" w14:textId="77777777" w:rsidTr="002D1EA4">
        <w:trPr>
          <w:trHeight w:val="315"/>
          <w:jc w:val="center"/>
        </w:trPr>
        <w:tc>
          <w:tcPr>
            <w:tcW w:w="1696" w:type="dxa"/>
            <w:tcBorders>
              <w:left w:val="single" w:sz="4" w:space="0" w:color="auto"/>
              <w:right w:val="single" w:sz="4" w:space="0" w:color="auto"/>
            </w:tcBorders>
            <w:vAlign w:val="center"/>
            <w:hideMark/>
          </w:tcPr>
          <w:p w14:paraId="2F2E9DD7" w14:textId="77777777" w:rsidR="00AB6753" w:rsidRPr="00F32D92" w:rsidRDefault="00AB6753" w:rsidP="002D1EA4">
            <w:pPr>
              <w:rPr>
                <w:rFonts w:cs="Arial"/>
                <w:sz w:val="20"/>
                <w:szCs w:val="20"/>
              </w:rPr>
            </w:pPr>
            <w:r w:rsidRPr="00F32D92">
              <w:rPr>
                <w:rFonts w:cs="Arial"/>
                <w:sz w:val="20"/>
                <w:szCs w:val="20"/>
              </w:rPr>
              <w:t>SES 2</w:t>
            </w:r>
          </w:p>
        </w:tc>
        <w:tc>
          <w:tcPr>
            <w:tcW w:w="896" w:type="dxa"/>
            <w:tcBorders>
              <w:left w:val="single" w:sz="4" w:space="0" w:color="auto"/>
            </w:tcBorders>
            <w:noWrap/>
            <w:vAlign w:val="center"/>
          </w:tcPr>
          <w:p w14:paraId="2A69FFF9"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hideMark/>
          </w:tcPr>
          <w:p w14:paraId="3F8DB625"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hideMark/>
          </w:tcPr>
          <w:p w14:paraId="3A91763E"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hideMark/>
          </w:tcPr>
          <w:p w14:paraId="79720954"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hideMark/>
          </w:tcPr>
          <w:p w14:paraId="26DCCF6E"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vAlign w:val="center"/>
            <w:hideMark/>
          </w:tcPr>
          <w:p w14:paraId="000E88CE"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hideMark/>
          </w:tcPr>
          <w:p w14:paraId="48A2F225"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hideMark/>
          </w:tcPr>
          <w:p w14:paraId="2E304ED5"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hideMark/>
          </w:tcPr>
          <w:p w14:paraId="0E4D1D3F"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vAlign w:val="center"/>
          </w:tcPr>
          <w:p w14:paraId="3F67A186"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4FB874E0" w14:textId="77777777" w:rsidTr="002D1EA4">
        <w:trPr>
          <w:trHeight w:val="315"/>
          <w:jc w:val="center"/>
        </w:trPr>
        <w:tc>
          <w:tcPr>
            <w:tcW w:w="1696" w:type="dxa"/>
            <w:tcBorders>
              <w:left w:val="single" w:sz="4" w:space="0" w:color="auto"/>
              <w:right w:val="single" w:sz="4" w:space="0" w:color="auto"/>
            </w:tcBorders>
            <w:vAlign w:val="center"/>
            <w:hideMark/>
          </w:tcPr>
          <w:p w14:paraId="4326F92B" w14:textId="77777777" w:rsidR="00AB6753" w:rsidRPr="00F32D92" w:rsidRDefault="00AB6753" w:rsidP="002D1EA4">
            <w:pPr>
              <w:rPr>
                <w:rFonts w:cs="Arial"/>
                <w:sz w:val="20"/>
                <w:szCs w:val="20"/>
              </w:rPr>
            </w:pPr>
            <w:r w:rsidRPr="00F32D92">
              <w:rPr>
                <w:rFonts w:cs="Arial"/>
                <w:sz w:val="20"/>
                <w:szCs w:val="20"/>
              </w:rPr>
              <w:t>SES 1</w:t>
            </w:r>
          </w:p>
        </w:tc>
        <w:tc>
          <w:tcPr>
            <w:tcW w:w="896" w:type="dxa"/>
            <w:tcBorders>
              <w:left w:val="single" w:sz="4" w:space="0" w:color="auto"/>
            </w:tcBorders>
            <w:noWrap/>
            <w:vAlign w:val="center"/>
            <w:hideMark/>
          </w:tcPr>
          <w:p w14:paraId="4931C661"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hideMark/>
          </w:tcPr>
          <w:p w14:paraId="15945653"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hideMark/>
          </w:tcPr>
          <w:p w14:paraId="76C074E2"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hideMark/>
          </w:tcPr>
          <w:p w14:paraId="5050EDEC"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hideMark/>
          </w:tcPr>
          <w:p w14:paraId="4BC45F42"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vAlign w:val="center"/>
            <w:hideMark/>
          </w:tcPr>
          <w:p w14:paraId="47874FBA"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hideMark/>
          </w:tcPr>
          <w:p w14:paraId="2D0A69DD"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hideMark/>
          </w:tcPr>
          <w:p w14:paraId="038C0E38"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hideMark/>
          </w:tcPr>
          <w:p w14:paraId="2F0A2009"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vAlign w:val="center"/>
          </w:tcPr>
          <w:p w14:paraId="327BBAC2"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6ADBDBF6" w14:textId="77777777" w:rsidTr="002D1EA4">
        <w:trPr>
          <w:trHeight w:val="315"/>
          <w:jc w:val="center"/>
        </w:trPr>
        <w:tc>
          <w:tcPr>
            <w:tcW w:w="1696" w:type="dxa"/>
            <w:tcBorders>
              <w:left w:val="single" w:sz="4" w:space="0" w:color="auto"/>
              <w:right w:val="single" w:sz="4" w:space="0" w:color="auto"/>
            </w:tcBorders>
            <w:vAlign w:val="center"/>
            <w:hideMark/>
          </w:tcPr>
          <w:p w14:paraId="72688B64" w14:textId="77777777" w:rsidR="00AB6753" w:rsidRPr="00F32D92" w:rsidRDefault="00AB6753" w:rsidP="002D1EA4">
            <w:pPr>
              <w:rPr>
                <w:rFonts w:cs="Arial"/>
                <w:sz w:val="20"/>
                <w:szCs w:val="20"/>
              </w:rPr>
            </w:pPr>
            <w:r w:rsidRPr="00F32D92">
              <w:rPr>
                <w:rFonts w:cs="Arial"/>
                <w:sz w:val="20"/>
                <w:szCs w:val="20"/>
              </w:rPr>
              <w:t>EL 2</w:t>
            </w:r>
          </w:p>
        </w:tc>
        <w:tc>
          <w:tcPr>
            <w:tcW w:w="896" w:type="dxa"/>
            <w:tcBorders>
              <w:left w:val="single" w:sz="4" w:space="0" w:color="auto"/>
            </w:tcBorders>
            <w:noWrap/>
            <w:vAlign w:val="center"/>
            <w:hideMark/>
          </w:tcPr>
          <w:p w14:paraId="2FB86940" w14:textId="77777777" w:rsidR="00AB6753" w:rsidRPr="00F32D92" w:rsidRDefault="00AB6753" w:rsidP="002D1EA4">
            <w:pPr>
              <w:rPr>
                <w:rFonts w:cs="Arial"/>
                <w:sz w:val="20"/>
                <w:szCs w:val="20"/>
              </w:rPr>
            </w:pPr>
            <w:r w:rsidRPr="00F32D92">
              <w:rPr>
                <w:rFonts w:cs="Arial"/>
                <w:sz w:val="20"/>
                <w:szCs w:val="20"/>
              </w:rPr>
              <w:t>1</w:t>
            </w:r>
          </w:p>
        </w:tc>
        <w:tc>
          <w:tcPr>
            <w:tcW w:w="650" w:type="dxa"/>
            <w:noWrap/>
            <w:vAlign w:val="center"/>
            <w:hideMark/>
          </w:tcPr>
          <w:p w14:paraId="50AA81B5" w14:textId="77777777" w:rsidR="00AB6753" w:rsidRPr="00F32D92" w:rsidRDefault="00AB6753" w:rsidP="002D1EA4">
            <w:pPr>
              <w:rPr>
                <w:rFonts w:cs="Arial"/>
                <w:sz w:val="20"/>
                <w:szCs w:val="20"/>
              </w:rPr>
            </w:pPr>
            <w:r w:rsidRPr="00F32D92">
              <w:rPr>
                <w:rFonts w:cs="Arial"/>
                <w:sz w:val="20"/>
                <w:szCs w:val="20"/>
              </w:rPr>
              <w:t>2</w:t>
            </w:r>
          </w:p>
        </w:tc>
        <w:tc>
          <w:tcPr>
            <w:tcW w:w="749" w:type="dxa"/>
            <w:tcBorders>
              <w:right w:val="single" w:sz="4" w:space="0" w:color="auto"/>
            </w:tcBorders>
            <w:noWrap/>
            <w:vAlign w:val="center"/>
            <w:hideMark/>
          </w:tcPr>
          <w:p w14:paraId="383EE534" w14:textId="77777777" w:rsidR="00AB6753" w:rsidRPr="00F32D92" w:rsidRDefault="00AB6753" w:rsidP="002D1EA4">
            <w:pPr>
              <w:rPr>
                <w:rFonts w:cs="Arial"/>
                <w:sz w:val="20"/>
                <w:szCs w:val="20"/>
              </w:rPr>
            </w:pPr>
            <w:r w:rsidRPr="00F32D92">
              <w:rPr>
                <w:rFonts w:cs="Arial"/>
                <w:sz w:val="20"/>
                <w:szCs w:val="20"/>
              </w:rPr>
              <w:t>3</w:t>
            </w:r>
          </w:p>
        </w:tc>
        <w:tc>
          <w:tcPr>
            <w:tcW w:w="896" w:type="dxa"/>
            <w:tcBorders>
              <w:left w:val="single" w:sz="4" w:space="0" w:color="auto"/>
            </w:tcBorders>
            <w:noWrap/>
            <w:vAlign w:val="center"/>
            <w:hideMark/>
          </w:tcPr>
          <w:p w14:paraId="5FEBDDAC" w14:textId="77777777" w:rsidR="00AB6753" w:rsidRPr="00F32D92" w:rsidRDefault="00AB6753" w:rsidP="002D1EA4">
            <w:pPr>
              <w:rPr>
                <w:rFonts w:cs="Arial"/>
                <w:sz w:val="20"/>
                <w:szCs w:val="20"/>
              </w:rPr>
            </w:pPr>
            <w:r w:rsidRPr="00F32D92">
              <w:rPr>
                <w:rFonts w:cs="Arial"/>
                <w:sz w:val="20"/>
                <w:szCs w:val="20"/>
              </w:rPr>
              <w:t>2</w:t>
            </w:r>
          </w:p>
        </w:tc>
        <w:tc>
          <w:tcPr>
            <w:tcW w:w="650" w:type="dxa"/>
            <w:noWrap/>
            <w:vAlign w:val="center"/>
            <w:hideMark/>
          </w:tcPr>
          <w:p w14:paraId="76A3EAE5"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vAlign w:val="center"/>
            <w:hideMark/>
          </w:tcPr>
          <w:p w14:paraId="0977441D" w14:textId="77777777" w:rsidR="00AB6753" w:rsidRPr="00F32D92" w:rsidRDefault="00AB6753" w:rsidP="002D1EA4">
            <w:pPr>
              <w:rPr>
                <w:rFonts w:cs="Arial"/>
                <w:sz w:val="20"/>
                <w:szCs w:val="20"/>
              </w:rPr>
            </w:pPr>
            <w:r w:rsidRPr="00F32D92">
              <w:rPr>
                <w:rFonts w:cs="Arial"/>
                <w:sz w:val="20"/>
                <w:szCs w:val="20"/>
              </w:rPr>
              <w:t>2</w:t>
            </w:r>
          </w:p>
        </w:tc>
        <w:tc>
          <w:tcPr>
            <w:tcW w:w="896" w:type="dxa"/>
            <w:tcBorders>
              <w:left w:val="single" w:sz="4" w:space="0" w:color="auto"/>
            </w:tcBorders>
            <w:noWrap/>
            <w:vAlign w:val="center"/>
            <w:hideMark/>
          </w:tcPr>
          <w:p w14:paraId="3F7CB5D2"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hideMark/>
          </w:tcPr>
          <w:p w14:paraId="2E58165A"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hideMark/>
          </w:tcPr>
          <w:p w14:paraId="045E451A"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vAlign w:val="center"/>
          </w:tcPr>
          <w:p w14:paraId="2F8DB815" w14:textId="77777777" w:rsidR="00AB6753" w:rsidRPr="00F32D92" w:rsidRDefault="00AB6753" w:rsidP="002D1EA4">
            <w:pPr>
              <w:rPr>
                <w:rFonts w:cs="Arial"/>
                <w:sz w:val="20"/>
                <w:szCs w:val="20"/>
              </w:rPr>
            </w:pPr>
            <w:r w:rsidRPr="00F32D92">
              <w:rPr>
                <w:rFonts w:cs="Arial"/>
                <w:sz w:val="20"/>
                <w:szCs w:val="20"/>
              </w:rPr>
              <w:t>5</w:t>
            </w:r>
          </w:p>
        </w:tc>
      </w:tr>
      <w:tr w:rsidR="00AB6753" w:rsidRPr="00F32D92" w14:paraId="383653FB" w14:textId="77777777" w:rsidTr="002D1EA4">
        <w:trPr>
          <w:trHeight w:val="315"/>
          <w:jc w:val="center"/>
        </w:trPr>
        <w:tc>
          <w:tcPr>
            <w:tcW w:w="1696" w:type="dxa"/>
            <w:tcBorders>
              <w:left w:val="single" w:sz="4" w:space="0" w:color="auto"/>
              <w:right w:val="single" w:sz="4" w:space="0" w:color="auto"/>
            </w:tcBorders>
            <w:vAlign w:val="center"/>
            <w:hideMark/>
          </w:tcPr>
          <w:p w14:paraId="0F926082" w14:textId="77777777" w:rsidR="00AB6753" w:rsidRPr="00F32D92" w:rsidRDefault="00AB6753" w:rsidP="002D1EA4">
            <w:pPr>
              <w:rPr>
                <w:rFonts w:cs="Arial"/>
                <w:sz w:val="20"/>
                <w:szCs w:val="20"/>
              </w:rPr>
            </w:pPr>
            <w:r w:rsidRPr="00F32D92">
              <w:rPr>
                <w:rFonts w:cs="Arial"/>
                <w:sz w:val="20"/>
                <w:szCs w:val="20"/>
              </w:rPr>
              <w:t>EL 1</w:t>
            </w:r>
          </w:p>
        </w:tc>
        <w:tc>
          <w:tcPr>
            <w:tcW w:w="896" w:type="dxa"/>
            <w:tcBorders>
              <w:left w:val="single" w:sz="4" w:space="0" w:color="auto"/>
            </w:tcBorders>
            <w:noWrap/>
            <w:vAlign w:val="center"/>
            <w:hideMark/>
          </w:tcPr>
          <w:p w14:paraId="7D8D23AE" w14:textId="77777777" w:rsidR="00AB6753" w:rsidRPr="00F32D92" w:rsidRDefault="00AB6753" w:rsidP="002D1EA4">
            <w:pPr>
              <w:rPr>
                <w:rFonts w:cs="Arial"/>
                <w:sz w:val="20"/>
                <w:szCs w:val="20"/>
              </w:rPr>
            </w:pPr>
            <w:r w:rsidRPr="00F32D92">
              <w:rPr>
                <w:rFonts w:cs="Arial"/>
                <w:sz w:val="20"/>
                <w:szCs w:val="20"/>
              </w:rPr>
              <w:t>2</w:t>
            </w:r>
          </w:p>
        </w:tc>
        <w:tc>
          <w:tcPr>
            <w:tcW w:w="650" w:type="dxa"/>
            <w:noWrap/>
            <w:vAlign w:val="center"/>
            <w:hideMark/>
          </w:tcPr>
          <w:p w14:paraId="2A9EBCDA"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hideMark/>
          </w:tcPr>
          <w:p w14:paraId="26BFCDBD" w14:textId="77777777" w:rsidR="00AB6753" w:rsidRPr="00F32D92" w:rsidRDefault="00AB6753" w:rsidP="002D1EA4">
            <w:pPr>
              <w:rPr>
                <w:rFonts w:cs="Arial"/>
                <w:sz w:val="20"/>
                <w:szCs w:val="20"/>
              </w:rPr>
            </w:pPr>
            <w:r w:rsidRPr="00F32D92">
              <w:rPr>
                <w:rFonts w:cs="Arial"/>
                <w:sz w:val="20"/>
                <w:szCs w:val="20"/>
              </w:rPr>
              <w:t>2</w:t>
            </w:r>
          </w:p>
        </w:tc>
        <w:tc>
          <w:tcPr>
            <w:tcW w:w="896" w:type="dxa"/>
            <w:tcBorders>
              <w:left w:val="single" w:sz="4" w:space="0" w:color="auto"/>
            </w:tcBorders>
            <w:noWrap/>
            <w:vAlign w:val="center"/>
            <w:hideMark/>
          </w:tcPr>
          <w:p w14:paraId="27449DA2" w14:textId="77777777" w:rsidR="00AB6753" w:rsidRPr="00F32D92" w:rsidRDefault="00AB6753" w:rsidP="002D1EA4">
            <w:pPr>
              <w:rPr>
                <w:rFonts w:cs="Arial"/>
                <w:sz w:val="20"/>
                <w:szCs w:val="20"/>
              </w:rPr>
            </w:pPr>
            <w:r w:rsidRPr="00F32D92">
              <w:rPr>
                <w:rFonts w:cs="Arial"/>
                <w:sz w:val="20"/>
                <w:szCs w:val="20"/>
              </w:rPr>
              <w:t>1</w:t>
            </w:r>
          </w:p>
        </w:tc>
        <w:tc>
          <w:tcPr>
            <w:tcW w:w="650" w:type="dxa"/>
            <w:noWrap/>
            <w:vAlign w:val="center"/>
            <w:hideMark/>
          </w:tcPr>
          <w:p w14:paraId="0E601EC1" w14:textId="77777777" w:rsidR="00AB6753" w:rsidRPr="00F32D92" w:rsidRDefault="00AB6753" w:rsidP="002D1EA4">
            <w:pPr>
              <w:rPr>
                <w:rFonts w:cs="Arial"/>
                <w:sz w:val="20"/>
                <w:szCs w:val="20"/>
              </w:rPr>
            </w:pPr>
            <w:r w:rsidRPr="00F32D92">
              <w:rPr>
                <w:rFonts w:cs="Arial"/>
                <w:sz w:val="20"/>
                <w:szCs w:val="20"/>
              </w:rPr>
              <w:t>2</w:t>
            </w:r>
          </w:p>
        </w:tc>
        <w:tc>
          <w:tcPr>
            <w:tcW w:w="883" w:type="dxa"/>
            <w:tcBorders>
              <w:right w:val="single" w:sz="4" w:space="0" w:color="auto"/>
            </w:tcBorders>
            <w:noWrap/>
            <w:vAlign w:val="center"/>
            <w:hideMark/>
          </w:tcPr>
          <w:p w14:paraId="18888FDB" w14:textId="77777777" w:rsidR="00AB6753" w:rsidRPr="00F32D92" w:rsidRDefault="00AB6753" w:rsidP="002D1EA4">
            <w:pPr>
              <w:rPr>
                <w:rFonts w:cs="Arial"/>
                <w:sz w:val="20"/>
                <w:szCs w:val="20"/>
              </w:rPr>
            </w:pPr>
            <w:r w:rsidRPr="00F32D92">
              <w:rPr>
                <w:rFonts w:cs="Arial"/>
                <w:sz w:val="20"/>
                <w:szCs w:val="20"/>
              </w:rPr>
              <w:t>3</w:t>
            </w:r>
          </w:p>
        </w:tc>
        <w:tc>
          <w:tcPr>
            <w:tcW w:w="896" w:type="dxa"/>
            <w:tcBorders>
              <w:left w:val="single" w:sz="4" w:space="0" w:color="auto"/>
            </w:tcBorders>
            <w:noWrap/>
            <w:vAlign w:val="center"/>
            <w:hideMark/>
          </w:tcPr>
          <w:p w14:paraId="4A0391CF"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hideMark/>
          </w:tcPr>
          <w:p w14:paraId="05FD9675"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hideMark/>
          </w:tcPr>
          <w:p w14:paraId="6C81BB53"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vAlign w:val="center"/>
          </w:tcPr>
          <w:p w14:paraId="47FC6187" w14:textId="77777777" w:rsidR="00AB6753" w:rsidRPr="00F32D92" w:rsidRDefault="00AB6753" w:rsidP="002D1EA4">
            <w:pPr>
              <w:rPr>
                <w:rFonts w:cs="Arial"/>
                <w:sz w:val="20"/>
                <w:szCs w:val="20"/>
              </w:rPr>
            </w:pPr>
            <w:r w:rsidRPr="00F32D92">
              <w:rPr>
                <w:rFonts w:cs="Arial"/>
                <w:sz w:val="20"/>
                <w:szCs w:val="20"/>
              </w:rPr>
              <w:t>5</w:t>
            </w:r>
          </w:p>
        </w:tc>
      </w:tr>
      <w:tr w:rsidR="00AB6753" w:rsidRPr="00F32D92" w14:paraId="43BF570E" w14:textId="77777777" w:rsidTr="002D1EA4">
        <w:trPr>
          <w:trHeight w:val="315"/>
          <w:jc w:val="center"/>
        </w:trPr>
        <w:tc>
          <w:tcPr>
            <w:tcW w:w="1696" w:type="dxa"/>
            <w:tcBorders>
              <w:left w:val="single" w:sz="4" w:space="0" w:color="auto"/>
              <w:right w:val="single" w:sz="4" w:space="0" w:color="auto"/>
            </w:tcBorders>
            <w:vAlign w:val="bottom"/>
          </w:tcPr>
          <w:p w14:paraId="17409928" w14:textId="77777777" w:rsidR="00AB6753" w:rsidRPr="00F32D92" w:rsidRDefault="00AB6753" w:rsidP="002D1EA4">
            <w:pPr>
              <w:rPr>
                <w:rFonts w:cs="Arial"/>
                <w:sz w:val="20"/>
                <w:szCs w:val="20"/>
              </w:rPr>
            </w:pPr>
            <w:r w:rsidRPr="00F32D92">
              <w:rPr>
                <w:rFonts w:cs="Arial"/>
                <w:sz w:val="20"/>
                <w:szCs w:val="20"/>
              </w:rPr>
              <w:t>Public Affairs Officer Grade 3</w:t>
            </w:r>
          </w:p>
        </w:tc>
        <w:tc>
          <w:tcPr>
            <w:tcW w:w="896" w:type="dxa"/>
            <w:tcBorders>
              <w:left w:val="single" w:sz="4" w:space="0" w:color="auto"/>
            </w:tcBorders>
            <w:noWrap/>
            <w:vAlign w:val="center"/>
          </w:tcPr>
          <w:p w14:paraId="24404642"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50D42AB1"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tcPr>
          <w:p w14:paraId="7676A489"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40930C9D"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6457ABCA"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vAlign w:val="center"/>
          </w:tcPr>
          <w:p w14:paraId="12664C89"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7992E9AD"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tcPr>
          <w:p w14:paraId="141B7DBF"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tcPr>
          <w:p w14:paraId="7DB3D170"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vAlign w:val="center"/>
          </w:tcPr>
          <w:p w14:paraId="7676B9B5"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50324F1D" w14:textId="77777777" w:rsidTr="002D1EA4">
        <w:trPr>
          <w:trHeight w:val="315"/>
          <w:jc w:val="center"/>
        </w:trPr>
        <w:tc>
          <w:tcPr>
            <w:tcW w:w="1696" w:type="dxa"/>
            <w:tcBorders>
              <w:left w:val="single" w:sz="4" w:space="0" w:color="auto"/>
              <w:right w:val="single" w:sz="4" w:space="0" w:color="auto"/>
            </w:tcBorders>
            <w:vAlign w:val="bottom"/>
          </w:tcPr>
          <w:p w14:paraId="1E7B8922" w14:textId="77777777" w:rsidR="00AB6753" w:rsidRPr="00F32D92" w:rsidRDefault="00AB6753" w:rsidP="002D1EA4">
            <w:pPr>
              <w:rPr>
                <w:rFonts w:cs="Arial"/>
                <w:sz w:val="20"/>
                <w:szCs w:val="20"/>
              </w:rPr>
            </w:pPr>
            <w:r w:rsidRPr="00F32D92">
              <w:rPr>
                <w:rFonts w:cs="Arial"/>
                <w:sz w:val="20"/>
                <w:szCs w:val="20"/>
              </w:rPr>
              <w:t>Public Affairs Officer Grade 2</w:t>
            </w:r>
          </w:p>
        </w:tc>
        <w:tc>
          <w:tcPr>
            <w:tcW w:w="896" w:type="dxa"/>
            <w:tcBorders>
              <w:left w:val="single" w:sz="4" w:space="0" w:color="auto"/>
            </w:tcBorders>
            <w:noWrap/>
            <w:vAlign w:val="center"/>
          </w:tcPr>
          <w:p w14:paraId="0448970D"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6FD77BF3"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tcPr>
          <w:p w14:paraId="38BB1C41"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7D37B091" w14:textId="77777777" w:rsidR="00AB6753" w:rsidRPr="00F32D92" w:rsidRDefault="00AB6753" w:rsidP="002D1EA4">
            <w:pPr>
              <w:rPr>
                <w:rFonts w:cs="Arial"/>
                <w:sz w:val="20"/>
                <w:szCs w:val="20"/>
              </w:rPr>
            </w:pPr>
            <w:r w:rsidRPr="00F32D92">
              <w:rPr>
                <w:rFonts w:cs="Arial"/>
                <w:sz w:val="20"/>
                <w:szCs w:val="20"/>
              </w:rPr>
              <w:t>2</w:t>
            </w:r>
          </w:p>
        </w:tc>
        <w:tc>
          <w:tcPr>
            <w:tcW w:w="650" w:type="dxa"/>
            <w:noWrap/>
            <w:vAlign w:val="center"/>
          </w:tcPr>
          <w:p w14:paraId="5C7DAB67"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vAlign w:val="center"/>
          </w:tcPr>
          <w:p w14:paraId="5C256AA7" w14:textId="77777777" w:rsidR="00AB6753" w:rsidRPr="00F32D92" w:rsidRDefault="00AB6753" w:rsidP="002D1EA4">
            <w:pPr>
              <w:rPr>
                <w:rFonts w:cs="Arial"/>
                <w:sz w:val="20"/>
                <w:szCs w:val="20"/>
              </w:rPr>
            </w:pPr>
            <w:r w:rsidRPr="00F32D92">
              <w:rPr>
                <w:rFonts w:cs="Arial"/>
                <w:sz w:val="20"/>
                <w:szCs w:val="20"/>
              </w:rPr>
              <w:t>2</w:t>
            </w:r>
          </w:p>
        </w:tc>
        <w:tc>
          <w:tcPr>
            <w:tcW w:w="896" w:type="dxa"/>
            <w:tcBorders>
              <w:left w:val="single" w:sz="4" w:space="0" w:color="auto"/>
            </w:tcBorders>
            <w:noWrap/>
            <w:vAlign w:val="center"/>
          </w:tcPr>
          <w:p w14:paraId="22797983"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tcPr>
          <w:p w14:paraId="29375F32"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tcPr>
          <w:p w14:paraId="4C4BDB61"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vAlign w:val="center"/>
          </w:tcPr>
          <w:p w14:paraId="152BE664" w14:textId="77777777" w:rsidR="00AB6753" w:rsidRPr="00F32D92" w:rsidRDefault="00AB6753" w:rsidP="002D1EA4">
            <w:pPr>
              <w:rPr>
                <w:rFonts w:cs="Arial"/>
                <w:sz w:val="20"/>
                <w:szCs w:val="20"/>
              </w:rPr>
            </w:pPr>
            <w:r w:rsidRPr="00F32D92">
              <w:rPr>
                <w:rFonts w:cs="Arial"/>
                <w:sz w:val="20"/>
                <w:szCs w:val="20"/>
              </w:rPr>
              <w:t>2</w:t>
            </w:r>
          </w:p>
        </w:tc>
      </w:tr>
      <w:tr w:rsidR="00AB6753" w:rsidRPr="00F32D92" w14:paraId="74FD4EFA" w14:textId="77777777" w:rsidTr="002D1EA4">
        <w:trPr>
          <w:trHeight w:val="315"/>
          <w:jc w:val="center"/>
        </w:trPr>
        <w:tc>
          <w:tcPr>
            <w:tcW w:w="1696" w:type="dxa"/>
            <w:tcBorders>
              <w:left w:val="single" w:sz="4" w:space="0" w:color="auto"/>
              <w:right w:val="single" w:sz="4" w:space="0" w:color="auto"/>
            </w:tcBorders>
            <w:vAlign w:val="center"/>
            <w:hideMark/>
          </w:tcPr>
          <w:p w14:paraId="3511DBA2" w14:textId="77777777" w:rsidR="00AB6753" w:rsidRPr="00F32D92" w:rsidRDefault="00AB6753" w:rsidP="002D1EA4">
            <w:pPr>
              <w:rPr>
                <w:rFonts w:cs="Arial"/>
                <w:sz w:val="20"/>
                <w:szCs w:val="20"/>
              </w:rPr>
            </w:pPr>
            <w:r w:rsidRPr="00F32D92">
              <w:rPr>
                <w:rFonts w:cs="Arial"/>
                <w:sz w:val="20"/>
                <w:szCs w:val="20"/>
              </w:rPr>
              <w:t>APS 6</w:t>
            </w:r>
          </w:p>
        </w:tc>
        <w:tc>
          <w:tcPr>
            <w:tcW w:w="896" w:type="dxa"/>
            <w:tcBorders>
              <w:left w:val="single" w:sz="4" w:space="0" w:color="auto"/>
            </w:tcBorders>
            <w:noWrap/>
            <w:vAlign w:val="center"/>
          </w:tcPr>
          <w:p w14:paraId="0923B65D" w14:textId="77777777" w:rsidR="00AB6753" w:rsidRPr="00F32D92" w:rsidRDefault="00AB6753" w:rsidP="002D1EA4">
            <w:pPr>
              <w:rPr>
                <w:rFonts w:cs="Arial"/>
                <w:sz w:val="20"/>
                <w:szCs w:val="20"/>
              </w:rPr>
            </w:pPr>
            <w:r w:rsidRPr="00F32D92">
              <w:rPr>
                <w:rFonts w:cs="Arial"/>
                <w:sz w:val="20"/>
                <w:szCs w:val="20"/>
              </w:rPr>
              <w:t>2</w:t>
            </w:r>
          </w:p>
        </w:tc>
        <w:tc>
          <w:tcPr>
            <w:tcW w:w="650" w:type="dxa"/>
            <w:noWrap/>
            <w:vAlign w:val="center"/>
          </w:tcPr>
          <w:p w14:paraId="3A17BF77"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tcPr>
          <w:p w14:paraId="3C18FC1E" w14:textId="77777777" w:rsidR="00AB6753" w:rsidRPr="00F32D92" w:rsidRDefault="00AB6753" w:rsidP="002D1EA4">
            <w:pPr>
              <w:rPr>
                <w:rFonts w:cs="Arial"/>
                <w:sz w:val="20"/>
                <w:szCs w:val="20"/>
              </w:rPr>
            </w:pPr>
            <w:r w:rsidRPr="00F32D92">
              <w:rPr>
                <w:rFonts w:cs="Arial"/>
                <w:sz w:val="20"/>
                <w:szCs w:val="20"/>
              </w:rPr>
              <w:t>2</w:t>
            </w:r>
          </w:p>
        </w:tc>
        <w:tc>
          <w:tcPr>
            <w:tcW w:w="896" w:type="dxa"/>
            <w:tcBorders>
              <w:left w:val="single" w:sz="4" w:space="0" w:color="auto"/>
            </w:tcBorders>
            <w:noWrap/>
            <w:vAlign w:val="center"/>
          </w:tcPr>
          <w:p w14:paraId="258CD41B" w14:textId="77777777" w:rsidR="00AB6753" w:rsidRPr="00F32D92" w:rsidRDefault="00AB6753" w:rsidP="002D1EA4">
            <w:pPr>
              <w:rPr>
                <w:rFonts w:cs="Arial"/>
                <w:sz w:val="20"/>
                <w:szCs w:val="20"/>
              </w:rPr>
            </w:pPr>
            <w:r w:rsidRPr="00F32D92">
              <w:rPr>
                <w:rFonts w:cs="Arial"/>
                <w:sz w:val="20"/>
                <w:szCs w:val="20"/>
              </w:rPr>
              <w:t>4</w:t>
            </w:r>
          </w:p>
        </w:tc>
        <w:tc>
          <w:tcPr>
            <w:tcW w:w="650" w:type="dxa"/>
            <w:noWrap/>
            <w:vAlign w:val="center"/>
          </w:tcPr>
          <w:p w14:paraId="26B1D50B" w14:textId="77777777" w:rsidR="00AB6753" w:rsidRPr="00F32D92" w:rsidRDefault="00AB6753" w:rsidP="002D1EA4">
            <w:pPr>
              <w:rPr>
                <w:rFonts w:cs="Arial"/>
                <w:sz w:val="20"/>
                <w:szCs w:val="20"/>
              </w:rPr>
            </w:pPr>
            <w:r w:rsidRPr="00F32D92">
              <w:rPr>
                <w:rFonts w:cs="Arial"/>
                <w:sz w:val="20"/>
                <w:szCs w:val="20"/>
              </w:rPr>
              <w:t>3</w:t>
            </w:r>
          </w:p>
        </w:tc>
        <w:tc>
          <w:tcPr>
            <w:tcW w:w="883" w:type="dxa"/>
            <w:tcBorders>
              <w:right w:val="single" w:sz="4" w:space="0" w:color="auto"/>
            </w:tcBorders>
            <w:noWrap/>
            <w:vAlign w:val="center"/>
          </w:tcPr>
          <w:p w14:paraId="0F46DA8B" w14:textId="77777777" w:rsidR="00AB6753" w:rsidRPr="00F32D92" w:rsidRDefault="00AB6753" w:rsidP="002D1EA4">
            <w:pPr>
              <w:rPr>
                <w:rFonts w:cs="Arial"/>
                <w:sz w:val="20"/>
                <w:szCs w:val="20"/>
              </w:rPr>
            </w:pPr>
            <w:r w:rsidRPr="00F32D92">
              <w:rPr>
                <w:rFonts w:cs="Arial"/>
                <w:sz w:val="20"/>
                <w:szCs w:val="20"/>
              </w:rPr>
              <w:t>7</w:t>
            </w:r>
          </w:p>
        </w:tc>
        <w:tc>
          <w:tcPr>
            <w:tcW w:w="896" w:type="dxa"/>
            <w:tcBorders>
              <w:left w:val="single" w:sz="4" w:space="0" w:color="auto"/>
            </w:tcBorders>
            <w:noWrap/>
            <w:vAlign w:val="center"/>
            <w:hideMark/>
          </w:tcPr>
          <w:p w14:paraId="2C3ACE47"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hideMark/>
          </w:tcPr>
          <w:p w14:paraId="67085414"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hideMark/>
          </w:tcPr>
          <w:p w14:paraId="458E7EBF"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vAlign w:val="center"/>
          </w:tcPr>
          <w:p w14:paraId="06A14C6B" w14:textId="77777777" w:rsidR="00AB6753" w:rsidRPr="00F32D92" w:rsidRDefault="00AB6753" w:rsidP="002D1EA4">
            <w:pPr>
              <w:rPr>
                <w:rFonts w:cs="Arial"/>
                <w:sz w:val="20"/>
                <w:szCs w:val="20"/>
              </w:rPr>
            </w:pPr>
            <w:r w:rsidRPr="00F32D92">
              <w:rPr>
                <w:rFonts w:cs="Arial"/>
                <w:sz w:val="20"/>
                <w:szCs w:val="20"/>
              </w:rPr>
              <w:t>9</w:t>
            </w:r>
          </w:p>
        </w:tc>
      </w:tr>
      <w:tr w:rsidR="00AB6753" w:rsidRPr="00F32D92" w14:paraId="251F6479" w14:textId="77777777" w:rsidTr="002D1EA4">
        <w:trPr>
          <w:trHeight w:val="315"/>
          <w:jc w:val="center"/>
        </w:trPr>
        <w:tc>
          <w:tcPr>
            <w:tcW w:w="1696" w:type="dxa"/>
            <w:tcBorders>
              <w:left w:val="single" w:sz="4" w:space="0" w:color="auto"/>
              <w:right w:val="single" w:sz="4" w:space="0" w:color="auto"/>
            </w:tcBorders>
            <w:vAlign w:val="center"/>
            <w:hideMark/>
          </w:tcPr>
          <w:p w14:paraId="34CBD02C" w14:textId="77777777" w:rsidR="00AB6753" w:rsidRPr="00F32D92" w:rsidRDefault="00AB6753" w:rsidP="002D1EA4">
            <w:pPr>
              <w:rPr>
                <w:rFonts w:cs="Arial"/>
                <w:sz w:val="20"/>
                <w:szCs w:val="20"/>
              </w:rPr>
            </w:pPr>
            <w:r w:rsidRPr="00F32D92">
              <w:rPr>
                <w:rFonts w:cs="Arial"/>
                <w:sz w:val="20"/>
                <w:szCs w:val="20"/>
              </w:rPr>
              <w:t>APS 5</w:t>
            </w:r>
          </w:p>
        </w:tc>
        <w:tc>
          <w:tcPr>
            <w:tcW w:w="896" w:type="dxa"/>
            <w:tcBorders>
              <w:left w:val="single" w:sz="4" w:space="0" w:color="auto"/>
            </w:tcBorders>
            <w:noWrap/>
            <w:vAlign w:val="center"/>
          </w:tcPr>
          <w:p w14:paraId="09FDEB80" w14:textId="77777777" w:rsidR="00AB6753" w:rsidRPr="00F32D92" w:rsidRDefault="00AB6753" w:rsidP="002D1EA4">
            <w:pPr>
              <w:rPr>
                <w:rFonts w:cs="Arial"/>
                <w:sz w:val="20"/>
                <w:szCs w:val="20"/>
              </w:rPr>
            </w:pPr>
            <w:r w:rsidRPr="00F32D92">
              <w:rPr>
                <w:rFonts w:cs="Arial"/>
                <w:sz w:val="20"/>
                <w:szCs w:val="20"/>
              </w:rPr>
              <w:t>2</w:t>
            </w:r>
          </w:p>
        </w:tc>
        <w:tc>
          <w:tcPr>
            <w:tcW w:w="650" w:type="dxa"/>
            <w:noWrap/>
            <w:vAlign w:val="center"/>
          </w:tcPr>
          <w:p w14:paraId="6D4033DC"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tcPr>
          <w:p w14:paraId="53127F20" w14:textId="77777777" w:rsidR="00AB6753" w:rsidRPr="00F32D92" w:rsidRDefault="00AB6753" w:rsidP="002D1EA4">
            <w:pPr>
              <w:rPr>
                <w:rFonts w:cs="Arial"/>
                <w:sz w:val="20"/>
                <w:szCs w:val="20"/>
              </w:rPr>
            </w:pPr>
            <w:r w:rsidRPr="00F32D92">
              <w:rPr>
                <w:rFonts w:cs="Arial"/>
                <w:sz w:val="20"/>
                <w:szCs w:val="20"/>
              </w:rPr>
              <w:t>2</w:t>
            </w:r>
          </w:p>
        </w:tc>
        <w:tc>
          <w:tcPr>
            <w:tcW w:w="896" w:type="dxa"/>
            <w:tcBorders>
              <w:left w:val="single" w:sz="4" w:space="0" w:color="auto"/>
            </w:tcBorders>
            <w:noWrap/>
            <w:vAlign w:val="center"/>
          </w:tcPr>
          <w:p w14:paraId="07A3C060" w14:textId="77777777" w:rsidR="00AB6753" w:rsidRPr="00F32D92" w:rsidRDefault="00AB6753" w:rsidP="002D1EA4">
            <w:pPr>
              <w:rPr>
                <w:rFonts w:cs="Arial"/>
                <w:sz w:val="20"/>
                <w:szCs w:val="20"/>
              </w:rPr>
            </w:pPr>
            <w:r w:rsidRPr="00F32D92">
              <w:rPr>
                <w:rFonts w:cs="Arial"/>
                <w:sz w:val="20"/>
                <w:szCs w:val="20"/>
              </w:rPr>
              <w:t>8</w:t>
            </w:r>
          </w:p>
        </w:tc>
        <w:tc>
          <w:tcPr>
            <w:tcW w:w="650" w:type="dxa"/>
            <w:noWrap/>
            <w:vAlign w:val="center"/>
          </w:tcPr>
          <w:p w14:paraId="3017DCDF" w14:textId="77777777" w:rsidR="00AB6753" w:rsidRPr="00F32D92" w:rsidRDefault="00AB6753" w:rsidP="002D1EA4">
            <w:pPr>
              <w:rPr>
                <w:rFonts w:cs="Arial"/>
                <w:sz w:val="20"/>
                <w:szCs w:val="20"/>
              </w:rPr>
            </w:pPr>
            <w:r w:rsidRPr="00F32D92">
              <w:rPr>
                <w:rFonts w:cs="Arial"/>
                <w:sz w:val="20"/>
                <w:szCs w:val="20"/>
              </w:rPr>
              <w:t>1</w:t>
            </w:r>
          </w:p>
        </w:tc>
        <w:tc>
          <w:tcPr>
            <w:tcW w:w="883" w:type="dxa"/>
            <w:tcBorders>
              <w:right w:val="single" w:sz="4" w:space="0" w:color="auto"/>
            </w:tcBorders>
            <w:noWrap/>
            <w:vAlign w:val="center"/>
          </w:tcPr>
          <w:p w14:paraId="1E81211E" w14:textId="77777777" w:rsidR="00AB6753" w:rsidRPr="00F32D92" w:rsidRDefault="00AB6753" w:rsidP="002D1EA4">
            <w:pPr>
              <w:rPr>
                <w:rFonts w:cs="Arial"/>
                <w:sz w:val="20"/>
                <w:szCs w:val="20"/>
              </w:rPr>
            </w:pPr>
            <w:r w:rsidRPr="00F32D92">
              <w:rPr>
                <w:rFonts w:cs="Arial"/>
                <w:sz w:val="20"/>
                <w:szCs w:val="20"/>
              </w:rPr>
              <w:t>9</w:t>
            </w:r>
          </w:p>
        </w:tc>
        <w:tc>
          <w:tcPr>
            <w:tcW w:w="896" w:type="dxa"/>
            <w:tcBorders>
              <w:left w:val="single" w:sz="4" w:space="0" w:color="auto"/>
            </w:tcBorders>
            <w:noWrap/>
            <w:vAlign w:val="center"/>
            <w:hideMark/>
          </w:tcPr>
          <w:p w14:paraId="5AE04806"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hideMark/>
          </w:tcPr>
          <w:p w14:paraId="6937FCFF"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hideMark/>
          </w:tcPr>
          <w:p w14:paraId="23F1B547"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vAlign w:val="center"/>
          </w:tcPr>
          <w:p w14:paraId="0AC43B30" w14:textId="77777777" w:rsidR="00AB6753" w:rsidRPr="00F32D92" w:rsidRDefault="00AB6753" w:rsidP="002D1EA4">
            <w:pPr>
              <w:rPr>
                <w:rFonts w:cs="Arial"/>
                <w:sz w:val="20"/>
                <w:szCs w:val="20"/>
              </w:rPr>
            </w:pPr>
            <w:r w:rsidRPr="00F32D92">
              <w:rPr>
                <w:rFonts w:cs="Arial"/>
                <w:sz w:val="20"/>
                <w:szCs w:val="20"/>
              </w:rPr>
              <w:t>11</w:t>
            </w:r>
          </w:p>
        </w:tc>
      </w:tr>
      <w:tr w:rsidR="00AB6753" w:rsidRPr="00F32D92" w14:paraId="4259E4F3" w14:textId="77777777" w:rsidTr="002D1EA4">
        <w:trPr>
          <w:trHeight w:val="315"/>
          <w:jc w:val="center"/>
        </w:trPr>
        <w:tc>
          <w:tcPr>
            <w:tcW w:w="1696" w:type="dxa"/>
            <w:tcBorders>
              <w:left w:val="single" w:sz="4" w:space="0" w:color="auto"/>
              <w:right w:val="single" w:sz="4" w:space="0" w:color="auto"/>
            </w:tcBorders>
            <w:vAlign w:val="center"/>
            <w:hideMark/>
          </w:tcPr>
          <w:p w14:paraId="405E4D19" w14:textId="77777777" w:rsidR="00AB6753" w:rsidRPr="00F32D92" w:rsidRDefault="00AB6753" w:rsidP="002D1EA4">
            <w:pPr>
              <w:rPr>
                <w:rFonts w:cs="Arial"/>
                <w:sz w:val="20"/>
                <w:szCs w:val="20"/>
              </w:rPr>
            </w:pPr>
            <w:r w:rsidRPr="00F32D92">
              <w:rPr>
                <w:rFonts w:cs="Arial"/>
                <w:sz w:val="20"/>
                <w:szCs w:val="20"/>
              </w:rPr>
              <w:t>APS 4</w:t>
            </w:r>
          </w:p>
        </w:tc>
        <w:tc>
          <w:tcPr>
            <w:tcW w:w="896" w:type="dxa"/>
            <w:tcBorders>
              <w:left w:val="single" w:sz="4" w:space="0" w:color="auto"/>
            </w:tcBorders>
            <w:noWrap/>
            <w:vAlign w:val="center"/>
          </w:tcPr>
          <w:p w14:paraId="7CC09B6F" w14:textId="77777777" w:rsidR="00AB6753" w:rsidRPr="00F32D92" w:rsidRDefault="00AB6753" w:rsidP="002D1EA4">
            <w:pPr>
              <w:rPr>
                <w:rFonts w:cs="Arial"/>
                <w:sz w:val="20"/>
                <w:szCs w:val="20"/>
              </w:rPr>
            </w:pPr>
            <w:r w:rsidRPr="00F32D92">
              <w:rPr>
                <w:rFonts w:cs="Arial"/>
                <w:sz w:val="20"/>
                <w:szCs w:val="20"/>
              </w:rPr>
              <w:t>3</w:t>
            </w:r>
          </w:p>
        </w:tc>
        <w:tc>
          <w:tcPr>
            <w:tcW w:w="650" w:type="dxa"/>
            <w:noWrap/>
            <w:vAlign w:val="center"/>
          </w:tcPr>
          <w:p w14:paraId="0417EBFC"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tcPr>
          <w:p w14:paraId="24C4E35D" w14:textId="77777777" w:rsidR="00AB6753" w:rsidRPr="00F32D92" w:rsidRDefault="00AB6753" w:rsidP="002D1EA4">
            <w:pPr>
              <w:rPr>
                <w:rFonts w:cs="Arial"/>
                <w:sz w:val="20"/>
                <w:szCs w:val="20"/>
              </w:rPr>
            </w:pPr>
            <w:r w:rsidRPr="00F32D92">
              <w:rPr>
                <w:rFonts w:cs="Arial"/>
                <w:sz w:val="20"/>
                <w:szCs w:val="20"/>
              </w:rPr>
              <w:t>3</w:t>
            </w:r>
          </w:p>
        </w:tc>
        <w:tc>
          <w:tcPr>
            <w:tcW w:w="896" w:type="dxa"/>
            <w:tcBorders>
              <w:left w:val="single" w:sz="4" w:space="0" w:color="auto"/>
            </w:tcBorders>
            <w:noWrap/>
            <w:vAlign w:val="center"/>
          </w:tcPr>
          <w:p w14:paraId="30531ED5" w14:textId="77777777" w:rsidR="00AB6753" w:rsidRPr="00F32D92" w:rsidRDefault="00AB6753" w:rsidP="002D1EA4">
            <w:pPr>
              <w:rPr>
                <w:rFonts w:cs="Arial"/>
                <w:sz w:val="20"/>
                <w:szCs w:val="20"/>
              </w:rPr>
            </w:pPr>
            <w:r w:rsidRPr="00F32D92">
              <w:rPr>
                <w:rFonts w:cs="Arial"/>
                <w:sz w:val="20"/>
                <w:szCs w:val="20"/>
              </w:rPr>
              <w:t>10</w:t>
            </w:r>
          </w:p>
        </w:tc>
        <w:tc>
          <w:tcPr>
            <w:tcW w:w="650" w:type="dxa"/>
            <w:noWrap/>
            <w:vAlign w:val="center"/>
          </w:tcPr>
          <w:p w14:paraId="7FD2A61F" w14:textId="77777777" w:rsidR="00AB6753" w:rsidRPr="00F32D92" w:rsidRDefault="00AB6753" w:rsidP="002D1EA4">
            <w:pPr>
              <w:rPr>
                <w:rFonts w:cs="Arial"/>
                <w:sz w:val="20"/>
                <w:szCs w:val="20"/>
              </w:rPr>
            </w:pPr>
            <w:r w:rsidRPr="00F32D92">
              <w:rPr>
                <w:rFonts w:cs="Arial"/>
                <w:sz w:val="20"/>
                <w:szCs w:val="20"/>
              </w:rPr>
              <w:t>1</w:t>
            </w:r>
          </w:p>
        </w:tc>
        <w:tc>
          <w:tcPr>
            <w:tcW w:w="883" w:type="dxa"/>
            <w:tcBorders>
              <w:right w:val="single" w:sz="4" w:space="0" w:color="auto"/>
            </w:tcBorders>
            <w:noWrap/>
            <w:vAlign w:val="center"/>
          </w:tcPr>
          <w:p w14:paraId="4F3BDDCF" w14:textId="77777777" w:rsidR="00AB6753" w:rsidRPr="00F32D92" w:rsidRDefault="00AB6753" w:rsidP="002D1EA4">
            <w:pPr>
              <w:rPr>
                <w:rFonts w:cs="Arial"/>
                <w:sz w:val="20"/>
                <w:szCs w:val="20"/>
              </w:rPr>
            </w:pPr>
            <w:r w:rsidRPr="00F32D92">
              <w:rPr>
                <w:rFonts w:cs="Arial"/>
                <w:sz w:val="20"/>
                <w:szCs w:val="20"/>
              </w:rPr>
              <w:t>11</w:t>
            </w:r>
          </w:p>
        </w:tc>
        <w:tc>
          <w:tcPr>
            <w:tcW w:w="896" w:type="dxa"/>
            <w:tcBorders>
              <w:left w:val="single" w:sz="4" w:space="0" w:color="auto"/>
            </w:tcBorders>
            <w:noWrap/>
            <w:vAlign w:val="center"/>
            <w:hideMark/>
          </w:tcPr>
          <w:p w14:paraId="46B9336D"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hideMark/>
          </w:tcPr>
          <w:p w14:paraId="49F6C5A6"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hideMark/>
          </w:tcPr>
          <w:p w14:paraId="1B093E1C"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vAlign w:val="center"/>
          </w:tcPr>
          <w:p w14:paraId="4CA0729E" w14:textId="77777777" w:rsidR="00AB6753" w:rsidRPr="00F32D92" w:rsidRDefault="00AB6753" w:rsidP="002D1EA4">
            <w:pPr>
              <w:rPr>
                <w:rFonts w:cs="Arial"/>
                <w:sz w:val="20"/>
                <w:szCs w:val="20"/>
              </w:rPr>
            </w:pPr>
            <w:r w:rsidRPr="00F32D92">
              <w:rPr>
                <w:rFonts w:cs="Arial"/>
                <w:sz w:val="20"/>
                <w:szCs w:val="20"/>
              </w:rPr>
              <w:t>14</w:t>
            </w:r>
          </w:p>
        </w:tc>
      </w:tr>
      <w:tr w:rsidR="00AB6753" w:rsidRPr="00F32D92" w14:paraId="3469C55E" w14:textId="77777777" w:rsidTr="002D1EA4">
        <w:trPr>
          <w:trHeight w:val="315"/>
          <w:jc w:val="center"/>
        </w:trPr>
        <w:tc>
          <w:tcPr>
            <w:tcW w:w="1696" w:type="dxa"/>
            <w:tcBorders>
              <w:left w:val="single" w:sz="4" w:space="0" w:color="auto"/>
              <w:right w:val="single" w:sz="4" w:space="0" w:color="auto"/>
            </w:tcBorders>
            <w:vAlign w:val="center"/>
          </w:tcPr>
          <w:p w14:paraId="0DB1180B" w14:textId="77777777" w:rsidR="00AB6753" w:rsidRPr="00F32D92" w:rsidRDefault="00AB6753" w:rsidP="002D1EA4">
            <w:pPr>
              <w:rPr>
                <w:rFonts w:cs="Arial"/>
                <w:sz w:val="20"/>
                <w:szCs w:val="20"/>
              </w:rPr>
            </w:pPr>
            <w:r w:rsidRPr="00F32D92">
              <w:rPr>
                <w:rFonts w:cs="Arial"/>
                <w:sz w:val="20"/>
                <w:szCs w:val="20"/>
              </w:rPr>
              <w:t>APS 3</w:t>
            </w:r>
          </w:p>
        </w:tc>
        <w:tc>
          <w:tcPr>
            <w:tcW w:w="896" w:type="dxa"/>
            <w:tcBorders>
              <w:left w:val="single" w:sz="4" w:space="0" w:color="auto"/>
            </w:tcBorders>
            <w:noWrap/>
            <w:vAlign w:val="center"/>
          </w:tcPr>
          <w:p w14:paraId="5DF428B3"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7ACA3889"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tcPr>
          <w:p w14:paraId="3AE7D3FC"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6ABC39E5" w14:textId="77777777" w:rsidR="00AB6753" w:rsidRPr="00F32D92" w:rsidRDefault="00AB6753" w:rsidP="002D1EA4">
            <w:pPr>
              <w:rPr>
                <w:rFonts w:cs="Arial"/>
                <w:sz w:val="20"/>
                <w:szCs w:val="20"/>
              </w:rPr>
            </w:pPr>
            <w:r w:rsidRPr="00F32D92">
              <w:rPr>
                <w:rFonts w:cs="Arial"/>
                <w:sz w:val="20"/>
                <w:szCs w:val="20"/>
              </w:rPr>
              <w:t>1</w:t>
            </w:r>
          </w:p>
        </w:tc>
        <w:tc>
          <w:tcPr>
            <w:tcW w:w="650" w:type="dxa"/>
            <w:noWrap/>
            <w:vAlign w:val="center"/>
          </w:tcPr>
          <w:p w14:paraId="5205EDBE"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vAlign w:val="center"/>
          </w:tcPr>
          <w:p w14:paraId="487E6CE9" w14:textId="77777777" w:rsidR="00AB6753" w:rsidRPr="00F32D92" w:rsidRDefault="00AB6753" w:rsidP="002D1EA4">
            <w:pPr>
              <w:rPr>
                <w:rFonts w:cs="Arial"/>
                <w:sz w:val="20"/>
                <w:szCs w:val="20"/>
              </w:rPr>
            </w:pPr>
            <w:r w:rsidRPr="00F32D92">
              <w:rPr>
                <w:rFonts w:cs="Arial"/>
                <w:sz w:val="20"/>
                <w:szCs w:val="20"/>
              </w:rPr>
              <w:t>1</w:t>
            </w:r>
          </w:p>
        </w:tc>
        <w:tc>
          <w:tcPr>
            <w:tcW w:w="896" w:type="dxa"/>
            <w:tcBorders>
              <w:left w:val="single" w:sz="4" w:space="0" w:color="auto"/>
            </w:tcBorders>
            <w:noWrap/>
            <w:vAlign w:val="center"/>
          </w:tcPr>
          <w:p w14:paraId="35250D26"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tcPr>
          <w:p w14:paraId="697630DC"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tcPr>
          <w:p w14:paraId="763D61C1"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vAlign w:val="center"/>
          </w:tcPr>
          <w:p w14:paraId="2BDC104B" w14:textId="77777777" w:rsidR="00AB6753" w:rsidRPr="00F32D92" w:rsidRDefault="00AB6753" w:rsidP="002D1EA4">
            <w:pPr>
              <w:rPr>
                <w:rFonts w:cs="Arial"/>
                <w:sz w:val="20"/>
                <w:szCs w:val="20"/>
              </w:rPr>
            </w:pPr>
            <w:r w:rsidRPr="00F32D92">
              <w:rPr>
                <w:rFonts w:cs="Arial"/>
                <w:sz w:val="20"/>
                <w:szCs w:val="20"/>
              </w:rPr>
              <w:t>1</w:t>
            </w:r>
          </w:p>
        </w:tc>
      </w:tr>
      <w:tr w:rsidR="00AB6753" w:rsidRPr="00F32D92" w14:paraId="25A959F2" w14:textId="77777777" w:rsidTr="002D1EA4">
        <w:trPr>
          <w:trHeight w:val="315"/>
          <w:jc w:val="center"/>
        </w:trPr>
        <w:tc>
          <w:tcPr>
            <w:tcW w:w="1696" w:type="dxa"/>
            <w:tcBorders>
              <w:left w:val="single" w:sz="4" w:space="0" w:color="auto"/>
              <w:right w:val="single" w:sz="4" w:space="0" w:color="auto"/>
            </w:tcBorders>
            <w:vAlign w:val="center"/>
          </w:tcPr>
          <w:p w14:paraId="58C582DC" w14:textId="77777777" w:rsidR="00AB6753" w:rsidRPr="00F32D92" w:rsidRDefault="00AB6753" w:rsidP="002D1EA4">
            <w:pPr>
              <w:rPr>
                <w:rFonts w:cs="Arial"/>
                <w:sz w:val="20"/>
                <w:szCs w:val="20"/>
              </w:rPr>
            </w:pPr>
            <w:r w:rsidRPr="00F32D92">
              <w:rPr>
                <w:rFonts w:cs="Arial"/>
                <w:sz w:val="20"/>
                <w:szCs w:val="20"/>
              </w:rPr>
              <w:t>APS 2</w:t>
            </w:r>
          </w:p>
        </w:tc>
        <w:tc>
          <w:tcPr>
            <w:tcW w:w="896" w:type="dxa"/>
            <w:tcBorders>
              <w:left w:val="single" w:sz="4" w:space="0" w:color="auto"/>
            </w:tcBorders>
            <w:noWrap/>
            <w:vAlign w:val="center"/>
          </w:tcPr>
          <w:p w14:paraId="2C3A185A"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4BC4F3C9"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tcPr>
          <w:p w14:paraId="5DC93D9C"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0C4D707A"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11E0B3E4"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vAlign w:val="center"/>
          </w:tcPr>
          <w:p w14:paraId="7461F4D0"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6CF9B83C"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tcPr>
          <w:p w14:paraId="431DCC8F"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tcPr>
          <w:p w14:paraId="693D600A"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vAlign w:val="center"/>
          </w:tcPr>
          <w:p w14:paraId="729A5485"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6D3FF104" w14:textId="77777777" w:rsidTr="002D1EA4">
        <w:trPr>
          <w:trHeight w:val="315"/>
          <w:jc w:val="center"/>
        </w:trPr>
        <w:tc>
          <w:tcPr>
            <w:tcW w:w="1696" w:type="dxa"/>
            <w:tcBorders>
              <w:left w:val="single" w:sz="4" w:space="0" w:color="auto"/>
              <w:right w:val="single" w:sz="4" w:space="0" w:color="auto"/>
            </w:tcBorders>
            <w:vAlign w:val="center"/>
          </w:tcPr>
          <w:p w14:paraId="6CEC547B" w14:textId="77777777" w:rsidR="00AB6753" w:rsidRPr="00F32D92" w:rsidRDefault="00AB6753" w:rsidP="002D1EA4">
            <w:pPr>
              <w:rPr>
                <w:rFonts w:cs="Arial"/>
                <w:sz w:val="20"/>
                <w:szCs w:val="20"/>
              </w:rPr>
            </w:pPr>
            <w:r w:rsidRPr="00F32D92">
              <w:rPr>
                <w:rFonts w:cs="Arial"/>
                <w:sz w:val="20"/>
                <w:szCs w:val="20"/>
              </w:rPr>
              <w:t>APS 1</w:t>
            </w:r>
          </w:p>
        </w:tc>
        <w:tc>
          <w:tcPr>
            <w:tcW w:w="896" w:type="dxa"/>
            <w:tcBorders>
              <w:left w:val="single" w:sz="4" w:space="0" w:color="auto"/>
            </w:tcBorders>
            <w:noWrap/>
            <w:vAlign w:val="center"/>
          </w:tcPr>
          <w:p w14:paraId="4171DC08"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481307BB"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tcPr>
          <w:p w14:paraId="1D1C6F32"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66E297F8"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1DECF7E3"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vAlign w:val="center"/>
          </w:tcPr>
          <w:p w14:paraId="26EE7D6F"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264EC71E"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tcPr>
          <w:p w14:paraId="3739A1CA"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tcPr>
          <w:p w14:paraId="39009EB2"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vAlign w:val="center"/>
          </w:tcPr>
          <w:p w14:paraId="67D4E41C"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51A567CF" w14:textId="77777777" w:rsidTr="002D1EA4">
        <w:trPr>
          <w:trHeight w:val="315"/>
          <w:jc w:val="center"/>
        </w:trPr>
        <w:tc>
          <w:tcPr>
            <w:tcW w:w="1696" w:type="dxa"/>
            <w:tcBorders>
              <w:left w:val="single" w:sz="4" w:space="0" w:color="auto"/>
              <w:right w:val="single" w:sz="4" w:space="0" w:color="auto"/>
            </w:tcBorders>
            <w:vAlign w:val="center"/>
          </w:tcPr>
          <w:p w14:paraId="490E2768" w14:textId="77777777" w:rsidR="00AB6753" w:rsidRPr="00F32D92" w:rsidRDefault="00AB6753" w:rsidP="002D1EA4">
            <w:pPr>
              <w:rPr>
                <w:rFonts w:cs="Arial"/>
                <w:sz w:val="20"/>
                <w:szCs w:val="20"/>
              </w:rPr>
            </w:pPr>
            <w:r w:rsidRPr="00F32D92">
              <w:rPr>
                <w:rFonts w:cs="Arial"/>
                <w:sz w:val="20"/>
                <w:szCs w:val="20"/>
              </w:rPr>
              <w:t xml:space="preserve">Other </w:t>
            </w:r>
          </w:p>
        </w:tc>
        <w:tc>
          <w:tcPr>
            <w:tcW w:w="896" w:type="dxa"/>
            <w:tcBorders>
              <w:left w:val="single" w:sz="4" w:space="0" w:color="auto"/>
            </w:tcBorders>
            <w:noWrap/>
            <w:vAlign w:val="center"/>
          </w:tcPr>
          <w:p w14:paraId="3F0A8B7C"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1295F18F"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tcPr>
          <w:p w14:paraId="1D60C8CD"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25042FC0"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2CA892F9"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vAlign w:val="center"/>
          </w:tcPr>
          <w:p w14:paraId="5A1B131A"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5BB8B292"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tcPr>
          <w:p w14:paraId="57A77AFB"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tcPr>
          <w:p w14:paraId="4F25D742"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auto"/>
            </w:tcBorders>
            <w:vAlign w:val="center"/>
          </w:tcPr>
          <w:p w14:paraId="79BFE447"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6A60DAE6" w14:textId="77777777" w:rsidTr="002D1EA4">
        <w:trPr>
          <w:trHeight w:val="315"/>
          <w:jc w:val="center"/>
        </w:trPr>
        <w:tc>
          <w:tcPr>
            <w:tcW w:w="1696" w:type="dxa"/>
            <w:tcBorders>
              <w:left w:val="single" w:sz="4" w:space="0" w:color="auto"/>
              <w:bottom w:val="single" w:sz="4" w:space="0" w:color="auto"/>
              <w:right w:val="single" w:sz="4" w:space="0" w:color="auto"/>
            </w:tcBorders>
            <w:vAlign w:val="center"/>
          </w:tcPr>
          <w:p w14:paraId="518C5F51" w14:textId="77777777" w:rsidR="00AB6753" w:rsidRPr="00F32D92" w:rsidRDefault="00AB6753" w:rsidP="002D1EA4">
            <w:pPr>
              <w:rPr>
                <w:rFonts w:cs="Arial"/>
                <w:sz w:val="20"/>
                <w:szCs w:val="20"/>
              </w:rPr>
            </w:pPr>
            <w:r w:rsidRPr="00F32D92">
              <w:rPr>
                <w:rFonts w:cs="Arial"/>
                <w:sz w:val="20"/>
                <w:szCs w:val="20"/>
              </w:rPr>
              <w:t>Total</w:t>
            </w:r>
          </w:p>
        </w:tc>
        <w:tc>
          <w:tcPr>
            <w:tcW w:w="896" w:type="dxa"/>
            <w:tcBorders>
              <w:left w:val="single" w:sz="4" w:space="0" w:color="auto"/>
              <w:bottom w:val="single" w:sz="4" w:space="0" w:color="auto"/>
            </w:tcBorders>
            <w:noWrap/>
            <w:vAlign w:val="center"/>
          </w:tcPr>
          <w:p w14:paraId="11318E94" w14:textId="77777777" w:rsidR="00AB6753" w:rsidRPr="00F32D92" w:rsidRDefault="00AB6753" w:rsidP="002D1EA4">
            <w:pPr>
              <w:rPr>
                <w:rFonts w:cs="Arial"/>
                <w:b/>
                <w:sz w:val="20"/>
                <w:szCs w:val="20"/>
              </w:rPr>
            </w:pPr>
            <w:r w:rsidRPr="00F32D92">
              <w:rPr>
                <w:rFonts w:cs="Arial"/>
                <w:b/>
                <w:sz w:val="20"/>
                <w:szCs w:val="20"/>
              </w:rPr>
              <w:t>10</w:t>
            </w:r>
          </w:p>
        </w:tc>
        <w:tc>
          <w:tcPr>
            <w:tcW w:w="650" w:type="dxa"/>
            <w:tcBorders>
              <w:bottom w:val="single" w:sz="4" w:space="0" w:color="auto"/>
            </w:tcBorders>
            <w:noWrap/>
            <w:vAlign w:val="center"/>
          </w:tcPr>
          <w:p w14:paraId="353789AD" w14:textId="77777777" w:rsidR="00AB6753" w:rsidRPr="00F32D92" w:rsidRDefault="00AB6753" w:rsidP="002D1EA4">
            <w:pPr>
              <w:rPr>
                <w:rFonts w:cs="Arial"/>
                <w:b/>
                <w:sz w:val="20"/>
                <w:szCs w:val="20"/>
              </w:rPr>
            </w:pPr>
            <w:r w:rsidRPr="00F32D92">
              <w:rPr>
                <w:rFonts w:cs="Arial"/>
                <w:b/>
                <w:sz w:val="20"/>
                <w:szCs w:val="20"/>
              </w:rPr>
              <w:t>2</w:t>
            </w:r>
          </w:p>
        </w:tc>
        <w:tc>
          <w:tcPr>
            <w:tcW w:w="749" w:type="dxa"/>
            <w:tcBorders>
              <w:bottom w:val="single" w:sz="4" w:space="0" w:color="auto"/>
              <w:right w:val="single" w:sz="4" w:space="0" w:color="auto"/>
            </w:tcBorders>
            <w:noWrap/>
            <w:vAlign w:val="center"/>
          </w:tcPr>
          <w:p w14:paraId="2EA97762" w14:textId="77777777" w:rsidR="00AB6753" w:rsidRPr="00F32D92" w:rsidRDefault="00AB6753" w:rsidP="002D1EA4">
            <w:pPr>
              <w:rPr>
                <w:rFonts w:cs="Arial"/>
                <w:b/>
                <w:sz w:val="20"/>
                <w:szCs w:val="20"/>
              </w:rPr>
            </w:pPr>
            <w:r w:rsidRPr="00F32D92">
              <w:rPr>
                <w:rFonts w:cs="Arial"/>
                <w:b/>
                <w:sz w:val="20"/>
                <w:szCs w:val="20"/>
              </w:rPr>
              <w:t>12</w:t>
            </w:r>
          </w:p>
        </w:tc>
        <w:tc>
          <w:tcPr>
            <w:tcW w:w="896" w:type="dxa"/>
            <w:tcBorders>
              <w:left w:val="single" w:sz="4" w:space="0" w:color="auto"/>
              <w:bottom w:val="single" w:sz="4" w:space="0" w:color="auto"/>
            </w:tcBorders>
            <w:noWrap/>
            <w:vAlign w:val="center"/>
          </w:tcPr>
          <w:p w14:paraId="3655B3A8" w14:textId="77777777" w:rsidR="00AB6753" w:rsidRPr="00F32D92" w:rsidRDefault="00AB6753" w:rsidP="002D1EA4">
            <w:pPr>
              <w:rPr>
                <w:rFonts w:cs="Arial"/>
                <w:b/>
                <w:sz w:val="20"/>
                <w:szCs w:val="20"/>
              </w:rPr>
            </w:pPr>
            <w:r w:rsidRPr="00F32D92">
              <w:rPr>
                <w:rFonts w:cs="Arial"/>
                <w:b/>
                <w:sz w:val="20"/>
                <w:szCs w:val="20"/>
              </w:rPr>
              <w:t>28</w:t>
            </w:r>
          </w:p>
        </w:tc>
        <w:tc>
          <w:tcPr>
            <w:tcW w:w="650" w:type="dxa"/>
            <w:tcBorders>
              <w:bottom w:val="single" w:sz="4" w:space="0" w:color="auto"/>
            </w:tcBorders>
            <w:noWrap/>
            <w:vAlign w:val="center"/>
          </w:tcPr>
          <w:p w14:paraId="10DA11B2" w14:textId="77777777" w:rsidR="00AB6753" w:rsidRPr="00F32D92" w:rsidRDefault="00AB6753" w:rsidP="002D1EA4">
            <w:pPr>
              <w:rPr>
                <w:rFonts w:cs="Arial"/>
                <w:b/>
                <w:sz w:val="20"/>
                <w:szCs w:val="20"/>
              </w:rPr>
            </w:pPr>
            <w:r w:rsidRPr="00F32D92">
              <w:rPr>
                <w:rFonts w:cs="Arial"/>
                <w:b/>
                <w:sz w:val="20"/>
                <w:szCs w:val="20"/>
              </w:rPr>
              <w:t>7</w:t>
            </w:r>
          </w:p>
        </w:tc>
        <w:tc>
          <w:tcPr>
            <w:tcW w:w="883" w:type="dxa"/>
            <w:tcBorders>
              <w:bottom w:val="single" w:sz="4" w:space="0" w:color="auto"/>
              <w:right w:val="single" w:sz="4" w:space="0" w:color="auto"/>
            </w:tcBorders>
            <w:noWrap/>
            <w:vAlign w:val="center"/>
          </w:tcPr>
          <w:p w14:paraId="18E58F17" w14:textId="77777777" w:rsidR="00AB6753" w:rsidRPr="00F32D92" w:rsidRDefault="00AB6753" w:rsidP="002D1EA4">
            <w:pPr>
              <w:rPr>
                <w:rFonts w:cs="Arial"/>
                <w:b/>
                <w:sz w:val="20"/>
                <w:szCs w:val="20"/>
              </w:rPr>
            </w:pPr>
            <w:r w:rsidRPr="00F32D92">
              <w:rPr>
                <w:rFonts w:cs="Arial"/>
                <w:b/>
                <w:sz w:val="20"/>
                <w:szCs w:val="20"/>
              </w:rPr>
              <w:t>35</w:t>
            </w:r>
          </w:p>
        </w:tc>
        <w:tc>
          <w:tcPr>
            <w:tcW w:w="896" w:type="dxa"/>
            <w:tcBorders>
              <w:left w:val="single" w:sz="4" w:space="0" w:color="auto"/>
              <w:bottom w:val="single" w:sz="4" w:space="0" w:color="auto"/>
            </w:tcBorders>
            <w:noWrap/>
            <w:vAlign w:val="center"/>
          </w:tcPr>
          <w:p w14:paraId="39AF2C63" w14:textId="77777777" w:rsidR="00AB6753" w:rsidRPr="00F32D92" w:rsidRDefault="00AB6753" w:rsidP="002D1EA4">
            <w:pPr>
              <w:rPr>
                <w:rFonts w:cs="Arial"/>
                <w:b/>
                <w:sz w:val="20"/>
                <w:szCs w:val="20"/>
              </w:rPr>
            </w:pPr>
            <w:r w:rsidRPr="00F32D92">
              <w:rPr>
                <w:rFonts w:cs="Arial"/>
                <w:b/>
                <w:sz w:val="20"/>
                <w:szCs w:val="20"/>
              </w:rPr>
              <w:t>-</w:t>
            </w:r>
          </w:p>
        </w:tc>
        <w:tc>
          <w:tcPr>
            <w:tcW w:w="650" w:type="dxa"/>
            <w:tcBorders>
              <w:bottom w:val="single" w:sz="4" w:space="0" w:color="auto"/>
            </w:tcBorders>
            <w:noWrap/>
            <w:vAlign w:val="center"/>
          </w:tcPr>
          <w:p w14:paraId="1046B34D" w14:textId="77777777" w:rsidR="00AB6753" w:rsidRPr="00F32D92" w:rsidRDefault="00AB6753" w:rsidP="002D1EA4">
            <w:pPr>
              <w:rPr>
                <w:rFonts w:cs="Arial"/>
                <w:b/>
                <w:sz w:val="20"/>
                <w:szCs w:val="20"/>
              </w:rPr>
            </w:pPr>
            <w:r w:rsidRPr="00F32D92">
              <w:rPr>
                <w:rFonts w:cs="Arial"/>
                <w:b/>
                <w:sz w:val="20"/>
                <w:szCs w:val="20"/>
              </w:rPr>
              <w:t>-</w:t>
            </w:r>
          </w:p>
        </w:tc>
        <w:tc>
          <w:tcPr>
            <w:tcW w:w="1439" w:type="dxa"/>
            <w:tcBorders>
              <w:bottom w:val="single" w:sz="4" w:space="0" w:color="auto"/>
              <w:right w:val="single" w:sz="4" w:space="0" w:color="auto"/>
            </w:tcBorders>
            <w:noWrap/>
            <w:vAlign w:val="center"/>
          </w:tcPr>
          <w:p w14:paraId="03594294" w14:textId="77777777" w:rsidR="00AB6753" w:rsidRPr="00F32D92" w:rsidRDefault="00AB6753" w:rsidP="002D1EA4">
            <w:pPr>
              <w:rPr>
                <w:rFonts w:cs="Arial"/>
                <w:b/>
                <w:sz w:val="20"/>
                <w:szCs w:val="20"/>
              </w:rPr>
            </w:pPr>
            <w:r w:rsidRPr="00F32D92">
              <w:rPr>
                <w:rFonts w:cs="Arial"/>
                <w:b/>
                <w:sz w:val="20"/>
                <w:szCs w:val="20"/>
              </w:rPr>
              <w:t>-</w:t>
            </w:r>
          </w:p>
        </w:tc>
        <w:tc>
          <w:tcPr>
            <w:tcW w:w="661" w:type="dxa"/>
            <w:tcBorders>
              <w:left w:val="single" w:sz="4" w:space="0" w:color="auto"/>
              <w:bottom w:val="single" w:sz="4" w:space="0" w:color="auto"/>
              <w:right w:val="single" w:sz="4" w:space="0" w:color="auto"/>
            </w:tcBorders>
            <w:vAlign w:val="center"/>
          </w:tcPr>
          <w:p w14:paraId="125BE4AF" w14:textId="77777777" w:rsidR="00AB6753" w:rsidRPr="00F32D92" w:rsidRDefault="00AB6753" w:rsidP="002D1EA4">
            <w:pPr>
              <w:rPr>
                <w:rFonts w:cs="Arial"/>
                <w:b/>
                <w:sz w:val="20"/>
                <w:szCs w:val="20"/>
              </w:rPr>
            </w:pPr>
            <w:r w:rsidRPr="00F32D92">
              <w:rPr>
                <w:rFonts w:cs="Arial"/>
                <w:b/>
                <w:sz w:val="20"/>
                <w:szCs w:val="20"/>
              </w:rPr>
              <w:t>47</w:t>
            </w:r>
          </w:p>
        </w:tc>
      </w:tr>
    </w:tbl>
    <w:p w14:paraId="20BA94C8" w14:textId="77777777" w:rsidR="00AB6753" w:rsidRPr="00A050FC" w:rsidRDefault="00AB6753" w:rsidP="00AB6753">
      <w:pPr>
        <w:rPr>
          <w:rFonts w:ascii="Arial Narrow" w:hAnsi="Arial Narrow" w:cs="Calibri"/>
          <w:b/>
          <w:sz w:val="20"/>
          <w:szCs w:val="20"/>
        </w:rPr>
      </w:pPr>
      <w:r w:rsidRPr="00AB380B">
        <w:br w:type="page"/>
      </w:r>
      <w:bookmarkStart w:id="292" w:name="_Toc5705965"/>
      <w:r w:rsidRPr="00C072A7">
        <w:rPr>
          <w:rFonts w:ascii="Arial Narrow" w:hAnsi="Arial Narrow" w:cs="Calibri"/>
          <w:b/>
          <w:sz w:val="20"/>
          <w:szCs w:val="20"/>
        </w:rPr>
        <w:lastRenderedPageBreak/>
        <w:t>Table F-1</w:t>
      </w:r>
      <w:r>
        <w:rPr>
          <w:rFonts w:ascii="Arial Narrow" w:hAnsi="Arial Narrow" w:cs="Calibri"/>
          <w:b/>
          <w:sz w:val="20"/>
          <w:szCs w:val="20"/>
        </w:rPr>
        <w:t>1</w:t>
      </w:r>
      <w:r w:rsidRPr="00C072A7">
        <w:rPr>
          <w:rFonts w:ascii="Arial Narrow" w:hAnsi="Arial Narrow" w:cs="Calibri"/>
          <w:b/>
          <w:sz w:val="20"/>
          <w:szCs w:val="20"/>
        </w:rPr>
        <w:t xml:space="preserve"> </w:t>
      </w:r>
      <w:r w:rsidRPr="00A050FC">
        <w:rPr>
          <w:rFonts w:ascii="Arial Narrow" w:hAnsi="Arial Narrow" w:cs="Calibri"/>
          <w:b/>
          <w:sz w:val="20"/>
          <w:szCs w:val="20"/>
        </w:rPr>
        <w:t>17AG (4)(b)(</w:t>
      </w:r>
      <w:proofErr w:type="spellStart"/>
      <w:r w:rsidRPr="00A050FC">
        <w:rPr>
          <w:rFonts w:ascii="Arial Narrow" w:hAnsi="Arial Narrow" w:cs="Calibri"/>
          <w:b/>
          <w:sz w:val="20"/>
          <w:szCs w:val="20"/>
        </w:rPr>
        <w:t>i</w:t>
      </w:r>
      <w:proofErr w:type="spellEnd"/>
      <w:r w:rsidRPr="00A050FC">
        <w:rPr>
          <w:rFonts w:ascii="Arial Narrow" w:hAnsi="Arial Narrow" w:cs="Calibri"/>
          <w:b/>
          <w:sz w:val="20"/>
          <w:szCs w:val="20"/>
        </w:rPr>
        <w:t>) – (iv) — Australian Public Service Act Ongoing Employees Previous Report Period</w:t>
      </w:r>
      <w:r>
        <w:rPr>
          <w:rFonts w:ascii="Arial Narrow" w:hAnsi="Arial Narrow" w:cs="Calibri"/>
          <w:b/>
          <w:sz w:val="20"/>
          <w:szCs w:val="20"/>
        </w:rPr>
        <w:t xml:space="preserve"> </w:t>
      </w:r>
      <w:r w:rsidRPr="00A050FC">
        <w:rPr>
          <w:rFonts w:ascii="Arial Narrow" w:hAnsi="Arial Narrow" w:cs="Calibri"/>
          <w:b/>
          <w:sz w:val="20"/>
          <w:szCs w:val="20"/>
        </w:rPr>
        <w:t>(2018–19)</w:t>
      </w:r>
      <w:bookmarkEnd w:id="292"/>
    </w:p>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11 17AG (4)(b)(i)–(iv) Australian Public Service Act Ongoing Employees"/>
        <w:tblDescription w:val="Table 17AG (4)(b)(i)–(iv) Australian Public Service Act Ongoing Employees. Previous Report Period (2018-19) "/>
      </w:tblPr>
      <w:tblGrid>
        <w:gridCol w:w="1696"/>
        <w:gridCol w:w="896"/>
        <w:gridCol w:w="668"/>
        <w:gridCol w:w="709"/>
        <w:gridCol w:w="896"/>
        <w:gridCol w:w="663"/>
        <w:gridCol w:w="883"/>
        <w:gridCol w:w="896"/>
        <w:gridCol w:w="650"/>
        <w:gridCol w:w="1439"/>
        <w:gridCol w:w="717"/>
      </w:tblGrid>
      <w:tr w:rsidR="00AB6753" w:rsidRPr="00F32D92" w14:paraId="33131118" w14:textId="77777777" w:rsidTr="002D1EA4">
        <w:trPr>
          <w:trHeight w:val="300"/>
          <w:tblHeader/>
          <w:jc w:val="center"/>
        </w:trPr>
        <w:tc>
          <w:tcPr>
            <w:tcW w:w="1696" w:type="dxa"/>
            <w:shd w:val="clear" w:color="auto" w:fill="BFBFBF" w:themeFill="background1" w:themeFillShade="BF"/>
            <w:noWrap/>
            <w:hideMark/>
          </w:tcPr>
          <w:p w14:paraId="30EA6D5C" w14:textId="77777777" w:rsidR="00AB6753" w:rsidRPr="00F32D92" w:rsidRDefault="00AB6753" w:rsidP="002D1EA4">
            <w:pPr>
              <w:rPr>
                <w:rFonts w:cs="Arial"/>
                <w:sz w:val="20"/>
                <w:szCs w:val="20"/>
              </w:rPr>
            </w:pPr>
          </w:p>
        </w:tc>
        <w:tc>
          <w:tcPr>
            <w:tcW w:w="2273" w:type="dxa"/>
            <w:gridSpan w:val="3"/>
            <w:shd w:val="clear" w:color="auto" w:fill="BFBFBF" w:themeFill="background1" w:themeFillShade="BF"/>
            <w:noWrap/>
            <w:hideMark/>
          </w:tcPr>
          <w:p w14:paraId="2C723ECF" w14:textId="77777777" w:rsidR="00AB6753" w:rsidRPr="00F32D92" w:rsidRDefault="00AB6753" w:rsidP="002D1EA4">
            <w:pPr>
              <w:rPr>
                <w:rFonts w:cs="Arial"/>
                <w:sz w:val="20"/>
                <w:szCs w:val="20"/>
              </w:rPr>
            </w:pPr>
            <w:r w:rsidRPr="00F32D92">
              <w:rPr>
                <w:rFonts w:cs="Arial"/>
                <w:sz w:val="20"/>
                <w:szCs w:val="20"/>
              </w:rPr>
              <w:t>Male</w:t>
            </w:r>
          </w:p>
        </w:tc>
        <w:tc>
          <w:tcPr>
            <w:tcW w:w="2442" w:type="dxa"/>
            <w:gridSpan w:val="3"/>
            <w:shd w:val="clear" w:color="auto" w:fill="BFBFBF" w:themeFill="background1" w:themeFillShade="BF"/>
            <w:noWrap/>
            <w:hideMark/>
          </w:tcPr>
          <w:p w14:paraId="35E0639E" w14:textId="77777777" w:rsidR="00AB6753" w:rsidRPr="00F32D92" w:rsidRDefault="00AB6753" w:rsidP="002D1EA4">
            <w:pPr>
              <w:rPr>
                <w:rFonts w:cs="Arial"/>
                <w:sz w:val="20"/>
                <w:szCs w:val="20"/>
              </w:rPr>
            </w:pPr>
            <w:r w:rsidRPr="00F32D92">
              <w:rPr>
                <w:rFonts w:cs="Arial"/>
                <w:sz w:val="20"/>
                <w:szCs w:val="20"/>
              </w:rPr>
              <w:t>Female</w:t>
            </w:r>
          </w:p>
        </w:tc>
        <w:tc>
          <w:tcPr>
            <w:tcW w:w="2985" w:type="dxa"/>
            <w:gridSpan w:val="3"/>
            <w:shd w:val="clear" w:color="auto" w:fill="BFBFBF" w:themeFill="background1" w:themeFillShade="BF"/>
            <w:noWrap/>
            <w:hideMark/>
          </w:tcPr>
          <w:p w14:paraId="7C5A64C2" w14:textId="77777777" w:rsidR="00AB6753" w:rsidRPr="00F32D92" w:rsidRDefault="00AB6753" w:rsidP="002D1EA4">
            <w:pPr>
              <w:rPr>
                <w:rFonts w:cs="Arial"/>
                <w:sz w:val="20"/>
                <w:szCs w:val="20"/>
              </w:rPr>
            </w:pPr>
            <w:r w:rsidRPr="00F32D92">
              <w:rPr>
                <w:rFonts w:cs="Arial"/>
                <w:sz w:val="20"/>
                <w:szCs w:val="20"/>
              </w:rPr>
              <w:t>Indeterminate</w:t>
            </w:r>
          </w:p>
        </w:tc>
        <w:tc>
          <w:tcPr>
            <w:tcW w:w="661" w:type="dxa"/>
            <w:shd w:val="clear" w:color="auto" w:fill="BFBFBF" w:themeFill="background1" w:themeFillShade="BF"/>
          </w:tcPr>
          <w:p w14:paraId="32D867CE" w14:textId="77777777" w:rsidR="00AB6753" w:rsidRPr="00F32D92" w:rsidRDefault="00AB6753" w:rsidP="002D1EA4">
            <w:pPr>
              <w:rPr>
                <w:rFonts w:cs="Arial"/>
                <w:sz w:val="20"/>
                <w:szCs w:val="20"/>
              </w:rPr>
            </w:pPr>
            <w:r w:rsidRPr="00F32D92">
              <w:rPr>
                <w:rFonts w:cs="Arial"/>
                <w:sz w:val="20"/>
                <w:szCs w:val="20"/>
              </w:rPr>
              <w:t>Total</w:t>
            </w:r>
          </w:p>
        </w:tc>
      </w:tr>
      <w:tr w:rsidR="00AB6753" w:rsidRPr="00F32D92" w14:paraId="7E8CDD4B" w14:textId="77777777" w:rsidTr="002D1EA4">
        <w:trPr>
          <w:trHeight w:val="615"/>
          <w:jc w:val="center"/>
        </w:trPr>
        <w:tc>
          <w:tcPr>
            <w:tcW w:w="1696" w:type="dxa"/>
            <w:shd w:val="clear" w:color="auto" w:fill="BFBFBF" w:themeFill="background1" w:themeFillShade="BF"/>
            <w:noWrap/>
            <w:hideMark/>
          </w:tcPr>
          <w:p w14:paraId="7D839597" w14:textId="77777777" w:rsidR="00AB6753" w:rsidRPr="00F32D92" w:rsidRDefault="00AB6753" w:rsidP="002D1EA4">
            <w:pPr>
              <w:rPr>
                <w:rFonts w:cs="Arial"/>
                <w:sz w:val="20"/>
                <w:szCs w:val="20"/>
              </w:rPr>
            </w:pPr>
          </w:p>
        </w:tc>
        <w:tc>
          <w:tcPr>
            <w:tcW w:w="896" w:type="dxa"/>
            <w:tcBorders>
              <w:bottom w:val="single" w:sz="4" w:space="0" w:color="auto"/>
            </w:tcBorders>
            <w:shd w:val="clear" w:color="auto" w:fill="BFBFBF" w:themeFill="background1" w:themeFillShade="BF"/>
            <w:noWrap/>
            <w:hideMark/>
          </w:tcPr>
          <w:p w14:paraId="3C0EB3D2" w14:textId="77777777" w:rsidR="00AB6753" w:rsidRPr="00F32D92" w:rsidRDefault="00AB6753" w:rsidP="002D1EA4">
            <w:pPr>
              <w:rPr>
                <w:rFonts w:cs="Arial"/>
                <w:sz w:val="20"/>
                <w:szCs w:val="20"/>
              </w:rPr>
            </w:pPr>
            <w:r w:rsidRPr="00F32D92">
              <w:rPr>
                <w:rFonts w:cs="Arial"/>
                <w:sz w:val="20"/>
                <w:szCs w:val="20"/>
              </w:rPr>
              <w:t>Full-time</w:t>
            </w:r>
          </w:p>
        </w:tc>
        <w:tc>
          <w:tcPr>
            <w:tcW w:w="668" w:type="dxa"/>
            <w:tcBorders>
              <w:bottom w:val="single" w:sz="4" w:space="0" w:color="auto"/>
            </w:tcBorders>
            <w:shd w:val="clear" w:color="auto" w:fill="BFBFBF" w:themeFill="background1" w:themeFillShade="BF"/>
            <w:noWrap/>
            <w:hideMark/>
          </w:tcPr>
          <w:p w14:paraId="1B1563C5" w14:textId="77777777" w:rsidR="00AB6753" w:rsidRPr="00F32D92" w:rsidRDefault="00AB6753" w:rsidP="002D1EA4">
            <w:pPr>
              <w:rPr>
                <w:rFonts w:cs="Arial"/>
                <w:sz w:val="20"/>
                <w:szCs w:val="20"/>
              </w:rPr>
            </w:pPr>
            <w:r w:rsidRPr="00F32D92">
              <w:rPr>
                <w:rFonts w:cs="Arial"/>
                <w:sz w:val="20"/>
                <w:szCs w:val="20"/>
              </w:rPr>
              <w:t>Part-time</w:t>
            </w:r>
          </w:p>
        </w:tc>
        <w:tc>
          <w:tcPr>
            <w:tcW w:w="709" w:type="dxa"/>
            <w:tcBorders>
              <w:bottom w:val="single" w:sz="4" w:space="0" w:color="auto"/>
            </w:tcBorders>
            <w:shd w:val="clear" w:color="auto" w:fill="BFBFBF" w:themeFill="background1" w:themeFillShade="BF"/>
            <w:noWrap/>
            <w:hideMark/>
          </w:tcPr>
          <w:p w14:paraId="1EA1464C" w14:textId="77777777" w:rsidR="00AB6753" w:rsidRPr="00F32D92" w:rsidRDefault="00AB6753" w:rsidP="002D1EA4">
            <w:pPr>
              <w:rPr>
                <w:rFonts w:cs="Arial"/>
                <w:sz w:val="20"/>
                <w:szCs w:val="20"/>
              </w:rPr>
            </w:pPr>
            <w:r w:rsidRPr="00F32D92">
              <w:rPr>
                <w:rFonts w:cs="Arial"/>
                <w:sz w:val="20"/>
                <w:szCs w:val="20"/>
              </w:rPr>
              <w:t>Total Male</w:t>
            </w:r>
          </w:p>
        </w:tc>
        <w:tc>
          <w:tcPr>
            <w:tcW w:w="896" w:type="dxa"/>
            <w:tcBorders>
              <w:bottom w:val="single" w:sz="4" w:space="0" w:color="auto"/>
            </w:tcBorders>
            <w:shd w:val="clear" w:color="auto" w:fill="BFBFBF" w:themeFill="background1" w:themeFillShade="BF"/>
            <w:noWrap/>
            <w:hideMark/>
          </w:tcPr>
          <w:p w14:paraId="2C12A142" w14:textId="77777777" w:rsidR="00AB6753" w:rsidRPr="00F32D92" w:rsidRDefault="00AB6753" w:rsidP="002D1EA4">
            <w:pPr>
              <w:rPr>
                <w:rFonts w:cs="Arial"/>
                <w:sz w:val="20"/>
                <w:szCs w:val="20"/>
              </w:rPr>
            </w:pPr>
            <w:r w:rsidRPr="00F32D92">
              <w:rPr>
                <w:rFonts w:cs="Arial"/>
                <w:sz w:val="20"/>
                <w:szCs w:val="20"/>
              </w:rPr>
              <w:t>Full-time</w:t>
            </w:r>
          </w:p>
        </w:tc>
        <w:tc>
          <w:tcPr>
            <w:tcW w:w="663" w:type="dxa"/>
            <w:tcBorders>
              <w:bottom w:val="single" w:sz="4" w:space="0" w:color="auto"/>
            </w:tcBorders>
            <w:shd w:val="clear" w:color="auto" w:fill="BFBFBF" w:themeFill="background1" w:themeFillShade="BF"/>
            <w:noWrap/>
            <w:hideMark/>
          </w:tcPr>
          <w:p w14:paraId="61C13E09" w14:textId="77777777" w:rsidR="00AB6753" w:rsidRPr="00F32D92" w:rsidRDefault="00AB6753" w:rsidP="002D1EA4">
            <w:pPr>
              <w:rPr>
                <w:rFonts w:cs="Arial"/>
                <w:sz w:val="20"/>
                <w:szCs w:val="20"/>
              </w:rPr>
            </w:pPr>
            <w:r w:rsidRPr="00F32D92">
              <w:rPr>
                <w:rFonts w:cs="Arial"/>
                <w:sz w:val="20"/>
                <w:szCs w:val="20"/>
              </w:rPr>
              <w:t>Part-time</w:t>
            </w:r>
          </w:p>
        </w:tc>
        <w:tc>
          <w:tcPr>
            <w:tcW w:w="883" w:type="dxa"/>
            <w:tcBorders>
              <w:bottom w:val="single" w:sz="4" w:space="0" w:color="auto"/>
            </w:tcBorders>
            <w:shd w:val="clear" w:color="auto" w:fill="BFBFBF" w:themeFill="background1" w:themeFillShade="BF"/>
            <w:noWrap/>
            <w:hideMark/>
          </w:tcPr>
          <w:p w14:paraId="4D75D009" w14:textId="77777777" w:rsidR="00AB6753" w:rsidRPr="00F32D92" w:rsidRDefault="00AB6753" w:rsidP="002D1EA4">
            <w:pPr>
              <w:rPr>
                <w:rFonts w:cs="Arial"/>
                <w:sz w:val="20"/>
                <w:szCs w:val="20"/>
              </w:rPr>
            </w:pPr>
            <w:r w:rsidRPr="00F32D92">
              <w:rPr>
                <w:rFonts w:cs="Arial"/>
                <w:sz w:val="20"/>
                <w:szCs w:val="20"/>
              </w:rPr>
              <w:t>Total Female</w:t>
            </w:r>
          </w:p>
        </w:tc>
        <w:tc>
          <w:tcPr>
            <w:tcW w:w="896" w:type="dxa"/>
            <w:tcBorders>
              <w:bottom w:val="single" w:sz="4" w:space="0" w:color="auto"/>
            </w:tcBorders>
            <w:shd w:val="clear" w:color="auto" w:fill="BFBFBF" w:themeFill="background1" w:themeFillShade="BF"/>
            <w:noWrap/>
            <w:hideMark/>
          </w:tcPr>
          <w:p w14:paraId="3BBAD145" w14:textId="77777777" w:rsidR="00AB6753" w:rsidRPr="00F32D92" w:rsidRDefault="00AB6753" w:rsidP="002D1EA4">
            <w:pPr>
              <w:rPr>
                <w:rFonts w:cs="Arial"/>
                <w:sz w:val="20"/>
                <w:szCs w:val="20"/>
              </w:rPr>
            </w:pPr>
            <w:r w:rsidRPr="00F32D92">
              <w:rPr>
                <w:rFonts w:cs="Arial"/>
                <w:sz w:val="20"/>
                <w:szCs w:val="20"/>
              </w:rPr>
              <w:t>Full-time</w:t>
            </w:r>
          </w:p>
        </w:tc>
        <w:tc>
          <w:tcPr>
            <w:tcW w:w="650" w:type="dxa"/>
            <w:tcBorders>
              <w:bottom w:val="single" w:sz="4" w:space="0" w:color="auto"/>
            </w:tcBorders>
            <w:shd w:val="clear" w:color="auto" w:fill="BFBFBF" w:themeFill="background1" w:themeFillShade="BF"/>
            <w:noWrap/>
            <w:hideMark/>
          </w:tcPr>
          <w:p w14:paraId="08FB2268" w14:textId="77777777" w:rsidR="00AB6753" w:rsidRPr="00F32D92" w:rsidRDefault="00AB6753" w:rsidP="002D1EA4">
            <w:pPr>
              <w:rPr>
                <w:rFonts w:cs="Arial"/>
                <w:sz w:val="20"/>
                <w:szCs w:val="20"/>
              </w:rPr>
            </w:pPr>
            <w:r w:rsidRPr="00F32D92">
              <w:rPr>
                <w:rFonts w:cs="Arial"/>
                <w:sz w:val="20"/>
                <w:szCs w:val="20"/>
              </w:rPr>
              <w:t>Part-time</w:t>
            </w:r>
          </w:p>
        </w:tc>
        <w:tc>
          <w:tcPr>
            <w:tcW w:w="1439" w:type="dxa"/>
            <w:tcBorders>
              <w:bottom w:val="single" w:sz="4" w:space="0" w:color="auto"/>
            </w:tcBorders>
            <w:shd w:val="clear" w:color="auto" w:fill="BFBFBF" w:themeFill="background1" w:themeFillShade="BF"/>
            <w:hideMark/>
          </w:tcPr>
          <w:p w14:paraId="25639732" w14:textId="77777777" w:rsidR="00AB6753" w:rsidRPr="00F32D92" w:rsidRDefault="00AB6753" w:rsidP="002D1EA4">
            <w:pPr>
              <w:rPr>
                <w:rFonts w:cs="Arial"/>
                <w:sz w:val="20"/>
                <w:szCs w:val="20"/>
              </w:rPr>
            </w:pPr>
            <w:r w:rsidRPr="00F32D92">
              <w:rPr>
                <w:rFonts w:cs="Arial"/>
                <w:sz w:val="20"/>
                <w:szCs w:val="20"/>
              </w:rPr>
              <w:t>Total Indeterminate</w:t>
            </w:r>
          </w:p>
        </w:tc>
        <w:tc>
          <w:tcPr>
            <w:tcW w:w="661" w:type="dxa"/>
            <w:shd w:val="clear" w:color="auto" w:fill="BFBFBF" w:themeFill="background1" w:themeFillShade="BF"/>
          </w:tcPr>
          <w:p w14:paraId="78AC2177" w14:textId="77777777" w:rsidR="00AB6753" w:rsidRPr="00F32D92" w:rsidRDefault="00AB6753" w:rsidP="002D1EA4">
            <w:pPr>
              <w:rPr>
                <w:rFonts w:cs="Arial"/>
                <w:sz w:val="20"/>
                <w:szCs w:val="20"/>
              </w:rPr>
            </w:pPr>
          </w:p>
        </w:tc>
      </w:tr>
      <w:tr w:rsidR="00AB6753" w:rsidRPr="00F32D92" w14:paraId="4E7D5274" w14:textId="77777777" w:rsidTr="002D1EA4">
        <w:trPr>
          <w:trHeight w:val="315"/>
          <w:jc w:val="center"/>
        </w:trPr>
        <w:tc>
          <w:tcPr>
            <w:tcW w:w="1696" w:type="dxa"/>
            <w:vAlign w:val="center"/>
          </w:tcPr>
          <w:p w14:paraId="7D128B3E" w14:textId="77777777" w:rsidR="00AB6753" w:rsidRPr="00F32D92" w:rsidRDefault="00AB6753" w:rsidP="002D1EA4">
            <w:pPr>
              <w:rPr>
                <w:rFonts w:cs="Arial"/>
                <w:sz w:val="20"/>
                <w:szCs w:val="20"/>
              </w:rPr>
            </w:pPr>
            <w:r w:rsidRPr="00F32D92">
              <w:rPr>
                <w:rFonts w:cs="Arial"/>
                <w:sz w:val="20"/>
                <w:szCs w:val="20"/>
              </w:rPr>
              <w:t>Secretary</w:t>
            </w:r>
          </w:p>
        </w:tc>
        <w:tc>
          <w:tcPr>
            <w:tcW w:w="896" w:type="dxa"/>
            <w:tcBorders>
              <w:bottom w:val="nil"/>
              <w:right w:val="nil"/>
            </w:tcBorders>
            <w:noWrap/>
            <w:vAlign w:val="center"/>
          </w:tcPr>
          <w:p w14:paraId="4B74B33F" w14:textId="77777777" w:rsidR="00AB6753" w:rsidRPr="00F32D92" w:rsidRDefault="00AB6753" w:rsidP="002D1EA4">
            <w:pPr>
              <w:rPr>
                <w:rFonts w:cs="Arial"/>
                <w:sz w:val="20"/>
                <w:szCs w:val="20"/>
              </w:rPr>
            </w:pPr>
            <w:r w:rsidRPr="00F32D92">
              <w:rPr>
                <w:rFonts w:cs="Arial"/>
                <w:sz w:val="20"/>
                <w:szCs w:val="20"/>
              </w:rPr>
              <w:t>0</w:t>
            </w:r>
          </w:p>
        </w:tc>
        <w:tc>
          <w:tcPr>
            <w:tcW w:w="668" w:type="dxa"/>
            <w:tcBorders>
              <w:left w:val="nil"/>
              <w:bottom w:val="nil"/>
              <w:right w:val="nil"/>
            </w:tcBorders>
            <w:noWrap/>
            <w:vAlign w:val="center"/>
          </w:tcPr>
          <w:p w14:paraId="570D5D1D" w14:textId="77777777" w:rsidR="00AB6753" w:rsidRPr="00F32D92" w:rsidRDefault="00AB6753" w:rsidP="002D1EA4">
            <w:pPr>
              <w:rPr>
                <w:rFonts w:cs="Arial"/>
                <w:sz w:val="20"/>
                <w:szCs w:val="20"/>
              </w:rPr>
            </w:pPr>
            <w:r w:rsidRPr="00F32D92">
              <w:rPr>
                <w:rFonts w:cs="Arial"/>
                <w:sz w:val="20"/>
                <w:szCs w:val="20"/>
              </w:rPr>
              <w:t>0</w:t>
            </w:r>
          </w:p>
        </w:tc>
        <w:tc>
          <w:tcPr>
            <w:tcW w:w="709" w:type="dxa"/>
            <w:tcBorders>
              <w:left w:val="nil"/>
              <w:bottom w:val="nil"/>
            </w:tcBorders>
            <w:noWrap/>
            <w:vAlign w:val="center"/>
          </w:tcPr>
          <w:p w14:paraId="36BA0A96" w14:textId="77777777" w:rsidR="00AB6753" w:rsidRPr="00F32D92" w:rsidRDefault="00AB6753" w:rsidP="002D1EA4">
            <w:pPr>
              <w:rPr>
                <w:rFonts w:cs="Arial"/>
                <w:sz w:val="20"/>
                <w:szCs w:val="20"/>
              </w:rPr>
            </w:pPr>
            <w:r w:rsidRPr="00F32D92">
              <w:rPr>
                <w:rFonts w:cs="Arial"/>
                <w:sz w:val="20"/>
                <w:szCs w:val="20"/>
              </w:rPr>
              <w:t>0</w:t>
            </w:r>
          </w:p>
        </w:tc>
        <w:tc>
          <w:tcPr>
            <w:tcW w:w="896" w:type="dxa"/>
            <w:tcBorders>
              <w:bottom w:val="nil"/>
              <w:right w:val="nil"/>
            </w:tcBorders>
            <w:noWrap/>
            <w:vAlign w:val="center"/>
          </w:tcPr>
          <w:p w14:paraId="1A34E94C" w14:textId="77777777" w:rsidR="00AB6753" w:rsidRPr="00F32D92" w:rsidRDefault="00AB6753" w:rsidP="002D1EA4">
            <w:pPr>
              <w:rPr>
                <w:rFonts w:cs="Arial"/>
                <w:sz w:val="20"/>
                <w:szCs w:val="20"/>
              </w:rPr>
            </w:pPr>
            <w:r w:rsidRPr="00F32D92">
              <w:rPr>
                <w:rFonts w:cs="Arial"/>
                <w:color w:val="000000"/>
                <w:sz w:val="20"/>
                <w:szCs w:val="20"/>
              </w:rPr>
              <w:t>1</w:t>
            </w:r>
          </w:p>
        </w:tc>
        <w:tc>
          <w:tcPr>
            <w:tcW w:w="663" w:type="dxa"/>
            <w:tcBorders>
              <w:left w:val="nil"/>
              <w:bottom w:val="nil"/>
              <w:right w:val="nil"/>
            </w:tcBorders>
            <w:noWrap/>
            <w:vAlign w:val="center"/>
          </w:tcPr>
          <w:p w14:paraId="7AE6C30D" w14:textId="77777777" w:rsidR="00AB6753" w:rsidRPr="00F32D92" w:rsidRDefault="00AB6753" w:rsidP="002D1EA4">
            <w:pPr>
              <w:rPr>
                <w:rFonts w:cs="Arial"/>
                <w:sz w:val="20"/>
                <w:szCs w:val="20"/>
              </w:rPr>
            </w:pPr>
            <w:r w:rsidRPr="00F32D92">
              <w:rPr>
                <w:rFonts w:cs="Arial"/>
                <w:sz w:val="20"/>
                <w:szCs w:val="20"/>
              </w:rPr>
              <w:t>0</w:t>
            </w:r>
          </w:p>
        </w:tc>
        <w:tc>
          <w:tcPr>
            <w:tcW w:w="883" w:type="dxa"/>
            <w:tcBorders>
              <w:left w:val="nil"/>
              <w:bottom w:val="nil"/>
            </w:tcBorders>
            <w:noWrap/>
            <w:vAlign w:val="center"/>
          </w:tcPr>
          <w:p w14:paraId="01D5BDA4" w14:textId="77777777" w:rsidR="00AB6753" w:rsidRPr="00F32D92" w:rsidRDefault="00AB6753" w:rsidP="002D1EA4">
            <w:pPr>
              <w:rPr>
                <w:rFonts w:cs="Arial"/>
                <w:sz w:val="20"/>
                <w:szCs w:val="20"/>
              </w:rPr>
            </w:pPr>
            <w:r w:rsidRPr="00F32D92">
              <w:rPr>
                <w:rFonts w:cs="Arial"/>
                <w:color w:val="000000"/>
                <w:sz w:val="20"/>
                <w:szCs w:val="20"/>
              </w:rPr>
              <w:t>1</w:t>
            </w:r>
          </w:p>
        </w:tc>
        <w:tc>
          <w:tcPr>
            <w:tcW w:w="896" w:type="dxa"/>
            <w:tcBorders>
              <w:bottom w:val="nil"/>
              <w:right w:val="nil"/>
            </w:tcBorders>
            <w:noWrap/>
            <w:vAlign w:val="center"/>
          </w:tcPr>
          <w:p w14:paraId="7FD8F00D" w14:textId="77777777" w:rsidR="00AB6753" w:rsidRPr="00F32D92" w:rsidRDefault="00AB6753" w:rsidP="002D1EA4">
            <w:pPr>
              <w:rPr>
                <w:rFonts w:cs="Arial"/>
                <w:sz w:val="20"/>
                <w:szCs w:val="20"/>
              </w:rPr>
            </w:pPr>
            <w:r w:rsidRPr="00F32D92">
              <w:rPr>
                <w:rFonts w:cs="Arial"/>
                <w:sz w:val="20"/>
                <w:szCs w:val="20"/>
              </w:rPr>
              <w:t>-</w:t>
            </w:r>
          </w:p>
        </w:tc>
        <w:tc>
          <w:tcPr>
            <w:tcW w:w="650" w:type="dxa"/>
            <w:tcBorders>
              <w:left w:val="nil"/>
              <w:bottom w:val="nil"/>
              <w:right w:val="nil"/>
            </w:tcBorders>
            <w:noWrap/>
            <w:vAlign w:val="center"/>
          </w:tcPr>
          <w:p w14:paraId="407E1AC3" w14:textId="77777777" w:rsidR="00AB6753" w:rsidRPr="00F32D92" w:rsidRDefault="00AB6753" w:rsidP="002D1EA4">
            <w:pPr>
              <w:rPr>
                <w:rFonts w:cs="Arial"/>
                <w:sz w:val="20"/>
                <w:szCs w:val="20"/>
              </w:rPr>
            </w:pPr>
            <w:r w:rsidRPr="00F32D92">
              <w:rPr>
                <w:rFonts w:cs="Arial"/>
                <w:sz w:val="20"/>
                <w:szCs w:val="20"/>
              </w:rPr>
              <w:t>-</w:t>
            </w:r>
          </w:p>
        </w:tc>
        <w:tc>
          <w:tcPr>
            <w:tcW w:w="1439" w:type="dxa"/>
            <w:tcBorders>
              <w:left w:val="nil"/>
              <w:bottom w:val="nil"/>
            </w:tcBorders>
            <w:noWrap/>
            <w:vAlign w:val="center"/>
          </w:tcPr>
          <w:p w14:paraId="40D574F2"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57F4340A" w14:textId="77777777" w:rsidR="00AB6753" w:rsidRPr="00F32D92" w:rsidRDefault="00AB6753" w:rsidP="002D1EA4">
            <w:pPr>
              <w:rPr>
                <w:rFonts w:cs="Arial"/>
                <w:sz w:val="20"/>
                <w:szCs w:val="20"/>
              </w:rPr>
            </w:pPr>
            <w:r w:rsidRPr="00F32D92">
              <w:rPr>
                <w:rFonts w:cs="Arial"/>
                <w:color w:val="000000"/>
                <w:sz w:val="20"/>
                <w:szCs w:val="20"/>
              </w:rPr>
              <w:t>1</w:t>
            </w:r>
          </w:p>
        </w:tc>
      </w:tr>
      <w:tr w:rsidR="00AB6753" w:rsidRPr="00F32D92" w14:paraId="2AA0E334" w14:textId="77777777" w:rsidTr="002D1EA4">
        <w:trPr>
          <w:trHeight w:val="315"/>
          <w:jc w:val="center"/>
        </w:trPr>
        <w:tc>
          <w:tcPr>
            <w:tcW w:w="1696" w:type="dxa"/>
            <w:vAlign w:val="center"/>
            <w:hideMark/>
          </w:tcPr>
          <w:p w14:paraId="38D0F86B" w14:textId="77777777" w:rsidR="00AB6753" w:rsidRPr="00F32D92" w:rsidRDefault="00AB6753" w:rsidP="002D1EA4">
            <w:pPr>
              <w:rPr>
                <w:rFonts w:cs="Arial"/>
                <w:sz w:val="20"/>
                <w:szCs w:val="20"/>
              </w:rPr>
            </w:pPr>
            <w:r w:rsidRPr="00F32D92">
              <w:rPr>
                <w:rFonts w:cs="Arial"/>
                <w:sz w:val="20"/>
                <w:szCs w:val="20"/>
              </w:rPr>
              <w:t>SES 3</w:t>
            </w:r>
          </w:p>
        </w:tc>
        <w:tc>
          <w:tcPr>
            <w:tcW w:w="896" w:type="dxa"/>
            <w:tcBorders>
              <w:top w:val="nil"/>
              <w:bottom w:val="nil"/>
              <w:right w:val="nil"/>
            </w:tcBorders>
            <w:noWrap/>
            <w:vAlign w:val="center"/>
          </w:tcPr>
          <w:p w14:paraId="43D6F743" w14:textId="77777777" w:rsidR="00AB6753" w:rsidRPr="00F32D92" w:rsidRDefault="00AB6753" w:rsidP="002D1EA4">
            <w:pPr>
              <w:rPr>
                <w:rFonts w:cs="Arial"/>
                <w:sz w:val="20"/>
                <w:szCs w:val="20"/>
              </w:rPr>
            </w:pPr>
            <w:r w:rsidRPr="00F32D92">
              <w:rPr>
                <w:rFonts w:cs="Arial"/>
                <w:color w:val="000000"/>
                <w:sz w:val="20"/>
                <w:szCs w:val="20"/>
              </w:rPr>
              <w:t>2</w:t>
            </w:r>
          </w:p>
        </w:tc>
        <w:tc>
          <w:tcPr>
            <w:tcW w:w="668" w:type="dxa"/>
            <w:tcBorders>
              <w:top w:val="nil"/>
              <w:left w:val="nil"/>
              <w:bottom w:val="nil"/>
              <w:right w:val="nil"/>
            </w:tcBorders>
            <w:noWrap/>
            <w:vAlign w:val="center"/>
            <w:hideMark/>
          </w:tcPr>
          <w:p w14:paraId="28D8AFBD" w14:textId="77777777" w:rsidR="00AB6753" w:rsidRPr="00F32D92" w:rsidRDefault="00AB6753" w:rsidP="002D1EA4">
            <w:pPr>
              <w:rPr>
                <w:rFonts w:cs="Arial"/>
                <w:sz w:val="20"/>
                <w:szCs w:val="20"/>
              </w:rPr>
            </w:pPr>
            <w:r w:rsidRPr="00F32D92">
              <w:rPr>
                <w:rFonts w:cs="Arial"/>
                <w:sz w:val="20"/>
                <w:szCs w:val="20"/>
              </w:rPr>
              <w:t>0</w:t>
            </w:r>
          </w:p>
        </w:tc>
        <w:tc>
          <w:tcPr>
            <w:tcW w:w="709" w:type="dxa"/>
            <w:tcBorders>
              <w:top w:val="nil"/>
              <w:left w:val="nil"/>
              <w:bottom w:val="nil"/>
            </w:tcBorders>
            <w:noWrap/>
            <w:vAlign w:val="center"/>
            <w:hideMark/>
          </w:tcPr>
          <w:p w14:paraId="1BDABCCE" w14:textId="77777777" w:rsidR="00AB6753" w:rsidRPr="00F32D92" w:rsidRDefault="00AB6753" w:rsidP="002D1EA4">
            <w:pPr>
              <w:rPr>
                <w:rFonts w:cs="Arial"/>
                <w:sz w:val="20"/>
                <w:szCs w:val="20"/>
              </w:rPr>
            </w:pPr>
            <w:r w:rsidRPr="00F32D92">
              <w:rPr>
                <w:rFonts w:cs="Arial"/>
                <w:color w:val="000000"/>
                <w:sz w:val="20"/>
                <w:szCs w:val="20"/>
              </w:rPr>
              <w:t>2</w:t>
            </w:r>
          </w:p>
        </w:tc>
        <w:tc>
          <w:tcPr>
            <w:tcW w:w="896" w:type="dxa"/>
            <w:tcBorders>
              <w:top w:val="nil"/>
              <w:bottom w:val="nil"/>
              <w:right w:val="nil"/>
            </w:tcBorders>
            <w:noWrap/>
            <w:vAlign w:val="center"/>
            <w:hideMark/>
          </w:tcPr>
          <w:p w14:paraId="3189E7D4" w14:textId="77777777" w:rsidR="00AB6753" w:rsidRPr="00F32D92" w:rsidRDefault="00AB6753" w:rsidP="002D1EA4">
            <w:pPr>
              <w:rPr>
                <w:rFonts w:cs="Arial"/>
                <w:sz w:val="20"/>
                <w:szCs w:val="20"/>
              </w:rPr>
            </w:pPr>
            <w:r w:rsidRPr="00F32D92">
              <w:rPr>
                <w:rFonts w:cs="Arial"/>
                <w:color w:val="000000"/>
                <w:sz w:val="20"/>
                <w:szCs w:val="20"/>
              </w:rPr>
              <w:t>2</w:t>
            </w:r>
          </w:p>
        </w:tc>
        <w:tc>
          <w:tcPr>
            <w:tcW w:w="663" w:type="dxa"/>
            <w:tcBorders>
              <w:top w:val="nil"/>
              <w:left w:val="nil"/>
              <w:bottom w:val="nil"/>
              <w:right w:val="nil"/>
            </w:tcBorders>
            <w:noWrap/>
            <w:vAlign w:val="center"/>
            <w:hideMark/>
          </w:tcPr>
          <w:p w14:paraId="128F8450" w14:textId="77777777" w:rsidR="00AB6753" w:rsidRPr="00F32D92" w:rsidRDefault="00AB6753" w:rsidP="002D1EA4">
            <w:pPr>
              <w:rPr>
                <w:rFonts w:cs="Arial"/>
                <w:sz w:val="20"/>
                <w:szCs w:val="20"/>
              </w:rPr>
            </w:pPr>
            <w:r w:rsidRPr="00F32D92">
              <w:rPr>
                <w:rFonts w:cs="Arial"/>
                <w:sz w:val="20"/>
                <w:szCs w:val="20"/>
              </w:rPr>
              <w:t>0</w:t>
            </w:r>
          </w:p>
        </w:tc>
        <w:tc>
          <w:tcPr>
            <w:tcW w:w="883" w:type="dxa"/>
            <w:tcBorders>
              <w:top w:val="nil"/>
              <w:left w:val="nil"/>
              <w:bottom w:val="nil"/>
            </w:tcBorders>
            <w:noWrap/>
            <w:vAlign w:val="center"/>
            <w:hideMark/>
          </w:tcPr>
          <w:p w14:paraId="26D3B1CD" w14:textId="77777777" w:rsidR="00AB6753" w:rsidRPr="00F32D92" w:rsidRDefault="00AB6753" w:rsidP="002D1EA4">
            <w:pPr>
              <w:rPr>
                <w:rFonts w:cs="Arial"/>
                <w:sz w:val="20"/>
                <w:szCs w:val="20"/>
              </w:rPr>
            </w:pPr>
            <w:r w:rsidRPr="00F32D92">
              <w:rPr>
                <w:rFonts w:cs="Arial"/>
                <w:color w:val="000000"/>
                <w:sz w:val="20"/>
                <w:szCs w:val="20"/>
              </w:rPr>
              <w:t>2</w:t>
            </w:r>
          </w:p>
        </w:tc>
        <w:tc>
          <w:tcPr>
            <w:tcW w:w="896" w:type="dxa"/>
            <w:tcBorders>
              <w:top w:val="nil"/>
              <w:bottom w:val="nil"/>
              <w:right w:val="nil"/>
            </w:tcBorders>
            <w:noWrap/>
            <w:vAlign w:val="center"/>
            <w:hideMark/>
          </w:tcPr>
          <w:p w14:paraId="2258DCEB"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hideMark/>
          </w:tcPr>
          <w:p w14:paraId="461FD5DF"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hideMark/>
          </w:tcPr>
          <w:p w14:paraId="4E5CB62F"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55C611AC" w14:textId="77777777" w:rsidR="00AB6753" w:rsidRPr="00F32D92" w:rsidRDefault="00AB6753" w:rsidP="002D1EA4">
            <w:pPr>
              <w:rPr>
                <w:rFonts w:cs="Arial"/>
                <w:sz w:val="20"/>
                <w:szCs w:val="20"/>
              </w:rPr>
            </w:pPr>
            <w:r w:rsidRPr="00F32D92">
              <w:rPr>
                <w:rFonts w:cs="Arial"/>
                <w:color w:val="000000"/>
                <w:sz w:val="20"/>
                <w:szCs w:val="20"/>
              </w:rPr>
              <w:t>4</w:t>
            </w:r>
          </w:p>
        </w:tc>
      </w:tr>
      <w:tr w:rsidR="00AB6753" w:rsidRPr="00F32D92" w14:paraId="432FB782" w14:textId="77777777" w:rsidTr="002D1EA4">
        <w:trPr>
          <w:trHeight w:val="315"/>
          <w:jc w:val="center"/>
        </w:trPr>
        <w:tc>
          <w:tcPr>
            <w:tcW w:w="1696" w:type="dxa"/>
            <w:vAlign w:val="center"/>
            <w:hideMark/>
          </w:tcPr>
          <w:p w14:paraId="7939150F" w14:textId="77777777" w:rsidR="00AB6753" w:rsidRPr="00F32D92" w:rsidRDefault="00AB6753" w:rsidP="002D1EA4">
            <w:pPr>
              <w:rPr>
                <w:rFonts w:cs="Arial"/>
                <w:sz w:val="20"/>
                <w:szCs w:val="20"/>
              </w:rPr>
            </w:pPr>
            <w:r w:rsidRPr="00F32D92">
              <w:rPr>
                <w:rFonts w:cs="Arial"/>
                <w:sz w:val="20"/>
                <w:szCs w:val="20"/>
              </w:rPr>
              <w:t>SES 2</w:t>
            </w:r>
          </w:p>
        </w:tc>
        <w:tc>
          <w:tcPr>
            <w:tcW w:w="896" w:type="dxa"/>
            <w:tcBorders>
              <w:top w:val="nil"/>
              <w:bottom w:val="nil"/>
              <w:right w:val="nil"/>
            </w:tcBorders>
            <w:noWrap/>
            <w:vAlign w:val="center"/>
          </w:tcPr>
          <w:p w14:paraId="1DE9D21E" w14:textId="77777777" w:rsidR="00AB6753" w:rsidRPr="00F32D92" w:rsidRDefault="00AB6753" w:rsidP="002D1EA4">
            <w:pPr>
              <w:rPr>
                <w:rFonts w:cs="Arial"/>
                <w:sz w:val="20"/>
                <w:szCs w:val="20"/>
              </w:rPr>
            </w:pPr>
            <w:r w:rsidRPr="00F32D92">
              <w:rPr>
                <w:rFonts w:cs="Arial"/>
                <w:color w:val="000000"/>
                <w:sz w:val="20"/>
                <w:szCs w:val="20"/>
              </w:rPr>
              <w:t>14</w:t>
            </w:r>
          </w:p>
        </w:tc>
        <w:tc>
          <w:tcPr>
            <w:tcW w:w="668" w:type="dxa"/>
            <w:tcBorders>
              <w:top w:val="nil"/>
              <w:left w:val="nil"/>
              <w:bottom w:val="nil"/>
              <w:right w:val="nil"/>
            </w:tcBorders>
            <w:noWrap/>
            <w:vAlign w:val="center"/>
            <w:hideMark/>
          </w:tcPr>
          <w:p w14:paraId="2E2E9181" w14:textId="77777777" w:rsidR="00AB6753" w:rsidRPr="00F32D92" w:rsidRDefault="00AB6753" w:rsidP="002D1EA4">
            <w:pPr>
              <w:rPr>
                <w:rFonts w:cs="Arial"/>
                <w:sz w:val="20"/>
                <w:szCs w:val="20"/>
              </w:rPr>
            </w:pPr>
            <w:r w:rsidRPr="00F32D92">
              <w:rPr>
                <w:rFonts w:cs="Arial"/>
                <w:sz w:val="20"/>
                <w:szCs w:val="20"/>
              </w:rPr>
              <w:t>0</w:t>
            </w:r>
          </w:p>
        </w:tc>
        <w:tc>
          <w:tcPr>
            <w:tcW w:w="709" w:type="dxa"/>
            <w:tcBorders>
              <w:top w:val="nil"/>
              <w:left w:val="nil"/>
              <w:bottom w:val="nil"/>
            </w:tcBorders>
            <w:noWrap/>
            <w:vAlign w:val="center"/>
            <w:hideMark/>
          </w:tcPr>
          <w:p w14:paraId="4B90DC14" w14:textId="77777777" w:rsidR="00AB6753" w:rsidRPr="00F32D92" w:rsidRDefault="00AB6753" w:rsidP="002D1EA4">
            <w:pPr>
              <w:rPr>
                <w:rFonts w:cs="Arial"/>
                <w:sz w:val="20"/>
                <w:szCs w:val="20"/>
              </w:rPr>
            </w:pPr>
            <w:r w:rsidRPr="00F32D92">
              <w:rPr>
                <w:rFonts w:cs="Arial"/>
                <w:color w:val="000000"/>
                <w:sz w:val="20"/>
                <w:szCs w:val="20"/>
              </w:rPr>
              <w:t>14</w:t>
            </w:r>
          </w:p>
        </w:tc>
        <w:tc>
          <w:tcPr>
            <w:tcW w:w="896" w:type="dxa"/>
            <w:tcBorders>
              <w:top w:val="nil"/>
              <w:bottom w:val="nil"/>
              <w:right w:val="nil"/>
            </w:tcBorders>
            <w:noWrap/>
            <w:vAlign w:val="center"/>
            <w:hideMark/>
          </w:tcPr>
          <w:p w14:paraId="0F57B96B" w14:textId="77777777" w:rsidR="00AB6753" w:rsidRPr="00F32D92" w:rsidRDefault="00AB6753" w:rsidP="002D1EA4">
            <w:pPr>
              <w:rPr>
                <w:rFonts w:cs="Arial"/>
                <w:sz w:val="20"/>
                <w:szCs w:val="20"/>
              </w:rPr>
            </w:pPr>
            <w:r w:rsidRPr="00F32D92">
              <w:rPr>
                <w:rFonts w:cs="Arial"/>
                <w:color w:val="000000"/>
                <w:sz w:val="20"/>
                <w:szCs w:val="20"/>
              </w:rPr>
              <w:t>5</w:t>
            </w:r>
          </w:p>
        </w:tc>
        <w:tc>
          <w:tcPr>
            <w:tcW w:w="663" w:type="dxa"/>
            <w:tcBorders>
              <w:top w:val="nil"/>
              <w:left w:val="nil"/>
              <w:bottom w:val="nil"/>
              <w:right w:val="nil"/>
            </w:tcBorders>
            <w:noWrap/>
            <w:vAlign w:val="center"/>
            <w:hideMark/>
          </w:tcPr>
          <w:p w14:paraId="337102A8" w14:textId="77777777" w:rsidR="00AB6753" w:rsidRPr="00F32D92" w:rsidRDefault="00AB6753" w:rsidP="002D1EA4">
            <w:pPr>
              <w:rPr>
                <w:rFonts w:cs="Arial"/>
                <w:sz w:val="20"/>
                <w:szCs w:val="20"/>
              </w:rPr>
            </w:pPr>
            <w:r w:rsidRPr="00F32D92">
              <w:rPr>
                <w:rFonts w:cs="Arial"/>
                <w:sz w:val="20"/>
                <w:szCs w:val="20"/>
              </w:rPr>
              <w:t>0</w:t>
            </w:r>
          </w:p>
        </w:tc>
        <w:tc>
          <w:tcPr>
            <w:tcW w:w="883" w:type="dxa"/>
            <w:tcBorders>
              <w:top w:val="nil"/>
              <w:left w:val="nil"/>
              <w:bottom w:val="nil"/>
            </w:tcBorders>
            <w:noWrap/>
            <w:vAlign w:val="center"/>
            <w:hideMark/>
          </w:tcPr>
          <w:p w14:paraId="117FB722" w14:textId="77777777" w:rsidR="00AB6753" w:rsidRPr="00F32D92" w:rsidRDefault="00AB6753" w:rsidP="002D1EA4">
            <w:pPr>
              <w:rPr>
                <w:rFonts w:cs="Arial"/>
                <w:sz w:val="20"/>
                <w:szCs w:val="20"/>
              </w:rPr>
            </w:pPr>
            <w:r w:rsidRPr="00F32D92">
              <w:rPr>
                <w:rFonts w:cs="Arial"/>
                <w:color w:val="000000"/>
                <w:sz w:val="20"/>
                <w:szCs w:val="20"/>
              </w:rPr>
              <w:t>5</w:t>
            </w:r>
          </w:p>
        </w:tc>
        <w:tc>
          <w:tcPr>
            <w:tcW w:w="896" w:type="dxa"/>
            <w:tcBorders>
              <w:top w:val="nil"/>
              <w:bottom w:val="nil"/>
              <w:right w:val="nil"/>
            </w:tcBorders>
            <w:noWrap/>
            <w:vAlign w:val="center"/>
            <w:hideMark/>
          </w:tcPr>
          <w:p w14:paraId="6BA14D7E"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hideMark/>
          </w:tcPr>
          <w:p w14:paraId="2626D92E"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hideMark/>
          </w:tcPr>
          <w:p w14:paraId="3B667DAC"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65EFFFA8" w14:textId="77777777" w:rsidR="00AB6753" w:rsidRPr="00F32D92" w:rsidRDefault="00AB6753" w:rsidP="002D1EA4">
            <w:pPr>
              <w:rPr>
                <w:rFonts w:cs="Arial"/>
                <w:sz w:val="20"/>
                <w:szCs w:val="20"/>
              </w:rPr>
            </w:pPr>
            <w:r w:rsidRPr="00F32D92">
              <w:rPr>
                <w:rFonts w:cs="Arial"/>
                <w:color w:val="000000"/>
                <w:sz w:val="20"/>
                <w:szCs w:val="20"/>
              </w:rPr>
              <w:t>19</w:t>
            </w:r>
          </w:p>
        </w:tc>
      </w:tr>
      <w:tr w:rsidR="00AB6753" w:rsidRPr="00F32D92" w14:paraId="44B7EF7B" w14:textId="77777777" w:rsidTr="002D1EA4">
        <w:trPr>
          <w:trHeight w:val="315"/>
          <w:jc w:val="center"/>
        </w:trPr>
        <w:tc>
          <w:tcPr>
            <w:tcW w:w="1696" w:type="dxa"/>
            <w:vAlign w:val="center"/>
            <w:hideMark/>
          </w:tcPr>
          <w:p w14:paraId="189FCA26" w14:textId="77777777" w:rsidR="00AB6753" w:rsidRPr="00F32D92" w:rsidRDefault="00AB6753" w:rsidP="002D1EA4">
            <w:pPr>
              <w:rPr>
                <w:rFonts w:cs="Arial"/>
                <w:sz w:val="20"/>
                <w:szCs w:val="20"/>
              </w:rPr>
            </w:pPr>
            <w:r w:rsidRPr="00F32D92">
              <w:rPr>
                <w:rFonts w:cs="Arial"/>
                <w:sz w:val="20"/>
                <w:szCs w:val="20"/>
              </w:rPr>
              <w:t>SES 1</w:t>
            </w:r>
          </w:p>
        </w:tc>
        <w:tc>
          <w:tcPr>
            <w:tcW w:w="896" w:type="dxa"/>
            <w:tcBorders>
              <w:top w:val="nil"/>
              <w:bottom w:val="nil"/>
              <w:right w:val="nil"/>
            </w:tcBorders>
            <w:noWrap/>
            <w:vAlign w:val="center"/>
            <w:hideMark/>
          </w:tcPr>
          <w:p w14:paraId="451AD810" w14:textId="77777777" w:rsidR="00AB6753" w:rsidRPr="00F32D92" w:rsidRDefault="00AB6753" w:rsidP="002D1EA4">
            <w:pPr>
              <w:rPr>
                <w:rFonts w:cs="Arial"/>
                <w:sz w:val="20"/>
                <w:szCs w:val="20"/>
              </w:rPr>
            </w:pPr>
            <w:r w:rsidRPr="00F32D92">
              <w:rPr>
                <w:rFonts w:cs="Arial"/>
                <w:color w:val="000000"/>
                <w:sz w:val="20"/>
                <w:szCs w:val="20"/>
              </w:rPr>
              <w:t>27</w:t>
            </w:r>
          </w:p>
        </w:tc>
        <w:tc>
          <w:tcPr>
            <w:tcW w:w="668" w:type="dxa"/>
            <w:tcBorders>
              <w:top w:val="nil"/>
              <w:left w:val="nil"/>
              <w:bottom w:val="nil"/>
              <w:right w:val="nil"/>
            </w:tcBorders>
            <w:noWrap/>
            <w:vAlign w:val="center"/>
            <w:hideMark/>
          </w:tcPr>
          <w:p w14:paraId="31DFC9DC" w14:textId="77777777" w:rsidR="00AB6753" w:rsidRPr="00F32D92" w:rsidRDefault="00AB6753" w:rsidP="002D1EA4">
            <w:pPr>
              <w:rPr>
                <w:rFonts w:cs="Arial"/>
                <w:sz w:val="20"/>
                <w:szCs w:val="20"/>
              </w:rPr>
            </w:pPr>
            <w:r w:rsidRPr="00F32D92">
              <w:rPr>
                <w:rFonts w:cs="Arial"/>
                <w:sz w:val="20"/>
                <w:szCs w:val="20"/>
              </w:rPr>
              <w:t>0</w:t>
            </w:r>
          </w:p>
        </w:tc>
        <w:tc>
          <w:tcPr>
            <w:tcW w:w="709" w:type="dxa"/>
            <w:tcBorders>
              <w:top w:val="nil"/>
              <w:left w:val="nil"/>
              <w:bottom w:val="nil"/>
            </w:tcBorders>
            <w:noWrap/>
            <w:vAlign w:val="center"/>
            <w:hideMark/>
          </w:tcPr>
          <w:p w14:paraId="714FD3E9" w14:textId="77777777" w:rsidR="00AB6753" w:rsidRPr="00F32D92" w:rsidRDefault="00AB6753" w:rsidP="002D1EA4">
            <w:pPr>
              <w:rPr>
                <w:rFonts w:cs="Arial"/>
                <w:sz w:val="20"/>
                <w:szCs w:val="20"/>
              </w:rPr>
            </w:pPr>
            <w:r w:rsidRPr="00F32D92">
              <w:rPr>
                <w:rFonts w:cs="Arial"/>
                <w:color w:val="000000"/>
                <w:sz w:val="20"/>
                <w:szCs w:val="20"/>
              </w:rPr>
              <w:t>27</w:t>
            </w:r>
          </w:p>
        </w:tc>
        <w:tc>
          <w:tcPr>
            <w:tcW w:w="896" w:type="dxa"/>
            <w:tcBorders>
              <w:top w:val="nil"/>
              <w:bottom w:val="nil"/>
              <w:right w:val="nil"/>
            </w:tcBorders>
            <w:noWrap/>
            <w:vAlign w:val="center"/>
            <w:hideMark/>
          </w:tcPr>
          <w:p w14:paraId="1E818D6E" w14:textId="77777777" w:rsidR="00AB6753" w:rsidRPr="00F32D92" w:rsidRDefault="00AB6753" w:rsidP="002D1EA4">
            <w:pPr>
              <w:rPr>
                <w:rFonts w:cs="Arial"/>
                <w:sz w:val="20"/>
                <w:szCs w:val="20"/>
              </w:rPr>
            </w:pPr>
            <w:r w:rsidRPr="00F32D92">
              <w:rPr>
                <w:rFonts w:cs="Arial"/>
                <w:color w:val="000000"/>
                <w:sz w:val="20"/>
                <w:szCs w:val="20"/>
              </w:rPr>
              <w:t>32</w:t>
            </w:r>
          </w:p>
        </w:tc>
        <w:tc>
          <w:tcPr>
            <w:tcW w:w="663" w:type="dxa"/>
            <w:tcBorders>
              <w:top w:val="nil"/>
              <w:left w:val="nil"/>
              <w:bottom w:val="nil"/>
              <w:right w:val="nil"/>
            </w:tcBorders>
            <w:noWrap/>
            <w:vAlign w:val="center"/>
            <w:hideMark/>
          </w:tcPr>
          <w:p w14:paraId="6B1B6B22" w14:textId="77777777" w:rsidR="00AB6753" w:rsidRPr="00F32D92" w:rsidRDefault="00AB6753" w:rsidP="002D1EA4">
            <w:pPr>
              <w:rPr>
                <w:rFonts w:cs="Arial"/>
                <w:sz w:val="20"/>
                <w:szCs w:val="20"/>
              </w:rPr>
            </w:pPr>
            <w:r w:rsidRPr="00F32D92">
              <w:rPr>
                <w:rFonts w:cs="Arial"/>
                <w:color w:val="000000"/>
                <w:sz w:val="20"/>
                <w:szCs w:val="20"/>
              </w:rPr>
              <w:t>3</w:t>
            </w:r>
          </w:p>
        </w:tc>
        <w:tc>
          <w:tcPr>
            <w:tcW w:w="883" w:type="dxa"/>
            <w:tcBorders>
              <w:top w:val="nil"/>
              <w:left w:val="nil"/>
              <w:bottom w:val="nil"/>
            </w:tcBorders>
            <w:noWrap/>
            <w:vAlign w:val="center"/>
            <w:hideMark/>
          </w:tcPr>
          <w:p w14:paraId="15E9DDB5" w14:textId="77777777" w:rsidR="00AB6753" w:rsidRPr="00F32D92" w:rsidRDefault="00AB6753" w:rsidP="002D1EA4">
            <w:pPr>
              <w:rPr>
                <w:rFonts w:cs="Arial"/>
                <w:sz w:val="20"/>
                <w:szCs w:val="20"/>
              </w:rPr>
            </w:pPr>
            <w:r w:rsidRPr="00F32D92">
              <w:rPr>
                <w:rFonts w:cs="Arial"/>
                <w:color w:val="000000"/>
                <w:sz w:val="20"/>
                <w:szCs w:val="20"/>
              </w:rPr>
              <w:t>35</w:t>
            </w:r>
          </w:p>
        </w:tc>
        <w:tc>
          <w:tcPr>
            <w:tcW w:w="896" w:type="dxa"/>
            <w:tcBorders>
              <w:top w:val="nil"/>
              <w:bottom w:val="nil"/>
              <w:right w:val="nil"/>
            </w:tcBorders>
            <w:noWrap/>
            <w:vAlign w:val="center"/>
            <w:hideMark/>
          </w:tcPr>
          <w:p w14:paraId="47EB2106"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hideMark/>
          </w:tcPr>
          <w:p w14:paraId="225ECCD5"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hideMark/>
          </w:tcPr>
          <w:p w14:paraId="29E4BF34"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4787EDBB" w14:textId="77777777" w:rsidR="00AB6753" w:rsidRPr="00F32D92" w:rsidRDefault="00AB6753" w:rsidP="002D1EA4">
            <w:pPr>
              <w:rPr>
                <w:rFonts w:cs="Arial"/>
                <w:sz w:val="20"/>
                <w:szCs w:val="20"/>
              </w:rPr>
            </w:pPr>
            <w:r w:rsidRPr="00F32D92">
              <w:rPr>
                <w:rFonts w:cs="Arial"/>
                <w:color w:val="000000"/>
                <w:sz w:val="20"/>
                <w:szCs w:val="20"/>
              </w:rPr>
              <w:t>62</w:t>
            </w:r>
          </w:p>
        </w:tc>
      </w:tr>
      <w:tr w:rsidR="00AB6753" w:rsidRPr="00F32D92" w14:paraId="32546B51" w14:textId="77777777" w:rsidTr="002D1EA4">
        <w:trPr>
          <w:trHeight w:val="315"/>
          <w:jc w:val="center"/>
        </w:trPr>
        <w:tc>
          <w:tcPr>
            <w:tcW w:w="1696" w:type="dxa"/>
            <w:vAlign w:val="center"/>
            <w:hideMark/>
          </w:tcPr>
          <w:p w14:paraId="5F6B25A3" w14:textId="77777777" w:rsidR="00AB6753" w:rsidRPr="00F32D92" w:rsidRDefault="00AB6753" w:rsidP="002D1EA4">
            <w:pPr>
              <w:rPr>
                <w:rFonts w:cs="Arial"/>
                <w:sz w:val="20"/>
                <w:szCs w:val="20"/>
              </w:rPr>
            </w:pPr>
            <w:r w:rsidRPr="00F32D92">
              <w:rPr>
                <w:rFonts w:cs="Arial"/>
                <w:sz w:val="20"/>
                <w:szCs w:val="20"/>
              </w:rPr>
              <w:t>EL 2</w:t>
            </w:r>
          </w:p>
        </w:tc>
        <w:tc>
          <w:tcPr>
            <w:tcW w:w="896" w:type="dxa"/>
            <w:tcBorders>
              <w:top w:val="nil"/>
              <w:bottom w:val="nil"/>
              <w:right w:val="nil"/>
            </w:tcBorders>
            <w:noWrap/>
            <w:vAlign w:val="center"/>
            <w:hideMark/>
          </w:tcPr>
          <w:p w14:paraId="2C8FC3E5" w14:textId="77777777" w:rsidR="00AB6753" w:rsidRPr="00F32D92" w:rsidRDefault="00AB6753" w:rsidP="002D1EA4">
            <w:pPr>
              <w:rPr>
                <w:rFonts w:cs="Arial"/>
                <w:sz w:val="20"/>
                <w:szCs w:val="20"/>
              </w:rPr>
            </w:pPr>
            <w:r w:rsidRPr="00F32D92">
              <w:rPr>
                <w:rFonts w:cs="Arial"/>
                <w:color w:val="000000"/>
                <w:sz w:val="20"/>
                <w:szCs w:val="20"/>
              </w:rPr>
              <w:t>106</w:t>
            </w:r>
          </w:p>
        </w:tc>
        <w:tc>
          <w:tcPr>
            <w:tcW w:w="668" w:type="dxa"/>
            <w:tcBorders>
              <w:top w:val="nil"/>
              <w:left w:val="nil"/>
              <w:bottom w:val="nil"/>
              <w:right w:val="nil"/>
            </w:tcBorders>
            <w:noWrap/>
            <w:vAlign w:val="center"/>
            <w:hideMark/>
          </w:tcPr>
          <w:p w14:paraId="225AEE54" w14:textId="77777777" w:rsidR="00AB6753" w:rsidRPr="00F32D92" w:rsidRDefault="00AB6753" w:rsidP="002D1EA4">
            <w:pPr>
              <w:rPr>
                <w:rFonts w:cs="Arial"/>
                <w:sz w:val="20"/>
                <w:szCs w:val="20"/>
              </w:rPr>
            </w:pPr>
            <w:r w:rsidRPr="00F32D92">
              <w:rPr>
                <w:rFonts w:cs="Arial"/>
                <w:color w:val="000000"/>
                <w:sz w:val="20"/>
                <w:szCs w:val="20"/>
              </w:rPr>
              <w:t>3</w:t>
            </w:r>
          </w:p>
        </w:tc>
        <w:tc>
          <w:tcPr>
            <w:tcW w:w="709" w:type="dxa"/>
            <w:tcBorders>
              <w:top w:val="nil"/>
              <w:left w:val="nil"/>
              <w:bottom w:val="nil"/>
            </w:tcBorders>
            <w:noWrap/>
            <w:vAlign w:val="center"/>
            <w:hideMark/>
          </w:tcPr>
          <w:p w14:paraId="1575C098" w14:textId="77777777" w:rsidR="00AB6753" w:rsidRPr="00F32D92" w:rsidRDefault="00AB6753" w:rsidP="002D1EA4">
            <w:pPr>
              <w:rPr>
                <w:rFonts w:cs="Arial"/>
                <w:sz w:val="20"/>
                <w:szCs w:val="20"/>
              </w:rPr>
            </w:pPr>
            <w:r w:rsidRPr="00F32D92">
              <w:rPr>
                <w:rFonts w:cs="Arial"/>
                <w:color w:val="000000"/>
                <w:sz w:val="20"/>
                <w:szCs w:val="20"/>
              </w:rPr>
              <w:t>109</w:t>
            </w:r>
          </w:p>
        </w:tc>
        <w:tc>
          <w:tcPr>
            <w:tcW w:w="896" w:type="dxa"/>
            <w:tcBorders>
              <w:top w:val="nil"/>
              <w:bottom w:val="nil"/>
              <w:right w:val="nil"/>
            </w:tcBorders>
            <w:noWrap/>
            <w:vAlign w:val="center"/>
            <w:hideMark/>
          </w:tcPr>
          <w:p w14:paraId="616A43E9" w14:textId="77777777" w:rsidR="00AB6753" w:rsidRPr="00F32D92" w:rsidRDefault="00AB6753" w:rsidP="002D1EA4">
            <w:pPr>
              <w:rPr>
                <w:rFonts w:cs="Arial"/>
                <w:sz w:val="20"/>
                <w:szCs w:val="20"/>
              </w:rPr>
            </w:pPr>
            <w:r w:rsidRPr="00F32D92">
              <w:rPr>
                <w:rFonts w:cs="Arial"/>
                <w:color w:val="000000"/>
                <w:sz w:val="20"/>
                <w:szCs w:val="20"/>
              </w:rPr>
              <w:t>141</w:t>
            </w:r>
          </w:p>
        </w:tc>
        <w:tc>
          <w:tcPr>
            <w:tcW w:w="663" w:type="dxa"/>
            <w:tcBorders>
              <w:top w:val="nil"/>
              <w:left w:val="nil"/>
              <w:bottom w:val="nil"/>
              <w:right w:val="nil"/>
            </w:tcBorders>
            <w:noWrap/>
            <w:vAlign w:val="center"/>
            <w:hideMark/>
          </w:tcPr>
          <w:p w14:paraId="44BC206E" w14:textId="77777777" w:rsidR="00AB6753" w:rsidRPr="00F32D92" w:rsidRDefault="00AB6753" w:rsidP="002D1EA4">
            <w:pPr>
              <w:rPr>
                <w:rFonts w:cs="Arial"/>
                <w:sz w:val="20"/>
                <w:szCs w:val="20"/>
              </w:rPr>
            </w:pPr>
            <w:r w:rsidRPr="00F32D92">
              <w:rPr>
                <w:rFonts w:cs="Arial"/>
                <w:color w:val="000000"/>
                <w:sz w:val="20"/>
                <w:szCs w:val="20"/>
              </w:rPr>
              <w:t>26</w:t>
            </w:r>
          </w:p>
        </w:tc>
        <w:tc>
          <w:tcPr>
            <w:tcW w:w="883" w:type="dxa"/>
            <w:tcBorders>
              <w:top w:val="nil"/>
              <w:left w:val="nil"/>
              <w:bottom w:val="nil"/>
            </w:tcBorders>
            <w:noWrap/>
            <w:vAlign w:val="center"/>
            <w:hideMark/>
          </w:tcPr>
          <w:p w14:paraId="0034ED30" w14:textId="77777777" w:rsidR="00AB6753" w:rsidRPr="00F32D92" w:rsidRDefault="00AB6753" w:rsidP="002D1EA4">
            <w:pPr>
              <w:rPr>
                <w:rFonts w:cs="Arial"/>
                <w:sz w:val="20"/>
                <w:szCs w:val="20"/>
              </w:rPr>
            </w:pPr>
            <w:r w:rsidRPr="00F32D92">
              <w:rPr>
                <w:rFonts w:cs="Arial"/>
                <w:color w:val="000000"/>
                <w:sz w:val="20"/>
                <w:szCs w:val="20"/>
              </w:rPr>
              <w:t>167</w:t>
            </w:r>
          </w:p>
        </w:tc>
        <w:tc>
          <w:tcPr>
            <w:tcW w:w="896" w:type="dxa"/>
            <w:tcBorders>
              <w:top w:val="nil"/>
              <w:bottom w:val="nil"/>
              <w:right w:val="nil"/>
            </w:tcBorders>
            <w:noWrap/>
            <w:vAlign w:val="center"/>
            <w:hideMark/>
          </w:tcPr>
          <w:p w14:paraId="097BFA05"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hideMark/>
          </w:tcPr>
          <w:p w14:paraId="74335267"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hideMark/>
          </w:tcPr>
          <w:p w14:paraId="6FED37A9"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7A7D41DB" w14:textId="77777777" w:rsidR="00AB6753" w:rsidRPr="00F32D92" w:rsidRDefault="00AB6753" w:rsidP="002D1EA4">
            <w:pPr>
              <w:rPr>
                <w:rFonts w:cs="Arial"/>
                <w:sz w:val="20"/>
                <w:szCs w:val="20"/>
              </w:rPr>
            </w:pPr>
            <w:r w:rsidRPr="00F32D92">
              <w:rPr>
                <w:rFonts w:cs="Arial"/>
                <w:color w:val="000000"/>
                <w:sz w:val="20"/>
                <w:szCs w:val="20"/>
              </w:rPr>
              <w:t>276</w:t>
            </w:r>
          </w:p>
        </w:tc>
      </w:tr>
      <w:tr w:rsidR="00AB6753" w:rsidRPr="00F32D92" w14:paraId="0C51D72D" w14:textId="77777777" w:rsidTr="002D1EA4">
        <w:trPr>
          <w:trHeight w:val="315"/>
          <w:jc w:val="center"/>
        </w:trPr>
        <w:tc>
          <w:tcPr>
            <w:tcW w:w="1696" w:type="dxa"/>
            <w:vAlign w:val="center"/>
            <w:hideMark/>
          </w:tcPr>
          <w:p w14:paraId="6BA5C689" w14:textId="77777777" w:rsidR="00AB6753" w:rsidRPr="00F32D92" w:rsidRDefault="00AB6753" w:rsidP="002D1EA4">
            <w:pPr>
              <w:rPr>
                <w:rFonts w:cs="Arial"/>
                <w:sz w:val="20"/>
                <w:szCs w:val="20"/>
              </w:rPr>
            </w:pPr>
            <w:r w:rsidRPr="00F32D92">
              <w:rPr>
                <w:rFonts w:cs="Arial"/>
                <w:sz w:val="20"/>
                <w:szCs w:val="20"/>
              </w:rPr>
              <w:t>EL 1</w:t>
            </w:r>
          </w:p>
        </w:tc>
        <w:tc>
          <w:tcPr>
            <w:tcW w:w="896" w:type="dxa"/>
            <w:tcBorders>
              <w:top w:val="nil"/>
              <w:bottom w:val="nil"/>
              <w:right w:val="nil"/>
            </w:tcBorders>
            <w:noWrap/>
            <w:vAlign w:val="center"/>
            <w:hideMark/>
          </w:tcPr>
          <w:p w14:paraId="51BE53E1" w14:textId="77777777" w:rsidR="00AB6753" w:rsidRPr="00F32D92" w:rsidRDefault="00AB6753" w:rsidP="002D1EA4">
            <w:pPr>
              <w:rPr>
                <w:rFonts w:cs="Arial"/>
                <w:sz w:val="20"/>
                <w:szCs w:val="20"/>
              </w:rPr>
            </w:pPr>
            <w:r w:rsidRPr="00F32D92">
              <w:rPr>
                <w:rFonts w:cs="Arial"/>
                <w:color w:val="000000"/>
                <w:sz w:val="20"/>
                <w:szCs w:val="20"/>
              </w:rPr>
              <w:t>222</w:t>
            </w:r>
          </w:p>
        </w:tc>
        <w:tc>
          <w:tcPr>
            <w:tcW w:w="668" w:type="dxa"/>
            <w:tcBorders>
              <w:top w:val="nil"/>
              <w:left w:val="nil"/>
              <w:bottom w:val="nil"/>
              <w:right w:val="nil"/>
            </w:tcBorders>
            <w:noWrap/>
            <w:vAlign w:val="center"/>
            <w:hideMark/>
          </w:tcPr>
          <w:p w14:paraId="0DA4BDFA" w14:textId="77777777" w:rsidR="00AB6753" w:rsidRPr="00F32D92" w:rsidRDefault="00AB6753" w:rsidP="002D1EA4">
            <w:pPr>
              <w:rPr>
                <w:rFonts w:cs="Arial"/>
                <w:sz w:val="20"/>
                <w:szCs w:val="20"/>
              </w:rPr>
            </w:pPr>
            <w:r w:rsidRPr="00F32D92">
              <w:rPr>
                <w:rFonts w:cs="Arial"/>
                <w:color w:val="000000"/>
                <w:sz w:val="20"/>
                <w:szCs w:val="20"/>
              </w:rPr>
              <w:t>17</w:t>
            </w:r>
          </w:p>
        </w:tc>
        <w:tc>
          <w:tcPr>
            <w:tcW w:w="709" w:type="dxa"/>
            <w:tcBorders>
              <w:top w:val="nil"/>
              <w:left w:val="nil"/>
              <w:bottom w:val="nil"/>
            </w:tcBorders>
            <w:noWrap/>
            <w:vAlign w:val="center"/>
            <w:hideMark/>
          </w:tcPr>
          <w:p w14:paraId="0418CE21" w14:textId="77777777" w:rsidR="00AB6753" w:rsidRPr="00F32D92" w:rsidRDefault="00AB6753" w:rsidP="002D1EA4">
            <w:pPr>
              <w:rPr>
                <w:rFonts w:cs="Arial"/>
                <w:sz w:val="20"/>
                <w:szCs w:val="20"/>
              </w:rPr>
            </w:pPr>
            <w:r w:rsidRPr="00F32D92">
              <w:rPr>
                <w:rFonts w:cs="Arial"/>
                <w:color w:val="000000"/>
                <w:sz w:val="20"/>
                <w:szCs w:val="20"/>
              </w:rPr>
              <w:t>239</w:t>
            </w:r>
          </w:p>
        </w:tc>
        <w:tc>
          <w:tcPr>
            <w:tcW w:w="896" w:type="dxa"/>
            <w:tcBorders>
              <w:top w:val="nil"/>
              <w:bottom w:val="nil"/>
              <w:right w:val="nil"/>
            </w:tcBorders>
            <w:noWrap/>
            <w:vAlign w:val="center"/>
            <w:hideMark/>
          </w:tcPr>
          <w:p w14:paraId="46A88534" w14:textId="77777777" w:rsidR="00AB6753" w:rsidRPr="00F32D92" w:rsidRDefault="00AB6753" w:rsidP="002D1EA4">
            <w:pPr>
              <w:rPr>
                <w:rFonts w:cs="Arial"/>
                <w:sz w:val="20"/>
                <w:szCs w:val="20"/>
              </w:rPr>
            </w:pPr>
            <w:r w:rsidRPr="00F32D92">
              <w:rPr>
                <w:rFonts w:cs="Arial"/>
                <w:color w:val="000000"/>
                <w:sz w:val="20"/>
                <w:szCs w:val="20"/>
              </w:rPr>
              <w:t>327</w:t>
            </w:r>
          </w:p>
        </w:tc>
        <w:tc>
          <w:tcPr>
            <w:tcW w:w="663" w:type="dxa"/>
            <w:tcBorders>
              <w:top w:val="nil"/>
              <w:left w:val="nil"/>
              <w:bottom w:val="nil"/>
              <w:right w:val="nil"/>
            </w:tcBorders>
            <w:noWrap/>
            <w:vAlign w:val="center"/>
            <w:hideMark/>
          </w:tcPr>
          <w:p w14:paraId="4A0B0517" w14:textId="77777777" w:rsidR="00AB6753" w:rsidRPr="00F32D92" w:rsidRDefault="00AB6753" w:rsidP="002D1EA4">
            <w:pPr>
              <w:rPr>
                <w:rFonts w:cs="Arial"/>
                <w:sz w:val="20"/>
                <w:szCs w:val="20"/>
              </w:rPr>
            </w:pPr>
            <w:r w:rsidRPr="00F32D92">
              <w:rPr>
                <w:rFonts w:cs="Arial"/>
                <w:color w:val="000000"/>
                <w:sz w:val="20"/>
                <w:szCs w:val="20"/>
              </w:rPr>
              <w:t>114</w:t>
            </w:r>
          </w:p>
        </w:tc>
        <w:tc>
          <w:tcPr>
            <w:tcW w:w="883" w:type="dxa"/>
            <w:tcBorders>
              <w:top w:val="nil"/>
              <w:left w:val="nil"/>
              <w:bottom w:val="nil"/>
            </w:tcBorders>
            <w:noWrap/>
            <w:vAlign w:val="center"/>
            <w:hideMark/>
          </w:tcPr>
          <w:p w14:paraId="23CF1E18" w14:textId="77777777" w:rsidR="00AB6753" w:rsidRPr="00F32D92" w:rsidRDefault="00AB6753" w:rsidP="002D1EA4">
            <w:pPr>
              <w:rPr>
                <w:rFonts w:cs="Arial"/>
                <w:sz w:val="20"/>
                <w:szCs w:val="20"/>
              </w:rPr>
            </w:pPr>
            <w:r w:rsidRPr="00F32D92">
              <w:rPr>
                <w:rFonts w:cs="Arial"/>
                <w:color w:val="000000"/>
                <w:sz w:val="20"/>
                <w:szCs w:val="20"/>
              </w:rPr>
              <w:t>441</w:t>
            </w:r>
          </w:p>
        </w:tc>
        <w:tc>
          <w:tcPr>
            <w:tcW w:w="896" w:type="dxa"/>
            <w:tcBorders>
              <w:top w:val="nil"/>
              <w:bottom w:val="nil"/>
              <w:right w:val="nil"/>
            </w:tcBorders>
            <w:noWrap/>
            <w:vAlign w:val="center"/>
            <w:hideMark/>
          </w:tcPr>
          <w:p w14:paraId="5BC25748"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hideMark/>
          </w:tcPr>
          <w:p w14:paraId="499B59D2"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hideMark/>
          </w:tcPr>
          <w:p w14:paraId="67D1A002"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6FF45AF2" w14:textId="77777777" w:rsidR="00AB6753" w:rsidRPr="00F32D92" w:rsidRDefault="00AB6753" w:rsidP="002D1EA4">
            <w:pPr>
              <w:rPr>
                <w:rFonts w:cs="Arial"/>
                <w:sz w:val="20"/>
                <w:szCs w:val="20"/>
              </w:rPr>
            </w:pPr>
            <w:r w:rsidRPr="00F32D92">
              <w:rPr>
                <w:rFonts w:cs="Arial"/>
                <w:color w:val="000000"/>
                <w:sz w:val="20"/>
                <w:szCs w:val="20"/>
              </w:rPr>
              <w:t>680</w:t>
            </w:r>
          </w:p>
        </w:tc>
      </w:tr>
      <w:tr w:rsidR="00AB6753" w:rsidRPr="00F32D92" w14:paraId="0E1DCE0C" w14:textId="77777777" w:rsidTr="002D1EA4">
        <w:trPr>
          <w:trHeight w:val="315"/>
          <w:jc w:val="center"/>
        </w:trPr>
        <w:tc>
          <w:tcPr>
            <w:tcW w:w="1696" w:type="dxa"/>
            <w:vAlign w:val="bottom"/>
          </w:tcPr>
          <w:p w14:paraId="3AB88422" w14:textId="77777777" w:rsidR="00AB6753" w:rsidRPr="00F32D92" w:rsidRDefault="00AB6753" w:rsidP="002D1EA4">
            <w:pPr>
              <w:rPr>
                <w:rFonts w:cs="Arial"/>
                <w:sz w:val="20"/>
                <w:szCs w:val="20"/>
              </w:rPr>
            </w:pPr>
            <w:r w:rsidRPr="00F32D92">
              <w:rPr>
                <w:rFonts w:cs="Arial"/>
                <w:sz w:val="20"/>
                <w:szCs w:val="20"/>
              </w:rPr>
              <w:t>Senior Public Affairs Officer</w:t>
            </w:r>
          </w:p>
        </w:tc>
        <w:tc>
          <w:tcPr>
            <w:tcW w:w="896" w:type="dxa"/>
            <w:tcBorders>
              <w:top w:val="nil"/>
              <w:bottom w:val="nil"/>
              <w:right w:val="nil"/>
            </w:tcBorders>
            <w:noWrap/>
            <w:vAlign w:val="center"/>
          </w:tcPr>
          <w:p w14:paraId="53B1DB53" w14:textId="77777777" w:rsidR="00AB6753" w:rsidRPr="00F32D92" w:rsidRDefault="00AB6753" w:rsidP="002D1EA4">
            <w:pPr>
              <w:rPr>
                <w:rFonts w:cs="Arial"/>
                <w:sz w:val="20"/>
                <w:szCs w:val="20"/>
              </w:rPr>
            </w:pPr>
            <w:r w:rsidRPr="00F32D92">
              <w:rPr>
                <w:rFonts w:cs="Arial"/>
                <w:sz w:val="20"/>
                <w:szCs w:val="20"/>
              </w:rPr>
              <w:t>0</w:t>
            </w:r>
          </w:p>
        </w:tc>
        <w:tc>
          <w:tcPr>
            <w:tcW w:w="668" w:type="dxa"/>
            <w:tcBorders>
              <w:top w:val="nil"/>
              <w:left w:val="nil"/>
              <w:bottom w:val="nil"/>
              <w:right w:val="nil"/>
            </w:tcBorders>
            <w:noWrap/>
            <w:vAlign w:val="center"/>
          </w:tcPr>
          <w:p w14:paraId="6937EA39" w14:textId="77777777" w:rsidR="00AB6753" w:rsidRPr="00F32D92" w:rsidRDefault="00AB6753" w:rsidP="002D1EA4">
            <w:pPr>
              <w:rPr>
                <w:rFonts w:cs="Arial"/>
                <w:sz w:val="20"/>
                <w:szCs w:val="20"/>
              </w:rPr>
            </w:pPr>
            <w:r w:rsidRPr="00F32D92">
              <w:rPr>
                <w:rFonts w:cs="Arial"/>
                <w:sz w:val="20"/>
                <w:szCs w:val="20"/>
              </w:rPr>
              <w:t>0</w:t>
            </w:r>
          </w:p>
        </w:tc>
        <w:tc>
          <w:tcPr>
            <w:tcW w:w="709" w:type="dxa"/>
            <w:tcBorders>
              <w:top w:val="nil"/>
              <w:left w:val="nil"/>
              <w:bottom w:val="nil"/>
            </w:tcBorders>
            <w:noWrap/>
            <w:vAlign w:val="center"/>
          </w:tcPr>
          <w:p w14:paraId="21217C34" w14:textId="77777777" w:rsidR="00AB6753" w:rsidRPr="00F32D92" w:rsidRDefault="00AB6753" w:rsidP="002D1EA4">
            <w:pPr>
              <w:rPr>
                <w:rFonts w:cs="Arial"/>
                <w:sz w:val="20"/>
                <w:szCs w:val="20"/>
              </w:rPr>
            </w:pPr>
            <w:r w:rsidRPr="00F32D92">
              <w:rPr>
                <w:rFonts w:cs="Arial"/>
                <w:sz w:val="20"/>
                <w:szCs w:val="20"/>
              </w:rPr>
              <w:t>0</w:t>
            </w:r>
          </w:p>
        </w:tc>
        <w:tc>
          <w:tcPr>
            <w:tcW w:w="896" w:type="dxa"/>
            <w:tcBorders>
              <w:top w:val="nil"/>
              <w:bottom w:val="nil"/>
              <w:right w:val="nil"/>
            </w:tcBorders>
            <w:noWrap/>
            <w:vAlign w:val="center"/>
          </w:tcPr>
          <w:p w14:paraId="1CA69529" w14:textId="77777777" w:rsidR="00AB6753" w:rsidRPr="00F32D92" w:rsidRDefault="00AB6753" w:rsidP="002D1EA4">
            <w:pPr>
              <w:rPr>
                <w:rFonts w:cs="Arial"/>
                <w:sz w:val="20"/>
                <w:szCs w:val="20"/>
              </w:rPr>
            </w:pPr>
            <w:r w:rsidRPr="00F32D92">
              <w:rPr>
                <w:rFonts w:cs="Arial"/>
                <w:color w:val="000000"/>
                <w:sz w:val="20"/>
                <w:szCs w:val="20"/>
              </w:rPr>
              <w:t>8</w:t>
            </w:r>
          </w:p>
        </w:tc>
        <w:tc>
          <w:tcPr>
            <w:tcW w:w="663" w:type="dxa"/>
            <w:tcBorders>
              <w:top w:val="nil"/>
              <w:left w:val="nil"/>
              <w:bottom w:val="nil"/>
              <w:right w:val="nil"/>
            </w:tcBorders>
            <w:noWrap/>
            <w:vAlign w:val="center"/>
          </w:tcPr>
          <w:p w14:paraId="3DB4F733" w14:textId="77777777" w:rsidR="00AB6753" w:rsidRPr="00F32D92" w:rsidRDefault="00AB6753" w:rsidP="002D1EA4">
            <w:pPr>
              <w:rPr>
                <w:rFonts w:cs="Arial"/>
                <w:sz w:val="20"/>
                <w:szCs w:val="20"/>
              </w:rPr>
            </w:pPr>
            <w:r w:rsidRPr="00F32D92">
              <w:rPr>
                <w:rFonts w:cs="Arial"/>
                <w:color w:val="000000"/>
                <w:sz w:val="20"/>
                <w:szCs w:val="20"/>
              </w:rPr>
              <w:t>2</w:t>
            </w:r>
          </w:p>
        </w:tc>
        <w:tc>
          <w:tcPr>
            <w:tcW w:w="883" w:type="dxa"/>
            <w:tcBorders>
              <w:top w:val="nil"/>
              <w:left w:val="nil"/>
              <w:bottom w:val="nil"/>
            </w:tcBorders>
            <w:noWrap/>
            <w:vAlign w:val="center"/>
          </w:tcPr>
          <w:p w14:paraId="627C26EF" w14:textId="77777777" w:rsidR="00AB6753" w:rsidRPr="00F32D92" w:rsidRDefault="00AB6753" w:rsidP="002D1EA4">
            <w:pPr>
              <w:rPr>
                <w:rFonts w:cs="Arial"/>
                <w:sz w:val="20"/>
                <w:szCs w:val="20"/>
              </w:rPr>
            </w:pPr>
            <w:r w:rsidRPr="00F32D92">
              <w:rPr>
                <w:rFonts w:cs="Arial"/>
                <w:color w:val="000000"/>
                <w:sz w:val="20"/>
                <w:szCs w:val="20"/>
              </w:rPr>
              <w:t>10</w:t>
            </w:r>
          </w:p>
        </w:tc>
        <w:tc>
          <w:tcPr>
            <w:tcW w:w="896" w:type="dxa"/>
            <w:tcBorders>
              <w:top w:val="nil"/>
              <w:bottom w:val="nil"/>
              <w:right w:val="nil"/>
            </w:tcBorders>
            <w:noWrap/>
            <w:vAlign w:val="center"/>
          </w:tcPr>
          <w:p w14:paraId="4FEE7CA2"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tcPr>
          <w:p w14:paraId="0B303C94"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tcPr>
          <w:p w14:paraId="5490B88E"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4F0501AB" w14:textId="77777777" w:rsidR="00AB6753" w:rsidRPr="00F32D92" w:rsidRDefault="00AB6753" w:rsidP="002D1EA4">
            <w:pPr>
              <w:rPr>
                <w:rFonts w:cs="Arial"/>
                <w:sz w:val="20"/>
                <w:szCs w:val="20"/>
              </w:rPr>
            </w:pPr>
            <w:r w:rsidRPr="00F32D92">
              <w:rPr>
                <w:rFonts w:cs="Arial"/>
                <w:color w:val="000000"/>
                <w:sz w:val="20"/>
                <w:szCs w:val="20"/>
              </w:rPr>
              <w:t>10</w:t>
            </w:r>
          </w:p>
        </w:tc>
      </w:tr>
      <w:tr w:rsidR="00AB6753" w:rsidRPr="00F32D92" w14:paraId="15A1715B" w14:textId="77777777" w:rsidTr="002D1EA4">
        <w:trPr>
          <w:trHeight w:val="315"/>
          <w:jc w:val="center"/>
        </w:trPr>
        <w:tc>
          <w:tcPr>
            <w:tcW w:w="1696" w:type="dxa"/>
            <w:vAlign w:val="bottom"/>
          </w:tcPr>
          <w:p w14:paraId="28765C6E" w14:textId="77777777" w:rsidR="00AB6753" w:rsidRPr="00F32D92" w:rsidRDefault="00AB6753" w:rsidP="002D1EA4">
            <w:pPr>
              <w:rPr>
                <w:rFonts w:cs="Arial"/>
                <w:sz w:val="20"/>
                <w:szCs w:val="20"/>
              </w:rPr>
            </w:pPr>
            <w:r w:rsidRPr="00F32D92">
              <w:rPr>
                <w:rFonts w:cs="Arial"/>
                <w:sz w:val="20"/>
                <w:szCs w:val="20"/>
              </w:rPr>
              <w:t>Public Affairs Officer Grade 3</w:t>
            </w:r>
          </w:p>
        </w:tc>
        <w:tc>
          <w:tcPr>
            <w:tcW w:w="896" w:type="dxa"/>
            <w:tcBorders>
              <w:top w:val="nil"/>
              <w:bottom w:val="nil"/>
              <w:right w:val="nil"/>
            </w:tcBorders>
            <w:noWrap/>
            <w:vAlign w:val="center"/>
          </w:tcPr>
          <w:p w14:paraId="5FC4B908" w14:textId="77777777" w:rsidR="00AB6753" w:rsidRPr="00F32D92" w:rsidRDefault="00AB6753" w:rsidP="002D1EA4">
            <w:pPr>
              <w:rPr>
                <w:rFonts w:cs="Arial"/>
                <w:sz w:val="20"/>
                <w:szCs w:val="20"/>
              </w:rPr>
            </w:pPr>
            <w:r w:rsidRPr="00F32D92">
              <w:rPr>
                <w:rFonts w:cs="Arial"/>
                <w:color w:val="000000"/>
                <w:sz w:val="20"/>
                <w:szCs w:val="20"/>
              </w:rPr>
              <w:t>4</w:t>
            </w:r>
          </w:p>
        </w:tc>
        <w:tc>
          <w:tcPr>
            <w:tcW w:w="668" w:type="dxa"/>
            <w:tcBorders>
              <w:top w:val="nil"/>
              <w:left w:val="nil"/>
              <w:bottom w:val="nil"/>
              <w:right w:val="nil"/>
            </w:tcBorders>
            <w:noWrap/>
            <w:vAlign w:val="center"/>
          </w:tcPr>
          <w:p w14:paraId="18FB5647" w14:textId="77777777" w:rsidR="00AB6753" w:rsidRPr="00F32D92" w:rsidRDefault="00AB6753" w:rsidP="002D1EA4">
            <w:pPr>
              <w:rPr>
                <w:rFonts w:cs="Arial"/>
                <w:sz w:val="20"/>
                <w:szCs w:val="20"/>
              </w:rPr>
            </w:pPr>
            <w:r w:rsidRPr="00F32D92">
              <w:rPr>
                <w:rFonts w:cs="Arial"/>
                <w:sz w:val="20"/>
                <w:szCs w:val="20"/>
              </w:rPr>
              <w:t>0</w:t>
            </w:r>
          </w:p>
        </w:tc>
        <w:tc>
          <w:tcPr>
            <w:tcW w:w="709" w:type="dxa"/>
            <w:tcBorders>
              <w:top w:val="nil"/>
              <w:left w:val="nil"/>
              <w:bottom w:val="nil"/>
            </w:tcBorders>
            <w:noWrap/>
            <w:vAlign w:val="center"/>
          </w:tcPr>
          <w:p w14:paraId="7D29AA9F" w14:textId="77777777" w:rsidR="00AB6753" w:rsidRPr="00F32D92" w:rsidRDefault="00AB6753" w:rsidP="002D1EA4">
            <w:pPr>
              <w:rPr>
                <w:rFonts w:cs="Arial"/>
                <w:sz w:val="20"/>
                <w:szCs w:val="20"/>
              </w:rPr>
            </w:pPr>
            <w:r w:rsidRPr="00F32D92">
              <w:rPr>
                <w:rFonts w:cs="Arial"/>
                <w:color w:val="000000"/>
                <w:sz w:val="20"/>
                <w:szCs w:val="20"/>
              </w:rPr>
              <w:t>4</w:t>
            </w:r>
          </w:p>
        </w:tc>
        <w:tc>
          <w:tcPr>
            <w:tcW w:w="896" w:type="dxa"/>
            <w:tcBorders>
              <w:top w:val="nil"/>
              <w:bottom w:val="nil"/>
              <w:right w:val="nil"/>
            </w:tcBorders>
            <w:noWrap/>
            <w:vAlign w:val="center"/>
          </w:tcPr>
          <w:p w14:paraId="428384E1" w14:textId="77777777" w:rsidR="00AB6753" w:rsidRPr="00F32D92" w:rsidRDefault="00AB6753" w:rsidP="002D1EA4">
            <w:pPr>
              <w:rPr>
                <w:rFonts w:cs="Arial"/>
                <w:sz w:val="20"/>
                <w:szCs w:val="20"/>
              </w:rPr>
            </w:pPr>
            <w:r w:rsidRPr="00F32D92">
              <w:rPr>
                <w:rFonts w:cs="Arial"/>
                <w:color w:val="000000"/>
                <w:sz w:val="20"/>
                <w:szCs w:val="20"/>
              </w:rPr>
              <w:t>12</w:t>
            </w:r>
          </w:p>
        </w:tc>
        <w:tc>
          <w:tcPr>
            <w:tcW w:w="663" w:type="dxa"/>
            <w:tcBorders>
              <w:top w:val="nil"/>
              <w:left w:val="nil"/>
              <w:bottom w:val="nil"/>
              <w:right w:val="nil"/>
            </w:tcBorders>
            <w:noWrap/>
            <w:vAlign w:val="center"/>
          </w:tcPr>
          <w:p w14:paraId="4A8D93F7" w14:textId="77777777" w:rsidR="00AB6753" w:rsidRPr="00F32D92" w:rsidRDefault="00AB6753" w:rsidP="002D1EA4">
            <w:pPr>
              <w:rPr>
                <w:rFonts w:cs="Arial"/>
                <w:sz w:val="20"/>
                <w:szCs w:val="20"/>
              </w:rPr>
            </w:pPr>
            <w:r w:rsidRPr="00F32D92">
              <w:rPr>
                <w:rFonts w:cs="Arial"/>
                <w:color w:val="000000"/>
                <w:sz w:val="20"/>
                <w:szCs w:val="20"/>
              </w:rPr>
              <w:t>5</w:t>
            </w:r>
          </w:p>
        </w:tc>
        <w:tc>
          <w:tcPr>
            <w:tcW w:w="883" w:type="dxa"/>
            <w:tcBorders>
              <w:top w:val="nil"/>
              <w:left w:val="nil"/>
              <w:bottom w:val="nil"/>
            </w:tcBorders>
            <w:noWrap/>
            <w:vAlign w:val="center"/>
          </w:tcPr>
          <w:p w14:paraId="3472379C" w14:textId="77777777" w:rsidR="00AB6753" w:rsidRPr="00F32D92" w:rsidRDefault="00AB6753" w:rsidP="002D1EA4">
            <w:pPr>
              <w:rPr>
                <w:rFonts w:cs="Arial"/>
                <w:sz w:val="20"/>
                <w:szCs w:val="20"/>
              </w:rPr>
            </w:pPr>
            <w:r w:rsidRPr="00F32D92">
              <w:rPr>
                <w:rFonts w:cs="Arial"/>
                <w:color w:val="000000"/>
                <w:sz w:val="20"/>
                <w:szCs w:val="20"/>
              </w:rPr>
              <w:t>17</w:t>
            </w:r>
          </w:p>
        </w:tc>
        <w:tc>
          <w:tcPr>
            <w:tcW w:w="896" w:type="dxa"/>
            <w:tcBorders>
              <w:top w:val="nil"/>
              <w:bottom w:val="nil"/>
              <w:right w:val="nil"/>
            </w:tcBorders>
            <w:noWrap/>
            <w:vAlign w:val="center"/>
          </w:tcPr>
          <w:p w14:paraId="1CCC1D16"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tcPr>
          <w:p w14:paraId="5D849E6C"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tcPr>
          <w:p w14:paraId="43BE6F60"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7BC37D0E" w14:textId="77777777" w:rsidR="00AB6753" w:rsidRPr="00F32D92" w:rsidRDefault="00AB6753" w:rsidP="002D1EA4">
            <w:pPr>
              <w:rPr>
                <w:rFonts w:cs="Arial"/>
                <w:sz w:val="20"/>
                <w:szCs w:val="20"/>
              </w:rPr>
            </w:pPr>
            <w:r w:rsidRPr="00F32D92">
              <w:rPr>
                <w:rFonts w:cs="Arial"/>
                <w:color w:val="000000"/>
                <w:sz w:val="20"/>
                <w:szCs w:val="20"/>
              </w:rPr>
              <w:t>21</w:t>
            </w:r>
          </w:p>
        </w:tc>
      </w:tr>
      <w:tr w:rsidR="00AB6753" w:rsidRPr="00F32D92" w14:paraId="517C6314" w14:textId="77777777" w:rsidTr="002D1EA4">
        <w:trPr>
          <w:trHeight w:val="315"/>
          <w:jc w:val="center"/>
        </w:trPr>
        <w:tc>
          <w:tcPr>
            <w:tcW w:w="1696" w:type="dxa"/>
            <w:vAlign w:val="bottom"/>
          </w:tcPr>
          <w:p w14:paraId="6D867FDB" w14:textId="77777777" w:rsidR="00AB6753" w:rsidRPr="00F32D92" w:rsidRDefault="00AB6753" w:rsidP="002D1EA4">
            <w:pPr>
              <w:rPr>
                <w:rFonts w:cs="Arial"/>
                <w:sz w:val="20"/>
                <w:szCs w:val="20"/>
              </w:rPr>
            </w:pPr>
            <w:r w:rsidRPr="00F32D92">
              <w:rPr>
                <w:rFonts w:cs="Arial"/>
                <w:sz w:val="20"/>
                <w:szCs w:val="20"/>
              </w:rPr>
              <w:t>Public Affairs Officer Grade 2</w:t>
            </w:r>
          </w:p>
        </w:tc>
        <w:tc>
          <w:tcPr>
            <w:tcW w:w="896" w:type="dxa"/>
            <w:tcBorders>
              <w:top w:val="nil"/>
              <w:bottom w:val="nil"/>
              <w:right w:val="nil"/>
            </w:tcBorders>
            <w:noWrap/>
            <w:vAlign w:val="center"/>
          </w:tcPr>
          <w:p w14:paraId="5BE3DF8E" w14:textId="77777777" w:rsidR="00AB6753" w:rsidRPr="00F32D92" w:rsidRDefault="00AB6753" w:rsidP="002D1EA4">
            <w:pPr>
              <w:rPr>
                <w:rFonts w:cs="Arial"/>
                <w:sz w:val="20"/>
                <w:szCs w:val="20"/>
              </w:rPr>
            </w:pPr>
            <w:r w:rsidRPr="00F32D92">
              <w:rPr>
                <w:rFonts w:cs="Arial"/>
                <w:color w:val="000000"/>
                <w:sz w:val="20"/>
                <w:szCs w:val="20"/>
              </w:rPr>
              <w:t>2</w:t>
            </w:r>
          </w:p>
        </w:tc>
        <w:tc>
          <w:tcPr>
            <w:tcW w:w="668" w:type="dxa"/>
            <w:tcBorders>
              <w:top w:val="nil"/>
              <w:left w:val="nil"/>
              <w:bottom w:val="nil"/>
              <w:right w:val="nil"/>
            </w:tcBorders>
            <w:noWrap/>
            <w:vAlign w:val="center"/>
          </w:tcPr>
          <w:p w14:paraId="5004331C" w14:textId="77777777" w:rsidR="00AB6753" w:rsidRPr="00F32D92" w:rsidRDefault="00AB6753" w:rsidP="002D1EA4">
            <w:pPr>
              <w:rPr>
                <w:rFonts w:cs="Arial"/>
                <w:sz w:val="20"/>
                <w:szCs w:val="20"/>
              </w:rPr>
            </w:pPr>
            <w:r w:rsidRPr="00F32D92">
              <w:rPr>
                <w:rFonts w:cs="Arial"/>
                <w:sz w:val="20"/>
                <w:szCs w:val="20"/>
              </w:rPr>
              <w:t>0</w:t>
            </w:r>
          </w:p>
        </w:tc>
        <w:tc>
          <w:tcPr>
            <w:tcW w:w="709" w:type="dxa"/>
            <w:tcBorders>
              <w:top w:val="nil"/>
              <w:left w:val="nil"/>
              <w:bottom w:val="nil"/>
            </w:tcBorders>
            <w:noWrap/>
            <w:vAlign w:val="center"/>
          </w:tcPr>
          <w:p w14:paraId="4C29A1EC" w14:textId="77777777" w:rsidR="00AB6753" w:rsidRPr="00F32D92" w:rsidRDefault="00AB6753" w:rsidP="002D1EA4">
            <w:pPr>
              <w:rPr>
                <w:rFonts w:cs="Arial"/>
                <w:sz w:val="20"/>
                <w:szCs w:val="20"/>
              </w:rPr>
            </w:pPr>
            <w:r w:rsidRPr="00F32D92">
              <w:rPr>
                <w:rFonts w:cs="Arial"/>
                <w:color w:val="000000"/>
                <w:sz w:val="20"/>
                <w:szCs w:val="20"/>
              </w:rPr>
              <w:t>2</w:t>
            </w:r>
          </w:p>
        </w:tc>
        <w:tc>
          <w:tcPr>
            <w:tcW w:w="896" w:type="dxa"/>
            <w:tcBorders>
              <w:top w:val="nil"/>
              <w:bottom w:val="nil"/>
              <w:right w:val="nil"/>
            </w:tcBorders>
            <w:noWrap/>
            <w:vAlign w:val="center"/>
          </w:tcPr>
          <w:p w14:paraId="7435B206" w14:textId="77777777" w:rsidR="00AB6753" w:rsidRPr="00F32D92" w:rsidRDefault="00AB6753" w:rsidP="002D1EA4">
            <w:pPr>
              <w:rPr>
                <w:rFonts w:cs="Arial"/>
                <w:sz w:val="20"/>
                <w:szCs w:val="20"/>
              </w:rPr>
            </w:pPr>
            <w:r w:rsidRPr="00F32D92">
              <w:rPr>
                <w:rFonts w:cs="Arial"/>
                <w:color w:val="000000"/>
                <w:sz w:val="20"/>
                <w:szCs w:val="20"/>
              </w:rPr>
              <w:t>8</w:t>
            </w:r>
          </w:p>
        </w:tc>
        <w:tc>
          <w:tcPr>
            <w:tcW w:w="663" w:type="dxa"/>
            <w:tcBorders>
              <w:top w:val="nil"/>
              <w:left w:val="nil"/>
              <w:bottom w:val="nil"/>
              <w:right w:val="nil"/>
            </w:tcBorders>
            <w:noWrap/>
            <w:vAlign w:val="center"/>
          </w:tcPr>
          <w:p w14:paraId="4AFB8179" w14:textId="77777777" w:rsidR="00AB6753" w:rsidRPr="00F32D92" w:rsidRDefault="00AB6753" w:rsidP="002D1EA4">
            <w:pPr>
              <w:rPr>
                <w:rFonts w:cs="Arial"/>
                <w:sz w:val="20"/>
                <w:szCs w:val="20"/>
              </w:rPr>
            </w:pPr>
            <w:r w:rsidRPr="00F32D92">
              <w:rPr>
                <w:rFonts w:cs="Arial"/>
                <w:color w:val="000000"/>
                <w:sz w:val="20"/>
                <w:szCs w:val="20"/>
              </w:rPr>
              <w:t>5</w:t>
            </w:r>
          </w:p>
        </w:tc>
        <w:tc>
          <w:tcPr>
            <w:tcW w:w="883" w:type="dxa"/>
            <w:tcBorders>
              <w:top w:val="nil"/>
              <w:left w:val="nil"/>
              <w:bottom w:val="nil"/>
            </w:tcBorders>
            <w:noWrap/>
            <w:vAlign w:val="center"/>
          </w:tcPr>
          <w:p w14:paraId="2DA2CB03" w14:textId="77777777" w:rsidR="00AB6753" w:rsidRPr="00F32D92" w:rsidRDefault="00AB6753" w:rsidP="002D1EA4">
            <w:pPr>
              <w:rPr>
                <w:rFonts w:cs="Arial"/>
                <w:sz w:val="20"/>
                <w:szCs w:val="20"/>
              </w:rPr>
            </w:pPr>
            <w:r w:rsidRPr="00F32D92">
              <w:rPr>
                <w:rFonts w:cs="Arial"/>
                <w:color w:val="000000"/>
                <w:sz w:val="20"/>
                <w:szCs w:val="20"/>
              </w:rPr>
              <w:t>13</w:t>
            </w:r>
          </w:p>
        </w:tc>
        <w:tc>
          <w:tcPr>
            <w:tcW w:w="896" w:type="dxa"/>
            <w:tcBorders>
              <w:top w:val="nil"/>
              <w:bottom w:val="nil"/>
              <w:right w:val="nil"/>
            </w:tcBorders>
            <w:noWrap/>
            <w:vAlign w:val="center"/>
          </w:tcPr>
          <w:p w14:paraId="5952F393"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tcPr>
          <w:p w14:paraId="5E57452A"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tcPr>
          <w:p w14:paraId="55053246"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43669559" w14:textId="77777777" w:rsidR="00AB6753" w:rsidRPr="00F32D92" w:rsidRDefault="00AB6753" w:rsidP="002D1EA4">
            <w:pPr>
              <w:rPr>
                <w:rFonts w:cs="Arial"/>
                <w:sz w:val="20"/>
                <w:szCs w:val="20"/>
              </w:rPr>
            </w:pPr>
            <w:r w:rsidRPr="00F32D92">
              <w:rPr>
                <w:rFonts w:cs="Arial"/>
                <w:color w:val="000000"/>
                <w:sz w:val="20"/>
                <w:szCs w:val="20"/>
              </w:rPr>
              <w:t>15</w:t>
            </w:r>
          </w:p>
        </w:tc>
      </w:tr>
      <w:tr w:rsidR="00AB6753" w:rsidRPr="00F32D92" w14:paraId="3C49046A" w14:textId="77777777" w:rsidTr="002D1EA4">
        <w:trPr>
          <w:trHeight w:val="315"/>
          <w:jc w:val="center"/>
        </w:trPr>
        <w:tc>
          <w:tcPr>
            <w:tcW w:w="1696" w:type="dxa"/>
            <w:vAlign w:val="bottom"/>
          </w:tcPr>
          <w:p w14:paraId="2BF1D7C0" w14:textId="77777777" w:rsidR="00AB6753" w:rsidRPr="00F32D92" w:rsidRDefault="00AB6753" w:rsidP="002D1EA4">
            <w:pPr>
              <w:rPr>
                <w:rFonts w:cs="Arial"/>
                <w:sz w:val="20"/>
                <w:szCs w:val="20"/>
              </w:rPr>
            </w:pPr>
            <w:r>
              <w:rPr>
                <w:rFonts w:cs="Arial"/>
                <w:sz w:val="20"/>
                <w:szCs w:val="20"/>
              </w:rPr>
              <w:t>Public Affairs Officer Grade 1</w:t>
            </w:r>
          </w:p>
        </w:tc>
        <w:tc>
          <w:tcPr>
            <w:tcW w:w="896" w:type="dxa"/>
            <w:tcBorders>
              <w:top w:val="nil"/>
              <w:bottom w:val="nil"/>
              <w:right w:val="nil"/>
            </w:tcBorders>
            <w:noWrap/>
            <w:vAlign w:val="center"/>
          </w:tcPr>
          <w:p w14:paraId="77EEA049" w14:textId="77777777" w:rsidR="00AB6753" w:rsidRPr="00F32D92" w:rsidRDefault="00AB6753" w:rsidP="002D1EA4">
            <w:pPr>
              <w:rPr>
                <w:rFonts w:cs="Arial"/>
                <w:color w:val="000000"/>
                <w:sz w:val="20"/>
                <w:szCs w:val="20"/>
              </w:rPr>
            </w:pPr>
            <w:r w:rsidRPr="00F32D92">
              <w:rPr>
                <w:rFonts w:cs="Arial"/>
                <w:sz w:val="20"/>
                <w:szCs w:val="20"/>
              </w:rPr>
              <w:t>0</w:t>
            </w:r>
          </w:p>
        </w:tc>
        <w:tc>
          <w:tcPr>
            <w:tcW w:w="668" w:type="dxa"/>
            <w:tcBorders>
              <w:top w:val="nil"/>
              <w:left w:val="nil"/>
              <w:bottom w:val="nil"/>
              <w:right w:val="nil"/>
            </w:tcBorders>
            <w:noWrap/>
            <w:vAlign w:val="center"/>
          </w:tcPr>
          <w:p w14:paraId="188811EC" w14:textId="77777777" w:rsidR="00AB6753" w:rsidRPr="00F32D92" w:rsidRDefault="00AB6753" w:rsidP="002D1EA4">
            <w:pPr>
              <w:rPr>
                <w:rFonts w:cs="Arial"/>
                <w:sz w:val="20"/>
                <w:szCs w:val="20"/>
              </w:rPr>
            </w:pPr>
            <w:r w:rsidRPr="00F32D92">
              <w:rPr>
                <w:rFonts w:cs="Arial"/>
                <w:sz w:val="20"/>
                <w:szCs w:val="20"/>
              </w:rPr>
              <w:t>0</w:t>
            </w:r>
          </w:p>
        </w:tc>
        <w:tc>
          <w:tcPr>
            <w:tcW w:w="709" w:type="dxa"/>
            <w:tcBorders>
              <w:top w:val="nil"/>
              <w:left w:val="nil"/>
              <w:bottom w:val="nil"/>
            </w:tcBorders>
            <w:noWrap/>
            <w:vAlign w:val="center"/>
          </w:tcPr>
          <w:p w14:paraId="372458E3" w14:textId="77777777" w:rsidR="00AB6753" w:rsidRPr="00F32D92" w:rsidRDefault="00AB6753" w:rsidP="002D1EA4">
            <w:pPr>
              <w:rPr>
                <w:rFonts w:cs="Arial"/>
                <w:color w:val="000000"/>
                <w:sz w:val="20"/>
                <w:szCs w:val="20"/>
              </w:rPr>
            </w:pPr>
            <w:r w:rsidRPr="00F32D92">
              <w:rPr>
                <w:rFonts w:cs="Arial"/>
                <w:sz w:val="20"/>
                <w:szCs w:val="20"/>
              </w:rPr>
              <w:t>0</w:t>
            </w:r>
          </w:p>
        </w:tc>
        <w:tc>
          <w:tcPr>
            <w:tcW w:w="896" w:type="dxa"/>
            <w:tcBorders>
              <w:top w:val="nil"/>
              <w:bottom w:val="nil"/>
              <w:right w:val="nil"/>
            </w:tcBorders>
            <w:noWrap/>
            <w:vAlign w:val="center"/>
          </w:tcPr>
          <w:p w14:paraId="0872C141" w14:textId="77777777" w:rsidR="00AB6753" w:rsidRPr="00F32D92" w:rsidRDefault="00AB6753" w:rsidP="002D1EA4">
            <w:pPr>
              <w:rPr>
                <w:rFonts w:cs="Arial"/>
                <w:color w:val="000000"/>
                <w:sz w:val="20"/>
                <w:szCs w:val="20"/>
              </w:rPr>
            </w:pPr>
            <w:r w:rsidRPr="00F32D92">
              <w:rPr>
                <w:rFonts w:cs="Arial"/>
                <w:color w:val="000000"/>
                <w:sz w:val="20"/>
                <w:szCs w:val="20"/>
              </w:rPr>
              <w:t>1</w:t>
            </w:r>
          </w:p>
        </w:tc>
        <w:tc>
          <w:tcPr>
            <w:tcW w:w="663" w:type="dxa"/>
            <w:tcBorders>
              <w:top w:val="nil"/>
              <w:left w:val="nil"/>
              <w:bottom w:val="nil"/>
              <w:right w:val="nil"/>
            </w:tcBorders>
            <w:noWrap/>
            <w:vAlign w:val="center"/>
          </w:tcPr>
          <w:p w14:paraId="356C8459" w14:textId="77777777" w:rsidR="00AB6753" w:rsidRPr="00F32D92" w:rsidRDefault="00AB6753" w:rsidP="002D1EA4">
            <w:pPr>
              <w:rPr>
                <w:rFonts w:cs="Arial"/>
                <w:color w:val="000000"/>
                <w:sz w:val="20"/>
                <w:szCs w:val="20"/>
              </w:rPr>
            </w:pPr>
            <w:r w:rsidRPr="00F32D92">
              <w:rPr>
                <w:rFonts w:cs="Arial"/>
                <w:sz w:val="20"/>
                <w:szCs w:val="20"/>
              </w:rPr>
              <w:t>0</w:t>
            </w:r>
          </w:p>
        </w:tc>
        <w:tc>
          <w:tcPr>
            <w:tcW w:w="883" w:type="dxa"/>
            <w:tcBorders>
              <w:top w:val="nil"/>
              <w:left w:val="nil"/>
              <w:bottom w:val="nil"/>
            </w:tcBorders>
            <w:noWrap/>
            <w:vAlign w:val="center"/>
          </w:tcPr>
          <w:p w14:paraId="1F1E2AD8" w14:textId="77777777" w:rsidR="00AB6753" w:rsidRPr="00F32D92" w:rsidRDefault="00AB6753" w:rsidP="002D1EA4">
            <w:pPr>
              <w:rPr>
                <w:rFonts w:cs="Arial"/>
                <w:color w:val="000000"/>
                <w:sz w:val="20"/>
                <w:szCs w:val="20"/>
              </w:rPr>
            </w:pPr>
            <w:r w:rsidRPr="00F32D92">
              <w:rPr>
                <w:rFonts w:cs="Arial"/>
                <w:color w:val="000000"/>
                <w:sz w:val="20"/>
                <w:szCs w:val="20"/>
              </w:rPr>
              <w:t>1</w:t>
            </w:r>
          </w:p>
        </w:tc>
        <w:tc>
          <w:tcPr>
            <w:tcW w:w="896" w:type="dxa"/>
            <w:tcBorders>
              <w:top w:val="nil"/>
              <w:bottom w:val="nil"/>
              <w:right w:val="nil"/>
            </w:tcBorders>
            <w:noWrap/>
            <w:vAlign w:val="center"/>
          </w:tcPr>
          <w:p w14:paraId="635E5225"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tcPr>
          <w:p w14:paraId="34823FB1"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tcPr>
          <w:p w14:paraId="03D23282"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31E86A76" w14:textId="77777777" w:rsidR="00AB6753" w:rsidRPr="00F32D92" w:rsidRDefault="00AB6753" w:rsidP="002D1EA4">
            <w:pPr>
              <w:rPr>
                <w:rFonts w:cs="Arial"/>
                <w:color w:val="000000"/>
                <w:sz w:val="20"/>
                <w:szCs w:val="20"/>
              </w:rPr>
            </w:pPr>
            <w:r w:rsidRPr="00F32D92">
              <w:rPr>
                <w:rFonts w:cs="Arial"/>
                <w:color w:val="000000"/>
                <w:sz w:val="20"/>
                <w:szCs w:val="20"/>
              </w:rPr>
              <w:t>1</w:t>
            </w:r>
          </w:p>
        </w:tc>
      </w:tr>
      <w:tr w:rsidR="00AB6753" w:rsidRPr="00F32D92" w14:paraId="18E624C2" w14:textId="77777777" w:rsidTr="002D1EA4">
        <w:trPr>
          <w:trHeight w:val="315"/>
          <w:jc w:val="center"/>
        </w:trPr>
        <w:tc>
          <w:tcPr>
            <w:tcW w:w="1696" w:type="dxa"/>
            <w:vAlign w:val="bottom"/>
          </w:tcPr>
          <w:p w14:paraId="583B1E4A" w14:textId="77777777" w:rsidR="00AB6753" w:rsidRPr="00F32D92" w:rsidRDefault="00AB6753" w:rsidP="002D1EA4">
            <w:pPr>
              <w:rPr>
                <w:rFonts w:cs="Arial"/>
                <w:sz w:val="20"/>
                <w:szCs w:val="20"/>
              </w:rPr>
            </w:pPr>
            <w:r w:rsidRPr="00F32D92">
              <w:rPr>
                <w:rFonts w:cs="Arial"/>
                <w:sz w:val="20"/>
                <w:szCs w:val="20"/>
              </w:rPr>
              <w:t>Principal Legal Officer</w:t>
            </w:r>
          </w:p>
        </w:tc>
        <w:tc>
          <w:tcPr>
            <w:tcW w:w="896" w:type="dxa"/>
            <w:tcBorders>
              <w:top w:val="nil"/>
              <w:bottom w:val="nil"/>
              <w:right w:val="nil"/>
            </w:tcBorders>
            <w:noWrap/>
            <w:vAlign w:val="center"/>
          </w:tcPr>
          <w:p w14:paraId="6F05D72B" w14:textId="77777777" w:rsidR="00AB6753" w:rsidRPr="00F32D92" w:rsidRDefault="00AB6753" w:rsidP="002D1EA4">
            <w:pPr>
              <w:rPr>
                <w:rFonts w:cs="Arial"/>
                <w:sz w:val="20"/>
                <w:szCs w:val="20"/>
              </w:rPr>
            </w:pPr>
            <w:r w:rsidRPr="00F32D92">
              <w:rPr>
                <w:rFonts w:cs="Arial"/>
                <w:color w:val="000000"/>
                <w:sz w:val="20"/>
                <w:szCs w:val="20"/>
              </w:rPr>
              <w:t>1</w:t>
            </w:r>
          </w:p>
        </w:tc>
        <w:tc>
          <w:tcPr>
            <w:tcW w:w="668" w:type="dxa"/>
            <w:tcBorders>
              <w:top w:val="nil"/>
              <w:left w:val="nil"/>
              <w:bottom w:val="nil"/>
              <w:right w:val="nil"/>
            </w:tcBorders>
            <w:noWrap/>
            <w:vAlign w:val="center"/>
          </w:tcPr>
          <w:p w14:paraId="4E1C881A" w14:textId="77777777" w:rsidR="00AB6753" w:rsidRPr="00F32D92" w:rsidRDefault="00AB6753" w:rsidP="002D1EA4">
            <w:pPr>
              <w:rPr>
                <w:rFonts w:cs="Arial"/>
                <w:sz w:val="20"/>
                <w:szCs w:val="20"/>
              </w:rPr>
            </w:pPr>
            <w:r w:rsidRPr="00F32D92">
              <w:rPr>
                <w:rFonts w:cs="Arial"/>
                <w:color w:val="000000"/>
                <w:sz w:val="20"/>
                <w:szCs w:val="20"/>
              </w:rPr>
              <w:t>1</w:t>
            </w:r>
          </w:p>
        </w:tc>
        <w:tc>
          <w:tcPr>
            <w:tcW w:w="709" w:type="dxa"/>
            <w:tcBorders>
              <w:top w:val="nil"/>
              <w:left w:val="nil"/>
              <w:bottom w:val="nil"/>
            </w:tcBorders>
            <w:noWrap/>
            <w:vAlign w:val="center"/>
          </w:tcPr>
          <w:p w14:paraId="379E3479" w14:textId="77777777" w:rsidR="00AB6753" w:rsidRPr="00F32D92" w:rsidRDefault="00AB6753" w:rsidP="002D1EA4">
            <w:pPr>
              <w:rPr>
                <w:rFonts w:cs="Arial"/>
                <w:sz w:val="20"/>
                <w:szCs w:val="20"/>
              </w:rPr>
            </w:pPr>
            <w:r w:rsidRPr="00F32D92">
              <w:rPr>
                <w:rFonts w:cs="Arial"/>
                <w:color w:val="000000"/>
                <w:sz w:val="20"/>
                <w:szCs w:val="20"/>
              </w:rPr>
              <w:t>2</w:t>
            </w:r>
          </w:p>
        </w:tc>
        <w:tc>
          <w:tcPr>
            <w:tcW w:w="896" w:type="dxa"/>
            <w:tcBorders>
              <w:top w:val="nil"/>
              <w:bottom w:val="nil"/>
              <w:right w:val="nil"/>
            </w:tcBorders>
            <w:noWrap/>
            <w:vAlign w:val="center"/>
          </w:tcPr>
          <w:p w14:paraId="4B4FD66E" w14:textId="77777777" w:rsidR="00AB6753" w:rsidRPr="00F32D92" w:rsidRDefault="00AB6753" w:rsidP="002D1EA4">
            <w:pPr>
              <w:rPr>
                <w:rFonts w:cs="Arial"/>
                <w:sz w:val="20"/>
                <w:szCs w:val="20"/>
              </w:rPr>
            </w:pPr>
            <w:r w:rsidRPr="00F32D92">
              <w:rPr>
                <w:rFonts w:cs="Arial"/>
                <w:color w:val="000000"/>
                <w:sz w:val="20"/>
                <w:szCs w:val="20"/>
              </w:rPr>
              <w:t>6</w:t>
            </w:r>
          </w:p>
        </w:tc>
        <w:tc>
          <w:tcPr>
            <w:tcW w:w="663" w:type="dxa"/>
            <w:tcBorders>
              <w:top w:val="nil"/>
              <w:left w:val="nil"/>
              <w:bottom w:val="nil"/>
              <w:right w:val="nil"/>
            </w:tcBorders>
            <w:noWrap/>
            <w:vAlign w:val="center"/>
          </w:tcPr>
          <w:p w14:paraId="50E216F2" w14:textId="77777777" w:rsidR="00AB6753" w:rsidRPr="00F32D92" w:rsidRDefault="00AB6753" w:rsidP="002D1EA4">
            <w:pPr>
              <w:rPr>
                <w:rFonts w:cs="Arial"/>
                <w:sz w:val="20"/>
                <w:szCs w:val="20"/>
              </w:rPr>
            </w:pPr>
            <w:r w:rsidRPr="00F32D92">
              <w:rPr>
                <w:rFonts w:cs="Arial"/>
                <w:color w:val="000000"/>
                <w:sz w:val="20"/>
                <w:szCs w:val="20"/>
              </w:rPr>
              <w:t>2</w:t>
            </w:r>
          </w:p>
        </w:tc>
        <w:tc>
          <w:tcPr>
            <w:tcW w:w="883" w:type="dxa"/>
            <w:tcBorders>
              <w:top w:val="nil"/>
              <w:left w:val="nil"/>
              <w:bottom w:val="nil"/>
            </w:tcBorders>
            <w:noWrap/>
            <w:vAlign w:val="center"/>
          </w:tcPr>
          <w:p w14:paraId="0C972BB7" w14:textId="77777777" w:rsidR="00AB6753" w:rsidRPr="00F32D92" w:rsidRDefault="00AB6753" w:rsidP="002D1EA4">
            <w:pPr>
              <w:rPr>
                <w:rFonts w:cs="Arial"/>
                <w:sz w:val="20"/>
                <w:szCs w:val="20"/>
              </w:rPr>
            </w:pPr>
            <w:r w:rsidRPr="00F32D92">
              <w:rPr>
                <w:rFonts w:cs="Arial"/>
                <w:color w:val="000000"/>
                <w:sz w:val="20"/>
                <w:szCs w:val="20"/>
              </w:rPr>
              <w:t>8</w:t>
            </w:r>
          </w:p>
        </w:tc>
        <w:tc>
          <w:tcPr>
            <w:tcW w:w="896" w:type="dxa"/>
            <w:tcBorders>
              <w:top w:val="nil"/>
              <w:bottom w:val="nil"/>
              <w:right w:val="nil"/>
            </w:tcBorders>
            <w:noWrap/>
            <w:vAlign w:val="center"/>
          </w:tcPr>
          <w:p w14:paraId="1E74D13E"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tcPr>
          <w:p w14:paraId="028BEF20"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tcPr>
          <w:p w14:paraId="4D61498F"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284FCFDD" w14:textId="77777777" w:rsidR="00AB6753" w:rsidRPr="00F32D92" w:rsidRDefault="00AB6753" w:rsidP="002D1EA4">
            <w:pPr>
              <w:rPr>
                <w:rFonts w:cs="Arial"/>
                <w:sz w:val="20"/>
                <w:szCs w:val="20"/>
              </w:rPr>
            </w:pPr>
            <w:r w:rsidRPr="00F32D92">
              <w:rPr>
                <w:rFonts w:cs="Arial"/>
                <w:color w:val="000000"/>
                <w:sz w:val="20"/>
                <w:szCs w:val="20"/>
              </w:rPr>
              <w:t>10</w:t>
            </w:r>
          </w:p>
        </w:tc>
      </w:tr>
      <w:tr w:rsidR="00AB6753" w:rsidRPr="00F32D92" w14:paraId="58481FE3" w14:textId="77777777" w:rsidTr="002D1EA4">
        <w:trPr>
          <w:trHeight w:val="315"/>
          <w:jc w:val="center"/>
        </w:trPr>
        <w:tc>
          <w:tcPr>
            <w:tcW w:w="1696" w:type="dxa"/>
            <w:vAlign w:val="bottom"/>
          </w:tcPr>
          <w:p w14:paraId="501CE74A" w14:textId="77777777" w:rsidR="00AB6753" w:rsidRPr="00F32D92" w:rsidRDefault="00AB6753" w:rsidP="002D1EA4">
            <w:pPr>
              <w:rPr>
                <w:rFonts w:cs="Arial"/>
                <w:sz w:val="20"/>
                <w:szCs w:val="20"/>
              </w:rPr>
            </w:pPr>
            <w:r w:rsidRPr="00F32D92">
              <w:rPr>
                <w:rFonts w:cs="Arial"/>
                <w:sz w:val="20"/>
                <w:szCs w:val="20"/>
              </w:rPr>
              <w:t>Senior Legal Officer</w:t>
            </w:r>
          </w:p>
        </w:tc>
        <w:tc>
          <w:tcPr>
            <w:tcW w:w="896" w:type="dxa"/>
            <w:tcBorders>
              <w:top w:val="nil"/>
              <w:bottom w:val="nil"/>
              <w:right w:val="nil"/>
            </w:tcBorders>
            <w:noWrap/>
            <w:vAlign w:val="center"/>
          </w:tcPr>
          <w:p w14:paraId="7FE1E04A" w14:textId="77777777" w:rsidR="00AB6753" w:rsidRPr="00F32D92" w:rsidRDefault="00AB6753" w:rsidP="002D1EA4">
            <w:pPr>
              <w:rPr>
                <w:rFonts w:cs="Arial"/>
                <w:sz w:val="20"/>
                <w:szCs w:val="20"/>
              </w:rPr>
            </w:pPr>
            <w:r w:rsidRPr="00F32D92">
              <w:rPr>
                <w:rFonts w:cs="Arial"/>
                <w:color w:val="000000"/>
                <w:sz w:val="20"/>
                <w:szCs w:val="20"/>
              </w:rPr>
              <w:t>1</w:t>
            </w:r>
          </w:p>
        </w:tc>
        <w:tc>
          <w:tcPr>
            <w:tcW w:w="668" w:type="dxa"/>
            <w:tcBorders>
              <w:top w:val="nil"/>
              <w:left w:val="nil"/>
              <w:bottom w:val="nil"/>
              <w:right w:val="nil"/>
            </w:tcBorders>
            <w:noWrap/>
            <w:vAlign w:val="center"/>
          </w:tcPr>
          <w:p w14:paraId="176671FE" w14:textId="77777777" w:rsidR="00AB6753" w:rsidRPr="00F32D92" w:rsidRDefault="00AB6753" w:rsidP="002D1EA4">
            <w:pPr>
              <w:rPr>
                <w:rFonts w:cs="Arial"/>
                <w:sz w:val="20"/>
                <w:szCs w:val="20"/>
              </w:rPr>
            </w:pPr>
            <w:r w:rsidRPr="00F32D92">
              <w:rPr>
                <w:rFonts w:cs="Arial"/>
                <w:color w:val="000000"/>
                <w:sz w:val="20"/>
                <w:szCs w:val="20"/>
              </w:rPr>
              <w:t>1</w:t>
            </w:r>
          </w:p>
        </w:tc>
        <w:tc>
          <w:tcPr>
            <w:tcW w:w="709" w:type="dxa"/>
            <w:tcBorders>
              <w:top w:val="nil"/>
              <w:left w:val="nil"/>
              <w:bottom w:val="nil"/>
            </w:tcBorders>
            <w:noWrap/>
            <w:vAlign w:val="center"/>
          </w:tcPr>
          <w:p w14:paraId="502FE188" w14:textId="77777777" w:rsidR="00AB6753" w:rsidRPr="00F32D92" w:rsidRDefault="00AB6753" w:rsidP="002D1EA4">
            <w:pPr>
              <w:rPr>
                <w:rFonts w:cs="Arial"/>
                <w:sz w:val="20"/>
                <w:szCs w:val="20"/>
              </w:rPr>
            </w:pPr>
            <w:r w:rsidRPr="00F32D92">
              <w:rPr>
                <w:rFonts w:cs="Arial"/>
                <w:color w:val="000000"/>
                <w:sz w:val="20"/>
                <w:szCs w:val="20"/>
              </w:rPr>
              <w:t>2</w:t>
            </w:r>
          </w:p>
        </w:tc>
        <w:tc>
          <w:tcPr>
            <w:tcW w:w="896" w:type="dxa"/>
            <w:tcBorders>
              <w:top w:val="nil"/>
              <w:bottom w:val="nil"/>
              <w:right w:val="nil"/>
            </w:tcBorders>
            <w:noWrap/>
            <w:vAlign w:val="center"/>
          </w:tcPr>
          <w:p w14:paraId="57EC0A74" w14:textId="77777777" w:rsidR="00AB6753" w:rsidRPr="00F32D92" w:rsidRDefault="00AB6753" w:rsidP="002D1EA4">
            <w:pPr>
              <w:rPr>
                <w:rFonts w:cs="Arial"/>
                <w:sz w:val="20"/>
                <w:szCs w:val="20"/>
              </w:rPr>
            </w:pPr>
            <w:r w:rsidRPr="00F32D92">
              <w:rPr>
                <w:rFonts w:cs="Arial"/>
                <w:color w:val="000000"/>
                <w:sz w:val="20"/>
                <w:szCs w:val="20"/>
              </w:rPr>
              <w:t>7</w:t>
            </w:r>
          </w:p>
        </w:tc>
        <w:tc>
          <w:tcPr>
            <w:tcW w:w="663" w:type="dxa"/>
            <w:tcBorders>
              <w:top w:val="nil"/>
              <w:left w:val="nil"/>
              <w:bottom w:val="nil"/>
              <w:right w:val="nil"/>
            </w:tcBorders>
            <w:noWrap/>
            <w:vAlign w:val="center"/>
          </w:tcPr>
          <w:p w14:paraId="1559DB23" w14:textId="77777777" w:rsidR="00AB6753" w:rsidRPr="00F32D92" w:rsidRDefault="00AB6753" w:rsidP="002D1EA4">
            <w:pPr>
              <w:rPr>
                <w:rFonts w:cs="Arial"/>
                <w:sz w:val="20"/>
                <w:szCs w:val="20"/>
              </w:rPr>
            </w:pPr>
            <w:r w:rsidRPr="00F32D92">
              <w:rPr>
                <w:rFonts w:cs="Arial"/>
                <w:color w:val="000000"/>
                <w:sz w:val="20"/>
                <w:szCs w:val="20"/>
              </w:rPr>
              <w:t>4</w:t>
            </w:r>
          </w:p>
        </w:tc>
        <w:tc>
          <w:tcPr>
            <w:tcW w:w="883" w:type="dxa"/>
            <w:tcBorders>
              <w:top w:val="nil"/>
              <w:left w:val="nil"/>
              <w:bottom w:val="nil"/>
            </w:tcBorders>
            <w:noWrap/>
            <w:vAlign w:val="center"/>
          </w:tcPr>
          <w:p w14:paraId="33387CC5" w14:textId="77777777" w:rsidR="00AB6753" w:rsidRPr="00F32D92" w:rsidRDefault="00AB6753" w:rsidP="002D1EA4">
            <w:pPr>
              <w:rPr>
                <w:rFonts w:cs="Arial"/>
                <w:sz w:val="20"/>
                <w:szCs w:val="20"/>
              </w:rPr>
            </w:pPr>
            <w:r w:rsidRPr="00F32D92">
              <w:rPr>
                <w:rFonts w:cs="Arial"/>
                <w:color w:val="000000"/>
                <w:sz w:val="20"/>
                <w:szCs w:val="20"/>
              </w:rPr>
              <w:t>11</w:t>
            </w:r>
          </w:p>
        </w:tc>
        <w:tc>
          <w:tcPr>
            <w:tcW w:w="896" w:type="dxa"/>
            <w:tcBorders>
              <w:top w:val="nil"/>
              <w:bottom w:val="nil"/>
              <w:right w:val="nil"/>
            </w:tcBorders>
            <w:noWrap/>
            <w:vAlign w:val="center"/>
          </w:tcPr>
          <w:p w14:paraId="19176E1B"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tcPr>
          <w:p w14:paraId="32E7C1CC"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tcPr>
          <w:p w14:paraId="00028D99"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7CFEDBED" w14:textId="77777777" w:rsidR="00AB6753" w:rsidRPr="00F32D92" w:rsidRDefault="00AB6753" w:rsidP="002D1EA4">
            <w:pPr>
              <w:rPr>
                <w:rFonts w:cs="Arial"/>
                <w:sz w:val="20"/>
                <w:szCs w:val="20"/>
              </w:rPr>
            </w:pPr>
            <w:r w:rsidRPr="00F32D92">
              <w:rPr>
                <w:rFonts w:cs="Arial"/>
                <w:color w:val="000000"/>
                <w:sz w:val="20"/>
                <w:szCs w:val="20"/>
              </w:rPr>
              <w:t>13</w:t>
            </w:r>
          </w:p>
        </w:tc>
      </w:tr>
      <w:tr w:rsidR="00AB6753" w:rsidRPr="00F32D92" w14:paraId="409D134F" w14:textId="77777777" w:rsidTr="002D1EA4">
        <w:trPr>
          <w:trHeight w:val="315"/>
          <w:jc w:val="center"/>
        </w:trPr>
        <w:tc>
          <w:tcPr>
            <w:tcW w:w="1696" w:type="dxa"/>
            <w:vAlign w:val="bottom"/>
          </w:tcPr>
          <w:p w14:paraId="61FC3AC7" w14:textId="77777777" w:rsidR="00AB6753" w:rsidRPr="00F32D92" w:rsidRDefault="00AB6753" w:rsidP="002D1EA4">
            <w:pPr>
              <w:rPr>
                <w:rFonts w:cs="Arial"/>
                <w:sz w:val="20"/>
                <w:szCs w:val="20"/>
              </w:rPr>
            </w:pPr>
            <w:r w:rsidRPr="00F32D92">
              <w:rPr>
                <w:rFonts w:cs="Arial"/>
                <w:sz w:val="20"/>
                <w:szCs w:val="20"/>
              </w:rPr>
              <w:t>Legal Officer</w:t>
            </w:r>
          </w:p>
        </w:tc>
        <w:tc>
          <w:tcPr>
            <w:tcW w:w="896" w:type="dxa"/>
            <w:tcBorders>
              <w:top w:val="nil"/>
              <w:bottom w:val="nil"/>
              <w:right w:val="nil"/>
            </w:tcBorders>
            <w:noWrap/>
            <w:vAlign w:val="center"/>
          </w:tcPr>
          <w:p w14:paraId="2467D30A" w14:textId="77777777" w:rsidR="00AB6753" w:rsidRPr="00F32D92" w:rsidRDefault="00AB6753" w:rsidP="002D1EA4">
            <w:pPr>
              <w:rPr>
                <w:rFonts w:cs="Arial"/>
                <w:sz w:val="20"/>
                <w:szCs w:val="20"/>
              </w:rPr>
            </w:pPr>
            <w:r w:rsidRPr="00F32D92">
              <w:rPr>
                <w:rFonts w:cs="Arial"/>
                <w:sz w:val="20"/>
                <w:szCs w:val="20"/>
              </w:rPr>
              <w:t>0</w:t>
            </w:r>
          </w:p>
        </w:tc>
        <w:tc>
          <w:tcPr>
            <w:tcW w:w="668" w:type="dxa"/>
            <w:tcBorders>
              <w:top w:val="nil"/>
              <w:left w:val="nil"/>
              <w:bottom w:val="nil"/>
              <w:right w:val="nil"/>
            </w:tcBorders>
            <w:noWrap/>
            <w:vAlign w:val="center"/>
          </w:tcPr>
          <w:p w14:paraId="3E17EBF1" w14:textId="77777777" w:rsidR="00AB6753" w:rsidRPr="00F32D92" w:rsidRDefault="00AB6753" w:rsidP="002D1EA4">
            <w:pPr>
              <w:rPr>
                <w:rFonts w:cs="Arial"/>
                <w:sz w:val="20"/>
                <w:szCs w:val="20"/>
              </w:rPr>
            </w:pPr>
            <w:r w:rsidRPr="00F32D92">
              <w:rPr>
                <w:rFonts w:cs="Arial"/>
                <w:sz w:val="20"/>
                <w:szCs w:val="20"/>
              </w:rPr>
              <w:t>0</w:t>
            </w:r>
          </w:p>
        </w:tc>
        <w:tc>
          <w:tcPr>
            <w:tcW w:w="709" w:type="dxa"/>
            <w:tcBorders>
              <w:top w:val="nil"/>
              <w:left w:val="nil"/>
              <w:bottom w:val="nil"/>
            </w:tcBorders>
            <w:noWrap/>
            <w:vAlign w:val="center"/>
          </w:tcPr>
          <w:p w14:paraId="36C35711" w14:textId="77777777" w:rsidR="00AB6753" w:rsidRPr="00F32D92" w:rsidRDefault="00AB6753" w:rsidP="002D1EA4">
            <w:pPr>
              <w:rPr>
                <w:rFonts w:cs="Arial"/>
                <w:sz w:val="20"/>
                <w:szCs w:val="20"/>
              </w:rPr>
            </w:pPr>
            <w:r w:rsidRPr="00F32D92">
              <w:rPr>
                <w:rFonts w:cs="Arial"/>
                <w:sz w:val="20"/>
                <w:szCs w:val="20"/>
              </w:rPr>
              <w:t>0</w:t>
            </w:r>
          </w:p>
        </w:tc>
        <w:tc>
          <w:tcPr>
            <w:tcW w:w="896" w:type="dxa"/>
            <w:tcBorders>
              <w:top w:val="nil"/>
              <w:bottom w:val="nil"/>
              <w:right w:val="nil"/>
            </w:tcBorders>
            <w:noWrap/>
            <w:vAlign w:val="center"/>
          </w:tcPr>
          <w:p w14:paraId="7EEFEAD5" w14:textId="77777777" w:rsidR="00AB6753" w:rsidRPr="00F32D92" w:rsidRDefault="00AB6753" w:rsidP="002D1EA4">
            <w:pPr>
              <w:rPr>
                <w:rFonts w:cs="Arial"/>
                <w:sz w:val="20"/>
                <w:szCs w:val="20"/>
              </w:rPr>
            </w:pPr>
            <w:r w:rsidRPr="00F32D92">
              <w:rPr>
                <w:rFonts w:cs="Arial"/>
                <w:color w:val="000000"/>
                <w:sz w:val="20"/>
                <w:szCs w:val="20"/>
              </w:rPr>
              <w:t>9</w:t>
            </w:r>
          </w:p>
        </w:tc>
        <w:tc>
          <w:tcPr>
            <w:tcW w:w="663" w:type="dxa"/>
            <w:tcBorders>
              <w:top w:val="nil"/>
              <w:left w:val="nil"/>
              <w:bottom w:val="nil"/>
              <w:right w:val="nil"/>
            </w:tcBorders>
            <w:noWrap/>
            <w:vAlign w:val="center"/>
          </w:tcPr>
          <w:p w14:paraId="5510EE68" w14:textId="77777777" w:rsidR="00AB6753" w:rsidRPr="00F32D92" w:rsidRDefault="00AB6753" w:rsidP="002D1EA4">
            <w:pPr>
              <w:rPr>
                <w:rFonts w:cs="Arial"/>
                <w:sz w:val="20"/>
                <w:szCs w:val="20"/>
              </w:rPr>
            </w:pPr>
            <w:r w:rsidRPr="00F32D92">
              <w:rPr>
                <w:rFonts w:cs="Arial"/>
                <w:color w:val="000000"/>
                <w:sz w:val="20"/>
                <w:szCs w:val="20"/>
              </w:rPr>
              <w:t>1</w:t>
            </w:r>
          </w:p>
        </w:tc>
        <w:tc>
          <w:tcPr>
            <w:tcW w:w="883" w:type="dxa"/>
            <w:tcBorders>
              <w:top w:val="nil"/>
              <w:left w:val="nil"/>
              <w:bottom w:val="nil"/>
            </w:tcBorders>
            <w:noWrap/>
            <w:vAlign w:val="center"/>
          </w:tcPr>
          <w:p w14:paraId="0596DD88" w14:textId="77777777" w:rsidR="00AB6753" w:rsidRPr="00F32D92" w:rsidRDefault="00AB6753" w:rsidP="002D1EA4">
            <w:pPr>
              <w:rPr>
                <w:rFonts w:cs="Arial"/>
                <w:sz w:val="20"/>
                <w:szCs w:val="20"/>
              </w:rPr>
            </w:pPr>
            <w:r w:rsidRPr="00F32D92">
              <w:rPr>
                <w:rFonts w:cs="Arial"/>
                <w:color w:val="000000"/>
                <w:sz w:val="20"/>
                <w:szCs w:val="20"/>
              </w:rPr>
              <w:t>10</w:t>
            </w:r>
          </w:p>
        </w:tc>
        <w:tc>
          <w:tcPr>
            <w:tcW w:w="896" w:type="dxa"/>
            <w:tcBorders>
              <w:top w:val="nil"/>
              <w:bottom w:val="nil"/>
              <w:right w:val="nil"/>
            </w:tcBorders>
            <w:noWrap/>
            <w:vAlign w:val="center"/>
          </w:tcPr>
          <w:p w14:paraId="07BD6468"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tcPr>
          <w:p w14:paraId="07C18D87"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tcPr>
          <w:p w14:paraId="275F19CF"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066DE2A9" w14:textId="77777777" w:rsidR="00AB6753" w:rsidRPr="00F32D92" w:rsidRDefault="00AB6753" w:rsidP="002D1EA4">
            <w:pPr>
              <w:rPr>
                <w:rFonts w:cs="Arial"/>
                <w:sz w:val="20"/>
                <w:szCs w:val="20"/>
              </w:rPr>
            </w:pPr>
            <w:r w:rsidRPr="00F32D92">
              <w:rPr>
                <w:rFonts w:cs="Arial"/>
                <w:color w:val="000000"/>
                <w:sz w:val="20"/>
                <w:szCs w:val="20"/>
              </w:rPr>
              <w:t>10</w:t>
            </w:r>
          </w:p>
        </w:tc>
      </w:tr>
      <w:tr w:rsidR="00AB6753" w:rsidRPr="00F32D92" w14:paraId="49FA2180" w14:textId="77777777" w:rsidTr="002D1EA4">
        <w:trPr>
          <w:trHeight w:val="315"/>
          <w:jc w:val="center"/>
        </w:trPr>
        <w:tc>
          <w:tcPr>
            <w:tcW w:w="1696" w:type="dxa"/>
            <w:vAlign w:val="center"/>
            <w:hideMark/>
          </w:tcPr>
          <w:p w14:paraId="64FA9417" w14:textId="77777777" w:rsidR="00AB6753" w:rsidRPr="00F32D92" w:rsidRDefault="00AB6753" w:rsidP="002D1EA4">
            <w:pPr>
              <w:rPr>
                <w:rFonts w:cs="Arial"/>
                <w:sz w:val="20"/>
                <w:szCs w:val="20"/>
              </w:rPr>
            </w:pPr>
            <w:r w:rsidRPr="00F32D92">
              <w:rPr>
                <w:rFonts w:cs="Arial"/>
                <w:sz w:val="20"/>
                <w:szCs w:val="20"/>
              </w:rPr>
              <w:t>APS 6</w:t>
            </w:r>
          </w:p>
        </w:tc>
        <w:tc>
          <w:tcPr>
            <w:tcW w:w="896" w:type="dxa"/>
            <w:tcBorders>
              <w:top w:val="nil"/>
              <w:bottom w:val="nil"/>
              <w:right w:val="nil"/>
            </w:tcBorders>
            <w:noWrap/>
            <w:vAlign w:val="center"/>
          </w:tcPr>
          <w:p w14:paraId="7C1020C0" w14:textId="77777777" w:rsidR="00AB6753" w:rsidRPr="00F32D92" w:rsidRDefault="00AB6753" w:rsidP="002D1EA4">
            <w:pPr>
              <w:rPr>
                <w:rFonts w:cs="Arial"/>
                <w:sz w:val="20"/>
                <w:szCs w:val="20"/>
              </w:rPr>
            </w:pPr>
            <w:r w:rsidRPr="00F32D92">
              <w:rPr>
                <w:rFonts w:cs="Arial"/>
                <w:color w:val="000000"/>
                <w:sz w:val="20"/>
                <w:szCs w:val="20"/>
              </w:rPr>
              <w:t>182</w:t>
            </w:r>
          </w:p>
        </w:tc>
        <w:tc>
          <w:tcPr>
            <w:tcW w:w="668" w:type="dxa"/>
            <w:tcBorders>
              <w:top w:val="nil"/>
              <w:left w:val="nil"/>
              <w:bottom w:val="nil"/>
              <w:right w:val="nil"/>
            </w:tcBorders>
            <w:noWrap/>
            <w:vAlign w:val="center"/>
          </w:tcPr>
          <w:p w14:paraId="11C56342" w14:textId="77777777" w:rsidR="00AB6753" w:rsidRPr="00F32D92" w:rsidRDefault="00AB6753" w:rsidP="002D1EA4">
            <w:pPr>
              <w:rPr>
                <w:rFonts w:cs="Arial"/>
                <w:sz w:val="20"/>
                <w:szCs w:val="20"/>
              </w:rPr>
            </w:pPr>
            <w:r w:rsidRPr="00F32D92">
              <w:rPr>
                <w:rFonts w:cs="Arial"/>
                <w:color w:val="000000"/>
                <w:sz w:val="20"/>
                <w:szCs w:val="20"/>
              </w:rPr>
              <w:t>12</w:t>
            </w:r>
          </w:p>
        </w:tc>
        <w:tc>
          <w:tcPr>
            <w:tcW w:w="709" w:type="dxa"/>
            <w:tcBorders>
              <w:top w:val="nil"/>
              <w:left w:val="nil"/>
              <w:bottom w:val="nil"/>
            </w:tcBorders>
            <w:noWrap/>
            <w:vAlign w:val="center"/>
          </w:tcPr>
          <w:p w14:paraId="5C7D980B" w14:textId="77777777" w:rsidR="00AB6753" w:rsidRPr="00F32D92" w:rsidRDefault="00AB6753" w:rsidP="002D1EA4">
            <w:pPr>
              <w:rPr>
                <w:rFonts w:cs="Arial"/>
                <w:sz w:val="20"/>
                <w:szCs w:val="20"/>
              </w:rPr>
            </w:pPr>
            <w:r w:rsidRPr="00F32D92">
              <w:rPr>
                <w:rFonts w:cs="Arial"/>
                <w:color w:val="000000"/>
                <w:sz w:val="20"/>
                <w:szCs w:val="20"/>
              </w:rPr>
              <w:t>194</w:t>
            </w:r>
          </w:p>
        </w:tc>
        <w:tc>
          <w:tcPr>
            <w:tcW w:w="896" w:type="dxa"/>
            <w:tcBorders>
              <w:top w:val="nil"/>
              <w:bottom w:val="nil"/>
              <w:right w:val="nil"/>
            </w:tcBorders>
            <w:noWrap/>
            <w:vAlign w:val="center"/>
          </w:tcPr>
          <w:p w14:paraId="593EB942" w14:textId="77777777" w:rsidR="00AB6753" w:rsidRPr="00F32D92" w:rsidRDefault="00AB6753" w:rsidP="002D1EA4">
            <w:pPr>
              <w:rPr>
                <w:rFonts w:cs="Arial"/>
                <w:sz w:val="20"/>
                <w:szCs w:val="20"/>
              </w:rPr>
            </w:pPr>
            <w:r w:rsidRPr="00F32D92">
              <w:rPr>
                <w:rFonts w:cs="Arial"/>
                <w:color w:val="000000"/>
                <w:sz w:val="20"/>
                <w:szCs w:val="20"/>
              </w:rPr>
              <w:t>347</w:t>
            </w:r>
          </w:p>
        </w:tc>
        <w:tc>
          <w:tcPr>
            <w:tcW w:w="663" w:type="dxa"/>
            <w:tcBorders>
              <w:top w:val="nil"/>
              <w:left w:val="nil"/>
              <w:bottom w:val="nil"/>
              <w:right w:val="nil"/>
            </w:tcBorders>
            <w:noWrap/>
            <w:vAlign w:val="center"/>
          </w:tcPr>
          <w:p w14:paraId="5655FBF5" w14:textId="77777777" w:rsidR="00AB6753" w:rsidRPr="00F32D92" w:rsidRDefault="00AB6753" w:rsidP="002D1EA4">
            <w:pPr>
              <w:rPr>
                <w:rFonts w:cs="Arial"/>
                <w:sz w:val="20"/>
                <w:szCs w:val="20"/>
              </w:rPr>
            </w:pPr>
            <w:r w:rsidRPr="00F32D92">
              <w:rPr>
                <w:rFonts w:cs="Arial"/>
                <w:color w:val="000000"/>
                <w:sz w:val="20"/>
                <w:szCs w:val="20"/>
              </w:rPr>
              <w:t>172</w:t>
            </w:r>
          </w:p>
        </w:tc>
        <w:tc>
          <w:tcPr>
            <w:tcW w:w="883" w:type="dxa"/>
            <w:tcBorders>
              <w:top w:val="nil"/>
              <w:left w:val="nil"/>
              <w:bottom w:val="nil"/>
            </w:tcBorders>
            <w:noWrap/>
            <w:vAlign w:val="center"/>
          </w:tcPr>
          <w:p w14:paraId="3BAFBDD2" w14:textId="77777777" w:rsidR="00AB6753" w:rsidRPr="00F32D92" w:rsidRDefault="00AB6753" w:rsidP="002D1EA4">
            <w:pPr>
              <w:rPr>
                <w:rFonts w:cs="Arial"/>
                <w:sz w:val="20"/>
                <w:szCs w:val="20"/>
              </w:rPr>
            </w:pPr>
            <w:r w:rsidRPr="00F32D92">
              <w:rPr>
                <w:rFonts w:cs="Arial"/>
                <w:color w:val="000000"/>
                <w:sz w:val="20"/>
                <w:szCs w:val="20"/>
              </w:rPr>
              <w:t>519</w:t>
            </w:r>
          </w:p>
        </w:tc>
        <w:tc>
          <w:tcPr>
            <w:tcW w:w="896" w:type="dxa"/>
            <w:tcBorders>
              <w:top w:val="nil"/>
              <w:bottom w:val="nil"/>
              <w:right w:val="nil"/>
            </w:tcBorders>
            <w:noWrap/>
            <w:vAlign w:val="center"/>
          </w:tcPr>
          <w:p w14:paraId="6011F6A1"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tcPr>
          <w:p w14:paraId="2C2F7A6C"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tcPr>
          <w:p w14:paraId="34784558"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05091F15" w14:textId="77777777" w:rsidR="00AB6753" w:rsidRPr="00F32D92" w:rsidRDefault="00AB6753" w:rsidP="002D1EA4">
            <w:pPr>
              <w:rPr>
                <w:rFonts w:cs="Arial"/>
                <w:sz w:val="20"/>
                <w:szCs w:val="20"/>
              </w:rPr>
            </w:pPr>
            <w:r w:rsidRPr="00F32D92">
              <w:rPr>
                <w:rFonts w:cs="Arial"/>
                <w:color w:val="000000"/>
                <w:sz w:val="20"/>
                <w:szCs w:val="20"/>
              </w:rPr>
              <w:t>713</w:t>
            </w:r>
          </w:p>
        </w:tc>
      </w:tr>
      <w:tr w:rsidR="00AB6753" w:rsidRPr="00F32D92" w14:paraId="0C457309" w14:textId="77777777" w:rsidTr="002D1EA4">
        <w:trPr>
          <w:trHeight w:val="315"/>
          <w:jc w:val="center"/>
        </w:trPr>
        <w:tc>
          <w:tcPr>
            <w:tcW w:w="1696" w:type="dxa"/>
            <w:vAlign w:val="center"/>
            <w:hideMark/>
          </w:tcPr>
          <w:p w14:paraId="1BE4002C" w14:textId="77777777" w:rsidR="00AB6753" w:rsidRPr="00F32D92" w:rsidRDefault="00AB6753" w:rsidP="002D1EA4">
            <w:pPr>
              <w:rPr>
                <w:rFonts w:cs="Arial"/>
                <w:sz w:val="20"/>
                <w:szCs w:val="20"/>
              </w:rPr>
            </w:pPr>
            <w:r w:rsidRPr="00F32D92">
              <w:rPr>
                <w:rFonts w:cs="Arial"/>
                <w:sz w:val="20"/>
                <w:szCs w:val="20"/>
              </w:rPr>
              <w:t>APS 5</w:t>
            </w:r>
          </w:p>
        </w:tc>
        <w:tc>
          <w:tcPr>
            <w:tcW w:w="896" w:type="dxa"/>
            <w:tcBorders>
              <w:top w:val="nil"/>
              <w:bottom w:val="nil"/>
              <w:right w:val="nil"/>
            </w:tcBorders>
            <w:noWrap/>
            <w:vAlign w:val="center"/>
          </w:tcPr>
          <w:p w14:paraId="14E75534" w14:textId="77777777" w:rsidR="00AB6753" w:rsidRPr="00F32D92" w:rsidRDefault="00AB6753" w:rsidP="002D1EA4">
            <w:pPr>
              <w:rPr>
                <w:rFonts w:cs="Arial"/>
                <w:sz w:val="20"/>
                <w:szCs w:val="20"/>
              </w:rPr>
            </w:pPr>
            <w:r w:rsidRPr="00F32D92">
              <w:rPr>
                <w:rFonts w:cs="Arial"/>
                <w:color w:val="000000"/>
                <w:sz w:val="20"/>
                <w:szCs w:val="20"/>
              </w:rPr>
              <w:t>130</w:t>
            </w:r>
          </w:p>
        </w:tc>
        <w:tc>
          <w:tcPr>
            <w:tcW w:w="668" w:type="dxa"/>
            <w:tcBorders>
              <w:top w:val="nil"/>
              <w:left w:val="nil"/>
              <w:bottom w:val="nil"/>
              <w:right w:val="nil"/>
            </w:tcBorders>
            <w:noWrap/>
            <w:vAlign w:val="center"/>
          </w:tcPr>
          <w:p w14:paraId="09BC6EBB" w14:textId="77777777" w:rsidR="00AB6753" w:rsidRPr="00F32D92" w:rsidRDefault="00AB6753" w:rsidP="002D1EA4">
            <w:pPr>
              <w:rPr>
                <w:rFonts w:cs="Arial"/>
                <w:sz w:val="20"/>
                <w:szCs w:val="20"/>
              </w:rPr>
            </w:pPr>
            <w:r w:rsidRPr="00F32D92">
              <w:rPr>
                <w:rFonts w:cs="Arial"/>
                <w:color w:val="000000"/>
                <w:sz w:val="20"/>
                <w:szCs w:val="20"/>
              </w:rPr>
              <w:t>10</w:t>
            </w:r>
          </w:p>
        </w:tc>
        <w:tc>
          <w:tcPr>
            <w:tcW w:w="709" w:type="dxa"/>
            <w:tcBorders>
              <w:top w:val="nil"/>
              <w:left w:val="nil"/>
              <w:bottom w:val="nil"/>
            </w:tcBorders>
            <w:noWrap/>
            <w:vAlign w:val="center"/>
          </w:tcPr>
          <w:p w14:paraId="1CF0B050" w14:textId="77777777" w:rsidR="00AB6753" w:rsidRPr="00F32D92" w:rsidRDefault="00AB6753" w:rsidP="002D1EA4">
            <w:pPr>
              <w:rPr>
                <w:rFonts w:cs="Arial"/>
                <w:sz w:val="20"/>
                <w:szCs w:val="20"/>
              </w:rPr>
            </w:pPr>
            <w:r w:rsidRPr="00F32D92">
              <w:rPr>
                <w:rFonts w:cs="Arial"/>
                <w:color w:val="000000"/>
                <w:sz w:val="20"/>
                <w:szCs w:val="20"/>
              </w:rPr>
              <w:t>140</w:t>
            </w:r>
          </w:p>
        </w:tc>
        <w:tc>
          <w:tcPr>
            <w:tcW w:w="896" w:type="dxa"/>
            <w:tcBorders>
              <w:top w:val="nil"/>
              <w:bottom w:val="nil"/>
              <w:right w:val="nil"/>
            </w:tcBorders>
            <w:noWrap/>
            <w:vAlign w:val="center"/>
          </w:tcPr>
          <w:p w14:paraId="58A89F43" w14:textId="77777777" w:rsidR="00AB6753" w:rsidRPr="00F32D92" w:rsidRDefault="00AB6753" w:rsidP="002D1EA4">
            <w:pPr>
              <w:rPr>
                <w:rFonts w:cs="Arial"/>
                <w:sz w:val="20"/>
                <w:szCs w:val="20"/>
              </w:rPr>
            </w:pPr>
            <w:r w:rsidRPr="00F32D92">
              <w:rPr>
                <w:rFonts w:cs="Arial"/>
                <w:color w:val="000000"/>
                <w:sz w:val="20"/>
                <w:szCs w:val="20"/>
              </w:rPr>
              <w:t>228</w:t>
            </w:r>
          </w:p>
        </w:tc>
        <w:tc>
          <w:tcPr>
            <w:tcW w:w="663" w:type="dxa"/>
            <w:tcBorders>
              <w:top w:val="nil"/>
              <w:left w:val="nil"/>
              <w:bottom w:val="nil"/>
              <w:right w:val="nil"/>
            </w:tcBorders>
            <w:noWrap/>
            <w:vAlign w:val="center"/>
          </w:tcPr>
          <w:p w14:paraId="57F2C201" w14:textId="77777777" w:rsidR="00AB6753" w:rsidRPr="00F32D92" w:rsidRDefault="00AB6753" w:rsidP="002D1EA4">
            <w:pPr>
              <w:rPr>
                <w:rFonts w:cs="Arial"/>
                <w:sz w:val="20"/>
                <w:szCs w:val="20"/>
              </w:rPr>
            </w:pPr>
            <w:r w:rsidRPr="00F32D92">
              <w:rPr>
                <w:rFonts w:cs="Arial"/>
                <w:color w:val="000000"/>
                <w:sz w:val="20"/>
                <w:szCs w:val="20"/>
              </w:rPr>
              <w:t>72</w:t>
            </w:r>
          </w:p>
        </w:tc>
        <w:tc>
          <w:tcPr>
            <w:tcW w:w="883" w:type="dxa"/>
            <w:tcBorders>
              <w:top w:val="nil"/>
              <w:left w:val="nil"/>
              <w:bottom w:val="nil"/>
            </w:tcBorders>
            <w:noWrap/>
            <w:vAlign w:val="center"/>
          </w:tcPr>
          <w:p w14:paraId="17097316" w14:textId="77777777" w:rsidR="00AB6753" w:rsidRPr="00F32D92" w:rsidRDefault="00AB6753" w:rsidP="002D1EA4">
            <w:pPr>
              <w:rPr>
                <w:rFonts w:cs="Arial"/>
                <w:sz w:val="20"/>
                <w:szCs w:val="20"/>
              </w:rPr>
            </w:pPr>
            <w:r w:rsidRPr="00F32D92">
              <w:rPr>
                <w:rFonts w:cs="Arial"/>
                <w:color w:val="000000"/>
                <w:sz w:val="20"/>
                <w:szCs w:val="20"/>
              </w:rPr>
              <w:t>300</w:t>
            </w:r>
          </w:p>
        </w:tc>
        <w:tc>
          <w:tcPr>
            <w:tcW w:w="896" w:type="dxa"/>
            <w:tcBorders>
              <w:top w:val="nil"/>
              <w:bottom w:val="nil"/>
              <w:right w:val="nil"/>
            </w:tcBorders>
            <w:noWrap/>
            <w:vAlign w:val="center"/>
          </w:tcPr>
          <w:p w14:paraId="6090DAD9"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tcPr>
          <w:p w14:paraId="30289817"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tcPr>
          <w:p w14:paraId="205F7B5B"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0A0C131A" w14:textId="77777777" w:rsidR="00AB6753" w:rsidRPr="00F32D92" w:rsidRDefault="00AB6753" w:rsidP="002D1EA4">
            <w:pPr>
              <w:rPr>
                <w:rFonts w:cs="Arial"/>
                <w:sz w:val="20"/>
                <w:szCs w:val="20"/>
              </w:rPr>
            </w:pPr>
            <w:r w:rsidRPr="00F32D92">
              <w:rPr>
                <w:rFonts w:cs="Arial"/>
                <w:color w:val="000000"/>
                <w:sz w:val="20"/>
                <w:szCs w:val="20"/>
              </w:rPr>
              <w:t>440</w:t>
            </w:r>
          </w:p>
        </w:tc>
      </w:tr>
      <w:tr w:rsidR="00AB6753" w:rsidRPr="00F32D92" w14:paraId="190AB746" w14:textId="77777777" w:rsidTr="002D1EA4">
        <w:trPr>
          <w:trHeight w:val="315"/>
          <w:jc w:val="center"/>
        </w:trPr>
        <w:tc>
          <w:tcPr>
            <w:tcW w:w="1696" w:type="dxa"/>
            <w:vAlign w:val="center"/>
            <w:hideMark/>
          </w:tcPr>
          <w:p w14:paraId="5F5AE8A6" w14:textId="77777777" w:rsidR="00AB6753" w:rsidRPr="00F32D92" w:rsidRDefault="00AB6753" w:rsidP="002D1EA4">
            <w:pPr>
              <w:rPr>
                <w:rFonts w:cs="Arial"/>
                <w:sz w:val="20"/>
                <w:szCs w:val="20"/>
              </w:rPr>
            </w:pPr>
            <w:r w:rsidRPr="00F32D92">
              <w:rPr>
                <w:rFonts w:cs="Arial"/>
                <w:sz w:val="20"/>
                <w:szCs w:val="20"/>
              </w:rPr>
              <w:t>APS 4</w:t>
            </w:r>
          </w:p>
        </w:tc>
        <w:tc>
          <w:tcPr>
            <w:tcW w:w="896" w:type="dxa"/>
            <w:tcBorders>
              <w:top w:val="nil"/>
              <w:bottom w:val="nil"/>
              <w:right w:val="nil"/>
            </w:tcBorders>
            <w:noWrap/>
            <w:vAlign w:val="center"/>
          </w:tcPr>
          <w:p w14:paraId="3D9C13FA" w14:textId="77777777" w:rsidR="00AB6753" w:rsidRPr="00F32D92" w:rsidRDefault="00AB6753" w:rsidP="002D1EA4">
            <w:pPr>
              <w:rPr>
                <w:rFonts w:cs="Arial"/>
                <w:sz w:val="20"/>
                <w:szCs w:val="20"/>
              </w:rPr>
            </w:pPr>
            <w:r w:rsidRPr="00F32D92">
              <w:rPr>
                <w:rFonts w:cs="Arial"/>
                <w:color w:val="000000"/>
                <w:sz w:val="20"/>
                <w:szCs w:val="20"/>
              </w:rPr>
              <w:t>27</w:t>
            </w:r>
          </w:p>
        </w:tc>
        <w:tc>
          <w:tcPr>
            <w:tcW w:w="668" w:type="dxa"/>
            <w:tcBorders>
              <w:top w:val="nil"/>
              <w:left w:val="nil"/>
              <w:bottom w:val="nil"/>
              <w:right w:val="nil"/>
            </w:tcBorders>
            <w:noWrap/>
            <w:vAlign w:val="center"/>
          </w:tcPr>
          <w:p w14:paraId="27B73856" w14:textId="77777777" w:rsidR="00AB6753" w:rsidRPr="00F32D92" w:rsidRDefault="00AB6753" w:rsidP="002D1EA4">
            <w:pPr>
              <w:rPr>
                <w:rFonts w:cs="Arial"/>
                <w:sz w:val="20"/>
                <w:szCs w:val="20"/>
              </w:rPr>
            </w:pPr>
            <w:r w:rsidRPr="00F32D92">
              <w:rPr>
                <w:rFonts w:cs="Arial"/>
                <w:sz w:val="20"/>
                <w:szCs w:val="20"/>
              </w:rPr>
              <w:t>0</w:t>
            </w:r>
          </w:p>
        </w:tc>
        <w:tc>
          <w:tcPr>
            <w:tcW w:w="709" w:type="dxa"/>
            <w:tcBorders>
              <w:top w:val="nil"/>
              <w:left w:val="nil"/>
              <w:bottom w:val="nil"/>
            </w:tcBorders>
            <w:noWrap/>
            <w:vAlign w:val="center"/>
          </w:tcPr>
          <w:p w14:paraId="3AF8FEE7" w14:textId="77777777" w:rsidR="00AB6753" w:rsidRPr="00F32D92" w:rsidRDefault="00AB6753" w:rsidP="002D1EA4">
            <w:pPr>
              <w:rPr>
                <w:rFonts w:cs="Arial"/>
                <w:sz w:val="20"/>
                <w:szCs w:val="20"/>
              </w:rPr>
            </w:pPr>
            <w:r w:rsidRPr="00F32D92">
              <w:rPr>
                <w:rFonts w:cs="Arial"/>
                <w:color w:val="000000"/>
                <w:sz w:val="20"/>
                <w:szCs w:val="20"/>
              </w:rPr>
              <w:t>27</w:t>
            </w:r>
          </w:p>
        </w:tc>
        <w:tc>
          <w:tcPr>
            <w:tcW w:w="896" w:type="dxa"/>
            <w:tcBorders>
              <w:top w:val="nil"/>
              <w:bottom w:val="nil"/>
              <w:right w:val="nil"/>
            </w:tcBorders>
            <w:noWrap/>
            <w:vAlign w:val="center"/>
          </w:tcPr>
          <w:p w14:paraId="7D57BE94" w14:textId="77777777" w:rsidR="00AB6753" w:rsidRPr="00F32D92" w:rsidRDefault="00AB6753" w:rsidP="002D1EA4">
            <w:pPr>
              <w:rPr>
                <w:rFonts w:cs="Arial"/>
                <w:sz w:val="20"/>
                <w:szCs w:val="20"/>
              </w:rPr>
            </w:pPr>
            <w:r w:rsidRPr="00F32D92">
              <w:rPr>
                <w:rFonts w:cs="Arial"/>
                <w:color w:val="000000"/>
                <w:sz w:val="20"/>
                <w:szCs w:val="20"/>
              </w:rPr>
              <w:t>110</w:t>
            </w:r>
          </w:p>
        </w:tc>
        <w:tc>
          <w:tcPr>
            <w:tcW w:w="663" w:type="dxa"/>
            <w:tcBorders>
              <w:top w:val="nil"/>
              <w:left w:val="nil"/>
              <w:bottom w:val="nil"/>
              <w:right w:val="nil"/>
            </w:tcBorders>
            <w:noWrap/>
            <w:vAlign w:val="center"/>
          </w:tcPr>
          <w:p w14:paraId="2A372BBA" w14:textId="77777777" w:rsidR="00AB6753" w:rsidRPr="00F32D92" w:rsidRDefault="00AB6753" w:rsidP="002D1EA4">
            <w:pPr>
              <w:rPr>
                <w:rFonts w:cs="Arial"/>
                <w:sz w:val="20"/>
                <w:szCs w:val="20"/>
              </w:rPr>
            </w:pPr>
            <w:r w:rsidRPr="00F32D92">
              <w:rPr>
                <w:rFonts w:cs="Arial"/>
                <w:color w:val="000000"/>
                <w:sz w:val="20"/>
                <w:szCs w:val="20"/>
              </w:rPr>
              <w:t>23</w:t>
            </w:r>
          </w:p>
        </w:tc>
        <w:tc>
          <w:tcPr>
            <w:tcW w:w="883" w:type="dxa"/>
            <w:tcBorders>
              <w:top w:val="nil"/>
              <w:left w:val="nil"/>
              <w:bottom w:val="nil"/>
            </w:tcBorders>
            <w:noWrap/>
            <w:vAlign w:val="center"/>
          </w:tcPr>
          <w:p w14:paraId="21955112" w14:textId="77777777" w:rsidR="00AB6753" w:rsidRPr="00F32D92" w:rsidRDefault="00AB6753" w:rsidP="002D1EA4">
            <w:pPr>
              <w:rPr>
                <w:rFonts w:cs="Arial"/>
                <w:sz w:val="20"/>
                <w:szCs w:val="20"/>
              </w:rPr>
            </w:pPr>
            <w:r w:rsidRPr="00F32D92">
              <w:rPr>
                <w:rFonts w:cs="Arial"/>
                <w:color w:val="000000"/>
                <w:sz w:val="20"/>
                <w:szCs w:val="20"/>
              </w:rPr>
              <w:t>133</w:t>
            </w:r>
          </w:p>
        </w:tc>
        <w:tc>
          <w:tcPr>
            <w:tcW w:w="896" w:type="dxa"/>
            <w:tcBorders>
              <w:top w:val="nil"/>
              <w:bottom w:val="nil"/>
              <w:right w:val="nil"/>
            </w:tcBorders>
            <w:noWrap/>
            <w:vAlign w:val="center"/>
          </w:tcPr>
          <w:p w14:paraId="7853D27D"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tcPr>
          <w:p w14:paraId="42BEF308"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tcPr>
          <w:p w14:paraId="327E49DB"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31E42921" w14:textId="77777777" w:rsidR="00AB6753" w:rsidRPr="00F32D92" w:rsidRDefault="00AB6753" w:rsidP="002D1EA4">
            <w:pPr>
              <w:rPr>
                <w:rFonts w:cs="Arial"/>
                <w:sz w:val="20"/>
                <w:szCs w:val="20"/>
              </w:rPr>
            </w:pPr>
            <w:r w:rsidRPr="00F32D92">
              <w:rPr>
                <w:rFonts w:cs="Arial"/>
                <w:color w:val="000000"/>
                <w:sz w:val="20"/>
                <w:szCs w:val="20"/>
              </w:rPr>
              <w:t>160</w:t>
            </w:r>
          </w:p>
        </w:tc>
      </w:tr>
      <w:tr w:rsidR="00AB6753" w:rsidRPr="00F32D92" w14:paraId="6C84FCF2" w14:textId="77777777" w:rsidTr="002D1EA4">
        <w:trPr>
          <w:trHeight w:val="315"/>
          <w:jc w:val="center"/>
        </w:trPr>
        <w:tc>
          <w:tcPr>
            <w:tcW w:w="1696" w:type="dxa"/>
            <w:vAlign w:val="center"/>
          </w:tcPr>
          <w:p w14:paraId="4B25BB91" w14:textId="77777777" w:rsidR="00AB6753" w:rsidRPr="00F32D92" w:rsidRDefault="00AB6753" w:rsidP="002D1EA4">
            <w:pPr>
              <w:rPr>
                <w:rFonts w:cs="Arial"/>
                <w:sz w:val="20"/>
                <w:szCs w:val="20"/>
              </w:rPr>
            </w:pPr>
            <w:r w:rsidRPr="00F32D92">
              <w:rPr>
                <w:rFonts w:cs="Arial"/>
                <w:sz w:val="20"/>
                <w:szCs w:val="20"/>
              </w:rPr>
              <w:t>APS 3</w:t>
            </w:r>
          </w:p>
        </w:tc>
        <w:tc>
          <w:tcPr>
            <w:tcW w:w="896" w:type="dxa"/>
            <w:tcBorders>
              <w:top w:val="nil"/>
              <w:bottom w:val="nil"/>
              <w:right w:val="nil"/>
            </w:tcBorders>
            <w:noWrap/>
            <w:vAlign w:val="center"/>
          </w:tcPr>
          <w:p w14:paraId="019979EE" w14:textId="77777777" w:rsidR="00AB6753" w:rsidRPr="00F32D92" w:rsidRDefault="00AB6753" w:rsidP="002D1EA4">
            <w:pPr>
              <w:rPr>
                <w:rFonts w:cs="Arial"/>
                <w:sz w:val="20"/>
                <w:szCs w:val="20"/>
              </w:rPr>
            </w:pPr>
            <w:r w:rsidRPr="00F32D92">
              <w:rPr>
                <w:rFonts w:cs="Arial"/>
                <w:color w:val="000000"/>
                <w:sz w:val="20"/>
                <w:szCs w:val="20"/>
              </w:rPr>
              <w:t>30</w:t>
            </w:r>
          </w:p>
        </w:tc>
        <w:tc>
          <w:tcPr>
            <w:tcW w:w="668" w:type="dxa"/>
            <w:tcBorders>
              <w:top w:val="nil"/>
              <w:left w:val="nil"/>
              <w:bottom w:val="nil"/>
              <w:right w:val="nil"/>
            </w:tcBorders>
            <w:noWrap/>
            <w:vAlign w:val="center"/>
          </w:tcPr>
          <w:p w14:paraId="77E7412D" w14:textId="77777777" w:rsidR="00AB6753" w:rsidRPr="00F32D92" w:rsidRDefault="00AB6753" w:rsidP="002D1EA4">
            <w:pPr>
              <w:rPr>
                <w:rFonts w:cs="Arial"/>
                <w:sz w:val="20"/>
                <w:szCs w:val="20"/>
              </w:rPr>
            </w:pPr>
            <w:r w:rsidRPr="00F32D92">
              <w:rPr>
                <w:rFonts w:cs="Arial"/>
                <w:color w:val="000000"/>
                <w:sz w:val="20"/>
                <w:szCs w:val="20"/>
              </w:rPr>
              <w:t>1</w:t>
            </w:r>
          </w:p>
        </w:tc>
        <w:tc>
          <w:tcPr>
            <w:tcW w:w="709" w:type="dxa"/>
            <w:tcBorders>
              <w:top w:val="nil"/>
              <w:left w:val="nil"/>
              <w:bottom w:val="nil"/>
            </w:tcBorders>
            <w:noWrap/>
            <w:vAlign w:val="center"/>
          </w:tcPr>
          <w:p w14:paraId="7DBC5182" w14:textId="77777777" w:rsidR="00AB6753" w:rsidRPr="00F32D92" w:rsidRDefault="00AB6753" w:rsidP="002D1EA4">
            <w:pPr>
              <w:rPr>
                <w:rFonts w:cs="Arial"/>
                <w:sz w:val="20"/>
                <w:szCs w:val="20"/>
              </w:rPr>
            </w:pPr>
            <w:r w:rsidRPr="00F32D92">
              <w:rPr>
                <w:rFonts w:cs="Arial"/>
                <w:color w:val="000000"/>
                <w:sz w:val="20"/>
                <w:szCs w:val="20"/>
              </w:rPr>
              <w:t>31</w:t>
            </w:r>
          </w:p>
        </w:tc>
        <w:tc>
          <w:tcPr>
            <w:tcW w:w="896" w:type="dxa"/>
            <w:tcBorders>
              <w:top w:val="nil"/>
              <w:bottom w:val="nil"/>
              <w:right w:val="nil"/>
            </w:tcBorders>
            <w:noWrap/>
            <w:vAlign w:val="center"/>
          </w:tcPr>
          <w:p w14:paraId="3C8FDED7" w14:textId="77777777" w:rsidR="00AB6753" w:rsidRPr="00F32D92" w:rsidRDefault="00AB6753" w:rsidP="002D1EA4">
            <w:pPr>
              <w:rPr>
                <w:rFonts w:cs="Arial"/>
                <w:sz w:val="20"/>
                <w:szCs w:val="20"/>
              </w:rPr>
            </w:pPr>
            <w:r w:rsidRPr="00F32D92">
              <w:rPr>
                <w:rFonts w:cs="Arial"/>
                <w:color w:val="000000"/>
                <w:sz w:val="20"/>
                <w:szCs w:val="20"/>
              </w:rPr>
              <w:t>42</w:t>
            </w:r>
          </w:p>
        </w:tc>
        <w:tc>
          <w:tcPr>
            <w:tcW w:w="663" w:type="dxa"/>
            <w:tcBorders>
              <w:top w:val="nil"/>
              <w:left w:val="nil"/>
              <w:bottom w:val="nil"/>
              <w:right w:val="nil"/>
            </w:tcBorders>
            <w:noWrap/>
            <w:vAlign w:val="center"/>
          </w:tcPr>
          <w:p w14:paraId="7664A642" w14:textId="77777777" w:rsidR="00AB6753" w:rsidRPr="00F32D92" w:rsidRDefault="00AB6753" w:rsidP="002D1EA4">
            <w:pPr>
              <w:rPr>
                <w:rFonts w:cs="Arial"/>
                <w:sz w:val="20"/>
                <w:szCs w:val="20"/>
              </w:rPr>
            </w:pPr>
            <w:r w:rsidRPr="00F32D92">
              <w:rPr>
                <w:rFonts w:cs="Arial"/>
                <w:color w:val="000000"/>
                <w:sz w:val="20"/>
                <w:szCs w:val="20"/>
              </w:rPr>
              <w:t>1</w:t>
            </w:r>
          </w:p>
        </w:tc>
        <w:tc>
          <w:tcPr>
            <w:tcW w:w="883" w:type="dxa"/>
            <w:tcBorders>
              <w:top w:val="nil"/>
              <w:left w:val="nil"/>
              <w:bottom w:val="nil"/>
            </w:tcBorders>
            <w:noWrap/>
            <w:vAlign w:val="center"/>
          </w:tcPr>
          <w:p w14:paraId="0E4B2F1C" w14:textId="77777777" w:rsidR="00AB6753" w:rsidRPr="00F32D92" w:rsidRDefault="00AB6753" w:rsidP="002D1EA4">
            <w:pPr>
              <w:rPr>
                <w:rFonts w:cs="Arial"/>
                <w:sz w:val="20"/>
                <w:szCs w:val="20"/>
              </w:rPr>
            </w:pPr>
            <w:r w:rsidRPr="00F32D92">
              <w:rPr>
                <w:rFonts w:cs="Arial"/>
                <w:color w:val="000000"/>
                <w:sz w:val="20"/>
                <w:szCs w:val="20"/>
              </w:rPr>
              <w:t>43</w:t>
            </w:r>
          </w:p>
        </w:tc>
        <w:tc>
          <w:tcPr>
            <w:tcW w:w="896" w:type="dxa"/>
            <w:tcBorders>
              <w:top w:val="nil"/>
              <w:bottom w:val="nil"/>
              <w:right w:val="nil"/>
            </w:tcBorders>
            <w:noWrap/>
            <w:vAlign w:val="center"/>
          </w:tcPr>
          <w:p w14:paraId="755B05D5"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tcPr>
          <w:p w14:paraId="3FFBB337"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tcPr>
          <w:p w14:paraId="3617221E"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3084AA46" w14:textId="77777777" w:rsidR="00AB6753" w:rsidRPr="00F32D92" w:rsidRDefault="00AB6753" w:rsidP="002D1EA4">
            <w:pPr>
              <w:rPr>
                <w:rFonts w:cs="Arial"/>
                <w:sz w:val="20"/>
                <w:szCs w:val="20"/>
              </w:rPr>
            </w:pPr>
            <w:r w:rsidRPr="00F32D92">
              <w:rPr>
                <w:rFonts w:cs="Arial"/>
                <w:color w:val="000000"/>
                <w:sz w:val="20"/>
                <w:szCs w:val="20"/>
              </w:rPr>
              <w:t>74</w:t>
            </w:r>
          </w:p>
        </w:tc>
      </w:tr>
      <w:tr w:rsidR="00AB6753" w:rsidRPr="00F32D92" w14:paraId="318C84DE" w14:textId="77777777" w:rsidTr="002D1EA4">
        <w:trPr>
          <w:trHeight w:val="315"/>
          <w:jc w:val="center"/>
        </w:trPr>
        <w:tc>
          <w:tcPr>
            <w:tcW w:w="1696" w:type="dxa"/>
            <w:vAlign w:val="center"/>
          </w:tcPr>
          <w:p w14:paraId="44E8AEA0" w14:textId="77777777" w:rsidR="00AB6753" w:rsidRPr="00F32D92" w:rsidRDefault="00AB6753" w:rsidP="002D1EA4">
            <w:pPr>
              <w:rPr>
                <w:rFonts w:cs="Arial"/>
                <w:sz w:val="20"/>
                <w:szCs w:val="20"/>
              </w:rPr>
            </w:pPr>
            <w:r w:rsidRPr="00F32D92">
              <w:rPr>
                <w:rFonts w:cs="Arial"/>
                <w:sz w:val="20"/>
                <w:szCs w:val="20"/>
              </w:rPr>
              <w:t>APS 2</w:t>
            </w:r>
          </w:p>
        </w:tc>
        <w:tc>
          <w:tcPr>
            <w:tcW w:w="896" w:type="dxa"/>
            <w:tcBorders>
              <w:top w:val="nil"/>
              <w:bottom w:val="nil"/>
              <w:right w:val="nil"/>
            </w:tcBorders>
            <w:noWrap/>
            <w:vAlign w:val="center"/>
          </w:tcPr>
          <w:p w14:paraId="2D7FFA61" w14:textId="77777777" w:rsidR="00AB6753" w:rsidRPr="00F32D92" w:rsidRDefault="00AB6753" w:rsidP="002D1EA4">
            <w:pPr>
              <w:rPr>
                <w:rFonts w:cs="Arial"/>
                <w:sz w:val="20"/>
                <w:szCs w:val="20"/>
              </w:rPr>
            </w:pPr>
            <w:r w:rsidRPr="00F32D92">
              <w:rPr>
                <w:rFonts w:cs="Arial"/>
                <w:color w:val="000000"/>
                <w:sz w:val="20"/>
                <w:szCs w:val="20"/>
              </w:rPr>
              <w:t>3</w:t>
            </w:r>
          </w:p>
        </w:tc>
        <w:tc>
          <w:tcPr>
            <w:tcW w:w="668" w:type="dxa"/>
            <w:tcBorders>
              <w:top w:val="nil"/>
              <w:left w:val="nil"/>
              <w:bottom w:val="nil"/>
              <w:right w:val="nil"/>
            </w:tcBorders>
            <w:noWrap/>
            <w:vAlign w:val="center"/>
          </w:tcPr>
          <w:p w14:paraId="21B5354E" w14:textId="77777777" w:rsidR="00AB6753" w:rsidRPr="00F32D92" w:rsidRDefault="00AB6753" w:rsidP="002D1EA4">
            <w:pPr>
              <w:rPr>
                <w:rFonts w:cs="Arial"/>
                <w:sz w:val="20"/>
                <w:szCs w:val="20"/>
              </w:rPr>
            </w:pPr>
            <w:r w:rsidRPr="00F32D92">
              <w:rPr>
                <w:rFonts w:cs="Arial"/>
                <w:color w:val="000000"/>
                <w:sz w:val="20"/>
                <w:szCs w:val="20"/>
              </w:rPr>
              <w:t>1</w:t>
            </w:r>
          </w:p>
        </w:tc>
        <w:tc>
          <w:tcPr>
            <w:tcW w:w="709" w:type="dxa"/>
            <w:tcBorders>
              <w:top w:val="nil"/>
              <w:left w:val="nil"/>
              <w:bottom w:val="nil"/>
            </w:tcBorders>
            <w:noWrap/>
            <w:vAlign w:val="center"/>
          </w:tcPr>
          <w:p w14:paraId="3FCAB18D" w14:textId="77777777" w:rsidR="00AB6753" w:rsidRPr="00F32D92" w:rsidRDefault="00AB6753" w:rsidP="002D1EA4">
            <w:pPr>
              <w:rPr>
                <w:rFonts w:cs="Arial"/>
                <w:sz w:val="20"/>
                <w:szCs w:val="20"/>
              </w:rPr>
            </w:pPr>
            <w:r w:rsidRPr="00F32D92">
              <w:rPr>
                <w:rFonts w:cs="Arial"/>
                <w:color w:val="000000"/>
                <w:sz w:val="20"/>
                <w:szCs w:val="20"/>
              </w:rPr>
              <w:t>4</w:t>
            </w:r>
          </w:p>
        </w:tc>
        <w:tc>
          <w:tcPr>
            <w:tcW w:w="896" w:type="dxa"/>
            <w:tcBorders>
              <w:top w:val="nil"/>
              <w:bottom w:val="nil"/>
              <w:right w:val="nil"/>
            </w:tcBorders>
            <w:noWrap/>
            <w:vAlign w:val="center"/>
          </w:tcPr>
          <w:p w14:paraId="5E0A3B3F" w14:textId="77777777" w:rsidR="00AB6753" w:rsidRPr="00F32D92" w:rsidRDefault="00AB6753" w:rsidP="002D1EA4">
            <w:pPr>
              <w:rPr>
                <w:rFonts w:cs="Arial"/>
                <w:sz w:val="20"/>
                <w:szCs w:val="20"/>
              </w:rPr>
            </w:pPr>
            <w:r w:rsidRPr="00F32D92">
              <w:rPr>
                <w:rFonts w:cs="Arial"/>
                <w:color w:val="000000"/>
                <w:sz w:val="20"/>
                <w:szCs w:val="20"/>
              </w:rPr>
              <w:t>1</w:t>
            </w:r>
          </w:p>
        </w:tc>
        <w:tc>
          <w:tcPr>
            <w:tcW w:w="663" w:type="dxa"/>
            <w:tcBorders>
              <w:top w:val="nil"/>
              <w:left w:val="nil"/>
              <w:bottom w:val="nil"/>
              <w:right w:val="nil"/>
            </w:tcBorders>
            <w:noWrap/>
            <w:vAlign w:val="center"/>
          </w:tcPr>
          <w:p w14:paraId="498FD599" w14:textId="77777777" w:rsidR="00AB6753" w:rsidRPr="00F32D92" w:rsidRDefault="00AB6753" w:rsidP="002D1EA4">
            <w:pPr>
              <w:rPr>
                <w:rFonts w:cs="Arial"/>
                <w:sz w:val="20"/>
                <w:szCs w:val="20"/>
              </w:rPr>
            </w:pPr>
            <w:r w:rsidRPr="00F32D92">
              <w:rPr>
                <w:rFonts w:cs="Arial"/>
                <w:color w:val="000000"/>
                <w:sz w:val="20"/>
                <w:szCs w:val="20"/>
              </w:rPr>
              <w:t>1</w:t>
            </w:r>
          </w:p>
        </w:tc>
        <w:tc>
          <w:tcPr>
            <w:tcW w:w="883" w:type="dxa"/>
            <w:tcBorders>
              <w:top w:val="nil"/>
              <w:left w:val="nil"/>
              <w:bottom w:val="nil"/>
            </w:tcBorders>
            <w:noWrap/>
            <w:vAlign w:val="center"/>
          </w:tcPr>
          <w:p w14:paraId="2E023622" w14:textId="77777777" w:rsidR="00AB6753" w:rsidRPr="00F32D92" w:rsidRDefault="00AB6753" w:rsidP="002D1EA4">
            <w:pPr>
              <w:rPr>
                <w:rFonts w:cs="Arial"/>
                <w:sz w:val="20"/>
                <w:szCs w:val="20"/>
              </w:rPr>
            </w:pPr>
            <w:r w:rsidRPr="00F32D92">
              <w:rPr>
                <w:rFonts w:cs="Arial"/>
                <w:color w:val="000000"/>
                <w:sz w:val="20"/>
                <w:szCs w:val="20"/>
              </w:rPr>
              <w:t>2</w:t>
            </w:r>
          </w:p>
        </w:tc>
        <w:tc>
          <w:tcPr>
            <w:tcW w:w="896" w:type="dxa"/>
            <w:tcBorders>
              <w:top w:val="nil"/>
              <w:bottom w:val="nil"/>
              <w:right w:val="nil"/>
            </w:tcBorders>
            <w:noWrap/>
            <w:vAlign w:val="center"/>
          </w:tcPr>
          <w:p w14:paraId="25E3913E"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tcPr>
          <w:p w14:paraId="2647B7AA"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tcPr>
          <w:p w14:paraId="285DBAD1"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2ED4B766" w14:textId="77777777" w:rsidR="00AB6753" w:rsidRPr="00F32D92" w:rsidRDefault="00AB6753" w:rsidP="002D1EA4">
            <w:pPr>
              <w:rPr>
                <w:rFonts w:cs="Arial"/>
                <w:sz w:val="20"/>
                <w:szCs w:val="20"/>
              </w:rPr>
            </w:pPr>
            <w:r w:rsidRPr="00F32D92">
              <w:rPr>
                <w:rFonts w:cs="Arial"/>
                <w:color w:val="000000"/>
                <w:sz w:val="20"/>
                <w:szCs w:val="20"/>
              </w:rPr>
              <w:t>6</w:t>
            </w:r>
          </w:p>
        </w:tc>
      </w:tr>
      <w:tr w:rsidR="00AB6753" w:rsidRPr="00F32D92" w14:paraId="70694BB0" w14:textId="77777777" w:rsidTr="002D1EA4">
        <w:trPr>
          <w:trHeight w:val="315"/>
          <w:jc w:val="center"/>
        </w:trPr>
        <w:tc>
          <w:tcPr>
            <w:tcW w:w="1696" w:type="dxa"/>
            <w:vAlign w:val="center"/>
          </w:tcPr>
          <w:p w14:paraId="76D2170E" w14:textId="77777777" w:rsidR="00AB6753" w:rsidRPr="00F32D92" w:rsidRDefault="00AB6753" w:rsidP="002D1EA4">
            <w:pPr>
              <w:rPr>
                <w:rFonts w:cs="Arial"/>
                <w:sz w:val="20"/>
                <w:szCs w:val="20"/>
              </w:rPr>
            </w:pPr>
            <w:r w:rsidRPr="00F32D92">
              <w:rPr>
                <w:rFonts w:cs="Arial"/>
                <w:sz w:val="20"/>
                <w:szCs w:val="20"/>
              </w:rPr>
              <w:t>APS 1</w:t>
            </w:r>
          </w:p>
        </w:tc>
        <w:tc>
          <w:tcPr>
            <w:tcW w:w="896" w:type="dxa"/>
            <w:tcBorders>
              <w:top w:val="nil"/>
              <w:bottom w:val="nil"/>
              <w:right w:val="nil"/>
            </w:tcBorders>
            <w:noWrap/>
            <w:vAlign w:val="center"/>
          </w:tcPr>
          <w:p w14:paraId="74CB6F31" w14:textId="77777777" w:rsidR="00AB6753" w:rsidRPr="00F32D92" w:rsidRDefault="00AB6753" w:rsidP="002D1EA4">
            <w:pPr>
              <w:rPr>
                <w:rFonts w:cs="Arial"/>
                <w:sz w:val="20"/>
                <w:szCs w:val="20"/>
              </w:rPr>
            </w:pPr>
            <w:r>
              <w:rPr>
                <w:rFonts w:cs="Arial"/>
                <w:color w:val="000000"/>
                <w:sz w:val="20"/>
                <w:szCs w:val="20"/>
              </w:rPr>
              <w:t>0</w:t>
            </w:r>
          </w:p>
        </w:tc>
        <w:tc>
          <w:tcPr>
            <w:tcW w:w="668" w:type="dxa"/>
            <w:tcBorders>
              <w:top w:val="nil"/>
              <w:left w:val="nil"/>
              <w:bottom w:val="nil"/>
              <w:right w:val="nil"/>
            </w:tcBorders>
            <w:noWrap/>
            <w:vAlign w:val="center"/>
          </w:tcPr>
          <w:p w14:paraId="3B75956D" w14:textId="77777777" w:rsidR="00AB6753" w:rsidRPr="00F32D92" w:rsidRDefault="00AB6753" w:rsidP="002D1EA4">
            <w:pPr>
              <w:rPr>
                <w:rFonts w:cs="Arial"/>
                <w:sz w:val="20"/>
                <w:szCs w:val="20"/>
              </w:rPr>
            </w:pPr>
            <w:r>
              <w:rPr>
                <w:rFonts w:cs="Arial"/>
                <w:color w:val="000000"/>
                <w:sz w:val="20"/>
                <w:szCs w:val="20"/>
              </w:rPr>
              <w:t>3</w:t>
            </w:r>
          </w:p>
        </w:tc>
        <w:tc>
          <w:tcPr>
            <w:tcW w:w="709" w:type="dxa"/>
            <w:tcBorders>
              <w:top w:val="nil"/>
              <w:left w:val="nil"/>
              <w:bottom w:val="nil"/>
            </w:tcBorders>
            <w:noWrap/>
            <w:vAlign w:val="center"/>
          </w:tcPr>
          <w:p w14:paraId="28F23C5C" w14:textId="77777777" w:rsidR="00AB6753" w:rsidRPr="00F32D92" w:rsidRDefault="00AB6753" w:rsidP="002D1EA4">
            <w:pPr>
              <w:rPr>
                <w:rFonts w:cs="Arial"/>
                <w:sz w:val="20"/>
                <w:szCs w:val="20"/>
              </w:rPr>
            </w:pPr>
            <w:r>
              <w:rPr>
                <w:rFonts w:cs="Arial"/>
                <w:color w:val="000000"/>
                <w:sz w:val="20"/>
                <w:szCs w:val="20"/>
              </w:rPr>
              <w:t>3</w:t>
            </w:r>
          </w:p>
        </w:tc>
        <w:tc>
          <w:tcPr>
            <w:tcW w:w="896" w:type="dxa"/>
            <w:tcBorders>
              <w:top w:val="nil"/>
              <w:bottom w:val="nil"/>
              <w:right w:val="nil"/>
            </w:tcBorders>
            <w:noWrap/>
            <w:vAlign w:val="center"/>
          </w:tcPr>
          <w:p w14:paraId="70024D04" w14:textId="77777777" w:rsidR="00AB6753" w:rsidRPr="00F32D92" w:rsidRDefault="00AB6753" w:rsidP="002D1EA4">
            <w:pPr>
              <w:rPr>
                <w:rFonts w:cs="Arial"/>
                <w:sz w:val="20"/>
                <w:szCs w:val="20"/>
              </w:rPr>
            </w:pPr>
            <w:r>
              <w:rPr>
                <w:rFonts w:cs="Arial"/>
                <w:color w:val="000000"/>
                <w:sz w:val="20"/>
                <w:szCs w:val="20"/>
              </w:rPr>
              <w:t>0</w:t>
            </w:r>
          </w:p>
        </w:tc>
        <w:tc>
          <w:tcPr>
            <w:tcW w:w="663" w:type="dxa"/>
            <w:tcBorders>
              <w:top w:val="nil"/>
              <w:left w:val="nil"/>
              <w:bottom w:val="nil"/>
              <w:right w:val="nil"/>
            </w:tcBorders>
            <w:noWrap/>
            <w:vAlign w:val="center"/>
          </w:tcPr>
          <w:p w14:paraId="23518A1E" w14:textId="77777777" w:rsidR="00AB6753" w:rsidRPr="00F32D92" w:rsidRDefault="00AB6753" w:rsidP="002D1EA4">
            <w:pPr>
              <w:rPr>
                <w:rFonts w:cs="Arial"/>
                <w:sz w:val="20"/>
                <w:szCs w:val="20"/>
              </w:rPr>
            </w:pPr>
            <w:r>
              <w:rPr>
                <w:rFonts w:cs="Arial"/>
                <w:color w:val="000000"/>
                <w:sz w:val="20"/>
                <w:szCs w:val="20"/>
              </w:rPr>
              <w:t>2</w:t>
            </w:r>
          </w:p>
        </w:tc>
        <w:tc>
          <w:tcPr>
            <w:tcW w:w="883" w:type="dxa"/>
            <w:tcBorders>
              <w:top w:val="nil"/>
              <w:left w:val="nil"/>
              <w:bottom w:val="nil"/>
            </w:tcBorders>
            <w:noWrap/>
            <w:vAlign w:val="center"/>
          </w:tcPr>
          <w:p w14:paraId="0A2C5786" w14:textId="77777777" w:rsidR="00AB6753" w:rsidRPr="00F32D92" w:rsidRDefault="00AB6753" w:rsidP="002D1EA4">
            <w:pPr>
              <w:rPr>
                <w:rFonts w:cs="Arial"/>
                <w:sz w:val="20"/>
                <w:szCs w:val="20"/>
              </w:rPr>
            </w:pPr>
            <w:r>
              <w:rPr>
                <w:rFonts w:cs="Arial"/>
                <w:color w:val="000000"/>
                <w:sz w:val="20"/>
                <w:szCs w:val="20"/>
              </w:rPr>
              <w:t>2</w:t>
            </w:r>
          </w:p>
        </w:tc>
        <w:tc>
          <w:tcPr>
            <w:tcW w:w="896" w:type="dxa"/>
            <w:tcBorders>
              <w:top w:val="nil"/>
              <w:bottom w:val="nil"/>
              <w:right w:val="nil"/>
            </w:tcBorders>
            <w:noWrap/>
            <w:vAlign w:val="center"/>
          </w:tcPr>
          <w:p w14:paraId="6226731D" w14:textId="77777777" w:rsidR="00AB6753" w:rsidRPr="00F32D92" w:rsidRDefault="00AB6753" w:rsidP="002D1EA4">
            <w:pPr>
              <w:rPr>
                <w:rFonts w:cs="Arial"/>
                <w:sz w:val="20"/>
                <w:szCs w:val="20"/>
              </w:rPr>
            </w:pPr>
            <w:r>
              <w:rPr>
                <w:rFonts w:cs="Arial"/>
                <w:sz w:val="20"/>
                <w:szCs w:val="20"/>
              </w:rPr>
              <w:t>-</w:t>
            </w:r>
          </w:p>
        </w:tc>
        <w:tc>
          <w:tcPr>
            <w:tcW w:w="650" w:type="dxa"/>
            <w:tcBorders>
              <w:top w:val="nil"/>
              <w:left w:val="nil"/>
              <w:bottom w:val="nil"/>
              <w:right w:val="nil"/>
            </w:tcBorders>
            <w:noWrap/>
            <w:vAlign w:val="center"/>
          </w:tcPr>
          <w:p w14:paraId="781B0BA7" w14:textId="77777777" w:rsidR="00AB6753" w:rsidRPr="00F32D92" w:rsidRDefault="00AB6753" w:rsidP="002D1EA4">
            <w:pPr>
              <w:rPr>
                <w:rFonts w:cs="Arial"/>
                <w:sz w:val="20"/>
                <w:szCs w:val="20"/>
              </w:rPr>
            </w:pPr>
            <w:r>
              <w:rPr>
                <w:rFonts w:cs="Arial"/>
                <w:sz w:val="20"/>
                <w:szCs w:val="20"/>
              </w:rPr>
              <w:t>-</w:t>
            </w:r>
          </w:p>
        </w:tc>
        <w:tc>
          <w:tcPr>
            <w:tcW w:w="1439" w:type="dxa"/>
            <w:tcBorders>
              <w:top w:val="nil"/>
              <w:left w:val="nil"/>
              <w:bottom w:val="nil"/>
            </w:tcBorders>
            <w:noWrap/>
            <w:vAlign w:val="center"/>
          </w:tcPr>
          <w:p w14:paraId="409B09FE" w14:textId="77777777" w:rsidR="00AB6753" w:rsidRPr="00F32D92" w:rsidRDefault="00AB6753" w:rsidP="002D1EA4">
            <w:pPr>
              <w:rPr>
                <w:rFonts w:cs="Arial"/>
                <w:sz w:val="20"/>
                <w:szCs w:val="20"/>
              </w:rPr>
            </w:pPr>
            <w:r>
              <w:rPr>
                <w:rFonts w:cs="Arial"/>
                <w:sz w:val="20"/>
                <w:szCs w:val="20"/>
              </w:rPr>
              <w:t>-</w:t>
            </w:r>
          </w:p>
        </w:tc>
        <w:tc>
          <w:tcPr>
            <w:tcW w:w="661" w:type="dxa"/>
            <w:vAlign w:val="center"/>
          </w:tcPr>
          <w:p w14:paraId="16DB26B9" w14:textId="77777777" w:rsidR="00AB6753" w:rsidRPr="00F32D92" w:rsidRDefault="00AB6753" w:rsidP="002D1EA4">
            <w:pPr>
              <w:rPr>
                <w:rFonts w:cs="Arial"/>
                <w:sz w:val="20"/>
                <w:szCs w:val="20"/>
              </w:rPr>
            </w:pPr>
            <w:r>
              <w:rPr>
                <w:rFonts w:cs="Arial"/>
                <w:color w:val="000000"/>
                <w:sz w:val="20"/>
                <w:szCs w:val="20"/>
              </w:rPr>
              <w:t>5</w:t>
            </w:r>
          </w:p>
        </w:tc>
      </w:tr>
      <w:tr w:rsidR="00AB6753" w:rsidRPr="00F32D92" w14:paraId="111F45BC" w14:textId="77777777" w:rsidTr="002D1EA4">
        <w:trPr>
          <w:trHeight w:val="315"/>
          <w:jc w:val="center"/>
        </w:trPr>
        <w:tc>
          <w:tcPr>
            <w:tcW w:w="1696" w:type="dxa"/>
            <w:vAlign w:val="center"/>
          </w:tcPr>
          <w:p w14:paraId="12899FE4" w14:textId="77777777" w:rsidR="00AB6753" w:rsidRPr="00F32D92" w:rsidRDefault="00AB6753" w:rsidP="002D1EA4">
            <w:pPr>
              <w:rPr>
                <w:rFonts w:cs="Arial"/>
                <w:sz w:val="20"/>
                <w:szCs w:val="20"/>
              </w:rPr>
            </w:pPr>
            <w:r w:rsidRPr="00F32D92">
              <w:rPr>
                <w:rFonts w:cs="Arial"/>
                <w:sz w:val="20"/>
                <w:szCs w:val="20"/>
              </w:rPr>
              <w:t>Other</w:t>
            </w:r>
          </w:p>
        </w:tc>
        <w:tc>
          <w:tcPr>
            <w:tcW w:w="896" w:type="dxa"/>
            <w:tcBorders>
              <w:top w:val="nil"/>
              <w:bottom w:val="nil"/>
              <w:right w:val="nil"/>
            </w:tcBorders>
            <w:noWrap/>
            <w:vAlign w:val="center"/>
          </w:tcPr>
          <w:p w14:paraId="44C7B888" w14:textId="77777777" w:rsidR="00AB6753" w:rsidRPr="00F32D92" w:rsidRDefault="00AB6753" w:rsidP="002D1EA4">
            <w:pPr>
              <w:rPr>
                <w:rFonts w:cs="Arial"/>
                <w:sz w:val="20"/>
                <w:szCs w:val="20"/>
              </w:rPr>
            </w:pPr>
            <w:r w:rsidRPr="00F32D92">
              <w:rPr>
                <w:rFonts w:cs="Arial"/>
                <w:sz w:val="20"/>
                <w:szCs w:val="20"/>
              </w:rPr>
              <w:t>0</w:t>
            </w:r>
          </w:p>
        </w:tc>
        <w:tc>
          <w:tcPr>
            <w:tcW w:w="668" w:type="dxa"/>
            <w:tcBorders>
              <w:top w:val="nil"/>
              <w:left w:val="nil"/>
              <w:bottom w:val="nil"/>
              <w:right w:val="nil"/>
            </w:tcBorders>
            <w:noWrap/>
            <w:vAlign w:val="center"/>
          </w:tcPr>
          <w:p w14:paraId="3CFF16EB" w14:textId="77777777" w:rsidR="00AB6753" w:rsidRPr="00F32D92" w:rsidRDefault="00AB6753" w:rsidP="002D1EA4">
            <w:pPr>
              <w:rPr>
                <w:rFonts w:cs="Arial"/>
                <w:sz w:val="20"/>
                <w:szCs w:val="20"/>
              </w:rPr>
            </w:pPr>
            <w:r w:rsidRPr="00F32D92">
              <w:rPr>
                <w:rFonts w:cs="Arial"/>
                <w:sz w:val="20"/>
                <w:szCs w:val="20"/>
              </w:rPr>
              <w:t>0</w:t>
            </w:r>
          </w:p>
        </w:tc>
        <w:tc>
          <w:tcPr>
            <w:tcW w:w="709" w:type="dxa"/>
            <w:tcBorders>
              <w:top w:val="nil"/>
              <w:left w:val="nil"/>
              <w:bottom w:val="nil"/>
            </w:tcBorders>
            <w:noWrap/>
            <w:vAlign w:val="center"/>
          </w:tcPr>
          <w:p w14:paraId="211F0339" w14:textId="77777777" w:rsidR="00AB6753" w:rsidRPr="00F32D92" w:rsidRDefault="00AB6753" w:rsidP="002D1EA4">
            <w:pPr>
              <w:rPr>
                <w:rFonts w:cs="Arial"/>
                <w:sz w:val="20"/>
                <w:szCs w:val="20"/>
              </w:rPr>
            </w:pPr>
            <w:r w:rsidRPr="00F32D92">
              <w:rPr>
                <w:rFonts w:cs="Arial"/>
                <w:sz w:val="20"/>
                <w:szCs w:val="20"/>
              </w:rPr>
              <w:t>0</w:t>
            </w:r>
          </w:p>
        </w:tc>
        <w:tc>
          <w:tcPr>
            <w:tcW w:w="896" w:type="dxa"/>
            <w:tcBorders>
              <w:top w:val="nil"/>
              <w:bottom w:val="nil"/>
              <w:right w:val="nil"/>
            </w:tcBorders>
            <w:noWrap/>
            <w:vAlign w:val="center"/>
          </w:tcPr>
          <w:p w14:paraId="3DCB70FB" w14:textId="77777777" w:rsidR="00AB6753" w:rsidRPr="00F32D92" w:rsidRDefault="00AB6753" w:rsidP="002D1EA4">
            <w:pPr>
              <w:rPr>
                <w:rFonts w:cs="Arial"/>
                <w:sz w:val="20"/>
                <w:szCs w:val="20"/>
              </w:rPr>
            </w:pPr>
            <w:r w:rsidRPr="00F32D92">
              <w:rPr>
                <w:rFonts w:cs="Arial"/>
                <w:sz w:val="20"/>
                <w:szCs w:val="20"/>
              </w:rPr>
              <w:t>0</w:t>
            </w:r>
          </w:p>
        </w:tc>
        <w:tc>
          <w:tcPr>
            <w:tcW w:w="663" w:type="dxa"/>
            <w:tcBorders>
              <w:top w:val="nil"/>
              <w:left w:val="nil"/>
              <w:bottom w:val="nil"/>
              <w:right w:val="nil"/>
            </w:tcBorders>
            <w:noWrap/>
            <w:vAlign w:val="center"/>
          </w:tcPr>
          <w:p w14:paraId="40BA2DC4" w14:textId="77777777" w:rsidR="00AB6753" w:rsidRPr="00F32D92" w:rsidRDefault="00AB6753" w:rsidP="002D1EA4">
            <w:pPr>
              <w:rPr>
                <w:rFonts w:cs="Arial"/>
                <w:sz w:val="20"/>
                <w:szCs w:val="20"/>
              </w:rPr>
            </w:pPr>
            <w:r w:rsidRPr="00F32D92">
              <w:rPr>
                <w:rFonts w:cs="Arial"/>
                <w:sz w:val="20"/>
                <w:szCs w:val="20"/>
              </w:rPr>
              <w:t>0</w:t>
            </w:r>
          </w:p>
        </w:tc>
        <w:tc>
          <w:tcPr>
            <w:tcW w:w="883" w:type="dxa"/>
            <w:tcBorders>
              <w:top w:val="nil"/>
              <w:left w:val="nil"/>
              <w:bottom w:val="nil"/>
            </w:tcBorders>
            <w:noWrap/>
            <w:vAlign w:val="center"/>
          </w:tcPr>
          <w:p w14:paraId="417A9736" w14:textId="77777777" w:rsidR="00AB6753" w:rsidRPr="00F32D92" w:rsidRDefault="00AB6753" w:rsidP="002D1EA4">
            <w:pPr>
              <w:rPr>
                <w:rFonts w:cs="Arial"/>
                <w:sz w:val="20"/>
                <w:szCs w:val="20"/>
              </w:rPr>
            </w:pPr>
            <w:r w:rsidRPr="00F32D92">
              <w:rPr>
                <w:rFonts w:cs="Arial"/>
                <w:sz w:val="20"/>
                <w:szCs w:val="20"/>
              </w:rPr>
              <w:t>0</w:t>
            </w:r>
          </w:p>
        </w:tc>
        <w:tc>
          <w:tcPr>
            <w:tcW w:w="896" w:type="dxa"/>
            <w:tcBorders>
              <w:top w:val="nil"/>
              <w:bottom w:val="nil"/>
              <w:right w:val="nil"/>
            </w:tcBorders>
            <w:noWrap/>
            <w:vAlign w:val="center"/>
          </w:tcPr>
          <w:p w14:paraId="1707D8BF"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bottom w:val="nil"/>
              <w:right w:val="nil"/>
            </w:tcBorders>
            <w:noWrap/>
            <w:vAlign w:val="center"/>
          </w:tcPr>
          <w:p w14:paraId="2312E0F8"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bottom w:val="nil"/>
            </w:tcBorders>
            <w:noWrap/>
            <w:vAlign w:val="center"/>
          </w:tcPr>
          <w:p w14:paraId="264D4BCF"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7E620323"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32AAC106" w14:textId="77777777" w:rsidTr="002D1EA4">
        <w:trPr>
          <w:trHeight w:val="315"/>
          <w:jc w:val="center"/>
        </w:trPr>
        <w:tc>
          <w:tcPr>
            <w:tcW w:w="1696" w:type="dxa"/>
            <w:vAlign w:val="center"/>
          </w:tcPr>
          <w:p w14:paraId="77C3060D" w14:textId="77777777" w:rsidR="00AB6753" w:rsidRPr="00F32D92" w:rsidRDefault="00AB6753" w:rsidP="002D1EA4">
            <w:pPr>
              <w:rPr>
                <w:rFonts w:cs="Arial"/>
                <w:sz w:val="20"/>
                <w:szCs w:val="20"/>
              </w:rPr>
            </w:pPr>
            <w:r w:rsidRPr="00F32D92">
              <w:rPr>
                <w:rFonts w:cs="Arial"/>
                <w:sz w:val="20"/>
                <w:szCs w:val="20"/>
              </w:rPr>
              <w:t>Total</w:t>
            </w:r>
          </w:p>
        </w:tc>
        <w:tc>
          <w:tcPr>
            <w:tcW w:w="896" w:type="dxa"/>
            <w:tcBorders>
              <w:top w:val="nil"/>
              <w:right w:val="nil"/>
            </w:tcBorders>
            <w:noWrap/>
            <w:vAlign w:val="center"/>
          </w:tcPr>
          <w:p w14:paraId="0FCC08E0" w14:textId="77777777" w:rsidR="00AB6753" w:rsidRPr="00F32D92" w:rsidRDefault="00AB6753" w:rsidP="002D1EA4">
            <w:pPr>
              <w:rPr>
                <w:rFonts w:cs="Arial"/>
                <w:sz w:val="20"/>
                <w:szCs w:val="20"/>
              </w:rPr>
            </w:pPr>
            <w:r w:rsidRPr="00F32D92">
              <w:rPr>
                <w:rFonts w:cs="Arial"/>
                <w:b/>
                <w:bCs/>
                <w:color w:val="000000"/>
                <w:sz w:val="20"/>
                <w:szCs w:val="20"/>
              </w:rPr>
              <w:t>751</w:t>
            </w:r>
          </w:p>
        </w:tc>
        <w:tc>
          <w:tcPr>
            <w:tcW w:w="668" w:type="dxa"/>
            <w:tcBorders>
              <w:top w:val="nil"/>
              <w:left w:val="nil"/>
              <w:right w:val="nil"/>
            </w:tcBorders>
            <w:noWrap/>
            <w:vAlign w:val="center"/>
          </w:tcPr>
          <w:p w14:paraId="217D3F6F" w14:textId="77777777" w:rsidR="00AB6753" w:rsidRPr="00F32D92" w:rsidRDefault="00AB6753" w:rsidP="002D1EA4">
            <w:pPr>
              <w:rPr>
                <w:rFonts w:cs="Arial"/>
                <w:sz w:val="20"/>
                <w:szCs w:val="20"/>
              </w:rPr>
            </w:pPr>
            <w:r w:rsidRPr="00F32D92">
              <w:rPr>
                <w:rFonts w:cs="Arial"/>
                <w:b/>
                <w:bCs/>
                <w:color w:val="000000"/>
                <w:sz w:val="20"/>
                <w:szCs w:val="20"/>
              </w:rPr>
              <w:t>4</w:t>
            </w:r>
            <w:r>
              <w:rPr>
                <w:rFonts w:cs="Arial"/>
                <w:b/>
                <w:bCs/>
                <w:color w:val="000000"/>
                <w:sz w:val="20"/>
                <w:szCs w:val="20"/>
              </w:rPr>
              <w:t>9</w:t>
            </w:r>
          </w:p>
        </w:tc>
        <w:tc>
          <w:tcPr>
            <w:tcW w:w="709" w:type="dxa"/>
            <w:tcBorders>
              <w:top w:val="nil"/>
              <w:left w:val="nil"/>
            </w:tcBorders>
            <w:noWrap/>
            <w:vAlign w:val="center"/>
          </w:tcPr>
          <w:p w14:paraId="5CF758CB" w14:textId="77777777" w:rsidR="00AB6753" w:rsidRPr="00F32D92" w:rsidRDefault="00AB6753" w:rsidP="002D1EA4">
            <w:pPr>
              <w:rPr>
                <w:rFonts w:cs="Arial"/>
                <w:sz w:val="20"/>
                <w:szCs w:val="20"/>
              </w:rPr>
            </w:pPr>
            <w:r>
              <w:rPr>
                <w:rFonts w:cs="Arial"/>
                <w:b/>
                <w:bCs/>
                <w:color w:val="000000"/>
                <w:sz w:val="20"/>
                <w:szCs w:val="20"/>
              </w:rPr>
              <w:t>800</w:t>
            </w:r>
          </w:p>
        </w:tc>
        <w:tc>
          <w:tcPr>
            <w:tcW w:w="896" w:type="dxa"/>
            <w:tcBorders>
              <w:top w:val="nil"/>
              <w:right w:val="nil"/>
            </w:tcBorders>
            <w:noWrap/>
            <w:vAlign w:val="center"/>
          </w:tcPr>
          <w:p w14:paraId="18164AED" w14:textId="77777777" w:rsidR="00AB6753" w:rsidRPr="00F32D92" w:rsidRDefault="00AB6753" w:rsidP="002D1EA4">
            <w:pPr>
              <w:rPr>
                <w:rFonts w:cs="Arial"/>
                <w:sz w:val="20"/>
                <w:szCs w:val="20"/>
              </w:rPr>
            </w:pPr>
            <w:r w:rsidRPr="00F32D92">
              <w:rPr>
                <w:rFonts w:cs="Arial"/>
                <w:b/>
                <w:bCs/>
                <w:color w:val="000000"/>
                <w:sz w:val="20"/>
                <w:szCs w:val="20"/>
              </w:rPr>
              <w:t>1</w:t>
            </w:r>
            <w:r>
              <w:rPr>
                <w:rFonts w:cs="Arial"/>
                <w:b/>
                <w:bCs/>
                <w:color w:val="000000"/>
                <w:sz w:val="20"/>
                <w:szCs w:val="20"/>
              </w:rPr>
              <w:t>,</w:t>
            </w:r>
            <w:r w:rsidRPr="00F32D92">
              <w:rPr>
                <w:rFonts w:cs="Arial"/>
                <w:b/>
                <w:bCs/>
                <w:color w:val="000000"/>
                <w:sz w:val="20"/>
                <w:szCs w:val="20"/>
              </w:rPr>
              <w:t>287</w:t>
            </w:r>
          </w:p>
        </w:tc>
        <w:tc>
          <w:tcPr>
            <w:tcW w:w="663" w:type="dxa"/>
            <w:tcBorders>
              <w:top w:val="nil"/>
              <w:left w:val="nil"/>
              <w:right w:val="nil"/>
            </w:tcBorders>
            <w:noWrap/>
            <w:vAlign w:val="center"/>
          </w:tcPr>
          <w:p w14:paraId="2A451E25" w14:textId="77777777" w:rsidR="00AB6753" w:rsidRPr="00F32D92" w:rsidRDefault="00AB6753" w:rsidP="002D1EA4">
            <w:pPr>
              <w:rPr>
                <w:rFonts w:cs="Arial"/>
                <w:sz w:val="20"/>
                <w:szCs w:val="20"/>
              </w:rPr>
            </w:pPr>
            <w:r w:rsidRPr="00F32D92">
              <w:rPr>
                <w:rFonts w:cs="Arial"/>
                <w:b/>
                <w:bCs/>
                <w:color w:val="000000"/>
                <w:sz w:val="20"/>
                <w:szCs w:val="20"/>
              </w:rPr>
              <w:t>43</w:t>
            </w:r>
            <w:r>
              <w:rPr>
                <w:rFonts w:cs="Arial"/>
                <w:b/>
                <w:bCs/>
                <w:color w:val="000000"/>
                <w:sz w:val="20"/>
                <w:szCs w:val="20"/>
              </w:rPr>
              <w:t>3</w:t>
            </w:r>
          </w:p>
        </w:tc>
        <w:tc>
          <w:tcPr>
            <w:tcW w:w="883" w:type="dxa"/>
            <w:tcBorders>
              <w:top w:val="nil"/>
              <w:left w:val="nil"/>
            </w:tcBorders>
            <w:noWrap/>
            <w:vAlign w:val="center"/>
          </w:tcPr>
          <w:p w14:paraId="38A24630" w14:textId="77777777" w:rsidR="00AB6753" w:rsidRPr="00F32D92" w:rsidRDefault="00AB6753" w:rsidP="002D1EA4">
            <w:pPr>
              <w:rPr>
                <w:rFonts w:cs="Arial"/>
                <w:sz w:val="20"/>
                <w:szCs w:val="20"/>
              </w:rPr>
            </w:pPr>
            <w:r w:rsidRPr="00F32D92">
              <w:rPr>
                <w:rFonts w:cs="Arial"/>
                <w:b/>
                <w:bCs/>
                <w:color w:val="000000"/>
                <w:sz w:val="20"/>
                <w:szCs w:val="20"/>
              </w:rPr>
              <w:t>1</w:t>
            </w:r>
            <w:r>
              <w:rPr>
                <w:rFonts w:cs="Arial"/>
                <w:b/>
                <w:bCs/>
                <w:color w:val="000000"/>
                <w:sz w:val="20"/>
                <w:szCs w:val="20"/>
              </w:rPr>
              <w:t>,</w:t>
            </w:r>
            <w:r w:rsidRPr="00F32D92">
              <w:rPr>
                <w:rFonts w:cs="Arial"/>
                <w:b/>
                <w:bCs/>
                <w:color w:val="000000"/>
                <w:sz w:val="20"/>
                <w:szCs w:val="20"/>
              </w:rPr>
              <w:t>7</w:t>
            </w:r>
            <w:r>
              <w:rPr>
                <w:rFonts w:cs="Arial"/>
                <w:b/>
                <w:bCs/>
                <w:color w:val="000000"/>
                <w:sz w:val="20"/>
                <w:szCs w:val="20"/>
              </w:rPr>
              <w:t>20</w:t>
            </w:r>
          </w:p>
        </w:tc>
        <w:tc>
          <w:tcPr>
            <w:tcW w:w="896" w:type="dxa"/>
            <w:tcBorders>
              <w:top w:val="nil"/>
              <w:right w:val="nil"/>
            </w:tcBorders>
            <w:noWrap/>
            <w:vAlign w:val="center"/>
          </w:tcPr>
          <w:p w14:paraId="446B639F" w14:textId="77777777" w:rsidR="00AB6753" w:rsidRPr="00F32D92" w:rsidRDefault="00AB6753" w:rsidP="002D1EA4">
            <w:pPr>
              <w:rPr>
                <w:rFonts w:cs="Arial"/>
                <w:sz w:val="20"/>
                <w:szCs w:val="20"/>
              </w:rPr>
            </w:pPr>
            <w:r w:rsidRPr="00F32D92">
              <w:rPr>
                <w:rFonts w:cs="Arial"/>
                <w:sz w:val="20"/>
                <w:szCs w:val="20"/>
              </w:rPr>
              <w:t>-</w:t>
            </w:r>
          </w:p>
        </w:tc>
        <w:tc>
          <w:tcPr>
            <w:tcW w:w="650" w:type="dxa"/>
            <w:tcBorders>
              <w:top w:val="nil"/>
              <w:left w:val="nil"/>
              <w:right w:val="nil"/>
            </w:tcBorders>
            <w:noWrap/>
            <w:vAlign w:val="center"/>
          </w:tcPr>
          <w:p w14:paraId="66D9AFD7" w14:textId="77777777" w:rsidR="00AB6753" w:rsidRPr="00F32D92" w:rsidRDefault="00AB6753" w:rsidP="002D1EA4">
            <w:pPr>
              <w:rPr>
                <w:rFonts w:cs="Arial"/>
                <w:sz w:val="20"/>
                <w:szCs w:val="20"/>
              </w:rPr>
            </w:pPr>
            <w:r w:rsidRPr="00F32D92">
              <w:rPr>
                <w:rFonts w:cs="Arial"/>
                <w:sz w:val="20"/>
                <w:szCs w:val="20"/>
              </w:rPr>
              <w:t>-</w:t>
            </w:r>
          </w:p>
        </w:tc>
        <w:tc>
          <w:tcPr>
            <w:tcW w:w="1439" w:type="dxa"/>
            <w:tcBorders>
              <w:top w:val="nil"/>
              <w:left w:val="nil"/>
            </w:tcBorders>
            <w:noWrap/>
            <w:vAlign w:val="center"/>
          </w:tcPr>
          <w:p w14:paraId="483BA638" w14:textId="77777777" w:rsidR="00AB6753" w:rsidRPr="00F32D92" w:rsidRDefault="00AB6753" w:rsidP="002D1EA4">
            <w:pPr>
              <w:rPr>
                <w:rFonts w:cs="Arial"/>
                <w:sz w:val="20"/>
                <w:szCs w:val="20"/>
              </w:rPr>
            </w:pPr>
            <w:r w:rsidRPr="00F32D92">
              <w:rPr>
                <w:rFonts w:cs="Arial"/>
                <w:sz w:val="20"/>
                <w:szCs w:val="20"/>
              </w:rPr>
              <w:t>-</w:t>
            </w:r>
          </w:p>
        </w:tc>
        <w:tc>
          <w:tcPr>
            <w:tcW w:w="661" w:type="dxa"/>
            <w:vAlign w:val="center"/>
          </w:tcPr>
          <w:p w14:paraId="33648763" w14:textId="77777777" w:rsidR="00AB6753" w:rsidRPr="00F32D92" w:rsidRDefault="00AB6753" w:rsidP="002D1EA4">
            <w:pPr>
              <w:rPr>
                <w:rFonts w:cs="Arial"/>
                <w:b/>
                <w:bCs/>
                <w:color w:val="000000"/>
                <w:sz w:val="20"/>
                <w:szCs w:val="20"/>
              </w:rPr>
            </w:pPr>
            <w:r w:rsidRPr="00F32D92">
              <w:rPr>
                <w:rFonts w:cs="Arial"/>
                <w:b/>
                <w:bCs/>
                <w:color w:val="000000"/>
                <w:sz w:val="20"/>
                <w:szCs w:val="20"/>
              </w:rPr>
              <w:t>2</w:t>
            </w:r>
            <w:r>
              <w:rPr>
                <w:rFonts w:cs="Arial"/>
                <w:b/>
                <w:bCs/>
                <w:color w:val="000000"/>
                <w:sz w:val="20"/>
                <w:szCs w:val="20"/>
              </w:rPr>
              <w:t>,</w:t>
            </w:r>
            <w:r w:rsidRPr="00F32D92">
              <w:rPr>
                <w:rFonts w:cs="Arial"/>
                <w:b/>
                <w:bCs/>
                <w:color w:val="000000"/>
                <w:sz w:val="20"/>
                <w:szCs w:val="20"/>
              </w:rPr>
              <w:t>5</w:t>
            </w:r>
            <w:r>
              <w:rPr>
                <w:rFonts w:cs="Arial"/>
                <w:b/>
                <w:bCs/>
                <w:color w:val="000000"/>
                <w:sz w:val="20"/>
                <w:szCs w:val="20"/>
              </w:rPr>
              <w:t>20</w:t>
            </w:r>
          </w:p>
        </w:tc>
      </w:tr>
    </w:tbl>
    <w:p w14:paraId="5BBBD7C6" w14:textId="77777777" w:rsidR="00AB6753" w:rsidRPr="00CF02C1" w:rsidRDefault="00AB6753" w:rsidP="00AB6753"/>
    <w:p w14:paraId="5051A38A" w14:textId="77777777" w:rsidR="00AB6753" w:rsidRPr="00CF02C1" w:rsidRDefault="00AB6753" w:rsidP="00AB6753">
      <w:bookmarkStart w:id="293" w:name="_Toc5705966"/>
    </w:p>
    <w:p w14:paraId="66FBD273" w14:textId="77777777" w:rsidR="00AB6753" w:rsidRPr="00A050FC" w:rsidRDefault="00AB6753" w:rsidP="00AB6753">
      <w:pPr>
        <w:rPr>
          <w:rFonts w:ascii="Arial Narrow" w:hAnsi="Arial Narrow" w:cs="Calibri"/>
          <w:b/>
          <w:sz w:val="20"/>
          <w:szCs w:val="20"/>
        </w:rPr>
      </w:pPr>
      <w:r>
        <w:rPr>
          <w:rFonts w:ascii="Arial Narrow" w:hAnsi="Arial Narrow" w:cs="Calibri"/>
          <w:b/>
          <w:sz w:val="20"/>
          <w:szCs w:val="20"/>
        </w:rPr>
        <w:t xml:space="preserve">Table F-12 </w:t>
      </w:r>
      <w:r w:rsidRPr="00A050FC">
        <w:rPr>
          <w:rFonts w:ascii="Arial Narrow" w:hAnsi="Arial Narrow" w:cs="Calibri"/>
          <w:b/>
          <w:sz w:val="20"/>
          <w:szCs w:val="20"/>
        </w:rPr>
        <w:t>17AG (4)(b)(</w:t>
      </w:r>
      <w:proofErr w:type="spellStart"/>
      <w:r w:rsidRPr="00A050FC">
        <w:rPr>
          <w:rFonts w:ascii="Arial Narrow" w:hAnsi="Arial Narrow" w:cs="Calibri"/>
          <w:b/>
          <w:sz w:val="20"/>
          <w:szCs w:val="20"/>
        </w:rPr>
        <w:t>i</w:t>
      </w:r>
      <w:proofErr w:type="spellEnd"/>
      <w:r w:rsidRPr="00A050FC">
        <w:rPr>
          <w:rFonts w:ascii="Arial Narrow" w:hAnsi="Arial Narrow" w:cs="Calibri"/>
          <w:b/>
          <w:sz w:val="20"/>
          <w:szCs w:val="20"/>
        </w:rPr>
        <w:t>) – (iv) — Australian Public Service Act Non-Ongoing Employees Previous Report Period</w:t>
      </w:r>
      <w:r>
        <w:rPr>
          <w:rFonts w:ascii="Arial Narrow" w:hAnsi="Arial Narrow" w:cs="Calibri"/>
          <w:b/>
          <w:sz w:val="20"/>
          <w:szCs w:val="20"/>
        </w:rPr>
        <w:t xml:space="preserve"> </w:t>
      </w:r>
      <w:r w:rsidRPr="00A050FC">
        <w:rPr>
          <w:rFonts w:ascii="Arial Narrow" w:hAnsi="Arial Narrow" w:cs="Calibri"/>
          <w:b/>
          <w:sz w:val="20"/>
          <w:szCs w:val="20"/>
        </w:rPr>
        <w:t>(2018–19)</w:t>
      </w:r>
      <w:bookmarkEnd w:id="293"/>
    </w:p>
    <w:tbl>
      <w:tblPr>
        <w:tblW w:w="10066" w:type="dxa"/>
        <w:jc w:val="center"/>
        <w:tblLook w:val="04A0" w:firstRow="1" w:lastRow="0" w:firstColumn="1" w:lastColumn="0" w:noHBand="0" w:noVBand="1"/>
        <w:tblCaption w:val="Table F-12 17AG (4)(b)(i)–(iv) Australian Public Service Act Non-Ongoing Employees"/>
        <w:tblDescription w:val="Table 17AG (4)(b)(i)–(iv) Australian Public Service Act Non-Ongoing Employees. Previous Report Period (2018-19)"/>
      </w:tblPr>
      <w:tblGrid>
        <w:gridCol w:w="1696"/>
        <w:gridCol w:w="896"/>
        <w:gridCol w:w="650"/>
        <w:gridCol w:w="749"/>
        <w:gridCol w:w="896"/>
        <w:gridCol w:w="650"/>
        <w:gridCol w:w="883"/>
        <w:gridCol w:w="896"/>
        <w:gridCol w:w="650"/>
        <w:gridCol w:w="1439"/>
        <w:gridCol w:w="661"/>
      </w:tblGrid>
      <w:tr w:rsidR="00AB6753" w:rsidRPr="00F32D92" w14:paraId="6A0606AA" w14:textId="77777777" w:rsidTr="002D1EA4">
        <w:trPr>
          <w:trHeight w:val="300"/>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5C58681" w14:textId="77777777" w:rsidR="00AB6753" w:rsidRPr="00F32D92" w:rsidRDefault="00AB6753" w:rsidP="002D1EA4">
            <w:pPr>
              <w:rPr>
                <w:rFonts w:cs="Arial"/>
                <w:sz w:val="20"/>
                <w:szCs w:val="20"/>
              </w:rPr>
            </w:pPr>
          </w:p>
        </w:tc>
        <w:tc>
          <w:tcPr>
            <w:tcW w:w="229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5C5DEF3" w14:textId="77777777" w:rsidR="00AB6753" w:rsidRPr="00F32D92" w:rsidRDefault="00AB6753" w:rsidP="002D1EA4">
            <w:pPr>
              <w:rPr>
                <w:rFonts w:cs="Arial"/>
                <w:sz w:val="20"/>
                <w:szCs w:val="20"/>
              </w:rPr>
            </w:pPr>
            <w:r w:rsidRPr="00F32D92">
              <w:rPr>
                <w:rFonts w:cs="Arial"/>
                <w:sz w:val="20"/>
                <w:szCs w:val="20"/>
              </w:rPr>
              <w:t>Male</w:t>
            </w:r>
          </w:p>
        </w:tc>
        <w:tc>
          <w:tcPr>
            <w:tcW w:w="242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7306F32E" w14:textId="77777777" w:rsidR="00AB6753" w:rsidRPr="00F32D92" w:rsidRDefault="00AB6753" w:rsidP="002D1EA4">
            <w:pPr>
              <w:rPr>
                <w:rFonts w:cs="Arial"/>
                <w:sz w:val="20"/>
                <w:szCs w:val="20"/>
              </w:rPr>
            </w:pPr>
            <w:r w:rsidRPr="00F32D92">
              <w:rPr>
                <w:rFonts w:cs="Arial"/>
                <w:sz w:val="20"/>
                <w:szCs w:val="20"/>
              </w:rPr>
              <w:t>Female</w:t>
            </w:r>
          </w:p>
        </w:tc>
        <w:tc>
          <w:tcPr>
            <w:tcW w:w="298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CAC22EB" w14:textId="77777777" w:rsidR="00AB6753" w:rsidRPr="00F32D92" w:rsidRDefault="00AB6753" w:rsidP="002D1EA4">
            <w:pPr>
              <w:rPr>
                <w:rFonts w:cs="Arial"/>
                <w:sz w:val="20"/>
                <w:szCs w:val="20"/>
              </w:rPr>
            </w:pPr>
            <w:r w:rsidRPr="00F32D92">
              <w:rPr>
                <w:rFonts w:cs="Arial"/>
                <w:sz w:val="20"/>
                <w:szCs w:val="20"/>
              </w:rPr>
              <w:t>Indeterminate</w:t>
            </w:r>
          </w:p>
        </w:tc>
        <w:tc>
          <w:tcPr>
            <w:tcW w:w="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C49147" w14:textId="77777777" w:rsidR="00AB6753" w:rsidRPr="00F32D92" w:rsidRDefault="00AB6753" w:rsidP="002D1EA4">
            <w:pPr>
              <w:rPr>
                <w:rFonts w:cs="Arial"/>
                <w:sz w:val="20"/>
                <w:szCs w:val="20"/>
              </w:rPr>
            </w:pPr>
            <w:r w:rsidRPr="00F32D92">
              <w:rPr>
                <w:rFonts w:cs="Arial"/>
                <w:sz w:val="20"/>
                <w:szCs w:val="20"/>
              </w:rPr>
              <w:t>Tota</w:t>
            </w:r>
            <w:r>
              <w:rPr>
                <w:rFonts w:cs="Arial"/>
                <w:sz w:val="20"/>
                <w:szCs w:val="20"/>
              </w:rPr>
              <w:t>l</w:t>
            </w:r>
          </w:p>
        </w:tc>
      </w:tr>
      <w:tr w:rsidR="00AB6753" w:rsidRPr="00F32D92" w14:paraId="38141500" w14:textId="77777777" w:rsidTr="002D1EA4">
        <w:trPr>
          <w:trHeight w:val="615"/>
          <w:jc w:val="center"/>
        </w:trPr>
        <w:tc>
          <w:tcPr>
            <w:tcW w:w="1696" w:type="dxa"/>
            <w:tcBorders>
              <w:top w:val="single" w:sz="4" w:space="0" w:color="auto"/>
              <w:left w:val="single" w:sz="4" w:space="0" w:color="666666" w:themeColor="text1" w:themeTint="99"/>
              <w:right w:val="single" w:sz="4" w:space="0" w:color="auto"/>
            </w:tcBorders>
            <w:shd w:val="clear" w:color="auto" w:fill="BFBFBF" w:themeFill="background1" w:themeFillShade="BF"/>
            <w:noWrap/>
            <w:hideMark/>
          </w:tcPr>
          <w:p w14:paraId="043A989B" w14:textId="77777777" w:rsidR="00AB6753" w:rsidRPr="00F32D92" w:rsidRDefault="00AB6753" w:rsidP="002D1EA4">
            <w:pPr>
              <w:rPr>
                <w:rFonts w:cs="Arial"/>
                <w:sz w:val="20"/>
                <w:szCs w:val="20"/>
              </w:rPr>
            </w:pPr>
          </w:p>
        </w:tc>
        <w:tc>
          <w:tcPr>
            <w:tcW w:w="896" w:type="dxa"/>
            <w:tcBorders>
              <w:top w:val="single" w:sz="4" w:space="0" w:color="auto"/>
              <w:left w:val="single" w:sz="4" w:space="0" w:color="auto"/>
            </w:tcBorders>
            <w:shd w:val="clear" w:color="auto" w:fill="BFBFBF" w:themeFill="background1" w:themeFillShade="BF"/>
            <w:noWrap/>
            <w:hideMark/>
          </w:tcPr>
          <w:p w14:paraId="56FD148D" w14:textId="77777777" w:rsidR="00AB6753" w:rsidRPr="00F32D92" w:rsidRDefault="00AB6753" w:rsidP="002D1EA4">
            <w:pPr>
              <w:rPr>
                <w:rFonts w:cs="Arial"/>
                <w:sz w:val="20"/>
                <w:szCs w:val="20"/>
              </w:rPr>
            </w:pPr>
            <w:r w:rsidRPr="00F32D92">
              <w:rPr>
                <w:rFonts w:cs="Arial"/>
                <w:sz w:val="20"/>
                <w:szCs w:val="20"/>
              </w:rPr>
              <w:t>Full-time</w:t>
            </w:r>
          </w:p>
        </w:tc>
        <w:tc>
          <w:tcPr>
            <w:tcW w:w="650" w:type="dxa"/>
            <w:tcBorders>
              <w:top w:val="single" w:sz="4" w:space="0" w:color="auto"/>
            </w:tcBorders>
            <w:shd w:val="clear" w:color="auto" w:fill="BFBFBF" w:themeFill="background1" w:themeFillShade="BF"/>
            <w:noWrap/>
            <w:hideMark/>
          </w:tcPr>
          <w:p w14:paraId="460A3F70" w14:textId="77777777" w:rsidR="00AB6753" w:rsidRPr="00F32D92" w:rsidRDefault="00AB6753" w:rsidP="002D1EA4">
            <w:pPr>
              <w:rPr>
                <w:rFonts w:cs="Arial"/>
                <w:sz w:val="20"/>
                <w:szCs w:val="20"/>
              </w:rPr>
            </w:pPr>
            <w:r w:rsidRPr="00F32D92">
              <w:rPr>
                <w:rFonts w:cs="Arial"/>
                <w:sz w:val="20"/>
                <w:szCs w:val="20"/>
              </w:rPr>
              <w:t>Part-time</w:t>
            </w:r>
          </w:p>
        </w:tc>
        <w:tc>
          <w:tcPr>
            <w:tcW w:w="749" w:type="dxa"/>
            <w:tcBorders>
              <w:top w:val="single" w:sz="4" w:space="0" w:color="auto"/>
              <w:right w:val="single" w:sz="4" w:space="0" w:color="auto"/>
            </w:tcBorders>
            <w:shd w:val="clear" w:color="auto" w:fill="BFBFBF" w:themeFill="background1" w:themeFillShade="BF"/>
            <w:noWrap/>
            <w:hideMark/>
          </w:tcPr>
          <w:p w14:paraId="123079D7" w14:textId="77777777" w:rsidR="00AB6753" w:rsidRPr="00F32D92" w:rsidRDefault="00AB6753" w:rsidP="002D1EA4">
            <w:pPr>
              <w:rPr>
                <w:rFonts w:cs="Arial"/>
                <w:sz w:val="20"/>
                <w:szCs w:val="20"/>
              </w:rPr>
            </w:pPr>
            <w:r w:rsidRPr="00F32D92">
              <w:rPr>
                <w:rFonts w:cs="Arial"/>
                <w:sz w:val="20"/>
                <w:szCs w:val="20"/>
              </w:rPr>
              <w:t>Total Male</w:t>
            </w:r>
          </w:p>
        </w:tc>
        <w:tc>
          <w:tcPr>
            <w:tcW w:w="896" w:type="dxa"/>
            <w:tcBorders>
              <w:top w:val="single" w:sz="4" w:space="0" w:color="auto"/>
              <w:left w:val="single" w:sz="4" w:space="0" w:color="auto"/>
            </w:tcBorders>
            <w:shd w:val="clear" w:color="auto" w:fill="BFBFBF" w:themeFill="background1" w:themeFillShade="BF"/>
            <w:noWrap/>
            <w:hideMark/>
          </w:tcPr>
          <w:p w14:paraId="68BEF1E3" w14:textId="77777777" w:rsidR="00AB6753" w:rsidRPr="00F32D92" w:rsidRDefault="00AB6753" w:rsidP="002D1EA4">
            <w:pPr>
              <w:rPr>
                <w:rFonts w:cs="Arial"/>
                <w:sz w:val="20"/>
                <w:szCs w:val="20"/>
              </w:rPr>
            </w:pPr>
            <w:r w:rsidRPr="00F32D92">
              <w:rPr>
                <w:rFonts w:cs="Arial"/>
                <w:sz w:val="20"/>
                <w:szCs w:val="20"/>
              </w:rPr>
              <w:t>Full-time</w:t>
            </w:r>
          </w:p>
        </w:tc>
        <w:tc>
          <w:tcPr>
            <w:tcW w:w="650" w:type="dxa"/>
            <w:tcBorders>
              <w:top w:val="single" w:sz="4" w:space="0" w:color="auto"/>
            </w:tcBorders>
            <w:shd w:val="clear" w:color="auto" w:fill="BFBFBF" w:themeFill="background1" w:themeFillShade="BF"/>
            <w:noWrap/>
            <w:hideMark/>
          </w:tcPr>
          <w:p w14:paraId="005287EE" w14:textId="77777777" w:rsidR="00AB6753" w:rsidRPr="00F32D92" w:rsidRDefault="00AB6753" w:rsidP="002D1EA4">
            <w:pPr>
              <w:rPr>
                <w:rFonts w:cs="Arial"/>
                <w:sz w:val="20"/>
                <w:szCs w:val="20"/>
              </w:rPr>
            </w:pPr>
            <w:r w:rsidRPr="00F32D92">
              <w:rPr>
                <w:rFonts w:cs="Arial"/>
                <w:sz w:val="20"/>
                <w:szCs w:val="20"/>
              </w:rPr>
              <w:t>Part-time</w:t>
            </w:r>
          </w:p>
        </w:tc>
        <w:tc>
          <w:tcPr>
            <w:tcW w:w="883" w:type="dxa"/>
            <w:tcBorders>
              <w:top w:val="single" w:sz="4" w:space="0" w:color="auto"/>
              <w:right w:val="single" w:sz="4" w:space="0" w:color="auto"/>
            </w:tcBorders>
            <w:shd w:val="clear" w:color="auto" w:fill="BFBFBF" w:themeFill="background1" w:themeFillShade="BF"/>
            <w:noWrap/>
            <w:hideMark/>
          </w:tcPr>
          <w:p w14:paraId="79356F9A" w14:textId="77777777" w:rsidR="00AB6753" w:rsidRPr="00F32D92" w:rsidRDefault="00AB6753" w:rsidP="002D1EA4">
            <w:pPr>
              <w:rPr>
                <w:rFonts w:cs="Arial"/>
                <w:sz w:val="20"/>
                <w:szCs w:val="20"/>
              </w:rPr>
            </w:pPr>
            <w:r w:rsidRPr="00F32D92">
              <w:rPr>
                <w:rFonts w:cs="Arial"/>
                <w:sz w:val="20"/>
                <w:szCs w:val="20"/>
              </w:rPr>
              <w:t>Total Female</w:t>
            </w:r>
          </w:p>
        </w:tc>
        <w:tc>
          <w:tcPr>
            <w:tcW w:w="896" w:type="dxa"/>
            <w:tcBorders>
              <w:top w:val="single" w:sz="4" w:space="0" w:color="auto"/>
              <w:left w:val="single" w:sz="4" w:space="0" w:color="auto"/>
            </w:tcBorders>
            <w:shd w:val="clear" w:color="auto" w:fill="BFBFBF" w:themeFill="background1" w:themeFillShade="BF"/>
            <w:noWrap/>
            <w:hideMark/>
          </w:tcPr>
          <w:p w14:paraId="1207655B" w14:textId="77777777" w:rsidR="00AB6753" w:rsidRPr="00F32D92" w:rsidRDefault="00AB6753" w:rsidP="002D1EA4">
            <w:pPr>
              <w:rPr>
                <w:rFonts w:cs="Arial"/>
                <w:sz w:val="20"/>
                <w:szCs w:val="20"/>
              </w:rPr>
            </w:pPr>
            <w:r w:rsidRPr="00F32D92">
              <w:rPr>
                <w:rFonts w:cs="Arial"/>
                <w:sz w:val="20"/>
                <w:szCs w:val="20"/>
              </w:rPr>
              <w:t>Full-time</w:t>
            </w:r>
          </w:p>
        </w:tc>
        <w:tc>
          <w:tcPr>
            <w:tcW w:w="650" w:type="dxa"/>
            <w:tcBorders>
              <w:top w:val="single" w:sz="4" w:space="0" w:color="auto"/>
            </w:tcBorders>
            <w:shd w:val="clear" w:color="auto" w:fill="BFBFBF" w:themeFill="background1" w:themeFillShade="BF"/>
            <w:noWrap/>
            <w:hideMark/>
          </w:tcPr>
          <w:p w14:paraId="40C8000B" w14:textId="77777777" w:rsidR="00AB6753" w:rsidRPr="00F32D92" w:rsidRDefault="00AB6753" w:rsidP="002D1EA4">
            <w:pPr>
              <w:rPr>
                <w:rFonts w:cs="Arial"/>
                <w:sz w:val="20"/>
                <w:szCs w:val="20"/>
              </w:rPr>
            </w:pPr>
            <w:r w:rsidRPr="00F32D92">
              <w:rPr>
                <w:rFonts w:cs="Arial"/>
                <w:sz w:val="20"/>
                <w:szCs w:val="20"/>
              </w:rPr>
              <w:t>Part-time</w:t>
            </w:r>
          </w:p>
        </w:tc>
        <w:tc>
          <w:tcPr>
            <w:tcW w:w="1439" w:type="dxa"/>
            <w:tcBorders>
              <w:top w:val="single" w:sz="4" w:space="0" w:color="auto"/>
              <w:right w:val="single" w:sz="4" w:space="0" w:color="auto"/>
            </w:tcBorders>
            <w:shd w:val="clear" w:color="auto" w:fill="BFBFBF" w:themeFill="background1" w:themeFillShade="BF"/>
            <w:hideMark/>
          </w:tcPr>
          <w:p w14:paraId="53B67160" w14:textId="77777777" w:rsidR="00AB6753" w:rsidRPr="00F32D92" w:rsidRDefault="00AB6753" w:rsidP="002D1EA4">
            <w:pPr>
              <w:rPr>
                <w:rFonts w:cs="Arial"/>
                <w:sz w:val="20"/>
                <w:szCs w:val="20"/>
              </w:rPr>
            </w:pPr>
            <w:r w:rsidRPr="00F32D92">
              <w:rPr>
                <w:rFonts w:cs="Arial"/>
                <w:sz w:val="20"/>
                <w:szCs w:val="20"/>
              </w:rPr>
              <w:t>Total Indeterminate</w:t>
            </w:r>
          </w:p>
        </w:tc>
        <w:tc>
          <w:tcPr>
            <w:tcW w:w="661" w:type="dxa"/>
            <w:tcBorders>
              <w:top w:val="single" w:sz="4" w:space="0" w:color="auto"/>
              <w:left w:val="single" w:sz="4" w:space="0" w:color="auto"/>
              <w:right w:val="single" w:sz="4" w:space="0" w:color="666666" w:themeColor="text1" w:themeTint="99"/>
            </w:tcBorders>
            <w:shd w:val="clear" w:color="auto" w:fill="BFBFBF" w:themeFill="background1" w:themeFillShade="BF"/>
          </w:tcPr>
          <w:p w14:paraId="19283F60" w14:textId="77777777" w:rsidR="00AB6753" w:rsidRPr="00F32D92" w:rsidRDefault="00AB6753" w:rsidP="002D1EA4">
            <w:pPr>
              <w:rPr>
                <w:rFonts w:cs="Arial"/>
                <w:sz w:val="20"/>
                <w:szCs w:val="20"/>
              </w:rPr>
            </w:pPr>
          </w:p>
        </w:tc>
      </w:tr>
      <w:tr w:rsidR="00AB6753" w:rsidRPr="00F32D92" w14:paraId="3FA4C312"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757673A5" w14:textId="77777777" w:rsidR="00AB6753" w:rsidRPr="00F32D92" w:rsidRDefault="00AB6753" w:rsidP="002D1EA4">
            <w:pPr>
              <w:rPr>
                <w:rFonts w:cs="Arial"/>
                <w:sz w:val="20"/>
                <w:szCs w:val="20"/>
              </w:rPr>
            </w:pPr>
            <w:r w:rsidRPr="00F32D92">
              <w:rPr>
                <w:rFonts w:cs="Arial"/>
                <w:sz w:val="20"/>
                <w:szCs w:val="20"/>
              </w:rPr>
              <w:t>SES 3</w:t>
            </w:r>
          </w:p>
        </w:tc>
        <w:tc>
          <w:tcPr>
            <w:tcW w:w="896" w:type="dxa"/>
            <w:tcBorders>
              <w:left w:val="single" w:sz="4" w:space="0" w:color="auto"/>
            </w:tcBorders>
            <w:noWrap/>
            <w:vAlign w:val="center"/>
          </w:tcPr>
          <w:p w14:paraId="5C3F6831"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hideMark/>
          </w:tcPr>
          <w:p w14:paraId="078D0555"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hideMark/>
          </w:tcPr>
          <w:p w14:paraId="48124613"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hideMark/>
          </w:tcPr>
          <w:p w14:paraId="00172996"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hideMark/>
          </w:tcPr>
          <w:p w14:paraId="13A31B70"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vAlign w:val="center"/>
            <w:hideMark/>
          </w:tcPr>
          <w:p w14:paraId="73605726"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hideMark/>
          </w:tcPr>
          <w:p w14:paraId="51FC54E4"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hideMark/>
          </w:tcPr>
          <w:p w14:paraId="5851A1D8"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hideMark/>
          </w:tcPr>
          <w:p w14:paraId="4EBAAE57"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666666" w:themeColor="text1" w:themeTint="99"/>
            </w:tcBorders>
            <w:vAlign w:val="center"/>
          </w:tcPr>
          <w:p w14:paraId="6ABF1565"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2FF3082B"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2EDC5B4A" w14:textId="77777777" w:rsidR="00AB6753" w:rsidRPr="00F32D92" w:rsidRDefault="00AB6753" w:rsidP="002D1EA4">
            <w:pPr>
              <w:rPr>
                <w:rFonts w:cs="Arial"/>
                <w:sz w:val="20"/>
                <w:szCs w:val="20"/>
              </w:rPr>
            </w:pPr>
            <w:r w:rsidRPr="00F32D92">
              <w:rPr>
                <w:rFonts w:cs="Arial"/>
                <w:sz w:val="20"/>
                <w:szCs w:val="20"/>
              </w:rPr>
              <w:t>SES 2</w:t>
            </w:r>
          </w:p>
        </w:tc>
        <w:tc>
          <w:tcPr>
            <w:tcW w:w="896" w:type="dxa"/>
            <w:tcBorders>
              <w:left w:val="single" w:sz="4" w:space="0" w:color="auto"/>
            </w:tcBorders>
            <w:noWrap/>
            <w:vAlign w:val="center"/>
          </w:tcPr>
          <w:p w14:paraId="56A6DFE0"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hideMark/>
          </w:tcPr>
          <w:p w14:paraId="5AE784D7"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hideMark/>
          </w:tcPr>
          <w:p w14:paraId="7EE01E98"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hideMark/>
          </w:tcPr>
          <w:p w14:paraId="77029C09"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hideMark/>
          </w:tcPr>
          <w:p w14:paraId="3A28F7FC"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vAlign w:val="center"/>
            <w:hideMark/>
          </w:tcPr>
          <w:p w14:paraId="50BE5BFB"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hideMark/>
          </w:tcPr>
          <w:p w14:paraId="31DB996E"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hideMark/>
          </w:tcPr>
          <w:p w14:paraId="5099E45B"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hideMark/>
          </w:tcPr>
          <w:p w14:paraId="3ADA5744"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666666" w:themeColor="text1" w:themeTint="99"/>
            </w:tcBorders>
            <w:vAlign w:val="center"/>
          </w:tcPr>
          <w:p w14:paraId="6552AE3B"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562B06C8"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198D2155" w14:textId="77777777" w:rsidR="00AB6753" w:rsidRPr="00F32D92" w:rsidRDefault="00AB6753" w:rsidP="002D1EA4">
            <w:pPr>
              <w:rPr>
                <w:rFonts w:cs="Arial"/>
                <w:sz w:val="20"/>
                <w:szCs w:val="20"/>
              </w:rPr>
            </w:pPr>
            <w:r w:rsidRPr="00F32D92">
              <w:rPr>
                <w:rFonts w:cs="Arial"/>
                <w:sz w:val="20"/>
                <w:szCs w:val="20"/>
              </w:rPr>
              <w:t>SES 1</w:t>
            </w:r>
          </w:p>
        </w:tc>
        <w:tc>
          <w:tcPr>
            <w:tcW w:w="896" w:type="dxa"/>
            <w:tcBorders>
              <w:left w:val="single" w:sz="4" w:space="0" w:color="auto"/>
            </w:tcBorders>
            <w:noWrap/>
            <w:vAlign w:val="center"/>
            <w:hideMark/>
          </w:tcPr>
          <w:p w14:paraId="564466D6"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hideMark/>
          </w:tcPr>
          <w:p w14:paraId="1929F8FC"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hideMark/>
          </w:tcPr>
          <w:p w14:paraId="7A419BD5"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hideMark/>
          </w:tcPr>
          <w:p w14:paraId="420434BD"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hideMark/>
          </w:tcPr>
          <w:p w14:paraId="366801F7"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vAlign w:val="center"/>
            <w:hideMark/>
          </w:tcPr>
          <w:p w14:paraId="4F202943"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hideMark/>
          </w:tcPr>
          <w:p w14:paraId="1FDBC296"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hideMark/>
          </w:tcPr>
          <w:p w14:paraId="4CC4C6C3"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hideMark/>
          </w:tcPr>
          <w:p w14:paraId="340A119D"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666666" w:themeColor="text1" w:themeTint="99"/>
            </w:tcBorders>
            <w:vAlign w:val="center"/>
          </w:tcPr>
          <w:p w14:paraId="015287A9"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14968442"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4BAFFCD3" w14:textId="77777777" w:rsidR="00AB6753" w:rsidRPr="00F32D92" w:rsidRDefault="00AB6753" w:rsidP="002D1EA4">
            <w:pPr>
              <w:rPr>
                <w:rFonts w:cs="Arial"/>
                <w:sz w:val="20"/>
                <w:szCs w:val="20"/>
              </w:rPr>
            </w:pPr>
            <w:r w:rsidRPr="00F32D92">
              <w:rPr>
                <w:rFonts w:cs="Arial"/>
                <w:sz w:val="20"/>
                <w:szCs w:val="20"/>
              </w:rPr>
              <w:t>EL 2</w:t>
            </w:r>
          </w:p>
        </w:tc>
        <w:tc>
          <w:tcPr>
            <w:tcW w:w="896" w:type="dxa"/>
            <w:tcBorders>
              <w:left w:val="single" w:sz="4" w:space="0" w:color="auto"/>
            </w:tcBorders>
            <w:noWrap/>
            <w:vAlign w:val="center"/>
            <w:hideMark/>
          </w:tcPr>
          <w:p w14:paraId="39830B9C"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hideMark/>
          </w:tcPr>
          <w:p w14:paraId="73613B28" w14:textId="77777777" w:rsidR="00AB6753" w:rsidRPr="00F32D92" w:rsidRDefault="00AB6753" w:rsidP="002D1EA4">
            <w:pPr>
              <w:rPr>
                <w:rFonts w:cs="Arial"/>
                <w:sz w:val="20"/>
                <w:szCs w:val="20"/>
              </w:rPr>
            </w:pPr>
            <w:r w:rsidRPr="00F32D92">
              <w:rPr>
                <w:rFonts w:cs="Arial"/>
                <w:color w:val="000000"/>
                <w:sz w:val="20"/>
                <w:szCs w:val="20"/>
              </w:rPr>
              <w:t>1</w:t>
            </w:r>
          </w:p>
        </w:tc>
        <w:tc>
          <w:tcPr>
            <w:tcW w:w="749" w:type="dxa"/>
            <w:tcBorders>
              <w:right w:val="single" w:sz="4" w:space="0" w:color="auto"/>
            </w:tcBorders>
            <w:noWrap/>
            <w:vAlign w:val="center"/>
            <w:hideMark/>
          </w:tcPr>
          <w:p w14:paraId="7427656A" w14:textId="77777777" w:rsidR="00AB6753" w:rsidRPr="00F32D92" w:rsidRDefault="00AB6753" w:rsidP="002D1EA4">
            <w:pPr>
              <w:rPr>
                <w:rFonts w:cs="Arial"/>
                <w:sz w:val="20"/>
                <w:szCs w:val="20"/>
              </w:rPr>
            </w:pPr>
            <w:r w:rsidRPr="00F32D92">
              <w:rPr>
                <w:rFonts w:cs="Arial"/>
                <w:color w:val="000000"/>
                <w:sz w:val="20"/>
                <w:szCs w:val="20"/>
              </w:rPr>
              <w:t>1</w:t>
            </w:r>
          </w:p>
        </w:tc>
        <w:tc>
          <w:tcPr>
            <w:tcW w:w="896" w:type="dxa"/>
            <w:tcBorders>
              <w:left w:val="single" w:sz="4" w:space="0" w:color="auto"/>
            </w:tcBorders>
            <w:noWrap/>
            <w:vAlign w:val="center"/>
            <w:hideMark/>
          </w:tcPr>
          <w:p w14:paraId="266A8553" w14:textId="77777777" w:rsidR="00AB6753" w:rsidRPr="00F32D92" w:rsidRDefault="00AB6753" w:rsidP="002D1EA4">
            <w:pPr>
              <w:rPr>
                <w:rFonts w:cs="Arial"/>
                <w:sz w:val="20"/>
                <w:szCs w:val="20"/>
              </w:rPr>
            </w:pPr>
            <w:r w:rsidRPr="00F32D92">
              <w:rPr>
                <w:rFonts w:cs="Arial"/>
                <w:color w:val="000000"/>
                <w:sz w:val="20"/>
                <w:szCs w:val="20"/>
              </w:rPr>
              <w:t>2</w:t>
            </w:r>
          </w:p>
        </w:tc>
        <w:tc>
          <w:tcPr>
            <w:tcW w:w="650" w:type="dxa"/>
            <w:noWrap/>
            <w:vAlign w:val="center"/>
            <w:hideMark/>
          </w:tcPr>
          <w:p w14:paraId="5F8997B1" w14:textId="77777777" w:rsidR="00AB6753" w:rsidRPr="00F32D92" w:rsidRDefault="00AB6753" w:rsidP="002D1EA4">
            <w:pPr>
              <w:rPr>
                <w:rFonts w:cs="Arial"/>
                <w:sz w:val="20"/>
                <w:szCs w:val="20"/>
              </w:rPr>
            </w:pPr>
            <w:r w:rsidRPr="00F32D92">
              <w:rPr>
                <w:rFonts w:cs="Arial"/>
                <w:color w:val="000000"/>
                <w:sz w:val="20"/>
                <w:szCs w:val="20"/>
              </w:rPr>
              <w:t>2</w:t>
            </w:r>
          </w:p>
        </w:tc>
        <w:tc>
          <w:tcPr>
            <w:tcW w:w="883" w:type="dxa"/>
            <w:tcBorders>
              <w:right w:val="single" w:sz="4" w:space="0" w:color="auto"/>
            </w:tcBorders>
            <w:noWrap/>
            <w:vAlign w:val="center"/>
            <w:hideMark/>
          </w:tcPr>
          <w:p w14:paraId="3C8D59A3" w14:textId="77777777" w:rsidR="00AB6753" w:rsidRPr="00F32D92" w:rsidRDefault="00AB6753" w:rsidP="002D1EA4">
            <w:pPr>
              <w:rPr>
                <w:rFonts w:cs="Arial"/>
                <w:sz w:val="20"/>
                <w:szCs w:val="20"/>
              </w:rPr>
            </w:pPr>
            <w:r w:rsidRPr="00F32D92">
              <w:rPr>
                <w:rFonts w:cs="Arial"/>
                <w:color w:val="000000"/>
                <w:sz w:val="20"/>
                <w:szCs w:val="20"/>
              </w:rPr>
              <w:t>4</w:t>
            </w:r>
          </w:p>
        </w:tc>
        <w:tc>
          <w:tcPr>
            <w:tcW w:w="896" w:type="dxa"/>
            <w:tcBorders>
              <w:left w:val="single" w:sz="4" w:space="0" w:color="auto"/>
            </w:tcBorders>
            <w:noWrap/>
            <w:vAlign w:val="center"/>
            <w:hideMark/>
          </w:tcPr>
          <w:p w14:paraId="15B4911E"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hideMark/>
          </w:tcPr>
          <w:p w14:paraId="4B2FE9A4"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hideMark/>
          </w:tcPr>
          <w:p w14:paraId="082305D5"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666666" w:themeColor="text1" w:themeTint="99"/>
            </w:tcBorders>
            <w:vAlign w:val="center"/>
          </w:tcPr>
          <w:p w14:paraId="42A37A45" w14:textId="77777777" w:rsidR="00AB6753" w:rsidRPr="00F32D92" w:rsidRDefault="00AB6753" w:rsidP="002D1EA4">
            <w:pPr>
              <w:rPr>
                <w:rFonts w:cs="Arial"/>
                <w:sz w:val="20"/>
                <w:szCs w:val="20"/>
              </w:rPr>
            </w:pPr>
            <w:r w:rsidRPr="00F32D92">
              <w:rPr>
                <w:rFonts w:cs="Arial"/>
                <w:color w:val="000000"/>
                <w:sz w:val="20"/>
                <w:szCs w:val="20"/>
              </w:rPr>
              <w:t>5</w:t>
            </w:r>
          </w:p>
        </w:tc>
      </w:tr>
      <w:tr w:rsidR="00AB6753" w:rsidRPr="00F32D92" w14:paraId="296103AF"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6D5C8D9F" w14:textId="77777777" w:rsidR="00AB6753" w:rsidRPr="00F32D92" w:rsidRDefault="00AB6753" w:rsidP="002D1EA4">
            <w:pPr>
              <w:rPr>
                <w:rFonts w:cs="Arial"/>
                <w:sz w:val="20"/>
                <w:szCs w:val="20"/>
              </w:rPr>
            </w:pPr>
            <w:r w:rsidRPr="00F32D92">
              <w:rPr>
                <w:rFonts w:cs="Arial"/>
                <w:sz w:val="20"/>
                <w:szCs w:val="20"/>
              </w:rPr>
              <w:t>EL 1</w:t>
            </w:r>
          </w:p>
        </w:tc>
        <w:tc>
          <w:tcPr>
            <w:tcW w:w="896" w:type="dxa"/>
            <w:tcBorders>
              <w:left w:val="single" w:sz="4" w:space="0" w:color="auto"/>
            </w:tcBorders>
            <w:noWrap/>
            <w:vAlign w:val="center"/>
            <w:hideMark/>
          </w:tcPr>
          <w:p w14:paraId="12B20F11" w14:textId="77777777" w:rsidR="00AB6753" w:rsidRPr="00F32D92" w:rsidRDefault="00AB6753" w:rsidP="002D1EA4">
            <w:pPr>
              <w:rPr>
                <w:rFonts w:cs="Arial"/>
                <w:sz w:val="20"/>
                <w:szCs w:val="20"/>
              </w:rPr>
            </w:pPr>
            <w:r w:rsidRPr="00F32D92">
              <w:rPr>
                <w:rFonts w:cs="Arial"/>
                <w:color w:val="000000"/>
                <w:sz w:val="20"/>
                <w:szCs w:val="20"/>
              </w:rPr>
              <w:t>4</w:t>
            </w:r>
          </w:p>
        </w:tc>
        <w:tc>
          <w:tcPr>
            <w:tcW w:w="650" w:type="dxa"/>
            <w:noWrap/>
            <w:vAlign w:val="center"/>
            <w:hideMark/>
          </w:tcPr>
          <w:p w14:paraId="53F8ADDB"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hideMark/>
          </w:tcPr>
          <w:p w14:paraId="06328A9F" w14:textId="77777777" w:rsidR="00AB6753" w:rsidRPr="00F32D92" w:rsidRDefault="00AB6753" w:rsidP="002D1EA4">
            <w:pPr>
              <w:rPr>
                <w:rFonts w:cs="Arial"/>
                <w:sz w:val="20"/>
                <w:szCs w:val="20"/>
              </w:rPr>
            </w:pPr>
            <w:r w:rsidRPr="00F32D92">
              <w:rPr>
                <w:rFonts w:cs="Arial"/>
                <w:color w:val="000000"/>
                <w:sz w:val="20"/>
                <w:szCs w:val="20"/>
              </w:rPr>
              <w:t>4</w:t>
            </w:r>
          </w:p>
        </w:tc>
        <w:tc>
          <w:tcPr>
            <w:tcW w:w="896" w:type="dxa"/>
            <w:tcBorders>
              <w:left w:val="single" w:sz="4" w:space="0" w:color="auto"/>
            </w:tcBorders>
            <w:noWrap/>
            <w:vAlign w:val="center"/>
            <w:hideMark/>
          </w:tcPr>
          <w:p w14:paraId="5BFCA3FE" w14:textId="77777777" w:rsidR="00AB6753" w:rsidRPr="00F32D92" w:rsidRDefault="00AB6753" w:rsidP="002D1EA4">
            <w:pPr>
              <w:rPr>
                <w:rFonts w:cs="Arial"/>
                <w:sz w:val="20"/>
                <w:szCs w:val="20"/>
              </w:rPr>
            </w:pPr>
            <w:r w:rsidRPr="00F32D92">
              <w:rPr>
                <w:rFonts w:cs="Arial"/>
                <w:color w:val="000000"/>
                <w:sz w:val="20"/>
                <w:szCs w:val="20"/>
              </w:rPr>
              <w:t>1</w:t>
            </w:r>
          </w:p>
        </w:tc>
        <w:tc>
          <w:tcPr>
            <w:tcW w:w="650" w:type="dxa"/>
            <w:noWrap/>
            <w:vAlign w:val="center"/>
            <w:hideMark/>
          </w:tcPr>
          <w:p w14:paraId="062C23E3" w14:textId="77777777" w:rsidR="00AB6753" w:rsidRPr="00F32D92" w:rsidRDefault="00AB6753" w:rsidP="002D1EA4">
            <w:pPr>
              <w:rPr>
                <w:rFonts w:cs="Arial"/>
                <w:sz w:val="20"/>
                <w:szCs w:val="20"/>
              </w:rPr>
            </w:pPr>
            <w:r w:rsidRPr="00F32D92">
              <w:rPr>
                <w:rFonts w:cs="Arial"/>
                <w:color w:val="000000"/>
                <w:sz w:val="20"/>
                <w:szCs w:val="20"/>
              </w:rPr>
              <w:t>3</w:t>
            </w:r>
          </w:p>
        </w:tc>
        <w:tc>
          <w:tcPr>
            <w:tcW w:w="883" w:type="dxa"/>
            <w:tcBorders>
              <w:right w:val="single" w:sz="4" w:space="0" w:color="auto"/>
            </w:tcBorders>
            <w:noWrap/>
            <w:vAlign w:val="center"/>
            <w:hideMark/>
          </w:tcPr>
          <w:p w14:paraId="6669826B" w14:textId="77777777" w:rsidR="00AB6753" w:rsidRPr="00F32D92" w:rsidRDefault="00AB6753" w:rsidP="002D1EA4">
            <w:pPr>
              <w:rPr>
                <w:rFonts w:cs="Arial"/>
                <w:sz w:val="20"/>
                <w:szCs w:val="20"/>
              </w:rPr>
            </w:pPr>
            <w:r w:rsidRPr="00F32D92">
              <w:rPr>
                <w:rFonts w:cs="Arial"/>
                <w:color w:val="000000"/>
                <w:sz w:val="20"/>
                <w:szCs w:val="20"/>
              </w:rPr>
              <w:t>4</w:t>
            </w:r>
          </w:p>
        </w:tc>
        <w:tc>
          <w:tcPr>
            <w:tcW w:w="896" w:type="dxa"/>
            <w:tcBorders>
              <w:left w:val="single" w:sz="4" w:space="0" w:color="auto"/>
            </w:tcBorders>
            <w:noWrap/>
            <w:vAlign w:val="center"/>
            <w:hideMark/>
          </w:tcPr>
          <w:p w14:paraId="78BD4398"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hideMark/>
          </w:tcPr>
          <w:p w14:paraId="0FD720AC"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hideMark/>
          </w:tcPr>
          <w:p w14:paraId="4B0D231A"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666666" w:themeColor="text1" w:themeTint="99"/>
            </w:tcBorders>
            <w:vAlign w:val="center"/>
          </w:tcPr>
          <w:p w14:paraId="52087443" w14:textId="77777777" w:rsidR="00AB6753" w:rsidRPr="00F32D92" w:rsidRDefault="00AB6753" w:rsidP="002D1EA4">
            <w:pPr>
              <w:rPr>
                <w:rFonts w:cs="Arial"/>
                <w:sz w:val="20"/>
                <w:szCs w:val="20"/>
              </w:rPr>
            </w:pPr>
            <w:r w:rsidRPr="00F32D92">
              <w:rPr>
                <w:rFonts w:cs="Arial"/>
                <w:color w:val="000000"/>
                <w:sz w:val="20"/>
                <w:szCs w:val="20"/>
              </w:rPr>
              <w:t>8</w:t>
            </w:r>
          </w:p>
        </w:tc>
      </w:tr>
      <w:tr w:rsidR="00AB6753" w:rsidRPr="00F32D92" w14:paraId="7D71D795" w14:textId="77777777" w:rsidTr="002D1EA4">
        <w:trPr>
          <w:trHeight w:val="315"/>
          <w:jc w:val="center"/>
        </w:trPr>
        <w:tc>
          <w:tcPr>
            <w:tcW w:w="1696" w:type="dxa"/>
            <w:tcBorders>
              <w:left w:val="single" w:sz="4" w:space="0" w:color="666666" w:themeColor="text1" w:themeTint="99"/>
              <w:right w:val="single" w:sz="4" w:space="0" w:color="auto"/>
            </w:tcBorders>
            <w:vAlign w:val="center"/>
          </w:tcPr>
          <w:p w14:paraId="09D72625" w14:textId="77777777" w:rsidR="00AB6753" w:rsidRPr="00F32D92" w:rsidRDefault="00AB6753" w:rsidP="002D1EA4">
            <w:pPr>
              <w:rPr>
                <w:rFonts w:cs="Arial"/>
                <w:sz w:val="20"/>
                <w:szCs w:val="20"/>
              </w:rPr>
            </w:pPr>
            <w:r w:rsidRPr="00F32D92">
              <w:rPr>
                <w:rFonts w:cs="Arial"/>
                <w:sz w:val="20"/>
                <w:szCs w:val="20"/>
              </w:rPr>
              <w:t>Public Affairs Officer Grade 3</w:t>
            </w:r>
          </w:p>
        </w:tc>
        <w:tc>
          <w:tcPr>
            <w:tcW w:w="896" w:type="dxa"/>
            <w:tcBorders>
              <w:left w:val="single" w:sz="4" w:space="0" w:color="auto"/>
            </w:tcBorders>
            <w:noWrap/>
            <w:vAlign w:val="center"/>
          </w:tcPr>
          <w:p w14:paraId="1DDF1D8E"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137D8856"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tcPr>
          <w:p w14:paraId="51E4041D"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337EA135" w14:textId="77777777" w:rsidR="00AB6753" w:rsidRPr="00F32D92" w:rsidRDefault="00AB6753" w:rsidP="002D1EA4">
            <w:pPr>
              <w:rPr>
                <w:rFonts w:cs="Arial"/>
                <w:sz w:val="20"/>
                <w:szCs w:val="20"/>
              </w:rPr>
            </w:pPr>
            <w:r w:rsidRPr="00F32D92">
              <w:rPr>
                <w:rFonts w:cs="Arial"/>
                <w:color w:val="000000"/>
                <w:sz w:val="20"/>
                <w:szCs w:val="20"/>
              </w:rPr>
              <w:t>1</w:t>
            </w:r>
          </w:p>
        </w:tc>
        <w:tc>
          <w:tcPr>
            <w:tcW w:w="650" w:type="dxa"/>
            <w:noWrap/>
            <w:vAlign w:val="center"/>
          </w:tcPr>
          <w:p w14:paraId="1BFB2B79"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vAlign w:val="center"/>
          </w:tcPr>
          <w:p w14:paraId="0DBF83CC" w14:textId="77777777" w:rsidR="00AB6753" w:rsidRPr="00F32D92" w:rsidRDefault="00AB6753" w:rsidP="002D1EA4">
            <w:pPr>
              <w:rPr>
                <w:rFonts w:cs="Arial"/>
                <w:sz w:val="20"/>
                <w:szCs w:val="20"/>
              </w:rPr>
            </w:pPr>
            <w:r w:rsidRPr="00F32D92">
              <w:rPr>
                <w:rFonts w:cs="Arial"/>
                <w:color w:val="000000"/>
                <w:sz w:val="20"/>
                <w:szCs w:val="20"/>
              </w:rPr>
              <w:t>1</w:t>
            </w:r>
          </w:p>
        </w:tc>
        <w:tc>
          <w:tcPr>
            <w:tcW w:w="896" w:type="dxa"/>
            <w:tcBorders>
              <w:left w:val="single" w:sz="4" w:space="0" w:color="auto"/>
            </w:tcBorders>
            <w:noWrap/>
            <w:vAlign w:val="center"/>
          </w:tcPr>
          <w:p w14:paraId="072FDD7D" w14:textId="77777777" w:rsidR="00AB6753" w:rsidRPr="00F32D92" w:rsidRDefault="00AB6753" w:rsidP="002D1EA4">
            <w:pPr>
              <w:rPr>
                <w:rFonts w:cs="Arial"/>
                <w:sz w:val="20"/>
                <w:szCs w:val="20"/>
              </w:rPr>
            </w:pPr>
          </w:p>
        </w:tc>
        <w:tc>
          <w:tcPr>
            <w:tcW w:w="650" w:type="dxa"/>
            <w:noWrap/>
            <w:vAlign w:val="center"/>
          </w:tcPr>
          <w:p w14:paraId="5250B69C" w14:textId="77777777" w:rsidR="00AB6753" w:rsidRPr="00F32D92" w:rsidRDefault="00AB6753" w:rsidP="002D1EA4">
            <w:pPr>
              <w:rPr>
                <w:rFonts w:cs="Arial"/>
                <w:sz w:val="20"/>
                <w:szCs w:val="20"/>
              </w:rPr>
            </w:pPr>
          </w:p>
        </w:tc>
        <w:tc>
          <w:tcPr>
            <w:tcW w:w="1439" w:type="dxa"/>
            <w:tcBorders>
              <w:right w:val="single" w:sz="4" w:space="0" w:color="auto"/>
            </w:tcBorders>
            <w:noWrap/>
            <w:vAlign w:val="center"/>
          </w:tcPr>
          <w:p w14:paraId="7D7A7355" w14:textId="77777777" w:rsidR="00AB6753" w:rsidRPr="00F32D92" w:rsidRDefault="00AB6753" w:rsidP="002D1EA4">
            <w:pPr>
              <w:rPr>
                <w:rFonts w:cs="Arial"/>
                <w:sz w:val="20"/>
                <w:szCs w:val="20"/>
              </w:rPr>
            </w:pPr>
          </w:p>
        </w:tc>
        <w:tc>
          <w:tcPr>
            <w:tcW w:w="661" w:type="dxa"/>
            <w:tcBorders>
              <w:left w:val="single" w:sz="4" w:space="0" w:color="auto"/>
              <w:right w:val="single" w:sz="4" w:space="0" w:color="666666" w:themeColor="text1" w:themeTint="99"/>
            </w:tcBorders>
            <w:vAlign w:val="center"/>
          </w:tcPr>
          <w:p w14:paraId="5DA77CF6" w14:textId="77777777" w:rsidR="00AB6753" w:rsidRPr="00F32D92" w:rsidRDefault="00AB6753" w:rsidP="002D1EA4">
            <w:pPr>
              <w:rPr>
                <w:rFonts w:cs="Arial"/>
                <w:sz w:val="20"/>
                <w:szCs w:val="20"/>
              </w:rPr>
            </w:pPr>
            <w:r w:rsidRPr="00F32D92">
              <w:rPr>
                <w:rFonts w:cs="Arial"/>
                <w:color w:val="000000"/>
                <w:sz w:val="20"/>
                <w:szCs w:val="20"/>
              </w:rPr>
              <w:t>1</w:t>
            </w:r>
          </w:p>
        </w:tc>
      </w:tr>
      <w:tr w:rsidR="00AB6753" w:rsidRPr="00F32D92" w14:paraId="0610CE36" w14:textId="77777777" w:rsidTr="002D1EA4">
        <w:trPr>
          <w:trHeight w:val="315"/>
          <w:jc w:val="center"/>
        </w:trPr>
        <w:tc>
          <w:tcPr>
            <w:tcW w:w="1696" w:type="dxa"/>
            <w:tcBorders>
              <w:left w:val="single" w:sz="4" w:space="0" w:color="666666" w:themeColor="text1" w:themeTint="99"/>
              <w:right w:val="single" w:sz="4" w:space="0" w:color="auto"/>
            </w:tcBorders>
            <w:vAlign w:val="center"/>
          </w:tcPr>
          <w:p w14:paraId="136876C1" w14:textId="77777777" w:rsidR="00AB6753" w:rsidRPr="00F32D92" w:rsidRDefault="00AB6753" w:rsidP="002D1EA4">
            <w:pPr>
              <w:rPr>
                <w:rFonts w:cs="Arial"/>
                <w:sz w:val="20"/>
                <w:szCs w:val="20"/>
              </w:rPr>
            </w:pPr>
            <w:r w:rsidRPr="00F32D92">
              <w:rPr>
                <w:rFonts w:cs="Arial"/>
                <w:sz w:val="20"/>
                <w:szCs w:val="20"/>
              </w:rPr>
              <w:t>Public Affairs Officer Grade 2</w:t>
            </w:r>
          </w:p>
        </w:tc>
        <w:tc>
          <w:tcPr>
            <w:tcW w:w="896" w:type="dxa"/>
            <w:tcBorders>
              <w:left w:val="single" w:sz="4" w:space="0" w:color="auto"/>
            </w:tcBorders>
            <w:noWrap/>
            <w:vAlign w:val="center"/>
          </w:tcPr>
          <w:p w14:paraId="29A074E6"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0BB16A88"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tcPr>
          <w:p w14:paraId="3050A81E"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214E5008" w14:textId="77777777" w:rsidR="00AB6753" w:rsidRPr="00F32D92" w:rsidRDefault="00AB6753" w:rsidP="002D1EA4">
            <w:pPr>
              <w:rPr>
                <w:rFonts w:cs="Arial"/>
                <w:sz w:val="20"/>
                <w:szCs w:val="20"/>
              </w:rPr>
            </w:pPr>
            <w:r w:rsidRPr="00F32D92">
              <w:rPr>
                <w:rFonts w:cs="Arial"/>
                <w:color w:val="000000"/>
                <w:sz w:val="20"/>
                <w:szCs w:val="20"/>
              </w:rPr>
              <w:t>1</w:t>
            </w:r>
          </w:p>
        </w:tc>
        <w:tc>
          <w:tcPr>
            <w:tcW w:w="650" w:type="dxa"/>
            <w:noWrap/>
            <w:vAlign w:val="center"/>
          </w:tcPr>
          <w:p w14:paraId="5461012C"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vAlign w:val="center"/>
          </w:tcPr>
          <w:p w14:paraId="2876CCA7" w14:textId="77777777" w:rsidR="00AB6753" w:rsidRPr="00F32D92" w:rsidRDefault="00AB6753" w:rsidP="002D1EA4">
            <w:pPr>
              <w:rPr>
                <w:rFonts w:cs="Arial"/>
                <w:sz w:val="20"/>
                <w:szCs w:val="20"/>
              </w:rPr>
            </w:pPr>
            <w:r w:rsidRPr="00F32D92">
              <w:rPr>
                <w:rFonts w:cs="Arial"/>
                <w:color w:val="000000"/>
                <w:sz w:val="20"/>
                <w:szCs w:val="20"/>
              </w:rPr>
              <w:t>1</w:t>
            </w:r>
          </w:p>
        </w:tc>
        <w:tc>
          <w:tcPr>
            <w:tcW w:w="896" w:type="dxa"/>
            <w:tcBorders>
              <w:left w:val="single" w:sz="4" w:space="0" w:color="auto"/>
            </w:tcBorders>
            <w:noWrap/>
            <w:vAlign w:val="center"/>
          </w:tcPr>
          <w:p w14:paraId="7095EA12"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tcPr>
          <w:p w14:paraId="4241B8B6"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tcPr>
          <w:p w14:paraId="6E5807D7"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666666" w:themeColor="text1" w:themeTint="99"/>
            </w:tcBorders>
            <w:vAlign w:val="center"/>
          </w:tcPr>
          <w:p w14:paraId="4231A842" w14:textId="77777777" w:rsidR="00AB6753" w:rsidRPr="00F32D92" w:rsidRDefault="00AB6753" w:rsidP="002D1EA4">
            <w:pPr>
              <w:rPr>
                <w:rFonts w:cs="Arial"/>
                <w:sz w:val="20"/>
                <w:szCs w:val="20"/>
              </w:rPr>
            </w:pPr>
            <w:r w:rsidRPr="00F32D92">
              <w:rPr>
                <w:rFonts w:cs="Arial"/>
                <w:color w:val="000000"/>
                <w:sz w:val="20"/>
                <w:szCs w:val="20"/>
              </w:rPr>
              <w:t>1</w:t>
            </w:r>
          </w:p>
        </w:tc>
      </w:tr>
      <w:tr w:rsidR="00AB6753" w:rsidRPr="00F32D92" w14:paraId="1527992F"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4DC3A61D" w14:textId="77777777" w:rsidR="00AB6753" w:rsidRPr="00F32D92" w:rsidRDefault="00AB6753" w:rsidP="002D1EA4">
            <w:pPr>
              <w:rPr>
                <w:rFonts w:cs="Arial"/>
                <w:sz w:val="20"/>
                <w:szCs w:val="20"/>
              </w:rPr>
            </w:pPr>
            <w:r w:rsidRPr="00F32D92">
              <w:rPr>
                <w:rFonts w:cs="Arial"/>
                <w:sz w:val="20"/>
                <w:szCs w:val="20"/>
              </w:rPr>
              <w:t>APS 6</w:t>
            </w:r>
          </w:p>
        </w:tc>
        <w:tc>
          <w:tcPr>
            <w:tcW w:w="896" w:type="dxa"/>
            <w:tcBorders>
              <w:left w:val="single" w:sz="4" w:space="0" w:color="auto"/>
            </w:tcBorders>
            <w:noWrap/>
            <w:vAlign w:val="center"/>
            <w:hideMark/>
          </w:tcPr>
          <w:p w14:paraId="65C87EB9" w14:textId="77777777" w:rsidR="00AB6753" w:rsidRPr="00F32D92" w:rsidRDefault="00AB6753" w:rsidP="002D1EA4">
            <w:pPr>
              <w:rPr>
                <w:rFonts w:cs="Arial"/>
                <w:sz w:val="20"/>
                <w:szCs w:val="20"/>
              </w:rPr>
            </w:pPr>
            <w:r w:rsidRPr="00F32D92">
              <w:rPr>
                <w:rFonts w:cs="Arial"/>
                <w:color w:val="000000"/>
                <w:sz w:val="20"/>
                <w:szCs w:val="20"/>
              </w:rPr>
              <w:t>2</w:t>
            </w:r>
          </w:p>
        </w:tc>
        <w:tc>
          <w:tcPr>
            <w:tcW w:w="650" w:type="dxa"/>
            <w:noWrap/>
            <w:vAlign w:val="center"/>
            <w:hideMark/>
          </w:tcPr>
          <w:p w14:paraId="57B27764"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hideMark/>
          </w:tcPr>
          <w:p w14:paraId="749B1EA7" w14:textId="77777777" w:rsidR="00AB6753" w:rsidRPr="00F32D92" w:rsidRDefault="00AB6753" w:rsidP="002D1EA4">
            <w:pPr>
              <w:rPr>
                <w:rFonts w:cs="Arial"/>
                <w:sz w:val="20"/>
                <w:szCs w:val="20"/>
              </w:rPr>
            </w:pPr>
            <w:r w:rsidRPr="00F32D92">
              <w:rPr>
                <w:rFonts w:cs="Arial"/>
                <w:color w:val="000000"/>
                <w:sz w:val="20"/>
                <w:szCs w:val="20"/>
              </w:rPr>
              <w:t>2</w:t>
            </w:r>
          </w:p>
        </w:tc>
        <w:tc>
          <w:tcPr>
            <w:tcW w:w="896" w:type="dxa"/>
            <w:tcBorders>
              <w:left w:val="single" w:sz="4" w:space="0" w:color="auto"/>
            </w:tcBorders>
            <w:noWrap/>
            <w:vAlign w:val="center"/>
            <w:hideMark/>
          </w:tcPr>
          <w:p w14:paraId="7DF3D903" w14:textId="77777777" w:rsidR="00AB6753" w:rsidRPr="00F32D92" w:rsidRDefault="00AB6753" w:rsidP="002D1EA4">
            <w:pPr>
              <w:rPr>
                <w:rFonts w:cs="Arial"/>
                <w:sz w:val="20"/>
                <w:szCs w:val="20"/>
              </w:rPr>
            </w:pPr>
            <w:r w:rsidRPr="00F32D92">
              <w:rPr>
                <w:rFonts w:cs="Arial"/>
                <w:color w:val="000000"/>
                <w:sz w:val="20"/>
                <w:szCs w:val="20"/>
              </w:rPr>
              <w:t>6</w:t>
            </w:r>
          </w:p>
        </w:tc>
        <w:tc>
          <w:tcPr>
            <w:tcW w:w="650" w:type="dxa"/>
            <w:noWrap/>
            <w:vAlign w:val="center"/>
            <w:hideMark/>
          </w:tcPr>
          <w:p w14:paraId="0ED93B1C" w14:textId="77777777" w:rsidR="00AB6753" w:rsidRPr="00F32D92" w:rsidRDefault="00AB6753" w:rsidP="002D1EA4">
            <w:pPr>
              <w:rPr>
                <w:rFonts w:cs="Arial"/>
                <w:sz w:val="20"/>
                <w:szCs w:val="20"/>
              </w:rPr>
            </w:pPr>
            <w:r w:rsidRPr="00F32D92">
              <w:rPr>
                <w:rFonts w:cs="Arial"/>
                <w:color w:val="000000"/>
                <w:sz w:val="20"/>
                <w:szCs w:val="20"/>
              </w:rPr>
              <w:t>1</w:t>
            </w:r>
          </w:p>
        </w:tc>
        <w:tc>
          <w:tcPr>
            <w:tcW w:w="883" w:type="dxa"/>
            <w:tcBorders>
              <w:right w:val="single" w:sz="4" w:space="0" w:color="auto"/>
            </w:tcBorders>
            <w:noWrap/>
            <w:vAlign w:val="center"/>
            <w:hideMark/>
          </w:tcPr>
          <w:p w14:paraId="3EBD4DC1" w14:textId="77777777" w:rsidR="00AB6753" w:rsidRPr="00F32D92" w:rsidRDefault="00AB6753" w:rsidP="002D1EA4">
            <w:pPr>
              <w:rPr>
                <w:rFonts w:cs="Arial"/>
                <w:sz w:val="20"/>
                <w:szCs w:val="20"/>
              </w:rPr>
            </w:pPr>
            <w:r w:rsidRPr="00F32D92">
              <w:rPr>
                <w:rFonts w:cs="Arial"/>
                <w:color w:val="000000"/>
                <w:sz w:val="20"/>
                <w:szCs w:val="20"/>
              </w:rPr>
              <w:t>7</w:t>
            </w:r>
          </w:p>
        </w:tc>
        <w:tc>
          <w:tcPr>
            <w:tcW w:w="896" w:type="dxa"/>
            <w:tcBorders>
              <w:left w:val="single" w:sz="4" w:space="0" w:color="auto"/>
            </w:tcBorders>
            <w:noWrap/>
            <w:vAlign w:val="center"/>
            <w:hideMark/>
          </w:tcPr>
          <w:p w14:paraId="7F5CC1DF"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hideMark/>
          </w:tcPr>
          <w:p w14:paraId="24868345"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hideMark/>
          </w:tcPr>
          <w:p w14:paraId="5766C043"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666666" w:themeColor="text1" w:themeTint="99"/>
            </w:tcBorders>
            <w:vAlign w:val="center"/>
          </w:tcPr>
          <w:p w14:paraId="1BEAAE26" w14:textId="77777777" w:rsidR="00AB6753" w:rsidRPr="00F32D92" w:rsidRDefault="00AB6753" w:rsidP="002D1EA4">
            <w:pPr>
              <w:rPr>
                <w:rFonts w:cs="Arial"/>
                <w:sz w:val="20"/>
                <w:szCs w:val="20"/>
              </w:rPr>
            </w:pPr>
            <w:r w:rsidRPr="00F32D92">
              <w:rPr>
                <w:rFonts w:cs="Arial"/>
                <w:color w:val="000000"/>
                <w:sz w:val="20"/>
                <w:szCs w:val="20"/>
              </w:rPr>
              <w:t>9</w:t>
            </w:r>
          </w:p>
        </w:tc>
      </w:tr>
      <w:tr w:rsidR="00AB6753" w:rsidRPr="00F32D92" w14:paraId="03A08890"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2B2C6E73" w14:textId="77777777" w:rsidR="00AB6753" w:rsidRPr="00F32D92" w:rsidRDefault="00AB6753" w:rsidP="002D1EA4">
            <w:pPr>
              <w:rPr>
                <w:rFonts w:cs="Arial"/>
                <w:sz w:val="20"/>
                <w:szCs w:val="20"/>
              </w:rPr>
            </w:pPr>
            <w:r w:rsidRPr="00F32D92">
              <w:rPr>
                <w:rFonts w:cs="Arial"/>
                <w:sz w:val="20"/>
                <w:szCs w:val="20"/>
              </w:rPr>
              <w:t>APS 5</w:t>
            </w:r>
          </w:p>
        </w:tc>
        <w:tc>
          <w:tcPr>
            <w:tcW w:w="896" w:type="dxa"/>
            <w:tcBorders>
              <w:left w:val="single" w:sz="4" w:space="0" w:color="auto"/>
            </w:tcBorders>
            <w:noWrap/>
            <w:vAlign w:val="center"/>
            <w:hideMark/>
          </w:tcPr>
          <w:p w14:paraId="62960B77" w14:textId="77777777" w:rsidR="00AB6753" w:rsidRPr="00F32D92" w:rsidRDefault="00AB6753" w:rsidP="002D1EA4">
            <w:pPr>
              <w:rPr>
                <w:rFonts w:cs="Arial"/>
                <w:sz w:val="20"/>
                <w:szCs w:val="20"/>
              </w:rPr>
            </w:pPr>
            <w:r w:rsidRPr="00F32D92">
              <w:rPr>
                <w:rFonts w:cs="Arial"/>
                <w:color w:val="000000"/>
                <w:sz w:val="20"/>
                <w:szCs w:val="20"/>
              </w:rPr>
              <w:t>2</w:t>
            </w:r>
          </w:p>
        </w:tc>
        <w:tc>
          <w:tcPr>
            <w:tcW w:w="650" w:type="dxa"/>
            <w:noWrap/>
            <w:vAlign w:val="center"/>
            <w:hideMark/>
          </w:tcPr>
          <w:p w14:paraId="3142BE55" w14:textId="77777777" w:rsidR="00AB6753" w:rsidRPr="00F32D92" w:rsidRDefault="00AB6753" w:rsidP="002D1EA4">
            <w:pPr>
              <w:rPr>
                <w:rFonts w:cs="Arial"/>
                <w:sz w:val="20"/>
                <w:szCs w:val="20"/>
              </w:rPr>
            </w:pPr>
            <w:r w:rsidRPr="00F32D92">
              <w:rPr>
                <w:rFonts w:cs="Arial"/>
                <w:color w:val="000000"/>
                <w:sz w:val="20"/>
                <w:szCs w:val="20"/>
              </w:rPr>
              <w:t>1</w:t>
            </w:r>
          </w:p>
        </w:tc>
        <w:tc>
          <w:tcPr>
            <w:tcW w:w="749" w:type="dxa"/>
            <w:tcBorders>
              <w:right w:val="single" w:sz="4" w:space="0" w:color="auto"/>
            </w:tcBorders>
            <w:noWrap/>
            <w:vAlign w:val="center"/>
            <w:hideMark/>
          </w:tcPr>
          <w:p w14:paraId="688C7E25" w14:textId="77777777" w:rsidR="00AB6753" w:rsidRPr="00F32D92" w:rsidRDefault="00AB6753" w:rsidP="002D1EA4">
            <w:pPr>
              <w:rPr>
                <w:rFonts w:cs="Arial"/>
                <w:sz w:val="20"/>
                <w:szCs w:val="20"/>
              </w:rPr>
            </w:pPr>
            <w:r w:rsidRPr="00F32D92">
              <w:rPr>
                <w:rFonts w:cs="Arial"/>
                <w:color w:val="000000"/>
                <w:sz w:val="20"/>
                <w:szCs w:val="20"/>
              </w:rPr>
              <w:t>3</w:t>
            </w:r>
          </w:p>
        </w:tc>
        <w:tc>
          <w:tcPr>
            <w:tcW w:w="896" w:type="dxa"/>
            <w:tcBorders>
              <w:left w:val="single" w:sz="4" w:space="0" w:color="auto"/>
            </w:tcBorders>
            <w:noWrap/>
            <w:vAlign w:val="center"/>
            <w:hideMark/>
          </w:tcPr>
          <w:p w14:paraId="70D04547" w14:textId="77777777" w:rsidR="00AB6753" w:rsidRPr="00F32D92" w:rsidRDefault="00AB6753" w:rsidP="002D1EA4">
            <w:pPr>
              <w:rPr>
                <w:rFonts w:cs="Arial"/>
                <w:sz w:val="20"/>
                <w:szCs w:val="20"/>
              </w:rPr>
            </w:pPr>
            <w:r w:rsidRPr="00F32D92">
              <w:rPr>
                <w:rFonts w:cs="Arial"/>
                <w:color w:val="000000"/>
                <w:sz w:val="20"/>
                <w:szCs w:val="20"/>
              </w:rPr>
              <w:t>16</w:t>
            </w:r>
          </w:p>
        </w:tc>
        <w:tc>
          <w:tcPr>
            <w:tcW w:w="650" w:type="dxa"/>
            <w:noWrap/>
            <w:vAlign w:val="center"/>
            <w:hideMark/>
          </w:tcPr>
          <w:p w14:paraId="00FEADF5" w14:textId="77777777" w:rsidR="00AB6753" w:rsidRPr="00F32D92" w:rsidRDefault="00AB6753" w:rsidP="002D1EA4">
            <w:pPr>
              <w:rPr>
                <w:rFonts w:cs="Arial"/>
                <w:sz w:val="20"/>
                <w:szCs w:val="20"/>
              </w:rPr>
            </w:pPr>
            <w:r w:rsidRPr="00F32D92">
              <w:rPr>
                <w:rFonts w:cs="Arial"/>
                <w:color w:val="000000"/>
                <w:sz w:val="20"/>
                <w:szCs w:val="20"/>
              </w:rPr>
              <w:t>2</w:t>
            </w:r>
          </w:p>
        </w:tc>
        <w:tc>
          <w:tcPr>
            <w:tcW w:w="883" w:type="dxa"/>
            <w:tcBorders>
              <w:right w:val="single" w:sz="4" w:space="0" w:color="auto"/>
            </w:tcBorders>
            <w:noWrap/>
            <w:vAlign w:val="center"/>
            <w:hideMark/>
          </w:tcPr>
          <w:p w14:paraId="4564388A" w14:textId="77777777" w:rsidR="00AB6753" w:rsidRPr="00F32D92" w:rsidRDefault="00AB6753" w:rsidP="002D1EA4">
            <w:pPr>
              <w:rPr>
                <w:rFonts w:cs="Arial"/>
                <w:sz w:val="20"/>
                <w:szCs w:val="20"/>
              </w:rPr>
            </w:pPr>
            <w:r w:rsidRPr="00F32D92">
              <w:rPr>
                <w:rFonts w:cs="Arial"/>
                <w:color w:val="000000"/>
                <w:sz w:val="20"/>
                <w:szCs w:val="20"/>
              </w:rPr>
              <w:t>18</w:t>
            </w:r>
          </w:p>
        </w:tc>
        <w:tc>
          <w:tcPr>
            <w:tcW w:w="896" w:type="dxa"/>
            <w:tcBorders>
              <w:left w:val="single" w:sz="4" w:space="0" w:color="auto"/>
            </w:tcBorders>
            <w:noWrap/>
            <w:vAlign w:val="center"/>
            <w:hideMark/>
          </w:tcPr>
          <w:p w14:paraId="30D9EA3D"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hideMark/>
          </w:tcPr>
          <w:p w14:paraId="32FBFEE0"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hideMark/>
          </w:tcPr>
          <w:p w14:paraId="086DB39E"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666666" w:themeColor="text1" w:themeTint="99"/>
            </w:tcBorders>
            <w:vAlign w:val="center"/>
          </w:tcPr>
          <w:p w14:paraId="73905883" w14:textId="77777777" w:rsidR="00AB6753" w:rsidRPr="00F32D92" w:rsidRDefault="00AB6753" w:rsidP="002D1EA4">
            <w:pPr>
              <w:rPr>
                <w:rFonts w:cs="Arial"/>
                <w:sz w:val="20"/>
                <w:szCs w:val="20"/>
              </w:rPr>
            </w:pPr>
            <w:r w:rsidRPr="00F32D92">
              <w:rPr>
                <w:rFonts w:cs="Arial"/>
                <w:color w:val="000000"/>
                <w:sz w:val="20"/>
                <w:szCs w:val="20"/>
              </w:rPr>
              <w:t>21</w:t>
            </w:r>
          </w:p>
        </w:tc>
      </w:tr>
      <w:tr w:rsidR="00AB6753" w:rsidRPr="00F32D92" w14:paraId="25D80174"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40A3B03D" w14:textId="77777777" w:rsidR="00AB6753" w:rsidRPr="00F32D92" w:rsidRDefault="00AB6753" w:rsidP="002D1EA4">
            <w:pPr>
              <w:rPr>
                <w:rFonts w:cs="Arial"/>
                <w:sz w:val="20"/>
                <w:szCs w:val="20"/>
              </w:rPr>
            </w:pPr>
            <w:r w:rsidRPr="00F32D92">
              <w:rPr>
                <w:rFonts w:cs="Arial"/>
                <w:sz w:val="20"/>
                <w:szCs w:val="20"/>
              </w:rPr>
              <w:t>APS 4</w:t>
            </w:r>
          </w:p>
        </w:tc>
        <w:tc>
          <w:tcPr>
            <w:tcW w:w="896" w:type="dxa"/>
            <w:tcBorders>
              <w:left w:val="single" w:sz="4" w:space="0" w:color="auto"/>
            </w:tcBorders>
            <w:noWrap/>
            <w:vAlign w:val="center"/>
            <w:hideMark/>
          </w:tcPr>
          <w:p w14:paraId="62ACE947" w14:textId="77777777" w:rsidR="00AB6753" w:rsidRPr="00F32D92" w:rsidRDefault="00AB6753" w:rsidP="002D1EA4">
            <w:pPr>
              <w:rPr>
                <w:rFonts w:cs="Arial"/>
                <w:sz w:val="20"/>
                <w:szCs w:val="20"/>
              </w:rPr>
            </w:pPr>
            <w:r w:rsidRPr="00F32D92">
              <w:rPr>
                <w:rFonts w:cs="Arial"/>
                <w:color w:val="000000"/>
                <w:sz w:val="20"/>
                <w:szCs w:val="20"/>
              </w:rPr>
              <w:t>2</w:t>
            </w:r>
          </w:p>
        </w:tc>
        <w:tc>
          <w:tcPr>
            <w:tcW w:w="650" w:type="dxa"/>
            <w:noWrap/>
            <w:vAlign w:val="center"/>
            <w:hideMark/>
          </w:tcPr>
          <w:p w14:paraId="1E7E2FD2"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hideMark/>
          </w:tcPr>
          <w:p w14:paraId="69FD5BC3" w14:textId="77777777" w:rsidR="00AB6753" w:rsidRPr="00F32D92" w:rsidRDefault="00AB6753" w:rsidP="002D1EA4">
            <w:pPr>
              <w:rPr>
                <w:rFonts w:cs="Arial"/>
                <w:sz w:val="20"/>
                <w:szCs w:val="20"/>
              </w:rPr>
            </w:pPr>
            <w:r w:rsidRPr="00F32D92">
              <w:rPr>
                <w:rFonts w:cs="Arial"/>
                <w:color w:val="000000"/>
                <w:sz w:val="20"/>
                <w:szCs w:val="20"/>
              </w:rPr>
              <w:t>2</w:t>
            </w:r>
          </w:p>
        </w:tc>
        <w:tc>
          <w:tcPr>
            <w:tcW w:w="896" w:type="dxa"/>
            <w:tcBorders>
              <w:left w:val="single" w:sz="4" w:space="0" w:color="auto"/>
            </w:tcBorders>
            <w:noWrap/>
            <w:vAlign w:val="center"/>
            <w:hideMark/>
          </w:tcPr>
          <w:p w14:paraId="37B624D4" w14:textId="77777777" w:rsidR="00AB6753" w:rsidRPr="00F32D92" w:rsidRDefault="00AB6753" w:rsidP="002D1EA4">
            <w:pPr>
              <w:rPr>
                <w:rFonts w:cs="Arial"/>
                <w:sz w:val="20"/>
                <w:szCs w:val="20"/>
              </w:rPr>
            </w:pPr>
            <w:r w:rsidRPr="00F32D92">
              <w:rPr>
                <w:rFonts w:cs="Arial"/>
                <w:color w:val="000000"/>
                <w:sz w:val="20"/>
                <w:szCs w:val="20"/>
              </w:rPr>
              <w:t>14</w:t>
            </w:r>
          </w:p>
        </w:tc>
        <w:tc>
          <w:tcPr>
            <w:tcW w:w="650" w:type="dxa"/>
            <w:noWrap/>
            <w:vAlign w:val="center"/>
            <w:hideMark/>
          </w:tcPr>
          <w:p w14:paraId="61AF9C73" w14:textId="77777777" w:rsidR="00AB6753" w:rsidRPr="00F32D92" w:rsidRDefault="00AB6753" w:rsidP="002D1EA4">
            <w:pPr>
              <w:rPr>
                <w:rFonts w:cs="Arial"/>
                <w:sz w:val="20"/>
                <w:szCs w:val="20"/>
              </w:rPr>
            </w:pPr>
            <w:r w:rsidRPr="00F32D92">
              <w:rPr>
                <w:rFonts w:cs="Arial"/>
                <w:color w:val="000000"/>
                <w:sz w:val="20"/>
                <w:szCs w:val="20"/>
              </w:rPr>
              <w:t>1</w:t>
            </w:r>
          </w:p>
        </w:tc>
        <w:tc>
          <w:tcPr>
            <w:tcW w:w="883" w:type="dxa"/>
            <w:tcBorders>
              <w:right w:val="single" w:sz="4" w:space="0" w:color="auto"/>
            </w:tcBorders>
            <w:noWrap/>
            <w:vAlign w:val="center"/>
            <w:hideMark/>
          </w:tcPr>
          <w:p w14:paraId="2911D3E7" w14:textId="77777777" w:rsidR="00AB6753" w:rsidRPr="00F32D92" w:rsidRDefault="00AB6753" w:rsidP="002D1EA4">
            <w:pPr>
              <w:rPr>
                <w:rFonts w:cs="Arial"/>
                <w:sz w:val="20"/>
                <w:szCs w:val="20"/>
              </w:rPr>
            </w:pPr>
            <w:r w:rsidRPr="00F32D92">
              <w:rPr>
                <w:rFonts w:cs="Arial"/>
                <w:color w:val="000000"/>
                <w:sz w:val="20"/>
                <w:szCs w:val="20"/>
              </w:rPr>
              <w:t>15</w:t>
            </w:r>
          </w:p>
        </w:tc>
        <w:tc>
          <w:tcPr>
            <w:tcW w:w="896" w:type="dxa"/>
            <w:tcBorders>
              <w:left w:val="single" w:sz="4" w:space="0" w:color="auto"/>
            </w:tcBorders>
            <w:noWrap/>
            <w:vAlign w:val="center"/>
            <w:hideMark/>
          </w:tcPr>
          <w:p w14:paraId="2BFAFC84"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hideMark/>
          </w:tcPr>
          <w:p w14:paraId="56B62540"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hideMark/>
          </w:tcPr>
          <w:p w14:paraId="24BFE52A"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666666" w:themeColor="text1" w:themeTint="99"/>
            </w:tcBorders>
            <w:vAlign w:val="center"/>
          </w:tcPr>
          <w:p w14:paraId="70C738B9" w14:textId="77777777" w:rsidR="00AB6753" w:rsidRPr="00F32D92" w:rsidRDefault="00AB6753" w:rsidP="002D1EA4">
            <w:pPr>
              <w:rPr>
                <w:rFonts w:cs="Arial"/>
                <w:sz w:val="20"/>
                <w:szCs w:val="20"/>
              </w:rPr>
            </w:pPr>
            <w:r w:rsidRPr="00F32D92">
              <w:rPr>
                <w:rFonts w:cs="Arial"/>
                <w:color w:val="000000"/>
                <w:sz w:val="20"/>
                <w:szCs w:val="20"/>
              </w:rPr>
              <w:t>17</w:t>
            </w:r>
          </w:p>
        </w:tc>
      </w:tr>
      <w:tr w:rsidR="00AB6753" w:rsidRPr="00F32D92" w14:paraId="24F2826E" w14:textId="77777777" w:rsidTr="002D1EA4">
        <w:trPr>
          <w:trHeight w:val="315"/>
          <w:jc w:val="center"/>
        </w:trPr>
        <w:tc>
          <w:tcPr>
            <w:tcW w:w="1696" w:type="dxa"/>
            <w:tcBorders>
              <w:left w:val="single" w:sz="4" w:space="0" w:color="666666" w:themeColor="text1" w:themeTint="99"/>
              <w:right w:val="single" w:sz="4" w:space="0" w:color="auto"/>
            </w:tcBorders>
            <w:vAlign w:val="center"/>
          </w:tcPr>
          <w:p w14:paraId="6ABC7683" w14:textId="77777777" w:rsidR="00AB6753" w:rsidRPr="00F32D92" w:rsidRDefault="00AB6753" w:rsidP="002D1EA4">
            <w:pPr>
              <w:rPr>
                <w:rFonts w:cs="Arial"/>
                <w:sz w:val="20"/>
                <w:szCs w:val="20"/>
              </w:rPr>
            </w:pPr>
            <w:r w:rsidRPr="00F32D92">
              <w:rPr>
                <w:rFonts w:cs="Arial"/>
                <w:sz w:val="20"/>
                <w:szCs w:val="20"/>
              </w:rPr>
              <w:t>APS 3</w:t>
            </w:r>
          </w:p>
        </w:tc>
        <w:tc>
          <w:tcPr>
            <w:tcW w:w="896" w:type="dxa"/>
            <w:tcBorders>
              <w:left w:val="single" w:sz="4" w:space="0" w:color="auto"/>
            </w:tcBorders>
            <w:noWrap/>
            <w:vAlign w:val="center"/>
          </w:tcPr>
          <w:p w14:paraId="5B1B6258" w14:textId="77777777" w:rsidR="00AB6753" w:rsidRPr="00F32D92" w:rsidRDefault="00AB6753" w:rsidP="002D1EA4">
            <w:pPr>
              <w:rPr>
                <w:rFonts w:cs="Arial"/>
                <w:sz w:val="20"/>
                <w:szCs w:val="20"/>
              </w:rPr>
            </w:pPr>
            <w:r w:rsidRPr="00F32D92">
              <w:rPr>
                <w:rFonts w:cs="Arial"/>
                <w:color w:val="000000"/>
                <w:sz w:val="20"/>
                <w:szCs w:val="20"/>
              </w:rPr>
              <w:t>3</w:t>
            </w:r>
          </w:p>
        </w:tc>
        <w:tc>
          <w:tcPr>
            <w:tcW w:w="650" w:type="dxa"/>
            <w:noWrap/>
            <w:vAlign w:val="center"/>
          </w:tcPr>
          <w:p w14:paraId="4498B33E"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tcPr>
          <w:p w14:paraId="3121333B" w14:textId="77777777" w:rsidR="00AB6753" w:rsidRPr="00F32D92" w:rsidRDefault="00AB6753" w:rsidP="002D1EA4">
            <w:pPr>
              <w:rPr>
                <w:rFonts w:cs="Arial"/>
                <w:sz w:val="20"/>
                <w:szCs w:val="20"/>
              </w:rPr>
            </w:pPr>
            <w:r w:rsidRPr="00F32D92">
              <w:rPr>
                <w:rFonts w:cs="Arial"/>
                <w:color w:val="000000"/>
                <w:sz w:val="20"/>
                <w:szCs w:val="20"/>
              </w:rPr>
              <w:t>3</w:t>
            </w:r>
          </w:p>
        </w:tc>
        <w:tc>
          <w:tcPr>
            <w:tcW w:w="896" w:type="dxa"/>
            <w:tcBorders>
              <w:left w:val="single" w:sz="4" w:space="0" w:color="auto"/>
            </w:tcBorders>
            <w:noWrap/>
            <w:vAlign w:val="center"/>
          </w:tcPr>
          <w:p w14:paraId="61B732E0"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4C27B06A" w14:textId="77777777" w:rsidR="00AB6753" w:rsidRPr="00F32D92" w:rsidRDefault="00AB6753" w:rsidP="002D1EA4">
            <w:pPr>
              <w:rPr>
                <w:rFonts w:cs="Arial"/>
                <w:sz w:val="20"/>
                <w:szCs w:val="20"/>
              </w:rPr>
            </w:pPr>
            <w:r w:rsidRPr="00F32D92">
              <w:rPr>
                <w:rFonts w:cs="Arial"/>
                <w:color w:val="000000"/>
                <w:sz w:val="20"/>
                <w:szCs w:val="20"/>
              </w:rPr>
              <w:t>1</w:t>
            </w:r>
          </w:p>
        </w:tc>
        <w:tc>
          <w:tcPr>
            <w:tcW w:w="883" w:type="dxa"/>
            <w:tcBorders>
              <w:right w:val="single" w:sz="4" w:space="0" w:color="auto"/>
            </w:tcBorders>
            <w:noWrap/>
            <w:vAlign w:val="center"/>
          </w:tcPr>
          <w:p w14:paraId="29A7A1B5" w14:textId="77777777" w:rsidR="00AB6753" w:rsidRPr="00F32D92" w:rsidRDefault="00AB6753" w:rsidP="002D1EA4">
            <w:pPr>
              <w:rPr>
                <w:rFonts w:cs="Arial"/>
                <w:sz w:val="20"/>
                <w:szCs w:val="20"/>
              </w:rPr>
            </w:pPr>
            <w:r w:rsidRPr="00F32D92">
              <w:rPr>
                <w:rFonts w:cs="Arial"/>
                <w:color w:val="000000"/>
                <w:sz w:val="20"/>
                <w:szCs w:val="20"/>
              </w:rPr>
              <w:t>1</w:t>
            </w:r>
          </w:p>
        </w:tc>
        <w:tc>
          <w:tcPr>
            <w:tcW w:w="896" w:type="dxa"/>
            <w:tcBorders>
              <w:left w:val="single" w:sz="4" w:space="0" w:color="auto"/>
            </w:tcBorders>
            <w:noWrap/>
            <w:vAlign w:val="center"/>
          </w:tcPr>
          <w:p w14:paraId="1EF3765F"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tcPr>
          <w:p w14:paraId="7D10D746"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tcPr>
          <w:p w14:paraId="0A1FA48D"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666666" w:themeColor="text1" w:themeTint="99"/>
            </w:tcBorders>
            <w:vAlign w:val="center"/>
          </w:tcPr>
          <w:p w14:paraId="7AF85C1B" w14:textId="77777777" w:rsidR="00AB6753" w:rsidRPr="00F32D92" w:rsidRDefault="00AB6753" w:rsidP="002D1EA4">
            <w:pPr>
              <w:rPr>
                <w:rFonts w:cs="Arial"/>
                <w:sz w:val="20"/>
                <w:szCs w:val="20"/>
              </w:rPr>
            </w:pPr>
            <w:r w:rsidRPr="00F32D92">
              <w:rPr>
                <w:rFonts w:cs="Arial"/>
                <w:color w:val="000000"/>
                <w:sz w:val="20"/>
                <w:szCs w:val="20"/>
              </w:rPr>
              <w:t>4</w:t>
            </w:r>
          </w:p>
        </w:tc>
      </w:tr>
      <w:tr w:rsidR="00AB6753" w:rsidRPr="00F32D92" w14:paraId="2F609241" w14:textId="77777777" w:rsidTr="002D1EA4">
        <w:trPr>
          <w:trHeight w:val="315"/>
          <w:jc w:val="center"/>
        </w:trPr>
        <w:tc>
          <w:tcPr>
            <w:tcW w:w="1696" w:type="dxa"/>
            <w:tcBorders>
              <w:left w:val="single" w:sz="4" w:space="0" w:color="666666" w:themeColor="text1" w:themeTint="99"/>
              <w:right w:val="single" w:sz="4" w:space="0" w:color="auto"/>
            </w:tcBorders>
            <w:vAlign w:val="center"/>
          </w:tcPr>
          <w:p w14:paraId="06826AF0" w14:textId="77777777" w:rsidR="00AB6753" w:rsidRPr="00F32D92" w:rsidRDefault="00AB6753" w:rsidP="002D1EA4">
            <w:pPr>
              <w:rPr>
                <w:rFonts w:cs="Arial"/>
                <w:sz w:val="20"/>
                <w:szCs w:val="20"/>
              </w:rPr>
            </w:pPr>
            <w:r w:rsidRPr="00F32D92">
              <w:rPr>
                <w:rFonts w:cs="Arial"/>
                <w:sz w:val="20"/>
                <w:szCs w:val="20"/>
              </w:rPr>
              <w:t>APS 2</w:t>
            </w:r>
          </w:p>
        </w:tc>
        <w:tc>
          <w:tcPr>
            <w:tcW w:w="896" w:type="dxa"/>
            <w:tcBorders>
              <w:left w:val="single" w:sz="4" w:space="0" w:color="auto"/>
            </w:tcBorders>
            <w:noWrap/>
            <w:vAlign w:val="center"/>
          </w:tcPr>
          <w:p w14:paraId="544D3CC6"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32214BA0"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tcPr>
          <w:p w14:paraId="425F0ED8"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53C94684"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6BA30BD2"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vAlign w:val="center"/>
          </w:tcPr>
          <w:p w14:paraId="69095745"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2665E622"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tcPr>
          <w:p w14:paraId="2E3A67B1"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tcPr>
          <w:p w14:paraId="11A8B3C4"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666666" w:themeColor="text1" w:themeTint="99"/>
            </w:tcBorders>
            <w:vAlign w:val="center"/>
          </w:tcPr>
          <w:p w14:paraId="10051E1A"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3291399B" w14:textId="77777777" w:rsidTr="002D1EA4">
        <w:trPr>
          <w:trHeight w:val="315"/>
          <w:jc w:val="center"/>
        </w:trPr>
        <w:tc>
          <w:tcPr>
            <w:tcW w:w="1696" w:type="dxa"/>
            <w:tcBorders>
              <w:left w:val="single" w:sz="4" w:space="0" w:color="666666" w:themeColor="text1" w:themeTint="99"/>
              <w:right w:val="single" w:sz="4" w:space="0" w:color="auto"/>
            </w:tcBorders>
            <w:vAlign w:val="center"/>
          </w:tcPr>
          <w:p w14:paraId="26D7940B" w14:textId="77777777" w:rsidR="00AB6753" w:rsidRPr="00F32D92" w:rsidRDefault="00AB6753" w:rsidP="002D1EA4">
            <w:pPr>
              <w:rPr>
                <w:rFonts w:cs="Arial"/>
                <w:sz w:val="20"/>
                <w:szCs w:val="20"/>
              </w:rPr>
            </w:pPr>
            <w:r w:rsidRPr="00F32D92">
              <w:rPr>
                <w:rFonts w:cs="Arial"/>
                <w:sz w:val="20"/>
                <w:szCs w:val="20"/>
              </w:rPr>
              <w:t>APS 1</w:t>
            </w:r>
          </w:p>
        </w:tc>
        <w:tc>
          <w:tcPr>
            <w:tcW w:w="896" w:type="dxa"/>
            <w:tcBorders>
              <w:left w:val="single" w:sz="4" w:space="0" w:color="auto"/>
            </w:tcBorders>
            <w:noWrap/>
            <w:vAlign w:val="center"/>
          </w:tcPr>
          <w:p w14:paraId="375727F6"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25A4EA86"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tcPr>
          <w:p w14:paraId="42C5EE92"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3E5E335A"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3EE4D525"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vAlign w:val="center"/>
          </w:tcPr>
          <w:p w14:paraId="6BD1B0EC"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667D4EAF"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tcPr>
          <w:p w14:paraId="704080A3"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tcPr>
          <w:p w14:paraId="7593F116"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666666" w:themeColor="text1" w:themeTint="99"/>
            </w:tcBorders>
            <w:vAlign w:val="center"/>
          </w:tcPr>
          <w:p w14:paraId="4794CD35"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6FC69676" w14:textId="77777777" w:rsidTr="002D1EA4">
        <w:trPr>
          <w:trHeight w:val="315"/>
          <w:jc w:val="center"/>
        </w:trPr>
        <w:tc>
          <w:tcPr>
            <w:tcW w:w="1696" w:type="dxa"/>
            <w:tcBorders>
              <w:left w:val="single" w:sz="4" w:space="0" w:color="666666" w:themeColor="text1" w:themeTint="99"/>
              <w:right w:val="single" w:sz="4" w:space="0" w:color="auto"/>
            </w:tcBorders>
            <w:vAlign w:val="center"/>
          </w:tcPr>
          <w:p w14:paraId="085BB080" w14:textId="77777777" w:rsidR="00AB6753" w:rsidRPr="00F32D92" w:rsidRDefault="00AB6753" w:rsidP="002D1EA4">
            <w:pPr>
              <w:rPr>
                <w:rFonts w:cs="Arial"/>
                <w:sz w:val="20"/>
                <w:szCs w:val="20"/>
              </w:rPr>
            </w:pPr>
            <w:r w:rsidRPr="00F32D92">
              <w:rPr>
                <w:rFonts w:cs="Arial"/>
                <w:sz w:val="20"/>
                <w:szCs w:val="20"/>
              </w:rPr>
              <w:t>Other</w:t>
            </w:r>
          </w:p>
        </w:tc>
        <w:tc>
          <w:tcPr>
            <w:tcW w:w="896" w:type="dxa"/>
            <w:tcBorders>
              <w:left w:val="single" w:sz="4" w:space="0" w:color="auto"/>
            </w:tcBorders>
            <w:noWrap/>
            <w:vAlign w:val="center"/>
          </w:tcPr>
          <w:p w14:paraId="408ED306"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424273AF" w14:textId="77777777" w:rsidR="00AB6753" w:rsidRPr="00F32D92" w:rsidRDefault="00AB6753" w:rsidP="002D1EA4">
            <w:pPr>
              <w:rPr>
                <w:rFonts w:cs="Arial"/>
                <w:sz w:val="20"/>
                <w:szCs w:val="20"/>
              </w:rPr>
            </w:pPr>
            <w:r w:rsidRPr="00F32D92">
              <w:rPr>
                <w:rFonts w:cs="Arial"/>
                <w:sz w:val="20"/>
                <w:szCs w:val="20"/>
              </w:rPr>
              <w:t>0</w:t>
            </w:r>
          </w:p>
        </w:tc>
        <w:tc>
          <w:tcPr>
            <w:tcW w:w="749" w:type="dxa"/>
            <w:tcBorders>
              <w:right w:val="single" w:sz="4" w:space="0" w:color="auto"/>
            </w:tcBorders>
            <w:noWrap/>
            <w:vAlign w:val="center"/>
          </w:tcPr>
          <w:p w14:paraId="0A5CC6A3"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243D0853" w14:textId="77777777" w:rsidR="00AB6753" w:rsidRPr="00F32D92" w:rsidRDefault="00AB6753" w:rsidP="002D1EA4">
            <w:pPr>
              <w:rPr>
                <w:rFonts w:cs="Arial"/>
                <w:sz w:val="20"/>
                <w:szCs w:val="20"/>
              </w:rPr>
            </w:pPr>
            <w:r w:rsidRPr="00F32D92">
              <w:rPr>
                <w:rFonts w:cs="Arial"/>
                <w:sz w:val="20"/>
                <w:szCs w:val="20"/>
              </w:rPr>
              <w:t>0</w:t>
            </w:r>
          </w:p>
        </w:tc>
        <w:tc>
          <w:tcPr>
            <w:tcW w:w="650" w:type="dxa"/>
            <w:noWrap/>
            <w:vAlign w:val="center"/>
          </w:tcPr>
          <w:p w14:paraId="547518F7" w14:textId="77777777" w:rsidR="00AB6753" w:rsidRPr="00F32D92" w:rsidRDefault="00AB6753" w:rsidP="002D1EA4">
            <w:pPr>
              <w:rPr>
                <w:rFonts w:cs="Arial"/>
                <w:sz w:val="20"/>
                <w:szCs w:val="20"/>
              </w:rPr>
            </w:pPr>
            <w:r w:rsidRPr="00F32D92">
              <w:rPr>
                <w:rFonts w:cs="Arial"/>
                <w:sz w:val="20"/>
                <w:szCs w:val="20"/>
              </w:rPr>
              <w:t>0</w:t>
            </w:r>
          </w:p>
        </w:tc>
        <w:tc>
          <w:tcPr>
            <w:tcW w:w="883" w:type="dxa"/>
            <w:tcBorders>
              <w:right w:val="single" w:sz="4" w:space="0" w:color="auto"/>
            </w:tcBorders>
            <w:noWrap/>
            <w:vAlign w:val="center"/>
          </w:tcPr>
          <w:p w14:paraId="2B4B9A24"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0E652BD3" w14:textId="77777777" w:rsidR="00AB6753" w:rsidRPr="00F32D92" w:rsidRDefault="00AB6753" w:rsidP="002D1EA4">
            <w:pPr>
              <w:rPr>
                <w:rFonts w:cs="Arial"/>
                <w:sz w:val="20"/>
                <w:szCs w:val="20"/>
              </w:rPr>
            </w:pPr>
            <w:r w:rsidRPr="00F32D92">
              <w:rPr>
                <w:rFonts w:cs="Arial"/>
                <w:sz w:val="20"/>
                <w:szCs w:val="20"/>
              </w:rPr>
              <w:t>-</w:t>
            </w:r>
          </w:p>
        </w:tc>
        <w:tc>
          <w:tcPr>
            <w:tcW w:w="650" w:type="dxa"/>
            <w:noWrap/>
            <w:vAlign w:val="center"/>
          </w:tcPr>
          <w:p w14:paraId="5A4F01D6" w14:textId="77777777" w:rsidR="00AB6753" w:rsidRPr="00F32D92" w:rsidRDefault="00AB6753" w:rsidP="002D1EA4">
            <w:pPr>
              <w:rPr>
                <w:rFonts w:cs="Arial"/>
                <w:sz w:val="20"/>
                <w:szCs w:val="20"/>
              </w:rPr>
            </w:pPr>
            <w:r w:rsidRPr="00F32D92">
              <w:rPr>
                <w:rFonts w:cs="Arial"/>
                <w:sz w:val="20"/>
                <w:szCs w:val="20"/>
              </w:rPr>
              <w:t>-</w:t>
            </w:r>
          </w:p>
        </w:tc>
        <w:tc>
          <w:tcPr>
            <w:tcW w:w="1439" w:type="dxa"/>
            <w:tcBorders>
              <w:right w:val="single" w:sz="4" w:space="0" w:color="auto"/>
            </w:tcBorders>
            <w:noWrap/>
            <w:vAlign w:val="center"/>
          </w:tcPr>
          <w:p w14:paraId="240653D3"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right w:val="single" w:sz="4" w:space="0" w:color="666666" w:themeColor="text1" w:themeTint="99"/>
            </w:tcBorders>
            <w:vAlign w:val="center"/>
          </w:tcPr>
          <w:p w14:paraId="21CA7A67"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576B6898" w14:textId="77777777" w:rsidTr="002D1EA4">
        <w:trPr>
          <w:trHeight w:val="315"/>
          <w:jc w:val="center"/>
        </w:trPr>
        <w:tc>
          <w:tcPr>
            <w:tcW w:w="1696" w:type="dxa"/>
            <w:tcBorders>
              <w:left w:val="single" w:sz="4" w:space="0" w:color="666666" w:themeColor="text1" w:themeTint="99"/>
              <w:bottom w:val="single" w:sz="4" w:space="0" w:color="auto"/>
              <w:right w:val="single" w:sz="4" w:space="0" w:color="auto"/>
            </w:tcBorders>
            <w:vAlign w:val="center"/>
          </w:tcPr>
          <w:p w14:paraId="30870CED" w14:textId="77777777" w:rsidR="00AB6753" w:rsidRPr="00F32D92" w:rsidRDefault="00AB6753" w:rsidP="002D1EA4">
            <w:pPr>
              <w:rPr>
                <w:rFonts w:cs="Arial"/>
                <w:sz w:val="20"/>
                <w:szCs w:val="20"/>
              </w:rPr>
            </w:pPr>
            <w:r w:rsidRPr="00F32D92">
              <w:rPr>
                <w:rFonts w:cs="Arial"/>
                <w:sz w:val="20"/>
                <w:szCs w:val="20"/>
              </w:rPr>
              <w:t>Total</w:t>
            </w:r>
          </w:p>
        </w:tc>
        <w:tc>
          <w:tcPr>
            <w:tcW w:w="896" w:type="dxa"/>
            <w:tcBorders>
              <w:left w:val="single" w:sz="4" w:space="0" w:color="auto"/>
              <w:bottom w:val="single" w:sz="4" w:space="0" w:color="auto"/>
            </w:tcBorders>
            <w:noWrap/>
            <w:vAlign w:val="center"/>
          </w:tcPr>
          <w:p w14:paraId="4807B4D7" w14:textId="77777777" w:rsidR="00AB6753" w:rsidRPr="00F32D92" w:rsidRDefault="00AB6753" w:rsidP="002D1EA4">
            <w:pPr>
              <w:rPr>
                <w:rFonts w:cs="Arial"/>
                <w:sz w:val="20"/>
                <w:szCs w:val="20"/>
              </w:rPr>
            </w:pPr>
            <w:r w:rsidRPr="00F32D92">
              <w:rPr>
                <w:rFonts w:cs="Arial"/>
                <w:b/>
                <w:bCs/>
                <w:color w:val="000000"/>
                <w:sz w:val="20"/>
                <w:szCs w:val="20"/>
              </w:rPr>
              <w:t>13</w:t>
            </w:r>
          </w:p>
        </w:tc>
        <w:tc>
          <w:tcPr>
            <w:tcW w:w="650" w:type="dxa"/>
            <w:tcBorders>
              <w:bottom w:val="single" w:sz="4" w:space="0" w:color="auto"/>
            </w:tcBorders>
            <w:noWrap/>
            <w:vAlign w:val="center"/>
          </w:tcPr>
          <w:p w14:paraId="6AB186A7" w14:textId="77777777" w:rsidR="00AB6753" w:rsidRPr="00F32D92" w:rsidRDefault="00AB6753" w:rsidP="002D1EA4">
            <w:pPr>
              <w:rPr>
                <w:rFonts w:cs="Arial"/>
                <w:sz w:val="20"/>
                <w:szCs w:val="20"/>
              </w:rPr>
            </w:pPr>
            <w:r w:rsidRPr="00F32D92">
              <w:rPr>
                <w:rFonts w:cs="Arial"/>
                <w:b/>
                <w:bCs/>
                <w:color w:val="000000"/>
                <w:sz w:val="20"/>
                <w:szCs w:val="20"/>
              </w:rPr>
              <w:t>2</w:t>
            </w:r>
          </w:p>
        </w:tc>
        <w:tc>
          <w:tcPr>
            <w:tcW w:w="749" w:type="dxa"/>
            <w:tcBorders>
              <w:bottom w:val="single" w:sz="4" w:space="0" w:color="auto"/>
              <w:right w:val="single" w:sz="4" w:space="0" w:color="auto"/>
            </w:tcBorders>
            <w:noWrap/>
            <w:vAlign w:val="center"/>
          </w:tcPr>
          <w:p w14:paraId="378799BF" w14:textId="77777777" w:rsidR="00AB6753" w:rsidRPr="00F32D92" w:rsidRDefault="00AB6753" w:rsidP="002D1EA4">
            <w:pPr>
              <w:rPr>
                <w:rFonts w:cs="Arial"/>
                <w:sz w:val="20"/>
                <w:szCs w:val="20"/>
              </w:rPr>
            </w:pPr>
            <w:r w:rsidRPr="00F32D92">
              <w:rPr>
                <w:rFonts w:cs="Arial"/>
                <w:b/>
                <w:bCs/>
                <w:color w:val="000000"/>
                <w:sz w:val="20"/>
                <w:szCs w:val="20"/>
              </w:rPr>
              <w:t>15</w:t>
            </w:r>
          </w:p>
        </w:tc>
        <w:tc>
          <w:tcPr>
            <w:tcW w:w="896" w:type="dxa"/>
            <w:tcBorders>
              <w:left w:val="single" w:sz="4" w:space="0" w:color="auto"/>
              <w:bottom w:val="single" w:sz="4" w:space="0" w:color="auto"/>
            </w:tcBorders>
            <w:noWrap/>
            <w:vAlign w:val="center"/>
          </w:tcPr>
          <w:p w14:paraId="68220F7F" w14:textId="77777777" w:rsidR="00AB6753" w:rsidRPr="00F32D92" w:rsidRDefault="00AB6753" w:rsidP="002D1EA4">
            <w:pPr>
              <w:rPr>
                <w:rFonts w:cs="Arial"/>
                <w:sz w:val="20"/>
                <w:szCs w:val="20"/>
              </w:rPr>
            </w:pPr>
            <w:r w:rsidRPr="00F32D92">
              <w:rPr>
                <w:rFonts w:cs="Arial"/>
                <w:b/>
                <w:bCs/>
                <w:color w:val="000000"/>
                <w:sz w:val="20"/>
                <w:szCs w:val="20"/>
              </w:rPr>
              <w:t>41</w:t>
            </w:r>
          </w:p>
        </w:tc>
        <w:tc>
          <w:tcPr>
            <w:tcW w:w="650" w:type="dxa"/>
            <w:tcBorders>
              <w:bottom w:val="single" w:sz="4" w:space="0" w:color="auto"/>
            </w:tcBorders>
            <w:noWrap/>
            <w:vAlign w:val="center"/>
          </w:tcPr>
          <w:p w14:paraId="7DB9768A" w14:textId="77777777" w:rsidR="00AB6753" w:rsidRPr="00F32D92" w:rsidRDefault="00AB6753" w:rsidP="002D1EA4">
            <w:pPr>
              <w:rPr>
                <w:rFonts w:cs="Arial"/>
                <w:sz w:val="20"/>
                <w:szCs w:val="20"/>
              </w:rPr>
            </w:pPr>
            <w:r w:rsidRPr="00F32D92">
              <w:rPr>
                <w:rFonts w:cs="Arial"/>
                <w:b/>
                <w:bCs/>
                <w:color w:val="000000"/>
                <w:sz w:val="20"/>
                <w:szCs w:val="20"/>
              </w:rPr>
              <w:t>10</w:t>
            </w:r>
          </w:p>
        </w:tc>
        <w:tc>
          <w:tcPr>
            <w:tcW w:w="883" w:type="dxa"/>
            <w:tcBorders>
              <w:bottom w:val="single" w:sz="4" w:space="0" w:color="auto"/>
              <w:right w:val="single" w:sz="4" w:space="0" w:color="auto"/>
            </w:tcBorders>
            <w:noWrap/>
            <w:vAlign w:val="center"/>
          </w:tcPr>
          <w:p w14:paraId="4F05928E" w14:textId="77777777" w:rsidR="00AB6753" w:rsidRPr="00F32D92" w:rsidRDefault="00AB6753" w:rsidP="002D1EA4">
            <w:pPr>
              <w:rPr>
                <w:rFonts w:cs="Arial"/>
                <w:sz w:val="20"/>
                <w:szCs w:val="20"/>
              </w:rPr>
            </w:pPr>
            <w:r w:rsidRPr="00F32D92">
              <w:rPr>
                <w:rFonts w:cs="Arial"/>
                <w:b/>
                <w:bCs/>
                <w:color w:val="000000"/>
                <w:sz w:val="20"/>
                <w:szCs w:val="20"/>
              </w:rPr>
              <w:t>51</w:t>
            </w:r>
          </w:p>
        </w:tc>
        <w:tc>
          <w:tcPr>
            <w:tcW w:w="896" w:type="dxa"/>
            <w:tcBorders>
              <w:left w:val="single" w:sz="4" w:space="0" w:color="auto"/>
              <w:bottom w:val="single" w:sz="4" w:space="0" w:color="auto"/>
            </w:tcBorders>
            <w:noWrap/>
            <w:vAlign w:val="center"/>
          </w:tcPr>
          <w:p w14:paraId="23D42655" w14:textId="77777777" w:rsidR="00AB6753" w:rsidRPr="00F32D92" w:rsidRDefault="00AB6753" w:rsidP="002D1EA4">
            <w:pPr>
              <w:rPr>
                <w:rFonts w:cs="Arial"/>
                <w:sz w:val="20"/>
                <w:szCs w:val="20"/>
              </w:rPr>
            </w:pPr>
            <w:r w:rsidRPr="00F32D92">
              <w:rPr>
                <w:rFonts w:cs="Arial"/>
                <w:sz w:val="20"/>
                <w:szCs w:val="20"/>
              </w:rPr>
              <w:t>-</w:t>
            </w:r>
          </w:p>
        </w:tc>
        <w:tc>
          <w:tcPr>
            <w:tcW w:w="650" w:type="dxa"/>
            <w:tcBorders>
              <w:bottom w:val="single" w:sz="4" w:space="0" w:color="auto"/>
            </w:tcBorders>
            <w:noWrap/>
            <w:vAlign w:val="center"/>
          </w:tcPr>
          <w:p w14:paraId="1CCF4F11" w14:textId="77777777" w:rsidR="00AB6753" w:rsidRPr="00F32D92" w:rsidRDefault="00AB6753" w:rsidP="002D1EA4">
            <w:pPr>
              <w:rPr>
                <w:rFonts w:cs="Arial"/>
                <w:sz w:val="20"/>
                <w:szCs w:val="20"/>
              </w:rPr>
            </w:pPr>
            <w:r w:rsidRPr="00F32D92">
              <w:rPr>
                <w:rFonts w:cs="Arial"/>
                <w:sz w:val="20"/>
                <w:szCs w:val="20"/>
              </w:rPr>
              <w:t>-</w:t>
            </w:r>
          </w:p>
        </w:tc>
        <w:tc>
          <w:tcPr>
            <w:tcW w:w="1439" w:type="dxa"/>
            <w:tcBorders>
              <w:bottom w:val="single" w:sz="4" w:space="0" w:color="auto"/>
              <w:right w:val="single" w:sz="4" w:space="0" w:color="auto"/>
            </w:tcBorders>
            <w:noWrap/>
            <w:vAlign w:val="center"/>
          </w:tcPr>
          <w:p w14:paraId="5818FDE4" w14:textId="77777777" w:rsidR="00AB6753" w:rsidRPr="00F32D92" w:rsidRDefault="00AB6753" w:rsidP="002D1EA4">
            <w:pPr>
              <w:rPr>
                <w:rFonts w:cs="Arial"/>
                <w:sz w:val="20"/>
                <w:szCs w:val="20"/>
              </w:rPr>
            </w:pPr>
            <w:r w:rsidRPr="00F32D92">
              <w:rPr>
                <w:rFonts w:cs="Arial"/>
                <w:sz w:val="20"/>
                <w:szCs w:val="20"/>
              </w:rPr>
              <w:t>-</w:t>
            </w:r>
          </w:p>
        </w:tc>
        <w:tc>
          <w:tcPr>
            <w:tcW w:w="661" w:type="dxa"/>
            <w:tcBorders>
              <w:left w:val="single" w:sz="4" w:space="0" w:color="auto"/>
              <w:bottom w:val="single" w:sz="4" w:space="0" w:color="auto"/>
              <w:right w:val="single" w:sz="4" w:space="0" w:color="666666" w:themeColor="text1" w:themeTint="99"/>
            </w:tcBorders>
            <w:vAlign w:val="center"/>
          </w:tcPr>
          <w:p w14:paraId="51D0EEF1" w14:textId="77777777" w:rsidR="00AB6753" w:rsidRPr="00F32D92" w:rsidRDefault="00AB6753" w:rsidP="002D1EA4">
            <w:pPr>
              <w:rPr>
                <w:rFonts w:cs="Arial"/>
                <w:b/>
                <w:bCs/>
                <w:color w:val="000000"/>
                <w:sz w:val="20"/>
                <w:szCs w:val="20"/>
              </w:rPr>
            </w:pPr>
            <w:r w:rsidRPr="00F32D92">
              <w:rPr>
                <w:rFonts w:cs="Arial"/>
                <w:b/>
                <w:bCs/>
                <w:color w:val="000000"/>
                <w:sz w:val="20"/>
                <w:szCs w:val="20"/>
              </w:rPr>
              <w:t>66</w:t>
            </w:r>
          </w:p>
        </w:tc>
      </w:tr>
    </w:tbl>
    <w:p w14:paraId="4E986F47" w14:textId="77777777" w:rsidR="00AB6753" w:rsidRPr="00CF02C1" w:rsidRDefault="00AB6753" w:rsidP="00AB6753"/>
    <w:p w14:paraId="48F1CB63" w14:textId="77777777" w:rsidR="00AB6753" w:rsidRPr="00CF02C1" w:rsidRDefault="00AB6753" w:rsidP="00AB6753">
      <w:r w:rsidRPr="00CF02C1">
        <w:br w:type="page"/>
      </w:r>
    </w:p>
    <w:p w14:paraId="7F147193" w14:textId="77777777" w:rsidR="00AB6753" w:rsidRPr="00A050FC" w:rsidRDefault="00AB6753" w:rsidP="00AB6753">
      <w:pPr>
        <w:rPr>
          <w:rFonts w:ascii="Arial Narrow" w:hAnsi="Arial Narrow" w:cs="Calibri"/>
          <w:b/>
          <w:sz w:val="20"/>
          <w:szCs w:val="20"/>
        </w:rPr>
      </w:pPr>
      <w:bookmarkStart w:id="294" w:name="_Toc5705968"/>
      <w:r>
        <w:rPr>
          <w:rFonts w:ascii="Arial Narrow" w:hAnsi="Arial Narrow" w:cs="Calibri"/>
          <w:b/>
          <w:sz w:val="20"/>
          <w:szCs w:val="20"/>
        </w:rPr>
        <w:lastRenderedPageBreak/>
        <w:t xml:space="preserve">Table F-13 </w:t>
      </w:r>
      <w:r w:rsidRPr="00A050FC">
        <w:rPr>
          <w:rFonts w:ascii="Arial Narrow" w:hAnsi="Arial Narrow" w:cs="Calibri"/>
          <w:b/>
          <w:sz w:val="20"/>
          <w:szCs w:val="20"/>
        </w:rPr>
        <w:t>17AG (4)(b)(</w:t>
      </w:r>
      <w:proofErr w:type="spellStart"/>
      <w:r w:rsidRPr="00A050FC">
        <w:rPr>
          <w:rFonts w:ascii="Arial Narrow" w:hAnsi="Arial Narrow" w:cs="Calibri"/>
          <w:b/>
          <w:sz w:val="20"/>
          <w:szCs w:val="20"/>
        </w:rPr>
        <w:t>i</w:t>
      </w:r>
      <w:proofErr w:type="spellEnd"/>
      <w:r w:rsidRPr="00A050FC">
        <w:rPr>
          <w:rFonts w:ascii="Arial Narrow" w:hAnsi="Arial Narrow" w:cs="Calibri"/>
          <w:b/>
          <w:sz w:val="20"/>
          <w:szCs w:val="20"/>
        </w:rPr>
        <w:t>) – (iii) — Australian Public Service Act Employees by full-time and part-time Status Current Report Period (2019–20</w:t>
      </w:r>
      <w:bookmarkEnd w:id="294"/>
      <w:r>
        <w:rPr>
          <w:rFonts w:ascii="Arial Narrow" w:hAnsi="Arial Narrow" w:cs="Calibri"/>
          <w:b/>
          <w:sz w:val="20"/>
          <w:szCs w:val="20"/>
        </w:rPr>
        <w:t>)</w:t>
      </w:r>
    </w:p>
    <w:tbl>
      <w:tblPr>
        <w:tblW w:w="9687" w:type="dxa"/>
        <w:jc w:val="center"/>
        <w:tblLook w:val="04A0" w:firstRow="1" w:lastRow="0" w:firstColumn="1" w:lastColumn="0" w:noHBand="0" w:noVBand="1"/>
        <w:tblCaption w:val="Table F-13 17AG (4)(b)(i)–(iii) Australian Public Service Act Employees by full-time and part-time Status"/>
        <w:tblDescription w:val="Table 17AG (4)(b)(i)–(iii) Australian Public Service Act Employees by full-time and part-time Status. Current Report Period (2019-20) "/>
      </w:tblPr>
      <w:tblGrid>
        <w:gridCol w:w="1696"/>
        <w:gridCol w:w="1134"/>
        <w:gridCol w:w="1134"/>
        <w:gridCol w:w="1418"/>
        <w:gridCol w:w="1134"/>
        <w:gridCol w:w="1276"/>
        <w:gridCol w:w="1189"/>
        <w:gridCol w:w="717"/>
      </w:tblGrid>
      <w:tr w:rsidR="00AB6753" w:rsidRPr="00F32D92" w14:paraId="1CBDCD76" w14:textId="77777777" w:rsidTr="002D1EA4">
        <w:trPr>
          <w:trHeight w:val="300"/>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E5601B9" w14:textId="77777777" w:rsidR="00AB6753" w:rsidRPr="00F32D92" w:rsidRDefault="00AB6753" w:rsidP="002D1EA4">
            <w:pPr>
              <w:rPr>
                <w:rFonts w:cs="Arial"/>
                <w:sz w:val="20"/>
                <w:szCs w:val="20"/>
              </w:rPr>
            </w:pPr>
          </w:p>
        </w:tc>
        <w:tc>
          <w:tcPr>
            <w:tcW w:w="368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48CF0A5" w14:textId="77777777" w:rsidR="00AB6753" w:rsidRPr="00F32D92" w:rsidRDefault="00AB6753" w:rsidP="002D1EA4">
            <w:pPr>
              <w:rPr>
                <w:rFonts w:cs="Arial"/>
                <w:sz w:val="20"/>
                <w:szCs w:val="20"/>
              </w:rPr>
            </w:pPr>
            <w:r w:rsidRPr="00F32D92">
              <w:rPr>
                <w:rFonts w:cs="Arial"/>
                <w:sz w:val="20"/>
                <w:szCs w:val="20"/>
              </w:rPr>
              <w:t>Ongoin</w:t>
            </w:r>
            <w:r>
              <w:rPr>
                <w:rFonts w:cs="Arial"/>
                <w:sz w:val="20"/>
                <w:szCs w:val="20"/>
              </w:rPr>
              <w:t>g</w:t>
            </w:r>
            <w:r w:rsidRPr="00F32D92">
              <w:rPr>
                <w:rFonts w:cs="Arial"/>
                <w:sz w:val="20"/>
                <w:szCs w:val="20"/>
              </w:rPr>
              <w:t xml:space="preserve"> </w:t>
            </w:r>
          </w:p>
        </w:tc>
        <w:tc>
          <w:tcPr>
            <w:tcW w:w="359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DF8CCFF" w14:textId="77777777" w:rsidR="00AB6753" w:rsidRPr="00F32D92" w:rsidRDefault="00AB6753" w:rsidP="002D1EA4">
            <w:pPr>
              <w:rPr>
                <w:rFonts w:cs="Arial"/>
                <w:sz w:val="20"/>
                <w:szCs w:val="20"/>
              </w:rPr>
            </w:pPr>
            <w:r w:rsidRPr="00F32D92">
              <w:rPr>
                <w:rFonts w:cs="Arial"/>
                <w:sz w:val="20"/>
                <w:szCs w:val="20"/>
              </w:rPr>
              <w:t>Non-Ongoing</w:t>
            </w:r>
          </w:p>
        </w:tc>
        <w:tc>
          <w:tcPr>
            <w:tcW w:w="70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DD316D" w14:textId="77777777" w:rsidR="00AB6753" w:rsidRPr="00F32D92" w:rsidRDefault="00AB6753" w:rsidP="002D1EA4">
            <w:pPr>
              <w:rPr>
                <w:rFonts w:cs="Arial"/>
                <w:sz w:val="20"/>
                <w:szCs w:val="20"/>
              </w:rPr>
            </w:pPr>
            <w:r w:rsidRPr="00F32D92">
              <w:rPr>
                <w:rFonts w:cs="Arial"/>
                <w:sz w:val="20"/>
                <w:szCs w:val="20"/>
              </w:rPr>
              <w:t>Total</w:t>
            </w:r>
          </w:p>
        </w:tc>
      </w:tr>
      <w:tr w:rsidR="00AB6753" w:rsidRPr="00F32D92" w14:paraId="4E3F4948" w14:textId="77777777" w:rsidTr="002D1EA4">
        <w:trPr>
          <w:trHeight w:val="615"/>
          <w:jc w:val="center"/>
        </w:trPr>
        <w:tc>
          <w:tcPr>
            <w:tcW w:w="1696" w:type="dxa"/>
            <w:tcBorders>
              <w:top w:val="single" w:sz="4" w:space="0" w:color="auto"/>
              <w:left w:val="single" w:sz="4" w:space="0" w:color="666666" w:themeColor="text1" w:themeTint="99"/>
              <w:right w:val="single" w:sz="4" w:space="0" w:color="auto"/>
            </w:tcBorders>
            <w:shd w:val="clear" w:color="auto" w:fill="BFBFBF" w:themeFill="background1" w:themeFillShade="BF"/>
            <w:noWrap/>
            <w:hideMark/>
          </w:tcPr>
          <w:p w14:paraId="387FD773" w14:textId="77777777" w:rsidR="00AB6753" w:rsidRPr="00F32D92" w:rsidRDefault="00AB6753" w:rsidP="002D1EA4">
            <w:pPr>
              <w:rPr>
                <w:rFonts w:cs="Arial"/>
                <w:sz w:val="20"/>
                <w:szCs w:val="20"/>
              </w:rPr>
            </w:pPr>
          </w:p>
        </w:tc>
        <w:tc>
          <w:tcPr>
            <w:tcW w:w="1134" w:type="dxa"/>
            <w:tcBorders>
              <w:top w:val="single" w:sz="4" w:space="0" w:color="auto"/>
              <w:left w:val="single" w:sz="4" w:space="0" w:color="auto"/>
            </w:tcBorders>
            <w:shd w:val="clear" w:color="auto" w:fill="BFBFBF" w:themeFill="background1" w:themeFillShade="BF"/>
            <w:noWrap/>
            <w:hideMark/>
          </w:tcPr>
          <w:p w14:paraId="1B79175E" w14:textId="77777777" w:rsidR="00AB6753" w:rsidRPr="00F32D92" w:rsidRDefault="00AB6753" w:rsidP="002D1EA4">
            <w:pPr>
              <w:rPr>
                <w:rFonts w:cs="Arial"/>
                <w:sz w:val="20"/>
                <w:szCs w:val="20"/>
              </w:rPr>
            </w:pPr>
            <w:r w:rsidRPr="00F32D92">
              <w:rPr>
                <w:rFonts w:cs="Arial"/>
                <w:sz w:val="20"/>
                <w:szCs w:val="20"/>
              </w:rPr>
              <w:t>Full-time</w:t>
            </w:r>
          </w:p>
        </w:tc>
        <w:tc>
          <w:tcPr>
            <w:tcW w:w="1134" w:type="dxa"/>
            <w:tcBorders>
              <w:top w:val="single" w:sz="4" w:space="0" w:color="auto"/>
            </w:tcBorders>
            <w:shd w:val="clear" w:color="auto" w:fill="BFBFBF" w:themeFill="background1" w:themeFillShade="BF"/>
            <w:noWrap/>
            <w:hideMark/>
          </w:tcPr>
          <w:p w14:paraId="0F823AA8" w14:textId="77777777" w:rsidR="00AB6753" w:rsidRPr="00F32D92" w:rsidRDefault="00AB6753" w:rsidP="002D1EA4">
            <w:pPr>
              <w:rPr>
                <w:rFonts w:cs="Arial"/>
                <w:sz w:val="20"/>
                <w:szCs w:val="20"/>
              </w:rPr>
            </w:pPr>
            <w:r w:rsidRPr="00F32D92">
              <w:rPr>
                <w:rFonts w:cs="Arial"/>
                <w:sz w:val="20"/>
                <w:szCs w:val="20"/>
              </w:rPr>
              <w:t>Part-time</w:t>
            </w:r>
          </w:p>
        </w:tc>
        <w:tc>
          <w:tcPr>
            <w:tcW w:w="1418" w:type="dxa"/>
            <w:tcBorders>
              <w:top w:val="single" w:sz="4" w:space="0" w:color="auto"/>
              <w:right w:val="single" w:sz="4" w:space="0" w:color="auto"/>
            </w:tcBorders>
            <w:shd w:val="clear" w:color="auto" w:fill="BFBFBF" w:themeFill="background1" w:themeFillShade="BF"/>
            <w:noWrap/>
            <w:hideMark/>
          </w:tcPr>
          <w:p w14:paraId="1210F9C7" w14:textId="77777777" w:rsidR="00AB6753" w:rsidRPr="00F32D92" w:rsidRDefault="00AB6753" w:rsidP="002D1EA4">
            <w:pPr>
              <w:rPr>
                <w:rFonts w:cs="Arial"/>
                <w:sz w:val="20"/>
                <w:szCs w:val="20"/>
              </w:rPr>
            </w:pPr>
            <w:r w:rsidRPr="00F32D92">
              <w:rPr>
                <w:rFonts w:cs="Arial"/>
                <w:sz w:val="20"/>
                <w:szCs w:val="20"/>
              </w:rPr>
              <w:t>Total Ongoing</w:t>
            </w:r>
          </w:p>
        </w:tc>
        <w:tc>
          <w:tcPr>
            <w:tcW w:w="1134" w:type="dxa"/>
            <w:tcBorders>
              <w:top w:val="single" w:sz="4" w:space="0" w:color="auto"/>
              <w:left w:val="single" w:sz="4" w:space="0" w:color="auto"/>
            </w:tcBorders>
            <w:shd w:val="clear" w:color="auto" w:fill="BFBFBF" w:themeFill="background1" w:themeFillShade="BF"/>
            <w:noWrap/>
            <w:hideMark/>
          </w:tcPr>
          <w:p w14:paraId="304B0A5B" w14:textId="77777777" w:rsidR="00AB6753" w:rsidRPr="00F32D92" w:rsidRDefault="00AB6753" w:rsidP="002D1EA4">
            <w:pPr>
              <w:rPr>
                <w:rFonts w:cs="Arial"/>
                <w:sz w:val="20"/>
                <w:szCs w:val="20"/>
              </w:rPr>
            </w:pPr>
            <w:r w:rsidRPr="00F32D92">
              <w:rPr>
                <w:rFonts w:cs="Arial"/>
                <w:sz w:val="20"/>
                <w:szCs w:val="20"/>
              </w:rPr>
              <w:t>Full-time</w:t>
            </w:r>
          </w:p>
        </w:tc>
        <w:tc>
          <w:tcPr>
            <w:tcW w:w="1276" w:type="dxa"/>
            <w:tcBorders>
              <w:top w:val="single" w:sz="4" w:space="0" w:color="auto"/>
            </w:tcBorders>
            <w:shd w:val="clear" w:color="auto" w:fill="BFBFBF" w:themeFill="background1" w:themeFillShade="BF"/>
            <w:noWrap/>
            <w:hideMark/>
          </w:tcPr>
          <w:p w14:paraId="49D90E57" w14:textId="77777777" w:rsidR="00AB6753" w:rsidRPr="00F32D92" w:rsidRDefault="00AB6753" w:rsidP="002D1EA4">
            <w:pPr>
              <w:rPr>
                <w:rFonts w:cs="Arial"/>
                <w:sz w:val="20"/>
                <w:szCs w:val="20"/>
              </w:rPr>
            </w:pPr>
            <w:r w:rsidRPr="00F32D92">
              <w:rPr>
                <w:rFonts w:cs="Arial"/>
                <w:sz w:val="20"/>
                <w:szCs w:val="20"/>
              </w:rPr>
              <w:t>Part-time</w:t>
            </w:r>
          </w:p>
        </w:tc>
        <w:tc>
          <w:tcPr>
            <w:tcW w:w="1189" w:type="dxa"/>
            <w:tcBorders>
              <w:top w:val="single" w:sz="4" w:space="0" w:color="auto"/>
              <w:right w:val="single" w:sz="4" w:space="0" w:color="auto"/>
            </w:tcBorders>
            <w:shd w:val="clear" w:color="auto" w:fill="BFBFBF" w:themeFill="background1" w:themeFillShade="BF"/>
            <w:noWrap/>
            <w:hideMark/>
          </w:tcPr>
          <w:p w14:paraId="2707EBCF" w14:textId="77777777" w:rsidR="00AB6753" w:rsidRPr="00F32D92" w:rsidRDefault="00AB6753" w:rsidP="002D1EA4">
            <w:pPr>
              <w:rPr>
                <w:rFonts w:cs="Arial"/>
                <w:sz w:val="20"/>
                <w:szCs w:val="20"/>
              </w:rPr>
            </w:pPr>
            <w:r w:rsidRPr="00F32D92">
              <w:rPr>
                <w:rFonts w:cs="Arial"/>
                <w:sz w:val="20"/>
                <w:szCs w:val="20"/>
              </w:rPr>
              <w:t>Total Non-Ongoing</w:t>
            </w:r>
          </w:p>
        </w:tc>
        <w:tc>
          <w:tcPr>
            <w:tcW w:w="706" w:type="dxa"/>
            <w:tcBorders>
              <w:top w:val="single" w:sz="4" w:space="0" w:color="auto"/>
              <w:left w:val="single" w:sz="4" w:space="0" w:color="auto"/>
              <w:right w:val="single" w:sz="4" w:space="0" w:color="666666" w:themeColor="text1" w:themeTint="99"/>
            </w:tcBorders>
            <w:shd w:val="clear" w:color="auto" w:fill="BFBFBF" w:themeFill="background1" w:themeFillShade="BF"/>
          </w:tcPr>
          <w:p w14:paraId="75EE339F" w14:textId="77777777" w:rsidR="00AB6753" w:rsidRPr="00F32D92" w:rsidRDefault="00AB6753" w:rsidP="002D1EA4">
            <w:pPr>
              <w:rPr>
                <w:rFonts w:cs="Arial"/>
                <w:sz w:val="20"/>
                <w:szCs w:val="20"/>
              </w:rPr>
            </w:pPr>
          </w:p>
        </w:tc>
      </w:tr>
      <w:tr w:rsidR="00AB6753" w:rsidRPr="00F32D92" w14:paraId="21D34D31" w14:textId="77777777" w:rsidTr="002D1EA4">
        <w:trPr>
          <w:trHeight w:val="315"/>
          <w:jc w:val="center"/>
        </w:trPr>
        <w:tc>
          <w:tcPr>
            <w:tcW w:w="1696" w:type="dxa"/>
            <w:tcBorders>
              <w:left w:val="single" w:sz="4" w:space="0" w:color="666666" w:themeColor="text1" w:themeTint="99"/>
              <w:right w:val="single" w:sz="4" w:space="0" w:color="auto"/>
            </w:tcBorders>
            <w:vAlign w:val="center"/>
          </w:tcPr>
          <w:p w14:paraId="6CEB25FF" w14:textId="77777777" w:rsidR="00AB6753" w:rsidRPr="00F32D92" w:rsidRDefault="00AB6753" w:rsidP="002D1EA4">
            <w:pPr>
              <w:rPr>
                <w:rFonts w:cs="Arial"/>
                <w:sz w:val="20"/>
                <w:szCs w:val="20"/>
              </w:rPr>
            </w:pPr>
            <w:r w:rsidRPr="00F32D92">
              <w:rPr>
                <w:rFonts w:cs="Arial"/>
                <w:sz w:val="20"/>
                <w:szCs w:val="20"/>
              </w:rPr>
              <w:t>Secretary*</w:t>
            </w:r>
          </w:p>
        </w:tc>
        <w:tc>
          <w:tcPr>
            <w:tcW w:w="1134" w:type="dxa"/>
            <w:tcBorders>
              <w:left w:val="single" w:sz="4" w:space="0" w:color="auto"/>
            </w:tcBorders>
            <w:noWrap/>
          </w:tcPr>
          <w:p w14:paraId="141D957C" w14:textId="77777777" w:rsidR="00AB6753" w:rsidRPr="00F32D92" w:rsidRDefault="00AB6753" w:rsidP="002D1EA4">
            <w:pPr>
              <w:rPr>
                <w:rFonts w:cs="Arial"/>
                <w:sz w:val="20"/>
                <w:szCs w:val="20"/>
              </w:rPr>
            </w:pPr>
            <w:r w:rsidRPr="00F32D92">
              <w:rPr>
                <w:rFonts w:cs="Arial"/>
                <w:sz w:val="20"/>
                <w:szCs w:val="20"/>
              </w:rPr>
              <w:t>-</w:t>
            </w:r>
          </w:p>
        </w:tc>
        <w:tc>
          <w:tcPr>
            <w:tcW w:w="1134" w:type="dxa"/>
            <w:noWrap/>
          </w:tcPr>
          <w:p w14:paraId="4DFC749D" w14:textId="77777777" w:rsidR="00AB6753" w:rsidRPr="00F32D92" w:rsidRDefault="00AB6753" w:rsidP="002D1EA4">
            <w:pPr>
              <w:rPr>
                <w:rFonts w:cs="Arial"/>
                <w:sz w:val="20"/>
                <w:szCs w:val="20"/>
              </w:rPr>
            </w:pPr>
            <w:r w:rsidRPr="00F32D92">
              <w:rPr>
                <w:rFonts w:cs="Arial"/>
                <w:sz w:val="20"/>
                <w:szCs w:val="20"/>
              </w:rPr>
              <w:t>-</w:t>
            </w:r>
          </w:p>
        </w:tc>
        <w:tc>
          <w:tcPr>
            <w:tcW w:w="1418" w:type="dxa"/>
            <w:tcBorders>
              <w:right w:val="single" w:sz="4" w:space="0" w:color="auto"/>
            </w:tcBorders>
            <w:noWrap/>
          </w:tcPr>
          <w:p w14:paraId="69127836" w14:textId="77777777" w:rsidR="00AB6753" w:rsidRPr="00F32D92" w:rsidRDefault="00AB6753" w:rsidP="002D1EA4">
            <w:pPr>
              <w:rPr>
                <w:rFonts w:cs="Arial"/>
                <w:sz w:val="20"/>
                <w:szCs w:val="20"/>
              </w:rPr>
            </w:pPr>
            <w:r w:rsidRPr="00F32D92">
              <w:rPr>
                <w:rFonts w:cs="Arial"/>
                <w:sz w:val="20"/>
                <w:szCs w:val="20"/>
              </w:rPr>
              <w:t>-</w:t>
            </w:r>
          </w:p>
        </w:tc>
        <w:tc>
          <w:tcPr>
            <w:tcW w:w="1134" w:type="dxa"/>
            <w:tcBorders>
              <w:left w:val="single" w:sz="4" w:space="0" w:color="auto"/>
            </w:tcBorders>
            <w:noWrap/>
          </w:tcPr>
          <w:p w14:paraId="049A8CE8" w14:textId="77777777" w:rsidR="00AB6753" w:rsidRPr="00F32D92" w:rsidRDefault="00AB6753" w:rsidP="002D1EA4">
            <w:pPr>
              <w:rPr>
                <w:rFonts w:cs="Arial"/>
                <w:sz w:val="20"/>
                <w:szCs w:val="20"/>
              </w:rPr>
            </w:pPr>
            <w:r w:rsidRPr="00F32D92">
              <w:rPr>
                <w:rFonts w:cs="Arial"/>
                <w:sz w:val="20"/>
                <w:szCs w:val="20"/>
              </w:rPr>
              <w:t>-</w:t>
            </w:r>
          </w:p>
        </w:tc>
        <w:tc>
          <w:tcPr>
            <w:tcW w:w="1276" w:type="dxa"/>
            <w:noWrap/>
          </w:tcPr>
          <w:p w14:paraId="381C593A" w14:textId="77777777" w:rsidR="00AB6753" w:rsidRPr="00F32D92" w:rsidRDefault="00AB6753" w:rsidP="002D1EA4">
            <w:pPr>
              <w:rPr>
                <w:rFonts w:cs="Arial"/>
                <w:sz w:val="20"/>
                <w:szCs w:val="20"/>
              </w:rPr>
            </w:pPr>
            <w:r w:rsidRPr="00F32D92">
              <w:rPr>
                <w:rFonts w:cs="Arial"/>
                <w:sz w:val="20"/>
                <w:szCs w:val="20"/>
              </w:rPr>
              <w:t>-</w:t>
            </w:r>
          </w:p>
        </w:tc>
        <w:tc>
          <w:tcPr>
            <w:tcW w:w="1189" w:type="dxa"/>
            <w:tcBorders>
              <w:right w:val="single" w:sz="4" w:space="0" w:color="auto"/>
            </w:tcBorders>
            <w:noWrap/>
          </w:tcPr>
          <w:p w14:paraId="3297E1B5" w14:textId="77777777" w:rsidR="00AB6753" w:rsidRPr="00F32D92" w:rsidRDefault="00AB6753" w:rsidP="002D1EA4">
            <w:pPr>
              <w:rPr>
                <w:rFonts w:cs="Arial"/>
                <w:sz w:val="20"/>
                <w:szCs w:val="20"/>
              </w:rPr>
            </w:pPr>
            <w:r w:rsidRPr="00F32D92">
              <w:rPr>
                <w:rFonts w:cs="Arial"/>
                <w:sz w:val="20"/>
                <w:szCs w:val="20"/>
              </w:rPr>
              <w:t>-</w:t>
            </w:r>
          </w:p>
        </w:tc>
        <w:tc>
          <w:tcPr>
            <w:tcW w:w="706" w:type="dxa"/>
            <w:tcBorders>
              <w:left w:val="single" w:sz="4" w:space="0" w:color="auto"/>
              <w:right w:val="single" w:sz="4" w:space="0" w:color="666666" w:themeColor="text1" w:themeTint="99"/>
            </w:tcBorders>
          </w:tcPr>
          <w:p w14:paraId="07BABC37" w14:textId="77777777" w:rsidR="00AB6753" w:rsidRPr="00F32D92" w:rsidRDefault="00AB6753" w:rsidP="002D1EA4">
            <w:pPr>
              <w:rPr>
                <w:rFonts w:cs="Arial"/>
                <w:sz w:val="20"/>
                <w:szCs w:val="20"/>
              </w:rPr>
            </w:pPr>
            <w:r w:rsidRPr="00F32D92">
              <w:rPr>
                <w:rFonts w:cs="Arial"/>
                <w:sz w:val="20"/>
                <w:szCs w:val="20"/>
              </w:rPr>
              <w:t>-</w:t>
            </w:r>
          </w:p>
        </w:tc>
      </w:tr>
      <w:tr w:rsidR="00AB6753" w:rsidRPr="00F32D92" w14:paraId="62A21074"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42452804" w14:textId="77777777" w:rsidR="00AB6753" w:rsidRPr="00F32D92" w:rsidRDefault="00AB6753" w:rsidP="002D1EA4">
            <w:pPr>
              <w:rPr>
                <w:rFonts w:cs="Arial"/>
                <w:sz w:val="20"/>
                <w:szCs w:val="20"/>
              </w:rPr>
            </w:pPr>
            <w:r w:rsidRPr="00F32D92">
              <w:rPr>
                <w:rFonts w:cs="Arial"/>
                <w:sz w:val="20"/>
                <w:szCs w:val="20"/>
              </w:rPr>
              <w:t>SES 3</w:t>
            </w:r>
          </w:p>
        </w:tc>
        <w:tc>
          <w:tcPr>
            <w:tcW w:w="1134" w:type="dxa"/>
            <w:tcBorders>
              <w:left w:val="single" w:sz="4" w:space="0" w:color="auto"/>
            </w:tcBorders>
            <w:noWrap/>
          </w:tcPr>
          <w:p w14:paraId="721D0BC6" w14:textId="77777777" w:rsidR="00AB6753" w:rsidRPr="00F32D92" w:rsidRDefault="00AB6753" w:rsidP="002D1EA4">
            <w:pPr>
              <w:rPr>
                <w:rFonts w:cs="Arial"/>
                <w:sz w:val="20"/>
                <w:szCs w:val="20"/>
              </w:rPr>
            </w:pPr>
            <w:r w:rsidRPr="00F32D92">
              <w:rPr>
                <w:rFonts w:cs="Arial"/>
                <w:color w:val="000000"/>
                <w:sz w:val="20"/>
                <w:szCs w:val="20"/>
              </w:rPr>
              <w:t>5</w:t>
            </w:r>
          </w:p>
        </w:tc>
        <w:tc>
          <w:tcPr>
            <w:tcW w:w="1134" w:type="dxa"/>
            <w:noWrap/>
            <w:hideMark/>
          </w:tcPr>
          <w:p w14:paraId="5F59A177" w14:textId="77777777" w:rsidR="00AB6753" w:rsidRPr="00F32D92" w:rsidRDefault="00AB6753" w:rsidP="002D1EA4">
            <w:pPr>
              <w:rPr>
                <w:rFonts w:cs="Arial"/>
                <w:sz w:val="20"/>
                <w:szCs w:val="20"/>
              </w:rPr>
            </w:pPr>
            <w:r w:rsidRPr="00F32D92">
              <w:rPr>
                <w:rFonts w:cs="Arial"/>
                <w:sz w:val="20"/>
                <w:szCs w:val="20"/>
              </w:rPr>
              <w:t>0</w:t>
            </w:r>
          </w:p>
        </w:tc>
        <w:tc>
          <w:tcPr>
            <w:tcW w:w="1418" w:type="dxa"/>
            <w:tcBorders>
              <w:right w:val="single" w:sz="4" w:space="0" w:color="auto"/>
            </w:tcBorders>
            <w:noWrap/>
            <w:hideMark/>
          </w:tcPr>
          <w:p w14:paraId="0C9439DC" w14:textId="77777777" w:rsidR="00AB6753" w:rsidRPr="00F32D92" w:rsidRDefault="00AB6753" w:rsidP="002D1EA4">
            <w:pPr>
              <w:rPr>
                <w:rFonts w:cs="Arial"/>
                <w:sz w:val="20"/>
                <w:szCs w:val="20"/>
              </w:rPr>
            </w:pPr>
            <w:r w:rsidRPr="00F32D92">
              <w:rPr>
                <w:rFonts w:cs="Arial"/>
                <w:color w:val="000000"/>
                <w:sz w:val="20"/>
                <w:szCs w:val="20"/>
              </w:rPr>
              <w:t>5</w:t>
            </w:r>
          </w:p>
        </w:tc>
        <w:tc>
          <w:tcPr>
            <w:tcW w:w="1134" w:type="dxa"/>
            <w:tcBorders>
              <w:left w:val="single" w:sz="4" w:space="0" w:color="auto"/>
            </w:tcBorders>
            <w:noWrap/>
            <w:hideMark/>
          </w:tcPr>
          <w:p w14:paraId="2D7C686B" w14:textId="77777777" w:rsidR="00AB6753" w:rsidRPr="00F32D92" w:rsidRDefault="00AB6753" w:rsidP="002D1EA4">
            <w:pPr>
              <w:rPr>
                <w:rFonts w:cs="Arial"/>
                <w:sz w:val="20"/>
                <w:szCs w:val="20"/>
              </w:rPr>
            </w:pPr>
            <w:r w:rsidRPr="00F32D92">
              <w:rPr>
                <w:rFonts w:cs="Arial"/>
                <w:sz w:val="20"/>
                <w:szCs w:val="20"/>
              </w:rPr>
              <w:t>0</w:t>
            </w:r>
          </w:p>
        </w:tc>
        <w:tc>
          <w:tcPr>
            <w:tcW w:w="1276" w:type="dxa"/>
            <w:noWrap/>
            <w:hideMark/>
          </w:tcPr>
          <w:p w14:paraId="18BE8CE4" w14:textId="77777777" w:rsidR="00AB6753" w:rsidRPr="00F32D92" w:rsidRDefault="00AB6753" w:rsidP="002D1EA4">
            <w:pPr>
              <w:rPr>
                <w:rFonts w:cs="Arial"/>
                <w:sz w:val="20"/>
                <w:szCs w:val="20"/>
              </w:rPr>
            </w:pPr>
            <w:r w:rsidRPr="00F32D92">
              <w:rPr>
                <w:rFonts w:cs="Arial"/>
                <w:sz w:val="20"/>
                <w:szCs w:val="20"/>
              </w:rPr>
              <w:t>0</w:t>
            </w:r>
          </w:p>
        </w:tc>
        <w:tc>
          <w:tcPr>
            <w:tcW w:w="1189" w:type="dxa"/>
            <w:tcBorders>
              <w:right w:val="single" w:sz="4" w:space="0" w:color="auto"/>
            </w:tcBorders>
            <w:noWrap/>
            <w:hideMark/>
          </w:tcPr>
          <w:p w14:paraId="612FCD42" w14:textId="77777777" w:rsidR="00AB6753" w:rsidRPr="00F32D92" w:rsidRDefault="00AB6753" w:rsidP="002D1EA4">
            <w:pPr>
              <w:rPr>
                <w:rFonts w:cs="Arial"/>
                <w:sz w:val="20"/>
                <w:szCs w:val="20"/>
              </w:rPr>
            </w:pPr>
            <w:r w:rsidRPr="00F32D92">
              <w:rPr>
                <w:rFonts w:cs="Arial"/>
                <w:sz w:val="20"/>
                <w:szCs w:val="20"/>
              </w:rPr>
              <w:t>0</w:t>
            </w:r>
          </w:p>
        </w:tc>
        <w:tc>
          <w:tcPr>
            <w:tcW w:w="706" w:type="dxa"/>
            <w:tcBorders>
              <w:left w:val="single" w:sz="4" w:space="0" w:color="auto"/>
              <w:right w:val="single" w:sz="4" w:space="0" w:color="666666" w:themeColor="text1" w:themeTint="99"/>
            </w:tcBorders>
          </w:tcPr>
          <w:p w14:paraId="01E2534B" w14:textId="77777777" w:rsidR="00AB6753" w:rsidRPr="00F32D92" w:rsidRDefault="00AB6753" w:rsidP="002D1EA4">
            <w:pPr>
              <w:rPr>
                <w:rFonts w:cs="Arial"/>
                <w:sz w:val="20"/>
                <w:szCs w:val="20"/>
              </w:rPr>
            </w:pPr>
            <w:r w:rsidRPr="00F32D92">
              <w:rPr>
                <w:rFonts w:cs="Arial"/>
                <w:color w:val="000000"/>
                <w:sz w:val="20"/>
                <w:szCs w:val="20"/>
              </w:rPr>
              <w:t>5</w:t>
            </w:r>
          </w:p>
        </w:tc>
      </w:tr>
      <w:tr w:rsidR="00AB6753" w:rsidRPr="00F32D92" w14:paraId="470BB5D0"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7E5E126C" w14:textId="77777777" w:rsidR="00AB6753" w:rsidRPr="00F32D92" w:rsidRDefault="00AB6753" w:rsidP="002D1EA4">
            <w:pPr>
              <w:rPr>
                <w:rFonts w:cs="Arial"/>
                <w:sz w:val="20"/>
                <w:szCs w:val="20"/>
              </w:rPr>
            </w:pPr>
            <w:r w:rsidRPr="00F32D92">
              <w:rPr>
                <w:rFonts w:cs="Arial"/>
                <w:sz w:val="20"/>
                <w:szCs w:val="20"/>
              </w:rPr>
              <w:t>SES 2</w:t>
            </w:r>
          </w:p>
        </w:tc>
        <w:tc>
          <w:tcPr>
            <w:tcW w:w="1134" w:type="dxa"/>
            <w:tcBorders>
              <w:left w:val="single" w:sz="4" w:space="0" w:color="auto"/>
            </w:tcBorders>
            <w:noWrap/>
          </w:tcPr>
          <w:p w14:paraId="79F5B9BC" w14:textId="77777777" w:rsidR="00AB6753" w:rsidRPr="00F32D92" w:rsidRDefault="00AB6753" w:rsidP="002D1EA4">
            <w:pPr>
              <w:rPr>
                <w:rFonts w:cs="Arial"/>
                <w:sz w:val="20"/>
                <w:szCs w:val="20"/>
              </w:rPr>
            </w:pPr>
            <w:r w:rsidRPr="00F32D92">
              <w:rPr>
                <w:rFonts w:cs="Arial"/>
                <w:color w:val="000000"/>
                <w:sz w:val="20"/>
                <w:szCs w:val="20"/>
              </w:rPr>
              <w:t>16</w:t>
            </w:r>
          </w:p>
        </w:tc>
        <w:tc>
          <w:tcPr>
            <w:tcW w:w="1134" w:type="dxa"/>
            <w:noWrap/>
            <w:hideMark/>
          </w:tcPr>
          <w:p w14:paraId="62E34EEA" w14:textId="77777777" w:rsidR="00AB6753" w:rsidRPr="00F32D92" w:rsidRDefault="00AB6753" w:rsidP="002D1EA4">
            <w:pPr>
              <w:rPr>
                <w:rFonts w:cs="Arial"/>
                <w:sz w:val="20"/>
                <w:szCs w:val="20"/>
              </w:rPr>
            </w:pPr>
            <w:r w:rsidRPr="00F32D92">
              <w:rPr>
                <w:rFonts w:cs="Arial"/>
                <w:color w:val="000000"/>
                <w:sz w:val="20"/>
                <w:szCs w:val="20"/>
              </w:rPr>
              <w:t>1</w:t>
            </w:r>
          </w:p>
        </w:tc>
        <w:tc>
          <w:tcPr>
            <w:tcW w:w="1418" w:type="dxa"/>
            <w:tcBorders>
              <w:right w:val="single" w:sz="4" w:space="0" w:color="auto"/>
            </w:tcBorders>
            <w:noWrap/>
            <w:hideMark/>
          </w:tcPr>
          <w:p w14:paraId="45575D52" w14:textId="77777777" w:rsidR="00AB6753" w:rsidRPr="00F32D92" w:rsidRDefault="00AB6753" w:rsidP="002D1EA4">
            <w:pPr>
              <w:rPr>
                <w:rFonts w:cs="Arial"/>
                <w:sz w:val="20"/>
                <w:szCs w:val="20"/>
              </w:rPr>
            </w:pPr>
            <w:r w:rsidRPr="00F32D92">
              <w:rPr>
                <w:rFonts w:cs="Arial"/>
                <w:color w:val="000000"/>
                <w:sz w:val="20"/>
                <w:szCs w:val="20"/>
              </w:rPr>
              <w:t>17</w:t>
            </w:r>
          </w:p>
        </w:tc>
        <w:tc>
          <w:tcPr>
            <w:tcW w:w="1134" w:type="dxa"/>
            <w:tcBorders>
              <w:left w:val="single" w:sz="4" w:space="0" w:color="auto"/>
            </w:tcBorders>
            <w:noWrap/>
            <w:hideMark/>
          </w:tcPr>
          <w:p w14:paraId="43A3E55C" w14:textId="77777777" w:rsidR="00AB6753" w:rsidRPr="00F32D92" w:rsidRDefault="00AB6753" w:rsidP="002D1EA4">
            <w:pPr>
              <w:rPr>
                <w:rFonts w:cs="Arial"/>
                <w:sz w:val="20"/>
                <w:szCs w:val="20"/>
              </w:rPr>
            </w:pPr>
            <w:r w:rsidRPr="00F32D92">
              <w:rPr>
                <w:rFonts w:cs="Arial"/>
                <w:sz w:val="20"/>
                <w:szCs w:val="20"/>
              </w:rPr>
              <w:t>0</w:t>
            </w:r>
          </w:p>
        </w:tc>
        <w:tc>
          <w:tcPr>
            <w:tcW w:w="1276" w:type="dxa"/>
            <w:noWrap/>
            <w:hideMark/>
          </w:tcPr>
          <w:p w14:paraId="01A2DAB5" w14:textId="77777777" w:rsidR="00AB6753" w:rsidRPr="00F32D92" w:rsidRDefault="00AB6753" w:rsidP="002D1EA4">
            <w:pPr>
              <w:rPr>
                <w:rFonts w:cs="Arial"/>
                <w:sz w:val="20"/>
                <w:szCs w:val="20"/>
              </w:rPr>
            </w:pPr>
            <w:r w:rsidRPr="00F32D92">
              <w:rPr>
                <w:rFonts w:cs="Arial"/>
                <w:sz w:val="20"/>
                <w:szCs w:val="20"/>
              </w:rPr>
              <w:t>0</w:t>
            </w:r>
          </w:p>
        </w:tc>
        <w:tc>
          <w:tcPr>
            <w:tcW w:w="1189" w:type="dxa"/>
            <w:tcBorders>
              <w:right w:val="single" w:sz="4" w:space="0" w:color="auto"/>
            </w:tcBorders>
            <w:noWrap/>
            <w:hideMark/>
          </w:tcPr>
          <w:p w14:paraId="5FAD14E3" w14:textId="77777777" w:rsidR="00AB6753" w:rsidRPr="00F32D92" w:rsidRDefault="00AB6753" w:rsidP="002D1EA4">
            <w:pPr>
              <w:rPr>
                <w:rFonts w:cs="Arial"/>
                <w:sz w:val="20"/>
                <w:szCs w:val="20"/>
              </w:rPr>
            </w:pPr>
            <w:r w:rsidRPr="00F32D92">
              <w:rPr>
                <w:rFonts w:cs="Arial"/>
                <w:sz w:val="20"/>
                <w:szCs w:val="20"/>
              </w:rPr>
              <w:t>0</w:t>
            </w:r>
          </w:p>
        </w:tc>
        <w:tc>
          <w:tcPr>
            <w:tcW w:w="706" w:type="dxa"/>
            <w:tcBorders>
              <w:left w:val="single" w:sz="4" w:space="0" w:color="auto"/>
              <w:right w:val="single" w:sz="4" w:space="0" w:color="666666" w:themeColor="text1" w:themeTint="99"/>
            </w:tcBorders>
          </w:tcPr>
          <w:p w14:paraId="0E073F15" w14:textId="77777777" w:rsidR="00AB6753" w:rsidRPr="00F32D92" w:rsidRDefault="00AB6753" w:rsidP="002D1EA4">
            <w:pPr>
              <w:rPr>
                <w:rFonts w:cs="Arial"/>
                <w:sz w:val="20"/>
                <w:szCs w:val="20"/>
              </w:rPr>
            </w:pPr>
            <w:r w:rsidRPr="00F32D92">
              <w:rPr>
                <w:rFonts w:cs="Arial"/>
                <w:color w:val="000000"/>
                <w:sz w:val="20"/>
                <w:szCs w:val="20"/>
              </w:rPr>
              <w:t>17</w:t>
            </w:r>
          </w:p>
        </w:tc>
      </w:tr>
      <w:tr w:rsidR="00AB6753" w:rsidRPr="00F32D92" w14:paraId="3ED32B95"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274AB458" w14:textId="77777777" w:rsidR="00AB6753" w:rsidRPr="00F32D92" w:rsidRDefault="00AB6753" w:rsidP="002D1EA4">
            <w:pPr>
              <w:rPr>
                <w:rFonts w:cs="Arial"/>
                <w:sz w:val="20"/>
                <w:szCs w:val="20"/>
              </w:rPr>
            </w:pPr>
            <w:r w:rsidRPr="00F32D92">
              <w:rPr>
                <w:rFonts w:cs="Arial"/>
                <w:sz w:val="20"/>
                <w:szCs w:val="20"/>
              </w:rPr>
              <w:t>SES 1</w:t>
            </w:r>
          </w:p>
        </w:tc>
        <w:tc>
          <w:tcPr>
            <w:tcW w:w="1134" w:type="dxa"/>
            <w:tcBorders>
              <w:left w:val="single" w:sz="4" w:space="0" w:color="auto"/>
            </w:tcBorders>
            <w:noWrap/>
            <w:hideMark/>
          </w:tcPr>
          <w:p w14:paraId="77F56E41" w14:textId="77777777" w:rsidR="00AB6753" w:rsidRPr="00F32D92" w:rsidRDefault="00AB6753" w:rsidP="002D1EA4">
            <w:pPr>
              <w:rPr>
                <w:rFonts w:cs="Arial"/>
                <w:sz w:val="20"/>
                <w:szCs w:val="20"/>
              </w:rPr>
            </w:pPr>
            <w:r w:rsidRPr="00F32D92">
              <w:rPr>
                <w:rFonts w:cs="Arial"/>
                <w:color w:val="000000"/>
                <w:sz w:val="20"/>
                <w:szCs w:val="20"/>
              </w:rPr>
              <w:t>63</w:t>
            </w:r>
          </w:p>
        </w:tc>
        <w:tc>
          <w:tcPr>
            <w:tcW w:w="1134" w:type="dxa"/>
            <w:noWrap/>
            <w:hideMark/>
          </w:tcPr>
          <w:p w14:paraId="1D93AF19" w14:textId="77777777" w:rsidR="00AB6753" w:rsidRPr="00F32D92" w:rsidRDefault="00AB6753" w:rsidP="002D1EA4">
            <w:pPr>
              <w:rPr>
                <w:rFonts w:cs="Arial"/>
                <w:sz w:val="20"/>
                <w:szCs w:val="20"/>
              </w:rPr>
            </w:pPr>
            <w:r w:rsidRPr="00F32D92">
              <w:rPr>
                <w:rFonts w:cs="Arial"/>
                <w:sz w:val="20"/>
                <w:szCs w:val="20"/>
              </w:rPr>
              <w:t>0</w:t>
            </w:r>
          </w:p>
        </w:tc>
        <w:tc>
          <w:tcPr>
            <w:tcW w:w="1418" w:type="dxa"/>
            <w:tcBorders>
              <w:right w:val="single" w:sz="4" w:space="0" w:color="auto"/>
            </w:tcBorders>
            <w:noWrap/>
            <w:hideMark/>
          </w:tcPr>
          <w:p w14:paraId="45B112BF" w14:textId="77777777" w:rsidR="00AB6753" w:rsidRPr="00F32D92" w:rsidRDefault="00AB6753" w:rsidP="002D1EA4">
            <w:pPr>
              <w:rPr>
                <w:rFonts w:cs="Arial"/>
                <w:sz w:val="20"/>
                <w:szCs w:val="20"/>
              </w:rPr>
            </w:pPr>
            <w:r w:rsidRPr="00F32D92">
              <w:rPr>
                <w:rFonts w:cs="Arial"/>
                <w:color w:val="000000"/>
                <w:sz w:val="20"/>
                <w:szCs w:val="20"/>
              </w:rPr>
              <w:t>63</w:t>
            </w:r>
          </w:p>
        </w:tc>
        <w:tc>
          <w:tcPr>
            <w:tcW w:w="1134" w:type="dxa"/>
            <w:tcBorders>
              <w:left w:val="single" w:sz="4" w:space="0" w:color="auto"/>
            </w:tcBorders>
            <w:noWrap/>
            <w:hideMark/>
          </w:tcPr>
          <w:p w14:paraId="3528F9DC" w14:textId="77777777" w:rsidR="00AB6753" w:rsidRPr="00F32D92" w:rsidRDefault="00AB6753" w:rsidP="002D1EA4">
            <w:pPr>
              <w:rPr>
                <w:rFonts w:cs="Arial"/>
                <w:sz w:val="20"/>
                <w:szCs w:val="20"/>
              </w:rPr>
            </w:pPr>
            <w:r w:rsidRPr="00F32D92">
              <w:rPr>
                <w:rFonts w:cs="Arial"/>
                <w:sz w:val="20"/>
                <w:szCs w:val="20"/>
              </w:rPr>
              <w:t>0</w:t>
            </w:r>
          </w:p>
        </w:tc>
        <w:tc>
          <w:tcPr>
            <w:tcW w:w="1276" w:type="dxa"/>
            <w:noWrap/>
            <w:hideMark/>
          </w:tcPr>
          <w:p w14:paraId="000649EA" w14:textId="77777777" w:rsidR="00AB6753" w:rsidRPr="00F32D92" w:rsidRDefault="00AB6753" w:rsidP="002D1EA4">
            <w:pPr>
              <w:rPr>
                <w:rFonts w:cs="Arial"/>
                <w:sz w:val="20"/>
                <w:szCs w:val="20"/>
              </w:rPr>
            </w:pPr>
            <w:r w:rsidRPr="00F32D92">
              <w:rPr>
                <w:rFonts w:cs="Arial"/>
                <w:sz w:val="20"/>
                <w:szCs w:val="20"/>
              </w:rPr>
              <w:t>0</w:t>
            </w:r>
          </w:p>
        </w:tc>
        <w:tc>
          <w:tcPr>
            <w:tcW w:w="1189" w:type="dxa"/>
            <w:tcBorders>
              <w:right w:val="single" w:sz="4" w:space="0" w:color="auto"/>
            </w:tcBorders>
            <w:noWrap/>
            <w:hideMark/>
          </w:tcPr>
          <w:p w14:paraId="0C4E3315" w14:textId="77777777" w:rsidR="00AB6753" w:rsidRPr="00F32D92" w:rsidRDefault="00AB6753" w:rsidP="002D1EA4">
            <w:pPr>
              <w:rPr>
                <w:rFonts w:cs="Arial"/>
                <w:sz w:val="20"/>
                <w:szCs w:val="20"/>
              </w:rPr>
            </w:pPr>
            <w:r w:rsidRPr="00F32D92">
              <w:rPr>
                <w:rFonts w:cs="Arial"/>
                <w:sz w:val="20"/>
                <w:szCs w:val="20"/>
              </w:rPr>
              <w:t>0</w:t>
            </w:r>
          </w:p>
        </w:tc>
        <w:tc>
          <w:tcPr>
            <w:tcW w:w="706" w:type="dxa"/>
            <w:tcBorders>
              <w:left w:val="single" w:sz="4" w:space="0" w:color="auto"/>
              <w:right w:val="single" w:sz="4" w:space="0" w:color="666666" w:themeColor="text1" w:themeTint="99"/>
            </w:tcBorders>
          </w:tcPr>
          <w:p w14:paraId="2F0A7264" w14:textId="77777777" w:rsidR="00AB6753" w:rsidRPr="00F32D92" w:rsidRDefault="00AB6753" w:rsidP="002D1EA4">
            <w:pPr>
              <w:rPr>
                <w:rFonts w:cs="Arial"/>
                <w:sz w:val="20"/>
                <w:szCs w:val="20"/>
              </w:rPr>
            </w:pPr>
            <w:r w:rsidRPr="00F32D92">
              <w:rPr>
                <w:rFonts w:cs="Arial"/>
                <w:color w:val="000000"/>
                <w:sz w:val="20"/>
                <w:szCs w:val="20"/>
              </w:rPr>
              <w:t>63</w:t>
            </w:r>
          </w:p>
        </w:tc>
      </w:tr>
      <w:tr w:rsidR="00AB6753" w:rsidRPr="00F32D92" w14:paraId="3F67EFC1"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463BBECE" w14:textId="77777777" w:rsidR="00AB6753" w:rsidRPr="00F32D92" w:rsidRDefault="00AB6753" w:rsidP="002D1EA4">
            <w:pPr>
              <w:rPr>
                <w:rFonts w:cs="Arial"/>
                <w:sz w:val="20"/>
                <w:szCs w:val="20"/>
              </w:rPr>
            </w:pPr>
            <w:r w:rsidRPr="00F32D92">
              <w:rPr>
                <w:rFonts w:cs="Arial"/>
                <w:sz w:val="20"/>
                <w:szCs w:val="20"/>
              </w:rPr>
              <w:t>EL 2</w:t>
            </w:r>
          </w:p>
        </w:tc>
        <w:tc>
          <w:tcPr>
            <w:tcW w:w="1134" w:type="dxa"/>
            <w:tcBorders>
              <w:left w:val="single" w:sz="4" w:space="0" w:color="auto"/>
            </w:tcBorders>
            <w:noWrap/>
            <w:hideMark/>
          </w:tcPr>
          <w:p w14:paraId="7D13D034" w14:textId="77777777" w:rsidR="00AB6753" w:rsidRPr="00F32D92" w:rsidRDefault="00AB6753" w:rsidP="002D1EA4">
            <w:pPr>
              <w:rPr>
                <w:rFonts w:cs="Arial"/>
                <w:sz w:val="20"/>
                <w:szCs w:val="20"/>
              </w:rPr>
            </w:pPr>
            <w:r w:rsidRPr="00F32D92">
              <w:rPr>
                <w:rFonts w:cs="Arial"/>
                <w:color w:val="000000"/>
                <w:sz w:val="20"/>
                <w:szCs w:val="20"/>
              </w:rPr>
              <w:t>253</w:t>
            </w:r>
          </w:p>
        </w:tc>
        <w:tc>
          <w:tcPr>
            <w:tcW w:w="1134" w:type="dxa"/>
            <w:noWrap/>
            <w:hideMark/>
          </w:tcPr>
          <w:p w14:paraId="7C276641" w14:textId="77777777" w:rsidR="00AB6753" w:rsidRPr="00F32D92" w:rsidRDefault="00AB6753" w:rsidP="002D1EA4">
            <w:pPr>
              <w:rPr>
                <w:rFonts w:cs="Arial"/>
                <w:sz w:val="20"/>
                <w:szCs w:val="20"/>
              </w:rPr>
            </w:pPr>
            <w:r w:rsidRPr="00F32D92">
              <w:rPr>
                <w:rFonts w:cs="Arial"/>
                <w:color w:val="000000"/>
                <w:sz w:val="20"/>
                <w:szCs w:val="20"/>
              </w:rPr>
              <w:t>17</w:t>
            </w:r>
          </w:p>
        </w:tc>
        <w:tc>
          <w:tcPr>
            <w:tcW w:w="1418" w:type="dxa"/>
            <w:tcBorders>
              <w:right w:val="single" w:sz="4" w:space="0" w:color="auto"/>
            </w:tcBorders>
            <w:noWrap/>
            <w:hideMark/>
          </w:tcPr>
          <w:p w14:paraId="0E8AC620" w14:textId="77777777" w:rsidR="00AB6753" w:rsidRPr="00F32D92" w:rsidRDefault="00AB6753" w:rsidP="002D1EA4">
            <w:pPr>
              <w:rPr>
                <w:rFonts w:cs="Arial"/>
                <w:sz w:val="20"/>
                <w:szCs w:val="20"/>
              </w:rPr>
            </w:pPr>
            <w:r w:rsidRPr="00F32D92">
              <w:rPr>
                <w:rFonts w:cs="Arial"/>
                <w:color w:val="000000"/>
                <w:sz w:val="20"/>
                <w:szCs w:val="20"/>
              </w:rPr>
              <w:t>270</w:t>
            </w:r>
          </w:p>
        </w:tc>
        <w:tc>
          <w:tcPr>
            <w:tcW w:w="1134" w:type="dxa"/>
            <w:tcBorders>
              <w:left w:val="single" w:sz="4" w:space="0" w:color="auto"/>
            </w:tcBorders>
            <w:noWrap/>
            <w:hideMark/>
          </w:tcPr>
          <w:p w14:paraId="7CDF6C7F" w14:textId="77777777" w:rsidR="00AB6753" w:rsidRPr="00F32D92" w:rsidRDefault="00AB6753" w:rsidP="002D1EA4">
            <w:pPr>
              <w:rPr>
                <w:rFonts w:cs="Arial"/>
                <w:sz w:val="20"/>
                <w:szCs w:val="20"/>
              </w:rPr>
            </w:pPr>
            <w:r w:rsidRPr="00F32D92">
              <w:rPr>
                <w:rFonts w:cs="Arial"/>
                <w:color w:val="000000"/>
                <w:sz w:val="20"/>
                <w:szCs w:val="20"/>
              </w:rPr>
              <w:t>3</w:t>
            </w:r>
          </w:p>
        </w:tc>
        <w:tc>
          <w:tcPr>
            <w:tcW w:w="1276" w:type="dxa"/>
            <w:noWrap/>
            <w:hideMark/>
          </w:tcPr>
          <w:p w14:paraId="22525127" w14:textId="77777777" w:rsidR="00AB6753" w:rsidRPr="00F32D92" w:rsidRDefault="00AB6753" w:rsidP="002D1EA4">
            <w:pPr>
              <w:rPr>
                <w:rFonts w:cs="Arial"/>
                <w:sz w:val="20"/>
                <w:szCs w:val="20"/>
              </w:rPr>
            </w:pPr>
            <w:r w:rsidRPr="00F32D92">
              <w:rPr>
                <w:rFonts w:cs="Arial"/>
                <w:color w:val="000000"/>
                <w:sz w:val="20"/>
                <w:szCs w:val="20"/>
              </w:rPr>
              <w:t>2</w:t>
            </w:r>
          </w:p>
        </w:tc>
        <w:tc>
          <w:tcPr>
            <w:tcW w:w="1189" w:type="dxa"/>
            <w:tcBorders>
              <w:right w:val="single" w:sz="4" w:space="0" w:color="auto"/>
            </w:tcBorders>
            <w:noWrap/>
            <w:hideMark/>
          </w:tcPr>
          <w:p w14:paraId="4B001950" w14:textId="77777777" w:rsidR="00AB6753" w:rsidRPr="00F32D92" w:rsidRDefault="00AB6753" w:rsidP="002D1EA4">
            <w:pPr>
              <w:rPr>
                <w:rFonts w:cs="Arial"/>
                <w:sz w:val="20"/>
                <w:szCs w:val="20"/>
              </w:rPr>
            </w:pPr>
            <w:r w:rsidRPr="00F32D92">
              <w:rPr>
                <w:rFonts w:cs="Arial"/>
                <w:color w:val="000000"/>
                <w:sz w:val="20"/>
                <w:szCs w:val="20"/>
              </w:rPr>
              <w:t>5</w:t>
            </w:r>
          </w:p>
        </w:tc>
        <w:tc>
          <w:tcPr>
            <w:tcW w:w="706" w:type="dxa"/>
            <w:tcBorders>
              <w:left w:val="single" w:sz="4" w:space="0" w:color="auto"/>
              <w:right w:val="single" w:sz="4" w:space="0" w:color="666666" w:themeColor="text1" w:themeTint="99"/>
            </w:tcBorders>
          </w:tcPr>
          <w:p w14:paraId="5DD7EB3A" w14:textId="77777777" w:rsidR="00AB6753" w:rsidRPr="00F32D92" w:rsidRDefault="00AB6753" w:rsidP="002D1EA4">
            <w:pPr>
              <w:rPr>
                <w:rFonts w:cs="Arial"/>
                <w:sz w:val="20"/>
                <w:szCs w:val="20"/>
              </w:rPr>
            </w:pPr>
            <w:r w:rsidRPr="00F32D92">
              <w:rPr>
                <w:rFonts w:cs="Arial"/>
                <w:color w:val="000000"/>
                <w:sz w:val="20"/>
                <w:szCs w:val="20"/>
              </w:rPr>
              <w:t>275</w:t>
            </w:r>
          </w:p>
        </w:tc>
      </w:tr>
      <w:tr w:rsidR="00AB6753" w:rsidRPr="00F32D92" w14:paraId="23DE7698"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1165973B" w14:textId="77777777" w:rsidR="00AB6753" w:rsidRPr="00F32D92" w:rsidRDefault="00AB6753" w:rsidP="002D1EA4">
            <w:pPr>
              <w:rPr>
                <w:rFonts w:cs="Arial"/>
                <w:sz w:val="20"/>
                <w:szCs w:val="20"/>
              </w:rPr>
            </w:pPr>
            <w:r w:rsidRPr="00F32D92">
              <w:rPr>
                <w:rFonts w:cs="Arial"/>
                <w:sz w:val="20"/>
                <w:szCs w:val="20"/>
              </w:rPr>
              <w:t>EL 1</w:t>
            </w:r>
          </w:p>
        </w:tc>
        <w:tc>
          <w:tcPr>
            <w:tcW w:w="1134" w:type="dxa"/>
            <w:tcBorders>
              <w:left w:val="single" w:sz="4" w:space="0" w:color="auto"/>
            </w:tcBorders>
            <w:noWrap/>
            <w:hideMark/>
          </w:tcPr>
          <w:p w14:paraId="01677D4B" w14:textId="77777777" w:rsidR="00AB6753" w:rsidRPr="00F32D92" w:rsidRDefault="00AB6753" w:rsidP="002D1EA4">
            <w:pPr>
              <w:rPr>
                <w:rFonts w:cs="Arial"/>
                <w:sz w:val="20"/>
                <w:szCs w:val="20"/>
              </w:rPr>
            </w:pPr>
            <w:r w:rsidRPr="00F32D92">
              <w:rPr>
                <w:rFonts w:cs="Arial"/>
                <w:color w:val="000000"/>
                <w:sz w:val="20"/>
                <w:szCs w:val="20"/>
              </w:rPr>
              <w:t>487</w:t>
            </w:r>
          </w:p>
        </w:tc>
        <w:tc>
          <w:tcPr>
            <w:tcW w:w="1134" w:type="dxa"/>
            <w:noWrap/>
            <w:hideMark/>
          </w:tcPr>
          <w:p w14:paraId="7A3E44F7" w14:textId="77777777" w:rsidR="00AB6753" w:rsidRPr="00F32D92" w:rsidRDefault="00AB6753" w:rsidP="002D1EA4">
            <w:pPr>
              <w:rPr>
                <w:rFonts w:cs="Arial"/>
                <w:sz w:val="20"/>
                <w:szCs w:val="20"/>
              </w:rPr>
            </w:pPr>
            <w:r w:rsidRPr="00F32D92">
              <w:rPr>
                <w:rFonts w:cs="Arial"/>
                <w:color w:val="000000"/>
                <w:sz w:val="20"/>
                <w:szCs w:val="20"/>
              </w:rPr>
              <w:t>136</w:t>
            </w:r>
          </w:p>
        </w:tc>
        <w:tc>
          <w:tcPr>
            <w:tcW w:w="1418" w:type="dxa"/>
            <w:tcBorders>
              <w:right w:val="single" w:sz="4" w:space="0" w:color="auto"/>
            </w:tcBorders>
            <w:noWrap/>
            <w:hideMark/>
          </w:tcPr>
          <w:p w14:paraId="41E8A3B4" w14:textId="77777777" w:rsidR="00AB6753" w:rsidRPr="00F32D92" w:rsidRDefault="00AB6753" w:rsidP="002D1EA4">
            <w:pPr>
              <w:rPr>
                <w:rFonts w:cs="Arial"/>
                <w:sz w:val="20"/>
                <w:szCs w:val="20"/>
              </w:rPr>
            </w:pPr>
            <w:r w:rsidRPr="00F32D92">
              <w:rPr>
                <w:rFonts w:cs="Arial"/>
                <w:color w:val="000000"/>
                <w:sz w:val="20"/>
                <w:szCs w:val="20"/>
              </w:rPr>
              <w:t>623</w:t>
            </w:r>
          </w:p>
        </w:tc>
        <w:tc>
          <w:tcPr>
            <w:tcW w:w="1134" w:type="dxa"/>
            <w:tcBorders>
              <w:left w:val="single" w:sz="4" w:space="0" w:color="auto"/>
            </w:tcBorders>
            <w:noWrap/>
            <w:hideMark/>
          </w:tcPr>
          <w:p w14:paraId="14DD0C08" w14:textId="77777777" w:rsidR="00AB6753" w:rsidRPr="00F32D92" w:rsidRDefault="00AB6753" w:rsidP="002D1EA4">
            <w:pPr>
              <w:rPr>
                <w:rFonts w:cs="Arial"/>
                <w:sz w:val="20"/>
                <w:szCs w:val="20"/>
              </w:rPr>
            </w:pPr>
            <w:r w:rsidRPr="00F32D92">
              <w:rPr>
                <w:rFonts w:cs="Arial"/>
                <w:color w:val="000000"/>
                <w:sz w:val="20"/>
                <w:szCs w:val="20"/>
              </w:rPr>
              <w:t>3</w:t>
            </w:r>
          </w:p>
        </w:tc>
        <w:tc>
          <w:tcPr>
            <w:tcW w:w="1276" w:type="dxa"/>
            <w:noWrap/>
            <w:hideMark/>
          </w:tcPr>
          <w:p w14:paraId="7F234800" w14:textId="77777777" w:rsidR="00AB6753" w:rsidRPr="00F32D92" w:rsidRDefault="00AB6753" w:rsidP="002D1EA4">
            <w:pPr>
              <w:rPr>
                <w:rFonts w:cs="Arial"/>
                <w:sz w:val="20"/>
                <w:szCs w:val="20"/>
              </w:rPr>
            </w:pPr>
            <w:r w:rsidRPr="00F32D92">
              <w:rPr>
                <w:rFonts w:cs="Arial"/>
                <w:color w:val="000000"/>
                <w:sz w:val="20"/>
                <w:szCs w:val="20"/>
              </w:rPr>
              <w:t>2</w:t>
            </w:r>
          </w:p>
        </w:tc>
        <w:tc>
          <w:tcPr>
            <w:tcW w:w="1189" w:type="dxa"/>
            <w:tcBorders>
              <w:right w:val="single" w:sz="4" w:space="0" w:color="auto"/>
            </w:tcBorders>
            <w:noWrap/>
            <w:hideMark/>
          </w:tcPr>
          <w:p w14:paraId="078E1194" w14:textId="77777777" w:rsidR="00AB6753" w:rsidRPr="00F32D92" w:rsidRDefault="00AB6753" w:rsidP="002D1EA4">
            <w:pPr>
              <w:rPr>
                <w:rFonts w:cs="Arial"/>
                <w:sz w:val="20"/>
                <w:szCs w:val="20"/>
              </w:rPr>
            </w:pPr>
            <w:r w:rsidRPr="00F32D92">
              <w:rPr>
                <w:rFonts w:cs="Arial"/>
                <w:color w:val="000000"/>
                <w:sz w:val="20"/>
                <w:szCs w:val="20"/>
              </w:rPr>
              <w:t>5</w:t>
            </w:r>
          </w:p>
        </w:tc>
        <w:tc>
          <w:tcPr>
            <w:tcW w:w="706" w:type="dxa"/>
            <w:tcBorders>
              <w:left w:val="single" w:sz="4" w:space="0" w:color="auto"/>
              <w:right w:val="single" w:sz="4" w:space="0" w:color="666666" w:themeColor="text1" w:themeTint="99"/>
            </w:tcBorders>
          </w:tcPr>
          <w:p w14:paraId="70450BB1" w14:textId="77777777" w:rsidR="00AB6753" w:rsidRPr="00F32D92" w:rsidRDefault="00AB6753" w:rsidP="002D1EA4">
            <w:pPr>
              <w:rPr>
                <w:rFonts w:cs="Arial"/>
                <w:sz w:val="20"/>
                <w:szCs w:val="20"/>
              </w:rPr>
            </w:pPr>
            <w:r w:rsidRPr="00F32D92">
              <w:rPr>
                <w:rFonts w:cs="Arial"/>
                <w:color w:val="000000"/>
                <w:sz w:val="20"/>
                <w:szCs w:val="20"/>
              </w:rPr>
              <w:t>628</w:t>
            </w:r>
          </w:p>
        </w:tc>
      </w:tr>
      <w:tr w:rsidR="00AB6753" w:rsidRPr="00F32D92" w14:paraId="077C09EF" w14:textId="77777777" w:rsidTr="002D1EA4">
        <w:trPr>
          <w:trHeight w:val="315"/>
          <w:jc w:val="center"/>
        </w:trPr>
        <w:tc>
          <w:tcPr>
            <w:tcW w:w="1696" w:type="dxa"/>
            <w:tcBorders>
              <w:left w:val="single" w:sz="4" w:space="0" w:color="666666" w:themeColor="text1" w:themeTint="99"/>
              <w:right w:val="single" w:sz="4" w:space="0" w:color="auto"/>
            </w:tcBorders>
            <w:vAlign w:val="bottom"/>
          </w:tcPr>
          <w:p w14:paraId="28787146" w14:textId="77777777" w:rsidR="00AB6753" w:rsidRPr="00F32D92" w:rsidRDefault="00AB6753" w:rsidP="002D1EA4">
            <w:pPr>
              <w:rPr>
                <w:rFonts w:cs="Arial"/>
                <w:sz w:val="20"/>
                <w:szCs w:val="20"/>
              </w:rPr>
            </w:pPr>
            <w:r w:rsidRPr="00F32D92">
              <w:rPr>
                <w:rFonts w:cs="Arial"/>
                <w:sz w:val="20"/>
                <w:szCs w:val="20"/>
              </w:rPr>
              <w:t>Senior Public Affairs Officer</w:t>
            </w:r>
          </w:p>
        </w:tc>
        <w:tc>
          <w:tcPr>
            <w:tcW w:w="1134" w:type="dxa"/>
            <w:tcBorders>
              <w:left w:val="single" w:sz="4" w:space="0" w:color="auto"/>
            </w:tcBorders>
            <w:noWrap/>
          </w:tcPr>
          <w:p w14:paraId="2F9E4BEB" w14:textId="77777777" w:rsidR="00AB6753" w:rsidRPr="00F32D92" w:rsidRDefault="00AB6753" w:rsidP="002D1EA4">
            <w:pPr>
              <w:rPr>
                <w:rFonts w:cs="Arial"/>
                <w:sz w:val="20"/>
                <w:szCs w:val="20"/>
              </w:rPr>
            </w:pPr>
            <w:r w:rsidRPr="00F32D92">
              <w:rPr>
                <w:rFonts w:cs="Arial"/>
                <w:color w:val="000000"/>
                <w:sz w:val="20"/>
                <w:szCs w:val="20"/>
              </w:rPr>
              <w:t>10</w:t>
            </w:r>
          </w:p>
        </w:tc>
        <w:tc>
          <w:tcPr>
            <w:tcW w:w="1134" w:type="dxa"/>
            <w:noWrap/>
          </w:tcPr>
          <w:p w14:paraId="66D346C4" w14:textId="77777777" w:rsidR="00AB6753" w:rsidRPr="00F32D92" w:rsidRDefault="00AB6753" w:rsidP="002D1EA4">
            <w:pPr>
              <w:rPr>
                <w:rFonts w:cs="Arial"/>
                <w:sz w:val="20"/>
                <w:szCs w:val="20"/>
              </w:rPr>
            </w:pPr>
            <w:r w:rsidRPr="00F32D92">
              <w:rPr>
                <w:rFonts w:cs="Arial"/>
                <w:color w:val="000000"/>
                <w:sz w:val="20"/>
                <w:szCs w:val="20"/>
              </w:rPr>
              <w:t>1</w:t>
            </w:r>
          </w:p>
        </w:tc>
        <w:tc>
          <w:tcPr>
            <w:tcW w:w="1418" w:type="dxa"/>
            <w:tcBorders>
              <w:right w:val="single" w:sz="4" w:space="0" w:color="auto"/>
            </w:tcBorders>
            <w:noWrap/>
          </w:tcPr>
          <w:p w14:paraId="524EC995" w14:textId="77777777" w:rsidR="00AB6753" w:rsidRPr="00F32D92" w:rsidRDefault="00AB6753" w:rsidP="002D1EA4">
            <w:pPr>
              <w:rPr>
                <w:rFonts w:cs="Arial"/>
                <w:sz w:val="20"/>
                <w:szCs w:val="20"/>
              </w:rPr>
            </w:pPr>
            <w:r w:rsidRPr="00F32D92">
              <w:rPr>
                <w:rFonts w:cs="Arial"/>
                <w:color w:val="000000"/>
                <w:sz w:val="20"/>
                <w:szCs w:val="20"/>
              </w:rPr>
              <w:t>11</w:t>
            </w:r>
          </w:p>
        </w:tc>
        <w:tc>
          <w:tcPr>
            <w:tcW w:w="1134" w:type="dxa"/>
            <w:tcBorders>
              <w:left w:val="single" w:sz="4" w:space="0" w:color="auto"/>
            </w:tcBorders>
            <w:noWrap/>
          </w:tcPr>
          <w:p w14:paraId="3398470D" w14:textId="77777777" w:rsidR="00AB6753" w:rsidRPr="00F32D92" w:rsidRDefault="00AB6753" w:rsidP="002D1EA4">
            <w:pPr>
              <w:rPr>
                <w:rFonts w:cs="Arial"/>
                <w:sz w:val="20"/>
                <w:szCs w:val="20"/>
              </w:rPr>
            </w:pPr>
            <w:r w:rsidRPr="00F32D92">
              <w:rPr>
                <w:rFonts w:cs="Arial"/>
                <w:sz w:val="20"/>
                <w:szCs w:val="20"/>
              </w:rPr>
              <w:t>0</w:t>
            </w:r>
          </w:p>
        </w:tc>
        <w:tc>
          <w:tcPr>
            <w:tcW w:w="1276" w:type="dxa"/>
            <w:noWrap/>
          </w:tcPr>
          <w:p w14:paraId="73EA831A" w14:textId="77777777" w:rsidR="00AB6753" w:rsidRPr="00F32D92" w:rsidRDefault="00AB6753" w:rsidP="002D1EA4">
            <w:pPr>
              <w:rPr>
                <w:rFonts w:cs="Arial"/>
                <w:sz w:val="20"/>
                <w:szCs w:val="20"/>
              </w:rPr>
            </w:pPr>
            <w:r w:rsidRPr="00F32D92">
              <w:rPr>
                <w:rFonts w:cs="Arial"/>
                <w:sz w:val="20"/>
                <w:szCs w:val="20"/>
              </w:rPr>
              <w:t>0</w:t>
            </w:r>
          </w:p>
        </w:tc>
        <w:tc>
          <w:tcPr>
            <w:tcW w:w="1189" w:type="dxa"/>
            <w:tcBorders>
              <w:right w:val="single" w:sz="4" w:space="0" w:color="auto"/>
            </w:tcBorders>
            <w:noWrap/>
          </w:tcPr>
          <w:p w14:paraId="06B4844B" w14:textId="77777777" w:rsidR="00AB6753" w:rsidRPr="00F32D92" w:rsidRDefault="00AB6753" w:rsidP="002D1EA4">
            <w:pPr>
              <w:rPr>
                <w:rFonts w:cs="Arial"/>
                <w:sz w:val="20"/>
                <w:szCs w:val="20"/>
              </w:rPr>
            </w:pPr>
            <w:r w:rsidRPr="00F32D92">
              <w:rPr>
                <w:rFonts w:cs="Arial"/>
                <w:sz w:val="20"/>
                <w:szCs w:val="20"/>
              </w:rPr>
              <w:t>0</w:t>
            </w:r>
          </w:p>
        </w:tc>
        <w:tc>
          <w:tcPr>
            <w:tcW w:w="706" w:type="dxa"/>
            <w:tcBorders>
              <w:left w:val="single" w:sz="4" w:space="0" w:color="auto"/>
              <w:right w:val="single" w:sz="4" w:space="0" w:color="666666" w:themeColor="text1" w:themeTint="99"/>
            </w:tcBorders>
          </w:tcPr>
          <w:p w14:paraId="5643F0DC" w14:textId="77777777" w:rsidR="00AB6753" w:rsidRPr="00F32D92" w:rsidRDefault="00AB6753" w:rsidP="002D1EA4">
            <w:pPr>
              <w:rPr>
                <w:rFonts w:cs="Arial"/>
                <w:sz w:val="20"/>
                <w:szCs w:val="20"/>
              </w:rPr>
            </w:pPr>
            <w:r w:rsidRPr="00F32D92">
              <w:rPr>
                <w:rFonts w:cs="Arial"/>
                <w:color w:val="000000"/>
                <w:sz w:val="20"/>
                <w:szCs w:val="20"/>
              </w:rPr>
              <w:t>11</w:t>
            </w:r>
          </w:p>
        </w:tc>
      </w:tr>
      <w:tr w:rsidR="00AB6753" w:rsidRPr="00F32D92" w14:paraId="0BEE08B7" w14:textId="77777777" w:rsidTr="002D1EA4">
        <w:trPr>
          <w:trHeight w:val="315"/>
          <w:jc w:val="center"/>
        </w:trPr>
        <w:tc>
          <w:tcPr>
            <w:tcW w:w="1696" w:type="dxa"/>
            <w:tcBorders>
              <w:left w:val="single" w:sz="4" w:space="0" w:color="666666" w:themeColor="text1" w:themeTint="99"/>
              <w:right w:val="single" w:sz="4" w:space="0" w:color="auto"/>
            </w:tcBorders>
            <w:vAlign w:val="bottom"/>
          </w:tcPr>
          <w:p w14:paraId="3C95B96A" w14:textId="77777777" w:rsidR="00AB6753" w:rsidRPr="00F32D92" w:rsidRDefault="00AB6753" w:rsidP="002D1EA4">
            <w:pPr>
              <w:rPr>
                <w:rFonts w:cs="Arial"/>
                <w:sz w:val="20"/>
                <w:szCs w:val="20"/>
              </w:rPr>
            </w:pPr>
            <w:r w:rsidRPr="00F32D92">
              <w:rPr>
                <w:rFonts w:cs="Arial"/>
                <w:sz w:val="20"/>
                <w:szCs w:val="20"/>
              </w:rPr>
              <w:t>Public Affairs Officer Grade 3</w:t>
            </w:r>
          </w:p>
        </w:tc>
        <w:tc>
          <w:tcPr>
            <w:tcW w:w="1134" w:type="dxa"/>
            <w:tcBorders>
              <w:left w:val="single" w:sz="4" w:space="0" w:color="auto"/>
            </w:tcBorders>
            <w:noWrap/>
          </w:tcPr>
          <w:p w14:paraId="56F6FC0F" w14:textId="77777777" w:rsidR="00AB6753" w:rsidRPr="00F32D92" w:rsidRDefault="00AB6753" w:rsidP="002D1EA4">
            <w:pPr>
              <w:rPr>
                <w:rFonts w:cs="Arial"/>
                <w:sz w:val="20"/>
                <w:szCs w:val="20"/>
              </w:rPr>
            </w:pPr>
            <w:r w:rsidRPr="00F32D92">
              <w:rPr>
                <w:rFonts w:cs="Arial"/>
                <w:color w:val="000000"/>
                <w:sz w:val="20"/>
                <w:szCs w:val="20"/>
              </w:rPr>
              <w:t>22</w:t>
            </w:r>
          </w:p>
        </w:tc>
        <w:tc>
          <w:tcPr>
            <w:tcW w:w="1134" w:type="dxa"/>
            <w:noWrap/>
          </w:tcPr>
          <w:p w14:paraId="5C30C282" w14:textId="77777777" w:rsidR="00AB6753" w:rsidRPr="00F32D92" w:rsidRDefault="00AB6753" w:rsidP="002D1EA4">
            <w:pPr>
              <w:rPr>
                <w:rFonts w:cs="Arial"/>
                <w:sz w:val="20"/>
                <w:szCs w:val="20"/>
              </w:rPr>
            </w:pPr>
            <w:r w:rsidRPr="00F32D92">
              <w:rPr>
                <w:rFonts w:cs="Arial"/>
                <w:color w:val="000000"/>
                <w:sz w:val="20"/>
                <w:szCs w:val="20"/>
              </w:rPr>
              <w:t>6</w:t>
            </w:r>
          </w:p>
        </w:tc>
        <w:tc>
          <w:tcPr>
            <w:tcW w:w="1418" w:type="dxa"/>
            <w:tcBorders>
              <w:right w:val="single" w:sz="4" w:space="0" w:color="auto"/>
            </w:tcBorders>
            <w:noWrap/>
          </w:tcPr>
          <w:p w14:paraId="55A2E71E" w14:textId="77777777" w:rsidR="00AB6753" w:rsidRPr="00F32D92" w:rsidRDefault="00AB6753" w:rsidP="002D1EA4">
            <w:pPr>
              <w:rPr>
                <w:rFonts w:cs="Arial"/>
                <w:sz w:val="20"/>
                <w:szCs w:val="20"/>
              </w:rPr>
            </w:pPr>
            <w:r w:rsidRPr="00F32D92">
              <w:rPr>
                <w:rFonts w:cs="Arial"/>
                <w:color w:val="000000"/>
                <w:sz w:val="20"/>
                <w:szCs w:val="20"/>
              </w:rPr>
              <w:t>28</w:t>
            </w:r>
          </w:p>
        </w:tc>
        <w:tc>
          <w:tcPr>
            <w:tcW w:w="1134" w:type="dxa"/>
            <w:tcBorders>
              <w:left w:val="single" w:sz="4" w:space="0" w:color="auto"/>
            </w:tcBorders>
            <w:noWrap/>
          </w:tcPr>
          <w:p w14:paraId="65894755" w14:textId="77777777" w:rsidR="00AB6753" w:rsidRPr="00F32D92" w:rsidRDefault="00AB6753" w:rsidP="002D1EA4">
            <w:pPr>
              <w:rPr>
                <w:rFonts w:cs="Arial"/>
                <w:sz w:val="20"/>
                <w:szCs w:val="20"/>
              </w:rPr>
            </w:pPr>
            <w:r w:rsidRPr="00F32D92">
              <w:rPr>
                <w:rFonts w:cs="Arial"/>
                <w:sz w:val="20"/>
                <w:szCs w:val="20"/>
              </w:rPr>
              <w:t>0</w:t>
            </w:r>
          </w:p>
        </w:tc>
        <w:tc>
          <w:tcPr>
            <w:tcW w:w="1276" w:type="dxa"/>
            <w:noWrap/>
          </w:tcPr>
          <w:p w14:paraId="5E82751F" w14:textId="77777777" w:rsidR="00AB6753" w:rsidRPr="00F32D92" w:rsidRDefault="00AB6753" w:rsidP="002D1EA4">
            <w:pPr>
              <w:rPr>
                <w:rFonts w:cs="Arial"/>
                <w:sz w:val="20"/>
                <w:szCs w:val="20"/>
              </w:rPr>
            </w:pPr>
            <w:r w:rsidRPr="00F32D92">
              <w:rPr>
                <w:rFonts w:cs="Arial"/>
                <w:sz w:val="20"/>
                <w:szCs w:val="20"/>
              </w:rPr>
              <w:t>0</w:t>
            </w:r>
          </w:p>
        </w:tc>
        <w:tc>
          <w:tcPr>
            <w:tcW w:w="1189" w:type="dxa"/>
            <w:tcBorders>
              <w:right w:val="single" w:sz="4" w:space="0" w:color="auto"/>
            </w:tcBorders>
            <w:noWrap/>
          </w:tcPr>
          <w:p w14:paraId="4DD42005" w14:textId="77777777" w:rsidR="00AB6753" w:rsidRPr="00F32D92" w:rsidRDefault="00AB6753" w:rsidP="002D1EA4">
            <w:pPr>
              <w:rPr>
                <w:rFonts w:cs="Arial"/>
                <w:sz w:val="20"/>
                <w:szCs w:val="20"/>
              </w:rPr>
            </w:pPr>
            <w:r w:rsidRPr="00F32D92">
              <w:rPr>
                <w:rFonts w:cs="Arial"/>
                <w:sz w:val="20"/>
                <w:szCs w:val="20"/>
              </w:rPr>
              <w:t>0</w:t>
            </w:r>
          </w:p>
        </w:tc>
        <w:tc>
          <w:tcPr>
            <w:tcW w:w="706" w:type="dxa"/>
            <w:tcBorders>
              <w:left w:val="single" w:sz="4" w:space="0" w:color="auto"/>
              <w:right w:val="single" w:sz="4" w:space="0" w:color="666666" w:themeColor="text1" w:themeTint="99"/>
            </w:tcBorders>
          </w:tcPr>
          <w:p w14:paraId="5DDD4006" w14:textId="77777777" w:rsidR="00AB6753" w:rsidRPr="00F32D92" w:rsidRDefault="00AB6753" w:rsidP="002D1EA4">
            <w:pPr>
              <w:rPr>
                <w:rFonts w:cs="Arial"/>
                <w:sz w:val="20"/>
                <w:szCs w:val="20"/>
              </w:rPr>
            </w:pPr>
            <w:r w:rsidRPr="00F32D92">
              <w:rPr>
                <w:rFonts w:cs="Arial"/>
                <w:color w:val="000000"/>
                <w:sz w:val="20"/>
                <w:szCs w:val="20"/>
              </w:rPr>
              <w:t>28</w:t>
            </w:r>
          </w:p>
        </w:tc>
      </w:tr>
      <w:tr w:rsidR="00AB6753" w:rsidRPr="00F32D92" w14:paraId="31E6F644" w14:textId="77777777" w:rsidTr="002D1EA4">
        <w:trPr>
          <w:trHeight w:val="315"/>
          <w:jc w:val="center"/>
        </w:trPr>
        <w:tc>
          <w:tcPr>
            <w:tcW w:w="1696" w:type="dxa"/>
            <w:tcBorders>
              <w:left w:val="single" w:sz="4" w:space="0" w:color="666666" w:themeColor="text1" w:themeTint="99"/>
              <w:right w:val="single" w:sz="4" w:space="0" w:color="auto"/>
            </w:tcBorders>
            <w:vAlign w:val="bottom"/>
          </w:tcPr>
          <w:p w14:paraId="45D1027D" w14:textId="77777777" w:rsidR="00AB6753" w:rsidRPr="00F32D92" w:rsidRDefault="00AB6753" w:rsidP="002D1EA4">
            <w:pPr>
              <w:rPr>
                <w:rFonts w:cs="Arial"/>
                <w:sz w:val="20"/>
                <w:szCs w:val="20"/>
              </w:rPr>
            </w:pPr>
            <w:r w:rsidRPr="00F32D92">
              <w:rPr>
                <w:rFonts w:cs="Arial"/>
                <w:sz w:val="20"/>
                <w:szCs w:val="20"/>
              </w:rPr>
              <w:t>Public Affairs Officer Grade 2</w:t>
            </w:r>
          </w:p>
        </w:tc>
        <w:tc>
          <w:tcPr>
            <w:tcW w:w="1134" w:type="dxa"/>
            <w:tcBorders>
              <w:left w:val="single" w:sz="4" w:space="0" w:color="auto"/>
            </w:tcBorders>
            <w:noWrap/>
          </w:tcPr>
          <w:p w14:paraId="7E593D1D" w14:textId="77777777" w:rsidR="00AB6753" w:rsidRPr="00F32D92" w:rsidRDefault="00AB6753" w:rsidP="002D1EA4">
            <w:pPr>
              <w:rPr>
                <w:rFonts w:cs="Arial"/>
                <w:sz w:val="20"/>
                <w:szCs w:val="20"/>
              </w:rPr>
            </w:pPr>
            <w:r w:rsidRPr="00F32D92">
              <w:rPr>
                <w:rFonts w:cs="Arial"/>
                <w:color w:val="000000"/>
                <w:sz w:val="20"/>
                <w:szCs w:val="20"/>
              </w:rPr>
              <w:t>11</w:t>
            </w:r>
          </w:p>
        </w:tc>
        <w:tc>
          <w:tcPr>
            <w:tcW w:w="1134" w:type="dxa"/>
            <w:noWrap/>
          </w:tcPr>
          <w:p w14:paraId="408A7B38" w14:textId="77777777" w:rsidR="00AB6753" w:rsidRPr="00F32D92" w:rsidRDefault="00AB6753" w:rsidP="002D1EA4">
            <w:pPr>
              <w:rPr>
                <w:rFonts w:cs="Arial"/>
                <w:sz w:val="20"/>
                <w:szCs w:val="20"/>
              </w:rPr>
            </w:pPr>
            <w:r w:rsidRPr="00F32D92">
              <w:rPr>
                <w:rFonts w:cs="Arial"/>
                <w:color w:val="000000"/>
                <w:sz w:val="20"/>
                <w:szCs w:val="20"/>
              </w:rPr>
              <w:t>5</w:t>
            </w:r>
          </w:p>
        </w:tc>
        <w:tc>
          <w:tcPr>
            <w:tcW w:w="1418" w:type="dxa"/>
            <w:tcBorders>
              <w:right w:val="single" w:sz="4" w:space="0" w:color="auto"/>
            </w:tcBorders>
            <w:noWrap/>
          </w:tcPr>
          <w:p w14:paraId="1BA5EC96" w14:textId="77777777" w:rsidR="00AB6753" w:rsidRPr="00F32D92" w:rsidRDefault="00AB6753" w:rsidP="002D1EA4">
            <w:pPr>
              <w:rPr>
                <w:rFonts w:cs="Arial"/>
                <w:sz w:val="20"/>
                <w:szCs w:val="20"/>
              </w:rPr>
            </w:pPr>
            <w:r w:rsidRPr="00F32D92">
              <w:rPr>
                <w:rFonts w:cs="Arial"/>
                <w:color w:val="000000"/>
                <w:sz w:val="20"/>
                <w:szCs w:val="20"/>
              </w:rPr>
              <w:t>16</w:t>
            </w:r>
          </w:p>
        </w:tc>
        <w:tc>
          <w:tcPr>
            <w:tcW w:w="1134" w:type="dxa"/>
            <w:tcBorders>
              <w:left w:val="single" w:sz="4" w:space="0" w:color="auto"/>
            </w:tcBorders>
            <w:noWrap/>
          </w:tcPr>
          <w:p w14:paraId="4771F6C8" w14:textId="77777777" w:rsidR="00AB6753" w:rsidRPr="00F32D92" w:rsidRDefault="00AB6753" w:rsidP="002D1EA4">
            <w:pPr>
              <w:rPr>
                <w:rFonts w:cs="Arial"/>
                <w:sz w:val="20"/>
                <w:szCs w:val="20"/>
              </w:rPr>
            </w:pPr>
            <w:r w:rsidRPr="00F32D92">
              <w:rPr>
                <w:rFonts w:cs="Arial"/>
                <w:color w:val="000000"/>
                <w:sz w:val="20"/>
                <w:szCs w:val="20"/>
              </w:rPr>
              <w:t>2</w:t>
            </w:r>
          </w:p>
        </w:tc>
        <w:tc>
          <w:tcPr>
            <w:tcW w:w="1276" w:type="dxa"/>
            <w:noWrap/>
          </w:tcPr>
          <w:p w14:paraId="7A152AA6" w14:textId="77777777" w:rsidR="00AB6753" w:rsidRPr="00F32D92" w:rsidRDefault="00AB6753" w:rsidP="002D1EA4">
            <w:pPr>
              <w:rPr>
                <w:rFonts w:cs="Arial"/>
                <w:sz w:val="20"/>
                <w:szCs w:val="20"/>
              </w:rPr>
            </w:pPr>
            <w:r w:rsidRPr="00F32D92">
              <w:rPr>
                <w:rFonts w:cs="Arial"/>
                <w:sz w:val="20"/>
                <w:szCs w:val="20"/>
              </w:rPr>
              <w:t>0</w:t>
            </w:r>
          </w:p>
        </w:tc>
        <w:tc>
          <w:tcPr>
            <w:tcW w:w="1189" w:type="dxa"/>
            <w:tcBorders>
              <w:right w:val="single" w:sz="4" w:space="0" w:color="auto"/>
            </w:tcBorders>
            <w:noWrap/>
          </w:tcPr>
          <w:p w14:paraId="191213E6" w14:textId="77777777" w:rsidR="00AB6753" w:rsidRPr="00F32D92" w:rsidRDefault="00AB6753" w:rsidP="002D1EA4">
            <w:pPr>
              <w:rPr>
                <w:rFonts w:cs="Arial"/>
                <w:sz w:val="20"/>
                <w:szCs w:val="20"/>
              </w:rPr>
            </w:pPr>
            <w:r w:rsidRPr="00F32D92">
              <w:rPr>
                <w:rFonts w:cs="Arial"/>
                <w:color w:val="000000"/>
                <w:sz w:val="20"/>
                <w:szCs w:val="20"/>
              </w:rPr>
              <w:t>2</w:t>
            </w:r>
          </w:p>
        </w:tc>
        <w:tc>
          <w:tcPr>
            <w:tcW w:w="706" w:type="dxa"/>
            <w:tcBorders>
              <w:left w:val="single" w:sz="4" w:space="0" w:color="auto"/>
              <w:right w:val="single" w:sz="4" w:space="0" w:color="666666" w:themeColor="text1" w:themeTint="99"/>
            </w:tcBorders>
          </w:tcPr>
          <w:p w14:paraId="6592201D" w14:textId="77777777" w:rsidR="00AB6753" w:rsidRPr="00F32D92" w:rsidRDefault="00AB6753" w:rsidP="002D1EA4">
            <w:pPr>
              <w:rPr>
                <w:rFonts w:cs="Arial"/>
                <w:sz w:val="20"/>
                <w:szCs w:val="20"/>
              </w:rPr>
            </w:pPr>
            <w:r w:rsidRPr="00F32D92">
              <w:rPr>
                <w:rFonts w:cs="Arial"/>
                <w:color w:val="000000"/>
                <w:sz w:val="20"/>
                <w:szCs w:val="20"/>
              </w:rPr>
              <w:t>18</w:t>
            </w:r>
          </w:p>
        </w:tc>
      </w:tr>
      <w:tr w:rsidR="00AB6753" w:rsidRPr="00F32D92" w14:paraId="631FA545" w14:textId="77777777" w:rsidTr="002D1EA4">
        <w:trPr>
          <w:trHeight w:val="315"/>
          <w:jc w:val="center"/>
        </w:trPr>
        <w:tc>
          <w:tcPr>
            <w:tcW w:w="1696" w:type="dxa"/>
            <w:tcBorders>
              <w:left w:val="single" w:sz="4" w:space="0" w:color="666666" w:themeColor="text1" w:themeTint="99"/>
              <w:right w:val="single" w:sz="4" w:space="0" w:color="auto"/>
            </w:tcBorders>
            <w:vAlign w:val="bottom"/>
          </w:tcPr>
          <w:p w14:paraId="0482609B" w14:textId="77777777" w:rsidR="00AB6753" w:rsidRPr="00F32D92" w:rsidRDefault="00AB6753" w:rsidP="002D1EA4">
            <w:pPr>
              <w:rPr>
                <w:rFonts w:cs="Arial"/>
                <w:sz w:val="20"/>
                <w:szCs w:val="20"/>
              </w:rPr>
            </w:pPr>
            <w:r w:rsidRPr="00F32D92">
              <w:rPr>
                <w:rFonts w:cs="Arial"/>
                <w:sz w:val="20"/>
                <w:szCs w:val="20"/>
              </w:rPr>
              <w:t>Public Affairs Officer Grade 1</w:t>
            </w:r>
          </w:p>
        </w:tc>
        <w:tc>
          <w:tcPr>
            <w:tcW w:w="1134" w:type="dxa"/>
            <w:tcBorders>
              <w:left w:val="single" w:sz="4" w:space="0" w:color="auto"/>
            </w:tcBorders>
            <w:noWrap/>
          </w:tcPr>
          <w:p w14:paraId="18C0BBE1" w14:textId="77777777" w:rsidR="00AB6753" w:rsidRPr="00F32D92" w:rsidRDefault="00AB6753" w:rsidP="002D1EA4">
            <w:pPr>
              <w:rPr>
                <w:rFonts w:cs="Arial"/>
                <w:sz w:val="20"/>
                <w:szCs w:val="20"/>
              </w:rPr>
            </w:pPr>
            <w:r w:rsidRPr="00F32D92">
              <w:rPr>
                <w:rFonts w:cs="Arial"/>
                <w:sz w:val="20"/>
                <w:szCs w:val="20"/>
              </w:rPr>
              <w:t>0</w:t>
            </w:r>
          </w:p>
        </w:tc>
        <w:tc>
          <w:tcPr>
            <w:tcW w:w="1134" w:type="dxa"/>
            <w:noWrap/>
          </w:tcPr>
          <w:p w14:paraId="34F4689A" w14:textId="77777777" w:rsidR="00AB6753" w:rsidRPr="00F32D92" w:rsidRDefault="00AB6753" w:rsidP="002D1EA4">
            <w:pPr>
              <w:rPr>
                <w:rFonts w:cs="Arial"/>
                <w:sz w:val="20"/>
                <w:szCs w:val="20"/>
              </w:rPr>
            </w:pPr>
            <w:r w:rsidRPr="00F32D92">
              <w:rPr>
                <w:rFonts w:cs="Arial"/>
                <w:sz w:val="20"/>
                <w:szCs w:val="20"/>
              </w:rPr>
              <w:t>0</w:t>
            </w:r>
          </w:p>
        </w:tc>
        <w:tc>
          <w:tcPr>
            <w:tcW w:w="1418" w:type="dxa"/>
            <w:tcBorders>
              <w:right w:val="single" w:sz="4" w:space="0" w:color="auto"/>
            </w:tcBorders>
            <w:noWrap/>
          </w:tcPr>
          <w:p w14:paraId="1F5DA8D3" w14:textId="77777777" w:rsidR="00AB6753" w:rsidRPr="00F32D92" w:rsidRDefault="00AB6753" w:rsidP="002D1EA4">
            <w:pPr>
              <w:rPr>
                <w:rFonts w:cs="Arial"/>
                <w:sz w:val="20"/>
                <w:szCs w:val="20"/>
              </w:rPr>
            </w:pPr>
            <w:r w:rsidRPr="00F32D92">
              <w:rPr>
                <w:rFonts w:cs="Arial"/>
                <w:sz w:val="20"/>
                <w:szCs w:val="20"/>
              </w:rPr>
              <w:t>0</w:t>
            </w:r>
          </w:p>
        </w:tc>
        <w:tc>
          <w:tcPr>
            <w:tcW w:w="1134" w:type="dxa"/>
            <w:tcBorders>
              <w:left w:val="single" w:sz="4" w:space="0" w:color="auto"/>
            </w:tcBorders>
            <w:noWrap/>
          </w:tcPr>
          <w:p w14:paraId="67226810" w14:textId="77777777" w:rsidR="00AB6753" w:rsidRPr="00F32D92" w:rsidRDefault="00AB6753" w:rsidP="002D1EA4">
            <w:pPr>
              <w:rPr>
                <w:rFonts w:cs="Arial"/>
                <w:sz w:val="20"/>
                <w:szCs w:val="20"/>
              </w:rPr>
            </w:pPr>
            <w:r w:rsidRPr="00F32D92">
              <w:rPr>
                <w:rFonts w:cs="Arial"/>
                <w:sz w:val="20"/>
                <w:szCs w:val="20"/>
              </w:rPr>
              <w:t>0</w:t>
            </w:r>
          </w:p>
        </w:tc>
        <w:tc>
          <w:tcPr>
            <w:tcW w:w="1276" w:type="dxa"/>
            <w:noWrap/>
          </w:tcPr>
          <w:p w14:paraId="2DFF1D9B" w14:textId="77777777" w:rsidR="00AB6753" w:rsidRPr="00F32D92" w:rsidRDefault="00AB6753" w:rsidP="002D1EA4">
            <w:pPr>
              <w:rPr>
                <w:rFonts w:cs="Arial"/>
                <w:sz w:val="20"/>
                <w:szCs w:val="20"/>
              </w:rPr>
            </w:pPr>
            <w:r w:rsidRPr="00F32D92">
              <w:rPr>
                <w:rFonts w:cs="Arial"/>
                <w:sz w:val="20"/>
                <w:szCs w:val="20"/>
              </w:rPr>
              <w:t>0</w:t>
            </w:r>
          </w:p>
        </w:tc>
        <w:tc>
          <w:tcPr>
            <w:tcW w:w="1189" w:type="dxa"/>
            <w:tcBorders>
              <w:right w:val="single" w:sz="4" w:space="0" w:color="auto"/>
            </w:tcBorders>
            <w:noWrap/>
          </w:tcPr>
          <w:p w14:paraId="2F1F9D73" w14:textId="77777777" w:rsidR="00AB6753" w:rsidRPr="00F32D92" w:rsidRDefault="00AB6753" w:rsidP="002D1EA4">
            <w:pPr>
              <w:rPr>
                <w:rFonts w:cs="Arial"/>
                <w:sz w:val="20"/>
                <w:szCs w:val="20"/>
              </w:rPr>
            </w:pPr>
            <w:r w:rsidRPr="00F32D92">
              <w:rPr>
                <w:rFonts w:cs="Arial"/>
                <w:sz w:val="20"/>
                <w:szCs w:val="20"/>
              </w:rPr>
              <w:t>0</w:t>
            </w:r>
          </w:p>
        </w:tc>
        <w:tc>
          <w:tcPr>
            <w:tcW w:w="706" w:type="dxa"/>
            <w:tcBorders>
              <w:left w:val="single" w:sz="4" w:space="0" w:color="auto"/>
              <w:right w:val="single" w:sz="4" w:space="0" w:color="666666" w:themeColor="text1" w:themeTint="99"/>
            </w:tcBorders>
          </w:tcPr>
          <w:p w14:paraId="6AE80BF5"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222326E9" w14:textId="77777777" w:rsidTr="002D1EA4">
        <w:trPr>
          <w:trHeight w:val="315"/>
          <w:jc w:val="center"/>
        </w:trPr>
        <w:tc>
          <w:tcPr>
            <w:tcW w:w="1696" w:type="dxa"/>
            <w:tcBorders>
              <w:left w:val="single" w:sz="4" w:space="0" w:color="666666" w:themeColor="text1" w:themeTint="99"/>
              <w:right w:val="single" w:sz="4" w:space="0" w:color="auto"/>
            </w:tcBorders>
            <w:vAlign w:val="bottom"/>
          </w:tcPr>
          <w:p w14:paraId="50143E3A" w14:textId="77777777" w:rsidR="00AB6753" w:rsidRPr="00F32D92" w:rsidRDefault="00AB6753" w:rsidP="002D1EA4">
            <w:pPr>
              <w:rPr>
                <w:rFonts w:cs="Arial"/>
                <w:sz w:val="20"/>
                <w:szCs w:val="20"/>
              </w:rPr>
            </w:pPr>
            <w:r w:rsidRPr="00F32D92">
              <w:rPr>
                <w:rFonts w:cs="Arial"/>
                <w:sz w:val="20"/>
                <w:szCs w:val="20"/>
              </w:rPr>
              <w:t>Principal Legal Officer</w:t>
            </w:r>
          </w:p>
        </w:tc>
        <w:tc>
          <w:tcPr>
            <w:tcW w:w="1134" w:type="dxa"/>
            <w:tcBorders>
              <w:left w:val="single" w:sz="4" w:space="0" w:color="auto"/>
            </w:tcBorders>
            <w:noWrap/>
          </w:tcPr>
          <w:p w14:paraId="33A42212" w14:textId="77777777" w:rsidR="00AB6753" w:rsidRPr="00F32D92" w:rsidRDefault="00AB6753" w:rsidP="002D1EA4">
            <w:pPr>
              <w:rPr>
                <w:rFonts w:cs="Arial"/>
                <w:sz w:val="20"/>
                <w:szCs w:val="20"/>
              </w:rPr>
            </w:pPr>
            <w:r w:rsidRPr="00F32D92">
              <w:rPr>
                <w:rFonts w:cs="Arial"/>
                <w:color w:val="000000"/>
                <w:sz w:val="20"/>
                <w:szCs w:val="20"/>
              </w:rPr>
              <w:t>7</w:t>
            </w:r>
          </w:p>
        </w:tc>
        <w:tc>
          <w:tcPr>
            <w:tcW w:w="1134" w:type="dxa"/>
            <w:noWrap/>
          </w:tcPr>
          <w:p w14:paraId="3ABBCEB4" w14:textId="77777777" w:rsidR="00AB6753" w:rsidRPr="00F32D92" w:rsidRDefault="00AB6753" w:rsidP="002D1EA4">
            <w:pPr>
              <w:rPr>
                <w:rFonts w:cs="Arial"/>
                <w:sz w:val="20"/>
                <w:szCs w:val="20"/>
              </w:rPr>
            </w:pPr>
            <w:r w:rsidRPr="00F32D92">
              <w:rPr>
                <w:rFonts w:cs="Arial"/>
                <w:color w:val="000000"/>
                <w:sz w:val="20"/>
                <w:szCs w:val="20"/>
              </w:rPr>
              <w:t>3</w:t>
            </w:r>
          </w:p>
        </w:tc>
        <w:tc>
          <w:tcPr>
            <w:tcW w:w="1418" w:type="dxa"/>
            <w:tcBorders>
              <w:right w:val="single" w:sz="4" w:space="0" w:color="auto"/>
            </w:tcBorders>
            <w:noWrap/>
          </w:tcPr>
          <w:p w14:paraId="51F591C7" w14:textId="77777777" w:rsidR="00AB6753" w:rsidRPr="00F32D92" w:rsidRDefault="00AB6753" w:rsidP="002D1EA4">
            <w:pPr>
              <w:rPr>
                <w:rFonts w:cs="Arial"/>
                <w:sz w:val="20"/>
                <w:szCs w:val="20"/>
              </w:rPr>
            </w:pPr>
            <w:r w:rsidRPr="00F32D92">
              <w:rPr>
                <w:rFonts w:cs="Arial"/>
                <w:color w:val="000000"/>
                <w:sz w:val="20"/>
                <w:szCs w:val="20"/>
              </w:rPr>
              <w:t>10</w:t>
            </w:r>
          </w:p>
        </w:tc>
        <w:tc>
          <w:tcPr>
            <w:tcW w:w="1134" w:type="dxa"/>
            <w:tcBorders>
              <w:left w:val="single" w:sz="4" w:space="0" w:color="auto"/>
            </w:tcBorders>
            <w:noWrap/>
          </w:tcPr>
          <w:p w14:paraId="54E65695" w14:textId="77777777" w:rsidR="00AB6753" w:rsidRPr="00F32D92" w:rsidRDefault="00AB6753" w:rsidP="002D1EA4">
            <w:pPr>
              <w:rPr>
                <w:rFonts w:cs="Arial"/>
                <w:sz w:val="20"/>
                <w:szCs w:val="20"/>
              </w:rPr>
            </w:pPr>
            <w:r w:rsidRPr="00F32D92">
              <w:rPr>
                <w:rFonts w:cs="Arial"/>
                <w:sz w:val="20"/>
                <w:szCs w:val="20"/>
              </w:rPr>
              <w:t>0</w:t>
            </w:r>
          </w:p>
        </w:tc>
        <w:tc>
          <w:tcPr>
            <w:tcW w:w="1276" w:type="dxa"/>
            <w:noWrap/>
          </w:tcPr>
          <w:p w14:paraId="2394836C" w14:textId="77777777" w:rsidR="00AB6753" w:rsidRPr="00F32D92" w:rsidRDefault="00AB6753" w:rsidP="002D1EA4">
            <w:pPr>
              <w:rPr>
                <w:rFonts w:cs="Arial"/>
                <w:sz w:val="20"/>
                <w:szCs w:val="20"/>
              </w:rPr>
            </w:pPr>
            <w:r w:rsidRPr="00F32D92">
              <w:rPr>
                <w:rFonts w:cs="Arial"/>
                <w:sz w:val="20"/>
                <w:szCs w:val="20"/>
              </w:rPr>
              <w:t>0</w:t>
            </w:r>
          </w:p>
        </w:tc>
        <w:tc>
          <w:tcPr>
            <w:tcW w:w="1189" w:type="dxa"/>
            <w:tcBorders>
              <w:right w:val="single" w:sz="4" w:space="0" w:color="auto"/>
            </w:tcBorders>
            <w:noWrap/>
          </w:tcPr>
          <w:p w14:paraId="1382924A" w14:textId="77777777" w:rsidR="00AB6753" w:rsidRPr="00F32D92" w:rsidRDefault="00AB6753" w:rsidP="002D1EA4">
            <w:pPr>
              <w:rPr>
                <w:rFonts w:cs="Arial"/>
                <w:sz w:val="20"/>
                <w:szCs w:val="20"/>
              </w:rPr>
            </w:pPr>
            <w:r w:rsidRPr="00F32D92">
              <w:rPr>
                <w:rFonts w:cs="Arial"/>
                <w:sz w:val="20"/>
                <w:szCs w:val="20"/>
              </w:rPr>
              <w:t>0</w:t>
            </w:r>
          </w:p>
        </w:tc>
        <w:tc>
          <w:tcPr>
            <w:tcW w:w="706" w:type="dxa"/>
            <w:tcBorders>
              <w:left w:val="single" w:sz="4" w:space="0" w:color="auto"/>
              <w:right w:val="single" w:sz="4" w:space="0" w:color="666666" w:themeColor="text1" w:themeTint="99"/>
            </w:tcBorders>
          </w:tcPr>
          <w:p w14:paraId="1332E260" w14:textId="77777777" w:rsidR="00AB6753" w:rsidRPr="00F32D92" w:rsidRDefault="00AB6753" w:rsidP="002D1EA4">
            <w:pPr>
              <w:rPr>
                <w:rFonts w:cs="Arial"/>
                <w:sz w:val="20"/>
                <w:szCs w:val="20"/>
              </w:rPr>
            </w:pPr>
            <w:r w:rsidRPr="00F32D92">
              <w:rPr>
                <w:rFonts w:cs="Arial"/>
                <w:color w:val="000000"/>
                <w:sz w:val="20"/>
                <w:szCs w:val="20"/>
              </w:rPr>
              <w:t>10</w:t>
            </w:r>
          </w:p>
        </w:tc>
      </w:tr>
      <w:tr w:rsidR="00AB6753" w:rsidRPr="00F32D92" w14:paraId="7FD29416" w14:textId="77777777" w:rsidTr="002D1EA4">
        <w:trPr>
          <w:trHeight w:val="315"/>
          <w:jc w:val="center"/>
        </w:trPr>
        <w:tc>
          <w:tcPr>
            <w:tcW w:w="1696" w:type="dxa"/>
            <w:tcBorders>
              <w:left w:val="single" w:sz="4" w:space="0" w:color="666666" w:themeColor="text1" w:themeTint="99"/>
              <w:right w:val="single" w:sz="4" w:space="0" w:color="auto"/>
            </w:tcBorders>
            <w:vAlign w:val="bottom"/>
          </w:tcPr>
          <w:p w14:paraId="39988EAA" w14:textId="77777777" w:rsidR="00AB6753" w:rsidRPr="00F32D92" w:rsidRDefault="00AB6753" w:rsidP="002D1EA4">
            <w:pPr>
              <w:rPr>
                <w:rFonts w:cs="Arial"/>
                <w:sz w:val="20"/>
                <w:szCs w:val="20"/>
              </w:rPr>
            </w:pPr>
            <w:r w:rsidRPr="00F32D92">
              <w:rPr>
                <w:rFonts w:cs="Arial"/>
                <w:sz w:val="20"/>
                <w:szCs w:val="20"/>
              </w:rPr>
              <w:t>Senior Legal Officer</w:t>
            </w:r>
          </w:p>
        </w:tc>
        <w:tc>
          <w:tcPr>
            <w:tcW w:w="1134" w:type="dxa"/>
            <w:tcBorders>
              <w:left w:val="single" w:sz="4" w:space="0" w:color="auto"/>
            </w:tcBorders>
            <w:noWrap/>
          </w:tcPr>
          <w:p w14:paraId="2CA5D751" w14:textId="77777777" w:rsidR="00AB6753" w:rsidRPr="00F32D92" w:rsidRDefault="00AB6753" w:rsidP="002D1EA4">
            <w:pPr>
              <w:rPr>
                <w:rFonts w:cs="Arial"/>
                <w:sz w:val="20"/>
                <w:szCs w:val="20"/>
              </w:rPr>
            </w:pPr>
            <w:r w:rsidRPr="00F32D92">
              <w:rPr>
                <w:rFonts w:cs="Arial"/>
                <w:color w:val="000000"/>
                <w:sz w:val="20"/>
                <w:szCs w:val="20"/>
              </w:rPr>
              <w:t>7</w:t>
            </w:r>
          </w:p>
        </w:tc>
        <w:tc>
          <w:tcPr>
            <w:tcW w:w="1134" w:type="dxa"/>
            <w:noWrap/>
          </w:tcPr>
          <w:p w14:paraId="714203CF" w14:textId="77777777" w:rsidR="00AB6753" w:rsidRPr="00F32D92" w:rsidRDefault="00AB6753" w:rsidP="002D1EA4">
            <w:pPr>
              <w:rPr>
                <w:rFonts w:cs="Arial"/>
                <w:sz w:val="20"/>
                <w:szCs w:val="20"/>
              </w:rPr>
            </w:pPr>
            <w:r w:rsidRPr="00F32D92">
              <w:rPr>
                <w:rFonts w:cs="Arial"/>
                <w:color w:val="000000"/>
                <w:sz w:val="20"/>
                <w:szCs w:val="20"/>
              </w:rPr>
              <w:t>3</w:t>
            </w:r>
          </w:p>
        </w:tc>
        <w:tc>
          <w:tcPr>
            <w:tcW w:w="1418" w:type="dxa"/>
            <w:tcBorders>
              <w:right w:val="single" w:sz="4" w:space="0" w:color="auto"/>
            </w:tcBorders>
            <w:noWrap/>
          </w:tcPr>
          <w:p w14:paraId="0C98FDAF" w14:textId="77777777" w:rsidR="00AB6753" w:rsidRPr="00F32D92" w:rsidRDefault="00AB6753" w:rsidP="002D1EA4">
            <w:pPr>
              <w:rPr>
                <w:rFonts w:cs="Arial"/>
                <w:sz w:val="20"/>
                <w:szCs w:val="20"/>
              </w:rPr>
            </w:pPr>
            <w:r w:rsidRPr="00F32D92">
              <w:rPr>
                <w:rFonts w:cs="Arial"/>
                <w:color w:val="000000"/>
                <w:sz w:val="20"/>
                <w:szCs w:val="20"/>
              </w:rPr>
              <w:t>10</w:t>
            </w:r>
          </w:p>
        </w:tc>
        <w:tc>
          <w:tcPr>
            <w:tcW w:w="1134" w:type="dxa"/>
            <w:tcBorders>
              <w:left w:val="single" w:sz="4" w:space="0" w:color="auto"/>
            </w:tcBorders>
            <w:noWrap/>
          </w:tcPr>
          <w:p w14:paraId="6448E230" w14:textId="77777777" w:rsidR="00AB6753" w:rsidRPr="00F32D92" w:rsidRDefault="00AB6753" w:rsidP="002D1EA4">
            <w:pPr>
              <w:rPr>
                <w:rFonts w:cs="Arial"/>
                <w:sz w:val="20"/>
                <w:szCs w:val="20"/>
              </w:rPr>
            </w:pPr>
            <w:r w:rsidRPr="00F32D92">
              <w:rPr>
                <w:rFonts w:cs="Arial"/>
                <w:sz w:val="20"/>
                <w:szCs w:val="20"/>
              </w:rPr>
              <w:t>0</w:t>
            </w:r>
          </w:p>
        </w:tc>
        <w:tc>
          <w:tcPr>
            <w:tcW w:w="1276" w:type="dxa"/>
            <w:noWrap/>
          </w:tcPr>
          <w:p w14:paraId="5B1A2D71" w14:textId="77777777" w:rsidR="00AB6753" w:rsidRPr="00F32D92" w:rsidRDefault="00AB6753" w:rsidP="002D1EA4">
            <w:pPr>
              <w:rPr>
                <w:rFonts w:cs="Arial"/>
                <w:sz w:val="20"/>
                <w:szCs w:val="20"/>
              </w:rPr>
            </w:pPr>
            <w:r w:rsidRPr="00F32D92">
              <w:rPr>
                <w:rFonts w:cs="Arial"/>
                <w:sz w:val="20"/>
                <w:szCs w:val="20"/>
              </w:rPr>
              <w:t>0</w:t>
            </w:r>
          </w:p>
        </w:tc>
        <w:tc>
          <w:tcPr>
            <w:tcW w:w="1189" w:type="dxa"/>
            <w:tcBorders>
              <w:right w:val="single" w:sz="4" w:space="0" w:color="auto"/>
            </w:tcBorders>
            <w:noWrap/>
          </w:tcPr>
          <w:p w14:paraId="164E385F" w14:textId="77777777" w:rsidR="00AB6753" w:rsidRPr="00F32D92" w:rsidRDefault="00AB6753" w:rsidP="002D1EA4">
            <w:pPr>
              <w:rPr>
                <w:rFonts w:cs="Arial"/>
                <w:sz w:val="20"/>
                <w:szCs w:val="20"/>
              </w:rPr>
            </w:pPr>
            <w:r w:rsidRPr="00F32D92">
              <w:rPr>
                <w:rFonts w:cs="Arial"/>
                <w:sz w:val="20"/>
                <w:szCs w:val="20"/>
              </w:rPr>
              <w:t>0</w:t>
            </w:r>
          </w:p>
        </w:tc>
        <w:tc>
          <w:tcPr>
            <w:tcW w:w="706" w:type="dxa"/>
            <w:tcBorders>
              <w:left w:val="single" w:sz="4" w:space="0" w:color="auto"/>
              <w:right w:val="single" w:sz="4" w:space="0" w:color="666666" w:themeColor="text1" w:themeTint="99"/>
            </w:tcBorders>
          </w:tcPr>
          <w:p w14:paraId="51D552B4" w14:textId="77777777" w:rsidR="00AB6753" w:rsidRPr="00F32D92" w:rsidRDefault="00AB6753" w:rsidP="002D1EA4">
            <w:pPr>
              <w:rPr>
                <w:rFonts w:cs="Arial"/>
                <w:sz w:val="20"/>
                <w:szCs w:val="20"/>
              </w:rPr>
            </w:pPr>
            <w:r w:rsidRPr="00F32D92">
              <w:rPr>
                <w:rFonts w:cs="Arial"/>
                <w:color w:val="000000"/>
                <w:sz w:val="20"/>
                <w:szCs w:val="20"/>
              </w:rPr>
              <w:t>10</w:t>
            </w:r>
          </w:p>
        </w:tc>
      </w:tr>
      <w:tr w:rsidR="00AB6753" w:rsidRPr="00F32D92" w14:paraId="5F59B07C" w14:textId="77777777" w:rsidTr="002D1EA4">
        <w:trPr>
          <w:trHeight w:val="315"/>
          <w:jc w:val="center"/>
        </w:trPr>
        <w:tc>
          <w:tcPr>
            <w:tcW w:w="1696" w:type="dxa"/>
            <w:tcBorders>
              <w:left w:val="single" w:sz="4" w:space="0" w:color="666666" w:themeColor="text1" w:themeTint="99"/>
              <w:right w:val="single" w:sz="4" w:space="0" w:color="auto"/>
            </w:tcBorders>
            <w:vAlign w:val="bottom"/>
          </w:tcPr>
          <w:p w14:paraId="4C8801E2" w14:textId="77777777" w:rsidR="00AB6753" w:rsidRPr="00F32D92" w:rsidRDefault="00AB6753" w:rsidP="002D1EA4">
            <w:pPr>
              <w:rPr>
                <w:rFonts w:cs="Arial"/>
                <w:sz w:val="20"/>
                <w:szCs w:val="20"/>
              </w:rPr>
            </w:pPr>
            <w:r w:rsidRPr="00F32D92">
              <w:rPr>
                <w:rFonts w:cs="Arial"/>
                <w:sz w:val="20"/>
                <w:szCs w:val="20"/>
              </w:rPr>
              <w:t>Legal Officer</w:t>
            </w:r>
          </w:p>
        </w:tc>
        <w:tc>
          <w:tcPr>
            <w:tcW w:w="1134" w:type="dxa"/>
            <w:tcBorders>
              <w:left w:val="single" w:sz="4" w:space="0" w:color="auto"/>
            </w:tcBorders>
            <w:noWrap/>
          </w:tcPr>
          <w:p w14:paraId="18BD188A" w14:textId="77777777" w:rsidR="00AB6753" w:rsidRPr="00F32D92" w:rsidRDefault="00AB6753" w:rsidP="002D1EA4">
            <w:pPr>
              <w:rPr>
                <w:rFonts w:cs="Arial"/>
                <w:sz w:val="20"/>
                <w:szCs w:val="20"/>
              </w:rPr>
            </w:pPr>
            <w:r w:rsidRPr="00F32D92">
              <w:rPr>
                <w:rFonts w:cs="Arial"/>
                <w:color w:val="000000"/>
                <w:sz w:val="20"/>
                <w:szCs w:val="20"/>
              </w:rPr>
              <w:t>9</w:t>
            </w:r>
          </w:p>
        </w:tc>
        <w:tc>
          <w:tcPr>
            <w:tcW w:w="1134" w:type="dxa"/>
            <w:noWrap/>
          </w:tcPr>
          <w:p w14:paraId="29632D04" w14:textId="77777777" w:rsidR="00AB6753" w:rsidRPr="00F32D92" w:rsidRDefault="00AB6753" w:rsidP="002D1EA4">
            <w:pPr>
              <w:rPr>
                <w:rFonts w:cs="Arial"/>
                <w:sz w:val="20"/>
                <w:szCs w:val="20"/>
              </w:rPr>
            </w:pPr>
            <w:r w:rsidRPr="00F32D92">
              <w:rPr>
                <w:rFonts w:cs="Arial"/>
                <w:color w:val="000000"/>
                <w:sz w:val="20"/>
                <w:szCs w:val="20"/>
              </w:rPr>
              <w:t>1</w:t>
            </w:r>
          </w:p>
        </w:tc>
        <w:tc>
          <w:tcPr>
            <w:tcW w:w="1418" w:type="dxa"/>
            <w:tcBorders>
              <w:right w:val="single" w:sz="4" w:space="0" w:color="auto"/>
            </w:tcBorders>
            <w:noWrap/>
          </w:tcPr>
          <w:p w14:paraId="5CC2C5D9" w14:textId="77777777" w:rsidR="00AB6753" w:rsidRPr="00F32D92" w:rsidRDefault="00AB6753" w:rsidP="002D1EA4">
            <w:pPr>
              <w:rPr>
                <w:rFonts w:cs="Arial"/>
                <w:sz w:val="20"/>
                <w:szCs w:val="20"/>
              </w:rPr>
            </w:pPr>
            <w:r w:rsidRPr="00F32D92">
              <w:rPr>
                <w:rFonts w:cs="Arial"/>
                <w:color w:val="000000"/>
                <w:sz w:val="20"/>
                <w:szCs w:val="20"/>
              </w:rPr>
              <w:t>10</w:t>
            </w:r>
          </w:p>
        </w:tc>
        <w:tc>
          <w:tcPr>
            <w:tcW w:w="1134" w:type="dxa"/>
            <w:tcBorders>
              <w:left w:val="single" w:sz="4" w:space="0" w:color="auto"/>
            </w:tcBorders>
            <w:noWrap/>
          </w:tcPr>
          <w:p w14:paraId="372CF60A" w14:textId="77777777" w:rsidR="00AB6753" w:rsidRPr="00F32D92" w:rsidRDefault="00AB6753" w:rsidP="002D1EA4">
            <w:pPr>
              <w:rPr>
                <w:rFonts w:cs="Arial"/>
                <w:sz w:val="20"/>
                <w:szCs w:val="20"/>
              </w:rPr>
            </w:pPr>
            <w:r w:rsidRPr="00F32D92">
              <w:rPr>
                <w:rFonts w:cs="Arial"/>
                <w:sz w:val="20"/>
                <w:szCs w:val="20"/>
              </w:rPr>
              <w:t>0</w:t>
            </w:r>
          </w:p>
        </w:tc>
        <w:tc>
          <w:tcPr>
            <w:tcW w:w="1276" w:type="dxa"/>
            <w:noWrap/>
          </w:tcPr>
          <w:p w14:paraId="52E7C02A" w14:textId="77777777" w:rsidR="00AB6753" w:rsidRPr="00F32D92" w:rsidRDefault="00AB6753" w:rsidP="002D1EA4">
            <w:pPr>
              <w:rPr>
                <w:rFonts w:cs="Arial"/>
                <w:sz w:val="20"/>
                <w:szCs w:val="20"/>
              </w:rPr>
            </w:pPr>
            <w:r w:rsidRPr="00F32D92">
              <w:rPr>
                <w:rFonts w:cs="Arial"/>
                <w:sz w:val="20"/>
                <w:szCs w:val="20"/>
              </w:rPr>
              <w:t>0</w:t>
            </w:r>
          </w:p>
        </w:tc>
        <w:tc>
          <w:tcPr>
            <w:tcW w:w="1189" w:type="dxa"/>
            <w:tcBorders>
              <w:right w:val="single" w:sz="4" w:space="0" w:color="auto"/>
            </w:tcBorders>
            <w:noWrap/>
          </w:tcPr>
          <w:p w14:paraId="1FC3DFA1" w14:textId="77777777" w:rsidR="00AB6753" w:rsidRPr="00F32D92" w:rsidRDefault="00AB6753" w:rsidP="002D1EA4">
            <w:pPr>
              <w:rPr>
                <w:rFonts w:cs="Arial"/>
                <w:sz w:val="20"/>
                <w:szCs w:val="20"/>
              </w:rPr>
            </w:pPr>
            <w:r w:rsidRPr="00F32D92">
              <w:rPr>
                <w:rFonts w:cs="Arial"/>
                <w:sz w:val="20"/>
                <w:szCs w:val="20"/>
              </w:rPr>
              <w:t>0</w:t>
            </w:r>
          </w:p>
        </w:tc>
        <w:tc>
          <w:tcPr>
            <w:tcW w:w="706" w:type="dxa"/>
            <w:tcBorders>
              <w:left w:val="single" w:sz="4" w:space="0" w:color="auto"/>
              <w:right w:val="single" w:sz="4" w:space="0" w:color="666666" w:themeColor="text1" w:themeTint="99"/>
            </w:tcBorders>
          </w:tcPr>
          <w:p w14:paraId="3866EB32" w14:textId="77777777" w:rsidR="00AB6753" w:rsidRPr="00F32D92" w:rsidRDefault="00AB6753" w:rsidP="002D1EA4">
            <w:pPr>
              <w:rPr>
                <w:rFonts w:cs="Arial"/>
                <w:sz w:val="20"/>
                <w:szCs w:val="20"/>
              </w:rPr>
            </w:pPr>
            <w:r w:rsidRPr="00F32D92">
              <w:rPr>
                <w:rFonts w:cs="Arial"/>
                <w:color w:val="000000"/>
                <w:sz w:val="20"/>
                <w:szCs w:val="20"/>
              </w:rPr>
              <w:t>10</w:t>
            </w:r>
          </w:p>
        </w:tc>
      </w:tr>
      <w:tr w:rsidR="00AB6753" w:rsidRPr="00F32D92" w14:paraId="28B0AAAE"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0ED45E4A" w14:textId="77777777" w:rsidR="00AB6753" w:rsidRPr="00F32D92" w:rsidRDefault="00AB6753" w:rsidP="002D1EA4">
            <w:pPr>
              <w:rPr>
                <w:rFonts w:cs="Arial"/>
                <w:sz w:val="20"/>
                <w:szCs w:val="20"/>
              </w:rPr>
            </w:pPr>
            <w:r w:rsidRPr="00F32D92">
              <w:rPr>
                <w:rFonts w:cs="Arial"/>
                <w:sz w:val="20"/>
                <w:szCs w:val="20"/>
              </w:rPr>
              <w:t>APS 6</w:t>
            </w:r>
          </w:p>
        </w:tc>
        <w:tc>
          <w:tcPr>
            <w:tcW w:w="1134" w:type="dxa"/>
            <w:tcBorders>
              <w:left w:val="single" w:sz="4" w:space="0" w:color="auto"/>
            </w:tcBorders>
            <w:noWrap/>
            <w:hideMark/>
          </w:tcPr>
          <w:p w14:paraId="0431FD2D" w14:textId="77777777" w:rsidR="00AB6753" w:rsidRPr="00F32D92" w:rsidRDefault="00AB6753" w:rsidP="002D1EA4">
            <w:pPr>
              <w:rPr>
                <w:rFonts w:cs="Arial"/>
                <w:sz w:val="20"/>
                <w:szCs w:val="20"/>
              </w:rPr>
            </w:pPr>
            <w:r w:rsidRPr="00F32D92">
              <w:rPr>
                <w:rFonts w:cs="Arial"/>
                <w:color w:val="000000"/>
                <w:sz w:val="20"/>
                <w:szCs w:val="20"/>
              </w:rPr>
              <w:t>486</w:t>
            </w:r>
          </w:p>
        </w:tc>
        <w:tc>
          <w:tcPr>
            <w:tcW w:w="1134" w:type="dxa"/>
            <w:noWrap/>
            <w:hideMark/>
          </w:tcPr>
          <w:p w14:paraId="0CCA54FC" w14:textId="77777777" w:rsidR="00AB6753" w:rsidRPr="00F32D92" w:rsidRDefault="00AB6753" w:rsidP="002D1EA4">
            <w:pPr>
              <w:rPr>
                <w:rFonts w:cs="Arial"/>
                <w:sz w:val="20"/>
                <w:szCs w:val="20"/>
              </w:rPr>
            </w:pPr>
            <w:r w:rsidRPr="00F32D92">
              <w:rPr>
                <w:rFonts w:cs="Arial"/>
                <w:color w:val="000000"/>
                <w:sz w:val="20"/>
                <w:szCs w:val="20"/>
              </w:rPr>
              <w:t>136</w:t>
            </w:r>
          </w:p>
        </w:tc>
        <w:tc>
          <w:tcPr>
            <w:tcW w:w="1418" w:type="dxa"/>
            <w:tcBorders>
              <w:right w:val="single" w:sz="4" w:space="0" w:color="auto"/>
            </w:tcBorders>
            <w:noWrap/>
            <w:hideMark/>
          </w:tcPr>
          <w:p w14:paraId="492AEC69" w14:textId="77777777" w:rsidR="00AB6753" w:rsidRPr="00F32D92" w:rsidRDefault="00AB6753" w:rsidP="002D1EA4">
            <w:pPr>
              <w:rPr>
                <w:rFonts w:cs="Arial"/>
                <w:sz w:val="20"/>
                <w:szCs w:val="20"/>
              </w:rPr>
            </w:pPr>
            <w:r w:rsidRPr="00F32D92">
              <w:rPr>
                <w:rFonts w:cs="Arial"/>
                <w:color w:val="000000"/>
                <w:sz w:val="20"/>
                <w:szCs w:val="20"/>
              </w:rPr>
              <w:t>622</w:t>
            </w:r>
          </w:p>
        </w:tc>
        <w:tc>
          <w:tcPr>
            <w:tcW w:w="1134" w:type="dxa"/>
            <w:tcBorders>
              <w:left w:val="single" w:sz="4" w:space="0" w:color="auto"/>
            </w:tcBorders>
            <w:noWrap/>
            <w:hideMark/>
          </w:tcPr>
          <w:p w14:paraId="0EBC6013" w14:textId="77777777" w:rsidR="00AB6753" w:rsidRPr="00F32D92" w:rsidRDefault="00AB6753" w:rsidP="002D1EA4">
            <w:pPr>
              <w:rPr>
                <w:rFonts w:cs="Arial"/>
                <w:sz w:val="20"/>
                <w:szCs w:val="20"/>
              </w:rPr>
            </w:pPr>
            <w:r w:rsidRPr="00F32D92">
              <w:rPr>
                <w:rFonts w:cs="Arial"/>
                <w:color w:val="000000"/>
                <w:sz w:val="20"/>
                <w:szCs w:val="20"/>
              </w:rPr>
              <w:t>6</w:t>
            </w:r>
          </w:p>
        </w:tc>
        <w:tc>
          <w:tcPr>
            <w:tcW w:w="1276" w:type="dxa"/>
            <w:noWrap/>
            <w:hideMark/>
          </w:tcPr>
          <w:p w14:paraId="6BBE69E7" w14:textId="77777777" w:rsidR="00AB6753" w:rsidRPr="00F32D92" w:rsidRDefault="00AB6753" w:rsidP="002D1EA4">
            <w:pPr>
              <w:rPr>
                <w:rFonts w:cs="Arial"/>
                <w:sz w:val="20"/>
                <w:szCs w:val="20"/>
              </w:rPr>
            </w:pPr>
            <w:r w:rsidRPr="00F32D92">
              <w:rPr>
                <w:rFonts w:cs="Arial"/>
                <w:color w:val="000000"/>
                <w:sz w:val="20"/>
                <w:szCs w:val="20"/>
              </w:rPr>
              <w:t>3</w:t>
            </w:r>
          </w:p>
        </w:tc>
        <w:tc>
          <w:tcPr>
            <w:tcW w:w="1189" w:type="dxa"/>
            <w:tcBorders>
              <w:right w:val="single" w:sz="4" w:space="0" w:color="auto"/>
            </w:tcBorders>
            <w:noWrap/>
            <w:hideMark/>
          </w:tcPr>
          <w:p w14:paraId="02F1BB2F" w14:textId="77777777" w:rsidR="00AB6753" w:rsidRPr="00F32D92" w:rsidRDefault="00AB6753" w:rsidP="002D1EA4">
            <w:pPr>
              <w:rPr>
                <w:rFonts w:cs="Arial"/>
                <w:sz w:val="20"/>
                <w:szCs w:val="20"/>
              </w:rPr>
            </w:pPr>
            <w:r w:rsidRPr="00F32D92">
              <w:rPr>
                <w:rFonts w:cs="Arial"/>
                <w:color w:val="000000"/>
                <w:sz w:val="20"/>
                <w:szCs w:val="20"/>
              </w:rPr>
              <w:t>9</w:t>
            </w:r>
          </w:p>
        </w:tc>
        <w:tc>
          <w:tcPr>
            <w:tcW w:w="706" w:type="dxa"/>
            <w:tcBorders>
              <w:left w:val="single" w:sz="4" w:space="0" w:color="auto"/>
              <w:right w:val="single" w:sz="4" w:space="0" w:color="666666" w:themeColor="text1" w:themeTint="99"/>
            </w:tcBorders>
          </w:tcPr>
          <w:p w14:paraId="0EA69BB8" w14:textId="77777777" w:rsidR="00AB6753" w:rsidRPr="00F32D92" w:rsidRDefault="00AB6753" w:rsidP="002D1EA4">
            <w:pPr>
              <w:rPr>
                <w:rFonts w:cs="Arial"/>
                <w:sz w:val="20"/>
                <w:szCs w:val="20"/>
              </w:rPr>
            </w:pPr>
            <w:r w:rsidRPr="00F32D92">
              <w:rPr>
                <w:rFonts w:cs="Arial"/>
                <w:color w:val="000000"/>
                <w:sz w:val="20"/>
                <w:szCs w:val="20"/>
              </w:rPr>
              <w:t>631</w:t>
            </w:r>
          </w:p>
        </w:tc>
      </w:tr>
      <w:tr w:rsidR="00AB6753" w:rsidRPr="00F32D92" w14:paraId="38C0FC83"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1C908E9C" w14:textId="77777777" w:rsidR="00AB6753" w:rsidRPr="00F32D92" w:rsidRDefault="00AB6753" w:rsidP="002D1EA4">
            <w:pPr>
              <w:rPr>
                <w:rFonts w:cs="Arial"/>
                <w:sz w:val="20"/>
                <w:szCs w:val="20"/>
              </w:rPr>
            </w:pPr>
            <w:r w:rsidRPr="00F32D92">
              <w:rPr>
                <w:rFonts w:cs="Arial"/>
                <w:sz w:val="20"/>
                <w:szCs w:val="20"/>
              </w:rPr>
              <w:t>APS 5</w:t>
            </w:r>
          </w:p>
        </w:tc>
        <w:tc>
          <w:tcPr>
            <w:tcW w:w="1134" w:type="dxa"/>
            <w:tcBorders>
              <w:left w:val="single" w:sz="4" w:space="0" w:color="auto"/>
            </w:tcBorders>
            <w:noWrap/>
            <w:hideMark/>
          </w:tcPr>
          <w:p w14:paraId="70BBAF64" w14:textId="77777777" w:rsidR="00AB6753" w:rsidRPr="00F32D92" w:rsidRDefault="00AB6753" w:rsidP="002D1EA4">
            <w:pPr>
              <w:rPr>
                <w:rFonts w:cs="Arial"/>
                <w:sz w:val="20"/>
                <w:szCs w:val="20"/>
              </w:rPr>
            </w:pPr>
            <w:r w:rsidRPr="00F32D92">
              <w:rPr>
                <w:rFonts w:cs="Arial"/>
                <w:color w:val="000000"/>
                <w:sz w:val="20"/>
                <w:szCs w:val="20"/>
              </w:rPr>
              <w:t>321</w:t>
            </w:r>
          </w:p>
        </w:tc>
        <w:tc>
          <w:tcPr>
            <w:tcW w:w="1134" w:type="dxa"/>
            <w:noWrap/>
            <w:hideMark/>
          </w:tcPr>
          <w:p w14:paraId="6B447C6C" w14:textId="77777777" w:rsidR="00AB6753" w:rsidRPr="00F32D92" w:rsidRDefault="00AB6753" w:rsidP="002D1EA4">
            <w:pPr>
              <w:rPr>
                <w:rFonts w:cs="Arial"/>
                <w:sz w:val="20"/>
                <w:szCs w:val="20"/>
              </w:rPr>
            </w:pPr>
            <w:r w:rsidRPr="00F32D92">
              <w:rPr>
                <w:rFonts w:cs="Arial"/>
                <w:color w:val="000000"/>
                <w:sz w:val="20"/>
                <w:szCs w:val="20"/>
              </w:rPr>
              <w:t>71</w:t>
            </w:r>
          </w:p>
        </w:tc>
        <w:tc>
          <w:tcPr>
            <w:tcW w:w="1418" w:type="dxa"/>
            <w:tcBorders>
              <w:right w:val="single" w:sz="4" w:space="0" w:color="auto"/>
            </w:tcBorders>
            <w:noWrap/>
            <w:hideMark/>
          </w:tcPr>
          <w:p w14:paraId="3D66270F" w14:textId="77777777" w:rsidR="00AB6753" w:rsidRPr="00F32D92" w:rsidRDefault="00AB6753" w:rsidP="002D1EA4">
            <w:pPr>
              <w:rPr>
                <w:rFonts w:cs="Arial"/>
                <w:sz w:val="20"/>
                <w:szCs w:val="20"/>
              </w:rPr>
            </w:pPr>
            <w:r w:rsidRPr="00F32D92">
              <w:rPr>
                <w:rFonts w:cs="Arial"/>
                <w:color w:val="000000"/>
                <w:sz w:val="20"/>
                <w:szCs w:val="20"/>
              </w:rPr>
              <w:t>392</w:t>
            </w:r>
          </w:p>
        </w:tc>
        <w:tc>
          <w:tcPr>
            <w:tcW w:w="1134" w:type="dxa"/>
            <w:tcBorders>
              <w:left w:val="single" w:sz="4" w:space="0" w:color="auto"/>
            </w:tcBorders>
            <w:noWrap/>
            <w:hideMark/>
          </w:tcPr>
          <w:p w14:paraId="12F52C9D" w14:textId="77777777" w:rsidR="00AB6753" w:rsidRPr="00F32D92" w:rsidRDefault="00AB6753" w:rsidP="002D1EA4">
            <w:pPr>
              <w:rPr>
                <w:rFonts w:cs="Arial"/>
                <w:sz w:val="20"/>
                <w:szCs w:val="20"/>
              </w:rPr>
            </w:pPr>
            <w:r w:rsidRPr="00F32D92">
              <w:rPr>
                <w:rFonts w:cs="Arial"/>
                <w:color w:val="000000"/>
                <w:sz w:val="20"/>
                <w:szCs w:val="20"/>
              </w:rPr>
              <w:t>10</w:t>
            </w:r>
          </w:p>
        </w:tc>
        <w:tc>
          <w:tcPr>
            <w:tcW w:w="1276" w:type="dxa"/>
            <w:noWrap/>
            <w:hideMark/>
          </w:tcPr>
          <w:p w14:paraId="62BD456B" w14:textId="77777777" w:rsidR="00AB6753" w:rsidRPr="00F32D92" w:rsidRDefault="00AB6753" w:rsidP="002D1EA4">
            <w:pPr>
              <w:rPr>
                <w:rFonts w:cs="Arial"/>
                <w:sz w:val="20"/>
                <w:szCs w:val="20"/>
              </w:rPr>
            </w:pPr>
            <w:r w:rsidRPr="00F32D92">
              <w:rPr>
                <w:rFonts w:cs="Arial"/>
                <w:color w:val="000000"/>
                <w:sz w:val="20"/>
                <w:szCs w:val="20"/>
              </w:rPr>
              <w:t>1</w:t>
            </w:r>
          </w:p>
        </w:tc>
        <w:tc>
          <w:tcPr>
            <w:tcW w:w="1189" w:type="dxa"/>
            <w:tcBorders>
              <w:right w:val="single" w:sz="4" w:space="0" w:color="auto"/>
            </w:tcBorders>
            <w:noWrap/>
            <w:hideMark/>
          </w:tcPr>
          <w:p w14:paraId="121D1787" w14:textId="77777777" w:rsidR="00AB6753" w:rsidRPr="00F32D92" w:rsidRDefault="00AB6753" w:rsidP="002D1EA4">
            <w:pPr>
              <w:rPr>
                <w:rFonts w:cs="Arial"/>
                <w:sz w:val="20"/>
                <w:szCs w:val="20"/>
              </w:rPr>
            </w:pPr>
            <w:r w:rsidRPr="00F32D92">
              <w:rPr>
                <w:rFonts w:cs="Arial"/>
                <w:color w:val="000000"/>
                <w:sz w:val="20"/>
                <w:szCs w:val="20"/>
              </w:rPr>
              <w:t>11</w:t>
            </w:r>
          </w:p>
        </w:tc>
        <w:tc>
          <w:tcPr>
            <w:tcW w:w="706" w:type="dxa"/>
            <w:tcBorders>
              <w:left w:val="single" w:sz="4" w:space="0" w:color="auto"/>
              <w:right w:val="single" w:sz="4" w:space="0" w:color="666666" w:themeColor="text1" w:themeTint="99"/>
            </w:tcBorders>
          </w:tcPr>
          <w:p w14:paraId="011C60FA" w14:textId="77777777" w:rsidR="00AB6753" w:rsidRPr="00F32D92" w:rsidRDefault="00AB6753" w:rsidP="002D1EA4">
            <w:pPr>
              <w:rPr>
                <w:rFonts w:cs="Arial"/>
                <w:sz w:val="20"/>
                <w:szCs w:val="20"/>
              </w:rPr>
            </w:pPr>
            <w:r w:rsidRPr="00F32D92">
              <w:rPr>
                <w:rFonts w:cs="Arial"/>
                <w:color w:val="000000"/>
                <w:sz w:val="20"/>
                <w:szCs w:val="20"/>
              </w:rPr>
              <w:t>403</w:t>
            </w:r>
          </w:p>
        </w:tc>
      </w:tr>
      <w:tr w:rsidR="00AB6753" w:rsidRPr="00F32D92" w14:paraId="2F27BD6B"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5EA3EF14" w14:textId="77777777" w:rsidR="00AB6753" w:rsidRPr="00F32D92" w:rsidRDefault="00AB6753" w:rsidP="002D1EA4">
            <w:pPr>
              <w:rPr>
                <w:rFonts w:cs="Arial"/>
                <w:sz w:val="20"/>
                <w:szCs w:val="20"/>
              </w:rPr>
            </w:pPr>
            <w:r w:rsidRPr="00F32D92">
              <w:rPr>
                <w:rFonts w:cs="Arial"/>
                <w:sz w:val="20"/>
                <w:szCs w:val="20"/>
              </w:rPr>
              <w:t>APS 4</w:t>
            </w:r>
          </w:p>
        </w:tc>
        <w:tc>
          <w:tcPr>
            <w:tcW w:w="1134" w:type="dxa"/>
            <w:tcBorders>
              <w:left w:val="single" w:sz="4" w:space="0" w:color="auto"/>
            </w:tcBorders>
            <w:noWrap/>
            <w:hideMark/>
          </w:tcPr>
          <w:p w14:paraId="5217AE20" w14:textId="77777777" w:rsidR="00AB6753" w:rsidRPr="00F32D92" w:rsidRDefault="00AB6753" w:rsidP="002D1EA4">
            <w:pPr>
              <w:rPr>
                <w:rFonts w:cs="Arial"/>
                <w:sz w:val="20"/>
                <w:szCs w:val="20"/>
              </w:rPr>
            </w:pPr>
            <w:r w:rsidRPr="00F32D92">
              <w:rPr>
                <w:rFonts w:cs="Arial"/>
                <w:color w:val="000000"/>
                <w:sz w:val="20"/>
                <w:szCs w:val="20"/>
              </w:rPr>
              <w:t>115</w:t>
            </w:r>
          </w:p>
        </w:tc>
        <w:tc>
          <w:tcPr>
            <w:tcW w:w="1134" w:type="dxa"/>
            <w:noWrap/>
            <w:hideMark/>
          </w:tcPr>
          <w:p w14:paraId="717FF5FC" w14:textId="77777777" w:rsidR="00AB6753" w:rsidRPr="00F32D92" w:rsidRDefault="00AB6753" w:rsidP="002D1EA4">
            <w:pPr>
              <w:rPr>
                <w:rFonts w:cs="Arial"/>
                <w:sz w:val="20"/>
                <w:szCs w:val="20"/>
              </w:rPr>
            </w:pPr>
            <w:r w:rsidRPr="00F32D92">
              <w:rPr>
                <w:rFonts w:cs="Arial"/>
                <w:color w:val="000000"/>
                <w:sz w:val="20"/>
                <w:szCs w:val="20"/>
              </w:rPr>
              <w:t>27</w:t>
            </w:r>
          </w:p>
        </w:tc>
        <w:tc>
          <w:tcPr>
            <w:tcW w:w="1418" w:type="dxa"/>
            <w:tcBorders>
              <w:right w:val="single" w:sz="4" w:space="0" w:color="auto"/>
            </w:tcBorders>
            <w:noWrap/>
            <w:hideMark/>
          </w:tcPr>
          <w:p w14:paraId="550CC81F" w14:textId="77777777" w:rsidR="00AB6753" w:rsidRPr="00F32D92" w:rsidRDefault="00AB6753" w:rsidP="002D1EA4">
            <w:pPr>
              <w:rPr>
                <w:rFonts w:cs="Arial"/>
                <w:sz w:val="20"/>
                <w:szCs w:val="20"/>
              </w:rPr>
            </w:pPr>
            <w:r w:rsidRPr="00F32D92">
              <w:rPr>
                <w:rFonts w:cs="Arial"/>
                <w:color w:val="000000"/>
                <w:sz w:val="20"/>
                <w:szCs w:val="20"/>
              </w:rPr>
              <w:t>142</w:t>
            </w:r>
          </w:p>
        </w:tc>
        <w:tc>
          <w:tcPr>
            <w:tcW w:w="1134" w:type="dxa"/>
            <w:tcBorders>
              <w:left w:val="single" w:sz="4" w:space="0" w:color="auto"/>
            </w:tcBorders>
            <w:noWrap/>
            <w:hideMark/>
          </w:tcPr>
          <w:p w14:paraId="6666259A" w14:textId="77777777" w:rsidR="00AB6753" w:rsidRPr="00F32D92" w:rsidRDefault="00AB6753" w:rsidP="002D1EA4">
            <w:pPr>
              <w:rPr>
                <w:rFonts w:cs="Arial"/>
                <w:sz w:val="20"/>
                <w:szCs w:val="20"/>
              </w:rPr>
            </w:pPr>
            <w:r w:rsidRPr="00F32D92">
              <w:rPr>
                <w:rFonts w:cs="Arial"/>
                <w:color w:val="000000"/>
                <w:sz w:val="20"/>
                <w:szCs w:val="20"/>
              </w:rPr>
              <w:t>13</w:t>
            </w:r>
          </w:p>
        </w:tc>
        <w:tc>
          <w:tcPr>
            <w:tcW w:w="1276" w:type="dxa"/>
            <w:noWrap/>
            <w:hideMark/>
          </w:tcPr>
          <w:p w14:paraId="77BD64B3" w14:textId="77777777" w:rsidR="00AB6753" w:rsidRPr="00F32D92" w:rsidRDefault="00AB6753" w:rsidP="002D1EA4">
            <w:pPr>
              <w:rPr>
                <w:rFonts w:cs="Arial"/>
                <w:sz w:val="20"/>
                <w:szCs w:val="20"/>
              </w:rPr>
            </w:pPr>
            <w:r w:rsidRPr="00F32D92">
              <w:rPr>
                <w:rFonts w:cs="Arial"/>
                <w:color w:val="000000"/>
                <w:sz w:val="20"/>
                <w:szCs w:val="20"/>
              </w:rPr>
              <w:t>1</w:t>
            </w:r>
          </w:p>
        </w:tc>
        <w:tc>
          <w:tcPr>
            <w:tcW w:w="1189" w:type="dxa"/>
            <w:tcBorders>
              <w:right w:val="single" w:sz="4" w:space="0" w:color="auto"/>
            </w:tcBorders>
            <w:noWrap/>
            <w:hideMark/>
          </w:tcPr>
          <w:p w14:paraId="37CD2C7A" w14:textId="77777777" w:rsidR="00AB6753" w:rsidRPr="00F32D92" w:rsidRDefault="00AB6753" w:rsidP="002D1EA4">
            <w:pPr>
              <w:rPr>
                <w:rFonts w:cs="Arial"/>
                <w:sz w:val="20"/>
                <w:szCs w:val="20"/>
              </w:rPr>
            </w:pPr>
            <w:r w:rsidRPr="00F32D92">
              <w:rPr>
                <w:rFonts w:cs="Arial"/>
                <w:color w:val="000000"/>
                <w:sz w:val="20"/>
                <w:szCs w:val="20"/>
              </w:rPr>
              <w:t>14</w:t>
            </w:r>
          </w:p>
        </w:tc>
        <w:tc>
          <w:tcPr>
            <w:tcW w:w="706" w:type="dxa"/>
            <w:tcBorders>
              <w:left w:val="single" w:sz="4" w:space="0" w:color="auto"/>
              <w:right w:val="single" w:sz="4" w:space="0" w:color="666666" w:themeColor="text1" w:themeTint="99"/>
            </w:tcBorders>
          </w:tcPr>
          <w:p w14:paraId="55300B20" w14:textId="77777777" w:rsidR="00AB6753" w:rsidRPr="00F32D92" w:rsidRDefault="00AB6753" w:rsidP="002D1EA4">
            <w:pPr>
              <w:rPr>
                <w:rFonts w:cs="Arial"/>
                <w:sz w:val="20"/>
                <w:szCs w:val="20"/>
              </w:rPr>
            </w:pPr>
            <w:r w:rsidRPr="00F32D92">
              <w:rPr>
                <w:rFonts w:cs="Arial"/>
                <w:color w:val="000000"/>
                <w:sz w:val="20"/>
                <w:szCs w:val="20"/>
              </w:rPr>
              <w:t>156</w:t>
            </w:r>
          </w:p>
        </w:tc>
      </w:tr>
      <w:tr w:rsidR="00AB6753" w:rsidRPr="00F32D92" w14:paraId="4C664518" w14:textId="77777777" w:rsidTr="002D1EA4">
        <w:trPr>
          <w:trHeight w:val="315"/>
          <w:jc w:val="center"/>
        </w:trPr>
        <w:tc>
          <w:tcPr>
            <w:tcW w:w="1696" w:type="dxa"/>
            <w:tcBorders>
              <w:left w:val="single" w:sz="4" w:space="0" w:color="666666" w:themeColor="text1" w:themeTint="99"/>
              <w:right w:val="single" w:sz="4" w:space="0" w:color="auto"/>
            </w:tcBorders>
            <w:vAlign w:val="center"/>
          </w:tcPr>
          <w:p w14:paraId="229A6FD7" w14:textId="77777777" w:rsidR="00AB6753" w:rsidRPr="00F32D92" w:rsidRDefault="00AB6753" w:rsidP="002D1EA4">
            <w:pPr>
              <w:rPr>
                <w:rFonts w:cs="Arial"/>
                <w:sz w:val="20"/>
                <w:szCs w:val="20"/>
              </w:rPr>
            </w:pPr>
            <w:r w:rsidRPr="00F32D92">
              <w:rPr>
                <w:rFonts w:cs="Arial"/>
                <w:sz w:val="20"/>
                <w:szCs w:val="20"/>
              </w:rPr>
              <w:t>APS 3</w:t>
            </w:r>
          </w:p>
        </w:tc>
        <w:tc>
          <w:tcPr>
            <w:tcW w:w="1134" w:type="dxa"/>
            <w:tcBorders>
              <w:left w:val="single" w:sz="4" w:space="0" w:color="auto"/>
            </w:tcBorders>
            <w:noWrap/>
          </w:tcPr>
          <w:p w14:paraId="19C146E7" w14:textId="77777777" w:rsidR="00AB6753" w:rsidRPr="00F32D92" w:rsidRDefault="00AB6753" w:rsidP="002D1EA4">
            <w:pPr>
              <w:rPr>
                <w:rFonts w:cs="Arial"/>
                <w:sz w:val="20"/>
                <w:szCs w:val="20"/>
              </w:rPr>
            </w:pPr>
            <w:r w:rsidRPr="00F32D92">
              <w:rPr>
                <w:rFonts w:cs="Arial"/>
                <w:color w:val="000000"/>
                <w:sz w:val="20"/>
                <w:szCs w:val="20"/>
              </w:rPr>
              <w:t>89</w:t>
            </w:r>
          </w:p>
        </w:tc>
        <w:tc>
          <w:tcPr>
            <w:tcW w:w="1134" w:type="dxa"/>
            <w:noWrap/>
          </w:tcPr>
          <w:p w14:paraId="26C9BD73" w14:textId="77777777" w:rsidR="00AB6753" w:rsidRPr="00F32D92" w:rsidRDefault="00AB6753" w:rsidP="002D1EA4">
            <w:pPr>
              <w:rPr>
                <w:rFonts w:cs="Arial"/>
                <w:sz w:val="20"/>
                <w:szCs w:val="20"/>
              </w:rPr>
            </w:pPr>
            <w:r w:rsidRPr="00F32D92">
              <w:rPr>
                <w:rFonts w:cs="Arial"/>
                <w:color w:val="000000"/>
                <w:sz w:val="20"/>
                <w:szCs w:val="20"/>
              </w:rPr>
              <w:t>3</w:t>
            </w:r>
          </w:p>
        </w:tc>
        <w:tc>
          <w:tcPr>
            <w:tcW w:w="1418" w:type="dxa"/>
            <w:tcBorders>
              <w:right w:val="single" w:sz="4" w:space="0" w:color="auto"/>
            </w:tcBorders>
            <w:noWrap/>
          </w:tcPr>
          <w:p w14:paraId="24759ABA" w14:textId="77777777" w:rsidR="00AB6753" w:rsidRPr="00F32D92" w:rsidRDefault="00AB6753" w:rsidP="002D1EA4">
            <w:pPr>
              <w:rPr>
                <w:rFonts w:cs="Arial"/>
                <w:sz w:val="20"/>
                <w:szCs w:val="20"/>
              </w:rPr>
            </w:pPr>
            <w:r w:rsidRPr="00F32D92">
              <w:rPr>
                <w:rFonts w:cs="Arial"/>
                <w:color w:val="000000"/>
                <w:sz w:val="20"/>
                <w:szCs w:val="20"/>
              </w:rPr>
              <w:t>92</w:t>
            </w:r>
          </w:p>
        </w:tc>
        <w:tc>
          <w:tcPr>
            <w:tcW w:w="1134" w:type="dxa"/>
            <w:tcBorders>
              <w:left w:val="single" w:sz="4" w:space="0" w:color="auto"/>
            </w:tcBorders>
            <w:noWrap/>
          </w:tcPr>
          <w:p w14:paraId="4EBDA304" w14:textId="77777777" w:rsidR="00AB6753" w:rsidRPr="00F32D92" w:rsidRDefault="00AB6753" w:rsidP="002D1EA4">
            <w:pPr>
              <w:rPr>
                <w:rFonts w:cs="Arial"/>
                <w:sz w:val="20"/>
                <w:szCs w:val="20"/>
              </w:rPr>
            </w:pPr>
            <w:r w:rsidRPr="00F32D92">
              <w:rPr>
                <w:rFonts w:cs="Arial"/>
                <w:color w:val="000000"/>
                <w:sz w:val="20"/>
                <w:szCs w:val="20"/>
              </w:rPr>
              <w:t>1</w:t>
            </w:r>
          </w:p>
        </w:tc>
        <w:tc>
          <w:tcPr>
            <w:tcW w:w="1276" w:type="dxa"/>
            <w:noWrap/>
          </w:tcPr>
          <w:p w14:paraId="5C23BB4D" w14:textId="77777777" w:rsidR="00AB6753" w:rsidRPr="00F32D92" w:rsidRDefault="00AB6753" w:rsidP="002D1EA4">
            <w:pPr>
              <w:rPr>
                <w:rFonts w:cs="Arial"/>
                <w:sz w:val="20"/>
                <w:szCs w:val="20"/>
              </w:rPr>
            </w:pPr>
            <w:r w:rsidRPr="00F32D92">
              <w:rPr>
                <w:rFonts w:cs="Arial"/>
                <w:color w:val="000000"/>
                <w:sz w:val="20"/>
                <w:szCs w:val="20"/>
              </w:rPr>
              <w:t>0</w:t>
            </w:r>
          </w:p>
        </w:tc>
        <w:tc>
          <w:tcPr>
            <w:tcW w:w="1189" w:type="dxa"/>
            <w:tcBorders>
              <w:right w:val="single" w:sz="4" w:space="0" w:color="auto"/>
            </w:tcBorders>
            <w:noWrap/>
          </w:tcPr>
          <w:p w14:paraId="61D5538F" w14:textId="77777777" w:rsidR="00AB6753" w:rsidRPr="00F32D92" w:rsidRDefault="00AB6753" w:rsidP="002D1EA4">
            <w:pPr>
              <w:rPr>
                <w:rFonts w:cs="Arial"/>
                <w:sz w:val="20"/>
                <w:szCs w:val="20"/>
              </w:rPr>
            </w:pPr>
            <w:r w:rsidRPr="00F32D92">
              <w:rPr>
                <w:rFonts w:cs="Arial"/>
                <w:color w:val="000000"/>
                <w:sz w:val="20"/>
                <w:szCs w:val="20"/>
              </w:rPr>
              <w:t>1</w:t>
            </w:r>
          </w:p>
        </w:tc>
        <w:tc>
          <w:tcPr>
            <w:tcW w:w="706" w:type="dxa"/>
            <w:tcBorders>
              <w:left w:val="single" w:sz="4" w:space="0" w:color="auto"/>
              <w:right w:val="single" w:sz="4" w:space="0" w:color="666666" w:themeColor="text1" w:themeTint="99"/>
            </w:tcBorders>
          </w:tcPr>
          <w:p w14:paraId="4FF385F1" w14:textId="77777777" w:rsidR="00AB6753" w:rsidRPr="00F32D92" w:rsidRDefault="00AB6753" w:rsidP="002D1EA4">
            <w:pPr>
              <w:rPr>
                <w:rFonts w:cs="Arial"/>
                <w:sz w:val="20"/>
                <w:szCs w:val="20"/>
              </w:rPr>
            </w:pPr>
            <w:r w:rsidRPr="00F32D92">
              <w:rPr>
                <w:rFonts w:cs="Arial"/>
                <w:color w:val="000000"/>
                <w:sz w:val="20"/>
                <w:szCs w:val="20"/>
              </w:rPr>
              <w:t>93</w:t>
            </w:r>
          </w:p>
        </w:tc>
      </w:tr>
      <w:tr w:rsidR="00AB6753" w:rsidRPr="00F32D92" w14:paraId="388FE8A9" w14:textId="77777777" w:rsidTr="002D1EA4">
        <w:trPr>
          <w:trHeight w:val="315"/>
          <w:jc w:val="center"/>
        </w:trPr>
        <w:tc>
          <w:tcPr>
            <w:tcW w:w="1696" w:type="dxa"/>
            <w:tcBorders>
              <w:left w:val="single" w:sz="4" w:space="0" w:color="666666" w:themeColor="text1" w:themeTint="99"/>
              <w:right w:val="single" w:sz="4" w:space="0" w:color="auto"/>
            </w:tcBorders>
            <w:vAlign w:val="center"/>
          </w:tcPr>
          <w:p w14:paraId="0A757BB2" w14:textId="77777777" w:rsidR="00AB6753" w:rsidRPr="00F32D92" w:rsidRDefault="00AB6753" w:rsidP="002D1EA4">
            <w:pPr>
              <w:rPr>
                <w:rFonts w:cs="Arial"/>
                <w:sz w:val="20"/>
                <w:szCs w:val="20"/>
              </w:rPr>
            </w:pPr>
            <w:r w:rsidRPr="00F32D92">
              <w:rPr>
                <w:rFonts w:cs="Arial"/>
                <w:sz w:val="20"/>
                <w:szCs w:val="20"/>
              </w:rPr>
              <w:t>APS 2</w:t>
            </w:r>
          </w:p>
        </w:tc>
        <w:tc>
          <w:tcPr>
            <w:tcW w:w="1134" w:type="dxa"/>
            <w:tcBorders>
              <w:left w:val="single" w:sz="4" w:space="0" w:color="auto"/>
            </w:tcBorders>
            <w:noWrap/>
          </w:tcPr>
          <w:p w14:paraId="58170433" w14:textId="77777777" w:rsidR="00AB6753" w:rsidRPr="00F32D92" w:rsidRDefault="00AB6753" w:rsidP="002D1EA4">
            <w:pPr>
              <w:rPr>
                <w:rFonts w:cs="Arial"/>
                <w:sz w:val="20"/>
                <w:szCs w:val="20"/>
              </w:rPr>
            </w:pPr>
            <w:r w:rsidRPr="00F32D92">
              <w:rPr>
                <w:rFonts w:cs="Arial"/>
                <w:color w:val="000000"/>
                <w:sz w:val="20"/>
                <w:szCs w:val="20"/>
              </w:rPr>
              <w:t>2</w:t>
            </w:r>
          </w:p>
        </w:tc>
        <w:tc>
          <w:tcPr>
            <w:tcW w:w="1134" w:type="dxa"/>
            <w:noWrap/>
          </w:tcPr>
          <w:p w14:paraId="0608FCA3" w14:textId="77777777" w:rsidR="00AB6753" w:rsidRPr="00F32D92" w:rsidRDefault="00AB6753" w:rsidP="002D1EA4">
            <w:pPr>
              <w:rPr>
                <w:rFonts w:cs="Arial"/>
                <w:sz w:val="20"/>
                <w:szCs w:val="20"/>
              </w:rPr>
            </w:pPr>
            <w:r w:rsidRPr="00F32D92">
              <w:rPr>
                <w:rFonts w:cs="Arial"/>
                <w:color w:val="000000"/>
                <w:sz w:val="20"/>
                <w:szCs w:val="20"/>
              </w:rPr>
              <w:t>2</w:t>
            </w:r>
          </w:p>
        </w:tc>
        <w:tc>
          <w:tcPr>
            <w:tcW w:w="1418" w:type="dxa"/>
            <w:tcBorders>
              <w:right w:val="single" w:sz="4" w:space="0" w:color="auto"/>
            </w:tcBorders>
            <w:noWrap/>
          </w:tcPr>
          <w:p w14:paraId="21D0A01B" w14:textId="77777777" w:rsidR="00AB6753" w:rsidRPr="00F32D92" w:rsidRDefault="00AB6753" w:rsidP="002D1EA4">
            <w:pPr>
              <w:rPr>
                <w:rFonts w:cs="Arial"/>
                <w:sz w:val="20"/>
                <w:szCs w:val="20"/>
              </w:rPr>
            </w:pPr>
            <w:r w:rsidRPr="00F32D92">
              <w:rPr>
                <w:rFonts w:cs="Arial"/>
                <w:color w:val="000000"/>
                <w:sz w:val="20"/>
                <w:szCs w:val="20"/>
              </w:rPr>
              <w:t>4</w:t>
            </w:r>
          </w:p>
        </w:tc>
        <w:tc>
          <w:tcPr>
            <w:tcW w:w="1134" w:type="dxa"/>
            <w:tcBorders>
              <w:left w:val="single" w:sz="4" w:space="0" w:color="auto"/>
            </w:tcBorders>
            <w:noWrap/>
          </w:tcPr>
          <w:p w14:paraId="5B9AE9B3" w14:textId="77777777" w:rsidR="00AB6753" w:rsidRPr="00F32D92" w:rsidRDefault="00AB6753" w:rsidP="002D1EA4">
            <w:pPr>
              <w:rPr>
                <w:rFonts w:cs="Arial"/>
                <w:sz w:val="20"/>
                <w:szCs w:val="20"/>
              </w:rPr>
            </w:pPr>
            <w:r w:rsidRPr="00F32D92">
              <w:rPr>
                <w:rFonts w:cs="Arial"/>
                <w:sz w:val="20"/>
                <w:szCs w:val="20"/>
              </w:rPr>
              <w:t>0</w:t>
            </w:r>
          </w:p>
        </w:tc>
        <w:tc>
          <w:tcPr>
            <w:tcW w:w="1276" w:type="dxa"/>
            <w:noWrap/>
          </w:tcPr>
          <w:p w14:paraId="61045337" w14:textId="77777777" w:rsidR="00AB6753" w:rsidRPr="00F32D92" w:rsidRDefault="00AB6753" w:rsidP="002D1EA4">
            <w:pPr>
              <w:rPr>
                <w:rFonts w:cs="Arial"/>
                <w:sz w:val="20"/>
                <w:szCs w:val="20"/>
              </w:rPr>
            </w:pPr>
            <w:r w:rsidRPr="00F32D92">
              <w:rPr>
                <w:rFonts w:cs="Arial"/>
                <w:sz w:val="20"/>
                <w:szCs w:val="20"/>
              </w:rPr>
              <w:t>0</w:t>
            </w:r>
          </w:p>
        </w:tc>
        <w:tc>
          <w:tcPr>
            <w:tcW w:w="1189" w:type="dxa"/>
            <w:tcBorders>
              <w:right w:val="single" w:sz="4" w:space="0" w:color="auto"/>
            </w:tcBorders>
            <w:noWrap/>
          </w:tcPr>
          <w:p w14:paraId="7DF940FD" w14:textId="77777777" w:rsidR="00AB6753" w:rsidRPr="00F32D92" w:rsidRDefault="00AB6753" w:rsidP="002D1EA4">
            <w:pPr>
              <w:rPr>
                <w:rFonts w:cs="Arial"/>
                <w:sz w:val="20"/>
                <w:szCs w:val="20"/>
              </w:rPr>
            </w:pPr>
            <w:r w:rsidRPr="00F32D92">
              <w:rPr>
                <w:rFonts w:cs="Arial"/>
                <w:sz w:val="20"/>
                <w:szCs w:val="20"/>
              </w:rPr>
              <w:t>0</w:t>
            </w:r>
          </w:p>
        </w:tc>
        <w:tc>
          <w:tcPr>
            <w:tcW w:w="706" w:type="dxa"/>
            <w:tcBorders>
              <w:left w:val="single" w:sz="4" w:space="0" w:color="auto"/>
              <w:right w:val="single" w:sz="4" w:space="0" w:color="666666" w:themeColor="text1" w:themeTint="99"/>
            </w:tcBorders>
          </w:tcPr>
          <w:p w14:paraId="5E3F2C35" w14:textId="77777777" w:rsidR="00AB6753" w:rsidRPr="00F32D92" w:rsidRDefault="00AB6753" w:rsidP="002D1EA4">
            <w:pPr>
              <w:rPr>
                <w:rFonts w:cs="Arial"/>
                <w:sz w:val="20"/>
                <w:szCs w:val="20"/>
              </w:rPr>
            </w:pPr>
            <w:r w:rsidRPr="00F32D92">
              <w:rPr>
                <w:rFonts w:cs="Arial"/>
                <w:color w:val="000000"/>
                <w:sz w:val="20"/>
                <w:szCs w:val="20"/>
              </w:rPr>
              <w:t>4</w:t>
            </w:r>
          </w:p>
        </w:tc>
      </w:tr>
      <w:tr w:rsidR="00AB6753" w:rsidRPr="00F32D92" w14:paraId="18188A8C" w14:textId="77777777" w:rsidTr="002D1EA4">
        <w:trPr>
          <w:trHeight w:val="315"/>
          <w:jc w:val="center"/>
        </w:trPr>
        <w:tc>
          <w:tcPr>
            <w:tcW w:w="1696" w:type="dxa"/>
            <w:tcBorders>
              <w:left w:val="single" w:sz="4" w:space="0" w:color="666666" w:themeColor="text1" w:themeTint="99"/>
              <w:right w:val="single" w:sz="4" w:space="0" w:color="auto"/>
            </w:tcBorders>
            <w:vAlign w:val="center"/>
          </w:tcPr>
          <w:p w14:paraId="03DD7B75" w14:textId="77777777" w:rsidR="00AB6753" w:rsidRPr="00F32D92" w:rsidRDefault="00AB6753" w:rsidP="002D1EA4">
            <w:pPr>
              <w:rPr>
                <w:rFonts w:cs="Arial"/>
                <w:sz w:val="20"/>
                <w:szCs w:val="20"/>
              </w:rPr>
            </w:pPr>
            <w:r w:rsidRPr="00F32D92">
              <w:rPr>
                <w:rFonts w:cs="Arial"/>
                <w:sz w:val="20"/>
                <w:szCs w:val="20"/>
              </w:rPr>
              <w:t>APS 1</w:t>
            </w:r>
          </w:p>
        </w:tc>
        <w:tc>
          <w:tcPr>
            <w:tcW w:w="1134" w:type="dxa"/>
            <w:tcBorders>
              <w:left w:val="single" w:sz="4" w:space="0" w:color="auto"/>
            </w:tcBorders>
            <w:noWrap/>
          </w:tcPr>
          <w:p w14:paraId="62D5E5BC" w14:textId="77777777" w:rsidR="00AB6753" w:rsidRPr="00F32D92" w:rsidRDefault="00AB6753" w:rsidP="002D1EA4">
            <w:pPr>
              <w:rPr>
                <w:rFonts w:cs="Arial"/>
                <w:sz w:val="20"/>
                <w:szCs w:val="20"/>
              </w:rPr>
            </w:pPr>
            <w:r w:rsidRPr="00F32D92">
              <w:rPr>
                <w:rFonts w:cs="Arial"/>
                <w:sz w:val="20"/>
                <w:szCs w:val="20"/>
              </w:rPr>
              <w:t>0</w:t>
            </w:r>
          </w:p>
        </w:tc>
        <w:tc>
          <w:tcPr>
            <w:tcW w:w="1134" w:type="dxa"/>
            <w:noWrap/>
          </w:tcPr>
          <w:p w14:paraId="42DB39E9" w14:textId="77777777" w:rsidR="00AB6753" w:rsidRPr="00F32D92" w:rsidRDefault="00AB6753" w:rsidP="002D1EA4">
            <w:pPr>
              <w:rPr>
                <w:rFonts w:cs="Arial"/>
                <w:sz w:val="20"/>
                <w:szCs w:val="20"/>
              </w:rPr>
            </w:pPr>
            <w:r w:rsidRPr="00F32D92">
              <w:rPr>
                <w:rFonts w:cs="Arial"/>
                <w:color w:val="000000"/>
                <w:sz w:val="20"/>
                <w:szCs w:val="20"/>
              </w:rPr>
              <w:t>4</w:t>
            </w:r>
          </w:p>
        </w:tc>
        <w:tc>
          <w:tcPr>
            <w:tcW w:w="1418" w:type="dxa"/>
            <w:tcBorders>
              <w:right w:val="single" w:sz="4" w:space="0" w:color="auto"/>
            </w:tcBorders>
            <w:noWrap/>
          </w:tcPr>
          <w:p w14:paraId="6F496699" w14:textId="77777777" w:rsidR="00AB6753" w:rsidRPr="00F32D92" w:rsidRDefault="00AB6753" w:rsidP="002D1EA4">
            <w:pPr>
              <w:rPr>
                <w:rFonts w:cs="Arial"/>
                <w:sz w:val="20"/>
                <w:szCs w:val="20"/>
              </w:rPr>
            </w:pPr>
            <w:r w:rsidRPr="00F32D92">
              <w:rPr>
                <w:rFonts w:cs="Arial"/>
                <w:color w:val="000000"/>
                <w:sz w:val="20"/>
                <w:szCs w:val="20"/>
              </w:rPr>
              <w:t>4</w:t>
            </w:r>
          </w:p>
        </w:tc>
        <w:tc>
          <w:tcPr>
            <w:tcW w:w="1134" w:type="dxa"/>
            <w:tcBorders>
              <w:left w:val="single" w:sz="4" w:space="0" w:color="auto"/>
            </w:tcBorders>
            <w:noWrap/>
          </w:tcPr>
          <w:p w14:paraId="6DF1FC4E" w14:textId="77777777" w:rsidR="00AB6753" w:rsidRPr="00F32D92" w:rsidRDefault="00AB6753" w:rsidP="002D1EA4">
            <w:pPr>
              <w:rPr>
                <w:rFonts w:cs="Arial"/>
                <w:sz w:val="20"/>
                <w:szCs w:val="20"/>
              </w:rPr>
            </w:pPr>
            <w:r w:rsidRPr="00F32D92">
              <w:rPr>
                <w:rFonts w:cs="Arial"/>
                <w:sz w:val="20"/>
                <w:szCs w:val="20"/>
              </w:rPr>
              <w:t>0</w:t>
            </w:r>
          </w:p>
        </w:tc>
        <w:tc>
          <w:tcPr>
            <w:tcW w:w="1276" w:type="dxa"/>
            <w:noWrap/>
          </w:tcPr>
          <w:p w14:paraId="77693EEF" w14:textId="77777777" w:rsidR="00AB6753" w:rsidRPr="00F32D92" w:rsidRDefault="00AB6753" w:rsidP="002D1EA4">
            <w:pPr>
              <w:rPr>
                <w:rFonts w:cs="Arial"/>
                <w:sz w:val="20"/>
                <w:szCs w:val="20"/>
              </w:rPr>
            </w:pPr>
            <w:r w:rsidRPr="00F32D92">
              <w:rPr>
                <w:rFonts w:cs="Arial"/>
                <w:sz w:val="20"/>
                <w:szCs w:val="20"/>
              </w:rPr>
              <w:t>0</w:t>
            </w:r>
          </w:p>
        </w:tc>
        <w:tc>
          <w:tcPr>
            <w:tcW w:w="1189" w:type="dxa"/>
            <w:tcBorders>
              <w:right w:val="single" w:sz="4" w:space="0" w:color="auto"/>
            </w:tcBorders>
            <w:noWrap/>
          </w:tcPr>
          <w:p w14:paraId="1BA047BE" w14:textId="77777777" w:rsidR="00AB6753" w:rsidRPr="00F32D92" w:rsidRDefault="00AB6753" w:rsidP="002D1EA4">
            <w:pPr>
              <w:rPr>
                <w:rFonts w:cs="Arial"/>
                <w:sz w:val="20"/>
                <w:szCs w:val="20"/>
              </w:rPr>
            </w:pPr>
            <w:r w:rsidRPr="00F32D92">
              <w:rPr>
                <w:rFonts w:cs="Arial"/>
                <w:sz w:val="20"/>
                <w:szCs w:val="20"/>
              </w:rPr>
              <w:t>0</w:t>
            </w:r>
          </w:p>
        </w:tc>
        <w:tc>
          <w:tcPr>
            <w:tcW w:w="706" w:type="dxa"/>
            <w:tcBorders>
              <w:left w:val="single" w:sz="4" w:space="0" w:color="auto"/>
              <w:right w:val="single" w:sz="4" w:space="0" w:color="666666" w:themeColor="text1" w:themeTint="99"/>
            </w:tcBorders>
          </w:tcPr>
          <w:p w14:paraId="6EED13AB" w14:textId="77777777" w:rsidR="00AB6753" w:rsidRPr="00F32D92" w:rsidRDefault="00AB6753" w:rsidP="002D1EA4">
            <w:pPr>
              <w:rPr>
                <w:rFonts w:cs="Arial"/>
                <w:sz w:val="20"/>
                <w:szCs w:val="20"/>
              </w:rPr>
            </w:pPr>
            <w:r w:rsidRPr="00F32D92">
              <w:rPr>
                <w:rFonts w:cs="Arial"/>
                <w:color w:val="000000"/>
                <w:sz w:val="20"/>
                <w:szCs w:val="20"/>
              </w:rPr>
              <w:t>4</w:t>
            </w:r>
          </w:p>
        </w:tc>
      </w:tr>
      <w:tr w:rsidR="00AB6753" w:rsidRPr="00F32D92" w14:paraId="4718C0A1" w14:textId="77777777" w:rsidTr="002D1EA4">
        <w:trPr>
          <w:trHeight w:val="315"/>
          <w:jc w:val="center"/>
        </w:trPr>
        <w:tc>
          <w:tcPr>
            <w:tcW w:w="1696" w:type="dxa"/>
            <w:tcBorders>
              <w:left w:val="single" w:sz="4" w:space="0" w:color="666666" w:themeColor="text1" w:themeTint="99"/>
              <w:right w:val="single" w:sz="4" w:space="0" w:color="auto"/>
            </w:tcBorders>
            <w:vAlign w:val="center"/>
          </w:tcPr>
          <w:p w14:paraId="0087E76B" w14:textId="77777777" w:rsidR="00AB6753" w:rsidRPr="00F32D92" w:rsidRDefault="00AB6753" w:rsidP="002D1EA4">
            <w:pPr>
              <w:rPr>
                <w:rFonts w:cs="Arial"/>
                <w:sz w:val="20"/>
                <w:szCs w:val="20"/>
              </w:rPr>
            </w:pPr>
            <w:r w:rsidRPr="00F32D92">
              <w:rPr>
                <w:rFonts w:cs="Arial"/>
                <w:sz w:val="20"/>
                <w:szCs w:val="20"/>
              </w:rPr>
              <w:t>Other</w:t>
            </w:r>
          </w:p>
        </w:tc>
        <w:tc>
          <w:tcPr>
            <w:tcW w:w="1134" w:type="dxa"/>
            <w:tcBorders>
              <w:left w:val="single" w:sz="4" w:space="0" w:color="auto"/>
            </w:tcBorders>
            <w:noWrap/>
          </w:tcPr>
          <w:p w14:paraId="78C59D14" w14:textId="77777777" w:rsidR="00AB6753" w:rsidRPr="00F32D92" w:rsidRDefault="00AB6753" w:rsidP="002D1EA4">
            <w:pPr>
              <w:rPr>
                <w:rFonts w:cs="Arial"/>
                <w:sz w:val="20"/>
                <w:szCs w:val="20"/>
              </w:rPr>
            </w:pPr>
            <w:r w:rsidRPr="00F32D92">
              <w:rPr>
                <w:rFonts w:cs="Arial"/>
                <w:sz w:val="20"/>
                <w:szCs w:val="20"/>
              </w:rPr>
              <w:t>0</w:t>
            </w:r>
          </w:p>
        </w:tc>
        <w:tc>
          <w:tcPr>
            <w:tcW w:w="1134" w:type="dxa"/>
            <w:noWrap/>
          </w:tcPr>
          <w:p w14:paraId="502804B9" w14:textId="77777777" w:rsidR="00AB6753" w:rsidRPr="00F32D92" w:rsidRDefault="00AB6753" w:rsidP="002D1EA4">
            <w:pPr>
              <w:rPr>
                <w:rFonts w:cs="Arial"/>
                <w:sz w:val="20"/>
                <w:szCs w:val="20"/>
              </w:rPr>
            </w:pPr>
            <w:r w:rsidRPr="00F32D92">
              <w:rPr>
                <w:rFonts w:cs="Arial"/>
                <w:sz w:val="20"/>
                <w:szCs w:val="20"/>
              </w:rPr>
              <w:t>0</w:t>
            </w:r>
          </w:p>
        </w:tc>
        <w:tc>
          <w:tcPr>
            <w:tcW w:w="1418" w:type="dxa"/>
            <w:tcBorders>
              <w:right w:val="single" w:sz="4" w:space="0" w:color="auto"/>
            </w:tcBorders>
            <w:noWrap/>
          </w:tcPr>
          <w:p w14:paraId="2A4A0759" w14:textId="77777777" w:rsidR="00AB6753" w:rsidRPr="00F32D92" w:rsidRDefault="00AB6753" w:rsidP="002D1EA4">
            <w:pPr>
              <w:rPr>
                <w:rFonts w:cs="Arial"/>
                <w:sz w:val="20"/>
                <w:szCs w:val="20"/>
              </w:rPr>
            </w:pPr>
            <w:r w:rsidRPr="00F32D92">
              <w:rPr>
                <w:rFonts w:cs="Arial"/>
                <w:sz w:val="20"/>
                <w:szCs w:val="20"/>
              </w:rPr>
              <w:t>0</w:t>
            </w:r>
          </w:p>
        </w:tc>
        <w:tc>
          <w:tcPr>
            <w:tcW w:w="1134" w:type="dxa"/>
            <w:tcBorders>
              <w:left w:val="single" w:sz="4" w:space="0" w:color="auto"/>
            </w:tcBorders>
            <w:noWrap/>
          </w:tcPr>
          <w:p w14:paraId="7508A883" w14:textId="77777777" w:rsidR="00AB6753" w:rsidRPr="00F32D92" w:rsidRDefault="00AB6753" w:rsidP="002D1EA4">
            <w:pPr>
              <w:rPr>
                <w:rFonts w:cs="Arial"/>
                <w:sz w:val="20"/>
                <w:szCs w:val="20"/>
              </w:rPr>
            </w:pPr>
            <w:r w:rsidRPr="00F32D92">
              <w:rPr>
                <w:rFonts w:cs="Arial"/>
                <w:sz w:val="20"/>
                <w:szCs w:val="20"/>
              </w:rPr>
              <w:t>0</w:t>
            </w:r>
          </w:p>
        </w:tc>
        <w:tc>
          <w:tcPr>
            <w:tcW w:w="1276" w:type="dxa"/>
            <w:noWrap/>
          </w:tcPr>
          <w:p w14:paraId="683598DB" w14:textId="77777777" w:rsidR="00AB6753" w:rsidRPr="00F32D92" w:rsidRDefault="00AB6753" w:rsidP="002D1EA4">
            <w:pPr>
              <w:rPr>
                <w:rFonts w:cs="Arial"/>
                <w:sz w:val="20"/>
                <w:szCs w:val="20"/>
              </w:rPr>
            </w:pPr>
            <w:r w:rsidRPr="00F32D92">
              <w:rPr>
                <w:rFonts w:cs="Arial"/>
                <w:sz w:val="20"/>
                <w:szCs w:val="20"/>
              </w:rPr>
              <w:t>0</w:t>
            </w:r>
          </w:p>
        </w:tc>
        <w:tc>
          <w:tcPr>
            <w:tcW w:w="1189" w:type="dxa"/>
            <w:tcBorders>
              <w:right w:val="single" w:sz="4" w:space="0" w:color="auto"/>
            </w:tcBorders>
            <w:noWrap/>
          </w:tcPr>
          <w:p w14:paraId="6B35FFB8" w14:textId="77777777" w:rsidR="00AB6753" w:rsidRPr="00F32D92" w:rsidRDefault="00AB6753" w:rsidP="002D1EA4">
            <w:pPr>
              <w:rPr>
                <w:rFonts w:cs="Arial"/>
                <w:sz w:val="20"/>
                <w:szCs w:val="20"/>
              </w:rPr>
            </w:pPr>
            <w:r w:rsidRPr="00F32D92">
              <w:rPr>
                <w:rFonts w:cs="Arial"/>
                <w:sz w:val="20"/>
                <w:szCs w:val="20"/>
              </w:rPr>
              <w:t>0</w:t>
            </w:r>
          </w:p>
        </w:tc>
        <w:tc>
          <w:tcPr>
            <w:tcW w:w="706" w:type="dxa"/>
            <w:tcBorders>
              <w:left w:val="single" w:sz="4" w:space="0" w:color="auto"/>
              <w:right w:val="single" w:sz="4" w:space="0" w:color="666666" w:themeColor="text1" w:themeTint="99"/>
            </w:tcBorders>
          </w:tcPr>
          <w:p w14:paraId="11A020D8"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00037507" w14:textId="77777777" w:rsidTr="002D1EA4">
        <w:trPr>
          <w:trHeight w:val="315"/>
          <w:jc w:val="center"/>
        </w:trPr>
        <w:tc>
          <w:tcPr>
            <w:tcW w:w="1696" w:type="dxa"/>
            <w:tcBorders>
              <w:left w:val="single" w:sz="4" w:space="0" w:color="666666" w:themeColor="text1" w:themeTint="99"/>
              <w:bottom w:val="single" w:sz="4" w:space="0" w:color="auto"/>
              <w:right w:val="single" w:sz="4" w:space="0" w:color="auto"/>
            </w:tcBorders>
            <w:vAlign w:val="center"/>
          </w:tcPr>
          <w:p w14:paraId="1BA2C93E" w14:textId="77777777" w:rsidR="00AB6753" w:rsidRPr="00F32D92" w:rsidRDefault="00AB6753" w:rsidP="002D1EA4">
            <w:pPr>
              <w:rPr>
                <w:rFonts w:cs="Arial"/>
                <w:sz w:val="20"/>
                <w:szCs w:val="20"/>
              </w:rPr>
            </w:pPr>
            <w:r w:rsidRPr="00F32D92">
              <w:rPr>
                <w:rFonts w:cs="Arial"/>
                <w:sz w:val="20"/>
                <w:szCs w:val="20"/>
              </w:rPr>
              <w:t>Total</w:t>
            </w:r>
          </w:p>
        </w:tc>
        <w:tc>
          <w:tcPr>
            <w:tcW w:w="1134" w:type="dxa"/>
            <w:tcBorders>
              <w:left w:val="single" w:sz="4" w:space="0" w:color="auto"/>
              <w:bottom w:val="single" w:sz="4" w:space="0" w:color="auto"/>
            </w:tcBorders>
            <w:noWrap/>
          </w:tcPr>
          <w:p w14:paraId="4F0F0073" w14:textId="77777777" w:rsidR="00AB6753" w:rsidRPr="00F32D92" w:rsidRDefault="00AB6753" w:rsidP="002D1EA4">
            <w:pPr>
              <w:rPr>
                <w:rFonts w:cs="Arial"/>
                <w:sz w:val="20"/>
                <w:szCs w:val="20"/>
              </w:rPr>
            </w:pPr>
            <w:r w:rsidRPr="00F32D92">
              <w:rPr>
                <w:rFonts w:cs="Arial"/>
                <w:b/>
                <w:bCs/>
                <w:color w:val="000000"/>
                <w:sz w:val="20"/>
                <w:szCs w:val="20"/>
              </w:rPr>
              <w:t>1</w:t>
            </w:r>
            <w:r>
              <w:rPr>
                <w:rFonts w:cs="Arial"/>
                <w:b/>
                <w:bCs/>
                <w:color w:val="000000"/>
                <w:sz w:val="20"/>
                <w:szCs w:val="20"/>
              </w:rPr>
              <w:t>,</w:t>
            </w:r>
            <w:r w:rsidRPr="00F32D92">
              <w:rPr>
                <w:rFonts w:cs="Arial"/>
                <w:b/>
                <w:bCs/>
                <w:color w:val="000000"/>
                <w:sz w:val="20"/>
                <w:szCs w:val="20"/>
              </w:rPr>
              <w:t>903</w:t>
            </w:r>
          </w:p>
        </w:tc>
        <w:tc>
          <w:tcPr>
            <w:tcW w:w="1134" w:type="dxa"/>
            <w:tcBorders>
              <w:bottom w:val="single" w:sz="4" w:space="0" w:color="auto"/>
            </w:tcBorders>
            <w:noWrap/>
          </w:tcPr>
          <w:p w14:paraId="0D912D13" w14:textId="77777777" w:rsidR="00AB6753" w:rsidRPr="00F32D92" w:rsidRDefault="00AB6753" w:rsidP="002D1EA4">
            <w:pPr>
              <w:rPr>
                <w:rFonts w:cs="Arial"/>
                <w:sz w:val="20"/>
                <w:szCs w:val="20"/>
              </w:rPr>
            </w:pPr>
            <w:r w:rsidRPr="00F32D92">
              <w:rPr>
                <w:rFonts w:cs="Arial"/>
                <w:b/>
                <w:bCs/>
                <w:color w:val="000000"/>
                <w:sz w:val="20"/>
                <w:szCs w:val="20"/>
              </w:rPr>
              <w:t>416</w:t>
            </w:r>
          </w:p>
        </w:tc>
        <w:tc>
          <w:tcPr>
            <w:tcW w:w="1418" w:type="dxa"/>
            <w:tcBorders>
              <w:bottom w:val="single" w:sz="4" w:space="0" w:color="auto"/>
              <w:right w:val="single" w:sz="4" w:space="0" w:color="auto"/>
            </w:tcBorders>
            <w:noWrap/>
          </w:tcPr>
          <w:p w14:paraId="157AD798" w14:textId="77777777" w:rsidR="00AB6753" w:rsidRPr="00F32D92" w:rsidRDefault="00AB6753" w:rsidP="002D1EA4">
            <w:pPr>
              <w:rPr>
                <w:rFonts w:cs="Arial"/>
                <w:sz w:val="20"/>
                <w:szCs w:val="20"/>
              </w:rPr>
            </w:pPr>
            <w:r w:rsidRPr="00F32D92">
              <w:rPr>
                <w:rFonts w:cs="Arial"/>
                <w:b/>
                <w:bCs/>
                <w:color w:val="000000"/>
                <w:sz w:val="20"/>
                <w:szCs w:val="20"/>
              </w:rPr>
              <w:t>2</w:t>
            </w:r>
            <w:r>
              <w:rPr>
                <w:rFonts w:cs="Arial"/>
                <w:b/>
                <w:bCs/>
                <w:color w:val="000000"/>
                <w:sz w:val="20"/>
                <w:szCs w:val="20"/>
              </w:rPr>
              <w:t>,</w:t>
            </w:r>
            <w:r w:rsidRPr="00F32D92">
              <w:rPr>
                <w:rFonts w:cs="Arial"/>
                <w:b/>
                <w:bCs/>
                <w:color w:val="000000"/>
                <w:sz w:val="20"/>
                <w:szCs w:val="20"/>
              </w:rPr>
              <w:t>319</w:t>
            </w:r>
          </w:p>
        </w:tc>
        <w:tc>
          <w:tcPr>
            <w:tcW w:w="1134" w:type="dxa"/>
            <w:tcBorders>
              <w:left w:val="single" w:sz="4" w:space="0" w:color="auto"/>
              <w:bottom w:val="single" w:sz="4" w:space="0" w:color="auto"/>
            </w:tcBorders>
            <w:noWrap/>
          </w:tcPr>
          <w:p w14:paraId="24ADA3B5" w14:textId="77777777" w:rsidR="00AB6753" w:rsidRPr="00F32D92" w:rsidRDefault="00AB6753" w:rsidP="002D1EA4">
            <w:pPr>
              <w:rPr>
                <w:rFonts w:cs="Arial"/>
                <w:sz w:val="20"/>
                <w:szCs w:val="20"/>
              </w:rPr>
            </w:pPr>
            <w:r w:rsidRPr="00F32D92">
              <w:rPr>
                <w:rFonts w:cs="Arial"/>
                <w:b/>
                <w:bCs/>
                <w:color w:val="000000"/>
                <w:sz w:val="20"/>
                <w:szCs w:val="20"/>
              </w:rPr>
              <w:t>38</w:t>
            </w:r>
          </w:p>
        </w:tc>
        <w:tc>
          <w:tcPr>
            <w:tcW w:w="1276" w:type="dxa"/>
            <w:tcBorders>
              <w:bottom w:val="single" w:sz="4" w:space="0" w:color="auto"/>
            </w:tcBorders>
            <w:noWrap/>
          </w:tcPr>
          <w:p w14:paraId="346E2727" w14:textId="77777777" w:rsidR="00AB6753" w:rsidRPr="00F32D92" w:rsidRDefault="00AB6753" w:rsidP="002D1EA4">
            <w:pPr>
              <w:rPr>
                <w:rFonts w:cs="Arial"/>
                <w:sz w:val="20"/>
                <w:szCs w:val="20"/>
              </w:rPr>
            </w:pPr>
            <w:r w:rsidRPr="00F32D92">
              <w:rPr>
                <w:rFonts w:cs="Arial"/>
                <w:b/>
                <w:bCs/>
                <w:color w:val="000000"/>
                <w:sz w:val="20"/>
                <w:szCs w:val="20"/>
              </w:rPr>
              <w:t>9</w:t>
            </w:r>
          </w:p>
        </w:tc>
        <w:tc>
          <w:tcPr>
            <w:tcW w:w="1189" w:type="dxa"/>
            <w:tcBorders>
              <w:bottom w:val="single" w:sz="4" w:space="0" w:color="auto"/>
              <w:right w:val="single" w:sz="4" w:space="0" w:color="auto"/>
            </w:tcBorders>
            <w:noWrap/>
          </w:tcPr>
          <w:p w14:paraId="00E0D931" w14:textId="77777777" w:rsidR="00AB6753" w:rsidRPr="00F32D92" w:rsidRDefault="00AB6753" w:rsidP="002D1EA4">
            <w:pPr>
              <w:rPr>
                <w:rFonts w:cs="Arial"/>
                <w:sz w:val="20"/>
                <w:szCs w:val="20"/>
              </w:rPr>
            </w:pPr>
            <w:r w:rsidRPr="00F32D92">
              <w:rPr>
                <w:rFonts w:cs="Arial"/>
                <w:b/>
                <w:bCs/>
                <w:color w:val="000000"/>
                <w:sz w:val="20"/>
                <w:szCs w:val="20"/>
              </w:rPr>
              <w:t>47</w:t>
            </w:r>
          </w:p>
        </w:tc>
        <w:tc>
          <w:tcPr>
            <w:tcW w:w="706" w:type="dxa"/>
            <w:tcBorders>
              <w:left w:val="single" w:sz="4" w:space="0" w:color="auto"/>
              <w:bottom w:val="single" w:sz="4" w:space="0" w:color="auto"/>
              <w:right w:val="single" w:sz="4" w:space="0" w:color="666666" w:themeColor="text1" w:themeTint="99"/>
            </w:tcBorders>
          </w:tcPr>
          <w:p w14:paraId="4CF8CDFE" w14:textId="77777777" w:rsidR="00AB6753" w:rsidRPr="00F32D92" w:rsidRDefault="00AB6753" w:rsidP="002D1EA4">
            <w:pPr>
              <w:rPr>
                <w:rFonts w:cs="Arial"/>
                <w:sz w:val="20"/>
                <w:szCs w:val="20"/>
              </w:rPr>
            </w:pPr>
            <w:r w:rsidRPr="00F32D92">
              <w:rPr>
                <w:rFonts w:cs="Arial"/>
                <w:b/>
                <w:bCs/>
                <w:color w:val="000000"/>
                <w:sz w:val="20"/>
                <w:szCs w:val="20"/>
              </w:rPr>
              <w:t>2</w:t>
            </w:r>
            <w:r>
              <w:rPr>
                <w:rFonts w:cs="Arial"/>
                <w:b/>
                <w:bCs/>
                <w:color w:val="000000"/>
                <w:sz w:val="20"/>
                <w:szCs w:val="20"/>
              </w:rPr>
              <w:t>,</w:t>
            </w:r>
            <w:r w:rsidRPr="00F32D92">
              <w:rPr>
                <w:rFonts w:cs="Arial"/>
                <w:b/>
                <w:bCs/>
                <w:color w:val="000000"/>
                <w:sz w:val="20"/>
                <w:szCs w:val="20"/>
              </w:rPr>
              <w:t>366</w:t>
            </w:r>
          </w:p>
        </w:tc>
      </w:tr>
    </w:tbl>
    <w:p w14:paraId="1FAD2DC4" w14:textId="77777777" w:rsidR="00AB6753" w:rsidRPr="00123D6C" w:rsidRDefault="00AB6753" w:rsidP="00AB6753">
      <w:pPr>
        <w:autoSpaceDE w:val="0"/>
        <w:autoSpaceDN w:val="0"/>
        <w:adjustRightInd w:val="0"/>
        <w:spacing w:before="200" w:line="221" w:lineRule="atLeast"/>
        <w:ind w:right="-164"/>
        <w:rPr>
          <w:sz w:val="20"/>
          <w:szCs w:val="20"/>
        </w:rPr>
      </w:pPr>
      <w:bookmarkStart w:id="295" w:name="_Toc5705969"/>
      <w:r w:rsidRPr="00123D6C">
        <w:rPr>
          <w:sz w:val="20"/>
          <w:szCs w:val="20"/>
        </w:rPr>
        <w:t>*The Secretary has been excluded from staffing figures for 2019</w:t>
      </w:r>
      <w:r>
        <w:rPr>
          <w:sz w:val="20"/>
          <w:szCs w:val="20"/>
        </w:rPr>
        <w:t>–</w:t>
      </w:r>
      <w:r w:rsidRPr="00123D6C">
        <w:rPr>
          <w:sz w:val="20"/>
          <w:szCs w:val="20"/>
        </w:rPr>
        <w:t>20 as a non-APS employee.</w:t>
      </w:r>
    </w:p>
    <w:p w14:paraId="51C16FBA" w14:textId="77777777" w:rsidR="00AB6753" w:rsidRPr="00A050FC" w:rsidRDefault="00AB6753" w:rsidP="00AB6753">
      <w:pPr>
        <w:rPr>
          <w:rFonts w:ascii="Arial Narrow" w:hAnsi="Arial Narrow" w:cs="Calibri"/>
          <w:b/>
          <w:sz w:val="20"/>
          <w:szCs w:val="20"/>
        </w:rPr>
      </w:pPr>
      <w:r>
        <w:rPr>
          <w:rFonts w:ascii="Arial Narrow" w:hAnsi="Arial Narrow" w:cs="Calibri"/>
          <w:b/>
          <w:sz w:val="20"/>
          <w:szCs w:val="20"/>
        </w:rPr>
        <w:lastRenderedPageBreak/>
        <w:t xml:space="preserve">Table F-14 </w:t>
      </w:r>
      <w:r w:rsidRPr="00A050FC">
        <w:rPr>
          <w:rFonts w:ascii="Arial Narrow" w:hAnsi="Arial Narrow" w:cs="Calibri"/>
          <w:b/>
          <w:sz w:val="20"/>
          <w:szCs w:val="20"/>
        </w:rPr>
        <w:t>17AG (4)(b)(</w:t>
      </w:r>
      <w:proofErr w:type="spellStart"/>
      <w:r w:rsidRPr="00A050FC">
        <w:rPr>
          <w:rFonts w:ascii="Arial Narrow" w:hAnsi="Arial Narrow" w:cs="Calibri"/>
          <w:b/>
          <w:sz w:val="20"/>
          <w:szCs w:val="20"/>
        </w:rPr>
        <w:t>i</w:t>
      </w:r>
      <w:proofErr w:type="spellEnd"/>
      <w:r w:rsidRPr="00A050FC">
        <w:rPr>
          <w:rFonts w:ascii="Arial Narrow" w:hAnsi="Arial Narrow" w:cs="Calibri"/>
          <w:b/>
          <w:sz w:val="20"/>
          <w:szCs w:val="20"/>
        </w:rPr>
        <w:t>) – (iii) — Australian Public Service Act Employees by full-time and part-time Status Previous Report Period (2018–19)</w:t>
      </w:r>
      <w:bookmarkEnd w:id="295"/>
    </w:p>
    <w:tbl>
      <w:tblPr>
        <w:tblW w:w="9642" w:type="dxa"/>
        <w:jc w:val="center"/>
        <w:tblLook w:val="04A0" w:firstRow="1" w:lastRow="0" w:firstColumn="1" w:lastColumn="0" w:noHBand="0" w:noVBand="1"/>
        <w:tblCaption w:val="Table F-14 17AG (4)(b)(i)–(iii) Australian Public Service Act Employees by full-time and part-time Status"/>
        <w:tblDescription w:val="Table 17AG (4)(b)(i)–(iii) Australian Public Service Act Employees by full-time and part-time Status. Previous Report Period (2018-19)"/>
      </w:tblPr>
      <w:tblGrid>
        <w:gridCol w:w="1696"/>
        <w:gridCol w:w="896"/>
        <w:gridCol w:w="1134"/>
        <w:gridCol w:w="1423"/>
        <w:gridCol w:w="896"/>
        <w:gridCol w:w="1088"/>
        <w:gridCol w:w="1848"/>
        <w:gridCol w:w="717"/>
      </w:tblGrid>
      <w:tr w:rsidR="00AB6753" w:rsidRPr="00F32D92" w14:paraId="44E7E9B8" w14:textId="77777777" w:rsidTr="002D1EA4">
        <w:trPr>
          <w:trHeight w:val="300"/>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04E80ABA" w14:textId="77777777" w:rsidR="00AB6753" w:rsidRPr="00F32D92" w:rsidRDefault="00AB6753" w:rsidP="002D1EA4">
            <w:pPr>
              <w:rPr>
                <w:rFonts w:cs="Arial"/>
                <w:sz w:val="20"/>
                <w:szCs w:val="20"/>
              </w:rPr>
            </w:pPr>
          </w:p>
        </w:tc>
        <w:tc>
          <w:tcPr>
            <w:tcW w:w="345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4F03CC3" w14:textId="77777777" w:rsidR="00AB6753" w:rsidRPr="00F32D92" w:rsidRDefault="00AB6753" w:rsidP="002D1EA4">
            <w:pPr>
              <w:rPr>
                <w:rFonts w:cs="Arial"/>
                <w:sz w:val="20"/>
                <w:szCs w:val="20"/>
              </w:rPr>
            </w:pPr>
            <w:r w:rsidRPr="00F32D92">
              <w:rPr>
                <w:rFonts w:cs="Arial"/>
                <w:sz w:val="20"/>
                <w:szCs w:val="20"/>
              </w:rPr>
              <w:t>Ongoing</w:t>
            </w:r>
          </w:p>
        </w:tc>
        <w:tc>
          <w:tcPr>
            <w:tcW w:w="383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1F57F1B7" w14:textId="77777777" w:rsidR="00AB6753" w:rsidRPr="00F32D92" w:rsidRDefault="00AB6753" w:rsidP="002D1EA4">
            <w:pPr>
              <w:rPr>
                <w:rFonts w:cs="Arial"/>
                <w:sz w:val="20"/>
                <w:szCs w:val="20"/>
              </w:rPr>
            </w:pPr>
            <w:r w:rsidRPr="00F32D92">
              <w:rPr>
                <w:rFonts w:cs="Arial"/>
                <w:sz w:val="20"/>
                <w:szCs w:val="20"/>
              </w:rPr>
              <w:t>Non-Ongoing</w:t>
            </w:r>
          </w:p>
        </w:tc>
        <w:tc>
          <w:tcPr>
            <w:tcW w:w="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E0AA0A" w14:textId="77777777" w:rsidR="00AB6753" w:rsidRPr="00F32D92" w:rsidRDefault="00AB6753" w:rsidP="002D1EA4">
            <w:pPr>
              <w:rPr>
                <w:rFonts w:cs="Arial"/>
                <w:sz w:val="20"/>
                <w:szCs w:val="20"/>
              </w:rPr>
            </w:pPr>
            <w:r w:rsidRPr="00F32D92">
              <w:rPr>
                <w:rFonts w:cs="Arial"/>
                <w:sz w:val="20"/>
                <w:szCs w:val="20"/>
              </w:rPr>
              <w:t>Total</w:t>
            </w:r>
          </w:p>
        </w:tc>
      </w:tr>
      <w:tr w:rsidR="00AB6753" w:rsidRPr="00F32D92" w14:paraId="5B9C3B15" w14:textId="77777777" w:rsidTr="002D1EA4">
        <w:trPr>
          <w:trHeight w:val="615"/>
          <w:jc w:val="center"/>
        </w:trPr>
        <w:tc>
          <w:tcPr>
            <w:tcW w:w="1696" w:type="dxa"/>
            <w:tcBorders>
              <w:top w:val="single" w:sz="4" w:space="0" w:color="auto"/>
              <w:left w:val="single" w:sz="4" w:space="0" w:color="666666" w:themeColor="text1" w:themeTint="99"/>
              <w:right w:val="single" w:sz="4" w:space="0" w:color="auto"/>
            </w:tcBorders>
            <w:shd w:val="clear" w:color="auto" w:fill="BFBFBF" w:themeFill="background1" w:themeFillShade="BF"/>
            <w:noWrap/>
            <w:hideMark/>
          </w:tcPr>
          <w:p w14:paraId="0FFE1881" w14:textId="77777777" w:rsidR="00AB6753" w:rsidRPr="00F32D92" w:rsidRDefault="00AB6753" w:rsidP="002D1EA4">
            <w:pPr>
              <w:rPr>
                <w:rFonts w:cs="Arial"/>
                <w:sz w:val="20"/>
                <w:szCs w:val="20"/>
              </w:rPr>
            </w:pPr>
          </w:p>
        </w:tc>
        <w:tc>
          <w:tcPr>
            <w:tcW w:w="896" w:type="dxa"/>
            <w:tcBorders>
              <w:top w:val="single" w:sz="4" w:space="0" w:color="auto"/>
              <w:left w:val="single" w:sz="4" w:space="0" w:color="auto"/>
            </w:tcBorders>
            <w:shd w:val="clear" w:color="auto" w:fill="BFBFBF" w:themeFill="background1" w:themeFillShade="BF"/>
            <w:noWrap/>
            <w:hideMark/>
          </w:tcPr>
          <w:p w14:paraId="21FECC7B" w14:textId="77777777" w:rsidR="00AB6753" w:rsidRPr="00F32D92" w:rsidRDefault="00AB6753" w:rsidP="002D1EA4">
            <w:pPr>
              <w:rPr>
                <w:rFonts w:cs="Arial"/>
                <w:sz w:val="20"/>
                <w:szCs w:val="20"/>
              </w:rPr>
            </w:pPr>
            <w:r w:rsidRPr="00F32D92">
              <w:rPr>
                <w:rFonts w:cs="Arial"/>
                <w:sz w:val="20"/>
                <w:szCs w:val="20"/>
              </w:rPr>
              <w:t>Full-time</w:t>
            </w:r>
          </w:p>
        </w:tc>
        <w:tc>
          <w:tcPr>
            <w:tcW w:w="1134" w:type="dxa"/>
            <w:tcBorders>
              <w:top w:val="single" w:sz="4" w:space="0" w:color="auto"/>
            </w:tcBorders>
            <w:shd w:val="clear" w:color="auto" w:fill="BFBFBF" w:themeFill="background1" w:themeFillShade="BF"/>
            <w:noWrap/>
            <w:hideMark/>
          </w:tcPr>
          <w:p w14:paraId="46F74654" w14:textId="77777777" w:rsidR="00AB6753" w:rsidRPr="00F32D92" w:rsidRDefault="00AB6753" w:rsidP="002D1EA4">
            <w:pPr>
              <w:rPr>
                <w:rFonts w:cs="Arial"/>
                <w:sz w:val="20"/>
                <w:szCs w:val="20"/>
              </w:rPr>
            </w:pPr>
            <w:r w:rsidRPr="00F32D92">
              <w:rPr>
                <w:rFonts w:cs="Arial"/>
                <w:sz w:val="20"/>
                <w:szCs w:val="20"/>
              </w:rPr>
              <w:t>Part-time</w:t>
            </w:r>
          </w:p>
        </w:tc>
        <w:tc>
          <w:tcPr>
            <w:tcW w:w="1423" w:type="dxa"/>
            <w:tcBorders>
              <w:top w:val="single" w:sz="4" w:space="0" w:color="auto"/>
              <w:right w:val="single" w:sz="4" w:space="0" w:color="auto"/>
            </w:tcBorders>
            <w:shd w:val="clear" w:color="auto" w:fill="BFBFBF" w:themeFill="background1" w:themeFillShade="BF"/>
            <w:noWrap/>
            <w:hideMark/>
          </w:tcPr>
          <w:p w14:paraId="1751CE79" w14:textId="77777777" w:rsidR="00AB6753" w:rsidRPr="00F32D92" w:rsidRDefault="00AB6753" w:rsidP="002D1EA4">
            <w:pPr>
              <w:rPr>
                <w:rFonts w:cs="Arial"/>
                <w:sz w:val="20"/>
                <w:szCs w:val="20"/>
              </w:rPr>
            </w:pPr>
            <w:r w:rsidRPr="00F32D92">
              <w:rPr>
                <w:rFonts w:cs="Arial"/>
                <w:sz w:val="20"/>
                <w:szCs w:val="20"/>
              </w:rPr>
              <w:t>Total Ongoing</w:t>
            </w:r>
          </w:p>
        </w:tc>
        <w:tc>
          <w:tcPr>
            <w:tcW w:w="896" w:type="dxa"/>
            <w:tcBorders>
              <w:top w:val="single" w:sz="4" w:space="0" w:color="auto"/>
              <w:left w:val="single" w:sz="4" w:space="0" w:color="auto"/>
            </w:tcBorders>
            <w:shd w:val="clear" w:color="auto" w:fill="BFBFBF" w:themeFill="background1" w:themeFillShade="BF"/>
            <w:noWrap/>
            <w:hideMark/>
          </w:tcPr>
          <w:p w14:paraId="386AB626" w14:textId="77777777" w:rsidR="00AB6753" w:rsidRPr="00F32D92" w:rsidRDefault="00AB6753" w:rsidP="002D1EA4">
            <w:pPr>
              <w:rPr>
                <w:rFonts w:cs="Arial"/>
                <w:sz w:val="20"/>
                <w:szCs w:val="20"/>
              </w:rPr>
            </w:pPr>
            <w:r w:rsidRPr="00F32D92">
              <w:rPr>
                <w:rFonts w:cs="Arial"/>
                <w:sz w:val="20"/>
                <w:szCs w:val="20"/>
              </w:rPr>
              <w:t>Full-time</w:t>
            </w:r>
          </w:p>
        </w:tc>
        <w:tc>
          <w:tcPr>
            <w:tcW w:w="1088" w:type="dxa"/>
            <w:tcBorders>
              <w:top w:val="single" w:sz="4" w:space="0" w:color="auto"/>
            </w:tcBorders>
            <w:shd w:val="clear" w:color="auto" w:fill="BFBFBF" w:themeFill="background1" w:themeFillShade="BF"/>
            <w:noWrap/>
            <w:hideMark/>
          </w:tcPr>
          <w:p w14:paraId="70DAA080" w14:textId="77777777" w:rsidR="00AB6753" w:rsidRPr="00F32D92" w:rsidRDefault="00AB6753" w:rsidP="002D1EA4">
            <w:pPr>
              <w:rPr>
                <w:rFonts w:cs="Arial"/>
                <w:sz w:val="20"/>
                <w:szCs w:val="20"/>
              </w:rPr>
            </w:pPr>
            <w:r w:rsidRPr="00F32D92">
              <w:rPr>
                <w:rFonts w:cs="Arial"/>
                <w:sz w:val="20"/>
                <w:szCs w:val="20"/>
              </w:rPr>
              <w:t>Part-time</w:t>
            </w:r>
          </w:p>
        </w:tc>
        <w:tc>
          <w:tcPr>
            <w:tcW w:w="1848" w:type="dxa"/>
            <w:tcBorders>
              <w:top w:val="single" w:sz="4" w:space="0" w:color="auto"/>
              <w:right w:val="single" w:sz="4" w:space="0" w:color="auto"/>
            </w:tcBorders>
            <w:shd w:val="clear" w:color="auto" w:fill="BFBFBF" w:themeFill="background1" w:themeFillShade="BF"/>
            <w:noWrap/>
            <w:hideMark/>
          </w:tcPr>
          <w:p w14:paraId="0E4C4065" w14:textId="77777777" w:rsidR="00AB6753" w:rsidRPr="00F32D92" w:rsidRDefault="00AB6753" w:rsidP="002D1EA4">
            <w:pPr>
              <w:rPr>
                <w:rFonts w:cs="Arial"/>
                <w:sz w:val="20"/>
                <w:szCs w:val="20"/>
              </w:rPr>
            </w:pPr>
            <w:r w:rsidRPr="00F32D92">
              <w:rPr>
                <w:rFonts w:cs="Arial"/>
                <w:sz w:val="20"/>
                <w:szCs w:val="20"/>
              </w:rPr>
              <w:t>Total Non-Ongoing</w:t>
            </w:r>
          </w:p>
        </w:tc>
        <w:tc>
          <w:tcPr>
            <w:tcW w:w="661" w:type="dxa"/>
            <w:tcBorders>
              <w:top w:val="single" w:sz="4" w:space="0" w:color="auto"/>
              <w:left w:val="single" w:sz="4" w:space="0" w:color="auto"/>
              <w:right w:val="single" w:sz="4" w:space="0" w:color="666666" w:themeColor="text1" w:themeTint="99"/>
            </w:tcBorders>
            <w:shd w:val="clear" w:color="auto" w:fill="BFBFBF" w:themeFill="background1" w:themeFillShade="BF"/>
          </w:tcPr>
          <w:p w14:paraId="1E4F19C4" w14:textId="77777777" w:rsidR="00AB6753" w:rsidRPr="00F32D92" w:rsidRDefault="00AB6753" w:rsidP="002D1EA4">
            <w:pPr>
              <w:rPr>
                <w:rFonts w:cs="Arial"/>
                <w:sz w:val="20"/>
                <w:szCs w:val="20"/>
              </w:rPr>
            </w:pPr>
          </w:p>
        </w:tc>
      </w:tr>
      <w:tr w:rsidR="00AB6753" w:rsidRPr="00F32D92" w14:paraId="1D46E3C5" w14:textId="77777777" w:rsidTr="002D1EA4">
        <w:trPr>
          <w:trHeight w:val="315"/>
          <w:jc w:val="center"/>
        </w:trPr>
        <w:tc>
          <w:tcPr>
            <w:tcW w:w="1696" w:type="dxa"/>
            <w:tcBorders>
              <w:left w:val="single" w:sz="4" w:space="0" w:color="666666" w:themeColor="text1" w:themeTint="99"/>
              <w:right w:val="single" w:sz="4" w:space="0" w:color="auto"/>
            </w:tcBorders>
            <w:vAlign w:val="center"/>
          </w:tcPr>
          <w:p w14:paraId="13938E64" w14:textId="77777777" w:rsidR="00AB6753" w:rsidRPr="00F32D92" w:rsidRDefault="00AB6753" w:rsidP="002D1EA4">
            <w:pPr>
              <w:rPr>
                <w:rFonts w:cs="Arial"/>
                <w:sz w:val="20"/>
                <w:szCs w:val="20"/>
              </w:rPr>
            </w:pPr>
            <w:r w:rsidRPr="00F32D92">
              <w:rPr>
                <w:rFonts w:cs="Arial"/>
                <w:sz w:val="20"/>
                <w:szCs w:val="20"/>
              </w:rPr>
              <w:t>Secretary</w:t>
            </w:r>
          </w:p>
        </w:tc>
        <w:tc>
          <w:tcPr>
            <w:tcW w:w="896" w:type="dxa"/>
            <w:tcBorders>
              <w:left w:val="single" w:sz="4" w:space="0" w:color="auto"/>
            </w:tcBorders>
            <w:noWrap/>
            <w:vAlign w:val="center"/>
          </w:tcPr>
          <w:p w14:paraId="1ECA4C2D" w14:textId="77777777" w:rsidR="00AB6753" w:rsidRPr="00F32D92" w:rsidRDefault="00AB6753" w:rsidP="002D1EA4">
            <w:pPr>
              <w:rPr>
                <w:rFonts w:cs="Arial"/>
                <w:sz w:val="20"/>
                <w:szCs w:val="20"/>
              </w:rPr>
            </w:pPr>
            <w:r w:rsidRPr="00F32D92">
              <w:rPr>
                <w:rFonts w:cs="Arial"/>
                <w:color w:val="000000"/>
                <w:sz w:val="20"/>
                <w:szCs w:val="20"/>
              </w:rPr>
              <w:t>1</w:t>
            </w:r>
          </w:p>
        </w:tc>
        <w:tc>
          <w:tcPr>
            <w:tcW w:w="1134" w:type="dxa"/>
            <w:noWrap/>
            <w:vAlign w:val="center"/>
          </w:tcPr>
          <w:p w14:paraId="51D91684" w14:textId="77777777" w:rsidR="00AB6753" w:rsidRPr="00F32D92" w:rsidRDefault="00AB6753" w:rsidP="002D1EA4">
            <w:pPr>
              <w:rPr>
                <w:rFonts w:cs="Arial"/>
                <w:sz w:val="20"/>
                <w:szCs w:val="20"/>
              </w:rPr>
            </w:pPr>
            <w:r w:rsidRPr="00F32D92">
              <w:rPr>
                <w:rFonts w:cs="Arial"/>
                <w:sz w:val="20"/>
                <w:szCs w:val="20"/>
              </w:rPr>
              <w:t>0</w:t>
            </w:r>
          </w:p>
        </w:tc>
        <w:tc>
          <w:tcPr>
            <w:tcW w:w="1423" w:type="dxa"/>
            <w:tcBorders>
              <w:right w:val="single" w:sz="4" w:space="0" w:color="auto"/>
            </w:tcBorders>
            <w:noWrap/>
            <w:vAlign w:val="center"/>
          </w:tcPr>
          <w:p w14:paraId="10419A53" w14:textId="77777777" w:rsidR="00AB6753" w:rsidRPr="00F32D92" w:rsidRDefault="00AB6753" w:rsidP="002D1EA4">
            <w:pPr>
              <w:rPr>
                <w:rFonts w:cs="Arial"/>
                <w:sz w:val="20"/>
                <w:szCs w:val="20"/>
              </w:rPr>
            </w:pPr>
            <w:r w:rsidRPr="00F32D92">
              <w:rPr>
                <w:rFonts w:cs="Arial"/>
                <w:color w:val="000000"/>
                <w:sz w:val="20"/>
                <w:szCs w:val="20"/>
              </w:rPr>
              <w:t>1</w:t>
            </w:r>
          </w:p>
        </w:tc>
        <w:tc>
          <w:tcPr>
            <w:tcW w:w="896" w:type="dxa"/>
            <w:tcBorders>
              <w:left w:val="single" w:sz="4" w:space="0" w:color="auto"/>
            </w:tcBorders>
            <w:noWrap/>
            <w:vAlign w:val="center"/>
          </w:tcPr>
          <w:p w14:paraId="3FCA29DC" w14:textId="77777777" w:rsidR="00AB6753" w:rsidRPr="00F32D92" w:rsidRDefault="00AB6753" w:rsidP="002D1EA4">
            <w:pPr>
              <w:rPr>
                <w:rFonts w:cs="Arial"/>
                <w:sz w:val="20"/>
                <w:szCs w:val="20"/>
              </w:rPr>
            </w:pPr>
            <w:r w:rsidRPr="00F32D92">
              <w:rPr>
                <w:rFonts w:cs="Arial"/>
                <w:sz w:val="20"/>
                <w:szCs w:val="20"/>
              </w:rPr>
              <w:t>0</w:t>
            </w:r>
          </w:p>
        </w:tc>
        <w:tc>
          <w:tcPr>
            <w:tcW w:w="1088" w:type="dxa"/>
            <w:noWrap/>
            <w:vAlign w:val="center"/>
          </w:tcPr>
          <w:p w14:paraId="49B4B03E" w14:textId="77777777" w:rsidR="00AB6753" w:rsidRPr="00F32D92" w:rsidRDefault="00AB6753" w:rsidP="002D1EA4">
            <w:pPr>
              <w:rPr>
                <w:rFonts w:cs="Arial"/>
                <w:sz w:val="20"/>
                <w:szCs w:val="20"/>
              </w:rPr>
            </w:pPr>
            <w:r w:rsidRPr="00F32D92">
              <w:rPr>
                <w:rFonts w:cs="Arial"/>
                <w:sz w:val="20"/>
                <w:szCs w:val="20"/>
              </w:rPr>
              <w:t>0</w:t>
            </w:r>
          </w:p>
        </w:tc>
        <w:tc>
          <w:tcPr>
            <w:tcW w:w="1848" w:type="dxa"/>
            <w:tcBorders>
              <w:right w:val="single" w:sz="4" w:space="0" w:color="auto"/>
            </w:tcBorders>
            <w:noWrap/>
            <w:vAlign w:val="center"/>
          </w:tcPr>
          <w:p w14:paraId="33DA13C4" w14:textId="77777777" w:rsidR="00AB6753" w:rsidRPr="00F32D92" w:rsidRDefault="00AB6753" w:rsidP="002D1EA4">
            <w:pPr>
              <w:rPr>
                <w:rFonts w:cs="Arial"/>
                <w:sz w:val="20"/>
                <w:szCs w:val="20"/>
              </w:rPr>
            </w:pPr>
            <w:r w:rsidRPr="00F32D92">
              <w:rPr>
                <w:rFonts w:cs="Arial"/>
                <w:sz w:val="20"/>
                <w:szCs w:val="20"/>
              </w:rPr>
              <w:t>0</w:t>
            </w:r>
          </w:p>
        </w:tc>
        <w:tc>
          <w:tcPr>
            <w:tcW w:w="661" w:type="dxa"/>
            <w:tcBorders>
              <w:left w:val="single" w:sz="4" w:space="0" w:color="auto"/>
              <w:right w:val="single" w:sz="4" w:space="0" w:color="666666" w:themeColor="text1" w:themeTint="99"/>
            </w:tcBorders>
            <w:vAlign w:val="center"/>
          </w:tcPr>
          <w:p w14:paraId="5035067E" w14:textId="77777777" w:rsidR="00AB6753" w:rsidRPr="00F32D92" w:rsidRDefault="00AB6753" w:rsidP="002D1EA4">
            <w:pPr>
              <w:rPr>
                <w:rFonts w:cs="Arial"/>
                <w:sz w:val="20"/>
                <w:szCs w:val="20"/>
              </w:rPr>
            </w:pPr>
            <w:r w:rsidRPr="00F32D92">
              <w:rPr>
                <w:rFonts w:cs="Arial"/>
                <w:color w:val="000000"/>
                <w:sz w:val="20"/>
                <w:szCs w:val="20"/>
              </w:rPr>
              <w:t>1</w:t>
            </w:r>
          </w:p>
        </w:tc>
      </w:tr>
      <w:tr w:rsidR="00AB6753" w:rsidRPr="00F32D92" w14:paraId="6CC6D710"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439CC7CB" w14:textId="77777777" w:rsidR="00AB6753" w:rsidRPr="00F32D92" w:rsidRDefault="00AB6753" w:rsidP="002D1EA4">
            <w:pPr>
              <w:rPr>
                <w:rFonts w:cs="Arial"/>
                <w:sz w:val="20"/>
                <w:szCs w:val="20"/>
              </w:rPr>
            </w:pPr>
            <w:r w:rsidRPr="00F32D92">
              <w:rPr>
                <w:rFonts w:cs="Arial"/>
                <w:sz w:val="20"/>
                <w:szCs w:val="20"/>
              </w:rPr>
              <w:t>SES 3</w:t>
            </w:r>
          </w:p>
        </w:tc>
        <w:tc>
          <w:tcPr>
            <w:tcW w:w="896" w:type="dxa"/>
            <w:tcBorders>
              <w:left w:val="single" w:sz="4" w:space="0" w:color="auto"/>
            </w:tcBorders>
            <w:noWrap/>
            <w:vAlign w:val="center"/>
          </w:tcPr>
          <w:p w14:paraId="70A99EAB" w14:textId="77777777" w:rsidR="00AB6753" w:rsidRPr="00F32D92" w:rsidRDefault="00AB6753" w:rsidP="002D1EA4">
            <w:pPr>
              <w:rPr>
                <w:rFonts w:cs="Arial"/>
                <w:sz w:val="20"/>
                <w:szCs w:val="20"/>
              </w:rPr>
            </w:pPr>
            <w:r w:rsidRPr="00F32D92">
              <w:rPr>
                <w:rFonts w:cs="Arial"/>
                <w:color w:val="000000"/>
                <w:sz w:val="20"/>
                <w:szCs w:val="20"/>
              </w:rPr>
              <w:t>4</w:t>
            </w:r>
          </w:p>
        </w:tc>
        <w:tc>
          <w:tcPr>
            <w:tcW w:w="1134" w:type="dxa"/>
            <w:noWrap/>
            <w:vAlign w:val="center"/>
            <w:hideMark/>
          </w:tcPr>
          <w:p w14:paraId="363903DA" w14:textId="77777777" w:rsidR="00AB6753" w:rsidRPr="00F32D92" w:rsidRDefault="00AB6753" w:rsidP="002D1EA4">
            <w:pPr>
              <w:rPr>
                <w:rFonts w:cs="Arial"/>
                <w:sz w:val="20"/>
                <w:szCs w:val="20"/>
              </w:rPr>
            </w:pPr>
            <w:r w:rsidRPr="00F32D92">
              <w:rPr>
                <w:rFonts w:cs="Arial"/>
                <w:sz w:val="20"/>
                <w:szCs w:val="20"/>
              </w:rPr>
              <w:t>0</w:t>
            </w:r>
          </w:p>
        </w:tc>
        <w:tc>
          <w:tcPr>
            <w:tcW w:w="1423" w:type="dxa"/>
            <w:tcBorders>
              <w:right w:val="single" w:sz="4" w:space="0" w:color="auto"/>
            </w:tcBorders>
            <w:noWrap/>
            <w:vAlign w:val="center"/>
            <w:hideMark/>
          </w:tcPr>
          <w:p w14:paraId="4455943E" w14:textId="77777777" w:rsidR="00AB6753" w:rsidRPr="00F32D92" w:rsidRDefault="00AB6753" w:rsidP="002D1EA4">
            <w:pPr>
              <w:rPr>
                <w:rFonts w:cs="Arial"/>
                <w:sz w:val="20"/>
                <w:szCs w:val="20"/>
              </w:rPr>
            </w:pPr>
            <w:r w:rsidRPr="00F32D92">
              <w:rPr>
                <w:rFonts w:cs="Arial"/>
                <w:color w:val="000000"/>
                <w:sz w:val="20"/>
                <w:szCs w:val="20"/>
              </w:rPr>
              <w:t>4</w:t>
            </w:r>
          </w:p>
        </w:tc>
        <w:tc>
          <w:tcPr>
            <w:tcW w:w="896" w:type="dxa"/>
            <w:tcBorders>
              <w:left w:val="single" w:sz="4" w:space="0" w:color="auto"/>
            </w:tcBorders>
            <w:noWrap/>
            <w:vAlign w:val="center"/>
            <w:hideMark/>
          </w:tcPr>
          <w:p w14:paraId="2224E465" w14:textId="77777777" w:rsidR="00AB6753" w:rsidRPr="00F32D92" w:rsidRDefault="00AB6753" w:rsidP="002D1EA4">
            <w:pPr>
              <w:rPr>
                <w:rFonts w:cs="Arial"/>
                <w:sz w:val="20"/>
                <w:szCs w:val="20"/>
              </w:rPr>
            </w:pPr>
            <w:r w:rsidRPr="00F32D92">
              <w:rPr>
                <w:rFonts w:cs="Arial"/>
                <w:sz w:val="20"/>
                <w:szCs w:val="20"/>
              </w:rPr>
              <w:t>0</w:t>
            </w:r>
          </w:p>
        </w:tc>
        <w:tc>
          <w:tcPr>
            <w:tcW w:w="1088" w:type="dxa"/>
            <w:noWrap/>
            <w:vAlign w:val="center"/>
            <w:hideMark/>
          </w:tcPr>
          <w:p w14:paraId="7C5AB04F" w14:textId="77777777" w:rsidR="00AB6753" w:rsidRPr="00F32D92" w:rsidRDefault="00AB6753" w:rsidP="002D1EA4">
            <w:pPr>
              <w:rPr>
                <w:rFonts w:cs="Arial"/>
                <w:sz w:val="20"/>
                <w:szCs w:val="20"/>
              </w:rPr>
            </w:pPr>
            <w:r w:rsidRPr="00F32D92">
              <w:rPr>
                <w:rFonts w:cs="Arial"/>
                <w:sz w:val="20"/>
                <w:szCs w:val="20"/>
              </w:rPr>
              <w:t>0</w:t>
            </w:r>
          </w:p>
        </w:tc>
        <w:tc>
          <w:tcPr>
            <w:tcW w:w="1848" w:type="dxa"/>
            <w:tcBorders>
              <w:right w:val="single" w:sz="4" w:space="0" w:color="auto"/>
            </w:tcBorders>
            <w:noWrap/>
            <w:vAlign w:val="center"/>
            <w:hideMark/>
          </w:tcPr>
          <w:p w14:paraId="3E2ABAB0" w14:textId="77777777" w:rsidR="00AB6753" w:rsidRPr="00F32D92" w:rsidRDefault="00AB6753" w:rsidP="002D1EA4">
            <w:pPr>
              <w:rPr>
                <w:rFonts w:cs="Arial"/>
                <w:sz w:val="20"/>
                <w:szCs w:val="20"/>
              </w:rPr>
            </w:pPr>
            <w:r w:rsidRPr="00F32D92">
              <w:rPr>
                <w:rFonts w:cs="Arial"/>
                <w:sz w:val="20"/>
                <w:szCs w:val="20"/>
              </w:rPr>
              <w:t>0</w:t>
            </w:r>
          </w:p>
        </w:tc>
        <w:tc>
          <w:tcPr>
            <w:tcW w:w="661" w:type="dxa"/>
            <w:tcBorders>
              <w:left w:val="single" w:sz="4" w:space="0" w:color="auto"/>
              <w:right w:val="single" w:sz="4" w:space="0" w:color="666666" w:themeColor="text1" w:themeTint="99"/>
            </w:tcBorders>
            <w:vAlign w:val="center"/>
          </w:tcPr>
          <w:p w14:paraId="0848D2AC" w14:textId="77777777" w:rsidR="00AB6753" w:rsidRPr="00F32D92" w:rsidRDefault="00AB6753" w:rsidP="002D1EA4">
            <w:pPr>
              <w:rPr>
                <w:rFonts w:cs="Arial"/>
                <w:sz w:val="20"/>
                <w:szCs w:val="20"/>
              </w:rPr>
            </w:pPr>
            <w:r w:rsidRPr="00F32D92">
              <w:rPr>
                <w:rFonts w:cs="Arial"/>
                <w:color w:val="000000"/>
                <w:sz w:val="20"/>
                <w:szCs w:val="20"/>
              </w:rPr>
              <w:t>4</w:t>
            </w:r>
          </w:p>
        </w:tc>
      </w:tr>
      <w:tr w:rsidR="00AB6753" w:rsidRPr="00F32D92" w14:paraId="03310E5B"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23358510" w14:textId="77777777" w:rsidR="00AB6753" w:rsidRPr="00F32D92" w:rsidRDefault="00AB6753" w:rsidP="002D1EA4">
            <w:pPr>
              <w:rPr>
                <w:rFonts w:cs="Arial"/>
                <w:sz w:val="20"/>
                <w:szCs w:val="20"/>
              </w:rPr>
            </w:pPr>
            <w:r w:rsidRPr="00F32D92">
              <w:rPr>
                <w:rFonts w:cs="Arial"/>
                <w:sz w:val="20"/>
                <w:szCs w:val="20"/>
              </w:rPr>
              <w:t>SES 2</w:t>
            </w:r>
          </w:p>
        </w:tc>
        <w:tc>
          <w:tcPr>
            <w:tcW w:w="896" w:type="dxa"/>
            <w:tcBorders>
              <w:left w:val="single" w:sz="4" w:space="0" w:color="auto"/>
            </w:tcBorders>
            <w:noWrap/>
            <w:vAlign w:val="center"/>
          </w:tcPr>
          <w:p w14:paraId="573E8137" w14:textId="77777777" w:rsidR="00AB6753" w:rsidRPr="00F32D92" w:rsidRDefault="00AB6753" w:rsidP="002D1EA4">
            <w:pPr>
              <w:rPr>
                <w:rFonts w:cs="Arial"/>
                <w:sz w:val="20"/>
                <w:szCs w:val="20"/>
              </w:rPr>
            </w:pPr>
            <w:r w:rsidRPr="00F32D92">
              <w:rPr>
                <w:rFonts w:cs="Arial"/>
                <w:color w:val="000000"/>
                <w:sz w:val="20"/>
                <w:szCs w:val="20"/>
              </w:rPr>
              <w:t>19</w:t>
            </w:r>
          </w:p>
        </w:tc>
        <w:tc>
          <w:tcPr>
            <w:tcW w:w="1134" w:type="dxa"/>
            <w:noWrap/>
            <w:vAlign w:val="center"/>
            <w:hideMark/>
          </w:tcPr>
          <w:p w14:paraId="13F002FC" w14:textId="77777777" w:rsidR="00AB6753" w:rsidRPr="00F32D92" w:rsidRDefault="00AB6753" w:rsidP="002D1EA4">
            <w:pPr>
              <w:rPr>
                <w:rFonts w:cs="Arial"/>
                <w:sz w:val="20"/>
                <w:szCs w:val="20"/>
              </w:rPr>
            </w:pPr>
            <w:r w:rsidRPr="00F32D92">
              <w:rPr>
                <w:rFonts w:cs="Arial"/>
                <w:sz w:val="20"/>
                <w:szCs w:val="20"/>
              </w:rPr>
              <w:t>0</w:t>
            </w:r>
          </w:p>
        </w:tc>
        <w:tc>
          <w:tcPr>
            <w:tcW w:w="1423" w:type="dxa"/>
            <w:tcBorders>
              <w:right w:val="single" w:sz="4" w:space="0" w:color="auto"/>
            </w:tcBorders>
            <w:noWrap/>
            <w:vAlign w:val="center"/>
            <w:hideMark/>
          </w:tcPr>
          <w:p w14:paraId="79AF3584" w14:textId="77777777" w:rsidR="00AB6753" w:rsidRPr="00F32D92" w:rsidRDefault="00AB6753" w:rsidP="002D1EA4">
            <w:pPr>
              <w:rPr>
                <w:rFonts w:cs="Arial"/>
                <w:sz w:val="20"/>
                <w:szCs w:val="20"/>
              </w:rPr>
            </w:pPr>
            <w:r w:rsidRPr="00F32D92">
              <w:rPr>
                <w:rFonts w:cs="Arial"/>
                <w:color w:val="000000"/>
                <w:sz w:val="20"/>
                <w:szCs w:val="20"/>
              </w:rPr>
              <w:t>19</w:t>
            </w:r>
          </w:p>
        </w:tc>
        <w:tc>
          <w:tcPr>
            <w:tcW w:w="896" w:type="dxa"/>
            <w:tcBorders>
              <w:left w:val="single" w:sz="4" w:space="0" w:color="auto"/>
            </w:tcBorders>
            <w:noWrap/>
            <w:vAlign w:val="center"/>
            <w:hideMark/>
          </w:tcPr>
          <w:p w14:paraId="51A4FD17" w14:textId="77777777" w:rsidR="00AB6753" w:rsidRPr="00F32D92" w:rsidRDefault="00AB6753" w:rsidP="002D1EA4">
            <w:pPr>
              <w:rPr>
                <w:rFonts w:cs="Arial"/>
                <w:sz w:val="20"/>
                <w:szCs w:val="20"/>
              </w:rPr>
            </w:pPr>
            <w:r w:rsidRPr="00F32D92">
              <w:rPr>
                <w:rFonts w:cs="Arial"/>
                <w:sz w:val="20"/>
                <w:szCs w:val="20"/>
              </w:rPr>
              <w:t>0</w:t>
            </w:r>
          </w:p>
        </w:tc>
        <w:tc>
          <w:tcPr>
            <w:tcW w:w="1088" w:type="dxa"/>
            <w:noWrap/>
            <w:vAlign w:val="center"/>
            <w:hideMark/>
          </w:tcPr>
          <w:p w14:paraId="418E4A2D" w14:textId="77777777" w:rsidR="00AB6753" w:rsidRPr="00F32D92" w:rsidRDefault="00AB6753" w:rsidP="002D1EA4">
            <w:pPr>
              <w:rPr>
                <w:rFonts w:cs="Arial"/>
                <w:sz w:val="20"/>
                <w:szCs w:val="20"/>
              </w:rPr>
            </w:pPr>
            <w:r w:rsidRPr="00F32D92">
              <w:rPr>
                <w:rFonts w:cs="Arial"/>
                <w:sz w:val="20"/>
                <w:szCs w:val="20"/>
              </w:rPr>
              <w:t>0</w:t>
            </w:r>
          </w:p>
        </w:tc>
        <w:tc>
          <w:tcPr>
            <w:tcW w:w="1848" w:type="dxa"/>
            <w:tcBorders>
              <w:right w:val="single" w:sz="4" w:space="0" w:color="auto"/>
            </w:tcBorders>
            <w:noWrap/>
            <w:vAlign w:val="center"/>
            <w:hideMark/>
          </w:tcPr>
          <w:p w14:paraId="0AC06CA1" w14:textId="77777777" w:rsidR="00AB6753" w:rsidRPr="00F32D92" w:rsidRDefault="00AB6753" w:rsidP="002D1EA4">
            <w:pPr>
              <w:rPr>
                <w:rFonts w:cs="Arial"/>
                <w:sz w:val="20"/>
                <w:szCs w:val="20"/>
              </w:rPr>
            </w:pPr>
            <w:r w:rsidRPr="00F32D92">
              <w:rPr>
                <w:rFonts w:cs="Arial"/>
                <w:sz w:val="20"/>
                <w:szCs w:val="20"/>
              </w:rPr>
              <w:t>0</w:t>
            </w:r>
          </w:p>
        </w:tc>
        <w:tc>
          <w:tcPr>
            <w:tcW w:w="661" w:type="dxa"/>
            <w:tcBorders>
              <w:left w:val="single" w:sz="4" w:space="0" w:color="auto"/>
              <w:right w:val="single" w:sz="4" w:space="0" w:color="666666" w:themeColor="text1" w:themeTint="99"/>
            </w:tcBorders>
            <w:vAlign w:val="center"/>
          </w:tcPr>
          <w:p w14:paraId="13140C85" w14:textId="77777777" w:rsidR="00AB6753" w:rsidRPr="00F32D92" w:rsidRDefault="00AB6753" w:rsidP="002D1EA4">
            <w:pPr>
              <w:rPr>
                <w:rFonts w:cs="Arial"/>
                <w:sz w:val="20"/>
                <w:szCs w:val="20"/>
              </w:rPr>
            </w:pPr>
            <w:r w:rsidRPr="00F32D92">
              <w:rPr>
                <w:rFonts w:cs="Arial"/>
                <w:color w:val="000000"/>
                <w:sz w:val="20"/>
                <w:szCs w:val="20"/>
              </w:rPr>
              <w:t>19</w:t>
            </w:r>
          </w:p>
        </w:tc>
      </w:tr>
      <w:tr w:rsidR="00AB6753" w:rsidRPr="00F32D92" w14:paraId="66C7402E"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0C0069D7" w14:textId="77777777" w:rsidR="00AB6753" w:rsidRPr="00F32D92" w:rsidRDefault="00AB6753" w:rsidP="002D1EA4">
            <w:pPr>
              <w:rPr>
                <w:rFonts w:cs="Arial"/>
                <w:sz w:val="20"/>
                <w:szCs w:val="20"/>
              </w:rPr>
            </w:pPr>
            <w:r w:rsidRPr="00F32D92">
              <w:rPr>
                <w:rFonts w:cs="Arial"/>
                <w:sz w:val="20"/>
                <w:szCs w:val="20"/>
              </w:rPr>
              <w:t>SES 1</w:t>
            </w:r>
          </w:p>
        </w:tc>
        <w:tc>
          <w:tcPr>
            <w:tcW w:w="896" w:type="dxa"/>
            <w:tcBorders>
              <w:left w:val="single" w:sz="4" w:space="0" w:color="auto"/>
            </w:tcBorders>
            <w:noWrap/>
            <w:vAlign w:val="center"/>
            <w:hideMark/>
          </w:tcPr>
          <w:p w14:paraId="06E91A1A" w14:textId="77777777" w:rsidR="00AB6753" w:rsidRPr="00F32D92" w:rsidRDefault="00AB6753" w:rsidP="002D1EA4">
            <w:pPr>
              <w:rPr>
                <w:rFonts w:cs="Arial"/>
                <w:sz w:val="20"/>
                <w:szCs w:val="20"/>
              </w:rPr>
            </w:pPr>
            <w:r w:rsidRPr="00F32D92">
              <w:rPr>
                <w:rFonts w:cs="Arial"/>
                <w:color w:val="000000"/>
                <w:sz w:val="20"/>
                <w:szCs w:val="20"/>
              </w:rPr>
              <w:t>59</w:t>
            </w:r>
          </w:p>
        </w:tc>
        <w:tc>
          <w:tcPr>
            <w:tcW w:w="1134" w:type="dxa"/>
            <w:noWrap/>
            <w:vAlign w:val="center"/>
            <w:hideMark/>
          </w:tcPr>
          <w:p w14:paraId="379B1C5F" w14:textId="77777777" w:rsidR="00AB6753" w:rsidRPr="00F32D92" w:rsidRDefault="00AB6753" w:rsidP="002D1EA4">
            <w:pPr>
              <w:rPr>
                <w:rFonts w:cs="Arial"/>
                <w:sz w:val="20"/>
                <w:szCs w:val="20"/>
              </w:rPr>
            </w:pPr>
            <w:r w:rsidRPr="00F32D92">
              <w:rPr>
                <w:rFonts w:cs="Arial"/>
                <w:color w:val="000000"/>
                <w:sz w:val="20"/>
                <w:szCs w:val="20"/>
              </w:rPr>
              <w:t>3</w:t>
            </w:r>
          </w:p>
        </w:tc>
        <w:tc>
          <w:tcPr>
            <w:tcW w:w="1423" w:type="dxa"/>
            <w:tcBorders>
              <w:right w:val="single" w:sz="4" w:space="0" w:color="auto"/>
            </w:tcBorders>
            <w:noWrap/>
            <w:vAlign w:val="center"/>
            <w:hideMark/>
          </w:tcPr>
          <w:p w14:paraId="549C374A" w14:textId="77777777" w:rsidR="00AB6753" w:rsidRPr="00F32D92" w:rsidRDefault="00AB6753" w:rsidP="002D1EA4">
            <w:pPr>
              <w:rPr>
                <w:rFonts w:cs="Arial"/>
                <w:sz w:val="20"/>
                <w:szCs w:val="20"/>
              </w:rPr>
            </w:pPr>
            <w:r w:rsidRPr="00F32D92">
              <w:rPr>
                <w:rFonts w:cs="Arial"/>
                <w:color w:val="000000"/>
                <w:sz w:val="20"/>
                <w:szCs w:val="20"/>
              </w:rPr>
              <w:t>62</w:t>
            </w:r>
          </w:p>
        </w:tc>
        <w:tc>
          <w:tcPr>
            <w:tcW w:w="896" w:type="dxa"/>
            <w:tcBorders>
              <w:left w:val="single" w:sz="4" w:space="0" w:color="auto"/>
            </w:tcBorders>
            <w:noWrap/>
            <w:vAlign w:val="center"/>
            <w:hideMark/>
          </w:tcPr>
          <w:p w14:paraId="0801EF79" w14:textId="77777777" w:rsidR="00AB6753" w:rsidRPr="00F32D92" w:rsidRDefault="00AB6753" w:rsidP="002D1EA4">
            <w:pPr>
              <w:rPr>
                <w:rFonts w:cs="Arial"/>
                <w:sz w:val="20"/>
                <w:szCs w:val="20"/>
              </w:rPr>
            </w:pPr>
            <w:r w:rsidRPr="00F32D92">
              <w:rPr>
                <w:rFonts w:cs="Arial"/>
                <w:sz w:val="20"/>
                <w:szCs w:val="20"/>
              </w:rPr>
              <w:t>0</w:t>
            </w:r>
          </w:p>
        </w:tc>
        <w:tc>
          <w:tcPr>
            <w:tcW w:w="1088" w:type="dxa"/>
            <w:noWrap/>
            <w:vAlign w:val="center"/>
            <w:hideMark/>
          </w:tcPr>
          <w:p w14:paraId="4D4CA369" w14:textId="77777777" w:rsidR="00AB6753" w:rsidRPr="00F32D92" w:rsidRDefault="00AB6753" w:rsidP="002D1EA4">
            <w:pPr>
              <w:rPr>
                <w:rFonts w:cs="Arial"/>
                <w:sz w:val="20"/>
                <w:szCs w:val="20"/>
              </w:rPr>
            </w:pPr>
            <w:r w:rsidRPr="00F32D92">
              <w:rPr>
                <w:rFonts w:cs="Arial"/>
                <w:sz w:val="20"/>
                <w:szCs w:val="20"/>
              </w:rPr>
              <w:t>0</w:t>
            </w:r>
          </w:p>
        </w:tc>
        <w:tc>
          <w:tcPr>
            <w:tcW w:w="1848" w:type="dxa"/>
            <w:tcBorders>
              <w:right w:val="single" w:sz="4" w:space="0" w:color="auto"/>
            </w:tcBorders>
            <w:noWrap/>
            <w:vAlign w:val="center"/>
            <w:hideMark/>
          </w:tcPr>
          <w:p w14:paraId="1025E4AA" w14:textId="77777777" w:rsidR="00AB6753" w:rsidRPr="00F32D92" w:rsidRDefault="00AB6753" w:rsidP="002D1EA4">
            <w:pPr>
              <w:rPr>
                <w:rFonts w:cs="Arial"/>
                <w:sz w:val="20"/>
                <w:szCs w:val="20"/>
              </w:rPr>
            </w:pPr>
            <w:r w:rsidRPr="00F32D92">
              <w:rPr>
                <w:rFonts w:cs="Arial"/>
                <w:sz w:val="20"/>
                <w:szCs w:val="20"/>
              </w:rPr>
              <w:t>0</w:t>
            </w:r>
          </w:p>
        </w:tc>
        <w:tc>
          <w:tcPr>
            <w:tcW w:w="661" w:type="dxa"/>
            <w:tcBorders>
              <w:left w:val="single" w:sz="4" w:space="0" w:color="auto"/>
              <w:right w:val="single" w:sz="4" w:space="0" w:color="666666" w:themeColor="text1" w:themeTint="99"/>
            </w:tcBorders>
            <w:vAlign w:val="center"/>
          </w:tcPr>
          <w:p w14:paraId="18C2085B" w14:textId="77777777" w:rsidR="00AB6753" w:rsidRPr="00F32D92" w:rsidRDefault="00AB6753" w:rsidP="002D1EA4">
            <w:pPr>
              <w:rPr>
                <w:rFonts w:cs="Arial"/>
                <w:sz w:val="20"/>
                <w:szCs w:val="20"/>
              </w:rPr>
            </w:pPr>
            <w:r w:rsidRPr="00F32D92">
              <w:rPr>
                <w:rFonts w:cs="Arial"/>
                <w:color w:val="000000"/>
                <w:sz w:val="20"/>
                <w:szCs w:val="20"/>
              </w:rPr>
              <w:t>62</w:t>
            </w:r>
          </w:p>
        </w:tc>
      </w:tr>
      <w:tr w:rsidR="00AB6753" w:rsidRPr="00F32D92" w14:paraId="67DC4DEA"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04F61C9A" w14:textId="77777777" w:rsidR="00AB6753" w:rsidRPr="00F32D92" w:rsidRDefault="00AB6753" w:rsidP="002D1EA4">
            <w:pPr>
              <w:rPr>
                <w:rFonts w:cs="Arial"/>
                <w:sz w:val="20"/>
                <w:szCs w:val="20"/>
              </w:rPr>
            </w:pPr>
            <w:r w:rsidRPr="00F32D92">
              <w:rPr>
                <w:rFonts w:cs="Arial"/>
                <w:sz w:val="20"/>
                <w:szCs w:val="20"/>
              </w:rPr>
              <w:t>EL 2</w:t>
            </w:r>
          </w:p>
        </w:tc>
        <w:tc>
          <w:tcPr>
            <w:tcW w:w="896" w:type="dxa"/>
            <w:tcBorders>
              <w:left w:val="single" w:sz="4" w:space="0" w:color="auto"/>
            </w:tcBorders>
            <w:noWrap/>
            <w:vAlign w:val="center"/>
            <w:hideMark/>
          </w:tcPr>
          <w:p w14:paraId="70B3E508" w14:textId="77777777" w:rsidR="00AB6753" w:rsidRPr="00F32D92" w:rsidRDefault="00AB6753" w:rsidP="002D1EA4">
            <w:pPr>
              <w:rPr>
                <w:rFonts w:cs="Arial"/>
                <w:sz w:val="20"/>
                <w:szCs w:val="20"/>
              </w:rPr>
            </w:pPr>
            <w:r w:rsidRPr="00F32D92">
              <w:rPr>
                <w:rFonts w:cs="Arial"/>
                <w:color w:val="000000"/>
                <w:sz w:val="20"/>
                <w:szCs w:val="20"/>
              </w:rPr>
              <w:t>247</w:t>
            </w:r>
          </w:p>
        </w:tc>
        <w:tc>
          <w:tcPr>
            <w:tcW w:w="1134" w:type="dxa"/>
            <w:noWrap/>
            <w:vAlign w:val="center"/>
            <w:hideMark/>
          </w:tcPr>
          <w:p w14:paraId="406660BD" w14:textId="77777777" w:rsidR="00AB6753" w:rsidRPr="00F32D92" w:rsidRDefault="00AB6753" w:rsidP="002D1EA4">
            <w:pPr>
              <w:rPr>
                <w:rFonts w:cs="Arial"/>
                <w:sz w:val="20"/>
                <w:szCs w:val="20"/>
              </w:rPr>
            </w:pPr>
            <w:r w:rsidRPr="00F32D92">
              <w:rPr>
                <w:rFonts w:cs="Arial"/>
                <w:color w:val="000000"/>
                <w:sz w:val="20"/>
                <w:szCs w:val="20"/>
              </w:rPr>
              <w:t>29</w:t>
            </w:r>
          </w:p>
        </w:tc>
        <w:tc>
          <w:tcPr>
            <w:tcW w:w="1423" w:type="dxa"/>
            <w:tcBorders>
              <w:right w:val="single" w:sz="4" w:space="0" w:color="auto"/>
            </w:tcBorders>
            <w:noWrap/>
            <w:vAlign w:val="center"/>
            <w:hideMark/>
          </w:tcPr>
          <w:p w14:paraId="3299FDD0" w14:textId="77777777" w:rsidR="00AB6753" w:rsidRPr="00F32D92" w:rsidRDefault="00AB6753" w:rsidP="002D1EA4">
            <w:pPr>
              <w:rPr>
                <w:rFonts w:cs="Arial"/>
                <w:sz w:val="20"/>
                <w:szCs w:val="20"/>
              </w:rPr>
            </w:pPr>
            <w:r w:rsidRPr="00F32D92">
              <w:rPr>
                <w:rFonts w:cs="Arial"/>
                <w:color w:val="000000"/>
                <w:sz w:val="20"/>
                <w:szCs w:val="20"/>
              </w:rPr>
              <w:t>276</w:t>
            </w:r>
          </w:p>
        </w:tc>
        <w:tc>
          <w:tcPr>
            <w:tcW w:w="896" w:type="dxa"/>
            <w:tcBorders>
              <w:left w:val="single" w:sz="4" w:space="0" w:color="auto"/>
            </w:tcBorders>
            <w:noWrap/>
            <w:vAlign w:val="center"/>
            <w:hideMark/>
          </w:tcPr>
          <w:p w14:paraId="58AAF585" w14:textId="77777777" w:rsidR="00AB6753" w:rsidRPr="00F32D92" w:rsidRDefault="00AB6753" w:rsidP="002D1EA4">
            <w:pPr>
              <w:rPr>
                <w:rFonts w:cs="Arial"/>
                <w:sz w:val="20"/>
                <w:szCs w:val="20"/>
              </w:rPr>
            </w:pPr>
            <w:r w:rsidRPr="00F32D92">
              <w:rPr>
                <w:rFonts w:cs="Arial"/>
                <w:color w:val="000000"/>
                <w:sz w:val="20"/>
                <w:szCs w:val="20"/>
              </w:rPr>
              <w:t>2</w:t>
            </w:r>
          </w:p>
        </w:tc>
        <w:tc>
          <w:tcPr>
            <w:tcW w:w="1088" w:type="dxa"/>
            <w:noWrap/>
            <w:vAlign w:val="center"/>
            <w:hideMark/>
          </w:tcPr>
          <w:p w14:paraId="3199CACE" w14:textId="77777777" w:rsidR="00AB6753" w:rsidRPr="00F32D92" w:rsidRDefault="00AB6753" w:rsidP="002D1EA4">
            <w:pPr>
              <w:rPr>
                <w:rFonts w:cs="Arial"/>
                <w:sz w:val="20"/>
                <w:szCs w:val="20"/>
              </w:rPr>
            </w:pPr>
            <w:r w:rsidRPr="00F32D92">
              <w:rPr>
                <w:rFonts w:cs="Arial"/>
                <w:color w:val="000000"/>
                <w:sz w:val="20"/>
                <w:szCs w:val="20"/>
              </w:rPr>
              <w:t>3</w:t>
            </w:r>
          </w:p>
        </w:tc>
        <w:tc>
          <w:tcPr>
            <w:tcW w:w="1848" w:type="dxa"/>
            <w:tcBorders>
              <w:right w:val="single" w:sz="4" w:space="0" w:color="auto"/>
            </w:tcBorders>
            <w:noWrap/>
            <w:vAlign w:val="center"/>
            <w:hideMark/>
          </w:tcPr>
          <w:p w14:paraId="7406125B" w14:textId="77777777" w:rsidR="00AB6753" w:rsidRPr="00F32D92" w:rsidRDefault="00AB6753" w:rsidP="002D1EA4">
            <w:pPr>
              <w:rPr>
                <w:rFonts w:cs="Arial"/>
                <w:sz w:val="20"/>
                <w:szCs w:val="20"/>
              </w:rPr>
            </w:pPr>
            <w:r w:rsidRPr="00F32D92">
              <w:rPr>
                <w:rFonts w:cs="Arial"/>
                <w:color w:val="000000"/>
                <w:sz w:val="20"/>
                <w:szCs w:val="20"/>
              </w:rPr>
              <w:t>5</w:t>
            </w:r>
          </w:p>
        </w:tc>
        <w:tc>
          <w:tcPr>
            <w:tcW w:w="661" w:type="dxa"/>
            <w:tcBorders>
              <w:left w:val="single" w:sz="4" w:space="0" w:color="auto"/>
              <w:right w:val="single" w:sz="4" w:space="0" w:color="666666" w:themeColor="text1" w:themeTint="99"/>
            </w:tcBorders>
            <w:vAlign w:val="center"/>
          </w:tcPr>
          <w:p w14:paraId="27FB1EE0" w14:textId="77777777" w:rsidR="00AB6753" w:rsidRPr="00F32D92" w:rsidRDefault="00AB6753" w:rsidP="002D1EA4">
            <w:pPr>
              <w:rPr>
                <w:rFonts w:cs="Arial"/>
                <w:sz w:val="20"/>
                <w:szCs w:val="20"/>
              </w:rPr>
            </w:pPr>
            <w:r w:rsidRPr="00F32D92">
              <w:rPr>
                <w:rFonts w:cs="Arial"/>
                <w:color w:val="000000"/>
                <w:sz w:val="20"/>
                <w:szCs w:val="20"/>
              </w:rPr>
              <w:t>281</w:t>
            </w:r>
          </w:p>
        </w:tc>
      </w:tr>
      <w:tr w:rsidR="00AB6753" w:rsidRPr="00F32D92" w14:paraId="376156FC"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09A60259" w14:textId="77777777" w:rsidR="00AB6753" w:rsidRPr="00F32D92" w:rsidRDefault="00AB6753" w:rsidP="002D1EA4">
            <w:pPr>
              <w:rPr>
                <w:rFonts w:cs="Arial"/>
                <w:sz w:val="20"/>
                <w:szCs w:val="20"/>
              </w:rPr>
            </w:pPr>
            <w:r w:rsidRPr="00F32D92">
              <w:rPr>
                <w:rFonts w:cs="Arial"/>
                <w:sz w:val="20"/>
                <w:szCs w:val="20"/>
              </w:rPr>
              <w:t>EL 1</w:t>
            </w:r>
          </w:p>
        </w:tc>
        <w:tc>
          <w:tcPr>
            <w:tcW w:w="896" w:type="dxa"/>
            <w:tcBorders>
              <w:left w:val="single" w:sz="4" w:space="0" w:color="auto"/>
            </w:tcBorders>
            <w:noWrap/>
            <w:vAlign w:val="center"/>
            <w:hideMark/>
          </w:tcPr>
          <w:p w14:paraId="40B4B8DE" w14:textId="77777777" w:rsidR="00AB6753" w:rsidRPr="00F32D92" w:rsidRDefault="00AB6753" w:rsidP="002D1EA4">
            <w:pPr>
              <w:rPr>
                <w:rFonts w:cs="Arial"/>
                <w:sz w:val="20"/>
                <w:szCs w:val="20"/>
              </w:rPr>
            </w:pPr>
            <w:r w:rsidRPr="00F32D92">
              <w:rPr>
                <w:rFonts w:cs="Arial"/>
                <w:color w:val="000000"/>
                <w:sz w:val="20"/>
                <w:szCs w:val="20"/>
              </w:rPr>
              <w:t>549</w:t>
            </w:r>
          </w:p>
        </w:tc>
        <w:tc>
          <w:tcPr>
            <w:tcW w:w="1134" w:type="dxa"/>
            <w:noWrap/>
            <w:vAlign w:val="center"/>
            <w:hideMark/>
          </w:tcPr>
          <w:p w14:paraId="702500C0" w14:textId="77777777" w:rsidR="00AB6753" w:rsidRPr="00F32D92" w:rsidRDefault="00AB6753" w:rsidP="002D1EA4">
            <w:pPr>
              <w:rPr>
                <w:rFonts w:cs="Arial"/>
                <w:sz w:val="20"/>
                <w:szCs w:val="20"/>
              </w:rPr>
            </w:pPr>
            <w:r w:rsidRPr="00F32D92">
              <w:rPr>
                <w:rFonts w:cs="Arial"/>
                <w:color w:val="000000"/>
                <w:sz w:val="20"/>
                <w:szCs w:val="20"/>
              </w:rPr>
              <w:t>131</w:t>
            </w:r>
          </w:p>
        </w:tc>
        <w:tc>
          <w:tcPr>
            <w:tcW w:w="1423" w:type="dxa"/>
            <w:tcBorders>
              <w:right w:val="single" w:sz="4" w:space="0" w:color="auto"/>
            </w:tcBorders>
            <w:noWrap/>
            <w:vAlign w:val="center"/>
            <w:hideMark/>
          </w:tcPr>
          <w:p w14:paraId="569AB95D" w14:textId="77777777" w:rsidR="00AB6753" w:rsidRPr="00F32D92" w:rsidRDefault="00AB6753" w:rsidP="002D1EA4">
            <w:pPr>
              <w:rPr>
                <w:rFonts w:cs="Arial"/>
                <w:sz w:val="20"/>
                <w:szCs w:val="20"/>
              </w:rPr>
            </w:pPr>
            <w:r w:rsidRPr="00F32D92">
              <w:rPr>
                <w:rFonts w:cs="Arial"/>
                <w:color w:val="000000"/>
                <w:sz w:val="20"/>
                <w:szCs w:val="20"/>
              </w:rPr>
              <w:t>680</w:t>
            </w:r>
          </w:p>
        </w:tc>
        <w:tc>
          <w:tcPr>
            <w:tcW w:w="896" w:type="dxa"/>
            <w:tcBorders>
              <w:left w:val="single" w:sz="4" w:space="0" w:color="auto"/>
            </w:tcBorders>
            <w:noWrap/>
            <w:vAlign w:val="center"/>
            <w:hideMark/>
          </w:tcPr>
          <w:p w14:paraId="08C6091E" w14:textId="77777777" w:rsidR="00AB6753" w:rsidRPr="00F32D92" w:rsidRDefault="00AB6753" w:rsidP="002D1EA4">
            <w:pPr>
              <w:rPr>
                <w:rFonts w:cs="Arial"/>
                <w:sz w:val="20"/>
                <w:szCs w:val="20"/>
              </w:rPr>
            </w:pPr>
            <w:r w:rsidRPr="00F32D92">
              <w:rPr>
                <w:rFonts w:cs="Arial"/>
                <w:color w:val="000000"/>
                <w:sz w:val="20"/>
                <w:szCs w:val="20"/>
              </w:rPr>
              <w:t>5</w:t>
            </w:r>
          </w:p>
        </w:tc>
        <w:tc>
          <w:tcPr>
            <w:tcW w:w="1088" w:type="dxa"/>
            <w:noWrap/>
            <w:vAlign w:val="center"/>
            <w:hideMark/>
          </w:tcPr>
          <w:p w14:paraId="30587FB1" w14:textId="77777777" w:rsidR="00AB6753" w:rsidRPr="00F32D92" w:rsidRDefault="00AB6753" w:rsidP="002D1EA4">
            <w:pPr>
              <w:rPr>
                <w:rFonts w:cs="Arial"/>
                <w:sz w:val="20"/>
                <w:szCs w:val="20"/>
              </w:rPr>
            </w:pPr>
            <w:r w:rsidRPr="00F32D92">
              <w:rPr>
                <w:rFonts w:cs="Arial"/>
                <w:color w:val="000000"/>
                <w:sz w:val="20"/>
                <w:szCs w:val="20"/>
              </w:rPr>
              <w:t>3</w:t>
            </w:r>
          </w:p>
        </w:tc>
        <w:tc>
          <w:tcPr>
            <w:tcW w:w="1848" w:type="dxa"/>
            <w:tcBorders>
              <w:right w:val="single" w:sz="4" w:space="0" w:color="auto"/>
            </w:tcBorders>
            <w:noWrap/>
            <w:vAlign w:val="center"/>
            <w:hideMark/>
          </w:tcPr>
          <w:p w14:paraId="4E278131" w14:textId="77777777" w:rsidR="00AB6753" w:rsidRPr="00F32D92" w:rsidRDefault="00AB6753" w:rsidP="002D1EA4">
            <w:pPr>
              <w:rPr>
                <w:rFonts w:cs="Arial"/>
                <w:sz w:val="20"/>
                <w:szCs w:val="20"/>
              </w:rPr>
            </w:pPr>
            <w:r w:rsidRPr="00F32D92">
              <w:rPr>
                <w:rFonts w:cs="Arial"/>
                <w:color w:val="000000"/>
                <w:sz w:val="20"/>
                <w:szCs w:val="20"/>
              </w:rPr>
              <w:t>8</w:t>
            </w:r>
          </w:p>
        </w:tc>
        <w:tc>
          <w:tcPr>
            <w:tcW w:w="661" w:type="dxa"/>
            <w:tcBorders>
              <w:left w:val="single" w:sz="4" w:space="0" w:color="auto"/>
              <w:right w:val="single" w:sz="4" w:space="0" w:color="666666" w:themeColor="text1" w:themeTint="99"/>
            </w:tcBorders>
            <w:vAlign w:val="center"/>
          </w:tcPr>
          <w:p w14:paraId="5C94111C" w14:textId="77777777" w:rsidR="00AB6753" w:rsidRPr="00F32D92" w:rsidRDefault="00AB6753" w:rsidP="002D1EA4">
            <w:pPr>
              <w:rPr>
                <w:rFonts w:cs="Arial"/>
                <w:sz w:val="20"/>
                <w:szCs w:val="20"/>
              </w:rPr>
            </w:pPr>
            <w:r w:rsidRPr="00F32D92">
              <w:rPr>
                <w:rFonts w:cs="Arial"/>
                <w:color w:val="000000"/>
                <w:sz w:val="20"/>
                <w:szCs w:val="20"/>
              </w:rPr>
              <w:t>688</w:t>
            </w:r>
          </w:p>
        </w:tc>
      </w:tr>
      <w:tr w:rsidR="00AB6753" w:rsidRPr="00F32D92" w14:paraId="5A41714E" w14:textId="77777777" w:rsidTr="002D1EA4">
        <w:trPr>
          <w:trHeight w:val="315"/>
          <w:jc w:val="center"/>
        </w:trPr>
        <w:tc>
          <w:tcPr>
            <w:tcW w:w="1696" w:type="dxa"/>
            <w:tcBorders>
              <w:left w:val="single" w:sz="4" w:space="0" w:color="666666" w:themeColor="text1" w:themeTint="99"/>
              <w:right w:val="single" w:sz="4" w:space="0" w:color="auto"/>
            </w:tcBorders>
            <w:vAlign w:val="bottom"/>
          </w:tcPr>
          <w:p w14:paraId="2C52C608" w14:textId="77777777" w:rsidR="00AB6753" w:rsidRPr="00F32D92" w:rsidRDefault="00AB6753" w:rsidP="002D1EA4">
            <w:pPr>
              <w:rPr>
                <w:rFonts w:cs="Arial"/>
                <w:sz w:val="20"/>
                <w:szCs w:val="20"/>
              </w:rPr>
            </w:pPr>
            <w:r w:rsidRPr="00F32D92">
              <w:rPr>
                <w:rFonts w:cs="Arial"/>
                <w:sz w:val="20"/>
                <w:szCs w:val="20"/>
              </w:rPr>
              <w:t>Senior Public Affairs Officer</w:t>
            </w:r>
          </w:p>
        </w:tc>
        <w:tc>
          <w:tcPr>
            <w:tcW w:w="896" w:type="dxa"/>
            <w:tcBorders>
              <w:left w:val="single" w:sz="4" w:space="0" w:color="auto"/>
            </w:tcBorders>
            <w:noWrap/>
            <w:vAlign w:val="center"/>
          </w:tcPr>
          <w:p w14:paraId="7E83FB7E" w14:textId="77777777" w:rsidR="00AB6753" w:rsidRPr="00F32D92" w:rsidRDefault="00AB6753" w:rsidP="002D1EA4">
            <w:pPr>
              <w:rPr>
                <w:rFonts w:cs="Arial"/>
                <w:sz w:val="20"/>
                <w:szCs w:val="20"/>
              </w:rPr>
            </w:pPr>
            <w:r w:rsidRPr="00F32D92">
              <w:rPr>
                <w:rFonts w:cs="Arial"/>
                <w:color w:val="000000"/>
                <w:sz w:val="20"/>
                <w:szCs w:val="20"/>
              </w:rPr>
              <w:t>8</w:t>
            </w:r>
          </w:p>
        </w:tc>
        <w:tc>
          <w:tcPr>
            <w:tcW w:w="1134" w:type="dxa"/>
            <w:noWrap/>
            <w:vAlign w:val="center"/>
          </w:tcPr>
          <w:p w14:paraId="285401C4" w14:textId="77777777" w:rsidR="00AB6753" w:rsidRPr="00F32D92" w:rsidRDefault="00AB6753" w:rsidP="002D1EA4">
            <w:pPr>
              <w:rPr>
                <w:rFonts w:cs="Arial"/>
                <w:sz w:val="20"/>
                <w:szCs w:val="20"/>
              </w:rPr>
            </w:pPr>
            <w:r w:rsidRPr="00F32D92">
              <w:rPr>
                <w:rFonts w:cs="Arial"/>
                <w:color w:val="000000"/>
                <w:sz w:val="20"/>
                <w:szCs w:val="20"/>
              </w:rPr>
              <w:t>2</w:t>
            </w:r>
          </w:p>
        </w:tc>
        <w:tc>
          <w:tcPr>
            <w:tcW w:w="1423" w:type="dxa"/>
            <w:tcBorders>
              <w:right w:val="single" w:sz="4" w:space="0" w:color="auto"/>
            </w:tcBorders>
            <w:noWrap/>
            <w:vAlign w:val="center"/>
          </w:tcPr>
          <w:p w14:paraId="39D492BF" w14:textId="77777777" w:rsidR="00AB6753" w:rsidRPr="00F32D92" w:rsidRDefault="00AB6753" w:rsidP="002D1EA4">
            <w:pPr>
              <w:rPr>
                <w:rFonts w:cs="Arial"/>
                <w:sz w:val="20"/>
                <w:szCs w:val="20"/>
              </w:rPr>
            </w:pPr>
            <w:r w:rsidRPr="00F32D92">
              <w:rPr>
                <w:rFonts w:cs="Arial"/>
                <w:color w:val="000000"/>
                <w:sz w:val="20"/>
                <w:szCs w:val="20"/>
              </w:rPr>
              <w:t>10</w:t>
            </w:r>
          </w:p>
        </w:tc>
        <w:tc>
          <w:tcPr>
            <w:tcW w:w="896" w:type="dxa"/>
            <w:tcBorders>
              <w:left w:val="single" w:sz="4" w:space="0" w:color="auto"/>
            </w:tcBorders>
            <w:noWrap/>
            <w:vAlign w:val="center"/>
          </w:tcPr>
          <w:p w14:paraId="2B0E7B5C" w14:textId="77777777" w:rsidR="00AB6753" w:rsidRPr="00F32D92" w:rsidRDefault="00AB6753" w:rsidP="002D1EA4">
            <w:pPr>
              <w:rPr>
                <w:rFonts w:cs="Arial"/>
                <w:sz w:val="20"/>
                <w:szCs w:val="20"/>
              </w:rPr>
            </w:pPr>
            <w:r w:rsidRPr="00F32D92">
              <w:rPr>
                <w:rFonts w:cs="Arial"/>
                <w:sz w:val="20"/>
                <w:szCs w:val="20"/>
              </w:rPr>
              <w:t>0</w:t>
            </w:r>
          </w:p>
        </w:tc>
        <w:tc>
          <w:tcPr>
            <w:tcW w:w="1088" w:type="dxa"/>
            <w:noWrap/>
            <w:vAlign w:val="center"/>
          </w:tcPr>
          <w:p w14:paraId="659F4752" w14:textId="77777777" w:rsidR="00AB6753" w:rsidRPr="00F32D92" w:rsidRDefault="00AB6753" w:rsidP="002D1EA4">
            <w:pPr>
              <w:rPr>
                <w:rFonts w:cs="Arial"/>
                <w:sz w:val="20"/>
                <w:szCs w:val="20"/>
              </w:rPr>
            </w:pPr>
            <w:r w:rsidRPr="00F32D92">
              <w:rPr>
                <w:rFonts w:cs="Arial"/>
                <w:sz w:val="20"/>
                <w:szCs w:val="20"/>
              </w:rPr>
              <w:t>0</w:t>
            </w:r>
          </w:p>
        </w:tc>
        <w:tc>
          <w:tcPr>
            <w:tcW w:w="1848" w:type="dxa"/>
            <w:tcBorders>
              <w:right w:val="single" w:sz="4" w:space="0" w:color="auto"/>
            </w:tcBorders>
            <w:noWrap/>
            <w:vAlign w:val="center"/>
          </w:tcPr>
          <w:p w14:paraId="2A7FF8E5" w14:textId="77777777" w:rsidR="00AB6753" w:rsidRPr="00F32D92" w:rsidRDefault="00AB6753" w:rsidP="002D1EA4">
            <w:pPr>
              <w:rPr>
                <w:rFonts w:cs="Arial"/>
                <w:sz w:val="20"/>
                <w:szCs w:val="20"/>
              </w:rPr>
            </w:pPr>
            <w:r w:rsidRPr="00F32D92">
              <w:rPr>
                <w:rFonts w:cs="Arial"/>
                <w:sz w:val="20"/>
                <w:szCs w:val="20"/>
              </w:rPr>
              <w:t>0</w:t>
            </w:r>
          </w:p>
        </w:tc>
        <w:tc>
          <w:tcPr>
            <w:tcW w:w="661" w:type="dxa"/>
            <w:tcBorders>
              <w:left w:val="single" w:sz="4" w:space="0" w:color="auto"/>
              <w:right w:val="single" w:sz="4" w:space="0" w:color="666666" w:themeColor="text1" w:themeTint="99"/>
            </w:tcBorders>
            <w:vAlign w:val="center"/>
          </w:tcPr>
          <w:p w14:paraId="0A7C3672" w14:textId="77777777" w:rsidR="00AB6753" w:rsidRPr="00F32D92" w:rsidRDefault="00AB6753" w:rsidP="002D1EA4">
            <w:pPr>
              <w:rPr>
                <w:rFonts w:cs="Arial"/>
                <w:sz w:val="20"/>
                <w:szCs w:val="20"/>
              </w:rPr>
            </w:pPr>
            <w:r w:rsidRPr="00F32D92">
              <w:rPr>
                <w:rFonts w:cs="Arial"/>
                <w:color w:val="000000"/>
                <w:sz w:val="20"/>
                <w:szCs w:val="20"/>
              </w:rPr>
              <w:t>10</w:t>
            </w:r>
          </w:p>
        </w:tc>
      </w:tr>
      <w:tr w:rsidR="00AB6753" w:rsidRPr="00F32D92" w14:paraId="758AA6D2" w14:textId="77777777" w:rsidTr="002D1EA4">
        <w:trPr>
          <w:trHeight w:val="315"/>
          <w:jc w:val="center"/>
        </w:trPr>
        <w:tc>
          <w:tcPr>
            <w:tcW w:w="1696" w:type="dxa"/>
            <w:tcBorders>
              <w:left w:val="single" w:sz="4" w:space="0" w:color="666666" w:themeColor="text1" w:themeTint="99"/>
              <w:right w:val="single" w:sz="4" w:space="0" w:color="auto"/>
            </w:tcBorders>
            <w:vAlign w:val="bottom"/>
          </w:tcPr>
          <w:p w14:paraId="1BA49887" w14:textId="77777777" w:rsidR="00AB6753" w:rsidRPr="00F32D92" w:rsidRDefault="00AB6753" w:rsidP="002D1EA4">
            <w:pPr>
              <w:rPr>
                <w:rFonts w:cs="Arial"/>
                <w:sz w:val="20"/>
                <w:szCs w:val="20"/>
              </w:rPr>
            </w:pPr>
            <w:r w:rsidRPr="00F32D92">
              <w:rPr>
                <w:rFonts w:cs="Arial"/>
                <w:sz w:val="20"/>
                <w:szCs w:val="20"/>
              </w:rPr>
              <w:t>Public Affairs Officer Grade 3</w:t>
            </w:r>
          </w:p>
        </w:tc>
        <w:tc>
          <w:tcPr>
            <w:tcW w:w="896" w:type="dxa"/>
            <w:tcBorders>
              <w:left w:val="single" w:sz="4" w:space="0" w:color="auto"/>
            </w:tcBorders>
            <w:noWrap/>
            <w:vAlign w:val="center"/>
          </w:tcPr>
          <w:p w14:paraId="147C28B2" w14:textId="77777777" w:rsidR="00AB6753" w:rsidRPr="00F32D92" w:rsidRDefault="00AB6753" w:rsidP="002D1EA4">
            <w:pPr>
              <w:rPr>
                <w:rFonts w:cs="Arial"/>
                <w:sz w:val="20"/>
                <w:szCs w:val="20"/>
              </w:rPr>
            </w:pPr>
            <w:r w:rsidRPr="00F32D92">
              <w:rPr>
                <w:rFonts w:cs="Arial"/>
                <w:color w:val="000000"/>
                <w:sz w:val="20"/>
                <w:szCs w:val="20"/>
              </w:rPr>
              <w:t>16</w:t>
            </w:r>
          </w:p>
        </w:tc>
        <w:tc>
          <w:tcPr>
            <w:tcW w:w="1134" w:type="dxa"/>
            <w:noWrap/>
            <w:vAlign w:val="center"/>
          </w:tcPr>
          <w:p w14:paraId="7A31EA3C" w14:textId="77777777" w:rsidR="00AB6753" w:rsidRPr="00F32D92" w:rsidRDefault="00AB6753" w:rsidP="002D1EA4">
            <w:pPr>
              <w:rPr>
                <w:rFonts w:cs="Arial"/>
                <w:sz w:val="20"/>
                <w:szCs w:val="20"/>
              </w:rPr>
            </w:pPr>
            <w:r w:rsidRPr="00F32D92">
              <w:rPr>
                <w:rFonts w:cs="Arial"/>
                <w:color w:val="000000"/>
                <w:sz w:val="20"/>
                <w:szCs w:val="20"/>
              </w:rPr>
              <w:t>5</w:t>
            </w:r>
          </w:p>
        </w:tc>
        <w:tc>
          <w:tcPr>
            <w:tcW w:w="1423" w:type="dxa"/>
            <w:tcBorders>
              <w:right w:val="single" w:sz="4" w:space="0" w:color="auto"/>
            </w:tcBorders>
            <w:noWrap/>
            <w:vAlign w:val="center"/>
          </w:tcPr>
          <w:p w14:paraId="67F3FB20" w14:textId="77777777" w:rsidR="00AB6753" w:rsidRPr="00F32D92" w:rsidRDefault="00AB6753" w:rsidP="002D1EA4">
            <w:pPr>
              <w:rPr>
                <w:rFonts w:cs="Arial"/>
                <w:sz w:val="20"/>
                <w:szCs w:val="20"/>
              </w:rPr>
            </w:pPr>
            <w:r w:rsidRPr="00F32D92">
              <w:rPr>
                <w:rFonts w:cs="Arial"/>
                <w:color w:val="000000"/>
                <w:sz w:val="20"/>
                <w:szCs w:val="20"/>
              </w:rPr>
              <w:t>21</w:t>
            </w:r>
          </w:p>
        </w:tc>
        <w:tc>
          <w:tcPr>
            <w:tcW w:w="896" w:type="dxa"/>
            <w:tcBorders>
              <w:left w:val="single" w:sz="4" w:space="0" w:color="auto"/>
            </w:tcBorders>
            <w:noWrap/>
            <w:vAlign w:val="center"/>
          </w:tcPr>
          <w:p w14:paraId="15F5FA3B" w14:textId="77777777" w:rsidR="00AB6753" w:rsidRPr="00F32D92" w:rsidRDefault="00AB6753" w:rsidP="002D1EA4">
            <w:pPr>
              <w:rPr>
                <w:rFonts w:cs="Arial"/>
                <w:sz w:val="20"/>
                <w:szCs w:val="20"/>
              </w:rPr>
            </w:pPr>
            <w:r w:rsidRPr="00F32D92">
              <w:rPr>
                <w:rFonts w:cs="Arial"/>
                <w:color w:val="000000"/>
                <w:sz w:val="20"/>
                <w:szCs w:val="20"/>
              </w:rPr>
              <w:t>1</w:t>
            </w:r>
          </w:p>
        </w:tc>
        <w:tc>
          <w:tcPr>
            <w:tcW w:w="1088" w:type="dxa"/>
            <w:noWrap/>
            <w:vAlign w:val="center"/>
          </w:tcPr>
          <w:p w14:paraId="188D69BA" w14:textId="77777777" w:rsidR="00AB6753" w:rsidRPr="00F32D92" w:rsidRDefault="00AB6753" w:rsidP="002D1EA4">
            <w:pPr>
              <w:rPr>
                <w:rFonts w:cs="Arial"/>
                <w:sz w:val="20"/>
                <w:szCs w:val="20"/>
              </w:rPr>
            </w:pPr>
            <w:r w:rsidRPr="00F32D92">
              <w:rPr>
                <w:rFonts w:cs="Arial"/>
                <w:sz w:val="20"/>
                <w:szCs w:val="20"/>
              </w:rPr>
              <w:t>0</w:t>
            </w:r>
          </w:p>
        </w:tc>
        <w:tc>
          <w:tcPr>
            <w:tcW w:w="1848" w:type="dxa"/>
            <w:tcBorders>
              <w:right w:val="single" w:sz="4" w:space="0" w:color="auto"/>
            </w:tcBorders>
            <w:noWrap/>
            <w:vAlign w:val="center"/>
          </w:tcPr>
          <w:p w14:paraId="041DB235" w14:textId="77777777" w:rsidR="00AB6753" w:rsidRPr="00F32D92" w:rsidRDefault="00AB6753" w:rsidP="002D1EA4">
            <w:pPr>
              <w:rPr>
                <w:rFonts w:cs="Arial"/>
                <w:sz w:val="20"/>
                <w:szCs w:val="20"/>
              </w:rPr>
            </w:pPr>
            <w:r w:rsidRPr="00F32D92">
              <w:rPr>
                <w:rFonts w:cs="Arial"/>
                <w:color w:val="000000"/>
                <w:sz w:val="20"/>
                <w:szCs w:val="20"/>
              </w:rPr>
              <w:t>1</w:t>
            </w:r>
          </w:p>
        </w:tc>
        <w:tc>
          <w:tcPr>
            <w:tcW w:w="661" w:type="dxa"/>
            <w:tcBorders>
              <w:left w:val="single" w:sz="4" w:space="0" w:color="auto"/>
              <w:right w:val="single" w:sz="4" w:space="0" w:color="666666" w:themeColor="text1" w:themeTint="99"/>
            </w:tcBorders>
            <w:vAlign w:val="center"/>
          </w:tcPr>
          <w:p w14:paraId="024A401F" w14:textId="77777777" w:rsidR="00AB6753" w:rsidRPr="00F32D92" w:rsidRDefault="00AB6753" w:rsidP="002D1EA4">
            <w:pPr>
              <w:rPr>
                <w:rFonts w:cs="Arial"/>
                <w:sz w:val="20"/>
                <w:szCs w:val="20"/>
              </w:rPr>
            </w:pPr>
            <w:r w:rsidRPr="00F32D92">
              <w:rPr>
                <w:rFonts w:cs="Arial"/>
                <w:color w:val="000000"/>
                <w:sz w:val="20"/>
                <w:szCs w:val="20"/>
              </w:rPr>
              <w:t>22</w:t>
            </w:r>
          </w:p>
        </w:tc>
      </w:tr>
      <w:tr w:rsidR="00AB6753" w:rsidRPr="00F32D92" w14:paraId="34A056A8" w14:textId="77777777" w:rsidTr="002D1EA4">
        <w:trPr>
          <w:trHeight w:val="315"/>
          <w:jc w:val="center"/>
        </w:trPr>
        <w:tc>
          <w:tcPr>
            <w:tcW w:w="1696" w:type="dxa"/>
            <w:tcBorders>
              <w:left w:val="single" w:sz="4" w:space="0" w:color="666666" w:themeColor="text1" w:themeTint="99"/>
              <w:right w:val="single" w:sz="4" w:space="0" w:color="auto"/>
            </w:tcBorders>
            <w:vAlign w:val="bottom"/>
          </w:tcPr>
          <w:p w14:paraId="632EC405" w14:textId="77777777" w:rsidR="00AB6753" w:rsidRPr="00F32D92" w:rsidRDefault="00AB6753" w:rsidP="002D1EA4">
            <w:pPr>
              <w:rPr>
                <w:rFonts w:cs="Arial"/>
                <w:sz w:val="20"/>
                <w:szCs w:val="20"/>
              </w:rPr>
            </w:pPr>
            <w:r w:rsidRPr="00F32D92">
              <w:rPr>
                <w:rFonts w:cs="Arial"/>
                <w:sz w:val="20"/>
                <w:szCs w:val="20"/>
              </w:rPr>
              <w:t>Public Affairs Officer Grade 2</w:t>
            </w:r>
          </w:p>
        </w:tc>
        <w:tc>
          <w:tcPr>
            <w:tcW w:w="896" w:type="dxa"/>
            <w:tcBorders>
              <w:left w:val="single" w:sz="4" w:space="0" w:color="auto"/>
            </w:tcBorders>
            <w:noWrap/>
            <w:vAlign w:val="center"/>
          </w:tcPr>
          <w:p w14:paraId="1422DCCB" w14:textId="77777777" w:rsidR="00AB6753" w:rsidRPr="00F32D92" w:rsidRDefault="00AB6753" w:rsidP="002D1EA4">
            <w:pPr>
              <w:rPr>
                <w:rFonts w:cs="Arial"/>
                <w:sz w:val="20"/>
                <w:szCs w:val="20"/>
              </w:rPr>
            </w:pPr>
            <w:r w:rsidRPr="00F32D92">
              <w:rPr>
                <w:rFonts w:cs="Arial"/>
                <w:color w:val="000000"/>
                <w:sz w:val="20"/>
                <w:szCs w:val="20"/>
              </w:rPr>
              <w:t>10</w:t>
            </w:r>
          </w:p>
        </w:tc>
        <w:tc>
          <w:tcPr>
            <w:tcW w:w="1134" w:type="dxa"/>
            <w:noWrap/>
            <w:vAlign w:val="center"/>
          </w:tcPr>
          <w:p w14:paraId="187D1D95" w14:textId="77777777" w:rsidR="00AB6753" w:rsidRPr="00F32D92" w:rsidRDefault="00AB6753" w:rsidP="002D1EA4">
            <w:pPr>
              <w:rPr>
                <w:rFonts w:cs="Arial"/>
                <w:sz w:val="20"/>
                <w:szCs w:val="20"/>
              </w:rPr>
            </w:pPr>
            <w:r w:rsidRPr="00F32D92">
              <w:rPr>
                <w:rFonts w:cs="Arial"/>
                <w:color w:val="000000"/>
                <w:sz w:val="20"/>
                <w:szCs w:val="20"/>
              </w:rPr>
              <w:t>5</w:t>
            </w:r>
          </w:p>
        </w:tc>
        <w:tc>
          <w:tcPr>
            <w:tcW w:w="1423" w:type="dxa"/>
            <w:tcBorders>
              <w:right w:val="single" w:sz="4" w:space="0" w:color="auto"/>
            </w:tcBorders>
            <w:noWrap/>
            <w:vAlign w:val="center"/>
          </w:tcPr>
          <w:p w14:paraId="12E49BB2" w14:textId="77777777" w:rsidR="00AB6753" w:rsidRPr="00F32D92" w:rsidRDefault="00AB6753" w:rsidP="002D1EA4">
            <w:pPr>
              <w:rPr>
                <w:rFonts w:cs="Arial"/>
                <w:sz w:val="20"/>
                <w:szCs w:val="20"/>
              </w:rPr>
            </w:pPr>
            <w:r w:rsidRPr="00F32D92">
              <w:rPr>
                <w:rFonts w:cs="Arial"/>
                <w:color w:val="000000"/>
                <w:sz w:val="20"/>
                <w:szCs w:val="20"/>
              </w:rPr>
              <w:t>15</w:t>
            </w:r>
          </w:p>
        </w:tc>
        <w:tc>
          <w:tcPr>
            <w:tcW w:w="896" w:type="dxa"/>
            <w:tcBorders>
              <w:left w:val="single" w:sz="4" w:space="0" w:color="auto"/>
            </w:tcBorders>
            <w:noWrap/>
            <w:vAlign w:val="center"/>
          </w:tcPr>
          <w:p w14:paraId="6735C8D7" w14:textId="77777777" w:rsidR="00AB6753" w:rsidRPr="00F32D92" w:rsidRDefault="00AB6753" w:rsidP="002D1EA4">
            <w:pPr>
              <w:rPr>
                <w:rFonts w:cs="Arial"/>
                <w:sz w:val="20"/>
                <w:szCs w:val="20"/>
              </w:rPr>
            </w:pPr>
            <w:r w:rsidRPr="00F32D92">
              <w:rPr>
                <w:rFonts w:cs="Arial"/>
                <w:color w:val="000000"/>
                <w:sz w:val="20"/>
                <w:szCs w:val="20"/>
              </w:rPr>
              <w:t>1</w:t>
            </w:r>
          </w:p>
        </w:tc>
        <w:tc>
          <w:tcPr>
            <w:tcW w:w="1088" w:type="dxa"/>
            <w:noWrap/>
            <w:vAlign w:val="center"/>
          </w:tcPr>
          <w:p w14:paraId="1566BD65" w14:textId="77777777" w:rsidR="00AB6753" w:rsidRPr="00F32D92" w:rsidRDefault="00AB6753" w:rsidP="002D1EA4">
            <w:pPr>
              <w:rPr>
                <w:rFonts w:cs="Arial"/>
                <w:sz w:val="20"/>
                <w:szCs w:val="20"/>
              </w:rPr>
            </w:pPr>
            <w:r w:rsidRPr="00F32D92">
              <w:rPr>
                <w:rFonts w:cs="Arial"/>
                <w:sz w:val="20"/>
                <w:szCs w:val="20"/>
              </w:rPr>
              <w:t>0</w:t>
            </w:r>
          </w:p>
        </w:tc>
        <w:tc>
          <w:tcPr>
            <w:tcW w:w="1848" w:type="dxa"/>
            <w:tcBorders>
              <w:right w:val="single" w:sz="4" w:space="0" w:color="auto"/>
            </w:tcBorders>
            <w:noWrap/>
            <w:vAlign w:val="center"/>
          </w:tcPr>
          <w:p w14:paraId="217C84A4" w14:textId="77777777" w:rsidR="00AB6753" w:rsidRPr="00F32D92" w:rsidRDefault="00AB6753" w:rsidP="002D1EA4">
            <w:pPr>
              <w:rPr>
                <w:rFonts w:cs="Arial"/>
                <w:sz w:val="20"/>
                <w:szCs w:val="20"/>
              </w:rPr>
            </w:pPr>
            <w:r w:rsidRPr="00F32D92">
              <w:rPr>
                <w:rFonts w:cs="Arial"/>
                <w:color w:val="000000"/>
                <w:sz w:val="20"/>
                <w:szCs w:val="20"/>
              </w:rPr>
              <w:t>1</w:t>
            </w:r>
          </w:p>
        </w:tc>
        <w:tc>
          <w:tcPr>
            <w:tcW w:w="661" w:type="dxa"/>
            <w:tcBorders>
              <w:left w:val="single" w:sz="4" w:space="0" w:color="auto"/>
              <w:right w:val="single" w:sz="4" w:space="0" w:color="666666" w:themeColor="text1" w:themeTint="99"/>
            </w:tcBorders>
            <w:vAlign w:val="center"/>
          </w:tcPr>
          <w:p w14:paraId="40F93CDA" w14:textId="77777777" w:rsidR="00AB6753" w:rsidRPr="00F32D92" w:rsidRDefault="00AB6753" w:rsidP="002D1EA4">
            <w:pPr>
              <w:rPr>
                <w:rFonts w:cs="Arial"/>
                <w:sz w:val="20"/>
                <w:szCs w:val="20"/>
              </w:rPr>
            </w:pPr>
            <w:r w:rsidRPr="00F32D92">
              <w:rPr>
                <w:rFonts w:cs="Arial"/>
                <w:color w:val="000000"/>
                <w:sz w:val="20"/>
                <w:szCs w:val="20"/>
              </w:rPr>
              <w:t>16</w:t>
            </w:r>
          </w:p>
        </w:tc>
      </w:tr>
      <w:tr w:rsidR="00AB6753" w:rsidRPr="00F32D92" w14:paraId="1D7168A3" w14:textId="77777777" w:rsidTr="002D1EA4">
        <w:trPr>
          <w:trHeight w:val="315"/>
          <w:jc w:val="center"/>
        </w:trPr>
        <w:tc>
          <w:tcPr>
            <w:tcW w:w="1696" w:type="dxa"/>
            <w:tcBorders>
              <w:left w:val="single" w:sz="4" w:space="0" w:color="666666" w:themeColor="text1" w:themeTint="99"/>
              <w:right w:val="single" w:sz="4" w:space="0" w:color="auto"/>
            </w:tcBorders>
            <w:vAlign w:val="bottom"/>
          </w:tcPr>
          <w:p w14:paraId="06292E3F" w14:textId="77777777" w:rsidR="00AB6753" w:rsidRPr="00F32D92" w:rsidRDefault="00AB6753" w:rsidP="002D1EA4">
            <w:pPr>
              <w:rPr>
                <w:rFonts w:cs="Arial"/>
                <w:color w:val="000000"/>
                <w:sz w:val="20"/>
                <w:szCs w:val="20"/>
              </w:rPr>
            </w:pPr>
            <w:r w:rsidRPr="00F32D92">
              <w:rPr>
                <w:rFonts w:cs="Arial"/>
                <w:color w:val="000000"/>
                <w:sz w:val="20"/>
                <w:szCs w:val="20"/>
              </w:rPr>
              <w:t>Public Affairs Officer Grade 1</w:t>
            </w:r>
          </w:p>
        </w:tc>
        <w:tc>
          <w:tcPr>
            <w:tcW w:w="896" w:type="dxa"/>
            <w:tcBorders>
              <w:left w:val="single" w:sz="4" w:space="0" w:color="auto"/>
            </w:tcBorders>
            <w:noWrap/>
            <w:vAlign w:val="center"/>
          </w:tcPr>
          <w:p w14:paraId="74DFD7BD" w14:textId="77777777" w:rsidR="00AB6753" w:rsidRPr="00F32D92" w:rsidRDefault="00AB6753" w:rsidP="002D1EA4">
            <w:pPr>
              <w:rPr>
                <w:rFonts w:cs="Arial"/>
                <w:sz w:val="20"/>
                <w:szCs w:val="20"/>
              </w:rPr>
            </w:pPr>
            <w:r w:rsidRPr="00F32D92">
              <w:rPr>
                <w:rFonts w:cs="Arial"/>
                <w:color w:val="000000"/>
                <w:sz w:val="20"/>
                <w:szCs w:val="20"/>
              </w:rPr>
              <w:t>1</w:t>
            </w:r>
          </w:p>
        </w:tc>
        <w:tc>
          <w:tcPr>
            <w:tcW w:w="1134" w:type="dxa"/>
            <w:noWrap/>
            <w:vAlign w:val="center"/>
          </w:tcPr>
          <w:p w14:paraId="4A6457FC" w14:textId="77777777" w:rsidR="00AB6753" w:rsidRPr="00F32D92" w:rsidRDefault="00AB6753" w:rsidP="002D1EA4">
            <w:pPr>
              <w:rPr>
                <w:rFonts w:cs="Arial"/>
                <w:sz w:val="20"/>
                <w:szCs w:val="20"/>
              </w:rPr>
            </w:pPr>
            <w:r w:rsidRPr="00F32D92">
              <w:rPr>
                <w:rFonts w:cs="Arial"/>
                <w:sz w:val="20"/>
                <w:szCs w:val="20"/>
              </w:rPr>
              <w:t>0</w:t>
            </w:r>
          </w:p>
        </w:tc>
        <w:tc>
          <w:tcPr>
            <w:tcW w:w="1423" w:type="dxa"/>
            <w:tcBorders>
              <w:right w:val="single" w:sz="4" w:space="0" w:color="auto"/>
            </w:tcBorders>
            <w:noWrap/>
            <w:vAlign w:val="center"/>
          </w:tcPr>
          <w:p w14:paraId="06902ECD" w14:textId="77777777" w:rsidR="00AB6753" w:rsidRPr="00F32D92" w:rsidRDefault="00AB6753" w:rsidP="002D1EA4">
            <w:pPr>
              <w:rPr>
                <w:rFonts w:cs="Arial"/>
                <w:sz w:val="20"/>
                <w:szCs w:val="20"/>
              </w:rPr>
            </w:pPr>
            <w:r w:rsidRPr="00F32D92">
              <w:rPr>
                <w:rFonts w:cs="Arial"/>
                <w:color w:val="000000"/>
                <w:sz w:val="20"/>
                <w:szCs w:val="20"/>
              </w:rPr>
              <w:t>1</w:t>
            </w:r>
          </w:p>
        </w:tc>
        <w:tc>
          <w:tcPr>
            <w:tcW w:w="896" w:type="dxa"/>
            <w:tcBorders>
              <w:left w:val="single" w:sz="4" w:space="0" w:color="auto"/>
            </w:tcBorders>
            <w:noWrap/>
            <w:vAlign w:val="center"/>
          </w:tcPr>
          <w:p w14:paraId="64601030" w14:textId="77777777" w:rsidR="00AB6753" w:rsidRPr="00F32D92" w:rsidRDefault="00AB6753" w:rsidP="002D1EA4">
            <w:pPr>
              <w:rPr>
                <w:rFonts w:cs="Arial"/>
                <w:sz w:val="20"/>
                <w:szCs w:val="20"/>
              </w:rPr>
            </w:pPr>
            <w:r w:rsidRPr="00F32D92">
              <w:rPr>
                <w:rFonts w:cs="Arial"/>
                <w:sz w:val="20"/>
                <w:szCs w:val="20"/>
              </w:rPr>
              <w:t>0</w:t>
            </w:r>
          </w:p>
        </w:tc>
        <w:tc>
          <w:tcPr>
            <w:tcW w:w="1088" w:type="dxa"/>
            <w:noWrap/>
            <w:vAlign w:val="center"/>
          </w:tcPr>
          <w:p w14:paraId="5459F799" w14:textId="77777777" w:rsidR="00AB6753" w:rsidRPr="00F32D92" w:rsidRDefault="00AB6753" w:rsidP="002D1EA4">
            <w:pPr>
              <w:rPr>
                <w:rFonts w:cs="Arial"/>
                <w:sz w:val="20"/>
                <w:szCs w:val="20"/>
              </w:rPr>
            </w:pPr>
            <w:r w:rsidRPr="00F32D92">
              <w:rPr>
                <w:rFonts w:cs="Arial"/>
                <w:sz w:val="20"/>
                <w:szCs w:val="20"/>
              </w:rPr>
              <w:t>0</w:t>
            </w:r>
          </w:p>
        </w:tc>
        <w:tc>
          <w:tcPr>
            <w:tcW w:w="1848" w:type="dxa"/>
            <w:tcBorders>
              <w:right w:val="single" w:sz="4" w:space="0" w:color="auto"/>
            </w:tcBorders>
            <w:noWrap/>
            <w:vAlign w:val="center"/>
          </w:tcPr>
          <w:p w14:paraId="1A7C9395" w14:textId="77777777" w:rsidR="00AB6753" w:rsidRPr="00F32D92" w:rsidRDefault="00AB6753" w:rsidP="002D1EA4">
            <w:pPr>
              <w:rPr>
                <w:rFonts w:cs="Arial"/>
                <w:sz w:val="20"/>
                <w:szCs w:val="20"/>
              </w:rPr>
            </w:pPr>
            <w:r w:rsidRPr="00F32D92">
              <w:rPr>
                <w:rFonts w:cs="Arial"/>
                <w:sz w:val="20"/>
                <w:szCs w:val="20"/>
              </w:rPr>
              <w:t>0</w:t>
            </w:r>
          </w:p>
        </w:tc>
        <w:tc>
          <w:tcPr>
            <w:tcW w:w="661" w:type="dxa"/>
            <w:tcBorders>
              <w:left w:val="single" w:sz="4" w:space="0" w:color="auto"/>
              <w:right w:val="single" w:sz="4" w:space="0" w:color="666666" w:themeColor="text1" w:themeTint="99"/>
            </w:tcBorders>
            <w:vAlign w:val="center"/>
          </w:tcPr>
          <w:p w14:paraId="38367D4B" w14:textId="77777777" w:rsidR="00AB6753" w:rsidRPr="00F32D92" w:rsidRDefault="00AB6753" w:rsidP="002D1EA4">
            <w:pPr>
              <w:rPr>
                <w:rFonts w:cs="Arial"/>
                <w:sz w:val="20"/>
                <w:szCs w:val="20"/>
              </w:rPr>
            </w:pPr>
            <w:r w:rsidRPr="00F32D92">
              <w:rPr>
                <w:rFonts w:cs="Arial"/>
                <w:color w:val="000000"/>
                <w:sz w:val="20"/>
                <w:szCs w:val="20"/>
              </w:rPr>
              <w:t>1</w:t>
            </w:r>
          </w:p>
        </w:tc>
      </w:tr>
      <w:tr w:rsidR="00AB6753" w:rsidRPr="00F32D92" w14:paraId="124BEE9E" w14:textId="77777777" w:rsidTr="002D1EA4">
        <w:trPr>
          <w:trHeight w:val="315"/>
          <w:jc w:val="center"/>
        </w:trPr>
        <w:tc>
          <w:tcPr>
            <w:tcW w:w="1696" w:type="dxa"/>
            <w:tcBorders>
              <w:left w:val="single" w:sz="4" w:space="0" w:color="666666" w:themeColor="text1" w:themeTint="99"/>
              <w:right w:val="single" w:sz="4" w:space="0" w:color="auto"/>
            </w:tcBorders>
            <w:vAlign w:val="bottom"/>
          </w:tcPr>
          <w:p w14:paraId="22C7E625" w14:textId="77777777" w:rsidR="00AB6753" w:rsidRPr="00F32D92" w:rsidRDefault="00AB6753" w:rsidP="002D1EA4">
            <w:pPr>
              <w:rPr>
                <w:rFonts w:cs="Arial"/>
                <w:sz w:val="20"/>
                <w:szCs w:val="20"/>
              </w:rPr>
            </w:pPr>
            <w:r w:rsidRPr="00F32D92">
              <w:rPr>
                <w:rFonts w:cs="Arial"/>
                <w:sz w:val="20"/>
                <w:szCs w:val="20"/>
              </w:rPr>
              <w:t>Principal Legal Officer</w:t>
            </w:r>
          </w:p>
        </w:tc>
        <w:tc>
          <w:tcPr>
            <w:tcW w:w="896" w:type="dxa"/>
            <w:tcBorders>
              <w:left w:val="single" w:sz="4" w:space="0" w:color="auto"/>
            </w:tcBorders>
            <w:noWrap/>
            <w:vAlign w:val="center"/>
          </w:tcPr>
          <w:p w14:paraId="69D4E45E" w14:textId="77777777" w:rsidR="00AB6753" w:rsidRPr="00F32D92" w:rsidRDefault="00AB6753" w:rsidP="002D1EA4">
            <w:pPr>
              <w:rPr>
                <w:rFonts w:cs="Arial"/>
                <w:sz w:val="20"/>
                <w:szCs w:val="20"/>
              </w:rPr>
            </w:pPr>
            <w:r w:rsidRPr="00F32D92">
              <w:rPr>
                <w:rFonts w:cs="Arial"/>
                <w:color w:val="000000"/>
                <w:sz w:val="20"/>
                <w:szCs w:val="20"/>
              </w:rPr>
              <w:t>7</w:t>
            </w:r>
          </w:p>
        </w:tc>
        <w:tc>
          <w:tcPr>
            <w:tcW w:w="1134" w:type="dxa"/>
            <w:noWrap/>
            <w:vAlign w:val="center"/>
          </w:tcPr>
          <w:p w14:paraId="2749DC91" w14:textId="77777777" w:rsidR="00AB6753" w:rsidRPr="00F32D92" w:rsidRDefault="00AB6753" w:rsidP="002D1EA4">
            <w:pPr>
              <w:rPr>
                <w:rFonts w:cs="Arial"/>
                <w:sz w:val="20"/>
                <w:szCs w:val="20"/>
              </w:rPr>
            </w:pPr>
            <w:r w:rsidRPr="00F32D92">
              <w:rPr>
                <w:rFonts w:cs="Arial"/>
                <w:color w:val="000000"/>
                <w:sz w:val="20"/>
                <w:szCs w:val="20"/>
              </w:rPr>
              <w:t>3</w:t>
            </w:r>
          </w:p>
        </w:tc>
        <w:tc>
          <w:tcPr>
            <w:tcW w:w="1423" w:type="dxa"/>
            <w:tcBorders>
              <w:right w:val="single" w:sz="4" w:space="0" w:color="auto"/>
            </w:tcBorders>
            <w:noWrap/>
            <w:vAlign w:val="center"/>
          </w:tcPr>
          <w:p w14:paraId="579F6829" w14:textId="77777777" w:rsidR="00AB6753" w:rsidRPr="00F32D92" w:rsidRDefault="00AB6753" w:rsidP="002D1EA4">
            <w:pPr>
              <w:rPr>
                <w:rFonts w:cs="Arial"/>
                <w:sz w:val="20"/>
                <w:szCs w:val="20"/>
              </w:rPr>
            </w:pPr>
            <w:r w:rsidRPr="00F32D92">
              <w:rPr>
                <w:rFonts w:cs="Arial"/>
                <w:color w:val="000000"/>
                <w:sz w:val="20"/>
                <w:szCs w:val="20"/>
              </w:rPr>
              <w:t>10</w:t>
            </w:r>
          </w:p>
        </w:tc>
        <w:tc>
          <w:tcPr>
            <w:tcW w:w="896" w:type="dxa"/>
            <w:tcBorders>
              <w:left w:val="single" w:sz="4" w:space="0" w:color="auto"/>
            </w:tcBorders>
            <w:noWrap/>
            <w:vAlign w:val="center"/>
          </w:tcPr>
          <w:p w14:paraId="196BE3A9" w14:textId="77777777" w:rsidR="00AB6753" w:rsidRPr="00F32D92" w:rsidRDefault="00AB6753" w:rsidP="002D1EA4">
            <w:pPr>
              <w:rPr>
                <w:rFonts w:cs="Arial"/>
                <w:sz w:val="20"/>
                <w:szCs w:val="20"/>
              </w:rPr>
            </w:pPr>
            <w:r w:rsidRPr="00F32D92">
              <w:rPr>
                <w:rFonts w:cs="Arial"/>
                <w:sz w:val="20"/>
                <w:szCs w:val="20"/>
              </w:rPr>
              <w:t>0</w:t>
            </w:r>
          </w:p>
        </w:tc>
        <w:tc>
          <w:tcPr>
            <w:tcW w:w="1088" w:type="dxa"/>
            <w:noWrap/>
            <w:vAlign w:val="center"/>
          </w:tcPr>
          <w:p w14:paraId="5B097A0C" w14:textId="77777777" w:rsidR="00AB6753" w:rsidRPr="00F32D92" w:rsidRDefault="00AB6753" w:rsidP="002D1EA4">
            <w:pPr>
              <w:rPr>
                <w:rFonts w:cs="Arial"/>
                <w:sz w:val="20"/>
                <w:szCs w:val="20"/>
              </w:rPr>
            </w:pPr>
            <w:r w:rsidRPr="00F32D92">
              <w:rPr>
                <w:rFonts w:cs="Arial"/>
                <w:sz w:val="20"/>
                <w:szCs w:val="20"/>
              </w:rPr>
              <w:t>0</w:t>
            </w:r>
          </w:p>
        </w:tc>
        <w:tc>
          <w:tcPr>
            <w:tcW w:w="1848" w:type="dxa"/>
            <w:tcBorders>
              <w:right w:val="single" w:sz="4" w:space="0" w:color="auto"/>
            </w:tcBorders>
            <w:noWrap/>
            <w:vAlign w:val="center"/>
          </w:tcPr>
          <w:p w14:paraId="159C0C48" w14:textId="77777777" w:rsidR="00AB6753" w:rsidRPr="00F32D92" w:rsidRDefault="00AB6753" w:rsidP="002D1EA4">
            <w:pPr>
              <w:rPr>
                <w:rFonts w:cs="Arial"/>
                <w:sz w:val="20"/>
                <w:szCs w:val="20"/>
              </w:rPr>
            </w:pPr>
            <w:r w:rsidRPr="00F32D92">
              <w:rPr>
                <w:rFonts w:cs="Arial"/>
                <w:sz w:val="20"/>
                <w:szCs w:val="20"/>
              </w:rPr>
              <w:t>0</w:t>
            </w:r>
          </w:p>
        </w:tc>
        <w:tc>
          <w:tcPr>
            <w:tcW w:w="661" w:type="dxa"/>
            <w:tcBorders>
              <w:left w:val="single" w:sz="4" w:space="0" w:color="auto"/>
              <w:right w:val="single" w:sz="4" w:space="0" w:color="666666" w:themeColor="text1" w:themeTint="99"/>
            </w:tcBorders>
            <w:vAlign w:val="center"/>
          </w:tcPr>
          <w:p w14:paraId="1E8FEB8B" w14:textId="77777777" w:rsidR="00AB6753" w:rsidRPr="00F32D92" w:rsidRDefault="00AB6753" w:rsidP="002D1EA4">
            <w:pPr>
              <w:rPr>
                <w:rFonts w:cs="Arial"/>
                <w:sz w:val="20"/>
                <w:szCs w:val="20"/>
              </w:rPr>
            </w:pPr>
            <w:r w:rsidRPr="00F32D92">
              <w:rPr>
                <w:rFonts w:cs="Arial"/>
                <w:color w:val="000000"/>
                <w:sz w:val="20"/>
                <w:szCs w:val="20"/>
              </w:rPr>
              <w:t>10</w:t>
            </w:r>
          </w:p>
        </w:tc>
      </w:tr>
      <w:tr w:rsidR="00AB6753" w:rsidRPr="00F32D92" w14:paraId="10586CC1" w14:textId="77777777" w:rsidTr="002D1EA4">
        <w:trPr>
          <w:trHeight w:val="315"/>
          <w:jc w:val="center"/>
        </w:trPr>
        <w:tc>
          <w:tcPr>
            <w:tcW w:w="1696" w:type="dxa"/>
            <w:tcBorders>
              <w:left w:val="single" w:sz="4" w:space="0" w:color="666666" w:themeColor="text1" w:themeTint="99"/>
              <w:right w:val="single" w:sz="4" w:space="0" w:color="auto"/>
            </w:tcBorders>
            <w:vAlign w:val="bottom"/>
          </w:tcPr>
          <w:p w14:paraId="060DE2F1" w14:textId="77777777" w:rsidR="00AB6753" w:rsidRPr="00F32D92" w:rsidRDefault="00AB6753" w:rsidP="002D1EA4">
            <w:pPr>
              <w:rPr>
                <w:rFonts w:cs="Arial"/>
                <w:sz w:val="20"/>
                <w:szCs w:val="20"/>
              </w:rPr>
            </w:pPr>
            <w:r w:rsidRPr="00F32D92">
              <w:rPr>
                <w:rFonts w:cs="Arial"/>
                <w:sz w:val="20"/>
                <w:szCs w:val="20"/>
              </w:rPr>
              <w:t>Senior Legal Officer</w:t>
            </w:r>
          </w:p>
        </w:tc>
        <w:tc>
          <w:tcPr>
            <w:tcW w:w="896" w:type="dxa"/>
            <w:tcBorders>
              <w:left w:val="single" w:sz="4" w:space="0" w:color="auto"/>
            </w:tcBorders>
            <w:noWrap/>
            <w:vAlign w:val="center"/>
          </w:tcPr>
          <w:p w14:paraId="5DC7EC39" w14:textId="77777777" w:rsidR="00AB6753" w:rsidRPr="00F32D92" w:rsidRDefault="00AB6753" w:rsidP="002D1EA4">
            <w:pPr>
              <w:rPr>
                <w:rFonts w:cs="Arial"/>
                <w:sz w:val="20"/>
                <w:szCs w:val="20"/>
              </w:rPr>
            </w:pPr>
            <w:r w:rsidRPr="00F32D92">
              <w:rPr>
                <w:rFonts w:cs="Arial"/>
                <w:color w:val="000000"/>
                <w:sz w:val="20"/>
                <w:szCs w:val="20"/>
              </w:rPr>
              <w:t>8</w:t>
            </w:r>
          </w:p>
        </w:tc>
        <w:tc>
          <w:tcPr>
            <w:tcW w:w="1134" w:type="dxa"/>
            <w:noWrap/>
            <w:vAlign w:val="center"/>
          </w:tcPr>
          <w:p w14:paraId="59BE3B25" w14:textId="77777777" w:rsidR="00AB6753" w:rsidRPr="00F32D92" w:rsidRDefault="00AB6753" w:rsidP="002D1EA4">
            <w:pPr>
              <w:rPr>
                <w:rFonts w:cs="Arial"/>
                <w:sz w:val="20"/>
                <w:szCs w:val="20"/>
              </w:rPr>
            </w:pPr>
            <w:r w:rsidRPr="00F32D92">
              <w:rPr>
                <w:rFonts w:cs="Arial"/>
                <w:color w:val="000000"/>
                <w:sz w:val="20"/>
                <w:szCs w:val="20"/>
              </w:rPr>
              <w:t>5</w:t>
            </w:r>
          </w:p>
        </w:tc>
        <w:tc>
          <w:tcPr>
            <w:tcW w:w="1423" w:type="dxa"/>
            <w:tcBorders>
              <w:right w:val="single" w:sz="4" w:space="0" w:color="auto"/>
            </w:tcBorders>
            <w:noWrap/>
            <w:vAlign w:val="center"/>
          </w:tcPr>
          <w:p w14:paraId="71EFDE9E" w14:textId="77777777" w:rsidR="00AB6753" w:rsidRPr="00F32D92" w:rsidRDefault="00AB6753" w:rsidP="002D1EA4">
            <w:pPr>
              <w:rPr>
                <w:rFonts w:cs="Arial"/>
                <w:sz w:val="20"/>
                <w:szCs w:val="20"/>
              </w:rPr>
            </w:pPr>
            <w:r w:rsidRPr="00F32D92">
              <w:rPr>
                <w:rFonts w:cs="Arial"/>
                <w:color w:val="000000"/>
                <w:sz w:val="20"/>
                <w:szCs w:val="20"/>
              </w:rPr>
              <w:t>13</w:t>
            </w:r>
          </w:p>
        </w:tc>
        <w:tc>
          <w:tcPr>
            <w:tcW w:w="896" w:type="dxa"/>
            <w:tcBorders>
              <w:left w:val="single" w:sz="4" w:space="0" w:color="auto"/>
            </w:tcBorders>
            <w:noWrap/>
            <w:vAlign w:val="center"/>
          </w:tcPr>
          <w:p w14:paraId="1A3C4DFC" w14:textId="77777777" w:rsidR="00AB6753" w:rsidRPr="00F32D92" w:rsidRDefault="00AB6753" w:rsidP="002D1EA4">
            <w:pPr>
              <w:rPr>
                <w:rFonts w:cs="Arial"/>
                <w:sz w:val="20"/>
                <w:szCs w:val="20"/>
              </w:rPr>
            </w:pPr>
            <w:r w:rsidRPr="00F32D92">
              <w:rPr>
                <w:rFonts w:cs="Arial"/>
                <w:sz w:val="20"/>
                <w:szCs w:val="20"/>
              </w:rPr>
              <w:t>0</w:t>
            </w:r>
          </w:p>
        </w:tc>
        <w:tc>
          <w:tcPr>
            <w:tcW w:w="1088" w:type="dxa"/>
            <w:noWrap/>
            <w:vAlign w:val="center"/>
          </w:tcPr>
          <w:p w14:paraId="16887652" w14:textId="77777777" w:rsidR="00AB6753" w:rsidRPr="00F32D92" w:rsidRDefault="00AB6753" w:rsidP="002D1EA4">
            <w:pPr>
              <w:rPr>
                <w:rFonts w:cs="Arial"/>
                <w:sz w:val="20"/>
                <w:szCs w:val="20"/>
              </w:rPr>
            </w:pPr>
            <w:r w:rsidRPr="00F32D92">
              <w:rPr>
                <w:rFonts w:cs="Arial"/>
                <w:sz w:val="20"/>
                <w:szCs w:val="20"/>
              </w:rPr>
              <w:t>0</w:t>
            </w:r>
          </w:p>
        </w:tc>
        <w:tc>
          <w:tcPr>
            <w:tcW w:w="1848" w:type="dxa"/>
            <w:tcBorders>
              <w:right w:val="single" w:sz="4" w:space="0" w:color="auto"/>
            </w:tcBorders>
            <w:noWrap/>
            <w:vAlign w:val="center"/>
          </w:tcPr>
          <w:p w14:paraId="0C2FDCFE" w14:textId="77777777" w:rsidR="00AB6753" w:rsidRPr="00F32D92" w:rsidRDefault="00AB6753" w:rsidP="002D1EA4">
            <w:pPr>
              <w:rPr>
                <w:rFonts w:cs="Arial"/>
                <w:sz w:val="20"/>
                <w:szCs w:val="20"/>
              </w:rPr>
            </w:pPr>
            <w:r w:rsidRPr="00F32D92">
              <w:rPr>
                <w:rFonts w:cs="Arial"/>
                <w:sz w:val="20"/>
                <w:szCs w:val="20"/>
              </w:rPr>
              <w:t>0</w:t>
            </w:r>
          </w:p>
        </w:tc>
        <w:tc>
          <w:tcPr>
            <w:tcW w:w="661" w:type="dxa"/>
            <w:tcBorders>
              <w:left w:val="single" w:sz="4" w:space="0" w:color="auto"/>
              <w:right w:val="single" w:sz="4" w:space="0" w:color="666666" w:themeColor="text1" w:themeTint="99"/>
            </w:tcBorders>
            <w:vAlign w:val="center"/>
          </w:tcPr>
          <w:p w14:paraId="233DAE67" w14:textId="77777777" w:rsidR="00AB6753" w:rsidRPr="00F32D92" w:rsidRDefault="00AB6753" w:rsidP="002D1EA4">
            <w:pPr>
              <w:rPr>
                <w:rFonts w:cs="Arial"/>
                <w:sz w:val="20"/>
                <w:szCs w:val="20"/>
              </w:rPr>
            </w:pPr>
            <w:r w:rsidRPr="00F32D92">
              <w:rPr>
                <w:rFonts w:cs="Arial"/>
                <w:color w:val="000000"/>
                <w:sz w:val="20"/>
                <w:szCs w:val="20"/>
              </w:rPr>
              <w:t>13</w:t>
            </w:r>
          </w:p>
        </w:tc>
      </w:tr>
      <w:tr w:rsidR="00AB6753" w:rsidRPr="00F32D92" w14:paraId="37275E7A" w14:textId="77777777" w:rsidTr="002D1EA4">
        <w:trPr>
          <w:trHeight w:val="315"/>
          <w:jc w:val="center"/>
        </w:trPr>
        <w:tc>
          <w:tcPr>
            <w:tcW w:w="1696" w:type="dxa"/>
            <w:tcBorders>
              <w:left w:val="single" w:sz="4" w:space="0" w:color="666666" w:themeColor="text1" w:themeTint="99"/>
              <w:right w:val="single" w:sz="4" w:space="0" w:color="auto"/>
            </w:tcBorders>
            <w:vAlign w:val="bottom"/>
          </w:tcPr>
          <w:p w14:paraId="2B50D898" w14:textId="77777777" w:rsidR="00AB6753" w:rsidRPr="00F32D92" w:rsidRDefault="00AB6753" w:rsidP="002D1EA4">
            <w:pPr>
              <w:rPr>
                <w:rFonts w:cs="Arial"/>
                <w:sz w:val="20"/>
                <w:szCs w:val="20"/>
              </w:rPr>
            </w:pPr>
            <w:r w:rsidRPr="00F32D92">
              <w:rPr>
                <w:rFonts w:cs="Arial"/>
                <w:sz w:val="20"/>
                <w:szCs w:val="20"/>
              </w:rPr>
              <w:t>Legal Officer</w:t>
            </w:r>
          </w:p>
        </w:tc>
        <w:tc>
          <w:tcPr>
            <w:tcW w:w="896" w:type="dxa"/>
            <w:tcBorders>
              <w:left w:val="single" w:sz="4" w:space="0" w:color="auto"/>
            </w:tcBorders>
            <w:noWrap/>
            <w:vAlign w:val="center"/>
          </w:tcPr>
          <w:p w14:paraId="579206B3" w14:textId="77777777" w:rsidR="00AB6753" w:rsidRPr="00F32D92" w:rsidRDefault="00AB6753" w:rsidP="002D1EA4">
            <w:pPr>
              <w:rPr>
                <w:rFonts w:cs="Arial"/>
                <w:sz w:val="20"/>
                <w:szCs w:val="20"/>
              </w:rPr>
            </w:pPr>
            <w:r w:rsidRPr="00F32D92">
              <w:rPr>
                <w:rFonts w:cs="Arial"/>
                <w:color w:val="000000"/>
                <w:sz w:val="20"/>
                <w:szCs w:val="20"/>
              </w:rPr>
              <w:t>9</w:t>
            </w:r>
          </w:p>
        </w:tc>
        <w:tc>
          <w:tcPr>
            <w:tcW w:w="1134" w:type="dxa"/>
            <w:noWrap/>
            <w:vAlign w:val="center"/>
          </w:tcPr>
          <w:p w14:paraId="1817E5CF" w14:textId="77777777" w:rsidR="00AB6753" w:rsidRPr="00F32D92" w:rsidRDefault="00AB6753" w:rsidP="002D1EA4">
            <w:pPr>
              <w:rPr>
                <w:rFonts w:cs="Arial"/>
                <w:sz w:val="20"/>
                <w:szCs w:val="20"/>
              </w:rPr>
            </w:pPr>
            <w:r w:rsidRPr="00F32D92">
              <w:rPr>
                <w:rFonts w:cs="Arial"/>
                <w:color w:val="000000"/>
                <w:sz w:val="20"/>
                <w:szCs w:val="20"/>
              </w:rPr>
              <w:t>1</w:t>
            </w:r>
          </w:p>
        </w:tc>
        <w:tc>
          <w:tcPr>
            <w:tcW w:w="1423" w:type="dxa"/>
            <w:tcBorders>
              <w:right w:val="single" w:sz="4" w:space="0" w:color="auto"/>
            </w:tcBorders>
            <w:noWrap/>
            <w:vAlign w:val="center"/>
          </w:tcPr>
          <w:p w14:paraId="67D7F570" w14:textId="77777777" w:rsidR="00AB6753" w:rsidRPr="00F32D92" w:rsidRDefault="00AB6753" w:rsidP="002D1EA4">
            <w:pPr>
              <w:rPr>
                <w:rFonts w:cs="Arial"/>
                <w:sz w:val="20"/>
                <w:szCs w:val="20"/>
              </w:rPr>
            </w:pPr>
            <w:r w:rsidRPr="00F32D92">
              <w:rPr>
                <w:rFonts w:cs="Arial"/>
                <w:color w:val="000000"/>
                <w:sz w:val="20"/>
                <w:szCs w:val="20"/>
              </w:rPr>
              <w:t>10</w:t>
            </w:r>
          </w:p>
        </w:tc>
        <w:tc>
          <w:tcPr>
            <w:tcW w:w="896" w:type="dxa"/>
            <w:tcBorders>
              <w:left w:val="single" w:sz="4" w:space="0" w:color="auto"/>
            </w:tcBorders>
            <w:noWrap/>
            <w:vAlign w:val="center"/>
          </w:tcPr>
          <w:p w14:paraId="62EFAF37" w14:textId="77777777" w:rsidR="00AB6753" w:rsidRPr="00F32D92" w:rsidRDefault="00AB6753" w:rsidP="002D1EA4">
            <w:pPr>
              <w:rPr>
                <w:rFonts w:cs="Arial"/>
                <w:sz w:val="20"/>
                <w:szCs w:val="20"/>
              </w:rPr>
            </w:pPr>
            <w:r w:rsidRPr="00F32D92">
              <w:rPr>
                <w:rFonts w:cs="Arial"/>
                <w:sz w:val="20"/>
                <w:szCs w:val="20"/>
              </w:rPr>
              <w:t>0</w:t>
            </w:r>
          </w:p>
        </w:tc>
        <w:tc>
          <w:tcPr>
            <w:tcW w:w="1088" w:type="dxa"/>
            <w:noWrap/>
            <w:vAlign w:val="center"/>
          </w:tcPr>
          <w:p w14:paraId="2021AF8B" w14:textId="77777777" w:rsidR="00AB6753" w:rsidRPr="00F32D92" w:rsidRDefault="00AB6753" w:rsidP="002D1EA4">
            <w:pPr>
              <w:rPr>
                <w:rFonts w:cs="Arial"/>
                <w:sz w:val="20"/>
                <w:szCs w:val="20"/>
              </w:rPr>
            </w:pPr>
            <w:r w:rsidRPr="00F32D92">
              <w:rPr>
                <w:rFonts w:cs="Arial"/>
                <w:sz w:val="20"/>
                <w:szCs w:val="20"/>
              </w:rPr>
              <w:t>0</w:t>
            </w:r>
          </w:p>
        </w:tc>
        <w:tc>
          <w:tcPr>
            <w:tcW w:w="1848" w:type="dxa"/>
            <w:tcBorders>
              <w:right w:val="single" w:sz="4" w:space="0" w:color="auto"/>
            </w:tcBorders>
            <w:noWrap/>
            <w:vAlign w:val="center"/>
          </w:tcPr>
          <w:p w14:paraId="475823D0" w14:textId="77777777" w:rsidR="00AB6753" w:rsidRPr="00F32D92" w:rsidRDefault="00AB6753" w:rsidP="002D1EA4">
            <w:pPr>
              <w:rPr>
                <w:rFonts w:cs="Arial"/>
                <w:sz w:val="20"/>
                <w:szCs w:val="20"/>
              </w:rPr>
            </w:pPr>
            <w:r w:rsidRPr="00F32D92">
              <w:rPr>
                <w:rFonts w:cs="Arial"/>
                <w:sz w:val="20"/>
                <w:szCs w:val="20"/>
              </w:rPr>
              <w:t>0</w:t>
            </w:r>
          </w:p>
        </w:tc>
        <w:tc>
          <w:tcPr>
            <w:tcW w:w="661" w:type="dxa"/>
            <w:tcBorders>
              <w:left w:val="single" w:sz="4" w:space="0" w:color="auto"/>
              <w:right w:val="single" w:sz="4" w:space="0" w:color="666666" w:themeColor="text1" w:themeTint="99"/>
            </w:tcBorders>
            <w:vAlign w:val="center"/>
          </w:tcPr>
          <w:p w14:paraId="1B62C4DF" w14:textId="77777777" w:rsidR="00AB6753" w:rsidRPr="00F32D92" w:rsidRDefault="00AB6753" w:rsidP="002D1EA4">
            <w:pPr>
              <w:rPr>
                <w:rFonts w:cs="Arial"/>
                <w:sz w:val="20"/>
                <w:szCs w:val="20"/>
              </w:rPr>
            </w:pPr>
            <w:r w:rsidRPr="00F32D92">
              <w:rPr>
                <w:rFonts w:cs="Arial"/>
                <w:color w:val="000000"/>
                <w:sz w:val="20"/>
                <w:szCs w:val="20"/>
              </w:rPr>
              <w:t>10</w:t>
            </w:r>
          </w:p>
        </w:tc>
      </w:tr>
      <w:tr w:rsidR="00AB6753" w:rsidRPr="00F32D92" w14:paraId="17DF5FEF"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7C604263" w14:textId="77777777" w:rsidR="00AB6753" w:rsidRPr="00F32D92" w:rsidRDefault="00AB6753" w:rsidP="002D1EA4">
            <w:pPr>
              <w:rPr>
                <w:rFonts w:cs="Arial"/>
                <w:sz w:val="20"/>
                <w:szCs w:val="20"/>
              </w:rPr>
            </w:pPr>
            <w:r w:rsidRPr="00F32D92">
              <w:rPr>
                <w:rFonts w:cs="Arial"/>
                <w:sz w:val="20"/>
                <w:szCs w:val="20"/>
              </w:rPr>
              <w:t>APS 6</w:t>
            </w:r>
          </w:p>
        </w:tc>
        <w:tc>
          <w:tcPr>
            <w:tcW w:w="896" w:type="dxa"/>
            <w:tcBorders>
              <w:left w:val="single" w:sz="4" w:space="0" w:color="auto"/>
            </w:tcBorders>
            <w:noWrap/>
            <w:vAlign w:val="center"/>
            <w:hideMark/>
          </w:tcPr>
          <w:p w14:paraId="13DFC887" w14:textId="77777777" w:rsidR="00AB6753" w:rsidRPr="00F32D92" w:rsidRDefault="00AB6753" w:rsidP="002D1EA4">
            <w:pPr>
              <w:rPr>
                <w:rFonts w:cs="Arial"/>
                <w:sz w:val="20"/>
                <w:szCs w:val="20"/>
              </w:rPr>
            </w:pPr>
            <w:r w:rsidRPr="00F32D92">
              <w:rPr>
                <w:rFonts w:cs="Arial"/>
                <w:color w:val="000000"/>
                <w:sz w:val="20"/>
                <w:szCs w:val="20"/>
              </w:rPr>
              <w:t>529</w:t>
            </w:r>
          </w:p>
        </w:tc>
        <w:tc>
          <w:tcPr>
            <w:tcW w:w="1134" w:type="dxa"/>
            <w:noWrap/>
            <w:vAlign w:val="center"/>
            <w:hideMark/>
          </w:tcPr>
          <w:p w14:paraId="0B1CA090" w14:textId="77777777" w:rsidR="00AB6753" w:rsidRPr="00F32D92" w:rsidRDefault="00AB6753" w:rsidP="002D1EA4">
            <w:pPr>
              <w:rPr>
                <w:rFonts w:cs="Arial"/>
                <w:sz w:val="20"/>
                <w:szCs w:val="20"/>
              </w:rPr>
            </w:pPr>
            <w:r w:rsidRPr="00F32D92">
              <w:rPr>
                <w:rFonts w:cs="Arial"/>
                <w:color w:val="000000"/>
                <w:sz w:val="20"/>
                <w:szCs w:val="20"/>
              </w:rPr>
              <w:t>184</w:t>
            </w:r>
          </w:p>
        </w:tc>
        <w:tc>
          <w:tcPr>
            <w:tcW w:w="1423" w:type="dxa"/>
            <w:tcBorders>
              <w:right w:val="single" w:sz="4" w:space="0" w:color="auto"/>
            </w:tcBorders>
            <w:noWrap/>
            <w:vAlign w:val="center"/>
            <w:hideMark/>
          </w:tcPr>
          <w:p w14:paraId="64486CA8" w14:textId="77777777" w:rsidR="00AB6753" w:rsidRPr="00F32D92" w:rsidRDefault="00AB6753" w:rsidP="002D1EA4">
            <w:pPr>
              <w:rPr>
                <w:rFonts w:cs="Arial"/>
                <w:sz w:val="20"/>
                <w:szCs w:val="20"/>
              </w:rPr>
            </w:pPr>
            <w:r w:rsidRPr="00F32D92">
              <w:rPr>
                <w:rFonts w:cs="Arial"/>
                <w:color w:val="000000"/>
                <w:sz w:val="20"/>
                <w:szCs w:val="20"/>
              </w:rPr>
              <w:t>713</w:t>
            </w:r>
          </w:p>
        </w:tc>
        <w:tc>
          <w:tcPr>
            <w:tcW w:w="896" w:type="dxa"/>
            <w:tcBorders>
              <w:left w:val="single" w:sz="4" w:space="0" w:color="auto"/>
            </w:tcBorders>
            <w:noWrap/>
            <w:vAlign w:val="center"/>
            <w:hideMark/>
          </w:tcPr>
          <w:p w14:paraId="497D59A6" w14:textId="77777777" w:rsidR="00AB6753" w:rsidRPr="00F32D92" w:rsidRDefault="00AB6753" w:rsidP="002D1EA4">
            <w:pPr>
              <w:rPr>
                <w:rFonts w:cs="Arial"/>
                <w:sz w:val="20"/>
                <w:szCs w:val="20"/>
              </w:rPr>
            </w:pPr>
            <w:r w:rsidRPr="00F32D92">
              <w:rPr>
                <w:rFonts w:cs="Arial"/>
                <w:color w:val="000000"/>
                <w:sz w:val="20"/>
                <w:szCs w:val="20"/>
              </w:rPr>
              <w:t>8</w:t>
            </w:r>
          </w:p>
        </w:tc>
        <w:tc>
          <w:tcPr>
            <w:tcW w:w="1088" w:type="dxa"/>
            <w:noWrap/>
            <w:vAlign w:val="center"/>
            <w:hideMark/>
          </w:tcPr>
          <w:p w14:paraId="68E50F5E" w14:textId="77777777" w:rsidR="00AB6753" w:rsidRPr="00F32D92" w:rsidRDefault="00AB6753" w:rsidP="002D1EA4">
            <w:pPr>
              <w:rPr>
                <w:rFonts w:cs="Arial"/>
                <w:sz w:val="20"/>
                <w:szCs w:val="20"/>
              </w:rPr>
            </w:pPr>
            <w:r w:rsidRPr="00F32D92">
              <w:rPr>
                <w:rFonts w:cs="Arial"/>
                <w:color w:val="000000"/>
                <w:sz w:val="20"/>
                <w:szCs w:val="20"/>
              </w:rPr>
              <w:t>1</w:t>
            </w:r>
          </w:p>
        </w:tc>
        <w:tc>
          <w:tcPr>
            <w:tcW w:w="1848" w:type="dxa"/>
            <w:tcBorders>
              <w:right w:val="single" w:sz="4" w:space="0" w:color="auto"/>
            </w:tcBorders>
            <w:noWrap/>
            <w:vAlign w:val="center"/>
            <w:hideMark/>
          </w:tcPr>
          <w:p w14:paraId="368B6FBA" w14:textId="77777777" w:rsidR="00AB6753" w:rsidRPr="00F32D92" w:rsidRDefault="00AB6753" w:rsidP="002D1EA4">
            <w:pPr>
              <w:rPr>
                <w:rFonts w:cs="Arial"/>
                <w:sz w:val="20"/>
                <w:szCs w:val="20"/>
              </w:rPr>
            </w:pPr>
            <w:r w:rsidRPr="00F32D92">
              <w:rPr>
                <w:rFonts w:cs="Arial"/>
                <w:color w:val="000000"/>
                <w:sz w:val="20"/>
                <w:szCs w:val="20"/>
              </w:rPr>
              <w:t>9</w:t>
            </w:r>
          </w:p>
        </w:tc>
        <w:tc>
          <w:tcPr>
            <w:tcW w:w="661" w:type="dxa"/>
            <w:tcBorders>
              <w:left w:val="single" w:sz="4" w:space="0" w:color="auto"/>
              <w:right w:val="single" w:sz="4" w:space="0" w:color="666666" w:themeColor="text1" w:themeTint="99"/>
            </w:tcBorders>
            <w:vAlign w:val="center"/>
          </w:tcPr>
          <w:p w14:paraId="1E49FF99" w14:textId="77777777" w:rsidR="00AB6753" w:rsidRPr="00F32D92" w:rsidRDefault="00AB6753" w:rsidP="002D1EA4">
            <w:pPr>
              <w:rPr>
                <w:rFonts w:cs="Arial"/>
                <w:sz w:val="20"/>
                <w:szCs w:val="20"/>
              </w:rPr>
            </w:pPr>
            <w:r w:rsidRPr="00F32D92">
              <w:rPr>
                <w:rFonts w:cs="Arial"/>
                <w:color w:val="000000"/>
                <w:sz w:val="20"/>
                <w:szCs w:val="20"/>
              </w:rPr>
              <w:t>722</w:t>
            </w:r>
          </w:p>
        </w:tc>
      </w:tr>
      <w:tr w:rsidR="00AB6753" w:rsidRPr="00F32D92" w14:paraId="4BEA5902"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6F701502" w14:textId="77777777" w:rsidR="00AB6753" w:rsidRPr="00F32D92" w:rsidRDefault="00AB6753" w:rsidP="002D1EA4">
            <w:pPr>
              <w:rPr>
                <w:rFonts w:cs="Arial"/>
                <w:sz w:val="20"/>
                <w:szCs w:val="20"/>
              </w:rPr>
            </w:pPr>
            <w:r w:rsidRPr="00F32D92">
              <w:rPr>
                <w:rFonts w:cs="Arial"/>
                <w:sz w:val="20"/>
                <w:szCs w:val="20"/>
              </w:rPr>
              <w:t>APS 5</w:t>
            </w:r>
          </w:p>
        </w:tc>
        <w:tc>
          <w:tcPr>
            <w:tcW w:w="896" w:type="dxa"/>
            <w:tcBorders>
              <w:left w:val="single" w:sz="4" w:space="0" w:color="auto"/>
            </w:tcBorders>
            <w:noWrap/>
            <w:vAlign w:val="center"/>
            <w:hideMark/>
          </w:tcPr>
          <w:p w14:paraId="39E2EEFB" w14:textId="77777777" w:rsidR="00AB6753" w:rsidRPr="00F32D92" w:rsidRDefault="00AB6753" w:rsidP="002D1EA4">
            <w:pPr>
              <w:rPr>
                <w:rFonts w:cs="Arial"/>
                <w:sz w:val="20"/>
                <w:szCs w:val="20"/>
              </w:rPr>
            </w:pPr>
            <w:r w:rsidRPr="00F32D92">
              <w:rPr>
                <w:rFonts w:cs="Arial"/>
                <w:color w:val="000000"/>
                <w:sz w:val="20"/>
                <w:szCs w:val="20"/>
              </w:rPr>
              <w:t>358</w:t>
            </w:r>
          </w:p>
        </w:tc>
        <w:tc>
          <w:tcPr>
            <w:tcW w:w="1134" w:type="dxa"/>
            <w:noWrap/>
            <w:vAlign w:val="center"/>
            <w:hideMark/>
          </w:tcPr>
          <w:p w14:paraId="51F6D365" w14:textId="77777777" w:rsidR="00AB6753" w:rsidRPr="00F32D92" w:rsidRDefault="00AB6753" w:rsidP="002D1EA4">
            <w:pPr>
              <w:rPr>
                <w:rFonts w:cs="Arial"/>
                <w:sz w:val="20"/>
                <w:szCs w:val="20"/>
              </w:rPr>
            </w:pPr>
            <w:r w:rsidRPr="00F32D92">
              <w:rPr>
                <w:rFonts w:cs="Arial"/>
                <w:color w:val="000000"/>
                <w:sz w:val="20"/>
                <w:szCs w:val="20"/>
              </w:rPr>
              <w:t>82</w:t>
            </w:r>
          </w:p>
        </w:tc>
        <w:tc>
          <w:tcPr>
            <w:tcW w:w="1423" w:type="dxa"/>
            <w:tcBorders>
              <w:right w:val="single" w:sz="4" w:space="0" w:color="auto"/>
            </w:tcBorders>
            <w:noWrap/>
            <w:vAlign w:val="center"/>
            <w:hideMark/>
          </w:tcPr>
          <w:p w14:paraId="0518BD16" w14:textId="77777777" w:rsidR="00AB6753" w:rsidRPr="00F32D92" w:rsidRDefault="00AB6753" w:rsidP="002D1EA4">
            <w:pPr>
              <w:rPr>
                <w:rFonts w:cs="Arial"/>
                <w:sz w:val="20"/>
                <w:szCs w:val="20"/>
              </w:rPr>
            </w:pPr>
            <w:r w:rsidRPr="00F32D92">
              <w:rPr>
                <w:rFonts w:cs="Arial"/>
                <w:color w:val="000000"/>
                <w:sz w:val="20"/>
                <w:szCs w:val="20"/>
              </w:rPr>
              <w:t>440</w:t>
            </w:r>
          </w:p>
        </w:tc>
        <w:tc>
          <w:tcPr>
            <w:tcW w:w="896" w:type="dxa"/>
            <w:tcBorders>
              <w:left w:val="single" w:sz="4" w:space="0" w:color="auto"/>
            </w:tcBorders>
            <w:noWrap/>
            <w:vAlign w:val="center"/>
            <w:hideMark/>
          </w:tcPr>
          <w:p w14:paraId="211A9DFB" w14:textId="77777777" w:rsidR="00AB6753" w:rsidRPr="00F32D92" w:rsidRDefault="00AB6753" w:rsidP="002D1EA4">
            <w:pPr>
              <w:rPr>
                <w:rFonts w:cs="Arial"/>
                <w:sz w:val="20"/>
                <w:szCs w:val="20"/>
              </w:rPr>
            </w:pPr>
            <w:r w:rsidRPr="00F32D92">
              <w:rPr>
                <w:rFonts w:cs="Arial"/>
                <w:color w:val="000000"/>
                <w:sz w:val="20"/>
                <w:szCs w:val="20"/>
              </w:rPr>
              <w:t>18</w:t>
            </w:r>
          </w:p>
        </w:tc>
        <w:tc>
          <w:tcPr>
            <w:tcW w:w="1088" w:type="dxa"/>
            <w:noWrap/>
            <w:vAlign w:val="center"/>
            <w:hideMark/>
          </w:tcPr>
          <w:p w14:paraId="152B6760" w14:textId="77777777" w:rsidR="00AB6753" w:rsidRPr="00F32D92" w:rsidRDefault="00AB6753" w:rsidP="002D1EA4">
            <w:pPr>
              <w:rPr>
                <w:rFonts w:cs="Arial"/>
                <w:sz w:val="20"/>
                <w:szCs w:val="20"/>
              </w:rPr>
            </w:pPr>
            <w:r w:rsidRPr="00F32D92">
              <w:rPr>
                <w:rFonts w:cs="Arial"/>
                <w:color w:val="000000"/>
                <w:sz w:val="20"/>
                <w:szCs w:val="20"/>
              </w:rPr>
              <w:t>3</w:t>
            </w:r>
          </w:p>
        </w:tc>
        <w:tc>
          <w:tcPr>
            <w:tcW w:w="1848" w:type="dxa"/>
            <w:tcBorders>
              <w:right w:val="single" w:sz="4" w:space="0" w:color="auto"/>
            </w:tcBorders>
            <w:noWrap/>
            <w:vAlign w:val="center"/>
            <w:hideMark/>
          </w:tcPr>
          <w:p w14:paraId="3D298266" w14:textId="77777777" w:rsidR="00AB6753" w:rsidRPr="00F32D92" w:rsidRDefault="00AB6753" w:rsidP="002D1EA4">
            <w:pPr>
              <w:rPr>
                <w:rFonts w:cs="Arial"/>
                <w:sz w:val="20"/>
                <w:szCs w:val="20"/>
              </w:rPr>
            </w:pPr>
            <w:r w:rsidRPr="00F32D92">
              <w:rPr>
                <w:rFonts w:cs="Arial"/>
                <w:color w:val="000000"/>
                <w:sz w:val="20"/>
                <w:szCs w:val="20"/>
              </w:rPr>
              <w:t>21</w:t>
            </w:r>
          </w:p>
        </w:tc>
        <w:tc>
          <w:tcPr>
            <w:tcW w:w="661" w:type="dxa"/>
            <w:tcBorders>
              <w:left w:val="single" w:sz="4" w:space="0" w:color="auto"/>
              <w:right w:val="single" w:sz="4" w:space="0" w:color="666666" w:themeColor="text1" w:themeTint="99"/>
            </w:tcBorders>
            <w:vAlign w:val="center"/>
          </w:tcPr>
          <w:p w14:paraId="7C7C698E" w14:textId="77777777" w:rsidR="00AB6753" w:rsidRPr="00F32D92" w:rsidRDefault="00AB6753" w:rsidP="002D1EA4">
            <w:pPr>
              <w:rPr>
                <w:rFonts w:cs="Arial"/>
                <w:sz w:val="20"/>
                <w:szCs w:val="20"/>
              </w:rPr>
            </w:pPr>
            <w:r w:rsidRPr="00F32D92">
              <w:rPr>
                <w:rFonts w:cs="Arial"/>
                <w:color w:val="000000"/>
                <w:sz w:val="20"/>
                <w:szCs w:val="20"/>
              </w:rPr>
              <w:t>461</w:t>
            </w:r>
          </w:p>
        </w:tc>
      </w:tr>
      <w:tr w:rsidR="00AB6753" w:rsidRPr="00F32D92" w14:paraId="4239CBC7" w14:textId="77777777" w:rsidTr="002D1EA4">
        <w:trPr>
          <w:trHeight w:val="315"/>
          <w:jc w:val="center"/>
        </w:trPr>
        <w:tc>
          <w:tcPr>
            <w:tcW w:w="1696" w:type="dxa"/>
            <w:tcBorders>
              <w:left w:val="single" w:sz="4" w:space="0" w:color="666666" w:themeColor="text1" w:themeTint="99"/>
              <w:right w:val="single" w:sz="4" w:space="0" w:color="auto"/>
            </w:tcBorders>
            <w:vAlign w:val="center"/>
            <w:hideMark/>
          </w:tcPr>
          <w:p w14:paraId="78657545" w14:textId="77777777" w:rsidR="00AB6753" w:rsidRPr="00F32D92" w:rsidRDefault="00AB6753" w:rsidP="002D1EA4">
            <w:pPr>
              <w:rPr>
                <w:rFonts w:cs="Arial"/>
                <w:sz w:val="20"/>
                <w:szCs w:val="20"/>
              </w:rPr>
            </w:pPr>
            <w:r w:rsidRPr="00F32D92">
              <w:rPr>
                <w:rFonts w:cs="Arial"/>
                <w:sz w:val="20"/>
                <w:szCs w:val="20"/>
              </w:rPr>
              <w:t>APS 4</w:t>
            </w:r>
          </w:p>
        </w:tc>
        <w:tc>
          <w:tcPr>
            <w:tcW w:w="896" w:type="dxa"/>
            <w:tcBorders>
              <w:left w:val="single" w:sz="4" w:space="0" w:color="auto"/>
            </w:tcBorders>
            <w:noWrap/>
            <w:vAlign w:val="center"/>
            <w:hideMark/>
          </w:tcPr>
          <w:p w14:paraId="6750C635" w14:textId="77777777" w:rsidR="00AB6753" w:rsidRPr="00F32D92" w:rsidRDefault="00AB6753" w:rsidP="002D1EA4">
            <w:pPr>
              <w:rPr>
                <w:rFonts w:cs="Arial"/>
                <w:sz w:val="20"/>
                <w:szCs w:val="20"/>
              </w:rPr>
            </w:pPr>
            <w:r w:rsidRPr="00F32D92">
              <w:rPr>
                <w:rFonts w:cs="Arial"/>
                <w:color w:val="000000"/>
                <w:sz w:val="20"/>
                <w:szCs w:val="20"/>
              </w:rPr>
              <w:t>137</w:t>
            </w:r>
          </w:p>
        </w:tc>
        <w:tc>
          <w:tcPr>
            <w:tcW w:w="1134" w:type="dxa"/>
            <w:noWrap/>
            <w:vAlign w:val="center"/>
            <w:hideMark/>
          </w:tcPr>
          <w:p w14:paraId="20D0E00F" w14:textId="77777777" w:rsidR="00AB6753" w:rsidRPr="00F32D92" w:rsidRDefault="00AB6753" w:rsidP="002D1EA4">
            <w:pPr>
              <w:rPr>
                <w:rFonts w:cs="Arial"/>
                <w:sz w:val="20"/>
                <w:szCs w:val="20"/>
              </w:rPr>
            </w:pPr>
            <w:r w:rsidRPr="00F32D92">
              <w:rPr>
                <w:rFonts w:cs="Arial"/>
                <w:color w:val="000000"/>
                <w:sz w:val="20"/>
                <w:szCs w:val="20"/>
              </w:rPr>
              <w:t>23</w:t>
            </w:r>
          </w:p>
        </w:tc>
        <w:tc>
          <w:tcPr>
            <w:tcW w:w="1423" w:type="dxa"/>
            <w:tcBorders>
              <w:right w:val="single" w:sz="4" w:space="0" w:color="auto"/>
            </w:tcBorders>
            <w:noWrap/>
            <w:vAlign w:val="center"/>
            <w:hideMark/>
          </w:tcPr>
          <w:p w14:paraId="08305C25" w14:textId="77777777" w:rsidR="00AB6753" w:rsidRPr="00F32D92" w:rsidRDefault="00AB6753" w:rsidP="002D1EA4">
            <w:pPr>
              <w:rPr>
                <w:rFonts w:cs="Arial"/>
                <w:sz w:val="20"/>
                <w:szCs w:val="20"/>
              </w:rPr>
            </w:pPr>
            <w:r w:rsidRPr="00F32D92">
              <w:rPr>
                <w:rFonts w:cs="Arial"/>
                <w:color w:val="000000"/>
                <w:sz w:val="20"/>
                <w:szCs w:val="20"/>
              </w:rPr>
              <w:t>160</w:t>
            </w:r>
          </w:p>
        </w:tc>
        <w:tc>
          <w:tcPr>
            <w:tcW w:w="896" w:type="dxa"/>
            <w:tcBorders>
              <w:left w:val="single" w:sz="4" w:space="0" w:color="auto"/>
            </w:tcBorders>
            <w:noWrap/>
            <w:vAlign w:val="center"/>
            <w:hideMark/>
          </w:tcPr>
          <w:p w14:paraId="424BAFDD" w14:textId="77777777" w:rsidR="00AB6753" w:rsidRPr="00F32D92" w:rsidRDefault="00AB6753" w:rsidP="002D1EA4">
            <w:pPr>
              <w:rPr>
                <w:rFonts w:cs="Arial"/>
                <w:sz w:val="20"/>
                <w:szCs w:val="20"/>
              </w:rPr>
            </w:pPr>
            <w:r w:rsidRPr="00F32D92">
              <w:rPr>
                <w:rFonts w:cs="Arial"/>
                <w:color w:val="000000"/>
                <w:sz w:val="20"/>
                <w:szCs w:val="20"/>
              </w:rPr>
              <w:t>16</w:t>
            </w:r>
          </w:p>
        </w:tc>
        <w:tc>
          <w:tcPr>
            <w:tcW w:w="1088" w:type="dxa"/>
            <w:noWrap/>
            <w:vAlign w:val="center"/>
            <w:hideMark/>
          </w:tcPr>
          <w:p w14:paraId="6CA68281" w14:textId="77777777" w:rsidR="00AB6753" w:rsidRPr="00F32D92" w:rsidRDefault="00AB6753" w:rsidP="002D1EA4">
            <w:pPr>
              <w:rPr>
                <w:rFonts w:cs="Arial"/>
                <w:sz w:val="20"/>
                <w:szCs w:val="20"/>
              </w:rPr>
            </w:pPr>
            <w:r w:rsidRPr="00F32D92">
              <w:rPr>
                <w:rFonts w:cs="Arial"/>
                <w:color w:val="000000"/>
                <w:sz w:val="20"/>
                <w:szCs w:val="20"/>
              </w:rPr>
              <w:t>1</w:t>
            </w:r>
          </w:p>
        </w:tc>
        <w:tc>
          <w:tcPr>
            <w:tcW w:w="1848" w:type="dxa"/>
            <w:tcBorders>
              <w:right w:val="single" w:sz="4" w:space="0" w:color="auto"/>
            </w:tcBorders>
            <w:noWrap/>
            <w:vAlign w:val="center"/>
            <w:hideMark/>
          </w:tcPr>
          <w:p w14:paraId="4AE98B2B" w14:textId="77777777" w:rsidR="00AB6753" w:rsidRPr="00F32D92" w:rsidRDefault="00AB6753" w:rsidP="002D1EA4">
            <w:pPr>
              <w:rPr>
                <w:rFonts w:cs="Arial"/>
                <w:sz w:val="20"/>
                <w:szCs w:val="20"/>
              </w:rPr>
            </w:pPr>
            <w:r w:rsidRPr="00F32D92">
              <w:rPr>
                <w:rFonts w:cs="Arial"/>
                <w:color w:val="000000"/>
                <w:sz w:val="20"/>
                <w:szCs w:val="20"/>
              </w:rPr>
              <w:t>17</w:t>
            </w:r>
          </w:p>
        </w:tc>
        <w:tc>
          <w:tcPr>
            <w:tcW w:w="661" w:type="dxa"/>
            <w:tcBorders>
              <w:left w:val="single" w:sz="4" w:space="0" w:color="auto"/>
              <w:right w:val="single" w:sz="4" w:space="0" w:color="666666" w:themeColor="text1" w:themeTint="99"/>
            </w:tcBorders>
            <w:vAlign w:val="center"/>
          </w:tcPr>
          <w:p w14:paraId="7C8CD7A5" w14:textId="77777777" w:rsidR="00AB6753" w:rsidRPr="00F32D92" w:rsidRDefault="00AB6753" w:rsidP="002D1EA4">
            <w:pPr>
              <w:rPr>
                <w:rFonts w:cs="Arial"/>
                <w:sz w:val="20"/>
                <w:szCs w:val="20"/>
              </w:rPr>
            </w:pPr>
            <w:r w:rsidRPr="00F32D92">
              <w:rPr>
                <w:rFonts w:cs="Arial"/>
                <w:color w:val="000000"/>
                <w:sz w:val="20"/>
                <w:szCs w:val="20"/>
              </w:rPr>
              <w:t>177</w:t>
            </w:r>
          </w:p>
        </w:tc>
      </w:tr>
      <w:tr w:rsidR="00AB6753" w:rsidRPr="00F32D92" w14:paraId="1CFABE64" w14:textId="77777777" w:rsidTr="002D1EA4">
        <w:trPr>
          <w:trHeight w:val="315"/>
          <w:jc w:val="center"/>
        </w:trPr>
        <w:tc>
          <w:tcPr>
            <w:tcW w:w="1696" w:type="dxa"/>
            <w:tcBorders>
              <w:left w:val="single" w:sz="4" w:space="0" w:color="666666" w:themeColor="text1" w:themeTint="99"/>
              <w:right w:val="single" w:sz="4" w:space="0" w:color="auto"/>
            </w:tcBorders>
            <w:vAlign w:val="center"/>
          </w:tcPr>
          <w:p w14:paraId="3E4B6E6E" w14:textId="77777777" w:rsidR="00AB6753" w:rsidRPr="00F32D92" w:rsidRDefault="00AB6753" w:rsidP="002D1EA4">
            <w:pPr>
              <w:rPr>
                <w:rFonts w:cs="Arial"/>
                <w:sz w:val="20"/>
                <w:szCs w:val="20"/>
              </w:rPr>
            </w:pPr>
            <w:r w:rsidRPr="00F32D92">
              <w:rPr>
                <w:rFonts w:cs="Arial"/>
                <w:sz w:val="20"/>
                <w:szCs w:val="20"/>
              </w:rPr>
              <w:t>APS 3</w:t>
            </w:r>
          </w:p>
        </w:tc>
        <w:tc>
          <w:tcPr>
            <w:tcW w:w="896" w:type="dxa"/>
            <w:tcBorders>
              <w:left w:val="single" w:sz="4" w:space="0" w:color="auto"/>
            </w:tcBorders>
            <w:noWrap/>
            <w:vAlign w:val="center"/>
          </w:tcPr>
          <w:p w14:paraId="6ED84355" w14:textId="77777777" w:rsidR="00AB6753" w:rsidRPr="00F32D92" w:rsidRDefault="00AB6753" w:rsidP="002D1EA4">
            <w:pPr>
              <w:rPr>
                <w:rFonts w:cs="Arial"/>
                <w:sz w:val="20"/>
                <w:szCs w:val="20"/>
              </w:rPr>
            </w:pPr>
            <w:r w:rsidRPr="00F32D92">
              <w:rPr>
                <w:rFonts w:cs="Arial"/>
                <w:color w:val="000000"/>
                <w:sz w:val="20"/>
                <w:szCs w:val="20"/>
              </w:rPr>
              <w:t>72</w:t>
            </w:r>
          </w:p>
        </w:tc>
        <w:tc>
          <w:tcPr>
            <w:tcW w:w="1134" w:type="dxa"/>
            <w:noWrap/>
            <w:vAlign w:val="center"/>
          </w:tcPr>
          <w:p w14:paraId="799BF7C1" w14:textId="77777777" w:rsidR="00AB6753" w:rsidRPr="00F32D92" w:rsidRDefault="00AB6753" w:rsidP="002D1EA4">
            <w:pPr>
              <w:rPr>
                <w:rFonts w:cs="Arial"/>
                <w:sz w:val="20"/>
                <w:szCs w:val="20"/>
              </w:rPr>
            </w:pPr>
            <w:r w:rsidRPr="00F32D92">
              <w:rPr>
                <w:rFonts w:cs="Arial"/>
                <w:color w:val="000000"/>
                <w:sz w:val="20"/>
                <w:szCs w:val="20"/>
              </w:rPr>
              <w:t>2</w:t>
            </w:r>
          </w:p>
        </w:tc>
        <w:tc>
          <w:tcPr>
            <w:tcW w:w="1423" w:type="dxa"/>
            <w:tcBorders>
              <w:right w:val="single" w:sz="4" w:space="0" w:color="auto"/>
            </w:tcBorders>
            <w:noWrap/>
            <w:vAlign w:val="center"/>
          </w:tcPr>
          <w:p w14:paraId="6F7CAC42" w14:textId="77777777" w:rsidR="00AB6753" w:rsidRPr="00F32D92" w:rsidRDefault="00AB6753" w:rsidP="002D1EA4">
            <w:pPr>
              <w:rPr>
                <w:rFonts w:cs="Arial"/>
                <w:sz w:val="20"/>
                <w:szCs w:val="20"/>
              </w:rPr>
            </w:pPr>
            <w:r w:rsidRPr="00F32D92">
              <w:rPr>
                <w:rFonts w:cs="Arial"/>
                <w:color w:val="000000"/>
                <w:sz w:val="20"/>
                <w:szCs w:val="20"/>
              </w:rPr>
              <w:t>74</w:t>
            </w:r>
          </w:p>
        </w:tc>
        <w:tc>
          <w:tcPr>
            <w:tcW w:w="896" w:type="dxa"/>
            <w:tcBorders>
              <w:left w:val="single" w:sz="4" w:space="0" w:color="auto"/>
            </w:tcBorders>
            <w:noWrap/>
            <w:vAlign w:val="center"/>
          </w:tcPr>
          <w:p w14:paraId="1CE957A4" w14:textId="77777777" w:rsidR="00AB6753" w:rsidRPr="00F32D92" w:rsidRDefault="00AB6753" w:rsidP="002D1EA4">
            <w:pPr>
              <w:rPr>
                <w:rFonts w:cs="Arial"/>
                <w:sz w:val="20"/>
                <w:szCs w:val="20"/>
              </w:rPr>
            </w:pPr>
            <w:r w:rsidRPr="00F32D92">
              <w:rPr>
                <w:rFonts w:cs="Arial"/>
                <w:color w:val="000000"/>
                <w:sz w:val="20"/>
                <w:szCs w:val="20"/>
              </w:rPr>
              <w:t>3</w:t>
            </w:r>
          </w:p>
        </w:tc>
        <w:tc>
          <w:tcPr>
            <w:tcW w:w="1088" w:type="dxa"/>
            <w:noWrap/>
            <w:vAlign w:val="center"/>
          </w:tcPr>
          <w:p w14:paraId="3ED3E534" w14:textId="77777777" w:rsidR="00AB6753" w:rsidRPr="00F32D92" w:rsidRDefault="00AB6753" w:rsidP="002D1EA4">
            <w:pPr>
              <w:rPr>
                <w:rFonts w:cs="Arial"/>
                <w:sz w:val="20"/>
                <w:szCs w:val="20"/>
              </w:rPr>
            </w:pPr>
            <w:r w:rsidRPr="00F32D92">
              <w:rPr>
                <w:rFonts w:cs="Arial"/>
                <w:color w:val="000000"/>
                <w:sz w:val="20"/>
                <w:szCs w:val="20"/>
              </w:rPr>
              <w:t>1</w:t>
            </w:r>
          </w:p>
        </w:tc>
        <w:tc>
          <w:tcPr>
            <w:tcW w:w="1848" w:type="dxa"/>
            <w:tcBorders>
              <w:right w:val="single" w:sz="4" w:space="0" w:color="auto"/>
            </w:tcBorders>
            <w:noWrap/>
            <w:vAlign w:val="center"/>
          </w:tcPr>
          <w:p w14:paraId="620CBF53" w14:textId="77777777" w:rsidR="00AB6753" w:rsidRPr="00F32D92" w:rsidRDefault="00AB6753" w:rsidP="002D1EA4">
            <w:pPr>
              <w:rPr>
                <w:rFonts w:cs="Arial"/>
                <w:sz w:val="20"/>
                <w:szCs w:val="20"/>
              </w:rPr>
            </w:pPr>
            <w:r w:rsidRPr="00F32D92">
              <w:rPr>
                <w:rFonts w:cs="Arial"/>
                <w:color w:val="000000"/>
                <w:sz w:val="20"/>
                <w:szCs w:val="20"/>
              </w:rPr>
              <w:t>4</w:t>
            </w:r>
          </w:p>
        </w:tc>
        <w:tc>
          <w:tcPr>
            <w:tcW w:w="661" w:type="dxa"/>
            <w:tcBorders>
              <w:left w:val="single" w:sz="4" w:space="0" w:color="auto"/>
              <w:right w:val="single" w:sz="4" w:space="0" w:color="666666" w:themeColor="text1" w:themeTint="99"/>
            </w:tcBorders>
            <w:vAlign w:val="center"/>
          </w:tcPr>
          <w:p w14:paraId="1E14BF47" w14:textId="77777777" w:rsidR="00AB6753" w:rsidRPr="00F32D92" w:rsidRDefault="00AB6753" w:rsidP="002D1EA4">
            <w:pPr>
              <w:rPr>
                <w:rFonts w:cs="Arial"/>
                <w:sz w:val="20"/>
                <w:szCs w:val="20"/>
              </w:rPr>
            </w:pPr>
            <w:r w:rsidRPr="00F32D92">
              <w:rPr>
                <w:rFonts w:cs="Arial"/>
                <w:color w:val="000000"/>
                <w:sz w:val="20"/>
                <w:szCs w:val="20"/>
              </w:rPr>
              <w:t>78</w:t>
            </w:r>
          </w:p>
        </w:tc>
      </w:tr>
      <w:tr w:rsidR="00AB6753" w:rsidRPr="00F32D92" w14:paraId="7E8865E2" w14:textId="77777777" w:rsidTr="002D1EA4">
        <w:trPr>
          <w:trHeight w:val="315"/>
          <w:jc w:val="center"/>
        </w:trPr>
        <w:tc>
          <w:tcPr>
            <w:tcW w:w="1696" w:type="dxa"/>
            <w:tcBorders>
              <w:left w:val="single" w:sz="4" w:space="0" w:color="666666" w:themeColor="text1" w:themeTint="99"/>
              <w:right w:val="single" w:sz="4" w:space="0" w:color="auto"/>
            </w:tcBorders>
            <w:vAlign w:val="center"/>
          </w:tcPr>
          <w:p w14:paraId="5A66D3A0" w14:textId="77777777" w:rsidR="00AB6753" w:rsidRPr="00F32D92" w:rsidRDefault="00AB6753" w:rsidP="002D1EA4">
            <w:pPr>
              <w:rPr>
                <w:rFonts w:cs="Arial"/>
                <w:sz w:val="20"/>
                <w:szCs w:val="20"/>
              </w:rPr>
            </w:pPr>
            <w:r w:rsidRPr="00F32D92">
              <w:rPr>
                <w:rFonts w:cs="Arial"/>
                <w:sz w:val="20"/>
                <w:szCs w:val="20"/>
              </w:rPr>
              <w:t>APS 2</w:t>
            </w:r>
          </w:p>
        </w:tc>
        <w:tc>
          <w:tcPr>
            <w:tcW w:w="896" w:type="dxa"/>
            <w:tcBorders>
              <w:left w:val="single" w:sz="4" w:space="0" w:color="auto"/>
            </w:tcBorders>
            <w:noWrap/>
            <w:vAlign w:val="center"/>
          </w:tcPr>
          <w:p w14:paraId="35D17E09" w14:textId="77777777" w:rsidR="00AB6753" w:rsidRPr="00F32D92" w:rsidRDefault="00AB6753" w:rsidP="002D1EA4">
            <w:pPr>
              <w:rPr>
                <w:rFonts w:cs="Arial"/>
                <w:sz w:val="20"/>
                <w:szCs w:val="20"/>
              </w:rPr>
            </w:pPr>
            <w:r w:rsidRPr="00F32D92">
              <w:rPr>
                <w:rFonts w:cs="Arial"/>
                <w:color w:val="000000"/>
                <w:sz w:val="20"/>
                <w:szCs w:val="20"/>
              </w:rPr>
              <w:t>4</w:t>
            </w:r>
          </w:p>
        </w:tc>
        <w:tc>
          <w:tcPr>
            <w:tcW w:w="1134" w:type="dxa"/>
            <w:noWrap/>
            <w:vAlign w:val="center"/>
          </w:tcPr>
          <w:p w14:paraId="40DD021A" w14:textId="77777777" w:rsidR="00AB6753" w:rsidRPr="00F32D92" w:rsidRDefault="00AB6753" w:rsidP="002D1EA4">
            <w:pPr>
              <w:rPr>
                <w:rFonts w:cs="Arial"/>
                <w:sz w:val="20"/>
                <w:szCs w:val="20"/>
              </w:rPr>
            </w:pPr>
            <w:r w:rsidRPr="00F32D92">
              <w:rPr>
                <w:rFonts w:cs="Arial"/>
                <w:color w:val="000000"/>
                <w:sz w:val="20"/>
                <w:szCs w:val="20"/>
              </w:rPr>
              <w:t>2</w:t>
            </w:r>
          </w:p>
        </w:tc>
        <w:tc>
          <w:tcPr>
            <w:tcW w:w="1423" w:type="dxa"/>
            <w:tcBorders>
              <w:right w:val="single" w:sz="4" w:space="0" w:color="auto"/>
            </w:tcBorders>
            <w:noWrap/>
            <w:vAlign w:val="center"/>
          </w:tcPr>
          <w:p w14:paraId="79A66952" w14:textId="77777777" w:rsidR="00AB6753" w:rsidRPr="00F32D92" w:rsidRDefault="00AB6753" w:rsidP="002D1EA4">
            <w:pPr>
              <w:rPr>
                <w:rFonts w:cs="Arial"/>
                <w:sz w:val="20"/>
                <w:szCs w:val="20"/>
              </w:rPr>
            </w:pPr>
            <w:r w:rsidRPr="00F32D92">
              <w:rPr>
                <w:rFonts w:cs="Arial"/>
                <w:color w:val="000000"/>
                <w:sz w:val="20"/>
                <w:szCs w:val="20"/>
              </w:rPr>
              <w:t>6</w:t>
            </w:r>
          </w:p>
        </w:tc>
        <w:tc>
          <w:tcPr>
            <w:tcW w:w="896" w:type="dxa"/>
            <w:tcBorders>
              <w:left w:val="single" w:sz="4" w:space="0" w:color="auto"/>
            </w:tcBorders>
            <w:noWrap/>
            <w:vAlign w:val="center"/>
          </w:tcPr>
          <w:p w14:paraId="002372BE" w14:textId="77777777" w:rsidR="00AB6753" w:rsidRPr="00F32D92" w:rsidRDefault="00AB6753" w:rsidP="002D1EA4">
            <w:pPr>
              <w:rPr>
                <w:rFonts w:cs="Arial"/>
                <w:sz w:val="20"/>
                <w:szCs w:val="20"/>
              </w:rPr>
            </w:pPr>
            <w:r w:rsidRPr="00F32D92">
              <w:rPr>
                <w:rFonts w:cs="Arial"/>
                <w:sz w:val="20"/>
                <w:szCs w:val="20"/>
              </w:rPr>
              <w:t>0</w:t>
            </w:r>
          </w:p>
        </w:tc>
        <w:tc>
          <w:tcPr>
            <w:tcW w:w="1088" w:type="dxa"/>
            <w:noWrap/>
            <w:vAlign w:val="center"/>
          </w:tcPr>
          <w:p w14:paraId="6AF5918D" w14:textId="77777777" w:rsidR="00AB6753" w:rsidRPr="00F32D92" w:rsidRDefault="00AB6753" w:rsidP="002D1EA4">
            <w:pPr>
              <w:rPr>
                <w:rFonts w:cs="Arial"/>
                <w:sz w:val="20"/>
                <w:szCs w:val="20"/>
              </w:rPr>
            </w:pPr>
            <w:r w:rsidRPr="00F32D92">
              <w:rPr>
                <w:rFonts w:cs="Arial"/>
                <w:sz w:val="20"/>
                <w:szCs w:val="20"/>
              </w:rPr>
              <w:t>0</w:t>
            </w:r>
          </w:p>
        </w:tc>
        <w:tc>
          <w:tcPr>
            <w:tcW w:w="1848" w:type="dxa"/>
            <w:tcBorders>
              <w:right w:val="single" w:sz="4" w:space="0" w:color="auto"/>
            </w:tcBorders>
            <w:noWrap/>
            <w:vAlign w:val="center"/>
          </w:tcPr>
          <w:p w14:paraId="69DDC6B5" w14:textId="77777777" w:rsidR="00AB6753" w:rsidRPr="00F32D92" w:rsidRDefault="00AB6753" w:rsidP="002D1EA4">
            <w:pPr>
              <w:rPr>
                <w:rFonts w:cs="Arial"/>
                <w:sz w:val="20"/>
                <w:szCs w:val="20"/>
              </w:rPr>
            </w:pPr>
            <w:r w:rsidRPr="00F32D92">
              <w:rPr>
                <w:rFonts w:cs="Arial"/>
                <w:sz w:val="20"/>
                <w:szCs w:val="20"/>
              </w:rPr>
              <w:t>0</w:t>
            </w:r>
          </w:p>
        </w:tc>
        <w:tc>
          <w:tcPr>
            <w:tcW w:w="661" w:type="dxa"/>
            <w:tcBorders>
              <w:left w:val="single" w:sz="4" w:space="0" w:color="auto"/>
              <w:right w:val="single" w:sz="4" w:space="0" w:color="666666" w:themeColor="text1" w:themeTint="99"/>
            </w:tcBorders>
            <w:vAlign w:val="center"/>
          </w:tcPr>
          <w:p w14:paraId="7C1CF8F9" w14:textId="77777777" w:rsidR="00AB6753" w:rsidRPr="00F32D92" w:rsidRDefault="00AB6753" w:rsidP="002D1EA4">
            <w:pPr>
              <w:rPr>
                <w:rFonts w:cs="Arial"/>
                <w:sz w:val="20"/>
                <w:szCs w:val="20"/>
              </w:rPr>
            </w:pPr>
            <w:r w:rsidRPr="00F32D92">
              <w:rPr>
                <w:rFonts w:cs="Arial"/>
                <w:color w:val="000000"/>
                <w:sz w:val="20"/>
                <w:szCs w:val="20"/>
              </w:rPr>
              <w:t>6</w:t>
            </w:r>
          </w:p>
        </w:tc>
      </w:tr>
      <w:tr w:rsidR="00AB6753" w:rsidRPr="00F32D92" w14:paraId="6786897E" w14:textId="77777777" w:rsidTr="002D1EA4">
        <w:trPr>
          <w:trHeight w:val="315"/>
          <w:jc w:val="center"/>
        </w:trPr>
        <w:tc>
          <w:tcPr>
            <w:tcW w:w="1696" w:type="dxa"/>
            <w:tcBorders>
              <w:left w:val="single" w:sz="4" w:space="0" w:color="666666" w:themeColor="text1" w:themeTint="99"/>
              <w:right w:val="single" w:sz="4" w:space="0" w:color="auto"/>
            </w:tcBorders>
            <w:vAlign w:val="center"/>
          </w:tcPr>
          <w:p w14:paraId="51B99200" w14:textId="77777777" w:rsidR="00AB6753" w:rsidRPr="00F32D92" w:rsidRDefault="00AB6753" w:rsidP="002D1EA4">
            <w:pPr>
              <w:rPr>
                <w:rFonts w:cs="Arial"/>
                <w:sz w:val="20"/>
                <w:szCs w:val="20"/>
              </w:rPr>
            </w:pPr>
            <w:r w:rsidRPr="00F32D92">
              <w:rPr>
                <w:rFonts w:cs="Arial"/>
                <w:sz w:val="20"/>
                <w:szCs w:val="20"/>
              </w:rPr>
              <w:t>APS 1</w:t>
            </w:r>
          </w:p>
        </w:tc>
        <w:tc>
          <w:tcPr>
            <w:tcW w:w="896" w:type="dxa"/>
            <w:tcBorders>
              <w:left w:val="single" w:sz="4" w:space="0" w:color="auto"/>
            </w:tcBorders>
            <w:noWrap/>
            <w:vAlign w:val="center"/>
          </w:tcPr>
          <w:p w14:paraId="5722F06D" w14:textId="77777777" w:rsidR="00AB6753" w:rsidRPr="00F32D92" w:rsidRDefault="00AB6753" w:rsidP="002D1EA4">
            <w:pPr>
              <w:rPr>
                <w:rFonts w:cs="Arial"/>
                <w:sz w:val="20"/>
                <w:szCs w:val="20"/>
              </w:rPr>
            </w:pPr>
            <w:r w:rsidRPr="00F32D92">
              <w:rPr>
                <w:rFonts w:cs="Arial"/>
                <w:sz w:val="20"/>
                <w:szCs w:val="20"/>
              </w:rPr>
              <w:t>0</w:t>
            </w:r>
          </w:p>
        </w:tc>
        <w:tc>
          <w:tcPr>
            <w:tcW w:w="1134" w:type="dxa"/>
            <w:noWrap/>
            <w:vAlign w:val="center"/>
          </w:tcPr>
          <w:p w14:paraId="726E6B0C" w14:textId="77777777" w:rsidR="00AB6753" w:rsidRPr="00F32D92" w:rsidRDefault="00AB6753" w:rsidP="002D1EA4">
            <w:pPr>
              <w:rPr>
                <w:rFonts w:cs="Arial"/>
                <w:sz w:val="20"/>
                <w:szCs w:val="20"/>
              </w:rPr>
            </w:pPr>
            <w:r w:rsidRPr="00F32D92">
              <w:rPr>
                <w:rFonts w:cs="Arial"/>
                <w:color w:val="000000"/>
                <w:sz w:val="20"/>
                <w:szCs w:val="20"/>
              </w:rPr>
              <w:t>5</w:t>
            </w:r>
          </w:p>
        </w:tc>
        <w:tc>
          <w:tcPr>
            <w:tcW w:w="1423" w:type="dxa"/>
            <w:tcBorders>
              <w:right w:val="single" w:sz="4" w:space="0" w:color="auto"/>
            </w:tcBorders>
            <w:noWrap/>
            <w:vAlign w:val="center"/>
          </w:tcPr>
          <w:p w14:paraId="110DA951" w14:textId="77777777" w:rsidR="00AB6753" w:rsidRPr="00F32D92" w:rsidRDefault="00AB6753" w:rsidP="002D1EA4">
            <w:pPr>
              <w:rPr>
                <w:rFonts w:cs="Arial"/>
                <w:sz w:val="20"/>
                <w:szCs w:val="20"/>
              </w:rPr>
            </w:pPr>
            <w:r w:rsidRPr="00F32D92">
              <w:rPr>
                <w:rFonts w:cs="Arial"/>
                <w:color w:val="000000"/>
                <w:sz w:val="20"/>
                <w:szCs w:val="20"/>
              </w:rPr>
              <w:t>5</w:t>
            </w:r>
          </w:p>
        </w:tc>
        <w:tc>
          <w:tcPr>
            <w:tcW w:w="896" w:type="dxa"/>
            <w:tcBorders>
              <w:left w:val="single" w:sz="4" w:space="0" w:color="auto"/>
            </w:tcBorders>
            <w:noWrap/>
            <w:vAlign w:val="center"/>
          </w:tcPr>
          <w:p w14:paraId="542548F0" w14:textId="77777777" w:rsidR="00AB6753" w:rsidRPr="00F32D92" w:rsidRDefault="00AB6753" w:rsidP="002D1EA4">
            <w:pPr>
              <w:rPr>
                <w:rFonts w:cs="Arial"/>
                <w:sz w:val="20"/>
                <w:szCs w:val="20"/>
              </w:rPr>
            </w:pPr>
            <w:r w:rsidRPr="00F32D92">
              <w:rPr>
                <w:rFonts w:cs="Arial"/>
                <w:sz w:val="20"/>
                <w:szCs w:val="20"/>
              </w:rPr>
              <w:t>0</w:t>
            </w:r>
          </w:p>
        </w:tc>
        <w:tc>
          <w:tcPr>
            <w:tcW w:w="1088" w:type="dxa"/>
            <w:noWrap/>
            <w:vAlign w:val="center"/>
          </w:tcPr>
          <w:p w14:paraId="356C0817" w14:textId="77777777" w:rsidR="00AB6753" w:rsidRPr="00F32D92" w:rsidRDefault="00AB6753" w:rsidP="002D1EA4">
            <w:pPr>
              <w:rPr>
                <w:rFonts w:cs="Arial"/>
                <w:sz w:val="20"/>
                <w:szCs w:val="20"/>
              </w:rPr>
            </w:pPr>
            <w:r w:rsidRPr="00F32D92">
              <w:rPr>
                <w:rFonts w:cs="Arial"/>
                <w:sz w:val="20"/>
                <w:szCs w:val="20"/>
              </w:rPr>
              <w:t>0</w:t>
            </w:r>
          </w:p>
        </w:tc>
        <w:tc>
          <w:tcPr>
            <w:tcW w:w="1848" w:type="dxa"/>
            <w:tcBorders>
              <w:right w:val="single" w:sz="4" w:space="0" w:color="auto"/>
            </w:tcBorders>
            <w:noWrap/>
            <w:vAlign w:val="center"/>
          </w:tcPr>
          <w:p w14:paraId="0C7F1939" w14:textId="77777777" w:rsidR="00AB6753" w:rsidRPr="00F32D92" w:rsidRDefault="00AB6753" w:rsidP="002D1EA4">
            <w:pPr>
              <w:rPr>
                <w:rFonts w:cs="Arial"/>
                <w:sz w:val="20"/>
                <w:szCs w:val="20"/>
              </w:rPr>
            </w:pPr>
            <w:r w:rsidRPr="00F32D92">
              <w:rPr>
                <w:rFonts w:cs="Arial"/>
                <w:sz w:val="20"/>
                <w:szCs w:val="20"/>
              </w:rPr>
              <w:t>0</w:t>
            </w:r>
          </w:p>
        </w:tc>
        <w:tc>
          <w:tcPr>
            <w:tcW w:w="661" w:type="dxa"/>
            <w:tcBorders>
              <w:left w:val="single" w:sz="4" w:space="0" w:color="auto"/>
              <w:right w:val="single" w:sz="4" w:space="0" w:color="666666" w:themeColor="text1" w:themeTint="99"/>
            </w:tcBorders>
            <w:vAlign w:val="center"/>
          </w:tcPr>
          <w:p w14:paraId="02F76266" w14:textId="77777777" w:rsidR="00AB6753" w:rsidRPr="00F32D92" w:rsidRDefault="00AB6753" w:rsidP="002D1EA4">
            <w:pPr>
              <w:rPr>
                <w:rFonts w:cs="Arial"/>
                <w:sz w:val="20"/>
                <w:szCs w:val="20"/>
              </w:rPr>
            </w:pPr>
            <w:r w:rsidRPr="00F32D92">
              <w:rPr>
                <w:rFonts w:cs="Arial"/>
                <w:color w:val="000000"/>
                <w:sz w:val="20"/>
                <w:szCs w:val="20"/>
              </w:rPr>
              <w:t>5</w:t>
            </w:r>
          </w:p>
        </w:tc>
      </w:tr>
      <w:tr w:rsidR="00AB6753" w:rsidRPr="00F32D92" w14:paraId="36E1FC67" w14:textId="77777777" w:rsidTr="002D1EA4">
        <w:trPr>
          <w:trHeight w:val="315"/>
          <w:jc w:val="center"/>
        </w:trPr>
        <w:tc>
          <w:tcPr>
            <w:tcW w:w="1696" w:type="dxa"/>
            <w:tcBorders>
              <w:left w:val="single" w:sz="4" w:space="0" w:color="666666" w:themeColor="text1" w:themeTint="99"/>
              <w:right w:val="single" w:sz="4" w:space="0" w:color="auto"/>
            </w:tcBorders>
            <w:vAlign w:val="center"/>
          </w:tcPr>
          <w:p w14:paraId="2F558796" w14:textId="77777777" w:rsidR="00AB6753" w:rsidRPr="00F32D92" w:rsidRDefault="00AB6753" w:rsidP="002D1EA4">
            <w:pPr>
              <w:rPr>
                <w:rFonts w:cs="Arial"/>
                <w:sz w:val="20"/>
                <w:szCs w:val="20"/>
              </w:rPr>
            </w:pPr>
            <w:r w:rsidRPr="00F32D92">
              <w:rPr>
                <w:rFonts w:cs="Arial"/>
                <w:sz w:val="20"/>
                <w:szCs w:val="20"/>
              </w:rPr>
              <w:t>Other</w:t>
            </w:r>
          </w:p>
        </w:tc>
        <w:tc>
          <w:tcPr>
            <w:tcW w:w="896" w:type="dxa"/>
            <w:tcBorders>
              <w:left w:val="single" w:sz="4" w:space="0" w:color="auto"/>
            </w:tcBorders>
            <w:noWrap/>
            <w:vAlign w:val="center"/>
          </w:tcPr>
          <w:p w14:paraId="7F3F43AE" w14:textId="77777777" w:rsidR="00AB6753" w:rsidRPr="00F32D92" w:rsidRDefault="00AB6753" w:rsidP="002D1EA4">
            <w:pPr>
              <w:rPr>
                <w:rFonts w:cs="Arial"/>
                <w:sz w:val="20"/>
                <w:szCs w:val="20"/>
              </w:rPr>
            </w:pPr>
            <w:r w:rsidRPr="00F32D92">
              <w:rPr>
                <w:rFonts w:cs="Arial"/>
                <w:sz w:val="20"/>
                <w:szCs w:val="20"/>
              </w:rPr>
              <w:t>0</w:t>
            </w:r>
          </w:p>
        </w:tc>
        <w:tc>
          <w:tcPr>
            <w:tcW w:w="1134" w:type="dxa"/>
            <w:noWrap/>
            <w:vAlign w:val="center"/>
          </w:tcPr>
          <w:p w14:paraId="39146146" w14:textId="77777777" w:rsidR="00AB6753" w:rsidRPr="00F32D92" w:rsidRDefault="00AB6753" w:rsidP="002D1EA4">
            <w:pPr>
              <w:rPr>
                <w:rFonts w:cs="Arial"/>
                <w:sz w:val="20"/>
                <w:szCs w:val="20"/>
              </w:rPr>
            </w:pPr>
            <w:r w:rsidRPr="00F32D92">
              <w:rPr>
                <w:rFonts w:cs="Arial"/>
                <w:sz w:val="20"/>
                <w:szCs w:val="20"/>
              </w:rPr>
              <w:t>0</w:t>
            </w:r>
          </w:p>
        </w:tc>
        <w:tc>
          <w:tcPr>
            <w:tcW w:w="1423" w:type="dxa"/>
            <w:tcBorders>
              <w:right w:val="single" w:sz="4" w:space="0" w:color="auto"/>
            </w:tcBorders>
            <w:noWrap/>
            <w:vAlign w:val="center"/>
          </w:tcPr>
          <w:p w14:paraId="5DE48608" w14:textId="77777777" w:rsidR="00AB6753" w:rsidRPr="00F32D92" w:rsidRDefault="00AB6753" w:rsidP="002D1EA4">
            <w:pPr>
              <w:rPr>
                <w:rFonts w:cs="Arial"/>
                <w:sz w:val="20"/>
                <w:szCs w:val="20"/>
              </w:rPr>
            </w:pPr>
            <w:r w:rsidRPr="00F32D92">
              <w:rPr>
                <w:rFonts w:cs="Arial"/>
                <w:sz w:val="20"/>
                <w:szCs w:val="20"/>
              </w:rPr>
              <w:t>0</w:t>
            </w:r>
          </w:p>
        </w:tc>
        <w:tc>
          <w:tcPr>
            <w:tcW w:w="896" w:type="dxa"/>
            <w:tcBorders>
              <w:left w:val="single" w:sz="4" w:space="0" w:color="auto"/>
            </w:tcBorders>
            <w:noWrap/>
            <w:vAlign w:val="center"/>
          </w:tcPr>
          <w:p w14:paraId="22F6C550" w14:textId="77777777" w:rsidR="00AB6753" w:rsidRPr="00F32D92" w:rsidRDefault="00AB6753" w:rsidP="002D1EA4">
            <w:pPr>
              <w:rPr>
                <w:rFonts w:cs="Arial"/>
                <w:sz w:val="20"/>
                <w:szCs w:val="20"/>
              </w:rPr>
            </w:pPr>
            <w:r w:rsidRPr="00F32D92">
              <w:rPr>
                <w:rFonts w:cs="Arial"/>
                <w:sz w:val="20"/>
                <w:szCs w:val="20"/>
              </w:rPr>
              <w:t>0</w:t>
            </w:r>
          </w:p>
        </w:tc>
        <w:tc>
          <w:tcPr>
            <w:tcW w:w="1088" w:type="dxa"/>
            <w:noWrap/>
            <w:vAlign w:val="center"/>
          </w:tcPr>
          <w:p w14:paraId="6FFC50D2" w14:textId="77777777" w:rsidR="00AB6753" w:rsidRPr="00F32D92" w:rsidRDefault="00AB6753" w:rsidP="002D1EA4">
            <w:pPr>
              <w:rPr>
                <w:rFonts w:cs="Arial"/>
                <w:sz w:val="20"/>
                <w:szCs w:val="20"/>
              </w:rPr>
            </w:pPr>
            <w:r w:rsidRPr="00F32D92">
              <w:rPr>
                <w:rFonts w:cs="Arial"/>
                <w:sz w:val="20"/>
                <w:szCs w:val="20"/>
              </w:rPr>
              <w:t>0</w:t>
            </w:r>
          </w:p>
        </w:tc>
        <w:tc>
          <w:tcPr>
            <w:tcW w:w="1848" w:type="dxa"/>
            <w:tcBorders>
              <w:right w:val="single" w:sz="4" w:space="0" w:color="auto"/>
            </w:tcBorders>
            <w:noWrap/>
            <w:vAlign w:val="center"/>
          </w:tcPr>
          <w:p w14:paraId="3DB5826C" w14:textId="77777777" w:rsidR="00AB6753" w:rsidRPr="00F32D92" w:rsidRDefault="00AB6753" w:rsidP="002D1EA4">
            <w:pPr>
              <w:rPr>
                <w:rFonts w:cs="Arial"/>
                <w:sz w:val="20"/>
                <w:szCs w:val="20"/>
              </w:rPr>
            </w:pPr>
            <w:r w:rsidRPr="00F32D92">
              <w:rPr>
                <w:rFonts w:cs="Arial"/>
                <w:sz w:val="20"/>
                <w:szCs w:val="20"/>
              </w:rPr>
              <w:t>0</w:t>
            </w:r>
          </w:p>
        </w:tc>
        <w:tc>
          <w:tcPr>
            <w:tcW w:w="661" w:type="dxa"/>
            <w:tcBorders>
              <w:left w:val="single" w:sz="4" w:space="0" w:color="auto"/>
              <w:right w:val="single" w:sz="4" w:space="0" w:color="666666" w:themeColor="text1" w:themeTint="99"/>
            </w:tcBorders>
            <w:vAlign w:val="center"/>
          </w:tcPr>
          <w:p w14:paraId="77594611"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43F28A79" w14:textId="77777777" w:rsidTr="002D1EA4">
        <w:trPr>
          <w:trHeight w:val="315"/>
          <w:jc w:val="center"/>
        </w:trPr>
        <w:tc>
          <w:tcPr>
            <w:tcW w:w="1696" w:type="dxa"/>
            <w:tcBorders>
              <w:left w:val="single" w:sz="4" w:space="0" w:color="666666" w:themeColor="text1" w:themeTint="99"/>
              <w:bottom w:val="single" w:sz="4" w:space="0" w:color="auto"/>
              <w:right w:val="single" w:sz="4" w:space="0" w:color="auto"/>
            </w:tcBorders>
            <w:vAlign w:val="center"/>
          </w:tcPr>
          <w:p w14:paraId="169CC992" w14:textId="77777777" w:rsidR="00AB6753" w:rsidRPr="00F32D92" w:rsidRDefault="00AB6753" w:rsidP="002D1EA4">
            <w:pPr>
              <w:rPr>
                <w:rFonts w:cs="Arial"/>
                <w:sz w:val="20"/>
                <w:szCs w:val="20"/>
              </w:rPr>
            </w:pPr>
            <w:r w:rsidRPr="00F32D92">
              <w:rPr>
                <w:rFonts w:cs="Arial"/>
                <w:sz w:val="20"/>
                <w:szCs w:val="20"/>
              </w:rPr>
              <w:t>Total</w:t>
            </w:r>
          </w:p>
        </w:tc>
        <w:tc>
          <w:tcPr>
            <w:tcW w:w="896" w:type="dxa"/>
            <w:tcBorders>
              <w:left w:val="single" w:sz="4" w:space="0" w:color="auto"/>
              <w:bottom w:val="single" w:sz="4" w:space="0" w:color="auto"/>
            </w:tcBorders>
            <w:noWrap/>
            <w:vAlign w:val="center"/>
          </w:tcPr>
          <w:p w14:paraId="17EDAAD3" w14:textId="77777777" w:rsidR="00AB6753" w:rsidRPr="00F32D92" w:rsidRDefault="00AB6753" w:rsidP="002D1EA4">
            <w:pPr>
              <w:rPr>
                <w:rFonts w:cs="Arial"/>
                <w:sz w:val="20"/>
                <w:szCs w:val="20"/>
              </w:rPr>
            </w:pPr>
            <w:r w:rsidRPr="00F32D92">
              <w:rPr>
                <w:rFonts w:cs="Arial"/>
                <w:b/>
                <w:bCs/>
                <w:color w:val="000000"/>
                <w:sz w:val="20"/>
                <w:szCs w:val="20"/>
              </w:rPr>
              <w:t>2</w:t>
            </w:r>
            <w:r>
              <w:rPr>
                <w:rFonts w:cs="Arial"/>
                <w:b/>
                <w:bCs/>
                <w:color w:val="000000"/>
                <w:sz w:val="20"/>
                <w:szCs w:val="20"/>
              </w:rPr>
              <w:t>,</w:t>
            </w:r>
            <w:r w:rsidRPr="00F32D92">
              <w:rPr>
                <w:rFonts w:cs="Arial"/>
                <w:b/>
                <w:bCs/>
                <w:color w:val="000000"/>
                <w:sz w:val="20"/>
                <w:szCs w:val="20"/>
              </w:rPr>
              <w:t>038</w:t>
            </w:r>
          </w:p>
        </w:tc>
        <w:tc>
          <w:tcPr>
            <w:tcW w:w="1134" w:type="dxa"/>
            <w:tcBorders>
              <w:bottom w:val="single" w:sz="4" w:space="0" w:color="auto"/>
            </w:tcBorders>
            <w:noWrap/>
            <w:vAlign w:val="center"/>
          </w:tcPr>
          <w:p w14:paraId="13BF30C1" w14:textId="77777777" w:rsidR="00AB6753" w:rsidRPr="00F32D92" w:rsidRDefault="00AB6753" w:rsidP="002D1EA4">
            <w:pPr>
              <w:rPr>
                <w:rFonts w:cs="Arial"/>
                <w:sz w:val="20"/>
                <w:szCs w:val="20"/>
              </w:rPr>
            </w:pPr>
            <w:r w:rsidRPr="00F32D92">
              <w:rPr>
                <w:rFonts w:cs="Arial"/>
                <w:b/>
                <w:bCs/>
                <w:color w:val="000000"/>
                <w:sz w:val="20"/>
                <w:szCs w:val="20"/>
              </w:rPr>
              <w:t>482</w:t>
            </w:r>
          </w:p>
        </w:tc>
        <w:tc>
          <w:tcPr>
            <w:tcW w:w="1423" w:type="dxa"/>
            <w:tcBorders>
              <w:bottom w:val="single" w:sz="4" w:space="0" w:color="auto"/>
              <w:right w:val="single" w:sz="4" w:space="0" w:color="auto"/>
            </w:tcBorders>
            <w:noWrap/>
            <w:vAlign w:val="center"/>
          </w:tcPr>
          <w:p w14:paraId="28BE1642" w14:textId="77777777" w:rsidR="00AB6753" w:rsidRPr="00F32D92" w:rsidRDefault="00AB6753" w:rsidP="002D1EA4">
            <w:pPr>
              <w:rPr>
                <w:rFonts w:cs="Arial"/>
                <w:sz w:val="20"/>
                <w:szCs w:val="20"/>
              </w:rPr>
            </w:pPr>
            <w:r w:rsidRPr="00F32D92">
              <w:rPr>
                <w:rFonts w:cs="Arial"/>
                <w:b/>
                <w:bCs/>
                <w:color w:val="000000"/>
                <w:sz w:val="20"/>
                <w:szCs w:val="20"/>
              </w:rPr>
              <w:t>2</w:t>
            </w:r>
            <w:r>
              <w:rPr>
                <w:rFonts w:cs="Arial"/>
                <w:b/>
                <w:bCs/>
                <w:color w:val="000000"/>
                <w:sz w:val="20"/>
                <w:szCs w:val="20"/>
              </w:rPr>
              <w:t>,</w:t>
            </w:r>
            <w:r w:rsidRPr="00F32D92">
              <w:rPr>
                <w:rFonts w:cs="Arial"/>
                <w:b/>
                <w:bCs/>
                <w:color w:val="000000"/>
                <w:sz w:val="20"/>
                <w:szCs w:val="20"/>
              </w:rPr>
              <w:t>520</w:t>
            </w:r>
          </w:p>
        </w:tc>
        <w:tc>
          <w:tcPr>
            <w:tcW w:w="896" w:type="dxa"/>
            <w:tcBorders>
              <w:left w:val="single" w:sz="4" w:space="0" w:color="auto"/>
              <w:bottom w:val="single" w:sz="4" w:space="0" w:color="auto"/>
            </w:tcBorders>
            <w:noWrap/>
            <w:vAlign w:val="center"/>
          </w:tcPr>
          <w:p w14:paraId="1F68BA05" w14:textId="77777777" w:rsidR="00AB6753" w:rsidRPr="00F32D92" w:rsidRDefault="00AB6753" w:rsidP="002D1EA4">
            <w:pPr>
              <w:rPr>
                <w:rFonts w:cs="Arial"/>
                <w:sz w:val="20"/>
                <w:szCs w:val="20"/>
              </w:rPr>
            </w:pPr>
            <w:r w:rsidRPr="00F32D92">
              <w:rPr>
                <w:rFonts w:cs="Arial"/>
                <w:b/>
                <w:bCs/>
                <w:color w:val="000000"/>
                <w:sz w:val="20"/>
                <w:szCs w:val="20"/>
              </w:rPr>
              <w:t>54</w:t>
            </w:r>
          </w:p>
        </w:tc>
        <w:tc>
          <w:tcPr>
            <w:tcW w:w="1088" w:type="dxa"/>
            <w:tcBorders>
              <w:bottom w:val="single" w:sz="4" w:space="0" w:color="auto"/>
            </w:tcBorders>
            <w:noWrap/>
            <w:vAlign w:val="center"/>
          </w:tcPr>
          <w:p w14:paraId="0FB515B4" w14:textId="77777777" w:rsidR="00AB6753" w:rsidRPr="00F32D92" w:rsidRDefault="00AB6753" w:rsidP="002D1EA4">
            <w:pPr>
              <w:rPr>
                <w:rFonts w:cs="Arial"/>
                <w:sz w:val="20"/>
                <w:szCs w:val="20"/>
              </w:rPr>
            </w:pPr>
            <w:r w:rsidRPr="00F32D92">
              <w:rPr>
                <w:rFonts w:cs="Arial"/>
                <w:b/>
                <w:bCs/>
                <w:color w:val="000000"/>
                <w:sz w:val="20"/>
                <w:szCs w:val="20"/>
              </w:rPr>
              <w:t>12</w:t>
            </w:r>
          </w:p>
        </w:tc>
        <w:tc>
          <w:tcPr>
            <w:tcW w:w="1848" w:type="dxa"/>
            <w:tcBorders>
              <w:bottom w:val="single" w:sz="4" w:space="0" w:color="auto"/>
              <w:right w:val="single" w:sz="4" w:space="0" w:color="auto"/>
            </w:tcBorders>
            <w:noWrap/>
            <w:vAlign w:val="center"/>
          </w:tcPr>
          <w:p w14:paraId="310E6399" w14:textId="77777777" w:rsidR="00AB6753" w:rsidRPr="00F32D92" w:rsidRDefault="00AB6753" w:rsidP="002D1EA4">
            <w:pPr>
              <w:rPr>
                <w:rFonts w:cs="Arial"/>
                <w:sz w:val="20"/>
                <w:szCs w:val="20"/>
              </w:rPr>
            </w:pPr>
            <w:r w:rsidRPr="00F32D92">
              <w:rPr>
                <w:rFonts w:cs="Arial"/>
                <w:b/>
                <w:bCs/>
                <w:color w:val="000000"/>
                <w:sz w:val="20"/>
                <w:szCs w:val="20"/>
              </w:rPr>
              <w:t>66</w:t>
            </w:r>
          </w:p>
        </w:tc>
        <w:tc>
          <w:tcPr>
            <w:tcW w:w="661" w:type="dxa"/>
            <w:tcBorders>
              <w:left w:val="single" w:sz="4" w:space="0" w:color="auto"/>
              <w:bottom w:val="single" w:sz="4" w:space="0" w:color="auto"/>
              <w:right w:val="single" w:sz="4" w:space="0" w:color="666666" w:themeColor="text1" w:themeTint="99"/>
            </w:tcBorders>
            <w:vAlign w:val="center"/>
          </w:tcPr>
          <w:p w14:paraId="100FA9D2" w14:textId="77777777" w:rsidR="00AB6753" w:rsidRPr="00F32D92" w:rsidRDefault="00AB6753" w:rsidP="002D1EA4">
            <w:pPr>
              <w:rPr>
                <w:rFonts w:cs="Arial"/>
                <w:sz w:val="20"/>
                <w:szCs w:val="20"/>
              </w:rPr>
            </w:pPr>
            <w:r w:rsidRPr="00F32D92">
              <w:rPr>
                <w:rFonts w:cs="Arial"/>
                <w:b/>
                <w:bCs/>
                <w:color w:val="000000"/>
                <w:sz w:val="20"/>
                <w:szCs w:val="20"/>
              </w:rPr>
              <w:t>2</w:t>
            </w:r>
            <w:r>
              <w:rPr>
                <w:rFonts w:cs="Arial"/>
                <w:b/>
                <w:bCs/>
                <w:color w:val="000000"/>
                <w:sz w:val="20"/>
                <w:szCs w:val="20"/>
              </w:rPr>
              <w:t>,</w:t>
            </w:r>
            <w:r w:rsidRPr="00F32D92">
              <w:rPr>
                <w:rFonts w:cs="Arial"/>
                <w:b/>
                <w:bCs/>
                <w:color w:val="000000"/>
                <w:sz w:val="20"/>
                <w:szCs w:val="20"/>
              </w:rPr>
              <w:t>586</w:t>
            </w:r>
          </w:p>
        </w:tc>
      </w:tr>
    </w:tbl>
    <w:p w14:paraId="4AB70BBD" w14:textId="77777777" w:rsidR="00AB6753" w:rsidRPr="00CF02C1" w:rsidRDefault="00AB6753" w:rsidP="00AB6753"/>
    <w:p w14:paraId="6B4A2BF2" w14:textId="77777777" w:rsidR="00AB6753" w:rsidRPr="00A050FC" w:rsidRDefault="00AB6753" w:rsidP="00AB6753">
      <w:pPr>
        <w:rPr>
          <w:rFonts w:ascii="Arial Narrow" w:hAnsi="Arial Narrow" w:cs="Calibri"/>
          <w:b/>
          <w:sz w:val="20"/>
          <w:szCs w:val="20"/>
        </w:rPr>
      </w:pPr>
      <w:bookmarkStart w:id="296" w:name="_Toc5705971"/>
      <w:r>
        <w:rPr>
          <w:rFonts w:ascii="Arial Narrow" w:hAnsi="Arial Narrow" w:cs="Calibri"/>
          <w:b/>
          <w:sz w:val="20"/>
          <w:szCs w:val="20"/>
        </w:rPr>
        <w:lastRenderedPageBreak/>
        <w:t xml:space="preserve">Table F-15 </w:t>
      </w:r>
      <w:r w:rsidRPr="00A050FC">
        <w:rPr>
          <w:rFonts w:ascii="Arial Narrow" w:hAnsi="Arial Narrow" w:cs="Calibri"/>
          <w:b/>
          <w:sz w:val="20"/>
          <w:szCs w:val="20"/>
        </w:rPr>
        <w:t>17AG (4)(b)(v) — Australian Public Service Act Employment type by location Current Report Period</w:t>
      </w:r>
      <w:r>
        <w:rPr>
          <w:rFonts w:ascii="Arial Narrow" w:hAnsi="Arial Narrow" w:cs="Calibri"/>
          <w:b/>
          <w:sz w:val="20"/>
          <w:szCs w:val="20"/>
        </w:rPr>
        <w:t xml:space="preserve"> </w:t>
      </w:r>
      <w:r w:rsidRPr="00A050FC">
        <w:rPr>
          <w:rFonts w:ascii="Arial Narrow" w:hAnsi="Arial Narrow" w:cs="Calibri"/>
          <w:b/>
          <w:sz w:val="20"/>
          <w:szCs w:val="20"/>
        </w:rPr>
        <w:t>(2019–20)</w:t>
      </w:r>
    </w:p>
    <w:tbl>
      <w:tblPr>
        <w:tblW w:w="5382" w:type="dxa"/>
        <w:tblInd w:w="-142"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auto"/>
        </w:tblBorders>
        <w:tblLayout w:type="fixed"/>
        <w:tblLook w:val="04A0" w:firstRow="1" w:lastRow="0" w:firstColumn="1" w:lastColumn="0" w:noHBand="0" w:noVBand="1"/>
        <w:tblCaption w:val="Table F-15 17AG (4)(b)(v) Australian Public Service Act Employment type by location. Previous Report Period (2017–18)"/>
        <w:tblDescription w:val="Table 17AG (4)(b)(v) Australian Public Service Act Employment type by location. Previous Report Period (2019-20)"/>
      </w:tblPr>
      <w:tblGrid>
        <w:gridCol w:w="1130"/>
        <w:gridCol w:w="1275"/>
        <w:gridCol w:w="1418"/>
        <w:gridCol w:w="1559"/>
      </w:tblGrid>
      <w:tr w:rsidR="00AB6753" w:rsidRPr="00F32D92" w14:paraId="6C5DCBF1" w14:textId="77777777" w:rsidTr="002D1EA4">
        <w:trPr>
          <w:trHeight w:val="615"/>
          <w:tblHeader/>
        </w:trPr>
        <w:tc>
          <w:tcPr>
            <w:tcW w:w="1130" w:type="dxa"/>
            <w:shd w:val="clear" w:color="auto" w:fill="BFBFBF" w:themeFill="background1" w:themeFillShade="BF"/>
            <w:noWrap/>
            <w:hideMark/>
          </w:tcPr>
          <w:p w14:paraId="1784DE66" w14:textId="77777777" w:rsidR="00AB6753" w:rsidRPr="00F32D92" w:rsidRDefault="00AB6753" w:rsidP="002D1EA4">
            <w:pPr>
              <w:spacing w:before="60" w:after="60" w:line="240" w:lineRule="auto"/>
              <w:rPr>
                <w:rFonts w:cs="Arial"/>
                <w:sz w:val="20"/>
                <w:szCs w:val="20"/>
              </w:rPr>
            </w:pPr>
          </w:p>
        </w:tc>
        <w:tc>
          <w:tcPr>
            <w:tcW w:w="1275" w:type="dxa"/>
            <w:shd w:val="clear" w:color="auto" w:fill="BFBFBF" w:themeFill="background1" w:themeFillShade="BF"/>
            <w:noWrap/>
            <w:hideMark/>
          </w:tcPr>
          <w:p w14:paraId="5F54AFB7" w14:textId="77777777" w:rsidR="00AB6753" w:rsidRPr="00F32D92" w:rsidRDefault="00AB6753" w:rsidP="002D1EA4">
            <w:pPr>
              <w:spacing w:before="60" w:after="60" w:line="240" w:lineRule="auto"/>
              <w:rPr>
                <w:rFonts w:cs="Arial"/>
                <w:sz w:val="20"/>
                <w:szCs w:val="20"/>
              </w:rPr>
            </w:pPr>
            <w:r w:rsidRPr="00F32D92">
              <w:rPr>
                <w:rFonts w:cs="Arial"/>
                <w:sz w:val="20"/>
                <w:szCs w:val="20"/>
              </w:rPr>
              <w:t>Ongoing</w:t>
            </w:r>
          </w:p>
        </w:tc>
        <w:tc>
          <w:tcPr>
            <w:tcW w:w="1418" w:type="dxa"/>
            <w:shd w:val="clear" w:color="auto" w:fill="BFBFBF" w:themeFill="background1" w:themeFillShade="BF"/>
            <w:noWrap/>
            <w:hideMark/>
          </w:tcPr>
          <w:p w14:paraId="4EE5F651" w14:textId="77777777" w:rsidR="00AB6753" w:rsidRPr="00F32D92" w:rsidRDefault="00AB6753" w:rsidP="002D1EA4">
            <w:pPr>
              <w:spacing w:before="60" w:after="60" w:line="240" w:lineRule="auto"/>
              <w:rPr>
                <w:rFonts w:cs="Arial"/>
                <w:sz w:val="20"/>
                <w:szCs w:val="20"/>
              </w:rPr>
            </w:pPr>
            <w:r w:rsidRPr="00F32D92">
              <w:rPr>
                <w:rFonts w:cs="Arial"/>
                <w:sz w:val="20"/>
                <w:szCs w:val="20"/>
              </w:rPr>
              <w:t>Non-Ongoing</w:t>
            </w:r>
          </w:p>
        </w:tc>
        <w:tc>
          <w:tcPr>
            <w:tcW w:w="1559" w:type="dxa"/>
            <w:shd w:val="clear" w:color="auto" w:fill="BFBFBF" w:themeFill="background1" w:themeFillShade="BF"/>
          </w:tcPr>
          <w:p w14:paraId="67275E69" w14:textId="77777777" w:rsidR="00AB6753" w:rsidRPr="00F32D92" w:rsidRDefault="00AB6753" w:rsidP="002D1EA4">
            <w:pPr>
              <w:spacing w:before="60" w:after="60" w:line="240" w:lineRule="auto"/>
              <w:rPr>
                <w:rFonts w:cs="Arial"/>
                <w:sz w:val="20"/>
                <w:szCs w:val="20"/>
              </w:rPr>
            </w:pPr>
            <w:r w:rsidRPr="00F32D92">
              <w:rPr>
                <w:rFonts w:cs="Arial"/>
                <w:sz w:val="20"/>
                <w:szCs w:val="20"/>
              </w:rPr>
              <w:t>Total</w:t>
            </w:r>
          </w:p>
        </w:tc>
      </w:tr>
      <w:tr w:rsidR="00AB6753" w:rsidRPr="00F32D92" w14:paraId="07DA0894" w14:textId="77777777" w:rsidTr="002D1EA4">
        <w:trPr>
          <w:trHeight w:val="315"/>
        </w:trPr>
        <w:tc>
          <w:tcPr>
            <w:tcW w:w="1130" w:type="dxa"/>
            <w:hideMark/>
          </w:tcPr>
          <w:p w14:paraId="6565C8AC" w14:textId="77777777" w:rsidR="00AB6753" w:rsidRPr="00F32D92" w:rsidRDefault="00AB6753" w:rsidP="002D1EA4">
            <w:pPr>
              <w:spacing w:before="60" w:after="60" w:line="240" w:lineRule="auto"/>
              <w:rPr>
                <w:rFonts w:cs="Arial"/>
                <w:sz w:val="20"/>
                <w:szCs w:val="20"/>
              </w:rPr>
            </w:pPr>
            <w:r w:rsidRPr="00F32D92">
              <w:rPr>
                <w:rFonts w:cs="Arial"/>
                <w:sz w:val="20"/>
                <w:szCs w:val="20"/>
              </w:rPr>
              <w:t>NSW</w:t>
            </w:r>
          </w:p>
        </w:tc>
        <w:tc>
          <w:tcPr>
            <w:tcW w:w="1275" w:type="dxa"/>
            <w:noWrap/>
            <w:vAlign w:val="center"/>
          </w:tcPr>
          <w:p w14:paraId="0CD04C86" w14:textId="77777777" w:rsidR="00AB6753" w:rsidRPr="00F32D92" w:rsidRDefault="00AB6753" w:rsidP="002D1EA4">
            <w:pPr>
              <w:rPr>
                <w:rFonts w:cs="Arial"/>
                <w:sz w:val="20"/>
                <w:szCs w:val="20"/>
              </w:rPr>
            </w:pPr>
            <w:r w:rsidRPr="00F32D92">
              <w:rPr>
                <w:rFonts w:cs="Arial"/>
                <w:color w:val="000000"/>
                <w:sz w:val="20"/>
                <w:szCs w:val="20"/>
              </w:rPr>
              <w:t>160</w:t>
            </w:r>
          </w:p>
        </w:tc>
        <w:tc>
          <w:tcPr>
            <w:tcW w:w="1418" w:type="dxa"/>
            <w:noWrap/>
            <w:vAlign w:val="center"/>
          </w:tcPr>
          <w:p w14:paraId="2E146295" w14:textId="77777777" w:rsidR="00AB6753" w:rsidRPr="00F32D92" w:rsidRDefault="00AB6753" w:rsidP="002D1EA4">
            <w:pPr>
              <w:rPr>
                <w:rFonts w:cs="Arial"/>
                <w:sz w:val="20"/>
                <w:szCs w:val="20"/>
              </w:rPr>
            </w:pPr>
            <w:r w:rsidRPr="00F32D92">
              <w:rPr>
                <w:rFonts w:cs="Arial"/>
                <w:color w:val="000000"/>
                <w:sz w:val="20"/>
                <w:szCs w:val="20"/>
              </w:rPr>
              <w:t>1</w:t>
            </w:r>
          </w:p>
        </w:tc>
        <w:tc>
          <w:tcPr>
            <w:tcW w:w="1559" w:type="dxa"/>
            <w:vAlign w:val="center"/>
          </w:tcPr>
          <w:p w14:paraId="5F16C6EB" w14:textId="77777777" w:rsidR="00AB6753" w:rsidRPr="00F32D92" w:rsidRDefault="00AB6753" w:rsidP="002D1EA4">
            <w:pPr>
              <w:rPr>
                <w:rFonts w:cs="Arial"/>
                <w:sz w:val="20"/>
                <w:szCs w:val="20"/>
              </w:rPr>
            </w:pPr>
            <w:r w:rsidRPr="00F32D92">
              <w:rPr>
                <w:rFonts w:cs="Arial"/>
                <w:color w:val="000000"/>
                <w:sz w:val="20"/>
                <w:szCs w:val="20"/>
              </w:rPr>
              <w:t>161</w:t>
            </w:r>
          </w:p>
        </w:tc>
      </w:tr>
      <w:tr w:rsidR="00AB6753" w:rsidRPr="00F32D92" w14:paraId="403B8D4D" w14:textId="77777777" w:rsidTr="002D1EA4">
        <w:trPr>
          <w:trHeight w:val="315"/>
        </w:trPr>
        <w:tc>
          <w:tcPr>
            <w:tcW w:w="1130" w:type="dxa"/>
            <w:hideMark/>
          </w:tcPr>
          <w:p w14:paraId="5287DC1F" w14:textId="77777777" w:rsidR="00AB6753" w:rsidRPr="00F32D92" w:rsidRDefault="00AB6753" w:rsidP="002D1EA4">
            <w:pPr>
              <w:spacing w:before="60" w:after="60" w:line="240" w:lineRule="auto"/>
              <w:rPr>
                <w:rFonts w:cs="Arial"/>
                <w:sz w:val="20"/>
                <w:szCs w:val="20"/>
              </w:rPr>
            </w:pPr>
            <w:r w:rsidRPr="00F32D92">
              <w:rPr>
                <w:rFonts w:cs="Arial"/>
                <w:sz w:val="20"/>
                <w:szCs w:val="20"/>
              </w:rPr>
              <w:t>Qld</w:t>
            </w:r>
          </w:p>
        </w:tc>
        <w:tc>
          <w:tcPr>
            <w:tcW w:w="1275" w:type="dxa"/>
            <w:noWrap/>
            <w:vAlign w:val="center"/>
          </w:tcPr>
          <w:p w14:paraId="4114809B" w14:textId="77777777" w:rsidR="00AB6753" w:rsidRPr="00F32D92" w:rsidRDefault="00AB6753" w:rsidP="002D1EA4">
            <w:pPr>
              <w:rPr>
                <w:rFonts w:cs="Arial"/>
                <w:sz w:val="20"/>
                <w:szCs w:val="20"/>
              </w:rPr>
            </w:pPr>
            <w:r w:rsidRPr="00F32D92">
              <w:rPr>
                <w:rFonts w:cs="Arial"/>
                <w:color w:val="000000"/>
                <w:sz w:val="20"/>
                <w:szCs w:val="20"/>
              </w:rPr>
              <w:t>111</w:t>
            </w:r>
          </w:p>
        </w:tc>
        <w:tc>
          <w:tcPr>
            <w:tcW w:w="1418" w:type="dxa"/>
            <w:noWrap/>
            <w:vAlign w:val="center"/>
          </w:tcPr>
          <w:p w14:paraId="4A969100" w14:textId="77777777" w:rsidR="00AB6753" w:rsidRPr="00F32D92" w:rsidRDefault="00AB6753" w:rsidP="002D1EA4">
            <w:pPr>
              <w:rPr>
                <w:rFonts w:cs="Arial"/>
                <w:sz w:val="20"/>
                <w:szCs w:val="20"/>
              </w:rPr>
            </w:pPr>
            <w:r w:rsidRPr="00F32D92">
              <w:rPr>
                <w:rFonts w:cs="Arial"/>
                <w:color w:val="000000"/>
                <w:sz w:val="20"/>
                <w:szCs w:val="20"/>
              </w:rPr>
              <w:t>3</w:t>
            </w:r>
          </w:p>
        </w:tc>
        <w:tc>
          <w:tcPr>
            <w:tcW w:w="1559" w:type="dxa"/>
            <w:vAlign w:val="center"/>
          </w:tcPr>
          <w:p w14:paraId="0D458CE9" w14:textId="77777777" w:rsidR="00AB6753" w:rsidRPr="00F32D92" w:rsidRDefault="00AB6753" w:rsidP="002D1EA4">
            <w:pPr>
              <w:rPr>
                <w:rFonts w:cs="Arial"/>
                <w:sz w:val="20"/>
                <w:szCs w:val="20"/>
              </w:rPr>
            </w:pPr>
            <w:r w:rsidRPr="00F32D92">
              <w:rPr>
                <w:rFonts w:cs="Arial"/>
                <w:color w:val="000000"/>
                <w:sz w:val="20"/>
                <w:szCs w:val="20"/>
              </w:rPr>
              <w:t>114</w:t>
            </w:r>
          </w:p>
        </w:tc>
      </w:tr>
      <w:tr w:rsidR="00AB6753" w:rsidRPr="00F32D92" w14:paraId="486FAFD4" w14:textId="77777777" w:rsidTr="002D1EA4">
        <w:trPr>
          <w:trHeight w:val="315"/>
        </w:trPr>
        <w:tc>
          <w:tcPr>
            <w:tcW w:w="1130" w:type="dxa"/>
            <w:hideMark/>
          </w:tcPr>
          <w:p w14:paraId="47A8A7D3" w14:textId="77777777" w:rsidR="00AB6753" w:rsidRPr="00F32D92" w:rsidRDefault="00AB6753" w:rsidP="002D1EA4">
            <w:pPr>
              <w:spacing w:before="60" w:after="60" w:line="240" w:lineRule="auto"/>
              <w:rPr>
                <w:rFonts w:cs="Arial"/>
                <w:sz w:val="20"/>
                <w:szCs w:val="20"/>
              </w:rPr>
            </w:pPr>
            <w:r w:rsidRPr="00F32D92">
              <w:rPr>
                <w:rFonts w:cs="Arial"/>
                <w:sz w:val="20"/>
                <w:szCs w:val="20"/>
              </w:rPr>
              <w:t>SA</w:t>
            </w:r>
          </w:p>
        </w:tc>
        <w:tc>
          <w:tcPr>
            <w:tcW w:w="1275" w:type="dxa"/>
            <w:noWrap/>
            <w:vAlign w:val="center"/>
          </w:tcPr>
          <w:p w14:paraId="2C3B363A" w14:textId="77777777" w:rsidR="00AB6753" w:rsidRPr="00F32D92" w:rsidRDefault="00AB6753" w:rsidP="002D1EA4">
            <w:pPr>
              <w:rPr>
                <w:rFonts w:cs="Arial"/>
                <w:sz w:val="20"/>
                <w:szCs w:val="20"/>
              </w:rPr>
            </w:pPr>
            <w:r w:rsidRPr="00F32D92">
              <w:rPr>
                <w:rFonts w:cs="Arial"/>
                <w:color w:val="000000"/>
                <w:sz w:val="20"/>
                <w:szCs w:val="20"/>
              </w:rPr>
              <w:t>76</w:t>
            </w:r>
          </w:p>
        </w:tc>
        <w:tc>
          <w:tcPr>
            <w:tcW w:w="1418" w:type="dxa"/>
            <w:noWrap/>
            <w:vAlign w:val="center"/>
          </w:tcPr>
          <w:p w14:paraId="769C0A1C" w14:textId="77777777" w:rsidR="00AB6753" w:rsidRPr="00F32D92" w:rsidRDefault="00AB6753" w:rsidP="002D1EA4">
            <w:pPr>
              <w:rPr>
                <w:rFonts w:cs="Arial"/>
                <w:sz w:val="20"/>
                <w:szCs w:val="20"/>
              </w:rPr>
            </w:pPr>
            <w:r w:rsidRPr="00F32D92">
              <w:rPr>
                <w:rFonts w:cs="Arial"/>
                <w:color w:val="000000"/>
                <w:sz w:val="20"/>
                <w:szCs w:val="20"/>
              </w:rPr>
              <w:t>8</w:t>
            </w:r>
          </w:p>
        </w:tc>
        <w:tc>
          <w:tcPr>
            <w:tcW w:w="1559" w:type="dxa"/>
            <w:vAlign w:val="center"/>
          </w:tcPr>
          <w:p w14:paraId="5B3CD978" w14:textId="77777777" w:rsidR="00AB6753" w:rsidRPr="00F32D92" w:rsidRDefault="00AB6753" w:rsidP="002D1EA4">
            <w:pPr>
              <w:rPr>
                <w:rFonts w:cs="Arial"/>
                <w:sz w:val="20"/>
                <w:szCs w:val="20"/>
              </w:rPr>
            </w:pPr>
            <w:r w:rsidRPr="00F32D92">
              <w:rPr>
                <w:rFonts w:cs="Arial"/>
                <w:color w:val="000000"/>
                <w:sz w:val="20"/>
                <w:szCs w:val="20"/>
              </w:rPr>
              <w:t>84</w:t>
            </w:r>
          </w:p>
        </w:tc>
      </w:tr>
      <w:tr w:rsidR="00AB6753" w:rsidRPr="00F32D92" w14:paraId="3F645CCB" w14:textId="77777777" w:rsidTr="002D1EA4">
        <w:trPr>
          <w:trHeight w:val="315"/>
        </w:trPr>
        <w:tc>
          <w:tcPr>
            <w:tcW w:w="1130" w:type="dxa"/>
            <w:hideMark/>
          </w:tcPr>
          <w:p w14:paraId="7FB92CAE" w14:textId="77777777" w:rsidR="00AB6753" w:rsidRPr="00F32D92" w:rsidRDefault="00AB6753" w:rsidP="002D1EA4">
            <w:pPr>
              <w:spacing w:before="60" w:after="60" w:line="240" w:lineRule="auto"/>
              <w:rPr>
                <w:rFonts w:cs="Arial"/>
                <w:sz w:val="20"/>
                <w:szCs w:val="20"/>
              </w:rPr>
            </w:pPr>
            <w:proofErr w:type="spellStart"/>
            <w:r w:rsidRPr="00F32D92">
              <w:rPr>
                <w:rFonts w:cs="Arial"/>
                <w:sz w:val="20"/>
                <w:szCs w:val="20"/>
              </w:rPr>
              <w:t>Tas</w:t>
            </w:r>
            <w:proofErr w:type="spellEnd"/>
          </w:p>
        </w:tc>
        <w:tc>
          <w:tcPr>
            <w:tcW w:w="1275" w:type="dxa"/>
            <w:noWrap/>
            <w:vAlign w:val="center"/>
          </w:tcPr>
          <w:p w14:paraId="7DF41927" w14:textId="77777777" w:rsidR="00AB6753" w:rsidRPr="00F32D92" w:rsidRDefault="00AB6753" w:rsidP="002D1EA4">
            <w:pPr>
              <w:rPr>
                <w:rFonts w:cs="Arial"/>
                <w:sz w:val="20"/>
                <w:szCs w:val="20"/>
              </w:rPr>
            </w:pPr>
            <w:r w:rsidRPr="00F32D92">
              <w:rPr>
                <w:rFonts w:cs="Arial"/>
                <w:color w:val="000000"/>
                <w:sz w:val="20"/>
                <w:szCs w:val="20"/>
              </w:rPr>
              <w:t>52</w:t>
            </w:r>
          </w:p>
        </w:tc>
        <w:tc>
          <w:tcPr>
            <w:tcW w:w="1418" w:type="dxa"/>
            <w:noWrap/>
            <w:vAlign w:val="center"/>
          </w:tcPr>
          <w:p w14:paraId="1875D672" w14:textId="77777777" w:rsidR="00AB6753" w:rsidRPr="00F32D92" w:rsidRDefault="00AB6753" w:rsidP="002D1EA4">
            <w:pPr>
              <w:rPr>
                <w:rFonts w:cs="Arial"/>
                <w:sz w:val="20"/>
                <w:szCs w:val="20"/>
              </w:rPr>
            </w:pPr>
            <w:r w:rsidRPr="00F32D92">
              <w:rPr>
                <w:rFonts w:cs="Arial"/>
                <w:color w:val="000000"/>
                <w:sz w:val="20"/>
                <w:szCs w:val="20"/>
              </w:rPr>
              <w:t>2</w:t>
            </w:r>
          </w:p>
        </w:tc>
        <w:tc>
          <w:tcPr>
            <w:tcW w:w="1559" w:type="dxa"/>
            <w:vAlign w:val="center"/>
          </w:tcPr>
          <w:p w14:paraId="7BB08ED4" w14:textId="77777777" w:rsidR="00AB6753" w:rsidRPr="00F32D92" w:rsidRDefault="00AB6753" w:rsidP="002D1EA4">
            <w:pPr>
              <w:rPr>
                <w:rFonts w:cs="Arial"/>
                <w:sz w:val="20"/>
                <w:szCs w:val="20"/>
              </w:rPr>
            </w:pPr>
            <w:r w:rsidRPr="00F32D92">
              <w:rPr>
                <w:rFonts w:cs="Arial"/>
                <w:color w:val="000000"/>
                <w:sz w:val="20"/>
                <w:szCs w:val="20"/>
              </w:rPr>
              <w:t>54</w:t>
            </w:r>
          </w:p>
        </w:tc>
      </w:tr>
      <w:tr w:rsidR="00AB6753" w:rsidRPr="00F32D92" w14:paraId="68B504E2" w14:textId="77777777" w:rsidTr="002D1EA4">
        <w:trPr>
          <w:trHeight w:val="315"/>
        </w:trPr>
        <w:tc>
          <w:tcPr>
            <w:tcW w:w="1130" w:type="dxa"/>
            <w:hideMark/>
          </w:tcPr>
          <w:p w14:paraId="0848A24E" w14:textId="77777777" w:rsidR="00AB6753" w:rsidRPr="00F32D92" w:rsidRDefault="00AB6753" w:rsidP="002D1EA4">
            <w:pPr>
              <w:spacing w:before="60" w:after="60" w:line="240" w:lineRule="auto"/>
              <w:rPr>
                <w:rFonts w:cs="Arial"/>
                <w:sz w:val="20"/>
                <w:szCs w:val="20"/>
              </w:rPr>
            </w:pPr>
            <w:r w:rsidRPr="00F32D92">
              <w:rPr>
                <w:rFonts w:cs="Arial"/>
                <w:sz w:val="20"/>
                <w:szCs w:val="20"/>
              </w:rPr>
              <w:t>Vic</w:t>
            </w:r>
          </w:p>
        </w:tc>
        <w:tc>
          <w:tcPr>
            <w:tcW w:w="1275" w:type="dxa"/>
            <w:noWrap/>
            <w:vAlign w:val="center"/>
          </w:tcPr>
          <w:p w14:paraId="6587338B" w14:textId="77777777" w:rsidR="00AB6753" w:rsidRPr="00F32D92" w:rsidRDefault="00AB6753" w:rsidP="002D1EA4">
            <w:pPr>
              <w:rPr>
                <w:rFonts w:cs="Arial"/>
                <w:sz w:val="20"/>
                <w:szCs w:val="20"/>
              </w:rPr>
            </w:pPr>
            <w:r w:rsidRPr="00F32D92">
              <w:rPr>
                <w:rFonts w:cs="Arial"/>
                <w:color w:val="000000"/>
                <w:sz w:val="20"/>
                <w:szCs w:val="20"/>
              </w:rPr>
              <w:t>145</w:t>
            </w:r>
          </w:p>
        </w:tc>
        <w:tc>
          <w:tcPr>
            <w:tcW w:w="1418" w:type="dxa"/>
            <w:noWrap/>
            <w:vAlign w:val="center"/>
          </w:tcPr>
          <w:p w14:paraId="0ED157F5" w14:textId="77777777" w:rsidR="00AB6753" w:rsidRPr="00F32D92" w:rsidRDefault="00AB6753" w:rsidP="002D1EA4">
            <w:pPr>
              <w:rPr>
                <w:rFonts w:cs="Arial"/>
                <w:sz w:val="20"/>
                <w:szCs w:val="20"/>
              </w:rPr>
            </w:pPr>
            <w:r w:rsidRPr="00F32D92">
              <w:rPr>
                <w:rFonts w:cs="Arial"/>
                <w:color w:val="000000"/>
                <w:sz w:val="20"/>
                <w:szCs w:val="20"/>
              </w:rPr>
              <w:t>3</w:t>
            </w:r>
          </w:p>
        </w:tc>
        <w:tc>
          <w:tcPr>
            <w:tcW w:w="1559" w:type="dxa"/>
            <w:vAlign w:val="center"/>
          </w:tcPr>
          <w:p w14:paraId="1027FA2B" w14:textId="77777777" w:rsidR="00AB6753" w:rsidRPr="00F32D92" w:rsidRDefault="00AB6753" w:rsidP="002D1EA4">
            <w:pPr>
              <w:rPr>
                <w:rFonts w:cs="Arial"/>
                <w:sz w:val="20"/>
                <w:szCs w:val="20"/>
              </w:rPr>
            </w:pPr>
            <w:r w:rsidRPr="00F32D92">
              <w:rPr>
                <w:rFonts w:cs="Arial"/>
                <w:color w:val="000000"/>
                <w:sz w:val="20"/>
                <w:szCs w:val="20"/>
              </w:rPr>
              <w:t>148</w:t>
            </w:r>
          </w:p>
        </w:tc>
      </w:tr>
      <w:tr w:rsidR="00AB6753" w:rsidRPr="00F32D92" w14:paraId="07D92A03" w14:textId="77777777" w:rsidTr="002D1EA4">
        <w:trPr>
          <w:trHeight w:val="315"/>
        </w:trPr>
        <w:tc>
          <w:tcPr>
            <w:tcW w:w="1130" w:type="dxa"/>
            <w:hideMark/>
          </w:tcPr>
          <w:p w14:paraId="038933F6" w14:textId="77777777" w:rsidR="00AB6753" w:rsidRPr="00F32D92" w:rsidRDefault="00AB6753" w:rsidP="002D1EA4">
            <w:pPr>
              <w:spacing w:before="60" w:after="60" w:line="240" w:lineRule="auto"/>
              <w:rPr>
                <w:rFonts w:cs="Arial"/>
                <w:sz w:val="20"/>
                <w:szCs w:val="20"/>
              </w:rPr>
            </w:pPr>
            <w:r w:rsidRPr="00F32D92">
              <w:rPr>
                <w:rFonts w:cs="Arial"/>
                <w:sz w:val="20"/>
                <w:szCs w:val="20"/>
              </w:rPr>
              <w:t>WA</w:t>
            </w:r>
          </w:p>
        </w:tc>
        <w:tc>
          <w:tcPr>
            <w:tcW w:w="1275" w:type="dxa"/>
            <w:noWrap/>
            <w:vAlign w:val="center"/>
          </w:tcPr>
          <w:p w14:paraId="419B2063" w14:textId="77777777" w:rsidR="00AB6753" w:rsidRPr="00F32D92" w:rsidRDefault="00AB6753" w:rsidP="002D1EA4">
            <w:pPr>
              <w:rPr>
                <w:rFonts w:cs="Arial"/>
                <w:sz w:val="20"/>
                <w:szCs w:val="20"/>
              </w:rPr>
            </w:pPr>
            <w:r w:rsidRPr="00F32D92">
              <w:rPr>
                <w:rFonts w:cs="Arial"/>
                <w:color w:val="000000"/>
                <w:sz w:val="20"/>
                <w:szCs w:val="20"/>
              </w:rPr>
              <w:t>74</w:t>
            </w:r>
          </w:p>
        </w:tc>
        <w:tc>
          <w:tcPr>
            <w:tcW w:w="1418" w:type="dxa"/>
            <w:noWrap/>
            <w:vAlign w:val="center"/>
          </w:tcPr>
          <w:p w14:paraId="77363C65" w14:textId="77777777" w:rsidR="00AB6753" w:rsidRPr="00F32D92" w:rsidRDefault="00AB6753" w:rsidP="002D1EA4">
            <w:pPr>
              <w:rPr>
                <w:rFonts w:cs="Arial"/>
                <w:sz w:val="20"/>
                <w:szCs w:val="20"/>
              </w:rPr>
            </w:pPr>
            <w:r w:rsidRPr="00F32D92">
              <w:rPr>
                <w:rFonts w:cs="Arial"/>
                <w:sz w:val="20"/>
                <w:szCs w:val="20"/>
              </w:rPr>
              <w:t>-</w:t>
            </w:r>
          </w:p>
        </w:tc>
        <w:tc>
          <w:tcPr>
            <w:tcW w:w="1559" w:type="dxa"/>
            <w:vAlign w:val="center"/>
          </w:tcPr>
          <w:p w14:paraId="76B7E500" w14:textId="77777777" w:rsidR="00AB6753" w:rsidRPr="00F32D92" w:rsidRDefault="00AB6753" w:rsidP="002D1EA4">
            <w:pPr>
              <w:rPr>
                <w:rFonts w:cs="Arial"/>
                <w:sz w:val="20"/>
                <w:szCs w:val="20"/>
              </w:rPr>
            </w:pPr>
            <w:r w:rsidRPr="00F32D92">
              <w:rPr>
                <w:rFonts w:cs="Arial"/>
                <w:color w:val="000000"/>
                <w:sz w:val="20"/>
                <w:szCs w:val="20"/>
              </w:rPr>
              <w:t>74</w:t>
            </w:r>
          </w:p>
        </w:tc>
      </w:tr>
      <w:tr w:rsidR="00AB6753" w:rsidRPr="00F32D92" w14:paraId="2730727F" w14:textId="77777777" w:rsidTr="002D1EA4">
        <w:trPr>
          <w:trHeight w:val="315"/>
        </w:trPr>
        <w:tc>
          <w:tcPr>
            <w:tcW w:w="1130" w:type="dxa"/>
            <w:hideMark/>
          </w:tcPr>
          <w:p w14:paraId="312D760E" w14:textId="77777777" w:rsidR="00AB6753" w:rsidRPr="00F32D92" w:rsidRDefault="00AB6753" w:rsidP="002D1EA4">
            <w:pPr>
              <w:spacing w:before="60" w:after="60" w:line="240" w:lineRule="auto"/>
              <w:rPr>
                <w:rFonts w:cs="Arial"/>
                <w:sz w:val="20"/>
                <w:szCs w:val="20"/>
              </w:rPr>
            </w:pPr>
            <w:r w:rsidRPr="00F32D92">
              <w:rPr>
                <w:rFonts w:cs="Arial"/>
                <w:sz w:val="20"/>
                <w:szCs w:val="20"/>
              </w:rPr>
              <w:t>ACT</w:t>
            </w:r>
          </w:p>
        </w:tc>
        <w:tc>
          <w:tcPr>
            <w:tcW w:w="1275" w:type="dxa"/>
            <w:noWrap/>
            <w:vAlign w:val="center"/>
          </w:tcPr>
          <w:p w14:paraId="3816BD12" w14:textId="77777777" w:rsidR="00AB6753" w:rsidRPr="00F32D92" w:rsidRDefault="00AB6753" w:rsidP="002D1EA4">
            <w:pPr>
              <w:rPr>
                <w:rFonts w:cs="Arial"/>
                <w:sz w:val="20"/>
                <w:szCs w:val="20"/>
              </w:rPr>
            </w:pPr>
            <w:r w:rsidRPr="00F32D92">
              <w:rPr>
                <w:rFonts w:cs="Arial"/>
                <w:color w:val="000000"/>
                <w:sz w:val="20"/>
                <w:szCs w:val="20"/>
              </w:rPr>
              <w:t>1664</w:t>
            </w:r>
          </w:p>
        </w:tc>
        <w:tc>
          <w:tcPr>
            <w:tcW w:w="1418" w:type="dxa"/>
            <w:noWrap/>
            <w:vAlign w:val="center"/>
          </w:tcPr>
          <w:p w14:paraId="5B60280A" w14:textId="77777777" w:rsidR="00AB6753" w:rsidRPr="00F32D92" w:rsidRDefault="00AB6753" w:rsidP="002D1EA4">
            <w:pPr>
              <w:rPr>
                <w:rFonts w:cs="Arial"/>
                <w:sz w:val="20"/>
                <w:szCs w:val="20"/>
              </w:rPr>
            </w:pPr>
            <w:r w:rsidRPr="00F32D92">
              <w:rPr>
                <w:rFonts w:cs="Arial"/>
                <w:color w:val="000000"/>
                <w:sz w:val="20"/>
                <w:szCs w:val="20"/>
              </w:rPr>
              <w:t>30</w:t>
            </w:r>
          </w:p>
        </w:tc>
        <w:tc>
          <w:tcPr>
            <w:tcW w:w="1559" w:type="dxa"/>
            <w:vAlign w:val="center"/>
          </w:tcPr>
          <w:p w14:paraId="12ECF2EF" w14:textId="77777777" w:rsidR="00AB6753" w:rsidRPr="00F32D92" w:rsidRDefault="00AB6753" w:rsidP="002D1EA4">
            <w:pPr>
              <w:rPr>
                <w:rFonts w:cs="Arial"/>
                <w:sz w:val="20"/>
                <w:szCs w:val="20"/>
              </w:rPr>
            </w:pPr>
            <w:r w:rsidRPr="00F32D92">
              <w:rPr>
                <w:rFonts w:cs="Arial"/>
                <w:color w:val="000000"/>
                <w:sz w:val="20"/>
                <w:szCs w:val="20"/>
              </w:rPr>
              <w:t>1</w:t>
            </w:r>
            <w:r>
              <w:rPr>
                <w:rFonts w:cs="Arial"/>
                <w:color w:val="000000"/>
                <w:sz w:val="20"/>
                <w:szCs w:val="20"/>
              </w:rPr>
              <w:t>,</w:t>
            </w:r>
            <w:r w:rsidRPr="00F32D92">
              <w:rPr>
                <w:rFonts w:cs="Arial"/>
                <w:color w:val="000000"/>
                <w:sz w:val="20"/>
                <w:szCs w:val="20"/>
              </w:rPr>
              <w:t>694</w:t>
            </w:r>
          </w:p>
        </w:tc>
      </w:tr>
      <w:tr w:rsidR="00AB6753" w:rsidRPr="00F32D92" w14:paraId="11E7410E" w14:textId="77777777" w:rsidTr="002D1EA4">
        <w:trPr>
          <w:trHeight w:val="315"/>
        </w:trPr>
        <w:tc>
          <w:tcPr>
            <w:tcW w:w="1130" w:type="dxa"/>
          </w:tcPr>
          <w:p w14:paraId="08A54A68" w14:textId="77777777" w:rsidR="00AB6753" w:rsidRPr="00F32D92" w:rsidRDefault="00AB6753" w:rsidP="002D1EA4">
            <w:pPr>
              <w:spacing w:before="60" w:after="60" w:line="240" w:lineRule="auto"/>
              <w:rPr>
                <w:rFonts w:cs="Arial"/>
                <w:sz w:val="20"/>
                <w:szCs w:val="20"/>
              </w:rPr>
            </w:pPr>
            <w:r w:rsidRPr="00F32D92">
              <w:rPr>
                <w:rFonts w:cs="Arial"/>
                <w:sz w:val="20"/>
                <w:szCs w:val="20"/>
              </w:rPr>
              <w:t>NT</w:t>
            </w:r>
          </w:p>
        </w:tc>
        <w:tc>
          <w:tcPr>
            <w:tcW w:w="1275" w:type="dxa"/>
            <w:noWrap/>
            <w:vAlign w:val="center"/>
          </w:tcPr>
          <w:p w14:paraId="48242A35" w14:textId="77777777" w:rsidR="00AB6753" w:rsidRPr="00F32D92" w:rsidRDefault="00AB6753" w:rsidP="002D1EA4">
            <w:pPr>
              <w:rPr>
                <w:rFonts w:cs="Arial"/>
                <w:sz w:val="20"/>
                <w:szCs w:val="20"/>
              </w:rPr>
            </w:pPr>
            <w:r w:rsidRPr="00F32D92">
              <w:rPr>
                <w:rFonts w:cs="Arial"/>
                <w:color w:val="000000"/>
                <w:sz w:val="20"/>
                <w:szCs w:val="20"/>
              </w:rPr>
              <w:t>37</w:t>
            </w:r>
          </w:p>
        </w:tc>
        <w:tc>
          <w:tcPr>
            <w:tcW w:w="1418" w:type="dxa"/>
            <w:noWrap/>
            <w:vAlign w:val="center"/>
          </w:tcPr>
          <w:p w14:paraId="2E741676" w14:textId="77777777" w:rsidR="00AB6753" w:rsidRPr="00F32D92" w:rsidRDefault="00AB6753" w:rsidP="002D1EA4">
            <w:pPr>
              <w:rPr>
                <w:rFonts w:cs="Arial"/>
                <w:sz w:val="20"/>
                <w:szCs w:val="20"/>
              </w:rPr>
            </w:pPr>
            <w:r w:rsidRPr="00F32D92">
              <w:rPr>
                <w:rFonts w:cs="Arial"/>
                <w:sz w:val="20"/>
                <w:szCs w:val="20"/>
              </w:rPr>
              <w:t>-</w:t>
            </w:r>
          </w:p>
        </w:tc>
        <w:tc>
          <w:tcPr>
            <w:tcW w:w="1559" w:type="dxa"/>
            <w:vAlign w:val="center"/>
          </w:tcPr>
          <w:p w14:paraId="368E733A" w14:textId="77777777" w:rsidR="00AB6753" w:rsidRPr="00F32D92" w:rsidRDefault="00AB6753" w:rsidP="002D1EA4">
            <w:pPr>
              <w:rPr>
                <w:rFonts w:cs="Arial"/>
                <w:sz w:val="20"/>
                <w:szCs w:val="20"/>
              </w:rPr>
            </w:pPr>
            <w:r w:rsidRPr="00F32D92">
              <w:rPr>
                <w:rFonts w:cs="Arial"/>
                <w:color w:val="000000"/>
                <w:sz w:val="20"/>
                <w:szCs w:val="20"/>
              </w:rPr>
              <w:t>37</w:t>
            </w:r>
          </w:p>
        </w:tc>
      </w:tr>
      <w:tr w:rsidR="00AB6753" w:rsidRPr="00F32D92" w14:paraId="042717EB" w14:textId="77777777" w:rsidTr="002D1EA4">
        <w:trPr>
          <w:trHeight w:val="315"/>
        </w:trPr>
        <w:tc>
          <w:tcPr>
            <w:tcW w:w="1130" w:type="dxa"/>
          </w:tcPr>
          <w:p w14:paraId="6FB76669" w14:textId="77777777" w:rsidR="00AB6753" w:rsidRPr="00F32D92" w:rsidRDefault="00AB6753" w:rsidP="002D1EA4">
            <w:pPr>
              <w:spacing w:before="60" w:after="60" w:line="240" w:lineRule="auto"/>
              <w:rPr>
                <w:rFonts w:cs="Arial"/>
                <w:sz w:val="20"/>
                <w:szCs w:val="20"/>
              </w:rPr>
            </w:pPr>
            <w:r w:rsidRPr="00F32D92">
              <w:rPr>
                <w:rFonts w:cs="Arial"/>
                <w:sz w:val="20"/>
                <w:szCs w:val="20"/>
              </w:rPr>
              <w:t>External Territories</w:t>
            </w:r>
          </w:p>
        </w:tc>
        <w:tc>
          <w:tcPr>
            <w:tcW w:w="1275" w:type="dxa"/>
            <w:noWrap/>
          </w:tcPr>
          <w:p w14:paraId="69E0D06A" w14:textId="77777777" w:rsidR="00AB6753" w:rsidRPr="00F32D92" w:rsidRDefault="00AB6753" w:rsidP="002D1EA4">
            <w:pPr>
              <w:rPr>
                <w:rFonts w:cs="Arial"/>
                <w:sz w:val="20"/>
                <w:szCs w:val="20"/>
              </w:rPr>
            </w:pPr>
            <w:r w:rsidRPr="00F32D92">
              <w:rPr>
                <w:rFonts w:cs="Arial"/>
                <w:sz w:val="20"/>
                <w:szCs w:val="20"/>
              </w:rPr>
              <w:t>-</w:t>
            </w:r>
          </w:p>
        </w:tc>
        <w:tc>
          <w:tcPr>
            <w:tcW w:w="1418" w:type="dxa"/>
            <w:noWrap/>
          </w:tcPr>
          <w:p w14:paraId="70A85F87" w14:textId="77777777" w:rsidR="00AB6753" w:rsidRPr="00F32D92" w:rsidRDefault="00AB6753" w:rsidP="002D1EA4">
            <w:pPr>
              <w:rPr>
                <w:rFonts w:cs="Arial"/>
                <w:sz w:val="20"/>
                <w:szCs w:val="20"/>
              </w:rPr>
            </w:pPr>
            <w:r w:rsidRPr="00F32D92">
              <w:rPr>
                <w:rFonts w:cs="Arial"/>
                <w:sz w:val="20"/>
                <w:szCs w:val="20"/>
              </w:rPr>
              <w:t>-</w:t>
            </w:r>
          </w:p>
        </w:tc>
        <w:tc>
          <w:tcPr>
            <w:tcW w:w="1559" w:type="dxa"/>
          </w:tcPr>
          <w:p w14:paraId="0665A2E6" w14:textId="77777777" w:rsidR="00AB6753" w:rsidRPr="00F32D92" w:rsidRDefault="00AB6753" w:rsidP="002D1EA4">
            <w:pPr>
              <w:rPr>
                <w:rFonts w:cs="Arial"/>
                <w:sz w:val="20"/>
                <w:szCs w:val="20"/>
              </w:rPr>
            </w:pPr>
            <w:r w:rsidRPr="00F32D92">
              <w:rPr>
                <w:rFonts w:cs="Arial"/>
                <w:sz w:val="20"/>
                <w:szCs w:val="20"/>
              </w:rPr>
              <w:t>-</w:t>
            </w:r>
          </w:p>
        </w:tc>
      </w:tr>
      <w:tr w:rsidR="00AB6753" w:rsidRPr="00F32D92" w14:paraId="038DC3BB" w14:textId="77777777" w:rsidTr="002D1EA4">
        <w:trPr>
          <w:trHeight w:val="315"/>
        </w:trPr>
        <w:tc>
          <w:tcPr>
            <w:tcW w:w="1130" w:type="dxa"/>
            <w:hideMark/>
          </w:tcPr>
          <w:p w14:paraId="6ACD34FC" w14:textId="77777777" w:rsidR="00AB6753" w:rsidRPr="00F32D92" w:rsidRDefault="00AB6753" w:rsidP="002D1EA4">
            <w:pPr>
              <w:spacing w:before="60" w:after="60" w:line="240" w:lineRule="auto"/>
              <w:rPr>
                <w:rFonts w:cs="Arial"/>
                <w:sz w:val="20"/>
                <w:szCs w:val="20"/>
              </w:rPr>
            </w:pPr>
            <w:r w:rsidRPr="00F32D92">
              <w:rPr>
                <w:rFonts w:cs="Arial"/>
                <w:sz w:val="20"/>
                <w:szCs w:val="20"/>
              </w:rPr>
              <w:t>Overseas</w:t>
            </w:r>
          </w:p>
        </w:tc>
        <w:tc>
          <w:tcPr>
            <w:tcW w:w="1275" w:type="dxa"/>
            <w:noWrap/>
          </w:tcPr>
          <w:p w14:paraId="5D76A49A" w14:textId="77777777" w:rsidR="00AB6753" w:rsidRPr="00F32D92" w:rsidRDefault="00AB6753" w:rsidP="002D1EA4">
            <w:pPr>
              <w:rPr>
                <w:rFonts w:cs="Arial"/>
                <w:sz w:val="20"/>
                <w:szCs w:val="20"/>
              </w:rPr>
            </w:pPr>
            <w:r w:rsidRPr="00F32D92">
              <w:rPr>
                <w:rFonts w:cs="Arial"/>
                <w:sz w:val="20"/>
                <w:szCs w:val="20"/>
              </w:rPr>
              <w:t>-</w:t>
            </w:r>
          </w:p>
        </w:tc>
        <w:tc>
          <w:tcPr>
            <w:tcW w:w="1418" w:type="dxa"/>
            <w:noWrap/>
          </w:tcPr>
          <w:p w14:paraId="2B9587EE" w14:textId="77777777" w:rsidR="00AB6753" w:rsidRPr="00F32D92" w:rsidRDefault="00AB6753" w:rsidP="002D1EA4">
            <w:pPr>
              <w:rPr>
                <w:rFonts w:cs="Arial"/>
                <w:sz w:val="20"/>
                <w:szCs w:val="20"/>
              </w:rPr>
            </w:pPr>
            <w:r w:rsidRPr="00F32D92">
              <w:rPr>
                <w:rFonts w:cs="Arial"/>
                <w:sz w:val="20"/>
                <w:szCs w:val="20"/>
              </w:rPr>
              <w:t>-</w:t>
            </w:r>
          </w:p>
        </w:tc>
        <w:tc>
          <w:tcPr>
            <w:tcW w:w="1559" w:type="dxa"/>
          </w:tcPr>
          <w:p w14:paraId="228C8317" w14:textId="77777777" w:rsidR="00AB6753" w:rsidRPr="00F32D92" w:rsidRDefault="00AB6753" w:rsidP="002D1EA4">
            <w:pPr>
              <w:rPr>
                <w:rFonts w:cs="Arial"/>
                <w:sz w:val="20"/>
                <w:szCs w:val="20"/>
              </w:rPr>
            </w:pPr>
            <w:r w:rsidRPr="00F32D92">
              <w:rPr>
                <w:rFonts w:cs="Arial"/>
                <w:sz w:val="20"/>
                <w:szCs w:val="20"/>
              </w:rPr>
              <w:t>-</w:t>
            </w:r>
          </w:p>
        </w:tc>
      </w:tr>
      <w:tr w:rsidR="00AB6753" w:rsidRPr="00F32D92" w14:paraId="1F0F876D" w14:textId="77777777" w:rsidTr="002D1EA4">
        <w:trPr>
          <w:trHeight w:val="315"/>
        </w:trPr>
        <w:tc>
          <w:tcPr>
            <w:tcW w:w="1130" w:type="dxa"/>
          </w:tcPr>
          <w:p w14:paraId="709A7D26" w14:textId="77777777" w:rsidR="00AB6753" w:rsidRPr="00F32D92" w:rsidRDefault="00AB6753" w:rsidP="002D1EA4">
            <w:pPr>
              <w:spacing w:before="60" w:after="60" w:line="240" w:lineRule="auto"/>
              <w:rPr>
                <w:rFonts w:cs="Arial"/>
                <w:sz w:val="20"/>
                <w:szCs w:val="20"/>
              </w:rPr>
            </w:pPr>
            <w:r w:rsidRPr="00F32D92">
              <w:rPr>
                <w:rFonts w:cs="Arial"/>
                <w:sz w:val="20"/>
                <w:szCs w:val="20"/>
              </w:rPr>
              <w:t>Total</w:t>
            </w:r>
          </w:p>
        </w:tc>
        <w:tc>
          <w:tcPr>
            <w:tcW w:w="1275" w:type="dxa"/>
            <w:noWrap/>
            <w:vAlign w:val="bottom"/>
          </w:tcPr>
          <w:p w14:paraId="71C01F0D" w14:textId="77777777" w:rsidR="00AB6753" w:rsidRPr="00F32D92" w:rsidRDefault="00AB6753" w:rsidP="002D1EA4">
            <w:pPr>
              <w:rPr>
                <w:rFonts w:cs="Arial"/>
                <w:sz w:val="20"/>
                <w:szCs w:val="20"/>
              </w:rPr>
            </w:pPr>
            <w:r w:rsidRPr="00F32D92">
              <w:rPr>
                <w:rFonts w:cs="Arial"/>
                <w:b/>
                <w:bCs/>
                <w:color w:val="000000"/>
                <w:sz w:val="20"/>
                <w:szCs w:val="20"/>
              </w:rPr>
              <w:t>2</w:t>
            </w:r>
            <w:r>
              <w:rPr>
                <w:rFonts w:cs="Arial"/>
                <w:b/>
                <w:bCs/>
                <w:color w:val="000000"/>
                <w:sz w:val="20"/>
                <w:szCs w:val="20"/>
              </w:rPr>
              <w:t>,</w:t>
            </w:r>
            <w:r w:rsidRPr="00F32D92">
              <w:rPr>
                <w:rFonts w:cs="Arial"/>
                <w:b/>
                <w:bCs/>
                <w:color w:val="000000"/>
                <w:sz w:val="20"/>
                <w:szCs w:val="20"/>
              </w:rPr>
              <w:t>319</w:t>
            </w:r>
          </w:p>
        </w:tc>
        <w:tc>
          <w:tcPr>
            <w:tcW w:w="1418" w:type="dxa"/>
            <w:noWrap/>
            <w:vAlign w:val="bottom"/>
          </w:tcPr>
          <w:p w14:paraId="7274267D" w14:textId="77777777" w:rsidR="00AB6753" w:rsidRPr="00F32D92" w:rsidRDefault="00AB6753" w:rsidP="002D1EA4">
            <w:pPr>
              <w:rPr>
                <w:rFonts w:cs="Arial"/>
                <w:sz w:val="20"/>
                <w:szCs w:val="20"/>
              </w:rPr>
            </w:pPr>
            <w:r w:rsidRPr="00F32D92">
              <w:rPr>
                <w:rFonts w:cs="Arial"/>
                <w:b/>
                <w:bCs/>
                <w:color w:val="000000"/>
                <w:sz w:val="20"/>
                <w:szCs w:val="20"/>
              </w:rPr>
              <w:t>47</w:t>
            </w:r>
          </w:p>
        </w:tc>
        <w:tc>
          <w:tcPr>
            <w:tcW w:w="1559" w:type="dxa"/>
            <w:vAlign w:val="bottom"/>
          </w:tcPr>
          <w:p w14:paraId="6CF5717C" w14:textId="77777777" w:rsidR="00AB6753" w:rsidRPr="00F32D92" w:rsidRDefault="00AB6753" w:rsidP="002D1EA4">
            <w:pPr>
              <w:rPr>
                <w:rFonts w:cs="Arial"/>
                <w:sz w:val="20"/>
                <w:szCs w:val="20"/>
              </w:rPr>
            </w:pPr>
            <w:r w:rsidRPr="00F32D92">
              <w:rPr>
                <w:rFonts w:cs="Arial"/>
                <w:b/>
                <w:bCs/>
                <w:color w:val="000000"/>
                <w:sz w:val="20"/>
                <w:szCs w:val="20"/>
              </w:rPr>
              <w:t>2</w:t>
            </w:r>
            <w:r>
              <w:rPr>
                <w:rFonts w:cs="Arial"/>
                <w:b/>
                <w:bCs/>
                <w:color w:val="000000"/>
                <w:sz w:val="20"/>
                <w:szCs w:val="20"/>
              </w:rPr>
              <w:t>,</w:t>
            </w:r>
            <w:r w:rsidRPr="00F32D92">
              <w:rPr>
                <w:rFonts w:cs="Arial"/>
                <w:b/>
                <w:bCs/>
                <w:color w:val="000000"/>
                <w:sz w:val="20"/>
                <w:szCs w:val="20"/>
              </w:rPr>
              <w:t>366</w:t>
            </w:r>
          </w:p>
        </w:tc>
      </w:tr>
    </w:tbl>
    <w:p w14:paraId="31CB314C" w14:textId="77777777" w:rsidR="00AB6753" w:rsidRDefault="00AB6753" w:rsidP="00AB6753"/>
    <w:p w14:paraId="5B2EFC23" w14:textId="77777777" w:rsidR="00AB6753" w:rsidRPr="00A050FC" w:rsidRDefault="00AB6753" w:rsidP="00AB6753">
      <w:pPr>
        <w:rPr>
          <w:rFonts w:ascii="Arial Narrow" w:hAnsi="Arial Narrow" w:cs="Calibri"/>
          <w:b/>
          <w:sz w:val="20"/>
          <w:szCs w:val="20"/>
        </w:rPr>
      </w:pPr>
      <w:r>
        <w:rPr>
          <w:rFonts w:ascii="Arial Narrow" w:hAnsi="Arial Narrow" w:cs="Calibri"/>
          <w:b/>
          <w:sz w:val="20"/>
          <w:szCs w:val="20"/>
        </w:rPr>
        <w:t xml:space="preserve">Table F-16 </w:t>
      </w:r>
      <w:r w:rsidRPr="00A050FC">
        <w:rPr>
          <w:rFonts w:ascii="Arial Narrow" w:hAnsi="Arial Narrow" w:cs="Calibri"/>
          <w:b/>
          <w:sz w:val="20"/>
          <w:szCs w:val="20"/>
        </w:rPr>
        <w:t>17AG (4)(b)(v) — Australian Public Service Act Employment type by location Previous Report Period</w:t>
      </w:r>
      <w:r>
        <w:rPr>
          <w:rFonts w:ascii="Arial Narrow" w:hAnsi="Arial Narrow" w:cs="Calibri"/>
          <w:b/>
          <w:sz w:val="20"/>
          <w:szCs w:val="20"/>
        </w:rPr>
        <w:t xml:space="preserve"> </w:t>
      </w:r>
      <w:r w:rsidRPr="00A050FC">
        <w:rPr>
          <w:rFonts w:ascii="Arial Narrow" w:hAnsi="Arial Narrow" w:cs="Calibri"/>
          <w:b/>
          <w:sz w:val="20"/>
          <w:szCs w:val="20"/>
        </w:rPr>
        <w:t>(2018–19)</w:t>
      </w:r>
      <w:bookmarkEnd w:id="296"/>
    </w:p>
    <w:tbl>
      <w:tblPr>
        <w:tblW w:w="5382" w:type="dxa"/>
        <w:tblInd w:w="-142"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auto"/>
        </w:tblBorders>
        <w:tblLayout w:type="fixed"/>
        <w:tblLook w:val="04A0" w:firstRow="1" w:lastRow="0" w:firstColumn="1" w:lastColumn="0" w:noHBand="0" w:noVBand="1"/>
        <w:tblCaption w:val="Table F-16 17AG (4)(b)(v) Australian Public Service Act Employment type by location. Previous Report Period (2017–18)"/>
        <w:tblDescription w:val="Table 17AG (4)(b)(v) Australian Public Service Act Employment type by location. Previous Report Period (2018-19)"/>
      </w:tblPr>
      <w:tblGrid>
        <w:gridCol w:w="1130"/>
        <w:gridCol w:w="1275"/>
        <w:gridCol w:w="1418"/>
        <w:gridCol w:w="1559"/>
      </w:tblGrid>
      <w:tr w:rsidR="00AB6753" w:rsidRPr="00F32D92" w14:paraId="1C760A36" w14:textId="77777777" w:rsidTr="002D1EA4">
        <w:trPr>
          <w:trHeight w:val="615"/>
          <w:tblHeader/>
        </w:trPr>
        <w:tc>
          <w:tcPr>
            <w:tcW w:w="1130" w:type="dxa"/>
            <w:shd w:val="clear" w:color="auto" w:fill="BFBFBF" w:themeFill="background1" w:themeFillShade="BF"/>
            <w:noWrap/>
            <w:hideMark/>
          </w:tcPr>
          <w:p w14:paraId="348BA827" w14:textId="77777777" w:rsidR="00AB6753" w:rsidRPr="00F32D92" w:rsidRDefault="00AB6753" w:rsidP="002D1EA4">
            <w:pPr>
              <w:spacing w:before="60" w:after="60" w:line="240" w:lineRule="auto"/>
              <w:rPr>
                <w:rFonts w:cs="Arial"/>
                <w:sz w:val="20"/>
                <w:szCs w:val="20"/>
              </w:rPr>
            </w:pPr>
            <w:bookmarkStart w:id="297" w:name="_Toc5705972"/>
            <w:bookmarkStart w:id="298" w:name="_Toc8380523"/>
          </w:p>
        </w:tc>
        <w:tc>
          <w:tcPr>
            <w:tcW w:w="1275" w:type="dxa"/>
            <w:shd w:val="clear" w:color="auto" w:fill="BFBFBF" w:themeFill="background1" w:themeFillShade="BF"/>
            <w:noWrap/>
            <w:hideMark/>
          </w:tcPr>
          <w:p w14:paraId="6CBEA70C" w14:textId="77777777" w:rsidR="00AB6753" w:rsidRPr="00F32D92" w:rsidRDefault="00AB6753" w:rsidP="002D1EA4">
            <w:pPr>
              <w:spacing w:before="60" w:after="60" w:line="240" w:lineRule="auto"/>
              <w:rPr>
                <w:rFonts w:cs="Arial"/>
                <w:sz w:val="20"/>
                <w:szCs w:val="20"/>
              </w:rPr>
            </w:pPr>
            <w:r w:rsidRPr="00F32D92">
              <w:rPr>
                <w:rFonts w:cs="Arial"/>
                <w:sz w:val="20"/>
                <w:szCs w:val="20"/>
              </w:rPr>
              <w:t>Ongoing</w:t>
            </w:r>
          </w:p>
        </w:tc>
        <w:tc>
          <w:tcPr>
            <w:tcW w:w="1418" w:type="dxa"/>
            <w:shd w:val="clear" w:color="auto" w:fill="BFBFBF" w:themeFill="background1" w:themeFillShade="BF"/>
            <w:noWrap/>
            <w:hideMark/>
          </w:tcPr>
          <w:p w14:paraId="691B711E" w14:textId="77777777" w:rsidR="00AB6753" w:rsidRPr="00F32D92" w:rsidRDefault="00AB6753" w:rsidP="002D1EA4">
            <w:pPr>
              <w:spacing w:before="60" w:after="60" w:line="240" w:lineRule="auto"/>
              <w:rPr>
                <w:rFonts w:cs="Arial"/>
                <w:sz w:val="20"/>
                <w:szCs w:val="20"/>
              </w:rPr>
            </w:pPr>
            <w:r w:rsidRPr="00F32D92">
              <w:rPr>
                <w:rFonts w:cs="Arial"/>
                <w:sz w:val="20"/>
                <w:szCs w:val="20"/>
              </w:rPr>
              <w:t>Non-Ongoing</w:t>
            </w:r>
          </w:p>
        </w:tc>
        <w:tc>
          <w:tcPr>
            <w:tcW w:w="1559" w:type="dxa"/>
            <w:shd w:val="clear" w:color="auto" w:fill="BFBFBF" w:themeFill="background1" w:themeFillShade="BF"/>
          </w:tcPr>
          <w:p w14:paraId="5CCF6C2E" w14:textId="77777777" w:rsidR="00AB6753" w:rsidRPr="00F32D92" w:rsidRDefault="00AB6753" w:rsidP="002D1EA4">
            <w:pPr>
              <w:spacing w:before="60" w:after="60" w:line="240" w:lineRule="auto"/>
              <w:rPr>
                <w:rFonts w:cs="Arial"/>
                <w:sz w:val="20"/>
                <w:szCs w:val="20"/>
              </w:rPr>
            </w:pPr>
            <w:r w:rsidRPr="00F32D92">
              <w:rPr>
                <w:rFonts w:cs="Arial"/>
                <w:sz w:val="20"/>
                <w:szCs w:val="20"/>
              </w:rPr>
              <w:t>Total</w:t>
            </w:r>
          </w:p>
        </w:tc>
      </w:tr>
      <w:tr w:rsidR="00AB6753" w:rsidRPr="00F32D92" w14:paraId="6B73F727" w14:textId="77777777" w:rsidTr="002D1EA4">
        <w:trPr>
          <w:trHeight w:val="315"/>
        </w:trPr>
        <w:tc>
          <w:tcPr>
            <w:tcW w:w="1130" w:type="dxa"/>
            <w:hideMark/>
          </w:tcPr>
          <w:p w14:paraId="777289DD" w14:textId="77777777" w:rsidR="00AB6753" w:rsidRPr="00F32D92" w:rsidRDefault="00AB6753" w:rsidP="002D1EA4">
            <w:pPr>
              <w:spacing w:before="60" w:after="60" w:line="240" w:lineRule="auto"/>
              <w:rPr>
                <w:rFonts w:cs="Arial"/>
                <w:sz w:val="20"/>
                <w:szCs w:val="20"/>
              </w:rPr>
            </w:pPr>
            <w:r w:rsidRPr="00F32D92">
              <w:rPr>
                <w:rFonts w:cs="Arial"/>
                <w:sz w:val="20"/>
                <w:szCs w:val="20"/>
              </w:rPr>
              <w:t>NSW</w:t>
            </w:r>
          </w:p>
        </w:tc>
        <w:tc>
          <w:tcPr>
            <w:tcW w:w="1275" w:type="dxa"/>
            <w:noWrap/>
          </w:tcPr>
          <w:p w14:paraId="001FD1BC" w14:textId="77777777" w:rsidR="00AB6753" w:rsidRPr="00F32D92" w:rsidRDefault="00AB6753" w:rsidP="002D1EA4">
            <w:pPr>
              <w:rPr>
                <w:rFonts w:cs="Arial"/>
                <w:sz w:val="20"/>
                <w:szCs w:val="20"/>
              </w:rPr>
            </w:pPr>
            <w:r w:rsidRPr="00F32D92">
              <w:rPr>
                <w:rFonts w:cs="Arial"/>
                <w:color w:val="000000"/>
                <w:sz w:val="20"/>
                <w:szCs w:val="20"/>
              </w:rPr>
              <w:t>170</w:t>
            </w:r>
          </w:p>
        </w:tc>
        <w:tc>
          <w:tcPr>
            <w:tcW w:w="1418" w:type="dxa"/>
            <w:noWrap/>
          </w:tcPr>
          <w:p w14:paraId="5FBDC2E1" w14:textId="77777777" w:rsidR="00AB6753" w:rsidRPr="00F32D92" w:rsidRDefault="00AB6753" w:rsidP="002D1EA4">
            <w:pPr>
              <w:rPr>
                <w:rFonts w:cs="Arial"/>
                <w:sz w:val="20"/>
                <w:szCs w:val="20"/>
              </w:rPr>
            </w:pPr>
            <w:r w:rsidRPr="00F32D92">
              <w:rPr>
                <w:rFonts w:cs="Arial"/>
                <w:color w:val="000000"/>
                <w:sz w:val="20"/>
                <w:szCs w:val="20"/>
              </w:rPr>
              <w:t>6</w:t>
            </w:r>
          </w:p>
        </w:tc>
        <w:tc>
          <w:tcPr>
            <w:tcW w:w="1559" w:type="dxa"/>
          </w:tcPr>
          <w:p w14:paraId="0DEA2AAD" w14:textId="77777777" w:rsidR="00AB6753" w:rsidRPr="00F32D92" w:rsidRDefault="00AB6753" w:rsidP="002D1EA4">
            <w:pPr>
              <w:rPr>
                <w:rFonts w:cs="Arial"/>
                <w:sz w:val="20"/>
                <w:szCs w:val="20"/>
              </w:rPr>
            </w:pPr>
            <w:r w:rsidRPr="00F32D92">
              <w:rPr>
                <w:rFonts w:cs="Arial"/>
                <w:color w:val="000000"/>
                <w:sz w:val="20"/>
                <w:szCs w:val="20"/>
              </w:rPr>
              <w:t>176</w:t>
            </w:r>
          </w:p>
        </w:tc>
      </w:tr>
      <w:tr w:rsidR="00AB6753" w:rsidRPr="00F32D92" w14:paraId="7855D7A6" w14:textId="77777777" w:rsidTr="002D1EA4">
        <w:trPr>
          <w:trHeight w:val="315"/>
        </w:trPr>
        <w:tc>
          <w:tcPr>
            <w:tcW w:w="1130" w:type="dxa"/>
            <w:hideMark/>
          </w:tcPr>
          <w:p w14:paraId="5ADD77DF" w14:textId="77777777" w:rsidR="00AB6753" w:rsidRPr="00F32D92" w:rsidRDefault="00AB6753" w:rsidP="002D1EA4">
            <w:pPr>
              <w:spacing w:before="60" w:after="60" w:line="240" w:lineRule="auto"/>
              <w:rPr>
                <w:rFonts w:cs="Arial"/>
                <w:sz w:val="20"/>
                <w:szCs w:val="20"/>
              </w:rPr>
            </w:pPr>
            <w:r w:rsidRPr="00F32D92">
              <w:rPr>
                <w:rFonts w:cs="Arial"/>
                <w:sz w:val="20"/>
                <w:szCs w:val="20"/>
              </w:rPr>
              <w:t>Qld</w:t>
            </w:r>
          </w:p>
        </w:tc>
        <w:tc>
          <w:tcPr>
            <w:tcW w:w="1275" w:type="dxa"/>
            <w:noWrap/>
          </w:tcPr>
          <w:p w14:paraId="7D4C84A5" w14:textId="77777777" w:rsidR="00AB6753" w:rsidRPr="00F32D92" w:rsidRDefault="00AB6753" w:rsidP="002D1EA4">
            <w:pPr>
              <w:rPr>
                <w:rFonts w:cs="Arial"/>
                <w:sz w:val="20"/>
                <w:szCs w:val="20"/>
              </w:rPr>
            </w:pPr>
            <w:r w:rsidRPr="00F32D92">
              <w:rPr>
                <w:rFonts w:cs="Arial"/>
                <w:color w:val="000000"/>
                <w:sz w:val="20"/>
                <w:szCs w:val="20"/>
              </w:rPr>
              <w:t>112</w:t>
            </w:r>
          </w:p>
        </w:tc>
        <w:tc>
          <w:tcPr>
            <w:tcW w:w="1418" w:type="dxa"/>
            <w:noWrap/>
          </w:tcPr>
          <w:p w14:paraId="7B899796" w14:textId="77777777" w:rsidR="00AB6753" w:rsidRPr="00F32D92" w:rsidRDefault="00AB6753" w:rsidP="002D1EA4">
            <w:pPr>
              <w:rPr>
                <w:rFonts w:cs="Arial"/>
                <w:sz w:val="20"/>
                <w:szCs w:val="20"/>
              </w:rPr>
            </w:pPr>
            <w:r w:rsidRPr="00F32D92">
              <w:rPr>
                <w:rFonts w:cs="Arial"/>
                <w:color w:val="000000"/>
                <w:sz w:val="20"/>
                <w:szCs w:val="20"/>
              </w:rPr>
              <w:t>8</w:t>
            </w:r>
          </w:p>
        </w:tc>
        <w:tc>
          <w:tcPr>
            <w:tcW w:w="1559" w:type="dxa"/>
          </w:tcPr>
          <w:p w14:paraId="68895A30" w14:textId="77777777" w:rsidR="00AB6753" w:rsidRPr="00F32D92" w:rsidRDefault="00AB6753" w:rsidP="002D1EA4">
            <w:pPr>
              <w:rPr>
                <w:rFonts w:cs="Arial"/>
                <w:sz w:val="20"/>
                <w:szCs w:val="20"/>
              </w:rPr>
            </w:pPr>
            <w:r w:rsidRPr="00F32D92">
              <w:rPr>
                <w:rFonts w:cs="Arial"/>
                <w:color w:val="000000"/>
                <w:sz w:val="20"/>
                <w:szCs w:val="20"/>
              </w:rPr>
              <w:t>120</w:t>
            </w:r>
          </w:p>
        </w:tc>
      </w:tr>
      <w:tr w:rsidR="00AB6753" w:rsidRPr="00F32D92" w14:paraId="7C32F334" w14:textId="77777777" w:rsidTr="002D1EA4">
        <w:trPr>
          <w:trHeight w:val="315"/>
        </w:trPr>
        <w:tc>
          <w:tcPr>
            <w:tcW w:w="1130" w:type="dxa"/>
            <w:hideMark/>
          </w:tcPr>
          <w:p w14:paraId="103EF0F2" w14:textId="77777777" w:rsidR="00AB6753" w:rsidRPr="00F32D92" w:rsidRDefault="00AB6753" w:rsidP="002D1EA4">
            <w:pPr>
              <w:spacing w:before="60" w:after="60" w:line="240" w:lineRule="auto"/>
              <w:rPr>
                <w:rFonts w:cs="Arial"/>
                <w:sz w:val="20"/>
                <w:szCs w:val="20"/>
              </w:rPr>
            </w:pPr>
            <w:r w:rsidRPr="00F32D92">
              <w:rPr>
                <w:rFonts w:cs="Arial"/>
                <w:sz w:val="20"/>
                <w:szCs w:val="20"/>
              </w:rPr>
              <w:t>SA</w:t>
            </w:r>
          </w:p>
        </w:tc>
        <w:tc>
          <w:tcPr>
            <w:tcW w:w="1275" w:type="dxa"/>
            <w:noWrap/>
          </w:tcPr>
          <w:p w14:paraId="59AE2E48" w14:textId="77777777" w:rsidR="00AB6753" w:rsidRPr="00F32D92" w:rsidRDefault="00AB6753" w:rsidP="002D1EA4">
            <w:pPr>
              <w:rPr>
                <w:rFonts w:cs="Arial"/>
                <w:sz w:val="20"/>
                <w:szCs w:val="20"/>
              </w:rPr>
            </w:pPr>
            <w:r w:rsidRPr="00F32D92">
              <w:rPr>
                <w:rFonts w:cs="Arial"/>
                <w:color w:val="000000"/>
                <w:sz w:val="20"/>
                <w:szCs w:val="20"/>
              </w:rPr>
              <w:t>71</w:t>
            </w:r>
          </w:p>
        </w:tc>
        <w:tc>
          <w:tcPr>
            <w:tcW w:w="1418" w:type="dxa"/>
            <w:noWrap/>
          </w:tcPr>
          <w:p w14:paraId="0A326D1B" w14:textId="77777777" w:rsidR="00AB6753" w:rsidRPr="00F32D92" w:rsidRDefault="00AB6753" w:rsidP="002D1EA4">
            <w:pPr>
              <w:rPr>
                <w:rFonts w:cs="Arial"/>
                <w:sz w:val="20"/>
                <w:szCs w:val="20"/>
              </w:rPr>
            </w:pPr>
            <w:r w:rsidRPr="00F32D92">
              <w:rPr>
                <w:rFonts w:cs="Arial"/>
                <w:color w:val="000000"/>
                <w:sz w:val="20"/>
                <w:szCs w:val="20"/>
              </w:rPr>
              <w:t>4</w:t>
            </w:r>
          </w:p>
        </w:tc>
        <w:tc>
          <w:tcPr>
            <w:tcW w:w="1559" w:type="dxa"/>
          </w:tcPr>
          <w:p w14:paraId="4B905C55" w14:textId="77777777" w:rsidR="00AB6753" w:rsidRPr="00F32D92" w:rsidRDefault="00AB6753" w:rsidP="002D1EA4">
            <w:pPr>
              <w:rPr>
                <w:rFonts w:cs="Arial"/>
                <w:sz w:val="20"/>
                <w:szCs w:val="20"/>
              </w:rPr>
            </w:pPr>
            <w:r w:rsidRPr="00F32D92">
              <w:rPr>
                <w:rFonts w:cs="Arial"/>
                <w:color w:val="000000"/>
                <w:sz w:val="20"/>
                <w:szCs w:val="20"/>
              </w:rPr>
              <w:t>75</w:t>
            </w:r>
          </w:p>
        </w:tc>
      </w:tr>
      <w:tr w:rsidR="00AB6753" w:rsidRPr="00F32D92" w14:paraId="58468FA8" w14:textId="77777777" w:rsidTr="002D1EA4">
        <w:trPr>
          <w:trHeight w:val="315"/>
        </w:trPr>
        <w:tc>
          <w:tcPr>
            <w:tcW w:w="1130" w:type="dxa"/>
            <w:hideMark/>
          </w:tcPr>
          <w:p w14:paraId="49A91949" w14:textId="77777777" w:rsidR="00AB6753" w:rsidRPr="00F32D92" w:rsidRDefault="00AB6753" w:rsidP="002D1EA4">
            <w:pPr>
              <w:spacing w:before="60" w:after="60" w:line="240" w:lineRule="auto"/>
              <w:rPr>
                <w:rFonts w:cs="Arial"/>
                <w:sz w:val="20"/>
                <w:szCs w:val="20"/>
              </w:rPr>
            </w:pPr>
            <w:proofErr w:type="spellStart"/>
            <w:r w:rsidRPr="00F32D92">
              <w:rPr>
                <w:rFonts w:cs="Arial"/>
                <w:sz w:val="20"/>
                <w:szCs w:val="20"/>
              </w:rPr>
              <w:t>Tas</w:t>
            </w:r>
            <w:proofErr w:type="spellEnd"/>
          </w:p>
        </w:tc>
        <w:tc>
          <w:tcPr>
            <w:tcW w:w="1275" w:type="dxa"/>
            <w:noWrap/>
          </w:tcPr>
          <w:p w14:paraId="773BE80C" w14:textId="77777777" w:rsidR="00AB6753" w:rsidRPr="00F32D92" w:rsidRDefault="00AB6753" w:rsidP="002D1EA4">
            <w:pPr>
              <w:rPr>
                <w:rFonts w:cs="Arial"/>
                <w:sz w:val="20"/>
                <w:szCs w:val="20"/>
              </w:rPr>
            </w:pPr>
            <w:r w:rsidRPr="00F32D92">
              <w:rPr>
                <w:rFonts w:cs="Arial"/>
                <w:color w:val="000000"/>
                <w:sz w:val="20"/>
                <w:szCs w:val="20"/>
              </w:rPr>
              <w:t>52</w:t>
            </w:r>
          </w:p>
        </w:tc>
        <w:tc>
          <w:tcPr>
            <w:tcW w:w="1418" w:type="dxa"/>
            <w:noWrap/>
          </w:tcPr>
          <w:p w14:paraId="50420F17" w14:textId="77777777" w:rsidR="00AB6753" w:rsidRPr="00F32D92" w:rsidRDefault="00AB6753" w:rsidP="002D1EA4">
            <w:pPr>
              <w:rPr>
                <w:rFonts w:cs="Arial"/>
                <w:sz w:val="20"/>
                <w:szCs w:val="20"/>
              </w:rPr>
            </w:pPr>
            <w:r w:rsidRPr="00F32D92">
              <w:rPr>
                <w:rFonts w:cs="Arial"/>
                <w:color w:val="000000"/>
                <w:sz w:val="20"/>
                <w:szCs w:val="20"/>
              </w:rPr>
              <w:t>4</w:t>
            </w:r>
          </w:p>
        </w:tc>
        <w:tc>
          <w:tcPr>
            <w:tcW w:w="1559" w:type="dxa"/>
          </w:tcPr>
          <w:p w14:paraId="1149D394" w14:textId="77777777" w:rsidR="00AB6753" w:rsidRPr="00F32D92" w:rsidRDefault="00AB6753" w:rsidP="002D1EA4">
            <w:pPr>
              <w:rPr>
                <w:rFonts w:cs="Arial"/>
                <w:sz w:val="20"/>
                <w:szCs w:val="20"/>
              </w:rPr>
            </w:pPr>
            <w:r w:rsidRPr="00F32D92">
              <w:rPr>
                <w:rFonts w:cs="Arial"/>
                <w:color w:val="000000"/>
                <w:sz w:val="20"/>
                <w:szCs w:val="20"/>
              </w:rPr>
              <w:t>56</w:t>
            </w:r>
          </w:p>
        </w:tc>
      </w:tr>
      <w:tr w:rsidR="00AB6753" w:rsidRPr="00F32D92" w14:paraId="3A657E24" w14:textId="77777777" w:rsidTr="002D1EA4">
        <w:trPr>
          <w:trHeight w:val="315"/>
        </w:trPr>
        <w:tc>
          <w:tcPr>
            <w:tcW w:w="1130" w:type="dxa"/>
            <w:hideMark/>
          </w:tcPr>
          <w:p w14:paraId="26021765" w14:textId="77777777" w:rsidR="00AB6753" w:rsidRPr="00F32D92" w:rsidRDefault="00AB6753" w:rsidP="002D1EA4">
            <w:pPr>
              <w:spacing w:before="60" w:after="60" w:line="240" w:lineRule="auto"/>
              <w:rPr>
                <w:rFonts w:cs="Arial"/>
                <w:sz w:val="20"/>
                <w:szCs w:val="20"/>
              </w:rPr>
            </w:pPr>
            <w:r w:rsidRPr="00F32D92">
              <w:rPr>
                <w:rFonts w:cs="Arial"/>
                <w:sz w:val="20"/>
                <w:szCs w:val="20"/>
              </w:rPr>
              <w:t>Vic</w:t>
            </w:r>
          </w:p>
        </w:tc>
        <w:tc>
          <w:tcPr>
            <w:tcW w:w="1275" w:type="dxa"/>
            <w:noWrap/>
          </w:tcPr>
          <w:p w14:paraId="39483EBB" w14:textId="77777777" w:rsidR="00AB6753" w:rsidRPr="00F32D92" w:rsidRDefault="00AB6753" w:rsidP="002D1EA4">
            <w:pPr>
              <w:rPr>
                <w:rFonts w:cs="Arial"/>
                <w:sz w:val="20"/>
                <w:szCs w:val="20"/>
              </w:rPr>
            </w:pPr>
            <w:r w:rsidRPr="00F32D92">
              <w:rPr>
                <w:rFonts w:cs="Arial"/>
                <w:color w:val="000000"/>
                <w:sz w:val="20"/>
                <w:szCs w:val="20"/>
              </w:rPr>
              <w:t>152</w:t>
            </w:r>
          </w:p>
        </w:tc>
        <w:tc>
          <w:tcPr>
            <w:tcW w:w="1418" w:type="dxa"/>
            <w:noWrap/>
          </w:tcPr>
          <w:p w14:paraId="239B58E3" w14:textId="77777777" w:rsidR="00AB6753" w:rsidRPr="00F32D92" w:rsidRDefault="00AB6753" w:rsidP="002D1EA4">
            <w:pPr>
              <w:rPr>
                <w:rFonts w:cs="Arial"/>
                <w:sz w:val="20"/>
                <w:szCs w:val="20"/>
              </w:rPr>
            </w:pPr>
            <w:r w:rsidRPr="00F32D92">
              <w:rPr>
                <w:rFonts w:cs="Arial"/>
                <w:color w:val="000000"/>
                <w:sz w:val="20"/>
                <w:szCs w:val="20"/>
              </w:rPr>
              <w:t>6</w:t>
            </w:r>
          </w:p>
        </w:tc>
        <w:tc>
          <w:tcPr>
            <w:tcW w:w="1559" w:type="dxa"/>
          </w:tcPr>
          <w:p w14:paraId="19ADC4D9" w14:textId="77777777" w:rsidR="00AB6753" w:rsidRPr="00F32D92" w:rsidRDefault="00AB6753" w:rsidP="002D1EA4">
            <w:pPr>
              <w:rPr>
                <w:rFonts w:cs="Arial"/>
                <w:sz w:val="20"/>
                <w:szCs w:val="20"/>
              </w:rPr>
            </w:pPr>
            <w:r w:rsidRPr="00F32D92">
              <w:rPr>
                <w:rFonts w:cs="Arial"/>
                <w:color w:val="000000"/>
                <w:sz w:val="20"/>
                <w:szCs w:val="20"/>
              </w:rPr>
              <w:t>158</w:t>
            </w:r>
          </w:p>
        </w:tc>
      </w:tr>
      <w:tr w:rsidR="00AB6753" w:rsidRPr="00F32D92" w14:paraId="6495319D" w14:textId="77777777" w:rsidTr="002D1EA4">
        <w:trPr>
          <w:trHeight w:val="315"/>
        </w:trPr>
        <w:tc>
          <w:tcPr>
            <w:tcW w:w="1130" w:type="dxa"/>
            <w:hideMark/>
          </w:tcPr>
          <w:p w14:paraId="62A50597" w14:textId="77777777" w:rsidR="00AB6753" w:rsidRPr="00F32D92" w:rsidRDefault="00AB6753" w:rsidP="002D1EA4">
            <w:pPr>
              <w:spacing w:before="60" w:after="60" w:line="240" w:lineRule="auto"/>
              <w:rPr>
                <w:rFonts w:cs="Arial"/>
                <w:sz w:val="20"/>
                <w:szCs w:val="20"/>
              </w:rPr>
            </w:pPr>
            <w:r w:rsidRPr="00F32D92">
              <w:rPr>
                <w:rFonts w:cs="Arial"/>
                <w:sz w:val="20"/>
                <w:szCs w:val="20"/>
              </w:rPr>
              <w:t>WA</w:t>
            </w:r>
          </w:p>
        </w:tc>
        <w:tc>
          <w:tcPr>
            <w:tcW w:w="1275" w:type="dxa"/>
            <w:noWrap/>
          </w:tcPr>
          <w:p w14:paraId="6FD45BE0" w14:textId="77777777" w:rsidR="00AB6753" w:rsidRPr="00F32D92" w:rsidRDefault="00AB6753" w:rsidP="002D1EA4">
            <w:pPr>
              <w:rPr>
                <w:rFonts w:cs="Arial"/>
                <w:sz w:val="20"/>
                <w:szCs w:val="20"/>
              </w:rPr>
            </w:pPr>
            <w:r w:rsidRPr="00F32D92">
              <w:rPr>
                <w:rFonts w:cs="Arial"/>
                <w:color w:val="000000"/>
                <w:sz w:val="20"/>
                <w:szCs w:val="20"/>
              </w:rPr>
              <w:t>77</w:t>
            </w:r>
          </w:p>
        </w:tc>
        <w:tc>
          <w:tcPr>
            <w:tcW w:w="1418" w:type="dxa"/>
            <w:noWrap/>
          </w:tcPr>
          <w:p w14:paraId="40D5A167" w14:textId="77777777" w:rsidR="00AB6753" w:rsidRPr="00F32D92" w:rsidRDefault="00AB6753" w:rsidP="002D1EA4">
            <w:pPr>
              <w:rPr>
                <w:rFonts w:cs="Arial"/>
                <w:sz w:val="20"/>
                <w:szCs w:val="20"/>
              </w:rPr>
            </w:pPr>
            <w:r w:rsidRPr="00F32D92">
              <w:rPr>
                <w:rFonts w:cs="Arial"/>
                <w:color w:val="000000"/>
                <w:sz w:val="20"/>
                <w:szCs w:val="20"/>
              </w:rPr>
              <w:t>4</w:t>
            </w:r>
          </w:p>
        </w:tc>
        <w:tc>
          <w:tcPr>
            <w:tcW w:w="1559" w:type="dxa"/>
          </w:tcPr>
          <w:p w14:paraId="5E9DBE2A" w14:textId="77777777" w:rsidR="00AB6753" w:rsidRPr="00F32D92" w:rsidRDefault="00AB6753" w:rsidP="002D1EA4">
            <w:pPr>
              <w:rPr>
                <w:rFonts w:cs="Arial"/>
                <w:sz w:val="20"/>
                <w:szCs w:val="20"/>
              </w:rPr>
            </w:pPr>
            <w:r w:rsidRPr="00F32D92">
              <w:rPr>
                <w:rFonts w:cs="Arial"/>
                <w:color w:val="000000"/>
                <w:sz w:val="20"/>
                <w:szCs w:val="20"/>
              </w:rPr>
              <w:t>81</w:t>
            </w:r>
          </w:p>
        </w:tc>
      </w:tr>
      <w:tr w:rsidR="00AB6753" w:rsidRPr="00F32D92" w14:paraId="45D9F402" w14:textId="77777777" w:rsidTr="002D1EA4">
        <w:trPr>
          <w:trHeight w:val="315"/>
        </w:trPr>
        <w:tc>
          <w:tcPr>
            <w:tcW w:w="1130" w:type="dxa"/>
            <w:hideMark/>
          </w:tcPr>
          <w:p w14:paraId="4A9D4481" w14:textId="77777777" w:rsidR="00AB6753" w:rsidRPr="00F32D92" w:rsidRDefault="00AB6753" w:rsidP="002D1EA4">
            <w:pPr>
              <w:spacing w:before="60" w:after="60" w:line="240" w:lineRule="auto"/>
              <w:rPr>
                <w:rFonts w:cs="Arial"/>
                <w:sz w:val="20"/>
                <w:szCs w:val="20"/>
              </w:rPr>
            </w:pPr>
            <w:r w:rsidRPr="00F32D92">
              <w:rPr>
                <w:rFonts w:cs="Arial"/>
                <w:sz w:val="20"/>
                <w:szCs w:val="20"/>
              </w:rPr>
              <w:t>ACT</w:t>
            </w:r>
          </w:p>
        </w:tc>
        <w:tc>
          <w:tcPr>
            <w:tcW w:w="1275" w:type="dxa"/>
            <w:noWrap/>
          </w:tcPr>
          <w:p w14:paraId="0E59D4FE" w14:textId="77777777" w:rsidR="00AB6753" w:rsidRPr="00F32D92" w:rsidRDefault="00AB6753" w:rsidP="002D1EA4">
            <w:pPr>
              <w:rPr>
                <w:rFonts w:cs="Arial"/>
                <w:sz w:val="20"/>
                <w:szCs w:val="20"/>
              </w:rPr>
            </w:pPr>
            <w:r w:rsidRPr="00F32D92">
              <w:rPr>
                <w:rFonts w:cs="Arial"/>
                <w:color w:val="000000"/>
                <w:sz w:val="20"/>
                <w:szCs w:val="20"/>
              </w:rPr>
              <w:t>1</w:t>
            </w:r>
            <w:r>
              <w:rPr>
                <w:rFonts w:cs="Arial"/>
                <w:color w:val="000000"/>
                <w:sz w:val="20"/>
                <w:szCs w:val="20"/>
              </w:rPr>
              <w:t>,</w:t>
            </w:r>
            <w:r w:rsidRPr="00F32D92">
              <w:rPr>
                <w:rFonts w:cs="Arial"/>
                <w:color w:val="000000"/>
                <w:sz w:val="20"/>
                <w:szCs w:val="20"/>
              </w:rPr>
              <w:t>849</w:t>
            </w:r>
          </w:p>
        </w:tc>
        <w:tc>
          <w:tcPr>
            <w:tcW w:w="1418" w:type="dxa"/>
            <w:noWrap/>
          </w:tcPr>
          <w:p w14:paraId="274CDCBB" w14:textId="77777777" w:rsidR="00AB6753" w:rsidRPr="00F32D92" w:rsidRDefault="00AB6753" w:rsidP="002D1EA4">
            <w:pPr>
              <w:rPr>
                <w:rFonts w:cs="Arial"/>
                <w:sz w:val="20"/>
                <w:szCs w:val="20"/>
              </w:rPr>
            </w:pPr>
            <w:r w:rsidRPr="00F32D92">
              <w:rPr>
                <w:rFonts w:cs="Arial"/>
                <w:color w:val="000000"/>
                <w:sz w:val="20"/>
                <w:szCs w:val="20"/>
              </w:rPr>
              <w:t>33</w:t>
            </w:r>
          </w:p>
        </w:tc>
        <w:tc>
          <w:tcPr>
            <w:tcW w:w="1559" w:type="dxa"/>
          </w:tcPr>
          <w:p w14:paraId="4ABCBE36" w14:textId="77777777" w:rsidR="00AB6753" w:rsidRPr="00F32D92" w:rsidRDefault="00AB6753" w:rsidP="002D1EA4">
            <w:pPr>
              <w:rPr>
                <w:rFonts w:cs="Arial"/>
                <w:sz w:val="20"/>
                <w:szCs w:val="20"/>
              </w:rPr>
            </w:pPr>
            <w:r w:rsidRPr="00F32D92">
              <w:rPr>
                <w:rFonts w:cs="Arial"/>
                <w:color w:val="000000"/>
                <w:sz w:val="20"/>
                <w:szCs w:val="20"/>
              </w:rPr>
              <w:t>1</w:t>
            </w:r>
            <w:r>
              <w:rPr>
                <w:rFonts w:cs="Arial"/>
                <w:color w:val="000000"/>
                <w:sz w:val="20"/>
                <w:szCs w:val="20"/>
              </w:rPr>
              <w:t>,</w:t>
            </w:r>
            <w:r w:rsidRPr="00F32D92">
              <w:rPr>
                <w:rFonts w:cs="Arial"/>
                <w:color w:val="000000"/>
                <w:sz w:val="20"/>
                <w:szCs w:val="20"/>
              </w:rPr>
              <w:t>882</w:t>
            </w:r>
          </w:p>
        </w:tc>
      </w:tr>
      <w:tr w:rsidR="00AB6753" w:rsidRPr="00F32D92" w14:paraId="7E05F29F" w14:textId="77777777" w:rsidTr="002D1EA4">
        <w:trPr>
          <w:trHeight w:val="315"/>
        </w:trPr>
        <w:tc>
          <w:tcPr>
            <w:tcW w:w="1130" w:type="dxa"/>
          </w:tcPr>
          <w:p w14:paraId="5572DB20" w14:textId="77777777" w:rsidR="00AB6753" w:rsidRPr="00F32D92" w:rsidRDefault="00AB6753" w:rsidP="002D1EA4">
            <w:pPr>
              <w:spacing w:before="60" w:after="60" w:line="240" w:lineRule="auto"/>
              <w:rPr>
                <w:rFonts w:cs="Arial"/>
                <w:sz w:val="20"/>
                <w:szCs w:val="20"/>
              </w:rPr>
            </w:pPr>
            <w:r w:rsidRPr="00F32D92">
              <w:rPr>
                <w:rFonts w:cs="Arial"/>
                <w:sz w:val="20"/>
                <w:szCs w:val="20"/>
              </w:rPr>
              <w:t>NT</w:t>
            </w:r>
          </w:p>
        </w:tc>
        <w:tc>
          <w:tcPr>
            <w:tcW w:w="1275" w:type="dxa"/>
            <w:noWrap/>
          </w:tcPr>
          <w:p w14:paraId="324D31C5" w14:textId="77777777" w:rsidR="00AB6753" w:rsidRPr="00F32D92" w:rsidRDefault="00AB6753" w:rsidP="002D1EA4">
            <w:pPr>
              <w:rPr>
                <w:rFonts w:cs="Arial"/>
                <w:sz w:val="20"/>
                <w:szCs w:val="20"/>
              </w:rPr>
            </w:pPr>
            <w:r w:rsidRPr="00F32D92">
              <w:rPr>
                <w:rFonts w:cs="Arial"/>
                <w:color w:val="000000"/>
                <w:sz w:val="20"/>
                <w:szCs w:val="20"/>
              </w:rPr>
              <w:t>37</w:t>
            </w:r>
          </w:p>
        </w:tc>
        <w:tc>
          <w:tcPr>
            <w:tcW w:w="1418" w:type="dxa"/>
            <w:noWrap/>
          </w:tcPr>
          <w:p w14:paraId="567B0F8F" w14:textId="77777777" w:rsidR="00AB6753" w:rsidRPr="00F32D92" w:rsidRDefault="00AB6753" w:rsidP="002D1EA4">
            <w:pPr>
              <w:rPr>
                <w:rFonts w:cs="Arial"/>
                <w:sz w:val="20"/>
                <w:szCs w:val="20"/>
              </w:rPr>
            </w:pPr>
            <w:r w:rsidRPr="00F32D92">
              <w:rPr>
                <w:rFonts w:cs="Arial"/>
                <w:color w:val="000000"/>
                <w:sz w:val="20"/>
                <w:szCs w:val="20"/>
              </w:rPr>
              <w:t>1</w:t>
            </w:r>
          </w:p>
        </w:tc>
        <w:tc>
          <w:tcPr>
            <w:tcW w:w="1559" w:type="dxa"/>
          </w:tcPr>
          <w:p w14:paraId="4A10B53E" w14:textId="77777777" w:rsidR="00AB6753" w:rsidRPr="00F32D92" w:rsidRDefault="00AB6753" w:rsidP="002D1EA4">
            <w:pPr>
              <w:rPr>
                <w:rFonts w:cs="Arial"/>
                <w:sz w:val="20"/>
                <w:szCs w:val="20"/>
              </w:rPr>
            </w:pPr>
            <w:r w:rsidRPr="00F32D92">
              <w:rPr>
                <w:rFonts w:cs="Arial"/>
                <w:color w:val="000000"/>
                <w:sz w:val="20"/>
                <w:szCs w:val="20"/>
              </w:rPr>
              <w:t>38</w:t>
            </w:r>
          </w:p>
        </w:tc>
      </w:tr>
      <w:tr w:rsidR="00AB6753" w:rsidRPr="00F32D92" w14:paraId="71782ABE" w14:textId="77777777" w:rsidTr="002D1EA4">
        <w:trPr>
          <w:trHeight w:val="315"/>
        </w:trPr>
        <w:tc>
          <w:tcPr>
            <w:tcW w:w="1130" w:type="dxa"/>
          </w:tcPr>
          <w:p w14:paraId="4539BB91" w14:textId="77777777" w:rsidR="00AB6753" w:rsidRPr="00F32D92" w:rsidRDefault="00AB6753" w:rsidP="002D1EA4">
            <w:pPr>
              <w:spacing w:before="60" w:after="60" w:line="240" w:lineRule="auto"/>
              <w:rPr>
                <w:rFonts w:cs="Arial"/>
                <w:sz w:val="20"/>
                <w:szCs w:val="20"/>
              </w:rPr>
            </w:pPr>
            <w:r w:rsidRPr="00F32D92">
              <w:rPr>
                <w:rFonts w:cs="Arial"/>
                <w:sz w:val="20"/>
                <w:szCs w:val="20"/>
              </w:rPr>
              <w:t>External Territories</w:t>
            </w:r>
          </w:p>
        </w:tc>
        <w:tc>
          <w:tcPr>
            <w:tcW w:w="1275" w:type="dxa"/>
            <w:noWrap/>
          </w:tcPr>
          <w:p w14:paraId="52DD829D" w14:textId="77777777" w:rsidR="00AB6753" w:rsidRPr="00F32D92" w:rsidRDefault="00AB6753" w:rsidP="002D1EA4">
            <w:pPr>
              <w:rPr>
                <w:rFonts w:cs="Arial"/>
                <w:sz w:val="20"/>
                <w:szCs w:val="20"/>
              </w:rPr>
            </w:pPr>
            <w:r w:rsidRPr="00F32D92">
              <w:rPr>
                <w:rFonts w:cs="Arial"/>
                <w:sz w:val="20"/>
                <w:szCs w:val="20"/>
              </w:rPr>
              <w:t>-</w:t>
            </w:r>
          </w:p>
        </w:tc>
        <w:tc>
          <w:tcPr>
            <w:tcW w:w="1418" w:type="dxa"/>
            <w:noWrap/>
          </w:tcPr>
          <w:p w14:paraId="16E8B22E" w14:textId="77777777" w:rsidR="00AB6753" w:rsidRPr="00F32D92" w:rsidRDefault="00AB6753" w:rsidP="002D1EA4">
            <w:pPr>
              <w:rPr>
                <w:rFonts w:cs="Arial"/>
                <w:sz w:val="20"/>
                <w:szCs w:val="20"/>
              </w:rPr>
            </w:pPr>
            <w:r w:rsidRPr="00F32D92">
              <w:rPr>
                <w:rFonts w:cs="Arial"/>
                <w:sz w:val="20"/>
                <w:szCs w:val="20"/>
              </w:rPr>
              <w:t>-</w:t>
            </w:r>
          </w:p>
        </w:tc>
        <w:tc>
          <w:tcPr>
            <w:tcW w:w="1559" w:type="dxa"/>
          </w:tcPr>
          <w:p w14:paraId="78084CD3" w14:textId="77777777" w:rsidR="00AB6753" w:rsidRPr="00F32D92" w:rsidRDefault="00AB6753" w:rsidP="002D1EA4">
            <w:pPr>
              <w:rPr>
                <w:rFonts w:cs="Arial"/>
                <w:sz w:val="20"/>
                <w:szCs w:val="20"/>
              </w:rPr>
            </w:pPr>
            <w:r w:rsidRPr="00F32D92">
              <w:rPr>
                <w:rFonts w:cs="Arial"/>
                <w:sz w:val="20"/>
                <w:szCs w:val="20"/>
              </w:rPr>
              <w:t>-</w:t>
            </w:r>
          </w:p>
        </w:tc>
      </w:tr>
      <w:tr w:rsidR="00AB6753" w:rsidRPr="00F32D92" w14:paraId="06276526" w14:textId="77777777" w:rsidTr="002D1EA4">
        <w:trPr>
          <w:trHeight w:val="315"/>
        </w:trPr>
        <w:tc>
          <w:tcPr>
            <w:tcW w:w="1130" w:type="dxa"/>
            <w:hideMark/>
          </w:tcPr>
          <w:p w14:paraId="2A0CB10A" w14:textId="77777777" w:rsidR="00AB6753" w:rsidRPr="00F32D92" w:rsidRDefault="00AB6753" w:rsidP="002D1EA4">
            <w:pPr>
              <w:spacing w:before="60" w:after="60" w:line="240" w:lineRule="auto"/>
              <w:rPr>
                <w:rFonts w:cs="Arial"/>
                <w:sz w:val="20"/>
                <w:szCs w:val="20"/>
              </w:rPr>
            </w:pPr>
            <w:r w:rsidRPr="00F32D92">
              <w:rPr>
                <w:rFonts w:cs="Arial"/>
                <w:sz w:val="20"/>
                <w:szCs w:val="20"/>
              </w:rPr>
              <w:t>Overseas</w:t>
            </w:r>
          </w:p>
        </w:tc>
        <w:tc>
          <w:tcPr>
            <w:tcW w:w="1275" w:type="dxa"/>
            <w:noWrap/>
          </w:tcPr>
          <w:p w14:paraId="43F08368" w14:textId="77777777" w:rsidR="00AB6753" w:rsidRPr="00F32D92" w:rsidRDefault="00AB6753" w:rsidP="002D1EA4">
            <w:pPr>
              <w:rPr>
                <w:rFonts w:cs="Arial"/>
                <w:sz w:val="20"/>
                <w:szCs w:val="20"/>
              </w:rPr>
            </w:pPr>
            <w:r w:rsidRPr="00F32D92">
              <w:rPr>
                <w:rFonts w:cs="Arial"/>
                <w:sz w:val="20"/>
                <w:szCs w:val="20"/>
              </w:rPr>
              <w:t>-</w:t>
            </w:r>
          </w:p>
        </w:tc>
        <w:tc>
          <w:tcPr>
            <w:tcW w:w="1418" w:type="dxa"/>
            <w:noWrap/>
          </w:tcPr>
          <w:p w14:paraId="7CEDFE26" w14:textId="77777777" w:rsidR="00AB6753" w:rsidRPr="00F32D92" w:rsidRDefault="00AB6753" w:rsidP="002D1EA4">
            <w:pPr>
              <w:rPr>
                <w:rFonts w:cs="Arial"/>
                <w:sz w:val="20"/>
                <w:szCs w:val="20"/>
              </w:rPr>
            </w:pPr>
            <w:r w:rsidRPr="00F32D92">
              <w:rPr>
                <w:rFonts w:cs="Arial"/>
                <w:sz w:val="20"/>
                <w:szCs w:val="20"/>
              </w:rPr>
              <w:t>-</w:t>
            </w:r>
          </w:p>
        </w:tc>
        <w:tc>
          <w:tcPr>
            <w:tcW w:w="1559" w:type="dxa"/>
          </w:tcPr>
          <w:p w14:paraId="513C020C" w14:textId="77777777" w:rsidR="00AB6753" w:rsidRPr="00F32D92" w:rsidRDefault="00AB6753" w:rsidP="002D1EA4">
            <w:pPr>
              <w:rPr>
                <w:rFonts w:cs="Arial"/>
                <w:sz w:val="20"/>
                <w:szCs w:val="20"/>
              </w:rPr>
            </w:pPr>
            <w:r w:rsidRPr="00F32D92">
              <w:rPr>
                <w:rFonts w:cs="Arial"/>
                <w:sz w:val="20"/>
                <w:szCs w:val="20"/>
              </w:rPr>
              <w:t>-</w:t>
            </w:r>
          </w:p>
        </w:tc>
      </w:tr>
      <w:tr w:rsidR="00AB6753" w:rsidRPr="00F32D92" w14:paraId="7A8277C8" w14:textId="77777777" w:rsidTr="002D1EA4">
        <w:trPr>
          <w:trHeight w:val="315"/>
        </w:trPr>
        <w:tc>
          <w:tcPr>
            <w:tcW w:w="1130" w:type="dxa"/>
          </w:tcPr>
          <w:p w14:paraId="30600DAA" w14:textId="77777777" w:rsidR="00AB6753" w:rsidRPr="00F32D92" w:rsidRDefault="00AB6753" w:rsidP="002D1EA4">
            <w:pPr>
              <w:spacing w:before="60" w:after="60" w:line="240" w:lineRule="auto"/>
              <w:rPr>
                <w:rFonts w:cs="Arial"/>
                <w:sz w:val="20"/>
                <w:szCs w:val="20"/>
              </w:rPr>
            </w:pPr>
            <w:r w:rsidRPr="00F32D92">
              <w:rPr>
                <w:rFonts w:cs="Arial"/>
                <w:sz w:val="20"/>
                <w:szCs w:val="20"/>
              </w:rPr>
              <w:t>Total</w:t>
            </w:r>
          </w:p>
        </w:tc>
        <w:tc>
          <w:tcPr>
            <w:tcW w:w="1275" w:type="dxa"/>
            <w:noWrap/>
            <w:vAlign w:val="bottom"/>
          </w:tcPr>
          <w:p w14:paraId="6FF908B3" w14:textId="77777777" w:rsidR="00AB6753" w:rsidRPr="00F32D92" w:rsidRDefault="00AB6753" w:rsidP="002D1EA4">
            <w:pPr>
              <w:rPr>
                <w:rFonts w:cs="Arial"/>
                <w:sz w:val="20"/>
                <w:szCs w:val="20"/>
              </w:rPr>
            </w:pPr>
            <w:r w:rsidRPr="00F32D92">
              <w:rPr>
                <w:rFonts w:cs="Arial"/>
                <w:b/>
                <w:bCs/>
                <w:color w:val="000000"/>
                <w:sz w:val="20"/>
                <w:szCs w:val="20"/>
              </w:rPr>
              <w:t>2</w:t>
            </w:r>
            <w:r>
              <w:rPr>
                <w:rFonts w:cs="Arial"/>
                <w:b/>
                <w:bCs/>
                <w:color w:val="000000"/>
                <w:sz w:val="20"/>
                <w:szCs w:val="20"/>
              </w:rPr>
              <w:t>,</w:t>
            </w:r>
            <w:r w:rsidRPr="00F32D92">
              <w:rPr>
                <w:rFonts w:cs="Arial"/>
                <w:b/>
                <w:bCs/>
                <w:color w:val="000000"/>
                <w:sz w:val="20"/>
                <w:szCs w:val="20"/>
              </w:rPr>
              <w:t>520</w:t>
            </w:r>
          </w:p>
        </w:tc>
        <w:tc>
          <w:tcPr>
            <w:tcW w:w="1418" w:type="dxa"/>
            <w:noWrap/>
            <w:vAlign w:val="bottom"/>
          </w:tcPr>
          <w:p w14:paraId="3FCFA1FB" w14:textId="77777777" w:rsidR="00AB6753" w:rsidRPr="00F32D92" w:rsidRDefault="00AB6753" w:rsidP="002D1EA4">
            <w:pPr>
              <w:rPr>
                <w:rFonts w:cs="Arial"/>
                <w:sz w:val="20"/>
                <w:szCs w:val="20"/>
              </w:rPr>
            </w:pPr>
            <w:r w:rsidRPr="00F32D92">
              <w:rPr>
                <w:rFonts w:cs="Arial"/>
                <w:b/>
                <w:bCs/>
                <w:color w:val="000000"/>
                <w:sz w:val="20"/>
                <w:szCs w:val="20"/>
              </w:rPr>
              <w:t>66</w:t>
            </w:r>
          </w:p>
        </w:tc>
        <w:tc>
          <w:tcPr>
            <w:tcW w:w="1559" w:type="dxa"/>
            <w:vAlign w:val="bottom"/>
          </w:tcPr>
          <w:p w14:paraId="1B85E3D7" w14:textId="77777777" w:rsidR="00AB6753" w:rsidRPr="00F32D92" w:rsidRDefault="00AB6753" w:rsidP="002D1EA4">
            <w:pPr>
              <w:rPr>
                <w:rFonts w:cs="Arial"/>
                <w:sz w:val="20"/>
                <w:szCs w:val="20"/>
              </w:rPr>
            </w:pPr>
            <w:r w:rsidRPr="00F32D92">
              <w:rPr>
                <w:rFonts w:cs="Arial"/>
                <w:b/>
                <w:bCs/>
                <w:color w:val="000000"/>
                <w:sz w:val="20"/>
                <w:szCs w:val="20"/>
              </w:rPr>
              <w:t>2</w:t>
            </w:r>
            <w:r>
              <w:rPr>
                <w:rFonts w:cs="Arial"/>
                <w:b/>
                <w:bCs/>
                <w:color w:val="000000"/>
                <w:sz w:val="20"/>
                <w:szCs w:val="20"/>
              </w:rPr>
              <w:t>,</w:t>
            </w:r>
            <w:r w:rsidRPr="00F32D92">
              <w:rPr>
                <w:rFonts w:cs="Arial"/>
                <w:b/>
                <w:bCs/>
                <w:color w:val="000000"/>
                <w:sz w:val="20"/>
                <w:szCs w:val="20"/>
              </w:rPr>
              <w:t>586</w:t>
            </w:r>
          </w:p>
        </w:tc>
      </w:tr>
    </w:tbl>
    <w:p w14:paraId="7A3A3B33" w14:textId="77777777" w:rsidR="00AB6753" w:rsidRDefault="00AB6753" w:rsidP="00AB6753">
      <w:bookmarkStart w:id="299" w:name="_Toc5705973"/>
      <w:bookmarkEnd w:id="297"/>
      <w:bookmarkEnd w:id="298"/>
    </w:p>
    <w:p w14:paraId="26FE03FF" w14:textId="77777777" w:rsidR="00AB6753" w:rsidRDefault="00AB6753" w:rsidP="00AB6753"/>
    <w:p w14:paraId="79EC19D6" w14:textId="77777777" w:rsidR="00AB6753" w:rsidRPr="00A050FC" w:rsidRDefault="00AB6753" w:rsidP="00AB6753">
      <w:pPr>
        <w:rPr>
          <w:rFonts w:ascii="Arial Narrow" w:hAnsi="Arial Narrow" w:cs="Calibri"/>
          <w:b/>
          <w:sz w:val="20"/>
          <w:szCs w:val="20"/>
        </w:rPr>
      </w:pPr>
      <w:r>
        <w:rPr>
          <w:rFonts w:ascii="Arial Narrow" w:hAnsi="Arial Narrow" w:cs="Calibri"/>
          <w:b/>
          <w:sz w:val="20"/>
          <w:szCs w:val="20"/>
        </w:rPr>
        <w:t xml:space="preserve">Table F-17 </w:t>
      </w:r>
      <w:r w:rsidRPr="00A050FC">
        <w:rPr>
          <w:rFonts w:ascii="Arial Narrow" w:hAnsi="Arial Narrow" w:cs="Calibri"/>
          <w:b/>
          <w:sz w:val="20"/>
          <w:szCs w:val="20"/>
        </w:rPr>
        <w:t>17AG (4)(b)(vi) — Australian Public Service Act Indigenous Employment Current Report Period</w:t>
      </w:r>
      <w:r>
        <w:rPr>
          <w:rFonts w:ascii="Arial Narrow" w:hAnsi="Arial Narrow" w:cs="Calibri"/>
          <w:b/>
          <w:sz w:val="20"/>
          <w:szCs w:val="20"/>
        </w:rPr>
        <w:t xml:space="preserve"> </w:t>
      </w:r>
      <w:r w:rsidRPr="00A050FC">
        <w:rPr>
          <w:rFonts w:ascii="Arial Narrow" w:hAnsi="Arial Narrow" w:cs="Calibri"/>
          <w:b/>
          <w:sz w:val="20"/>
          <w:szCs w:val="20"/>
        </w:rPr>
        <w:t>(2019–20)</w:t>
      </w:r>
      <w:bookmarkEnd w:id="299"/>
    </w:p>
    <w:tbl>
      <w:tblPr>
        <w:tblW w:w="2553" w:type="dxa"/>
        <w:tblInd w:w="-142"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auto"/>
        </w:tblBorders>
        <w:tblLook w:val="04A0" w:firstRow="1" w:lastRow="0" w:firstColumn="1" w:lastColumn="0" w:noHBand="0" w:noVBand="1"/>
        <w:tblCaption w:val="Table F-17 17AG (4)(b)(vi)—Australian Public Service Act Indigenous Employment. Current Report Period (2018–19)"/>
        <w:tblDescription w:val="Table 17AG (4)(b)(vi)—Australian Public Service Act Indigenous Employment. Current Report Period (2019-20)"/>
      </w:tblPr>
      <w:tblGrid>
        <w:gridCol w:w="1702"/>
        <w:gridCol w:w="851"/>
      </w:tblGrid>
      <w:tr w:rsidR="00AB6753" w:rsidRPr="00F32D92" w14:paraId="1FEE4C28" w14:textId="77777777" w:rsidTr="002D1EA4">
        <w:trPr>
          <w:trHeight w:val="615"/>
          <w:tblHeader/>
        </w:trPr>
        <w:tc>
          <w:tcPr>
            <w:tcW w:w="1702" w:type="dxa"/>
            <w:shd w:val="clear" w:color="auto" w:fill="BFBFBF" w:themeFill="background1" w:themeFillShade="BF"/>
            <w:noWrap/>
            <w:hideMark/>
          </w:tcPr>
          <w:p w14:paraId="71A81C87" w14:textId="77777777" w:rsidR="00AB6753" w:rsidRPr="00F32D92" w:rsidRDefault="00AB6753" w:rsidP="002D1EA4">
            <w:pPr>
              <w:spacing w:before="60" w:after="60" w:line="240" w:lineRule="auto"/>
              <w:rPr>
                <w:rFonts w:cs="Arial"/>
                <w:sz w:val="20"/>
                <w:szCs w:val="20"/>
              </w:rPr>
            </w:pPr>
          </w:p>
        </w:tc>
        <w:tc>
          <w:tcPr>
            <w:tcW w:w="851" w:type="dxa"/>
            <w:shd w:val="clear" w:color="auto" w:fill="BFBFBF" w:themeFill="background1" w:themeFillShade="BF"/>
          </w:tcPr>
          <w:p w14:paraId="595B5590" w14:textId="77777777" w:rsidR="00AB6753" w:rsidRPr="00F32D92" w:rsidRDefault="00AB6753" w:rsidP="002D1EA4">
            <w:pPr>
              <w:spacing w:before="60" w:after="60" w:line="240" w:lineRule="auto"/>
              <w:rPr>
                <w:rFonts w:cs="Arial"/>
                <w:sz w:val="20"/>
                <w:szCs w:val="20"/>
              </w:rPr>
            </w:pPr>
            <w:r w:rsidRPr="00F32D92">
              <w:rPr>
                <w:rFonts w:cs="Arial"/>
                <w:sz w:val="20"/>
                <w:szCs w:val="20"/>
              </w:rPr>
              <w:t>Total</w:t>
            </w:r>
          </w:p>
        </w:tc>
      </w:tr>
      <w:tr w:rsidR="00AB6753" w:rsidRPr="00F32D92" w14:paraId="30E3B741" w14:textId="77777777" w:rsidTr="002D1EA4">
        <w:trPr>
          <w:trHeight w:val="315"/>
        </w:trPr>
        <w:tc>
          <w:tcPr>
            <w:tcW w:w="1702" w:type="dxa"/>
            <w:hideMark/>
          </w:tcPr>
          <w:p w14:paraId="13EC6204" w14:textId="77777777" w:rsidR="00AB6753" w:rsidRPr="00F32D92" w:rsidRDefault="00AB6753" w:rsidP="002D1EA4">
            <w:pPr>
              <w:spacing w:before="60" w:after="60" w:line="240" w:lineRule="auto"/>
              <w:rPr>
                <w:rFonts w:cs="Arial"/>
                <w:sz w:val="20"/>
                <w:szCs w:val="20"/>
              </w:rPr>
            </w:pPr>
            <w:r w:rsidRPr="00F32D92">
              <w:rPr>
                <w:rFonts w:cs="Arial"/>
                <w:sz w:val="20"/>
                <w:szCs w:val="20"/>
              </w:rPr>
              <w:t>Ongoing</w:t>
            </w:r>
          </w:p>
        </w:tc>
        <w:tc>
          <w:tcPr>
            <w:tcW w:w="851" w:type="dxa"/>
          </w:tcPr>
          <w:p w14:paraId="6E78F1DE" w14:textId="77777777" w:rsidR="00AB6753" w:rsidRPr="00F32D92" w:rsidRDefault="00AB6753" w:rsidP="002D1EA4">
            <w:pPr>
              <w:rPr>
                <w:rFonts w:cs="Arial"/>
                <w:color w:val="000000"/>
                <w:sz w:val="20"/>
                <w:szCs w:val="20"/>
              </w:rPr>
            </w:pPr>
            <w:r w:rsidRPr="00F32D92">
              <w:rPr>
                <w:rFonts w:cs="Arial"/>
                <w:color w:val="000000"/>
                <w:sz w:val="20"/>
                <w:szCs w:val="20"/>
              </w:rPr>
              <w:t>142</w:t>
            </w:r>
          </w:p>
        </w:tc>
      </w:tr>
      <w:tr w:rsidR="00AB6753" w:rsidRPr="00F32D92" w14:paraId="626D6CE0" w14:textId="77777777" w:rsidTr="002D1EA4">
        <w:trPr>
          <w:trHeight w:val="315"/>
        </w:trPr>
        <w:tc>
          <w:tcPr>
            <w:tcW w:w="1702" w:type="dxa"/>
            <w:hideMark/>
          </w:tcPr>
          <w:p w14:paraId="2AF9F7C8" w14:textId="77777777" w:rsidR="00AB6753" w:rsidRPr="00F32D92" w:rsidRDefault="00AB6753" w:rsidP="002D1EA4">
            <w:pPr>
              <w:spacing w:before="60" w:after="60" w:line="240" w:lineRule="auto"/>
              <w:rPr>
                <w:rFonts w:cs="Arial"/>
                <w:sz w:val="20"/>
                <w:szCs w:val="20"/>
              </w:rPr>
            </w:pPr>
            <w:r w:rsidRPr="00F32D92">
              <w:rPr>
                <w:rFonts w:cs="Arial"/>
                <w:sz w:val="20"/>
                <w:szCs w:val="20"/>
              </w:rPr>
              <w:t>Non-Ongoing</w:t>
            </w:r>
          </w:p>
        </w:tc>
        <w:tc>
          <w:tcPr>
            <w:tcW w:w="851" w:type="dxa"/>
          </w:tcPr>
          <w:p w14:paraId="52A36BDA" w14:textId="77777777" w:rsidR="00AB6753" w:rsidRPr="00F32D92" w:rsidRDefault="00AB6753" w:rsidP="002D1EA4">
            <w:pPr>
              <w:rPr>
                <w:rFonts w:cs="Arial"/>
                <w:color w:val="000000"/>
                <w:sz w:val="20"/>
                <w:szCs w:val="20"/>
              </w:rPr>
            </w:pPr>
            <w:r w:rsidRPr="00F32D92">
              <w:rPr>
                <w:rFonts w:cs="Arial"/>
                <w:color w:val="000000"/>
                <w:sz w:val="20"/>
                <w:szCs w:val="20"/>
              </w:rPr>
              <w:t>1</w:t>
            </w:r>
          </w:p>
        </w:tc>
      </w:tr>
      <w:tr w:rsidR="00AB6753" w:rsidRPr="00F32D92" w14:paraId="1D0F2FB4" w14:textId="77777777" w:rsidTr="002D1EA4">
        <w:trPr>
          <w:trHeight w:val="315"/>
        </w:trPr>
        <w:tc>
          <w:tcPr>
            <w:tcW w:w="1702" w:type="dxa"/>
            <w:hideMark/>
          </w:tcPr>
          <w:p w14:paraId="1AF6AFAF" w14:textId="77777777" w:rsidR="00AB6753" w:rsidRPr="00E42540" w:rsidRDefault="00AB6753" w:rsidP="002D1EA4">
            <w:pPr>
              <w:spacing w:before="60" w:after="60" w:line="240" w:lineRule="auto"/>
              <w:rPr>
                <w:rFonts w:cs="Arial"/>
                <w:b/>
                <w:sz w:val="20"/>
                <w:szCs w:val="20"/>
              </w:rPr>
            </w:pPr>
            <w:r w:rsidRPr="00E42540">
              <w:rPr>
                <w:rFonts w:cs="Arial"/>
                <w:b/>
                <w:sz w:val="20"/>
                <w:szCs w:val="20"/>
              </w:rPr>
              <w:t>Total</w:t>
            </w:r>
          </w:p>
        </w:tc>
        <w:tc>
          <w:tcPr>
            <w:tcW w:w="851" w:type="dxa"/>
          </w:tcPr>
          <w:p w14:paraId="04BE8C0B" w14:textId="77777777" w:rsidR="00AB6753" w:rsidRPr="00E42540" w:rsidRDefault="00AB6753" w:rsidP="002D1EA4">
            <w:pPr>
              <w:rPr>
                <w:rFonts w:cs="Arial"/>
                <w:b/>
                <w:color w:val="000000"/>
                <w:sz w:val="20"/>
                <w:szCs w:val="20"/>
              </w:rPr>
            </w:pPr>
            <w:r w:rsidRPr="00E42540">
              <w:rPr>
                <w:rFonts w:cs="Arial"/>
                <w:b/>
                <w:color w:val="000000"/>
                <w:sz w:val="20"/>
                <w:szCs w:val="20"/>
              </w:rPr>
              <w:t>143</w:t>
            </w:r>
          </w:p>
        </w:tc>
      </w:tr>
    </w:tbl>
    <w:p w14:paraId="6AA5DE96" w14:textId="77777777" w:rsidR="00AB6753" w:rsidRPr="00CF02C1" w:rsidRDefault="00AB6753" w:rsidP="00AB6753">
      <w:bookmarkStart w:id="300" w:name="_Toc5705974"/>
    </w:p>
    <w:p w14:paraId="7859044B" w14:textId="77777777" w:rsidR="00AB6753" w:rsidRPr="00A050FC" w:rsidRDefault="00AB6753" w:rsidP="00AB6753">
      <w:pPr>
        <w:rPr>
          <w:rFonts w:ascii="Arial Narrow" w:hAnsi="Arial Narrow" w:cs="Calibri"/>
          <w:b/>
          <w:sz w:val="20"/>
          <w:szCs w:val="20"/>
        </w:rPr>
      </w:pPr>
      <w:r>
        <w:rPr>
          <w:rFonts w:ascii="Arial Narrow" w:hAnsi="Arial Narrow" w:cs="Calibri"/>
          <w:b/>
          <w:sz w:val="20"/>
          <w:szCs w:val="20"/>
        </w:rPr>
        <w:t xml:space="preserve">Table F-18 </w:t>
      </w:r>
      <w:r w:rsidRPr="00A050FC">
        <w:rPr>
          <w:rFonts w:ascii="Arial Narrow" w:hAnsi="Arial Narrow" w:cs="Calibri"/>
          <w:b/>
          <w:sz w:val="20"/>
          <w:szCs w:val="20"/>
        </w:rPr>
        <w:t>17AG (4)(b)(vi) — Australian Public Service Act Indigenous Employment Previous Report Period</w:t>
      </w:r>
      <w:r w:rsidRPr="00A050FC">
        <w:rPr>
          <w:rFonts w:ascii="Arial Narrow" w:hAnsi="Arial Narrow" w:cs="Calibri"/>
          <w:b/>
          <w:sz w:val="20"/>
          <w:szCs w:val="20"/>
        </w:rPr>
        <w:br/>
        <w:t>(2018–19)</w:t>
      </w:r>
      <w:bookmarkEnd w:id="300"/>
    </w:p>
    <w:tbl>
      <w:tblPr>
        <w:tblW w:w="2553" w:type="dxa"/>
        <w:tblInd w:w="-142"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auto"/>
        </w:tblBorders>
        <w:tblLook w:val="04A0" w:firstRow="1" w:lastRow="0" w:firstColumn="1" w:lastColumn="0" w:noHBand="0" w:noVBand="1"/>
        <w:tblCaption w:val="Table F-18 17AG (4)(b)(vi) Australian Public Service Act Indigenous Employment. Previous Report Period (2017–18)"/>
        <w:tblDescription w:val="Table 17AG (4)(b)(vi) Australian Public Service Act Indigenous Employment. Previous Report Period (2018-19)"/>
      </w:tblPr>
      <w:tblGrid>
        <w:gridCol w:w="1702"/>
        <w:gridCol w:w="851"/>
      </w:tblGrid>
      <w:tr w:rsidR="00AB6753" w:rsidRPr="00F32D92" w14:paraId="3A341219" w14:textId="77777777" w:rsidTr="002D1EA4">
        <w:trPr>
          <w:trHeight w:val="615"/>
          <w:tblHeader/>
        </w:trPr>
        <w:tc>
          <w:tcPr>
            <w:tcW w:w="1702" w:type="dxa"/>
            <w:shd w:val="clear" w:color="auto" w:fill="BFBFBF" w:themeFill="background1" w:themeFillShade="BF"/>
            <w:noWrap/>
            <w:hideMark/>
          </w:tcPr>
          <w:p w14:paraId="0A06AF5B" w14:textId="77777777" w:rsidR="00AB6753" w:rsidRPr="00F32D92" w:rsidRDefault="00AB6753" w:rsidP="002D1EA4">
            <w:pPr>
              <w:spacing w:before="60" w:after="60" w:line="240" w:lineRule="auto"/>
              <w:rPr>
                <w:rFonts w:cs="Arial"/>
                <w:sz w:val="20"/>
                <w:szCs w:val="20"/>
              </w:rPr>
            </w:pPr>
          </w:p>
        </w:tc>
        <w:tc>
          <w:tcPr>
            <w:tcW w:w="851" w:type="dxa"/>
            <w:shd w:val="clear" w:color="auto" w:fill="BFBFBF" w:themeFill="background1" w:themeFillShade="BF"/>
          </w:tcPr>
          <w:p w14:paraId="3D81DE25" w14:textId="77777777" w:rsidR="00AB6753" w:rsidRPr="00F32D92" w:rsidRDefault="00AB6753" w:rsidP="002D1EA4">
            <w:pPr>
              <w:spacing w:before="60" w:after="60" w:line="240" w:lineRule="auto"/>
              <w:rPr>
                <w:rFonts w:cs="Arial"/>
                <w:sz w:val="20"/>
                <w:szCs w:val="20"/>
              </w:rPr>
            </w:pPr>
            <w:r w:rsidRPr="00F32D92">
              <w:rPr>
                <w:rFonts w:cs="Arial"/>
                <w:sz w:val="20"/>
                <w:szCs w:val="20"/>
              </w:rPr>
              <w:t>Total</w:t>
            </w:r>
          </w:p>
        </w:tc>
      </w:tr>
      <w:tr w:rsidR="00AB6753" w:rsidRPr="00F32D92" w14:paraId="7A7A3674" w14:textId="77777777" w:rsidTr="002D1EA4">
        <w:trPr>
          <w:trHeight w:val="315"/>
        </w:trPr>
        <w:tc>
          <w:tcPr>
            <w:tcW w:w="1702" w:type="dxa"/>
            <w:hideMark/>
          </w:tcPr>
          <w:p w14:paraId="7AA72F0E" w14:textId="77777777" w:rsidR="00AB6753" w:rsidRPr="00F32D92" w:rsidRDefault="00AB6753" w:rsidP="002D1EA4">
            <w:pPr>
              <w:spacing w:before="60" w:after="60" w:line="240" w:lineRule="auto"/>
              <w:rPr>
                <w:rFonts w:cs="Arial"/>
                <w:sz w:val="20"/>
                <w:szCs w:val="20"/>
              </w:rPr>
            </w:pPr>
            <w:r w:rsidRPr="00F32D92">
              <w:rPr>
                <w:rFonts w:cs="Arial"/>
                <w:sz w:val="20"/>
                <w:szCs w:val="20"/>
              </w:rPr>
              <w:t>Ongoing</w:t>
            </w:r>
          </w:p>
        </w:tc>
        <w:tc>
          <w:tcPr>
            <w:tcW w:w="851" w:type="dxa"/>
          </w:tcPr>
          <w:p w14:paraId="7AC53474" w14:textId="77777777" w:rsidR="00AB6753" w:rsidRPr="00F32D92" w:rsidRDefault="00AB6753" w:rsidP="002D1EA4">
            <w:pPr>
              <w:rPr>
                <w:rFonts w:cs="Arial"/>
                <w:color w:val="000000"/>
                <w:sz w:val="20"/>
                <w:szCs w:val="20"/>
              </w:rPr>
            </w:pPr>
            <w:r w:rsidRPr="00F32D92">
              <w:rPr>
                <w:rFonts w:cs="Arial"/>
                <w:color w:val="000000"/>
                <w:sz w:val="20"/>
                <w:szCs w:val="20"/>
              </w:rPr>
              <w:t>130</w:t>
            </w:r>
          </w:p>
        </w:tc>
      </w:tr>
      <w:tr w:rsidR="00AB6753" w:rsidRPr="00F32D92" w14:paraId="0F243A19" w14:textId="77777777" w:rsidTr="002D1EA4">
        <w:trPr>
          <w:trHeight w:val="315"/>
        </w:trPr>
        <w:tc>
          <w:tcPr>
            <w:tcW w:w="1702" w:type="dxa"/>
            <w:hideMark/>
          </w:tcPr>
          <w:p w14:paraId="3D880B22" w14:textId="77777777" w:rsidR="00AB6753" w:rsidRPr="00F32D92" w:rsidRDefault="00AB6753" w:rsidP="002D1EA4">
            <w:pPr>
              <w:spacing w:before="60" w:after="60" w:line="240" w:lineRule="auto"/>
              <w:rPr>
                <w:rFonts w:cs="Arial"/>
                <w:sz w:val="20"/>
                <w:szCs w:val="20"/>
              </w:rPr>
            </w:pPr>
            <w:r w:rsidRPr="00F32D92">
              <w:rPr>
                <w:rFonts w:cs="Arial"/>
                <w:sz w:val="20"/>
                <w:szCs w:val="20"/>
              </w:rPr>
              <w:t>Non-Ongoing</w:t>
            </w:r>
          </w:p>
        </w:tc>
        <w:tc>
          <w:tcPr>
            <w:tcW w:w="851" w:type="dxa"/>
          </w:tcPr>
          <w:p w14:paraId="271FEF18" w14:textId="77777777" w:rsidR="00AB6753" w:rsidRPr="00F32D92" w:rsidRDefault="00AB6753" w:rsidP="002D1EA4">
            <w:pPr>
              <w:rPr>
                <w:rFonts w:cs="Arial"/>
                <w:sz w:val="20"/>
                <w:szCs w:val="20"/>
              </w:rPr>
            </w:pPr>
            <w:r w:rsidRPr="00F32D92">
              <w:rPr>
                <w:rFonts w:cs="Arial"/>
                <w:sz w:val="20"/>
                <w:szCs w:val="20"/>
              </w:rPr>
              <w:t>0</w:t>
            </w:r>
          </w:p>
        </w:tc>
      </w:tr>
      <w:tr w:rsidR="00AB6753" w:rsidRPr="00F32D92" w14:paraId="087B6060" w14:textId="77777777" w:rsidTr="002D1EA4">
        <w:trPr>
          <w:trHeight w:val="315"/>
        </w:trPr>
        <w:tc>
          <w:tcPr>
            <w:tcW w:w="1702" w:type="dxa"/>
            <w:hideMark/>
          </w:tcPr>
          <w:p w14:paraId="7BD58468" w14:textId="77777777" w:rsidR="00AB6753" w:rsidRPr="00E42540" w:rsidRDefault="00AB6753" w:rsidP="002D1EA4">
            <w:pPr>
              <w:spacing w:before="60" w:after="60" w:line="240" w:lineRule="auto"/>
              <w:rPr>
                <w:rFonts w:cs="Arial"/>
                <w:b/>
                <w:sz w:val="20"/>
                <w:szCs w:val="20"/>
              </w:rPr>
            </w:pPr>
            <w:r w:rsidRPr="00E42540">
              <w:rPr>
                <w:rFonts w:cs="Arial"/>
                <w:b/>
                <w:sz w:val="20"/>
                <w:szCs w:val="20"/>
              </w:rPr>
              <w:t>Total</w:t>
            </w:r>
          </w:p>
        </w:tc>
        <w:tc>
          <w:tcPr>
            <w:tcW w:w="851" w:type="dxa"/>
          </w:tcPr>
          <w:p w14:paraId="494573E1" w14:textId="77777777" w:rsidR="00AB6753" w:rsidRPr="00E42540" w:rsidRDefault="00AB6753" w:rsidP="002D1EA4">
            <w:pPr>
              <w:rPr>
                <w:rFonts w:cs="Arial"/>
                <w:b/>
                <w:sz w:val="20"/>
                <w:szCs w:val="20"/>
              </w:rPr>
            </w:pPr>
            <w:r w:rsidRPr="00E42540">
              <w:rPr>
                <w:rFonts w:cs="Arial"/>
                <w:b/>
                <w:sz w:val="20"/>
                <w:szCs w:val="20"/>
              </w:rPr>
              <w:t>130</w:t>
            </w:r>
          </w:p>
        </w:tc>
      </w:tr>
    </w:tbl>
    <w:p w14:paraId="002CE9FE" w14:textId="77777777" w:rsidR="00AB6753" w:rsidRDefault="00AB6753" w:rsidP="00AB6753">
      <w:bookmarkStart w:id="301" w:name="_Toc5705975"/>
      <w:bookmarkStart w:id="302" w:name="_Toc8380524"/>
    </w:p>
    <w:p w14:paraId="561961B4" w14:textId="77777777" w:rsidR="00AB6753" w:rsidRPr="00A050FC" w:rsidRDefault="00AB6753" w:rsidP="00AB6753">
      <w:pPr>
        <w:rPr>
          <w:rFonts w:ascii="Arial Narrow" w:hAnsi="Arial Narrow" w:cs="Calibri"/>
          <w:b/>
          <w:sz w:val="20"/>
          <w:szCs w:val="20"/>
        </w:rPr>
      </w:pPr>
      <w:r>
        <w:rPr>
          <w:rFonts w:ascii="Arial Narrow" w:hAnsi="Arial Narrow" w:cs="Calibri"/>
          <w:b/>
          <w:sz w:val="20"/>
          <w:szCs w:val="20"/>
        </w:rPr>
        <w:t xml:space="preserve">Table F-19 </w:t>
      </w:r>
      <w:r w:rsidRPr="00A050FC">
        <w:rPr>
          <w:rFonts w:ascii="Arial Narrow" w:hAnsi="Arial Narrow" w:cs="Calibri"/>
          <w:b/>
          <w:sz w:val="20"/>
          <w:szCs w:val="20"/>
        </w:rPr>
        <w:t>17AG (4)(c)(</w:t>
      </w:r>
      <w:proofErr w:type="spellStart"/>
      <w:r w:rsidRPr="00A050FC">
        <w:rPr>
          <w:rFonts w:ascii="Arial Narrow" w:hAnsi="Arial Narrow" w:cs="Calibri"/>
          <w:b/>
          <w:sz w:val="20"/>
          <w:szCs w:val="20"/>
        </w:rPr>
        <w:t>i</w:t>
      </w:r>
      <w:proofErr w:type="spellEnd"/>
      <w:r w:rsidRPr="00A050FC">
        <w:rPr>
          <w:rFonts w:ascii="Arial Narrow" w:hAnsi="Arial Narrow" w:cs="Calibri"/>
          <w:b/>
          <w:sz w:val="20"/>
          <w:szCs w:val="20"/>
        </w:rPr>
        <w:t>) — Employment Arrangements of SES and Non-SES employees</w:t>
      </w:r>
      <w:bookmarkEnd w:id="301"/>
      <w:bookmarkEnd w:id="302"/>
      <w:r w:rsidRPr="00A050FC">
        <w:rPr>
          <w:rFonts w:ascii="Arial Narrow" w:hAnsi="Arial Narrow" w:cs="Calibri"/>
          <w:b/>
          <w:sz w:val="20"/>
          <w:szCs w:val="20"/>
        </w:rPr>
        <w:t>.</w:t>
      </w:r>
      <w:r>
        <w:rPr>
          <w:rFonts w:ascii="Arial Narrow" w:hAnsi="Arial Narrow" w:cs="Calibri"/>
          <w:b/>
          <w:sz w:val="20"/>
          <w:szCs w:val="20"/>
        </w:rPr>
        <w:t xml:space="preserve"> </w:t>
      </w:r>
      <w:bookmarkStart w:id="303" w:name="_Toc5705976"/>
      <w:r w:rsidRPr="00A050FC">
        <w:rPr>
          <w:rFonts w:ascii="Arial Narrow" w:hAnsi="Arial Narrow" w:cs="Calibri"/>
          <w:b/>
          <w:sz w:val="20"/>
          <w:szCs w:val="20"/>
        </w:rPr>
        <w:t>Australian Public Service Act Employment arrangements Current Report Period (2019–20)</w:t>
      </w:r>
      <w:bookmarkEnd w:id="303"/>
    </w:p>
    <w:tbl>
      <w:tblPr>
        <w:tblW w:w="9200" w:type="dxa"/>
        <w:tblInd w:w="-8" w:type="dxa"/>
        <w:tblCellMar>
          <w:left w:w="0" w:type="dxa"/>
          <w:right w:w="0" w:type="dxa"/>
        </w:tblCellMar>
        <w:tblLook w:val="04A0" w:firstRow="1" w:lastRow="0" w:firstColumn="1" w:lastColumn="0" w:noHBand="0" w:noVBand="1"/>
        <w:tblCaption w:val="Table F-19 17AG (4)(c)(i) Employment Arrangements of SES and Non-SES employees."/>
        <w:tblDescription w:val="Table 17AG (4)(c)(i) Employment Arrangements of SES and Non-SES employees. Australian Public Service Act Employment arrangements. Current Report Period (2019-20) "/>
      </w:tblPr>
      <w:tblGrid>
        <w:gridCol w:w="6320"/>
        <w:gridCol w:w="960"/>
        <w:gridCol w:w="960"/>
        <w:gridCol w:w="960"/>
      </w:tblGrid>
      <w:tr w:rsidR="00AB6753" w:rsidRPr="00F32D92" w14:paraId="11FE847C" w14:textId="77777777" w:rsidTr="002D1EA4">
        <w:trPr>
          <w:trHeight w:val="315"/>
        </w:trPr>
        <w:tc>
          <w:tcPr>
            <w:tcW w:w="632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26C62B95" w14:textId="77777777" w:rsidR="00AB6753" w:rsidRPr="00F32D92" w:rsidRDefault="00AB6753" w:rsidP="002D1EA4">
            <w:pPr>
              <w:spacing w:before="60" w:after="60" w:line="240" w:lineRule="auto"/>
              <w:rPr>
                <w:sz w:val="20"/>
                <w:szCs w:val="20"/>
              </w:rPr>
            </w:pPr>
          </w:p>
        </w:tc>
        <w:tc>
          <w:tcPr>
            <w:tcW w:w="960" w:type="dxa"/>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1B82B84A" w14:textId="77777777" w:rsidR="00AB6753" w:rsidRPr="00F32D92" w:rsidRDefault="00AB6753" w:rsidP="002D1EA4">
            <w:pPr>
              <w:spacing w:before="60" w:after="60" w:line="240" w:lineRule="auto"/>
              <w:rPr>
                <w:sz w:val="20"/>
                <w:szCs w:val="20"/>
              </w:rPr>
            </w:pPr>
            <w:r w:rsidRPr="00F32D92">
              <w:rPr>
                <w:sz w:val="20"/>
                <w:szCs w:val="20"/>
              </w:rPr>
              <w:t>SES</w:t>
            </w:r>
          </w:p>
        </w:tc>
        <w:tc>
          <w:tcPr>
            <w:tcW w:w="960" w:type="dxa"/>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00E4BB77" w14:textId="77777777" w:rsidR="00AB6753" w:rsidRPr="00F32D92" w:rsidRDefault="00AB6753" w:rsidP="002D1EA4">
            <w:pPr>
              <w:spacing w:before="60" w:after="60" w:line="240" w:lineRule="auto"/>
              <w:rPr>
                <w:sz w:val="20"/>
                <w:szCs w:val="20"/>
              </w:rPr>
            </w:pPr>
            <w:r w:rsidRPr="00F32D92">
              <w:rPr>
                <w:sz w:val="20"/>
                <w:szCs w:val="20"/>
              </w:rPr>
              <w:t>Non-SES</w:t>
            </w:r>
          </w:p>
        </w:tc>
        <w:tc>
          <w:tcPr>
            <w:tcW w:w="96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61F869C5" w14:textId="6A953927" w:rsidR="00AB6753" w:rsidRPr="00F32D92" w:rsidRDefault="00AB6753" w:rsidP="006E428F">
            <w:pPr>
              <w:spacing w:before="60" w:after="60" w:line="240" w:lineRule="auto"/>
              <w:rPr>
                <w:sz w:val="20"/>
                <w:szCs w:val="20"/>
              </w:rPr>
            </w:pPr>
            <w:r w:rsidRPr="00F32D92">
              <w:rPr>
                <w:sz w:val="20"/>
                <w:szCs w:val="20"/>
              </w:rPr>
              <w:t>Total</w:t>
            </w:r>
          </w:p>
        </w:tc>
      </w:tr>
      <w:tr w:rsidR="00AB6753" w:rsidRPr="00F32D92" w14:paraId="02B64DB1" w14:textId="77777777" w:rsidTr="002D1EA4">
        <w:trPr>
          <w:trHeight w:val="315"/>
        </w:trPr>
        <w:tc>
          <w:tcPr>
            <w:tcW w:w="6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C2D46C9" w14:textId="77777777" w:rsidR="00AB6753" w:rsidRPr="00870367" w:rsidRDefault="00AB6753" w:rsidP="002D1EA4">
            <w:pPr>
              <w:spacing w:before="60" w:after="60" w:line="240" w:lineRule="auto"/>
              <w:rPr>
                <w:i/>
                <w:sz w:val="20"/>
                <w:szCs w:val="20"/>
              </w:rPr>
            </w:pPr>
            <w:r w:rsidRPr="00870367">
              <w:rPr>
                <w:i/>
                <w:sz w:val="20"/>
                <w:szCs w:val="20"/>
              </w:rPr>
              <w:t>Department of Social Services Enterprise Agreement 2018 to 2020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00180A3" w14:textId="77777777" w:rsidR="00AB6753" w:rsidRPr="00F32D92" w:rsidRDefault="00AB6753" w:rsidP="002D1EA4">
            <w:pPr>
              <w:rPr>
                <w:sz w:val="20"/>
                <w:szCs w:val="20"/>
              </w:rPr>
            </w:pPr>
            <w:r w:rsidRPr="00F32D92">
              <w:rPr>
                <w:sz w:val="20"/>
                <w:szCs w:val="20"/>
              </w:rP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4B0AB2D" w14:textId="77777777" w:rsidR="00AB6753" w:rsidRPr="00F32D92" w:rsidRDefault="00AB6753" w:rsidP="002D1EA4">
            <w:pPr>
              <w:rPr>
                <w:sz w:val="20"/>
                <w:szCs w:val="20"/>
              </w:rPr>
            </w:pPr>
            <w:r w:rsidRPr="00F32D92">
              <w:rPr>
                <w:sz w:val="20"/>
                <w:szCs w:val="20"/>
              </w:rPr>
              <w:t>2</w:t>
            </w:r>
            <w:r>
              <w:rPr>
                <w:sz w:val="20"/>
                <w:szCs w:val="20"/>
              </w:rPr>
              <w:t>,</w:t>
            </w:r>
            <w:r w:rsidRPr="00F32D92">
              <w:rPr>
                <w:sz w:val="20"/>
                <w:szCs w:val="20"/>
              </w:rPr>
              <w:t>275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8A3E5DE" w14:textId="77777777" w:rsidR="00AB6753" w:rsidRPr="00F32D92" w:rsidRDefault="00AB6753" w:rsidP="002D1EA4">
            <w:pPr>
              <w:rPr>
                <w:sz w:val="20"/>
                <w:szCs w:val="20"/>
              </w:rPr>
            </w:pPr>
            <w:r w:rsidRPr="00F32D92">
              <w:rPr>
                <w:sz w:val="20"/>
                <w:szCs w:val="20"/>
              </w:rPr>
              <w:t>2</w:t>
            </w:r>
            <w:r>
              <w:rPr>
                <w:sz w:val="20"/>
                <w:szCs w:val="20"/>
              </w:rPr>
              <w:t>,</w:t>
            </w:r>
            <w:r w:rsidRPr="00F32D92">
              <w:rPr>
                <w:sz w:val="20"/>
                <w:szCs w:val="20"/>
              </w:rPr>
              <w:t>275</w:t>
            </w:r>
          </w:p>
        </w:tc>
      </w:tr>
      <w:tr w:rsidR="00AB6753" w:rsidRPr="00F32D92" w14:paraId="7B56EE46" w14:textId="77777777" w:rsidTr="002D1EA4">
        <w:trPr>
          <w:trHeight w:val="501"/>
        </w:trPr>
        <w:tc>
          <w:tcPr>
            <w:tcW w:w="6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6CF4330" w14:textId="77777777" w:rsidR="00AB6753" w:rsidRPr="00F32D92" w:rsidRDefault="00AB6753" w:rsidP="002D1EA4">
            <w:pPr>
              <w:spacing w:before="60" w:after="60" w:line="240" w:lineRule="auto"/>
              <w:rPr>
                <w:sz w:val="20"/>
                <w:szCs w:val="20"/>
              </w:rPr>
            </w:pPr>
            <w:r w:rsidRPr="00F32D92">
              <w:rPr>
                <w:sz w:val="20"/>
                <w:szCs w:val="20"/>
              </w:rPr>
              <w:t>Individual Flexibility Agreements</w:t>
            </w:r>
            <w:r>
              <w:rPr>
                <w:sz w:val="20"/>
                <w:szCs w:val="20"/>
              </w:rPr>
              <w:t xml:space="preserve"> (IFA)</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85151A4" w14:textId="77777777" w:rsidR="00AB6753" w:rsidRPr="00F32D92" w:rsidRDefault="00AB6753" w:rsidP="002D1EA4">
            <w:pPr>
              <w:spacing w:before="60" w:after="60" w:line="240" w:lineRule="auto"/>
              <w:rPr>
                <w:sz w:val="20"/>
                <w:szCs w:val="20"/>
              </w:rPr>
            </w:pPr>
            <w:r w:rsidRPr="00F32D92">
              <w:rPr>
                <w:sz w:val="20"/>
                <w:szCs w:val="20"/>
              </w:rP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2B6032D" w14:textId="77777777" w:rsidR="00AB6753" w:rsidRPr="00F32D92" w:rsidRDefault="00AB6753" w:rsidP="002D1EA4">
            <w:pPr>
              <w:spacing w:before="60" w:after="60" w:line="240" w:lineRule="auto"/>
              <w:rPr>
                <w:sz w:val="20"/>
                <w:szCs w:val="20"/>
              </w:rPr>
            </w:pPr>
            <w:r w:rsidRPr="00F32D92">
              <w:rPr>
                <w:sz w:val="20"/>
                <w:szCs w:val="20"/>
              </w:rPr>
              <w:t>21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BA4C643" w14:textId="77777777" w:rsidR="00AB6753" w:rsidRPr="00F32D92" w:rsidRDefault="00AB6753" w:rsidP="002D1EA4">
            <w:pPr>
              <w:spacing w:before="60" w:after="60" w:line="240" w:lineRule="auto"/>
              <w:rPr>
                <w:sz w:val="20"/>
                <w:szCs w:val="20"/>
              </w:rPr>
            </w:pPr>
            <w:r w:rsidRPr="00F32D92">
              <w:rPr>
                <w:sz w:val="20"/>
                <w:szCs w:val="20"/>
              </w:rPr>
              <w:t>21</w:t>
            </w:r>
          </w:p>
        </w:tc>
      </w:tr>
      <w:tr w:rsidR="00AB6753" w:rsidRPr="00F32D92" w14:paraId="76B45272" w14:textId="77777777" w:rsidTr="002D1EA4">
        <w:trPr>
          <w:trHeight w:val="537"/>
        </w:trPr>
        <w:tc>
          <w:tcPr>
            <w:tcW w:w="6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0FFF009" w14:textId="77777777" w:rsidR="00AB6753" w:rsidRPr="00F32D92" w:rsidRDefault="00AB6753" w:rsidP="002D1EA4">
            <w:pPr>
              <w:spacing w:before="60" w:after="60" w:line="240" w:lineRule="auto"/>
              <w:rPr>
                <w:sz w:val="20"/>
                <w:szCs w:val="20"/>
              </w:rPr>
            </w:pPr>
            <w:r w:rsidRPr="00F32D92">
              <w:rPr>
                <w:sz w:val="20"/>
                <w:szCs w:val="20"/>
              </w:rPr>
              <w:t>Section 24(1) determinations</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5A865CF" w14:textId="77777777" w:rsidR="00AB6753" w:rsidRPr="00F32D92" w:rsidRDefault="00AB6753" w:rsidP="002D1EA4">
            <w:pPr>
              <w:spacing w:before="60" w:after="60" w:line="240" w:lineRule="auto"/>
              <w:rPr>
                <w:sz w:val="20"/>
                <w:szCs w:val="20"/>
              </w:rPr>
            </w:pPr>
            <w:r w:rsidRPr="00F32D92">
              <w:rPr>
                <w:sz w:val="20"/>
                <w:szCs w:val="20"/>
              </w:rPr>
              <w:t>70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8567631" w14:textId="77777777" w:rsidR="00AB6753" w:rsidRPr="00F32D92" w:rsidRDefault="00AB6753" w:rsidP="002D1EA4">
            <w:pPr>
              <w:spacing w:before="60" w:after="60" w:line="240" w:lineRule="auto"/>
              <w:rPr>
                <w:sz w:val="20"/>
                <w:szCs w:val="20"/>
              </w:rPr>
            </w:pPr>
            <w:r w:rsidRPr="00F32D92">
              <w:rPr>
                <w:sz w:val="20"/>
                <w:szCs w:val="20"/>
              </w:rP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800EDED" w14:textId="77777777" w:rsidR="00AB6753" w:rsidRPr="00F32D92" w:rsidRDefault="00AB6753" w:rsidP="002D1EA4">
            <w:pPr>
              <w:spacing w:before="60" w:after="60" w:line="240" w:lineRule="auto"/>
              <w:rPr>
                <w:sz w:val="20"/>
                <w:szCs w:val="20"/>
              </w:rPr>
            </w:pPr>
            <w:r w:rsidRPr="00F32D92">
              <w:rPr>
                <w:sz w:val="20"/>
                <w:szCs w:val="20"/>
              </w:rPr>
              <w:t>70</w:t>
            </w:r>
          </w:p>
        </w:tc>
      </w:tr>
      <w:tr w:rsidR="00AB6753" w:rsidRPr="00F32D92" w14:paraId="47EFC3D9" w14:textId="77777777" w:rsidTr="002D1EA4">
        <w:trPr>
          <w:trHeight w:val="315"/>
        </w:trPr>
        <w:tc>
          <w:tcPr>
            <w:tcW w:w="6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CBC5D6" w14:textId="77777777" w:rsidR="00AB6753" w:rsidRPr="00E42540" w:rsidRDefault="00AB6753" w:rsidP="002D1EA4">
            <w:pPr>
              <w:spacing w:before="60" w:after="60" w:line="240" w:lineRule="auto"/>
              <w:rPr>
                <w:b/>
                <w:sz w:val="20"/>
                <w:szCs w:val="20"/>
              </w:rPr>
            </w:pPr>
            <w:r w:rsidRPr="00E42540">
              <w:rPr>
                <w:b/>
                <w:sz w:val="20"/>
                <w:szCs w:val="20"/>
              </w:rPr>
              <w:t>Total</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tcPr>
          <w:p w14:paraId="6A71AEA2" w14:textId="77777777" w:rsidR="00AB6753" w:rsidRPr="00E42540" w:rsidRDefault="00AB6753" w:rsidP="002D1EA4">
            <w:pPr>
              <w:rPr>
                <w:b/>
                <w:sz w:val="20"/>
                <w:szCs w:val="20"/>
              </w:rPr>
            </w:pPr>
            <w:r w:rsidRPr="00E42540">
              <w:rPr>
                <w:b/>
                <w:sz w:val="20"/>
                <w:szCs w:val="20"/>
              </w:rPr>
              <w:t>70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tcPr>
          <w:p w14:paraId="26455B7D" w14:textId="77777777" w:rsidR="00AB6753" w:rsidRPr="00E42540" w:rsidRDefault="00AB6753" w:rsidP="002D1EA4">
            <w:pPr>
              <w:rPr>
                <w:b/>
                <w:sz w:val="20"/>
                <w:szCs w:val="20"/>
              </w:rPr>
            </w:pPr>
            <w:r w:rsidRPr="00E42540">
              <w:rPr>
                <w:b/>
                <w:sz w:val="20"/>
                <w:szCs w:val="20"/>
              </w:rPr>
              <w:t>2</w:t>
            </w:r>
            <w:r>
              <w:rPr>
                <w:b/>
                <w:sz w:val="20"/>
                <w:szCs w:val="20"/>
              </w:rPr>
              <w:t>,</w:t>
            </w:r>
            <w:r w:rsidRPr="00E42540">
              <w:rPr>
                <w:b/>
                <w:sz w:val="20"/>
                <w:szCs w:val="20"/>
              </w:rPr>
              <w:t>296</w:t>
            </w:r>
          </w:p>
        </w:tc>
        <w:tc>
          <w:tcPr>
            <w:tcW w:w="960" w:type="dxa"/>
            <w:tcBorders>
              <w:top w:val="nil"/>
              <w:left w:val="nil"/>
              <w:bottom w:val="single" w:sz="8" w:space="0" w:color="auto"/>
              <w:right w:val="single" w:sz="8" w:space="0" w:color="auto"/>
            </w:tcBorders>
            <w:tcMar>
              <w:top w:w="0" w:type="dxa"/>
              <w:left w:w="108" w:type="dxa"/>
              <w:bottom w:w="0" w:type="dxa"/>
              <w:right w:w="108" w:type="dxa"/>
            </w:tcMar>
          </w:tcPr>
          <w:p w14:paraId="4DD38DB2" w14:textId="77777777" w:rsidR="00AB6753" w:rsidRPr="00E42540" w:rsidRDefault="00AB6753" w:rsidP="002D1EA4">
            <w:pPr>
              <w:rPr>
                <w:b/>
                <w:sz w:val="20"/>
                <w:szCs w:val="20"/>
              </w:rPr>
            </w:pPr>
            <w:r w:rsidRPr="00E42540">
              <w:rPr>
                <w:b/>
                <w:sz w:val="20"/>
                <w:szCs w:val="20"/>
              </w:rPr>
              <w:t>2</w:t>
            </w:r>
            <w:r>
              <w:rPr>
                <w:b/>
                <w:sz w:val="20"/>
                <w:szCs w:val="20"/>
              </w:rPr>
              <w:t>,</w:t>
            </w:r>
            <w:r w:rsidRPr="00E42540">
              <w:rPr>
                <w:b/>
                <w:sz w:val="20"/>
                <w:szCs w:val="20"/>
              </w:rPr>
              <w:t>366</w:t>
            </w:r>
          </w:p>
        </w:tc>
      </w:tr>
    </w:tbl>
    <w:p w14:paraId="2CDC98C8" w14:textId="77777777" w:rsidR="006E428F" w:rsidRDefault="00AB6753" w:rsidP="00AB6753">
      <w:pPr>
        <w:autoSpaceDE w:val="0"/>
        <w:autoSpaceDN w:val="0"/>
        <w:adjustRightInd w:val="0"/>
        <w:spacing w:before="120" w:after="180" w:line="280" w:lineRule="atLeast"/>
        <w:ind w:right="-164"/>
        <w:rPr>
          <w:sz w:val="20"/>
          <w:szCs w:val="20"/>
        </w:rPr>
      </w:pPr>
      <w:bookmarkStart w:id="304" w:name="_Toc5705978"/>
      <w:r w:rsidRPr="00123D6C">
        <w:rPr>
          <w:sz w:val="20"/>
          <w:szCs w:val="20"/>
        </w:rPr>
        <w:t>Note</w:t>
      </w:r>
      <w:r w:rsidR="006E428F">
        <w:rPr>
          <w:sz w:val="20"/>
          <w:szCs w:val="20"/>
        </w:rPr>
        <w:t>:</w:t>
      </w:r>
    </w:p>
    <w:p w14:paraId="54394209" w14:textId="74AD066E" w:rsidR="00AB6753" w:rsidRDefault="00AB6753" w:rsidP="006E428F">
      <w:pPr>
        <w:pStyle w:val="ListParagraph"/>
        <w:numPr>
          <w:ilvl w:val="0"/>
          <w:numId w:val="120"/>
        </w:numPr>
        <w:autoSpaceDE w:val="0"/>
        <w:autoSpaceDN w:val="0"/>
        <w:adjustRightInd w:val="0"/>
        <w:spacing w:before="120" w:after="180" w:line="280" w:lineRule="atLeast"/>
        <w:ind w:right="-164"/>
      </w:pPr>
      <w:r w:rsidRPr="006E428F">
        <w:rPr>
          <w:sz w:val="20"/>
          <w:szCs w:val="20"/>
        </w:rPr>
        <w:t xml:space="preserve">Excludes the Secretary who is not employed under any of the identified employment arrangements above. Employees acting as SES on 30 June 2020 have been reported as covered by the </w:t>
      </w:r>
      <w:r w:rsidRPr="006E428F">
        <w:rPr>
          <w:i/>
          <w:sz w:val="20"/>
          <w:szCs w:val="20"/>
        </w:rPr>
        <w:t>Department of Social Services Enterprise Agreement 2018 to 2021</w:t>
      </w:r>
      <w:r w:rsidRPr="006E428F">
        <w:rPr>
          <w:sz w:val="20"/>
          <w:szCs w:val="20"/>
        </w:rPr>
        <w:t xml:space="preserve"> (Enterprise Agreement).</w:t>
      </w:r>
    </w:p>
    <w:p w14:paraId="33A723D2" w14:textId="4CC519AE" w:rsidR="00AB6753" w:rsidRPr="006E428F" w:rsidRDefault="00AB6753" w:rsidP="006E428F">
      <w:pPr>
        <w:pStyle w:val="ListParagraph"/>
        <w:numPr>
          <w:ilvl w:val="0"/>
          <w:numId w:val="120"/>
        </w:numPr>
        <w:autoSpaceDE w:val="0"/>
        <w:autoSpaceDN w:val="0"/>
        <w:adjustRightInd w:val="0"/>
        <w:spacing w:before="120" w:after="180" w:line="280" w:lineRule="atLeast"/>
        <w:ind w:right="-164"/>
        <w:rPr>
          <w:sz w:val="20"/>
          <w:szCs w:val="20"/>
        </w:rPr>
      </w:pPr>
      <w:r w:rsidRPr="006E428F">
        <w:rPr>
          <w:sz w:val="20"/>
          <w:szCs w:val="20"/>
        </w:rPr>
        <w:t>Staff on IFAs are still covered by the Enterprise Agreement.</w:t>
      </w:r>
      <w:r w:rsidRPr="006E428F">
        <w:rPr>
          <w:sz w:val="20"/>
          <w:szCs w:val="20"/>
        </w:rPr>
        <w:br w:type="page"/>
      </w:r>
    </w:p>
    <w:p w14:paraId="2E15ECE2" w14:textId="77777777" w:rsidR="00AB6753" w:rsidRPr="00A050FC" w:rsidRDefault="00AB6753" w:rsidP="00AB6753">
      <w:pPr>
        <w:rPr>
          <w:rFonts w:ascii="Arial Narrow" w:hAnsi="Arial Narrow" w:cs="Calibri"/>
          <w:b/>
          <w:sz w:val="20"/>
          <w:szCs w:val="20"/>
        </w:rPr>
      </w:pPr>
      <w:r>
        <w:rPr>
          <w:rFonts w:ascii="Arial Narrow" w:hAnsi="Arial Narrow" w:cs="Calibri"/>
          <w:b/>
          <w:sz w:val="20"/>
          <w:szCs w:val="20"/>
        </w:rPr>
        <w:lastRenderedPageBreak/>
        <w:t xml:space="preserve">Table F-20 </w:t>
      </w:r>
      <w:r w:rsidRPr="00A050FC">
        <w:rPr>
          <w:rFonts w:ascii="Arial Narrow" w:hAnsi="Arial Narrow" w:cs="Calibri"/>
          <w:b/>
          <w:sz w:val="20"/>
          <w:szCs w:val="20"/>
        </w:rPr>
        <w:t>17AG (4)(c)(ii) — Australian Public Service Act Employment salary ranges by classification level (Minimum/Maximum) Current Report Period (2019–20)</w:t>
      </w:r>
      <w:bookmarkEnd w:id="304"/>
    </w:p>
    <w:tbl>
      <w:tblPr>
        <w:tblW w:w="4962"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auto"/>
        </w:tblBorders>
        <w:tblLook w:val="04A0" w:firstRow="1" w:lastRow="0" w:firstColumn="1" w:lastColumn="0" w:noHBand="0" w:noVBand="1"/>
        <w:tblCaption w:val="Table F-20 17AG (4)(c)(ii)—Australian Public Service Act Employment salary ranges by classification level (Minimum/Maximum)"/>
        <w:tblDescription w:val="Table 17AG (4)(c)(ii)—Australian Public Service Act Employment salary ranges by classification level (Minimum/Maximum). Current Report Period (2019-20)"/>
      </w:tblPr>
      <w:tblGrid>
        <w:gridCol w:w="988"/>
        <w:gridCol w:w="1847"/>
        <w:gridCol w:w="2127"/>
      </w:tblGrid>
      <w:tr w:rsidR="00AB6753" w:rsidRPr="00F32D92" w14:paraId="5BFAC23D" w14:textId="77777777" w:rsidTr="002D1EA4">
        <w:trPr>
          <w:trHeight w:val="615"/>
          <w:tblHeader/>
        </w:trPr>
        <w:tc>
          <w:tcPr>
            <w:tcW w:w="988" w:type="dxa"/>
            <w:shd w:val="clear" w:color="auto" w:fill="BFBFBF" w:themeFill="background1" w:themeFillShade="BF"/>
            <w:noWrap/>
            <w:hideMark/>
          </w:tcPr>
          <w:p w14:paraId="1A2D596B" w14:textId="77777777" w:rsidR="00AB6753" w:rsidRPr="00F32D92" w:rsidRDefault="00AB6753" w:rsidP="002D1EA4">
            <w:pPr>
              <w:spacing w:before="60" w:after="60" w:line="240" w:lineRule="auto"/>
              <w:rPr>
                <w:rFonts w:cs="Arial"/>
                <w:sz w:val="20"/>
                <w:szCs w:val="20"/>
              </w:rPr>
            </w:pPr>
          </w:p>
        </w:tc>
        <w:tc>
          <w:tcPr>
            <w:tcW w:w="1847" w:type="dxa"/>
            <w:shd w:val="clear" w:color="auto" w:fill="BFBFBF" w:themeFill="background1" w:themeFillShade="BF"/>
          </w:tcPr>
          <w:p w14:paraId="58CC2401" w14:textId="77777777" w:rsidR="00AB6753" w:rsidRDefault="00AB6753" w:rsidP="002D1EA4">
            <w:pPr>
              <w:spacing w:before="60" w:after="60" w:line="240" w:lineRule="auto"/>
              <w:jc w:val="center"/>
              <w:rPr>
                <w:rFonts w:cs="Arial"/>
                <w:sz w:val="20"/>
                <w:szCs w:val="20"/>
              </w:rPr>
            </w:pPr>
            <w:r>
              <w:rPr>
                <w:rFonts w:cs="Arial"/>
                <w:sz w:val="20"/>
                <w:szCs w:val="20"/>
              </w:rPr>
              <w:t>$</w:t>
            </w:r>
          </w:p>
          <w:p w14:paraId="2A8E14CE" w14:textId="77777777" w:rsidR="00AB6753" w:rsidRPr="00F32D92" w:rsidRDefault="00AB6753" w:rsidP="002D1EA4">
            <w:pPr>
              <w:spacing w:before="60" w:after="60" w:line="240" w:lineRule="auto"/>
              <w:jc w:val="center"/>
              <w:rPr>
                <w:rFonts w:cs="Arial"/>
                <w:sz w:val="20"/>
                <w:szCs w:val="20"/>
              </w:rPr>
            </w:pPr>
            <w:r w:rsidRPr="00F32D92">
              <w:rPr>
                <w:rFonts w:cs="Arial"/>
                <w:sz w:val="20"/>
                <w:szCs w:val="20"/>
              </w:rPr>
              <w:t>Minimum Salary</w:t>
            </w:r>
          </w:p>
        </w:tc>
        <w:tc>
          <w:tcPr>
            <w:tcW w:w="2127" w:type="dxa"/>
            <w:shd w:val="clear" w:color="auto" w:fill="BFBFBF" w:themeFill="background1" w:themeFillShade="BF"/>
          </w:tcPr>
          <w:p w14:paraId="27C0DF88" w14:textId="77777777" w:rsidR="00AB6753" w:rsidRDefault="00AB6753" w:rsidP="002D1EA4">
            <w:pPr>
              <w:spacing w:before="60" w:after="60" w:line="240" w:lineRule="auto"/>
              <w:jc w:val="center"/>
              <w:rPr>
                <w:rFonts w:cs="Arial"/>
                <w:sz w:val="20"/>
                <w:szCs w:val="20"/>
              </w:rPr>
            </w:pPr>
            <w:r>
              <w:rPr>
                <w:rFonts w:cs="Arial"/>
                <w:sz w:val="20"/>
                <w:szCs w:val="20"/>
              </w:rPr>
              <w:t>$</w:t>
            </w:r>
          </w:p>
          <w:p w14:paraId="2D4C1CD4" w14:textId="77777777" w:rsidR="00AB6753" w:rsidRPr="00F32D92" w:rsidRDefault="00AB6753" w:rsidP="002D1EA4">
            <w:pPr>
              <w:spacing w:before="60" w:after="60" w:line="240" w:lineRule="auto"/>
              <w:jc w:val="center"/>
              <w:rPr>
                <w:rFonts w:cs="Arial"/>
                <w:sz w:val="20"/>
                <w:szCs w:val="20"/>
              </w:rPr>
            </w:pPr>
            <w:r w:rsidRPr="00F32D92">
              <w:rPr>
                <w:rFonts w:cs="Arial"/>
                <w:sz w:val="20"/>
                <w:szCs w:val="20"/>
              </w:rPr>
              <w:t>Maximum Salary</w:t>
            </w:r>
          </w:p>
        </w:tc>
      </w:tr>
      <w:tr w:rsidR="00AB6753" w:rsidRPr="00F32D92" w14:paraId="7651490E" w14:textId="77777777" w:rsidTr="002D1EA4">
        <w:trPr>
          <w:trHeight w:val="315"/>
        </w:trPr>
        <w:tc>
          <w:tcPr>
            <w:tcW w:w="988" w:type="dxa"/>
            <w:vAlign w:val="center"/>
            <w:hideMark/>
          </w:tcPr>
          <w:p w14:paraId="3DFA741A" w14:textId="77777777" w:rsidR="00AB6753" w:rsidRPr="00F32D92" w:rsidRDefault="00AB6753" w:rsidP="002D1EA4">
            <w:pPr>
              <w:spacing w:before="60" w:after="60" w:line="240" w:lineRule="auto"/>
              <w:rPr>
                <w:rFonts w:cs="Arial"/>
                <w:sz w:val="20"/>
                <w:szCs w:val="20"/>
              </w:rPr>
            </w:pPr>
            <w:r w:rsidRPr="00F32D92">
              <w:rPr>
                <w:rFonts w:cs="Arial"/>
                <w:sz w:val="20"/>
                <w:szCs w:val="20"/>
              </w:rPr>
              <w:t>SES 3</w:t>
            </w:r>
          </w:p>
        </w:tc>
        <w:tc>
          <w:tcPr>
            <w:tcW w:w="1847" w:type="dxa"/>
            <w:vAlign w:val="center"/>
          </w:tcPr>
          <w:p w14:paraId="4C44F065" w14:textId="77777777" w:rsidR="00AB6753" w:rsidRPr="00F32D92" w:rsidRDefault="00AB6753" w:rsidP="002D1EA4">
            <w:pPr>
              <w:spacing w:before="60" w:after="60" w:line="240" w:lineRule="auto"/>
              <w:rPr>
                <w:rFonts w:cs="Arial"/>
                <w:sz w:val="20"/>
                <w:szCs w:val="20"/>
              </w:rPr>
            </w:pPr>
            <w:r w:rsidRPr="00F32D92">
              <w:rPr>
                <w:rFonts w:cs="Arial"/>
                <w:sz w:val="20"/>
                <w:szCs w:val="20"/>
              </w:rPr>
              <w:t>354,000</w:t>
            </w:r>
          </w:p>
        </w:tc>
        <w:tc>
          <w:tcPr>
            <w:tcW w:w="2127" w:type="dxa"/>
            <w:vAlign w:val="center"/>
          </w:tcPr>
          <w:p w14:paraId="0BC74290" w14:textId="77777777" w:rsidR="00AB6753" w:rsidRPr="00F32D92" w:rsidRDefault="00AB6753" w:rsidP="002D1EA4">
            <w:pPr>
              <w:spacing w:before="60" w:after="60" w:line="240" w:lineRule="auto"/>
              <w:rPr>
                <w:rFonts w:cs="Arial"/>
                <w:sz w:val="20"/>
                <w:szCs w:val="20"/>
              </w:rPr>
            </w:pPr>
            <w:r w:rsidRPr="00F32D92">
              <w:rPr>
                <w:rFonts w:cs="Arial"/>
                <w:sz w:val="20"/>
                <w:szCs w:val="20"/>
              </w:rPr>
              <w:t>-</w:t>
            </w:r>
          </w:p>
        </w:tc>
      </w:tr>
      <w:tr w:rsidR="00AB6753" w:rsidRPr="00F32D92" w14:paraId="699B4F4B" w14:textId="77777777" w:rsidTr="002D1EA4">
        <w:trPr>
          <w:trHeight w:val="315"/>
        </w:trPr>
        <w:tc>
          <w:tcPr>
            <w:tcW w:w="988" w:type="dxa"/>
            <w:vAlign w:val="center"/>
            <w:hideMark/>
          </w:tcPr>
          <w:p w14:paraId="276C8783" w14:textId="77777777" w:rsidR="00AB6753" w:rsidRPr="00F32D92" w:rsidRDefault="00AB6753" w:rsidP="002D1EA4">
            <w:pPr>
              <w:spacing w:before="60" w:after="60" w:line="240" w:lineRule="auto"/>
              <w:rPr>
                <w:rFonts w:cs="Arial"/>
                <w:sz w:val="20"/>
                <w:szCs w:val="20"/>
              </w:rPr>
            </w:pPr>
            <w:r w:rsidRPr="00F32D92">
              <w:rPr>
                <w:rFonts w:cs="Arial"/>
                <w:sz w:val="20"/>
                <w:szCs w:val="20"/>
              </w:rPr>
              <w:t>SES 2</w:t>
            </w:r>
          </w:p>
        </w:tc>
        <w:tc>
          <w:tcPr>
            <w:tcW w:w="1847" w:type="dxa"/>
            <w:vAlign w:val="center"/>
          </w:tcPr>
          <w:p w14:paraId="099775F3" w14:textId="77777777" w:rsidR="00AB6753" w:rsidRPr="00F32D92" w:rsidRDefault="00AB6753" w:rsidP="002D1EA4">
            <w:pPr>
              <w:spacing w:before="60" w:after="60" w:line="240" w:lineRule="auto"/>
              <w:rPr>
                <w:rFonts w:cs="Arial"/>
                <w:sz w:val="20"/>
                <w:szCs w:val="20"/>
              </w:rPr>
            </w:pPr>
            <w:r w:rsidRPr="00F32D92">
              <w:rPr>
                <w:rFonts w:cs="Arial"/>
                <w:sz w:val="20"/>
                <w:szCs w:val="20"/>
              </w:rPr>
              <w:t>268,200</w:t>
            </w:r>
          </w:p>
        </w:tc>
        <w:tc>
          <w:tcPr>
            <w:tcW w:w="2127" w:type="dxa"/>
            <w:vAlign w:val="center"/>
          </w:tcPr>
          <w:p w14:paraId="12949816" w14:textId="77777777" w:rsidR="00AB6753" w:rsidRPr="00F32D92" w:rsidRDefault="00AB6753" w:rsidP="002D1EA4">
            <w:pPr>
              <w:spacing w:before="60" w:after="60" w:line="240" w:lineRule="auto"/>
              <w:rPr>
                <w:rFonts w:cs="Arial"/>
                <w:sz w:val="20"/>
                <w:szCs w:val="20"/>
              </w:rPr>
            </w:pPr>
            <w:r w:rsidRPr="00F32D92">
              <w:rPr>
                <w:rFonts w:cs="Arial"/>
                <w:sz w:val="20"/>
                <w:szCs w:val="20"/>
              </w:rPr>
              <w:t>305,000</w:t>
            </w:r>
          </w:p>
        </w:tc>
      </w:tr>
      <w:tr w:rsidR="00AB6753" w:rsidRPr="00F32D92" w14:paraId="72296701" w14:textId="77777777" w:rsidTr="002D1EA4">
        <w:trPr>
          <w:trHeight w:val="315"/>
        </w:trPr>
        <w:tc>
          <w:tcPr>
            <w:tcW w:w="988" w:type="dxa"/>
            <w:vAlign w:val="center"/>
            <w:hideMark/>
          </w:tcPr>
          <w:p w14:paraId="063DDF25" w14:textId="77777777" w:rsidR="00AB6753" w:rsidRPr="00F32D92" w:rsidRDefault="00AB6753" w:rsidP="002D1EA4">
            <w:pPr>
              <w:spacing w:before="60" w:after="60" w:line="240" w:lineRule="auto"/>
              <w:rPr>
                <w:rFonts w:cs="Arial"/>
                <w:sz w:val="20"/>
                <w:szCs w:val="20"/>
              </w:rPr>
            </w:pPr>
            <w:r w:rsidRPr="00F32D92">
              <w:rPr>
                <w:rFonts w:cs="Arial"/>
                <w:sz w:val="20"/>
                <w:szCs w:val="20"/>
              </w:rPr>
              <w:t>SES 1</w:t>
            </w:r>
          </w:p>
        </w:tc>
        <w:tc>
          <w:tcPr>
            <w:tcW w:w="1847" w:type="dxa"/>
            <w:vAlign w:val="center"/>
          </w:tcPr>
          <w:p w14:paraId="0EA63B54" w14:textId="77777777" w:rsidR="00AB6753" w:rsidRPr="00F32D92" w:rsidRDefault="00AB6753" w:rsidP="002D1EA4">
            <w:pPr>
              <w:spacing w:before="60" w:after="60" w:line="240" w:lineRule="auto"/>
              <w:rPr>
                <w:rFonts w:cs="Arial"/>
                <w:sz w:val="20"/>
                <w:szCs w:val="20"/>
              </w:rPr>
            </w:pPr>
            <w:r w:rsidRPr="00F32D92">
              <w:rPr>
                <w:rFonts w:cs="Arial"/>
                <w:sz w:val="20"/>
                <w:szCs w:val="20"/>
              </w:rPr>
              <w:t>201,100</w:t>
            </w:r>
          </w:p>
        </w:tc>
        <w:tc>
          <w:tcPr>
            <w:tcW w:w="2127" w:type="dxa"/>
            <w:vAlign w:val="center"/>
          </w:tcPr>
          <w:p w14:paraId="1A3EB16D" w14:textId="77777777" w:rsidR="00AB6753" w:rsidRPr="00F32D92" w:rsidRDefault="00AB6753" w:rsidP="002D1EA4">
            <w:pPr>
              <w:spacing w:before="60" w:after="60" w:line="240" w:lineRule="auto"/>
              <w:rPr>
                <w:rFonts w:cs="Arial"/>
                <w:sz w:val="20"/>
                <w:szCs w:val="20"/>
              </w:rPr>
            </w:pPr>
            <w:r w:rsidRPr="00F32D92">
              <w:rPr>
                <w:rFonts w:cs="Arial"/>
                <w:sz w:val="20"/>
                <w:szCs w:val="20"/>
              </w:rPr>
              <w:t>241,900</w:t>
            </w:r>
          </w:p>
        </w:tc>
      </w:tr>
      <w:tr w:rsidR="00AB6753" w:rsidRPr="00F32D92" w14:paraId="63935AC0" w14:textId="77777777" w:rsidTr="002D1EA4">
        <w:trPr>
          <w:trHeight w:val="315"/>
        </w:trPr>
        <w:tc>
          <w:tcPr>
            <w:tcW w:w="988" w:type="dxa"/>
            <w:vAlign w:val="center"/>
            <w:hideMark/>
          </w:tcPr>
          <w:p w14:paraId="39618B59" w14:textId="77777777" w:rsidR="00AB6753" w:rsidRPr="00F32D92" w:rsidRDefault="00AB6753" w:rsidP="002D1EA4">
            <w:pPr>
              <w:spacing w:before="60" w:after="60" w:line="240" w:lineRule="auto"/>
              <w:rPr>
                <w:rFonts w:cs="Arial"/>
                <w:sz w:val="20"/>
                <w:szCs w:val="20"/>
              </w:rPr>
            </w:pPr>
            <w:r w:rsidRPr="00F32D92">
              <w:rPr>
                <w:rFonts w:cs="Arial"/>
                <w:sz w:val="20"/>
                <w:szCs w:val="20"/>
              </w:rPr>
              <w:t>EL 2</w:t>
            </w:r>
          </w:p>
        </w:tc>
        <w:tc>
          <w:tcPr>
            <w:tcW w:w="1847" w:type="dxa"/>
            <w:vAlign w:val="center"/>
          </w:tcPr>
          <w:p w14:paraId="6E2BA414" w14:textId="77777777" w:rsidR="00AB6753" w:rsidRPr="00F32D92" w:rsidRDefault="00AB6753" w:rsidP="002D1EA4">
            <w:pPr>
              <w:spacing w:before="60" w:after="60" w:line="240" w:lineRule="auto"/>
              <w:rPr>
                <w:rFonts w:cs="Arial"/>
                <w:sz w:val="20"/>
                <w:szCs w:val="20"/>
              </w:rPr>
            </w:pPr>
            <w:r w:rsidRPr="00F32D92">
              <w:rPr>
                <w:rFonts w:cs="Arial"/>
                <w:sz w:val="20"/>
                <w:szCs w:val="20"/>
              </w:rPr>
              <w:t>125,028</w:t>
            </w:r>
          </w:p>
        </w:tc>
        <w:tc>
          <w:tcPr>
            <w:tcW w:w="2127" w:type="dxa"/>
            <w:vAlign w:val="center"/>
          </w:tcPr>
          <w:p w14:paraId="1B428FCD" w14:textId="77777777" w:rsidR="00AB6753" w:rsidRPr="00F32D92" w:rsidRDefault="00AB6753" w:rsidP="002D1EA4">
            <w:pPr>
              <w:spacing w:before="60" w:after="60" w:line="240" w:lineRule="auto"/>
              <w:rPr>
                <w:rFonts w:cs="Arial"/>
                <w:sz w:val="20"/>
                <w:szCs w:val="20"/>
              </w:rPr>
            </w:pPr>
            <w:r w:rsidRPr="00F32D92">
              <w:rPr>
                <w:rFonts w:cs="Arial"/>
                <w:sz w:val="20"/>
                <w:szCs w:val="20"/>
              </w:rPr>
              <w:t>160,000</w:t>
            </w:r>
          </w:p>
        </w:tc>
      </w:tr>
      <w:tr w:rsidR="00AB6753" w:rsidRPr="00F32D92" w14:paraId="63897B6B" w14:textId="77777777" w:rsidTr="002D1EA4">
        <w:trPr>
          <w:trHeight w:val="315"/>
        </w:trPr>
        <w:tc>
          <w:tcPr>
            <w:tcW w:w="988" w:type="dxa"/>
            <w:vAlign w:val="center"/>
            <w:hideMark/>
          </w:tcPr>
          <w:p w14:paraId="270D6931" w14:textId="77777777" w:rsidR="00AB6753" w:rsidRPr="00F32D92" w:rsidRDefault="00AB6753" w:rsidP="002D1EA4">
            <w:pPr>
              <w:spacing w:before="60" w:after="60" w:line="240" w:lineRule="auto"/>
              <w:rPr>
                <w:rFonts w:cs="Arial"/>
                <w:sz w:val="20"/>
                <w:szCs w:val="20"/>
              </w:rPr>
            </w:pPr>
            <w:r w:rsidRPr="00F32D92">
              <w:rPr>
                <w:rFonts w:cs="Arial"/>
                <w:sz w:val="20"/>
                <w:szCs w:val="20"/>
              </w:rPr>
              <w:t>EL 1</w:t>
            </w:r>
          </w:p>
        </w:tc>
        <w:tc>
          <w:tcPr>
            <w:tcW w:w="1847" w:type="dxa"/>
            <w:vAlign w:val="center"/>
          </w:tcPr>
          <w:p w14:paraId="488956CA" w14:textId="77777777" w:rsidR="00AB6753" w:rsidRPr="00F32D92" w:rsidRDefault="00AB6753" w:rsidP="002D1EA4">
            <w:pPr>
              <w:spacing w:before="60" w:after="60" w:line="240" w:lineRule="auto"/>
              <w:rPr>
                <w:rFonts w:cs="Arial"/>
                <w:sz w:val="20"/>
                <w:szCs w:val="20"/>
              </w:rPr>
            </w:pPr>
            <w:r w:rsidRPr="00F32D92">
              <w:rPr>
                <w:rFonts w:cs="Arial"/>
                <w:sz w:val="20"/>
                <w:szCs w:val="20"/>
              </w:rPr>
              <w:t>106,077</w:t>
            </w:r>
          </w:p>
        </w:tc>
        <w:tc>
          <w:tcPr>
            <w:tcW w:w="2127" w:type="dxa"/>
            <w:vAlign w:val="center"/>
          </w:tcPr>
          <w:p w14:paraId="57D362FD" w14:textId="77777777" w:rsidR="00AB6753" w:rsidRPr="00F32D92" w:rsidRDefault="00AB6753" w:rsidP="002D1EA4">
            <w:pPr>
              <w:spacing w:before="60" w:after="60" w:line="240" w:lineRule="auto"/>
              <w:rPr>
                <w:rFonts w:cs="Arial"/>
                <w:sz w:val="20"/>
                <w:szCs w:val="20"/>
              </w:rPr>
            </w:pPr>
            <w:r w:rsidRPr="00F32D92">
              <w:rPr>
                <w:rFonts w:cs="Arial"/>
                <w:sz w:val="20"/>
                <w:szCs w:val="20"/>
              </w:rPr>
              <w:t>132,955</w:t>
            </w:r>
          </w:p>
        </w:tc>
      </w:tr>
      <w:tr w:rsidR="00AB6753" w:rsidRPr="00F32D92" w14:paraId="00FF3E93" w14:textId="77777777" w:rsidTr="002D1EA4">
        <w:trPr>
          <w:trHeight w:val="315"/>
        </w:trPr>
        <w:tc>
          <w:tcPr>
            <w:tcW w:w="988" w:type="dxa"/>
            <w:vAlign w:val="center"/>
            <w:hideMark/>
          </w:tcPr>
          <w:p w14:paraId="2C50AD36" w14:textId="77777777" w:rsidR="00AB6753" w:rsidRPr="00F32D92" w:rsidRDefault="00AB6753" w:rsidP="002D1EA4">
            <w:pPr>
              <w:spacing w:before="60" w:after="60" w:line="240" w:lineRule="auto"/>
              <w:rPr>
                <w:rFonts w:cs="Arial"/>
                <w:sz w:val="20"/>
                <w:szCs w:val="20"/>
              </w:rPr>
            </w:pPr>
            <w:r w:rsidRPr="00F32D92">
              <w:rPr>
                <w:rFonts w:cs="Arial"/>
                <w:sz w:val="20"/>
                <w:szCs w:val="20"/>
              </w:rPr>
              <w:t>APS 6</w:t>
            </w:r>
          </w:p>
        </w:tc>
        <w:tc>
          <w:tcPr>
            <w:tcW w:w="1847" w:type="dxa"/>
            <w:vAlign w:val="center"/>
          </w:tcPr>
          <w:p w14:paraId="2E11B554" w14:textId="77777777" w:rsidR="00AB6753" w:rsidRPr="00F32D92" w:rsidRDefault="00AB6753" w:rsidP="002D1EA4">
            <w:pPr>
              <w:spacing w:before="60" w:after="60" w:line="240" w:lineRule="auto"/>
              <w:rPr>
                <w:rFonts w:cs="Arial"/>
                <w:sz w:val="20"/>
                <w:szCs w:val="20"/>
              </w:rPr>
            </w:pPr>
            <w:r w:rsidRPr="00F32D92">
              <w:rPr>
                <w:rFonts w:cs="Arial"/>
                <w:sz w:val="20"/>
                <w:szCs w:val="20"/>
              </w:rPr>
              <w:t>85,137</w:t>
            </w:r>
          </w:p>
        </w:tc>
        <w:tc>
          <w:tcPr>
            <w:tcW w:w="2127" w:type="dxa"/>
            <w:vAlign w:val="center"/>
          </w:tcPr>
          <w:p w14:paraId="786620A4" w14:textId="77777777" w:rsidR="00AB6753" w:rsidRPr="00F32D92" w:rsidRDefault="00AB6753" w:rsidP="002D1EA4">
            <w:pPr>
              <w:spacing w:before="60" w:after="60" w:line="240" w:lineRule="auto"/>
              <w:rPr>
                <w:rFonts w:cs="Arial"/>
                <w:sz w:val="20"/>
                <w:szCs w:val="20"/>
              </w:rPr>
            </w:pPr>
            <w:r w:rsidRPr="00F32D92">
              <w:rPr>
                <w:rFonts w:cs="Arial"/>
                <w:sz w:val="20"/>
                <w:szCs w:val="20"/>
              </w:rPr>
              <w:t>112,376</w:t>
            </w:r>
          </w:p>
        </w:tc>
      </w:tr>
      <w:tr w:rsidR="00AB6753" w:rsidRPr="00F32D92" w14:paraId="7B004E87" w14:textId="77777777" w:rsidTr="002D1EA4">
        <w:trPr>
          <w:trHeight w:val="315"/>
        </w:trPr>
        <w:tc>
          <w:tcPr>
            <w:tcW w:w="988" w:type="dxa"/>
            <w:vAlign w:val="center"/>
            <w:hideMark/>
          </w:tcPr>
          <w:p w14:paraId="5B103EC7" w14:textId="77777777" w:rsidR="00AB6753" w:rsidRPr="00F32D92" w:rsidRDefault="00AB6753" w:rsidP="002D1EA4">
            <w:pPr>
              <w:spacing w:before="60" w:after="60" w:line="240" w:lineRule="auto"/>
              <w:rPr>
                <w:rFonts w:cs="Arial"/>
                <w:sz w:val="20"/>
                <w:szCs w:val="20"/>
              </w:rPr>
            </w:pPr>
            <w:r w:rsidRPr="00F32D92">
              <w:rPr>
                <w:rFonts w:cs="Arial"/>
                <w:sz w:val="20"/>
                <w:szCs w:val="20"/>
              </w:rPr>
              <w:t>APS 5</w:t>
            </w:r>
          </w:p>
        </w:tc>
        <w:tc>
          <w:tcPr>
            <w:tcW w:w="1847" w:type="dxa"/>
            <w:vAlign w:val="center"/>
          </w:tcPr>
          <w:p w14:paraId="19454D09" w14:textId="77777777" w:rsidR="00AB6753" w:rsidRPr="00F32D92" w:rsidRDefault="00AB6753" w:rsidP="002D1EA4">
            <w:pPr>
              <w:spacing w:before="60" w:after="60" w:line="240" w:lineRule="auto"/>
              <w:rPr>
                <w:rFonts w:cs="Arial"/>
                <w:sz w:val="20"/>
                <w:szCs w:val="20"/>
              </w:rPr>
            </w:pPr>
            <w:r w:rsidRPr="00F32D92">
              <w:rPr>
                <w:rFonts w:cs="Arial"/>
                <w:sz w:val="20"/>
                <w:szCs w:val="20"/>
              </w:rPr>
              <w:t>77,728</w:t>
            </w:r>
          </w:p>
        </w:tc>
        <w:tc>
          <w:tcPr>
            <w:tcW w:w="2127" w:type="dxa"/>
            <w:vAlign w:val="center"/>
          </w:tcPr>
          <w:p w14:paraId="12A91110" w14:textId="77777777" w:rsidR="00AB6753" w:rsidRPr="00F32D92" w:rsidRDefault="00AB6753" w:rsidP="002D1EA4">
            <w:pPr>
              <w:spacing w:before="60" w:after="60" w:line="240" w:lineRule="auto"/>
              <w:rPr>
                <w:rFonts w:cs="Arial"/>
                <w:sz w:val="20"/>
                <w:szCs w:val="20"/>
              </w:rPr>
            </w:pPr>
            <w:r w:rsidRPr="00F32D92">
              <w:rPr>
                <w:rFonts w:cs="Arial"/>
                <w:sz w:val="20"/>
                <w:szCs w:val="20"/>
              </w:rPr>
              <w:t>84,215</w:t>
            </w:r>
          </w:p>
        </w:tc>
      </w:tr>
      <w:tr w:rsidR="00AB6753" w:rsidRPr="00F32D92" w14:paraId="5F3201B3" w14:textId="77777777" w:rsidTr="002D1EA4">
        <w:trPr>
          <w:trHeight w:val="315"/>
        </w:trPr>
        <w:tc>
          <w:tcPr>
            <w:tcW w:w="988" w:type="dxa"/>
            <w:vAlign w:val="center"/>
            <w:hideMark/>
          </w:tcPr>
          <w:p w14:paraId="55D18854" w14:textId="77777777" w:rsidR="00AB6753" w:rsidRPr="00F32D92" w:rsidRDefault="00AB6753" w:rsidP="002D1EA4">
            <w:pPr>
              <w:spacing w:before="60" w:after="60" w:line="240" w:lineRule="auto"/>
              <w:rPr>
                <w:rFonts w:cs="Arial"/>
                <w:sz w:val="20"/>
                <w:szCs w:val="20"/>
              </w:rPr>
            </w:pPr>
            <w:r w:rsidRPr="00F32D92">
              <w:rPr>
                <w:rFonts w:cs="Arial"/>
                <w:sz w:val="20"/>
                <w:szCs w:val="20"/>
              </w:rPr>
              <w:t>APS 4</w:t>
            </w:r>
          </w:p>
        </w:tc>
        <w:tc>
          <w:tcPr>
            <w:tcW w:w="1847" w:type="dxa"/>
            <w:vAlign w:val="center"/>
          </w:tcPr>
          <w:p w14:paraId="6267DEF2" w14:textId="77777777" w:rsidR="00AB6753" w:rsidRPr="00F32D92" w:rsidRDefault="00AB6753" w:rsidP="002D1EA4">
            <w:pPr>
              <w:spacing w:before="60" w:after="60" w:line="240" w:lineRule="auto"/>
              <w:rPr>
                <w:rFonts w:cs="Arial"/>
                <w:sz w:val="20"/>
                <w:szCs w:val="20"/>
              </w:rPr>
            </w:pPr>
            <w:r w:rsidRPr="00F32D92">
              <w:rPr>
                <w:rFonts w:cs="Arial"/>
                <w:sz w:val="20"/>
                <w:szCs w:val="20"/>
              </w:rPr>
              <w:t>70,775</w:t>
            </w:r>
          </w:p>
        </w:tc>
        <w:tc>
          <w:tcPr>
            <w:tcW w:w="2127" w:type="dxa"/>
            <w:vAlign w:val="center"/>
          </w:tcPr>
          <w:p w14:paraId="45E0E15A" w14:textId="77777777" w:rsidR="00AB6753" w:rsidRPr="00F32D92" w:rsidRDefault="00AB6753" w:rsidP="002D1EA4">
            <w:pPr>
              <w:spacing w:before="60" w:after="60" w:line="240" w:lineRule="auto"/>
              <w:rPr>
                <w:rFonts w:cs="Arial"/>
                <w:sz w:val="20"/>
                <w:szCs w:val="20"/>
              </w:rPr>
            </w:pPr>
            <w:r w:rsidRPr="00F32D92">
              <w:rPr>
                <w:rFonts w:cs="Arial"/>
                <w:sz w:val="20"/>
                <w:szCs w:val="20"/>
              </w:rPr>
              <w:t>76,589</w:t>
            </w:r>
          </w:p>
        </w:tc>
      </w:tr>
      <w:tr w:rsidR="00AB6753" w:rsidRPr="00F32D92" w14:paraId="622A26B9" w14:textId="77777777" w:rsidTr="002D1EA4">
        <w:trPr>
          <w:trHeight w:val="315"/>
        </w:trPr>
        <w:tc>
          <w:tcPr>
            <w:tcW w:w="988" w:type="dxa"/>
            <w:vAlign w:val="center"/>
          </w:tcPr>
          <w:p w14:paraId="1C781F39" w14:textId="77777777" w:rsidR="00AB6753" w:rsidRPr="00F32D92" w:rsidRDefault="00AB6753" w:rsidP="002D1EA4">
            <w:pPr>
              <w:spacing w:before="60" w:after="60" w:line="240" w:lineRule="auto"/>
              <w:rPr>
                <w:rFonts w:cs="Arial"/>
                <w:sz w:val="20"/>
                <w:szCs w:val="20"/>
              </w:rPr>
            </w:pPr>
            <w:r w:rsidRPr="00F32D92">
              <w:rPr>
                <w:rFonts w:cs="Arial"/>
                <w:sz w:val="20"/>
                <w:szCs w:val="20"/>
              </w:rPr>
              <w:t>APS 3</w:t>
            </w:r>
          </w:p>
        </w:tc>
        <w:tc>
          <w:tcPr>
            <w:tcW w:w="1847" w:type="dxa"/>
            <w:vAlign w:val="center"/>
          </w:tcPr>
          <w:p w14:paraId="47529676" w14:textId="77777777" w:rsidR="00AB6753" w:rsidRPr="00F32D92" w:rsidRDefault="00AB6753" w:rsidP="002D1EA4">
            <w:pPr>
              <w:spacing w:before="60" w:after="60" w:line="240" w:lineRule="auto"/>
              <w:rPr>
                <w:rFonts w:cs="Arial"/>
                <w:sz w:val="20"/>
                <w:szCs w:val="20"/>
              </w:rPr>
            </w:pPr>
            <w:r w:rsidRPr="00F32D92">
              <w:rPr>
                <w:rFonts w:cs="Arial"/>
                <w:sz w:val="20"/>
                <w:szCs w:val="20"/>
              </w:rPr>
              <w:t>50,836</w:t>
            </w:r>
          </w:p>
        </w:tc>
        <w:tc>
          <w:tcPr>
            <w:tcW w:w="2127" w:type="dxa"/>
            <w:vAlign w:val="center"/>
          </w:tcPr>
          <w:p w14:paraId="46631504" w14:textId="77777777" w:rsidR="00AB6753" w:rsidRPr="00F32D92" w:rsidRDefault="00AB6753" w:rsidP="002D1EA4">
            <w:pPr>
              <w:spacing w:before="60" w:after="60" w:line="240" w:lineRule="auto"/>
              <w:rPr>
                <w:rFonts w:cs="Arial"/>
                <w:sz w:val="20"/>
                <w:szCs w:val="20"/>
              </w:rPr>
            </w:pPr>
            <w:r w:rsidRPr="00F32D92">
              <w:rPr>
                <w:rFonts w:cs="Arial"/>
                <w:sz w:val="20"/>
                <w:szCs w:val="20"/>
              </w:rPr>
              <w:t>67,781</w:t>
            </w:r>
          </w:p>
        </w:tc>
      </w:tr>
      <w:tr w:rsidR="00AB6753" w:rsidRPr="00F32D92" w14:paraId="484801B3" w14:textId="77777777" w:rsidTr="002D1EA4">
        <w:trPr>
          <w:trHeight w:val="315"/>
        </w:trPr>
        <w:tc>
          <w:tcPr>
            <w:tcW w:w="988" w:type="dxa"/>
            <w:vAlign w:val="center"/>
          </w:tcPr>
          <w:p w14:paraId="061C731C" w14:textId="77777777" w:rsidR="00AB6753" w:rsidRPr="00F32D92" w:rsidRDefault="00AB6753" w:rsidP="002D1EA4">
            <w:pPr>
              <w:spacing w:before="60" w:after="60" w:line="240" w:lineRule="auto"/>
              <w:rPr>
                <w:rFonts w:cs="Arial"/>
                <w:sz w:val="20"/>
                <w:szCs w:val="20"/>
              </w:rPr>
            </w:pPr>
            <w:r w:rsidRPr="00F32D92">
              <w:rPr>
                <w:rFonts w:cs="Arial"/>
                <w:sz w:val="20"/>
                <w:szCs w:val="20"/>
              </w:rPr>
              <w:t>APS 2</w:t>
            </w:r>
          </w:p>
        </w:tc>
        <w:tc>
          <w:tcPr>
            <w:tcW w:w="1847" w:type="dxa"/>
            <w:vAlign w:val="center"/>
          </w:tcPr>
          <w:p w14:paraId="0C789BDE" w14:textId="77777777" w:rsidR="00AB6753" w:rsidRPr="00F32D92" w:rsidRDefault="00AB6753" w:rsidP="002D1EA4">
            <w:pPr>
              <w:spacing w:before="60" w:after="60" w:line="240" w:lineRule="auto"/>
              <w:rPr>
                <w:rFonts w:cs="Arial"/>
                <w:sz w:val="20"/>
                <w:szCs w:val="20"/>
              </w:rPr>
            </w:pPr>
            <w:r w:rsidRPr="00F32D92">
              <w:rPr>
                <w:rFonts w:cs="Arial"/>
                <w:sz w:val="20"/>
                <w:szCs w:val="20"/>
              </w:rPr>
              <w:t>60,151</w:t>
            </w:r>
          </w:p>
        </w:tc>
        <w:tc>
          <w:tcPr>
            <w:tcW w:w="2127" w:type="dxa"/>
            <w:vAlign w:val="center"/>
          </w:tcPr>
          <w:p w14:paraId="0A004AF3" w14:textId="77777777" w:rsidR="00AB6753" w:rsidRPr="00F32D92" w:rsidRDefault="00AB6753" w:rsidP="002D1EA4">
            <w:pPr>
              <w:spacing w:before="60" w:after="60" w:line="240" w:lineRule="auto"/>
              <w:rPr>
                <w:rFonts w:cs="Arial"/>
                <w:sz w:val="20"/>
                <w:szCs w:val="20"/>
              </w:rPr>
            </w:pPr>
            <w:r w:rsidRPr="00F32D92">
              <w:rPr>
                <w:rFonts w:cs="Arial"/>
                <w:sz w:val="20"/>
                <w:szCs w:val="20"/>
              </w:rPr>
              <w:t>60,151</w:t>
            </w:r>
          </w:p>
        </w:tc>
      </w:tr>
      <w:tr w:rsidR="00AB6753" w:rsidRPr="00F32D92" w14:paraId="37F8A1DC" w14:textId="77777777" w:rsidTr="002D1EA4">
        <w:trPr>
          <w:trHeight w:val="315"/>
        </w:trPr>
        <w:tc>
          <w:tcPr>
            <w:tcW w:w="988" w:type="dxa"/>
            <w:vAlign w:val="center"/>
          </w:tcPr>
          <w:p w14:paraId="0D761D6D" w14:textId="77777777" w:rsidR="00AB6753" w:rsidRPr="00F32D92" w:rsidRDefault="00AB6753" w:rsidP="002D1EA4">
            <w:pPr>
              <w:spacing w:before="60" w:after="60" w:line="240" w:lineRule="auto"/>
              <w:rPr>
                <w:rFonts w:cs="Arial"/>
                <w:sz w:val="20"/>
                <w:szCs w:val="20"/>
              </w:rPr>
            </w:pPr>
            <w:r w:rsidRPr="00F32D92">
              <w:rPr>
                <w:rFonts w:cs="Arial"/>
                <w:sz w:val="20"/>
                <w:szCs w:val="20"/>
              </w:rPr>
              <w:t>APS 1</w:t>
            </w:r>
          </w:p>
        </w:tc>
        <w:tc>
          <w:tcPr>
            <w:tcW w:w="1847" w:type="dxa"/>
            <w:vAlign w:val="center"/>
          </w:tcPr>
          <w:p w14:paraId="07539992" w14:textId="77777777" w:rsidR="00AB6753" w:rsidRPr="00F32D92" w:rsidRDefault="00AB6753" w:rsidP="002D1EA4">
            <w:pPr>
              <w:spacing w:before="60" w:after="60" w:line="240" w:lineRule="auto"/>
              <w:rPr>
                <w:rFonts w:cs="Arial"/>
                <w:sz w:val="20"/>
                <w:szCs w:val="20"/>
              </w:rPr>
            </w:pPr>
            <w:r w:rsidRPr="00F32D92">
              <w:rPr>
                <w:rFonts w:cs="Arial"/>
                <w:sz w:val="20"/>
                <w:szCs w:val="20"/>
              </w:rPr>
              <w:t>51,757</w:t>
            </w:r>
          </w:p>
        </w:tc>
        <w:tc>
          <w:tcPr>
            <w:tcW w:w="2127" w:type="dxa"/>
            <w:vAlign w:val="center"/>
          </w:tcPr>
          <w:p w14:paraId="2D3727A5" w14:textId="77777777" w:rsidR="00AB6753" w:rsidRPr="00F32D92" w:rsidRDefault="00AB6753" w:rsidP="002D1EA4">
            <w:pPr>
              <w:spacing w:before="60" w:after="60" w:line="240" w:lineRule="auto"/>
              <w:rPr>
                <w:rFonts w:cs="Arial"/>
                <w:sz w:val="20"/>
                <w:szCs w:val="20"/>
              </w:rPr>
            </w:pPr>
            <w:r w:rsidRPr="00F32D92">
              <w:rPr>
                <w:rFonts w:cs="Arial"/>
                <w:sz w:val="20"/>
                <w:szCs w:val="20"/>
              </w:rPr>
              <w:t>51,757</w:t>
            </w:r>
          </w:p>
        </w:tc>
      </w:tr>
      <w:tr w:rsidR="00AB6753" w:rsidRPr="00F32D92" w14:paraId="65A5CB8B" w14:textId="77777777" w:rsidTr="002D1EA4">
        <w:trPr>
          <w:trHeight w:val="315"/>
        </w:trPr>
        <w:tc>
          <w:tcPr>
            <w:tcW w:w="988" w:type="dxa"/>
            <w:vAlign w:val="center"/>
          </w:tcPr>
          <w:p w14:paraId="5866423F" w14:textId="77777777" w:rsidR="00AB6753" w:rsidRPr="00F32D92" w:rsidRDefault="00AB6753" w:rsidP="002D1EA4">
            <w:pPr>
              <w:spacing w:before="60" w:after="60" w:line="240" w:lineRule="auto"/>
              <w:rPr>
                <w:rFonts w:cs="Arial"/>
                <w:sz w:val="20"/>
                <w:szCs w:val="20"/>
              </w:rPr>
            </w:pPr>
            <w:r w:rsidRPr="00F32D92">
              <w:rPr>
                <w:rFonts w:cs="Arial"/>
                <w:sz w:val="20"/>
                <w:szCs w:val="20"/>
              </w:rPr>
              <w:t>Other</w:t>
            </w:r>
          </w:p>
        </w:tc>
        <w:tc>
          <w:tcPr>
            <w:tcW w:w="1847" w:type="dxa"/>
          </w:tcPr>
          <w:p w14:paraId="6608561B" w14:textId="77777777" w:rsidR="00AB6753" w:rsidRPr="00F32D92" w:rsidRDefault="00AB6753" w:rsidP="002D1EA4">
            <w:pPr>
              <w:spacing w:before="60" w:after="60" w:line="240" w:lineRule="auto"/>
              <w:rPr>
                <w:rFonts w:cs="Arial"/>
                <w:sz w:val="20"/>
                <w:szCs w:val="20"/>
              </w:rPr>
            </w:pPr>
            <w:r w:rsidRPr="00F32D92">
              <w:rPr>
                <w:rFonts w:cs="Arial"/>
                <w:sz w:val="20"/>
                <w:szCs w:val="20"/>
              </w:rPr>
              <w:t>-</w:t>
            </w:r>
          </w:p>
        </w:tc>
        <w:tc>
          <w:tcPr>
            <w:tcW w:w="2127" w:type="dxa"/>
          </w:tcPr>
          <w:p w14:paraId="68DC473D" w14:textId="77777777" w:rsidR="00AB6753" w:rsidRPr="00F32D92" w:rsidRDefault="00AB6753" w:rsidP="002D1EA4">
            <w:pPr>
              <w:spacing w:before="60" w:after="60" w:line="240" w:lineRule="auto"/>
              <w:rPr>
                <w:rFonts w:cs="Arial"/>
                <w:sz w:val="20"/>
                <w:szCs w:val="20"/>
              </w:rPr>
            </w:pPr>
            <w:r w:rsidRPr="00F32D92">
              <w:rPr>
                <w:rFonts w:cs="Arial"/>
                <w:sz w:val="20"/>
                <w:szCs w:val="20"/>
              </w:rPr>
              <w:t>-</w:t>
            </w:r>
          </w:p>
        </w:tc>
      </w:tr>
      <w:tr w:rsidR="00AB6753" w:rsidRPr="00F32D92" w14:paraId="51E9023E" w14:textId="77777777" w:rsidTr="002D1EA4">
        <w:trPr>
          <w:trHeight w:val="315"/>
        </w:trPr>
        <w:tc>
          <w:tcPr>
            <w:tcW w:w="988" w:type="dxa"/>
            <w:vAlign w:val="center"/>
          </w:tcPr>
          <w:p w14:paraId="247E9247" w14:textId="77777777" w:rsidR="00AB6753" w:rsidRPr="00F32D92" w:rsidRDefault="00AB6753" w:rsidP="002D1EA4">
            <w:pPr>
              <w:spacing w:before="60" w:after="60" w:line="240" w:lineRule="auto"/>
              <w:rPr>
                <w:rFonts w:cs="Arial"/>
                <w:sz w:val="20"/>
                <w:szCs w:val="20"/>
              </w:rPr>
            </w:pPr>
            <w:r w:rsidRPr="00F32D92">
              <w:rPr>
                <w:rFonts w:cs="Arial"/>
                <w:sz w:val="20"/>
                <w:szCs w:val="20"/>
              </w:rPr>
              <w:t>Total</w:t>
            </w:r>
          </w:p>
        </w:tc>
        <w:tc>
          <w:tcPr>
            <w:tcW w:w="1847" w:type="dxa"/>
          </w:tcPr>
          <w:p w14:paraId="26BE6E29" w14:textId="77777777" w:rsidR="00AB6753" w:rsidRPr="00F32D92" w:rsidRDefault="00AB6753" w:rsidP="002D1EA4">
            <w:pPr>
              <w:spacing w:before="60" w:after="60" w:line="240" w:lineRule="auto"/>
              <w:rPr>
                <w:rFonts w:cs="Arial"/>
                <w:sz w:val="20"/>
                <w:szCs w:val="20"/>
              </w:rPr>
            </w:pPr>
            <w:r w:rsidRPr="00F32D92">
              <w:rPr>
                <w:rFonts w:cs="Arial"/>
                <w:sz w:val="20"/>
                <w:szCs w:val="20"/>
              </w:rPr>
              <w:t>-</w:t>
            </w:r>
          </w:p>
        </w:tc>
        <w:tc>
          <w:tcPr>
            <w:tcW w:w="2127" w:type="dxa"/>
          </w:tcPr>
          <w:p w14:paraId="7294CF7E" w14:textId="77777777" w:rsidR="00AB6753" w:rsidRPr="00F32D92" w:rsidRDefault="00AB6753" w:rsidP="002D1EA4">
            <w:pPr>
              <w:spacing w:before="60" w:after="60" w:line="240" w:lineRule="auto"/>
              <w:rPr>
                <w:rFonts w:cs="Arial"/>
                <w:sz w:val="20"/>
                <w:szCs w:val="20"/>
              </w:rPr>
            </w:pPr>
            <w:r w:rsidRPr="00F32D92">
              <w:rPr>
                <w:rFonts w:cs="Arial"/>
                <w:sz w:val="20"/>
                <w:szCs w:val="20"/>
              </w:rPr>
              <w:t>-</w:t>
            </w:r>
          </w:p>
        </w:tc>
      </w:tr>
    </w:tbl>
    <w:p w14:paraId="7307ECE5" w14:textId="77777777" w:rsidR="00AB6753" w:rsidRDefault="00AB6753" w:rsidP="00AB6753"/>
    <w:p w14:paraId="12180E5F" w14:textId="77777777" w:rsidR="00AB6753" w:rsidRDefault="00AB6753" w:rsidP="00AB6753">
      <w:r>
        <w:br w:type="page"/>
      </w:r>
    </w:p>
    <w:p w14:paraId="3FEC0BAF" w14:textId="77777777" w:rsidR="00AB6753" w:rsidRPr="005A6B67" w:rsidRDefault="00AB6753" w:rsidP="00AB6753">
      <w:pPr>
        <w:rPr>
          <w:rFonts w:ascii="Arial Narrow" w:hAnsi="Arial Narrow" w:cs="Calibri"/>
          <w:b/>
          <w:sz w:val="20"/>
          <w:szCs w:val="20"/>
        </w:rPr>
      </w:pPr>
      <w:bookmarkStart w:id="305" w:name="_Toc5705980"/>
      <w:r>
        <w:rPr>
          <w:rFonts w:ascii="Arial Narrow" w:hAnsi="Arial Narrow" w:cs="Calibri"/>
          <w:b/>
          <w:sz w:val="20"/>
          <w:szCs w:val="20"/>
        </w:rPr>
        <w:lastRenderedPageBreak/>
        <w:t xml:space="preserve">Table F-21 </w:t>
      </w:r>
      <w:r w:rsidRPr="005A6B67">
        <w:rPr>
          <w:rFonts w:ascii="Arial Narrow" w:hAnsi="Arial Narrow" w:cs="Calibri"/>
          <w:b/>
          <w:sz w:val="20"/>
          <w:szCs w:val="20"/>
        </w:rPr>
        <w:t>17AG (4)(d)(iii) – (iv) — Australian Public Service Act Employment Performance Pay by classification level Current Report Period (2019–20)</w:t>
      </w:r>
      <w:bookmarkEnd w:id="305"/>
    </w:p>
    <w:tbl>
      <w:tblPr>
        <w:tblW w:w="9498" w:type="dxa"/>
        <w:tblInd w:w="-142"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auto"/>
        </w:tblBorders>
        <w:tblLook w:val="04A0" w:firstRow="1" w:lastRow="0" w:firstColumn="1" w:lastColumn="0" w:noHBand="0" w:noVBand="1"/>
        <w:tblCaption w:val="Table F-21 17AG (4)(d)(iii)–(iv) Australian Public Service Act Employment Performance Pay by classification level"/>
        <w:tblDescription w:val="Table 17AG (4)(d)(iii)–(iv) Australian Public Service Act Employment Performance Pay by classification level. Current Report Period (2019-20)"/>
      </w:tblPr>
      <w:tblGrid>
        <w:gridCol w:w="851"/>
        <w:gridCol w:w="1729"/>
        <w:gridCol w:w="1729"/>
        <w:gridCol w:w="1730"/>
        <w:gridCol w:w="1729"/>
        <w:gridCol w:w="1730"/>
      </w:tblGrid>
      <w:tr w:rsidR="00AB6753" w:rsidRPr="00F32D92" w14:paraId="0A5ACC08" w14:textId="77777777" w:rsidTr="002D1EA4">
        <w:trPr>
          <w:trHeight w:val="615"/>
          <w:tblHeader/>
        </w:trPr>
        <w:tc>
          <w:tcPr>
            <w:tcW w:w="851" w:type="dxa"/>
            <w:shd w:val="clear" w:color="auto" w:fill="BFBFBF" w:themeFill="background1" w:themeFillShade="BF"/>
            <w:noWrap/>
            <w:hideMark/>
          </w:tcPr>
          <w:p w14:paraId="5D8902C0" w14:textId="77777777" w:rsidR="00AB6753" w:rsidRPr="00F32D92" w:rsidRDefault="00AB6753" w:rsidP="002D1EA4">
            <w:pPr>
              <w:rPr>
                <w:rFonts w:cs="Arial"/>
                <w:sz w:val="20"/>
                <w:szCs w:val="20"/>
              </w:rPr>
            </w:pPr>
          </w:p>
        </w:tc>
        <w:tc>
          <w:tcPr>
            <w:tcW w:w="1729" w:type="dxa"/>
            <w:shd w:val="clear" w:color="auto" w:fill="BFBFBF" w:themeFill="background1" w:themeFillShade="BF"/>
          </w:tcPr>
          <w:p w14:paraId="6C3B7935" w14:textId="77777777" w:rsidR="00AB6753" w:rsidRPr="00F32D92" w:rsidRDefault="00AB6753" w:rsidP="002D1EA4">
            <w:pPr>
              <w:spacing w:after="0" w:line="240" w:lineRule="auto"/>
              <w:jc w:val="center"/>
              <w:rPr>
                <w:rFonts w:cs="Arial"/>
                <w:sz w:val="20"/>
                <w:szCs w:val="20"/>
              </w:rPr>
            </w:pPr>
            <w:r w:rsidRPr="00F32D92">
              <w:rPr>
                <w:rFonts w:cs="Arial"/>
                <w:sz w:val="20"/>
                <w:szCs w:val="20"/>
              </w:rPr>
              <w:t>Number of employees receiving performance pay</w:t>
            </w:r>
          </w:p>
        </w:tc>
        <w:tc>
          <w:tcPr>
            <w:tcW w:w="1729" w:type="dxa"/>
            <w:shd w:val="clear" w:color="auto" w:fill="BFBFBF" w:themeFill="background1" w:themeFillShade="BF"/>
          </w:tcPr>
          <w:p w14:paraId="40A5D0F4" w14:textId="77777777" w:rsidR="00AB6753" w:rsidRDefault="00AB6753" w:rsidP="002D1EA4">
            <w:pPr>
              <w:spacing w:after="0" w:line="240" w:lineRule="auto"/>
              <w:jc w:val="center"/>
              <w:rPr>
                <w:rFonts w:cs="Arial"/>
                <w:sz w:val="20"/>
                <w:szCs w:val="20"/>
              </w:rPr>
            </w:pPr>
            <w:r>
              <w:rPr>
                <w:rFonts w:cs="Arial"/>
                <w:sz w:val="20"/>
                <w:szCs w:val="20"/>
              </w:rPr>
              <w:t>$</w:t>
            </w:r>
          </w:p>
          <w:p w14:paraId="344DED4B" w14:textId="77777777" w:rsidR="00AB6753" w:rsidRPr="00F32D92" w:rsidRDefault="00AB6753" w:rsidP="002D1EA4">
            <w:pPr>
              <w:spacing w:after="0" w:line="240" w:lineRule="auto"/>
              <w:jc w:val="center"/>
              <w:rPr>
                <w:rFonts w:cs="Arial"/>
                <w:sz w:val="20"/>
                <w:szCs w:val="20"/>
              </w:rPr>
            </w:pPr>
            <w:r w:rsidRPr="00F32D92">
              <w:rPr>
                <w:rFonts w:cs="Arial"/>
                <w:sz w:val="20"/>
                <w:szCs w:val="20"/>
              </w:rPr>
              <w:t>Aggregated (sum total) of all payments made</w:t>
            </w:r>
          </w:p>
        </w:tc>
        <w:tc>
          <w:tcPr>
            <w:tcW w:w="1730" w:type="dxa"/>
            <w:shd w:val="clear" w:color="auto" w:fill="BFBFBF" w:themeFill="background1" w:themeFillShade="BF"/>
          </w:tcPr>
          <w:p w14:paraId="2C95291E" w14:textId="77777777" w:rsidR="00AB6753" w:rsidRDefault="00AB6753" w:rsidP="002D1EA4">
            <w:pPr>
              <w:spacing w:after="0" w:line="240" w:lineRule="auto"/>
              <w:jc w:val="center"/>
              <w:rPr>
                <w:rFonts w:cs="Arial"/>
                <w:sz w:val="20"/>
                <w:szCs w:val="20"/>
              </w:rPr>
            </w:pPr>
            <w:r>
              <w:rPr>
                <w:rFonts w:cs="Arial"/>
                <w:sz w:val="20"/>
                <w:szCs w:val="20"/>
              </w:rPr>
              <w:t>$</w:t>
            </w:r>
          </w:p>
          <w:p w14:paraId="715739B0" w14:textId="77777777" w:rsidR="00AB6753" w:rsidRPr="00F32D92" w:rsidRDefault="00AB6753" w:rsidP="002D1EA4">
            <w:pPr>
              <w:spacing w:after="0" w:line="240" w:lineRule="auto"/>
              <w:jc w:val="center"/>
              <w:rPr>
                <w:rFonts w:cs="Arial"/>
                <w:sz w:val="20"/>
                <w:szCs w:val="20"/>
              </w:rPr>
            </w:pPr>
            <w:r w:rsidRPr="00F32D92">
              <w:rPr>
                <w:rFonts w:cs="Arial"/>
                <w:sz w:val="20"/>
                <w:szCs w:val="20"/>
              </w:rPr>
              <w:t>Average of all payments made</w:t>
            </w:r>
          </w:p>
        </w:tc>
        <w:tc>
          <w:tcPr>
            <w:tcW w:w="1729" w:type="dxa"/>
            <w:shd w:val="clear" w:color="auto" w:fill="BFBFBF" w:themeFill="background1" w:themeFillShade="BF"/>
          </w:tcPr>
          <w:p w14:paraId="3A4D1451" w14:textId="77777777" w:rsidR="00AB6753" w:rsidRDefault="00AB6753" w:rsidP="002D1EA4">
            <w:pPr>
              <w:spacing w:after="0" w:line="240" w:lineRule="auto"/>
              <w:jc w:val="center"/>
              <w:rPr>
                <w:rFonts w:cs="Arial"/>
                <w:sz w:val="20"/>
                <w:szCs w:val="20"/>
              </w:rPr>
            </w:pPr>
            <w:r>
              <w:rPr>
                <w:rFonts w:cs="Arial"/>
                <w:sz w:val="20"/>
                <w:szCs w:val="20"/>
              </w:rPr>
              <w:t>$</w:t>
            </w:r>
          </w:p>
          <w:p w14:paraId="3A11392C" w14:textId="77777777" w:rsidR="00AB6753" w:rsidRPr="00F32D92" w:rsidRDefault="00AB6753" w:rsidP="002D1EA4">
            <w:pPr>
              <w:spacing w:after="0" w:line="240" w:lineRule="auto"/>
              <w:jc w:val="center"/>
              <w:rPr>
                <w:rFonts w:cs="Arial"/>
                <w:sz w:val="20"/>
                <w:szCs w:val="20"/>
              </w:rPr>
            </w:pPr>
            <w:r w:rsidRPr="00F32D92">
              <w:rPr>
                <w:rFonts w:cs="Arial"/>
                <w:sz w:val="20"/>
                <w:szCs w:val="20"/>
              </w:rPr>
              <w:t>Minimum payment made</w:t>
            </w:r>
          </w:p>
        </w:tc>
        <w:tc>
          <w:tcPr>
            <w:tcW w:w="1730" w:type="dxa"/>
            <w:shd w:val="clear" w:color="auto" w:fill="BFBFBF" w:themeFill="background1" w:themeFillShade="BF"/>
          </w:tcPr>
          <w:p w14:paraId="41CB2D58" w14:textId="77777777" w:rsidR="00AB6753" w:rsidRDefault="00AB6753" w:rsidP="002D1EA4">
            <w:pPr>
              <w:spacing w:after="0" w:line="240" w:lineRule="auto"/>
              <w:jc w:val="center"/>
              <w:rPr>
                <w:rFonts w:cs="Arial"/>
                <w:sz w:val="20"/>
                <w:szCs w:val="20"/>
              </w:rPr>
            </w:pPr>
            <w:r>
              <w:rPr>
                <w:rFonts w:cs="Arial"/>
                <w:sz w:val="20"/>
                <w:szCs w:val="20"/>
              </w:rPr>
              <w:t>$</w:t>
            </w:r>
          </w:p>
          <w:p w14:paraId="2A975313" w14:textId="77777777" w:rsidR="00AB6753" w:rsidRPr="00F32D92" w:rsidRDefault="00AB6753" w:rsidP="002D1EA4">
            <w:pPr>
              <w:spacing w:after="0" w:line="240" w:lineRule="auto"/>
              <w:jc w:val="center"/>
              <w:rPr>
                <w:rFonts w:cs="Arial"/>
                <w:sz w:val="20"/>
                <w:szCs w:val="20"/>
              </w:rPr>
            </w:pPr>
            <w:r w:rsidRPr="00F32D92">
              <w:rPr>
                <w:rFonts w:cs="Arial"/>
                <w:sz w:val="20"/>
                <w:szCs w:val="20"/>
              </w:rPr>
              <w:t>Maximum payment made</w:t>
            </w:r>
          </w:p>
        </w:tc>
      </w:tr>
      <w:tr w:rsidR="00AB6753" w:rsidRPr="00F32D92" w14:paraId="61610F10" w14:textId="77777777" w:rsidTr="002D1EA4">
        <w:trPr>
          <w:trHeight w:val="315"/>
        </w:trPr>
        <w:tc>
          <w:tcPr>
            <w:tcW w:w="851" w:type="dxa"/>
            <w:vAlign w:val="center"/>
            <w:hideMark/>
          </w:tcPr>
          <w:p w14:paraId="5852175C" w14:textId="77777777" w:rsidR="00AB6753" w:rsidRPr="00F32D92" w:rsidRDefault="00AB6753" w:rsidP="002D1EA4">
            <w:pPr>
              <w:rPr>
                <w:rFonts w:cs="Arial"/>
                <w:sz w:val="20"/>
                <w:szCs w:val="20"/>
              </w:rPr>
            </w:pPr>
            <w:r w:rsidRPr="00F32D92">
              <w:rPr>
                <w:rFonts w:cs="Arial"/>
                <w:sz w:val="20"/>
                <w:szCs w:val="20"/>
              </w:rPr>
              <w:t>SES 3</w:t>
            </w:r>
          </w:p>
        </w:tc>
        <w:tc>
          <w:tcPr>
            <w:tcW w:w="1729" w:type="dxa"/>
          </w:tcPr>
          <w:p w14:paraId="6057170F" w14:textId="77777777" w:rsidR="00AB6753" w:rsidRPr="00F32D92" w:rsidRDefault="00AB6753" w:rsidP="002D1EA4">
            <w:pPr>
              <w:rPr>
                <w:rFonts w:cs="Arial"/>
                <w:sz w:val="20"/>
                <w:szCs w:val="20"/>
              </w:rPr>
            </w:pPr>
            <w:r>
              <w:rPr>
                <w:rFonts w:cs="Arial"/>
                <w:sz w:val="20"/>
                <w:szCs w:val="20"/>
              </w:rPr>
              <w:t>0</w:t>
            </w:r>
          </w:p>
        </w:tc>
        <w:tc>
          <w:tcPr>
            <w:tcW w:w="1729" w:type="dxa"/>
          </w:tcPr>
          <w:p w14:paraId="081C9735" w14:textId="77777777" w:rsidR="00AB6753" w:rsidRPr="00F32D92" w:rsidRDefault="00AB6753" w:rsidP="002D1EA4">
            <w:pPr>
              <w:rPr>
                <w:rFonts w:cs="Arial"/>
                <w:sz w:val="20"/>
                <w:szCs w:val="20"/>
              </w:rPr>
            </w:pPr>
            <w:r>
              <w:rPr>
                <w:rFonts w:cs="Arial"/>
                <w:sz w:val="20"/>
                <w:szCs w:val="20"/>
              </w:rPr>
              <w:t>0</w:t>
            </w:r>
          </w:p>
        </w:tc>
        <w:tc>
          <w:tcPr>
            <w:tcW w:w="1730" w:type="dxa"/>
          </w:tcPr>
          <w:p w14:paraId="4BE1904A" w14:textId="77777777" w:rsidR="00AB6753" w:rsidRPr="00F32D92" w:rsidRDefault="00AB6753" w:rsidP="002D1EA4">
            <w:pPr>
              <w:rPr>
                <w:rFonts w:cs="Arial"/>
                <w:sz w:val="20"/>
                <w:szCs w:val="20"/>
              </w:rPr>
            </w:pPr>
            <w:r>
              <w:rPr>
                <w:rFonts w:cs="Arial"/>
                <w:sz w:val="20"/>
                <w:szCs w:val="20"/>
              </w:rPr>
              <w:t>0</w:t>
            </w:r>
          </w:p>
        </w:tc>
        <w:tc>
          <w:tcPr>
            <w:tcW w:w="1729" w:type="dxa"/>
          </w:tcPr>
          <w:p w14:paraId="27693E07" w14:textId="77777777" w:rsidR="00AB6753" w:rsidRPr="00F32D92" w:rsidRDefault="00AB6753" w:rsidP="002D1EA4">
            <w:pPr>
              <w:rPr>
                <w:rFonts w:cs="Arial"/>
                <w:sz w:val="20"/>
                <w:szCs w:val="20"/>
              </w:rPr>
            </w:pPr>
            <w:r>
              <w:rPr>
                <w:rFonts w:cs="Arial"/>
                <w:sz w:val="20"/>
                <w:szCs w:val="20"/>
              </w:rPr>
              <w:t>0</w:t>
            </w:r>
          </w:p>
        </w:tc>
        <w:tc>
          <w:tcPr>
            <w:tcW w:w="1730" w:type="dxa"/>
          </w:tcPr>
          <w:p w14:paraId="0B7D4F8A" w14:textId="77777777" w:rsidR="00AB6753" w:rsidRPr="00F32D92" w:rsidRDefault="00AB6753" w:rsidP="002D1EA4">
            <w:pPr>
              <w:rPr>
                <w:rFonts w:cs="Arial"/>
                <w:sz w:val="20"/>
                <w:szCs w:val="20"/>
              </w:rPr>
            </w:pPr>
            <w:r>
              <w:rPr>
                <w:rFonts w:cs="Arial"/>
                <w:sz w:val="20"/>
                <w:szCs w:val="20"/>
              </w:rPr>
              <w:t>0</w:t>
            </w:r>
          </w:p>
        </w:tc>
      </w:tr>
      <w:tr w:rsidR="00AB6753" w:rsidRPr="00F32D92" w14:paraId="222C027B" w14:textId="77777777" w:rsidTr="002D1EA4">
        <w:trPr>
          <w:trHeight w:val="315"/>
        </w:trPr>
        <w:tc>
          <w:tcPr>
            <w:tcW w:w="851" w:type="dxa"/>
            <w:vAlign w:val="center"/>
            <w:hideMark/>
          </w:tcPr>
          <w:p w14:paraId="638BBFE9" w14:textId="77777777" w:rsidR="00AB6753" w:rsidRPr="00F32D92" w:rsidRDefault="00AB6753" w:rsidP="002D1EA4">
            <w:pPr>
              <w:rPr>
                <w:rFonts w:cs="Arial"/>
                <w:sz w:val="20"/>
                <w:szCs w:val="20"/>
              </w:rPr>
            </w:pPr>
            <w:r w:rsidRPr="00F32D92">
              <w:rPr>
                <w:rFonts w:cs="Arial"/>
                <w:sz w:val="20"/>
                <w:szCs w:val="20"/>
              </w:rPr>
              <w:t>SES 2</w:t>
            </w:r>
          </w:p>
        </w:tc>
        <w:tc>
          <w:tcPr>
            <w:tcW w:w="1729" w:type="dxa"/>
          </w:tcPr>
          <w:p w14:paraId="034E4B74" w14:textId="77777777" w:rsidR="00AB6753" w:rsidRPr="00F32D92" w:rsidRDefault="00AB6753" w:rsidP="002D1EA4">
            <w:pPr>
              <w:rPr>
                <w:rFonts w:cs="Arial"/>
                <w:sz w:val="20"/>
                <w:szCs w:val="20"/>
              </w:rPr>
            </w:pPr>
            <w:r>
              <w:rPr>
                <w:rFonts w:cs="Arial"/>
                <w:sz w:val="20"/>
                <w:szCs w:val="20"/>
              </w:rPr>
              <w:t>0</w:t>
            </w:r>
          </w:p>
        </w:tc>
        <w:tc>
          <w:tcPr>
            <w:tcW w:w="1729" w:type="dxa"/>
          </w:tcPr>
          <w:p w14:paraId="6DB153A4" w14:textId="77777777" w:rsidR="00AB6753" w:rsidRPr="00F32D92" w:rsidRDefault="00AB6753" w:rsidP="002D1EA4">
            <w:pPr>
              <w:rPr>
                <w:rFonts w:cs="Arial"/>
                <w:sz w:val="20"/>
                <w:szCs w:val="20"/>
              </w:rPr>
            </w:pPr>
            <w:r>
              <w:rPr>
                <w:rFonts w:cs="Arial"/>
                <w:sz w:val="20"/>
                <w:szCs w:val="20"/>
              </w:rPr>
              <w:t>0</w:t>
            </w:r>
          </w:p>
        </w:tc>
        <w:tc>
          <w:tcPr>
            <w:tcW w:w="1730" w:type="dxa"/>
          </w:tcPr>
          <w:p w14:paraId="46E2A4C1" w14:textId="77777777" w:rsidR="00AB6753" w:rsidRPr="00F32D92" w:rsidRDefault="00AB6753" w:rsidP="002D1EA4">
            <w:pPr>
              <w:rPr>
                <w:rFonts w:cs="Arial"/>
                <w:sz w:val="20"/>
                <w:szCs w:val="20"/>
              </w:rPr>
            </w:pPr>
            <w:r>
              <w:rPr>
                <w:rFonts w:cs="Arial"/>
                <w:sz w:val="20"/>
                <w:szCs w:val="20"/>
              </w:rPr>
              <w:t>0</w:t>
            </w:r>
          </w:p>
        </w:tc>
        <w:tc>
          <w:tcPr>
            <w:tcW w:w="1729" w:type="dxa"/>
          </w:tcPr>
          <w:p w14:paraId="7FD75959" w14:textId="77777777" w:rsidR="00AB6753" w:rsidRPr="00F32D92" w:rsidRDefault="00AB6753" w:rsidP="002D1EA4">
            <w:pPr>
              <w:rPr>
                <w:rFonts w:cs="Arial"/>
                <w:sz w:val="20"/>
                <w:szCs w:val="20"/>
              </w:rPr>
            </w:pPr>
            <w:r>
              <w:rPr>
                <w:rFonts w:cs="Arial"/>
                <w:sz w:val="20"/>
                <w:szCs w:val="20"/>
              </w:rPr>
              <w:t>0</w:t>
            </w:r>
          </w:p>
        </w:tc>
        <w:tc>
          <w:tcPr>
            <w:tcW w:w="1730" w:type="dxa"/>
          </w:tcPr>
          <w:p w14:paraId="038BB85A" w14:textId="77777777" w:rsidR="00AB6753" w:rsidRPr="00F32D92" w:rsidRDefault="00AB6753" w:rsidP="002D1EA4">
            <w:pPr>
              <w:rPr>
                <w:rFonts w:cs="Arial"/>
                <w:sz w:val="20"/>
                <w:szCs w:val="20"/>
              </w:rPr>
            </w:pPr>
            <w:r>
              <w:rPr>
                <w:rFonts w:cs="Arial"/>
                <w:sz w:val="20"/>
                <w:szCs w:val="20"/>
              </w:rPr>
              <w:t>0</w:t>
            </w:r>
          </w:p>
        </w:tc>
      </w:tr>
      <w:tr w:rsidR="00AB6753" w:rsidRPr="00F32D92" w14:paraId="176B225D" w14:textId="77777777" w:rsidTr="002D1EA4">
        <w:trPr>
          <w:trHeight w:val="315"/>
        </w:trPr>
        <w:tc>
          <w:tcPr>
            <w:tcW w:w="851" w:type="dxa"/>
            <w:vAlign w:val="center"/>
            <w:hideMark/>
          </w:tcPr>
          <w:p w14:paraId="0D67DB7D" w14:textId="77777777" w:rsidR="00AB6753" w:rsidRPr="00F32D92" w:rsidRDefault="00AB6753" w:rsidP="002D1EA4">
            <w:pPr>
              <w:rPr>
                <w:rFonts w:cs="Arial"/>
                <w:sz w:val="20"/>
                <w:szCs w:val="20"/>
              </w:rPr>
            </w:pPr>
            <w:r w:rsidRPr="00F32D92">
              <w:rPr>
                <w:rFonts w:cs="Arial"/>
                <w:sz w:val="20"/>
                <w:szCs w:val="20"/>
              </w:rPr>
              <w:t>SES 1</w:t>
            </w:r>
          </w:p>
        </w:tc>
        <w:tc>
          <w:tcPr>
            <w:tcW w:w="1729" w:type="dxa"/>
          </w:tcPr>
          <w:p w14:paraId="645C03BA" w14:textId="77777777" w:rsidR="00AB6753" w:rsidRPr="00F32D92" w:rsidRDefault="00AB6753" w:rsidP="002D1EA4">
            <w:pPr>
              <w:rPr>
                <w:rFonts w:cs="Arial"/>
                <w:sz w:val="20"/>
                <w:szCs w:val="20"/>
              </w:rPr>
            </w:pPr>
            <w:r>
              <w:rPr>
                <w:rFonts w:cs="Arial"/>
                <w:sz w:val="20"/>
                <w:szCs w:val="20"/>
              </w:rPr>
              <w:t>0</w:t>
            </w:r>
          </w:p>
        </w:tc>
        <w:tc>
          <w:tcPr>
            <w:tcW w:w="1729" w:type="dxa"/>
          </w:tcPr>
          <w:p w14:paraId="3907F50D" w14:textId="77777777" w:rsidR="00AB6753" w:rsidRPr="00F32D92" w:rsidRDefault="00AB6753" w:rsidP="002D1EA4">
            <w:pPr>
              <w:rPr>
                <w:rFonts w:cs="Arial"/>
                <w:sz w:val="20"/>
                <w:szCs w:val="20"/>
              </w:rPr>
            </w:pPr>
            <w:r>
              <w:rPr>
                <w:rFonts w:cs="Arial"/>
                <w:sz w:val="20"/>
                <w:szCs w:val="20"/>
              </w:rPr>
              <w:t>0</w:t>
            </w:r>
          </w:p>
        </w:tc>
        <w:tc>
          <w:tcPr>
            <w:tcW w:w="1730" w:type="dxa"/>
          </w:tcPr>
          <w:p w14:paraId="0150BE95" w14:textId="77777777" w:rsidR="00AB6753" w:rsidRPr="00F32D92" w:rsidRDefault="00AB6753" w:rsidP="002D1EA4">
            <w:pPr>
              <w:rPr>
                <w:rFonts w:cs="Arial"/>
                <w:sz w:val="20"/>
                <w:szCs w:val="20"/>
              </w:rPr>
            </w:pPr>
            <w:r>
              <w:rPr>
                <w:rFonts w:cs="Arial"/>
                <w:sz w:val="20"/>
                <w:szCs w:val="20"/>
              </w:rPr>
              <w:t>0</w:t>
            </w:r>
          </w:p>
        </w:tc>
        <w:tc>
          <w:tcPr>
            <w:tcW w:w="1729" w:type="dxa"/>
          </w:tcPr>
          <w:p w14:paraId="11ABF8DA" w14:textId="77777777" w:rsidR="00AB6753" w:rsidRPr="00F32D92" w:rsidRDefault="00AB6753" w:rsidP="002D1EA4">
            <w:pPr>
              <w:rPr>
                <w:rFonts w:cs="Arial"/>
                <w:sz w:val="20"/>
                <w:szCs w:val="20"/>
              </w:rPr>
            </w:pPr>
            <w:r>
              <w:rPr>
                <w:rFonts w:cs="Arial"/>
                <w:sz w:val="20"/>
                <w:szCs w:val="20"/>
              </w:rPr>
              <w:t>0</w:t>
            </w:r>
          </w:p>
        </w:tc>
        <w:tc>
          <w:tcPr>
            <w:tcW w:w="1730" w:type="dxa"/>
          </w:tcPr>
          <w:p w14:paraId="0D7688CF" w14:textId="77777777" w:rsidR="00AB6753" w:rsidRPr="00F32D92" w:rsidRDefault="00AB6753" w:rsidP="002D1EA4">
            <w:pPr>
              <w:rPr>
                <w:rFonts w:cs="Arial"/>
                <w:sz w:val="20"/>
                <w:szCs w:val="20"/>
              </w:rPr>
            </w:pPr>
            <w:r>
              <w:rPr>
                <w:rFonts w:cs="Arial"/>
                <w:sz w:val="20"/>
                <w:szCs w:val="20"/>
              </w:rPr>
              <w:t>0</w:t>
            </w:r>
          </w:p>
        </w:tc>
      </w:tr>
      <w:tr w:rsidR="00AB6753" w:rsidRPr="00F32D92" w14:paraId="7AD61977" w14:textId="77777777" w:rsidTr="002D1EA4">
        <w:trPr>
          <w:trHeight w:val="315"/>
        </w:trPr>
        <w:tc>
          <w:tcPr>
            <w:tcW w:w="851" w:type="dxa"/>
            <w:vAlign w:val="center"/>
            <w:hideMark/>
          </w:tcPr>
          <w:p w14:paraId="04120B9D" w14:textId="77777777" w:rsidR="00AB6753" w:rsidRPr="00F32D92" w:rsidRDefault="00AB6753" w:rsidP="002D1EA4">
            <w:pPr>
              <w:rPr>
                <w:rFonts w:cs="Arial"/>
                <w:sz w:val="20"/>
                <w:szCs w:val="20"/>
              </w:rPr>
            </w:pPr>
            <w:r w:rsidRPr="00F32D92">
              <w:rPr>
                <w:rFonts w:cs="Arial"/>
                <w:sz w:val="20"/>
                <w:szCs w:val="20"/>
              </w:rPr>
              <w:t>EL 2</w:t>
            </w:r>
          </w:p>
        </w:tc>
        <w:tc>
          <w:tcPr>
            <w:tcW w:w="1729" w:type="dxa"/>
          </w:tcPr>
          <w:p w14:paraId="43543C3F" w14:textId="77777777" w:rsidR="00AB6753" w:rsidRPr="00F32D92" w:rsidRDefault="00AB6753" w:rsidP="002D1EA4">
            <w:pPr>
              <w:rPr>
                <w:rFonts w:cs="Arial"/>
                <w:sz w:val="20"/>
                <w:szCs w:val="20"/>
              </w:rPr>
            </w:pPr>
            <w:r>
              <w:rPr>
                <w:rFonts w:cs="Arial"/>
                <w:sz w:val="20"/>
                <w:szCs w:val="20"/>
              </w:rPr>
              <w:t>0</w:t>
            </w:r>
          </w:p>
        </w:tc>
        <w:tc>
          <w:tcPr>
            <w:tcW w:w="1729" w:type="dxa"/>
          </w:tcPr>
          <w:p w14:paraId="1198138B" w14:textId="77777777" w:rsidR="00AB6753" w:rsidRPr="00F32D92" w:rsidRDefault="00AB6753" w:rsidP="002D1EA4">
            <w:pPr>
              <w:rPr>
                <w:rFonts w:cs="Arial"/>
                <w:sz w:val="20"/>
                <w:szCs w:val="20"/>
              </w:rPr>
            </w:pPr>
            <w:r>
              <w:rPr>
                <w:rFonts w:cs="Arial"/>
                <w:sz w:val="20"/>
                <w:szCs w:val="20"/>
              </w:rPr>
              <w:t>0</w:t>
            </w:r>
          </w:p>
        </w:tc>
        <w:tc>
          <w:tcPr>
            <w:tcW w:w="1730" w:type="dxa"/>
          </w:tcPr>
          <w:p w14:paraId="123284C7" w14:textId="77777777" w:rsidR="00AB6753" w:rsidRPr="00F32D92" w:rsidRDefault="00AB6753" w:rsidP="002D1EA4">
            <w:pPr>
              <w:rPr>
                <w:rFonts w:cs="Arial"/>
                <w:sz w:val="20"/>
                <w:szCs w:val="20"/>
              </w:rPr>
            </w:pPr>
            <w:r>
              <w:rPr>
                <w:rFonts w:cs="Arial"/>
                <w:sz w:val="20"/>
                <w:szCs w:val="20"/>
              </w:rPr>
              <w:t>0</w:t>
            </w:r>
          </w:p>
        </w:tc>
        <w:tc>
          <w:tcPr>
            <w:tcW w:w="1729" w:type="dxa"/>
          </w:tcPr>
          <w:p w14:paraId="371C927F" w14:textId="77777777" w:rsidR="00AB6753" w:rsidRPr="00F32D92" w:rsidRDefault="00AB6753" w:rsidP="002D1EA4">
            <w:pPr>
              <w:rPr>
                <w:rFonts w:cs="Arial"/>
                <w:sz w:val="20"/>
                <w:szCs w:val="20"/>
              </w:rPr>
            </w:pPr>
            <w:r>
              <w:rPr>
                <w:rFonts w:cs="Arial"/>
                <w:sz w:val="20"/>
                <w:szCs w:val="20"/>
              </w:rPr>
              <w:t>0</w:t>
            </w:r>
          </w:p>
        </w:tc>
        <w:tc>
          <w:tcPr>
            <w:tcW w:w="1730" w:type="dxa"/>
          </w:tcPr>
          <w:p w14:paraId="5E2CE18F" w14:textId="77777777" w:rsidR="00AB6753" w:rsidRPr="00F32D92" w:rsidRDefault="00AB6753" w:rsidP="002D1EA4">
            <w:pPr>
              <w:rPr>
                <w:rFonts w:cs="Arial"/>
                <w:sz w:val="20"/>
                <w:szCs w:val="20"/>
              </w:rPr>
            </w:pPr>
            <w:r>
              <w:rPr>
                <w:rFonts w:cs="Arial"/>
                <w:sz w:val="20"/>
                <w:szCs w:val="20"/>
              </w:rPr>
              <w:t>0</w:t>
            </w:r>
          </w:p>
        </w:tc>
      </w:tr>
      <w:tr w:rsidR="00AB6753" w:rsidRPr="00F32D92" w14:paraId="2A32EAB0" w14:textId="77777777" w:rsidTr="002D1EA4">
        <w:trPr>
          <w:trHeight w:val="315"/>
        </w:trPr>
        <w:tc>
          <w:tcPr>
            <w:tcW w:w="851" w:type="dxa"/>
            <w:vAlign w:val="center"/>
            <w:hideMark/>
          </w:tcPr>
          <w:p w14:paraId="029BE75D" w14:textId="77777777" w:rsidR="00AB6753" w:rsidRPr="00F32D92" w:rsidRDefault="00AB6753" w:rsidP="002D1EA4">
            <w:pPr>
              <w:rPr>
                <w:rFonts w:cs="Arial"/>
                <w:sz w:val="20"/>
                <w:szCs w:val="20"/>
              </w:rPr>
            </w:pPr>
            <w:r w:rsidRPr="00F32D92">
              <w:rPr>
                <w:rFonts w:cs="Arial"/>
                <w:sz w:val="20"/>
                <w:szCs w:val="20"/>
              </w:rPr>
              <w:t>EL 1</w:t>
            </w:r>
          </w:p>
        </w:tc>
        <w:tc>
          <w:tcPr>
            <w:tcW w:w="1729" w:type="dxa"/>
          </w:tcPr>
          <w:p w14:paraId="32079B73" w14:textId="77777777" w:rsidR="00AB6753" w:rsidRPr="00F32D92" w:rsidRDefault="00AB6753" w:rsidP="002D1EA4">
            <w:pPr>
              <w:rPr>
                <w:rFonts w:cs="Arial"/>
                <w:sz w:val="20"/>
                <w:szCs w:val="20"/>
              </w:rPr>
            </w:pPr>
            <w:r>
              <w:rPr>
                <w:rFonts w:cs="Arial"/>
                <w:sz w:val="20"/>
                <w:szCs w:val="20"/>
              </w:rPr>
              <w:t>0</w:t>
            </w:r>
          </w:p>
        </w:tc>
        <w:tc>
          <w:tcPr>
            <w:tcW w:w="1729" w:type="dxa"/>
          </w:tcPr>
          <w:p w14:paraId="68E35B40" w14:textId="77777777" w:rsidR="00AB6753" w:rsidRPr="00F32D92" w:rsidRDefault="00AB6753" w:rsidP="002D1EA4">
            <w:pPr>
              <w:rPr>
                <w:rFonts w:cs="Arial"/>
                <w:sz w:val="20"/>
                <w:szCs w:val="20"/>
              </w:rPr>
            </w:pPr>
            <w:r>
              <w:rPr>
                <w:rFonts w:cs="Arial"/>
                <w:sz w:val="20"/>
                <w:szCs w:val="20"/>
              </w:rPr>
              <w:t>0</w:t>
            </w:r>
          </w:p>
        </w:tc>
        <w:tc>
          <w:tcPr>
            <w:tcW w:w="1730" w:type="dxa"/>
          </w:tcPr>
          <w:p w14:paraId="75309A3C" w14:textId="77777777" w:rsidR="00AB6753" w:rsidRPr="00F32D92" w:rsidRDefault="00AB6753" w:rsidP="002D1EA4">
            <w:pPr>
              <w:rPr>
                <w:rFonts w:cs="Arial"/>
                <w:sz w:val="20"/>
                <w:szCs w:val="20"/>
              </w:rPr>
            </w:pPr>
            <w:r>
              <w:rPr>
                <w:rFonts w:cs="Arial"/>
                <w:sz w:val="20"/>
                <w:szCs w:val="20"/>
              </w:rPr>
              <w:t>0</w:t>
            </w:r>
          </w:p>
        </w:tc>
        <w:tc>
          <w:tcPr>
            <w:tcW w:w="1729" w:type="dxa"/>
          </w:tcPr>
          <w:p w14:paraId="6499F6E4" w14:textId="77777777" w:rsidR="00AB6753" w:rsidRPr="00F32D92" w:rsidRDefault="00AB6753" w:rsidP="002D1EA4">
            <w:pPr>
              <w:rPr>
                <w:rFonts w:cs="Arial"/>
                <w:sz w:val="20"/>
                <w:szCs w:val="20"/>
              </w:rPr>
            </w:pPr>
            <w:r>
              <w:rPr>
                <w:rFonts w:cs="Arial"/>
                <w:sz w:val="20"/>
                <w:szCs w:val="20"/>
              </w:rPr>
              <w:t>0</w:t>
            </w:r>
          </w:p>
        </w:tc>
        <w:tc>
          <w:tcPr>
            <w:tcW w:w="1730" w:type="dxa"/>
          </w:tcPr>
          <w:p w14:paraId="01A175DA" w14:textId="77777777" w:rsidR="00AB6753" w:rsidRPr="00F32D92" w:rsidRDefault="00AB6753" w:rsidP="002D1EA4">
            <w:pPr>
              <w:rPr>
                <w:rFonts w:cs="Arial"/>
                <w:sz w:val="20"/>
                <w:szCs w:val="20"/>
              </w:rPr>
            </w:pPr>
            <w:r>
              <w:rPr>
                <w:rFonts w:cs="Arial"/>
                <w:sz w:val="20"/>
                <w:szCs w:val="20"/>
              </w:rPr>
              <w:t>0</w:t>
            </w:r>
          </w:p>
        </w:tc>
      </w:tr>
      <w:tr w:rsidR="00AB6753" w:rsidRPr="00F32D92" w14:paraId="6BC47009" w14:textId="77777777" w:rsidTr="002D1EA4">
        <w:trPr>
          <w:trHeight w:val="315"/>
        </w:trPr>
        <w:tc>
          <w:tcPr>
            <w:tcW w:w="851" w:type="dxa"/>
            <w:vAlign w:val="center"/>
            <w:hideMark/>
          </w:tcPr>
          <w:p w14:paraId="7E622825" w14:textId="77777777" w:rsidR="00AB6753" w:rsidRPr="00F32D92" w:rsidRDefault="00AB6753" w:rsidP="002D1EA4">
            <w:pPr>
              <w:rPr>
                <w:rFonts w:cs="Arial"/>
                <w:sz w:val="20"/>
                <w:szCs w:val="20"/>
              </w:rPr>
            </w:pPr>
            <w:r w:rsidRPr="00F32D92">
              <w:rPr>
                <w:rFonts w:cs="Arial"/>
                <w:sz w:val="20"/>
                <w:szCs w:val="20"/>
              </w:rPr>
              <w:t>APS 6</w:t>
            </w:r>
          </w:p>
        </w:tc>
        <w:tc>
          <w:tcPr>
            <w:tcW w:w="1729" w:type="dxa"/>
          </w:tcPr>
          <w:p w14:paraId="16AB005A" w14:textId="77777777" w:rsidR="00AB6753" w:rsidRPr="00F32D92" w:rsidRDefault="00AB6753" w:rsidP="002D1EA4">
            <w:pPr>
              <w:rPr>
                <w:rFonts w:cs="Arial"/>
                <w:sz w:val="20"/>
                <w:szCs w:val="20"/>
              </w:rPr>
            </w:pPr>
            <w:r>
              <w:rPr>
                <w:rFonts w:cs="Arial"/>
                <w:sz w:val="20"/>
                <w:szCs w:val="20"/>
              </w:rPr>
              <w:t>0</w:t>
            </w:r>
          </w:p>
        </w:tc>
        <w:tc>
          <w:tcPr>
            <w:tcW w:w="1729" w:type="dxa"/>
          </w:tcPr>
          <w:p w14:paraId="393943F4" w14:textId="77777777" w:rsidR="00AB6753" w:rsidRPr="00F32D92" w:rsidRDefault="00AB6753" w:rsidP="002D1EA4">
            <w:pPr>
              <w:rPr>
                <w:rFonts w:cs="Arial"/>
                <w:sz w:val="20"/>
                <w:szCs w:val="20"/>
              </w:rPr>
            </w:pPr>
            <w:r>
              <w:rPr>
                <w:rFonts w:cs="Arial"/>
                <w:sz w:val="20"/>
                <w:szCs w:val="20"/>
              </w:rPr>
              <w:t>0</w:t>
            </w:r>
          </w:p>
        </w:tc>
        <w:tc>
          <w:tcPr>
            <w:tcW w:w="1730" w:type="dxa"/>
          </w:tcPr>
          <w:p w14:paraId="64F0B783" w14:textId="77777777" w:rsidR="00AB6753" w:rsidRPr="00F32D92" w:rsidRDefault="00AB6753" w:rsidP="002D1EA4">
            <w:pPr>
              <w:rPr>
                <w:rFonts w:cs="Arial"/>
                <w:sz w:val="20"/>
                <w:szCs w:val="20"/>
              </w:rPr>
            </w:pPr>
            <w:r>
              <w:rPr>
                <w:rFonts w:cs="Arial"/>
                <w:sz w:val="20"/>
                <w:szCs w:val="20"/>
              </w:rPr>
              <w:t>0</w:t>
            </w:r>
          </w:p>
        </w:tc>
        <w:tc>
          <w:tcPr>
            <w:tcW w:w="1729" w:type="dxa"/>
          </w:tcPr>
          <w:p w14:paraId="01BD0E8F" w14:textId="77777777" w:rsidR="00AB6753" w:rsidRPr="00F32D92" w:rsidRDefault="00AB6753" w:rsidP="002D1EA4">
            <w:pPr>
              <w:rPr>
                <w:rFonts w:cs="Arial"/>
                <w:sz w:val="20"/>
                <w:szCs w:val="20"/>
              </w:rPr>
            </w:pPr>
            <w:r>
              <w:rPr>
                <w:rFonts w:cs="Arial"/>
                <w:sz w:val="20"/>
                <w:szCs w:val="20"/>
              </w:rPr>
              <w:t>0</w:t>
            </w:r>
          </w:p>
        </w:tc>
        <w:tc>
          <w:tcPr>
            <w:tcW w:w="1730" w:type="dxa"/>
          </w:tcPr>
          <w:p w14:paraId="4CE441FD" w14:textId="77777777" w:rsidR="00AB6753" w:rsidRPr="00F32D92" w:rsidRDefault="00AB6753" w:rsidP="002D1EA4">
            <w:pPr>
              <w:rPr>
                <w:rFonts w:cs="Arial"/>
                <w:sz w:val="20"/>
                <w:szCs w:val="20"/>
              </w:rPr>
            </w:pPr>
            <w:r>
              <w:rPr>
                <w:rFonts w:cs="Arial"/>
                <w:sz w:val="20"/>
                <w:szCs w:val="20"/>
              </w:rPr>
              <w:t>0</w:t>
            </w:r>
          </w:p>
        </w:tc>
      </w:tr>
      <w:tr w:rsidR="00AB6753" w:rsidRPr="00F32D92" w14:paraId="0BF445B0" w14:textId="77777777" w:rsidTr="002D1EA4">
        <w:trPr>
          <w:trHeight w:val="315"/>
        </w:trPr>
        <w:tc>
          <w:tcPr>
            <w:tcW w:w="851" w:type="dxa"/>
            <w:vAlign w:val="center"/>
            <w:hideMark/>
          </w:tcPr>
          <w:p w14:paraId="6A0AF40A" w14:textId="77777777" w:rsidR="00AB6753" w:rsidRPr="00F32D92" w:rsidRDefault="00AB6753" w:rsidP="002D1EA4">
            <w:pPr>
              <w:rPr>
                <w:rFonts w:cs="Arial"/>
                <w:sz w:val="20"/>
                <w:szCs w:val="20"/>
              </w:rPr>
            </w:pPr>
            <w:r w:rsidRPr="00F32D92">
              <w:rPr>
                <w:rFonts w:cs="Arial"/>
                <w:sz w:val="20"/>
                <w:szCs w:val="20"/>
              </w:rPr>
              <w:t>APS 5</w:t>
            </w:r>
          </w:p>
        </w:tc>
        <w:tc>
          <w:tcPr>
            <w:tcW w:w="1729" w:type="dxa"/>
          </w:tcPr>
          <w:p w14:paraId="41411DB1" w14:textId="77777777" w:rsidR="00AB6753" w:rsidRPr="00F32D92" w:rsidRDefault="00AB6753" w:rsidP="002D1EA4">
            <w:pPr>
              <w:rPr>
                <w:rFonts w:cs="Arial"/>
                <w:sz w:val="20"/>
                <w:szCs w:val="20"/>
              </w:rPr>
            </w:pPr>
            <w:r>
              <w:rPr>
                <w:rFonts w:cs="Arial"/>
                <w:sz w:val="20"/>
                <w:szCs w:val="20"/>
              </w:rPr>
              <w:t>0</w:t>
            </w:r>
          </w:p>
        </w:tc>
        <w:tc>
          <w:tcPr>
            <w:tcW w:w="1729" w:type="dxa"/>
          </w:tcPr>
          <w:p w14:paraId="7A1CE504" w14:textId="77777777" w:rsidR="00AB6753" w:rsidRPr="00F32D92" w:rsidRDefault="00AB6753" w:rsidP="002D1EA4">
            <w:pPr>
              <w:rPr>
                <w:rFonts w:cs="Arial"/>
                <w:sz w:val="20"/>
                <w:szCs w:val="20"/>
              </w:rPr>
            </w:pPr>
            <w:r>
              <w:rPr>
                <w:rFonts w:cs="Arial"/>
                <w:sz w:val="20"/>
                <w:szCs w:val="20"/>
              </w:rPr>
              <w:t>0</w:t>
            </w:r>
          </w:p>
        </w:tc>
        <w:tc>
          <w:tcPr>
            <w:tcW w:w="1730" w:type="dxa"/>
          </w:tcPr>
          <w:p w14:paraId="418AC2DD" w14:textId="77777777" w:rsidR="00AB6753" w:rsidRPr="00F32D92" w:rsidRDefault="00AB6753" w:rsidP="002D1EA4">
            <w:pPr>
              <w:rPr>
                <w:rFonts w:cs="Arial"/>
                <w:sz w:val="20"/>
                <w:szCs w:val="20"/>
              </w:rPr>
            </w:pPr>
            <w:r>
              <w:rPr>
                <w:rFonts w:cs="Arial"/>
                <w:sz w:val="20"/>
                <w:szCs w:val="20"/>
              </w:rPr>
              <w:t>0</w:t>
            </w:r>
          </w:p>
        </w:tc>
        <w:tc>
          <w:tcPr>
            <w:tcW w:w="1729" w:type="dxa"/>
          </w:tcPr>
          <w:p w14:paraId="03626E3B" w14:textId="77777777" w:rsidR="00AB6753" w:rsidRPr="00F32D92" w:rsidRDefault="00AB6753" w:rsidP="002D1EA4">
            <w:pPr>
              <w:rPr>
                <w:rFonts w:cs="Arial"/>
                <w:sz w:val="20"/>
                <w:szCs w:val="20"/>
              </w:rPr>
            </w:pPr>
            <w:r>
              <w:rPr>
                <w:rFonts w:cs="Arial"/>
                <w:sz w:val="20"/>
                <w:szCs w:val="20"/>
              </w:rPr>
              <w:t>0</w:t>
            </w:r>
          </w:p>
        </w:tc>
        <w:tc>
          <w:tcPr>
            <w:tcW w:w="1730" w:type="dxa"/>
          </w:tcPr>
          <w:p w14:paraId="722B8E05" w14:textId="77777777" w:rsidR="00AB6753" w:rsidRPr="00F32D92" w:rsidRDefault="00AB6753" w:rsidP="002D1EA4">
            <w:pPr>
              <w:rPr>
                <w:rFonts w:cs="Arial"/>
                <w:sz w:val="20"/>
                <w:szCs w:val="20"/>
              </w:rPr>
            </w:pPr>
            <w:r>
              <w:rPr>
                <w:rFonts w:cs="Arial"/>
                <w:sz w:val="20"/>
                <w:szCs w:val="20"/>
              </w:rPr>
              <w:t>0</w:t>
            </w:r>
          </w:p>
        </w:tc>
      </w:tr>
      <w:tr w:rsidR="00AB6753" w:rsidRPr="00F32D92" w14:paraId="1E0E9604" w14:textId="77777777" w:rsidTr="002D1EA4">
        <w:trPr>
          <w:trHeight w:val="315"/>
        </w:trPr>
        <w:tc>
          <w:tcPr>
            <w:tcW w:w="851" w:type="dxa"/>
            <w:vAlign w:val="center"/>
            <w:hideMark/>
          </w:tcPr>
          <w:p w14:paraId="35222BC2" w14:textId="77777777" w:rsidR="00AB6753" w:rsidRPr="00F32D92" w:rsidRDefault="00AB6753" w:rsidP="002D1EA4">
            <w:pPr>
              <w:rPr>
                <w:rFonts w:cs="Arial"/>
                <w:sz w:val="20"/>
                <w:szCs w:val="20"/>
              </w:rPr>
            </w:pPr>
            <w:r w:rsidRPr="00F32D92">
              <w:rPr>
                <w:rFonts w:cs="Arial"/>
                <w:sz w:val="20"/>
                <w:szCs w:val="20"/>
              </w:rPr>
              <w:t>APS 4</w:t>
            </w:r>
          </w:p>
        </w:tc>
        <w:tc>
          <w:tcPr>
            <w:tcW w:w="1729" w:type="dxa"/>
          </w:tcPr>
          <w:p w14:paraId="7AF57B81" w14:textId="77777777" w:rsidR="00AB6753" w:rsidRPr="00F32D92" w:rsidRDefault="00AB6753" w:rsidP="002D1EA4">
            <w:pPr>
              <w:rPr>
                <w:rFonts w:cs="Arial"/>
                <w:sz w:val="20"/>
                <w:szCs w:val="20"/>
              </w:rPr>
            </w:pPr>
            <w:r>
              <w:rPr>
                <w:rFonts w:cs="Arial"/>
                <w:sz w:val="20"/>
                <w:szCs w:val="20"/>
              </w:rPr>
              <w:t>0</w:t>
            </w:r>
          </w:p>
        </w:tc>
        <w:tc>
          <w:tcPr>
            <w:tcW w:w="1729" w:type="dxa"/>
          </w:tcPr>
          <w:p w14:paraId="368FEF63" w14:textId="77777777" w:rsidR="00AB6753" w:rsidRPr="00F32D92" w:rsidRDefault="00AB6753" w:rsidP="002D1EA4">
            <w:pPr>
              <w:rPr>
                <w:rFonts w:cs="Arial"/>
                <w:sz w:val="20"/>
                <w:szCs w:val="20"/>
              </w:rPr>
            </w:pPr>
            <w:r>
              <w:rPr>
                <w:rFonts w:cs="Arial"/>
                <w:sz w:val="20"/>
                <w:szCs w:val="20"/>
              </w:rPr>
              <w:t>0</w:t>
            </w:r>
          </w:p>
        </w:tc>
        <w:tc>
          <w:tcPr>
            <w:tcW w:w="1730" w:type="dxa"/>
          </w:tcPr>
          <w:p w14:paraId="4ADF759E" w14:textId="77777777" w:rsidR="00AB6753" w:rsidRPr="00F32D92" w:rsidRDefault="00AB6753" w:rsidP="002D1EA4">
            <w:pPr>
              <w:rPr>
                <w:rFonts w:cs="Arial"/>
                <w:sz w:val="20"/>
                <w:szCs w:val="20"/>
              </w:rPr>
            </w:pPr>
            <w:r>
              <w:rPr>
                <w:rFonts w:cs="Arial"/>
                <w:sz w:val="20"/>
                <w:szCs w:val="20"/>
              </w:rPr>
              <w:t>0</w:t>
            </w:r>
          </w:p>
        </w:tc>
        <w:tc>
          <w:tcPr>
            <w:tcW w:w="1729" w:type="dxa"/>
          </w:tcPr>
          <w:p w14:paraId="79B00144" w14:textId="77777777" w:rsidR="00AB6753" w:rsidRPr="00F32D92" w:rsidRDefault="00AB6753" w:rsidP="002D1EA4">
            <w:pPr>
              <w:rPr>
                <w:rFonts w:cs="Arial"/>
                <w:sz w:val="20"/>
                <w:szCs w:val="20"/>
              </w:rPr>
            </w:pPr>
            <w:r>
              <w:rPr>
                <w:rFonts w:cs="Arial"/>
                <w:sz w:val="20"/>
                <w:szCs w:val="20"/>
              </w:rPr>
              <w:t>0</w:t>
            </w:r>
          </w:p>
        </w:tc>
        <w:tc>
          <w:tcPr>
            <w:tcW w:w="1730" w:type="dxa"/>
          </w:tcPr>
          <w:p w14:paraId="702D89DB" w14:textId="77777777" w:rsidR="00AB6753" w:rsidRPr="00F32D92" w:rsidRDefault="00AB6753" w:rsidP="002D1EA4">
            <w:pPr>
              <w:rPr>
                <w:rFonts w:cs="Arial"/>
                <w:sz w:val="20"/>
                <w:szCs w:val="20"/>
              </w:rPr>
            </w:pPr>
            <w:r>
              <w:rPr>
                <w:rFonts w:cs="Arial"/>
                <w:sz w:val="20"/>
                <w:szCs w:val="20"/>
              </w:rPr>
              <w:t>0</w:t>
            </w:r>
          </w:p>
        </w:tc>
      </w:tr>
      <w:tr w:rsidR="00AB6753" w:rsidRPr="00F32D92" w14:paraId="7AA0B752" w14:textId="77777777" w:rsidTr="002D1EA4">
        <w:trPr>
          <w:trHeight w:val="315"/>
        </w:trPr>
        <w:tc>
          <w:tcPr>
            <w:tcW w:w="851" w:type="dxa"/>
            <w:vAlign w:val="center"/>
          </w:tcPr>
          <w:p w14:paraId="309DC9E2" w14:textId="77777777" w:rsidR="00AB6753" w:rsidRPr="00F32D92" w:rsidRDefault="00AB6753" w:rsidP="002D1EA4">
            <w:pPr>
              <w:rPr>
                <w:rFonts w:cs="Arial"/>
                <w:sz w:val="20"/>
                <w:szCs w:val="20"/>
              </w:rPr>
            </w:pPr>
            <w:r w:rsidRPr="00F32D92">
              <w:rPr>
                <w:rFonts w:cs="Arial"/>
                <w:sz w:val="20"/>
                <w:szCs w:val="20"/>
              </w:rPr>
              <w:t>APS 3</w:t>
            </w:r>
          </w:p>
        </w:tc>
        <w:tc>
          <w:tcPr>
            <w:tcW w:w="1729" w:type="dxa"/>
          </w:tcPr>
          <w:p w14:paraId="30569FF2" w14:textId="77777777" w:rsidR="00AB6753" w:rsidRPr="00F32D92" w:rsidRDefault="00AB6753" w:rsidP="002D1EA4">
            <w:pPr>
              <w:rPr>
                <w:rFonts w:cs="Arial"/>
                <w:sz w:val="20"/>
                <w:szCs w:val="20"/>
              </w:rPr>
            </w:pPr>
            <w:r>
              <w:rPr>
                <w:rFonts w:cs="Arial"/>
                <w:sz w:val="20"/>
                <w:szCs w:val="20"/>
              </w:rPr>
              <w:t>0</w:t>
            </w:r>
          </w:p>
        </w:tc>
        <w:tc>
          <w:tcPr>
            <w:tcW w:w="1729" w:type="dxa"/>
          </w:tcPr>
          <w:p w14:paraId="0642CD47" w14:textId="77777777" w:rsidR="00AB6753" w:rsidRPr="00F32D92" w:rsidRDefault="00AB6753" w:rsidP="002D1EA4">
            <w:pPr>
              <w:rPr>
                <w:rFonts w:cs="Arial"/>
                <w:sz w:val="20"/>
                <w:szCs w:val="20"/>
              </w:rPr>
            </w:pPr>
            <w:r>
              <w:rPr>
                <w:rFonts w:cs="Arial"/>
                <w:sz w:val="20"/>
                <w:szCs w:val="20"/>
              </w:rPr>
              <w:t>0</w:t>
            </w:r>
          </w:p>
        </w:tc>
        <w:tc>
          <w:tcPr>
            <w:tcW w:w="1730" w:type="dxa"/>
          </w:tcPr>
          <w:p w14:paraId="4BC9BF69" w14:textId="77777777" w:rsidR="00AB6753" w:rsidRPr="00F32D92" w:rsidRDefault="00AB6753" w:rsidP="002D1EA4">
            <w:pPr>
              <w:rPr>
                <w:rFonts w:cs="Arial"/>
                <w:sz w:val="20"/>
                <w:szCs w:val="20"/>
              </w:rPr>
            </w:pPr>
            <w:r>
              <w:rPr>
                <w:rFonts w:cs="Arial"/>
                <w:sz w:val="20"/>
                <w:szCs w:val="20"/>
              </w:rPr>
              <w:t>0</w:t>
            </w:r>
          </w:p>
        </w:tc>
        <w:tc>
          <w:tcPr>
            <w:tcW w:w="1729" w:type="dxa"/>
          </w:tcPr>
          <w:p w14:paraId="15C0F5D7" w14:textId="77777777" w:rsidR="00AB6753" w:rsidRPr="00F32D92" w:rsidRDefault="00AB6753" w:rsidP="002D1EA4">
            <w:pPr>
              <w:rPr>
                <w:rFonts w:cs="Arial"/>
                <w:sz w:val="20"/>
                <w:szCs w:val="20"/>
              </w:rPr>
            </w:pPr>
            <w:r>
              <w:rPr>
                <w:rFonts w:cs="Arial"/>
                <w:sz w:val="20"/>
                <w:szCs w:val="20"/>
              </w:rPr>
              <w:t>0</w:t>
            </w:r>
          </w:p>
        </w:tc>
        <w:tc>
          <w:tcPr>
            <w:tcW w:w="1730" w:type="dxa"/>
          </w:tcPr>
          <w:p w14:paraId="26A3F2A7" w14:textId="77777777" w:rsidR="00AB6753" w:rsidRPr="00F32D92" w:rsidRDefault="00AB6753" w:rsidP="002D1EA4">
            <w:pPr>
              <w:rPr>
                <w:rFonts w:cs="Arial"/>
                <w:sz w:val="20"/>
                <w:szCs w:val="20"/>
              </w:rPr>
            </w:pPr>
            <w:r>
              <w:rPr>
                <w:rFonts w:cs="Arial"/>
                <w:sz w:val="20"/>
                <w:szCs w:val="20"/>
              </w:rPr>
              <w:t>0</w:t>
            </w:r>
          </w:p>
        </w:tc>
      </w:tr>
      <w:tr w:rsidR="00AB6753" w:rsidRPr="00F32D92" w14:paraId="10458FB1" w14:textId="77777777" w:rsidTr="002D1EA4">
        <w:trPr>
          <w:trHeight w:val="315"/>
        </w:trPr>
        <w:tc>
          <w:tcPr>
            <w:tcW w:w="851" w:type="dxa"/>
            <w:vAlign w:val="center"/>
          </w:tcPr>
          <w:p w14:paraId="02A5D003" w14:textId="77777777" w:rsidR="00AB6753" w:rsidRPr="00F32D92" w:rsidRDefault="00AB6753" w:rsidP="002D1EA4">
            <w:pPr>
              <w:rPr>
                <w:rFonts w:cs="Arial"/>
                <w:sz w:val="20"/>
                <w:szCs w:val="20"/>
              </w:rPr>
            </w:pPr>
            <w:r w:rsidRPr="00F32D92">
              <w:rPr>
                <w:rFonts w:cs="Arial"/>
                <w:sz w:val="20"/>
                <w:szCs w:val="20"/>
              </w:rPr>
              <w:t>APS 2</w:t>
            </w:r>
          </w:p>
        </w:tc>
        <w:tc>
          <w:tcPr>
            <w:tcW w:w="1729" w:type="dxa"/>
          </w:tcPr>
          <w:p w14:paraId="2E29A316" w14:textId="77777777" w:rsidR="00AB6753" w:rsidRPr="00F32D92" w:rsidRDefault="00AB6753" w:rsidP="002D1EA4">
            <w:pPr>
              <w:rPr>
                <w:rFonts w:cs="Arial"/>
                <w:sz w:val="20"/>
                <w:szCs w:val="20"/>
              </w:rPr>
            </w:pPr>
            <w:r>
              <w:rPr>
                <w:rFonts w:cs="Arial"/>
                <w:sz w:val="20"/>
                <w:szCs w:val="20"/>
              </w:rPr>
              <w:t>0</w:t>
            </w:r>
          </w:p>
        </w:tc>
        <w:tc>
          <w:tcPr>
            <w:tcW w:w="1729" w:type="dxa"/>
          </w:tcPr>
          <w:p w14:paraId="0E624BFA" w14:textId="77777777" w:rsidR="00AB6753" w:rsidRPr="00F32D92" w:rsidRDefault="00AB6753" w:rsidP="002D1EA4">
            <w:pPr>
              <w:rPr>
                <w:rFonts w:cs="Arial"/>
                <w:sz w:val="20"/>
                <w:szCs w:val="20"/>
              </w:rPr>
            </w:pPr>
            <w:r>
              <w:rPr>
                <w:rFonts w:cs="Arial"/>
                <w:sz w:val="20"/>
                <w:szCs w:val="20"/>
              </w:rPr>
              <w:t>0</w:t>
            </w:r>
          </w:p>
        </w:tc>
        <w:tc>
          <w:tcPr>
            <w:tcW w:w="1730" w:type="dxa"/>
          </w:tcPr>
          <w:p w14:paraId="6C097D26" w14:textId="77777777" w:rsidR="00AB6753" w:rsidRPr="00F32D92" w:rsidRDefault="00AB6753" w:rsidP="002D1EA4">
            <w:pPr>
              <w:rPr>
                <w:rFonts w:cs="Arial"/>
                <w:sz w:val="20"/>
                <w:szCs w:val="20"/>
              </w:rPr>
            </w:pPr>
            <w:r>
              <w:rPr>
                <w:rFonts w:cs="Arial"/>
                <w:sz w:val="20"/>
                <w:szCs w:val="20"/>
              </w:rPr>
              <w:t>0</w:t>
            </w:r>
          </w:p>
        </w:tc>
        <w:tc>
          <w:tcPr>
            <w:tcW w:w="1729" w:type="dxa"/>
          </w:tcPr>
          <w:p w14:paraId="43131803" w14:textId="77777777" w:rsidR="00AB6753" w:rsidRPr="00F32D92" w:rsidRDefault="00AB6753" w:rsidP="002D1EA4">
            <w:pPr>
              <w:rPr>
                <w:rFonts w:cs="Arial"/>
                <w:sz w:val="20"/>
                <w:szCs w:val="20"/>
              </w:rPr>
            </w:pPr>
            <w:r>
              <w:rPr>
                <w:rFonts w:cs="Arial"/>
                <w:sz w:val="20"/>
                <w:szCs w:val="20"/>
              </w:rPr>
              <w:t>0</w:t>
            </w:r>
          </w:p>
        </w:tc>
        <w:tc>
          <w:tcPr>
            <w:tcW w:w="1730" w:type="dxa"/>
          </w:tcPr>
          <w:p w14:paraId="4E8CF2A5" w14:textId="77777777" w:rsidR="00AB6753" w:rsidRPr="00F32D92" w:rsidRDefault="00AB6753" w:rsidP="002D1EA4">
            <w:pPr>
              <w:rPr>
                <w:rFonts w:cs="Arial"/>
                <w:sz w:val="20"/>
                <w:szCs w:val="20"/>
              </w:rPr>
            </w:pPr>
            <w:r>
              <w:rPr>
                <w:rFonts w:cs="Arial"/>
                <w:sz w:val="20"/>
                <w:szCs w:val="20"/>
              </w:rPr>
              <w:t>0</w:t>
            </w:r>
          </w:p>
        </w:tc>
      </w:tr>
      <w:tr w:rsidR="00AB6753" w:rsidRPr="00F32D92" w14:paraId="2119874F" w14:textId="77777777" w:rsidTr="002D1EA4">
        <w:trPr>
          <w:trHeight w:val="315"/>
        </w:trPr>
        <w:tc>
          <w:tcPr>
            <w:tcW w:w="851" w:type="dxa"/>
            <w:vAlign w:val="center"/>
          </w:tcPr>
          <w:p w14:paraId="57A6346B" w14:textId="77777777" w:rsidR="00AB6753" w:rsidRPr="00F32D92" w:rsidRDefault="00AB6753" w:rsidP="002D1EA4">
            <w:pPr>
              <w:rPr>
                <w:rFonts w:cs="Arial"/>
                <w:sz w:val="20"/>
                <w:szCs w:val="20"/>
              </w:rPr>
            </w:pPr>
            <w:r w:rsidRPr="00F32D92">
              <w:rPr>
                <w:rFonts w:cs="Arial"/>
                <w:sz w:val="20"/>
                <w:szCs w:val="20"/>
              </w:rPr>
              <w:t>APS 1</w:t>
            </w:r>
          </w:p>
        </w:tc>
        <w:tc>
          <w:tcPr>
            <w:tcW w:w="1729" w:type="dxa"/>
          </w:tcPr>
          <w:p w14:paraId="1E35D2C7" w14:textId="77777777" w:rsidR="00AB6753" w:rsidRPr="00F32D92" w:rsidRDefault="00AB6753" w:rsidP="002D1EA4">
            <w:pPr>
              <w:rPr>
                <w:rFonts w:cs="Arial"/>
                <w:sz w:val="20"/>
                <w:szCs w:val="20"/>
              </w:rPr>
            </w:pPr>
            <w:r>
              <w:rPr>
                <w:rFonts w:cs="Arial"/>
                <w:sz w:val="20"/>
                <w:szCs w:val="20"/>
              </w:rPr>
              <w:t>0</w:t>
            </w:r>
          </w:p>
        </w:tc>
        <w:tc>
          <w:tcPr>
            <w:tcW w:w="1729" w:type="dxa"/>
          </w:tcPr>
          <w:p w14:paraId="11E3D0F8" w14:textId="77777777" w:rsidR="00AB6753" w:rsidRPr="00F32D92" w:rsidRDefault="00AB6753" w:rsidP="002D1EA4">
            <w:pPr>
              <w:rPr>
                <w:rFonts w:cs="Arial"/>
                <w:sz w:val="20"/>
                <w:szCs w:val="20"/>
              </w:rPr>
            </w:pPr>
            <w:r>
              <w:rPr>
                <w:rFonts w:cs="Arial"/>
                <w:sz w:val="20"/>
                <w:szCs w:val="20"/>
              </w:rPr>
              <w:t>0</w:t>
            </w:r>
          </w:p>
        </w:tc>
        <w:tc>
          <w:tcPr>
            <w:tcW w:w="1730" w:type="dxa"/>
          </w:tcPr>
          <w:p w14:paraId="6BD4882B" w14:textId="77777777" w:rsidR="00AB6753" w:rsidRPr="00F32D92" w:rsidRDefault="00AB6753" w:rsidP="002D1EA4">
            <w:pPr>
              <w:rPr>
                <w:rFonts w:cs="Arial"/>
                <w:sz w:val="20"/>
                <w:szCs w:val="20"/>
              </w:rPr>
            </w:pPr>
            <w:r>
              <w:rPr>
                <w:rFonts w:cs="Arial"/>
                <w:sz w:val="20"/>
                <w:szCs w:val="20"/>
              </w:rPr>
              <w:t>0</w:t>
            </w:r>
          </w:p>
        </w:tc>
        <w:tc>
          <w:tcPr>
            <w:tcW w:w="1729" w:type="dxa"/>
          </w:tcPr>
          <w:p w14:paraId="5378BDCD" w14:textId="77777777" w:rsidR="00AB6753" w:rsidRPr="00F32D92" w:rsidRDefault="00AB6753" w:rsidP="002D1EA4">
            <w:pPr>
              <w:rPr>
                <w:rFonts w:cs="Arial"/>
                <w:sz w:val="20"/>
                <w:szCs w:val="20"/>
              </w:rPr>
            </w:pPr>
            <w:r>
              <w:rPr>
                <w:rFonts w:cs="Arial"/>
                <w:sz w:val="20"/>
                <w:szCs w:val="20"/>
              </w:rPr>
              <w:t>0</w:t>
            </w:r>
          </w:p>
        </w:tc>
        <w:tc>
          <w:tcPr>
            <w:tcW w:w="1730" w:type="dxa"/>
          </w:tcPr>
          <w:p w14:paraId="5A1635C4" w14:textId="77777777" w:rsidR="00AB6753" w:rsidRPr="00F32D92" w:rsidRDefault="00AB6753" w:rsidP="002D1EA4">
            <w:pPr>
              <w:rPr>
                <w:rFonts w:cs="Arial"/>
                <w:sz w:val="20"/>
                <w:szCs w:val="20"/>
              </w:rPr>
            </w:pPr>
            <w:r>
              <w:rPr>
                <w:rFonts w:cs="Arial"/>
                <w:sz w:val="20"/>
                <w:szCs w:val="20"/>
              </w:rPr>
              <w:t>0</w:t>
            </w:r>
          </w:p>
        </w:tc>
      </w:tr>
      <w:tr w:rsidR="00AB6753" w:rsidRPr="00F32D92" w14:paraId="2948D370" w14:textId="77777777" w:rsidTr="002D1EA4">
        <w:trPr>
          <w:trHeight w:val="315"/>
        </w:trPr>
        <w:tc>
          <w:tcPr>
            <w:tcW w:w="851" w:type="dxa"/>
            <w:vAlign w:val="center"/>
          </w:tcPr>
          <w:p w14:paraId="6B6892C6" w14:textId="77777777" w:rsidR="00AB6753" w:rsidRPr="00F32D92" w:rsidRDefault="00AB6753" w:rsidP="002D1EA4">
            <w:pPr>
              <w:rPr>
                <w:rFonts w:cs="Arial"/>
                <w:sz w:val="20"/>
                <w:szCs w:val="20"/>
              </w:rPr>
            </w:pPr>
            <w:r w:rsidRPr="00F32D92">
              <w:rPr>
                <w:rFonts w:cs="Arial"/>
                <w:sz w:val="20"/>
                <w:szCs w:val="20"/>
              </w:rPr>
              <w:t>Other</w:t>
            </w:r>
          </w:p>
        </w:tc>
        <w:tc>
          <w:tcPr>
            <w:tcW w:w="1729" w:type="dxa"/>
          </w:tcPr>
          <w:p w14:paraId="25D3B529" w14:textId="77777777" w:rsidR="00AB6753" w:rsidRPr="00F32D92" w:rsidRDefault="00AB6753" w:rsidP="002D1EA4">
            <w:pPr>
              <w:rPr>
                <w:rFonts w:cs="Arial"/>
                <w:sz w:val="20"/>
                <w:szCs w:val="20"/>
              </w:rPr>
            </w:pPr>
            <w:r>
              <w:rPr>
                <w:rFonts w:cs="Arial"/>
                <w:sz w:val="20"/>
                <w:szCs w:val="20"/>
              </w:rPr>
              <w:t>0</w:t>
            </w:r>
          </w:p>
        </w:tc>
        <w:tc>
          <w:tcPr>
            <w:tcW w:w="1729" w:type="dxa"/>
          </w:tcPr>
          <w:p w14:paraId="45D9A9DB" w14:textId="77777777" w:rsidR="00AB6753" w:rsidRPr="00F32D92" w:rsidRDefault="00AB6753" w:rsidP="002D1EA4">
            <w:pPr>
              <w:rPr>
                <w:rFonts w:cs="Arial"/>
                <w:sz w:val="20"/>
                <w:szCs w:val="20"/>
              </w:rPr>
            </w:pPr>
            <w:r>
              <w:rPr>
                <w:rFonts w:cs="Arial"/>
                <w:sz w:val="20"/>
                <w:szCs w:val="20"/>
              </w:rPr>
              <w:t>0</w:t>
            </w:r>
          </w:p>
        </w:tc>
        <w:tc>
          <w:tcPr>
            <w:tcW w:w="1730" w:type="dxa"/>
          </w:tcPr>
          <w:p w14:paraId="4A5606BB" w14:textId="77777777" w:rsidR="00AB6753" w:rsidRPr="00F32D92" w:rsidRDefault="00AB6753" w:rsidP="002D1EA4">
            <w:pPr>
              <w:rPr>
                <w:rFonts w:cs="Arial"/>
                <w:sz w:val="20"/>
                <w:szCs w:val="20"/>
              </w:rPr>
            </w:pPr>
            <w:r>
              <w:rPr>
                <w:rFonts w:cs="Arial"/>
                <w:sz w:val="20"/>
                <w:szCs w:val="20"/>
              </w:rPr>
              <w:t>0</w:t>
            </w:r>
          </w:p>
        </w:tc>
        <w:tc>
          <w:tcPr>
            <w:tcW w:w="1729" w:type="dxa"/>
          </w:tcPr>
          <w:p w14:paraId="614D1B68" w14:textId="77777777" w:rsidR="00AB6753" w:rsidRPr="00F32D92" w:rsidRDefault="00AB6753" w:rsidP="002D1EA4">
            <w:pPr>
              <w:rPr>
                <w:rFonts w:cs="Arial"/>
                <w:sz w:val="20"/>
                <w:szCs w:val="20"/>
              </w:rPr>
            </w:pPr>
            <w:r>
              <w:rPr>
                <w:rFonts w:cs="Arial"/>
                <w:sz w:val="20"/>
                <w:szCs w:val="20"/>
              </w:rPr>
              <w:t>0</w:t>
            </w:r>
          </w:p>
        </w:tc>
        <w:tc>
          <w:tcPr>
            <w:tcW w:w="1730" w:type="dxa"/>
          </w:tcPr>
          <w:p w14:paraId="66215F10" w14:textId="77777777" w:rsidR="00AB6753" w:rsidRPr="00F32D92" w:rsidRDefault="00AB6753" w:rsidP="002D1EA4">
            <w:pPr>
              <w:rPr>
                <w:rFonts w:cs="Arial"/>
                <w:sz w:val="20"/>
                <w:szCs w:val="20"/>
              </w:rPr>
            </w:pPr>
            <w:r>
              <w:rPr>
                <w:rFonts w:cs="Arial"/>
                <w:sz w:val="20"/>
                <w:szCs w:val="20"/>
              </w:rPr>
              <w:t>0</w:t>
            </w:r>
          </w:p>
        </w:tc>
      </w:tr>
      <w:tr w:rsidR="00AB6753" w:rsidRPr="00F32D92" w14:paraId="7130FCE1" w14:textId="77777777" w:rsidTr="002D1EA4">
        <w:trPr>
          <w:trHeight w:val="315"/>
        </w:trPr>
        <w:tc>
          <w:tcPr>
            <w:tcW w:w="851" w:type="dxa"/>
            <w:vAlign w:val="center"/>
          </w:tcPr>
          <w:p w14:paraId="69E4355E" w14:textId="77777777" w:rsidR="00AB6753" w:rsidRPr="00F32D92" w:rsidRDefault="00AB6753" w:rsidP="002D1EA4">
            <w:pPr>
              <w:rPr>
                <w:rFonts w:cs="Arial"/>
                <w:sz w:val="20"/>
                <w:szCs w:val="20"/>
              </w:rPr>
            </w:pPr>
            <w:r w:rsidRPr="00F32D92">
              <w:rPr>
                <w:rFonts w:cs="Arial"/>
                <w:sz w:val="20"/>
                <w:szCs w:val="20"/>
              </w:rPr>
              <w:t>Total</w:t>
            </w:r>
          </w:p>
        </w:tc>
        <w:tc>
          <w:tcPr>
            <w:tcW w:w="1729" w:type="dxa"/>
          </w:tcPr>
          <w:p w14:paraId="72E05480" w14:textId="77777777" w:rsidR="00AB6753" w:rsidRPr="00F32D92" w:rsidRDefault="00AB6753" w:rsidP="002D1EA4">
            <w:pPr>
              <w:rPr>
                <w:rFonts w:cs="Arial"/>
                <w:sz w:val="20"/>
                <w:szCs w:val="20"/>
              </w:rPr>
            </w:pPr>
            <w:r>
              <w:rPr>
                <w:rFonts w:cs="Arial"/>
                <w:sz w:val="20"/>
                <w:szCs w:val="20"/>
              </w:rPr>
              <w:t>0</w:t>
            </w:r>
          </w:p>
        </w:tc>
        <w:tc>
          <w:tcPr>
            <w:tcW w:w="1729" w:type="dxa"/>
          </w:tcPr>
          <w:p w14:paraId="2316AE49" w14:textId="77777777" w:rsidR="00AB6753" w:rsidRPr="00F32D92" w:rsidRDefault="00AB6753" w:rsidP="002D1EA4">
            <w:pPr>
              <w:rPr>
                <w:rFonts w:cs="Arial"/>
                <w:sz w:val="20"/>
                <w:szCs w:val="20"/>
              </w:rPr>
            </w:pPr>
            <w:r>
              <w:rPr>
                <w:rFonts w:cs="Arial"/>
                <w:sz w:val="20"/>
                <w:szCs w:val="20"/>
              </w:rPr>
              <w:t>0</w:t>
            </w:r>
          </w:p>
        </w:tc>
        <w:tc>
          <w:tcPr>
            <w:tcW w:w="1730" w:type="dxa"/>
          </w:tcPr>
          <w:p w14:paraId="3828DCB2" w14:textId="77777777" w:rsidR="00AB6753" w:rsidRPr="00F32D92" w:rsidRDefault="00AB6753" w:rsidP="002D1EA4">
            <w:pPr>
              <w:rPr>
                <w:rFonts w:cs="Arial"/>
                <w:sz w:val="20"/>
                <w:szCs w:val="20"/>
              </w:rPr>
            </w:pPr>
            <w:r>
              <w:rPr>
                <w:rFonts w:cs="Arial"/>
                <w:sz w:val="20"/>
                <w:szCs w:val="20"/>
              </w:rPr>
              <w:t>0</w:t>
            </w:r>
          </w:p>
        </w:tc>
        <w:tc>
          <w:tcPr>
            <w:tcW w:w="1729" w:type="dxa"/>
          </w:tcPr>
          <w:p w14:paraId="12A758A8" w14:textId="77777777" w:rsidR="00AB6753" w:rsidRPr="00F32D92" w:rsidRDefault="00AB6753" w:rsidP="002D1EA4">
            <w:pPr>
              <w:rPr>
                <w:rFonts w:cs="Arial"/>
                <w:sz w:val="20"/>
                <w:szCs w:val="20"/>
              </w:rPr>
            </w:pPr>
            <w:r>
              <w:rPr>
                <w:rFonts w:cs="Arial"/>
                <w:sz w:val="20"/>
                <w:szCs w:val="20"/>
              </w:rPr>
              <w:t>0</w:t>
            </w:r>
          </w:p>
        </w:tc>
        <w:tc>
          <w:tcPr>
            <w:tcW w:w="1730" w:type="dxa"/>
          </w:tcPr>
          <w:p w14:paraId="3900DD27" w14:textId="77777777" w:rsidR="00AB6753" w:rsidRPr="00F32D92" w:rsidRDefault="00AB6753" w:rsidP="002D1EA4">
            <w:pPr>
              <w:rPr>
                <w:rFonts w:cs="Arial"/>
                <w:sz w:val="20"/>
                <w:szCs w:val="20"/>
              </w:rPr>
            </w:pPr>
            <w:r>
              <w:rPr>
                <w:rFonts w:cs="Arial"/>
                <w:sz w:val="20"/>
                <w:szCs w:val="20"/>
              </w:rPr>
              <w:t>0</w:t>
            </w:r>
          </w:p>
        </w:tc>
      </w:tr>
    </w:tbl>
    <w:p w14:paraId="4D1DF54E" w14:textId="77777777" w:rsidR="00B93E62" w:rsidRPr="00B93E62" w:rsidRDefault="00AB6753" w:rsidP="00B93E62">
      <w:pPr>
        <w:autoSpaceDE w:val="0"/>
        <w:autoSpaceDN w:val="0"/>
        <w:adjustRightInd w:val="0"/>
        <w:spacing w:before="120" w:after="180" w:line="280" w:lineRule="atLeast"/>
        <w:ind w:right="-164"/>
        <w:rPr>
          <w:sz w:val="20"/>
          <w:szCs w:val="20"/>
        </w:rPr>
      </w:pPr>
      <w:r w:rsidRPr="00B93E62">
        <w:rPr>
          <w:rFonts w:cs="Arial"/>
          <w:sz w:val="20"/>
          <w:szCs w:val="20"/>
        </w:rPr>
        <w:t>Note:</w:t>
      </w:r>
      <w:r w:rsidRPr="00B93E62">
        <w:rPr>
          <w:rFonts w:cs="Arial"/>
          <w:sz w:val="24"/>
          <w:szCs w:val="24"/>
        </w:rPr>
        <w:t xml:space="preserve"> </w:t>
      </w:r>
    </w:p>
    <w:p w14:paraId="7F622A29" w14:textId="3BA53CE5" w:rsidR="00AB6753" w:rsidRDefault="00AB6753" w:rsidP="00B93E62">
      <w:pPr>
        <w:pStyle w:val="ListParagraph"/>
        <w:numPr>
          <w:ilvl w:val="0"/>
          <w:numId w:val="120"/>
        </w:numPr>
        <w:autoSpaceDE w:val="0"/>
        <w:autoSpaceDN w:val="0"/>
        <w:adjustRightInd w:val="0"/>
        <w:spacing w:before="120" w:after="180" w:line="280" w:lineRule="atLeast"/>
        <w:ind w:right="-164"/>
        <w:rPr>
          <w:sz w:val="20"/>
          <w:szCs w:val="20"/>
        </w:rPr>
      </w:pPr>
      <w:r w:rsidRPr="00123D6C">
        <w:rPr>
          <w:sz w:val="20"/>
          <w:szCs w:val="20"/>
        </w:rPr>
        <w:t>The Department does not pay any performance pay.</w:t>
      </w:r>
    </w:p>
    <w:p w14:paraId="73F872C8" w14:textId="77777777" w:rsidR="00AB6753" w:rsidRDefault="00AB6753" w:rsidP="00AB6753">
      <w:pPr>
        <w:rPr>
          <w:rFonts w:cs="Arial"/>
          <w:sz w:val="24"/>
          <w:szCs w:val="24"/>
        </w:rPr>
      </w:pPr>
      <w:r>
        <w:rPr>
          <w:rFonts w:cs="Arial"/>
          <w:sz w:val="24"/>
          <w:szCs w:val="24"/>
        </w:rPr>
        <w:br w:type="page"/>
      </w:r>
    </w:p>
    <w:p w14:paraId="1D5867A8" w14:textId="77777777" w:rsidR="00AB6753" w:rsidRPr="00A20629" w:rsidRDefault="00AB6753" w:rsidP="00AB6753">
      <w:pPr>
        <w:rPr>
          <w:rFonts w:ascii="Arial Narrow" w:hAnsi="Arial Narrow" w:cs="Calibri"/>
          <w:b/>
          <w:sz w:val="20"/>
          <w:szCs w:val="20"/>
        </w:rPr>
      </w:pPr>
      <w:bookmarkStart w:id="306" w:name="_Toc5705982"/>
      <w:r>
        <w:rPr>
          <w:rFonts w:ascii="Arial Narrow" w:hAnsi="Arial Narrow" w:cs="Calibri"/>
          <w:b/>
          <w:sz w:val="20"/>
          <w:szCs w:val="20"/>
        </w:rPr>
        <w:lastRenderedPageBreak/>
        <w:t xml:space="preserve">Table F-22 </w:t>
      </w:r>
      <w:r w:rsidRPr="005404C4">
        <w:rPr>
          <w:rFonts w:ascii="Arial Narrow" w:hAnsi="Arial Narrow" w:cs="Calibri"/>
          <w:b/>
          <w:sz w:val="20"/>
          <w:szCs w:val="20"/>
        </w:rPr>
        <w:t>17AG</w:t>
      </w:r>
      <w:r>
        <w:rPr>
          <w:rFonts w:ascii="Arial Narrow" w:hAnsi="Arial Narrow" w:cs="Calibri"/>
          <w:b/>
          <w:sz w:val="20"/>
          <w:szCs w:val="20"/>
        </w:rPr>
        <w:t xml:space="preserve"> </w:t>
      </w:r>
      <w:r w:rsidRPr="005404C4">
        <w:rPr>
          <w:rFonts w:ascii="Arial Narrow" w:hAnsi="Arial Narrow" w:cs="Calibri"/>
          <w:b/>
          <w:sz w:val="20"/>
          <w:szCs w:val="20"/>
        </w:rPr>
        <w:t>(7)(a)(</w:t>
      </w:r>
      <w:proofErr w:type="spellStart"/>
      <w:r w:rsidRPr="005404C4">
        <w:rPr>
          <w:rFonts w:ascii="Arial Narrow" w:hAnsi="Arial Narrow" w:cs="Calibri"/>
          <w:b/>
          <w:sz w:val="20"/>
          <w:szCs w:val="20"/>
        </w:rPr>
        <w:t>i</w:t>
      </w:r>
      <w:proofErr w:type="spellEnd"/>
      <w:r w:rsidRPr="005404C4">
        <w:rPr>
          <w:rFonts w:ascii="Arial Narrow" w:hAnsi="Arial Narrow" w:cs="Calibri"/>
          <w:b/>
          <w:sz w:val="20"/>
          <w:szCs w:val="20"/>
        </w:rPr>
        <w:t>)</w:t>
      </w:r>
      <w:r w:rsidRPr="005A6B67">
        <w:rPr>
          <w:rFonts w:ascii="Arial Narrow" w:hAnsi="Arial Narrow" w:cs="Calibri"/>
          <w:b/>
          <w:sz w:val="20"/>
          <w:szCs w:val="20"/>
        </w:rPr>
        <w:t xml:space="preserve"> – </w:t>
      </w:r>
      <w:r w:rsidRPr="005404C4">
        <w:rPr>
          <w:rFonts w:ascii="Arial Narrow" w:hAnsi="Arial Narrow" w:cs="Calibri"/>
          <w:b/>
          <w:sz w:val="20"/>
          <w:szCs w:val="20"/>
        </w:rPr>
        <w:t>(iv)</w:t>
      </w:r>
      <w:r w:rsidRPr="005A6B67">
        <w:rPr>
          <w:rFonts w:ascii="Arial Narrow" w:hAnsi="Arial Narrow" w:cs="Calibri"/>
          <w:b/>
          <w:sz w:val="20"/>
          <w:szCs w:val="20"/>
        </w:rPr>
        <w:t xml:space="preserve"> — </w:t>
      </w:r>
      <w:r w:rsidRPr="005404C4">
        <w:rPr>
          <w:rFonts w:ascii="Arial Narrow" w:hAnsi="Arial Narrow" w:cs="Calibri"/>
          <w:b/>
          <w:sz w:val="20"/>
          <w:szCs w:val="20"/>
        </w:rPr>
        <w:t>Consultants</w:t>
      </w:r>
      <w:r>
        <w:rPr>
          <w:rFonts w:ascii="Arial Narrow" w:hAnsi="Arial Narrow" w:cs="Calibri"/>
          <w:b/>
          <w:sz w:val="20"/>
          <w:szCs w:val="20"/>
        </w:rPr>
        <w:t xml:space="preserve"> </w:t>
      </w:r>
      <w:r w:rsidRPr="00A20629">
        <w:rPr>
          <w:rFonts w:ascii="Arial Narrow" w:hAnsi="Arial Narrow" w:cs="Calibri"/>
          <w:b/>
          <w:sz w:val="20"/>
          <w:szCs w:val="20"/>
        </w:rPr>
        <w:t>Number and expenditure on Consultants Current Report Period</w:t>
      </w:r>
      <w:r>
        <w:rPr>
          <w:rFonts w:ascii="Arial Narrow" w:hAnsi="Arial Narrow" w:cs="Calibri"/>
          <w:b/>
          <w:sz w:val="20"/>
          <w:szCs w:val="20"/>
        </w:rPr>
        <w:br/>
      </w:r>
      <w:r w:rsidRPr="00A20629">
        <w:rPr>
          <w:rFonts w:ascii="Arial Narrow" w:hAnsi="Arial Narrow" w:cs="Calibri"/>
          <w:b/>
          <w:sz w:val="20"/>
          <w:szCs w:val="20"/>
        </w:rPr>
        <w:t>(2019-20)</w:t>
      </w:r>
      <w:bookmarkEnd w:id="306"/>
    </w:p>
    <w:tbl>
      <w:tblPr>
        <w:tblStyle w:val="GridTable4-Accent5"/>
        <w:tblW w:w="9214" w:type="dxa"/>
        <w:tblLook w:val="04A0" w:firstRow="1" w:lastRow="0" w:firstColumn="1" w:lastColumn="0" w:noHBand="0" w:noVBand="1"/>
        <w:tblCaption w:val="Table F-22 Consultants number and expenditure on consultants current report period (2019-20)"/>
        <w:tblDescription w:val="This table - lists the number of new contractract entered into during the period (88); total actual expenditure during the period on new contracts (inclusive of GST) in millions ($26.6); number of ongoing contracts engaging consultants that were entered into during a previous period (51); total actual expenditure during the period on ongoing contracts (inclusive of GST) in millions ($9.7)."/>
      </w:tblPr>
      <w:tblGrid>
        <w:gridCol w:w="7367"/>
        <w:gridCol w:w="1847"/>
      </w:tblGrid>
      <w:tr w:rsidR="00AB6753" w:rsidRPr="000B0274" w14:paraId="02D180C5" w14:textId="77777777" w:rsidTr="002D1EA4">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7367" w:type="dxa"/>
            <w:noWrap/>
            <w:hideMark/>
          </w:tcPr>
          <w:p w14:paraId="638D5B64" w14:textId="77777777" w:rsidR="00AB6753" w:rsidRPr="000B0274" w:rsidRDefault="00AB6753" w:rsidP="002D1EA4">
            <w:pPr>
              <w:ind w:left="32" w:firstLine="3"/>
              <w:jc w:val="center"/>
              <w:rPr>
                <w:rFonts w:ascii="Calibri" w:eastAsia="Times New Roman" w:hAnsi="Calibri" w:cs="Calibri"/>
                <w:color w:val="000000"/>
                <w:sz w:val="20"/>
                <w:szCs w:val="20"/>
                <w:u w:val="single"/>
                <w:lang w:eastAsia="en-AU"/>
              </w:rPr>
            </w:pPr>
          </w:p>
        </w:tc>
        <w:tc>
          <w:tcPr>
            <w:tcW w:w="1847" w:type="dxa"/>
          </w:tcPr>
          <w:p w14:paraId="40F7F07B" w14:textId="77777777" w:rsidR="00AB6753" w:rsidRPr="00A526BE" w:rsidRDefault="00AB6753" w:rsidP="002D1EA4">
            <w:pPr>
              <w:ind w:left="32" w:firstLine="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Cs/>
                <w:color w:val="000000"/>
                <w:sz w:val="20"/>
                <w:szCs w:val="20"/>
                <w:lang w:eastAsia="en-AU"/>
              </w:rPr>
            </w:pPr>
            <w:r w:rsidRPr="00A526BE">
              <w:rPr>
                <w:rFonts w:ascii="Calibri" w:eastAsia="Times New Roman" w:hAnsi="Calibri" w:cs="Calibri"/>
                <w:color w:val="000000"/>
                <w:sz w:val="20"/>
                <w:szCs w:val="20"/>
                <w:lang w:eastAsia="en-AU"/>
              </w:rPr>
              <w:t>Total</w:t>
            </w:r>
          </w:p>
        </w:tc>
      </w:tr>
      <w:tr w:rsidR="00AB6753" w:rsidRPr="000B0274" w14:paraId="13A9D387" w14:textId="77777777" w:rsidTr="002D1E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7" w:type="dxa"/>
            <w:hideMark/>
          </w:tcPr>
          <w:p w14:paraId="3A45B020" w14:textId="77777777" w:rsidR="00AB6753" w:rsidRPr="00E53675" w:rsidRDefault="00AB6753" w:rsidP="002D1EA4">
            <w:pPr>
              <w:ind w:left="32" w:firstLine="3"/>
              <w:rPr>
                <w:rFonts w:ascii="Calibri" w:eastAsia="Times New Roman" w:hAnsi="Calibri" w:cs="Calibri"/>
                <w:b w:val="0"/>
                <w:bCs w:val="0"/>
                <w:color w:val="000000"/>
                <w:sz w:val="20"/>
                <w:szCs w:val="20"/>
                <w:lang w:eastAsia="en-AU"/>
              </w:rPr>
            </w:pPr>
            <w:r w:rsidRPr="002E1239">
              <w:rPr>
                <w:rFonts w:ascii="Calibri" w:eastAsia="Times New Roman" w:hAnsi="Calibri" w:cs="Calibri"/>
                <w:color w:val="000000"/>
                <w:sz w:val="20"/>
                <w:szCs w:val="20"/>
                <w:lang w:eastAsia="en-AU"/>
              </w:rPr>
              <w:t xml:space="preserve">No. of </w:t>
            </w:r>
            <w:r>
              <w:rPr>
                <w:rFonts w:ascii="Calibri" w:eastAsia="Times New Roman" w:hAnsi="Calibri" w:cs="Calibri"/>
                <w:color w:val="000000"/>
                <w:sz w:val="20"/>
                <w:szCs w:val="20"/>
                <w:lang w:eastAsia="en-AU"/>
              </w:rPr>
              <w:t>n</w:t>
            </w:r>
            <w:r w:rsidRPr="002E1239">
              <w:rPr>
                <w:rFonts w:ascii="Calibri" w:eastAsia="Times New Roman" w:hAnsi="Calibri" w:cs="Calibri"/>
                <w:color w:val="000000"/>
                <w:sz w:val="20"/>
                <w:szCs w:val="20"/>
                <w:lang w:eastAsia="en-AU"/>
              </w:rPr>
              <w:t>ew contracts entered into during the period</w:t>
            </w:r>
          </w:p>
        </w:tc>
        <w:tc>
          <w:tcPr>
            <w:tcW w:w="1847" w:type="dxa"/>
          </w:tcPr>
          <w:p w14:paraId="1E829C10" w14:textId="77777777" w:rsidR="00AB6753" w:rsidRPr="00A526BE" w:rsidRDefault="00AB6753" w:rsidP="002D1EA4">
            <w:pPr>
              <w:ind w:left="32" w:firstLine="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A526BE">
              <w:rPr>
                <w:rFonts w:ascii="Calibri" w:eastAsia="Times New Roman" w:hAnsi="Calibri" w:cs="Calibri"/>
                <w:color w:val="000000"/>
                <w:sz w:val="20"/>
                <w:szCs w:val="20"/>
                <w:lang w:eastAsia="en-AU"/>
              </w:rPr>
              <w:t>88</w:t>
            </w:r>
          </w:p>
        </w:tc>
      </w:tr>
      <w:tr w:rsidR="00AB6753" w:rsidRPr="000B0274" w14:paraId="61416CA5" w14:textId="77777777" w:rsidTr="002D1EA4">
        <w:trPr>
          <w:trHeight w:val="315"/>
        </w:trPr>
        <w:tc>
          <w:tcPr>
            <w:cnfStyle w:val="001000000000" w:firstRow="0" w:lastRow="0" w:firstColumn="1" w:lastColumn="0" w:oddVBand="0" w:evenVBand="0" w:oddHBand="0" w:evenHBand="0" w:firstRowFirstColumn="0" w:firstRowLastColumn="0" w:lastRowFirstColumn="0" w:lastRowLastColumn="0"/>
            <w:tcW w:w="7367" w:type="dxa"/>
          </w:tcPr>
          <w:p w14:paraId="7524A0FB" w14:textId="77777777" w:rsidR="00AB6753" w:rsidRPr="00A526BE" w:rsidRDefault="00AB6753" w:rsidP="002D1EA4">
            <w:pPr>
              <w:ind w:left="32" w:firstLine="3"/>
              <w:rPr>
                <w:rFonts w:ascii="Calibri" w:eastAsia="Times New Roman" w:hAnsi="Calibri" w:cs="Calibri"/>
                <w:b w:val="0"/>
                <w:color w:val="000000"/>
                <w:sz w:val="20"/>
                <w:szCs w:val="20"/>
                <w:lang w:eastAsia="en-AU"/>
              </w:rPr>
            </w:pPr>
            <w:r w:rsidRPr="002E1239">
              <w:rPr>
                <w:rFonts w:ascii="Calibri" w:eastAsia="Times New Roman" w:hAnsi="Calibri" w:cs="Calibri"/>
                <w:color w:val="000000"/>
                <w:sz w:val="20"/>
                <w:szCs w:val="20"/>
                <w:lang w:eastAsia="en-AU"/>
              </w:rPr>
              <w:t>Total actual expenditure during the period on new contracts (</w:t>
            </w:r>
            <w:proofErr w:type="spellStart"/>
            <w:r w:rsidRPr="002E1239">
              <w:rPr>
                <w:rFonts w:ascii="Calibri" w:eastAsia="Times New Roman" w:hAnsi="Calibri" w:cs="Calibri"/>
                <w:color w:val="000000"/>
                <w:sz w:val="20"/>
                <w:szCs w:val="20"/>
                <w:lang w:eastAsia="en-AU"/>
              </w:rPr>
              <w:t>inc.</w:t>
            </w:r>
            <w:proofErr w:type="spellEnd"/>
            <w:r w:rsidRPr="002E1239">
              <w:rPr>
                <w:rFonts w:ascii="Calibri" w:eastAsia="Times New Roman" w:hAnsi="Calibri" w:cs="Calibri"/>
                <w:color w:val="000000"/>
                <w:sz w:val="20"/>
                <w:szCs w:val="20"/>
                <w:lang w:eastAsia="en-AU"/>
              </w:rPr>
              <w:t xml:space="preserve"> $GST)</w:t>
            </w:r>
            <w:r>
              <w:rPr>
                <w:rFonts w:ascii="Calibri" w:eastAsia="Times New Roman" w:hAnsi="Calibri" w:cs="Calibri"/>
                <w:b w:val="0"/>
                <w:color w:val="000000"/>
                <w:sz w:val="20"/>
                <w:szCs w:val="20"/>
                <w:lang w:eastAsia="en-AU"/>
              </w:rPr>
              <w:t xml:space="preserve"> in $ millions</w:t>
            </w:r>
          </w:p>
        </w:tc>
        <w:tc>
          <w:tcPr>
            <w:tcW w:w="1847" w:type="dxa"/>
          </w:tcPr>
          <w:p w14:paraId="1940AD34" w14:textId="77777777" w:rsidR="00AB6753" w:rsidRPr="00A526BE" w:rsidRDefault="00AB6753" w:rsidP="002D1EA4">
            <w:pPr>
              <w:ind w:left="32" w:firstLine="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A526BE">
              <w:rPr>
                <w:rFonts w:ascii="Calibri" w:eastAsia="Times New Roman" w:hAnsi="Calibri" w:cs="Calibri"/>
                <w:color w:val="000000"/>
                <w:sz w:val="20"/>
                <w:szCs w:val="20"/>
                <w:lang w:eastAsia="en-AU"/>
              </w:rPr>
              <w:t>26.6</w:t>
            </w:r>
          </w:p>
        </w:tc>
      </w:tr>
      <w:tr w:rsidR="00AB6753" w:rsidRPr="000B0274" w14:paraId="5BD85A05" w14:textId="77777777" w:rsidTr="002D1EA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67" w:type="dxa"/>
            <w:hideMark/>
          </w:tcPr>
          <w:p w14:paraId="25F1DE18" w14:textId="77777777" w:rsidR="00AB6753" w:rsidRPr="00E53675" w:rsidRDefault="00AB6753" w:rsidP="002D1EA4">
            <w:pPr>
              <w:ind w:left="32" w:firstLine="3"/>
              <w:rPr>
                <w:rFonts w:ascii="Calibri" w:eastAsia="Times New Roman" w:hAnsi="Calibri" w:cs="Calibri"/>
                <w:b w:val="0"/>
                <w:bCs w:val="0"/>
                <w:color w:val="000000"/>
                <w:sz w:val="20"/>
                <w:szCs w:val="20"/>
                <w:lang w:eastAsia="en-AU"/>
              </w:rPr>
            </w:pPr>
            <w:r w:rsidRPr="002E1239">
              <w:rPr>
                <w:rFonts w:ascii="Calibri" w:eastAsia="Times New Roman" w:hAnsi="Calibri" w:cs="Calibri"/>
                <w:color w:val="000000"/>
                <w:sz w:val="20"/>
                <w:szCs w:val="20"/>
                <w:lang w:eastAsia="en-AU"/>
              </w:rPr>
              <w:t xml:space="preserve">No. of </w:t>
            </w:r>
            <w:r>
              <w:rPr>
                <w:rFonts w:ascii="Calibri" w:eastAsia="Times New Roman" w:hAnsi="Calibri" w:cs="Calibri"/>
                <w:color w:val="000000"/>
                <w:sz w:val="20"/>
                <w:szCs w:val="20"/>
                <w:lang w:eastAsia="en-AU"/>
              </w:rPr>
              <w:t>o</w:t>
            </w:r>
            <w:r w:rsidRPr="002E1239">
              <w:rPr>
                <w:rFonts w:ascii="Calibri" w:eastAsia="Times New Roman" w:hAnsi="Calibri" w:cs="Calibri"/>
                <w:color w:val="000000"/>
                <w:sz w:val="20"/>
                <w:szCs w:val="20"/>
                <w:lang w:eastAsia="en-AU"/>
              </w:rPr>
              <w:t>ngoing contracts engaging consultants that were entered into during a previous period</w:t>
            </w:r>
          </w:p>
        </w:tc>
        <w:tc>
          <w:tcPr>
            <w:tcW w:w="1847" w:type="dxa"/>
          </w:tcPr>
          <w:p w14:paraId="4AE204A0" w14:textId="77777777" w:rsidR="00AB6753" w:rsidRPr="00A526BE" w:rsidRDefault="00AB6753" w:rsidP="002D1EA4">
            <w:pPr>
              <w:ind w:left="32" w:firstLine="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A526BE">
              <w:rPr>
                <w:rFonts w:ascii="Calibri" w:eastAsia="Times New Roman" w:hAnsi="Calibri" w:cs="Calibri"/>
                <w:color w:val="000000"/>
                <w:sz w:val="20"/>
                <w:szCs w:val="20"/>
                <w:lang w:eastAsia="en-AU"/>
              </w:rPr>
              <w:t>51</w:t>
            </w:r>
          </w:p>
        </w:tc>
      </w:tr>
      <w:tr w:rsidR="00AB6753" w:rsidRPr="000B0274" w14:paraId="190C1C4B" w14:textId="77777777" w:rsidTr="002D1EA4">
        <w:trPr>
          <w:trHeight w:val="315"/>
        </w:trPr>
        <w:tc>
          <w:tcPr>
            <w:cnfStyle w:val="001000000000" w:firstRow="0" w:lastRow="0" w:firstColumn="1" w:lastColumn="0" w:oddVBand="0" w:evenVBand="0" w:oddHBand="0" w:evenHBand="0" w:firstRowFirstColumn="0" w:firstRowLastColumn="0" w:lastRowFirstColumn="0" w:lastRowLastColumn="0"/>
            <w:tcW w:w="7367" w:type="dxa"/>
          </w:tcPr>
          <w:p w14:paraId="1602613D" w14:textId="77777777" w:rsidR="00AB6753" w:rsidRPr="00A526BE" w:rsidRDefault="00AB6753" w:rsidP="002D1EA4">
            <w:pPr>
              <w:ind w:left="32" w:firstLine="3"/>
              <w:rPr>
                <w:rFonts w:ascii="Calibri" w:eastAsia="Times New Roman" w:hAnsi="Calibri" w:cs="Calibri"/>
                <w:b w:val="0"/>
                <w:color w:val="000000"/>
                <w:sz w:val="20"/>
                <w:szCs w:val="20"/>
                <w:lang w:eastAsia="en-AU"/>
              </w:rPr>
            </w:pPr>
            <w:r w:rsidRPr="002E1239">
              <w:rPr>
                <w:rFonts w:ascii="Calibri" w:eastAsia="Times New Roman" w:hAnsi="Calibri" w:cs="Calibri"/>
                <w:color w:val="000000"/>
                <w:sz w:val="20"/>
                <w:szCs w:val="20"/>
                <w:lang w:eastAsia="en-AU"/>
              </w:rPr>
              <w:t>Total actual expenditure during the period on ongoing contracts (</w:t>
            </w:r>
            <w:proofErr w:type="spellStart"/>
            <w:r w:rsidRPr="002E1239">
              <w:rPr>
                <w:rFonts w:ascii="Calibri" w:eastAsia="Times New Roman" w:hAnsi="Calibri" w:cs="Calibri"/>
                <w:color w:val="000000"/>
                <w:sz w:val="20"/>
                <w:szCs w:val="20"/>
                <w:lang w:eastAsia="en-AU"/>
              </w:rPr>
              <w:t>inc.</w:t>
            </w:r>
            <w:proofErr w:type="spellEnd"/>
            <w:r w:rsidRPr="002E1239">
              <w:rPr>
                <w:rFonts w:ascii="Calibri" w:eastAsia="Times New Roman" w:hAnsi="Calibri" w:cs="Calibri"/>
                <w:color w:val="000000"/>
                <w:sz w:val="20"/>
                <w:szCs w:val="20"/>
                <w:lang w:eastAsia="en-AU"/>
              </w:rPr>
              <w:t xml:space="preserve"> $GST)</w:t>
            </w:r>
            <w:r>
              <w:rPr>
                <w:rFonts w:ascii="Calibri" w:eastAsia="Times New Roman" w:hAnsi="Calibri" w:cs="Calibri"/>
                <w:b w:val="0"/>
                <w:color w:val="000000"/>
                <w:sz w:val="20"/>
                <w:szCs w:val="20"/>
                <w:lang w:eastAsia="en-AU"/>
              </w:rPr>
              <w:t xml:space="preserve"> in</w:t>
            </w:r>
            <w:r>
              <w:rPr>
                <w:rFonts w:ascii="Calibri" w:eastAsia="Times New Roman" w:hAnsi="Calibri" w:cs="Calibri"/>
                <w:b w:val="0"/>
                <w:color w:val="000000"/>
                <w:sz w:val="20"/>
                <w:szCs w:val="20"/>
                <w:lang w:eastAsia="en-AU"/>
              </w:rPr>
              <w:br/>
              <w:t>$ millions</w:t>
            </w:r>
          </w:p>
        </w:tc>
        <w:tc>
          <w:tcPr>
            <w:tcW w:w="1847" w:type="dxa"/>
          </w:tcPr>
          <w:p w14:paraId="74591874" w14:textId="77777777" w:rsidR="00AB6753" w:rsidRPr="00A526BE" w:rsidRDefault="00AB6753" w:rsidP="002D1EA4">
            <w:pPr>
              <w:ind w:left="32" w:firstLine="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A526BE">
              <w:rPr>
                <w:rFonts w:ascii="Calibri" w:eastAsia="Times New Roman" w:hAnsi="Calibri" w:cs="Calibri"/>
                <w:color w:val="000000"/>
                <w:sz w:val="20"/>
                <w:szCs w:val="20"/>
                <w:lang w:eastAsia="en-AU"/>
              </w:rPr>
              <w:t>9.7</w:t>
            </w:r>
          </w:p>
        </w:tc>
      </w:tr>
    </w:tbl>
    <w:p w14:paraId="00A6305B" w14:textId="77777777" w:rsidR="00AB6753" w:rsidRDefault="00AB6753" w:rsidP="00AB6753">
      <w:pPr>
        <w:rPr>
          <w:rFonts w:cs="Arial"/>
          <w:sz w:val="24"/>
          <w:szCs w:val="24"/>
        </w:rPr>
      </w:pPr>
    </w:p>
    <w:p w14:paraId="0299D500" w14:textId="77777777" w:rsidR="00AB6753" w:rsidRPr="00870367" w:rsidRDefault="00AB6753" w:rsidP="00AB6753">
      <w:pPr>
        <w:spacing w:before="120"/>
        <w:rPr>
          <w:rFonts w:ascii="Arial Narrow" w:hAnsi="Arial Narrow" w:cs="Calibri"/>
          <w:b/>
          <w:sz w:val="20"/>
          <w:szCs w:val="20"/>
        </w:rPr>
      </w:pPr>
      <w:bookmarkStart w:id="307" w:name="_Toc5705984"/>
      <w:r>
        <w:rPr>
          <w:rFonts w:ascii="Arial Narrow" w:hAnsi="Arial Narrow" w:cs="Calibri"/>
          <w:b/>
          <w:sz w:val="20"/>
          <w:szCs w:val="20"/>
        </w:rPr>
        <w:t xml:space="preserve">Table F-23 </w:t>
      </w:r>
      <w:r w:rsidRPr="005404C4">
        <w:rPr>
          <w:rFonts w:ascii="Arial Narrow" w:hAnsi="Arial Narrow" w:cs="Calibri"/>
          <w:b/>
          <w:sz w:val="20"/>
          <w:szCs w:val="20"/>
        </w:rPr>
        <w:t>17AJ</w:t>
      </w:r>
      <w:r>
        <w:rPr>
          <w:rFonts w:ascii="Arial Narrow" w:hAnsi="Arial Narrow" w:cs="Calibri"/>
          <w:b/>
          <w:sz w:val="20"/>
          <w:szCs w:val="20"/>
        </w:rPr>
        <w:t xml:space="preserve"> </w:t>
      </w:r>
      <w:r w:rsidRPr="005404C4">
        <w:rPr>
          <w:rFonts w:ascii="Arial Narrow" w:hAnsi="Arial Narrow" w:cs="Calibri"/>
          <w:b/>
          <w:sz w:val="20"/>
          <w:szCs w:val="20"/>
        </w:rPr>
        <w:t>(e)</w:t>
      </w:r>
      <w:r w:rsidRPr="005A6B67">
        <w:rPr>
          <w:rFonts w:ascii="Arial Narrow" w:hAnsi="Arial Narrow" w:cs="Calibri"/>
          <w:b/>
          <w:sz w:val="20"/>
          <w:szCs w:val="20"/>
        </w:rPr>
        <w:t xml:space="preserve"> – </w:t>
      </w:r>
      <w:r w:rsidRPr="005404C4">
        <w:rPr>
          <w:rFonts w:ascii="Arial Narrow" w:hAnsi="Arial Narrow" w:cs="Calibri"/>
          <w:b/>
          <w:sz w:val="20"/>
          <w:szCs w:val="20"/>
        </w:rPr>
        <w:t>(g) Aids to Access</w:t>
      </w:r>
      <w:r w:rsidRPr="005A6B67">
        <w:rPr>
          <w:rFonts w:ascii="Arial Narrow" w:hAnsi="Arial Narrow" w:cs="Calibri"/>
          <w:b/>
          <w:sz w:val="20"/>
          <w:szCs w:val="20"/>
        </w:rPr>
        <w:t xml:space="preserve"> details Current Report Period (2019–20)</w:t>
      </w:r>
      <w:bookmarkEnd w:id="307"/>
    </w:p>
    <w:tbl>
      <w:tblPr>
        <w:tblStyle w:val="TableGrid"/>
        <w:tblW w:w="0" w:type="auto"/>
        <w:tblLook w:val="04A0" w:firstRow="1" w:lastRow="0" w:firstColumn="1" w:lastColumn="0" w:noHBand="0" w:noVBand="1"/>
        <w:tblCaption w:val="Table F-23 Aids to access details current report period (2019-20)"/>
        <w:tblDescription w:val="This table provides contact officer and the department's website address. Contact Officer, Branch Manager, Government and Executive Services Branch, Department of Social Services, phone 1300653007 or international +61061460001. Email annual.report@dss.gov.au; website URL dss.gov.au/annualreport"/>
      </w:tblPr>
      <w:tblGrid>
        <w:gridCol w:w="4508"/>
        <w:gridCol w:w="4508"/>
      </w:tblGrid>
      <w:tr w:rsidR="00AB6753" w14:paraId="408BB66E" w14:textId="77777777" w:rsidTr="002D1EA4">
        <w:tc>
          <w:tcPr>
            <w:tcW w:w="4508" w:type="dxa"/>
          </w:tcPr>
          <w:p w14:paraId="628D0E7B" w14:textId="77777777" w:rsidR="00AB6753" w:rsidRPr="00564BDC" w:rsidRDefault="00AB6753" w:rsidP="002D1EA4">
            <w:pPr>
              <w:keepNext/>
              <w:keepLines/>
              <w:spacing w:before="120" w:after="120"/>
              <w:rPr>
                <w:b/>
                <w:sz w:val="20"/>
                <w:szCs w:val="20"/>
              </w:rPr>
            </w:pPr>
            <w:r w:rsidRPr="00564BDC">
              <w:rPr>
                <w:b/>
                <w:sz w:val="20"/>
                <w:szCs w:val="20"/>
              </w:rPr>
              <w:t xml:space="preserve">Annual </w:t>
            </w:r>
            <w:r>
              <w:rPr>
                <w:b/>
                <w:sz w:val="20"/>
                <w:szCs w:val="20"/>
              </w:rPr>
              <w:t>R</w:t>
            </w:r>
            <w:r w:rsidRPr="00564BDC">
              <w:rPr>
                <w:b/>
                <w:sz w:val="20"/>
                <w:szCs w:val="20"/>
              </w:rPr>
              <w:t>eport Contact Officer</w:t>
            </w:r>
          </w:p>
          <w:p w14:paraId="587173D6" w14:textId="77777777" w:rsidR="00AB6753" w:rsidRPr="00564BDC" w:rsidRDefault="00AB6753" w:rsidP="002D1EA4">
            <w:pPr>
              <w:keepNext/>
              <w:keepLines/>
              <w:spacing w:before="120" w:after="120"/>
              <w:rPr>
                <w:b/>
                <w:sz w:val="20"/>
                <w:szCs w:val="20"/>
              </w:rPr>
            </w:pPr>
            <w:r w:rsidRPr="00564BDC">
              <w:rPr>
                <w:b/>
                <w:sz w:val="20"/>
                <w:szCs w:val="20"/>
              </w:rPr>
              <w:t>(Title/Position held)</w:t>
            </w:r>
          </w:p>
        </w:tc>
        <w:tc>
          <w:tcPr>
            <w:tcW w:w="4508" w:type="dxa"/>
          </w:tcPr>
          <w:p w14:paraId="1375C099" w14:textId="77777777" w:rsidR="00AB6753" w:rsidRDefault="00AB6753" w:rsidP="002D1EA4">
            <w:pPr>
              <w:keepNext/>
              <w:keepLines/>
              <w:spacing w:before="120" w:after="120"/>
              <w:rPr>
                <w:sz w:val="20"/>
                <w:szCs w:val="20"/>
              </w:rPr>
            </w:pPr>
            <w:r>
              <w:rPr>
                <w:sz w:val="20"/>
                <w:szCs w:val="20"/>
              </w:rPr>
              <w:t xml:space="preserve">Branch Manager, </w:t>
            </w:r>
          </w:p>
          <w:p w14:paraId="276A579E" w14:textId="77777777" w:rsidR="00AB6753" w:rsidRDefault="00AB6753" w:rsidP="002D1EA4">
            <w:pPr>
              <w:keepNext/>
              <w:keepLines/>
              <w:spacing w:before="120" w:after="120"/>
              <w:rPr>
                <w:sz w:val="20"/>
                <w:szCs w:val="20"/>
              </w:rPr>
            </w:pPr>
            <w:r>
              <w:rPr>
                <w:sz w:val="20"/>
                <w:szCs w:val="20"/>
              </w:rPr>
              <w:t>Government and Executive Services Branch,</w:t>
            </w:r>
          </w:p>
          <w:p w14:paraId="35B01E6B" w14:textId="77777777" w:rsidR="00AB6753" w:rsidRDefault="00AB6753" w:rsidP="002D1EA4">
            <w:pPr>
              <w:keepNext/>
              <w:keepLines/>
              <w:spacing w:before="120" w:after="120"/>
              <w:rPr>
                <w:sz w:val="20"/>
                <w:szCs w:val="20"/>
              </w:rPr>
            </w:pPr>
            <w:r>
              <w:rPr>
                <w:sz w:val="20"/>
                <w:szCs w:val="20"/>
              </w:rPr>
              <w:t>Department of Social Services</w:t>
            </w:r>
          </w:p>
        </w:tc>
      </w:tr>
      <w:tr w:rsidR="00AB6753" w14:paraId="40A71F40" w14:textId="77777777" w:rsidTr="002D1EA4">
        <w:tc>
          <w:tcPr>
            <w:tcW w:w="4508" w:type="dxa"/>
          </w:tcPr>
          <w:p w14:paraId="4AE25F58" w14:textId="77777777" w:rsidR="00AB6753" w:rsidRPr="00564BDC" w:rsidRDefault="00AB6753" w:rsidP="002D1EA4">
            <w:pPr>
              <w:keepNext/>
              <w:keepLines/>
              <w:spacing w:before="120" w:after="120"/>
              <w:rPr>
                <w:b/>
                <w:sz w:val="20"/>
                <w:szCs w:val="20"/>
              </w:rPr>
            </w:pPr>
            <w:r w:rsidRPr="00564BDC">
              <w:rPr>
                <w:b/>
                <w:sz w:val="20"/>
                <w:szCs w:val="20"/>
              </w:rPr>
              <w:t>Contact Phone Number</w:t>
            </w:r>
          </w:p>
        </w:tc>
        <w:tc>
          <w:tcPr>
            <w:tcW w:w="4508" w:type="dxa"/>
          </w:tcPr>
          <w:p w14:paraId="69709473" w14:textId="77777777" w:rsidR="00AB6753" w:rsidRDefault="00AB6753" w:rsidP="002D1EA4">
            <w:pPr>
              <w:keepNext/>
              <w:keepLines/>
              <w:spacing w:before="120" w:after="120"/>
              <w:rPr>
                <w:sz w:val="20"/>
                <w:szCs w:val="20"/>
              </w:rPr>
            </w:pPr>
            <w:r>
              <w:rPr>
                <w:sz w:val="20"/>
                <w:szCs w:val="20"/>
              </w:rPr>
              <w:t>1300 653 007</w:t>
            </w:r>
          </w:p>
          <w:p w14:paraId="1EFBE5AF" w14:textId="76DDE289" w:rsidR="00AB6753" w:rsidRDefault="0058632B" w:rsidP="002D1EA4">
            <w:pPr>
              <w:keepNext/>
              <w:keepLines/>
              <w:spacing w:before="120" w:after="120"/>
              <w:rPr>
                <w:sz w:val="20"/>
                <w:szCs w:val="20"/>
              </w:rPr>
            </w:pPr>
            <w:r>
              <w:rPr>
                <w:sz w:val="20"/>
                <w:szCs w:val="20"/>
              </w:rPr>
              <w:t>o</w:t>
            </w:r>
            <w:r w:rsidR="00AB6753">
              <w:rPr>
                <w:sz w:val="20"/>
                <w:szCs w:val="20"/>
              </w:rPr>
              <w:t>r International +61 0 6146 0001</w:t>
            </w:r>
          </w:p>
        </w:tc>
      </w:tr>
      <w:tr w:rsidR="00AB6753" w14:paraId="3E66FD19" w14:textId="77777777" w:rsidTr="002D1EA4">
        <w:tc>
          <w:tcPr>
            <w:tcW w:w="4508" w:type="dxa"/>
          </w:tcPr>
          <w:p w14:paraId="6666A853" w14:textId="77777777" w:rsidR="00AB6753" w:rsidRPr="00564BDC" w:rsidRDefault="00AB6753" w:rsidP="002D1EA4">
            <w:pPr>
              <w:keepNext/>
              <w:keepLines/>
              <w:spacing w:before="120" w:after="120"/>
              <w:rPr>
                <w:b/>
                <w:sz w:val="20"/>
                <w:szCs w:val="20"/>
              </w:rPr>
            </w:pPr>
            <w:r w:rsidRPr="00564BDC">
              <w:rPr>
                <w:b/>
                <w:sz w:val="20"/>
                <w:szCs w:val="20"/>
              </w:rPr>
              <w:t>Contact Email</w:t>
            </w:r>
          </w:p>
        </w:tc>
        <w:tc>
          <w:tcPr>
            <w:tcW w:w="4508" w:type="dxa"/>
          </w:tcPr>
          <w:p w14:paraId="0B545C56" w14:textId="77777777" w:rsidR="00AB6753" w:rsidRDefault="00AB6753" w:rsidP="002D1EA4">
            <w:pPr>
              <w:keepNext/>
              <w:keepLines/>
              <w:spacing w:before="120" w:after="120"/>
              <w:rPr>
                <w:sz w:val="20"/>
                <w:szCs w:val="20"/>
              </w:rPr>
            </w:pPr>
            <w:r>
              <w:rPr>
                <w:sz w:val="20"/>
                <w:szCs w:val="20"/>
              </w:rPr>
              <w:t>annual.report@dss.gov.au</w:t>
            </w:r>
          </w:p>
        </w:tc>
      </w:tr>
      <w:tr w:rsidR="00AB6753" w14:paraId="6E9C89FC" w14:textId="77777777" w:rsidTr="002D1EA4">
        <w:tc>
          <w:tcPr>
            <w:tcW w:w="4508" w:type="dxa"/>
          </w:tcPr>
          <w:p w14:paraId="10088838" w14:textId="77777777" w:rsidR="00AB6753" w:rsidRPr="00564BDC" w:rsidRDefault="00AB6753" w:rsidP="002D1EA4">
            <w:pPr>
              <w:keepNext/>
              <w:keepLines/>
              <w:spacing w:before="120" w:after="120"/>
              <w:rPr>
                <w:b/>
                <w:sz w:val="20"/>
                <w:szCs w:val="20"/>
              </w:rPr>
            </w:pPr>
            <w:r w:rsidRPr="00564BDC">
              <w:rPr>
                <w:b/>
                <w:sz w:val="20"/>
                <w:szCs w:val="20"/>
              </w:rPr>
              <w:t>Entity Website (URL)</w:t>
            </w:r>
          </w:p>
        </w:tc>
        <w:tc>
          <w:tcPr>
            <w:tcW w:w="4508" w:type="dxa"/>
          </w:tcPr>
          <w:p w14:paraId="325E818B" w14:textId="77777777" w:rsidR="00AB6753" w:rsidRDefault="00AB6753" w:rsidP="002D1EA4">
            <w:pPr>
              <w:keepNext/>
              <w:keepLines/>
              <w:spacing w:before="120" w:after="120"/>
              <w:rPr>
                <w:sz w:val="20"/>
                <w:szCs w:val="20"/>
              </w:rPr>
            </w:pPr>
            <w:r>
              <w:rPr>
                <w:sz w:val="20"/>
                <w:szCs w:val="20"/>
              </w:rPr>
              <w:t>dss.gov.au/</w:t>
            </w:r>
            <w:proofErr w:type="spellStart"/>
            <w:r>
              <w:rPr>
                <w:sz w:val="20"/>
                <w:szCs w:val="20"/>
              </w:rPr>
              <w:t>annualreport</w:t>
            </w:r>
            <w:proofErr w:type="spellEnd"/>
          </w:p>
        </w:tc>
      </w:tr>
    </w:tbl>
    <w:p w14:paraId="0666763F" w14:textId="77777777" w:rsidR="00AB6753" w:rsidRDefault="00AB6753" w:rsidP="00AB6753">
      <w:pPr>
        <w:rPr>
          <w:rFonts w:cs="Arial"/>
          <w:sz w:val="24"/>
          <w:szCs w:val="24"/>
        </w:rPr>
        <w:sectPr w:rsidR="00AB6753" w:rsidSect="00123D6C">
          <w:pgSz w:w="11906" w:h="16838"/>
          <w:pgMar w:top="1440" w:right="1440" w:bottom="1440" w:left="1440" w:header="709" w:footer="709" w:gutter="0"/>
          <w:cols w:space="708"/>
          <w:docGrid w:linePitch="360"/>
        </w:sectPr>
      </w:pPr>
      <w:r>
        <w:br w:type="page"/>
      </w:r>
    </w:p>
    <w:p w14:paraId="23D2FF5E" w14:textId="77777777" w:rsidR="00AB6753" w:rsidRPr="00F32D92" w:rsidRDefault="00AB6753" w:rsidP="00AB6753">
      <w:pPr>
        <w:pStyle w:val="Heading5"/>
        <w:spacing w:before="120" w:after="120"/>
        <w:rPr>
          <w:color w:val="auto"/>
          <w:sz w:val="28"/>
          <w:szCs w:val="28"/>
        </w:rPr>
      </w:pPr>
      <w:r w:rsidRPr="00F32D92">
        <w:rPr>
          <w:color w:val="auto"/>
          <w:sz w:val="28"/>
          <w:szCs w:val="28"/>
        </w:rPr>
        <w:lastRenderedPageBreak/>
        <w:t xml:space="preserve">Appendix G </w:t>
      </w:r>
    </w:p>
    <w:p w14:paraId="709B80A1" w14:textId="77777777" w:rsidR="00AB6753" w:rsidRPr="00054A67" w:rsidRDefault="00AB6753" w:rsidP="00AB6753">
      <w:pPr>
        <w:pStyle w:val="Heading1"/>
        <w:spacing w:before="240" w:after="240"/>
        <w:rPr>
          <w:rFonts w:ascii="Georgia" w:hAnsi="Georgia"/>
          <w:b w:val="0"/>
          <w:color w:val="215868" w:themeColor="accent5" w:themeShade="80"/>
          <w:sz w:val="72"/>
        </w:rPr>
      </w:pPr>
      <w:r w:rsidRPr="00054A67">
        <w:rPr>
          <w:rFonts w:ascii="Georgia" w:hAnsi="Georgia"/>
          <w:b w:val="0"/>
          <w:color w:val="215868" w:themeColor="accent5" w:themeShade="80"/>
          <w:sz w:val="72"/>
        </w:rPr>
        <w:t>Glossary of abbreviations and acronyms</w:t>
      </w:r>
    </w:p>
    <w:p w14:paraId="18A28545" w14:textId="77777777" w:rsidR="00AB6753" w:rsidRPr="00833C50" w:rsidRDefault="00AB6753" w:rsidP="00AB6753">
      <w:pPr>
        <w:pStyle w:val="Heading4"/>
        <w:spacing w:after="200"/>
        <w:rPr>
          <w:rFonts w:ascii="Georgia" w:hAnsi="Georgia"/>
          <w:b w:val="0"/>
          <w:i w:val="0"/>
          <w:sz w:val="36"/>
        </w:rPr>
      </w:pPr>
      <w:r w:rsidRPr="00833C50">
        <w:rPr>
          <w:rFonts w:ascii="Georgia" w:hAnsi="Georgia"/>
          <w:b w:val="0"/>
          <w:i w:val="0"/>
          <w:sz w:val="36"/>
        </w:rPr>
        <w:t>Abbreviations and conventions</w:t>
      </w:r>
    </w:p>
    <w:p w14:paraId="2DDF6762" w14:textId="77777777" w:rsidR="00AB6753" w:rsidRDefault="00AB6753" w:rsidP="00AB6753">
      <w:pPr>
        <w:tabs>
          <w:tab w:val="left" w:pos="1985"/>
        </w:tabs>
        <w:spacing w:beforeLines="20" w:before="48" w:afterLines="40" w:after="96" w:line="280" w:lineRule="exact"/>
        <w:ind w:left="1985" w:hanging="1985"/>
        <w:rPr>
          <w:rFonts w:cs="Arial"/>
          <w:sz w:val="18"/>
          <w:szCs w:val="20"/>
        </w:rPr>
        <w:sectPr w:rsidR="00AB6753" w:rsidSect="00123D6C">
          <w:headerReference w:type="default" r:id="rId75"/>
          <w:pgSz w:w="11906" w:h="16838"/>
          <w:pgMar w:top="1440" w:right="1440" w:bottom="1440" w:left="1440" w:header="708" w:footer="708" w:gutter="0"/>
          <w:cols w:space="708"/>
          <w:docGrid w:linePitch="360"/>
        </w:sectPr>
      </w:pPr>
    </w:p>
    <w:p w14:paraId="6E8DE0BB"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AAO</w:t>
      </w:r>
      <w:r>
        <w:rPr>
          <w:rFonts w:cs="Arial"/>
          <w:sz w:val="20"/>
          <w:szCs w:val="20"/>
        </w:rPr>
        <w:tab/>
        <w:t>Administrative Arrangement Orders</w:t>
      </w:r>
    </w:p>
    <w:p w14:paraId="53F366BC"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AASB</w:t>
      </w:r>
      <w:r>
        <w:rPr>
          <w:rFonts w:cs="Arial"/>
          <w:sz w:val="20"/>
          <w:szCs w:val="20"/>
        </w:rPr>
        <w:tab/>
        <w:t>Australian Accounting Standards Board</w:t>
      </w:r>
    </w:p>
    <w:p w14:paraId="3BB91D6D"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sidRPr="0023203C">
        <w:rPr>
          <w:rFonts w:cs="Arial"/>
          <w:sz w:val="20"/>
          <w:szCs w:val="20"/>
        </w:rPr>
        <w:t>ABS</w:t>
      </w:r>
      <w:r w:rsidRPr="0023203C">
        <w:rPr>
          <w:rFonts w:cs="Arial"/>
          <w:sz w:val="20"/>
          <w:szCs w:val="20"/>
        </w:rPr>
        <w:tab/>
        <w:t>Australian Bureau of Statistics</w:t>
      </w:r>
    </w:p>
    <w:p w14:paraId="5306CBA0" w14:textId="5EA0A277" w:rsidR="00B46F13" w:rsidRDefault="00B46F13" w:rsidP="00AB6753">
      <w:pPr>
        <w:tabs>
          <w:tab w:val="left" w:pos="1985"/>
        </w:tabs>
        <w:spacing w:beforeLines="20" w:before="48" w:afterLines="40" w:after="96" w:line="280" w:lineRule="exact"/>
        <w:ind w:left="1985" w:hanging="1985"/>
        <w:rPr>
          <w:rFonts w:cs="Arial"/>
          <w:sz w:val="20"/>
          <w:szCs w:val="20"/>
        </w:rPr>
      </w:pPr>
      <w:r>
        <w:rPr>
          <w:rFonts w:cs="Arial"/>
          <w:sz w:val="20"/>
          <w:szCs w:val="20"/>
        </w:rPr>
        <w:t>AIC</w:t>
      </w:r>
      <w:r>
        <w:rPr>
          <w:rFonts w:cs="Arial"/>
          <w:sz w:val="20"/>
          <w:szCs w:val="20"/>
        </w:rPr>
        <w:tab/>
        <w:t>Assistance for Isolated Children</w:t>
      </w:r>
    </w:p>
    <w:p w14:paraId="47AAC45A" w14:textId="2A31C95D"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AIFS</w:t>
      </w:r>
      <w:r>
        <w:rPr>
          <w:rFonts w:cs="Arial"/>
          <w:sz w:val="20"/>
          <w:szCs w:val="20"/>
        </w:rPr>
        <w:tab/>
        <w:t>Australian Institute of Family Studies</w:t>
      </w:r>
    </w:p>
    <w:p w14:paraId="7D3B7DCB"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AFIS</w:t>
      </w:r>
      <w:r>
        <w:rPr>
          <w:rFonts w:cs="Arial"/>
          <w:sz w:val="20"/>
          <w:szCs w:val="20"/>
        </w:rPr>
        <w:tab/>
        <w:t>Assistance for Isolated Children</w:t>
      </w:r>
    </w:p>
    <w:p w14:paraId="6E55D16D"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ANAO</w:t>
      </w:r>
      <w:r>
        <w:rPr>
          <w:rFonts w:cs="Arial"/>
          <w:sz w:val="20"/>
          <w:szCs w:val="20"/>
        </w:rPr>
        <w:tab/>
        <w:t>Australian National Audit Office</w:t>
      </w:r>
    </w:p>
    <w:p w14:paraId="6D502606"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sidRPr="004B2DFF">
        <w:rPr>
          <w:rFonts w:cs="Arial"/>
          <w:sz w:val="20"/>
          <w:szCs w:val="20"/>
        </w:rPr>
        <w:t>ANROWS</w:t>
      </w:r>
      <w:r w:rsidRPr="004B2DFF">
        <w:rPr>
          <w:rFonts w:cs="Arial"/>
          <w:sz w:val="20"/>
          <w:szCs w:val="20"/>
        </w:rPr>
        <w:tab/>
        <w:t>Australia’s National Research Organisation for Women’s Safety</w:t>
      </w:r>
    </w:p>
    <w:p w14:paraId="36CFB5E2"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ANZSOG</w:t>
      </w:r>
      <w:r>
        <w:rPr>
          <w:rFonts w:cs="Arial"/>
          <w:sz w:val="20"/>
          <w:szCs w:val="20"/>
        </w:rPr>
        <w:tab/>
        <w:t>Australia and New Zealand School of Government</w:t>
      </w:r>
    </w:p>
    <w:p w14:paraId="598162C3"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AO</w:t>
      </w:r>
      <w:r>
        <w:rPr>
          <w:rFonts w:cs="Arial"/>
          <w:sz w:val="20"/>
          <w:szCs w:val="20"/>
        </w:rPr>
        <w:tab/>
        <w:t>Order of Australia</w:t>
      </w:r>
    </w:p>
    <w:p w14:paraId="479C7BB4" w14:textId="5E263A47" w:rsidR="00B46F13" w:rsidRDefault="00B46F13" w:rsidP="00AB6753">
      <w:pPr>
        <w:tabs>
          <w:tab w:val="left" w:pos="1985"/>
        </w:tabs>
        <w:spacing w:beforeLines="20" w:before="48" w:afterLines="40" w:after="96" w:line="280" w:lineRule="exact"/>
        <w:ind w:left="1985" w:hanging="1985"/>
        <w:rPr>
          <w:rFonts w:cs="Arial"/>
          <w:sz w:val="20"/>
          <w:szCs w:val="20"/>
        </w:rPr>
      </w:pPr>
      <w:r>
        <w:rPr>
          <w:rFonts w:cs="Arial"/>
          <w:sz w:val="20"/>
          <w:szCs w:val="20"/>
        </w:rPr>
        <w:t>AP</w:t>
      </w:r>
      <w:r>
        <w:rPr>
          <w:rFonts w:cs="Arial"/>
          <w:sz w:val="20"/>
          <w:szCs w:val="20"/>
        </w:rPr>
        <w:tab/>
        <w:t>Age Pension</w:t>
      </w:r>
    </w:p>
    <w:p w14:paraId="53B6AD81" w14:textId="12685549"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APS</w:t>
      </w:r>
      <w:r>
        <w:rPr>
          <w:rFonts w:cs="Arial"/>
          <w:sz w:val="20"/>
          <w:szCs w:val="20"/>
        </w:rPr>
        <w:tab/>
        <w:t>Australian Public Service</w:t>
      </w:r>
    </w:p>
    <w:p w14:paraId="222AFF76"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APSC</w:t>
      </w:r>
      <w:r>
        <w:rPr>
          <w:rFonts w:cs="Arial"/>
          <w:sz w:val="20"/>
          <w:szCs w:val="20"/>
        </w:rPr>
        <w:tab/>
        <w:t>Australian Public Service Commission</w:t>
      </w:r>
    </w:p>
    <w:p w14:paraId="66972449"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AS/NZS</w:t>
      </w:r>
      <w:r>
        <w:rPr>
          <w:rFonts w:cs="Arial"/>
          <w:sz w:val="20"/>
          <w:szCs w:val="20"/>
        </w:rPr>
        <w:tab/>
        <w:t>Australian/New Zealand International Standard</w:t>
      </w:r>
    </w:p>
    <w:p w14:paraId="4F57FD3A" w14:textId="77777777" w:rsidR="00AB6753" w:rsidRPr="004B2DFF" w:rsidRDefault="00AB6753" w:rsidP="00AB6753">
      <w:pPr>
        <w:tabs>
          <w:tab w:val="left" w:pos="1985"/>
        </w:tabs>
        <w:spacing w:beforeLines="20" w:before="48" w:afterLines="40" w:after="96" w:line="280" w:lineRule="exact"/>
        <w:ind w:left="1985" w:hanging="1985"/>
        <w:rPr>
          <w:rFonts w:cs="Arial"/>
          <w:sz w:val="20"/>
          <w:szCs w:val="20"/>
        </w:rPr>
      </w:pPr>
      <w:r w:rsidRPr="004B2DFF">
        <w:rPr>
          <w:rFonts w:cs="Arial"/>
          <w:sz w:val="20"/>
          <w:szCs w:val="20"/>
        </w:rPr>
        <w:t>ATSICPP</w:t>
      </w:r>
      <w:r w:rsidRPr="004B2DFF">
        <w:rPr>
          <w:rFonts w:cs="Arial"/>
          <w:sz w:val="20"/>
          <w:szCs w:val="20"/>
        </w:rPr>
        <w:tab/>
        <w:t>Aboriginal and Torres Strait Islander Child Placement Principle</w:t>
      </w:r>
    </w:p>
    <w:p w14:paraId="7D9A8BCF" w14:textId="77777777" w:rsidR="00AB6753" w:rsidRPr="004B2DFF" w:rsidRDefault="00AB6753" w:rsidP="00AB6753">
      <w:pPr>
        <w:tabs>
          <w:tab w:val="left" w:pos="1985"/>
        </w:tabs>
        <w:spacing w:beforeLines="20" w:before="48" w:afterLines="40" w:after="96" w:line="280" w:lineRule="exact"/>
        <w:ind w:left="1985" w:hanging="1985"/>
        <w:rPr>
          <w:rFonts w:cs="Arial"/>
          <w:sz w:val="20"/>
          <w:szCs w:val="20"/>
        </w:rPr>
      </w:pPr>
      <w:r w:rsidRPr="004B2DFF">
        <w:rPr>
          <w:rFonts w:cs="Arial"/>
          <w:sz w:val="20"/>
          <w:szCs w:val="20"/>
        </w:rPr>
        <w:t>BCAP</w:t>
      </w:r>
      <w:r w:rsidRPr="004B2DFF">
        <w:rPr>
          <w:rFonts w:cs="Arial"/>
          <w:sz w:val="20"/>
          <w:szCs w:val="20"/>
        </w:rPr>
        <w:tab/>
        <w:t>Building Capacity in Australian Parents</w:t>
      </w:r>
    </w:p>
    <w:p w14:paraId="0B302DD0" w14:textId="06391811" w:rsidR="00ED5289" w:rsidRDefault="00ED5289" w:rsidP="00AB6753">
      <w:pPr>
        <w:tabs>
          <w:tab w:val="left" w:pos="1985"/>
        </w:tabs>
        <w:spacing w:beforeLines="20" w:before="48" w:afterLines="40" w:after="96" w:line="280" w:lineRule="exact"/>
        <w:ind w:left="1985" w:hanging="1985"/>
        <w:rPr>
          <w:rFonts w:cs="Arial"/>
          <w:sz w:val="20"/>
          <w:szCs w:val="20"/>
        </w:rPr>
      </w:pPr>
      <w:r>
        <w:rPr>
          <w:rFonts w:cs="Arial"/>
          <w:sz w:val="20"/>
          <w:szCs w:val="20"/>
        </w:rPr>
        <w:t>CALD</w:t>
      </w:r>
      <w:r>
        <w:rPr>
          <w:rFonts w:cs="Arial"/>
          <w:sz w:val="20"/>
          <w:szCs w:val="20"/>
        </w:rPr>
        <w:tab/>
        <w:t>Culturally and Linguistically Diverse</w:t>
      </w:r>
    </w:p>
    <w:p w14:paraId="2CF27A10" w14:textId="317907E2" w:rsidR="00AB6753" w:rsidRDefault="00AB6753" w:rsidP="00AB6753">
      <w:pPr>
        <w:tabs>
          <w:tab w:val="left" w:pos="1985"/>
        </w:tabs>
        <w:spacing w:beforeLines="20" w:before="48" w:afterLines="40" w:after="96" w:line="280" w:lineRule="exact"/>
        <w:ind w:left="1985" w:hanging="1985"/>
        <w:rPr>
          <w:rFonts w:cs="Arial"/>
          <w:sz w:val="20"/>
          <w:szCs w:val="20"/>
        </w:rPr>
      </w:pPr>
      <w:r w:rsidRPr="004B2DFF">
        <w:rPr>
          <w:rFonts w:cs="Arial"/>
          <w:sz w:val="20"/>
          <w:szCs w:val="20"/>
        </w:rPr>
        <w:t>CFCA</w:t>
      </w:r>
      <w:r w:rsidRPr="004B2DFF">
        <w:rPr>
          <w:rFonts w:cs="Arial"/>
          <w:sz w:val="20"/>
          <w:szCs w:val="20"/>
        </w:rPr>
        <w:tab/>
        <w:t>Child Family Community Australia</w:t>
      </w:r>
    </w:p>
    <w:p w14:paraId="6D418702" w14:textId="77777777" w:rsidR="00AB6753" w:rsidRPr="004B2DFF"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COAG</w:t>
      </w:r>
      <w:r>
        <w:rPr>
          <w:rFonts w:cs="Arial"/>
          <w:sz w:val="20"/>
          <w:szCs w:val="20"/>
        </w:rPr>
        <w:tab/>
        <w:t>Council of Australian Governments</w:t>
      </w:r>
    </w:p>
    <w:p w14:paraId="05E557B5" w14:textId="77777777" w:rsidR="00AB6753" w:rsidRPr="00074C7D" w:rsidRDefault="00AB6753" w:rsidP="00AB6753">
      <w:pPr>
        <w:tabs>
          <w:tab w:val="left" w:pos="1985"/>
        </w:tabs>
        <w:spacing w:beforeLines="20" w:before="48" w:afterLines="40" w:after="96" w:line="280" w:lineRule="exact"/>
        <w:ind w:left="1985" w:hanging="1985"/>
        <w:rPr>
          <w:rFonts w:cs="Arial"/>
          <w:sz w:val="20"/>
          <w:szCs w:val="20"/>
        </w:rPr>
      </w:pPr>
      <w:r w:rsidRPr="00074C7D">
        <w:rPr>
          <w:rFonts w:cs="Arial"/>
          <w:sz w:val="20"/>
          <w:szCs w:val="20"/>
        </w:rPr>
        <w:t>COVID-19</w:t>
      </w:r>
      <w:r w:rsidRPr="00074C7D">
        <w:rPr>
          <w:rFonts w:cs="Arial"/>
          <w:sz w:val="20"/>
          <w:szCs w:val="20"/>
        </w:rPr>
        <w:tab/>
        <w:t>Coronavirus disease/ Coronavirus pandemic</w:t>
      </w:r>
    </w:p>
    <w:p w14:paraId="4A627785" w14:textId="77777777" w:rsidR="00AB6753" w:rsidRPr="00074C7D" w:rsidRDefault="00AB6753" w:rsidP="00AB6753">
      <w:pPr>
        <w:tabs>
          <w:tab w:val="left" w:pos="1985"/>
        </w:tabs>
        <w:spacing w:beforeLines="20" w:before="48" w:afterLines="40" w:after="96" w:line="280" w:lineRule="exact"/>
        <w:ind w:left="1985" w:hanging="1985"/>
        <w:rPr>
          <w:rFonts w:cs="Arial"/>
          <w:sz w:val="20"/>
          <w:szCs w:val="20"/>
        </w:rPr>
      </w:pPr>
      <w:r w:rsidRPr="00074C7D">
        <w:rPr>
          <w:rFonts w:cs="Arial"/>
          <w:sz w:val="20"/>
          <w:szCs w:val="20"/>
        </w:rPr>
        <w:t>CA</w:t>
      </w:r>
      <w:r w:rsidRPr="00074C7D">
        <w:rPr>
          <w:rFonts w:cs="Arial"/>
          <w:sz w:val="20"/>
          <w:szCs w:val="20"/>
        </w:rPr>
        <w:tab/>
        <w:t>Carer Allowance</w:t>
      </w:r>
    </w:p>
    <w:p w14:paraId="3E900F12" w14:textId="77777777" w:rsidR="00AB6753" w:rsidRPr="00074C7D" w:rsidRDefault="00AB6753" w:rsidP="00AB6753">
      <w:pPr>
        <w:tabs>
          <w:tab w:val="left" w:pos="1985"/>
        </w:tabs>
        <w:spacing w:beforeLines="20" w:before="48" w:afterLines="40" w:after="96" w:line="280" w:lineRule="exact"/>
        <w:ind w:left="1985" w:hanging="1985"/>
        <w:rPr>
          <w:rFonts w:cs="Arial"/>
          <w:sz w:val="20"/>
          <w:szCs w:val="20"/>
        </w:rPr>
      </w:pPr>
      <w:r w:rsidRPr="00074C7D">
        <w:rPr>
          <w:rFonts w:cs="Arial"/>
          <w:sz w:val="20"/>
          <w:szCs w:val="20"/>
        </w:rPr>
        <w:t>CP</w:t>
      </w:r>
      <w:r w:rsidRPr="00074C7D">
        <w:rPr>
          <w:rFonts w:cs="Arial"/>
          <w:sz w:val="20"/>
          <w:szCs w:val="20"/>
        </w:rPr>
        <w:tab/>
        <w:t>Carer Payment</w:t>
      </w:r>
    </w:p>
    <w:p w14:paraId="379EF2A4" w14:textId="77777777" w:rsidR="00AB6753" w:rsidRPr="00074C7D" w:rsidRDefault="00AB6753" w:rsidP="00AB6753">
      <w:pPr>
        <w:tabs>
          <w:tab w:val="left" w:pos="1985"/>
        </w:tabs>
        <w:spacing w:beforeLines="20" w:before="48" w:afterLines="40" w:after="96" w:line="280" w:lineRule="exact"/>
        <w:ind w:left="1985" w:hanging="1985"/>
        <w:rPr>
          <w:rFonts w:cs="Arial"/>
          <w:sz w:val="20"/>
          <w:szCs w:val="20"/>
        </w:rPr>
      </w:pPr>
      <w:r w:rsidRPr="00074C7D">
        <w:rPr>
          <w:rFonts w:cs="Arial"/>
          <w:sz w:val="20"/>
          <w:szCs w:val="20"/>
        </w:rPr>
        <w:t>CPA</w:t>
      </w:r>
      <w:r w:rsidRPr="00074C7D">
        <w:rPr>
          <w:rFonts w:cs="Arial"/>
          <w:sz w:val="20"/>
          <w:szCs w:val="20"/>
        </w:rPr>
        <w:tab/>
        <w:t>Certified Practising Accountant</w:t>
      </w:r>
    </w:p>
    <w:p w14:paraId="67CF53E5" w14:textId="77777777" w:rsidR="00AB6753" w:rsidRPr="00074C7D" w:rsidRDefault="00AB6753" w:rsidP="00AB6753">
      <w:pPr>
        <w:tabs>
          <w:tab w:val="left" w:pos="1985"/>
        </w:tabs>
        <w:spacing w:beforeLines="20" w:before="48" w:afterLines="40" w:after="96" w:line="280" w:lineRule="exact"/>
        <w:ind w:left="1985" w:hanging="1985"/>
        <w:rPr>
          <w:rFonts w:cs="Arial"/>
          <w:sz w:val="20"/>
          <w:szCs w:val="20"/>
        </w:rPr>
      </w:pPr>
      <w:r w:rsidRPr="00074C7D">
        <w:rPr>
          <w:rFonts w:cs="Arial"/>
          <w:sz w:val="20"/>
          <w:szCs w:val="20"/>
        </w:rPr>
        <w:t>CRPD</w:t>
      </w:r>
      <w:r w:rsidRPr="00074C7D">
        <w:rPr>
          <w:rFonts w:cs="Arial"/>
          <w:sz w:val="20"/>
          <w:szCs w:val="20"/>
        </w:rPr>
        <w:tab/>
      </w:r>
      <w:r w:rsidRPr="00074C7D">
        <w:rPr>
          <w:rFonts w:cs="Arial"/>
          <w:i/>
          <w:sz w:val="20"/>
          <w:szCs w:val="20"/>
        </w:rPr>
        <w:t>Convention on the Rights of Persons with Disabilities</w:t>
      </w:r>
    </w:p>
    <w:p w14:paraId="17D25BA0" w14:textId="77777777" w:rsidR="00AB6753" w:rsidRDefault="00AB6753" w:rsidP="00AB6753">
      <w:pPr>
        <w:tabs>
          <w:tab w:val="left" w:pos="1985"/>
        </w:tabs>
        <w:spacing w:beforeLines="20" w:before="48" w:afterLines="40" w:after="96" w:line="280" w:lineRule="exact"/>
        <w:ind w:left="1985" w:hanging="1985"/>
        <w:rPr>
          <w:spacing w:val="4"/>
          <w:sz w:val="20"/>
          <w:szCs w:val="20"/>
        </w:rPr>
      </w:pPr>
      <w:r>
        <w:rPr>
          <w:rFonts w:cs="Arial"/>
          <w:sz w:val="20"/>
          <w:szCs w:val="20"/>
        </w:rPr>
        <w:t>CSC</w:t>
      </w:r>
      <w:r>
        <w:rPr>
          <w:rFonts w:cs="Arial"/>
          <w:sz w:val="20"/>
          <w:szCs w:val="20"/>
        </w:rPr>
        <w:tab/>
      </w:r>
      <w:r>
        <w:rPr>
          <w:spacing w:val="4"/>
          <w:sz w:val="20"/>
          <w:szCs w:val="20"/>
        </w:rPr>
        <w:t>Conspicuous Service Cross</w:t>
      </w:r>
    </w:p>
    <w:p w14:paraId="7C11BE05"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CSS</w:t>
      </w:r>
      <w:r>
        <w:rPr>
          <w:rFonts w:cs="Arial"/>
          <w:sz w:val="20"/>
          <w:szCs w:val="20"/>
        </w:rPr>
        <w:tab/>
        <w:t>Child Support Scheme</w:t>
      </w:r>
    </w:p>
    <w:p w14:paraId="4FB3CF29" w14:textId="77777777" w:rsidR="00AB6753" w:rsidRPr="009F0849" w:rsidRDefault="00AB6753" w:rsidP="00AB6753">
      <w:pPr>
        <w:tabs>
          <w:tab w:val="left" w:pos="1985"/>
        </w:tabs>
        <w:spacing w:beforeLines="20" w:before="48" w:afterLines="40" w:after="96" w:line="280" w:lineRule="exact"/>
        <w:ind w:left="1985" w:hanging="1985"/>
        <w:rPr>
          <w:rFonts w:cs="Arial"/>
          <w:sz w:val="20"/>
          <w:szCs w:val="20"/>
        </w:rPr>
      </w:pPr>
      <w:r w:rsidRPr="009F0849">
        <w:rPr>
          <w:rFonts w:cs="Arial"/>
          <w:sz w:val="20"/>
          <w:szCs w:val="20"/>
        </w:rPr>
        <w:t>DES</w:t>
      </w:r>
      <w:r w:rsidRPr="009F0849">
        <w:rPr>
          <w:rFonts w:cs="Arial"/>
          <w:sz w:val="20"/>
          <w:szCs w:val="20"/>
        </w:rPr>
        <w:tab/>
      </w:r>
      <w:r w:rsidRPr="009F0849">
        <w:rPr>
          <w:spacing w:val="4"/>
          <w:sz w:val="20"/>
          <w:szCs w:val="20"/>
        </w:rPr>
        <w:t>Disability Employment Services</w:t>
      </w:r>
    </w:p>
    <w:p w14:paraId="401F2FC9" w14:textId="77777777" w:rsidR="00AB6753" w:rsidRPr="004B2DFF" w:rsidRDefault="00AB6753" w:rsidP="00AB6753">
      <w:pPr>
        <w:tabs>
          <w:tab w:val="left" w:pos="1985"/>
        </w:tabs>
        <w:spacing w:beforeLines="20" w:before="48" w:afterLines="40" w:after="96" w:line="280" w:lineRule="exact"/>
        <w:ind w:left="1985" w:hanging="1985"/>
        <w:rPr>
          <w:rFonts w:cs="Arial"/>
          <w:sz w:val="20"/>
          <w:szCs w:val="20"/>
        </w:rPr>
      </w:pPr>
      <w:r w:rsidRPr="004B2DFF">
        <w:rPr>
          <w:rFonts w:cs="Arial"/>
          <w:sz w:val="20"/>
          <w:szCs w:val="20"/>
        </w:rPr>
        <w:t>DEX</w:t>
      </w:r>
      <w:r w:rsidRPr="004B2DFF">
        <w:rPr>
          <w:rFonts w:cs="Arial"/>
          <w:sz w:val="20"/>
          <w:szCs w:val="20"/>
        </w:rPr>
        <w:tab/>
        <w:t>DSS Data Exchange</w:t>
      </w:r>
    </w:p>
    <w:p w14:paraId="07790E56"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DOP</w:t>
      </w:r>
      <w:r>
        <w:rPr>
          <w:rFonts w:cs="Arial"/>
          <w:sz w:val="20"/>
          <w:szCs w:val="20"/>
        </w:rPr>
        <w:tab/>
        <w:t>Double Orphan Pension</w:t>
      </w:r>
    </w:p>
    <w:p w14:paraId="4A27A453"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DSP</w:t>
      </w:r>
      <w:r>
        <w:rPr>
          <w:rFonts w:cs="Arial"/>
          <w:sz w:val="20"/>
          <w:szCs w:val="20"/>
        </w:rPr>
        <w:tab/>
        <w:t>Disability Support Pension</w:t>
      </w:r>
    </w:p>
    <w:p w14:paraId="6DD7EEFF"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DSS</w:t>
      </w:r>
      <w:r>
        <w:rPr>
          <w:rFonts w:cs="Arial"/>
          <w:sz w:val="20"/>
          <w:szCs w:val="20"/>
        </w:rPr>
        <w:tab/>
        <w:t>Department of Social Services</w:t>
      </w:r>
    </w:p>
    <w:p w14:paraId="0FF8AD97"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EL</w:t>
      </w:r>
      <w:r>
        <w:rPr>
          <w:rFonts w:cs="Arial"/>
          <w:sz w:val="20"/>
          <w:szCs w:val="20"/>
        </w:rPr>
        <w:tab/>
        <w:t>Executive Level</w:t>
      </w:r>
    </w:p>
    <w:p w14:paraId="5228448F"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lastRenderedPageBreak/>
        <w:t>ES</w:t>
      </w:r>
      <w:r>
        <w:rPr>
          <w:rFonts w:cs="Arial"/>
          <w:sz w:val="20"/>
          <w:szCs w:val="20"/>
        </w:rPr>
        <w:tab/>
        <w:t>Energy Supplement for Commonwealth Seniors Health Card Holders</w:t>
      </w:r>
    </w:p>
    <w:p w14:paraId="6DDAFF75" w14:textId="77777777" w:rsidR="00AB6753" w:rsidRPr="004B2DFF" w:rsidRDefault="00AB6753" w:rsidP="00AB6753">
      <w:pPr>
        <w:tabs>
          <w:tab w:val="left" w:pos="1985"/>
        </w:tabs>
        <w:spacing w:beforeLines="20" w:before="48" w:afterLines="40" w:after="96" w:line="280" w:lineRule="exact"/>
        <w:ind w:left="1985" w:hanging="1985"/>
        <w:rPr>
          <w:rFonts w:cs="Arial"/>
          <w:sz w:val="20"/>
          <w:szCs w:val="20"/>
        </w:rPr>
      </w:pPr>
      <w:proofErr w:type="spellStart"/>
      <w:r w:rsidRPr="004B2DFF">
        <w:rPr>
          <w:rFonts w:cs="Arial"/>
          <w:sz w:val="20"/>
          <w:szCs w:val="20"/>
        </w:rPr>
        <w:t>FaC</w:t>
      </w:r>
      <w:proofErr w:type="spellEnd"/>
      <w:r w:rsidRPr="004B2DFF">
        <w:rPr>
          <w:rFonts w:cs="Arial"/>
          <w:sz w:val="20"/>
          <w:szCs w:val="20"/>
        </w:rPr>
        <w:tab/>
        <w:t>Families and Children</w:t>
      </w:r>
    </w:p>
    <w:p w14:paraId="05871FB9" w14:textId="77777777" w:rsidR="00AB6753" w:rsidRPr="004B2DFF" w:rsidRDefault="00AB6753" w:rsidP="00AB6753">
      <w:pPr>
        <w:tabs>
          <w:tab w:val="left" w:pos="1985"/>
        </w:tabs>
        <w:spacing w:beforeLines="20" w:before="48" w:afterLines="40" w:after="96" w:line="280" w:lineRule="exact"/>
        <w:ind w:left="1985" w:hanging="1985"/>
        <w:rPr>
          <w:rFonts w:cs="Arial"/>
          <w:sz w:val="20"/>
          <w:szCs w:val="20"/>
        </w:rPr>
      </w:pPr>
      <w:r w:rsidRPr="004B2DFF">
        <w:rPr>
          <w:rFonts w:cs="Arial"/>
          <w:sz w:val="20"/>
          <w:szCs w:val="20"/>
        </w:rPr>
        <w:t>FCSI</w:t>
      </w:r>
      <w:r w:rsidRPr="004B2DFF">
        <w:rPr>
          <w:rFonts w:cs="Arial"/>
          <w:sz w:val="20"/>
          <w:szCs w:val="20"/>
        </w:rPr>
        <w:tab/>
        <w:t>Families and Communities Service Improvement</w:t>
      </w:r>
    </w:p>
    <w:p w14:paraId="2BD8A532"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FTB</w:t>
      </w:r>
      <w:r>
        <w:rPr>
          <w:rFonts w:cs="Arial"/>
          <w:sz w:val="20"/>
          <w:szCs w:val="20"/>
        </w:rPr>
        <w:tab/>
        <w:t>Family Tax Benefit</w:t>
      </w:r>
    </w:p>
    <w:p w14:paraId="3146305A"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FVOCI</w:t>
      </w:r>
      <w:r>
        <w:rPr>
          <w:rFonts w:cs="Arial"/>
          <w:sz w:val="20"/>
          <w:szCs w:val="20"/>
        </w:rPr>
        <w:tab/>
        <w:t>Financial Assets at Fair Value Through Other Comprehensive Income</w:t>
      </w:r>
    </w:p>
    <w:p w14:paraId="6CB9C795"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FVTPL</w:t>
      </w:r>
      <w:r>
        <w:rPr>
          <w:rFonts w:cs="Arial"/>
          <w:sz w:val="20"/>
          <w:szCs w:val="20"/>
        </w:rPr>
        <w:tab/>
        <w:t>Financial Assets at Fair Value Through Profit or Loss</w:t>
      </w:r>
    </w:p>
    <w:p w14:paraId="2E2A85A2"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GST</w:t>
      </w:r>
      <w:r>
        <w:rPr>
          <w:rFonts w:cs="Arial"/>
          <w:sz w:val="20"/>
          <w:szCs w:val="20"/>
        </w:rPr>
        <w:tab/>
        <w:t>Goods and Services Tax</w:t>
      </w:r>
    </w:p>
    <w:p w14:paraId="30555DE9" w14:textId="77777777" w:rsidR="00AB6753" w:rsidRDefault="00AB6753" w:rsidP="00AB6753">
      <w:pPr>
        <w:tabs>
          <w:tab w:val="left" w:pos="1985"/>
        </w:tabs>
        <w:spacing w:beforeLines="20" w:before="48" w:afterLines="40" w:after="96" w:line="280" w:lineRule="exact"/>
        <w:ind w:left="1985" w:hanging="1985"/>
        <w:rPr>
          <w:sz w:val="20"/>
          <w:szCs w:val="20"/>
        </w:rPr>
      </w:pPr>
      <w:r w:rsidRPr="009F0849">
        <w:rPr>
          <w:rFonts w:cs="Arial"/>
          <w:sz w:val="20"/>
          <w:szCs w:val="20"/>
        </w:rPr>
        <w:t>ICSS</w:t>
      </w:r>
      <w:r w:rsidRPr="009F0849">
        <w:rPr>
          <w:rFonts w:cs="Arial"/>
          <w:sz w:val="20"/>
          <w:szCs w:val="20"/>
        </w:rPr>
        <w:tab/>
      </w:r>
      <w:r w:rsidRPr="009F0849">
        <w:rPr>
          <w:sz w:val="20"/>
          <w:szCs w:val="20"/>
        </w:rPr>
        <w:t>Integrated Carer Support Service</w:t>
      </w:r>
    </w:p>
    <w:p w14:paraId="5600871D"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IPS</w:t>
      </w:r>
      <w:r>
        <w:rPr>
          <w:rFonts w:cs="Arial"/>
          <w:sz w:val="20"/>
          <w:szCs w:val="20"/>
        </w:rPr>
        <w:tab/>
        <w:t>Individual Placement and Support</w:t>
      </w:r>
    </w:p>
    <w:p w14:paraId="6D4C4AB5"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ISO</w:t>
      </w:r>
      <w:r>
        <w:rPr>
          <w:rFonts w:cs="Arial"/>
          <w:sz w:val="20"/>
          <w:szCs w:val="20"/>
        </w:rPr>
        <w:tab/>
        <w:t>International Standards Organisation</w:t>
      </w:r>
    </w:p>
    <w:p w14:paraId="22DB0687"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IT</w:t>
      </w:r>
      <w:r>
        <w:rPr>
          <w:rFonts w:cs="Arial"/>
          <w:sz w:val="20"/>
          <w:szCs w:val="20"/>
        </w:rPr>
        <w:tab/>
        <w:t>Information Technology</w:t>
      </w:r>
    </w:p>
    <w:p w14:paraId="47963DC9"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JP</w:t>
      </w:r>
      <w:r>
        <w:rPr>
          <w:rFonts w:cs="Arial"/>
          <w:sz w:val="20"/>
          <w:szCs w:val="20"/>
        </w:rPr>
        <w:tab/>
      </w:r>
      <w:proofErr w:type="spellStart"/>
      <w:r>
        <w:rPr>
          <w:rFonts w:cs="Arial"/>
          <w:sz w:val="20"/>
          <w:szCs w:val="20"/>
        </w:rPr>
        <w:t>JobSeeker</w:t>
      </w:r>
      <w:proofErr w:type="spellEnd"/>
      <w:r>
        <w:rPr>
          <w:rFonts w:cs="Arial"/>
          <w:sz w:val="20"/>
          <w:szCs w:val="20"/>
        </w:rPr>
        <w:t xml:space="preserve"> Payment</w:t>
      </w:r>
    </w:p>
    <w:p w14:paraId="2D930C49" w14:textId="24310352" w:rsidR="00ED5289" w:rsidRDefault="00ED5289" w:rsidP="00AB6753">
      <w:pPr>
        <w:tabs>
          <w:tab w:val="left" w:pos="1985"/>
        </w:tabs>
        <w:spacing w:beforeLines="20" w:before="48" w:afterLines="40" w:after="96" w:line="280" w:lineRule="exact"/>
        <w:ind w:left="1985" w:hanging="1985"/>
        <w:rPr>
          <w:rFonts w:cs="Arial"/>
          <w:sz w:val="20"/>
          <w:szCs w:val="20"/>
        </w:rPr>
      </w:pPr>
      <w:r>
        <w:rPr>
          <w:rFonts w:cs="Arial"/>
          <w:sz w:val="20"/>
          <w:szCs w:val="20"/>
        </w:rPr>
        <w:t>LGBTIQ</w:t>
      </w:r>
      <w:r>
        <w:rPr>
          <w:rFonts w:cs="Arial"/>
          <w:sz w:val="20"/>
          <w:szCs w:val="20"/>
        </w:rPr>
        <w:tab/>
        <w:t>lesbian, gay, bisexual, transgender, intersex and queer</w:t>
      </w:r>
    </w:p>
    <w:p w14:paraId="69CD3291" w14:textId="605B6733"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MP</w:t>
      </w:r>
      <w:r>
        <w:rPr>
          <w:rFonts w:cs="Arial"/>
          <w:sz w:val="20"/>
          <w:szCs w:val="20"/>
        </w:rPr>
        <w:tab/>
        <w:t>Member of Parliament</w:t>
      </w:r>
    </w:p>
    <w:p w14:paraId="0019C9C2"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NAIDOC</w:t>
      </w:r>
      <w:r>
        <w:rPr>
          <w:rFonts w:cs="Arial"/>
          <w:sz w:val="20"/>
          <w:szCs w:val="20"/>
        </w:rPr>
        <w:tab/>
        <w:t>National Aboriginal and Islanders Day Observance Committee</w:t>
      </w:r>
    </w:p>
    <w:p w14:paraId="785DCC39" w14:textId="77777777" w:rsidR="00AB6753" w:rsidRPr="004B2DFF" w:rsidRDefault="00AB6753" w:rsidP="00AB6753">
      <w:pPr>
        <w:tabs>
          <w:tab w:val="left" w:pos="1985"/>
        </w:tabs>
        <w:spacing w:beforeLines="20" w:before="48" w:afterLines="40" w:after="96" w:line="280" w:lineRule="exact"/>
        <w:ind w:left="1985" w:hanging="1985"/>
        <w:rPr>
          <w:rFonts w:cs="Times New Roman"/>
          <w:spacing w:val="4"/>
          <w:sz w:val="20"/>
          <w:szCs w:val="20"/>
        </w:rPr>
      </w:pPr>
      <w:r w:rsidRPr="004B2DFF">
        <w:rPr>
          <w:rFonts w:cs="Arial"/>
          <w:sz w:val="20"/>
          <w:szCs w:val="20"/>
        </w:rPr>
        <w:t>NCAR</w:t>
      </w:r>
      <w:r w:rsidRPr="004B2DFF">
        <w:rPr>
          <w:rFonts w:cs="Arial"/>
          <w:sz w:val="20"/>
          <w:szCs w:val="20"/>
        </w:rPr>
        <w:tab/>
      </w:r>
      <w:r w:rsidRPr="004B2DFF">
        <w:rPr>
          <w:rFonts w:cs="Times New Roman"/>
          <w:spacing w:val="4"/>
          <w:sz w:val="20"/>
          <w:szCs w:val="20"/>
        </w:rPr>
        <w:t>National Community Awareness Raising</w:t>
      </w:r>
    </w:p>
    <w:p w14:paraId="4170A21E"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sidRPr="004B2DFF">
        <w:rPr>
          <w:rFonts w:cs="Times New Roman"/>
          <w:spacing w:val="4"/>
          <w:sz w:val="20"/>
          <w:szCs w:val="20"/>
        </w:rPr>
        <w:t xml:space="preserve">NCAS </w:t>
      </w:r>
      <w:r w:rsidRPr="004B2DFF">
        <w:rPr>
          <w:rFonts w:cs="Times New Roman"/>
          <w:spacing w:val="4"/>
          <w:sz w:val="20"/>
          <w:szCs w:val="20"/>
        </w:rPr>
        <w:tab/>
      </w:r>
      <w:r w:rsidRPr="004B2DFF">
        <w:rPr>
          <w:rFonts w:cs="Arial"/>
          <w:sz w:val="20"/>
          <w:szCs w:val="20"/>
        </w:rPr>
        <w:t>National Community Attitudes towards Violence against Women Survey</w:t>
      </w:r>
    </w:p>
    <w:p w14:paraId="1908204F"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NDIA</w:t>
      </w:r>
      <w:r>
        <w:rPr>
          <w:rFonts w:cs="Arial"/>
          <w:sz w:val="20"/>
          <w:szCs w:val="20"/>
        </w:rPr>
        <w:tab/>
        <w:t>National Disability Insurance Agency</w:t>
      </w:r>
    </w:p>
    <w:p w14:paraId="67CC2E25"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NDIS</w:t>
      </w:r>
      <w:r>
        <w:rPr>
          <w:rFonts w:cs="Arial"/>
          <w:sz w:val="20"/>
          <w:szCs w:val="20"/>
        </w:rPr>
        <w:tab/>
        <w:t>National Disability Insurance Scheme</w:t>
      </w:r>
    </w:p>
    <w:p w14:paraId="1F132B2B"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NDIS Commission</w:t>
      </w:r>
      <w:r>
        <w:rPr>
          <w:rFonts w:cs="Arial"/>
          <w:sz w:val="20"/>
          <w:szCs w:val="20"/>
        </w:rPr>
        <w:tab/>
        <w:t>NDIS Quality and Safeguards Commission</w:t>
      </w:r>
    </w:p>
    <w:p w14:paraId="3D6BCF69" w14:textId="77777777" w:rsidR="00AB6753" w:rsidRPr="00B437A3" w:rsidRDefault="00AB6753" w:rsidP="00AB6753">
      <w:pPr>
        <w:tabs>
          <w:tab w:val="left" w:pos="1985"/>
        </w:tabs>
        <w:spacing w:beforeLines="20" w:before="48" w:afterLines="40" w:after="96" w:line="280" w:lineRule="exact"/>
        <w:ind w:left="1985" w:hanging="1985"/>
        <w:rPr>
          <w:rFonts w:cs="Arial"/>
          <w:sz w:val="20"/>
          <w:szCs w:val="20"/>
        </w:rPr>
      </w:pPr>
      <w:r w:rsidRPr="00B437A3">
        <w:rPr>
          <w:rFonts w:cs="Arial"/>
          <w:sz w:val="20"/>
          <w:szCs w:val="20"/>
        </w:rPr>
        <w:t>NHHA</w:t>
      </w:r>
      <w:r w:rsidRPr="00B437A3">
        <w:rPr>
          <w:rFonts w:cs="Arial"/>
          <w:sz w:val="20"/>
          <w:szCs w:val="20"/>
        </w:rPr>
        <w:tab/>
        <w:t>National Housing and Homelessness Agreement</w:t>
      </w:r>
    </w:p>
    <w:p w14:paraId="6C00D139" w14:textId="77777777" w:rsidR="00AB6753" w:rsidRPr="004B2DFF" w:rsidRDefault="00AB6753" w:rsidP="00AB6753">
      <w:pPr>
        <w:tabs>
          <w:tab w:val="left" w:pos="1985"/>
        </w:tabs>
        <w:spacing w:beforeLines="20" w:before="48" w:afterLines="40" w:after="96" w:line="280" w:lineRule="exact"/>
        <w:ind w:left="1985" w:hanging="1985"/>
        <w:rPr>
          <w:rFonts w:cs="Arial"/>
          <w:sz w:val="20"/>
          <w:szCs w:val="20"/>
        </w:rPr>
      </w:pPr>
      <w:r w:rsidRPr="004B2DFF">
        <w:rPr>
          <w:rFonts w:cs="Arial"/>
          <w:sz w:val="20"/>
          <w:szCs w:val="20"/>
        </w:rPr>
        <w:t>NOCS</w:t>
      </w:r>
      <w:r w:rsidRPr="004B2DFF">
        <w:rPr>
          <w:rFonts w:cs="Arial"/>
          <w:sz w:val="20"/>
          <w:szCs w:val="20"/>
        </w:rPr>
        <w:tab/>
        <w:t>National Office of Child Safety</w:t>
      </w:r>
    </w:p>
    <w:p w14:paraId="76676EFD"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sidRPr="00B437A3">
        <w:rPr>
          <w:rFonts w:cs="Arial"/>
          <w:sz w:val="20"/>
          <w:szCs w:val="20"/>
        </w:rPr>
        <w:t>NRAS</w:t>
      </w:r>
      <w:r w:rsidRPr="00B437A3">
        <w:rPr>
          <w:rFonts w:cs="Arial"/>
          <w:sz w:val="20"/>
          <w:szCs w:val="20"/>
        </w:rPr>
        <w:tab/>
        <w:t>National Rental Affordability Scheme</w:t>
      </w:r>
    </w:p>
    <w:p w14:paraId="7919E6B4" w14:textId="77777777" w:rsidR="00AB6753" w:rsidRPr="00863D61" w:rsidRDefault="00AB6753" w:rsidP="00AB6753">
      <w:pPr>
        <w:tabs>
          <w:tab w:val="left" w:pos="1985"/>
        </w:tabs>
        <w:spacing w:beforeLines="20" w:before="48" w:afterLines="40" w:after="96" w:line="280" w:lineRule="exact"/>
        <w:ind w:left="1985" w:hanging="1985"/>
        <w:rPr>
          <w:rFonts w:cs="Arial"/>
          <w:sz w:val="20"/>
          <w:szCs w:val="20"/>
          <w:highlight w:val="yellow"/>
        </w:rPr>
      </w:pPr>
      <w:r w:rsidRPr="00B437A3">
        <w:rPr>
          <w:rFonts w:cs="Arial"/>
          <w:sz w:val="20"/>
          <w:szCs w:val="20"/>
        </w:rPr>
        <w:t>PAES</w:t>
      </w:r>
      <w:r w:rsidRPr="00B437A3">
        <w:rPr>
          <w:rFonts w:cs="Arial"/>
          <w:sz w:val="20"/>
          <w:szCs w:val="20"/>
        </w:rPr>
        <w:tab/>
        <w:t>Portfolio Additional Estimates Statements</w:t>
      </w:r>
    </w:p>
    <w:p w14:paraId="71B47EE6" w14:textId="77777777" w:rsidR="00AB6753" w:rsidRDefault="00AB6753" w:rsidP="00AB6753">
      <w:pPr>
        <w:tabs>
          <w:tab w:val="left" w:pos="1985"/>
        </w:tabs>
        <w:spacing w:before="4" w:after="8" w:line="360" w:lineRule="auto"/>
        <w:ind w:left="1985" w:hanging="1985"/>
        <w:rPr>
          <w:rFonts w:cs="Arial"/>
          <w:sz w:val="20"/>
          <w:szCs w:val="20"/>
        </w:rPr>
      </w:pPr>
      <w:r w:rsidRPr="00F06923">
        <w:rPr>
          <w:rFonts w:cs="Arial"/>
          <w:sz w:val="20"/>
          <w:szCs w:val="20"/>
        </w:rPr>
        <w:t>PBS</w:t>
      </w:r>
      <w:r w:rsidRPr="00F06923">
        <w:rPr>
          <w:rFonts w:cs="Arial"/>
          <w:sz w:val="20"/>
          <w:szCs w:val="20"/>
        </w:rPr>
        <w:tab/>
        <w:t>Portfolio Budget Statements</w:t>
      </w:r>
    </w:p>
    <w:p w14:paraId="347532F8" w14:textId="77777777" w:rsidR="00AB6753" w:rsidRDefault="00AB6753" w:rsidP="00AB6753">
      <w:pPr>
        <w:tabs>
          <w:tab w:val="left" w:pos="1985"/>
        </w:tabs>
        <w:spacing w:before="4" w:after="8" w:line="360" w:lineRule="auto"/>
        <w:ind w:left="1985" w:hanging="1985"/>
        <w:rPr>
          <w:rFonts w:cs="Arial"/>
          <w:i/>
          <w:sz w:val="20"/>
          <w:szCs w:val="20"/>
        </w:rPr>
      </w:pPr>
      <w:r>
        <w:rPr>
          <w:rFonts w:cs="Arial"/>
          <w:sz w:val="20"/>
          <w:szCs w:val="20"/>
        </w:rPr>
        <w:t>PGPA</w:t>
      </w:r>
      <w:r>
        <w:rPr>
          <w:rFonts w:cs="Arial"/>
          <w:sz w:val="20"/>
          <w:szCs w:val="20"/>
        </w:rPr>
        <w:tab/>
      </w:r>
      <w:r>
        <w:rPr>
          <w:rFonts w:cs="Arial"/>
          <w:i/>
          <w:sz w:val="20"/>
          <w:szCs w:val="20"/>
        </w:rPr>
        <w:t>Public Governance, Performance and Accountability Act 2013</w:t>
      </w:r>
    </w:p>
    <w:p w14:paraId="0F311FD9" w14:textId="77777777" w:rsidR="00AB6753" w:rsidRDefault="00AB6753" w:rsidP="00AB6753">
      <w:pPr>
        <w:tabs>
          <w:tab w:val="left" w:pos="1985"/>
        </w:tabs>
        <w:spacing w:before="4" w:after="8" w:line="360" w:lineRule="auto"/>
        <w:ind w:left="1985" w:hanging="1985"/>
        <w:rPr>
          <w:rFonts w:cs="Arial"/>
          <w:i/>
          <w:sz w:val="20"/>
          <w:szCs w:val="20"/>
        </w:rPr>
      </w:pPr>
      <w:r>
        <w:rPr>
          <w:rFonts w:cs="Arial"/>
          <w:sz w:val="20"/>
          <w:szCs w:val="20"/>
        </w:rPr>
        <w:t>PP</w:t>
      </w:r>
      <w:r>
        <w:rPr>
          <w:rFonts w:cs="Arial"/>
          <w:sz w:val="20"/>
          <w:szCs w:val="20"/>
        </w:rPr>
        <w:tab/>
        <w:t>Parenting Payment</w:t>
      </w:r>
    </w:p>
    <w:p w14:paraId="6A9F93CF" w14:textId="77777777" w:rsidR="00AB6753" w:rsidRPr="009F0849" w:rsidRDefault="00AB6753" w:rsidP="00AB6753">
      <w:pPr>
        <w:tabs>
          <w:tab w:val="left" w:pos="1985"/>
        </w:tabs>
        <w:spacing w:before="4" w:after="8" w:line="360" w:lineRule="auto"/>
        <w:ind w:left="1985" w:hanging="1985"/>
        <w:rPr>
          <w:rFonts w:cs="Arial"/>
          <w:sz w:val="20"/>
          <w:szCs w:val="20"/>
        </w:rPr>
      </w:pPr>
      <w:r w:rsidRPr="009F0849">
        <w:rPr>
          <w:rFonts w:cs="Arial"/>
          <w:sz w:val="20"/>
          <w:szCs w:val="20"/>
        </w:rPr>
        <w:t>PPM</w:t>
      </w:r>
      <w:r w:rsidRPr="009F0849">
        <w:rPr>
          <w:rFonts w:cs="Arial"/>
          <w:sz w:val="20"/>
          <w:szCs w:val="20"/>
        </w:rPr>
        <w:tab/>
        <w:t>Post Placement Monitoring</w:t>
      </w:r>
    </w:p>
    <w:p w14:paraId="06F64D16" w14:textId="77777777" w:rsidR="00AB6753" w:rsidRPr="00B437A3" w:rsidRDefault="00AB6753" w:rsidP="00AB6753">
      <w:pPr>
        <w:tabs>
          <w:tab w:val="left" w:pos="1985"/>
        </w:tabs>
        <w:spacing w:before="4" w:after="8" w:line="360" w:lineRule="auto"/>
        <w:ind w:left="1985" w:hanging="1985"/>
        <w:rPr>
          <w:rFonts w:cs="Arial"/>
          <w:sz w:val="20"/>
          <w:szCs w:val="20"/>
        </w:rPr>
      </w:pPr>
      <w:r w:rsidRPr="00B437A3">
        <w:rPr>
          <w:rFonts w:cs="Arial"/>
          <w:sz w:val="20"/>
          <w:szCs w:val="20"/>
        </w:rPr>
        <w:t>PUSC</w:t>
      </w:r>
      <w:r w:rsidRPr="00B437A3">
        <w:rPr>
          <w:rFonts w:cs="Arial"/>
          <w:sz w:val="20"/>
          <w:szCs w:val="20"/>
        </w:rPr>
        <w:tab/>
        <w:t>Payments under Special Circumstances</w:t>
      </w:r>
    </w:p>
    <w:p w14:paraId="71B07BC0" w14:textId="5989B995" w:rsidR="00B46F13" w:rsidRDefault="00B46F13" w:rsidP="00AB6753">
      <w:pPr>
        <w:tabs>
          <w:tab w:val="left" w:pos="1985"/>
        </w:tabs>
        <w:spacing w:before="4" w:after="8" w:line="360" w:lineRule="auto"/>
        <w:ind w:left="1985" w:hanging="1985"/>
        <w:rPr>
          <w:rFonts w:cs="Arial"/>
          <w:sz w:val="20"/>
          <w:szCs w:val="20"/>
        </w:rPr>
      </w:pPr>
      <w:r>
        <w:rPr>
          <w:rFonts w:cs="Arial"/>
          <w:sz w:val="20"/>
          <w:szCs w:val="20"/>
        </w:rPr>
        <w:t>RA</w:t>
      </w:r>
      <w:r>
        <w:rPr>
          <w:rFonts w:cs="Arial"/>
          <w:sz w:val="20"/>
          <w:szCs w:val="20"/>
        </w:rPr>
        <w:tab/>
        <w:t>Rent Assistance</w:t>
      </w:r>
    </w:p>
    <w:p w14:paraId="31F7F326" w14:textId="1A956E2D" w:rsidR="00AB6753" w:rsidRPr="00B437A3" w:rsidRDefault="00AB6753" w:rsidP="00AB6753">
      <w:pPr>
        <w:tabs>
          <w:tab w:val="left" w:pos="1985"/>
        </w:tabs>
        <w:spacing w:before="4" w:after="8" w:line="360" w:lineRule="auto"/>
        <w:ind w:left="1985" w:hanging="1985"/>
        <w:rPr>
          <w:rFonts w:cs="Arial"/>
          <w:sz w:val="20"/>
          <w:szCs w:val="20"/>
        </w:rPr>
      </w:pPr>
      <w:r w:rsidRPr="00B437A3">
        <w:rPr>
          <w:rFonts w:cs="Arial"/>
          <w:sz w:val="20"/>
          <w:szCs w:val="20"/>
        </w:rPr>
        <w:t>RSS</w:t>
      </w:r>
      <w:r w:rsidRPr="00B437A3">
        <w:rPr>
          <w:rFonts w:cs="Arial"/>
          <w:sz w:val="20"/>
          <w:szCs w:val="20"/>
        </w:rPr>
        <w:tab/>
        <w:t>Random Sample Survey</w:t>
      </w:r>
    </w:p>
    <w:p w14:paraId="1037CE73" w14:textId="77777777" w:rsidR="00AB6753" w:rsidRPr="00B437A3" w:rsidRDefault="00AB6753" w:rsidP="00AB6753">
      <w:pPr>
        <w:tabs>
          <w:tab w:val="left" w:pos="1985"/>
        </w:tabs>
        <w:spacing w:before="4" w:after="8" w:line="280" w:lineRule="exact"/>
        <w:ind w:left="1985" w:hanging="1985"/>
        <w:rPr>
          <w:rFonts w:cs="Arial"/>
          <w:sz w:val="20"/>
          <w:szCs w:val="20"/>
        </w:rPr>
      </w:pPr>
      <w:r w:rsidRPr="00B437A3">
        <w:rPr>
          <w:rFonts w:cs="Arial"/>
          <w:sz w:val="20"/>
          <w:szCs w:val="20"/>
        </w:rPr>
        <w:t>RTO</w:t>
      </w:r>
      <w:r w:rsidRPr="00B437A3">
        <w:rPr>
          <w:rFonts w:cs="Arial"/>
          <w:sz w:val="20"/>
          <w:szCs w:val="20"/>
        </w:rPr>
        <w:tab/>
        <w:t>Refundable Tax Offsets</w:t>
      </w:r>
    </w:p>
    <w:p w14:paraId="47F7DCDB" w14:textId="77777777" w:rsidR="00AB6753" w:rsidRPr="00B437A3" w:rsidRDefault="00AB6753" w:rsidP="00AB6753">
      <w:pPr>
        <w:tabs>
          <w:tab w:val="left" w:pos="1985"/>
        </w:tabs>
        <w:spacing w:beforeLines="20" w:before="48" w:afterLines="40" w:after="96" w:line="280" w:lineRule="exact"/>
        <w:ind w:left="1985" w:hanging="1985"/>
        <w:rPr>
          <w:rFonts w:cs="Arial"/>
          <w:sz w:val="20"/>
          <w:szCs w:val="20"/>
        </w:rPr>
      </w:pPr>
      <w:r w:rsidRPr="00B437A3">
        <w:rPr>
          <w:rFonts w:cs="Arial"/>
          <w:sz w:val="20"/>
          <w:szCs w:val="20"/>
        </w:rPr>
        <w:t>SB</w:t>
      </w:r>
      <w:r w:rsidRPr="00B437A3">
        <w:rPr>
          <w:rFonts w:cs="Arial"/>
          <w:sz w:val="20"/>
          <w:szCs w:val="20"/>
        </w:rPr>
        <w:tab/>
        <w:t>Special Benefit</w:t>
      </w:r>
    </w:p>
    <w:p w14:paraId="0AE0978D" w14:textId="77777777" w:rsidR="00AB6753" w:rsidRPr="00B437A3" w:rsidRDefault="00AB6753" w:rsidP="00AB6753">
      <w:pPr>
        <w:tabs>
          <w:tab w:val="left" w:pos="1985"/>
        </w:tabs>
        <w:spacing w:beforeLines="20" w:before="48" w:afterLines="40" w:after="96" w:line="280" w:lineRule="exact"/>
        <w:ind w:left="1985" w:hanging="1985"/>
        <w:rPr>
          <w:rFonts w:cs="Arial"/>
          <w:sz w:val="20"/>
          <w:szCs w:val="20"/>
        </w:rPr>
      </w:pPr>
      <w:r w:rsidRPr="00B437A3">
        <w:rPr>
          <w:rFonts w:cs="Arial"/>
          <w:sz w:val="20"/>
          <w:szCs w:val="20"/>
        </w:rPr>
        <w:t xml:space="preserve">SBP </w:t>
      </w:r>
      <w:r w:rsidRPr="00B437A3">
        <w:rPr>
          <w:rFonts w:cs="Arial"/>
          <w:sz w:val="20"/>
          <w:szCs w:val="20"/>
        </w:rPr>
        <w:tab/>
        <w:t>Stillborn Baby Payment</w:t>
      </w:r>
    </w:p>
    <w:p w14:paraId="6522B577" w14:textId="77777777" w:rsidR="00AB6753" w:rsidRPr="00B437A3" w:rsidRDefault="00AB6753" w:rsidP="00AB6753">
      <w:pPr>
        <w:tabs>
          <w:tab w:val="left" w:pos="1985"/>
        </w:tabs>
        <w:spacing w:beforeLines="20" w:before="48" w:afterLines="40" w:after="96" w:line="280" w:lineRule="exact"/>
        <w:ind w:left="1985" w:hanging="1985"/>
        <w:rPr>
          <w:rFonts w:cs="Arial"/>
          <w:sz w:val="20"/>
          <w:szCs w:val="20"/>
        </w:rPr>
      </w:pPr>
      <w:r w:rsidRPr="00B437A3">
        <w:rPr>
          <w:rFonts w:cs="Arial"/>
          <w:sz w:val="20"/>
          <w:szCs w:val="20"/>
        </w:rPr>
        <w:t>SCOREs</w:t>
      </w:r>
      <w:r w:rsidRPr="00B437A3">
        <w:rPr>
          <w:rFonts w:cs="Arial"/>
          <w:sz w:val="20"/>
          <w:szCs w:val="20"/>
        </w:rPr>
        <w:tab/>
        <w:t>Standard Client/Community Outcomes Reporting</w:t>
      </w:r>
    </w:p>
    <w:p w14:paraId="7F988DBD" w14:textId="77777777" w:rsidR="00AB6753" w:rsidRPr="00B437A3" w:rsidRDefault="00AB6753" w:rsidP="00AB6753">
      <w:pPr>
        <w:tabs>
          <w:tab w:val="left" w:pos="1985"/>
        </w:tabs>
        <w:spacing w:beforeLines="20" w:before="48" w:afterLines="40" w:after="96" w:line="280" w:lineRule="exact"/>
        <w:ind w:left="1985" w:hanging="1985"/>
        <w:rPr>
          <w:rFonts w:cs="Arial"/>
          <w:sz w:val="20"/>
          <w:szCs w:val="20"/>
        </w:rPr>
      </w:pPr>
      <w:r w:rsidRPr="00B437A3">
        <w:rPr>
          <w:rFonts w:cs="Arial"/>
          <w:sz w:val="20"/>
          <w:szCs w:val="20"/>
        </w:rPr>
        <w:t>SDF</w:t>
      </w:r>
      <w:r w:rsidRPr="00B437A3">
        <w:rPr>
          <w:rFonts w:cs="Arial"/>
          <w:sz w:val="20"/>
          <w:szCs w:val="20"/>
        </w:rPr>
        <w:tab/>
        <w:t>Sector Development Fund</w:t>
      </w:r>
    </w:p>
    <w:p w14:paraId="1A828100"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sidRPr="00B437A3">
        <w:rPr>
          <w:rFonts w:cs="Arial"/>
          <w:sz w:val="20"/>
          <w:szCs w:val="20"/>
        </w:rPr>
        <w:t xml:space="preserve">SEPT </w:t>
      </w:r>
      <w:r w:rsidRPr="00B437A3">
        <w:rPr>
          <w:rFonts w:cs="Arial"/>
          <w:sz w:val="20"/>
          <w:szCs w:val="20"/>
        </w:rPr>
        <w:tab/>
        <w:t>Supporting Expecting and Parenting Teens initiative</w:t>
      </w:r>
    </w:p>
    <w:p w14:paraId="1B9BA1DD"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SES</w:t>
      </w:r>
      <w:r>
        <w:rPr>
          <w:rFonts w:cs="Arial"/>
          <w:sz w:val="20"/>
          <w:szCs w:val="20"/>
        </w:rPr>
        <w:tab/>
        <w:t>Senior Executive Service</w:t>
      </w:r>
    </w:p>
    <w:p w14:paraId="3C9D4BFD"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sidRPr="004B2DFF">
        <w:rPr>
          <w:rFonts w:cs="Arial"/>
          <w:sz w:val="20"/>
          <w:szCs w:val="20"/>
        </w:rPr>
        <w:t>SIH</w:t>
      </w:r>
      <w:r w:rsidRPr="004B2DFF">
        <w:rPr>
          <w:rFonts w:cs="Arial"/>
          <w:sz w:val="20"/>
          <w:szCs w:val="20"/>
        </w:rPr>
        <w:tab/>
        <w:t>Survey of Income and Housing</w:t>
      </w:r>
    </w:p>
    <w:p w14:paraId="7979054B"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SMEs</w:t>
      </w:r>
      <w:r>
        <w:rPr>
          <w:rFonts w:cs="Arial"/>
          <w:sz w:val="20"/>
          <w:szCs w:val="20"/>
        </w:rPr>
        <w:tab/>
        <w:t>Small and Medium Enterprises</w:t>
      </w:r>
    </w:p>
    <w:p w14:paraId="32CD0D07"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lastRenderedPageBreak/>
        <w:t>TIA</w:t>
      </w:r>
      <w:r>
        <w:rPr>
          <w:rFonts w:cs="Arial"/>
          <w:sz w:val="20"/>
          <w:szCs w:val="20"/>
        </w:rPr>
        <w:tab/>
        <w:t>Towards independent Adulthood</w:t>
      </w:r>
    </w:p>
    <w:p w14:paraId="7F7985E7"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TTY</w:t>
      </w:r>
      <w:r>
        <w:rPr>
          <w:rFonts w:cs="Arial"/>
          <w:sz w:val="20"/>
          <w:szCs w:val="20"/>
        </w:rPr>
        <w:tab/>
        <w:t>Teletypewriter</w:t>
      </w:r>
    </w:p>
    <w:p w14:paraId="7412F03E"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UA</w:t>
      </w:r>
      <w:r>
        <w:rPr>
          <w:rFonts w:cs="Arial"/>
          <w:sz w:val="20"/>
          <w:szCs w:val="20"/>
        </w:rPr>
        <w:tab/>
        <w:t>Utilities Allowance</w:t>
      </w:r>
    </w:p>
    <w:p w14:paraId="15976825"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XP</w:t>
      </w:r>
      <w:r>
        <w:rPr>
          <w:rFonts w:cs="Arial"/>
          <w:sz w:val="20"/>
          <w:szCs w:val="20"/>
        </w:rPr>
        <w:tab/>
        <w:t>Cross Program</w:t>
      </w:r>
    </w:p>
    <w:p w14:paraId="6C832363"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 xml:space="preserve">XPRA </w:t>
      </w:r>
      <w:r>
        <w:rPr>
          <w:rFonts w:cs="Arial"/>
          <w:sz w:val="20"/>
          <w:szCs w:val="20"/>
        </w:rPr>
        <w:tab/>
        <w:t>Cross Program Rent Assistance</w:t>
      </w:r>
    </w:p>
    <w:p w14:paraId="7DF185E5" w14:textId="77777777" w:rsidR="00AB6753" w:rsidRDefault="00AB6753" w:rsidP="00AB6753">
      <w:pPr>
        <w:tabs>
          <w:tab w:val="left" w:pos="1985"/>
        </w:tabs>
        <w:spacing w:beforeLines="20" w:before="48" w:afterLines="40" w:after="96" w:line="280" w:lineRule="exact"/>
        <w:ind w:left="1985" w:hanging="1985"/>
        <w:rPr>
          <w:rFonts w:cs="Arial"/>
          <w:sz w:val="20"/>
          <w:szCs w:val="20"/>
        </w:rPr>
      </w:pPr>
      <w:r>
        <w:rPr>
          <w:rFonts w:cs="Arial"/>
          <w:sz w:val="20"/>
          <w:szCs w:val="20"/>
        </w:rPr>
        <w:t>YA</w:t>
      </w:r>
      <w:r>
        <w:rPr>
          <w:rFonts w:cs="Arial"/>
          <w:sz w:val="20"/>
          <w:szCs w:val="20"/>
        </w:rPr>
        <w:tab/>
        <w:t>Youth Allowance</w:t>
      </w:r>
    </w:p>
    <w:p w14:paraId="57224B75" w14:textId="77777777" w:rsidR="00AB6753" w:rsidRDefault="00AB6753" w:rsidP="00AB6753">
      <w:pPr>
        <w:tabs>
          <w:tab w:val="left" w:pos="1985"/>
        </w:tabs>
        <w:spacing w:beforeLines="50" w:before="120" w:afterLines="40" w:after="96" w:line="280" w:lineRule="exact"/>
        <w:ind w:left="1985" w:hanging="1985"/>
        <w:rPr>
          <w:b/>
        </w:rPr>
      </w:pPr>
    </w:p>
    <w:p w14:paraId="59B59EA5" w14:textId="77777777" w:rsidR="00AB6753" w:rsidRDefault="00AB6753" w:rsidP="00AB6753">
      <w:pPr>
        <w:tabs>
          <w:tab w:val="left" w:pos="1985"/>
        </w:tabs>
        <w:spacing w:beforeLines="50" w:before="120" w:afterLines="40" w:after="96" w:line="280" w:lineRule="exact"/>
        <w:ind w:left="1985" w:hanging="1985"/>
        <w:rPr>
          <w:rFonts w:cs="Arial"/>
          <w:sz w:val="20"/>
          <w:szCs w:val="20"/>
        </w:rPr>
      </w:pPr>
      <w:r>
        <w:rPr>
          <w:b/>
        </w:rPr>
        <w:t>Abbreviations and conventions</w:t>
      </w:r>
    </w:p>
    <w:p w14:paraId="2794034C" w14:textId="77777777" w:rsidR="00AB6753" w:rsidRDefault="00AB6753" w:rsidP="00AB6753">
      <w:pPr>
        <w:tabs>
          <w:tab w:val="left" w:pos="1985"/>
        </w:tabs>
        <w:spacing w:beforeLines="20" w:before="48" w:afterLines="40" w:after="96" w:line="280" w:lineRule="exact"/>
        <w:ind w:left="1985" w:hanging="1985"/>
        <w:rPr>
          <w:sz w:val="20"/>
          <w:szCs w:val="20"/>
        </w:rPr>
      </w:pPr>
      <w:r>
        <w:t xml:space="preserve">— </w:t>
      </w:r>
      <w:r>
        <w:tab/>
      </w:r>
      <w:r>
        <w:rPr>
          <w:sz w:val="20"/>
          <w:szCs w:val="20"/>
        </w:rPr>
        <w:t>Nil</w:t>
      </w:r>
    </w:p>
    <w:p w14:paraId="744F4EE7" w14:textId="77777777" w:rsidR="00AB6753" w:rsidRDefault="00AB6753" w:rsidP="00AB6753">
      <w:pPr>
        <w:tabs>
          <w:tab w:val="left" w:pos="1985"/>
        </w:tabs>
        <w:spacing w:beforeLines="20" w:before="48" w:afterLines="40" w:after="96" w:line="280" w:lineRule="exact"/>
        <w:ind w:left="1985" w:hanging="1985"/>
        <w:rPr>
          <w:sz w:val="20"/>
          <w:szCs w:val="20"/>
        </w:rPr>
      </w:pPr>
      <w:proofErr w:type="spellStart"/>
      <w:r>
        <w:rPr>
          <w:sz w:val="20"/>
          <w:szCs w:val="20"/>
        </w:rPr>
        <w:t>na</w:t>
      </w:r>
      <w:proofErr w:type="spellEnd"/>
      <w:r>
        <w:rPr>
          <w:sz w:val="20"/>
          <w:szCs w:val="20"/>
        </w:rPr>
        <w:t xml:space="preserve"> </w:t>
      </w:r>
      <w:r>
        <w:rPr>
          <w:sz w:val="20"/>
          <w:szCs w:val="20"/>
        </w:rPr>
        <w:tab/>
        <w:t>Not available</w:t>
      </w:r>
    </w:p>
    <w:p w14:paraId="2192DB05" w14:textId="77777777" w:rsidR="00AB6753" w:rsidRDefault="00AB6753" w:rsidP="00AB6753">
      <w:pPr>
        <w:tabs>
          <w:tab w:val="left" w:pos="1985"/>
        </w:tabs>
        <w:spacing w:beforeLines="20" w:before="48" w:afterLines="40" w:after="96" w:line="280" w:lineRule="exact"/>
        <w:ind w:left="1985" w:hanging="1985"/>
        <w:rPr>
          <w:sz w:val="20"/>
          <w:szCs w:val="20"/>
        </w:rPr>
      </w:pPr>
      <w:r>
        <w:rPr>
          <w:sz w:val="20"/>
          <w:szCs w:val="20"/>
        </w:rPr>
        <w:t>N/A</w:t>
      </w:r>
      <w:r>
        <w:rPr>
          <w:sz w:val="20"/>
          <w:szCs w:val="20"/>
        </w:rPr>
        <w:tab/>
        <w:t>Not Applicable</w:t>
      </w:r>
    </w:p>
    <w:p w14:paraId="19E92643" w14:textId="77777777" w:rsidR="00AB6753" w:rsidRDefault="00AB6753" w:rsidP="00AB6753">
      <w:pPr>
        <w:tabs>
          <w:tab w:val="left" w:pos="1985"/>
        </w:tabs>
        <w:spacing w:beforeLines="20" w:before="48" w:afterLines="40" w:after="96" w:line="280" w:lineRule="exact"/>
        <w:ind w:left="1985" w:hanging="1985"/>
        <w:rPr>
          <w:sz w:val="20"/>
          <w:szCs w:val="20"/>
        </w:rPr>
      </w:pPr>
    </w:p>
    <w:p w14:paraId="206D8AD8" w14:textId="77777777" w:rsidR="00AB6753" w:rsidRDefault="00AB6753" w:rsidP="00AB6753">
      <w:pPr>
        <w:tabs>
          <w:tab w:val="left" w:pos="1985"/>
        </w:tabs>
        <w:spacing w:beforeLines="20" w:before="48" w:afterLines="40" w:after="96" w:line="280" w:lineRule="exact"/>
        <w:ind w:left="1985" w:hanging="1985"/>
        <w:rPr>
          <w:sz w:val="20"/>
          <w:szCs w:val="20"/>
        </w:rPr>
      </w:pPr>
      <w:r>
        <w:rPr>
          <w:sz w:val="20"/>
          <w:szCs w:val="20"/>
        </w:rPr>
        <w:t>N/P</w:t>
      </w:r>
      <w:r>
        <w:rPr>
          <w:sz w:val="20"/>
          <w:szCs w:val="20"/>
        </w:rPr>
        <w:tab/>
        <w:t>Not Provided</w:t>
      </w:r>
    </w:p>
    <w:p w14:paraId="25744448" w14:textId="77777777" w:rsidR="00AB6753" w:rsidRDefault="00AB6753" w:rsidP="00AB6753">
      <w:pPr>
        <w:tabs>
          <w:tab w:val="left" w:pos="1985"/>
        </w:tabs>
        <w:spacing w:beforeLines="20" w:before="48" w:afterLines="40" w:after="96" w:line="280" w:lineRule="exact"/>
        <w:ind w:left="1985" w:hanging="1985"/>
        <w:rPr>
          <w:sz w:val="20"/>
          <w:szCs w:val="20"/>
        </w:rPr>
      </w:pPr>
      <w:r>
        <w:rPr>
          <w:sz w:val="20"/>
          <w:szCs w:val="20"/>
        </w:rPr>
        <w:t xml:space="preserve">$m </w:t>
      </w:r>
      <w:r>
        <w:rPr>
          <w:sz w:val="20"/>
          <w:szCs w:val="20"/>
        </w:rPr>
        <w:tab/>
        <w:t>$ million</w:t>
      </w:r>
    </w:p>
    <w:p w14:paraId="786C4064" w14:textId="77777777" w:rsidR="00AB6753" w:rsidRDefault="00AB6753" w:rsidP="00AB6753">
      <w:pPr>
        <w:tabs>
          <w:tab w:val="left" w:pos="1985"/>
        </w:tabs>
        <w:spacing w:beforeLines="20" w:before="48" w:afterLines="40" w:after="96" w:line="280" w:lineRule="exact"/>
        <w:ind w:left="1985" w:hanging="1985"/>
        <w:rPr>
          <w:sz w:val="20"/>
          <w:szCs w:val="20"/>
        </w:rPr>
      </w:pPr>
      <w:r>
        <w:rPr>
          <w:sz w:val="20"/>
          <w:szCs w:val="20"/>
        </w:rPr>
        <w:t xml:space="preserve">$b </w:t>
      </w:r>
      <w:r>
        <w:rPr>
          <w:sz w:val="20"/>
          <w:szCs w:val="20"/>
        </w:rPr>
        <w:tab/>
        <w:t>$ billion</w:t>
      </w:r>
    </w:p>
    <w:p w14:paraId="6BEF2C0B" w14:textId="77777777" w:rsidR="00AB6753" w:rsidRDefault="00AB6753" w:rsidP="00AB6753">
      <w:pPr>
        <w:spacing w:after="0" w:line="240" w:lineRule="auto"/>
        <w:rPr>
          <w:sz w:val="20"/>
          <w:szCs w:val="20"/>
        </w:rPr>
        <w:sectPr w:rsidR="00AB6753">
          <w:type w:val="continuous"/>
          <w:pgSz w:w="11906" w:h="16838"/>
          <w:pgMar w:top="1440" w:right="1440" w:bottom="1440" w:left="1440" w:header="708" w:footer="708" w:gutter="0"/>
          <w:cols w:num="2" w:space="708"/>
        </w:sectPr>
      </w:pPr>
    </w:p>
    <w:p w14:paraId="51799B9B" w14:textId="77777777" w:rsidR="00AB6753" w:rsidRDefault="00AB6753" w:rsidP="00AB6753">
      <w:pPr>
        <w:tabs>
          <w:tab w:val="left" w:pos="1985"/>
        </w:tabs>
        <w:spacing w:beforeLines="20" w:before="48" w:afterLines="40" w:after="96" w:line="280" w:lineRule="exact"/>
        <w:rPr>
          <w:sz w:val="20"/>
          <w:szCs w:val="20"/>
        </w:rPr>
        <w:sectPr w:rsidR="00AB6753" w:rsidSect="00123D6C">
          <w:type w:val="continuous"/>
          <w:pgSz w:w="11906" w:h="16838"/>
          <w:pgMar w:top="1440" w:right="1440" w:bottom="1440" w:left="1440" w:header="708" w:footer="708" w:gutter="0"/>
          <w:cols w:num="2" w:space="708"/>
          <w:docGrid w:linePitch="360"/>
        </w:sectPr>
      </w:pPr>
    </w:p>
    <w:p w14:paraId="41535BA8" w14:textId="77777777" w:rsidR="00AB6753" w:rsidRDefault="00AB6753" w:rsidP="00AB6753">
      <w:pPr>
        <w:tabs>
          <w:tab w:val="left" w:pos="1985"/>
        </w:tabs>
        <w:spacing w:beforeLines="20" w:before="48" w:afterLines="40" w:after="96" w:line="280" w:lineRule="exact"/>
        <w:rPr>
          <w:sz w:val="20"/>
          <w:szCs w:val="20"/>
        </w:rPr>
        <w:sectPr w:rsidR="00AB6753" w:rsidSect="00123D6C">
          <w:type w:val="continuous"/>
          <w:pgSz w:w="11906" w:h="16838"/>
          <w:pgMar w:top="1440" w:right="1440" w:bottom="1440" w:left="1440" w:header="708" w:footer="708" w:gutter="0"/>
          <w:cols w:space="708"/>
          <w:docGrid w:linePitch="360"/>
        </w:sectPr>
      </w:pPr>
      <w:r>
        <w:rPr>
          <w:sz w:val="20"/>
          <w:szCs w:val="20"/>
        </w:rPr>
        <w:t>Note:  f</w:t>
      </w:r>
      <w:r w:rsidRPr="004E21C6">
        <w:rPr>
          <w:sz w:val="20"/>
          <w:szCs w:val="20"/>
        </w:rPr>
        <w:t>igures in tables and generally in text ha</w:t>
      </w:r>
      <w:r>
        <w:rPr>
          <w:sz w:val="20"/>
          <w:szCs w:val="20"/>
        </w:rPr>
        <w:t xml:space="preserve">ve been rounded. </w:t>
      </w:r>
      <w:r w:rsidRPr="004E21C6">
        <w:rPr>
          <w:sz w:val="20"/>
          <w:szCs w:val="20"/>
        </w:rPr>
        <w:t>Discrepancies in tables between totals and sums of</w:t>
      </w:r>
      <w:r>
        <w:rPr>
          <w:sz w:val="20"/>
          <w:szCs w:val="20"/>
        </w:rPr>
        <w:t xml:space="preserve"> components are due to rounding.</w:t>
      </w:r>
    </w:p>
    <w:p w14:paraId="35F00769" w14:textId="77777777" w:rsidR="00AB6753" w:rsidRPr="00054A67" w:rsidRDefault="00AB6753" w:rsidP="00AB6753">
      <w:pPr>
        <w:pStyle w:val="Heading1"/>
        <w:spacing w:before="240" w:after="240"/>
        <w:rPr>
          <w:rFonts w:ascii="Georgia" w:hAnsi="Georgia"/>
          <w:b w:val="0"/>
          <w:color w:val="215868" w:themeColor="accent5" w:themeShade="80"/>
          <w:sz w:val="72"/>
        </w:rPr>
      </w:pPr>
      <w:r w:rsidRPr="00054A67">
        <w:rPr>
          <w:rFonts w:ascii="Georgia" w:hAnsi="Georgia"/>
          <w:b w:val="0"/>
          <w:color w:val="215868" w:themeColor="accent5" w:themeShade="80"/>
          <w:sz w:val="72"/>
        </w:rPr>
        <w:lastRenderedPageBreak/>
        <w:t>Indexes</w:t>
      </w:r>
    </w:p>
    <w:p w14:paraId="545916A4" w14:textId="0FDBD2FD" w:rsidR="00AB6753" w:rsidRPr="00B03DAB" w:rsidRDefault="00AB6753" w:rsidP="00AB6753">
      <w:pPr>
        <w:pStyle w:val="NormalIndented"/>
        <w:rPr>
          <w:rFonts w:ascii="Arial" w:hAnsi="Arial" w:cs="Arial"/>
          <w:sz w:val="24"/>
          <w:szCs w:val="24"/>
        </w:rPr>
      </w:pPr>
      <w:r w:rsidRPr="00B03DAB">
        <w:rPr>
          <w:rFonts w:ascii="Arial" w:hAnsi="Arial" w:cs="Arial"/>
          <w:sz w:val="24"/>
          <w:szCs w:val="24"/>
        </w:rPr>
        <w:t>Compliance index...............................................................................................</w:t>
      </w:r>
      <w:r w:rsidR="00FD6B57">
        <w:rPr>
          <w:rFonts w:ascii="Arial" w:hAnsi="Arial" w:cs="Arial"/>
          <w:sz w:val="24"/>
          <w:szCs w:val="24"/>
        </w:rPr>
        <w:t>22</w:t>
      </w:r>
      <w:r w:rsidR="00ED09BA">
        <w:rPr>
          <w:rFonts w:ascii="Arial" w:hAnsi="Arial" w:cs="Arial"/>
          <w:sz w:val="24"/>
          <w:szCs w:val="24"/>
        </w:rPr>
        <w:t>7</w:t>
      </w:r>
    </w:p>
    <w:p w14:paraId="78C68710" w14:textId="5BA04220" w:rsidR="00AB6753" w:rsidRPr="00B03DAB" w:rsidRDefault="00AB6753" w:rsidP="00AB6753">
      <w:pPr>
        <w:pStyle w:val="NormalIndented"/>
        <w:rPr>
          <w:rFonts w:ascii="Arial" w:hAnsi="Arial" w:cs="Arial"/>
          <w:sz w:val="24"/>
          <w:szCs w:val="24"/>
        </w:rPr>
      </w:pPr>
      <w:r>
        <w:rPr>
          <w:rFonts w:ascii="Arial" w:hAnsi="Arial" w:cs="Arial"/>
          <w:sz w:val="24"/>
          <w:szCs w:val="24"/>
        </w:rPr>
        <w:t>Alphabetical index…………………………………………………………………….</w:t>
      </w:r>
      <w:r w:rsidR="00AB591A">
        <w:rPr>
          <w:rFonts w:ascii="Arial" w:hAnsi="Arial" w:cs="Arial"/>
          <w:sz w:val="24"/>
          <w:szCs w:val="24"/>
        </w:rPr>
        <w:t>234</w:t>
      </w:r>
    </w:p>
    <w:p w14:paraId="733869D2" w14:textId="77777777" w:rsidR="00AB6753" w:rsidRDefault="00AB6753" w:rsidP="00AB6753">
      <w:pPr>
        <w:pStyle w:val="NormalIndented"/>
        <w:rPr>
          <w:rFonts w:ascii="Arial" w:hAnsi="Arial" w:cs="Arial"/>
          <w:bCs/>
          <w:sz w:val="20"/>
          <w:szCs w:val="19"/>
        </w:rPr>
      </w:pPr>
    </w:p>
    <w:p w14:paraId="5640849D" w14:textId="77777777" w:rsidR="00AB6753" w:rsidRDefault="00AB6753" w:rsidP="00AB6753">
      <w:pPr>
        <w:pStyle w:val="NormalIndented"/>
        <w:rPr>
          <w:color w:val="669900"/>
        </w:rPr>
      </w:pPr>
    </w:p>
    <w:p w14:paraId="042C6776" w14:textId="77777777" w:rsidR="00AB6753" w:rsidRDefault="00AB6753" w:rsidP="00AB6753">
      <w:pPr>
        <w:pStyle w:val="NormalIndented"/>
        <w:sectPr w:rsidR="00AB6753" w:rsidSect="00123D6C">
          <w:headerReference w:type="default" r:id="rId76"/>
          <w:pgSz w:w="11906" w:h="16838"/>
          <w:pgMar w:top="1440" w:right="1440" w:bottom="1440" w:left="1440" w:header="708" w:footer="708" w:gutter="0"/>
          <w:cols w:space="708"/>
          <w:docGrid w:linePitch="360"/>
        </w:sectPr>
      </w:pPr>
    </w:p>
    <w:p w14:paraId="3689C6FA" w14:textId="77777777" w:rsidR="00AB6753" w:rsidRPr="00054A67" w:rsidRDefault="00AB6753" w:rsidP="00AB6753">
      <w:pPr>
        <w:pStyle w:val="Heading1"/>
        <w:spacing w:before="240" w:after="240"/>
        <w:rPr>
          <w:rFonts w:ascii="Georgia" w:hAnsi="Georgia"/>
          <w:b w:val="0"/>
          <w:color w:val="215868" w:themeColor="accent5" w:themeShade="80"/>
          <w:sz w:val="72"/>
        </w:rPr>
      </w:pPr>
      <w:r w:rsidRPr="00054A67">
        <w:rPr>
          <w:rFonts w:ascii="Georgia" w:hAnsi="Georgia"/>
          <w:b w:val="0"/>
          <w:color w:val="215868" w:themeColor="accent5" w:themeShade="80"/>
          <w:sz w:val="72"/>
        </w:rPr>
        <w:lastRenderedPageBreak/>
        <w:t>Compliance index</w:t>
      </w:r>
    </w:p>
    <w:p w14:paraId="5EA325A2" w14:textId="77777777" w:rsidR="00AB6753" w:rsidRPr="00833C50" w:rsidRDefault="00AB6753" w:rsidP="00AB6753">
      <w:pPr>
        <w:pStyle w:val="Heading4"/>
        <w:spacing w:after="200"/>
        <w:rPr>
          <w:rFonts w:ascii="Georgia" w:hAnsi="Georgia"/>
          <w:b w:val="0"/>
          <w:i w:val="0"/>
          <w:sz w:val="36"/>
        </w:rPr>
      </w:pPr>
      <w:r w:rsidRPr="00833C50">
        <w:rPr>
          <w:rFonts w:ascii="Georgia" w:hAnsi="Georgia"/>
          <w:b w:val="0"/>
          <w:i w:val="0"/>
          <w:sz w:val="36"/>
        </w:rPr>
        <w:t>List of requirements</w:t>
      </w:r>
    </w:p>
    <w:p w14:paraId="33E79643" w14:textId="77777777" w:rsidR="00AB6753" w:rsidRDefault="00AB6753" w:rsidP="00AB6753">
      <w:pPr>
        <w:spacing w:before="120" w:after="180" w:line="280" w:lineRule="atLeast"/>
        <w:rPr>
          <w:rFonts w:eastAsia="Times New Roman" w:cs="Arial"/>
          <w:sz w:val="20"/>
          <w:szCs w:val="20"/>
        </w:rPr>
      </w:pPr>
      <w:r w:rsidRPr="00A06DCA">
        <w:rPr>
          <w:rFonts w:eastAsia="Times New Roman" w:cs="Arial"/>
          <w:sz w:val="20"/>
          <w:szCs w:val="20"/>
        </w:rPr>
        <w:t>Below is the table set out in Schedule 2 of the PGPA Rule. Section 17AJ(d) requires this table be included in entities’ annual reports as an aid of access.</w:t>
      </w:r>
    </w:p>
    <w:tbl>
      <w:tblPr>
        <w:tblStyle w:val="Numericaltable1"/>
        <w:tblW w:w="8951" w:type="dxa"/>
        <w:tblInd w:w="103" w:type="dxa"/>
        <w:tblLook w:val="04A0" w:firstRow="1" w:lastRow="0" w:firstColumn="1" w:lastColumn="0" w:noHBand="0" w:noVBand="1"/>
        <w:tblCaption w:val="List of requirements"/>
        <w:tblDescription w:val="This table lists the mandatory information required under Schedule 2 of the PGPA Rule. It identifies the Part of Report (page/reference numbers), description of the information and identifies if it is a mandatory requirement."/>
      </w:tblPr>
      <w:tblGrid>
        <w:gridCol w:w="1575"/>
        <w:gridCol w:w="1673"/>
        <w:gridCol w:w="3475"/>
        <w:gridCol w:w="2216"/>
        <w:gridCol w:w="12"/>
      </w:tblGrid>
      <w:tr w:rsidR="00AB6753" w:rsidRPr="003358E7" w14:paraId="316AA31C" w14:textId="77777777" w:rsidTr="002D1EA4">
        <w:trPr>
          <w:cnfStyle w:val="100000000000" w:firstRow="1" w:lastRow="0" w:firstColumn="0" w:lastColumn="0" w:oddVBand="0" w:evenVBand="0" w:oddHBand="0" w:evenHBand="0" w:firstRowFirstColumn="0" w:firstRowLastColumn="0" w:lastRowFirstColumn="0" w:lastRowLastColumn="0"/>
          <w:trHeight w:val="483"/>
        </w:trPr>
        <w:tc>
          <w:tcPr>
            <w:tcW w:w="1575" w:type="dxa"/>
            <w:hideMark/>
          </w:tcPr>
          <w:p w14:paraId="567C5D15" w14:textId="77777777" w:rsidR="00AB6753" w:rsidRPr="003358E7" w:rsidRDefault="00AB6753" w:rsidP="002D1EA4">
            <w:pPr>
              <w:rPr>
                <w:rFonts w:eastAsia="Times New Roman"/>
                <w:b w:val="0"/>
                <w:bCs/>
                <w:color w:val="000000"/>
                <w:sz w:val="20"/>
                <w:szCs w:val="20"/>
                <w:lang w:eastAsia="en-AU"/>
              </w:rPr>
            </w:pPr>
            <w:r w:rsidRPr="003358E7">
              <w:rPr>
                <w:rFonts w:eastAsia="Times New Roman"/>
                <w:b w:val="0"/>
                <w:bCs/>
                <w:color w:val="000000"/>
                <w:sz w:val="20"/>
                <w:szCs w:val="20"/>
                <w:lang w:eastAsia="en-AU"/>
              </w:rPr>
              <w:t>PGPA Rule Reference</w:t>
            </w:r>
          </w:p>
        </w:tc>
        <w:tc>
          <w:tcPr>
            <w:tcW w:w="1673" w:type="dxa"/>
            <w:hideMark/>
          </w:tcPr>
          <w:p w14:paraId="7C0BD92C" w14:textId="77777777" w:rsidR="00AB6753" w:rsidRPr="003358E7" w:rsidRDefault="00AB6753" w:rsidP="002D1EA4">
            <w:pPr>
              <w:rPr>
                <w:rFonts w:eastAsia="Times New Roman"/>
                <w:b w:val="0"/>
                <w:bCs/>
                <w:color w:val="000000"/>
                <w:sz w:val="20"/>
                <w:szCs w:val="20"/>
                <w:lang w:eastAsia="en-AU"/>
              </w:rPr>
            </w:pPr>
            <w:r w:rsidRPr="003358E7">
              <w:rPr>
                <w:rFonts w:eastAsia="Times New Roman"/>
                <w:b w:val="0"/>
                <w:bCs/>
                <w:color w:val="000000"/>
                <w:sz w:val="20"/>
                <w:szCs w:val="20"/>
                <w:lang w:eastAsia="en-AU"/>
              </w:rPr>
              <w:t>Part of Report</w:t>
            </w:r>
          </w:p>
        </w:tc>
        <w:tc>
          <w:tcPr>
            <w:tcW w:w="3475" w:type="dxa"/>
            <w:hideMark/>
          </w:tcPr>
          <w:p w14:paraId="6D97786C" w14:textId="77777777" w:rsidR="00AB6753" w:rsidRPr="003358E7" w:rsidRDefault="00AB6753" w:rsidP="002D1EA4">
            <w:pPr>
              <w:rPr>
                <w:rFonts w:eastAsia="Times New Roman"/>
                <w:b w:val="0"/>
                <w:bCs/>
                <w:color w:val="000000"/>
                <w:sz w:val="20"/>
                <w:szCs w:val="20"/>
                <w:lang w:eastAsia="en-AU"/>
              </w:rPr>
            </w:pPr>
            <w:r w:rsidRPr="003358E7">
              <w:rPr>
                <w:rFonts w:eastAsia="Times New Roman"/>
                <w:b w:val="0"/>
                <w:bCs/>
                <w:color w:val="000000"/>
                <w:sz w:val="20"/>
                <w:szCs w:val="20"/>
                <w:lang w:eastAsia="en-AU"/>
              </w:rPr>
              <w:t>Description</w:t>
            </w:r>
          </w:p>
        </w:tc>
        <w:tc>
          <w:tcPr>
            <w:tcW w:w="2228" w:type="dxa"/>
            <w:gridSpan w:val="2"/>
            <w:hideMark/>
          </w:tcPr>
          <w:p w14:paraId="66F3C8C9" w14:textId="77777777" w:rsidR="00AB6753" w:rsidRPr="003358E7" w:rsidRDefault="00AB6753" w:rsidP="002D1EA4">
            <w:pPr>
              <w:rPr>
                <w:rFonts w:eastAsia="Times New Roman"/>
                <w:b w:val="0"/>
                <w:bCs/>
                <w:color w:val="000000"/>
                <w:sz w:val="20"/>
                <w:szCs w:val="20"/>
                <w:lang w:eastAsia="en-AU"/>
              </w:rPr>
            </w:pPr>
            <w:r w:rsidRPr="003358E7">
              <w:rPr>
                <w:rFonts w:eastAsia="Times New Roman"/>
                <w:b w:val="0"/>
                <w:bCs/>
                <w:color w:val="000000"/>
                <w:sz w:val="20"/>
                <w:szCs w:val="20"/>
                <w:lang w:eastAsia="en-AU"/>
              </w:rPr>
              <w:t>Requirement</w:t>
            </w:r>
          </w:p>
        </w:tc>
      </w:tr>
      <w:tr w:rsidR="00AB6753" w:rsidRPr="003358E7" w14:paraId="4F736360" w14:textId="77777777" w:rsidTr="002D1EA4">
        <w:trPr>
          <w:trHeight w:val="483"/>
        </w:trPr>
        <w:tc>
          <w:tcPr>
            <w:tcW w:w="1575" w:type="dxa"/>
            <w:hideMark/>
          </w:tcPr>
          <w:p w14:paraId="630025B6"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b/>
                <w:bCs/>
                <w:color w:val="000000"/>
                <w:sz w:val="20"/>
                <w:szCs w:val="20"/>
                <w:lang w:eastAsia="en-AU"/>
              </w:rPr>
              <w:t>17AD(g)</w:t>
            </w:r>
          </w:p>
        </w:tc>
        <w:tc>
          <w:tcPr>
            <w:tcW w:w="5148" w:type="dxa"/>
            <w:gridSpan w:val="2"/>
            <w:hideMark/>
          </w:tcPr>
          <w:p w14:paraId="17B3AE55"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b/>
                <w:bCs/>
                <w:color w:val="000000"/>
                <w:sz w:val="20"/>
                <w:szCs w:val="20"/>
                <w:lang w:eastAsia="en-AU"/>
              </w:rPr>
              <w:t>Letter of transmittal</w:t>
            </w:r>
          </w:p>
        </w:tc>
        <w:tc>
          <w:tcPr>
            <w:tcW w:w="2228" w:type="dxa"/>
            <w:gridSpan w:val="2"/>
            <w:hideMark/>
          </w:tcPr>
          <w:p w14:paraId="6333A5FA" w14:textId="77777777" w:rsidR="00AB6753" w:rsidRPr="003358E7" w:rsidRDefault="00AB6753" w:rsidP="002D1EA4">
            <w:pPr>
              <w:spacing w:after="120"/>
              <w:rPr>
                <w:rFonts w:eastAsia="Times New Roman" w:cs="Arial"/>
                <w:b/>
                <w:bCs/>
                <w:color w:val="000000"/>
                <w:sz w:val="20"/>
                <w:szCs w:val="20"/>
                <w:lang w:eastAsia="en-AU"/>
              </w:rPr>
            </w:pPr>
          </w:p>
        </w:tc>
      </w:tr>
      <w:tr w:rsidR="00AB6753" w:rsidRPr="003358E7" w14:paraId="5CED361A"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18B847DF"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17AI</w:t>
            </w:r>
          </w:p>
        </w:tc>
        <w:tc>
          <w:tcPr>
            <w:tcW w:w="1673" w:type="dxa"/>
            <w:hideMark/>
          </w:tcPr>
          <w:p w14:paraId="70AA025C" w14:textId="5B45C2D0" w:rsidR="00AB6753" w:rsidRPr="00417F54" w:rsidRDefault="00417F54" w:rsidP="002D1EA4">
            <w:pPr>
              <w:spacing w:after="120"/>
              <w:rPr>
                <w:rFonts w:eastAsia="Times New Roman" w:cs="Arial"/>
                <w:b/>
                <w:bCs/>
                <w:color w:val="000000"/>
                <w:sz w:val="20"/>
                <w:szCs w:val="20"/>
                <w:lang w:eastAsia="en-AU"/>
              </w:rPr>
            </w:pPr>
            <w:r>
              <w:rPr>
                <w:rFonts w:eastAsia="Times New Roman" w:cs="Arial"/>
                <w:color w:val="000000"/>
                <w:sz w:val="20"/>
                <w:szCs w:val="20"/>
                <w:lang w:eastAsia="en-AU"/>
              </w:rPr>
              <w:t>vi</w:t>
            </w:r>
          </w:p>
        </w:tc>
        <w:tc>
          <w:tcPr>
            <w:tcW w:w="3475" w:type="dxa"/>
            <w:hideMark/>
          </w:tcPr>
          <w:p w14:paraId="45298725"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 copy of the letter of transmittal signed and dated by accountable authority on date final text approved, with statement that the report has been prepared in accordance with section</w:t>
            </w:r>
            <w:r>
              <w:rPr>
                <w:rFonts w:eastAsia="Times New Roman" w:cs="Arial"/>
                <w:color w:val="000000"/>
                <w:sz w:val="20"/>
                <w:szCs w:val="20"/>
                <w:lang w:eastAsia="en-AU"/>
              </w:rPr>
              <w:t xml:space="preserve"> </w:t>
            </w:r>
            <w:r w:rsidRPr="003358E7">
              <w:rPr>
                <w:rFonts w:eastAsia="Times New Roman" w:cs="Arial"/>
                <w:color w:val="000000"/>
                <w:sz w:val="20"/>
                <w:szCs w:val="20"/>
                <w:lang w:eastAsia="en-AU"/>
              </w:rPr>
              <w:t>46 of the Act and any enabling legislation that specifies additional requirements in relation to the annual report.</w:t>
            </w:r>
          </w:p>
        </w:tc>
        <w:tc>
          <w:tcPr>
            <w:tcW w:w="2228" w:type="dxa"/>
            <w:gridSpan w:val="2"/>
            <w:hideMark/>
          </w:tcPr>
          <w:p w14:paraId="65327CDE"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338EAFF2" w14:textId="77777777" w:rsidTr="002D1EA4">
        <w:trPr>
          <w:trHeight w:val="430"/>
        </w:trPr>
        <w:tc>
          <w:tcPr>
            <w:tcW w:w="1575" w:type="dxa"/>
            <w:hideMark/>
          </w:tcPr>
          <w:p w14:paraId="13415B0A"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b/>
                <w:bCs/>
                <w:color w:val="000000"/>
                <w:sz w:val="20"/>
                <w:szCs w:val="20"/>
                <w:lang w:eastAsia="en-AU"/>
              </w:rPr>
              <w:t>17AD(h)</w:t>
            </w:r>
          </w:p>
        </w:tc>
        <w:tc>
          <w:tcPr>
            <w:tcW w:w="5148" w:type="dxa"/>
            <w:gridSpan w:val="2"/>
            <w:hideMark/>
          </w:tcPr>
          <w:p w14:paraId="4D4E4F12"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b/>
                <w:bCs/>
                <w:color w:val="000000"/>
                <w:sz w:val="20"/>
                <w:szCs w:val="20"/>
                <w:lang w:eastAsia="en-AU"/>
              </w:rPr>
              <w:t>Aids to access</w:t>
            </w:r>
          </w:p>
        </w:tc>
        <w:tc>
          <w:tcPr>
            <w:tcW w:w="2228" w:type="dxa"/>
            <w:gridSpan w:val="2"/>
            <w:hideMark/>
          </w:tcPr>
          <w:p w14:paraId="503C4778" w14:textId="77777777" w:rsidR="00AB6753" w:rsidRPr="003358E7" w:rsidRDefault="00AB6753" w:rsidP="002D1EA4">
            <w:pPr>
              <w:spacing w:after="120"/>
              <w:rPr>
                <w:rFonts w:eastAsia="Times New Roman" w:cs="Arial"/>
                <w:b/>
                <w:bCs/>
                <w:color w:val="000000"/>
                <w:sz w:val="20"/>
                <w:szCs w:val="20"/>
                <w:lang w:eastAsia="en-AU"/>
              </w:rPr>
            </w:pPr>
          </w:p>
        </w:tc>
      </w:tr>
      <w:tr w:rsidR="00AB6753" w:rsidRPr="003358E7" w14:paraId="1B5A1967" w14:textId="77777777" w:rsidTr="00417F5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0400993B"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17AJ(a)</w:t>
            </w:r>
          </w:p>
        </w:tc>
        <w:tc>
          <w:tcPr>
            <w:tcW w:w="1673" w:type="dxa"/>
          </w:tcPr>
          <w:p w14:paraId="26031665" w14:textId="2595223C" w:rsidR="00AB6753" w:rsidRPr="00417F54" w:rsidRDefault="00417F54" w:rsidP="002D1EA4">
            <w:pPr>
              <w:spacing w:after="120"/>
              <w:rPr>
                <w:rFonts w:eastAsia="Times New Roman" w:cs="Arial"/>
                <w:bCs/>
                <w:color w:val="000000"/>
                <w:sz w:val="20"/>
                <w:szCs w:val="20"/>
                <w:lang w:eastAsia="en-AU"/>
              </w:rPr>
            </w:pPr>
            <w:r>
              <w:rPr>
                <w:rFonts w:eastAsia="Times New Roman" w:cs="Arial"/>
                <w:bCs/>
                <w:color w:val="000000"/>
                <w:sz w:val="20"/>
                <w:szCs w:val="20"/>
                <w:lang w:eastAsia="en-AU"/>
              </w:rPr>
              <w:t>ii-iii</w:t>
            </w:r>
          </w:p>
        </w:tc>
        <w:tc>
          <w:tcPr>
            <w:tcW w:w="3475" w:type="dxa"/>
            <w:hideMark/>
          </w:tcPr>
          <w:p w14:paraId="5F7EEFBD"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Table of contents.</w:t>
            </w:r>
          </w:p>
        </w:tc>
        <w:tc>
          <w:tcPr>
            <w:tcW w:w="2228" w:type="dxa"/>
            <w:gridSpan w:val="2"/>
            <w:hideMark/>
          </w:tcPr>
          <w:p w14:paraId="23C017B4"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31D96DA3" w14:textId="77777777" w:rsidTr="00417F54">
        <w:trPr>
          <w:trHeight w:val="67"/>
        </w:trPr>
        <w:tc>
          <w:tcPr>
            <w:tcW w:w="1575" w:type="dxa"/>
            <w:hideMark/>
          </w:tcPr>
          <w:p w14:paraId="6A8D430E"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17AJ(b)</w:t>
            </w:r>
          </w:p>
        </w:tc>
        <w:tc>
          <w:tcPr>
            <w:tcW w:w="1673" w:type="dxa"/>
          </w:tcPr>
          <w:p w14:paraId="48526A98" w14:textId="467B2A82" w:rsidR="00AB6753" w:rsidRPr="00417F54" w:rsidRDefault="00AB591A" w:rsidP="002D1EA4">
            <w:pPr>
              <w:spacing w:after="120"/>
              <w:rPr>
                <w:rFonts w:eastAsia="Times New Roman" w:cs="Arial"/>
                <w:bCs/>
                <w:color w:val="000000"/>
                <w:sz w:val="20"/>
                <w:szCs w:val="20"/>
                <w:lang w:eastAsia="en-AU"/>
              </w:rPr>
            </w:pPr>
            <w:r>
              <w:rPr>
                <w:rFonts w:eastAsia="Times New Roman" w:cs="Arial"/>
                <w:bCs/>
                <w:color w:val="000000"/>
                <w:sz w:val="20"/>
                <w:szCs w:val="20"/>
                <w:lang w:eastAsia="en-AU"/>
              </w:rPr>
              <w:t>234</w:t>
            </w:r>
          </w:p>
        </w:tc>
        <w:tc>
          <w:tcPr>
            <w:tcW w:w="3475" w:type="dxa"/>
            <w:hideMark/>
          </w:tcPr>
          <w:p w14:paraId="1CD02263"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Alphabetical index.</w:t>
            </w:r>
          </w:p>
        </w:tc>
        <w:tc>
          <w:tcPr>
            <w:tcW w:w="2228" w:type="dxa"/>
            <w:gridSpan w:val="2"/>
            <w:hideMark/>
          </w:tcPr>
          <w:p w14:paraId="77C3E948"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455A4EEB" w14:textId="77777777" w:rsidTr="00417F5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7D4FD111"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17AJ(c)</w:t>
            </w:r>
          </w:p>
        </w:tc>
        <w:tc>
          <w:tcPr>
            <w:tcW w:w="1673" w:type="dxa"/>
          </w:tcPr>
          <w:p w14:paraId="7B6513E1" w14:textId="0F267582" w:rsidR="00AB6753" w:rsidRPr="00417F54" w:rsidRDefault="00417F54" w:rsidP="002D1EA4">
            <w:pPr>
              <w:spacing w:after="120"/>
              <w:rPr>
                <w:rFonts w:eastAsia="Times New Roman" w:cs="Arial"/>
                <w:bCs/>
                <w:color w:val="000000"/>
                <w:sz w:val="20"/>
                <w:szCs w:val="20"/>
                <w:lang w:eastAsia="en-AU"/>
              </w:rPr>
            </w:pPr>
            <w:r>
              <w:rPr>
                <w:rFonts w:eastAsia="Times New Roman" w:cs="Arial"/>
                <w:bCs/>
                <w:color w:val="000000"/>
                <w:sz w:val="20"/>
                <w:szCs w:val="20"/>
                <w:lang w:eastAsia="en-AU"/>
              </w:rPr>
              <w:t>223-225</w:t>
            </w:r>
          </w:p>
        </w:tc>
        <w:tc>
          <w:tcPr>
            <w:tcW w:w="3475" w:type="dxa"/>
            <w:hideMark/>
          </w:tcPr>
          <w:p w14:paraId="6FB8A322"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Glossary of abbreviations and acronyms.</w:t>
            </w:r>
          </w:p>
        </w:tc>
        <w:tc>
          <w:tcPr>
            <w:tcW w:w="2228" w:type="dxa"/>
            <w:gridSpan w:val="2"/>
            <w:hideMark/>
          </w:tcPr>
          <w:p w14:paraId="19574E0F"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3D8A6D01" w14:textId="77777777" w:rsidTr="00417F54">
        <w:trPr>
          <w:trHeight w:val="67"/>
        </w:trPr>
        <w:tc>
          <w:tcPr>
            <w:tcW w:w="1575" w:type="dxa"/>
            <w:hideMark/>
          </w:tcPr>
          <w:p w14:paraId="3492736D"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17AJ(d)</w:t>
            </w:r>
          </w:p>
        </w:tc>
        <w:tc>
          <w:tcPr>
            <w:tcW w:w="1673" w:type="dxa"/>
          </w:tcPr>
          <w:p w14:paraId="7162DF35" w14:textId="0935E8FD" w:rsidR="00AB6753" w:rsidRPr="00417F54" w:rsidRDefault="00417F54" w:rsidP="002D1EA4">
            <w:pPr>
              <w:spacing w:after="120"/>
              <w:rPr>
                <w:rFonts w:eastAsia="Times New Roman" w:cs="Arial"/>
                <w:bCs/>
                <w:color w:val="000000"/>
                <w:sz w:val="20"/>
                <w:szCs w:val="20"/>
                <w:lang w:eastAsia="en-AU"/>
              </w:rPr>
            </w:pPr>
            <w:r>
              <w:rPr>
                <w:rFonts w:eastAsia="Times New Roman" w:cs="Arial"/>
                <w:bCs/>
                <w:color w:val="000000"/>
                <w:sz w:val="20"/>
                <w:szCs w:val="20"/>
                <w:lang w:eastAsia="en-AU"/>
              </w:rPr>
              <w:t>227-235</w:t>
            </w:r>
          </w:p>
        </w:tc>
        <w:tc>
          <w:tcPr>
            <w:tcW w:w="3475" w:type="dxa"/>
            <w:hideMark/>
          </w:tcPr>
          <w:p w14:paraId="7919E072"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List of requirements.</w:t>
            </w:r>
          </w:p>
        </w:tc>
        <w:tc>
          <w:tcPr>
            <w:tcW w:w="2228" w:type="dxa"/>
            <w:gridSpan w:val="2"/>
            <w:hideMark/>
          </w:tcPr>
          <w:p w14:paraId="70C480B4"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732741EF" w14:textId="77777777" w:rsidTr="00417F5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0284A3B2"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17AJ(e)</w:t>
            </w:r>
          </w:p>
        </w:tc>
        <w:tc>
          <w:tcPr>
            <w:tcW w:w="1673" w:type="dxa"/>
          </w:tcPr>
          <w:p w14:paraId="7E0CCD01" w14:textId="1BA7F0ED" w:rsidR="00AB6753" w:rsidRPr="00417F54" w:rsidRDefault="00417F54" w:rsidP="002D1EA4">
            <w:pPr>
              <w:spacing w:after="120"/>
              <w:rPr>
                <w:rFonts w:eastAsia="Times New Roman" w:cs="Arial"/>
                <w:bCs/>
                <w:color w:val="000000"/>
                <w:sz w:val="20"/>
                <w:szCs w:val="20"/>
                <w:lang w:eastAsia="en-AU"/>
              </w:rPr>
            </w:pPr>
            <w:r>
              <w:rPr>
                <w:rFonts w:eastAsia="Times New Roman" w:cs="Arial"/>
                <w:bCs/>
                <w:color w:val="000000"/>
                <w:sz w:val="20"/>
                <w:szCs w:val="20"/>
                <w:lang w:eastAsia="en-AU"/>
              </w:rPr>
              <w:t>Inside front cover, 222</w:t>
            </w:r>
          </w:p>
        </w:tc>
        <w:tc>
          <w:tcPr>
            <w:tcW w:w="3475" w:type="dxa"/>
            <w:hideMark/>
          </w:tcPr>
          <w:p w14:paraId="4C218E1B"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Details of contact officer.</w:t>
            </w:r>
          </w:p>
        </w:tc>
        <w:tc>
          <w:tcPr>
            <w:tcW w:w="2228" w:type="dxa"/>
            <w:gridSpan w:val="2"/>
            <w:hideMark/>
          </w:tcPr>
          <w:p w14:paraId="3E558DA1"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669BB419" w14:textId="77777777" w:rsidTr="00417F54">
        <w:trPr>
          <w:trHeight w:val="67"/>
        </w:trPr>
        <w:tc>
          <w:tcPr>
            <w:tcW w:w="1575" w:type="dxa"/>
            <w:hideMark/>
          </w:tcPr>
          <w:p w14:paraId="441975F8"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17AJ(f)</w:t>
            </w:r>
          </w:p>
        </w:tc>
        <w:tc>
          <w:tcPr>
            <w:tcW w:w="1673" w:type="dxa"/>
          </w:tcPr>
          <w:p w14:paraId="5846791F" w14:textId="44E4907B" w:rsidR="00417F54" w:rsidRPr="00417F54" w:rsidRDefault="00417F54" w:rsidP="00417F54">
            <w:pPr>
              <w:spacing w:after="120"/>
              <w:rPr>
                <w:rFonts w:eastAsia="Times New Roman" w:cs="Arial"/>
                <w:bCs/>
                <w:color w:val="000000"/>
                <w:sz w:val="20"/>
                <w:szCs w:val="20"/>
                <w:lang w:eastAsia="en-AU"/>
              </w:rPr>
            </w:pPr>
            <w:r w:rsidRPr="00E102A8">
              <w:rPr>
                <w:rFonts w:eastAsia="Times New Roman" w:cs="Arial"/>
                <w:bCs/>
                <w:color w:val="000000"/>
                <w:sz w:val="20"/>
                <w:szCs w:val="20"/>
                <w:lang w:eastAsia="en-AU"/>
              </w:rPr>
              <w:t>Inside front cover, 222</w:t>
            </w:r>
          </w:p>
        </w:tc>
        <w:tc>
          <w:tcPr>
            <w:tcW w:w="3475" w:type="dxa"/>
            <w:hideMark/>
          </w:tcPr>
          <w:p w14:paraId="22A170CE"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Entity’s website address.</w:t>
            </w:r>
          </w:p>
        </w:tc>
        <w:tc>
          <w:tcPr>
            <w:tcW w:w="2228" w:type="dxa"/>
            <w:gridSpan w:val="2"/>
            <w:hideMark/>
          </w:tcPr>
          <w:p w14:paraId="267160CF"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2B5B27D3" w14:textId="77777777" w:rsidTr="00417F5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7E59072F"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17AJ(g)</w:t>
            </w:r>
          </w:p>
        </w:tc>
        <w:tc>
          <w:tcPr>
            <w:tcW w:w="1673" w:type="dxa"/>
          </w:tcPr>
          <w:p w14:paraId="1DE057DD" w14:textId="0F87868B" w:rsidR="00417F54" w:rsidRPr="00417F54" w:rsidRDefault="00417F54" w:rsidP="00417F54">
            <w:pPr>
              <w:spacing w:after="120"/>
              <w:rPr>
                <w:rFonts w:eastAsia="Times New Roman" w:cs="Arial"/>
                <w:bCs/>
                <w:color w:val="000000"/>
                <w:sz w:val="20"/>
                <w:szCs w:val="20"/>
                <w:lang w:eastAsia="en-AU"/>
              </w:rPr>
            </w:pPr>
            <w:r w:rsidRPr="00E102A8">
              <w:rPr>
                <w:rFonts w:eastAsia="Times New Roman" w:cs="Arial"/>
                <w:bCs/>
                <w:color w:val="000000"/>
                <w:sz w:val="20"/>
                <w:szCs w:val="20"/>
                <w:lang w:eastAsia="en-AU"/>
              </w:rPr>
              <w:t>Inside front cover, 222</w:t>
            </w:r>
          </w:p>
        </w:tc>
        <w:tc>
          <w:tcPr>
            <w:tcW w:w="3475" w:type="dxa"/>
            <w:hideMark/>
          </w:tcPr>
          <w:p w14:paraId="42976AD0"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Electronic address of report.</w:t>
            </w:r>
          </w:p>
        </w:tc>
        <w:tc>
          <w:tcPr>
            <w:tcW w:w="2228" w:type="dxa"/>
            <w:gridSpan w:val="2"/>
            <w:hideMark/>
          </w:tcPr>
          <w:p w14:paraId="45E989E0"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1A2E9347" w14:textId="77777777" w:rsidTr="002D1EA4">
        <w:trPr>
          <w:trHeight w:val="446"/>
        </w:trPr>
        <w:tc>
          <w:tcPr>
            <w:tcW w:w="1575" w:type="dxa"/>
            <w:hideMark/>
          </w:tcPr>
          <w:p w14:paraId="63138E23"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b/>
                <w:bCs/>
                <w:color w:val="000000"/>
                <w:sz w:val="20"/>
                <w:szCs w:val="20"/>
                <w:lang w:eastAsia="en-AU"/>
              </w:rPr>
              <w:t>17AD(a)</w:t>
            </w:r>
          </w:p>
        </w:tc>
        <w:tc>
          <w:tcPr>
            <w:tcW w:w="5148" w:type="dxa"/>
            <w:gridSpan w:val="2"/>
            <w:hideMark/>
          </w:tcPr>
          <w:p w14:paraId="0040AF4F"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b/>
                <w:bCs/>
                <w:color w:val="000000"/>
                <w:sz w:val="20"/>
                <w:szCs w:val="20"/>
                <w:lang w:eastAsia="en-AU"/>
              </w:rPr>
              <w:t>Review by accountable authority</w:t>
            </w:r>
          </w:p>
        </w:tc>
        <w:tc>
          <w:tcPr>
            <w:tcW w:w="2228" w:type="dxa"/>
            <w:gridSpan w:val="2"/>
            <w:hideMark/>
          </w:tcPr>
          <w:p w14:paraId="4C920DF7" w14:textId="77777777" w:rsidR="00AB6753" w:rsidRPr="003358E7" w:rsidRDefault="00AB6753" w:rsidP="002D1EA4">
            <w:pPr>
              <w:spacing w:after="120"/>
              <w:rPr>
                <w:rFonts w:eastAsia="Times New Roman" w:cs="Arial"/>
                <w:b/>
                <w:bCs/>
                <w:color w:val="000000"/>
                <w:sz w:val="20"/>
                <w:szCs w:val="20"/>
                <w:lang w:eastAsia="en-AU"/>
              </w:rPr>
            </w:pPr>
          </w:p>
        </w:tc>
      </w:tr>
      <w:tr w:rsidR="00AB6753" w:rsidRPr="003358E7" w14:paraId="415A9922"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07D4C4CB"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17AD(a)</w:t>
            </w:r>
          </w:p>
        </w:tc>
        <w:tc>
          <w:tcPr>
            <w:tcW w:w="1673" w:type="dxa"/>
            <w:hideMark/>
          </w:tcPr>
          <w:p w14:paraId="088E437E" w14:textId="76013EA7" w:rsidR="00AB6753" w:rsidRPr="00417F54" w:rsidRDefault="00417F54" w:rsidP="002D1EA4">
            <w:pPr>
              <w:spacing w:after="120"/>
              <w:rPr>
                <w:rFonts w:eastAsia="Times New Roman" w:cs="Arial"/>
                <w:bCs/>
                <w:color w:val="000000"/>
                <w:sz w:val="20"/>
                <w:szCs w:val="20"/>
                <w:lang w:eastAsia="en-AU"/>
              </w:rPr>
            </w:pPr>
            <w:r w:rsidRPr="00417F54">
              <w:rPr>
                <w:rFonts w:eastAsia="Times New Roman" w:cs="Arial"/>
                <w:bCs/>
                <w:color w:val="000000"/>
                <w:sz w:val="20"/>
                <w:szCs w:val="20"/>
                <w:lang w:eastAsia="en-AU"/>
              </w:rPr>
              <w:t>1-3</w:t>
            </w:r>
          </w:p>
        </w:tc>
        <w:tc>
          <w:tcPr>
            <w:tcW w:w="3475" w:type="dxa"/>
            <w:hideMark/>
          </w:tcPr>
          <w:p w14:paraId="54BFDE89"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 review by the accountable authority of the entity.</w:t>
            </w:r>
          </w:p>
        </w:tc>
        <w:tc>
          <w:tcPr>
            <w:tcW w:w="2228" w:type="dxa"/>
            <w:gridSpan w:val="2"/>
            <w:hideMark/>
          </w:tcPr>
          <w:p w14:paraId="5FC91C96"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56EED860" w14:textId="77777777" w:rsidTr="002D1EA4">
        <w:trPr>
          <w:trHeight w:val="501"/>
        </w:trPr>
        <w:tc>
          <w:tcPr>
            <w:tcW w:w="1575" w:type="dxa"/>
            <w:hideMark/>
          </w:tcPr>
          <w:p w14:paraId="4BB183BE"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b/>
                <w:bCs/>
                <w:color w:val="000000"/>
                <w:sz w:val="20"/>
                <w:szCs w:val="20"/>
                <w:lang w:eastAsia="en-AU"/>
              </w:rPr>
              <w:t>17AD(b)</w:t>
            </w:r>
          </w:p>
        </w:tc>
        <w:tc>
          <w:tcPr>
            <w:tcW w:w="7376" w:type="dxa"/>
            <w:gridSpan w:val="4"/>
            <w:hideMark/>
          </w:tcPr>
          <w:p w14:paraId="7417FA6B"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b/>
                <w:bCs/>
                <w:color w:val="000000"/>
                <w:sz w:val="20"/>
                <w:szCs w:val="20"/>
                <w:lang w:eastAsia="en-AU"/>
              </w:rPr>
              <w:t>Overview of the entity</w:t>
            </w:r>
          </w:p>
        </w:tc>
      </w:tr>
      <w:tr w:rsidR="00AB6753" w:rsidRPr="003358E7" w14:paraId="328651C2" w14:textId="77777777" w:rsidTr="00417F5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23EFBE4F"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17AE(1)(a)(</w:t>
            </w:r>
            <w:proofErr w:type="spellStart"/>
            <w:r w:rsidRPr="003358E7">
              <w:rPr>
                <w:rFonts w:eastAsia="Times New Roman" w:cs="Arial"/>
                <w:color w:val="000000"/>
                <w:sz w:val="20"/>
                <w:szCs w:val="20"/>
                <w:lang w:eastAsia="en-AU"/>
              </w:rPr>
              <w:t>i</w:t>
            </w:r>
            <w:proofErr w:type="spellEnd"/>
            <w:r w:rsidRPr="003358E7">
              <w:rPr>
                <w:rFonts w:eastAsia="Times New Roman" w:cs="Arial"/>
                <w:color w:val="000000"/>
                <w:sz w:val="20"/>
                <w:szCs w:val="20"/>
                <w:lang w:eastAsia="en-AU"/>
              </w:rPr>
              <w:t>)</w:t>
            </w:r>
          </w:p>
        </w:tc>
        <w:tc>
          <w:tcPr>
            <w:tcW w:w="1673" w:type="dxa"/>
          </w:tcPr>
          <w:p w14:paraId="7C07D520" w14:textId="2675D5D8" w:rsidR="00AB6753" w:rsidRPr="00417F54" w:rsidRDefault="00417F54" w:rsidP="002D1EA4">
            <w:pPr>
              <w:spacing w:before="120"/>
              <w:rPr>
                <w:rFonts w:eastAsia="Times New Roman" w:cs="Arial"/>
                <w:iCs/>
                <w:color w:val="000000"/>
                <w:sz w:val="20"/>
                <w:szCs w:val="20"/>
                <w:lang w:eastAsia="en-AU"/>
              </w:rPr>
            </w:pPr>
            <w:r>
              <w:rPr>
                <w:rFonts w:eastAsia="Times New Roman" w:cs="Arial"/>
                <w:iCs/>
                <w:color w:val="000000"/>
                <w:sz w:val="20"/>
                <w:szCs w:val="20"/>
                <w:lang w:eastAsia="en-AU"/>
              </w:rPr>
              <w:t>5-6</w:t>
            </w:r>
          </w:p>
        </w:tc>
        <w:tc>
          <w:tcPr>
            <w:tcW w:w="3475" w:type="dxa"/>
            <w:hideMark/>
          </w:tcPr>
          <w:p w14:paraId="53882855"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 description of the role and functions of the entity.</w:t>
            </w:r>
          </w:p>
        </w:tc>
        <w:tc>
          <w:tcPr>
            <w:tcW w:w="2228" w:type="dxa"/>
            <w:gridSpan w:val="2"/>
            <w:hideMark/>
          </w:tcPr>
          <w:p w14:paraId="29801A86"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21C610B3" w14:textId="77777777" w:rsidTr="00417F54">
        <w:trPr>
          <w:trHeight w:val="67"/>
        </w:trPr>
        <w:tc>
          <w:tcPr>
            <w:tcW w:w="1575" w:type="dxa"/>
            <w:hideMark/>
          </w:tcPr>
          <w:p w14:paraId="65FB5977"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17AE(1)(a)(ii)</w:t>
            </w:r>
          </w:p>
        </w:tc>
        <w:tc>
          <w:tcPr>
            <w:tcW w:w="1673" w:type="dxa"/>
          </w:tcPr>
          <w:p w14:paraId="0E1A4E42" w14:textId="754634CA" w:rsidR="00AB6753" w:rsidRPr="00417F54" w:rsidRDefault="00417F54" w:rsidP="002D1EA4">
            <w:pPr>
              <w:spacing w:before="120"/>
              <w:rPr>
                <w:rFonts w:eastAsia="Times New Roman" w:cs="Arial"/>
                <w:iCs/>
                <w:color w:val="000000"/>
                <w:sz w:val="20"/>
                <w:szCs w:val="20"/>
                <w:lang w:eastAsia="en-AU"/>
              </w:rPr>
            </w:pPr>
            <w:r>
              <w:rPr>
                <w:rFonts w:eastAsia="Times New Roman" w:cs="Arial"/>
                <w:iCs/>
                <w:color w:val="000000"/>
                <w:sz w:val="20"/>
                <w:szCs w:val="20"/>
                <w:lang w:eastAsia="en-AU"/>
              </w:rPr>
              <w:t>6-8</w:t>
            </w:r>
          </w:p>
        </w:tc>
        <w:tc>
          <w:tcPr>
            <w:tcW w:w="3475" w:type="dxa"/>
            <w:hideMark/>
          </w:tcPr>
          <w:p w14:paraId="2238E2AA"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 description of the organisational structure of the entity.</w:t>
            </w:r>
          </w:p>
        </w:tc>
        <w:tc>
          <w:tcPr>
            <w:tcW w:w="2228" w:type="dxa"/>
            <w:gridSpan w:val="2"/>
            <w:hideMark/>
          </w:tcPr>
          <w:p w14:paraId="7B5C5F6F"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29AAFA66" w14:textId="77777777" w:rsidTr="00417F5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467B61BE"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17AE(1)(a)(iii)</w:t>
            </w:r>
          </w:p>
        </w:tc>
        <w:tc>
          <w:tcPr>
            <w:tcW w:w="1673" w:type="dxa"/>
          </w:tcPr>
          <w:p w14:paraId="6809C0C2" w14:textId="7F624EDB" w:rsidR="00AB6753" w:rsidRPr="00417F54" w:rsidRDefault="00417F54" w:rsidP="002D1EA4">
            <w:pPr>
              <w:spacing w:before="120"/>
              <w:rPr>
                <w:rFonts w:eastAsia="Times New Roman" w:cs="Arial"/>
                <w:iCs/>
                <w:color w:val="000000"/>
                <w:sz w:val="20"/>
                <w:szCs w:val="20"/>
                <w:lang w:eastAsia="en-AU"/>
              </w:rPr>
            </w:pPr>
            <w:r>
              <w:rPr>
                <w:rFonts w:eastAsia="Times New Roman" w:cs="Arial"/>
                <w:iCs/>
                <w:color w:val="000000"/>
                <w:sz w:val="20"/>
                <w:szCs w:val="20"/>
                <w:lang w:eastAsia="en-AU"/>
              </w:rPr>
              <w:t>iv-v</w:t>
            </w:r>
          </w:p>
        </w:tc>
        <w:tc>
          <w:tcPr>
            <w:tcW w:w="3475" w:type="dxa"/>
            <w:hideMark/>
          </w:tcPr>
          <w:p w14:paraId="5934B289"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 description of the outcomes and programmes administered by the entity.</w:t>
            </w:r>
          </w:p>
        </w:tc>
        <w:tc>
          <w:tcPr>
            <w:tcW w:w="2228" w:type="dxa"/>
            <w:gridSpan w:val="2"/>
            <w:hideMark/>
          </w:tcPr>
          <w:p w14:paraId="55B2065D"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16D6FC97" w14:textId="77777777" w:rsidTr="00417F54">
        <w:trPr>
          <w:trHeight w:val="67"/>
        </w:trPr>
        <w:tc>
          <w:tcPr>
            <w:tcW w:w="1575" w:type="dxa"/>
            <w:hideMark/>
          </w:tcPr>
          <w:p w14:paraId="1F54E204"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17AE(1)(a)(iv)</w:t>
            </w:r>
          </w:p>
        </w:tc>
        <w:tc>
          <w:tcPr>
            <w:tcW w:w="1673" w:type="dxa"/>
          </w:tcPr>
          <w:p w14:paraId="4AE0A93A" w14:textId="427F3120" w:rsidR="00AB6753" w:rsidRPr="00417F54" w:rsidRDefault="00417F54" w:rsidP="002D1EA4">
            <w:pPr>
              <w:spacing w:before="120"/>
              <w:rPr>
                <w:rFonts w:eastAsia="Times New Roman" w:cs="Arial"/>
                <w:iCs/>
                <w:color w:val="000000"/>
                <w:sz w:val="20"/>
                <w:szCs w:val="20"/>
                <w:lang w:eastAsia="en-AU"/>
              </w:rPr>
            </w:pPr>
            <w:r>
              <w:rPr>
                <w:rFonts w:eastAsia="Times New Roman" w:cs="Arial"/>
                <w:iCs/>
                <w:color w:val="000000"/>
                <w:sz w:val="20"/>
                <w:szCs w:val="20"/>
                <w:lang w:eastAsia="en-AU"/>
              </w:rPr>
              <w:t>5</w:t>
            </w:r>
          </w:p>
        </w:tc>
        <w:tc>
          <w:tcPr>
            <w:tcW w:w="3475" w:type="dxa"/>
            <w:hideMark/>
          </w:tcPr>
          <w:p w14:paraId="27C8F8FA"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 description of the purposes of the entity as included in corporate plan.</w:t>
            </w:r>
          </w:p>
        </w:tc>
        <w:tc>
          <w:tcPr>
            <w:tcW w:w="2228" w:type="dxa"/>
            <w:gridSpan w:val="2"/>
            <w:hideMark/>
          </w:tcPr>
          <w:p w14:paraId="64045FAB"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7B5476F7"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tcPr>
          <w:p w14:paraId="50A4DBAF" w14:textId="77777777" w:rsidR="00AB6753" w:rsidRPr="003358E7" w:rsidRDefault="00AB6753" w:rsidP="002D1EA4">
            <w:pPr>
              <w:spacing w:after="120"/>
              <w:jc w:val="center"/>
              <w:rPr>
                <w:rFonts w:eastAsia="Times New Roman" w:cs="Arial"/>
                <w:color w:val="000000"/>
                <w:sz w:val="20"/>
                <w:szCs w:val="20"/>
                <w:lang w:eastAsia="en-AU"/>
              </w:rPr>
            </w:pPr>
            <w:r w:rsidRPr="003358E7">
              <w:rPr>
                <w:rFonts w:eastAsia="Times New Roman" w:cs="Arial"/>
                <w:color w:val="000000"/>
                <w:sz w:val="20"/>
                <w:szCs w:val="20"/>
                <w:lang w:eastAsia="en-AU"/>
              </w:rPr>
              <w:lastRenderedPageBreak/>
              <w:t>17AE(1)(aa)(</w:t>
            </w:r>
            <w:proofErr w:type="spellStart"/>
            <w:r w:rsidRPr="003358E7">
              <w:rPr>
                <w:rFonts w:eastAsia="Times New Roman" w:cs="Arial"/>
                <w:color w:val="000000"/>
                <w:sz w:val="20"/>
                <w:szCs w:val="20"/>
                <w:lang w:eastAsia="en-AU"/>
              </w:rPr>
              <w:t>i</w:t>
            </w:r>
            <w:proofErr w:type="spellEnd"/>
            <w:r w:rsidRPr="003358E7">
              <w:rPr>
                <w:rFonts w:eastAsia="Times New Roman" w:cs="Arial"/>
                <w:color w:val="000000"/>
                <w:sz w:val="20"/>
                <w:szCs w:val="20"/>
                <w:lang w:eastAsia="en-AU"/>
              </w:rPr>
              <w:t>)</w:t>
            </w:r>
          </w:p>
        </w:tc>
        <w:tc>
          <w:tcPr>
            <w:tcW w:w="1673" w:type="dxa"/>
          </w:tcPr>
          <w:p w14:paraId="4E3B98B0" w14:textId="6046A3A0" w:rsidR="00AB6753" w:rsidRPr="00417F54" w:rsidRDefault="00417F54" w:rsidP="002D1EA4">
            <w:pPr>
              <w:spacing w:before="120"/>
              <w:rPr>
                <w:rFonts w:eastAsia="Times New Roman" w:cs="Arial"/>
                <w:iCs/>
                <w:color w:val="000000"/>
                <w:sz w:val="20"/>
                <w:szCs w:val="20"/>
                <w:lang w:eastAsia="en-AU"/>
              </w:rPr>
            </w:pPr>
            <w:r>
              <w:rPr>
                <w:rFonts w:eastAsia="Times New Roman" w:cs="Arial"/>
                <w:iCs/>
                <w:color w:val="000000"/>
                <w:sz w:val="20"/>
                <w:szCs w:val="20"/>
                <w:lang w:eastAsia="en-AU"/>
              </w:rPr>
              <w:t>207</w:t>
            </w:r>
          </w:p>
        </w:tc>
        <w:tc>
          <w:tcPr>
            <w:tcW w:w="3475" w:type="dxa"/>
          </w:tcPr>
          <w:p w14:paraId="5F5D7E37" w14:textId="77777777" w:rsidR="00AB6753" w:rsidRPr="003358E7" w:rsidRDefault="00AB6753" w:rsidP="002D1EA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Name of the accountable authority or each member of the accountable authority</w:t>
            </w:r>
          </w:p>
        </w:tc>
        <w:tc>
          <w:tcPr>
            <w:tcW w:w="2228" w:type="dxa"/>
            <w:gridSpan w:val="2"/>
          </w:tcPr>
          <w:p w14:paraId="20BFDB80" w14:textId="77777777" w:rsidR="00AB6753" w:rsidRPr="003358E7" w:rsidRDefault="00AB6753" w:rsidP="002D1EA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1A0DFEF2" w14:textId="77777777" w:rsidTr="002D1EA4">
        <w:trPr>
          <w:trHeight w:val="67"/>
        </w:trPr>
        <w:tc>
          <w:tcPr>
            <w:tcW w:w="1575" w:type="dxa"/>
          </w:tcPr>
          <w:p w14:paraId="7264EE25" w14:textId="77777777" w:rsidR="00AB6753" w:rsidRPr="003358E7" w:rsidRDefault="00AB6753" w:rsidP="002D1EA4">
            <w:pPr>
              <w:spacing w:after="120"/>
              <w:jc w:val="center"/>
              <w:rPr>
                <w:rFonts w:eastAsia="Times New Roman" w:cs="Arial"/>
                <w:color w:val="000000"/>
                <w:sz w:val="20"/>
                <w:szCs w:val="20"/>
                <w:lang w:eastAsia="en-AU"/>
              </w:rPr>
            </w:pPr>
            <w:r w:rsidRPr="003358E7">
              <w:rPr>
                <w:rFonts w:eastAsia="Times New Roman" w:cs="Arial"/>
                <w:color w:val="000000"/>
                <w:sz w:val="20"/>
                <w:szCs w:val="20"/>
                <w:lang w:eastAsia="en-AU"/>
              </w:rPr>
              <w:t>17AE(1)(aa)(ii)</w:t>
            </w:r>
          </w:p>
        </w:tc>
        <w:tc>
          <w:tcPr>
            <w:tcW w:w="1673" w:type="dxa"/>
          </w:tcPr>
          <w:p w14:paraId="44CC21F9" w14:textId="0C7CF2AC" w:rsidR="00AB6753" w:rsidRPr="00417F54" w:rsidRDefault="00417F54" w:rsidP="002D1EA4">
            <w:pPr>
              <w:spacing w:before="120"/>
              <w:rPr>
                <w:rFonts w:eastAsia="Times New Roman" w:cs="Arial"/>
                <w:iCs/>
                <w:color w:val="000000"/>
                <w:sz w:val="20"/>
                <w:szCs w:val="20"/>
                <w:lang w:eastAsia="en-AU"/>
              </w:rPr>
            </w:pPr>
            <w:r>
              <w:rPr>
                <w:rFonts w:eastAsia="Times New Roman" w:cs="Arial"/>
                <w:iCs/>
                <w:color w:val="000000"/>
                <w:sz w:val="20"/>
                <w:szCs w:val="20"/>
                <w:lang w:eastAsia="en-AU"/>
              </w:rPr>
              <w:t>207</w:t>
            </w:r>
          </w:p>
        </w:tc>
        <w:tc>
          <w:tcPr>
            <w:tcW w:w="3475" w:type="dxa"/>
          </w:tcPr>
          <w:p w14:paraId="66401742" w14:textId="77777777" w:rsidR="00AB6753" w:rsidRPr="003358E7" w:rsidRDefault="00AB6753" w:rsidP="002D1EA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Position title of the accountable authority or each member of the accountable authority</w:t>
            </w:r>
          </w:p>
        </w:tc>
        <w:tc>
          <w:tcPr>
            <w:tcW w:w="2228" w:type="dxa"/>
            <w:gridSpan w:val="2"/>
          </w:tcPr>
          <w:p w14:paraId="43C93BF5" w14:textId="77777777" w:rsidR="00AB6753" w:rsidRPr="003358E7" w:rsidRDefault="00AB6753" w:rsidP="002D1EA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4E4DB70C"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tcPr>
          <w:p w14:paraId="25FA54B2" w14:textId="77777777" w:rsidR="00AB6753" w:rsidRPr="003358E7" w:rsidRDefault="00AB6753" w:rsidP="002D1EA4">
            <w:pPr>
              <w:spacing w:after="120"/>
              <w:jc w:val="center"/>
              <w:rPr>
                <w:rFonts w:eastAsia="Times New Roman" w:cs="Arial"/>
                <w:color w:val="000000"/>
                <w:sz w:val="20"/>
                <w:szCs w:val="20"/>
                <w:lang w:eastAsia="en-AU"/>
              </w:rPr>
            </w:pPr>
            <w:r w:rsidRPr="003358E7">
              <w:rPr>
                <w:rFonts w:eastAsia="Times New Roman" w:cs="Arial"/>
                <w:color w:val="000000"/>
                <w:sz w:val="20"/>
                <w:szCs w:val="20"/>
                <w:lang w:eastAsia="en-AU"/>
              </w:rPr>
              <w:t>17AE(1)(aa)(iii)</w:t>
            </w:r>
          </w:p>
        </w:tc>
        <w:tc>
          <w:tcPr>
            <w:tcW w:w="1673" w:type="dxa"/>
          </w:tcPr>
          <w:p w14:paraId="5F27FD9D" w14:textId="230D8C06" w:rsidR="00AB6753" w:rsidRPr="00417F54" w:rsidRDefault="00417F54" w:rsidP="002D1EA4">
            <w:pPr>
              <w:spacing w:before="120"/>
              <w:rPr>
                <w:rFonts w:eastAsia="Times New Roman" w:cs="Arial"/>
                <w:iCs/>
                <w:color w:val="000000"/>
                <w:sz w:val="20"/>
                <w:szCs w:val="20"/>
                <w:lang w:eastAsia="en-AU"/>
              </w:rPr>
            </w:pPr>
            <w:r>
              <w:rPr>
                <w:rFonts w:eastAsia="Times New Roman" w:cs="Arial"/>
                <w:iCs/>
                <w:color w:val="000000"/>
                <w:sz w:val="20"/>
                <w:szCs w:val="20"/>
                <w:lang w:eastAsia="en-AU"/>
              </w:rPr>
              <w:t>207</w:t>
            </w:r>
          </w:p>
        </w:tc>
        <w:tc>
          <w:tcPr>
            <w:tcW w:w="3475" w:type="dxa"/>
          </w:tcPr>
          <w:p w14:paraId="1C394D19" w14:textId="77777777" w:rsidR="00AB6753" w:rsidRPr="003358E7" w:rsidRDefault="00AB6753" w:rsidP="002D1EA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Period as the accountable authority or member of the accountable authority within the reporting period</w:t>
            </w:r>
          </w:p>
        </w:tc>
        <w:tc>
          <w:tcPr>
            <w:tcW w:w="2228" w:type="dxa"/>
            <w:gridSpan w:val="2"/>
          </w:tcPr>
          <w:p w14:paraId="5D4F827C" w14:textId="77777777" w:rsidR="00AB6753" w:rsidRPr="003358E7" w:rsidRDefault="00AB6753" w:rsidP="002D1EA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6C999FD1" w14:textId="77777777" w:rsidTr="00417F54">
        <w:trPr>
          <w:trHeight w:val="67"/>
        </w:trPr>
        <w:tc>
          <w:tcPr>
            <w:tcW w:w="1575" w:type="dxa"/>
            <w:hideMark/>
          </w:tcPr>
          <w:p w14:paraId="167425B2"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17AE(1)(b)</w:t>
            </w:r>
          </w:p>
        </w:tc>
        <w:tc>
          <w:tcPr>
            <w:tcW w:w="1673" w:type="dxa"/>
          </w:tcPr>
          <w:p w14:paraId="5013165B" w14:textId="0A90130D" w:rsidR="00AB6753" w:rsidRPr="00417F54" w:rsidRDefault="00417F54" w:rsidP="002D1EA4">
            <w:pPr>
              <w:spacing w:before="120"/>
              <w:rPr>
                <w:rFonts w:eastAsia="Times New Roman" w:cs="Arial"/>
                <w:iCs/>
                <w:color w:val="000000"/>
                <w:sz w:val="20"/>
                <w:szCs w:val="20"/>
                <w:lang w:eastAsia="en-AU"/>
              </w:rPr>
            </w:pPr>
            <w:r>
              <w:rPr>
                <w:rFonts w:eastAsia="Times New Roman" w:cs="Arial"/>
                <w:iCs/>
                <w:color w:val="000000"/>
                <w:sz w:val="20"/>
                <w:szCs w:val="20"/>
                <w:lang w:eastAsia="en-AU"/>
              </w:rPr>
              <w:t>10-13</w:t>
            </w:r>
          </w:p>
        </w:tc>
        <w:tc>
          <w:tcPr>
            <w:tcW w:w="3475" w:type="dxa"/>
            <w:hideMark/>
          </w:tcPr>
          <w:p w14:paraId="074D85C4"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An outline of the structure of the portfolio of the entity.</w:t>
            </w:r>
          </w:p>
        </w:tc>
        <w:tc>
          <w:tcPr>
            <w:tcW w:w="2228" w:type="dxa"/>
            <w:gridSpan w:val="2"/>
            <w:hideMark/>
          </w:tcPr>
          <w:p w14:paraId="441173F0" w14:textId="77777777" w:rsidR="00AB6753" w:rsidRPr="00130D01" w:rsidRDefault="00AB6753" w:rsidP="002D1EA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 xml:space="preserve">Portfolio departments </w:t>
            </w:r>
            <w:r>
              <w:rPr>
                <w:rFonts w:eastAsia="Times New Roman" w:cs="Arial"/>
                <w:color w:val="000000"/>
                <w:sz w:val="20"/>
                <w:szCs w:val="20"/>
                <w:lang w:eastAsia="en-AU"/>
              </w:rPr>
              <w:t>–</w:t>
            </w:r>
            <w:r w:rsidRPr="003358E7">
              <w:rPr>
                <w:rFonts w:eastAsia="Times New Roman" w:cs="Arial"/>
                <w:color w:val="000000"/>
                <w:sz w:val="20"/>
                <w:szCs w:val="20"/>
                <w:lang w:eastAsia="en-AU"/>
              </w:rPr>
              <w:t xml:space="preserve"> mandatory</w:t>
            </w:r>
          </w:p>
        </w:tc>
      </w:tr>
      <w:tr w:rsidR="00AB6753" w:rsidRPr="003358E7" w14:paraId="3F18A63C" w14:textId="77777777" w:rsidTr="00417F5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5C9508C3"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17AE(2)</w:t>
            </w:r>
          </w:p>
        </w:tc>
        <w:tc>
          <w:tcPr>
            <w:tcW w:w="1673" w:type="dxa"/>
          </w:tcPr>
          <w:p w14:paraId="5C7E1A26" w14:textId="1CDD2A50" w:rsidR="00AB6753" w:rsidRPr="00417F54" w:rsidRDefault="00417F54" w:rsidP="00417F54">
            <w:pPr>
              <w:spacing w:before="120"/>
              <w:rPr>
                <w:rFonts w:eastAsia="Times New Roman" w:cs="Arial"/>
                <w:b/>
                <w:bCs/>
                <w:color w:val="000000"/>
                <w:sz w:val="20"/>
                <w:szCs w:val="20"/>
                <w:lang w:eastAsia="en-AU"/>
              </w:rPr>
            </w:pPr>
            <w:r w:rsidRPr="00417F54">
              <w:rPr>
                <w:rFonts w:eastAsia="Times New Roman" w:cs="Arial"/>
                <w:iCs/>
                <w:color w:val="000000"/>
                <w:sz w:val="20"/>
                <w:szCs w:val="20"/>
                <w:lang w:eastAsia="en-AU"/>
              </w:rPr>
              <w:t>13</w:t>
            </w:r>
          </w:p>
        </w:tc>
        <w:tc>
          <w:tcPr>
            <w:tcW w:w="3475" w:type="dxa"/>
            <w:hideMark/>
          </w:tcPr>
          <w:p w14:paraId="6CBE0090" w14:textId="3AB70849"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Where the outcomes and programs administered by the entity differ from</w:t>
            </w:r>
            <w:r>
              <w:rPr>
                <w:rFonts w:eastAsia="Times New Roman" w:cs="Arial"/>
                <w:color w:val="000000"/>
                <w:sz w:val="20"/>
                <w:szCs w:val="20"/>
                <w:lang w:eastAsia="en-AU"/>
              </w:rPr>
              <w:t xml:space="preserve"> </w:t>
            </w:r>
            <w:r w:rsidRPr="003358E7">
              <w:rPr>
                <w:rFonts w:eastAsia="Times New Roman" w:cs="Arial"/>
                <w:color w:val="000000"/>
                <w:sz w:val="20"/>
                <w:szCs w:val="20"/>
                <w:lang w:eastAsia="en-AU"/>
              </w:rPr>
              <w:t>any Portfolio Budget Statement</w:t>
            </w:r>
            <w:r w:rsidR="00715789">
              <w:rPr>
                <w:rFonts w:eastAsia="Times New Roman" w:cs="Arial"/>
                <w:color w:val="000000"/>
                <w:sz w:val="20"/>
                <w:szCs w:val="20"/>
                <w:lang w:eastAsia="en-AU"/>
              </w:rPr>
              <w:t>s</w:t>
            </w:r>
            <w:r w:rsidRPr="003358E7">
              <w:rPr>
                <w:rFonts w:eastAsia="Times New Roman" w:cs="Arial"/>
                <w:color w:val="000000"/>
                <w:sz w:val="20"/>
                <w:szCs w:val="20"/>
                <w:lang w:eastAsia="en-AU"/>
              </w:rPr>
              <w:t>, Portfolio Additional Estimates Statement or other portfolio estimates statement that was prepared for the entity for the period, include details of variation and reasons for change.</w:t>
            </w:r>
          </w:p>
        </w:tc>
        <w:tc>
          <w:tcPr>
            <w:tcW w:w="2228" w:type="dxa"/>
            <w:gridSpan w:val="2"/>
            <w:hideMark/>
          </w:tcPr>
          <w:p w14:paraId="50288F92"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If applicable, Mandatory</w:t>
            </w:r>
          </w:p>
        </w:tc>
      </w:tr>
      <w:tr w:rsidR="00AB6753" w:rsidRPr="003358E7" w14:paraId="31F9FAC1" w14:textId="77777777" w:rsidTr="002D1EA4">
        <w:trPr>
          <w:trHeight w:val="645"/>
        </w:trPr>
        <w:tc>
          <w:tcPr>
            <w:tcW w:w="1575" w:type="dxa"/>
            <w:hideMark/>
          </w:tcPr>
          <w:p w14:paraId="2FAE2F9A"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b/>
                <w:bCs/>
                <w:color w:val="000000"/>
                <w:sz w:val="20"/>
                <w:szCs w:val="20"/>
                <w:lang w:eastAsia="en-AU"/>
              </w:rPr>
              <w:t>17AD(c)</w:t>
            </w:r>
          </w:p>
        </w:tc>
        <w:tc>
          <w:tcPr>
            <w:tcW w:w="5148" w:type="dxa"/>
            <w:gridSpan w:val="2"/>
            <w:hideMark/>
          </w:tcPr>
          <w:p w14:paraId="4864FEB0"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b/>
                <w:bCs/>
                <w:color w:val="000000"/>
                <w:sz w:val="20"/>
                <w:szCs w:val="20"/>
                <w:lang w:eastAsia="en-AU"/>
              </w:rPr>
              <w:t>Report on the Performance of the entity</w:t>
            </w:r>
          </w:p>
        </w:tc>
        <w:tc>
          <w:tcPr>
            <w:tcW w:w="2228" w:type="dxa"/>
            <w:gridSpan w:val="2"/>
            <w:hideMark/>
          </w:tcPr>
          <w:p w14:paraId="658B744F" w14:textId="77777777" w:rsidR="00AB6753" w:rsidRPr="003358E7" w:rsidRDefault="00AB6753" w:rsidP="002D1EA4">
            <w:pPr>
              <w:spacing w:after="120"/>
              <w:rPr>
                <w:rFonts w:eastAsia="Times New Roman" w:cs="Arial"/>
                <w:b/>
                <w:bCs/>
                <w:color w:val="000000"/>
                <w:sz w:val="20"/>
                <w:szCs w:val="20"/>
                <w:lang w:eastAsia="en-AU"/>
              </w:rPr>
            </w:pPr>
          </w:p>
        </w:tc>
      </w:tr>
      <w:tr w:rsidR="00AB6753" w:rsidRPr="003358E7" w14:paraId="6C7B67B2"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5E1581D9" w14:textId="77777777" w:rsidR="00AB6753" w:rsidRPr="003358E7" w:rsidRDefault="00AB6753" w:rsidP="002D1EA4">
            <w:pPr>
              <w:spacing w:after="120"/>
              <w:jc w:val="center"/>
              <w:rPr>
                <w:rFonts w:eastAsia="Times New Roman" w:cs="Arial"/>
                <w:b/>
                <w:bCs/>
                <w:color w:val="000000"/>
                <w:sz w:val="20"/>
                <w:szCs w:val="20"/>
                <w:lang w:eastAsia="en-AU"/>
              </w:rPr>
            </w:pPr>
          </w:p>
        </w:tc>
        <w:tc>
          <w:tcPr>
            <w:tcW w:w="5148" w:type="dxa"/>
            <w:gridSpan w:val="2"/>
            <w:hideMark/>
          </w:tcPr>
          <w:p w14:paraId="7A234376"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b/>
                <w:bCs/>
                <w:i/>
                <w:iCs/>
                <w:color w:val="000000"/>
                <w:sz w:val="20"/>
                <w:szCs w:val="20"/>
                <w:lang w:eastAsia="en-AU"/>
              </w:rPr>
              <w:t>Annual performance Statements</w:t>
            </w:r>
          </w:p>
        </w:tc>
        <w:tc>
          <w:tcPr>
            <w:tcW w:w="2228" w:type="dxa"/>
            <w:gridSpan w:val="2"/>
            <w:hideMark/>
          </w:tcPr>
          <w:p w14:paraId="35DFF9B5" w14:textId="77777777" w:rsidR="00AB6753" w:rsidRPr="003358E7" w:rsidRDefault="00AB6753" w:rsidP="002D1EA4">
            <w:pPr>
              <w:spacing w:after="120"/>
              <w:rPr>
                <w:rFonts w:eastAsia="Times New Roman" w:cs="Arial"/>
                <w:b/>
                <w:bCs/>
                <w:color w:val="000000"/>
                <w:sz w:val="20"/>
                <w:szCs w:val="20"/>
                <w:lang w:eastAsia="en-AU"/>
              </w:rPr>
            </w:pPr>
          </w:p>
        </w:tc>
      </w:tr>
      <w:tr w:rsidR="00AB6753" w:rsidRPr="003358E7" w14:paraId="36074C8E" w14:textId="77777777" w:rsidTr="002D1EA4">
        <w:trPr>
          <w:trHeight w:val="67"/>
        </w:trPr>
        <w:tc>
          <w:tcPr>
            <w:tcW w:w="1575" w:type="dxa"/>
            <w:hideMark/>
          </w:tcPr>
          <w:p w14:paraId="55461ACA"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17AD(c)(</w:t>
            </w:r>
            <w:proofErr w:type="spellStart"/>
            <w:r w:rsidRPr="003358E7">
              <w:rPr>
                <w:rFonts w:eastAsia="Times New Roman" w:cs="Arial"/>
                <w:color w:val="000000"/>
                <w:sz w:val="20"/>
                <w:szCs w:val="20"/>
                <w:lang w:eastAsia="en-AU"/>
              </w:rPr>
              <w:t>i</w:t>
            </w:r>
            <w:proofErr w:type="spellEnd"/>
            <w:r w:rsidRPr="003358E7">
              <w:rPr>
                <w:rFonts w:eastAsia="Times New Roman" w:cs="Arial"/>
                <w:color w:val="000000"/>
                <w:sz w:val="20"/>
                <w:szCs w:val="20"/>
                <w:lang w:eastAsia="en-AU"/>
              </w:rPr>
              <w:t>); 16F</w:t>
            </w:r>
          </w:p>
        </w:tc>
        <w:tc>
          <w:tcPr>
            <w:tcW w:w="1673" w:type="dxa"/>
            <w:hideMark/>
          </w:tcPr>
          <w:p w14:paraId="7D7E8C6C" w14:textId="726AD81C" w:rsidR="00AB6753" w:rsidRPr="00417F54" w:rsidRDefault="00417F54" w:rsidP="002D1EA4">
            <w:pPr>
              <w:spacing w:after="120"/>
              <w:rPr>
                <w:rFonts w:eastAsia="Times New Roman" w:cs="Arial"/>
                <w:bCs/>
                <w:color w:val="000000"/>
                <w:sz w:val="20"/>
                <w:szCs w:val="20"/>
                <w:lang w:eastAsia="en-AU"/>
              </w:rPr>
            </w:pPr>
            <w:r w:rsidRPr="00417F54">
              <w:rPr>
                <w:rFonts w:eastAsia="Times New Roman" w:cs="Arial"/>
                <w:bCs/>
                <w:color w:val="000000"/>
                <w:sz w:val="20"/>
                <w:szCs w:val="20"/>
                <w:lang w:eastAsia="en-AU"/>
              </w:rPr>
              <w:t>14-92</w:t>
            </w:r>
          </w:p>
        </w:tc>
        <w:tc>
          <w:tcPr>
            <w:tcW w:w="3475" w:type="dxa"/>
            <w:hideMark/>
          </w:tcPr>
          <w:p w14:paraId="7ADE11A7"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Annual performance statement in accordance with paragraph</w:t>
            </w:r>
            <w:r>
              <w:rPr>
                <w:rFonts w:eastAsia="Times New Roman" w:cs="Arial"/>
                <w:color w:val="000000"/>
                <w:sz w:val="20"/>
                <w:szCs w:val="20"/>
                <w:lang w:eastAsia="en-AU"/>
              </w:rPr>
              <w:t xml:space="preserve"> </w:t>
            </w:r>
            <w:r w:rsidRPr="003358E7">
              <w:rPr>
                <w:rFonts w:eastAsia="Times New Roman" w:cs="Arial"/>
                <w:color w:val="000000"/>
                <w:sz w:val="20"/>
                <w:szCs w:val="20"/>
                <w:lang w:eastAsia="en-AU"/>
              </w:rPr>
              <w:t>39(1)(b) of the Act and section</w:t>
            </w:r>
            <w:r>
              <w:rPr>
                <w:rFonts w:eastAsia="Times New Roman" w:cs="Arial"/>
                <w:color w:val="000000"/>
                <w:sz w:val="20"/>
                <w:szCs w:val="20"/>
                <w:lang w:eastAsia="en-AU"/>
              </w:rPr>
              <w:t xml:space="preserve"> </w:t>
            </w:r>
            <w:r w:rsidRPr="003358E7">
              <w:rPr>
                <w:rFonts w:eastAsia="Times New Roman" w:cs="Arial"/>
                <w:color w:val="000000"/>
                <w:sz w:val="20"/>
                <w:szCs w:val="20"/>
                <w:lang w:eastAsia="en-AU"/>
              </w:rPr>
              <w:t>16F of the Rule.</w:t>
            </w:r>
          </w:p>
        </w:tc>
        <w:tc>
          <w:tcPr>
            <w:tcW w:w="2228" w:type="dxa"/>
            <w:gridSpan w:val="2"/>
            <w:hideMark/>
          </w:tcPr>
          <w:p w14:paraId="34582EC7"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6D287BDD"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5110A945"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b/>
                <w:bCs/>
                <w:i/>
                <w:iCs/>
                <w:color w:val="000000"/>
                <w:sz w:val="20"/>
                <w:szCs w:val="20"/>
                <w:lang w:eastAsia="en-AU"/>
              </w:rPr>
              <w:t>17AD(c)(ii)</w:t>
            </w:r>
          </w:p>
        </w:tc>
        <w:tc>
          <w:tcPr>
            <w:tcW w:w="7376" w:type="dxa"/>
            <w:gridSpan w:val="4"/>
            <w:hideMark/>
          </w:tcPr>
          <w:p w14:paraId="073A9310"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b/>
                <w:bCs/>
                <w:i/>
                <w:iCs/>
                <w:color w:val="000000"/>
                <w:sz w:val="20"/>
                <w:szCs w:val="20"/>
                <w:lang w:eastAsia="en-AU"/>
              </w:rPr>
              <w:t>Report on Financial Performance</w:t>
            </w:r>
          </w:p>
        </w:tc>
      </w:tr>
      <w:tr w:rsidR="00AB6753" w:rsidRPr="003358E7" w14:paraId="7A17F63B" w14:textId="77777777" w:rsidTr="002D1EA4">
        <w:trPr>
          <w:trHeight w:val="67"/>
        </w:trPr>
        <w:tc>
          <w:tcPr>
            <w:tcW w:w="1575" w:type="dxa"/>
            <w:hideMark/>
          </w:tcPr>
          <w:p w14:paraId="4524D02F"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17AF(1)(a)</w:t>
            </w:r>
          </w:p>
        </w:tc>
        <w:tc>
          <w:tcPr>
            <w:tcW w:w="1673" w:type="dxa"/>
            <w:hideMark/>
          </w:tcPr>
          <w:p w14:paraId="30538181" w14:textId="64C849BE" w:rsidR="00AB6753" w:rsidRPr="00417F54" w:rsidRDefault="00417F54" w:rsidP="002D1EA4">
            <w:pPr>
              <w:spacing w:after="120"/>
              <w:rPr>
                <w:rFonts w:eastAsia="Times New Roman" w:cs="Arial"/>
                <w:bCs/>
                <w:color w:val="000000"/>
                <w:sz w:val="20"/>
                <w:szCs w:val="20"/>
                <w:lang w:eastAsia="en-AU"/>
              </w:rPr>
            </w:pPr>
            <w:r w:rsidRPr="00417F54">
              <w:rPr>
                <w:rFonts w:eastAsia="Times New Roman" w:cs="Arial"/>
                <w:bCs/>
                <w:color w:val="000000"/>
                <w:sz w:val="20"/>
                <w:szCs w:val="20"/>
                <w:lang w:eastAsia="en-AU"/>
              </w:rPr>
              <w:t>121-178</w:t>
            </w:r>
          </w:p>
        </w:tc>
        <w:tc>
          <w:tcPr>
            <w:tcW w:w="3475" w:type="dxa"/>
            <w:hideMark/>
          </w:tcPr>
          <w:p w14:paraId="0E9BF0F5"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 discussion and analysis of the entity’s financial performance.</w:t>
            </w:r>
          </w:p>
        </w:tc>
        <w:tc>
          <w:tcPr>
            <w:tcW w:w="2228" w:type="dxa"/>
            <w:gridSpan w:val="2"/>
            <w:hideMark/>
          </w:tcPr>
          <w:p w14:paraId="0F77983C"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38C9D9D4"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044E3DBB"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17AF(1)(b)</w:t>
            </w:r>
          </w:p>
        </w:tc>
        <w:tc>
          <w:tcPr>
            <w:tcW w:w="1673" w:type="dxa"/>
            <w:hideMark/>
          </w:tcPr>
          <w:p w14:paraId="48A2F1FF" w14:textId="5763F6B2" w:rsidR="00AB6753" w:rsidRPr="00417F54" w:rsidRDefault="00417F54" w:rsidP="002D1EA4">
            <w:pPr>
              <w:spacing w:after="120"/>
              <w:rPr>
                <w:rFonts w:eastAsia="Times New Roman" w:cs="Arial"/>
                <w:bCs/>
                <w:color w:val="000000"/>
                <w:sz w:val="20"/>
                <w:szCs w:val="20"/>
                <w:lang w:eastAsia="en-AU"/>
              </w:rPr>
            </w:pPr>
            <w:r w:rsidRPr="00417F54">
              <w:rPr>
                <w:rFonts w:eastAsia="Times New Roman" w:cs="Arial"/>
                <w:bCs/>
                <w:color w:val="000000"/>
                <w:sz w:val="20"/>
                <w:szCs w:val="20"/>
                <w:lang w:eastAsia="en-AU"/>
              </w:rPr>
              <w:t>180-191</w:t>
            </w:r>
          </w:p>
        </w:tc>
        <w:tc>
          <w:tcPr>
            <w:tcW w:w="3475" w:type="dxa"/>
            <w:hideMark/>
          </w:tcPr>
          <w:p w14:paraId="2E2A8CEB"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 table summarising the total resources and total payments of the entity.</w:t>
            </w:r>
          </w:p>
        </w:tc>
        <w:tc>
          <w:tcPr>
            <w:tcW w:w="2228" w:type="dxa"/>
            <w:gridSpan w:val="2"/>
            <w:hideMark/>
          </w:tcPr>
          <w:p w14:paraId="316CDF93"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447F7668" w14:textId="77777777" w:rsidTr="002D1EA4">
        <w:trPr>
          <w:trHeight w:val="67"/>
        </w:trPr>
        <w:tc>
          <w:tcPr>
            <w:tcW w:w="1575" w:type="dxa"/>
            <w:hideMark/>
          </w:tcPr>
          <w:p w14:paraId="32B6622C"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17AF(2)</w:t>
            </w:r>
          </w:p>
        </w:tc>
        <w:tc>
          <w:tcPr>
            <w:tcW w:w="1673" w:type="dxa"/>
            <w:hideMark/>
          </w:tcPr>
          <w:p w14:paraId="19E108C1" w14:textId="0A2391ED" w:rsidR="00AB6753" w:rsidRPr="00417F54" w:rsidRDefault="00417F54" w:rsidP="002D1EA4">
            <w:pPr>
              <w:spacing w:after="120"/>
              <w:rPr>
                <w:rFonts w:eastAsia="Times New Roman" w:cs="Arial"/>
                <w:bCs/>
                <w:color w:val="000000"/>
                <w:sz w:val="20"/>
                <w:szCs w:val="20"/>
                <w:lang w:eastAsia="en-AU"/>
              </w:rPr>
            </w:pPr>
            <w:r>
              <w:rPr>
                <w:rFonts w:eastAsia="Times New Roman" w:cs="Arial"/>
                <w:bCs/>
                <w:color w:val="000000"/>
                <w:sz w:val="20"/>
                <w:szCs w:val="20"/>
                <w:lang w:eastAsia="en-AU"/>
              </w:rPr>
              <w:t>N/A</w:t>
            </w:r>
          </w:p>
        </w:tc>
        <w:tc>
          <w:tcPr>
            <w:tcW w:w="3475" w:type="dxa"/>
            <w:hideMark/>
          </w:tcPr>
          <w:p w14:paraId="691994A0" w14:textId="77777777" w:rsidR="00AB6753" w:rsidRPr="003358E7" w:rsidRDefault="00AB6753" w:rsidP="002D1EA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2228" w:type="dxa"/>
            <w:gridSpan w:val="2"/>
            <w:hideMark/>
          </w:tcPr>
          <w:p w14:paraId="1567A707"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If applicable, Mandatory.</w:t>
            </w:r>
          </w:p>
        </w:tc>
      </w:tr>
      <w:tr w:rsidR="00AB6753" w:rsidRPr="003358E7" w14:paraId="1EB4D985" w14:textId="77777777" w:rsidTr="002D1EA4">
        <w:trPr>
          <w:cnfStyle w:val="000000010000" w:firstRow="0" w:lastRow="0" w:firstColumn="0" w:lastColumn="0" w:oddVBand="0" w:evenVBand="0" w:oddHBand="0" w:evenHBand="1" w:firstRowFirstColumn="0" w:firstRowLastColumn="0" w:lastRowFirstColumn="0" w:lastRowLastColumn="0"/>
          <w:trHeight w:val="485"/>
        </w:trPr>
        <w:tc>
          <w:tcPr>
            <w:tcW w:w="1575" w:type="dxa"/>
            <w:hideMark/>
          </w:tcPr>
          <w:p w14:paraId="68EE5CD4"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b/>
                <w:bCs/>
                <w:color w:val="000000"/>
                <w:sz w:val="20"/>
                <w:szCs w:val="20"/>
                <w:lang w:eastAsia="en-AU"/>
              </w:rPr>
              <w:t>17AD(d)</w:t>
            </w:r>
          </w:p>
        </w:tc>
        <w:tc>
          <w:tcPr>
            <w:tcW w:w="7376" w:type="dxa"/>
            <w:gridSpan w:val="4"/>
            <w:hideMark/>
          </w:tcPr>
          <w:p w14:paraId="1B6C242F"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b/>
                <w:bCs/>
                <w:color w:val="000000"/>
                <w:sz w:val="20"/>
                <w:szCs w:val="20"/>
                <w:lang w:eastAsia="en-AU"/>
              </w:rPr>
              <w:t>Management and Accountability</w:t>
            </w:r>
          </w:p>
        </w:tc>
      </w:tr>
      <w:tr w:rsidR="00AB6753" w:rsidRPr="003358E7" w14:paraId="0D23A337" w14:textId="77777777" w:rsidTr="002D1EA4">
        <w:trPr>
          <w:trHeight w:val="67"/>
        </w:trPr>
        <w:tc>
          <w:tcPr>
            <w:tcW w:w="1575" w:type="dxa"/>
            <w:hideMark/>
          </w:tcPr>
          <w:p w14:paraId="1B0990DF"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b/>
                <w:bCs/>
                <w:i/>
                <w:iCs/>
                <w:color w:val="000000"/>
                <w:sz w:val="20"/>
                <w:szCs w:val="20"/>
                <w:lang w:eastAsia="en-AU"/>
              </w:rPr>
              <w:t> </w:t>
            </w:r>
          </w:p>
        </w:tc>
        <w:tc>
          <w:tcPr>
            <w:tcW w:w="7376" w:type="dxa"/>
            <w:gridSpan w:val="4"/>
            <w:hideMark/>
          </w:tcPr>
          <w:p w14:paraId="59076E69"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b/>
                <w:bCs/>
                <w:i/>
                <w:iCs/>
                <w:color w:val="000000"/>
                <w:sz w:val="20"/>
                <w:szCs w:val="20"/>
                <w:lang w:eastAsia="en-AU"/>
              </w:rPr>
              <w:t>Corporate Governance</w:t>
            </w:r>
          </w:p>
        </w:tc>
      </w:tr>
      <w:tr w:rsidR="00AB6753" w:rsidRPr="003358E7" w14:paraId="2508D351" w14:textId="77777777" w:rsidTr="00417F5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2B392C21"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17AG(2)(a)</w:t>
            </w:r>
          </w:p>
        </w:tc>
        <w:tc>
          <w:tcPr>
            <w:tcW w:w="1673" w:type="dxa"/>
          </w:tcPr>
          <w:p w14:paraId="4BF0C7D2" w14:textId="1B966F50" w:rsidR="00AB6753" w:rsidRPr="00417F54" w:rsidRDefault="00417F54" w:rsidP="002D1EA4">
            <w:pPr>
              <w:spacing w:before="120"/>
              <w:rPr>
                <w:rFonts w:eastAsia="Times New Roman" w:cs="Arial"/>
                <w:iCs/>
                <w:color w:val="000000"/>
                <w:sz w:val="20"/>
                <w:szCs w:val="20"/>
                <w:lang w:eastAsia="en-AU"/>
              </w:rPr>
            </w:pPr>
            <w:r>
              <w:rPr>
                <w:rFonts w:eastAsia="Times New Roman" w:cs="Arial"/>
                <w:iCs/>
                <w:color w:val="000000"/>
                <w:sz w:val="20"/>
                <w:szCs w:val="20"/>
                <w:lang w:eastAsia="en-AU"/>
              </w:rPr>
              <w:t>vi, 103-104</w:t>
            </w:r>
          </w:p>
        </w:tc>
        <w:tc>
          <w:tcPr>
            <w:tcW w:w="3475" w:type="dxa"/>
            <w:hideMark/>
          </w:tcPr>
          <w:p w14:paraId="6F2EA24C"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Information on compliance with section</w:t>
            </w:r>
            <w:r>
              <w:rPr>
                <w:rFonts w:eastAsia="Times New Roman" w:cs="Arial"/>
                <w:color w:val="000000"/>
                <w:sz w:val="20"/>
                <w:szCs w:val="20"/>
                <w:lang w:eastAsia="en-AU"/>
              </w:rPr>
              <w:t xml:space="preserve"> </w:t>
            </w:r>
            <w:r w:rsidRPr="003358E7">
              <w:rPr>
                <w:rFonts w:eastAsia="Times New Roman" w:cs="Arial"/>
                <w:color w:val="000000"/>
                <w:sz w:val="20"/>
                <w:szCs w:val="20"/>
                <w:lang w:eastAsia="en-AU"/>
              </w:rPr>
              <w:t>10 (fraud systems)</w:t>
            </w:r>
          </w:p>
        </w:tc>
        <w:tc>
          <w:tcPr>
            <w:tcW w:w="2228" w:type="dxa"/>
            <w:gridSpan w:val="2"/>
            <w:hideMark/>
          </w:tcPr>
          <w:p w14:paraId="6B1523BC"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3F00F615" w14:textId="77777777" w:rsidTr="00417F54">
        <w:trPr>
          <w:trHeight w:val="67"/>
        </w:trPr>
        <w:tc>
          <w:tcPr>
            <w:tcW w:w="1575" w:type="dxa"/>
            <w:hideMark/>
          </w:tcPr>
          <w:p w14:paraId="5E9F932E"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lastRenderedPageBreak/>
              <w:t>17AG(2)(b)(</w:t>
            </w:r>
            <w:proofErr w:type="spellStart"/>
            <w:r w:rsidRPr="003358E7">
              <w:rPr>
                <w:rFonts w:eastAsia="Times New Roman" w:cs="Arial"/>
                <w:color w:val="000000"/>
                <w:sz w:val="20"/>
                <w:szCs w:val="20"/>
                <w:lang w:eastAsia="en-AU"/>
              </w:rPr>
              <w:t>i</w:t>
            </w:r>
            <w:proofErr w:type="spellEnd"/>
            <w:r w:rsidRPr="003358E7">
              <w:rPr>
                <w:rFonts w:eastAsia="Times New Roman" w:cs="Arial"/>
                <w:color w:val="000000"/>
                <w:sz w:val="20"/>
                <w:szCs w:val="20"/>
                <w:lang w:eastAsia="en-AU"/>
              </w:rPr>
              <w:t>)</w:t>
            </w:r>
          </w:p>
        </w:tc>
        <w:tc>
          <w:tcPr>
            <w:tcW w:w="1673" w:type="dxa"/>
          </w:tcPr>
          <w:p w14:paraId="2ADE33DD" w14:textId="65DB959A" w:rsidR="00AB6753" w:rsidRPr="00417F54" w:rsidRDefault="00417F54" w:rsidP="002D1EA4">
            <w:pPr>
              <w:spacing w:before="120"/>
              <w:rPr>
                <w:rFonts w:eastAsia="Times New Roman" w:cs="Arial"/>
                <w:iCs/>
                <w:color w:val="000000"/>
                <w:sz w:val="20"/>
                <w:szCs w:val="20"/>
                <w:lang w:eastAsia="en-AU"/>
              </w:rPr>
            </w:pPr>
            <w:r>
              <w:rPr>
                <w:rFonts w:eastAsia="Times New Roman" w:cs="Arial"/>
                <w:iCs/>
                <w:color w:val="000000"/>
                <w:sz w:val="20"/>
                <w:szCs w:val="20"/>
                <w:lang w:eastAsia="en-AU"/>
              </w:rPr>
              <w:t>vi</w:t>
            </w:r>
          </w:p>
        </w:tc>
        <w:tc>
          <w:tcPr>
            <w:tcW w:w="3475" w:type="dxa"/>
            <w:hideMark/>
          </w:tcPr>
          <w:p w14:paraId="29786B32"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 certification by accountable authority that fraud risk assessments and fraud control plans have been prepared.</w:t>
            </w:r>
          </w:p>
        </w:tc>
        <w:tc>
          <w:tcPr>
            <w:tcW w:w="2228" w:type="dxa"/>
            <w:gridSpan w:val="2"/>
            <w:hideMark/>
          </w:tcPr>
          <w:p w14:paraId="0BB522B3"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AB6753" w:rsidRPr="003358E7" w14:paraId="21C3CD7D" w14:textId="77777777" w:rsidTr="00417F5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22ED614B" w14:textId="77777777" w:rsidR="00AB6753" w:rsidRPr="003358E7" w:rsidRDefault="00AB6753" w:rsidP="002D1EA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17AG(2)(b)(ii)</w:t>
            </w:r>
          </w:p>
        </w:tc>
        <w:tc>
          <w:tcPr>
            <w:tcW w:w="1673" w:type="dxa"/>
          </w:tcPr>
          <w:p w14:paraId="07BA2FAC" w14:textId="11F401F0" w:rsidR="00AB6753" w:rsidRPr="00417F54" w:rsidRDefault="00417F54" w:rsidP="002D1EA4">
            <w:pPr>
              <w:spacing w:before="120"/>
              <w:rPr>
                <w:rFonts w:eastAsia="Times New Roman" w:cs="Arial"/>
                <w:iCs/>
                <w:color w:val="000000"/>
                <w:sz w:val="20"/>
                <w:szCs w:val="20"/>
                <w:lang w:eastAsia="en-AU"/>
              </w:rPr>
            </w:pPr>
            <w:r>
              <w:rPr>
                <w:rFonts w:eastAsia="Times New Roman" w:cs="Arial"/>
                <w:iCs/>
                <w:color w:val="000000"/>
                <w:sz w:val="20"/>
                <w:szCs w:val="20"/>
                <w:lang w:eastAsia="en-AU"/>
              </w:rPr>
              <w:t>vi</w:t>
            </w:r>
          </w:p>
        </w:tc>
        <w:tc>
          <w:tcPr>
            <w:tcW w:w="3475" w:type="dxa"/>
            <w:hideMark/>
          </w:tcPr>
          <w:p w14:paraId="0CC3A085"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 certification by accountable authority that appropriate mechanisms for preventing, detecting incidents of, investigating or otherwise dealing with, and recording or reporting fraud that meet the specific needs of the entity are in</w:t>
            </w:r>
            <w:r>
              <w:rPr>
                <w:rFonts w:eastAsia="Times New Roman" w:cs="Arial"/>
                <w:color w:val="000000"/>
                <w:sz w:val="20"/>
                <w:szCs w:val="20"/>
                <w:lang w:eastAsia="en-AU"/>
              </w:rPr>
              <w:t xml:space="preserve"> </w:t>
            </w:r>
            <w:r w:rsidRPr="003358E7">
              <w:rPr>
                <w:rFonts w:eastAsia="Times New Roman" w:cs="Arial"/>
                <w:color w:val="000000"/>
                <w:sz w:val="20"/>
                <w:szCs w:val="20"/>
                <w:lang w:eastAsia="en-AU"/>
              </w:rPr>
              <w:t>place.</w:t>
            </w:r>
          </w:p>
        </w:tc>
        <w:tc>
          <w:tcPr>
            <w:tcW w:w="2228" w:type="dxa"/>
            <w:gridSpan w:val="2"/>
            <w:hideMark/>
          </w:tcPr>
          <w:p w14:paraId="47F1C949" w14:textId="77777777" w:rsidR="00AB6753" w:rsidRPr="003358E7" w:rsidRDefault="00AB6753" w:rsidP="002D1EA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2675F484" w14:textId="77777777" w:rsidTr="002D1EA4">
        <w:trPr>
          <w:trHeight w:val="67"/>
        </w:trPr>
        <w:tc>
          <w:tcPr>
            <w:tcW w:w="1575" w:type="dxa"/>
            <w:hideMark/>
          </w:tcPr>
          <w:p w14:paraId="6FAEF153"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17AG(2)(b)(iii)</w:t>
            </w:r>
          </w:p>
        </w:tc>
        <w:tc>
          <w:tcPr>
            <w:tcW w:w="1673" w:type="dxa"/>
            <w:hideMark/>
          </w:tcPr>
          <w:p w14:paraId="256CF0D8" w14:textId="21C175D7" w:rsidR="00417F54" w:rsidRPr="003358E7" w:rsidRDefault="00417F54" w:rsidP="00417F54">
            <w:pPr>
              <w:spacing w:before="120"/>
              <w:rPr>
                <w:rFonts w:eastAsia="Times New Roman" w:cs="Arial"/>
                <w:i/>
                <w:iCs/>
                <w:color w:val="000000"/>
                <w:sz w:val="20"/>
                <w:szCs w:val="20"/>
                <w:lang w:eastAsia="en-AU"/>
              </w:rPr>
            </w:pPr>
            <w:r>
              <w:rPr>
                <w:rFonts w:eastAsia="Times New Roman" w:cs="Arial"/>
                <w:iCs/>
                <w:color w:val="000000"/>
                <w:sz w:val="20"/>
                <w:szCs w:val="20"/>
                <w:lang w:eastAsia="en-AU"/>
              </w:rPr>
              <w:t>vi</w:t>
            </w:r>
          </w:p>
        </w:tc>
        <w:tc>
          <w:tcPr>
            <w:tcW w:w="3475" w:type="dxa"/>
            <w:hideMark/>
          </w:tcPr>
          <w:p w14:paraId="5F605354"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 certification by accountable authority that all reasonable measures have been taken to deal appropriately with fraud relating to the entity.</w:t>
            </w:r>
          </w:p>
        </w:tc>
        <w:tc>
          <w:tcPr>
            <w:tcW w:w="2228" w:type="dxa"/>
            <w:gridSpan w:val="2"/>
            <w:hideMark/>
          </w:tcPr>
          <w:p w14:paraId="0D699496"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708AAEB7" w14:textId="77777777" w:rsidTr="00417F5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1632445F"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17AG(2)(c)</w:t>
            </w:r>
          </w:p>
        </w:tc>
        <w:tc>
          <w:tcPr>
            <w:tcW w:w="1673" w:type="dxa"/>
          </w:tcPr>
          <w:p w14:paraId="3B0F5C57" w14:textId="304E281D" w:rsidR="00417F54" w:rsidRPr="00417F54" w:rsidRDefault="00417F54" w:rsidP="00417F54">
            <w:pPr>
              <w:spacing w:before="120"/>
              <w:rPr>
                <w:rFonts w:eastAsia="Times New Roman" w:cs="Arial"/>
                <w:iCs/>
                <w:color w:val="000000"/>
                <w:sz w:val="20"/>
                <w:szCs w:val="20"/>
                <w:lang w:eastAsia="en-AU"/>
              </w:rPr>
            </w:pPr>
            <w:r>
              <w:rPr>
                <w:rFonts w:eastAsia="Times New Roman" w:cs="Arial"/>
                <w:iCs/>
                <w:color w:val="000000"/>
                <w:sz w:val="20"/>
                <w:szCs w:val="20"/>
                <w:lang w:eastAsia="en-AU"/>
              </w:rPr>
              <w:t>99-105</w:t>
            </w:r>
          </w:p>
        </w:tc>
        <w:tc>
          <w:tcPr>
            <w:tcW w:w="3475" w:type="dxa"/>
            <w:hideMark/>
          </w:tcPr>
          <w:p w14:paraId="57563CB6"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An outline of structures and processes in place for the entity to implement principles and objectives of corporate governance.</w:t>
            </w:r>
          </w:p>
        </w:tc>
        <w:tc>
          <w:tcPr>
            <w:tcW w:w="2228" w:type="dxa"/>
            <w:gridSpan w:val="2"/>
            <w:hideMark/>
          </w:tcPr>
          <w:p w14:paraId="2263FA6B"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5AD2A163" w14:textId="77777777" w:rsidTr="00417F54">
        <w:trPr>
          <w:trHeight w:val="67"/>
        </w:trPr>
        <w:tc>
          <w:tcPr>
            <w:tcW w:w="1575" w:type="dxa"/>
            <w:hideMark/>
          </w:tcPr>
          <w:p w14:paraId="135D8623"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17AG(2)(d) – (e)</w:t>
            </w:r>
          </w:p>
        </w:tc>
        <w:tc>
          <w:tcPr>
            <w:tcW w:w="1673" w:type="dxa"/>
          </w:tcPr>
          <w:p w14:paraId="05EFB6AC" w14:textId="3C554CE2" w:rsidR="00417F54" w:rsidRPr="00417F54" w:rsidRDefault="00417F54" w:rsidP="00417F54">
            <w:pPr>
              <w:spacing w:before="120"/>
              <w:rPr>
                <w:rFonts w:eastAsia="Times New Roman" w:cs="Arial"/>
                <w:iCs/>
                <w:color w:val="000000"/>
                <w:sz w:val="20"/>
                <w:szCs w:val="20"/>
                <w:lang w:eastAsia="en-AU"/>
              </w:rPr>
            </w:pPr>
            <w:r>
              <w:rPr>
                <w:rFonts w:eastAsia="Times New Roman" w:cs="Arial"/>
                <w:iCs/>
                <w:color w:val="000000"/>
                <w:sz w:val="20"/>
                <w:szCs w:val="20"/>
                <w:lang w:eastAsia="en-AU"/>
              </w:rPr>
              <w:t>N/A</w:t>
            </w:r>
          </w:p>
        </w:tc>
        <w:tc>
          <w:tcPr>
            <w:tcW w:w="3475" w:type="dxa"/>
            <w:hideMark/>
          </w:tcPr>
          <w:p w14:paraId="583FA2AC"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 statement of significant issues reported to Minister under paragraph</w:t>
            </w:r>
            <w:r>
              <w:rPr>
                <w:rFonts w:eastAsia="Times New Roman" w:cs="Arial"/>
                <w:color w:val="000000"/>
                <w:sz w:val="20"/>
                <w:szCs w:val="20"/>
                <w:lang w:eastAsia="en-AU"/>
              </w:rPr>
              <w:t xml:space="preserve"> </w:t>
            </w:r>
            <w:r w:rsidRPr="003358E7">
              <w:rPr>
                <w:rFonts w:eastAsia="Times New Roman" w:cs="Arial"/>
                <w:color w:val="000000"/>
                <w:sz w:val="20"/>
                <w:szCs w:val="20"/>
                <w:lang w:eastAsia="en-AU"/>
              </w:rPr>
              <w:t>19(1)(e) of the Act that relates to non</w:t>
            </w:r>
            <w:r w:rsidRPr="003358E7">
              <w:rPr>
                <w:rFonts w:eastAsia="Times New Roman" w:cs="Arial"/>
                <w:color w:val="000000"/>
                <w:sz w:val="20"/>
                <w:szCs w:val="20"/>
                <w:lang w:eastAsia="en-AU"/>
              </w:rPr>
              <w:noBreakHyphen/>
              <w:t>compliance with Finance law and action taken to remedy non</w:t>
            </w:r>
            <w:r w:rsidRPr="003358E7">
              <w:rPr>
                <w:rFonts w:eastAsia="Times New Roman" w:cs="Arial"/>
                <w:color w:val="000000"/>
                <w:sz w:val="20"/>
                <w:szCs w:val="20"/>
                <w:lang w:eastAsia="en-AU"/>
              </w:rPr>
              <w:noBreakHyphen/>
              <w:t>compliance.</w:t>
            </w:r>
          </w:p>
        </w:tc>
        <w:tc>
          <w:tcPr>
            <w:tcW w:w="2228" w:type="dxa"/>
            <w:gridSpan w:val="2"/>
            <w:hideMark/>
          </w:tcPr>
          <w:p w14:paraId="1C50978C"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If applicable, Mandatory</w:t>
            </w:r>
          </w:p>
        </w:tc>
      </w:tr>
      <w:tr w:rsidR="00417F54" w:rsidRPr="003358E7" w14:paraId="7427AB5D"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tcPr>
          <w:p w14:paraId="5D863066" w14:textId="77777777" w:rsidR="00417F54" w:rsidRPr="003358E7" w:rsidRDefault="00417F54" w:rsidP="00417F54">
            <w:pPr>
              <w:spacing w:after="120"/>
              <w:jc w:val="center"/>
              <w:rPr>
                <w:rFonts w:eastAsia="Times New Roman" w:cs="Arial"/>
                <w:color w:val="000000"/>
                <w:sz w:val="20"/>
                <w:szCs w:val="20"/>
                <w:lang w:eastAsia="en-AU"/>
              </w:rPr>
            </w:pPr>
          </w:p>
        </w:tc>
        <w:tc>
          <w:tcPr>
            <w:tcW w:w="7376" w:type="dxa"/>
            <w:gridSpan w:val="4"/>
          </w:tcPr>
          <w:p w14:paraId="7FFBA64C" w14:textId="77777777" w:rsidR="00417F54" w:rsidRPr="008D7CCB" w:rsidRDefault="00417F54" w:rsidP="00417F54">
            <w:pPr>
              <w:spacing w:after="120"/>
              <w:rPr>
                <w:rFonts w:eastAsia="Times New Roman" w:cs="Arial"/>
                <w:b/>
                <w:i/>
                <w:color w:val="000000"/>
                <w:sz w:val="20"/>
                <w:szCs w:val="20"/>
                <w:lang w:eastAsia="en-AU"/>
              </w:rPr>
            </w:pPr>
            <w:r w:rsidRPr="008D7CCB">
              <w:rPr>
                <w:rFonts w:eastAsia="Times New Roman" w:cs="Arial"/>
                <w:b/>
                <w:i/>
                <w:color w:val="000000"/>
                <w:sz w:val="20"/>
                <w:szCs w:val="20"/>
                <w:lang w:eastAsia="en-AU"/>
              </w:rPr>
              <w:t>Audit Committee</w:t>
            </w:r>
          </w:p>
        </w:tc>
      </w:tr>
      <w:tr w:rsidR="00417F54" w:rsidRPr="003358E7" w14:paraId="6FA3002F" w14:textId="77777777" w:rsidTr="002D1EA4">
        <w:trPr>
          <w:trHeight w:val="67"/>
        </w:trPr>
        <w:tc>
          <w:tcPr>
            <w:tcW w:w="1575" w:type="dxa"/>
          </w:tcPr>
          <w:p w14:paraId="30E6156F" w14:textId="77777777" w:rsidR="00417F54" w:rsidRPr="003358E7" w:rsidRDefault="00417F54" w:rsidP="00417F54">
            <w:pPr>
              <w:spacing w:after="120"/>
              <w:jc w:val="center"/>
              <w:rPr>
                <w:rFonts w:eastAsia="Times New Roman" w:cs="Arial"/>
                <w:color w:val="000000"/>
                <w:sz w:val="20"/>
                <w:szCs w:val="20"/>
                <w:lang w:eastAsia="en-AU"/>
              </w:rPr>
            </w:pPr>
            <w:r w:rsidRPr="003358E7">
              <w:rPr>
                <w:rFonts w:eastAsia="Times New Roman" w:cs="Arial"/>
                <w:color w:val="000000"/>
                <w:sz w:val="20"/>
                <w:szCs w:val="20"/>
                <w:lang w:eastAsia="en-AU"/>
              </w:rPr>
              <w:t>17AG(2A)(a)</w:t>
            </w:r>
          </w:p>
        </w:tc>
        <w:tc>
          <w:tcPr>
            <w:tcW w:w="1673" w:type="dxa"/>
          </w:tcPr>
          <w:p w14:paraId="05D1068A" w14:textId="7C3F4EE6" w:rsidR="00417F54" w:rsidRPr="003358E7" w:rsidRDefault="008D7CCB" w:rsidP="00417F54">
            <w:pPr>
              <w:spacing w:after="120"/>
              <w:rPr>
                <w:rFonts w:eastAsia="Times New Roman" w:cs="Arial"/>
                <w:color w:val="000000"/>
                <w:sz w:val="20"/>
                <w:szCs w:val="20"/>
                <w:lang w:eastAsia="en-AU"/>
              </w:rPr>
            </w:pPr>
            <w:r>
              <w:rPr>
                <w:rFonts w:eastAsia="Times New Roman" w:cs="Arial"/>
                <w:color w:val="000000"/>
                <w:sz w:val="20"/>
                <w:szCs w:val="20"/>
                <w:lang w:eastAsia="en-AU"/>
              </w:rPr>
              <w:t>99</w:t>
            </w:r>
          </w:p>
        </w:tc>
        <w:tc>
          <w:tcPr>
            <w:tcW w:w="3475" w:type="dxa"/>
          </w:tcPr>
          <w:p w14:paraId="3EF48CFD" w14:textId="77777777" w:rsidR="00417F54" w:rsidRPr="003358E7"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A direct electronic address of the charter determining the functions of the entity’s audit committee.</w:t>
            </w:r>
          </w:p>
        </w:tc>
        <w:tc>
          <w:tcPr>
            <w:tcW w:w="2228" w:type="dxa"/>
            <w:gridSpan w:val="2"/>
          </w:tcPr>
          <w:p w14:paraId="46D189DF" w14:textId="77777777" w:rsidR="00417F54" w:rsidRPr="003358E7"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622E21FA"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tcPr>
          <w:p w14:paraId="5B4AF28D" w14:textId="77777777" w:rsidR="00417F54" w:rsidRPr="003358E7" w:rsidRDefault="00417F54" w:rsidP="00417F54">
            <w:pPr>
              <w:spacing w:after="120"/>
              <w:jc w:val="center"/>
              <w:rPr>
                <w:rFonts w:eastAsia="Times New Roman" w:cs="Arial"/>
                <w:color w:val="000000"/>
                <w:sz w:val="20"/>
                <w:szCs w:val="20"/>
                <w:lang w:eastAsia="en-AU"/>
              </w:rPr>
            </w:pPr>
            <w:r w:rsidRPr="003358E7">
              <w:rPr>
                <w:rFonts w:eastAsia="Times New Roman" w:cs="Arial"/>
                <w:color w:val="000000"/>
                <w:sz w:val="20"/>
                <w:szCs w:val="20"/>
                <w:lang w:eastAsia="en-AU"/>
              </w:rPr>
              <w:t>17AG(2A)(b)</w:t>
            </w:r>
          </w:p>
        </w:tc>
        <w:tc>
          <w:tcPr>
            <w:tcW w:w="1673" w:type="dxa"/>
          </w:tcPr>
          <w:p w14:paraId="114B3293" w14:textId="19CF53C7" w:rsidR="00417F54" w:rsidRPr="008D7CCB" w:rsidRDefault="008D7CCB" w:rsidP="00417F54">
            <w:pPr>
              <w:spacing w:before="120"/>
              <w:rPr>
                <w:rFonts w:eastAsia="Times New Roman" w:cs="Arial"/>
                <w:iCs/>
                <w:color w:val="000000"/>
                <w:sz w:val="20"/>
                <w:szCs w:val="20"/>
                <w:lang w:eastAsia="en-AU"/>
              </w:rPr>
            </w:pPr>
            <w:r>
              <w:rPr>
                <w:rFonts w:eastAsia="Times New Roman" w:cs="Arial"/>
                <w:iCs/>
                <w:color w:val="000000"/>
                <w:sz w:val="20"/>
                <w:szCs w:val="20"/>
                <w:lang w:eastAsia="en-AU"/>
              </w:rPr>
              <w:t>100</w:t>
            </w:r>
          </w:p>
        </w:tc>
        <w:tc>
          <w:tcPr>
            <w:tcW w:w="3475" w:type="dxa"/>
          </w:tcPr>
          <w:p w14:paraId="0CDFF2F8" w14:textId="77777777" w:rsidR="00417F54" w:rsidRPr="003358E7"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The name of each member of the entity’s audit committee.</w:t>
            </w:r>
          </w:p>
        </w:tc>
        <w:tc>
          <w:tcPr>
            <w:tcW w:w="2228" w:type="dxa"/>
            <w:gridSpan w:val="2"/>
          </w:tcPr>
          <w:p w14:paraId="0678C51A" w14:textId="77777777" w:rsidR="00417F54" w:rsidRPr="003358E7"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Mandatory</w:t>
            </w:r>
          </w:p>
        </w:tc>
      </w:tr>
      <w:tr w:rsidR="008D7CCB" w:rsidRPr="003358E7" w14:paraId="25694FEC" w14:textId="77777777" w:rsidTr="002D1EA4">
        <w:trPr>
          <w:trHeight w:val="67"/>
        </w:trPr>
        <w:tc>
          <w:tcPr>
            <w:tcW w:w="1575" w:type="dxa"/>
          </w:tcPr>
          <w:p w14:paraId="1EDA621E" w14:textId="77777777" w:rsidR="008D7CCB" w:rsidRPr="003358E7" w:rsidRDefault="008D7CCB" w:rsidP="008D7CCB">
            <w:pPr>
              <w:spacing w:after="120"/>
              <w:jc w:val="center"/>
              <w:rPr>
                <w:rFonts w:eastAsia="Times New Roman" w:cs="Arial"/>
                <w:color w:val="000000"/>
                <w:sz w:val="20"/>
                <w:szCs w:val="20"/>
                <w:lang w:eastAsia="en-AU"/>
              </w:rPr>
            </w:pPr>
            <w:r w:rsidRPr="003358E7">
              <w:rPr>
                <w:rFonts w:eastAsia="Times New Roman" w:cs="Arial"/>
                <w:color w:val="000000"/>
                <w:sz w:val="20"/>
                <w:szCs w:val="20"/>
                <w:lang w:eastAsia="en-AU"/>
              </w:rPr>
              <w:t>17AG(2A)(c)</w:t>
            </w:r>
          </w:p>
        </w:tc>
        <w:tc>
          <w:tcPr>
            <w:tcW w:w="1673" w:type="dxa"/>
          </w:tcPr>
          <w:p w14:paraId="11BF37B8" w14:textId="77CE9134" w:rsidR="008D7CCB" w:rsidRPr="008D7CCB" w:rsidRDefault="008D7CCB" w:rsidP="008D7CCB">
            <w:pPr>
              <w:spacing w:before="120"/>
              <w:rPr>
                <w:rFonts w:eastAsia="Times New Roman" w:cs="Arial"/>
                <w:iCs/>
                <w:color w:val="000000"/>
                <w:sz w:val="20"/>
                <w:szCs w:val="20"/>
                <w:lang w:eastAsia="en-AU"/>
              </w:rPr>
            </w:pPr>
            <w:r w:rsidRPr="00F9782E">
              <w:rPr>
                <w:rFonts w:eastAsia="Times New Roman" w:cs="Arial"/>
                <w:iCs/>
                <w:color w:val="000000"/>
                <w:sz w:val="20"/>
                <w:szCs w:val="20"/>
                <w:lang w:eastAsia="en-AU"/>
              </w:rPr>
              <w:t>100</w:t>
            </w:r>
          </w:p>
        </w:tc>
        <w:tc>
          <w:tcPr>
            <w:tcW w:w="3475" w:type="dxa"/>
          </w:tcPr>
          <w:p w14:paraId="6FC94F41" w14:textId="77777777" w:rsidR="008D7CCB" w:rsidRPr="003358E7" w:rsidRDefault="008D7CCB" w:rsidP="008D7CCB">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The qualifications, knowledge, skills or experience of each member of the entity’s audit committee.</w:t>
            </w:r>
          </w:p>
        </w:tc>
        <w:tc>
          <w:tcPr>
            <w:tcW w:w="2228" w:type="dxa"/>
            <w:gridSpan w:val="2"/>
          </w:tcPr>
          <w:p w14:paraId="18F26069" w14:textId="77777777" w:rsidR="008D7CCB" w:rsidRPr="003358E7" w:rsidRDefault="008D7CCB" w:rsidP="008D7CCB">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Mandatory</w:t>
            </w:r>
          </w:p>
        </w:tc>
      </w:tr>
      <w:tr w:rsidR="008D7CCB" w:rsidRPr="003358E7" w14:paraId="61BDDF42"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tcPr>
          <w:p w14:paraId="542BD7EA" w14:textId="77777777" w:rsidR="008D7CCB" w:rsidRPr="003358E7" w:rsidRDefault="008D7CCB" w:rsidP="008D7CCB">
            <w:pPr>
              <w:spacing w:after="120"/>
              <w:jc w:val="center"/>
              <w:rPr>
                <w:rFonts w:eastAsia="Times New Roman" w:cs="Arial"/>
                <w:color w:val="000000"/>
                <w:sz w:val="20"/>
                <w:szCs w:val="20"/>
                <w:lang w:eastAsia="en-AU"/>
              </w:rPr>
            </w:pPr>
            <w:r w:rsidRPr="003358E7">
              <w:rPr>
                <w:rFonts w:eastAsia="Times New Roman" w:cs="Arial"/>
                <w:color w:val="000000"/>
                <w:sz w:val="20"/>
                <w:szCs w:val="20"/>
                <w:lang w:eastAsia="en-AU"/>
              </w:rPr>
              <w:t>17AG(2A)(d)</w:t>
            </w:r>
          </w:p>
        </w:tc>
        <w:tc>
          <w:tcPr>
            <w:tcW w:w="1673" w:type="dxa"/>
          </w:tcPr>
          <w:p w14:paraId="78AE4283" w14:textId="4AA5794B" w:rsidR="008D7CCB" w:rsidRPr="008D7CCB" w:rsidRDefault="008D7CCB" w:rsidP="008D7CCB">
            <w:pPr>
              <w:spacing w:before="120"/>
              <w:rPr>
                <w:rFonts w:eastAsia="Times New Roman" w:cs="Arial"/>
                <w:iCs/>
                <w:color w:val="000000"/>
                <w:sz w:val="20"/>
                <w:szCs w:val="20"/>
                <w:lang w:eastAsia="en-AU"/>
              </w:rPr>
            </w:pPr>
            <w:r w:rsidRPr="00F9782E">
              <w:rPr>
                <w:rFonts w:eastAsia="Times New Roman" w:cs="Arial"/>
                <w:iCs/>
                <w:color w:val="000000"/>
                <w:sz w:val="20"/>
                <w:szCs w:val="20"/>
                <w:lang w:eastAsia="en-AU"/>
              </w:rPr>
              <w:t>100</w:t>
            </w:r>
          </w:p>
        </w:tc>
        <w:tc>
          <w:tcPr>
            <w:tcW w:w="3475" w:type="dxa"/>
          </w:tcPr>
          <w:p w14:paraId="503AA5FB" w14:textId="77777777" w:rsidR="008D7CCB" w:rsidRPr="003358E7" w:rsidRDefault="008D7CCB" w:rsidP="008D7CCB">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Information about the attendance of each member of the entity’s audit committee at committee meetings.</w:t>
            </w:r>
          </w:p>
        </w:tc>
        <w:tc>
          <w:tcPr>
            <w:tcW w:w="2228" w:type="dxa"/>
            <w:gridSpan w:val="2"/>
          </w:tcPr>
          <w:p w14:paraId="74FE7AE7" w14:textId="77777777" w:rsidR="008D7CCB" w:rsidRPr="003358E7" w:rsidRDefault="008D7CCB" w:rsidP="008D7CCB">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Mandatory</w:t>
            </w:r>
          </w:p>
        </w:tc>
      </w:tr>
      <w:tr w:rsidR="008D7CCB" w:rsidRPr="003358E7" w14:paraId="62234E55" w14:textId="77777777" w:rsidTr="002D1EA4">
        <w:trPr>
          <w:trHeight w:val="67"/>
        </w:trPr>
        <w:tc>
          <w:tcPr>
            <w:tcW w:w="1575" w:type="dxa"/>
          </w:tcPr>
          <w:p w14:paraId="4C2AE42E" w14:textId="77777777" w:rsidR="008D7CCB" w:rsidRPr="003358E7" w:rsidRDefault="008D7CCB" w:rsidP="008D7CCB">
            <w:pPr>
              <w:spacing w:after="120"/>
              <w:jc w:val="center"/>
              <w:rPr>
                <w:rFonts w:eastAsia="Times New Roman" w:cs="Arial"/>
                <w:color w:val="000000"/>
                <w:sz w:val="20"/>
                <w:szCs w:val="20"/>
                <w:lang w:eastAsia="en-AU"/>
              </w:rPr>
            </w:pPr>
            <w:r w:rsidRPr="003358E7">
              <w:rPr>
                <w:rFonts w:eastAsia="Times New Roman" w:cs="Arial"/>
                <w:color w:val="000000"/>
                <w:sz w:val="20"/>
                <w:szCs w:val="20"/>
                <w:lang w:eastAsia="en-AU"/>
              </w:rPr>
              <w:t>17AG(2A)(e)</w:t>
            </w:r>
          </w:p>
        </w:tc>
        <w:tc>
          <w:tcPr>
            <w:tcW w:w="1673" w:type="dxa"/>
          </w:tcPr>
          <w:p w14:paraId="76827A5D" w14:textId="492B0065" w:rsidR="008D7CCB" w:rsidRPr="008D7CCB" w:rsidRDefault="008D7CCB" w:rsidP="008D7CCB">
            <w:pPr>
              <w:spacing w:before="120"/>
              <w:rPr>
                <w:rFonts w:eastAsia="Times New Roman" w:cs="Arial"/>
                <w:iCs/>
                <w:color w:val="000000"/>
                <w:sz w:val="20"/>
                <w:szCs w:val="20"/>
                <w:lang w:eastAsia="en-AU"/>
              </w:rPr>
            </w:pPr>
            <w:r w:rsidRPr="00F9782E">
              <w:rPr>
                <w:rFonts w:eastAsia="Times New Roman" w:cs="Arial"/>
                <w:iCs/>
                <w:color w:val="000000"/>
                <w:sz w:val="20"/>
                <w:szCs w:val="20"/>
                <w:lang w:eastAsia="en-AU"/>
              </w:rPr>
              <w:t>100</w:t>
            </w:r>
          </w:p>
        </w:tc>
        <w:tc>
          <w:tcPr>
            <w:tcW w:w="3475" w:type="dxa"/>
          </w:tcPr>
          <w:p w14:paraId="069D2764" w14:textId="77777777" w:rsidR="008D7CCB" w:rsidRPr="003358E7" w:rsidRDefault="008D7CCB" w:rsidP="008D7CCB">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The remuneration of each member of the entity’s audit committee.</w:t>
            </w:r>
          </w:p>
        </w:tc>
        <w:tc>
          <w:tcPr>
            <w:tcW w:w="2228" w:type="dxa"/>
            <w:gridSpan w:val="2"/>
          </w:tcPr>
          <w:p w14:paraId="55FCE67E" w14:textId="77777777" w:rsidR="008D7CCB" w:rsidRPr="003358E7" w:rsidRDefault="008D7CCB" w:rsidP="008D7CCB">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2A8F1071"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7F80F58E" w14:textId="77777777" w:rsidR="00417F54" w:rsidRPr="003358E7" w:rsidRDefault="00417F54" w:rsidP="00417F54">
            <w:pPr>
              <w:keepNext/>
              <w:spacing w:after="120"/>
              <w:jc w:val="center"/>
              <w:rPr>
                <w:rFonts w:eastAsia="Times New Roman" w:cs="Arial"/>
                <w:b/>
                <w:bCs/>
                <w:color w:val="000000"/>
                <w:sz w:val="20"/>
                <w:szCs w:val="20"/>
                <w:lang w:eastAsia="en-AU"/>
              </w:rPr>
            </w:pPr>
          </w:p>
        </w:tc>
        <w:tc>
          <w:tcPr>
            <w:tcW w:w="7376" w:type="dxa"/>
            <w:gridSpan w:val="4"/>
            <w:hideMark/>
          </w:tcPr>
          <w:p w14:paraId="11595142" w14:textId="77777777" w:rsidR="00417F54" w:rsidRPr="003358E7" w:rsidRDefault="00417F54" w:rsidP="00417F54">
            <w:pPr>
              <w:keepNext/>
              <w:spacing w:after="120"/>
              <w:rPr>
                <w:rFonts w:eastAsia="Times New Roman" w:cs="Arial"/>
                <w:b/>
                <w:bCs/>
                <w:color w:val="000000"/>
                <w:sz w:val="20"/>
                <w:szCs w:val="20"/>
                <w:lang w:eastAsia="en-AU"/>
              </w:rPr>
            </w:pPr>
            <w:r w:rsidRPr="003358E7">
              <w:rPr>
                <w:rFonts w:eastAsia="Times New Roman" w:cs="Arial"/>
                <w:b/>
                <w:bCs/>
                <w:i/>
                <w:iCs/>
                <w:color w:val="000000"/>
                <w:sz w:val="20"/>
                <w:szCs w:val="20"/>
                <w:lang w:eastAsia="en-AU"/>
              </w:rPr>
              <w:t>External Scrutiny</w:t>
            </w:r>
          </w:p>
        </w:tc>
      </w:tr>
      <w:tr w:rsidR="00417F54" w:rsidRPr="003358E7" w14:paraId="31D76A9F" w14:textId="77777777" w:rsidTr="008D7CCB">
        <w:trPr>
          <w:trHeight w:val="67"/>
        </w:trPr>
        <w:tc>
          <w:tcPr>
            <w:tcW w:w="1575" w:type="dxa"/>
            <w:hideMark/>
          </w:tcPr>
          <w:p w14:paraId="4D76931F" w14:textId="77777777" w:rsidR="00417F54" w:rsidRPr="003358E7" w:rsidRDefault="00417F54" w:rsidP="00417F54">
            <w:pPr>
              <w:keepNext/>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17AG(3)</w:t>
            </w:r>
          </w:p>
        </w:tc>
        <w:tc>
          <w:tcPr>
            <w:tcW w:w="1673" w:type="dxa"/>
          </w:tcPr>
          <w:p w14:paraId="36E83871" w14:textId="1A016A91" w:rsidR="00417F54" w:rsidRPr="008D7CCB" w:rsidRDefault="008D7CCB" w:rsidP="00417F54">
            <w:pPr>
              <w:spacing w:before="120"/>
              <w:rPr>
                <w:rFonts w:eastAsia="Times New Roman" w:cs="Arial"/>
                <w:iCs/>
                <w:color w:val="000000"/>
                <w:sz w:val="20"/>
                <w:szCs w:val="20"/>
                <w:lang w:eastAsia="en-AU"/>
              </w:rPr>
            </w:pPr>
            <w:r>
              <w:rPr>
                <w:rFonts w:eastAsia="Times New Roman" w:cs="Arial"/>
                <w:iCs/>
                <w:color w:val="000000"/>
                <w:sz w:val="20"/>
                <w:szCs w:val="20"/>
                <w:lang w:eastAsia="en-AU"/>
              </w:rPr>
              <w:t>106-109</w:t>
            </w:r>
          </w:p>
        </w:tc>
        <w:tc>
          <w:tcPr>
            <w:tcW w:w="3475" w:type="dxa"/>
            <w:hideMark/>
          </w:tcPr>
          <w:p w14:paraId="05CA156E" w14:textId="77777777" w:rsidR="00417F54" w:rsidRPr="003358E7" w:rsidRDefault="00417F54" w:rsidP="00417F54">
            <w:pPr>
              <w:keepNext/>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Information on the most significant developments in external scrutiny and the entity’s response to the scrutiny.</w:t>
            </w:r>
          </w:p>
        </w:tc>
        <w:tc>
          <w:tcPr>
            <w:tcW w:w="2228" w:type="dxa"/>
            <w:gridSpan w:val="2"/>
            <w:hideMark/>
          </w:tcPr>
          <w:p w14:paraId="34A4D04A" w14:textId="77777777" w:rsidR="00417F54" w:rsidRPr="003358E7" w:rsidRDefault="00417F54" w:rsidP="00417F54">
            <w:pPr>
              <w:keepNext/>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8D7CCB" w:rsidRPr="003358E7" w14:paraId="19A87CC0" w14:textId="77777777" w:rsidTr="008D7CCB">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30221108" w14:textId="77777777" w:rsidR="008D7CCB" w:rsidRPr="003358E7" w:rsidRDefault="008D7CCB" w:rsidP="008D7CCB">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17AG(3)(a)</w:t>
            </w:r>
          </w:p>
        </w:tc>
        <w:tc>
          <w:tcPr>
            <w:tcW w:w="1673" w:type="dxa"/>
          </w:tcPr>
          <w:p w14:paraId="237DDB66" w14:textId="24FCC2E9" w:rsidR="008D7CCB" w:rsidRPr="003358E7" w:rsidRDefault="008D7CCB" w:rsidP="008D7CCB">
            <w:pPr>
              <w:spacing w:before="120"/>
              <w:rPr>
                <w:rFonts w:eastAsia="Times New Roman" w:cs="Arial"/>
                <w:i/>
                <w:iCs/>
                <w:color w:val="000000"/>
                <w:sz w:val="20"/>
                <w:szCs w:val="20"/>
                <w:lang w:eastAsia="en-AU"/>
              </w:rPr>
            </w:pPr>
            <w:r w:rsidRPr="00C87544">
              <w:rPr>
                <w:rFonts w:eastAsia="Times New Roman" w:cs="Arial"/>
                <w:iCs/>
                <w:color w:val="000000"/>
                <w:sz w:val="20"/>
                <w:szCs w:val="20"/>
                <w:lang w:eastAsia="en-AU"/>
              </w:rPr>
              <w:t>106-109</w:t>
            </w:r>
          </w:p>
        </w:tc>
        <w:tc>
          <w:tcPr>
            <w:tcW w:w="3475" w:type="dxa"/>
            <w:hideMark/>
          </w:tcPr>
          <w:p w14:paraId="2E56A6E1" w14:textId="77777777" w:rsidR="008D7CCB" w:rsidRPr="003358E7" w:rsidRDefault="008D7CCB" w:rsidP="008D7CCB">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Information on judicial decisions and decisions of administrative tribunals and by the Australian Information Commissioner that may have a significant effect on the operations of the entity.</w:t>
            </w:r>
          </w:p>
        </w:tc>
        <w:tc>
          <w:tcPr>
            <w:tcW w:w="2228" w:type="dxa"/>
            <w:gridSpan w:val="2"/>
            <w:hideMark/>
          </w:tcPr>
          <w:p w14:paraId="4D4CE2E0" w14:textId="77777777" w:rsidR="008D7CCB" w:rsidRPr="003358E7" w:rsidRDefault="008D7CCB" w:rsidP="008D7CCB">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If applicable, Mandatory</w:t>
            </w:r>
          </w:p>
        </w:tc>
      </w:tr>
      <w:tr w:rsidR="008D7CCB" w:rsidRPr="003358E7" w14:paraId="4EEEE92A" w14:textId="77777777" w:rsidTr="008D7CCB">
        <w:trPr>
          <w:trHeight w:val="67"/>
        </w:trPr>
        <w:tc>
          <w:tcPr>
            <w:tcW w:w="1575" w:type="dxa"/>
            <w:hideMark/>
          </w:tcPr>
          <w:p w14:paraId="6FC68F43" w14:textId="77777777" w:rsidR="008D7CCB" w:rsidRPr="003358E7" w:rsidRDefault="008D7CCB" w:rsidP="008D7CCB">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lastRenderedPageBreak/>
              <w:t>17AG(3)(b)</w:t>
            </w:r>
          </w:p>
        </w:tc>
        <w:tc>
          <w:tcPr>
            <w:tcW w:w="1673" w:type="dxa"/>
          </w:tcPr>
          <w:p w14:paraId="6A3066C2" w14:textId="0FCE2BFB" w:rsidR="008D7CCB" w:rsidRPr="003358E7" w:rsidRDefault="008D7CCB" w:rsidP="008D7CCB">
            <w:pPr>
              <w:spacing w:after="120"/>
              <w:rPr>
                <w:rFonts w:eastAsia="Times New Roman" w:cs="Arial"/>
                <w:b/>
                <w:bCs/>
                <w:color w:val="000000"/>
                <w:sz w:val="20"/>
                <w:szCs w:val="20"/>
                <w:lang w:eastAsia="en-AU"/>
              </w:rPr>
            </w:pPr>
            <w:r w:rsidRPr="00C87544">
              <w:rPr>
                <w:rFonts w:eastAsia="Times New Roman" w:cs="Arial"/>
                <w:iCs/>
                <w:color w:val="000000"/>
                <w:sz w:val="20"/>
                <w:szCs w:val="20"/>
                <w:lang w:eastAsia="en-AU"/>
              </w:rPr>
              <w:t>106-109</w:t>
            </w:r>
          </w:p>
        </w:tc>
        <w:tc>
          <w:tcPr>
            <w:tcW w:w="3475" w:type="dxa"/>
            <w:hideMark/>
          </w:tcPr>
          <w:p w14:paraId="5DE320E7" w14:textId="77777777" w:rsidR="008D7CCB" w:rsidRPr="003358E7" w:rsidRDefault="008D7CCB" w:rsidP="008D7CCB">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Information on any reports on operations of the entity by the Auditor</w:t>
            </w:r>
            <w:r w:rsidRPr="003358E7">
              <w:rPr>
                <w:rFonts w:eastAsia="Times New Roman" w:cs="Arial"/>
                <w:color w:val="000000"/>
                <w:sz w:val="20"/>
                <w:szCs w:val="20"/>
                <w:lang w:eastAsia="en-AU"/>
              </w:rPr>
              <w:noBreakHyphen/>
              <w:t>General (other than report under section</w:t>
            </w:r>
            <w:r>
              <w:rPr>
                <w:rFonts w:eastAsia="Times New Roman" w:cs="Arial"/>
                <w:color w:val="000000"/>
                <w:sz w:val="20"/>
                <w:szCs w:val="20"/>
                <w:lang w:eastAsia="en-AU"/>
              </w:rPr>
              <w:t xml:space="preserve"> </w:t>
            </w:r>
            <w:r w:rsidRPr="003358E7">
              <w:rPr>
                <w:rFonts w:eastAsia="Times New Roman" w:cs="Arial"/>
                <w:color w:val="000000"/>
                <w:sz w:val="20"/>
                <w:szCs w:val="20"/>
                <w:lang w:eastAsia="en-AU"/>
              </w:rPr>
              <w:t>43 of the Act), a Parliamentary Committee, or the Commonwealth Ombudsman.</w:t>
            </w:r>
          </w:p>
        </w:tc>
        <w:tc>
          <w:tcPr>
            <w:tcW w:w="2228" w:type="dxa"/>
            <w:gridSpan w:val="2"/>
            <w:hideMark/>
          </w:tcPr>
          <w:p w14:paraId="6D72247E" w14:textId="77777777" w:rsidR="008D7CCB" w:rsidRPr="003358E7" w:rsidRDefault="008D7CCB" w:rsidP="008D7CCB">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If applicable, Mandatory</w:t>
            </w:r>
          </w:p>
        </w:tc>
      </w:tr>
      <w:tr w:rsidR="00417F54" w:rsidRPr="003358E7" w14:paraId="3AD97452" w14:textId="77777777" w:rsidTr="008D7CCB">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3E73BF9B"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17AG(3)(c)</w:t>
            </w:r>
          </w:p>
        </w:tc>
        <w:tc>
          <w:tcPr>
            <w:tcW w:w="1673" w:type="dxa"/>
          </w:tcPr>
          <w:p w14:paraId="798A84DB" w14:textId="63B7B97F" w:rsidR="00417F54" w:rsidRPr="00E27D6B" w:rsidRDefault="008D7CCB" w:rsidP="00417F54">
            <w:pPr>
              <w:spacing w:before="120"/>
              <w:rPr>
                <w:rFonts w:eastAsia="Times New Roman" w:cs="Arial"/>
                <w:iCs/>
                <w:color w:val="000000"/>
                <w:sz w:val="20"/>
                <w:szCs w:val="20"/>
                <w:lang w:eastAsia="en-AU"/>
              </w:rPr>
            </w:pPr>
            <w:r>
              <w:rPr>
                <w:rFonts w:eastAsia="Times New Roman" w:cs="Arial"/>
                <w:iCs/>
                <w:color w:val="000000"/>
                <w:sz w:val="20"/>
                <w:szCs w:val="20"/>
                <w:lang w:eastAsia="en-AU"/>
              </w:rPr>
              <w:t>N/A</w:t>
            </w:r>
          </w:p>
        </w:tc>
        <w:tc>
          <w:tcPr>
            <w:tcW w:w="3475" w:type="dxa"/>
            <w:hideMark/>
          </w:tcPr>
          <w:p w14:paraId="5217C6CF"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Information on any capability reviews on the entity that were released during the period.</w:t>
            </w:r>
          </w:p>
        </w:tc>
        <w:tc>
          <w:tcPr>
            <w:tcW w:w="2228" w:type="dxa"/>
            <w:gridSpan w:val="2"/>
            <w:hideMark/>
          </w:tcPr>
          <w:p w14:paraId="7532D9C6"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If applicable, Mandatory</w:t>
            </w:r>
          </w:p>
        </w:tc>
      </w:tr>
      <w:tr w:rsidR="00417F54" w:rsidRPr="003358E7" w14:paraId="3C5BBE97" w14:textId="77777777" w:rsidTr="002D1EA4">
        <w:trPr>
          <w:trHeight w:val="67"/>
        </w:trPr>
        <w:tc>
          <w:tcPr>
            <w:tcW w:w="1575" w:type="dxa"/>
            <w:hideMark/>
          </w:tcPr>
          <w:p w14:paraId="43503D23" w14:textId="77777777" w:rsidR="00417F54" w:rsidRPr="003358E7" w:rsidRDefault="00417F54" w:rsidP="00417F54">
            <w:pPr>
              <w:spacing w:after="120"/>
              <w:jc w:val="center"/>
              <w:rPr>
                <w:rFonts w:eastAsia="Times New Roman" w:cs="Arial"/>
                <w:b/>
                <w:bCs/>
                <w:color w:val="000000"/>
                <w:sz w:val="20"/>
                <w:szCs w:val="20"/>
                <w:lang w:eastAsia="en-AU"/>
              </w:rPr>
            </w:pPr>
          </w:p>
        </w:tc>
        <w:tc>
          <w:tcPr>
            <w:tcW w:w="7376" w:type="dxa"/>
            <w:gridSpan w:val="4"/>
            <w:hideMark/>
          </w:tcPr>
          <w:p w14:paraId="78464F43"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b/>
                <w:bCs/>
                <w:i/>
                <w:iCs/>
                <w:color w:val="000000"/>
                <w:sz w:val="20"/>
                <w:szCs w:val="20"/>
                <w:lang w:eastAsia="en-AU"/>
              </w:rPr>
              <w:t>Management of Human Resources</w:t>
            </w:r>
          </w:p>
        </w:tc>
      </w:tr>
      <w:tr w:rsidR="00417F54" w:rsidRPr="003358E7" w14:paraId="5B893FE3" w14:textId="77777777" w:rsidTr="008D7CCB">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26AB8D6F"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17AG(4)(a)</w:t>
            </w:r>
          </w:p>
        </w:tc>
        <w:tc>
          <w:tcPr>
            <w:tcW w:w="1673" w:type="dxa"/>
          </w:tcPr>
          <w:p w14:paraId="0A10540C" w14:textId="359D1385" w:rsidR="00417F54" w:rsidRPr="008D7CCB" w:rsidRDefault="008D7CCB" w:rsidP="00417F54">
            <w:pPr>
              <w:spacing w:after="120"/>
              <w:rPr>
                <w:rFonts w:eastAsia="Times New Roman" w:cs="Arial"/>
                <w:bCs/>
                <w:color w:val="000000"/>
                <w:sz w:val="20"/>
                <w:szCs w:val="20"/>
                <w:lang w:eastAsia="en-AU"/>
              </w:rPr>
            </w:pPr>
            <w:r w:rsidRPr="008D7CCB">
              <w:rPr>
                <w:rFonts w:eastAsia="Times New Roman" w:cs="Arial"/>
                <w:bCs/>
                <w:color w:val="000000"/>
                <w:sz w:val="20"/>
                <w:szCs w:val="20"/>
                <w:lang w:eastAsia="en-AU"/>
              </w:rPr>
              <w:t>110-111</w:t>
            </w:r>
          </w:p>
        </w:tc>
        <w:tc>
          <w:tcPr>
            <w:tcW w:w="3475" w:type="dxa"/>
            <w:hideMark/>
          </w:tcPr>
          <w:p w14:paraId="2F75118C"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An assessment of the entity’s effectiveness in managing and developing employees to achieve entity objectives.</w:t>
            </w:r>
          </w:p>
        </w:tc>
        <w:tc>
          <w:tcPr>
            <w:tcW w:w="2228" w:type="dxa"/>
            <w:gridSpan w:val="2"/>
            <w:hideMark/>
          </w:tcPr>
          <w:p w14:paraId="392F02C0"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5E81D75A" w14:textId="77777777" w:rsidTr="002D1EA4">
        <w:trPr>
          <w:trHeight w:val="67"/>
        </w:trPr>
        <w:tc>
          <w:tcPr>
            <w:tcW w:w="1575" w:type="dxa"/>
          </w:tcPr>
          <w:p w14:paraId="3B64D3E3" w14:textId="77777777" w:rsidR="00417F54" w:rsidRPr="003358E7"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17AG(4)(aa)</w:t>
            </w:r>
          </w:p>
        </w:tc>
        <w:tc>
          <w:tcPr>
            <w:tcW w:w="1673" w:type="dxa"/>
          </w:tcPr>
          <w:p w14:paraId="6361A468" w14:textId="58AA2332" w:rsidR="00417F54" w:rsidRPr="003358E7" w:rsidRDefault="008D7CCB" w:rsidP="00417F54">
            <w:pPr>
              <w:spacing w:after="120"/>
              <w:rPr>
                <w:rFonts w:eastAsia="Times New Roman" w:cs="Arial"/>
                <w:color w:val="000000"/>
                <w:sz w:val="20"/>
                <w:szCs w:val="20"/>
                <w:lang w:eastAsia="en-AU"/>
              </w:rPr>
            </w:pPr>
            <w:r>
              <w:rPr>
                <w:rFonts w:eastAsia="Times New Roman" w:cs="Arial"/>
                <w:color w:val="000000"/>
                <w:sz w:val="20"/>
                <w:szCs w:val="20"/>
                <w:lang w:eastAsia="en-AU"/>
              </w:rPr>
              <w:t>208-211</w:t>
            </w:r>
          </w:p>
        </w:tc>
        <w:tc>
          <w:tcPr>
            <w:tcW w:w="3475" w:type="dxa"/>
          </w:tcPr>
          <w:p w14:paraId="33ED24E4" w14:textId="77777777" w:rsidR="00417F54" w:rsidRPr="003358E7" w:rsidRDefault="00417F54" w:rsidP="00417F54">
            <w:pPr>
              <w:pStyle w:val="Tabletext"/>
              <w:rPr>
                <w:rFonts w:ascii="Arial" w:hAnsi="Arial" w:cs="Arial"/>
                <w:color w:val="000000"/>
              </w:rPr>
            </w:pPr>
            <w:r w:rsidRPr="003358E7">
              <w:rPr>
                <w:rFonts w:ascii="Arial" w:hAnsi="Arial" w:cs="Arial"/>
                <w:color w:val="000000"/>
              </w:rPr>
              <w:t xml:space="preserve">Statistics on the entity’s employees on an ongoing and </w:t>
            </w:r>
            <w:proofErr w:type="spellStart"/>
            <w:r w:rsidRPr="003358E7">
              <w:rPr>
                <w:rFonts w:ascii="Arial" w:hAnsi="Arial" w:cs="Arial"/>
                <w:color w:val="000000"/>
              </w:rPr>
              <w:t>non</w:t>
            </w:r>
            <w:r w:rsidRPr="003358E7">
              <w:rPr>
                <w:rFonts w:ascii="Arial" w:hAnsi="Arial" w:cs="Arial"/>
                <w:color w:val="000000"/>
              </w:rPr>
              <w:noBreakHyphen/>
              <w:t>ongoing</w:t>
            </w:r>
            <w:proofErr w:type="spellEnd"/>
            <w:r w:rsidRPr="003358E7">
              <w:rPr>
                <w:rFonts w:ascii="Arial" w:hAnsi="Arial" w:cs="Arial"/>
                <w:color w:val="000000"/>
              </w:rPr>
              <w:t xml:space="preserve"> basis, including the following:</w:t>
            </w:r>
          </w:p>
          <w:p w14:paraId="2BAD0304" w14:textId="77777777" w:rsidR="00417F54" w:rsidRPr="003358E7" w:rsidRDefault="00417F54" w:rsidP="00417F54">
            <w:pPr>
              <w:pStyle w:val="Tablea"/>
              <w:rPr>
                <w:rFonts w:ascii="Arial" w:hAnsi="Arial" w:cs="Arial"/>
                <w:color w:val="000000"/>
              </w:rPr>
            </w:pPr>
            <w:r w:rsidRPr="003358E7">
              <w:rPr>
                <w:rFonts w:ascii="Arial" w:hAnsi="Arial" w:cs="Arial"/>
                <w:color w:val="000000"/>
              </w:rPr>
              <w:t>(a) statistics on full</w:t>
            </w:r>
            <w:r w:rsidRPr="003358E7">
              <w:rPr>
                <w:rFonts w:ascii="Arial" w:hAnsi="Arial" w:cs="Arial"/>
                <w:color w:val="000000"/>
              </w:rPr>
              <w:noBreakHyphen/>
              <w:t>time employees</w:t>
            </w:r>
          </w:p>
          <w:p w14:paraId="27596F2C" w14:textId="77777777" w:rsidR="00417F54" w:rsidRPr="003358E7" w:rsidRDefault="00417F54" w:rsidP="00417F54">
            <w:pPr>
              <w:pStyle w:val="Tablea"/>
              <w:rPr>
                <w:rFonts w:ascii="Arial" w:hAnsi="Arial" w:cs="Arial"/>
                <w:color w:val="000000"/>
              </w:rPr>
            </w:pPr>
            <w:r w:rsidRPr="003358E7">
              <w:rPr>
                <w:rFonts w:ascii="Arial" w:hAnsi="Arial" w:cs="Arial"/>
                <w:color w:val="000000"/>
              </w:rPr>
              <w:t>(b) statistics on part</w:t>
            </w:r>
            <w:r w:rsidRPr="003358E7">
              <w:rPr>
                <w:rFonts w:ascii="Arial" w:hAnsi="Arial" w:cs="Arial"/>
                <w:color w:val="000000"/>
              </w:rPr>
              <w:noBreakHyphen/>
              <w:t>time employees</w:t>
            </w:r>
          </w:p>
          <w:p w14:paraId="2D0A9FBC" w14:textId="77777777" w:rsidR="00417F54" w:rsidRPr="003358E7" w:rsidRDefault="00417F54" w:rsidP="00417F54">
            <w:pPr>
              <w:pStyle w:val="Tablea"/>
              <w:rPr>
                <w:rFonts w:ascii="Arial" w:hAnsi="Arial" w:cs="Arial"/>
                <w:color w:val="000000"/>
              </w:rPr>
            </w:pPr>
            <w:r w:rsidRPr="003358E7">
              <w:rPr>
                <w:rFonts w:ascii="Arial" w:hAnsi="Arial" w:cs="Arial"/>
                <w:color w:val="000000"/>
              </w:rPr>
              <w:t>(c) statistics on gender</w:t>
            </w:r>
          </w:p>
          <w:p w14:paraId="0B9EC458" w14:textId="77777777" w:rsidR="00417F54" w:rsidRPr="003358E7"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(d) statistics on staff location</w:t>
            </w:r>
          </w:p>
        </w:tc>
        <w:tc>
          <w:tcPr>
            <w:tcW w:w="2228" w:type="dxa"/>
            <w:gridSpan w:val="2"/>
          </w:tcPr>
          <w:p w14:paraId="64DF1DA9" w14:textId="77777777" w:rsidR="00417F54" w:rsidRPr="003358E7"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3A70D996" w14:textId="77777777" w:rsidTr="008D7CCB">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362F744F"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17AG(4)(b)</w:t>
            </w:r>
          </w:p>
        </w:tc>
        <w:tc>
          <w:tcPr>
            <w:tcW w:w="1673" w:type="dxa"/>
          </w:tcPr>
          <w:p w14:paraId="498E5860" w14:textId="3AE2ABA4" w:rsidR="00417F54" w:rsidRPr="008D7CCB" w:rsidRDefault="008D7CCB" w:rsidP="008D7CCB">
            <w:pPr>
              <w:spacing w:after="120"/>
              <w:rPr>
                <w:rFonts w:eastAsia="Times New Roman" w:cs="Arial"/>
                <w:bCs/>
                <w:color w:val="000000"/>
                <w:sz w:val="20"/>
                <w:szCs w:val="20"/>
                <w:lang w:eastAsia="en-AU"/>
              </w:rPr>
            </w:pPr>
            <w:r>
              <w:rPr>
                <w:rFonts w:eastAsia="Times New Roman" w:cs="Arial"/>
                <w:bCs/>
                <w:color w:val="000000"/>
                <w:sz w:val="20"/>
                <w:szCs w:val="20"/>
                <w:lang w:eastAsia="en-AU"/>
              </w:rPr>
              <w:t>112, 113,</w:t>
            </w:r>
            <w:r>
              <w:rPr>
                <w:rFonts w:eastAsia="Times New Roman" w:cs="Arial"/>
                <w:bCs/>
                <w:color w:val="000000"/>
                <w:sz w:val="20"/>
                <w:szCs w:val="20"/>
                <w:lang w:eastAsia="en-AU"/>
              </w:rPr>
              <w:br/>
              <w:t>208-219</w:t>
            </w:r>
          </w:p>
        </w:tc>
        <w:tc>
          <w:tcPr>
            <w:tcW w:w="3475" w:type="dxa"/>
            <w:hideMark/>
          </w:tcPr>
          <w:p w14:paraId="74E13456"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 xml:space="preserve">Statistics on the entity’s APS employees on an ongoing and </w:t>
            </w:r>
            <w:proofErr w:type="spellStart"/>
            <w:r w:rsidRPr="003358E7">
              <w:rPr>
                <w:rFonts w:eastAsia="Times New Roman" w:cs="Arial"/>
                <w:color w:val="000000"/>
                <w:sz w:val="20"/>
                <w:szCs w:val="20"/>
                <w:lang w:eastAsia="en-AU"/>
              </w:rPr>
              <w:t>non</w:t>
            </w:r>
            <w:r w:rsidRPr="003358E7">
              <w:rPr>
                <w:rFonts w:eastAsia="Times New Roman" w:cs="Arial"/>
                <w:color w:val="000000"/>
                <w:sz w:val="20"/>
                <w:szCs w:val="20"/>
                <w:lang w:eastAsia="en-AU"/>
              </w:rPr>
              <w:noBreakHyphen/>
              <w:t>ongoing</w:t>
            </w:r>
            <w:proofErr w:type="spellEnd"/>
            <w:r w:rsidRPr="003358E7">
              <w:rPr>
                <w:rFonts w:eastAsia="Times New Roman" w:cs="Arial"/>
                <w:color w:val="000000"/>
                <w:sz w:val="20"/>
                <w:szCs w:val="20"/>
                <w:lang w:eastAsia="en-AU"/>
              </w:rPr>
              <w:t xml:space="preserve"> basis; including the following:</w:t>
            </w:r>
          </w:p>
          <w:p w14:paraId="7EA1C2CC" w14:textId="02A5EB21" w:rsidR="00417F54" w:rsidRPr="008D7CCB" w:rsidRDefault="00417F54" w:rsidP="008D7CCB">
            <w:pPr>
              <w:pStyle w:val="ListParagraph"/>
              <w:numPr>
                <w:ilvl w:val="0"/>
                <w:numId w:val="121"/>
              </w:numPr>
              <w:spacing w:after="120"/>
              <w:rPr>
                <w:rFonts w:eastAsia="Times New Roman" w:cs="Arial"/>
                <w:b/>
                <w:bCs/>
                <w:color w:val="000000"/>
                <w:sz w:val="20"/>
                <w:szCs w:val="20"/>
                <w:lang w:eastAsia="en-AU"/>
              </w:rPr>
            </w:pPr>
            <w:r w:rsidRPr="008D7CCB">
              <w:rPr>
                <w:rFonts w:eastAsia="Times New Roman" w:cs="Arial"/>
                <w:color w:val="000000"/>
                <w:sz w:val="20"/>
                <w:szCs w:val="20"/>
                <w:lang w:eastAsia="en-AU"/>
              </w:rPr>
              <w:t>Statistics on staffing classification level</w:t>
            </w:r>
          </w:p>
          <w:p w14:paraId="1EBAFA2E" w14:textId="53C26F13" w:rsidR="00417F54" w:rsidRPr="008D7CCB" w:rsidRDefault="00417F54" w:rsidP="008D7CCB">
            <w:pPr>
              <w:pStyle w:val="ListParagraph"/>
              <w:numPr>
                <w:ilvl w:val="0"/>
                <w:numId w:val="121"/>
              </w:numPr>
              <w:spacing w:after="120"/>
              <w:rPr>
                <w:rFonts w:eastAsia="Times New Roman" w:cs="Arial"/>
                <w:b/>
                <w:bCs/>
                <w:color w:val="000000"/>
                <w:sz w:val="20"/>
                <w:szCs w:val="20"/>
                <w:lang w:eastAsia="en-AU"/>
              </w:rPr>
            </w:pPr>
            <w:r w:rsidRPr="008D7CCB">
              <w:rPr>
                <w:rFonts w:eastAsia="Times New Roman" w:cs="Arial"/>
                <w:color w:val="000000"/>
                <w:sz w:val="20"/>
                <w:szCs w:val="20"/>
                <w:lang w:eastAsia="en-AU"/>
              </w:rPr>
              <w:t>Statistics on full</w:t>
            </w:r>
            <w:r w:rsidRPr="008D7CCB">
              <w:rPr>
                <w:rFonts w:eastAsia="Times New Roman" w:cs="Arial"/>
                <w:color w:val="000000"/>
                <w:sz w:val="20"/>
                <w:szCs w:val="20"/>
                <w:lang w:eastAsia="en-AU"/>
              </w:rPr>
              <w:noBreakHyphen/>
              <w:t>time employees</w:t>
            </w:r>
          </w:p>
          <w:p w14:paraId="061C8A1C" w14:textId="7F465258" w:rsidR="00417F54" w:rsidRPr="008D7CCB" w:rsidRDefault="00417F54" w:rsidP="008D7CCB">
            <w:pPr>
              <w:pStyle w:val="ListParagraph"/>
              <w:numPr>
                <w:ilvl w:val="0"/>
                <w:numId w:val="121"/>
              </w:numPr>
              <w:spacing w:after="120"/>
              <w:rPr>
                <w:rFonts w:eastAsia="Times New Roman" w:cs="Arial"/>
                <w:b/>
                <w:bCs/>
                <w:color w:val="000000"/>
                <w:sz w:val="20"/>
                <w:szCs w:val="20"/>
                <w:lang w:eastAsia="en-AU"/>
              </w:rPr>
            </w:pPr>
            <w:r w:rsidRPr="008D7CCB">
              <w:rPr>
                <w:rFonts w:eastAsia="Times New Roman" w:cs="Arial"/>
                <w:color w:val="000000"/>
                <w:sz w:val="20"/>
                <w:szCs w:val="20"/>
                <w:lang w:eastAsia="en-AU"/>
              </w:rPr>
              <w:t>Statistics on part</w:t>
            </w:r>
            <w:r w:rsidRPr="008D7CCB">
              <w:rPr>
                <w:rFonts w:eastAsia="Times New Roman" w:cs="Arial"/>
                <w:color w:val="000000"/>
                <w:sz w:val="20"/>
                <w:szCs w:val="20"/>
                <w:lang w:eastAsia="en-AU"/>
              </w:rPr>
              <w:noBreakHyphen/>
              <w:t>time employees</w:t>
            </w:r>
          </w:p>
          <w:p w14:paraId="0FEB0E05" w14:textId="20C49644" w:rsidR="00417F54" w:rsidRPr="008D7CCB" w:rsidRDefault="00417F54" w:rsidP="008D7CCB">
            <w:pPr>
              <w:pStyle w:val="ListParagraph"/>
              <w:numPr>
                <w:ilvl w:val="0"/>
                <w:numId w:val="121"/>
              </w:numPr>
              <w:spacing w:after="120"/>
              <w:rPr>
                <w:rFonts w:eastAsia="Times New Roman" w:cs="Arial"/>
                <w:b/>
                <w:bCs/>
                <w:color w:val="000000"/>
                <w:sz w:val="20"/>
                <w:szCs w:val="20"/>
                <w:lang w:eastAsia="en-AU"/>
              </w:rPr>
            </w:pPr>
            <w:r w:rsidRPr="008D7CCB">
              <w:rPr>
                <w:rFonts w:eastAsia="Times New Roman" w:cs="Arial"/>
                <w:color w:val="000000"/>
                <w:sz w:val="20"/>
                <w:szCs w:val="20"/>
                <w:lang w:eastAsia="en-AU"/>
              </w:rPr>
              <w:t>Statistics on gender</w:t>
            </w:r>
          </w:p>
          <w:p w14:paraId="478591FC" w14:textId="0AEEBD51" w:rsidR="00417F54" w:rsidRPr="008D7CCB" w:rsidRDefault="00417F54" w:rsidP="008D7CCB">
            <w:pPr>
              <w:pStyle w:val="ListParagraph"/>
              <w:numPr>
                <w:ilvl w:val="0"/>
                <w:numId w:val="121"/>
              </w:numPr>
              <w:spacing w:after="120"/>
              <w:rPr>
                <w:rFonts w:eastAsia="Times New Roman" w:cs="Arial"/>
                <w:b/>
                <w:bCs/>
                <w:color w:val="000000"/>
                <w:sz w:val="20"/>
                <w:szCs w:val="20"/>
                <w:lang w:eastAsia="en-AU"/>
              </w:rPr>
            </w:pPr>
            <w:r w:rsidRPr="008D7CCB">
              <w:rPr>
                <w:rFonts w:eastAsia="Times New Roman" w:cs="Arial"/>
                <w:color w:val="000000"/>
                <w:sz w:val="20"/>
                <w:szCs w:val="20"/>
                <w:lang w:eastAsia="en-AU"/>
              </w:rPr>
              <w:t>Statistics on staff location</w:t>
            </w:r>
          </w:p>
          <w:p w14:paraId="6A3E44EA" w14:textId="5C7A56E5" w:rsidR="00417F54" w:rsidRPr="008D7CCB" w:rsidRDefault="00417F54" w:rsidP="008D7CCB">
            <w:pPr>
              <w:pStyle w:val="ListParagraph"/>
              <w:numPr>
                <w:ilvl w:val="0"/>
                <w:numId w:val="121"/>
              </w:numPr>
              <w:spacing w:after="120"/>
              <w:rPr>
                <w:rFonts w:eastAsia="Times New Roman" w:cs="Arial"/>
                <w:b/>
                <w:bCs/>
                <w:color w:val="000000"/>
                <w:sz w:val="20"/>
                <w:szCs w:val="20"/>
                <w:lang w:eastAsia="en-AU"/>
              </w:rPr>
            </w:pPr>
            <w:r w:rsidRPr="008D7CCB">
              <w:rPr>
                <w:rFonts w:eastAsia="Times New Roman" w:cs="Arial"/>
                <w:color w:val="000000"/>
                <w:sz w:val="20"/>
                <w:szCs w:val="20"/>
                <w:lang w:eastAsia="en-AU"/>
              </w:rPr>
              <w:t>Statistics on employees who identify as Indigenous.</w:t>
            </w:r>
          </w:p>
        </w:tc>
        <w:tc>
          <w:tcPr>
            <w:tcW w:w="2228" w:type="dxa"/>
            <w:gridSpan w:val="2"/>
            <w:hideMark/>
          </w:tcPr>
          <w:p w14:paraId="71E6B313"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34E88D72" w14:textId="77777777" w:rsidTr="008D7CCB">
        <w:trPr>
          <w:trHeight w:val="67"/>
        </w:trPr>
        <w:tc>
          <w:tcPr>
            <w:tcW w:w="1575" w:type="dxa"/>
            <w:hideMark/>
          </w:tcPr>
          <w:p w14:paraId="165828BC"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17AG(4)(c)</w:t>
            </w:r>
          </w:p>
        </w:tc>
        <w:tc>
          <w:tcPr>
            <w:tcW w:w="1673" w:type="dxa"/>
          </w:tcPr>
          <w:p w14:paraId="04C8727E" w14:textId="6D93FBB7" w:rsidR="00417F54" w:rsidRPr="008D7CCB" w:rsidRDefault="008D7CCB" w:rsidP="00417F54">
            <w:pPr>
              <w:spacing w:after="120"/>
              <w:rPr>
                <w:rFonts w:eastAsia="Times New Roman" w:cs="Arial"/>
                <w:iCs/>
                <w:color w:val="000000"/>
                <w:sz w:val="20"/>
                <w:szCs w:val="20"/>
                <w:lang w:eastAsia="en-AU"/>
              </w:rPr>
            </w:pPr>
            <w:r w:rsidRPr="008D7CCB">
              <w:rPr>
                <w:rFonts w:eastAsia="Times New Roman" w:cs="Arial"/>
                <w:iCs/>
                <w:color w:val="000000"/>
                <w:sz w:val="20"/>
                <w:szCs w:val="20"/>
                <w:lang w:eastAsia="en-AU"/>
              </w:rPr>
              <w:t>114-115, 219</w:t>
            </w:r>
          </w:p>
        </w:tc>
        <w:tc>
          <w:tcPr>
            <w:tcW w:w="3475" w:type="dxa"/>
            <w:hideMark/>
          </w:tcPr>
          <w:p w14:paraId="18DCF0A4"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Information on any enterprise agreements, individual flexibility arrangements, Australian workplace agreements, common law contracts and determinations under subsection</w:t>
            </w:r>
            <w:r>
              <w:rPr>
                <w:rFonts w:eastAsia="Times New Roman" w:cs="Arial"/>
                <w:color w:val="000000"/>
                <w:sz w:val="20"/>
                <w:szCs w:val="20"/>
                <w:lang w:eastAsia="en-AU"/>
              </w:rPr>
              <w:t xml:space="preserve"> </w:t>
            </w:r>
            <w:r w:rsidRPr="003358E7">
              <w:rPr>
                <w:rFonts w:eastAsia="Times New Roman" w:cs="Arial"/>
                <w:color w:val="000000"/>
                <w:sz w:val="20"/>
                <w:szCs w:val="20"/>
                <w:lang w:eastAsia="en-AU"/>
              </w:rPr>
              <w:t>24(1) of the</w:t>
            </w:r>
            <w:r>
              <w:rPr>
                <w:rFonts w:eastAsia="Times New Roman" w:cs="Arial"/>
                <w:color w:val="000000"/>
                <w:sz w:val="20"/>
                <w:szCs w:val="20"/>
                <w:lang w:eastAsia="en-AU"/>
              </w:rPr>
              <w:t xml:space="preserve"> </w:t>
            </w:r>
            <w:r w:rsidRPr="003358E7">
              <w:rPr>
                <w:rFonts w:eastAsia="Times New Roman" w:cs="Arial"/>
                <w:i/>
                <w:iCs/>
                <w:color w:val="000000"/>
                <w:sz w:val="20"/>
                <w:szCs w:val="20"/>
                <w:lang w:eastAsia="en-AU"/>
              </w:rPr>
              <w:t>Public Service Act 1999</w:t>
            </w:r>
            <w:r w:rsidRPr="003358E7">
              <w:rPr>
                <w:rFonts w:eastAsia="Times New Roman" w:cs="Arial"/>
                <w:color w:val="000000"/>
                <w:sz w:val="20"/>
                <w:szCs w:val="20"/>
                <w:lang w:eastAsia="en-AU"/>
              </w:rPr>
              <w:t>.</w:t>
            </w:r>
          </w:p>
        </w:tc>
        <w:tc>
          <w:tcPr>
            <w:tcW w:w="2228" w:type="dxa"/>
            <w:gridSpan w:val="2"/>
            <w:hideMark/>
          </w:tcPr>
          <w:p w14:paraId="6F088523"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07AEC6EA" w14:textId="77777777" w:rsidTr="008D7CCB">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58872076"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17AG(4)(c)(</w:t>
            </w:r>
            <w:proofErr w:type="spellStart"/>
            <w:r w:rsidRPr="003358E7">
              <w:rPr>
                <w:rFonts w:eastAsia="Times New Roman" w:cs="Arial"/>
                <w:color w:val="000000"/>
                <w:sz w:val="20"/>
                <w:szCs w:val="20"/>
                <w:lang w:eastAsia="en-AU"/>
              </w:rPr>
              <w:t>i</w:t>
            </w:r>
            <w:proofErr w:type="spellEnd"/>
            <w:r w:rsidRPr="003358E7">
              <w:rPr>
                <w:rFonts w:eastAsia="Times New Roman" w:cs="Arial"/>
                <w:color w:val="000000"/>
                <w:sz w:val="20"/>
                <w:szCs w:val="20"/>
                <w:lang w:eastAsia="en-AU"/>
              </w:rPr>
              <w:t>)</w:t>
            </w:r>
          </w:p>
        </w:tc>
        <w:tc>
          <w:tcPr>
            <w:tcW w:w="1673" w:type="dxa"/>
          </w:tcPr>
          <w:p w14:paraId="218F2048" w14:textId="426411FC" w:rsidR="00417F54" w:rsidRPr="008D7CCB" w:rsidRDefault="008D7CCB" w:rsidP="00417F54">
            <w:pPr>
              <w:spacing w:after="120"/>
              <w:rPr>
                <w:rFonts w:eastAsia="Times New Roman" w:cs="Arial"/>
                <w:bCs/>
                <w:color w:val="000000"/>
                <w:sz w:val="20"/>
                <w:szCs w:val="20"/>
                <w:lang w:eastAsia="en-AU"/>
              </w:rPr>
            </w:pPr>
            <w:r w:rsidRPr="008D7CCB">
              <w:rPr>
                <w:rFonts w:eastAsia="Times New Roman" w:cs="Arial"/>
                <w:bCs/>
                <w:color w:val="000000"/>
                <w:sz w:val="20"/>
                <w:szCs w:val="20"/>
                <w:lang w:eastAsia="en-AU"/>
              </w:rPr>
              <w:t>114, 219</w:t>
            </w:r>
          </w:p>
        </w:tc>
        <w:tc>
          <w:tcPr>
            <w:tcW w:w="3475" w:type="dxa"/>
            <w:hideMark/>
          </w:tcPr>
          <w:p w14:paraId="0AD637C9"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Information on the number of SES and non</w:t>
            </w:r>
            <w:r w:rsidRPr="003358E7">
              <w:rPr>
                <w:rFonts w:eastAsia="Times New Roman" w:cs="Arial"/>
                <w:color w:val="000000"/>
                <w:sz w:val="20"/>
                <w:szCs w:val="20"/>
                <w:lang w:eastAsia="en-AU"/>
              </w:rPr>
              <w:noBreakHyphen/>
              <w:t xml:space="preserve">SES employees covered by agreements </w:t>
            </w:r>
            <w:proofErr w:type="spellStart"/>
            <w:r w:rsidRPr="003358E7">
              <w:rPr>
                <w:rFonts w:eastAsia="Times New Roman" w:cs="Arial"/>
                <w:color w:val="000000"/>
                <w:sz w:val="20"/>
                <w:szCs w:val="20"/>
                <w:lang w:eastAsia="en-AU"/>
              </w:rPr>
              <w:t>etc</w:t>
            </w:r>
            <w:proofErr w:type="spellEnd"/>
            <w:r w:rsidRPr="003358E7">
              <w:rPr>
                <w:rFonts w:eastAsia="Times New Roman" w:cs="Arial"/>
                <w:color w:val="000000"/>
                <w:sz w:val="20"/>
                <w:szCs w:val="20"/>
                <w:lang w:eastAsia="en-AU"/>
              </w:rPr>
              <w:t xml:space="preserve"> identified in paragraph</w:t>
            </w:r>
            <w:r>
              <w:rPr>
                <w:rFonts w:eastAsia="Times New Roman" w:cs="Arial"/>
                <w:color w:val="000000"/>
                <w:sz w:val="20"/>
                <w:szCs w:val="20"/>
                <w:lang w:eastAsia="en-AU"/>
              </w:rPr>
              <w:t xml:space="preserve"> </w:t>
            </w:r>
            <w:r w:rsidRPr="003358E7">
              <w:rPr>
                <w:rFonts w:eastAsia="Times New Roman" w:cs="Arial"/>
                <w:color w:val="000000"/>
                <w:sz w:val="20"/>
                <w:szCs w:val="20"/>
                <w:lang w:eastAsia="en-AU"/>
              </w:rPr>
              <w:t>17AG(4)(c).</w:t>
            </w:r>
          </w:p>
        </w:tc>
        <w:tc>
          <w:tcPr>
            <w:tcW w:w="2228" w:type="dxa"/>
            <w:gridSpan w:val="2"/>
            <w:hideMark/>
          </w:tcPr>
          <w:p w14:paraId="5726D463"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09AB5ED4" w14:textId="77777777" w:rsidTr="008D7CCB">
        <w:trPr>
          <w:trHeight w:val="67"/>
        </w:trPr>
        <w:tc>
          <w:tcPr>
            <w:tcW w:w="1575" w:type="dxa"/>
            <w:hideMark/>
          </w:tcPr>
          <w:p w14:paraId="5711B687"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17AG(4)(c)(ii)</w:t>
            </w:r>
          </w:p>
        </w:tc>
        <w:tc>
          <w:tcPr>
            <w:tcW w:w="1673" w:type="dxa"/>
          </w:tcPr>
          <w:p w14:paraId="1CDD9255" w14:textId="4D84309C" w:rsidR="00417F54" w:rsidRPr="008D7CCB" w:rsidRDefault="008D7CCB" w:rsidP="00417F54">
            <w:pPr>
              <w:spacing w:after="120"/>
              <w:rPr>
                <w:rFonts w:eastAsia="Times New Roman" w:cs="Arial"/>
                <w:bCs/>
                <w:color w:val="000000"/>
                <w:sz w:val="20"/>
                <w:szCs w:val="20"/>
                <w:lang w:eastAsia="en-AU"/>
              </w:rPr>
            </w:pPr>
            <w:r>
              <w:rPr>
                <w:rFonts w:eastAsia="Times New Roman" w:cs="Arial"/>
                <w:bCs/>
                <w:color w:val="000000"/>
                <w:sz w:val="20"/>
                <w:szCs w:val="20"/>
                <w:lang w:eastAsia="en-AU"/>
              </w:rPr>
              <w:t>220</w:t>
            </w:r>
          </w:p>
        </w:tc>
        <w:tc>
          <w:tcPr>
            <w:tcW w:w="3475" w:type="dxa"/>
            <w:hideMark/>
          </w:tcPr>
          <w:p w14:paraId="7B4382F8"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The salary ranges available for APS employees by classification level.</w:t>
            </w:r>
          </w:p>
        </w:tc>
        <w:tc>
          <w:tcPr>
            <w:tcW w:w="2228" w:type="dxa"/>
            <w:gridSpan w:val="2"/>
            <w:hideMark/>
          </w:tcPr>
          <w:p w14:paraId="680457DB"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5E2A7A8F" w14:textId="77777777" w:rsidTr="008D7CCB">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0E619E92"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17AG(4)(c)(iii)</w:t>
            </w:r>
          </w:p>
        </w:tc>
        <w:tc>
          <w:tcPr>
            <w:tcW w:w="1673" w:type="dxa"/>
          </w:tcPr>
          <w:p w14:paraId="56C56DB1" w14:textId="1F7F9BD5" w:rsidR="00417F54" w:rsidRPr="008D7CCB" w:rsidRDefault="008D7CCB" w:rsidP="00417F54">
            <w:pPr>
              <w:spacing w:after="120"/>
              <w:rPr>
                <w:rFonts w:eastAsia="Times New Roman" w:cs="Arial"/>
                <w:bCs/>
                <w:color w:val="000000"/>
                <w:sz w:val="20"/>
                <w:szCs w:val="20"/>
                <w:lang w:eastAsia="en-AU"/>
              </w:rPr>
            </w:pPr>
            <w:r>
              <w:rPr>
                <w:rFonts w:eastAsia="Times New Roman" w:cs="Arial"/>
                <w:bCs/>
                <w:color w:val="000000"/>
                <w:sz w:val="20"/>
                <w:szCs w:val="20"/>
                <w:lang w:eastAsia="en-AU"/>
              </w:rPr>
              <w:t>115</w:t>
            </w:r>
          </w:p>
        </w:tc>
        <w:tc>
          <w:tcPr>
            <w:tcW w:w="3475" w:type="dxa"/>
            <w:hideMark/>
          </w:tcPr>
          <w:p w14:paraId="6F0E1443"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 description of non</w:t>
            </w:r>
            <w:r w:rsidRPr="003358E7">
              <w:rPr>
                <w:rFonts w:eastAsia="Times New Roman" w:cs="Arial"/>
                <w:color w:val="000000"/>
                <w:sz w:val="20"/>
                <w:szCs w:val="20"/>
                <w:lang w:eastAsia="en-AU"/>
              </w:rPr>
              <w:noBreakHyphen/>
              <w:t>salary benefits provided to employees.</w:t>
            </w:r>
          </w:p>
        </w:tc>
        <w:tc>
          <w:tcPr>
            <w:tcW w:w="2228" w:type="dxa"/>
            <w:gridSpan w:val="2"/>
            <w:hideMark/>
          </w:tcPr>
          <w:p w14:paraId="0A2C3CF0"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7CEBC6E0" w14:textId="77777777" w:rsidTr="008D7CCB">
        <w:trPr>
          <w:trHeight w:val="67"/>
        </w:trPr>
        <w:tc>
          <w:tcPr>
            <w:tcW w:w="1575" w:type="dxa"/>
            <w:hideMark/>
          </w:tcPr>
          <w:p w14:paraId="1EACA2B5"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17AG(4)(d)(</w:t>
            </w:r>
            <w:proofErr w:type="spellStart"/>
            <w:r w:rsidRPr="003358E7">
              <w:rPr>
                <w:rFonts w:eastAsia="Times New Roman" w:cs="Arial"/>
                <w:color w:val="000000"/>
                <w:sz w:val="20"/>
                <w:szCs w:val="20"/>
                <w:lang w:eastAsia="en-AU"/>
              </w:rPr>
              <w:t>i</w:t>
            </w:r>
            <w:proofErr w:type="spellEnd"/>
            <w:r w:rsidRPr="003358E7">
              <w:rPr>
                <w:rFonts w:eastAsia="Times New Roman" w:cs="Arial"/>
                <w:color w:val="000000"/>
                <w:sz w:val="20"/>
                <w:szCs w:val="20"/>
                <w:lang w:eastAsia="en-AU"/>
              </w:rPr>
              <w:t>)</w:t>
            </w:r>
          </w:p>
        </w:tc>
        <w:tc>
          <w:tcPr>
            <w:tcW w:w="1673" w:type="dxa"/>
          </w:tcPr>
          <w:p w14:paraId="4B54A777" w14:textId="0540FB77" w:rsidR="00417F54" w:rsidRPr="008D7CCB" w:rsidRDefault="008D7CCB" w:rsidP="00417F54">
            <w:pPr>
              <w:spacing w:after="120"/>
              <w:rPr>
                <w:rFonts w:eastAsia="Times New Roman" w:cs="Arial"/>
                <w:bCs/>
                <w:color w:val="000000"/>
                <w:sz w:val="20"/>
                <w:szCs w:val="20"/>
                <w:lang w:eastAsia="en-AU"/>
              </w:rPr>
            </w:pPr>
            <w:r>
              <w:rPr>
                <w:rFonts w:eastAsia="Times New Roman" w:cs="Arial"/>
                <w:bCs/>
                <w:color w:val="000000"/>
                <w:sz w:val="20"/>
                <w:szCs w:val="20"/>
                <w:lang w:eastAsia="en-AU"/>
              </w:rPr>
              <w:t>114, 221</w:t>
            </w:r>
          </w:p>
        </w:tc>
        <w:tc>
          <w:tcPr>
            <w:tcW w:w="3475" w:type="dxa"/>
            <w:hideMark/>
          </w:tcPr>
          <w:p w14:paraId="09A954AE"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Information on the number of employees at each classification level who received performance pay.</w:t>
            </w:r>
          </w:p>
        </w:tc>
        <w:tc>
          <w:tcPr>
            <w:tcW w:w="2228" w:type="dxa"/>
            <w:gridSpan w:val="2"/>
            <w:hideMark/>
          </w:tcPr>
          <w:p w14:paraId="40223F86"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If applicable, Mandatory</w:t>
            </w:r>
          </w:p>
        </w:tc>
      </w:tr>
      <w:tr w:rsidR="00417F54" w:rsidRPr="003358E7" w14:paraId="247DE650"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7C397F59"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lastRenderedPageBreak/>
              <w:t>17AG(4)(d)(ii)</w:t>
            </w:r>
          </w:p>
        </w:tc>
        <w:tc>
          <w:tcPr>
            <w:tcW w:w="1673" w:type="dxa"/>
            <w:hideMark/>
          </w:tcPr>
          <w:p w14:paraId="44D782D3" w14:textId="77777777" w:rsidR="00417F54" w:rsidRPr="00E27D6B" w:rsidRDefault="00417F54" w:rsidP="00417F54">
            <w:pPr>
              <w:spacing w:after="120"/>
              <w:rPr>
                <w:rFonts w:eastAsia="Times New Roman" w:cs="Arial"/>
                <w:b/>
                <w:bCs/>
                <w:color w:val="000000"/>
                <w:sz w:val="20"/>
                <w:szCs w:val="20"/>
                <w:lang w:eastAsia="en-AU"/>
              </w:rPr>
            </w:pPr>
            <w:r>
              <w:rPr>
                <w:rFonts w:eastAsia="Times New Roman" w:cs="Arial"/>
                <w:iCs/>
                <w:color w:val="000000"/>
                <w:sz w:val="20"/>
                <w:szCs w:val="20"/>
                <w:lang w:eastAsia="en-AU"/>
              </w:rPr>
              <w:t>N/A</w:t>
            </w:r>
          </w:p>
        </w:tc>
        <w:tc>
          <w:tcPr>
            <w:tcW w:w="3475" w:type="dxa"/>
            <w:hideMark/>
          </w:tcPr>
          <w:p w14:paraId="1AC2BE7C"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Information on aggregate amounts of performance pay at each classification level.</w:t>
            </w:r>
          </w:p>
        </w:tc>
        <w:tc>
          <w:tcPr>
            <w:tcW w:w="2228" w:type="dxa"/>
            <w:gridSpan w:val="2"/>
            <w:hideMark/>
          </w:tcPr>
          <w:p w14:paraId="3C1248C1"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If applicable, Mandatory</w:t>
            </w:r>
          </w:p>
        </w:tc>
      </w:tr>
      <w:tr w:rsidR="00417F54" w:rsidRPr="003358E7" w14:paraId="77C9C76F" w14:textId="77777777" w:rsidTr="002D1EA4">
        <w:trPr>
          <w:trHeight w:val="67"/>
        </w:trPr>
        <w:tc>
          <w:tcPr>
            <w:tcW w:w="1575" w:type="dxa"/>
            <w:hideMark/>
          </w:tcPr>
          <w:p w14:paraId="0CF94882"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17AG(4)(d)(iii)</w:t>
            </w:r>
          </w:p>
        </w:tc>
        <w:tc>
          <w:tcPr>
            <w:tcW w:w="1673" w:type="dxa"/>
            <w:hideMark/>
          </w:tcPr>
          <w:p w14:paraId="525F549B" w14:textId="77777777" w:rsidR="00417F54" w:rsidRPr="00E27D6B" w:rsidRDefault="00417F54" w:rsidP="00417F54">
            <w:pPr>
              <w:spacing w:after="120"/>
              <w:rPr>
                <w:rFonts w:eastAsia="Times New Roman" w:cs="Arial"/>
                <w:b/>
                <w:bCs/>
                <w:color w:val="000000"/>
                <w:sz w:val="20"/>
                <w:szCs w:val="20"/>
                <w:lang w:eastAsia="en-AU"/>
              </w:rPr>
            </w:pPr>
            <w:r>
              <w:rPr>
                <w:rFonts w:eastAsia="Times New Roman" w:cs="Arial"/>
                <w:iCs/>
                <w:color w:val="000000"/>
                <w:sz w:val="20"/>
                <w:szCs w:val="20"/>
                <w:lang w:eastAsia="en-AU"/>
              </w:rPr>
              <w:t>N/A</w:t>
            </w:r>
          </w:p>
        </w:tc>
        <w:tc>
          <w:tcPr>
            <w:tcW w:w="3475" w:type="dxa"/>
            <w:hideMark/>
          </w:tcPr>
          <w:p w14:paraId="2E3D8CAF"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Information on the average amount of performance payment, and range of such payments, at each classification level.</w:t>
            </w:r>
          </w:p>
        </w:tc>
        <w:tc>
          <w:tcPr>
            <w:tcW w:w="2228" w:type="dxa"/>
            <w:gridSpan w:val="2"/>
            <w:hideMark/>
          </w:tcPr>
          <w:p w14:paraId="0A4AEF44"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If applicable, Mandatory</w:t>
            </w:r>
          </w:p>
        </w:tc>
      </w:tr>
      <w:tr w:rsidR="00417F54" w:rsidRPr="003358E7" w14:paraId="76DF597D"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12F4F552"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17AG(4)(d)(iv)</w:t>
            </w:r>
          </w:p>
        </w:tc>
        <w:tc>
          <w:tcPr>
            <w:tcW w:w="1673" w:type="dxa"/>
            <w:hideMark/>
          </w:tcPr>
          <w:p w14:paraId="5A741857" w14:textId="77777777" w:rsidR="00417F54" w:rsidRPr="00E27D6B" w:rsidRDefault="00417F54" w:rsidP="00417F54">
            <w:pPr>
              <w:spacing w:after="120"/>
              <w:rPr>
                <w:rFonts w:eastAsia="Times New Roman" w:cs="Arial"/>
                <w:b/>
                <w:bCs/>
                <w:color w:val="000000"/>
                <w:sz w:val="20"/>
                <w:szCs w:val="20"/>
                <w:lang w:eastAsia="en-AU"/>
              </w:rPr>
            </w:pPr>
            <w:r>
              <w:rPr>
                <w:rFonts w:eastAsia="Times New Roman" w:cs="Arial"/>
                <w:iCs/>
                <w:color w:val="000000"/>
                <w:sz w:val="20"/>
                <w:szCs w:val="20"/>
                <w:lang w:eastAsia="en-AU"/>
              </w:rPr>
              <w:t>N/A</w:t>
            </w:r>
          </w:p>
        </w:tc>
        <w:tc>
          <w:tcPr>
            <w:tcW w:w="3475" w:type="dxa"/>
            <w:hideMark/>
          </w:tcPr>
          <w:p w14:paraId="32D69B5F"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Information on aggregate amount of performance payments.</w:t>
            </w:r>
          </w:p>
        </w:tc>
        <w:tc>
          <w:tcPr>
            <w:tcW w:w="2228" w:type="dxa"/>
            <w:gridSpan w:val="2"/>
            <w:hideMark/>
          </w:tcPr>
          <w:p w14:paraId="6E135636"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If applicable, Mandatory</w:t>
            </w:r>
          </w:p>
        </w:tc>
      </w:tr>
      <w:tr w:rsidR="00417F54" w:rsidRPr="003358E7" w14:paraId="0E835FFD" w14:textId="77777777" w:rsidTr="002D1EA4">
        <w:trPr>
          <w:trHeight w:val="67"/>
        </w:trPr>
        <w:tc>
          <w:tcPr>
            <w:tcW w:w="1575" w:type="dxa"/>
            <w:hideMark/>
          </w:tcPr>
          <w:p w14:paraId="7179049F" w14:textId="77777777" w:rsidR="00417F54" w:rsidRPr="003358E7" w:rsidRDefault="00417F54" w:rsidP="00417F54">
            <w:pPr>
              <w:keepNext/>
              <w:spacing w:after="120"/>
              <w:rPr>
                <w:rFonts w:eastAsia="Times New Roman" w:cs="Arial"/>
                <w:b/>
                <w:bCs/>
                <w:color w:val="000000"/>
                <w:sz w:val="20"/>
                <w:szCs w:val="20"/>
                <w:lang w:eastAsia="en-AU"/>
              </w:rPr>
            </w:pPr>
          </w:p>
        </w:tc>
        <w:tc>
          <w:tcPr>
            <w:tcW w:w="5148" w:type="dxa"/>
            <w:gridSpan w:val="2"/>
            <w:hideMark/>
          </w:tcPr>
          <w:p w14:paraId="4AB33D79" w14:textId="77777777" w:rsidR="00417F54" w:rsidRPr="003358E7" w:rsidRDefault="00417F54" w:rsidP="00417F54">
            <w:pPr>
              <w:keepNext/>
              <w:spacing w:after="120"/>
              <w:rPr>
                <w:rFonts w:eastAsia="Times New Roman" w:cs="Arial"/>
                <w:b/>
                <w:bCs/>
                <w:color w:val="000000"/>
                <w:sz w:val="20"/>
                <w:szCs w:val="20"/>
                <w:lang w:eastAsia="en-AU"/>
              </w:rPr>
            </w:pPr>
            <w:r w:rsidRPr="003358E7">
              <w:rPr>
                <w:rFonts w:eastAsia="Times New Roman" w:cs="Arial"/>
                <w:b/>
                <w:bCs/>
                <w:i/>
                <w:iCs/>
                <w:color w:val="000000"/>
                <w:sz w:val="20"/>
                <w:szCs w:val="20"/>
                <w:lang w:eastAsia="en-AU"/>
              </w:rPr>
              <w:t>Assets Management</w:t>
            </w:r>
          </w:p>
        </w:tc>
        <w:tc>
          <w:tcPr>
            <w:tcW w:w="2228" w:type="dxa"/>
            <w:gridSpan w:val="2"/>
            <w:hideMark/>
          </w:tcPr>
          <w:p w14:paraId="594A3295" w14:textId="77777777" w:rsidR="00417F54" w:rsidRPr="003358E7" w:rsidRDefault="00417F54" w:rsidP="00417F54">
            <w:pPr>
              <w:keepNext/>
              <w:spacing w:after="120"/>
              <w:rPr>
                <w:rFonts w:eastAsia="Times New Roman" w:cs="Arial"/>
                <w:b/>
                <w:bCs/>
                <w:color w:val="000000"/>
                <w:sz w:val="20"/>
                <w:szCs w:val="20"/>
                <w:lang w:eastAsia="en-AU"/>
              </w:rPr>
            </w:pPr>
          </w:p>
        </w:tc>
      </w:tr>
      <w:tr w:rsidR="00417F54" w:rsidRPr="003358E7" w14:paraId="13A46FFF"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610628ED" w14:textId="77777777" w:rsidR="00417F54" w:rsidRPr="003358E7" w:rsidRDefault="00417F54" w:rsidP="00417F54">
            <w:pPr>
              <w:keepNext/>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17AG(5)</w:t>
            </w:r>
          </w:p>
        </w:tc>
        <w:tc>
          <w:tcPr>
            <w:tcW w:w="1673" w:type="dxa"/>
            <w:hideMark/>
          </w:tcPr>
          <w:p w14:paraId="3DC53924" w14:textId="102A4921" w:rsidR="00417F54" w:rsidRPr="008D7CCB" w:rsidRDefault="008D7CCB" w:rsidP="00417F54">
            <w:pPr>
              <w:keepNext/>
              <w:spacing w:after="120"/>
              <w:rPr>
                <w:rFonts w:eastAsia="Times New Roman" w:cs="Arial"/>
                <w:bCs/>
                <w:color w:val="000000"/>
                <w:sz w:val="20"/>
                <w:szCs w:val="20"/>
                <w:lang w:eastAsia="en-AU"/>
              </w:rPr>
            </w:pPr>
            <w:r w:rsidRPr="008D7CCB">
              <w:rPr>
                <w:rFonts w:eastAsia="Times New Roman" w:cs="Arial"/>
                <w:bCs/>
                <w:color w:val="000000"/>
                <w:sz w:val="20"/>
                <w:szCs w:val="20"/>
                <w:lang w:eastAsia="en-AU"/>
              </w:rPr>
              <w:t>118</w:t>
            </w:r>
          </w:p>
        </w:tc>
        <w:tc>
          <w:tcPr>
            <w:tcW w:w="3475" w:type="dxa"/>
            <w:hideMark/>
          </w:tcPr>
          <w:p w14:paraId="522DECA6" w14:textId="77777777" w:rsidR="00417F54" w:rsidRPr="003358E7" w:rsidRDefault="00417F54" w:rsidP="00417F54">
            <w:pPr>
              <w:keepNext/>
              <w:spacing w:after="120"/>
              <w:rPr>
                <w:rFonts w:eastAsia="Times New Roman" w:cs="Arial"/>
                <w:color w:val="000000"/>
                <w:sz w:val="20"/>
                <w:szCs w:val="20"/>
                <w:lang w:eastAsia="en-AU"/>
              </w:rPr>
            </w:pPr>
            <w:r w:rsidRPr="003358E7">
              <w:rPr>
                <w:rFonts w:eastAsia="Times New Roman" w:cs="Arial"/>
                <w:color w:val="000000"/>
                <w:sz w:val="20"/>
                <w:szCs w:val="20"/>
                <w:lang w:eastAsia="en-AU"/>
              </w:rPr>
              <w:t>An assessment of effectiveness of assets management where asset management is a significant part of the entity’s activities</w:t>
            </w:r>
          </w:p>
        </w:tc>
        <w:tc>
          <w:tcPr>
            <w:tcW w:w="2228" w:type="dxa"/>
            <w:gridSpan w:val="2"/>
            <w:hideMark/>
          </w:tcPr>
          <w:p w14:paraId="46DC7C96" w14:textId="77777777" w:rsidR="00417F54" w:rsidRPr="003358E7" w:rsidRDefault="00417F54" w:rsidP="00417F54">
            <w:pPr>
              <w:keepNext/>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 xml:space="preserve">If applicable, </w:t>
            </w:r>
            <w:r>
              <w:rPr>
                <w:rFonts w:eastAsia="Times New Roman" w:cs="Arial"/>
                <w:color w:val="000000"/>
                <w:sz w:val="20"/>
                <w:szCs w:val="20"/>
                <w:lang w:eastAsia="en-AU"/>
              </w:rPr>
              <w:t>M</w:t>
            </w:r>
            <w:r w:rsidRPr="003358E7">
              <w:rPr>
                <w:rFonts w:eastAsia="Times New Roman" w:cs="Arial"/>
                <w:color w:val="000000"/>
                <w:sz w:val="20"/>
                <w:szCs w:val="20"/>
                <w:lang w:eastAsia="en-AU"/>
              </w:rPr>
              <w:t>andatory</w:t>
            </w:r>
          </w:p>
        </w:tc>
      </w:tr>
      <w:tr w:rsidR="00417F54" w:rsidRPr="003358E7" w14:paraId="62B8FB36" w14:textId="77777777" w:rsidTr="002D1EA4">
        <w:trPr>
          <w:trHeight w:val="67"/>
        </w:trPr>
        <w:tc>
          <w:tcPr>
            <w:tcW w:w="1575" w:type="dxa"/>
            <w:hideMark/>
          </w:tcPr>
          <w:p w14:paraId="26693386" w14:textId="77777777" w:rsidR="00417F54" w:rsidRPr="003358E7" w:rsidRDefault="00417F54" w:rsidP="00417F54">
            <w:pPr>
              <w:spacing w:after="120"/>
              <w:jc w:val="center"/>
              <w:rPr>
                <w:rFonts w:eastAsia="Times New Roman" w:cs="Arial"/>
                <w:b/>
                <w:bCs/>
                <w:color w:val="000000"/>
                <w:sz w:val="20"/>
                <w:szCs w:val="20"/>
                <w:lang w:eastAsia="en-AU"/>
              </w:rPr>
            </w:pPr>
          </w:p>
        </w:tc>
        <w:tc>
          <w:tcPr>
            <w:tcW w:w="5148" w:type="dxa"/>
            <w:gridSpan w:val="2"/>
            <w:hideMark/>
          </w:tcPr>
          <w:p w14:paraId="2CEA63C3"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b/>
                <w:bCs/>
                <w:i/>
                <w:iCs/>
                <w:color w:val="000000"/>
                <w:sz w:val="20"/>
                <w:szCs w:val="20"/>
                <w:lang w:eastAsia="en-AU"/>
              </w:rPr>
              <w:t>Purchasing</w:t>
            </w:r>
          </w:p>
        </w:tc>
        <w:tc>
          <w:tcPr>
            <w:tcW w:w="2228" w:type="dxa"/>
            <w:gridSpan w:val="2"/>
            <w:hideMark/>
          </w:tcPr>
          <w:p w14:paraId="3701FFA4"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 </w:t>
            </w:r>
          </w:p>
        </w:tc>
      </w:tr>
      <w:tr w:rsidR="00417F54" w:rsidRPr="003358E7" w14:paraId="6F7BC763"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6D8A2F24"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17AG(6)</w:t>
            </w:r>
          </w:p>
        </w:tc>
        <w:tc>
          <w:tcPr>
            <w:tcW w:w="1673" w:type="dxa"/>
            <w:hideMark/>
          </w:tcPr>
          <w:p w14:paraId="3F727C75" w14:textId="1F1E4108" w:rsidR="00417F54" w:rsidRPr="008D7CCB" w:rsidRDefault="008D7CCB" w:rsidP="00417F54">
            <w:pPr>
              <w:spacing w:after="120"/>
              <w:rPr>
                <w:rFonts w:eastAsia="Times New Roman" w:cs="Arial"/>
                <w:bCs/>
                <w:color w:val="000000"/>
                <w:sz w:val="20"/>
                <w:szCs w:val="20"/>
                <w:lang w:eastAsia="en-AU"/>
              </w:rPr>
            </w:pPr>
            <w:r>
              <w:rPr>
                <w:rFonts w:eastAsia="Times New Roman" w:cs="Arial"/>
                <w:bCs/>
                <w:color w:val="000000"/>
                <w:sz w:val="20"/>
                <w:szCs w:val="20"/>
                <w:lang w:eastAsia="en-AU"/>
              </w:rPr>
              <w:t>119</w:t>
            </w:r>
          </w:p>
        </w:tc>
        <w:tc>
          <w:tcPr>
            <w:tcW w:w="3475" w:type="dxa"/>
            <w:hideMark/>
          </w:tcPr>
          <w:p w14:paraId="261D6D5F"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 xml:space="preserve">An assessment of entity performance against the </w:t>
            </w:r>
            <w:r w:rsidRPr="003358E7">
              <w:rPr>
                <w:rFonts w:eastAsia="Times New Roman" w:cs="Arial"/>
                <w:i/>
                <w:iCs/>
                <w:color w:val="000000"/>
                <w:sz w:val="20"/>
                <w:szCs w:val="20"/>
                <w:lang w:eastAsia="en-AU"/>
              </w:rPr>
              <w:t>Commonwealth Procurement Rules</w:t>
            </w:r>
            <w:r w:rsidRPr="003358E7">
              <w:rPr>
                <w:rFonts w:eastAsia="Times New Roman" w:cs="Arial"/>
                <w:color w:val="000000"/>
                <w:sz w:val="20"/>
                <w:szCs w:val="20"/>
                <w:lang w:eastAsia="en-AU"/>
              </w:rPr>
              <w:t>.</w:t>
            </w:r>
          </w:p>
        </w:tc>
        <w:tc>
          <w:tcPr>
            <w:tcW w:w="2228" w:type="dxa"/>
            <w:gridSpan w:val="2"/>
            <w:hideMark/>
          </w:tcPr>
          <w:p w14:paraId="51F99952"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704DD6AA" w14:textId="77777777" w:rsidTr="002D1EA4">
        <w:trPr>
          <w:trHeight w:val="67"/>
        </w:trPr>
        <w:tc>
          <w:tcPr>
            <w:tcW w:w="1575" w:type="dxa"/>
          </w:tcPr>
          <w:p w14:paraId="7A9D10AE" w14:textId="77777777" w:rsidR="00417F54" w:rsidRPr="003358E7" w:rsidRDefault="00417F54" w:rsidP="00417F54">
            <w:pPr>
              <w:spacing w:after="120"/>
              <w:jc w:val="center"/>
              <w:rPr>
                <w:rFonts w:eastAsia="Times New Roman" w:cs="Arial"/>
                <w:b/>
                <w:bCs/>
                <w:color w:val="000000"/>
                <w:sz w:val="20"/>
                <w:szCs w:val="20"/>
                <w:lang w:eastAsia="en-AU"/>
              </w:rPr>
            </w:pPr>
          </w:p>
        </w:tc>
        <w:tc>
          <w:tcPr>
            <w:tcW w:w="5148" w:type="dxa"/>
            <w:gridSpan w:val="2"/>
          </w:tcPr>
          <w:p w14:paraId="7695DCD1"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b/>
                <w:bCs/>
                <w:i/>
                <w:iCs/>
                <w:color w:val="000000"/>
                <w:sz w:val="20"/>
                <w:szCs w:val="20"/>
                <w:lang w:eastAsia="en-AU"/>
              </w:rPr>
              <w:t xml:space="preserve">Consultants </w:t>
            </w:r>
          </w:p>
        </w:tc>
        <w:tc>
          <w:tcPr>
            <w:tcW w:w="2228" w:type="dxa"/>
            <w:gridSpan w:val="2"/>
          </w:tcPr>
          <w:p w14:paraId="6E4536A2" w14:textId="77777777" w:rsidR="00417F54" w:rsidRPr="003358E7" w:rsidRDefault="00417F54" w:rsidP="00417F54">
            <w:pPr>
              <w:spacing w:after="120"/>
              <w:rPr>
                <w:rFonts w:eastAsia="Times New Roman" w:cs="Arial"/>
                <w:b/>
                <w:bCs/>
                <w:color w:val="000000"/>
                <w:sz w:val="20"/>
                <w:szCs w:val="20"/>
                <w:lang w:eastAsia="en-AU"/>
              </w:rPr>
            </w:pPr>
          </w:p>
        </w:tc>
      </w:tr>
      <w:tr w:rsidR="00417F54" w:rsidRPr="003358E7" w14:paraId="349620E8"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tcPr>
          <w:p w14:paraId="753134A9" w14:textId="77777777" w:rsidR="00417F54" w:rsidRPr="003358E7" w:rsidDel="00C3302B" w:rsidRDefault="00417F54" w:rsidP="00417F54">
            <w:pPr>
              <w:spacing w:after="120"/>
              <w:jc w:val="center"/>
              <w:rPr>
                <w:rFonts w:eastAsia="Times New Roman" w:cs="Arial"/>
                <w:color w:val="000000"/>
                <w:sz w:val="20"/>
                <w:szCs w:val="20"/>
                <w:lang w:eastAsia="en-AU"/>
              </w:rPr>
            </w:pPr>
            <w:r w:rsidRPr="003358E7">
              <w:rPr>
                <w:rFonts w:eastAsia="Times New Roman" w:cs="Arial"/>
                <w:color w:val="000000"/>
                <w:sz w:val="20"/>
                <w:szCs w:val="20"/>
                <w:lang w:eastAsia="en-AU"/>
              </w:rPr>
              <w:t>17AG(7)(a)</w:t>
            </w:r>
          </w:p>
        </w:tc>
        <w:tc>
          <w:tcPr>
            <w:tcW w:w="1673" w:type="dxa"/>
          </w:tcPr>
          <w:p w14:paraId="06D97D54" w14:textId="6A6015AC" w:rsidR="00417F54" w:rsidRPr="008D7CCB" w:rsidDel="00C3302B" w:rsidRDefault="008D7CCB" w:rsidP="00417F54">
            <w:pPr>
              <w:spacing w:after="120"/>
              <w:rPr>
                <w:rFonts w:eastAsia="Times New Roman" w:cs="Arial"/>
                <w:color w:val="000000"/>
                <w:sz w:val="20"/>
                <w:szCs w:val="20"/>
                <w:lang w:eastAsia="en-AU"/>
              </w:rPr>
            </w:pPr>
            <w:r>
              <w:rPr>
                <w:rFonts w:eastAsia="Times New Roman" w:cs="Arial"/>
                <w:color w:val="000000"/>
                <w:sz w:val="20"/>
                <w:szCs w:val="20"/>
                <w:lang w:eastAsia="en-AU"/>
              </w:rPr>
              <w:t>118-119, 222</w:t>
            </w:r>
          </w:p>
        </w:tc>
        <w:tc>
          <w:tcPr>
            <w:tcW w:w="3475" w:type="dxa"/>
          </w:tcPr>
          <w:p w14:paraId="60A9C306" w14:textId="77777777" w:rsidR="00417F54" w:rsidRPr="003358E7" w:rsidDel="00C3302B"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A summary statement detailing the number of new contracts engaging consultants entered into during the period; the total actual expenditure on all new consultancy contracts entered into during the period (inclusive of GST); the number of ongoing consultancy contracts that were entered into during a previous reporting period; and the total actual expenditure in the reporting year on the ongoing consultancy contracts (inclusive of GST).</w:t>
            </w:r>
          </w:p>
        </w:tc>
        <w:tc>
          <w:tcPr>
            <w:tcW w:w="2228" w:type="dxa"/>
            <w:gridSpan w:val="2"/>
          </w:tcPr>
          <w:p w14:paraId="6BABB044" w14:textId="77777777" w:rsidR="00417F54" w:rsidRPr="003358E7" w:rsidDel="00C3302B"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22BEE755" w14:textId="77777777" w:rsidTr="002D1EA4">
        <w:trPr>
          <w:trHeight w:val="67"/>
        </w:trPr>
        <w:tc>
          <w:tcPr>
            <w:tcW w:w="1575" w:type="dxa"/>
          </w:tcPr>
          <w:p w14:paraId="7E793606" w14:textId="77777777" w:rsidR="00417F54" w:rsidRPr="003358E7" w:rsidDel="00C3302B" w:rsidRDefault="00417F54" w:rsidP="00417F54">
            <w:pPr>
              <w:spacing w:after="120"/>
              <w:jc w:val="center"/>
              <w:rPr>
                <w:rFonts w:eastAsia="Times New Roman" w:cs="Arial"/>
                <w:color w:val="000000"/>
                <w:sz w:val="20"/>
                <w:szCs w:val="20"/>
                <w:lang w:eastAsia="en-AU"/>
              </w:rPr>
            </w:pPr>
            <w:r w:rsidRPr="003358E7">
              <w:rPr>
                <w:rFonts w:eastAsia="Times New Roman" w:cs="Arial"/>
                <w:color w:val="000000"/>
                <w:sz w:val="20"/>
                <w:szCs w:val="20"/>
                <w:lang w:eastAsia="en-AU"/>
              </w:rPr>
              <w:t>17AG(7)(b)</w:t>
            </w:r>
          </w:p>
        </w:tc>
        <w:tc>
          <w:tcPr>
            <w:tcW w:w="1673" w:type="dxa"/>
          </w:tcPr>
          <w:p w14:paraId="4A74940C" w14:textId="086839FF" w:rsidR="00417F54" w:rsidRPr="003358E7" w:rsidDel="00C3302B" w:rsidRDefault="008D7CCB" w:rsidP="00417F54">
            <w:pPr>
              <w:spacing w:after="120"/>
              <w:rPr>
                <w:rFonts w:eastAsia="Times New Roman" w:cs="Arial"/>
                <w:color w:val="000000"/>
                <w:sz w:val="20"/>
                <w:szCs w:val="20"/>
                <w:lang w:eastAsia="en-AU"/>
              </w:rPr>
            </w:pPr>
            <w:r>
              <w:rPr>
                <w:rFonts w:eastAsia="Times New Roman" w:cs="Arial"/>
                <w:color w:val="000000"/>
                <w:sz w:val="20"/>
                <w:szCs w:val="20"/>
                <w:lang w:eastAsia="en-AU"/>
              </w:rPr>
              <w:t>118-119, 222</w:t>
            </w:r>
          </w:p>
        </w:tc>
        <w:tc>
          <w:tcPr>
            <w:tcW w:w="3475" w:type="dxa"/>
          </w:tcPr>
          <w:p w14:paraId="756076EF" w14:textId="77777777" w:rsidR="00417F54" w:rsidRPr="003358E7" w:rsidDel="00C3302B"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A statement that “</w:t>
            </w:r>
            <w:r w:rsidRPr="003358E7">
              <w:rPr>
                <w:rFonts w:eastAsia="Times New Roman" w:cs="Arial"/>
                <w:i/>
                <w:iCs/>
                <w:color w:val="000000"/>
                <w:sz w:val="20"/>
                <w:szCs w:val="20"/>
                <w:lang w:eastAsia="en-AU"/>
              </w:rPr>
              <w:t>During [reporting period], [specified number] new consultancy contracts were entered into involving total actual expenditure of $[specified million]. In addition, [specified number] ongoing consultancy contracts were active during the period, involving total actual expenditure of $[specified million]</w:t>
            </w:r>
            <w:r w:rsidRPr="003358E7">
              <w:rPr>
                <w:rFonts w:eastAsia="Times New Roman" w:cs="Arial"/>
                <w:color w:val="000000"/>
                <w:sz w:val="20"/>
                <w:szCs w:val="20"/>
                <w:lang w:eastAsia="en-AU"/>
              </w:rPr>
              <w:t>”.</w:t>
            </w:r>
          </w:p>
        </w:tc>
        <w:tc>
          <w:tcPr>
            <w:tcW w:w="2228" w:type="dxa"/>
            <w:gridSpan w:val="2"/>
          </w:tcPr>
          <w:p w14:paraId="10BFA238" w14:textId="77777777" w:rsidR="00417F54" w:rsidRPr="003358E7" w:rsidDel="00C3302B"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1EA74066"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tcPr>
          <w:p w14:paraId="10BD6912" w14:textId="77777777" w:rsidR="00417F54" w:rsidRPr="003358E7" w:rsidDel="00C3302B" w:rsidRDefault="00417F54" w:rsidP="00417F54">
            <w:pPr>
              <w:spacing w:after="120"/>
              <w:jc w:val="center"/>
              <w:rPr>
                <w:rFonts w:eastAsia="Times New Roman" w:cs="Arial"/>
                <w:color w:val="000000"/>
                <w:sz w:val="20"/>
                <w:szCs w:val="20"/>
                <w:lang w:eastAsia="en-AU"/>
              </w:rPr>
            </w:pPr>
            <w:r w:rsidRPr="003358E7">
              <w:rPr>
                <w:rFonts w:eastAsia="Times New Roman" w:cs="Arial"/>
                <w:color w:val="000000"/>
                <w:sz w:val="20"/>
                <w:szCs w:val="20"/>
                <w:lang w:eastAsia="en-AU"/>
              </w:rPr>
              <w:t>17AG(7)(c)</w:t>
            </w:r>
          </w:p>
        </w:tc>
        <w:tc>
          <w:tcPr>
            <w:tcW w:w="1673" w:type="dxa"/>
          </w:tcPr>
          <w:p w14:paraId="04CD717D" w14:textId="45460517" w:rsidR="00417F54" w:rsidRPr="003358E7" w:rsidDel="00C3302B" w:rsidRDefault="008D7CCB" w:rsidP="00417F54">
            <w:pPr>
              <w:spacing w:after="120"/>
              <w:rPr>
                <w:rFonts w:eastAsia="Times New Roman" w:cs="Arial"/>
                <w:color w:val="000000"/>
                <w:sz w:val="20"/>
                <w:szCs w:val="20"/>
                <w:lang w:eastAsia="en-AU"/>
              </w:rPr>
            </w:pPr>
            <w:r>
              <w:rPr>
                <w:rFonts w:eastAsia="Times New Roman" w:cs="Arial"/>
                <w:color w:val="000000"/>
                <w:sz w:val="20"/>
                <w:szCs w:val="20"/>
                <w:lang w:eastAsia="en-AU"/>
              </w:rPr>
              <w:t>118</w:t>
            </w:r>
          </w:p>
        </w:tc>
        <w:tc>
          <w:tcPr>
            <w:tcW w:w="3475" w:type="dxa"/>
          </w:tcPr>
          <w:p w14:paraId="58877584" w14:textId="77777777" w:rsidR="00417F54" w:rsidRPr="003358E7" w:rsidDel="00C3302B"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A summary of the policies and procedures for selecting and engaging consultants and the main categories of purposes for which consultants were selected and engaged.</w:t>
            </w:r>
          </w:p>
        </w:tc>
        <w:tc>
          <w:tcPr>
            <w:tcW w:w="2228" w:type="dxa"/>
            <w:gridSpan w:val="2"/>
          </w:tcPr>
          <w:p w14:paraId="5FB43021" w14:textId="77777777" w:rsidR="00417F54" w:rsidRPr="003358E7" w:rsidDel="00C3302B"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3D27064F" w14:textId="77777777" w:rsidTr="002D1EA4">
        <w:trPr>
          <w:trHeight w:val="67"/>
        </w:trPr>
        <w:tc>
          <w:tcPr>
            <w:tcW w:w="1575" w:type="dxa"/>
          </w:tcPr>
          <w:p w14:paraId="115E5DCD" w14:textId="77777777" w:rsidR="00417F54" w:rsidRPr="003358E7" w:rsidDel="00C3302B" w:rsidRDefault="00417F54" w:rsidP="00417F54">
            <w:pPr>
              <w:spacing w:after="120"/>
              <w:jc w:val="center"/>
              <w:rPr>
                <w:rFonts w:eastAsia="Times New Roman" w:cs="Arial"/>
                <w:color w:val="000000"/>
                <w:sz w:val="20"/>
                <w:szCs w:val="20"/>
                <w:lang w:eastAsia="en-AU"/>
              </w:rPr>
            </w:pPr>
            <w:r w:rsidRPr="003358E7">
              <w:rPr>
                <w:rFonts w:eastAsia="Times New Roman" w:cs="Arial"/>
                <w:color w:val="000000"/>
                <w:sz w:val="20"/>
                <w:szCs w:val="20"/>
                <w:lang w:eastAsia="en-AU"/>
              </w:rPr>
              <w:t>17AG(7)(d)</w:t>
            </w:r>
          </w:p>
        </w:tc>
        <w:tc>
          <w:tcPr>
            <w:tcW w:w="1673" w:type="dxa"/>
          </w:tcPr>
          <w:p w14:paraId="48C1C45C" w14:textId="77531A2B" w:rsidR="00417F54" w:rsidRPr="003358E7" w:rsidDel="00C3302B" w:rsidRDefault="008D7CCB" w:rsidP="008D7CCB">
            <w:pPr>
              <w:spacing w:after="120"/>
              <w:rPr>
                <w:rFonts w:eastAsia="Times New Roman" w:cs="Arial"/>
                <w:color w:val="000000"/>
                <w:sz w:val="20"/>
                <w:szCs w:val="20"/>
                <w:lang w:eastAsia="en-AU"/>
              </w:rPr>
            </w:pPr>
            <w:r>
              <w:rPr>
                <w:rFonts w:eastAsia="Times New Roman" w:cs="Arial"/>
                <w:color w:val="000000"/>
                <w:sz w:val="20"/>
                <w:szCs w:val="20"/>
                <w:lang w:eastAsia="en-AU"/>
              </w:rPr>
              <w:t>118</w:t>
            </w:r>
          </w:p>
        </w:tc>
        <w:tc>
          <w:tcPr>
            <w:tcW w:w="3475" w:type="dxa"/>
          </w:tcPr>
          <w:p w14:paraId="4C96D96F" w14:textId="77777777" w:rsidR="00417F54" w:rsidRPr="003358E7" w:rsidDel="00C3302B"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A statement that “</w:t>
            </w:r>
            <w:r w:rsidRPr="003358E7">
              <w:rPr>
                <w:rFonts w:eastAsia="Times New Roman" w:cs="Arial"/>
                <w:i/>
                <w:iCs/>
                <w:color w:val="000000"/>
                <w:sz w:val="20"/>
                <w:szCs w:val="20"/>
                <w:lang w:eastAsia="en-AU"/>
              </w:rPr>
              <w:t xml:space="preserve">Annual reports contain information about actual expenditure on contracts for consultancies. Information on the value of contracts and consultancies </w:t>
            </w:r>
            <w:r w:rsidRPr="003358E7">
              <w:rPr>
                <w:rFonts w:eastAsia="Times New Roman" w:cs="Arial"/>
                <w:i/>
                <w:iCs/>
                <w:color w:val="000000"/>
                <w:sz w:val="20"/>
                <w:szCs w:val="20"/>
                <w:lang w:eastAsia="en-AU"/>
              </w:rPr>
              <w:lastRenderedPageBreak/>
              <w:t xml:space="preserve">is available on the </w:t>
            </w:r>
            <w:proofErr w:type="spellStart"/>
            <w:r w:rsidRPr="003358E7">
              <w:rPr>
                <w:rFonts w:eastAsia="Times New Roman" w:cs="Arial"/>
                <w:i/>
                <w:iCs/>
                <w:color w:val="000000"/>
                <w:sz w:val="20"/>
                <w:szCs w:val="20"/>
                <w:lang w:eastAsia="en-AU"/>
              </w:rPr>
              <w:t>AusTender</w:t>
            </w:r>
            <w:proofErr w:type="spellEnd"/>
            <w:r w:rsidRPr="003358E7">
              <w:rPr>
                <w:rFonts w:eastAsia="Times New Roman" w:cs="Arial"/>
                <w:i/>
                <w:iCs/>
                <w:color w:val="000000"/>
                <w:sz w:val="20"/>
                <w:szCs w:val="20"/>
                <w:lang w:eastAsia="en-AU"/>
              </w:rPr>
              <w:t xml:space="preserve"> website.</w:t>
            </w:r>
            <w:r w:rsidRPr="003358E7">
              <w:rPr>
                <w:rFonts w:eastAsia="Times New Roman" w:cs="Arial"/>
                <w:color w:val="000000"/>
                <w:sz w:val="20"/>
                <w:szCs w:val="20"/>
                <w:lang w:eastAsia="en-AU"/>
              </w:rPr>
              <w:t>”</w:t>
            </w:r>
          </w:p>
        </w:tc>
        <w:tc>
          <w:tcPr>
            <w:tcW w:w="2228" w:type="dxa"/>
            <w:gridSpan w:val="2"/>
          </w:tcPr>
          <w:p w14:paraId="52205343" w14:textId="77777777" w:rsidR="00417F54" w:rsidRPr="003358E7" w:rsidDel="00C3302B"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lastRenderedPageBreak/>
              <w:t>Mandatory</w:t>
            </w:r>
          </w:p>
        </w:tc>
      </w:tr>
      <w:tr w:rsidR="00417F54" w:rsidRPr="003358E7" w14:paraId="609D4244" w14:textId="77777777" w:rsidTr="002D1EA4">
        <w:trPr>
          <w:cnfStyle w:val="000000010000" w:firstRow="0" w:lastRow="0" w:firstColumn="0" w:lastColumn="0" w:oddVBand="0" w:evenVBand="0" w:oddHBand="0" w:evenHBand="1" w:firstRowFirstColumn="0" w:firstRowLastColumn="0" w:lastRowFirstColumn="0" w:lastRowLastColumn="0"/>
          <w:trHeight w:val="67"/>
        </w:trPr>
        <w:tc>
          <w:tcPr>
            <w:tcW w:w="1575" w:type="dxa"/>
            <w:hideMark/>
          </w:tcPr>
          <w:p w14:paraId="1D29DDCB" w14:textId="77777777" w:rsidR="00417F54" w:rsidRPr="003358E7" w:rsidRDefault="00417F54" w:rsidP="00417F54">
            <w:pPr>
              <w:spacing w:after="120"/>
              <w:jc w:val="center"/>
              <w:rPr>
                <w:rFonts w:eastAsia="Times New Roman" w:cs="Arial"/>
                <w:b/>
                <w:bCs/>
                <w:color w:val="000000"/>
                <w:sz w:val="20"/>
                <w:szCs w:val="20"/>
                <w:lang w:eastAsia="en-AU"/>
              </w:rPr>
            </w:pPr>
          </w:p>
        </w:tc>
        <w:tc>
          <w:tcPr>
            <w:tcW w:w="5148" w:type="dxa"/>
            <w:gridSpan w:val="2"/>
            <w:hideMark/>
          </w:tcPr>
          <w:p w14:paraId="6A2E6718"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b/>
                <w:bCs/>
                <w:i/>
                <w:iCs/>
                <w:color w:val="000000"/>
                <w:sz w:val="20"/>
                <w:szCs w:val="20"/>
                <w:lang w:eastAsia="en-AU"/>
              </w:rPr>
              <w:t>Australian National Audit Office Access Clauses</w:t>
            </w:r>
          </w:p>
        </w:tc>
        <w:tc>
          <w:tcPr>
            <w:tcW w:w="2228" w:type="dxa"/>
            <w:gridSpan w:val="2"/>
            <w:hideMark/>
          </w:tcPr>
          <w:p w14:paraId="11360652" w14:textId="77777777" w:rsidR="00417F54" w:rsidRPr="003358E7" w:rsidRDefault="00417F54" w:rsidP="00417F54">
            <w:pPr>
              <w:spacing w:after="120"/>
              <w:rPr>
                <w:rFonts w:eastAsia="Times New Roman" w:cs="Arial"/>
                <w:b/>
                <w:bCs/>
                <w:color w:val="000000"/>
                <w:sz w:val="20"/>
                <w:szCs w:val="20"/>
                <w:lang w:eastAsia="en-AU"/>
              </w:rPr>
            </w:pPr>
          </w:p>
        </w:tc>
      </w:tr>
      <w:tr w:rsidR="00417F54" w:rsidRPr="003358E7" w14:paraId="4B6FEE1F" w14:textId="77777777" w:rsidTr="002D1EA4">
        <w:trPr>
          <w:trHeight w:val="2364"/>
        </w:trPr>
        <w:tc>
          <w:tcPr>
            <w:tcW w:w="1575" w:type="dxa"/>
            <w:hideMark/>
          </w:tcPr>
          <w:p w14:paraId="0C0419AD"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17AG(8)</w:t>
            </w:r>
          </w:p>
        </w:tc>
        <w:tc>
          <w:tcPr>
            <w:tcW w:w="1673" w:type="dxa"/>
            <w:hideMark/>
          </w:tcPr>
          <w:p w14:paraId="1A6F437F" w14:textId="299C8D79" w:rsidR="00417F54" w:rsidRPr="008D7CCB" w:rsidRDefault="008D7CCB" w:rsidP="008D7CCB">
            <w:pPr>
              <w:spacing w:after="120"/>
              <w:rPr>
                <w:rFonts w:eastAsia="Times New Roman" w:cs="Arial"/>
                <w:bCs/>
                <w:color w:val="000000"/>
                <w:sz w:val="20"/>
                <w:szCs w:val="20"/>
                <w:lang w:eastAsia="en-AU"/>
              </w:rPr>
            </w:pPr>
            <w:r>
              <w:rPr>
                <w:rFonts w:eastAsia="Times New Roman" w:cs="Arial"/>
                <w:bCs/>
                <w:color w:val="000000"/>
                <w:sz w:val="20"/>
                <w:szCs w:val="20"/>
                <w:lang w:eastAsia="en-AU"/>
              </w:rPr>
              <w:t>N/A</w:t>
            </w:r>
          </w:p>
        </w:tc>
        <w:tc>
          <w:tcPr>
            <w:tcW w:w="3475" w:type="dxa"/>
            <w:hideMark/>
          </w:tcPr>
          <w:p w14:paraId="397D2F3C" w14:textId="77777777" w:rsidR="00417F54" w:rsidRPr="003358E7"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If an entity entered into a contract with a value of more than $100</w:t>
            </w:r>
            <w:r>
              <w:rPr>
                <w:rFonts w:eastAsia="Times New Roman" w:cs="Arial"/>
                <w:color w:val="000000"/>
                <w:sz w:val="20"/>
                <w:szCs w:val="20"/>
                <w:lang w:eastAsia="en-AU"/>
              </w:rPr>
              <w:t>,</w:t>
            </w:r>
            <w:r w:rsidRPr="003358E7">
              <w:rPr>
                <w:rFonts w:eastAsia="Times New Roman" w:cs="Arial"/>
                <w:color w:val="000000"/>
                <w:sz w:val="20"/>
                <w:szCs w:val="20"/>
                <w:lang w:eastAsia="en-AU"/>
              </w:rPr>
              <w:t>000 (inclusive of GST) and the contract did not provide the Auditor</w:t>
            </w:r>
            <w:r w:rsidRPr="003358E7">
              <w:rPr>
                <w:rFonts w:eastAsia="Times New Roman" w:cs="Arial"/>
                <w:color w:val="000000"/>
                <w:sz w:val="20"/>
                <w:szCs w:val="20"/>
                <w:lang w:eastAsia="en-AU"/>
              </w:rPr>
              <w:noBreakHyphen/>
              <w:t>General with access to the contractor’s premises, the report must include the name of the contractor, purpose and value of the contract, and the reason why a clause allowing access was not included in the contract.</w:t>
            </w:r>
          </w:p>
        </w:tc>
        <w:tc>
          <w:tcPr>
            <w:tcW w:w="2228" w:type="dxa"/>
            <w:gridSpan w:val="2"/>
            <w:hideMark/>
          </w:tcPr>
          <w:p w14:paraId="1289F14F" w14:textId="77777777" w:rsidR="00417F54" w:rsidRPr="003358E7"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If applicable, Mandatory</w:t>
            </w:r>
          </w:p>
          <w:p w14:paraId="50FB1560" w14:textId="77777777" w:rsidR="00417F54" w:rsidRPr="003358E7" w:rsidRDefault="00417F54" w:rsidP="00417F54">
            <w:pPr>
              <w:spacing w:after="120"/>
              <w:rPr>
                <w:rFonts w:eastAsia="Times New Roman" w:cs="Arial"/>
                <w:b/>
                <w:bCs/>
                <w:color w:val="000000"/>
                <w:sz w:val="20"/>
                <w:szCs w:val="20"/>
                <w:lang w:eastAsia="en-AU"/>
              </w:rPr>
            </w:pPr>
          </w:p>
        </w:tc>
      </w:tr>
      <w:tr w:rsidR="00417F54" w:rsidRPr="003358E7" w14:paraId="1ED52FFD" w14:textId="77777777" w:rsidTr="002D1EA4">
        <w:trPr>
          <w:gridAfter w:val="1"/>
          <w:cnfStyle w:val="000000010000" w:firstRow="0" w:lastRow="0" w:firstColumn="0" w:lastColumn="0" w:oddVBand="0" w:evenVBand="0" w:oddHBand="0" w:evenHBand="1" w:firstRowFirstColumn="0" w:firstRowLastColumn="0" w:lastRowFirstColumn="0" w:lastRowLastColumn="0"/>
          <w:wAfter w:w="12" w:type="dxa"/>
          <w:trHeight w:val="67"/>
        </w:trPr>
        <w:tc>
          <w:tcPr>
            <w:tcW w:w="1575" w:type="dxa"/>
            <w:hideMark/>
          </w:tcPr>
          <w:p w14:paraId="200F0AD5" w14:textId="77777777" w:rsidR="00417F54" w:rsidRPr="003358E7" w:rsidRDefault="00417F54" w:rsidP="00417F54">
            <w:pPr>
              <w:spacing w:after="120"/>
              <w:jc w:val="center"/>
              <w:rPr>
                <w:rFonts w:eastAsia="Times New Roman" w:cs="Arial"/>
                <w:b/>
                <w:bCs/>
                <w:color w:val="000000"/>
                <w:sz w:val="20"/>
                <w:szCs w:val="20"/>
                <w:lang w:eastAsia="en-AU"/>
              </w:rPr>
            </w:pPr>
          </w:p>
        </w:tc>
        <w:tc>
          <w:tcPr>
            <w:tcW w:w="5148" w:type="dxa"/>
            <w:gridSpan w:val="2"/>
            <w:hideMark/>
          </w:tcPr>
          <w:p w14:paraId="7C1F529C"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b/>
                <w:bCs/>
                <w:i/>
                <w:iCs/>
                <w:color w:val="000000"/>
                <w:sz w:val="20"/>
                <w:szCs w:val="20"/>
                <w:lang w:eastAsia="en-AU"/>
              </w:rPr>
              <w:t>Exempt contracts</w:t>
            </w:r>
          </w:p>
        </w:tc>
        <w:tc>
          <w:tcPr>
            <w:tcW w:w="2216" w:type="dxa"/>
            <w:hideMark/>
          </w:tcPr>
          <w:p w14:paraId="58B12494" w14:textId="77777777" w:rsidR="00417F54" w:rsidRPr="003358E7" w:rsidRDefault="00417F54" w:rsidP="00417F54">
            <w:pPr>
              <w:spacing w:after="120"/>
              <w:rPr>
                <w:rFonts w:eastAsia="Times New Roman" w:cs="Arial"/>
                <w:b/>
                <w:bCs/>
                <w:color w:val="000000"/>
                <w:sz w:val="20"/>
                <w:szCs w:val="20"/>
                <w:lang w:eastAsia="en-AU"/>
              </w:rPr>
            </w:pPr>
          </w:p>
        </w:tc>
      </w:tr>
      <w:tr w:rsidR="00417F54" w:rsidRPr="003358E7" w14:paraId="0CB8D894" w14:textId="77777777" w:rsidTr="002D1EA4">
        <w:trPr>
          <w:gridAfter w:val="1"/>
          <w:wAfter w:w="12" w:type="dxa"/>
          <w:trHeight w:val="67"/>
        </w:trPr>
        <w:tc>
          <w:tcPr>
            <w:tcW w:w="1575" w:type="dxa"/>
            <w:hideMark/>
          </w:tcPr>
          <w:p w14:paraId="739EB7CD"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17AG(9)</w:t>
            </w:r>
          </w:p>
        </w:tc>
        <w:tc>
          <w:tcPr>
            <w:tcW w:w="1673" w:type="dxa"/>
            <w:hideMark/>
          </w:tcPr>
          <w:p w14:paraId="5E32E97A" w14:textId="5FAD4407" w:rsidR="00417F54" w:rsidRPr="003358E7" w:rsidRDefault="008D7CCB" w:rsidP="00417F54">
            <w:pPr>
              <w:spacing w:after="120"/>
              <w:rPr>
                <w:rFonts w:eastAsia="Times New Roman" w:cs="Arial"/>
                <w:b/>
                <w:bCs/>
                <w:color w:val="000000"/>
                <w:sz w:val="20"/>
                <w:szCs w:val="20"/>
                <w:lang w:eastAsia="en-AU"/>
              </w:rPr>
            </w:pPr>
            <w:r>
              <w:rPr>
                <w:rFonts w:eastAsia="Times New Roman" w:cs="Arial"/>
                <w:bCs/>
                <w:color w:val="000000"/>
                <w:sz w:val="20"/>
                <w:szCs w:val="20"/>
                <w:lang w:eastAsia="en-AU"/>
              </w:rPr>
              <w:t>N/A</w:t>
            </w:r>
            <w:r w:rsidRPr="003358E7">
              <w:rPr>
                <w:rFonts w:eastAsia="Times New Roman" w:cs="Arial"/>
                <w:b/>
                <w:bCs/>
                <w:color w:val="000000"/>
                <w:sz w:val="20"/>
                <w:szCs w:val="20"/>
                <w:lang w:eastAsia="en-AU"/>
              </w:rPr>
              <w:t xml:space="preserve"> </w:t>
            </w:r>
          </w:p>
        </w:tc>
        <w:tc>
          <w:tcPr>
            <w:tcW w:w="3475" w:type="dxa"/>
            <w:hideMark/>
          </w:tcPr>
          <w:p w14:paraId="6233D7F1"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If an entity entered into a contract or there is a standing offer with a value greater than $10</w:t>
            </w:r>
            <w:r>
              <w:rPr>
                <w:rFonts w:eastAsia="Times New Roman" w:cs="Arial"/>
                <w:color w:val="000000"/>
                <w:sz w:val="20"/>
                <w:szCs w:val="20"/>
                <w:lang w:eastAsia="en-AU"/>
              </w:rPr>
              <w:t>,</w:t>
            </w:r>
            <w:r w:rsidRPr="003358E7">
              <w:rPr>
                <w:rFonts w:eastAsia="Times New Roman" w:cs="Arial"/>
                <w:color w:val="000000"/>
                <w:sz w:val="20"/>
                <w:szCs w:val="20"/>
                <w:lang w:eastAsia="en-AU"/>
              </w:rPr>
              <w:t xml:space="preserve">000 (inclusive of GST) which has been exempted from being published in </w:t>
            </w:r>
            <w:proofErr w:type="spellStart"/>
            <w:r w:rsidRPr="003358E7">
              <w:rPr>
                <w:rFonts w:eastAsia="Times New Roman" w:cs="Arial"/>
                <w:color w:val="000000"/>
                <w:sz w:val="20"/>
                <w:szCs w:val="20"/>
                <w:lang w:eastAsia="en-AU"/>
              </w:rPr>
              <w:t>AusTender</w:t>
            </w:r>
            <w:proofErr w:type="spellEnd"/>
            <w:r w:rsidRPr="003358E7">
              <w:rPr>
                <w:rFonts w:eastAsia="Times New Roman" w:cs="Arial"/>
                <w:color w:val="000000"/>
                <w:sz w:val="20"/>
                <w:szCs w:val="20"/>
                <w:lang w:eastAsia="en-AU"/>
              </w:rPr>
              <w:t xml:space="preserve">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2216" w:type="dxa"/>
            <w:hideMark/>
          </w:tcPr>
          <w:p w14:paraId="79F02498"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If applicable, Mandatory</w:t>
            </w:r>
          </w:p>
        </w:tc>
      </w:tr>
      <w:tr w:rsidR="00417F54" w:rsidRPr="003358E7" w14:paraId="2E743E0D" w14:textId="77777777" w:rsidTr="002D1EA4">
        <w:trPr>
          <w:gridAfter w:val="1"/>
          <w:cnfStyle w:val="000000010000" w:firstRow="0" w:lastRow="0" w:firstColumn="0" w:lastColumn="0" w:oddVBand="0" w:evenVBand="0" w:oddHBand="0" w:evenHBand="1" w:firstRowFirstColumn="0" w:firstRowLastColumn="0" w:lastRowFirstColumn="0" w:lastRowLastColumn="0"/>
          <w:wAfter w:w="12" w:type="dxa"/>
          <w:trHeight w:val="67"/>
        </w:trPr>
        <w:tc>
          <w:tcPr>
            <w:tcW w:w="1575" w:type="dxa"/>
            <w:hideMark/>
          </w:tcPr>
          <w:p w14:paraId="2A5954E6" w14:textId="77777777" w:rsidR="00417F54" w:rsidRPr="003358E7" w:rsidRDefault="00417F54" w:rsidP="00417F54">
            <w:pPr>
              <w:keepNext/>
              <w:spacing w:after="120"/>
              <w:jc w:val="center"/>
              <w:rPr>
                <w:rFonts w:eastAsia="Times New Roman" w:cs="Arial"/>
                <w:b/>
                <w:bCs/>
                <w:color w:val="000000"/>
                <w:sz w:val="20"/>
                <w:szCs w:val="20"/>
                <w:lang w:eastAsia="en-AU"/>
              </w:rPr>
            </w:pPr>
          </w:p>
        </w:tc>
        <w:tc>
          <w:tcPr>
            <w:tcW w:w="5148" w:type="dxa"/>
            <w:gridSpan w:val="2"/>
            <w:hideMark/>
          </w:tcPr>
          <w:p w14:paraId="401AB8B2" w14:textId="77777777" w:rsidR="00417F54" w:rsidRPr="003358E7" w:rsidRDefault="00417F54" w:rsidP="00417F54">
            <w:pPr>
              <w:keepNext/>
              <w:spacing w:after="120"/>
              <w:rPr>
                <w:rFonts w:eastAsia="Times New Roman" w:cs="Arial"/>
                <w:b/>
                <w:bCs/>
                <w:color w:val="000000"/>
                <w:sz w:val="20"/>
                <w:szCs w:val="20"/>
                <w:lang w:eastAsia="en-AU"/>
              </w:rPr>
            </w:pPr>
            <w:r w:rsidRPr="003358E7">
              <w:rPr>
                <w:rFonts w:eastAsia="Times New Roman" w:cs="Arial"/>
                <w:b/>
                <w:bCs/>
                <w:i/>
                <w:iCs/>
                <w:color w:val="000000"/>
                <w:sz w:val="20"/>
                <w:szCs w:val="20"/>
                <w:lang w:eastAsia="en-AU"/>
              </w:rPr>
              <w:t>Small business</w:t>
            </w:r>
          </w:p>
        </w:tc>
        <w:tc>
          <w:tcPr>
            <w:tcW w:w="2216" w:type="dxa"/>
            <w:hideMark/>
          </w:tcPr>
          <w:p w14:paraId="5C2C66E5" w14:textId="77777777" w:rsidR="00417F54" w:rsidRPr="003358E7" w:rsidRDefault="00417F54" w:rsidP="00417F54">
            <w:pPr>
              <w:keepNext/>
              <w:spacing w:after="120"/>
              <w:rPr>
                <w:rFonts w:eastAsia="Times New Roman" w:cs="Arial"/>
                <w:b/>
                <w:bCs/>
                <w:color w:val="000000"/>
                <w:sz w:val="20"/>
                <w:szCs w:val="20"/>
                <w:lang w:eastAsia="en-AU"/>
              </w:rPr>
            </w:pPr>
          </w:p>
        </w:tc>
      </w:tr>
      <w:tr w:rsidR="00417F54" w:rsidRPr="003358E7" w14:paraId="782F74DA" w14:textId="77777777" w:rsidTr="008D7CCB">
        <w:trPr>
          <w:gridAfter w:val="1"/>
          <w:wAfter w:w="12" w:type="dxa"/>
          <w:trHeight w:val="67"/>
        </w:trPr>
        <w:tc>
          <w:tcPr>
            <w:tcW w:w="1575" w:type="dxa"/>
            <w:hideMark/>
          </w:tcPr>
          <w:p w14:paraId="3C7D50EA" w14:textId="77777777" w:rsidR="00417F54" w:rsidRPr="003358E7" w:rsidRDefault="00417F54" w:rsidP="00417F54">
            <w:pPr>
              <w:keepNext/>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17AG(10)(a)</w:t>
            </w:r>
          </w:p>
        </w:tc>
        <w:tc>
          <w:tcPr>
            <w:tcW w:w="1673" w:type="dxa"/>
          </w:tcPr>
          <w:p w14:paraId="714173F3" w14:textId="4E5238BA" w:rsidR="00417F54" w:rsidRPr="008D7CCB" w:rsidRDefault="008D7CCB" w:rsidP="00417F54">
            <w:pPr>
              <w:keepNext/>
              <w:spacing w:after="120"/>
              <w:rPr>
                <w:rFonts w:eastAsia="Times New Roman" w:cs="Arial"/>
                <w:bCs/>
                <w:color w:val="000000"/>
                <w:sz w:val="20"/>
                <w:szCs w:val="20"/>
                <w:lang w:eastAsia="en-AU"/>
              </w:rPr>
            </w:pPr>
            <w:r>
              <w:rPr>
                <w:rFonts w:eastAsia="Times New Roman" w:cs="Arial"/>
                <w:bCs/>
                <w:color w:val="000000"/>
                <w:sz w:val="20"/>
                <w:szCs w:val="20"/>
                <w:lang w:eastAsia="en-AU"/>
              </w:rPr>
              <w:t>119-120</w:t>
            </w:r>
          </w:p>
        </w:tc>
        <w:tc>
          <w:tcPr>
            <w:tcW w:w="3475" w:type="dxa"/>
            <w:hideMark/>
          </w:tcPr>
          <w:p w14:paraId="770A2424" w14:textId="77777777" w:rsidR="00417F54" w:rsidRPr="003358E7" w:rsidRDefault="00417F54" w:rsidP="00417F54">
            <w:pPr>
              <w:keepNext/>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 statement that</w:t>
            </w:r>
            <w:r>
              <w:rPr>
                <w:rFonts w:eastAsia="Times New Roman" w:cs="Arial"/>
                <w:color w:val="000000"/>
                <w:sz w:val="20"/>
                <w:szCs w:val="20"/>
                <w:lang w:eastAsia="en-AU"/>
              </w:rPr>
              <w:t xml:space="preserve"> </w:t>
            </w:r>
            <w:r w:rsidRPr="003358E7">
              <w:rPr>
                <w:rFonts w:eastAsia="Times New Roman" w:cs="Arial"/>
                <w:i/>
                <w:iCs/>
                <w:color w:val="000000"/>
                <w:sz w:val="20"/>
                <w:szCs w:val="20"/>
                <w:lang w:eastAsia="en-AU"/>
              </w:rPr>
              <w:t>“[Name of entity] supports small business participation in the Commonwealth Government procurement market. Small and Medium Enterprises (SME) and Small Enterprise participation statistics are available on the Department of Finance’s website.”</w:t>
            </w:r>
          </w:p>
        </w:tc>
        <w:tc>
          <w:tcPr>
            <w:tcW w:w="2216" w:type="dxa"/>
            <w:hideMark/>
          </w:tcPr>
          <w:p w14:paraId="5B196473" w14:textId="77777777" w:rsidR="00417F54" w:rsidRPr="003358E7" w:rsidRDefault="00417F54" w:rsidP="00417F54">
            <w:pPr>
              <w:keepNext/>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53834FD8" w14:textId="77777777" w:rsidTr="008D7CCB">
        <w:trPr>
          <w:gridAfter w:val="1"/>
          <w:cnfStyle w:val="000000010000" w:firstRow="0" w:lastRow="0" w:firstColumn="0" w:lastColumn="0" w:oddVBand="0" w:evenVBand="0" w:oddHBand="0" w:evenHBand="1" w:firstRowFirstColumn="0" w:firstRowLastColumn="0" w:lastRowFirstColumn="0" w:lastRowLastColumn="0"/>
          <w:wAfter w:w="12" w:type="dxa"/>
          <w:trHeight w:val="67"/>
        </w:trPr>
        <w:tc>
          <w:tcPr>
            <w:tcW w:w="1575" w:type="dxa"/>
            <w:hideMark/>
          </w:tcPr>
          <w:p w14:paraId="4FA2D0AC"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17AG(10)(b)</w:t>
            </w:r>
          </w:p>
        </w:tc>
        <w:tc>
          <w:tcPr>
            <w:tcW w:w="1673" w:type="dxa"/>
          </w:tcPr>
          <w:p w14:paraId="1D8EBA1A" w14:textId="540F0CF2" w:rsidR="00417F54" w:rsidRPr="00357CAD" w:rsidRDefault="008D7CCB" w:rsidP="00417F54">
            <w:pPr>
              <w:spacing w:after="120"/>
              <w:rPr>
                <w:rFonts w:eastAsia="Times New Roman" w:cs="Arial"/>
                <w:i/>
                <w:color w:val="000000"/>
                <w:sz w:val="20"/>
                <w:szCs w:val="20"/>
                <w:lang w:eastAsia="en-AU"/>
              </w:rPr>
            </w:pPr>
            <w:r>
              <w:rPr>
                <w:rFonts w:eastAsia="Times New Roman" w:cs="Arial"/>
                <w:bCs/>
                <w:color w:val="000000"/>
                <w:sz w:val="20"/>
                <w:szCs w:val="20"/>
                <w:lang w:eastAsia="en-AU"/>
              </w:rPr>
              <w:t>119-120</w:t>
            </w:r>
          </w:p>
        </w:tc>
        <w:tc>
          <w:tcPr>
            <w:tcW w:w="3475" w:type="dxa"/>
            <w:hideMark/>
          </w:tcPr>
          <w:p w14:paraId="07864C0B"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An outline of the ways in which the procurement practices of the entity support small and medium enterprises.</w:t>
            </w:r>
          </w:p>
        </w:tc>
        <w:tc>
          <w:tcPr>
            <w:tcW w:w="2216" w:type="dxa"/>
            <w:hideMark/>
          </w:tcPr>
          <w:p w14:paraId="461FF83E"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715FF5B0" w14:textId="77777777" w:rsidTr="008D7CCB">
        <w:trPr>
          <w:gridAfter w:val="1"/>
          <w:wAfter w:w="12" w:type="dxa"/>
          <w:trHeight w:val="67"/>
        </w:trPr>
        <w:tc>
          <w:tcPr>
            <w:tcW w:w="1575" w:type="dxa"/>
            <w:hideMark/>
          </w:tcPr>
          <w:p w14:paraId="6F9AEBD4"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17AG(10)(c)</w:t>
            </w:r>
          </w:p>
        </w:tc>
        <w:tc>
          <w:tcPr>
            <w:tcW w:w="1673" w:type="dxa"/>
          </w:tcPr>
          <w:p w14:paraId="750E8635" w14:textId="3AECB9FB" w:rsidR="00417F54" w:rsidRPr="00357CAD" w:rsidRDefault="008D7CCB" w:rsidP="00417F54">
            <w:pPr>
              <w:spacing w:after="120"/>
              <w:rPr>
                <w:rFonts w:eastAsia="Times New Roman" w:cs="Arial"/>
                <w:i/>
                <w:color w:val="000000"/>
                <w:sz w:val="20"/>
                <w:szCs w:val="20"/>
                <w:lang w:eastAsia="en-AU"/>
              </w:rPr>
            </w:pPr>
            <w:r>
              <w:rPr>
                <w:rFonts w:eastAsia="Times New Roman" w:cs="Arial"/>
                <w:bCs/>
                <w:color w:val="000000"/>
                <w:sz w:val="20"/>
                <w:szCs w:val="20"/>
                <w:lang w:eastAsia="en-AU"/>
              </w:rPr>
              <w:t>119-120</w:t>
            </w:r>
          </w:p>
        </w:tc>
        <w:tc>
          <w:tcPr>
            <w:tcW w:w="3475" w:type="dxa"/>
            <w:hideMark/>
          </w:tcPr>
          <w:p w14:paraId="493F9D6F"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If the entity is considered by the Department administered by the Finance Minister as material in nature—a statement that “</w:t>
            </w:r>
            <w:r w:rsidRPr="003358E7">
              <w:rPr>
                <w:rFonts w:eastAsia="Times New Roman" w:cs="Arial"/>
                <w:i/>
                <w:iCs/>
                <w:color w:val="000000"/>
                <w:sz w:val="20"/>
                <w:szCs w:val="20"/>
                <w:lang w:eastAsia="en-AU"/>
              </w:rPr>
              <w:t>[Name of entity] recognises the importance of ensuring that small businesses are paid on time. The results of the Survey of Australian Government Payments to Small Business are available on the Treasury’s website</w:t>
            </w:r>
            <w:r w:rsidRPr="003358E7">
              <w:rPr>
                <w:rFonts w:eastAsia="Times New Roman" w:cs="Arial"/>
                <w:color w:val="000000"/>
                <w:sz w:val="20"/>
                <w:szCs w:val="20"/>
                <w:lang w:eastAsia="en-AU"/>
              </w:rPr>
              <w:t>.”</w:t>
            </w:r>
          </w:p>
        </w:tc>
        <w:tc>
          <w:tcPr>
            <w:tcW w:w="2216" w:type="dxa"/>
            <w:hideMark/>
          </w:tcPr>
          <w:p w14:paraId="288780AB"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If applicable, Mandatory</w:t>
            </w:r>
          </w:p>
        </w:tc>
      </w:tr>
      <w:tr w:rsidR="00417F54" w:rsidRPr="003358E7" w14:paraId="0B77D065" w14:textId="77777777" w:rsidTr="002D1EA4">
        <w:trPr>
          <w:gridAfter w:val="1"/>
          <w:cnfStyle w:val="000000010000" w:firstRow="0" w:lastRow="0" w:firstColumn="0" w:lastColumn="0" w:oddVBand="0" w:evenVBand="0" w:oddHBand="0" w:evenHBand="1" w:firstRowFirstColumn="0" w:firstRowLastColumn="0" w:lastRowFirstColumn="0" w:lastRowLastColumn="0"/>
          <w:wAfter w:w="12" w:type="dxa"/>
          <w:trHeight w:val="67"/>
        </w:trPr>
        <w:tc>
          <w:tcPr>
            <w:tcW w:w="1575" w:type="dxa"/>
            <w:hideMark/>
          </w:tcPr>
          <w:p w14:paraId="09614B6A" w14:textId="77777777" w:rsidR="00417F54" w:rsidRPr="003358E7" w:rsidRDefault="00417F54" w:rsidP="00417F54">
            <w:pPr>
              <w:spacing w:after="120"/>
              <w:jc w:val="center"/>
              <w:rPr>
                <w:rFonts w:eastAsia="Times New Roman" w:cs="Arial"/>
                <w:b/>
                <w:bCs/>
                <w:color w:val="000000"/>
                <w:sz w:val="20"/>
                <w:szCs w:val="20"/>
                <w:lang w:eastAsia="en-AU"/>
              </w:rPr>
            </w:pPr>
          </w:p>
        </w:tc>
        <w:tc>
          <w:tcPr>
            <w:tcW w:w="5148" w:type="dxa"/>
            <w:gridSpan w:val="2"/>
            <w:hideMark/>
          </w:tcPr>
          <w:p w14:paraId="7496D954"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b/>
                <w:bCs/>
                <w:i/>
                <w:iCs/>
                <w:color w:val="000000"/>
                <w:sz w:val="20"/>
                <w:szCs w:val="20"/>
                <w:lang w:eastAsia="en-AU"/>
              </w:rPr>
              <w:t>Financial Statements</w:t>
            </w:r>
          </w:p>
        </w:tc>
        <w:tc>
          <w:tcPr>
            <w:tcW w:w="2216" w:type="dxa"/>
            <w:hideMark/>
          </w:tcPr>
          <w:p w14:paraId="5A1C51B7" w14:textId="77777777" w:rsidR="00417F54" w:rsidRPr="003358E7" w:rsidRDefault="00417F54" w:rsidP="00417F54">
            <w:pPr>
              <w:spacing w:after="120"/>
              <w:rPr>
                <w:rFonts w:eastAsia="Times New Roman" w:cs="Arial"/>
                <w:b/>
                <w:bCs/>
                <w:color w:val="000000"/>
                <w:sz w:val="20"/>
                <w:szCs w:val="20"/>
                <w:lang w:eastAsia="en-AU"/>
              </w:rPr>
            </w:pPr>
          </w:p>
        </w:tc>
      </w:tr>
      <w:tr w:rsidR="00417F54" w:rsidRPr="003358E7" w14:paraId="5196979E" w14:textId="77777777" w:rsidTr="002D1EA4">
        <w:trPr>
          <w:gridAfter w:val="1"/>
          <w:wAfter w:w="12" w:type="dxa"/>
          <w:trHeight w:val="67"/>
        </w:trPr>
        <w:tc>
          <w:tcPr>
            <w:tcW w:w="1575" w:type="dxa"/>
            <w:hideMark/>
          </w:tcPr>
          <w:p w14:paraId="0E827049"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lastRenderedPageBreak/>
              <w:t>17AD(e)</w:t>
            </w:r>
          </w:p>
        </w:tc>
        <w:tc>
          <w:tcPr>
            <w:tcW w:w="1673" w:type="dxa"/>
            <w:hideMark/>
          </w:tcPr>
          <w:p w14:paraId="3D1A5FD6" w14:textId="275D23C5" w:rsidR="00417F54" w:rsidRPr="008D7CCB" w:rsidRDefault="008D7CCB" w:rsidP="00417F54">
            <w:pPr>
              <w:spacing w:after="120"/>
              <w:rPr>
                <w:rFonts w:eastAsia="Times New Roman" w:cs="Arial"/>
                <w:bCs/>
                <w:color w:val="000000"/>
                <w:sz w:val="20"/>
                <w:szCs w:val="20"/>
                <w:lang w:eastAsia="en-AU"/>
              </w:rPr>
            </w:pPr>
            <w:r w:rsidRPr="008D7CCB">
              <w:rPr>
                <w:rFonts w:eastAsia="Times New Roman" w:cs="Arial"/>
                <w:bCs/>
                <w:color w:val="000000"/>
                <w:sz w:val="20"/>
                <w:szCs w:val="20"/>
                <w:lang w:eastAsia="en-AU"/>
              </w:rPr>
              <w:t>122-178</w:t>
            </w:r>
          </w:p>
        </w:tc>
        <w:tc>
          <w:tcPr>
            <w:tcW w:w="3475" w:type="dxa"/>
            <w:hideMark/>
          </w:tcPr>
          <w:p w14:paraId="37DB5AE0"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Inclusion of the annual financial statements in accordance with subsection</w:t>
            </w:r>
            <w:r>
              <w:rPr>
                <w:rFonts w:eastAsia="Times New Roman" w:cs="Arial"/>
                <w:color w:val="000000"/>
                <w:sz w:val="20"/>
                <w:szCs w:val="20"/>
                <w:lang w:eastAsia="en-AU"/>
              </w:rPr>
              <w:t xml:space="preserve"> </w:t>
            </w:r>
            <w:r w:rsidRPr="003358E7">
              <w:rPr>
                <w:rFonts w:eastAsia="Times New Roman" w:cs="Arial"/>
                <w:color w:val="000000"/>
                <w:sz w:val="20"/>
                <w:szCs w:val="20"/>
                <w:lang w:eastAsia="en-AU"/>
              </w:rPr>
              <w:t>43(4) of the Act.</w:t>
            </w:r>
          </w:p>
        </w:tc>
        <w:tc>
          <w:tcPr>
            <w:tcW w:w="2216" w:type="dxa"/>
            <w:hideMark/>
          </w:tcPr>
          <w:p w14:paraId="753A1DCF"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2DCA1C95" w14:textId="77777777" w:rsidTr="002D1EA4">
        <w:trPr>
          <w:gridAfter w:val="1"/>
          <w:cnfStyle w:val="000000010000" w:firstRow="0" w:lastRow="0" w:firstColumn="0" w:lastColumn="0" w:oddVBand="0" w:evenVBand="0" w:oddHBand="0" w:evenHBand="1" w:firstRowFirstColumn="0" w:firstRowLastColumn="0" w:lastRowFirstColumn="0" w:lastRowLastColumn="0"/>
          <w:wAfter w:w="12" w:type="dxa"/>
          <w:trHeight w:val="67"/>
        </w:trPr>
        <w:tc>
          <w:tcPr>
            <w:tcW w:w="1575" w:type="dxa"/>
          </w:tcPr>
          <w:p w14:paraId="19436756" w14:textId="77777777" w:rsidR="00417F54" w:rsidRPr="003358E7" w:rsidRDefault="00417F54" w:rsidP="00417F54">
            <w:pPr>
              <w:spacing w:after="120"/>
              <w:jc w:val="center"/>
              <w:rPr>
                <w:rFonts w:eastAsia="Times New Roman" w:cs="Arial"/>
                <w:color w:val="000000"/>
                <w:sz w:val="20"/>
                <w:szCs w:val="20"/>
                <w:lang w:eastAsia="en-AU"/>
              </w:rPr>
            </w:pPr>
          </w:p>
        </w:tc>
        <w:tc>
          <w:tcPr>
            <w:tcW w:w="5148" w:type="dxa"/>
            <w:gridSpan w:val="2"/>
          </w:tcPr>
          <w:p w14:paraId="49E0070A" w14:textId="77777777" w:rsidR="00417F54" w:rsidRPr="003358E7" w:rsidRDefault="00417F54" w:rsidP="00417F54">
            <w:pPr>
              <w:spacing w:after="120"/>
              <w:rPr>
                <w:rFonts w:eastAsia="Times New Roman" w:cs="Arial"/>
                <w:b/>
                <w:bCs/>
                <w:i/>
                <w:iCs/>
                <w:color w:val="000000"/>
                <w:sz w:val="20"/>
                <w:szCs w:val="20"/>
                <w:lang w:eastAsia="en-AU"/>
              </w:rPr>
            </w:pPr>
            <w:r w:rsidRPr="003358E7">
              <w:rPr>
                <w:rFonts w:eastAsia="Times New Roman" w:cs="Arial"/>
                <w:b/>
                <w:bCs/>
                <w:i/>
                <w:iCs/>
                <w:color w:val="000000"/>
                <w:sz w:val="20"/>
                <w:szCs w:val="20"/>
                <w:lang w:eastAsia="en-AU"/>
              </w:rPr>
              <w:t>Executive Remuneration</w:t>
            </w:r>
          </w:p>
        </w:tc>
        <w:tc>
          <w:tcPr>
            <w:tcW w:w="2216" w:type="dxa"/>
          </w:tcPr>
          <w:p w14:paraId="327AD856" w14:textId="77777777" w:rsidR="00417F54" w:rsidRPr="003358E7" w:rsidRDefault="00417F54" w:rsidP="00417F54">
            <w:pPr>
              <w:spacing w:after="120"/>
              <w:rPr>
                <w:rFonts w:eastAsia="Times New Roman" w:cs="Arial"/>
                <w:color w:val="000000"/>
                <w:sz w:val="20"/>
                <w:szCs w:val="20"/>
                <w:lang w:eastAsia="en-AU"/>
              </w:rPr>
            </w:pPr>
          </w:p>
        </w:tc>
      </w:tr>
      <w:tr w:rsidR="00417F54" w:rsidRPr="003358E7" w14:paraId="08622147" w14:textId="77777777" w:rsidTr="002D1EA4">
        <w:trPr>
          <w:gridAfter w:val="1"/>
          <w:wAfter w:w="12" w:type="dxa"/>
          <w:trHeight w:val="67"/>
        </w:trPr>
        <w:tc>
          <w:tcPr>
            <w:tcW w:w="1575" w:type="dxa"/>
          </w:tcPr>
          <w:p w14:paraId="3DB74297" w14:textId="77777777" w:rsidR="00417F54" w:rsidRPr="003358E7" w:rsidRDefault="00417F54" w:rsidP="00417F54">
            <w:pPr>
              <w:spacing w:after="120"/>
              <w:jc w:val="center"/>
              <w:rPr>
                <w:rFonts w:eastAsia="Times New Roman" w:cs="Arial"/>
                <w:color w:val="000000"/>
                <w:sz w:val="20"/>
                <w:szCs w:val="20"/>
                <w:lang w:eastAsia="en-AU"/>
              </w:rPr>
            </w:pPr>
            <w:r w:rsidRPr="003358E7">
              <w:rPr>
                <w:rFonts w:cs="Arial"/>
                <w:sz w:val="20"/>
                <w:szCs w:val="20"/>
              </w:rPr>
              <w:t>17AD(da)</w:t>
            </w:r>
          </w:p>
        </w:tc>
        <w:tc>
          <w:tcPr>
            <w:tcW w:w="1673" w:type="dxa"/>
          </w:tcPr>
          <w:p w14:paraId="0B71FE2F" w14:textId="06C58947" w:rsidR="00417F54" w:rsidRPr="008D7CCB" w:rsidRDefault="008D7CCB" w:rsidP="00417F54">
            <w:pPr>
              <w:spacing w:after="120"/>
              <w:rPr>
                <w:rFonts w:eastAsia="Times New Roman" w:cs="Arial"/>
                <w:color w:val="000000"/>
                <w:sz w:val="20"/>
                <w:szCs w:val="20"/>
                <w:lang w:eastAsia="en-AU"/>
              </w:rPr>
            </w:pPr>
            <w:r w:rsidRPr="008D7CCB">
              <w:rPr>
                <w:rFonts w:eastAsia="Times New Roman" w:cs="Arial"/>
                <w:color w:val="000000"/>
                <w:sz w:val="20"/>
                <w:szCs w:val="20"/>
                <w:lang w:eastAsia="en-AU"/>
              </w:rPr>
              <w:t>202-206</w:t>
            </w:r>
          </w:p>
        </w:tc>
        <w:tc>
          <w:tcPr>
            <w:tcW w:w="3475" w:type="dxa"/>
          </w:tcPr>
          <w:p w14:paraId="2F310F0B" w14:textId="77777777" w:rsidR="00417F54" w:rsidRPr="003358E7" w:rsidRDefault="00417F54" w:rsidP="00417F54">
            <w:pPr>
              <w:spacing w:after="120"/>
              <w:rPr>
                <w:rFonts w:eastAsia="Times New Roman" w:cs="Arial"/>
                <w:color w:val="000000"/>
                <w:sz w:val="20"/>
                <w:szCs w:val="20"/>
                <w:lang w:eastAsia="en-AU"/>
              </w:rPr>
            </w:pPr>
            <w:r w:rsidRPr="003358E7">
              <w:rPr>
                <w:rFonts w:cs="Arial"/>
                <w:sz w:val="20"/>
                <w:szCs w:val="20"/>
              </w:rPr>
              <w:t>Information about executive remuneration in accordance with Subdivision C of Division 3A of Part 2</w:t>
            </w:r>
            <w:r w:rsidRPr="003358E7">
              <w:rPr>
                <w:rFonts w:cs="Arial"/>
                <w:sz w:val="20"/>
                <w:szCs w:val="20"/>
              </w:rPr>
              <w:noBreakHyphen/>
              <w:t>3 of the Rule.</w:t>
            </w:r>
          </w:p>
        </w:tc>
        <w:tc>
          <w:tcPr>
            <w:tcW w:w="2216" w:type="dxa"/>
          </w:tcPr>
          <w:p w14:paraId="081AD4CB" w14:textId="77777777" w:rsidR="00417F54" w:rsidRPr="003358E7"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09D74E72" w14:textId="77777777" w:rsidTr="002D1EA4">
        <w:trPr>
          <w:gridAfter w:val="1"/>
          <w:cnfStyle w:val="000000010000" w:firstRow="0" w:lastRow="0" w:firstColumn="0" w:lastColumn="0" w:oddVBand="0" w:evenVBand="0" w:oddHBand="0" w:evenHBand="1" w:firstRowFirstColumn="0" w:firstRowLastColumn="0" w:lastRowFirstColumn="0" w:lastRowLastColumn="0"/>
          <w:wAfter w:w="12" w:type="dxa"/>
          <w:trHeight w:val="482"/>
        </w:trPr>
        <w:tc>
          <w:tcPr>
            <w:tcW w:w="1575" w:type="dxa"/>
            <w:hideMark/>
          </w:tcPr>
          <w:p w14:paraId="37A356BE"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b/>
                <w:bCs/>
                <w:color w:val="000000"/>
                <w:sz w:val="20"/>
                <w:szCs w:val="20"/>
                <w:lang w:eastAsia="en-AU"/>
              </w:rPr>
              <w:t>17AD(f)</w:t>
            </w:r>
          </w:p>
        </w:tc>
        <w:tc>
          <w:tcPr>
            <w:tcW w:w="7364" w:type="dxa"/>
            <w:gridSpan w:val="3"/>
            <w:hideMark/>
          </w:tcPr>
          <w:p w14:paraId="10438879"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b/>
                <w:bCs/>
                <w:color w:val="000000"/>
                <w:sz w:val="20"/>
                <w:szCs w:val="20"/>
                <w:lang w:eastAsia="en-AU"/>
              </w:rPr>
              <w:t>Other Mandatory Information</w:t>
            </w:r>
          </w:p>
        </w:tc>
      </w:tr>
      <w:tr w:rsidR="00417F54" w:rsidRPr="003358E7" w14:paraId="05D95AF8" w14:textId="77777777" w:rsidTr="002D1EA4">
        <w:trPr>
          <w:gridAfter w:val="1"/>
          <w:wAfter w:w="12" w:type="dxa"/>
          <w:trHeight w:val="67"/>
        </w:trPr>
        <w:tc>
          <w:tcPr>
            <w:tcW w:w="1575" w:type="dxa"/>
            <w:hideMark/>
          </w:tcPr>
          <w:p w14:paraId="23E91FA4"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17AH(1)(a)(</w:t>
            </w:r>
            <w:proofErr w:type="spellStart"/>
            <w:r w:rsidRPr="003358E7">
              <w:rPr>
                <w:rFonts w:eastAsia="Times New Roman" w:cs="Arial"/>
                <w:color w:val="000000"/>
                <w:sz w:val="20"/>
                <w:szCs w:val="20"/>
                <w:lang w:eastAsia="en-AU"/>
              </w:rPr>
              <w:t>i</w:t>
            </w:r>
            <w:proofErr w:type="spellEnd"/>
            <w:r w:rsidRPr="003358E7">
              <w:rPr>
                <w:rFonts w:eastAsia="Times New Roman" w:cs="Arial"/>
                <w:color w:val="000000"/>
                <w:sz w:val="20"/>
                <w:szCs w:val="20"/>
                <w:lang w:eastAsia="en-AU"/>
              </w:rPr>
              <w:t>)</w:t>
            </w:r>
          </w:p>
        </w:tc>
        <w:tc>
          <w:tcPr>
            <w:tcW w:w="1673" w:type="dxa"/>
            <w:hideMark/>
          </w:tcPr>
          <w:p w14:paraId="728844CB" w14:textId="45CD85B3" w:rsidR="00417F54" w:rsidRPr="003358E7" w:rsidRDefault="008D7CCB" w:rsidP="00417F54">
            <w:pPr>
              <w:spacing w:after="120"/>
              <w:rPr>
                <w:rFonts w:eastAsia="Times New Roman" w:cs="Arial"/>
                <w:b/>
                <w:bCs/>
                <w:color w:val="000000"/>
                <w:sz w:val="20"/>
                <w:szCs w:val="20"/>
                <w:lang w:eastAsia="en-AU"/>
              </w:rPr>
            </w:pPr>
            <w:r>
              <w:rPr>
                <w:rFonts w:eastAsia="Times New Roman" w:cs="Arial"/>
                <w:color w:val="000000"/>
                <w:sz w:val="20"/>
                <w:szCs w:val="20"/>
                <w:lang w:eastAsia="en-AU"/>
              </w:rPr>
              <w:t>192-195</w:t>
            </w:r>
          </w:p>
        </w:tc>
        <w:tc>
          <w:tcPr>
            <w:tcW w:w="3475" w:type="dxa"/>
            <w:hideMark/>
          </w:tcPr>
          <w:p w14:paraId="70C41814"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If the entity conducted advertising campaigns, a statement that</w:t>
            </w:r>
            <w:r>
              <w:rPr>
                <w:rFonts w:eastAsia="Times New Roman" w:cs="Arial"/>
                <w:color w:val="000000"/>
                <w:sz w:val="20"/>
                <w:szCs w:val="20"/>
                <w:lang w:eastAsia="en-AU"/>
              </w:rPr>
              <w:t xml:space="preserve"> </w:t>
            </w:r>
            <w:r w:rsidRPr="003358E7">
              <w:rPr>
                <w:rFonts w:eastAsia="Times New Roman" w:cs="Arial"/>
                <w:i/>
                <w:iCs/>
                <w:color w:val="000000"/>
                <w:sz w:val="20"/>
                <w:szCs w:val="20"/>
                <w:lang w:eastAsia="en-AU"/>
              </w:rPr>
              <w:t>“During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p>
        </w:tc>
        <w:tc>
          <w:tcPr>
            <w:tcW w:w="2216" w:type="dxa"/>
            <w:hideMark/>
          </w:tcPr>
          <w:p w14:paraId="2DDCACAE"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If applicable, Mandatory</w:t>
            </w:r>
          </w:p>
        </w:tc>
      </w:tr>
      <w:tr w:rsidR="00417F54" w:rsidRPr="003358E7" w14:paraId="67CB0984" w14:textId="77777777" w:rsidTr="002D1EA4">
        <w:trPr>
          <w:gridAfter w:val="1"/>
          <w:cnfStyle w:val="000000010000" w:firstRow="0" w:lastRow="0" w:firstColumn="0" w:lastColumn="0" w:oddVBand="0" w:evenVBand="0" w:oddHBand="0" w:evenHBand="1" w:firstRowFirstColumn="0" w:firstRowLastColumn="0" w:lastRowFirstColumn="0" w:lastRowLastColumn="0"/>
          <w:wAfter w:w="12" w:type="dxa"/>
          <w:trHeight w:val="67"/>
        </w:trPr>
        <w:tc>
          <w:tcPr>
            <w:tcW w:w="1575" w:type="dxa"/>
            <w:hideMark/>
          </w:tcPr>
          <w:p w14:paraId="7E8381B4" w14:textId="77777777" w:rsidR="00417F54" w:rsidRPr="003358E7" w:rsidRDefault="00417F54" w:rsidP="00417F54">
            <w:pPr>
              <w:spacing w:after="120"/>
              <w:jc w:val="center"/>
              <w:rPr>
                <w:rFonts w:eastAsia="Times New Roman" w:cs="Arial"/>
                <w:color w:val="000000"/>
                <w:sz w:val="20"/>
                <w:szCs w:val="20"/>
                <w:lang w:eastAsia="en-AU"/>
              </w:rPr>
            </w:pPr>
            <w:r w:rsidRPr="003358E7">
              <w:rPr>
                <w:rFonts w:eastAsia="Times New Roman" w:cs="Arial"/>
                <w:color w:val="000000"/>
                <w:sz w:val="20"/>
                <w:szCs w:val="20"/>
                <w:lang w:eastAsia="en-AU"/>
              </w:rPr>
              <w:t>17AH(1)(a)(ii)</w:t>
            </w:r>
          </w:p>
        </w:tc>
        <w:tc>
          <w:tcPr>
            <w:tcW w:w="1673" w:type="dxa"/>
            <w:hideMark/>
          </w:tcPr>
          <w:p w14:paraId="1613DDA4" w14:textId="77777777" w:rsidR="00417F54" w:rsidRPr="003358E7" w:rsidRDefault="00417F54" w:rsidP="00417F54">
            <w:pPr>
              <w:spacing w:after="120"/>
              <w:rPr>
                <w:rFonts w:eastAsia="Times New Roman" w:cs="Arial"/>
                <w:color w:val="000000"/>
                <w:sz w:val="20"/>
                <w:szCs w:val="20"/>
                <w:lang w:eastAsia="en-AU"/>
              </w:rPr>
            </w:pPr>
            <w:r>
              <w:rPr>
                <w:rFonts w:eastAsia="Times New Roman" w:cs="Arial"/>
                <w:iCs/>
                <w:color w:val="000000"/>
                <w:sz w:val="20"/>
                <w:szCs w:val="20"/>
                <w:lang w:eastAsia="en-AU"/>
              </w:rPr>
              <w:t>N/A</w:t>
            </w:r>
          </w:p>
        </w:tc>
        <w:tc>
          <w:tcPr>
            <w:tcW w:w="3475" w:type="dxa"/>
            <w:hideMark/>
          </w:tcPr>
          <w:p w14:paraId="132A8AD0" w14:textId="77777777" w:rsidR="00417F54" w:rsidRPr="003358E7"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If the entity did not conduct advertising campaigns, a statement to that effect.</w:t>
            </w:r>
          </w:p>
        </w:tc>
        <w:tc>
          <w:tcPr>
            <w:tcW w:w="2216" w:type="dxa"/>
            <w:hideMark/>
          </w:tcPr>
          <w:p w14:paraId="621C03CF" w14:textId="77777777" w:rsidR="00417F54" w:rsidRPr="003358E7" w:rsidRDefault="00417F54" w:rsidP="00417F54">
            <w:pPr>
              <w:spacing w:after="120"/>
              <w:rPr>
                <w:rFonts w:eastAsia="Times New Roman" w:cs="Arial"/>
                <w:color w:val="000000"/>
                <w:sz w:val="20"/>
                <w:szCs w:val="20"/>
                <w:lang w:eastAsia="en-AU"/>
              </w:rPr>
            </w:pPr>
            <w:r w:rsidRPr="003358E7">
              <w:rPr>
                <w:rFonts w:eastAsia="Times New Roman" w:cs="Arial"/>
                <w:color w:val="000000"/>
                <w:sz w:val="20"/>
                <w:szCs w:val="20"/>
                <w:lang w:eastAsia="en-AU"/>
              </w:rPr>
              <w:t>If applicable, Mandatory</w:t>
            </w:r>
          </w:p>
        </w:tc>
      </w:tr>
      <w:tr w:rsidR="00417F54" w:rsidRPr="003358E7" w14:paraId="74651179" w14:textId="77777777" w:rsidTr="002D1EA4">
        <w:trPr>
          <w:gridAfter w:val="1"/>
          <w:wAfter w:w="12" w:type="dxa"/>
          <w:trHeight w:val="67"/>
        </w:trPr>
        <w:tc>
          <w:tcPr>
            <w:tcW w:w="1575" w:type="dxa"/>
            <w:hideMark/>
          </w:tcPr>
          <w:p w14:paraId="73390DAD"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17AH(1)(b)</w:t>
            </w:r>
          </w:p>
        </w:tc>
        <w:tc>
          <w:tcPr>
            <w:tcW w:w="1673" w:type="dxa"/>
            <w:hideMark/>
          </w:tcPr>
          <w:p w14:paraId="091B4E98" w14:textId="4B090817" w:rsidR="00417F54" w:rsidRPr="003358E7" w:rsidRDefault="008D7CCB" w:rsidP="00417F54">
            <w:pPr>
              <w:spacing w:after="120"/>
              <w:rPr>
                <w:rFonts w:eastAsia="Times New Roman" w:cs="Arial"/>
                <w:b/>
                <w:bCs/>
                <w:color w:val="000000"/>
                <w:sz w:val="20"/>
                <w:szCs w:val="20"/>
                <w:lang w:eastAsia="en-AU"/>
              </w:rPr>
            </w:pPr>
            <w:r>
              <w:rPr>
                <w:rFonts w:eastAsia="Times New Roman" w:cs="Arial"/>
                <w:iCs/>
                <w:color w:val="000000"/>
                <w:sz w:val="20"/>
                <w:szCs w:val="20"/>
                <w:lang w:eastAsia="en-AU"/>
              </w:rPr>
              <w:t>120</w:t>
            </w:r>
          </w:p>
        </w:tc>
        <w:tc>
          <w:tcPr>
            <w:tcW w:w="3475" w:type="dxa"/>
            <w:hideMark/>
          </w:tcPr>
          <w:p w14:paraId="77A2CEBE"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A statement that</w:t>
            </w:r>
            <w:r>
              <w:rPr>
                <w:rFonts w:eastAsia="Times New Roman" w:cs="Arial"/>
                <w:color w:val="000000"/>
                <w:sz w:val="20"/>
                <w:szCs w:val="20"/>
                <w:lang w:eastAsia="en-AU"/>
              </w:rPr>
              <w:t xml:space="preserve"> </w:t>
            </w:r>
            <w:r w:rsidRPr="003358E7">
              <w:rPr>
                <w:rFonts w:eastAsia="Times New Roman" w:cs="Arial"/>
                <w:i/>
                <w:iCs/>
                <w:color w:val="000000"/>
                <w:sz w:val="20"/>
                <w:szCs w:val="20"/>
                <w:lang w:eastAsia="en-AU"/>
              </w:rPr>
              <w:t>“Information on grants awarded by [name of entity] during [reporting period] is available at [address of entity’s website].”</w:t>
            </w:r>
          </w:p>
        </w:tc>
        <w:tc>
          <w:tcPr>
            <w:tcW w:w="2216" w:type="dxa"/>
            <w:hideMark/>
          </w:tcPr>
          <w:p w14:paraId="3BE251B3"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If applicable, Mandatory</w:t>
            </w:r>
          </w:p>
        </w:tc>
      </w:tr>
      <w:tr w:rsidR="00417F54" w:rsidRPr="003358E7" w14:paraId="2AB34A6A" w14:textId="77777777" w:rsidTr="002D1EA4">
        <w:trPr>
          <w:gridAfter w:val="1"/>
          <w:cnfStyle w:val="000000010000" w:firstRow="0" w:lastRow="0" w:firstColumn="0" w:lastColumn="0" w:oddVBand="0" w:evenVBand="0" w:oddHBand="0" w:evenHBand="1" w:firstRowFirstColumn="0" w:firstRowLastColumn="0" w:lastRowFirstColumn="0" w:lastRowLastColumn="0"/>
          <w:wAfter w:w="12" w:type="dxa"/>
          <w:trHeight w:val="67"/>
        </w:trPr>
        <w:tc>
          <w:tcPr>
            <w:tcW w:w="1575" w:type="dxa"/>
            <w:hideMark/>
          </w:tcPr>
          <w:p w14:paraId="645C39CE"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17AH(1)(c)</w:t>
            </w:r>
          </w:p>
        </w:tc>
        <w:tc>
          <w:tcPr>
            <w:tcW w:w="1673" w:type="dxa"/>
            <w:hideMark/>
          </w:tcPr>
          <w:p w14:paraId="41226E93" w14:textId="430674EA" w:rsidR="00417F54" w:rsidRPr="008D7CCB" w:rsidRDefault="008D7CCB" w:rsidP="00417F54">
            <w:pPr>
              <w:spacing w:after="120"/>
              <w:rPr>
                <w:rFonts w:eastAsia="Times New Roman" w:cs="Arial"/>
                <w:b/>
                <w:bCs/>
                <w:color w:val="000000"/>
                <w:sz w:val="20"/>
                <w:szCs w:val="20"/>
                <w:lang w:eastAsia="en-AU"/>
              </w:rPr>
            </w:pPr>
            <w:r w:rsidRPr="008D7CCB">
              <w:rPr>
                <w:rFonts w:eastAsia="Times New Roman" w:cs="Arial"/>
                <w:iCs/>
                <w:color w:val="000000"/>
                <w:sz w:val="20"/>
                <w:szCs w:val="20"/>
                <w:lang w:eastAsia="en-AU"/>
              </w:rPr>
              <w:t>201</w:t>
            </w:r>
            <w:r w:rsidR="00417F54" w:rsidRPr="008D7CCB">
              <w:rPr>
                <w:rFonts w:eastAsia="Times New Roman" w:cs="Arial"/>
                <w:color w:val="000000"/>
                <w:sz w:val="20"/>
                <w:szCs w:val="20"/>
                <w:lang w:eastAsia="en-AU"/>
              </w:rPr>
              <w:t> </w:t>
            </w:r>
          </w:p>
        </w:tc>
        <w:tc>
          <w:tcPr>
            <w:tcW w:w="3475" w:type="dxa"/>
            <w:hideMark/>
          </w:tcPr>
          <w:p w14:paraId="60F8D5F7"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Outline of mechanisms of disability reporting, including reference to website for further information.</w:t>
            </w:r>
          </w:p>
        </w:tc>
        <w:tc>
          <w:tcPr>
            <w:tcW w:w="2216" w:type="dxa"/>
            <w:hideMark/>
          </w:tcPr>
          <w:p w14:paraId="45355965"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18892FDB" w14:textId="77777777" w:rsidTr="002D1EA4">
        <w:trPr>
          <w:gridAfter w:val="1"/>
          <w:wAfter w:w="12" w:type="dxa"/>
          <w:trHeight w:val="67"/>
        </w:trPr>
        <w:tc>
          <w:tcPr>
            <w:tcW w:w="1575" w:type="dxa"/>
            <w:hideMark/>
          </w:tcPr>
          <w:p w14:paraId="3B3A8C5D"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17AH(1)(d)</w:t>
            </w:r>
          </w:p>
        </w:tc>
        <w:tc>
          <w:tcPr>
            <w:tcW w:w="1673" w:type="dxa"/>
            <w:hideMark/>
          </w:tcPr>
          <w:p w14:paraId="1D264FFF" w14:textId="6E8EE7CE" w:rsidR="00417F54" w:rsidRPr="003358E7" w:rsidRDefault="008D7CCB" w:rsidP="00417F54">
            <w:pPr>
              <w:spacing w:after="120"/>
              <w:rPr>
                <w:rFonts w:eastAsia="Times New Roman" w:cs="Arial"/>
                <w:b/>
                <w:bCs/>
                <w:color w:val="000000"/>
                <w:sz w:val="20"/>
                <w:szCs w:val="20"/>
                <w:lang w:eastAsia="en-AU"/>
              </w:rPr>
            </w:pPr>
            <w:r>
              <w:rPr>
                <w:rFonts w:eastAsia="Times New Roman" w:cs="Arial"/>
                <w:iCs/>
                <w:color w:val="000000"/>
                <w:sz w:val="20"/>
                <w:szCs w:val="20"/>
                <w:lang w:eastAsia="en-AU"/>
              </w:rPr>
              <w:t>105</w:t>
            </w:r>
            <w:r w:rsidR="00417F54" w:rsidRPr="003358E7">
              <w:rPr>
                <w:rFonts w:eastAsia="Times New Roman" w:cs="Arial"/>
                <w:color w:val="000000"/>
                <w:sz w:val="20"/>
                <w:szCs w:val="20"/>
                <w:lang w:eastAsia="en-AU"/>
              </w:rPr>
              <w:t> </w:t>
            </w:r>
          </w:p>
        </w:tc>
        <w:tc>
          <w:tcPr>
            <w:tcW w:w="3475" w:type="dxa"/>
            <w:hideMark/>
          </w:tcPr>
          <w:p w14:paraId="61D7AAAC"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Website reference to where the entity’s Information Publication Scheme statement pursuant to Part</w:t>
            </w:r>
            <w:r>
              <w:rPr>
                <w:rFonts w:eastAsia="Times New Roman" w:cs="Arial"/>
                <w:color w:val="000000"/>
                <w:sz w:val="20"/>
                <w:szCs w:val="20"/>
                <w:lang w:eastAsia="en-AU"/>
              </w:rPr>
              <w:t xml:space="preserve"> </w:t>
            </w:r>
            <w:r w:rsidRPr="003358E7">
              <w:rPr>
                <w:rFonts w:eastAsia="Times New Roman" w:cs="Arial"/>
                <w:color w:val="000000"/>
                <w:sz w:val="20"/>
                <w:szCs w:val="20"/>
                <w:lang w:eastAsia="en-AU"/>
              </w:rPr>
              <w:t>II of FOI Act</w:t>
            </w:r>
            <w:r>
              <w:rPr>
                <w:rFonts w:eastAsia="Times New Roman" w:cs="Arial"/>
                <w:color w:val="000000"/>
                <w:sz w:val="20"/>
                <w:szCs w:val="20"/>
                <w:lang w:eastAsia="en-AU"/>
              </w:rPr>
              <w:t xml:space="preserve"> </w:t>
            </w:r>
            <w:r w:rsidRPr="003358E7">
              <w:rPr>
                <w:rFonts w:eastAsia="Times New Roman" w:cs="Arial"/>
                <w:color w:val="000000"/>
                <w:sz w:val="20"/>
                <w:szCs w:val="20"/>
                <w:lang w:eastAsia="en-AU"/>
              </w:rPr>
              <w:t>can be found.</w:t>
            </w:r>
          </w:p>
        </w:tc>
        <w:tc>
          <w:tcPr>
            <w:tcW w:w="2216" w:type="dxa"/>
            <w:hideMark/>
          </w:tcPr>
          <w:p w14:paraId="29BB7BCD"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r w:rsidR="00417F54" w:rsidRPr="003358E7" w14:paraId="2FB146DE" w14:textId="77777777" w:rsidTr="002D1EA4">
        <w:trPr>
          <w:gridAfter w:val="1"/>
          <w:cnfStyle w:val="000000010000" w:firstRow="0" w:lastRow="0" w:firstColumn="0" w:lastColumn="0" w:oddVBand="0" w:evenVBand="0" w:oddHBand="0" w:evenHBand="1" w:firstRowFirstColumn="0" w:firstRowLastColumn="0" w:lastRowFirstColumn="0" w:lastRowLastColumn="0"/>
          <w:wAfter w:w="12" w:type="dxa"/>
          <w:trHeight w:val="67"/>
        </w:trPr>
        <w:tc>
          <w:tcPr>
            <w:tcW w:w="1575" w:type="dxa"/>
            <w:hideMark/>
          </w:tcPr>
          <w:p w14:paraId="61FDA9DE"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17AH(1)(e)</w:t>
            </w:r>
          </w:p>
        </w:tc>
        <w:tc>
          <w:tcPr>
            <w:tcW w:w="1673" w:type="dxa"/>
            <w:hideMark/>
          </w:tcPr>
          <w:p w14:paraId="5B6A8429" w14:textId="77777777" w:rsidR="00417F54" w:rsidRPr="003358E7" w:rsidRDefault="00417F54" w:rsidP="00417F54">
            <w:pPr>
              <w:spacing w:after="120"/>
              <w:rPr>
                <w:rFonts w:eastAsia="Times New Roman" w:cs="Arial"/>
                <w:b/>
                <w:bCs/>
                <w:color w:val="000000"/>
                <w:sz w:val="20"/>
                <w:szCs w:val="20"/>
                <w:lang w:eastAsia="en-AU"/>
              </w:rPr>
            </w:pPr>
            <w:r>
              <w:rPr>
                <w:rFonts w:eastAsia="Times New Roman" w:cs="Arial"/>
                <w:iCs/>
                <w:color w:val="000000"/>
                <w:sz w:val="20"/>
                <w:szCs w:val="20"/>
                <w:lang w:eastAsia="en-AU"/>
              </w:rPr>
              <w:t>N/A</w:t>
            </w:r>
          </w:p>
        </w:tc>
        <w:tc>
          <w:tcPr>
            <w:tcW w:w="3475" w:type="dxa"/>
            <w:hideMark/>
          </w:tcPr>
          <w:p w14:paraId="205D02EC"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Correction of material errors in previous annual report</w:t>
            </w:r>
          </w:p>
        </w:tc>
        <w:tc>
          <w:tcPr>
            <w:tcW w:w="2216" w:type="dxa"/>
            <w:hideMark/>
          </w:tcPr>
          <w:p w14:paraId="2B45CC09"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 xml:space="preserve">If applicable, </w:t>
            </w:r>
            <w:r>
              <w:rPr>
                <w:rFonts w:eastAsia="Times New Roman" w:cs="Arial"/>
                <w:color w:val="000000"/>
                <w:sz w:val="20"/>
                <w:szCs w:val="20"/>
                <w:lang w:eastAsia="en-AU"/>
              </w:rPr>
              <w:t>M</w:t>
            </w:r>
            <w:r w:rsidRPr="003358E7">
              <w:rPr>
                <w:rFonts w:eastAsia="Times New Roman" w:cs="Arial"/>
                <w:color w:val="000000"/>
                <w:sz w:val="20"/>
                <w:szCs w:val="20"/>
                <w:lang w:eastAsia="en-AU"/>
              </w:rPr>
              <w:t>andatory</w:t>
            </w:r>
          </w:p>
        </w:tc>
      </w:tr>
      <w:tr w:rsidR="00417F54" w:rsidRPr="003358E7" w14:paraId="5463D685" w14:textId="77777777" w:rsidTr="002D1EA4">
        <w:trPr>
          <w:gridAfter w:val="1"/>
          <w:wAfter w:w="12" w:type="dxa"/>
          <w:trHeight w:val="91"/>
        </w:trPr>
        <w:tc>
          <w:tcPr>
            <w:tcW w:w="1575" w:type="dxa"/>
            <w:hideMark/>
          </w:tcPr>
          <w:p w14:paraId="3EF88512" w14:textId="77777777" w:rsidR="00417F54" w:rsidRPr="003358E7" w:rsidRDefault="00417F54" w:rsidP="00417F54">
            <w:pPr>
              <w:spacing w:after="120"/>
              <w:jc w:val="center"/>
              <w:rPr>
                <w:rFonts w:eastAsia="Times New Roman" w:cs="Arial"/>
                <w:b/>
                <w:bCs/>
                <w:color w:val="000000"/>
                <w:sz w:val="20"/>
                <w:szCs w:val="20"/>
                <w:lang w:eastAsia="en-AU"/>
              </w:rPr>
            </w:pPr>
            <w:r w:rsidRPr="003358E7">
              <w:rPr>
                <w:rFonts w:eastAsia="Times New Roman" w:cs="Arial"/>
                <w:color w:val="000000"/>
                <w:sz w:val="20"/>
                <w:szCs w:val="20"/>
                <w:lang w:eastAsia="en-AU"/>
              </w:rPr>
              <w:t>17AH(2)</w:t>
            </w:r>
          </w:p>
        </w:tc>
        <w:tc>
          <w:tcPr>
            <w:tcW w:w="1673" w:type="dxa"/>
            <w:hideMark/>
          </w:tcPr>
          <w:p w14:paraId="41DB5411" w14:textId="6B8CAB39" w:rsidR="00417F54" w:rsidRPr="008D7CCB" w:rsidRDefault="008D7CCB" w:rsidP="00417F54">
            <w:pPr>
              <w:spacing w:after="120"/>
              <w:rPr>
                <w:rFonts w:eastAsia="Times New Roman" w:cs="Arial"/>
                <w:bCs/>
                <w:color w:val="000000"/>
                <w:sz w:val="20"/>
                <w:szCs w:val="20"/>
                <w:lang w:eastAsia="en-AU"/>
              </w:rPr>
            </w:pPr>
            <w:r w:rsidRPr="008D7CCB">
              <w:rPr>
                <w:rFonts w:eastAsia="Times New Roman" w:cs="Arial"/>
                <w:bCs/>
                <w:color w:val="000000"/>
                <w:sz w:val="20"/>
                <w:szCs w:val="20"/>
                <w:lang w:eastAsia="en-AU"/>
              </w:rPr>
              <w:t>94-97</w:t>
            </w:r>
            <w:r w:rsidRPr="008D7CCB">
              <w:rPr>
                <w:rFonts w:eastAsia="Times New Roman" w:cs="Arial"/>
                <w:bCs/>
                <w:color w:val="000000"/>
                <w:sz w:val="20"/>
                <w:szCs w:val="20"/>
                <w:lang w:eastAsia="en-AU"/>
              </w:rPr>
              <w:br/>
              <w:t>115-116</w:t>
            </w:r>
            <w:r w:rsidRPr="008D7CCB">
              <w:rPr>
                <w:rFonts w:eastAsia="Times New Roman" w:cs="Arial"/>
                <w:bCs/>
                <w:color w:val="000000"/>
                <w:sz w:val="20"/>
                <w:szCs w:val="20"/>
                <w:lang w:eastAsia="en-AU"/>
              </w:rPr>
              <w:br/>
              <w:t>196-198</w:t>
            </w:r>
            <w:r w:rsidRPr="008D7CCB">
              <w:rPr>
                <w:rFonts w:eastAsia="Times New Roman" w:cs="Arial"/>
                <w:bCs/>
                <w:color w:val="000000"/>
                <w:sz w:val="20"/>
                <w:szCs w:val="20"/>
                <w:lang w:eastAsia="en-AU"/>
              </w:rPr>
              <w:br/>
              <w:t>199-201</w:t>
            </w:r>
          </w:p>
        </w:tc>
        <w:tc>
          <w:tcPr>
            <w:tcW w:w="3475" w:type="dxa"/>
            <w:hideMark/>
          </w:tcPr>
          <w:p w14:paraId="1634D51D"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Information required by other legislation</w:t>
            </w:r>
          </w:p>
        </w:tc>
        <w:tc>
          <w:tcPr>
            <w:tcW w:w="2216" w:type="dxa"/>
            <w:hideMark/>
          </w:tcPr>
          <w:p w14:paraId="03E07136" w14:textId="77777777" w:rsidR="00417F54" w:rsidRPr="003358E7" w:rsidRDefault="00417F54" w:rsidP="00417F54">
            <w:pPr>
              <w:spacing w:after="120"/>
              <w:rPr>
                <w:rFonts w:eastAsia="Times New Roman" w:cs="Arial"/>
                <w:b/>
                <w:bCs/>
                <w:color w:val="000000"/>
                <w:sz w:val="20"/>
                <w:szCs w:val="20"/>
                <w:lang w:eastAsia="en-AU"/>
              </w:rPr>
            </w:pPr>
            <w:r w:rsidRPr="003358E7">
              <w:rPr>
                <w:rFonts w:eastAsia="Times New Roman" w:cs="Arial"/>
                <w:color w:val="000000"/>
                <w:sz w:val="20"/>
                <w:szCs w:val="20"/>
                <w:lang w:eastAsia="en-AU"/>
              </w:rPr>
              <w:t>Mandatory</w:t>
            </w:r>
          </w:p>
        </w:tc>
      </w:tr>
    </w:tbl>
    <w:p w14:paraId="4334292F" w14:textId="77777777" w:rsidR="00AB6753" w:rsidRPr="00D701DF" w:rsidRDefault="00AB6753" w:rsidP="00AB6753"/>
    <w:p w14:paraId="431CB9F4" w14:textId="77777777" w:rsidR="00AB6753" w:rsidRDefault="00AB6753" w:rsidP="00AB6753">
      <w:pPr>
        <w:pStyle w:val="Heading3"/>
        <w:rPr>
          <w:color w:val="2C2A29"/>
        </w:rPr>
        <w:sectPr w:rsidR="00AB6753" w:rsidSect="00123D6C">
          <w:headerReference w:type="default" r:id="rId77"/>
          <w:pgSz w:w="11906" w:h="16838"/>
          <w:pgMar w:top="1440" w:right="1440" w:bottom="1440" w:left="1440" w:header="708" w:footer="708" w:gutter="0"/>
          <w:cols w:space="708"/>
          <w:docGrid w:linePitch="360"/>
        </w:sectPr>
      </w:pPr>
    </w:p>
    <w:p w14:paraId="4016A33A" w14:textId="77777777" w:rsidR="00AB6753" w:rsidRPr="00054A67" w:rsidRDefault="00AB6753" w:rsidP="00AB6753">
      <w:pPr>
        <w:rPr>
          <w:rFonts w:ascii="Georgia" w:hAnsi="Georgia"/>
          <w:color w:val="215868" w:themeColor="accent5" w:themeShade="80"/>
          <w:sz w:val="72"/>
        </w:rPr>
      </w:pPr>
      <w:r w:rsidRPr="00054A67">
        <w:rPr>
          <w:rFonts w:ascii="Georgia" w:hAnsi="Georgia"/>
          <w:color w:val="215868" w:themeColor="accent5" w:themeShade="80"/>
          <w:sz w:val="72"/>
        </w:rPr>
        <w:lastRenderedPageBreak/>
        <w:t>Alphabetical Index</w:t>
      </w:r>
    </w:p>
    <w:p w14:paraId="2AC47DB2" w14:textId="77777777" w:rsidR="005440A8" w:rsidRPr="005440A8" w:rsidRDefault="005440A8" w:rsidP="005440A8">
      <w:pPr>
        <w:pStyle w:val="ahead"/>
        <w:widowControl/>
        <w:spacing w:after="120"/>
        <w:ind w:left="0" w:firstLine="0"/>
        <w:rPr>
          <w:b/>
        </w:rPr>
      </w:pPr>
      <w:r w:rsidRPr="005440A8">
        <w:rPr>
          <w:b/>
        </w:rPr>
        <w:t>A</w:t>
      </w:r>
    </w:p>
    <w:p w14:paraId="4F16DD3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abbreviations and acronyms, 224–226</w:t>
      </w:r>
    </w:p>
    <w:p w14:paraId="3B31991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Aboriginal and Torres Strait Islander families, 2</w:t>
      </w:r>
    </w:p>
    <w:p w14:paraId="78CAE8D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access to Families and Children activities, 67–68</w:t>
      </w:r>
    </w:p>
    <w:p w14:paraId="1B533FA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Children and Parenting Support services for, 53</w:t>
      </w:r>
    </w:p>
    <w:p w14:paraId="63BD77FA"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disability services for, 72</w:t>
      </w:r>
    </w:p>
    <w:p w14:paraId="76B0A642"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improving outcomes for children, 60</w:t>
      </w:r>
    </w:p>
    <w:p w14:paraId="71E7162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Aboriginal and Torres Strait Islander staff, 112, 220</w:t>
      </w:r>
    </w:p>
    <w:p w14:paraId="4949D0D3"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Aboriginal and Torres Strait Islander Workforce Strategy</w:t>
      </w:r>
      <w:r w:rsidRPr="005440A8">
        <w:rPr>
          <w:rFonts w:ascii="Arial" w:hAnsi="Arial" w:cs="Arial"/>
          <w:sz w:val="20"/>
          <w:szCs w:val="20"/>
        </w:rPr>
        <w:t>, 112</w:t>
      </w:r>
    </w:p>
    <w:p w14:paraId="2FDD15D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ABSTUDY, 20</w:t>
      </w:r>
    </w:p>
    <w:p w14:paraId="4F9B446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accountability </w:t>
      </w:r>
      <w:r w:rsidRPr="005440A8">
        <w:rPr>
          <w:rFonts w:ascii="Arial" w:hAnsi="Arial" w:cs="Arial"/>
          <w:i/>
          <w:iCs/>
          <w:sz w:val="20"/>
          <w:szCs w:val="20"/>
        </w:rPr>
        <w:t>see</w:t>
      </w:r>
      <w:r w:rsidRPr="005440A8">
        <w:rPr>
          <w:rFonts w:ascii="Arial" w:hAnsi="Arial" w:cs="Arial"/>
          <w:sz w:val="20"/>
          <w:szCs w:val="20"/>
        </w:rPr>
        <w:t xml:space="preserve"> management and accountability</w:t>
      </w:r>
    </w:p>
    <w:p w14:paraId="129CDE5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accountable authority, 15, 208</w:t>
      </w:r>
    </w:p>
    <w:p w14:paraId="270A9A2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acronyms, 224–226</w:t>
      </w:r>
    </w:p>
    <w:p w14:paraId="5CC8AF3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Action Plans of the </w:t>
      </w:r>
      <w:r w:rsidRPr="005440A8">
        <w:rPr>
          <w:rFonts w:ascii="Arial" w:hAnsi="Arial" w:cs="Arial"/>
          <w:i/>
          <w:iCs/>
          <w:sz w:val="20"/>
          <w:szCs w:val="20"/>
        </w:rPr>
        <w:t>National Framework for Protecting Australia’s Children 2009–2020</w:t>
      </w:r>
      <w:r w:rsidRPr="005440A8">
        <w:rPr>
          <w:rFonts w:ascii="Arial" w:hAnsi="Arial" w:cs="Arial"/>
          <w:sz w:val="20"/>
          <w:szCs w:val="20"/>
        </w:rPr>
        <w:t>, 48</w:t>
      </w:r>
    </w:p>
    <w:p w14:paraId="19F7DF0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administered funds, 45–46, 70, 83, 117, 118</w:t>
      </w:r>
    </w:p>
    <w:p w14:paraId="5532D80B"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Administrative Arrangements Order, 13, 23</w:t>
      </w:r>
    </w:p>
    <w:p w14:paraId="1A96FE0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Administrative Tribunal decisions, 106</w:t>
      </w:r>
    </w:p>
    <w:p w14:paraId="2D9D33A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advertising, 193–194, 196</w:t>
      </w:r>
    </w:p>
    <w:p w14:paraId="02D476D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advocacy support, 2, 71, 72</w:t>
      </w:r>
    </w:p>
    <w:p w14:paraId="2BDF439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Affordable Housing Program, 86</w:t>
      </w:r>
    </w:p>
    <w:p w14:paraId="2F31920A"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87</w:t>
      </w:r>
    </w:p>
    <w:p w14:paraId="1BBC565D"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rental stress, 90</w:t>
      </w:r>
    </w:p>
    <w:p w14:paraId="2349E143"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housing performance; National Rental Affordability Scheme</w:t>
      </w:r>
    </w:p>
    <w:p w14:paraId="6453990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Age Pension, 20, 25</w:t>
      </w:r>
    </w:p>
    <w:p w14:paraId="7621E17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agreements</w:t>
      </w:r>
    </w:p>
    <w:p w14:paraId="0CD3F9EA"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enterprise agreement, 114</w:t>
      </w:r>
    </w:p>
    <w:p w14:paraId="3B272B6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National Housing and Homelessness Agreement, 2, 3, 84, 86, 88, 91</w:t>
      </w:r>
    </w:p>
    <w:p w14:paraId="68B8B40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with organisations delivering services, 23, 51</w:t>
      </w:r>
    </w:p>
    <w:p w14:paraId="10DF77CB"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with Services Australia, 23, 51</w:t>
      </w:r>
    </w:p>
    <w:p w14:paraId="680354E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with third parties, 104</w:t>
      </w:r>
    </w:p>
    <w:p w14:paraId="62DCF78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Allowances and Concessions for Seniors Program</w:t>
      </w:r>
    </w:p>
    <w:p w14:paraId="52121A64"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Energy Supplement for Commonwealth Seniors Health Card Holders, 20</w:t>
      </w:r>
    </w:p>
    <w:p w14:paraId="1B8B4852"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22</w:t>
      </w:r>
    </w:p>
    <w:p w14:paraId="49622B09"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ANAO</w:t>
      </w:r>
    </w:p>
    <w:p w14:paraId="5619C96A"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access to contractors' premises, 119</w:t>
      </w:r>
    </w:p>
    <w:p w14:paraId="3650DCD9"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reports, 106, 122–125</w:t>
      </w:r>
    </w:p>
    <w:p w14:paraId="5735358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annual performance statement, 15, 16</w:t>
      </w:r>
    </w:p>
    <w:p w14:paraId="2F53DEA1"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Framework 2019–20, 16</w:t>
      </w:r>
    </w:p>
    <w:p w14:paraId="3F9084C1"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disability and carers performance; families and communities performance; housing performance; social security performance</w:t>
      </w:r>
    </w:p>
    <w:p w14:paraId="2641B7C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APS Code of Conduct, 104</w:t>
      </w:r>
    </w:p>
    <w:p w14:paraId="42343B1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APS Employee Census, 110</w:t>
      </w:r>
    </w:p>
    <w:p w14:paraId="68CAB29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APS Employment Principles, 104</w:t>
      </w:r>
    </w:p>
    <w:p w14:paraId="4333677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APS Values, 6, 104</w:t>
      </w:r>
    </w:p>
    <w:p w14:paraId="2615E53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assets management, 118</w:t>
      </w:r>
    </w:p>
    <w:p w14:paraId="3106B79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Assistance for Isolated Children, 20, 21</w:t>
      </w:r>
    </w:p>
    <w:p w14:paraId="69BEAC9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Assistant Minister for Children and Families, 10</w:t>
      </w:r>
    </w:p>
    <w:p w14:paraId="52F023A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Assistant Minister for Community Housing, Homelessness and Community Services, 10</w:t>
      </w:r>
    </w:p>
    <w:p w14:paraId="61948EB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Attorney-General’s Department, 78</w:t>
      </w:r>
    </w:p>
    <w:p w14:paraId="1B34D70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Audit and Assurance Committee, 99–100</w:t>
      </w:r>
    </w:p>
    <w:p w14:paraId="552A16B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Auditor-General, 119</w:t>
      </w:r>
    </w:p>
    <w:p w14:paraId="4AB7196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audits</w:t>
      </w:r>
    </w:p>
    <w:p w14:paraId="6D56DFA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ANAO, 106, 122–125</w:t>
      </w:r>
    </w:p>
    <w:p w14:paraId="38CF1C4E"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internal, 102</w:t>
      </w:r>
    </w:p>
    <w:p w14:paraId="7C7DA1F1" w14:textId="77777777" w:rsidR="005440A8" w:rsidRPr="005440A8" w:rsidRDefault="005440A8" w:rsidP="005440A8">
      <w:pPr>
        <w:pStyle w:val="Main"/>
        <w:widowControl/>
        <w:rPr>
          <w:rFonts w:ascii="Arial" w:hAnsi="Arial" w:cs="Arial"/>
          <w:sz w:val="20"/>
          <w:szCs w:val="20"/>
        </w:rPr>
      </w:pPr>
      <w:proofErr w:type="spellStart"/>
      <w:r w:rsidRPr="005440A8">
        <w:rPr>
          <w:rFonts w:ascii="Arial" w:hAnsi="Arial" w:cs="Arial"/>
          <w:sz w:val="20"/>
          <w:szCs w:val="20"/>
        </w:rPr>
        <w:lastRenderedPageBreak/>
        <w:t>AusTender</w:t>
      </w:r>
      <w:proofErr w:type="spellEnd"/>
      <w:r w:rsidRPr="005440A8">
        <w:rPr>
          <w:rFonts w:ascii="Arial" w:hAnsi="Arial" w:cs="Arial"/>
          <w:sz w:val="20"/>
          <w:szCs w:val="20"/>
        </w:rPr>
        <w:t>, 118</w:t>
      </w:r>
    </w:p>
    <w:p w14:paraId="7ABA90E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Australian Council of Social Service, 65</w:t>
      </w:r>
    </w:p>
    <w:p w14:paraId="625720B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Australian Federal Police, Operation </w:t>
      </w:r>
      <w:proofErr w:type="spellStart"/>
      <w:r w:rsidRPr="005440A8">
        <w:rPr>
          <w:rFonts w:ascii="Arial" w:hAnsi="Arial" w:cs="Arial"/>
          <w:sz w:val="20"/>
          <w:szCs w:val="20"/>
        </w:rPr>
        <w:t>Ashiba</w:t>
      </w:r>
      <w:proofErr w:type="spellEnd"/>
      <w:r w:rsidRPr="005440A8">
        <w:rPr>
          <w:rFonts w:ascii="Arial" w:hAnsi="Arial" w:cs="Arial"/>
          <w:sz w:val="20"/>
          <w:szCs w:val="20"/>
        </w:rPr>
        <w:t>, 104</w:t>
      </w:r>
    </w:p>
    <w:p w14:paraId="438F5BCF"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Australian Hearing Services Act 1991</w:t>
      </w:r>
      <w:r w:rsidRPr="005440A8">
        <w:rPr>
          <w:rFonts w:ascii="Arial" w:hAnsi="Arial" w:cs="Arial"/>
          <w:sz w:val="20"/>
          <w:szCs w:val="20"/>
        </w:rPr>
        <w:t>, 10, 12</w:t>
      </w:r>
    </w:p>
    <w:p w14:paraId="6DC1DEA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Australian Institute of Family Studies, 10, 11, 65</w:t>
      </w:r>
    </w:p>
    <w:p w14:paraId="418881D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Australian National Audit Office (ANAO) </w:t>
      </w:r>
      <w:r w:rsidRPr="005440A8">
        <w:rPr>
          <w:rFonts w:ascii="Arial" w:hAnsi="Arial" w:cs="Arial"/>
          <w:i/>
          <w:iCs/>
          <w:sz w:val="20"/>
          <w:szCs w:val="20"/>
        </w:rPr>
        <w:t>see</w:t>
      </w:r>
      <w:r w:rsidRPr="005440A8">
        <w:rPr>
          <w:rFonts w:ascii="Arial" w:hAnsi="Arial" w:cs="Arial"/>
          <w:sz w:val="20"/>
          <w:szCs w:val="20"/>
        </w:rPr>
        <w:t xml:space="preserve"> ANAO</w:t>
      </w:r>
    </w:p>
    <w:p w14:paraId="2CE9093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Australian Priority Investment Approach to Welfare, 25</w:t>
      </w:r>
    </w:p>
    <w:p w14:paraId="0313581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Australian Research Alliance for Children and Youth, 65</w:t>
      </w:r>
    </w:p>
    <w:p w14:paraId="18279E1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Australian Taxation Office, 2</w:t>
      </w:r>
    </w:p>
    <w:p w14:paraId="42E968A6"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Australia’s National Research Organisation for Women’s Safety (ANROWS), 58</w:t>
      </w:r>
    </w:p>
    <w:p w14:paraId="0F6075EF" w14:textId="77777777" w:rsidR="005440A8" w:rsidRPr="005440A8" w:rsidRDefault="005440A8" w:rsidP="005440A8">
      <w:pPr>
        <w:pStyle w:val="Main"/>
        <w:widowControl/>
        <w:rPr>
          <w:rFonts w:ascii="Arial" w:hAnsi="Arial" w:cs="Arial"/>
          <w:sz w:val="20"/>
          <w:szCs w:val="20"/>
        </w:rPr>
      </w:pPr>
      <w:proofErr w:type="spellStart"/>
      <w:r w:rsidRPr="005440A8">
        <w:rPr>
          <w:rFonts w:ascii="Arial" w:hAnsi="Arial" w:cs="Arial"/>
          <w:sz w:val="20"/>
          <w:szCs w:val="20"/>
        </w:rPr>
        <w:t>Austudy</w:t>
      </w:r>
      <w:proofErr w:type="spellEnd"/>
      <w:r w:rsidRPr="005440A8">
        <w:rPr>
          <w:rFonts w:ascii="Arial" w:hAnsi="Arial" w:cs="Arial"/>
          <w:sz w:val="20"/>
          <w:szCs w:val="20"/>
        </w:rPr>
        <w:t>, 20</w:t>
      </w:r>
    </w:p>
    <w:p w14:paraId="02990C3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awards and recognition, 111</w:t>
      </w:r>
    </w:p>
    <w:p w14:paraId="4475A0BF" w14:textId="77777777" w:rsidR="005440A8" w:rsidRPr="005440A8" w:rsidRDefault="005440A8" w:rsidP="005440A8">
      <w:pPr>
        <w:pStyle w:val="group"/>
        <w:widowControl/>
        <w:rPr>
          <w:rFonts w:ascii="Arial" w:hAnsi="Arial" w:cs="Arial"/>
          <w:sz w:val="20"/>
          <w:szCs w:val="20"/>
        </w:rPr>
      </w:pPr>
    </w:p>
    <w:p w14:paraId="6FA49D46" w14:textId="77777777" w:rsidR="005440A8" w:rsidRPr="005440A8" w:rsidRDefault="005440A8" w:rsidP="005440A8">
      <w:pPr>
        <w:pStyle w:val="ahead"/>
        <w:widowControl/>
        <w:spacing w:after="120"/>
        <w:ind w:left="0" w:firstLine="0"/>
        <w:rPr>
          <w:b/>
        </w:rPr>
      </w:pPr>
      <w:r w:rsidRPr="005440A8">
        <w:rPr>
          <w:b/>
        </w:rPr>
        <w:t>B</w:t>
      </w:r>
    </w:p>
    <w:p w14:paraId="193267C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Bereavement Allowance, 21</w:t>
      </w:r>
    </w:p>
    <w:p w14:paraId="3DC37BE2"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bushfires, 1, 16, 40, 50, 51, 54</w:t>
      </w:r>
    </w:p>
    <w:p w14:paraId="0F7450F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business continuity management, 102</w:t>
      </w:r>
    </w:p>
    <w:p w14:paraId="7C53C31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business planning, 102</w:t>
      </w:r>
    </w:p>
    <w:p w14:paraId="34711B22" w14:textId="77777777" w:rsidR="005440A8" w:rsidRPr="005440A8" w:rsidRDefault="005440A8" w:rsidP="005440A8">
      <w:pPr>
        <w:pStyle w:val="group"/>
        <w:widowControl/>
        <w:rPr>
          <w:rFonts w:ascii="Arial" w:hAnsi="Arial" w:cs="Arial"/>
          <w:sz w:val="20"/>
          <w:szCs w:val="20"/>
          <w:highlight w:val="yellow"/>
        </w:rPr>
      </w:pPr>
    </w:p>
    <w:p w14:paraId="722ABAE5" w14:textId="77777777" w:rsidR="005440A8" w:rsidRPr="005440A8" w:rsidRDefault="005440A8" w:rsidP="005440A8">
      <w:pPr>
        <w:pStyle w:val="ahead"/>
        <w:widowControl/>
        <w:spacing w:after="120"/>
        <w:ind w:left="0" w:firstLine="0"/>
        <w:rPr>
          <w:b/>
        </w:rPr>
      </w:pPr>
      <w:r w:rsidRPr="005440A8">
        <w:rPr>
          <w:b/>
        </w:rPr>
        <w:t>C</w:t>
      </w:r>
    </w:p>
    <w:p w14:paraId="6C50D15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Campbell, Kathryn, 3, 7</w:t>
      </w:r>
    </w:p>
    <w:p w14:paraId="737BAAAE"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accountable authority, 15, 207</w:t>
      </w:r>
    </w:p>
    <w:p w14:paraId="6A4FB85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Secretary</w:t>
      </w:r>
    </w:p>
    <w:p w14:paraId="0F5FC77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Carer Allowance, 20, 22</w:t>
      </w:r>
    </w:p>
    <w:p w14:paraId="6872C16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Carer Gateway, 1, 16, 199</w:t>
      </w:r>
    </w:p>
    <w:p w14:paraId="157211E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Carer Payment, 20, 22</w:t>
      </w:r>
    </w:p>
    <w:p w14:paraId="54251545"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Carer Recognition Act 2010</w:t>
      </w:r>
      <w:r w:rsidRPr="005440A8">
        <w:rPr>
          <w:rFonts w:ascii="Arial" w:hAnsi="Arial" w:cs="Arial"/>
          <w:sz w:val="20"/>
          <w:szCs w:val="20"/>
        </w:rPr>
        <w:t>, 199</w:t>
      </w:r>
    </w:p>
    <w:p w14:paraId="2DADCFC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Carer Supplement, 22</w:t>
      </w:r>
    </w:p>
    <w:p w14:paraId="000A069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carers </w:t>
      </w:r>
      <w:r w:rsidRPr="005440A8">
        <w:rPr>
          <w:rFonts w:ascii="Arial" w:hAnsi="Arial" w:cs="Arial"/>
          <w:i/>
          <w:iCs/>
          <w:sz w:val="20"/>
          <w:szCs w:val="20"/>
        </w:rPr>
        <w:t>see</w:t>
      </w:r>
      <w:r w:rsidRPr="005440A8">
        <w:rPr>
          <w:rFonts w:ascii="Arial" w:hAnsi="Arial" w:cs="Arial"/>
          <w:sz w:val="20"/>
          <w:szCs w:val="20"/>
        </w:rPr>
        <w:t xml:space="preserve"> disability and carers performance</w:t>
      </w:r>
    </w:p>
    <w:p w14:paraId="1BAB0F1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Cashless Debit Card, 3, 48, 49, 51, 53</w:t>
      </w:r>
    </w:p>
    <w:p w14:paraId="0C6ECF7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census of employees, 110</w:t>
      </w:r>
    </w:p>
    <w:p w14:paraId="1219846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Chief Operating Officer, 8</w:t>
      </w:r>
    </w:p>
    <w:p w14:paraId="77F97FD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Child Disability Assistance Payment, 22</w:t>
      </w:r>
    </w:p>
    <w:p w14:paraId="39AB4BA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Child Payments Program, 20</w:t>
      </w:r>
    </w:p>
    <w:p w14:paraId="7B831891"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21</w:t>
      </w:r>
    </w:p>
    <w:p w14:paraId="6F526204"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Child Support (Assessment) Act 1989</w:t>
      </w:r>
      <w:r w:rsidRPr="005440A8">
        <w:rPr>
          <w:rFonts w:ascii="Arial" w:hAnsi="Arial" w:cs="Arial"/>
          <w:sz w:val="20"/>
          <w:szCs w:val="20"/>
        </w:rPr>
        <w:t>, vi</w:t>
      </w:r>
    </w:p>
    <w:p w14:paraId="468730A9"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Child Support (Registration and Collection) Act 1988</w:t>
      </w:r>
      <w:r w:rsidRPr="005440A8">
        <w:rPr>
          <w:rFonts w:ascii="Arial" w:hAnsi="Arial" w:cs="Arial"/>
          <w:sz w:val="20"/>
          <w:szCs w:val="20"/>
        </w:rPr>
        <w:t>, vi</w:t>
      </w:r>
    </w:p>
    <w:p w14:paraId="4B628AF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Child Support Scheme (CSS), 20, 21</w:t>
      </w:r>
    </w:p>
    <w:p w14:paraId="1E79780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children</w:t>
      </w:r>
    </w:p>
    <w:p w14:paraId="34FE5FAA"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abuse of, 2, 59–60, 63–64, 94–97</w:t>
      </w:r>
    </w:p>
    <w:p w14:paraId="1DA8BC4D"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National Redress Scheme</w:t>
      </w:r>
    </w:p>
    <w:p w14:paraId="6D4C8AA5"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aspirations of Indigenous children, 66</w:t>
      </w:r>
    </w:p>
    <w:p w14:paraId="2C6FD062"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number to qualify for FTB payments, 44</w:t>
      </w:r>
    </w:p>
    <w:p w14:paraId="5899FD91"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in out-of-home care, 59, 60</w:t>
      </w:r>
    </w:p>
    <w:p w14:paraId="26A185D5"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protection of, 3, 41, 42, 49, 59–62</w:t>
      </w:r>
    </w:p>
    <w:p w14:paraId="1D981446" w14:textId="77777777" w:rsidR="005440A8" w:rsidRPr="005440A8" w:rsidRDefault="005440A8" w:rsidP="005440A8">
      <w:pPr>
        <w:pStyle w:val="Sub1"/>
        <w:widowControl/>
        <w:rPr>
          <w:rFonts w:ascii="Arial" w:hAnsi="Arial" w:cs="Arial"/>
          <w:sz w:val="20"/>
          <w:szCs w:val="20"/>
          <w:highlight w:val="yellow"/>
        </w:rPr>
      </w:pPr>
    </w:p>
    <w:p w14:paraId="6E4E776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Code of Conduct (APS), 104</w:t>
      </w:r>
    </w:p>
    <w:p w14:paraId="534695AF" w14:textId="77777777" w:rsidR="005440A8" w:rsidRPr="005440A8" w:rsidRDefault="005440A8" w:rsidP="005440A8">
      <w:pPr>
        <w:pStyle w:val="Main"/>
        <w:widowControl/>
        <w:rPr>
          <w:rFonts w:ascii="Arial" w:hAnsi="Arial" w:cs="Arial"/>
          <w:sz w:val="20"/>
          <w:szCs w:val="20"/>
        </w:rPr>
      </w:pPr>
      <w:proofErr w:type="spellStart"/>
      <w:r w:rsidRPr="005440A8">
        <w:rPr>
          <w:rFonts w:ascii="Arial" w:hAnsi="Arial" w:cs="Arial"/>
          <w:sz w:val="20"/>
          <w:szCs w:val="20"/>
        </w:rPr>
        <w:t>Comcare</w:t>
      </w:r>
      <w:proofErr w:type="spellEnd"/>
      <w:r w:rsidRPr="005440A8">
        <w:rPr>
          <w:rFonts w:ascii="Arial" w:hAnsi="Arial" w:cs="Arial"/>
          <w:sz w:val="20"/>
          <w:szCs w:val="20"/>
        </w:rPr>
        <w:t xml:space="preserve"> workers’ compensation premium rate, 115</w:t>
      </w:r>
    </w:p>
    <w:p w14:paraId="55E9457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Committee on the Rights of Persons with Disability, 78</w:t>
      </w:r>
    </w:p>
    <w:p w14:paraId="711BFAB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committees (governance), 99–100, 101</w:t>
      </w:r>
    </w:p>
    <w:p w14:paraId="596D452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common law contracts, 115</w:t>
      </w:r>
    </w:p>
    <w:p w14:paraId="50037FF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Commonwealth Director of Public Prosecutions, 103</w:t>
      </w:r>
    </w:p>
    <w:p w14:paraId="31516F3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Commonwealth Financial Counselling, 1</w:t>
      </w:r>
    </w:p>
    <w:p w14:paraId="1C2553B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Commonwealth Ombudsman, 106</w:t>
      </w:r>
    </w:p>
    <w:p w14:paraId="5F08BA0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Commonwealth Rent Assistance, 20, 22, 85</w:t>
      </w:r>
    </w:p>
    <w:p w14:paraId="6CD509E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communities </w:t>
      </w:r>
      <w:r w:rsidRPr="005440A8">
        <w:rPr>
          <w:rFonts w:ascii="Arial" w:hAnsi="Arial" w:cs="Arial"/>
          <w:i/>
          <w:iCs/>
          <w:sz w:val="20"/>
          <w:szCs w:val="20"/>
        </w:rPr>
        <w:t>see</w:t>
      </w:r>
      <w:r w:rsidRPr="005440A8">
        <w:rPr>
          <w:rFonts w:ascii="Arial" w:hAnsi="Arial" w:cs="Arial"/>
          <w:sz w:val="20"/>
          <w:szCs w:val="20"/>
        </w:rPr>
        <w:t xml:space="preserve"> families and communities performance</w:t>
      </w:r>
    </w:p>
    <w:p w14:paraId="43EB17E6"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Community Grants Hub, 51, 120</w:t>
      </w:r>
    </w:p>
    <w:p w14:paraId="2D00B8F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lastRenderedPageBreak/>
        <w:t xml:space="preserve">community housing </w:t>
      </w:r>
      <w:r w:rsidRPr="005440A8">
        <w:rPr>
          <w:rFonts w:ascii="Arial" w:hAnsi="Arial" w:cs="Arial"/>
          <w:i/>
          <w:iCs/>
          <w:sz w:val="20"/>
          <w:szCs w:val="20"/>
        </w:rPr>
        <w:t>see</w:t>
      </w:r>
      <w:r w:rsidRPr="005440A8">
        <w:rPr>
          <w:rFonts w:ascii="Arial" w:hAnsi="Arial" w:cs="Arial"/>
          <w:sz w:val="20"/>
          <w:szCs w:val="20"/>
        </w:rPr>
        <w:t xml:space="preserve"> housing performance</w:t>
      </w:r>
    </w:p>
    <w:p w14:paraId="0FC55AA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complaints management, 104</w:t>
      </w:r>
    </w:p>
    <w:p w14:paraId="2132F6C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compliance </w:t>
      </w:r>
      <w:r w:rsidRPr="005440A8">
        <w:rPr>
          <w:rFonts w:ascii="Arial" w:hAnsi="Arial" w:cs="Arial"/>
          <w:i/>
          <w:iCs/>
          <w:sz w:val="20"/>
          <w:szCs w:val="20"/>
        </w:rPr>
        <w:t>see</w:t>
      </w:r>
      <w:r w:rsidRPr="005440A8">
        <w:rPr>
          <w:rFonts w:ascii="Arial" w:hAnsi="Arial" w:cs="Arial"/>
          <w:sz w:val="20"/>
          <w:szCs w:val="20"/>
        </w:rPr>
        <w:t xml:space="preserve"> fraud and corruption</w:t>
      </w:r>
    </w:p>
    <w:p w14:paraId="3B3323A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compliance index, 227</w:t>
      </w:r>
    </w:p>
    <w:p w14:paraId="33EB0626"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consultants, 118–119, 222</w:t>
      </w:r>
    </w:p>
    <w:p w14:paraId="5A57A2C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contact details, ii</w:t>
      </w:r>
    </w:p>
    <w:p w14:paraId="6F0D080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contracts, exempt, 119</w:t>
      </w:r>
    </w:p>
    <w:p w14:paraId="61FAF7C5"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Convention on the Rights of Persons with Disabilities</w:t>
      </w:r>
      <w:r w:rsidRPr="005440A8">
        <w:rPr>
          <w:rFonts w:ascii="Arial" w:hAnsi="Arial" w:cs="Arial"/>
          <w:sz w:val="20"/>
          <w:szCs w:val="20"/>
        </w:rPr>
        <w:t xml:space="preserve"> (CRPD), 78, 201</w:t>
      </w:r>
    </w:p>
    <w:p w14:paraId="740035F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Coronavirus Supplement, 1, 16, 19</w:t>
      </w:r>
    </w:p>
    <w:p w14:paraId="4723A9D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corporate governance </w:t>
      </w:r>
      <w:r w:rsidRPr="005440A8">
        <w:rPr>
          <w:rFonts w:ascii="Arial" w:hAnsi="Arial" w:cs="Arial"/>
          <w:i/>
          <w:iCs/>
          <w:sz w:val="20"/>
          <w:szCs w:val="20"/>
        </w:rPr>
        <w:t>see</w:t>
      </w:r>
      <w:r w:rsidRPr="005440A8">
        <w:rPr>
          <w:rFonts w:ascii="Arial" w:hAnsi="Arial" w:cs="Arial"/>
          <w:sz w:val="20"/>
          <w:szCs w:val="20"/>
        </w:rPr>
        <w:t xml:space="preserve"> governance</w:t>
      </w:r>
    </w:p>
    <w:p w14:paraId="3E384872"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Corporate Plan 2019–20, 16, 24, 102</w:t>
      </w:r>
    </w:p>
    <w:p w14:paraId="104009F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corruption </w:t>
      </w:r>
      <w:r w:rsidRPr="005440A8">
        <w:rPr>
          <w:rFonts w:ascii="Arial" w:hAnsi="Arial" w:cs="Arial"/>
          <w:i/>
          <w:iCs/>
          <w:sz w:val="20"/>
          <w:szCs w:val="20"/>
        </w:rPr>
        <w:t>see</w:t>
      </w:r>
      <w:r w:rsidRPr="005440A8">
        <w:rPr>
          <w:rFonts w:ascii="Arial" w:hAnsi="Arial" w:cs="Arial"/>
          <w:sz w:val="20"/>
          <w:szCs w:val="20"/>
        </w:rPr>
        <w:t xml:space="preserve"> fraud and corruption</w:t>
      </w:r>
    </w:p>
    <w:p w14:paraId="03CC212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COVID-19 pandemic, 1, 16</w:t>
      </w:r>
    </w:p>
    <w:p w14:paraId="49219543"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and domestic violence, 58</w:t>
      </w:r>
    </w:p>
    <w:p w14:paraId="286803FB"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Pandemic Action Plan, 102</w:t>
      </w:r>
    </w:p>
    <w:p w14:paraId="396D8974"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portfolio response to, 18, 47, 75, 95–96, 102, 110, 115–116</w:t>
      </w:r>
    </w:p>
    <w:p w14:paraId="3A3EF5BE"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recovery from, 3</w:t>
      </w:r>
    </w:p>
    <w:p w14:paraId="1C664242"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criminal investigations, 104</w:t>
      </w:r>
    </w:p>
    <w:p w14:paraId="1A08955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culturally and linguistically diverse people</w:t>
      </w:r>
    </w:p>
    <w:p w14:paraId="56565A1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accessing disability services, 72–73, 80</w:t>
      </w:r>
    </w:p>
    <w:p w14:paraId="49CAE744"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accessing families and communities services, 66</w:t>
      </w:r>
    </w:p>
    <w:p w14:paraId="0816FD6A"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on staff, 111, 112</w:t>
      </w:r>
    </w:p>
    <w:p w14:paraId="75047996" w14:textId="77777777" w:rsidR="005440A8" w:rsidRPr="005440A8" w:rsidRDefault="005440A8" w:rsidP="005440A8">
      <w:pPr>
        <w:pStyle w:val="group"/>
        <w:widowControl/>
        <w:rPr>
          <w:rFonts w:ascii="Arial" w:hAnsi="Arial" w:cs="Arial"/>
          <w:sz w:val="20"/>
          <w:szCs w:val="20"/>
        </w:rPr>
      </w:pPr>
    </w:p>
    <w:p w14:paraId="47B96488" w14:textId="77777777" w:rsidR="005440A8" w:rsidRPr="005440A8" w:rsidRDefault="005440A8" w:rsidP="005440A8">
      <w:pPr>
        <w:pStyle w:val="ahead"/>
        <w:widowControl/>
        <w:spacing w:after="120"/>
        <w:ind w:left="0" w:firstLine="0"/>
      </w:pPr>
      <w:r w:rsidRPr="005440A8">
        <w:rPr>
          <w:b/>
        </w:rPr>
        <w:t>D</w:t>
      </w:r>
    </w:p>
    <w:p w14:paraId="2E5284C2"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Dad and Partner Pay, 49</w:t>
      </w:r>
    </w:p>
    <w:p w14:paraId="2EBBC7A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Data Exchange, 78</w:t>
      </w:r>
    </w:p>
    <w:p w14:paraId="74E79FA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debt raising and recovery, 1, 41</w:t>
      </w:r>
    </w:p>
    <w:p w14:paraId="74E4637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deeming rates, 19</w:t>
      </w:r>
    </w:p>
    <w:p w14:paraId="78C7D27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Department of Finance, vi, 118, 119, 192</w:t>
      </w:r>
    </w:p>
    <w:p w14:paraId="24E23F8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Department of Home Affairs, 54</w:t>
      </w:r>
    </w:p>
    <w:p w14:paraId="16AAFFB9"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Department of Social Services Enterprise Agreement 2018 to 2021</w:t>
      </w:r>
      <w:r w:rsidRPr="005440A8">
        <w:rPr>
          <w:rFonts w:ascii="Arial" w:hAnsi="Arial" w:cs="Arial"/>
          <w:sz w:val="20"/>
          <w:szCs w:val="20"/>
        </w:rPr>
        <w:t>, 114</w:t>
      </w:r>
    </w:p>
    <w:p w14:paraId="3921171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Department of the Prime Minister and Cabinet, 60</w:t>
      </w:r>
    </w:p>
    <w:p w14:paraId="4580117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Deputy Secretaries, 6, 8</w:t>
      </w:r>
    </w:p>
    <w:p w14:paraId="5D2A037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DES </w:t>
      </w:r>
      <w:r w:rsidRPr="005440A8">
        <w:rPr>
          <w:rFonts w:ascii="Arial" w:hAnsi="Arial" w:cs="Arial"/>
          <w:i/>
          <w:iCs/>
          <w:sz w:val="20"/>
          <w:szCs w:val="20"/>
        </w:rPr>
        <w:t>see</w:t>
      </w:r>
      <w:r w:rsidRPr="005440A8">
        <w:rPr>
          <w:rFonts w:ascii="Arial" w:hAnsi="Arial" w:cs="Arial"/>
          <w:sz w:val="20"/>
          <w:szCs w:val="20"/>
        </w:rPr>
        <w:t xml:space="preserve"> Disability Employment Services (DES)</w:t>
      </w:r>
    </w:p>
    <w:p w14:paraId="2FD3461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digital reporting tool data, 202–222</w:t>
      </w:r>
    </w:p>
    <w:p w14:paraId="5734CF19"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Digital Transformation Agency, 10, 12</w:t>
      </w:r>
    </w:p>
    <w:p w14:paraId="1FF9DDC2"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direct mail payments, 194</w:t>
      </w:r>
    </w:p>
    <w:p w14:paraId="4FBD0FA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disability, people with, 1, 3, 71</w:t>
      </w:r>
    </w:p>
    <w:p w14:paraId="230D572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employment of, 112, 113</w:t>
      </w:r>
    </w:p>
    <w:p w14:paraId="51D5277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improvement in independence and participation, 77–78</w:t>
      </w:r>
    </w:p>
    <w:p w14:paraId="7957F830" w14:textId="77777777" w:rsidR="005440A8" w:rsidRPr="005440A8" w:rsidRDefault="005440A8" w:rsidP="005440A8">
      <w:pPr>
        <w:pStyle w:val="Sub1"/>
        <w:widowControl/>
        <w:rPr>
          <w:rFonts w:ascii="Arial" w:hAnsi="Arial" w:cs="Arial"/>
          <w:sz w:val="20"/>
          <w:szCs w:val="20"/>
        </w:rPr>
      </w:pPr>
      <w:r w:rsidRPr="005440A8">
        <w:rPr>
          <w:rFonts w:ascii="Arial" w:hAnsi="Arial" w:cs="Arial"/>
          <w:i/>
          <w:iCs/>
          <w:sz w:val="20"/>
          <w:szCs w:val="20"/>
        </w:rPr>
        <w:t>National Disability Strategy 2010–2020</w:t>
      </w:r>
      <w:r w:rsidRPr="005440A8">
        <w:rPr>
          <w:rFonts w:ascii="Arial" w:hAnsi="Arial" w:cs="Arial"/>
          <w:sz w:val="20"/>
          <w:szCs w:val="20"/>
        </w:rPr>
        <w:t>, 3, 72, 77, 78–79</w:t>
      </w:r>
    </w:p>
    <w:p w14:paraId="3ED94239"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w:t>
      </w:r>
      <w:r w:rsidRPr="005440A8">
        <w:rPr>
          <w:rFonts w:ascii="Arial" w:hAnsi="Arial" w:cs="Arial"/>
          <w:i/>
          <w:iCs/>
          <w:sz w:val="20"/>
          <w:szCs w:val="20"/>
        </w:rPr>
        <w:t>Royal Commission into Violence, Abuse, Neglect and Exploitation of People with Disability</w:t>
      </w:r>
    </w:p>
    <w:p w14:paraId="2FCE570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disability and carers performance (Outcome 3)</w:t>
      </w:r>
    </w:p>
    <w:p w14:paraId="19EE7F7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analysis of program performance, 75</w:t>
      </w:r>
    </w:p>
    <w:p w14:paraId="6D9CC7BA"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capacity building of people accessing programs, 77–78</w:t>
      </w:r>
    </w:p>
    <w:p w14:paraId="32A7200F"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disability reporting, 201</w:t>
      </w:r>
    </w:p>
    <w:p w14:paraId="5085B21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key results, 71</w:t>
      </w:r>
    </w:p>
    <w:p w14:paraId="340E29F9"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75, 76</w:t>
      </w:r>
    </w:p>
    <w:p w14:paraId="1E6CF479"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programs and key activities, 72</w:t>
      </w:r>
    </w:p>
    <w:p w14:paraId="54EB9694"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results of key activities performance, 75–83</w:t>
      </w:r>
    </w:p>
    <w:p w14:paraId="6CFC96B0"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results of program performance, 72–74</w:t>
      </w:r>
    </w:p>
    <w:p w14:paraId="312DBF7F"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summary and analysis of, 71</w:t>
      </w:r>
    </w:p>
    <w:p w14:paraId="431831CB"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Disability Employment Services (DES), 71, 72</w:t>
      </w:r>
    </w:p>
    <w:p w14:paraId="123B1D9A"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employment outcomes of participants, 77</w:t>
      </w:r>
    </w:p>
    <w:p w14:paraId="00EB632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Disability Information Helpline, 16</w:t>
      </w:r>
    </w:p>
    <w:p w14:paraId="6147B09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Disability Mental Health and Carers Program, 72</w:t>
      </w:r>
    </w:p>
    <w:p w14:paraId="164DD65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74</w:t>
      </w:r>
    </w:p>
    <w:p w14:paraId="43248BD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Disability Support Pension (DSP), 20</w:t>
      </w:r>
    </w:p>
    <w:p w14:paraId="6C16895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lastRenderedPageBreak/>
        <w:t>diversity and inclusion in the workplace, 111–113</w:t>
      </w:r>
    </w:p>
    <w:p w14:paraId="379F58DF"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Diversity and Inclusion Strategy 2019–2021</w:t>
      </w:r>
      <w:r w:rsidRPr="005440A8">
        <w:rPr>
          <w:rFonts w:ascii="Arial" w:hAnsi="Arial" w:cs="Arial"/>
          <w:sz w:val="20"/>
          <w:szCs w:val="20"/>
        </w:rPr>
        <w:t>, 111, 112</w:t>
      </w:r>
    </w:p>
    <w:p w14:paraId="7721388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domestic and family violence, 2, 3, 58–59</w:t>
      </w:r>
    </w:p>
    <w:p w14:paraId="5081905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Double Orphan Pension, 20, 21</w:t>
      </w:r>
    </w:p>
    <w:p w14:paraId="158C4862"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DV-alert, 58</w:t>
      </w:r>
    </w:p>
    <w:p w14:paraId="41C19019" w14:textId="77777777" w:rsidR="005440A8" w:rsidRPr="005440A8" w:rsidRDefault="005440A8" w:rsidP="005440A8">
      <w:pPr>
        <w:pStyle w:val="group"/>
        <w:widowControl/>
        <w:rPr>
          <w:rFonts w:ascii="Arial" w:hAnsi="Arial" w:cs="Arial"/>
          <w:sz w:val="20"/>
          <w:szCs w:val="20"/>
          <w:highlight w:val="yellow"/>
        </w:rPr>
      </w:pPr>
    </w:p>
    <w:p w14:paraId="39C1E746" w14:textId="77777777" w:rsidR="005440A8" w:rsidRPr="005440A8" w:rsidRDefault="005440A8" w:rsidP="005440A8">
      <w:pPr>
        <w:pStyle w:val="ahead"/>
        <w:widowControl/>
        <w:spacing w:after="120"/>
        <w:ind w:left="0" w:firstLine="0"/>
        <w:rPr>
          <w:b/>
        </w:rPr>
      </w:pPr>
      <w:r w:rsidRPr="005440A8">
        <w:rPr>
          <w:b/>
        </w:rPr>
        <w:t>E</w:t>
      </w:r>
    </w:p>
    <w:p w14:paraId="5ED23A4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ecologically sustainable development, 196–198</w:t>
      </w:r>
    </w:p>
    <w:p w14:paraId="4211909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Economic Justice Australia, 65</w:t>
      </w:r>
    </w:p>
    <w:p w14:paraId="36E443C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Economic Support Payment, 19</w:t>
      </w:r>
    </w:p>
    <w:p w14:paraId="6E07E94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Emergency Relief, 47, 53</w:t>
      </w:r>
    </w:p>
    <w:p w14:paraId="408C278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employees </w:t>
      </w:r>
      <w:r w:rsidRPr="005440A8">
        <w:rPr>
          <w:rFonts w:ascii="Arial" w:hAnsi="Arial" w:cs="Arial"/>
          <w:i/>
          <w:iCs/>
          <w:sz w:val="20"/>
          <w:szCs w:val="20"/>
        </w:rPr>
        <w:t>see</w:t>
      </w:r>
      <w:r w:rsidRPr="005440A8">
        <w:rPr>
          <w:rFonts w:ascii="Arial" w:hAnsi="Arial" w:cs="Arial"/>
          <w:sz w:val="20"/>
          <w:szCs w:val="20"/>
        </w:rPr>
        <w:t xml:space="preserve"> staff</w:t>
      </w:r>
    </w:p>
    <w:p w14:paraId="5BD603E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employment arrangements, 114–115, 219</w:t>
      </w:r>
    </w:p>
    <w:p w14:paraId="3C60407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Employment Principles (APS), 104</w:t>
      </w:r>
    </w:p>
    <w:p w14:paraId="5395A14B"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energy management in departmental offices, 196–197</w:t>
      </w:r>
    </w:p>
    <w:p w14:paraId="2E599D7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Energy Supplement for Commonwealth Seniors Health Card Holders, 20</w:t>
      </w:r>
    </w:p>
    <w:p w14:paraId="3EFA318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enterprise agreement, 114, 219</w:t>
      </w:r>
    </w:p>
    <w:p w14:paraId="1F49C47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environmental performance, 198</w:t>
      </w:r>
    </w:p>
    <w:p w14:paraId="6C03796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Essential Medical Equipment Payment, 21</w:t>
      </w:r>
    </w:p>
    <w:p w14:paraId="5C5437C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ethical standards, 104</w:t>
      </w:r>
    </w:p>
    <w:p w14:paraId="25ECE0A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Executive Agency within portfolio, 10, 23</w:t>
      </w:r>
    </w:p>
    <w:p w14:paraId="0B7431B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Executive Management Group, 99, 101</w:t>
      </w:r>
    </w:p>
    <w:p w14:paraId="03A38C9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executive staff remuneration, 114, 202–203</w:t>
      </w:r>
    </w:p>
    <w:p w14:paraId="3455AAF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exempt contracts, 119</w:t>
      </w:r>
    </w:p>
    <w:p w14:paraId="558D8AD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external scrutiny, 106–109</w:t>
      </w:r>
    </w:p>
    <w:p w14:paraId="32145FA1" w14:textId="77777777" w:rsidR="005440A8" w:rsidRPr="005440A8" w:rsidRDefault="005440A8" w:rsidP="005440A8">
      <w:pPr>
        <w:pStyle w:val="group"/>
        <w:widowControl/>
        <w:rPr>
          <w:rFonts w:ascii="Arial" w:hAnsi="Arial" w:cs="Arial"/>
          <w:sz w:val="20"/>
          <w:szCs w:val="20"/>
          <w:highlight w:val="yellow"/>
        </w:rPr>
      </w:pPr>
    </w:p>
    <w:p w14:paraId="52A57130" w14:textId="77777777" w:rsidR="005440A8" w:rsidRPr="005440A8" w:rsidRDefault="005440A8" w:rsidP="005440A8">
      <w:pPr>
        <w:pStyle w:val="ahead"/>
        <w:widowControl/>
        <w:spacing w:after="120"/>
        <w:ind w:left="0" w:firstLine="0"/>
        <w:rPr>
          <w:b/>
        </w:rPr>
      </w:pPr>
      <w:r w:rsidRPr="005440A8">
        <w:rPr>
          <w:b/>
        </w:rPr>
        <w:t>F</w:t>
      </w:r>
    </w:p>
    <w:p w14:paraId="2FF42624"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Fair Work Act 2009</w:t>
      </w:r>
      <w:r w:rsidRPr="005440A8">
        <w:rPr>
          <w:rFonts w:ascii="Arial" w:hAnsi="Arial" w:cs="Arial"/>
          <w:sz w:val="20"/>
          <w:szCs w:val="20"/>
        </w:rPr>
        <w:t>, 114</w:t>
      </w:r>
    </w:p>
    <w:p w14:paraId="4467F58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Families and Children activity, 49</w:t>
      </w:r>
    </w:p>
    <w:p w14:paraId="63438D6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families and communities performance (Outcome 2)</w:t>
      </w:r>
    </w:p>
    <w:p w14:paraId="31942280"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analysis of program performance, 50, 51</w:t>
      </w:r>
    </w:p>
    <w:p w14:paraId="1AFC54EE"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contribution to national initiatives, 58–64</w:t>
      </w:r>
    </w:p>
    <w:p w14:paraId="5D52EC6D"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delivery measures, 68–70</w:t>
      </w:r>
    </w:p>
    <w:p w14:paraId="5144F3C1"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improvement in individual and family functioning, 53–57</w:t>
      </w:r>
    </w:p>
    <w:p w14:paraId="5D480B01"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key results, 41</w:t>
      </w:r>
    </w:p>
    <w:p w14:paraId="2FDB01AD"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payments and service provision meeting program objectives, 65–67</w:t>
      </w:r>
    </w:p>
    <w:p w14:paraId="7FDC1B4B"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program performance criteria, 50–53</w:t>
      </w:r>
    </w:p>
    <w:p w14:paraId="3A0FF71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programs and key activities, 49</w:t>
      </w:r>
    </w:p>
    <w:p w14:paraId="11872E7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results of key activities performance, 52–70</w:t>
      </w:r>
    </w:p>
    <w:p w14:paraId="0A0E1713"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results of program performance, 49–50</w:t>
      </w:r>
    </w:p>
    <w:p w14:paraId="5997DBD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summary and analysis of, 47</w:t>
      </w:r>
    </w:p>
    <w:p w14:paraId="31D999D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Families and Communities Program</w:t>
      </w:r>
    </w:p>
    <w:p w14:paraId="03EF21E0"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key activities, 49</w:t>
      </w:r>
    </w:p>
    <w:p w14:paraId="07F3494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50</w:t>
      </w:r>
    </w:p>
    <w:p w14:paraId="1B4EAD1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Families Australia, 65</w:t>
      </w:r>
    </w:p>
    <w:p w14:paraId="3452263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Family and Relationship Services Australia, 65</w:t>
      </w:r>
    </w:p>
    <w:p w14:paraId="4E90D8EE"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Family Law Act 1975</w:t>
      </w:r>
      <w:r w:rsidRPr="005440A8">
        <w:rPr>
          <w:rFonts w:ascii="Arial" w:hAnsi="Arial" w:cs="Arial"/>
          <w:sz w:val="20"/>
          <w:szCs w:val="20"/>
        </w:rPr>
        <w:t>, 10</w:t>
      </w:r>
    </w:p>
    <w:p w14:paraId="25DF113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Family Safety activity, 3, 42</w:t>
      </w:r>
    </w:p>
    <w:p w14:paraId="79A3E38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Family Tax Benefit (FTB) Program</w:t>
      </w:r>
    </w:p>
    <w:p w14:paraId="1F5DE5D4"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Child Support Scheme, 20, 21</w:t>
      </w:r>
    </w:p>
    <w:p w14:paraId="7046B9AC"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Family Tax Benefit, 20, 21</w:t>
      </w:r>
    </w:p>
    <w:p w14:paraId="644DFC82"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21</w:t>
      </w:r>
    </w:p>
    <w:p w14:paraId="1EDCFF5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family violence </w:t>
      </w:r>
      <w:r w:rsidRPr="005440A8">
        <w:rPr>
          <w:rFonts w:ascii="Arial" w:hAnsi="Arial" w:cs="Arial"/>
          <w:i/>
          <w:iCs/>
          <w:sz w:val="20"/>
          <w:szCs w:val="20"/>
        </w:rPr>
        <w:t>see</w:t>
      </w:r>
      <w:r w:rsidRPr="005440A8">
        <w:rPr>
          <w:rFonts w:ascii="Arial" w:hAnsi="Arial" w:cs="Arial"/>
          <w:sz w:val="20"/>
          <w:szCs w:val="20"/>
        </w:rPr>
        <w:t xml:space="preserve"> domestic and family violence</w:t>
      </w:r>
    </w:p>
    <w:p w14:paraId="1F3C669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finance</w:t>
      </w:r>
    </w:p>
    <w:p w14:paraId="6B38EC0C"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administered funds, 45–46, 70, 83, 117, 118</w:t>
      </w:r>
    </w:p>
    <w:p w14:paraId="01C47ADB"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assets management, 118</w:t>
      </w:r>
    </w:p>
    <w:p w14:paraId="69A9C5A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consultants, 118–119, 222</w:t>
      </w:r>
    </w:p>
    <w:p w14:paraId="311063F3"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lastRenderedPageBreak/>
        <w:t>departmental resources, 117</w:t>
      </w:r>
    </w:p>
    <w:p w14:paraId="5CD7284F"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exempt contracts, 119</w:t>
      </w:r>
    </w:p>
    <w:p w14:paraId="4532400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financial management, 117–120</w:t>
      </w:r>
    </w:p>
    <w:p w14:paraId="33CF4AE0"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financial performance, 141–143</w:t>
      </w:r>
    </w:p>
    <w:p w14:paraId="3278304B"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financial statements, 122–178</w:t>
      </w:r>
    </w:p>
    <w:p w14:paraId="47E17A92"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grants administration, 120</w:t>
      </w:r>
    </w:p>
    <w:p w14:paraId="30281E43"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initiatives for small business, 119–120</w:t>
      </w:r>
    </w:p>
    <w:p w14:paraId="0E1DC769"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purchasing, 119</w:t>
      </w:r>
    </w:p>
    <w:p w14:paraId="2777BD2B"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resource statements, 180–191</w:t>
      </w:r>
    </w:p>
    <w:p w14:paraId="37A0F30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financial counselling, 1, 3</w:t>
      </w:r>
    </w:p>
    <w:p w14:paraId="349886F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financial statements, 122–178</w:t>
      </w:r>
    </w:p>
    <w:p w14:paraId="5A7FBF99"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Auditor's Report, 122–125</w:t>
      </w:r>
    </w:p>
    <w:p w14:paraId="71E63E0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Financial Wellbeing and Capability activity, 49</w:t>
      </w:r>
    </w:p>
    <w:p w14:paraId="28E76106"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floods, 1</w:t>
      </w:r>
    </w:p>
    <w:p w14:paraId="4F81F706"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Food Relief, 47</w:t>
      </w:r>
    </w:p>
    <w:p w14:paraId="47EE84D6"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Fourth Action Plan of the National Plan to Reduce Violence Against Women and their Children 2010–2022</w:t>
      </w:r>
      <w:r w:rsidRPr="005440A8">
        <w:rPr>
          <w:rFonts w:ascii="Arial" w:hAnsi="Arial" w:cs="Arial"/>
          <w:sz w:val="20"/>
          <w:szCs w:val="20"/>
        </w:rPr>
        <w:t>, 2</w:t>
      </w:r>
    </w:p>
    <w:p w14:paraId="246ACF8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fraud and corruption, 103–104</w:t>
      </w:r>
    </w:p>
    <w:p w14:paraId="30A9047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freedom of information, 105</w:t>
      </w:r>
    </w:p>
    <w:p w14:paraId="5F1D9542"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FTB </w:t>
      </w:r>
      <w:r w:rsidRPr="005440A8">
        <w:rPr>
          <w:rFonts w:ascii="Arial" w:hAnsi="Arial" w:cs="Arial"/>
          <w:i/>
          <w:iCs/>
          <w:sz w:val="20"/>
          <w:szCs w:val="20"/>
        </w:rPr>
        <w:t>see</w:t>
      </w:r>
      <w:r w:rsidRPr="005440A8">
        <w:rPr>
          <w:rFonts w:ascii="Arial" w:hAnsi="Arial" w:cs="Arial"/>
          <w:sz w:val="20"/>
          <w:szCs w:val="20"/>
        </w:rPr>
        <w:t xml:space="preserve"> Family Tax Benefit (FTB) Program</w:t>
      </w:r>
    </w:p>
    <w:p w14:paraId="0CF3F61F" w14:textId="77777777" w:rsidR="005440A8" w:rsidRPr="005440A8" w:rsidRDefault="005440A8" w:rsidP="005440A8">
      <w:pPr>
        <w:pStyle w:val="group"/>
        <w:widowControl/>
        <w:rPr>
          <w:rFonts w:ascii="Arial" w:hAnsi="Arial" w:cs="Arial"/>
          <w:sz w:val="20"/>
          <w:szCs w:val="20"/>
          <w:highlight w:val="yellow"/>
        </w:rPr>
      </w:pPr>
    </w:p>
    <w:p w14:paraId="0635C162" w14:textId="77777777" w:rsidR="005440A8" w:rsidRPr="005440A8" w:rsidRDefault="005440A8" w:rsidP="005440A8">
      <w:pPr>
        <w:pStyle w:val="ahead"/>
        <w:widowControl/>
        <w:spacing w:after="120"/>
        <w:ind w:left="0" w:firstLine="0"/>
        <w:rPr>
          <w:b/>
        </w:rPr>
      </w:pPr>
      <w:r w:rsidRPr="005440A8">
        <w:rPr>
          <w:b/>
        </w:rPr>
        <w:t>G</w:t>
      </w:r>
    </w:p>
    <w:p w14:paraId="57486FF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gambling online, 47</w:t>
      </w:r>
    </w:p>
    <w:p w14:paraId="10FC4CB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governance, 99–105</w:t>
      </w:r>
    </w:p>
    <w:p w14:paraId="3A18F21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structure, 101</w:t>
      </w:r>
    </w:p>
    <w:p w14:paraId="6A0C006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Graduate Development Program, 114</w:t>
      </w:r>
    </w:p>
    <w:p w14:paraId="69780AB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grants administration, 120</w:t>
      </w:r>
    </w:p>
    <w:p w14:paraId="3D3F06A3" w14:textId="77777777" w:rsidR="005440A8" w:rsidRPr="005440A8" w:rsidRDefault="005440A8" w:rsidP="005440A8">
      <w:pPr>
        <w:pStyle w:val="group"/>
        <w:widowControl/>
        <w:rPr>
          <w:rFonts w:ascii="Arial" w:hAnsi="Arial" w:cs="Arial"/>
          <w:sz w:val="20"/>
          <w:szCs w:val="20"/>
          <w:highlight w:val="yellow"/>
        </w:rPr>
      </w:pPr>
    </w:p>
    <w:p w14:paraId="35EE68FE" w14:textId="77777777" w:rsidR="005440A8" w:rsidRPr="005440A8" w:rsidRDefault="005440A8" w:rsidP="005440A8">
      <w:pPr>
        <w:pStyle w:val="ahead"/>
        <w:widowControl/>
        <w:spacing w:after="120"/>
        <w:ind w:left="0" w:firstLine="0"/>
        <w:rPr>
          <w:b/>
        </w:rPr>
      </w:pPr>
      <w:r w:rsidRPr="005440A8">
        <w:rPr>
          <w:b/>
        </w:rPr>
        <w:t>H</w:t>
      </w:r>
    </w:p>
    <w:p w14:paraId="163EA09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health and safety </w:t>
      </w:r>
      <w:r w:rsidRPr="005440A8">
        <w:rPr>
          <w:rFonts w:ascii="Arial" w:hAnsi="Arial" w:cs="Arial"/>
          <w:i/>
          <w:iCs/>
          <w:sz w:val="20"/>
          <w:szCs w:val="20"/>
        </w:rPr>
        <w:t>see</w:t>
      </w:r>
      <w:r w:rsidRPr="005440A8">
        <w:rPr>
          <w:rFonts w:ascii="Arial" w:hAnsi="Arial" w:cs="Arial"/>
          <w:sz w:val="20"/>
          <w:szCs w:val="20"/>
        </w:rPr>
        <w:t xml:space="preserve"> work health and safety</w:t>
      </w:r>
    </w:p>
    <w:p w14:paraId="7BA3327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Hearing Australia, 10, 12</w:t>
      </w:r>
    </w:p>
    <w:p w14:paraId="3ED4043B"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Help is Here campaign, 2, 192</w:t>
      </w:r>
    </w:p>
    <w:p w14:paraId="66B30ECB"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homelessness </w:t>
      </w:r>
      <w:r w:rsidRPr="005440A8">
        <w:rPr>
          <w:rFonts w:ascii="Arial" w:hAnsi="Arial" w:cs="Arial"/>
          <w:i/>
          <w:iCs/>
          <w:sz w:val="20"/>
          <w:szCs w:val="20"/>
        </w:rPr>
        <w:t>see</w:t>
      </w:r>
      <w:r w:rsidRPr="005440A8">
        <w:rPr>
          <w:rFonts w:ascii="Arial" w:hAnsi="Arial" w:cs="Arial"/>
          <w:sz w:val="20"/>
          <w:szCs w:val="20"/>
        </w:rPr>
        <w:t xml:space="preserve"> housing performance</w:t>
      </w:r>
    </w:p>
    <w:p w14:paraId="7E4B66E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Housing and Homelessness Program, 86</w:t>
      </w:r>
    </w:p>
    <w:p w14:paraId="2DB767A3"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87</w:t>
      </w:r>
    </w:p>
    <w:p w14:paraId="700FA936"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housing performance (Outcome 4), 2, 3</w:t>
      </w:r>
    </w:p>
    <w:p w14:paraId="23DB6405"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analysis of program performance, 88</w:t>
      </w:r>
    </w:p>
    <w:p w14:paraId="3298E0C5"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contribution to national initiatives, 91</w:t>
      </w:r>
    </w:p>
    <w:p w14:paraId="2DF3ADF3"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data improvement plan, 85</w:t>
      </w:r>
    </w:p>
    <w:p w14:paraId="78650895"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delivery measures, 92</w:t>
      </w:r>
    </w:p>
    <w:p w14:paraId="57073D01"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improvement in rental affordability, 90</w:t>
      </w:r>
    </w:p>
    <w:p w14:paraId="4BBC3963"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key results, 85</w:t>
      </w:r>
    </w:p>
    <w:p w14:paraId="0EF265A2"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89</w:t>
      </w:r>
    </w:p>
    <w:p w14:paraId="0431A31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programs and key activities, 86</w:t>
      </w:r>
    </w:p>
    <w:p w14:paraId="7F4A5569"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results of key activities performance, 89–92</w:t>
      </w:r>
    </w:p>
    <w:p w14:paraId="61BB95DA"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results of program performance, 87</w:t>
      </w:r>
    </w:p>
    <w:p w14:paraId="7470BE02"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summary and analysis of, 84</w:t>
      </w:r>
    </w:p>
    <w:p w14:paraId="24364F8F" w14:textId="77777777" w:rsidR="005440A8" w:rsidRPr="005440A8" w:rsidRDefault="005440A8" w:rsidP="005440A8">
      <w:pPr>
        <w:pStyle w:val="Main"/>
        <w:widowControl/>
        <w:rPr>
          <w:rFonts w:ascii="Arial" w:hAnsi="Arial" w:cs="Arial"/>
          <w:sz w:val="20"/>
          <w:szCs w:val="20"/>
        </w:rPr>
      </w:pPr>
      <w:proofErr w:type="spellStart"/>
      <w:r w:rsidRPr="005440A8">
        <w:rPr>
          <w:rFonts w:ascii="Arial" w:hAnsi="Arial" w:cs="Arial"/>
          <w:sz w:val="20"/>
          <w:szCs w:val="20"/>
        </w:rPr>
        <w:t>Howarth</w:t>
      </w:r>
      <w:proofErr w:type="spellEnd"/>
      <w:r w:rsidRPr="005440A8">
        <w:rPr>
          <w:rFonts w:ascii="Arial" w:hAnsi="Arial" w:cs="Arial"/>
          <w:sz w:val="20"/>
          <w:szCs w:val="20"/>
        </w:rPr>
        <w:t>, Hon. Luke, 10, 13</w:t>
      </w:r>
    </w:p>
    <w:p w14:paraId="5296EC1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human resources </w:t>
      </w:r>
      <w:r w:rsidRPr="005440A8">
        <w:rPr>
          <w:rFonts w:ascii="Arial" w:hAnsi="Arial" w:cs="Arial"/>
          <w:i/>
          <w:iCs/>
          <w:sz w:val="20"/>
          <w:szCs w:val="20"/>
        </w:rPr>
        <w:t>see</w:t>
      </w:r>
      <w:r w:rsidRPr="005440A8">
        <w:rPr>
          <w:rFonts w:ascii="Arial" w:hAnsi="Arial" w:cs="Arial"/>
          <w:sz w:val="20"/>
          <w:szCs w:val="20"/>
        </w:rPr>
        <w:t xml:space="preserve"> staff</w:t>
      </w:r>
    </w:p>
    <w:p w14:paraId="02EC8268" w14:textId="77777777" w:rsidR="005440A8" w:rsidRPr="005440A8" w:rsidRDefault="005440A8" w:rsidP="005440A8">
      <w:pPr>
        <w:pStyle w:val="group"/>
        <w:widowControl/>
        <w:rPr>
          <w:rFonts w:ascii="Arial" w:hAnsi="Arial" w:cs="Arial"/>
          <w:sz w:val="20"/>
          <w:szCs w:val="20"/>
          <w:highlight w:val="yellow"/>
        </w:rPr>
      </w:pPr>
    </w:p>
    <w:p w14:paraId="465384E8" w14:textId="77777777" w:rsidR="005440A8" w:rsidRPr="005440A8" w:rsidRDefault="005440A8" w:rsidP="005440A8">
      <w:pPr>
        <w:pStyle w:val="ahead"/>
        <w:widowControl/>
        <w:spacing w:after="120"/>
        <w:ind w:left="0" w:firstLine="0"/>
        <w:rPr>
          <w:b/>
        </w:rPr>
      </w:pPr>
      <w:r w:rsidRPr="005440A8">
        <w:rPr>
          <w:b/>
        </w:rPr>
        <w:t>I</w:t>
      </w:r>
    </w:p>
    <w:p w14:paraId="0D1E89C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Implementation Committee, 101</w:t>
      </w:r>
    </w:p>
    <w:p w14:paraId="6799864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inclusion and diversity in the workplace, 111–113</w:t>
      </w:r>
    </w:p>
    <w:p w14:paraId="07C1B8A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Income Support for Carers Program, 20</w:t>
      </w:r>
    </w:p>
    <w:p w14:paraId="2DD58422"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22</w:t>
      </w:r>
    </w:p>
    <w:p w14:paraId="733ADF4B"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lastRenderedPageBreak/>
        <w:t>Income Support for People in Special Circumstances Program, 20</w:t>
      </w:r>
    </w:p>
    <w:p w14:paraId="3495435F"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21</w:t>
      </w:r>
    </w:p>
    <w:p w14:paraId="5D46688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Income Support for People with Disability Program, 20</w:t>
      </w:r>
    </w:p>
    <w:p w14:paraId="7125EFA4"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21</w:t>
      </w:r>
    </w:p>
    <w:p w14:paraId="57676189"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Income Support for Seniors Program, 20</w:t>
      </w:r>
    </w:p>
    <w:p w14:paraId="3415A175"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21</w:t>
      </w:r>
    </w:p>
    <w:p w14:paraId="3CDFD36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Income Support for Vulnerable People Program, 20</w:t>
      </w:r>
    </w:p>
    <w:p w14:paraId="71BEF933"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21</w:t>
      </w:r>
    </w:p>
    <w:p w14:paraId="466B1C5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Indigenous Apprenticeships Program, 112</w:t>
      </w:r>
    </w:p>
    <w:p w14:paraId="162B883B"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Indigenous Champion, 112</w:t>
      </w:r>
    </w:p>
    <w:p w14:paraId="1F16099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Indigenous Cultural Awareness Training, 110</w:t>
      </w:r>
    </w:p>
    <w:p w14:paraId="2B7B9F22"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Indigenous employment, 112, 113</w:t>
      </w:r>
    </w:p>
    <w:p w14:paraId="40949FB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Indigenous Internship Program, 112</w:t>
      </w:r>
    </w:p>
    <w:p w14:paraId="20BEEF9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Indigenous people accessing services, 58, 80, 95</w:t>
      </w:r>
    </w:p>
    <w:p w14:paraId="57FA46B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Indigenous Procurement Policy, 119</w:t>
      </w:r>
    </w:p>
    <w:p w14:paraId="3778235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Indigenous students in boarding schools, 2</w:t>
      </w:r>
    </w:p>
    <w:p w14:paraId="16F17FC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Individual Flexibility Arrangements for non-SES employees, 114, 219</w:t>
      </w:r>
    </w:p>
    <w:p w14:paraId="49C0AD3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Information Publication Scheme (IPS), 105</w:t>
      </w:r>
    </w:p>
    <w:p w14:paraId="7FC21DB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Integrated Carer Support Service, 71</w:t>
      </w:r>
    </w:p>
    <w:p w14:paraId="54FA4C7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internal audits, 102</w:t>
      </w:r>
    </w:p>
    <w:p w14:paraId="2155705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investigations into fraud and corruption, 104</w:t>
      </w:r>
    </w:p>
    <w:p w14:paraId="65C38907" w14:textId="77777777" w:rsidR="005440A8" w:rsidRPr="005440A8" w:rsidRDefault="005440A8" w:rsidP="005440A8">
      <w:pPr>
        <w:pStyle w:val="group"/>
        <w:widowControl/>
        <w:rPr>
          <w:rFonts w:ascii="Arial" w:hAnsi="Arial" w:cs="Arial"/>
          <w:sz w:val="20"/>
          <w:szCs w:val="20"/>
          <w:highlight w:val="yellow"/>
        </w:rPr>
      </w:pPr>
    </w:p>
    <w:p w14:paraId="196CC011" w14:textId="77777777" w:rsidR="005440A8" w:rsidRPr="005440A8" w:rsidRDefault="005440A8" w:rsidP="005440A8">
      <w:pPr>
        <w:pStyle w:val="ahead"/>
        <w:widowControl/>
        <w:spacing w:after="120"/>
        <w:ind w:left="0" w:firstLine="0"/>
        <w:rPr>
          <w:b/>
        </w:rPr>
      </w:pPr>
      <w:r w:rsidRPr="005440A8">
        <w:rPr>
          <w:b/>
        </w:rPr>
        <w:t>J</w:t>
      </w:r>
    </w:p>
    <w:p w14:paraId="7C10FC93" w14:textId="77777777" w:rsidR="005440A8" w:rsidRPr="005440A8" w:rsidRDefault="005440A8" w:rsidP="005440A8">
      <w:pPr>
        <w:pStyle w:val="Main"/>
        <w:widowControl/>
        <w:rPr>
          <w:rFonts w:ascii="Arial" w:hAnsi="Arial" w:cs="Arial"/>
          <w:sz w:val="20"/>
          <w:szCs w:val="20"/>
        </w:rPr>
      </w:pPr>
      <w:proofErr w:type="spellStart"/>
      <w:r w:rsidRPr="005440A8">
        <w:rPr>
          <w:rFonts w:ascii="Arial" w:hAnsi="Arial" w:cs="Arial"/>
          <w:sz w:val="20"/>
          <w:szCs w:val="20"/>
        </w:rPr>
        <w:t>JobKeeper</w:t>
      </w:r>
      <w:proofErr w:type="spellEnd"/>
      <w:r w:rsidRPr="005440A8">
        <w:rPr>
          <w:rFonts w:ascii="Arial" w:hAnsi="Arial" w:cs="Arial"/>
          <w:sz w:val="20"/>
          <w:szCs w:val="20"/>
        </w:rPr>
        <w:t xml:space="preserve"> Payment, 48</w:t>
      </w:r>
    </w:p>
    <w:p w14:paraId="32B6A0A5" w14:textId="77777777" w:rsidR="005440A8" w:rsidRPr="005440A8" w:rsidRDefault="005440A8" w:rsidP="005440A8">
      <w:pPr>
        <w:pStyle w:val="Main"/>
        <w:widowControl/>
        <w:rPr>
          <w:rFonts w:ascii="Arial" w:hAnsi="Arial" w:cs="Arial"/>
          <w:sz w:val="20"/>
          <w:szCs w:val="20"/>
        </w:rPr>
      </w:pPr>
      <w:proofErr w:type="spellStart"/>
      <w:r w:rsidRPr="005440A8">
        <w:rPr>
          <w:rFonts w:ascii="Arial" w:hAnsi="Arial" w:cs="Arial"/>
          <w:sz w:val="20"/>
          <w:szCs w:val="20"/>
        </w:rPr>
        <w:t>JobSeeker</w:t>
      </w:r>
      <w:proofErr w:type="spellEnd"/>
      <w:r w:rsidRPr="005440A8">
        <w:rPr>
          <w:rFonts w:ascii="Arial" w:hAnsi="Arial" w:cs="Arial"/>
          <w:sz w:val="20"/>
          <w:szCs w:val="20"/>
        </w:rPr>
        <w:t xml:space="preserve"> Payment, 1, 16, 19, 20, 23, 29, 30, 31</w:t>
      </w:r>
    </w:p>
    <w:p w14:paraId="233D9C8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judicial decisions, 106</w:t>
      </w:r>
    </w:p>
    <w:p w14:paraId="0DABB96C" w14:textId="77777777" w:rsidR="005440A8" w:rsidRPr="005440A8" w:rsidRDefault="005440A8" w:rsidP="005440A8">
      <w:pPr>
        <w:pStyle w:val="group"/>
        <w:widowControl/>
        <w:rPr>
          <w:rFonts w:ascii="Arial" w:hAnsi="Arial" w:cs="Arial"/>
          <w:sz w:val="20"/>
          <w:szCs w:val="20"/>
          <w:highlight w:val="yellow"/>
        </w:rPr>
      </w:pPr>
    </w:p>
    <w:p w14:paraId="0FF522CE" w14:textId="77777777" w:rsidR="005440A8" w:rsidRPr="005440A8" w:rsidRDefault="005440A8" w:rsidP="005440A8">
      <w:pPr>
        <w:pStyle w:val="ahead"/>
        <w:widowControl/>
        <w:spacing w:after="120"/>
        <w:ind w:left="0" w:firstLine="0"/>
        <w:rPr>
          <w:b/>
        </w:rPr>
      </w:pPr>
      <w:r w:rsidRPr="005440A8">
        <w:rPr>
          <w:b/>
        </w:rPr>
        <w:t>K</w:t>
      </w:r>
    </w:p>
    <w:p w14:paraId="4A44DFA6"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Keeping Women Safe in Their Homes initiative, 58</w:t>
      </w:r>
    </w:p>
    <w:p w14:paraId="4F44C09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key activities, 16</w:t>
      </w:r>
    </w:p>
    <w:p w14:paraId="1B9D402B"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disability and carers performance, 72</w:t>
      </w:r>
    </w:p>
    <w:p w14:paraId="7AB366E4"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families and communities performance, 49, 49–70</w:t>
      </w:r>
    </w:p>
    <w:p w14:paraId="4F7F3EA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housing performance, 86</w:t>
      </w:r>
    </w:p>
    <w:p w14:paraId="5F93500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social security performance, 16, 24–45</w:t>
      </w:r>
    </w:p>
    <w:p w14:paraId="317201B3" w14:textId="77777777" w:rsidR="005440A8" w:rsidRPr="005440A8" w:rsidRDefault="005440A8" w:rsidP="005440A8">
      <w:pPr>
        <w:pStyle w:val="group"/>
        <w:widowControl/>
        <w:rPr>
          <w:rFonts w:ascii="Arial" w:hAnsi="Arial" w:cs="Arial"/>
          <w:sz w:val="20"/>
          <w:szCs w:val="20"/>
          <w:highlight w:val="yellow"/>
        </w:rPr>
      </w:pPr>
    </w:p>
    <w:p w14:paraId="7DB7EBBE" w14:textId="77777777" w:rsidR="005440A8" w:rsidRPr="005440A8" w:rsidRDefault="005440A8" w:rsidP="005440A8">
      <w:pPr>
        <w:pStyle w:val="ahead"/>
        <w:widowControl/>
        <w:spacing w:after="120"/>
        <w:ind w:left="0" w:firstLine="0"/>
        <w:rPr>
          <w:b/>
        </w:rPr>
      </w:pPr>
      <w:r w:rsidRPr="005440A8">
        <w:rPr>
          <w:b/>
        </w:rPr>
        <w:t>L</w:t>
      </w:r>
    </w:p>
    <w:p w14:paraId="13DBCF5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Landry, Hon. Michelle, 10, 13</w:t>
      </w:r>
    </w:p>
    <w:p w14:paraId="72ACEA2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leadership and management programs for staff, 110</w:t>
      </w:r>
    </w:p>
    <w:p w14:paraId="6E9EEB6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learning and development for staff, 110</w:t>
      </w:r>
    </w:p>
    <w:p w14:paraId="61BA7CC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letter of transmittal, vi</w:t>
      </w:r>
    </w:p>
    <w:p w14:paraId="4A50CEF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LGBTIQ (lesbian, gay, bisexual, transgender, intersex and queer staff), 113</w:t>
      </w:r>
    </w:p>
    <w:p w14:paraId="1920547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location of staff, 19, 218</w:t>
      </w:r>
    </w:p>
    <w:p w14:paraId="0855FDD4" w14:textId="77777777" w:rsidR="005440A8" w:rsidRPr="005440A8" w:rsidRDefault="005440A8" w:rsidP="005440A8">
      <w:pPr>
        <w:pStyle w:val="group"/>
        <w:widowControl/>
        <w:rPr>
          <w:rFonts w:ascii="Arial" w:hAnsi="Arial" w:cs="Arial"/>
          <w:sz w:val="20"/>
          <w:szCs w:val="20"/>
          <w:highlight w:val="yellow"/>
        </w:rPr>
      </w:pPr>
    </w:p>
    <w:p w14:paraId="65F76D41" w14:textId="77777777" w:rsidR="005440A8" w:rsidRPr="005440A8" w:rsidRDefault="005440A8" w:rsidP="005440A8">
      <w:pPr>
        <w:pStyle w:val="ahead"/>
        <w:widowControl/>
        <w:spacing w:after="120"/>
        <w:ind w:left="0" w:firstLine="0"/>
        <w:rPr>
          <w:b/>
        </w:rPr>
      </w:pPr>
      <w:r w:rsidRPr="005440A8">
        <w:rPr>
          <w:b/>
        </w:rPr>
        <w:t>M</w:t>
      </w:r>
    </w:p>
    <w:p w14:paraId="60273C2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machinery of government changes, 54</w:t>
      </w:r>
    </w:p>
    <w:p w14:paraId="5C3B0FA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management and accountability</w:t>
      </w:r>
    </w:p>
    <w:p w14:paraId="60D3C2E5"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external scrutiny, 106–109</w:t>
      </w:r>
    </w:p>
    <w:p w14:paraId="36E8AD80"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financial management, 117–120</w:t>
      </w:r>
    </w:p>
    <w:p w14:paraId="1754C6F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governance structure, 99–105</w:t>
      </w:r>
    </w:p>
    <w:p w14:paraId="2A61C5CD"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people management, 110–116</w:t>
      </w:r>
    </w:p>
    <w:p w14:paraId="03EE1BA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market research, 194</w:t>
      </w:r>
    </w:p>
    <w:p w14:paraId="60A852E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mental health, 72, 111, 115</w:t>
      </w:r>
    </w:p>
    <w:p w14:paraId="348225D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Minister for Families and Social Services, vi, 10, 94</w:t>
      </w:r>
    </w:p>
    <w:p w14:paraId="7FF2777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Minister for Government Services, vi, 10</w:t>
      </w:r>
    </w:p>
    <w:p w14:paraId="13DE836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lastRenderedPageBreak/>
        <w:t>Minister for the National Disability Insurance Scheme, vi, 10</w:t>
      </w:r>
    </w:p>
    <w:p w14:paraId="5A62BDA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mission statement, 5</w:t>
      </w:r>
    </w:p>
    <w:p w14:paraId="1913CB2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Mobility Allowance, 22</w:t>
      </w:r>
    </w:p>
    <w:p w14:paraId="276646B4" w14:textId="77777777" w:rsidR="005440A8" w:rsidRPr="005440A8" w:rsidRDefault="005440A8" w:rsidP="005440A8">
      <w:pPr>
        <w:pStyle w:val="group"/>
        <w:widowControl/>
        <w:rPr>
          <w:rFonts w:ascii="Arial" w:hAnsi="Arial" w:cs="Arial"/>
          <w:sz w:val="20"/>
          <w:szCs w:val="20"/>
          <w:highlight w:val="yellow"/>
        </w:rPr>
      </w:pPr>
    </w:p>
    <w:p w14:paraId="19B33A90" w14:textId="77777777" w:rsidR="005440A8" w:rsidRPr="005440A8" w:rsidRDefault="005440A8" w:rsidP="005440A8">
      <w:pPr>
        <w:pStyle w:val="ahead"/>
        <w:widowControl/>
        <w:spacing w:after="120"/>
        <w:ind w:left="0" w:firstLine="0"/>
        <w:rPr>
          <w:b/>
        </w:rPr>
      </w:pPr>
      <w:r w:rsidRPr="005440A8">
        <w:rPr>
          <w:b/>
        </w:rPr>
        <w:t>N</w:t>
      </w:r>
    </w:p>
    <w:p w14:paraId="0BDA719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National Centre for the Prevention of Child Sexual Abuse, 63, 64</w:t>
      </w:r>
    </w:p>
    <w:p w14:paraId="564582E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National Community Attitudes towards Violence against Women Survey (NCAS) 2017, 59</w:t>
      </w:r>
    </w:p>
    <w:p w14:paraId="43BCB7B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National Consumer Protection Framework for Online Wagering, 47</w:t>
      </w:r>
    </w:p>
    <w:p w14:paraId="39E06D0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National Debt Helpline, 1</w:t>
      </w:r>
    </w:p>
    <w:p w14:paraId="71C369F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National Disability Insurance Agency (NDIA), 10, 11, 71</w:t>
      </w:r>
    </w:p>
    <w:p w14:paraId="70C48942"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National Disability Insurance Scheme Act 2013</w:t>
      </w:r>
      <w:r w:rsidRPr="005440A8">
        <w:rPr>
          <w:rFonts w:ascii="Arial" w:hAnsi="Arial" w:cs="Arial"/>
          <w:sz w:val="20"/>
          <w:szCs w:val="20"/>
        </w:rPr>
        <w:t>, 10, 11</w:t>
      </w:r>
    </w:p>
    <w:p w14:paraId="3ED29E1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review of, 1, 72–73</w:t>
      </w:r>
    </w:p>
    <w:p w14:paraId="3107AE99"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National Disability Insurance Scheme (NDIS), 1, 3, 11, 71</w:t>
      </w:r>
    </w:p>
    <w:p w14:paraId="0EC2000C"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Commonwealth funding transitioned to, 82</w:t>
      </w:r>
    </w:p>
    <w:p w14:paraId="43888561"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creating an effective and sustainable scheme, 79</w:t>
      </w:r>
    </w:p>
    <w:p w14:paraId="6771BCD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Jobs and Market Fund projects, 82</w:t>
      </w:r>
    </w:p>
    <w:p w14:paraId="116685CF"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74</w:t>
      </w:r>
    </w:p>
    <w:p w14:paraId="252819C9"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National Disability Strategy 2010–2020</w:t>
      </w:r>
      <w:r w:rsidRPr="005440A8">
        <w:rPr>
          <w:rFonts w:ascii="Arial" w:hAnsi="Arial" w:cs="Arial"/>
          <w:sz w:val="20"/>
          <w:szCs w:val="20"/>
        </w:rPr>
        <w:t>, 3, 72, 75, 79, 201</w:t>
      </w:r>
    </w:p>
    <w:p w14:paraId="0E7207B8"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National Framework for Protecting Australia’s Children 2009–2020</w:t>
      </w:r>
      <w:r w:rsidRPr="005440A8">
        <w:rPr>
          <w:rFonts w:ascii="Arial" w:hAnsi="Arial" w:cs="Arial"/>
          <w:sz w:val="20"/>
          <w:szCs w:val="20"/>
        </w:rPr>
        <w:t>, 3, 48, 59</w:t>
      </w:r>
    </w:p>
    <w:p w14:paraId="479ECD3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National Housing and Homelessness Agreement (NHHA), 2, 3, 84, 85, 86, 88</w:t>
      </w:r>
    </w:p>
    <w:p w14:paraId="3232EF9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national initiatives, contributing to, 58–64, 79</w:t>
      </w:r>
    </w:p>
    <w:p w14:paraId="671DB04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National Office of Child Safety (NOCS), 60</w:t>
      </w:r>
    </w:p>
    <w:p w14:paraId="7900270C"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National Plan to Reduce Violence against Women and their Children 2010–2022</w:t>
      </w:r>
      <w:r w:rsidRPr="005440A8">
        <w:rPr>
          <w:rFonts w:ascii="Arial" w:hAnsi="Arial" w:cs="Arial"/>
          <w:sz w:val="20"/>
          <w:szCs w:val="20"/>
        </w:rPr>
        <w:t>, 2, 3, 48, 58, 84</w:t>
      </w:r>
    </w:p>
    <w:p w14:paraId="15E6EB5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National Redress Scheme for Institutional Child Sexual Abuse, 2, 3, 49, 50, 69, 70</w:t>
      </w:r>
    </w:p>
    <w:p w14:paraId="56DF9610"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complaints received, 104</w:t>
      </w:r>
    </w:p>
    <w:p w14:paraId="5A8CD0C2"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key statistics, 96</w:t>
      </w:r>
    </w:p>
    <w:p w14:paraId="6731805C"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operation of, 94–96</w:t>
      </w:r>
    </w:p>
    <w:p w14:paraId="71163A1D"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National Redress Scheme for Institutional Child Sexual Abuse Act 2018</w:t>
      </w:r>
      <w:r w:rsidRPr="005440A8">
        <w:rPr>
          <w:rFonts w:ascii="Arial" w:hAnsi="Arial" w:cs="Arial"/>
          <w:sz w:val="20"/>
          <w:szCs w:val="20"/>
        </w:rPr>
        <w:t>, vi, 94</w:t>
      </w:r>
    </w:p>
    <w:p w14:paraId="7CC04B9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National </w:t>
      </w:r>
      <w:r w:rsidRPr="005440A8">
        <w:rPr>
          <w:rFonts w:ascii="Arial" w:hAnsi="Arial" w:cs="Arial"/>
          <w:i/>
          <w:iCs/>
          <w:sz w:val="20"/>
          <w:szCs w:val="20"/>
        </w:rPr>
        <w:t>Redress Scheme for Institutional Child Sexual Abuse Rules 2018</w:t>
      </w:r>
      <w:r w:rsidRPr="005440A8">
        <w:rPr>
          <w:rFonts w:ascii="Arial" w:hAnsi="Arial" w:cs="Arial"/>
          <w:sz w:val="20"/>
          <w:szCs w:val="20"/>
        </w:rPr>
        <w:t>, 94</w:t>
      </w:r>
    </w:p>
    <w:p w14:paraId="781FDC3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National Regulatory System for Community Housing, 85</w:t>
      </w:r>
    </w:p>
    <w:p w14:paraId="794FB1B2"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National Rental Affordability Scheme (NRAS), 88, 90 79, 105</w:t>
      </w:r>
    </w:p>
    <w:p w14:paraId="0160EEC8"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National Strategy for the Prevention of Child Sexual Abuse</w:t>
      </w:r>
      <w:r w:rsidRPr="005440A8">
        <w:rPr>
          <w:rFonts w:ascii="Arial" w:hAnsi="Arial" w:cs="Arial"/>
          <w:sz w:val="20"/>
          <w:szCs w:val="20"/>
        </w:rPr>
        <w:t>, 63</w:t>
      </w:r>
    </w:p>
    <w:p w14:paraId="7EB51E8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NCAS (National Community Attitudes towards Violence against Women Survey 2017), 59</w:t>
      </w:r>
    </w:p>
    <w:p w14:paraId="05614A3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NDIA (National Disability Insurance Agency), 10, 11, 71</w:t>
      </w:r>
    </w:p>
    <w:p w14:paraId="0069A45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NDIS </w:t>
      </w:r>
      <w:r w:rsidRPr="005440A8">
        <w:rPr>
          <w:rFonts w:ascii="Arial" w:hAnsi="Arial" w:cs="Arial"/>
          <w:i/>
          <w:iCs/>
          <w:sz w:val="20"/>
          <w:szCs w:val="20"/>
        </w:rPr>
        <w:t>see</w:t>
      </w:r>
      <w:r w:rsidRPr="005440A8">
        <w:rPr>
          <w:rFonts w:ascii="Arial" w:hAnsi="Arial" w:cs="Arial"/>
          <w:sz w:val="20"/>
          <w:szCs w:val="20"/>
        </w:rPr>
        <w:t xml:space="preserve"> National Disability Insurance Scheme (NDIS)</w:t>
      </w:r>
    </w:p>
    <w:p w14:paraId="6FD3189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NDIS Commission </w:t>
      </w:r>
      <w:r w:rsidRPr="005440A8">
        <w:rPr>
          <w:rFonts w:ascii="Arial" w:hAnsi="Arial" w:cs="Arial"/>
          <w:i/>
          <w:iCs/>
          <w:sz w:val="20"/>
          <w:szCs w:val="20"/>
        </w:rPr>
        <w:t>see</w:t>
      </w:r>
      <w:r w:rsidRPr="005440A8">
        <w:rPr>
          <w:rFonts w:ascii="Arial" w:hAnsi="Arial" w:cs="Arial"/>
          <w:sz w:val="20"/>
          <w:szCs w:val="20"/>
        </w:rPr>
        <w:t xml:space="preserve"> NDIS Quality and Safeguards Commission</w:t>
      </w:r>
    </w:p>
    <w:p w14:paraId="10642BE9"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NDIS Market, 3, 72, 82</w:t>
      </w:r>
    </w:p>
    <w:p w14:paraId="6DF548A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NDIS Participant Plans, 72</w:t>
      </w:r>
    </w:p>
    <w:p w14:paraId="75F14C0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NDIS Participant Service Guarantee, 72, 73</w:t>
      </w:r>
    </w:p>
    <w:p w14:paraId="44FE206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NDIS Quality and Safeguards Commission, 10, 11, 71, 72</w:t>
      </w:r>
    </w:p>
    <w:p w14:paraId="642CE48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NDIS Transition, 72, 82</w:t>
      </w:r>
    </w:p>
    <w:p w14:paraId="29471CB4"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A</w:t>
      </w:r>
      <w:r w:rsidRPr="005440A8">
        <w:rPr>
          <w:rFonts w:ascii="Arial" w:hAnsi="Arial" w:cs="Arial"/>
          <w:sz w:val="20"/>
          <w:szCs w:val="20"/>
        </w:rPr>
        <w:t xml:space="preserve"> </w:t>
      </w:r>
      <w:r w:rsidRPr="005440A8">
        <w:rPr>
          <w:rFonts w:ascii="Arial" w:hAnsi="Arial" w:cs="Arial"/>
          <w:i/>
          <w:iCs/>
          <w:sz w:val="20"/>
          <w:szCs w:val="20"/>
        </w:rPr>
        <w:t>New Tax System (Family Assistance) (Administration) Act 1999</w:t>
      </w:r>
      <w:r w:rsidRPr="005440A8">
        <w:rPr>
          <w:rFonts w:ascii="Arial" w:hAnsi="Arial" w:cs="Arial"/>
          <w:sz w:val="20"/>
          <w:szCs w:val="20"/>
        </w:rPr>
        <w:t>, vi</w:t>
      </w:r>
    </w:p>
    <w:p w14:paraId="2824F830" w14:textId="77777777" w:rsidR="005440A8" w:rsidRPr="005440A8" w:rsidRDefault="005440A8" w:rsidP="005440A8">
      <w:pPr>
        <w:pStyle w:val="Main"/>
        <w:widowControl/>
        <w:rPr>
          <w:rFonts w:ascii="Arial" w:hAnsi="Arial" w:cs="Arial"/>
          <w:sz w:val="20"/>
          <w:szCs w:val="20"/>
        </w:rPr>
      </w:pPr>
      <w:proofErr w:type="spellStart"/>
      <w:r w:rsidRPr="005440A8">
        <w:rPr>
          <w:rFonts w:ascii="Arial" w:hAnsi="Arial" w:cs="Arial"/>
          <w:sz w:val="20"/>
          <w:szCs w:val="20"/>
        </w:rPr>
        <w:t>Newstart</w:t>
      </w:r>
      <w:proofErr w:type="spellEnd"/>
      <w:r w:rsidRPr="005440A8">
        <w:rPr>
          <w:rFonts w:ascii="Arial" w:hAnsi="Arial" w:cs="Arial"/>
          <w:sz w:val="20"/>
          <w:szCs w:val="20"/>
        </w:rPr>
        <w:t xml:space="preserve"> Allowance, 1, 18, 29, 30, 31</w:t>
      </w:r>
    </w:p>
    <w:p w14:paraId="2D52184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No Excuse for Abuse campaign, 58</w:t>
      </w:r>
    </w:p>
    <w:p w14:paraId="41799F7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non-salary benefits, 115</w:t>
      </w:r>
    </w:p>
    <w:p w14:paraId="71E7DCB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notifiable incidents, 116</w:t>
      </w:r>
    </w:p>
    <w:p w14:paraId="670A562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NRAS </w:t>
      </w:r>
      <w:r w:rsidRPr="005440A8">
        <w:rPr>
          <w:rFonts w:ascii="Arial" w:hAnsi="Arial" w:cs="Arial"/>
          <w:i/>
          <w:iCs/>
          <w:sz w:val="20"/>
          <w:szCs w:val="20"/>
        </w:rPr>
        <w:t>see</w:t>
      </w:r>
      <w:r w:rsidRPr="005440A8">
        <w:rPr>
          <w:rFonts w:ascii="Arial" w:hAnsi="Arial" w:cs="Arial"/>
          <w:sz w:val="20"/>
          <w:szCs w:val="20"/>
        </w:rPr>
        <w:t xml:space="preserve"> National Rental Affordability Scheme (NRAS)</w:t>
      </w:r>
    </w:p>
    <w:p w14:paraId="12990180" w14:textId="77777777" w:rsidR="005440A8" w:rsidRPr="005440A8" w:rsidRDefault="005440A8" w:rsidP="005440A8">
      <w:pPr>
        <w:pStyle w:val="group"/>
        <w:widowControl/>
        <w:rPr>
          <w:rFonts w:ascii="Arial" w:hAnsi="Arial" w:cs="Arial"/>
          <w:sz w:val="20"/>
          <w:szCs w:val="20"/>
          <w:highlight w:val="yellow"/>
        </w:rPr>
      </w:pPr>
    </w:p>
    <w:p w14:paraId="12DB365D" w14:textId="77777777" w:rsidR="005440A8" w:rsidRPr="005440A8" w:rsidRDefault="005440A8" w:rsidP="005440A8">
      <w:pPr>
        <w:pStyle w:val="ahead"/>
        <w:widowControl/>
        <w:spacing w:after="120"/>
        <w:ind w:left="0" w:firstLine="0"/>
        <w:rPr>
          <w:b/>
        </w:rPr>
      </w:pPr>
      <w:r w:rsidRPr="005440A8">
        <w:rPr>
          <w:b/>
        </w:rPr>
        <w:t>O</w:t>
      </w:r>
    </w:p>
    <w:p w14:paraId="7EC13D5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Ombudsman, 106</w:t>
      </w:r>
    </w:p>
    <w:p w14:paraId="565BFFB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1800RESPECT (telephone and online counselling service for domestic violence), 58</w:t>
      </w:r>
    </w:p>
    <w:p w14:paraId="226EBF5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online gambling, 47</w:t>
      </w:r>
    </w:p>
    <w:p w14:paraId="0DAE4F1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Operation </w:t>
      </w:r>
      <w:proofErr w:type="spellStart"/>
      <w:r w:rsidRPr="005440A8">
        <w:rPr>
          <w:rFonts w:ascii="Arial" w:hAnsi="Arial" w:cs="Arial"/>
          <w:sz w:val="20"/>
          <w:szCs w:val="20"/>
        </w:rPr>
        <w:t>Ashiba</w:t>
      </w:r>
      <w:proofErr w:type="spellEnd"/>
      <w:r w:rsidRPr="005440A8">
        <w:rPr>
          <w:rFonts w:ascii="Arial" w:hAnsi="Arial" w:cs="Arial"/>
          <w:sz w:val="20"/>
          <w:szCs w:val="20"/>
        </w:rPr>
        <w:t>, Australian Federal Police, 104</w:t>
      </w:r>
    </w:p>
    <w:p w14:paraId="731D9FF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organisational structure, 6–8</w:t>
      </w:r>
    </w:p>
    <w:p w14:paraId="528F9D4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Our Watch’s Doing Nothing Does Harm campaign, 58</w:t>
      </w:r>
    </w:p>
    <w:p w14:paraId="6A927E7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Outcome 1: Social Security</w:t>
      </w:r>
    </w:p>
    <w:p w14:paraId="110B9AB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expenses and resources for, 180–185</w:t>
      </w:r>
    </w:p>
    <w:p w14:paraId="053B2A63"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lastRenderedPageBreak/>
        <w:t>program support for, 23</w:t>
      </w:r>
    </w:p>
    <w:p w14:paraId="49D5CB84"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summary and analysis of performance, 18</w:t>
      </w:r>
    </w:p>
    <w:p w14:paraId="29ED5F9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social security performance</w:t>
      </w:r>
    </w:p>
    <w:p w14:paraId="12791F7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Outcome 2: Families and Communities</w:t>
      </w:r>
    </w:p>
    <w:p w14:paraId="4BB9CD02"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expenses and resources for, 186–187</w:t>
      </w:r>
    </w:p>
    <w:p w14:paraId="31FAB452"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program support for, 50</w:t>
      </w:r>
    </w:p>
    <w:p w14:paraId="79E48B85"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summary and analysis of performance, 50</w:t>
      </w:r>
    </w:p>
    <w:p w14:paraId="4FC9766F"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families and communities performance</w:t>
      </w:r>
    </w:p>
    <w:p w14:paraId="7ED169B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Outcome 3: Disability and Carers</w:t>
      </w:r>
    </w:p>
    <w:p w14:paraId="42D2B40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expenses and resources for, 188, 189</w:t>
      </w:r>
    </w:p>
    <w:p w14:paraId="28516343"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program support for, 74</w:t>
      </w:r>
    </w:p>
    <w:p w14:paraId="5559B85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summary and analysis of performance, 71</w:t>
      </w:r>
    </w:p>
    <w:p w14:paraId="6E01A184"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disability and carers performance</w:t>
      </w:r>
    </w:p>
    <w:p w14:paraId="4F9E42D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Outcome 4: Housing</w:t>
      </w:r>
    </w:p>
    <w:p w14:paraId="0576C53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expenses and resources for, 190, 191</w:t>
      </w:r>
    </w:p>
    <w:p w14:paraId="38788EAC"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program support for, 87</w:t>
      </w:r>
    </w:p>
    <w:p w14:paraId="04061F1A"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summary of analysis and performance, 84</w:t>
      </w:r>
    </w:p>
    <w:p w14:paraId="79E3C7E9"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housing performance</w:t>
      </w:r>
    </w:p>
    <w:p w14:paraId="327940F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outcome and program structure, iv–v</w:t>
      </w:r>
    </w:p>
    <w:p w14:paraId="70BD047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outcomes, 16, 17</w:t>
      </w:r>
    </w:p>
    <w:p w14:paraId="1E6020F2" w14:textId="77777777" w:rsidR="005440A8" w:rsidRPr="005440A8" w:rsidRDefault="005440A8" w:rsidP="005440A8">
      <w:pPr>
        <w:pStyle w:val="group"/>
        <w:widowControl/>
        <w:rPr>
          <w:rFonts w:ascii="Arial" w:hAnsi="Arial" w:cs="Arial"/>
          <w:sz w:val="20"/>
          <w:szCs w:val="20"/>
          <w:highlight w:val="yellow"/>
        </w:rPr>
      </w:pPr>
    </w:p>
    <w:p w14:paraId="68DC98E3" w14:textId="77777777" w:rsidR="005440A8" w:rsidRPr="005440A8" w:rsidRDefault="005440A8" w:rsidP="005440A8">
      <w:pPr>
        <w:pStyle w:val="ahead"/>
        <w:widowControl/>
        <w:spacing w:after="120"/>
        <w:ind w:left="0" w:firstLine="0"/>
        <w:rPr>
          <w:b/>
        </w:rPr>
      </w:pPr>
      <w:r w:rsidRPr="005440A8">
        <w:rPr>
          <w:b/>
        </w:rPr>
        <w:t>P</w:t>
      </w:r>
    </w:p>
    <w:p w14:paraId="71E22669"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Paid Parental Leave Program, 48, 49</w:t>
      </w:r>
    </w:p>
    <w:p w14:paraId="0BE88435"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percentage of parents taking leave, 67</w:t>
      </w:r>
    </w:p>
    <w:p w14:paraId="722494AE"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50</w:t>
      </w:r>
    </w:p>
    <w:p w14:paraId="0068D69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pandemic </w:t>
      </w:r>
      <w:r w:rsidRPr="005440A8">
        <w:rPr>
          <w:rFonts w:ascii="Arial" w:hAnsi="Arial" w:cs="Arial"/>
          <w:i/>
          <w:iCs/>
          <w:sz w:val="20"/>
          <w:szCs w:val="20"/>
        </w:rPr>
        <w:t>see</w:t>
      </w:r>
      <w:r w:rsidRPr="005440A8">
        <w:rPr>
          <w:rFonts w:ascii="Arial" w:hAnsi="Arial" w:cs="Arial"/>
          <w:sz w:val="20"/>
          <w:szCs w:val="20"/>
        </w:rPr>
        <w:t xml:space="preserve"> COVID-19 pandemic</w:t>
      </w:r>
    </w:p>
    <w:p w14:paraId="50FD309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Pandemic Action Plan, 102</w:t>
      </w:r>
    </w:p>
    <w:p w14:paraId="1C3E644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Parental Leave Pay, 49</w:t>
      </w:r>
    </w:p>
    <w:p w14:paraId="209ADCD4"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Paid Parental Leave Program</w:t>
      </w:r>
    </w:p>
    <w:p w14:paraId="7016785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Parenting Payment, 20</w:t>
      </w:r>
    </w:p>
    <w:p w14:paraId="2913C52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parliamentary committee reports, 107–108</w:t>
      </w:r>
    </w:p>
    <w:p w14:paraId="768016E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parliamentary inquiries, 108</w:t>
      </w:r>
    </w:p>
    <w:p w14:paraId="2AFB87AB"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Participant Service Guarantee, 1, 3</w:t>
      </w:r>
    </w:p>
    <w:p w14:paraId="0E90666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Partner Allowance, 22</w:t>
      </w:r>
    </w:p>
    <w:p w14:paraId="54B4D7C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payments (social security)</w:t>
      </w:r>
    </w:p>
    <w:p w14:paraId="38C7CCA2"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complaints received, 104</w:t>
      </w:r>
    </w:p>
    <w:p w14:paraId="640231AD"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delivery measures, 41–43</w:t>
      </w:r>
    </w:p>
    <w:p w14:paraId="433896FC"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delivery of, 39–41</w:t>
      </w:r>
    </w:p>
    <w:p w14:paraId="6D0512EB"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future lifetime cost of welfare payments, 25–27</w:t>
      </w:r>
    </w:p>
    <w:p w14:paraId="76B3A53F"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improved financial self-reliance of recipients, 27–33</w:t>
      </w:r>
    </w:p>
    <w:p w14:paraId="64D7670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to people unable to fully support themselves, 34–39</w:t>
      </w:r>
    </w:p>
    <w:p w14:paraId="36989591"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recipients (social security payments)</w:t>
      </w:r>
    </w:p>
    <w:p w14:paraId="16AEB89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payments and services (disability and carers)</w:t>
      </w:r>
    </w:p>
    <w:p w14:paraId="47EC3553"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delivery measures, 81–82</w:t>
      </w:r>
    </w:p>
    <w:p w14:paraId="4BC67B0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to individuals from priority groups, 80</w:t>
      </w:r>
    </w:p>
    <w:p w14:paraId="186ABF7F"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organisations delivering services, 82</w:t>
      </w:r>
    </w:p>
    <w:p w14:paraId="5241199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satisfaction with, 80</w:t>
      </w:r>
    </w:p>
    <w:p w14:paraId="267FA76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payments and services (families and communities)</w:t>
      </w:r>
    </w:p>
    <w:p w14:paraId="0A44C879"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to individuals from priority groups or locations, 66–67</w:t>
      </w:r>
    </w:p>
    <w:p w14:paraId="0BCB7F1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number of individuals assisted, 68–69</w:t>
      </w:r>
    </w:p>
    <w:p w14:paraId="18D71A2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peak bodies and organisations delivering services, 65–66, 70</w:t>
      </w:r>
    </w:p>
    <w:p w14:paraId="0F1315A0"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satisfaction with, 65</w:t>
      </w:r>
    </w:p>
    <w:p w14:paraId="6A314B3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payments and services (housing)</w:t>
      </w:r>
    </w:p>
    <w:p w14:paraId="001FE171"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delivery of, 87</w:t>
      </w:r>
    </w:p>
    <w:p w14:paraId="621858B5"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incentive payments, 92</w:t>
      </w:r>
    </w:p>
    <w:p w14:paraId="5B0FFB7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Payments under Special Circumstances, 21</w:t>
      </w:r>
    </w:p>
    <w:p w14:paraId="0F2FA336"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People and Culture Committee, 101</w:t>
      </w:r>
    </w:p>
    <w:p w14:paraId="3194F5F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people with disability </w:t>
      </w:r>
      <w:r w:rsidRPr="005440A8">
        <w:rPr>
          <w:rFonts w:ascii="Arial" w:hAnsi="Arial" w:cs="Arial"/>
          <w:i/>
          <w:iCs/>
          <w:sz w:val="20"/>
          <w:szCs w:val="20"/>
        </w:rPr>
        <w:t>see</w:t>
      </w:r>
      <w:r w:rsidRPr="005440A8">
        <w:rPr>
          <w:rFonts w:ascii="Arial" w:hAnsi="Arial" w:cs="Arial"/>
          <w:sz w:val="20"/>
          <w:szCs w:val="20"/>
        </w:rPr>
        <w:t xml:space="preserve"> disability, people with</w:t>
      </w:r>
    </w:p>
    <w:p w14:paraId="3AAC795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performance criteria, 16</w:t>
      </w:r>
    </w:p>
    <w:p w14:paraId="05B7E76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lastRenderedPageBreak/>
        <w:t>performance pay, 114, 221</w:t>
      </w:r>
    </w:p>
    <w:p w14:paraId="7B36453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performance statement </w:t>
      </w:r>
      <w:r w:rsidRPr="005440A8">
        <w:rPr>
          <w:rFonts w:ascii="Arial" w:hAnsi="Arial" w:cs="Arial"/>
          <w:i/>
          <w:iCs/>
          <w:sz w:val="20"/>
          <w:szCs w:val="20"/>
        </w:rPr>
        <w:t>see</w:t>
      </w:r>
      <w:r w:rsidRPr="005440A8">
        <w:rPr>
          <w:rFonts w:ascii="Arial" w:hAnsi="Arial" w:cs="Arial"/>
          <w:sz w:val="20"/>
          <w:szCs w:val="20"/>
        </w:rPr>
        <w:t xml:space="preserve"> annual performance statement</w:t>
      </w:r>
    </w:p>
    <w:p w14:paraId="6C0A628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Policy Committee, 101</w:t>
      </w:r>
    </w:p>
    <w:p w14:paraId="65722E7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portfolio</w:t>
      </w:r>
    </w:p>
    <w:p w14:paraId="686D0383"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bodies, 10, 11–12</w:t>
      </w:r>
    </w:p>
    <w:p w14:paraId="392C9D9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changes to, 13, 23</w:t>
      </w:r>
    </w:p>
    <w:p w14:paraId="7FA6A45C"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ministers and responsibilities, 10, 13</w:t>
      </w:r>
    </w:p>
    <w:p w14:paraId="36FC5CF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Portfolio Budget Statements 2019-20, 16</w:t>
      </w:r>
    </w:p>
    <w:p w14:paraId="0A86B61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priorities, department, 6</w:t>
      </w:r>
    </w:p>
    <w:p w14:paraId="6D053639"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Privacy Commissioner, 105</w:t>
      </w:r>
    </w:p>
    <w:p w14:paraId="7BFE11A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privacy policy, 105</w:t>
      </w:r>
    </w:p>
    <w:p w14:paraId="5CF92C7B"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procurement guidelines, 119</w:t>
      </w:r>
    </w:p>
    <w:p w14:paraId="5E2C56A7" w14:textId="77777777" w:rsidR="005440A8" w:rsidRPr="005440A8" w:rsidRDefault="005440A8" w:rsidP="005440A8">
      <w:pPr>
        <w:pStyle w:val="Main"/>
        <w:widowControl/>
        <w:rPr>
          <w:rFonts w:ascii="Arial" w:hAnsi="Arial" w:cs="Arial"/>
          <w:sz w:val="20"/>
          <w:szCs w:val="20"/>
          <w:highlight w:val="yellow"/>
        </w:rPr>
      </w:pPr>
      <w:r w:rsidRPr="005440A8">
        <w:rPr>
          <w:rFonts w:ascii="Arial" w:hAnsi="Arial" w:cs="Arial"/>
          <w:sz w:val="20"/>
          <w:szCs w:val="20"/>
        </w:rPr>
        <w:t>programs, 16</w:t>
      </w:r>
    </w:p>
    <w:p w14:paraId="66053B0D"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disability and carers performance, 72</w:t>
      </w:r>
    </w:p>
    <w:p w14:paraId="71B7619F"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families and communities, 49</w:t>
      </w:r>
    </w:p>
    <w:p w14:paraId="2329134A"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housing performance, 86</w:t>
      </w:r>
    </w:p>
    <w:p w14:paraId="79D5C18A"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social security, 17</w:t>
      </w:r>
    </w:p>
    <w:p w14:paraId="186ECC29"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Protecting Australia’s Children activity, 49</w:t>
      </w:r>
    </w:p>
    <w:p w14:paraId="6D9B12A4"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Public Governance, Performance Accountability Rule 2014</w:t>
      </w:r>
      <w:r w:rsidRPr="005440A8">
        <w:rPr>
          <w:rFonts w:ascii="Arial" w:hAnsi="Arial" w:cs="Arial"/>
          <w:sz w:val="20"/>
          <w:szCs w:val="20"/>
        </w:rPr>
        <w:t>, 103</w:t>
      </w:r>
    </w:p>
    <w:p w14:paraId="7126FDEF"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Public Governance, Performance and Accountability Act 2013</w:t>
      </w:r>
      <w:r w:rsidRPr="005440A8">
        <w:rPr>
          <w:rFonts w:ascii="Arial" w:hAnsi="Arial" w:cs="Arial"/>
          <w:sz w:val="20"/>
          <w:szCs w:val="20"/>
        </w:rPr>
        <w:t>, vi, 12, 15, 102</w:t>
      </w:r>
    </w:p>
    <w:p w14:paraId="7FE8AA70"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Public Service Act 1999</w:t>
      </w:r>
      <w:r w:rsidRPr="005440A8">
        <w:rPr>
          <w:rFonts w:ascii="Arial" w:hAnsi="Arial" w:cs="Arial"/>
          <w:sz w:val="20"/>
          <w:szCs w:val="20"/>
        </w:rPr>
        <w:t>, 10</w:t>
      </w:r>
    </w:p>
    <w:p w14:paraId="1BDF8B3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Purchasing, 119</w:t>
      </w:r>
    </w:p>
    <w:p w14:paraId="69EB9E0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Purpose 1: Social Security, 5</w:t>
      </w:r>
    </w:p>
    <w:p w14:paraId="0F1B7553"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purpose statement, 18</w:t>
      </w:r>
    </w:p>
    <w:p w14:paraId="2B70BCC2"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social security performance (Outcome 1)</w:t>
      </w:r>
    </w:p>
    <w:p w14:paraId="1F061C8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Purpose 2: Families and Communities, 5</w:t>
      </w:r>
    </w:p>
    <w:p w14:paraId="4880DD14"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purpose statement, 47</w:t>
      </w:r>
    </w:p>
    <w:p w14:paraId="12AE1C0A"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families and communities performance (Outcome 2)</w:t>
      </w:r>
    </w:p>
    <w:p w14:paraId="3C7661F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Purpose 3: Disability and Carers, 5</w:t>
      </w:r>
    </w:p>
    <w:p w14:paraId="2498C1EE"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purpose statement, 71</w:t>
      </w:r>
    </w:p>
    <w:p w14:paraId="13549DB5"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disability and carers performance (Outcome 3)</w:t>
      </w:r>
    </w:p>
    <w:p w14:paraId="3032DED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Purpose 4: Housing, 5</w:t>
      </w:r>
    </w:p>
    <w:p w14:paraId="2A9C3095"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purpose statement, 84</w:t>
      </w:r>
    </w:p>
    <w:p w14:paraId="4500805F"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housing performance (Outcome 4)</w:t>
      </w:r>
    </w:p>
    <w:p w14:paraId="3F4997DA" w14:textId="77777777" w:rsidR="005440A8" w:rsidRPr="005440A8" w:rsidRDefault="005440A8" w:rsidP="005440A8">
      <w:pPr>
        <w:pStyle w:val="group"/>
        <w:widowControl/>
        <w:rPr>
          <w:rFonts w:ascii="Arial" w:hAnsi="Arial" w:cs="Arial"/>
          <w:sz w:val="20"/>
          <w:szCs w:val="20"/>
          <w:highlight w:val="yellow"/>
        </w:rPr>
      </w:pPr>
    </w:p>
    <w:p w14:paraId="055349C9" w14:textId="77777777" w:rsidR="005440A8" w:rsidRPr="005440A8" w:rsidRDefault="005440A8" w:rsidP="005440A8">
      <w:pPr>
        <w:pStyle w:val="ahead"/>
        <w:widowControl/>
        <w:spacing w:after="120"/>
        <w:ind w:left="0" w:firstLine="0"/>
        <w:rPr>
          <w:b/>
        </w:rPr>
      </w:pPr>
      <w:r w:rsidRPr="005440A8">
        <w:rPr>
          <w:b/>
        </w:rPr>
        <w:t>R</w:t>
      </w:r>
    </w:p>
    <w:p w14:paraId="67425159"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recipients (social security payments)</w:t>
      </w:r>
    </w:p>
    <w:p w14:paraId="7637BF69"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accuracy of payments to, 39–40</w:t>
      </w:r>
    </w:p>
    <w:p w14:paraId="53B7178E"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aligned to specific policy objectives or payment conditions, 36–38, 44</w:t>
      </w:r>
    </w:p>
    <w:p w14:paraId="320F788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with debts, 40–41</w:t>
      </w:r>
    </w:p>
    <w:p w14:paraId="168FB9FF"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exiting income support within 3/6/12 months, 29</w:t>
      </w:r>
    </w:p>
    <w:p w14:paraId="22DF3525"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improved financial self-reliance of, 27–34</w:t>
      </w:r>
    </w:p>
    <w:p w14:paraId="6806872F"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not receiving income support 3/6/12 months after exiting student payments, 28</w:t>
      </w:r>
    </w:p>
    <w:p w14:paraId="5D7CFF7F"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not receiving income support in future, 27</w:t>
      </w:r>
    </w:p>
    <w:p w14:paraId="1F629AC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number of, 41–42</w:t>
      </w:r>
    </w:p>
    <w:p w14:paraId="24D8B6DC"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percentage of targeted population receiving payment, 34–36</w:t>
      </w:r>
    </w:p>
    <w:p w14:paraId="28EBE559"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receiving a part rate of payment due to income or assets test, 31</w:t>
      </w:r>
    </w:p>
    <w:p w14:paraId="7CCA4F7C"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of rent assistance, 39, 44</w:t>
      </w:r>
    </w:p>
    <w:p w14:paraId="7858452D"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reporting employment income, 2, 30</w:t>
      </w:r>
    </w:p>
    <w:p w14:paraId="6D62B65F"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payments (social security)</w:t>
      </w:r>
    </w:p>
    <w:p w14:paraId="7EFB516B"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Reconciliation Action Plan 2017–2020</w:t>
      </w:r>
      <w:r w:rsidRPr="005440A8">
        <w:rPr>
          <w:rFonts w:ascii="Arial" w:hAnsi="Arial" w:cs="Arial"/>
          <w:sz w:val="20"/>
          <w:szCs w:val="20"/>
        </w:rPr>
        <w:t>, 112</w:t>
      </w:r>
    </w:p>
    <w:p w14:paraId="0A6F8044"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Redress Scheme </w:t>
      </w:r>
      <w:r w:rsidRPr="005440A8">
        <w:rPr>
          <w:rFonts w:ascii="Arial" w:hAnsi="Arial" w:cs="Arial"/>
          <w:i/>
          <w:iCs/>
          <w:sz w:val="20"/>
          <w:szCs w:val="20"/>
        </w:rPr>
        <w:t>see</w:t>
      </w:r>
      <w:r w:rsidRPr="005440A8">
        <w:rPr>
          <w:rFonts w:ascii="Arial" w:hAnsi="Arial" w:cs="Arial"/>
          <w:sz w:val="20"/>
          <w:szCs w:val="20"/>
        </w:rPr>
        <w:t xml:space="preserve"> National Redress Scheme for Institutional Child Sexual Abuse</w:t>
      </w:r>
    </w:p>
    <w:p w14:paraId="7298770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remuneration</w:t>
      </w:r>
    </w:p>
    <w:p w14:paraId="5E1C69CB"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executive staff, 114, 202–206</w:t>
      </w:r>
    </w:p>
    <w:p w14:paraId="0313679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non-salary benefits, 115</w:t>
      </w:r>
    </w:p>
    <w:p w14:paraId="1A79D35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other highly paid staff, 205</w:t>
      </w:r>
    </w:p>
    <w:p w14:paraId="4EAD6F0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salary ranges, 220</w:t>
      </w:r>
    </w:p>
    <w:p w14:paraId="6E890F6B"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Secretary, 114</w:t>
      </w:r>
    </w:p>
    <w:p w14:paraId="1B217EB3"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workplace arrangements, 114, 115</w:t>
      </w:r>
    </w:p>
    <w:p w14:paraId="6F065232"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lastRenderedPageBreak/>
        <w:t>Rent Assistance Program, 20, 22, 85</w:t>
      </w:r>
    </w:p>
    <w:p w14:paraId="608C38B4"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22</w:t>
      </w:r>
    </w:p>
    <w:p w14:paraId="7E684AFF"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housing performance</w:t>
      </w:r>
    </w:p>
    <w:p w14:paraId="02121146"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rental stress, 90</w:t>
      </w:r>
    </w:p>
    <w:p w14:paraId="0A2D6EFE"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resource statements, 180–191</w:t>
      </w:r>
    </w:p>
    <w:p w14:paraId="0C07C179"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Right to Opportunity report, 78</w:t>
      </w:r>
    </w:p>
    <w:p w14:paraId="2095F619"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risk management, 102–104</w:t>
      </w:r>
    </w:p>
    <w:p w14:paraId="340EDBA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Robert, Hon. Stuart, vi, 10, 13</w:t>
      </w:r>
    </w:p>
    <w:p w14:paraId="390E5071"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Royal Commission into Institutional Responses to Child Sexual Abuse</w:t>
      </w:r>
      <w:r w:rsidRPr="005440A8">
        <w:rPr>
          <w:rFonts w:ascii="Arial" w:hAnsi="Arial" w:cs="Arial"/>
          <w:sz w:val="20"/>
          <w:szCs w:val="20"/>
        </w:rPr>
        <w:t>, 3, 94</w:t>
      </w:r>
    </w:p>
    <w:p w14:paraId="7530DBA9"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recommendations of, 41, 63</w:t>
      </w:r>
    </w:p>
    <w:p w14:paraId="6E67CFB6"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Royal Commission into Violence, Abuse, Neglect and Exploitation of People with Disability</w:t>
      </w:r>
      <w:r w:rsidRPr="005440A8">
        <w:rPr>
          <w:rFonts w:ascii="Arial" w:hAnsi="Arial" w:cs="Arial"/>
          <w:sz w:val="20"/>
          <w:szCs w:val="20"/>
        </w:rPr>
        <w:t>, 2, 71</w:t>
      </w:r>
    </w:p>
    <w:p w14:paraId="1F9879E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Ruston, Hon. Anne, vi, 10, 13</w:t>
      </w:r>
    </w:p>
    <w:p w14:paraId="378A0F81" w14:textId="77777777" w:rsidR="005440A8" w:rsidRPr="005440A8" w:rsidRDefault="005440A8" w:rsidP="005440A8">
      <w:pPr>
        <w:pStyle w:val="group"/>
        <w:widowControl/>
        <w:rPr>
          <w:rFonts w:ascii="Arial" w:hAnsi="Arial" w:cs="Arial"/>
          <w:sz w:val="20"/>
          <w:szCs w:val="20"/>
          <w:highlight w:val="yellow"/>
        </w:rPr>
      </w:pPr>
    </w:p>
    <w:p w14:paraId="46818741" w14:textId="77777777" w:rsidR="005440A8" w:rsidRPr="005440A8" w:rsidRDefault="005440A8" w:rsidP="005440A8">
      <w:pPr>
        <w:pStyle w:val="ahead"/>
        <w:widowControl/>
        <w:spacing w:after="120"/>
        <w:ind w:left="0" w:firstLine="0"/>
        <w:rPr>
          <w:b/>
        </w:rPr>
      </w:pPr>
      <w:r w:rsidRPr="005440A8">
        <w:rPr>
          <w:b/>
        </w:rPr>
        <w:t>S</w:t>
      </w:r>
    </w:p>
    <w:p w14:paraId="722E95B6"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Safe Places program, 3</w:t>
      </w:r>
    </w:p>
    <w:p w14:paraId="003263C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safety </w:t>
      </w:r>
      <w:r w:rsidRPr="005440A8">
        <w:rPr>
          <w:rFonts w:ascii="Arial" w:hAnsi="Arial" w:cs="Arial"/>
          <w:i/>
          <w:iCs/>
          <w:sz w:val="20"/>
          <w:szCs w:val="20"/>
        </w:rPr>
        <w:t>see</w:t>
      </w:r>
      <w:r w:rsidRPr="005440A8">
        <w:rPr>
          <w:rFonts w:ascii="Arial" w:hAnsi="Arial" w:cs="Arial"/>
          <w:sz w:val="20"/>
          <w:szCs w:val="20"/>
        </w:rPr>
        <w:t xml:space="preserve"> work health and safety</w:t>
      </w:r>
    </w:p>
    <w:p w14:paraId="282B6C8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scrutiny </w:t>
      </w:r>
      <w:r w:rsidRPr="005440A8">
        <w:rPr>
          <w:rFonts w:ascii="Arial" w:hAnsi="Arial" w:cs="Arial"/>
          <w:i/>
          <w:iCs/>
          <w:sz w:val="20"/>
          <w:szCs w:val="20"/>
        </w:rPr>
        <w:t>see</w:t>
      </w:r>
      <w:r w:rsidRPr="005440A8">
        <w:rPr>
          <w:rFonts w:ascii="Arial" w:hAnsi="Arial" w:cs="Arial"/>
          <w:sz w:val="20"/>
          <w:szCs w:val="20"/>
        </w:rPr>
        <w:t xml:space="preserve"> audits; external scrutiny</w:t>
      </w:r>
    </w:p>
    <w:p w14:paraId="24EFC566"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Secretary, 1, 6, 7</w:t>
      </w:r>
    </w:p>
    <w:p w14:paraId="1D74A50F"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accountable authority, 15,124, 207</w:t>
      </w:r>
    </w:p>
    <w:p w14:paraId="1EED0379"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committees reporting to, 99–100</w:t>
      </w:r>
    </w:p>
    <w:p w14:paraId="05AAF654"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letter of transmittal, vi</w:t>
      </w:r>
    </w:p>
    <w:p w14:paraId="0AB89EEE"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remuneration, 114, 202</w:t>
      </w:r>
    </w:p>
    <w:p w14:paraId="67B5BC9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review of year, 1–3</w:t>
      </w:r>
    </w:p>
    <w:p w14:paraId="4210EC89"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Section 24(1) determinations, 114, 219</w:t>
      </w:r>
    </w:p>
    <w:p w14:paraId="1E4F0B07"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Senior Executive Service (SES) employees</w:t>
      </w:r>
    </w:p>
    <w:p w14:paraId="5966DB6A"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development programs, 110</w:t>
      </w:r>
    </w:p>
    <w:p w14:paraId="59FC6379"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employment arrangements, 219</w:t>
      </w:r>
    </w:p>
    <w:p w14:paraId="4280FD5C"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remuneration, 203, 114</w:t>
      </w:r>
    </w:p>
    <w:p w14:paraId="69849B8B"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Service Charter, 104</w:t>
      </w:r>
    </w:p>
    <w:p w14:paraId="1F501DA2"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Services Australia, 10, 12, 14, 23, 50</w:t>
      </w:r>
    </w:p>
    <w:p w14:paraId="5F8D862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Settlement Services, 54</w:t>
      </w:r>
    </w:p>
    <w:p w14:paraId="53613A46"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sexual abuse of children </w:t>
      </w:r>
      <w:r w:rsidRPr="005440A8">
        <w:rPr>
          <w:rFonts w:ascii="Arial" w:hAnsi="Arial" w:cs="Arial"/>
          <w:i/>
          <w:iCs/>
          <w:sz w:val="20"/>
          <w:szCs w:val="20"/>
        </w:rPr>
        <w:t>see under</w:t>
      </w:r>
      <w:r w:rsidRPr="005440A8">
        <w:rPr>
          <w:rFonts w:ascii="Arial" w:hAnsi="Arial" w:cs="Arial"/>
          <w:sz w:val="20"/>
          <w:szCs w:val="20"/>
        </w:rPr>
        <w:t xml:space="preserve"> children</w:t>
      </w:r>
    </w:p>
    <w:p w14:paraId="540565AC"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Sickness Allowance, 22</w:t>
      </w:r>
    </w:p>
    <w:p w14:paraId="6E1A53F2"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Simplifying Income Reporting legislation, 2, 107</w:t>
      </w:r>
    </w:p>
    <w:p w14:paraId="03134A4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Single Income Family Supplement, 21</w:t>
      </w:r>
    </w:p>
    <w:p w14:paraId="1616284B"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Single Touch Payroll, Australian Taxation Office, 2</w:t>
      </w:r>
    </w:p>
    <w:p w14:paraId="6B14813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small business participation in government procurement, 119–120</w:t>
      </w:r>
    </w:p>
    <w:p w14:paraId="0CAD0B46"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Social and Community Services Program</w:t>
      </w:r>
    </w:p>
    <w:p w14:paraId="6596213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Pay Equity Amount, 49</w:t>
      </w:r>
    </w:p>
    <w:p w14:paraId="4B85424D"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payments, 50</w:t>
      </w:r>
    </w:p>
    <w:p w14:paraId="524D5F7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50</w:t>
      </w:r>
    </w:p>
    <w:p w14:paraId="7D54036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social housing </w:t>
      </w:r>
      <w:r w:rsidRPr="005440A8">
        <w:rPr>
          <w:rFonts w:ascii="Arial" w:hAnsi="Arial" w:cs="Arial"/>
          <w:i/>
          <w:iCs/>
          <w:sz w:val="20"/>
          <w:szCs w:val="20"/>
        </w:rPr>
        <w:t>see</w:t>
      </w:r>
      <w:r w:rsidRPr="005440A8">
        <w:rPr>
          <w:rFonts w:ascii="Arial" w:hAnsi="Arial" w:cs="Arial"/>
          <w:sz w:val="20"/>
          <w:szCs w:val="20"/>
        </w:rPr>
        <w:t xml:space="preserve"> housing performance</w:t>
      </w:r>
    </w:p>
    <w:p w14:paraId="1B12DEC9"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Social Security (Administration) Act 1999</w:t>
      </w:r>
      <w:r w:rsidRPr="005440A8">
        <w:rPr>
          <w:rFonts w:ascii="Arial" w:hAnsi="Arial" w:cs="Arial"/>
          <w:sz w:val="20"/>
          <w:szCs w:val="20"/>
        </w:rPr>
        <w:t>, vi</w:t>
      </w:r>
    </w:p>
    <w:p w14:paraId="3DF9753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social security performance (Outcome 1)</w:t>
      </w:r>
    </w:p>
    <w:p w14:paraId="2611F780"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analysis of program performance, 23</w:t>
      </w:r>
    </w:p>
    <w:p w14:paraId="1A50B86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key results, 19</w:t>
      </w:r>
    </w:p>
    <w:p w14:paraId="25BF0529"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program performance criteria, 23, 24–25</w:t>
      </w:r>
    </w:p>
    <w:p w14:paraId="2C35C32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programs and key activities, 20</w:t>
      </w:r>
    </w:p>
    <w:p w14:paraId="258C46B3"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results of key activities performance, 24–46</w:t>
      </w:r>
    </w:p>
    <w:p w14:paraId="1180F5DB"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results of program performance, 21–23</w:t>
      </w:r>
    </w:p>
    <w:p w14:paraId="1B64883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summary and analysis of, 18</w:t>
      </w:r>
    </w:p>
    <w:p w14:paraId="7ACA3530"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Special Benefit, 20, 21, 29</w:t>
      </w:r>
    </w:p>
    <w:p w14:paraId="3A676DC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Specialist Disability Accommodation for NDIS participants, 71</w:t>
      </w:r>
    </w:p>
    <w:p w14:paraId="2CEAF7C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staff</w:t>
      </w:r>
    </w:p>
    <w:p w14:paraId="4D31807D"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diversity and inclusion, 131–134, 219</w:t>
      </w:r>
    </w:p>
    <w:p w14:paraId="7F1B0F6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employee census, 110</w:t>
      </w:r>
    </w:p>
    <w:p w14:paraId="4C2AD402"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employment arrangements, 114–115, 219</w:t>
      </w:r>
    </w:p>
    <w:p w14:paraId="221438A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full-time/part-time employees, 216–217</w:t>
      </w:r>
    </w:p>
    <w:p w14:paraId="7CCE360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Graduate Development Program, 114</w:t>
      </w:r>
    </w:p>
    <w:p w14:paraId="0DFBC92B"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lastRenderedPageBreak/>
        <w:t>learning and development, 110</w:t>
      </w:r>
    </w:p>
    <w:p w14:paraId="0F613EA1"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location of, 9, 218</w:t>
      </w:r>
    </w:p>
    <w:p w14:paraId="20AC6F52"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management and development of, 110</w:t>
      </w:r>
    </w:p>
    <w:p w14:paraId="1237658C" w14:textId="77777777" w:rsidR="005440A8" w:rsidRPr="005440A8" w:rsidRDefault="005440A8" w:rsidP="005440A8">
      <w:pPr>
        <w:pStyle w:val="Sub1"/>
        <w:widowControl/>
        <w:rPr>
          <w:rFonts w:ascii="Arial" w:hAnsi="Arial" w:cs="Arial"/>
          <w:sz w:val="20"/>
          <w:szCs w:val="20"/>
        </w:rPr>
      </w:pPr>
      <w:proofErr w:type="spellStart"/>
      <w:r w:rsidRPr="005440A8">
        <w:rPr>
          <w:rFonts w:ascii="Arial" w:hAnsi="Arial" w:cs="Arial"/>
          <w:sz w:val="20"/>
          <w:szCs w:val="20"/>
        </w:rPr>
        <w:t>non-ongoing</w:t>
      </w:r>
      <w:proofErr w:type="spellEnd"/>
      <w:r w:rsidRPr="005440A8">
        <w:rPr>
          <w:rFonts w:ascii="Arial" w:hAnsi="Arial" w:cs="Arial"/>
          <w:sz w:val="20"/>
          <w:szCs w:val="20"/>
        </w:rPr>
        <w:t xml:space="preserve"> employees, 209, 213</w:t>
      </w:r>
    </w:p>
    <w:p w14:paraId="723F6DA5"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numbers, 9</w:t>
      </w:r>
    </w:p>
    <w:p w14:paraId="065E3F3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ongoing employees, 208, 212</w:t>
      </w:r>
    </w:p>
    <w:p w14:paraId="68ABE69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pay, 114, 221</w:t>
      </w:r>
    </w:p>
    <w:p w14:paraId="25B9FEE1"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salary ranges/classification, 209</w:t>
      </w:r>
    </w:p>
    <w:p w14:paraId="6B73D746"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work health and safety, 115–116</w:t>
      </w:r>
    </w:p>
    <w:p w14:paraId="56169AF4"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 xml:space="preserve"> </w:t>
      </w:r>
      <w:r w:rsidRPr="005440A8">
        <w:rPr>
          <w:rFonts w:ascii="Arial" w:hAnsi="Arial" w:cs="Arial"/>
          <w:i/>
          <w:iCs/>
          <w:sz w:val="20"/>
          <w:szCs w:val="20"/>
        </w:rPr>
        <w:t>see also</w:t>
      </w:r>
      <w:r w:rsidRPr="005440A8">
        <w:rPr>
          <w:rFonts w:ascii="Arial" w:hAnsi="Arial" w:cs="Arial"/>
          <w:sz w:val="20"/>
          <w:szCs w:val="20"/>
        </w:rPr>
        <w:t xml:space="preserve"> remuneration</w:t>
      </w:r>
    </w:p>
    <w:p w14:paraId="3C436CA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Statement for Australia’s Carers, 199</w:t>
      </w:r>
    </w:p>
    <w:p w14:paraId="01AC906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Stillborn Baby Payment, 20, 21</w:t>
      </w:r>
    </w:p>
    <w:p w14:paraId="542D50D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Stop it at the Start campaign, 58, 192</w:t>
      </w:r>
    </w:p>
    <w:p w14:paraId="6982CDC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Student Payments Program, 20</w:t>
      </w:r>
    </w:p>
    <w:p w14:paraId="5A1E1AD2"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18</w:t>
      </w:r>
    </w:p>
    <w:p w14:paraId="4FF7D2F7"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students not receiving income support 3/6/12 months after exiting program, 28</w:t>
      </w:r>
    </w:p>
    <w:p w14:paraId="71651E0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Student Start-up Loan, 18</w:t>
      </w:r>
    </w:p>
    <w:p w14:paraId="4F3ECE22"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Supplementary Payments and Support for Income Support Recipients Program, 20</w:t>
      </w:r>
    </w:p>
    <w:p w14:paraId="3776E078"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21</w:t>
      </w:r>
    </w:p>
    <w:p w14:paraId="668E2792" w14:textId="77777777" w:rsidR="005440A8" w:rsidRPr="005440A8" w:rsidRDefault="005440A8" w:rsidP="005440A8">
      <w:pPr>
        <w:pStyle w:val="group"/>
        <w:widowControl/>
        <w:rPr>
          <w:rFonts w:ascii="Arial" w:hAnsi="Arial" w:cs="Arial"/>
          <w:sz w:val="20"/>
          <w:szCs w:val="20"/>
          <w:highlight w:val="yellow"/>
        </w:rPr>
      </w:pPr>
    </w:p>
    <w:p w14:paraId="7690ECEB" w14:textId="77777777" w:rsidR="005440A8" w:rsidRPr="005440A8" w:rsidRDefault="005440A8" w:rsidP="005440A8">
      <w:pPr>
        <w:pStyle w:val="ahead"/>
        <w:widowControl/>
        <w:spacing w:after="120"/>
        <w:ind w:left="0" w:firstLine="0"/>
        <w:rPr>
          <w:b/>
        </w:rPr>
      </w:pPr>
      <w:r w:rsidRPr="005440A8">
        <w:rPr>
          <w:b/>
        </w:rPr>
        <w:t>T</w:t>
      </w:r>
    </w:p>
    <w:p w14:paraId="30DDEE4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third party agreements, 104</w:t>
      </w:r>
    </w:p>
    <w:p w14:paraId="4D0A094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Towards Independent Adulthood (TIA) trial, 59</w:t>
      </w:r>
    </w:p>
    <w:p w14:paraId="1511F40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Treasury, 84, 85</w:t>
      </w:r>
    </w:p>
    <w:p w14:paraId="6CCC971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Try, Test and Learn Fund, 19</w:t>
      </w:r>
    </w:p>
    <w:p w14:paraId="7FCC9382" w14:textId="77777777" w:rsidR="005440A8" w:rsidRPr="005440A8" w:rsidRDefault="005440A8" w:rsidP="005440A8">
      <w:pPr>
        <w:pStyle w:val="group"/>
        <w:widowControl/>
        <w:rPr>
          <w:rFonts w:ascii="Arial" w:hAnsi="Arial" w:cs="Arial"/>
          <w:sz w:val="20"/>
          <w:szCs w:val="20"/>
          <w:highlight w:val="yellow"/>
        </w:rPr>
      </w:pPr>
    </w:p>
    <w:p w14:paraId="6643D9BC" w14:textId="77777777" w:rsidR="005440A8" w:rsidRPr="005440A8" w:rsidRDefault="005440A8" w:rsidP="005440A8">
      <w:pPr>
        <w:pStyle w:val="ahead"/>
        <w:widowControl/>
        <w:spacing w:after="120"/>
        <w:ind w:left="0" w:firstLine="0"/>
        <w:rPr>
          <w:b/>
        </w:rPr>
      </w:pPr>
      <w:r w:rsidRPr="005440A8">
        <w:rPr>
          <w:b/>
        </w:rPr>
        <w:t>U</w:t>
      </w:r>
    </w:p>
    <w:p w14:paraId="5404F6B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United Nations </w:t>
      </w:r>
      <w:r w:rsidRPr="005440A8">
        <w:rPr>
          <w:rFonts w:ascii="Arial" w:hAnsi="Arial" w:cs="Arial"/>
          <w:i/>
          <w:iCs/>
          <w:sz w:val="20"/>
          <w:szCs w:val="20"/>
        </w:rPr>
        <w:t>Convention on the Rights of Persons with Disabilities</w:t>
      </w:r>
      <w:r w:rsidRPr="005440A8">
        <w:rPr>
          <w:rFonts w:ascii="Arial" w:hAnsi="Arial" w:cs="Arial"/>
          <w:sz w:val="20"/>
          <w:szCs w:val="20"/>
        </w:rPr>
        <w:t xml:space="preserve"> (CRPD), 78, 201</w:t>
      </w:r>
    </w:p>
    <w:p w14:paraId="5D796FCB"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Utilities Allowance, 21</w:t>
      </w:r>
    </w:p>
    <w:p w14:paraId="16C2AA1F" w14:textId="77777777" w:rsidR="005440A8" w:rsidRPr="005440A8" w:rsidRDefault="005440A8" w:rsidP="005440A8">
      <w:pPr>
        <w:pStyle w:val="group"/>
        <w:widowControl/>
        <w:rPr>
          <w:rFonts w:ascii="Arial" w:hAnsi="Arial" w:cs="Arial"/>
          <w:sz w:val="20"/>
          <w:szCs w:val="20"/>
          <w:highlight w:val="yellow"/>
        </w:rPr>
      </w:pPr>
    </w:p>
    <w:p w14:paraId="450525E7" w14:textId="77777777" w:rsidR="005440A8" w:rsidRPr="005440A8" w:rsidRDefault="005440A8" w:rsidP="005440A8">
      <w:pPr>
        <w:pStyle w:val="ahead"/>
        <w:widowControl/>
        <w:spacing w:after="120"/>
        <w:ind w:left="0" w:firstLine="0"/>
        <w:rPr>
          <w:b/>
        </w:rPr>
      </w:pPr>
      <w:r w:rsidRPr="005440A8">
        <w:rPr>
          <w:b/>
        </w:rPr>
        <w:t>V</w:t>
      </w:r>
    </w:p>
    <w:p w14:paraId="718BE30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Values (APS), 6</w:t>
      </w:r>
    </w:p>
    <w:p w14:paraId="1E92B5FB"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 xml:space="preserve">violence </w:t>
      </w:r>
      <w:r w:rsidRPr="005440A8">
        <w:rPr>
          <w:rFonts w:ascii="Arial" w:hAnsi="Arial" w:cs="Arial"/>
          <w:i/>
          <w:iCs/>
          <w:sz w:val="20"/>
          <w:szCs w:val="20"/>
        </w:rPr>
        <w:t>see</w:t>
      </w:r>
      <w:r w:rsidRPr="005440A8">
        <w:rPr>
          <w:rFonts w:ascii="Arial" w:hAnsi="Arial" w:cs="Arial"/>
          <w:sz w:val="20"/>
          <w:szCs w:val="20"/>
        </w:rPr>
        <w:t xml:space="preserve"> domestic and family violence</w:t>
      </w:r>
    </w:p>
    <w:p w14:paraId="7D5C17A6"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Volunteering and Community Connectedness activity, 49</w:t>
      </w:r>
    </w:p>
    <w:p w14:paraId="510447B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Volunteering Australia, 65</w:t>
      </w:r>
    </w:p>
    <w:p w14:paraId="2C4046F8" w14:textId="77777777" w:rsidR="005440A8" w:rsidRPr="005440A8" w:rsidRDefault="005440A8" w:rsidP="005440A8">
      <w:pPr>
        <w:pStyle w:val="group"/>
        <w:widowControl/>
        <w:rPr>
          <w:rFonts w:ascii="Arial" w:hAnsi="Arial" w:cs="Arial"/>
          <w:sz w:val="20"/>
          <w:szCs w:val="20"/>
          <w:highlight w:val="yellow"/>
        </w:rPr>
      </w:pPr>
    </w:p>
    <w:p w14:paraId="38EF6BDD" w14:textId="77777777" w:rsidR="005440A8" w:rsidRPr="005440A8" w:rsidRDefault="005440A8" w:rsidP="005440A8">
      <w:pPr>
        <w:pStyle w:val="ahead"/>
        <w:widowControl/>
        <w:spacing w:after="120"/>
        <w:ind w:left="0" w:firstLine="0"/>
        <w:rPr>
          <w:b/>
        </w:rPr>
      </w:pPr>
      <w:r w:rsidRPr="005440A8">
        <w:rPr>
          <w:b/>
        </w:rPr>
        <w:t>W</w:t>
      </w:r>
    </w:p>
    <w:p w14:paraId="5409D9F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waste and water efficiency management in departmental offices, 196–198</w:t>
      </w:r>
    </w:p>
    <w:p w14:paraId="18FBF363"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Widow Allowance, 22</w:t>
      </w:r>
    </w:p>
    <w:p w14:paraId="14B4CCD9"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Widow B Pension, 22</w:t>
      </w:r>
    </w:p>
    <w:p w14:paraId="772356ED"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Wife Pension (Age), 22</w:t>
      </w:r>
    </w:p>
    <w:p w14:paraId="21CAC7D9"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Wife Pension (Disability Support Pension), 22</w:t>
      </w:r>
    </w:p>
    <w:p w14:paraId="7B618C25"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work health and safety, 115–116</w:t>
      </w:r>
    </w:p>
    <w:p w14:paraId="684A701C"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Work Health and Safety Act 2011</w:t>
      </w:r>
      <w:r w:rsidRPr="005440A8">
        <w:rPr>
          <w:rFonts w:ascii="Arial" w:hAnsi="Arial" w:cs="Arial"/>
          <w:sz w:val="20"/>
          <w:szCs w:val="20"/>
        </w:rPr>
        <w:t>, 115-116</w:t>
      </w:r>
    </w:p>
    <w:p w14:paraId="0ABBC80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workers’ compensation claims, 115</w:t>
      </w:r>
    </w:p>
    <w:p w14:paraId="60F47C1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workforce planning, 110</w:t>
      </w:r>
    </w:p>
    <w:p w14:paraId="1E4890BD" w14:textId="77777777" w:rsidR="005440A8" w:rsidRPr="005440A8" w:rsidRDefault="005440A8" w:rsidP="005440A8">
      <w:pPr>
        <w:pStyle w:val="Main"/>
        <w:widowControl/>
        <w:rPr>
          <w:rFonts w:ascii="Arial" w:hAnsi="Arial" w:cs="Arial"/>
          <w:sz w:val="20"/>
          <w:szCs w:val="20"/>
        </w:rPr>
      </w:pPr>
      <w:r w:rsidRPr="005440A8">
        <w:rPr>
          <w:rFonts w:ascii="Arial" w:hAnsi="Arial" w:cs="Arial"/>
          <w:i/>
          <w:iCs/>
          <w:sz w:val="20"/>
          <w:szCs w:val="20"/>
        </w:rPr>
        <w:t>Workforce Strategy 2019–22</w:t>
      </w:r>
      <w:r w:rsidRPr="005440A8">
        <w:rPr>
          <w:rFonts w:ascii="Arial" w:hAnsi="Arial" w:cs="Arial"/>
          <w:sz w:val="20"/>
          <w:szCs w:val="20"/>
        </w:rPr>
        <w:t>, 110</w:t>
      </w:r>
    </w:p>
    <w:p w14:paraId="60E5601A"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Working Age Payments Program, 20</w:t>
      </w:r>
    </w:p>
    <w:p w14:paraId="5AA49D2F" w14:textId="77777777" w:rsidR="005440A8" w:rsidRPr="005440A8" w:rsidRDefault="005440A8" w:rsidP="005440A8">
      <w:pPr>
        <w:pStyle w:val="Sub1"/>
        <w:widowControl/>
        <w:rPr>
          <w:rFonts w:ascii="Arial" w:hAnsi="Arial" w:cs="Arial"/>
          <w:sz w:val="20"/>
          <w:szCs w:val="20"/>
        </w:rPr>
      </w:pPr>
      <w:r w:rsidRPr="005440A8">
        <w:rPr>
          <w:rFonts w:ascii="Arial" w:hAnsi="Arial" w:cs="Arial"/>
          <w:sz w:val="20"/>
          <w:szCs w:val="20"/>
        </w:rPr>
        <w:t>performance criteria and milestones, 22</w:t>
      </w:r>
    </w:p>
    <w:p w14:paraId="782F08CF"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workplace arrangements, 114–115, 219</w:t>
      </w:r>
    </w:p>
    <w:p w14:paraId="3F71ED4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workplace diversity and inclusion, 111–113</w:t>
      </w:r>
    </w:p>
    <w:p w14:paraId="10A79A6D" w14:textId="77777777" w:rsidR="005440A8" w:rsidRPr="005440A8" w:rsidRDefault="005440A8" w:rsidP="005440A8">
      <w:pPr>
        <w:pStyle w:val="group"/>
        <w:widowControl/>
        <w:rPr>
          <w:rFonts w:ascii="Arial" w:hAnsi="Arial" w:cs="Arial"/>
          <w:sz w:val="20"/>
          <w:szCs w:val="20"/>
          <w:highlight w:val="yellow"/>
        </w:rPr>
      </w:pPr>
    </w:p>
    <w:p w14:paraId="08DC09D7" w14:textId="77777777" w:rsidR="005440A8" w:rsidRPr="005440A8" w:rsidRDefault="005440A8" w:rsidP="005440A8">
      <w:pPr>
        <w:pStyle w:val="ahead"/>
        <w:widowControl/>
        <w:spacing w:after="120"/>
        <w:ind w:left="0" w:firstLine="0"/>
        <w:rPr>
          <w:b/>
        </w:rPr>
      </w:pPr>
      <w:r w:rsidRPr="005440A8">
        <w:rPr>
          <w:b/>
        </w:rPr>
        <w:lastRenderedPageBreak/>
        <w:t>Y</w:t>
      </w:r>
    </w:p>
    <w:p w14:paraId="7C722018"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Youth Allowance (Other), 20, 29</w:t>
      </w:r>
    </w:p>
    <w:p w14:paraId="41463241" w14:textId="77777777" w:rsidR="005440A8" w:rsidRPr="005440A8" w:rsidRDefault="005440A8" w:rsidP="005440A8">
      <w:pPr>
        <w:pStyle w:val="Main"/>
        <w:widowControl/>
        <w:rPr>
          <w:rFonts w:ascii="Arial" w:hAnsi="Arial" w:cs="Arial"/>
          <w:sz w:val="20"/>
          <w:szCs w:val="20"/>
        </w:rPr>
      </w:pPr>
      <w:r w:rsidRPr="005440A8">
        <w:rPr>
          <w:rFonts w:ascii="Arial" w:hAnsi="Arial" w:cs="Arial"/>
          <w:sz w:val="20"/>
          <w:szCs w:val="20"/>
        </w:rPr>
        <w:t>Youth Allowance (Student), 20</w:t>
      </w:r>
    </w:p>
    <w:p w14:paraId="3D02B311" w14:textId="77777777" w:rsidR="005440A8" w:rsidRPr="005440A8" w:rsidRDefault="005440A8" w:rsidP="005440A8">
      <w:pPr>
        <w:pStyle w:val="Main"/>
        <w:widowControl/>
        <w:rPr>
          <w:rFonts w:ascii="Arial" w:hAnsi="Arial" w:cs="Arial"/>
          <w:sz w:val="20"/>
          <w:szCs w:val="20"/>
        </w:rPr>
      </w:pPr>
    </w:p>
    <w:p w14:paraId="3F80BCE4" w14:textId="7FB955B6" w:rsidR="00AB6753" w:rsidRDefault="00AB6753" w:rsidP="00AB6753">
      <w:pPr>
        <w:rPr>
          <w:rFonts w:cs="Arial"/>
          <w:spacing w:val="4"/>
          <w:sz w:val="20"/>
          <w:szCs w:val="20"/>
          <w:lang w:eastAsia="en-AU"/>
        </w:rPr>
      </w:pPr>
      <w:r>
        <w:rPr>
          <w:rFonts w:cs="Arial"/>
          <w:spacing w:val="4"/>
          <w:sz w:val="20"/>
          <w:szCs w:val="20"/>
          <w:lang w:eastAsia="en-AU"/>
        </w:rPr>
        <w:br w:type="page"/>
      </w:r>
    </w:p>
    <w:p w14:paraId="48DB41FB" w14:textId="77777777" w:rsidR="00AB6753" w:rsidRPr="00B91E3E" w:rsidRDefault="00AB6753" w:rsidP="00AB6753">
      <w:r w:rsidRPr="00C535EB">
        <w:rPr>
          <w:rFonts w:cs="Arial"/>
          <w:noProof/>
          <w:spacing w:val="4"/>
          <w:sz w:val="20"/>
          <w:szCs w:val="20"/>
          <w:lang w:eastAsia="en-AU"/>
        </w:rPr>
        <w:lastRenderedPageBreak/>
        <w:drawing>
          <wp:anchor distT="0" distB="0" distL="114300" distR="114300" simplePos="0" relativeHeight="251687936" behindDoc="0" locked="0" layoutInCell="1" allowOverlap="1" wp14:anchorId="30C6DE80" wp14:editId="2C97896A">
            <wp:simplePos x="0" y="0"/>
            <wp:positionH relativeFrom="column">
              <wp:posOffset>-939165</wp:posOffset>
            </wp:positionH>
            <wp:positionV relativeFrom="paragraph">
              <wp:posOffset>-903750</wp:posOffset>
            </wp:positionV>
            <wp:extent cx="7567930" cy="10653898"/>
            <wp:effectExtent l="0" t="0" r="0" b="0"/>
            <wp:wrapNone/>
            <wp:docPr id="23" name="Picture 23" descr="dss.gov.au Department of Social Services" title="Back cover of Annual Report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0091\AppData\Local\Microsoft\Windows\INetCache\Content.Outlook\1G6KHF1X\DSS AR 2019-20 backcove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567930" cy="10653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74673" w14:textId="7C349890" w:rsidR="00E45A16" w:rsidRPr="00B91E3E" w:rsidRDefault="00E45A16"/>
    <w:sectPr w:rsidR="00E45A16" w:rsidRPr="00B91E3E" w:rsidSect="00ED4F3A">
      <w:headerReference w:type="even" r:id="rId79"/>
      <w:headerReference w:type="default" r:id="rId80"/>
      <w:footerReference w:type="even" r:id="rId81"/>
      <w:headerReference w:type="first" r:id="rId82"/>
      <w:footerReference w:type="first" r:id="rId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F1EDF" w14:textId="77777777" w:rsidR="00EB552B" w:rsidRDefault="00EB552B">
      <w:pPr>
        <w:spacing w:after="0" w:line="240" w:lineRule="auto"/>
      </w:pPr>
      <w:r>
        <w:separator/>
      </w:r>
    </w:p>
  </w:endnote>
  <w:endnote w:type="continuationSeparator" w:id="0">
    <w:p w14:paraId="17BC512F" w14:textId="77777777" w:rsidR="00EB552B" w:rsidRDefault="00EB5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LT Std">
    <w:altName w:val="Arial"/>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NeueLT Std Med">
    <w:altName w:val="Arial"/>
    <w:panose1 w:val="00000000000000000000"/>
    <w:charset w:val="00"/>
    <w:family w:val="swiss"/>
    <w:notTrueType/>
    <w:pitch w:val="variable"/>
    <w:sig w:usb0="800000AF" w:usb1="4000204A" w:usb2="00000000" w:usb3="00000000" w:csb0="00000001" w:csb1="00000000"/>
  </w:font>
  <w:font w:name="Helvetica Neue">
    <w:altName w:val="Arial"/>
    <w:panose1 w:val="00000000000000000000"/>
    <w:charset w:val="00"/>
    <w:family w:val="modern"/>
    <w:notTrueType/>
    <w:pitch w:val="variable"/>
    <w:sig w:usb0="00000003" w:usb1="40000048" w:usb2="00000000" w:usb3="00000000" w:csb0="00000111" w:csb1="00000000"/>
  </w:font>
  <w:font w:name="HelveticaNeueLTStd-Lt">
    <w:altName w:val="Arial"/>
    <w:panose1 w:val="00000000000000000000"/>
    <w:charset w:val="00"/>
    <w:family w:val="swiss"/>
    <w:notTrueType/>
    <w:pitch w:val="default"/>
    <w:sig w:usb0="00000003" w:usb1="00000000" w:usb2="00000000" w:usb3="00000000" w:csb0="00000001" w:csb1="00000000"/>
  </w:font>
  <w:font w:name="HelveticaNeueLTStd-Bd">
    <w:panose1 w:val="00000000000000000000"/>
    <w:charset w:val="00"/>
    <w:family w:val="swiss"/>
    <w:notTrueType/>
    <w:pitch w:val="default"/>
    <w:sig w:usb0="00000003" w:usb1="00000000" w:usb2="00000000" w:usb3="00000000" w:csb0="00000001" w:csb1="00000000"/>
  </w:font>
  <w:font w:name="HelveticaNeueLT-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auto"/>
    <w:notTrueType/>
    <w:pitch w:val="default"/>
    <w:sig w:usb0="00000003" w:usb1="00000000" w:usb2="00000000" w:usb3="00000000" w:csb0="00000001" w:csb1="00000000"/>
  </w:font>
  <w:font w:name="HelveticaNeue-Light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247260"/>
      <w:docPartObj>
        <w:docPartGallery w:val="Page Numbers (Bottom of Page)"/>
        <w:docPartUnique/>
      </w:docPartObj>
    </w:sdtPr>
    <w:sdtEndPr>
      <w:rPr>
        <w:noProof/>
      </w:rPr>
    </w:sdtEndPr>
    <w:sdtContent>
      <w:p w14:paraId="05086892" w14:textId="33BD4E7F" w:rsidR="00EB552B" w:rsidRDefault="00EB552B" w:rsidP="00B47311">
        <w:pPr>
          <w:pStyle w:val="Footer"/>
          <w:jc w:val="right"/>
        </w:pPr>
        <w:r w:rsidRPr="00C6098F">
          <w:rPr>
            <w:b/>
          </w:rPr>
          <w:t>Department of Social Services</w:t>
        </w:r>
        <w:r>
          <w:t xml:space="preserve"> Annual Report 2019-20   </w:t>
        </w:r>
        <w:r>
          <w:fldChar w:fldCharType="begin"/>
        </w:r>
        <w:r>
          <w:instrText xml:space="preserve"> PAGE   \* MERGEFORMAT </w:instrText>
        </w:r>
        <w:r>
          <w:fldChar w:fldCharType="separate"/>
        </w:r>
        <w:r w:rsidR="00521F86">
          <w:rPr>
            <w:noProof/>
          </w:rPr>
          <w:t>193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7E1EA" w14:textId="77777777" w:rsidR="00EB552B" w:rsidRDefault="00EB55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7E1ED" w14:textId="77777777" w:rsidR="00EB552B" w:rsidRDefault="00EB55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6E8E5" w14:textId="77777777" w:rsidR="00EB552B" w:rsidRDefault="00EB55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FF1EA" w14:textId="77777777" w:rsidR="00EB552B" w:rsidRDefault="00EB5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B66F5" w14:textId="77777777" w:rsidR="00EB552B" w:rsidRDefault="00EB552B">
      <w:pPr>
        <w:spacing w:after="0" w:line="240" w:lineRule="auto"/>
      </w:pPr>
      <w:r>
        <w:separator/>
      </w:r>
    </w:p>
  </w:footnote>
  <w:footnote w:type="continuationSeparator" w:id="0">
    <w:p w14:paraId="7C2AFAAA" w14:textId="77777777" w:rsidR="00EB552B" w:rsidRDefault="00EB552B">
      <w:pPr>
        <w:spacing w:after="0" w:line="240" w:lineRule="auto"/>
      </w:pPr>
      <w:r>
        <w:continuationSeparator/>
      </w:r>
    </w:p>
  </w:footnote>
  <w:footnote w:id="1">
    <w:p w14:paraId="1B2040B2" w14:textId="77777777" w:rsidR="00EB552B" w:rsidRDefault="00EB552B" w:rsidP="001404F7">
      <w:pPr>
        <w:pStyle w:val="FootnoteText"/>
      </w:pPr>
      <w:r>
        <w:rPr>
          <w:rStyle w:val="FootnoteReference"/>
        </w:rPr>
        <w:footnoteRef/>
      </w:r>
      <w:r>
        <w:t xml:space="preserve"> </w:t>
      </w:r>
      <w:r w:rsidRPr="00B67A91">
        <w:t>An income unit comprises a single person (with or without dependent children) or a couple (with or without dependent children).</w:t>
      </w:r>
    </w:p>
  </w:footnote>
  <w:footnote w:id="2">
    <w:p w14:paraId="030B2814" w14:textId="4AD6D74B" w:rsidR="00EB552B" w:rsidRDefault="00EB552B">
      <w:pPr>
        <w:pStyle w:val="FootnoteText"/>
      </w:pPr>
      <w:r>
        <w:rPr>
          <w:rStyle w:val="FootnoteReference"/>
        </w:rPr>
        <w:footnoteRef/>
      </w:r>
      <w:r>
        <w:t xml:space="preserve"> </w:t>
      </w:r>
      <w:r w:rsidRPr="00B67A91">
        <w:t>An income unit comprises a single person (with or without dependent children) or a couple (with or without dependent children).</w:t>
      </w:r>
    </w:p>
  </w:footnote>
  <w:footnote w:id="3">
    <w:p w14:paraId="7993219A" w14:textId="77777777" w:rsidR="00EB552B" w:rsidRPr="003A047F" w:rsidRDefault="00EB552B" w:rsidP="0029429F">
      <w:pPr>
        <w:pStyle w:val="FootnoteText"/>
        <w:rPr>
          <w:sz w:val="16"/>
          <w:szCs w:val="16"/>
        </w:rPr>
      </w:pPr>
      <w:r w:rsidRPr="003A047F">
        <w:rPr>
          <w:rStyle w:val="FootnoteReference"/>
          <w:sz w:val="16"/>
          <w:szCs w:val="16"/>
        </w:rPr>
        <w:footnoteRef/>
      </w:r>
      <w:r w:rsidRPr="003A047F">
        <w:rPr>
          <w:sz w:val="16"/>
          <w:szCs w:val="16"/>
        </w:rPr>
        <w:t xml:space="preserve"> The number of communities has been sourced though the Data Exchange (DEX) and the number of Indigenous sites from the publicly available program guidelines. For information on DEX visit </w:t>
      </w:r>
      <w:hyperlink r:id="rId1" w:history="1">
        <w:r w:rsidRPr="003A047F">
          <w:rPr>
            <w:rStyle w:val="Hyperlink"/>
            <w:sz w:val="16"/>
            <w:szCs w:val="16"/>
          </w:rPr>
          <w:t>https://dex.dss.gov.au/</w:t>
        </w:r>
      </w:hyperlink>
    </w:p>
  </w:footnote>
  <w:footnote w:id="4">
    <w:p w14:paraId="1C7CFF04" w14:textId="77777777" w:rsidR="00EB552B" w:rsidRDefault="00EB552B" w:rsidP="0029429F">
      <w:pPr>
        <w:pStyle w:val="FootnoteText"/>
      </w:pPr>
      <w:r w:rsidRPr="003A047F">
        <w:rPr>
          <w:rStyle w:val="FootnoteReference"/>
          <w:sz w:val="16"/>
          <w:szCs w:val="16"/>
        </w:rPr>
        <w:footnoteRef/>
      </w:r>
      <w:r w:rsidRPr="003A047F">
        <w:rPr>
          <w:sz w:val="16"/>
          <w:szCs w:val="16"/>
        </w:rPr>
        <w:t xml:space="preserve"> This figure is not comparable with previous years as organisations have continued to transition to the new way in which information is now reported through DEX. There has been no change in service delivery, any changes in outlets is due to how DEX data is captured and reported by service providers. Data not recorded in DEX is no longer reported.</w:t>
      </w:r>
    </w:p>
  </w:footnote>
  <w:footnote w:id="5">
    <w:p w14:paraId="02500FDA" w14:textId="77777777" w:rsidR="00EB552B" w:rsidRPr="003A047F" w:rsidRDefault="00EB552B" w:rsidP="0029429F">
      <w:pPr>
        <w:pStyle w:val="FootnoteText"/>
        <w:rPr>
          <w:sz w:val="16"/>
          <w:szCs w:val="16"/>
        </w:rPr>
      </w:pPr>
      <w:r w:rsidRPr="003A047F">
        <w:rPr>
          <w:rStyle w:val="FootnoteReference"/>
          <w:sz w:val="16"/>
          <w:szCs w:val="16"/>
        </w:rPr>
        <w:footnoteRef/>
      </w:r>
      <w:r w:rsidRPr="003A047F">
        <w:rPr>
          <w:sz w:val="16"/>
          <w:szCs w:val="16"/>
        </w:rPr>
        <w:t xml:space="preserve"> This data has been sourced though the Data Exchange.</w:t>
      </w:r>
    </w:p>
  </w:footnote>
  <w:footnote w:id="6">
    <w:p w14:paraId="547CD80A" w14:textId="77777777" w:rsidR="00EB552B" w:rsidRDefault="00EB552B" w:rsidP="00EB552B">
      <w:pPr>
        <w:pStyle w:val="ListBullet"/>
        <w:numPr>
          <w:ilvl w:val="0"/>
          <w:numId w:val="0"/>
        </w:numPr>
      </w:pPr>
      <w:r>
        <w:rPr>
          <w:rStyle w:val="FootnoteReference"/>
        </w:rPr>
        <w:footnoteRef/>
      </w:r>
      <w:r>
        <w:t xml:space="preserve"> </w:t>
      </w:r>
      <w:r w:rsidRPr="005F109B">
        <w:rPr>
          <w:rFonts w:cs="Arial"/>
          <w:spacing w:val="0"/>
          <w:sz w:val="16"/>
          <w:szCs w:val="16"/>
        </w:rPr>
        <w:t>This figure is not comparable with previous years as organisations have continued to transition to the new way in which information is now reported through DEX. There has been no change in service delivery, any changes in outlets is due to how DEX data is captured and reported by service providers. Data not recorded in DEX is no longer reported.</w:t>
      </w:r>
    </w:p>
  </w:footnote>
  <w:footnote w:id="7">
    <w:p w14:paraId="5478DA2A" w14:textId="77777777" w:rsidR="00EB552B" w:rsidRPr="00377EA2" w:rsidRDefault="00EB552B" w:rsidP="00EB552B">
      <w:pPr>
        <w:pStyle w:val="ListBullet"/>
        <w:numPr>
          <w:ilvl w:val="0"/>
          <w:numId w:val="0"/>
        </w:numPr>
        <w:rPr>
          <w:rFonts w:cs="Arial"/>
          <w:spacing w:val="0"/>
          <w:sz w:val="16"/>
          <w:szCs w:val="16"/>
        </w:rPr>
      </w:pPr>
      <w:r>
        <w:rPr>
          <w:rStyle w:val="FootnoteReference"/>
        </w:rPr>
        <w:footnoteRef/>
      </w:r>
      <w:r w:rsidRPr="00377EA2">
        <w:rPr>
          <w:rStyle w:val="FootnoteReference"/>
        </w:rPr>
        <w:t xml:space="preserve"> </w:t>
      </w:r>
      <w:r w:rsidRPr="00377EA2">
        <w:rPr>
          <w:rFonts w:cs="Arial"/>
          <w:spacing w:val="0"/>
          <w:sz w:val="16"/>
          <w:szCs w:val="16"/>
        </w:rPr>
        <w:t>This data has been sourced though the Data Exchange.</w:t>
      </w:r>
    </w:p>
    <w:p w14:paraId="3B5668A1" w14:textId="77777777" w:rsidR="00EB552B" w:rsidRPr="00080CF2" w:rsidRDefault="00EB552B" w:rsidP="0029429F">
      <w:pPr>
        <w:rPr>
          <w:sz w:val="20"/>
          <w:szCs w:val="20"/>
        </w:rPr>
      </w:pPr>
    </w:p>
  </w:footnote>
  <w:footnote w:id="8">
    <w:p w14:paraId="27192202" w14:textId="29CA7F50" w:rsidR="00EB552B" w:rsidRDefault="00EB552B">
      <w:pPr>
        <w:pStyle w:val="FootnoteText"/>
      </w:pPr>
      <w:r>
        <w:rPr>
          <w:rStyle w:val="FootnoteReference"/>
        </w:rPr>
        <w:footnoteRef/>
      </w:r>
      <w:r>
        <w:t xml:space="preserve"> Commonwealth Rent Assistance recipients are considered to be in rental stress if rent is more than 30 per cent of income.</w:t>
      </w:r>
    </w:p>
  </w:footnote>
  <w:footnote w:id="9">
    <w:p w14:paraId="0FE532EA" w14:textId="77777777" w:rsidR="00EB552B" w:rsidRPr="00E1430E" w:rsidRDefault="00EB552B" w:rsidP="00A9105E">
      <w:pPr>
        <w:pStyle w:val="FootnoteText"/>
        <w:rPr>
          <w:sz w:val="16"/>
          <w:szCs w:val="16"/>
        </w:rPr>
      </w:pPr>
      <w:r w:rsidRPr="00E1430E">
        <w:rPr>
          <w:rStyle w:val="FootnoteReference"/>
          <w:sz w:val="16"/>
          <w:szCs w:val="16"/>
        </w:rPr>
        <w:footnoteRef/>
      </w:r>
      <w:r w:rsidRPr="00E1430E">
        <w:rPr>
          <w:sz w:val="16"/>
          <w:szCs w:val="16"/>
        </w:rPr>
        <w:t xml:space="preserve"> NRAS households may receive Commonwealth Rent Assistance. This is included in gross income as the amount of Commonwealth Rent Assistance received is not separately identified.</w:t>
      </w:r>
    </w:p>
  </w:footnote>
  <w:footnote w:id="10">
    <w:p w14:paraId="66DF0137" w14:textId="77777777" w:rsidR="00EB552B" w:rsidRPr="008B4F72" w:rsidRDefault="00EB552B" w:rsidP="00A9105E">
      <w:pPr>
        <w:pStyle w:val="FootnoteText"/>
        <w:rPr>
          <w:sz w:val="16"/>
          <w:szCs w:val="16"/>
        </w:rPr>
      </w:pPr>
      <w:r w:rsidRPr="00E1430E">
        <w:rPr>
          <w:rStyle w:val="FootnoteReference"/>
          <w:sz w:val="16"/>
          <w:szCs w:val="16"/>
        </w:rPr>
        <w:footnoteRef/>
      </w:r>
      <w:r w:rsidRPr="00E1430E">
        <w:rPr>
          <w:sz w:val="16"/>
          <w:szCs w:val="16"/>
        </w:rPr>
        <w:t xml:space="preserve"> Results for the 201</w:t>
      </w:r>
      <w:r>
        <w:rPr>
          <w:sz w:val="16"/>
          <w:szCs w:val="16"/>
        </w:rPr>
        <w:t>8</w:t>
      </w:r>
      <w:r w:rsidRPr="00E1430E">
        <w:rPr>
          <w:sz w:val="16"/>
          <w:szCs w:val="16"/>
        </w:rPr>
        <w:t>–</w:t>
      </w:r>
      <w:r>
        <w:rPr>
          <w:sz w:val="16"/>
          <w:szCs w:val="16"/>
        </w:rPr>
        <w:t>19</w:t>
      </w:r>
      <w:r w:rsidRPr="00E1430E">
        <w:rPr>
          <w:sz w:val="16"/>
          <w:szCs w:val="16"/>
        </w:rPr>
        <w:t xml:space="preserve"> NRAS year (1 May 201</w:t>
      </w:r>
      <w:r>
        <w:rPr>
          <w:sz w:val="16"/>
          <w:szCs w:val="16"/>
        </w:rPr>
        <w:t>8</w:t>
      </w:r>
      <w:r w:rsidRPr="00E1430E">
        <w:rPr>
          <w:sz w:val="16"/>
          <w:szCs w:val="16"/>
        </w:rPr>
        <w:t xml:space="preserve"> to 30 April 201</w:t>
      </w:r>
      <w:r>
        <w:rPr>
          <w:sz w:val="16"/>
          <w:szCs w:val="16"/>
        </w:rPr>
        <w:t>9</w:t>
      </w:r>
      <w:r w:rsidRPr="00E1430E">
        <w:rPr>
          <w:sz w:val="16"/>
          <w:szCs w:val="16"/>
        </w:rPr>
        <w:t>) are reported, as full occupancy and payment data for 201</w:t>
      </w:r>
      <w:r>
        <w:rPr>
          <w:sz w:val="16"/>
          <w:szCs w:val="16"/>
        </w:rPr>
        <w:t>9</w:t>
      </w:r>
      <w:r w:rsidRPr="00E1430E">
        <w:rPr>
          <w:sz w:val="16"/>
          <w:szCs w:val="16"/>
        </w:rPr>
        <w:t>–</w:t>
      </w:r>
      <w:r>
        <w:rPr>
          <w:sz w:val="16"/>
          <w:szCs w:val="16"/>
        </w:rPr>
        <w:t>20</w:t>
      </w:r>
      <w:r w:rsidRPr="00E1430E">
        <w:rPr>
          <w:sz w:val="16"/>
          <w:szCs w:val="16"/>
        </w:rPr>
        <w:t xml:space="preserve"> were not available at time of publication.</w:t>
      </w:r>
    </w:p>
  </w:footnote>
  <w:footnote w:id="11">
    <w:p w14:paraId="740E92C5" w14:textId="77777777" w:rsidR="00EB552B" w:rsidRDefault="00EB552B" w:rsidP="00AB6753">
      <w:pPr>
        <w:pStyle w:val="FootnoteText"/>
      </w:pPr>
      <w:r>
        <w:rPr>
          <w:rStyle w:val="FootnoteReference"/>
        </w:rPr>
        <w:footnoteRef/>
      </w:r>
      <w:r>
        <w:t xml:space="preserve"> </w:t>
      </w:r>
      <w:r>
        <w:rPr>
          <w:sz w:val="16"/>
          <w:lang w:val="en-US"/>
        </w:rPr>
        <w:t>The figures provided represent a snapshot of the Scheme operations between 1 July 2019 and 30 June 2020. These include outcomes provided to people who applied for redress in first year of the Scheme’s operation.</w:t>
      </w:r>
    </w:p>
  </w:footnote>
  <w:footnote w:id="12">
    <w:p w14:paraId="6E218880" w14:textId="77777777" w:rsidR="00EB552B" w:rsidRDefault="00EB552B" w:rsidP="00AB6753">
      <w:pPr>
        <w:pStyle w:val="FootnoteText"/>
      </w:pPr>
      <w:r>
        <w:rPr>
          <w:rStyle w:val="FootnoteReference"/>
        </w:rPr>
        <w:footnoteRef/>
      </w:r>
      <w:r>
        <w:t xml:space="preserve"> </w:t>
      </w:r>
      <w:r w:rsidRPr="003100FB">
        <w:rPr>
          <w:sz w:val="16"/>
          <w:lang w:val="en-US"/>
        </w:rPr>
        <w:t>This represents the number of new applications received between 1 July 2019 and 30 June 2020. Some</w:t>
      </w:r>
      <w:r>
        <w:rPr>
          <w:sz w:val="16"/>
          <w:lang w:val="en-US"/>
        </w:rPr>
        <w:t xml:space="preserve"> of these</w:t>
      </w:r>
      <w:r w:rsidRPr="003100FB">
        <w:rPr>
          <w:sz w:val="16"/>
          <w:lang w:val="en-US"/>
        </w:rPr>
        <w:t xml:space="preserve"> applications </w:t>
      </w:r>
      <w:r>
        <w:rPr>
          <w:sz w:val="16"/>
          <w:lang w:val="en-US"/>
        </w:rPr>
        <w:t>are currently being assessed by the Scheme.</w:t>
      </w:r>
    </w:p>
  </w:footnote>
  <w:footnote w:id="13">
    <w:p w14:paraId="177E76EF" w14:textId="77777777" w:rsidR="00EB552B" w:rsidRDefault="00EB552B" w:rsidP="00AB6753">
      <w:pPr>
        <w:pStyle w:val="FootnoteText"/>
      </w:pPr>
      <w:r>
        <w:rPr>
          <w:rStyle w:val="FootnoteReference"/>
        </w:rPr>
        <w:footnoteRef/>
      </w:r>
      <w:r>
        <w:t xml:space="preserve"> </w:t>
      </w:r>
      <w:r w:rsidRPr="000A4093">
        <w:rPr>
          <w:sz w:val="16"/>
          <w:szCs w:val="16"/>
        </w:rPr>
        <w:t>Finalised is the definition given to an application which has been accepted and paid (including nil payments)</w:t>
      </w:r>
      <w:r>
        <w:rPr>
          <w:sz w:val="16"/>
          <w:szCs w:val="16"/>
        </w:rPr>
        <w:t>.</w:t>
      </w:r>
    </w:p>
  </w:footnote>
  <w:footnote w:id="14">
    <w:p w14:paraId="69A57FF8" w14:textId="77777777" w:rsidR="00EB552B" w:rsidRDefault="00EB552B" w:rsidP="00AB6753">
      <w:pPr>
        <w:pStyle w:val="FootnoteText"/>
      </w:pPr>
      <w:r>
        <w:rPr>
          <w:rStyle w:val="FootnoteReference"/>
        </w:rPr>
        <w:footnoteRef/>
      </w:r>
      <w:r>
        <w:t xml:space="preserve"> </w:t>
      </w:r>
      <w:r>
        <w:rPr>
          <w:sz w:val="16"/>
          <w:szCs w:val="16"/>
        </w:rPr>
        <w:t>An outcome is where applications have reached the stage just before payment and contact is made with the applicant to advise them of their outcome and provide them with an acceptance letter.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7F51F" w14:textId="77777777" w:rsidR="00EB552B" w:rsidRDefault="00EB552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1E5E3" w14:textId="77777777" w:rsidR="00EB552B" w:rsidRPr="00395347" w:rsidRDefault="00EB552B" w:rsidP="00F903A2">
    <w:pPr>
      <w:pStyle w:val="StatementHeading"/>
      <w:ind w:left="113" w:right="284"/>
      <w:rPr>
        <w:rFonts w:ascii="HelveticaNeueLT-Light" w:hAnsi="HelveticaNeueLT-Light" w:cs="HelveticaNeueLT-Light"/>
        <w:b w:val="0"/>
        <w:sz w:val="32"/>
        <w:szCs w:val="32"/>
        <w:lang w:eastAsia="en-AU"/>
      </w:rPr>
    </w:pPr>
    <w:r>
      <w:rPr>
        <w:rFonts w:ascii="HelveticaNeueLT-Light" w:hAnsi="HelveticaNeueLT-Light" w:cs="HelveticaNeueLT-Light"/>
        <w:b w:val="0"/>
        <w:sz w:val="32"/>
        <w:szCs w:val="32"/>
        <w:lang w:eastAsia="en-AU"/>
      </w:rPr>
      <w:t>Department of Social Services</w:t>
    </w:r>
  </w:p>
  <w:p w14:paraId="366D12FA" w14:textId="77777777" w:rsidR="00EB552B" w:rsidRPr="00025276" w:rsidRDefault="00EB552B" w:rsidP="00F903A2">
    <w:pPr>
      <w:pStyle w:val="StatementHeading"/>
      <w:ind w:left="113" w:right="284"/>
      <w:rPr>
        <w:rFonts w:ascii="HelveticaNeue-Bold" w:hAnsi="HelveticaNeue-Bold" w:cs="HelveticaNeue-Bold"/>
        <w:bCs/>
        <w:szCs w:val="24"/>
        <w:lang w:eastAsia="en-AU"/>
      </w:rPr>
    </w:pPr>
    <w:r w:rsidRPr="00025276">
      <w:rPr>
        <w:rFonts w:ascii="HelveticaNeue-Bold" w:hAnsi="HelveticaNeue-Bold" w:cs="HelveticaNeue-Bold"/>
        <w:bCs/>
        <w:szCs w:val="24"/>
        <w:lang w:eastAsia="en-AU"/>
      </w:rPr>
      <w:t>Statement of financial position</w:t>
    </w:r>
  </w:p>
  <w:p w14:paraId="117DCEAD" w14:textId="77777777" w:rsidR="00EB552B" w:rsidRPr="00395347" w:rsidRDefault="00EB552B" w:rsidP="00F903A2">
    <w:pPr>
      <w:pStyle w:val="StatementHeading"/>
      <w:ind w:left="113" w:right="284"/>
      <w:rPr>
        <w:rFonts w:ascii="HelveticaNeue-LightItalic" w:hAnsi="HelveticaNeue-LightItalic" w:cs="HelveticaNeue-LightItalic"/>
        <w:b w:val="0"/>
        <w:i/>
        <w:iCs/>
        <w:sz w:val="18"/>
        <w:szCs w:val="18"/>
        <w:lang w:eastAsia="en-AU"/>
      </w:rPr>
    </w:pPr>
    <w:r w:rsidRPr="00395347">
      <w:rPr>
        <w:rFonts w:ascii="HelveticaNeue-LightItalic" w:hAnsi="HelveticaNeue-LightItalic" w:cs="HelveticaNeue-LightItalic"/>
        <w:b w:val="0"/>
        <w:i/>
        <w:iCs/>
        <w:sz w:val="18"/>
        <w:szCs w:val="18"/>
        <w:lang w:eastAsia="en-AU"/>
      </w:rPr>
      <w:t xml:space="preserve">as at </w:t>
    </w:r>
    <w:r>
      <w:rPr>
        <w:rFonts w:ascii="HelveticaNeue-LightItalic" w:hAnsi="HelveticaNeue-LightItalic" w:cs="HelveticaNeue-LightItalic"/>
        <w:b w:val="0"/>
        <w:i/>
        <w:iCs/>
        <w:sz w:val="18"/>
        <w:szCs w:val="18"/>
        <w:lang w:eastAsia="en-AU"/>
      </w:rPr>
      <w:t>30 June 2020</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8D210" w14:textId="77777777" w:rsidR="00EB552B" w:rsidRPr="00395347" w:rsidRDefault="00EB552B" w:rsidP="00C63A3F">
    <w:pPr>
      <w:pStyle w:val="StatementHeading"/>
      <w:ind w:left="85" w:right="284"/>
      <w:rPr>
        <w:rFonts w:ascii="HelveticaNeueLT-Light" w:hAnsi="HelveticaNeueLT-Light" w:cs="HelveticaNeueLT-Light"/>
        <w:b w:val="0"/>
        <w:sz w:val="32"/>
        <w:szCs w:val="32"/>
        <w:lang w:eastAsia="en-AU"/>
      </w:rPr>
    </w:pPr>
    <w:r>
      <w:rPr>
        <w:rFonts w:ascii="HelveticaNeueLT-Light" w:hAnsi="HelveticaNeueLT-Light" w:cs="HelveticaNeueLT-Light"/>
        <w:b w:val="0"/>
        <w:sz w:val="32"/>
        <w:szCs w:val="32"/>
        <w:lang w:eastAsia="en-AU"/>
      </w:rPr>
      <w:t>Department of Social Services</w:t>
    </w:r>
  </w:p>
  <w:p w14:paraId="160F6876" w14:textId="77777777" w:rsidR="00EB552B" w:rsidRPr="00025276" w:rsidRDefault="00EB552B" w:rsidP="00C63A3F">
    <w:pPr>
      <w:pStyle w:val="StatementHeading"/>
      <w:ind w:left="85" w:right="284"/>
      <w:rPr>
        <w:rFonts w:ascii="HelveticaNeue-Bold" w:hAnsi="HelveticaNeue-Bold" w:cs="HelveticaNeue-Bold"/>
        <w:bCs/>
        <w:szCs w:val="24"/>
        <w:lang w:eastAsia="en-AU"/>
      </w:rPr>
    </w:pPr>
    <w:r w:rsidRPr="00025276">
      <w:rPr>
        <w:rFonts w:ascii="HelveticaNeue-Bold" w:hAnsi="HelveticaNeue-Bold" w:cs="HelveticaNeue-Bold"/>
        <w:bCs/>
        <w:szCs w:val="24"/>
        <w:lang w:eastAsia="en-AU"/>
      </w:rPr>
      <w:t xml:space="preserve">Statement of </w:t>
    </w:r>
    <w:r>
      <w:rPr>
        <w:rFonts w:ascii="HelveticaNeue-Bold" w:hAnsi="HelveticaNeue-Bold" w:cs="HelveticaNeue-Bold"/>
        <w:bCs/>
        <w:szCs w:val="24"/>
        <w:lang w:eastAsia="en-AU"/>
      </w:rPr>
      <w:t>changes in equity</w:t>
    </w:r>
  </w:p>
  <w:p w14:paraId="682736A1" w14:textId="77777777" w:rsidR="00EB552B" w:rsidRPr="008638B6" w:rsidRDefault="00EB552B" w:rsidP="00C63A3F">
    <w:pPr>
      <w:pStyle w:val="StatementHeading"/>
      <w:ind w:right="284"/>
      <w:rPr>
        <w:rFonts w:ascii="HelveticaNeue-LightItalic" w:hAnsi="HelveticaNeue-LightItalic" w:cs="HelveticaNeue-LightItalic"/>
        <w:b w:val="0"/>
        <w:i/>
        <w:iCs/>
        <w:vanish/>
        <w:sz w:val="18"/>
        <w:szCs w:val="18"/>
        <w:lang w:eastAsia="en-AU"/>
      </w:rPr>
    </w:pPr>
    <w:r>
      <w:rPr>
        <w:rFonts w:ascii="HelveticaNeue-LightItalic" w:hAnsi="HelveticaNeue-LightItalic" w:cs="HelveticaNeue-LightItalic"/>
        <w:b w:val="0"/>
        <w:i/>
        <w:iCs/>
        <w:sz w:val="18"/>
        <w:szCs w:val="18"/>
        <w:lang w:eastAsia="en-AU"/>
      </w:rPr>
      <w:t xml:space="preserve">  </w:t>
    </w:r>
    <w:r w:rsidRPr="00A04694">
      <w:rPr>
        <w:rFonts w:ascii="HelveticaNeue-LightItalic" w:hAnsi="HelveticaNeue-LightItalic" w:cs="HelveticaNeue-LightItalic"/>
        <w:b w:val="0"/>
        <w:i/>
        <w:iCs/>
        <w:sz w:val="18"/>
        <w:szCs w:val="18"/>
        <w:lang w:eastAsia="en-AU"/>
      </w:rPr>
      <w:t xml:space="preserve">for the period ended </w:t>
    </w:r>
    <w:r>
      <w:rPr>
        <w:rFonts w:ascii="HelveticaNeue-LightItalic" w:hAnsi="HelveticaNeue-LightItalic" w:cs="HelveticaNeue-LightItalic"/>
        <w:b w:val="0"/>
        <w:i/>
        <w:iCs/>
        <w:sz w:val="18"/>
        <w:szCs w:val="18"/>
        <w:lang w:eastAsia="en-AU"/>
      </w:rPr>
      <w:t>30 June 2020</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4D625" w14:textId="77777777" w:rsidR="00EB552B" w:rsidRDefault="00EB552B" w:rsidP="007A42BA">
    <w:pPr>
      <w:pStyle w:val="StatementHeading"/>
      <w:ind w:left="113" w:right="-57"/>
      <w:rPr>
        <w:rFonts w:ascii="HelveticaNeueLT-Light" w:hAnsi="HelveticaNeueLT-Light" w:cs="HelveticaNeueLT-Light"/>
        <w:b w:val="0"/>
        <w:sz w:val="32"/>
        <w:szCs w:val="32"/>
        <w:lang w:eastAsia="en-AU"/>
      </w:rPr>
    </w:pPr>
    <w:r>
      <w:rPr>
        <w:rFonts w:ascii="HelveticaNeueLT-Light" w:hAnsi="HelveticaNeueLT-Light" w:cs="HelveticaNeueLT-Light"/>
        <w:b w:val="0"/>
        <w:sz w:val="32"/>
        <w:szCs w:val="32"/>
        <w:lang w:eastAsia="en-AU"/>
      </w:rPr>
      <w:t>Department of Social Services</w:t>
    </w:r>
  </w:p>
  <w:p w14:paraId="3AA83EDB" w14:textId="77777777" w:rsidR="00EB552B" w:rsidRPr="004B6137" w:rsidRDefault="00EB552B" w:rsidP="007A42BA">
    <w:pPr>
      <w:pStyle w:val="StatementHeading"/>
      <w:ind w:left="113" w:right="-57"/>
      <w:rPr>
        <w:rFonts w:ascii="HelveticaNeueLT-Light" w:hAnsi="HelveticaNeueLT-Light" w:cs="HelveticaNeueLT-Light"/>
        <w:b w:val="0"/>
        <w:sz w:val="32"/>
        <w:szCs w:val="32"/>
        <w:lang w:eastAsia="en-AU"/>
      </w:rPr>
    </w:pPr>
    <w:r>
      <w:rPr>
        <w:rFonts w:ascii="HelveticaNeueLT-Light" w:hAnsi="HelveticaNeueLT-Light" w:cs="HelveticaNeueLT-Light"/>
        <w:szCs w:val="24"/>
        <w:lang w:eastAsia="en-AU"/>
      </w:rPr>
      <w:t xml:space="preserve">Cash </w:t>
    </w:r>
    <w:r w:rsidRPr="007A7F06">
      <w:rPr>
        <w:rFonts w:ascii="HelveticaNeueLT-Light" w:hAnsi="HelveticaNeueLT-Light" w:cs="HelveticaNeueLT-Light"/>
        <w:szCs w:val="24"/>
        <w:lang w:eastAsia="en-AU"/>
      </w:rPr>
      <w:t>flow statement</w:t>
    </w:r>
  </w:p>
  <w:p w14:paraId="6380234F" w14:textId="77777777" w:rsidR="00EB552B" w:rsidRPr="00740CA1" w:rsidRDefault="00EB552B" w:rsidP="007A42BA">
    <w:pPr>
      <w:pStyle w:val="StatementHeading"/>
      <w:ind w:left="113" w:right="-57"/>
      <w:rPr>
        <w:rFonts w:ascii="Times New Roman" w:hAnsi="Times New Roman"/>
        <w:b w:val="0"/>
        <w:i/>
        <w:vanish/>
        <w:sz w:val="18"/>
        <w:szCs w:val="18"/>
      </w:rPr>
    </w:pPr>
    <w:r w:rsidRPr="00740CA1">
      <w:rPr>
        <w:rFonts w:ascii="HelveticaNeueLT-Light" w:hAnsi="HelveticaNeueLT-Light" w:cs="HelveticaNeueLT-Light"/>
        <w:b w:val="0"/>
        <w:i/>
        <w:sz w:val="18"/>
        <w:szCs w:val="18"/>
        <w:lang w:eastAsia="en-AU"/>
      </w:rPr>
      <w:t xml:space="preserve">for the period ended </w:t>
    </w:r>
    <w:r>
      <w:rPr>
        <w:rFonts w:ascii="HelveticaNeue-LightItalic" w:hAnsi="HelveticaNeue-LightItalic" w:cs="HelveticaNeue-LightItalic"/>
        <w:b w:val="0"/>
        <w:i/>
        <w:iCs/>
        <w:sz w:val="18"/>
        <w:szCs w:val="18"/>
        <w:lang w:eastAsia="en-AU"/>
      </w:rPr>
      <w:t xml:space="preserve">30 June </w:t>
    </w:r>
    <w:r>
      <w:rPr>
        <w:rFonts w:ascii="HelveticaNeueLT-Light" w:hAnsi="HelveticaNeueLT-Light" w:cs="HelveticaNeueLT-Light"/>
        <w:b w:val="0"/>
        <w:i/>
        <w:sz w:val="18"/>
        <w:szCs w:val="18"/>
        <w:lang w:eastAsia="en-AU"/>
      </w:rPr>
      <w:t>2020</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7E083" w14:textId="77777777" w:rsidR="00EB552B" w:rsidRDefault="00EB552B" w:rsidP="001D7B4C">
    <w:pPr>
      <w:pStyle w:val="StatementHeading"/>
      <w:ind w:left="113" w:right="-57"/>
      <w:rPr>
        <w:rFonts w:ascii="HelveticaNeueLT-Light" w:hAnsi="HelveticaNeueLT-Light" w:cs="HelveticaNeueLT-Light"/>
        <w:b w:val="0"/>
        <w:sz w:val="32"/>
        <w:szCs w:val="32"/>
        <w:lang w:eastAsia="en-AU"/>
      </w:rPr>
    </w:pPr>
    <w:r>
      <w:rPr>
        <w:rFonts w:ascii="HelveticaNeueLT-Light" w:hAnsi="HelveticaNeueLT-Light" w:cs="HelveticaNeueLT-Light"/>
        <w:b w:val="0"/>
        <w:sz w:val="32"/>
        <w:szCs w:val="32"/>
        <w:lang w:eastAsia="en-AU"/>
      </w:rPr>
      <w:t>Department of Social Services</w:t>
    </w:r>
  </w:p>
  <w:p w14:paraId="014CFC7A" w14:textId="77777777" w:rsidR="00EB552B" w:rsidRPr="00025276" w:rsidRDefault="00EB552B" w:rsidP="00F903A2">
    <w:pPr>
      <w:shd w:val="clear" w:color="auto" w:fill="D9D9D9" w:themeFill="background1" w:themeFillShade="D9"/>
      <w:tabs>
        <w:tab w:val="right" w:pos="8931"/>
        <w:tab w:val="right" w:pos="9072"/>
        <w:tab w:val="left" w:pos="9214"/>
        <w:tab w:val="left" w:pos="9356"/>
      </w:tabs>
      <w:spacing w:after="0"/>
      <w:ind w:left="113" w:right="266"/>
      <w:rPr>
        <w:rFonts w:ascii="HelveticaNeueLT-Light" w:hAnsi="HelveticaNeueLT-Light" w:cs="HelveticaNeueLT-Light"/>
        <w:b/>
        <w:sz w:val="24"/>
        <w:szCs w:val="24"/>
        <w:lang w:eastAsia="en-AU"/>
      </w:rPr>
    </w:pPr>
    <w:r>
      <w:rPr>
        <w:rFonts w:ascii="HelveticaNeueLT-Light" w:hAnsi="HelveticaNeueLT-Light" w:cs="HelveticaNeueLT-Light"/>
        <w:b/>
        <w:sz w:val="24"/>
        <w:szCs w:val="24"/>
        <w:lang w:eastAsia="en-AU"/>
      </w:rPr>
      <w:t xml:space="preserve">Administered </w:t>
    </w:r>
    <w:r w:rsidRPr="00025276">
      <w:rPr>
        <w:rFonts w:ascii="HelveticaNeueLT-Light" w:hAnsi="HelveticaNeueLT-Light" w:cs="HelveticaNeueLT-Light"/>
        <w:b/>
        <w:sz w:val="24"/>
        <w:szCs w:val="24"/>
        <w:lang w:eastAsia="en-AU"/>
      </w:rPr>
      <w:t>schedule of comprehensive income</w:t>
    </w:r>
  </w:p>
  <w:p w14:paraId="017E839B" w14:textId="77777777" w:rsidR="00EB552B" w:rsidRPr="00740CA1" w:rsidRDefault="00EB552B" w:rsidP="00F903A2">
    <w:pPr>
      <w:shd w:val="clear" w:color="auto" w:fill="D9D9D9" w:themeFill="background1" w:themeFillShade="D9"/>
      <w:tabs>
        <w:tab w:val="right" w:pos="9072"/>
        <w:tab w:val="left" w:pos="9214"/>
        <w:tab w:val="left" w:pos="9356"/>
      </w:tabs>
      <w:spacing w:after="0"/>
      <w:ind w:left="113" w:right="266"/>
      <w:rPr>
        <w:rFonts w:ascii="HelveticaNeueLT-Light" w:hAnsi="HelveticaNeueLT-Light" w:cs="HelveticaNeueLT-Light"/>
        <w:i/>
        <w:sz w:val="18"/>
        <w:szCs w:val="18"/>
        <w:lang w:eastAsia="en-AU"/>
      </w:rPr>
    </w:pPr>
    <w:r w:rsidRPr="00740CA1">
      <w:rPr>
        <w:rFonts w:ascii="HelveticaNeueLT-Light" w:hAnsi="HelveticaNeueLT-Light" w:cs="HelveticaNeueLT-Light"/>
        <w:i/>
        <w:sz w:val="18"/>
        <w:szCs w:val="18"/>
        <w:lang w:eastAsia="en-AU"/>
      </w:rPr>
      <w:t xml:space="preserve">for the period ended </w:t>
    </w:r>
    <w:r w:rsidRPr="00A57EFF">
      <w:rPr>
        <w:rFonts w:ascii="HelveticaNeue-LightItalic" w:hAnsi="HelveticaNeue-LightItalic" w:cs="HelveticaNeue-LightItalic"/>
        <w:i/>
        <w:iCs/>
        <w:sz w:val="18"/>
        <w:szCs w:val="18"/>
        <w:lang w:eastAsia="en-AU"/>
      </w:rPr>
      <w:t>30 June</w:t>
    </w:r>
    <w:r>
      <w:rPr>
        <w:rFonts w:ascii="HelveticaNeueLT-Light" w:hAnsi="HelveticaNeueLT-Light" w:cs="HelveticaNeueLT-Light"/>
        <w:i/>
        <w:sz w:val="18"/>
        <w:szCs w:val="18"/>
        <w:lang w:eastAsia="en-AU"/>
      </w:rPr>
      <w:t xml:space="preserve"> 2020</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BA9AC" w14:textId="77777777" w:rsidR="00EB552B" w:rsidRDefault="00EB552B" w:rsidP="001D7B4C">
    <w:pPr>
      <w:pStyle w:val="StatementHeading"/>
      <w:ind w:left="113" w:right="-57"/>
      <w:rPr>
        <w:rFonts w:ascii="HelveticaNeueLT-Light" w:hAnsi="HelveticaNeueLT-Light" w:cs="HelveticaNeueLT-Light"/>
        <w:b w:val="0"/>
        <w:sz w:val="32"/>
        <w:szCs w:val="32"/>
        <w:lang w:eastAsia="en-AU"/>
      </w:rPr>
    </w:pPr>
    <w:r>
      <w:rPr>
        <w:rFonts w:ascii="HelveticaNeueLT-Light" w:hAnsi="HelveticaNeueLT-Light" w:cs="HelveticaNeueLT-Light"/>
        <w:b w:val="0"/>
        <w:sz w:val="32"/>
        <w:szCs w:val="32"/>
        <w:lang w:eastAsia="en-AU"/>
      </w:rPr>
      <w:t>Department of Social Services</w:t>
    </w:r>
  </w:p>
  <w:p w14:paraId="7DE8DC69" w14:textId="77777777" w:rsidR="00EB552B" w:rsidRPr="00025276" w:rsidRDefault="00EB552B" w:rsidP="00F903A2">
    <w:pPr>
      <w:shd w:val="clear" w:color="auto" w:fill="D9D9D9" w:themeFill="background1" w:themeFillShade="D9"/>
      <w:tabs>
        <w:tab w:val="right" w:pos="8931"/>
        <w:tab w:val="right" w:pos="9072"/>
        <w:tab w:val="left" w:pos="9214"/>
        <w:tab w:val="left" w:pos="9356"/>
      </w:tabs>
      <w:spacing w:after="0"/>
      <w:ind w:left="113" w:right="323"/>
      <w:rPr>
        <w:rFonts w:ascii="HelveticaNeueLT-Light" w:hAnsi="HelveticaNeueLT-Light" w:cs="HelveticaNeueLT-Light"/>
        <w:b/>
        <w:sz w:val="24"/>
        <w:szCs w:val="24"/>
        <w:lang w:eastAsia="en-AU"/>
      </w:rPr>
    </w:pPr>
    <w:r>
      <w:rPr>
        <w:rFonts w:ascii="HelveticaNeueLT-Light" w:hAnsi="HelveticaNeueLT-Light" w:cs="HelveticaNeueLT-Light"/>
        <w:b/>
        <w:sz w:val="24"/>
        <w:szCs w:val="24"/>
        <w:lang w:eastAsia="en-AU"/>
      </w:rPr>
      <w:t>Administered</w:t>
    </w:r>
    <w:r w:rsidRPr="00025276">
      <w:rPr>
        <w:rFonts w:ascii="HelveticaNeueLT-Light" w:hAnsi="HelveticaNeueLT-Light" w:cs="HelveticaNeueLT-Light"/>
        <w:b/>
        <w:sz w:val="24"/>
        <w:szCs w:val="24"/>
        <w:lang w:eastAsia="en-AU"/>
      </w:rPr>
      <w:t xml:space="preserve"> schedule of assets and liabilities</w:t>
    </w:r>
  </w:p>
  <w:p w14:paraId="695C996F" w14:textId="77777777" w:rsidR="00EB552B" w:rsidRPr="00740CA1" w:rsidRDefault="00EB552B" w:rsidP="00F903A2">
    <w:pPr>
      <w:shd w:val="clear" w:color="auto" w:fill="D9D9D9" w:themeFill="background1" w:themeFillShade="D9"/>
      <w:tabs>
        <w:tab w:val="right" w:pos="9072"/>
        <w:tab w:val="left" w:pos="9214"/>
        <w:tab w:val="left" w:pos="9356"/>
      </w:tabs>
      <w:spacing w:after="0"/>
      <w:ind w:left="113" w:right="323"/>
      <w:rPr>
        <w:rFonts w:ascii="HelveticaNeueLT-Light" w:hAnsi="HelveticaNeueLT-Light" w:cs="HelveticaNeueLT-Light"/>
        <w:i/>
        <w:sz w:val="18"/>
        <w:szCs w:val="18"/>
        <w:lang w:eastAsia="en-AU"/>
      </w:rPr>
    </w:pPr>
    <w:r>
      <w:rPr>
        <w:rFonts w:ascii="HelveticaNeueLT-Light" w:hAnsi="HelveticaNeueLT-Light" w:cs="HelveticaNeueLT-Light"/>
        <w:i/>
        <w:sz w:val="18"/>
        <w:szCs w:val="18"/>
        <w:lang w:eastAsia="en-AU"/>
      </w:rPr>
      <w:t>as at</w:t>
    </w:r>
    <w:r w:rsidRPr="00740CA1">
      <w:rPr>
        <w:rFonts w:ascii="HelveticaNeueLT-Light" w:hAnsi="HelveticaNeueLT-Light" w:cs="HelveticaNeueLT-Light"/>
        <w:i/>
        <w:sz w:val="18"/>
        <w:szCs w:val="18"/>
        <w:lang w:eastAsia="en-AU"/>
      </w:rPr>
      <w:t xml:space="preserve"> </w:t>
    </w:r>
    <w:r>
      <w:rPr>
        <w:rFonts w:ascii="HelveticaNeueLT-Light" w:hAnsi="HelveticaNeueLT-Light" w:cs="HelveticaNeueLT-Light"/>
        <w:i/>
        <w:sz w:val="18"/>
        <w:szCs w:val="18"/>
        <w:lang w:eastAsia="en-AU"/>
      </w:rPr>
      <w:t>30 June 2020</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91F83" w14:textId="77777777" w:rsidR="00EB552B" w:rsidRDefault="00EB552B" w:rsidP="001D7B4C">
    <w:pPr>
      <w:pStyle w:val="StatementHeading"/>
      <w:ind w:left="113" w:right="-57"/>
      <w:rPr>
        <w:rFonts w:ascii="HelveticaNeueLT-Light" w:hAnsi="HelveticaNeueLT-Light" w:cs="HelveticaNeueLT-Light"/>
        <w:b w:val="0"/>
        <w:sz w:val="32"/>
        <w:szCs w:val="32"/>
        <w:lang w:eastAsia="en-AU"/>
      </w:rPr>
    </w:pPr>
    <w:r>
      <w:rPr>
        <w:rFonts w:ascii="HelveticaNeueLT-Light" w:hAnsi="HelveticaNeueLT-Light" w:cs="HelveticaNeueLT-Light"/>
        <w:b w:val="0"/>
        <w:sz w:val="32"/>
        <w:szCs w:val="32"/>
        <w:lang w:eastAsia="en-AU"/>
      </w:rPr>
      <w:t>Department of Social Services</w:t>
    </w:r>
  </w:p>
  <w:p w14:paraId="258AB4FD" w14:textId="77777777" w:rsidR="00EB552B" w:rsidRPr="00025276" w:rsidRDefault="00EB552B" w:rsidP="00F903A2">
    <w:pPr>
      <w:pStyle w:val="StatementHeading"/>
      <w:shd w:val="clear" w:color="auto" w:fill="D9D9D9" w:themeFill="background1" w:themeFillShade="D9"/>
      <w:ind w:left="113" w:right="28"/>
      <w:rPr>
        <w:rFonts w:ascii="HelveticaNeueLT-Light" w:hAnsi="HelveticaNeueLT-Light" w:cs="HelveticaNeueLT-Light"/>
        <w:szCs w:val="24"/>
        <w:lang w:eastAsia="en-AU"/>
      </w:rPr>
    </w:pPr>
    <w:r w:rsidRPr="00025276">
      <w:rPr>
        <w:rFonts w:ascii="HelveticaNeueLT-Light" w:hAnsi="HelveticaNeueLT-Light" w:cs="HelveticaNeueLT-Light"/>
        <w:szCs w:val="24"/>
        <w:lang w:eastAsia="en-AU"/>
      </w:rPr>
      <w:t>Administered reconciliation schedule</w:t>
    </w:r>
  </w:p>
  <w:p w14:paraId="554E23ED" w14:textId="77777777" w:rsidR="00EB552B" w:rsidRPr="0071328C" w:rsidRDefault="00EB552B" w:rsidP="00F903A2">
    <w:pPr>
      <w:pStyle w:val="StatementDateHeader"/>
      <w:pBdr>
        <w:bottom w:val="none" w:sz="0" w:space="0" w:color="auto"/>
      </w:pBdr>
      <w:shd w:val="clear" w:color="auto" w:fill="D9D9D9" w:themeFill="background1" w:themeFillShade="D9"/>
      <w:ind w:left="113" w:right="28"/>
      <w:rPr>
        <w:lang w:eastAsia="en-AU"/>
      </w:rPr>
    </w:pPr>
    <w:r w:rsidRPr="00740CA1">
      <w:rPr>
        <w:rFonts w:ascii="HelveticaNeueLT-Light" w:hAnsi="HelveticaNeueLT-Light" w:cs="HelveticaNeueLT-Light"/>
        <w:sz w:val="18"/>
        <w:szCs w:val="18"/>
        <w:lang w:eastAsia="en-AU"/>
      </w:rPr>
      <w:t xml:space="preserve">for the period ended </w:t>
    </w:r>
    <w:r>
      <w:rPr>
        <w:rFonts w:ascii="HelveticaNeueLT-Light" w:hAnsi="HelveticaNeueLT-Light" w:cs="HelveticaNeueLT-Light"/>
        <w:sz w:val="18"/>
        <w:szCs w:val="18"/>
        <w:lang w:eastAsia="en-AU"/>
      </w:rPr>
      <w:t>30 June</w:t>
    </w:r>
    <w:r w:rsidRPr="00740CA1">
      <w:rPr>
        <w:rFonts w:ascii="HelveticaNeueLT-Light" w:hAnsi="HelveticaNeueLT-Light" w:cs="HelveticaNeueLT-Light"/>
        <w:sz w:val="18"/>
        <w:szCs w:val="18"/>
        <w:lang w:eastAsia="en-AU"/>
      </w:rPr>
      <w:t xml:space="preserve"> </w:t>
    </w:r>
    <w:r>
      <w:rPr>
        <w:rFonts w:ascii="HelveticaNeueLT-Light" w:hAnsi="HelveticaNeueLT-Light" w:cs="HelveticaNeueLT-Light"/>
        <w:sz w:val="18"/>
        <w:szCs w:val="18"/>
        <w:lang w:eastAsia="en-AU"/>
      </w:rPr>
      <w:t>2020</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36A32" w14:textId="77777777" w:rsidR="00EB552B" w:rsidRDefault="00EB552B" w:rsidP="001D7B4C">
    <w:pPr>
      <w:pStyle w:val="StatementHeading"/>
      <w:ind w:left="113" w:right="-57"/>
      <w:rPr>
        <w:rFonts w:ascii="HelveticaNeueLT-Light" w:hAnsi="HelveticaNeueLT-Light" w:cs="HelveticaNeueLT-Light"/>
        <w:b w:val="0"/>
        <w:sz w:val="32"/>
        <w:szCs w:val="32"/>
        <w:lang w:eastAsia="en-AU"/>
      </w:rPr>
    </w:pPr>
    <w:r>
      <w:rPr>
        <w:rFonts w:ascii="HelveticaNeueLT-Light" w:hAnsi="HelveticaNeueLT-Light" w:cs="HelveticaNeueLT-Light"/>
        <w:b w:val="0"/>
        <w:sz w:val="32"/>
        <w:szCs w:val="32"/>
        <w:lang w:eastAsia="en-AU"/>
      </w:rPr>
      <w:t>Department of Social Services</w:t>
    </w:r>
  </w:p>
  <w:p w14:paraId="2ACE0803" w14:textId="77777777" w:rsidR="00EB552B" w:rsidRPr="00025276" w:rsidRDefault="00EB552B" w:rsidP="00F903A2">
    <w:pPr>
      <w:pStyle w:val="StatementHeading"/>
      <w:shd w:val="clear" w:color="auto" w:fill="D9D9D9" w:themeFill="background1" w:themeFillShade="D9"/>
      <w:tabs>
        <w:tab w:val="left" w:pos="8489"/>
      </w:tabs>
      <w:ind w:left="113" w:right="40"/>
      <w:rPr>
        <w:rFonts w:ascii="HelveticaNeueLT-Light" w:hAnsi="HelveticaNeueLT-Light" w:cs="HelveticaNeueLT-Light"/>
        <w:szCs w:val="24"/>
        <w:lang w:eastAsia="en-AU"/>
      </w:rPr>
    </w:pPr>
    <w:r w:rsidRPr="00025276">
      <w:rPr>
        <w:rFonts w:ascii="HelveticaNeueLT-Light" w:hAnsi="HelveticaNeueLT-Light" w:cs="HelveticaNeueLT-Light"/>
        <w:szCs w:val="24"/>
        <w:lang w:eastAsia="en-AU"/>
      </w:rPr>
      <w:t>Administered cash flow statement</w:t>
    </w:r>
    <w:r>
      <w:rPr>
        <w:rFonts w:ascii="HelveticaNeueLT-Light" w:hAnsi="HelveticaNeueLT-Light" w:cs="HelveticaNeueLT-Light"/>
        <w:szCs w:val="24"/>
        <w:lang w:eastAsia="en-AU"/>
      </w:rPr>
      <w:tab/>
    </w:r>
  </w:p>
  <w:p w14:paraId="3D161AB4" w14:textId="77777777" w:rsidR="00EB552B" w:rsidRPr="00740CA1" w:rsidRDefault="00EB552B" w:rsidP="00F903A2">
    <w:pPr>
      <w:pStyle w:val="StatementHeading"/>
      <w:shd w:val="clear" w:color="auto" w:fill="D9D9D9" w:themeFill="background1" w:themeFillShade="D9"/>
      <w:ind w:left="113" w:right="40"/>
      <w:rPr>
        <w:rFonts w:ascii="HelveticaNeueLT-Light" w:hAnsi="HelveticaNeueLT-Light" w:cs="HelveticaNeueLT-Light"/>
        <w:b w:val="0"/>
        <w:i/>
        <w:sz w:val="18"/>
        <w:szCs w:val="18"/>
        <w:lang w:eastAsia="en-AU"/>
      </w:rPr>
    </w:pPr>
    <w:r w:rsidRPr="00740CA1">
      <w:rPr>
        <w:rFonts w:ascii="HelveticaNeueLT-Light" w:hAnsi="HelveticaNeueLT-Light" w:cs="HelveticaNeueLT-Light"/>
        <w:b w:val="0"/>
        <w:i/>
        <w:sz w:val="18"/>
        <w:szCs w:val="18"/>
        <w:lang w:eastAsia="en-AU"/>
      </w:rPr>
      <w:t xml:space="preserve">for the period ended </w:t>
    </w:r>
    <w:r>
      <w:rPr>
        <w:rFonts w:ascii="HelveticaNeueLT-Light" w:hAnsi="HelveticaNeueLT-Light" w:cs="HelveticaNeueLT-Light"/>
        <w:b w:val="0"/>
        <w:i/>
        <w:sz w:val="18"/>
        <w:szCs w:val="18"/>
        <w:lang w:eastAsia="en-AU"/>
      </w:rPr>
      <w:t>30 June 2020</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50C03" w14:textId="77777777" w:rsidR="00EB552B" w:rsidRDefault="00EB552B" w:rsidP="001D7B4C">
    <w:pPr>
      <w:pStyle w:val="StatementHeading"/>
      <w:ind w:right="-57"/>
      <w:rPr>
        <w:rFonts w:ascii="HelveticaNeueLT-Light" w:hAnsi="HelveticaNeueLT-Light" w:cs="HelveticaNeueLT-Light"/>
        <w:b w:val="0"/>
        <w:sz w:val="32"/>
        <w:szCs w:val="32"/>
        <w:lang w:eastAsia="en-AU"/>
      </w:rPr>
    </w:pPr>
    <w:r>
      <w:rPr>
        <w:rFonts w:ascii="HelveticaNeueLT-Light" w:hAnsi="HelveticaNeueLT-Light" w:cs="HelveticaNeueLT-Light"/>
        <w:b w:val="0"/>
        <w:sz w:val="32"/>
        <w:szCs w:val="32"/>
        <w:lang w:eastAsia="en-AU"/>
      </w:rPr>
      <w:t>Department of Social Services</w:t>
    </w:r>
  </w:p>
  <w:p w14:paraId="26CA8D48" w14:textId="77777777" w:rsidR="00EB552B" w:rsidRPr="00025276" w:rsidRDefault="00EB552B" w:rsidP="00C63A3F">
    <w:pPr>
      <w:pStyle w:val="StatementHeading"/>
      <w:ind w:right="-57"/>
      <w:rPr>
        <w:rFonts w:ascii="HelveticaNeueLT-Light" w:hAnsi="HelveticaNeueLT-Light" w:cs="HelveticaNeueLT-Light"/>
        <w:szCs w:val="24"/>
        <w:lang w:eastAsia="en-AU"/>
      </w:rPr>
    </w:pPr>
    <w:r w:rsidRPr="00025276">
      <w:rPr>
        <w:rFonts w:ascii="HelveticaNeueLT-Light" w:hAnsi="HelveticaNeueLT-Light" w:cs="HelveticaNeueLT-Light"/>
        <w:szCs w:val="24"/>
        <w:lang w:eastAsia="en-AU"/>
      </w:rPr>
      <w:t>Notes to and forming part of the financial statements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E4417" w14:textId="77777777" w:rsidR="00EB552B" w:rsidRDefault="00EB552B" w:rsidP="001D7B4C">
    <w:pPr>
      <w:pStyle w:val="StatementHeading"/>
      <w:ind w:right="-57"/>
      <w:rPr>
        <w:rFonts w:ascii="HelveticaNeueLT-Light" w:hAnsi="HelveticaNeueLT-Light" w:cs="HelveticaNeueLT-Light"/>
        <w:b w:val="0"/>
        <w:sz w:val="32"/>
        <w:szCs w:val="32"/>
        <w:lang w:eastAsia="en-AU"/>
      </w:rPr>
    </w:pPr>
    <w:r>
      <w:rPr>
        <w:rFonts w:ascii="HelveticaNeueLT-Light" w:hAnsi="HelveticaNeueLT-Light" w:cs="HelveticaNeueLT-Light"/>
        <w:b w:val="0"/>
        <w:sz w:val="32"/>
        <w:szCs w:val="32"/>
        <w:lang w:eastAsia="en-AU"/>
      </w:rPr>
      <w:t>Department of Social Services</w:t>
    </w:r>
  </w:p>
  <w:p w14:paraId="0F46DD6E" w14:textId="77777777" w:rsidR="00EB552B" w:rsidRPr="000108FE" w:rsidRDefault="00EB552B" w:rsidP="00C63A3F">
    <w:pPr>
      <w:pStyle w:val="StatementHeading"/>
      <w:spacing w:after="120"/>
      <w:ind w:right="-57"/>
      <w:rPr>
        <w:rFonts w:ascii="HelveticaNeueLT-Light" w:hAnsi="HelveticaNeueLT-Light" w:cs="HelveticaNeueLT-Light"/>
        <w:szCs w:val="24"/>
        <w:lang w:eastAsia="en-AU"/>
      </w:rPr>
    </w:pPr>
    <w:r w:rsidRPr="00025276">
      <w:rPr>
        <w:rFonts w:ascii="HelveticaNeueLT-Light" w:hAnsi="HelveticaNeueLT-Light" w:cs="HelveticaNeueLT-Light"/>
        <w:szCs w:val="24"/>
        <w:lang w:eastAsia="en-AU"/>
      </w:rPr>
      <w:t>Notes to and forming part of the financial statements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6B0DC" w14:textId="77777777" w:rsidR="00EB552B" w:rsidRPr="00BB218B" w:rsidRDefault="00EB552B" w:rsidP="00BB21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FCBF7" w14:textId="77777777" w:rsidR="00EB552B" w:rsidRDefault="00EB552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93A4D" w14:textId="77777777" w:rsidR="00EB552B" w:rsidRPr="00443232" w:rsidRDefault="00EB552B" w:rsidP="0044323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8659C" w14:textId="77777777" w:rsidR="00EB552B" w:rsidRPr="00443232" w:rsidRDefault="00EB552B" w:rsidP="0044323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A6575" w14:textId="77777777" w:rsidR="00EB552B" w:rsidRPr="00E34CFB" w:rsidRDefault="00EB552B" w:rsidP="00E34CF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2313B" w14:textId="77777777" w:rsidR="00EB552B" w:rsidRDefault="00EB552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61105" w14:textId="77777777" w:rsidR="00EB552B" w:rsidRPr="00E76391" w:rsidRDefault="00EB552B" w:rsidP="00E7639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6CB8A" w14:textId="77777777" w:rsidR="00EB552B" w:rsidRDefault="00EB552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10E93" w14:textId="77777777" w:rsidR="00EB552B" w:rsidRDefault="00EB552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4A868" w14:textId="77777777" w:rsidR="00EB552B" w:rsidRDefault="00EB55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7E1E8" w14:textId="77777777" w:rsidR="00EB552B" w:rsidRDefault="00EB55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7E1E9" w14:textId="77777777" w:rsidR="00EB552B" w:rsidRDefault="00EB55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7E1EC" w14:textId="77777777" w:rsidR="00EB552B" w:rsidRDefault="00EB55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75F66" w14:textId="77777777" w:rsidR="00EB552B" w:rsidRPr="00C658E7" w:rsidRDefault="00EB552B" w:rsidP="00C658E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E013D" w14:textId="77777777" w:rsidR="00EB552B" w:rsidRPr="00C658E7" w:rsidRDefault="00EB552B" w:rsidP="00C658E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67E59" w14:textId="77777777" w:rsidR="00EB552B" w:rsidRPr="00C658E7" w:rsidRDefault="00EB552B" w:rsidP="00C658E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2C26C" w14:textId="77777777" w:rsidR="00EB552B" w:rsidRDefault="00EB552B" w:rsidP="00F903A2">
    <w:pPr>
      <w:pStyle w:val="StatementHeading"/>
      <w:ind w:left="113" w:right="284"/>
      <w:rPr>
        <w:rFonts w:ascii="HelveticaNeueLT-Light" w:hAnsi="HelveticaNeueLT-Light" w:cs="HelveticaNeueLT-Light"/>
        <w:b w:val="0"/>
        <w:sz w:val="32"/>
        <w:szCs w:val="32"/>
        <w:lang w:eastAsia="en-AU"/>
      </w:rPr>
    </w:pPr>
    <w:r>
      <w:rPr>
        <w:rFonts w:ascii="HelveticaNeueLT-Light" w:hAnsi="HelveticaNeueLT-Light" w:cs="HelveticaNeueLT-Light"/>
        <w:b w:val="0"/>
        <w:sz w:val="32"/>
        <w:szCs w:val="32"/>
        <w:lang w:eastAsia="en-AU"/>
      </w:rPr>
      <w:t>Department of Social Services</w:t>
    </w:r>
  </w:p>
  <w:p w14:paraId="3D39B20E" w14:textId="77777777" w:rsidR="00EB552B" w:rsidRPr="00025276" w:rsidRDefault="00EB552B" w:rsidP="00F903A2">
    <w:pPr>
      <w:pStyle w:val="StatementHeading"/>
      <w:ind w:left="113" w:right="284"/>
      <w:rPr>
        <w:rFonts w:ascii="HelveticaNeue-Bold" w:hAnsi="HelveticaNeue-Bold" w:cs="HelveticaNeue-Bold"/>
        <w:bCs/>
        <w:szCs w:val="24"/>
        <w:lang w:eastAsia="en-AU"/>
      </w:rPr>
    </w:pPr>
    <w:r w:rsidRPr="00025276">
      <w:rPr>
        <w:rFonts w:ascii="HelveticaNeue-Bold" w:hAnsi="HelveticaNeue-Bold" w:cs="HelveticaNeue-Bold"/>
        <w:bCs/>
        <w:szCs w:val="24"/>
        <w:lang w:eastAsia="en-AU"/>
      </w:rPr>
      <w:t>Statement of comprehensive income</w:t>
    </w:r>
  </w:p>
  <w:p w14:paraId="697090A2" w14:textId="77777777" w:rsidR="00EB552B" w:rsidRPr="00A04694" w:rsidRDefault="00EB552B" w:rsidP="00F903A2">
    <w:pPr>
      <w:pStyle w:val="StatementHeading"/>
      <w:ind w:left="113" w:right="284"/>
      <w:rPr>
        <w:rFonts w:cs="Arial"/>
        <w:b w:val="0"/>
        <w:szCs w:val="24"/>
      </w:rPr>
    </w:pPr>
    <w:r w:rsidRPr="00A04694">
      <w:rPr>
        <w:rFonts w:ascii="HelveticaNeue-LightItalic" w:hAnsi="HelveticaNeue-LightItalic" w:cs="HelveticaNeue-LightItalic"/>
        <w:b w:val="0"/>
        <w:i/>
        <w:iCs/>
        <w:sz w:val="18"/>
        <w:szCs w:val="18"/>
        <w:lang w:eastAsia="en-AU"/>
      </w:rPr>
      <w:t xml:space="preserve">for the period ended </w:t>
    </w:r>
    <w:r>
      <w:rPr>
        <w:rFonts w:ascii="HelveticaNeue-LightItalic" w:hAnsi="HelveticaNeue-LightItalic" w:cs="HelveticaNeue-LightItalic"/>
        <w:b w:val="0"/>
        <w:i/>
        <w:iCs/>
        <w:sz w:val="18"/>
        <w:szCs w:val="18"/>
        <w:lang w:eastAsia="en-AU"/>
      </w:rPr>
      <w:t>30 June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multilevel"/>
    <w:tmpl w:val="2EF2799E"/>
    <w:lvl w:ilvl="0">
      <w:start w:val="1"/>
      <w:numFmt w:val="decimal"/>
      <w:lvlText w:val="%1"/>
      <w:lvlJc w:val="left"/>
      <w:pPr>
        <w:ind w:left="360" w:hanging="360"/>
      </w:pPr>
    </w:lvl>
    <w:lvl w:ilvl="1">
      <w:start w:val="1"/>
      <w:numFmt w:val="decimal"/>
      <w:pStyle w:val="StyleNotesHeaderLeftLeft-008cm"/>
      <w:lvlText w:val="%1.%2"/>
      <w:lvlJc w:val="left"/>
      <w:pPr>
        <w:ind w:left="360" w:hanging="360"/>
      </w:pPr>
      <w:rPr>
        <w:b/>
        <w:sz w:val="18"/>
        <w:szCs w:val="18"/>
      </w:rPr>
    </w:lvl>
    <w:lvl w:ilvl="2">
      <w:start w:val="1"/>
      <w:numFmt w:val="decimal"/>
      <w:lvlText w:val="%1.%2.%3"/>
      <w:lvlJc w:val="left"/>
      <w:pPr>
        <w:ind w:left="630" w:hanging="720"/>
      </w:pPr>
    </w:lvl>
    <w:lvl w:ilvl="3">
      <w:start w:val="1"/>
      <w:numFmt w:val="decimal"/>
      <w:lvlText w:val="%1.%2.%3.%4"/>
      <w:lvlJc w:val="left"/>
      <w:pPr>
        <w:ind w:left="585" w:hanging="720"/>
      </w:pPr>
    </w:lvl>
    <w:lvl w:ilvl="4">
      <w:start w:val="1"/>
      <w:numFmt w:val="decimal"/>
      <w:lvlText w:val="%1.%2.%3.%4.%5"/>
      <w:lvlJc w:val="left"/>
      <w:pPr>
        <w:ind w:left="540" w:hanging="720"/>
      </w:pPr>
    </w:lvl>
    <w:lvl w:ilvl="5">
      <w:start w:val="1"/>
      <w:numFmt w:val="decimal"/>
      <w:lvlText w:val="%1.%2.%3.%4.%5.%6"/>
      <w:lvlJc w:val="left"/>
      <w:pPr>
        <w:ind w:left="855" w:hanging="1080"/>
      </w:pPr>
    </w:lvl>
    <w:lvl w:ilvl="6">
      <w:start w:val="1"/>
      <w:numFmt w:val="decimal"/>
      <w:lvlText w:val="%1.%2.%3.%4.%5.%6.%7"/>
      <w:lvlJc w:val="left"/>
      <w:pPr>
        <w:ind w:left="810" w:hanging="1080"/>
      </w:pPr>
    </w:lvl>
    <w:lvl w:ilvl="7">
      <w:start w:val="1"/>
      <w:numFmt w:val="decimal"/>
      <w:lvlText w:val="%1.%2.%3.%4.%5.%6.%7.%8"/>
      <w:lvlJc w:val="left"/>
      <w:pPr>
        <w:ind w:left="1125" w:hanging="1440"/>
      </w:pPr>
    </w:lvl>
    <w:lvl w:ilvl="8">
      <w:start w:val="1"/>
      <w:numFmt w:val="decimal"/>
      <w:lvlText w:val="%1.%2.%3.%4.%5.%6.%7.%8.%9"/>
      <w:lvlJc w:val="left"/>
      <w:pPr>
        <w:ind w:left="1080" w:hanging="1440"/>
      </w:pPr>
    </w:lvl>
  </w:abstractNum>
  <w:abstractNum w:abstractNumId="1" w15:restartNumberingAfterBreak="0">
    <w:nsid w:val="00000002"/>
    <w:multiLevelType w:val="multilevel"/>
    <w:tmpl w:val="9CEA5258"/>
    <w:lvl w:ilvl="0">
      <w:start w:val="1"/>
      <w:numFmt w:val="bullet"/>
      <w:pStyle w:val="BulletBox"/>
      <w:lvlText w:val="•"/>
      <w:lvlJc w:val="left"/>
      <w:pPr>
        <w:tabs>
          <w:tab w:val="num" w:pos="283"/>
        </w:tabs>
        <w:ind w:left="283" w:hanging="283"/>
      </w:pPr>
      <w:rPr>
        <w:rFonts w:ascii="Times New Roman" w:hAnsi="Times New Roman"/>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2" w15:restartNumberingAfterBreak="0">
    <w:nsid w:val="0008714A"/>
    <w:multiLevelType w:val="hybridMultilevel"/>
    <w:tmpl w:val="C6D46CFA"/>
    <w:lvl w:ilvl="0" w:tplc="1DC43F1A">
      <w:start w:val="1"/>
      <w:numFmt w:val="bullet"/>
      <w:lvlText w:val=""/>
      <w:lvlJc w:val="left"/>
      <w:pPr>
        <w:ind w:left="720" w:hanging="360"/>
      </w:pPr>
      <w:rPr>
        <w:rFonts w:ascii="Wingdings" w:hAnsi="Wingdings" w:hint="default"/>
        <w:color w:val="4BACC6" w:themeColor="accent5"/>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AF4F85"/>
    <w:multiLevelType w:val="hybridMultilevel"/>
    <w:tmpl w:val="9482A386"/>
    <w:lvl w:ilvl="0" w:tplc="55446354">
      <w:start w:val="1"/>
      <w:numFmt w:val="bullet"/>
      <w:pStyle w:val="BulletsLevel2"/>
      <w:lvlText w:val="̶"/>
      <w:lvlJc w:val="left"/>
      <w:pPr>
        <w:ind w:left="720" w:hanging="360"/>
      </w:pPr>
      <w:rPr>
        <w:rFonts w:ascii="Arial" w:hAnsi="Aria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3754F2E"/>
    <w:multiLevelType w:val="multilevel"/>
    <w:tmpl w:val="CD54A73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836865"/>
    <w:multiLevelType w:val="hybridMultilevel"/>
    <w:tmpl w:val="597202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3D07281"/>
    <w:multiLevelType w:val="hybridMultilevel"/>
    <w:tmpl w:val="0B02957C"/>
    <w:lvl w:ilvl="0" w:tplc="F8BE2E1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BEDEF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BA173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60D28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709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B00EE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38427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1C647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C381A9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74D3861"/>
    <w:multiLevelType w:val="hybridMultilevel"/>
    <w:tmpl w:val="3B4E8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80E3568"/>
    <w:multiLevelType w:val="hybridMultilevel"/>
    <w:tmpl w:val="4DA88D36"/>
    <w:lvl w:ilvl="0" w:tplc="0C090001">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BD34DE"/>
    <w:multiLevelType w:val="hybridMultilevel"/>
    <w:tmpl w:val="E40C5210"/>
    <w:lvl w:ilvl="0" w:tplc="1DC43F1A">
      <w:start w:val="1"/>
      <w:numFmt w:val="bullet"/>
      <w:lvlText w:val=""/>
      <w:lvlJc w:val="left"/>
      <w:pPr>
        <w:tabs>
          <w:tab w:val="num" w:pos="360"/>
        </w:tabs>
        <w:ind w:left="360" w:hanging="360"/>
      </w:pPr>
      <w:rPr>
        <w:rFonts w:ascii="Wingdings" w:hAnsi="Wingdings" w:hint="default"/>
        <w:color w:val="4BACC6" w:themeColor="accent5"/>
        <w:sz w:val="28"/>
      </w:rPr>
    </w:lvl>
    <w:lvl w:ilvl="1" w:tplc="3E2EF2FC">
      <w:start w:val="9"/>
      <w:numFmt w:val="bullet"/>
      <w:lvlText w:val="-"/>
      <w:lvlJc w:val="left"/>
      <w:pPr>
        <w:ind w:left="21" w:hanging="360"/>
      </w:pPr>
      <w:rPr>
        <w:rFonts w:ascii="Arial" w:eastAsia="Times New Roman" w:hAnsi="Arial" w:cs="Arial" w:hint="default"/>
      </w:rPr>
    </w:lvl>
    <w:lvl w:ilvl="2" w:tplc="6B38BFF8">
      <w:start w:val="1"/>
      <w:numFmt w:val="bullet"/>
      <w:lvlText w:val=""/>
      <w:lvlJc w:val="left"/>
      <w:pPr>
        <w:ind w:left="741" w:hanging="360"/>
      </w:pPr>
      <w:rPr>
        <w:rFonts w:ascii="Wingdings" w:hAnsi="Wingdings" w:hint="default"/>
      </w:rPr>
    </w:lvl>
    <w:lvl w:ilvl="3" w:tplc="2938B998">
      <w:start w:val="1"/>
      <w:numFmt w:val="bullet"/>
      <w:lvlText w:val=""/>
      <w:lvlJc w:val="left"/>
      <w:pPr>
        <w:ind w:left="1461" w:hanging="360"/>
      </w:pPr>
      <w:rPr>
        <w:rFonts w:ascii="Symbol" w:hAnsi="Symbol" w:hint="default"/>
      </w:rPr>
    </w:lvl>
    <w:lvl w:ilvl="4" w:tplc="8B12A3B8">
      <w:start w:val="1"/>
      <w:numFmt w:val="bullet"/>
      <w:lvlText w:val="o"/>
      <w:lvlJc w:val="left"/>
      <w:pPr>
        <w:ind w:left="2181" w:hanging="360"/>
      </w:pPr>
      <w:rPr>
        <w:rFonts w:ascii="Courier New" w:hAnsi="Courier New" w:cs="Courier New" w:hint="default"/>
      </w:rPr>
    </w:lvl>
    <w:lvl w:ilvl="5" w:tplc="65F02472">
      <w:start w:val="1"/>
      <w:numFmt w:val="bullet"/>
      <w:lvlText w:val=""/>
      <w:lvlJc w:val="left"/>
      <w:pPr>
        <w:ind w:left="2901" w:hanging="360"/>
      </w:pPr>
      <w:rPr>
        <w:rFonts w:ascii="Wingdings" w:hAnsi="Wingdings" w:hint="default"/>
      </w:rPr>
    </w:lvl>
    <w:lvl w:ilvl="6" w:tplc="75D27634">
      <w:start w:val="1"/>
      <w:numFmt w:val="bullet"/>
      <w:lvlText w:val=""/>
      <w:lvlJc w:val="left"/>
      <w:pPr>
        <w:ind w:left="3621" w:hanging="360"/>
      </w:pPr>
      <w:rPr>
        <w:rFonts w:ascii="Symbol" w:hAnsi="Symbol" w:hint="default"/>
      </w:rPr>
    </w:lvl>
    <w:lvl w:ilvl="7" w:tplc="3960A6D0">
      <w:start w:val="1"/>
      <w:numFmt w:val="bullet"/>
      <w:lvlText w:val="o"/>
      <w:lvlJc w:val="left"/>
      <w:pPr>
        <w:ind w:left="4341" w:hanging="360"/>
      </w:pPr>
      <w:rPr>
        <w:rFonts w:ascii="Courier New" w:hAnsi="Courier New" w:cs="Courier New" w:hint="default"/>
      </w:rPr>
    </w:lvl>
    <w:lvl w:ilvl="8" w:tplc="0BB0E1BE" w:tentative="1">
      <w:start w:val="1"/>
      <w:numFmt w:val="bullet"/>
      <w:lvlText w:val=""/>
      <w:lvlJc w:val="left"/>
      <w:pPr>
        <w:ind w:left="5061" w:hanging="360"/>
      </w:pPr>
      <w:rPr>
        <w:rFonts w:ascii="Wingdings" w:hAnsi="Wingdings" w:hint="default"/>
      </w:rPr>
    </w:lvl>
  </w:abstractNum>
  <w:abstractNum w:abstractNumId="10" w15:restartNumberingAfterBreak="0">
    <w:nsid w:val="0B1B4F15"/>
    <w:multiLevelType w:val="hybridMultilevel"/>
    <w:tmpl w:val="7A327422"/>
    <w:lvl w:ilvl="0" w:tplc="3C247EA2">
      <w:numFmt w:val="bullet"/>
      <w:lvlText w:val="-"/>
      <w:lvlJc w:val="left"/>
      <w:pPr>
        <w:ind w:left="371" w:hanging="360"/>
      </w:pPr>
      <w:rPr>
        <w:rFonts w:ascii="Helvetica" w:eastAsia="Times New Roman" w:hAnsi="Helvetica" w:cs="Arial" w:hint="default"/>
        <w:i/>
      </w:rPr>
    </w:lvl>
    <w:lvl w:ilvl="1" w:tplc="0C090003" w:tentative="1">
      <w:start w:val="1"/>
      <w:numFmt w:val="bullet"/>
      <w:lvlText w:val="o"/>
      <w:lvlJc w:val="left"/>
      <w:pPr>
        <w:ind w:left="1091" w:hanging="360"/>
      </w:pPr>
      <w:rPr>
        <w:rFonts w:ascii="Courier New" w:hAnsi="Courier New" w:cs="Courier New" w:hint="default"/>
      </w:rPr>
    </w:lvl>
    <w:lvl w:ilvl="2" w:tplc="0C090005" w:tentative="1">
      <w:start w:val="1"/>
      <w:numFmt w:val="bullet"/>
      <w:lvlText w:val=""/>
      <w:lvlJc w:val="left"/>
      <w:pPr>
        <w:ind w:left="1811" w:hanging="360"/>
      </w:pPr>
      <w:rPr>
        <w:rFonts w:ascii="Wingdings" w:hAnsi="Wingdings" w:hint="default"/>
      </w:rPr>
    </w:lvl>
    <w:lvl w:ilvl="3" w:tplc="0C090001" w:tentative="1">
      <w:start w:val="1"/>
      <w:numFmt w:val="bullet"/>
      <w:lvlText w:val=""/>
      <w:lvlJc w:val="left"/>
      <w:pPr>
        <w:ind w:left="2531" w:hanging="360"/>
      </w:pPr>
      <w:rPr>
        <w:rFonts w:ascii="Symbol" w:hAnsi="Symbol" w:hint="default"/>
      </w:rPr>
    </w:lvl>
    <w:lvl w:ilvl="4" w:tplc="0C090003" w:tentative="1">
      <w:start w:val="1"/>
      <w:numFmt w:val="bullet"/>
      <w:lvlText w:val="o"/>
      <w:lvlJc w:val="left"/>
      <w:pPr>
        <w:ind w:left="3251" w:hanging="360"/>
      </w:pPr>
      <w:rPr>
        <w:rFonts w:ascii="Courier New" w:hAnsi="Courier New" w:cs="Courier New" w:hint="default"/>
      </w:rPr>
    </w:lvl>
    <w:lvl w:ilvl="5" w:tplc="0C090005" w:tentative="1">
      <w:start w:val="1"/>
      <w:numFmt w:val="bullet"/>
      <w:lvlText w:val=""/>
      <w:lvlJc w:val="left"/>
      <w:pPr>
        <w:ind w:left="3971" w:hanging="360"/>
      </w:pPr>
      <w:rPr>
        <w:rFonts w:ascii="Wingdings" w:hAnsi="Wingdings" w:hint="default"/>
      </w:rPr>
    </w:lvl>
    <w:lvl w:ilvl="6" w:tplc="0C090001" w:tentative="1">
      <w:start w:val="1"/>
      <w:numFmt w:val="bullet"/>
      <w:lvlText w:val=""/>
      <w:lvlJc w:val="left"/>
      <w:pPr>
        <w:ind w:left="4691" w:hanging="360"/>
      </w:pPr>
      <w:rPr>
        <w:rFonts w:ascii="Symbol" w:hAnsi="Symbol" w:hint="default"/>
      </w:rPr>
    </w:lvl>
    <w:lvl w:ilvl="7" w:tplc="0C090003" w:tentative="1">
      <w:start w:val="1"/>
      <w:numFmt w:val="bullet"/>
      <w:lvlText w:val="o"/>
      <w:lvlJc w:val="left"/>
      <w:pPr>
        <w:ind w:left="5411" w:hanging="360"/>
      </w:pPr>
      <w:rPr>
        <w:rFonts w:ascii="Courier New" w:hAnsi="Courier New" w:cs="Courier New" w:hint="default"/>
      </w:rPr>
    </w:lvl>
    <w:lvl w:ilvl="8" w:tplc="0C090005" w:tentative="1">
      <w:start w:val="1"/>
      <w:numFmt w:val="bullet"/>
      <w:lvlText w:val=""/>
      <w:lvlJc w:val="left"/>
      <w:pPr>
        <w:ind w:left="6131" w:hanging="360"/>
      </w:pPr>
      <w:rPr>
        <w:rFonts w:ascii="Wingdings" w:hAnsi="Wingdings" w:hint="default"/>
      </w:rPr>
    </w:lvl>
  </w:abstractNum>
  <w:abstractNum w:abstractNumId="11" w15:restartNumberingAfterBreak="0">
    <w:nsid w:val="0B992DED"/>
    <w:multiLevelType w:val="hybridMultilevel"/>
    <w:tmpl w:val="3CFE568E"/>
    <w:lvl w:ilvl="0" w:tplc="1B62D724">
      <w:start w:val="1"/>
      <w:numFmt w:val="decimal"/>
      <w:lvlText w:val="%1."/>
      <w:lvlJc w:val="left"/>
      <w:pPr>
        <w:ind w:left="360" w:hanging="360"/>
      </w:pPr>
      <w:rPr>
        <w:rFonts w:hint="default"/>
        <w:sz w:val="18"/>
        <w:szCs w:val="18"/>
        <w:vertAlign w:val="superscrip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12" w15:restartNumberingAfterBreak="0">
    <w:nsid w:val="0C014666"/>
    <w:multiLevelType w:val="hybridMultilevel"/>
    <w:tmpl w:val="DD70BF4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3" w15:restartNumberingAfterBreak="0">
    <w:nsid w:val="0C8B6879"/>
    <w:multiLevelType w:val="hybridMultilevel"/>
    <w:tmpl w:val="592686BC"/>
    <w:styleLink w:val="CurrentList1"/>
    <w:lvl w:ilvl="0" w:tplc="259E8A16">
      <w:start w:val="1"/>
      <w:numFmt w:val="decimal"/>
      <w:lvlText w:val="%1."/>
      <w:lvlJc w:val="left"/>
      <w:pPr>
        <w:ind w:left="502" w:hanging="360"/>
      </w:pPr>
      <w:rPr>
        <w:rFonts w:hint="default"/>
        <w:sz w:val="18"/>
        <w:szCs w:val="18"/>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D8B3D72"/>
    <w:multiLevelType w:val="hybridMultilevel"/>
    <w:tmpl w:val="F2787A52"/>
    <w:lvl w:ilvl="0" w:tplc="1DC43F1A">
      <w:start w:val="1"/>
      <w:numFmt w:val="bullet"/>
      <w:lvlText w:val=""/>
      <w:lvlJc w:val="left"/>
      <w:pPr>
        <w:tabs>
          <w:tab w:val="num" w:pos="360"/>
        </w:tabs>
        <w:ind w:left="360" w:hanging="360"/>
      </w:pPr>
      <w:rPr>
        <w:rFonts w:ascii="Wingdings" w:hAnsi="Wingdings" w:hint="default"/>
        <w:color w:val="4BACC6" w:themeColor="accent5"/>
        <w:sz w:val="28"/>
      </w:rPr>
    </w:lvl>
    <w:lvl w:ilvl="1" w:tplc="3E2EF2FC">
      <w:start w:val="9"/>
      <w:numFmt w:val="bullet"/>
      <w:lvlText w:val="-"/>
      <w:lvlJc w:val="left"/>
      <w:pPr>
        <w:ind w:left="21" w:hanging="360"/>
      </w:pPr>
      <w:rPr>
        <w:rFonts w:ascii="Arial" w:eastAsia="Times New Roman" w:hAnsi="Arial" w:cs="Arial" w:hint="default"/>
      </w:rPr>
    </w:lvl>
    <w:lvl w:ilvl="2" w:tplc="6B38BFF8">
      <w:start w:val="1"/>
      <w:numFmt w:val="bullet"/>
      <w:lvlText w:val=""/>
      <w:lvlJc w:val="left"/>
      <w:pPr>
        <w:ind w:left="741" w:hanging="360"/>
      </w:pPr>
      <w:rPr>
        <w:rFonts w:ascii="Wingdings" w:hAnsi="Wingdings" w:hint="default"/>
      </w:rPr>
    </w:lvl>
    <w:lvl w:ilvl="3" w:tplc="2938B998">
      <w:start w:val="1"/>
      <w:numFmt w:val="bullet"/>
      <w:lvlText w:val=""/>
      <w:lvlJc w:val="left"/>
      <w:pPr>
        <w:ind w:left="1461" w:hanging="360"/>
      </w:pPr>
      <w:rPr>
        <w:rFonts w:ascii="Symbol" w:hAnsi="Symbol" w:hint="default"/>
      </w:rPr>
    </w:lvl>
    <w:lvl w:ilvl="4" w:tplc="8B12A3B8">
      <w:start w:val="1"/>
      <w:numFmt w:val="bullet"/>
      <w:lvlText w:val="o"/>
      <w:lvlJc w:val="left"/>
      <w:pPr>
        <w:ind w:left="2181" w:hanging="360"/>
      </w:pPr>
      <w:rPr>
        <w:rFonts w:ascii="Courier New" w:hAnsi="Courier New" w:cs="Courier New" w:hint="default"/>
      </w:rPr>
    </w:lvl>
    <w:lvl w:ilvl="5" w:tplc="65F02472">
      <w:start w:val="1"/>
      <w:numFmt w:val="bullet"/>
      <w:lvlText w:val=""/>
      <w:lvlJc w:val="left"/>
      <w:pPr>
        <w:ind w:left="2901" w:hanging="360"/>
      </w:pPr>
      <w:rPr>
        <w:rFonts w:ascii="Wingdings" w:hAnsi="Wingdings" w:hint="default"/>
      </w:rPr>
    </w:lvl>
    <w:lvl w:ilvl="6" w:tplc="75D27634">
      <w:start w:val="1"/>
      <w:numFmt w:val="bullet"/>
      <w:lvlText w:val=""/>
      <w:lvlJc w:val="left"/>
      <w:pPr>
        <w:ind w:left="3621" w:hanging="360"/>
      </w:pPr>
      <w:rPr>
        <w:rFonts w:ascii="Symbol" w:hAnsi="Symbol" w:hint="default"/>
      </w:rPr>
    </w:lvl>
    <w:lvl w:ilvl="7" w:tplc="3960A6D0">
      <w:start w:val="1"/>
      <w:numFmt w:val="bullet"/>
      <w:lvlText w:val="o"/>
      <w:lvlJc w:val="left"/>
      <w:pPr>
        <w:ind w:left="4341" w:hanging="360"/>
      </w:pPr>
      <w:rPr>
        <w:rFonts w:ascii="Courier New" w:hAnsi="Courier New" w:cs="Courier New" w:hint="default"/>
      </w:rPr>
    </w:lvl>
    <w:lvl w:ilvl="8" w:tplc="0BB0E1BE" w:tentative="1">
      <w:start w:val="1"/>
      <w:numFmt w:val="bullet"/>
      <w:lvlText w:val=""/>
      <w:lvlJc w:val="left"/>
      <w:pPr>
        <w:ind w:left="5061" w:hanging="360"/>
      </w:pPr>
      <w:rPr>
        <w:rFonts w:ascii="Wingdings" w:hAnsi="Wingdings" w:hint="default"/>
      </w:rPr>
    </w:lvl>
  </w:abstractNum>
  <w:abstractNum w:abstractNumId="15" w15:restartNumberingAfterBreak="0">
    <w:nsid w:val="11552DF5"/>
    <w:multiLevelType w:val="hybridMultilevel"/>
    <w:tmpl w:val="ADEA63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1BD4530"/>
    <w:multiLevelType w:val="multilevel"/>
    <w:tmpl w:val="E1EEE818"/>
    <w:lvl w:ilvl="0">
      <w:start w:val="1"/>
      <w:numFmt w:val="bullet"/>
      <w:pStyle w:val="Bullet2"/>
      <w:lvlText w:val="o"/>
      <w:lvlJc w:val="left"/>
      <w:pPr>
        <w:ind w:left="284" w:hanging="284"/>
      </w:pPr>
      <w:rPr>
        <w:rFonts w:ascii="Courier New" w:hAnsi="Courier New" w:cs="Courier New"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1283611C"/>
    <w:multiLevelType w:val="hybridMultilevel"/>
    <w:tmpl w:val="6888B5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42A31D8"/>
    <w:multiLevelType w:val="hybridMultilevel"/>
    <w:tmpl w:val="CF50CA0A"/>
    <w:lvl w:ilvl="0" w:tplc="0C090001">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15FB776E"/>
    <w:multiLevelType w:val="hybridMultilevel"/>
    <w:tmpl w:val="202E079C"/>
    <w:lvl w:ilvl="0" w:tplc="512EC24C">
      <w:start w:val="1"/>
      <w:numFmt w:val="bullet"/>
      <w:lvlText w:val="•"/>
      <w:lvlJc w:val="left"/>
      <w:pPr>
        <w:ind w:left="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F06FF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42953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42CD8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E654B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94EEE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7C0D6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DEB04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CC3E0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639300B"/>
    <w:multiLevelType w:val="hybridMultilevel"/>
    <w:tmpl w:val="3BE6749C"/>
    <w:lvl w:ilvl="0" w:tplc="1DC43F1A">
      <w:start w:val="1"/>
      <w:numFmt w:val="bullet"/>
      <w:lvlText w:val=""/>
      <w:lvlJc w:val="left"/>
      <w:pPr>
        <w:ind w:left="720" w:hanging="360"/>
      </w:pPr>
      <w:rPr>
        <w:rFonts w:ascii="Wingdings" w:hAnsi="Wingdings" w:hint="default"/>
        <w:color w:val="4BACC6" w:themeColor="accent5"/>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73A353E"/>
    <w:multiLevelType w:val="hybridMultilevel"/>
    <w:tmpl w:val="A92EC592"/>
    <w:lvl w:ilvl="0" w:tplc="8F9E0438">
      <w:start w:val="1"/>
      <w:numFmt w:val="decimal"/>
      <w:lvlText w:val="%1."/>
      <w:lvlJc w:val="left"/>
      <w:pPr>
        <w:ind w:left="36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7624C43"/>
    <w:multiLevelType w:val="hybridMultilevel"/>
    <w:tmpl w:val="EE00092C"/>
    <w:lvl w:ilvl="0" w:tplc="2CBEE4F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BCAD6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5E83D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D94671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80A33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F2760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BEF93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107DB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CC7FD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84D01AB"/>
    <w:multiLevelType w:val="hybridMultilevel"/>
    <w:tmpl w:val="5EAAFCE2"/>
    <w:lvl w:ilvl="0" w:tplc="0E32D45E">
      <w:start w:val="1"/>
      <w:numFmt w:val="bullet"/>
      <w:lvlText w:val="•"/>
      <w:lvlJc w:val="left"/>
      <w:pPr>
        <w:tabs>
          <w:tab w:val="num" w:pos="720"/>
        </w:tabs>
        <w:ind w:left="720" w:hanging="360"/>
      </w:pPr>
      <w:rPr>
        <w:rFonts w:ascii="Arial" w:hAnsi="Arial" w:hint="default"/>
      </w:rPr>
    </w:lvl>
    <w:lvl w:ilvl="1" w:tplc="CAD2681E" w:tentative="1">
      <w:start w:val="1"/>
      <w:numFmt w:val="bullet"/>
      <w:lvlText w:val="•"/>
      <w:lvlJc w:val="left"/>
      <w:pPr>
        <w:tabs>
          <w:tab w:val="num" w:pos="1440"/>
        </w:tabs>
        <w:ind w:left="1440" w:hanging="360"/>
      </w:pPr>
      <w:rPr>
        <w:rFonts w:ascii="Arial" w:hAnsi="Arial" w:hint="default"/>
      </w:rPr>
    </w:lvl>
    <w:lvl w:ilvl="2" w:tplc="D3365278" w:tentative="1">
      <w:start w:val="1"/>
      <w:numFmt w:val="bullet"/>
      <w:lvlText w:val="•"/>
      <w:lvlJc w:val="left"/>
      <w:pPr>
        <w:tabs>
          <w:tab w:val="num" w:pos="2160"/>
        </w:tabs>
        <w:ind w:left="2160" w:hanging="360"/>
      </w:pPr>
      <w:rPr>
        <w:rFonts w:ascii="Arial" w:hAnsi="Arial" w:hint="default"/>
      </w:rPr>
    </w:lvl>
    <w:lvl w:ilvl="3" w:tplc="23A248B6" w:tentative="1">
      <w:start w:val="1"/>
      <w:numFmt w:val="bullet"/>
      <w:lvlText w:val="•"/>
      <w:lvlJc w:val="left"/>
      <w:pPr>
        <w:tabs>
          <w:tab w:val="num" w:pos="2880"/>
        </w:tabs>
        <w:ind w:left="2880" w:hanging="360"/>
      </w:pPr>
      <w:rPr>
        <w:rFonts w:ascii="Arial" w:hAnsi="Arial" w:hint="default"/>
      </w:rPr>
    </w:lvl>
    <w:lvl w:ilvl="4" w:tplc="EF9CC59E" w:tentative="1">
      <w:start w:val="1"/>
      <w:numFmt w:val="bullet"/>
      <w:lvlText w:val="•"/>
      <w:lvlJc w:val="left"/>
      <w:pPr>
        <w:tabs>
          <w:tab w:val="num" w:pos="3600"/>
        </w:tabs>
        <w:ind w:left="3600" w:hanging="360"/>
      </w:pPr>
      <w:rPr>
        <w:rFonts w:ascii="Arial" w:hAnsi="Arial" w:hint="default"/>
      </w:rPr>
    </w:lvl>
    <w:lvl w:ilvl="5" w:tplc="ECB44080" w:tentative="1">
      <w:start w:val="1"/>
      <w:numFmt w:val="bullet"/>
      <w:lvlText w:val="•"/>
      <w:lvlJc w:val="left"/>
      <w:pPr>
        <w:tabs>
          <w:tab w:val="num" w:pos="4320"/>
        </w:tabs>
        <w:ind w:left="4320" w:hanging="360"/>
      </w:pPr>
      <w:rPr>
        <w:rFonts w:ascii="Arial" w:hAnsi="Arial" w:hint="default"/>
      </w:rPr>
    </w:lvl>
    <w:lvl w:ilvl="6" w:tplc="F41EC3FC" w:tentative="1">
      <w:start w:val="1"/>
      <w:numFmt w:val="bullet"/>
      <w:lvlText w:val="•"/>
      <w:lvlJc w:val="left"/>
      <w:pPr>
        <w:tabs>
          <w:tab w:val="num" w:pos="5040"/>
        </w:tabs>
        <w:ind w:left="5040" w:hanging="360"/>
      </w:pPr>
      <w:rPr>
        <w:rFonts w:ascii="Arial" w:hAnsi="Arial" w:hint="default"/>
      </w:rPr>
    </w:lvl>
    <w:lvl w:ilvl="7" w:tplc="1F58DDDE" w:tentative="1">
      <w:start w:val="1"/>
      <w:numFmt w:val="bullet"/>
      <w:lvlText w:val="•"/>
      <w:lvlJc w:val="left"/>
      <w:pPr>
        <w:tabs>
          <w:tab w:val="num" w:pos="5760"/>
        </w:tabs>
        <w:ind w:left="5760" w:hanging="360"/>
      </w:pPr>
      <w:rPr>
        <w:rFonts w:ascii="Arial" w:hAnsi="Arial" w:hint="default"/>
      </w:rPr>
    </w:lvl>
    <w:lvl w:ilvl="8" w:tplc="0E7E69B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8D96DE8"/>
    <w:multiLevelType w:val="hybridMultilevel"/>
    <w:tmpl w:val="AB5EC8C8"/>
    <w:lvl w:ilvl="0" w:tplc="6F62922C">
      <w:start w:val="1"/>
      <w:numFmt w:val="bullet"/>
      <w:lvlText w:val="»"/>
      <w:lvlJc w:val="left"/>
      <w:pPr>
        <w:ind w:left="1004" w:hanging="360"/>
      </w:pPr>
      <w:rPr>
        <w:rFonts w:ascii="Arial" w:hAnsi="Arial" w:cs="Times New Roman" w:hint="default"/>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198406A3"/>
    <w:multiLevelType w:val="hybridMultilevel"/>
    <w:tmpl w:val="A3F0D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9D8176B"/>
    <w:multiLevelType w:val="hybridMultilevel"/>
    <w:tmpl w:val="8D4E8DE6"/>
    <w:lvl w:ilvl="0" w:tplc="2FCC1686">
      <w:start w:val="1"/>
      <w:numFmt w:val="bullet"/>
      <w:pStyle w:val="Bullets2ndindent"/>
      <w:lvlText w:val=""/>
      <w:lvlJc w:val="left"/>
      <w:pPr>
        <w:ind w:left="1211"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B9A2433"/>
    <w:multiLevelType w:val="hybridMultilevel"/>
    <w:tmpl w:val="9E9C48DA"/>
    <w:lvl w:ilvl="0" w:tplc="27A8D8E6">
      <w:start w:val="1"/>
      <w:numFmt w:val="decimal"/>
      <w:lvlText w:val="%1."/>
      <w:lvlJc w:val="left"/>
      <w:pPr>
        <w:ind w:left="502" w:hanging="360"/>
      </w:pPr>
      <w:rPr>
        <w:rFonts w:hint="default"/>
        <w:sz w:val="18"/>
        <w:szCs w:val="18"/>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C226B9E"/>
    <w:multiLevelType w:val="hybridMultilevel"/>
    <w:tmpl w:val="995847D8"/>
    <w:lvl w:ilvl="0" w:tplc="1DC43F1A">
      <w:start w:val="1"/>
      <w:numFmt w:val="bullet"/>
      <w:lvlText w:val=""/>
      <w:lvlJc w:val="left"/>
      <w:pPr>
        <w:ind w:left="360" w:hanging="360"/>
      </w:pPr>
      <w:rPr>
        <w:rFonts w:ascii="Wingdings" w:hAnsi="Wingdings" w:hint="default"/>
        <w:color w:val="4BACC6" w:themeColor="accent5"/>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C4A7DBB"/>
    <w:multiLevelType w:val="hybridMultilevel"/>
    <w:tmpl w:val="7C9CD52C"/>
    <w:lvl w:ilvl="0" w:tplc="1DC43F1A">
      <w:start w:val="1"/>
      <w:numFmt w:val="bullet"/>
      <w:lvlText w:val=""/>
      <w:lvlJc w:val="left"/>
      <w:pPr>
        <w:ind w:left="720" w:hanging="360"/>
      </w:pPr>
      <w:rPr>
        <w:rFonts w:ascii="Wingdings" w:hAnsi="Wingdings" w:hint="default"/>
        <w:color w:val="4BACC6" w:themeColor="accent5"/>
        <w:sz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CD53F62"/>
    <w:multiLevelType w:val="hybridMultilevel"/>
    <w:tmpl w:val="8E62D6DC"/>
    <w:lvl w:ilvl="0" w:tplc="4C4A085C">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54855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24912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B081F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A8CDB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2879F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AA004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BEC9B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446DD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1DE93750"/>
    <w:multiLevelType w:val="hybridMultilevel"/>
    <w:tmpl w:val="DEE82F72"/>
    <w:lvl w:ilvl="0" w:tplc="5E8C796A">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0896FF6"/>
    <w:multiLevelType w:val="hybridMultilevel"/>
    <w:tmpl w:val="249485B8"/>
    <w:lvl w:ilvl="0" w:tplc="6F62922C">
      <w:start w:val="1"/>
      <w:numFmt w:val="bullet"/>
      <w:lvlText w:val="»"/>
      <w:lvlJc w:val="left"/>
      <w:pPr>
        <w:ind w:left="720" w:hanging="360"/>
      </w:pPr>
      <w:rPr>
        <w:rFonts w:ascii="Arial" w:hAnsi="Arial" w:cs="Times New Roman"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216723D1"/>
    <w:multiLevelType w:val="hybridMultilevel"/>
    <w:tmpl w:val="A10E0A5C"/>
    <w:lvl w:ilvl="0" w:tplc="1DC43F1A">
      <w:start w:val="1"/>
      <w:numFmt w:val="bullet"/>
      <w:lvlText w:val=""/>
      <w:lvlJc w:val="left"/>
      <w:pPr>
        <w:ind w:left="360" w:hanging="360"/>
      </w:pPr>
      <w:rPr>
        <w:rFonts w:ascii="Wingdings" w:hAnsi="Wingdings" w:hint="default"/>
        <w:color w:val="4BACC6" w:themeColor="accent5"/>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3093EE2"/>
    <w:multiLevelType w:val="hybridMultilevel"/>
    <w:tmpl w:val="592686BC"/>
    <w:lvl w:ilvl="0" w:tplc="259E8A16">
      <w:start w:val="1"/>
      <w:numFmt w:val="decimal"/>
      <w:lvlText w:val="%1."/>
      <w:lvlJc w:val="left"/>
      <w:pPr>
        <w:ind w:left="502" w:hanging="360"/>
      </w:pPr>
      <w:rPr>
        <w:rFonts w:hint="default"/>
        <w:sz w:val="18"/>
        <w:szCs w:val="18"/>
        <w:vertAlign w:val="superscrip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3BB060F"/>
    <w:multiLevelType w:val="hybridMultilevel"/>
    <w:tmpl w:val="19A2B2DA"/>
    <w:lvl w:ilvl="0" w:tplc="0C090001">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6" w15:restartNumberingAfterBreak="0">
    <w:nsid w:val="24057A33"/>
    <w:multiLevelType w:val="multilevel"/>
    <w:tmpl w:val="705CE084"/>
    <w:lvl w:ilvl="0">
      <w:start w:val="8"/>
      <w:numFmt w:val="decimal"/>
      <w:lvlText w:val="%1"/>
      <w:lvlJc w:val="left"/>
      <w:pPr>
        <w:ind w:left="360" w:hanging="360"/>
      </w:pPr>
      <w:rPr>
        <w:rFonts w:hint="default"/>
      </w:rPr>
    </w:lvl>
    <w:lvl w:ilvl="1">
      <w:start w:val="1"/>
      <w:numFmt w:val="decimal"/>
      <w:lvlText w:val="%1.%2"/>
      <w:lvlJc w:val="left"/>
      <w:pPr>
        <w:ind w:left="4548" w:hanging="360"/>
      </w:pPr>
      <w:rPr>
        <w:rFonts w:hint="default"/>
      </w:rPr>
    </w:lvl>
    <w:lvl w:ilvl="2">
      <w:start w:val="1"/>
      <w:numFmt w:val="decimal"/>
      <w:lvlText w:val="%1.%2.%3"/>
      <w:lvlJc w:val="left"/>
      <w:pPr>
        <w:ind w:left="9096" w:hanging="720"/>
      </w:pPr>
      <w:rPr>
        <w:rFonts w:hint="default"/>
      </w:rPr>
    </w:lvl>
    <w:lvl w:ilvl="3">
      <w:start w:val="1"/>
      <w:numFmt w:val="decimal"/>
      <w:lvlText w:val="%1.%2.%3.%4"/>
      <w:lvlJc w:val="left"/>
      <w:pPr>
        <w:ind w:left="13284" w:hanging="720"/>
      </w:pPr>
      <w:rPr>
        <w:rFonts w:hint="default"/>
      </w:rPr>
    </w:lvl>
    <w:lvl w:ilvl="4">
      <w:start w:val="1"/>
      <w:numFmt w:val="decimal"/>
      <w:lvlText w:val="%1.%2.%3.%4.%5"/>
      <w:lvlJc w:val="left"/>
      <w:pPr>
        <w:ind w:left="17832" w:hanging="1080"/>
      </w:pPr>
      <w:rPr>
        <w:rFonts w:hint="default"/>
      </w:rPr>
    </w:lvl>
    <w:lvl w:ilvl="5">
      <w:start w:val="1"/>
      <w:numFmt w:val="decimal"/>
      <w:lvlText w:val="%1.%2.%3.%4.%5.%6"/>
      <w:lvlJc w:val="left"/>
      <w:pPr>
        <w:ind w:left="22020" w:hanging="1080"/>
      </w:pPr>
      <w:rPr>
        <w:rFonts w:hint="default"/>
      </w:rPr>
    </w:lvl>
    <w:lvl w:ilvl="6">
      <w:start w:val="1"/>
      <w:numFmt w:val="decimal"/>
      <w:lvlText w:val="%1.%2.%3.%4.%5.%6.%7"/>
      <w:lvlJc w:val="left"/>
      <w:pPr>
        <w:ind w:left="26568" w:hanging="1440"/>
      </w:pPr>
      <w:rPr>
        <w:rFonts w:hint="default"/>
      </w:rPr>
    </w:lvl>
    <w:lvl w:ilvl="7">
      <w:start w:val="1"/>
      <w:numFmt w:val="decimal"/>
      <w:lvlText w:val="%1.%2.%3.%4.%5.%6.%7.%8"/>
      <w:lvlJc w:val="left"/>
      <w:pPr>
        <w:ind w:left="30756" w:hanging="1440"/>
      </w:pPr>
      <w:rPr>
        <w:rFonts w:hint="default"/>
      </w:rPr>
    </w:lvl>
    <w:lvl w:ilvl="8">
      <w:start w:val="1"/>
      <w:numFmt w:val="decimal"/>
      <w:lvlText w:val="%1.%2.%3.%4.%5.%6.%7.%8.%9"/>
      <w:lvlJc w:val="left"/>
      <w:pPr>
        <w:ind w:left="-30232" w:hanging="1800"/>
      </w:pPr>
      <w:rPr>
        <w:rFonts w:hint="default"/>
      </w:rPr>
    </w:lvl>
  </w:abstractNum>
  <w:abstractNum w:abstractNumId="37" w15:restartNumberingAfterBreak="0">
    <w:nsid w:val="24807A99"/>
    <w:multiLevelType w:val="hybridMultilevel"/>
    <w:tmpl w:val="E7B6D8D2"/>
    <w:lvl w:ilvl="0" w:tplc="1DC43F1A">
      <w:start w:val="1"/>
      <w:numFmt w:val="bullet"/>
      <w:lvlText w:val=""/>
      <w:lvlJc w:val="left"/>
      <w:pPr>
        <w:ind w:left="720" w:hanging="360"/>
      </w:pPr>
      <w:rPr>
        <w:rFonts w:ascii="Wingdings" w:hAnsi="Wingdings" w:hint="default"/>
        <w:color w:val="4BACC6" w:themeColor="accent5"/>
        <w:sz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49E6F55"/>
    <w:multiLevelType w:val="hybridMultilevel"/>
    <w:tmpl w:val="71DEC8FC"/>
    <w:lvl w:ilvl="0" w:tplc="171622EA">
      <w:start w:val="1"/>
      <w:numFmt w:val="bullet"/>
      <w:pStyle w:val="Sub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9" w15:restartNumberingAfterBreak="0">
    <w:nsid w:val="26512026"/>
    <w:multiLevelType w:val="multilevel"/>
    <w:tmpl w:val="1276A67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72B67AF"/>
    <w:multiLevelType w:val="hybridMultilevel"/>
    <w:tmpl w:val="07549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9347098"/>
    <w:multiLevelType w:val="hybridMultilevel"/>
    <w:tmpl w:val="7AA6D640"/>
    <w:lvl w:ilvl="0" w:tplc="1DC43F1A">
      <w:start w:val="1"/>
      <w:numFmt w:val="bullet"/>
      <w:lvlText w:val=""/>
      <w:lvlJc w:val="left"/>
      <w:pPr>
        <w:ind w:left="1004" w:hanging="360"/>
      </w:pPr>
      <w:rPr>
        <w:rFonts w:ascii="Wingdings" w:hAnsi="Wingdings" w:hint="default"/>
        <w:color w:val="4BACC6" w:themeColor="accent5"/>
        <w:sz w:val="2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2" w15:restartNumberingAfterBreak="0">
    <w:nsid w:val="294214C9"/>
    <w:multiLevelType w:val="multilevel"/>
    <w:tmpl w:val="0D18962A"/>
    <w:lvl w:ilvl="0">
      <w:start w:val="1"/>
      <w:numFmt w:val="bullet"/>
      <w:pStyle w:val="FCList"/>
      <w:lvlText w:val="•"/>
      <w:lvlJc w:val="left"/>
      <w:pPr>
        <w:tabs>
          <w:tab w:val="num" w:pos="284"/>
        </w:tabs>
        <w:ind w:left="284" w:hanging="284"/>
      </w:pPr>
      <w:rPr>
        <w:rFonts w:ascii="Cambria" w:hAnsi="Cambria" w:hint="default"/>
        <w:color w:val="C2B000"/>
      </w:rPr>
    </w:lvl>
    <w:lvl w:ilvl="1">
      <w:start w:val="1"/>
      <w:numFmt w:val="bullet"/>
      <w:lvlText w:val="•"/>
      <w:lvlJc w:val="left"/>
      <w:pPr>
        <w:tabs>
          <w:tab w:val="num" w:pos="567"/>
        </w:tabs>
        <w:ind w:left="567" w:hanging="283"/>
      </w:pPr>
      <w:rPr>
        <w:rFonts w:ascii="Cambria" w:hAnsi="Cambria" w:hint="default"/>
        <w:color w:val="C2B000"/>
      </w:rPr>
    </w:lvl>
    <w:lvl w:ilvl="2">
      <w:start w:val="1"/>
      <w:numFmt w:val="bullet"/>
      <w:pStyle w:val="Bulletslast1stindent"/>
      <w:lvlText w:val="•"/>
      <w:lvlJc w:val="left"/>
      <w:pPr>
        <w:tabs>
          <w:tab w:val="num" w:pos="284"/>
        </w:tabs>
        <w:ind w:left="284" w:hanging="284"/>
      </w:pPr>
      <w:rPr>
        <w:rFonts w:ascii="Cambria" w:hAnsi="Cambria" w:hint="default"/>
        <w:color w:val="C2B000"/>
      </w:rPr>
    </w:lvl>
    <w:lvl w:ilvl="3">
      <w:start w:val="1"/>
      <w:numFmt w:val="bullet"/>
      <w:pStyle w:val="Bulletslast2ndindent"/>
      <w:lvlText w:val="•"/>
      <w:lvlJc w:val="left"/>
      <w:pPr>
        <w:tabs>
          <w:tab w:val="num" w:pos="567"/>
        </w:tabs>
        <w:ind w:left="567" w:hanging="283"/>
      </w:pPr>
      <w:rPr>
        <w:rFonts w:ascii="Cambria" w:hAnsi="Cambria" w:hint="default"/>
        <w:color w:val="C2B000"/>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615800"/>
        <w:sz w:val="16"/>
      </w:rPr>
    </w:lvl>
    <w:lvl w:ilvl="6">
      <w:start w:val="1"/>
      <w:numFmt w:val="bullet"/>
      <w:pStyle w:val="Tablebullets2ndindent"/>
      <w:lvlText w:val=""/>
      <w:lvlJc w:val="left"/>
      <w:pPr>
        <w:tabs>
          <w:tab w:val="num" w:pos="437"/>
        </w:tabs>
        <w:ind w:left="437" w:hanging="171"/>
      </w:pPr>
      <w:rPr>
        <w:rFonts w:ascii="Symbol" w:hAnsi="Symbol" w:hint="default"/>
        <w:color w:val="615800"/>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3" w15:restartNumberingAfterBreak="0">
    <w:nsid w:val="2B9B159F"/>
    <w:multiLevelType w:val="multilevel"/>
    <w:tmpl w:val="1F38FDB4"/>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4" w15:restartNumberingAfterBreak="0">
    <w:nsid w:val="2D246988"/>
    <w:multiLevelType w:val="hybridMultilevel"/>
    <w:tmpl w:val="93AEFA76"/>
    <w:lvl w:ilvl="0" w:tplc="1EF024BE">
      <w:start w:val="1"/>
      <w:numFmt w:val="lowerLetter"/>
      <w:lvlText w:val="(%1)"/>
      <w:lvlJc w:val="left"/>
      <w:pPr>
        <w:ind w:left="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08895C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200A14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102467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5E995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76DDA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8243C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AAA16B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58A93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2D542528"/>
    <w:multiLevelType w:val="hybridMultilevel"/>
    <w:tmpl w:val="5142A698"/>
    <w:lvl w:ilvl="0" w:tplc="1DC43F1A">
      <w:start w:val="1"/>
      <w:numFmt w:val="bullet"/>
      <w:lvlText w:val=""/>
      <w:lvlJc w:val="left"/>
      <w:pPr>
        <w:ind w:left="720" w:hanging="360"/>
      </w:pPr>
      <w:rPr>
        <w:rFonts w:ascii="Wingdings" w:hAnsi="Wingdings" w:hint="default"/>
        <w:color w:val="4BACC6" w:themeColor="accent5"/>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DB22F8D"/>
    <w:multiLevelType w:val="hybridMultilevel"/>
    <w:tmpl w:val="C6868FB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7" w15:restartNumberingAfterBreak="0">
    <w:nsid w:val="2E3F53D3"/>
    <w:multiLevelType w:val="hybridMultilevel"/>
    <w:tmpl w:val="2570B536"/>
    <w:lvl w:ilvl="0" w:tplc="1DC43F1A">
      <w:start w:val="1"/>
      <w:numFmt w:val="bullet"/>
      <w:lvlText w:val=""/>
      <w:lvlJc w:val="left"/>
      <w:pPr>
        <w:ind w:left="720" w:hanging="360"/>
      </w:pPr>
      <w:rPr>
        <w:rFonts w:ascii="Wingdings" w:hAnsi="Wingdings" w:hint="default"/>
        <w:color w:val="4BACC6" w:themeColor="accent5"/>
        <w:sz w:val="2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30031AE4"/>
    <w:multiLevelType w:val="multilevel"/>
    <w:tmpl w:val="3208E0A8"/>
    <w:styleLink w:val="CurrentList26"/>
    <w:lvl w:ilvl="0">
      <w:start w:val="1"/>
      <w:numFmt w:val="bullet"/>
      <w:pStyle w:val="Bullet"/>
      <w:lvlText w:val="•"/>
      <w:lvlJc w:val="left"/>
      <w:pPr>
        <w:tabs>
          <w:tab w:val="num" w:pos="3119"/>
        </w:tabs>
        <w:ind w:left="3119" w:hanging="283"/>
      </w:pPr>
      <w:rPr>
        <w:rFonts w:ascii="Times New Roman" w:hAnsi="Times New Roman"/>
        <w:b w:val="0"/>
        <w:i w:val="0"/>
      </w:rPr>
    </w:lvl>
    <w:lvl w:ilvl="1">
      <w:start w:val="1"/>
      <w:numFmt w:val="bullet"/>
      <w:lvlText w:val="–"/>
      <w:lvlJc w:val="left"/>
      <w:pPr>
        <w:tabs>
          <w:tab w:val="num" w:pos="567"/>
        </w:tabs>
        <w:ind w:left="567" w:hanging="284"/>
      </w:pPr>
      <w:rPr>
        <w:rFonts w:ascii="Times New Roman" w:hAnsi="Times New Roman"/>
        <w:b w:val="0"/>
        <w:i w:val="0"/>
      </w:rPr>
    </w:lvl>
    <w:lvl w:ilvl="2">
      <w:start w:val="1"/>
      <w:numFmt w:val="bulle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49" w15:restartNumberingAfterBreak="0">
    <w:nsid w:val="31A954FA"/>
    <w:multiLevelType w:val="hybridMultilevel"/>
    <w:tmpl w:val="652E1A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2C3127F"/>
    <w:multiLevelType w:val="hybridMultilevel"/>
    <w:tmpl w:val="785E229C"/>
    <w:lvl w:ilvl="0" w:tplc="94BED900">
      <w:start w:val="1"/>
      <w:numFmt w:val="decimal"/>
      <w:lvlText w:val="%1."/>
      <w:lvlJc w:val="left"/>
      <w:pPr>
        <w:ind w:left="360" w:hanging="360"/>
      </w:pPr>
      <w:rPr>
        <w:rFonts w:hint="default"/>
        <w:sz w:val="18"/>
        <w:szCs w:val="18"/>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54A0D23"/>
    <w:multiLevelType w:val="hybridMultilevel"/>
    <w:tmpl w:val="6ACC6C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5C21C6D"/>
    <w:multiLevelType w:val="hybridMultilevel"/>
    <w:tmpl w:val="9184DF78"/>
    <w:lvl w:ilvl="0" w:tplc="B0F0860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3087A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B4FD7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AC561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8C4CB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F6788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8B2E71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F6B7A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2EC69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36593C0D"/>
    <w:multiLevelType w:val="hybridMultilevel"/>
    <w:tmpl w:val="4778278C"/>
    <w:lvl w:ilvl="0" w:tplc="0C090001">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8F307F4"/>
    <w:multiLevelType w:val="hybridMultilevel"/>
    <w:tmpl w:val="95F8D89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5" w15:restartNumberingAfterBreak="0">
    <w:nsid w:val="3B6C69DC"/>
    <w:multiLevelType w:val="hybridMultilevel"/>
    <w:tmpl w:val="D4FA179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6" w15:restartNumberingAfterBreak="0">
    <w:nsid w:val="3CFC59F7"/>
    <w:multiLevelType w:val="hybridMultilevel"/>
    <w:tmpl w:val="553C430A"/>
    <w:lvl w:ilvl="0" w:tplc="1DC43F1A">
      <w:start w:val="1"/>
      <w:numFmt w:val="bullet"/>
      <w:lvlText w:val=""/>
      <w:lvlJc w:val="left"/>
      <w:pPr>
        <w:ind w:left="720" w:hanging="360"/>
      </w:pPr>
      <w:rPr>
        <w:rFonts w:ascii="Wingdings" w:hAnsi="Wingdings" w:hint="default"/>
        <w:color w:val="4BACC6" w:themeColor="accent5"/>
        <w:sz w:val="2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3E310CEB"/>
    <w:multiLevelType w:val="hybridMultilevel"/>
    <w:tmpl w:val="46C6A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E3F4482"/>
    <w:multiLevelType w:val="hybridMultilevel"/>
    <w:tmpl w:val="C89CC1AE"/>
    <w:styleLink w:val="TableHeadingNumbers"/>
    <w:lvl w:ilvl="0" w:tplc="63A06CA8">
      <w:start w:val="1"/>
      <w:numFmt w:val="bullet"/>
      <w:lvlText w:val="»"/>
      <w:lvlJc w:val="left"/>
      <w:pPr>
        <w:ind w:left="862" w:hanging="360"/>
      </w:pPr>
      <w:rPr>
        <w:rFonts w:ascii="Arial" w:hAnsi="Arial" w:hint="default"/>
        <w:sz w:val="20"/>
      </w:rPr>
    </w:lvl>
    <w:lvl w:ilvl="1" w:tplc="E2521142" w:tentative="1">
      <w:start w:val="1"/>
      <w:numFmt w:val="bullet"/>
      <w:lvlText w:val="o"/>
      <w:lvlJc w:val="left"/>
      <w:pPr>
        <w:ind w:left="1582" w:hanging="360"/>
      </w:pPr>
      <w:rPr>
        <w:rFonts w:ascii="Courier New" w:hAnsi="Courier New" w:cs="Courier New" w:hint="default"/>
      </w:rPr>
    </w:lvl>
    <w:lvl w:ilvl="2" w:tplc="89A8624C" w:tentative="1">
      <w:start w:val="1"/>
      <w:numFmt w:val="bullet"/>
      <w:lvlText w:val=""/>
      <w:lvlJc w:val="left"/>
      <w:pPr>
        <w:ind w:left="2302" w:hanging="360"/>
      </w:pPr>
      <w:rPr>
        <w:rFonts w:ascii="Wingdings" w:hAnsi="Wingdings" w:hint="default"/>
      </w:rPr>
    </w:lvl>
    <w:lvl w:ilvl="3" w:tplc="9CFCE5AA" w:tentative="1">
      <w:start w:val="1"/>
      <w:numFmt w:val="bullet"/>
      <w:lvlText w:val=""/>
      <w:lvlJc w:val="left"/>
      <w:pPr>
        <w:ind w:left="3022" w:hanging="360"/>
      </w:pPr>
      <w:rPr>
        <w:rFonts w:ascii="Symbol" w:hAnsi="Symbol" w:hint="default"/>
      </w:rPr>
    </w:lvl>
    <w:lvl w:ilvl="4" w:tplc="38009F20" w:tentative="1">
      <w:start w:val="1"/>
      <w:numFmt w:val="bullet"/>
      <w:lvlText w:val="o"/>
      <w:lvlJc w:val="left"/>
      <w:pPr>
        <w:ind w:left="3742" w:hanging="360"/>
      </w:pPr>
      <w:rPr>
        <w:rFonts w:ascii="Courier New" w:hAnsi="Courier New" w:cs="Courier New" w:hint="default"/>
      </w:rPr>
    </w:lvl>
    <w:lvl w:ilvl="5" w:tplc="0FC8ECFA" w:tentative="1">
      <w:start w:val="1"/>
      <w:numFmt w:val="bullet"/>
      <w:lvlText w:val=""/>
      <w:lvlJc w:val="left"/>
      <w:pPr>
        <w:ind w:left="4462" w:hanging="360"/>
      </w:pPr>
      <w:rPr>
        <w:rFonts w:ascii="Wingdings" w:hAnsi="Wingdings" w:hint="default"/>
      </w:rPr>
    </w:lvl>
    <w:lvl w:ilvl="6" w:tplc="FB58F00E" w:tentative="1">
      <w:start w:val="1"/>
      <w:numFmt w:val="bullet"/>
      <w:lvlText w:val=""/>
      <w:lvlJc w:val="left"/>
      <w:pPr>
        <w:ind w:left="5182" w:hanging="360"/>
      </w:pPr>
      <w:rPr>
        <w:rFonts w:ascii="Symbol" w:hAnsi="Symbol" w:hint="default"/>
      </w:rPr>
    </w:lvl>
    <w:lvl w:ilvl="7" w:tplc="E5BC2274" w:tentative="1">
      <w:start w:val="1"/>
      <w:numFmt w:val="bullet"/>
      <w:lvlText w:val="o"/>
      <w:lvlJc w:val="left"/>
      <w:pPr>
        <w:ind w:left="5902" w:hanging="360"/>
      </w:pPr>
      <w:rPr>
        <w:rFonts w:ascii="Courier New" w:hAnsi="Courier New" w:cs="Courier New" w:hint="default"/>
      </w:rPr>
    </w:lvl>
    <w:lvl w:ilvl="8" w:tplc="3D764544" w:tentative="1">
      <w:start w:val="1"/>
      <w:numFmt w:val="bullet"/>
      <w:lvlText w:val=""/>
      <w:lvlJc w:val="left"/>
      <w:pPr>
        <w:ind w:left="6622" w:hanging="360"/>
      </w:pPr>
      <w:rPr>
        <w:rFonts w:ascii="Wingdings" w:hAnsi="Wingdings" w:hint="default"/>
      </w:rPr>
    </w:lvl>
  </w:abstractNum>
  <w:abstractNum w:abstractNumId="59" w15:restartNumberingAfterBreak="0">
    <w:nsid w:val="3EA9175F"/>
    <w:multiLevelType w:val="hybridMultilevel"/>
    <w:tmpl w:val="BCACBD22"/>
    <w:styleLink w:val="Style24"/>
    <w:lvl w:ilvl="0" w:tplc="D24C65FA">
      <w:start w:val="1"/>
      <w:numFmt w:val="decimal"/>
      <w:lvlText w:val="%1."/>
      <w:lvlJc w:val="left"/>
      <w:pPr>
        <w:ind w:left="36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F363292"/>
    <w:multiLevelType w:val="hybridMultilevel"/>
    <w:tmpl w:val="7458B5CA"/>
    <w:lvl w:ilvl="0" w:tplc="1DC43F1A">
      <w:start w:val="1"/>
      <w:numFmt w:val="bullet"/>
      <w:lvlText w:val=""/>
      <w:lvlJc w:val="left"/>
      <w:pPr>
        <w:tabs>
          <w:tab w:val="num" w:pos="360"/>
        </w:tabs>
        <w:ind w:left="360" w:hanging="360"/>
      </w:pPr>
      <w:rPr>
        <w:rFonts w:ascii="Wingdings" w:hAnsi="Wingdings" w:hint="default"/>
        <w:color w:val="4BACC6" w:themeColor="accent5"/>
        <w:sz w:val="28"/>
      </w:rPr>
    </w:lvl>
    <w:lvl w:ilvl="1" w:tplc="3E2EF2FC">
      <w:start w:val="9"/>
      <w:numFmt w:val="bullet"/>
      <w:lvlText w:val="-"/>
      <w:lvlJc w:val="left"/>
      <w:pPr>
        <w:ind w:left="21" w:hanging="360"/>
      </w:pPr>
      <w:rPr>
        <w:rFonts w:ascii="Arial" w:eastAsia="Times New Roman" w:hAnsi="Arial" w:cs="Arial" w:hint="default"/>
      </w:rPr>
    </w:lvl>
    <w:lvl w:ilvl="2" w:tplc="6B38BFF8">
      <w:start w:val="1"/>
      <w:numFmt w:val="bullet"/>
      <w:lvlText w:val=""/>
      <w:lvlJc w:val="left"/>
      <w:pPr>
        <w:ind w:left="741" w:hanging="360"/>
      </w:pPr>
      <w:rPr>
        <w:rFonts w:ascii="Wingdings" w:hAnsi="Wingdings" w:hint="default"/>
      </w:rPr>
    </w:lvl>
    <w:lvl w:ilvl="3" w:tplc="2938B998">
      <w:start w:val="1"/>
      <w:numFmt w:val="bullet"/>
      <w:lvlText w:val=""/>
      <w:lvlJc w:val="left"/>
      <w:pPr>
        <w:ind w:left="1461" w:hanging="360"/>
      </w:pPr>
      <w:rPr>
        <w:rFonts w:ascii="Symbol" w:hAnsi="Symbol" w:hint="default"/>
      </w:rPr>
    </w:lvl>
    <w:lvl w:ilvl="4" w:tplc="8B12A3B8">
      <w:start w:val="1"/>
      <w:numFmt w:val="bullet"/>
      <w:lvlText w:val="o"/>
      <w:lvlJc w:val="left"/>
      <w:pPr>
        <w:ind w:left="2181" w:hanging="360"/>
      </w:pPr>
      <w:rPr>
        <w:rFonts w:ascii="Courier New" w:hAnsi="Courier New" w:cs="Courier New" w:hint="default"/>
      </w:rPr>
    </w:lvl>
    <w:lvl w:ilvl="5" w:tplc="65F02472">
      <w:start w:val="1"/>
      <w:numFmt w:val="bullet"/>
      <w:lvlText w:val=""/>
      <w:lvlJc w:val="left"/>
      <w:pPr>
        <w:ind w:left="2901" w:hanging="360"/>
      </w:pPr>
      <w:rPr>
        <w:rFonts w:ascii="Wingdings" w:hAnsi="Wingdings" w:hint="default"/>
      </w:rPr>
    </w:lvl>
    <w:lvl w:ilvl="6" w:tplc="75D27634">
      <w:start w:val="1"/>
      <w:numFmt w:val="bullet"/>
      <w:lvlText w:val=""/>
      <w:lvlJc w:val="left"/>
      <w:pPr>
        <w:ind w:left="3621" w:hanging="360"/>
      </w:pPr>
      <w:rPr>
        <w:rFonts w:ascii="Symbol" w:hAnsi="Symbol" w:hint="default"/>
      </w:rPr>
    </w:lvl>
    <w:lvl w:ilvl="7" w:tplc="3960A6D0">
      <w:start w:val="1"/>
      <w:numFmt w:val="bullet"/>
      <w:lvlText w:val="o"/>
      <w:lvlJc w:val="left"/>
      <w:pPr>
        <w:ind w:left="4341" w:hanging="360"/>
      </w:pPr>
      <w:rPr>
        <w:rFonts w:ascii="Courier New" w:hAnsi="Courier New" w:cs="Courier New" w:hint="default"/>
      </w:rPr>
    </w:lvl>
    <w:lvl w:ilvl="8" w:tplc="0BB0E1BE" w:tentative="1">
      <w:start w:val="1"/>
      <w:numFmt w:val="bullet"/>
      <w:lvlText w:val=""/>
      <w:lvlJc w:val="left"/>
      <w:pPr>
        <w:ind w:left="5061" w:hanging="360"/>
      </w:pPr>
      <w:rPr>
        <w:rFonts w:ascii="Wingdings" w:hAnsi="Wingdings" w:hint="default"/>
      </w:rPr>
    </w:lvl>
  </w:abstractNum>
  <w:abstractNum w:abstractNumId="61" w15:restartNumberingAfterBreak="0">
    <w:nsid w:val="41CB533C"/>
    <w:multiLevelType w:val="multilevel"/>
    <w:tmpl w:val="88AC9ED2"/>
    <w:lvl w:ilvl="0">
      <w:start w:val="1"/>
      <w:numFmt w:val="decimal"/>
      <w:lvlText w:val="%1."/>
      <w:lvlJc w:val="left"/>
      <w:pPr>
        <w:ind w:left="360" w:hanging="360"/>
      </w:pPr>
      <w:rPr>
        <w:rFonts w:hint="default"/>
        <w:b/>
      </w:rPr>
    </w:lvl>
    <w:lvl w:ilvl="1">
      <w:start w:val="1"/>
      <w:numFmt w:val="decimal"/>
      <w:suff w:val="space"/>
      <w:lvlText w:val="%1.%2"/>
      <w:lvlJc w:val="left"/>
      <w:pPr>
        <w:ind w:left="4188" w:hanging="360"/>
      </w:pPr>
      <w:rPr>
        <w:rFonts w:ascii="Arial" w:hAnsi="Arial" w:cs="Arial" w:hint="default"/>
        <w:b/>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62" w15:restartNumberingAfterBreak="0">
    <w:nsid w:val="42B02DF1"/>
    <w:multiLevelType w:val="hybridMultilevel"/>
    <w:tmpl w:val="5FC0E7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44F37426"/>
    <w:multiLevelType w:val="hybridMultilevel"/>
    <w:tmpl w:val="657478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451738FE"/>
    <w:multiLevelType w:val="hybridMultilevel"/>
    <w:tmpl w:val="6C0CA4B2"/>
    <w:lvl w:ilvl="0" w:tplc="1DC43F1A">
      <w:start w:val="1"/>
      <w:numFmt w:val="bullet"/>
      <w:lvlText w:val=""/>
      <w:lvlJc w:val="left"/>
      <w:pPr>
        <w:ind w:left="720" w:hanging="360"/>
      </w:pPr>
      <w:rPr>
        <w:rFonts w:ascii="Wingdings" w:hAnsi="Wingdings" w:hint="default"/>
        <w:color w:val="4BACC6" w:themeColor="accent5"/>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5354C95"/>
    <w:multiLevelType w:val="hybridMultilevel"/>
    <w:tmpl w:val="269A4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475A796F"/>
    <w:multiLevelType w:val="hybridMultilevel"/>
    <w:tmpl w:val="EE328F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87D31C8"/>
    <w:multiLevelType w:val="hybridMultilevel"/>
    <w:tmpl w:val="6C78A2C8"/>
    <w:styleLink w:val="CurrentList24"/>
    <w:lvl w:ilvl="0" w:tplc="77F6B5E2">
      <w:start w:val="1"/>
      <w:numFmt w:val="bullet"/>
      <w:pStyle w:val="Bullets1stindent"/>
      <w:lvlText w:val=""/>
      <w:lvlJc w:val="left"/>
      <w:pPr>
        <w:ind w:left="720" w:hanging="360"/>
      </w:pPr>
      <w:rPr>
        <w:rFonts w:ascii="Symbol" w:hAnsi="Symbol" w:hint="default"/>
      </w:rPr>
    </w:lvl>
    <w:lvl w:ilvl="1" w:tplc="0C090017">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68" w15:restartNumberingAfterBreak="0">
    <w:nsid w:val="48D85A0A"/>
    <w:multiLevelType w:val="hybridMultilevel"/>
    <w:tmpl w:val="0B96CBC2"/>
    <w:lvl w:ilvl="0" w:tplc="26E464D4">
      <w:start w:val="1"/>
      <w:numFmt w:val="decimal"/>
      <w:lvlText w:val="%1."/>
      <w:lvlJc w:val="left"/>
      <w:pPr>
        <w:ind w:left="360" w:hanging="360"/>
      </w:pPr>
      <w:rPr>
        <w:rFonts w:hint="default"/>
        <w:sz w:val="18"/>
        <w:szCs w:val="18"/>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A4E5F59"/>
    <w:multiLevelType w:val="hybridMultilevel"/>
    <w:tmpl w:val="53241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B45690C"/>
    <w:multiLevelType w:val="multilevel"/>
    <w:tmpl w:val="E37458BA"/>
    <w:lvl w:ilvl="0">
      <w:start w:val="1"/>
      <w:numFmt w:val="bullet"/>
      <w:pStyle w:val="Bullet3"/>
      <w:lvlText w:val=""/>
      <w:lvlJc w:val="left"/>
      <w:pPr>
        <w:ind w:left="284" w:hanging="284"/>
      </w:pPr>
      <w:rPr>
        <w:rFonts w:ascii="Wingdings" w:hAnsi="Wingdings"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1" w15:restartNumberingAfterBreak="0">
    <w:nsid w:val="4F1523F7"/>
    <w:multiLevelType w:val="multilevel"/>
    <w:tmpl w:val="1C5C7DB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72" w15:restartNumberingAfterBreak="0">
    <w:nsid w:val="4FEB2D2D"/>
    <w:multiLevelType w:val="hybridMultilevel"/>
    <w:tmpl w:val="864693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26C2FAB"/>
    <w:multiLevelType w:val="multilevel"/>
    <w:tmpl w:val="B5808BBA"/>
    <w:lvl w:ilvl="0">
      <w:start w:val="1"/>
      <w:numFmt w:val="decimal"/>
      <w:lvlText w:val="%1."/>
      <w:lvlJc w:val="left"/>
      <w:pPr>
        <w:ind w:left="360" w:hanging="360"/>
      </w:pPr>
      <w:rPr>
        <w:rFonts w:hint="default"/>
        <w:b w:val="0"/>
        <w:i w:val="0"/>
        <w:vertAlign w:val="superscript"/>
      </w:rPr>
    </w:lvl>
    <w:lvl w:ilvl="1">
      <w:start w:val="1"/>
      <w:numFmt w:val="decimal"/>
      <w:isLgl/>
      <w:lvlText w:val="%1.%2"/>
      <w:lvlJc w:val="left"/>
      <w:pPr>
        <w:ind w:left="4188" w:hanging="360"/>
      </w:pPr>
      <w:rPr>
        <w:rFonts w:hint="default"/>
        <w:sz w:val="20"/>
      </w:rPr>
    </w:lvl>
    <w:lvl w:ilvl="2">
      <w:start w:val="1"/>
      <w:numFmt w:val="decimal"/>
      <w:isLgl/>
      <w:lvlText w:val="%1.%2.%3"/>
      <w:lvlJc w:val="left"/>
      <w:pPr>
        <w:ind w:left="8376" w:hanging="720"/>
      </w:pPr>
      <w:rPr>
        <w:rFonts w:hint="default"/>
        <w:sz w:val="20"/>
      </w:rPr>
    </w:lvl>
    <w:lvl w:ilvl="3">
      <w:start w:val="1"/>
      <w:numFmt w:val="decimal"/>
      <w:isLgl/>
      <w:lvlText w:val="%1.%2.%3.%4"/>
      <w:lvlJc w:val="left"/>
      <w:pPr>
        <w:ind w:left="12204" w:hanging="720"/>
      </w:pPr>
      <w:rPr>
        <w:rFonts w:hint="default"/>
        <w:sz w:val="20"/>
      </w:rPr>
    </w:lvl>
    <w:lvl w:ilvl="4">
      <w:start w:val="1"/>
      <w:numFmt w:val="decimal"/>
      <w:isLgl/>
      <w:lvlText w:val="%1.%2.%3.%4.%5"/>
      <w:lvlJc w:val="left"/>
      <w:pPr>
        <w:ind w:left="16392" w:hanging="1080"/>
      </w:pPr>
      <w:rPr>
        <w:rFonts w:hint="default"/>
        <w:sz w:val="20"/>
      </w:rPr>
    </w:lvl>
    <w:lvl w:ilvl="5">
      <w:start w:val="1"/>
      <w:numFmt w:val="decimal"/>
      <w:isLgl/>
      <w:lvlText w:val="%1.%2.%3.%4.%5.%6"/>
      <w:lvlJc w:val="left"/>
      <w:pPr>
        <w:ind w:left="20220" w:hanging="1080"/>
      </w:pPr>
      <w:rPr>
        <w:rFonts w:hint="default"/>
        <w:sz w:val="20"/>
      </w:rPr>
    </w:lvl>
    <w:lvl w:ilvl="6">
      <w:start w:val="1"/>
      <w:numFmt w:val="decimal"/>
      <w:isLgl/>
      <w:lvlText w:val="%1.%2.%3.%4.%5.%6.%7"/>
      <w:lvlJc w:val="left"/>
      <w:pPr>
        <w:ind w:left="24408" w:hanging="1440"/>
      </w:pPr>
      <w:rPr>
        <w:rFonts w:hint="default"/>
        <w:sz w:val="20"/>
      </w:rPr>
    </w:lvl>
    <w:lvl w:ilvl="7">
      <w:start w:val="1"/>
      <w:numFmt w:val="decimal"/>
      <w:isLgl/>
      <w:lvlText w:val="%1.%2.%3.%4.%5.%6.%7.%8"/>
      <w:lvlJc w:val="left"/>
      <w:pPr>
        <w:ind w:left="28236" w:hanging="1440"/>
      </w:pPr>
      <w:rPr>
        <w:rFonts w:hint="default"/>
        <w:sz w:val="20"/>
      </w:rPr>
    </w:lvl>
    <w:lvl w:ilvl="8">
      <w:start w:val="1"/>
      <w:numFmt w:val="decimal"/>
      <w:isLgl/>
      <w:lvlText w:val="%1.%2.%3.%4.%5.%6.%7.%8.%9"/>
      <w:lvlJc w:val="left"/>
      <w:pPr>
        <w:ind w:left="32424" w:hanging="1800"/>
      </w:pPr>
      <w:rPr>
        <w:rFonts w:hint="default"/>
        <w:sz w:val="20"/>
      </w:rPr>
    </w:lvl>
  </w:abstractNum>
  <w:abstractNum w:abstractNumId="74" w15:restartNumberingAfterBreak="0">
    <w:nsid w:val="52B521EB"/>
    <w:multiLevelType w:val="hybridMultilevel"/>
    <w:tmpl w:val="C338B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6F242BC"/>
    <w:multiLevelType w:val="hybridMultilevel"/>
    <w:tmpl w:val="B074CFF2"/>
    <w:lvl w:ilvl="0" w:tplc="1DC43F1A">
      <w:start w:val="1"/>
      <w:numFmt w:val="bullet"/>
      <w:lvlText w:val=""/>
      <w:lvlJc w:val="left"/>
      <w:pPr>
        <w:tabs>
          <w:tab w:val="num" w:pos="360"/>
        </w:tabs>
        <w:ind w:left="360" w:hanging="360"/>
      </w:pPr>
      <w:rPr>
        <w:rFonts w:ascii="Wingdings" w:hAnsi="Wingdings" w:hint="default"/>
        <w:color w:val="4BACC6" w:themeColor="accent5"/>
        <w:sz w:val="28"/>
      </w:rPr>
    </w:lvl>
    <w:lvl w:ilvl="1" w:tplc="3E2EF2FC">
      <w:start w:val="9"/>
      <w:numFmt w:val="bullet"/>
      <w:lvlText w:val="-"/>
      <w:lvlJc w:val="left"/>
      <w:pPr>
        <w:ind w:left="21" w:hanging="360"/>
      </w:pPr>
      <w:rPr>
        <w:rFonts w:ascii="Arial" w:eastAsia="Times New Roman" w:hAnsi="Arial" w:cs="Arial" w:hint="default"/>
      </w:rPr>
    </w:lvl>
    <w:lvl w:ilvl="2" w:tplc="6B38BFF8">
      <w:start w:val="1"/>
      <w:numFmt w:val="bullet"/>
      <w:lvlText w:val=""/>
      <w:lvlJc w:val="left"/>
      <w:pPr>
        <w:ind w:left="741" w:hanging="360"/>
      </w:pPr>
      <w:rPr>
        <w:rFonts w:ascii="Wingdings" w:hAnsi="Wingdings" w:hint="default"/>
      </w:rPr>
    </w:lvl>
    <w:lvl w:ilvl="3" w:tplc="2938B998">
      <w:start w:val="1"/>
      <w:numFmt w:val="bullet"/>
      <w:lvlText w:val=""/>
      <w:lvlJc w:val="left"/>
      <w:pPr>
        <w:ind w:left="1461" w:hanging="360"/>
      </w:pPr>
      <w:rPr>
        <w:rFonts w:ascii="Symbol" w:hAnsi="Symbol" w:hint="default"/>
      </w:rPr>
    </w:lvl>
    <w:lvl w:ilvl="4" w:tplc="8B12A3B8">
      <w:start w:val="1"/>
      <w:numFmt w:val="bullet"/>
      <w:lvlText w:val="o"/>
      <w:lvlJc w:val="left"/>
      <w:pPr>
        <w:ind w:left="2181" w:hanging="360"/>
      </w:pPr>
      <w:rPr>
        <w:rFonts w:ascii="Courier New" w:hAnsi="Courier New" w:cs="Courier New" w:hint="default"/>
      </w:rPr>
    </w:lvl>
    <w:lvl w:ilvl="5" w:tplc="65F02472">
      <w:start w:val="1"/>
      <w:numFmt w:val="bullet"/>
      <w:lvlText w:val=""/>
      <w:lvlJc w:val="left"/>
      <w:pPr>
        <w:ind w:left="2901" w:hanging="360"/>
      </w:pPr>
      <w:rPr>
        <w:rFonts w:ascii="Wingdings" w:hAnsi="Wingdings" w:hint="default"/>
      </w:rPr>
    </w:lvl>
    <w:lvl w:ilvl="6" w:tplc="75D27634">
      <w:start w:val="1"/>
      <w:numFmt w:val="bullet"/>
      <w:lvlText w:val=""/>
      <w:lvlJc w:val="left"/>
      <w:pPr>
        <w:ind w:left="3621" w:hanging="360"/>
      </w:pPr>
      <w:rPr>
        <w:rFonts w:ascii="Symbol" w:hAnsi="Symbol" w:hint="default"/>
      </w:rPr>
    </w:lvl>
    <w:lvl w:ilvl="7" w:tplc="3960A6D0">
      <w:start w:val="1"/>
      <w:numFmt w:val="bullet"/>
      <w:lvlText w:val="o"/>
      <w:lvlJc w:val="left"/>
      <w:pPr>
        <w:ind w:left="4341" w:hanging="360"/>
      </w:pPr>
      <w:rPr>
        <w:rFonts w:ascii="Courier New" w:hAnsi="Courier New" w:cs="Courier New" w:hint="default"/>
      </w:rPr>
    </w:lvl>
    <w:lvl w:ilvl="8" w:tplc="0BB0E1BE" w:tentative="1">
      <w:start w:val="1"/>
      <w:numFmt w:val="bullet"/>
      <w:lvlText w:val=""/>
      <w:lvlJc w:val="left"/>
      <w:pPr>
        <w:ind w:left="5061" w:hanging="360"/>
      </w:pPr>
      <w:rPr>
        <w:rFonts w:ascii="Wingdings" w:hAnsi="Wingdings" w:hint="default"/>
      </w:rPr>
    </w:lvl>
  </w:abstractNum>
  <w:abstractNum w:abstractNumId="76" w15:restartNumberingAfterBreak="0">
    <w:nsid w:val="57D016A8"/>
    <w:multiLevelType w:val="multilevel"/>
    <w:tmpl w:val="B8121D72"/>
    <w:lvl w:ilvl="0">
      <w:start w:val="7"/>
      <w:numFmt w:val="decimal"/>
      <w:lvlText w:val="%1"/>
      <w:lvlJc w:val="left"/>
      <w:pPr>
        <w:ind w:left="360" w:hanging="360"/>
      </w:pPr>
      <w:rPr>
        <w:rFonts w:hint="default"/>
      </w:rPr>
    </w:lvl>
    <w:lvl w:ilvl="1">
      <w:start w:val="2"/>
      <w:numFmt w:val="decimal"/>
      <w:lvlText w:val="%1.%2"/>
      <w:lvlJc w:val="left"/>
      <w:pPr>
        <w:ind w:left="4548" w:hanging="360"/>
      </w:pPr>
      <w:rPr>
        <w:rFonts w:hint="default"/>
      </w:rPr>
    </w:lvl>
    <w:lvl w:ilvl="2">
      <w:start w:val="1"/>
      <w:numFmt w:val="decimal"/>
      <w:lvlText w:val="%1.%2.%3"/>
      <w:lvlJc w:val="left"/>
      <w:pPr>
        <w:ind w:left="9096" w:hanging="720"/>
      </w:pPr>
      <w:rPr>
        <w:rFonts w:hint="default"/>
      </w:rPr>
    </w:lvl>
    <w:lvl w:ilvl="3">
      <w:start w:val="1"/>
      <w:numFmt w:val="decimal"/>
      <w:lvlText w:val="%1.%2.%3.%4"/>
      <w:lvlJc w:val="left"/>
      <w:pPr>
        <w:ind w:left="13284" w:hanging="720"/>
      </w:pPr>
      <w:rPr>
        <w:rFonts w:hint="default"/>
      </w:rPr>
    </w:lvl>
    <w:lvl w:ilvl="4">
      <w:start w:val="1"/>
      <w:numFmt w:val="decimal"/>
      <w:lvlText w:val="%1.%2.%3.%4.%5"/>
      <w:lvlJc w:val="left"/>
      <w:pPr>
        <w:ind w:left="17832" w:hanging="1080"/>
      </w:pPr>
      <w:rPr>
        <w:rFonts w:hint="default"/>
      </w:rPr>
    </w:lvl>
    <w:lvl w:ilvl="5">
      <w:start w:val="1"/>
      <w:numFmt w:val="decimal"/>
      <w:lvlText w:val="%1.%2.%3.%4.%5.%6"/>
      <w:lvlJc w:val="left"/>
      <w:pPr>
        <w:ind w:left="22020" w:hanging="1080"/>
      </w:pPr>
      <w:rPr>
        <w:rFonts w:hint="default"/>
      </w:rPr>
    </w:lvl>
    <w:lvl w:ilvl="6">
      <w:start w:val="1"/>
      <w:numFmt w:val="decimal"/>
      <w:lvlText w:val="%1.%2.%3.%4.%5.%6.%7"/>
      <w:lvlJc w:val="left"/>
      <w:pPr>
        <w:ind w:left="26568" w:hanging="1440"/>
      </w:pPr>
      <w:rPr>
        <w:rFonts w:hint="default"/>
      </w:rPr>
    </w:lvl>
    <w:lvl w:ilvl="7">
      <w:start w:val="1"/>
      <w:numFmt w:val="decimal"/>
      <w:lvlText w:val="%1.%2.%3.%4.%5.%6.%7.%8"/>
      <w:lvlJc w:val="left"/>
      <w:pPr>
        <w:ind w:left="30756" w:hanging="1440"/>
      </w:pPr>
      <w:rPr>
        <w:rFonts w:hint="default"/>
      </w:rPr>
    </w:lvl>
    <w:lvl w:ilvl="8">
      <w:start w:val="1"/>
      <w:numFmt w:val="decimal"/>
      <w:lvlText w:val="%1.%2.%3.%4.%5.%6.%7.%8.%9"/>
      <w:lvlJc w:val="left"/>
      <w:pPr>
        <w:ind w:left="-30232" w:hanging="1800"/>
      </w:pPr>
      <w:rPr>
        <w:rFonts w:hint="default"/>
      </w:rPr>
    </w:lvl>
  </w:abstractNum>
  <w:abstractNum w:abstractNumId="77" w15:restartNumberingAfterBreak="0">
    <w:nsid w:val="57F10DEE"/>
    <w:multiLevelType w:val="hybridMultilevel"/>
    <w:tmpl w:val="37E6F7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85F6A5F"/>
    <w:multiLevelType w:val="multilevel"/>
    <w:tmpl w:val="EC947300"/>
    <w:lvl w:ilvl="0">
      <w:start w:val="1"/>
      <w:numFmt w:val="decimal"/>
      <w:pStyle w:val="NotesHeading-Level1"/>
      <w:lvlText w:val="Note %1: "/>
      <w:lvlJc w:val="left"/>
      <w:pPr>
        <w:tabs>
          <w:tab w:val="num" w:pos="851"/>
        </w:tabs>
        <w:ind w:left="1134" w:hanging="1134"/>
      </w:pPr>
      <w:rPr>
        <w:rFonts w:ascii="Arial Bold" w:hAnsi="Arial Bold" w:cs="Times New Roman" w:hint="default"/>
        <w:b/>
        <w:bCs w:val="0"/>
        <w:i w:val="0"/>
        <w:iCs w:val="0"/>
        <w:caps w:val="0"/>
        <w:smallCaps w:val="0"/>
        <w:strike w:val="0"/>
        <w:dstrike w:val="0"/>
        <w:noProof w:val="0"/>
        <w:vanish w:val="0"/>
        <w:webHidden w:val="0"/>
        <w:color w:val="auto"/>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NotesHeading-Level2"/>
      <w:lvlText w:val="Note %1%2: "/>
      <w:lvlJc w:val="left"/>
      <w:pPr>
        <w:tabs>
          <w:tab w:val="num" w:pos="851"/>
        </w:tabs>
        <w:ind w:left="1532" w:hanging="1532"/>
      </w:pPr>
      <w:rPr>
        <w:rFonts w:ascii="Times New Roman" w:hAnsi="Times New Roman" w:cs="Times New Roman" w:hint="default"/>
        <w:b/>
        <w:i w:val="0"/>
        <w:color w:val="auto"/>
        <w:sz w:val="20"/>
        <w:szCs w:val="20"/>
        <w:u w:val="single"/>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9" w15:restartNumberingAfterBreak="0">
    <w:nsid w:val="59C10770"/>
    <w:multiLevelType w:val="hybridMultilevel"/>
    <w:tmpl w:val="21FC4C9C"/>
    <w:lvl w:ilvl="0" w:tplc="1DC43F1A">
      <w:start w:val="1"/>
      <w:numFmt w:val="bullet"/>
      <w:lvlText w:val=""/>
      <w:lvlJc w:val="left"/>
      <w:pPr>
        <w:tabs>
          <w:tab w:val="num" w:pos="360"/>
        </w:tabs>
        <w:ind w:left="360" w:hanging="360"/>
      </w:pPr>
      <w:rPr>
        <w:rFonts w:ascii="Wingdings" w:hAnsi="Wingdings" w:hint="default"/>
        <w:color w:val="4BACC6" w:themeColor="accent5"/>
        <w:sz w:val="28"/>
      </w:rPr>
    </w:lvl>
    <w:lvl w:ilvl="1" w:tplc="3E2EF2FC">
      <w:start w:val="9"/>
      <w:numFmt w:val="bullet"/>
      <w:lvlText w:val="-"/>
      <w:lvlJc w:val="left"/>
      <w:pPr>
        <w:ind w:left="21" w:hanging="360"/>
      </w:pPr>
      <w:rPr>
        <w:rFonts w:ascii="Arial" w:eastAsia="Times New Roman" w:hAnsi="Arial" w:cs="Arial" w:hint="default"/>
      </w:rPr>
    </w:lvl>
    <w:lvl w:ilvl="2" w:tplc="6B38BFF8">
      <w:start w:val="1"/>
      <w:numFmt w:val="bullet"/>
      <w:lvlText w:val=""/>
      <w:lvlJc w:val="left"/>
      <w:pPr>
        <w:ind w:left="741" w:hanging="360"/>
      </w:pPr>
      <w:rPr>
        <w:rFonts w:ascii="Wingdings" w:hAnsi="Wingdings" w:hint="default"/>
      </w:rPr>
    </w:lvl>
    <w:lvl w:ilvl="3" w:tplc="2938B998">
      <w:start w:val="1"/>
      <w:numFmt w:val="bullet"/>
      <w:lvlText w:val=""/>
      <w:lvlJc w:val="left"/>
      <w:pPr>
        <w:ind w:left="1461" w:hanging="360"/>
      </w:pPr>
      <w:rPr>
        <w:rFonts w:ascii="Symbol" w:hAnsi="Symbol" w:hint="default"/>
      </w:rPr>
    </w:lvl>
    <w:lvl w:ilvl="4" w:tplc="8B12A3B8">
      <w:start w:val="1"/>
      <w:numFmt w:val="bullet"/>
      <w:lvlText w:val="o"/>
      <w:lvlJc w:val="left"/>
      <w:pPr>
        <w:ind w:left="2181" w:hanging="360"/>
      </w:pPr>
      <w:rPr>
        <w:rFonts w:ascii="Courier New" w:hAnsi="Courier New" w:cs="Courier New" w:hint="default"/>
      </w:rPr>
    </w:lvl>
    <w:lvl w:ilvl="5" w:tplc="65F02472">
      <w:start w:val="1"/>
      <w:numFmt w:val="bullet"/>
      <w:lvlText w:val=""/>
      <w:lvlJc w:val="left"/>
      <w:pPr>
        <w:ind w:left="2901" w:hanging="360"/>
      </w:pPr>
      <w:rPr>
        <w:rFonts w:ascii="Wingdings" w:hAnsi="Wingdings" w:hint="default"/>
      </w:rPr>
    </w:lvl>
    <w:lvl w:ilvl="6" w:tplc="75D27634">
      <w:start w:val="1"/>
      <w:numFmt w:val="bullet"/>
      <w:lvlText w:val=""/>
      <w:lvlJc w:val="left"/>
      <w:pPr>
        <w:ind w:left="3621" w:hanging="360"/>
      </w:pPr>
      <w:rPr>
        <w:rFonts w:ascii="Symbol" w:hAnsi="Symbol" w:hint="default"/>
      </w:rPr>
    </w:lvl>
    <w:lvl w:ilvl="7" w:tplc="3960A6D0">
      <w:start w:val="1"/>
      <w:numFmt w:val="bullet"/>
      <w:lvlText w:val="o"/>
      <w:lvlJc w:val="left"/>
      <w:pPr>
        <w:ind w:left="4341" w:hanging="360"/>
      </w:pPr>
      <w:rPr>
        <w:rFonts w:ascii="Courier New" w:hAnsi="Courier New" w:cs="Courier New" w:hint="default"/>
      </w:rPr>
    </w:lvl>
    <w:lvl w:ilvl="8" w:tplc="0BB0E1BE" w:tentative="1">
      <w:start w:val="1"/>
      <w:numFmt w:val="bullet"/>
      <w:lvlText w:val=""/>
      <w:lvlJc w:val="left"/>
      <w:pPr>
        <w:ind w:left="5061" w:hanging="360"/>
      </w:pPr>
      <w:rPr>
        <w:rFonts w:ascii="Wingdings" w:hAnsi="Wingdings" w:hint="default"/>
      </w:rPr>
    </w:lvl>
  </w:abstractNum>
  <w:abstractNum w:abstractNumId="80" w15:restartNumberingAfterBreak="0">
    <w:nsid w:val="5B4C45F5"/>
    <w:multiLevelType w:val="hybridMultilevel"/>
    <w:tmpl w:val="9B467AE0"/>
    <w:lvl w:ilvl="0" w:tplc="1DC43F1A">
      <w:start w:val="1"/>
      <w:numFmt w:val="bullet"/>
      <w:lvlText w:val=""/>
      <w:lvlJc w:val="left"/>
      <w:pPr>
        <w:ind w:left="360" w:hanging="360"/>
      </w:pPr>
      <w:rPr>
        <w:rFonts w:ascii="Wingdings" w:hAnsi="Wingdings" w:hint="default"/>
        <w:color w:val="4BACC6" w:themeColor="accent5"/>
        <w:sz w:val="2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BC8525C"/>
    <w:multiLevelType w:val="hybridMultilevel"/>
    <w:tmpl w:val="858A75A6"/>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5C5037DA"/>
    <w:multiLevelType w:val="hybridMultilevel"/>
    <w:tmpl w:val="CCEE5346"/>
    <w:styleLink w:val="Numberedlist"/>
    <w:lvl w:ilvl="0" w:tplc="724C3ADE">
      <w:start w:val="1"/>
      <w:numFmt w:val="bullet"/>
      <w:pStyle w:val="Bullets3rdindent"/>
      <w:lvlText w:val="o"/>
      <w:lvlJc w:val="left"/>
      <w:pPr>
        <w:ind w:left="1996" w:hanging="360"/>
      </w:pPr>
      <w:rPr>
        <w:rFonts w:ascii="Courier New" w:hAnsi="Courier New" w:cs="Courier New"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83" w15:restartNumberingAfterBreak="0">
    <w:nsid w:val="5CC709B4"/>
    <w:multiLevelType w:val="hybridMultilevel"/>
    <w:tmpl w:val="A8346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E942F2E"/>
    <w:multiLevelType w:val="hybridMultilevel"/>
    <w:tmpl w:val="7780EFAE"/>
    <w:lvl w:ilvl="0" w:tplc="1DC43F1A">
      <w:start w:val="1"/>
      <w:numFmt w:val="bullet"/>
      <w:lvlText w:val=""/>
      <w:lvlJc w:val="left"/>
      <w:pPr>
        <w:ind w:left="720" w:hanging="360"/>
      </w:pPr>
      <w:rPr>
        <w:rFonts w:ascii="Wingdings" w:hAnsi="Wingdings" w:hint="default"/>
        <w:color w:val="4BACC6" w:themeColor="accent5"/>
        <w:sz w:val="2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5" w15:restartNumberingAfterBreak="0">
    <w:nsid w:val="5F7C5360"/>
    <w:multiLevelType w:val="hybridMultilevel"/>
    <w:tmpl w:val="7E26E0B2"/>
    <w:lvl w:ilvl="0" w:tplc="1DC43F1A">
      <w:start w:val="1"/>
      <w:numFmt w:val="bullet"/>
      <w:lvlText w:val=""/>
      <w:lvlJc w:val="left"/>
      <w:pPr>
        <w:tabs>
          <w:tab w:val="num" w:pos="360"/>
        </w:tabs>
        <w:ind w:left="360" w:hanging="360"/>
      </w:pPr>
      <w:rPr>
        <w:rFonts w:ascii="Wingdings" w:hAnsi="Wingdings" w:hint="default"/>
        <w:color w:val="4BACC6" w:themeColor="accent5"/>
        <w:sz w:val="28"/>
      </w:rPr>
    </w:lvl>
    <w:lvl w:ilvl="1" w:tplc="3E2EF2FC">
      <w:start w:val="9"/>
      <w:numFmt w:val="bullet"/>
      <w:lvlText w:val="-"/>
      <w:lvlJc w:val="left"/>
      <w:pPr>
        <w:ind w:left="21" w:hanging="360"/>
      </w:pPr>
      <w:rPr>
        <w:rFonts w:ascii="Arial" w:eastAsia="Times New Roman" w:hAnsi="Arial" w:cs="Arial" w:hint="default"/>
      </w:rPr>
    </w:lvl>
    <w:lvl w:ilvl="2" w:tplc="6B38BFF8">
      <w:start w:val="1"/>
      <w:numFmt w:val="bullet"/>
      <w:lvlText w:val=""/>
      <w:lvlJc w:val="left"/>
      <w:pPr>
        <w:ind w:left="741" w:hanging="360"/>
      </w:pPr>
      <w:rPr>
        <w:rFonts w:ascii="Wingdings" w:hAnsi="Wingdings" w:hint="default"/>
      </w:rPr>
    </w:lvl>
    <w:lvl w:ilvl="3" w:tplc="2938B998">
      <w:start w:val="1"/>
      <w:numFmt w:val="bullet"/>
      <w:lvlText w:val=""/>
      <w:lvlJc w:val="left"/>
      <w:pPr>
        <w:ind w:left="1461" w:hanging="360"/>
      </w:pPr>
      <w:rPr>
        <w:rFonts w:ascii="Symbol" w:hAnsi="Symbol" w:hint="default"/>
      </w:rPr>
    </w:lvl>
    <w:lvl w:ilvl="4" w:tplc="8B12A3B8">
      <w:start w:val="1"/>
      <w:numFmt w:val="bullet"/>
      <w:lvlText w:val="o"/>
      <w:lvlJc w:val="left"/>
      <w:pPr>
        <w:ind w:left="2181" w:hanging="360"/>
      </w:pPr>
      <w:rPr>
        <w:rFonts w:ascii="Courier New" w:hAnsi="Courier New" w:cs="Courier New" w:hint="default"/>
      </w:rPr>
    </w:lvl>
    <w:lvl w:ilvl="5" w:tplc="65F02472">
      <w:start w:val="1"/>
      <w:numFmt w:val="bullet"/>
      <w:lvlText w:val=""/>
      <w:lvlJc w:val="left"/>
      <w:pPr>
        <w:ind w:left="2901" w:hanging="360"/>
      </w:pPr>
      <w:rPr>
        <w:rFonts w:ascii="Wingdings" w:hAnsi="Wingdings" w:hint="default"/>
      </w:rPr>
    </w:lvl>
    <w:lvl w:ilvl="6" w:tplc="75D27634">
      <w:start w:val="1"/>
      <w:numFmt w:val="bullet"/>
      <w:lvlText w:val=""/>
      <w:lvlJc w:val="left"/>
      <w:pPr>
        <w:ind w:left="3621" w:hanging="360"/>
      </w:pPr>
      <w:rPr>
        <w:rFonts w:ascii="Symbol" w:hAnsi="Symbol" w:hint="default"/>
      </w:rPr>
    </w:lvl>
    <w:lvl w:ilvl="7" w:tplc="3960A6D0">
      <w:start w:val="1"/>
      <w:numFmt w:val="bullet"/>
      <w:lvlText w:val="o"/>
      <w:lvlJc w:val="left"/>
      <w:pPr>
        <w:ind w:left="4341" w:hanging="360"/>
      </w:pPr>
      <w:rPr>
        <w:rFonts w:ascii="Courier New" w:hAnsi="Courier New" w:cs="Courier New" w:hint="default"/>
      </w:rPr>
    </w:lvl>
    <w:lvl w:ilvl="8" w:tplc="0BB0E1BE" w:tentative="1">
      <w:start w:val="1"/>
      <w:numFmt w:val="bullet"/>
      <w:lvlText w:val=""/>
      <w:lvlJc w:val="left"/>
      <w:pPr>
        <w:ind w:left="5061" w:hanging="360"/>
      </w:pPr>
      <w:rPr>
        <w:rFonts w:ascii="Wingdings" w:hAnsi="Wingdings" w:hint="default"/>
      </w:rPr>
    </w:lvl>
  </w:abstractNum>
  <w:abstractNum w:abstractNumId="86" w15:restartNumberingAfterBreak="0">
    <w:nsid w:val="61D02C52"/>
    <w:multiLevelType w:val="hybridMultilevel"/>
    <w:tmpl w:val="03540004"/>
    <w:lvl w:ilvl="0" w:tplc="0A16282C">
      <w:start w:val="1"/>
      <w:numFmt w:val="decimal"/>
      <w:pStyle w:val="Style2"/>
      <w:lvlText w:val="%1."/>
      <w:lvlJc w:val="left"/>
      <w:pPr>
        <w:ind w:left="1070" w:hanging="360"/>
      </w:pPr>
      <w:rPr>
        <w:b/>
        <w:i w:val="0"/>
      </w:rPr>
    </w:lvl>
    <w:lvl w:ilvl="1" w:tplc="0C090019">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87" w15:restartNumberingAfterBreak="0">
    <w:nsid w:val="63161D50"/>
    <w:multiLevelType w:val="hybridMultilevel"/>
    <w:tmpl w:val="8FEA9D6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8" w15:restartNumberingAfterBreak="0">
    <w:nsid w:val="63C54CE7"/>
    <w:multiLevelType w:val="hybridMultilevel"/>
    <w:tmpl w:val="21143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64085118"/>
    <w:multiLevelType w:val="hybridMultilevel"/>
    <w:tmpl w:val="B9A22A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67904C58"/>
    <w:multiLevelType w:val="hybridMultilevel"/>
    <w:tmpl w:val="432A275A"/>
    <w:lvl w:ilvl="0" w:tplc="EA2083FA">
      <w:start w:val="1"/>
      <w:numFmt w:val="decimal"/>
      <w:lvlText w:val="%1"/>
      <w:lvlJc w:val="left"/>
      <w:pPr>
        <w:ind w:left="360" w:hanging="360"/>
      </w:pPr>
      <w:rPr>
        <w:rFonts w:ascii="Arial" w:eastAsia="Times New Roman" w:hAnsi="Arial" w:cs="Arial" w:hint="default"/>
        <w:b w:val="0"/>
        <w:i w:val="0"/>
        <w:strike w:val="0"/>
        <w:dstrike w:val="0"/>
        <w:color w:val="000000"/>
        <w:sz w:val="18"/>
        <w:szCs w:val="18"/>
        <w:u w:val="none" w:color="000000"/>
        <w:bdr w:val="none" w:sz="0" w:space="0" w:color="auto"/>
        <w:shd w:val="clear" w:color="auto" w:fill="auto"/>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1" w15:restartNumberingAfterBreak="0">
    <w:nsid w:val="686F2D80"/>
    <w:multiLevelType w:val="hybridMultilevel"/>
    <w:tmpl w:val="A47CC272"/>
    <w:lvl w:ilvl="0" w:tplc="8592AF2A">
      <w:numFmt w:val="bullet"/>
      <w:lvlText w:val="-"/>
      <w:lvlJc w:val="left"/>
      <w:pPr>
        <w:ind w:left="720" w:hanging="360"/>
      </w:pPr>
      <w:rPr>
        <w:rFonts w:ascii="Arial" w:eastAsia="Times New Roman" w:hAnsi="Arial" w:cs="Arial" w:hint="default"/>
      </w:rPr>
    </w:lvl>
    <w:lvl w:ilvl="1" w:tplc="8592AF2A">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9070C65"/>
    <w:multiLevelType w:val="hybridMultilevel"/>
    <w:tmpl w:val="20FE02B0"/>
    <w:lvl w:ilvl="0" w:tplc="0C090001">
      <w:start w:val="1"/>
      <w:numFmt w:val="bullet"/>
      <w:lvlText w:val=""/>
      <w:lvlJc w:val="left"/>
      <w:pPr>
        <w:ind w:left="360" w:hanging="360"/>
      </w:pPr>
      <w:rPr>
        <w:rFonts w:ascii="Symbol" w:hAnsi="Symbol" w:hint="default"/>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6A575815"/>
    <w:multiLevelType w:val="hybridMultilevel"/>
    <w:tmpl w:val="DF4E78F4"/>
    <w:lvl w:ilvl="0" w:tplc="8592AF2A">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4" w15:restartNumberingAfterBreak="0">
    <w:nsid w:val="6B810C0B"/>
    <w:multiLevelType w:val="multilevel"/>
    <w:tmpl w:val="54B87FD8"/>
    <w:lvl w:ilvl="0">
      <w:start w:val="2"/>
      <w:numFmt w:val="decimal"/>
      <w:lvlText w:val="%1"/>
      <w:lvlJc w:val="left"/>
      <w:pPr>
        <w:ind w:left="360" w:hanging="360"/>
      </w:pPr>
      <w:rPr>
        <w:rFonts w:hint="default"/>
      </w:rPr>
    </w:lvl>
    <w:lvl w:ilvl="1">
      <w:start w:val="1"/>
      <w:numFmt w:val="decimal"/>
      <w:lvlText w:val="%1.%2"/>
      <w:lvlJc w:val="left"/>
      <w:pPr>
        <w:ind w:left="4188" w:hanging="360"/>
      </w:pPr>
      <w:rPr>
        <w:rFonts w:hint="default"/>
      </w:rPr>
    </w:lvl>
    <w:lvl w:ilvl="2">
      <w:start w:val="1"/>
      <w:numFmt w:val="decimal"/>
      <w:lvlText w:val="%1.%2.%3"/>
      <w:lvlJc w:val="left"/>
      <w:pPr>
        <w:ind w:left="8376" w:hanging="720"/>
      </w:pPr>
      <w:rPr>
        <w:rFonts w:hint="default"/>
      </w:rPr>
    </w:lvl>
    <w:lvl w:ilvl="3">
      <w:start w:val="1"/>
      <w:numFmt w:val="decimal"/>
      <w:lvlText w:val="%1.%2.%3.%4"/>
      <w:lvlJc w:val="left"/>
      <w:pPr>
        <w:ind w:left="12204" w:hanging="720"/>
      </w:pPr>
      <w:rPr>
        <w:rFonts w:hint="default"/>
      </w:rPr>
    </w:lvl>
    <w:lvl w:ilvl="4">
      <w:start w:val="1"/>
      <w:numFmt w:val="decimal"/>
      <w:lvlText w:val="%1.%2.%3.%4.%5"/>
      <w:lvlJc w:val="left"/>
      <w:pPr>
        <w:ind w:left="16392" w:hanging="1080"/>
      </w:pPr>
      <w:rPr>
        <w:rFonts w:hint="default"/>
      </w:rPr>
    </w:lvl>
    <w:lvl w:ilvl="5">
      <w:start w:val="1"/>
      <w:numFmt w:val="decimal"/>
      <w:lvlText w:val="%1.%2.%3.%4.%5.%6"/>
      <w:lvlJc w:val="left"/>
      <w:pPr>
        <w:ind w:left="20220" w:hanging="1080"/>
      </w:pPr>
      <w:rPr>
        <w:rFonts w:hint="default"/>
      </w:rPr>
    </w:lvl>
    <w:lvl w:ilvl="6">
      <w:start w:val="1"/>
      <w:numFmt w:val="decimal"/>
      <w:lvlText w:val="%1.%2.%3.%4.%5.%6.%7"/>
      <w:lvlJc w:val="left"/>
      <w:pPr>
        <w:ind w:left="24408" w:hanging="1440"/>
      </w:pPr>
      <w:rPr>
        <w:rFonts w:hint="default"/>
      </w:rPr>
    </w:lvl>
    <w:lvl w:ilvl="7">
      <w:start w:val="1"/>
      <w:numFmt w:val="decimal"/>
      <w:lvlText w:val="%1.%2.%3.%4.%5.%6.%7.%8"/>
      <w:lvlJc w:val="left"/>
      <w:pPr>
        <w:ind w:left="28236" w:hanging="1440"/>
      </w:pPr>
      <w:rPr>
        <w:rFonts w:hint="default"/>
      </w:rPr>
    </w:lvl>
    <w:lvl w:ilvl="8">
      <w:start w:val="1"/>
      <w:numFmt w:val="decimal"/>
      <w:lvlText w:val="%1.%2.%3.%4.%5.%6.%7.%8.%9"/>
      <w:lvlJc w:val="left"/>
      <w:pPr>
        <w:ind w:left="32424" w:hanging="1800"/>
      </w:pPr>
      <w:rPr>
        <w:rFonts w:hint="default"/>
      </w:rPr>
    </w:lvl>
  </w:abstractNum>
  <w:abstractNum w:abstractNumId="95" w15:restartNumberingAfterBreak="0">
    <w:nsid w:val="6C2D3E0A"/>
    <w:multiLevelType w:val="hybridMultilevel"/>
    <w:tmpl w:val="CAEEBC24"/>
    <w:styleLink w:val="CurrentList25"/>
    <w:lvl w:ilvl="0" w:tplc="D9820C54">
      <w:start w:val="1"/>
      <w:numFmt w:val="bullet"/>
      <w:pStyle w:val="ListBullet"/>
      <w:lvlText w:val="»"/>
      <w:lvlJc w:val="left"/>
      <w:pPr>
        <w:tabs>
          <w:tab w:val="num" w:pos="360"/>
        </w:tabs>
        <w:ind w:left="360" w:hanging="360"/>
      </w:pPr>
      <w:rPr>
        <w:rFonts w:ascii="Arial" w:hAnsi="Arial" w:hint="default"/>
        <w:sz w:val="20"/>
      </w:rPr>
    </w:lvl>
    <w:lvl w:ilvl="1" w:tplc="3E2EF2FC">
      <w:start w:val="9"/>
      <w:numFmt w:val="bullet"/>
      <w:lvlText w:val="-"/>
      <w:lvlJc w:val="left"/>
      <w:pPr>
        <w:ind w:left="21" w:hanging="360"/>
      </w:pPr>
      <w:rPr>
        <w:rFonts w:ascii="Arial" w:eastAsia="Times New Roman" w:hAnsi="Arial" w:cs="Arial" w:hint="default"/>
      </w:rPr>
    </w:lvl>
    <w:lvl w:ilvl="2" w:tplc="6B38BFF8">
      <w:start w:val="1"/>
      <w:numFmt w:val="bullet"/>
      <w:lvlText w:val=""/>
      <w:lvlJc w:val="left"/>
      <w:pPr>
        <w:ind w:left="741" w:hanging="360"/>
      </w:pPr>
      <w:rPr>
        <w:rFonts w:ascii="Wingdings" w:hAnsi="Wingdings" w:hint="default"/>
      </w:rPr>
    </w:lvl>
    <w:lvl w:ilvl="3" w:tplc="2938B998">
      <w:start w:val="1"/>
      <w:numFmt w:val="bullet"/>
      <w:lvlText w:val=""/>
      <w:lvlJc w:val="left"/>
      <w:pPr>
        <w:ind w:left="1461" w:hanging="360"/>
      </w:pPr>
      <w:rPr>
        <w:rFonts w:ascii="Symbol" w:hAnsi="Symbol" w:hint="default"/>
      </w:rPr>
    </w:lvl>
    <w:lvl w:ilvl="4" w:tplc="8B12A3B8">
      <w:start w:val="1"/>
      <w:numFmt w:val="bullet"/>
      <w:lvlText w:val="o"/>
      <w:lvlJc w:val="left"/>
      <w:pPr>
        <w:ind w:left="2181" w:hanging="360"/>
      </w:pPr>
      <w:rPr>
        <w:rFonts w:ascii="Courier New" w:hAnsi="Courier New" w:cs="Courier New" w:hint="default"/>
      </w:rPr>
    </w:lvl>
    <w:lvl w:ilvl="5" w:tplc="65F02472">
      <w:start w:val="1"/>
      <w:numFmt w:val="bullet"/>
      <w:lvlText w:val=""/>
      <w:lvlJc w:val="left"/>
      <w:pPr>
        <w:ind w:left="2901" w:hanging="360"/>
      </w:pPr>
      <w:rPr>
        <w:rFonts w:ascii="Wingdings" w:hAnsi="Wingdings" w:hint="default"/>
      </w:rPr>
    </w:lvl>
    <w:lvl w:ilvl="6" w:tplc="75D27634">
      <w:start w:val="1"/>
      <w:numFmt w:val="bullet"/>
      <w:lvlText w:val=""/>
      <w:lvlJc w:val="left"/>
      <w:pPr>
        <w:ind w:left="3621" w:hanging="360"/>
      </w:pPr>
      <w:rPr>
        <w:rFonts w:ascii="Symbol" w:hAnsi="Symbol" w:hint="default"/>
      </w:rPr>
    </w:lvl>
    <w:lvl w:ilvl="7" w:tplc="3960A6D0">
      <w:start w:val="1"/>
      <w:numFmt w:val="bullet"/>
      <w:lvlText w:val="o"/>
      <w:lvlJc w:val="left"/>
      <w:pPr>
        <w:ind w:left="4341" w:hanging="360"/>
      </w:pPr>
      <w:rPr>
        <w:rFonts w:ascii="Courier New" w:hAnsi="Courier New" w:cs="Courier New" w:hint="default"/>
      </w:rPr>
    </w:lvl>
    <w:lvl w:ilvl="8" w:tplc="0BB0E1BE" w:tentative="1">
      <w:start w:val="1"/>
      <w:numFmt w:val="bullet"/>
      <w:lvlText w:val=""/>
      <w:lvlJc w:val="left"/>
      <w:pPr>
        <w:ind w:left="5061" w:hanging="360"/>
      </w:pPr>
      <w:rPr>
        <w:rFonts w:ascii="Wingdings" w:hAnsi="Wingdings" w:hint="default"/>
      </w:rPr>
    </w:lvl>
  </w:abstractNum>
  <w:abstractNum w:abstractNumId="96" w15:restartNumberingAfterBreak="0">
    <w:nsid w:val="6F556C37"/>
    <w:multiLevelType w:val="hybridMultilevel"/>
    <w:tmpl w:val="AFFC0C7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7" w15:restartNumberingAfterBreak="0">
    <w:nsid w:val="6F637578"/>
    <w:multiLevelType w:val="hybridMultilevel"/>
    <w:tmpl w:val="86D8AF50"/>
    <w:lvl w:ilvl="0" w:tplc="1DC43F1A">
      <w:start w:val="1"/>
      <w:numFmt w:val="bullet"/>
      <w:lvlText w:val=""/>
      <w:lvlJc w:val="left"/>
      <w:pPr>
        <w:ind w:left="720" w:hanging="360"/>
      </w:pPr>
      <w:rPr>
        <w:rFonts w:ascii="Wingdings" w:hAnsi="Wingdings" w:hint="default"/>
        <w:color w:val="4BACC6" w:themeColor="accent5"/>
        <w:sz w:val="2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8" w15:restartNumberingAfterBreak="0">
    <w:nsid w:val="70A07F1C"/>
    <w:multiLevelType w:val="hybridMultilevel"/>
    <w:tmpl w:val="2EE8C2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71B16CAD"/>
    <w:multiLevelType w:val="hybridMultilevel"/>
    <w:tmpl w:val="0BE46A64"/>
    <w:lvl w:ilvl="0" w:tplc="6FF80D8A">
      <w:start w:val="1"/>
      <w:numFmt w:val="decimal"/>
      <w:lvlText w:val="%1."/>
      <w:lvlJc w:val="left"/>
      <w:pPr>
        <w:ind w:left="360" w:hanging="360"/>
      </w:pPr>
      <w:rPr>
        <w:rFonts w:hint="default"/>
        <w:sz w:val="18"/>
        <w:szCs w:val="18"/>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1FA5281"/>
    <w:multiLevelType w:val="multilevel"/>
    <w:tmpl w:val="52FE3B94"/>
    <w:styleLink w:val="CurrentList22"/>
    <w:lvl w:ilvl="0">
      <w:start w:val="1"/>
      <w:numFmt w:val="decimal"/>
      <w:pStyle w:val="Bulletsnumbers"/>
      <w:lvlText w:val="%1."/>
      <w:lvlJc w:val="left"/>
      <w:pPr>
        <w:tabs>
          <w:tab w:val="num" w:pos="284"/>
        </w:tabs>
        <w:ind w:left="284" w:hanging="284"/>
      </w:pPr>
      <w:rPr>
        <w:rFonts w:hint="default"/>
        <w:color w:val="auto"/>
      </w:rPr>
    </w:lvl>
    <w:lvl w:ilvl="1">
      <w:start w:val="1"/>
      <w:numFmt w:val="bullet"/>
      <w:lvlText w:val="•"/>
      <w:lvlJc w:val="left"/>
      <w:pPr>
        <w:tabs>
          <w:tab w:val="num" w:pos="567"/>
        </w:tabs>
        <w:ind w:left="567" w:hanging="283"/>
      </w:pPr>
      <w:rPr>
        <w:rFonts w:ascii="Cambria" w:hAnsi="Cambria" w:hint="default"/>
        <w:color w:val="C2B000"/>
      </w:rPr>
    </w:lvl>
    <w:lvl w:ilvl="2">
      <w:start w:val="1"/>
      <w:numFmt w:val="bullet"/>
      <w:lvlText w:val="•"/>
      <w:lvlJc w:val="left"/>
      <w:pPr>
        <w:tabs>
          <w:tab w:val="num" w:pos="284"/>
        </w:tabs>
        <w:ind w:left="284" w:hanging="284"/>
      </w:pPr>
      <w:rPr>
        <w:rFonts w:ascii="Cambria" w:hAnsi="Cambria" w:hint="default"/>
        <w:color w:val="C2B000"/>
      </w:rPr>
    </w:lvl>
    <w:lvl w:ilvl="3">
      <w:start w:val="1"/>
      <w:numFmt w:val="bullet"/>
      <w:lvlText w:val="•"/>
      <w:lvlJc w:val="left"/>
      <w:pPr>
        <w:tabs>
          <w:tab w:val="num" w:pos="567"/>
        </w:tabs>
        <w:ind w:left="567" w:hanging="283"/>
      </w:pPr>
      <w:rPr>
        <w:rFonts w:ascii="Cambria" w:hAnsi="Cambria" w:hint="default"/>
        <w:color w:val="C2B000"/>
      </w:rPr>
    </w:lvl>
    <w:lvl w:ilvl="4">
      <w:start w:val="1"/>
      <w:numFmt w:val="none"/>
      <w:lvlText w:val=""/>
      <w:lvlJc w:val="left"/>
      <w:pPr>
        <w:ind w:left="0" w:firstLine="0"/>
      </w:pPr>
      <w:rPr>
        <w:rFonts w:hint="default"/>
      </w:rPr>
    </w:lvl>
    <w:lvl w:ilvl="5">
      <w:start w:val="1"/>
      <w:numFmt w:val="bullet"/>
      <w:lvlText w:val="•"/>
      <w:lvlJc w:val="left"/>
      <w:pPr>
        <w:tabs>
          <w:tab w:val="num" w:pos="266"/>
        </w:tabs>
        <w:ind w:left="266" w:hanging="170"/>
      </w:pPr>
      <w:rPr>
        <w:rFonts w:ascii="Cambria" w:hAnsi="Cambria" w:hint="default"/>
        <w:color w:val="C2B000"/>
      </w:rPr>
    </w:lvl>
    <w:lvl w:ilvl="6">
      <w:start w:val="1"/>
      <w:numFmt w:val="bullet"/>
      <w:lvlText w:val="•"/>
      <w:lvlJc w:val="left"/>
      <w:pPr>
        <w:tabs>
          <w:tab w:val="num" w:pos="437"/>
        </w:tabs>
        <w:ind w:left="437" w:hanging="171"/>
      </w:pPr>
      <w:rPr>
        <w:rFonts w:ascii="Cambria" w:hAnsi="Cambria" w:hint="default"/>
        <w:color w:val="C2B000"/>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1" w15:restartNumberingAfterBreak="0">
    <w:nsid w:val="721D0F23"/>
    <w:multiLevelType w:val="hybridMultilevel"/>
    <w:tmpl w:val="DF02F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73107305"/>
    <w:multiLevelType w:val="hybridMultilevel"/>
    <w:tmpl w:val="2388773A"/>
    <w:styleLink w:val="BulletsList"/>
    <w:lvl w:ilvl="0" w:tplc="16F4EE5E">
      <w:start w:val="1"/>
      <w:numFmt w:val="bullet"/>
      <w:lvlText w:val=""/>
      <w:lvlJc w:val="left"/>
      <w:pPr>
        <w:ind w:left="720" w:hanging="360"/>
      </w:pPr>
      <w:rPr>
        <w:rFonts w:ascii="Symbol" w:hAnsi="Symbol" w:hint="default"/>
      </w:rPr>
    </w:lvl>
    <w:lvl w:ilvl="1" w:tplc="3AA2E938" w:tentative="1">
      <w:start w:val="1"/>
      <w:numFmt w:val="bullet"/>
      <w:lvlText w:val="o"/>
      <w:lvlJc w:val="left"/>
      <w:pPr>
        <w:ind w:left="1440" w:hanging="360"/>
      </w:pPr>
      <w:rPr>
        <w:rFonts w:ascii="Courier New" w:hAnsi="Courier New" w:cs="Courier New" w:hint="default"/>
      </w:rPr>
    </w:lvl>
    <w:lvl w:ilvl="2" w:tplc="9D16F326" w:tentative="1">
      <w:start w:val="1"/>
      <w:numFmt w:val="bullet"/>
      <w:lvlText w:val=""/>
      <w:lvlJc w:val="left"/>
      <w:pPr>
        <w:ind w:left="2160" w:hanging="360"/>
      </w:pPr>
      <w:rPr>
        <w:rFonts w:ascii="Wingdings" w:hAnsi="Wingdings" w:hint="default"/>
      </w:rPr>
    </w:lvl>
    <w:lvl w:ilvl="3" w:tplc="84A8892A" w:tentative="1">
      <w:start w:val="1"/>
      <w:numFmt w:val="bullet"/>
      <w:lvlText w:val=""/>
      <w:lvlJc w:val="left"/>
      <w:pPr>
        <w:ind w:left="2880" w:hanging="360"/>
      </w:pPr>
      <w:rPr>
        <w:rFonts w:ascii="Symbol" w:hAnsi="Symbol" w:hint="default"/>
      </w:rPr>
    </w:lvl>
    <w:lvl w:ilvl="4" w:tplc="99D899A2" w:tentative="1">
      <w:start w:val="1"/>
      <w:numFmt w:val="bullet"/>
      <w:lvlText w:val="o"/>
      <w:lvlJc w:val="left"/>
      <w:pPr>
        <w:ind w:left="3600" w:hanging="360"/>
      </w:pPr>
      <w:rPr>
        <w:rFonts w:ascii="Courier New" w:hAnsi="Courier New" w:cs="Courier New" w:hint="default"/>
      </w:rPr>
    </w:lvl>
    <w:lvl w:ilvl="5" w:tplc="4A086B92" w:tentative="1">
      <w:start w:val="1"/>
      <w:numFmt w:val="bullet"/>
      <w:lvlText w:val=""/>
      <w:lvlJc w:val="left"/>
      <w:pPr>
        <w:ind w:left="4320" w:hanging="360"/>
      </w:pPr>
      <w:rPr>
        <w:rFonts w:ascii="Wingdings" w:hAnsi="Wingdings" w:hint="default"/>
      </w:rPr>
    </w:lvl>
    <w:lvl w:ilvl="6" w:tplc="47887C16" w:tentative="1">
      <w:start w:val="1"/>
      <w:numFmt w:val="bullet"/>
      <w:lvlText w:val=""/>
      <w:lvlJc w:val="left"/>
      <w:pPr>
        <w:ind w:left="5040" w:hanging="360"/>
      </w:pPr>
      <w:rPr>
        <w:rFonts w:ascii="Symbol" w:hAnsi="Symbol" w:hint="default"/>
      </w:rPr>
    </w:lvl>
    <w:lvl w:ilvl="7" w:tplc="C71AE6CA" w:tentative="1">
      <w:start w:val="1"/>
      <w:numFmt w:val="bullet"/>
      <w:lvlText w:val="o"/>
      <w:lvlJc w:val="left"/>
      <w:pPr>
        <w:ind w:left="5760" w:hanging="360"/>
      </w:pPr>
      <w:rPr>
        <w:rFonts w:ascii="Courier New" w:hAnsi="Courier New" w:cs="Courier New" w:hint="default"/>
      </w:rPr>
    </w:lvl>
    <w:lvl w:ilvl="8" w:tplc="575CCC38" w:tentative="1">
      <w:start w:val="1"/>
      <w:numFmt w:val="bullet"/>
      <w:lvlText w:val=""/>
      <w:lvlJc w:val="left"/>
      <w:pPr>
        <w:ind w:left="6480" w:hanging="360"/>
      </w:pPr>
      <w:rPr>
        <w:rFonts w:ascii="Wingdings" w:hAnsi="Wingdings" w:hint="default"/>
      </w:rPr>
    </w:lvl>
  </w:abstractNum>
  <w:abstractNum w:abstractNumId="103" w15:restartNumberingAfterBreak="0">
    <w:nsid w:val="7454788F"/>
    <w:multiLevelType w:val="hybridMultilevel"/>
    <w:tmpl w:val="E780A5EA"/>
    <w:styleLink w:val="FigureTitles"/>
    <w:lvl w:ilvl="0" w:tplc="6F62922C">
      <w:start w:val="1"/>
      <w:numFmt w:val="bullet"/>
      <w:lvlText w:val="»"/>
      <w:lvlJc w:val="left"/>
      <w:pPr>
        <w:ind w:left="720" w:hanging="360"/>
      </w:pPr>
      <w:rPr>
        <w:rFonts w:ascii="Arial" w:hAnsi="Arial" w:cs="Times New Roman" w:hint="default"/>
        <w:sz w:val="20"/>
      </w:rPr>
    </w:lvl>
    <w:lvl w:ilvl="1" w:tplc="17D6D188" w:tentative="1">
      <w:start w:val="1"/>
      <w:numFmt w:val="bullet"/>
      <w:lvlText w:val="o"/>
      <w:lvlJc w:val="left"/>
      <w:pPr>
        <w:ind w:left="1440" w:hanging="360"/>
      </w:pPr>
      <w:rPr>
        <w:rFonts w:ascii="Courier New" w:hAnsi="Courier New" w:cs="Courier New" w:hint="default"/>
      </w:rPr>
    </w:lvl>
    <w:lvl w:ilvl="2" w:tplc="D9CAB204" w:tentative="1">
      <w:start w:val="1"/>
      <w:numFmt w:val="bullet"/>
      <w:lvlText w:val=""/>
      <w:lvlJc w:val="left"/>
      <w:pPr>
        <w:ind w:left="2160" w:hanging="360"/>
      </w:pPr>
      <w:rPr>
        <w:rFonts w:ascii="Wingdings" w:hAnsi="Wingdings" w:hint="default"/>
      </w:rPr>
    </w:lvl>
    <w:lvl w:ilvl="3" w:tplc="AF8E5960" w:tentative="1">
      <w:start w:val="1"/>
      <w:numFmt w:val="bullet"/>
      <w:lvlText w:val=""/>
      <w:lvlJc w:val="left"/>
      <w:pPr>
        <w:ind w:left="2880" w:hanging="360"/>
      </w:pPr>
      <w:rPr>
        <w:rFonts w:ascii="Symbol" w:hAnsi="Symbol" w:hint="default"/>
      </w:rPr>
    </w:lvl>
    <w:lvl w:ilvl="4" w:tplc="32DEF394" w:tentative="1">
      <w:start w:val="1"/>
      <w:numFmt w:val="bullet"/>
      <w:lvlText w:val="o"/>
      <w:lvlJc w:val="left"/>
      <w:pPr>
        <w:ind w:left="3600" w:hanging="360"/>
      </w:pPr>
      <w:rPr>
        <w:rFonts w:ascii="Courier New" w:hAnsi="Courier New" w:cs="Courier New" w:hint="default"/>
      </w:rPr>
    </w:lvl>
    <w:lvl w:ilvl="5" w:tplc="321A77A2" w:tentative="1">
      <w:start w:val="1"/>
      <w:numFmt w:val="bullet"/>
      <w:lvlText w:val=""/>
      <w:lvlJc w:val="left"/>
      <w:pPr>
        <w:ind w:left="4320" w:hanging="360"/>
      </w:pPr>
      <w:rPr>
        <w:rFonts w:ascii="Wingdings" w:hAnsi="Wingdings" w:hint="default"/>
      </w:rPr>
    </w:lvl>
    <w:lvl w:ilvl="6" w:tplc="053E7960" w:tentative="1">
      <w:start w:val="1"/>
      <w:numFmt w:val="bullet"/>
      <w:lvlText w:val=""/>
      <w:lvlJc w:val="left"/>
      <w:pPr>
        <w:ind w:left="5040" w:hanging="360"/>
      </w:pPr>
      <w:rPr>
        <w:rFonts w:ascii="Symbol" w:hAnsi="Symbol" w:hint="default"/>
      </w:rPr>
    </w:lvl>
    <w:lvl w:ilvl="7" w:tplc="E034DF7C" w:tentative="1">
      <w:start w:val="1"/>
      <w:numFmt w:val="bullet"/>
      <w:lvlText w:val="o"/>
      <w:lvlJc w:val="left"/>
      <w:pPr>
        <w:ind w:left="5760" w:hanging="360"/>
      </w:pPr>
      <w:rPr>
        <w:rFonts w:ascii="Courier New" w:hAnsi="Courier New" w:cs="Courier New" w:hint="default"/>
      </w:rPr>
    </w:lvl>
    <w:lvl w:ilvl="8" w:tplc="24F4E9BC" w:tentative="1">
      <w:start w:val="1"/>
      <w:numFmt w:val="bullet"/>
      <w:lvlText w:val=""/>
      <w:lvlJc w:val="left"/>
      <w:pPr>
        <w:ind w:left="6480" w:hanging="360"/>
      </w:pPr>
      <w:rPr>
        <w:rFonts w:ascii="Wingdings" w:hAnsi="Wingdings" w:hint="default"/>
      </w:rPr>
    </w:lvl>
  </w:abstractNum>
  <w:abstractNum w:abstractNumId="104" w15:restartNumberingAfterBreak="0">
    <w:nsid w:val="74676D9C"/>
    <w:multiLevelType w:val="hybridMultilevel"/>
    <w:tmpl w:val="5C242DAC"/>
    <w:lvl w:ilvl="0" w:tplc="8AD8E196">
      <w:start w:val="1"/>
      <w:numFmt w:val="bullet"/>
      <w:pStyle w:val="Tabletext-bullet"/>
      <w:lvlText w:val=""/>
      <w:lvlJc w:val="left"/>
      <w:pPr>
        <w:ind w:left="4188"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5" w15:restartNumberingAfterBreak="0">
    <w:nsid w:val="74702E90"/>
    <w:multiLevelType w:val="hybridMultilevel"/>
    <w:tmpl w:val="E6B2C294"/>
    <w:styleLink w:val="CurrentList16"/>
    <w:lvl w:ilvl="0" w:tplc="9AEA8F96">
      <w:start w:val="1"/>
      <w:numFmt w:val="bullet"/>
      <w:pStyle w:val="BulletsLevel1"/>
      <w:lvlText w:val="»"/>
      <w:lvlJc w:val="left"/>
      <w:pPr>
        <w:ind w:left="1440" w:hanging="360"/>
      </w:pPr>
      <w:rPr>
        <w:rFonts w:ascii="Arial" w:hAnsi="Arial" w:cs="Times New Roman"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06" w15:restartNumberingAfterBreak="0">
    <w:nsid w:val="75187DE8"/>
    <w:multiLevelType w:val="hybridMultilevel"/>
    <w:tmpl w:val="26F87E82"/>
    <w:lvl w:ilvl="0" w:tplc="1DC43F1A">
      <w:start w:val="1"/>
      <w:numFmt w:val="bullet"/>
      <w:lvlText w:val=""/>
      <w:lvlJc w:val="left"/>
      <w:pPr>
        <w:tabs>
          <w:tab w:val="num" w:pos="360"/>
        </w:tabs>
        <w:ind w:left="360" w:hanging="360"/>
      </w:pPr>
      <w:rPr>
        <w:rFonts w:ascii="Wingdings" w:hAnsi="Wingdings" w:hint="default"/>
        <w:color w:val="4BACC6" w:themeColor="accent5"/>
        <w:sz w:val="28"/>
      </w:rPr>
    </w:lvl>
    <w:lvl w:ilvl="1" w:tplc="3E2EF2FC">
      <w:start w:val="9"/>
      <w:numFmt w:val="bullet"/>
      <w:lvlText w:val="-"/>
      <w:lvlJc w:val="left"/>
      <w:pPr>
        <w:ind w:left="21" w:hanging="360"/>
      </w:pPr>
      <w:rPr>
        <w:rFonts w:ascii="Arial" w:eastAsia="Times New Roman" w:hAnsi="Arial" w:cs="Arial" w:hint="default"/>
      </w:rPr>
    </w:lvl>
    <w:lvl w:ilvl="2" w:tplc="6B38BFF8">
      <w:start w:val="1"/>
      <w:numFmt w:val="bullet"/>
      <w:lvlText w:val=""/>
      <w:lvlJc w:val="left"/>
      <w:pPr>
        <w:ind w:left="741" w:hanging="360"/>
      </w:pPr>
      <w:rPr>
        <w:rFonts w:ascii="Wingdings" w:hAnsi="Wingdings" w:hint="default"/>
      </w:rPr>
    </w:lvl>
    <w:lvl w:ilvl="3" w:tplc="2938B998">
      <w:start w:val="1"/>
      <w:numFmt w:val="bullet"/>
      <w:lvlText w:val=""/>
      <w:lvlJc w:val="left"/>
      <w:pPr>
        <w:ind w:left="1461" w:hanging="360"/>
      </w:pPr>
      <w:rPr>
        <w:rFonts w:ascii="Symbol" w:hAnsi="Symbol" w:hint="default"/>
      </w:rPr>
    </w:lvl>
    <w:lvl w:ilvl="4" w:tplc="8B12A3B8">
      <w:start w:val="1"/>
      <w:numFmt w:val="bullet"/>
      <w:lvlText w:val="o"/>
      <w:lvlJc w:val="left"/>
      <w:pPr>
        <w:ind w:left="2181" w:hanging="360"/>
      </w:pPr>
      <w:rPr>
        <w:rFonts w:ascii="Courier New" w:hAnsi="Courier New" w:cs="Courier New" w:hint="default"/>
      </w:rPr>
    </w:lvl>
    <w:lvl w:ilvl="5" w:tplc="65F02472">
      <w:start w:val="1"/>
      <w:numFmt w:val="bullet"/>
      <w:lvlText w:val=""/>
      <w:lvlJc w:val="left"/>
      <w:pPr>
        <w:ind w:left="2901" w:hanging="360"/>
      </w:pPr>
      <w:rPr>
        <w:rFonts w:ascii="Wingdings" w:hAnsi="Wingdings" w:hint="default"/>
      </w:rPr>
    </w:lvl>
    <w:lvl w:ilvl="6" w:tplc="75D27634">
      <w:start w:val="1"/>
      <w:numFmt w:val="bullet"/>
      <w:lvlText w:val=""/>
      <w:lvlJc w:val="left"/>
      <w:pPr>
        <w:ind w:left="3621" w:hanging="360"/>
      </w:pPr>
      <w:rPr>
        <w:rFonts w:ascii="Symbol" w:hAnsi="Symbol" w:hint="default"/>
      </w:rPr>
    </w:lvl>
    <w:lvl w:ilvl="7" w:tplc="3960A6D0">
      <w:start w:val="1"/>
      <w:numFmt w:val="bullet"/>
      <w:lvlText w:val="o"/>
      <w:lvlJc w:val="left"/>
      <w:pPr>
        <w:ind w:left="4341" w:hanging="360"/>
      </w:pPr>
      <w:rPr>
        <w:rFonts w:ascii="Courier New" w:hAnsi="Courier New" w:cs="Courier New" w:hint="default"/>
      </w:rPr>
    </w:lvl>
    <w:lvl w:ilvl="8" w:tplc="0BB0E1BE" w:tentative="1">
      <w:start w:val="1"/>
      <w:numFmt w:val="bullet"/>
      <w:lvlText w:val=""/>
      <w:lvlJc w:val="left"/>
      <w:pPr>
        <w:ind w:left="5061" w:hanging="360"/>
      </w:pPr>
      <w:rPr>
        <w:rFonts w:ascii="Wingdings" w:hAnsi="Wingdings" w:hint="default"/>
      </w:rPr>
    </w:lvl>
  </w:abstractNum>
  <w:abstractNum w:abstractNumId="107" w15:restartNumberingAfterBreak="0">
    <w:nsid w:val="775B239A"/>
    <w:multiLevelType w:val="hybridMultilevel"/>
    <w:tmpl w:val="0F628654"/>
    <w:lvl w:ilvl="0" w:tplc="1DC43F1A">
      <w:start w:val="1"/>
      <w:numFmt w:val="bullet"/>
      <w:lvlText w:val=""/>
      <w:lvlJc w:val="left"/>
      <w:pPr>
        <w:ind w:left="720" w:hanging="360"/>
      </w:pPr>
      <w:rPr>
        <w:rFonts w:ascii="Wingdings" w:hAnsi="Wingdings" w:hint="default"/>
        <w:color w:val="4BACC6" w:themeColor="accent5"/>
        <w:sz w:val="2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8" w15:restartNumberingAfterBreak="0">
    <w:nsid w:val="77FB2576"/>
    <w:multiLevelType w:val="hybridMultilevel"/>
    <w:tmpl w:val="B878447E"/>
    <w:styleLink w:val="CurrentList15"/>
    <w:lvl w:ilvl="0" w:tplc="790C601C">
      <w:start w:val="1"/>
      <w:numFmt w:val="bullet"/>
      <w:lvlText w:val=""/>
      <w:lvlJc w:val="left"/>
      <w:pPr>
        <w:ind w:left="720" w:hanging="360"/>
      </w:pPr>
      <w:rPr>
        <w:rFonts w:ascii="Symbol" w:hAnsi="Symbol" w:hint="default"/>
      </w:rPr>
    </w:lvl>
    <w:lvl w:ilvl="1" w:tplc="751C5470" w:tentative="1">
      <w:start w:val="1"/>
      <w:numFmt w:val="bullet"/>
      <w:lvlText w:val="o"/>
      <w:lvlJc w:val="left"/>
      <w:pPr>
        <w:ind w:left="1440" w:hanging="360"/>
      </w:pPr>
      <w:rPr>
        <w:rFonts w:ascii="Courier New" w:hAnsi="Courier New" w:cs="Courier New" w:hint="default"/>
      </w:rPr>
    </w:lvl>
    <w:lvl w:ilvl="2" w:tplc="C33A05F0" w:tentative="1">
      <w:start w:val="1"/>
      <w:numFmt w:val="bullet"/>
      <w:lvlText w:val=""/>
      <w:lvlJc w:val="left"/>
      <w:pPr>
        <w:ind w:left="2160" w:hanging="360"/>
      </w:pPr>
      <w:rPr>
        <w:rFonts w:ascii="Wingdings" w:hAnsi="Wingdings" w:hint="default"/>
      </w:rPr>
    </w:lvl>
    <w:lvl w:ilvl="3" w:tplc="4092ADBC" w:tentative="1">
      <w:start w:val="1"/>
      <w:numFmt w:val="bullet"/>
      <w:lvlText w:val=""/>
      <w:lvlJc w:val="left"/>
      <w:pPr>
        <w:ind w:left="2880" w:hanging="360"/>
      </w:pPr>
      <w:rPr>
        <w:rFonts w:ascii="Symbol" w:hAnsi="Symbol" w:hint="default"/>
      </w:rPr>
    </w:lvl>
    <w:lvl w:ilvl="4" w:tplc="83F0087A" w:tentative="1">
      <w:start w:val="1"/>
      <w:numFmt w:val="bullet"/>
      <w:lvlText w:val="o"/>
      <w:lvlJc w:val="left"/>
      <w:pPr>
        <w:ind w:left="3600" w:hanging="360"/>
      </w:pPr>
      <w:rPr>
        <w:rFonts w:ascii="Courier New" w:hAnsi="Courier New" w:cs="Courier New" w:hint="default"/>
      </w:rPr>
    </w:lvl>
    <w:lvl w:ilvl="5" w:tplc="76B6C468" w:tentative="1">
      <w:start w:val="1"/>
      <w:numFmt w:val="bullet"/>
      <w:lvlText w:val=""/>
      <w:lvlJc w:val="left"/>
      <w:pPr>
        <w:ind w:left="4320" w:hanging="360"/>
      </w:pPr>
      <w:rPr>
        <w:rFonts w:ascii="Wingdings" w:hAnsi="Wingdings" w:hint="default"/>
      </w:rPr>
    </w:lvl>
    <w:lvl w:ilvl="6" w:tplc="619AD874" w:tentative="1">
      <w:start w:val="1"/>
      <w:numFmt w:val="bullet"/>
      <w:lvlText w:val=""/>
      <w:lvlJc w:val="left"/>
      <w:pPr>
        <w:ind w:left="5040" w:hanging="360"/>
      </w:pPr>
      <w:rPr>
        <w:rFonts w:ascii="Symbol" w:hAnsi="Symbol" w:hint="default"/>
      </w:rPr>
    </w:lvl>
    <w:lvl w:ilvl="7" w:tplc="85C690D4" w:tentative="1">
      <w:start w:val="1"/>
      <w:numFmt w:val="bullet"/>
      <w:lvlText w:val="o"/>
      <w:lvlJc w:val="left"/>
      <w:pPr>
        <w:ind w:left="5760" w:hanging="360"/>
      </w:pPr>
      <w:rPr>
        <w:rFonts w:ascii="Courier New" w:hAnsi="Courier New" w:cs="Courier New" w:hint="default"/>
      </w:rPr>
    </w:lvl>
    <w:lvl w:ilvl="8" w:tplc="8E96BD22" w:tentative="1">
      <w:start w:val="1"/>
      <w:numFmt w:val="bullet"/>
      <w:lvlText w:val=""/>
      <w:lvlJc w:val="left"/>
      <w:pPr>
        <w:ind w:left="6480" w:hanging="360"/>
      </w:pPr>
      <w:rPr>
        <w:rFonts w:ascii="Wingdings" w:hAnsi="Wingdings" w:hint="default"/>
      </w:rPr>
    </w:lvl>
  </w:abstractNum>
  <w:abstractNum w:abstractNumId="109" w15:restartNumberingAfterBreak="0">
    <w:nsid w:val="78511E53"/>
    <w:multiLevelType w:val="hybridMultilevel"/>
    <w:tmpl w:val="3604C3E8"/>
    <w:lvl w:ilvl="0" w:tplc="1DC43F1A">
      <w:start w:val="1"/>
      <w:numFmt w:val="bullet"/>
      <w:lvlText w:val=""/>
      <w:lvlJc w:val="left"/>
      <w:pPr>
        <w:ind w:left="360" w:hanging="360"/>
      </w:pPr>
      <w:rPr>
        <w:rFonts w:ascii="Wingdings" w:hAnsi="Wingdings" w:hint="default"/>
        <w:color w:val="4BACC6" w:themeColor="accent5"/>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79DF3EBE"/>
    <w:multiLevelType w:val="hybridMultilevel"/>
    <w:tmpl w:val="E5A6AAD4"/>
    <w:lvl w:ilvl="0" w:tplc="32D22ACC">
      <w:start w:val="1"/>
      <w:numFmt w:val="bullet"/>
      <w:pStyle w:val="NotesTextnolinespacebulletpoint"/>
      <w:lvlText w:val=""/>
      <w:lvlJc w:val="left"/>
      <w:pPr>
        <w:ind w:left="675" w:hanging="360"/>
      </w:pPr>
      <w:rPr>
        <w:rFonts w:ascii="Symbol" w:hAnsi="Symbol" w:hint="default"/>
      </w:rPr>
    </w:lvl>
    <w:lvl w:ilvl="1" w:tplc="0C090003">
      <w:start w:val="1"/>
      <w:numFmt w:val="bullet"/>
      <w:lvlText w:val="o"/>
      <w:lvlJc w:val="left"/>
      <w:pPr>
        <w:ind w:left="1395" w:hanging="360"/>
      </w:pPr>
      <w:rPr>
        <w:rFonts w:ascii="Courier New" w:hAnsi="Courier New" w:cs="Courier New" w:hint="default"/>
      </w:rPr>
    </w:lvl>
    <w:lvl w:ilvl="2" w:tplc="0C090005">
      <w:start w:val="1"/>
      <w:numFmt w:val="bullet"/>
      <w:lvlText w:val=""/>
      <w:lvlJc w:val="left"/>
      <w:pPr>
        <w:ind w:left="2115" w:hanging="360"/>
      </w:pPr>
      <w:rPr>
        <w:rFonts w:ascii="Wingdings" w:hAnsi="Wingdings" w:hint="default"/>
      </w:rPr>
    </w:lvl>
    <w:lvl w:ilvl="3" w:tplc="0C090001">
      <w:start w:val="1"/>
      <w:numFmt w:val="bullet"/>
      <w:lvlText w:val=""/>
      <w:lvlJc w:val="left"/>
      <w:pPr>
        <w:ind w:left="2835" w:hanging="360"/>
      </w:pPr>
      <w:rPr>
        <w:rFonts w:ascii="Symbol" w:hAnsi="Symbol" w:hint="default"/>
      </w:rPr>
    </w:lvl>
    <w:lvl w:ilvl="4" w:tplc="0C090003">
      <w:start w:val="1"/>
      <w:numFmt w:val="bullet"/>
      <w:lvlText w:val="o"/>
      <w:lvlJc w:val="left"/>
      <w:pPr>
        <w:ind w:left="3555" w:hanging="360"/>
      </w:pPr>
      <w:rPr>
        <w:rFonts w:ascii="Courier New" w:hAnsi="Courier New" w:cs="Courier New" w:hint="default"/>
      </w:rPr>
    </w:lvl>
    <w:lvl w:ilvl="5" w:tplc="0C090005">
      <w:start w:val="1"/>
      <w:numFmt w:val="bullet"/>
      <w:lvlText w:val=""/>
      <w:lvlJc w:val="left"/>
      <w:pPr>
        <w:ind w:left="4275" w:hanging="360"/>
      </w:pPr>
      <w:rPr>
        <w:rFonts w:ascii="Wingdings" w:hAnsi="Wingdings" w:hint="default"/>
      </w:rPr>
    </w:lvl>
    <w:lvl w:ilvl="6" w:tplc="0C090001">
      <w:start w:val="1"/>
      <w:numFmt w:val="bullet"/>
      <w:lvlText w:val=""/>
      <w:lvlJc w:val="left"/>
      <w:pPr>
        <w:ind w:left="4995" w:hanging="360"/>
      </w:pPr>
      <w:rPr>
        <w:rFonts w:ascii="Symbol" w:hAnsi="Symbol" w:hint="default"/>
      </w:rPr>
    </w:lvl>
    <w:lvl w:ilvl="7" w:tplc="0C090003">
      <w:start w:val="1"/>
      <w:numFmt w:val="bullet"/>
      <w:lvlText w:val="o"/>
      <w:lvlJc w:val="left"/>
      <w:pPr>
        <w:ind w:left="5715" w:hanging="360"/>
      </w:pPr>
      <w:rPr>
        <w:rFonts w:ascii="Courier New" w:hAnsi="Courier New" w:cs="Courier New" w:hint="default"/>
      </w:rPr>
    </w:lvl>
    <w:lvl w:ilvl="8" w:tplc="0C090005">
      <w:start w:val="1"/>
      <w:numFmt w:val="bullet"/>
      <w:lvlText w:val=""/>
      <w:lvlJc w:val="left"/>
      <w:pPr>
        <w:ind w:left="6435" w:hanging="360"/>
      </w:pPr>
      <w:rPr>
        <w:rFonts w:ascii="Wingdings" w:hAnsi="Wingdings" w:hint="default"/>
      </w:rPr>
    </w:lvl>
  </w:abstractNum>
  <w:abstractNum w:abstractNumId="111" w15:restartNumberingAfterBreak="0">
    <w:nsid w:val="7A4A4673"/>
    <w:multiLevelType w:val="hybridMultilevel"/>
    <w:tmpl w:val="CDD89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CBC1135"/>
    <w:multiLevelType w:val="multilevel"/>
    <w:tmpl w:val="92A42DD2"/>
    <w:styleLink w:val="CurrentList2"/>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pStyle w:val="Bullet1"/>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3" w15:restartNumberingAfterBreak="0">
    <w:nsid w:val="7EDC1484"/>
    <w:multiLevelType w:val="hybridMultilevel"/>
    <w:tmpl w:val="6B52A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5"/>
    <w:lvlOverride w:ilvl="0">
      <w:lvl w:ilvl="0" w:tplc="D9820C54">
        <w:start w:val="1"/>
        <w:numFmt w:val="bullet"/>
        <w:pStyle w:val="ListBullet"/>
        <w:lvlText w:val="»"/>
        <w:lvlJc w:val="left"/>
        <w:pPr>
          <w:tabs>
            <w:tab w:val="num" w:pos="644"/>
          </w:tabs>
          <w:ind w:left="644" w:hanging="360"/>
        </w:pPr>
        <w:rPr>
          <w:rFonts w:ascii="Arial" w:hAnsi="Arial" w:hint="default"/>
          <w:color w:val="auto"/>
          <w:sz w:val="20"/>
        </w:rPr>
      </w:lvl>
    </w:lvlOverride>
  </w:num>
  <w:num w:numId="2">
    <w:abstractNumId w:val="95"/>
  </w:num>
  <w:num w:numId="3">
    <w:abstractNumId w:val="108"/>
  </w:num>
  <w:num w:numId="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20"/>
  </w:num>
  <w:num w:numId="8">
    <w:abstractNumId w:val="58"/>
  </w:num>
  <w:num w:numId="9">
    <w:abstractNumId w:val="103"/>
  </w:num>
  <w:num w:numId="10">
    <w:abstractNumId w:val="102"/>
  </w:num>
  <w:num w:numId="11">
    <w:abstractNumId w:val="43"/>
  </w:num>
  <w:num w:numId="12">
    <w:abstractNumId w:val="71"/>
  </w:num>
  <w:num w:numId="13">
    <w:abstractNumId w:val="42"/>
  </w:num>
  <w:num w:numId="14">
    <w:abstractNumId w:val="100"/>
  </w:num>
  <w:num w:numId="15">
    <w:abstractNumId w:val="67"/>
  </w:num>
  <w:num w:numId="16">
    <w:abstractNumId w:val="26"/>
  </w:num>
  <w:num w:numId="17">
    <w:abstractNumId w:val="82"/>
  </w:num>
  <w:num w:numId="18">
    <w:abstractNumId w:val="16"/>
  </w:num>
  <w:num w:numId="19">
    <w:abstractNumId w:val="70"/>
  </w:num>
  <w:num w:numId="20">
    <w:abstractNumId w:val="86"/>
  </w:num>
  <w:num w:numId="21">
    <w:abstractNumId w:val="112"/>
  </w:num>
  <w:num w:numId="22">
    <w:abstractNumId w:val="4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105"/>
  </w:num>
  <w:num w:numId="25">
    <w:abstractNumId w:val="1"/>
  </w:num>
  <w:num w:numId="26">
    <w:abstractNumId w:val="104"/>
  </w:num>
  <w:num w:numId="27">
    <w:abstractNumId w:val="110"/>
  </w:num>
  <w:num w:numId="28">
    <w:abstractNumId w:val="3"/>
  </w:num>
  <w:num w:numId="29">
    <w:abstractNumId w:val="78"/>
  </w:num>
  <w:num w:numId="30">
    <w:abstractNumId w:val="0"/>
  </w:num>
  <w:num w:numId="31">
    <w:abstractNumId w:val="59"/>
  </w:num>
  <w:num w:numId="32">
    <w:abstractNumId w:val="13"/>
  </w:num>
  <w:num w:numId="33">
    <w:abstractNumId w:val="48"/>
  </w:num>
  <w:num w:numId="34">
    <w:abstractNumId w:val="29"/>
  </w:num>
  <w:num w:numId="35">
    <w:abstractNumId w:val="64"/>
  </w:num>
  <w:num w:numId="36">
    <w:abstractNumId w:val="45"/>
  </w:num>
  <w:num w:numId="37">
    <w:abstractNumId w:val="28"/>
  </w:num>
  <w:num w:numId="38">
    <w:abstractNumId w:val="15"/>
  </w:num>
  <w:num w:numId="3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91"/>
  </w:num>
  <w:num w:numId="42">
    <w:abstractNumId w:val="27"/>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98"/>
  </w:num>
  <w:num w:numId="46">
    <w:abstractNumId w:val="10"/>
  </w:num>
  <w:num w:numId="47">
    <w:abstractNumId w:val="25"/>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1"/>
  </w:num>
  <w:num w:numId="50">
    <w:abstractNumId w:val="73"/>
  </w:num>
  <w:num w:numId="51">
    <w:abstractNumId w:val="74"/>
  </w:num>
  <w:num w:numId="52">
    <w:abstractNumId w:val="34"/>
  </w:num>
  <w:num w:numId="53">
    <w:abstractNumId w:val="68"/>
  </w:num>
  <w:num w:numId="54">
    <w:abstractNumId w:val="50"/>
  </w:num>
  <w:num w:numId="55">
    <w:abstractNumId w:val="99"/>
  </w:num>
  <w:num w:numId="56">
    <w:abstractNumId w:val="94"/>
  </w:num>
  <w:num w:numId="57">
    <w:abstractNumId w:val="76"/>
  </w:num>
  <w:num w:numId="58">
    <w:abstractNumId w:val="36"/>
  </w:num>
  <w:num w:numId="59">
    <w:abstractNumId w:val="4"/>
  </w:num>
  <w:num w:numId="60">
    <w:abstractNumId w:val="39"/>
  </w:num>
  <w:num w:numId="61">
    <w:abstractNumId w:val="44"/>
  </w:num>
  <w:num w:numId="62">
    <w:abstractNumId w:val="19"/>
  </w:num>
  <w:num w:numId="63">
    <w:abstractNumId w:val="52"/>
  </w:num>
  <w:num w:numId="64">
    <w:abstractNumId w:val="22"/>
  </w:num>
  <w:num w:numId="65">
    <w:abstractNumId w:val="6"/>
  </w:num>
  <w:num w:numId="66">
    <w:abstractNumId w:val="30"/>
  </w:num>
  <w:num w:numId="67">
    <w:abstractNumId w:val="53"/>
  </w:num>
  <w:num w:numId="68">
    <w:abstractNumId w:val="31"/>
  </w:num>
  <w:num w:numId="69">
    <w:abstractNumId w:val="77"/>
  </w:num>
  <w:num w:numId="70">
    <w:abstractNumId w:val="101"/>
  </w:num>
  <w:num w:numId="71">
    <w:abstractNumId w:val="57"/>
  </w:num>
  <w:num w:numId="72">
    <w:abstractNumId w:val="88"/>
  </w:num>
  <w:num w:numId="73">
    <w:abstractNumId w:val="5"/>
  </w:num>
  <w:num w:numId="74">
    <w:abstractNumId w:val="65"/>
  </w:num>
  <w:num w:numId="75">
    <w:abstractNumId w:val="89"/>
  </w:num>
  <w:num w:numId="76">
    <w:abstractNumId w:val="51"/>
  </w:num>
  <w:num w:numId="77">
    <w:abstractNumId w:val="63"/>
  </w:num>
  <w:num w:numId="78">
    <w:abstractNumId w:val="95"/>
    <w:lvlOverride w:ilvl="0">
      <w:lvl w:ilvl="0" w:tplc="D9820C54">
        <w:start w:val="1"/>
        <w:numFmt w:val="bullet"/>
        <w:pStyle w:val="ListBullet"/>
        <w:lvlText w:val="»"/>
        <w:lvlJc w:val="left"/>
        <w:pPr>
          <w:tabs>
            <w:tab w:val="num" w:pos="360"/>
          </w:tabs>
          <w:ind w:left="360" w:hanging="360"/>
        </w:pPr>
        <w:rPr>
          <w:rFonts w:ascii="Arial" w:hAnsi="Arial" w:hint="default"/>
          <w:color w:val="auto"/>
          <w:sz w:val="20"/>
        </w:rPr>
      </w:lvl>
    </w:lvlOverride>
  </w:num>
  <w:num w:numId="79">
    <w:abstractNumId w:val="83"/>
  </w:num>
  <w:num w:numId="80">
    <w:abstractNumId w:val="24"/>
  </w:num>
  <w:num w:numId="81">
    <w:abstractNumId w:val="92"/>
  </w:num>
  <w:num w:numId="82">
    <w:abstractNumId w:val="55"/>
  </w:num>
  <w:num w:numId="83">
    <w:abstractNumId w:val="23"/>
  </w:num>
  <w:num w:numId="84">
    <w:abstractNumId w:val="95"/>
    <w:lvlOverride w:ilvl="0">
      <w:lvl w:ilvl="0" w:tplc="D9820C54">
        <w:start w:val="1"/>
        <w:numFmt w:val="bullet"/>
        <w:pStyle w:val="ListBullet"/>
        <w:lvlText w:val="»"/>
        <w:lvlJc w:val="left"/>
        <w:pPr>
          <w:tabs>
            <w:tab w:val="num" w:pos="360"/>
          </w:tabs>
          <w:ind w:left="360" w:hanging="360"/>
        </w:pPr>
        <w:rPr>
          <w:rFonts w:ascii="Arial" w:hAnsi="Arial" w:cs="Times New Roman" w:hint="default"/>
          <w:color w:val="auto"/>
          <w:sz w:val="20"/>
        </w:rPr>
      </w:lvl>
    </w:lvlOverride>
    <w:lvlOverride w:ilvl="1">
      <w:lvl w:ilvl="1" w:tplc="3E2EF2FC">
        <w:numFmt w:val="decimal"/>
        <w:lvlText w:val=""/>
        <w:lvlJc w:val="left"/>
      </w:lvl>
    </w:lvlOverride>
    <w:lvlOverride w:ilvl="2">
      <w:lvl w:ilvl="2" w:tplc="6B38BFF8">
        <w:numFmt w:val="decimal"/>
        <w:lvlText w:val=""/>
        <w:lvlJc w:val="left"/>
      </w:lvl>
    </w:lvlOverride>
    <w:lvlOverride w:ilvl="3">
      <w:lvl w:ilvl="3" w:tplc="2938B998">
        <w:numFmt w:val="decimal"/>
        <w:lvlText w:val=""/>
        <w:lvlJc w:val="left"/>
      </w:lvl>
    </w:lvlOverride>
    <w:lvlOverride w:ilvl="4">
      <w:lvl w:ilvl="4" w:tplc="8B12A3B8">
        <w:numFmt w:val="decimal"/>
        <w:lvlText w:val=""/>
        <w:lvlJc w:val="left"/>
      </w:lvl>
    </w:lvlOverride>
    <w:lvlOverride w:ilvl="5">
      <w:lvl w:ilvl="5" w:tplc="65F02472">
        <w:numFmt w:val="decimal"/>
        <w:lvlText w:val=""/>
        <w:lvlJc w:val="left"/>
      </w:lvl>
    </w:lvlOverride>
    <w:lvlOverride w:ilvl="6">
      <w:lvl w:ilvl="6" w:tplc="75D27634">
        <w:numFmt w:val="decimal"/>
        <w:lvlText w:val=""/>
        <w:lvlJc w:val="left"/>
      </w:lvl>
    </w:lvlOverride>
    <w:lvlOverride w:ilvl="7">
      <w:lvl w:ilvl="7" w:tplc="3960A6D0">
        <w:numFmt w:val="decimal"/>
        <w:lvlText w:val=""/>
        <w:lvlJc w:val="left"/>
      </w:lvl>
    </w:lvlOverride>
    <w:lvlOverride w:ilvl="8">
      <w:lvl w:ilvl="8" w:tplc="0BB0E1BE">
        <w:numFmt w:val="decimal"/>
        <w:lvlText w:val=""/>
        <w:lvlJc w:val="left"/>
      </w:lvl>
    </w:lvlOverride>
  </w:num>
  <w:num w:numId="85">
    <w:abstractNumId w:val="17"/>
  </w:num>
  <w:num w:numId="86">
    <w:abstractNumId w:val="32"/>
  </w:num>
  <w:num w:numId="87">
    <w:abstractNumId w:val="49"/>
  </w:num>
  <w:num w:numId="88">
    <w:abstractNumId w:val="95"/>
    <w:lvlOverride w:ilvl="0">
      <w:lvl w:ilvl="0" w:tplc="D9820C54">
        <w:start w:val="1"/>
        <w:numFmt w:val="bullet"/>
        <w:pStyle w:val="ListBullet"/>
        <w:lvlText w:val="»"/>
        <w:lvlJc w:val="left"/>
        <w:pPr>
          <w:tabs>
            <w:tab w:val="num" w:pos="360"/>
          </w:tabs>
          <w:ind w:left="360" w:hanging="360"/>
        </w:pPr>
        <w:rPr>
          <w:rFonts w:ascii="Arial" w:hAnsi="Arial" w:cs="Times New Roman" w:hint="default"/>
          <w:color w:val="auto"/>
          <w:sz w:val="20"/>
        </w:rPr>
      </w:lvl>
    </w:lvlOverride>
    <w:lvlOverride w:ilvl="1">
      <w:lvl w:ilvl="1" w:tplc="3E2EF2FC">
        <w:start w:val="9"/>
        <w:numFmt w:val="decimal"/>
        <w:lvlText w:val=""/>
        <w:lvlJc w:val="left"/>
        <w:pPr>
          <w:ind w:left="0" w:firstLine="0"/>
        </w:pPr>
        <w:rPr>
          <w:rFonts w:ascii="Arial" w:eastAsia="Times New Roman" w:hAnsi="Arial" w:cs="Arial" w:hint="default"/>
        </w:rPr>
      </w:lvl>
    </w:lvlOverride>
    <w:lvlOverride w:ilvl="2">
      <w:lvl w:ilvl="2" w:tplc="6B38BFF8">
        <w:start w:val="1"/>
        <w:numFmt w:val="decimal"/>
        <w:lvlText w:val=""/>
        <w:lvlJc w:val="left"/>
        <w:pPr>
          <w:ind w:left="0" w:firstLine="0"/>
        </w:pPr>
        <w:rPr>
          <w:rFonts w:ascii="Wingdings" w:hAnsi="Wingdings" w:hint="default"/>
        </w:rPr>
      </w:lvl>
    </w:lvlOverride>
    <w:lvlOverride w:ilvl="3">
      <w:lvl w:ilvl="3" w:tplc="2938B998">
        <w:start w:val="1"/>
        <w:numFmt w:val="decimal"/>
        <w:lvlText w:val=""/>
        <w:lvlJc w:val="left"/>
        <w:pPr>
          <w:ind w:left="0" w:firstLine="0"/>
        </w:pPr>
        <w:rPr>
          <w:rFonts w:ascii="Symbol" w:hAnsi="Symbol" w:hint="default"/>
        </w:rPr>
      </w:lvl>
    </w:lvlOverride>
    <w:lvlOverride w:ilvl="4">
      <w:lvl w:ilvl="4" w:tplc="8B12A3B8">
        <w:start w:val="1"/>
        <w:numFmt w:val="decimal"/>
        <w:lvlText w:val=""/>
        <w:lvlJc w:val="left"/>
        <w:pPr>
          <w:ind w:left="0" w:firstLine="0"/>
        </w:pPr>
        <w:rPr>
          <w:rFonts w:ascii="Courier New" w:hAnsi="Courier New" w:cs="Courier New" w:hint="default"/>
        </w:rPr>
      </w:lvl>
    </w:lvlOverride>
    <w:lvlOverride w:ilvl="5">
      <w:lvl w:ilvl="5" w:tplc="65F02472">
        <w:start w:val="1"/>
        <w:numFmt w:val="decimal"/>
        <w:lvlText w:val=""/>
        <w:lvlJc w:val="left"/>
        <w:pPr>
          <w:ind w:left="0" w:firstLine="0"/>
        </w:pPr>
        <w:rPr>
          <w:rFonts w:ascii="Wingdings" w:hAnsi="Wingdings" w:hint="default"/>
        </w:rPr>
      </w:lvl>
    </w:lvlOverride>
    <w:lvlOverride w:ilvl="6">
      <w:lvl w:ilvl="6" w:tplc="75D27634">
        <w:start w:val="1"/>
        <w:numFmt w:val="decimal"/>
        <w:lvlText w:val=""/>
        <w:lvlJc w:val="left"/>
        <w:pPr>
          <w:ind w:left="0" w:firstLine="0"/>
        </w:pPr>
        <w:rPr>
          <w:rFonts w:ascii="Symbol" w:hAnsi="Symbol" w:hint="default"/>
        </w:rPr>
      </w:lvl>
    </w:lvlOverride>
    <w:lvlOverride w:ilvl="7">
      <w:lvl w:ilvl="7" w:tplc="3960A6D0">
        <w:start w:val="1"/>
        <w:numFmt w:val="decimal"/>
        <w:lvlText w:val=""/>
        <w:lvlJc w:val="left"/>
        <w:pPr>
          <w:ind w:left="0" w:firstLine="0"/>
        </w:pPr>
        <w:rPr>
          <w:rFonts w:ascii="Courier New" w:hAnsi="Courier New" w:cs="Courier New" w:hint="default"/>
        </w:rPr>
      </w:lvl>
    </w:lvlOverride>
    <w:lvlOverride w:ilvl="8">
      <w:lvl w:ilvl="8" w:tplc="0BB0E1BE">
        <w:start w:val="1"/>
        <w:numFmt w:val="decimal"/>
        <w:lvlText w:val=""/>
        <w:lvlJc w:val="left"/>
        <w:pPr>
          <w:ind w:left="0" w:firstLine="0"/>
        </w:pPr>
        <w:rPr>
          <w:rFonts w:ascii="Wingdings" w:hAnsi="Wingdings" w:hint="default"/>
        </w:rPr>
      </w:lvl>
    </w:lvlOverride>
  </w:num>
  <w:num w:numId="89">
    <w:abstractNumId w:val="62"/>
  </w:num>
  <w:num w:numId="90">
    <w:abstractNumId w:val="93"/>
  </w:num>
  <w:num w:numId="91">
    <w:abstractNumId w:val="8"/>
  </w:num>
  <w:num w:numId="92">
    <w:abstractNumId w:val="80"/>
  </w:num>
  <w:num w:numId="93">
    <w:abstractNumId w:val="40"/>
  </w:num>
  <w:num w:numId="94">
    <w:abstractNumId w:val="95"/>
    <w:lvlOverride w:ilvl="0">
      <w:lvl w:ilvl="0" w:tplc="D9820C54">
        <w:start w:val="1"/>
        <w:numFmt w:val="bullet"/>
        <w:pStyle w:val="ListBullet"/>
        <w:lvlText w:val="»"/>
        <w:lvlJc w:val="left"/>
        <w:pPr>
          <w:tabs>
            <w:tab w:val="num" w:pos="644"/>
          </w:tabs>
          <w:ind w:left="644" w:hanging="360"/>
        </w:pPr>
        <w:rPr>
          <w:rFonts w:ascii="Arial" w:hAnsi="Arial" w:cs="Times New Roman" w:hint="default"/>
          <w:color w:val="auto"/>
          <w:sz w:val="20"/>
        </w:rPr>
      </w:lvl>
    </w:lvlOverride>
    <w:lvlOverride w:ilvl="1">
      <w:lvl w:ilvl="1" w:tplc="3E2EF2FC">
        <w:numFmt w:val="decimal"/>
        <w:lvlText w:val=""/>
        <w:lvlJc w:val="left"/>
      </w:lvl>
    </w:lvlOverride>
    <w:lvlOverride w:ilvl="2">
      <w:lvl w:ilvl="2" w:tplc="6B38BFF8">
        <w:numFmt w:val="decimal"/>
        <w:lvlText w:val=""/>
        <w:lvlJc w:val="left"/>
      </w:lvl>
    </w:lvlOverride>
    <w:lvlOverride w:ilvl="3">
      <w:lvl w:ilvl="3" w:tplc="2938B998">
        <w:numFmt w:val="decimal"/>
        <w:lvlText w:val=""/>
        <w:lvlJc w:val="left"/>
      </w:lvl>
    </w:lvlOverride>
    <w:lvlOverride w:ilvl="4">
      <w:lvl w:ilvl="4" w:tplc="8B12A3B8">
        <w:numFmt w:val="decimal"/>
        <w:lvlText w:val=""/>
        <w:lvlJc w:val="left"/>
      </w:lvl>
    </w:lvlOverride>
    <w:lvlOverride w:ilvl="5">
      <w:lvl w:ilvl="5" w:tplc="65F02472">
        <w:numFmt w:val="decimal"/>
        <w:lvlText w:val=""/>
        <w:lvlJc w:val="left"/>
      </w:lvl>
    </w:lvlOverride>
    <w:lvlOverride w:ilvl="6">
      <w:lvl w:ilvl="6" w:tplc="75D27634">
        <w:numFmt w:val="decimal"/>
        <w:lvlText w:val=""/>
        <w:lvlJc w:val="left"/>
      </w:lvl>
    </w:lvlOverride>
    <w:lvlOverride w:ilvl="7">
      <w:lvl w:ilvl="7" w:tplc="3960A6D0">
        <w:numFmt w:val="decimal"/>
        <w:lvlText w:val=""/>
        <w:lvlJc w:val="left"/>
      </w:lvl>
    </w:lvlOverride>
    <w:lvlOverride w:ilvl="8">
      <w:lvl w:ilvl="8" w:tplc="0BB0E1BE">
        <w:numFmt w:val="decimal"/>
        <w:lvlText w:val=""/>
        <w:lvlJc w:val="left"/>
      </w:lvl>
    </w:lvlOverride>
  </w:num>
  <w:num w:numId="95">
    <w:abstractNumId w:val="7"/>
  </w:num>
  <w:num w:numId="96">
    <w:abstractNumId w:val="113"/>
  </w:num>
  <w:num w:numId="97">
    <w:abstractNumId w:val="72"/>
  </w:num>
  <w:num w:numId="98">
    <w:abstractNumId w:val="111"/>
  </w:num>
  <w:num w:numId="99">
    <w:abstractNumId w:val="81"/>
  </w:num>
  <w:num w:numId="100">
    <w:abstractNumId w:val="79"/>
  </w:num>
  <w:num w:numId="101">
    <w:abstractNumId w:val="85"/>
  </w:num>
  <w:num w:numId="102">
    <w:abstractNumId w:val="60"/>
  </w:num>
  <w:num w:numId="103">
    <w:abstractNumId w:val="33"/>
  </w:num>
  <w:num w:numId="104">
    <w:abstractNumId w:val="41"/>
  </w:num>
  <w:num w:numId="105">
    <w:abstractNumId w:val="14"/>
  </w:num>
  <w:num w:numId="106">
    <w:abstractNumId w:val="75"/>
  </w:num>
  <w:num w:numId="107">
    <w:abstractNumId w:val="106"/>
  </w:num>
  <w:num w:numId="108">
    <w:abstractNumId w:val="18"/>
  </w:num>
  <w:num w:numId="109">
    <w:abstractNumId w:val="9"/>
  </w:num>
  <w:num w:numId="110">
    <w:abstractNumId w:val="107"/>
  </w:num>
  <w:num w:numId="111">
    <w:abstractNumId w:val="97"/>
  </w:num>
  <w:num w:numId="112">
    <w:abstractNumId w:val="87"/>
  </w:num>
  <w:num w:numId="113">
    <w:abstractNumId w:val="12"/>
  </w:num>
  <w:num w:numId="114">
    <w:abstractNumId w:val="56"/>
  </w:num>
  <w:num w:numId="115">
    <w:abstractNumId w:val="84"/>
  </w:num>
  <w:num w:numId="116">
    <w:abstractNumId w:val="2"/>
  </w:num>
  <w:num w:numId="117">
    <w:abstractNumId w:val="35"/>
  </w:num>
  <w:num w:numId="118">
    <w:abstractNumId w:val="47"/>
  </w:num>
  <w:num w:numId="119">
    <w:abstractNumId w:val="69"/>
  </w:num>
  <w:num w:numId="120">
    <w:abstractNumId w:val="109"/>
  </w:num>
  <w:num w:numId="121">
    <w:abstractNumId w:val="66"/>
  </w:num>
  <w:num w:numId="122">
    <w:abstractNumId w:val="9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removePersonalInformation/>
  <w:removeDateAndTime/>
  <w:proofState w:spelling="clean"/>
  <w:defaultTabStop w:val="720"/>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827E16D-2102-4EC6-8EEF-FCFC0AD944AB}"/>
    <w:docVar w:name="dgnword-eventsink" w:val="438602536"/>
  </w:docVars>
  <w:rsids>
    <w:rsidRoot w:val="00E45A16"/>
    <w:rsid w:val="0000078A"/>
    <w:rsid w:val="00001C41"/>
    <w:rsid w:val="00002DFA"/>
    <w:rsid w:val="00005633"/>
    <w:rsid w:val="00007350"/>
    <w:rsid w:val="000073DF"/>
    <w:rsid w:val="0001511D"/>
    <w:rsid w:val="000177A0"/>
    <w:rsid w:val="000227AF"/>
    <w:rsid w:val="00022803"/>
    <w:rsid w:val="00026CF0"/>
    <w:rsid w:val="0003041A"/>
    <w:rsid w:val="00032B9F"/>
    <w:rsid w:val="000462C9"/>
    <w:rsid w:val="000472A0"/>
    <w:rsid w:val="000504E9"/>
    <w:rsid w:val="000509BF"/>
    <w:rsid w:val="00054A67"/>
    <w:rsid w:val="00057B25"/>
    <w:rsid w:val="000624D3"/>
    <w:rsid w:val="00064975"/>
    <w:rsid w:val="000660D6"/>
    <w:rsid w:val="000747B6"/>
    <w:rsid w:val="00075392"/>
    <w:rsid w:val="00081138"/>
    <w:rsid w:val="0008224F"/>
    <w:rsid w:val="000835C4"/>
    <w:rsid w:val="000852CD"/>
    <w:rsid w:val="000856CF"/>
    <w:rsid w:val="000907ED"/>
    <w:rsid w:val="00092550"/>
    <w:rsid w:val="00093ACB"/>
    <w:rsid w:val="00096099"/>
    <w:rsid w:val="000A3183"/>
    <w:rsid w:val="000B0A27"/>
    <w:rsid w:val="000B11F7"/>
    <w:rsid w:val="000B1348"/>
    <w:rsid w:val="000B5158"/>
    <w:rsid w:val="000C2895"/>
    <w:rsid w:val="000D3C44"/>
    <w:rsid w:val="000D4A21"/>
    <w:rsid w:val="000D64B1"/>
    <w:rsid w:val="000D70B3"/>
    <w:rsid w:val="000D7A77"/>
    <w:rsid w:val="000E340E"/>
    <w:rsid w:val="000E4E5F"/>
    <w:rsid w:val="000E64A1"/>
    <w:rsid w:val="000F0104"/>
    <w:rsid w:val="000F1C1D"/>
    <w:rsid w:val="000F22E5"/>
    <w:rsid w:val="00105031"/>
    <w:rsid w:val="00106EBE"/>
    <w:rsid w:val="00107B1C"/>
    <w:rsid w:val="00120C79"/>
    <w:rsid w:val="001211FE"/>
    <w:rsid w:val="0012124C"/>
    <w:rsid w:val="00123D6C"/>
    <w:rsid w:val="00127BE3"/>
    <w:rsid w:val="00130D01"/>
    <w:rsid w:val="00133432"/>
    <w:rsid w:val="00133A3A"/>
    <w:rsid w:val="00137AC3"/>
    <w:rsid w:val="001404F7"/>
    <w:rsid w:val="001426D6"/>
    <w:rsid w:val="00143FBC"/>
    <w:rsid w:val="0014418F"/>
    <w:rsid w:val="0014579C"/>
    <w:rsid w:val="001466DC"/>
    <w:rsid w:val="00146CA6"/>
    <w:rsid w:val="00146DE0"/>
    <w:rsid w:val="00151E78"/>
    <w:rsid w:val="00152CC3"/>
    <w:rsid w:val="00155D60"/>
    <w:rsid w:val="00161E24"/>
    <w:rsid w:val="00163047"/>
    <w:rsid w:val="00164CD7"/>
    <w:rsid w:val="001655B8"/>
    <w:rsid w:val="001707B6"/>
    <w:rsid w:val="00171A7A"/>
    <w:rsid w:val="00172249"/>
    <w:rsid w:val="00180086"/>
    <w:rsid w:val="001804C3"/>
    <w:rsid w:val="00181A0F"/>
    <w:rsid w:val="0018363B"/>
    <w:rsid w:val="00184EAD"/>
    <w:rsid w:val="00186137"/>
    <w:rsid w:val="00192B46"/>
    <w:rsid w:val="00194B6B"/>
    <w:rsid w:val="001957B3"/>
    <w:rsid w:val="00196F1F"/>
    <w:rsid w:val="00197078"/>
    <w:rsid w:val="001972B1"/>
    <w:rsid w:val="001A12FF"/>
    <w:rsid w:val="001A2B16"/>
    <w:rsid w:val="001A65B4"/>
    <w:rsid w:val="001A6ECE"/>
    <w:rsid w:val="001B37D4"/>
    <w:rsid w:val="001B65AF"/>
    <w:rsid w:val="001B7A34"/>
    <w:rsid w:val="001C2D35"/>
    <w:rsid w:val="001C4F93"/>
    <w:rsid w:val="001C50EA"/>
    <w:rsid w:val="001C599F"/>
    <w:rsid w:val="001D33C9"/>
    <w:rsid w:val="001D415B"/>
    <w:rsid w:val="001D4493"/>
    <w:rsid w:val="001D7B4C"/>
    <w:rsid w:val="001E1739"/>
    <w:rsid w:val="001E1FAF"/>
    <w:rsid w:val="001E32A1"/>
    <w:rsid w:val="001E3755"/>
    <w:rsid w:val="001E3ABE"/>
    <w:rsid w:val="001E630D"/>
    <w:rsid w:val="001E6961"/>
    <w:rsid w:val="001E6F0F"/>
    <w:rsid w:val="001F0C9A"/>
    <w:rsid w:val="001F2CC2"/>
    <w:rsid w:val="001F2D86"/>
    <w:rsid w:val="001F3113"/>
    <w:rsid w:val="001F5D60"/>
    <w:rsid w:val="001F626B"/>
    <w:rsid w:val="001F691C"/>
    <w:rsid w:val="002013B1"/>
    <w:rsid w:val="002036F4"/>
    <w:rsid w:val="0020483C"/>
    <w:rsid w:val="00207309"/>
    <w:rsid w:val="0021242A"/>
    <w:rsid w:val="00214B7D"/>
    <w:rsid w:val="00215C25"/>
    <w:rsid w:val="00221254"/>
    <w:rsid w:val="00221F67"/>
    <w:rsid w:val="002239EC"/>
    <w:rsid w:val="00227A3E"/>
    <w:rsid w:val="00227CCA"/>
    <w:rsid w:val="00232A9B"/>
    <w:rsid w:val="00243757"/>
    <w:rsid w:val="002451F4"/>
    <w:rsid w:val="0025082B"/>
    <w:rsid w:val="0025209D"/>
    <w:rsid w:val="0025362A"/>
    <w:rsid w:val="00260FFA"/>
    <w:rsid w:val="00262166"/>
    <w:rsid w:val="00264063"/>
    <w:rsid w:val="002644EF"/>
    <w:rsid w:val="00264ED1"/>
    <w:rsid w:val="00270A5C"/>
    <w:rsid w:val="00270F72"/>
    <w:rsid w:val="002742AF"/>
    <w:rsid w:val="00284DC9"/>
    <w:rsid w:val="00285385"/>
    <w:rsid w:val="002867D9"/>
    <w:rsid w:val="00287A1B"/>
    <w:rsid w:val="002937F5"/>
    <w:rsid w:val="0029429F"/>
    <w:rsid w:val="002A2C87"/>
    <w:rsid w:val="002A5764"/>
    <w:rsid w:val="002A65A8"/>
    <w:rsid w:val="002B1A39"/>
    <w:rsid w:val="002B2E47"/>
    <w:rsid w:val="002B34D9"/>
    <w:rsid w:val="002B4DB5"/>
    <w:rsid w:val="002C02CE"/>
    <w:rsid w:val="002C1FB0"/>
    <w:rsid w:val="002D1EA4"/>
    <w:rsid w:val="002D1F6C"/>
    <w:rsid w:val="002D2AB2"/>
    <w:rsid w:val="002D3883"/>
    <w:rsid w:val="002D428C"/>
    <w:rsid w:val="002D42F1"/>
    <w:rsid w:val="002D44F6"/>
    <w:rsid w:val="002D4655"/>
    <w:rsid w:val="002D6866"/>
    <w:rsid w:val="002D6BD8"/>
    <w:rsid w:val="002E0FEA"/>
    <w:rsid w:val="002E1239"/>
    <w:rsid w:val="002E5E06"/>
    <w:rsid w:val="002E7EAA"/>
    <w:rsid w:val="002F0E26"/>
    <w:rsid w:val="002F3F4C"/>
    <w:rsid w:val="002F6A94"/>
    <w:rsid w:val="002F6BEB"/>
    <w:rsid w:val="002F776C"/>
    <w:rsid w:val="0030028B"/>
    <w:rsid w:val="00306E3D"/>
    <w:rsid w:val="00307BF5"/>
    <w:rsid w:val="0031106E"/>
    <w:rsid w:val="003205D7"/>
    <w:rsid w:val="00322907"/>
    <w:rsid w:val="00325C6A"/>
    <w:rsid w:val="00325DD5"/>
    <w:rsid w:val="00332CCC"/>
    <w:rsid w:val="003357DD"/>
    <w:rsid w:val="003358E7"/>
    <w:rsid w:val="00335E18"/>
    <w:rsid w:val="00336FCD"/>
    <w:rsid w:val="00340D20"/>
    <w:rsid w:val="00346549"/>
    <w:rsid w:val="00346948"/>
    <w:rsid w:val="0035029D"/>
    <w:rsid w:val="00350459"/>
    <w:rsid w:val="00352FBB"/>
    <w:rsid w:val="0035610E"/>
    <w:rsid w:val="00357637"/>
    <w:rsid w:val="00357CAD"/>
    <w:rsid w:val="0036611E"/>
    <w:rsid w:val="00366CB8"/>
    <w:rsid w:val="00367B44"/>
    <w:rsid w:val="00370874"/>
    <w:rsid w:val="003741A9"/>
    <w:rsid w:val="00380AED"/>
    <w:rsid w:val="003833DB"/>
    <w:rsid w:val="00384B66"/>
    <w:rsid w:val="00387BDE"/>
    <w:rsid w:val="00390335"/>
    <w:rsid w:val="00390386"/>
    <w:rsid w:val="00390CFC"/>
    <w:rsid w:val="00395352"/>
    <w:rsid w:val="003956B3"/>
    <w:rsid w:val="003965FA"/>
    <w:rsid w:val="003974E6"/>
    <w:rsid w:val="003A047F"/>
    <w:rsid w:val="003A0E6E"/>
    <w:rsid w:val="003A4D9F"/>
    <w:rsid w:val="003A570D"/>
    <w:rsid w:val="003A5B5E"/>
    <w:rsid w:val="003B13C6"/>
    <w:rsid w:val="003B2420"/>
    <w:rsid w:val="003B2BB8"/>
    <w:rsid w:val="003C1480"/>
    <w:rsid w:val="003C364F"/>
    <w:rsid w:val="003C5132"/>
    <w:rsid w:val="003C69D5"/>
    <w:rsid w:val="003C6ACF"/>
    <w:rsid w:val="003C7949"/>
    <w:rsid w:val="003D0DB5"/>
    <w:rsid w:val="003D2AF3"/>
    <w:rsid w:val="003D34FF"/>
    <w:rsid w:val="003D68A1"/>
    <w:rsid w:val="003E04AC"/>
    <w:rsid w:val="003E1878"/>
    <w:rsid w:val="003E1BDA"/>
    <w:rsid w:val="003E2A4B"/>
    <w:rsid w:val="003E70DF"/>
    <w:rsid w:val="003F59D1"/>
    <w:rsid w:val="003F5B87"/>
    <w:rsid w:val="003F7141"/>
    <w:rsid w:val="00400122"/>
    <w:rsid w:val="00403E39"/>
    <w:rsid w:val="00405942"/>
    <w:rsid w:val="004065B9"/>
    <w:rsid w:val="004078DF"/>
    <w:rsid w:val="00407B0D"/>
    <w:rsid w:val="004133A3"/>
    <w:rsid w:val="00413976"/>
    <w:rsid w:val="00417F54"/>
    <w:rsid w:val="004212FF"/>
    <w:rsid w:val="004223F5"/>
    <w:rsid w:val="004306E0"/>
    <w:rsid w:val="00433B49"/>
    <w:rsid w:val="00443232"/>
    <w:rsid w:val="0044324F"/>
    <w:rsid w:val="0044565B"/>
    <w:rsid w:val="004461D7"/>
    <w:rsid w:val="00451D8D"/>
    <w:rsid w:val="0045218B"/>
    <w:rsid w:val="004610FB"/>
    <w:rsid w:val="0046110D"/>
    <w:rsid w:val="004642C9"/>
    <w:rsid w:val="004650A5"/>
    <w:rsid w:val="004671AD"/>
    <w:rsid w:val="004673B9"/>
    <w:rsid w:val="004764CB"/>
    <w:rsid w:val="004779FC"/>
    <w:rsid w:val="00480FFF"/>
    <w:rsid w:val="00481422"/>
    <w:rsid w:val="00481F91"/>
    <w:rsid w:val="004831FC"/>
    <w:rsid w:val="004837CB"/>
    <w:rsid w:val="00486031"/>
    <w:rsid w:val="00486A2A"/>
    <w:rsid w:val="00486F37"/>
    <w:rsid w:val="00491083"/>
    <w:rsid w:val="00496380"/>
    <w:rsid w:val="004965BB"/>
    <w:rsid w:val="00496A2C"/>
    <w:rsid w:val="004A0F81"/>
    <w:rsid w:val="004A1477"/>
    <w:rsid w:val="004A1CC2"/>
    <w:rsid w:val="004A7CA9"/>
    <w:rsid w:val="004B0BB7"/>
    <w:rsid w:val="004B1466"/>
    <w:rsid w:val="004B21B6"/>
    <w:rsid w:val="004B54CA"/>
    <w:rsid w:val="004B6E6B"/>
    <w:rsid w:val="004B7365"/>
    <w:rsid w:val="004C0631"/>
    <w:rsid w:val="004C2D88"/>
    <w:rsid w:val="004D3794"/>
    <w:rsid w:val="004D499A"/>
    <w:rsid w:val="004E0E14"/>
    <w:rsid w:val="004E21C6"/>
    <w:rsid w:val="004E5CBF"/>
    <w:rsid w:val="004E717C"/>
    <w:rsid w:val="004E78E6"/>
    <w:rsid w:val="004E7D00"/>
    <w:rsid w:val="004F309B"/>
    <w:rsid w:val="004F5B5A"/>
    <w:rsid w:val="004F5DB7"/>
    <w:rsid w:val="004F6258"/>
    <w:rsid w:val="0050166D"/>
    <w:rsid w:val="00503057"/>
    <w:rsid w:val="005109B6"/>
    <w:rsid w:val="00512866"/>
    <w:rsid w:val="005151C6"/>
    <w:rsid w:val="00517C8D"/>
    <w:rsid w:val="005201AE"/>
    <w:rsid w:val="00521F86"/>
    <w:rsid w:val="005220A0"/>
    <w:rsid w:val="00524004"/>
    <w:rsid w:val="00524A01"/>
    <w:rsid w:val="00530A91"/>
    <w:rsid w:val="00532557"/>
    <w:rsid w:val="00532B37"/>
    <w:rsid w:val="0053521A"/>
    <w:rsid w:val="005421FF"/>
    <w:rsid w:val="0054264A"/>
    <w:rsid w:val="0054390F"/>
    <w:rsid w:val="005440A8"/>
    <w:rsid w:val="00544924"/>
    <w:rsid w:val="00547709"/>
    <w:rsid w:val="00554933"/>
    <w:rsid w:val="00554A0D"/>
    <w:rsid w:val="00557572"/>
    <w:rsid w:val="005655D8"/>
    <w:rsid w:val="00573214"/>
    <w:rsid w:val="00576414"/>
    <w:rsid w:val="00585891"/>
    <w:rsid w:val="00585E04"/>
    <w:rsid w:val="0058632B"/>
    <w:rsid w:val="005866FE"/>
    <w:rsid w:val="00586D2A"/>
    <w:rsid w:val="005874E0"/>
    <w:rsid w:val="00587F68"/>
    <w:rsid w:val="0059617C"/>
    <w:rsid w:val="005A0C58"/>
    <w:rsid w:val="005A6B67"/>
    <w:rsid w:val="005B03DB"/>
    <w:rsid w:val="005B23D5"/>
    <w:rsid w:val="005B5266"/>
    <w:rsid w:val="005C3AA9"/>
    <w:rsid w:val="005C71C7"/>
    <w:rsid w:val="005C737F"/>
    <w:rsid w:val="005D59CF"/>
    <w:rsid w:val="005E3097"/>
    <w:rsid w:val="005E72BF"/>
    <w:rsid w:val="005F1171"/>
    <w:rsid w:val="005F2276"/>
    <w:rsid w:val="005F29B7"/>
    <w:rsid w:val="005F73E3"/>
    <w:rsid w:val="005F7484"/>
    <w:rsid w:val="0060357C"/>
    <w:rsid w:val="00606580"/>
    <w:rsid w:val="00616283"/>
    <w:rsid w:val="00621FC5"/>
    <w:rsid w:val="006232D4"/>
    <w:rsid w:val="006260D2"/>
    <w:rsid w:val="00630835"/>
    <w:rsid w:val="00637B02"/>
    <w:rsid w:val="00641454"/>
    <w:rsid w:val="00642511"/>
    <w:rsid w:val="00643CA8"/>
    <w:rsid w:val="00651F35"/>
    <w:rsid w:val="00652520"/>
    <w:rsid w:val="0066027E"/>
    <w:rsid w:val="00660966"/>
    <w:rsid w:val="00662F32"/>
    <w:rsid w:val="00665647"/>
    <w:rsid w:val="00665BF5"/>
    <w:rsid w:val="00666703"/>
    <w:rsid w:val="0066684D"/>
    <w:rsid w:val="00670C2E"/>
    <w:rsid w:val="00672EAB"/>
    <w:rsid w:val="006746FE"/>
    <w:rsid w:val="0067554D"/>
    <w:rsid w:val="00676D0D"/>
    <w:rsid w:val="0067707A"/>
    <w:rsid w:val="0068056E"/>
    <w:rsid w:val="0068195E"/>
    <w:rsid w:val="006832DC"/>
    <w:rsid w:val="00683A84"/>
    <w:rsid w:val="00683E93"/>
    <w:rsid w:val="00685BA9"/>
    <w:rsid w:val="00690FC1"/>
    <w:rsid w:val="00692C5C"/>
    <w:rsid w:val="006938C4"/>
    <w:rsid w:val="00697349"/>
    <w:rsid w:val="006A0BE6"/>
    <w:rsid w:val="006A0E9A"/>
    <w:rsid w:val="006A4711"/>
    <w:rsid w:val="006A4CE7"/>
    <w:rsid w:val="006B60D2"/>
    <w:rsid w:val="006C0163"/>
    <w:rsid w:val="006C47A7"/>
    <w:rsid w:val="006D26CD"/>
    <w:rsid w:val="006D5AF6"/>
    <w:rsid w:val="006D5E42"/>
    <w:rsid w:val="006E0034"/>
    <w:rsid w:val="006E00BD"/>
    <w:rsid w:val="006E0F12"/>
    <w:rsid w:val="006E3DEB"/>
    <w:rsid w:val="006E428F"/>
    <w:rsid w:val="006E51B9"/>
    <w:rsid w:val="006E545B"/>
    <w:rsid w:val="006E57E0"/>
    <w:rsid w:val="006E6630"/>
    <w:rsid w:val="006E70F9"/>
    <w:rsid w:val="006F0955"/>
    <w:rsid w:val="006F23B2"/>
    <w:rsid w:val="006F41B8"/>
    <w:rsid w:val="006F4C0B"/>
    <w:rsid w:val="00700B0E"/>
    <w:rsid w:val="007018E7"/>
    <w:rsid w:val="00704306"/>
    <w:rsid w:val="00705C1E"/>
    <w:rsid w:val="00706044"/>
    <w:rsid w:val="00707179"/>
    <w:rsid w:val="00711F5A"/>
    <w:rsid w:val="007129FD"/>
    <w:rsid w:val="00715789"/>
    <w:rsid w:val="00715F6F"/>
    <w:rsid w:val="007218FC"/>
    <w:rsid w:val="007229A4"/>
    <w:rsid w:val="00724BCA"/>
    <w:rsid w:val="00725F3E"/>
    <w:rsid w:val="007278E5"/>
    <w:rsid w:val="00727B85"/>
    <w:rsid w:val="007304BA"/>
    <w:rsid w:val="007359D3"/>
    <w:rsid w:val="007415EA"/>
    <w:rsid w:val="00741A95"/>
    <w:rsid w:val="007476D4"/>
    <w:rsid w:val="007521EF"/>
    <w:rsid w:val="00754461"/>
    <w:rsid w:val="007603B0"/>
    <w:rsid w:val="007627F5"/>
    <w:rsid w:val="00767742"/>
    <w:rsid w:val="0078223F"/>
    <w:rsid w:val="00782B7D"/>
    <w:rsid w:val="00783E25"/>
    <w:rsid w:val="00784280"/>
    <w:rsid w:val="00785261"/>
    <w:rsid w:val="007904EE"/>
    <w:rsid w:val="00793D72"/>
    <w:rsid w:val="00795601"/>
    <w:rsid w:val="007974F2"/>
    <w:rsid w:val="007A42BA"/>
    <w:rsid w:val="007B0256"/>
    <w:rsid w:val="007B2286"/>
    <w:rsid w:val="007B7F28"/>
    <w:rsid w:val="007C1E45"/>
    <w:rsid w:val="007C6E4E"/>
    <w:rsid w:val="007D0877"/>
    <w:rsid w:val="007D11EB"/>
    <w:rsid w:val="007D225C"/>
    <w:rsid w:val="007D2A46"/>
    <w:rsid w:val="007D47E8"/>
    <w:rsid w:val="007E1920"/>
    <w:rsid w:val="007E36C0"/>
    <w:rsid w:val="007E4238"/>
    <w:rsid w:val="007E4872"/>
    <w:rsid w:val="007E5275"/>
    <w:rsid w:val="007F2601"/>
    <w:rsid w:val="007F7553"/>
    <w:rsid w:val="008164B9"/>
    <w:rsid w:val="008215EB"/>
    <w:rsid w:val="008231E6"/>
    <w:rsid w:val="0083177B"/>
    <w:rsid w:val="00831885"/>
    <w:rsid w:val="00832489"/>
    <w:rsid w:val="00833C50"/>
    <w:rsid w:val="00833F77"/>
    <w:rsid w:val="00842E96"/>
    <w:rsid w:val="008457AC"/>
    <w:rsid w:val="008459D9"/>
    <w:rsid w:val="00846894"/>
    <w:rsid w:val="00846CAF"/>
    <w:rsid w:val="00852527"/>
    <w:rsid w:val="00853300"/>
    <w:rsid w:val="0085698F"/>
    <w:rsid w:val="00870367"/>
    <w:rsid w:val="00870EC0"/>
    <w:rsid w:val="008738B6"/>
    <w:rsid w:val="008746D0"/>
    <w:rsid w:val="00874971"/>
    <w:rsid w:val="00877BE8"/>
    <w:rsid w:val="0088412B"/>
    <w:rsid w:val="008848B0"/>
    <w:rsid w:val="00887698"/>
    <w:rsid w:val="008965D7"/>
    <w:rsid w:val="008A4064"/>
    <w:rsid w:val="008B15CA"/>
    <w:rsid w:val="008B279E"/>
    <w:rsid w:val="008B3D6C"/>
    <w:rsid w:val="008B427F"/>
    <w:rsid w:val="008B5E79"/>
    <w:rsid w:val="008B63B2"/>
    <w:rsid w:val="008B7397"/>
    <w:rsid w:val="008B7E06"/>
    <w:rsid w:val="008C38AF"/>
    <w:rsid w:val="008C4967"/>
    <w:rsid w:val="008C6FE9"/>
    <w:rsid w:val="008D05BF"/>
    <w:rsid w:val="008D453C"/>
    <w:rsid w:val="008D73C7"/>
    <w:rsid w:val="008D7CCB"/>
    <w:rsid w:val="008E26CD"/>
    <w:rsid w:val="008E5194"/>
    <w:rsid w:val="008F52A0"/>
    <w:rsid w:val="008F7548"/>
    <w:rsid w:val="009009A8"/>
    <w:rsid w:val="00900EBD"/>
    <w:rsid w:val="00901388"/>
    <w:rsid w:val="00911F7A"/>
    <w:rsid w:val="00912EFF"/>
    <w:rsid w:val="00917A47"/>
    <w:rsid w:val="009225F0"/>
    <w:rsid w:val="0093321E"/>
    <w:rsid w:val="0093462C"/>
    <w:rsid w:val="0093569D"/>
    <w:rsid w:val="00935E80"/>
    <w:rsid w:val="00937718"/>
    <w:rsid w:val="00940BD0"/>
    <w:rsid w:val="00941121"/>
    <w:rsid w:val="0094163C"/>
    <w:rsid w:val="00943101"/>
    <w:rsid w:val="00945817"/>
    <w:rsid w:val="00946574"/>
    <w:rsid w:val="00950E7A"/>
    <w:rsid w:val="0095233D"/>
    <w:rsid w:val="00953795"/>
    <w:rsid w:val="00961EF4"/>
    <w:rsid w:val="0096243A"/>
    <w:rsid w:val="009650DB"/>
    <w:rsid w:val="00967E62"/>
    <w:rsid w:val="009719D7"/>
    <w:rsid w:val="0097346B"/>
    <w:rsid w:val="00974189"/>
    <w:rsid w:val="00975698"/>
    <w:rsid w:val="00980F86"/>
    <w:rsid w:val="009817BB"/>
    <w:rsid w:val="009854CC"/>
    <w:rsid w:val="00994D22"/>
    <w:rsid w:val="00996C64"/>
    <w:rsid w:val="009A6C4E"/>
    <w:rsid w:val="009B05EF"/>
    <w:rsid w:val="009B0B5F"/>
    <w:rsid w:val="009B46B1"/>
    <w:rsid w:val="009B7C2D"/>
    <w:rsid w:val="009C0FCE"/>
    <w:rsid w:val="009C386A"/>
    <w:rsid w:val="009C621A"/>
    <w:rsid w:val="009D1A7C"/>
    <w:rsid w:val="009D25AD"/>
    <w:rsid w:val="009D3A97"/>
    <w:rsid w:val="009D4EAC"/>
    <w:rsid w:val="009D78A7"/>
    <w:rsid w:val="009F1CDA"/>
    <w:rsid w:val="009F4062"/>
    <w:rsid w:val="009F4B3F"/>
    <w:rsid w:val="009F5374"/>
    <w:rsid w:val="009F6F3C"/>
    <w:rsid w:val="00A03AE8"/>
    <w:rsid w:val="00A050FC"/>
    <w:rsid w:val="00A06DCA"/>
    <w:rsid w:val="00A20629"/>
    <w:rsid w:val="00A24795"/>
    <w:rsid w:val="00A3163D"/>
    <w:rsid w:val="00A3316E"/>
    <w:rsid w:val="00A417E4"/>
    <w:rsid w:val="00A432B8"/>
    <w:rsid w:val="00A4333F"/>
    <w:rsid w:val="00A44697"/>
    <w:rsid w:val="00A45DBA"/>
    <w:rsid w:val="00A45EC8"/>
    <w:rsid w:val="00A46BF4"/>
    <w:rsid w:val="00A4790A"/>
    <w:rsid w:val="00A47E70"/>
    <w:rsid w:val="00A526BE"/>
    <w:rsid w:val="00A53792"/>
    <w:rsid w:val="00A54920"/>
    <w:rsid w:val="00A57979"/>
    <w:rsid w:val="00A61E7A"/>
    <w:rsid w:val="00A6361B"/>
    <w:rsid w:val="00A65285"/>
    <w:rsid w:val="00A65287"/>
    <w:rsid w:val="00A71AA8"/>
    <w:rsid w:val="00A71D8D"/>
    <w:rsid w:val="00A73454"/>
    <w:rsid w:val="00A858A9"/>
    <w:rsid w:val="00A86C7D"/>
    <w:rsid w:val="00A86DB9"/>
    <w:rsid w:val="00A9105E"/>
    <w:rsid w:val="00A91619"/>
    <w:rsid w:val="00A94130"/>
    <w:rsid w:val="00A94724"/>
    <w:rsid w:val="00AA0BCE"/>
    <w:rsid w:val="00AA130F"/>
    <w:rsid w:val="00AA7EBB"/>
    <w:rsid w:val="00AB0A29"/>
    <w:rsid w:val="00AB1429"/>
    <w:rsid w:val="00AB1B32"/>
    <w:rsid w:val="00AB380B"/>
    <w:rsid w:val="00AB591A"/>
    <w:rsid w:val="00AB6753"/>
    <w:rsid w:val="00AB7601"/>
    <w:rsid w:val="00AB7A4D"/>
    <w:rsid w:val="00AC0CB4"/>
    <w:rsid w:val="00AC1DC5"/>
    <w:rsid w:val="00AC2EC1"/>
    <w:rsid w:val="00AC3AC4"/>
    <w:rsid w:val="00AC3C8B"/>
    <w:rsid w:val="00AC6ED6"/>
    <w:rsid w:val="00AD2997"/>
    <w:rsid w:val="00AD3E51"/>
    <w:rsid w:val="00AD4E2C"/>
    <w:rsid w:val="00AD615C"/>
    <w:rsid w:val="00AD6484"/>
    <w:rsid w:val="00AD6A71"/>
    <w:rsid w:val="00AE23F2"/>
    <w:rsid w:val="00AE6667"/>
    <w:rsid w:val="00AF121A"/>
    <w:rsid w:val="00AF24E8"/>
    <w:rsid w:val="00AF3471"/>
    <w:rsid w:val="00AF384F"/>
    <w:rsid w:val="00B03DAB"/>
    <w:rsid w:val="00B04ED8"/>
    <w:rsid w:val="00B06E9C"/>
    <w:rsid w:val="00B10A06"/>
    <w:rsid w:val="00B13D88"/>
    <w:rsid w:val="00B14634"/>
    <w:rsid w:val="00B2003C"/>
    <w:rsid w:val="00B20600"/>
    <w:rsid w:val="00B2073B"/>
    <w:rsid w:val="00B21B1E"/>
    <w:rsid w:val="00B231DB"/>
    <w:rsid w:val="00B25328"/>
    <w:rsid w:val="00B308AD"/>
    <w:rsid w:val="00B31F1D"/>
    <w:rsid w:val="00B3433B"/>
    <w:rsid w:val="00B34C70"/>
    <w:rsid w:val="00B4053E"/>
    <w:rsid w:val="00B41D48"/>
    <w:rsid w:val="00B434BB"/>
    <w:rsid w:val="00B44773"/>
    <w:rsid w:val="00B459E4"/>
    <w:rsid w:val="00B45A34"/>
    <w:rsid w:val="00B46F13"/>
    <w:rsid w:val="00B47311"/>
    <w:rsid w:val="00B50347"/>
    <w:rsid w:val="00B508CE"/>
    <w:rsid w:val="00B5766A"/>
    <w:rsid w:val="00B57CE3"/>
    <w:rsid w:val="00B6581B"/>
    <w:rsid w:val="00B72212"/>
    <w:rsid w:val="00B730BD"/>
    <w:rsid w:val="00B73DD2"/>
    <w:rsid w:val="00B75119"/>
    <w:rsid w:val="00B840D9"/>
    <w:rsid w:val="00B85E99"/>
    <w:rsid w:val="00B86466"/>
    <w:rsid w:val="00B91E3E"/>
    <w:rsid w:val="00B93E62"/>
    <w:rsid w:val="00BA195C"/>
    <w:rsid w:val="00BA1D76"/>
    <w:rsid w:val="00BA2DB9"/>
    <w:rsid w:val="00BA6988"/>
    <w:rsid w:val="00BB1193"/>
    <w:rsid w:val="00BB218B"/>
    <w:rsid w:val="00BB7515"/>
    <w:rsid w:val="00BC31DF"/>
    <w:rsid w:val="00BC578F"/>
    <w:rsid w:val="00BC7BEC"/>
    <w:rsid w:val="00BD6D19"/>
    <w:rsid w:val="00BE33CA"/>
    <w:rsid w:val="00BE36FA"/>
    <w:rsid w:val="00BE4DC0"/>
    <w:rsid w:val="00BE7148"/>
    <w:rsid w:val="00BF0057"/>
    <w:rsid w:val="00BF297D"/>
    <w:rsid w:val="00BF3816"/>
    <w:rsid w:val="00BF7847"/>
    <w:rsid w:val="00C00BC4"/>
    <w:rsid w:val="00C06444"/>
    <w:rsid w:val="00C06A82"/>
    <w:rsid w:val="00C072A7"/>
    <w:rsid w:val="00C14620"/>
    <w:rsid w:val="00C158FC"/>
    <w:rsid w:val="00C16760"/>
    <w:rsid w:val="00C1729F"/>
    <w:rsid w:val="00C25FBF"/>
    <w:rsid w:val="00C27199"/>
    <w:rsid w:val="00C32E1C"/>
    <w:rsid w:val="00C33394"/>
    <w:rsid w:val="00C33988"/>
    <w:rsid w:val="00C341B5"/>
    <w:rsid w:val="00C37240"/>
    <w:rsid w:val="00C4048C"/>
    <w:rsid w:val="00C41254"/>
    <w:rsid w:val="00C45B94"/>
    <w:rsid w:val="00C465E9"/>
    <w:rsid w:val="00C52818"/>
    <w:rsid w:val="00C535EB"/>
    <w:rsid w:val="00C54AF9"/>
    <w:rsid w:val="00C60439"/>
    <w:rsid w:val="00C6098F"/>
    <w:rsid w:val="00C63A3F"/>
    <w:rsid w:val="00C658E7"/>
    <w:rsid w:val="00C65959"/>
    <w:rsid w:val="00C732D9"/>
    <w:rsid w:val="00C76EF2"/>
    <w:rsid w:val="00C779B2"/>
    <w:rsid w:val="00C817E5"/>
    <w:rsid w:val="00C848E6"/>
    <w:rsid w:val="00C84DD7"/>
    <w:rsid w:val="00C86283"/>
    <w:rsid w:val="00C870AC"/>
    <w:rsid w:val="00C9100B"/>
    <w:rsid w:val="00C94F46"/>
    <w:rsid w:val="00CA3667"/>
    <w:rsid w:val="00CB0B58"/>
    <w:rsid w:val="00CB23C2"/>
    <w:rsid w:val="00CB3F81"/>
    <w:rsid w:val="00CB5863"/>
    <w:rsid w:val="00CB660F"/>
    <w:rsid w:val="00CB68DC"/>
    <w:rsid w:val="00CC661D"/>
    <w:rsid w:val="00CC76A8"/>
    <w:rsid w:val="00CC7FA3"/>
    <w:rsid w:val="00CD3144"/>
    <w:rsid w:val="00CD3D71"/>
    <w:rsid w:val="00CD68AF"/>
    <w:rsid w:val="00CD78B4"/>
    <w:rsid w:val="00CE56F9"/>
    <w:rsid w:val="00CE6778"/>
    <w:rsid w:val="00CE70CD"/>
    <w:rsid w:val="00CE74A3"/>
    <w:rsid w:val="00CE791E"/>
    <w:rsid w:val="00CF02C1"/>
    <w:rsid w:val="00CF0A3D"/>
    <w:rsid w:val="00CF2BA9"/>
    <w:rsid w:val="00D031CF"/>
    <w:rsid w:val="00D03972"/>
    <w:rsid w:val="00D0663F"/>
    <w:rsid w:val="00D13460"/>
    <w:rsid w:val="00D13EA6"/>
    <w:rsid w:val="00D224EE"/>
    <w:rsid w:val="00D22AC6"/>
    <w:rsid w:val="00D30D58"/>
    <w:rsid w:val="00D33522"/>
    <w:rsid w:val="00D43506"/>
    <w:rsid w:val="00D57DA0"/>
    <w:rsid w:val="00D6476D"/>
    <w:rsid w:val="00D701DF"/>
    <w:rsid w:val="00D70386"/>
    <w:rsid w:val="00D7039C"/>
    <w:rsid w:val="00D71142"/>
    <w:rsid w:val="00D7270C"/>
    <w:rsid w:val="00D74357"/>
    <w:rsid w:val="00D77661"/>
    <w:rsid w:val="00D83932"/>
    <w:rsid w:val="00D92519"/>
    <w:rsid w:val="00D943D0"/>
    <w:rsid w:val="00D95F6B"/>
    <w:rsid w:val="00D96CDD"/>
    <w:rsid w:val="00D97B7C"/>
    <w:rsid w:val="00DA01E2"/>
    <w:rsid w:val="00DA243A"/>
    <w:rsid w:val="00DA479E"/>
    <w:rsid w:val="00DA58A6"/>
    <w:rsid w:val="00DA6BB9"/>
    <w:rsid w:val="00DB2DCC"/>
    <w:rsid w:val="00DB67B6"/>
    <w:rsid w:val="00DC2644"/>
    <w:rsid w:val="00DC4805"/>
    <w:rsid w:val="00DC5AFD"/>
    <w:rsid w:val="00DC7D99"/>
    <w:rsid w:val="00DC7E77"/>
    <w:rsid w:val="00DD6601"/>
    <w:rsid w:val="00DE15F0"/>
    <w:rsid w:val="00DE65F9"/>
    <w:rsid w:val="00DF1AB2"/>
    <w:rsid w:val="00DF3198"/>
    <w:rsid w:val="00DF389C"/>
    <w:rsid w:val="00DF42A9"/>
    <w:rsid w:val="00E025D8"/>
    <w:rsid w:val="00E11471"/>
    <w:rsid w:val="00E117FD"/>
    <w:rsid w:val="00E13090"/>
    <w:rsid w:val="00E14160"/>
    <w:rsid w:val="00E17458"/>
    <w:rsid w:val="00E179E1"/>
    <w:rsid w:val="00E24FE8"/>
    <w:rsid w:val="00E2681E"/>
    <w:rsid w:val="00E273E4"/>
    <w:rsid w:val="00E27D6B"/>
    <w:rsid w:val="00E34CFB"/>
    <w:rsid w:val="00E355B0"/>
    <w:rsid w:val="00E44B15"/>
    <w:rsid w:val="00E45A16"/>
    <w:rsid w:val="00E47D1F"/>
    <w:rsid w:val="00E53324"/>
    <w:rsid w:val="00E53675"/>
    <w:rsid w:val="00E6440A"/>
    <w:rsid w:val="00E7029A"/>
    <w:rsid w:val="00E7305D"/>
    <w:rsid w:val="00E73CD5"/>
    <w:rsid w:val="00E757A1"/>
    <w:rsid w:val="00E76391"/>
    <w:rsid w:val="00E76BAA"/>
    <w:rsid w:val="00E77775"/>
    <w:rsid w:val="00E77B51"/>
    <w:rsid w:val="00E77ED1"/>
    <w:rsid w:val="00E80540"/>
    <w:rsid w:val="00E8404A"/>
    <w:rsid w:val="00E852F8"/>
    <w:rsid w:val="00E859F1"/>
    <w:rsid w:val="00E9139F"/>
    <w:rsid w:val="00E91F8D"/>
    <w:rsid w:val="00E943EC"/>
    <w:rsid w:val="00E97FBC"/>
    <w:rsid w:val="00EA07B9"/>
    <w:rsid w:val="00EA1E7F"/>
    <w:rsid w:val="00EA1F11"/>
    <w:rsid w:val="00EB4FE3"/>
    <w:rsid w:val="00EB5076"/>
    <w:rsid w:val="00EB552B"/>
    <w:rsid w:val="00EB74AD"/>
    <w:rsid w:val="00EC5F2C"/>
    <w:rsid w:val="00ED09BA"/>
    <w:rsid w:val="00ED2244"/>
    <w:rsid w:val="00ED4CD6"/>
    <w:rsid w:val="00ED4F3A"/>
    <w:rsid w:val="00ED5289"/>
    <w:rsid w:val="00ED7611"/>
    <w:rsid w:val="00ED7ABA"/>
    <w:rsid w:val="00EE5FB2"/>
    <w:rsid w:val="00EE6369"/>
    <w:rsid w:val="00EE642F"/>
    <w:rsid w:val="00EE7232"/>
    <w:rsid w:val="00EF1D13"/>
    <w:rsid w:val="00EF2B10"/>
    <w:rsid w:val="00F024B3"/>
    <w:rsid w:val="00F04CED"/>
    <w:rsid w:val="00F111F2"/>
    <w:rsid w:val="00F129C5"/>
    <w:rsid w:val="00F12CF6"/>
    <w:rsid w:val="00F13F9F"/>
    <w:rsid w:val="00F150DF"/>
    <w:rsid w:val="00F16F8B"/>
    <w:rsid w:val="00F23DA9"/>
    <w:rsid w:val="00F23DF4"/>
    <w:rsid w:val="00F30AFE"/>
    <w:rsid w:val="00F32D92"/>
    <w:rsid w:val="00F35326"/>
    <w:rsid w:val="00F40B29"/>
    <w:rsid w:val="00F41519"/>
    <w:rsid w:val="00F41C25"/>
    <w:rsid w:val="00F511BB"/>
    <w:rsid w:val="00F53690"/>
    <w:rsid w:val="00F5419E"/>
    <w:rsid w:val="00F549DD"/>
    <w:rsid w:val="00F55596"/>
    <w:rsid w:val="00F5601E"/>
    <w:rsid w:val="00F566ED"/>
    <w:rsid w:val="00F56923"/>
    <w:rsid w:val="00F56BEE"/>
    <w:rsid w:val="00F572D9"/>
    <w:rsid w:val="00F61B35"/>
    <w:rsid w:val="00F64FE2"/>
    <w:rsid w:val="00F70ED7"/>
    <w:rsid w:val="00F7290A"/>
    <w:rsid w:val="00F738A3"/>
    <w:rsid w:val="00F74BC3"/>
    <w:rsid w:val="00F903A2"/>
    <w:rsid w:val="00F979F3"/>
    <w:rsid w:val="00F97A67"/>
    <w:rsid w:val="00FA07B7"/>
    <w:rsid w:val="00FA0D91"/>
    <w:rsid w:val="00FA4539"/>
    <w:rsid w:val="00FB2DA0"/>
    <w:rsid w:val="00FB30F1"/>
    <w:rsid w:val="00FB5171"/>
    <w:rsid w:val="00FC0991"/>
    <w:rsid w:val="00FC1B3A"/>
    <w:rsid w:val="00FC1CEF"/>
    <w:rsid w:val="00FD1F63"/>
    <w:rsid w:val="00FD3D1D"/>
    <w:rsid w:val="00FD5421"/>
    <w:rsid w:val="00FD695B"/>
    <w:rsid w:val="00FD6B57"/>
    <w:rsid w:val="00FE4C03"/>
    <w:rsid w:val="00FF6A14"/>
    <w:rsid w:val="00FF78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4:docId w14:val="4337D3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qFormat="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A16"/>
    <w:rPr>
      <w:rFonts w:ascii="Arial" w:hAnsi="Arial"/>
    </w:rPr>
  </w:style>
  <w:style w:type="paragraph" w:styleId="Heading1">
    <w:name w:val="heading 1"/>
    <w:aliases w:val="1.,Front Page Title,Heading 1 do not use,Para 1,Para 11,Part,Section heading 1"/>
    <w:basedOn w:val="Normal"/>
    <w:next w:val="Normal"/>
    <w:link w:val="Heading1Char"/>
    <w:qFormat/>
    <w:rsid w:val="004B54CA"/>
    <w:pPr>
      <w:spacing w:before="480" w:after="0"/>
      <w:contextualSpacing/>
      <w:outlineLvl w:val="0"/>
    </w:pPr>
    <w:rPr>
      <w:rFonts w:eastAsiaTheme="majorEastAsia" w:cstheme="majorBidi"/>
      <w:b/>
      <w:bCs/>
      <w:sz w:val="32"/>
      <w:szCs w:val="28"/>
    </w:rPr>
  </w:style>
  <w:style w:type="paragraph" w:styleId="Heading2">
    <w:name w:val="heading 2"/>
    <w:aliases w:val="Chapter,Front Page List of Sections,Heading 2 do not use,Outcome"/>
    <w:basedOn w:val="Normal"/>
    <w:next w:val="Normal"/>
    <w:link w:val="Heading2Char"/>
    <w:unhideWhenUsed/>
    <w:qFormat/>
    <w:rsid w:val="004B54CA"/>
    <w:pPr>
      <w:spacing w:before="200" w:after="0"/>
      <w:outlineLvl w:val="1"/>
    </w:pPr>
    <w:rPr>
      <w:rFonts w:eastAsiaTheme="majorEastAsia" w:cstheme="majorBidi"/>
      <w:b/>
      <w:bCs/>
      <w:sz w:val="26"/>
      <w:szCs w:val="26"/>
    </w:rPr>
  </w:style>
  <w:style w:type="paragraph" w:styleId="Heading3">
    <w:name w:val="heading 3"/>
    <w:aliases w:val="Head 1,Heading 3 do not use"/>
    <w:basedOn w:val="Normal"/>
    <w:next w:val="Normal"/>
    <w:link w:val="Heading3Char"/>
    <w:unhideWhenUsed/>
    <w:qFormat/>
    <w:rsid w:val="004B54CA"/>
    <w:pPr>
      <w:spacing w:before="200" w:after="0" w:line="271" w:lineRule="auto"/>
      <w:outlineLvl w:val="2"/>
    </w:pPr>
    <w:rPr>
      <w:rFonts w:eastAsiaTheme="majorEastAsia" w:cstheme="majorBidi"/>
      <w:b/>
      <w:bCs/>
    </w:rPr>
  </w:style>
  <w:style w:type="paragraph" w:styleId="Heading4">
    <w:name w:val="heading 4"/>
    <w:aliases w:val="Head 2"/>
    <w:basedOn w:val="Normal"/>
    <w:next w:val="Normal"/>
    <w:link w:val="Heading4Char"/>
    <w:unhideWhenUsed/>
    <w:qFormat/>
    <w:rsid w:val="004B54CA"/>
    <w:pPr>
      <w:spacing w:before="200" w:after="0"/>
      <w:outlineLvl w:val="3"/>
    </w:pPr>
    <w:rPr>
      <w:rFonts w:eastAsiaTheme="majorEastAsia" w:cstheme="majorBidi"/>
      <w:b/>
      <w:bCs/>
      <w:i/>
      <w:iCs/>
    </w:rPr>
  </w:style>
  <w:style w:type="paragraph" w:styleId="Heading5">
    <w:name w:val="heading 5"/>
    <w:aliases w:val="Head 3"/>
    <w:basedOn w:val="Normal"/>
    <w:next w:val="Normal"/>
    <w:link w:val="Heading5Char"/>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aliases w:val="Head 4"/>
    <w:basedOn w:val="Normal"/>
    <w:next w:val="Normal"/>
    <w:link w:val="Heading6Char"/>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aliases w:val="Section Sub-Heading 4"/>
    <w:basedOn w:val="Normal"/>
    <w:next w:val="Normal"/>
    <w:link w:val="Heading7Char"/>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Front Page Title Char,Heading 1 do not use Char,Para 1 Char,Para 11 Char,Part Char,Section heading 1 Char"/>
    <w:basedOn w:val="DefaultParagraphFont"/>
    <w:link w:val="Heading1"/>
    <w:rsid w:val="004B54CA"/>
    <w:rPr>
      <w:rFonts w:ascii="Arial" w:eastAsiaTheme="majorEastAsia" w:hAnsi="Arial" w:cstheme="majorBidi"/>
      <w:b/>
      <w:bCs/>
      <w:sz w:val="32"/>
      <w:szCs w:val="28"/>
    </w:rPr>
  </w:style>
  <w:style w:type="character" w:customStyle="1" w:styleId="Heading2Char">
    <w:name w:val="Heading 2 Char"/>
    <w:aliases w:val="Chapter Char,Front Page List of Sections Char,Heading 2 do not use Char,Outcome Char"/>
    <w:basedOn w:val="DefaultParagraphFont"/>
    <w:link w:val="Heading2"/>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aliases w:val="Head 1 Char,Heading 3 do not use Char"/>
    <w:basedOn w:val="DefaultParagraphFont"/>
    <w:link w:val="Heading3"/>
    <w:rsid w:val="004B54CA"/>
    <w:rPr>
      <w:rFonts w:ascii="Arial" w:eastAsiaTheme="majorEastAsia" w:hAnsi="Arial" w:cstheme="majorBidi"/>
      <w:b/>
      <w:bCs/>
    </w:rPr>
  </w:style>
  <w:style w:type="character" w:customStyle="1" w:styleId="Heading4Char">
    <w:name w:val="Heading 4 Char"/>
    <w:aliases w:val="Head 2 Char"/>
    <w:basedOn w:val="DefaultParagraphFont"/>
    <w:link w:val="Heading4"/>
    <w:rsid w:val="004B54CA"/>
    <w:rPr>
      <w:rFonts w:ascii="Arial" w:eastAsiaTheme="majorEastAsia" w:hAnsi="Arial" w:cstheme="majorBidi"/>
      <w:b/>
      <w:bCs/>
      <w:i/>
      <w:iCs/>
    </w:rPr>
  </w:style>
  <w:style w:type="character" w:customStyle="1" w:styleId="Heading5Char">
    <w:name w:val="Heading 5 Char"/>
    <w:aliases w:val="Head 3 Char"/>
    <w:basedOn w:val="DefaultParagraphFont"/>
    <w:link w:val="Heading5"/>
    <w:rsid w:val="004B54CA"/>
    <w:rPr>
      <w:rFonts w:ascii="Arial" w:eastAsiaTheme="majorEastAsia" w:hAnsi="Arial" w:cstheme="majorBidi"/>
      <w:b/>
      <w:bCs/>
      <w:color w:val="7F7F7F" w:themeColor="text1" w:themeTint="80"/>
    </w:rPr>
  </w:style>
  <w:style w:type="character" w:customStyle="1" w:styleId="Heading6Char">
    <w:name w:val="Heading 6 Char"/>
    <w:aliases w:val="Head 4 Char"/>
    <w:basedOn w:val="DefaultParagraphFont"/>
    <w:link w:val="Heading6"/>
    <w:rsid w:val="004B54CA"/>
    <w:rPr>
      <w:rFonts w:ascii="Arial" w:eastAsiaTheme="majorEastAsia" w:hAnsi="Arial" w:cstheme="majorBidi"/>
      <w:b/>
      <w:bCs/>
      <w:i/>
      <w:iCs/>
      <w:color w:val="7F7F7F" w:themeColor="text1" w:themeTint="80"/>
    </w:rPr>
  </w:style>
  <w:style w:type="character" w:customStyle="1" w:styleId="Heading7Char">
    <w:name w:val="Heading 7 Char"/>
    <w:aliases w:val="Section Sub-Heading 4 Char"/>
    <w:basedOn w:val="DefaultParagraphFont"/>
    <w:link w:val="Heading7"/>
    <w:rsid w:val="004B54CA"/>
    <w:rPr>
      <w:rFonts w:ascii="Arial" w:eastAsiaTheme="majorEastAsia" w:hAnsi="Arial" w:cstheme="majorBidi"/>
      <w:i/>
      <w:iCs/>
    </w:rPr>
  </w:style>
  <w:style w:type="character" w:customStyle="1" w:styleId="Heading8Char">
    <w:name w:val="Heading 8 Char"/>
    <w:basedOn w:val="DefaultParagraphFont"/>
    <w:link w:val="Heading8"/>
    <w:rsid w:val="004B54CA"/>
    <w:rPr>
      <w:rFonts w:ascii="Arial" w:eastAsiaTheme="majorEastAsia" w:hAnsi="Arial" w:cstheme="majorBidi"/>
      <w:sz w:val="20"/>
      <w:szCs w:val="20"/>
    </w:rPr>
  </w:style>
  <w:style w:type="character" w:customStyle="1" w:styleId="Heading9Char">
    <w:name w:val="Heading 9 Char"/>
    <w:basedOn w:val="DefaultParagraphFont"/>
    <w:link w:val="Heading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aliases w:val="Bold,Bold Text"/>
    <w:uiPriority w:val="22"/>
    <w:qFormat/>
    <w:rsid w:val="004B54CA"/>
    <w:rPr>
      <w:b/>
      <w:bCs/>
    </w:rPr>
  </w:style>
  <w:style w:type="paragraph" w:styleId="ListParagraph">
    <w:name w:val="List Paragraph"/>
    <w:aliases w:val="#List Paragraph,Brief List Paragraph 1,Bullets,DDM Gen Text,L,Level 1 list,List - bullet,List Paragraph - bullet,List Paragraph - bullets,List Paragraph1,List Paragraph11,NFP GP Bulleted List,Number,Recommendation,Use Case List Paragraph"/>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aliases w:val="Outcome Headings"/>
    <w:uiPriority w:val="33"/>
    <w:qFormat/>
    <w:rsid w:val="004B54CA"/>
    <w:rPr>
      <w:i/>
      <w:iCs/>
      <w:smallCaps/>
      <w:spacing w:val="5"/>
    </w:rPr>
  </w:style>
  <w:style w:type="paragraph" w:styleId="Caption">
    <w:name w:val="caption"/>
    <w:aliases w:val="table title,Figure heading,*Caption"/>
    <w:basedOn w:val="Normal"/>
    <w:next w:val="Normal"/>
    <w:link w:val="CaptionChar"/>
    <w:unhideWhenUsed/>
    <w:qFormat/>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aliases w:val="Footer - superscript"/>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aliases w:val="Footer - superscript Char"/>
    <w:basedOn w:val="DefaultParagraphFont"/>
    <w:link w:val="Footer"/>
    <w:uiPriority w:val="99"/>
    <w:rsid w:val="00B04ED8"/>
    <w:rPr>
      <w:rFonts w:ascii="Arial" w:hAnsi="Arial"/>
    </w:rPr>
  </w:style>
  <w:style w:type="paragraph" w:styleId="ListBullet">
    <w:name w:val="List Bullet"/>
    <w:basedOn w:val="Normal"/>
    <w:uiPriority w:val="1"/>
    <w:qFormat/>
    <w:rsid w:val="00E45A16"/>
    <w:pPr>
      <w:numPr>
        <w:numId w:val="1"/>
      </w:numPr>
      <w:spacing w:before="60" w:after="120" w:line="260" w:lineRule="atLeast"/>
    </w:pPr>
    <w:rPr>
      <w:rFonts w:cs="Times New Roman"/>
      <w:spacing w:val="4"/>
      <w:sz w:val="20"/>
      <w:szCs w:val="24"/>
    </w:rPr>
  </w:style>
  <w:style w:type="character" w:styleId="PageNumber">
    <w:name w:val="page number"/>
    <w:basedOn w:val="DefaultParagraphFont"/>
    <w:uiPriority w:val="99"/>
    <w:unhideWhenUsed/>
    <w:qFormat/>
    <w:rsid w:val="00E45A16"/>
  </w:style>
  <w:style w:type="numbering" w:customStyle="1" w:styleId="CurrentList25">
    <w:name w:val="Current List25"/>
    <w:rsid w:val="00E45A16"/>
    <w:pPr>
      <w:numPr>
        <w:numId w:val="2"/>
      </w:numPr>
    </w:pPr>
  </w:style>
  <w:style w:type="paragraph" w:customStyle="1" w:styleId="NormalIndented">
    <w:name w:val="Normal Indented"/>
    <w:basedOn w:val="Normal"/>
    <w:qFormat/>
    <w:rsid w:val="00E45A16"/>
    <w:pPr>
      <w:suppressAutoHyphens/>
      <w:spacing w:before="180" w:after="60" w:line="280" w:lineRule="atLeast"/>
      <w:ind w:left="284"/>
    </w:pPr>
    <w:rPr>
      <w:rFonts w:asciiTheme="minorHAnsi" w:hAnsiTheme="minorHAnsi"/>
    </w:rPr>
  </w:style>
  <w:style w:type="table" w:styleId="TableGrid">
    <w:name w:val="Table Grid"/>
    <w:aliases w:val="H: Horizontal table,Numerical table"/>
    <w:basedOn w:val="TableNormal"/>
    <w:uiPriority w:val="59"/>
    <w:rsid w:val="00E45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
    <w:name w:val="Table(a)"/>
    <w:aliases w:val="ta"/>
    <w:basedOn w:val="Normal"/>
    <w:rsid w:val="00E45A16"/>
    <w:pPr>
      <w:spacing w:before="60" w:after="0" w:line="240" w:lineRule="auto"/>
      <w:ind w:left="284" w:hanging="284"/>
    </w:pPr>
    <w:rPr>
      <w:rFonts w:ascii="Times New Roman" w:eastAsia="Times New Roman" w:hAnsi="Times New Roman" w:cs="Times New Roman"/>
      <w:sz w:val="20"/>
      <w:szCs w:val="20"/>
      <w:lang w:eastAsia="en-AU"/>
    </w:rPr>
  </w:style>
  <w:style w:type="paragraph" w:customStyle="1" w:styleId="Tabletext">
    <w:name w:val="Tabletext"/>
    <w:aliases w:val="tt"/>
    <w:basedOn w:val="Normal"/>
    <w:rsid w:val="00E45A16"/>
    <w:pPr>
      <w:spacing w:before="60" w:after="0" w:line="240" w:lineRule="atLeast"/>
    </w:pPr>
    <w:rPr>
      <w:rFonts w:ascii="Times New Roman" w:eastAsia="Times New Roman" w:hAnsi="Times New Roman" w:cs="Times New Roman"/>
      <w:sz w:val="20"/>
      <w:szCs w:val="20"/>
      <w:lang w:eastAsia="en-AU"/>
    </w:rPr>
  </w:style>
  <w:style w:type="paragraph" w:customStyle="1" w:styleId="Pa103">
    <w:name w:val="Pa103"/>
    <w:basedOn w:val="Normal"/>
    <w:next w:val="Normal"/>
    <w:uiPriority w:val="99"/>
    <w:rsid w:val="00E45A16"/>
    <w:pPr>
      <w:autoSpaceDE w:val="0"/>
      <w:autoSpaceDN w:val="0"/>
      <w:adjustRightInd w:val="0"/>
      <w:spacing w:after="0" w:line="191" w:lineRule="atLeast"/>
    </w:pPr>
    <w:rPr>
      <w:rFonts w:ascii="Helvetica 45 Light" w:hAnsi="Helvetica 45 Light"/>
      <w:sz w:val="24"/>
      <w:szCs w:val="24"/>
    </w:rPr>
  </w:style>
  <w:style w:type="numbering" w:customStyle="1" w:styleId="CurrentList15">
    <w:name w:val="Current List15"/>
    <w:rsid w:val="00E45A16"/>
    <w:pPr>
      <w:numPr>
        <w:numId w:val="3"/>
      </w:numPr>
    </w:pPr>
  </w:style>
  <w:style w:type="character" w:styleId="Hyperlink">
    <w:name w:val="Hyperlink"/>
    <w:basedOn w:val="DefaultParagraphFont"/>
    <w:uiPriority w:val="99"/>
    <w:unhideWhenUsed/>
    <w:rsid w:val="00B434BB"/>
    <w:rPr>
      <w:color w:val="0000FF" w:themeColor="hyperlink"/>
      <w:u w:val="single"/>
    </w:rPr>
  </w:style>
  <w:style w:type="character" w:customStyle="1" w:styleId="ListParagraphChar">
    <w:name w:val="List Paragraph Char"/>
    <w:aliases w:val="#List Paragraph Char,Brief List Paragraph 1 Char,Bullets Char,DDM Gen Text Char,L Char,Level 1 list Char,List - bullet Char,List Paragraph - bullet Char,List Paragraph - bullets Char,List Paragraph1 Char,List Paragraph11 Char"/>
    <w:basedOn w:val="DefaultParagraphFont"/>
    <w:link w:val="ListParagraph"/>
    <w:uiPriority w:val="34"/>
    <w:qFormat/>
    <w:locked/>
    <w:rsid w:val="00B434BB"/>
    <w:rPr>
      <w:rFonts w:ascii="Arial" w:hAnsi="Arial"/>
    </w:rPr>
  </w:style>
  <w:style w:type="table" w:customStyle="1" w:styleId="HHorizontaltable1">
    <w:name w:val="H: Horizontal table1"/>
    <w:basedOn w:val="TableNormal"/>
    <w:rsid w:val="0060357C"/>
    <w:pPr>
      <w:spacing w:before="120" w:after="120" w:line="240" w:lineRule="auto"/>
    </w:pPr>
    <w:tblPr>
      <w:tblStyleRowBandSize w:val="1"/>
      <w:tblStyleColBandSize w:val="1"/>
      <w:tblBorders>
        <w:insideH w:val="single" w:sz="4" w:space="0" w:color="FFFFFF" w:themeColor="background1"/>
      </w:tblBorders>
    </w:tblPr>
    <w:tblStylePr w:type="firstRow">
      <w:pPr>
        <w:jc w:val="left"/>
      </w:pPr>
      <w:rPr>
        <w:rFonts w:ascii="Arial" w:hAnsi="Arial" w:cs="Arial" w:hint="default"/>
        <w:b/>
        <w:sz w:val="22"/>
        <w:szCs w:val="22"/>
      </w:rPr>
      <w:tblPr/>
      <w:tcPr>
        <w:tcBorders>
          <w:top w:val="nil"/>
          <w:left w:val="nil"/>
          <w:bottom w:val="nil"/>
          <w:right w:val="nil"/>
          <w:insideH w:val="nil"/>
          <w:insideV w:val="nil"/>
          <w:tl2br w:val="nil"/>
          <w:tr2bl w:val="nil"/>
        </w:tcBorders>
        <w:shd w:val="clear" w:color="auto" w:fill="00B0B9"/>
        <w:vAlign w:val="bottom"/>
      </w:tcPr>
    </w:tblStylePr>
    <w:tblStylePr w:type="band1Horz">
      <w:tblPr/>
      <w:tcPr>
        <w:shd w:val="clear" w:color="auto" w:fill="DDDDDA"/>
      </w:tcPr>
    </w:tblStylePr>
    <w:tblStylePr w:type="band2Horz">
      <w:tblPr/>
      <w:tcPr>
        <w:shd w:val="clear" w:color="auto" w:fill="EEEEEC"/>
      </w:tcPr>
    </w:tblStylePr>
  </w:style>
  <w:style w:type="table" w:customStyle="1" w:styleId="HHorizontaltable12">
    <w:name w:val="H: Horizontal table12"/>
    <w:basedOn w:val="TableNormal"/>
    <w:rsid w:val="0060357C"/>
    <w:pPr>
      <w:spacing w:before="120" w:after="120" w:line="240" w:lineRule="auto"/>
    </w:pPr>
    <w:tblPr>
      <w:tblStyleRowBandSize w:val="1"/>
      <w:tblStyleColBandSize w:val="1"/>
      <w:tblBorders>
        <w:insideH w:val="single" w:sz="4" w:space="0" w:color="FFFFFF" w:themeColor="background1"/>
      </w:tblBorders>
    </w:tblPr>
    <w:tblStylePr w:type="firstRow">
      <w:pPr>
        <w:jc w:val="left"/>
      </w:pPr>
      <w:rPr>
        <w:rFonts w:ascii="Arial" w:hAnsi="Arial" w:cs="Arial" w:hint="default"/>
        <w:b/>
        <w:sz w:val="22"/>
        <w:szCs w:val="22"/>
      </w:rPr>
      <w:tblPr/>
      <w:tcPr>
        <w:tcBorders>
          <w:top w:val="nil"/>
          <w:left w:val="nil"/>
          <w:bottom w:val="nil"/>
          <w:right w:val="nil"/>
          <w:insideH w:val="nil"/>
          <w:insideV w:val="nil"/>
          <w:tl2br w:val="nil"/>
          <w:tr2bl w:val="nil"/>
        </w:tcBorders>
        <w:shd w:val="clear" w:color="auto" w:fill="00B0B9"/>
        <w:vAlign w:val="bottom"/>
      </w:tcPr>
    </w:tblStylePr>
    <w:tblStylePr w:type="band1Horz">
      <w:tblPr/>
      <w:tcPr>
        <w:shd w:val="clear" w:color="auto" w:fill="DDDDDA"/>
      </w:tcPr>
    </w:tblStylePr>
    <w:tblStylePr w:type="band2Horz">
      <w:tblPr/>
      <w:tcPr>
        <w:shd w:val="clear" w:color="auto" w:fill="EEEEEC"/>
      </w:tcPr>
    </w:tblStylePr>
  </w:style>
  <w:style w:type="table" w:customStyle="1" w:styleId="Table-VerticalOrange1">
    <w:name w:val="Table - Vertical (Orange)1"/>
    <w:basedOn w:val="TableNormal"/>
    <w:uiPriority w:val="99"/>
    <w:rsid w:val="0060357C"/>
    <w:pPr>
      <w:spacing w:after="0" w:line="240" w:lineRule="auto"/>
    </w:pPr>
    <w:rPr>
      <w:color w:val="000000" w:themeColor="text1"/>
      <w:sz w:val="18"/>
    </w:rPr>
    <w:tblPr>
      <w:tblStyleColBandSize w:val="1"/>
      <w:tblBorders>
        <w:insideH w:val="single" w:sz="8" w:space="0" w:color="FFFFFF" w:themeColor="background1"/>
      </w:tblBorders>
    </w:tblPr>
    <w:tcPr>
      <w:shd w:val="clear" w:color="auto" w:fill="FFFFFF" w:themeFill="background1"/>
    </w:tcPr>
    <w:tblStylePr w:type="firstRow">
      <w:pPr>
        <w:jc w:val="left"/>
      </w:pPr>
      <w:rPr>
        <w:rFonts w:asciiTheme="minorHAnsi" w:hAnsiTheme="minorHAnsi" w:cs="Arial" w:hint="default"/>
        <w:b/>
        <w:sz w:val="18"/>
        <w:szCs w:val="18"/>
      </w:rPr>
      <w:tblPr/>
      <w:tcPr>
        <w:shd w:val="clear" w:color="auto" w:fill="FFA300"/>
        <w:vAlign w:val="bottom"/>
      </w:tcPr>
    </w:tblStylePr>
    <w:tblStylePr w:type="lastRow">
      <w:rPr>
        <w:u w:val="single"/>
      </w:rPr>
    </w:tblStylePr>
    <w:tblStylePr w:type="band1Vert">
      <w:tblPr/>
      <w:tcPr>
        <w:shd w:val="clear" w:color="auto" w:fill="EAEAEA"/>
      </w:tcPr>
    </w:tblStylePr>
    <w:tblStylePr w:type="band2Vert">
      <w:tblPr/>
      <w:tcPr>
        <w:shd w:val="clear" w:color="auto" w:fill="F8F8F8"/>
      </w:tcPr>
    </w:tblStylePr>
  </w:style>
  <w:style w:type="table" w:customStyle="1" w:styleId="Table-VerticalOrange2">
    <w:name w:val="Table - Vertical (Orange)2"/>
    <w:basedOn w:val="TableNormal"/>
    <w:uiPriority w:val="99"/>
    <w:rsid w:val="0060357C"/>
    <w:pPr>
      <w:spacing w:after="0" w:line="240" w:lineRule="auto"/>
    </w:pPr>
    <w:rPr>
      <w:color w:val="000000" w:themeColor="text1"/>
      <w:sz w:val="18"/>
    </w:rPr>
    <w:tblPr>
      <w:tblStyleColBandSize w:val="1"/>
      <w:tblBorders>
        <w:insideH w:val="single" w:sz="8" w:space="0" w:color="FFFFFF" w:themeColor="background1"/>
      </w:tblBorders>
    </w:tblPr>
    <w:tcPr>
      <w:shd w:val="clear" w:color="auto" w:fill="FFFFFF" w:themeFill="background1"/>
    </w:tcPr>
    <w:tblStylePr w:type="firstRow">
      <w:pPr>
        <w:jc w:val="left"/>
      </w:pPr>
      <w:rPr>
        <w:rFonts w:asciiTheme="minorHAnsi" w:hAnsiTheme="minorHAnsi" w:cs="Arial" w:hint="default"/>
        <w:b/>
        <w:sz w:val="18"/>
        <w:szCs w:val="18"/>
      </w:rPr>
      <w:tblPr/>
      <w:tcPr>
        <w:shd w:val="clear" w:color="auto" w:fill="FFA300"/>
        <w:vAlign w:val="bottom"/>
      </w:tcPr>
    </w:tblStylePr>
    <w:tblStylePr w:type="lastRow">
      <w:rPr>
        <w:u w:val="single"/>
      </w:rPr>
    </w:tblStylePr>
    <w:tblStylePr w:type="band1Vert">
      <w:tblPr/>
      <w:tcPr>
        <w:shd w:val="clear" w:color="auto" w:fill="EAEAEA"/>
      </w:tcPr>
    </w:tblStylePr>
    <w:tblStylePr w:type="band2Vert">
      <w:tblPr/>
      <w:tcPr>
        <w:shd w:val="clear" w:color="auto" w:fill="F8F8F8"/>
      </w:tcPr>
    </w:tblStylePr>
  </w:style>
  <w:style w:type="paragraph" w:customStyle="1" w:styleId="Default">
    <w:name w:val="Default"/>
    <w:basedOn w:val="Normal"/>
    <w:link w:val="DefaultChar"/>
    <w:rsid w:val="00AB380B"/>
    <w:pPr>
      <w:autoSpaceDE w:val="0"/>
      <w:autoSpaceDN w:val="0"/>
      <w:spacing w:after="0" w:line="240" w:lineRule="auto"/>
    </w:pPr>
    <w:rPr>
      <w:rFonts w:ascii="Times New Roman" w:hAnsi="Times New Roman" w:cs="Times New Roman"/>
      <w:color w:val="000000"/>
      <w:sz w:val="24"/>
      <w:szCs w:val="24"/>
      <w:lang w:eastAsia="en-AU"/>
    </w:rPr>
  </w:style>
  <w:style w:type="character" w:customStyle="1" w:styleId="DefaultChar">
    <w:name w:val="Default Char"/>
    <w:basedOn w:val="DefaultParagraphFont"/>
    <w:link w:val="Default"/>
    <w:locked/>
    <w:rsid w:val="00AB380B"/>
    <w:rPr>
      <w:rFonts w:ascii="Times New Roman" w:hAnsi="Times New Roman" w:cs="Times New Roman"/>
      <w:color w:val="000000"/>
      <w:sz w:val="24"/>
      <w:szCs w:val="24"/>
      <w:lang w:eastAsia="en-AU"/>
    </w:rPr>
  </w:style>
  <w:style w:type="paragraph" w:styleId="BalloonText">
    <w:name w:val="Balloon Text"/>
    <w:basedOn w:val="Normal"/>
    <w:link w:val="BalloonTextChar"/>
    <w:uiPriority w:val="99"/>
    <w:unhideWhenUsed/>
    <w:rsid w:val="00AB38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B380B"/>
    <w:rPr>
      <w:rFonts w:ascii="Segoe UI" w:hAnsi="Segoe UI" w:cs="Segoe UI"/>
      <w:sz w:val="18"/>
      <w:szCs w:val="18"/>
    </w:rPr>
  </w:style>
  <w:style w:type="character" w:styleId="CommentReference">
    <w:name w:val="annotation reference"/>
    <w:basedOn w:val="DefaultParagraphFont"/>
    <w:semiHidden/>
    <w:unhideWhenUsed/>
    <w:rsid w:val="00093ACB"/>
    <w:rPr>
      <w:sz w:val="16"/>
      <w:szCs w:val="16"/>
    </w:rPr>
  </w:style>
  <w:style w:type="paragraph" w:styleId="CommentText">
    <w:name w:val="annotation text"/>
    <w:basedOn w:val="Normal"/>
    <w:link w:val="CommentTextChar"/>
    <w:unhideWhenUsed/>
    <w:rsid w:val="00093ACB"/>
    <w:pPr>
      <w:spacing w:line="240" w:lineRule="auto"/>
    </w:pPr>
    <w:rPr>
      <w:sz w:val="20"/>
      <w:szCs w:val="20"/>
    </w:rPr>
  </w:style>
  <w:style w:type="character" w:customStyle="1" w:styleId="CommentTextChar">
    <w:name w:val="Comment Text Char"/>
    <w:basedOn w:val="DefaultParagraphFont"/>
    <w:link w:val="CommentText"/>
    <w:rsid w:val="00093ACB"/>
    <w:rPr>
      <w:rFonts w:ascii="Arial" w:hAnsi="Arial"/>
      <w:sz w:val="20"/>
      <w:szCs w:val="20"/>
    </w:rPr>
  </w:style>
  <w:style w:type="paragraph" w:styleId="CommentSubject">
    <w:name w:val="annotation subject"/>
    <w:basedOn w:val="CommentText"/>
    <w:next w:val="CommentText"/>
    <w:link w:val="CommentSubjectChar"/>
    <w:semiHidden/>
    <w:unhideWhenUsed/>
    <w:rsid w:val="00093ACB"/>
    <w:rPr>
      <w:b/>
      <w:bCs/>
    </w:rPr>
  </w:style>
  <w:style w:type="character" w:customStyle="1" w:styleId="CommentSubjectChar">
    <w:name w:val="Comment Subject Char"/>
    <w:basedOn w:val="CommentTextChar"/>
    <w:link w:val="CommentSubject"/>
    <w:semiHidden/>
    <w:rsid w:val="00093ACB"/>
    <w:rPr>
      <w:rFonts w:ascii="Arial" w:hAnsi="Arial"/>
      <w:b/>
      <w:bCs/>
      <w:sz w:val="20"/>
      <w:szCs w:val="20"/>
    </w:rPr>
  </w:style>
  <w:style w:type="paragraph" w:customStyle="1" w:styleId="Tabletext0">
    <w:name w:val="Table text"/>
    <w:basedOn w:val="NoSpacing"/>
    <w:link w:val="TabletextChar"/>
    <w:qFormat/>
    <w:rsid w:val="0059617C"/>
    <w:rPr>
      <w:rFonts w:cs="Arial"/>
      <w:sz w:val="17"/>
      <w:szCs w:val="17"/>
    </w:rPr>
  </w:style>
  <w:style w:type="paragraph" w:styleId="NormalWeb">
    <w:name w:val="Normal (Web)"/>
    <w:basedOn w:val="Normal"/>
    <w:uiPriority w:val="99"/>
    <w:unhideWhenUsed/>
    <w:rsid w:val="00E80540"/>
    <w:pPr>
      <w:spacing w:before="120" w:after="120" w:line="312" w:lineRule="atLeast"/>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99"/>
    <w:unhideWhenUsed/>
    <w:qFormat/>
    <w:rsid w:val="00DC7D99"/>
    <w:pPr>
      <w:autoSpaceDE w:val="0"/>
      <w:autoSpaceDN w:val="0"/>
      <w:spacing w:after="0" w:line="240" w:lineRule="auto"/>
      <w:ind w:left="397"/>
    </w:pPr>
    <w:rPr>
      <w:rFonts w:cs="Arial"/>
      <w:sz w:val="19"/>
      <w:szCs w:val="19"/>
    </w:rPr>
  </w:style>
  <w:style w:type="character" w:customStyle="1" w:styleId="BodyTextChar">
    <w:name w:val="Body Text Char"/>
    <w:basedOn w:val="DefaultParagraphFont"/>
    <w:link w:val="BodyText"/>
    <w:uiPriority w:val="99"/>
    <w:rsid w:val="00DC7D99"/>
    <w:rPr>
      <w:rFonts w:ascii="Arial" w:hAnsi="Arial" w:cs="Arial"/>
      <w:sz w:val="19"/>
      <w:szCs w:val="19"/>
    </w:rPr>
  </w:style>
  <w:style w:type="paragraph" w:customStyle="1" w:styleId="BodyText2">
    <w:name w:val="Body Text2"/>
    <w:basedOn w:val="Normal"/>
    <w:qFormat/>
    <w:rsid w:val="00C14620"/>
    <w:pPr>
      <w:spacing w:before="120" w:after="0" w:line="260" w:lineRule="atLeast"/>
    </w:pPr>
    <w:rPr>
      <w:rFonts w:asciiTheme="minorHAnsi" w:hAnsiTheme="minorHAnsi"/>
    </w:rPr>
  </w:style>
  <w:style w:type="paragraph" w:customStyle="1" w:styleId="acthead5">
    <w:name w:val="acthead5"/>
    <w:basedOn w:val="Normal"/>
    <w:rsid w:val="002239E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GridTable5Dark-Accent5">
    <w:name w:val="Grid Table 5 Dark Accent 5"/>
    <w:basedOn w:val="TableNormal"/>
    <w:uiPriority w:val="50"/>
    <w:rsid w:val="00CD3D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FootnoteText">
    <w:name w:val="footnote text"/>
    <w:basedOn w:val="Normal"/>
    <w:link w:val="FootnoteTextChar"/>
    <w:unhideWhenUsed/>
    <w:qFormat/>
    <w:rsid w:val="00FB30F1"/>
    <w:pPr>
      <w:spacing w:after="0" w:line="240" w:lineRule="auto"/>
    </w:pPr>
    <w:rPr>
      <w:sz w:val="20"/>
      <w:szCs w:val="20"/>
    </w:rPr>
  </w:style>
  <w:style w:type="character" w:customStyle="1" w:styleId="FootnoteTextChar">
    <w:name w:val="Footnote Text Char"/>
    <w:basedOn w:val="DefaultParagraphFont"/>
    <w:link w:val="FootnoteText"/>
    <w:rsid w:val="00FB30F1"/>
    <w:rPr>
      <w:rFonts w:ascii="Arial" w:hAnsi="Arial"/>
      <w:sz w:val="20"/>
      <w:szCs w:val="20"/>
    </w:rPr>
  </w:style>
  <w:style w:type="character" w:styleId="FootnoteReference">
    <w:name w:val="footnote reference"/>
    <w:basedOn w:val="DefaultParagraphFont"/>
    <w:unhideWhenUsed/>
    <w:qFormat/>
    <w:rsid w:val="00FB30F1"/>
    <w:rPr>
      <w:vertAlign w:val="superscript"/>
    </w:rPr>
  </w:style>
  <w:style w:type="table" w:customStyle="1" w:styleId="TableGrid2">
    <w:name w:val="Table Grid2"/>
    <w:basedOn w:val="TableNormal"/>
    <w:next w:val="TableGrid"/>
    <w:rsid w:val="00AB1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B1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A2C87"/>
  </w:style>
  <w:style w:type="table" w:customStyle="1" w:styleId="HHorizontaltable11">
    <w:name w:val="H: Horizontal table11"/>
    <w:basedOn w:val="TableNormal"/>
    <w:rsid w:val="002A2C87"/>
    <w:pPr>
      <w:spacing w:before="120" w:after="120" w:line="240" w:lineRule="auto"/>
    </w:pPr>
    <w:tblPr>
      <w:tblStyleRowBandSize w:val="1"/>
      <w:tblStyleColBandSize w:val="1"/>
      <w:tblBorders>
        <w:insideH w:val="single" w:sz="4" w:space="0" w:color="FFFFFF" w:themeColor="background1"/>
      </w:tblBorders>
    </w:tblPr>
    <w:tblStylePr w:type="firstRow">
      <w:pPr>
        <w:jc w:val="left"/>
      </w:pPr>
      <w:rPr>
        <w:rFonts w:ascii="Arial" w:hAnsi="Arial" w:cs="Arial" w:hint="default"/>
        <w:b/>
        <w:sz w:val="22"/>
        <w:szCs w:val="22"/>
      </w:rPr>
      <w:tblPr/>
      <w:tcPr>
        <w:tcBorders>
          <w:top w:val="nil"/>
          <w:left w:val="nil"/>
          <w:bottom w:val="nil"/>
          <w:right w:val="nil"/>
          <w:insideH w:val="nil"/>
          <w:insideV w:val="nil"/>
          <w:tl2br w:val="nil"/>
          <w:tr2bl w:val="nil"/>
        </w:tcBorders>
        <w:shd w:val="clear" w:color="auto" w:fill="00B0B9"/>
        <w:vAlign w:val="bottom"/>
      </w:tcPr>
    </w:tblStylePr>
    <w:tblStylePr w:type="band1Horz">
      <w:tblPr/>
      <w:tcPr>
        <w:shd w:val="clear" w:color="auto" w:fill="DDDDDA"/>
      </w:tcPr>
    </w:tblStylePr>
    <w:tblStylePr w:type="band2Horz">
      <w:tblPr/>
      <w:tcPr>
        <w:shd w:val="clear" w:color="auto" w:fill="EEEEEC"/>
      </w:tcPr>
    </w:tblStylePr>
  </w:style>
  <w:style w:type="numbering" w:customStyle="1" w:styleId="CurrentList14">
    <w:name w:val="Current List14"/>
    <w:rsid w:val="002A2C87"/>
  </w:style>
  <w:style w:type="paragraph" w:customStyle="1" w:styleId="HeadingTablesandinfographics">
    <w:name w:val="Heading Tables and infographics"/>
    <w:basedOn w:val="Normal"/>
    <w:uiPriority w:val="99"/>
    <w:qFormat/>
    <w:rsid w:val="002A2C87"/>
    <w:pPr>
      <w:spacing w:after="0" w:line="240" w:lineRule="auto"/>
    </w:pPr>
    <w:rPr>
      <w:rFonts w:ascii="Arial Narrow" w:eastAsia="Times New Roman" w:hAnsi="Arial Narrow" w:cs="Times New Roman"/>
      <w:b/>
      <w:bCs/>
      <w:sz w:val="20"/>
      <w:szCs w:val="18"/>
    </w:rPr>
  </w:style>
  <w:style w:type="table" w:customStyle="1" w:styleId="Verticaltable">
    <w:name w:val="Vertical table"/>
    <w:basedOn w:val="TableNormal"/>
    <w:uiPriority w:val="99"/>
    <w:rsid w:val="002A2C87"/>
    <w:pPr>
      <w:spacing w:after="0" w:line="240" w:lineRule="auto"/>
    </w:pPr>
    <w:rPr>
      <w:rFonts w:ascii="Arial" w:hAnsi="Arial"/>
    </w:rPr>
    <w:tblPr>
      <w:tblStyleRowBandSize w:val="1"/>
      <w:tblStyleColBandSize w:val="1"/>
      <w:tblBorders>
        <w:insideH w:val="single" w:sz="4" w:space="0" w:color="FFFFFF" w:themeColor="background1"/>
      </w:tblBorders>
    </w:tblPr>
    <w:tcPr>
      <w:vAlign w:val="center"/>
    </w:tcPr>
    <w:tblStylePr w:type="firstRow">
      <w:pPr>
        <w:jc w:val="left"/>
      </w:pPr>
      <w:rPr>
        <w:rFonts w:ascii="Arial" w:hAnsi="Arial" w:cs="Arial" w:hint="default"/>
        <w:b/>
        <w:sz w:val="22"/>
        <w:szCs w:val="22"/>
      </w:rPr>
      <w:tblPr/>
      <w:tcPr>
        <w:shd w:val="clear" w:color="auto" w:fill="00B0B9"/>
      </w:tcPr>
    </w:tblStylePr>
    <w:tblStylePr w:type="lastRow">
      <w:rPr>
        <w:rFonts w:ascii="Arial" w:hAnsi="Arial" w:cs="Arial" w:hint="default"/>
        <w:b/>
      </w:rPr>
      <w:tblPr/>
      <w:tcPr>
        <w:shd w:val="clear" w:color="auto" w:fill="B3B3B0"/>
      </w:tcPr>
    </w:tblStylePr>
    <w:tblStylePr w:type="band1Vert">
      <w:rPr>
        <w:rFonts w:ascii="Arial" w:hAnsi="Arial" w:cs="Arial" w:hint="default"/>
      </w:rPr>
      <w:tblPr/>
      <w:tcPr>
        <w:shd w:val="clear" w:color="auto" w:fill="F2F2F2" w:themeFill="background1" w:themeFillShade="F2"/>
      </w:tcPr>
    </w:tblStylePr>
    <w:tblStylePr w:type="band2Vert">
      <w:rPr>
        <w:rFonts w:ascii="Arial" w:hAnsi="Arial" w:cs="Arial" w:hint="default"/>
      </w:rPr>
      <w:tblPr/>
      <w:tcPr>
        <w:shd w:val="clear" w:color="auto" w:fill="EEEEEC"/>
      </w:tcPr>
    </w:tblStylePr>
    <w:tblStylePr w:type="band1Horz">
      <w:rPr>
        <w:rFonts w:ascii="Arial" w:hAnsi="Arial" w:cs="Arial" w:hint="default"/>
      </w:rPr>
    </w:tblStylePr>
  </w:style>
  <w:style w:type="paragraph" w:customStyle="1" w:styleId="Bullet1">
    <w:name w:val="Bullet 1"/>
    <w:basedOn w:val="Normal"/>
    <w:qFormat/>
    <w:rsid w:val="002A2C87"/>
    <w:pPr>
      <w:numPr>
        <w:ilvl w:val="2"/>
        <w:numId w:val="21"/>
      </w:numPr>
      <w:suppressAutoHyphens/>
      <w:spacing w:before="180" w:after="60" w:line="280" w:lineRule="atLeast"/>
      <w:ind w:left="2160"/>
    </w:pPr>
    <w:rPr>
      <w:rFonts w:asciiTheme="minorHAnsi" w:hAnsiTheme="minorHAnsi"/>
    </w:rPr>
  </w:style>
  <w:style w:type="paragraph" w:customStyle="1" w:styleId="Bullet2">
    <w:name w:val="Bullet 2"/>
    <w:basedOn w:val="NumberedList1"/>
    <w:qFormat/>
    <w:rsid w:val="002A2C87"/>
    <w:pPr>
      <w:numPr>
        <w:numId w:val="18"/>
      </w:numPr>
      <w:ind w:left="1418"/>
    </w:pPr>
  </w:style>
  <w:style w:type="paragraph" w:customStyle="1" w:styleId="Bullet3">
    <w:name w:val="Bullet 3"/>
    <w:basedOn w:val="NumberedList1"/>
    <w:qFormat/>
    <w:rsid w:val="002A2C87"/>
    <w:pPr>
      <w:numPr>
        <w:numId w:val="19"/>
      </w:numPr>
      <w:ind w:left="1985"/>
    </w:pPr>
  </w:style>
  <w:style w:type="paragraph" w:customStyle="1" w:styleId="NumberedList1">
    <w:name w:val="Numbered List 1"/>
    <w:basedOn w:val="Normal"/>
    <w:qFormat/>
    <w:rsid w:val="002A2C87"/>
    <w:pPr>
      <w:tabs>
        <w:tab w:val="num" w:pos="283"/>
      </w:tabs>
      <w:suppressAutoHyphens/>
      <w:spacing w:before="180" w:after="60" w:line="280" w:lineRule="atLeast"/>
      <w:ind w:left="283" w:hanging="283"/>
    </w:pPr>
    <w:rPr>
      <w:rFonts w:asciiTheme="minorHAnsi" w:hAnsiTheme="minorHAnsi"/>
    </w:rPr>
  </w:style>
  <w:style w:type="paragraph" w:customStyle="1" w:styleId="NumberedList2">
    <w:name w:val="Numbered List 2"/>
    <w:basedOn w:val="NumberedList1"/>
    <w:qFormat/>
    <w:rsid w:val="002A2C87"/>
    <w:pPr>
      <w:tabs>
        <w:tab w:val="clear" w:pos="283"/>
        <w:tab w:val="num" w:pos="567"/>
      </w:tabs>
      <w:spacing w:before="120"/>
      <w:ind w:left="567" w:hanging="284"/>
    </w:pPr>
  </w:style>
  <w:style w:type="paragraph" w:customStyle="1" w:styleId="NumberedList3">
    <w:name w:val="Numbered List 3"/>
    <w:basedOn w:val="NumberedList2"/>
    <w:qFormat/>
    <w:rsid w:val="002A2C87"/>
    <w:pPr>
      <w:tabs>
        <w:tab w:val="clear" w:pos="567"/>
        <w:tab w:val="num" w:pos="850"/>
      </w:tabs>
      <w:ind w:left="850" w:hanging="283"/>
    </w:pPr>
  </w:style>
  <w:style w:type="paragraph" w:customStyle="1" w:styleId="Heading1Numbered">
    <w:name w:val="Heading 1 Numbered"/>
    <w:basedOn w:val="Heading1"/>
    <w:next w:val="Normal"/>
    <w:uiPriority w:val="1"/>
    <w:rsid w:val="002A2C87"/>
    <w:pPr>
      <w:keepNext/>
      <w:keepLines/>
      <w:numPr>
        <w:numId w:val="11"/>
      </w:numPr>
      <w:suppressAutoHyphens/>
      <w:spacing w:before="360" w:after="120" w:line="460" w:lineRule="atLeast"/>
    </w:pPr>
    <w:rPr>
      <w:rFonts w:asciiTheme="majorHAnsi" w:hAnsiTheme="majorHAnsi"/>
      <w:b w:val="0"/>
      <w:color w:val="1F497D" w:themeColor="text2"/>
      <w:sz w:val="40"/>
    </w:rPr>
  </w:style>
  <w:style w:type="paragraph" w:customStyle="1" w:styleId="Heading2Numbered">
    <w:name w:val="Heading 2 Numbered"/>
    <w:basedOn w:val="Heading2"/>
    <w:next w:val="Normal"/>
    <w:uiPriority w:val="14"/>
    <w:qFormat/>
    <w:rsid w:val="002A2C87"/>
    <w:pPr>
      <w:keepNext/>
      <w:keepLines/>
      <w:numPr>
        <w:ilvl w:val="1"/>
        <w:numId w:val="11"/>
      </w:numPr>
      <w:suppressAutoHyphens/>
      <w:spacing w:before="360" w:after="120" w:line="400" w:lineRule="atLeast"/>
      <w:contextualSpacing/>
    </w:pPr>
    <w:rPr>
      <w:rFonts w:asciiTheme="majorHAnsi" w:hAnsiTheme="majorHAnsi"/>
      <w:b w:val="0"/>
      <w:color w:val="1F497D" w:themeColor="text2"/>
      <w:sz w:val="34"/>
    </w:rPr>
  </w:style>
  <w:style w:type="paragraph" w:customStyle="1" w:styleId="Heading3Numbered">
    <w:name w:val="Heading 3 Numbered"/>
    <w:basedOn w:val="Heading3"/>
    <w:next w:val="Normal"/>
    <w:uiPriority w:val="16"/>
    <w:rsid w:val="002A2C87"/>
    <w:pPr>
      <w:keepNext/>
      <w:keepLines/>
      <w:numPr>
        <w:ilvl w:val="2"/>
        <w:numId w:val="11"/>
      </w:numPr>
      <w:suppressAutoHyphens/>
      <w:spacing w:before="360" w:after="120" w:line="340" w:lineRule="atLeast"/>
      <w:contextualSpacing/>
    </w:pPr>
    <w:rPr>
      <w:rFonts w:asciiTheme="majorHAnsi" w:hAnsiTheme="majorHAnsi"/>
      <w:b w:val="0"/>
      <w:color w:val="1F497D" w:themeColor="text2"/>
      <w:sz w:val="30"/>
    </w:rPr>
  </w:style>
  <w:style w:type="numbering" w:customStyle="1" w:styleId="BulletsList">
    <w:name w:val="Bullets List"/>
    <w:uiPriority w:val="99"/>
    <w:rsid w:val="002A2C87"/>
    <w:pPr>
      <w:numPr>
        <w:numId w:val="10"/>
      </w:numPr>
    </w:pPr>
  </w:style>
  <w:style w:type="numbering" w:customStyle="1" w:styleId="Numberedlist">
    <w:name w:val="Numbered list"/>
    <w:uiPriority w:val="99"/>
    <w:rsid w:val="002A2C87"/>
    <w:pPr>
      <w:numPr>
        <w:numId w:val="17"/>
      </w:numPr>
    </w:pPr>
  </w:style>
  <w:style w:type="numbering" w:customStyle="1" w:styleId="HeadingsList">
    <w:name w:val="Headings List"/>
    <w:uiPriority w:val="99"/>
    <w:rsid w:val="002A2C87"/>
  </w:style>
  <w:style w:type="table" w:styleId="PlainTable2">
    <w:name w:val="Plain Table 2"/>
    <w:basedOn w:val="TableNormal"/>
    <w:uiPriority w:val="42"/>
    <w:rsid w:val="002A2C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1">
    <w:name w:val="toc 1"/>
    <w:basedOn w:val="Normal"/>
    <w:next w:val="Normal"/>
    <w:autoRedefine/>
    <w:uiPriority w:val="39"/>
    <w:unhideWhenUsed/>
    <w:qFormat/>
    <w:rsid w:val="00054A67"/>
    <w:pPr>
      <w:tabs>
        <w:tab w:val="left" w:pos="454"/>
        <w:tab w:val="right" w:pos="10205"/>
      </w:tabs>
      <w:suppressAutoHyphens/>
      <w:spacing w:before="60" w:after="0" w:line="260" w:lineRule="atLeast"/>
      <w:ind w:right="566"/>
    </w:pPr>
    <w:rPr>
      <w:rFonts w:cs="Arial"/>
      <w:b/>
      <w:color w:val="215868" w:themeColor="accent5" w:themeShade="80"/>
      <w:sz w:val="20"/>
      <w:szCs w:val="20"/>
    </w:rPr>
  </w:style>
  <w:style w:type="paragraph" w:styleId="TOC2">
    <w:name w:val="toc 2"/>
    <w:basedOn w:val="Normal"/>
    <w:next w:val="Normal"/>
    <w:autoRedefine/>
    <w:uiPriority w:val="39"/>
    <w:unhideWhenUsed/>
    <w:qFormat/>
    <w:rsid w:val="000856CF"/>
    <w:pPr>
      <w:tabs>
        <w:tab w:val="left" w:pos="454"/>
        <w:tab w:val="right" w:pos="9072"/>
      </w:tabs>
      <w:suppressAutoHyphens/>
      <w:spacing w:after="0" w:line="230" w:lineRule="atLeast"/>
      <w:ind w:left="454" w:hanging="454"/>
    </w:pPr>
    <w:rPr>
      <w:rFonts w:asciiTheme="minorHAnsi" w:hAnsiTheme="minorHAnsi"/>
    </w:rPr>
  </w:style>
  <w:style w:type="paragraph" w:styleId="TOC3">
    <w:name w:val="toc 3"/>
    <w:basedOn w:val="Normal"/>
    <w:next w:val="Normal"/>
    <w:autoRedefine/>
    <w:uiPriority w:val="39"/>
    <w:unhideWhenUsed/>
    <w:qFormat/>
    <w:rsid w:val="002A2C87"/>
    <w:pPr>
      <w:tabs>
        <w:tab w:val="left" w:pos="454"/>
        <w:tab w:val="right" w:pos="9072"/>
      </w:tabs>
      <w:suppressAutoHyphens/>
      <w:spacing w:before="60" w:after="60" w:line="280" w:lineRule="atLeast"/>
      <w:ind w:left="993"/>
    </w:pPr>
    <w:rPr>
      <w:rFonts w:asciiTheme="minorHAnsi" w:hAnsiTheme="minorHAnsi"/>
    </w:rPr>
  </w:style>
  <w:style w:type="paragraph" w:styleId="TOC4">
    <w:name w:val="toc 4"/>
    <w:basedOn w:val="Normal"/>
    <w:next w:val="Normal"/>
    <w:autoRedefine/>
    <w:uiPriority w:val="39"/>
    <w:unhideWhenUsed/>
    <w:rsid w:val="002A2C87"/>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2A2C87"/>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2A2C87"/>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2A2C87"/>
    <w:pPr>
      <w:spacing w:after="100" w:line="259" w:lineRule="auto"/>
      <w:ind w:left="1320"/>
    </w:pPr>
    <w:rPr>
      <w:rFonts w:asciiTheme="minorHAnsi" w:eastAsiaTheme="minorEastAsia" w:hAnsiTheme="minorHAnsi"/>
      <w:lang w:eastAsia="en-AU"/>
    </w:rPr>
  </w:style>
  <w:style w:type="numbering" w:customStyle="1" w:styleId="TableHeadingNumbers">
    <w:name w:val="Table Heading Numbers"/>
    <w:uiPriority w:val="99"/>
    <w:rsid w:val="002A2C87"/>
    <w:pPr>
      <w:numPr>
        <w:numId w:val="8"/>
      </w:numPr>
    </w:pPr>
  </w:style>
  <w:style w:type="paragraph" w:styleId="TOC8">
    <w:name w:val="toc 8"/>
    <w:basedOn w:val="Normal"/>
    <w:next w:val="Normal"/>
    <w:autoRedefine/>
    <w:uiPriority w:val="39"/>
    <w:unhideWhenUsed/>
    <w:rsid w:val="002A2C87"/>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2A2C87"/>
    <w:pPr>
      <w:spacing w:after="100" w:line="259" w:lineRule="auto"/>
      <w:ind w:left="1760"/>
    </w:pPr>
    <w:rPr>
      <w:rFonts w:asciiTheme="minorHAnsi" w:eastAsiaTheme="minorEastAsia" w:hAnsiTheme="minorHAnsi"/>
      <w:lang w:eastAsia="en-AU"/>
    </w:rPr>
  </w:style>
  <w:style w:type="paragraph" w:styleId="TableofFigures">
    <w:name w:val="table of figures"/>
    <w:basedOn w:val="Normal"/>
    <w:next w:val="Normal"/>
    <w:unhideWhenUsed/>
    <w:rsid w:val="002A2C87"/>
    <w:pPr>
      <w:suppressAutoHyphens/>
      <w:spacing w:before="180" w:after="0" w:line="280" w:lineRule="atLeast"/>
      <w:ind w:left="907" w:hanging="907"/>
    </w:pPr>
    <w:rPr>
      <w:rFonts w:asciiTheme="minorHAnsi" w:hAnsiTheme="minorHAnsi"/>
    </w:rPr>
  </w:style>
  <w:style w:type="paragraph" w:customStyle="1" w:styleId="IntroPara">
    <w:name w:val="Intro Para"/>
    <w:basedOn w:val="Normal"/>
    <w:qFormat/>
    <w:rsid w:val="002A2C87"/>
    <w:pPr>
      <w:pBdr>
        <w:bottom w:val="single" w:sz="4" w:space="6" w:color="4F81BD" w:themeColor="accent1"/>
      </w:pBdr>
      <w:suppressAutoHyphens/>
      <w:spacing w:before="180" w:after="60" w:line="280" w:lineRule="atLeast"/>
    </w:pPr>
    <w:rPr>
      <w:rFonts w:asciiTheme="minorHAnsi" w:hAnsiTheme="minorHAnsi"/>
      <w:sz w:val="24"/>
    </w:rPr>
  </w:style>
  <w:style w:type="numbering" w:customStyle="1" w:styleId="FigureTitles">
    <w:name w:val="Figure Titles"/>
    <w:uiPriority w:val="99"/>
    <w:rsid w:val="002A2C87"/>
    <w:pPr>
      <w:numPr>
        <w:numId w:val="9"/>
      </w:numPr>
    </w:pPr>
  </w:style>
  <w:style w:type="paragraph" w:customStyle="1" w:styleId="Boxed1Text">
    <w:name w:val="Boxed 1 Text"/>
    <w:basedOn w:val="Normal"/>
    <w:link w:val="Boxed1TextChar"/>
    <w:qFormat/>
    <w:rsid w:val="002A2C87"/>
    <w:pPr>
      <w:pBdr>
        <w:top w:val="single" w:sz="4" w:space="14" w:color="DBE5F1" w:themeColor="accent1" w:themeTint="33"/>
        <w:left w:val="single" w:sz="4" w:space="14" w:color="DBE5F1" w:themeColor="accent1" w:themeTint="33"/>
        <w:bottom w:val="single" w:sz="4" w:space="14" w:color="DBE5F1" w:themeColor="accent1" w:themeTint="33"/>
        <w:right w:val="single" w:sz="4" w:space="14" w:color="DBE5F1" w:themeColor="accent1" w:themeTint="33"/>
      </w:pBdr>
      <w:shd w:val="clear" w:color="auto" w:fill="DBE5F1" w:themeFill="accent1" w:themeFillTint="33"/>
      <w:suppressAutoHyphens/>
      <w:spacing w:before="180" w:after="60" w:line="280" w:lineRule="atLeast"/>
      <w:ind w:left="284" w:right="284"/>
    </w:pPr>
    <w:rPr>
      <w:rFonts w:asciiTheme="minorHAnsi" w:hAnsiTheme="minorHAnsi"/>
    </w:rPr>
  </w:style>
  <w:style w:type="paragraph" w:customStyle="1" w:styleId="Boxed1Heading">
    <w:name w:val="Boxed 1 Heading"/>
    <w:basedOn w:val="Boxed1Text"/>
    <w:qFormat/>
    <w:rsid w:val="002A2C87"/>
    <w:rPr>
      <w:b/>
      <w:sz w:val="24"/>
    </w:rPr>
  </w:style>
  <w:style w:type="paragraph" w:customStyle="1" w:styleId="Boxed2Text">
    <w:name w:val="Boxed 2 Text"/>
    <w:basedOn w:val="Boxed1Text"/>
    <w:link w:val="Boxed2TextChar"/>
    <w:qFormat/>
    <w:rsid w:val="002A2C87"/>
    <w:pPr>
      <w:pBdr>
        <w:top w:val="single" w:sz="4" w:space="14" w:color="4F81BD" w:themeColor="accent1"/>
        <w:left w:val="single" w:sz="4" w:space="14" w:color="4F81BD" w:themeColor="accent1"/>
        <w:bottom w:val="single" w:sz="4" w:space="14" w:color="4F81BD" w:themeColor="accent1"/>
        <w:right w:val="single" w:sz="4" w:space="14" w:color="4F81BD" w:themeColor="accent1"/>
      </w:pBdr>
      <w:shd w:val="clear" w:color="auto" w:fill="4F81BD" w:themeFill="accent1"/>
    </w:pPr>
  </w:style>
  <w:style w:type="paragraph" w:customStyle="1" w:styleId="Boxed2Heading">
    <w:name w:val="Boxed 2 Heading"/>
    <w:basedOn w:val="Boxed2Text"/>
    <w:qFormat/>
    <w:rsid w:val="002A2C87"/>
    <w:rPr>
      <w:b/>
      <w:sz w:val="24"/>
    </w:rPr>
  </w:style>
  <w:style w:type="table" w:styleId="TableGridLight">
    <w:name w:val="Grid Table Light"/>
    <w:basedOn w:val="TableNormal"/>
    <w:uiPriority w:val="40"/>
    <w:rsid w:val="002A2C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2A2C87"/>
    <w:pPr>
      <w:spacing w:before="60" w:after="60" w:line="200" w:lineRule="atLeast"/>
    </w:pPr>
    <w:rPr>
      <w:sz w:val="16"/>
    </w:rPr>
    <w:tblPr>
      <w:tblStyleRowBandSize w:val="1"/>
      <w:tblStyleColBandSize w:val="1"/>
      <w:tblBorders>
        <w:top w:val="single" w:sz="4" w:space="0" w:color="1F497D" w:themeColor="text2"/>
        <w:bottom w:val="single" w:sz="4" w:space="0" w:color="1F497D" w:themeColor="text2"/>
        <w:insideH w:val="single" w:sz="4" w:space="0" w:color="1F497D" w:themeColor="text2"/>
      </w:tblBorders>
      <w:tblCellMar>
        <w:left w:w="85" w:type="dxa"/>
        <w:right w:w="85" w:type="dxa"/>
      </w:tblCellMar>
    </w:tblPr>
    <w:trPr>
      <w:cantSplit/>
    </w:trPr>
    <w:tblStylePr w:type="firstRow">
      <w:rPr>
        <w:b/>
      </w:rPr>
      <w:tblPr/>
      <w:trPr>
        <w:tblHeader/>
      </w:trPr>
      <w:tcPr>
        <w:shd w:val="clear" w:color="auto" w:fill="1F497D" w:themeFill="text2"/>
      </w:tcPr>
    </w:tblStylePr>
    <w:tblStylePr w:type="lastRow">
      <w:tblPr/>
      <w:tcPr>
        <w:shd w:val="clear" w:color="auto" w:fill="1F497D" w:themeFill="text2"/>
      </w:tcPr>
    </w:tblStylePr>
    <w:tblStylePr w:type="firstCol">
      <w:tblPr/>
      <w:tcPr>
        <w:tcBorders>
          <w:insideH w:val="single" w:sz="4" w:space="0" w:color="FFFFFF" w:themeColor="background1"/>
        </w:tcBorders>
        <w:shd w:val="clear" w:color="auto" w:fill="1F497D" w:themeFill="text2"/>
      </w:tcPr>
    </w:tblStylePr>
    <w:tblStylePr w:type="lastCol">
      <w:tblPr/>
      <w:tcPr>
        <w:shd w:val="clear" w:color="auto" w:fill="BFBFBF" w:themeFill="background1" w:themeFillShade="BF"/>
      </w:tcPr>
    </w:tblStylePr>
    <w:tblStylePr w:type="band1Vert">
      <w:tblPr/>
      <w:tcPr>
        <w:shd w:val="clear" w:color="auto" w:fill="EEECE1" w:themeFill="background2"/>
      </w:tcPr>
    </w:tblStylePr>
    <w:tblStylePr w:type="band2Vert">
      <w:tblPr/>
      <w:tcPr>
        <w:shd w:val="clear" w:color="auto" w:fill="FFFFFF" w:themeFill="background1"/>
      </w:tcPr>
    </w:tblStylePr>
    <w:tblStylePr w:type="band1Horz">
      <w:tblPr/>
      <w:tcPr>
        <w:shd w:val="clear" w:color="auto" w:fill="EEECE1" w:themeFill="background2"/>
      </w:tcPr>
    </w:tblStylePr>
    <w:tblStylePr w:type="band2Horz">
      <w:rPr>
        <w:color w:val="auto"/>
      </w:rPr>
      <w:tblPr/>
      <w:tcPr>
        <w:shd w:val="clear" w:color="auto" w:fill="FFFFFF" w:themeFill="background1"/>
      </w:tcPr>
    </w:tblStylePr>
  </w:style>
  <w:style w:type="paragraph" w:customStyle="1" w:styleId="TableText1">
    <w:name w:val="Table Text"/>
    <w:basedOn w:val="Normal"/>
    <w:qFormat/>
    <w:rsid w:val="002A2C87"/>
    <w:pPr>
      <w:suppressAutoHyphens/>
      <w:spacing w:before="60" w:after="60" w:line="280" w:lineRule="atLeast"/>
    </w:pPr>
    <w:rPr>
      <w:rFonts w:asciiTheme="minorHAnsi" w:hAnsiTheme="minorHAnsi"/>
      <w:sz w:val="18"/>
    </w:rPr>
  </w:style>
  <w:style w:type="paragraph" w:customStyle="1" w:styleId="TableSourceNotes">
    <w:name w:val="Table Source Notes"/>
    <w:basedOn w:val="TableText1"/>
    <w:qFormat/>
    <w:rsid w:val="002A2C87"/>
    <w:pPr>
      <w:spacing w:before="120" w:line="240" w:lineRule="atLeast"/>
      <w:ind w:left="284" w:hanging="284"/>
      <w:contextualSpacing/>
    </w:pPr>
  </w:style>
  <w:style w:type="paragraph" w:customStyle="1" w:styleId="FootnoteSeparator">
    <w:name w:val="Footnote Separator"/>
    <w:basedOn w:val="Normal"/>
    <w:qFormat/>
    <w:rsid w:val="002A2C87"/>
    <w:pPr>
      <w:pBdr>
        <w:top w:val="single" w:sz="2" w:space="1" w:color="auto"/>
      </w:pBdr>
      <w:suppressAutoHyphens/>
      <w:spacing w:after="0" w:line="240" w:lineRule="auto"/>
    </w:pPr>
    <w:rPr>
      <w:rFonts w:asciiTheme="minorHAnsi" w:hAnsiTheme="minorHAnsi"/>
    </w:rPr>
  </w:style>
  <w:style w:type="character" w:styleId="PlaceholderText">
    <w:name w:val="Placeholder Text"/>
    <w:basedOn w:val="DefaultParagraphFont"/>
    <w:uiPriority w:val="99"/>
    <w:semiHidden/>
    <w:rsid w:val="002A2C87"/>
    <w:rPr>
      <w:color w:val="808080"/>
    </w:rPr>
  </w:style>
  <w:style w:type="character" w:customStyle="1" w:styleId="Classification">
    <w:name w:val="Classification"/>
    <w:basedOn w:val="DefaultParagraphFont"/>
    <w:uiPriority w:val="1"/>
    <w:qFormat/>
    <w:rsid w:val="002A2C87"/>
    <w:rPr>
      <w:b/>
      <w:caps/>
      <w:smallCaps w:val="0"/>
      <w:sz w:val="24"/>
    </w:rPr>
  </w:style>
  <w:style w:type="paragraph" w:customStyle="1" w:styleId="Afterbox">
    <w:name w:val="After box"/>
    <w:next w:val="BodyText1"/>
    <w:semiHidden/>
    <w:qFormat/>
    <w:rsid w:val="002A2C87"/>
    <w:pPr>
      <w:spacing w:after="57" w:line="113" w:lineRule="exact"/>
    </w:pPr>
    <w:rPr>
      <w:rFonts w:ascii="Cambria" w:eastAsia="Times New Roman" w:hAnsi="Cambria" w:cs="Times New Roman"/>
      <w:sz w:val="2"/>
      <w:szCs w:val="24"/>
    </w:rPr>
  </w:style>
  <w:style w:type="paragraph" w:customStyle="1" w:styleId="Bodytextbeforebullets">
    <w:name w:val="Body text (before bullets)"/>
    <w:basedOn w:val="BodyText1"/>
    <w:semiHidden/>
    <w:rsid w:val="002A2C87"/>
    <w:pPr>
      <w:spacing w:after="57"/>
    </w:pPr>
  </w:style>
  <w:style w:type="paragraph" w:customStyle="1" w:styleId="BodyText1">
    <w:name w:val="Body Text1"/>
    <w:link w:val="BodyText1Char"/>
    <w:uiPriority w:val="99"/>
    <w:semiHidden/>
    <w:rsid w:val="002A2C87"/>
    <w:pPr>
      <w:spacing w:after="113" w:line="260" w:lineRule="atLeast"/>
    </w:pPr>
    <w:rPr>
      <w:rFonts w:ascii="Cambria" w:eastAsia="Times New Roman" w:hAnsi="Cambria" w:cs="Times New Roman"/>
      <w:szCs w:val="24"/>
    </w:rPr>
  </w:style>
  <w:style w:type="paragraph" w:customStyle="1" w:styleId="Bullets1stindent">
    <w:name w:val="Bullets (1st indent)"/>
    <w:basedOn w:val="BodyText1"/>
    <w:link w:val="Bullets1stindentChar"/>
    <w:semiHidden/>
    <w:rsid w:val="002A2C87"/>
    <w:pPr>
      <w:numPr>
        <w:numId w:val="15"/>
      </w:numPr>
      <w:spacing w:after="120" w:line="240" w:lineRule="auto"/>
    </w:pPr>
  </w:style>
  <w:style w:type="paragraph" w:customStyle="1" w:styleId="Bullets2ndindent">
    <w:name w:val="Bullets (2nd indent)"/>
    <w:basedOn w:val="Bullets1stindent"/>
    <w:semiHidden/>
    <w:rsid w:val="002A2C87"/>
    <w:pPr>
      <w:numPr>
        <w:numId w:val="16"/>
      </w:numPr>
      <w:tabs>
        <w:tab w:val="num" w:pos="360"/>
        <w:tab w:val="right" w:pos="794"/>
      </w:tabs>
      <w:spacing w:after="60"/>
      <w:ind w:left="360"/>
    </w:pPr>
    <w:rPr>
      <w:rFonts w:asciiTheme="majorHAnsi" w:hAnsiTheme="majorHAnsi"/>
    </w:rPr>
  </w:style>
  <w:style w:type="paragraph" w:customStyle="1" w:styleId="Figuretitle">
    <w:name w:val="Figure title"/>
    <w:next w:val="BodyText1"/>
    <w:qFormat/>
    <w:rsid w:val="002A2C87"/>
    <w:pPr>
      <w:keepNext/>
      <w:keepLines/>
      <w:numPr>
        <w:ilvl w:val="6"/>
        <w:numId w:val="12"/>
      </w:numPr>
      <w:spacing w:before="340" w:after="170" w:line="240" w:lineRule="auto"/>
    </w:pPr>
    <w:rPr>
      <w:rFonts w:ascii="Arial" w:eastAsia="Times New Roman" w:hAnsi="Arial" w:cs="Times New Roman"/>
      <w:b/>
      <w:color w:val="005A77"/>
      <w:spacing w:val="-6"/>
      <w:sz w:val="24"/>
      <w:szCs w:val="24"/>
      <w:lang w:val="en-US"/>
    </w:rPr>
  </w:style>
  <w:style w:type="paragraph" w:customStyle="1" w:styleId="Footertext">
    <w:name w:val="Footer text"/>
    <w:semiHidden/>
    <w:rsid w:val="002A2C87"/>
    <w:pPr>
      <w:framePr w:hSpace="181" w:wrap="around" w:vAnchor="text" w:hAnchor="page" w:x="11228" w:y="1"/>
      <w:spacing w:after="0" w:line="200" w:lineRule="atLeast"/>
      <w:ind w:right="113"/>
      <w:suppressOverlap/>
    </w:pPr>
    <w:rPr>
      <w:rFonts w:ascii="Arial" w:eastAsia="Times New Roman" w:hAnsi="Arial" w:cs="Arial"/>
      <w:sz w:val="16"/>
      <w:szCs w:val="24"/>
    </w:rPr>
  </w:style>
  <w:style w:type="paragraph" w:customStyle="1" w:styleId="Sourcenotetext">
    <w:name w:val="Source/note text"/>
    <w:qFormat/>
    <w:rsid w:val="002A2C87"/>
    <w:pPr>
      <w:spacing w:before="85" w:after="85" w:line="240" w:lineRule="auto"/>
    </w:pPr>
    <w:rPr>
      <w:rFonts w:ascii="Arial" w:eastAsia="Times New Roman" w:hAnsi="Arial" w:cs="Arial"/>
      <w:i/>
      <w:sz w:val="12"/>
      <w:szCs w:val="12"/>
    </w:rPr>
  </w:style>
  <w:style w:type="paragraph" w:customStyle="1" w:styleId="Bulletslast1stindent">
    <w:name w:val="Bullets last (1st indent)"/>
    <w:basedOn w:val="BodyText1"/>
    <w:semiHidden/>
    <w:rsid w:val="002A2C87"/>
    <w:pPr>
      <w:numPr>
        <w:ilvl w:val="2"/>
        <w:numId w:val="13"/>
      </w:numPr>
      <w:tabs>
        <w:tab w:val="clear" w:pos="284"/>
      </w:tabs>
      <w:ind w:left="852" w:hanging="360"/>
    </w:pPr>
  </w:style>
  <w:style w:type="numbering" w:customStyle="1" w:styleId="Numbers">
    <w:name w:val="Numbers"/>
    <w:basedOn w:val="NoList"/>
    <w:rsid w:val="002A2C87"/>
  </w:style>
  <w:style w:type="paragraph" w:customStyle="1" w:styleId="Bulletslast2ndindent">
    <w:name w:val="Bullets last (2nd indent)"/>
    <w:basedOn w:val="BodyText1"/>
    <w:semiHidden/>
    <w:rsid w:val="002A2C87"/>
    <w:pPr>
      <w:numPr>
        <w:ilvl w:val="3"/>
        <w:numId w:val="13"/>
      </w:numPr>
      <w:tabs>
        <w:tab w:val="clear" w:pos="567"/>
      </w:tabs>
      <w:ind w:left="568" w:hanging="284"/>
    </w:pPr>
  </w:style>
  <w:style w:type="paragraph" w:customStyle="1" w:styleId="Tablebodytext">
    <w:name w:val="Table body text"/>
    <w:qFormat/>
    <w:rsid w:val="002A2C87"/>
    <w:pPr>
      <w:spacing w:before="57" w:after="57" w:line="240" w:lineRule="auto"/>
      <w:ind w:left="96" w:right="96"/>
    </w:pPr>
    <w:rPr>
      <w:rFonts w:ascii="Arial" w:eastAsia="Times New Roman" w:hAnsi="Arial" w:cs="Times New Roman"/>
      <w:sz w:val="18"/>
      <w:szCs w:val="24"/>
    </w:rPr>
  </w:style>
  <w:style w:type="paragraph" w:customStyle="1" w:styleId="Tablebullets2ndindent">
    <w:name w:val="Table bullets (2nd indent)"/>
    <w:basedOn w:val="Tablebodytext"/>
    <w:qFormat/>
    <w:rsid w:val="002A2C87"/>
    <w:pPr>
      <w:numPr>
        <w:ilvl w:val="6"/>
        <w:numId w:val="13"/>
      </w:numPr>
    </w:pPr>
  </w:style>
  <w:style w:type="paragraph" w:customStyle="1" w:styleId="Tablebullets1stindent">
    <w:name w:val="Table bullets (1st indent)"/>
    <w:basedOn w:val="Tablebodytext"/>
    <w:qFormat/>
    <w:rsid w:val="002A2C87"/>
    <w:pPr>
      <w:numPr>
        <w:ilvl w:val="5"/>
        <w:numId w:val="13"/>
      </w:numPr>
    </w:pPr>
  </w:style>
  <w:style w:type="paragraph" w:customStyle="1" w:styleId="Tablecolumnheading">
    <w:name w:val="Table column heading"/>
    <w:basedOn w:val="Tablebodytext"/>
    <w:qFormat/>
    <w:rsid w:val="002A2C87"/>
    <w:pPr>
      <w:keepNext/>
    </w:pPr>
    <w:rPr>
      <w:b/>
      <w:szCs w:val="18"/>
    </w:rPr>
  </w:style>
  <w:style w:type="paragraph" w:customStyle="1" w:styleId="Title2">
    <w:name w:val="Title 2"/>
    <w:basedOn w:val="Title"/>
    <w:uiPriority w:val="2"/>
    <w:semiHidden/>
    <w:rsid w:val="002A2C87"/>
    <w:pPr>
      <w:pBdr>
        <w:bottom w:val="single" w:sz="8" w:space="4" w:color="C2B000"/>
      </w:pBdr>
      <w:spacing w:before="200" w:after="300" w:line="260" w:lineRule="atLeast"/>
    </w:pPr>
    <w:rPr>
      <w:rFonts w:eastAsia="MS Gothic" w:cs="Times New Roman"/>
      <w:color w:val="615800"/>
      <w:kern w:val="28"/>
    </w:rPr>
  </w:style>
  <w:style w:type="paragraph" w:customStyle="1" w:styleId="Tabletitle">
    <w:name w:val="Table title"/>
    <w:next w:val="BodyText1"/>
    <w:uiPriority w:val="99"/>
    <w:qFormat/>
    <w:rsid w:val="002A2C87"/>
    <w:pPr>
      <w:keepNext/>
      <w:numPr>
        <w:ilvl w:val="8"/>
        <w:numId w:val="12"/>
      </w:numPr>
      <w:spacing w:before="340" w:after="170" w:line="240" w:lineRule="auto"/>
    </w:pPr>
    <w:rPr>
      <w:rFonts w:ascii="Arial" w:eastAsia="Times New Roman" w:hAnsi="Arial" w:cs="Times New Roman"/>
      <w:b/>
      <w:color w:val="005A77"/>
      <w:spacing w:val="-6"/>
      <w:sz w:val="24"/>
      <w:szCs w:val="24"/>
      <w:lang w:val="en-US"/>
    </w:rPr>
  </w:style>
  <w:style w:type="paragraph" w:customStyle="1" w:styleId="Simpletableheading">
    <w:name w:val="Simple table heading"/>
    <w:next w:val="BodyText1"/>
    <w:uiPriority w:val="1"/>
    <w:rsid w:val="002A2C87"/>
    <w:pPr>
      <w:spacing w:after="0" w:line="240" w:lineRule="atLeast"/>
    </w:pPr>
    <w:rPr>
      <w:rFonts w:ascii="Arial" w:eastAsia="Times New Roman" w:hAnsi="Arial" w:cs="Times New Roman"/>
      <w:b/>
      <w:color w:val="37424A"/>
      <w:szCs w:val="24"/>
    </w:rPr>
  </w:style>
  <w:style w:type="paragraph" w:customStyle="1" w:styleId="Subtitle2">
    <w:name w:val="Subtitle 2"/>
    <w:uiPriority w:val="2"/>
    <w:semiHidden/>
    <w:rsid w:val="002A2C87"/>
    <w:pPr>
      <w:spacing w:before="200" w:after="0" w:line="240" w:lineRule="auto"/>
      <w:contextualSpacing/>
    </w:pPr>
    <w:rPr>
      <w:rFonts w:ascii="Arial" w:eastAsia="Times New Roman" w:hAnsi="Arial" w:cs="Times New Roman"/>
      <w:caps/>
      <w:color w:val="1C2735"/>
      <w:kern w:val="28"/>
      <w:szCs w:val="32"/>
    </w:rPr>
  </w:style>
  <w:style w:type="character" w:customStyle="1" w:styleId="Blue">
    <w:name w:val="Blue"/>
    <w:basedOn w:val="DefaultParagraphFont"/>
    <w:semiHidden/>
    <w:qFormat/>
    <w:rsid w:val="002A2C87"/>
    <w:rPr>
      <w:color w:val="C2B000"/>
    </w:rPr>
  </w:style>
  <w:style w:type="paragraph" w:customStyle="1" w:styleId="Boxtext">
    <w:name w:val="Box text"/>
    <w:basedOn w:val="Tablebodytext"/>
    <w:uiPriority w:val="1"/>
    <w:unhideWhenUsed/>
    <w:rsid w:val="002A2C87"/>
    <w:pPr>
      <w:spacing w:before="113" w:after="113" w:line="240" w:lineRule="atLeast"/>
      <w:ind w:left="0" w:right="0"/>
    </w:pPr>
    <w:rPr>
      <w:color w:val="37424A"/>
    </w:rPr>
  </w:style>
  <w:style w:type="table" w:customStyle="1" w:styleId="DOFDwithheader">
    <w:name w:val="DOFD with header"/>
    <w:basedOn w:val="TableNormal"/>
    <w:uiPriority w:val="99"/>
    <w:qFormat/>
    <w:rsid w:val="002A2C87"/>
    <w:pPr>
      <w:spacing w:before="57" w:after="0" w:line="220" w:lineRule="atLeast"/>
      <w:ind w:left="96" w:right="96"/>
    </w:pPr>
    <w:rPr>
      <w:rFonts w:ascii="Arial" w:eastAsia="Times New Roman" w:hAnsi="Arial" w:cs="Times New Roman"/>
      <w:sz w:val="20"/>
      <w:szCs w:val="20"/>
      <w:lang w:eastAsia="en-AU"/>
    </w:rPr>
    <w:tblPr>
      <w:tblBorders>
        <w:top w:val="single" w:sz="2" w:space="0" w:color="A7B4BE"/>
        <w:bottom w:val="single" w:sz="2" w:space="0" w:color="A7B4BE"/>
        <w:insideH w:val="single" w:sz="2" w:space="0" w:color="A7B4BE"/>
        <w:insideV w:val="single" w:sz="2" w:space="0" w:color="A7B4BE"/>
      </w:tblBorders>
      <w:tblCellMar>
        <w:left w:w="0" w:type="dxa"/>
        <w:right w:w="0" w:type="dxa"/>
      </w:tblCellMar>
    </w:tblPr>
    <w:tblStylePr w:type="firstRow">
      <w:pPr>
        <w:keepNext/>
        <w:wordWrap/>
      </w:pPr>
      <w:rPr>
        <w:b w:val="0"/>
      </w:rPr>
      <w:tblPr/>
      <w:tcPr>
        <w:shd w:val="clear" w:color="auto" w:fill="DDF3FA"/>
      </w:tcPr>
    </w:tblStylePr>
  </w:style>
  <w:style w:type="character" w:customStyle="1" w:styleId="ArialBlackBlue">
    <w:name w:val="Arial Black Blue"/>
    <w:basedOn w:val="DefaultParagraphFont"/>
    <w:uiPriority w:val="1"/>
    <w:semiHidden/>
    <w:qFormat/>
    <w:rsid w:val="002A2C87"/>
    <w:rPr>
      <w:rFonts w:ascii="Arial Black" w:hAnsi="Arial Black"/>
      <w:color w:val="005A77"/>
      <w:sz w:val="18"/>
      <w:szCs w:val="18"/>
    </w:rPr>
  </w:style>
  <w:style w:type="paragraph" w:customStyle="1" w:styleId="Chapternumber">
    <w:name w:val="Chapter number"/>
    <w:rsid w:val="002A2C87"/>
    <w:pPr>
      <w:spacing w:after="0" w:line="940" w:lineRule="exact"/>
      <w:jc w:val="center"/>
    </w:pPr>
    <w:rPr>
      <w:rFonts w:ascii="Arial" w:eastAsia="Times New Roman" w:hAnsi="Arial" w:cs="Arial"/>
      <w:b/>
      <w:color w:val="A7B4BE"/>
      <w:sz w:val="94"/>
      <w:szCs w:val="94"/>
    </w:rPr>
  </w:style>
  <w:style w:type="paragraph" w:customStyle="1" w:styleId="Boxheading">
    <w:name w:val="Box heading"/>
    <w:basedOn w:val="Simpletableheading"/>
    <w:uiPriority w:val="1"/>
    <w:unhideWhenUsed/>
    <w:rsid w:val="002A2C87"/>
    <w:pPr>
      <w:spacing w:before="113" w:after="113"/>
    </w:pPr>
    <w:rPr>
      <w:color w:val="005A77"/>
    </w:rPr>
  </w:style>
  <w:style w:type="paragraph" w:customStyle="1" w:styleId="Notetitle">
    <w:name w:val="Note title"/>
    <w:qFormat/>
    <w:rsid w:val="002A2C87"/>
    <w:pPr>
      <w:keepNext/>
      <w:numPr>
        <w:ilvl w:val="7"/>
        <w:numId w:val="12"/>
      </w:numPr>
      <w:spacing w:before="340" w:after="170" w:line="240" w:lineRule="auto"/>
    </w:pPr>
    <w:rPr>
      <w:rFonts w:ascii="Arial" w:eastAsia="MS Gothic" w:hAnsi="Arial" w:cs="Times New Roman"/>
      <w:b/>
      <w:bCs/>
      <w:iCs/>
      <w:color w:val="005A77"/>
      <w:spacing w:val="-6"/>
      <w:sz w:val="24"/>
      <w:szCs w:val="28"/>
      <w:lang w:val="en-US"/>
    </w:rPr>
  </w:style>
  <w:style w:type="character" w:customStyle="1" w:styleId="Black">
    <w:name w:val="Black"/>
    <w:basedOn w:val="DefaultParagraphFont"/>
    <w:uiPriority w:val="1"/>
    <w:semiHidden/>
    <w:qFormat/>
    <w:rsid w:val="002A2C87"/>
    <w:rPr>
      <w:color w:val="1C2735"/>
      <w:lang w:val="en-AU"/>
    </w:rPr>
  </w:style>
  <w:style w:type="paragraph" w:customStyle="1" w:styleId="Numberedpara1stindent">
    <w:name w:val="Numbered para (1st indent)"/>
    <w:basedOn w:val="ListParagraph"/>
    <w:rsid w:val="002A2C87"/>
    <w:pPr>
      <w:spacing w:before="120" w:after="0" w:line="260" w:lineRule="exact"/>
      <w:ind w:left="924" w:hanging="357"/>
      <w:contextualSpacing w:val="0"/>
    </w:pPr>
    <w:rPr>
      <w:rFonts w:ascii="Cambria" w:eastAsia="Cambria" w:hAnsi="Cambria" w:cs="Times New Roman"/>
    </w:rPr>
  </w:style>
  <w:style w:type="paragraph" w:customStyle="1" w:styleId="Numberedpara2ndindent">
    <w:name w:val="Numbered para (2nd indent)"/>
    <w:basedOn w:val="BodyText1"/>
    <w:rsid w:val="002A2C87"/>
    <w:pPr>
      <w:numPr>
        <w:ilvl w:val="4"/>
        <w:numId w:val="12"/>
      </w:numPr>
      <w:tabs>
        <w:tab w:val="clear" w:pos="851"/>
      </w:tabs>
      <w:spacing w:after="0" w:line="240" w:lineRule="auto"/>
      <w:ind w:left="3240" w:hanging="360"/>
    </w:pPr>
  </w:style>
  <w:style w:type="paragraph" w:customStyle="1" w:styleId="Numberedpara3rdindent">
    <w:name w:val="Numbered para (3rd indent)"/>
    <w:basedOn w:val="BodyText1"/>
    <w:rsid w:val="002A2C87"/>
    <w:pPr>
      <w:spacing w:before="120" w:after="0" w:line="240" w:lineRule="auto"/>
      <w:ind w:left="1644" w:hanging="720"/>
    </w:pPr>
  </w:style>
  <w:style w:type="paragraph" w:customStyle="1" w:styleId="Heading2nonumbers">
    <w:name w:val="Heading 2 (no numbers)"/>
    <w:basedOn w:val="Normal"/>
    <w:next w:val="BodyText1"/>
    <w:uiPriority w:val="14"/>
    <w:rsid w:val="002A2C87"/>
    <w:pPr>
      <w:keepNext/>
      <w:pBdr>
        <w:top w:val="single" w:sz="4" w:space="1" w:color="293137"/>
        <w:left w:val="single" w:sz="4" w:space="4" w:color="293137"/>
        <w:bottom w:val="single" w:sz="4" w:space="1" w:color="293137"/>
        <w:right w:val="single" w:sz="4" w:space="4" w:color="293137"/>
      </w:pBdr>
      <w:shd w:val="clear" w:color="auto" w:fill="293137"/>
      <w:spacing w:before="360" w:after="120" w:line="260" w:lineRule="exact"/>
      <w:outlineLvl w:val="1"/>
    </w:pPr>
    <w:rPr>
      <w:rFonts w:eastAsia="Times New Roman" w:cs="Times New Roman"/>
      <w:b/>
      <w:spacing w:val="-6"/>
      <w:sz w:val="26"/>
      <w:szCs w:val="26"/>
    </w:rPr>
  </w:style>
  <w:style w:type="paragraph" w:customStyle="1" w:styleId="Heading3nonumbers">
    <w:name w:val="Heading 3 (no numbers)"/>
    <w:basedOn w:val="Heading3"/>
    <w:next w:val="BodyText1"/>
    <w:uiPriority w:val="16"/>
    <w:rsid w:val="002A2C87"/>
    <w:pPr>
      <w:keepNext/>
      <w:keepLines/>
      <w:spacing w:before="240" w:after="120" w:line="260" w:lineRule="atLeast"/>
    </w:pPr>
    <w:rPr>
      <w:rFonts w:ascii="Georgia" w:eastAsia="Times New Roman" w:hAnsi="Georgia" w:cs="Times New Roman"/>
      <w:b w:val="0"/>
      <w:bCs w:val="0"/>
      <w:spacing w:val="-6"/>
      <w:sz w:val="44"/>
      <w:szCs w:val="26"/>
    </w:rPr>
  </w:style>
  <w:style w:type="paragraph" w:customStyle="1" w:styleId="Heading4nonumbers">
    <w:name w:val="Heading 4 (no numbers)"/>
    <w:basedOn w:val="Heading4"/>
    <w:next w:val="BodyText1"/>
    <w:link w:val="Heading4nonumbersChar"/>
    <w:uiPriority w:val="17"/>
    <w:rsid w:val="002A2C87"/>
    <w:pPr>
      <w:keepNext/>
      <w:spacing w:before="360" w:after="120" w:line="260" w:lineRule="exact"/>
    </w:pPr>
    <w:rPr>
      <w:rFonts w:ascii="Georgia" w:eastAsia="Times New Roman" w:hAnsi="Georgia" w:cs="Times New Roman"/>
      <w:b w:val="0"/>
      <w:bCs w:val="0"/>
      <w:i w:val="0"/>
      <w:iCs w:val="0"/>
      <w:spacing w:val="-6"/>
      <w:sz w:val="36"/>
      <w:szCs w:val="26"/>
    </w:rPr>
  </w:style>
  <w:style w:type="character" w:customStyle="1" w:styleId="Heading4nonumbersChar">
    <w:name w:val="Heading 4 (no numbers) Char"/>
    <w:basedOn w:val="Heading4Char"/>
    <w:link w:val="Heading4nonumbers"/>
    <w:uiPriority w:val="17"/>
    <w:rsid w:val="002A2C87"/>
    <w:rPr>
      <w:rFonts w:ascii="Georgia" w:eastAsia="Times New Roman" w:hAnsi="Georgia" w:cs="Times New Roman"/>
      <w:b w:val="0"/>
      <w:bCs w:val="0"/>
      <w:i w:val="0"/>
      <w:iCs w:val="0"/>
      <w:spacing w:val="-6"/>
      <w:sz w:val="36"/>
      <w:szCs w:val="26"/>
    </w:rPr>
  </w:style>
  <w:style w:type="paragraph" w:customStyle="1" w:styleId="Boxtitle">
    <w:name w:val="Box title"/>
    <w:basedOn w:val="Boxheading"/>
    <w:uiPriority w:val="1"/>
    <w:unhideWhenUsed/>
    <w:rsid w:val="002A2C87"/>
  </w:style>
  <w:style w:type="table" w:customStyle="1" w:styleId="DOFDplain">
    <w:name w:val="DOFD plain"/>
    <w:basedOn w:val="TableNormal"/>
    <w:uiPriority w:val="99"/>
    <w:qFormat/>
    <w:rsid w:val="002A2C87"/>
    <w:pPr>
      <w:spacing w:before="57" w:after="0" w:line="220" w:lineRule="atLeast"/>
      <w:ind w:left="96" w:right="96"/>
    </w:pPr>
    <w:rPr>
      <w:rFonts w:ascii="Arial" w:eastAsia="Times New Roman" w:hAnsi="Arial" w:cs="Times New Roman"/>
      <w:sz w:val="17"/>
      <w:szCs w:val="20"/>
      <w:lang w:eastAsia="en-AU"/>
    </w:rPr>
    <w:tblPr>
      <w:tblBorders>
        <w:top w:val="single" w:sz="2" w:space="0" w:color="A7B4BE"/>
        <w:bottom w:val="single" w:sz="2" w:space="0" w:color="A7B4BE"/>
        <w:insideH w:val="single" w:sz="2" w:space="0" w:color="A7B4BE"/>
        <w:insideV w:val="single" w:sz="2" w:space="0" w:color="A7B4BE"/>
      </w:tblBorders>
      <w:tblCellMar>
        <w:left w:w="0" w:type="dxa"/>
        <w:right w:w="0" w:type="dxa"/>
      </w:tblCellMar>
    </w:tblPr>
    <w:tblStylePr w:type="firstRow">
      <w:pPr>
        <w:keepNext/>
        <w:wordWrap/>
      </w:pPr>
      <w:rPr>
        <w:rFonts w:ascii="Arial" w:hAnsi="Arial"/>
        <w:b w:val="0"/>
      </w:rPr>
      <w:tblPr/>
      <w:trPr>
        <w:tblHeader/>
      </w:trPr>
    </w:tblStylePr>
  </w:style>
  <w:style w:type="table" w:customStyle="1" w:styleId="DOFDbanded">
    <w:name w:val="DOFD banded"/>
    <w:basedOn w:val="TableNormal"/>
    <w:uiPriority w:val="99"/>
    <w:qFormat/>
    <w:rsid w:val="002A2C87"/>
    <w:pPr>
      <w:spacing w:before="57" w:after="0" w:line="220" w:lineRule="atLeast"/>
      <w:ind w:left="96" w:right="96"/>
    </w:pPr>
    <w:rPr>
      <w:rFonts w:ascii="Arial" w:eastAsia="Times New Roman" w:hAnsi="Arial" w:cs="Times New Roman"/>
      <w:sz w:val="17"/>
      <w:szCs w:val="20"/>
      <w:lang w:eastAsia="en-AU"/>
    </w:rPr>
    <w:tblPr>
      <w:tblStyleRowBandSize w:val="1"/>
      <w:tblBorders>
        <w:top w:val="single" w:sz="2" w:space="0" w:color="A7B4BE"/>
        <w:bottom w:val="single" w:sz="2" w:space="0" w:color="A7B4BE"/>
        <w:insideH w:val="single" w:sz="2" w:space="0" w:color="A7B4BE"/>
        <w:insideV w:val="single" w:sz="2" w:space="0" w:color="A7B4BE"/>
      </w:tblBorders>
      <w:tblCellMar>
        <w:left w:w="0" w:type="dxa"/>
        <w:right w:w="0" w:type="dxa"/>
      </w:tblCellMar>
    </w:tblPr>
    <w:tblStylePr w:type="firstRow">
      <w:pPr>
        <w:keepNext/>
        <w:keepLines w:val="0"/>
        <w:wordWrap/>
      </w:pPr>
      <w:rPr>
        <w:b w:val="0"/>
      </w:rPr>
      <w:tblPr/>
      <w:trPr>
        <w:tblHeader/>
      </w:trPr>
    </w:tblStylePr>
    <w:tblStylePr w:type="band1Horz">
      <w:tblPr/>
      <w:tcPr>
        <w:shd w:val="clear" w:color="auto" w:fill="DDF3FA"/>
      </w:tcPr>
    </w:tblStylePr>
  </w:style>
  <w:style w:type="paragraph" w:customStyle="1" w:styleId="Bulletsnumbers">
    <w:name w:val="Bullets (numbers)"/>
    <w:basedOn w:val="Bullets1stindent"/>
    <w:link w:val="BulletsnumbersChar"/>
    <w:semiHidden/>
    <w:rsid w:val="002A2C87"/>
    <w:pPr>
      <w:numPr>
        <w:numId w:val="14"/>
      </w:numPr>
    </w:pPr>
    <w:rPr>
      <w:lang w:val="en-US"/>
    </w:rPr>
  </w:style>
  <w:style w:type="character" w:customStyle="1" w:styleId="BodyText1Char">
    <w:name w:val="Body Text1 Char"/>
    <w:basedOn w:val="DefaultParagraphFont"/>
    <w:link w:val="BodyText1"/>
    <w:uiPriority w:val="99"/>
    <w:semiHidden/>
    <w:rsid w:val="002A2C87"/>
    <w:rPr>
      <w:rFonts w:ascii="Cambria" w:eastAsia="Times New Roman" w:hAnsi="Cambria" w:cs="Times New Roman"/>
      <w:szCs w:val="24"/>
    </w:rPr>
  </w:style>
  <w:style w:type="character" w:customStyle="1" w:styleId="Bullets1stindentChar">
    <w:name w:val="Bullets (1st indent) Char"/>
    <w:basedOn w:val="BodyText1Char"/>
    <w:link w:val="Bullets1stindent"/>
    <w:semiHidden/>
    <w:rsid w:val="002A2C87"/>
    <w:rPr>
      <w:rFonts w:ascii="Cambria" w:eastAsia="Times New Roman" w:hAnsi="Cambria" w:cs="Times New Roman"/>
      <w:szCs w:val="24"/>
    </w:rPr>
  </w:style>
  <w:style w:type="character" w:customStyle="1" w:styleId="BulletsnumbersChar">
    <w:name w:val="Bullets (numbers) Char"/>
    <w:basedOn w:val="Bullets1stindentChar"/>
    <w:link w:val="Bulletsnumbers"/>
    <w:semiHidden/>
    <w:rsid w:val="002A2C87"/>
    <w:rPr>
      <w:rFonts w:ascii="Cambria" w:eastAsia="Times New Roman" w:hAnsi="Cambria" w:cs="Times New Roman"/>
      <w:szCs w:val="24"/>
      <w:lang w:val="en-US"/>
    </w:rPr>
  </w:style>
  <w:style w:type="paragraph" w:styleId="ListNumber">
    <w:name w:val="List Number"/>
    <w:basedOn w:val="Normal"/>
    <w:uiPriority w:val="99"/>
    <w:qFormat/>
    <w:rsid w:val="002A2C87"/>
    <w:pPr>
      <w:tabs>
        <w:tab w:val="num" w:pos="360"/>
      </w:tabs>
      <w:spacing w:before="200" w:after="240" w:line="260" w:lineRule="atLeast"/>
      <w:ind w:left="357" w:hanging="357"/>
      <w:contextualSpacing/>
    </w:pPr>
    <w:rPr>
      <w:rFonts w:ascii="Cambria" w:eastAsia="Cambria" w:hAnsi="Cambria" w:cs="Times New Roman"/>
    </w:rPr>
  </w:style>
  <w:style w:type="paragraph" w:styleId="ListNumber2">
    <w:name w:val="List Number 2"/>
    <w:basedOn w:val="Normal"/>
    <w:rsid w:val="002A2C87"/>
    <w:pPr>
      <w:tabs>
        <w:tab w:val="num" w:pos="643"/>
      </w:tabs>
      <w:spacing w:before="200" w:after="0" w:line="260" w:lineRule="atLeast"/>
      <w:ind w:left="643" w:hanging="360"/>
      <w:contextualSpacing/>
    </w:pPr>
    <w:rPr>
      <w:rFonts w:ascii="Cambria" w:eastAsia="Cambria" w:hAnsi="Cambria" w:cs="Times New Roman"/>
    </w:rPr>
  </w:style>
  <w:style w:type="table" w:customStyle="1" w:styleId="DOFDtexttable">
    <w:name w:val="DOFD_text table"/>
    <w:basedOn w:val="TableNormal"/>
    <w:uiPriority w:val="99"/>
    <w:qFormat/>
    <w:rsid w:val="002A2C87"/>
    <w:pPr>
      <w:spacing w:before="57" w:after="0" w:line="240" w:lineRule="auto"/>
    </w:pPr>
    <w:rPr>
      <w:rFonts w:ascii="Cambria" w:eastAsia="Times New Roman" w:hAnsi="Cambria" w:cs="Times New Roman"/>
      <w:sz w:val="20"/>
      <w:szCs w:val="20"/>
      <w:lang w:eastAsia="en-AU"/>
    </w:rPr>
    <w:tblPr>
      <w:tblBorders>
        <w:top w:val="single" w:sz="2" w:space="0" w:color="37424A"/>
        <w:left w:val="single" w:sz="2" w:space="0" w:color="37424A"/>
        <w:bottom w:val="single" w:sz="2" w:space="0" w:color="37424A"/>
        <w:right w:val="single" w:sz="2" w:space="0" w:color="37424A"/>
        <w:insideH w:val="single" w:sz="2" w:space="0" w:color="37424A"/>
        <w:insideV w:val="single" w:sz="2" w:space="0" w:color="37424A"/>
      </w:tblBorders>
      <w:tblCellMar>
        <w:top w:w="170" w:type="dxa"/>
        <w:left w:w="227" w:type="dxa"/>
        <w:bottom w:w="113" w:type="dxa"/>
        <w:right w:w="227" w:type="dxa"/>
      </w:tblCellMar>
    </w:tblPr>
    <w:trPr>
      <w:cantSplit/>
    </w:trPr>
    <w:tblStylePr w:type="firstRow">
      <w:rPr>
        <w:rFonts w:ascii="Arial" w:hAnsi="Arial"/>
        <w:b w:val="0"/>
        <w:color w:val="37424A"/>
        <w:sz w:val="22"/>
      </w:rPr>
      <w:tblPr/>
      <w:trPr>
        <w:tblHeader/>
      </w:trPr>
      <w:tcPr>
        <w:tcBorders>
          <w:top w:val="nil"/>
          <w:left w:val="nil"/>
          <w:bottom w:val="nil"/>
          <w:right w:val="nil"/>
          <w:insideH w:val="nil"/>
          <w:insideV w:val="nil"/>
          <w:tl2br w:val="nil"/>
          <w:tr2bl w:val="nil"/>
        </w:tcBorders>
        <w:shd w:val="clear" w:color="auto" w:fill="887B1B"/>
        <w:tcMar>
          <w:top w:w="113" w:type="dxa"/>
          <w:left w:w="0" w:type="nil"/>
          <w:bottom w:w="113" w:type="dxa"/>
          <w:right w:w="0" w:type="nil"/>
        </w:tcMar>
      </w:tcPr>
    </w:tblStylePr>
  </w:style>
  <w:style w:type="paragraph" w:styleId="EndnoteText">
    <w:name w:val="endnote text"/>
    <w:basedOn w:val="Normal"/>
    <w:link w:val="EndnoteTextChar"/>
    <w:uiPriority w:val="99"/>
    <w:rsid w:val="002A2C87"/>
    <w:pPr>
      <w:spacing w:before="200" w:after="0" w:line="260" w:lineRule="atLeast"/>
    </w:pPr>
    <w:rPr>
      <w:rFonts w:ascii="Cambria" w:eastAsia="Cambria" w:hAnsi="Cambria" w:cs="Times New Roman"/>
      <w:szCs w:val="20"/>
    </w:rPr>
  </w:style>
  <w:style w:type="character" w:customStyle="1" w:styleId="EndnoteTextChar">
    <w:name w:val="Endnote Text Char"/>
    <w:basedOn w:val="DefaultParagraphFont"/>
    <w:link w:val="EndnoteText"/>
    <w:uiPriority w:val="99"/>
    <w:rsid w:val="002A2C87"/>
    <w:rPr>
      <w:rFonts w:ascii="Cambria" w:eastAsia="Cambria" w:hAnsi="Cambria" w:cs="Times New Roman"/>
      <w:szCs w:val="20"/>
    </w:rPr>
  </w:style>
  <w:style w:type="character" w:styleId="EndnoteReference">
    <w:name w:val="endnote reference"/>
    <w:basedOn w:val="DefaultParagraphFont"/>
    <w:rsid w:val="002A2C87"/>
    <w:rPr>
      <w:vertAlign w:val="superscript"/>
    </w:rPr>
  </w:style>
  <w:style w:type="paragraph" w:styleId="List">
    <w:name w:val="List"/>
    <w:basedOn w:val="Numberedpara1stindent"/>
    <w:uiPriority w:val="99"/>
    <w:qFormat/>
    <w:rsid w:val="002A2C87"/>
    <w:pPr>
      <w:spacing w:after="240"/>
    </w:pPr>
  </w:style>
  <w:style w:type="paragraph" w:styleId="List2">
    <w:name w:val="List 2"/>
    <w:basedOn w:val="Numberedpara2ndindent"/>
    <w:uiPriority w:val="99"/>
    <w:qFormat/>
    <w:rsid w:val="002A2C87"/>
  </w:style>
  <w:style w:type="paragraph" w:styleId="List3">
    <w:name w:val="List 3"/>
    <w:basedOn w:val="Numberedpara3rdindent"/>
    <w:uiPriority w:val="99"/>
    <w:qFormat/>
    <w:rsid w:val="002A2C87"/>
  </w:style>
  <w:style w:type="numbering" w:customStyle="1" w:styleId="Numbers1">
    <w:name w:val="Numbers1"/>
    <w:basedOn w:val="NoList"/>
    <w:rsid w:val="002A2C87"/>
  </w:style>
  <w:style w:type="paragraph" w:customStyle="1" w:styleId="NumberedParagraph">
    <w:name w:val="Numbered Paragraph"/>
    <w:basedOn w:val="Numberedpara1stindent"/>
    <w:qFormat/>
    <w:rsid w:val="002A2C87"/>
    <w:pPr>
      <w:numPr>
        <w:ilvl w:val="1"/>
      </w:numPr>
      <w:tabs>
        <w:tab w:val="num" w:pos="360"/>
      </w:tabs>
      <w:spacing w:after="120"/>
      <w:ind w:left="360" w:hanging="360"/>
    </w:pPr>
    <w:rPr>
      <w:bCs/>
      <w:color w:val="000000"/>
    </w:rPr>
  </w:style>
  <w:style w:type="character" w:styleId="FollowedHyperlink">
    <w:name w:val="FollowedHyperlink"/>
    <w:basedOn w:val="DefaultParagraphFont"/>
    <w:uiPriority w:val="99"/>
    <w:rsid w:val="002A2C87"/>
    <w:rPr>
      <w:color w:val="800080" w:themeColor="followedHyperlink"/>
      <w:u w:val="single"/>
    </w:rPr>
  </w:style>
  <w:style w:type="paragraph" w:styleId="NormalIndent">
    <w:name w:val="Normal Indent"/>
    <w:basedOn w:val="Normal"/>
    <w:uiPriority w:val="99"/>
    <w:semiHidden/>
    <w:rsid w:val="002A2C87"/>
    <w:pPr>
      <w:spacing w:before="200" w:after="0" w:line="260" w:lineRule="atLeast"/>
      <w:ind w:left="720"/>
    </w:pPr>
    <w:rPr>
      <w:rFonts w:ascii="Cambria" w:eastAsia="Cambria" w:hAnsi="Cambria" w:cs="Times New Roman"/>
    </w:rPr>
  </w:style>
  <w:style w:type="paragraph" w:customStyle="1" w:styleId="Boxnumberedparaindent1">
    <w:name w:val="Box numbered para indent 1"/>
    <w:basedOn w:val="NormalIndent"/>
    <w:rsid w:val="002A2C87"/>
    <w:pPr>
      <w:tabs>
        <w:tab w:val="left" w:pos="284"/>
        <w:tab w:val="left" w:pos="1281"/>
        <w:tab w:val="left" w:pos="1418"/>
      </w:tabs>
    </w:pPr>
    <w:rPr>
      <w:lang w:eastAsia="en-AU"/>
    </w:rPr>
  </w:style>
  <w:style w:type="paragraph" w:customStyle="1" w:styleId="Bullets3rdindent">
    <w:name w:val="Bullets (3rd indent)"/>
    <w:basedOn w:val="Bullets2ndindent"/>
    <w:rsid w:val="002A2C87"/>
    <w:pPr>
      <w:numPr>
        <w:numId w:val="17"/>
      </w:numPr>
      <w:tabs>
        <w:tab w:val="right" w:pos="1191"/>
      </w:tabs>
      <w:ind w:left="720"/>
    </w:pPr>
    <w:rPr>
      <w:rFonts w:ascii="Cambria" w:hAnsi="Cambria"/>
    </w:rPr>
  </w:style>
  <w:style w:type="paragraph" w:customStyle="1" w:styleId="Bullets1stindentlast">
    <w:name w:val="Bullets (1st indent) last"/>
    <w:basedOn w:val="Bullets1stindent"/>
    <w:rsid w:val="002A2C87"/>
    <w:pPr>
      <w:spacing w:before="120" w:after="0" w:line="260" w:lineRule="atLeast"/>
    </w:pPr>
  </w:style>
  <w:style w:type="paragraph" w:customStyle="1" w:styleId="Bulletintro">
    <w:name w:val="Bullet intro"/>
    <w:basedOn w:val="Normal"/>
    <w:rsid w:val="002A2C87"/>
    <w:pPr>
      <w:spacing w:before="200" w:after="120" w:line="260" w:lineRule="atLeast"/>
    </w:pPr>
    <w:rPr>
      <w:rFonts w:ascii="Cambria" w:eastAsia="Cambria" w:hAnsi="Cambria" w:cs="Times New Roman"/>
    </w:rPr>
  </w:style>
  <w:style w:type="paragraph" w:styleId="Index1">
    <w:name w:val="index 1"/>
    <w:basedOn w:val="Normal"/>
    <w:next w:val="Normal"/>
    <w:autoRedefine/>
    <w:uiPriority w:val="99"/>
    <w:semiHidden/>
    <w:rsid w:val="002A2C87"/>
    <w:pPr>
      <w:spacing w:before="200" w:after="0" w:line="260" w:lineRule="atLeast"/>
      <w:ind w:left="220" w:hanging="220"/>
    </w:pPr>
    <w:rPr>
      <w:rFonts w:ascii="Cambria" w:eastAsia="Cambria" w:hAnsi="Cambria" w:cs="Times New Roman"/>
    </w:rPr>
  </w:style>
  <w:style w:type="paragraph" w:customStyle="1" w:styleId="FCList">
    <w:name w:val="FC_List"/>
    <w:basedOn w:val="Header"/>
    <w:uiPriority w:val="99"/>
    <w:rsid w:val="002A2C87"/>
    <w:pPr>
      <w:numPr>
        <w:numId w:val="13"/>
      </w:numPr>
      <w:tabs>
        <w:tab w:val="clear" w:pos="4513"/>
        <w:tab w:val="clear" w:pos="9026"/>
      </w:tabs>
      <w:spacing w:before="60" w:after="60"/>
    </w:pPr>
    <w:rPr>
      <w:rFonts w:ascii="Times New Roman" w:eastAsia="Times New Roman" w:hAnsi="Times New Roman" w:cs="Times New Roman"/>
      <w:sz w:val="24"/>
      <w:szCs w:val="24"/>
    </w:rPr>
  </w:style>
  <w:style w:type="paragraph" w:customStyle="1" w:styleId="DefaultText1">
    <w:name w:val="Default_Text_1"/>
    <w:basedOn w:val="Normal"/>
    <w:link w:val="DefaultText1Char"/>
    <w:qFormat/>
    <w:rsid w:val="002A2C87"/>
    <w:pPr>
      <w:autoSpaceDE w:val="0"/>
      <w:autoSpaceDN w:val="0"/>
      <w:adjustRightInd w:val="0"/>
      <w:spacing w:before="60" w:after="180" w:line="240" w:lineRule="auto"/>
    </w:pPr>
    <w:rPr>
      <w:rFonts w:eastAsia="Times New Roman" w:cs="Times-Roman"/>
      <w:color w:val="FFFFFF" w:themeColor="background1"/>
      <w:kern w:val="32"/>
      <w:sz w:val="48"/>
      <w:szCs w:val="32"/>
      <w:lang w:val="en-US"/>
    </w:rPr>
  </w:style>
  <w:style w:type="character" w:customStyle="1" w:styleId="DefaultText1Char">
    <w:name w:val="Default_Text_1 Char"/>
    <w:basedOn w:val="Heading1Char"/>
    <w:link w:val="DefaultText1"/>
    <w:rsid w:val="002A2C87"/>
    <w:rPr>
      <w:rFonts w:ascii="Arial" w:eastAsia="Times New Roman" w:hAnsi="Arial" w:cs="Times-Roman"/>
      <w:b w:val="0"/>
      <w:bCs w:val="0"/>
      <w:color w:val="FFFFFF" w:themeColor="background1"/>
      <w:kern w:val="32"/>
      <w:sz w:val="48"/>
      <w:szCs w:val="32"/>
      <w:lang w:val="en-US"/>
    </w:rPr>
  </w:style>
  <w:style w:type="paragraph" w:styleId="Revision">
    <w:name w:val="Revision"/>
    <w:hidden/>
    <w:uiPriority w:val="99"/>
    <w:semiHidden/>
    <w:rsid w:val="002A2C87"/>
    <w:pPr>
      <w:spacing w:after="0" w:line="240" w:lineRule="auto"/>
    </w:pPr>
    <w:rPr>
      <w:rFonts w:ascii="Cambria" w:eastAsia="Cambria" w:hAnsi="Cambria" w:cs="Times New Roman"/>
    </w:rPr>
  </w:style>
  <w:style w:type="paragraph" w:styleId="BodyText3">
    <w:name w:val="Body Text 3"/>
    <w:basedOn w:val="Normal"/>
    <w:link w:val="BodyText3Char"/>
    <w:uiPriority w:val="99"/>
    <w:semiHidden/>
    <w:unhideWhenUsed/>
    <w:rsid w:val="002A2C87"/>
    <w:pPr>
      <w:suppressAutoHyphens/>
      <w:spacing w:before="180" w:after="120" w:line="280" w:lineRule="atLeast"/>
    </w:pPr>
    <w:rPr>
      <w:rFonts w:asciiTheme="minorHAnsi" w:hAnsiTheme="minorHAnsi"/>
      <w:sz w:val="16"/>
      <w:szCs w:val="16"/>
    </w:rPr>
  </w:style>
  <w:style w:type="character" w:customStyle="1" w:styleId="BodyText3Char">
    <w:name w:val="Body Text 3 Char"/>
    <w:basedOn w:val="DefaultParagraphFont"/>
    <w:link w:val="BodyText3"/>
    <w:uiPriority w:val="99"/>
    <w:semiHidden/>
    <w:rsid w:val="002A2C87"/>
    <w:rPr>
      <w:sz w:val="16"/>
      <w:szCs w:val="16"/>
    </w:rPr>
  </w:style>
  <w:style w:type="paragraph" w:customStyle="1" w:styleId="Single">
    <w:name w:val="Single"/>
    <w:basedOn w:val="Normal"/>
    <w:rsid w:val="002A2C87"/>
    <w:pPr>
      <w:spacing w:after="0" w:line="240" w:lineRule="auto"/>
    </w:pPr>
    <w:rPr>
      <w:rFonts w:ascii="Times New Roman" w:eastAsia="Times New Roman" w:hAnsi="Times New Roman" w:cs="Times New Roman"/>
      <w:sz w:val="24"/>
      <w:szCs w:val="20"/>
    </w:rPr>
  </w:style>
  <w:style w:type="paragraph" w:customStyle="1" w:styleId="Boxed-casestudy">
    <w:name w:val="Boxed - case study"/>
    <w:basedOn w:val="Boxed2Text"/>
    <w:next w:val="Boxed-casestudybullet"/>
    <w:link w:val="Boxed-casestudyChar"/>
    <w:rsid w:val="002A2C87"/>
    <w:pPr>
      <w:shd w:val="clear" w:color="auto" w:fill="65DDF5"/>
    </w:pPr>
  </w:style>
  <w:style w:type="paragraph" w:customStyle="1" w:styleId="Boxed-casestudybullet">
    <w:name w:val="Boxed - case study bullet"/>
    <w:basedOn w:val="Normal"/>
    <w:link w:val="Boxed-casestudybulletChar"/>
    <w:rsid w:val="002A2C87"/>
    <w:pPr>
      <w:shd w:val="clear" w:color="auto" w:fill="65DDF5"/>
      <w:suppressAutoHyphens/>
      <w:spacing w:before="180" w:after="60" w:line="280" w:lineRule="atLeast"/>
      <w:contextualSpacing/>
    </w:pPr>
    <w:rPr>
      <w:rFonts w:asciiTheme="minorHAnsi" w:hAnsiTheme="minorHAnsi"/>
    </w:rPr>
  </w:style>
  <w:style w:type="character" w:customStyle="1" w:styleId="Boxed1TextChar">
    <w:name w:val="Boxed 1 Text Char"/>
    <w:basedOn w:val="DefaultParagraphFont"/>
    <w:link w:val="Boxed1Text"/>
    <w:rsid w:val="002A2C87"/>
    <w:rPr>
      <w:shd w:val="clear" w:color="auto" w:fill="DBE5F1" w:themeFill="accent1" w:themeFillTint="33"/>
    </w:rPr>
  </w:style>
  <w:style w:type="character" w:customStyle="1" w:styleId="Boxed2TextChar">
    <w:name w:val="Boxed 2 Text Char"/>
    <w:basedOn w:val="Boxed1TextChar"/>
    <w:link w:val="Boxed2Text"/>
    <w:rsid w:val="002A2C87"/>
    <w:rPr>
      <w:shd w:val="clear" w:color="auto" w:fill="4F81BD" w:themeFill="accent1"/>
    </w:rPr>
  </w:style>
  <w:style w:type="character" w:customStyle="1" w:styleId="Boxed-casestudyChar">
    <w:name w:val="Boxed - case study Char"/>
    <w:basedOn w:val="Boxed2TextChar"/>
    <w:link w:val="Boxed-casestudy"/>
    <w:rsid w:val="002A2C87"/>
    <w:rPr>
      <w:shd w:val="clear" w:color="auto" w:fill="65DDF5"/>
    </w:rPr>
  </w:style>
  <w:style w:type="character" w:customStyle="1" w:styleId="Boxed-casestudybulletChar">
    <w:name w:val="Boxed - case study bullet Char"/>
    <w:basedOn w:val="Boxed-casestudyChar"/>
    <w:link w:val="Boxed-casestudybullet"/>
    <w:rsid w:val="002A2C87"/>
    <w:rPr>
      <w:shd w:val="clear" w:color="auto" w:fill="65DDF5"/>
    </w:rPr>
  </w:style>
  <w:style w:type="character" w:customStyle="1" w:styleId="CharSectno">
    <w:name w:val="CharSectno"/>
    <w:basedOn w:val="DefaultParagraphFont"/>
    <w:qFormat/>
    <w:rsid w:val="002A2C87"/>
  </w:style>
  <w:style w:type="paragraph" w:customStyle="1" w:styleId="mhb1">
    <w:name w:val="mhb1"/>
    <w:basedOn w:val="Normal"/>
    <w:uiPriority w:val="99"/>
    <w:rsid w:val="002A2C87"/>
    <w:pPr>
      <w:tabs>
        <w:tab w:val="left" w:pos="567"/>
      </w:tabs>
      <w:spacing w:before="240" w:after="0" w:line="240" w:lineRule="auto"/>
    </w:pPr>
    <w:rPr>
      <w:rFonts w:ascii="Times New Roman" w:eastAsia="Times New Roman" w:hAnsi="Times New Roman" w:cs="Times New Roman"/>
      <w:b/>
      <w:sz w:val="24"/>
      <w:szCs w:val="20"/>
      <w:lang w:eastAsia="en-AU"/>
    </w:rPr>
  </w:style>
  <w:style w:type="paragraph" w:styleId="BodyTextIndent3">
    <w:name w:val="Body Text Indent 3"/>
    <w:basedOn w:val="Normal"/>
    <w:link w:val="BodyTextIndent3Char"/>
    <w:uiPriority w:val="99"/>
    <w:rsid w:val="002A2C87"/>
    <w:pPr>
      <w:spacing w:after="120" w:line="240" w:lineRule="auto"/>
      <w:ind w:left="283"/>
    </w:pPr>
    <w:rPr>
      <w:rFonts w:ascii="Cambria" w:eastAsia="Cambria" w:hAnsi="Cambria" w:cs="Times New Roman"/>
      <w:sz w:val="16"/>
      <w:szCs w:val="16"/>
    </w:rPr>
  </w:style>
  <w:style w:type="character" w:customStyle="1" w:styleId="BodyTextIndent3Char">
    <w:name w:val="Body Text Indent 3 Char"/>
    <w:basedOn w:val="DefaultParagraphFont"/>
    <w:link w:val="BodyTextIndent3"/>
    <w:uiPriority w:val="99"/>
    <w:rsid w:val="002A2C87"/>
    <w:rPr>
      <w:rFonts w:ascii="Cambria" w:eastAsia="Cambria" w:hAnsi="Cambria" w:cs="Times New Roman"/>
      <w:sz w:val="16"/>
      <w:szCs w:val="16"/>
    </w:rPr>
  </w:style>
  <w:style w:type="paragraph" w:customStyle="1" w:styleId="ActHead50">
    <w:name w:val="ActHead 5"/>
    <w:aliases w:val="s"/>
    <w:basedOn w:val="Normal"/>
    <w:next w:val="subsection"/>
    <w:link w:val="ActHead5Char"/>
    <w:qFormat/>
    <w:rsid w:val="002A2C87"/>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2A2C87"/>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2A2C87"/>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paragraph" w:customStyle="1" w:styleId="notetext">
    <w:name w:val="note(text)"/>
    <w:aliases w:val="n"/>
    <w:basedOn w:val="Normal"/>
    <w:link w:val="notetextChar"/>
    <w:rsid w:val="002A2C87"/>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link w:val="subsection"/>
    <w:locked/>
    <w:rsid w:val="002A2C87"/>
    <w:rPr>
      <w:rFonts w:ascii="Times New Roman" w:eastAsia="Times New Roman" w:hAnsi="Times New Roman" w:cs="Times New Roman"/>
      <w:szCs w:val="20"/>
      <w:lang w:eastAsia="en-AU"/>
    </w:rPr>
  </w:style>
  <w:style w:type="character" w:customStyle="1" w:styleId="notetextChar">
    <w:name w:val="note(text) Char"/>
    <w:aliases w:val="n Char"/>
    <w:link w:val="notetext"/>
    <w:rsid w:val="002A2C87"/>
    <w:rPr>
      <w:rFonts w:ascii="Times New Roman" w:eastAsia="Times New Roman" w:hAnsi="Times New Roman" w:cs="Times New Roman"/>
      <w:sz w:val="18"/>
      <w:szCs w:val="20"/>
      <w:lang w:eastAsia="en-AU"/>
    </w:rPr>
  </w:style>
  <w:style w:type="paragraph" w:customStyle="1" w:styleId="DefinitionList">
    <w:name w:val="Definition List"/>
    <w:basedOn w:val="Normal"/>
    <w:next w:val="Normal"/>
    <w:link w:val="DefinitionListChar"/>
    <w:uiPriority w:val="99"/>
    <w:rsid w:val="002A2C87"/>
    <w:pPr>
      <w:spacing w:after="0" w:line="240" w:lineRule="auto"/>
      <w:ind w:left="360"/>
    </w:pPr>
    <w:rPr>
      <w:rFonts w:ascii="Times New Roman" w:eastAsia="Times New Roman" w:hAnsi="Times New Roman" w:cs="Times New Roman"/>
      <w:sz w:val="24"/>
      <w:szCs w:val="20"/>
    </w:rPr>
  </w:style>
  <w:style w:type="character" w:customStyle="1" w:styleId="DefinitionListChar">
    <w:name w:val="Definition List Char"/>
    <w:link w:val="DefinitionList"/>
    <w:uiPriority w:val="99"/>
    <w:locked/>
    <w:rsid w:val="002A2C87"/>
    <w:rPr>
      <w:rFonts w:ascii="Times New Roman" w:eastAsia="Times New Roman" w:hAnsi="Times New Roman" w:cs="Times New Roman"/>
      <w:sz w:val="24"/>
      <w:szCs w:val="20"/>
    </w:rPr>
  </w:style>
  <w:style w:type="paragraph" w:customStyle="1" w:styleId="paragraphsub">
    <w:name w:val="paragraph(sub)"/>
    <w:aliases w:val="aa"/>
    <w:basedOn w:val="Normal"/>
    <w:rsid w:val="002A2C87"/>
    <w:pPr>
      <w:tabs>
        <w:tab w:val="right" w:pos="1985"/>
      </w:tabs>
      <w:spacing w:before="40" w:after="0" w:line="240" w:lineRule="auto"/>
      <w:ind w:left="2098" w:hanging="2098"/>
    </w:pPr>
    <w:rPr>
      <w:rFonts w:ascii="Times New Roman" w:eastAsia="Times New Roman" w:hAnsi="Times New Roman" w:cs="Times New Roman"/>
      <w:szCs w:val="20"/>
      <w:lang w:eastAsia="en-AU"/>
    </w:rPr>
  </w:style>
  <w:style w:type="paragraph" w:customStyle="1" w:styleId="SubsectionHead">
    <w:name w:val="SubsectionHead"/>
    <w:aliases w:val="ssh"/>
    <w:basedOn w:val="Normal"/>
    <w:next w:val="subsection"/>
    <w:rsid w:val="002A2C87"/>
    <w:pPr>
      <w:keepNext/>
      <w:keepLines/>
      <w:spacing w:before="240" w:after="0" w:line="240" w:lineRule="auto"/>
      <w:ind w:left="1134"/>
    </w:pPr>
    <w:rPr>
      <w:rFonts w:ascii="Times New Roman" w:eastAsia="Times New Roman" w:hAnsi="Times New Roman" w:cs="Times New Roman"/>
      <w:i/>
      <w:szCs w:val="20"/>
      <w:lang w:eastAsia="en-AU"/>
    </w:rPr>
  </w:style>
  <w:style w:type="character" w:styleId="LineNumber">
    <w:name w:val="line number"/>
    <w:uiPriority w:val="99"/>
    <w:semiHidden/>
    <w:unhideWhenUsed/>
    <w:rsid w:val="002A2C87"/>
    <w:rPr>
      <w:sz w:val="16"/>
    </w:rPr>
  </w:style>
  <w:style w:type="paragraph" w:styleId="BodyTextIndent2">
    <w:name w:val="Body Text Indent 2"/>
    <w:basedOn w:val="Normal"/>
    <w:next w:val="Normal"/>
    <w:link w:val="BodyTextIndent2Char"/>
    <w:uiPriority w:val="99"/>
    <w:rsid w:val="002A2C87"/>
    <w:pPr>
      <w:spacing w:after="0" w:line="240" w:lineRule="auto"/>
    </w:pPr>
    <w:rPr>
      <w:rFonts w:eastAsia="Times New Roman" w:cs="Times New Roman"/>
      <w:sz w:val="24"/>
      <w:szCs w:val="20"/>
      <w:lang w:val="en-US"/>
    </w:rPr>
  </w:style>
  <w:style w:type="character" w:customStyle="1" w:styleId="BodyTextIndent2Char">
    <w:name w:val="Body Text Indent 2 Char"/>
    <w:basedOn w:val="DefaultParagraphFont"/>
    <w:link w:val="BodyTextIndent2"/>
    <w:uiPriority w:val="99"/>
    <w:rsid w:val="002A2C87"/>
    <w:rPr>
      <w:rFonts w:ascii="Arial" w:eastAsia="Times New Roman" w:hAnsi="Arial" w:cs="Times New Roman"/>
      <w:sz w:val="24"/>
      <w:szCs w:val="20"/>
      <w:lang w:val="en-US"/>
    </w:rPr>
  </w:style>
  <w:style w:type="paragraph" w:customStyle="1" w:styleId="Style72">
    <w:name w:val="Style72"/>
    <w:uiPriority w:val="99"/>
    <w:rsid w:val="002A2C87"/>
    <w:pPr>
      <w:spacing w:after="0" w:line="240" w:lineRule="auto"/>
    </w:pPr>
    <w:rPr>
      <w:rFonts w:ascii="Arial" w:eastAsia="Times New Roman" w:hAnsi="Arial" w:cs="Times New Roman"/>
      <w:sz w:val="24"/>
      <w:szCs w:val="20"/>
      <w:lang w:val="en-US"/>
    </w:rPr>
  </w:style>
  <w:style w:type="paragraph" w:styleId="BodyTextIndent">
    <w:name w:val="Body Text Indent"/>
    <w:basedOn w:val="Normal"/>
    <w:next w:val="Normal"/>
    <w:link w:val="BodyTextIndentChar"/>
    <w:uiPriority w:val="99"/>
    <w:rsid w:val="002A2C87"/>
    <w:pPr>
      <w:spacing w:after="0" w:line="240" w:lineRule="auto"/>
    </w:pPr>
    <w:rPr>
      <w:rFonts w:eastAsia="Times New Roman" w:cs="Times New Roman"/>
      <w:sz w:val="24"/>
      <w:szCs w:val="20"/>
      <w:lang w:val="en-US"/>
    </w:rPr>
  </w:style>
  <w:style w:type="character" w:customStyle="1" w:styleId="BodyTextIndentChar">
    <w:name w:val="Body Text Indent Char"/>
    <w:basedOn w:val="DefaultParagraphFont"/>
    <w:link w:val="BodyTextIndent"/>
    <w:uiPriority w:val="99"/>
    <w:rsid w:val="002A2C87"/>
    <w:rPr>
      <w:rFonts w:ascii="Arial" w:eastAsia="Times New Roman" w:hAnsi="Arial" w:cs="Times New Roman"/>
      <w:sz w:val="24"/>
      <w:szCs w:val="20"/>
      <w:lang w:val="en-US"/>
    </w:rPr>
  </w:style>
  <w:style w:type="paragraph" w:styleId="BodyText20">
    <w:name w:val="Body Text 2"/>
    <w:basedOn w:val="Normal"/>
    <w:link w:val="BodyText2Char"/>
    <w:uiPriority w:val="99"/>
    <w:rsid w:val="002A2C87"/>
    <w:pPr>
      <w:spacing w:after="0" w:line="240" w:lineRule="auto"/>
    </w:pPr>
    <w:rPr>
      <w:rFonts w:ascii="Times New Roman" w:eastAsia="Times New Roman" w:hAnsi="Times New Roman" w:cs="Times New Roman"/>
      <w:sz w:val="24"/>
      <w:szCs w:val="20"/>
      <w:lang w:eastAsia="en-AU"/>
    </w:rPr>
  </w:style>
  <w:style w:type="character" w:customStyle="1" w:styleId="BodyText2Char">
    <w:name w:val="Body Text 2 Char"/>
    <w:basedOn w:val="DefaultParagraphFont"/>
    <w:link w:val="BodyText20"/>
    <w:uiPriority w:val="99"/>
    <w:rsid w:val="002A2C87"/>
    <w:rPr>
      <w:rFonts w:ascii="Times New Roman" w:eastAsia="Times New Roman" w:hAnsi="Times New Roman" w:cs="Times New Roman"/>
      <w:sz w:val="24"/>
      <w:szCs w:val="20"/>
      <w:lang w:eastAsia="en-AU"/>
    </w:rPr>
  </w:style>
  <w:style w:type="paragraph" w:styleId="List4">
    <w:name w:val="List 4"/>
    <w:basedOn w:val="Normal"/>
    <w:uiPriority w:val="99"/>
    <w:rsid w:val="002A2C87"/>
    <w:pPr>
      <w:spacing w:after="0" w:line="240" w:lineRule="auto"/>
      <w:ind w:left="1132" w:hanging="283"/>
    </w:pPr>
    <w:rPr>
      <w:rFonts w:ascii="Times New Roman" w:eastAsia="Times New Roman" w:hAnsi="Times New Roman" w:cs="Times New Roman"/>
      <w:sz w:val="20"/>
      <w:szCs w:val="20"/>
      <w:lang w:eastAsia="en-AU"/>
    </w:rPr>
  </w:style>
  <w:style w:type="paragraph" w:styleId="List5">
    <w:name w:val="List 5"/>
    <w:basedOn w:val="Normal"/>
    <w:uiPriority w:val="99"/>
    <w:rsid w:val="002A2C87"/>
    <w:pPr>
      <w:spacing w:after="0" w:line="240" w:lineRule="auto"/>
      <w:ind w:left="1415" w:hanging="283"/>
    </w:pPr>
    <w:rPr>
      <w:rFonts w:ascii="Times New Roman" w:eastAsia="Times New Roman" w:hAnsi="Times New Roman" w:cs="Times New Roman"/>
      <w:sz w:val="20"/>
      <w:szCs w:val="20"/>
      <w:lang w:eastAsia="en-AU"/>
    </w:rPr>
  </w:style>
  <w:style w:type="paragraph" w:styleId="ListBullet2">
    <w:name w:val="List Bullet 2"/>
    <w:basedOn w:val="Normal"/>
    <w:autoRedefine/>
    <w:uiPriority w:val="99"/>
    <w:rsid w:val="002A2C87"/>
    <w:pPr>
      <w:tabs>
        <w:tab w:val="num" w:pos="643"/>
      </w:tabs>
      <w:spacing w:after="0" w:line="240" w:lineRule="auto"/>
      <w:ind w:left="643" w:hanging="360"/>
    </w:pPr>
    <w:rPr>
      <w:rFonts w:ascii="Times New Roman" w:eastAsia="Times New Roman" w:hAnsi="Times New Roman" w:cs="Times New Roman"/>
      <w:sz w:val="20"/>
      <w:szCs w:val="20"/>
      <w:lang w:eastAsia="en-AU"/>
    </w:rPr>
  </w:style>
  <w:style w:type="paragraph" w:styleId="ListBullet3">
    <w:name w:val="List Bullet 3"/>
    <w:basedOn w:val="Normal"/>
    <w:autoRedefine/>
    <w:uiPriority w:val="99"/>
    <w:rsid w:val="002A2C87"/>
    <w:pPr>
      <w:tabs>
        <w:tab w:val="num" w:pos="926"/>
      </w:tabs>
      <w:spacing w:after="0" w:line="240" w:lineRule="auto"/>
      <w:ind w:left="926" w:hanging="360"/>
    </w:pPr>
    <w:rPr>
      <w:rFonts w:ascii="Times New Roman" w:eastAsia="Times New Roman" w:hAnsi="Times New Roman" w:cs="Times New Roman"/>
      <w:sz w:val="20"/>
      <w:szCs w:val="20"/>
      <w:lang w:eastAsia="en-AU"/>
    </w:rPr>
  </w:style>
  <w:style w:type="paragraph" w:styleId="ListBullet5">
    <w:name w:val="List Bullet 5"/>
    <w:basedOn w:val="Normal"/>
    <w:autoRedefine/>
    <w:uiPriority w:val="99"/>
    <w:rsid w:val="002A2C87"/>
    <w:pPr>
      <w:tabs>
        <w:tab w:val="num" w:pos="1492"/>
      </w:tabs>
      <w:spacing w:after="0" w:line="240" w:lineRule="auto"/>
      <w:ind w:left="1492" w:hanging="360"/>
    </w:pPr>
    <w:rPr>
      <w:rFonts w:ascii="Times New Roman" w:eastAsia="Times New Roman" w:hAnsi="Times New Roman" w:cs="Times New Roman"/>
      <w:sz w:val="20"/>
      <w:szCs w:val="20"/>
      <w:lang w:eastAsia="en-AU"/>
    </w:rPr>
  </w:style>
  <w:style w:type="paragraph" w:styleId="ListContinue2">
    <w:name w:val="List Continue 2"/>
    <w:basedOn w:val="Normal"/>
    <w:uiPriority w:val="99"/>
    <w:rsid w:val="002A2C87"/>
    <w:pPr>
      <w:spacing w:after="120" w:line="240" w:lineRule="auto"/>
      <w:ind w:left="566"/>
    </w:pPr>
    <w:rPr>
      <w:rFonts w:ascii="Times New Roman" w:eastAsia="Times New Roman" w:hAnsi="Times New Roman" w:cs="Times New Roman"/>
      <w:sz w:val="20"/>
      <w:szCs w:val="20"/>
      <w:lang w:eastAsia="en-AU"/>
    </w:rPr>
  </w:style>
  <w:style w:type="paragraph" w:styleId="ListContinue5">
    <w:name w:val="List Continue 5"/>
    <w:basedOn w:val="Normal"/>
    <w:uiPriority w:val="99"/>
    <w:rsid w:val="002A2C87"/>
    <w:pPr>
      <w:spacing w:after="120" w:line="240" w:lineRule="auto"/>
      <w:ind w:left="1415"/>
    </w:pPr>
    <w:rPr>
      <w:rFonts w:ascii="Times New Roman" w:eastAsia="Times New Roman" w:hAnsi="Times New Roman" w:cs="Times New Roman"/>
      <w:sz w:val="20"/>
      <w:szCs w:val="20"/>
      <w:lang w:eastAsia="en-AU"/>
    </w:rPr>
  </w:style>
  <w:style w:type="paragraph" w:customStyle="1" w:styleId="Footnotereference0">
    <w:name w:val="Footnotereference"/>
    <w:basedOn w:val="Normal"/>
    <w:link w:val="FootnotereferenceChar"/>
    <w:uiPriority w:val="99"/>
    <w:rsid w:val="002A2C87"/>
    <w:pPr>
      <w:spacing w:after="0" w:line="240" w:lineRule="auto"/>
      <w:ind w:left="720"/>
    </w:pPr>
    <w:rPr>
      <w:rFonts w:ascii="Times New Roman" w:eastAsia="Times New Roman" w:hAnsi="Times New Roman" w:cs="Times New Roman"/>
      <w:sz w:val="24"/>
      <w:szCs w:val="20"/>
      <w:vertAlign w:val="superscript"/>
      <w:lang w:eastAsia="en-AU"/>
    </w:rPr>
  </w:style>
  <w:style w:type="character" w:customStyle="1" w:styleId="FootnotereferenceChar">
    <w:name w:val="Footnotereference Char"/>
    <w:link w:val="Footnotereference0"/>
    <w:uiPriority w:val="99"/>
    <w:locked/>
    <w:rsid w:val="002A2C87"/>
    <w:rPr>
      <w:rFonts w:ascii="Times New Roman" w:eastAsia="Times New Roman" w:hAnsi="Times New Roman" w:cs="Times New Roman"/>
      <w:sz w:val="24"/>
      <w:szCs w:val="20"/>
      <w:vertAlign w:val="superscript"/>
      <w:lang w:eastAsia="en-AU"/>
    </w:rPr>
  </w:style>
  <w:style w:type="paragraph" w:customStyle="1" w:styleId="ARRequirementsHeading3">
    <w:name w:val="AR Requirements Heading 3"/>
    <w:basedOn w:val="Normal"/>
    <w:link w:val="ARRequirementsHeading3Char"/>
    <w:qFormat/>
    <w:rsid w:val="002A2C87"/>
    <w:pPr>
      <w:tabs>
        <w:tab w:val="left" w:pos="1440"/>
      </w:tabs>
      <w:spacing w:after="120" w:line="240" w:lineRule="auto"/>
      <w:ind w:left="1440" w:hanging="720"/>
    </w:pPr>
    <w:rPr>
      <w:rFonts w:ascii="Times New Roman" w:eastAsia="Times New Roman" w:hAnsi="Times New Roman" w:cs="Times New Roman"/>
      <w:i/>
      <w:color w:val="000000"/>
      <w:sz w:val="24"/>
      <w:szCs w:val="20"/>
      <w:lang w:eastAsia="en-AU"/>
    </w:rPr>
  </w:style>
  <w:style w:type="character" w:customStyle="1" w:styleId="ARRequirementsHeading3Char">
    <w:name w:val="AR Requirements Heading 3 Char"/>
    <w:link w:val="ARRequirementsHeading3"/>
    <w:locked/>
    <w:rsid w:val="002A2C87"/>
    <w:rPr>
      <w:rFonts w:ascii="Times New Roman" w:eastAsia="Times New Roman" w:hAnsi="Times New Roman" w:cs="Times New Roman"/>
      <w:i/>
      <w:color w:val="000000"/>
      <w:sz w:val="24"/>
      <w:szCs w:val="20"/>
      <w:lang w:eastAsia="en-AU"/>
    </w:rPr>
  </w:style>
  <w:style w:type="paragraph" w:customStyle="1" w:styleId="subsection2">
    <w:name w:val="subsection2"/>
    <w:aliases w:val="ss2"/>
    <w:basedOn w:val="Normal"/>
    <w:next w:val="subsection"/>
    <w:rsid w:val="002A2C87"/>
    <w:pPr>
      <w:spacing w:before="40" w:after="0" w:line="240" w:lineRule="auto"/>
      <w:ind w:left="1134"/>
    </w:pPr>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paragraph"/>
    <w:locked/>
    <w:rsid w:val="002A2C87"/>
    <w:rPr>
      <w:rFonts w:ascii="Times New Roman" w:eastAsia="Times New Roman" w:hAnsi="Times New Roman" w:cs="Times New Roman"/>
      <w:szCs w:val="20"/>
      <w:lang w:eastAsia="en-AU"/>
    </w:rPr>
  </w:style>
  <w:style w:type="character" w:customStyle="1" w:styleId="apple-converted-space">
    <w:name w:val="apple-converted-space"/>
    <w:basedOn w:val="DefaultParagraphFont"/>
    <w:rsid w:val="002A2C87"/>
  </w:style>
  <w:style w:type="paragraph" w:customStyle="1" w:styleId="tabletext2">
    <w:name w:val="tabletext"/>
    <w:basedOn w:val="Normal"/>
    <w:rsid w:val="002A2C8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ctHead5Char">
    <w:name w:val="ActHead 5 Char"/>
    <w:aliases w:val="s Char"/>
    <w:basedOn w:val="DefaultParagraphFont"/>
    <w:link w:val="ActHead50"/>
    <w:locked/>
    <w:rsid w:val="002A2C87"/>
    <w:rPr>
      <w:rFonts w:ascii="Times New Roman" w:eastAsia="Times New Roman" w:hAnsi="Times New Roman" w:cs="Times New Roman"/>
      <w:b/>
      <w:kern w:val="28"/>
      <w:sz w:val="24"/>
      <w:szCs w:val="20"/>
      <w:lang w:eastAsia="en-AU"/>
    </w:rPr>
  </w:style>
  <w:style w:type="paragraph" w:customStyle="1" w:styleId="Style2">
    <w:name w:val="Style2"/>
    <w:basedOn w:val="Heading1"/>
    <w:qFormat/>
    <w:rsid w:val="002A2C87"/>
    <w:pPr>
      <w:keepNext/>
      <w:numPr>
        <w:numId w:val="20"/>
      </w:numPr>
      <w:spacing w:before="0" w:after="120" w:line="240" w:lineRule="auto"/>
      <w:contextualSpacing w:val="0"/>
    </w:pPr>
    <w:rPr>
      <w:rFonts w:ascii="Times New Roman" w:hAnsi="Times New Roman" w:cs="Times New Roman"/>
      <w:i/>
      <w:sz w:val="28"/>
    </w:rPr>
  </w:style>
  <w:style w:type="paragraph" w:customStyle="1" w:styleId="SOText">
    <w:name w:val="SO Text"/>
    <w:aliases w:val="sot"/>
    <w:link w:val="SOTextChar"/>
    <w:rsid w:val="002A2C87"/>
    <w:pPr>
      <w:pBdr>
        <w:top w:val="single" w:sz="6" w:space="5" w:color="auto"/>
        <w:left w:val="single" w:sz="6" w:space="5" w:color="auto"/>
        <w:bottom w:val="single" w:sz="6" w:space="5" w:color="auto"/>
        <w:right w:val="single" w:sz="6" w:space="5" w:color="auto"/>
      </w:pBdr>
      <w:spacing w:before="240" w:after="0" w:line="240" w:lineRule="auto"/>
      <w:ind w:left="1134"/>
    </w:pPr>
    <w:rPr>
      <w:rFonts w:ascii="Times New Roman" w:hAnsi="Times New Roman"/>
      <w:szCs w:val="20"/>
    </w:rPr>
  </w:style>
  <w:style w:type="character" w:customStyle="1" w:styleId="SOTextChar">
    <w:name w:val="SO Text Char"/>
    <w:aliases w:val="sot Char"/>
    <w:basedOn w:val="DefaultParagraphFont"/>
    <w:link w:val="SOText"/>
    <w:rsid w:val="002A2C87"/>
    <w:rPr>
      <w:rFonts w:ascii="Times New Roman" w:hAnsi="Times New Roman"/>
      <w:szCs w:val="20"/>
    </w:rPr>
  </w:style>
  <w:style w:type="table" w:styleId="GridTable1Light-Accent6">
    <w:name w:val="Grid Table 1 Light Accent 6"/>
    <w:basedOn w:val="TableNormal"/>
    <w:uiPriority w:val="46"/>
    <w:rsid w:val="002A2C87"/>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2A2C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A2C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2">
    <w:name w:val="List Table 2"/>
    <w:basedOn w:val="TableNormal"/>
    <w:uiPriority w:val="47"/>
    <w:rsid w:val="002A2C8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
    <w:name w:val="TableHeading"/>
    <w:aliases w:val="th"/>
    <w:basedOn w:val="Normal"/>
    <w:next w:val="Tabletext"/>
    <w:rsid w:val="002A2C87"/>
    <w:pPr>
      <w:keepNext/>
      <w:spacing w:before="60" w:after="0" w:line="240" w:lineRule="atLeast"/>
    </w:pPr>
    <w:rPr>
      <w:rFonts w:ascii="Times New Roman" w:eastAsia="Times New Roman" w:hAnsi="Times New Roman" w:cs="Times New Roman"/>
      <w:b/>
      <w:sz w:val="20"/>
      <w:szCs w:val="20"/>
      <w:lang w:eastAsia="en-AU"/>
    </w:rPr>
  </w:style>
  <w:style w:type="paragraph" w:customStyle="1" w:styleId="FigureorTableTitle">
    <w:name w:val="Figure or Table Title"/>
    <w:basedOn w:val="Caption"/>
    <w:link w:val="FigureorTableTitleChar"/>
    <w:qFormat/>
    <w:rsid w:val="002A2C87"/>
    <w:pPr>
      <w:keepNext/>
      <w:spacing w:before="240" w:after="120" w:line="260" w:lineRule="atLeast"/>
      <w:ind w:right="425"/>
    </w:pPr>
    <w:rPr>
      <w:rFonts w:ascii="Arial Narrow" w:eastAsia="Times New Roman" w:hAnsi="Arial Narrow" w:cs="Times New Roman"/>
      <w:caps w:val="0"/>
      <w:spacing w:val="4"/>
      <w:sz w:val="20"/>
      <w:lang w:eastAsia="en-AU"/>
    </w:rPr>
  </w:style>
  <w:style w:type="character" w:customStyle="1" w:styleId="FigureorTableTitleChar">
    <w:name w:val="Figure or Table Title Char"/>
    <w:basedOn w:val="DefaultParagraphFont"/>
    <w:link w:val="FigureorTableTitle"/>
    <w:rsid w:val="002A2C87"/>
    <w:rPr>
      <w:rFonts w:ascii="Arial Narrow" w:eastAsia="Times New Roman" w:hAnsi="Arial Narrow" w:cs="Times New Roman"/>
      <w:b/>
      <w:bCs/>
      <w:spacing w:val="4"/>
      <w:sz w:val="20"/>
      <w:szCs w:val="18"/>
      <w:lang w:eastAsia="en-AU"/>
    </w:rPr>
  </w:style>
  <w:style w:type="character" w:customStyle="1" w:styleId="TableHeadingChar">
    <w:name w:val="Table Heading Char"/>
    <w:link w:val="TableHeading0"/>
    <w:locked/>
    <w:rsid w:val="002A2C87"/>
    <w:rPr>
      <w:rFonts w:ascii="Arial" w:eastAsia="Times New Roman" w:hAnsi="Arial" w:cs="Times New Roman"/>
      <w:b/>
      <w:color w:val="000000" w:themeColor="text1"/>
      <w:sz w:val="20"/>
      <w:szCs w:val="20"/>
    </w:rPr>
  </w:style>
  <w:style w:type="paragraph" w:customStyle="1" w:styleId="TableHeading0">
    <w:name w:val="Table Heading"/>
    <w:basedOn w:val="Normal"/>
    <w:next w:val="Normal"/>
    <w:link w:val="TableHeadingChar"/>
    <w:qFormat/>
    <w:rsid w:val="002A2C87"/>
    <w:pPr>
      <w:keepNext/>
      <w:keepLines/>
      <w:spacing w:before="40" w:after="40" w:line="240" w:lineRule="auto"/>
    </w:pPr>
    <w:rPr>
      <w:rFonts w:eastAsia="Times New Roman" w:cs="Times New Roman"/>
      <w:b/>
      <w:color w:val="000000" w:themeColor="text1"/>
      <w:sz w:val="20"/>
      <w:szCs w:val="20"/>
    </w:rPr>
  </w:style>
  <w:style w:type="table" w:customStyle="1" w:styleId="DSSDatatablestyle">
    <w:name w:val="DSS Data table style"/>
    <w:basedOn w:val="TableNormal"/>
    <w:uiPriority w:val="99"/>
    <w:rsid w:val="002A2C87"/>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character" w:customStyle="1" w:styleId="TabletextChar">
    <w:name w:val="Table text Char"/>
    <w:basedOn w:val="DefaultParagraphFont"/>
    <w:link w:val="Tabletext0"/>
    <w:rsid w:val="002A2C87"/>
    <w:rPr>
      <w:rFonts w:ascii="Arial" w:hAnsi="Arial" w:cs="Arial"/>
      <w:sz w:val="17"/>
      <w:szCs w:val="17"/>
    </w:rPr>
  </w:style>
  <w:style w:type="paragraph" w:customStyle="1" w:styleId="Chapterintro">
    <w:name w:val="Chapter intro"/>
    <w:basedOn w:val="Normal"/>
    <w:link w:val="ChapterintroChar"/>
    <w:qFormat/>
    <w:rsid w:val="002A2C87"/>
    <w:pPr>
      <w:keepLines/>
      <w:suppressAutoHyphens/>
      <w:spacing w:before="160" w:after="0" w:line="300" w:lineRule="exact"/>
    </w:pPr>
    <w:rPr>
      <w:rFonts w:eastAsia="Times New Roman" w:cs="Arial"/>
      <w:spacing w:val="4"/>
      <w:sz w:val="24"/>
      <w:szCs w:val="24"/>
      <w:lang w:eastAsia="en-AU"/>
    </w:rPr>
  </w:style>
  <w:style w:type="character" w:customStyle="1" w:styleId="ChapterintroChar">
    <w:name w:val="Chapter intro Char"/>
    <w:basedOn w:val="DefaultParagraphFont"/>
    <w:link w:val="Chapterintro"/>
    <w:rsid w:val="002A2C87"/>
    <w:rPr>
      <w:rFonts w:ascii="Arial" w:eastAsia="Times New Roman" w:hAnsi="Arial" w:cs="Arial"/>
      <w:spacing w:val="4"/>
      <w:sz w:val="24"/>
      <w:szCs w:val="24"/>
      <w:lang w:eastAsia="en-AU"/>
    </w:rPr>
  </w:style>
  <w:style w:type="paragraph" w:customStyle="1" w:styleId="Tabletextrightaligned">
    <w:name w:val="Table text (right aligned)"/>
    <w:basedOn w:val="Tabletext0"/>
    <w:link w:val="TabletextrightalignedChar"/>
    <w:qFormat/>
    <w:rsid w:val="002A2C87"/>
    <w:pPr>
      <w:spacing w:before="40" w:after="40"/>
      <w:jc w:val="right"/>
    </w:pPr>
    <w:rPr>
      <w:rFonts w:eastAsia="Cambria"/>
      <w:color w:val="000000" w:themeColor="text1"/>
      <w:spacing w:val="4"/>
      <w:sz w:val="20"/>
      <w:szCs w:val="20"/>
      <w:lang w:val="en-GB"/>
    </w:rPr>
  </w:style>
  <w:style w:type="paragraph" w:customStyle="1" w:styleId="TableHeadingrightaligned">
    <w:name w:val="Table Heading (right aligned)"/>
    <w:basedOn w:val="TableHeading0"/>
    <w:link w:val="TableHeadingrightalignedChar"/>
    <w:qFormat/>
    <w:rsid w:val="002A2C87"/>
    <w:pPr>
      <w:jc w:val="right"/>
    </w:pPr>
  </w:style>
  <w:style w:type="character" w:customStyle="1" w:styleId="TabletextrightalignedChar">
    <w:name w:val="Table text (right aligned) Char"/>
    <w:basedOn w:val="TabletextChar"/>
    <w:link w:val="Tabletextrightaligned"/>
    <w:rsid w:val="002A2C87"/>
    <w:rPr>
      <w:rFonts w:ascii="Arial" w:eastAsia="Cambria" w:hAnsi="Arial" w:cs="Arial"/>
      <w:color w:val="000000" w:themeColor="text1"/>
      <w:spacing w:val="4"/>
      <w:sz w:val="20"/>
      <w:szCs w:val="20"/>
      <w:lang w:val="en-GB"/>
    </w:rPr>
  </w:style>
  <w:style w:type="character" w:customStyle="1" w:styleId="TableHeadingrightalignedChar">
    <w:name w:val="Table Heading (right aligned) Char"/>
    <w:basedOn w:val="TableHeadingChar"/>
    <w:link w:val="TableHeadingrightaligned"/>
    <w:rsid w:val="002A2C87"/>
    <w:rPr>
      <w:rFonts w:ascii="Arial" w:eastAsia="Times New Roman" w:hAnsi="Arial" w:cs="Times New Roman"/>
      <w:b/>
      <w:color w:val="000000" w:themeColor="text1"/>
      <w:sz w:val="20"/>
      <w:szCs w:val="20"/>
    </w:rPr>
  </w:style>
  <w:style w:type="paragraph" w:customStyle="1" w:styleId="TableHeadingcenteraligned">
    <w:name w:val="Table Heading (center aligned)"/>
    <w:basedOn w:val="TableHeading0"/>
    <w:link w:val="TableHeadingcenteralignedChar"/>
    <w:qFormat/>
    <w:rsid w:val="002A2C87"/>
    <w:pPr>
      <w:jc w:val="center"/>
    </w:pPr>
  </w:style>
  <w:style w:type="character" w:customStyle="1" w:styleId="TableHeadingcenteralignedChar">
    <w:name w:val="Table Heading (center aligned) Char"/>
    <w:basedOn w:val="TableHeadingChar"/>
    <w:link w:val="TableHeadingcenteraligned"/>
    <w:rsid w:val="002A2C87"/>
    <w:rPr>
      <w:rFonts w:ascii="Arial" w:eastAsia="Times New Roman" w:hAnsi="Arial" w:cs="Times New Roman"/>
      <w:b/>
      <w:color w:val="000000" w:themeColor="text1"/>
      <w:sz w:val="20"/>
      <w:szCs w:val="20"/>
    </w:rPr>
  </w:style>
  <w:style w:type="numbering" w:customStyle="1" w:styleId="Style22">
    <w:name w:val="Style22"/>
    <w:rsid w:val="002A2C87"/>
  </w:style>
  <w:style w:type="character" w:customStyle="1" w:styleId="Heading1Char1">
    <w:name w:val="Heading 1 Char1"/>
    <w:aliases w:val="Part Char1,Chapter number Char1,Heading 1 do not use Char1,Section heading 1 Char1,Front Page Title Char1,1. Char1,Para 1 Char1,Para 11 Char1"/>
    <w:basedOn w:val="DefaultParagraphFont"/>
    <w:uiPriority w:val="9"/>
    <w:rsid w:val="002A2C87"/>
    <w:rPr>
      <w:rFonts w:asciiTheme="majorHAnsi" w:eastAsiaTheme="majorEastAsia" w:hAnsiTheme="majorHAnsi" w:cstheme="majorBidi" w:hint="default"/>
      <w:b/>
      <w:bCs/>
      <w:color w:val="365F91" w:themeColor="accent1" w:themeShade="BF"/>
      <w:sz w:val="28"/>
      <w:szCs w:val="28"/>
    </w:rPr>
  </w:style>
  <w:style w:type="character" w:customStyle="1" w:styleId="Heading2Char1">
    <w:name w:val="Heading 2 Char1"/>
    <w:aliases w:val="Chapter Char1,Outcome Char1,Heading 2 do not use Char1,Front Page List of Sections Char1"/>
    <w:basedOn w:val="DefaultParagraphFont"/>
    <w:uiPriority w:val="9"/>
    <w:semiHidden/>
    <w:rsid w:val="002A2C87"/>
    <w:rPr>
      <w:rFonts w:asciiTheme="majorHAnsi" w:eastAsiaTheme="majorEastAsia" w:hAnsiTheme="majorHAnsi" w:cstheme="majorBidi" w:hint="default"/>
      <w:b/>
      <w:bCs/>
      <w:color w:val="4F81BD" w:themeColor="accent1"/>
      <w:sz w:val="26"/>
      <w:szCs w:val="26"/>
    </w:rPr>
  </w:style>
  <w:style w:type="character" w:customStyle="1" w:styleId="Heading3Char1">
    <w:name w:val="Heading 3 Char1"/>
    <w:aliases w:val="Heading 3 do not use Char1,Head 1 Char1"/>
    <w:basedOn w:val="DefaultParagraphFont"/>
    <w:uiPriority w:val="9"/>
    <w:semiHidden/>
    <w:rsid w:val="002A2C87"/>
    <w:rPr>
      <w:rFonts w:asciiTheme="majorHAnsi" w:eastAsiaTheme="majorEastAsia" w:hAnsiTheme="majorHAnsi" w:cstheme="majorBidi" w:hint="default"/>
      <w:b/>
      <w:bCs/>
      <w:color w:val="4F81BD" w:themeColor="accent1"/>
      <w:sz w:val="22"/>
      <w:szCs w:val="22"/>
    </w:rPr>
  </w:style>
  <w:style w:type="paragraph" w:customStyle="1" w:styleId="msonormal0">
    <w:name w:val="msonormal"/>
    <w:basedOn w:val="Normal"/>
    <w:uiPriority w:val="99"/>
    <w:rsid w:val="002A2C87"/>
    <w:pPr>
      <w:spacing w:before="100" w:beforeAutospacing="1" w:after="100" w:afterAutospacing="1" w:line="240" w:lineRule="auto"/>
    </w:pPr>
    <w:rPr>
      <w:rFonts w:ascii="Times New Roman" w:eastAsia="Times New Roman" w:hAnsi="Times New Roman" w:cs="Times New Roman"/>
      <w:spacing w:val="4"/>
      <w:sz w:val="20"/>
      <w:szCs w:val="24"/>
      <w:lang w:eastAsia="en-AU"/>
    </w:rPr>
  </w:style>
  <w:style w:type="character" w:customStyle="1" w:styleId="Heading7Char1">
    <w:name w:val="Heading 7 Char1"/>
    <w:aliases w:val="Section Sub-Heading 4 Char1,(Appendix) Char1"/>
    <w:basedOn w:val="DefaultParagraphFont"/>
    <w:uiPriority w:val="9"/>
    <w:semiHidden/>
    <w:rsid w:val="002A2C87"/>
    <w:rPr>
      <w:rFonts w:asciiTheme="majorHAnsi" w:eastAsiaTheme="majorEastAsia" w:hAnsiTheme="majorHAnsi" w:cstheme="majorBidi" w:hint="default"/>
      <w:i/>
      <w:iCs/>
      <w:color w:val="404040" w:themeColor="text1" w:themeTint="BF"/>
      <w:sz w:val="22"/>
      <w:szCs w:val="22"/>
    </w:rPr>
  </w:style>
  <w:style w:type="character" w:customStyle="1" w:styleId="FooterChar1">
    <w:name w:val="Footer Char1"/>
    <w:aliases w:val="Footer - superscript Char1"/>
    <w:basedOn w:val="DefaultParagraphFont"/>
    <w:uiPriority w:val="99"/>
    <w:semiHidden/>
    <w:rsid w:val="002A2C87"/>
    <w:rPr>
      <w:rFonts w:ascii="Arial" w:eastAsia="Times New Roman" w:hAnsi="Arial" w:cs="Times New Roman"/>
      <w:spacing w:val="4"/>
      <w:sz w:val="20"/>
      <w:szCs w:val="24"/>
      <w:lang w:eastAsia="en-AU"/>
    </w:rPr>
  </w:style>
  <w:style w:type="character" w:customStyle="1" w:styleId="CaptionChar">
    <w:name w:val="Caption Char"/>
    <w:aliases w:val="table title Char,Figure heading Char,*Caption Char"/>
    <w:basedOn w:val="DefaultParagraphFont"/>
    <w:link w:val="Caption"/>
    <w:locked/>
    <w:rsid w:val="002A2C87"/>
    <w:rPr>
      <w:rFonts w:ascii="Arial" w:hAnsi="Arial"/>
      <w:b/>
      <w:bCs/>
      <w:caps/>
      <w:sz w:val="16"/>
      <w:szCs w:val="18"/>
    </w:rPr>
  </w:style>
  <w:style w:type="paragraph" w:styleId="MacroText">
    <w:name w:val="macro"/>
    <w:link w:val="MacroTextChar"/>
    <w:semiHidden/>
    <w:unhideWhenUsed/>
    <w:rsid w:val="002A2C87"/>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2A2C87"/>
    <w:rPr>
      <w:rFonts w:ascii="Courier New" w:eastAsia="Times New Roman" w:hAnsi="Courier New" w:cs="Courier New"/>
      <w:sz w:val="18"/>
      <w:szCs w:val="20"/>
      <w:lang w:val="en-GB"/>
    </w:rPr>
  </w:style>
  <w:style w:type="paragraph" w:styleId="Signature">
    <w:name w:val="Signature"/>
    <w:basedOn w:val="Normal"/>
    <w:link w:val="SignatureChar"/>
    <w:unhideWhenUsed/>
    <w:rsid w:val="002A2C87"/>
    <w:pPr>
      <w:spacing w:after="0" w:line="240" w:lineRule="auto"/>
    </w:pPr>
    <w:rPr>
      <w:rFonts w:ascii="Times New Roman" w:eastAsia="Times New Roman" w:hAnsi="Times New Roman" w:cs="Times New Roman"/>
      <w:szCs w:val="20"/>
    </w:rPr>
  </w:style>
  <w:style w:type="character" w:customStyle="1" w:styleId="SignatureChar">
    <w:name w:val="Signature Char"/>
    <w:basedOn w:val="DefaultParagraphFont"/>
    <w:link w:val="Signature"/>
    <w:rsid w:val="002A2C87"/>
    <w:rPr>
      <w:rFonts w:ascii="Times New Roman" w:eastAsia="Times New Roman" w:hAnsi="Times New Roman" w:cs="Times New Roman"/>
      <w:szCs w:val="20"/>
    </w:rPr>
  </w:style>
  <w:style w:type="paragraph" w:styleId="BodyTextFirstIndent2">
    <w:name w:val="Body Text First Indent 2"/>
    <w:basedOn w:val="BodyTextIndent"/>
    <w:link w:val="BodyTextFirstIndent2Char"/>
    <w:uiPriority w:val="99"/>
    <w:unhideWhenUsed/>
    <w:rsid w:val="002A2C87"/>
    <w:pPr>
      <w:spacing w:before="160" w:after="120" w:line="260" w:lineRule="atLeast"/>
      <w:ind w:left="360" w:firstLine="360"/>
    </w:pPr>
    <w:rPr>
      <w:spacing w:val="4"/>
      <w:sz w:val="20"/>
      <w:szCs w:val="24"/>
      <w:lang w:val="en-AU" w:eastAsia="en-AU"/>
    </w:rPr>
  </w:style>
  <w:style w:type="character" w:customStyle="1" w:styleId="BodyTextFirstIndent2Char">
    <w:name w:val="Body Text First Indent 2 Char"/>
    <w:basedOn w:val="BodyTextIndentChar"/>
    <w:link w:val="BodyTextFirstIndent2"/>
    <w:uiPriority w:val="99"/>
    <w:rsid w:val="002A2C87"/>
    <w:rPr>
      <w:rFonts w:ascii="Arial" w:eastAsia="Times New Roman" w:hAnsi="Arial" w:cs="Times New Roman"/>
      <w:spacing w:val="4"/>
      <w:sz w:val="20"/>
      <w:szCs w:val="24"/>
      <w:lang w:val="en-US" w:eastAsia="en-AU"/>
    </w:rPr>
  </w:style>
  <w:style w:type="paragraph" w:styleId="DocumentMap">
    <w:name w:val="Document Map"/>
    <w:basedOn w:val="Normal"/>
    <w:link w:val="DocumentMapChar"/>
    <w:semiHidden/>
    <w:unhideWhenUsed/>
    <w:rsid w:val="002A2C87"/>
    <w:pPr>
      <w:shd w:val="clear" w:color="auto" w:fill="000080"/>
      <w:spacing w:after="0" w:line="240" w:lineRule="auto"/>
    </w:pPr>
    <w:rPr>
      <w:rFonts w:ascii="Tahoma" w:eastAsia="Times New Roman" w:hAnsi="Tahoma" w:cs="Times New Roman"/>
      <w:sz w:val="20"/>
      <w:szCs w:val="20"/>
      <w:lang w:eastAsia="en-AU"/>
    </w:rPr>
  </w:style>
  <w:style w:type="character" w:customStyle="1" w:styleId="DocumentMapChar">
    <w:name w:val="Document Map Char"/>
    <w:basedOn w:val="DefaultParagraphFont"/>
    <w:link w:val="DocumentMap"/>
    <w:semiHidden/>
    <w:rsid w:val="002A2C87"/>
    <w:rPr>
      <w:rFonts w:ascii="Tahoma" w:eastAsia="Times New Roman" w:hAnsi="Tahoma" w:cs="Times New Roman"/>
      <w:sz w:val="20"/>
      <w:szCs w:val="20"/>
      <w:shd w:val="clear" w:color="auto" w:fill="000080"/>
      <w:lang w:eastAsia="en-AU"/>
    </w:rPr>
  </w:style>
  <w:style w:type="paragraph" w:styleId="PlainText">
    <w:name w:val="Plain Text"/>
    <w:basedOn w:val="Normal"/>
    <w:link w:val="PlainTextChar"/>
    <w:uiPriority w:val="99"/>
    <w:semiHidden/>
    <w:unhideWhenUsed/>
    <w:rsid w:val="002A2C8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A2C87"/>
    <w:rPr>
      <w:rFonts w:ascii="Calibri" w:hAnsi="Calibri"/>
      <w:szCs w:val="21"/>
    </w:rPr>
  </w:style>
  <w:style w:type="paragraph" w:customStyle="1" w:styleId="Titlepage">
    <w:name w:val="Title page"/>
    <w:basedOn w:val="Title"/>
    <w:uiPriority w:val="99"/>
    <w:qFormat/>
    <w:rsid w:val="002A2C87"/>
    <w:pPr>
      <w:pBdr>
        <w:bottom w:val="none" w:sz="0" w:space="0" w:color="auto"/>
      </w:pBdr>
      <w:spacing w:before="4000" w:after="120"/>
      <w:jc w:val="center"/>
    </w:pPr>
    <w:rPr>
      <w:rFonts w:ascii="Georgia" w:hAnsi="Georgia"/>
      <w:color w:val="24596E"/>
      <w:sz w:val="72"/>
      <w:lang w:eastAsia="en-AU"/>
    </w:rPr>
  </w:style>
  <w:style w:type="paragraph" w:customStyle="1" w:styleId="Smalltext">
    <w:name w:val="Small text"/>
    <w:basedOn w:val="Normal"/>
    <w:uiPriority w:val="99"/>
    <w:rsid w:val="002A2C87"/>
    <w:pPr>
      <w:spacing w:before="480" w:after="120" w:line="240" w:lineRule="auto"/>
    </w:pPr>
    <w:rPr>
      <w:rFonts w:eastAsia="Times New Roman" w:cs="Times New Roman"/>
      <w:spacing w:val="4"/>
      <w:sz w:val="12"/>
      <w:szCs w:val="16"/>
      <w:lang w:val="en-US" w:eastAsia="en-AU"/>
    </w:rPr>
  </w:style>
  <w:style w:type="character" w:customStyle="1" w:styleId="Headingtable4Char">
    <w:name w:val="Heading table 4 Char"/>
    <w:link w:val="Headingtable4"/>
    <w:locked/>
    <w:rsid w:val="002A2C87"/>
    <w:rPr>
      <w:rFonts w:ascii="Arial" w:eastAsia="Times New Roman" w:hAnsi="Arial" w:cs="Times New Roman"/>
      <w:b/>
      <w:lang w:eastAsia="en-AU"/>
    </w:rPr>
  </w:style>
  <w:style w:type="paragraph" w:customStyle="1" w:styleId="Headingtable4">
    <w:name w:val="Heading table 4"/>
    <w:next w:val="Normal"/>
    <w:link w:val="Headingtable4Char"/>
    <w:qFormat/>
    <w:rsid w:val="002A2C87"/>
    <w:pPr>
      <w:keepNext/>
      <w:spacing w:before="240" w:after="60" w:line="240" w:lineRule="auto"/>
      <w:outlineLvl w:val="3"/>
    </w:pPr>
    <w:rPr>
      <w:rFonts w:ascii="Arial" w:eastAsia="Times New Roman" w:hAnsi="Arial" w:cs="Times New Roman"/>
      <w:b/>
      <w:lang w:eastAsia="en-AU"/>
    </w:rPr>
  </w:style>
  <w:style w:type="paragraph" w:customStyle="1" w:styleId="PartHeading">
    <w:name w:val="Part Heading"/>
    <w:basedOn w:val="Normal"/>
    <w:next w:val="Normal"/>
    <w:autoRedefine/>
    <w:uiPriority w:val="99"/>
    <w:rsid w:val="002A2C87"/>
    <w:pPr>
      <w:pBdr>
        <w:top w:val="single" w:sz="4" w:space="1" w:color="8064A2" w:themeColor="accent4"/>
        <w:bottom w:val="single" w:sz="4" w:space="1" w:color="8064A2" w:themeColor="accent4"/>
      </w:pBdr>
      <w:tabs>
        <w:tab w:val="left" w:pos="4678"/>
      </w:tabs>
      <w:suppressAutoHyphens/>
      <w:spacing w:before="240" w:after="240" w:line="240" w:lineRule="auto"/>
      <w:jc w:val="center"/>
      <w:outlineLvl w:val="0"/>
    </w:pPr>
    <w:rPr>
      <w:rFonts w:ascii="Georgia" w:eastAsia="Times New Roman" w:hAnsi="Georgia" w:cs="Arial"/>
      <w:color w:val="8064A2" w:themeColor="accent4"/>
      <w:sz w:val="52"/>
      <w:szCs w:val="20"/>
      <w:lang w:eastAsia="en-AU"/>
    </w:rPr>
  </w:style>
  <w:style w:type="character" w:customStyle="1" w:styleId="Header-OddandEvenChar">
    <w:name w:val="Header - Odd and Even Char"/>
    <w:basedOn w:val="DefaultParagraphFont"/>
    <w:link w:val="Header-OddandEven"/>
    <w:locked/>
    <w:rsid w:val="002A2C87"/>
    <w:rPr>
      <w:rFonts w:ascii="Arial" w:eastAsia="Times New Roman" w:hAnsi="Arial" w:cs="Times New Roman"/>
      <w:spacing w:val="4"/>
      <w:sz w:val="20"/>
      <w:szCs w:val="24"/>
      <w:lang w:eastAsia="en-AU"/>
    </w:rPr>
  </w:style>
  <w:style w:type="paragraph" w:customStyle="1" w:styleId="Header-OddandEven">
    <w:name w:val="Header - Odd and Even"/>
    <w:basedOn w:val="Normal"/>
    <w:link w:val="Header-OddandEvenChar"/>
    <w:qFormat/>
    <w:rsid w:val="002A2C87"/>
    <w:pPr>
      <w:spacing w:before="160" w:after="120" w:line="260" w:lineRule="atLeast"/>
    </w:pPr>
    <w:rPr>
      <w:rFonts w:eastAsia="Times New Roman" w:cs="Times New Roman"/>
      <w:spacing w:val="4"/>
      <w:sz w:val="20"/>
      <w:szCs w:val="24"/>
      <w:lang w:eastAsia="en-AU"/>
    </w:rPr>
  </w:style>
  <w:style w:type="paragraph" w:customStyle="1" w:styleId="FigureHeading3">
    <w:name w:val="Figure Heading 3"/>
    <w:basedOn w:val="Normal"/>
    <w:next w:val="Normal"/>
    <w:uiPriority w:val="99"/>
    <w:rsid w:val="002A2C87"/>
    <w:pPr>
      <w:suppressAutoHyphens/>
      <w:spacing w:after="240" w:line="240" w:lineRule="auto"/>
      <w:outlineLvl w:val="2"/>
    </w:pPr>
    <w:rPr>
      <w:rFonts w:eastAsia="Times New Roman" w:cs="Times New Roman"/>
      <w:b/>
      <w:lang w:eastAsia="en-AU"/>
    </w:rPr>
  </w:style>
  <w:style w:type="paragraph" w:customStyle="1" w:styleId="Outcomeheading">
    <w:name w:val="Outcome heading"/>
    <w:basedOn w:val="Normal"/>
    <w:next w:val="Normal"/>
    <w:uiPriority w:val="99"/>
    <w:rsid w:val="002A2C87"/>
    <w:pPr>
      <w:keepNext/>
      <w:shd w:val="clear" w:color="auto" w:fill="D9D9D6"/>
      <w:tabs>
        <w:tab w:val="left" w:pos="709"/>
      </w:tabs>
      <w:suppressAutoHyphens/>
      <w:spacing w:after="240" w:line="300" w:lineRule="exact"/>
    </w:pPr>
    <w:rPr>
      <w:rFonts w:eastAsia="Times New Roman" w:cstheme="minorHAnsi"/>
      <w:szCs w:val="20"/>
      <w:lang w:eastAsia="en-AU"/>
    </w:rPr>
  </w:style>
  <w:style w:type="character" w:customStyle="1" w:styleId="BulletChar">
    <w:name w:val="Bullet Char"/>
    <w:aliases w:val="b Char,b + line Char Char,b Char Char,Body Char,Bullet + line Char,b + line Char,b1 Char,level 1 Char"/>
    <w:link w:val="Bullet"/>
    <w:uiPriority w:val="99"/>
    <w:locked/>
    <w:rsid w:val="002A2C87"/>
    <w:rPr>
      <w:rFonts w:ascii="Arial" w:eastAsia="Times New Roman" w:hAnsi="Arial" w:cs="Times New Roman"/>
      <w:lang w:eastAsia="en-AU"/>
    </w:rPr>
  </w:style>
  <w:style w:type="paragraph" w:customStyle="1" w:styleId="Bullet">
    <w:name w:val="Bullet"/>
    <w:aliases w:val="b,b1,b + line,level 1,Body,Bullet + line"/>
    <w:basedOn w:val="Normal"/>
    <w:link w:val="BulletChar"/>
    <w:uiPriority w:val="99"/>
    <w:qFormat/>
    <w:rsid w:val="002A2C87"/>
    <w:pPr>
      <w:numPr>
        <w:numId w:val="22"/>
      </w:numPr>
      <w:tabs>
        <w:tab w:val="left" w:pos="397"/>
      </w:tabs>
      <w:suppressAutoHyphens/>
      <w:spacing w:after="240" w:line="300" w:lineRule="exact"/>
    </w:pPr>
    <w:rPr>
      <w:rFonts w:eastAsia="Times New Roman" w:cs="Times New Roman"/>
      <w:lang w:eastAsia="en-AU"/>
    </w:rPr>
  </w:style>
  <w:style w:type="paragraph" w:customStyle="1" w:styleId="SinglePara">
    <w:name w:val="Single Para"/>
    <w:basedOn w:val="Normal"/>
    <w:uiPriority w:val="99"/>
    <w:rsid w:val="002A2C87"/>
    <w:pPr>
      <w:keepLines/>
      <w:spacing w:after="0" w:line="260" w:lineRule="exact"/>
    </w:pPr>
    <w:rPr>
      <w:rFonts w:ascii="Calibri" w:eastAsia="Times New Roman" w:hAnsi="Calibri" w:cs="Times New Roman"/>
      <w:sz w:val="16"/>
      <w:szCs w:val="20"/>
      <w:lang w:eastAsia="en-AU"/>
    </w:rPr>
  </w:style>
  <w:style w:type="paragraph" w:customStyle="1" w:styleId="TableNotes">
    <w:name w:val="!TableNotes"/>
    <w:basedOn w:val="Normal"/>
    <w:uiPriority w:val="99"/>
    <w:qFormat/>
    <w:rsid w:val="002A2C87"/>
    <w:pPr>
      <w:keepLines/>
      <w:spacing w:before="40" w:after="0" w:line="240" w:lineRule="auto"/>
    </w:pPr>
    <w:rPr>
      <w:rFonts w:ascii="Cambria" w:eastAsia="Times New Roman" w:hAnsi="Cambria" w:cs="Times New Roman"/>
      <w:sz w:val="18"/>
      <w:szCs w:val="20"/>
      <w:lang w:val="en-GB"/>
    </w:rPr>
  </w:style>
  <w:style w:type="paragraph" w:customStyle="1" w:styleId="Headingtable2">
    <w:name w:val="Heading table 2"/>
    <w:next w:val="Normal"/>
    <w:uiPriority w:val="99"/>
    <w:qFormat/>
    <w:rsid w:val="002A2C87"/>
    <w:pPr>
      <w:spacing w:before="240" w:after="60" w:line="240" w:lineRule="auto"/>
      <w:outlineLvl w:val="1"/>
    </w:pPr>
    <w:rPr>
      <w:rFonts w:ascii="Arial" w:eastAsia="Times New Roman" w:hAnsi="Arial" w:cs="Times New Roman"/>
      <w:b/>
      <w:lang w:eastAsia="en-AU"/>
    </w:rPr>
  </w:style>
  <w:style w:type="paragraph" w:customStyle="1" w:styleId="NormalBox">
    <w:name w:val="Normal Box"/>
    <w:basedOn w:val="Normal"/>
    <w:next w:val="Normal"/>
    <w:uiPriority w:val="99"/>
    <w:qFormat/>
    <w:rsid w:val="002A2C87"/>
    <w:pPr>
      <w:keepLines/>
      <w:spacing w:after="120" w:line="260" w:lineRule="exact"/>
      <w:jc w:val="both"/>
    </w:pPr>
    <w:rPr>
      <w:rFonts w:ascii="Book Antiqua" w:eastAsia="Times New Roman" w:hAnsi="Book Antiqua" w:cs="Times New Roman"/>
      <w:sz w:val="20"/>
      <w:szCs w:val="20"/>
      <w:lang w:val="en-GB" w:eastAsia="en-AU"/>
    </w:rPr>
  </w:style>
  <w:style w:type="paragraph" w:customStyle="1" w:styleId="Dash">
    <w:name w:val="Dash"/>
    <w:basedOn w:val="Normal"/>
    <w:uiPriority w:val="99"/>
    <w:rsid w:val="002A2C87"/>
    <w:pPr>
      <w:keepLines/>
      <w:tabs>
        <w:tab w:val="num" w:pos="567"/>
      </w:tabs>
      <w:spacing w:after="120" w:line="240" w:lineRule="exact"/>
      <w:ind w:left="567" w:hanging="284"/>
      <w:jc w:val="both"/>
    </w:pPr>
    <w:rPr>
      <w:rFonts w:ascii="Book Antiqua" w:eastAsia="Times New Roman" w:hAnsi="Book Antiqua" w:cs="Times New Roman"/>
      <w:sz w:val="20"/>
      <w:szCs w:val="20"/>
      <w:lang w:eastAsia="en-AU"/>
    </w:rPr>
  </w:style>
  <w:style w:type="paragraph" w:customStyle="1" w:styleId="Subbullet">
    <w:name w:val="Sub bullet"/>
    <w:basedOn w:val="Normal"/>
    <w:uiPriority w:val="99"/>
    <w:qFormat/>
    <w:rsid w:val="002A2C87"/>
    <w:pPr>
      <w:numPr>
        <w:numId w:val="23"/>
      </w:numPr>
      <w:spacing w:before="120" w:after="180" w:line="260" w:lineRule="atLeast"/>
    </w:pPr>
    <w:rPr>
      <w:rFonts w:eastAsia="Times New Roman" w:cs="Times New Roman"/>
      <w:spacing w:val="4"/>
      <w:szCs w:val="24"/>
      <w:lang w:eastAsia="en-AU"/>
    </w:rPr>
  </w:style>
  <w:style w:type="paragraph" w:customStyle="1" w:styleId="BulletsLevel1">
    <w:name w:val="Bullets Level1"/>
    <w:basedOn w:val="Normal"/>
    <w:uiPriority w:val="99"/>
    <w:qFormat/>
    <w:rsid w:val="002A2C87"/>
    <w:pPr>
      <w:numPr>
        <w:numId w:val="24"/>
      </w:numPr>
      <w:tabs>
        <w:tab w:val="left" w:pos="567"/>
      </w:tabs>
      <w:spacing w:after="120" w:line="260" w:lineRule="exact"/>
    </w:pPr>
  </w:style>
  <w:style w:type="paragraph" w:customStyle="1" w:styleId="DoubleDot">
    <w:name w:val="Double Dot"/>
    <w:basedOn w:val="Normal"/>
    <w:uiPriority w:val="99"/>
    <w:rsid w:val="002A2C87"/>
    <w:pPr>
      <w:keepLines/>
      <w:tabs>
        <w:tab w:val="num" w:pos="850"/>
      </w:tabs>
      <w:spacing w:after="240" w:line="260" w:lineRule="exact"/>
      <w:ind w:left="850" w:hanging="283"/>
      <w:jc w:val="both"/>
    </w:pPr>
    <w:rPr>
      <w:rFonts w:ascii="Book Antiqua" w:eastAsia="Times New Roman" w:hAnsi="Book Antiqua" w:cs="Times New Roman"/>
      <w:sz w:val="20"/>
      <w:szCs w:val="20"/>
      <w:lang w:eastAsia="en-AU"/>
    </w:rPr>
  </w:style>
  <w:style w:type="paragraph" w:customStyle="1" w:styleId="ProgramHeading1">
    <w:name w:val="Program Heading 1"/>
    <w:basedOn w:val="Normal"/>
    <w:next w:val="NoSpacing"/>
    <w:uiPriority w:val="99"/>
    <w:rsid w:val="002A2C87"/>
    <w:pPr>
      <w:keepNext/>
      <w:keepLines/>
      <w:spacing w:before="120" w:after="120" w:line="240" w:lineRule="auto"/>
    </w:pPr>
    <w:rPr>
      <w:rFonts w:eastAsia="Times New Roman" w:cs="Times New Roman"/>
      <w:b/>
      <w:sz w:val="20"/>
      <w:szCs w:val="20"/>
      <w:lang w:eastAsia="en-AU"/>
    </w:rPr>
  </w:style>
  <w:style w:type="paragraph" w:customStyle="1" w:styleId="ProgramHeading2">
    <w:name w:val="Program Heading 2"/>
    <w:basedOn w:val="Normal"/>
    <w:next w:val="Normal"/>
    <w:uiPriority w:val="99"/>
    <w:qFormat/>
    <w:rsid w:val="002A2C87"/>
    <w:pPr>
      <w:keepNext/>
      <w:keepLines/>
      <w:spacing w:before="60" w:after="60" w:line="260" w:lineRule="exact"/>
      <w:jc w:val="both"/>
    </w:pPr>
    <w:rPr>
      <w:rFonts w:ascii="Book Antiqua" w:eastAsia="Times New Roman" w:hAnsi="Book Antiqua" w:cs="Times New Roman"/>
      <w:b/>
      <w:sz w:val="20"/>
      <w:szCs w:val="20"/>
      <w:lang w:val="en-GB" w:eastAsia="en-AU"/>
    </w:rPr>
  </w:style>
  <w:style w:type="paragraph" w:customStyle="1" w:styleId="BulletBox">
    <w:name w:val="Bullet Box"/>
    <w:basedOn w:val="Bullet"/>
    <w:uiPriority w:val="99"/>
    <w:qFormat/>
    <w:rsid w:val="002A2C87"/>
    <w:pPr>
      <w:numPr>
        <w:numId w:val="25"/>
      </w:numPr>
      <w:tabs>
        <w:tab w:val="clear" w:pos="283"/>
        <w:tab w:val="num" w:pos="3119"/>
      </w:tabs>
      <w:ind w:left="720" w:hanging="360"/>
    </w:pPr>
  </w:style>
  <w:style w:type="paragraph" w:customStyle="1" w:styleId="Introtext">
    <w:name w:val="Intro text"/>
    <w:basedOn w:val="Normal"/>
    <w:uiPriority w:val="99"/>
    <w:qFormat/>
    <w:rsid w:val="002A2C87"/>
    <w:pPr>
      <w:spacing w:before="360" w:after="240" w:line="300" w:lineRule="exact"/>
    </w:pPr>
    <w:rPr>
      <w:rFonts w:ascii="Georgia" w:hAnsi="Georgia"/>
      <w:sz w:val="24"/>
      <w:szCs w:val="23"/>
    </w:rPr>
  </w:style>
  <w:style w:type="paragraph" w:customStyle="1" w:styleId="Normal5">
    <w:name w:val="Normal_5"/>
    <w:basedOn w:val="Normal"/>
    <w:uiPriority w:val="99"/>
    <w:rsid w:val="002A2C87"/>
    <w:rPr>
      <w:rFonts w:ascii="Calibri" w:hAnsi="Calibri" w:cs="Times New Roman"/>
    </w:rPr>
  </w:style>
  <w:style w:type="paragraph" w:customStyle="1" w:styleId="ProgramHeading12">
    <w:name w:val="Program Heading 1_2"/>
    <w:basedOn w:val="Normal"/>
    <w:next w:val="Normal"/>
    <w:uiPriority w:val="99"/>
    <w:rsid w:val="002A2C87"/>
    <w:pPr>
      <w:keepNext/>
      <w:keepLines/>
      <w:spacing w:before="120" w:after="120" w:line="240" w:lineRule="auto"/>
    </w:pPr>
    <w:rPr>
      <w:rFonts w:eastAsia="Times New Roman" w:cs="Times New Roman"/>
      <w:b/>
      <w:sz w:val="20"/>
      <w:szCs w:val="20"/>
      <w:lang w:eastAsia="en-AU"/>
    </w:rPr>
  </w:style>
  <w:style w:type="paragraph" w:customStyle="1" w:styleId="NormalBox2">
    <w:name w:val="Normal Box_2"/>
    <w:basedOn w:val="Normal"/>
    <w:next w:val="Normal"/>
    <w:uiPriority w:val="99"/>
    <w:qFormat/>
    <w:rsid w:val="002A2C87"/>
    <w:pPr>
      <w:keepLines/>
      <w:spacing w:after="120" w:line="260" w:lineRule="exact"/>
      <w:jc w:val="both"/>
    </w:pPr>
    <w:rPr>
      <w:rFonts w:ascii="Book Antiqua" w:eastAsia="Times New Roman" w:hAnsi="Book Antiqua" w:cs="Times New Roman"/>
      <w:sz w:val="20"/>
      <w:szCs w:val="20"/>
      <w:lang w:val="en-GB" w:eastAsia="en-AU"/>
    </w:rPr>
  </w:style>
  <w:style w:type="paragraph" w:customStyle="1" w:styleId="ProgramHeading21">
    <w:name w:val="Program Heading 2_1"/>
    <w:basedOn w:val="Normal"/>
    <w:next w:val="NormalBox2"/>
    <w:uiPriority w:val="99"/>
    <w:qFormat/>
    <w:rsid w:val="002A2C87"/>
    <w:pPr>
      <w:keepNext/>
      <w:keepLines/>
      <w:spacing w:before="60" w:after="60" w:line="260" w:lineRule="exact"/>
      <w:jc w:val="both"/>
    </w:pPr>
    <w:rPr>
      <w:rFonts w:ascii="Book Antiqua" w:eastAsia="Times New Roman" w:hAnsi="Book Antiqua" w:cs="Times New Roman"/>
      <w:b/>
      <w:sz w:val="20"/>
      <w:szCs w:val="20"/>
      <w:lang w:val="en-GB" w:eastAsia="en-AU"/>
    </w:rPr>
  </w:style>
  <w:style w:type="paragraph" w:customStyle="1" w:styleId="NormalBox7">
    <w:name w:val="Normal Box_7"/>
    <w:basedOn w:val="Normal"/>
    <w:next w:val="Normal"/>
    <w:uiPriority w:val="99"/>
    <w:qFormat/>
    <w:rsid w:val="002A2C87"/>
    <w:pPr>
      <w:keepLines/>
      <w:spacing w:after="120" w:line="260" w:lineRule="exact"/>
      <w:jc w:val="both"/>
    </w:pPr>
    <w:rPr>
      <w:rFonts w:ascii="Book Antiqua" w:eastAsia="Times New Roman" w:hAnsi="Book Antiqua" w:cs="Times New Roman"/>
      <w:sz w:val="20"/>
      <w:szCs w:val="20"/>
      <w:lang w:val="en-GB" w:eastAsia="en-AU"/>
    </w:rPr>
  </w:style>
  <w:style w:type="paragraph" w:customStyle="1" w:styleId="ProgramHeading25">
    <w:name w:val="Program Heading 2_5"/>
    <w:basedOn w:val="Normal"/>
    <w:next w:val="NormalBox7"/>
    <w:uiPriority w:val="99"/>
    <w:qFormat/>
    <w:rsid w:val="002A2C87"/>
    <w:pPr>
      <w:keepNext/>
      <w:keepLines/>
      <w:spacing w:before="60" w:after="60" w:line="260" w:lineRule="exact"/>
      <w:jc w:val="both"/>
    </w:pPr>
    <w:rPr>
      <w:rFonts w:ascii="Book Antiqua" w:eastAsia="Times New Roman" w:hAnsi="Book Antiqua" w:cs="Times New Roman"/>
      <w:b/>
      <w:sz w:val="20"/>
      <w:szCs w:val="20"/>
      <w:lang w:val="en-GB" w:eastAsia="en-AU"/>
    </w:rPr>
  </w:style>
  <w:style w:type="character" w:customStyle="1" w:styleId="TableHeaderBlackChar">
    <w:name w:val="Table Header (Black) Char"/>
    <w:link w:val="TableHeaderBlack"/>
    <w:locked/>
    <w:rsid w:val="002A2C87"/>
    <w:rPr>
      <w:rFonts w:ascii="Arial" w:eastAsia="Times New Roman" w:hAnsi="Arial" w:cs="Times New Roman"/>
      <w:color w:val="000000" w:themeColor="text1"/>
      <w:sz w:val="20"/>
      <w:szCs w:val="18"/>
    </w:rPr>
  </w:style>
  <w:style w:type="paragraph" w:customStyle="1" w:styleId="TableHeaderBlack">
    <w:name w:val="Table Header (Black)"/>
    <w:basedOn w:val="Normal"/>
    <w:next w:val="Normal"/>
    <w:link w:val="TableHeaderBlackChar"/>
    <w:qFormat/>
    <w:rsid w:val="002A2C87"/>
    <w:pPr>
      <w:keepNext/>
      <w:keepLines/>
      <w:spacing w:before="40" w:after="40" w:line="240" w:lineRule="auto"/>
    </w:pPr>
    <w:rPr>
      <w:rFonts w:eastAsia="Times New Roman" w:cs="Times New Roman"/>
      <w:color w:val="000000" w:themeColor="text1"/>
      <w:sz w:val="20"/>
      <w:szCs w:val="18"/>
    </w:rPr>
  </w:style>
  <w:style w:type="character" w:customStyle="1" w:styleId="TableHeaderWhiteChar">
    <w:name w:val="Table Header (White) Char"/>
    <w:basedOn w:val="TableHeaderBlackChar"/>
    <w:link w:val="TableHeaderWhite"/>
    <w:locked/>
    <w:rsid w:val="002A2C87"/>
    <w:rPr>
      <w:rFonts w:ascii="Arial" w:eastAsia="Times New Roman" w:hAnsi="Arial" w:cs="Times New Roman"/>
      <w:color w:val="FFFFFF" w:themeColor="background1"/>
      <w:sz w:val="20"/>
      <w:szCs w:val="18"/>
    </w:rPr>
  </w:style>
  <w:style w:type="paragraph" w:customStyle="1" w:styleId="TableHeaderWhite">
    <w:name w:val="Table Header (White)"/>
    <w:basedOn w:val="TableHeading0"/>
    <w:link w:val="TableHeaderWhiteChar"/>
    <w:qFormat/>
    <w:rsid w:val="002A2C87"/>
    <w:rPr>
      <w:b w:val="0"/>
      <w:color w:val="FFFFFF" w:themeColor="background1"/>
      <w:szCs w:val="18"/>
    </w:rPr>
  </w:style>
  <w:style w:type="character" w:customStyle="1" w:styleId="Tabletext-bulletChar">
    <w:name w:val="Table text - bullet Char"/>
    <w:basedOn w:val="TabletextChar"/>
    <w:link w:val="Tabletext-bullet"/>
    <w:uiPriority w:val="99"/>
    <w:locked/>
    <w:rsid w:val="002A2C87"/>
    <w:rPr>
      <w:rFonts w:ascii="Arial" w:hAnsi="Arial" w:cs="Arial"/>
      <w:sz w:val="17"/>
      <w:szCs w:val="17"/>
    </w:rPr>
  </w:style>
  <w:style w:type="paragraph" w:customStyle="1" w:styleId="Tabletext-bullet">
    <w:name w:val="Table text - bullet"/>
    <w:basedOn w:val="Tabletext0"/>
    <w:link w:val="Tabletext-bulletChar"/>
    <w:uiPriority w:val="99"/>
    <w:qFormat/>
    <w:rsid w:val="002A2C87"/>
    <w:pPr>
      <w:numPr>
        <w:numId w:val="26"/>
      </w:numPr>
      <w:spacing w:before="40" w:after="40"/>
      <w:ind w:left="720"/>
    </w:pPr>
  </w:style>
  <w:style w:type="character" w:customStyle="1" w:styleId="Tabletext-rightalignedChar">
    <w:name w:val="Table text - right aligned Char"/>
    <w:basedOn w:val="TabletextChar"/>
    <w:link w:val="Tabletext-rightaligned"/>
    <w:locked/>
    <w:rsid w:val="002A2C87"/>
    <w:rPr>
      <w:rFonts w:ascii="Arial" w:hAnsi="Arial" w:cs="Arial"/>
      <w:sz w:val="17"/>
      <w:szCs w:val="17"/>
    </w:rPr>
  </w:style>
  <w:style w:type="paragraph" w:customStyle="1" w:styleId="Tabletext-rightaligned">
    <w:name w:val="Table text - right aligned"/>
    <w:basedOn w:val="Tabletext0"/>
    <w:link w:val="Tabletext-rightalignedChar"/>
    <w:qFormat/>
    <w:rsid w:val="002A2C87"/>
    <w:pPr>
      <w:spacing w:before="40" w:after="40"/>
      <w:jc w:val="right"/>
    </w:pPr>
  </w:style>
  <w:style w:type="character" w:customStyle="1" w:styleId="TableHeadingwhiteChar">
    <w:name w:val="Table Heading (white Char"/>
    <w:aliases w:val="right aligned) Char"/>
    <w:basedOn w:val="TableHeaderWhiteChar"/>
    <w:link w:val="TableHeadingwhite"/>
    <w:locked/>
    <w:rsid w:val="002A2C87"/>
    <w:rPr>
      <w:rFonts w:ascii="Arial" w:eastAsia="Times New Roman" w:hAnsi="Arial" w:cs="Times New Roman"/>
      <w:color w:val="FFFFFF" w:themeColor="background1"/>
      <w:sz w:val="20"/>
      <w:szCs w:val="18"/>
    </w:rPr>
  </w:style>
  <w:style w:type="paragraph" w:customStyle="1" w:styleId="TableHeadingwhite">
    <w:name w:val="Table Heading (white"/>
    <w:aliases w:val="right aligned)"/>
    <w:basedOn w:val="TableHeaderWhite"/>
    <w:next w:val="Tabletext-rightaligned"/>
    <w:link w:val="TableHeadingwhiteChar"/>
    <w:qFormat/>
    <w:rsid w:val="002A2C87"/>
    <w:pPr>
      <w:jc w:val="right"/>
    </w:pPr>
  </w:style>
  <w:style w:type="character" w:customStyle="1" w:styleId="TableHeadingBlackChar">
    <w:name w:val="Table Heading Black Char"/>
    <w:aliases w:val="right aligned Char"/>
    <w:basedOn w:val="TableHeadingwhiteChar"/>
    <w:link w:val="TableHeadingBlack"/>
    <w:locked/>
    <w:rsid w:val="002A2C87"/>
    <w:rPr>
      <w:rFonts w:ascii="Arial" w:eastAsia="Times New Roman" w:hAnsi="Arial" w:cs="Times New Roman"/>
      <w:color w:val="FFFFFF" w:themeColor="background1"/>
      <w:sz w:val="20"/>
      <w:szCs w:val="18"/>
    </w:rPr>
  </w:style>
  <w:style w:type="paragraph" w:customStyle="1" w:styleId="TableHeadingBlack">
    <w:name w:val="Table Heading Black"/>
    <w:aliases w:val="right aligned"/>
    <w:basedOn w:val="TableHeadingwhite"/>
    <w:link w:val="TableHeadingBlackChar"/>
    <w:qFormat/>
    <w:rsid w:val="002A2C87"/>
  </w:style>
  <w:style w:type="character" w:customStyle="1" w:styleId="TableTextRightAlignChar">
    <w:name w:val="Table Text Right Align Char"/>
    <w:basedOn w:val="TabletextChar"/>
    <w:link w:val="TableTextRightAlign"/>
    <w:locked/>
    <w:rsid w:val="002A2C87"/>
    <w:rPr>
      <w:rFonts w:ascii="Arial" w:hAnsi="Arial" w:cs="Arial"/>
      <w:sz w:val="17"/>
      <w:szCs w:val="17"/>
    </w:rPr>
  </w:style>
  <w:style w:type="paragraph" w:customStyle="1" w:styleId="TableTextRightAlign">
    <w:name w:val="Table Text Right Align"/>
    <w:basedOn w:val="Tabletext0"/>
    <w:link w:val="TableTextRightAlignChar"/>
    <w:qFormat/>
    <w:rsid w:val="002A2C87"/>
    <w:pPr>
      <w:spacing w:before="40" w:after="40"/>
    </w:pPr>
  </w:style>
  <w:style w:type="character" w:customStyle="1" w:styleId="TableHeadingRightAlignChar">
    <w:name w:val="Table Heading Right Align Char"/>
    <w:basedOn w:val="TableHeadingChar"/>
    <w:link w:val="TableHeadingRightAlign"/>
    <w:locked/>
    <w:rsid w:val="002A2C87"/>
    <w:rPr>
      <w:rFonts w:ascii="Arial" w:eastAsia="Times New Roman" w:hAnsi="Arial" w:cs="Times New Roman"/>
      <w:b/>
      <w:color w:val="000000" w:themeColor="text1"/>
      <w:sz w:val="20"/>
      <w:szCs w:val="18"/>
    </w:rPr>
  </w:style>
  <w:style w:type="paragraph" w:customStyle="1" w:styleId="TableHeadingRightAlign">
    <w:name w:val="Table Heading Right Align"/>
    <w:basedOn w:val="TableHeading0"/>
    <w:link w:val="TableHeadingRightAlignChar"/>
    <w:qFormat/>
    <w:rsid w:val="002A2C87"/>
    <w:pPr>
      <w:jc w:val="right"/>
    </w:pPr>
    <w:rPr>
      <w:szCs w:val="18"/>
    </w:rPr>
  </w:style>
  <w:style w:type="paragraph" w:customStyle="1" w:styleId="StyleTableHeaderWhiteRight">
    <w:name w:val="Style Table Header (White) + Right"/>
    <w:basedOn w:val="TableHeaderWhite"/>
    <w:uiPriority w:val="99"/>
    <w:rsid w:val="002A2C87"/>
    <w:pPr>
      <w:jc w:val="right"/>
    </w:pPr>
    <w:rPr>
      <w:bCs/>
      <w:szCs w:val="20"/>
    </w:rPr>
  </w:style>
  <w:style w:type="paragraph" w:customStyle="1" w:styleId="TableHeaderWhite0">
    <w:name w:val="Table Header (White"/>
    <w:aliases w:val="Centered)"/>
    <w:basedOn w:val="TableHeaderWhite"/>
    <w:uiPriority w:val="99"/>
    <w:rsid w:val="002A2C87"/>
    <w:pPr>
      <w:jc w:val="center"/>
    </w:pPr>
    <w:rPr>
      <w:bCs/>
      <w:color w:val="auto"/>
      <w:szCs w:val="20"/>
    </w:rPr>
  </w:style>
  <w:style w:type="paragraph" w:customStyle="1" w:styleId="TableHeaderWhiteCentered">
    <w:name w:val="Table Header (White) Centered"/>
    <w:basedOn w:val="TableHeaderWhite"/>
    <w:uiPriority w:val="99"/>
    <w:rsid w:val="002A2C87"/>
    <w:pPr>
      <w:jc w:val="center"/>
    </w:pPr>
  </w:style>
  <w:style w:type="paragraph" w:customStyle="1" w:styleId="Main">
    <w:name w:val="Main"/>
    <w:uiPriority w:val="99"/>
    <w:rsid w:val="002A2C87"/>
    <w:pPr>
      <w:widowControl w:val="0"/>
      <w:autoSpaceDE w:val="0"/>
      <w:autoSpaceDN w:val="0"/>
      <w:adjustRightInd w:val="0"/>
      <w:spacing w:after="0" w:line="240" w:lineRule="auto"/>
      <w:ind w:left="800" w:hanging="800"/>
    </w:pPr>
    <w:rPr>
      <w:rFonts w:ascii="Times New Roman" w:eastAsia="Times New Roman" w:hAnsi="Times New Roman" w:cs="Times New Roman"/>
      <w:sz w:val="24"/>
      <w:szCs w:val="24"/>
      <w:lang w:eastAsia="en-AU"/>
    </w:rPr>
  </w:style>
  <w:style w:type="paragraph" w:customStyle="1" w:styleId="Sub1">
    <w:name w:val="Sub 1"/>
    <w:uiPriority w:val="99"/>
    <w:rsid w:val="002A2C87"/>
    <w:pPr>
      <w:widowControl w:val="0"/>
      <w:autoSpaceDE w:val="0"/>
      <w:autoSpaceDN w:val="0"/>
      <w:adjustRightInd w:val="0"/>
      <w:spacing w:after="0" w:line="240" w:lineRule="auto"/>
      <w:ind w:left="1120" w:hanging="800"/>
    </w:pPr>
    <w:rPr>
      <w:rFonts w:ascii="Times New Roman" w:eastAsia="Times New Roman" w:hAnsi="Times New Roman" w:cs="Times New Roman"/>
      <w:sz w:val="24"/>
      <w:szCs w:val="24"/>
      <w:lang w:eastAsia="en-AU"/>
    </w:rPr>
  </w:style>
  <w:style w:type="paragraph" w:customStyle="1" w:styleId="Sub2">
    <w:name w:val="Sub 2"/>
    <w:uiPriority w:val="99"/>
    <w:rsid w:val="002A2C87"/>
    <w:pPr>
      <w:widowControl w:val="0"/>
      <w:autoSpaceDE w:val="0"/>
      <w:autoSpaceDN w:val="0"/>
      <w:adjustRightInd w:val="0"/>
      <w:spacing w:after="0" w:line="240" w:lineRule="auto"/>
      <w:ind w:left="1440" w:hanging="800"/>
    </w:pPr>
    <w:rPr>
      <w:rFonts w:ascii="Times New Roman" w:eastAsia="Times New Roman" w:hAnsi="Times New Roman" w:cs="Times New Roman"/>
      <w:sz w:val="24"/>
      <w:szCs w:val="24"/>
      <w:lang w:eastAsia="en-AU"/>
    </w:rPr>
  </w:style>
  <w:style w:type="paragraph" w:customStyle="1" w:styleId="group">
    <w:name w:val="group"/>
    <w:uiPriority w:val="99"/>
    <w:rsid w:val="002A2C87"/>
    <w:pPr>
      <w:widowControl w:val="0"/>
      <w:autoSpaceDE w:val="0"/>
      <w:autoSpaceDN w:val="0"/>
      <w:adjustRightInd w:val="0"/>
      <w:spacing w:after="0" w:line="400" w:lineRule="atLeast"/>
    </w:pPr>
    <w:rPr>
      <w:rFonts w:ascii="Times New Roman" w:eastAsia="Times New Roman" w:hAnsi="Times New Roman" w:cs="Times New Roman"/>
      <w:sz w:val="24"/>
      <w:szCs w:val="24"/>
      <w:lang w:eastAsia="en-AU"/>
    </w:rPr>
  </w:style>
  <w:style w:type="paragraph" w:customStyle="1" w:styleId="Programmefeature">
    <w:name w:val="Programme feature"/>
    <w:basedOn w:val="Normal"/>
    <w:uiPriority w:val="99"/>
    <w:semiHidden/>
    <w:qFormat/>
    <w:rsid w:val="002A2C87"/>
    <w:pPr>
      <w:pBdr>
        <w:top w:val="single" w:sz="12" w:space="4" w:color="00B0B9"/>
      </w:pBdr>
      <w:spacing w:before="480" w:after="120" w:line="320" w:lineRule="exact"/>
      <w:jc w:val="center"/>
    </w:pPr>
    <w:rPr>
      <w:rFonts w:ascii="Georgia" w:hAnsi="Georgia"/>
      <w:sz w:val="28"/>
      <w:szCs w:val="28"/>
    </w:rPr>
  </w:style>
  <w:style w:type="paragraph" w:customStyle="1" w:styleId="ProgrammeObjective">
    <w:name w:val="Programme Objective"/>
    <w:basedOn w:val="Normal"/>
    <w:uiPriority w:val="99"/>
    <w:semiHidden/>
    <w:qFormat/>
    <w:rsid w:val="002A2C87"/>
    <w:pPr>
      <w:pBdr>
        <w:bottom w:val="single" w:sz="12" w:space="4" w:color="00B0B9"/>
      </w:pBdr>
      <w:spacing w:before="240" w:after="240" w:line="260" w:lineRule="exact"/>
      <w:jc w:val="center"/>
    </w:pPr>
  </w:style>
  <w:style w:type="paragraph" w:customStyle="1" w:styleId="ProgrammeFirst">
    <w:name w:val="Programme First"/>
    <w:basedOn w:val="Introtext"/>
    <w:uiPriority w:val="99"/>
    <w:semiHidden/>
    <w:qFormat/>
    <w:rsid w:val="002A2C87"/>
    <w:pPr>
      <w:pBdr>
        <w:top w:val="dotted" w:sz="4" w:space="7" w:color="auto"/>
      </w:pBdr>
      <w:spacing w:after="60"/>
    </w:pPr>
    <w:rPr>
      <w:rFonts w:ascii="Arial" w:hAnsi="Arial" w:cs="Arial"/>
      <w:b/>
      <w:sz w:val="23"/>
    </w:rPr>
  </w:style>
  <w:style w:type="paragraph" w:customStyle="1" w:styleId="ProgrammeLast">
    <w:name w:val="Programme Last"/>
    <w:basedOn w:val="ProgrammeFirst"/>
    <w:uiPriority w:val="99"/>
    <w:semiHidden/>
    <w:qFormat/>
    <w:rsid w:val="002A2C87"/>
    <w:pPr>
      <w:pBdr>
        <w:top w:val="none" w:sz="0" w:space="0" w:color="auto"/>
        <w:bottom w:val="dotted" w:sz="4" w:space="7" w:color="auto"/>
      </w:pBdr>
      <w:spacing w:before="0" w:after="360"/>
    </w:pPr>
  </w:style>
  <w:style w:type="paragraph" w:customStyle="1" w:styleId="ProgrammeMiddle">
    <w:name w:val="Programme Middle"/>
    <w:basedOn w:val="ProgrammeFirst"/>
    <w:uiPriority w:val="99"/>
    <w:semiHidden/>
    <w:qFormat/>
    <w:rsid w:val="002A2C87"/>
    <w:pPr>
      <w:pBdr>
        <w:top w:val="none" w:sz="0" w:space="0" w:color="auto"/>
      </w:pBdr>
      <w:spacing w:before="60"/>
    </w:pPr>
  </w:style>
  <w:style w:type="paragraph" w:customStyle="1" w:styleId="Programmecomponents">
    <w:name w:val="Programme components"/>
    <w:basedOn w:val="Normal"/>
    <w:uiPriority w:val="99"/>
    <w:semiHidden/>
    <w:qFormat/>
    <w:rsid w:val="002A2C87"/>
    <w:pPr>
      <w:spacing w:after="120" w:line="260" w:lineRule="exact"/>
      <w:jc w:val="center"/>
    </w:pPr>
    <w:rPr>
      <w:b/>
      <w:color w:val="005A70"/>
    </w:rPr>
  </w:style>
  <w:style w:type="paragraph" w:customStyle="1" w:styleId="Programecomponentlast">
    <w:name w:val="Programe component last"/>
    <w:basedOn w:val="Programmecomponents"/>
    <w:uiPriority w:val="99"/>
    <w:semiHidden/>
    <w:qFormat/>
    <w:rsid w:val="002A2C87"/>
    <w:pPr>
      <w:pBdr>
        <w:bottom w:val="dotted" w:sz="4" w:space="4" w:color="auto"/>
      </w:pBdr>
      <w:spacing w:after="360"/>
    </w:pPr>
  </w:style>
  <w:style w:type="paragraph" w:customStyle="1" w:styleId="BulletsLevel2">
    <w:name w:val="Bullets Level2"/>
    <w:basedOn w:val="Normal"/>
    <w:uiPriority w:val="99"/>
    <w:semiHidden/>
    <w:qFormat/>
    <w:rsid w:val="002A2C87"/>
    <w:pPr>
      <w:numPr>
        <w:numId w:val="28"/>
      </w:numPr>
      <w:tabs>
        <w:tab w:val="left" w:pos="851"/>
        <w:tab w:val="left" w:pos="1418"/>
      </w:tabs>
      <w:spacing w:after="120" w:line="260" w:lineRule="exact"/>
    </w:pPr>
  </w:style>
  <w:style w:type="paragraph" w:customStyle="1" w:styleId="Figure">
    <w:name w:val="Figure"/>
    <w:basedOn w:val="Normal"/>
    <w:uiPriority w:val="99"/>
    <w:semiHidden/>
    <w:qFormat/>
    <w:rsid w:val="002A2C87"/>
    <w:pPr>
      <w:spacing w:before="240" w:after="120" w:line="260" w:lineRule="exact"/>
    </w:pPr>
    <w:rPr>
      <w:rFonts w:ascii="Arial Narrow" w:hAnsi="Arial Narrow"/>
      <w:b/>
      <w:sz w:val="24"/>
    </w:rPr>
  </w:style>
  <w:style w:type="paragraph" w:customStyle="1" w:styleId="Casestudy">
    <w:name w:val="Case study"/>
    <w:basedOn w:val="Normal"/>
    <w:uiPriority w:val="99"/>
    <w:semiHidden/>
    <w:qFormat/>
    <w:rsid w:val="002A2C87"/>
    <w:pPr>
      <w:pBdr>
        <w:top w:val="single" w:sz="12" w:space="5" w:color="auto"/>
        <w:bottom w:val="single" w:sz="12" w:space="5" w:color="auto"/>
      </w:pBdr>
      <w:spacing w:before="360" w:after="360" w:line="360" w:lineRule="exact"/>
    </w:pPr>
    <w:rPr>
      <w:rFonts w:ascii="Georgia" w:hAnsi="Georgia"/>
      <w:sz w:val="36"/>
    </w:rPr>
  </w:style>
  <w:style w:type="paragraph" w:customStyle="1" w:styleId="TableColumnHeadingLeft">
    <w:name w:val="Table Column Heading Left"/>
    <w:basedOn w:val="Normal"/>
    <w:autoRedefine/>
    <w:uiPriority w:val="99"/>
    <w:semiHidden/>
    <w:rsid w:val="002A2C87"/>
    <w:pPr>
      <w:suppressAutoHyphens/>
      <w:spacing w:before="60" w:after="60" w:line="240" w:lineRule="auto"/>
    </w:pPr>
    <w:rPr>
      <w:rFonts w:eastAsia="Times New Roman" w:cs="Times New Roman"/>
      <w:b/>
      <w:color w:val="000000"/>
      <w:sz w:val="18"/>
      <w:szCs w:val="20"/>
      <w:lang w:eastAsia="en-AU"/>
    </w:rPr>
  </w:style>
  <w:style w:type="character" w:customStyle="1" w:styleId="TableTextNormalCharChar">
    <w:name w:val="Table Text Normal Char Char"/>
    <w:link w:val="TableTextNormal"/>
    <w:semiHidden/>
    <w:locked/>
    <w:rsid w:val="002A2C87"/>
    <w:rPr>
      <w:rFonts w:ascii="Arial" w:hAnsi="Arial" w:cs="Arial"/>
    </w:rPr>
  </w:style>
  <w:style w:type="paragraph" w:customStyle="1" w:styleId="TableTextNormal">
    <w:name w:val="Table Text Normal"/>
    <w:link w:val="TableTextNormalCharChar"/>
    <w:semiHidden/>
    <w:qFormat/>
    <w:rsid w:val="002A2C87"/>
    <w:pPr>
      <w:spacing w:before="40" w:after="40" w:line="260" w:lineRule="atLeast"/>
    </w:pPr>
    <w:rPr>
      <w:rFonts w:ascii="Arial" w:hAnsi="Arial" w:cs="Arial"/>
    </w:rPr>
  </w:style>
  <w:style w:type="paragraph" w:customStyle="1" w:styleId="TableTextRight">
    <w:name w:val="Table Text Right"/>
    <w:basedOn w:val="Normal"/>
    <w:uiPriority w:val="99"/>
    <w:semiHidden/>
    <w:rsid w:val="002A2C87"/>
    <w:pPr>
      <w:spacing w:before="60" w:after="60" w:line="240" w:lineRule="auto"/>
      <w:jc w:val="right"/>
    </w:pPr>
    <w:rPr>
      <w:rFonts w:eastAsia="Times New Roman" w:cs="Times New Roman"/>
      <w:sz w:val="18"/>
      <w:szCs w:val="20"/>
      <w:lang w:eastAsia="en-AU"/>
    </w:rPr>
  </w:style>
  <w:style w:type="paragraph" w:customStyle="1" w:styleId="Pa02">
    <w:name w:val="Pa0+2"/>
    <w:basedOn w:val="Default"/>
    <w:next w:val="Default"/>
    <w:uiPriority w:val="99"/>
    <w:semiHidden/>
    <w:rsid w:val="002A2C87"/>
    <w:pPr>
      <w:adjustRightInd w:val="0"/>
      <w:spacing w:line="181" w:lineRule="atLeast"/>
    </w:pPr>
    <w:rPr>
      <w:rFonts w:ascii="Helvetica Neue LT Std" w:hAnsi="Helvetica Neue LT Std" w:cstheme="minorBidi"/>
      <w:color w:val="auto"/>
      <w:lang w:eastAsia="en-US"/>
    </w:rPr>
  </w:style>
  <w:style w:type="paragraph" w:customStyle="1" w:styleId="Pa2">
    <w:name w:val="Pa2"/>
    <w:basedOn w:val="Default"/>
    <w:next w:val="Default"/>
    <w:uiPriority w:val="99"/>
    <w:rsid w:val="002A2C87"/>
    <w:pPr>
      <w:adjustRightInd w:val="0"/>
      <w:spacing w:line="181" w:lineRule="atLeast"/>
    </w:pPr>
    <w:rPr>
      <w:rFonts w:ascii="Helvetica Neue LT Std" w:hAnsi="Helvetica Neue LT Std" w:cstheme="minorBidi"/>
      <w:color w:val="auto"/>
      <w:lang w:eastAsia="en-US"/>
    </w:rPr>
  </w:style>
  <w:style w:type="character" w:customStyle="1" w:styleId="StatementNameChar">
    <w:name w:val="Statement Name Char"/>
    <w:basedOn w:val="DefaultParagraphFont"/>
    <w:link w:val="StatementName"/>
    <w:locked/>
    <w:rsid w:val="002A2C87"/>
    <w:rPr>
      <w:rFonts w:ascii="Arial" w:eastAsia="Times New Roman" w:hAnsi="Arial" w:cs="Arial"/>
      <w:b/>
      <w:sz w:val="20"/>
      <w:szCs w:val="20"/>
    </w:rPr>
  </w:style>
  <w:style w:type="paragraph" w:customStyle="1" w:styleId="StatementName">
    <w:name w:val="Statement Name"/>
    <w:basedOn w:val="Normal"/>
    <w:next w:val="Normal"/>
    <w:link w:val="StatementNameChar"/>
    <w:autoRedefine/>
    <w:rsid w:val="002A2C87"/>
    <w:pPr>
      <w:pBdr>
        <w:bottom w:val="single" w:sz="4" w:space="1" w:color="auto"/>
      </w:pBdr>
      <w:spacing w:after="0" w:line="260" w:lineRule="atLeast"/>
    </w:pPr>
    <w:rPr>
      <w:rFonts w:eastAsia="Times New Roman" w:cs="Arial"/>
      <w:b/>
      <w:sz w:val="20"/>
      <w:szCs w:val="20"/>
    </w:rPr>
  </w:style>
  <w:style w:type="paragraph" w:customStyle="1" w:styleId="StatementDateHeader">
    <w:name w:val="Statement Date Header"/>
    <w:basedOn w:val="Normal"/>
    <w:next w:val="Normal"/>
    <w:rsid w:val="002A2C87"/>
    <w:pPr>
      <w:pBdr>
        <w:bottom w:val="single" w:sz="4" w:space="1" w:color="auto"/>
      </w:pBdr>
      <w:spacing w:after="0" w:line="260" w:lineRule="atLeast"/>
    </w:pPr>
    <w:rPr>
      <w:rFonts w:eastAsia="Times New Roman" w:cs="Times New Roman"/>
      <w:i/>
      <w:sz w:val="24"/>
      <w:szCs w:val="20"/>
    </w:rPr>
  </w:style>
  <w:style w:type="paragraph" w:customStyle="1" w:styleId="StatementTextLevel3">
    <w:name w:val="Statement Text Level 3"/>
    <w:basedOn w:val="Normal"/>
    <w:next w:val="Normal"/>
    <w:rsid w:val="002A2C87"/>
    <w:pPr>
      <w:spacing w:after="0" w:line="260" w:lineRule="atLeast"/>
    </w:pPr>
    <w:rPr>
      <w:rFonts w:eastAsia="Times New Roman" w:cs="Times New Roman"/>
      <w:sz w:val="18"/>
      <w:szCs w:val="20"/>
    </w:rPr>
  </w:style>
  <w:style w:type="paragraph" w:customStyle="1" w:styleId="TableHeaderLevel1">
    <w:name w:val="Table Header Level 1"/>
    <w:basedOn w:val="Normal"/>
    <w:semiHidden/>
    <w:rsid w:val="002A2C87"/>
    <w:pPr>
      <w:spacing w:after="0" w:line="260" w:lineRule="atLeast"/>
      <w:jc w:val="center"/>
    </w:pPr>
    <w:rPr>
      <w:rFonts w:eastAsia="Times New Roman" w:cs="Times New Roman"/>
      <w:b/>
      <w:sz w:val="18"/>
      <w:szCs w:val="18"/>
    </w:rPr>
  </w:style>
  <w:style w:type="paragraph" w:customStyle="1" w:styleId="StatementTextLevel1bItalic">
    <w:name w:val="Statement Text Level 1(b) + Italic"/>
    <w:basedOn w:val="Normal"/>
    <w:rsid w:val="002A2C87"/>
    <w:pPr>
      <w:spacing w:after="0" w:line="260" w:lineRule="atLeast"/>
    </w:pPr>
    <w:rPr>
      <w:rFonts w:eastAsia="Times New Roman" w:cs="Times New Roman"/>
      <w:b/>
      <w:bCs/>
      <w:i/>
      <w:iCs/>
      <w:sz w:val="18"/>
      <w:szCs w:val="18"/>
    </w:rPr>
  </w:style>
  <w:style w:type="paragraph" w:customStyle="1" w:styleId="Graphic">
    <w:name w:val="Graphic"/>
    <w:basedOn w:val="Signature"/>
    <w:rsid w:val="002A2C87"/>
    <w:pPr>
      <w:pBdr>
        <w:top w:val="single" w:sz="4" w:space="1" w:color="auto"/>
        <w:left w:val="single" w:sz="4" w:space="1" w:color="auto"/>
        <w:bottom w:val="single" w:sz="4" w:space="1" w:color="auto"/>
        <w:right w:val="single" w:sz="4" w:space="1" w:color="auto"/>
      </w:pBdr>
      <w:jc w:val="center"/>
    </w:pPr>
  </w:style>
  <w:style w:type="paragraph" w:customStyle="1" w:styleId="NotesTotal">
    <w:name w:val="Notes Total"/>
    <w:basedOn w:val="Normal"/>
    <w:autoRedefine/>
    <w:rsid w:val="002A2C87"/>
    <w:pPr>
      <w:spacing w:after="0" w:line="260" w:lineRule="atLeast"/>
      <w:ind w:left="139" w:right="57"/>
    </w:pPr>
    <w:rPr>
      <w:rFonts w:ascii="Times New Roman" w:eastAsia="Times New Roman" w:hAnsi="Times New Roman" w:cs="Times New Roman"/>
      <w:b/>
      <w:iCs/>
      <w:sz w:val="20"/>
      <w:szCs w:val="20"/>
    </w:rPr>
  </w:style>
  <w:style w:type="paragraph" w:customStyle="1" w:styleId="TitlePage0">
    <w:name w:val="Title Page"/>
    <w:basedOn w:val="Normal"/>
    <w:autoRedefine/>
    <w:rsid w:val="002A2C87"/>
    <w:pPr>
      <w:spacing w:before="1200" w:after="1200" w:line="260" w:lineRule="atLeast"/>
      <w:ind w:left="57" w:right="57"/>
      <w:jc w:val="right"/>
    </w:pPr>
    <w:rPr>
      <w:rFonts w:ascii="Times New Roman" w:eastAsia="Times New Roman" w:hAnsi="Times New Roman" w:cs="Times New Roman"/>
      <w:b/>
      <w:bCs/>
      <w:sz w:val="48"/>
      <w:szCs w:val="20"/>
    </w:rPr>
  </w:style>
  <w:style w:type="paragraph" w:customStyle="1" w:styleId="zcontents">
    <w:name w:val="zcontents"/>
    <w:basedOn w:val="Normal"/>
    <w:semiHidden/>
    <w:rsid w:val="002A2C87"/>
    <w:pPr>
      <w:spacing w:after="260" w:line="240" w:lineRule="auto"/>
    </w:pPr>
    <w:rPr>
      <w:rFonts w:ascii="Times New Roman" w:eastAsia="Times New Roman" w:hAnsi="Times New Roman" w:cs="Times New Roman"/>
      <w:b/>
      <w:sz w:val="32"/>
      <w:szCs w:val="20"/>
    </w:rPr>
  </w:style>
  <w:style w:type="paragraph" w:customStyle="1" w:styleId="Normal10pt">
    <w:name w:val="Normal + 10 pt"/>
    <w:aliases w:val="Line spacing:  single"/>
    <w:basedOn w:val="Normal"/>
    <w:rsid w:val="002A2C87"/>
    <w:pPr>
      <w:spacing w:before="130" w:after="130" w:line="260" w:lineRule="atLeast"/>
    </w:pPr>
    <w:rPr>
      <w:rFonts w:ascii="Times New Roman" w:eastAsia="Times New Roman" w:hAnsi="Times New Roman" w:cs="Times New Roman"/>
      <w:b/>
      <w:sz w:val="20"/>
      <w:szCs w:val="20"/>
    </w:rPr>
  </w:style>
  <w:style w:type="paragraph" w:customStyle="1" w:styleId="Normal8pt">
    <w:name w:val="Normal + 8 pt"/>
    <w:basedOn w:val="Normal"/>
    <w:rsid w:val="002A2C87"/>
    <w:pPr>
      <w:widowControl w:val="0"/>
      <w:autoSpaceDE w:val="0"/>
      <w:autoSpaceDN w:val="0"/>
      <w:spacing w:after="0" w:line="240" w:lineRule="auto"/>
    </w:pPr>
    <w:rPr>
      <w:rFonts w:ascii="Times New Roman" w:eastAsia="Times New Roman" w:hAnsi="Times New Roman" w:cs="Times New Roman"/>
      <w:bCs/>
      <w:iCs/>
      <w:spacing w:val="-6"/>
      <w:sz w:val="16"/>
      <w:szCs w:val="16"/>
      <w:lang w:val="en-US"/>
    </w:rPr>
  </w:style>
  <w:style w:type="paragraph" w:customStyle="1" w:styleId="NormalCalistoMT">
    <w:name w:val="Normal + Calisto MT"/>
    <w:aliases w:val="8 pt,Right"/>
    <w:basedOn w:val="Normal"/>
    <w:rsid w:val="002A2C87"/>
    <w:pPr>
      <w:framePr w:hSpace="180" w:wrap="around" w:vAnchor="text" w:hAnchor="margin" w:y="1"/>
      <w:spacing w:after="0" w:line="260" w:lineRule="atLeast"/>
      <w:ind w:right="212"/>
      <w:jc w:val="right"/>
    </w:pPr>
    <w:rPr>
      <w:rFonts w:ascii="Calisto MT" w:eastAsia="Times New Roman" w:hAnsi="Calisto MT" w:cs="Times New Roman"/>
      <w:sz w:val="16"/>
      <w:szCs w:val="20"/>
    </w:rPr>
  </w:style>
  <w:style w:type="character" w:customStyle="1" w:styleId="ReferenceTextChar">
    <w:name w:val="Reference Text Char"/>
    <w:basedOn w:val="DefaultParagraphFont"/>
    <w:link w:val="ReferenceText"/>
    <w:locked/>
    <w:rsid w:val="002A2C87"/>
    <w:rPr>
      <w:rFonts w:ascii="Arial" w:eastAsia="Times New Roman" w:hAnsi="Arial" w:cs="Times New Roman"/>
      <w:sz w:val="18"/>
      <w:szCs w:val="20"/>
      <w:lang w:eastAsia="en-AU"/>
    </w:rPr>
  </w:style>
  <w:style w:type="paragraph" w:customStyle="1" w:styleId="ReferenceText">
    <w:name w:val="Reference Text"/>
    <w:basedOn w:val="Normal"/>
    <w:link w:val="ReferenceTextChar"/>
    <w:autoRedefine/>
    <w:qFormat/>
    <w:rsid w:val="002A2C87"/>
    <w:pPr>
      <w:spacing w:after="0" w:line="260" w:lineRule="atLeast"/>
    </w:pPr>
    <w:rPr>
      <w:rFonts w:eastAsia="Times New Roman" w:cs="Times New Roman"/>
      <w:sz w:val="18"/>
      <w:szCs w:val="20"/>
      <w:lang w:eastAsia="en-AU"/>
    </w:rPr>
  </w:style>
  <w:style w:type="character" w:customStyle="1" w:styleId="NotesHeading-Level1Char">
    <w:name w:val="Notes Heading - Level 1 Char"/>
    <w:basedOn w:val="DefaultParagraphFont"/>
    <w:link w:val="NotesHeading-Level1"/>
    <w:locked/>
    <w:rsid w:val="002A2C87"/>
    <w:rPr>
      <w:rFonts w:ascii="Arial" w:eastAsia="Times New Roman" w:hAnsi="Arial" w:cs="Times New Roman"/>
      <w:b/>
    </w:rPr>
  </w:style>
  <w:style w:type="paragraph" w:customStyle="1" w:styleId="NotesHeading-Level1">
    <w:name w:val="Notes Heading - Level 1"/>
    <w:basedOn w:val="Normal"/>
    <w:next w:val="BodyText1"/>
    <w:link w:val="NotesHeading-Level1Char"/>
    <w:qFormat/>
    <w:rsid w:val="002A2C87"/>
    <w:pPr>
      <w:numPr>
        <w:numId w:val="29"/>
      </w:numPr>
      <w:spacing w:before="240" w:after="240" w:line="260" w:lineRule="atLeast"/>
      <w:ind w:right="607"/>
      <w:outlineLvl w:val="0"/>
    </w:pPr>
    <w:rPr>
      <w:rFonts w:eastAsia="Times New Roman" w:cs="Times New Roman"/>
      <w:b/>
    </w:rPr>
  </w:style>
  <w:style w:type="paragraph" w:customStyle="1" w:styleId="NotesHeading-Level2">
    <w:name w:val="Notes Heading - Level 2"/>
    <w:basedOn w:val="NotesHeading-Level1"/>
    <w:rsid w:val="002A2C87"/>
    <w:pPr>
      <w:framePr w:hSpace="180" w:wrap="around" w:vAnchor="text" w:hAnchor="margin" w:y="1"/>
      <w:numPr>
        <w:ilvl w:val="1"/>
      </w:numPr>
      <w:tabs>
        <w:tab w:val="clear" w:pos="851"/>
        <w:tab w:val="num" w:pos="360"/>
        <w:tab w:val="num" w:pos="567"/>
      </w:tabs>
      <w:ind w:left="1440" w:hanging="360"/>
    </w:pPr>
    <w:rPr>
      <w:sz w:val="18"/>
    </w:rPr>
  </w:style>
  <w:style w:type="paragraph" w:customStyle="1" w:styleId="StatementHeading">
    <w:name w:val="Statement Heading"/>
    <w:basedOn w:val="Normal"/>
    <w:rsid w:val="002A2C87"/>
    <w:pPr>
      <w:spacing w:after="0" w:line="260" w:lineRule="atLeast"/>
    </w:pPr>
    <w:rPr>
      <w:rFonts w:eastAsia="Times New Roman" w:cs="Times New Roman"/>
      <w:b/>
      <w:sz w:val="24"/>
      <w:szCs w:val="20"/>
    </w:rPr>
  </w:style>
  <w:style w:type="character" w:customStyle="1" w:styleId="GreyShadeTableBreakChar">
    <w:name w:val="Grey Shade Table Break Char"/>
    <w:basedOn w:val="DefaultParagraphFont"/>
    <w:link w:val="GreyShadeTableBreak"/>
    <w:locked/>
    <w:rsid w:val="002A2C87"/>
    <w:rPr>
      <w:rFonts w:ascii="Times New Roman" w:eastAsia="Times New Roman" w:hAnsi="Times New Roman" w:cs="Times New Roman"/>
      <w:szCs w:val="20"/>
      <w:shd w:val="clear" w:color="auto" w:fill="D9D9D9" w:themeFill="background1" w:themeFillShade="D9"/>
    </w:rPr>
  </w:style>
  <w:style w:type="paragraph" w:customStyle="1" w:styleId="GreyShadeTableBreak">
    <w:name w:val="Grey Shade Table Break"/>
    <w:basedOn w:val="Normal"/>
    <w:link w:val="GreyShadeTableBreakChar"/>
    <w:qFormat/>
    <w:rsid w:val="002A2C87"/>
    <w:pPr>
      <w:shd w:val="clear" w:color="auto" w:fill="D9D9D9" w:themeFill="background1" w:themeFillShade="D9"/>
      <w:tabs>
        <w:tab w:val="left" w:pos="9214"/>
      </w:tabs>
      <w:spacing w:after="0" w:line="260" w:lineRule="atLeast"/>
      <w:ind w:right="607"/>
    </w:pPr>
    <w:rPr>
      <w:rFonts w:ascii="Times New Roman" w:eastAsia="Times New Roman" w:hAnsi="Times New Roman" w:cs="Times New Roman"/>
      <w:szCs w:val="20"/>
    </w:rPr>
  </w:style>
  <w:style w:type="paragraph" w:customStyle="1" w:styleId="GreyShadeTableBreaknon-Standard">
    <w:name w:val="Grey Shade Table Break non-Standard"/>
    <w:qFormat/>
    <w:rsid w:val="002A2C87"/>
    <w:pPr>
      <w:shd w:val="clear" w:color="auto" w:fill="D9D9D9" w:themeFill="background1" w:themeFillShade="D9"/>
      <w:spacing w:after="0" w:line="240" w:lineRule="auto"/>
      <w:ind w:right="57"/>
    </w:pPr>
    <w:rPr>
      <w:rFonts w:ascii="Times New Roman" w:eastAsia="Times New Roman" w:hAnsi="Times New Roman" w:cs="Times New Roman"/>
      <w:color w:val="FFFFFF" w:themeColor="background1"/>
      <w:szCs w:val="20"/>
      <w14:textFill>
        <w14:noFill/>
      </w14:textFill>
    </w:rPr>
  </w:style>
  <w:style w:type="paragraph" w:customStyle="1" w:styleId="ReferenceTextLetter">
    <w:name w:val="Reference Text Letter"/>
    <w:basedOn w:val="ReferenceText"/>
    <w:qFormat/>
    <w:rsid w:val="002A2C87"/>
    <w:pPr>
      <w:spacing w:line="240" w:lineRule="auto"/>
      <w:ind w:left="567" w:right="567"/>
    </w:pPr>
    <w:rPr>
      <w:rFonts w:cs="Arial"/>
      <w:szCs w:val="18"/>
    </w:rPr>
  </w:style>
  <w:style w:type="paragraph" w:customStyle="1" w:styleId="NotesHeader">
    <w:name w:val="Notes Header"/>
    <w:basedOn w:val="Normal"/>
    <w:next w:val="Normal"/>
    <w:rsid w:val="002A2C87"/>
    <w:pPr>
      <w:spacing w:after="0" w:line="260" w:lineRule="atLeast"/>
      <w:jc w:val="center"/>
    </w:pPr>
    <w:rPr>
      <w:rFonts w:eastAsia="Times New Roman" w:cs="Times New Roman"/>
      <w:b/>
      <w:sz w:val="18"/>
      <w:szCs w:val="20"/>
    </w:rPr>
  </w:style>
  <w:style w:type="paragraph" w:customStyle="1" w:styleId="NotesReferences">
    <w:name w:val="Notes References"/>
    <w:basedOn w:val="Normal"/>
    <w:next w:val="Normal"/>
    <w:rsid w:val="002A2C87"/>
    <w:pPr>
      <w:spacing w:after="0" w:line="260" w:lineRule="atLeast"/>
      <w:jc w:val="center"/>
    </w:pPr>
    <w:rPr>
      <w:rFonts w:eastAsia="Times New Roman" w:cs="Times New Roman"/>
      <w:sz w:val="18"/>
      <w:szCs w:val="20"/>
    </w:rPr>
  </w:style>
  <w:style w:type="paragraph" w:customStyle="1" w:styleId="NotesData">
    <w:name w:val="Notes Data"/>
    <w:basedOn w:val="Normal"/>
    <w:rsid w:val="002A2C87"/>
    <w:pPr>
      <w:framePr w:hSpace="180" w:wrap="around" w:vAnchor="text" w:hAnchor="margin" w:y="1"/>
      <w:spacing w:after="0" w:line="260" w:lineRule="atLeast"/>
      <w:jc w:val="center"/>
    </w:pPr>
    <w:rPr>
      <w:rFonts w:ascii="Times New Roman" w:eastAsia="Times New Roman" w:hAnsi="Times New Roman" w:cs="Times New Roman"/>
      <w:sz w:val="20"/>
      <w:szCs w:val="20"/>
    </w:rPr>
  </w:style>
  <w:style w:type="paragraph" w:customStyle="1" w:styleId="NotesTextLevel1">
    <w:name w:val="Notes Text Level 1"/>
    <w:basedOn w:val="Normal"/>
    <w:next w:val="Normal"/>
    <w:rsid w:val="002A2C87"/>
    <w:pPr>
      <w:spacing w:after="0" w:line="260" w:lineRule="atLeast"/>
    </w:pPr>
    <w:rPr>
      <w:rFonts w:eastAsia="Times New Roman" w:cs="Times New Roman"/>
      <w:b/>
      <w:i/>
      <w:sz w:val="18"/>
      <w:szCs w:val="20"/>
      <w:u w:val="single"/>
    </w:rPr>
  </w:style>
  <w:style w:type="character" w:customStyle="1" w:styleId="NotesTextLevel3aboldItalicChar">
    <w:name w:val="Notes Text Level 3(a) bold + Italic Char"/>
    <w:basedOn w:val="DefaultParagraphFont"/>
    <w:link w:val="NotesTextLevel3aboldItalic"/>
    <w:locked/>
    <w:rsid w:val="002A2C87"/>
    <w:rPr>
      <w:rFonts w:ascii="Arial" w:eastAsia="Times New Roman" w:hAnsi="Arial" w:cs="Times New Roman"/>
      <w:b/>
      <w:bCs/>
      <w:i/>
      <w:iCs/>
      <w:sz w:val="18"/>
      <w:szCs w:val="20"/>
    </w:rPr>
  </w:style>
  <w:style w:type="paragraph" w:customStyle="1" w:styleId="NotesTextLevel3aboldItalic">
    <w:name w:val="Notes Text Level 3(a) bold + Italic"/>
    <w:basedOn w:val="Normal"/>
    <w:link w:val="NotesTextLevel3aboldItalicChar"/>
    <w:rsid w:val="002A2C87"/>
    <w:pPr>
      <w:spacing w:after="0" w:line="260" w:lineRule="atLeast"/>
    </w:pPr>
    <w:rPr>
      <w:rFonts w:eastAsia="Times New Roman" w:cs="Times New Roman"/>
      <w:b/>
      <w:bCs/>
      <w:i/>
      <w:iCs/>
      <w:sz w:val="18"/>
      <w:szCs w:val="20"/>
    </w:rPr>
  </w:style>
  <w:style w:type="paragraph" w:customStyle="1" w:styleId="NotesHeading3">
    <w:name w:val="Notes Heading 3"/>
    <w:basedOn w:val="Normal"/>
    <w:autoRedefine/>
    <w:rsid w:val="002A2C87"/>
    <w:pPr>
      <w:spacing w:before="80" w:after="40" w:line="260" w:lineRule="atLeast"/>
      <w:ind w:left="113" w:right="113"/>
    </w:pPr>
    <w:rPr>
      <w:rFonts w:ascii="Times New Roman" w:eastAsia="Times New Roman" w:hAnsi="Times New Roman" w:cs="Times New Roman"/>
      <w:szCs w:val="20"/>
      <w:u w:val="single"/>
      <w:lang w:val="en-US"/>
    </w:rPr>
  </w:style>
  <w:style w:type="paragraph" w:customStyle="1" w:styleId="NotesHeading3a">
    <w:name w:val="Notes Heading 3a"/>
    <w:basedOn w:val="Normal"/>
    <w:autoRedefine/>
    <w:rsid w:val="002A2C87"/>
    <w:pPr>
      <w:tabs>
        <w:tab w:val="num" w:pos="473"/>
      </w:tabs>
      <w:spacing w:after="120" w:line="260" w:lineRule="atLeast"/>
      <w:ind w:left="113" w:right="113"/>
      <w:jc w:val="both"/>
    </w:pPr>
    <w:rPr>
      <w:rFonts w:ascii="Times New Roman" w:eastAsia="Times New Roman" w:hAnsi="Times New Roman" w:cs="Times New Roman"/>
      <w:szCs w:val="20"/>
      <w:u w:val="single"/>
      <w:lang w:val="en-US"/>
    </w:rPr>
  </w:style>
  <w:style w:type="paragraph" w:customStyle="1" w:styleId="Notessub-lineitem">
    <w:name w:val="Notes sub-line item"/>
    <w:basedOn w:val="Normal"/>
    <w:autoRedefine/>
    <w:rsid w:val="002A2C87"/>
    <w:pPr>
      <w:framePr w:hSpace="180" w:wrap="around" w:vAnchor="page" w:hAnchor="margin" w:y="1985"/>
      <w:tabs>
        <w:tab w:val="left" w:pos="593"/>
        <w:tab w:val="left" w:pos="1443"/>
      </w:tabs>
      <w:spacing w:after="0" w:line="260" w:lineRule="atLeast"/>
      <w:ind w:left="567" w:right="113"/>
    </w:pPr>
    <w:rPr>
      <w:rFonts w:ascii="Times New Roman" w:eastAsia="Times New Roman" w:hAnsi="Times New Roman" w:cs="Times New Roman"/>
      <w:sz w:val="20"/>
      <w:szCs w:val="20"/>
    </w:rPr>
  </w:style>
  <w:style w:type="paragraph" w:customStyle="1" w:styleId="NotesLineItem">
    <w:name w:val="Notes Line Item"/>
    <w:basedOn w:val="Normal"/>
    <w:autoRedefine/>
    <w:rsid w:val="002A2C87"/>
    <w:pPr>
      <w:spacing w:after="0" w:line="260" w:lineRule="atLeast"/>
      <w:ind w:left="34"/>
    </w:pPr>
    <w:rPr>
      <w:rFonts w:ascii="Times New Roman" w:eastAsia="Times New Roman" w:hAnsi="Times New Roman" w:cs="Times New Roman"/>
      <w:iCs/>
      <w:sz w:val="16"/>
      <w:szCs w:val="16"/>
      <w:lang w:eastAsia="en-AU"/>
    </w:rPr>
  </w:style>
  <w:style w:type="paragraph" w:customStyle="1" w:styleId="NotesHeading">
    <w:name w:val="'Notes' Heading"/>
    <w:basedOn w:val="Normal"/>
    <w:autoRedefine/>
    <w:rsid w:val="002A2C87"/>
    <w:pPr>
      <w:spacing w:after="0" w:line="260" w:lineRule="atLeast"/>
      <w:ind w:left="57" w:right="57"/>
      <w:jc w:val="center"/>
    </w:pPr>
    <w:rPr>
      <w:rFonts w:ascii="Times New Roman" w:eastAsia="Times New Roman" w:hAnsi="Times New Roman" w:cs="Times New Roman"/>
      <w:b/>
      <w:sz w:val="20"/>
      <w:szCs w:val="20"/>
    </w:rPr>
  </w:style>
  <w:style w:type="paragraph" w:customStyle="1" w:styleId="NotesHeading4">
    <w:name w:val="Notes Heading 4"/>
    <w:basedOn w:val="Normal"/>
    <w:autoRedefine/>
    <w:rsid w:val="002A2C87"/>
    <w:pPr>
      <w:keepNext/>
      <w:tabs>
        <w:tab w:val="left" w:pos="284"/>
      </w:tabs>
      <w:spacing w:before="200" w:after="80" w:line="260" w:lineRule="atLeast"/>
      <w:ind w:left="567" w:right="57"/>
    </w:pPr>
    <w:rPr>
      <w:rFonts w:ascii="Times New Roman" w:eastAsia="Times New Roman" w:hAnsi="Times New Roman" w:cs="Times New Roman"/>
      <w:sz w:val="20"/>
      <w:szCs w:val="20"/>
    </w:rPr>
  </w:style>
  <w:style w:type="paragraph" w:customStyle="1" w:styleId="NotesHeading3NumberingOff">
    <w:name w:val="Notes Heading 3 Numbering Off"/>
    <w:basedOn w:val="NotesHeading3"/>
    <w:autoRedefine/>
    <w:rsid w:val="002A2C87"/>
    <w:pPr>
      <w:tabs>
        <w:tab w:val="left" w:pos="1132"/>
      </w:tabs>
    </w:pPr>
  </w:style>
  <w:style w:type="paragraph" w:customStyle="1" w:styleId="NotesHeadingPlain">
    <w:name w:val="'Notes' Heading Plain"/>
    <w:basedOn w:val="NotesHeading"/>
    <w:autoRedefine/>
    <w:rsid w:val="002A2C87"/>
    <w:rPr>
      <w:b w:val="0"/>
    </w:rPr>
  </w:style>
  <w:style w:type="paragraph" w:customStyle="1" w:styleId="NotesHeading5">
    <w:name w:val="Notes Heading 5"/>
    <w:basedOn w:val="Normal"/>
    <w:autoRedefine/>
    <w:rsid w:val="002A2C87"/>
    <w:pPr>
      <w:spacing w:before="120" w:after="40" w:line="260" w:lineRule="atLeast"/>
      <w:ind w:left="113" w:right="113"/>
      <w:jc w:val="both"/>
    </w:pPr>
    <w:rPr>
      <w:rFonts w:ascii="Times New Roman" w:eastAsia="Times New Roman" w:hAnsi="Times New Roman" w:cs="Times New Roman"/>
      <w:b/>
      <w:sz w:val="20"/>
      <w:szCs w:val="20"/>
    </w:rPr>
  </w:style>
  <w:style w:type="paragraph" w:customStyle="1" w:styleId="ItalicLineItem">
    <w:name w:val="Italic Line Item"/>
    <w:basedOn w:val="Normal"/>
    <w:rsid w:val="002A2C87"/>
    <w:pPr>
      <w:tabs>
        <w:tab w:val="left" w:pos="566"/>
      </w:tabs>
      <w:spacing w:after="0" w:line="260" w:lineRule="atLeast"/>
      <w:ind w:left="284" w:right="113"/>
      <w:jc w:val="both"/>
    </w:pPr>
    <w:rPr>
      <w:rFonts w:ascii="Times New Roman" w:eastAsia="Times New Roman" w:hAnsi="Times New Roman" w:cs="Times New Roman"/>
      <w:i/>
      <w:sz w:val="20"/>
      <w:szCs w:val="20"/>
      <w:lang w:val="en-US"/>
    </w:rPr>
  </w:style>
  <w:style w:type="paragraph" w:customStyle="1" w:styleId="ItalicHeading">
    <w:name w:val="Italic Heading"/>
    <w:basedOn w:val="ItalicLineItem"/>
    <w:rsid w:val="002A2C87"/>
    <w:pPr>
      <w:ind w:left="57" w:right="0"/>
    </w:pPr>
  </w:style>
  <w:style w:type="paragraph" w:customStyle="1" w:styleId="Notes">
    <w:name w:val="'Notes'"/>
    <w:basedOn w:val="Normal"/>
    <w:rsid w:val="002A2C87"/>
    <w:pPr>
      <w:spacing w:after="0" w:line="260" w:lineRule="atLeast"/>
      <w:jc w:val="center"/>
    </w:pPr>
    <w:rPr>
      <w:rFonts w:ascii="Times New Roman" w:eastAsia="Times New Roman" w:hAnsi="Times New Roman" w:cs="Times New Roman"/>
      <w:b/>
      <w:szCs w:val="20"/>
    </w:rPr>
  </w:style>
  <w:style w:type="character" w:customStyle="1" w:styleId="LineitemsChar">
    <w:name w:val="Line items Char"/>
    <w:basedOn w:val="DefaultParagraphFont"/>
    <w:link w:val="Lineitems"/>
    <w:locked/>
    <w:rsid w:val="002A2C87"/>
    <w:rPr>
      <w:rFonts w:ascii="Times New Roman" w:eastAsia="Times New Roman" w:hAnsi="Times New Roman" w:cs="Times New Roman"/>
      <w:sz w:val="20"/>
      <w:szCs w:val="20"/>
    </w:rPr>
  </w:style>
  <w:style w:type="paragraph" w:customStyle="1" w:styleId="Lineitems">
    <w:name w:val="Line items"/>
    <w:basedOn w:val="Normal"/>
    <w:link w:val="LineitemsChar"/>
    <w:autoRedefine/>
    <w:rsid w:val="002A2C87"/>
    <w:pPr>
      <w:spacing w:after="0" w:line="260" w:lineRule="atLeast"/>
    </w:pPr>
    <w:rPr>
      <w:rFonts w:ascii="Times New Roman" w:eastAsia="Times New Roman" w:hAnsi="Times New Roman" w:cs="Times New Roman"/>
      <w:sz w:val="20"/>
      <w:szCs w:val="20"/>
    </w:rPr>
  </w:style>
  <w:style w:type="paragraph" w:customStyle="1" w:styleId="Notestext">
    <w:name w:val="Notes text"/>
    <w:basedOn w:val="Notes"/>
    <w:rsid w:val="002A2C87"/>
    <w:rPr>
      <w:b w:val="0"/>
    </w:rPr>
  </w:style>
  <w:style w:type="paragraph" w:customStyle="1" w:styleId="Lineitemtable">
    <w:name w:val="Line item table"/>
    <w:basedOn w:val="Lineitems"/>
    <w:rsid w:val="002A2C87"/>
  </w:style>
  <w:style w:type="paragraph" w:customStyle="1" w:styleId="12line">
    <w:name w:val="1/2 line"/>
    <w:basedOn w:val="Normal"/>
    <w:rsid w:val="002A2C87"/>
    <w:pPr>
      <w:spacing w:before="10" w:after="10" w:line="240" w:lineRule="auto"/>
    </w:pPr>
    <w:rPr>
      <w:rFonts w:ascii="Times New Roman" w:eastAsia="Times New Roman" w:hAnsi="Times New Roman" w:cs="Times New Roman"/>
      <w:sz w:val="20"/>
      <w:szCs w:val="20"/>
    </w:rPr>
  </w:style>
  <w:style w:type="paragraph" w:customStyle="1" w:styleId="lineitemitalic">
    <w:name w:val="line item italic"/>
    <w:basedOn w:val="Normal"/>
    <w:rsid w:val="002A2C87"/>
    <w:pPr>
      <w:spacing w:after="0" w:line="260" w:lineRule="atLeast"/>
    </w:pPr>
    <w:rPr>
      <w:rFonts w:ascii="Times New Roman" w:eastAsia="Times New Roman" w:hAnsi="Times New Roman" w:cs="Times New Roman"/>
      <w:i/>
      <w:szCs w:val="20"/>
    </w:rPr>
  </w:style>
  <w:style w:type="paragraph" w:customStyle="1" w:styleId="lineitembold">
    <w:name w:val="line item bold"/>
    <w:basedOn w:val="Normal"/>
    <w:rsid w:val="002A2C87"/>
    <w:pPr>
      <w:spacing w:after="0" w:line="260" w:lineRule="atLeast"/>
    </w:pPr>
    <w:rPr>
      <w:rFonts w:ascii="Times New Roman" w:eastAsia="Times New Roman" w:hAnsi="Times New Roman" w:cs="Times New Roman"/>
      <w:b/>
      <w:sz w:val="20"/>
      <w:szCs w:val="20"/>
    </w:rPr>
  </w:style>
  <w:style w:type="paragraph" w:customStyle="1" w:styleId="Notesheading0">
    <w:name w:val="Notes heading"/>
    <w:basedOn w:val="Normal"/>
    <w:rsid w:val="002A2C87"/>
    <w:pPr>
      <w:spacing w:after="0" w:line="240" w:lineRule="auto"/>
    </w:pPr>
    <w:rPr>
      <w:rFonts w:ascii="Calisto MT" w:eastAsia="Times New Roman" w:hAnsi="Calisto MT" w:cs="Times New Roman"/>
      <w:b/>
      <w:sz w:val="14"/>
      <w:szCs w:val="20"/>
      <w:lang w:eastAsia="en-AU"/>
    </w:rPr>
  </w:style>
  <w:style w:type="paragraph" w:customStyle="1" w:styleId="Notestothefinancialstatements">
    <w:name w:val="Notes to the financial statements"/>
    <w:aliases w:val="Heading"/>
    <w:basedOn w:val="Normal"/>
    <w:rsid w:val="002A2C87"/>
    <w:pPr>
      <w:tabs>
        <w:tab w:val="left" w:pos="567"/>
        <w:tab w:val="left" w:pos="1134"/>
        <w:tab w:val="left" w:pos="1701"/>
      </w:tabs>
      <w:spacing w:before="60" w:after="60" w:line="240" w:lineRule="auto"/>
    </w:pPr>
    <w:rPr>
      <w:rFonts w:ascii="Tahoma" w:eastAsia="Times New Roman" w:hAnsi="Tahoma" w:cs="Times New Roman"/>
      <w:b/>
      <w:color w:val="000000"/>
      <w:sz w:val="16"/>
      <w:szCs w:val="20"/>
      <w:lang w:eastAsia="en-AU"/>
    </w:rPr>
  </w:style>
  <w:style w:type="paragraph" w:customStyle="1" w:styleId="NotesBulletPoint">
    <w:name w:val="Notes Bullet Point"/>
    <w:basedOn w:val="Normal"/>
    <w:autoRedefine/>
    <w:rsid w:val="002A2C87"/>
    <w:pPr>
      <w:tabs>
        <w:tab w:val="left" w:pos="413"/>
        <w:tab w:val="num" w:pos="927"/>
      </w:tabs>
      <w:snapToGrid w:val="0"/>
      <w:spacing w:after="0" w:line="240" w:lineRule="auto"/>
      <w:ind w:left="414" w:right="113" w:hanging="301"/>
      <w:jc w:val="both"/>
    </w:pPr>
    <w:rPr>
      <w:rFonts w:ascii="Times New Roman" w:eastAsia="Times New Roman" w:hAnsi="Times New Roman" w:cs="Times New Roman"/>
      <w:sz w:val="20"/>
      <w:szCs w:val="20"/>
      <w:lang w:val="en-US" w:eastAsia="en-AU"/>
    </w:rPr>
  </w:style>
  <w:style w:type="paragraph" w:customStyle="1" w:styleId="LineitemsTotal">
    <w:name w:val="Line items Total"/>
    <w:basedOn w:val="Lineitems"/>
    <w:rsid w:val="002A2C87"/>
    <w:pPr>
      <w:framePr w:hSpace="180" w:wrap="around" w:vAnchor="text" w:hAnchor="margin" w:y="1"/>
    </w:pPr>
    <w:rPr>
      <w:b/>
      <w:i/>
    </w:rPr>
  </w:style>
  <w:style w:type="paragraph" w:customStyle="1" w:styleId="SAPHeading-Level1">
    <w:name w:val="SAP Heading - Level 1"/>
    <w:basedOn w:val="NotesHeading-Level1"/>
    <w:rsid w:val="002A2C87"/>
    <w:pPr>
      <w:numPr>
        <w:numId w:val="0"/>
      </w:numPr>
      <w:tabs>
        <w:tab w:val="num" w:pos="851"/>
      </w:tabs>
      <w:ind w:left="851" w:right="0" w:hanging="851"/>
    </w:pPr>
  </w:style>
  <w:style w:type="paragraph" w:customStyle="1" w:styleId="SAPHeading-Level2">
    <w:name w:val="SAP Heading - Level 2"/>
    <w:basedOn w:val="SAPHeading-Level1"/>
    <w:rsid w:val="002A2C87"/>
  </w:style>
  <w:style w:type="paragraph" w:customStyle="1" w:styleId="SAPHeading-Level3">
    <w:name w:val="SAP Heading - Level 3"/>
    <w:basedOn w:val="SAPHeading-Level2"/>
    <w:rsid w:val="002A2C87"/>
  </w:style>
  <w:style w:type="paragraph" w:customStyle="1" w:styleId="NotesText0">
    <w:name w:val="Notes Text"/>
    <w:basedOn w:val="ReferenceText"/>
    <w:uiPriority w:val="99"/>
    <w:rsid w:val="002A2C87"/>
    <w:pPr>
      <w:spacing w:before="100" w:after="100" w:line="240" w:lineRule="auto"/>
    </w:pPr>
  </w:style>
  <w:style w:type="paragraph" w:customStyle="1" w:styleId="NotesTextHeading">
    <w:name w:val="Notes Text Heading"/>
    <w:basedOn w:val="NotesText0"/>
    <w:rsid w:val="002A2C87"/>
    <w:rPr>
      <w:b/>
      <w:i/>
    </w:rPr>
  </w:style>
  <w:style w:type="paragraph" w:customStyle="1" w:styleId="NoteHeading-Level1">
    <w:name w:val="Note Heading - Level 1"/>
    <w:basedOn w:val="Normal"/>
    <w:rsid w:val="002A2C87"/>
    <w:pPr>
      <w:spacing w:after="0" w:line="260" w:lineRule="atLeast"/>
    </w:pPr>
    <w:rPr>
      <w:rFonts w:ascii="Times New Roman" w:eastAsia="Times New Roman" w:hAnsi="Times New Roman" w:cs="Times New Roman"/>
      <w:szCs w:val="20"/>
    </w:rPr>
  </w:style>
  <w:style w:type="paragraph" w:customStyle="1" w:styleId="Notesreferencetext">
    <w:name w:val="Notes reference text"/>
    <w:basedOn w:val="Normal"/>
    <w:next w:val="Normal"/>
    <w:rsid w:val="002A2C87"/>
    <w:pPr>
      <w:spacing w:after="0" w:line="260" w:lineRule="atLeast"/>
      <w:jc w:val="center"/>
    </w:pPr>
    <w:rPr>
      <w:rFonts w:ascii="Times New Roman" w:eastAsia="Times New Roman" w:hAnsi="Times New Roman" w:cs="Times New Roman"/>
      <w:sz w:val="18"/>
      <w:szCs w:val="20"/>
    </w:rPr>
  </w:style>
  <w:style w:type="character" w:customStyle="1" w:styleId="NotesTextLevelletterngChar">
    <w:name w:val="Notes Text Level letterng Char"/>
    <w:basedOn w:val="DefaultParagraphFont"/>
    <w:link w:val="NotesTextLevelletterng"/>
    <w:locked/>
    <w:rsid w:val="002A2C87"/>
    <w:rPr>
      <w:rFonts w:ascii="Arial" w:eastAsia="Times New Roman" w:hAnsi="Arial" w:cs="Times New Roman"/>
      <w:b/>
      <w:sz w:val="18"/>
      <w:szCs w:val="20"/>
    </w:rPr>
  </w:style>
  <w:style w:type="paragraph" w:customStyle="1" w:styleId="NotesTextLevelletterng">
    <w:name w:val="Notes Text Level letterng"/>
    <w:basedOn w:val="Normal"/>
    <w:link w:val="NotesTextLevelletterngChar"/>
    <w:rsid w:val="002A2C87"/>
    <w:pPr>
      <w:spacing w:after="0" w:line="260" w:lineRule="atLeast"/>
    </w:pPr>
    <w:rPr>
      <w:rFonts w:eastAsia="Times New Roman" w:cs="Times New Roman"/>
      <w:b/>
      <w:sz w:val="18"/>
      <w:szCs w:val="20"/>
    </w:rPr>
  </w:style>
  <w:style w:type="paragraph" w:customStyle="1" w:styleId="AccPolNote">
    <w:name w:val="AccPolNote"/>
    <w:rsid w:val="002A2C87"/>
    <w:pPr>
      <w:widowControl w:val="0"/>
      <w:tabs>
        <w:tab w:val="left" w:pos="453"/>
      </w:tabs>
      <w:autoSpaceDE w:val="0"/>
      <w:autoSpaceDN w:val="0"/>
      <w:adjustRightInd w:val="0"/>
      <w:spacing w:before="172" w:after="0" w:line="240" w:lineRule="auto"/>
      <w:ind w:left="446" w:hanging="446"/>
      <w:jc w:val="both"/>
    </w:pPr>
    <w:rPr>
      <w:rFonts w:ascii="Arial" w:eastAsia="Times New Roman" w:hAnsi="Arial" w:cs="Arial"/>
      <w:i/>
      <w:iCs/>
      <w:color w:val="000000"/>
      <w:sz w:val="18"/>
      <w:szCs w:val="18"/>
      <w:lang w:eastAsia="en-AU"/>
    </w:rPr>
  </w:style>
  <w:style w:type="paragraph" w:customStyle="1" w:styleId="StyleNotesHeaderLeftLeft-008cm">
    <w:name w:val="Style Notes Header + Left Left:  -0.08 cm"/>
    <w:basedOn w:val="NotesHeader"/>
    <w:rsid w:val="002A2C87"/>
    <w:pPr>
      <w:numPr>
        <w:ilvl w:val="1"/>
        <w:numId w:val="30"/>
      </w:numPr>
      <w:spacing w:before="180" w:after="60" w:line="240" w:lineRule="auto"/>
      <w:jc w:val="left"/>
    </w:pPr>
    <w:rPr>
      <w:bCs/>
    </w:rPr>
  </w:style>
  <w:style w:type="paragraph" w:customStyle="1" w:styleId="NotesTextnolinespace">
    <w:name w:val="Notes Text no line space"/>
    <w:basedOn w:val="NotesText0"/>
    <w:qFormat/>
    <w:rsid w:val="002A2C87"/>
    <w:pPr>
      <w:tabs>
        <w:tab w:val="left" w:pos="990"/>
      </w:tabs>
      <w:spacing w:before="0" w:after="0"/>
      <w:ind w:right="-45"/>
    </w:pPr>
    <w:rPr>
      <w:rFonts w:eastAsiaTheme="minorEastAsia" w:cs="Arial"/>
      <w:szCs w:val="16"/>
    </w:rPr>
  </w:style>
  <w:style w:type="paragraph" w:customStyle="1" w:styleId="StyleNotesTextArialItalicUnderline">
    <w:name w:val="Style Notes Text + ArialItalic Underline"/>
    <w:basedOn w:val="NotesText0"/>
    <w:rsid w:val="002A2C87"/>
    <w:pPr>
      <w:tabs>
        <w:tab w:val="left" w:pos="990"/>
      </w:tabs>
      <w:spacing w:after="160"/>
      <w:ind w:right="-45"/>
    </w:pPr>
    <w:rPr>
      <w:rFonts w:ascii="Arial,Italic" w:eastAsiaTheme="minorEastAsia" w:hAnsi="Arial,Italic" w:cs="Arial"/>
      <w:i/>
      <w:iCs/>
      <w:szCs w:val="16"/>
      <w:u w:val="single"/>
    </w:rPr>
  </w:style>
  <w:style w:type="paragraph" w:customStyle="1" w:styleId="NotesTextnolinespacebulletpoint">
    <w:name w:val="Notes Text no line space+ bullet point"/>
    <w:basedOn w:val="NotesTextnolinespace"/>
    <w:qFormat/>
    <w:rsid w:val="002A2C87"/>
    <w:pPr>
      <w:numPr>
        <w:numId w:val="27"/>
      </w:numPr>
      <w:tabs>
        <w:tab w:val="clear" w:pos="990"/>
        <w:tab w:val="num" w:pos="360"/>
        <w:tab w:val="num" w:pos="992"/>
      </w:tabs>
      <w:ind w:left="992" w:right="0" w:hanging="992"/>
    </w:pPr>
  </w:style>
  <w:style w:type="paragraph" w:customStyle="1" w:styleId="NotesTextnolinespacebulletpointnoindent">
    <w:name w:val="Notes Text no line space+bullet point+no indent"/>
    <w:basedOn w:val="NotesTextnolinespacebulletpoint"/>
    <w:qFormat/>
    <w:rsid w:val="002A2C87"/>
  </w:style>
  <w:style w:type="paragraph" w:customStyle="1" w:styleId="Notestextbulletpointnoindent">
    <w:name w:val="Notes text+bullet point+no indent"/>
    <w:basedOn w:val="NotesTextnolinespacebulletpointnoindent"/>
    <w:qFormat/>
    <w:rsid w:val="002A2C87"/>
    <w:pPr>
      <w:spacing w:before="120"/>
    </w:pPr>
  </w:style>
  <w:style w:type="paragraph" w:customStyle="1" w:styleId="NotesTextBold">
    <w:name w:val="Notes Text Bold"/>
    <w:basedOn w:val="NotesText0"/>
    <w:qFormat/>
    <w:rsid w:val="002A2C87"/>
    <w:pPr>
      <w:spacing w:before="120" w:after="120"/>
    </w:pPr>
    <w:rPr>
      <w:rFonts w:ascii="TimesNewRoman,BoldItalic" w:hAnsi="TimesNewRoman,BoldItalic" w:cs="TimesNewRoman,BoldItalic"/>
      <w:b/>
      <w:bCs/>
      <w:iCs/>
    </w:rPr>
  </w:style>
  <w:style w:type="paragraph" w:customStyle="1" w:styleId="NotesTextGreyShade">
    <w:name w:val="Notes Text Grey Shade"/>
    <w:basedOn w:val="GreyShadeTableBreak"/>
    <w:qFormat/>
    <w:rsid w:val="002A2C87"/>
  </w:style>
  <w:style w:type="paragraph" w:customStyle="1" w:styleId="NotesTextGreyShadeBold">
    <w:name w:val="Notes Text Grey Shade Bold"/>
    <w:basedOn w:val="NotesTextGreyShade"/>
    <w:qFormat/>
    <w:rsid w:val="002A2C87"/>
    <w:pPr>
      <w:tabs>
        <w:tab w:val="clear" w:pos="9214"/>
        <w:tab w:val="left" w:pos="9356"/>
      </w:tabs>
      <w:spacing w:before="100" w:beforeAutospacing="1" w:line="240" w:lineRule="auto"/>
      <w:ind w:right="323"/>
    </w:pPr>
    <w:rPr>
      <w:rFonts w:ascii="Arial" w:hAnsi="Arial" w:cs="Arial"/>
      <w:b/>
      <w:sz w:val="18"/>
      <w:szCs w:val="18"/>
      <w:lang w:eastAsia="en-AU"/>
    </w:rPr>
  </w:style>
  <w:style w:type="paragraph" w:customStyle="1" w:styleId="NotesHeading-Level1GreyShade">
    <w:name w:val="Notes Heading - Level 1 Grey Shade"/>
    <w:basedOn w:val="NotesHeading-Level1"/>
    <w:next w:val="BodyText1"/>
    <w:qFormat/>
    <w:rsid w:val="002A2C87"/>
    <w:pPr>
      <w:numPr>
        <w:numId w:val="0"/>
      </w:numPr>
      <w:shd w:val="clear" w:color="auto" w:fill="D9D9D9" w:themeFill="background1" w:themeFillShade="D9"/>
      <w:tabs>
        <w:tab w:val="num" w:pos="473"/>
      </w:tabs>
      <w:ind w:left="454" w:right="323" w:hanging="341"/>
    </w:pPr>
  </w:style>
  <w:style w:type="paragraph" w:customStyle="1" w:styleId="NotesHeadingContinued-nonumbering">
    <w:name w:val="Notes Heading Continued - no numbering"/>
    <w:basedOn w:val="NotesHeading-Level1"/>
    <w:qFormat/>
    <w:rsid w:val="002A2C87"/>
    <w:pPr>
      <w:numPr>
        <w:numId w:val="0"/>
      </w:numPr>
      <w:ind w:left="1134" w:right="0" w:hanging="1134"/>
    </w:pPr>
  </w:style>
  <w:style w:type="paragraph" w:customStyle="1" w:styleId="StylesNotesText-ItalicsBold">
    <w:name w:val="Styles Notes Text - Italics Bold"/>
    <w:basedOn w:val="StyleNotesTextArialItalicUnderline"/>
    <w:qFormat/>
    <w:rsid w:val="002A2C87"/>
    <w:rPr>
      <w:b/>
      <w:u w:val="none"/>
    </w:rPr>
  </w:style>
  <w:style w:type="paragraph" w:customStyle="1" w:styleId="StylesNotesText-Italics">
    <w:name w:val="Styles Notes Text - Italics"/>
    <w:basedOn w:val="StylesNotesText-ItalicsBold"/>
    <w:qFormat/>
    <w:rsid w:val="002A2C87"/>
    <w:rPr>
      <w:b w:val="0"/>
    </w:rPr>
  </w:style>
  <w:style w:type="paragraph" w:customStyle="1" w:styleId="NotesTextGreyShadeBoldUnderline">
    <w:name w:val="Notes Text Grey Shade Bold Underline"/>
    <w:basedOn w:val="NotesTextGreyShadeBold"/>
    <w:qFormat/>
    <w:rsid w:val="002A2C87"/>
    <w:pPr>
      <w:ind w:right="777"/>
    </w:pPr>
    <w:rPr>
      <w:u w:val="single"/>
    </w:rPr>
  </w:style>
  <w:style w:type="character" w:customStyle="1" w:styleId="Style1Char">
    <w:name w:val="Style1 Char"/>
    <w:basedOn w:val="NotesHeading-Level1Char"/>
    <w:link w:val="Style1"/>
    <w:locked/>
    <w:rsid w:val="002A2C87"/>
    <w:rPr>
      <w:rFonts w:ascii="Arial" w:eastAsia="Times New Roman" w:hAnsi="Arial" w:cs="Times New Roman"/>
      <w:b/>
      <w:szCs w:val="20"/>
    </w:rPr>
  </w:style>
  <w:style w:type="paragraph" w:customStyle="1" w:styleId="Style1">
    <w:name w:val="Style1"/>
    <w:basedOn w:val="NotesHeading-Level1"/>
    <w:link w:val="Style1Char"/>
    <w:qFormat/>
    <w:rsid w:val="002A2C87"/>
    <w:pPr>
      <w:numPr>
        <w:numId w:val="0"/>
      </w:numPr>
      <w:ind w:left="1134" w:hanging="1134"/>
    </w:pPr>
    <w:rPr>
      <w:szCs w:val="20"/>
    </w:rPr>
  </w:style>
  <w:style w:type="character" w:customStyle="1" w:styleId="Style3Char">
    <w:name w:val="Style3 Char"/>
    <w:basedOn w:val="GreyShadeTableBreakChar"/>
    <w:link w:val="Style3"/>
    <w:locked/>
    <w:rsid w:val="002A2C87"/>
    <w:rPr>
      <w:rFonts w:ascii="Arial" w:eastAsia="Times New Roman" w:hAnsi="Arial" w:cs="Arial"/>
      <w:b/>
      <w:bCs/>
      <w:sz w:val="18"/>
      <w:szCs w:val="18"/>
      <w:shd w:val="clear" w:color="auto" w:fill="D9D9D9" w:themeFill="background1" w:themeFillShade="D9"/>
    </w:rPr>
  </w:style>
  <w:style w:type="paragraph" w:customStyle="1" w:styleId="Style3">
    <w:name w:val="Style3"/>
    <w:basedOn w:val="GreyShadeTableBreak"/>
    <w:link w:val="Style3Char"/>
    <w:qFormat/>
    <w:rsid w:val="002A2C87"/>
    <w:rPr>
      <w:rFonts w:ascii="Arial" w:hAnsi="Arial" w:cs="Arial"/>
      <w:b/>
      <w:bCs/>
      <w:sz w:val="18"/>
      <w:szCs w:val="18"/>
    </w:rPr>
  </w:style>
  <w:style w:type="paragraph" w:customStyle="1" w:styleId="FIN-linetopofpage">
    <w:name w:val="FIN - line top of page"/>
    <w:basedOn w:val="Normal"/>
    <w:qFormat/>
    <w:rsid w:val="002A2C87"/>
    <w:pPr>
      <w:pBdr>
        <w:bottom w:val="single" w:sz="4" w:space="1" w:color="auto"/>
      </w:pBdr>
      <w:spacing w:after="360" w:line="240" w:lineRule="auto"/>
    </w:pPr>
    <w:rPr>
      <w:rFonts w:eastAsia="Times New Roman" w:cs="Times New Roman"/>
      <w:b/>
      <w:sz w:val="18"/>
      <w:szCs w:val="20"/>
    </w:rPr>
  </w:style>
  <w:style w:type="paragraph" w:customStyle="1" w:styleId="ParaPlain">
    <w:name w:val="ParaPlain"/>
    <w:basedOn w:val="Default"/>
    <w:next w:val="Default"/>
    <w:uiPriority w:val="99"/>
    <w:semiHidden/>
    <w:rsid w:val="002A2C87"/>
    <w:pPr>
      <w:adjustRightInd w:val="0"/>
      <w:spacing w:after="200"/>
    </w:pPr>
    <w:rPr>
      <w:rFonts w:eastAsia="Times New Roman"/>
      <w:color w:val="auto"/>
    </w:rPr>
  </w:style>
  <w:style w:type="paragraph" w:customStyle="1" w:styleId="ContinuedNotesHeading-Level1">
    <w:name w:val="Continued Notes Heading - Level 1"/>
    <w:basedOn w:val="NotesHeading-Level1"/>
    <w:qFormat/>
    <w:rsid w:val="002A2C87"/>
    <w:pPr>
      <w:numPr>
        <w:numId w:val="0"/>
      </w:numPr>
      <w:spacing w:line="240" w:lineRule="auto"/>
      <w:outlineLvl w:val="9"/>
    </w:pPr>
  </w:style>
  <w:style w:type="paragraph" w:customStyle="1" w:styleId="SectionHeadingNoNumber">
    <w:name w:val="Section Heading No Number"/>
    <w:basedOn w:val="Normal"/>
    <w:qFormat/>
    <w:rsid w:val="002A2C87"/>
    <w:pPr>
      <w:shd w:val="clear" w:color="auto" w:fill="0070C0"/>
      <w:spacing w:after="0" w:line="260" w:lineRule="atLeast"/>
      <w:outlineLvl w:val="0"/>
    </w:pPr>
    <w:rPr>
      <w:rFonts w:ascii="Arial Bold" w:eastAsia="Times New Roman" w:hAnsi="Arial Bold" w:cs="Times New Roman"/>
      <w:b/>
      <w:color w:val="FFFFFF" w:themeColor="background1"/>
      <w:sz w:val="24"/>
      <w:szCs w:val="20"/>
    </w:rPr>
  </w:style>
  <w:style w:type="paragraph" w:customStyle="1" w:styleId="NoteText0">
    <w:name w:val="Note Text"/>
    <w:basedOn w:val="Normal"/>
    <w:autoRedefine/>
    <w:rsid w:val="002A2C87"/>
    <w:pPr>
      <w:tabs>
        <w:tab w:val="left" w:pos="284"/>
      </w:tabs>
      <w:spacing w:after="120" w:line="260" w:lineRule="atLeast"/>
      <w:ind w:left="567"/>
    </w:pPr>
    <w:rPr>
      <w:rFonts w:ascii="Times New Roman" w:eastAsia="Times New Roman" w:hAnsi="Times New Roman" w:cs="Times New Roman"/>
      <w:sz w:val="20"/>
      <w:szCs w:val="20"/>
    </w:rPr>
  </w:style>
  <w:style w:type="paragraph" w:customStyle="1" w:styleId="NotesReference">
    <w:name w:val="'Notes' Reference"/>
    <w:basedOn w:val="Normal"/>
    <w:autoRedefine/>
    <w:rsid w:val="002A2C87"/>
    <w:pPr>
      <w:spacing w:after="0" w:line="260" w:lineRule="atLeast"/>
      <w:ind w:left="57" w:right="57"/>
      <w:jc w:val="center"/>
    </w:pPr>
    <w:rPr>
      <w:rFonts w:ascii="Times New Roman" w:eastAsia="Times New Roman" w:hAnsi="Times New Roman" w:cs="Times New Roman"/>
      <w:sz w:val="20"/>
      <w:szCs w:val="20"/>
    </w:rPr>
  </w:style>
  <w:style w:type="paragraph" w:customStyle="1" w:styleId="NoteTextBEFOREDotPoint">
    <w:name w:val="Note Text BEFORE Dot Point"/>
    <w:basedOn w:val="NoteText0"/>
    <w:rsid w:val="002A2C87"/>
    <w:pPr>
      <w:spacing w:after="0"/>
      <w:ind w:left="178" w:right="57"/>
    </w:pPr>
  </w:style>
  <w:style w:type="paragraph" w:customStyle="1" w:styleId="NoteHeading-Level2">
    <w:name w:val="Note Heading - Level 2"/>
    <w:basedOn w:val="Normal"/>
    <w:rsid w:val="002A2C87"/>
    <w:pPr>
      <w:spacing w:after="0" w:line="260" w:lineRule="atLeast"/>
    </w:pPr>
    <w:rPr>
      <w:rFonts w:ascii="Times New Roman" w:eastAsia="Times New Roman" w:hAnsi="Times New Roman" w:cs="Times New Roman"/>
      <w:szCs w:val="20"/>
    </w:rPr>
  </w:style>
  <w:style w:type="character" w:customStyle="1" w:styleId="SectionHeadingChar">
    <w:name w:val="Section Heading Char"/>
    <w:basedOn w:val="DefaultParagraphFont"/>
    <w:link w:val="SectionHeading"/>
    <w:locked/>
    <w:rsid w:val="002A2C87"/>
    <w:rPr>
      <w:rFonts w:ascii="Arial Bold" w:eastAsia="Times New Roman" w:hAnsi="Arial Bold" w:cs="Times New Roman"/>
      <w:b/>
      <w:color w:val="FFFFFF"/>
      <w:sz w:val="24"/>
      <w:shd w:val="clear" w:color="auto" w:fill="0070C0"/>
    </w:rPr>
  </w:style>
  <w:style w:type="paragraph" w:customStyle="1" w:styleId="SectionHeading">
    <w:name w:val="Section Heading"/>
    <w:basedOn w:val="Normal"/>
    <w:link w:val="SectionHeadingChar"/>
    <w:qFormat/>
    <w:rsid w:val="002A2C87"/>
    <w:pPr>
      <w:shd w:val="clear" w:color="auto" w:fill="0070C0"/>
      <w:spacing w:after="0" w:line="260" w:lineRule="atLeast"/>
      <w:ind w:left="360" w:hanging="360"/>
      <w:outlineLvl w:val="0"/>
    </w:pPr>
    <w:rPr>
      <w:rFonts w:ascii="Arial Bold" w:eastAsia="Times New Roman" w:hAnsi="Arial Bold" w:cs="Times New Roman"/>
      <w:b/>
      <w:color w:val="FFFFFF"/>
      <w:sz w:val="24"/>
    </w:rPr>
  </w:style>
  <w:style w:type="character" w:customStyle="1" w:styleId="SubHeadingChar">
    <w:name w:val="Sub Heading Char"/>
    <w:basedOn w:val="DefaultParagraphFont"/>
    <w:link w:val="SubHeading"/>
    <w:locked/>
    <w:rsid w:val="002A2C87"/>
    <w:rPr>
      <w:rFonts w:ascii="Arial" w:eastAsia="Times New Roman" w:hAnsi="Arial" w:cs="Arial"/>
      <w:b/>
    </w:rPr>
  </w:style>
  <w:style w:type="paragraph" w:customStyle="1" w:styleId="SubHeading">
    <w:name w:val="Sub Heading"/>
    <w:basedOn w:val="SectionHeading"/>
    <w:link w:val="SubHeadingChar"/>
    <w:qFormat/>
    <w:rsid w:val="002A2C87"/>
    <w:pPr>
      <w:shd w:val="clear" w:color="auto" w:fill="auto"/>
      <w:ind w:left="0" w:firstLine="0"/>
      <w:outlineLvl w:val="1"/>
    </w:pPr>
    <w:rPr>
      <w:rFonts w:ascii="Arial" w:hAnsi="Arial" w:cs="Arial"/>
      <w:color w:val="auto"/>
      <w:sz w:val="22"/>
    </w:rPr>
  </w:style>
  <w:style w:type="paragraph" w:customStyle="1" w:styleId="SectionHeadingDescription">
    <w:name w:val="Section Heading Description"/>
    <w:basedOn w:val="SectionHeading"/>
    <w:next w:val="SubHeading"/>
    <w:qFormat/>
    <w:rsid w:val="002A2C87"/>
    <w:pPr>
      <w:outlineLvl w:val="9"/>
    </w:pPr>
    <w:rPr>
      <w:rFonts w:ascii="Arial" w:hAnsi="Arial"/>
      <w:b w:val="0"/>
      <w:sz w:val="18"/>
      <w:szCs w:val="18"/>
    </w:rPr>
  </w:style>
  <w:style w:type="character" w:customStyle="1" w:styleId="PolicytextDeptChar">
    <w:name w:val="Policy text Dept Char"/>
    <w:basedOn w:val="DefaultParagraphFont"/>
    <w:link w:val="PolicytextDept"/>
    <w:locked/>
    <w:rsid w:val="002A2C87"/>
    <w:rPr>
      <w:rFonts w:ascii="Arial" w:eastAsia="Times New Roman" w:hAnsi="Arial" w:cs="Arial"/>
      <w:bCs/>
      <w:sz w:val="18"/>
      <w:szCs w:val="18"/>
    </w:rPr>
  </w:style>
  <w:style w:type="paragraph" w:customStyle="1" w:styleId="PolicytextDept">
    <w:name w:val="Policy text Dept"/>
    <w:basedOn w:val="Normal"/>
    <w:link w:val="PolicytextDeptChar"/>
    <w:qFormat/>
    <w:rsid w:val="002A2C87"/>
    <w:pPr>
      <w:pBdr>
        <w:top w:val="single" w:sz="4" w:space="1" w:color="0070C0"/>
        <w:left w:val="single" w:sz="4" w:space="0" w:color="0070C0"/>
        <w:bottom w:val="single" w:sz="4" w:space="1" w:color="0070C0"/>
        <w:right w:val="single" w:sz="4" w:space="12" w:color="0070C0"/>
      </w:pBdr>
      <w:spacing w:after="120" w:line="100" w:lineRule="atLeast"/>
      <w:ind w:right="284"/>
    </w:pPr>
    <w:rPr>
      <w:rFonts w:eastAsia="Times New Roman" w:cs="Arial"/>
      <w:bCs/>
      <w:sz w:val="18"/>
      <w:szCs w:val="18"/>
    </w:rPr>
  </w:style>
  <w:style w:type="paragraph" w:customStyle="1" w:styleId="PolicyheadingDept">
    <w:name w:val="Policy heading Dept"/>
    <w:basedOn w:val="PolicytextDept"/>
    <w:qFormat/>
    <w:rsid w:val="002A2C87"/>
    <w:rPr>
      <w:b/>
    </w:rPr>
  </w:style>
  <w:style w:type="character" w:customStyle="1" w:styleId="PolicytextdeptunderlineChar">
    <w:name w:val="Policy text dept + underline Char"/>
    <w:basedOn w:val="PolicytextDeptChar"/>
    <w:link w:val="Policytextdeptunderline"/>
    <w:locked/>
    <w:rsid w:val="002A2C87"/>
    <w:rPr>
      <w:rFonts w:ascii="Arial" w:eastAsia="Times New Roman" w:hAnsi="Arial" w:cs="Arial"/>
      <w:bCs/>
      <w:i/>
      <w:sz w:val="18"/>
      <w:szCs w:val="18"/>
      <w:u w:val="single"/>
    </w:rPr>
  </w:style>
  <w:style w:type="paragraph" w:customStyle="1" w:styleId="Policytextdeptunderline">
    <w:name w:val="Policy text dept + underline"/>
    <w:basedOn w:val="PolicytextDept"/>
    <w:link w:val="PolicytextdeptunderlineChar"/>
    <w:qFormat/>
    <w:rsid w:val="002A2C87"/>
    <w:rPr>
      <w:i/>
      <w:u w:val="single"/>
    </w:rPr>
  </w:style>
  <w:style w:type="character" w:customStyle="1" w:styleId="PolicyTextAdminChar">
    <w:name w:val="Policy Text Admin Char"/>
    <w:basedOn w:val="DefaultParagraphFont"/>
    <w:link w:val="PolicyTextAdmin"/>
    <w:locked/>
    <w:rsid w:val="002A2C87"/>
    <w:rPr>
      <w:rFonts w:ascii="Helvetica" w:eastAsia="Times New Roman" w:hAnsi="Helvetica" w:cs="Helvetica"/>
      <w:sz w:val="18"/>
      <w:szCs w:val="18"/>
      <w:shd w:val="clear" w:color="auto" w:fill="DBE5F1"/>
    </w:rPr>
  </w:style>
  <w:style w:type="paragraph" w:customStyle="1" w:styleId="PolicyTextAdmin">
    <w:name w:val="Policy Text Admin"/>
    <w:basedOn w:val="Normal"/>
    <w:link w:val="PolicyTextAdminChar"/>
    <w:qFormat/>
    <w:rsid w:val="002A2C87"/>
    <w:pPr>
      <w:pBdr>
        <w:top w:val="single" w:sz="4" w:space="1" w:color="0070C0"/>
        <w:left w:val="single" w:sz="4" w:space="0" w:color="0070C0"/>
        <w:bottom w:val="single" w:sz="4" w:space="1" w:color="0070C0"/>
        <w:right w:val="single" w:sz="4" w:space="0" w:color="0070C0"/>
      </w:pBdr>
      <w:shd w:val="clear" w:color="auto" w:fill="DBE5F1"/>
      <w:spacing w:after="0" w:line="120" w:lineRule="atLeast"/>
    </w:pPr>
    <w:rPr>
      <w:rFonts w:ascii="Helvetica" w:eastAsia="Times New Roman" w:hAnsi="Helvetica" w:cs="Helvetica"/>
      <w:sz w:val="18"/>
      <w:szCs w:val="18"/>
    </w:rPr>
  </w:style>
  <w:style w:type="paragraph" w:customStyle="1" w:styleId="PolicyheadingAdmin">
    <w:name w:val="Policy heading Admin"/>
    <w:basedOn w:val="PolicyTextAdmin"/>
    <w:rsid w:val="002A2C87"/>
    <w:rPr>
      <w:rFonts w:cs="Times New Roman"/>
      <w:b/>
      <w:bCs/>
      <w:szCs w:val="20"/>
    </w:rPr>
  </w:style>
  <w:style w:type="character" w:customStyle="1" w:styleId="PolicytextadminunderlineChar">
    <w:name w:val="Policy text admin + underline Char"/>
    <w:basedOn w:val="PolicyTextAdminChar"/>
    <w:link w:val="Policytextadminunderline"/>
    <w:locked/>
    <w:rsid w:val="002A2C87"/>
    <w:rPr>
      <w:rFonts w:ascii="Helvetica" w:eastAsia="Times New Roman" w:hAnsi="Helvetica" w:cs="Helvetica"/>
      <w:i/>
      <w:sz w:val="18"/>
      <w:szCs w:val="18"/>
      <w:u w:val="single"/>
      <w:shd w:val="clear" w:color="auto" w:fill="DBE5F1"/>
    </w:rPr>
  </w:style>
  <w:style w:type="paragraph" w:customStyle="1" w:styleId="Policytextadminunderline">
    <w:name w:val="Policy text admin + underline"/>
    <w:basedOn w:val="PolicyTextAdmin"/>
    <w:link w:val="PolicytextadminunderlineChar"/>
    <w:qFormat/>
    <w:rsid w:val="002A2C87"/>
    <w:pPr>
      <w:spacing w:after="120"/>
    </w:pPr>
    <w:rPr>
      <w:i/>
      <w:u w:val="single"/>
    </w:rPr>
  </w:style>
  <w:style w:type="character" w:customStyle="1" w:styleId="PolicyheadingadminChar">
    <w:name w:val="Policy heading admin Char"/>
    <w:basedOn w:val="PolicytextadminunderlineChar"/>
    <w:link w:val="Policyheadingadmin0"/>
    <w:locked/>
    <w:rsid w:val="002A2C87"/>
    <w:rPr>
      <w:rFonts w:ascii="Helvetica" w:eastAsia="Times New Roman" w:hAnsi="Helvetica" w:cs="Helvetica"/>
      <w:b/>
      <w:i w:val="0"/>
      <w:sz w:val="18"/>
      <w:szCs w:val="18"/>
      <w:u w:val="single"/>
      <w:shd w:val="clear" w:color="auto" w:fill="DBE5F1"/>
    </w:rPr>
  </w:style>
  <w:style w:type="paragraph" w:customStyle="1" w:styleId="Policyheadingadmin0">
    <w:name w:val="Policy heading admin"/>
    <w:basedOn w:val="Policytextadminunderline"/>
    <w:link w:val="PolicyheadingadminChar"/>
    <w:qFormat/>
    <w:rsid w:val="002A2C87"/>
    <w:rPr>
      <w:b/>
      <w:i w:val="0"/>
    </w:rPr>
  </w:style>
  <w:style w:type="character" w:customStyle="1" w:styleId="ContinuedSubHeadingChar">
    <w:name w:val="Continued Sub Heading Char"/>
    <w:basedOn w:val="SubHeadingChar"/>
    <w:link w:val="ContinuedSubHeading"/>
    <w:locked/>
    <w:rsid w:val="002A2C87"/>
    <w:rPr>
      <w:rFonts w:ascii="Arial" w:eastAsia="Times New Roman" w:hAnsi="Arial" w:cs="Arial"/>
      <w:b/>
      <w:sz w:val="20"/>
      <w:szCs w:val="20"/>
    </w:rPr>
  </w:style>
  <w:style w:type="paragraph" w:customStyle="1" w:styleId="ContinuedSubHeading">
    <w:name w:val="Continued Sub Heading"/>
    <w:basedOn w:val="SubHeading"/>
    <w:link w:val="ContinuedSubHeadingChar"/>
    <w:qFormat/>
    <w:rsid w:val="002A2C87"/>
    <w:pPr>
      <w:outlineLvl w:val="9"/>
    </w:pPr>
    <w:rPr>
      <w:sz w:val="20"/>
      <w:szCs w:val="20"/>
    </w:rPr>
  </w:style>
  <w:style w:type="character" w:customStyle="1" w:styleId="PolicytextdeptbulletsChar">
    <w:name w:val="Policy text dept + bullets Char"/>
    <w:basedOn w:val="PolicytextDeptChar"/>
    <w:link w:val="Policytextdeptbullets"/>
    <w:locked/>
    <w:rsid w:val="002A2C87"/>
    <w:rPr>
      <w:rFonts w:ascii="Arial" w:eastAsia="Times New Roman" w:hAnsi="Arial" w:cs="Arial"/>
      <w:bCs/>
      <w:sz w:val="18"/>
      <w:szCs w:val="18"/>
    </w:rPr>
  </w:style>
  <w:style w:type="paragraph" w:customStyle="1" w:styleId="Policytextdeptbullets">
    <w:name w:val="Policy text dept + bullets"/>
    <w:basedOn w:val="PolicytextDept"/>
    <w:link w:val="PolicytextdeptbulletsChar"/>
    <w:qFormat/>
    <w:rsid w:val="002A2C87"/>
    <w:pPr>
      <w:pBdr>
        <w:top w:val="none" w:sz="0" w:space="0" w:color="auto"/>
        <w:left w:val="single" w:sz="4" w:space="14" w:color="009560"/>
        <w:bottom w:val="none" w:sz="0" w:space="0" w:color="auto"/>
      </w:pBdr>
      <w:ind w:left="720" w:hanging="360"/>
    </w:pPr>
  </w:style>
  <w:style w:type="character" w:customStyle="1" w:styleId="SubHeadingLinesChar">
    <w:name w:val="Sub Heading Lines Char"/>
    <w:basedOn w:val="DefaultParagraphFont"/>
    <w:link w:val="SubHeadingLines"/>
    <w:locked/>
    <w:rsid w:val="002A2C87"/>
    <w:rPr>
      <w:rFonts w:ascii="Arial" w:eastAsia="Times New Roman" w:hAnsi="Arial" w:cs="Arial"/>
      <w:b/>
      <w:bCs/>
      <w:color w:val="275D38"/>
      <w:sz w:val="18"/>
      <w:szCs w:val="18"/>
      <w:lang w:eastAsia="en-AU"/>
    </w:rPr>
  </w:style>
  <w:style w:type="paragraph" w:customStyle="1" w:styleId="SubHeadingLines">
    <w:name w:val="Sub Heading Lines"/>
    <w:basedOn w:val="Normal"/>
    <w:link w:val="SubHeadingLinesChar"/>
    <w:qFormat/>
    <w:rsid w:val="002A2C87"/>
    <w:pPr>
      <w:spacing w:before="120" w:after="120" w:line="240" w:lineRule="auto"/>
    </w:pPr>
    <w:rPr>
      <w:rFonts w:eastAsia="Times New Roman" w:cs="Arial"/>
      <w:b/>
      <w:bCs/>
      <w:color w:val="275D38"/>
      <w:sz w:val="18"/>
      <w:szCs w:val="18"/>
      <w:lang w:eastAsia="en-AU"/>
    </w:rPr>
  </w:style>
  <w:style w:type="paragraph" w:customStyle="1" w:styleId="Pa29">
    <w:name w:val="Pa29"/>
    <w:basedOn w:val="Default"/>
    <w:next w:val="Default"/>
    <w:uiPriority w:val="99"/>
    <w:rsid w:val="002A2C87"/>
    <w:pPr>
      <w:adjustRightInd w:val="0"/>
      <w:spacing w:line="521" w:lineRule="atLeast"/>
    </w:pPr>
    <w:rPr>
      <w:rFonts w:ascii="Georgia" w:hAnsi="Georgia" w:cstheme="minorBidi"/>
      <w:color w:val="auto"/>
      <w:lang w:eastAsia="en-US"/>
    </w:rPr>
  </w:style>
  <w:style w:type="paragraph" w:customStyle="1" w:styleId="Pa49">
    <w:name w:val="Pa49"/>
    <w:basedOn w:val="Default"/>
    <w:next w:val="Default"/>
    <w:uiPriority w:val="99"/>
    <w:rsid w:val="002A2C87"/>
    <w:pPr>
      <w:adjustRightInd w:val="0"/>
      <w:spacing w:line="201" w:lineRule="atLeast"/>
    </w:pPr>
    <w:rPr>
      <w:rFonts w:ascii="Georgia" w:hAnsi="Georgia" w:cstheme="minorBidi"/>
      <w:color w:val="auto"/>
      <w:lang w:eastAsia="en-US"/>
    </w:rPr>
  </w:style>
  <w:style w:type="paragraph" w:customStyle="1" w:styleId="Pa24">
    <w:name w:val="Pa24"/>
    <w:basedOn w:val="Default"/>
    <w:next w:val="Default"/>
    <w:uiPriority w:val="99"/>
    <w:rsid w:val="002A2C87"/>
    <w:pPr>
      <w:adjustRightInd w:val="0"/>
      <w:spacing w:line="191" w:lineRule="atLeast"/>
    </w:pPr>
    <w:rPr>
      <w:rFonts w:ascii="Helvetica 45 Light" w:hAnsi="Helvetica 45 Light" w:cstheme="minorBidi"/>
      <w:color w:val="auto"/>
      <w:lang w:eastAsia="en-US"/>
    </w:rPr>
  </w:style>
  <w:style w:type="paragraph" w:customStyle="1" w:styleId="Pa25">
    <w:name w:val="Pa25"/>
    <w:basedOn w:val="Default"/>
    <w:next w:val="Default"/>
    <w:uiPriority w:val="99"/>
    <w:rsid w:val="002A2C87"/>
    <w:pPr>
      <w:adjustRightInd w:val="0"/>
      <w:spacing w:line="191" w:lineRule="atLeast"/>
    </w:pPr>
    <w:rPr>
      <w:rFonts w:ascii="Helvetica 45 Light" w:hAnsi="Helvetica 45 Light" w:cstheme="minorBidi"/>
      <w:color w:val="auto"/>
      <w:lang w:eastAsia="en-US"/>
    </w:rPr>
  </w:style>
  <w:style w:type="paragraph" w:customStyle="1" w:styleId="Pa84">
    <w:name w:val="Pa84"/>
    <w:basedOn w:val="Default"/>
    <w:next w:val="Default"/>
    <w:uiPriority w:val="99"/>
    <w:rsid w:val="002A2C87"/>
    <w:pPr>
      <w:adjustRightInd w:val="0"/>
      <w:spacing w:line="161" w:lineRule="atLeast"/>
    </w:pPr>
    <w:rPr>
      <w:rFonts w:ascii="HelveticaNeueLT Std Lt" w:hAnsi="HelveticaNeueLT Std Lt" w:cstheme="minorBidi"/>
      <w:color w:val="auto"/>
      <w:lang w:eastAsia="en-US"/>
    </w:rPr>
  </w:style>
  <w:style w:type="paragraph" w:customStyle="1" w:styleId="Pa104">
    <w:name w:val="Pa104"/>
    <w:basedOn w:val="Default"/>
    <w:next w:val="Default"/>
    <w:uiPriority w:val="99"/>
    <w:rsid w:val="002A2C87"/>
    <w:pPr>
      <w:adjustRightInd w:val="0"/>
      <w:spacing w:line="181" w:lineRule="atLeast"/>
    </w:pPr>
    <w:rPr>
      <w:rFonts w:ascii="Helvetica 55 Roman" w:hAnsi="Helvetica 55 Roman" w:cstheme="minorBidi"/>
      <w:color w:val="auto"/>
      <w:lang w:eastAsia="en-US"/>
    </w:rPr>
  </w:style>
  <w:style w:type="character" w:customStyle="1" w:styleId="EndnoteTextChar1">
    <w:name w:val="Endnote Text Char1"/>
    <w:basedOn w:val="DefaultParagraphFont"/>
    <w:uiPriority w:val="99"/>
    <w:semiHidden/>
    <w:rsid w:val="002A2C87"/>
    <w:rPr>
      <w:rFonts w:ascii="Arial" w:eastAsia="Times New Roman" w:hAnsi="Arial" w:cs="Times New Roman" w:hint="default"/>
      <w:spacing w:val="4"/>
      <w:sz w:val="20"/>
      <w:szCs w:val="20"/>
      <w:lang w:eastAsia="en-AU"/>
    </w:rPr>
  </w:style>
  <w:style w:type="paragraph" w:styleId="z-BottomofForm">
    <w:name w:val="HTML Bottom of Form"/>
    <w:basedOn w:val="Normal"/>
    <w:next w:val="Normal"/>
    <w:link w:val="z-BottomofFormChar"/>
    <w:hidden/>
    <w:unhideWhenUsed/>
    <w:rsid w:val="002A2C87"/>
    <w:pPr>
      <w:pBdr>
        <w:top w:val="single" w:sz="6" w:space="1" w:color="auto"/>
      </w:pBdr>
      <w:spacing w:after="0" w:line="260" w:lineRule="atLeast"/>
      <w:jc w:val="center"/>
    </w:pPr>
    <w:rPr>
      <w:rFonts w:eastAsia="Times New Roman" w:cs="Arial"/>
      <w:vanish/>
      <w:spacing w:val="4"/>
      <w:sz w:val="16"/>
      <w:szCs w:val="16"/>
      <w:lang w:eastAsia="en-AU"/>
    </w:rPr>
  </w:style>
  <w:style w:type="character" w:customStyle="1" w:styleId="z-BottomofFormChar">
    <w:name w:val="z-Bottom of Form Char"/>
    <w:basedOn w:val="DefaultParagraphFont"/>
    <w:link w:val="z-BottomofForm"/>
    <w:rsid w:val="002A2C87"/>
    <w:rPr>
      <w:rFonts w:ascii="Arial" w:eastAsia="Times New Roman" w:hAnsi="Arial" w:cs="Arial"/>
      <w:vanish/>
      <w:spacing w:val="4"/>
      <w:sz w:val="16"/>
      <w:szCs w:val="16"/>
      <w:lang w:eastAsia="en-AU"/>
    </w:rPr>
  </w:style>
  <w:style w:type="paragraph" w:styleId="z-TopofForm">
    <w:name w:val="HTML Top of Form"/>
    <w:basedOn w:val="Normal"/>
    <w:next w:val="Normal"/>
    <w:link w:val="z-TopofFormChar"/>
    <w:hidden/>
    <w:unhideWhenUsed/>
    <w:rsid w:val="002A2C87"/>
    <w:pPr>
      <w:pBdr>
        <w:bottom w:val="single" w:sz="6" w:space="1" w:color="auto"/>
      </w:pBdr>
      <w:spacing w:after="0" w:line="260" w:lineRule="atLeast"/>
      <w:jc w:val="center"/>
    </w:pPr>
    <w:rPr>
      <w:rFonts w:eastAsia="Times New Roman" w:cs="Arial"/>
      <w:vanish/>
      <w:spacing w:val="4"/>
      <w:sz w:val="16"/>
      <w:szCs w:val="16"/>
      <w:lang w:eastAsia="en-AU"/>
    </w:rPr>
  </w:style>
  <w:style w:type="character" w:customStyle="1" w:styleId="z-TopofFormChar">
    <w:name w:val="z-Top of Form Char"/>
    <w:basedOn w:val="DefaultParagraphFont"/>
    <w:link w:val="z-TopofForm"/>
    <w:rsid w:val="002A2C87"/>
    <w:rPr>
      <w:rFonts w:ascii="Arial" w:eastAsia="Times New Roman" w:hAnsi="Arial" w:cs="Arial"/>
      <w:vanish/>
      <w:spacing w:val="4"/>
      <w:sz w:val="16"/>
      <w:szCs w:val="16"/>
      <w:lang w:eastAsia="en-AU"/>
    </w:rPr>
  </w:style>
  <w:style w:type="character" w:customStyle="1" w:styleId="65MediumCharacterFORMATS">
    <w:name w:val="65 Medium (Character FORMATS)"/>
    <w:uiPriority w:val="99"/>
    <w:rsid w:val="002A2C87"/>
    <w:rPr>
      <w:rFonts w:ascii="HelveticaNeueLT Std Med" w:hAnsi="HelveticaNeueLT Std Med" w:cs="HelveticaNeueLT Std Med" w:hint="default"/>
      <w:color w:val="000000"/>
    </w:rPr>
  </w:style>
  <w:style w:type="table" w:styleId="LightShading">
    <w:name w:val="Light Shading"/>
    <w:aliases w:val="Text table"/>
    <w:basedOn w:val="TableNormal"/>
    <w:uiPriority w:val="60"/>
    <w:unhideWhenUsed/>
    <w:rsid w:val="002A2C87"/>
    <w:pPr>
      <w:spacing w:after="0" w:line="240" w:lineRule="auto"/>
    </w:pPr>
    <w:rPr>
      <w:color w:val="000000" w:themeColor="text1" w:themeShade="BF"/>
    </w:rPr>
    <w:tblPr>
      <w:tblStyleRowBandSize w:val="1"/>
      <w:tblStyleColBandSize w:val="1"/>
      <w:tblInd w:w="0" w:type="nil"/>
    </w:tblPr>
    <w:tcPr>
      <w:shd w:val="clear" w:color="auto" w:fill="FFFFFF" w:themeFill="background1"/>
    </w:tcPr>
    <w:tblStylePr w:type="firstRow">
      <w:pPr>
        <w:spacing w:beforeLines="0" w:before="0" w:beforeAutospacing="0" w:afterLines="0" w:after="0" w:afterAutospacing="0" w:line="240" w:lineRule="auto"/>
      </w:pPr>
      <w:rPr>
        <w:rFonts w:ascii="Arial" w:hAnsi="Arial" w:cs="Arial" w:hint="default"/>
        <w:b/>
        <w:bCs/>
      </w:rPr>
      <w:tblPr/>
      <w:tcPr>
        <w:tcBorders>
          <w:bottom w:val="single" w:sz="12" w:space="0" w:color="00B0B9"/>
        </w:tcBorders>
        <w:shd w:val="clear" w:color="auto" w:fill="FFFFFF" w:themeFill="background1"/>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Pr/>
      <w:tcPr>
        <w:shd w:val="clear" w:color="auto" w:fill="FFFFFF" w:themeFill="background1"/>
      </w:tcPr>
    </w:tblStylePr>
    <w:tblStylePr w:type="lastCol">
      <w:rPr>
        <w:b/>
        <w:bCs/>
      </w:rPr>
      <w:tblPr/>
      <w:tcPr>
        <w:shd w:val="clear" w:color="auto" w:fill="FFFFFF" w:themeFill="background1"/>
      </w:tc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styleId="LightList-Accent1">
    <w:name w:val="Light List Accent 1"/>
    <w:basedOn w:val="TableNormal"/>
    <w:uiPriority w:val="61"/>
    <w:unhideWhenUsed/>
    <w:rsid w:val="002A2C87"/>
    <w:pPr>
      <w:spacing w:after="0" w:line="240" w:lineRule="auto"/>
    </w:p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3">
    <w:name w:val="Medium Grid 3 Accent 3"/>
    <w:basedOn w:val="TableNormal"/>
    <w:uiPriority w:val="69"/>
    <w:unhideWhenUsed/>
    <w:rsid w:val="002A2C87"/>
    <w:pPr>
      <w:spacing w:after="0" w:line="240" w:lineRule="auto"/>
    </w:p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ghtList-Accent5">
    <w:name w:val="Light List Accent 5"/>
    <w:basedOn w:val="TableNormal"/>
    <w:uiPriority w:val="61"/>
    <w:unhideWhenUsed/>
    <w:rsid w:val="002A2C87"/>
    <w:pPr>
      <w:spacing w:after="0" w:line="240" w:lineRule="auto"/>
    </w:p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DSSTableStyleB">
    <w:name w:val="DSS Table Style B"/>
    <w:basedOn w:val="TableNormal"/>
    <w:uiPriority w:val="99"/>
    <w:rsid w:val="002A2C87"/>
    <w:pPr>
      <w:spacing w:after="0" w:line="240" w:lineRule="auto"/>
    </w:pPr>
    <w:rPr>
      <w:rFonts w:ascii="Arial" w:hAnsi="Arial"/>
      <w:sz w:val="24"/>
    </w:rPr>
    <w:tblPr>
      <w:tblStyleRowBandSize w:val="1"/>
      <w:tblInd w:w="0" w:type="nil"/>
    </w:tblPr>
    <w:tblStylePr w:type="firstRow">
      <w:pPr>
        <w:jc w:val="left"/>
      </w:pPr>
      <w:rPr>
        <w:rFonts w:ascii="Arial" w:hAnsi="Arial" w:cs="Arial" w:hint="default"/>
        <w:b/>
        <w:sz w:val="22"/>
        <w:szCs w:val="22"/>
      </w:rPr>
      <w:tblPr/>
      <w:tcPr>
        <w:shd w:val="clear" w:color="auto" w:fill="B1E4E3"/>
      </w:tcPr>
    </w:tblStylePr>
    <w:tblStylePr w:type="lastRow">
      <w:rPr>
        <w:rFonts w:ascii="Arial" w:hAnsi="Arial" w:cs="Arial" w:hint="default"/>
        <w:b/>
        <w:sz w:val="22"/>
        <w:szCs w:val="22"/>
      </w:rPr>
      <w:tblPr/>
      <w:tcPr>
        <w:tcBorders>
          <w:top w:val="single" w:sz="4" w:space="0" w:color="auto"/>
          <w:bottom w:val="single" w:sz="4" w:space="0" w:color="auto"/>
        </w:tcBorders>
        <w:shd w:val="clear" w:color="auto" w:fill="F2F2F2" w:themeFill="background1" w:themeFillShade="F2"/>
      </w:tcPr>
    </w:tblStylePr>
  </w:style>
  <w:style w:type="table" w:customStyle="1" w:styleId="Numericaltable1">
    <w:name w:val="Numerical table1"/>
    <w:basedOn w:val="TableNormal"/>
    <w:uiPriority w:val="59"/>
    <w:rsid w:val="002A2C87"/>
    <w:pPr>
      <w:spacing w:after="0" w:line="240" w:lineRule="auto"/>
    </w:pPr>
    <w:tblPr>
      <w:tblStyleRowBandSize w:val="1"/>
      <w:tblStyleColBandSize w:val="1"/>
      <w:tblInd w:w="0" w:type="nil"/>
    </w:tblPr>
    <w:tblStylePr w:type="firstRow">
      <w:rPr>
        <w:rFonts w:ascii="Arial" w:hAnsi="Arial" w:cs="Arial" w:hint="default"/>
        <w:b/>
        <w:sz w:val="22"/>
        <w:szCs w:val="22"/>
      </w:rPr>
      <w:tblPr/>
      <w:tcPr>
        <w:tcBorders>
          <w:top w:val="nil"/>
          <w:left w:val="nil"/>
          <w:bottom w:val="nil"/>
          <w:right w:val="nil"/>
          <w:insideH w:val="nil"/>
          <w:insideV w:val="nil"/>
          <w:tl2br w:val="nil"/>
          <w:tr2bl w:val="nil"/>
        </w:tcBorders>
        <w:shd w:val="clear" w:color="auto" w:fill="00B0B9"/>
      </w:tcPr>
    </w:tblStylePr>
    <w:tblStylePr w:type="band1Vert">
      <w:tblPr/>
      <w:tcPr>
        <w:tcBorders>
          <w:insideH w:val="single" w:sz="12" w:space="0" w:color="FFFFFF" w:themeColor="background1"/>
        </w:tcBorders>
        <w:shd w:val="clear" w:color="auto" w:fill="F2F2F2" w:themeFill="background1" w:themeFillShade="F2"/>
      </w:tcPr>
    </w:tblStylePr>
    <w:tblStylePr w:type="band2Vert">
      <w:tblPr/>
      <w:tcPr>
        <w:shd w:val="clear" w:color="auto" w:fill="D9D9D9" w:themeFill="background1" w:themeFillShade="D9"/>
      </w:tcPr>
    </w:tblStylePr>
    <w:tblStylePr w:type="band2Horz">
      <w:tblPr/>
      <w:tcPr>
        <w:shd w:val="clear" w:color="auto" w:fill="D9D9D9" w:themeFill="background1" w:themeFillShade="D9"/>
      </w:tcPr>
    </w:tblStylePr>
  </w:style>
  <w:style w:type="table" w:customStyle="1" w:styleId="TableGrid3">
    <w:name w:val="Table Grid3"/>
    <w:basedOn w:val="TableNormal"/>
    <w:rsid w:val="002A2C87"/>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2A2C87"/>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umericaltable2">
    <w:name w:val="Numerical table2"/>
    <w:basedOn w:val="TableNormal"/>
    <w:rsid w:val="002A2C87"/>
    <w:pPr>
      <w:spacing w:after="0" w:line="240" w:lineRule="auto"/>
    </w:pPr>
    <w:tblPr>
      <w:tblStyleRowBandSize w:val="1"/>
      <w:tblStyleColBandSize w:val="1"/>
      <w:tblInd w:w="0" w:type="nil"/>
    </w:tblPr>
    <w:tblStylePr w:type="firstRow">
      <w:rPr>
        <w:rFonts w:ascii="Arial" w:hAnsi="Arial" w:cs="Arial" w:hint="default"/>
        <w:b/>
        <w:sz w:val="22"/>
        <w:szCs w:val="22"/>
      </w:rPr>
      <w:tblPr/>
      <w:tcPr>
        <w:tcBorders>
          <w:top w:val="nil"/>
          <w:left w:val="nil"/>
          <w:bottom w:val="nil"/>
          <w:right w:val="nil"/>
          <w:insideH w:val="nil"/>
          <w:insideV w:val="nil"/>
          <w:tl2br w:val="nil"/>
          <w:tr2bl w:val="nil"/>
        </w:tcBorders>
        <w:shd w:val="clear" w:color="auto" w:fill="00B0B9"/>
      </w:tcPr>
    </w:tblStylePr>
    <w:tblStylePr w:type="band1Vert">
      <w:tblPr/>
      <w:tcPr>
        <w:tcBorders>
          <w:insideH w:val="single" w:sz="12" w:space="0" w:color="FFFFFF" w:themeColor="background1"/>
        </w:tcBorders>
        <w:shd w:val="clear" w:color="auto" w:fill="F2F2F2" w:themeFill="background1" w:themeFillShade="F2"/>
      </w:tcPr>
    </w:tblStylePr>
    <w:tblStylePr w:type="band2Vert">
      <w:tblPr/>
      <w:tcPr>
        <w:shd w:val="clear" w:color="auto" w:fill="D9D9D9" w:themeFill="background1" w:themeFillShade="D9"/>
      </w:tcPr>
    </w:tblStylePr>
    <w:tblStylePr w:type="band2Horz">
      <w:tblPr/>
      <w:tcPr>
        <w:shd w:val="clear" w:color="auto" w:fill="D9D9D9" w:themeFill="background1" w:themeFillShade="D9"/>
      </w:tcPr>
    </w:tblStylePr>
  </w:style>
  <w:style w:type="table" w:customStyle="1" w:styleId="Table-VerticalOrange">
    <w:name w:val="Table - Vertical (Orange)"/>
    <w:basedOn w:val="TableNormal"/>
    <w:uiPriority w:val="99"/>
    <w:rsid w:val="002A2C87"/>
    <w:pPr>
      <w:spacing w:after="0" w:line="240" w:lineRule="auto"/>
    </w:pPr>
    <w:rPr>
      <w:color w:val="000000" w:themeColor="text1"/>
      <w:sz w:val="18"/>
    </w:rPr>
    <w:tblPr>
      <w:tblStyleColBandSize w:val="1"/>
      <w:tblInd w:w="0" w:type="nil"/>
      <w:tblBorders>
        <w:insideH w:val="single" w:sz="8" w:space="0" w:color="FFFFFF" w:themeColor="background1"/>
      </w:tblBorders>
    </w:tblPr>
    <w:tcPr>
      <w:shd w:val="clear" w:color="auto" w:fill="FFFFFF" w:themeFill="background1"/>
    </w:tcPr>
    <w:tblStylePr w:type="firstRow">
      <w:pPr>
        <w:jc w:val="left"/>
      </w:pPr>
      <w:rPr>
        <w:rFonts w:asciiTheme="minorHAnsi" w:hAnsiTheme="minorHAnsi" w:cs="Arial" w:hint="default"/>
        <w:b/>
        <w:sz w:val="18"/>
        <w:szCs w:val="18"/>
      </w:rPr>
      <w:tblPr/>
      <w:tcPr>
        <w:shd w:val="clear" w:color="auto" w:fill="FFA300"/>
        <w:vAlign w:val="bottom"/>
      </w:tcPr>
    </w:tblStylePr>
    <w:tblStylePr w:type="lastRow">
      <w:rPr>
        <w:u w:val="single"/>
      </w:rPr>
    </w:tblStylePr>
    <w:tblStylePr w:type="band1Vert">
      <w:tblPr/>
      <w:tcPr>
        <w:shd w:val="clear" w:color="auto" w:fill="EAEAEA"/>
      </w:tcPr>
    </w:tblStylePr>
    <w:tblStylePr w:type="band2Vert">
      <w:tblPr/>
      <w:tcPr>
        <w:shd w:val="clear" w:color="auto" w:fill="F8F8F8"/>
      </w:tcPr>
    </w:tblStylePr>
  </w:style>
  <w:style w:type="table" w:customStyle="1" w:styleId="Verticaltable1">
    <w:name w:val="Vertical table1"/>
    <w:basedOn w:val="TableNormal"/>
    <w:uiPriority w:val="99"/>
    <w:rsid w:val="002A2C87"/>
    <w:pPr>
      <w:spacing w:after="0" w:line="240" w:lineRule="auto"/>
    </w:pPr>
    <w:rPr>
      <w:rFonts w:ascii="Arial" w:hAnsi="Arial"/>
    </w:rPr>
    <w:tblPr>
      <w:tblStyleRowBandSize w:val="1"/>
      <w:tblStyleColBandSize w:val="1"/>
      <w:tblInd w:w="0" w:type="nil"/>
      <w:tblBorders>
        <w:insideH w:val="single" w:sz="4" w:space="0" w:color="FFFFFF" w:themeColor="background1"/>
      </w:tblBorders>
    </w:tblPr>
    <w:tblStylePr w:type="firstRow">
      <w:pPr>
        <w:jc w:val="left"/>
      </w:pPr>
      <w:rPr>
        <w:rFonts w:ascii="Arial" w:hAnsi="Arial" w:cs="Arial" w:hint="default"/>
        <w:b/>
        <w:sz w:val="22"/>
        <w:szCs w:val="22"/>
      </w:rPr>
      <w:tblPr/>
      <w:tcPr>
        <w:shd w:val="clear" w:color="auto" w:fill="00B0B9"/>
        <w:vAlign w:val="bottom"/>
      </w:tcPr>
    </w:tblStylePr>
    <w:tblStylePr w:type="lastRow">
      <w:rPr>
        <w:rFonts w:ascii="Arial" w:hAnsi="Arial" w:cs="Arial" w:hint="default"/>
        <w:b/>
      </w:rPr>
      <w:tblPr/>
      <w:tcPr>
        <w:shd w:val="clear" w:color="auto" w:fill="B3B3B0"/>
      </w:tcPr>
    </w:tblStylePr>
    <w:tblStylePr w:type="band1Vert">
      <w:rPr>
        <w:rFonts w:ascii="Arial" w:hAnsi="Arial" w:cs="Arial" w:hint="default"/>
      </w:rPr>
      <w:tblPr/>
      <w:tcPr>
        <w:shd w:val="clear" w:color="auto" w:fill="DDDDDA"/>
      </w:tcPr>
    </w:tblStylePr>
    <w:tblStylePr w:type="band2Vert">
      <w:rPr>
        <w:rFonts w:ascii="Arial" w:hAnsi="Arial" w:cs="Arial" w:hint="default"/>
      </w:rPr>
      <w:tblPr/>
      <w:tcPr>
        <w:shd w:val="clear" w:color="auto" w:fill="EEEEEC"/>
      </w:tcPr>
    </w:tblStylePr>
    <w:tblStylePr w:type="band1Horz">
      <w:rPr>
        <w:rFonts w:ascii="Arial" w:hAnsi="Arial" w:cs="Arial" w:hint="default"/>
      </w:rPr>
    </w:tblStylePr>
  </w:style>
  <w:style w:type="table" w:customStyle="1" w:styleId="DSSDatatablestyle1">
    <w:name w:val="DSS Data table style1"/>
    <w:basedOn w:val="TableNormal"/>
    <w:uiPriority w:val="99"/>
    <w:rsid w:val="002A2C87"/>
    <w:pPr>
      <w:spacing w:after="0" w:line="240" w:lineRule="auto"/>
    </w:pPr>
    <w:rPr>
      <w:rFonts w:ascii="Arial" w:hAnsi="Arial"/>
      <w:sz w:val="24"/>
    </w:rPr>
    <w:tblPr>
      <w:tblStyleRowBandSize w:val="1"/>
      <w:tblInd w:w="0" w:type="nil"/>
    </w:tblPr>
    <w:tblStylePr w:type="firstRow">
      <w:rPr>
        <w:rFonts w:ascii="Arial" w:hAnsi="Arial" w:cs="Arial" w:hint="default"/>
        <w:b/>
        <w:color w:val="FFFFFF"/>
        <w:sz w:val="24"/>
        <w:szCs w:val="24"/>
      </w:rPr>
      <w:tblPr/>
      <w:tcPr>
        <w:shd w:val="clear" w:color="auto" w:fill="005A70"/>
      </w:tcPr>
    </w:tblStylePr>
    <w:tblStylePr w:type="lastRow">
      <w:rPr>
        <w:rFonts w:ascii="Arial" w:hAnsi="Arial" w:cs="Arial" w:hint="default"/>
        <w:b/>
        <w:sz w:val="22"/>
        <w:szCs w:val="22"/>
      </w:rPr>
      <w:tblPr/>
      <w:tcPr>
        <w:tcBorders>
          <w:bottom w:val="single" w:sz="8" w:space="0" w:color="auto"/>
        </w:tcBorders>
      </w:tcPr>
    </w:tblStylePr>
    <w:tblStylePr w:type="band2Horz">
      <w:rPr>
        <w:rFonts w:ascii="Arial" w:hAnsi="Arial" w:cs="Arial" w:hint="default"/>
        <w:sz w:val="22"/>
        <w:szCs w:val="22"/>
      </w:rPr>
      <w:tblPr/>
      <w:tcPr>
        <w:shd w:val="clear" w:color="auto" w:fill="F5F5F5"/>
      </w:tcPr>
    </w:tblStylePr>
  </w:style>
  <w:style w:type="table" w:customStyle="1" w:styleId="TableGrid1">
    <w:name w:val="Table Grid1"/>
    <w:basedOn w:val="TableNormal"/>
    <w:uiPriority w:val="39"/>
    <w:rsid w:val="002A2C87"/>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2A2C87"/>
    <w:pPr>
      <w:spacing w:after="0" w:line="240" w:lineRule="auto"/>
    </w:pPr>
    <w:rPr>
      <w:rFonts w:ascii="Arial" w:hAnsi="Arial"/>
    </w:rPr>
    <w:tblPr>
      <w:tblInd w:w="0" w:type="nil"/>
      <w:tblBorders>
        <w:insideH w:val="single" w:sz="8" w:space="0" w:color="auto"/>
      </w:tblBorders>
    </w:tblPr>
    <w:tcPr>
      <w:vAlign w:val="center"/>
    </w:tcPr>
    <w:tblStylePr w:type="firstRow">
      <w:pPr>
        <w:wordWrap/>
        <w:spacing w:afterLines="0" w:after="100" w:afterAutospacing="1"/>
        <w:jc w:val="left"/>
      </w:pPr>
      <w:rPr>
        <w:rFonts w:ascii="Arial" w:hAnsi="Arial" w:cs="Arial" w:hint="default"/>
        <w:b/>
        <w:sz w:val="22"/>
        <w:szCs w:val="22"/>
      </w:rPr>
      <w:tblPr/>
      <w:tcPr>
        <w:tcBorders>
          <w:top w:val="nil"/>
          <w:left w:val="nil"/>
          <w:bottom w:val="single" w:sz="18" w:space="0" w:color="00B0B9"/>
          <w:right w:val="nil"/>
          <w:insideH w:val="nil"/>
          <w:insideV w:val="nil"/>
          <w:tl2br w:val="nil"/>
          <w:tr2bl w:val="nil"/>
        </w:tcBorders>
      </w:tcPr>
    </w:tblStylePr>
  </w:style>
  <w:style w:type="table" w:customStyle="1" w:styleId="TableGrid13">
    <w:name w:val="Table Grid13"/>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exttable1">
    <w:name w:val="Text table1"/>
    <w:basedOn w:val="TableNormal"/>
    <w:uiPriority w:val="60"/>
    <w:rsid w:val="002A2C87"/>
    <w:pPr>
      <w:spacing w:after="0" w:line="240" w:lineRule="auto"/>
    </w:pPr>
    <w:rPr>
      <w:color w:val="000000" w:themeColor="text1" w:themeShade="BF"/>
    </w:rPr>
    <w:tblPr>
      <w:tblStyleRowBandSize w:val="1"/>
      <w:tblStyleColBandSize w:val="1"/>
      <w:tblInd w:w="0" w:type="nil"/>
      <w:tblBorders>
        <w:insideH w:val="single" w:sz="4" w:space="0" w:color="7FD7DC"/>
      </w:tblBorders>
    </w:tblPr>
    <w:tcPr>
      <w:shd w:val="clear" w:color="auto" w:fill="FFFFFF" w:themeFill="background1"/>
    </w:tcPr>
    <w:tblStylePr w:type="firstRow">
      <w:pPr>
        <w:spacing w:beforeLines="0" w:before="100" w:beforeAutospacing="1" w:afterLines="0" w:after="100" w:afterAutospacing="1" w:line="240" w:lineRule="auto"/>
      </w:pPr>
      <w:rPr>
        <w:rFonts w:ascii="Arial" w:hAnsi="Arial" w:cs="Arial" w:hint="default"/>
        <w:b/>
        <w:bCs/>
      </w:rPr>
      <w:tblPr/>
      <w:tcPr>
        <w:tcBorders>
          <w:bottom w:val="single" w:sz="18" w:space="0" w:color="00B0B9"/>
        </w:tcBorders>
        <w:shd w:val="clear" w:color="auto" w:fill="FFFFFF" w:themeFill="background1"/>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Pr/>
      <w:tcPr>
        <w:shd w:val="clear" w:color="auto" w:fill="FFFFFF" w:themeFill="background1"/>
      </w:tcPr>
    </w:tblStylePr>
    <w:tblStylePr w:type="lastCol">
      <w:rPr>
        <w:b/>
        <w:bCs/>
      </w:rPr>
      <w:tblPr/>
      <w:tcPr>
        <w:shd w:val="clear" w:color="auto" w:fill="FFFFFF" w:themeFill="background1"/>
      </w:tc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213">
    <w:name w:val="Table Grid213"/>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exttable2">
    <w:name w:val="Text table2"/>
    <w:basedOn w:val="TableNormal"/>
    <w:uiPriority w:val="60"/>
    <w:rsid w:val="002A2C87"/>
    <w:pPr>
      <w:spacing w:after="0" w:line="240" w:lineRule="auto"/>
    </w:pPr>
    <w:rPr>
      <w:color w:val="000000" w:themeColor="text1" w:themeShade="BF"/>
    </w:rPr>
    <w:tblPr>
      <w:tblStyleRowBandSize w:val="1"/>
      <w:tblStyleColBandSize w:val="1"/>
      <w:tblInd w:w="0" w:type="nil"/>
    </w:tblPr>
    <w:tcPr>
      <w:shd w:val="clear" w:color="auto" w:fill="FFFFFF" w:themeFill="background1"/>
    </w:tcPr>
    <w:tblStylePr w:type="firstRow">
      <w:pPr>
        <w:spacing w:beforeLines="0" w:before="100" w:beforeAutospacing="1" w:afterLines="0" w:after="100" w:afterAutospacing="1" w:line="240" w:lineRule="auto"/>
      </w:pPr>
      <w:rPr>
        <w:rFonts w:ascii="Arial" w:hAnsi="Arial" w:cs="Arial" w:hint="default"/>
        <w:b/>
        <w:bCs/>
      </w:rPr>
      <w:tblPr/>
      <w:tcPr>
        <w:tcBorders>
          <w:bottom w:val="single" w:sz="12" w:space="0" w:color="00B0B9"/>
        </w:tcBorders>
        <w:shd w:val="clear" w:color="auto" w:fill="FFFFFF" w:themeFill="background1"/>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Pr/>
      <w:tcPr>
        <w:shd w:val="clear" w:color="auto" w:fill="FFFFFF" w:themeFill="background1"/>
      </w:tcPr>
    </w:tblStylePr>
    <w:tblStylePr w:type="lastCol">
      <w:rPr>
        <w:b/>
        <w:bCs/>
      </w:rPr>
      <w:tblPr/>
      <w:tcPr>
        <w:shd w:val="clear" w:color="auto" w:fill="FFFFFF" w:themeFill="background1"/>
      </w:tc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11">
    <w:name w:val="Table Grid11"/>
    <w:basedOn w:val="TableNormal"/>
    <w:rsid w:val="002A2C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2A2C87"/>
    <w:pPr>
      <w:spacing w:after="0" w:line="260" w:lineRule="atLeas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rsid w:val="002A2C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SDatatablestyle2">
    <w:name w:val="DSS Data table style2"/>
    <w:basedOn w:val="TableNormal"/>
    <w:uiPriority w:val="99"/>
    <w:rsid w:val="002A2C87"/>
    <w:pPr>
      <w:spacing w:after="0" w:line="240" w:lineRule="auto"/>
    </w:pPr>
    <w:rPr>
      <w:rFonts w:ascii="Arial" w:hAnsi="Arial"/>
      <w:sz w:val="24"/>
    </w:rPr>
    <w:tblPr>
      <w:tblStyleRowBandSize w:val="1"/>
      <w:tblInd w:w="0" w:type="nil"/>
    </w:tblPr>
    <w:tblStylePr w:type="firstRow">
      <w:rPr>
        <w:rFonts w:ascii="Arial" w:hAnsi="Arial" w:cs="Arial" w:hint="default"/>
        <w:b/>
        <w:color w:val="FFFFFF" w:themeColor="background1"/>
        <w:sz w:val="24"/>
        <w:szCs w:val="24"/>
      </w:rPr>
      <w:tblPr/>
      <w:tcPr>
        <w:shd w:val="clear" w:color="auto" w:fill="005A70"/>
      </w:tcPr>
    </w:tblStylePr>
    <w:tblStylePr w:type="lastRow">
      <w:rPr>
        <w:rFonts w:ascii="Arial" w:hAnsi="Arial" w:cs="Arial" w:hint="default"/>
        <w:b/>
        <w:sz w:val="22"/>
        <w:szCs w:val="22"/>
      </w:rPr>
      <w:tblPr/>
      <w:tcPr>
        <w:tcBorders>
          <w:bottom w:val="single" w:sz="8" w:space="0" w:color="auto"/>
        </w:tcBorders>
      </w:tcPr>
    </w:tblStylePr>
    <w:tblStylePr w:type="band2Horz">
      <w:rPr>
        <w:rFonts w:ascii="Arial" w:hAnsi="Arial" w:cs="Arial" w:hint="default"/>
        <w:sz w:val="22"/>
        <w:szCs w:val="22"/>
      </w:rPr>
      <w:tblPr/>
      <w:tcPr>
        <w:shd w:val="clear" w:color="auto" w:fill="F5F5F5"/>
      </w:tcPr>
    </w:tblStylePr>
  </w:style>
  <w:style w:type="table" w:customStyle="1" w:styleId="DSSDatatablestyle3">
    <w:name w:val="DSS Data table style3"/>
    <w:basedOn w:val="TableNormal"/>
    <w:uiPriority w:val="99"/>
    <w:rsid w:val="002A2C87"/>
    <w:pPr>
      <w:spacing w:after="0" w:line="240" w:lineRule="auto"/>
    </w:pPr>
    <w:rPr>
      <w:rFonts w:ascii="Arial" w:hAnsi="Arial"/>
      <w:sz w:val="24"/>
    </w:rPr>
    <w:tblPr>
      <w:tblStyleRowBandSize w:val="1"/>
      <w:tblInd w:w="0" w:type="nil"/>
    </w:tblPr>
    <w:tblStylePr w:type="firstRow">
      <w:rPr>
        <w:rFonts w:ascii="Arial" w:hAnsi="Arial" w:cs="Arial" w:hint="default"/>
        <w:b/>
        <w:color w:val="FFFFFF" w:themeColor="background1"/>
        <w:sz w:val="24"/>
        <w:szCs w:val="24"/>
      </w:rPr>
      <w:tblPr/>
      <w:tcPr>
        <w:shd w:val="clear" w:color="auto" w:fill="005A70"/>
      </w:tcPr>
    </w:tblStylePr>
    <w:tblStylePr w:type="lastRow">
      <w:rPr>
        <w:rFonts w:ascii="Arial" w:hAnsi="Arial" w:cs="Arial" w:hint="default"/>
        <w:b/>
        <w:sz w:val="22"/>
        <w:szCs w:val="22"/>
      </w:rPr>
      <w:tblPr/>
      <w:tcPr>
        <w:tcBorders>
          <w:bottom w:val="single" w:sz="8" w:space="0" w:color="auto"/>
        </w:tcBorders>
      </w:tcPr>
    </w:tblStylePr>
    <w:tblStylePr w:type="band2Horz">
      <w:rPr>
        <w:rFonts w:ascii="Arial" w:hAnsi="Arial" w:cs="Arial" w:hint="default"/>
        <w:sz w:val="22"/>
        <w:szCs w:val="22"/>
      </w:rPr>
      <w:tblPr/>
      <w:tcPr>
        <w:shd w:val="clear" w:color="auto" w:fill="F5F5F5"/>
      </w:tcPr>
    </w:tblStylePr>
  </w:style>
  <w:style w:type="table" w:customStyle="1" w:styleId="DSSDatatablestyle4">
    <w:name w:val="DSS Data table style4"/>
    <w:basedOn w:val="TableNormal"/>
    <w:uiPriority w:val="99"/>
    <w:rsid w:val="002A2C87"/>
    <w:pPr>
      <w:spacing w:after="0" w:line="240" w:lineRule="auto"/>
    </w:pPr>
    <w:rPr>
      <w:rFonts w:ascii="Arial" w:hAnsi="Arial"/>
      <w:sz w:val="24"/>
    </w:rPr>
    <w:tblPr>
      <w:tblStyleRowBandSize w:val="1"/>
      <w:tblInd w:w="0" w:type="nil"/>
    </w:tblPr>
    <w:tblStylePr w:type="firstRow">
      <w:rPr>
        <w:rFonts w:ascii="Arial" w:hAnsi="Arial" w:cs="Arial" w:hint="default"/>
        <w:b/>
        <w:color w:val="FFFFFF" w:themeColor="background1"/>
        <w:sz w:val="24"/>
        <w:szCs w:val="24"/>
      </w:rPr>
      <w:tblPr/>
      <w:tcPr>
        <w:shd w:val="clear" w:color="auto" w:fill="005A70"/>
      </w:tcPr>
    </w:tblStylePr>
    <w:tblStylePr w:type="lastRow">
      <w:rPr>
        <w:rFonts w:ascii="Arial" w:hAnsi="Arial" w:cs="Arial" w:hint="default"/>
        <w:b/>
        <w:sz w:val="22"/>
        <w:szCs w:val="22"/>
      </w:rPr>
      <w:tblPr/>
      <w:tcPr>
        <w:tcBorders>
          <w:bottom w:val="single" w:sz="8" w:space="0" w:color="auto"/>
        </w:tcBorders>
      </w:tcPr>
    </w:tblStylePr>
    <w:tblStylePr w:type="band2Horz">
      <w:rPr>
        <w:rFonts w:ascii="Arial" w:hAnsi="Arial" w:cs="Arial" w:hint="default"/>
        <w:sz w:val="22"/>
        <w:szCs w:val="22"/>
      </w:rPr>
      <w:tblPr/>
      <w:tcPr>
        <w:shd w:val="clear" w:color="auto" w:fill="F5F5F5"/>
      </w:tcPr>
    </w:tblStylePr>
  </w:style>
  <w:style w:type="table" w:customStyle="1" w:styleId="TableGrid9">
    <w:name w:val="Table Grid9"/>
    <w:basedOn w:val="TableNormal"/>
    <w:uiPriority w:val="59"/>
    <w:rsid w:val="002A2C87"/>
    <w:pPr>
      <w:spacing w:after="0" w:line="260" w:lineRule="atLeas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2A2C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2">
    <w:name w:val="Current List12"/>
    <w:rsid w:val="002A2C87"/>
  </w:style>
  <w:style w:type="numbering" w:customStyle="1" w:styleId="CurrentList22">
    <w:name w:val="Current List22"/>
    <w:rsid w:val="002A2C87"/>
    <w:pPr>
      <w:numPr>
        <w:numId w:val="14"/>
      </w:numPr>
    </w:pPr>
  </w:style>
  <w:style w:type="numbering" w:customStyle="1" w:styleId="CurrentList2">
    <w:name w:val="Current List2"/>
    <w:rsid w:val="002A2C87"/>
    <w:pPr>
      <w:numPr>
        <w:numId w:val="21"/>
      </w:numPr>
    </w:pPr>
  </w:style>
  <w:style w:type="numbering" w:customStyle="1" w:styleId="CurrentList1">
    <w:name w:val="Current List1"/>
    <w:rsid w:val="002A2C87"/>
    <w:pPr>
      <w:numPr>
        <w:numId w:val="32"/>
      </w:numPr>
    </w:pPr>
  </w:style>
  <w:style w:type="paragraph" w:customStyle="1" w:styleId="Style4">
    <w:name w:val="Style4"/>
    <w:basedOn w:val="Heading7"/>
    <w:autoRedefine/>
    <w:uiPriority w:val="99"/>
    <w:qFormat/>
    <w:rsid w:val="002A2C87"/>
    <w:pPr>
      <w:widowControl w:val="0"/>
      <w:spacing w:before="120" w:after="120"/>
      <w:ind w:left="2721" w:firstLine="907"/>
      <w:outlineLvl w:val="1"/>
    </w:pPr>
    <w:rPr>
      <w:rFonts w:ascii="Georgia" w:hAnsi="Georgia"/>
      <w:b/>
      <w:color w:val="5F497A" w:themeColor="accent4" w:themeShade="BF"/>
      <w:sz w:val="44"/>
      <w:szCs w:val="44"/>
    </w:rPr>
  </w:style>
  <w:style w:type="numbering" w:customStyle="1" w:styleId="NoList11">
    <w:name w:val="No List11"/>
    <w:next w:val="NoList"/>
    <w:uiPriority w:val="99"/>
    <w:semiHidden/>
    <w:unhideWhenUsed/>
    <w:rsid w:val="002A2C87"/>
  </w:style>
  <w:style w:type="numbering" w:customStyle="1" w:styleId="NoList111">
    <w:name w:val="No List111"/>
    <w:next w:val="NoList"/>
    <w:semiHidden/>
    <w:rsid w:val="002A2C87"/>
  </w:style>
  <w:style w:type="numbering" w:customStyle="1" w:styleId="CurrentList11">
    <w:name w:val="Current List11"/>
    <w:rsid w:val="002A2C87"/>
  </w:style>
  <w:style w:type="numbering" w:customStyle="1" w:styleId="Style21">
    <w:name w:val="Style21"/>
    <w:rsid w:val="002A2C87"/>
  </w:style>
  <w:style w:type="numbering" w:customStyle="1" w:styleId="CurrentList21">
    <w:name w:val="Current List21"/>
    <w:rsid w:val="002A2C87"/>
  </w:style>
  <w:style w:type="numbering" w:customStyle="1" w:styleId="NoList2">
    <w:name w:val="No List2"/>
    <w:next w:val="NoList"/>
    <w:uiPriority w:val="99"/>
    <w:semiHidden/>
    <w:unhideWhenUsed/>
    <w:rsid w:val="002A2C87"/>
  </w:style>
  <w:style w:type="numbering" w:customStyle="1" w:styleId="NoList12">
    <w:name w:val="No List12"/>
    <w:next w:val="NoList"/>
    <w:semiHidden/>
    <w:rsid w:val="002A2C87"/>
  </w:style>
  <w:style w:type="paragraph" w:customStyle="1" w:styleId="H1">
    <w:name w:val="H1"/>
    <w:basedOn w:val="Heading1"/>
    <w:uiPriority w:val="99"/>
    <w:qFormat/>
    <w:rsid w:val="002A2C87"/>
    <w:rPr>
      <w:rFonts w:ascii="Georgia" w:hAnsi="Georgia"/>
      <w:b w:val="0"/>
      <w:sz w:val="72"/>
    </w:rPr>
  </w:style>
  <w:style w:type="table" w:customStyle="1" w:styleId="DSSDatatablestyle5">
    <w:name w:val="DSS Data table style5"/>
    <w:basedOn w:val="TableNormal"/>
    <w:uiPriority w:val="99"/>
    <w:rsid w:val="002A2C87"/>
    <w:pPr>
      <w:spacing w:after="0" w:line="240" w:lineRule="auto"/>
    </w:pPr>
    <w:rPr>
      <w:rFonts w:ascii="Arial" w:hAnsi="Arial"/>
      <w:sz w:val="24"/>
    </w:rPr>
    <w:tblPr>
      <w:tblStyleRowBandSize w:val="1"/>
      <w:tblInd w:w="0" w:type="nil"/>
    </w:tblPr>
    <w:tblStylePr w:type="firstRow">
      <w:rPr>
        <w:rFonts w:ascii="Arial" w:hAnsi="Arial" w:cs="Arial" w:hint="default"/>
        <w:b/>
        <w:color w:val="FFFFFF" w:themeColor="background1"/>
        <w:sz w:val="24"/>
        <w:szCs w:val="24"/>
      </w:rPr>
      <w:tblPr/>
      <w:tcPr>
        <w:shd w:val="clear" w:color="auto" w:fill="005A70"/>
      </w:tcPr>
    </w:tblStylePr>
    <w:tblStylePr w:type="lastRow">
      <w:rPr>
        <w:rFonts w:ascii="Arial" w:hAnsi="Arial" w:cs="Arial" w:hint="default"/>
        <w:b/>
        <w:sz w:val="22"/>
        <w:szCs w:val="22"/>
      </w:rPr>
      <w:tblPr/>
      <w:tcPr>
        <w:tcBorders>
          <w:bottom w:val="single" w:sz="8" w:space="0" w:color="auto"/>
        </w:tcBorders>
      </w:tcPr>
    </w:tblStylePr>
    <w:tblStylePr w:type="band2Horz">
      <w:rPr>
        <w:rFonts w:ascii="Arial" w:hAnsi="Arial" w:cs="Arial" w:hint="default"/>
        <w:sz w:val="22"/>
        <w:szCs w:val="22"/>
      </w:rPr>
      <w:tblPr/>
      <w:tcPr>
        <w:shd w:val="clear" w:color="auto" w:fill="F5F5F5"/>
      </w:tcPr>
    </w:tblStylePr>
  </w:style>
  <w:style w:type="numbering" w:customStyle="1" w:styleId="NoList3">
    <w:name w:val="No List3"/>
    <w:next w:val="NoList"/>
    <w:uiPriority w:val="99"/>
    <w:semiHidden/>
    <w:unhideWhenUsed/>
    <w:rsid w:val="002A2C87"/>
  </w:style>
  <w:style w:type="table" w:customStyle="1" w:styleId="HHorizontaltable2">
    <w:name w:val="H: Horizontal table2"/>
    <w:basedOn w:val="TableNormal"/>
    <w:next w:val="TableGrid"/>
    <w:uiPriority w:val="59"/>
    <w:rsid w:val="002A2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2A2C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SSDatatablestyle6">
    <w:name w:val="DSS Data table style6"/>
    <w:basedOn w:val="TableNormal"/>
    <w:uiPriority w:val="99"/>
    <w:rsid w:val="002A2C87"/>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TableGrid215">
    <w:name w:val="Table Grid215"/>
    <w:basedOn w:val="TableNormal"/>
    <w:next w:val="TableGrid"/>
    <w:rsid w:val="002A2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2A2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
    <w:name w:val="Style221"/>
    <w:rsid w:val="002A2C87"/>
  </w:style>
  <w:style w:type="character" w:customStyle="1" w:styleId="PullouttextChar">
    <w:name w:val="Pullout text Char"/>
    <w:basedOn w:val="Heading2Char"/>
    <w:link w:val="Pullouttext"/>
    <w:uiPriority w:val="3"/>
    <w:locked/>
    <w:rsid w:val="002A2C87"/>
    <w:rPr>
      <w:rFonts w:ascii="Georgia" w:eastAsia="Times New Roman" w:hAnsi="Georgia" w:cs="Arial"/>
      <w:b w:val="0"/>
      <w:bCs w:val="0"/>
      <w:iCs/>
      <w:noProof/>
      <w:color w:val="24596E"/>
      <w:spacing w:val="4"/>
      <w:sz w:val="24"/>
      <w:szCs w:val="28"/>
      <w:lang w:eastAsia="en-AU"/>
    </w:rPr>
  </w:style>
  <w:style w:type="paragraph" w:customStyle="1" w:styleId="Pullouttext">
    <w:name w:val="Pullout text"/>
    <w:next w:val="Normal"/>
    <w:link w:val="PullouttextChar"/>
    <w:uiPriority w:val="3"/>
    <w:qFormat/>
    <w:rsid w:val="002A2C87"/>
    <w:pPr>
      <w:spacing w:before="120" w:after="120" w:line="280" w:lineRule="atLeast"/>
      <w:ind w:left="397"/>
      <w:contextualSpacing/>
    </w:pPr>
    <w:rPr>
      <w:rFonts w:ascii="Georgia" w:eastAsia="Times New Roman" w:hAnsi="Georgia" w:cs="Arial"/>
      <w:iCs/>
      <w:noProof/>
      <w:color w:val="24596E"/>
      <w:spacing w:val="4"/>
      <w:sz w:val="24"/>
      <w:szCs w:val="28"/>
      <w:lang w:eastAsia="en-AU"/>
    </w:rPr>
  </w:style>
  <w:style w:type="table" w:customStyle="1" w:styleId="Texttable3">
    <w:name w:val="Text table3"/>
    <w:basedOn w:val="TableNormal"/>
    <w:next w:val="LightShading"/>
    <w:uiPriority w:val="60"/>
    <w:unhideWhenUsed/>
    <w:rsid w:val="002A2C87"/>
    <w:pPr>
      <w:spacing w:after="0" w:line="240" w:lineRule="auto"/>
    </w:pPr>
    <w:rPr>
      <w:color w:val="000000" w:themeColor="text1" w:themeShade="BF"/>
    </w:rPr>
    <w:tblPr>
      <w:tblStyleRowBandSize w:val="1"/>
      <w:tblStyleColBandSize w:val="1"/>
      <w:tblInd w:w="0" w:type="nil"/>
    </w:tblPr>
    <w:tcPr>
      <w:shd w:val="clear" w:color="auto" w:fill="FFFFFF" w:themeFill="background1"/>
    </w:tcPr>
    <w:tblStylePr w:type="firstRow">
      <w:pPr>
        <w:spacing w:beforeLines="0" w:before="0" w:beforeAutospacing="0" w:afterLines="0" w:after="0" w:afterAutospacing="0" w:line="240" w:lineRule="auto"/>
      </w:pPr>
      <w:rPr>
        <w:rFonts w:ascii="Arial" w:hAnsi="Arial" w:cs="Arial" w:hint="default"/>
        <w:b/>
        <w:bCs/>
      </w:rPr>
      <w:tblPr/>
      <w:tcPr>
        <w:tcBorders>
          <w:bottom w:val="single" w:sz="12" w:space="0" w:color="00B0B9"/>
        </w:tcBorders>
        <w:shd w:val="clear" w:color="auto" w:fill="FFFFFF" w:themeFill="background1"/>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Pr/>
      <w:tcPr>
        <w:shd w:val="clear" w:color="auto" w:fill="FFFFFF" w:themeFill="background1"/>
      </w:tcPr>
    </w:tblStylePr>
    <w:tblStylePr w:type="lastCol">
      <w:rPr>
        <w:b/>
        <w:bCs/>
      </w:rPr>
      <w:tblPr/>
      <w:tcPr>
        <w:shd w:val="clear" w:color="auto" w:fill="FFFFFF" w:themeFill="background1"/>
      </w:tc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LightList-Accent11">
    <w:name w:val="Light List - Accent 11"/>
    <w:basedOn w:val="TableNormal"/>
    <w:next w:val="LightList-Accent1"/>
    <w:uiPriority w:val="61"/>
    <w:unhideWhenUsed/>
    <w:rsid w:val="002A2C87"/>
    <w:pPr>
      <w:spacing w:after="0" w:line="240" w:lineRule="auto"/>
    </w:p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31">
    <w:name w:val="Medium Grid 3 - Accent 31"/>
    <w:basedOn w:val="TableNormal"/>
    <w:next w:val="MediumGrid3-Accent3"/>
    <w:uiPriority w:val="69"/>
    <w:unhideWhenUsed/>
    <w:rsid w:val="002A2C87"/>
    <w:pPr>
      <w:spacing w:after="0" w:line="240" w:lineRule="auto"/>
    </w:p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LightList-Accent51">
    <w:name w:val="Light List - Accent 51"/>
    <w:basedOn w:val="TableNormal"/>
    <w:next w:val="LightList-Accent5"/>
    <w:uiPriority w:val="61"/>
    <w:unhideWhenUsed/>
    <w:rsid w:val="002A2C87"/>
    <w:pPr>
      <w:spacing w:after="0" w:line="240" w:lineRule="auto"/>
    </w:p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DSSTableStyleB1">
    <w:name w:val="DSS Table Style B1"/>
    <w:basedOn w:val="TableNormal"/>
    <w:uiPriority w:val="99"/>
    <w:rsid w:val="002A2C87"/>
    <w:pPr>
      <w:spacing w:after="0" w:line="240" w:lineRule="auto"/>
    </w:pPr>
    <w:rPr>
      <w:rFonts w:ascii="Arial" w:hAnsi="Arial"/>
      <w:sz w:val="24"/>
    </w:rPr>
    <w:tblPr>
      <w:tblStyleRowBandSize w:val="1"/>
      <w:tblInd w:w="0" w:type="nil"/>
    </w:tblPr>
    <w:tblStylePr w:type="firstRow">
      <w:pPr>
        <w:jc w:val="left"/>
      </w:pPr>
      <w:rPr>
        <w:rFonts w:ascii="Arial" w:hAnsi="Arial" w:cs="Arial" w:hint="default"/>
        <w:b/>
        <w:sz w:val="22"/>
        <w:szCs w:val="22"/>
      </w:rPr>
      <w:tblPr/>
      <w:tcPr>
        <w:shd w:val="clear" w:color="auto" w:fill="B1E4E3"/>
      </w:tcPr>
    </w:tblStylePr>
    <w:tblStylePr w:type="lastRow">
      <w:rPr>
        <w:rFonts w:ascii="Arial" w:hAnsi="Arial" w:cs="Arial" w:hint="default"/>
        <w:b/>
        <w:sz w:val="22"/>
        <w:szCs w:val="22"/>
      </w:rPr>
      <w:tblPr/>
      <w:tcPr>
        <w:tcBorders>
          <w:top w:val="single" w:sz="4" w:space="0" w:color="auto"/>
          <w:bottom w:val="single" w:sz="4" w:space="0" w:color="auto"/>
        </w:tcBorders>
        <w:shd w:val="clear" w:color="auto" w:fill="F2F2F2" w:themeFill="background1" w:themeFillShade="F2"/>
      </w:tcPr>
    </w:tblStylePr>
  </w:style>
  <w:style w:type="table" w:customStyle="1" w:styleId="Numericaltable11">
    <w:name w:val="Numerical table11"/>
    <w:basedOn w:val="TableNormal"/>
    <w:uiPriority w:val="59"/>
    <w:rsid w:val="002A2C87"/>
    <w:pPr>
      <w:spacing w:after="0" w:line="240" w:lineRule="auto"/>
    </w:pPr>
    <w:tblPr>
      <w:tblStyleRowBandSize w:val="1"/>
      <w:tblStyleColBandSize w:val="1"/>
      <w:tblInd w:w="0" w:type="nil"/>
    </w:tblPr>
    <w:tblStylePr w:type="firstRow">
      <w:rPr>
        <w:rFonts w:ascii="Arial" w:hAnsi="Arial" w:cs="Arial" w:hint="default"/>
        <w:b/>
        <w:sz w:val="22"/>
        <w:szCs w:val="22"/>
      </w:rPr>
      <w:tblPr/>
      <w:tcPr>
        <w:tcBorders>
          <w:top w:val="nil"/>
          <w:left w:val="nil"/>
          <w:bottom w:val="nil"/>
          <w:right w:val="nil"/>
          <w:insideH w:val="nil"/>
          <w:insideV w:val="nil"/>
          <w:tl2br w:val="nil"/>
          <w:tr2bl w:val="nil"/>
        </w:tcBorders>
        <w:shd w:val="clear" w:color="auto" w:fill="00B0B9"/>
      </w:tcPr>
    </w:tblStylePr>
    <w:tblStylePr w:type="band1Vert">
      <w:tblPr/>
      <w:tcPr>
        <w:tcBorders>
          <w:insideH w:val="single" w:sz="12" w:space="0" w:color="FFFFFF" w:themeColor="background1"/>
        </w:tcBorders>
        <w:shd w:val="clear" w:color="auto" w:fill="F2F2F2" w:themeFill="background1" w:themeFillShade="F2"/>
      </w:tcPr>
    </w:tblStylePr>
    <w:tblStylePr w:type="band2Vert">
      <w:tblPr/>
      <w:tcPr>
        <w:shd w:val="clear" w:color="auto" w:fill="D9D9D9" w:themeFill="background1" w:themeFillShade="D9"/>
      </w:tcPr>
    </w:tblStylePr>
    <w:tblStylePr w:type="band2Horz">
      <w:tblPr/>
      <w:tcPr>
        <w:shd w:val="clear" w:color="auto" w:fill="D9D9D9" w:themeFill="background1" w:themeFillShade="D9"/>
      </w:tcPr>
    </w:tblStylePr>
  </w:style>
  <w:style w:type="table" w:customStyle="1" w:styleId="TableGrid34">
    <w:name w:val="Table Grid34"/>
    <w:basedOn w:val="TableNormal"/>
    <w:rsid w:val="002A2C87"/>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2A2C87"/>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umericaltable21">
    <w:name w:val="Numerical table21"/>
    <w:basedOn w:val="TableNormal"/>
    <w:rsid w:val="002A2C87"/>
    <w:pPr>
      <w:spacing w:after="0" w:line="240" w:lineRule="auto"/>
    </w:pPr>
    <w:tblPr>
      <w:tblStyleRowBandSize w:val="1"/>
      <w:tblStyleColBandSize w:val="1"/>
      <w:tblInd w:w="0" w:type="nil"/>
    </w:tblPr>
    <w:tblStylePr w:type="firstRow">
      <w:rPr>
        <w:rFonts w:ascii="Arial" w:hAnsi="Arial" w:cs="Arial" w:hint="default"/>
        <w:b/>
        <w:sz w:val="22"/>
        <w:szCs w:val="22"/>
      </w:rPr>
      <w:tblPr/>
      <w:tcPr>
        <w:tcBorders>
          <w:top w:val="nil"/>
          <w:left w:val="nil"/>
          <w:bottom w:val="nil"/>
          <w:right w:val="nil"/>
          <w:insideH w:val="nil"/>
          <w:insideV w:val="nil"/>
          <w:tl2br w:val="nil"/>
          <w:tr2bl w:val="nil"/>
        </w:tcBorders>
        <w:shd w:val="clear" w:color="auto" w:fill="00B0B9"/>
      </w:tcPr>
    </w:tblStylePr>
    <w:tblStylePr w:type="band1Vert">
      <w:tblPr/>
      <w:tcPr>
        <w:tcBorders>
          <w:insideH w:val="single" w:sz="12" w:space="0" w:color="FFFFFF" w:themeColor="background1"/>
        </w:tcBorders>
        <w:shd w:val="clear" w:color="auto" w:fill="F2F2F2" w:themeFill="background1" w:themeFillShade="F2"/>
      </w:tcPr>
    </w:tblStylePr>
    <w:tblStylePr w:type="band2Vert">
      <w:tblPr/>
      <w:tcPr>
        <w:shd w:val="clear" w:color="auto" w:fill="D9D9D9" w:themeFill="background1" w:themeFillShade="D9"/>
      </w:tcPr>
    </w:tblStylePr>
    <w:tblStylePr w:type="band2Horz">
      <w:tblPr/>
      <w:tcPr>
        <w:shd w:val="clear" w:color="auto" w:fill="D9D9D9" w:themeFill="background1" w:themeFillShade="D9"/>
      </w:tcPr>
    </w:tblStylePr>
  </w:style>
  <w:style w:type="table" w:customStyle="1" w:styleId="Table-VerticalOrange3">
    <w:name w:val="Table - Vertical (Orange)3"/>
    <w:basedOn w:val="TableNormal"/>
    <w:uiPriority w:val="99"/>
    <w:rsid w:val="002A2C87"/>
    <w:pPr>
      <w:spacing w:after="0" w:line="240" w:lineRule="auto"/>
    </w:pPr>
    <w:rPr>
      <w:color w:val="000000" w:themeColor="text1"/>
      <w:sz w:val="18"/>
    </w:rPr>
    <w:tblPr>
      <w:tblStyleColBandSize w:val="1"/>
      <w:tblInd w:w="0" w:type="nil"/>
      <w:tblBorders>
        <w:insideH w:val="single" w:sz="8" w:space="0" w:color="FFFFFF" w:themeColor="background1"/>
      </w:tblBorders>
    </w:tblPr>
    <w:tcPr>
      <w:shd w:val="clear" w:color="auto" w:fill="FFFFFF" w:themeFill="background1"/>
    </w:tcPr>
    <w:tblStylePr w:type="firstRow">
      <w:pPr>
        <w:jc w:val="left"/>
      </w:pPr>
      <w:rPr>
        <w:rFonts w:asciiTheme="minorHAnsi" w:hAnsiTheme="minorHAnsi" w:cs="Arial" w:hint="default"/>
        <w:b/>
        <w:sz w:val="18"/>
        <w:szCs w:val="18"/>
      </w:rPr>
      <w:tblPr/>
      <w:tcPr>
        <w:shd w:val="clear" w:color="auto" w:fill="FFA300"/>
        <w:vAlign w:val="bottom"/>
      </w:tcPr>
    </w:tblStylePr>
    <w:tblStylePr w:type="lastRow">
      <w:rPr>
        <w:u w:val="single"/>
      </w:rPr>
    </w:tblStylePr>
    <w:tblStylePr w:type="band1Vert">
      <w:tblPr/>
      <w:tcPr>
        <w:shd w:val="clear" w:color="auto" w:fill="EAEAEA"/>
      </w:tcPr>
    </w:tblStylePr>
    <w:tblStylePr w:type="band2Vert">
      <w:tblPr/>
      <w:tcPr>
        <w:shd w:val="clear" w:color="auto" w:fill="F8F8F8"/>
      </w:tcPr>
    </w:tblStylePr>
  </w:style>
  <w:style w:type="table" w:customStyle="1" w:styleId="Verticaltable11">
    <w:name w:val="Vertical table11"/>
    <w:basedOn w:val="TableNormal"/>
    <w:uiPriority w:val="99"/>
    <w:rsid w:val="002A2C87"/>
    <w:pPr>
      <w:spacing w:after="0" w:line="240" w:lineRule="auto"/>
    </w:pPr>
    <w:rPr>
      <w:rFonts w:ascii="Arial" w:hAnsi="Arial"/>
    </w:rPr>
    <w:tblPr>
      <w:tblStyleRowBandSize w:val="1"/>
      <w:tblStyleColBandSize w:val="1"/>
      <w:tblInd w:w="0" w:type="nil"/>
      <w:tblBorders>
        <w:insideH w:val="single" w:sz="4" w:space="0" w:color="FFFFFF" w:themeColor="background1"/>
      </w:tblBorders>
    </w:tblPr>
    <w:tblStylePr w:type="firstRow">
      <w:pPr>
        <w:jc w:val="left"/>
      </w:pPr>
      <w:rPr>
        <w:rFonts w:ascii="Arial" w:hAnsi="Arial" w:cs="Arial" w:hint="default"/>
        <w:b/>
        <w:sz w:val="22"/>
        <w:szCs w:val="22"/>
      </w:rPr>
      <w:tblPr/>
      <w:tcPr>
        <w:shd w:val="clear" w:color="auto" w:fill="00B0B9"/>
        <w:vAlign w:val="bottom"/>
      </w:tcPr>
    </w:tblStylePr>
    <w:tblStylePr w:type="lastRow">
      <w:rPr>
        <w:rFonts w:ascii="Arial" w:hAnsi="Arial" w:cs="Arial" w:hint="default"/>
        <w:b/>
      </w:rPr>
      <w:tblPr/>
      <w:tcPr>
        <w:shd w:val="clear" w:color="auto" w:fill="B3B3B0"/>
      </w:tcPr>
    </w:tblStylePr>
    <w:tblStylePr w:type="band1Vert">
      <w:rPr>
        <w:rFonts w:ascii="Arial" w:hAnsi="Arial" w:cs="Arial" w:hint="default"/>
      </w:rPr>
      <w:tblPr/>
      <w:tcPr>
        <w:shd w:val="clear" w:color="auto" w:fill="DDDDDA"/>
      </w:tcPr>
    </w:tblStylePr>
    <w:tblStylePr w:type="band2Vert">
      <w:rPr>
        <w:rFonts w:ascii="Arial" w:hAnsi="Arial" w:cs="Arial" w:hint="default"/>
      </w:rPr>
      <w:tblPr/>
      <w:tcPr>
        <w:shd w:val="clear" w:color="auto" w:fill="EEEEEC"/>
      </w:tcPr>
    </w:tblStylePr>
    <w:tblStylePr w:type="band1Horz">
      <w:rPr>
        <w:rFonts w:ascii="Arial" w:hAnsi="Arial" w:cs="Arial" w:hint="default"/>
      </w:rPr>
    </w:tblStylePr>
  </w:style>
  <w:style w:type="table" w:customStyle="1" w:styleId="DSSDatatablestyle11">
    <w:name w:val="DSS Data table style11"/>
    <w:basedOn w:val="TableNormal"/>
    <w:uiPriority w:val="99"/>
    <w:rsid w:val="002A2C87"/>
    <w:pPr>
      <w:spacing w:after="0" w:line="240" w:lineRule="auto"/>
    </w:pPr>
    <w:rPr>
      <w:rFonts w:ascii="Arial" w:hAnsi="Arial"/>
      <w:sz w:val="24"/>
    </w:rPr>
    <w:tblPr>
      <w:tblStyleRowBandSize w:val="1"/>
      <w:tblInd w:w="0" w:type="nil"/>
    </w:tblPr>
    <w:tblStylePr w:type="firstRow">
      <w:rPr>
        <w:rFonts w:ascii="Arial" w:hAnsi="Arial" w:cs="Arial" w:hint="default"/>
        <w:b/>
        <w:color w:val="FFFFFF"/>
        <w:sz w:val="24"/>
        <w:szCs w:val="24"/>
      </w:rPr>
      <w:tblPr/>
      <w:tcPr>
        <w:shd w:val="clear" w:color="auto" w:fill="005A70"/>
      </w:tcPr>
    </w:tblStylePr>
    <w:tblStylePr w:type="lastRow">
      <w:rPr>
        <w:rFonts w:ascii="Arial" w:hAnsi="Arial" w:cs="Arial" w:hint="default"/>
        <w:b/>
        <w:sz w:val="22"/>
        <w:szCs w:val="22"/>
      </w:rPr>
      <w:tblPr/>
      <w:tcPr>
        <w:tcBorders>
          <w:bottom w:val="single" w:sz="8" w:space="0" w:color="auto"/>
        </w:tcBorders>
      </w:tcPr>
    </w:tblStylePr>
    <w:tblStylePr w:type="band2Horz">
      <w:rPr>
        <w:rFonts w:ascii="Arial" w:hAnsi="Arial" w:cs="Arial" w:hint="default"/>
        <w:sz w:val="22"/>
        <w:szCs w:val="22"/>
      </w:rPr>
      <w:tblPr/>
      <w:tcPr>
        <w:shd w:val="clear" w:color="auto" w:fill="F5F5F5"/>
      </w:tcPr>
    </w:tblStylePr>
  </w:style>
  <w:style w:type="table" w:customStyle="1" w:styleId="Table-VerticalOrange11">
    <w:name w:val="Table - Vertical (Orange)11"/>
    <w:basedOn w:val="TableNormal"/>
    <w:uiPriority w:val="99"/>
    <w:rsid w:val="002A2C87"/>
    <w:pPr>
      <w:spacing w:after="0" w:line="240" w:lineRule="auto"/>
    </w:pPr>
    <w:rPr>
      <w:color w:val="000000" w:themeColor="text1"/>
      <w:sz w:val="18"/>
    </w:rPr>
    <w:tblPr>
      <w:tblStyleColBandSize w:val="1"/>
      <w:tblInd w:w="0" w:type="nil"/>
      <w:tblBorders>
        <w:insideH w:val="single" w:sz="8" w:space="0" w:color="FFFFFF" w:themeColor="background1"/>
      </w:tblBorders>
    </w:tblPr>
    <w:tcPr>
      <w:shd w:val="clear" w:color="auto" w:fill="FFFFFF" w:themeFill="background1"/>
    </w:tcPr>
    <w:tblStylePr w:type="firstRow">
      <w:pPr>
        <w:jc w:val="left"/>
      </w:pPr>
      <w:rPr>
        <w:rFonts w:asciiTheme="minorHAnsi" w:hAnsiTheme="minorHAnsi" w:cs="Arial" w:hint="default"/>
        <w:b/>
        <w:sz w:val="18"/>
        <w:szCs w:val="18"/>
      </w:rPr>
      <w:tblPr/>
      <w:tcPr>
        <w:shd w:val="clear" w:color="auto" w:fill="FFA300"/>
        <w:vAlign w:val="bottom"/>
      </w:tcPr>
    </w:tblStylePr>
    <w:tblStylePr w:type="lastRow">
      <w:rPr>
        <w:u w:val="single"/>
      </w:rPr>
    </w:tblStylePr>
    <w:tblStylePr w:type="band1Vert">
      <w:tblPr/>
      <w:tcPr>
        <w:shd w:val="clear" w:color="auto" w:fill="EAEAEA"/>
      </w:tcPr>
    </w:tblStylePr>
    <w:tblStylePr w:type="band2Vert">
      <w:tblPr/>
      <w:tcPr>
        <w:shd w:val="clear" w:color="auto" w:fill="F8F8F8"/>
      </w:tcPr>
    </w:tblStylePr>
  </w:style>
  <w:style w:type="table" w:customStyle="1" w:styleId="Table-VerticalOrange21">
    <w:name w:val="Table - Vertical (Orange)21"/>
    <w:basedOn w:val="TableNormal"/>
    <w:uiPriority w:val="99"/>
    <w:rsid w:val="002A2C87"/>
    <w:pPr>
      <w:spacing w:after="0" w:line="240" w:lineRule="auto"/>
    </w:pPr>
    <w:rPr>
      <w:color w:val="000000" w:themeColor="text1"/>
      <w:sz w:val="18"/>
    </w:rPr>
    <w:tblPr>
      <w:tblStyleColBandSize w:val="1"/>
      <w:tblInd w:w="0" w:type="nil"/>
      <w:tblBorders>
        <w:insideH w:val="single" w:sz="8" w:space="0" w:color="FFFFFF" w:themeColor="background1"/>
      </w:tblBorders>
    </w:tblPr>
    <w:tcPr>
      <w:shd w:val="clear" w:color="auto" w:fill="FFFFFF" w:themeFill="background1"/>
    </w:tcPr>
    <w:tblStylePr w:type="firstRow">
      <w:pPr>
        <w:jc w:val="left"/>
      </w:pPr>
      <w:rPr>
        <w:rFonts w:asciiTheme="minorHAnsi" w:hAnsiTheme="minorHAnsi" w:cs="Arial" w:hint="default"/>
        <w:b/>
        <w:sz w:val="18"/>
        <w:szCs w:val="18"/>
      </w:rPr>
      <w:tblPr/>
      <w:tcPr>
        <w:shd w:val="clear" w:color="auto" w:fill="FFA300"/>
        <w:vAlign w:val="bottom"/>
      </w:tcPr>
    </w:tblStylePr>
    <w:tblStylePr w:type="lastRow">
      <w:rPr>
        <w:u w:val="single"/>
      </w:rPr>
    </w:tblStylePr>
    <w:tblStylePr w:type="band1Vert">
      <w:tblPr/>
      <w:tcPr>
        <w:shd w:val="clear" w:color="auto" w:fill="EAEAEA"/>
      </w:tcPr>
    </w:tblStylePr>
    <w:tblStylePr w:type="band2Vert">
      <w:tblPr/>
      <w:tcPr>
        <w:shd w:val="clear" w:color="auto" w:fill="F8F8F8"/>
      </w:tcPr>
    </w:tblStylePr>
  </w:style>
  <w:style w:type="table" w:customStyle="1" w:styleId="HHorizontaltable111">
    <w:name w:val="H: Horizontal table111"/>
    <w:basedOn w:val="TableNormal"/>
    <w:rsid w:val="002A2C87"/>
    <w:pPr>
      <w:spacing w:before="120" w:after="120" w:line="240" w:lineRule="auto"/>
    </w:pPr>
    <w:tblPr>
      <w:tblStyleRowBandSize w:val="1"/>
      <w:tblStyleColBandSize w:val="1"/>
      <w:tblInd w:w="0" w:type="nil"/>
      <w:tblBorders>
        <w:insideH w:val="single" w:sz="4" w:space="0" w:color="FFFFFF" w:themeColor="background1"/>
      </w:tblBorders>
    </w:tblPr>
    <w:tblStylePr w:type="firstRow">
      <w:pPr>
        <w:jc w:val="left"/>
      </w:pPr>
      <w:rPr>
        <w:rFonts w:ascii="Arial" w:hAnsi="Arial" w:cs="Arial" w:hint="default"/>
        <w:b/>
        <w:sz w:val="22"/>
        <w:szCs w:val="22"/>
      </w:rPr>
      <w:tblPr/>
      <w:tcPr>
        <w:tcBorders>
          <w:top w:val="nil"/>
          <w:left w:val="nil"/>
          <w:bottom w:val="nil"/>
          <w:right w:val="nil"/>
          <w:insideH w:val="nil"/>
          <w:insideV w:val="nil"/>
          <w:tl2br w:val="nil"/>
          <w:tr2bl w:val="nil"/>
        </w:tcBorders>
        <w:shd w:val="clear" w:color="auto" w:fill="00B0B9"/>
        <w:vAlign w:val="bottom"/>
      </w:tcPr>
    </w:tblStylePr>
    <w:tblStylePr w:type="band1Horz">
      <w:tblPr/>
      <w:tcPr>
        <w:shd w:val="clear" w:color="auto" w:fill="DDDDDA"/>
      </w:tcPr>
    </w:tblStylePr>
    <w:tblStylePr w:type="band2Horz">
      <w:tblPr/>
      <w:tcPr>
        <w:shd w:val="clear" w:color="auto" w:fill="EEEEEC"/>
      </w:tcPr>
    </w:tblStylePr>
  </w:style>
  <w:style w:type="table" w:customStyle="1" w:styleId="TableGrid112">
    <w:name w:val="Table Grid112"/>
    <w:basedOn w:val="TableNormal"/>
    <w:rsid w:val="002A2C87"/>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rticaltable2">
    <w:name w:val="Vertical table2"/>
    <w:basedOn w:val="TableNormal"/>
    <w:uiPriority w:val="99"/>
    <w:rsid w:val="002A2C87"/>
    <w:pPr>
      <w:spacing w:after="0" w:line="240" w:lineRule="auto"/>
    </w:pPr>
    <w:rPr>
      <w:rFonts w:ascii="Arial" w:hAnsi="Arial"/>
    </w:rPr>
    <w:tblPr>
      <w:tblStyleRowBandSize w:val="1"/>
      <w:tblStyleColBandSize w:val="1"/>
      <w:tblInd w:w="0" w:type="nil"/>
      <w:tblBorders>
        <w:insideH w:val="single" w:sz="4" w:space="0" w:color="FFFFFF" w:themeColor="background1"/>
      </w:tblBorders>
    </w:tblPr>
    <w:tcPr>
      <w:vAlign w:val="center"/>
    </w:tcPr>
    <w:tblStylePr w:type="firstRow">
      <w:pPr>
        <w:jc w:val="left"/>
      </w:pPr>
      <w:rPr>
        <w:rFonts w:ascii="Arial" w:hAnsi="Arial" w:cs="Arial" w:hint="default"/>
        <w:b/>
        <w:sz w:val="22"/>
        <w:szCs w:val="22"/>
      </w:rPr>
      <w:tblPr/>
      <w:tcPr>
        <w:shd w:val="clear" w:color="auto" w:fill="00B0B9"/>
      </w:tcPr>
    </w:tblStylePr>
    <w:tblStylePr w:type="lastRow">
      <w:rPr>
        <w:rFonts w:ascii="Arial" w:hAnsi="Arial" w:cs="Arial" w:hint="default"/>
        <w:b/>
      </w:rPr>
      <w:tblPr/>
      <w:tcPr>
        <w:shd w:val="clear" w:color="auto" w:fill="B3B3B0"/>
      </w:tcPr>
    </w:tblStylePr>
    <w:tblStylePr w:type="band1Vert">
      <w:rPr>
        <w:rFonts w:ascii="Arial" w:hAnsi="Arial" w:cs="Arial" w:hint="default"/>
      </w:rPr>
      <w:tblPr/>
      <w:tcPr>
        <w:shd w:val="clear" w:color="auto" w:fill="F2F2F2" w:themeFill="background1" w:themeFillShade="F2"/>
      </w:tcPr>
    </w:tblStylePr>
    <w:tblStylePr w:type="band2Vert">
      <w:rPr>
        <w:rFonts w:ascii="Arial" w:hAnsi="Arial" w:cs="Arial" w:hint="default"/>
      </w:rPr>
      <w:tblPr/>
      <w:tcPr>
        <w:shd w:val="clear" w:color="auto" w:fill="EEEEEC"/>
      </w:tcPr>
    </w:tblStylePr>
    <w:tblStylePr w:type="band1Horz">
      <w:rPr>
        <w:rFonts w:ascii="Arial" w:hAnsi="Arial" w:cs="Arial" w:hint="default"/>
      </w:rPr>
    </w:tblStylePr>
  </w:style>
  <w:style w:type="table" w:customStyle="1" w:styleId="TableGrid42">
    <w:name w:val="Table Grid42"/>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rsid w:val="002A2C87"/>
    <w:pPr>
      <w:spacing w:after="0" w:line="240" w:lineRule="auto"/>
    </w:pPr>
    <w:rPr>
      <w:rFonts w:ascii="Arial" w:hAnsi="Arial"/>
    </w:rPr>
    <w:tblPr>
      <w:tblInd w:w="0" w:type="nil"/>
      <w:tblBorders>
        <w:insideH w:val="single" w:sz="8" w:space="0" w:color="auto"/>
      </w:tblBorders>
    </w:tblPr>
    <w:tcPr>
      <w:vAlign w:val="center"/>
    </w:tcPr>
    <w:tblStylePr w:type="firstRow">
      <w:pPr>
        <w:wordWrap/>
        <w:spacing w:afterLines="0" w:after="100" w:afterAutospacing="1"/>
        <w:jc w:val="left"/>
      </w:pPr>
      <w:rPr>
        <w:rFonts w:ascii="Arial" w:hAnsi="Arial" w:cs="Arial" w:hint="default"/>
        <w:b/>
        <w:sz w:val="22"/>
        <w:szCs w:val="22"/>
      </w:rPr>
      <w:tblPr/>
      <w:tcPr>
        <w:tcBorders>
          <w:top w:val="nil"/>
          <w:left w:val="nil"/>
          <w:bottom w:val="single" w:sz="18" w:space="0" w:color="00B0B9"/>
          <w:right w:val="nil"/>
          <w:insideH w:val="nil"/>
          <w:insideV w:val="nil"/>
          <w:tl2br w:val="nil"/>
          <w:tr2bl w:val="nil"/>
        </w:tcBorders>
      </w:tcPr>
    </w:tblStylePr>
  </w:style>
  <w:style w:type="table" w:customStyle="1" w:styleId="TableGrid131">
    <w:name w:val="Table Grid13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exttable11">
    <w:name w:val="Text table11"/>
    <w:basedOn w:val="TableNormal"/>
    <w:uiPriority w:val="60"/>
    <w:rsid w:val="002A2C87"/>
    <w:pPr>
      <w:spacing w:after="0" w:line="240" w:lineRule="auto"/>
    </w:pPr>
    <w:rPr>
      <w:color w:val="000000" w:themeColor="text1" w:themeShade="BF"/>
    </w:rPr>
    <w:tblPr>
      <w:tblStyleRowBandSize w:val="1"/>
      <w:tblStyleColBandSize w:val="1"/>
      <w:tblInd w:w="0" w:type="nil"/>
      <w:tblBorders>
        <w:insideH w:val="single" w:sz="4" w:space="0" w:color="7FD7DC"/>
      </w:tblBorders>
    </w:tblPr>
    <w:tcPr>
      <w:shd w:val="clear" w:color="auto" w:fill="FFFFFF" w:themeFill="background1"/>
    </w:tcPr>
    <w:tblStylePr w:type="firstRow">
      <w:pPr>
        <w:spacing w:beforeLines="0" w:before="100" w:beforeAutospacing="1" w:afterLines="0" w:after="100" w:afterAutospacing="1" w:line="240" w:lineRule="auto"/>
      </w:pPr>
      <w:rPr>
        <w:rFonts w:ascii="Arial" w:hAnsi="Arial" w:cs="Arial" w:hint="default"/>
        <w:b/>
        <w:bCs/>
      </w:rPr>
      <w:tblPr/>
      <w:tcPr>
        <w:tcBorders>
          <w:bottom w:val="single" w:sz="18" w:space="0" w:color="00B0B9"/>
        </w:tcBorders>
        <w:shd w:val="clear" w:color="auto" w:fill="FFFFFF" w:themeFill="background1"/>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Pr/>
      <w:tcPr>
        <w:shd w:val="clear" w:color="auto" w:fill="FFFFFF" w:themeFill="background1"/>
      </w:tcPr>
    </w:tblStylePr>
    <w:tblStylePr w:type="lastCol">
      <w:rPr>
        <w:b/>
        <w:bCs/>
      </w:rPr>
      <w:tblPr/>
      <w:tcPr>
        <w:shd w:val="clear" w:color="auto" w:fill="FFFFFF" w:themeFill="background1"/>
      </w:tc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2131">
    <w:name w:val="Table Grid213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exttable21">
    <w:name w:val="Text table21"/>
    <w:basedOn w:val="TableNormal"/>
    <w:uiPriority w:val="60"/>
    <w:rsid w:val="002A2C87"/>
    <w:pPr>
      <w:spacing w:after="0" w:line="240" w:lineRule="auto"/>
    </w:pPr>
    <w:rPr>
      <w:color w:val="000000" w:themeColor="text1" w:themeShade="BF"/>
    </w:rPr>
    <w:tblPr>
      <w:tblStyleRowBandSize w:val="1"/>
      <w:tblStyleColBandSize w:val="1"/>
      <w:tblInd w:w="0" w:type="nil"/>
    </w:tblPr>
    <w:tcPr>
      <w:shd w:val="clear" w:color="auto" w:fill="FFFFFF" w:themeFill="background1"/>
    </w:tcPr>
    <w:tblStylePr w:type="firstRow">
      <w:pPr>
        <w:spacing w:beforeLines="0" w:before="100" w:beforeAutospacing="1" w:afterLines="0" w:after="100" w:afterAutospacing="1" w:line="240" w:lineRule="auto"/>
      </w:pPr>
      <w:rPr>
        <w:rFonts w:ascii="Arial" w:hAnsi="Arial" w:cs="Arial" w:hint="default"/>
        <w:b/>
        <w:bCs/>
      </w:rPr>
      <w:tblPr/>
      <w:tcPr>
        <w:tcBorders>
          <w:bottom w:val="single" w:sz="12" w:space="0" w:color="00B0B9"/>
        </w:tcBorders>
        <w:shd w:val="clear" w:color="auto" w:fill="FFFFFF" w:themeFill="background1"/>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Pr/>
      <w:tcPr>
        <w:shd w:val="clear" w:color="auto" w:fill="FFFFFF" w:themeFill="background1"/>
      </w:tcPr>
    </w:tblStylePr>
    <w:tblStylePr w:type="lastCol">
      <w:rPr>
        <w:b/>
        <w:bCs/>
      </w:rPr>
      <w:tblPr/>
      <w:tcPr>
        <w:shd w:val="clear" w:color="auto" w:fill="FFFFFF" w:themeFill="background1"/>
      </w:tc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113">
    <w:name w:val="Table Grid113"/>
    <w:basedOn w:val="TableNormal"/>
    <w:rsid w:val="002A2C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2A2C87"/>
    <w:pPr>
      <w:spacing w:after="0" w:line="260" w:lineRule="atLeas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rsid w:val="002A2C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SDatatablestyle21">
    <w:name w:val="DSS Data table style21"/>
    <w:basedOn w:val="TableNormal"/>
    <w:uiPriority w:val="99"/>
    <w:rsid w:val="002A2C87"/>
    <w:pPr>
      <w:spacing w:after="0" w:line="240" w:lineRule="auto"/>
    </w:pPr>
    <w:rPr>
      <w:rFonts w:ascii="Arial" w:hAnsi="Arial"/>
      <w:sz w:val="24"/>
    </w:rPr>
    <w:tblPr>
      <w:tblStyleRowBandSize w:val="1"/>
      <w:tblInd w:w="0" w:type="nil"/>
    </w:tblPr>
    <w:tblStylePr w:type="firstRow">
      <w:rPr>
        <w:rFonts w:ascii="Arial" w:hAnsi="Arial" w:cs="Arial" w:hint="default"/>
        <w:b/>
        <w:color w:val="FFFFFF" w:themeColor="background1"/>
        <w:sz w:val="24"/>
        <w:szCs w:val="24"/>
      </w:rPr>
      <w:tblPr/>
      <w:tcPr>
        <w:shd w:val="clear" w:color="auto" w:fill="005A70"/>
      </w:tcPr>
    </w:tblStylePr>
    <w:tblStylePr w:type="lastRow">
      <w:rPr>
        <w:rFonts w:ascii="Arial" w:hAnsi="Arial" w:cs="Arial" w:hint="default"/>
        <w:b/>
        <w:sz w:val="22"/>
        <w:szCs w:val="22"/>
      </w:rPr>
      <w:tblPr/>
      <w:tcPr>
        <w:tcBorders>
          <w:bottom w:val="single" w:sz="8" w:space="0" w:color="auto"/>
        </w:tcBorders>
      </w:tcPr>
    </w:tblStylePr>
    <w:tblStylePr w:type="band2Horz">
      <w:rPr>
        <w:rFonts w:ascii="Arial" w:hAnsi="Arial" w:cs="Arial" w:hint="default"/>
        <w:sz w:val="22"/>
        <w:szCs w:val="22"/>
      </w:rPr>
      <w:tblPr/>
      <w:tcPr>
        <w:shd w:val="clear" w:color="auto" w:fill="F5F5F5"/>
      </w:tcPr>
    </w:tblStylePr>
  </w:style>
  <w:style w:type="table" w:customStyle="1" w:styleId="DSSDatatablestyle31">
    <w:name w:val="DSS Data table style31"/>
    <w:basedOn w:val="TableNormal"/>
    <w:uiPriority w:val="99"/>
    <w:rsid w:val="002A2C87"/>
    <w:pPr>
      <w:spacing w:after="0" w:line="240" w:lineRule="auto"/>
    </w:pPr>
    <w:rPr>
      <w:rFonts w:ascii="Arial" w:hAnsi="Arial"/>
      <w:sz w:val="24"/>
    </w:rPr>
    <w:tblPr>
      <w:tblStyleRowBandSize w:val="1"/>
      <w:tblInd w:w="0" w:type="nil"/>
    </w:tblPr>
    <w:tblStylePr w:type="firstRow">
      <w:rPr>
        <w:rFonts w:ascii="Arial" w:hAnsi="Arial" w:cs="Arial" w:hint="default"/>
        <w:b/>
        <w:color w:val="FFFFFF" w:themeColor="background1"/>
        <w:sz w:val="24"/>
        <w:szCs w:val="24"/>
      </w:rPr>
      <w:tblPr/>
      <w:tcPr>
        <w:shd w:val="clear" w:color="auto" w:fill="005A70"/>
      </w:tcPr>
    </w:tblStylePr>
    <w:tblStylePr w:type="lastRow">
      <w:rPr>
        <w:rFonts w:ascii="Arial" w:hAnsi="Arial" w:cs="Arial" w:hint="default"/>
        <w:b/>
        <w:sz w:val="22"/>
        <w:szCs w:val="22"/>
      </w:rPr>
      <w:tblPr/>
      <w:tcPr>
        <w:tcBorders>
          <w:bottom w:val="single" w:sz="8" w:space="0" w:color="auto"/>
        </w:tcBorders>
      </w:tcPr>
    </w:tblStylePr>
    <w:tblStylePr w:type="band2Horz">
      <w:rPr>
        <w:rFonts w:ascii="Arial" w:hAnsi="Arial" w:cs="Arial" w:hint="default"/>
        <w:sz w:val="22"/>
        <w:szCs w:val="22"/>
      </w:rPr>
      <w:tblPr/>
      <w:tcPr>
        <w:shd w:val="clear" w:color="auto" w:fill="F5F5F5"/>
      </w:tcPr>
    </w:tblStylePr>
  </w:style>
  <w:style w:type="table" w:customStyle="1" w:styleId="DSSDatatablestyle41">
    <w:name w:val="DSS Data table style41"/>
    <w:basedOn w:val="TableNormal"/>
    <w:uiPriority w:val="99"/>
    <w:rsid w:val="002A2C87"/>
    <w:pPr>
      <w:spacing w:after="0" w:line="240" w:lineRule="auto"/>
    </w:pPr>
    <w:rPr>
      <w:rFonts w:ascii="Arial" w:hAnsi="Arial"/>
      <w:sz w:val="24"/>
    </w:rPr>
    <w:tblPr>
      <w:tblStyleRowBandSize w:val="1"/>
      <w:tblInd w:w="0" w:type="nil"/>
    </w:tblPr>
    <w:tblStylePr w:type="firstRow">
      <w:rPr>
        <w:rFonts w:ascii="Arial" w:hAnsi="Arial" w:cs="Arial" w:hint="default"/>
        <w:b/>
        <w:color w:val="FFFFFF" w:themeColor="background1"/>
        <w:sz w:val="24"/>
        <w:szCs w:val="24"/>
      </w:rPr>
      <w:tblPr/>
      <w:tcPr>
        <w:shd w:val="clear" w:color="auto" w:fill="005A70"/>
      </w:tcPr>
    </w:tblStylePr>
    <w:tblStylePr w:type="lastRow">
      <w:rPr>
        <w:rFonts w:ascii="Arial" w:hAnsi="Arial" w:cs="Arial" w:hint="default"/>
        <w:b/>
        <w:sz w:val="22"/>
        <w:szCs w:val="22"/>
      </w:rPr>
      <w:tblPr/>
      <w:tcPr>
        <w:tcBorders>
          <w:bottom w:val="single" w:sz="8" w:space="0" w:color="auto"/>
        </w:tcBorders>
      </w:tcPr>
    </w:tblStylePr>
    <w:tblStylePr w:type="band2Horz">
      <w:rPr>
        <w:rFonts w:ascii="Arial" w:hAnsi="Arial" w:cs="Arial" w:hint="default"/>
        <w:sz w:val="22"/>
        <w:szCs w:val="22"/>
      </w:rPr>
      <w:tblPr/>
      <w:tcPr>
        <w:shd w:val="clear" w:color="auto" w:fill="F5F5F5"/>
      </w:tcPr>
    </w:tblStylePr>
  </w:style>
  <w:style w:type="table" w:customStyle="1" w:styleId="TableGrid91">
    <w:name w:val="Table Grid91"/>
    <w:basedOn w:val="TableNormal"/>
    <w:uiPriority w:val="59"/>
    <w:rsid w:val="002A2C87"/>
    <w:pPr>
      <w:spacing w:after="0" w:line="260" w:lineRule="atLeas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2A2C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rsid w:val="002A2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21">
    <w:name w:val="Current List121"/>
    <w:rsid w:val="002A2C87"/>
  </w:style>
  <w:style w:type="numbering" w:customStyle="1" w:styleId="CurrentList221">
    <w:name w:val="Current List221"/>
    <w:rsid w:val="002A2C87"/>
  </w:style>
  <w:style w:type="numbering" w:customStyle="1" w:styleId="CurrentList23">
    <w:name w:val="Current List23"/>
    <w:rsid w:val="002A2C87"/>
  </w:style>
  <w:style w:type="numbering" w:customStyle="1" w:styleId="Style23">
    <w:name w:val="Style23"/>
    <w:rsid w:val="002A2C87"/>
  </w:style>
  <w:style w:type="numbering" w:customStyle="1" w:styleId="CurrentList13">
    <w:name w:val="Current List13"/>
    <w:rsid w:val="002A2C87"/>
  </w:style>
  <w:style w:type="numbering" w:customStyle="1" w:styleId="NoList13">
    <w:name w:val="No List13"/>
    <w:next w:val="NoList"/>
    <w:uiPriority w:val="99"/>
    <w:semiHidden/>
    <w:unhideWhenUsed/>
    <w:rsid w:val="002A2C87"/>
  </w:style>
  <w:style w:type="numbering" w:customStyle="1" w:styleId="NoList1111">
    <w:name w:val="No List1111"/>
    <w:next w:val="NoList"/>
    <w:semiHidden/>
    <w:rsid w:val="002A2C87"/>
  </w:style>
  <w:style w:type="numbering" w:customStyle="1" w:styleId="CurrentList111">
    <w:name w:val="Current List111"/>
    <w:rsid w:val="002A2C87"/>
  </w:style>
  <w:style w:type="numbering" w:customStyle="1" w:styleId="Style211">
    <w:name w:val="Style211"/>
    <w:rsid w:val="002A2C87"/>
  </w:style>
  <w:style w:type="numbering" w:customStyle="1" w:styleId="CurrentList211">
    <w:name w:val="Current List211"/>
    <w:rsid w:val="002A2C87"/>
  </w:style>
  <w:style w:type="numbering" w:customStyle="1" w:styleId="NoList21">
    <w:name w:val="No List21"/>
    <w:next w:val="NoList"/>
    <w:uiPriority w:val="99"/>
    <w:semiHidden/>
    <w:unhideWhenUsed/>
    <w:rsid w:val="002A2C87"/>
  </w:style>
  <w:style w:type="numbering" w:customStyle="1" w:styleId="NoList121">
    <w:name w:val="No List121"/>
    <w:next w:val="NoList"/>
    <w:semiHidden/>
    <w:rsid w:val="002A2C87"/>
  </w:style>
  <w:style w:type="paragraph" w:customStyle="1" w:styleId="Headinga">
    <w:name w:val="Heading a"/>
    <w:basedOn w:val="Normal"/>
    <w:rsid w:val="002A2C87"/>
    <w:pPr>
      <w:spacing w:after="0" w:line="240" w:lineRule="auto"/>
    </w:pPr>
    <w:rPr>
      <w:rFonts w:ascii="Times New Roman" w:eastAsia="Times New Roman" w:hAnsi="Times New Roman" w:cs="Times New Roman"/>
      <w:b/>
      <w:bCs/>
      <w:sz w:val="18"/>
      <w:szCs w:val="18"/>
    </w:rPr>
  </w:style>
  <w:style w:type="table" w:customStyle="1" w:styleId="DSSDatatablestyle51">
    <w:name w:val="DSS Data table style51"/>
    <w:basedOn w:val="TableNormal"/>
    <w:uiPriority w:val="99"/>
    <w:rsid w:val="002A2C87"/>
    <w:pPr>
      <w:spacing w:after="0" w:line="240" w:lineRule="auto"/>
    </w:pPr>
    <w:rPr>
      <w:rFonts w:ascii="Arial" w:hAnsi="Arial"/>
      <w:sz w:val="24"/>
    </w:rPr>
    <w:tblPr>
      <w:tblStyleRowBandSize w:val="1"/>
      <w:tblInd w:w="0" w:type="nil"/>
    </w:tblPr>
    <w:tblStylePr w:type="firstRow">
      <w:rPr>
        <w:rFonts w:ascii="Arial" w:hAnsi="Arial" w:cs="Arial" w:hint="default"/>
        <w:b/>
        <w:color w:val="FFFFFF" w:themeColor="background1"/>
        <w:sz w:val="24"/>
        <w:szCs w:val="24"/>
      </w:rPr>
      <w:tblPr/>
      <w:tcPr>
        <w:shd w:val="clear" w:color="auto" w:fill="005A70"/>
      </w:tcPr>
    </w:tblStylePr>
    <w:tblStylePr w:type="lastRow">
      <w:rPr>
        <w:rFonts w:ascii="Arial" w:hAnsi="Arial" w:cs="Arial" w:hint="default"/>
        <w:b/>
        <w:sz w:val="22"/>
        <w:szCs w:val="22"/>
      </w:rPr>
      <w:tblPr/>
      <w:tcPr>
        <w:tcBorders>
          <w:bottom w:val="single" w:sz="8" w:space="0" w:color="auto"/>
        </w:tcBorders>
      </w:tcPr>
    </w:tblStylePr>
    <w:tblStylePr w:type="band2Horz">
      <w:rPr>
        <w:rFonts w:ascii="Arial" w:hAnsi="Arial" w:cs="Arial" w:hint="default"/>
        <w:sz w:val="22"/>
        <w:szCs w:val="22"/>
      </w:rPr>
      <w:tblPr/>
      <w:tcPr>
        <w:shd w:val="clear" w:color="auto" w:fill="F5F5F5"/>
      </w:tcPr>
    </w:tblStylePr>
  </w:style>
  <w:style w:type="table" w:customStyle="1" w:styleId="LightList-Accent111">
    <w:name w:val="Light List - Accent 111"/>
    <w:basedOn w:val="TableNormal"/>
    <w:next w:val="LightList-Accent1"/>
    <w:uiPriority w:val="61"/>
    <w:rsid w:val="002A2C8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DSSDatatablestyle7">
    <w:name w:val="DSS Data table style7"/>
    <w:basedOn w:val="TableNormal"/>
    <w:uiPriority w:val="99"/>
    <w:rsid w:val="002A2C87"/>
    <w:pPr>
      <w:spacing w:after="0" w:line="240" w:lineRule="auto"/>
    </w:pPr>
    <w:rPr>
      <w:rFonts w:ascii="Arial" w:eastAsia="Calibri" w:hAnsi="Arial" w:cs="Times New Roman"/>
      <w:sz w:val="24"/>
    </w:rPr>
    <w:tblPr>
      <w:tblStyleRowBandSize w:val="1"/>
      <w:tblInd w:w="0" w:type="nil"/>
    </w:tblPr>
    <w:tblStylePr w:type="firstRow">
      <w:rPr>
        <w:rFonts w:ascii="Arial" w:hAnsi="Arial" w:cs="Arial" w:hint="default"/>
        <w:b/>
        <w:color w:val="FFFFFF" w:themeColor="background1"/>
        <w:sz w:val="24"/>
        <w:szCs w:val="24"/>
      </w:rPr>
      <w:tblPr/>
      <w:tcPr>
        <w:shd w:val="clear" w:color="auto" w:fill="005A70"/>
      </w:tcPr>
    </w:tblStylePr>
    <w:tblStylePr w:type="lastRow">
      <w:rPr>
        <w:rFonts w:ascii="Arial" w:hAnsi="Arial" w:cs="Arial" w:hint="default"/>
        <w:b/>
        <w:sz w:val="22"/>
        <w:szCs w:val="22"/>
      </w:rPr>
      <w:tblPr/>
      <w:tcPr>
        <w:tcBorders>
          <w:bottom w:val="single" w:sz="8" w:space="0" w:color="auto"/>
        </w:tcBorders>
      </w:tcPr>
    </w:tblStylePr>
    <w:tblStylePr w:type="band2Horz">
      <w:rPr>
        <w:rFonts w:ascii="Arial" w:hAnsi="Arial" w:cs="Arial" w:hint="default"/>
        <w:sz w:val="22"/>
        <w:szCs w:val="22"/>
      </w:rPr>
      <w:tblPr/>
      <w:tcPr>
        <w:shd w:val="clear" w:color="auto" w:fill="F5F5F5"/>
      </w:tcPr>
    </w:tblStylePr>
  </w:style>
  <w:style w:type="paragraph" w:customStyle="1" w:styleId="Normal06">
    <w:name w:val="Normal_0_6"/>
    <w:qFormat/>
    <w:rsid w:val="002A2C87"/>
    <w:pPr>
      <w:keepLines/>
      <w:spacing w:after="240" w:line="260" w:lineRule="exact"/>
      <w:jc w:val="both"/>
    </w:pPr>
    <w:rPr>
      <w:rFonts w:ascii="Book Antiqua" w:eastAsia="Times New Roman" w:hAnsi="Book Antiqua" w:cs="Times New Roman"/>
      <w:sz w:val="20"/>
      <w:szCs w:val="20"/>
      <w:lang w:eastAsia="en-AU"/>
    </w:rPr>
  </w:style>
  <w:style w:type="character" w:customStyle="1" w:styleId="ilfuvd">
    <w:name w:val="ilfuvd"/>
    <w:basedOn w:val="DefaultParagraphFont"/>
    <w:rsid w:val="002A2C87"/>
  </w:style>
  <w:style w:type="numbering" w:customStyle="1" w:styleId="NoList4">
    <w:name w:val="No List4"/>
    <w:next w:val="NoList"/>
    <w:uiPriority w:val="99"/>
    <w:semiHidden/>
    <w:unhideWhenUsed/>
    <w:rsid w:val="002A2C87"/>
  </w:style>
  <w:style w:type="table" w:customStyle="1" w:styleId="TableGrid10">
    <w:name w:val="Table Grid10"/>
    <w:basedOn w:val="TableNormal"/>
    <w:next w:val="TableGrid"/>
    <w:uiPriority w:val="59"/>
    <w:rsid w:val="002A2C87"/>
    <w:pPr>
      <w:spacing w:after="0" w:line="26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2A2C87"/>
  </w:style>
  <w:style w:type="numbering" w:customStyle="1" w:styleId="Style24">
    <w:name w:val="Style24"/>
    <w:rsid w:val="002A2C87"/>
    <w:pPr>
      <w:numPr>
        <w:numId w:val="31"/>
      </w:numPr>
    </w:pPr>
  </w:style>
  <w:style w:type="numbering" w:customStyle="1" w:styleId="CurrentList24">
    <w:name w:val="Current List24"/>
    <w:rsid w:val="002A2C87"/>
    <w:pPr>
      <w:numPr>
        <w:numId w:val="15"/>
      </w:numPr>
    </w:pPr>
  </w:style>
  <w:style w:type="table" w:customStyle="1" w:styleId="TableGrid114">
    <w:name w:val="Table Grid114"/>
    <w:basedOn w:val="TableNormal"/>
    <w:next w:val="TableGrid"/>
    <w:rsid w:val="002A2C8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41">
    <w:name w:val="Current List141"/>
    <w:rsid w:val="002A2C87"/>
  </w:style>
  <w:style w:type="table" w:customStyle="1" w:styleId="DSSDatatablestyle61">
    <w:name w:val="DSS Data table style61"/>
    <w:basedOn w:val="TableNormal"/>
    <w:uiPriority w:val="99"/>
    <w:rsid w:val="002A2C87"/>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character" w:customStyle="1" w:styleId="Heading4Char1">
    <w:name w:val="Heading 4 Char1"/>
    <w:aliases w:val="Head 2 Char1"/>
    <w:basedOn w:val="DefaultParagraphFont"/>
    <w:semiHidden/>
    <w:rsid w:val="002A2C87"/>
    <w:rPr>
      <w:rFonts w:asciiTheme="majorHAnsi" w:eastAsiaTheme="majorEastAsia" w:hAnsiTheme="majorHAnsi" w:cstheme="majorBidi"/>
      <w:i/>
      <w:iCs/>
      <w:color w:val="365F91" w:themeColor="accent1" w:themeShade="BF"/>
      <w:sz w:val="22"/>
      <w:szCs w:val="22"/>
    </w:rPr>
  </w:style>
  <w:style w:type="character" w:customStyle="1" w:styleId="Heading5Char1">
    <w:name w:val="Heading 5 Char1"/>
    <w:aliases w:val="Head 3 Char1"/>
    <w:basedOn w:val="DefaultParagraphFont"/>
    <w:semiHidden/>
    <w:rsid w:val="002A2C87"/>
    <w:rPr>
      <w:rFonts w:asciiTheme="majorHAnsi" w:eastAsiaTheme="majorEastAsia" w:hAnsiTheme="majorHAnsi" w:cstheme="majorBidi"/>
      <w:color w:val="365F91" w:themeColor="accent1" w:themeShade="BF"/>
      <w:sz w:val="22"/>
      <w:szCs w:val="22"/>
    </w:rPr>
  </w:style>
  <w:style w:type="character" w:customStyle="1" w:styleId="Heading6Char1">
    <w:name w:val="Heading 6 Char1"/>
    <w:aliases w:val="Head 4 Char1"/>
    <w:basedOn w:val="DefaultParagraphFont"/>
    <w:semiHidden/>
    <w:rsid w:val="002A2C87"/>
    <w:rPr>
      <w:rFonts w:asciiTheme="majorHAnsi" w:eastAsiaTheme="majorEastAsia" w:hAnsiTheme="majorHAnsi" w:cstheme="majorBidi"/>
      <w:color w:val="243F60" w:themeColor="accent1" w:themeShade="7F"/>
      <w:sz w:val="22"/>
      <w:szCs w:val="22"/>
    </w:rPr>
  </w:style>
  <w:style w:type="numbering" w:customStyle="1" w:styleId="NoList5">
    <w:name w:val="No List5"/>
    <w:next w:val="NoList"/>
    <w:uiPriority w:val="99"/>
    <w:semiHidden/>
    <w:unhideWhenUsed/>
    <w:rsid w:val="002A2C87"/>
  </w:style>
  <w:style w:type="table" w:customStyle="1" w:styleId="TableGrid30">
    <w:name w:val="Table Grid30"/>
    <w:basedOn w:val="TableNormal"/>
    <w:next w:val="TableGrid"/>
    <w:uiPriority w:val="59"/>
    <w:rsid w:val="002A2C87"/>
    <w:pPr>
      <w:spacing w:after="0" w:line="26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semiHidden/>
    <w:rsid w:val="002A2C87"/>
  </w:style>
  <w:style w:type="table" w:customStyle="1" w:styleId="TableGrid115">
    <w:name w:val="Table Grid115"/>
    <w:basedOn w:val="TableNormal"/>
    <w:next w:val="TableGrid"/>
    <w:rsid w:val="002A2C8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42">
    <w:name w:val="Current List142"/>
    <w:rsid w:val="002A2C87"/>
  </w:style>
  <w:style w:type="numbering" w:customStyle="1" w:styleId="NoList6">
    <w:name w:val="No List6"/>
    <w:next w:val="NoList"/>
    <w:uiPriority w:val="99"/>
    <w:semiHidden/>
    <w:unhideWhenUsed/>
    <w:rsid w:val="002A2C87"/>
  </w:style>
  <w:style w:type="table" w:customStyle="1" w:styleId="HHorizontaltable13">
    <w:name w:val="H: Horizontal table13"/>
    <w:basedOn w:val="TableNormal"/>
    <w:rsid w:val="002A2C87"/>
    <w:pPr>
      <w:spacing w:before="120" w:after="120" w:line="240" w:lineRule="auto"/>
    </w:pPr>
    <w:tblPr>
      <w:tblStyleRowBandSize w:val="1"/>
      <w:tblStyleColBandSize w:val="1"/>
      <w:tblBorders>
        <w:insideH w:val="single" w:sz="4" w:space="0" w:color="FFFFFF" w:themeColor="background1"/>
      </w:tblBorders>
    </w:tblPr>
    <w:tblStylePr w:type="firstRow">
      <w:pPr>
        <w:jc w:val="left"/>
      </w:pPr>
      <w:rPr>
        <w:rFonts w:ascii="Arial" w:hAnsi="Arial" w:cs="Arial" w:hint="default"/>
        <w:b/>
        <w:sz w:val="22"/>
        <w:szCs w:val="22"/>
      </w:rPr>
      <w:tblPr/>
      <w:tcPr>
        <w:tcBorders>
          <w:top w:val="nil"/>
          <w:left w:val="nil"/>
          <w:bottom w:val="nil"/>
          <w:right w:val="nil"/>
          <w:insideH w:val="nil"/>
          <w:insideV w:val="nil"/>
          <w:tl2br w:val="nil"/>
          <w:tr2bl w:val="nil"/>
        </w:tcBorders>
        <w:shd w:val="clear" w:color="auto" w:fill="00B0B9"/>
        <w:vAlign w:val="bottom"/>
      </w:tcPr>
    </w:tblStylePr>
    <w:tblStylePr w:type="band1Horz">
      <w:tblPr/>
      <w:tcPr>
        <w:shd w:val="clear" w:color="auto" w:fill="DDDDDA"/>
      </w:tcPr>
    </w:tblStylePr>
    <w:tblStylePr w:type="band2Horz">
      <w:tblPr/>
      <w:tcPr>
        <w:shd w:val="clear" w:color="auto" w:fill="EEEEEC"/>
      </w:tcPr>
    </w:tblStylePr>
  </w:style>
  <w:style w:type="table" w:customStyle="1" w:styleId="Verticaltable3">
    <w:name w:val="Vertical table3"/>
    <w:basedOn w:val="TableNormal"/>
    <w:uiPriority w:val="99"/>
    <w:rsid w:val="002A2C87"/>
    <w:pPr>
      <w:spacing w:after="0" w:line="240" w:lineRule="auto"/>
    </w:pPr>
    <w:rPr>
      <w:rFonts w:ascii="Arial" w:hAnsi="Arial"/>
    </w:rPr>
    <w:tblPr>
      <w:tblStyleRowBandSize w:val="1"/>
      <w:tblStyleColBandSize w:val="1"/>
      <w:tblBorders>
        <w:insideH w:val="single" w:sz="4" w:space="0" w:color="FFFFFF" w:themeColor="background1"/>
      </w:tblBorders>
    </w:tblPr>
    <w:tcPr>
      <w:vAlign w:val="center"/>
    </w:tcPr>
    <w:tblStylePr w:type="firstRow">
      <w:pPr>
        <w:jc w:val="left"/>
      </w:pPr>
      <w:rPr>
        <w:rFonts w:ascii="Arial" w:hAnsi="Arial" w:cs="Arial" w:hint="default"/>
        <w:b/>
        <w:sz w:val="22"/>
        <w:szCs w:val="22"/>
      </w:rPr>
      <w:tblPr/>
      <w:tcPr>
        <w:shd w:val="clear" w:color="auto" w:fill="00B0B9"/>
      </w:tcPr>
    </w:tblStylePr>
    <w:tblStylePr w:type="lastRow">
      <w:rPr>
        <w:rFonts w:ascii="Arial" w:hAnsi="Arial" w:cs="Arial" w:hint="default"/>
        <w:b/>
      </w:rPr>
      <w:tblPr/>
      <w:tcPr>
        <w:shd w:val="clear" w:color="auto" w:fill="B3B3B0"/>
      </w:tcPr>
    </w:tblStylePr>
    <w:tblStylePr w:type="band1Vert">
      <w:rPr>
        <w:rFonts w:ascii="Arial" w:hAnsi="Arial" w:cs="Arial" w:hint="default"/>
      </w:rPr>
      <w:tblPr/>
      <w:tcPr>
        <w:shd w:val="clear" w:color="auto" w:fill="F2F2F2" w:themeFill="background1" w:themeFillShade="F2"/>
      </w:tcPr>
    </w:tblStylePr>
    <w:tblStylePr w:type="band2Vert">
      <w:rPr>
        <w:rFonts w:ascii="Arial" w:hAnsi="Arial" w:cs="Arial" w:hint="default"/>
      </w:rPr>
      <w:tblPr/>
      <w:tcPr>
        <w:shd w:val="clear" w:color="auto" w:fill="EEEEEC"/>
      </w:tcPr>
    </w:tblStylePr>
    <w:tblStylePr w:type="band1Horz">
      <w:rPr>
        <w:rFonts w:ascii="Arial" w:hAnsi="Arial" w:cs="Arial" w:hint="default"/>
      </w:rPr>
    </w:tblStylePr>
  </w:style>
  <w:style w:type="numbering" w:customStyle="1" w:styleId="NoList7">
    <w:name w:val="No List7"/>
    <w:next w:val="NoList"/>
    <w:uiPriority w:val="99"/>
    <w:semiHidden/>
    <w:unhideWhenUsed/>
    <w:rsid w:val="002A2C87"/>
  </w:style>
  <w:style w:type="table" w:customStyle="1" w:styleId="TableGrid35">
    <w:name w:val="Table Grid35"/>
    <w:basedOn w:val="TableNormal"/>
    <w:next w:val="TableGrid"/>
    <w:uiPriority w:val="59"/>
    <w:rsid w:val="002A2C87"/>
    <w:pPr>
      <w:spacing w:after="0" w:line="260" w:lineRule="atLeast"/>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rsid w:val="002A2C87"/>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6">
    <w:name w:val="Current List26"/>
    <w:rsid w:val="002A2C87"/>
    <w:pPr>
      <w:numPr>
        <w:numId w:val="33"/>
      </w:numPr>
    </w:pPr>
  </w:style>
  <w:style w:type="numbering" w:customStyle="1" w:styleId="CurrentList16">
    <w:name w:val="Current List16"/>
    <w:rsid w:val="002A2C87"/>
    <w:pPr>
      <w:numPr>
        <w:numId w:val="24"/>
      </w:numPr>
    </w:pPr>
  </w:style>
  <w:style w:type="table" w:customStyle="1" w:styleId="DSSDatatablestyle311">
    <w:name w:val="DSS Data table style311"/>
    <w:basedOn w:val="TableNormal"/>
    <w:uiPriority w:val="99"/>
    <w:rsid w:val="002A2C87"/>
    <w:pPr>
      <w:spacing w:after="0" w:line="240" w:lineRule="auto"/>
    </w:pPr>
    <w:rPr>
      <w:rFonts w:ascii="Arial" w:eastAsia="Calibri" w:hAnsi="Arial" w:cs="Times New Roman"/>
      <w:sz w:val="24"/>
    </w:rPr>
    <w:tblPr>
      <w:tblStyleRowBandSize w:val="1"/>
      <w:tblInd w:w="0" w:type="nil"/>
    </w:tblPr>
    <w:tblStylePr w:type="firstRow">
      <w:rPr>
        <w:rFonts w:ascii="Arial" w:hAnsi="Arial" w:cs="Arial" w:hint="default"/>
        <w:b/>
        <w:color w:val="FFFFFF" w:themeColor="background1"/>
        <w:sz w:val="24"/>
        <w:szCs w:val="24"/>
      </w:rPr>
      <w:tblPr/>
      <w:tcPr>
        <w:shd w:val="clear" w:color="auto" w:fill="005A70"/>
      </w:tcPr>
    </w:tblStylePr>
    <w:tblStylePr w:type="lastRow">
      <w:rPr>
        <w:rFonts w:ascii="Arial" w:hAnsi="Arial" w:cs="Arial" w:hint="default"/>
        <w:b/>
        <w:sz w:val="22"/>
        <w:szCs w:val="22"/>
      </w:rPr>
      <w:tblPr/>
      <w:tcPr>
        <w:tcBorders>
          <w:bottom w:val="single" w:sz="8" w:space="0" w:color="auto"/>
        </w:tcBorders>
      </w:tcPr>
    </w:tblStylePr>
    <w:tblStylePr w:type="band2Horz">
      <w:rPr>
        <w:rFonts w:ascii="Arial" w:hAnsi="Arial" w:cs="Arial" w:hint="default"/>
        <w:sz w:val="22"/>
        <w:szCs w:val="22"/>
      </w:rPr>
      <w:tblPr/>
      <w:tcPr>
        <w:shd w:val="clear" w:color="auto" w:fill="F5F5F5"/>
      </w:tcPr>
    </w:tblStylePr>
  </w:style>
  <w:style w:type="table" w:customStyle="1" w:styleId="DSSDatatablestyle62">
    <w:name w:val="DSS Data table style62"/>
    <w:basedOn w:val="TableNormal"/>
    <w:uiPriority w:val="99"/>
    <w:rsid w:val="00940BD0"/>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Datatablestyle71">
    <w:name w:val="DSS Data table style71"/>
    <w:basedOn w:val="TableNormal"/>
    <w:uiPriority w:val="99"/>
    <w:rsid w:val="00940BD0"/>
    <w:pPr>
      <w:spacing w:after="0" w:line="240" w:lineRule="auto"/>
    </w:pPr>
    <w:rPr>
      <w:rFonts w:ascii="Arial" w:eastAsia="Calibri" w:hAnsi="Arial" w:cs="Times New Roman"/>
      <w:sz w:val="24"/>
    </w:rPr>
    <w:tblPr>
      <w:tblStyleRowBandSize w:val="1"/>
      <w:tblInd w:w="0" w:type="nil"/>
    </w:tblPr>
    <w:tblStylePr w:type="firstRow">
      <w:rPr>
        <w:rFonts w:ascii="Arial" w:hAnsi="Arial" w:cs="Arial" w:hint="default"/>
        <w:b/>
        <w:color w:val="FFFFFF" w:themeColor="background1"/>
        <w:sz w:val="24"/>
        <w:szCs w:val="24"/>
      </w:rPr>
      <w:tblPr/>
      <w:tcPr>
        <w:shd w:val="clear" w:color="auto" w:fill="005A70"/>
      </w:tcPr>
    </w:tblStylePr>
    <w:tblStylePr w:type="lastRow">
      <w:rPr>
        <w:rFonts w:ascii="Arial" w:hAnsi="Arial" w:cs="Arial" w:hint="default"/>
        <w:b/>
        <w:sz w:val="22"/>
        <w:szCs w:val="22"/>
      </w:rPr>
      <w:tblPr/>
      <w:tcPr>
        <w:tcBorders>
          <w:bottom w:val="single" w:sz="8" w:space="0" w:color="auto"/>
        </w:tcBorders>
      </w:tcPr>
    </w:tblStylePr>
    <w:tblStylePr w:type="band2Horz">
      <w:rPr>
        <w:rFonts w:ascii="Arial" w:hAnsi="Arial" w:cs="Arial" w:hint="default"/>
        <w:sz w:val="22"/>
        <w:szCs w:val="22"/>
      </w:rPr>
      <w:tblPr/>
      <w:tcPr>
        <w:shd w:val="clear" w:color="auto" w:fill="F5F5F5"/>
      </w:tcPr>
    </w:tblStylePr>
  </w:style>
  <w:style w:type="table" w:styleId="GridTable2-Accent5">
    <w:name w:val="Grid Table 2 Accent 5"/>
    <w:basedOn w:val="TableNormal"/>
    <w:uiPriority w:val="47"/>
    <w:rsid w:val="00666703"/>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66670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
    <w:name w:val="Grid Table 4"/>
    <w:basedOn w:val="TableNormal"/>
    <w:uiPriority w:val="49"/>
    <w:rsid w:val="00C00B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
    <w:name w:val="Table Paragraph"/>
    <w:basedOn w:val="Normal"/>
    <w:uiPriority w:val="1"/>
    <w:qFormat/>
    <w:rsid w:val="00C63A3F"/>
    <w:pPr>
      <w:widowControl w:val="0"/>
      <w:autoSpaceDE w:val="0"/>
      <w:autoSpaceDN w:val="0"/>
      <w:spacing w:after="0" w:line="240" w:lineRule="auto"/>
    </w:pPr>
    <w:rPr>
      <w:rFonts w:eastAsia="Arial" w:cs="Arial"/>
      <w:lang w:val="en-US"/>
    </w:rPr>
  </w:style>
  <w:style w:type="table" w:customStyle="1" w:styleId="TableGrid0">
    <w:name w:val="TableGrid"/>
    <w:rsid w:val="00EF2B10"/>
    <w:pPr>
      <w:spacing w:after="0" w:line="240" w:lineRule="auto"/>
    </w:pPr>
    <w:rPr>
      <w:rFonts w:eastAsiaTheme="minorEastAsia"/>
      <w:lang w:eastAsia="en-AU"/>
    </w:rPr>
    <w:tblPr>
      <w:tblCellMar>
        <w:top w:w="0" w:type="dxa"/>
        <w:left w:w="0" w:type="dxa"/>
        <w:bottom w:w="0" w:type="dxa"/>
        <w:right w:w="0" w:type="dxa"/>
      </w:tblCellMar>
    </w:tblPr>
  </w:style>
  <w:style w:type="table" w:customStyle="1" w:styleId="DSSDatatablestyle63">
    <w:name w:val="DSS Data table style63"/>
    <w:basedOn w:val="TableNormal"/>
    <w:uiPriority w:val="99"/>
    <w:rsid w:val="000C2895"/>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Datatablestyle64">
    <w:name w:val="DSS Data table style64"/>
    <w:basedOn w:val="TableNormal"/>
    <w:uiPriority w:val="99"/>
    <w:rsid w:val="000C2895"/>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Datatablestyle65">
    <w:name w:val="DSS Data table style65"/>
    <w:basedOn w:val="TableNormal"/>
    <w:uiPriority w:val="99"/>
    <w:rsid w:val="000C2895"/>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Datatablestyle66">
    <w:name w:val="DSS Data table style66"/>
    <w:basedOn w:val="TableNormal"/>
    <w:uiPriority w:val="99"/>
    <w:rsid w:val="000C2895"/>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Datatablestyle67">
    <w:name w:val="DSS Data table style67"/>
    <w:basedOn w:val="TableNormal"/>
    <w:uiPriority w:val="99"/>
    <w:rsid w:val="000C2895"/>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LightList-Accent1111">
    <w:name w:val="Light List - Accent 1111"/>
    <w:basedOn w:val="TableNormal"/>
    <w:next w:val="LightList-Accent1"/>
    <w:uiPriority w:val="61"/>
    <w:rsid w:val="000C289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DSSDatatablestyle68">
    <w:name w:val="DSS Data table style68"/>
    <w:basedOn w:val="TableNormal"/>
    <w:uiPriority w:val="99"/>
    <w:rsid w:val="000C2895"/>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Datatablestyle69">
    <w:name w:val="DSS Data table style69"/>
    <w:basedOn w:val="TableNormal"/>
    <w:uiPriority w:val="99"/>
    <w:rsid w:val="000C2895"/>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Datatablestyle610">
    <w:name w:val="DSS Data table style610"/>
    <w:basedOn w:val="TableNormal"/>
    <w:uiPriority w:val="99"/>
    <w:rsid w:val="000C2895"/>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Datatablestyle621">
    <w:name w:val="DSS Data table style621"/>
    <w:basedOn w:val="TableNormal"/>
    <w:uiPriority w:val="99"/>
    <w:rsid w:val="000C2895"/>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Datatablestyle611">
    <w:name w:val="DSS Data table style611"/>
    <w:basedOn w:val="TableNormal"/>
    <w:uiPriority w:val="99"/>
    <w:rsid w:val="000C2895"/>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Datatablestyle612">
    <w:name w:val="DSS Data table style612"/>
    <w:basedOn w:val="TableNormal"/>
    <w:uiPriority w:val="99"/>
    <w:rsid w:val="000C2895"/>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Datatablestyle613">
    <w:name w:val="DSS Data table style613"/>
    <w:basedOn w:val="TableNormal"/>
    <w:uiPriority w:val="99"/>
    <w:rsid w:val="000C2895"/>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TableGrid36">
    <w:name w:val="Table Grid36"/>
    <w:basedOn w:val="TableNormal"/>
    <w:next w:val="TableGrid"/>
    <w:uiPriority w:val="39"/>
    <w:rsid w:val="000C289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0C289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SDatatablestyle3111">
    <w:name w:val="DSS Data table style3111"/>
    <w:basedOn w:val="TableNormal"/>
    <w:uiPriority w:val="99"/>
    <w:rsid w:val="000C2895"/>
    <w:pPr>
      <w:spacing w:after="0" w:line="240" w:lineRule="auto"/>
    </w:pPr>
    <w:rPr>
      <w:rFonts w:ascii="Arial" w:eastAsia="Calibri" w:hAnsi="Arial" w:cs="Times New Roman"/>
      <w:sz w:val="24"/>
    </w:rPr>
    <w:tblPr>
      <w:tblStyleRowBandSize w:val="1"/>
      <w:tblInd w:w="0" w:type="nil"/>
    </w:tblPr>
    <w:tblStylePr w:type="firstRow">
      <w:rPr>
        <w:rFonts w:ascii="Arial" w:hAnsi="Arial" w:cs="Arial" w:hint="default"/>
        <w:b/>
        <w:color w:val="FFFFFF" w:themeColor="background1"/>
        <w:sz w:val="24"/>
        <w:szCs w:val="24"/>
      </w:rPr>
      <w:tblPr/>
      <w:tcPr>
        <w:shd w:val="clear" w:color="auto" w:fill="005A70"/>
      </w:tcPr>
    </w:tblStylePr>
    <w:tblStylePr w:type="lastRow">
      <w:rPr>
        <w:rFonts w:ascii="Arial" w:hAnsi="Arial" w:cs="Arial" w:hint="default"/>
        <w:b/>
        <w:sz w:val="22"/>
        <w:szCs w:val="22"/>
      </w:rPr>
      <w:tblPr/>
      <w:tcPr>
        <w:tcBorders>
          <w:bottom w:val="single" w:sz="8" w:space="0" w:color="auto"/>
        </w:tcBorders>
      </w:tcPr>
    </w:tblStylePr>
    <w:tblStylePr w:type="band2Horz">
      <w:rPr>
        <w:rFonts w:ascii="Arial" w:hAnsi="Arial" w:cs="Arial" w:hint="default"/>
        <w:sz w:val="22"/>
        <w:szCs w:val="22"/>
      </w:rPr>
      <w:tblPr/>
      <w:tcPr>
        <w:shd w:val="clear" w:color="auto" w:fill="F5F5F5"/>
      </w:tcPr>
    </w:tblStylePr>
  </w:style>
  <w:style w:type="table" w:customStyle="1" w:styleId="DSSDatatablestyle3112">
    <w:name w:val="DSS Data table style3112"/>
    <w:basedOn w:val="TableNormal"/>
    <w:uiPriority w:val="99"/>
    <w:rsid w:val="000C2895"/>
    <w:pPr>
      <w:spacing w:after="0" w:line="240" w:lineRule="auto"/>
    </w:pPr>
    <w:rPr>
      <w:rFonts w:ascii="Arial" w:eastAsia="Calibri" w:hAnsi="Arial" w:cs="Times New Roman"/>
      <w:sz w:val="24"/>
    </w:rPr>
    <w:tblPr>
      <w:tblStyleRowBandSize w:val="1"/>
      <w:tblInd w:w="0" w:type="nil"/>
    </w:tblPr>
    <w:tblStylePr w:type="firstRow">
      <w:rPr>
        <w:rFonts w:ascii="Arial" w:hAnsi="Arial" w:cs="Arial" w:hint="default"/>
        <w:b/>
        <w:color w:val="FFFFFF" w:themeColor="background1"/>
        <w:sz w:val="24"/>
        <w:szCs w:val="24"/>
      </w:rPr>
      <w:tblPr/>
      <w:tcPr>
        <w:shd w:val="clear" w:color="auto" w:fill="005A70"/>
      </w:tcPr>
    </w:tblStylePr>
    <w:tblStylePr w:type="lastRow">
      <w:rPr>
        <w:rFonts w:ascii="Arial" w:hAnsi="Arial" w:cs="Arial" w:hint="default"/>
        <w:b/>
        <w:sz w:val="22"/>
        <w:szCs w:val="22"/>
      </w:rPr>
      <w:tblPr/>
      <w:tcPr>
        <w:tcBorders>
          <w:bottom w:val="single" w:sz="8" w:space="0" w:color="auto"/>
        </w:tcBorders>
      </w:tcPr>
    </w:tblStylePr>
    <w:tblStylePr w:type="band2Horz">
      <w:rPr>
        <w:rFonts w:ascii="Arial" w:hAnsi="Arial" w:cs="Arial" w:hint="default"/>
        <w:sz w:val="22"/>
        <w:szCs w:val="22"/>
      </w:rPr>
      <w:tblPr/>
      <w:tcPr>
        <w:shd w:val="clear" w:color="auto" w:fill="F5F5F5"/>
      </w:tcPr>
    </w:tblStylePr>
  </w:style>
  <w:style w:type="table" w:customStyle="1" w:styleId="TableGrid117">
    <w:name w:val="Table Grid117"/>
    <w:basedOn w:val="TableNormal"/>
    <w:next w:val="TableGrid"/>
    <w:uiPriority w:val="59"/>
    <w:rsid w:val="000C289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Horizontaltable14">
    <w:name w:val="H: Horizontal table14"/>
    <w:basedOn w:val="TableNormal"/>
    <w:rsid w:val="00B2003C"/>
    <w:pPr>
      <w:spacing w:before="120" w:after="120" w:line="240" w:lineRule="auto"/>
    </w:pPr>
    <w:tblPr>
      <w:tblStyleRowBandSize w:val="1"/>
      <w:tblStyleColBandSize w:val="1"/>
      <w:tblBorders>
        <w:insideH w:val="single" w:sz="4" w:space="0" w:color="FFFFFF" w:themeColor="background1"/>
      </w:tblBorders>
    </w:tblPr>
    <w:tblStylePr w:type="firstRow">
      <w:pPr>
        <w:jc w:val="left"/>
      </w:pPr>
      <w:rPr>
        <w:rFonts w:ascii="Arial" w:hAnsi="Arial" w:cs="Arial" w:hint="default"/>
        <w:b/>
        <w:sz w:val="22"/>
        <w:szCs w:val="22"/>
      </w:rPr>
      <w:tblPr/>
      <w:tcPr>
        <w:tcBorders>
          <w:top w:val="nil"/>
          <w:left w:val="nil"/>
          <w:bottom w:val="nil"/>
          <w:right w:val="nil"/>
          <w:insideH w:val="nil"/>
          <w:insideV w:val="nil"/>
          <w:tl2br w:val="nil"/>
          <w:tr2bl w:val="nil"/>
        </w:tcBorders>
        <w:shd w:val="clear" w:color="auto" w:fill="00B0B9"/>
        <w:vAlign w:val="bottom"/>
      </w:tcPr>
    </w:tblStylePr>
    <w:tblStylePr w:type="band1Horz">
      <w:tblPr/>
      <w:tcPr>
        <w:shd w:val="clear" w:color="auto" w:fill="DDDDDA"/>
      </w:tcPr>
    </w:tblStylePr>
    <w:tblStylePr w:type="band2Horz">
      <w:tblPr/>
      <w:tcPr>
        <w:shd w:val="clear" w:color="auto" w:fill="EEEEEC"/>
      </w:tcPr>
    </w:tblStylePr>
  </w:style>
  <w:style w:type="numbering" w:customStyle="1" w:styleId="NoList11111">
    <w:name w:val="No List11111"/>
    <w:next w:val="NoList"/>
    <w:semiHidden/>
    <w:rsid w:val="0029429F"/>
  </w:style>
  <w:style w:type="table" w:customStyle="1" w:styleId="DSSDatatablestyle72">
    <w:name w:val="DSS Data table style72"/>
    <w:basedOn w:val="TableNormal"/>
    <w:uiPriority w:val="99"/>
    <w:rsid w:val="0029429F"/>
    <w:pPr>
      <w:spacing w:after="0" w:line="240" w:lineRule="auto"/>
    </w:pPr>
    <w:rPr>
      <w:rFonts w:ascii="Arial" w:eastAsia="Calibri" w:hAnsi="Arial" w:cs="Times New Roman"/>
      <w:sz w:val="24"/>
    </w:rPr>
    <w:tblPr>
      <w:tblStyleRowBandSize w:val="1"/>
      <w:tblInd w:w="0" w:type="nil"/>
    </w:tblPr>
    <w:tblStylePr w:type="firstRow">
      <w:rPr>
        <w:rFonts w:ascii="Arial" w:hAnsi="Arial" w:cs="Arial" w:hint="default"/>
        <w:b/>
        <w:color w:val="FFFFFF" w:themeColor="background1"/>
        <w:sz w:val="24"/>
        <w:szCs w:val="24"/>
      </w:rPr>
      <w:tblPr/>
      <w:tcPr>
        <w:shd w:val="clear" w:color="auto" w:fill="005A70"/>
      </w:tcPr>
    </w:tblStylePr>
    <w:tblStylePr w:type="lastRow">
      <w:rPr>
        <w:rFonts w:ascii="Arial" w:hAnsi="Arial" w:cs="Arial" w:hint="default"/>
        <w:b/>
        <w:sz w:val="22"/>
        <w:szCs w:val="22"/>
      </w:rPr>
      <w:tblPr/>
      <w:tcPr>
        <w:tcBorders>
          <w:bottom w:val="single" w:sz="8" w:space="0" w:color="auto"/>
        </w:tcBorders>
      </w:tcPr>
    </w:tblStylePr>
    <w:tblStylePr w:type="band2Horz">
      <w:rPr>
        <w:rFonts w:ascii="Arial" w:hAnsi="Arial" w:cs="Arial" w:hint="default"/>
        <w:sz w:val="22"/>
        <w:szCs w:val="22"/>
      </w:rPr>
      <w:tblPr/>
      <w:tcPr>
        <w:shd w:val="clear" w:color="auto" w:fill="F5F5F5"/>
      </w:tcPr>
    </w:tblStylePr>
  </w:style>
  <w:style w:type="table" w:customStyle="1" w:styleId="DSSDatatablestyle211">
    <w:name w:val="DSS Data table style211"/>
    <w:basedOn w:val="TableNormal"/>
    <w:uiPriority w:val="99"/>
    <w:rsid w:val="0029429F"/>
    <w:pPr>
      <w:spacing w:after="0" w:line="240" w:lineRule="auto"/>
    </w:pPr>
    <w:rPr>
      <w:rFonts w:ascii="Arial" w:hAnsi="Arial"/>
    </w:rPr>
    <w:tblPr>
      <w:tblStyleRowBandSize w:val="1"/>
      <w:tblInd w:w="113" w:type="dxa"/>
    </w:tblPr>
    <w:tblStylePr w:type="firstRow">
      <w:rPr>
        <w:rFonts w:ascii="Arial" w:hAnsi="Arial"/>
        <w:b/>
        <w:color w:val="FFFFFF"/>
        <w:sz w:val="22"/>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EFFAF9"/>
      </w:tcPr>
    </w:tblStylePr>
  </w:style>
  <w:style w:type="paragraph" w:customStyle="1" w:styleId="Sub3">
    <w:name w:val="Sub 3"/>
    <w:uiPriority w:val="99"/>
    <w:rsid w:val="005440A8"/>
    <w:pPr>
      <w:widowControl w:val="0"/>
      <w:autoSpaceDE w:val="0"/>
      <w:autoSpaceDN w:val="0"/>
      <w:adjustRightInd w:val="0"/>
      <w:spacing w:after="0" w:line="240" w:lineRule="auto"/>
      <w:ind w:left="1430" w:hanging="650"/>
    </w:pPr>
    <w:rPr>
      <w:rFonts w:ascii="Arial" w:eastAsia="Times New Roman" w:hAnsi="Arial" w:cs="Arial"/>
      <w:sz w:val="20"/>
      <w:szCs w:val="20"/>
      <w:lang w:eastAsia="en-AU"/>
    </w:rPr>
  </w:style>
  <w:style w:type="paragraph" w:customStyle="1" w:styleId="Sub4">
    <w:name w:val="Sub 4"/>
    <w:uiPriority w:val="99"/>
    <w:rsid w:val="005440A8"/>
    <w:pPr>
      <w:widowControl w:val="0"/>
      <w:autoSpaceDE w:val="0"/>
      <w:autoSpaceDN w:val="0"/>
      <w:adjustRightInd w:val="0"/>
      <w:spacing w:after="0" w:line="240" w:lineRule="auto"/>
      <w:ind w:left="1690" w:hanging="650"/>
    </w:pPr>
    <w:rPr>
      <w:rFonts w:ascii="Arial" w:eastAsia="Times New Roman" w:hAnsi="Arial" w:cs="Arial"/>
      <w:sz w:val="20"/>
      <w:szCs w:val="20"/>
      <w:lang w:eastAsia="en-AU"/>
    </w:rPr>
  </w:style>
  <w:style w:type="paragraph" w:customStyle="1" w:styleId="ahead">
    <w:name w:val="ahead"/>
    <w:uiPriority w:val="99"/>
    <w:rsid w:val="005440A8"/>
    <w:pPr>
      <w:keepNext/>
      <w:widowControl w:val="0"/>
      <w:autoSpaceDE w:val="0"/>
      <w:autoSpaceDN w:val="0"/>
      <w:adjustRightInd w:val="0"/>
      <w:spacing w:after="0" w:line="320" w:lineRule="atLeast"/>
      <w:ind w:left="540" w:hanging="540"/>
    </w:pPr>
    <w:rPr>
      <w:rFonts w:ascii="Arial" w:eastAsia="Times New Roman" w:hAnsi="Arial" w:cs="Arial"/>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316969">
      <w:bodyDiv w:val="1"/>
      <w:marLeft w:val="0"/>
      <w:marRight w:val="0"/>
      <w:marTop w:val="0"/>
      <w:marBottom w:val="0"/>
      <w:divBdr>
        <w:top w:val="none" w:sz="0" w:space="0" w:color="auto"/>
        <w:left w:val="none" w:sz="0" w:space="0" w:color="auto"/>
        <w:bottom w:val="none" w:sz="0" w:space="0" w:color="auto"/>
        <w:right w:val="none" w:sz="0" w:space="0" w:color="auto"/>
      </w:divBdr>
    </w:div>
    <w:div w:id="737168145">
      <w:bodyDiv w:val="1"/>
      <w:marLeft w:val="0"/>
      <w:marRight w:val="0"/>
      <w:marTop w:val="0"/>
      <w:marBottom w:val="0"/>
      <w:divBdr>
        <w:top w:val="none" w:sz="0" w:space="0" w:color="auto"/>
        <w:left w:val="none" w:sz="0" w:space="0" w:color="auto"/>
        <w:bottom w:val="none" w:sz="0" w:space="0" w:color="auto"/>
        <w:right w:val="none" w:sz="0" w:space="0" w:color="auto"/>
      </w:divBdr>
    </w:div>
    <w:div w:id="743383022">
      <w:bodyDiv w:val="1"/>
      <w:marLeft w:val="0"/>
      <w:marRight w:val="0"/>
      <w:marTop w:val="0"/>
      <w:marBottom w:val="0"/>
      <w:divBdr>
        <w:top w:val="none" w:sz="0" w:space="0" w:color="auto"/>
        <w:left w:val="none" w:sz="0" w:space="0" w:color="auto"/>
        <w:bottom w:val="none" w:sz="0" w:space="0" w:color="auto"/>
        <w:right w:val="none" w:sz="0" w:space="0" w:color="auto"/>
      </w:divBdr>
    </w:div>
    <w:div w:id="1011105846">
      <w:bodyDiv w:val="1"/>
      <w:marLeft w:val="0"/>
      <w:marRight w:val="0"/>
      <w:marTop w:val="0"/>
      <w:marBottom w:val="0"/>
      <w:divBdr>
        <w:top w:val="none" w:sz="0" w:space="0" w:color="auto"/>
        <w:left w:val="none" w:sz="0" w:space="0" w:color="auto"/>
        <w:bottom w:val="none" w:sz="0" w:space="0" w:color="auto"/>
        <w:right w:val="none" w:sz="0" w:space="0" w:color="auto"/>
      </w:divBdr>
    </w:div>
    <w:div w:id="1217667160">
      <w:bodyDiv w:val="1"/>
      <w:marLeft w:val="0"/>
      <w:marRight w:val="0"/>
      <w:marTop w:val="0"/>
      <w:marBottom w:val="0"/>
      <w:divBdr>
        <w:top w:val="none" w:sz="0" w:space="0" w:color="auto"/>
        <w:left w:val="none" w:sz="0" w:space="0" w:color="auto"/>
        <w:bottom w:val="none" w:sz="0" w:space="0" w:color="auto"/>
        <w:right w:val="none" w:sz="0" w:space="0" w:color="auto"/>
      </w:divBdr>
    </w:div>
    <w:div w:id="1411199705">
      <w:bodyDiv w:val="1"/>
      <w:marLeft w:val="0"/>
      <w:marRight w:val="0"/>
      <w:marTop w:val="0"/>
      <w:marBottom w:val="0"/>
      <w:divBdr>
        <w:top w:val="none" w:sz="0" w:space="0" w:color="auto"/>
        <w:left w:val="none" w:sz="0" w:space="0" w:color="auto"/>
        <w:bottom w:val="none" w:sz="0" w:space="0" w:color="auto"/>
        <w:right w:val="none" w:sz="0" w:space="0" w:color="auto"/>
      </w:divBdr>
    </w:div>
    <w:div w:id="1618753334">
      <w:bodyDiv w:val="1"/>
      <w:marLeft w:val="0"/>
      <w:marRight w:val="0"/>
      <w:marTop w:val="0"/>
      <w:marBottom w:val="0"/>
      <w:divBdr>
        <w:top w:val="none" w:sz="0" w:space="0" w:color="auto"/>
        <w:left w:val="none" w:sz="0" w:space="0" w:color="auto"/>
        <w:bottom w:val="none" w:sz="0" w:space="0" w:color="auto"/>
        <w:right w:val="none" w:sz="0" w:space="0" w:color="auto"/>
      </w:divBdr>
    </w:div>
    <w:div w:id="167106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mmunications@dss.gov.au" TargetMode="External"/><Relationship Id="rId18" Type="http://schemas.openxmlformats.org/officeDocument/2006/relationships/image" Target="media/image3.jpeg"/><Relationship Id="rId26" Type="http://schemas.openxmlformats.org/officeDocument/2006/relationships/header" Target="header1.xml"/><Relationship Id="rId39" Type="http://schemas.openxmlformats.org/officeDocument/2006/relationships/header" Target="header4.xml"/><Relationship Id="rId21" Type="http://schemas.openxmlformats.org/officeDocument/2006/relationships/image" Target="cid:image001.png@01D67BB8.A3AA3C50" TargetMode="External"/><Relationship Id="rId34" Type="http://schemas.openxmlformats.org/officeDocument/2006/relationships/image" Target="media/image13.png"/><Relationship Id="rId42" Type="http://schemas.openxmlformats.org/officeDocument/2006/relationships/footer" Target="footer3.xml"/><Relationship Id="rId47" Type="http://schemas.openxmlformats.org/officeDocument/2006/relationships/image" Target="cid:image008.png@01D67BB7.B0B127C0" TargetMode="External"/><Relationship Id="rId50" Type="http://schemas.openxmlformats.org/officeDocument/2006/relationships/image" Target="cid:image004.jpg@01D67BBB.C2655550" TargetMode="External"/><Relationship Id="rId55" Type="http://schemas.openxmlformats.org/officeDocument/2006/relationships/image" Target="media/image21.png"/><Relationship Id="rId63" Type="http://schemas.openxmlformats.org/officeDocument/2006/relationships/header" Target="header12.xml"/><Relationship Id="rId68" Type="http://schemas.openxmlformats.org/officeDocument/2006/relationships/header" Target="header17.xml"/><Relationship Id="rId76" Type="http://schemas.openxmlformats.org/officeDocument/2006/relationships/header" Target="header23.xml"/><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hyperlink" Target="mailto:annual.report@dss.gov.au" TargetMode="External"/><Relationship Id="rId29" Type="http://schemas.openxmlformats.org/officeDocument/2006/relationships/header" Target="header2.xm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hyperlink" Target="about:blank" TargetMode="External"/><Relationship Id="rId40" Type="http://schemas.openxmlformats.org/officeDocument/2006/relationships/footer" Target="footer2.xml"/><Relationship Id="rId45" Type="http://schemas.openxmlformats.org/officeDocument/2006/relationships/image" Target="cid:image001.png@01D67BB5.E73ED500" TargetMode="External"/><Relationship Id="rId53" Type="http://schemas.openxmlformats.org/officeDocument/2006/relationships/hyperlink" Target="http://www.grants.gov.au" TargetMode="External"/><Relationship Id="rId58" Type="http://schemas.openxmlformats.org/officeDocument/2006/relationships/image" Target="media/image23.png"/><Relationship Id="rId66" Type="http://schemas.openxmlformats.org/officeDocument/2006/relationships/header" Target="header15.xml"/><Relationship Id="rId74" Type="http://schemas.openxmlformats.org/officeDocument/2006/relationships/header" Target="header21.xml"/><Relationship Id="rId79" Type="http://schemas.openxmlformats.org/officeDocument/2006/relationships/header" Target="header25.xml"/><Relationship Id="rId5" Type="http://schemas.openxmlformats.org/officeDocument/2006/relationships/styles" Target="styles.xml"/><Relationship Id="rId61" Type="http://schemas.openxmlformats.org/officeDocument/2006/relationships/header" Target="header10.xml"/><Relationship Id="rId82" Type="http://schemas.openxmlformats.org/officeDocument/2006/relationships/header" Target="header27.xm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sanhonour.gov.au/coat-arms/index.cfm"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cid:image003.png@01D67BB9.4E82A7C0" TargetMode="External"/><Relationship Id="rId43" Type="http://schemas.openxmlformats.org/officeDocument/2006/relationships/header" Target="header6.xml"/><Relationship Id="rId48" Type="http://schemas.openxmlformats.org/officeDocument/2006/relationships/image" Target="media/image17.jpeg"/><Relationship Id="rId56" Type="http://schemas.openxmlformats.org/officeDocument/2006/relationships/header" Target="header7.xml"/><Relationship Id="rId64" Type="http://schemas.openxmlformats.org/officeDocument/2006/relationships/header" Target="header13.xml"/><Relationship Id="rId69" Type="http://schemas.openxmlformats.org/officeDocument/2006/relationships/header" Target="header18.xml"/><Relationship Id="rId77" Type="http://schemas.openxmlformats.org/officeDocument/2006/relationships/header" Target="header24.xml"/><Relationship Id="rId8" Type="http://schemas.openxmlformats.org/officeDocument/2006/relationships/footnotes" Target="footnotes.xml"/><Relationship Id="rId51" Type="http://schemas.openxmlformats.org/officeDocument/2006/relationships/hyperlink" Target="http://www.dss.gov.au" TargetMode="External"/><Relationship Id="rId72" Type="http://schemas.openxmlformats.org/officeDocument/2006/relationships/hyperlink" Target="https://www.carergateway.gov.au/" TargetMode="External"/><Relationship Id="rId80" Type="http://schemas.openxmlformats.org/officeDocument/2006/relationships/header" Target="header26.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www.transparency.gov.au" TargetMode="External"/><Relationship Id="rId25" Type="http://schemas.openxmlformats.org/officeDocument/2006/relationships/image" Target="media/image7.jpeg"/><Relationship Id="rId33" Type="http://schemas.openxmlformats.org/officeDocument/2006/relationships/hyperlink" Target="https://aifs.gov.au/" TargetMode="External"/><Relationship Id="rId38" Type="http://schemas.openxmlformats.org/officeDocument/2006/relationships/header" Target="header3.xml"/><Relationship Id="rId46" Type="http://schemas.openxmlformats.org/officeDocument/2006/relationships/image" Target="media/image16.png"/><Relationship Id="rId59" Type="http://schemas.openxmlformats.org/officeDocument/2006/relationships/header" Target="header8.xml"/><Relationship Id="rId67" Type="http://schemas.openxmlformats.org/officeDocument/2006/relationships/header" Target="header16.xml"/><Relationship Id="rId20" Type="http://schemas.openxmlformats.org/officeDocument/2006/relationships/image" Target="media/image4.png"/><Relationship Id="rId41" Type="http://schemas.openxmlformats.org/officeDocument/2006/relationships/header" Target="header5.xml"/><Relationship Id="rId54" Type="http://schemas.openxmlformats.org/officeDocument/2006/relationships/image" Target="media/image20.png"/><Relationship Id="rId62" Type="http://schemas.openxmlformats.org/officeDocument/2006/relationships/header" Target="header11.xml"/><Relationship Id="rId70" Type="http://schemas.openxmlformats.org/officeDocument/2006/relationships/header" Target="header19.xml"/><Relationship Id="rId75" Type="http://schemas.openxmlformats.org/officeDocument/2006/relationships/header" Target="header22.xm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relayservice.gov.au" TargetMode="External"/><Relationship Id="rId23" Type="http://schemas.openxmlformats.org/officeDocument/2006/relationships/image" Target="cid:image002.png@01D67BB8.A3AA3C50" TargetMode="External"/><Relationship Id="rId28" Type="http://schemas.openxmlformats.org/officeDocument/2006/relationships/image" Target="media/image9.jpg"/><Relationship Id="rId36" Type="http://schemas.openxmlformats.org/officeDocument/2006/relationships/image" Target="media/image14.png"/><Relationship Id="rId49" Type="http://schemas.openxmlformats.org/officeDocument/2006/relationships/image" Target="media/image18.jpeg"/><Relationship Id="rId57" Type="http://schemas.openxmlformats.org/officeDocument/2006/relationships/image" Target="media/image22.jpg"/><Relationship Id="rId10" Type="http://schemas.openxmlformats.org/officeDocument/2006/relationships/image" Target="media/image1.jpeg"/><Relationship Id="rId31" Type="http://schemas.openxmlformats.org/officeDocument/2006/relationships/image" Target="media/image11.png"/><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header" Target="header9.xml"/><Relationship Id="rId65" Type="http://schemas.openxmlformats.org/officeDocument/2006/relationships/header" Target="header14.xml"/><Relationship Id="rId73" Type="http://schemas.openxmlformats.org/officeDocument/2006/relationships/hyperlink" Target="http://www.dss.gov.au" TargetMode="External"/><Relationship Id="rId78" Type="http://schemas.openxmlformats.org/officeDocument/2006/relationships/image" Target="media/image24.jpeg"/><Relationship Id="rId81"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dex.ds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AF70ADF863754741B4223CAAB75480A4" ma:contentTypeVersion="" ma:contentTypeDescription="PDMS Document Site Content Type" ma:contentTypeScope="" ma:versionID="419af222293d90f3aeb159d7cc8caf40">
  <xsd:schema xmlns:xsd="http://www.w3.org/2001/XMLSchema" xmlns:xs="http://www.w3.org/2001/XMLSchema" xmlns:p="http://schemas.microsoft.com/office/2006/metadata/properties" xmlns:ns2="67105588-21FE-4B34-9165-1C29F5C5FDEC" targetNamespace="http://schemas.microsoft.com/office/2006/metadata/properties" ma:root="true" ma:fieldsID="cb44f9253279f329fdfc08f1e0aa8797" ns2:_="">
    <xsd:import namespace="67105588-21FE-4B34-9165-1C29F5C5FDEC"/>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05588-21FE-4B34-9165-1C29F5C5FDEC"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3ADB2-0C96-424B-93D6-D1D968053785}">
  <ds:schemaRefs>
    <ds:schemaRef ds:uri="http://schemas.microsoft.com/sharepoint/v3/contenttype/forms"/>
  </ds:schemaRefs>
</ds:datastoreItem>
</file>

<file path=customXml/itemProps2.xml><?xml version="1.0" encoding="utf-8"?>
<ds:datastoreItem xmlns:ds="http://schemas.openxmlformats.org/officeDocument/2006/customXml" ds:itemID="{B9B6C4FD-ED89-4495-9835-2C7F6C04F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05588-21FE-4B34-9165-1C29F5C5F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EFF835-150F-45DF-A3B8-C085EE512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254</Pages>
  <Words>69945</Words>
  <Characters>398691</Characters>
  <Application>Microsoft Office Word</Application>
  <DocSecurity>0</DocSecurity>
  <Lines>3322</Lines>
  <Paragraphs>935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2020-10-20T07:20:00Z</dcterms:created>
  <dcterms:modified xsi:type="dcterms:W3CDTF">2020-10-22T03:26:00Z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earanceActualDate">
    <vt:lpwstr>21 July 2020</vt:lpwstr>
  </property>
  <property fmtid="{D5CDD505-2E9C-101B-9397-08002B2CF9AE}" pid="3" name="LastClearingOfficer">
    <vt:lpwstr>Chris MITCHELL</vt:lpwstr>
  </property>
</Properties>
</file>